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trPr>
          <w:trHeight w:hRule="exact" w:val="851"/>
        </w:trPr>
        <w:tc>
          <w:tcPr>
            <w:tcW w:w="1280" w:type="dxa"/>
            <w:tcBorders>
              <w:bottom w:val="single" w:sz="4" w:space="0" w:color="auto"/>
            </w:tcBorders>
            <w:shd w:val="clear" w:color="auto" w:fill="auto"/>
          </w:tcPr>
          <w:p w:rsidR="002D5AAC" w:rsidRPr="00C14903" w:rsidRDefault="002D5AAC" w:rsidP="00887C91">
            <w:pPr>
              <w:suppressAutoHyphens/>
              <w:rPr>
                <w:lang w:val="en-GB"/>
              </w:rPr>
            </w:pPr>
            <w:bookmarkStart w:id="0" w:name="_GoBack"/>
            <w:bookmarkEnd w:id="0"/>
          </w:p>
        </w:tc>
        <w:tc>
          <w:tcPr>
            <w:tcW w:w="2273" w:type="dxa"/>
            <w:tcBorders>
              <w:bottom w:val="single" w:sz="4" w:space="0" w:color="auto"/>
            </w:tcBorders>
            <w:shd w:val="clear" w:color="auto" w:fill="auto"/>
            <w:vAlign w:val="bottom"/>
          </w:tcPr>
          <w:p w:rsidR="002D5AAC" w:rsidRPr="00887C91" w:rsidRDefault="00BD33EE" w:rsidP="00887C91">
            <w:pPr>
              <w:suppressAutoHyphens/>
              <w:spacing w:after="80" w:line="300" w:lineRule="exact"/>
              <w:rPr>
                <w:sz w:val="28"/>
              </w:rPr>
            </w:pPr>
            <w:r w:rsidRPr="00887C91">
              <w:rPr>
                <w:sz w:val="28"/>
              </w:rPr>
              <w:t>Naciones Unidas</w:t>
            </w:r>
          </w:p>
        </w:tc>
        <w:tc>
          <w:tcPr>
            <w:tcW w:w="6086" w:type="dxa"/>
            <w:gridSpan w:val="2"/>
            <w:tcBorders>
              <w:bottom w:val="single" w:sz="4" w:space="0" w:color="auto"/>
            </w:tcBorders>
            <w:shd w:val="clear" w:color="auto" w:fill="auto"/>
            <w:vAlign w:val="bottom"/>
          </w:tcPr>
          <w:p w:rsidR="002D5AAC" w:rsidRDefault="00995641" w:rsidP="00C0032B">
            <w:pPr>
              <w:suppressAutoHyphens/>
              <w:jc w:val="right"/>
            </w:pPr>
            <w:r w:rsidRPr="00995641">
              <w:rPr>
                <w:sz w:val="40"/>
              </w:rPr>
              <w:t>E</w:t>
            </w:r>
            <w:r w:rsidR="00211646">
              <w:t>/C.12/64</w:t>
            </w:r>
            <w:r>
              <w:t>/D/</w:t>
            </w:r>
            <w:r w:rsidR="00D64C5C">
              <w:t>19</w:t>
            </w:r>
            <w:r>
              <w:t>/201</w:t>
            </w:r>
            <w:r w:rsidR="00C0032B">
              <w:t>6</w:t>
            </w:r>
          </w:p>
        </w:tc>
      </w:tr>
      <w:tr w:rsidR="002D5AAC">
        <w:trPr>
          <w:trHeight w:hRule="exact" w:val="2835"/>
        </w:trPr>
        <w:tc>
          <w:tcPr>
            <w:tcW w:w="1280" w:type="dxa"/>
            <w:tcBorders>
              <w:top w:val="single" w:sz="4" w:space="0" w:color="auto"/>
              <w:bottom w:val="single" w:sz="12" w:space="0" w:color="auto"/>
            </w:tcBorders>
            <w:shd w:val="clear" w:color="auto" w:fill="auto"/>
          </w:tcPr>
          <w:p w:rsidR="002D5AAC" w:rsidRDefault="00691782" w:rsidP="00887C91">
            <w:pPr>
              <w:suppressAutoHyphens/>
              <w:spacing w:before="120"/>
              <w:jc w:val="center"/>
            </w:pPr>
            <w:r w:rsidRPr="00766076">
              <w:rPr>
                <w:noProof/>
                <w:lang w:eastAsia="zh-CN"/>
              </w:rPr>
              <w:drawing>
                <wp:inline distT="0" distB="0" distL="0" distR="0">
                  <wp:extent cx="715645" cy="591185"/>
                  <wp:effectExtent l="0" t="0" r="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9118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887C91" w:rsidRDefault="004B19F2" w:rsidP="00887C91">
            <w:pPr>
              <w:suppressAutoHyphens/>
              <w:spacing w:before="120" w:line="420" w:lineRule="exact"/>
              <w:rPr>
                <w:b/>
                <w:sz w:val="40"/>
                <w:szCs w:val="40"/>
              </w:rPr>
            </w:pPr>
            <w:r w:rsidRPr="00887C91">
              <w:rPr>
                <w:b/>
                <w:sz w:val="40"/>
                <w:szCs w:val="40"/>
              </w:rPr>
              <w:t>Consejo Económico y Social</w:t>
            </w:r>
          </w:p>
        </w:tc>
        <w:tc>
          <w:tcPr>
            <w:tcW w:w="2819" w:type="dxa"/>
            <w:tcBorders>
              <w:top w:val="single" w:sz="4" w:space="0" w:color="auto"/>
              <w:bottom w:val="single" w:sz="12" w:space="0" w:color="auto"/>
            </w:tcBorders>
            <w:shd w:val="clear" w:color="auto" w:fill="auto"/>
          </w:tcPr>
          <w:p w:rsidR="002D5AAC" w:rsidRPr="0089109F" w:rsidRDefault="00995641" w:rsidP="00995641">
            <w:pPr>
              <w:suppressAutoHyphens/>
              <w:spacing w:before="240" w:line="240" w:lineRule="exact"/>
              <w:rPr>
                <w:lang w:val="pt-BR"/>
              </w:rPr>
            </w:pPr>
            <w:r w:rsidRPr="0089109F">
              <w:rPr>
                <w:lang w:val="pt-BR"/>
              </w:rPr>
              <w:t xml:space="preserve">Distr. </w:t>
            </w:r>
            <w:r w:rsidR="005C259D">
              <w:rPr>
                <w:lang w:val="pt-BR"/>
              </w:rPr>
              <w:t>general</w:t>
            </w:r>
          </w:p>
          <w:p w:rsidR="00995641" w:rsidRPr="0089109F" w:rsidRDefault="00AC29E6" w:rsidP="00567DE8">
            <w:pPr>
              <w:suppressAutoHyphens/>
              <w:spacing w:line="240" w:lineRule="exact"/>
              <w:rPr>
                <w:lang w:val="pt-BR"/>
              </w:rPr>
            </w:pPr>
            <w:r>
              <w:rPr>
                <w:lang w:val="pt-BR"/>
              </w:rPr>
              <w:t>14</w:t>
            </w:r>
            <w:r w:rsidR="00C0032B">
              <w:rPr>
                <w:lang w:val="pt-BR"/>
              </w:rPr>
              <w:t xml:space="preserve"> de </w:t>
            </w:r>
            <w:r w:rsidR="00A145E3">
              <w:rPr>
                <w:lang w:val="pt-BR"/>
              </w:rPr>
              <w:t>noviembre</w:t>
            </w:r>
            <w:r w:rsidR="00A145E3" w:rsidRPr="0089109F">
              <w:rPr>
                <w:lang w:val="pt-BR"/>
              </w:rPr>
              <w:t xml:space="preserve"> </w:t>
            </w:r>
            <w:r w:rsidR="0005367E" w:rsidRPr="0089109F">
              <w:rPr>
                <w:lang w:val="pt-BR"/>
              </w:rPr>
              <w:t>de</w:t>
            </w:r>
            <w:r w:rsidR="00211646" w:rsidRPr="0089109F">
              <w:rPr>
                <w:lang w:val="pt-BR"/>
              </w:rPr>
              <w:t xml:space="preserve"> 2018</w:t>
            </w:r>
          </w:p>
          <w:p w:rsidR="00461F01" w:rsidRPr="0089109F" w:rsidRDefault="00461F01" w:rsidP="00995641">
            <w:pPr>
              <w:suppressAutoHyphens/>
              <w:spacing w:line="240" w:lineRule="exact"/>
              <w:rPr>
                <w:lang w:val="pt-BR"/>
              </w:rPr>
            </w:pPr>
          </w:p>
          <w:p w:rsidR="00995641" w:rsidRDefault="00995641" w:rsidP="00995641">
            <w:pPr>
              <w:suppressAutoHyphens/>
              <w:spacing w:line="240" w:lineRule="exact"/>
            </w:pPr>
            <w:r>
              <w:t>Original: español</w:t>
            </w:r>
          </w:p>
          <w:p w:rsidR="00CF6444" w:rsidRDefault="00CF6444" w:rsidP="00D24D5B">
            <w:pPr>
              <w:suppressAutoHyphens/>
              <w:spacing w:line="240" w:lineRule="exact"/>
            </w:pPr>
          </w:p>
        </w:tc>
      </w:tr>
    </w:tbl>
    <w:p w:rsidR="00BD1C50" w:rsidRPr="00EC58FE" w:rsidRDefault="00BD1C50" w:rsidP="00BD1C50">
      <w:pPr>
        <w:spacing w:before="120"/>
        <w:rPr>
          <w:b/>
          <w:sz w:val="24"/>
          <w:szCs w:val="24"/>
        </w:rPr>
      </w:pPr>
      <w:r w:rsidRPr="00EC58FE">
        <w:rPr>
          <w:b/>
          <w:sz w:val="24"/>
          <w:szCs w:val="24"/>
        </w:rPr>
        <w:t>Comité de Derechos Económicos, Sociales y Culturales</w:t>
      </w:r>
    </w:p>
    <w:p w:rsidR="00656BF1" w:rsidRDefault="007577E0" w:rsidP="00F71F61">
      <w:pPr>
        <w:pStyle w:val="HChG"/>
      </w:pPr>
      <w:r>
        <w:tab/>
      </w:r>
      <w:r>
        <w:tab/>
      </w:r>
      <w:r w:rsidR="005C259D">
        <w:t xml:space="preserve">Dictamen aprobado por el Comité </w:t>
      </w:r>
      <w:r w:rsidR="00F71F61">
        <w:t xml:space="preserve">de acuerdo con el Protocolo Facultativo del Pacto </w:t>
      </w:r>
      <w:r w:rsidR="005C259D">
        <w:t>con relación a la comunicación núm.</w:t>
      </w:r>
      <w:r w:rsidR="00656BF1">
        <w:t> </w:t>
      </w:r>
      <w:r w:rsidR="005C259D">
        <w:t>19/2016</w:t>
      </w:r>
      <w:r w:rsidR="00F71F61" w:rsidRPr="00AC29E6">
        <w:rPr>
          <w:rStyle w:val="Refdenotaalpie"/>
          <w:b w:val="0"/>
          <w:sz w:val="20"/>
          <w:vertAlign w:val="baseline"/>
          <w:lang w:val="pt-BR"/>
        </w:rPr>
        <w:footnoteReference w:customMarkFollows="1" w:id="1"/>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09"/>
        <w:gridCol w:w="4096"/>
      </w:tblGrid>
      <w:tr w:rsidR="00656BF1" w:rsidTr="00567DE8">
        <w:tc>
          <w:tcPr>
            <w:tcW w:w="2709" w:type="dxa"/>
          </w:tcPr>
          <w:p w:rsidR="00656BF1" w:rsidRDefault="00656BF1" w:rsidP="00656BF1">
            <w:pPr>
              <w:pStyle w:val="SingleTxtG"/>
              <w:ind w:left="0" w:right="0"/>
              <w:jc w:val="left"/>
              <w:rPr>
                <w:i/>
              </w:rPr>
            </w:pPr>
            <w:r w:rsidRPr="00656BF1">
              <w:rPr>
                <w:i/>
                <w:lang w:val="es-ES"/>
              </w:rPr>
              <w:t xml:space="preserve">Comunicación </w:t>
            </w:r>
            <w:r>
              <w:rPr>
                <w:i/>
              </w:rPr>
              <w:t>presentada por:</w:t>
            </w:r>
          </w:p>
        </w:tc>
        <w:tc>
          <w:tcPr>
            <w:tcW w:w="4096" w:type="dxa"/>
          </w:tcPr>
          <w:p w:rsidR="00656BF1" w:rsidRPr="00567DE8" w:rsidRDefault="00656BF1" w:rsidP="00656BF1">
            <w:pPr>
              <w:pStyle w:val="SingleTxtG"/>
              <w:ind w:left="0" w:right="0"/>
              <w:jc w:val="left"/>
              <w:rPr>
                <w:lang w:val="es-ES"/>
              </w:rPr>
            </w:pPr>
            <w:r w:rsidRPr="00656BF1">
              <w:rPr>
                <w:lang w:val="es-ES"/>
              </w:rPr>
              <w:t>Baltasar Salvador Martínez Fernández (representado por el abogado José Ángel Gallegos Gómez)</w:t>
            </w:r>
          </w:p>
        </w:tc>
      </w:tr>
      <w:tr w:rsidR="00656BF1" w:rsidTr="00567DE8">
        <w:tc>
          <w:tcPr>
            <w:tcW w:w="2709" w:type="dxa"/>
          </w:tcPr>
          <w:p w:rsidR="00656BF1" w:rsidRDefault="00656BF1">
            <w:pPr>
              <w:pStyle w:val="SingleTxtG"/>
              <w:ind w:left="0" w:right="0"/>
              <w:jc w:val="left"/>
              <w:rPr>
                <w:i/>
              </w:rPr>
            </w:pPr>
            <w:r>
              <w:rPr>
                <w:i/>
              </w:rPr>
              <w:t>Presunta víctima:</w:t>
            </w:r>
          </w:p>
        </w:tc>
        <w:tc>
          <w:tcPr>
            <w:tcW w:w="4096" w:type="dxa"/>
          </w:tcPr>
          <w:p w:rsidR="00656BF1" w:rsidRDefault="00656BF1" w:rsidP="00656BF1">
            <w:pPr>
              <w:pStyle w:val="SingleTxtG"/>
              <w:ind w:left="0" w:right="0"/>
              <w:jc w:val="left"/>
            </w:pPr>
            <w:r w:rsidRPr="00656BF1">
              <w:rPr>
                <w:lang w:val="es-ES"/>
              </w:rPr>
              <w:t>El autor</w:t>
            </w:r>
          </w:p>
        </w:tc>
      </w:tr>
      <w:tr w:rsidR="00656BF1" w:rsidTr="00567DE8">
        <w:tc>
          <w:tcPr>
            <w:tcW w:w="2709" w:type="dxa"/>
          </w:tcPr>
          <w:p w:rsidR="00656BF1" w:rsidRDefault="00656BF1">
            <w:pPr>
              <w:pStyle w:val="SingleTxtG"/>
              <w:ind w:left="0" w:right="0"/>
              <w:jc w:val="left"/>
              <w:rPr>
                <w:i/>
              </w:rPr>
            </w:pPr>
            <w:r>
              <w:rPr>
                <w:i/>
              </w:rPr>
              <w:t>Estado parte:</w:t>
            </w:r>
          </w:p>
        </w:tc>
        <w:tc>
          <w:tcPr>
            <w:tcW w:w="4096" w:type="dxa"/>
          </w:tcPr>
          <w:p w:rsidR="00656BF1" w:rsidRDefault="00656BF1" w:rsidP="00656BF1">
            <w:pPr>
              <w:pStyle w:val="SingleTxtG"/>
              <w:ind w:left="0" w:right="0"/>
              <w:jc w:val="left"/>
            </w:pPr>
            <w:r w:rsidRPr="00656BF1">
              <w:rPr>
                <w:lang w:val="es-ES"/>
              </w:rPr>
              <w:t>España</w:t>
            </w:r>
          </w:p>
        </w:tc>
      </w:tr>
      <w:tr w:rsidR="00656BF1" w:rsidTr="00567DE8">
        <w:tc>
          <w:tcPr>
            <w:tcW w:w="2709" w:type="dxa"/>
          </w:tcPr>
          <w:p w:rsidR="00656BF1" w:rsidRDefault="00656BF1">
            <w:pPr>
              <w:pStyle w:val="SingleTxtG"/>
              <w:ind w:left="0" w:right="0"/>
              <w:jc w:val="left"/>
              <w:rPr>
                <w:i/>
              </w:rPr>
            </w:pPr>
            <w:r>
              <w:rPr>
                <w:i/>
              </w:rPr>
              <w:t>Fecha de la comunicación:</w:t>
            </w:r>
          </w:p>
        </w:tc>
        <w:tc>
          <w:tcPr>
            <w:tcW w:w="4096" w:type="dxa"/>
          </w:tcPr>
          <w:p w:rsidR="00656BF1" w:rsidRDefault="00656BF1" w:rsidP="00656BF1">
            <w:pPr>
              <w:pStyle w:val="SingleTxtG"/>
              <w:ind w:left="0" w:right="0"/>
              <w:jc w:val="left"/>
            </w:pPr>
            <w:r w:rsidRPr="00656BF1">
              <w:rPr>
                <w:lang w:val="es-CO"/>
              </w:rPr>
              <w:t>16</w:t>
            </w:r>
            <w:r w:rsidRPr="00656BF1">
              <w:rPr>
                <w:i/>
                <w:lang w:val="es-ES"/>
              </w:rPr>
              <w:t xml:space="preserve"> </w:t>
            </w:r>
            <w:r w:rsidRPr="00656BF1">
              <w:rPr>
                <w:iCs/>
                <w:lang w:val="es-ES"/>
              </w:rPr>
              <w:t>de</w:t>
            </w:r>
            <w:r w:rsidRPr="00656BF1">
              <w:rPr>
                <w:i/>
                <w:lang w:val="es-ES"/>
              </w:rPr>
              <w:t xml:space="preserve"> </w:t>
            </w:r>
            <w:r w:rsidRPr="00656BF1">
              <w:rPr>
                <w:lang w:val="es-CO"/>
              </w:rPr>
              <w:t>noviembre</w:t>
            </w:r>
            <w:r w:rsidRPr="00656BF1">
              <w:rPr>
                <w:i/>
                <w:lang w:val="es-ES"/>
              </w:rPr>
              <w:t xml:space="preserve"> </w:t>
            </w:r>
            <w:r w:rsidRPr="00656BF1">
              <w:rPr>
                <w:iCs/>
                <w:lang w:val="es-ES"/>
              </w:rPr>
              <w:t>de</w:t>
            </w:r>
            <w:r w:rsidRPr="00656BF1">
              <w:rPr>
                <w:i/>
                <w:lang w:val="es-ES"/>
              </w:rPr>
              <w:t xml:space="preserve"> </w:t>
            </w:r>
            <w:r w:rsidRPr="00656BF1">
              <w:rPr>
                <w:lang w:val="es-CO"/>
              </w:rPr>
              <w:t>2016</w:t>
            </w:r>
          </w:p>
        </w:tc>
      </w:tr>
      <w:tr w:rsidR="00656BF1" w:rsidTr="00567DE8">
        <w:tc>
          <w:tcPr>
            <w:tcW w:w="2709" w:type="dxa"/>
          </w:tcPr>
          <w:p w:rsidR="00656BF1" w:rsidRPr="00567DE8" w:rsidRDefault="00656BF1" w:rsidP="00656BF1">
            <w:pPr>
              <w:pStyle w:val="SingleTxtG"/>
              <w:ind w:left="0" w:right="0"/>
              <w:jc w:val="left"/>
              <w:rPr>
                <w:i/>
                <w:lang w:val="es-ES"/>
              </w:rPr>
            </w:pPr>
            <w:r w:rsidRPr="00567DE8">
              <w:rPr>
                <w:i/>
                <w:lang w:val="es-ES"/>
              </w:rPr>
              <w:t>Fecha de adopción</w:t>
            </w:r>
            <w:r w:rsidRPr="00567DE8">
              <w:rPr>
                <w:i/>
                <w:lang w:val="es-ES"/>
              </w:rPr>
              <w:br/>
            </w:r>
            <w:r w:rsidRPr="00656BF1">
              <w:rPr>
                <w:i/>
                <w:lang w:val="es-ES"/>
              </w:rPr>
              <w:t>del dictamen</w:t>
            </w:r>
            <w:r w:rsidRPr="00567DE8">
              <w:rPr>
                <w:i/>
                <w:lang w:val="es-ES"/>
              </w:rPr>
              <w:t>:</w:t>
            </w:r>
          </w:p>
        </w:tc>
        <w:tc>
          <w:tcPr>
            <w:tcW w:w="4096" w:type="dxa"/>
            <w:vAlign w:val="bottom"/>
          </w:tcPr>
          <w:p w:rsidR="00656BF1" w:rsidRPr="00567DE8" w:rsidRDefault="00656BF1" w:rsidP="00656BF1">
            <w:pPr>
              <w:pStyle w:val="SingleTxtG"/>
              <w:ind w:left="0" w:right="0"/>
              <w:jc w:val="left"/>
              <w:rPr>
                <w:lang w:val="es-ES"/>
              </w:rPr>
            </w:pPr>
            <w:r w:rsidRPr="00656BF1">
              <w:rPr>
                <w:lang w:val="es-ES"/>
              </w:rPr>
              <w:t>8 de octubre de 2018</w:t>
            </w:r>
          </w:p>
        </w:tc>
      </w:tr>
      <w:tr w:rsidR="00656BF1" w:rsidTr="00567DE8">
        <w:tc>
          <w:tcPr>
            <w:tcW w:w="2709" w:type="dxa"/>
          </w:tcPr>
          <w:p w:rsidR="00656BF1" w:rsidRDefault="00656BF1">
            <w:pPr>
              <w:pStyle w:val="SingleTxtG"/>
              <w:ind w:left="0" w:right="0"/>
              <w:jc w:val="left"/>
              <w:rPr>
                <w:i/>
              </w:rPr>
            </w:pPr>
            <w:r>
              <w:rPr>
                <w:i/>
              </w:rPr>
              <w:t>Asunto:</w:t>
            </w:r>
          </w:p>
        </w:tc>
        <w:tc>
          <w:tcPr>
            <w:tcW w:w="4096" w:type="dxa"/>
            <w:vAlign w:val="bottom"/>
          </w:tcPr>
          <w:p w:rsidR="00656BF1" w:rsidRPr="00567DE8" w:rsidRDefault="00656BF1" w:rsidP="00656BF1">
            <w:pPr>
              <w:pStyle w:val="SingleTxtG"/>
              <w:ind w:left="0" w:right="0"/>
              <w:jc w:val="left"/>
              <w:rPr>
                <w:lang w:val="es-ES"/>
              </w:rPr>
            </w:pPr>
            <w:r w:rsidRPr="00656BF1">
              <w:rPr>
                <w:lang w:val="es-CO"/>
              </w:rPr>
              <w:t>Desalojo de</w:t>
            </w:r>
            <w:r w:rsidRPr="00656BF1">
              <w:rPr>
                <w:i/>
                <w:lang w:val="es-ES"/>
              </w:rPr>
              <w:t xml:space="preserve"> </w:t>
            </w:r>
            <w:r w:rsidRPr="00656BF1">
              <w:rPr>
                <w:lang w:val="es-CO"/>
              </w:rPr>
              <w:t>una</w:t>
            </w:r>
            <w:r w:rsidRPr="00656BF1">
              <w:rPr>
                <w:i/>
                <w:lang w:val="es-ES"/>
              </w:rPr>
              <w:t xml:space="preserve"> </w:t>
            </w:r>
            <w:r w:rsidRPr="00656BF1">
              <w:rPr>
                <w:lang w:val="es-CO"/>
              </w:rPr>
              <w:t>vivienda</w:t>
            </w:r>
            <w:r w:rsidRPr="00656BF1">
              <w:rPr>
                <w:i/>
                <w:lang w:val="es-ES"/>
              </w:rPr>
              <w:t xml:space="preserve"> </w:t>
            </w:r>
            <w:r w:rsidRPr="00656BF1">
              <w:rPr>
                <w:lang w:val="es-CO"/>
              </w:rPr>
              <w:t>ocupada</w:t>
            </w:r>
            <w:r w:rsidRPr="00656BF1">
              <w:rPr>
                <w:i/>
                <w:lang w:val="es-ES"/>
              </w:rPr>
              <w:t xml:space="preserve"> </w:t>
            </w:r>
            <w:r w:rsidRPr="00656BF1">
              <w:rPr>
                <w:lang w:val="es-CO"/>
              </w:rPr>
              <w:t>sin</w:t>
            </w:r>
            <w:r w:rsidRPr="00656BF1">
              <w:rPr>
                <w:i/>
                <w:lang w:val="es-ES"/>
              </w:rPr>
              <w:t xml:space="preserve"> </w:t>
            </w:r>
            <w:r w:rsidRPr="00656BF1">
              <w:rPr>
                <w:lang w:val="es-CO"/>
              </w:rPr>
              <w:t>título</w:t>
            </w:r>
            <w:r w:rsidRPr="00656BF1">
              <w:rPr>
                <w:i/>
                <w:lang w:val="es-ES"/>
              </w:rPr>
              <w:t xml:space="preserve"> </w:t>
            </w:r>
            <w:r w:rsidRPr="00656BF1">
              <w:rPr>
                <w:lang w:val="es-CO"/>
              </w:rPr>
              <w:t>legal</w:t>
            </w:r>
          </w:p>
        </w:tc>
      </w:tr>
      <w:tr w:rsidR="00656BF1" w:rsidTr="00567DE8">
        <w:tc>
          <w:tcPr>
            <w:tcW w:w="2709" w:type="dxa"/>
          </w:tcPr>
          <w:p w:rsidR="00656BF1" w:rsidRDefault="00656BF1">
            <w:pPr>
              <w:pStyle w:val="SingleTxtG"/>
              <w:ind w:left="0" w:right="0"/>
              <w:jc w:val="left"/>
              <w:rPr>
                <w:i/>
              </w:rPr>
            </w:pPr>
            <w:r>
              <w:rPr>
                <w:i/>
              </w:rPr>
              <w:t>Cuestiones de procedimiento:</w:t>
            </w:r>
          </w:p>
        </w:tc>
        <w:tc>
          <w:tcPr>
            <w:tcW w:w="4096" w:type="dxa"/>
            <w:vAlign w:val="bottom"/>
          </w:tcPr>
          <w:p w:rsidR="00656BF1" w:rsidRPr="00567DE8" w:rsidRDefault="00656BF1" w:rsidP="00656BF1">
            <w:pPr>
              <w:pStyle w:val="SingleTxtG"/>
              <w:ind w:left="0" w:right="0"/>
              <w:jc w:val="left"/>
              <w:rPr>
                <w:lang w:val="es-ES"/>
              </w:rPr>
            </w:pPr>
            <w:r w:rsidRPr="00656BF1">
              <w:rPr>
                <w:lang w:val="es-CO"/>
              </w:rPr>
              <w:t>Condición de víctima; agotamiento de los recursos internos; insuficiente fundamentación de las alegaciones</w:t>
            </w:r>
          </w:p>
        </w:tc>
      </w:tr>
      <w:tr w:rsidR="00656BF1" w:rsidTr="00567DE8">
        <w:tc>
          <w:tcPr>
            <w:tcW w:w="2709" w:type="dxa"/>
          </w:tcPr>
          <w:p w:rsidR="00656BF1" w:rsidRDefault="00656BF1">
            <w:pPr>
              <w:pStyle w:val="SingleTxtG"/>
              <w:ind w:left="0" w:right="0"/>
              <w:jc w:val="left"/>
              <w:rPr>
                <w:i/>
              </w:rPr>
            </w:pPr>
            <w:r>
              <w:rPr>
                <w:i/>
              </w:rPr>
              <w:t>Cuestiones de fondo:</w:t>
            </w:r>
          </w:p>
        </w:tc>
        <w:tc>
          <w:tcPr>
            <w:tcW w:w="4096" w:type="dxa"/>
            <w:vAlign w:val="bottom"/>
          </w:tcPr>
          <w:p w:rsidR="00656BF1" w:rsidRPr="00567DE8" w:rsidRDefault="00656BF1" w:rsidP="00656BF1">
            <w:pPr>
              <w:pStyle w:val="SingleTxtG"/>
              <w:ind w:left="0" w:right="0"/>
              <w:jc w:val="left"/>
              <w:rPr>
                <w:lang w:val="es-ES"/>
              </w:rPr>
            </w:pPr>
            <w:r w:rsidRPr="00656BF1">
              <w:rPr>
                <w:lang w:val="es-CO"/>
              </w:rPr>
              <w:t>Derecho a una vivienda adecuada</w:t>
            </w:r>
          </w:p>
        </w:tc>
      </w:tr>
      <w:tr w:rsidR="00656BF1" w:rsidTr="00567DE8">
        <w:tc>
          <w:tcPr>
            <w:tcW w:w="2709" w:type="dxa"/>
          </w:tcPr>
          <w:p w:rsidR="00656BF1" w:rsidRDefault="00656BF1" w:rsidP="00567DE8">
            <w:pPr>
              <w:pStyle w:val="SingleTxtG"/>
              <w:ind w:left="0" w:right="0"/>
              <w:jc w:val="left"/>
              <w:rPr>
                <w:i/>
              </w:rPr>
            </w:pPr>
            <w:r>
              <w:rPr>
                <w:i/>
              </w:rPr>
              <w:t>Artículo del Pacto:</w:t>
            </w:r>
          </w:p>
        </w:tc>
        <w:tc>
          <w:tcPr>
            <w:tcW w:w="4096" w:type="dxa"/>
            <w:vAlign w:val="bottom"/>
          </w:tcPr>
          <w:p w:rsidR="00656BF1" w:rsidRDefault="00656BF1" w:rsidP="00656BF1">
            <w:pPr>
              <w:pStyle w:val="SingleTxtG"/>
              <w:ind w:left="0" w:right="0"/>
              <w:jc w:val="left"/>
            </w:pPr>
            <w:r w:rsidRPr="00656BF1">
              <w:rPr>
                <w:lang w:val="es-CO"/>
              </w:rPr>
              <w:t>11</w:t>
            </w:r>
          </w:p>
        </w:tc>
      </w:tr>
      <w:tr w:rsidR="00656BF1" w:rsidTr="00567DE8">
        <w:tc>
          <w:tcPr>
            <w:tcW w:w="2709" w:type="dxa"/>
          </w:tcPr>
          <w:p w:rsidR="00656BF1" w:rsidRDefault="00656BF1">
            <w:pPr>
              <w:pStyle w:val="SingleTxtG"/>
              <w:ind w:left="0" w:right="0"/>
              <w:jc w:val="left"/>
              <w:rPr>
                <w:i/>
              </w:rPr>
            </w:pPr>
            <w:r>
              <w:rPr>
                <w:i/>
              </w:rPr>
              <w:t>Artículos del Protocolo</w:t>
            </w:r>
            <w:r>
              <w:rPr>
                <w:i/>
              </w:rPr>
              <w:br/>
              <w:t>Facultativo:</w:t>
            </w:r>
          </w:p>
        </w:tc>
        <w:tc>
          <w:tcPr>
            <w:tcW w:w="4096" w:type="dxa"/>
            <w:vAlign w:val="bottom"/>
          </w:tcPr>
          <w:p w:rsidR="00656BF1" w:rsidRPr="00567DE8" w:rsidRDefault="00656BF1" w:rsidP="00567DE8">
            <w:pPr>
              <w:pStyle w:val="SingleTxtG"/>
              <w:ind w:left="0" w:right="0"/>
              <w:jc w:val="left"/>
              <w:rPr>
                <w:lang w:val="es-ES"/>
              </w:rPr>
            </w:pPr>
            <w:r w:rsidRPr="00656BF1">
              <w:rPr>
                <w:lang w:val="es-CO"/>
              </w:rPr>
              <w:t>2 y 3, párrs.</w:t>
            </w:r>
            <w:r>
              <w:rPr>
                <w:lang w:val="es-CO"/>
              </w:rPr>
              <w:t> </w:t>
            </w:r>
            <w:r w:rsidRPr="00656BF1">
              <w:rPr>
                <w:lang w:val="es-CO"/>
              </w:rPr>
              <w:t>1 y 2, apdos. a), b) y e)</w:t>
            </w:r>
          </w:p>
        </w:tc>
      </w:tr>
    </w:tbl>
    <w:p w:rsidR="0082771C" w:rsidRDefault="0082771C" w:rsidP="00567DE8">
      <w:pPr>
        <w:pStyle w:val="SingleTxtG"/>
        <w:spacing w:before="120"/>
      </w:pPr>
      <w:r w:rsidRPr="0082771C">
        <w:t>1.</w:t>
      </w:r>
      <w:r w:rsidR="008350E3">
        <w:t>1</w:t>
      </w:r>
      <w:r w:rsidRPr="0082771C">
        <w:tab/>
      </w:r>
      <w:r w:rsidR="002754E0">
        <w:t>El autor</w:t>
      </w:r>
      <w:r w:rsidRPr="0082771C">
        <w:t xml:space="preserve"> de la comunicación</w:t>
      </w:r>
      <w:r w:rsidR="00EE6EA4">
        <w:t xml:space="preserve"> </w:t>
      </w:r>
      <w:r w:rsidR="002754E0">
        <w:t>es</w:t>
      </w:r>
      <w:r>
        <w:t xml:space="preserve"> Baltasar Salvador Martínez </w:t>
      </w:r>
      <w:r w:rsidRPr="0089109F">
        <w:rPr>
          <w:lang w:val="es-CO"/>
        </w:rPr>
        <w:t>Fernández</w:t>
      </w:r>
      <w:r w:rsidR="00E3497B" w:rsidRPr="00567DE8">
        <w:rPr>
          <w:rStyle w:val="Refdenotaalpie"/>
          <w:szCs w:val="18"/>
        </w:rPr>
        <w:footnoteReference w:id="2"/>
      </w:r>
      <w:r w:rsidR="00EE6EA4">
        <w:t>,</w:t>
      </w:r>
      <w:r>
        <w:t xml:space="preserve"> de nacionalidad española. </w:t>
      </w:r>
      <w:r w:rsidR="002754E0">
        <w:t>El autor sostiene que fue</w:t>
      </w:r>
      <w:r w:rsidR="00BB79CA">
        <w:t xml:space="preserve"> </w:t>
      </w:r>
      <w:r w:rsidR="002754E0">
        <w:t>víctima</w:t>
      </w:r>
      <w:r w:rsidR="00BB79CA">
        <w:t xml:space="preserve"> de una </w:t>
      </w:r>
      <w:r w:rsidRPr="0082771C">
        <w:t>v</w:t>
      </w:r>
      <w:r w:rsidR="00B53D12">
        <w:t>i</w:t>
      </w:r>
      <w:r w:rsidRPr="0082771C">
        <w:t>olaci</w:t>
      </w:r>
      <w:r w:rsidR="002754E0">
        <w:t>ón de los derechos que le asiste</w:t>
      </w:r>
      <w:r w:rsidR="00B53D12">
        <w:t>n</w:t>
      </w:r>
      <w:r>
        <w:t xml:space="preserve"> en virtud del </w:t>
      </w:r>
      <w:r w:rsidR="00656BF1">
        <w:t>artículo </w:t>
      </w:r>
      <w:r>
        <w:t xml:space="preserve">11 del Pacto </w:t>
      </w:r>
      <w:r w:rsidRPr="00EC58FE">
        <w:t>por el Estado parte</w:t>
      </w:r>
      <w:r>
        <w:t>.</w:t>
      </w:r>
      <w:r w:rsidR="006E4B97">
        <w:t xml:space="preserve"> El Protocolo Facultativo entró en vigor para España el 5 de mayo de 2013. </w:t>
      </w:r>
      <w:r w:rsidR="002754E0">
        <w:t>El autor está representado</w:t>
      </w:r>
      <w:r w:rsidR="006E4B97">
        <w:t xml:space="preserve"> por abogado. </w:t>
      </w:r>
    </w:p>
    <w:p w:rsidR="008350E3" w:rsidRDefault="008350E3" w:rsidP="0082771C">
      <w:pPr>
        <w:pStyle w:val="SingleTxtG"/>
      </w:pPr>
      <w:r w:rsidRPr="008350E3">
        <w:t>1.2</w:t>
      </w:r>
      <w:r w:rsidRPr="008350E3">
        <w:tab/>
        <w:t>En el presente dictamen el Comité resume en primer lugar la información y los alegatos presentados por las partes, sin reflejar las opiniones del Comité</w:t>
      </w:r>
      <w:r w:rsidR="00F707C9">
        <w:t>,</w:t>
      </w:r>
      <w:r w:rsidRPr="008350E3">
        <w:t xml:space="preserve"> y seguidamente examina las cuestiones de admisibilidad.</w:t>
      </w:r>
    </w:p>
    <w:p w:rsidR="00BD1C50" w:rsidRPr="0089109F" w:rsidRDefault="00C14903" w:rsidP="00C14903">
      <w:pPr>
        <w:pStyle w:val="H1G"/>
        <w:rPr>
          <w:lang w:val="es-CO"/>
        </w:rPr>
      </w:pPr>
      <w:r w:rsidRPr="0089109F">
        <w:rPr>
          <w:lang w:val="es-CO"/>
        </w:rPr>
        <w:lastRenderedPageBreak/>
        <w:tab/>
      </w:r>
      <w:r w:rsidR="00B201C1" w:rsidRPr="0089109F">
        <w:rPr>
          <w:lang w:val="es-CO"/>
        </w:rPr>
        <w:t>A.</w:t>
      </w:r>
      <w:r w:rsidR="00B201C1" w:rsidRPr="0089109F">
        <w:rPr>
          <w:lang w:val="es-CO"/>
        </w:rPr>
        <w:tab/>
        <w:t>Resumen de la información y alegatos de las partes</w:t>
      </w:r>
    </w:p>
    <w:p w:rsidR="00BD1C50" w:rsidRPr="00105BD0" w:rsidRDefault="00BD1C50" w:rsidP="00C14903">
      <w:pPr>
        <w:pStyle w:val="H23G"/>
      </w:pPr>
      <w:r w:rsidRPr="00EC58FE">
        <w:tab/>
      </w:r>
      <w:r w:rsidRPr="00EC58FE">
        <w:tab/>
      </w:r>
      <w:r w:rsidRPr="0089109F">
        <w:rPr>
          <w:lang w:val="es-CO"/>
        </w:rPr>
        <w:t>Los</w:t>
      </w:r>
      <w:r w:rsidRPr="00105BD0">
        <w:t xml:space="preserve"> hechos </w:t>
      </w:r>
      <w:r w:rsidRPr="00C070DF">
        <w:t>expuestos</w:t>
      </w:r>
      <w:r w:rsidRPr="00105BD0">
        <w:t xml:space="preserve"> por </w:t>
      </w:r>
      <w:r w:rsidR="00487F02">
        <w:t>el autor</w:t>
      </w:r>
    </w:p>
    <w:p w:rsidR="0020773D" w:rsidRPr="008E4D11" w:rsidRDefault="0020773D" w:rsidP="00567DE8">
      <w:pPr>
        <w:pStyle w:val="SingleTxtG"/>
        <w:numPr>
          <w:ilvl w:val="0"/>
          <w:numId w:val="24"/>
        </w:numPr>
        <w:ind w:left="1134" w:firstLine="0"/>
      </w:pPr>
      <w:r w:rsidRPr="0020773D">
        <w:t>G.G. contrató un préstamo hipotecario con un banco privado (Banco Popular Español SA) con el objetivo de comprar un bien inmueble</w:t>
      </w:r>
      <w:r w:rsidR="003E3A03">
        <w:t xml:space="preserve"> que constituyera su lugar de residencia.</w:t>
      </w:r>
    </w:p>
    <w:p w:rsidR="0020773D" w:rsidRPr="00CE7D09" w:rsidRDefault="0020773D" w:rsidP="00567DE8">
      <w:pPr>
        <w:pStyle w:val="SingleTxtG"/>
        <w:numPr>
          <w:ilvl w:val="0"/>
          <w:numId w:val="24"/>
        </w:numPr>
        <w:ind w:left="1134" w:firstLine="0"/>
      </w:pPr>
      <w:r w:rsidRPr="00C26905">
        <w:t xml:space="preserve">El 8 de octubre de 2007, la compañía inmobiliaria Proyectos de Desarrollos Activos SL, que se había fusionado con el banco, inició una ejecución hipotecaria ante el Juzgado </w:t>
      </w:r>
      <w:r>
        <w:t xml:space="preserve">de </w:t>
      </w:r>
      <w:r w:rsidR="00B133BF">
        <w:t>P</w:t>
      </w:r>
      <w:r>
        <w:t xml:space="preserve">rimera </w:t>
      </w:r>
      <w:r w:rsidR="00B133BF">
        <w:t>I</w:t>
      </w:r>
      <w:r>
        <w:t xml:space="preserve">nstancia </w:t>
      </w:r>
      <w:r w:rsidR="00F707C9">
        <w:t xml:space="preserve">núm. </w:t>
      </w:r>
      <w:r w:rsidRPr="00C26905">
        <w:t>43 de Barcelona</w:t>
      </w:r>
      <w:r>
        <w:t xml:space="preserve">. El 11 de octubre de 2007, el Juzgado admitió la solicitud de ejecución hipotecaria y se practicaron las diligencias de requerimiento de pago. </w:t>
      </w:r>
      <w:r w:rsidRPr="0020773D">
        <w:t>Por decreto de 1 de octubre de 2013, el Juzgado adjudicó la propiedad del bien inmueble a la compañía Proyect</w:t>
      </w:r>
      <w:r w:rsidRPr="00CE7D09">
        <w:t xml:space="preserve">os de Desarrollos Activos SL por </w:t>
      </w:r>
      <w:r w:rsidR="00F707C9">
        <w:t xml:space="preserve">el </w:t>
      </w:r>
      <w:r w:rsidRPr="00CE7D09">
        <w:t xml:space="preserve">precio de 178.500 </w:t>
      </w:r>
      <w:r w:rsidR="00F707C9">
        <w:t>euros</w:t>
      </w:r>
      <w:r w:rsidRPr="00CE7D09">
        <w:t>.</w:t>
      </w:r>
    </w:p>
    <w:p w:rsidR="0020773D" w:rsidRPr="0020773D" w:rsidRDefault="0020773D" w:rsidP="00567DE8">
      <w:pPr>
        <w:pStyle w:val="SingleTxtG"/>
        <w:numPr>
          <w:ilvl w:val="0"/>
          <w:numId w:val="24"/>
        </w:numPr>
        <w:ind w:left="1134" w:firstLine="0"/>
      </w:pPr>
      <w:r w:rsidRPr="00985F04">
        <w:t>El 1 de julio de 2014, tras un intent</w:t>
      </w:r>
      <w:r>
        <w:t>o</w:t>
      </w:r>
      <w:r w:rsidRPr="00985F04">
        <w:t xml:space="preserve"> fallido de </w:t>
      </w:r>
      <w:r w:rsidR="00D661B1">
        <w:t xml:space="preserve">desalojar </w:t>
      </w:r>
      <w:r w:rsidRPr="00985F04">
        <w:t xml:space="preserve">a los ocupantes del bien inmueble, el </w:t>
      </w:r>
      <w:r>
        <w:t>Juzgado n</w:t>
      </w:r>
      <w:r w:rsidR="00D661B1">
        <w:t>úm.</w:t>
      </w:r>
      <w:r>
        <w:t xml:space="preserve"> 43 ordenó </w:t>
      </w:r>
      <w:r w:rsidR="00937BE0">
        <w:t xml:space="preserve">que </w:t>
      </w:r>
      <w:r>
        <w:t xml:space="preserve">se practicara nuevamente la diligencia de lanzamiento de las personas </w:t>
      </w:r>
      <w:r w:rsidR="00D661B1">
        <w:t xml:space="preserve">que </w:t>
      </w:r>
      <w:r>
        <w:t>ocupa</w:t>
      </w:r>
      <w:r w:rsidR="00D661B1">
        <w:t>ba</w:t>
      </w:r>
      <w:r>
        <w:t xml:space="preserve">n el inmueble. </w:t>
      </w:r>
      <w:r w:rsidRPr="0020773D">
        <w:t xml:space="preserve">El 24 de julio de 2014, tras dos intentos frustrados, las fuerzas de seguridad </w:t>
      </w:r>
      <w:r w:rsidR="00D661B1">
        <w:t xml:space="preserve">desalojaron </w:t>
      </w:r>
      <w:r w:rsidRPr="0020773D">
        <w:t xml:space="preserve">a </w:t>
      </w:r>
      <w:r>
        <w:t>G.G.</w:t>
      </w:r>
      <w:r w:rsidRPr="0020773D">
        <w:t xml:space="preserve"> </w:t>
      </w:r>
      <w:r w:rsidR="00D661B1">
        <w:t xml:space="preserve">junto con </w:t>
      </w:r>
      <w:r w:rsidRPr="0020773D">
        <w:t>su hija.</w:t>
      </w:r>
    </w:p>
    <w:p w:rsidR="00C14903" w:rsidRDefault="00B51BA6" w:rsidP="00567DE8">
      <w:pPr>
        <w:pStyle w:val="SingleTxtG"/>
        <w:numPr>
          <w:ilvl w:val="0"/>
          <w:numId w:val="24"/>
        </w:numPr>
        <w:ind w:left="1134" w:firstLine="0"/>
      </w:pPr>
      <w:r w:rsidRPr="00C91666">
        <w:t xml:space="preserve">El 1 de agosto de 2014, el </w:t>
      </w:r>
      <w:r w:rsidR="000D0425">
        <w:t>autor ocupó</w:t>
      </w:r>
      <w:r w:rsidR="002754E0">
        <w:t>,</w:t>
      </w:r>
      <w:r w:rsidR="000D0425">
        <w:t xml:space="preserve"> </w:t>
      </w:r>
      <w:r w:rsidR="002754E0" w:rsidRPr="00C91666">
        <w:t>sin título legal o autorizaci</w:t>
      </w:r>
      <w:r w:rsidR="002754E0">
        <w:t xml:space="preserve">ón, </w:t>
      </w:r>
      <w:r w:rsidR="008E4D11">
        <w:t xml:space="preserve">la </w:t>
      </w:r>
      <w:r w:rsidR="000D0425">
        <w:t xml:space="preserve">vivienda </w:t>
      </w:r>
      <w:r w:rsidR="00507E8E">
        <w:t>de la que</w:t>
      </w:r>
      <w:r w:rsidR="000D0425">
        <w:t xml:space="preserve"> </w:t>
      </w:r>
      <w:r w:rsidR="00011615">
        <w:t>su exsuegra</w:t>
      </w:r>
      <w:r w:rsidR="000D0425">
        <w:t xml:space="preserve">, </w:t>
      </w:r>
      <w:r w:rsidR="00C52761">
        <w:t>G.G.</w:t>
      </w:r>
      <w:r w:rsidR="000D0425">
        <w:t>,</w:t>
      </w:r>
      <w:r w:rsidR="00507E8E">
        <w:t xml:space="preserve"> había sido desa</w:t>
      </w:r>
      <w:r w:rsidR="00F66E66">
        <w:t xml:space="preserve">lojada </w:t>
      </w:r>
      <w:r w:rsidR="000D0425">
        <w:t>por impago de hipoteca</w:t>
      </w:r>
      <w:r w:rsidR="00C91666">
        <w:t>.</w:t>
      </w:r>
    </w:p>
    <w:p w:rsidR="003F45A6" w:rsidRPr="003F45A6" w:rsidRDefault="003F45A6" w:rsidP="00567DE8">
      <w:pPr>
        <w:pStyle w:val="SingleTxtG"/>
        <w:numPr>
          <w:ilvl w:val="0"/>
          <w:numId w:val="24"/>
        </w:numPr>
        <w:ind w:left="1134" w:hanging="11"/>
      </w:pPr>
      <w:r w:rsidRPr="003F45A6">
        <w:t>El 19 de abril de 2016, el Juzgado</w:t>
      </w:r>
      <w:r>
        <w:t xml:space="preserve"> de Primera Instancia</w:t>
      </w:r>
      <w:r w:rsidRPr="003F45A6">
        <w:t xml:space="preserve"> </w:t>
      </w:r>
      <w:r w:rsidR="00D661B1">
        <w:t xml:space="preserve">núm. </w:t>
      </w:r>
      <w:r w:rsidRPr="003F45A6">
        <w:t xml:space="preserve">20 de Barcelona </w:t>
      </w:r>
      <w:r w:rsidR="00BA4011">
        <w:t xml:space="preserve">condenó al </w:t>
      </w:r>
      <w:r w:rsidR="000D0425">
        <w:t>autor</w:t>
      </w:r>
      <w:r w:rsidR="00BA4011">
        <w:t xml:space="preserve"> a la pena de multa de tres meses</w:t>
      </w:r>
      <w:r w:rsidR="00B53D12">
        <w:t xml:space="preserve"> por el delito leve de usurpación</w:t>
      </w:r>
      <w:r w:rsidR="00BA4011">
        <w:t>, fijando</w:t>
      </w:r>
      <w:r w:rsidR="008C1A8F">
        <w:t xml:space="preserve"> una cuota diaria de </w:t>
      </w:r>
      <w:r w:rsidR="00D661B1">
        <w:t xml:space="preserve">3 </w:t>
      </w:r>
      <w:r w:rsidR="008C1A8F">
        <w:t>euros</w:t>
      </w:r>
      <w:r w:rsidR="00BA4011">
        <w:t xml:space="preserve"> y </w:t>
      </w:r>
      <w:r w:rsidR="00B53D12">
        <w:t xml:space="preserve">requiriendo </w:t>
      </w:r>
      <w:r w:rsidR="00D661B1">
        <w:t>a</w:t>
      </w:r>
      <w:r w:rsidR="00B53D12">
        <w:t xml:space="preserve">l autor </w:t>
      </w:r>
      <w:r w:rsidR="00BA4011">
        <w:t xml:space="preserve">abandonar el bien inmueble en un plazo máximo de 15 días, bajo apercibimiento de que en caso contrario sería desalojado por las fuerzas de seguridad. El autor recurrió </w:t>
      </w:r>
      <w:r w:rsidR="00B53D12">
        <w:t xml:space="preserve">esta </w:t>
      </w:r>
      <w:r w:rsidR="00BA4011">
        <w:t>decisión ante el Tribunal Provincial de Barcelona</w:t>
      </w:r>
      <w:r w:rsidR="00D661B1">
        <w:t>, que rechazó el recurso e</w:t>
      </w:r>
      <w:r w:rsidR="00BA4011">
        <w:t>l 11 de julio de 2016</w:t>
      </w:r>
      <w:r w:rsidR="00D661B1">
        <w:t>.</w:t>
      </w:r>
    </w:p>
    <w:p w:rsidR="00460691" w:rsidRDefault="00BA4011" w:rsidP="00567DE8">
      <w:pPr>
        <w:pStyle w:val="SingleTxtG"/>
        <w:numPr>
          <w:ilvl w:val="0"/>
          <w:numId w:val="24"/>
        </w:numPr>
        <w:ind w:left="1134" w:firstLine="0"/>
      </w:pPr>
      <w:r w:rsidRPr="00BA4011">
        <w:t xml:space="preserve">Una vez </w:t>
      </w:r>
      <w:r w:rsidR="004D1EC2">
        <w:t xml:space="preserve">que </w:t>
      </w:r>
      <w:r w:rsidRPr="00BA4011">
        <w:t>la decisi</w:t>
      </w:r>
      <w:r>
        <w:t xml:space="preserve">ón </w:t>
      </w:r>
      <w:r w:rsidR="00247747">
        <w:t xml:space="preserve">quedó </w:t>
      </w:r>
      <w:r w:rsidR="009D0475">
        <w:t>firme</w:t>
      </w:r>
      <w:r w:rsidR="00460691">
        <w:t>,</w:t>
      </w:r>
      <w:r w:rsidR="000D0425">
        <w:t xml:space="preserve"> la compañía inmobiliaria</w:t>
      </w:r>
      <w:r w:rsidR="00460691">
        <w:t xml:space="preserve"> Proyectos de Desarrollos Activos SL</w:t>
      </w:r>
      <w:r w:rsidR="000D0425">
        <w:t>, propietaria de la vivienda,</w:t>
      </w:r>
      <w:r w:rsidR="00460691">
        <w:t xml:space="preserve"> solicitó al Juzgado </w:t>
      </w:r>
      <w:r w:rsidR="004D1EC2">
        <w:t xml:space="preserve">núm. </w:t>
      </w:r>
      <w:r w:rsidR="00460691">
        <w:t xml:space="preserve">20 ordenar el lanzamiento del </w:t>
      </w:r>
      <w:r w:rsidR="000D0425">
        <w:t>autor</w:t>
      </w:r>
      <w:r w:rsidR="00460691">
        <w:t xml:space="preserve">. Por solicitud del Juzgado, la policía informó que el bien se encontraba ocupado en ese momento por </w:t>
      </w:r>
      <w:r w:rsidR="00C52761">
        <w:t>G.G.</w:t>
      </w:r>
      <w:r w:rsidR="00460691">
        <w:t xml:space="preserve"> El 24 de octubre de 2016, Proyectos de Desarrollos Activos SL solicitó el lanzamiento </w:t>
      </w:r>
      <w:r w:rsidR="00380EF7">
        <w:t xml:space="preserve">sin más demora </w:t>
      </w:r>
      <w:r w:rsidR="00460691">
        <w:t>de</w:t>
      </w:r>
      <w:r w:rsidR="00B53D12">
        <w:t xml:space="preserve">l autor y de </w:t>
      </w:r>
      <w:r w:rsidR="00C52761">
        <w:t>G.G.</w:t>
      </w:r>
      <w:r w:rsidR="00460691">
        <w:t xml:space="preserve"> </w:t>
      </w:r>
      <w:r w:rsidR="00380EF7">
        <w:t xml:space="preserve">con la asistencia de un grupo antidisturbios de los </w:t>
      </w:r>
      <w:r w:rsidR="00380EF7" w:rsidRPr="00567DE8">
        <w:rPr>
          <w:i/>
          <w:iCs/>
        </w:rPr>
        <w:t>Mossos d’Esquadra</w:t>
      </w:r>
      <w:r w:rsidR="00380EF7">
        <w:t xml:space="preserve"> (fuerzas policiales)</w:t>
      </w:r>
      <w:r w:rsidR="00B53D12">
        <w:t>.</w:t>
      </w:r>
      <w:r w:rsidR="000057C9">
        <w:t xml:space="preserve"> </w:t>
      </w:r>
      <w:r w:rsidR="00B53D12">
        <w:t xml:space="preserve">En esta solicitud, la compañía inmobiliaria alegó </w:t>
      </w:r>
      <w:r w:rsidR="00380EF7">
        <w:t xml:space="preserve">que los autores estaban burlando las decisiones adoptadas por el Juzgado </w:t>
      </w:r>
      <w:r w:rsidR="004D1EC2">
        <w:t xml:space="preserve">núm. </w:t>
      </w:r>
      <w:r w:rsidR="00380EF7">
        <w:t>20</w:t>
      </w:r>
      <w:r w:rsidR="008E00C9">
        <w:t>,</w:t>
      </w:r>
      <w:r w:rsidR="00380EF7">
        <w:t xml:space="preserve"> </w:t>
      </w:r>
      <w:r w:rsidR="004D1EC2">
        <w:t xml:space="preserve">turnándose </w:t>
      </w:r>
      <w:r w:rsidR="00380EF7">
        <w:t xml:space="preserve">para ocupar la vivienda. </w:t>
      </w:r>
    </w:p>
    <w:p w:rsidR="0082771C" w:rsidRPr="00A64970" w:rsidRDefault="00380EF7" w:rsidP="00567DE8">
      <w:pPr>
        <w:pStyle w:val="SingleTxtG"/>
        <w:numPr>
          <w:ilvl w:val="0"/>
          <w:numId w:val="24"/>
        </w:numPr>
        <w:ind w:left="1134" w:firstLine="0"/>
      </w:pPr>
      <w:r w:rsidRPr="00380EF7">
        <w:t>El 7 de noviembre de 2016, el Juzgado n</w:t>
      </w:r>
      <w:r w:rsidR="00292840">
        <w:t>úm.</w:t>
      </w:r>
      <w:r w:rsidRPr="00380EF7">
        <w:t xml:space="preserve"> 20 admitió la solicitud de la compañía inmobiliaria y estableció que, aunque en un principio no se apreciaran indicios para </w:t>
      </w:r>
      <w:r w:rsidR="00F35B24" w:rsidRPr="00380EF7">
        <w:t>imputar</w:t>
      </w:r>
      <w:r w:rsidRPr="00380EF7">
        <w:t xml:space="preserve"> a </w:t>
      </w:r>
      <w:r w:rsidR="00C52761">
        <w:t>G.G.</w:t>
      </w:r>
      <w:r>
        <w:t xml:space="preserve"> de un delito leve de usurpación, </w:t>
      </w:r>
      <w:r w:rsidR="0009716E">
        <w:t xml:space="preserve">el autor y </w:t>
      </w:r>
      <w:r w:rsidR="007D1610">
        <w:t>ella</w:t>
      </w:r>
      <w:r>
        <w:t xml:space="preserve"> se turnaban para la ocupación de la vivienda. </w:t>
      </w:r>
      <w:r w:rsidRPr="00380EF7">
        <w:t>Por tanto, el Juzgado ordenó el lanzamiento de las personas que se encontraran ocupan</w:t>
      </w:r>
      <w:r>
        <w:t xml:space="preserve">do la vivienda salvo que en el momento de </w:t>
      </w:r>
      <w:r w:rsidR="00F35B24">
        <w:t>practicarse</w:t>
      </w:r>
      <w:r>
        <w:t xml:space="preserve"> la diligencia pudieran acreditar un título legal de ocupación</w:t>
      </w:r>
      <w:r w:rsidR="0082771C" w:rsidRPr="00A64970">
        <w:t>.</w:t>
      </w:r>
      <w:r w:rsidR="007D1610">
        <w:t xml:space="preserve"> </w:t>
      </w:r>
    </w:p>
    <w:p w:rsidR="0082771C" w:rsidRDefault="00A64970" w:rsidP="00567DE8">
      <w:pPr>
        <w:pStyle w:val="SingleTxtG"/>
        <w:numPr>
          <w:ilvl w:val="0"/>
          <w:numId w:val="24"/>
        </w:numPr>
        <w:ind w:left="1134" w:firstLine="0"/>
      </w:pPr>
      <w:r w:rsidRPr="00A64970">
        <w:t xml:space="preserve">El 15 de noviembre 2016, </w:t>
      </w:r>
      <w:r w:rsidR="00B40407">
        <w:t>el autor y G.G.</w:t>
      </w:r>
      <w:r w:rsidRPr="00A64970">
        <w:t xml:space="preserve"> </w:t>
      </w:r>
      <w:r w:rsidR="000D0425">
        <w:t>presentaron un recurso de reforma contra</w:t>
      </w:r>
      <w:r>
        <w:t xml:space="preserve"> el auto del Juzgado n</w:t>
      </w:r>
      <w:r w:rsidR="00292840">
        <w:t xml:space="preserve">úm. </w:t>
      </w:r>
      <w:r>
        <w:t>20</w:t>
      </w:r>
      <w:r w:rsidR="001A5D2F">
        <w:t xml:space="preserve">. Dicho recurso no tenía </w:t>
      </w:r>
      <w:r w:rsidR="000D0425">
        <w:t>efecto suspensivo.</w:t>
      </w:r>
      <w:r w:rsidR="007D1610">
        <w:t xml:space="preserve"> Hasta la fecha de la presentación de la comunicación, el lanzamiento no se había llevado a cabo.</w:t>
      </w:r>
    </w:p>
    <w:p w:rsidR="00B40407" w:rsidRPr="00A64970" w:rsidRDefault="00B40407" w:rsidP="00567DE8">
      <w:pPr>
        <w:pStyle w:val="SingleTxtG"/>
        <w:numPr>
          <w:ilvl w:val="0"/>
          <w:numId w:val="24"/>
        </w:numPr>
        <w:ind w:left="1134" w:hanging="11"/>
      </w:pPr>
      <w:r>
        <w:rPr>
          <w:rFonts w:eastAsia="SimSun"/>
          <w:lang w:eastAsia="zh-CN"/>
        </w:rPr>
        <w:t xml:space="preserve">El 13 de enero de 2017, el Juzgado </w:t>
      </w:r>
      <w:r w:rsidR="00292840">
        <w:rPr>
          <w:rFonts w:eastAsia="SimSun"/>
          <w:lang w:eastAsia="zh-CN"/>
        </w:rPr>
        <w:t xml:space="preserve">núm. </w:t>
      </w:r>
      <w:r>
        <w:rPr>
          <w:rFonts w:eastAsia="SimSun"/>
          <w:lang w:eastAsia="zh-CN"/>
        </w:rPr>
        <w:t xml:space="preserve">20 atendió al recurso de reforma y reformó el auto de 7 de noviembre de 2016 por no poder </w:t>
      </w:r>
      <w:r w:rsidR="00292840">
        <w:rPr>
          <w:rFonts w:eastAsia="SimSun"/>
          <w:lang w:eastAsia="zh-CN"/>
        </w:rPr>
        <w:t>e</w:t>
      </w:r>
      <w:r>
        <w:rPr>
          <w:rFonts w:eastAsia="SimSun"/>
          <w:lang w:eastAsia="zh-CN"/>
        </w:rPr>
        <w:t xml:space="preserve">ste ordenar el desalojo de </w:t>
      </w:r>
      <w:r w:rsidR="005B4151">
        <w:rPr>
          <w:rFonts w:eastAsia="SimSun"/>
          <w:lang w:eastAsia="zh-CN"/>
        </w:rPr>
        <w:t>G.G.</w:t>
      </w:r>
      <w:r>
        <w:rPr>
          <w:rFonts w:eastAsia="SimSun"/>
          <w:lang w:eastAsia="zh-CN"/>
        </w:rPr>
        <w:t xml:space="preserve"> sin encontrarse ella personada en la causa.</w:t>
      </w:r>
    </w:p>
    <w:p w:rsidR="000641ED" w:rsidRDefault="001A5D2F" w:rsidP="00567DE8">
      <w:pPr>
        <w:pStyle w:val="SingleTxtG"/>
        <w:numPr>
          <w:ilvl w:val="0"/>
          <w:numId w:val="24"/>
        </w:numPr>
        <w:ind w:left="1134" w:hanging="11"/>
      </w:pPr>
      <w:r>
        <w:t xml:space="preserve">El autor considera que ha agotado todos los recursos </w:t>
      </w:r>
      <w:r w:rsidR="00292840">
        <w:t xml:space="preserve">internos </w:t>
      </w:r>
      <w:r>
        <w:t>disponibles</w:t>
      </w:r>
      <w:r w:rsidR="000D0425">
        <w:t>. En este sentido, alega</w:t>
      </w:r>
      <w:r w:rsidR="00A64970">
        <w:t xml:space="preserve"> que el recurso de amparo ante el Tribunal Constitucional no </w:t>
      </w:r>
      <w:r>
        <w:t>constituye</w:t>
      </w:r>
      <w:r w:rsidR="00A64970">
        <w:t xml:space="preserve"> un remedio efectivo para proteger el derecho a una vivienda </w:t>
      </w:r>
      <w:r w:rsidR="00D76D7E">
        <w:t>adecuada</w:t>
      </w:r>
      <w:r w:rsidR="000D0425">
        <w:t xml:space="preserve">, puesto que </w:t>
      </w:r>
      <w:r w:rsidR="00292840">
        <w:t>e</w:t>
      </w:r>
      <w:r w:rsidR="000D0425">
        <w:t>s</w:t>
      </w:r>
      <w:r w:rsidR="00A64970">
        <w:t>te no es un derecho fundamental protegido por la Constitución del Estado parte.</w:t>
      </w:r>
      <w:r w:rsidR="00D56758">
        <w:t xml:space="preserve"> </w:t>
      </w:r>
    </w:p>
    <w:p w:rsidR="00BD1C50" w:rsidRPr="00EC58FE" w:rsidRDefault="00BD1C50" w:rsidP="00902F52">
      <w:pPr>
        <w:pStyle w:val="H23G"/>
      </w:pPr>
      <w:r w:rsidRPr="006B130A">
        <w:tab/>
      </w:r>
      <w:r w:rsidRPr="006B130A">
        <w:tab/>
      </w:r>
      <w:r w:rsidRPr="00EC58FE">
        <w:t>La denuncia</w:t>
      </w:r>
    </w:p>
    <w:p w:rsidR="00F26069" w:rsidRDefault="0082771C">
      <w:pPr>
        <w:pStyle w:val="SingleTxtG"/>
      </w:pPr>
      <w:r w:rsidRPr="007E1E0D">
        <w:t>3.1</w:t>
      </w:r>
      <w:r w:rsidRPr="007E1E0D">
        <w:tab/>
      </w:r>
      <w:r w:rsidR="008A77EA">
        <w:t>El autor alega</w:t>
      </w:r>
      <w:r w:rsidR="007E1E0D" w:rsidRPr="007E1E0D">
        <w:t xml:space="preserve"> que el Estado parte violó sus derechos protegidos por el artículo 11 del Pacto </w:t>
      </w:r>
      <w:r w:rsidR="00F26069" w:rsidRPr="0089109F">
        <w:rPr>
          <w:lang w:val="es-CO"/>
        </w:rPr>
        <w:t>por</w:t>
      </w:r>
      <w:r w:rsidR="007E1E0D" w:rsidRPr="0089109F">
        <w:rPr>
          <w:lang w:val="es-CO"/>
        </w:rPr>
        <w:t>que</w:t>
      </w:r>
      <w:r w:rsidR="007E1E0D" w:rsidRPr="007E1E0D">
        <w:t xml:space="preserve"> la </w:t>
      </w:r>
      <w:r w:rsidR="00A12D3C" w:rsidRPr="007E1E0D">
        <w:t>decisión</w:t>
      </w:r>
      <w:r w:rsidR="007E1E0D" w:rsidRPr="007E1E0D">
        <w:t xml:space="preserve"> del Juzgado</w:t>
      </w:r>
      <w:r w:rsidR="00FC288D">
        <w:t xml:space="preserve"> n</w:t>
      </w:r>
      <w:r w:rsidR="00614448">
        <w:t xml:space="preserve">úm. </w:t>
      </w:r>
      <w:r w:rsidR="00FC288D">
        <w:t>20</w:t>
      </w:r>
      <w:r w:rsidR="00F26069">
        <w:t xml:space="preserve"> condenándole por usurpación de acuerdo con el artículo 245.2 del Código Penal </w:t>
      </w:r>
      <w:r w:rsidR="008E00C9">
        <w:t xml:space="preserve">está acompañada con una orden de </w:t>
      </w:r>
      <w:r w:rsidR="007E1E0D">
        <w:t>lanzamiento</w:t>
      </w:r>
      <w:r w:rsidR="008E00C9">
        <w:t xml:space="preserve"> que el autor considera como</w:t>
      </w:r>
      <w:r w:rsidR="007E1E0D">
        <w:t xml:space="preserve"> forzoso</w:t>
      </w:r>
      <w:r w:rsidR="008E00C9">
        <w:t>,</w:t>
      </w:r>
      <w:r w:rsidR="00AE310F">
        <w:t xml:space="preserve"> ilegal y arbitrario</w:t>
      </w:r>
      <w:r w:rsidR="008E00C9">
        <w:t>, ya</w:t>
      </w:r>
      <w:r w:rsidR="00F26069">
        <w:t xml:space="preserve"> que</w:t>
      </w:r>
      <w:r w:rsidR="00101580">
        <w:t xml:space="preserve"> no cumple con los requisitos de </w:t>
      </w:r>
      <w:r w:rsidR="00101580">
        <w:lastRenderedPageBreak/>
        <w:t xml:space="preserve">protección procesal expuestos en la </w:t>
      </w:r>
      <w:r w:rsidR="00614448">
        <w:t>o</w:t>
      </w:r>
      <w:r w:rsidR="00101580">
        <w:t xml:space="preserve">bservación </w:t>
      </w:r>
      <w:r w:rsidR="00614448">
        <w:t>g</w:t>
      </w:r>
      <w:r w:rsidR="00101580">
        <w:t>eneral 4</w:t>
      </w:r>
      <w:r w:rsidR="00F26069">
        <w:t xml:space="preserve"> </w:t>
      </w:r>
      <w:r w:rsidR="002E255E">
        <w:t xml:space="preserve">(1991) sobre el derecho a una vivienda adecuada </w:t>
      </w:r>
      <w:r w:rsidR="00101580">
        <w:t xml:space="preserve">y en el párrafo 15 de la </w:t>
      </w:r>
      <w:r w:rsidR="002E255E">
        <w:t>o</w:t>
      </w:r>
      <w:r w:rsidR="00101580">
        <w:t xml:space="preserve">bservación </w:t>
      </w:r>
      <w:r w:rsidR="002E255E">
        <w:t>g</w:t>
      </w:r>
      <w:r w:rsidR="00101580">
        <w:t xml:space="preserve">eneral </w:t>
      </w:r>
      <w:r w:rsidR="002E255E">
        <w:t xml:space="preserve">núm. </w:t>
      </w:r>
      <w:r w:rsidR="00101580">
        <w:t>7</w:t>
      </w:r>
      <w:r w:rsidR="002E255E">
        <w:t xml:space="preserve"> (1997) sobre el derecho a una vivie</w:t>
      </w:r>
      <w:r w:rsidR="00FA6F9B">
        <w:t>n</w:t>
      </w:r>
      <w:r w:rsidR="002E255E">
        <w:t>da adecuada: los desalojos forzosos</w:t>
      </w:r>
      <w:r w:rsidR="007E1BB7" w:rsidRPr="00567DE8">
        <w:rPr>
          <w:rStyle w:val="Refdenotaalpie"/>
          <w:szCs w:val="18"/>
        </w:rPr>
        <w:footnoteReference w:id="3"/>
      </w:r>
      <w:r w:rsidR="002E255E">
        <w:t>.</w:t>
      </w:r>
      <w:r w:rsidR="00FC288D">
        <w:t xml:space="preserve"> </w:t>
      </w:r>
    </w:p>
    <w:p w:rsidR="007E1E0D" w:rsidRPr="007E1E0D" w:rsidRDefault="00F26069">
      <w:pPr>
        <w:pStyle w:val="SingleTxtG"/>
      </w:pPr>
      <w:r>
        <w:t>3.2</w:t>
      </w:r>
      <w:r>
        <w:tab/>
      </w:r>
      <w:r w:rsidR="005D0A08">
        <w:t>En este sentido, el autor</w:t>
      </w:r>
      <w:r>
        <w:t xml:space="preserve"> </w:t>
      </w:r>
      <w:r w:rsidR="00AE310F">
        <w:t>alega que</w:t>
      </w:r>
      <w:r w:rsidR="008E00C9">
        <w:t xml:space="preserve"> la definición del</w:t>
      </w:r>
      <w:r w:rsidR="00C3278A">
        <w:t xml:space="preserve"> delito de usurpación</w:t>
      </w:r>
      <w:r w:rsidR="008E00C9">
        <w:t xml:space="preserve"> </w:t>
      </w:r>
      <w:r w:rsidR="005C5D38">
        <w:t>d</w:t>
      </w:r>
      <w:r w:rsidR="007E1BB7">
        <w:t>el artículo 245.2 del Código Penal</w:t>
      </w:r>
      <w:r w:rsidR="00C3278A">
        <w:t xml:space="preserve"> se refiere al “</w:t>
      </w:r>
      <w:r w:rsidR="00C3278A" w:rsidRPr="00C3278A">
        <w:t>que ocupare, sin autorización debida, un inmueble, vivienda o edificio ajenos que no constituyan morada, o se mantuviere en ellos contra la voluntad de su titular</w:t>
      </w:r>
      <w:r w:rsidR="008E00C9">
        <w:t xml:space="preserve">”, </w:t>
      </w:r>
      <w:r w:rsidR="00AE310F">
        <w:t>mientras</w:t>
      </w:r>
      <w:r w:rsidR="008E00C9">
        <w:t xml:space="preserve"> que,</w:t>
      </w:r>
      <w:r w:rsidR="00AE310F">
        <w:t xml:space="preserve"> en su caso, </w:t>
      </w:r>
      <w:r w:rsidR="00C3278A">
        <w:t>el inmueble c</w:t>
      </w:r>
      <w:r w:rsidR="00FC288D">
        <w:t xml:space="preserve">onstituía su vivienda o morada. </w:t>
      </w:r>
      <w:r w:rsidR="006E3DBA">
        <w:t xml:space="preserve">El autor </w:t>
      </w:r>
      <w:r w:rsidR="00AE310F">
        <w:t>considera</w:t>
      </w:r>
      <w:r w:rsidR="00C3278A">
        <w:t xml:space="preserve"> que </w:t>
      </w:r>
      <w:r w:rsidR="006E3DBA">
        <w:t>su</w:t>
      </w:r>
      <w:r w:rsidR="00C3278A">
        <w:t xml:space="preserve"> interpretación </w:t>
      </w:r>
      <w:r w:rsidR="006E3DBA">
        <w:t xml:space="preserve">es la </w:t>
      </w:r>
      <w:r w:rsidR="00C3278A">
        <w:t xml:space="preserve">única compatible con los derechos fundamentales protegidos por la Constitución del Estado parte y el artículo 11 del Pacto, pero </w:t>
      </w:r>
      <w:r w:rsidR="00860305">
        <w:t xml:space="preserve">reconoce </w:t>
      </w:r>
      <w:r w:rsidR="00C3278A">
        <w:t xml:space="preserve">que la interpretación hegemónica utilizada por las autoridades judiciales del Estado parte </w:t>
      </w:r>
      <w:r w:rsidR="00860305">
        <w:t>consiste en</w:t>
      </w:r>
      <w:r w:rsidR="00C3278A">
        <w:t xml:space="preserve"> considerar que el término “morada” se refiere al uso que le diera al inmueble </w:t>
      </w:r>
      <w:r w:rsidR="00860305">
        <w:t xml:space="preserve">la persona con título legal de </w:t>
      </w:r>
      <w:r w:rsidR="00FB4852">
        <w:t>posesión</w:t>
      </w:r>
      <w:r w:rsidR="00C3278A">
        <w:t>.</w:t>
      </w:r>
      <w:r w:rsidR="007E1E0D">
        <w:t xml:space="preserve"> </w:t>
      </w:r>
    </w:p>
    <w:p w:rsidR="004969BE" w:rsidRPr="00902F52" w:rsidRDefault="00F613FD" w:rsidP="00902F52">
      <w:pPr>
        <w:pStyle w:val="H23G"/>
        <w:rPr>
          <w:b w:val="0"/>
        </w:rPr>
      </w:pPr>
      <w:r w:rsidRPr="00C070DF">
        <w:tab/>
      </w:r>
      <w:r w:rsidRPr="00C070DF">
        <w:tab/>
      </w:r>
      <w:r w:rsidR="004969BE" w:rsidRPr="00902F52">
        <w:t>Observaciones del Estado parte sobre la admisibilidad y</w:t>
      </w:r>
      <w:r w:rsidR="007D2C75">
        <w:t xml:space="preserve"> el</w:t>
      </w:r>
      <w:r w:rsidR="004969BE" w:rsidRPr="00902F52">
        <w:t xml:space="preserve"> fondo</w:t>
      </w:r>
    </w:p>
    <w:p w:rsidR="00E15A75" w:rsidRPr="00860305" w:rsidRDefault="00BB7845" w:rsidP="00567DE8">
      <w:pPr>
        <w:pStyle w:val="SingleTxtG"/>
        <w:ind w:left="1123"/>
        <w:rPr>
          <w:rFonts w:eastAsia="SimSun"/>
          <w:lang w:eastAsia="zh-CN"/>
        </w:rPr>
      </w:pPr>
      <w:r>
        <w:rPr>
          <w:rFonts w:eastAsia="SimSun"/>
          <w:lang w:eastAsia="zh-CN"/>
        </w:rPr>
        <w:t>4.1</w:t>
      </w:r>
      <w:r>
        <w:rPr>
          <w:rFonts w:eastAsia="SimSun"/>
          <w:lang w:eastAsia="zh-CN"/>
        </w:rPr>
        <w:tab/>
      </w:r>
      <w:r w:rsidR="00E96E87">
        <w:rPr>
          <w:rFonts w:eastAsia="SimSun"/>
          <w:lang w:eastAsia="zh-CN"/>
        </w:rPr>
        <w:t xml:space="preserve">El 2 de junio de 2017, el Estado parte presentó sus observaciones sobre la admisibilidad y el fondo de la comunicación. </w:t>
      </w:r>
      <w:r w:rsidR="00AE310F">
        <w:rPr>
          <w:rFonts w:eastAsia="SimSun"/>
          <w:lang w:eastAsia="zh-CN"/>
        </w:rPr>
        <w:t>Considera</w:t>
      </w:r>
      <w:r w:rsidR="00E15A75" w:rsidRPr="00860305">
        <w:rPr>
          <w:rFonts w:eastAsia="SimSun"/>
          <w:lang w:eastAsia="zh-CN"/>
        </w:rPr>
        <w:t xml:space="preserve"> que la comunicación</w:t>
      </w:r>
      <w:r w:rsidR="00101580">
        <w:rPr>
          <w:rFonts w:eastAsia="SimSun"/>
          <w:lang w:eastAsia="zh-CN"/>
        </w:rPr>
        <w:t xml:space="preserve"> </w:t>
      </w:r>
      <w:r w:rsidR="00E15A75" w:rsidRPr="00860305">
        <w:rPr>
          <w:rFonts w:eastAsia="SimSun"/>
          <w:lang w:eastAsia="zh-CN"/>
        </w:rPr>
        <w:t xml:space="preserve">es inadmisible por falta de agotamiento de los recursos internos y por ser manifiestamente infundada. </w:t>
      </w:r>
      <w:r w:rsidR="00AE310F">
        <w:rPr>
          <w:rFonts w:eastAsia="SimSun"/>
          <w:lang w:eastAsia="zh-CN"/>
        </w:rPr>
        <w:t xml:space="preserve">Según el </w:t>
      </w:r>
      <w:r w:rsidR="00E15A75" w:rsidRPr="00860305">
        <w:rPr>
          <w:rFonts w:eastAsia="SimSun"/>
          <w:lang w:eastAsia="zh-CN"/>
        </w:rPr>
        <w:t xml:space="preserve">Estado parte, el autor alega vulneración de la tutela judicial efectiva y vulneración del principio de tipicidad penal al argumentar una motivación arbitraria del </w:t>
      </w:r>
      <w:r w:rsidR="005C5D38">
        <w:rPr>
          <w:rFonts w:eastAsia="SimSun"/>
          <w:lang w:eastAsia="zh-CN"/>
        </w:rPr>
        <w:t>J</w:t>
      </w:r>
      <w:r w:rsidR="00E15A75" w:rsidRPr="00860305">
        <w:rPr>
          <w:rFonts w:eastAsia="SimSun"/>
          <w:lang w:eastAsia="zh-CN"/>
        </w:rPr>
        <w:t>uzgado</w:t>
      </w:r>
      <w:r w:rsidR="00101580">
        <w:rPr>
          <w:rFonts w:eastAsia="SimSun"/>
          <w:lang w:eastAsia="zh-CN"/>
        </w:rPr>
        <w:t xml:space="preserve"> n</w:t>
      </w:r>
      <w:r w:rsidR="005C5D38">
        <w:rPr>
          <w:rFonts w:eastAsia="SimSun"/>
          <w:lang w:eastAsia="zh-CN"/>
        </w:rPr>
        <w:t>úm.</w:t>
      </w:r>
      <w:r w:rsidR="00656BF1">
        <w:rPr>
          <w:rFonts w:eastAsia="SimSun"/>
          <w:lang w:eastAsia="zh-CN"/>
        </w:rPr>
        <w:t> </w:t>
      </w:r>
      <w:r w:rsidR="00101580">
        <w:rPr>
          <w:rFonts w:eastAsia="SimSun"/>
          <w:lang w:eastAsia="zh-CN"/>
        </w:rPr>
        <w:t>20</w:t>
      </w:r>
      <w:r w:rsidR="00E15A75" w:rsidRPr="00860305">
        <w:rPr>
          <w:rFonts w:eastAsia="SimSun"/>
          <w:lang w:eastAsia="zh-CN"/>
        </w:rPr>
        <w:t>. Tanto la tutela judicial efectiva</w:t>
      </w:r>
      <w:r w:rsidR="002C737A">
        <w:rPr>
          <w:rStyle w:val="Refdenotaalpie"/>
          <w:rFonts w:eastAsia="SimSun"/>
          <w:lang w:eastAsia="zh-CN"/>
        </w:rPr>
        <w:footnoteReference w:id="4"/>
      </w:r>
      <w:r w:rsidR="00E15A75" w:rsidRPr="00860305">
        <w:rPr>
          <w:rFonts w:eastAsia="SimSun"/>
          <w:lang w:eastAsia="zh-CN"/>
        </w:rPr>
        <w:t xml:space="preserve"> como el principio de legalidad penal</w:t>
      </w:r>
      <w:r w:rsidR="00CC266B">
        <w:rPr>
          <w:rStyle w:val="Refdenotaalpie"/>
          <w:rFonts w:eastAsia="SimSun"/>
          <w:lang w:eastAsia="zh-CN"/>
        </w:rPr>
        <w:footnoteReference w:id="5"/>
      </w:r>
      <w:r w:rsidR="00E15A75" w:rsidRPr="00860305">
        <w:rPr>
          <w:rFonts w:eastAsia="SimSun"/>
          <w:lang w:eastAsia="zh-CN"/>
        </w:rPr>
        <w:t xml:space="preserve"> se encuentran amparados por los artículos 24 y 25</w:t>
      </w:r>
      <w:r w:rsidR="00F51CF1" w:rsidRPr="00860305">
        <w:rPr>
          <w:rFonts w:eastAsia="SimSun"/>
          <w:lang w:eastAsia="zh-CN"/>
        </w:rPr>
        <w:t xml:space="preserve"> </w:t>
      </w:r>
      <w:r w:rsidR="00E15A75" w:rsidRPr="00860305">
        <w:rPr>
          <w:rFonts w:eastAsia="SimSun"/>
          <w:lang w:eastAsia="zh-CN"/>
        </w:rPr>
        <w:t>de la Constitución</w:t>
      </w:r>
      <w:r w:rsidR="00AE310F">
        <w:rPr>
          <w:rFonts w:eastAsia="SimSun"/>
          <w:lang w:eastAsia="zh-CN"/>
        </w:rPr>
        <w:t>. S</w:t>
      </w:r>
      <w:r w:rsidR="00F51CF1" w:rsidRPr="00860305">
        <w:rPr>
          <w:rFonts w:eastAsia="SimSun"/>
          <w:lang w:eastAsia="zh-CN"/>
        </w:rPr>
        <w:t>us vulneraciones pueden ser objeto de un incidente de nulidad de actuaciones ante el mismo tribunal (en este caso la Audiencia Provincial de Barcelona) y posteriormente de un recurso de amparo ante el Tribunal Constitucional.</w:t>
      </w:r>
    </w:p>
    <w:p w:rsidR="00F51CF1" w:rsidRPr="00E96E87" w:rsidRDefault="00BB7845" w:rsidP="00567DE8">
      <w:pPr>
        <w:pStyle w:val="SingleTxtG"/>
        <w:rPr>
          <w:rFonts w:eastAsia="SimSun"/>
          <w:lang w:eastAsia="zh-CN"/>
        </w:rPr>
      </w:pPr>
      <w:r>
        <w:rPr>
          <w:rFonts w:eastAsia="SimSun"/>
          <w:lang w:eastAsia="zh-CN"/>
        </w:rPr>
        <w:t>4.2</w:t>
      </w:r>
      <w:r>
        <w:rPr>
          <w:rFonts w:eastAsia="SimSun"/>
          <w:lang w:eastAsia="zh-CN"/>
        </w:rPr>
        <w:tab/>
      </w:r>
      <w:r w:rsidR="006B2A71">
        <w:rPr>
          <w:rFonts w:eastAsia="SimSun"/>
          <w:lang w:eastAsia="zh-CN"/>
        </w:rPr>
        <w:t xml:space="preserve">El Estado parte </w:t>
      </w:r>
      <w:r w:rsidR="00AE310F">
        <w:rPr>
          <w:rFonts w:eastAsia="SimSun"/>
          <w:lang w:eastAsia="zh-CN"/>
        </w:rPr>
        <w:t>también</w:t>
      </w:r>
      <w:r w:rsidR="006B2A71">
        <w:rPr>
          <w:rFonts w:eastAsia="SimSun"/>
          <w:lang w:eastAsia="zh-CN"/>
        </w:rPr>
        <w:t xml:space="preserve"> </w:t>
      </w:r>
      <w:r w:rsidR="00AE310F">
        <w:rPr>
          <w:rFonts w:eastAsia="SimSun"/>
          <w:lang w:eastAsia="zh-CN"/>
        </w:rPr>
        <w:t xml:space="preserve">resalta </w:t>
      </w:r>
      <w:r w:rsidR="006B2A71">
        <w:rPr>
          <w:rFonts w:eastAsia="SimSun"/>
          <w:lang w:eastAsia="zh-CN"/>
        </w:rPr>
        <w:t xml:space="preserve">que las alegaciones </w:t>
      </w:r>
      <w:r w:rsidR="00101580">
        <w:rPr>
          <w:rFonts w:eastAsia="SimSun"/>
          <w:lang w:eastAsia="zh-CN"/>
        </w:rPr>
        <w:t>del autor</w:t>
      </w:r>
      <w:r w:rsidR="006B2A71">
        <w:rPr>
          <w:rFonts w:eastAsia="SimSun"/>
          <w:lang w:eastAsia="zh-CN"/>
        </w:rPr>
        <w:t xml:space="preserve"> sobre la arbitrariedad de la decisión judicial se resumen a considerar que el tipo penal de usurpación ha sido interpretado de forma errónea. En ese sentido, el Estado parte recuerda que la </w:t>
      </w:r>
      <w:r w:rsidR="00BB2C23">
        <w:rPr>
          <w:rFonts w:eastAsia="SimSun"/>
          <w:lang w:eastAsia="zh-CN"/>
        </w:rPr>
        <w:t>o</w:t>
      </w:r>
      <w:r w:rsidR="006B2A71">
        <w:rPr>
          <w:rFonts w:eastAsia="SimSun"/>
          <w:lang w:eastAsia="zh-CN"/>
        </w:rPr>
        <w:t>bserv</w:t>
      </w:r>
      <w:r w:rsidR="00101580">
        <w:rPr>
          <w:rFonts w:eastAsia="SimSun"/>
          <w:lang w:eastAsia="zh-CN"/>
        </w:rPr>
        <w:t xml:space="preserve">ación </w:t>
      </w:r>
      <w:r w:rsidR="00BB2C23">
        <w:rPr>
          <w:rFonts w:eastAsia="SimSun"/>
          <w:lang w:eastAsia="zh-CN"/>
        </w:rPr>
        <w:t>g</w:t>
      </w:r>
      <w:r w:rsidR="006B2A71">
        <w:rPr>
          <w:rFonts w:eastAsia="SimSun"/>
          <w:lang w:eastAsia="zh-CN"/>
        </w:rPr>
        <w:t>eneral n</w:t>
      </w:r>
      <w:r w:rsidR="00BB2C23">
        <w:rPr>
          <w:rFonts w:eastAsia="SimSun"/>
          <w:lang w:eastAsia="zh-CN"/>
        </w:rPr>
        <w:t>úm.</w:t>
      </w:r>
      <w:r w:rsidR="00656BF1">
        <w:rPr>
          <w:rFonts w:eastAsia="SimSun"/>
          <w:lang w:eastAsia="zh-CN"/>
        </w:rPr>
        <w:t> </w:t>
      </w:r>
      <w:r w:rsidR="006B2A71">
        <w:rPr>
          <w:rFonts w:eastAsia="SimSun"/>
          <w:lang w:eastAsia="zh-CN"/>
        </w:rPr>
        <w:t>7</w:t>
      </w:r>
      <w:r w:rsidR="00101580">
        <w:rPr>
          <w:rFonts w:eastAsia="SimSun"/>
          <w:lang w:eastAsia="zh-CN"/>
        </w:rPr>
        <w:t xml:space="preserve"> del Comité</w:t>
      </w:r>
      <w:r w:rsidR="006B2A71">
        <w:rPr>
          <w:rFonts w:eastAsia="SimSun"/>
          <w:lang w:eastAsia="zh-CN"/>
        </w:rPr>
        <w:t xml:space="preserve"> en su </w:t>
      </w:r>
      <w:r w:rsidR="00656BF1">
        <w:rPr>
          <w:rFonts w:eastAsia="SimSun"/>
          <w:lang w:eastAsia="zh-CN"/>
        </w:rPr>
        <w:t>párrafo </w:t>
      </w:r>
      <w:r w:rsidR="006B2A71">
        <w:rPr>
          <w:rFonts w:eastAsia="SimSun"/>
          <w:lang w:eastAsia="zh-CN"/>
        </w:rPr>
        <w:t>15 enumera las garantías procesales que recoge el Pacto en casos de desalojo, y que</w:t>
      </w:r>
      <w:r w:rsidR="00AE310F">
        <w:rPr>
          <w:rFonts w:eastAsia="SimSun"/>
          <w:lang w:eastAsia="zh-CN"/>
        </w:rPr>
        <w:t xml:space="preserve"> el autor no ha alegado la violación</w:t>
      </w:r>
      <w:r w:rsidR="00960CEB">
        <w:rPr>
          <w:rFonts w:eastAsia="SimSun"/>
          <w:lang w:eastAsia="zh-CN"/>
        </w:rPr>
        <w:t xml:space="preserve"> de ninguna</w:t>
      </w:r>
      <w:r w:rsidR="00AE310F">
        <w:rPr>
          <w:rFonts w:eastAsia="SimSun"/>
          <w:lang w:eastAsia="zh-CN"/>
        </w:rPr>
        <w:t xml:space="preserve"> </w:t>
      </w:r>
      <w:r w:rsidR="006B2A71">
        <w:rPr>
          <w:rFonts w:eastAsia="SimSun"/>
          <w:lang w:eastAsia="zh-CN"/>
        </w:rPr>
        <w:t xml:space="preserve">de esas garantías por la </w:t>
      </w:r>
      <w:r w:rsidR="00BB2C23">
        <w:rPr>
          <w:rFonts w:eastAsia="SimSun"/>
          <w:lang w:eastAsia="zh-CN"/>
        </w:rPr>
        <w:t>a</w:t>
      </w:r>
      <w:r w:rsidR="006B2A71">
        <w:rPr>
          <w:rFonts w:eastAsia="SimSun"/>
          <w:lang w:eastAsia="zh-CN"/>
        </w:rPr>
        <w:t xml:space="preserve">dministración </w:t>
      </w:r>
      <w:r w:rsidR="00BB2C23">
        <w:rPr>
          <w:rFonts w:eastAsia="SimSun"/>
          <w:lang w:eastAsia="zh-CN"/>
        </w:rPr>
        <w:t>e</w:t>
      </w:r>
      <w:r w:rsidR="006B2A71">
        <w:rPr>
          <w:rFonts w:eastAsia="SimSun"/>
          <w:lang w:eastAsia="zh-CN"/>
        </w:rPr>
        <w:t>spañola.</w:t>
      </w:r>
    </w:p>
    <w:p w:rsidR="00101580" w:rsidRPr="00101580" w:rsidRDefault="00BB7845" w:rsidP="00567DE8">
      <w:pPr>
        <w:pStyle w:val="SingleTxtG"/>
        <w:rPr>
          <w:rFonts w:eastAsia="SimSun"/>
          <w:lang w:eastAsia="zh-CN"/>
        </w:rPr>
      </w:pPr>
      <w:r>
        <w:t>4.3</w:t>
      </w:r>
      <w:r>
        <w:tab/>
      </w:r>
      <w:r w:rsidR="007A1643">
        <w:t xml:space="preserve">De forma subsidiaria, el Estado parte considera que la comunicación debe ser desestimada en cuanto al fondo por no revelar ninguna vulneración del </w:t>
      </w:r>
      <w:r w:rsidR="00656BF1">
        <w:t>artículo </w:t>
      </w:r>
      <w:r w:rsidR="007A1643">
        <w:t xml:space="preserve">11 del Pacto. </w:t>
      </w:r>
      <w:r w:rsidR="00476907">
        <w:t>R</w:t>
      </w:r>
      <w:r w:rsidR="007A1643">
        <w:t xml:space="preserve">ecuerda que, de las garantías </w:t>
      </w:r>
      <w:r w:rsidR="00AC4498">
        <w:t xml:space="preserve">estipuladas en </w:t>
      </w:r>
      <w:r w:rsidR="00BB32B8">
        <w:t xml:space="preserve">el párrafo 15 de la </w:t>
      </w:r>
      <w:r w:rsidR="00422C67">
        <w:t>o</w:t>
      </w:r>
      <w:r w:rsidR="00BB32B8">
        <w:t>bservación general n</w:t>
      </w:r>
      <w:r w:rsidR="00422C67">
        <w:t>úm.</w:t>
      </w:r>
      <w:r w:rsidR="00656BF1">
        <w:t> </w:t>
      </w:r>
      <w:r w:rsidR="00BB32B8">
        <w:t>7, s</w:t>
      </w:r>
      <w:r w:rsidR="00422C67">
        <w:t>o</w:t>
      </w:r>
      <w:r w:rsidR="00BB32B8">
        <w:t>lo la obligación de ofrecer recursos jurídicos podría considerarse como alegada por el autor. Sin embargo,</w:t>
      </w:r>
      <w:r w:rsidR="00476907">
        <w:t xml:space="preserve"> tanto</w:t>
      </w:r>
      <w:r w:rsidR="00BB32B8">
        <w:t xml:space="preserve"> los recursos presentados por el autor, </w:t>
      </w:r>
      <w:r w:rsidR="00476907">
        <w:t>como</w:t>
      </w:r>
      <w:r w:rsidR="000057C9">
        <w:t xml:space="preserve"> </w:t>
      </w:r>
      <w:r w:rsidR="00476907">
        <w:t>la existencia de otros recursos que no usó</w:t>
      </w:r>
      <w:r w:rsidR="000057C9">
        <w:t xml:space="preserve"> </w:t>
      </w:r>
      <w:r w:rsidR="00BB32B8">
        <w:t xml:space="preserve">(incidente de nulidad y recurso de amparo), </w:t>
      </w:r>
      <w:r w:rsidR="00476907">
        <w:t>demuestran</w:t>
      </w:r>
      <w:r w:rsidR="00BB32B8">
        <w:t xml:space="preserve"> que no </w:t>
      </w:r>
      <w:r w:rsidR="008E00C9">
        <w:t xml:space="preserve">hubo </w:t>
      </w:r>
      <w:r w:rsidR="00BB32B8">
        <w:t>infracción de esta garantía</w:t>
      </w:r>
      <w:r w:rsidR="008E00C9">
        <w:t xml:space="preserve"> en el presente caso</w:t>
      </w:r>
      <w:r w:rsidR="00BB32B8">
        <w:t xml:space="preserve">. </w:t>
      </w:r>
    </w:p>
    <w:p w:rsidR="002A5163" w:rsidRPr="006345C7" w:rsidRDefault="00BB7845" w:rsidP="00BB7845">
      <w:pPr>
        <w:pStyle w:val="SingleTxtG"/>
        <w:rPr>
          <w:rFonts w:eastAsia="SimSun"/>
          <w:lang w:eastAsia="zh-CN"/>
        </w:rPr>
      </w:pPr>
      <w:r>
        <w:t>4.4</w:t>
      </w:r>
      <w:r>
        <w:tab/>
      </w:r>
      <w:r w:rsidR="00BB32B8">
        <w:t xml:space="preserve">Por último, el Estado </w:t>
      </w:r>
      <w:r w:rsidR="00422C67">
        <w:t xml:space="preserve">parte </w:t>
      </w:r>
      <w:r w:rsidR="00101580">
        <w:t>considera</w:t>
      </w:r>
      <w:r w:rsidR="00BB32B8">
        <w:t xml:space="preserve"> que la interpretación que el autor pretende dar al artículo 245.2 del Código Penal, al considerar que la expresión “morada” se refiere al que ocupa el inmueble, es ilógica</w:t>
      </w:r>
      <w:r w:rsidR="00476907">
        <w:t>. E</w:t>
      </w:r>
      <w:r w:rsidR="00BB32B8">
        <w:t>n realidad</w:t>
      </w:r>
      <w:r w:rsidR="00476907">
        <w:t>,</w:t>
      </w:r>
      <w:r w:rsidR="00BB32B8">
        <w:t xml:space="preserve"> la expresión se refiere al carácter del inmueble respecto al ofendido y no al ofensor. De ese modo, el Código Penal diferencia el tipo delictivo </w:t>
      </w:r>
      <w:r w:rsidR="00BB32B8">
        <w:lastRenderedPageBreak/>
        <w:t>de usurpación</w:t>
      </w:r>
      <w:r w:rsidR="00101580">
        <w:t>, en que se ocupa un inmueble que no es la vivienda del ofendido,</w:t>
      </w:r>
      <w:r w:rsidR="00BB32B8">
        <w:t xml:space="preserve"> del de allanamiento de morada, castigado por una pena </w:t>
      </w:r>
      <w:r w:rsidR="00101580">
        <w:t>mayor</w:t>
      </w:r>
      <w:r w:rsidR="00BB32B8">
        <w:t>, cuando el inmueble ocupado constituyera la morada del ofendido.</w:t>
      </w:r>
    </w:p>
    <w:p w:rsidR="006B130A" w:rsidRPr="00902F52" w:rsidRDefault="00F613FD" w:rsidP="00BB7845">
      <w:pPr>
        <w:pStyle w:val="H23G"/>
        <w:rPr>
          <w:b w:val="0"/>
        </w:rPr>
      </w:pPr>
      <w:r w:rsidRPr="00C070DF">
        <w:tab/>
      </w:r>
      <w:r w:rsidRPr="00C070DF">
        <w:tab/>
      </w:r>
      <w:r w:rsidR="006B130A" w:rsidRPr="00902F52">
        <w:t xml:space="preserve">Comentarios </w:t>
      </w:r>
      <w:r w:rsidR="00101580">
        <w:t>del autor</w:t>
      </w:r>
      <w:r w:rsidR="006B130A" w:rsidRPr="00902F52">
        <w:t xml:space="preserve"> sobre las </w:t>
      </w:r>
      <w:r w:rsidR="006B130A" w:rsidRPr="0089109F">
        <w:rPr>
          <w:lang w:val="es-CO"/>
        </w:rPr>
        <w:t>observaciones</w:t>
      </w:r>
      <w:r w:rsidR="006B130A" w:rsidRPr="00902F52">
        <w:t xml:space="preserve"> del Estado parte sobre </w:t>
      </w:r>
      <w:r w:rsidR="000057C9">
        <w:br/>
      </w:r>
      <w:r w:rsidR="006B130A" w:rsidRPr="00902F52">
        <w:t xml:space="preserve">la admisibilidad y </w:t>
      </w:r>
      <w:r w:rsidR="00171AF5">
        <w:t xml:space="preserve">el </w:t>
      </w:r>
      <w:r w:rsidR="006B130A" w:rsidRPr="00902F52">
        <w:t>fondo</w:t>
      </w:r>
    </w:p>
    <w:p w:rsidR="00BB0A96" w:rsidRDefault="00BB7845" w:rsidP="00BB7845">
      <w:pPr>
        <w:pStyle w:val="SingleTxtG"/>
      </w:pPr>
      <w:r>
        <w:t>5.1</w:t>
      </w:r>
      <w:r>
        <w:tab/>
      </w:r>
      <w:r w:rsidR="005613D0">
        <w:t xml:space="preserve">Mediante carta de 22 de junio de 2017, </w:t>
      </w:r>
      <w:r w:rsidR="00101580">
        <w:t>el autor presentó</w:t>
      </w:r>
      <w:r w:rsidR="005613D0">
        <w:t xml:space="preserve"> sus comentarios a las observaciones del Estado parte. </w:t>
      </w:r>
    </w:p>
    <w:p w:rsidR="005613D0" w:rsidRDefault="00BB7845">
      <w:pPr>
        <w:pStyle w:val="SingleTxtG"/>
      </w:pPr>
      <w:r>
        <w:t>5.2</w:t>
      </w:r>
      <w:r>
        <w:tab/>
      </w:r>
      <w:r w:rsidR="005613D0">
        <w:t>En relación con la falta de agotamiento de recursos internos,</w:t>
      </w:r>
      <w:r w:rsidR="00101580">
        <w:t xml:space="preserve"> el autor recuerda</w:t>
      </w:r>
      <w:r w:rsidR="009174F6">
        <w:t xml:space="preserve"> que</w:t>
      </w:r>
      <w:r w:rsidR="005613D0">
        <w:t xml:space="preserve"> el Tribunal Constitucional puede recibir </w:t>
      </w:r>
      <w:r w:rsidR="00596EF6">
        <w:t>denuncias</w:t>
      </w:r>
      <w:r w:rsidR="005613D0">
        <w:t xml:space="preserve"> de violaciones </w:t>
      </w:r>
      <w:r w:rsidR="00101580">
        <w:t>de</w:t>
      </w:r>
      <w:r w:rsidR="005613D0">
        <w:t xml:space="preserve"> los derechos fundamentales entre los que se encuentra el derecho a la tutela efectiva</w:t>
      </w:r>
      <w:r w:rsidR="002C7C80">
        <w:t>. No obstante, no se trata de</w:t>
      </w:r>
      <w:r w:rsidR="005613D0">
        <w:t xml:space="preserve"> un tribunal de casación </w:t>
      </w:r>
      <w:r w:rsidR="002C7C80">
        <w:t>encargado</w:t>
      </w:r>
      <w:r w:rsidR="005613D0">
        <w:t xml:space="preserve"> de velar por la legalidad de las decisiones adoptadas por </w:t>
      </w:r>
      <w:r w:rsidR="008A7892">
        <w:t xml:space="preserve">la </w:t>
      </w:r>
      <w:r w:rsidR="00422C67">
        <w:t>a</w:t>
      </w:r>
      <w:r w:rsidR="008A7892">
        <w:t xml:space="preserve">dministración de la </w:t>
      </w:r>
      <w:r w:rsidR="001C329B">
        <w:t>j</w:t>
      </w:r>
      <w:r w:rsidR="008A7892">
        <w:t xml:space="preserve">usticia. Lo que el Tribunal Constitucional enjuicia respecto al derecho a la tutela judicial efectiva es que la administración de justicia, con </w:t>
      </w:r>
      <w:r w:rsidR="00596EF6">
        <w:t>independencia</w:t>
      </w:r>
      <w:r w:rsidR="008A7892">
        <w:t xml:space="preserve"> de su acierto o desacierto a la hora de interpretar y aplicar la ley, realice su función de juzgar y por tanto sus decisiones no sean </w:t>
      </w:r>
      <w:r w:rsidR="00596EF6">
        <w:t>arbitrarias</w:t>
      </w:r>
      <w:r w:rsidR="008A7892">
        <w:t xml:space="preserve"> sino fundamentadas. </w:t>
      </w:r>
      <w:r w:rsidR="00A929CC">
        <w:t>P</w:t>
      </w:r>
      <w:r w:rsidR="008A7892">
        <w:t xml:space="preserve">ara presentar un recurso de amparo por vulneración de la tutela judicial efectiva, </w:t>
      </w:r>
      <w:r w:rsidR="00A929CC">
        <w:t>se debe haber</w:t>
      </w:r>
      <w:r w:rsidR="008A7892">
        <w:t xml:space="preserve"> presentado un recurso de nulidad de actuaciones en virtud del artículo 238 de la Ley Orgánica del Poder Judicial</w:t>
      </w:r>
      <w:r w:rsidR="00B70C2D">
        <w:t>.</w:t>
      </w:r>
      <w:r w:rsidR="00A929CC">
        <w:t xml:space="preserve"> Según </w:t>
      </w:r>
      <w:r w:rsidR="00B70C2D">
        <w:t>e</w:t>
      </w:r>
      <w:r w:rsidR="00A929CC">
        <w:t>ste artículo,</w:t>
      </w:r>
      <w:r w:rsidR="008A7892">
        <w:t xml:space="preserve"> para que un acto procesal sea nulo, no basta con que una norma se haya aplicado mal o se haya infringido, sino que es necesario que no se haya aplicado</w:t>
      </w:r>
      <w:r w:rsidR="009174F6">
        <w:t>. El autor aclara</w:t>
      </w:r>
      <w:r w:rsidR="006E280A">
        <w:t xml:space="preserve"> que en su comunicación no se alegó que la resolución judicial fuera irracional, sino que su </w:t>
      </w:r>
      <w:r w:rsidR="00596EF6">
        <w:t>interpretación</w:t>
      </w:r>
      <w:r w:rsidR="006E280A">
        <w:t xml:space="preserve"> era tan válida como la </w:t>
      </w:r>
      <w:r w:rsidR="00A929CC">
        <w:t>del Estado parte</w:t>
      </w:r>
      <w:r w:rsidR="006E280A">
        <w:t xml:space="preserve">, </w:t>
      </w:r>
      <w:r w:rsidR="00A929CC">
        <w:t xml:space="preserve">la cual </w:t>
      </w:r>
      <w:r w:rsidR="006E280A">
        <w:t>era incompatible con el Pacto y la Constitución.</w:t>
      </w:r>
    </w:p>
    <w:p w:rsidR="00596EF6" w:rsidRDefault="00BB7845" w:rsidP="00567DE8">
      <w:pPr>
        <w:pStyle w:val="SingleTxtG"/>
      </w:pPr>
      <w:r>
        <w:t>5.3</w:t>
      </w:r>
      <w:r>
        <w:tab/>
      </w:r>
      <w:r w:rsidR="00291984">
        <w:t>El autor reconoce</w:t>
      </w:r>
      <w:r w:rsidR="00596EF6">
        <w:t xml:space="preserve"> que no es cometido del Tribunal Constitucional </w:t>
      </w:r>
      <w:r w:rsidR="00495A47">
        <w:t xml:space="preserve">o </w:t>
      </w:r>
      <w:r w:rsidR="00596EF6">
        <w:t>de</w:t>
      </w:r>
      <w:r w:rsidR="00BD02F4">
        <w:t>l</w:t>
      </w:r>
      <w:r w:rsidR="00596EF6">
        <w:t xml:space="preserve"> Comité el encontrar la interpretación correcta del Código Penal español. Po</w:t>
      </w:r>
      <w:r w:rsidR="00291984">
        <w:t>r ello, la cuestión que plantea</w:t>
      </w:r>
      <w:r w:rsidR="00596EF6">
        <w:t xml:space="preserve"> </w:t>
      </w:r>
      <w:r w:rsidR="008C661B">
        <w:t>al Comité es de saber si</w:t>
      </w:r>
      <w:r w:rsidR="00081579">
        <w:t>, de las dos interpretaciones posibles</w:t>
      </w:r>
      <w:r w:rsidR="009531B4">
        <w:t xml:space="preserve"> del artículo 245.2 del Código Penal</w:t>
      </w:r>
      <w:r w:rsidR="00081579">
        <w:t>,</w:t>
      </w:r>
      <w:r w:rsidR="008C661B">
        <w:t xml:space="preserve"> la </w:t>
      </w:r>
      <w:r w:rsidR="009531B4">
        <w:t>que</w:t>
      </w:r>
      <w:r w:rsidR="000057C9">
        <w:t xml:space="preserve"> </w:t>
      </w:r>
      <w:r w:rsidR="008C661B">
        <w:t>el</w:t>
      </w:r>
      <w:r w:rsidR="009531B4">
        <w:t>i</w:t>
      </w:r>
      <w:r w:rsidR="008C661B">
        <w:t>g</w:t>
      </w:r>
      <w:r w:rsidR="009531B4">
        <w:t>e</w:t>
      </w:r>
      <w:r w:rsidR="008C661B">
        <w:t xml:space="preserve"> y aplica </w:t>
      </w:r>
      <w:r w:rsidR="0074094F">
        <w:t xml:space="preserve">la </w:t>
      </w:r>
      <w:r w:rsidR="00BD02F4">
        <w:t>a</w:t>
      </w:r>
      <w:r w:rsidR="0074094F">
        <w:t xml:space="preserve">dministración de </w:t>
      </w:r>
      <w:r w:rsidR="00BD02F4">
        <w:t>j</w:t>
      </w:r>
      <w:r w:rsidR="0074094F">
        <w:t xml:space="preserve">usticia es </w:t>
      </w:r>
      <w:r w:rsidR="009531B4">
        <w:t xml:space="preserve">compatible con </w:t>
      </w:r>
      <w:r w:rsidR="005328C2">
        <w:t>e</w:t>
      </w:r>
      <w:r w:rsidR="0074094F">
        <w:t xml:space="preserve">l </w:t>
      </w:r>
      <w:r w:rsidR="00656BF1">
        <w:t>artículo </w:t>
      </w:r>
      <w:r w:rsidR="0074094F">
        <w:t>11 del Pacto.</w:t>
      </w:r>
    </w:p>
    <w:p w:rsidR="00A575AE" w:rsidRDefault="00BB7845" w:rsidP="00567DE8">
      <w:pPr>
        <w:pStyle w:val="SingleTxtG"/>
      </w:pPr>
      <w:r>
        <w:t>5.4</w:t>
      </w:r>
      <w:r>
        <w:tab/>
      </w:r>
      <w:r w:rsidR="00A575AE">
        <w:t xml:space="preserve">En lo que concierne a </w:t>
      </w:r>
      <w:r w:rsidR="00136675">
        <w:t>la alegación</w:t>
      </w:r>
      <w:r w:rsidR="00A575AE">
        <w:t xml:space="preserve"> del Estado parte seg</w:t>
      </w:r>
      <w:r w:rsidR="00136675">
        <w:t>ún la cu</w:t>
      </w:r>
      <w:r w:rsidR="008C661B">
        <w:t>a</w:t>
      </w:r>
      <w:r w:rsidR="00136675">
        <w:t>l</w:t>
      </w:r>
      <w:r w:rsidR="00A575AE">
        <w:t xml:space="preserve"> </w:t>
      </w:r>
      <w:r w:rsidR="00136675">
        <w:t xml:space="preserve">ninguna de </w:t>
      </w:r>
      <w:r w:rsidR="00A575AE">
        <w:t xml:space="preserve">las garantías protegidas </w:t>
      </w:r>
      <w:r w:rsidR="0029623D">
        <w:t xml:space="preserve">en </w:t>
      </w:r>
      <w:r w:rsidR="00A575AE">
        <w:t xml:space="preserve">el </w:t>
      </w:r>
      <w:r w:rsidR="00656BF1">
        <w:t>párrafo </w:t>
      </w:r>
      <w:r w:rsidR="00A575AE">
        <w:t xml:space="preserve">15 de la </w:t>
      </w:r>
      <w:r w:rsidR="0029623D">
        <w:t>o</w:t>
      </w:r>
      <w:r w:rsidR="00A575AE">
        <w:t xml:space="preserve">bservación </w:t>
      </w:r>
      <w:r w:rsidR="0029623D">
        <w:t>g</w:t>
      </w:r>
      <w:r w:rsidR="00A575AE">
        <w:t xml:space="preserve">eneral </w:t>
      </w:r>
      <w:r w:rsidR="0029623D">
        <w:t>núm.</w:t>
      </w:r>
      <w:r w:rsidR="00656BF1">
        <w:t> </w:t>
      </w:r>
      <w:r w:rsidR="00A575AE">
        <w:t xml:space="preserve">7 </w:t>
      </w:r>
      <w:r w:rsidR="00136675">
        <w:t xml:space="preserve">ha sido vulnerada, </w:t>
      </w:r>
      <w:r w:rsidR="006C231E">
        <w:t>el autor afirma</w:t>
      </w:r>
      <w:r w:rsidR="00136675">
        <w:t xml:space="preserve"> que esta lista no es exhaustiva y que la comunicación no se refiere </w:t>
      </w:r>
      <w:r w:rsidR="006C231E">
        <w:t xml:space="preserve">únicamente </w:t>
      </w:r>
      <w:r w:rsidR="00136675">
        <w:t xml:space="preserve">a una vulneración de la </w:t>
      </w:r>
      <w:r w:rsidR="0029623D">
        <w:t>o</w:t>
      </w:r>
      <w:r w:rsidR="00136675">
        <w:t xml:space="preserve">bservación </w:t>
      </w:r>
      <w:r w:rsidR="0029623D">
        <w:t>g</w:t>
      </w:r>
      <w:r w:rsidR="00136675">
        <w:t>eneral</w:t>
      </w:r>
      <w:r w:rsidR="006C231E">
        <w:t xml:space="preserve"> </w:t>
      </w:r>
      <w:r w:rsidR="0029623D">
        <w:t>núm.</w:t>
      </w:r>
      <w:r w:rsidR="00656BF1">
        <w:t> </w:t>
      </w:r>
      <w:r w:rsidR="006C231E">
        <w:t>7</w:t>
      </w:r>
      <w:r w:rsidR="00136675">
        <w:t xml:space="preserve"> sino del </w:t>
      </w:r>
      <w:r w:rsidR="00656BF1">
        <w:t>artículo </w:t>
      </w:r>
      <w:r w:rsidR="00136675">
        <w:t>11 del Pacto.</w:t>
      </w:r>
    </w:p>
    <w:p w:rsidR="00136675" w:rsidRDefault="00BB7845" w:rsidP="00567DE8">
      <w:pPr>
        <w:pStyle w:val="SingleTxtG"/>
      </w:pPr>
      <w:r>
        <w:t>5.5</w:t>
      </w:r>
      <w:r>
        <w:tab/>
      </w:r>
      <w:r w:rsidR="006C231E">
        <w:t>El autor añade</w:t>
      </w:r>
      <w:r w:rsidR="00136675">
        <w:t xml:space="preserve"> que la política de vivienda aplicada en el Estado parte no ha tenido como finalidad la de satisfacer el derecho a una vivienda </w:t>
      </w:r>
      <w:r w:rsidR="006C231E">
        <w:t>adecuada,</w:t>
      </w:r>
      <w:r w:rsidR="00136675">
        <w:t xml:space="preserve"> sino que</w:t>
      </w:r>
      <w:r w:rsidR="006C231E">
        <w:t>,</w:t>
      </w:r>
      <w:r w:rsidR="00136675">
        <w:t xml:space="preserve"> por el contrario</w:t>
      </w:r>
      <w:r w:rsidR="006C231E">
        <w:t>,</w:t>
      </w:r>
      <w:r w:rsidR="00136675">
        <w:t xml:space="preserve"> ha contribuido al aumento de</w:t>
      </w:r>
      <w:r w:rsidR="008C661B">
        <w:t xml:space="preserve"> los</w:t>
      </w:r>
      <w:r w:rsidR="00136675">
        <w:t xml:space="preserve"> precio</w:t>
      </w:r>
      <w:r w:rsidR="008C661B">
        <w:t>s</w:t>
      </w:r>
      <w:r w:rsidR="00136675">
        <w:t>. En tal contexto, la ocupación de viviendas inhabitadas se ha convertido en la</w:t>
      </w:r>
      <w:r w:rsidR="006C231E">
        <w:t xml:space="preserve"> única</w:t>
      </w:r>
      <w:r w:rsidR="00136675">
        <w:t xml:space="preserve"> vía de escape </w:t>
      </w:r>
      <w:r w:rsidR="008C661B">
        <w:t>para los</w:t>
      </w:r>
      <w:r w:rsidR="00136675">
        <w:t xml:space="preserve"> ciudadanos que han visto vulnerado su derecho a una vivienda </w:t>
      </w:r>
      <w:r w:rsidR="00D76D7E">
        <w:t>adecuada</w:t>
      </w:r>
      <w:r w:rsidR="008C661B">
        <w:t>. P</w:t>
      </w:r>
      <w:r w:rsidR="00136675">
        <w:t xml:space="preserve">or ello mismo, el Estado parte ha criminalizado esta ocupación para uso de vivienda, a pesar de que </w:t>
      </w:r>
      <w:r w:rsidR="00F5127C">
        <w:t>un</w:t>
      </w:r>
      <w:r w:rsidR="00136675">
        <w:t xml:space="preserve">a interpretación del </w:t>
      </w:r>
      <w:r w:rsidR="00656BF1">
        <w:t>artículo </w:t>
      </w:r>
      <w:r w:rsidR="00136675">
        <w:t>245.2 del Código Penal más acorde con el Pacto no criminalizaría tal ocupación.</w:t>
      </w:r>
    </w:p>
    <w:p w:rsidR="00E94BAD" w:rsidRPr="0089109F" w:rsidRDefault="006345C7" w:rsidP="00BB7845">
      <w:pPr>
        <w:pStyle w:val="H1G"/>
        <w:rPr>
          <w:lang w:val="es-CO"/>
        </w:rPr>
      </w:pPr>
      <w:r w:rsidRPr="0089109F">
        <w:rPr>
          <w:lang w:val="es-CO"/>
        </w:rPr>
        <w:tab/>
        <w:t>B.</w:t>
      </w:r>
      <w:r w:rsidRPr="0089109F">
        <w:rPr>
          <w:lang w:val="es-CO"/>
        </w:rPr>
        <w:tab/>
        <w:t>Consideraciones del Comité sobre la admisibilidad</w:t>
      </w:r>
    </w:p>
    <w:p w:rsidR="00D76D7E" w:rsidRPr="0089109F" w:rsidRDefault="00BB7845" w:rsidP="00BB7845">
      <w:pPr>
        <w:pStyle w:val="SingleTxtG"/>
        <w:rPr>
          <w:lang w:val="es-CO"/>
        </w:rPr>
      </w:pPr>
      <w:r w:rsidRPr="0089109F">
        <w:rPr>
          <w:lang w:val="es-CO"/>
        </w:rPr>
        <w:t>6.1</w:t>
      </w:r>
      <w:r w:rsidRPr="0089109F">
        <w:rPr>
          <w:lang w:val="es-CO"/>
        </w:rPr>
        <w:tab/>
      </w:r>
      <w:r w:rsidR="00D76D7E" w:rsidRPr="0089109F">
        <w:rPr>
          <w:lang w:val="es-CO"/>
        </w:rPr>
        <w:t>Antes de examinar cualquier reclamación formulada en una comunicación, el Comité debe decidir, de conformidad con el Protocolo Facultativo, si el caso es admisible.</w:t>
      </w:r>
    </w:p>
    <w:p w:rsidR="001D3099" w:rsidRPr="0089109F" w:rsidRDefault="00BB7845" w:rsidP="00567DE8">
      <w:pPr>
        <w:pStyle w:val="SingleTxtG"/>
        <w:rPr>
          <w:lang w:val="es-CO"/>
        </w:rPr>
      </w:pPr>
      <w:r w:rsidRPr="0089109F">
        <w:rPr>
          <w:lang w:val="es-CO"/>
        </w:rPr>
        <w:t>6.2</w:t>
      </w:r>
      <w:r w:rsidRPr="0089109F">
        <w:rPr>
          <w:lang w:val="es-CO"/>
        </w:rPr>
        <w:tab/>
      </w:r>
      <w:r w:rsidR="00DC03F0" w:rsidRPr="0089109F">
        <w:rPr>
          <w:lang w:val="es-CO"/>
        </w:rPr>
        <w:t>El Comité toma nota</w:t>
      </w:r>
      <w:r w:rsidR="00DC2DB9" w:rsidRPr="0089109F">
        <w:rPr>
          <w:lang w:val="es-CO"/>
        </w:rPr>
        <w:t xml:space="preserve"> del argumento del Estado parte</w:t>
      </w:r>
      <w:r w:rsidR="00DC03F0" w:rsidRPr="0089109F">
        <w:rPr>
          <w:lang w:val="es-CO"/>
        </w:rPr>
        <w:t xml:space="preserve"> de que la comunicación es inadmisible en virtud de lo establecido en el </w:t>
      </w:r>
      <w:r w:rsidR="00656BF1" w:rsidRPr="0089109F">
        <w:rPr>
          <w:lang w:val="es-CO"/>
        </w:rPr>
        <w:t>artículo</w:t>
      </w:r>
      <w:r w:rsidR="00656BF1">
        <w:rPr>
          <w:lang w:val="es-CO"/>
        </w:rPr>
        <w:t> </w:t>
      </w:r>
      <w:r w:rsidR="00DC03F0" w:rsidRPr="0089109F">
        <w:rPr>
          <w:lang w:val="es-CO"/>
        </w:rPr>
        <w:t>3, párr</w:t>
      </w:r>
      <w:r w:rsidR="0085043A">
        <w:rPr>
          <w:lang w:val="es-CO"/>
        </w:rPr>
        <w:t>afo</w:t>
      </w:r>
      <w:r w:rsidR="00656BF1">
        <w:rPr>
          <w:lang w:val="es-CO"/>
        </w:rPr>
        <w:t> </w:t>
      </w:r>
      <w:r w:rsidR="00DC03F0" w:rsidRPr="0089109F">
        <w:rPr>
          <w:lang w:val="es-CO"/>
        </w:rPr>
        <w:t>1, del Protocolo Facultativo</w:t>
      </w:r>
      <w:r w:rsidR="00DC2DB9" w:rsidRPr="0089109F">
        <w:rPr>
          <w:lang w:val="es-CO"/>
        </w:rPr>
        <w:t xml:space="preserve"> </w:t>
      </w:r>
      <w:r w:rsidR="00B26AE8" w:rsidRPr="0089109F">
        <w:rPr>
          <w:rFonts w:eastAsia="SimSun"/>
          <w:lang w:val="es-CO"/>
        </w:rPr>
        <w:t xml:space="preserve">ya que, mientras alega una vulneración de la tutela judicial efectiva y vulneración del principio de tipicidad penal al argumentar una motivación arbitraria del juzgado, </w:t>
      </w:r>
      <w:r w:rsidR="00DC03F0" w:rsidRPr="0089109F">
        <w:rPr>
          <w:rFonts w:eastAsia="SimSun"/>
          <w:lang w:val="es-CO"/>
        </w:rPr>
        <w:t xml:space="preserve">el autor </w:t>
      </w:r>
      <w:r w:rsidR="00B26AE8" w:rsidRPr="0089109F">
        <w:rPr>
          <w:rFonts w:eastAsia="SimSun"/>
          <w:lang w:val="es-CO"/>
        </w:rPr>
        <w:t>no presentó</w:t>
      </w:r>
      <w:r w:rsidR="00DC03F0" w:rsidRPr="0089109F">
        <w:rPr>
          <w:rFonts w:eastAsia="SimSun"/>
          <w:lang w:val="es-CO"/>
        </w:rPr>
        <w:t xml:space="preserve"> un incidente de nulidad de actuaciones</w:t>
      </w:r>
      <w:r w:rsidR="00B26AE8" w:rsidRPr="0089109F">
        <w:rPr>
          <w:rFonts w:eastAsia="SimSun"/>
          <w:lang w:val="es-CO"/>
        </w:rPr>
        <w:t>, ni</w:t>
      </w:r>
      <w:r w:rsidR="00DC03F0" w:rsidRPr="0089109F">
        <w:rPr>
          <w:rFonts w:eastAsia="SimSun"/>
          <w:lang w:val="es-CO"/>
        </w:rPr>
        <w:t xml:space="preserve"> un recurso de amparo ante el Tribunal Constitucional.</w:t>
      </w:r>
      <w:r w:rsidR="005143A4" w:rsidRPr="0089109F">
        <w:rPr>
          <w:rFonts w:eastAsia="SimSun"/>
          <w:lang w:val="es-CO"/>
        </w:rPr>
        <w:t xml:space="preserve"> </w:t>
      </w:r>
      <w:r w:rsidR="0046411C" w:rsidRPr="0089109F">
        <w:rPr>
          <w:rFonts w:eastAsia="SimSun"/>
          <w:lang w:val="es-CO"/>
        </w:rPr>
        <w:t xml:space="preserve">El Comité también toma nota del argumento </w:t>
      </w:r>
      <w:r w:rsidR="006C231E" w:rsidRPr="0089109F">
        <w:rPr>
          <w:rFonts w:eastAsia="SimSun"/>
          <w:lang w:val="es-CO"/>
        </w:rPr>
        <w:t>del autor</w:t>
      </w:r>
      <w:r w:rsidR="0046411C" w:rsidRPr="0089109F">
        <w:rPr>
          <w:rFonts w:eastAsia="SimSun"/>
          <w:lang w:val="es-CO"/>
        </w:rPr>
        <w:t xml:space="preserve"> de que </w:t>
      </w:r>
      <w:r w:rsidR="0046411C" w:rsidRPr="0089109F">
        <w:rPr>
          <w:lang w:val="es-CO"/>
        </w:rPr>
        <w:t>el Tribunal Constitucional no tiene</w:t>
      </w:r>
      <w:r w:rsidR="005143A4" w:rsidRPr="0089109F">
        <w:rPr>
          <w:lang w:val="es-CO"/>
        </w:rPr>
        <w:t xml:space="preserve"> como función velar por la legalidad de las decisiones adoptadas por la </w:t>
      </w:r>
      <w:r w:rsidR="0085043A">
        <w:rPr>
          <w:lang w:val="es-CO"/>
        </w:rPr>
        <w:t>a</w:t>
      </w:r>
      <w:r w:rsidR="005143A4" w:rsidRPr="0089109F">
        <w:rPr>
          <w:lang w:val="es-CO"/>
        </w:rPr>
        <w:t xml:space="preserve">dministración de la </w:t>
      </w:r>
      <w:r w:rsidR="0085043A">
        <w:rPr>
          <w:lang w:val="es-CO"/>
        </w:rPr>
        <w:t>j</w:t>
      </w:r>
      <w:r w:rsidR="005143A4" w:rsidRPr="0089109F">
        <w:rPr>
          <w:lang w:val="es-CO"/>
        </w:rPr>
        <w:t>usticia</w:t>
      </w:r>
      <w:r w:rsidR="003B72E1" w:rsidRPr="0089109F">
        <w:rPr>
          <w:lang w:val="es-CO"/>
        </w:rPr>
        <w:t xml:space="preserve"> </w:t>
      </w:r>
      <w:r w:rsidR="00B26AE8" w:rsidRPr="0089109F">
        <w:rPr>
          <w:lang w:val="es-CO"/>
        </w:rPr>
        <w:t xml:space="preserve">y </w:t>
      </w:r>
      <w:r w:rsidR="003B72E1" w:rsidRPr="0089109F">
        <w:rPr>
          <w:lang w:val="es-CO"/>
        </w:rPr>
        <w:t>que</w:t>
      </w:r>
      <w:r w:rsidR="005143A4" w:rsidRPr="0089109F">
        <w:rPr>
          <w:lang w:val="es-CO"/>
        </w:rPr>
        <w:t xml:space="preserve">, para presentar un recurso de amparo por vulneración de la tutela judicial efectiva, es </w:t>
      </w:r>
      <w:r w:rsidR="00B26AE8" w:rsidRPr="0089109F">
        <w:rPr>
          <w:lang w:val="es-CO"/>
        </w:rPr>
        <w:t>necesario</w:t>
      </w:r>
      <w:r w:rsidR="005143A4" w:rsidRPr="0089109F">
        <w:rPr>
          <w:lang w:val="es-CO"/>
        </w:rPr>
        <w:t xml:space="preserve"> haber presentado un recurso de nulidad de actuaciones</w:t>
      </w:r>
      <w:r w:rsidR="00B26AE8" w:rsidRPr="0089109F">
        <w:rPr>
          <w:lang w:val="es-CO"/>
        </w:rPr>
        <w:t>. De la misma manera, el Comité nota que</w:t>
      </w:r>
      <w:r w:rsidR="005143A4" w:rsidRPr="0089109F">
        <w:rPr>
          <w:lang w:val="es-CO"/>
        </w:rPr>
        <w:t xml:space="preserve"> de acuerdo con el </w:t>
      </w:r>
      <w:r w:rsidR="00656BF1" w:rsidRPr="0089109F">
        <w:rPr>
          <w:lang w:val="es-CO"/>
        </w:rPr>
        <w:t>artículo</w:t>
      </w:r>
      <w:r w:rsidR="00656BF1">
        <w:rPr>
          <w:lang w:val="es-CO"/>
        </w:rPr>
        <w:t> </w:t>
      </w:r>
      <w:r w:rsidR="005143A4" w:rsidRPr="0089109F">
        <w:rPr>
          <w:lang w:val="es-CO"/>
        </w:rPr>
        <w:t>238</w:t>
      </w:r>
      <w:r w:rsidR="00B26AE8" w:rsidRPr="0089109F">
        <w:rPr>
          <w:lang w:val="es-CO"/>
        </w:rPr>
        <w:t xml:space="preserve"> de la Ley Orgánica del Poder Judicial</w:t>
      </w:r>
      <w:r w:rsidR="005143A4" w:rsidRPr="0089109F">
        <w:rPr>
          <w:lang w:val="es-CO"/>
        </w:rPr>
        <w:t xml:space="preserve">, para que un acto procesal sea nulo, no basta con que una </w:t>
      </w:r>
      <w:r w:rsidR="005143A4" w:rsidRPr="0089109F">
        <w:rPr>
          <w:lang w:val="es-CO"/>
        </w:rPr>
        <w:lastRenderedPageBreak/>
        <w:t xml:space="preserve">norma se haya aplicado mal o se haya infringido, sino que es necesario </w:t>
      </w:r>
      <w:r w:rsidR="001D3099" w:rsidRPr="0089109F">
        <w:rPr>
          <w:lang w:val="es-CO"/>
        </w:rPr>
        <w:t xml:space="preserve">que no se haya </w:t>
      </w:r>
      <w:r w:rsidR="005143A4" w:rsidRPr="0089109F">
        <w:rPr>
          <w:lang w:val="es-CO"/>
        </w:rPr>
        <w:t xml:space="preserve">aplicado. </w:t>
      </w:r>
    </w:p>
    <w:p w:rsidR="00DC03F0" w:rsidRPr="0089109F" w:rsidRDefault="00BB7845" w:rsidP="00567DE8">
      <w:pPr>
        <w:pStyle w:val="SingleTxtG"/>
      </w:pPr>
      <w:r w:rsidRPr="0089109F">
        <w:rPr>
          <w:lang w:val="es-CO"/>
        </w:rPr>
        <w:t>6.3</w:t>
      </w:r>
      <w:r w:rsidRPr="0089109F">
        <w:rPr>
          <w:lang w:val="es-CO"/>
        </w:rPr>
        <w:tab/>
      </w:r>
      <w:r w:rsidR="001D3099" w:rsidRPr="0089109F">
        <w:rPr>
          <w:lang w:val="es-CO"/>
        </w:rPr>
        <w:t>El Comité también nota que</w:t>
      </w:r>
      <w:r w:rsidR="00F410E2">
        <w:rPr>
          <w:lang w:val="es-CO"/>
        </w:rPr>
        <w:t>, según el autor, la cuestión no es</w:t>
      </w:r>
      <w:r w:rsidR="001D3099" w:rsidRPr="0089109F">
        <w:rPr>
          <w:lang w:val="es-CO"/>
        </w:rPr>
        <w:t xml:space="preserve"> </w:t>
      </w:r>
      <w:r w:rsidR="005143A4" w:rsidRPr="0089109F">
        <w:rPr>
          <w:lang w:val="es-CO"/>
        </w:rPr>
        <w:t>que la resolución judicial</w:t>
      </w:r>
      <w:r w:rsidR="001D3099" w:rsidRPr="0089109F">
        <w:rPr>
          <w:lang w:val="es-CO"/>
        </w:rPr>
        <w:t xml:space="preserve"> adoptada por el Juzgado n</w:t>
      </w:r>
      <w:r w:rsidR="0085043A">
        <w:rPr>
          <w:lang w:val="es-CO"/>
        </w:rPr>
        <w:t>úm.</w:t>
      </w:r>
      <w:r w:rsidR="00656BF1">
        <w:rPr>
          <w:lang w:val="es-CO"/>
        </w:rPr>
        <w:t> </w:t>
      </w:r>
      <w:r w:rsidR="001D3099" w:rsidRPr="0089109F">
        <w:rPr>
          <w:lang w:val="es-CO"/>
        </w:rPr>
        <w:t>20</w:t>
      </w:r>
      <w:r w:rsidR="005143A4" w:rsidRPr="0089109F">
        <w:rPr>
          <w:lang w:val="es-CO"/>
        </w:rPr>
        <w:t xml:space="preserve"> fuera irracional, sino que su interpretación era incompatible con el Pacto y la Constitución del Estado parte.</w:t>
      </w:r>
      <w:r w:rsidR="003B72E1" w:rsidRPr="0089109F">
        <w:rPr>
          <w:lang w:val="es-CO"/>
        </w:rPr>
        <w:t xml:space="preserve"> </w:t>
      </w:r>
      <w:r w:rsidR="001D3099" w:rsidRPr="0089109F">
        <w:rPr>
          <w:lang w:val="es-CO"/>
        </w:rPr>
        <w:t>E</w:t>
      </w:r>
      <w:r w:rsidR="003B72E1" w:rsidRPr="0089109F">
        <w:rPr>
          <w:lang w:val="es-CO"/>
        </w:rPr>
        <w:t>l Comité nota</w:t>
      </w:r>
      <w:r w:rsidR="001D3099" w:rsidRPr="0089109F">
        <w:rPr>
          <w:lang w:val="es-CO"/>
        </w:rPr>
        <w:t xml:space="preserve"> igualmente</w:t>
      </w:r>
      <w:r w:rsidR="006C231E" w:rsidRPr="0089109F">
        <w:rPr>
          <w:lang w:val="es-CO"/>
        </w:rPr>
        <w:t xml:space="preserve"> </w:t>
      </w:r>
      <w:r w:rsidR="003B72E1" w:rsidRPr="0089109F">
        <w:rPr>
          <w:lang w:val="es-CO"/>
        </w:rPr>
        <w:t xml:space="preserve">que las alegaciones </w:t>
      </w:r>
      <w:r w:rsidR="006C231E" w:rsidRPr="0089109F">
        <w:rPr>
          <w:lang w:val="es-CO"/>
        </w:rPr>
        <w:t>del autor</w:t>
      </w:r>
      <w:r w:rsidR="003B72E1" w:rsidRPr="0089109F">
        <w:rPr>
          <w:lang w:val="es-CO"/>
        </w:rPr>
        <w:t xml:space="preserve"> se encuentran estrechamente ligadas con el derecho a una vivienda adecuada </w:t>
      </w:r>
      <w:r w:rsidR="001D3099" w:rsidRPr="0089109F">
        <w:rPr>
          <w:lang w:val="es-CO"/>
        </w:rPr>
        <w:t xml:space="preserve">y </w:t>
      </w:r>
      <w:r w:rsidR="003B72E1" w:rsidRPr="0089109F">
        <w:rPr>
          <w:lang w:val="es-CO"/>
        </w:rPr>
        <w:t xml:space="preserve">que </w:t>
      </w:r>
      <w:r w:rsidR="001D3099" w:rsidRPr="0089109F">
        <w:rPr>
          <w:lang w:val="es-CO"/>
        </w:rPr>
        <w:t xml:space="preserve">dicho derecho </w:t>
      </w:r>
      <w:r w:rsidR="003B72E1" w:rsidRPr="0089109F">
        <w:rPr>
          <w:lang w:val="es-CO"/>
        </w:rPr>
        <w:t xml:space="preserve">no es recurrible mediante un recurso de amparo. Por tanto, el Comité considera que </w:t>
      </w:r>
      <w:r w:rsidR="001D3099" w:rsidRPr="0089109F">
        <w:rPr>
          <w:lang w:val="es-CO"/>
        </w:rPr>
        <w:t>el autor agotó</w:t>
      </w:r>
      <w:r w:rsidR="003B72E1" w:rsidRPr="0089109F">
        <w:rPr>
          <w:lang w:val="es-CO"/>
        </w:rPr>
        <w:t xml:space="preserve"> todos los recursos disponibles en la jurisdicción interna y que su comunicación es admisible con arreglo al </w:t>
      </w:r>
      <w:r w:rsidR="00656BF1" w:rsidRPr="0089109F">
        <w:rPr>
          <w:lang w:val="es-CO"/>
        </w:rPr>
        <w:t>artículo</w:t>
      </w:r>
      <w:r w:rsidR="00656BF1">
        <w:rPr>
          <w:lang w:val="es-CO"/>
        </w:rPr>
        <w:t> </w:t>
      </w:r>
      <w:r w:rsidR="003B72E1" w:rsidRPr="0089109F">
        <w:rPr>
          <w:lang w:val="es-CO"/>
        </w:rPr>
        <w:t xml:space="preserve">3, </w:t>
      </w:r>
      <w:r w:rsidR="00FC288D" w:rsidRPr="0089109F">
        <w:rPr>
          <w:lang w:val="es-CO"/>
        </w:rPr>
        <w:t>párr</w:t>
      </w:r>
      <w:r w:rsidR="00656BF1" w:rsidRPr="0089109F">
        <w:rPr>
          <w:lang w:val="es-CO"/>
        </w:rPr>
        <w:t>.</w:t>
      </w:r>
      <w:r w:rsidR="00656BF1">
        <w:rPr>
          <w:lang w:val="es-CO"/>
        </w:rPr>
        <w:t> </w:t>
      </w:r>
      <w:r w:rsidR="003B72E1" w:rsidRPr="0089109F">
        <w:t>1, del Protocolo Facultativo.</w:t>
      </w:r>
      <w:r w:rsidR="000057C9" w:rsidRPr="0089109F">
        <w:t xml:space="preserve"> </w:t>
      </w:r>
    </w:p>
    <w:p w:rsidR="006F5797" w:rsidRPr="0089109F" w:rsidRDefault="00BB7845" w:rsidP="00567DE8">
      <w:pPr>
        <w:pStyle w:val="SingleTxtG"/>
        <w:rPr>
          <w:lang w:val="es-CO"/>
        </w:rPr>
      </w:pPr>
      <w:r w:rsidRPr="0089109F">
        <w:rPr>
          <w:lang w:val="es-CO"/>
        </w:rPr>
        <w:t>6.4</w:t>
      </w:r>
      <w:r w:rsidRPr="0089109F">
        <w:rPr>
          <w:lang w:val="es-CO"/>
        </w:rPr>
        <w:tab/>
      </w:r>
      <w:r w:rsidR="001D3099" w:rsidRPr="0089109F">
        <w:rPr>
          <w:lang w:val="es-CO"/>
        </w:rPr>
        <w:t>Por lo que se refiere a</w:t>
      </w:r>
      <w:r w:rsidR="00D76D7E" w:rsidRPr="0089109F">
        <w:rPr>
          <w:lang w:val="es-CO"/>
        </w:rPr>
        <w:t xml:space="preserve"> las alegaciones </w:t>
      </w:r>
      <w:r w:rsidR="006C231E" w:rsidRPr="0089109F">
        <w:rPr>
          <w:lang w:val="es-CO"/>
        </w:rPr>
        <w:t>del autor</w:t>
      </w:r>
      <w:r w:rsidR="001D3099" w:rsidRPr="0089109F">
        <w:rPr>
          <w:lang w:val="es-CO"/>
        </w:rPr>
        <w:t xml:space="preserve"> según las cuales</w:t>
      </w:r>
      <w:r w:rsidR="00FC288D" w:rsidRPr="0089109F">
        <w:rPr>
          <w:lang w:val="es-CO"/>
        </w:rPr>
        <w:t xml:space="preserve"> </w:t>
      </w:r>
      <w:r w:rsidR="009204E2" w:rsidRPr="0089109F">
        <w:rPr>
          <w:lang w:val="es-CO"/>
        </w:rPr>
        <w:t>su</w:t>
      </w:r>
      <w:r w:rsidR="00CF6DDD" w:rsidRPr="0089109F">
        <w:rPr>
          <w:lang w:val="es-CO"/>
        </w:rPr>
        <w:t xml:space="preserve"> condena por usurpación es ilegal y arbitraria </w:t>
      </w:r>
      <w:r w:rsidR="001D3099" w:rsidRPr="0089109F">
        <w:rPr>
          <w:lang w:val="es-CO"/>
        </w:rPr>
        <w:t>ya que corresponde</w:t>
      </w:r>
      <w:r w:rsidR="00CF6DDD" w:rsidRPr="0089109F">
        <w:rPr>
          <w:lang w:val="es-CO"/>
        </w:rPr>
        <w:t xml:space="preserve"> a una interpretación </w:t>
      </w:r>
      <w:r w:rsidR="009204E2" w:rsidRPr="0089109F">
        <w:rPr>
          <w:lang w:val="es-CO"/>
        </w:rPr>
        <w:t>de</w:t>
      </w:r>
      <w:r w:rsidR="001D3099" w:rsidRPr="0089109F">
        <w:rPr>
          <w:lang w:val="es-CO"/>
        </w:rPr>
        <w:t xml:space="preserve">l </w:t>
      </w:r>
      <w:r w:rsidR="00656BF1" w:rsidRPr="0089109F">
        <w:rPr>
          <w:lang w:val="es-CO"/>
        </w:rPr>
        <w:t>artículo</w:t>
      </w:r>
      <w:r w:rsidR="00656BF1">
        <w:rPr>
          <w:lang w:val="es-CO"/>
        </w:rPr>
        <w:t> </w:t>
      </w:r>
      <w:r w:rsidR="00CF6DDD" w:rsidRPr="0089109F">
        <w:rPr>
          <w:lang w:val="es-CO"/>
        </w:rPr>
        <w:t xml:space="preserve">245.2 del Código Penal que es incompatible con los derechos fundamentales protegidos por la Constitución del Estado parte y el </w:t>
      </w:r>
      <w:r w:rsidR="00656BF1" w:rsidRPr="0089109F">
        <w:rPr>
          <w:lang w:val="es-CO"/>
        </w:rPr>
        <w:t>artículo</w:t>
      </w:r>
      <w:r w:rsidR="00656BF1">
        <w:rPr>
          <w:lang w:val="es-CO"/>
        </w:rPr>
        <w:t> </w:t>
      </w:r>
      <w:r w:rsidR="00CF6DDD" w:rsidRPr="0089109F">
        <w:rPr>
          <w:lang w:val="es-CO"/>
        </w:rPr>
        <w:t>11 del Pacto</w:t>
      </w:r>
      <w:r w:rsidR="001D3099" w:rsidRPr="0089109F">
        <w:rPr>
          <w:lang w:val="es-CO"/>
        </w:rPr>
        <w:t>, e</w:t>
      </w:r>
      <w:r w:rsidR="00D76D7E" w:rsidRPr="0089109F">
        <w:rPr>
          <w:lang w:val="es-CO"/>
        </w:rPr>
        <w:t xml:space="preserve">l Comité toma nota de las observaciones del Estado parte de que estas alegaciones </w:t>
      </w:r>
      <w:r w:rsidR="00753EEA" w:rsidRPr="0089109F">
        <w:rPr>
          <w:lang w:val="es-CO"/>
        </w:rPr>
        <w:t xml:space="preserve">son manifiestamente infundadas y </w:t>
      </w:r>
      <w:r w:rsidR="00D76D7E" w:rsidRPr="0089109F">
        <w:rPr>
          <w:lang w:val="es-CO"/>
        </w:rPr>
        <w:t>no demuestran una vio</w:t>
      </w:r>
      <w:r w:rsidR="00753EEA" w:rsidRPr="0089109F">
        <w:rPr>
          <w:lang w:val="es-CO"/>
        </w:rPr>
        <w:t xml:space="preserve">lación </w:t>
      </w:r>
      <w:r w:rsidR="001D3099" w:rsidRPr="0089109F">
        <w:rPr>
          <w:lang w:val="es-CO"/>
        </w:rPr>
        <w:t xml:space="preserve">de </w:t>
      </w:r>
      <w:r w:rsidR="00753EEA" w:rsidRPr="0089109F">
        <w:rPr>
          <w:lang w:val="es-CO"/>
        </w:rPr>
        <w:t>los derechos del Pacto</w:t>
      </w:r>
      <w:r w:rsidR="00D76D7E" w:rsidRPr="0089109F">
        <w:rPr>
          <w:lang w:val="es-CO"/>
        </w:rPr>
        <w:t>.</w:t>
      </w:r>
      <w:r w:rsidR="00753EEA" w:rsidRPr="0089109F">
        <w:rPr>
          <w:lang w:val="es-CO"/>
        </w:rPr>
        <w:t xml:space="preserve"> </w:t>
      </w:r>
      <w:r w:rsidR="001D3099" w:rsidRPr="0089109F">
        <w:rPr>
          <w:lang w:val="es-CO"/>
        </w:rPr>
        <w:t>El Comité también nota</w:t>
      </w:r>
      <w:r w:rsidR="00D76D7E" w:rsidRPr="0089109F">
        <w:rPr>
          <w:lang w:val="es-CO"/>
        </w:rPr>
        <w:t xml:space="preserve"> que las alegaciones </w:t>
      </w:r>
      <w:r w:rsidR="009204E2" w:rsidRPr="0089109F">
        <w:rPr>
          <w:lang w:val="es-CO"/>
        </w:rPr>
        <w:t>del autor</w:t>
      </w:r>
      <w:r w:rsidR="00753EEA" w:rsidRPr="0089109F">
        <w:rPr>
          <w:lang w:val="es-CO"/>
        </w:rPr>
        <w:t xml:space="preserve"> fundamentalmente cuestionan la interpretación de la legislación nacional utilizada por el Juzgado n</w:t>
      </w:r>
      <w:r w:rsidR="00F65B22">
        <w:rPr>
          <w:lang w:val="es-CO"/>
        </w:rPr>
        <w:t>úm.</w:t>
      </w:r>
      <w:r w:rsidR="00656BF1">
        <w:rPr>
          <w:lang w:val="es-CO"/>
        </w:rPr>
        <w:t> </w:t>
      </w:r>
      <w:r w:rsidR="00753EEA" w:rsidRPr="0089109F">
        <w:rPr>
          <w:lang w:val="es-CO"/>
        </w:rPr>
        <w:t xml:space="preserve">20 y </w:t>
      </w:r>
      <w:r w:rsidR="001D3099" w:rsidRPr="0089109F">
        <w:rPr>
          <w:lang w:val="es-CO"/>
        </w:rPr>
        <w:t xml:space="preserve">por </w:t>
      </w:r>
      <w:r w:rsidR="00753EEA" w:rsidRPr="0089109F">
        <w:rPr>
          <w:lang w:val="es-CO"/>
        </w:rPr>
        <w:t>la Audiencia Provincial, en particular</w:t>
      </w:r>
      <w:r w:rsidR="003106E9" w:rsidRPr="0089109F">
        <w:rPr>
          <w:lang w:val="es-CO"/>
        </w:rPr>
        <w:t xml:space="preserve"> para determinar </w:t>
      </w:r>
      <w:r w:rsidR="00753EEA" w:rsidRPr="0089109F">
        <w:rPr>
          <w:lang w:val="es-CO"/>
        </w:rPr>
        <w:t xml:space="preserve">si existe una excepción en la definición del delito de usurpación en virtud de la cual una persona no </w:t>
      </w:r>
      <w:r w:rsidR="003106E9" w:rsidRPr="0089109F">
        <w:rPr>
          <w:lang w:val="es-CO"/>
        </w:rPr>
        <w:t xml:space="preserve">podría </w:t>
      </w:r>
      <w:r w:rsidR="00753EEA" w:rsidRPr="0089109F">
        <w:rPr>
          <w:lang w:val="es-CO"/>
        </w:rPr>
        <w:t xml:space="preserve">ser condenada por tal delito si ocupa un inmueble con el objetivo de que constituya su vivienda. </w:t>
      </w:r>
      <w:r w:rsidR="00D76D7E" w:rsidRPr="0089109F">
        <w:rPr>
          <w:lang w:val="es-CO"/>
        </w:rPr>
        <w:t>A este respecto, el Comité recuerda su jurisprudencia, según la cual su labor al examinar una comunicación se circunscribe a analizar si los hechos descritos, incluida la aplicación de la legislación nacional, revelan una violación por el Estado parte de los derechos económicos, sociales y culturales enunciados en el Pacto</w:t>
      </w:r>
      <w:r w:rsidR="00F65B22">
        <w:rPr>
          <w:lang w:val="es-CO"/>
        </w:rPr>
        <w:t>,</w:t>
      </w:r>
      <w:r w:rsidR="00D76D7E" w:rsidRPr="0089109F">
        <w:rPr>
          <w:lang w:val="es-CO"/>
        </w:rPr>
        <w:t xml:space="preserve"> y que incumbe en primer lugar a los tribunales de los Estados partes evaluar los hechos y las pruebas en cada caso particular, así como interpretar la legislación relevante</w:t>
      </w:r>
      <w:r w:rsidR="007D298B">
        <w:rPr>
          <w:rStyle w:val="Refdenotaalpie"/>
        </w:rPr>
        <w:footnoteReference w:id="6"/>
      </w:r>
      <w:r w:rsidR="00D76D7E" w:rsidRPr="0089109F">
        <w:rPr>
          <w:lang w:val="es-CO"/>
        </w:rPr>
        <w:t xml:space="preserve">. El Comité solo está llamado a pronunciarse sobre la evaluación probatoria o la interpretación del derecho interno aplicado al caso en cuestión cuando </w:t>
      </w:r>
      <w:r w:rsidR="00D9127F">
        <w:rPr>
          <w:lang w:val="es-CO"/>
        </w:rPr>
        <w:t>e</w:t>
      </w:r>
      <w:r w:rsidR="00334472" w:rsidRPr="0089109F">
        <w:rPr>
          <w:lang w:val="es-CO"/>
        </w:rPr>
        <w:t>sta</w:t>
      </w:r>
      <w:r w:rsidR="00D76D7E" w:rsidRPr="0089109F">
        <w:rPr>
          <w:lang w:val="es-CO"/>
        </w:rPr>
        <w:t xml:space="preserve"> conllevara la violación de un</w:t>
      </w:r>
      <w:r w:rsidR="00DB0F84" w:rsidRPr="0089109F">
        <w:rPr>
          <w:lang w:val="es-CO"/>
        </w:rPr>
        <w:t xml:space="preserve"> derecho reconocido en el Pacto</w:t>
      </w:r>
      <w:r w:rsidR="007D298B">
        <w:rPr>
          <w:rStyle w:val="Refdenotaalpie"/>
        </w:rPr>
        <w:footnoteReference w:id="7"/>
      </w:r>
      <w:r w:rsidR="00D76D7E" w:rsidRPr="0089109F">
        <w:rPr>
          <w:lang w:val="es-CO"/>
        </w:rPr>
        <w:t xml:space="preserve">. En esta perspectiva, corresponde principalmente al autor de la comunicación proveer al Comité con la información y documentación suficientes que puedan demostrar que uno de los supuestos anteriores concurre en su caso. El Comité ha examinado los materiales presentados por </w:t>
      </w:r>
      <w:r w:rsidR="00334472" w:rsidRPr="0089109F">
        <w:rPr>
          <w:lang w:val="es-CO"/>
        </w:rPr>
        <w:t>el autor</w:t>
      </w:r>
      <w:r w:rsidR="00753EEA" w:rsidRPr="0089109F">
        <w:rPr>
          <w:lang w:val="es-CO"/>
        </w:rPr>
        <w:t xml:space="preserve">, </w:t>
      </w:r>
      <w:r w:rsidR="00862B88" w:rsidRPr="0089109F">
        <w:rPr>
          <w:lang w:val="es-CO"/>
        </w:rPr>
        <w:t>incluidas</w:t>
      </w:r>
      <w:r w:rsidR="00753EEA" w:rsidRPr="0089109F">
        <w:rPr>
          <w:lang w:val="es-CO"/>
        </w:rPr>
        <w:t xml:space="preserve"> las decisiones del Juzgado n</w:t>
      </w:r>
      <w:r w:rsidR="00D9127F">
        <w:rPr>
          <w:lang w:val="es-CO"/>
        </w:rPr>
        <w:t>úm.</w:t>
      </w:r>
      <w:r w:rsidR="00656BF1">
        <w:rPr>
          <w:lang w:val="es-CO"/>
        </w:rPr>
        <w:t> </w:t>
      </w:r>
      <w:r w:rsidR="00753EEA" w:rsidRPr="0089109F">
        <w:rPr>
          <w:lang w:val="es-CO"/>
        </w:rPr>
        <w:t xml:space="preserve">20 y de la Audiencia Provincial de 19 de abril de 2016 y de 11 de julio de 2016 </w:t>
      </w:r>
      <w:r w:rsidR="00D76D7E" w:rsidRPr="0089109F">
        <w:rPr>
          <w:lang w:val="es-CO"/>
        </w:rPr>
        <w:t xml:space="preserve">respectivamente, y considera que </w:t>
      </w:r>
      <w:r w:rsidR="00C663DA" w:rsidRPr="0089109F">
        <w:rPr>
          <w:lang w:val="es-CO"/>
        </w:rPr>
        <w:t>no</w:t>
      </w:r>
      <w:r w:rsidR="00862B88" w:rsidRPr="0089109F">
        <w:rPr>
          <w:lang w:val="es-CO"/>
        </w:rPr>
        <w:t xml:space="preserve"> </w:t>
      </w:r>
      <w:r w:rsidR="00D76D7E" w:rsidRPr="0089109F">
        <w:rPr>
          <w:lang w:val="es-CO"/>
        </w:rPr>
        <w:t xml:space="preserve">muestran que </w:t>
      </w:r>
      <w:r w:rsidR="00334472" w:rsidRPr="0089109F">
        <w:rPr>
          <w:lang w:val="es-CO"/>
        </w:rPr>
        <w:t xml:space="preserve">la sentencia condenatoria </w:t>
      </w:r>
      <w:r w:rsidR="00862B88" w:rsidRPr="0089109F">
        <w:rPr>
          <w:lang w:val="es-CO"/>
        </w:rPr>
        <w:t>adoleciese de tales defectos.</w:t>
      </w:r>
      <w:r w:rsidR="00D76D7E" w:rsidRPr="0089109F">
        <w:rPr>
          <w:lang w:val="es-CO"/>
        </w:rPr>
        <w:t xml:space="preserve"> </w:t>
      </w:r>
    </w:p>
    <w:p w:rsidR="002C1FAA" w:rsidRPr="0089109F" w:rsidRDefault="006F5797" w:rsidP="00567DE8">
      <w:pPr>
        <w:pStyle w:val="SingleTxtG"/>
        <w:rPr>
          <w:lang w:val="es-CO"/>
        </w:rPr>
      </w:pPr>
      <w:r w:rsidRPr="0089109F">
        <w:rPr>
          <w:lang w:val="es-CO"/>
        </w:rPr>
        <w:t>6.5</w:t>
      </w:r>
      <w:r w:rsidRPr="0089109F">
        <w:rPr>
          <w:lang w:val="es-CO"/>
        </w:rPr>
        <w:tab/>
      </w:r>
      <w:r w:rsidR="003458A0" w:rsidRPr="0089109F">
        <w:rPr>
          <w:lang w:val="es-CO"/>
        </w:rPr>
        <w:t>P</w:t>
      </w:r>
      <w:r w:rsidR="003458A0">
        <w:rPr>
          <w:lang w:val="es-CO"/>
        </w:rPr>
        <w:t xml:space="preserve">odría considerarse que en realidad el autor no cuestiona un error de interpretación de la ley nacional por los jueces del Estado parte, lo cual, como ya se explicó, escapa a la competencia del Comité, sino que el autor considera que el </w:t>
      </w:r>
      <w:r w:rsidR="00656BF1">
        <w:rPr>
          <w:lang w:val="es-CO"/>
        </w:rPr>
        <w:t>artículo </w:t>
      </w:r>
      <w:r w:rsidR="003458A0">
        <w:rPr>
          <w:lang w:val="es-CO"/>
        </w:rPr>
        <w:t xml:space="preserve">11 del Pacto </w:t>
      </w:r>
      <w:r w:rsidR="00412BFB">
        <w:rPr>
          <w:lang w:val="es-CO"/>
        </w:rPr>
        <w:t>fue violado por</w:t>
      </w:r>
      <w:r w:rsidR="003458A0">
        <w:rPr>
          <w:lang w:val="es-CO"/>
        </w:rPr>
        <w:t xml:space="preserve">que el Estado parte </w:t>
      </w:r>
      <w:r w:rsidR="00412BFB">
        <w:rPr>
          <w:lang w:val="es-CO"/>
        </w:rPr>
        <w:t>lo sancionó</w:t>
      </w:r>
      <w:r w:rsidR="003458A0">
        <w:rPr>
          <w:lang w:val="es-CO"/>
        </w:rPr>
        <w:t xml:space="preserve"> con el delito de </w:t>
      </w:r>
      <w:r w:rsidR="00412BFB">
        <w:rPr>
          <w:lang w:val="es-CO"/>
        </w:rPr>
        <w:t xml:space="preserve">usurpación por haber ocupado un inmueble para usarlo como vivienda, sin importar si los jueces interpretaron o no adecuadamente el ordenamiento legal. Pero para que esa petición pudiera ser estudiada por el Comité </w:t>
      </w:r>
      <w:r w:rsidR="00053D9E">
        <w:rPr>
          <w:lang w:val="es-CO"/>
        </w:rPr>
        <w:t>sería</w:t>
      </w:r>
      <w:r w:rsidR="00412BFB">
        <w:rPr>
          <w:lang w:val="es-CO"/>
        </w:rPr>
        <w:t xml:space="preserve"> necesario que el autor mostrara en concreto que su condena por el delito de usurpaci</w:t>
      </w:r>
      <w:r w:rsidR="002D4BDB">
        <w:rPr>
          <w:lang w:val="es-CO"/>
        </w:rPr>
        <w:t>ón afectó</w:t>
      </w:r>
      <w:r w:rsidR="00412BFB">
        <w:rPr>
          <w:lang w:val="es-CO"/>
        </w:rPr>
        <w:t xml:space="preserve"> </w:t>
      </w:r>
      <w:r w:rsidR="00634CA0">
        <w:rPr>
          <w:lang w:val="es-CO"/>
        </w:rPr>
        <w:t xml:space="preserve">en alguna forma </w:t>
      </w:r>
      <w:r w:rsidR="00412BFB">
        <w:rPr>
          <w:lang w:val="es-CO"/>
        </w:rPr>
        <w:t xml:space="preserve">su derecho a la vivienda. </w:t>
      </w:r>
      <w:r w:rsidR="00053D9E">
        <w:rPr>
          <w:lang w:val="es-CO"/>
        </w:rPr>
        <w:t>Sin embargo,</w:t>
      </w:r>
      <w:r w:rsidR="002D4BDB">
        <w:rPr>
          <w:lang w:val="es-CO"/>
        </w:rPr>
        <w:t xml:space="preserve"> el autor no cumplió con esa mínima exigencia sino que se limitó a señalar que no debía haber sido condenado por usurpación</w:t>
      </w:r>
      <w:r w:rsidR="00A2781C">
        <w:rPr>
          <w:lang w:val="es-CO"/>
        </w:rPr>
        <w:t xml:space="preserve">. </w:t>
      </w:r>
      <w:r w:rsidR="00C663DA" w:rsidRPr="0089109F">
        <w:rPr>
          <w:lang w:val="es-CO"/>
        </w:rPr>
        <w:t>En vista de lo anterior</w:t>
      </w:r>
      <w:r w:rsidR="00D76D7E" w:rsidRPr="0089109F">
        <w:rPr>
          <w:lang w:val="es-CO"/>
        </w:rPr>
        <w:t>, el Comité estima que no le corresponde interpretar el ordenamiento jurídico del Estado parte y determinar si</w:t>
      </w:r>
      <w:r w:rsidR="00334472" w:rsidRPr="0089109F">
        <w:rPr>
          <w:lang w:val="es-CO"/>
        </w:rPr>
        <w:t xml:space="preserve"> el autor debía ser condenado por</w:t>
      </w:r>
      <w:r w:rsidR="00862B88" w:rsidRPr="0089109F">
        <w:rPr>
          <w:lang w:val="es-CO"/>
        </w:rPr>
        <w:t xml:space="preserve"> un delito de usurpación</w:t>
      </w:r>
      <w:r w:rsidR="00D76D7E" w:rsidRPr="0089109F">
        <w:rPr>
          <w:lang w:val="es-CO"/>
        </w:rPr>
        <w:t xml:space="preserve">. Por lo tanto, el Comité considera que </w:t>
      </w:r>
      <w:r w:rsidR="00334472" w:rsidRPr="0089109F">
        <w:rPr>
          <w:lang w:val="es-CO"/>
        </w:rPr>
        <w:t>el autor</w:t>
      </w:r>
      <w:r w:rsidR="00D76D7E" w:rsidRPr="0089109F">
        <w:rPr>
          <w:lang w:val="es-CO"/>
        </w:rPr>
        <w:t xml:space="preserve"> no ha fundamentado suficientemente</w:t>
      </w:r>
      <w:r w:rsidR="00862B88" w:rsidRPr="0089109F">
        <w:rPr>
          <w:lang w:val="es-CO"/>
        </w:rPr>
        <w:t xml:space="preserve"> sus alegaciones con relación al artículo 11 </w:t>
      </w:r>
      <w:r w:rsidR="00D76D7E" w:rsidRPr="0089109F">
        <w:rPr>
          <w:lang w:val="es-CO"/>
        </w:rPr>
        <w:t xml:space="preserve">del Pacto y que </w:t>
      </w:r>
      <w:r w:rsidR="00034374">
        <w:rPr>
          <w:lang w:val="es-CO"/>
        </w:rPr>
        <w:t>e</w:t>
      </w:r>
      <w:r w:rsidR="00862B88" w:rsidRPr="0089109F">
        <w:rPr>
          <w:lang w:val="es-CO"/>
        </w:rPr>
        <w:t>stas son inadmisibles</w:t>
      </w:r>
      <w:r w:rsidR="00D76D7E" w:rsidRPr="0089109F">
        <w:rPr>
          <w:lang w:val="es-CO"/>
        </w:rPr>
        <w:t xml:space="preserve"> con arreglo al </w:t>
      </w:r>
      <w:r w:rsidR="00656BF1" w:rsidRPr="0089109F">
        <w:rPr>
          <w:lang w:val="es-CO"/>
        </w:rPr>
        <w:t>artículo</w:t>
      </w:r>
      <w:r w:rsidR="00656BF1">
        <w:rPr>
          <w:lang w:val="es-CO"/>
        </w:rPr>
        <w:t> </w:t>
      </w:r>
      <w:r w:rsidR="00D76D7E" w:rsidRPr="0089109F">
        <w:rPr>
          <w:lang w:val="es-CO"/>
        </w:rPr>
        <w:t>3, párr</w:t>
      </w:r>
      <w:r w:rsidR="00034374">
        <w:rPr>
          <w:lang w:val="es-CO"/>
        </w:rPr>
        <w:t>afo</w:t>
      </w:r>
      <w:r w:rsidR="00656BF1">
        <w:rPr>
          <w:lang w:val="es-CO"/>
        </w:rPr>
        <w:t> </w:t>
      </w:r>
      <w:r w:rsidR="00D76D7E" w:rsidRPr="0089109F">
        <w:rPr>
          <w:lang w:val="es-CO"/>
        </w:rPr>
        <w:t>2, ap</w:t>
      </w:r>
      <w:r w:rsidR="00034374">
        <w:rPr>
          <w:lang w:val="es-CO"/>
        </w:rPr>
        <w:t>arta</w:t>
      </w:r>
      <w:r w:rsidR="00D76D7E" w:rsidRPr="0089109F">
        <w:rPr>
          <w:lang w:val="es-CO"/>
        </w:rPr>
        <w:t>do e), del Protocolo Facultativo.</w:t>
      </w:r>
    </w:p>
    <w:p w:rsidR="00D76D7E" w:rsidRPr="0089109F" w:rsidRDefault="006345C7" w:rsidP="00CE6969">
      <w:pPr>
        <w:pStyle w:val="H1G"/>
        <w:rPr>
          <w:lang w:val="es-CO"/>
        </w:rPr>
      </w:pPr>
      <w:r w:rsidRPr="0089109F">
        <w:rPr>
          <w:lang w:val="es-CO"/>
        </w:rPr>
        <w:lastRenderedPageBreak/>
        <w:tab/>
      </w:r>
      <w:r w:rsidR="00D76D7E" w:rsidRPr="0089109F">
        <w:rPr>
          <w:lang w:val="es-CO"/>
        </w:rPr>
        <w:t>C.</w:t>
      </w:r>
      <w:r w:rsidR="00D76D7E" w:rsidRPr="0089109F">
        <w:rPr>
          <w:lang w:val="es-CO"/>
        </w:rPr>
        <w:tab/>
        <w:t>Conclusión</w:t>
      </w:r>
    </w:p>
    <w:p w:rsidR="00D76D7E" w:rsidRPr="00D76D7E" w:rsidRDefault="007D298B" w:rsidP="00567DE8">
      <w:pPr>
        <w:pStyle w:val="SingleTxtG"/>
      </w:pPr>
      <w:r>
        <w:t>7</w:t>
      </w:r>
      <w:r w:rsidR="00D76D7E" w:rsidRPr="00D76D7E">
        <w:t>.</w:t>
      </w:r>
      <w:r w:rsidR="00D76D7E" w:rsidRPr="00D76D7E">
        <w:tab/>
        <w:t xml:space="preserve">Tomando en consideración toda la información proporcionada, el Comité, actuando en virtud del </w:t>
      </w:r>
      <w:r w:rsidR="00D76D7E" w:rsidRPr="0089109F">
        <w:rPr>
          <w:lang w:val="es-CO"/>
        </w:rPr>
        <w:t>Protocolo</w:t>
      </w:r>
      <w:r w:rsidR="00D76D7E" w:rsidRPr="00D76D7E">
        <w:t xml:space="preserve"> Facultativo, dictamina que la comunicación es inadmisible</w:t>
      </w:r>
      <w:r w:rsidR="00CE38F9" w:rsidRPr="00CE38F9">
        <w:t xml:space="preserve"> </w:t>
      </w:r>
      <w:r w:rsidR="00CE38F9" w:rsidRPr="00D76D7E">
        <w:t xml:space="preserve">de conformidad con el </w:t>
      </w:r>
      <w:r w:rsidR="00656BF1" w:rsidRPr="00D76D7E">
        <w:t>artículo</w:t>
      </w:r>
      <w:r w:rsidR="00656BF1">
        <w:t> </w:t>
      </w:r>
      <w:r w:rsidR="00CE38F9" w:rsidRPr="00D76D7E">
        <w:t>3, párr</w:t>
      </w:r>
      <w:r w:rsidR="00FD7B9E">
        <w:t>afo</w:t>
      </w:r>
      <w:r w:rsidR="00656BF1">
        <w:t> </w:t>
      </w:r>
      <w:r w:rsidR="00CE38F9" w:rsidRPr="00D76D7E">
        <w:t>2, ap</w:t>
      </w:r>
      <w:r w:rsidR="00FD7B9E">
        <w:t>arta</w:t>
      </w:r>
      <w:r w:rsidR="00CE38F9" w:rsidRPr="00D76D7E">
        <w:t>do e), del Protocolo Facultati</w:t>
      </w:r>
      <w:r w:rsidR="00CE38F9">
        <w:t>vo</w:t>
      </w:r>
      <w:r w:rsidR="00D76D7E" w:rsidRPr="00D76D7E">
        <w:t>.</w:t>
      </w:r>
    </w:p>
    <w:p w:rsidR="00D76D7E" w:rsidRDefault="007D298B" w:rsidP="00567DE8">
      <w:pPr>
        <w:pStyle w:val="SingleTxtG"/>
        <w:rPr>
          <w:bCs/>
        </w:rPr>
      </w:pPr>
      <w:r>
        <w:rPr>
          <w:bCs/>
        </w:rPr>
        <w:t>8</w:t>
      </w:r>
      <w:r w:rsidR="00D76D7E" w:rsidRPr="00D76D7E">
        <w:rPr>
          <w:bCs/>
        </w:rPr>
        <w:t>.</w:t>
      </w:r>
      <w:r w:rsidR="00CE38F9">
        <w:rPr>
          <w:bCs/>
        </w:rPr>
        <w:tab/>
        <w:t xml:space="preserve">Por lo tanto, el Comité decide que </w:t>
      </w:r>
      <w:r w:rsidR="00D76D7E" w:rsidRPr="00D76D7E">
        <w:rPr>
          <w:bCs/>
        </w:rPr>
        <w:t xml:space="preserve">en virtud del </w:t>
      </w:r>
      <w:r w:rsidR="00656BF1" w:rsidRPr="00D76D7E">
        <w:rPr>
          <w:bCs/>
        </w:rPr>
        <w:t>artículo</w:t>
      </w:r>
      <w:r w:rsidR="00656BF1">
        <w:rPr>
          <w:bCs/>
        </w:rPr>
        <w:t> </w:t>
      </w:r>
      <w:r w:rsidR="00D76D7E" w:rsidRPr="00D76D7E">
        <w:rPr>
          <w:bCs/>
        </w:rPr>
        <w:t>9, párr</w:t>
      </w:r>
      <w:r w:rsidR="00FD7B9E">
        <w:rPr>
          <w:bCs/>
        </w:rPr>
        <w:t>afo</w:t>
      </w:r>
      <w:r w:rsidR="00656BF1">
        <w:rPr>
          <w:bCs/>
        </w:rPr>
        <w:t> </w:t>
      </w:r>
      <w:r w:rsidR="00D76D7E" w:rsidRPr="00D76D7E">
        <w:rPr>
          <w:bCs/>
        </w:rPr>
        <w:t>1, del Protocolo Facultativo, el presente dictamen será transmitido al autor de la comunicación y al Estado parte.</w:t>
      </w:r>
    </w:p>
    <w:p w:rsidR="00CE6969" w:rsidRPr="00567DE8" w:rsidRDefault="007D70A8" w:rsidP="007D70A8">
      <w:pPr>
        <w:pStyle w:val="SingleTxtG"/>
        <w:spacing w:before="240" w:after="0"/>
        <w:jc w:val="center"/>
        <w:rPr>
          <w:u w:val="single"/>
        </w:rPr>
      </w:pPr>
      <w:r w:rsidRPr="00567DE8">
        <w:rPr>
          <w:u w:val="single"/>
        </w:rPr>
        <w:tab/>
      </w:r>
      <w:r w:rsidRPr="00567DE8">
        <w:rPr>
          <w:u w:val="single"/>
        </w:rPr>
        <w:tab/>
      </w:r>
      <w:r w:rsidRPr="00567DE8">
        <w:rPr>
          <w:u w:val="single"/>
        </w:rPr>
        <w:tab/>
      </w:r>
      <w:r w:rsidR="00A145E3">
        <w:rPr>
          <w:u w:val="single"/>
        </w:rPr>
        <w:tab/>
      </w:r>
    </w:p>
    <w:sectPr w:rsidR="00CE6969" w:rsidRPr="00567DE8" w:rsidSect="00567DE8">
      <w:headerReference w:type="even" r:id="rId9"/>
      <w:headerReference w:type="default" r:id="rId10"/>
      <w:footerReference w:type="even" r:id="rId11"/>
      <w:footerReference w:type="default" r:id="rId12"/>
      <w:footerReference w:type="first" r:id="rId13"/>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991" w:rsidRDefault="00A34991">
      <w:r>
        <w:separator/>
      </w:r>
    </w:p>
  </w:endnote>
  <w:endnote w:type="continuationSeparator" w:id="0">
    <w:p w:rsidR="00A34991" w:rsidRDefault="00A3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FAA" w:rsidRPr="00995641" w:rsidRDefault="002C1FAA" w:rsidP="00995641">
    <w:pPr>
      <w:pStyle w:val="Piedepgina"/>
      <w:tabs>
        <w:tab w:val="right" w:pos="9638"/>
      </w:tabs>
    </w:pPr>
    <w:r>
      <w:fldChar w:fldCharType="begin"/>
    </w:r>
    <w:r>
      <w:instrText xml:space="preserve"> PAGE  \* MERGEFORMAT </w:instrText>
    </w:r>
    <w:r>
      <w:fldChar w:fldCharType="separate"/>
    </w:r>
    <w:r w:rsidR="0088473B" w:rsidRPr="0088473B">
      <w:rPr>
        <w:b/>
        <w:noProof/>
        <w:sz w:val="18"/>
      </w:rPr>
      <w:t>2</w:t>
    </w:r>
    <w:r>
      <w:rPr>
        <w:b/>
        <w:noProof/>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FAA" w:rsidRPr="00995641" w:rsidRDefault="002C1FAA" w:rsidP="00995641">
    <w:pPr>
      <w:pStyle w:val="Piedepgina"/>
      <w:tabs>
        <w:tab w:val="right" w:pos="9638"/>
      </w:tabs>
      <w:rPr>
        <w:b/>
        <w:sz w:val="18"/>
      </w:rPr>
    </w:pPr>
    <w:r>
      <w:tab/>
    </w:r>
    <w:r>
      <w:fldChar w:fldCharType="begin"/>
    </w:r>
    <w:r>
      <w:instrText xml:space="preserve"> PAGE  \* MERGEFORMAT </w:instrText>
    </w:r>
    <w:r>
      <w:fldChar w:fldCharType="separate"/>
    </w:r>
    <w:r w:rsidR="0088473B" w:rsidRPr="0088473B">
      <w:rPr>
        <w:b/>
        <w:noProof/>
        <w:sz w:val="18"/>
      </w:rPr>
      <w:t>5</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FAA" w:rsidRPr="00B100EF" w:rsidRDefault="00B100EF" w:rsidP="00B100EF">
    <w:pPr>
      <w:pStyle w:val="Piedepgina"/>
      <w:spacing w:before="120" w:line="240" w:lineRule="auto"/>
      <w:rPr>
        <w:sz w:val="20"/>
      </w:rPr>
    </w:pPr>
    <w:r>
      <w:rPr>
        <w:sz w:val="20"/>
      </w:rPr>
      <w:t>GE.18-19314  (S)</w:t>
    </w:r>
    <w:r>
      <w:rPr>
        <w:sz w:val="20"/>
      </w:rPr>
      <w:br/>
    </w:r>
    <w:r w:rsidRPr="00B100EF">
      <w:rPr>
        <w:rFonts w:ascii="C39T30Lfz" w:hAnsi="C39T30Lfz"/>
        <w:sz w:val="56"/>
      </w:rPr>
      <w:t></w:t>
    </w:r>
    <w:r w:rsidRPr="00B100EF">
      <w:rPr>
        <w:rFonts w:ascii="C39T30Lfz" w:hAnsi="C39T30Lfz"/>
        <w:sz w:val="56"/>
      </w:rPr>
      <w:t></w:t>
    </w:r>
    <w:r w:rsidRPr="00B100EF">
      <w:rPr>
        <w:rFonts w:ascii="C39T30Lfz" w:hAnsi="C39T30Lfz"/>
        <w:sz w:val="56"/>
      </w:rPr>
      <w:t></w:t>
    </w:r>
    <w:r w:rsidRPr="00B100EF">
      <w:rPr>
        <w:rFonts w:ascii="C39T30Lfz" w:hAnsi="C39T30Lfz"/>
        <w:sz w:val="56"/>
      </w:rPr>
      <w:t></w:t>
    </w:r>
    <w:r w:rsidRPr="00B100EF">
      <w:rPr>
        <w:rFonts w:ascii="C39T30Lfz" w:hAnsi="C39T30Lfz"/>
        <w:sz w:val="56"/>
      </w:rPr>
      <w:t></w:t>
    </w:r>
    <w:r w:rsidRPr="00B100EF">
      <w:rPr>
        <w:rFonts w:ascii="C39T30Lfz" w:hAnsi="C39T30Lfz"/>
        <w:sz w:val="56"/>
      </w:rPr>
      <w:t></w:t>
    </w:r>
    <w:r w:rsidRPr="00B100EF">
      <w:rPr>
        <w:rFonts w:ascii="C39T30Lfz" w:hAnsi="C39T30Lfz"/>
        <w:sz w:val="56"/>
      </w:rPr>
      <w:t></w:t>
    </w:r>
    <w:r w:rsidRPr="00B100EF">
      <w:rPr>
        <w:rFonts w:ascii="C39T30Lfz" w:hAnsi="C39T30Lfz"/>
        <w:sz w:val="56"/>
      </w:rPr>
      <w:t></w:t>
    </w:r>
    <w:r w:rsidRPr="00B100EF">
      <w:rPr>
        <w:rFonts w:ascii="C39T30Lfz" w:hAnsi="C39T30Lfz"/>
        <w:sz w:val="56"/>
      </w:rPr>
      <w:t></w:t>
    </w:r>
    <w:r w:rsidRPr="00B100EF">
      <w:rPr>
        <w:rFonts w:ascii="C39T30Lfz" w:hAnsi="C39T30Lfz"/>
        <w:noProof/>
        <w:sz w:val="56"/>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n 1" descr="https://undocs.org/m2/QRCode.ashx?DS=E/C.12/64/D/19/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4/D/19/2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991" w:rsidRPr="001075E9" w:rsidRDefault="00A34991" w:rsidP="001075E9">
      <w:pPr>
        <w:tabs>
          <w:tab w:val="right" w:pos="2155"/>
        </w:tabs>
        <w:spacing w:after="80" w:line="240" w:lineRule="auto"/>
        <w:ind w:left="680"/>
        <w:rPr>
          <w:u w:val="single"/>
        </w:rPr>
      </w:pPr>
      <w:r>
        <w:rPr>
          <w:u w:val="single"/>
        </w:rPr>
        <w:tab/>
      </w:r>
    </w:p>
  </w:footnote>
  <w:footnote w:type="continuationSeparator" w:id="0">
    <w:p w:rsidR="00A34991" w:rsidRDefault="00A34991">
      <w:r>
        <w:continuationSeparator/>
      </w:r>
    </w:p>
  </w:footnote>
  <w:footnote w:id="1">
    <w:p w:rsidR="00F71F61" w:rsidRPr="00EC58FE" w:rsidRDefault="00F71F61" w:rsidP="00F71F61">
      <w:pPr>
        <w:pStyle w:val="Textonotapie"/>
        <w:tabs>
          <w:tab w:val="clear" w:pos="1021"/>
          <w:tab w:val="right" w:pos="993"/>
        </w:tabs>
        <w:ind w:hanging="567"/>
      </w:pPr>
      <w:r w:rsidRPr="00C1772D">
        <w:rPr>
          <w:rStyle w:val="Refdenotaalpie"/>
          <w:vertAlign w:val="baseline"/>
        </w:rPr>
        <w:tab/>
      </w:r>
      <w:r w:rsidRPr="00AC29E6">
        <w:rPr>
          <w:rStyle w:val="Refdenotaalpie"/>
          <w:szCs w:val="18"/>
          <w:vertAlign w:val="baseline"/>
        </w:rPr>
        <w:t>*</w:t>
      </w:r>
      <w:r w:rsidRPr="00EC58FE">
        <w:rPr>
          <w:rStyle w:val="Refdenotaalpie"/>
          <w:sz w:val="20"/>
          <w:vertAlign w:val="baseline"/>
        </w:rPr>
        <w:tab/>
      </w:r>
      <w:r w:rsidRPr="000C0A91">
        <w:t xml:space="preserve">Aprobado por el Comité en </w:t>
      </w:r>
      <w:r>
        <w:t xml:space="preserve">su 64º período de sesiones (24 de septiembre a 12 de octubre de 2018). </w:t>
      </w:r>
    </w:p>
  </w:footnote>
  <w:footnote w:id="2">
    <w:p w:rsidR="002C1FAA" w:rsidRPr="00BB79CA" w:rsidRDefault="002C1FAA" w:rsidP="00AB68A1">
      <w:pPr>
        <w:pStyle w:val="Textonotapie"/>
        <w:tabs>
          <w:tab w:val="clear" w:pos="1021"/>
          <w:tab w:val="right" w:pos="993"/>
        </w:tabs>
        <w:ind w:hanging="567"/>
      </w:pPr>
      <w:r>
        <w:tab/>
      </w:r>
      <w:r>
        <w:rPr>
          <w:rStyle w:val="Refdenotaalpie"/>
        </w:rPr>
        <w:footnoteRef/>
      </w:r>
      <w:r>
        <w:tab/>
        <w:t xml:space="preserve">La comunicación inicial fue presentada a nombre del autor y de G.G., </w:t>
      </w:r>
      <w:r w:rsidR="00AB68A1">
        <w:t xml:space="preserve">exsuegra </w:t>
      </w:r>
      <w:r>
        <w:t>del autor. Posteriormente, los autores requirieron retirar todas las alegaciones relacionada</w:t>
      </w:r>
      <w:r w:rsidR="00EE6EA4">
        <w:t>s</w:t>
      </w:r>
      <w:r>
        <w:t xml:space="preserve"> con G.G., ya que habían perdido objeto al haberse admitido el recurso de revisión interpuesto por la autora.</w:t>
      </w:r>
    </w:p>
  </w:footnote>
  <w:footnote w:id="3">
    <w:p w:rsidR="002C1FAA" w:rsidRPr="00DB5A00" w:rsidRDefault="002C1FAA" w:rsidP="00567DE8">
      <w:pPr>
        <w:pStyle w:val="Textonotapie"/>
      </w:pPr>
      <w:r>
        <w:tab/>
      </w:r>
      <w:r>
        <w:rPr>
          <w:rStyle w:val="Refdenotaalpie"/>
        </w:rPr>
        <w:footnoteRef/>
      </w:r>
      <w:r>
        <w:tab/>
      </w:r>
      <w:r w:rsidR="00963A93">
        <w:t xml:space="preserve">El </w:t>
      </w:r>
      <w:r>
        <w:t>párrafo</w:t>
      </w:r>
      <w:r w:rsidR="00656BF1">
        <w:t> </w:t>
      </w:r>
      <w:r>
        <w:t xml:space="preserve">15 de la </w:t>
      </w:r>
      <w:r w:rsidR="00963A93">
        <w:t>o</w:t>
      </w:r>
      <w:r>
        <w:t xml:space="preserve">bservación </w:t>
      </w:r>
      <w:r w:rsidR="00963A93">
        <w:t>g</w:t>
      </w:r>
      <w:r>
        <w:t xml:space="preserve">eneral </w:t>
      </w:r>
      <w:r w:rsidR="00963A93">
        <w:t>núm.</w:t>
      </w:r>
      <w:r w:rsidR="00656BF1">
        <w:t> </w:t>
      </w:r>
      <w:r>
        <w:t xml:space="preserve">7 </w:t>
      </w:r>
      <w:r w:rsidR="00963A93">
        <w:t>estipula lo siguiente</w:t>
      </w:r>
      <w:r>
        <w:t>: “</w:t>
      </w:r>
      <w:r w:rsidRPr="007E1BB7">
        <w:t>Aunque la debida protección procesal y el proceso con las debidas garantías son aspectos esenciales de todos los derechos humanos, tienen especial pertinencia para la cuestión de los desalojos forzosos que guarda relación directa con muchos de los derechos reconocidos en los pactos internacionales de derechos humanos.</w:t>
      </w:r>
      <w:r>
        <w:t xml:space="preserve"> </w:t>
      </w:r>
      <w:r w:rsidRPr="007E1BB7">
        <w:t>El Comité considera que entre las garantías procesales que se deberían aplicar en el contexto de los desalojos forzosos figuran:</w:t>
      </w:r>
      <w:r>
        <w:t xml:space="preserve"> </w:t>
      </w:r>
      <w:r w:rsidRPr="007E1BB7">
        <w:t>a) una auténtica oportunidad de consultar a las personas afectadas;</w:t>
      </w:r>
      <w:r>
        <w:t xml:space="preserve"> </w:t>
      </w:r>
      <w:r w:rsidRPr="007E1BB7">
        <w:t>b) un plazo suficiente y</w:t>
      </w:r>
      <w:r>
        <w:t> </w:t>
      </w:r>
      <w:r w:rsidRPr="007E1BB7">
        <w:t>razonable de notificación a todas las personas afectadas con antelación a la fecha prevista para el desalojo;</w:t>
      </w:r>
      <w:r>
        <w:t xml:space="preserve"> </w:t>
      </w:r>
      <w:r w:rsidRPr="007E1BB7">
        <w:t>c) facilitar a todos los interesados, en un plazo razonable, información relativa a los desalojos previstos y, en su caso, a los fines a que se destinan las tierras o las viviendas;</w:t>
      </w:r>
      <w:r>
        <w:t xml:space="preserve"> </w:t>
      </w:r>
      <w:r w:rsidRPr="007E1BB7">
        <w:t>d) la presencia de funcionarios del gobierno o sus representantes en el desalojo, especialmente cuando éste afecte a grupos de personas;</w:t>
      </w:r>
      <w:r>
        <w:t xml:space="preserve"> </w:t>
      </w:r>
      <w:r w:rsidRPr="007E1BB7">
        <w:t>e) identificación exacta de todas las personas que efectúen el desalojo;</w:t>
      </w:r>
      <w:r>
        <w:t xml:space="preserve"> </w:t>
      </w:r>
      <w:r w:rsidRPr="007E1BB7">
        <w:t>f)</w:t>
      </w:r>
      <w:r>
        <w:t> </w:t>
      </w:r>
      <w:r w:rsidRPr="007E1BB7">
        <w:t>no efectuar desalojos cuando haga muy mal tiempo o de noche, salvo que las personas afectadas den su consentimiento;</w:t>
      </w:r>
      <w:r>
        <w:t xml:space="preserve"> </w:t>
      </w:r>
      <w:r w:rsidRPr="007E1BB7">
        <w:t>g) ofrecer recursos jurídicos; y</w:t>
      </w:r>
      <w:r>
        <w:t xml:space="preserve"> </w:t>
      </w:r>
      <w:r w:rsidRPr="007E1BB7">
        <w:t>h) ofrecer asistencia jurídica siempre que sea posible a las personas que necesiten pedir reparación a los tribunales</w:t>
      </w:r>
      <w:r>
        <w:t>”</w:t>
      </w:r>
      <w:r w:rsidR="00AE3D36">
        <w:t>.</w:t>
      </w:r>
    </w:p>
  </w:footnote>
  <w:footnote w:id="4">
    <w:p w:rsidR="002C1FAA" w:rsidRPr="002C737A" w:rsidRDefault="002C1FAA">
      <w:pPr>
        <w:pStyle w:val="Textonotapie"/>
      </w:pPr>
      <w:r>
        <w:tab/>
      </w:r>
      <w:r>
        <w:rPr>
          <w:rStyle w:val="Refdenotaalpie"/>
        </w:rPr>
        <w:footnoteRef/>
      </w:r>
      <w:r>
        <w:tab/>
        <w:t xml:space="preserve">Sentencia del Tribunal Constitucional 30/2017 de 27 de febrero de 2017, FJ 4. </w:t>
      </w:r>
    </w:p>
  </w:footnote>
  <w:footnote w:id="5">
    <w:p w:rsidR="002C1FAA" w:rsidRPr="00CC266B" w:rsidRDefault="002C1FAA">
      <w:pPr>
        <w:pStyle w:val="Textonotapie"/>
      </w:pPr>
      <w:r>
        <w:tab/>
      </w:r>
      <w:r>
        <w:rPr>
          <w:rStyle w:val="Refdenotaalpie"/>
        </w:rPr>
        <w:footnoteRef/>
      </w:r>
      <w:r>
        <w:tab/>
        <w:t>Sentencia del Tribunal Constitucional 150/2015 de 6 de julio de 2015, FJ 2.</w:t>
      </w:r>
    </w:p>
  </w:footnote>
  <w:footnote w:id="6">
    <w:p w:rsidR="002C1FAA" w:rsidRPr="000057C9" w:rsidRDefault="002C1FAA" w:rsidP="00567DE8">
      <w:pPr>
        <w:pStyle w:val="Textonotapie"/>
        <w:widowControl w:val="0"/>
        <w:tabs>
          <w:tab w:val="clear" w:pos="1021"/>
          <w:tab w:val="right" w:pos="1020"/>
        </w:tabs>
      </w:pPr>
      <w:r w:rsidRPr="0089109F">
        <w:tab/>
      </w:r>
      <w:r>
        <w:rPr>
          <w:rStyle w:val="Refdenotaalpie"/>
        </w:rPr>
        <w:footnoteRef/>
      </w:r>
      <w:r w:rsidRPr="0089109F">
        <w:rPr>
          <w:lang w:val="es-CO"/>
        </w:rPr>
        <w:tab/>
      </w:r>
      <w:r w:rsidRPr="00567DE8">
        <w:rPr>
          <w:i/>
          <w:iCs/>
        </w:rPr>
        <w:t>López</w:t>
      </w:r>
      <w:r w:rsidRPr="00DB5A00">
        <w:t xml:space="preserve"> </w:t>
      </w:r>
      <w:r w:rsidRPr="000057C9">
        <w:rPr>
          <w:i/>
        </w:rPr>
        <w:t>Rodríguez c. España</w:t>
      </w:r>
      <w:r w:rsidRPr="00653529">
        <w:t xml:space="preserve"> </w:t>
      </w:r>
      <w:r>
        <w:t>(</w:t>
      </w:r>
      <w:r w:rsidRPr="00653529">
        <w:t>E/C.12/57/D/1/2013</w:t>
      </w:r>
      <w:r>
        <w:t xml:space="preserve">), </w:t>
      </w:r>
      <w:r w:rsidRPr="00DB5A00">
        <w:t xml:space="preserve">párr. </w:t>
      </w:r>
      <w:r w:rsidRPr="00653529">
        <w:t>12;</w:t>
      </w:r>
      <w:r w:rsidRPr="00DB5A00">
        <w:t xml:space="preserve"> </w:t>
      </w:r>
      <w:r w:rsidRPr="00567DE8">
        <w:rPr>
          <w:i/>
          <w:iCs/>
        </w:rPr>
        <w:t>I.</w:t>
      </w:r>
      <w:r w:rsidR="00656BF1">
        <w:rPr>
          <w:i/>
          <w:iCs/>
        </w:rPr>
        <w:t xml:space="preserve"> </w:t>
      </w:r>
      <w:r w:rsidRPr="00567DE8">
        <w:rPr>
          <w:i/>
          <w:iCs/>
        </w:rPr>
        <w:t>D</w:t>
      </w:r>
      <w:r w:rsidRPr="00DB5A00">
        <w:t>.</w:t>
      </w:r>
      <w:r w:rsidR="00656BF1">
        <w:t xml:space="preserve"> </w:t>
      </w:r>
      <w:r w:rsidRPr="000057C9">
        <w:rPr>
          <w:i/>
        </w:rPr>
        <w:t>G. c. España</w:t>
      </w:r>
      <w:r w:rsidRPr="00653529">
        <w:t xml:space="preserve"> (E/C.12/55/D/2/2014</w:t>
      </w:r>
      <w:r>
        <w:t>)</w:t>
      </w:r>
      <w:r w:rsidRPr="00DB5A00">
        <w:t>, párr</w:t>
      </w:r>
      <w:r w:rsidR="00656BF1" w:rsidRPr="00DB5A00">
        <w:t>.</w:t>
      </w:r>
      <w:r w:rsidR="00656BF1">
        <w:t> </w:t>
      </w:r>
      <w:r w:rsidRPr="00DB5A00">
        <w:t>13.1</w:t>
      </w:r>
      <w:r>
        <w:t xml:space="preserve">; y </w:t>
      </w:r>
      <w:r w:rsidRPr="000057C9">
        <w:rPr>
          <w:i/>
        </w:rPr>
        <w:t>Arellano Medina c. Ecuador</w:t>
      </w:r>
      <w:r>
        <w:t xml:space="preserve"> (E/C.12/63/D</w:t>
      </w:r>
      <w:r w:rsidRPr="00653529">
        <w:t>/7/2015</w:t>
      </w:r>
      <w:r w:rsidR="0089109F">
        <w:t>), párr</w:t>
      </w:r>
      <w:r w:rsidR="00656BF1">
        <w:t>. </w:t>
      </w:r>
      <w:r>
        <w:t>8.10.</w:t>
      </w:r>
      <w:r w:rsidRPr="000057C9">
        <w:t xml:space="preserve"> </w:t>
      </w:r>
    </w:p>
  </w:footnote>
  <w:footnote w:id="7">
    <w:p w:rsidR="002C1FAA" w:rsidRPr="000057C9" w:rsidRDefault="002C1FAA" w:rsidP="00567DE8">
      <w:pPr>
        <w:pStyle w:val="Textonotapie"/>
        <w:widowControl w:val="0"/>
        <w:tabs>
          <w:tab w:val="clear" w:pos="1021"/>
          <w:tab w:val="right" w:pos="1020"/>
        </w:tabs>
      </w:pPr>
      <w:r w:rsidRPr="000057C9">
        <w:tab/>
      </w:r>
      <w:r>
        <w:rPr>
          <w:rStyle w:val="Refdenotaalpie"/>
        </w:rPr>
        <w:footnoteRef/>
      </w:r>
      <w:r w:rsidRPr="000057C9">
        <w:tab/>
      </w:r>
      <w:r w:rsidRPr="00567DE8">
        <w:rPr>
          <w:i/>
          <w:iCs/>
        </w:rPr>
        <w:t>Ib</w:t>
      </w:r>
      <w:r w:rsidR="00656BF1" w:rsidRPr="00567DE8">
        <w:rPr>
          <w:i/>
          <w:iCs/>
        </w:rPr>
        <w:t>i</w:t>
      </w:r>
      <w:r w:rsidRPr="00567DE8">
        <w:rPr>
          <w:i/>
          <w:iCs/>
        </w:rPr>
        <w: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FAA" w:rsidRPr="00211646" w:rsidRDefault="002C1FAA" w:rsidP="00211646">
    <w:pPr>
      <w:pStyle w:val="Encabezado"/>
    </w:pPr>
    <w:r>
      <w:t>E/C.12/64/D/19/2016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FAA" w:rsidRPr="00211646" w:rsidRDefault="002C1FAA" w:rsidP="00211646">
    <w:pPr>
      <w:pStyle w:val="Encabezado"/>
      <w:jc w:val="right"/>
    </w:pPr>
    <w:r>
      <w:t>E/C.12/64/D/19/2016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B0E2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B38A5C4"/>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A620B7DE"/>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27659C0"/>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E1249F7E"/>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6ACA0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E8640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C0E35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280E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09298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0BB1A6C"/>
    <w:multiLevelType w:val="hybridMultilevel"/>
    <w:tmpl w:val="F4284F02"/>
    <w:lvl w:ilvl="0" w:tplc="60C4C75E">
      <w:start w:val="1"/>
      <w:numFmt w:val="decimal"/>
      <w:lvlText w:val="4.%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1F0A3D"/>
    <w:multiLevelType w:val="multilevel"/>
    <w:tmpl w:val="A70054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BD70558"/>
    <w:multiLevelType w:val="hybridMultilevel"/>
    <w:tmpl w:val="8370D548"/>
    <w:lvl w:ilvl="0" w:tplc="BBAAE4E8">
      <w:start w:val="1"/>
      <w:numFmt w:val="decimal"/>
      <w:lvlText w:val="5.%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495E7C"/>
    <w:multiLevelType w:val="hybridMultilevel"/>
    <w:tmpl w:val="31561092"/>
    <w:lvl w:ilvl="0" w:tplc="006A4452">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A7743B"/>
    <w:multiLevelType w:val="hybridMultilevel"/>
    <w:tmpl w:val="95509FC4"/>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D1C5EA0"/>
    <w:multiLevelType w:val="hybridMultilevel"/>
    <w:tmpl w:val="BF78EEDA"/>
    <w:lvl w:ilvl="0" w:tplc="202A71A8">
      <w:start w:val="1"/>
      <w:numFmt w:val="decimal"/>
      <w:lvlText w:val="6.%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A2E479F"/>
    <w:multiLevelType w:val="multilevel"/>
    <w:tmpl w:val="C4F4742E"/>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0" w15:restartNumberingAfterBreak="0">
    <w:nsid w:val="6AFD3DE4"/>
    <w:multiLevelType w:val="hybridMultilevel"/>
    <w:tmpl w:val="0EDC8772"/>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4F8157C"/>
    <w:multiLevelType w:val="hybridMultilevel"/>
    <w:tmpl w:val="CE0C36B4"/>
    <w:lvl w:ilvl="0" w:tplc="D5BE7D28">
      <w:start w:val="1"/>
      <w:numFmt w:val="decimal"/>
      <w:lvlText w:val="2.%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0"/>
  </w:num>
  <w:num w:numId="2">
    <w:abstractNumId w:val="14"/>
  </w:num>
  <w:num w:numId="3">
    <w:abstractNumId w:val="23"/>
  </w:num>
  <w:num w:numId="4">
    <w:abstractNumId w:val="21"/>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5"/>
  </w:num>
  <w:num w:numId="18">
    <w:abstractNumId w:val="19"/>
  </w:num>
  <w:num w:numId="19">
    <w:abstractNumId w:val="11"/>
  </w:num>
  <w:num w:numId="20">
    <w:abstractNumId w:val="22"/>
  </w:num>
  <w:num w:numId="21">
    <w:abstractNumId w:val="10"/>
  </w:num>
  <w:num w:numId="22">
    <w:abstractNumId w:val="12"/>
  </w:num>
  <w:num w:numId="23">
    <w:abstractNumId w:val="16"/>
  </w:num>
  <w:num w:numId="24">
    <w:abstractNumId w:val="13"/>
  </w:num>
  <w:num w:numId="25">
    <w:abstractNumId w:val="20"/>
  </w:num>
  <w:num w:numId="26">
    <w:abstractNumId w:val="14"/>
  </w:num>
  <w:num w:numId="27">
    <w:abstractNumId w:val="23"/>
  </w:num>
  <w:num w:numId="28">
    <w:abstractNumId w:val="21"/>
  </w:num>
  <w:num w:numId="29">
    <w:abstractNumId w:val="17"/>
  </w:num>
  <w:num w:numId="30">
    <w:abstractNumId w:val="8"/>
  </w:num>
  <w:num w:numId="31">
    <w:abstractNumId w:val="3"/>
  </w:num>
  <w:num w:numId="32">
    <w:abstractNumId w:val="2"/>
  </w:num>
  <w:num w:numId="33">
    <w:abstractNumId w:val="1"/>
  </w:num>
  <w:num w:numId="34">
    <w:abstractNumId w:val="0"/>
  </w:num>
  <w:num w:numId="35">
    <w:abstractNumId w:val="9"/>
  </w:num>
  <w:num w:numId="36">
    <w:abstractNumId w:val="7"/>
  </w:num>
  <w:num w:numId="37">
    <w:abstractNumId w:val="6"/>
  </w:num>
  <w:num w:numId="38">
    <w:abstractNumId w:val="5"/>
  </w:num>
  <w:num w:numId="3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ctiveWritingStyle w:appName="MSWord" w:lang="es-ES" w:vendorID="64" w:dllVersion="131078" w:nlCheck="1" w:checkStyle="0"/>
  <w:activeWritingStyle w:appName="MSWord" w:lang="fr-CH" w:vendorID="64" w:dllVersion="131078" w:nlCheck="1" w:checkStyle="0"/>
  <w:activeWritingStyle w:appName="MSWord" w:lang="en-GB" w:vendorID="64" w:dllVersion="131078" w:nlCheck="1" w:checkStyle="1"/>
  <w:activeWritingStyle w:appName="MSWord" w:lang="es-CO"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41"/>
    <w:rsid w:val="00002B61"/>
    <w:rsid w:val="00002F95"/>
    <w:rsid w:val="000057C9"/>
    <w:rsid w:val="0000673E"/>
    <w:rsid w:val="00006754"/>
    <w:rsid w:val="00007E67"/>
    <w:rsid w:val="00010A18"/>
    <w:rsid w:val="00011615"/>
    <w:rsid w:val="00016B03"/>
    <w:rsid w:val="0002132B"/>
    <w:rsid w:val="00023476"/>
    <w:rsid w:val="00025EAF"/>
    <w:rsid w:val="0002656D"/>
    <w:rsid w:val="00026C57"/>
    <w:rsid w:val="00034374"/>
    <w:rsid w:val="00041BBC"/>
    <w:rsid w:val="00050BD4"/>
    <w:rsid w:val="0005364C"/>
    <w:rsid w:val="0005367E"/>
    <w:rsid w:val="00053D9E"/>
    <w:rsid w:val="00054DBD"/>
    <w:rsid w:val="0005594F"/>
    <w:rsid w:val="00056F2A"/>
    <w:rsid w:val="000577A8"/>
    <w:rsid w:val="00060C69"/>
    <w:rsid w:val="00061EA2"/>
    <w:rsid w:val="000641ED"/>
    <w:rsid w:val="0006420C"/>
    <w:rsid w:val="00081579"/>
    <w:rsid w:val="00082FBD"/>
    <w:rsid w:val="00083534"/>
    <w:rsid w:val="00083692"/>
    <w:rsid w:val="00085310"/>
    <w:rsid w:val="00085FDB"/>
    <w:rsid w:val="0008650D"/>
    <w:rsid w:val="0009716E"/>
    <w:rsid w:val="00097826"/>
    <w:rsid w:val="000A4102"/>
    <w:rsid w:val="000A5546"/>
    <w:rsid w:val="000B1A82"/>
    <w:rsid w:val="000B3BC4"/>
    <w:rsid w:val="000B3D2A"/>
    <w:rsid w:val="000B57E7"/>
    <w:rsid w:val="000C5A41"/>
    <w:rsid w:val="000D0425"/>
    <w:rsid w:val="000D0BD5"/>
    <w:rsid w:val="000D19A4"/>
    <w:rsid w:val="000D6ECA"/>
    <w:rsid w:val="000D758B"/>
    <w:rsid w:val="000E04EE"/>
    <w:rsid w:val="000E27DD"/>
    <w:rsid w:val="000E5BDB"/>
    <w:rsid w:val="000E60B9"/>
    <w:rsid w:val="000F061B"/>
    <w:rsid w:val="000F09DF"/>
    <w:rsid w:val="000F1457"/>
    <w:rsid w:val="000F1FE8"/>
    <w:rsid w:val="000F26C7"/>
    <w:rsid w:val="000F61B2"/>
    <w:rsid w:val="000F6581"/>
    <w:rsid w:val="00101580"/>
    <w:rsid w:val="00105BBC"/>
    <w:rsid w:val="00105BD0"/>
    <w:rsid w:val="001075E9"/>
    <w:rsid w:val="00113C8E"/>
    <w:rsid w:val="001161E5"/>
    <w:rsid w:val="0011737D"/>
    <w:rsid w:val="00121E15"/>
    <w:rsid w:val="001223D6"/>
    <w:rsid w:val="00123D45"/>
    <w:rsid w:val="00124A11"/>
    <w:rsid w:val="001358A7"/>
    <w:rsid w:val="00136675"/>
    <w:rsid w:val="00144352"/>
    <w:rsid w:val="00144F1A"/>
    <w:rsid w:val="00154F19"/>
    <w:rsid w:val="00156A5A"/>
    <w:rsid w:val="00156BED"/>
    <w:rsid w:val="001604FE"/>
    <w:rsid w:val="001640A0"/>
    <w:rsid w:val="00165C73"/>
    <w:rsid w:val="00166E57"/>
    <w:rsid w:val="0017062C"/>
    <w:rsid w:val="00170CB6"/>
    <w:rsid w:val="00171AF5"/>
    <w:rsid w:val="00180183"/>
    <w:rsid w:val="001878C5"/>
    <w:rsid w:val="00187A21"/>
    <w:rsid w:val="00193061"/>
    <w:rsid w:val="00195A41"/>
    <w:rsid w:val="00196374"/>
    <w:rsid w:val="00196389"/>
    <w:rsid w:val="0019681B"/>
    <w:rsid w:val="00197CBF"/>
    <w:rsid w:val="001A3A23"/>
    <w:rsid w:val="001A5D2F"/>
    <w:rsid w:val="001A7E63"/>
    <w:rsid w:val="001B193F"/>
    <w:rsid w:val="001B4109"/>
    <w:rsid w:val="001B57CD"/>
    <w:rsid w:val="001C2395"/>
    <w:rsid w:val="001C2A38"/>
    <w:rsid w:val="001C329B"/>
    <w:rsid w:val="001C5F23"/>
    <w:rsid w:val="001C7A89"/>
    <w:rsid w:val="001D3099"/>
    <w:rsid w:val="001D5205"/>
    <w:rsid w:val="001E350C"/>
    <w:rsid w:val="001E6D11"/>
    <w:rsid w:val="001E78EC"/>
    <w:rsid w:val="001F1FF3"/>
    <w:rsid w:val="001F276C"/>
    <w:rsid w:val="001F2F01"/>
    <w:rsid w:val="001F56E7"/>
    <w:rsid w:val="001F5E92"/>
    <w:rsid w:val="001F755D"/>
    <w:rsid w:val="00202FE5"/>
    <w:rsid w:val="0020773D"/>
    <w:rsid w:val="00211646"/>
    <w:rsid w:val="00223B6B"/>
    <w:rsid w:val="00223F52"/>
    <w:rsid w:val="002279AF"/>
    <w:rsid w:val="00234A10"/>
    <w:rsid w:val="00245DB5"/>
    <w:rsid w:val="002472B3"/>
    <w:rsid w:val="00247747"/>
    <w:rsid w:val="00254155"/>
    <w:rsid w:val="00254BFA"/>
    <w:rsid w:val="00262322"/>
    <w:rsid w:val="002646CD"/>
    <w:rsid w:val="00267BE4"/>
    <w:rsid w:val="002747EB"/>
    <w:rsid w:val="002754E0"/>
    <w:rsid w:val="00286DA1"/>
    <w:rsid w:val="0028726C"/>
    <w:rsid w:val="00291984"/>
    <w:rsid w:val="00292840"/>
    <w:rsid w:val="00293990"/>
    <w:rsid w:val="00294833"/>
    <w:rsid w:val="0029623D"/>
    <w:rsid w:val="00297D39"/>
    <w:rsid w:val="002A2649"/>
    <w:rsid w:val="002A2EFC"/>
    <w:rsid w:val="002A38CB"/>
    <w:rsid w:val="002A40F6"/>
    <w:rsid w:val="002A4341"/>
    <w:rsid w:val="002A5163"/>
    <w:rsid w:val="002A61B4"/>
    <w:rsid w:val="002B0B21"/>
    <w:rsid w:val="002B1511"/>
    <w:rsid w:val="002B240F"/>
    <w:rsid w:val="002C1FAA"/>
    <w:rsid w:val="002C428F"/>
    <w:rsid w:val="002C737A"/>
    <w:rsid w:val="002C7C80"/>
    <w:rsid w:val="002D16F0"/>
    <w:rsid w:val="002D1FEB"/>
    <w:rsid w:val="002D2635"/>
    <w:rsid w:val="002D4BDB"/>
    <w:rsid w:val="002D5AAC"/>
    <w:rsid w:val="002E0A11"/>
    <w:rsid w:val="002E0BEA"/>
    <w:rsid w:val="002E255E"/>
    <w:rsid w:val="002E4224"/>
    <w:rsid w:val="002E4C03"/>
    <w:rsid w:val="002E4F7B"/>
    <w:rsid w:val="002E5E99"/>
    <w:rsid w:val="002E6452"/>
    <w:rsid w:val="002E688E"/>
    <w:rsid w:val="002E6AC4"/>
    <w:rsid w:val="002E7117"/>
    <w:rsid w:val="002F2DAD"/>
    <w:rsid w:val="002F5274"/>
    <w:rsid w:val="002F7EDD"/>
    <w:rsid w:val="00301299"/>
    <w:rsid w:val="00303960"/>
    <w:rsid w:val="003045F9"/>
    <w:rsid w:val="00306793"/>
    <w:rsid w:val="003106E9"/>
    <w:rsid w:val="00313431"/>
    <w:rsid w:val="00314593"/>
    <w:rsid w:val="00316631"/>
    <w:rsid w:val="00317B48"/>
    <w:rsid w:val="00322004"/>
    <w:rsid w:val="003276EA"/>
    <w:rsid w:val="0033303F"/>
    <w:rsid w:val="00333A1A"/>
    <w:rsid w:val="00334472"/>
    <w:rsid w:val="003402C2"/>
    <w:rsid w:val="003458A0"/>
    <w:rsid w:val="00350736"/>
    <w:rsid w:val="00353C6C"/>
    <w:rsid w:val="00354DF2"/>
    <w:rsid w:val="0035555D"/>
    <w:rsid w:val="00357A6C"/>
    <w:rsid w:val="00362CA7"/>
    <w:rsid w:val="00365E89"/>
    <w:rsid w:val="00366EDB"/>
    <w:rsid w:val="00367AB3"/>
    <w:rsid w:val="003704A0"/>
    <w:rsid w:val="00370599"/>
    <w:rsid w:val="003711BB"/>
    <w:rsid w:val="00371CB7"/>
    <w:rsid w:val="003725C8"/>
    <w:rsid w:val="00376344"/>
    <w:rsid w:val="00380DF8"/>
    <w:rsid w:val="00380EF7"/>
    <w:rsid w:val="003818E8"/>
    <w:rsid w:val="00381C24"/>
    <w:rsid w:val="00382F9C"/>
    <w:rsid w:val="0038484C"/>
    <w:rsid w:val="003952B0"/>
    <w:rsid w:val="003958D0"/>
    <w:rsid w:val="00396250"/>
    <w:rsid w:val="003A4576"/>
    <w:rsid w:val="003A7310"/>
    <w:rsid w:val="003A7BF1"/>
    <w:rsid w:val="003B1A39"/>
    <w:rsid w:val="003B44F5"/>
    <w:rsid w:val="003B4597"/>
    <w:rsid w:val="003B4958"/>
    <w:rsid w:val="003B5173"/>
    <w:rsid w:val="003B71D0"/>
    <w:rsid w:val="003B72E1"/>
    <w:rsid w:val="003C43B8"/>
    <w:rsid w:val="003D00C2"/>
    <w:rsid w:val="003D064D"/>
    <w:rsid w:val="003D38FD"/>
    <w:rsid w:val="003D4995"/>
    <w:rsid w:val="003D5379"/>
    <w:rsid w:val="003E0CC8"/>
    <w:rsid w:val="003E3A03"/>
    <w:rsid w:val="003F1816"/>
    <w:rsid w:val="003F45A6"/>
    <w:rsid w:val="003F7775"/>
    <w:rsid w:val="003F7D5C"/>
    <w:rsid w:val="00402A3D"/>
    <w:rsid w:val="00402BD6"/>
    <w:rsid w:val="0041031F"/>
    <w:rsid w:val="004109D3"/>
    <w:rsid w:val="00412BFB"/>
    <w:rsid w:val="00414443"/>
    <w:rsid w:val="0042133D"/>
    <w:rsid w:val="00422C67"/>
    <w:rsid w:val="004342A2"/>
    <w:rsid w:val="00436FD7"/>
    <w:rsid w:val="00443E06"/>
    <w:rsid w:val="00444FA6"/>
    <w:rsid w:val="00451B76"/>
    <w:rsid w:val="00452632"/>
    <w:rsid w:val="00452DE8"/>
    <w:rsid w:val="004537B9"/>
    <w:rsid w:val="00454E07"/>
    <w:rsid w:val="00455B48"/>
    <w:rsid w:val="00456A92"/>
    <w:rsid w:val="00460691"/>
    <w:rsid w:val="00461743"/>
    <w:rsid w:val="00461E7D"/>
    <w:rsid w:val="00461F01"/>
    <w:rsid w:val="0046411C"/>
    <w:rsid w:val="00471A9C"/>
    <w:rsid w:val="004750C5"/>
    <w:rsid w:val="0047537A"/>
    <w:rsid w:val="00476907"/>
    <w:rsid w:val="00483C73"/>
    <w:rsid w:val="00484594"/>
    <w:rsid w:val="004856A3"/>
    <w:rsid w:val="00486AE2"/>
    <w:rsid w:val="00487F02"/>
    <w:rsid w:val="00495A47"/>
    <w:rsid w:val="00495DBF"/>
    <w:rsid w:val="004969BE"/>
    <w:rsid w:val="00497101"/>
    <w:rsid w:val="004A1889"/>
    <w:rsid w:val="004A2C10"/>
    <w:rsid w:val="004A390D"/>
    <w:rsid w:val="004A5DD5"/>
    <w:rsid w:val="004B0FC2"/>
    <w:rsid w:val="004B19F2"/>
    <w:rsid w:val="004B2200"/>
    <w:rsid w:val="004B2430"/>
    <w:rsid w:val="004B2CEB"/>
    <w:rsid w:val="004C242C"/>
    <w:rsid w:val="004C72F2"/>
    <w:rsid w:val="004D1A12"/>
    <w:rsid w:val="004D1EC2"/>
    <w:rsid w:val="004D2732"/>
    <w:rsid w:val="004D428E"/>
    <w:rsid w:val="004D44C5"/>
    <w:rsid w:val="004D6274"/>
    <w:rsid w:val="004E38DE"/>
    <w:rsid w:val="004E409B"/>
    <w:rsid w:val="004E4F27"/>
    <w:rsid w:val="004E669E"/>
    <w:rsid w:val="004F0E62"/>
    <w:rsid w:val="004F1DC9"/>
    <w:rsid w:val="004F7676"/>
    <w:rsid w:val="004F771A"/>
    <w:rsid w:val="005008E1"/>
    <w:rsid w:val="0050108D"/>
    <w:rsid w:val="005016AF"/>
    <w:rsid w:val="0050701A"/>
    <w:rsid w:val="005076AF"/>
    <w:rsid w:val="00507E8E"/>
    <w:rsid w:val="005143A4"/>
    <w:rsid w:val="00517764"/>
    <w:rsid w:val="0052159C"/>
    <w:rsid w:val="00530C40"/>
    <w:rsid w:val="005328C2"/>
    <w:rsid w:val="00540C58"/>
    <w:rsid w:val="005419C2"/>
    <w:rsid w:val="005469A4"/>
    <w:rsid w:val="0055148D"/>
    <w:rsid w:val="005518AB"/>
    <w:rsid w:val="00556519"/>
    <w:rsid w:val="00557EDA"/>
    <w:rsid w:val="005613D0"/>
    <w:rsid w:val="00562FFD"/>
    <w:rsid w:val="00567DE8"/>
    <w:rsid w:val="0057012D"/>
    <w:rsid w:val="00572E19"/>
    <w:rsid w:val="00572FB8"/>
    <w:rsid w:val="00577DB0"/>
    <w:rsid w:val="00581FEC"/>
    <w:rsid w:val="005913C8"/>
    <w:rsid w:val="00596467"/>
    <w:rsid w:val="00596EF6"/>
    <w:rsid w:val="005973BA"/>
    <w:rsid w:val="005A0195"/>
    <w:rsid w:val="005A0676"/>
    <w:rsid w:val="005A3F06"/>
    <w:rsid w:val="005A5940"/>
    <w:rsid w:val="005A7462"/>
    <w:rsid w:val="005B02B7"/>
    <w:rsid w:val="005B0B65"/>
    <w:rsid w:val="005B276C"/>
    <w:rsid w:val="005B4151"/>
    <w:rsid w:val="005B7096"/>
    <w:rsid w:val="005C259D"/>
    <w:rsid w:val="005C5D38"/>
    <w:rsid w:val="005D0A08"/>
    <w:rsid w:val="005D34E2"/>
    <w:rsid w:val="005D5230"/>
    <w:rsid w:val="005D5250"/>
    <w:rsid w:val="005F0B42"/>
    <w:rsid w:val="005F37B8"/>
    <w:rsid w:val="00603DC1"/>
    <w:rsid w:val="00607BFB"/>
    <w:rsid w:val="00614448"/>
    <w:rsid w:val="00614A04"/>
    <w:rsid w:val="00620554"/>
    <w:rsid w:val="00620993"/>
    <w:rsid w:val="00623172"/>
    <w:rsid w:val="00623A8A"/>
    <w:rsid w:val="00630E2E"/>
    <w:rsid w:val="006345C7"/>
    <w:rsid w:val="00634CA0"/>
    <w:rsid w:val="00636BDF"/>
    <w:rsid w:val="0064181A"/>
    <w:rsid w:val="0064269E"/>
    <w:rsid w:val="0064421C"/>
    <w:rsid w:val="00647E52"/>
    <w:rsid w:val="0065290A"/>
    <w:rsid w:val="00653529"/>
    <w:rsid w:val="006545B0"/>
    <w:rsid w:val="00656BF1"/>
    <w:rsid w:val="006629F1"/>
    <w:rsid w:val="006654F9"/>
    <w:rsid w:val="006668FB"/>
    <w:rsid w:val="00676994"/>
    <w:rsid w:val="00681C20"/>
    <w:rsid w:val="0068212B"/>
    <w:rsid w:val="00690BBD"/>
    <w:rsid w:val="00691782"/>
    <w:rsid w:val="006A3E2C"/>
    <w:rsid w:val="006A52D1"/>
    <w:rsid w:val="006A7813"/>
    <w:rsid w:val="006B130A"/>
    <w:rsid w:val="006B2A71"/>
    <w:rsid w:val="006B527B"/>
    <w:rsid w:val="006B6A88"/>
    <w:rsid w:val="006C231E"/>
    <w:rsid w:val="006C2896"/>
    <w:rsid w:val="006C4767"/>
    <w:rsid w:val="006C6BEF"/>
    <w:rsid w:val="006D400C"/>
    <w:rsid w:val="006D4085"/>
    <w:rsid w:val="006E02E5"/>
    <w:rsid w:val="006E140B"/>
    <w:rsid w:val="006E280A"/>
    <w:rsid w:val="006E29ED"/>
    <w:rsid w:val="006E3DBA"/>
    <w:rsid w:val="006E458C"/>
    <w:rsid w:val="006E466B"/>
    <w:rsid w:val="006E4B97"/>
    <w:rsid w:val="006E5A41"/>
    <w:rsid w:val="006E6F8A"/>
    <w:rsid w:val="006E72FB"/>
    <w:rsid w:val="006F1A62"/>
    <w:rsid w:val="006F1F21"/>
    <w:rsid w:val="006F35EE"/>
    <w:rsid w:val="006F5797"/>
    <w:rsid w:val="00706C46"/>
    <w:rsid w:val="00710CF8"/>
    <w:rsid w:val="00716C6F"/>
    <w:rsid w:val="00720A10"/>
    <w:rsid w:val="0072145E"/>
    <w:rsid w:val="007220F1"/>
    <w:rsid w:val="00736928"/>
    <w:rsid w:val="00736BA4"/>
    <w:rsid w:val="0074094F"/>
    <w:rsid w:val="007413CF"/>
    <w:rsid w:val="007464CC"/>
    <w:rsid w:val="007506CE"/>
    <w:rsid w:val="00753EEA"/>
    <w:rsid w:val="0075511D"/>
    <w:rsid w:val="007577E0"/>
    <w:rsid w:val="00761621"/>
    <w:rsid w:val="007657B9"/>
    <w:rsid w:val="007700CA"/>
    <w:rsid w:val="00776C5A"/>
    <w:rsid w:val="00780541"/>
    <w:rsid w:val="00784771"/>
    <w:rsid w:val="007935A7"/>
    <w:rsid w:val="0079617B"/>
    <w:rsid w:val="007A1643"/>
    <w:rsid w:val="007A5D5E"/>
    <w:rsid w:val="007A75AF"/>
    <w:rsid w:val="007B1762"/>
    <w:rsid w:val="007B2ACE"/>
    <w:rsid w:val="007C1217"/>
    <w:rsid w:val="007C3233"/>
    <w:rsid w:val="007D0EC8"/>
    <w:rsid w:val="007D1610"/>
    <w:rsid w:val="007D1C57"/>
    <w:rsid w:val="007D298B"/>
    <w:rsid w:val="007D2A07"/>
    <w:rsid w:val="007D2C75"/>
    <w:rsid w:val="007D6339"/>
    <w:rsid w:val="007D6AA7"/>
    <w:rsid w:val="007D70A8"/>
    <w:rsid w:val="007D7C08"/>
    <w:rsid w:val="007E1BB7"/>
    <w:rsid w:val="007E1C28"/>
    <w:rsid w:val="007E1E0D"/>
    <w:rsid w:val="007E29A9"/>
    <w:rsid w:val="007E2F4A"/>
    <w:rsid w:val="007F11B0"/>
    <w:rsid w:val="007F597C"/>
    <w:rsid w:val="007F65AC"/>
    <w:rsid w:val="008011A7"/>
    <w:rsid w:val="00801ECB"/>
    <w:rsid w:val="00802199"/>
    <w:rsid w:val="0080274C"/>
    <w:rsid w:val="00804972"/>
    <w:rsid w:val="00805382"/>
    <w:rsid w:val="008071D4"/>
    <w:rsid w:val="00813A25"/>
    <w:rsid w:val="00814116"/>
    <w:rsid w:val="00817073"/>
    <w:rsid w:val="008205C9"/>
    <w:rsid w:val="00823970"/>
    <w:rsid w:val="0082768C"/>
    <w:rsid w:val="008276F5"/>
    <w:rsid w:val="0082771C"/>
    <w:rsid w:val="008277DC"/>
    <w:rsid w:val="00830923"/>
    <w:rsid w:val="00834B71"/>
    <w:rsid w:val="008350E3"/>
    <w:rsid w:val="008442B8"/>
    <w:rsid w:val="00847F8E"/>
    <w:rsid w:val="0085043A"/>
    <w:rsid w:val="0085158D"/>
    <w:rsid w:val="008547D8"/>
    <w:rsid w:val="0085485E"/>
    <w:rsid w:val="0085682E"/>
    <w:rsid w:val="00860305"/>
    <w:rsid w:val="00861726"/>
    <w:rsid w:val="00862B88"/>
    <w:rsid w:val="0086445C"/>
    <w:rsid w:val="00873528"/>
    <w:rsid w:val="00873A73"/>
    <w:rsid w:val="0087710E"/>
    <w:rsid w:val="00877837"/>
    <w:rsid w:val="0088473B"/>
    <w:rsid w:val="00884B3C"/>
    <w:rsid w:val="008861F9"/>
    <w:rsid w:val="00887C91"/>
    <w:rsid w:val="0089109F"/>
    <w:rsid w:val="00891DD7"/>
    <w:rsid w:val="00894A40"/>
    <w:rsid w:val="008A08D7"/>
    <w:rsid w:val="008A4B6C"/>
    <w:rsid w:val="008A77EA"/>
    <w:rsid w:val="008A7892"/>
    <w:rsid w:val="008B2F75"/>
    <w:rsid w:val="008B413A"/>
    <w:rsid w:val="008B468A"/>
    <w:rsid w:val="008B63BE"/>
    <w:rsid w:val="008C1A8F"/>
    <w:rsid w:val="008C661B"/>
    <w:rsid w:val="008D152A"/>
    <w:rsid w:val="008E00C9"/>
    <w:rsid w:val="008E02E6"/>
    <w:rsid w:val="008E1A0F"/>
    <w:rsid w:val="008E22DE"/>
    <w:rsid w:val="008E2419"/>
    <w:rsid w:val="008E4BAD"/>
    <w:rsid w:val="008E4D11"/>
    <w:rsid w:val="008F2129"/>
    <w:rsid w:val="008F35D6"/>
    <w:rsid w:val="008F4EE8"/>
    <w:rsid w:val="008F4F87"/>
    <w:rsid w:val="00902F52"/>
    <w:rsid w:val="009037FB"/>
    <w:rsid w:val="00905173"/>
    <w:rsid w:val="009056AE"/>
    <w:rsid w:val="00906890"/>
    <w:rsid w:val="00914EFB"/>
    <w:rsid w:val="009174F6"/>
    <w:rsid w:val="009204E2"/>
    <w:rsid w:val="0092187E"/>
    <w:rsid w:val="00922582"/>
    <w:rsid w:val="00933142"/>
    <w:rsid w:val="00937BE0"/>
    <w:rsid w:val="00942D52"/>
    <w:rsid w:val="00950332"/>
    <w:rsid w:val="00951972"/>
    <w:rsid w:val="009522BB"/>
    <w:rsid w:val="009531B4"/>
    <w:rsid w:val="0095395A"/>
    <w:rsid w:val="00957DA9"/>
    <w:rsid w:val="00960BFB"/>
    <w:rsid w:val="00960CEB"/>
    <w:rsid w:val="00961B79"/>
    <w:rsid w:val="00962D6A"/>
    <w:rsid w:val="00963289"/>
    <w:rsid w:val="00963A93"/>
    <w:rsid w:val="009649B6"/>
    <w:rsid w:val="00965AB4"/>
    <w:rsid w:val="00967D40"/>
    <w:rsid w:val="00977D13"/>
    <w:rsid w:val="00980C0E"/>
    <w:rsid w:val="00985F04"/>
    <w:rsid w:val="00992307"/>
    <w:rsid w:val="009947CF"/>
    <w:rsid w:val="00995641"/>
    <w:rsid w:val="009A08D8"/>
    <w:rsid w:val="009A0E4E"/>
    <w:rsid w:val="009A2532"/>
    <w:rsid w:val="009A73A6"/>
    <w:rsid w:val="009B3A66"/>
    <w:rsid w:val="009B7BA5"/>
    <w:rsid w:val="009C7FEB"/>
    <w:rsid w:val="009D0475"/>
    <w:rsid w:val="009D2310"/>
    <w:rsid w:val="009D2F61"/>
    <w:rsid w:val="009D3684"/>
    <w:rsid w:val="009E1468"/>
    <w:rsid w:val="009E27BF"/>
    <w:rsid w:val="009E3D7F"/>
    <w:rsid w:val="009E3FE2"/>
    <w:rsid w:val="009E4D92"/>
    <w:rsid w:val="009E78C4"/>
    <w:rsid w:val="009F0ADD"/>
    <w:rsid w:val="00A00402"/>
    <w:rsid w:val="00A00CB2"/>
    <w:rsid w:val="00A017F3"/>
    <w:rsid w:val="00A02E58"/>
    <w:rsid w:val="00A03E27"/>
    <w:rsid w:val="00A068A0"/>
    <w:rsid w:val="00A121CB"/>
    <w:rsid w:val="00A12D3C"/>
    <w:rsid w:val="00A13093"/>
    <w:rsid w:val="00A14154"/>
    <w:rsid w:val="00A145E3"/>
    <w:rsid w:val="00A14FAC"/>
    <w:rsid w:val="00A16BB1"/>
    <w:rsid w:val="00A17D00"/>
    <w:rsid w:val="00A20CE6"/>
    <w:rsid w:val="00A23434"/>
    <w:rsid w:val="00A2781C"/>
    <w:rsid w:val="00A27FF3"/>
    <w:rsid w:val="00A3222B"/>
    <w:rsid w:val="00A34991"/>
    <w:rsid w:val="00A34C00"/>
    <w:rsid w:val="00A35AF0"/>
    <w:rsid w:val="00A40889"/>
    <w:rsid w:val="00A41A97"/>
    <w:rsid w:val="00A42D9A"/>
    <w:rsid w:val="00A46F16"/>
    <w:rsid w:val="00A47EE7"/>
    <w:rsid w:val="00A500CE"/>
    <w:rsid w:val="00A5175F"/>
    <w:rsid w:val="00A518EB"/>
    <w:rsid w:val="00A52735"/>
    <w:rsid w:val="00A56342"/>
    <w:rsid w:val="00A56469"/>
    <w:rsid w:val="00A575AE"/>
    <w:rsid w:val="00A60EC1"/>
    <w:rsid w:val="00A64970"/>
    <w:rsid w:val="00A66110"/>
    <w:rsid w:val="00A67C8D"/>
    <w:rsid w:val="00A72185"/>
    <w:rsid w:val="00A7267D"/>
    <w:rsid w:val="00A768F7"/>
    <w:rsid w:val="00A80A0C"/>
    <w:rsid w:val="00A84C27"/>
    <w:rsid w:val="00A908C4"/>
    <w:rsid w:val="00A917B3"/>
    <w:rsid w:val="00A929CC"/>
    <w:rsid w:val="00A93415"/>
    <w:rsid w:val="00A94C66"/>
    <w:rsid w:val="00A962C6"/>
    <w:rsid w:val="00A963E8"/>
    <w:rsid w:val="00A9713B"/>
    <w:rsid w:val="00A9728D"/>
    <w:rsid w:val="00A9798C"/>
    <w:rsid w:val="00AA198E"/>
    <w:rsid w:val="00AA3CCA"/>
    <w:rsid w:val="00AA62DE"/>
    <w:rsid w:val="00AB0440"/>
    <w:rsid w:val="00AB06FB"/>
    <w:rsid w:val="00AB0EA9"/>
    <w:rsid w:val="00AB4B51"/>
    <w:rsid w:val="00AB4EB2"/>
    <w:rsid w:val="00AB68A1"/>
    <w:rsid w:val="00AB7184"/>
    <w:rsid w:val="00AB7BE6"/>
    <w:rsid w:val="00AC29E6"/>
    <w:rsid w:val="00AC4498"/>
    <w:rsid w:val="00AC5651"/>
    <w:rsid w:val="00AD2755"/>
    <w:rsid w:val="00AD5645"/>
    <w:rsid w:val="00AD683A"/>
    <w:rsid w:val="00AE310F"/>
    <w:rsid w:val="00AE3C66"/>
    <w:rsid w:val="00AE3D36"/>
    <w:rsid w:val="00AE7BE0"/>
    <w:rsid w:val="00AF0B73"/>
    <w:rsid w:val="00AF19E7"/>
    <w:rsid w:val="00B04B22"/>
    <w:rsid w:val="00B07531"/>
    <w:rsid w:val="00B100EF"/>
    <w:rsid w:val="00B10CC7"/>
    <w:rsid w:val="00B133BF"/>
    <w:rsid w:val="00B16B4E"/>
    <w:rsid w:val="00B201C1"/>
    <w:rsid w:val="00B22277"/>
    <w:rsid w:val="00B255B4"/>
    <w:rsid w:val="00B26AE8"/>
    <w:rsid w:val="00B3297E"/>
    <w:rsid w:val="00B33079"/>
    <w:rsid w:val="00B40407"/>
    <w:rsid w:val="00B4330E"/>
    <w:rsid w:val="00B45A1C"/>
    <w:rsid w:val="00B51157"/>
    <w:rsid w:val="00B5196A"/>
    <w:rsid w:val="00B51BA6"/>
    <w:rsid w:val="00B53D12"/>
    <w:rsid w:val="00B55ACF"/>
    <w:rsid w:val="00B55CB2"/>
    <w:rsid w:val="00B57859"/>
    <w:rsid w:val="00B62458"/>
    <w:rsid w:val="00B62B82"/>
    <w:rsid w:val="00B6350A"/>
    <w:rsid w:val="00B70C2D"/>
    <w:rsid w:val="00B80FC6"/>
    <w:rsid w:val="00B83612"/>
    <w:rsid w:val="00B85017"/>
    <w:rsid w:val="00B878B3"/>
    <w:rsid w:val="00B91735"/>
    <w:rsid w:val="00B91763"/>
    <w:rsid w:val="00B934B7"/>
    <w:rsid w:val="00B937FE"/>
    <w:rsid w:val="00B94A24"/>
    <w:rsid w:val="00B975D4"/>
    <w:rsid w:val="00BA0C4A"/>
    <w:rsid w:val="00BA4011"/>
    <w:rsid w:val="00BA4FB1"/>
    <w:rsid w:val="00BA6556"/>
    <w:rsid w:val="00BA699E"/>
    <w:rsid w:val="00BA70A2"/>
    <w:rsid w:val="00BA75FE"/>
    <w:rsid w:val="00BB0A96"/>
    <w:rsid w:val="00BB2C23"/>
    <w:rsid w:val="00BB3235"/>
    <w:rsid w:val="00BB32B8"/>
    <w:rsid w:val="00BB7845"/>
    <w:rsid w:val="00BB79CA"/>
    <w:rsid w:val="00BC08C2"/>
    <w:rsid w:val="00BC161C"/>
    <w:rsid w:val="00BC3F20"/>
    <w:rsid w:val="00BC4C31"/>
    <w:rsid w:val="00BC69BC"/>
    <w:rsid w:val="00BD02F4"/>
    <w:rsid w:val="00BD1C50"/>
    <w:rsid w:val="00BD2991"/>
    <w:rsid w:val="00BD33EE"/>
    <w:rsid w:val="00BD50FA"/>
    <w:rsid w:val="00BD7C52"/>
    <w:rsid w:val="00BE0792"/>
    <w:rsid w:val="00BE6CF5"/>
    <w:rsid w:val="00BF76C4"/>
    <w:rsid w:val="00C0032B"/>
    <w:rsid w:val="00C02A7A"/>
    <w:rsid w:val="00C03041"/>
    <w:rsid w:val="00C0688A"/>
    <w:rsid w:val="00C070DF"/>
    <w:rsid w:val="00C1021E"/>
    <w:rsid w:val="00C12887"/>
    <w:rsid w:val="00C1357D"/>
    <w:rsid w:val="00C14903"/>
    <w:rsid w:val="00C168F6"/>
    <w:rsid w:val="00C16E79"/>
    <w:rsid w:val="00C1772D"/>
    <w:rsid w:val="00C17E55"/>
    <w:rsid w:val="00C22733"/>
    <w:rsid w:val="00C22E3A"/>
    <w:rsid w:val="00C25E25"/>
    <w:rsid w:val="00C26905"/>
    <w:rsid w:val="00C3278A"/>
    <w:rsid w:val="00C44171"/>
    <w:rsid w:val="00C4778D"/>
    <w:rsid w:val="00C50FE2"/>
    <w:rsid w:val="00C51E03"/>
    <w:rsid w:val="00C52761"/>
    <w:rsid w:val="00C5488F"/>
    <w:rsid w:val="00C5765B"/>
    <w:rsid w:val="00C60884"/>
    <w:rsid w:val="00C60F0C"/>
    <w:rsid w:val="00C61C0A"/>
    <w:rsid w:val="00C61D26"/>
    <w:rsid w:val="00C62A69"/>
    <w:rsid w:val="00C62CFB"/>
    <w:rsid w:val="00C650CA"/>
    <w:rsid w:val="00C663DA"/>
    <w:rsid w:val="00C72032"/>
    <w:rsid w:val="00C74CB1"/>
    <w:rsid w:val="00C805C9"/>
    <w:rsid w:val="00C809DE"/>
    <w:rsid w:val="00C82AC3"/>
    <w:rsid w:val="00C831DB"/>
    <w:rsid w:val="00C84E7C"/>
    <w:rsid w:val="00C85606"/>
    <w:rsid w:val="00C85EFA"/>
    <w:rsid w:val="00C87530"/>
    <w:rsid w:val="00C91666"/>
    <w:rsid w:val="00C95441"/>
    <w:rsid w:val="00C97670"/>
    <w:rsid w:val="00CA1679"/>
    <w:rsid w:val="00CA1948"/>
    <w:rsid w:val="00CA3FDE"/>
    <w:rsid w:val="00CA4FAE"/>
    <w:rsid w:val="00CB0E61"/>
    <w:rsid w:val="00CB496C"/>
    <w:rsid w:val="00CB7434"/>
    <w:rsid w:val="00CB788C"/>
    <w:rsid w:val="00CC266B"/>
    <w:rsid w:val="00CC278F"/>
    <w:rsid w:val="00CD115F"/>
    <w:rsid w:val="00CD21D7"/>
    <w:rsid w:val="00CD5E43"/>
    <w:rsid w:val="00CE0909"/>
    <w:rsid w:val="00CE1AF4"/>
    <w:rsid w:val="00CE34F5"/>
    <w:rsid w:val="00CE38F9"/>
    <w:rsid w:val="00CE4F71"/>
    <w:rsid w:val="00CE6969"/>
    <w:rsid w:val="00CF6444"/>
    <w:rsid w:val="00CF6DDD"/>
    <w:rsid w:val="00CF798F"/>
    <w:rsid w:val="00CF7BCD"/>
    <w:rsid w:val="00D009D8"/>
    <w:rsid w:val="00D0180E"/>
    <w:rsid w:val="00D0206A"/>
    <w:rsid w:val="00D0675C"/>
    <w:rsid w:val="00D13913"/>
    <w:rsid w:val="00D16CA7"/>
    <w:rsid w:val="00D22B57"/>
    <w:rsid w:val="00D232E6"/>
    <w:rsid w:val="00D24D5B"/>
    <w:rsid w:val="00D25FD8"/>
    <w:rsid w:val="00D37AD9"/>
    <w:rsid w:val="00D404D7"/>
    <w:rsid w:val="00D40A64"/>
    <w:rsid w:val="00D46D89"/>
    <w:rsid w:val="00D53086"/>
    <w:rsid w:val="00D55732"/>
    <w:rsid w:val="00D56758"/>
    <w:rsid w:val="00D574A5"/>
    <w:rsid w:val="00D62C09"/>
    <w:rsid w:val="00D63B95"/>
    <w:rsid w:val="00D64AF9"/>
    <w:rsid w:val="00D64C5C"/>
    <w:rsid w:val="00D6567C"/>
    <w:rsid w:val="00D65E88"/>
    <w:rsid w:val="00D661B1"/>
    <w:rsid w:val="00D66686"/>
    <w:rsid w:val="00D70F21"/>
    <w:rsid w:val="00D71B4D"/>
    <w:rsid w:val="00D7378F"/>
    <w:rsid w:val="00D738F9"/>
    <w:rsid w:val="00D749ED"/>
    <w:rsid w:val="00D76D7E"/>
    <w:rsid w:val="00D77A86"/>
    <w:rsid w:val="00D8031A"/>
    <w:rsid w:val="00D81C16"/>
    <w:rsid w:val="00D84032"/>
    <w:rsid w:val="00D90138"/>
    <w:rsid w:val="00D90C4D"/>
    <w:rsid w:val="00D9127F"/>
    <w:rsid w:val="00D91AEE"/>
    <w:rsid w:val="00D91C70"/>
    <w:rsid w:val="00D95DA9"/>
    <w:rsid w:val="00D97076"/>
    <w:rsid w:val="00DA4C1D"/>
    <w:rsid w:val="00DA6E02"/>
    <w:rsid w:val="00DB0F84"/>
    <w:rsid w:val="00DB4F80"/>
    <w:rsid w:val="00DB5A00"/>
    <w:rsid w:val="00DC03F0"/>
    <w:rsid w:val="00DC1466"/>
    <w:rsid w:val="00DC2DB9"/>
    <w:rsid w:val="00DC4D2D"/>
    <w:rsid w:val="00DC5697"/>
    <w:rsid w:val="00DD428D"/>
    <w:rsid w:val="00DD4E3C"/>
    <w:rsid w:val="00DD540C"/>
    <w:rsid w:val="00DD7ABC"/>
    <w:rsid w:val="00DE52B9"/>
    <w:rsid w:val="00DF15F7"/>
    <w:rsid w:val="00DF3991"/>
    <w:rsid w:val="00DF3BE6"/>
    <w:rsid w:val="00E06D1C"/>
    <w:rsid w:val="00E158ED"/>
    <w:rsid w:val="00E15A75"/>
    <w:rsid w:val="00E15CD9"/>
    <w:rsid w:val="00E202EF"/>
    <w:rsid w:val="00E227B1"/>
    <w:rsid w:val="00E25EB8"/>
    <w:rsid w:val="00E32174"/>
    <w:rsid w:val="00E3497B"/>
    <w:rsid w:val="00E355A1"/>
    <w:rsid w:val="00E37E4D"/>
    <w:rsid w:val="00E44CA0"/>
    <w:rsid w:val="00E44E0D"/>
    <w:rsid w:val="00E51F88"/>
    <w:rsid w:val="00E616E1"/>
    <w:rsid w:val="00E62CA4"/>
    <w:rsid w:val="00E63458"/>
    <w:rsid w:val="00E661E1"/>
    <w:rsid w:val="00E73CEA"/>
    <w:rsid w:val="00E73F76"/>
    <w:rsid w:val="00E75AB4"/>
    <w:rsid w:val="00E83AE0"/>
    <w:rsid w:val="00E844BD"/>
    <w:rsid w:val="00E84B1D"/>
    <w:rsid w:val="00E91191"/>
    <w:rsid w:val="00E94BAD"/>
    <w:rsid w:val="00E94C48"/>
    <w:rsid w:val="00E96E87"/>
    <w:rsid w:val="00E97546"/>
    <w:rsid w:val="00E97A4C"/>
    <w:rsid w:val="00EA241E"/>
    <w:rsid w:val="00EB2249"/>
    <w:rsid w:val="00EB30A2"/>
    <w:rsid w:val="00EB34AB"/>
    <w:rsid w:val="00EB4807"/>
    <w:rsid w:val="00EB7380"/>
    <w:rsid w:val="00EB74B7"/>
    <w:rsid w:val="00EC4D7A"/>
    <w:rsid w:val="00EC57E5"/>
    <w:rsid w:val="00EC58FE"/>
    <w:rsid w:val="00EC7628"/>
    <w:rsid w:val="00ED44C2"/>
    <w:rsid w:val="00ED557B"/>
    <w:rsid w:val="00EE5FA4"/>
    <w:rsid w:val="00EE679D"/>
    <w:rsid w:val="00EE6EA4"/>
    <w:rsid w:val="00EE7202"/>
    <w:rsid w:val="00EE7A19"/>
    <w:rsid w:val="00EF1360"/>
    <w:rsid w:val="00EF3220"/>
    <w:rsid w:val="00EF7720"/>
    <w:rsid w:val="00EF7C2D"/>
    <w:rsid w:val="00F04C88"/>
    <w:rsid w:val="00F078C4"/>
    <w:rsid w:val="00F10BF2"/>
    <w:rsid w:val="00F16B15"/>
    <w:rsid w:val="00F26069"/>
    <w:rsid w:val="00F27926"/>
    <w:rsid w:val="00F3098A"/>
    <w:rsid w:val="00F33585"/>
    <w:rsid w:val="00F340E4"/>
    <w:rsid w:val="00F34251"/>
    <w:rsid w:val="00F35B24"/>
    <w:rsid w:val="00F410E2"/>
    <w:rsid w:val="00F432BA"/>
    <w:rsid w:val="00F44083"/>
    <w:rsid w:val="00F5127C"/>
    <w:rsid w:val="00F51CF1"/>
    <w:rsid w:val="00F535F8"/>
    <w:rsid w:val="00F5373D"/>
    <w:rsid w:val="00F553EA"/>
    <w:rsid w:val="00F5547D"/>
    <w:rsid w:val="00F613FD"/>
    <w:rsid w:val="00F64E90"/>
    <w:rsid w:val="00F65B22"/>
    <w:rsid w:val="00F66E66"/>
    <w:rsid w:val="00F701AA"/>
    <w:rsid w:val="00F707C9"/>
    <w:rsid w:val="00F71F61"/>
    <w:rsid w:val="00F76BAD"/>
    <w:rsid w:val="00F824E5"/>
    <w:rsid w:val="00F86722"/>
    <w:rsid w:val="00F949DF"/>
    <w:rsid w:val="00F975D9"/>
    <w:rsid w:val="00F979EE"/>
    <w:rsid w:val="00FA0970"/>
    <w:rsid w:val="00FA13CD"/>
    <w:rsid w:val="00FA2323"/>
    <w:rsid w:val="00FA5AAD"/>
    <w:rsid w:val="00FA6F9B"/>
    <w:rsid w:val="00FA748F"/>
    <w:rsid w:val="00FB17E0"/>
    <w:rsid w:val="00FB4852"/>
    <w:rsid w:val="00FB62E8"/>
    <w:rsid w:val="00FB6CD8"/>
    <w:rsid w:val="00FC1F19"/>
    <w:rsid w:val="00FC288D"/>
    <w:rsid w:val="00FC64D4"/>
    <w:rsid w:val="00FD16E3"/>
    <w:rsid w:val="00FD2EF7"/>
    <w:rsid w:val="00FD7B9E"/>
    <w:rsid w:val="00FE3A5E"/>
    <w:rsid w:val="00FE63FD"/>
    <w:rsid w:val="00FF4C1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3D49CF32-F16F-4396-8AA2-E6D4AB43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56BF1"/>
    <w:pPr>
      <w:spacing w:line="240" w:lineRule="atLeast"/>
    </w:pPr>
    <w:rPr>
      <w:rFonts w:eastAsiaTheme="minorEastAsia"/>
      <w:lang w:eastAsia="es-ES"/>
    </w:rPr>
  </w:style>
  <w:style w:type="paragraph" w:styleId="Ttulo1">
    <w:name w:val="heading 1"/>
    <w:aliases w:val="Cuadro_G"/>
    <w:basedOn w:val="SingleTxtG"/>
    <w:next w:val="SingleTxtG"/>
    <w:link w:val="Ttulo1Car"/>
    <w:qFormat/>
    <w:rsid w:val="00656BF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rsid w:val="00656BF1"/>
    <w:pPr>
      <w:keepNext/>
      <w:outlineLvl w:val="1"/>
    </w:pPr>
    <w:rPr>
      <w:rFonts w:cs="Arial"/>
      <w:bCs/>
      <w:iCs/>
      <w:szCs w:val="28"/>
    </w:rPr>
  </w:style>
  <w:style w:type="paragraph" w:styleId="Ttulo3">
    <w:name w:val="heading 3"/>
    <w:basedOn w:val="Normal"/>
    <w:next w:val="Normal"/>
    <w:rsid w:val="00656BF1"/>
    <w:pPr>
      <w:keepNext/>
      <w:spacing w:before="240" w:after="60"/>
      <w:outlineLvl w:val="2"/>
    </w:pPr>
    <w:rPr>
      <w:rFonts w:ascii="Arial" w:hAnsi="Arial" w:cs="Arial"/>
      <w:b/>
      <w:bCs/>
      <w:sz w:val="26"/>
      <w:szCs w:val="26"/>
    </w:rPr>
  </w:style>
  <w:style w:type="paragraph" w:styleId="Ttulo4">
    <w:name w:val="heading 4"/>
    <w:basedOn w:val="Normal"/>
    <w:next w:val="Normal"/>
    <w:rsid w:val="00656BF1"/>
    <w:pPr>
      <w:keepNext/>
      <w:spacing w:before="240" w:after="60"/>
      <w:outlineLvl w:val="3"/>
    </w:pPr>
    <w:rPr>
      <w:b/>
      <w:bCs/>
      <w:sz w:val="28"/>
      <w:szCs w:val="28"/>
    </w:rPr>
  </w:style>
  <w:style w:type="paragraph" w:styleId="Ttulo5">
    <w:name w:val="heading 5"/>
    <w:basedOn w:val="Normal"/>
    <w:next w:val="Normal"/>
    <w:rsid w:val="00656BF1"/>
    <w:pPr>
      <w:spacing w:before="240" w:after="60"/>
      <w:outlineLvl w:val="4"/>
    </w:pPr>
    <w:rPr>
      <w:b/>
      <w:bCs/>
      <w:i/>
      <w:iCs/>
      <w:sz w:val="26"/>
      <w:szCs w:val="26"/>
    </w:rPr>
  </w:style>
  <w:style w:type="paragraph" w:styleId="Ttulo6">
    <w:name w:val="heading 6"/>
    <w:basedOn w:val="Normal"/>
    <w:next w:val="Normal"/>
    <w:rsid w:val="00656BF1"/>
    <w:pPr>
      <w:spacing w:before="240" w:after="60"/>
      <w:outlineLvl w:val="5"/>
    </w:pPr>
    <w:rPr>
      <w:b/>
      <w:bCs/>
      <w:sz w:val="22"/>
      <w:szCs w:val="22"/>
    </w:rPr>
  </w:style>
  <w:style w:type="paragraph" w:styleId="Ttulo7">
    <w:name w:val="heading 7"/>
    <w:basedOn w:val="Normal"/>
    <w:next w:val="Normal"/>
    <w:rsid w:val="00656BF1"/>
    <w:pPr>
      <w:spacing w:before="240" w:after="60"/>
      <w:outlineLvl w:val="6"/>
    </w:pPr>
    <w:rPr>
      <w:sz w:val="24"/>
      <w:szCs w:val="24"/>
    </w:rPr>
  </w:style>
  <w:style w:type="paragraph" w:styleId="Ttulo8">
    <w:name w:val="heading 8"/>
    <w:basedOn w:val="Normal"/>
    <w:next w:val="Normal"/>
    <w:rsid w:val="00656BF1"/>
    <w:pPr>
      <w:spacing w:before="240" w:after="60"/>
      <w:outlineLvl w:val="7"/>
    </w:pPr>
    <w:rPr>
      <w:i/>
      <w:iCs/>
      <w:sz w:val="24"/>
      <w:szCs w:val="24"/>
    </w:rPr>
  </w:style>
  <w:style w:type="paragraph" w:styleId="Ttulo9">
    <w:name w:val="heading 9"/>
    <w:basedOn w:val="Normal"/>
    <w:next w:val="Normal"/>
    <w:rsid w:val="00656BF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
    <w:qFormat/>
    <w:rsid w:val="00656BF1"/>
    <w:rPr>
      <w:rFonts w:ascii="Times New Roman" w:hAnsi="Times New Roman"/>
      <w:sz w:val="18"/>
      <w:vertAlign w:val="superscript"/>
    </w:rPr>
  </w:style>
  <w:style w:type="paragraph" w:customStyle="1" w:styleId="HMG">
    <w:name w:val="_ H __M_G"/>
    <w:basedOn w:val="Normal"/>
    <w:next w:val="Normal"/>
    <w:qFormat/>
    <w:rsid w:val="00656BF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56BF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56BF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56BF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56BF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56BF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656BF1"/>
    <w:pPr>
      <w:pBdr>
        <w:bottom w:val="single" w:sz="4" w:space="4" w:color="auto"/>
      </w:pBdr>
      <w:spacing w:line="240" w:lineRule="auto"/>
    </w:pPr>
    <w:rPr>
      <w:b/>
      <w:sz w:val="18"/>
    </w:rPr>
  </w:style>
  <w:style w:type="paragraph" w:customStyle="1" w:styleId="SingleTxtG">
    <w:name w:val="_ Single Txt_G"/>
    <w:basedOn w:val="Normal"/>
    <w:link w:val="SingleTxtGChar"/>
    <w:qFormat/>
    <w:rsid w:val="00656BF1"/>
    <w:pPr>
      <w:spacing w:after="120"/>
      <w:ind w:left="1134" w:right="1134"/>
      <w:jc w:val="both"/>
    </w:pPr>
  </w:style>
  <w:style w:type="paragraph" w:customStyle="1" w:styleId="SMG">
    <w:name w:val="__S_M_G"/>
    <w:basedOn w:val="Normal"/>
    <w:next w:val="Normal"/>
    <w:rsid w:val="00656BF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56BF1"/>
    <w:pPr>
      <w:keepNext/>
      <w:keepLines/>
      <w:spacing w:before="240" w:after="240" w:line="580" w:lineRule="exact"/>
      <w:ind w:left="1134" w:right="1134"/>
    </w:pPr>
    <w:rPr>
      <w:b/>
      <w:sz w:val="56"/>
    </w:rPr>
  </w:style>
  <w:style w:type="paragraph" w:customStyle="1" w:styleId="SSG">
    <w:name w:val="__S_S_G"/>
    <w:basedOn w:val="Normal"/>
    <w:next w:val="Normal"/>
    <w:rsid w:val="00656BF1"/>
    <w:pPr>
      <w:keepNext/>
      <w:keepLines/>
      <w:spacing w:before="240" w:after="240" w:line="300" w:lineRule="exact"/>
      <w:ind w:left="1134" w:right="1134"/>
    </w:pPr>
    <w:rPr>
      <w:b/>
      <w:sz w:val="28"/>
    </w:rPr>
  </w:style>
  <w:style w:type="paragraph" w:styleId="Piedepgina">
    <w:name w:val="footer"/>
    <w:aliases w:val="3_G"/>
    <w:basedOn w:val="Normal"/>
    <w:next w:val="Normal"/>
    <w:qFormat/>
    <w:rsid w:val="00656BF1"/>
    <w:rPr>
      <w:sz w:val="16"/>
    </w:rPr>
  </w:style>
  <w:style w:type="paragraph" w:customStyle="1" w:styleId="XLargeG">
    <w:name w:val="__XLarge_G"/>
    <w:basedOn w:val="Normal"/>
    <w:next w:val="Normal"/>
    <w:rsid w:val="00656BF1"/>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TextonotapieCar"/>
    <w:qFormat/>
    <w:rsid w:val="00656BF1"/>
    <w:pPr>
      <w:tabs>
        <w:tab w:val="right" w:pos="1021"/>
      </w:tabs>
      <w:spacing w:line="220" w:lineRule="exact"/>
      <w:ind w:left="1134" w:right="1134" w:hanging="1134"/>
    </w:pPr>
    <w:rPr>
      <w:sz w:val="18"/>
    </w:rPr>
  </w:style>
  <w:style w:type="table" w:styleId="Tablaconcuadrcula">
    <w:name w:val="Table Grid"/>
    <w:basedOn w:val="Tablanormal"/>
    <w:rsid w:val="00656BF1"/>
    <w:pPr>
      <w:spacing w:line="240" w:lineRule="atLeast"/>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56BF1"/>
    <w:pPr>
      <w:numPr>
        <w:numId w:val="3"/>
      </w:numPr>
    </w:pPr>
  </w:style>
  <w:style w:type="numbering" w:styleId="1ai">
    <w:name w:val="Outline List 1"/>
    <w:basedOn w:val="Sinlista"/>
    <w:semiHidden/>
    <w:rsid w:val="00656BF1"/>
    <w:pPr>
      <w:numPr>
        <w:numId w:val="4"/>
      </w:numPr>
    </w:pPr>
  </w:style>
  <w:style w:type="character" w:styleId="AcrnimoHTML">
    <w:name w:val="HTML Acronym"/>
    <w:basedOn w:val="Fuentedeprrafopredeter"/>
    <w:semiHidden/>
    <w:rsid w:val="00656BF1"/>
  </w:style>
  <w:style w:type="numbering" w:styleId="ArtculoSeccin">
    <w:name w:val="Outline List 3"/>
    <w:basedOn w:val="Sinlista"/>
    <w:semiHidden/>
    <w:rsid w:val="00656BF1"/>
    <w:pPr>
      <w:numPr>
        <w:numId w:val="5"/>
      </w:numPr>
    </w:pPr>
  </w:style>
  <w:style w:type="paragraph" w:styleId="Cierre">
    <w:name w:val="Closing"/>
    <w:basedOn w:val="Normal"/>
    <w:semiHidden/>
    <w:rsid w:val="00656BF1"/>
    <w:pPr>
      <w:ind w:left="4252"/>
    </w:pPr>
  </w:style>
  <w:style w:type="character" w:styleId="CitaHTML">
    <w:name w:val="HTML Cite"/>
    <w:semiHidden/>
    <w:rsid w:val="00656BF1"/>
    <w:rPr>
      <w:i/>
      <w:iCs/>
    </w:rPr>
  </w:style>
  <w:style w:type="character" w:styleId="CdigoHTML">
    <w:name w:val="HTML Code"/>
    <w:semiHidden/>
    <w:rsid w:val="00656BF1"/>
    <w:rPr>
      <w:rFonts w:ascii="Courier New" w:hAnsi="Courier New" w:cs="Courier New"/>
      <w:sz w:val="20"/>
      <w:szCs w:val="20"/>
    </w:rPr>
  </w:style>
  <w:style w:type="paragraph" w:styleId="Continuarlista">
    <w:name w:val="List Continue"/>
    <w:basedOn w:val="Normal"/>
    <w:semiHidden/>
    <w:rsid w:val="00656BF1"/>
    <w:pPr>
      <w:spacing w:after="120"/>
      <w:ind w:left="283"/>
    </w:pPr>
  </w:style>
  <w:style w:type="paragraph" w:styleId="Continuarlista2">
    <w:name w:val="List Continue 2"/>
    <w:basedOn w:val="Normal"/>
    <w:semiHidden/>
    <w:rsid w:val="00656BF1"/>
    <w:pPr>
      <w:spacing w:after="120"/>
      <w:ind w:left="566"/>
    </w:pPr>
  </w:style>
  <w:style w:type="paragraph" w:styleId="Continuarlista3">
    <w:name w:val="List Continue 3"/>
    <w:basedOn w:val="Normal"/>
    <w:semiHidden/>
    <w:rsid w:val="00656BF1"/>
    <w:pPr>
      <w:spacing w:after="120"/>
      <w:ind w:left="849"/>
    </w:pPr>
  </w:style>
  <w:style w:type="paragraph" w:styleId="Continuarlista4">
    <w:name w:val="List Continue 4"/>
    <w:basedOn w:val="Normal"/>
    <w:semiHidden/>
    <w:rsid w:val="00656BF1"/>
    <w:pPr>
      <w:spacing w:after="120"/>
      <w:ind w:left="1132"/>
    </w:pPr>
  </w:style>
  <w:style w:type="paragraph" w:styleId="Continuarlista5">
    <w:name w:val="List Continue 5"/>
    <w:basedOn w:val="Normal"/>
    <w:semiHidden/>
    <w:rsid w:val="00656BF1"/>
    <w:pPr>
      <w:spacing w:after="120"/>
      <w:ind w:left="1415"/>
    </w:pPr>
  </w:style>
  <w:style w:type="character" w:styleId="DefinicinHTML">
    <w:name w:val="HTML Definition"/>
    <w:semiHidden/>
    <w:rsid w:val="00656BF1"/>
    <w:rPr>
      <w:i/>
      <w:iCs/>
    </w:rPr>
  </w:style>
  <w:style w:type="paragraph" w:styleId="DireccinHTML">
    <w:name w:val="HTML Address"/>
    <w:basedOn w:val="Normal"/>
    <w:semiHidden/>
    <w:rsid w:val="00656BF1"/>
    <w:rPr>
      <w:i/>
      <w:iCs/>
    </w:rPr>
  </w:style>
  <w:style w:type="paragraph" w:styleId="Direccinsobre">
    <w:name w:val="envelope address"/>
    <w:basedOn w:val="Normal"/>
    <w:semiHidden/>
    <w:rsid w:val="00656BF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56BF1"/>
    <w:rPr>
      <w:rFonts w:ascii="Courier New" w:hAnsi="Courier New" w:cs="Courier New"/>
    </w:rPr>
  </w:style>
  <w:style w:type="paragraph" w:styleId="Encabezadodemensaje">
    <w:name w:val="Message Header"/>
    <w:basedOn w:val="Normal"/>
    <w:semiHidden/>
    <w:rsid w:val="00656B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56BF1"/>
  </w:style>
  <w:style w:type="character" w:styleId="nfasis">
    <w:name w:val="Emphasis"/>
    <w:rsid w:val="00656BF1"/>
    <w:rPr>
      <w:i/>
      <w:iCs/>
    </w:rPr>
  </w:style>
  <w:style w:type="paragraph" w:styleId="Fecha">
    <w:name w:val="Date"/>
    <w:basedOn w:val="Normal"/>
    <w:next w:val="Normal"/>
    <w:semiHidden/>
    <w:rsid w:val="00656BF1"/>
  </w:style>
  <w:style w:type="paragraph" w:styleId="Firma">
    <w:name w:val="Signature"/>
    <w:basedOn w:val="Normal"/>
    <w:semiHidden/>
    <w:rsid w:val="00656BF1"/>
    <w:pPr>
      <w:ind w:left="4252"/>
    </w:pPr>
  </w:style>
  <w:style w:type="paragraph" w:styleId="Firmadecorreoelectrnico">
    <w:name w:val="E-mail Signature"/>
    <w:basedOn w:val="Normal"/>
    <w:semiHidden/>
    <w:rsid w:val="00656BF1"/>
  </w:style>
  <w:style w:type="character" w:styleId="Hipervnculo">
    <w:name w:val="Hyperlink"/>
    <w:rsid w:val="00656BF1"/>
    <w:rPr>
      <w:color w:val="0000FF"/>
      <w:u w:val="none"/>
    </w:rPr>
  </w:style>
  <w:style w:type="character" w:styleId="Hipervnculovisitado">
    <w:name w:val="FollowedHyperlink"/>
    <w:rsid w:val="00656BF1"/>
    <w:rPr>
      <w:color w:val="0000FF"/>
      <w:u w:val="none"/>
    </w:rPr>
  </w:style>
  <w:style w:type="paragraph" w:styleId="HTMLconformatoprevio">
    <w:name w:val="HTML Preformatted"/>
    <w:basedOn w:val="Normal"/>
    <w:semiHidden/>
    <w:rsid w:val="00656BF1"/>
    <w:rPr>
      <w:rFonts w:ascii="Courier New" w:hAnsi="Courier New" w:cs="Courier New"/>
    </w:rPr>
  </w:style>
  <w:style w:type="paragraph" w:styleId="Lista">
    <w:name w:val="List"/>
    <w:basedOn w:val="Normal"/>
    <w:semiHidden/>
    <w:rsid w:val="00656BF1"/>
    <w:pPr>
      <w:ind w:left="283" w:hanging="283"/>
    </w:pPr>
  </w:style>
  <w:style w:type="paragraph" w:styleId="Lista2">
    <w:name w:val="List 2"/>
    <w:basedOn w:val="Normal"/>
    <w:semiHidden/>
    <w:rsid w:val="00656BF1"/>
    <w:pPr>
      <w:ind w:left="566" w:hanging="283"/>
    </w:pPr>
  </w:style>
  <w:style w:type="paragraph" w:styleId="Lista3">
    <w:name w:val="List 3"/>
    <w:basedOn w:val="Normal"/>
    <w:semiHidden/>
    <w:rsid w:val="00656BF1"/>
    <w:pPr>
      <w:ind w:left="849" w:hanging="283"/>
    </w:pPr>
  </w:style>
  <w:style w:type="paragraph" w:styleId="Lista4">
    <w:name w:val="List 4"/>
    <w:basedOn w:val="Normal"/>
    <w:semiHidden/>
    <w:rsid w:val="00656BF1"/>
    <w:pPr>
      <w:ind w:left="1132" w:hanging="283"/>
    </w:pPr>
  </w:style>
  <w:style w:type="paragraph" w:styleId="Lista5">
    <w:name w:val="List 5"/>
    <w:basedOn w:val="Normal"/>
    <w:semiHidden/>
    <w:rsid w:val="00656BF1"/>
    <w:pPr>
      <w:ind w:left="1415" w:hanging="283"/>
    </w:pPr>
  </w:style>
  <w:style w:type="paragraph" w:styleId="Listaconnmeros">
    <w:name w:val="List Number"/>
    <w:basedOn w:val="Normal"/>
    <w:semiHidden/>
    <w:rsid w:val="00656BF1"/>
    <w:pPr>
      <w:numPr>
        <w:numId w:val="30"/>
      </w:numPr>
    </w:pPr>
  </w:style>
  <w:style w:type="paragraph" w:styleId="Listaconnmeros2">
    <w:name w:val="List Number 2"/>
    <w:basedOn w:val="Normal"/>
    <w:semiHidden/>
    <w:rsid w:val="00656BF1"/>
    <w:pPr>
      <w:numPr>
        <w:numId w:val="31"/>
      </w:numPr>
    </w:pPr>
  </w:style>
  <w:style w:type="paragraph" w:styleId="Listaconnmeros3">
    <w:name w:val="List Number 3"/>
    <w:basedOn w:val="Normal"/>
    <w:semiHidden/>
    <w:rsid w:val="00656BF1"/>
    <w:pPr>
      <w:numPr>
        <w:numId w:val="32"/>
      </w:numPr>
    </w:pPr>
  </w:style>
  <w:style w:type="paragraph" w:styleId="Listaconnmeros4">
    <w:name w:val="List Number 4"/>
    <w:basedOn w:val="Normal"/>
    <w:semiHidden/>
    <w:rsid w:val="00656BF1"/>
    <w:pPr>
      <w:numPr>
        <w:numId w:val="33"/>
      </w:numPr>
    </w:pPr>
  </w:style>
  <w:style w:type="paragraph" w:styleId="Listaconnmeros5">
    <w:name w:val="List Number 5"/>
    <w:basedOn w:val="Normal"/>
    <w:semiHidden/>
    <w:rsid w:val="00656BF1"/>
    <w:pPr>
      <w:numPr>
        <w:numId w:val="34"/>
      </w:numPr>
    </w:pPr>
  </w:style>
  <w:style w:type="paragraph" w:styleId="Listaconvietas">
    <w:name w:val="List Bullet"/>
    <w:basedOn w:val="Normal"/>
    <w:semiHidden/>
    <w:rsid w:val="00656BF1"/>
    <w:pPr>
      <w:numPr>
        <w:numId w:val="35"/>
      </w:numPr>
    </w:pPr>
  </w:style>
  <w:style w:type="paragraph" w:styleId="Listaconvietas2">
    <w:name w:val="List Bullet 2"/>
    <w:basedOn w:val="Normal"/>
    <w:semiHidden/>
    <w:rsid w:val="00656BF1"/>
    <w:pPr>
      <w:numPr>
        <w:numId w:val="36"/>
      </w:numPr>
    </w:pPr>
  </w:style>
  <w:style w:type="paragraph" w:styleId="Listaconvietas3">
    <w:name w:val="List Bullet 3"/>
    <w:basedOn w:val="Normal"/>
    <w:semiHidden/>
    <w:rsid w:val="00656BF1"/>
    <w:pPr>
      <w:numPr>
        <w:numId w:val="37"/>
      </w:numPr>
    </w:pPr>
  </w:style>
  <w:style w:type="paragraph" w:styleId="Listaconvietas4">
    <w:name w:val="List Bullet 4"/>
    <w:basedOn w:val="Normal"/>
    <w:semiHidden/>
    <w:rsid w:val="00656BF1"/>
    <w:pPr>
      <w:numPr>
        <w:numId w:val="38"/>
      </w:numPr>
    </w:pPr>
  </w:style>
  <w:style w:type="paragraph" w:styleId="Listaconvietas5">
    <w:name w:val="List Bullet 5"/>
    <w:basedOn w:val="Normal"/>
    <w:semiHidden/>
    <w:rsid w:val="00656BF1"/>
    <w:pPr>
      <w:numPr>
        <w:numId w:val="39"/>
      </w:numPr>
    </w:pPr>
  </w:style>
  <w:style w:type="character" w:styleId="MquinadeescribirHTML">
    <w:name w:val="HTML Typewriter"/>
    <w:semiHidden/>
    <w:rsid w:val="00656BF1"/>
    <w:rPr>
      <w:rFonts w:ascii="Courier New" w:hAnsi="Courier New" w:cs="Courier New"/>
      <w:sz w:val="20"/>
      <w:szCs w:val="20"/>
    </w:rPr>
  </w:style>
  <w:style w:type="paragraph" w:styleId="NormalWeb">
    <w:name w:val="Normal (Web)"/>
    <w:basedOn w:val="Normal"/>
    <w:rsid w:val="00656BF1"/>
    <w:rPr>
      <w:sz w:val="24"/>
      <w:szCs w:val="24"/>
    </w:rPr>
  </w:style>
  <w:style w:type="character" w:styleId="Nmerodelnea">
    <w:name w:val="line number"/>
    <w:basedOn w:val="Fuentedeprrafopredeter"/>
    <w:semiHidden/>
    <w:rsid w:val="00656BF1"/>
  </w:style>
  <w:style w:type="character" w:styleId="Nmerodepgina">
    <w:name w:val="page number"/>
    <w:aliases w:val="7_G"/>
    <w:qFormat/>
    <w:rsid w:val="00656BF1"/>
    <w:rPr>
      <w:b/>
      <w:sz w:val="18"/>
    </w:rPr>
  </w:style>
  <w:style w:type="character" w:styleId="Refdenotaalfinal">
    <w:name w:val="endnote reference"/>
    <w:aliases w:val="1_G"/>
    <w:qFormat/>
    <w:rsid w:val="00656BF1"/>
    <w:rPr>
      <w:rFonts w:ascii="Times New Roman" w:hAnsi="Times New Roman"/>
      <w:sz w:val="18"/>
      <w:vertAlign w:val="superscript"/>
    </w:rPr>
  </w:style>
  <w:style w:type="paragraph" w:styleId="Remitedesobre">
    <w:name w:val="envelope return"/>
    <w:basedOn w:val="Normal"/>
    <w:semiHidden/>
    <w:rsid w:val="00656BF1"/>
    <w:rPr>
      <w:rFonts w:ascii="Arial" w:hAnsi="Arial" w:cs="Arial"/>
    </w:rPr>
  </w:style>
  <w:style w:type="paragraph" w:styleId="Saludo">
    <w:name w:val="Salutation"/>
    <w:basedOn w:val="Normal"/>
    <w:next w:val="Normal"/>
    <w:semiHidden/>
    <w:rsid w:val="00656BF1"/>
  </w:style>
  <w:style w:type="paragraph" w:styleId="Sangra2detindependiente">
    <w:name w:val="Body Text Indent 2"/>
    <w:basedOn w:val="Normal"/>
    <w:semiHidden/>
    <w:rsid w:val="00656BF1"/>
    <w:pPr>
      <w:spacing w:after="120" w:line="480" w:lineRule="auto"/>
      <w:ind w:left="283"/>
    </w:pPr>
  </w:style>
  <w:style w:type="paragraph" w:styleId="Sangra3detindependiente">
    <w:name w:val="Body Text Indent 3"/>
    <w:basedOn w:val="Normal"/>
    <w:semiHidden/>
    <w:rsid w:val="00656BF1"/>
    <w:pPr>
      <w:spacing w:after="120"/>
      <w:ind w:left="283"/>
    </w:pPr>
    <w:rPr>
      <w:sz w:val="16"/>
      <w:szCs w:val="16"/>
    </w:rPr>
  </w:style>
  <w:style w:type="paragraph" w:styleId="Sangradetextonormal">
    <w:name w:val="Body Text Indent"/>
    <w:basedOn w:val="Normal"/>
    <w:semiHidden/>
    <w:rsid w:val="00656BF1"/>
    <w:pPr>
      <w:spacing w:after="120"/>
      <w:ind w:left="283"/>
    </w:pPr>
  </w:style>
  <w:style w:type="paragraph" w:styleId="Sangranormal">
    <w:name w:val="Normal Indent"/>
    <w:basedOn w:val="Normal"/>
    <w:semiHidden/>
    <w:rsid w:val="00656BF1"/>
    <w:pPr>
      <w:ind w:left="567"/>
    </w:pPr>
  </w:style>
  <w:style w:type="paragraph" w:styleId="Subttulo">
    <w:name w:val="Subtitle"/>
    <w:basedOn w:val="Normal"/>
    <w:rsid w:val="00656BF1"/>
    <w:pPr>
      <w:spacing w:after="60"/>
      <w:jc w:val="center"/>
      <w:outlineLvl w:val="1"/>
    </w:pPr>
    <w:rPr>
      <w:rFonts w:ascii="Arial" w:hAnsi="Arial" w:cs="Arial"/>
      <w:sz w:val="24"/>
      <w:szCs w:val="24"/>
    </w:rPr>
  </w:style>
  <w:style w:type="table" w:styleId="Tablabsica1">
    <w:name w:val="Table Simple 1"/>
    <w:basedOn w:val="Tablanormal"/>
    <w:semiHidden/>
    <w:rsid w:val="00656BF1"/>
    <w:pPr>
      <w:spacing w:line="240" w:lineRule="atLeast"/>
    </w:pPr>
    <w:rPr>
      <w:rFonts w:eastAsiaTheme="minorEastAsia"/>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56BF1"/>
    <w:pPr>
      <w:spacing w:line="240" w:lineRule="atLeast"/>
    </w:pPr>
    <w:rPr>
      <w:rFonts w:eastAsiaTheme="minorEastAsia"/>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56BF1"/>
    <w:pPr>
      <w:spacing w:line="240" w:lineRule="atLeast"/>
    </w:pPr>
    <w:rPr>
      <w:rFonts w:eastAsiaTheme="minorEastAsia"/>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56BF1"/>
    <w:pPr>
      <w:spacing w:line="240" w:lineRule="atLeast"/>
    </w:pPr>
    <w:rPr>
      <w:rFonts w:eastAsiaTheme="minorEastAsia"/>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56BF1"/>
    <w:pPr>
      <w:spacing w:line="240" w:lineRule="atLeast"/>
    </w:pPr>
    <w:rPr>
      <w:rFonts w:eastAsiaTheme="minorEastAsia"/>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56BF1"/>
    <w:pPr>
      <w:spacing w:line="240" w:lineRule="atLeast"/>
    </w:pPr>
    <w:rPr>
      <w:rFonts w:eastAsiaTheme="minorEastAsia"/>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56BF1"/>
    <w:pPr>
      <w:spacing w:line="240" w:lineRule="atLeast"/>
    </w:pPr>
    <w:rPr>
      <w:rFonts w:eastAsiaTheme="minorEastAsia"/>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56BF1"/>
    <w:pPr>
      <w:spacing w:line="240" w:lineRule="atLeast"/>
    </w:pPr>
    <w:rPr>
      <w:rFonts w:eastAsiaTheme="minorEastAsia"/>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56BF1"/>
    <w:pPr>
      <w:spacing w:line="240" w:lineRule="atLeast"/>
    </w:pPr>
    <w:rPr>
      <w:rFonts w:eastAsiaTheme="minorEastAsia"/>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56BF1"/>
    <w:pPr>
      <w:spacing w:line="240" w:lineRule="atLeast"/>
    </w:pPr>
    <w:rPr>
      <w:rFonts w:eastAsiaTheme="minorEastAsia"/>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56BF1"/>
    <w:pPr>
      <w:spacing w:line="240" w:lineRule="atLeast"/>
    </w:pPr>
    <w:rPr>
      <w:rFonts w:eastAsiaTheme="minorEastAsia"/>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56BF1"/>
    <w:pPr>
      <w:spacing w:line="240" w:lineRule="atLeast"/>
    </w:pPr>
    <w:rPr>
      <w:rFonts w:eastAsiaTheme="minorEastAsia"/>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56BF1"/>
    <w:pPr>
      <w:spacing w:line="240" w:lineRule="atLeast"/>
    </w:pPr>
    <w:rPr>
      <w:rFonts w:eastAsiaTheme="minorEastAsia"/>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56BF1"/>
    <w:pPr>
      <w:spacing w:line="240" w:lineRule="atLeast"/>
    </w:pPr>
    <w:rPr>
      <w:rFonts w:eastAsiaTheme="minorEastAsia"/>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56BF1"/>
    <w:pPr>
      <w:spacing w:line="240" w:lineRule="atLeast"/>
    </w:pPr>
    <w:rPr>
      <w:rFonts w:eastAsiaTheme="minorEastAsia"/>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56BF1"/>
    <w:pPr>
      <w:spacing w:line="240" w:lineRule="atLeast"/>
    </w:pPr>
    <w:rPr>
      <w:rFonts w:eastAsiaTheme="minorEastAsia"/>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56BF1"/>
    <w:pPr>
      <w:spacing w:line="240" w:lineRule="atLeast"/>
    </w:pPr>
    <w:rPr>
      <w:rFonts w:eastAsiaTheme="minorEastAsia"/>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56BF1"/>
    <w:pPr>
      <w:spacing w:line="240" w:lineRule="atLeast"/>
    </w:pPr>
    <w:rPr>
      <w:rFonts w:eastAsiaTheme="minorEastAsia"/>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56BF1"/>
    <w:pPr>
      <w:spacing w:line="240" w:lineRule="atLeast"/>
    </w:pPr>
    <w:rPr>
      <w:rFonts w:eastAsiaTheme="minorEastAsia"/>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56BF1"/>
    <w:pPr>
      <w:spacing w:line="240" w:lineRule="atLeast"/>
    </w:pPr>
    <w:rPr>
      <w:rFonts w:eastAsiaTheme="minorEastAsia"/>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56BF1"/>
    <w:pPr>
      <w:spacing w:line="240" w:lineRule="atLeast"/>
    </w:pPr>
    <w:rPr>
      <w:rFonts w:eastAsiaTheme="minorEastAsia"/>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56BF1"/>
    <w:pPr>
      <w:spacing w:line="240" w:lineRule="atLeast"/>
    </w:pPr>
    <w:rPr>
      <w:rFonts w:eastAsiaTheme="minorEastAsia"/>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56BF1"/>
    <w:pPr>
      <w:spacing w:line="240" w:lineRule="atLeast"/>
    </w:pPr>
    <w:rPr>
      <w:rFonts w:eastAsiaTheme="minorEastAsia"/>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56BF1"/>
    <w:pPr>
      <w:spacing w:line="240" w:lineRule="atLeast"/>
    </w:pPr>
    <w:rPr>
      <w:rFonts w:eastAsiaTheme="minorEastAsia"/>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56BF1"/>
    <w:pPr>
      <w:spacing w:line="240" w:lineRule="atLeast"/>
    </w:pPr>
    <w:rPr>
      <w:rFonts w:eastAsiaTheme="minorEastAsia"/>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56BF1"/>
    <w:pPr>
      <w:spacing w:line="240" w:lineRule="atLeast"/>
    </w:pPr>
    <w:rPr>
      <w:rFonts w:eastAsiaTheme="minorEastAsia"/>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56BF1"/>
    <w:pPr>
      <w:spacing w:line="240" w:lineRule="atLeast"/>
    </w:pPr>
    <w:rPr>
      <w:rFonts w:eastAsiaTheme="minorEastAsia"/>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56BF1"/>
    <w:pPr>
      <w:spacing w:line="240" w:lineRule="atLeast"/>
    </w:pPr>
    <w:rPr>
      <w:rFonts w:eastAsiaTheme="minorEastAsia"/>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56BF1"/>
    <w:pPr>
      <w:spacing w:line="240" w:lineRule="atLeast"/>
    </w:pPr>
    <w:rPr>
      <w:rFonts w:eastAsiaTheme="minorEastAsia"/>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56BF1"/>
    <w:pPr>
      <w:spacing w:line="240" w:lineRule="atLeast"/>
    </w:pPr>
    <w:rPr>
      <w:rFonts w:eastAsiaTheme="minorEastAsia"/>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56BF1"/>
    <w:pPr>
      <w:spacing w:line="240" w:lineRule="atLeast"/>
    </w:pPr>
    <w:rPr>
      <w:rFonts w:eastAsiaTheme="minorEastAsia"/>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56BF1"/>
    <w:pPr>
      <w:spacing w:line="240" w:lineRule="atLeast"/>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56BF1"/>
    <w:pPr>
      <w:spacing w:line="240" w:lineRule="atLeast"/>
    </w:pPr>
    <w:rPr>
      <w:rFonts w:eastAsiaTheme="minorEastAsia"/>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56BF1"/>
    <w:pPr>
      <w:spacing w:line="240" w:lineRule="atLeast"/>
    </w:pPr>
    <w:rPr>
      <w:rFonts w:eastAsiaTheme="minorEastAsia"/>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56BF1"/>
    <w:pPr>
      <w:spacing w:line="240" w:lineRule="atLeast"/>
    </w:pPr>
    <w:rPr>
      <w:rFonts w:eastAsiaTheme="minorEastAsia"/>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56BF1"/>
    <w:pPr>
      <w:spacing w:line="240" w:lineRule="atLeast"/>
    </w:pPr>
    <w:rPr>
      <w:rFonts w:eastAsiaTheme="minorEastAsia"/>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56BF1"/>
    <w:pPr>
      <w:spacing w:line="240" w:lineRule="atLeast"/>
    </w:pPr>
    <w:rPr>
      <w:rFonts w:eastAsiaTheme="minorEastAsia"/>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56BF1"/>
    <w:pPr>
      <w:spacing w:line="240" w:lineRule="atLeast"/>
    </w:pPr>
    <w:rPr>
      <w:rFonts w:eastAsiaTheme="minorEastAsia"/>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56BF1"/>
    <w:pPr>
      <w:spacing w:line="240" w:lineRule="atLeast"/>
    </w:pPr>
    <w:rPr>
      <w:rFonts w:eastAsiaTheme="minorEastAsia"/>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56BF1"/>
    <w:pPr>
      <w:spacing w:line="240" w:lineRule="atLeast"/>
    </w:pPr>
    <w:rPr>
      <w:rFonts w:eastAsiaTheme="minorEastAsia"/>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56BF1"/>
    <w:pPr>
      <w:spacing w:line="240" w:lineRule="atLeast"/>
    </w:pPr>
    <w:rPr>
      <w:rFonts w:eastAsiaTheme="minorEastAsia"/>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56BF1"/>
    <w:pPr>
      <w:spacing w:line="240" w:lineRule="atLeast"/>
    </w:pPr>
    <w:rPr>
      <w:rFonts w:eastAsiaTheme="minorEastAsia"/>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56BF1"/>
    <w:pPr>
      <w:spacing w:line="240" w:lineRule="atLeast"/>
    </w:pPr>
    <w:rPr>
      <w:rFonts w:eastAsiaTheme="minorEastAsia"/>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56BF1"/>
    <w:rPr>
      <w:rFonts w:ascii="Courier New" w:hAnsi="Courier New" w:cs="Courier New"/>
      <w:sz w:val="20"/>
      <w:szCs w:val="20"/>
    </w:rPr>
  </w:style>
  <w:style w:type="paragraph" w:styleId="Textodebloque">
    <w:name w:val="Block Text"/>
    <w:basedOn w:val="Normal"/>
    <w:semiHidden/>
    <w:rsid w:val="00656BF1"/>
    <w:pPr>
      <w:spacing w:after="120"/>
      <w:ind w:left="1440" w:right="1440"/>
    </w:pPr>
  </w:style>
  <w:style w:type="character" w:styleId="Textoennegrita">
    <w:name w:val="Strong"/>
    <w:rsid w:val="00656BF1"/>
    <w:rPr>
      <w:b/>
      <w:bCs/>
    </w:rPr>
  </w:style>
  <w:style w:type="paragraph" w:styleId="Textoindependiente">
    <w:name w:val="Body Text"/>
    <w:basedOn w:val="Normal"/>
    <w:semiHidden/>
    <w:rsid w:val="00656BF1"/>
    <w:pPr>
      <w:spacing w:after="120"/>
    </w:pPr>
  </w:style>
  <w:style w:type="paragraph" w:styleId="Textoindependiente2">
    <w:name w:val="Body Text 2"/>
    <w:basedOn w:val="Normal"/>
    <w:semiHidden/>
    <w:rsid w:val="00656BF1"/>
    <w:pPr>
      <w:spacing w:after="120" w:line="480" w:lineRule="auto"/>
    </w:pPr>
  </w:style>
  <w:style w:type="paragraph" w:styleId="Textoindependiente3">
    <w:name w:val="Body Text 3"/>
    <w:basedOn w:val="Normal"/>
    <w:semiHidden/>
    <w:rsid w:val="00656BF1"/>
    <w:pPr>
      <w:spacing w:after="120"/>
    </w:pPr>
    <w:rPr>
      <w:sz w:val="16"/>
      <w:szCs w:val="16"/>
    </w:rPr>
  </w:style>
  <w:style w:type="paragraph" w:styleId="Textoindependienteprimerasangra">
    <w:name w:val="Body Text First Indent"/>
    <w:basedOn w:val="Textoindependiente"/>
    <w:semiHidden/>
    <w:rsid w:val="00656BF1"/>
    <w:pPr>
      <w:ind w:firstLine="210"/>
    </w:pPr>
  </w:style>
  <w:style w:type="paragraph" w:styleId="Textoindependienteprimerasangra2">
    <w:name w:val="Body Text First Indent 2"/>
    <w:basedOn w:val="Sangradetextonormal"/>
    <w:semiHidden/>
    <w:rsid w:val="00656BF1"/>
    <w:pPr>
      <w:ind w:firstLine="210"/>
    </w:pPr>
  </w:style>
  <w:style w:type="paragraph" w:styleId="Textonotaalfinal">
    <w:name w:val="endnote text"/>
    <w:aliases w:val="2_G"/>
    <w:basedOn w:val="Textonotapie"/>
    <w:qFormat/>
    <w:rsid w:val="00656BF1"/>
  </w:style>
  <w:style w:type="paragraph" w:styleId="Textosinformato">
    <w:name w:val="Plain Text"/>
    <w:basedOn w:val="Normal"/>
    <w:semiHidden/>
    <w:rsid w:val="00656BF1"/>
    <w:rPr>
      <w:rFonts w:ascii="Courier New" w:hAnsi="Courier New" w:cs="Courier New"/>
    </w:rPr>
  </w:style>
  <w:style w:type="paragraph" w:styleId="Ttulo">
    <w:name w:val="Title"/>
    <w:basedOn w:val="Normal"/>
    <w:rsid w:val="00656BF1"/>
    <w:pPr>
      <w:spacing w:before="240" w:after="60"/>
      <w:jc w:val="center"/>
      <w:outlineLvl w:val="0"/>
    </w:pPr>
    <w:rPr>
      <w:rFonts w:ascii="Arial" w:hAnsi="Arial" w:cs="Arial"/>
      <w:b/>
      <w:bCs/>
      <w:kern w:val="28"/>
      <w:sz w:val="32"/>
      <w:szCs w:val="32"/>
    </w:rPr>
  </w:style>
  <w:style w:type="character" w:styleId="VariableHTML">
    <w:name w:val="HTML Variable"/>
    <w:semiHidden/>
    <w:rsid w:val="00656BF1"/>
    <w:rPr>
      <w:i/>
      <w:iCs/>
    </w:rPr>
  </w:style>
  <w:style w:type="paragraph" w:customStyle="1" w:styleId="Bullet1G">
    <w:name w:val="_Bullet 1_G"/>
    <w:basedOn w:val="Normal"/>
    <w:qFormat/>
    <w:rsid w:val="00656BF1"/>
    <w:pPr>
      <w:numPr>
        <w:numId w:val="25"/>
      </w:numPr>
      <w:spacing w:after="120"/>
      <w:ind w:right="1134"/>
      <w:jc w:val="both"/>
    </w:pPr>
    <w:rPr>
      <w:lang w:eastAsia="en-US"/>
    </w:rPr>
  </w:style>
  <w:style w:type="paragraph" w:customStyle="1" w:styleId="Bullet2G">
    <w:name w:val="_Bullet 2_G"/>
    <w:basedOn w:val="Normal"/>
    <w:qFormat/>
    <w:rsid w:val="00656BF1"/>
    <w:pPr>
      <w:numPr>
        <w:numId w:val="26"/>
      </w:numPr>
      <w:spacing w:after="120"/>
      <w:ind w:right="1134"/>
      <w:jc w:val="both"/>
    </w:pPr>
  </w:style>
  <w:style w:type="character" w:customStyle="1" w:styleId="SingleTxtGChar">
    <w:name w:val="_ Single Txt_G Char"/>
    <w:link w:val="SingleTxtG"/>
    <w:rsid w:val="00BD1C50"/>
    <w:rPr>
      <w:rFonts w:eastAsiaTheme="minorEastAsia"/>
      <w:lang w:eastAsia="es-ES"/>
    </w:rPr>
  </w:style>
  <w:style w:type="character" w:customStyle="1" w:styleId="TextonotapieCar">
    <w:name w:val="Texto nota pie Car"/>
    <w:aliases w:val="5_G Car,Footnote Text Char Char Char Char Char Car,Footnote Text Char Char Char Char Car,Footnote reference Car,FA Fu Car,Footnote Text Char Char Char Car,Footnote Text Char1 Char1 Car,Footnote Text Char1 Char Char Char Char Car"/>
    <w:link w:val="Textonotapie"/>
    <w:rsid w:val="00BD1C50"/>
    <w:rPr>
      <w:rFonts w:eastAsiaTheme="minorEastAsia"/>
      <w:sz w:val="18"/>
      <w:lang w:eastAsia="es-ES"/>
    </w:rPr>
  </w:style>
  <w:style w:type="paragraph" w:customStyle="1" w:styleId="irdivsang">
    <w:name w:val="irdivsang"/>
    <w:basedOn w:val="Normal"/>
    <w:rsid w:val="00BD1C50"/>
    <w:pPr>
      <w:spacing w:before="100" w:beforeAutospacing="1" w:after="100" w:afterAutospacing="1" w:line="240" w:lineRule="auto"/>
      <w:ind w:firstLine="375"/>
      <w:jc w:val="both"/>
    </w:pPr>
    <w:rPr>
      <w:sz w:val="24"/>
      <w:szCs w:val="24"/>
      <w:lang w:val="en-GB" w:eastAsia="en-GB"/>
    </w:rPr>
  </w:style>
  <w:style w:type="paragraph" w:styleId="Textodeglobo">
    <w:name w:val="Balloon Text"/>
    <w:basedOn w:val="Normal"/>
    <w:link w:val="TextodegloboCar"/>
    <w:rsid w:val="009649B6"/>
    <w:pPr>
      <w:spacing w:line="240" w:lineRule="auto"/>
    </w:pPr>
    <w:rPr>
      <w:rFonts w:ascii="Tahoma" w:hAnsi="Tahoma" w:cs="Tahoma"/>
      <w:sz w:val="16"/>
      <w:szCs w:val="16"/>
    </w:rPr>
  </w:style>
  <w:style w:type="character" w:customStyle="1" w:styleId="TextodegloboCar">
    <w:name w:val="Texto de globo Car"/>
    <w:link w:val="Textodeglobo"/>
    <w:rsid w:val="009649B6"/>
    <w:rPr>
      <w:rFonts w:ascii="Tahoma" w:hAnsi="Tahoma" w:cs="Tahoma"/>
      <w:sz w:val="16"/>
      <w:szCs w:val="16"/>
      <w:lang w:val="es-ES" w:eastAsia="es-ES"/>
    </w:rPr>
  </w:style>
  <w:style w:type="paragraph" w:customStyle="1" w:styleId="default">
    <w:name w:val="default"/>
    <w:basedOn w:val="Normal"/>
    <w:rsid w:val="00980C0E"/>
    <w:pPr>
      <w:spacing w:before="100" w:beforeAutospacing="1" w:after="100" w:afterAutospacing="1" w:line="240" w:lineRule="auto"/>
    </w:pPr>
    <w:rPr>
      <w:sz w:val="24"/>
      <w:szCs w:val="24"/>
      <w:lang w:val="en-GB" w:eastAsia="en-GB"/>
    </w:rPr>
  </w:style>
  <w:style w:type="paragraph" w:styleId="Sinespaciado">
    <w:name w:val="No Spacing"/>
    <w:uiPriority w:val="1"/>
    <w:qFormat/>
    <w:rsid w:val="006A7813"/>
    <w:rPr>
      <w:rFonts w:ascii="Calibri" w:eastAsia="Calibri" w:hAnsi="Calibri"/>
      <w:sz w:val="22"/>
      <w:szCs w:val="22"/>
      <w:lang w:val="ru-RU" w:eastAsia="en-US"/>
    </w:rPr>
  </w:style>
  <w:style w:type="paragraph" w:customStyle="1" w:styleId="a">
    <w:name w:val="a"/>
    <w:basedOn w:val="Normal"/>
    <w:rsid w:val="00170CB6"/>
    <w:pPr>
      <w:spacing w:before="100" w:beforeAutospacing="1" w:after="100" w:afterAutospacing="1" w:line="240" w:lineRule="auto"/>
    </w:pPr>
    <w:rPr>
      <w:sz w:val="24"/>
      <w:szCs w:val="24"/>
      <w:lang w:val="en-GB" w:eastAsia="en-GB"/>
    </w:rPr>
  </w:style>
  <w:style w:type="paragraph" w:customStyle="1" w:styleId="Default0">
    <w:name w:val="Default"/>
    <w:rsid w:val="008442B8"/>
    <w:pPr>
      <w:autoSpaceDE w:val="0"/>
      <w:autoSpaceDN w:val="0"/>
      <w:adjustRightInd w:val="0"/>
    </w:pPr>
    <w:rPr>
      <w:rFonts w:eastAsia="Calibri"/>
      <w:color w:val="000000"/>
      <w:sz w:val="24"/>
      <w:szCs w:val="24"/>
      <w:lang w:val="en-GB" w:eastAsia="en-GB"/>
    </w:rPr>
  </w:style>
  <w:style w:type="character" w:styleId="Refdecomentario">
    <w:name w:val="annotation reference"/>
    <w:semiHidden/>
    <w:unhideWhenUsed/>
    <w:rsid w:val="008B468A"/>
    <w:rPr>
      <w:sz w:val="16"/>
      <w:szCs w:val="16"/>
    </w:rPr>
  </w:style>
  <w:style w:type="paragraph" w:styleId="Textocomentario">
    <w:name w:val="annotation text"/>
    <w:basedOn w:val="Normal"/>
    <w:link w:val="TextocomentarioCar"/>
    <w:semiHidden/>
    <w:unhideWhenUsed/>
    <w:rsid w:val="008B468A"/>
    <w:pPr>
      <w:spacing w:line="240" w:lineRule="auto"/>
    </w:pPr>
  </w:style>
  <w:style w:type="character" w:customStyle="1" w:styleId="TextocomentarioCar">
    <w:name w:val="Texto comentario Car"/>
    <w:link w:val="Textocomentario"/>
    <w:semiHidden/>
    <w:rsid w:val="008B468A"/>
    <w:rPr>
      <w:lang w:val="es-ES" w:eastAsia="es-ES"/>
    </w:rPr>
  </w:style>
  <w:style w:type="paragraph" w:styleId="Asuntodelcomentario">
    <w:name w:val="annotation subject"/>
    <w:basedOn w:val="Textocomentario"/>
    <w:next w:val="Textocomentario"/>
    <w:link w:val="AsuntodelcomentarioCar"/>
    <w:semiHidden/>
    <w:unhideWhenUsed/>
    <w:rsid w:val="008B468A"/>
    <w:rPr>
      <w:b/>
      <w:bCs/>
    </w:rPr>
  </w:style>
  <w:style w:type="character" w:customStyle="1" w:styleId="AsuntodelcomentarioCar">
    <w:name w:val="Asunto del comentario Car"/>
    <w:link w:val="Asuntodelcomentario"/>
    <w:semiHidden/>
    <w:rsid w:val="008B468A"/>
    <w:rPr>
      <w:b/>
      <w:bCs/>
      <w:lang w:val="es-ES" w:eastAsia="es-ES"/>
    </w:rPr>
  </w:style>
  <w:style w:type="paragraph" w:styleId="Citadestacada">
    <w:name w:val="Intense Quote"/>
    <w:basedOn w:val="Normal"/>
    <w:next w:val="Normal"/>
    <w:link w:val="CitadestacadaCar"/>
    <w:uiPriority w:val="30"/>
    <w:rsid w:val="00656BF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656BF1"/>
    <w:rPr>
      <w:rFonts w:eastAsiaTheme="minorEastAsia"/>
      <w:b/>
      <w:bCs/>
      <w:i/>
      <w:iCs/>
      <w:color w:val="4F81BD"/>
      <w:lang w:eastAsia="es-ES"/>
    </w:rPr>
  </w:style>
  <w:style w:type="character" w:styleId="nfasisintenso">
    <w:name w:val="Intense Emphasis"/>
    <w:uiPriority w:val="21"/>
    <w:rsid w:val="00656BF1"/>
    <w:rPr>
      <w:b/>
      <w:bCs/>
      <w:i/>
      <w:iCs/>
      <w:color w:val="4F81BD"/>
    </w:rPr>
  </w:style>
  <w:style w:type="character" w:customStyle="1" w:styleId="Ttulo1Car">
    <w:name w:val="Título 1 Car"/>
    <w:aliases w:val="Cuadro_G Car"/>
    <w:basedOn w:val="Fuentedeprrafopredeter"/>
    <w:link w:val="Ttulo1"/>
    <w:rsid w:val="00656BF1"/>
    <w:rPr>
      <w:rFonts w:eastAsiaTheme="minorEastAsia"/>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06231">
      <w:bodyDiv w:val="1"/>
      <w:marLeft w:val="0"/>
      <w:marRight w:val="0"/>
      <w:marTop w:val="0"/>
      <w:marBottom w:val="0"/>
      <w:divBdr>
        <w:top w:val="none" w:sz="0" w:space="0" w:color="auto"/>
        <w:left w:val="none" w:sz="0" w:space="0" w:color="auto"/>
        <w:bottom w:val="none" w:sz="0" w:space="0" w:color="auto"/>
        <w:right w:val="none" w:sz="0" w:space="0" w:color="auto"/>
      </w:divBdr>
    </w:div>
    <w:div w:id="486631620">
      <w:bodyDiv w:val="1"/>
      <w:marLeft w:val="0"/>
      <w:marRight w:val="0"/>
      <w:marTop w:val="0"/>
      <w:marBottom w:val="0"/>
      <w:divBdr>
        <w:top w:val="none" w:sz="0" w:space="0" w:color="auto"/>
        <w:left w:val="none" w:sz="0" w:space="0" w:color="auto"/>
        <w:bottom w:val="none" w:sz="0" w:space="0" w:color="auto"/>
        <w:right w:val="none" w:sz="0" w:space="0" w:color="auto"/>
      </w:divBdr>
    </w:div>
    <w:div w:id="720598694">
      <w:bodyDiv w:val="1"/>
      <w:marLeft w:val="0"/>
      <w:marRight w:val="0"/>
      <w:marTop w:val="0"/>
      <w:marBottom w:val="0"/>
      <w:divBdr>
        <w:top w:val="none" w:sz="0" w:space="0" w:color="auto"/>
        <w:left w:val="none" w:sz="0" w:space="0" w:color="auto"/>
        <w:bottom w:val="none" w:sz="0" w:space="0" w:color="auto"/>
        <w:right w:val="none" w:sz="0" w:space="0" w:color="auto"/>
      </w:divBdr>
      <w:divsChild>
        <w:div w:id="662659994">
          <w:marLeft w:val="0"/>
          <w:marRight w:val="0"/>
          <w:marTop w:val="0"/>
          <w:marBottom w:val="0"/>
          <w:divBdr>
            <w:top w:val="none" w:sz="0" w:space="0" w:color="auto"/>
            <w:left w:val="none" w:sz="0" w:space="0" w:color="auto"/>
            <w:bottom w:val="none" w:sz="0" w:space="0" w:color="auto"/>
            <w:right w:val="none" w:sz="0" w:space="0" w:color="auto"/>
          </w:divBdr>
          <w:divsChild>
            <w:div w:id="1040395335">
              <w:marLeft w:val="0"/>
              <w:marRight w:val="0"/>
              <w:marTop w:val="0"/>
              <w:marBottom w:val="0"/>
              <w:divBdr>
                <w:top w:val="none" w:sz="0" w:space="0" w:color="auto"/>
                <w:left w:val="none" w:sz="0" w:space="0" w:color="auto"/>
                <w:bottom w:val="none" w:sz="0" w:space="0" w:color="auto"/>
                <w:right w:val="none" w:sz="0" w:space="0" w:color="auto"/>
              </w:divBdr>
              <w:divsChild>
                <w:div w:id="11672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80501">
      <w:bodyDiv w:val="1"/>
      <w:marLeft w:val="0"/>
      <w:marRight w:val="0"/>
      <w:marTop w:val="0"/>
      <w:marBottom w:val="0"/>
      <w:divBdr>
        <w:top w:val="none" w:sz="0" w:space="0" w:color="auto"/>
        <w:left w:val="none" w:sz="0" w:space="0" w:color="auto"/>
        <w:bottom w:val="none" w:sz="0" w:space="0" w:color="auto"/>
        <w:right w:val="none" w:sz="0" w:space="0" w:color="auto"/>
      </w:divBdr>
      <w:divsChild>
        <w:div w:id="1159076874">
          <w:marLeft w:val="0"/>
          <w:marRight w:val="0"/>
          <w:marTop w:val="0"/>
          <w:marBottom w:val="0"/>
          <w:divBdr>
            <w:top w:val="none" w:sz="0" w:space="0" w:color="auto"/>
            <w:left w:val="none" w:sz="0" w:space="0" w:color="auto"/>
            <w:bottom w:val="none" w:sz="0" w:space="0" w:color="auto"/>
            <w:right w:val="none" w:sz="0" w:space="0" w:color="auto"/>
          </w:divBdr>
          <w:divsChild>
            <w:div w:id="25566529">
              <w:marLeft w:val="0"/>
              <w:marRight w:val="0"/>
              <w:marTop w:val="0"/>
              <w:marBottom w:val="0"/>
              <w:divBdr>
                <w:top w:val="none" w:sz="0" w:space="0" w:color="auto"/>
                <w:left w:val="none" w:sz="0" w:space="0" w:color="auto"/>
                <w:bottom w:val="none" w:sz="0" w:space="0" w:color="auto"/>
                <w:right w:val="none" w:sz="0" w:space="0" w:color="auto"/>
              </w:divBdr>
              <w:divsChild>
                <w:div w:id="17259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92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F5E14-FE9A-4D16-9FEC-8F0351E5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E_S.dotm</Template>
  <TotalTime>1</TotalTime>
  <Pages>6</Pages>
  <Words>2744</Words>
  <Characters>15093</Characters>
  <Application>Microsoft Office Word</Application>
  <DocSecurity>0</DocSecurity>
  <Lines>125</Lines>
  <Paragraphs>35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E/C.12/64/DR/19/2016/Rev.1</vt:lpstr>
      <vt:lpstr>E/C.12/64/DR/19/2016/Rev.1</vt:lpstr>
      <vt:lpstr>E/C.12/64/DR/19/2016/Rev.1</vt:lpstr>
    </vt:vector>
  </TitlesOfParts>
  <Company>OHCHR</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E/C.12/64/D/19/2016</dc:title>
  <dc:subject/>
  <dc:creator>Maria Luisa Zeballos Moreno</dc:creator>
  <cp:keywords/>
  <dc:description/>
  <cp:lastModifiedBy>Maria De La Plaza</cp:lastModifiedBy>
  <cp:revision>3</cp:revision>
  <cp:lastPrinted>2018-11-14T09:47:00Z</cp:lastPrinted>
  <dcterms:created xsi:type="dcterms:W3CDTF">2018-11-14T09:47:00Z</dcterms:created>
  <dcterms:modified xsi:type="dcterms:W3CDTF">2018-11-14T09:48:00Z</dcterms:modified>
</cp:coreProperties>
</file>