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452AF" w:rsidRPr="009F43DE">
        <w:trPr>
          <w:cantSplit/>
          <w:trHeight w:hRule="exact" w:val="851"/>
        </w:trPr>
        <w:tc>
          <w:tcPr>
            <w:tcW w:w="1276" w:type="dxa"/>
            <w:tcBorders>
              <w:bottom w:val="single" w:sz="4" w:space="0" w:color="auto"/>
            </w:tcBorders>
            <w:shd w:val="clear" w:color="auto" w:fill="auto"/>
            <w:vAlign w:val="bottom"/>
          </w:tcPr>
          <w:p w:rsidR="006452AF" w:rsidRPr="00C91A83" w:rsidRDefault="006452AF" w:rsidP="00C91A83">
            <w:pPr>
              <w:rPr>
                <w:lang w:val="fr-FR"/>
              </w:rPr>
            </w:pPr>
          </w:p>
        </w:tc>
        <w:tc>
          <w:tcPr>
            <w:tcW w:w="2268" w:type="dxa"/>
            <w:tcBorders>
              <w:bottom w:val="single" w:sz="4" w:space="0" w:color="auto"/>
            </w:tcBorders>
            <w:shd w:val="clear" w:color="auto" w:fill="auto"/>
            <w:vAlign w:val="bottom"/>
          </w:tcPr>
          <w:p w:rsidR="006452AF" w:rsidRPr="009F43DE" w:rsidRDefault="006452AF" w:rsidP="006452AF">
            <w:pPr>
              <w:spacing w:after="80" w:line="300" w:lineRule="exact"/>
              <w:rPr>
                <w:b/>
                <w:sz w:val="24"/>
                <w:szCs w:val="24"/>
                <w:lang w:val="fr-CH"/>
              </w:rPr>
            </w:pPr>
            <w:r w:rsidRPr="009F43DE">
              <w:rPr>
                <w:sz w:val="28"/>
                <w:szCs w:val="28"/>
                <w:lang w:val="fr-CH"/>
              </w:rPr>
              <w:t>Nations Unies</w:t>
            </w:r>
          </w:p>
        </w:tc>
        <w:tc>
          <w:tcPr>
            <w:tcW w:w="6095" w:type="dxa"/>
            <w:gridSpan w:val="2"/>
            <w:tcBorders>
              <w:bottom w:val="single" w:sz="4" w:space="0" w:color="auto"/>
            </w:tcBorders>
            <w:shd w:val="clear" w:color="auto" w:fill="auto"/>
            <w:vAlign w:val="bottom"/>
          </w:tcPr>
          <w:p w:rsidR="006452AF" w:rsidRPr="009F43DE" w:rsidRDefault="006452AF" w:rsidP="006452AF">
            <w:pPr>
              <w:suppressAutoHyphens w:val="0"/>
              <w:jc w:val="right"/>
              <w:rPr>
                <w:lang w:val="fr-CH"/>
              </w:rPr>
            </w:pPr>
            <w:r w:rsidRPr="009F43DE">
              <w:rPr>
                <w:sz w:val="40"/>
                <w:lang w:val="fr-CH"/>
              </w:rPr>
              <w:t>E</w:t>
            </w:r>
            <w:r w:rsidRPr="009F43DE">
              <w:rPr>
                <w:lang w:val="fr-CH"/>
              </w:rPr>
              <w:t>/C.12/LKA/5</w:t>
            </w:r>
          </w:p>
        </w:tc>
      </w:tr>
      <w:tr w:rsidR="006452AF" w:rsidRPr="009F43DE">
        <w:trPr>
          <w:cantSplit/>
          <w:trHeight w:hRule="exact" w:val="2835"/>
        </w:trPr>
        <w:tc>
          <w:tcPr>
            <w:tcW w:w="1276" w:type="dxa"/>
            <w:tcBorders>
              <w:top w:val="single" w:sz="4" w:space="0" w:color="auto"/>
              <w:bottom w:val="single" w:sz="12" w:space="0" w:color="auto"/>
            </w:tcBorders>
            <w:shd w:val="clear" w:color="auto" w:fill="auto"/>
          </w:tcPr>
          <w:p w:rsidR="006452AF" w:rsidRPr="009F43DE" w:rsidRDefault="007B0F90" w:rsidP="006452AF">
            <w:pPr>
              <w:spacing w:before="120"/>
              <w:rPr>
                <w:lang w:val="fr-CH"/>
              </w:rPr>
            </w:pPr>
            <w:r w:rsidRPr="009F43DE">
              <w:rPr>
                <w:noProof/>
                <w:lang w:val="fr-CH"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shd w:val="clear" w:color="auto" w:fill="auto"/>
          </w:tcPr>
          <w:p w:rsidR="006452AF" w:rsidRPr="009F43DE" w:rsidRDefault="006452AF" w:rsidP="006452AF">
            <w:pPr>
              <w:spacing w:before="120" w:line="420" w:lineRule="exact"/>
              <w:rPr>
                <w:sz w:val="40"/>
                <w:szCs w:val="40"/>
                <w:lang w:val="fr-CH"/>
              </w:rPr>
            </w:pPr>
            <w:r w:rsidRPr="009F43DE">
              <w:rPr>
                <w:b/>
                <w:sz w:val="40"/>
                <w:szCs w:val="40"/>
                <w:lang w:val="fr-CH"/>
              </w:rPr>
              <w:t>Conseil économique et social</w:t>
            </w:r>
          </w:p>
        </w:tc>
        <w:tc>
          <w:tcPr>
            <w:tcW w:w="2835" w:type="dxa"/>
            <w:tcBorders>
              <w:top w:val="single" w:sz="4" w:space="0" w:color="auto"/>
              <w:bottom w:val="single" w:sz="12" w:space="0" w:color="auto"/>
            </w:tcBorders>
            <w:shd w:val="clear" w:color="auto" w:fill="auto"/>
          </w:tcPr>
          <w:p w:rsidR="006452AF" w:rsidRPr="009F43DE" w:rsidRDefault="006452AF" w:rsidP="006452AF">
            <w:pPr>
              <w:suppressAutoHyphens w:val="0"/>
              <w:spacing w:before="240" w:line="240" w:lineRule="exact"/>
              <w:rPr>
                <w:lang w:val="fr-CH"/>
              </w:rPr>
            </w:pPr>
            <w:r w:rsidRPr="009F43DE">
              <w:rPr>
                <w:lang w:val="fr-CH"/>
              </w:rPr>
              <w:t>Distr. générale</w:t>
            </w:r>
          </w:p>
          <w:p w:rsidR="006452AF" w:rsidRPr="009F43DE" w:rsidRDefault="006452AF" w:rsidP="006452AF">
            <w:pPr>
              <w:suppressAutoHyphens w:val="0"/>
              <w:spacing w:line="240" w:lineRule="exact"/>
              <w:rPr>
                <w:lang w:val="fr-CH"/>
              </w:rPr>
            </w:pPr>
            <w:r w:rsidRPr="009F43DE">
              <w:rPr>
                <w:lang w:val="fr-CH"/>
              </w:rPr>
              <w:t>4 février 2016</w:t>
            </w:r>
          </w:p>
          <w:p w:rsidR="006452AF" w:rsidRPr="009F43DE" w:rsidRDefault="007738FD" w:rsidP="006452AF">
            <w:pPr>
              <w:suppressAutoHyphens w:val="0"/>
              <w:spacing w:line="240" w:lineRule="exact"/>
              <w:rPr>
                <w:lang w:val="fr-CH"/>
              </w:rPr>
            </w:pPr>
            <w:r w:rsidRPr="009F43DE">
              <w:rPr>
                <w:lang w:val="fr-CH"/>
              </w:rPr>
              <w:t>Français</w:t>
            </w:r>
          </w:p>
          <w:p w:rsidR="006452AF" w:rsidRPr="009F43DE" w:rsidRDefault="006452AF" w:rsidP="006452AF">
            <w:pPr>
              <w:suppressAutoHyphens w:val="0"/>
              <w:spacing w:line="240" w:lineRule="exact"/>
              <w:rPr>
                <w:lang w:val="fr-CH"/>
              </w:rPr>
            </w:pPr>
            <w:r w:rsidRPr="009F43DE">
              <w:rPr>
                <w:lang w:val="fr-CH"/>
              </w:rPr>
              <w:t>Original</w:t>
            </w:r>
            <w:r w:rsidR="00F8384A" w:rsidRPr="009F43DE">
              <w:rPr>
                <w:lang w:val="fr-CH"/>
              </w:rPr>
              <w:t>:</w:t>
            </w:r>
            <w:r w:rsidRPr="009F43DE">
              <w:rPr>
                <w:lang w:val="fr-CH"/>
              </w:rPr>
              <w:t xml:space="preserve"> anglais</w:t>
            </w:r>
          </w:p>
          <w:p w:rsidR="006452AF" w:rsidRPr="009F43DE" w:rsidRDefault="006452AF" w:rsidP="006452AF">
            <w:pPr>
              <w:suppressAutoHyphens w:val="0"/>
              <w:spacing w:line="240" w:lineRule="exact"/>
              <w:rPr>
                <w:lang w:val="fr-CH"/>
              </w:rPr>
            </w:pPr>
            <w:r w:rsidRPr="009F43DE">
              <w:rPr>
                <w:lang w:val="fr-CH"/>
              </w:rPr>
              <w:t>Anglais, espagnol et français seulement</w:t>
            </w:r>
          </w:p>
        </w:tc>
      </w:tr>
    </w:tbl>
    <w:p w:rsidR="006452AF" w:rsidRPr="009F43DE" w:rsidRDefault="006452AF" w:rsidP="006452AF">
      <w:pPr>
        <w:spacing w:line="20" w:lineRule="exact"/>
        <w:rPr>
          <w:b/>
          <w:sz w:val="2"/>
          <w:szCs w:val="24"/>
          <w:lang w:val="fr-CH"/>
        </w:rPr>
      </w:pPr>
    </w:p>
    <w:p w:rsidR="006452AF" w:rsidRPr="009F43DE" w:rsidRDefault="006452AF" w:rsidP="006452AF">
      <w:pPr>
        <w:spacing w:before="120"/>
        <w:rPr>
          <w:b/>
          <w:sz w:val="24"/>
          <w:szCs w:val="24"/>
          <w:lang w:val="fr-CH"/>
        </w:rPr>
      </w:pPr>
      <w:r w:rsidRPr="009F43DE">
        <w:rPr>
          <w:b/>
          <w:sz w:val="24"/>
          <w:szCs w:val="24"/>
          <w:lang w:val="fr-CH"/>
        </w:rPr>
        <w:t>Comité des droits économiques, sociaux et culturels</w:t>
      </w:r>
    </w:p>
    <w:p w:rsidR="006452AF" w:rsidRPr="009F43DE" w:rsidRDefault="006452AF" w:rsidP="006452AF">
      <w:pPr>
        <w:pStyle w:val="HMG"/>
        <w:rPr>
          <w:lang w:val="fr-CH"/>
        </w:rPr>
      </w:pPr>
      <w:r w:rsidRPr="009F43DE">
        <w:rPr>
          <w:lang w:val="fr-CH"/>
        </w:rPr>
        <w:tab/>
      </w:r>
      <w:r w:rsidRPr="009F43DE">
        <w:rPr>
          <w:lang w:val="fr-CH"/>
        </w:rPr>
        <w:tab/>
        <w:t xml:space="preserve">Examen des rapports </w:t>
      </w:r>
      <w:r w:rsidR="007C48B2" w:rsidRPr="009F43DE">
        <w:rPr>
          <w:lang w:val="fr-CH"/>
        </w:rPr>
        <w:t xml:space="preserve">soumis </w:t>
      </w:r>
      <w:r w:rsidRPr="009F43DE">
        <w:rPr>
          <w:lang w:val="fr-CH"/>
        </w:rPr>
        <w:t xml:space="preserve">par les </w:t>
      </w:r>
      <w:r w:rsidR="007574C7" w:rsidRPr="009F43DE">
        <w:rPr>
          <w:lang w:val="fr-CH"/>
        </w:rPr>
        <w:t>États</w:t>
      </w:r>
      <w:r w:rsidRPr="009F43DE">
        <w:rPr>
          <w:lang w:val="fr-CH"/>
        </w:rPr>
        <w:t xml:space="preserve"> parties en application des articles 16 et 17 du Pacte international relatif aux droits économiques, sociaux et culturels</w:t>
      </w:r>
    </w:p>
    <w:p w:rsidR="006452AF" w:rsidRPr="009F43DE" w:rsidRDefault="006452AF" w:rsidP="006452AF">
      <w:pPr>
        <w:pStyle w:val="HChG"/>
        <w:rPr>
          <w:lang w:val="fr-CH"/>
        </w:rPr>
      </w:pPr>
      <w:r w:rsidRPr="009F43DE">
        <w:rPr>
          <w:lang w:val="fr-CH"/>
        </w:rPr>
        <w:tab/>
      </w:r>
      <w:r w:rsidRPr="009F43DE">
        <w:rPr>
          <w:lang w:val="fr-CH"/>
        </w:rPr>
        <w:tab/>
        <w:t xml:space="preserve">Cinquièmes rapports périodiques des </w:t>
      </w:r>
      <w:r w:rsidR="007574C7" w:rsidRPr="009F43DE">
        <w:rPr>
          <w:lang w:val="fr-CH"/>
        </w:rPr>
        <w:t>États</w:t>
      </w:r>
      <w:r w:rsidRPr="009F43DE">
        <w:rPr>
          <w:lang w:val="fr-CH"/>
        </w:rPr>
        <w:t xml:space="preserve"> </w:t>
      </w:r>
      <w:r w:rsidR="007C48B2" w:rsidRPr="009F43DE">
        <w:rPr>
          <w:lang w:val="fr-CH"/>
        </w:rPr>
        <w:t xml:space="preserve">parties </w:t>
      </w:r>
      <w:r w:rsidRPr="009F43DE">
        <w:rPr>
          <w:lang w:val="fr-CH"/>
        </w:rPr>
        <w:t>attendus en 2013</w:t>
      </w:r>
    </w:p>
    <w:p w:rsidR="006452AF" w:rsidRPr="009F43DE" w:rsidRDefault="006452AF" w:rsidP="006452AF">
      <w:pPr>
        <w:pStyle w:val="HMG"/>
        <w:rPr>
          <w:lang w:val="fr-CH"/>
        </w:rPr>
      </w:pPr>
      <w:r w:rsidRPr="009F43DE">
        <w:rPr>
          <w:lang w:val="fr-CH"/>
        </w:rPr>
        <w:tab/>
      </w:r>
      <w:r w:rsidRPr="009F43DE">
        <w:rPr>
          <w:lang w:val="fr-CH"/>
        </w:rPr>
        <w:tab/>
        <w:t>Sri Lanka</w:t>
      </w:r>
      <w:r w:rsidRPr="009F43DE">
        <w:rPr>
          <w:rStyle w:val="FootnoteReference"/>
          <w:b w:val="0"/>
          <w:position w:val="6"/>
          <w:sz w:val="20"/>
          <w:vertAlign w:val="baseline"/>
          <w:lang w:val="fr-CH"/>
        </w:rPr>
        <w:footnoteReference w:customMarkFollows="1" w:id="2"/>
        <w:t>*</w:t>
      </w:r>
      <w:r w:rsidRPr="009F43DE">
        <w:rPr>
          <w:b w:val="0"/>
          <w:sz w:val="20"/>
          <w:lang w:val="fr-CH"/>
        </w:rPr>
        <w:t xml:space="preserve"> </w:t>
      </w:r>
    </w:p>
    <w:p w:rsidR="006452AF" w:rsidRPr="009F43DE" w:rsidRDefault="006452AF" w:rsidP="006452AF">
      <w:pPr>
        <w:pStyle w:val="SingleTxtG"/>
        <w:jc w:val="right"/>
        <w:rPr>
          <w:lang w:val="fr-CH"/>
        </w:rPr>
      </w:pPr>
      <w:r w:rsidRPr="009F43DE">
        <w:rPr>
          <w:lang w:val="fr-CH"/>
        </w:rPr>
        <w:t>[Date de réception</w:t>
      </w:r>
      <w:r w:rsidR="00F8384A" w:rsidRPr="009F43DE">
        <w:rPr>
          <w:lang w:val="fr-CH"/>
        </w:rPr>
        <w:t>:</w:t>
      </w:r>
      <w:r w:rsidRPr="009F43DE">
        <w:rPr>
          <w:lang w:val="fr-CH"/>
        </w:rPr>
        <w:t xml:space="preserve"> 7 octobre 2015]</w:t>
      </w:r>
    </w:p>
    <w:p w:rsidR="009F43DE" w:rsidRPr="009F43DE" w:rsidRDefault="006452AF" w:rsidP="009F43DE">
      <w:pPr>
        <w:spacing w:after="120"/>
        <w:rPr>
          <w:sz w:val="28"/>
          <w:lang w:val="fr-CH"/>
        </w:rPr>
      </w:pPr>
      <w:r w:rsidRPr="009F43DE">
        <w:rPr>
          <w:color w:val="0000FF"/>
          <w:lang w:val="fr-CH"/>
        </w:rPr>
        <w:br w:type="page"/>
      </w:r>
      <w:r w:rsidR="009F43DE" w:rsidRPr="009F43DE">
        <w:rPr>
          <w:sz w:val="28"/>
          <w:lang w:val="fr-CH"/>
        </w:rPr>
        <w:t>Table des matières</w:t>
      </w:r>
    </w:p>
    <w:p w:rsidR="009F43DE" w:rsidRPr="009F43DE" w:rsidRDefault="009F43DE" w:rsidP="009F43DE">
      <w:pPr>
        <w:tabs>
          <w:tab w:val="right" w:pos="9638"/>
        </w:tabs>
        <w:spacing w:after="120"/>
        <w:ind w:left="283"/>
        <w:rPr>
          <w:i/>
          <w:sz w:val="18"/>
          <w:lang w:val="fr-CH"/>
        </w:rPr>
      </w:pPr>
      <w:r w:rsidRPr="009F43DE">
        <w:rPr>
          <w:i/>
          <w:sz w:val="18"/>
          <w:lang w:val="fr-CH"/>
        </w:rPr>
        <w:tab/>
        <w:t>Page</w:t>
      </w:r>
    </w:p>
    <w:p w:rsidR="009F43DE" w:rsidRPr="009F43DE" w:rsidRDefault="009F43DE" w:rsidP="009F43DE">
      <w:pPr>
        <w:tabs>
          <w:tab w:val="right" w:pos="850"/>
          <w:tab w:val="right" w:leader="dot" w:pos="8787"/>
          <w:tab w:val="right" w:pos="9638"/>
        </w:tabs>
        <w:spacing w:after="120"/>
        <w:ind w:left="1134" w:hanging="1134"/>
        <w:rPr>
          <w:lang w:val="fr-CH"/>
        </w:rPr>
      </w:pPr>
      <w:r w:rsidRPr="009F43DE">
        <w:rPr>
          <w:lang w:val="fr-CH"/>
        </w:rPr>
        <w:tab/>
        <w:t>I.</w:t>
      </w:r>
      <w:r w:rsidRPr="009F43DE">
        <w:rPr>
          <w:lang w:val="fr-CH"/>
        </w:rPr>
        <w:tab/>
        <w:t>Introduction</w:t>
      </w:r>
      <w:r w:rsidRPr="009F43DE">
        <w:rPr>
          <w:lang w:val="fr-CH"/>
        </w:rPr>
        <w:tab/>
      </w:r>
      <w:r w:rsidRPr="009F43DE">
        <w:rPr>
          <w:lang w:val="fr-CH"/>
        </w:rPr>
        <w:tab/>
      </w:r>
      <w:r w:rsidR="001E0EBF">
        <w:rPr>
          <w:lang w:val="fr-CH"/>
        </w:rPr>
        <w:t>3</w:t>
      </w:r>
    </w:p>
    <w:p w:rsidR="009F43DE" w:rsidRPr="009F43DE" w:rsidRDefault="009F43DE" w:rsidP="009F43DE">
      <w:pPr>
        <w:tabs>
          <w:tab w:val="right" w:pos="850"/>
          <w:tab w:val="right" w:leader="dot" w:pos="8787"/>
          <w:tab w:val="right" w:pos="9638"/>
        </w:tabs>
        <w:spacing w:after="120"/>
        <w:ind w:left="1134" w:hanging="1134"/>
        <w:rPr>
          <w:lang w:val="fr-CH"/>
        </w:rPr>
      </w:pPr>
      <w:r w:rsidRPr="009F43DE">
        <w:rPr>
          <w:lang w:val="fr-CH"/>
        </w:rPr>
        <w:tab/>
        <w:t>II.</w:t>
      </w:r>
      <w:r w:rsidRPr="009F43DE">
        <w:rPr>
          <w:lang w:val="fr-CH"/>
        </w:rPr>
        <w:tab/>
        <w:t>Renseignements d’ordre général</w:t>
      </w:r>
      <w:r w:rsidR="001E0EBF">
        <w:rPr>
          <w:lang w:val="fr-CH"/>
        </w:rPr>
        <w:tab/>
      </w:r>
      <w:r w:rsidR="001E0EBF">
        <w:rPr>
          <w:lang w:val="fr-CH"/>
        </w:rPr>
        <w:tab/>
        <w:t>3</w:t>
      </w:r>
    </w:p>
    <w:p w:rsidR="009F43DE" w:rsidRDefault="009F43DE" w:rsidP="009F43DE">
      <w:pPr>
        <w:tabs>
          <w:tab w:val="right" w:pos="850"/>
          <w:tab w:val="right" w:leader="dot" w:pos="8787"/>
          <w:tab w:val="right" w:pos="9638"/>
        </w:tabs>
        <w:spacing w:after="120"/>
        <w:ind w:left="1134" w:hanging="1134"/>
        <w:rPr>
          <w:lang w:val="fr-CH"/>
        </w:rPr>
      </w:pPr>
      <w:r>
        <w:rPr>
          <w:lang w:val="fr-CH"/>
        </w:rPr>
        <w:tab/>
      </w:r>
      <w:r>
        <w:rPr>
          <w:lang w:val="fr-CH"/>
        </w:rPr>
        <w:tab/>
      </w:r>
      <w:r w:rsidRPr="009F43DE">
        <w:rPr>
          <w:lang w:val="fr-CH"/>
        </w:rPr>
        <w:t>Part</w:t>
      </w:r>
      <w:r w:rsidRPr="009F43DE">
        <w:rPr>
          <w:bCs/>
          <w:szCs w:val="28"/>
          <w:lang w:val="fr-CH" w:eastAsia="fr-FR"/>
        </w:rPr>
        <w:t>ie I – Réponses aux observations finales formulées par le Comité des droits économiques,</w:t>
      </w:r>
      <w:r>
        <w:rPr>
          <w:bCs/>
          <w:szCs w:val="28"/>
          <w:lang w:val="fr-CH" w:eastAsia="fr-FR"/>
        </w:rPr>
        <w:br/>
      </w:r>
      <w:r w:rsidRPr="009F43DE">
        <w:rPr>
          <w:bCs/>
          <w:szCs w:val="28"/>
          <w:lang w:val="fr-CH" w:eastAsia="fr-FR"/>
        </w:rPr>
        <w:t>sociaux et culturels à l’issue de l’examen des deuxième à quatrième rapports périodiques</w:t>
      </w:r>
      <w:r>
        <w:rPr>
          <w:bCs/>
          <w:szCs w:val="28"/>
          <w:lang w:val="fr-CH" w:eastAsia="fr-FR"/>
        </w:rPr>
        <w:br/>
      </w:r>
      <w:r w:rsidRPr="009F43DE">
        <w:rPr>
          <w:bCs/>
          <w:szCs w:val="28"/>
          <w:lang w:val="fr-CH" w:eastAsia="fr-FR"/>
        </w:rPr>
        <w:t>de Sri Lanka, présentés en un seul document</w:t>
      </w:r>
      <w:r w:rsidRPr="009F43DE">
        <w:rPr>
          <w:lang w:val="fr-CH"/>
        </w:rPr>
        <w:tab/>
      </w:r>
      <w:r w:rsidRPr="009F43DE">
        <w:rPr>
          <w:lang w:val="fr-CH"/>
        </w:rPr>
        <w:tab/>
      </w:r>
      <w:r w:rsidR="001E0EBF">
        <w:rPr>
          <w:lang w:val="fr-CH"/>
        </w:rPr>
        <w:t>4</w:t>
      </w:r>
    </w:p>
    <w:p w:rsidR="00134B80" w:rsidRPr="009F43DE" w:rsidRDefault="00134B80" w:rsidP="009F43DE">
      <w:pPr>
        <w:tabs>
          <w:tab w:val="right" w:pos="850"/>
          <w:tab w:val="right" w:leader="dot" w:pos="8787"/>
          <w:tab w:val="right" w:pos="9638"/>
        </w:tabs>
        <w:spacing w:after="120"/>
        <w:ind w:left="1134" w:hanging="1134"/>
        <w:rPr>
          <w:lang w:val="fr-CH"/>
        </w:rPr>
      </w:pPr>
      <w:r>
        <w:rPr>
          <w:lang w:val="fr-CH"/>
        </w:rPr>
        <w:tab/>
      </w:r>
      <w:r>
        <w:rPr>
          <w:lang w:val="fr-CH"/>
        </w:rPr>
        <w:tab/>
        <w:t>Partie II –</w:t>
      </w:r>
      <w:r w:rsidR="00B2292F">
        <w:rPr>
          <w:lang w:val="fr-CH"/>
        </w:rPr>
        <w:t xml:space="preserve"> </w:t>
      </w:r>
      <w:r w:rsidRPr="009F43DE">
        <w:rPr>
          <w:lang w:val="fr-CH"/>
        </w:rPr>
        <w:t>Progrès depuis le dernier rapport périodique</w:t>
      </w:r>
      <w:r>
        <w:rPr>
          <w:lang w:val="fr-CH"/>
        </w:rPr>
        <w:tab/>
      </w:r>
      <w:r>
        <w:rPr>
          <w:lang w:val="fr-CH"/>
        </w:rPr>
        <w:tab/>
      </w:r>
      <w:r w:rsidR="001E0EBF">
        <w:rPr>
          <w:lang w:val="fr-CH"/>
        </w:rPr>
        <w:t>33</w:t>
      </w:r>
    </w:p>
    <w:p w:rsidR="009F43DE" w:rsidRDefault="00134B80" w:rsidP="00274F34">
      <w:pPr>
        <w:tabs>
          <w:tab w:val="right" w:pos="850"/>
          <w:tab w:val="left" w:pos="2044"/>
          <w:tab w:val="right" w:leader="dot" w:pos="8787"/>
          <w:tab w:val="right" w:pos="9638"/>
        </w:tabs>
        <w:spacing w:after="120"/>
        <w:ind w:left="1134" w:hanging="1134"/>
        <w:rPr>
          <w:lang w:val="fr-CH"/>
        </w:rPr>
      </w:pPr>
      <w:r>
        <w:rPr>
          <w:lang w:val="fr-CH"/>
        </w:rPr>
        <w:tab/>
      </w:r>
      <w:r>
        <w:rPr>
          <w:lang w:val="fr-CH"/>
        </w:rPr>
        <w:tab/>
        <w:t>Article</w:t>
      </w:r>
      <w:r w:rsidR="00B2292F">
        <w:rPr>
          <w:lang w:val="fr-CH"/>
        </w:rPr>
        <w:t xml:space="preserve"> </w:t>
      </w:r>
      <w:r>
        <w:rPr>
          <w:lang w:val="fr-CH"/>
        </w:rPr>
        <w:t>1</w:t>
      </w:r>
      <w:r w:rsidR="00D9533B">
        <w:rPr>
          <w:lang w:val="fr-CH"/>
        </w:rPr>
        <w:t>.</w:t>
      </w:r>
      <w:r w:rsidR="00D9533B">
        <w:rPr>
          <w:lang w:val="fr-CH"/>
        </w:rPr>
        <w:tab/>
      </w:r>
      <w:r w:rsidR="001D1A33">
        <w:rPr>
          <w:lang w:val="fr-CH"/>
        </w:rPr>
        <w:t>Autodétermination</w:t>
      </w:r>
      <w:r w:rsidR="00B2292F">
        <w:rPr>
          <w:lang w:val="fr-CH"/>
        </w:rPr>
        <w:tab/>
      </w:r>
      <w:r w:rsidR="001D1A33">
        <w:rPr>
          <w:lang w:val="fr-CH"/>
        </w:rPr>
        <w:tab/>
      </w:r>
      <w:r w:rsidR="001E0EBF">
        <w:rPr>
          <w:lang w:val="fr-CH"/>
        </w:rPr>
        <w:t>33</w:t>
      </w:r>
    </w:p>
    <w:p w:rsidR="001D1A33" w:rsidRDefault="001D1A33" w:rsidP="00274F34">
      <w:pPr>
        <w:tabs>
          <w:tab w:val="right" w:pos="850"/>
          <w:tab w:val="left" w:pos="2044"/>
          <w:tab w:val="right" w:leader="dot" w:pos="8787"/>
          <w:tab w:val="right" w:pos="9638"/>
        </w:tabs>
        <w:spacing w:after="120"/>
        <w:ind w:left="1134" w:hanging="1134"/>
        <w:rPr>
          <w:lang w:val="fr-CH"/>
        </w:rPr>
      </w:pPr>
      <w:r>
        <w:rPr>
          <w:lang w:val="fr-CH"/>
        </w:rPr>
        <w:tab/>
      </w:r>
      <w:r>
        <w:rPr>
          <w:lang w:val="fr-CH"/>
        </w:rPr>
        <w:tab/>
        <w:t>Article 2.</w:t>
      </w:r>
      <w:r>
        <w:rPr>
          <w:lang w:val="fr-CH"/>
        </w:rPr>
        <w:tab/>
      </w:r>
      <w:r w:rsidRPr="009F43DE">
        <w:rPr>
          <w:rStyle w:val="shorttext"/>
          <w:lang w:val="fr-CH"/>
        </w:rPr>
        <w:t>Réalisation des droits énoncés dans le Pacte</w:t>
      </w:r>
      <w:r>
        <w:rPr>
          <w:rStyle w:val="shorttext"/>
          <w:lang w:val="fr-CH"/>
        </w:rPr>
        <w:tab/>
      </w:r>
      <w:r>
        <w:rPr>
          <w:lang w:val="fr-CH"/>
        </w:rPr>
        <w:tab/>
      </w:r>
      <w:r w:rsidR="001E0EBF">
        <w:rPr>
          <w:lang w:val="fr-CH"/>
        </w:rPr>
        <w:t>34</w:t>
      </w:r>
    </w:p>
    <w:p w:rsidR="001D1A33" w:rsidRDefault="001D1A33" w:rsidP="00274F34">
      <w:pPr>
        <w:tabs>
          <w:tab w:val="right" w:pos="850"/>
          <w:tab w:val="left" w:pos="2044"/>
          <w:tab w:val="right" w:leader="dot" w:pos="8787"/>
          <w:tab w:val="right" w:pos="9638"/>
        </w:tabs>
        <w:spacing w:after="120"/>
        <w:ind w:left="1134" w:hanging="1134"/>
        <w:rPr>
          <w:lang w:val="fr-CH"/>
        </w:rPr>
      </w:pPr>
      <w:r>
        <w:rPr>
          <w:lang w:val="fr-CH"/>
        </w:rPr>
        <w:tab/>
      </w:r>
      <w:r>
        <w:rPr>
          <w:lang w:val="fr-CH"/>
        </w:rPr>
        <w:tab/>
        <w:t>Article 3.</w:t>
      </w:r>
      <w:r>
        <w:rPr>
          <w:lang w:val="fr-CH"/>
        </w:rPr>
        <w:tab/>
      </w:r>
      <w:r w:rsidR="001E0EBF">
        <w:rPr>
          <w:lang w:val="fr-CH"/>
        </w:rPr>
        <w:t>Égalité des sexes</w:t>
      </w:r>
      <w:r w:rsidR="001E0EBF">
        <w:rPr>
          <w:lang w:val="fr-CH"/>
        </w:rPr>
        <w:tab/>
      </w:r>
      <w:r w:rsidR="001E0EBF">
        <w:rPr>
          <w:lang w:val="fr-CH"/>
        </w:rPr>
        <w:tab/>
        <w:t>35</w:t>
      </w:r>
    </w:p>
    <w:p w:rsidR="001E0EBF" w:rsidRDefault="001E0EBF" w:rsidP="00AE2E29">
      <w:pPr>
        <w:tabs>
          <w:tab w:val="left" w:pos="1148"/>
          <w:tab w:val="left" w:pos="2000"/>
          <w:tab w:val="left" w:pos="2422"/>
          <w:tab w:val="right" w:leader="dot" w:pos="8787"/>
          <w:tab w:val="right" w:pos="9638"/>
        </w:tabs>
        <w:spacing w:after="120"/>
        <w:ind w:left="2422" w:hanging="2000"/>
        <w:rPr>
          <w:lang w:val="fr-CH"/>
        </w:rPr>
      </w:pPr>
      <w:r>
        <w:rPr>
          <w:lang w:val="fr-CH"/>
        </w:rPr>
        <w:tab/>
        <w:t>Articles 4 et 5.</w:t>
      </w:r>
      <w:r w:rsidR="00AE2E29">
        <w:rPr>
          <w:lang w:val="fr-CH"/>
        </w:rPr>
        <w:tab/>
      </w:r>
      <w:r w:rsidRPr="009F43DE">
        <w:rPr>
          <w:lang w:val="fr-CH"/>
        </w:rPr>
        <w:t>Restriction des limitations aux droits assurés conformément au Pacte</w:t>
      </w:r>
      <w:r w:rsidR="00AE2E29">
        <w:rPr>
          <w:lang w:val="fr-CH"/>
        </w:rPr>
        <w:br/>
      </w:r>
      <w:r w:rsidRPr="009F43DE">
        <w:rPr>
          <w:lang w:val="fr-CH"/>
        </w:rPr>
        <w:t>et non-dérogation aux droits</w:t>
      </w:r>
      <w:r w:rsidR="00AE2E29">
        <w:rPr>
          <w:lang w:val="fr-CH"/>
        </w:rPr>
        <w:tab/>
      </w:r>
      <w:r w:rsidR="00AE2E29">
        <w:rPr>
          <w:lang w:val="fr-CH"/>
        </w:rPr>
        <w:tab/>
        <w:t>35</w:t>
      </w:r>
    </w:p>
    <w:p w:rsidR="00AE2E29" w:rsidRDefault="00AE2E29" w:rsidP="00274F34">
      <w:pPr>
        <w:tabs>
          <w:tab w:val="right" w:pos="850"/>
          <w:tab w:val="left" w:pos="2044"/>
          <w:tab w:val="right" w:leader="dot" w:pos="8787"/>
          <w:tab w:val="right" w:pos="9638"/>
        </w:tabs>
        <w:spacing w:after="120"/>
        <w:ind w:left="1134" w:hanging="1134"/>
        <w:rPr>
          <w:lang w:val="fr-CH"/>
        </w:rPr>
      </w:pPr>
      <w:r>
        <w:rPr>
          <w:lang w:val="fr-CH"/>
        </w:rPr>
        <w:tab/>
      </w:r>
      <w:r>
        <w:rPr>
          <w:lang w:val="fr-CH"/>
        </w:rPr>
        <w:tab/>
        <w:t>Article 6.</w:t>
      </w:r>
      <w:r>
        <w:rPr>
          <w:lang w:val="fr-CH"/>
        </w:rPr>
        <w:tab/>
        <w:t>Droit au travail</w:t>
      </w:r>
      <w:r>
        <w:rPr>
          <w:lang w:val="fr-CH"/>
        </w:rPr>
        <w:tab/>
      </w:r>
      <w:r>
        <w:rPr>
          <w:lang w:val="fr-CH"/>
        </w:rPr>
        <w:tab/>
        <w:t>35</w:t>
      </w:r>
    </w:p>
    <w:p w:rsidR="00AE2E29" w:rsidRDefault="00AE2E29" w:rsidP="00274F34">
      <w:pPr>
        <w:tabs>
          <w:tab w:val="right" w:pos="850"/>
          <w:tab w:val="left" w:pos="2044"/>
          <w:tab w:val="right" w:leader="dot" w:pos="8787"/>
          <w:tab w:val="right" w:pos="9638"/>
        </w:tabs>
        <w:spacing w:after="120"/>
        <w:ind w:left="1134" w:hanging="1134"/>
        <w:rPr>
          <w:lang w:val="fr-CH"/>
        </w:rPr>
      </w:pPr>
      <w:r>
        <w:rPr>
          <w:lang w:val="fr-CH"/>
        </w:rPr>
        <w:tab/>
      </w:r>
      <w:r>
        <w:rPr>
          <w:lang w:val="fr-CH"/>
        </w:rPr>
        <w:tab/>
        <w:t>Article 7.</w:t>
      </w:r>
      <w:r>
        <w:rPr>
          <w:lang w:val="fr-CH"/>
        </w:rPr>
        <w:tab/>
      </w:r>
      <w:r w:rsidR="00E464B9" w:rsidRPr="009F43DE">
        <w:rPr>
          <w:lang w:val="fr-CH"/>
        </w:rPr>
        <w:t>Droit à des conditions d’emploi équitables</w:t>
      </w:r>
      <w:r w:rsidR="00E464B9">
        <w:rPr>
          <w:lang w:val="fr-CH"/>
        </w:rPr>
        <w:tab/>
      </w:r>
      <w:r w:rsidR="00E464B9">
        <w:rPr>
          <w:lang w:val="fr-CH"/>
        </w:rPr>
        <w:tab/>
      </w:r>
      <w:r w:rsidR="00251A57">
        <w:rPr>
          <w:lang w:val="fr-CH"/>
        </w:rPr>
        <w:t>36</w:t>
      </w:r>
    </w:p>
    <w:p w:rsidR="00E464B9" w:rsidRDefault="00E464B9" w:rsidP="00274F34">
      <w:pPr>
        <w:tabs>
          <w:tab w:val="right" w:pos="850"/>
          <w:tab w:val="left" w:pos="2044"/>
          <w:tab w:val="right" w:leader="dot" w:pos="8787"/>
          <w:tab w:val="right" w:pos="9638"/>
        </w:tabs>
        <w:spacing w:after="120"/>
        <w:ind w:left="1134" w:hanging="1134"/>
        <w:rPr>
          <w:lang w:val="fr-CH"/>
        </w:rPr>
      </w:pPr>
      <w:r>
        <w:rPr>
          <w:lang w:val="fr-CH"/>
        </w:rPr>
        <w:tab/>
      </w:r>
      <w:r>
        <w:rPr>
          <w:lang w:val="fr-CH"/>
        </w:rPr>
        <w:tab/>
      </w:r>
      <w:r w:rsidR="00251A57">
        <w:rPr>
          <w:lang w:val="fr-CH"/>
        </w:rPr>
        <w:t>Article 8.</w:t>
      </w:r>
      <w:r w:rsidR="00251A57">
        <w:rPr>
          <w:lang w:val="fr-CH"/>
        </w:rPr>
        <w:tab/>
      </w:r>
      <w:r w:rsidR="00251A57" w:rsidRPr="009F43DE">
        <w:rPr>
          <w:rStyle w:val="shorttext"/>
          <w:lang w:val="fr-CH"/>
        </w:rPr>
        <w:t>Droit de constituer un syndicat et de s’affilier à un syndicat</w:t>
      </w:r>
      <w:r w:rsidR="00251A57">
        <w:rPr>
          <w:rStyle w:val="shorttext"/>
          <w:lang w:val="fr-CH"/>
        </w:rPr>
        <w:tab/>
      </w:r>
      <w:r w:rsidR="00251A57">
        <w:rPr>
          <w:rStyle w:val="shorttext"/>
          <w:lang w:val="fr-CH"/>
        </w:rPr>
        <w:tab/>
        <w:t>37</w:t>
      </w:r>
    </w:p>
    <w:p w:rsidR="00251A57" w:rsidRDefault="00251A57" w:rsidP="00274F34">
      <w:pPr>
        <w:tabs>
          <w:tab w:val="right" w:pos="850"/>
          <w:tab w:val="left" w:pos="2044"/>
          <w:tab w:val="right" w:leader="dot" w:pos="8787"/>
          <w:tab w:val="right" w:pos="9638"/>
        </w:tabs>
        <w:spacing w:after="120"/>
        <w:ind w:left="1134" w:hanging="1134"/>
        <w:rPr>
          <w:lang w:val="fr-CH"/>
        </w:rPr>
      </w:pPr>
      <w:r>
        <w:rPr>
          <w:lang w:val="fr-CH"/>
        </w:rPr>
        <w:tab/>
      </w:r>
      <w:r>
        <w:rPr>
          <w:lang w:val="fr-CH"/>
        </w:rPr>
        <w:tab/>
        <w:t>Article 9.</w:t>
      </w:r>
      <w:r>
        <w:rPr>
          <w:lang w:val="fr-CH"/>
        </w:rPr>
        <w:tab/>
      </w:r>
      <w:r w:rsidR="00F45F4E">
        <w:rPr>
          <w:lang w:val="fr-CH"/>
        </w:rPr>
        <w:t>Droit à la sécurité sociale</w:t>
      </w:r>
      <w:r w:rsidR="00F45F4E">
        <w:rPr>
          <w:lang w:val="fr-CH"/>
        </w:rPr>
        <w:tab/>
      </w:r>
      <w:r w:rsidR="00F45F4E">
        <w:rPr>
          <w:lang w:val="fr-CH"/>
        </w:rPr>
        <w:tab/>
        <w:t>37</w:t>
      </w:r>
    </w:p>
    <w:p w:rsidR="00F45F4E" w:rsidRDefault="00F45F4E" w:rsidP="00274F34">
      <w:pPr>
        <w:tabs>
          <w:tab w:val="right" w:pos="850"/>
          <w:tab w:val="left" w:pos="2044"/>
          <w:tab w:val="right" w:leader="dot" w:pos="8787"/>
          <w:tab w:val="right" w:pos="9638"/>
        </w:tabs>
        <w:spacing w:after="120"/>
        <w:ind w:left="1134" w:hanging="1134"/>
        <w:rPr>
          <w:lang w:val="fr-CH"/>
        </w:rPr>
      </w:pPr>
      <w:r>
        <w:rPr>
          <w:lang w:val="fr-CH"/>
        </w:rPr>
        <w:tab/>
      </w:r>
      <w:r>
        <w:rPr>
          <w:lang w:val="fr-CH"/>
        </w:rPr>
        <w:tab/>
        <w:t>Article 10.</w:t>
      </w:r>
      <w:r>
        <w:rPr>
          <w:lang w:val="fr-CH"/>
        </w:rPr>
        <w:tab/>
      </w:r>
      <w:r w:rsidRPr="009F43DE">
        <w:rPr>
          <w:lang w:val="fr-CH"/>
        </w:rPr>
        <w:t>Droit à la protection de la famille</w:t>
      </w:r>
      <w:r>
        <w:rPr>
          <w:lang w:val="fr-CH"/>
        </w:rPr>
        <w:tab/>
      </w:r>
      <w:r>
        <w:rPr>
          <w:lang w:val="fr-CH"/>
        </w:rPr>
        <w:tab/>
        <w:t>38</w:t>
      </w:r>
    </w:p>
    <w:p w:rsidR="00F45F4E" w:rsidRDefault="00F45F4E" w:rsidP="00274F34">
      <w:pPr>
        <w:tabs>
          <w:tab w:val="right" w:pos="850"/>
          <w:tab w:val="left" w:pos="2044"/>
          <w:tab w:val="right" w:leader="dot" w:pos="8787"/>
          <w:tab w:val="right" w:pos="9638"/>
        </w:tabs>
        <w:spacing w:after="120"/>
        <w:ind w:left="1134" w:hanging="1134"/>
        <w:rPr>
          <w:lang w:val="fr-CH"/>
        </w:rPr>
      </w:pPr>
      <w:r>
        <w:rPr>
          <w:lang w:val="fr-CH"/>
        </w:rPr>
        <w:tab/>
      </w:r>
      <w:r>
        <w:rPr>
          <w:lang w:val="fr-CH"/>
        </w:rPr>
        <w:tab/>
        <w:t>Article 11.</w:t>
      </w:r>
      <w:r>
        <w:rPr>
          <w:lang w:val="fr-CH"/>
        </w:rPr>
        <w:tab/>
      </w:r>
      <w:r w:rsidR="00A7238B" w:rsidRPr="009F43DE">
        <w:rPr>
          <w:color w:val="000000"/>
          <w:lang w:val="fr-CH"/>
        </w:rPr>
        <w:t>Droit à un niveau de vie suffisant</w:t>
      </w:r>
      <w:r>
        <w:rPr>
          <w:lang w:val="fr-CH"/>
        </w:rPr>
        <w:tab/>
      </w:r>
      <w:r>
        <w:rPr>
          <w:lang w:val="fr-CH"/>
        </w:rPr>
        <w:tab/>
      </w:r>
      <w:r w:rsidR="00A7238B">
        <w:rPr>
          <w:lang w:val="fr-CH"/>
        </w:rPr>
        <w:t>39</w:t>
      </w:r>
    </w:p>
    <w:p w:rsidR="00F45F4E" w:rsidRDefault="00F45F4E" w:rsidP="00274F34">
      <w:pPr>
        <w:tabs>
          <w:tab w:val="right" w:pos="850"/>
          <w:tab w:val="left" w:pos="2044"/>
          <w:tab w:val="right" w:leader="dot" w:pos="8787"/>
          <w:tab w:val="right" w:pos="9638"/>
        </w:tabs>
        <w:spacing w:after="120"/>
        <w:ind w:left="1134" w:hanging="1134"/>
        <w:rPr>
          <w:lang w:val="fr-CH"/>
        </w:rPr>
      </w:pPr>
      <w:r>
        <w:rPr>
          <w:lang w:val="fr-CH"/>
        </w:rPr>
        <w:tab/>
      </w:r>
      <w:r>
        <w:rPr>
          <w:lang w:val="fr-CH"/>
        </w:rPr>
        <w:tab/>
        <w:t>Article 12.</w:t>
      </w:r>
      <w:r>
        <w:rPr>
          <w:lang w:val="fr-CH"/>
        </w:rPr>
        <w:tab/>
      </w:r>
      <w:r w:rsidR="003930B1">
        <w:rPr>
          <w:lang w:val="fr-CH"/>
        </w:rPr>
        <w:t>Droit à la santé</w:t>
      </w:r>
      <w:r>
        <w:rPr>
          <w:lang w:val="fr-CH"/>
        </w:rPr>
        <w:tab/>
      </w:r>
      <w:r>
        <w:rPr>
          <w:lang w:val="fr-CH"/>
        </w:rPr>
        <w:tab/>
      </w:r>
      <w:r w:rsidR="003930B1">
        <w:rPr>
          <w:lang w:val="fr-CH"/>
        </w:rPr>
        <w:t>40</w:t>
      </w:r>
    </w:p>
    <w:p w:rsidR="00F45F4E" w:rsidRDefault="00F45F4E" w:rsidP="00B2292F">
      <w:pPr>
        <w:tabs>
          <w:tab w:val="right" w:pos="850"/>
          <w:tab w:val="left" w:pos="2000"/>
          <w:tab w:val="right" w:leader="dot" w:pos="8787"/>
          <w:tab w:val="right" w:pos="9638"/>
        </w:tabs>
        <w:spacing w:after="120"/>
        <w:ind w:left="1134" w:hanging="1134"/>
        <w:rPr>
          <w:lang w:val="fr-CH"/>
        </w:rPr>
      </w:pPr>
      <w:r>
        <w:rPr>
          <w:lang w:val="fr-CH"/>
        </w:rPr>
        <w:tab/>
      </w:r>
      <w:r>
        <w:rPr>
          <w:lang w:val="fr-CH"/>
        </w:rPr>
        <w:tab/>
        <w:t>Articles 13 et 14.</w:t>
      </w:r>
      <w:r w:rsidR="003930B1">
        <w:rPr>
          <w:lang w:val="fr-CH"/>
        </w:rPr>
        <w:t xml:space="preserve"> Droit à l’éducation</w:t>
      </w:r>
      <w:r>
        <w:rPr>
          <w:lang w:val="fr-CH"/>
        </w:rPr>
        <w:tab/>
      </w:r>
      <w:r>
        <w:rPr>
          <w:lang w:val="fr-CH"/>
        </w:rPr>
        <w:tab/>
      </w:r>
      <w:r w:rsidR="003930B1">
        <w:rPr>
          <w:lang w:val="fr-CH"/>
        </w:rPr>
        <w:t>42</w:t>
      </w:r>
    </w:p>
    <w:p w:rsidR="00F45F4E" w:rsidRPr="009F43DE" w:rsidRDefault="00F45F4E" w:rsidP="00274F34">
      <w:pPr>
        <w:tabs>
          <w:tab w:val="right" w:pos="850"/>
          <w:tab w:val="left" w:pos="2044"/>
          <w:tab w:val="right" w:leader="dot" w:pos="8787"/>
          <w:tab w:val="right" w:pos="9638"/>
        </w:tabs>
        <w:spacing w:after="120"/>
        <w:ind w:left="1134" w:hanging="1134"/>
        <w:rPr>
          <w:lang w:val="fr-CH"/>
        </w:rPr>
      </w:pPr>
      <w:r>
        <w:rPr>
          <w:lang w:val="fr-CH"/>
        </w:rPr>
        <w:tab/>
      </w:r>
      <w:r>
        <w:rPr>
          <w:lang w:val="fr-CH"/>
        </w:rPr>
        <w:tab/>
        <w:t>Article 15.</w:t>
      </w:r>
      <w:r>
        <w:rPr>
          <w:lang w:val="fr-CH"/>
        </w:rPr>
        <w:tab/>
      </w:r>
      <w:r w:rsidR="003930B1" w:rsidRPr="009F43DE">
        <w:rPr>
          <w:color w:val="000000"/>
          <w:lang w:val="fr-CH"/>
        </w:rPr>
        <w:t>Droit de participer à la vie culturelle et de bénéficier du progrès scientifique</w:t>
      </w:r>
      <w:r w:rsidR="003930B1">
        <w:rPr>
          <w:lang w:val="fr-CH"/>
        </w:rPr>
        <w:tab/>
      </w:r>
      <w:r w:rsidR="003930B1">
        <w:rPr>
          <w:lang w:val="fr-CH"/>
        </w:rPr>
        <w:tab/>
        <w:t>43</w:t>
      </w:r>
    </w:p>
    <w:p w:rsidR="009F43DE" w:rsidRPr="009F43DE" w:rsidRDefault="009F43DE" w:rsidP="00087367">
      <w:pPr>
        <w:tabs>
          <w:tab w:val="left" w:pos="100"/>
          <w:tab w:val="right" w:pos="850"/>
        </w:tabs>
        <w:spacing w:after="120"/>
        <w:rPr>
          <w:lang w:val="fr-CH"/>
        </w:rPr>
      </w:pPr>
      <w:r w:rsidRPr="009F43DE">
        <w:rPr>
          <w:lang w:val="fr-CH"/>
        </w:rPr>
        <w:tab/>
        <w:t>Annexes</w:t>
      </w:r>
      <w:r w:rsidR="003930B1" w:rsidRPr="003930B1">
        <w:rPr>
          <w:rStyle w:val="FootnoteReference"/>
          <w:sz w:val="20"/>
          <w:vertAlign w:val="baseline"/>
          <w:lang w:val="fr-CH"/>
        </w:rPr>
        <w:footnoteReference w:customMarkFollows="1" w:id="3"/>
        <w:t>**</w:t>
      </w:r>
    </w:p>
    <w:p w:rsidR="006452AF" w:rsidRPr="009F43DE" w:rsidRDefault="006452AF" w:rsidP="00AA5651">
      <w:pPr>
        <w:pStyle w:val="HChG"/>
        <w:rPr>
          <w:lang w:val="fr-CH"/>
        </w:rPr>
      </w:pPr>
      <w:r w:rsidRPr="009F43DE">
        <w:rPr>
          <w:lang w:val="fr-CH"/>
        </w:rPr>
        <w:br w:type="page"/>
      </w:r>
      <w:r w:rsidRPr="009F43DE">
        <w:rPr>
          <w:lang w:val="fr-CH"/>
        </w:rPr>
        <w:tab/>
        <w:t>I.</w:t>
      </w:r>
      <w:r w:rsidRPr="009F43DE">
        <w:rPr>
          <w:lang w:val="fr-CH"/>
        </w:rPr>
        <w:tab/>
        <w:t>Introduction</w:t>
      </w:r>
    </w:p>
    <w:p w:rsidR="006452AF" w:rsidRPr="009F43DE" w:rsidRDefault="006452AF" w:rsidP="006452AF">
      <w:pPr>
        <w:pStyle w:val="SingleTxtG"/>
        <w:rPr>
          <w:lang w:val="fr-CH"/>
        </w:rPr>
      </w:pPr>
      <w:r w:rsidRPr="009F43DE">
        <w:rPr>
          <w:lang w:val="fr-CH"/>
        </w:rPr>
        <w:t>1.</w:t>
      </w:r>
      <w:r w:rsidRPr="009F43DE">
        <w:rPr>
          <w:lang w:val="fr-CH"/>
        </w:rPr>
        <w:tab/>
      </w:r>
      <w:r w:rsidRPr="009F43DE">
        <w:rPr>
          <w:lang w:val="fr-CH" w:eastAsia="fr-FR"/>
        </w:rPr>
        <w:t xml:space="preserve">Le Gouvernement sri-lankais a le plaisir de présenter </w:t>
      </w:r>
      <w:r w:rsidR="004E3AD5" w:rsidRPr="009F43DE">
        <w:rPr>
          <w:lang w:val="fr-CH" w:eastAsia="fr-FR"/>
        </w:rPr>
        <w:t>le</w:t>
      </w:r>
      <w:r w:rsidRPr="009F43DE">
        <w:rPr>
          <w:lang w:val="fr-CH" w:eastAsia="fr-FR"/>
        </w:rPr>
        <w:t xml:space="preserve"> cinquième rapport périodique au Comité des droits économiques, sociaux et culturels de l</w:t>
      </w:r>
      <w:r w:rsidR="00F8384A" w:rsidRPr="009F43DE">
        <w:rPr>
          <w:lang w:val="fr-CH" w:eastAsia="fr-FR"/>
        </w:rPr>
        <w:t>’</w:t>
      </w:r>
      <w:r w:rsidRPr="009F43DE">
        <w:rPr>
          <w:lang w:val="fr-CH" w:eastAsia="fr-FR"/>
        </w:rPr>
        <w:t>ONU, en application des articles</w:t>
      </w:r>
      <w:r w:rsidR="00331CBD" w:rsidRPr="009F43DE">
        <w:rPr>
          <w:lang w:val="fr-CH" w:eastAsia="fr-FR"/>
        </w:rPr>
        <w:t> </w:t>
      </w:r>
      <w:r w:rsidRPr="009F43DE">
        <w:rPr>
          <w:lang w:val="fr-CH" w:eastAsia="fr-FR"/>
        </w:rPr>
        <w:t xml:space="preserve">16 </w:t>
      </w:r>
      <w:r w:rsidR="008C4B9F" w:rsidRPr="009F43DE">
        <w:rPr>
          <w:lang w:val="fr-CH" w:eastAsia="fr-FR"/>
        </w:rPr>
        <w:t xml:space="preserve">et </w:t>
      </w:r>
      <w:r w:rsidRPr="009F43DE">
        <w:rPr>
          <w:lang w:val="fr-CH" w:eastAsia="fr-FR"/>
        </w:rPr>
        <w:t>17 du Pacte international relatif aux droits économiques, sociaux et culturels (le Pacte). Ce rapport rend compte des faits nouveaux et des progrès intervenus dans les domaines thématiques couverts par le Pacte depuis la présentation du quatrième rapport périodique d</w:t>
      </w:r>
      <w:r w:rsidR="00331CBD" w:rsidRPr="009F43DE">
        <w:rPr>
          <w:lang w:val="fr-CH" w:eastAsia="fr-FR"/>
        </w:rPr>
        <w:t>e</w:t>
      </w:r>
      <w:r w:rsidRPr="009F43DE">
        <w:rPr>
          <w:lang w:val="fr-CH" w:eastAsia="fr-FR"/>
        </w:rPr>
        <w:t xml:space="preserve"> Sri Lanka (E/C.12/LKA/4)</w:t>
      </w:r>
      <w:r w:rsidRPr="009F43DE">
        <w:rPr>
          <w:lang w:val="fr-CH"/>
        </w:rPr>
        <w:t>.</w:t>
      </w:r>
    </w:p>
    <w:p w:rsidR="006452AF" w:rsidRPr="009F43DE" w:rsidRDefault="006452AF" w:rsidP="006452AF">
      <w:pPr>
        <w:pStyle w:val="SingleTxtG"/>
        <w:rPr>
          <w:lang w:val="fr-CH"/>
        </w:rPr>
      </w:pPr>
      <w:r w:rsidRPr="009F43DE">
        <w:rPr>
          <w:lang w:val="fr-CH"/>
        </w:rPr>
        <w:t>2.</w:t>
      </w:r>
      <w:r w:rsidRPr="009F43DE">
        <w:rPr>
          <w:lang w:val="fr-CH"/>
        </w:rPr>
        <w:tab/>
      </w:r>
      <w:r w:rsidRPr="009F43DE">
        <w:rPr>
          <w:lang w:val="fr-CH" w:eastAsia="fr-FR"/>
        </w:rPr>
        <w:t xml:space="preserve">Sri Lanka </w:t>
      </w:r>
      <w:r w:rsidR="004E3AD5" w:rsidRPr="009F43DE">
        <w:rPr>
          <w:lang w:val="fr-CH" w:eastAsia="fr-FR"/>
        </w:rPr>
        <w:t>est conscient de</w:t>
      </w:r>
      <w:r w:rsidRPr="009F43DE">
        <w:rPr>
          <w:lang w:val="fr-CH" w:eastAsia="fr-FR"/>
        </w:rPr>
        <w:t xml:space="preserve"> l</w:t>
      </w:r>
      <w:r w:rsidR="00F8384A" w:rsidRPr="009F43DE">
        <w:rPr>
          <w:lang w:val="fr-CH" w:eastAsia="fr-FR"/>
        </w:rPr>
        <w:t>’</w:t>
      </w:r>
      <w:r w:rsidRPr="009F43DE">
        <w:rPr>
          <w:lang w:val="fr-CH" w:eastAsia="fr-FR"/>
        </w:rPr>
        <w:t xml:space="preserve">importance </w:t>
      </w:r>
      <w:r w:rsidR="004E3AD5" w:rsidRPr="009F43DE">
        <w:rPr>
          <w:lang w:val="fr-CH" w:eastAsia="fr-FR"/>
        </w:rPr>
        <w:t>que revêtent l</w:t>
      </w:r>
      <w:r w:rsidRPr="009F43DE">
        <w:rPr>
          <w:lang w:val="fr-CH" w:eastAsia="fr-FR"/>
        </w:rPr>
        <w:t>es droits fondamentaux</w:t>
      </w:r>
      <w:r w:rsidR="00331CBD" w:rsidRPr="009F43DE">
        <w:rPr>
          <w:lang w:val="fr-CH" w:eastAsia="fr-FR"/>
        </w:rPr>
        <w:t xml:space="preserve"> </w:t>
      </w:r>
      <w:r w:rsidRPr="009F43DE">
        <w:rPr>
          <w:lang w:val="fr-CH" w:eastAsia="fr-FR"/>
        </w:rPr>
        <w:t xml:space="preserve">consacrés par le Pacte pour le respect de la </w:t>
      </w:r>
      <w:r w:rsidR="00F8384A" w:rsidRPr="009F43DE">
        <w:rPr>
          <w:lang w:val="fr-CH" w:eastAsia="fr-FR"/>
        </w:rPr>
        <w:t>«</w:t>
      </w:r>
      <w:r w:rsidRPr="009F43DE">
        <w:rPr>
          <w:lang w:val="fr-CH" w:eastAsia="fr-FR"/>
        </w:rPr>
        <w:t>dignité inhérente à la personne humaine</w:t>
      </w:r>
      <w:r w:rsidR="00F8384A" w:rsidRPr="009F43DE">
        <w:rPr>
          <w:lang w:val="fr-CH" w:eastAsia="fr-FR"/>
        </w:rPr>
        <w:t>»</w:t>
      </w:r>
      <w:r w:rsidRPr="009F43DE">
        <w:rPr>
          <w:lang w:val="fr-CH" w:eastAsia="fr-FR"/>
        </w:rPr>
        <w:t xml:space="preserve">, prend </w:t>
      </w:r>
      <w:r w:rsidR="004E3AD5" w:rsidRPr="009F43DE">
        <w:rPr>
          <w:lang w:val="fr-CH" w:eastAsia="fr-FR"/>
        </w:rPr>
        <w:t>acte</w:t>
      </w:r>
      <w:r w:rsidRPr="009F43DE">
        <w:rPr>
          <w:lang w:val="fr-CH" w:eastAsia="fr-FR"/>
        </w:rPr>
        <w:t xml:space="preserve"> des observations finales </w:t>
      </w:r>
      <w:r w:rsidR="00352336" w:rsidRPr="009F43DE">
        <w:rPr>
          <w:lang w:val="fr-CH" w:eastAsia="fr-FR"/>
        </w:rPr>
        <w:t xml:space="preserve">du Comité et se félicite des commentaires </w:t>
      </w:r>
      <w:r w:rsidR="008B1B5E" w:rsidRPr="009F43DE">
        <w:rPr>
          <w:lang w:val="fr-CH" w:eastAsia="fr-FR"/>
        </w:rPr>
        <w:t xml:space="preserve">positifs </w:t>
      </w:r>
      <w:r w:rsidR="00352336" w:rsidRPr="009F43DE">
        <w:rPr>
          <w:lang w:val="fr-CH" w:eastAsia="fr-FR"/>
        </w:rPr>
        <w:t>qu</w:t>
      </w:r>
      <w:r w:rsidR="00F8384A" w:rsidRPr="009F43DE">
        <w:rPr>
          <w:lang w:val="fr-CH" w:eastAsia="fr-FR"/>
        </w:rPr>
        <w:t>’</w:t>
      </w:r>
      <w:r w:rsidR="00352336" w:rsidRPr="009F43DE">
        <w:rPr>
          <w:lang w:val="fr-CH" w:eastAsia="fr-FR"/>
        </w:rPr>
        <w:t xml:space="preserve">il a </w:t>
      </w:r>
      <w:r w:rsidR="008B1B5E" w:rsidRPr="009F43DE">
        <w:rPr>
          <w:lang w:val="fr-CH" w:eastAsia="fr-FR"/>
        </w:rPr>
        <w:t xml:space="preserve">formulés </w:t>
      </w:r>
      <w:r w:rsidRPr="009F43DE">
        <w:rPr>
          <w:lang w:val="fr-CH" w:eastAsia="fr-FR"/>
        </w:rPr>
        <w:t>lors de l</w:t>
      </w:r>
      <w:r w:rsidR="00F8384A" w:rsidRPr="009F43DE">
        <w:rPr>
          <w:lang w:val="fr-CH" w:eastAsia="fr-FR"/>
        </w:rPr>
        <w:t>’</w:t>
      </w:r>
      <w:r w:rsidRPr="009F43DE">
        <w:rPr>
          <w:lang w:val="fr-CH" w:eastAsia="fr-FR"/>
        </w:rPr>
        <w:t>examen de</w:t>
      </w:r>
      <w:r w:rsidR="00331CBD" w:rsidRPr="009F43DE">
        <w:rPr>
          <w:lang w:val="fr-CH" w:eastAsia="fr-FR"/>
        </w:rPr>
        <w:t xml:space="preserve"> ses</w:t>
      </w:r>
      <w:r w:rsidRPr="009F43DE">
        <w:rPr>
          <w:lang w:val="fr-CH" w:eastAsia="fr-FR"/>
        </w:rPr>
        <w:t xml:space="preserve"> d</w:t>
      </w:r>
      <w:r w:rsidRPr="009F43DE">
        <w:rPr>
          <w:lang w:val="fr-CH"/>
        </w:rPr>
        <w:t>euxième, troisième et quatrième rapports périodiques</w:t>
      </w:r>
      <w:r w:rsidRPr="009F43DE">
        <w:rPr>
          <w:lang w:val="fr-CH" w:eastAsia="fr-FR"/>
        </w:rPr>
        <w:t xml:space="preserve">. </w:t>
      </w:r>
      <w:r w:rsidR="008B1B5E" w:rsidRPr="009F43DE">
        <w:rPr>
          <w:lang w:val="fr-CH" w:eastAsia="fr-FR"/>
        </w:rPr>
        <w:t xml:space="preserve">Le cinquième </w:t>
      </w:r>
      <w:r w:rsidRPr="009F43DE">
        <w:rPr>
          <w:lang w:val="fr-CH" w:eastAsia="fr-FR"/>
        </w:rPr>
        <w:t>rapport</w:t>
      </w:r>
      <w:r w:rsidR="008B1B5E" w:rsidRPr="009F43DE">
        <w:rPr>
          <w:lang w:val="fr-CH" w:eastAsia="fr-FR"/>
        </w:rPr>
        <w:t>, qui</w:t>
      </w:r>
      <w:r w:rsidRPr="009F43DE">
        <w:rPr>
          <w:lang w:val="fr-CH" w:eastAsia="fr-FR"/>
        </w:rPr>
        <w:t xml:space="preserve"> couvre la période </w:t>
      </w:r>
      <w:r w:rsidR="008B1B5E" w:rsidRPr="009F43DE">
        <w:rPr>
          <w:lang w:val="fr-CH" w:eastAsia="fr-FR"/>
        </w:rPr>
        <w:t xml:space="preserve">allant </w:t>
      </w:r>
      <w:r w:rsidRPr="009F43DE">
        <w:rPr>
          <w:lang w:val="fr-CH" w:eastAsia="fr-FR"/>
        </w:rPr>
        <w:t>de juin 2008 à juillet 2015</w:t>
      </w:r>
      <w:r w:rsidR="008B1B5E" w:rsidRPr="009F43DE">
        <w:rPr>
          <w:lang w:val="fr-CH" w:eastAsia="fr-FR"/>
        </w:rPr>
        <w:t>,</w:t>
      </w:r>
      <w:r w:rsidRPr="009F43DE">
        <w:rPr>
          <w:lang w:val="fr-CH" w:eastAsia="fr-FR"/>
        </w:rPr>
        <w:t xml:space="preserve"> est conforme aux </w:t>
      </w:r>
      <w:r w:rsidR="008B1B5E" w:rsidRPr="009F43DE">
        <w:rPr>
          <w:lang w:val="fr-CH" w:eastAsia="fr-FR"/>
        </w:rPr>
        <w:t>directives</w:t>
      </w:r>
      <w:r w:rsidRPr="009F43DE">
        <w:rPr>
          <w:lang w:val="fr-CH" w:eastAsia="fr-FR"/>
        </w:rPr>
        <w:t xml:space="preserve"> générales définies </w:t>
      </w:r>
      <w:r w:rsidR="008B1B5E" w:rsidRPr="009F43DE">
        <w:rPr>
          <w:lang w:val="fr-CH" w:eastAsia="fr-FR"/>
        </w:rPr>
        <w:t xml:space="preserve">aux </w:t>
      </w:r>
      <w:r w:rsidRPr="009F43DE">
        <w:rPr>
          <w:lang w:val="fr-CH" w:eastAsia="fr-FR"/>
        </w:rPr>
        <w:t>article</w:t>
      </w:r>
      <w:r w:rsidR="008B1B5E" w:rsidRPr="009F43DE">
        <w:rPr>
          <w:lang w:val="fr-CH" w:eastAsia="fr-FR"/>
        </w:rPr>
        <w:t>s </w:t>
      </w:r>
      <w:r w:rsidRPr="009F43DE">
        <w:rPr>
          <w:lang w:val="fr-CH" w:eastAsia="fr-FR"/>
        </w:rPr>
        <w:t xml:space="preserve">16, 17 </w:t>
      </w:r>
      <w:r w:rsidR="00BF54E4" w:rsidRPr="009F43DE">
        <w:rPr>
          <w:lang w:val="fr-CH" w:eastAsia="fr-FR"/>
        </w:rPr>
        <w:t xml:space="preserve">et </w:t>
      </w:r>
      <w:r w:rsidRPr="009F43DE">
        <w:rPr>
          <w:lang w:val="fr-CH" w:eastAsia="fr-FR"/>
        </w:rPr>
        <w:t xml:space="preserve">27 du Pacte pour les rapports spécifiques devant être soumis par les </w:t>
      </w:r>
      <w:r w:rsidR="007574C7" w:rsidRPr="009F43DE">
        <w:rPr>
          <w:lang w:val="fr-CH" w:eastAsia="fr-FR"/>
        </w:rPr>
        <w:t>États</w:t>
      </w:r>
      <w:r w:rsidRPr="009F43DE">
        <w:rPr>
          <w:lang w:val="fr-CH" w:eastAsia="fr-FR"/>
        </w:rPr>
        <w:t xml:space="preserve"> parties (E/C12/2008/2). </w:t>
      </w:r>
    </w:p>
    <w:p w:rsidR="006452AF" w:rsidRPr="009F43DE" w:rsidRDefault="006452AF" w:rsidP="006452AF">
      <w:pPr>
        <w:pStyle w:val="SingleTxtG"/>
        <w:rPr>
          <w:lang w:val="fr-CH"/>
        </w:rPr>
      </w:pPr>
      <w:r w:rsidRPr="009F43DE">
        <w:rPr>
          <w:lang w:val="fr-CH"/>
        </w:rPr>
        <w:t>3.</w:t>
      </w:r>
      <w:r w:rsidRPr="009F43DE">
        <w:rPr>
          <w:lang w:val="fr-CH"/>
        </w:rPr>
        <w:tab/>
      </w:r>
      <w:r w:rsidR="008B1B5E" w:rsidRPr="009F43DE">
        <w:rPr>
          <w:lang w:val="fr-CH"/>
        </w:rPr>
        <w:t>Le présent rapport passe en revue</w:t>
      </w:r>
      <w:r w:rsidRPr="009F43DE">
        <w:rPr>
          <w:lang w:val="fr-CH" w:eastAsia="fr-FR"/>
        </w:rPr>
        <w:t xml:space="preserve"> les modifications apportées </w:t>
      </w:r>
      <w:r w:rsidR="00CD6BF2" w:rsidRPr="009F43DE">
        <w:rPr>
          <w:lang w:val="fr-CH" w:eastAsia="fr-FR"/>
        </w:rPr>
        <w:t>à la</w:t>
      </w:r>
      <w:r w:rsidRPr="009F43DE">
        <w:rPr>
          <w:lang w:val="fr-CH" w:eastAsia="fr-FR"/>
        </w:rPr>
        <w:t xml:space="preserve"> législation</w:t>
      </w:r>
      <w:r w:rsidR="00CD6BF2" w:rsidRPr="009F43DE">
        <w:rPr>
          <w:lang w:val="fr-CH" w:eastAsia="fr-FR"/>
        </w:rPr>
        <w:t xml:space="preserve"> existante</w:t>
      </w:r>
      <w:r w:rsidRPr="009F43DE">
        <w:rPr>
          <w:lang w:val="fr-CH" w:eastAsia="fr-FR"/>
        </w:rPr>
        <w:t>, les nouvelles l</w:t>
      </w:r>
      <w:r w:rsidR="00CD6BF2" w:rsidRPr="009F43DE">
        <w:rPr>
          <w:lang w:val="fr-CH" w:eastAsia="fr-FR"/>
        </w:rPr>
        <w:t>ois</w:t>
      </w:r>
      <w:r w:rsidRPr="009F43DE">
        <w:rPr>
          <w:lang w:val="fr-CH" w:eastAsia="fr-FR"/>
        </w:rPr>
        <w:t xml:space="preserve"> et politiques </w:t>
      </w:r>
      <w:r w:rsidR="00352336" w:rsidRPr="009F43DE">
        <w:rPr>
          <w:lang w:val="fr-CH" w:eastAsia="fr-FR"/>
        </w:rPr>
        <w:t xml:space="preserve">mises en </w:t>
      </w:r>
      <w:r w:rsidR="007574C7" w:rsidRPr="009F43DE">
        <w:rPr>
          <w:lang w:val="fr-CH" w:eastAsia="fr-FR"/>
        </w:rPr>
        <w:t>œuvre</w:t>
      </w:r>
      <w:r w:rsidR="00111923" w:rsidRPr="009F43DE">
        <w:rPr>
          <w:lang w:val="fr-CH" w:eastAsia="fr-FR"/>
        </w:rPr>
        <w:t>, les mesures que les autorités prévoient d</w:t>
      </w:r>
      <w:r w:rsidR="00F8384A" w:rsidRPr="009F43DE">
        <w:rPr>
          <w:lang w:val="fr-CH" w:eastAsia="fr-FR"/>
        </w:rPr>
        <w:t>’</w:t>
      </w:r>
      <w:r w:rsidR="00111923" w:rsidRPr="009F43DE">
        <w:rPr>
          <w:lang w:val="fr-CH" w:eastAsia="fr-FR"/>
        </w:rPr>
        <w:t>adopter à l</w:t>
      </w:r>
      <w:r w:rsidR="00F8384A" w:rsidRPr="009F43DE">
        <w:rPr>
          <w:lang w:val="fr-CH" w:eastAsia="fr-FR"/>
        </w:rPr>
        <w:t>’</w:t>
      </w:r>
      <w:r w:rsidR="00111923" w:rsidRPr="009F43DE">
        <w:rPr>
          <w:lang w:val="fr-CH" w:eastAsia="fr-FR"/>
        </w:rPr>
        <w:t>avenir et celles qu</w:t>
      </w:r>
      <w:r w:rsidR="00F8384A" w:rsidRPr="009F43DE">
        <w:rPr>
          <w:lang w:val="fr-CH" w:eastAsia="fr-FR"/>
        </w:rPr>
        <w:t>’</w:t>
      </w:r>
      <w:r w:rsidR="00111923" w:rsidRPr="009F43DE">
        <w:rPr>
          <w:lang w:val="fr-CH" w:eastAsia="fr-FR"/>
        </w:rPr>
        <w:t>elles appliquent pour</w:t>
      </w:r>
      <w:r w:rsidRPr="009F43DE">
        <w:rPr>
          <w:lang w:val="fr-CH" w:eastAsia="fr-FR"/>
        </w:rPr>
        <w:t xml:space="preserve"> donner effet aux droits économiques, sociaux et culturels garantis par le Pacte.</w:t>
      </w:r>
    </w:p>
    <w:p w:rsidR="006452AF" w:rsidRPr="009F43DE" w:rsidRDefault="006452AF" w:rsidP="006452AF">
      <w:pPr>
        <w:pStyle w:val="HChG"/>
        <w:rPr>
          <w:lang w:val="fr-CH"/>
        </w:rPr>
      </w:pPr>
      <w:r w:rsidRPr="009F43DE">
        <w:rPr>
          <w:lang w:val="fr-CH"/>
        </w:rPr>
        <w:tab/>
        <w:t>II.</w:t>
      </w:r>
      <w:r w:rsidRPr="009F43DE">
        <w:rPr>
          <w:lang w:val="fr-CH"/>
        </w:rPr>
        <w:tab/>
      </w:r>
      <w:r w:rsidR="00886024" w:rsidRPr="009F43DE">
        <w:rPr>
          <w:lang w:val="fr-CH"/>
        </w:rPr>
        <w:t>Renseignements d</w:t>
      </w:r>
      <w:r w:rsidR="00F8384A" w:rsidRPr="009F43DE">
        <w:rPr>
          <w:lang w:val="fr-CH"/>
        </w:rPr>
        <w:t>’</w:t>
      </w:r>
      <w:r w:rsidR="00886024" w:rsidRPr="009F43DE">
        <w:rPr>
          <w:lang w:val="fr-CH"/>
        </w:rPr>
        <w:t>ordre</w:t>
      </w:r>
      <w:r w:rsidRPr="009F43DE">
        <w:rPr>
          <w:bCs/>
          <w:szCs w:val="28"/>
          <w:lang w:val="fr-CH" w:eastAsia="fr-FR"/>
        </w:rPr>
        <w:t xml:space="preserve"> général</w:t>
      </w:r>
    </w:p>
    <w:p w:rsidR="006452AF" w:rsidRPr="009F43DE" w:rsidRDefault="006452AF" w:rsidP="006452AF">
      <w:pPr>
        <w:pStyle w:val="SingleTxtG"/>
        <w:rPr>
          <w:lang w:val="fr-CH"/>
        </w:rPr>
      </w:pPr>
      <w:r w:rsidRPr="009F43DE">
        <w:rPr>
          <w:lang w:val="fr-CH"/>
        </w:rPr>
        <w:t>4.</w:t>
      </w:r>
      <w:r w:rsidRPr="009F43DE">
        <w:rPr>
          <w:lang w:val="fr-CH"/>
        </w:rPr>
        <w:tab/>
      </w:r>
      <w:r w:rsidR="00111923" w:rsidRPr="009F43DE">
        <w:rPr>
          <w:lang w:val="fr-CH"/>
        </w:rPr>
        <w:t>S</w:t>
      </w:r>
      <w:r w:rsidRPr="009F43DE">
        <w:rPr>
          <w:lang w:val="fr-CH" w:eastAsia="fr-FR"/>
        </w:rPr>
        <w:t>ignataire de 16</w:t>
      </w:r>
      <w:r w:rsidR="00111923" w:rsidRPr="009F43DE">
        <w:rPr>
          <w:lang w:val="fr-CH" w:eastAsia="fr-FR"/>
        </w:rPr>
        <w:t> </w:t>
      </w:r>
      <w:r w:rsidRPr="009F43DE">
        <w:rPr>
          <w:lang w:val="fr-CH" w:eastAsia="fr-FR"/>
        </w:rPr>
        <w:t xml:space="preserve">grandes conventions internationales </w:t>
      </w:r>
      <w:r w:rsidR="00111923" w:rsidRPr="009F43DE">
        <w:rPr>
          <w:lang w:val="fr-CH" w:eastAsia="fr-FR"/>
        </w:rPr>
        <w:t xml:space="preserve">relatives aux </w:t>
      </w:r>
      <w:r w:rsidRPr="009F43DE">
        <w:rPr>
          <w:lang w:val="fr-CH" w:eastAsia="fr-FR"/>
        </w:rPr>
        <w:t>droits de l</w:t>
      </w:r>
      <w:r w:rsidR="00F8384A" w:rsidRPr="009F43DE">
        <w:rPr>
          <w:lang w:val="fr-CH" w:eastAsia="fr-FR"/>
        </w:rPr>
        <w:t>’</w:t>
      </w:r>
      <w:r w:rsidRPr="009F43DE">
        <w:rPr>
          <w:lang w:val="fr-CH" w:eastAsia="fr-FR"/>
        </w:rPr>
        <w:t xml:space="preserve">homme, notamment </w:t>
      </w:r>
      <w:r w:rsidR="00111923" w:rsidRPr="009F43DE">
        <w:rPr>
          <w:lang w:val="fr-CH" w:eastAsia="fr-FR"/>
        </w:rPr>
        <w:t>le</w:t>
      </w:r>
      <w:r w:rsidRPr="009F43DE">
        <w:rPr>
          <w:lang w:val="fr-CH" w:eastAsia="fr-FR"/>
        </w:rPr>
        <w:t xml:space="preserve"> Pacte international relatif aux droits économiques, sociaux</w:t>
      </w:r>
      <w:r w:rsidR="00111923" w:rsidRPr="009F43DE">
        <w:rPr>
          <w:lang w:val="fr-CH" w:eastAsia="fr-FR"/>
        </w:rPr>
        <w:t xml:space="preserve"> et politiques</w:t>
      </w:r>
      <w:r w:rsidRPr="009F43DE">
        <w:rPr>
          <w:lang w:val="fr-CH" w:eastAsia="fr-FR"/>
        </w:rPr>
        <w:t xml:space="preserve">, Sri Lanka </w:t>
      </w:r>
      <w:r w:rsidR="00111923" w:rsidRPr="009F43DE">
        <w:rPr>
          <w:lang w:val="fr-CH" w:eastAsia="fr-FR"/>
        </w:rPr>
        <w:t>s</w:t>
      </w:r>
      <w:r w:rsidR="00F8384A" w:rsidRPr="009F43DE">
        <w:rPr>
          <w:lang w:val="fr-CH" w:eastAsia="fr-FR"/>
        </w:rPr>
        <w:t>’</w:t>
      </w:r>
      <w:r w:rsidR="00111923" w:rsidRPr="009F43DE">
        <w:rPr>
          <w:lang w:val="fr-CH" w:eastAsia="fr-FR"/>
        </w:rPr>
        <w:t xml:space="preserve">est employée avec constance et </w:t>
      </w:r>
      <w:r w:rsidRPr="009F43DE">
        <w:rPr>
          <w:lang w:val="fr-CH" w:eastAsia="fr-FR"/>
        </w:rPr>
        <w:t>détermin</w:t>
      </w:r>
      <w:r w:rsidR="00111923" w:rsidRPr="009F43DE">
        <w:rPr>
          <w:lang w:val="fr-CH" w:eastAsia="fr-FR"/>
        </w:rPr>
        <w:t xml:space="preserve">ation à </w:t>
      </w:r>
      <w:r w:rsidRPr="009F43DE">
        <w:rPr>
          <w:lang w:val="fr-CH" w:eastAsia="fr-FR"/>
        </w:rPr>
        <w:t xml:space="preserve">promouvoir et protéger les droits socioéconomiques et culturels de </w:t>
      </w:r>
      <w:r w:rsidR="00111923" w:rsidRPr="009F43DE">
        <w:rPr>
          <w:lang w:val="fr-CH" w:eastAsia="fr-FR"/>
        </w:rPr>
        <w:t>s</w:t>
      </w:r>
      <w:r w:rsidRPr="009F43DE">
        <w:rPr>
          <w:lang w:val="fr-CH" w:eastAsia="fr-FR"/>
        </w:rPr>
        <w:t>a population.</w:t>
      </w:r>
    </w:p>
    <w:p w:rsidR="006452AF" w:rsidRPr="009F43DE" w:rsidRDefault="006452AF" w:rsidP="006452AF">
      <w:pPr>
        <w:pStyle w:val="SingleTxtG"/>
        <w:rPr>
          <w:lang w:val="fr-CH"/>
        </w:rPr>
      </w:pPr>
      <w:r w:rsidRPr="009F43DE">
        <w:rPr>
          <w:lang w:val="fr-CH"/>
        </w:rPr>
        <w:t>5.</w:t>
      </w:r>
      <w:r w:rsidRPr="009F43DE">
        <w:rPr>
          <w:lang w:val="fr-CH"/>
        </w:rPr>
        <w:tab/>
      </w:r>
      <w:r w:rsidR="00111923" w:rsidRPr="009F43DE">
        <w:rPr>
          <w:lang w:val="fr-CH"/>
        </w:rPr>
        <w:t>Les principaux</w:t>
      </w:r>
      <w:r w:rsidRPr="009F43DE">
        <w:rPr>
          <w:lang w:val="fr-CH" w:eastAsia="fr-FR"/>
        </w:rPr>
        <w:t xml:space="preserve"> indicateurs économiques </w:t>
      </w:r>
      <w:r w:rsidR="00282FC0" w:rsidRPr="009F43DE">
        <w:rPr>
          <w:lang w:val="fr-CH" w:eastAsia="fr-FR"/>
        </w:rPr>
        <w:t>et leur progression sont indiqués ci-après</w:t>
      </w:r>
      <w:r w:rsidR="00F8384A" w:rsidRPr="009F43DE">
        <w:rPr>
          <w:lang w:val="fr-CH" w:eastAsia="fr-FR"/>
        </w:rPr>
        <w:t>:</w:t>
      </w:r>
    </w:p>
    <w:p w:rsidR="006452AF" w:rsidRPr="009F43DE" w:rsidRDefault="006452AF" w:rsidP="006452AF">
      <w:pPr>
        <w:pStyle w:val="Bullet1G"/>
        <w:numPr>
          <w:ilvl w:val="0"/>
          <w:numId w:val="0"/>
        </w:numPr>
        <w:tabs>
          <w:tab w:val="left" w:pos="1701"/>
        </w:tabs>
        <w:ind w:left="1701" w:hanging="170"/>
        <w:rPr>
          <w:lang w:val="fr-CH"/>
        </w:rPr>
      </w:pPr>
      <w:r w:rsidRPr="009F43DE">
        <w:rPr>
          <w:lang w:val="fr-CH"/>
        </w:rPr>
        <w:t>•</w:t>
      </w:r>
      <w:r w:rsidRPr="009F43DE">
        <w:rPr>
          <w:lang w:val="fr-CH"/>
        </w:rPr>
        <w:tab/>
        <w:t>Population</w:t>
      </w:r>
      <w:r w:rsidR="00F8384A" w:rsidRPr="009F43DE">
        <w:rPr>
          <w:lang w:val="fr-CH"/>
        </w:rPr>
        <w:t>:</w:t>
      </w:r>
    </w:p>
    <w:p w:rsidR="006452AF" w:rsidRPr="009F43DE" w:rsidRDefault="009F1284" w:rsidP="006452AF">
      <w:pPr>
        <w:pStyle w:val="Bullet1G"/>
        <w:numPr>
          <w:ilvl w:val="0"/>
          <w:numId w:val="0"/>
        </w:numPr>
        <w:ind w:left="1701"/>
        <w:rPr>
          <w:lang w:val="fr-CH"/>
        </w:rPr>
      </w:pPr>
      <w:r w:rsidRPr="009F43DE">
        <w:rPr>
          <w:lang w:val="fr-CH" w:eastAsia="fr-FR"/>
        </w:rPr>
        <w:t xml:space="preserve">Au milieu de </w:t>
      </w:r>
      <w:r w:rsidR="006452AF" w:rsidRPr="009F43DE">
        <w:rPr>
          <w:lang w:val="fr-CH" w:eastAsia="fr-FR"/>
        </w:rPr>
        <w:t>2013</w:t>
      </w:r>
      <w:r w:rsidRPr="009F43DE">
        <w:rPr>
          <w:lang w:val="fr-CH" w:eastAsia="fr-FR"/>
        </w:rPr>
        <w:t xml:space="preserve">, Sri Lanka comptait </w:t>
      </w:r>
      <w:r w:rsidR="006452AF" w:rsidRPr="009F43DE">
        <w:rPr>
          <w:lang w:val="fr-CH" w:eastAsia="fr-FR"/>
        </w:rPr>
        <w:t>20</w:t>
      </w:r>
      <w:r w:rsidRPr="009F43DE">
        <w:rPr>
          <w:lang w:val="fr-CH" w:eastAsia="fr-FR"/>
        </w:rPr>
        <w:t> </w:t>
      </w:r>
      <w:r w:rsidR="006452AF" w:rsidRPr="009F43DE">
        <w:rPr>
          <w:lang w:val="fr-CH" w:eastAsia="fr-FR"/>
        </w:rPr>
        <w:t>483</w:t>
      </w:r>
      <w:r w:rsidRPr="009F43DE">
        <w:rPr>
          <w:lang w:val="fr-CH" w:eastAsia="fr-FR"/>
        </w:rPr>
        <w:t> </w:t>
      </w:r>
      <w:r w:rsidR="006452AF" w:rsidRPr="009F43DE">
        <w:rPr>
          <w:lang w:val="fr-CH" w:eastAsia="fr-FR"/>
        </w:rPr>
        <w:t>000</w:t>
      </w:r>
      <w:r w:rsidRPr="009F43DE">
        <w:rPr>
          <w:lang w:val="fr-CH" w:eastAsia="fr-FR"/>
        </w:rPr>
        <w:t> habitants</w:t>
      </w:r>
      <w:r w:rsidR="00BF54E4" w:rsidRPr="009F43DE">
        <w:rPr>
          <w:lang w:val="fr-CH"/>
        </w:rPr>
        <w:t>;</w:t>
      </w:r>
    </w:p>
    <w:p w:rsidR="006452AF" w:rsidRPr="009F43DE" w:rsidRDefault="009F1284" w:rsidP="006452AF">
      <w:pPr>
        <w:pStyle w:val="Bullet1G"/>
        <w:numPr>
          <w:ilvl w:val="0"/>
          <w:numId w:val="0"/>
        </w:numPr>
        <w:ind w:left="1701"/>
        <w:rPr>
          <w:lang w:val="fr-CH"/>
        </w:rPr>
      </w:pPr>
      <w:r w:rsidRPr="009F43DE">
        <w:rPr>
          <w:lang w:val="fr-CH"/>
        </w:rPr>
        <w:t>R</w:t>
      </w:r>
      <w:r w:rsidR="006452AF" w:rsidRPr="009F43DE">
        <w:rPr>
          <w:lang w:val="fr-CH"/>
        </w:rPr>
        <w:t>épartition par sexe</w:t>
      </w:r>
      <w:r w:rsidR="00F8384A" w:rsidRPr="009F43DE">
        <w:rPr>
          <w:lang w:val="fr-CH"/>
        </w:rPr>
        <w:t>:</w:t>
      </w:r>
      <w:r w:rsidR="006452AF" w:rsidRPr="009F43DE">
        <w:rPr>
          <w:lang w:val="fr-CH"/>
        </w:rPr>
        <w:t xml:space="preserve"> 51,5</w:t>
      </w:r>
      <w:r w:rsidRPr="009F43DE">
        <w:rPr>
          <w:lang w:val="fr-CH"/>
        </w:rPr>
        <w:t> </w:t>
      </w:r>
      <w:r w:rsidR="006452AF" w:rsidRPr="009F43DE">
        <w:rPr>
          <w:lang w:val="fr-CH"/>
        </w:rPr>
        <w:t>% de femmes; 48,5</w:t>
      </w:r>
      <w:r w:rsidRPr="009F43DE">
        <w:rPr>
          <w:lang w:val="fr-CH"/>
        </w:rPr>
        <w:t> </w:t>
      </w:r>
      <w:r w:rsidR="006452AF" w:rsidRPr="009F43DE">
        <w:rPr>
          <w:lang w:val="fr-CH"/>
        </w:rPr>
        <w:t>% d</w:t>
      </w:r>
      <w:r w:rsidR="00F8384A" w:rsidRPr="009F43DE">
        <w:rPr>
          <w:lang w:val="fr-CH"/>
        </w:rPr>
        <w:t>’</w:t>
      </w:r>
      <w:r w:rsidR="006452AF" w:rsidRPr="009F43DE">
        <w:rPr>
          <w:lang w:val="fr-CH"/>
        </w:rPr>
        <w:t>hommes</w:t>
      </w:r>
      <w:r w:rsidR="00BF54E4" w:rsidRPr="009F43DE">
        <w:rPr>
          <w:lang w:val="fr-CH"/>
        </w:rPr>
        <w:t>;</w:t>
      </w:r>
    </w:p>
    <w:p w:rsidR="006452AF" w:rsidRPr="009F43DE" w:rsidRDefault="009F1284" w:rsidP="006452AF">
      <w:pPr>
        <w:pStyle w:val="Bullet1G"/>
        <w:numPr>
          <w:ilvl w:val="0"/>
          <w:numId w:val="0"/>
        </w:numPr>
        <w:ind w:left="1701"/>
        <w:rPr>
          <w:lang w:val="fr-CH"/>
        </w:rPr>
      </w:pPr>
      <w:r w:rsidRPr="009F43DE">
        <w:rPr>
          <w:lang w:val="fr-CH"/>
        </w:rPr>
        <w:t>T</w:t>
      </w:r>
      <w:r w:rsidR="006452AF" w:rsidRPr="009F43DE">
        <w:rPr>
          <w:lang w:val="fr-CH"/>
        </w:rPr>
        <w:t>aux d</w:t>
      </w:r>
      <w:r w:rsidR="00F8384A" w:rsidRPr="009F43DE">
        <w:rPr>
          <w:lang w:val="fr-CH"/>
        </w:rPr>
        <w:t>’</w:t>
      </w:r>
      <w:r w:rsidRPr="009F43DE">
        <w:rPr>
          <w:lang w:val="fr-CH"/>
        </w:rPr>
        <w:t>accroissement</w:t>
      </w:r>
      <w:r w:rsidR="006452AF" w:rsidRPr="009F43DE">
        <w:rPr>
          <w:lang w:val="fr-CH"/>
        </w:rPr>
        <w:t xml:space="preserve"> de la population</w:t>
      </w:r>
      <w:r w:rsidR="00F8384A" w:rsidRPr="009F43DE">
        <w:rPr>
          <w:lang w:val="fr-CH"/>
        </w:rPr>
        <w:t>:</w:t>
      </w:r>
      <w:r w:rsidR="006452AF" w:rsidRPr="009F43DE">
        <w:rPr>
          <w:lang w:val="fr-CH"/>
        </w:rPr>
        <w:t xml:space="preserve"> 0,8</w:t>
      </w:r>
      <w:r w:rsidRPr="009F43DE">
        <w:rPr>
          <w:lang w:val="fr-CH"/>
        </w:rPr>
        <w:t> </w:t>
      </w:r>
      <w:r w:rsidR="006452AF" w:rsidRPr="009F43DE">
        <w:rPr>
          <w:lang w:val="fr-CH"/>
        </w:rPr>
        <w:t>%</w:t>
      </w:r>
      <w:r w:rsidR="00BF54E4" w:rsidRPr="009F43DE">
        <w:rPr>
          <w:lang w:val="fr-CH"/>
        </w:rPr>
        <w:t>.</w:t>
      </w:r>
    </w:p>
    <w:p w:rsidR="006452AF" w:rsidRPr="009F43DE" w:rsidRDefault="006452AF" w:rsidP="006452AF">
      <w:pPr>
        <w:pStyle w:val="Bullet1G"/>
        <w:numPr>
          <w:ilvl w:val="0"/>
          <w:numId w:val="0"/>
        </w:numPr>
        <w:tabs>
          <w:tab w:val="left" w:pos="1701"/>
        </w:tabs>
        <w:ind w:left="1701" w:hanging="170"/>
        <w:rPr>
          <w:lang w:val="fr-CH"/>
        </w:rPr>
      </w:pPr>
      <w:r w:rsidRPr="009F43DE">
        <w:rPr>
          <w:lang w:val="fr-CH"/>
        </w:rPr>
        <w:t>•</w:t>
      </w:r>
      <w:r w:rsidRPr="009F43DE">
        <w:rPr>
          <w:lang w:val="fr-CH"/>
        </w:rPr>
        <w:tab/>
      </w:r>
      <w:r w:rsidRPr="009F43DE">
        <w:rPr>
          <w:lang w:val="fr-CH" w:eastAsia="fr-FR"/>
        </w:rPr>
        <w:t>Répartition par âge</w:t>
      </w:r>
      <w:r w:rsidR="00F8384A" w:rsidRPr="009F43DE">
        <w:rPr>
          <w:lang w:val="fr-CH" w:eastAsia="fr-FR"/>
        </w:rPr>
        <w:t>:</w:t>
      </w:r>
    </w:p>
    <w:p w:rsidR="006452AF" w:rsidRPr="009F43DE" w:rsidRDefault="006452AF" w:rsidP="006452AF">
      <w:pPr>
        <w:pStyle w:val="Bullet1G"/>
        <w:numPr>
          <w:ilvl w:val="0"/>
          <w:numId w:val="0"/>
        </w:numPr>
        <w:ind w:left="1701"/>
        <w:rPr>
          <w:lang w:val="fr-CH"/>
        </w:rPr>
      </w:pPr>
      <w:r w:rsidRPr="009F43DE">
        <w:rPr>
          <w:lang w:val="fr-CH"/>
        </w:rPr>
        <w:t>0-14 ans</w:t>
      </w:r>
      <w:r w:rsidR="00F8384A" w:rsidRPr="009F43DE">
        <w:rPr>
          <w:lang w:val="fr-CH"/>
        </w:rPr>
        <w:t>:</w:t>
      </w:r>
      <w:r w:rsidRPr="009F43DE">
        <w:rPr>
          <w:lang w:val="fr-CH"/>
        </w:rPr>
        <w:t xml:space="preserve"> 5</w:t>
      </w:r>
      <w:r w:rsidR="009F1284" w:rsidRPr="009F43DE">
        <w:rPr>
          <w:lang w:val="fr-CH"/>
        </w:rPr>
        <w:t> </w:t>
      </w:r>
      <w:r w:rsidRPr="009F43DE">
        <w:rPr>
          <w:lang w:val="fr-CH"/>
        </w:rPr>
        <w:t>171</w:t>
      </w:r>
      <w:r w:rsidR="00BF54E4" w:rsidRPr="009F43DE">
        <w:rPr>
          <w:lang w:val="fr-CH"/>
        </w:rPr>
        <w:t> </w:t>
      </w:r>
      <w:r w:rsidRPr="009F43DE">
        <w:rPr>
          <w:lang w:val="fr-CH"/>
        </w:rPr>
        <w:t>000</w:t>
      </w:r>
      <w:r w:rsidR="00BF54E4" w:rsidRPr="009F43DE">
        <w:rPr>
          <w:lang w:val="fr-CH"/>
        </w:rPr>
        <w:t>;</w:t>
      </w:r>
    </w:p>
    <w:p w:rsidR="006452AF" w:rsidRPr="009F43DE" w:rsidRDefault="006452AF" w:rsidP="006452AF">
      <w:pPr>
        <w:pStyle w:val="Bullet1G"/>
        <w:numPr>
          <w:ilvl w:val="0"/>
          <w:numId w:val="0"/>
        </w:numPr>
        <w:ind w:left="1701"/>
        <w:rPr>
          <w:lang w:val="fr-CH"/>
        </w:rPr>
      </w:pPr>
      <w:r w:rsidRPr="009F43DE">
        <w:rPr>
          <w:lang w:val="fr-CH"/>
        </w:rPr>
        <w:t>15-64 ans</w:t>
      </w:r>
      <w:r w:rsidR="00F8384A" w:rsidRPr="009F43DE">
        <w:rPr>
          <w:lang w:val="fr-CH"/>
        </w:rPr>
        <w:t>:</w:t>
      </w:r>
      <w:r w:rsidRPr="009F43DE">
        <w:rPr>
          <w:lang w:val="fr-CH"/>
        </w:rPr>
        <w:t xml:space="preserve"> 13</w:t>
      </w:r>
      <w:r w:rsidR="009F1284" w:rsidRPr="009F43DE">
        <w:rPr>
          <w:lang w:val="fr-CH"/>
        </w:rPr>
        <w:t> </w:t>
      </w:r>
      <w:r w:rsidRPr="009F43DE">
        <w:rPr>
          <w:lang w:val="fr-CH"/>
        </w:rPr>
        <w:t>707</w:t>
      </w:r>
      <w:r w:rsidR="00BF54E4" w:rsidRPr="009F43DE">
        <w:rPr>
          <w:lang w:val="fr-CH"/>
        </w:rPr>
        <w:t> </w:t>
      </w:r>
      <w:r w:rsidRPr="009F43DE">
        <w:rPr>
          <w:lang w:val="fr-CH"/>
        </w:rPr>
        <w:t>000</w:t>
      </w:r>
      <w:r w:rsidR="00BF54E4" w:rsidRPr="009F43DE">
        <w:rPr>
          <w:lang w:val="fr-CH"/>
        </w:rPr>
        <w:t>;</w:t>
      </w:r>
    </w:p>
    <w:p w:rsidR="006452AF" w:rsidRPr="009F43DE" w:rsidRDefault="006452AF" w:rsidP="006452AF">
      <w:pPr>
        <w:pStyle w:val="Bullet1G"/>
        <w:numPr>
          <w:ilvl w:val="0"/>
          <w:numId w:val="0"/>
        </w:numPr>
        <w:ind w:left="1701"/>
        <w:rPr>
          <w:lang w:val="fr-CH"/>
        </w:rPr>
      </w:pPr>
      <w:r w:rsidRPr="009F43DE">
        <w:rPr>
          <w:lang w:val="fr-CH" w:eastAsia="fr-FR"/>
        </w:rPr>
        <w:t>65 ans et plus</w:t>
      </w:r>
      <w:r w:rsidR="00F8384A" w:rsidRPr="009F43DE">
        <w:rPr>
          <w:lang w:val="fr-CH" w:eastAsia="fr-FR"/>
        </w:rPr>
        <w:t>:</w:t>
      </w:r>
      <w:r w:rsidRPr="009F43DE">
        <w:rPr>
          <w:lang w:val="fr-CH"/>
        </w:rPr>
        <w:t xml:space="preserve"> 1</w:t>
      </w:r>
      <w:r w:rsidR="009F1284" w:rsidRPr="009F43DE">
        <w:rPr>
          <w:lang w:val="fr-CH"/>
        </w:rPr>
        <w:t> </w:t>
      </w:r>
      <w:r w:rsidRPr="009F43DE">
        <w:rPr>
          <w:lang w:val="fr-CH"/>
        </w:rPr>
        <w:t>605</w:t>
      </w:r>
      <w:r w:rsidR="00BF54E4" w:rsidRPr="009F43DE">
        <w:rPr>
          <w:lang w:val="fr-CH"/>
        </w:rPr>
        <w:t> </w:t>
      </w:r>
      <w:r w:rsidRPr="009F43DE">
        <w:rPr>
          <w:lang w:val="fr-CH"/>
        </w:rPr>
        <w:t>000</w:t>
      </w:r>
      <w:r w:rsidR="00BF54E4" w:rsidRPr="009F43DE">
        <w:rPr>
          <w:lang w:val="fr-CH"/>
        </w:rPr>
        <w:t>;</w:t>
      </w:r>
    </w:p>
    <w:p w:rsidR="006452AF" w:rsidRPr="009F43DE" w:rsidRDefault="009F1284" w:rsidP="006452AF">
      <w:pPr>
        <w:pStyle w:val="Bullet1G"/>
        <w:numPr>
          <w:ilvl w:val="0"/>
          <w:numId w:val="0"/>
        </w:numPr>
        <w:ind w:left="1701"/>
        <w:rPr>
          <w:lang w:val="fr-CH"/>
        </w:rPr>
      </w:pPr>
      <w:r w:rsidRPr="009F43DE">
        <w:rPr>
          <w:lang w:val="fr-CH"/>
        </w:rPr>
        <w:t>D</w:t>
      </w:r>
      <w:r w:rsidR="006452AF" w:rsidRPr="009F43DE">
        <w:rPr>
          <w:lang w:val="fr-CH"/>
        </w:rPr>
        <w:t>ensité d</w:t>
      </w:r>
      <w:r w:rsidRPr="009F43DE">
        <w:rPr>
          <w:lang w:val="fr-CH"/>
        </w:rPr>
        <w:t>émographique</w:t>
      </w:r>
      <w:r w:rsidR="006452AF" w:rsidRPr="009F43DE">
        <w:rPr>
          <w:lang w:val="fr-CH"/>
        </w:rPr>
        <w:t xml:space="preserve"> (2013)</w:t>
      </w:r>
      <w:r w:rsidR="00F8384A" w:rsidRPr="009F43DE">
        <w:rPr>
          <w:lang w:val="fr-CH"/>
        </w:rPr>
        <w:t>:</w:t>
      </w:r>
      <w:r w:rsidR="006452AF" w:rsidRPr="009F43DE">
        <w:rPr>
          <w:lang w:val="fr-CH"/>
        </w:rPr>
        <w:t xml:space="preserve"> 327</w:t>
      </w:r>
      <w:r w:rsidRPr="009F43DE">
        <w:rPr>
          <w:lang w:val="fr-CH"/>
        </w:rPr>
        <w:t> </w:t>
      </w:r>
      <w:r w:rsidR="006452AF" w:rsidRPr="009F43DE">
        <w:rPr>
          <w:lang w:val="fr-CH"/>
        </w:rPr>
        <w:t>personnes par km</w:t>
      </w:r>
      <w:r w:rsidR="006452AF" w:rsidRPr="009F43DE">
        <w:rPr>
          <w:vertAlign w:val="superscript"/>
          <w:lang w:val="fr-CH"/>
        </w:rPr>
        <w:t>2</w:t>
      </w:r>
      <w:r w:rsidR="00BF54E4" w:rsidRPr="009F43DE">
        <w:rPr>
          <w:lang w:val="fr-CH"/>
        </w:rPr>
        <w:t>.</w:t>
      </w:r>
    </w:p>
    <w:p w:rsidR="006452AF" w:rsidRPr="009F43DE" w:rsidRDefault="006452AF" w:rsidP="006452AF">
      <w:pPr>
        <w:pStyle w:val="Bullet1G"/>
        <w:numPr>
          <w:ilvl w:val="0"/>
          <w:numId w:val="0"/>
        </w:numPr>
        <w:tabs>
          <w:tab w:val="left" w:pos="1701"/>
        </w:tabs>
        <w:ind w:left="1701" w:hanging="170"/>
        <w:rPr>
          <w:lang w:val="fr-CH"/>
        </w:rPr>
      </w:pPr>
      <w:r w:rsidRPr="009F43DE">
        <w:rPr>
          <w:lang w:val="fr-CH"/>
        </w:rPr>
        <w:t>•</w:t>
      </w:r>
      <w:r w:rsidRPr="009F43DE">
        <w:rPr>
          <w:lang w:val="fr-CH"/>
        </w:rPr>
        <w:tab/>
        <w:t>A</w:t>
      </w:r>
      <w:r w:rsidRPr="009F43DE">
        <w:rPr>
          <w:lang w:val="fr-CH" w:eastAsia="fr-FR"/>
        </w:rPr>
        <w:t>lphabétisation</w:t>
      </w:r>
      <w:r w:rsidR="00BF54E4" w:rsidRPr="009F43DE">
        <w:rPr>
          <w:lang w:val="fr-CH"/>
        </w:rPr>
        <w:t>:</w:t>
      </w:r>
    </w:p>
    <w:p w:rsidR="006452AF" w:rsidRPr="009F43DE" w:rsidRDefault="006452AF" w:rsidP="006452AF">
      <w:pPr>
        <w:pStyle w:val="Bullet1G"/>
        <w:numPr>
          <w:ilvl w:val="0"/>
          <w:numId w:val="0"/>
        </w:numPr>
        <w:ind w:left="1701"/>
        <w:rPr>
          <w:lang w:val="fr-CH"/>
        </w:rPr>
      </w:pPr>
      <w:r w:rsidRPr="009F43DE">
        <w:rPr>
          <w:lang w:val="fr-CH"/>
        </w:rPr>
        <w:t>Le taux d</w:t>
      </w:r>
      <w:r w:rsidR="00F8384A" w:rsidRPr="009F43DE">
        <w:rPr>
          <w:lang w:val="fr-CH"/>
        </w:rPr>
        <w:t>‘</w:t>
      </w:r>
      <w:r w:rsidRPr="009F43DE">
        <w:rPr>
          <w:lang w:val="fr-CH"/>
        </w:rPr>
        <w:t>alphabétisation (</w:t>
      </w:r>
      <w:r w:rsidR="009F1284" w:rsidRPr="009F43DE">
        <w:rPr>
          <w:lang w:val="fr-CH"/>
        </w:rPr>
        <w:t>sur la base des données les plus récentes</w:t>
      </w:r>
      <w:r w:rsidR="00F32D29" w:rsidRPr="009F43DE">
        <w:rPr>
          <w:lang w:val="fr-CH"/>
        </w:rPr>
        <w:t xml:space="preserve"> </w:t>
      </w:r>
      <w:r w:rsidR="00BF54E4" w:rsidRPr="009F43DE">
        <w:rPr>
          <w:lang w:val="fr-CH"/>
        </w:rPr>
        <w:t>–</w:t>
      </w:r>
      <w:r w:rsidR="00F32D29" w:rsidRPr="009F43DE">
        <w:rPr>
          <w:lang w:val="fr-CH"/>
        </w:rPr>
        <w:t xml:space="preserve"> </w:t>
      </w:r>
      <w:r w:rsidRPr="009F43DE">
        <w:rPr>
          <w:lang w:val="fr-CH"/>
        </w:rPr>
        <w:t xml:space="preserve">2012) </w:t>
      </w:r>
      <w:r w:rsidR="009F1284" w:rsidRPr="009F43DE">
        <w:rPr>
          <w:lang w:val="fr-CH"/>
        </w:rPr>
        <w:t xml:space="preserve">était </w:t>
      </w:r>
      <w:r w:rsidRPr="009F43DE">
        <w:rPr>
          <w:lang w:val="fr-CH"/>
        </w:rPr>
        <w:t>e</w:t>
      </w:r>
      <w:r w:rsidR="009F1284" w:rsidRPr="009F43DE">
        <w:rPr>
          <w:lang w:val="fr-CH"/>
        </w:rPr>
        <w:t>n</w:t>
      </w:r>
      <w:r w:rsidRPr="009F43DE">
        <w:rPr>
          <w:lang w:val="fr-CH"/>
        </w:rPr>
        <w:t xml:space="preserve"> moyenne de 95,6</w:t>
      </w:r>
      <w:r w:rsidR="009F1284" w:rsidRPr="009F43DE">
        <w:rPr>
          <w:lang w:val="fr-CH"/>
        </w:rPr>
        <w:t> </w:t>
      </w:r>
      <w:r w:rsidRPr="009F43DE">
        <w:rPr>
          <w:lang w:val="fr-CH"/>
        </w:rPr>
        <w:t>%</w:t>
      </w:r>
      <w:r w:rsidR="009F1284" w:rsidRPr="009F43DE">
        <w:rPr>
          <w:lang w:val="fr-CH"/>
        </w:rPr>
        <w:t xml:space="preserve"> (</w:t>
      </w:r>
      <w:r w:rsidRPr="009F43DE">
        <w:rPr>
          <w:lang w:val="fr-CH"/>
        </w:rPr>
        <w:t>96,8</w:t>
      </w:r>
      <w:r w:rsidR="009F1284" w:rsidRPr="009F43DE">
        <w:rPr>
          <w:lang w:val="fr-CH"/>
        </w:rPr>
        <w:t> </w:t>
      </w:r>
      <w:r w:rsidRPr="009F43DE">
        <w:rPr>
          <w:lang w:val="fr-CH"/>
        </w:rPr>
        <w:t xml:space="preserve">% </w:t>
      </w:r>
      <w:r w:rsidR="009F1284" w:rsidRPr="009F43DE">
        <w:rPr>
          <w:lang w:val="fr-CH"/>
        </w:rPr>
        <w:t xml:space="preserve">pour les hommes et </w:t>
      </w:r>
      <w:r w:rsidRPr="009F43DE">
        <w:rPr>
          <w:lang w:val="fr-CH"/>
        </w:rPr>
        <w:t>94,6</w:t>
      </w:r>
      <w:r w:rsidR="009F1284" w:rsidRPr="009F43DE">
        <w:rPr>
          <w:lang w:val="fr-CH"/>
        </w:rPr>
        <w:t> </w:t>
      </w:r>
      <w:r w:rsidRPr="009F43DE">
        <w:rPr>
          <w:lang w:val="fr-CH"/>
        </w:rPr>
        <w:t>%</w:t>
      </w:r>
      <w:r w:rsidR="009F1284" w:rsidRPr="009F43DE">
        <w:rPr>
          <w:lang w:val="fr-CH"/>
        </w:rPr>
        <w:t xml:space="preserve"> pour les femmes)</w:t>
      </w:r>
      <w:r w:rsidRPr="009F43DE">
        <w:rPr>
          <w:lang w:val="fr-CH"/>
        </w:rPr>
        <w:t>.</w:t>
      </w:r>
    </w:p>
    <w:p w:rsidR="006452AF" w:rsidRPr="009F43DE" w:rsidRDefault="006452AF" w:rsidP="006452AF">
      <w:pPr>
        <w:pStyle w:val="Bullet1G"/>
        <w:numPr>
          <w:ilvl w:val="0"/>
          <w:numId w:val="0"/>
        </w:numPr>
        <w:tabs>
          <w:tab w:val="left" w:pos="1701"/>
        </w:tabs>
        <w:ind w:left="1701" w:hanging="170"/>
        <w:rPr>
          <w:lang w:val="fr-CH"/>
        </w:rPr>
      </w:pPr>
      <w:r w:rsidRPr="009F43DE">
        <w:rPr>
          <w:lang w:val="fr-CH"/>
        </w:rPr>
        <w:t>•</w:t>
      </w:r>
      <w:r w:rsidRPr="009F43DE">
        <w:rPr>
          <w:lang w:val="fr-CH"/>
        </w:rPr>
        <w:tab/>
      </w:r>
      <w:r w:rsidRPr="009F43DE">
        <w:rPr>
          <w:lang w:val="fr-CH" w:eastAsia="fr-FR"/>
        </w:rPr>
        <w:t>Espérance de vie</w:t>
      </w:r>
      <w:r w:rsidR="00BF54E4" w:rsidRPr="009F43DE">
        <w:rPr>
          <w:lang w:val="fr-CH"/>
        </w:rPr>
        <w:t>:</w:t>
      </w:r>
    </w:p>
    <w:p w:rsidR="006452AF" w:rsidRPr="009F43DE" w:rsidRDefault="009F1284" w:rsidP="006452AF">
      <w:pPr>
        <w:pStyle w:val="Bullet1G"/>
        <w:numPr>
          <w:ilvl w:val="0"/>
          <w:numId w:val="0"/>
        </w:numPr>
        <w:ind w:left="1701"/>
        <w:rPr>
          <w:lang w:val="fr-CH"/>
        </w:rPr>
      </w:pPr>
      <w:r w:rsidRPr="009F43DE">
        <w:rPr>
          <w:lang w:val="fr-CH" w:eastAsia="fr-FR"/>
        </w:rPr>
        <w:t>Es</w:t>
      </w:r>
      <w:r w:rsidR="006452AF" w:rsidRPr="009F43DE">
        <w:rPr>
          <w:lang w:val="fr-CH" w:eastAsia="fr-FR"/>
        </w:rPr>
        <w:t>pérance de vie à la naissance en 2012</w:t>
      </w:r>
      <w:r w:rsidR="00F8384A" w:rsidRPr="009F43DE">
        <w:rPr>
          <w:lang w:val="fr-CH" w:eastAsia="fr-FR"/>
        </w:rPr>
        <w:t>:</w:t>
      </w:r>
      <w:r w:rsidR="006452AF" w:rsidRPr="009F43DE">
        <w:rPr>
          <w:lang w:val="fr-CH" w:eastAsia="fr-FR"/>
        </w:rPr>
        <w:t xml:space="preserve"> 75 ans.</w:t>
      </w:r>
    </w:p>
    <w:p w:rsidR="006452AF" w:rsidRPr="009F43DE" w:rsidRDefault="006452AF" w:rsidP="006452AF">
      <w:pPr>
        <w:pStyle w:val="Bullet1G"/>
        <w:keepNext/>
        <w:numPr>
          <w:ilvl w:val="0"/>
          <w:numId w:val="0"/>
        </w:numPr>
        <w:tabs>
          <w:tab w:val="left" w:pos="1701"/>
        </w:tabs>
        <w:ind w:left="1701" w:hanging="170"/>
        <w:rPr>
          <w:lang w:val="fr-CH"/>
        </w:rPr>
      </w:pPr>
      <w:r w:rsidRPr="009F43DE">
        <w:rPr>
          <w:lang w:val="fr-CH"/>
        </w:rPr>
        <w:t>•</w:t>
      </w:r>
      <w:r w:rsidRPr="009F43DE">
        <w:rPr>
          <w:lang w:val="fr-CH"/>
        </w:rPr>
        <w:tab/>
      </w:r>
      <w:r w:rsidR="00F32D29" w:rsidRPr="009F43DE">
        <w:rPr>
          <w:lang w:val="fr-CH"/>
        </w:rPr>
        <w:t>M</w:t>
      </w:r>
      <w:r w:rsidRPr="009F43DE">
        <w:rPr>
          <w:lang w:val="fr-CH" w:eastAsia="fr-FR"/>
        </w:rPr>
        <w:t xml:space="preserve">ortalité infantile </w:t>
      </w:r>
      <w:r w:rsidR="00BF54E4" w:rsidRPr="009F43DE">
        <w:rPr>
          <w:lang w:val="fr-CH"/>
        </w:rPr>
        <w:t>(</w:t>
      </w:r>
      <w:r w:rsidRPr="009F43DE">
        <w:rPr>
          <w:lang w:val="fr-CH" w:eastAsia="fr-FR"/>
        </w:rPr>
        <w:t>pour mille naissances vivantes (1</w:t>
      </w:r>
      <w:r w:rsidR="00BF54E4" w:rsidRPr="009F43DE">
        <w:rPr>
          <w:lang w:val="fr-CH" w:eastAsia="fr-FR"/>
        </w:rPr>
        <w:t> </w:t>
      </w:r>
      <w:r w:rsidRPr="009F43DE">
        <w:rPr>
          <w:lang w:val="fr-CH" w:eastAsia="fr-FR"/>
        </w:rPr>
        <w:t>000) en 2012</w:t>
      </w:r>
      <w:r w:rsidR="00BF54E4" w:rsidRPr="009F43DE">
        <w:rPr>
          <w:lang w:val="fr-CH"/>
        </w:rPr>
        <w:t>):</w:t>
      </w:r>
    </w:p>
    <w:p w:rsidR="006452AF" w:rsidRPr="009F43DE" w:rsidRDefault="006452AF" w:rsidP="006452AF">
      <w:pPr>
        <w:pStyle w:val="Bullet1G"/>
        <w:numPr>
          <w:ilvl w:val="0"/>
          <w:numId w:val="0"/>
        </w:numPr>
        <w:ind w:left="1701"/>
        <w:rPr>
          <w:lang w:val="fr-CH"/>
        </w:rPr>
      </w:pPr>
      <w:r w:rsidRPr="009F43DE">
        <w:rPr>
          <w:lang w:val="fr-CH" w:eastAsia="fr-FR"/>
        </w:rPr>
        <w:t>Néonatale</w:t>
      </w:r>
      <w:r w:rsidR="00F8384A" w:rsidRPr="009F43DE">
        <w:rPr>
          <w:lang w:val="fr-CH" w:eastAsia="fr-FR"/>
        </w:rPr>
        <w:t>:</w:t>
      </w:r>
      <w:r w:rsidRPr="009F43DE">
        <w:rPr>
          <w:lang w:val="fr-CH"/>
        </w:rPr>
        <w:tab/>
      </w:r>
      <w:r w:rsidR="00BF54E4" w:rsidRPr="009F43DE">
        <w:rPr>
          <w:lang w:val="fr-CH"/>
        </w:rPr>
        <w:tab/>
      </w:r>
      <w:r w:rsidRPr="009F43DE">
        <w:rPr>
          <w:lang w:val="fr-CH"/>
        </w:rPr>
        <w:t>6</w:t>
      </w:r>
      <w:r w:rsidR="000761E2" w:rsidRPr="009F43DE">
        <w:rPr>
          <w:lang w:val="fr-CH"/>
        </w:rPr>
        <w:t>,</w:t>
      </w:r>
      <w:r w:rsidRPr="009F43DE">
        <w:rPr>
          <w:lang w:val="fr-CH"/>
        </w:rPr>
        <w:t>8</w:t>
      </w:r>
      <w:r w:rsidR="00BF54E4" w:rsidRPr="009F43DE">
        <w:rPr>
          <w:lang w:val="fr-CH"/>
        </w:rPr>
        <w:t>;</w:t>
      </w:r>
    </w:p>
    <w:p w:rsidR="006452AF" w:rsidRPr="009F43DE" w:rsidRDefault="006452AF" w:rsidP="006452AF">
      <w:pPr>
        <w:pStyle w:val="Bullet1G"/>
        <w:numPr>
          <w:ilvl w:val="0"/>
          <w:numId w:val="0"/>
        </w:numPr>
        <w:ind w:left="1701"/>
        <w:rPr>
          <w:lang w:val="fr-CH"/>
        </w:rPr>
      </w:pPr>
      <w:r w:rsidRPr="009F43DE">
        <w:rPr>
          <w:lang w:val="fr-CH"/>
        </w:rPr>
        <w:t>Nourrisson</w:t>
      </w:r>
      <w:r w:rsidR="000761E2" w:rsidRPr="009F43DE">
        <w:rPr>
          <w:lang w:val="fr-CH"/>
        </w:rPr>
        <w:t>s</w:t>
      </w:r>
      <w:r w:rsidR="00F8384A" w:rsidRPr="009F43DE">
        <w:rPr>
          <w:lang w:val="fr-CH"/>
        </w:rPr>
        <w:t>:</w:t>
      </w:r>
      <w:r w:rsidR="00BF54E4" w:rsidRPr="009F43DE">
        <w:rPr>
          <w:lang w:val="fr-CH"/>
        </w:rPr>
        <w:tab/>
      </w:r>
      <w:r w:rsidR="00BF54E4" w:rsidRPr="009F43DE">
        <w:rPr>
          <w:lang w:val="fr-CH"/>
        </w:rPr>
        <w:tab/>
      </w:r>
      <w:r w:rsidRPr="009F43DE">
        <w:rPr>
          <w:lang w:val="fr-CH"/>
        </w:rPr>
        <w:t>9</w:t>
      </w:r>
      <w:r w:rsidR="000761E2" w:rsidRPr="009F43DE">
        <w:rPr>
          <w:lang w:val="fr-CH"/>
        </w:rPr>
        <w:t>,</w:t>
      </w:r>
      <w:r w:rsidRPr="009F43DE">
        <w:rPr>
          <w:lang w:val="fr-CH"/>
        </w:rPr>
        <w:t>2</w:t>
      </w:r>
      <w:r w:rsidR="00BF54E4" w:rsidRPr="009F43DE">
        <w:rPr>
          <w:lang w:val="fr-CH"/>
        </w:rPr>
        <w:t>;</w:t>
      </w:r>
    </w:p>
    <w:p w:rsidR="006452AF" w:rsidRPr="009F43DE" w:rsidRDefault="006452AF" w:rsidP="006452AF">
      <w:pPr>
        <w:pStyle w:val="Bullet1G"/>
        <w:numPr>
          <w:ilvl w:val="0"/>
          <w:numId w:val="0"/>
        </w:numPr>
        <w:ind w:left="1701"/>
        <w:rPr>
          <w:lang w:val="fr-CH"/>
        </w:rPr>
      </w:pPr>
      <w:r w:rsidRPr="009F43DE">
        <w:rPr>
          <w:lang w:val="fr-CH" w:eastAsia="fr-FR"/>
        </w:rPr>
        <w:t xml:space="preserve">Moins de </w:t>
      </w:r>
      <w:r w:rsidR="00BF54E4" w:rsidRPr="009F43DE">
        <w:rPr>
          <w:lang w:val="fr-CH" w:eastAsia="fr-FR"/>
        </w:rPr>
        <w:t xml:space="preserve">5 </w:t>
      </w:r>
      <w:r w:rsidRPr="009F43DE">
        <w:rPr>
          <w:lang w:val="fr-CH" w:eastAsia="fr-FR"/>
        </w:rPr>
        <w:t>ans</w:t>
      </w:r>
      <w:r w:rsidR="00F8384A" w:rsidRPr="009F43DE">
        <w:rPr>
          <w:lang w:val="fr-CH" w:eastAsia="fr-FR"/>
        </w:rPr>
        <w:t>:</w:t>
      </w:r>
      <w:r w:rsidR="00BF54E4" w:rsidRPr="009F43DE">
        <w:rPr>
          <w:lang w:val="fr-CH" w:eastAsia="fr-FR"/>
        </w:rPr>
        <w:tab/>
      </w:r>
      <w:r w:rsidRPr="009F43DE">
        <w:rPr>
          <w:lang w:val="fr-CH"/>
        </w:rPr>
        <w:t>10</w:t>
      </w:r>
      <w:r w:rsidR="000761E2" w:rsidRPr="009F43DE">
        <w:rPr>
          <w:lang w:val="fr-CH"/>
        </w:rPr>
        <w:t>,</w:t>
      </w:r>
      <w:r w:rsidRPr="009F43DE">
        <w:rPr>
          <w:lang w:val="fr-CH"/>
        </w:rPr>
        <w:t>4</w:t>
      </w:r>
      <w:r w:rsidR="00BF54E4" w:rsidRPr="009F43DE">
        <w:rPr>
          <w:lang w:val="fr-CH"/>
        </w:rPr>
        <w:t>.</w:t>
      </w:r>
    </w:p>
    <w:p w:rsidR="006452AF" w:rsidRPr="009F43DE" w:rsidRDefault="006452AF" w:rsidP="006452AF">
      <w:pPr>
        <w:pStyle w:val="Bullet1G"/>
        <w:numPr>
          <w:ilvl w:val="0"/>
          <w:numId w:val="0"/>
        </w:numPr>
        <w:tabs>
          <w:tab w:val="left" w:pos="1701"/>
        </w:tabs>
        <w:ind w:left="1701" w:hanging="170"/>
        <w:rPr>
          <w:lang w:val="fr-CH"/>
        </w:rPr>
      </w:pPr>
      <w:r w:rsidRPr="009F43DE">
        <w:rPr>
          <w:lang w:val="fr-CH"/>
        </w:rPr>
        <w:t>•</w:t>
      </w:r>
      <w:r w:rsidRPr="009F43DE">
        <w:rPr>
          <w:lang w:val="fr-CH"/>
        </w:rPr>
        <w:tab/>
        <w:t>Mortalité maternelle</w:t>
      </w:r>
      <w:r w:rsidR="00BF54E4" w:rsidRPr="009F43DE">
        <w:rPr>
          <w:lang w:val="fr-CH"/>
        </w:rPr>
        <w:t>:</w:t>
      </w:r>
    </w:p>
    <w:p w:rsidR="006452AF" w:rsidRPr="009F43DE" w:rsidRDefault="006452AF" w:rsidP="006452AF">
      <w:pPr>
        <w:pStyle w:val="Bullet1G"/>
        <w:numPr>
          <w:ilvl w:val="0"/>
          <w:numId w:val="0"/>
        </w:numPr>
        <w:ind w:left="1701"/>
        <w:rPr>
          <w:lang w:val="fr-CH"/>
        </w:rPr>
      </w:pPr>
      <w:r w:rsidRPr="009F43DE">
        <w:rPr>
          <w:lang w:val="fr-CH"/>
        </w:rPr>
        <w:t>Ratio pour 100</w:t>
      </w:r>
      <w:r w:rsidR="000761E2" w:rsidRPr="009F43DE">
        <w:rPr>
          <w:lang w:val="fr-CH"/>
        </w:rPr>
        <w:t> </w:t>
      </w:r>
      <w:r w:rsidRPr="009F43DE">
        <w:rPr>
          <w:lang w:val="fr-CH"/>
        </w:rPr>
        <w:t>000 naissances vivantes</w:t>
      </w:r>
      <w:r w:rsidR="00F8384A" w:rsidRPr="009F43DE">
        <w:rPr>
          <w:lang w:val="fr-CH"/>
        </w:rPr>
        <w:t>:</w:t>
      </w:r>
      <w:r w:rsidRPr="009F43DE">
        <w:rPr>
          <w:lang w:val="fr-CH"/>
        </w:rPr>
        <w:t xml:space="preserve"> 33</w:t>
      </w:r>
      <w:r w:rsidR="000761E2" w:rsidRPr="009F43DE">
        <w:rPr>
          <w:lang w:val="fr-CH"/>
        </w:rPr>
        <w:t xml:space="preserve"> </w:t>
      </w:r>
      <w:r w:rsidRPr="009F43DE">
        <w:rPr>
          <w:lang w:val="fr-CH"/>
        </w:rPr>
        <w:t>en 2010 (</w:t>
      </w:r>
      <w:r w:rsidR="000761E2" w:rsidRPr="009F43DE">
        <w:rPr>
          <w:lang w:val="fr-CH"/>
        </w:rPr>
        <w:t xml:space="preserve">contre un chiffre proche de </w:t>
      </w:r>
      <w:r w:rsidRPr="009F43DE">
        <w:rPr>
          <w:lang w:val="fr-CH"/>
        </w:rPr>
        <w:t>100</w:t>
      </w:r>
      <w:r w:rsidR="000761E2" w:rsidRPr="009F43DE">
        <w:rPr>
          <w:lang w:val="fr-CH"/>
        </w:rPr>
        <w:t xml:space="preserve"> en 1990</w:t>
      </w:r>
      <w:r w:rsidRPr="009F43DE">
        <w:rPr>
          <w:lang w:val="fr-CH"/>
        </w:rPr>
        <w:t>).</w:t>
      </w:r>
    </w:p>
    <w:p w:rsidR="006452AF" w:rsidRPr="009F43DE" w:rsidRDefault="006452AF" w:rsidP="006452AF">
      <w:pPr>
        <w:pStyle w:val="Bullet1G"/>
        <w:numPr>
          <w:ilvl w:val="0"/>
          <w:numId w:val="0"/>
        </w:numPr>
        <w:tabs>
          <w:tab w:val="left" w:pos="1701"/>
        </w:tabs>
        <w:ind w:left="1701" w:hanging="170"/>
        <w:rPr>
          <w:lang w:val="fr-CH"/>
        </w:rPr>
      </w:pPr>
      <w:r w:rsidRPr="009F43DE">
        <w:rPr>
          <w:lang w:val="fr-CH"/>
        </w:rPr>
        <w:t>•</w:t>
      </w:r>
      <w:r w:rsidRPr="009F43DE">
        <w:rPr>
          <w:lang w:val="fr-CH"/>
        </w:rPr>
        <w:tab/>
      </w:r>
      <w:r w:rsidRPr="009F43DE">
        <w:rPr>
          <w:lang w:val="fr-CH" w:eastAsia="fr-FR"/>
        </w:rPr>
        <w:t>Éducation</w:t>
      </w:r>
      <w:r w:rsidR="00BF54E4" w:rsidRPr="009F43DE">
        <w:rPr>
          <w:lang w:val="fr-CH"/>
        </w:rPr>
        <w:t>:</w:t>
      </w:r>
    </w:p>
    <w:p w:rsidR="006452AF" w:rsidRPr="009F43DE" w:rsidRDefault="006452AF" w:rsidP="006452AF">
      <w:pPr>
        <w:pStyle w:val="Bullet1G"/>
        <w:numPr>
          <w:ilvl w:val="0"/>
          <w:numId w:val="0"/>
        </w:numPr>
        <w:ind w:left="1701"/>
        <w:rPr>
          <w:lang w:val="fr-CH"/>
        </w:rPr>
      </w:pPr>
      <w:r w:rsidRPr="009F43DE">
        <w:rPr>
          <w:lang w:val="fr-CH" w:eastAsia="fr-FR"/>
        </w:rPr>
        <w:t>L</w:t>
      </w:r>
      <w:r w:rsidR="00BF54E4" w:rsidRPr="009F43DE">
        <w:rPr>
          <w:lang w:val="fr-CH" w:eastAsia="fr-FR"/>
        </w:rPr>
        <w:t>’</w:t>
      </w:r>
      <w:r w:rsidRPr="009F43DE">
        <w:rPr>
          <w:lang w:val="fr-CH" w:eastAsia="fr-FR"/>
        </w:rPr>
        <w:t>enseignement primaire universel a atteint le taux de 99,7</w:t>
      </w:r>
      <w:r w:rsidR="000761E2" w:rsidRPr="009F43DE">
        <w:rPr>
          <w:lang w:val="fr-CH" w:eastAsia="fr-FR"/>
        </w:rPr>
        <w:t> </w:t>
      </w:r>
      <w:r w:rsidRPr="009F43DE">
        <w:rPr>
          <w:lang w:val="fr-CH" w:eastAsia="fr-FR"/>
        </w:rPr>
        <w:t>% (2014)</w:t>
      </w:r>
      <w:r w:rsidR="00BF54E4" w:rsidRPr="009F43DE">
        <w:rPr>
          <w:lang w:val="fr-CH"/>
        </w:rPr>
        <w:t>;</w:t>
      </w:r>
    </w:p>
    <w:p w:rsidR="006452AF" w:rsidRPr="009F43DE" w:rsidRDefault="006452AF" w:rsidP="006452AF">
      <w:pPr>
        <w:pStyle w:val="Bullet1G"/>
        <w:numPr>
          <w:ilvl w:val="0"/>
          <w:numId w:val="0"/>
        </w:numPr>
        <w:ind w:left="1701"/>
        <w:rPr>
          <w:lang w:val="fr-CH"/>
        </w:rPr>
      </w:pPr>
      <w:r w:rsidRPr="009F43DE">
        <w:rPr>
          <w:lang w:val="fr-CH"/>
        </w:rPr>
        <w:t>Le pourcentage d</w:t>
      </w:r>
      <w:r w:rsidR="00F8384A" w:rsidRPr="009F43DE">
        <w:rPr>
          <w:lang w:val="fr-CH"/>
        </w:rPr>
        <w:t>’</w:t>
      </w:r>
      <w:r w:rsidRPr="009F43DE">
        <w:rPr>
          <w:lang w:val="fr-CH"/>
        </w:rPr>
        <w:t>é</w:t>
      </w:r>
      <w:r w:rsidR="000761E2" w:rsidRPr="009F43DE">
        <w:rPr>
          <w:lang w:val="fr-CH"/>
        </w:rPr>
        <w:t>lèves</w:t>
      </w:r>
      <w:r w:rsidRPr="009F43DE">
        <w:rPr>
          <w:lang w:val="fr-CH"/>
        </w:rPr>
        <w:t xml:space="preserve"> entr</w:t>
      </w:r>
      <w:r w:rsidR="000761E2" w:rsidRPr="009F43DE">
        <w:rPr>
          <w:lang w:val="fr-CH"/>
        </w:rPr>
        <w:t>a</w:t>
      </w:r>
      <w:r w:rsidRPr="009F43DE">
        <w:rPr>
          <w:lang w:val="fr-CH"/>
        </w:rPr>
        <w:t xml:space="preserve">nt en première année et </w:t>
      </w:r>
      <w:r w:rsidR="006567DF" w:rsidRPr="009F43DE">
        <w:rPr>
          <w:lang w:val="fr-CH"/>
        </w:rPr>
        <w:t>restant scolarisés jusqu</w:t>
      </w:r>
      <w:r w:rsidR="00F8384A" w:rsidRPr="009F43DE">
        <w:rPr>
          <w:lang w:val="fr-CH"/>
        </w:rPr>
        <w:t>’</w:t>
      </w:r>
      <w:r w:rsidR="006567DF" w:rsidRPr="009F43DE">
        <w:rPr>
          <w:lang w:val="fr-CH"/>
        </w:rPr>
        <w:t>en cinquième</w:t>
      </w:r>
      <w:r w:rsidRPr="009F43DE">
        <w:rPr>
          <w:lang w:val="fr-CH"/>
        </w:rPr>
        <w:t xml:space="preserve"> année est de 100</w:t>
      </w:r>
      <w:r w:rsidR="006567DF" w:rsidRPr="009F43DE">
        <w:rPr>
          <w:lang w:val="fr-CH"/>
        </w:rPr>
        <w:t> </w:t>
      </w:r>
      <w:r w:rsidRPr="009F43DE">
        <w:rPr>
          <w:lang w:val="fr-CH"/>
        </w:rPr>
        <w:t>% (2014)</w:t>
      </w:r>
      <w:r w:rsidR="00BF54E4" w:rsidRPr="009F43DE">
        <w:rPr>
          <w:lang w:val="fr-CH"/>
        </w:rPr>
        <w:t>.</w:t>
      </w:r>
    </w:p>
    <w:p w:rsidR="006452AF" w:rsidRPr="009F43DE" w:rsidRDefault="006452AF" w:rsidP="006452AF">
      <w:pPr>
        <w:pStyle w:val="HChG"/>
        <w:rPr>
          <w:lang w:val="fr-CH"/>
        </w:rPr>
      </w:pPr>
      <w:r w:rsidRPr="009F43DE">
        <w:rPr>
          <w:lang w:val="fr-CH"/>
        </w:rPr>
        <w:tab/>
      </w:r>
      <w:r w:rsidRPr="009F43DE">
        <w:rPr>
          <w:lang w:val="fr-CH"/>
        </w:rPr>
        <w:tab/>
        <w:t>Part</w:t>
      </w:r>
      <w:r w:rsidRPr="009F43DE">
        <w:rPr>
          <w:bCs/>
          <w:szCs w:val="28"/>
          <w:lang w:val="fr-CH" w:eastAsia="fr-FR"/>
        </w:rPr>
        <w:t xml:space="preserve">ie I </w:t>
      </w:r>
      <w:r w:rsidR="007738FD" w:rsidRPr="009F43DE">
        <w:rPr>
          <w:bCs/>
          <w:szCs w:val="28"/>
          <w:lang w:val="fr-CH" w:eastAsia="fr-FR"/>
        </w:rPr>
        <w:t xml:space="preserve">– </w:t>
      </w:r>
      <w:r w:rsidRPr="009F43DE">
        <w:rPr>
          <w:bCs/>
          <w:szCs w:val="28"/>
          <w:lang w:val="fr-CH" w:eastAsia="fr-FR"/>
        </w:rPr>
        <w:t xml:space="preserve">Réponses aux observations finales </w:t>
      </w:r>
      <w:r w:rsidR="006567DF" w:rsidRPr="009F43DE">
        <w:rPr>
          <w:bCs/>
          <w:szCs w:val="28"/>
          <w:lang w:val="fr-CH" w:eastAsia="fr-FR"/>
        </w:rPr>
        <w:t>formulées par le</w:t>
      </w:r>
      <w:r w:rsidRPr="009F43DE">
        <w:rPr>
          <w:bCs/>
          <w:szCs w:val="28"/>
          <w:lang w:val="fr-CH" w:eastAsia="fr-FR"/>
        </w:rPr>
        <w:t xml:space="preserve"> Comité des droits économiques, sociaux et culturels à l</w:t>
      </w:r>
      <w:r w:rsidR="00F8384A" w:rsidRPr="009F43DE">
        <w:rPr>
          <w:bCs/>
          <w:szCs w:val="28"/>
          <w:lang w:val="fr-CH" w:eastAsia="fr-FR"/>
        </w:rPr>
        <w:t>’</w:t>
      </w:r>
      <w:r w:rsidR="006567DF" w:rsidRPr="009F43DE">
        <w:rPr>
          <w:bCs/>
          <w:szCs w:val="28"/>
          <w:lang w:val="fr-CH" w:eastAsia="fr-FR"/>
        </w:rPr>
        <w:t>issue</w:t>
      </w:r>
      <w:r w:rsidRPr="009F43DE">
        <w:rPr>
          <w:bCs/>
          <w:szCs w:val="28"/>
          <w:lang w:val="fr-CH" w:eastAsia="fr-FR"/>
        </w:rPr>
        <w:t xml:space="preserve"> de l</w:t>
      </w:r>
      <w:r w:rsidR="00F8384A" w:rsidRPr="009F43DE">
        <w:rPr>
          <w:bCs/>
          <w:szCs w:val="28"/>
          <w:lang w:val="fr-CH" w:eastAsia="fr-FR"/>
        </w:rPr>
        <w:t>’</w:t>
      </w:r>
      <w:r w:rsidRPr="009F43DE">
        <w:rPr>
          <w:bCs/>
          <w:szCs w:val="28"/>
          <w:lang w:val="fr-CH" w:eastAsia="fr-FR"/>
        </w:rPr>
        <w:t xml:space="preserve">examen </w:t>
      </w:r>
      <w:r w:rsidR="006567DF" w:rsidRPr="009F43DE">
        <w:rPr>
          <w:bCs/>
          <w:szCs w:val="28"/>
          <w:lang w:val="fr-CH" w:eastAsia="fr-FR"/>
        </w:rPr>
        <w:t xml:space="preserve">des </w:t>
      </w:r>
      <w:r w:rsidRPr="009F43DE">
        <w:rPr>
          <w:bCs/>
          <w:szCs w:val="28"/>
          <w:lang w:val="fr-CH" w:eastAsia="fr-FR"/>
        </w:rPr>
        <w:t>deuxième</w:t>
      </w:r>
      <w:r w:rsidR="006567DF" w:rsidRPr="009F43DE">
        <w:rPr>
          <w:bCs/>
          <w:szCs w:val="28"/>
          <w:lang w:val="fr-CH" w:eastAsia="fr-FR"/>
        </w:rPr>
        <w:t xml:space="preserve"> à</w:t>
      </w:r>
      <w:r w:rsidRPr="009F43DE">
        <w:rPr>
          <w:bCs/>
          <w:szCs w:val="28"/>
          <w:lang w:val="fr-CH" w:eastAsia="fr-FR"/>
        </w:rPr>
        <w:t xml:space="preserve"> quatrième rapport</w:t>
      </w:r>
      <w:r w:rsidR="00B26C8E" w:rsidRPr="009F43DE">
        <w:rPr>
          <w:bCs/>
          <w:szCs w:val="28"/>
          <w:lang w:val="fr-CH" w:eastAsia="fr-FR"/>
        </w:rPr>
        <w:t>s</w:t>
      </w:r>
      <w:r w:rsidRPr="009F43DE">
        <w:rPr>
          <w:bCs/>
          <w:szCs w:val="28"/>
          <w:lang w:val="fr-CH" w:eastAsia="fr-FR"/>
        </w:rPr>
        <w:t xml:space="preserve"> périodiques d</w:t>
      </w:r>
      <w:r w:rsidR="006567DF" w:rsidRPr="009F43DE">
        <w:rPr>
          <w:bCs/>
          <w:szCs w:val="28"/>
          <w:lang w:val="fr-CH" w:eastAsia="fr-FR"/>
        </w:rPr>
        <w:t>e</w:t>
      </w:r>
      <w:r w:rsidRPr="009F43DE">
        <w:rPr>
          <w:bCs/>
          <w:szCs w:val="28"/>
          <w:lang w:val="fr-CH" w:eastAsia="fr-FR"/>
        </w:rPr>
        <w:t xml:space="preserve"> Sri Lanka</w:t>
      </w:r>
      <w:r w:rsidR="006567DF" w:rsidRPr="009F43DE">
        <w:rPr>
          <w:bCs/>
          <w:szCs w:val="28"/>
          <w:lang w:val="fr-CH" w:eastAsia="fr-FR"/>
        </w:rPr>
        <w:t>, présentés en un seul document</w:t>
      </w:r>
    </w:p>
    <w:p w:rsidR="006452AF" w:rsidRPr="009F43DE" w:rsidRDefault="006452AF" w:rsidP="006452AF">
      <w:pPr>
        <w:pStyle w:val="H1G"/>
        <w:rPr>
          <w:lang w:val="fr-CH"/>
        </w:rPr>
      </w:pPr>
      <w:r w:rsidRPr="009F43DE">
        <w:rPr>
          <w:lang w:val="fr-CH"/>
        </w:rPr>
        <w:tab/>
      </w:r>
      <w:r w:rsidRPr="009F43DE">
        <w:rPr>
          <w:lang w:val="fr-CH"/>
        </w:rPr>
        <w:tab/>
      </w:r>
      <w:r w:rsidR="00B26C8E" w:rsidRPr="009F43DE">
        <w:rPr>
          <w:lang w:val="fr-CH"/>
        </w:rPr>
        <w:t>M</w:t>
      </w:r>
      <w:r w:rsidRPr="009F43DE">
        <w:rPr>
          <w:lang w:val="fr-CH"/>
        </w:rPr>
        <w:t xml:space="preserve">esures prises et résultats obtenus en ce qui concerne </w:t>
      </w:r>
      <w:r w:rsidR="00B26C8E" w:rsidRPr="009F43DE">
        <w:rPr>
          <w:lang w:val="fr-CH"/>
        </w:rPr>
        <w:t>l</w:t>
      </w:r>
      <w:r w:rsidRPr="009F43DE">
        <w:rPr>
          <w:lang w:val="fr-CH"/>
        </w:rPr>
        <w:t xml:space="preserve">es principaux </w:t>
      </w:r>
      <w:r w:rsidR="00B26C8E" w:rsidRPr="009F43DE">
        <w:rPr>
          <w:lang w:val="fr-CH"/>
        </w:rPr>
        <w:t>sujets</w:t>
      </w:r>
      <w:r w:rsidRPr="009F43DE">
        <w:rPr>
          <w:lang w:val="fr-CH"/>
        </w:rPr>
        <w:t xml:space="preserve"> de préoccupation et les recommandations du Comité </w:t>
      </w:r>
      <w:r w:rsidR="009F43DE" w:rsidRPr="009F43DE">
        <w:rPr>
          <w:lang w:val="fr-CH"/>
        </w:rPr>
        <w:t>[</w:t>
      </w:r>
      <w:r w:rsidR="00A06F24" w:rsidRPr="009F43DE">
        <w:rPr>
          <w:lang w:val="fr-CH"/>
        </w:rPr>
        <w:t>voir la section</w:t>
      </w:r>
      <w:r w:rsidR="00B26C8E" w:rsidRPr="009F43DE">
        <w:rPr>
          <w:lang w:val="fr-CH"/>
        </w:rPr>
        <w:t> C</w:t>
      </w:r>
      <w:r w:rsidRPr="009F43DE">
        <w:rPr>
          <w:lang w:val="fr-CH"/>
        </w:rPr>
        <w:t xml:space="preserve"> des observations finales (E/C.12/LKA/4)]</w:t>
      </w:r>
    </w:p>
    <w:p w:rsidR="006452AF" w:rsidRPr="009F43DE" w:rsidRDefault="006452AF" w:rsidP="006452AF">
      <w:pPr>
        <w:pStyle w:val="SingleTxtG"/>
        <w:rPr>
          <w:lang w:val="fr-CH"/>
        </w:rPr>
      </w:pPr>
      <w:r w:rsidRPr="009F43DE">
        <w:rPr>
          <w:lang w:val="fr-CH"/>
        </w:rPr>
        <w:t>6.</w:t>
      </w:r>
      <w:r w:rsidRPr="009F43DE">
        <w:rPr>
          <w:lang w:val="fr-CH"/>
        </w:rPr>
        <w:tab/>
      </w:r>
      <w:r w:rsidRPr="009F43DE">
        <w:rPr>
          <w:lang w:val="fr-CH" w:eastAsia="fr-FR"/>
        </w:rPr>
        <w:t xml:space="preserve">Le Gouvernement sri-lankais </w:t>
      </w:r>
      <w:r w:rsidR="00B26C8E" w:rsidRPr="009F43DE">
        <w:rPr>
          <w:lang w:val="fr-CH" w:eastAsia="fr-FR"/>
        </w:rPr>
        <w:t>tient</w:t>
      </w:r>
      <w:r w:rsidRPr="009F43DE">
        <w:rPr>
          <w:lang w:val="fr-CH" w:eastAsia="fr-FR"/>
        </w:rPr>
        <w:t xml:space="preserve"> </w:t>
      </w:r>
      <w:r w:rsidR="00B26C8E" w:rsidRPr="009F43DE">
        <w:rPr>
          <w:lang w:val="fr-CH" w:eastAsia="fr-FR"/>
        </w:rPr>
        <w:t xml:space="preserve">à </w:t>
      </w:r>
      <w:r w:rsidRPr="009F43DE">
        <w:rPr>
          <w:lang w:val="fr-CH" w:eastAsia="fr-FR"/>
        </w:rPr>
        <w:t>réaffirmer s</w:t>
      </w:r>
      <w:r w:rsidR="00B26C8E" w:rsidRPr="009F43DE">
        <w:rPr>
          <w:lang w:val="fr-CH" w:eastAsia="fr-FR"/>
        </w:rPr>
        <w:t>a détermination à</w:t>
      </w:r>
      <w:r w:rsidRPr="009F43DE">
        <w:rPr>
          <w:lang w:val="fr-CH" w:eastAsia="fr-FR"/>
        </w:rPr>
        <w:t xml:space="preserve"> poursuivre </w:t>
      </w:r>
      <w:r w:rsidR="00B26C8E" w:rsidRPr="009F43DE">
        <w:rPr>
          <w:lang w:val="fr-CH" w:eastAsia="fr-FR"/>
        </w:rPr>
        <w:t>le</w:t>
      </w:r>
      <w:r w:rsidRPr="009F43DE">
        <w:rPr>
          <w:lang w:val="fr-CH" w:eastAsia="fr-FR"/>
        </w:rPr>
        <w:t xml:space="preserve"> dialogue constructif </w:t>
      </w:r>
      <w:r w:rsidR="00B26C8E" w:rsidRPr="009F43DE">
        <w:rPr>
          <w:lang w:val="fr-CH" w:eastAsia="fr-FR"/>
        </w:rPr>
        <w:t>qu</w:t>
      </w:r>
      <w:r w:rsidR="00F8384A" w:rsidRPr="009F43DE">
        <w:rPr>
          <w:lang w:val="fr-CH" w:eastAsia="fr-FR"/>
        </w:rPr>
        <w:t>’</w:t>
      </w:r>
      <w:r w:rsidR="00B26C8E" w:rsidRPr="009F43DE">
        <w:rPr>
          <w:lang w:val="fr-CH" w:eastAsia="fr-FR"/>
        </w:rPr>
        <w:t xml:space="preserve">il a engagé </w:t>
      </w:r>
      <w:r w:rsidRPr="009F43DE">
        <w:rPr>
          <w:lang w:val="fr-CH" w:eastAsia="fr-FR"/>
        </w:rPr>
        <w:t xml:space="preserve">avec le Comité, à répondre </w:t>
      </w:r>
      <w:r w:rsidR="00B26C8E" w:rsidRPr="009F43DE">
        <w:rPr>
          <w:lang w:val="fr-CH" w:eastAsia="fr-FR"/>
        </w:rPr>
        <w:t>le mieux possible</w:t>
      </w:r>
      <w:r w:rsidRPr="009F43DE">
        <w:rPr>
          <w:lang w:val="fr-CH" w:eastAsia="fr-FR"/>
        </w:rPr>
        <w:t xml:space="preserve"> à toutes </w:t>
      </w:r>
      <w:r w:rsidR="00A5555C" w:rsidRPr="009F43DE">
        <w:rPr>
          <w:lang w:val="fr-CH" w:eastAsia="fr-FR"/>
        </w:rPr>
        <w:t>s</w:t>
      </w:r>
      <w:r w:rsidRPr="009F43DE">
        <w:rPr>
          <w:lang w:val="fr-CH" w:eastAsia="fr-FR"/>
        </w:rPr>
        <w:t xml:space="preserve">es questions et requêtes et à </w:t>
      </w:r>
      <w:r w:rsidR="00A5555C" w:rsidRPr="009F43DE">
        <w:rPr>
          <w:lang w:val="fr-CH" w:eastAsia="fr-FR"/>
        </w:rPr>
        <w:t>étudier</w:t>
      </w:r>
      <w:r w:rsidRPr="009F43DE">
        <w:rPr>
          <w:lang w:val="fr-CH" w:eastAsia="fr-FR"/>
        </w:rPr>
        <w:t xml:space="preserve"> </w:t>
      </w:r>
      <w:r w:rsidR="00A5555C" w:rsidRPr="009F43DE">
        <w:rPr>
          <w:lang w:val="fr-CH" w:eastAsia="fr-FR"/>
        </w:rPr>
        <w:t>l</w:t>
      </w:r>
      <w:r w:rsidR="00F8384A" w:rsidRPr="009F43DE">
        <w:rPr>
          <w:lang w:val="fr-CH" w:eastAsia="fr-FR"/>
        </w:rPr>
        <w:t>’</w:t>
      </w:r>
      <w:r w:rsidR="00A5555C" w:rsidRPr="009F43DE">
        <w:rPr>
          <w:lang w:val="fr-CH" w:eastAsia="fr-FR"/>
        </w:rPr>
        <w:t>adoption de s</w:t>
      </w:r>
      <w:r w:rsidRPr="009F43DE">
        <w:rPr>
          <w:lang w:val="fr-CH" w:eastAsia="fr-FR"/>
        </w:rPr>
        <w:t xml:space="preserve">es recommandations. Dans cette section, </w:t>
      </w:r>
      <w:r w:rsidR="00B26C8E" w:rsidRPr="009F43DE">
        <w:rPr>
          <w:lang w:val="fr-CH" w:eastAsia="fr-FR"/>
        </w:rPr>
        <w:t>il</w:t>
      </w:r>
      <w:r w:rsidRPr="009F43DE">
        <w:rPr>
          <w:lang w:val="fr-CH" w:eastAsia="fr-FR"/>
        </w:rPr>
        <w:t xml:space="preserve"> répond aux observations finales formulées par le Comité </w:t>
      </w:r>
      <w:r w:rsidR="00B26C8E" w:rsidRPr="009F43DE">
        <w:rPr>
          <w:lang w:val="fr-CH" w:eastAsia="fr-FR"/>
        </w:rPr>
        <w:t>à propos de ses deuxième, troisième et quatrième rapports</w:t>
      </w:r>
      <w:r w:rsidRPr="009F43DE">
        <w:rPr>
          <w:lang w:val="fr-CH" w:eastAsia="fr-FR"/>
        </w:rPr>
        <w:t xml:space="preserve"> (E/C.12/LKA/CO/2-4).</w:t>
      </w:r>
    </w:p>
    <w:p w:rsidR="006452AF" w:rsidRPr="009F43DE" w:rsidRDefault="006452AF" w:rsidP="006452AF">
      <w:pPr>
        <w:pStyle w:val="H23G"/>
        <w:rPr>
          <w:lang w:val="fr-CH"/>
        </w:rPr>
      </w:pPr>
      <w:r w:rsidRPr="009F43DE">
        <w:rPr>
          <w:lang w:val="fr-CH"/>
        </w:rPr>
        <w:tab/>
      </w:r>
      <w:r w:rsidRPr="009F43DE">
        <w:rPr>
          <w:lang w:val="fr-CH"/>
        </w:rPr>
        <w:tab/>
      </w:r>
      <w:r w:rsidRPr="009F43DE">
        <w:rPr>
          <w:bCs/>
          <w:lang w:val="fr-CH" w:eastAsia="fr-FR"/>
        </w:rPr>
        <w:t>Statut juridique d</w:t>
      </w:r>
      <w:r w:rsidR="00A5555C" w:rsidRPr="009F43DE">
        <w:rPr>
          <w:bCs/>
          <w:lang w:val="fr-CH" w:eastAsia="fr-FR"/>
        </w:rPr>
        <w:t>u Pacte</w:t>
      </w:r>
      <w:r w:rsidRPr="009F43DE">
        <w:rPr>
          <w:bCs/>
          <w:lang w:val="fr-CH" w:eastAsia="fr-FR"/>
        </w:rPr>
        <w:t xml:space="preserve"> </w:t>
      </w:r>
      <w:r w:rsidR="009F43DE" w:rsidRPr="009F43DE">
        <w:rPr>
          <w:bCs/>
          <w:lang w:val="fr-CH" w:eastAsia="fr-FR"/>
        </w:rPr>
        <w:t>(</w:t>
      </w:r>
      <w:r w:rsidRPr="009F43DE">
        <w:rPr>
          <w:bCs/>
          <w:lang w:val="fr-CH" w:eastAsia="fr-FR"/>
        </w:rPr>
        <w:t>par</w:t>
      </w:r>
      <w:r w:rsidR="009F43DE" w:rsidRPr="009F43DE">
        <w:rPr>
          <w:bCs/>
          <w:lang w:val="fr-CH" w:eastAsia="fr-FR"/>
        </w:rPr>
        <w:t>.</w:t>
      </w:r>
      <w:r w:rsidR="009F43DE" w:rsidRPr="009F43DE" w:rsidDel="009F43DE">
        <w:rPr>
          <w:bCs/>
          <w:lang w:val="fr-CH" w:eastAsia="fr-FR"/>
        </w:rPr>
        <w:t xml:space="preserve"> </w:t>
      </w:r>
      <w:r w:rsidRPr="009F43DE">
        <w:rPr>
          <w:bCs/>
          <w:lang w:val="fr-CH" w:eastAsia="fr-FR"/>
        </w:rPr>
        <w:t>6</w:t>
      </w:r>
      <w:r w:rsidR="009F43DE" w:rsidRPr="009F43DE">
        <w:rPr>
          <w:lang w:val="fr-CH"/>
        </w:rPr>
        <w:t>)</w:t>
      </w:r>
    </w:p>
    <w:p w:rsidR="006452AF" w:rsidRPr="009F43DE" w:rsidRDefault="006452AF" w:rsidP="006452AF">
      <w:pPr>
        <w:pStyle w:val="H4G"/>
        <w:rPr>
          <w:lang w:val="fr-CH"/>
        </w:rPr>
      </w:pPr>
      <w:r w:rsidRPr="009F43DE">
        <w:rPr>
          <w:lang w:val="fr-CH"/>
        </w:rPr>
        <w:tab/>
      </w:r>
      <w:r w:rsidRPr="009F43DE">
        <w:rPr>
          <w:lang w:val="fr-CH"/>
        </w:rPr>
        <w:tab/>
      </w:r>
      <w:r w:rsidR="00A5555C" w:rsidRPr="009F43DE">
        <w:rPr>
          <w:iCs/>
          <w:lang w:val="fr-CH" w:eastAsia="fr-FR"/>
        </w:rPr>
        <w:t>Applicabilité du Pacte dans l</w:t>
      </w:r>
      <w:r w:rsidR="00F8384A" w:rsidRPr="009F43DE">
        <w:rPr>
          <w:iCs/>
          <w:lang w:val="fr-CH" w:eastAsia="fr-FR"/>
        </w:rPr>
        <w:t>’</w:t>
      </w:r>
      <w:r w:rsidR="00A5555C" w:rsidRPr="009F43DE">
        <w:rPr>
          <w:iCs/>
          <w:lang w:val="fr-CH" w:eastAsia="fr-FR"/>
        </w:rPr>
        <w:t>ordre</w:t>
      </w:r>
      <w:r w:rsidRPr="009F43DE">
        <w:rPr>
          <w:iCs/>
          <w:lang w:val="fr-CH" w:eastAsia="fr-FR"/>
        </w:rPr>
        <w:t xml:space="preserve"> juridique interne</w:t>
      </w:r>
    </w:p>
    <w:p w:rsidR="006452AF" w:rsidRPr="009F43DE" w:rsidRDefault="006452AF" w:rsidP="006452AF">
      <w:pPr>
        <w:pStyle w:val="SingleTxtG"/>
        <w:rPr>
          <w:lang w:val="fr-CH"/>
        </w:rPr>
      </w:pPr>
      <w:r w:rsidRPr="009F43DE">
        <w:rPr>
          <w:lang w:val="fr-CH"/>
        </w:rPr>
        <w:t>7.</w:t>
      </w:r>
      <w:r w:rsidRPr="009F43DE">
        <w:rPr>
          <w:lang w:val="fr-CH"/>
        </w:rPr>
        <w:tab/>
      </w:r>
      <w:r w:rsidRPr="009F43DE">
        <w:rPr>
          <w:lang w:val="fr-CH" w:eastAsia="fr-FR"/>
        </w:rPr>
        <w:t xml:space="preserve">La deuxième Constitution républicaine de Sri Lanka </w:t>
      </w:r>
      <w:r w:rsidR="00A5555C" w:rsidRPr="009F43DE">
        <w:rPr>
          <w:lang w:val="fr-CH" w:eastAsia="fr-FR"/>
        </w:rPr>
        <w:t>consacre</w:t>
      </w:r>
      <w:r w:rsidRPr="009F43DE">
        <w:rPr>
          <w:lang w:val="fr-CH" w:eastAsia="fr-FR"/>
        </w:rPr>
        <w:t xml:space="preserve"> les principes de démocratie et de protection des droits fondamentaux de </w:t>
      </w:r>
      <w:r w:rsidR="00A5555C" w:rsidRPr="009F43DE">
        <w:rPr>
          <w:lang w:val="fr-CH" w:eastAsia="fr-FR"/>
        </w:rPr>
        <w:t>la population sri-lankaise</w:t>
      </w:r>
      <w:r w:rsidRPr="009F43DE">
        <w:rPr>
          <w:lang w:val="fr-CH" w:eastAsia="fr-FR"/>
        </w:rPr>
        <w:t>.</w:t>
      </w:r>
      <w:r w:rsidR="00A5555C" w:rsidRPr="009F43DE">
        <w:rPr>
          <w:lang w:val="fr-CH" w:eastAsia="fr-FR"/>
        </w:rPr>
        <w:t xml:space="preserve"> </w:t>
      </w:r>
      <w:r w:rsidRPr="009F43DE">
        <w:rPr>
          <w:lang w:val="fr-CH" w:eastAsia="fr-FR"/>
        </w:rPr>
        <w:t>L</w:t>
      </w:r>
      <w:r w:rsidR="00F8384A" w:rsidRPr="009F43DE">
        <w:rPr>
          <w:lang w:val="fr-CH" w:eastAsia="fr-FR"/>
        </w:rPr>
        <w:t>’</w:t>
      </w:r>
      <w:r w:rsidR="00A5555C" w:rsidRPr="009F43DE">
        <w:rPr>
          <w:lang w:val="fr-CH" w:eastAsia="fr-FR"/>
        </w:rPr>
        <w:t>alinéa</w:t>
      </w:r>
      <w:r w:rsidR="00BA7287" w:rsidRPr="009F43DE">
        <w:rPr>
          <w:lang w:val="fr-CH" w:eastAsia="fr-FR"/>
        </w:rPr>
        <w:t> </w:t>
      </w:r>
      <w:r w:rsidR="00A5555C" w:rsidRPr="009F43DE">
        <w:rPr>
          <w:i/>
          <w:lang w:val="fr-CH" w:eastAsia="fr-FR"/>
        </w:rPr>
        <w:t>d</w:t>
      </w:r>
      <w:r w:rsidR="00A5555C" w:rsidRPr="009F43DE">
        <w:rPr>
          <w:lang w:val="fr-CH" w:eastAsia="fr-FR"/>
        </w:rPr>
        <w:t xml:space="preserve"> de son ar</w:t>
      </w:r>
      <w:r w:rsidRPr="009F43DE">
        <w:rPr>
          <w:lang w:val="fr-CH" w:eastAsia="fr-FR"/>
        </w:rPr>
        <w:t>ticle</w:t>
      </w:r>
      <w:r w:rsidR="00A5555C" w:rsidRPr="009F43DE">
        <w:rPr>
          <w:lang w:val="fr-CH" w:eastAsia="fr-FR"/>
        </w:rPr>
        <w:t> </w:t>
      </w:r>
      <w:r w:rsidRPr="009F43DE">
        <w:rPr>
          <w:lang w:val="fr-CH" w:eastAsia="fr-FR"/>
        </w:rPr>
        <w:t xml:space="preserve">4 </w:t>
      </w:r>
      <w:r w:rsidR="00A5555C" w:rsidRPr="009F43DE">
        <w:rPr>
          <w:lang w:val="fr-CH" w:eastAsia="fr-FR"/>
        </w:rPr>
        <w:t>dispose</w:t>
      </w:r>
      <w:r w:rsidRPr="009F43DE">
        <w:rPr>
          <w:lang w:val="fr-CH" w:eastAsia="fr-FR"/>
        </w:rPr>
        <w:t xml:space="preserve"> que les droits fondamentaux qui sont </w:t>
      </w:r>
      <w:r w:rsidR="00A5555C" w:rsidRPr="009F43DE">
        <w:rPr>
          <w:lang w:val="fr-CH" w:eastAsia="fr-FR"/>
        </w:rPr>
        <w:t>définis</w:t>
      </w:r>
      <w:r w:rsidRPr="009F43DE">
        <w:rPr>
          <w:lang w:val="fr-CH" w:eastAsia="fr-FR"/>
        </w:rPr>
        <w:t xml:space="preserve"> et reconnus par la Constitution sont respectés, garantis et</w:t>
      </w:r>
      <w:r w:rsidR="00A5555C" w:rsidRPr="009F43DE">
        <w:rPr>
          <w:lang w:val="fr-CH" w:eastAsia="fr-FR"/>
        </w:rPr>
        <w:t xml:space="preserve"> encouragés</w:t>
      </w:r>
      <w:r w:rsidRPr="009F43DE">
        <w:rPr>
          <w:lang w:val="fr-CH" w:eastAsia="fr-FR"/>
        </w:rPr>
        <w:t xml:space="preserve"> par tous les organes d</w:t>
      </w:r>
      <w:r w:rsidR="00A5555C" w:rsidRPr="009F43DE">
        <w:rPr>
          <w:lang w:val="fr-CH" w:eastAsia="fr-FR"/>
        </w:rPr>
        <w:t>e l</w:t>
      </w:r>
      <w:r w:rsidR="00F8384A" w:rsidRPr="009F43DE">
        <w:rPr>
          <w:lang w:val="fr-CH" w:eastAsia="fr-FR"/>
        </w:rPr>
        <w:t>’</w:t>
      </w:r>
      <w:r w:rsidR="007574C7" w:rsidRPr="009F43DE">
        <w:rPr>
          <w:lang w:val="fr-CH" w:eastAsia="fr-FR"/>
        </w:rPr>
        <w:t>État</w:t>
      </w:r>
      <w:r w:rsidRPr="009F43DE">
        <w:rPr>
          <w:lang w:val="fr-CH" w:eastAsia="fr-FR"/>
        </w:rPr>
        <w:t xml:space="preserve"> et ne peuvent être </w:t>
      </w:r>
      <w:r w:rsidR="009F3164" w:rsidRPr="009F43DE">
        <w:rPr>
          <w:lang w:val="fr-CH" w:eastAsia="fr-FR"/>
        </w:rPr>
        <w:t xml:space="preserve">ni </w:t>
      </w:r>
      <w:r w:rsidRPr="009F43DE">
        <w:rPr>
          <w:lang w:val="fr-CH" w:eastAsia="fr-FR"/>
        </w:rPr>
        <w:t xml:space="preserve">restreints, </w:t>
      </w:r>
      <w:r w:rsidR="009F3164" w:rsidRPr="009F43DE">
        <w:rPr>
          <w:lang w:val="fr-CH" w:eastAsia="fr-FR"/>
        </w:rPr>
        <w:t xml:space="preserve">ni </w:t>
      </w:r>
      <w:r w:rsidRPr="009F43DE">
        <w:rPr>
          <w:lang w:val="fr-CH" w:eastAsia="fr-FR"/>
        </w:rPr>
        <w:t xml:space="preserve">limités </w:t>
      </w:r>
      <w:r w:rsidR="00E10AA5" w:rsidRPr="009F43DE">
        <w:rPr>
          <w:lang w:val="fr-CH" w:eastAsia="fr-FR"/>
        </w:rPr>
        <w:t>ni</w:t>
      </w:r>
      <w:r w:rsidRPr="009F43DE">
        <w:rPr>
          <w:lang w:val="fr-CH" w:eastAsia="fr-FR"/>
        </w:rPr>
        <w:t xml:space="preserve"> refusés, sauf d</w:t>
      </w:r>
      <w:r w:rsidR="00E10AA5" w:rsidRPr="009F43DE">
        <w:rPr>
          <w:lang w:val="fr-CH" w:eastAsia="fr-FR"/>
        </w:rPr>
        <w:t>ans les conditions</w:t>
      </w:r>
      <w:r w:rsidRPr="009F43DE">
        <w:rPr>
          <w:lang w:val="fr-CH" w:eastAsia="fr-FR"/>
        </w:rPr>
        <w:t xml:space="preserve"> et dans la mesure prévue</w:t>
      </w:r>
      <w:r w:rsidR="00E10AA5" w:rsidRPr="009F43DE">
        <w:rPr>
          <w:lang w:val="fr-CH" w:eastAsia="fr-FR"/>
        </w:rPr>
        <w:t>s</w:t>
      </w:r>
      <w:r w:rsidRPr="009F43DE">
        <w:rPr>
          <w:lang w:val="fr-CH" w:eastAsia="fr-FR"/>
        </w:rPr>
        <w:t xml:space="preserve"> </w:t>
      </w:r>
      <w:r w:rsidR="00E10AA5" w:rsidRPr="009F43DE">
        <w:rPr>
          <w:lang w:val="fr-CH" w:eastAsia="fr-FR"/>
        </w:rPr>
        <w:t>par</w:t>
      </w:r>
      <w:r w:rsidRPr="009F43DE">
        <w:rPr>
          <w:lang w:val="fr-CH" w:eastAsia="fr-FR"/>
        </w:rPr>
        <w:t xml:space="preserve"> la Constitution.</w:t>
      </w:r>
    </w:p>
    <w:p w:rsidR="006452AF" w:rsidRPr="009F43DE" w:rsidRDefault="006452AF" w:rsidP="006452AF">
      <w:pPr>
        <w:pStyle w:val="SingleTxtG"/>
        <w:rPr>
          <w:lang w:val="fr-CH"/>
        </w:rPr>
      </w:pPr>
      <w:r w:rsidRPr="009F43DE">
        <w:rPr>
          <w:lang w:val="fr-CH"/>
        </w:rPr>
        <w:t>8.</w:t>
      </w:r>
      <w:r w:rsidRPr="009F43DE">
        <w:rPr>
          <w:lang w:val="fr-CH"/>
        </w:rPr>
        <w:tab/>
      </w:r>
      <w:r w:rsidRPr="009F43DE">
        <w:rPr>
          <w:lang w:val="fr-CH" w:eastAsia="fr-FR"/>
        </w:rPr>
        <w:t>L</w:t>
      </w:r>
      <w:r w:rsidR="00F8384A" w:rsidRPr="009F43DE">
        <w:rPr>
          <w:lang w:val="fr-CH" w:eastAsia="fr-FR"/>
        </w:rPr>
        <w:t>’</w:t>
      </w:r>
      <w:r w:rsidR="00E10AA5" w:rsidRPr="009F43DE">
        <w:rPr>
          <w:lang w:val="fr-CH" w:eastAsia="fr-FR"/>
        </w:rPr>
        <w:t>a</w:t>
      </w:r>
      <w:r w:rsidRPr="009F43DE">
        <w:rPr>
          <w:lang w:val="fr-CH" w:eastAsia="fr-FR"/>
        </w:rPr>
        <w:t>rticle</w:t>
      </w:r>
      <w:r w:rsidR="00BA7287" w:rsidRPr="009F43DE">
        <w:rPr>
          <w:lang w:val="fr-CH" w:eastAsia="fr-FR"/>
        </w:rPr>
        <w:t> </w:t>
      </w:r>
      <w:r w:rsidRPr="009F43DE">
        <w:rPr>
          <w:lang w:val="fr-CH" w:eastAsia="fr-FR"/>
        </w:rPr>
        <w:t xml:space="preserve">27 de la Constitution </w:t>
      </w:r>
      <w:r w:rsidR="00E10AA5" w:rsidRPr="009F43DE">
        <w:rPr>
          <w:lang w:val="fr-CH" w:eastAsia="fr-FR"/>
        </w:rPr>
        <w:t xml:space="preserve">définit </w:t>
      </w:r>
      <w:r w:rsidRPr="009F43DE">
        <w:rPr>
          <w:lang w:val="fr-CH" w:eastAsia="fr-FR"/>
        </w:rPr>
        <w:t>les Principes directeurs de la politique de l</w:t>
      </w:r>
      <w:r w:rsidR="00F8384A" w:rsidRPr="009F43DE">
        <w:rPr>
          <w:lang w:val="fr-CH" w:eastAsia="fr-FR"/>
        </w:rPr>
        <w:t>’</w:t>
      </w:r>
      <w:r w:rsidRPr="009F43DE">
        <w:rPr>
          <w:lang w:val="fr-CH" w:eastAsia="fr-FR"/>
        </w:rPr>
        <w:t>État</w:t>
      </w:r>
      <w:r w:rsidR="00E10AA5" w:rsidRPr="009F43DE">
        <w:rPr>
          <w:lang w:val="fr-CH" w:eastAsia="fr-FR"/>
        </w:rPr>
        <w:t xml:space="preserve">, notamment assurer à </w:t>
      </w:r>
      <w:r w:rsidRPr="009F43DE">
        <w:rPr>
          <w:lang w:val="fr-CH" w:eastAsia="fr-FR"/>
        </w:rPr>
        <w:t xml:space="preserve">tous les citoyens </w:t>
      </w:r>
      <w:r w:rsidR="00E10AA5" w:rsidRPr="009F43DE">
        <w:rPr>
          <w:lang w:val="fr-CH" w:eastAsia="fr-FR"/>
        </w:rPr>
        <w:t xml:space="preserve">et à leur famille un </w:t>
      </w:r>
      <w:r w:rsidRPr="009F43DE">
        <w:rPr>
          <w:lang w:val="fr-CH" w:eastAsia="fr-FR"/>
        </w:rPr>
        <w:t>niveau de vie suffisant</w:t>
      </w:r>
      <w:r w:rsidR="00E10AA5" w:rsidRPr="009F43DE">
        <w:rPr>
          <w:lang w:val="fr-CH" w:eastAsia="fr-FR"/>
        </w:rPr>
        <w:t xml:space="preserve">, entre autres une alimentation, un logement et </w:t>
      </w:r>
      <w:r w:rsidR="001F742D" w:rsidRPr="009F43DE">
        <w:rPr>
          <w:lang w:val="fr-CH" w:eastAsia="fr-FR"/>
        </w:rPr>
        <w:t xml:space="preserve">des vêtements adéquats, </w:t>
      </w:r>
      <w:r w:rsidRPr="009F43DE">
        <w:rPr>
          <w:lang w:val="fr-CH" w:eastAsia="fr-FR"/>
        </w:rPr>
        <w:t>l</w:t>
      </w:r>
      <w:r w:rsidR="00F8384A" w:rsidRPr="009F43DE">
        <w:rPr>
          <w:lang w:val="fr-CH" w:eastAsia="fr-FR"/>
        </w:rPr>
        <w:t>’</w:t>
      </w:r>
      <w:r w:rsidRPr="009F43DE">
        <w:rPr>
          <w:lang w:val="fr-CH" w:eastAsia="fr-FR"/>
        </w:rPr>
        <w:t>amélioration continue de leurs conditions de vie et la pleine jouissance des</w:t>
      </w:r>
      <w:r w:rsidR="001F742D" w:rsidRPr="009F43DE">
        <w:rPr>
          <w:lang w:val="fr-CH" w:eastAsia="fr-FR"/>
        </w:rPr>
        <w:t xml:space="preserve"> possibilités offertes dans le domaine des </w:t>
      </w:r>
      <w:r w:rsidRPr="009F43DE">
        <w:rPr>
          <w:lang w:val="fr-CH" w:eastAsia="fr-FR"/>
        </w:rPr>
        <w:t>loisirs et d</w:t>
      </w:r>
      <w:r w:rsidR="001F742D" w:rsidRPr="009F43DE">
        <w:rPr>
          <w:lang w:val="fr-CH" w:eastAsia="fr-FR"/>
        </w:rPr>
        <w:t xml:space="preserve">ans les domaines </w:t>
      </w:r>
      <w:r w:rsidRPr="009F43DE">
        <w:rPr>
          <w:lang w:val="fr-CH" w:eastAsia="fr-FR"/>
        </w:rPr>
        <w:t xml:space="preserve">social et culturel. </w:t>
      </w:r>
      <w:r w:rsidR="001F742D" w:rsidRPr="009F43DE">
        <w:rPr>
          <w:lang w:val="fr-CH" w:eastAsia="fr-FR"/>
        </w:rPr>
        <w:t>Si</w:t>
      </w:r>
      <w:r w:rsidRPr="009F43DE">
        <w:rPr>
          <w:lang w:val="fr-CH" w:eastAsia="fr-FR"/>
        </w:rPr>
        <w:t xml:space="preserve"> les droits énoncés dans les Principes directeurs de la politique de l</w:t>
      </w:r>
      <w:r w:rsidR="00F8384A" w:rsidRPr="009F43DE">
        <w:rPr>
          <w:lang w:val="fr-CH" w:eastAsia="fr-FR"/>
        </w:rPr>
        <w:t>’</w:t>
      </w:r>
      <w:r w:rsidRPr="009F43DE">
        <w:rPr>
          <w:lang w:val="fr-CH" w:eastAsia="fr-FR"/>
        </w:rPr>
        <w:t xml:space="preserve">État </w:t>
      </w:r>
      <w:r w:rsidR="001F742D" w:rsidRPr="009F43DE">
        <w:rPr>
          <w:lang w:val="fr-CH" w:eastAsia="fr-FR"/>
        </w:rPr>
        <w:t>ne sont pas opposables,</w:t>
      </w:r>
      <w:r w:rsidRPr="009F43DE">
        <w:rPr>
          <w:lang w:val="fr-CH" w:eastAsia="fr-FR"/>
        </w:rPr>
        <w:t xml:space="preserve"> l</w:t>
      </w:r>
      <w:r w:rsidR="00B15932" w:rsidRPr="009F43DE">
        <w:rPr>
          <w:lang w:val="fr-CH" w:eastAsia="fr-FR"/>
        </w:rPr>
        <w:t>e paragraphe </w:t>
      </w:r>
      <w:r w:rsidR="001F742D" w:rsidRPr="009F43DE">
        <w:rPr>
          <w:lang w:val="fr-CH" w:eastAsia="fr-FR"/>
        </w:rPr>
        <w:t>1) de l</w:t>
      </w:r>
      <w:r w:rsidR="00F8384A" w:rsidRPr="009F43DE">
        <w:rPr>
          <w:lang w:val="fr-CH" w:eastAsia="fr-FR"/>
        </w:rPr>
        <w:t>’</w:t>
      </w:r>
      <w:r w:rsidR="001F742D" w:rsidRPr="009F43DE">
        <w:rPr>
          <w:lang w:val="fr-CH" w:eastAsia="fr-FR"/>
        </w:rPr>
        <w:t>a</w:t>
      </w:r>
      <w:r w:rsidRPr="009F43DE">
        <w:rPr>
          <w:lang w:val="fr-CH" w:eastAsia="fr-FR"/>
        </w:rPr>
        <w:t>rticle</w:t>
      </w:r>
      <w:r w:rsidR="001F742D" w:rsidRPr="009F43DE">
        <w:rPr>
          <w:lang w:val="fr-CH" w:eastAsia="fr-FR"/>
        </w:rPr>
        <w:t> </w:t>
      </w:r>
      <w:r w:rsidRPr="009F43DE">
        <w:rPr>
          <w:lang w:val="fr-CH" w:eastAsia="fr-FR"/>
        </w:rPr>
        <w:t>27 de la Constitution prévoit qu</w:t>
      </w:r>
      <w:r w:rsidR="00F8384A" w:rsidRPr="009F43DE">
        <w:rPr>
          <w:lang w:val="fr-CH" w:eastAsia="fr-FR"/>
        </w:rPr>
        <w:t>’</w:t>
      </w:r>
      <w:r w:rsidRPr="009F43DE">
        <w:rPr>
          <w:lang w:val="fr-CH" w:eastAsia="fr-FR"/>
        </w:rPr>
        <w:t xml:space="preserve">ils doivent servir de guide au Parlement, </w:t>
      </w:r>
      <w:r w:rsidR="001F742D" w:rsidRPr="009F43DE">
        <w:rPr>
          <w:lang w:val="fr-CH" w:eastAsia="fr-FR"/>
        </w:rPr>
        <w:t xml:space="preserve">au </w:t>
      </w:r>
      <w:r w:rsidRPr="009F43DE">
        <w:rPr>
          <w:lang w:val="fr-CH" w:eastAsia="fr-FR"/>
        </w:rPr>
        <w:t xml:space="preserve">Président et au Conseil des ministres </w:t>
      </w:r>
      <w:r w:rsidR="001F742D" w:rsidRPr="009F43DE">
        <w:rPr>
          <w:lang w:val="fr-CH" w:eastAsia="fr-FR"/>
        </w:rPr>
        <w:t>aux fins de</w:t>
      </w:r>
      <w:r w:rsidRPr="009F43DE">
        <w:rPr>
          <w:lang w:val="fr-CH" w:eastAsia="fr-FR"/>
        </w:rPr>
        <w:t xml:space="preserve"> l</w:t>
      </w:r>
      <w:r w:rsidR="00F8384A" w:rsidRPr="009F43DE">
        <w:rPr>
          <w:lang w:val="fr-CH" w:eastAsia="fr-FR"/>
        </w:rPr>
        <w:t>’</w:t>
      </w:r>
      <w:r w:rsidRPr="009F43DE">
        <w:rPr>
          <w:lang w:val="fr-CH" w:eastAsia="fr-FR"/>
        </w:rPr>
        <w:t>adoption de</w:t>
      </w:r>
      <w:r w:rsidR="001F742D" w:rsidRPr="009F43DE">
        <w:rPr>
          <w:lang w:val="fr-CH" w:eastAsia="fr-FR"/>
        </w:rPr>
        <w:t>s</w:t>
      </w:r>
      <w:r w:rsidRPr="009F43DE">
        <w:rPr>
          <w:lang w:val="fr-CH" w:eastAsia="fr-FR"/>
        </w:rPr>
        <w:t xml:space="preserve"> lois et </w:t>
      </w:r>
      <w:r w:rsidR="001F742D" w:rsidRPr="009F43DE">
        <w:rPr>
          <w:lang w:val="fr-CH" w:eastAsia="fr-FR"/>
        </w:rPr>
        <w:t xml:space="preserve">de </w:t>
      </w:r>
      <w:r w:rsidRPr="009F43DE">
        <w:rPr>
          <w:lang w:val="fr-CH" w:eastAsia="fr-FR"/>
        </w:rPr>
        <w:t>la gouvernance d</w:t>
      </w:r>
      <w:r w:rsidR="001F742D" w:rsidRPr="009F43DE">
        <w:rPr>
          <w:lang w:val="fr-CH" w:eastAsia="fr-FR"/>
        </w:rPr>
        <w:t>e</w:t>
      </w:r>
      <w:r w:rsidRPr="009F43DE">
        <w:rPr>
          <w:lang w:val="fr-CH" w:eastAsia="fr-FR"/>
        </w:rPr>
        <w:t xml:space="preserve"> Sri Lanka pour l</w:t>
      </w:r>
      <w:r w:rsidR="00F8384A" w:rsidRPr="009F43DE">
        <w:rPr>
          <w:lang w:val="fr-CH" w:eastAsia="fr-FR"/>
        </w:rPr>
        <w:t>’</w:t>
      </w:r>
      <w:r w:rsidRPr="009F43DE">
        <w:rPr>
          <w:lang w:val="fr-CH" w:eastAsia="fr-FR"/>
        </w:rPr>
        <w:t>établissement d</w:t>
      </w:r>
      <w:r w:rsidR="00F8384A" w:rsidRPr="009F43DE">
        <w:rPr>
          <w:lang w:val="fr-CH" w:eastAsia="fr-FR"/>
        </w:rPr>
        <w:t>’</w:t>
      </w:r>
      <w:r w:rsidRPr="009F43DE">
        <w:rPr>
          <w:lang w:val="fr-CH" w:eastAsia="fr-FR"/>
        </w:rPr>
        <w:t>une société juste et libre.</w:t>
      </w:r>
    </w:p>
    <w:p w:rsidR="006452AF" w:rsidRPr="009F43DE" w:rsidRDefault="006452AF" w:rsidP="006452AF">
      <w:pPr>
        <w:pStyle w:val="SingleTxtG"/>
        <w:rPr>
          <w:lang w:val="fr-CH"/>
        </w:rPr>
      </w:pPr>
      <w:r w:rsidRPr="009F43DE">
        <w:rPr>
          <w:lang w:val="fr-CH"/>
        </w:rPr>
        <w:t>9.</w:t>
      </w:r>
      <w:r w:rsidRPr="009F43DE">
        <w:rPr>
          <w:lang w:val="fr-CH"/>
        </w:rPr>
        <w:tab/>
        <w:t>L</w:t>
      </w:r>
      <w:r w:rsidR="00F8384A" w:rsidRPr="009F43DE">
        <w:rPr>
          <w:lang w:val="fr-CH"/>
        </w:rPr>
        <w:t>’</w:t>
      </w:r>
      <w:r w:rsidR="005D7CA0" w:rsidRPr="009F43DE">
        <w:rPr>
          <w:lang w:val="fr-CH"/>
        </w:rPr>
        <w:t>a</w:t>
      </w:r>
      <w:r w:rsidRPr="009F43DE">
        <w:rPr>
          <w:lang w:val="fr-CH"/>
        </w:rPr>
        <w:t>rticle</w:t>
      </w:r>
      <w:r w:rsidR="005D7CA0" w:rsidRPr="009F43DE">
        <w:rPr>
          <w:lang w:val="fr-CH"/>
        </w:rPr>
        <w:t> </w:t>
      </w:r>
      <w:r w:rsidRPr="009F43DE">
        <w:rPr>
          <w:lang w:val="fr-CH"/>
        </w:rPr>
        <w:t>10 de la Constitution garantit le droit à la liberté de pensée, de conscience et de religion. L</w:t>
      </w:r>
      <w:r w:rsidR="00F8384A" w:rsidRPr="009F43DE">
        <w:rPr>
          <w:lang w:val="fr-CH"/>
        </w:rPr>
        <w:t>’</w:t>
      </w:r>
      <w:r w:rsidRPr="009F43DE">
        <w:rPr>
          <w:lang w:val="fr-CH"/>
        </w:rPr>
        <w:t xml:space="preserve">article 11 interdit la torture ou les traitements ou peines cruels, inhumains, ou dégradants. Le </w:t>
      </w:r>
      <w:r w:rsidR="005D7CA0" w:rsidRPr="009F43DE">
        <w:rPr>
          <w:lang w:val="fr-CH"/>
        </w:rPr>
        <w:t>d</w:t>
      </w:r>
      <w:r w:rsidRPr="009F43DE">
        <w:rPr>
          <w:lang w:val="fr-CH"/>
        </w:rPr>
        <w:t>roit à l</w:t>
      </w:r>
      <w:r w:rsidR="00F8384A" w:rsidRPr="009F43DE">
        <w:rPr>
          <w:lang w:val="fr-CH"/>
        </w:rPr>
        <w:t>’</w:t>
      </w:r>
      <w:r w:rsidRPr="009F43DE">
        <w:rPr>
          <w:lang w:val="fr-CH"/>
        </w:rPr>
        <w:t xml:space="preserve">égalité est énoncé </w:t>
      </w:r>
      <w:r w:rsidR="005D7CA0" w:rsidRPr="009F43DE">
        <w:rPr>
          <w:lang w:val="fr-CH"/>
        </w:rPr>
        <w:t>à</w:t>
      </w:r>
      <w:r w:rsidRPr="009F43DE">
        <w:rPr>
          <w:lang w:val="fr-CH"/>
        </w:rPr>
        <w:t xml:space="preserve"> l</w:t>
      </w:r>
      <w:r w:rsidR="00F8384A" w:rsidRPr="009F43DE">
        <w:rPr>
          <w:lang w:val="fr-CH"/>
        </w:rPr>
        <w:t>’</w:t>
      </w:r>
      <w:r w:rsidR="005D7CA0" w:rsidRPr="009F43DE">
        <w:rPr>
          <w:lang w:val="fr-CH"/>
        </w:rPr>
        <w:t>a</w:t>
      </w:r>
      <w:r w:rsidRPr="009F43DE">
        <w:rPr>
          <w:lang w:val="fr-CH"/>
        </w:rPr>
        <w:t>rticle 12 et l</w:t>
      </w:r>
      <w:r w:rsidR="00B15932" w:rsidRPr="009F43DE">
        <w:rPr>
          <w:lang w:val="fr-CH"/>
        </w:rPr>
        <w:t>e paragraphe</w:t>
      </w:r>
      <w:r w:rsidR="005D7CA0" w:rsidRPr="009F43DE">
        <w:rPr>
          <w:lang w:val="fr-CH"/>
        </w:rPr>
        <w:t xml:space="preserve"> 4° de </w:t>
      </w:r>
      <w:r w:rsidR="00B15932" w:rsidRPr="009F43DE">
        <w:rPr>
          <w:lang w:val="fr-CH"/>
        </w:rPr>
        <w:t xml:space="preserve">cet </w:t>
      </w:r>
      <w:r w:rsidR="005D7CA0" w:rsidRPr="009F43DE">
        <w:rPr>
          <w:lang w:val="fr-CH"/>
        </w:rPr>
        <w:t>a</w:t>
      </w:r>
      <w:r w:rsidRPr="009F43DE">
        <w:rPr>
          <w:lang w:val="fr-CH"/>
        </w:rPr>
        <w:t xml:space="preserve">rticle prévoit une </w:t>
      </w:r>
      <w:r w:rsidR="005D7CA0" w:rsidRPr="009F43DE">
        <w:rPr>
          <w:lang w:val="fr-CH"/>
        </w:rPr>
        <w:t>mesure d</w:t>
      </w:r>
      <w:r w:rsidR="00F8384A" w:rsidRPr="009F43DE">
        <w:rPr>
          <w:lang w:val="fr-CH"/>
        </w:rPr>
        <w:t>’</w:t>
      </w:r>
      <w:r w:rsidR="005D7CA0" w:rsidRPr="009F43DE">
        <w:rPr>
          <w:lang w:val="fr-CH"/>
        </w:rPr>
        <w:t>action</w:t>
      </w:r>
      <w:r w:rsidRPr="009F43DE">
        <w:rPr>
          <w:lang w:val="fr-CH"/>
        </w:rPr>
        <w:t xml:space="preserve"> positive</w:t>
      </w:r>
      <w:r w:rsidR="00B15932" w:rsidRPr="009F43DE">
        <w:rPr>
          <w:lang w:val="fr-CH"/>
        </w:rPr>
        <w:t>, en</w:t>
      </w:r>
      <w:r w:rsidRPr="009F43DE">
        <w:rPr>
          <w:lang w:val="fr-CH"/>
        </w:rPr>
        <w:t xml:space="preserve"> précis</w:t>
      </w:r>
      <w:r w:rsidR="00B15932" w:rsidRPr="009F43DE">
        <w:rPr>
          <w:lang w:val="fr-CH"/>
        </w:rPr>
        <w:t>ant</w:t>
      </w:r>
      <w:r w:rsidRPr="009F43DE">
        <w:rPr>
          <w:lang w:val="fr-CH"/>
        </w:rPr>
        <w:t xml:space="preserve"> que </w:t>
      </w:r>
      <w:r w:rsidR="00F8384A" w:rsidRPr="009F43DE">
        <w:rPr>
          <w:lang w:val="fr-CH"/>
        </w:rPr>
        <w:t>«</w:t>
      </w:r>
      <w:r w:rsidR="005D7CA0" w:rsidRPr="009F43DE">
        <w:rPr>
          <w:lang w:val="fr-CH"/>
        </w:rPr>
        <w:t>r</w:t>
      </w:r>
      <w:r w:rsidRPr="009F43DE">
        <w:rPr>
          <w:lang w:val="fr-CH"/>
        </w:rPr>
        <w:t xml:space="preserve">ien dans le présent </w:t>
      </w:r>
      <w:r w:rsidR="005D7CA0" w:rsidRPr="009F43DE">
        <w:rPr>
          <w:lang w:val="fr-CH"/>
        </w:rPr>
        <w:t>a</w:t>
      </w:r>
      <w:r w:rsidRPr="009F43DE">
        <w:rPr>
          <w:lang w:val="fr-CH"/>
        </w:rPr>
        <w:t xml:space="preserve">rticle ne </w:t>
      </w:r>
      <w:r w:rsidR="005D7CA0" w:rsidRPr="009F43DE">
        <w:rPr>
          <w:lang w:val="fr-CH"/>
        </w:rPr>
        <w:t>saurait</w:t>
      </w:r>
      <w:r w:rsidRPr="009F43DE">
        <w:rPr>
          <w:lang w:val="fr-CH"/>
        </w:rPr>
        <w:t xml:space="preserve"> </w:t>
      </w:r>
      <w:r w:rsidR="005D7CA0" w:rsidRPr="009F43DE">
        <w:rPr>
          <w:lang w:val="fr-CH"/>
        </w:rPr>
        <w:t>faire obstacle à</w:t>
      </w:r>
      <w:r w:rsidRPr="009F43DE">
        <w:rPr>
          <w:lang w:val="fr-CH"/>
        </w:rPr>
        <w:t xml:space="preserve"> une disposition spéciale </w:t>
      </w:r>
      <w:r w:rsidR="00CC0FD0" w:rsidRPr="009F43DE">
        <w:rPr>
          <w:lang w:val="fr-CH"/>
        </w:rPr>
        <w:t>du droit ou d</w:t>
      </w:r>
      <w:r w:rsidR="00F8384A" w:rsidRPr="009F43DE">
        <w:rPr>
          <w:lang w:val="fr-CH"/>
        </w:rPr>
        <w:t>’</w:t>
      </w:r>
      <w:r w:rsidR="00CC0FD0" w:rsidRPr="009F43DE">
        <w:rPr>
          <w:lang w:val="fr-CH"/>
        </w:rPr>
        <w:t>une</w:t>
      </w:r>
      <w:r w:rsidRPr="009F43DE">
        <w:rPr>
          <w:lang w:val="fr-CH"/>
        </w:rPr>
        <w:t xml:space="preserve"> législation s</w:t>
      </w:r>
      <w:r w:rsidR="00C16CCB" w:rsidRPr="009F43DE">
        <w:rPr>
          <w:lang w:val="fr-CH"/>
        </w:rPr>
        <w:t>econdaire</w:t>
      </w:r>
      <w:r w:rsidRPr="009F43DE">
        <w:rPr>
          <w:lang w:val="fr-CH"/>
        </w:rPr>
        <w:t xml:space="preserve"> ou </w:t>
      </w:r>
      <w:r w:rsidR="00CC0FD0" w:rsidRPr="009F43DE">
        <w:rPr>
          <w:lang w:val="fr-CH"/>
        </w:rPr>
        <w:t xml:space="preserve">encore à </w:t>
      </w:r>
      <w:r w:rsidRPr="009F43DE">
        <w:rPr>
          <w:lang w:val="fr-CH"/>
        </w:rPr>
        <w:t xml:space="preserve">une action </w:t>
      </w:r>
      <w:r w:rsidR="00CC0FD0" w:rsidRPr="009F43DE">
        <w:rPr>
          <w:lang w:val="fr-CH"/>
        </w:rPr>
        <w:t>de l</w:t>
      </w:r>
      <w:r w:rsidR="00F8384A" w:rsidRPr="009F43DE">
        <w:rPr>
          <w:lang w:val="fr-CH"/>
        </w:rPr>
        <w:t>’</w:t>
      </w:r>
      <w:r w:rsidRPr="009F43DE">
        <w:rPr>
          <w:lang w:val="fr-CH"/>
        </w:rPr>
        <w:t>exécuti</w:t>
      </w:r>
      <w:r w:rsidR="00CC0FD0" w:rsidRPr="009F43DE">
        <w:rPr>
          <w:lang w:val="fr-CH"/>
        </w:rPr>
        <w:t>f visant à promouvoir le progrès de</w:t>
      </w:r>
      <w:r w:rsidRPr="009F43DE">
        <w:rPr>
          <w:lang w:val="fr-CH"/>
        </w:rPr>
        <w:t>s femmes, des enfants ou des personnes handicapées</w:t>
      </w:r>
      <w:r w:rsidR="00F8384A" w:rsidRPr="009F43DE">
        <w:rPr>
          <w:lang w:val="fr-CH"/>
        </w:rPr>
        <w:t>»</w:t>
      </w:r>
      <w:r w:rsidRPr="009F43DE">
        <w:rPr>
          <w:lang w:val="fr-CH"/>
        </w:rPr>
        <w:t>. L</w:t>
      </w:r>
      <w:r w:rsidR="00F8384A" w:rsidRPr="009F43DE">
        <w:rPr>
          <w:lang w:val="fr-CH"/>
        </w:rPr>
        <w:t>’</w:t>
      </w:r>
      <w:r w:rsidR="005D7CA0" w:rsidRPr="009F43DE">
        <w:rPr>
          <w:lang w:val="fr-CH"/>
        </w:rPr>
        <w:t>a</w:t>
      </w:r>
      <w:r w:rsidRPr="009F43DE">
        <w:rPr>
          <w:lang w:val="fr-CH"/>
        </w:rPr>
        <w:t>rticle</w:t>
      </w:r>
      <w:r w:rsidR="005D7CA0" w:rsidRPr="009F43DE">
        <w:rPr>
          <w:lang w:val="fr-CH"/>
        </w:rPr>
        <w:t> </w:t>
      </w:r>
      <w:r w:rsidRPr="009F43DE">
        <w:rPr>
          <w:lang w:val="fr-CH"/>
        </w:rPr>
        <w:t xml:space="preserve">13 </w:t>
      </w:r>
      <w:r w:rsidR="00CC0FD0" w:rsidRPr="009F43DE">
        <w:rPr>
          <w:lang w:val="fr-CH"/>
        </w:rPr>
        <w:t>garantit</w:t>
      </w:r>
      <w:r w:rsidRPr="009F43DE">
        <w:rPr>
          <w:lang w:val="fr-CH"/>
        </w:rPr>
        <w:t xml:space="preserve"> la liberté contre </w:t>
      </w:r>
      <w:r w:rsidR="00746401" w:rsidRPr="009F43DE">
        <w:rPr>
          <w:lang w:val="fr-CH"/>
        </w:rPr>
        <w:t>les</w:t>
      </w:r>
      <w:r w:rsidRPr="009F43DE">
        <w:rPr>
          <w:lang w:val="fr-CH"/>
        </w:rPr>
        <w:t xml:space="preserve"> arrestations, détention</w:t>
      </w:r>
      <w:r w:rsidR="00746401" w:rsidRPr="009F43DE">
        <w:rPr>
          <w:lang w:val="fr-CH"/>
        </w:rPr>
        <w:t>s</w:t>
      </w:r>
      <w:r w:rsidRPr="009F43DE">
        <w:rPr>
          <w:lang w:val="fr-CH"/>
        </w:rPr>
        <w:t xml:space="preserve"> et </w:t>
      </w:r>
      <w:r w:rsidR="00746401" w:rsidRPr="009F43DE">
        <w:rPr>
          <w:lang w:val="fr-CH"/>
        </w:rPr>
        <w:t>sanction</w:t>
      </w:r>
      <w:r w:rsidRPr="009F43DE">
        <w:rPr>
          <w:lang w:val="fr-CH"/>
        </w:rPr>
        <w:t xml:space="preserve">s arbitraires et interdit </w:t>
      </w:r>
      <w:r w:rsidR="00746401" w:rsidRPr="009F43DE">
        <w:rPr>
          <w:lang w:val="fr-CH"/>
        </w:rPr>
        <w:t>l</w:t>
      </w:r>
      <w:r w:rsidR="00F8384A" w:rsidRPr="009F43DE">
        <w:rPr>
          <w:lang w:val="fr-CH"/>
        </w:rPr>
        <w:t>’</w:t>
      </w:r>
      <w:r w:rsidR="00746401" w:rsidRPr="009F43DE">
        <w:rPr>
          <w:lang w:val="fr-CH"/>
        </w:rPr>
        <w:t>application rétroactive de la</w:t>
      </w:r>
      <w:r w:rsidRPr="009F43DE">
        <w:rPr>
          <w:lang w:val="fr-CH"/>
        </w:rPr>
        <w:t xml:space="preserve"> législation pénale. L</w:t>
      </w:r>
      <w:r w:rsidR="00B15932" w:rsidRPr="009F43DE">
        <w:rPr>
          <w:lang w:val="fr-CH"/>
        </w:rPr>
        <w:t>e paragraphe </w:t>
      </w:r>
      <w:r w:rsidR="00746401" w:rsidRPr="009F43DE">
        <w:rPr>
          <w:lang w:val="fr-CH"/>
        </w:rPr>
        <w:t>1) de l</w:t>
      </w:r>
      <w:r w:rsidR="00F8384A" w:rsidRPr="009F43DE">
        <w:rPr>
          <w:lang w:val="fr-CH"/>
        </w:rPr>
        <w:t>’</w:t>
      </w:r>
      <w:r w:rsidR="00746401" w:rsidRPr="009F43DE">
        <w:rPr>
          <w:lang w:val="fr-CH"/>
        </w:rPr>
        <w:t>a</w:t>
      </w:r>
      <w:r w:rsidRPr="009F43DE">
        <w:rPr>
          <w:lang w:val="fr-CH"/>
        </w:rPr>
        <w:t>rticle 14 garantit la liberté de parole, de réunion, de mouvement et d</w:t>
      </w:r>
      <w:r w:rsidR="00F8384A" w:rsidRPr="009F43DE">
        <w:rPr>
          <w:lang w:val="fr-CH"/>
        </w:rPr>
        <w:t>’</w:t>
      </w:r>
      <w:r w:rsidRPr="009F43DE">
        <w:rPr>
          <w:lang w:val="fr-CH"/>
        </w:rPr>
        <w:t>association. L</w:t>
      </w:r>
      <w:r w:rsidR="00F8384A" w:rsidRPr="009F43DE">
        <w:rPr>
          <w:lang w:val="fr-CH"/>
        </w:rPr>
        <w:t>’</w:t>
      </w:r>
      <w:r w:rsidR="00B15932" w:rsidRPr="009F43DE">
        <w:rPr>
          <w:lang w:val="fr-CH"/>
        </w:rPr>
        <w:t>a</w:t>
      </w:r>
      <w:r w:rsidRPr="009F43DE">
        <w:rPr>
          <w:lang w:val="fr-CH"/>
        </w:rPr>
        <w:t>rticle</w:t>
      </w:r>
      <w:r w:rsidR="00B15932" w:rsidRPr="009F43DE">
        <w:rPr>
          <w:lang w:val="fr-CH"/>
        </w:rPr>
        <w:t> </w:t>
      </w:r>
      <w:r w:rsidRPr="009F43DE">
        <w:rPr>
          <w:lang w:val="fr-CH"/>
        </w:rPr>
        <w:t xml:space="preserve">15 énonce les restrictions </w:t>
      </w:r>
      <w:r w:rsidR="00EC652C" w:rsidRPr="009F43DE">
        <w:rPr>
          <w:lang w:val="fr-CH"/>
        </w:rPr>
        <w:t xml:space="preserve">pouvant être apportées </w:t>
      </w:r>
      <w:r w:rsidRPr="009F43DE">
        <w:rPr>
          <w:lang w:val="fr-CH"/>
        </w:rPr>
        <w:t xml:space="preserve">aux droits fondamentaux reconnus </w:t>
      </w:r>
      <w:r w:rsidR="00282FC0" w:rsidRPr="009F43DE">
        <w:rPr>
          <w:lang w:val="fr-CH"/>
        </w:rPr>
        <w:t>au paragraphe 1 de l</w:t>
      </w:r>
      <w:r w:rsidR="00F8384A" w:rsidRPr="009F43DE">
        <w:rPr>
          <w:lang w:val="fr-CH"/>
        </w:rPr>
        <w:t>’</w:t>
      </w:r>
      <w:r w:rsidR="00282FC0" w:rsidRPr="009F43DE">
        <w:rPr>
          <w:lang w:val="fr-CH"/>
        </w:rPr>
        <w:t>article 12 et dans les</w:t>
      </w:r>
      <w:r w:rsidRPr="009F43DE">
        <w:rPr>
          <w:lang w:val="fr-CH"/>
        </w:rPr>
        <w:t xml:space="preserve"> </w:t>
      </w:r>
      <w:r w:rsidR="00B15932" w:rsidRPr="009F43DE">
        <w:rPr>
          <w:lang w:val="fr-CH"/>
        </w:rPr>
        <w:t>a</w:t>
      </w:r>
      <w:r w:rsidRPr="009F43DE">
        <w:rPr>
          <w:lang w:val="fr-CH"/>
        </w:rPr>
        <w:t>rticles 13 et 14, entre autres, dans l</w:t>
      </w:r>
      <w:r w:rsidR="00F8384A" w:rsidRPr="009F43DE">
        <w:rPr>
          <w:lang w:val="fr-CH"/>
        </w:rPr>
        <w:t>’</w:t>
      </w:r>
      <w:r w:rsidRPr="009F43DE">
        <w:rPr>
          <w:lang w:val="fr-CH"/>
        </w:rPr>
        <w:t>intérêt de la sécurité nationale, de l</w:t>
      </w:r>
      <w:r w:rsidR="00F8384A" w:rsidRPr="009F43DE">
        <w:rPr>
          <w:lang w:val="fr-CH"/>
        </w:rPr>
        <w:t>’</w:t>
      </w:r>
      <w:r w:rsidRPr="009F43DE">
        <w:rPr>
          <w:lang w:val="fr-CH"/>
        </w:rPr>
        <w:t>harmonie raciale et religieuse et de la protection de la santé publique et de la moralité. L</w:t>
      </w:r>
      <w:r w:rsidR="009B683B" w:rsidRPr="009F43DE">
        <w:rPr>
          <w:lang w:val="fr-CH"/>
        </w:rPr>
        <w:t>e paragraphe 1 de l</w:t>
      </w:r>
      <w:r w:rsidR="00F8384A" w:rsidRPr="009F43DE">
        <w:rPr>
          <w:lang w:val="fr-CH"/>
        </w:rPr>
        <w:t>’</w:t>
      </w:r>
      <w:r w:rsidR="009B683B" w:rsidRPr="009F43DE">
        <w:rPr>
          <w:lang w:val="fr-CH"/>
        </w:rPr>
        <w:t>ar</w:t>
      </w:r>
      <w:r w:rsidRPr="009F43DE">
        <w:rPr>
          <w:lang w:val="fr-CH"/>
        </w:rPr>
        <w:t>ticle</w:t>
      </w:r>
      <w:r w:rsidR="009B683B" w:rsidRPr="009F43DE">
        <w:rPr>
          <w:lang w:val="fr-CH"/>
        </w:rPr>
        <w:t> </w:t>
      </w:r>
      <w:r w:rsidRPr="009F43DE">
        <w:rPr>
          <w:lang w:val="fr-CH"/>
        </w:rPr>
        <w:t>14(A) du 19</w:t>
      </w:r>
      <w:r w:rsidRPr="009F43DE">
        <w:rPr>
          <w:vertAlign w:val="superscript"/>
          <w:lang w:val="fr-CH"/>
        </w:rPr>
        <w:t>e</w:t>
      </w:r>
      <w:r w:rsidRPr="009F43DE">
        <w:rPr>
          <w:lang w:val="fr-CH"/>
        </w:rPr>
        <w:t xml:space="preserve"> </w:t>
      </w:r>
      <w:r w:rsidR="00D20CD1">
        <w:rPr>
          <w:lang w:val="fr-CH"/>
        </w:rPr>
        <w:t>amendement</w:t>
      </w:r>
      <w:r w:rsidRPr="009F43DE">
        <w:rPr>
          <w:lang w:val="fr-CH"/>
        </w:rPr>
        <w:t xml:space="preserve"> de la Constitution prévoit expressément le droit d</w:t>
      </w:r>
      <w:r w:rsidR="00F8384A" w:rsidRPr="009F43DE">
        <w:rPr>
          <w:lang w:val="fr-CH"/>
        </w:rPr>
        <w:t>’</w:t>
      </w:r>
      <w:r w:rsidRPr="009F43DE">
        <w:rPr>
          <w:lang w:val="fr-CH"/>
        </w:rPr>
        <w:t>accès à tou</w:t>
      </w:r>
      <w:r w:rsidR="009B683B" w:rsidRPr="009F43DE">
        <w:rPr>
          <w:lang w:val="fr-CH"/>
        </w:rPr>
        <w:t>s les renseignements requis pour</w:t>
      </w:r>
      <w:r w:rsidRPr="009F43DE">
        <w:rPr>
          <w:lang w:val="fr-CH"/>
        </w:rPr>
        <w:t xml:space="preserve"> l</w:t>
      </w:r>
      <w:r w:rsidR="00F8384A" w:rsidRPr="009F43DE">
        <w:rPr>
          <w:lang w:val="fr-CH"/>
        </w:rPr>
        <w:t>’</w:t>
      </w:r>
      <w:r w:rsidRPr="009F43DE">
        <w:rPr>
          <w:lang w:val="fr-CH"/>
        </w:rPr>
        <w:t>exercice ou la protection d</w:t>
      </w:r>
      <w:r w:rsidR="009B683B" w:rsidRPr="009F43DE">
        <w:rPr>
          <w:lang w:val="fr-CH"/>
        </w:rPr>
        <w:t>es</w:t>
      </w:r>
      <w:r w:rsidRPr="009F43DE">
        <w:rPr>
          <w:lang w:val="fr-CH"/>
        </w:rPr>
        <w:t xml:space="preserve"> droit</w:t>
      </w:r>
      <w:r w:rsidR="009B683B" w:rsidRPr="009F43DE">
        <w:rPr>
          <w:lang w:val="fr-CH"/>
        </w:rPr>
        <w:t>s</w:t>
      </w:r>
      <w:r w:rsidRPr="009F43DE">
        <w:rPr>
          <w:lang w:val="fr-CH"/>
        </w:rPr>
        <w:t xml:space="preserve"> d</w:t>
      </w:r>
      <w:r w:rsidR="00F8384A" w:rsidRPr="009F43DE">
        <w:rPr>
          <w:lang w:val="fr-CH"/>
        </w:rPr>
        <w:t>’</w:t>
      </w:r>
      <w:r w:rsidRPr="009F43DE">
        <w:rPr>
          <w:lang w:val="fr-CH"/>
        </w:rPr>
        <w:t xml:space="preserve">un citoyen, sous réserve des restrictions </w:t>
      </w:r>
      <w:r w:rsidR="009B683B" w:rsidRPr="009F43DE">
        <w:rPr>
          <w:lang w:val="fr-CH"/>
        </w:rPr>
        <w:t xml:space="preserve">considérées par </w:t>
      </w:r>
      <w:r w:rsidRPr="009F43DE">
        <w:rPr>
          <w:lang w:val="fr-CH"/>
        </w:rPr>
        <w:t>la loi</w:t>
      </w:r>
      <w:r w:rsidR="009B683B" w:rsidRPr="009F43DE">
        <w:rPr>
          <w:lang w:val="fr-CH"/>
        </w:rPr>
        <w:t xml:space="preserve"> </w:t>
      </w:r>
      <w:r w:rsidRPr="009F43DE">
        <w:rPr>
          <w:lang w:val="fr-CH"/>
        </w:rPr>
        <w:t xml:space="preserve">comme nécessaires </w:t>
      </w:r>
      <w:r w:rsidR="009B683B" w:rsidRPr="009F43DE">
        <w:rPr>
          <w:lang w:val="fr-CH"/>
        </w:rPr>
        <w:t>aux fins visées au paragraphe 2 d</w:t>
      </w:r>
      <w:r w:rsidR="007954FD" w:rsidRPr="009F43DE">
        <w:rPr>
          <w:lang w:val="fr-CH"/>
        </w:rPr>
        <w:t xml:space="preserve">u dudit </w:t>
      </w:r>
      <w:r w:rsidRPr="009F43DE">
        <w:rPr>
          <w:lang w:val="fr-CH"/>
        </w:rPr>
        <w:t>article</w:t>
      </w:r>
      <w:r w:rsidR="007954FD" w:rsidRPr="009F43DE">
        <w:rPr>
          <w:lang w:val="fr-CH"/>
        </w:rPr>
        <w:t>.</w:t>
      </w:r>
    </w:p>
    <w:p w:rsidR="006452AF" w:rsidRPr="009F43DE" w:rsidRDefault="006452AF" w:rsidP="006452AF">
      <w:pPr>
        <w:pStyle w:val="SingleTxtG"/>
        <w:rPr>
          <w:lang w:val="fr-CH"/>
        </w:rPr>
      </w:pPr>
      <w:r w:rsidRPr="009F43DE">
        <w:rPr>
          <w:lang w:val="fr-CH"/>
        </w:rPr>
        <w:t>10.</w:t>
      </w:r>
      <w:r w:rsidRPr="009F43DE">
        <w:rPr>
          <w:lang w:val="fr-CH"/>
        </w:rPr>
        <w:tab/>
        <w:t xml:space="preserve">La Cour suprême </w:t>
      </w:r>
      <w:r w:rsidR="009551F9" w:rsidRPr="009F43DE">
        <w:rPr>
          <w:lang w:val="fr-CH"/>
        </w:rPr>
        <w:t xml:space="preserve">est seule </w:t>
      </w:r>
      <w:r w:rsidRPr="009F43DE">
        <w:rPr>
          <w:lang w:val="fr-CH"/>
        </w:rPr>
        <w:t>compéten</w:t>
      </w:r>
      <w:r w:rsidR="009551F9" w:rsidRPr="009F43DE">
        <w:rPr>
          <w:lang w:val="fr-CH"/>
        </w:rPr>
        <w:t>te</w:t>
      </w:r>
      <w:r w:rsidRPr="009F43DE">
        <w:rPr>
          <w:lang w:val="fr-CH"/>
        </w:rPr>
        <w:t xml:space="preserve"> pour connaître des questions relatives à une violation effective ou imminente </w:t>
      </w:r>
      <w:r w:rsidR="009551F9" w:rsidRPr="009F43DE">
        <w:rPr>
          <w:lang w:val="fr-CH"/>
        </w:rPr>
        <w:t>par le pouvoir</w:t>
      </w:r>
      <w:r w:rsidRPr="009F43DE">
        <w:rPr>
          <w:lang w:val="fr-CH"/>
        </w:rPr>
        <w:t xml:space="preserve"> exécutif ou </w:t>
      </w:r>
      <w:r w:rsidR="009551F9" w:rsidRPr="009F43DE">
        <w:rPr>
          <w:lang w:val="fr-CH"/>
        </w:rPr>
        <w:t xml:space="preserve">une instance </w:t>
      </w:r>
      <w:r w:rsidRPr="009F43DE">
        <w:rPr>
          <w:lang w:val="fr-CH"/>
        </w:rPr>
        <w:t>administrati</w:t>
      </w:r>
      <w:r w:rsidR="009551F9" w:rsidRPr="009F43DE">
        <w:rPr>
          <w:lang w:val="fr-CH"/>
        </w:rPr>
        <w:t>ve</w:t>
      </w:r>
      <w:r w:rsidRPr="009F43DE">
        <w:rPr>
          <w:lang w:val="fr-CH"/>
        </w:rPr>
        <w:t xml:space="preserve"> de tout droit fondamental ou de tout droit linguistique, dé</w:t>
      </w:r>
      <w:r w:rsidR="009551F9" w:rsidRPr="009F43DE">
        <w:rPr>
          <w:lang w:val="fr-CH"/>
        </w:rPr>
        <w:t>fini</w:t>
      </w:r>
      <w:r w:rsidRPr="009F43DE">
        <w:rPr>
          <w:lang w:val="fr-CH"/>
        </w:rPr>
        <w:t xml:space="preserve"> et reconnu par le chapitre III ou le chapitre IV de la Constitution</w:t>
      </w:r>
      <w:r w:rsidR="009551F9" w:rsidRPr="009F43DE">
        <w:rPr>
          <w:lang w:val="fr-CH"/>
        </w:rPr>
        <w:t xml:space="preserve">, et </w:t>
      </w:r>
      <w:r w:rsidR="001D5E72" w:rsidRPr="009F43DE">
        <w:rPr>
          <w:lang w:val="fr-CH"/>
        </w:rPr>
        <w:t>décider de la marche à suivre</w:t>
      </w:r>
      <w:r w:rsidRPr="009F43DE">
        <w:rPr>
          <w:lang w:val="fr-CH"/>
        </w:rPr>
        <w:t>.</w:t>
      </w:r>
    </w:p>
    <w:p w:rsidR="006452AF" w:rsidRPr="009F43DE" w:rsidRDefault="006452AF" w:rsidP="006452AF">
      <w:pPr>
        <w:pStyle w:val="SingleTxtG"/>
        <w:rPr>
          <w:lang w:val="fr-CH"/>
        </w:rPr>
      </w:pPr>
      <w:r w:rsidRPr="009F43DE">
        <w:rPr>
          <w:lang w:val="fr-CH"/>
        </w:rPr>
        <w:t>11.</w:t>
      </w:r>
      <w:r w:rsidRPr="009F43DE">
        <w:rPr>
          <w:lang w:val="fr-CH"/>
        </w:rPr>
        <w:tab/>
        <w:t>Depuis l</w:t>
      </w:r>
      <w:r w:rsidR="00F8384A" w:rsidRPr="009F43DE">
        <w:rPr>
          <w:lang w:val="fr-CH"/>
        </w:rPr>
        <w:t>’</w:t>
      </w:r>
      <w:r w:rsidRPr="009F43DE">
        <w:rPr>
          <w:lang w:val="fr-CH"/>
        </w:rPr>
        <w:t>élection d</w:t>
      </w:r>
      <w:r w:rsidR="00CE1CCE" w:rsidRPr="009F43DE">
        <w:rPr>
          <w:lang w:val="fr-CH"/>
        </w:rPr>
        <w:t>u P</w:t>
      </w:r>
      <w:r w:rsidRPr="009F43DE">
        <w:rPr>
          <w:lang w:val="fr-CH"/>
        </w:rPr>
        <w:t xml:space="preserve">résident </w:t>
      </w:r>
      <w:r w:rsidR="00CE1CCE" w:rsidRPr="009F43DE">
        <w:rPr>
          <w:lang w:val="fr-CH"/>
        </w:rPr>
        <w:t>en exercice</w:t>
      </w:r>
      <w:r w:rsidRPr="009F43DE">
        <w:rPr>
          <w:lang w:val="fr-CH"/>
        </w:rPr>
        <w:t xml:space="preserve"> en janvier 2015, des mesures ont été prises pour </w:t>
      </w:r>
      <w:r w:rsidR="001D5E72" w:rsidRPr="009F43DE">
        <w:rPr>
          <w:lang w:val="fr-CH"/>
        </w:rPr>
        <w:t>consolider</w:t>
      </w:r>
      <w:r w:rsidRPr="009F43DE">
        <w:rPr>
          <w:lang w:val="fr-CH"/>
        </w:rPr>
        <w:t xml:space="preserve"> </w:t>
      </w:r>
      <w:r w:rsidR="00CE1CCE" w:rsidRPr="009F43DE">
        <w:rPr>
          <w:lang w:val="fr-CH"/>
        </w:rPr>
        <w:t xml:space="preserve">encore </w:t>
      </w:r>
      <w:r w:rsidRPr="009F43DE">
        <w:rPr>
          <w:lang w:val="fr-CH"/>
        </w:rPr>
        <w:t>les garanties constitutionnelles des droits fondamentaux</w:t>
      </w:r>
      <w:r w:rsidR="00CE1CCE" w:rsidRPr="009F43DE">
        <w:rPr>
          <w:lang w:val="fr-CH"/>
        </w:rPr>
        <w:t>, notamment l</w:t>
      </w:r>
      <w:r w:rsidR="00F8384A" w:rsidRPr="009F43DE">
        <w:rPr>
          <w:lang w:val="fr-CH"/>
        </w:rPr>
        <w:t>’</w:t>
      </w:r>
      <w:r w:rsidR="00CE1CCE" w:rsidRPr="009F43DE">
        <w:rPr>
          <w:lang w:val="fr-CH"/>
        </w:rPr>
        <w:t xml:space="preserve">adoption du </w:t>
      </w:r>
      <w:r w:rsidRPr="009F43DE">
        <w:rPr>
          <w:lang w:val="fr-CH"/>
        </w:rPr>
        <w:t>19</w:t>
      </w:r>
      <w:r w:rsidRPr="009F43DE">
        <w:rPr>
          <w:vertAlign w:val="superscript"/>
          <w:lang w:val="fr-CH"/>
        </w:rPr>
        <w:t>e</w:t>
      </w:r>
      <w:r w:rsidRPr="009F43DE">
        <w:rPr>
          <w:lang w:val="fr-CH"/>
        </w:rPr>
        <w:t xml:space="preserve"> </w:t>
      </w:r>
      <w:r w:rsidR="00D20CD1">
        <w:rPr>
          <w:lang w:val="fr-CH"/>
        </w:rPr>
        <w:t>amendement</w:t>
      </w:r>
      <w:r w:rsidRPr="009F43DE">
        <w:rPr>
          <w:lang w:val="fr-CH"/>
        </w:rPr>
        <w:t xml:space="preserve"> de la Constitution, qui renforce les institutions indépendantes, y compris les commissions sur les élections, les </w:t>
      </w:r>
      <w:r w:rsidR="00810271" w:rsidRPr="009F43DE">
        <w:rPr>
          <w:lang w:val="fr-CH"/>
        </w:rPr>
        <w:t xml:space="preserve">droits </w:t>
      </w:r>
      <w:r w:rsidRPr="009F43DE">
        <w:rPr>
          <w:lang w:val="fr-CH"/>
        </w:rPr>
        <w:t>de l</w:t>
      </w:r>
      <w:r w:rsidR="00F8384A" w:rsidRPr="009F43DE">
        <w:rPr>
          <w:lang w:val="fr-CH"/>
        </w:rPr>
        <w:t>’</w:t>
      </w:r>
      <w:r w:rsidRPr="009F43DE">
        <w:rPr>
          <w:lang w:val="fr-CH"/>
        </w:rPr>
        <w:t xml:space="preserve">homme, les </w:t>
      </w:r>
      <w:r w:rsidR="00810271" w:rsidRPr="009F43DE">
        <w:rPr>
          <w:lang w:val="fr-CH"/>
        </w:rPr>
        <w:t>s</w:t>
      </w:r>
      <w:r w:rsidRPr="009F43DE">
        <w:rPr>
          <w:lang w:val="fr-CH"/>
        </w:rPr>
        <w:t xml:space="preserve">ervices judiciaires et la </w:t>
      </w:r>
      <w:r w:rsidR="00810271" w:rsidRPr="009F43DE">
        <w:rPr>
          <w:lang w:val="fr-CH"/>
        </w:rPr>
        <w:t>p</w:t>
      </w:r>
      <w:r w:rsidRPr="009F43DE">
        <w:rPr>
          <w:lang w:val="fr-CH"/>
        </w:rPr>
        <w:t>olice.</w:t>
      </w:r>
    </w:p>
    <w:p w:rsidR="006452AF" w:rsidRPr="009F43DE" w:rsidRDefault="006452AF" w:rsidP="006452AF">
      <w:pPr>
        <w:pStyle w:val="SingleTxtG"/>
        <w:rPr>
          <w:lang w:val="fr-CH"/>
        </w:rPr>
      </w:pPr>
      <w:r w:rsidRPr="009F43DE">
        <w:rPr>
          <w:lang w:val="fr-CH"/>
        </w:rPr>
        <w:t>12.</w:t>
      </w:r>
      <w:r w:rsidRPr="009F43DE">
        <w:rPr>
          <w:lang w:val="fr-CH"/>
        </w:rPr>
        <w:tab/>
        <w:t>L</w:t>
      </w:r>
      <w:r w:rsidR="00810271" w:rsidRPr="009F43DE">
        <w:rPr>
          <w:lang w:val="fr-CH"/>
        </w:rPr>
        <w:t>e paragraphe 4 de l</w:t>
      </w:r>
      <w:r w:rsidR="00F8384A" w:rsidRPr="009F43DE">
        <w:rPr>
          <w:lang w:val="fr-CH"/>
        </w:rPr>
        <w:t>’</w:t>
      </w:r>
      <w:r w:rsidR="00810271" w:rsidRPr="009F43DE">
        <w:rPr>
          <w:lang w:val="fr-CH"/>
        </w:rPr>
        <w:t>a</w:t>
      </w:r>
      <w:r w:rsidRPr="009F43DE">
        <w:rPr>
          <w:lang w:val="fr-CH"/>
        </w:rPr>
        <w:t>rticle</w:t>
      </w:r>
      <w:r w:rsidR="00810271" w:rsidRPr="009F43DE">
        <w:rPr>
          <w:lang w:val="fr-CH"/>
        </w:rPr>
        <w:t> </w:t>
      </w:r>
      <w:r w:rsidRPr="009F43DE">
        <w:rPr>
          <w:lang w:val="fr-CH"/>
        </w:rPr>
        <w:t>41 du 19</w:t>
      </w:r>
      <w:r w:rsidRPr="009F43DE">
        <w:rPr>
          <w:vertAlign w:val="superscript"/>
          <w:lang w:val="fr-CH"/>
        </w:rPr>
        <w:t>e</w:t>
      </w:r>
      <w:r w:rsidRPr="009F43DE">
        <w:rPr>
          <w:lang w:val="fr-CH"/>
        </w:rPr>
        <w:t xml:space="preserve"> </w:t>
      </w:r>
      <w:r w:rsidR="00D20CD1">
        <w:rPr>
          <w:lang w:val="fr-CH"/>
        </w:rPr>
        <w:t>amendement</w:t>
      </w:r>
      <w:r w:rsidRPr="009F43DE">
        <w:rPr>
          <w:lang w:val="fr-CH"/>
        </w:rPr>
        <w:t xml:space="preserve"> de la Constitution prévoit expressément que le Premier </w:t>
      </w:r>
      <w:r w:rsidR="00810271" w:rsidRPr="009F43DE">
        <w:rPr>
          <w:lang w:val="fr-CH"/>
        </w:rPr>
        <w:t>M</w:t>
      </w:r>
      <w:r w:rsidRPr="009F43DE">
        <w:rPr>
          <w:lang w:val="fr-CH"/>
        </w:rPr>
        <w:t xml:space="preserve">inistre et le </w:t>
      </w:r>
      <w:r w:rsidR="00810271" w:rsidRPr="009F43DE">
        <w:rPr>
          <w:lang w:val="fr-CH"/>
        </w:rPr>
        <w:t>C</w:t>
      </w:r>
      <w:r w:rsidRPr="009F43DE">
        <w:rPr>
          <w:lang w:val="fr-CH"/>
        </w:rPr>
        <w:t>hef de l</w:t>
      </w:r>
      <w:r w:rsidR="00F8384A" w:rsidRPr="009F43DE">
        <w:rPr>
          <w:lang w:val="fr-CH"/>
        </w:rPr>
        <w:t>’</w:t>
      </w:r>
      <w:r w:rsidRPr="009F43DE">
        <w:rPr>
          <w:lang w:val="fr-CH"/>
        </w:rPr>
        <w:t>opposition consulte</w:t>
      </w:r>
      <w:r w:rsidR="00810271" w:rsidRPr="009F43DE">
        <w:rPr>
          <w:lang w:val="fr-CH"/>
        </w:rPr>
        <w:t>nt</w:t>
      </w:r>
      <w:r w:rsidRPr="009F43DE">
        <w:rPr>
          <w:lang w:val="fr-CH"/>
        </w:rPr>
        <w:t xml:space="preserve"> les dirigeants des partis politiques et des groupes indépendants représentés au Parlement </w:t>
      </w:r>
      <w:r w:rsidR="00F8384A" w:rsidRPr="009F43DE">
        <w:rPr>
          <w:lang w:val="fr-CH"/>
        </w:rPr>
        <w:t>«</w:t>
      </w:r>
      <w:r w:rsidRPr="009F43DE">
        <w:rPr>
          <w:lang w:val="fr-CH"/>
        </w:rPr>
        <w:t xml:space="preserve">afin </w:t>
      </w:r>
      <w:r w:rsidR="00937B77" w:rsidRPr="009F43DE">
        <w:rPr>
          <w:lang w:val="fr-CH"/>
        </w:rPr>
        <w:t>d</w:t>
      </w:r>
      <w:r w:rsidR="00F8384A" w:rsidRPr="009F43DE">
        <w:rPr>
          <w:lang w:val="fr-CH"/>
        </w:rPr>
        <w:t>’</w:t>
      </w:r>
      <w:r w:rsidR="00937B77" w:rsidRPr="009F43DE">
        <w:rPr>
          <w:lang w:val="fr-CH"/>
        </w:rPr>
        <w:t>assurer</w:t>
      </w:r>
      <w:r w:rsidR="00810271" w:rsidRPr="009F43DE">
        <w:rPr>
          <w:lang w:val="fr-CH"/>
        </w:rPr>
        <w:t xml:space="preserve"> que </w:t>
      </w:r>
      <w:r w:rsidRPr="009F43DE">
        <w:rPr>
          <w:lang w:val="fr-CH"/>
        </w:rPr>
        <w:t xml:space="preserve">le Conseil constitutionnel reflète le caractère pluraliste de la société sri-lankaise, y compris </w:t>
      </w:r>
      <w:r w:rsidR="001D5E72" w:rsidRPr="009F43DE">
        <w:rPr>
          <w:lang w:val="fr-CH"/>
        </w:rPr>
        <w:t>s</w:t>
      </w:r>
      <w:r w:rsidRPr="009F43DE">
        <w:rPr>
          <w:lang w:val="fr-CH"/>
        </w:rPr>
        <w:t>a diversité professionnelle et sociale</w:t>
      </w:r>
      <w:r w:rsidR="00F8384A" w:rsidRPr="009F43DE">
        <w:rPr>
          <w:lang w:val="fr-CH"/>
        </w:rPr>
        <w:t>»</w:t>
      </w:r>
      <w:r w:rsidRPr="009F43DE">
        <w:rPr>
          <w:lang w:val="fr-CH"/>
        </w:rPr>
        <w:t>. Le Conseil constitutionnel est composé de 10 membres, comprenant, entre autres, 3 représentants de la société civile.</w:t>
      </w:r>
    </w:p>
    <w:p w:rsidR="006452AF" w:rsidRPr="009F43DE" w:rsidRDefault="006452AF" w:rsidP="006452AF">
      <w:pPr>
        <w:pStyle w:val="SingleTxtG"/>
        <w:rPr>
          <w:lang w:val="fr-CH"/>
        </w:rPr>
      </w:pPr>
      <w:r w:rsidRPr="009F43DE">
        <w:rPr>
          <w:lang w:val="fr-CH"/>
        </w:rPr>
        <w:t>13.</w:t>
      </w:r>
      <w:r w:rsidRPr="009F43DE">
        <w:rPr>
          <w:lang w:val="fr-CH"/>
        </w:rPr>
        <w:tab/>
        <w:t>Le</w:t>
      </w:r>
      <w:r w:rsidR="00810271" w:rsidRPr="009F43DE">
        <w:rPr>
          <w:lang w:val="fr-CH"/>
        </w:rPr>
        <w:t xml:space="preserve">s autorités continuent de mettre en </w:t>
      </w:r>
      <w:r w:rsidR="007574C7" w:rsidRPr="009F43DE">
        <w:rPr>
          <w:lang w:val="fr-CH"/>
        </w:rPr>
        <w:t>œuvre</w:t>
      </w:r>
      <w:r w:rsidR="00810271" w:rsidRPr="009F43DE">
        <w:rPr>
          <w:lang w:val="fr-CH"/>
        </w:rPr>
        <w:t xml:space="preserve"> l</w:t>
      </w:r>
      <w:r w:rsidRPr="009F43DE">
        <w:rPr>
          <w:lang w:val="fr-CH"/>
        </w:rPr>
        <w:t xml:space="preserve">es recommandations de la Commission des enseignements et de la réconciliation </w:t>
      </w:r>
      <w:r w:rsidR="00810271" w:rsidRPr="009F43DE">
        <w:rPr>
          <w:lang w:val="fr-CH"/>
        </w:rPr>
        <w:t>par le biais du</w:t>
      </w:r>
      <w:r w:rsidRPr="009F43DE">
        <w:rPr>
          <w:lang w:val="fr-CH"/>
        </w:rPr>
        <w:t xml:space="preserve"> Plan </w:t>
      </w:r>
      <w:r w:rsidR="00810271" w:rsidRPr="009F43DE">
        <w:rPr>
          <w:lang w:val="fr-CH"/>
        </w:rPr>
        <w:t xml:space="preserve">national </w:t>
      </w:r>
      <w:r w:rsidRPr="009F43DE">
        <w:rPr>
          <w:lang w:val="fr-CH"/>
        </w:rPr>
        <w:t>d</w:t>
      </w:r>
      <w:r w:rsidR="00F8384A" w:rsidRPr="009F43DE">
        <w:rPr>
          <w:lang w:val="fr-CH"/>
        </w:rPr>
        <w:t>’</w:t>
      </w:r>
      <w:r w:rsidRPr="009F43DE">
        <w:rPr>
          <w:lang w:val="fr-CH"/>
        </w:rPr>
        <w:t>action</w:t>
      </w:r>
      <w:r w:rsidR="00810271" w:rsidRPr="009F43DE">
        <w:rPr>
          <w:lang w:val="fr-CH"/>
        </w:rPr>
        <w:t>.</w:t>
      </w:r>
      <w:r w:rsidRPr="009F43DE">
        <w:rPr>
          <w:lang w:val="fr-CH"/>
        </w:rPr>
        <w:t xml:space="preserve"> En avril 2015, sur les 144 recommandations de la </w:t>
      </w:r>
      <w:r w:rsidR="00C76527" w:rsidRPr="009F43DE">
        <w:rPr>
          <w:lang w:val="fr-CH"/>
        </w:rPr>
        <w:t>Commission</w:t>
      </w:r>
      <w:r w:rsidR="00937B77" w:rsidRPr="009F43DE">
        <w:rPr>
          <w:lang w:val="fr-CH"/>
        </w:rPr>
        <w:t xml:space="preserve"> visées par les </w:t>
      </w:r>
      <w:r w:rsidR="00C76527" w:rsidRPr="009F43DE">
        <w:rPr>
          <w:lang w:val="fr-CH"/>
        </w:rPr>
        <w:t>autorités</w:t>
      </w:r>
      <w:r w:rsidR="00937B77" w:rsidRPr="009F43DE">
        <w:rPr>
          <w:lang w:val="fr-CH"/>
        </w:rPr>
        <w:t>,</w:t>
      </w:r>
      <w:r w:rsidRPr="009F43DE">
        <w:rPr>
          <w:lang w:val="fr-CH"/>
        </w:rPr>
        <w:t xml:space="preserve"> 45 </w:t>
      </w:r>
      <w:r w:rsidR="00C76527" w:rsidRPr="009F43DE">
        <w:rPr>
          <w:lang w:val="fr-CH"/>
        </w:rPr>
        <w:t>avaient</w:t>
      </w:r>
      <w:r w:rsidRPr="009F43DE">
        <w:rPr>
          <w:lang w:val="fr-CH"/>
        </w:rPr>
        <w:t xml:space="preserve"> atteint leurs objectifs</w:t>
      </w:r>
      <w:r w:rsidR="00C76527" w:rsidRPr="009F43DE">
        <w:rPr>
          <w:lang w:val="fr-CH"/>
        </w:rPr>
        <w:t>,</w:t>
      </w:r>
      <w:r w:rsidRPr="009F43DE">
        <w:rPr>
          <w:lang w:val="fr-CH"/>
        </w:rPr>
        <w:t xml:space="preserve"> 89 </w:t>
      </w:r>
      <w:r w:rsidR="00C76527" w:rsidRPr="009F43DE">
        <w:rPr>
          <w:lang w:val="fr-CH"/>
        </w:rPr>
        <w:t xml:space="preserve">étaient en </w:t>
      </w:r>
      <w:r w:rsidR="00260D34" w:rsidRPr="009F43DE">
        <w:rPr>
          <w:lang w:val="fr-CH"/>
        </w:rPr>
        <w:t xml:space="preserve">bonne </w:t>
      </w:r>
      <w:r w:rsidR="00C76527" w:rsidRPr="009F43DE">
        <w:rPr>
          <w:lang w:val="fr-CH"/>
        </w:rPr>
        <w:t>voie, même avec des délais d</w:t>
      </w:r>
      <w:r w:rsidR="00F8384A" w:rsidRPr="009F43DE">
        <w:rPr>
          <w:lang w:val="fr-CH"/>
        </w:rPr>
        <w:t>’</w:t>
      </w:r>
      <w:r w:rsidR="00C76527" w:rsidRPr="009F43DE">
        <w:rPr>
          <w:lang w:val="fr-CH"/>
        </w:rPr>
        <w:t>a</w:t>
      </w:r>
      <w:r w:rsidR="00260D34" w:rsidRPr="009F43DE">
        <w:rPr>
          <w:lang w:val="fr-CH"/>
        </w:rPr>
        <w:t>pplication plus long</w:t>
      </w:r>
      <w:r w:rsidR="00C76527" w:rsidRPr="009F43DE">
        <w:rPr>
          <w:lang w:val="fr-CH"/>
        </w:rPr>
        <w:t>, et</w:t>
      </w:r>
      <w:r w:rsidRPr="009F43DE">
        <w:rPr>
          <w:lang w:val="fr-CH"/>
        </w:rPr>
        <w:t xml:space="preserve"> </w:t>
      </w:r>
      <w:r w:rsidR="00260D34" w:rsidRPr="009F43DE">
        <w:rPr>
          <w:lang w:val="fr-CH"/>
        </w:rPr>
        <w:t>10 faisaient l</w:t>
      </w:r>
      <w:r w:rsidR="00F8384A" w:rsidRPr="009F43DE">
        <w:rPr>
          <w:lang w:val="fr-CH"/>
        </w:rPr>
        <w:t>’</w:t>
      </w:r>
      <w:r w:rsidR="00260D34" w:rsidRPr="009F43DE">
        <w:rPr>
          <w:lang w:val="fr-CH"/>
        </w:rPr>
        <w:t>objet de</w:t>
      </w:r>
      <w:r w:rsidRPr="009F43DE">
        <w:rPr>
          <w:lang w:val="fr-CH"/>
        </w:rPr>
        <w:t xml:space="preserve"> mesures préliminaires.</w:t>
      </w:r>
    </w:p>
    <w:p w:rsidR="006452AF" w:rsidRPr="009F43DE" w:rsidRDefault="006452AF" w:rsidP="006452AF">
      <w:pPr>
        <w:pStyle w:val="SingleTxtG"/>
        <w:rPr>
          <w:lang w:val="fr-CH"/>
        </w:rPr>
      </w:pPr>
      <w:r w:rsidRPr="009F43DE">
        <w:rPr>
          <w:lang w:val="fr-CH"/>
        </w:rPr>
        <w:t>14.</w:t>
      </w:r>
      <w:r w:rsidRPr="009F43DE">
        <w:rPr>
          <w:lang w:val="fr-CH"/>
        </w:rPr>
        <w:tab/>
      </w:r>
      <w:r w:rsidRPr="009F43DE">
        <w:rPr>
          <w:lang w:val="fr-CH" w:eastAsia="fr-FR"/>
        </w:rPr>
        <w:t>Voir le paragraphe 160 sur l</w:t>
      </w:r>
      <w:r w:rsidR="00F8384A" w:rsidRPr="009F43DE">
        <w:rPr>
          <w:lang w:val="fr-CH" w:eastAsia="fr-FR"/>
        </w:rPr>
        <w:t>’</w:t>
      </w:r>
      <w:r w:rsidRPr="009F43DE">
        <w:rPr>
          <w:lang w:val="fr-CH" w:eastAsia="fr-FR"/>
        </w:rPr>
        <w:t>éducation aux droits de l</w:t>
      </w:r>
      <w:r w:rsidR="00F8384A" w:rsidRPr="009F43DE">
        <w:rPr>
          <w:lang w:val="fr-CH" w:eastAsia="fr-FR"/>
        </w:rPr>
        <w:t>’</w:t>
      </w:r>
      <w:r w:rsidRPr="009F43DE">
        <w:rPr>
          <w:lang w:val="fr-CH" w:eastAsia="fr-FR"/>
        </w:rPr>
        <w:t>homme.</w:t>
      </w:r>
    </w:p>
    <w:p w:rsidR="006452AF" w:rsidRPr="009F43DE" w:rsidRDefault="006452AF" w:rsidP="006452AF">
      <w:pPr>
        <w:pStyle w:val="H23G"/>
        <w:rPr>
          <w:lang w:val="fr-CH"/>
        </w:rPr>
      </w:pPr>
      <w:r w:rsidRPr="009F43DE">
        <w:rPr>
          <w:lang w:val="fr-CH"/>
        </w:rPr>
        <w:tab/>
      </w:r>
      <w:r w:rsidRPr="009F43DE">
        <w:rPr>
          <w:lang w:val="fr-CH"/>
        </w:rPr>
        <w:tab/>
        <w:t xml:space="preserve">Abrogation des </w:t>
      </w:r>
      <w:r w:rsidR="00260D34" w:rsidRPr="009F43DE">
        <w:rPr>
          <w:lang w:val="fr-CH"/>
        </w:rPr>
        <w:t>dispositions régissant l</w:t>
      </w:r>
      <w:r w:rsidR="00F8384A" w:rsidRPr="009F43DE">
        <w:rPr>
          <w:lang w:val="fr-CH"/>
        </w:rPr>
        <w:t>’</w:t>
      </w:r>
      <w:r w:rsidR="00260D34" w:rsidRPr="009F43DE">
        <w:rPr>
          <w:lang w:val="fr-CH"/>
        </w:rPr>
        <w:t>état d</w:t>
      </w:r>
      <w:r w:rsidR="00F8384A" w:rsidRPr="009F43DE">
        <w:rPr>
          <w:lang w:val="fr-CH"/>
        </w:rPr>
        <w:t>’</w:t>
      </w:r>
      <w:r w:rsidRPr="009F43DE">
        <w:rPr>
          <w:lang w:val="fr-CH"/>
        </w:rPr>
        <w:t xml:space="preserve">urgence </w:t>
      </w:r>
      <w:r w:rsidR="00CF1462">
        <w:rPr>
          <w:lang w:val="fr-CH"/>
        </w:rPr>
        <w:t>(</w:t>
      </w:r>
      <w:r w:rsidR="00260D34" w:rsidRPr="009F43DE">
        <w:rPr>
          <w:lang w:val="fr-CH"/>
        </w:rPr>
        <w:t>p</w:t>
      </w:r>
      <w:r w:rsidRPr="009F43DE">
        <w:rPr>
          <w:lang w:val="fr-CH"/>
        </w:rPr>
        <w:t>ar</w:t>
      </w:r>
      <w:r w:rsidR="00CF1462">
        <w:rPr>
          <w:lang w:val="fr-CH"/>
        </w:rPr>
        <w:t>.</w:t>
      </w:r>
      <w:r w:rsidRPr="009F43DE">
        <w:rPr>
          <w:lang w:val="fr-CH"/>
        </w:rPr>
        <w:t xml:space="preserve"> 7</w:t>
      </w:r>
      <w:r w:rsidR="00CF1462">
        <w:rPr>
          <w:lang w:val="fr-CH"/>
        </w:rPr>
        <w:t>)</w:t>
      </w:r>
    </w:p>
    <w:p w:rsidR="006452AF" w:rsidRPr="009F43DE" w:rsidRDefault="006452AF" w:rsidP="006452AF">
      <w:pPr>
        <w:pStyle w:val="SingleTxtG"/>
        <w:rPr>
          <w:lang w:val="fr-CH"/>
        </w:rPr>
      </w:pPr>
      <w:r w:rsidRPr="009F43DE">
        <w:rPr>
          <w:lang w:val="fr-CH"/>
        </w:rPr>
        <w:t>15.</w:t>
      </w:r>
      <w:r w:rsidRPr="009F43DE">
        <w:rPr>
          <w:lang w:val="fr-CH"/>
        </w:rPr>
        <w:tab/>
        <w:t>Le</w:t>
      </w:r>
      <w:r w:rsidR="00260D34" w:rsidRPr="009F43DE">
        <w:rPr>
          <w:lang w:val="fr-CH"/>
        </w:rPr>
        <w:t>s</w:t>
      </w:r>
      <w:r w:rsidRPr="009F43DE">
        <w:rPr>
          <w:lang w:val="fr-CH"/>
        </w:rPr>
        <w:t xml:space="preserve"> </w:t>
      </w:r>
      <w:r w:rsidR="00260D34" w:rsidRPr="009F43DE">
        <w:rPr>
          <w:lang w:val="fr-CH"/>
        </w:rPr>
        <w:t>dispositions régissant l</w:t>
      </w:r>
      <w:r w:rsidR="00F8384A" w:rsidRPr="009F43DE">
        <w:rPr>
          <w:lang w:val="fr-CH"/>
        </w:rPr>
        <w:t>’</w:t>
      </w:r>
      <w:r w:rsidR="00260D34" w:rsidRPr="009F43DE">
        <w:rPr>
          <w:lang w:val="fr-CH"/>
        </w:rPr>
        <w:t>état d</w:t>
      </w:r>
      <w:r w:rsidR="00F8384A" w:rsidRPr="009F43DE">
        <w:rPr>
          <w:lang w:val="fr-CH"/>
        </w:rPr>
        <w:t>’</w:t>
      </w:r>
      <w:r w:rsidR="00260D34" w:rsidRPr="009F43DE">
        <w:rPr>
          <w:lang w:val="fr-CH"/>
        </w:rPr>
        <w:t xml:space="preserve">urgence sont venues </w:t>
      </w:r>
      <w:r w:rsidRPr="009F43DE">
        <w:rPr>
          <w:lang w:val="fr-CH"/>
        </w:rPr>
        <w:t>à expir</w:t>
      </w:r>
      <w:r w:rsidR="00260D34" w:rsidRPr="009F43DE">
        <w:rPr>
          <w:lang w:val="fr-CH"/>
        </w:rPr>
        <w:t>ation</w:t>
      </w:r>
      <w:r w:rsidRPr="009F43DE">
        <w:rPr>
          <w:lang w:val="fr-CH"/>
        </w:rPr>
        <w:t xml:space="preserve"> en août 2011.</w:t>
      </w:r>
    </w:p>
    <w:p w:rsidR="006452AF" w:rsidRPr="009F43DE" w:rsidRDefault="006452AF" w:rsidP="006452AF">
      <w:pPr>
        <w:pStyle w:val="H23G"/>
        <w:rPr>
          <w:lang w:val="fr-CH"/>
        </w:rPr>
      </w:pPr>
      <w:r w:rsidRPr="009F43DE">
        <w:rPr>
          <w:lang w:val="fr-CH"/>
        </w:rPr>
        <w:tab/>
      </w:r>
      <w:r w:rsidRPr="009F43DE">
        <w:rPr>
          <w:lang w:val="fr-CH"/>
        </w:rPr>
        <w:tab/>
      </w:r>
      <w:r w:rsidR="00260D34" w:rsidRPr="009F43DE">
        <w:rPr>
          <w:lang w:val="fr-CH"/>
        </w:rPr>
        <w:t>I</w:t>
      </w:r>
      <w:r w:rsidRPr="009F43DE">
        <w:rPr>
          <w:lang w:val="fr-CH"/>
        </w:rPr>
        <w:t>ndépendance de la Commission nationale des droits de l</w:t>
      </w:r>
      <w:r w:rsidR="00F8384A" w:rsidRPr="009F43DE">
        <w:rPr>
          <w:lang w:val="fr-CH"/>
        </w:rPr>
        <w:t>’</w:t>
      </w:r>
      <w:r w:rsidRPr="009F43DE">
        <w:rPr>
          <w:lang w:val="fr-CH"/>
        </w:rPr>
        <w:t xml:space="preserve">homme </w:t>
      </w:r>
      <w:r w:rsidR="00CF1462">
        <w:rPr>
          <w:lang w:val="fr-CH"/>
        </w:rPr>
        <w:t>(</w:t>
      </w:r>
      <w:r w:rsidR="00260D34" w:rsidRPr="009F43DE">
        <w:rPr>
          <w:lang w:val="fr-CH"/>
        </w:rPr>
        <w:t>p</w:t>
      </w:r>
      <w:r w:rsidRPr="009F43DE">
        <w:rPr>
          <w:lang w:val="fr-CH"/>
        </w:rPr>
        <w:t>ar</w:t>
      </w:r>
      <w:r w:rsidR="00CF1462">
        <w:rPr>
          <w:lang w:val="fr-CH"/>
        </w:rPr>
        <w:t>.</w:t>
      </w:r>
      <w:r w:rsidRPr="009F43DE">
        <w:rPr>
          <w:lang w:val="fr-CH"/>
        </w:rPr>
        <w:t xml:space="preserve"> 8</w:t>
      </w:r>
      <w:r w:rsidR="00CF1462">
        <w:rPr>
          <w:lang w:val="fr-CH"/>
        </w:rPr>
        <w:t>)</w:t>
      </w:r>
    </w:p>
    <w:p w:rsidR="006452AF" w:rsidRPr="009F43DE" w:rsidRDefault="006452AF" w:rsidP="006452AF">
      <w:pPr>
        <w:pStyle w:val="SingleTxtG"/>
        <w:rPr>
          <w:lang w:val="fr-CH"/>
        </w:rPr>
      </w:pPr>
      <w:r w:rsidRPr="009F43DE">
        <w:rPr>
          <w:lang w:val="fr-CH"/>
        </w:rPr>
        <w:t>16.</w:t>
      </w:r>
      <w:r w:rsidRPr="009F43DE">
        <w:rPr>
          <w:lang w:val="fr-CH"/>
        </w:rPr>
        <w:tab/>
      </w:r>
      <w:r w:rsidR="003B1797" w:rsidRPr="009F43DE">
        <w:rPr>
          <w:lang w:val="fr-CH"/>
        </w:rPr>
        <w:t xml:space="preserve">En vertu du </w:t>
      </w:r>
      <w:r w:rsidRPr="009F43DE">
        <w:rPr>
          <w:lang w:val="fr-CH"/>
        </w:rPr>
        <w:t>19</w:t>
      </w:r>
      <w:r w:rsidRPr="009F43DE">
        <w:rPr>
          <w:vertAlign w:val="superscript"/>
          <w:lang w:val="fr-CH"/>
        </w:rPr>
        <w:t>e</w:t>
      </w:r>
      <w:r w:rsidR="00CF1462">
        <w:rPr>
          <w:lang w:val="fr-CH"/>
        </w:rPr>
        <w:t> a</w:t>
      </w:r>
      <w:r w:rsidRPr="009F43DE">
        <w:rPr>
          <w:lang w:val="fr-CH"/>
        </w:rPr>
        <w:t>mendement de la Constitution</w:t>
      </w:r>
      <w:r w:rsidR="003B1797" w:rsidRPr="009F43DE">
        <w:rPr>
          <w:lang w:val="fr-CH"/>
        </w:rPr>
        <w:t>,</w:t>
      </w:r>
      <w:r w:rsidRPr="009F43DE">
        <w:rPr>
          <w:lang w:val="fr-CH"/>
        </w:rPr>
        <w:t xml:space="preserve"> plusieurs commissions indépendantes</w:t>
      </w:r>
      <w:r w:rsidR="003B1797" w:rsidRPr="009F43DE">
        <w:rPr>
          <w:lang w:val="fr-CH"/>
        </w:rPr>
        <w:t xml:space="preserve"> sont renforcées</w:t>
      </w:r>
      <w:r w:rsidRPr="009F43DE">
        <w:rPr>
          <w:lang w:val="fr-CH"/>
        </w:rPr>
        <w:t xml:space="preserve">, </w:t>
      </w:r>
      <w:r w:rsidR="003B1797" w:rsidRPr="009F43DE">
        <w:rPr>
          <w:lang w:val="fr-CH"/>
        </w:rPr>
        <w:t>dont</w:t>
      </w:r>
      <w:r w:rsidRPr="009F43DE">
        <w:rPr>
          <w:lang w:val="fr-CH"/>
        </w:rPr>
        <w:t xml:space="preserve"> la Commission sri-lankaise des droits de l</w:t>
      </w:r>
      <w:r w:rsidR="00F8384A" w:rsidRPr="009F43DE">
        <w:rPr>
          <w:lang w:val="fr-CH"/>
        </w:rPr>
        <w:t>’</w:t>
      </w:r>
      <w:r w:rsidRPr="009F43DE">
        <w:rPr>
          <w:lang w:val="fr-CH"/>
        </w:rPr>
        <w:t>homme</w:t>
      </w:r>
      <w:r w:rsidR="003B1797" w:rsidRPr="009F43DE">
        <w:rPr>
          <w:lang w:val="fr-CH"/>
        </w:rPr>
        <w:t>. Les</w:t>
      </w:r>
      <w:r w:rsidRPr="009F43DE">
        <w:rPr>
          <w:lang w:val="fr-CH"/>
        </w:rPr>
        <w:t xml:space="preserve"> membres </w:t>
      </w:r>
      <w:r w:rsidR="003B1797" w:rsidRPr="009F43DE">
        <w:rPr>
          <w:lang w:val="fr-CH"/>
        </w:rPr>
        <w:t>de cette</w:t>
      </w:r>
      <w:r w:rsidRPr="009F43DE">
        <w:rPr>
          <w:lang w:val="fr-CH"/>
        </w:rPr>
        <w:t xml:space="preserve"> </w:t>
      </w:r>
      <w:r w:rsidR="00CF1462">
        <w:rPr>
          <w:lang w:val="fr-CH"/>
        </w:rPr>
        <w:t>c</w:t>
      </w:r>
      <w:r w:rsidR="00CF1462" w:rsidRPr="009F43DE">
        <w:rPr>
          <w:lang w:val="fr-CH"/>
        </w:rPr>
        <w:t xml:space="preserve">ommission </w:t>
      </w:r>
      <w:r w:rsidR="003B1797" w:rsidRPr="009F43DE">
        <w:rPr>
          <w:lang w:val="fr-CH"/>
        </w:rPr>
        <w:t xml:space="preserve">sont désormais nommés par un </w:t>
      </w:r>
      <w:r w:rsidR="00F8384A" w:rsidRPr="009F43DE">
        <w:rPr>
          <w:lang w:val="fr-CH"/>
        </w:rPr>
        <w:t>«</w:t>
      </w:r>
      <w:r w:rsidR="003B1797" w:rsidRPr="009F43DE">
        <w:rPr>
          <w:lang w:val="fr-CH"/>
        </w:rPr>
        <w:t>Conseil constitutionnel</w:t>
      </w:r>
      <w:r w:rsidR="00F8384A" w:rsidRPr="009F43DE">
        <w:rPr>
          <w:lang w:val="fr-CH"/>
        </w:rPr>
        <w:t>»</w:t>
      </w:r>
      <w:r w:rsidR="003B1797" w:rsidRPr="009F43DE">
        <w:rPr>
          <w:lang w:val="fr-CH"/>
        </w:rPr>
        <w:t xml:space="preserve"> pour un mandat fixe, auquel il ne peut être mis fin que par des </w:t>
      </w:r>
      <w:r w:rsidRPr="009F43DE">
        <w:rPr>
          <w:lang w:val="fr-CH"/>
        </w:rPr>
        <w:t xml:space="preserve">dispositions spécifiques </w:t>
      </w:r>
      <w:r w:rsidR="003B1797" w:rsidRPr="009F43DE">
        <w:rPr>
          <w:lang w:val="fr-CH"/>
        </w:rPr>
        <w:t xml:space="preserve">prévues </w:t>
      </w:r>
      <w:r w:rsidRPr="009F43DE">
        <w:rPr>
          <w:lang w:val="fr-CH"/>
        </w:rPr>
        <w:t>dans la Constitution ou dans la loi. L</w:t>
      </w:r>
      <w:r w:rsidR="00F8384A" w:rsidRPr="009F43DE">
        <w:rPr>
          <w:lang w:val="fr-CH"/>
        </w:rPr>
        <w:t>’</w:t>
      </w:r>
      <w:r w:rsidR="003B1797" w:rsidRPr="009F43DE">
        <w:rPr>
          <w:lang w:val="fr-CH"/>
        </w:rPr>
        <w:t xml:space="preserve">objectif est de </w:t>
      </w:r>
      <w:r w:rsidRPr="009F43DE">
        <w:rPr>
          <w:lang w:val="fr-CH"/>
        </w:rPr>
        <w:t>permettr</w:t>
      </w:r>
      <w:r w:rsidR="003B1797" w:rsidRPr="009F43DE">
        <w:rPr>
          <w:lang w:val="fr-CH"/>
        </w:rPr>
        <w:t>e</w:t>
      </w:r>
      <w:r w:rsidRPr="009F43DE">
        <w:rPr>
          <w:lang w:val="fr-CH"/>
        </w:rPr>
        <w:t xml:space="preserve"> le fonctionnement indépendant et autonome de la Commission</w:t>
      </w:r>
      <w:r w:rsidR="001E2D73" w:rsidRPr="009F43DE">
        <w:rPr>
          <w:lang w:val="fr-CH"/>
        </w:rPr>
        <w:t>,</w:t>
      </w:r>
      <w:r w:rsidRPr="009F43DE">
        <w:rPr>
          <w:lang w:val="fr-CH"/>
        </w:rPr>
        <w:t xml:space="preserve"> conformément aux Principes de Paris.</w:t>
      </w:r>
    </w:p>
    <w:p w:rsidR="006452AF" w:rsidRPr="009F43DE" w:rsidRDefault="006452AF" w:rsidP="006452AF">
      <w:pPr>
        <w:pStyle w:val="H23G"/>
        <w:rPr>
          <w:lang w:val="fr-CH"/>
        </w:rPr>
      </w:pPr>
      <w:r w:rsidRPr="009F43DE">
        <w:rPr>
          <w:lang w:val="fr-CH"/>
        </w:rPr>
        <w:tab/>
      </w:r>
      <w:r w:rsidRPr="009F43DE">
        <w:rPr>
          <w:lang w:val="fr-CH"/>
        </w:rPr>
        <w:tab/>
        <w:t xml:space="preserve">Indépendance et intégrité </w:t>
      </w:r>
      <w:r w:rsidR="00C77E1E" w:rsidRPr="009F43DE">
        <w:rPr>
          <w:lang w:val="fr-CH"/>
        </w:rPr>
        <w:t xml:space="preserve">du pouvoir judiciaire et </w:t>
      </w:r>
      <w:r w:rsidRPr="009F43DE">
        <w:rPr>
          <w:lang w:val="fr-CH"/>
        </w:rPr>
        <w:t xml:space="preserve">des organes de </w:t>
      </w:r>
      <w:r w:rsidR="00C77E1E" w:rsidRPr="009F43DE">
        <w:rPr>
          <w:lang w:val="fr-CH"/>
        </w:rPr>
        <w:t>surveillance</w:t>
      </w:r>
      <w:r w:rsidRPr="009F43DE">
        <w:rPr>
          <w:lang w:val="fr-CH"/>
        </w:rPr>
        <w:t xml:space="preserve"> </w:t>
      </w:r>
      <w:r w:rsidR="001D6B83">
        <w:rPr>
          <w:lang w:val="fr-CH"/>
        </w:rPr>
        <w:t>(</w:t>
      </w:r>
      <w:r w:rsidR="00C77E1E" w:rsidRPr="009F43DE">
        <w:rPr>
          <w:lang w:val="fr-CH"/>
        </w:rPr>
        <w:t>p</w:t>
      </w:r>
      <w:r w:rsidRPr="009F43DE">
        <w:rPr>
          <w:lang w:val="fr-CH"/>
        </w:rPr>
        <w:t>ar</w:t>
      </w:r>
      <w:r w:rsidR="001D6B83">
        <w:rPr>
          <w:lang w:val="fr-CH"/>
        </w:rPr>
        <w:t>.</w:t>
      </w:r>
      <w:r w:rsidRPr="009F43DE">
        <w:rPr>
          <w:lang w:val="fr-CH"/>
        </w:rPr>
        <w:t xml:space="preserve"> 9</w:t>
      </w:r>
      <w:r w:rsidR="001D6B83">
        <w:rPr>
          <w:lang w:val="fr-CH"/>
        </w:rPr>
        <w:t>)</w:t>
      </w:r>
    </w:p>
    <w:p w:rsidR="006452AF" w:rsidRPr="009F43DE" w:rsidRDefault="006452AF" w:rsidP="006452AF">
      <w:pPr>
        <w:pStyle w:val="SingleTxtG"/>
        <w:rPr>
          <w:lang w:val="fr-CH"/>
        </w:rPr>
      </w:pPr>
      <w:r w:rsidRPr="009F43DE">
        <w:rPr>
          <w:lang w:val="fr-CH"/>
        </w:rPr>
        <w:t>17.</w:t>
      </w:r>
      <w:r w:rsidRPr="009F43DE">
        <w:rPr>
          <w:lang w:val="fr-CH"/>
        </w:rPr>
        <w:tab/>
        <w:t>Le Conseil constitutionnel créé en vertu du 19</w:t>
      </w:r>
      <w:r w:rsidRPr="009F43DE">
        <w:rPr>
          <w:vertAlign w:val="superscript"/>
          <w:lang w:val="fr-CH"/>
        </w:rPr>
        <w:t>e</w:t>
      </w:r>
      <w:r w:rsidRPr="009F43DE">
        <w:rPr>
          <w:lang w:val="fr-CH"/>
        </w:rPr>
        <w:t xml:space="preserve"> </w:t>
      </w:r>
      <w:r w:rsidR="003B390A" w:rsidRPr="009F43DE">
        <w:rPr>
          <w:lang w:val="fr-CH"/>
        </w:rPr>
        <w:t>a</w:t>
      </w:r>
      <w:r w:rsidRPr="009F43DE">
        <w:rPr>
          <w:lang w:val="fr-CH"/>
        </w:rPr>
        <w:t xml:space="preserve">mendement </w:t>
      </w:r>
      <w:r w:rsidR="00B70B86" w:rsidRPr="009F43DE">
        <w:rPr>
          <w:lang w:val="fr-CH"/>
        </w:rPr>
        <w:t xml:space="preserve">à </w:t>
      </w:r>
      <w:r w:rsidRPr="009F43DE">
        <w:rPr>
          <w:lang w:val="fr-CH"/>
        </w:rPr>
        <w:t>la Constitution renforce l</w:t>
      </w:r>
      <w:r w:rsidR="00F8384A" w:rsidRPr="009F43DE">
        <w:rPr>
          <w:lang w:val="fr-CH"/>
        </w:rPr>
        <w:t>’</w:t>
      </w:r>
      <w:r w:rsidRPr="009F43DE">
        <w:rPr>
          <w:lang w:val="fr-CH"/>
        </w:rPr>
        <w:t>indépendance du pouvoir judiciaire. Conformément à l</w:t>
      </w:r>
      <w:r w:rsidR="00F8384A" w:rsidRPr="009F43DE">
        <w:rPr>
          <w:lang w:val="fr-CH"/>
        </w:rPr>
        <w:t>’</w:t>
      </w:r>
      <w:r w:rsidR="001E2D73" w:rsidRPr="009F43DE">
        <w:rPr>
          <w:lang w:val="fr-CH"/>
        </w:rPr>
        <w:t>a</w:t>
      </w:r>
      <w:r w:rsidRPr="009F43DE">
        <w:rPr>
          <w:lang w:val="fr-CH"/>
        </w:rPr>
        <w:t>rticle 41</w:t>
      </w:r>
      <w:r w:rsidR="001D6B83">
        <w:rPr>
          <w:lang w:val="fr-CH"/>
        </w:rPr>
        <w:t xml:space="preserve"> </w:t>
      </w:r>
      <w:r w:rsidRPr="009F43DE">
        <w:rPr>
          <w:lang w:val="fr-CH"/>
        </w:rPr>
        <w:t>C de</w:t>
      </w:r>
      <w:r w:rsidR="001E2D73" w:rsidRPr="009F43DE">
        <w:rPr>
          <w:lang w:val="fr-CH"/>
        </w:rPr>
        <w:t xml:space="preserve"> cet </w:t>
      </w:r>
      <w:r w:rsidR="003B390A" w:rsidRPr="009F43DE">
        <w:rPr>
          <w:lang w:val="fr-CH"/>
        </w:rPr>
        <w:t>a</w:t>
      </w:r>
      <w:r w:rsidRPr="009F43DE">
        <w:rPr>
          <w:lang w:val="fr-CH"/>
        </w:rPr>
        <w:t xml:space="preserve">mendement, </w:t>
      </w:r>
      <w:r w:rsidR="001B711F" w:rsidRPr="009F43DE">
        <w:rPr>
          <w:lang w:val="fr-CH"/>
        </w:rPr>
        <w:t>c</w:t>
      </w:r>
      <w:r w:rsidR="00F8384A" w:rsidRPr="009F43DE">
        <w:rPr>
          <w:lang w:val="fr-CH"/>
        </w:rPr>
        <w:t>’</w:t>
      </w:r>
      <w:r w:rsidR="001B711F" w:rsidRPr="009F43DE">
        <w:rPr>
          <w:lang w:val="fr-CH"/>
        </w:rPr>
        <w:t>est le Président, suite à l</w:t>
      </w:r>
      <w:r w:rsidR="00F8384A" w:rsidRPr="009F43DE">
        <w:rPr>
          <w:lang w:val="fr-CH"/>
        </w:rPr>
        <w:t>’</w:t>
      </w:r>
      <w:r w:rsidR="001B711F" w:rsidRPr="009F43DE">
        <w:rPr>
          <w:lang w:val="fr-CH"/>
        </w:rPr>
        <w:t xml:space="preserve">approbation par le Conseil constitutionnel </w:t>
      </w:r>
      <w:r w:rsidR="00937B77" w:rsidRPr="009F43DE">
        <w:rPr>
          <w:lang w:val="fr-CH"/>
        </w:rPr>
        <w:t>d</w:t>
      </w:r>
      <w:r w:rsidR="00F8384A" w:rsidRPr="009F43DE">
        <w:rPr>
          <w:lang w:val="fr-CH"/>
        </w:rPr>
        <w:t>’</w:t>
      </w:r>
      <w:r w:rsidR="00937B77" w:rsidRPr="009F43DE">
        <w:rPr>
          <w:lang w:val="fr-CH"/>
        </w:rPr>
        <w:t xml:space="preserve">une </w:t>
      </w:r>
      <w:r w:rsidR="001B711F" w:rsidRPr="009F43DE">
        <w:rPr>
          <w:lang w:val="fr-CH"/>
        </w:rPr>
        <w:t xml:space="preserve">recommandation </w:t>
      </w:r>
      <w:r w:rsidR="00937B77" w:rsidRPr="009F43DE">
        <w:rPr>
          <w:lang w:val="fr-CH"/>
        </w:rPr>
        <w:t>qu</w:t>
      </w:r>
      <w:r w:rsidR="00F8384A" w:rsidRPr="009F43DE">
        <w:rPr>
          <w:lang w:val="fr-CH"/>
        </w:rPr>
        <w:t>’</w:t>
      </w:r>
      <w:r w:rsidR="00937B77" w:rsidRPr="009F43DE">
        <w:rPr>
          <w:lang w:val="fr-CH"/>
        </w:rPr>
        <w:t>il lui a soumise</w:t>
      </w:r>
      <w:r w:rsidR="001B711F" w:rsidRPr="009F43DE">
        <w:rPr>
          <w:lang w:val="fr-CH"/>
        </w:rPr>
        <w:t>, qui nomme</w:t>
      </w:r>
      <w:r w:rsidRPr="009F43DE">
        <w:rPr>
          <w:lang w:val="fr-CH"/>
        </w:rPr>
        <w:t xml:space="preserve"> le</w:t>
      </w:r>
      <w:r w:rsidR="001B711F" w:rsidRPr="009F43DE">
        <w:rPr>
          <w:lang w:val="fr-CH"/>
        </w:rPr>
        <w:t xml:space="preserve"> Président et le</w:t>
      </w:r>
      <w:r w:rsidRPr="009F43DE">
        <w:rPr>
          <w:lang w:val="fr-CH"/>
        </w:rPr>
        <w:t>s juges de la Cour suprême, le Président et les juges de la Cour d</w:t>
      </w:r>
      <w:r w:rsidR="00F8384A" w:rsidRPr="009F43DE">
        <w:rPr>
          <w:lang w:val="fr-CH"/>
        </w:rPr>
        <w:t>’</w:t>
      </w:r>
      <w:r w:rsidRPr="009F43DE">
        <w:rPr>
          <w:lang w:val="fr-CH"/>
        </w:rPr>
        <w:t xml:space="preserve">appel et les membres de la Commission des services judiciaires. Les juges </w:t>
      </w:r>
      <w:r w:rsidR="001B711F" w:rsidRPr="009F43DE">
        <w:rPr>
          <w:lang w:val="fr-CH"/>
        </w:rPr>
        <w:t xml:space="preserve">susmentionnés </w:t>
      </w:r>
      <w:r w:rsidR="00E20BB8" w:rsidRPr="009F43DE">
        <w:rPr>
          <w:lang w:val="fr-CH"/>
        </w:rPr>
        <w:t xml:space="preserve">sont inamovibles et ne peuvent être révoqués que </w:t>
      </w:r>
      <w:r w:rsidRPr="009F43DE">
        <w:rPr>
          <w:lang w:val="fr-CH"/>
        </w:rPr>
        <w:t xml:space="preserve">par une ordonnance </w:t>
      </w:r>
      <w:r w:rsidR="00CE1629" w:rsidRPr="009F43DE">
        <w:rPr>
          <w:lang w:val="fr-CH"/>
        </w:rPr>
        <w:t>prise par le</w:t>
      </w:r>
      <w:r w:rsidRPr="009F43DE">
        <w:rPr>
          <w:lang w:val="fr-CH"/>
        </w:rPr>
        <w:t xml:space="preserve"> Président</w:t>
      </w:r>
      <w:r w:rsidR="007E3D04" w:rsidRPr="009F43DE">
        <w:rPr>
          <w:lang w:val="fr-CH"/>
        </w:rPr>
        <w:t xml:space="preserve"> sur saisine du</w:t>
      </w:r>
      <w:r w:rsidR="00E20BB8" w:rsidRPr="009F43DE">
        <w:rPr>
          <w:lang w:val="fr-CH"/>
        </w:rPr>
        <w:t xml:space="preserve"> Parlement suite à un vote majoritaire de ses membres</w:t>
      </w:r>
      <w:r w:rsidRPr="009F43DE">
        <w:rPr>
          <w:lang w:val="fr-CH"/>
        </w:rPr>
        <w:t xml:space="preserve">, et pour cause de mauvaise conduite ou </w:t>
      </w:r>
      <w:r w:rsidR="00E20BB8" w:rsidRPr="009F43DE">
        <w:rPr>
          <w:lang w:val="fr-CH"/>
        </w:rPr>
        <w:t>d</w:t>
      </w:r>
      <w:r w:rsidR="00F8384A" w:rsidRPr="009F43DE">
        <w:rPr>
          <w:lang w:val="fr-CH"/>
        </w:rPr>
        <w:t>’</w:t>
      </w:r>
      <w:r w:rsidRPr="009F43DE">
        <w:rPr>
          <w:lang w:val="fr-CH"/>
        </w:rPr>
        <w:t>incapacité avérées. L</w:t>
      </w:r>
      <w:r w:rsidR="00F8384A" w:rsidRPr="009F43DE">
        <w:rPr>
          <w:lang w:val="fr-CH"/>
        </w:rPr>
        <w:t>’</w:t>
      </w:r>
      <w:r w:rsidR="00E20BB8" w:rsidRPr="009F43DE">
        <w:rPr>
          <w:lang w:val="fr-CH"/>
        </w:rPr>
        <w:t>a</w:t>
      </w:r>
      <w:r w:rsidRPr="009F43DE">
        <w:rPr>
          <w:lang w:val="fr-CH"/>
        </w:rPr>
        <w:t>rticle 111(H) de la Constitution pré</w:t>
      </w:r>
      <w:r w:rsidR="00E20BB8" w:rsidRPr="009F43DE">
        <w:rPr>
          <w:lang w:val="fr-CH"/>
        </w:rPr>
        <w:t>cise le</w:t>
      </w:r>
      <w:r w:rsidRPr="009F43DE">
        <w:rPr>
          <w:lang w:val="fr-CH"/>
        </w:rPr>
        <w:t xml:space="preserve">s pouvoirs </w:t>
      </w:r>
      <w:r w:rsidR="00E20BB8" w:rsidRPr="009F43DE">
        <w:rPr>
          <w:lang w:val="fr-CH"/>
        </w:rPr>
        <w:t xml:space="preserve">dont est investie </w:t>
      </w:r>
      <w:r w:rsidRPr="009F43DE">
        <w:rPr>
          <w:lang w:val="fr-CH"/>
        </w:rPr>
        <w:t>la Commission de</w:t>
      </w:r>
      <w:r w:rsidR="00E20BB8" w:rsidRPr="009F43DE">
        <w:rPr>
          <w:lang w:val="fr-CH"/>
        </w:rPr>
        <w:t>s services</w:t>
      </w:r>
      <w:r w:rsidRPr="009F43DE">
        <w:rPr>
          <w:lang w:val="fr-CH"/>
        </w:rPr>
        <w:t xml:space="preserve"> judiciaire</w:t>
      </w:r>
      <w:r w:rsidR="00E20BB8" w:rsidRPr="009F43DE">
        <w:rPr>
          <w:lang w:val="fr-CH"/>
        </w:rPr>
        <w:t>s</w:t>
      </w:r>
      <w:r w:rsidRPr="009F43DE">
        <w:rPr>
          <w:lang w:val="fr-CH"/>
        </w:rPr>
        <w:t xml:space="preserve"> et assure l</w:t>
      </w:r>
      <w:r w:rsidR="00F8384A" w:rsidRPr="009F43DE">
        <w:rPr>
          <w:lang w:val="fr-CH"/>
        </w:rPr>
        <w:t>’</w:t>
      </w:r>
      <w:r w:rsidRPr="009F43DE">
        <w:rPr>
          <w:lang w:val="fr-CH"/>
        </w:rPr>
        <w:t xml:space="preserve">indépendance des juges de </w:t>
      </w:r>
      <w:r w:rsidR="00F52F51" w:rsidRPr="009F43DE">
        <w:rPr>
          <w:lang w:val="fr-CH"/>
        </w:rPr>
        <w:t xml:space="preserve">la </w:t>
      </w:r>
      <w:r w:rsidR="00824524" w:rsidRPr="009F43DE">
        <w:rPr>
          <w:lang w:val="fr-CH"/>
        </w:rPr>
        <w:t xml:space="preserve">Cour suprême et des fonctionnaires </w:t>
      </w:r>
      <w:r w:rsidRPr="009F43DE">
        <w:rPr>
          <w:lang w:val="fr-CH"/>
        </w:rPr>
        <w:t>de justice.</w:t>
      </w:r>
    </w:p>
    <w:p w:rsidR="006452AF" w:rsidRPr="009F43DE" w:rsidRDefault="006452AF" w:rsidP="006452AF">
      <w:pPr>
        <w:pStyle w:val="H23G"/>
        <w:rPr>
          <w:lang w:val="fr-CH"/>
        </w:rPr>
      </w:pPr>
      <w:r w:rsidRPr="009F43DE">
        <w:rPr>
          <w:lang w:val="fr-CH"/>
        </w:rPr>
        <w:tab/>
      </w:r>
      <w:r w:rsidRPr="009F43DE">
        <w:rPr>
          <w:lang w:val="fr-CH"/>
        </w:rPr>
        <w:tab/>
        <w:t>Protection des défenseurs des droits de l</w:t>
      </w:r>
      <w:r w:rsidR="00F8384A" w:rsidRPr="009F43DE">
        <w:rPr>
          <w:lang w:val="fr-CH"/>
        </w:rPr>
        <w:t>’</w:t>
      </w:r>
      <w:r w:rsidRPr="009F43DE">
        <w:rPr>
          <w:lang w:val="fr-CH"/>
        </w:rPr>
        <w:t xml:space="preserve">homme </w:t>
      </w:r>
      <w:r w:rsidR="00E52A1B">
        <w:rPr>
          <w:lang w:val="fr-CH"/>
        </w:rPr>
        <w:t>(</w:t>
      </w:r>
      <w:r w:rsidRPr="009F43DE">
        <w:rPr>
          <w:lang w:val="fr-CH"/>
        </w:rPr>
        <w:t>par</w:t>
      </w:r>
      <w:r w:rsidR="00E52A1B">
        <w:rPr>
          <w:lang w:val="fr-CH"/>
        </w:rPr>
        <w:t xml:space="preserve">. </w:t>
      </w:r>
      <w:r w:rsidRPr="009F43DE">
        <w:rPr>
          <w:lang w:val="fr-CH"/>
        </w:rPr>
        <w:t>10</w:t>
      </w:r>
      <w:r w:rsidR="00E52A1B">
        <w:rPr>
          <w:lang w:val="fr-CH"/>
        </w:rPr>
        <w:t>)</w:t>
      </w:r>
    </w:p>
    <w:p w:rsidR="006452AF" w:rsidRPr="009F43DE" w:rsidRDefault="006452AF" w:rsidP="006452AF">
      <w:pPr>
        <w:pStyle w:val="SingleTxtG"/>
        <w:rPr>
          <w:lang w:val="fr-CH"/>
        </w:rPr>
      </w:pPr>
      <w:r w:rsidRPr="009F43DE">
        <w:rPr>
          <w:lang w:val="fr-CH"/>
        </w:rPr>
        <w:t>18.</w:t>
      </w:r>
      <w:r w:rsidRPr="009F43DE">
        <w:rPr>
          <w:lang w:val="fr-CH"/>
        </w:rPr>
        <w:tab/>
        <w:t xml:space="preserve">Le Gouvernement sri-lankais est pleinement </w:t>
      </w:r>
      <w:r w:rsidR="00824524" w:rsidRPr="009F43DE">
        <w:rPr>
          <w:lang w:val="fr-CH"/>
        </w:rPr>
        <w:t xml:space="preserve">déterminé à </w:t>
      </w:r>
      <w:r w:rsidRPr="009F43DE">
        <w:rPr>
          <w:lang w:val="fr-CH"/>
        </w:rPr>
        <w:t>prot</w:t>
      </w:r>
      <w:r w:rsidR="00824524" w:rsidRPr="009F43DE">
        <w:rPr>
          <w:lang w:val="fr-CH"/>
        </w:rPr>
        <w:t>éger les</w:t>
      </w:r>
      <w:r w:rsidRPr="009F43DE">
        <w:rPr>
          <w:lang w:val="fr-CH"/>
        </w:rPr>
        <w:t xml:space="preserve"> défenseurs des droits de l</w:t>
      </w:r>
      <w:r w:rsidR="00F8384A" w:rsidRPr="009F43DE">
        <w:rPr>
          <w:lang w:val="fr-CH"/>
        </w:rPr>
        <w:t>’</w:t>
      </w:r>
      <w:r w:rsidRPr="009F43DE">
        <w:rPr>
          <w:lang w:val="fr-CH"/>
        </w:rPr>
        <w:t xml:space="preserve">homme. </w:t>
      </w:r>
      <w:r w:rsidR="00E42A49" w:rsidRPr="009F43DE">
        <w:rPr>
          <w:lang w:val="fr-CH"/>
        </w:rPr>
        <w:t>Les allégations d</w:t>
      </w:r>
      <w:r w:rsidR="00F8384A" w:rsidRPr="009F43DE">
        <w:rPr>
          <w:lang w:val="fr-CH"/>
        </w:rPr>
        <w:t>’</w:t>
      </w:r>
      <w:r w:rsidRPr="009F43DE">
        <w:rPr>
          <w:lang w:val="fr-CH"/>
        </w:rPr>
        <w:t xml:space="preserve">attaques </w:t>
      </w:r>
      <w:r w:rsidR="00E42A49" w:rsidRPr="009F43DE">
        <w:rPr>
          <w:lang w:val="fr-CH"/>
        </w:rPr>
        <w:t>contre d</w:t>
      </w:r>
      <w:r w:rsidRPr="009F43DE">
        <w:rPr>
          <w:lang w:val="fr-CH"/>
        </w:rPr>
        <w:t>es militants des droits de l</w:t>
      </w:r>
      <w:r w:rsidR="00F8384A" w:rsidRPr="009F43DE">
        <w:rPr>
          <w:lang w:val="fr-CH"/>
        </w:rPr>
        <w:t>’</w:t>
      </w:r>
      <w:r w:rsidRPr="009F43DE">
        <w:rPr>
          <w:lang w:val="fr-CH"/>
        </w:rPr>
        <w:t>homme</w:t>
      </w:r>
      <w:r w:rsidR="00E42A49" w:rsidRPr="009F43DE">
        <w:rPr>
          <w:lang w:val="fr-CH"/>
        </w:rPr>
        <w:t xml:space="preserve"> dont la </w:t>
      </w:r>
      <w:r w:rsidRPr="009F43DE">
        <w:rPr>
          <w:lang w:val="fr-CH"/>
        </w:rPr>
        <w:t xml:space="preserve">police </w:t>
      </w:r>
      <w:r w:rsidR="00E42A49" w:rsidRPr="009F43DE">
        <w:rPr>
          <w:lang w:val="fr-CH"/>
        </w:rPr>
        <w:t>a été informé</w:t>
      </w:r>
      <w:r w:rsidR="009719A6" w:rsidRPr="009F43DE">
        <w:rPr>
          <w:lang w:val="fr-CH"/>
        </w:rPr>
        <w:t>e</w:t>
      </w:r>
      <w:r w:rsidR="00E42A49" w:rsidRPr="009F43DE">
        <w:rPr>
          <w:lang w:val="fr-CH"/>
        </w:rPr>
        <w:t xml:space="preserve"> </w:t>
      </w:r>
      <w:r w:rsidRPr="009F43DE">
        <w:rPr>
          <w:lang w:val="fr-CH"/>
        </w:rPr>
        <w:t xml:space="preserve">ont </w:t>
      </w:r>
      <w:r w:rsidR="00E42A49" w:rsidRPr="009F43DE">
        <w:rPr>
          <w:lang w:val="fr-CH"/>
        </w:rPr>
        <w:t>fait l</w:t>
      </w:r>
      <w:r w:rsidR="00F8384A" w:rsidRPr="009F43DE">
        <w:rPr>
          <w:lang w:val="fr-CH"/>
        </w:rPr>
        <w:t>’</w:t>
      </w:r>
      <w:r w:rsidR="00E42A49" w:rsidRPr="009F43DE">
        <w:rPr>
          <w:lang w:val="fr-CH"/>
        </w:rPr>
        <w:t>objet d</w:t>
      </w:r>
      <w:r w:rsidR="00F8384A" w:rsidRPr="009F43DE">
        <w:rPr>
          <w:lang w:val="fr-CH"/>
        </w:rPr>
        <w:t>’</w:t>
      </w:r>
      <w:r w:rsidR="00E42A49" w:rsidRPr="009F43DE">
        <w:rPr>
          <w:lang w:val="fr-CH"/>
        </w:rPr>
        <w:t xml:space="preserve">enquêtes en bonne et due forme </w:t>
      </w:r>
      <w:r w:rsidRPr="009F43DE">
        <w:rPr>
          <w:lang w:val="fr-CH"/>
        </w:rPr>
        <w:t xml:space="preserve">et les faits ont été signalés aux tribunaux </w:t>
      </w:r>
      <w:r w:rsidR="002C325B" w:rsidRPr="009F43DE">
        <w:rPr>
          <w:lang w:val="fr-CH"/>
        </w:rPr>
        <w:t>pénaux de première instance compétents</w:t>
      </w:r>
      <w:r w:rsidRPr="009F43DE">
        <w:rPr>
          <w:lang w:val="fr-CH"/>
        </w:rPr>
        <w:t>.</w:t>
      </w:r>
    </w:p>
    <w:p w:rsidR="006452AF" w:rsidRPr="009F43DE" w:rsidRDefault="006452AF" w:rsidP="006452AF">
      <w:pPr>
        <w:pStyle w:val="SingleTxtG"/>
        <w:rPr>
          <w:lang w:val="fr-CH"/>
        </w:rPr>
      </w:pPr>
      <w:r w:rsidRPr="009F43DE">
        <w:rPr>
          <w:lang w:val="fr-CH"/>
        </w:rPr>
        <w:t>19.</w:t>
      </w:r>
      <w:r w:rsidRPr="009F43DE">
        <w:rPr>
          <w:lang w:val="fr-CH"/>
        </w:rPr>
        <w:tab/>
        <w:t xml:space="preserve">La </w:t>
      </w:r>
      <w:r w:rsidR="002C325B" w:rsidRPr="009F43DE">
        <w:rPr>
          <w:lang w:val="fr-CH"/>
        </w:rPr>
        <w:t>l</w:t>
      </w:r>
      <w:r w:rsidRPr="009F43DE">
        <w:rPr>
          <w:lang w:val="fr-CH"/>
        </w:rPr>
        <w:t xml:space="preserve">oi </w:t>
      </w:r>
      <w:r w:rsidR="001D6B83">
        <w:rPr>
          <w:lang w:val="fr-CH"/>
        </w:rPr>
        <w:t>n</w:t>
      </w:r>
      <w:r w:rsidR="001D6B83" w:rsidRPr="001D6B83">
        <w:rPr>
          <w:vertAlign w:val="superscript"/>
          <w:lang w:val="fr-CH"/>
        </w:rPr>
        <w:t>o</w:t>
      </w:r>
      <w:r w:rsidR="002C325B" w:rsidRPr="009F43DE">
        <w:rPr>
          <w:lang w:val="fr-CH"/>
        </w:rPr>
        <w:t> </w:t>
      </w:r>
      <w:r w:rsidRPr="009F43DE">
        <w:rPr>
          <w:lang w:val="fr-CH"/>
        </w:rPr>
        <w:t xml:space="preserve">04 de 2015 </w:t>
      </w:r>
      <w:r w:rsidR="002C325B" w:rsidRPr="009F43DE">
        <w:rPr>
          <w:lang w:val="fr-CH"/>
        </w:rPr>
        <w:t>sur l</w:t>
      </w:r>
      <w:r w:rsidR="00F8384A" w:rsidRPr="009F43DE">
        <w:rPr>
          <w:lang w:val="fr-CH"/>
        </w:rPr>
        <w:t>’</w:t>
      </w:r>
      <w:r w:rsidR="002C325B" w:rsidRPr="009F43DE">
        <w:rPr>
          <w:lang w:val="fr-CH"/>
        </w:rPr>
        <w:t>a</w:t>
      </w:r>
      <w:r w:rsidRPr="009F43DE">
        <w:rPr>
          <w:lang w:val="fr-CH"/>
        </w:rPr>
        <w:t xml:space="preserve">ssistance et </w:t>
      </w:r>
      <w:r w:rsidR="002C325B" w:rsidRPr="009F43DE">
        <w:rPr>
          <w:lang w:val="fr-CH"/>
        </w:rPr>
        <w:t>la</w:t>
      </w:r>
      <w:r w:rsidRPr="009F43DE">
        <w:rPr>
          <w:lang w:val="fr-CH"/>
        </w:rPr>
        <w:t xml:space="preserve"> protection des victimes et des témoins a été promulguée en février 2015, a</w:t>
      </w:r>
      <w:r w:rsidR="002C325B" w:rsidRPr="009F43DE">
        <w:rPr>
          <w:lang w:val="fr-CH"/>
        </w:rPr>
        <w:t xml:space="preserve">fin </w:t>
      </w:r>
      <w:r w:rsidRPr="009F43DE">
        <w:rPr>
          <w:lang w:val="fr-CH"/>
        </w:rPr>
        <w:t xml:space="preserve">de </w:t>
      </w:r>
      <w:r w:rsidR="00F071DF" w:rsidRPr="009F43DE">
        <w:rPr>
          <w:lang w:val="fr-CH"/>
        </w:rPr>
        <w:t>défendre</w:t>
      </w:r>
      <w:r w:rsidRPr="009F43DE">
        <w:rPr>
          <w:lang w:val="fr-CH"/>
        </w:rPr>
        <w:t xml:space="preserve"> les droits des victimes et des témoins et de </w:t>
      </w:r>
      <w:r w:rsidR="00F071DF" w:rsidRPr="009F43DE">
        <w:rPr>
          <w:lang w:val="fr-CH"/>
        </w:rPr>
        <w:t xml:space="preserve">mettre en place </w:t>
      </w:r>
      <w:r w:rsidRPr="009F43DE">
        <w:rPr>
          <w:lang w:val="fr-CH"/>
        </w:rPr>
        <w:t xml:space="preserve">un mécanisme pour promouvoir, protéger, faire respecter et exercer </w:t>
      </w:r>
      <w:r w:rsidR="00F071DF" w:rsidRPr="009F43DE">
        <w:rPr>
          <w:lang w:val="fr-CH"/>
        </w:rPr>
        <w:t>lesdits</w:t>
      </w:r>
      <w:r w:rsidRPr="009F43DE">
        <w:rPr>
          <w:lang w:val="fr-CH"/>
        </w:rPr>
        <w:t xml:space="preserve"> droits. En outre, la </w:t>
      </w:r>
      <w:r w:rsidR="00F071DF" w:rsidRPr="009F43DE">
        <w:rPr>
          <w:lang w:val="fr-CH"/>
        </w:rPr>
        <w:t>l</w:t>
      </w:r>
      <w:r w:rsidRPr="009F43DE">
        <w:rPr>
          <w:lang w:val="fr-CH"/>
        </w:rPr>
        <w:t>oi pré</w:t>
      </w:r>
      <w:r w:rsidR="00F071DF" w:rsidRPr="009F43DE">
        <w:rPr>
          <w:lang w:val="fr-CH"/>
        </w:rPr>
        <w:t xml:space="preserve">cise </w:t>
      </w:r>
      <w:r w:rsidRPr="009F43DE">
        <w:rPr>
          <w:lang w:val="fr-CH"/>
        </w:rPr>
        <w:t>les infractions qui peuvent être commises contre des victimes et des témoins et les sanctions pénales qui peuvent être imposées aux personnes qui commettent ces infractions.</w:t>
      </w:r>
    </w:p>
    <w:p w:rsidR="006452AF" w:rsidRPr="009F43DE" w:rsidRDefault="006452AF" w:rsidP="006452AF">
      <w:pPr>
        <w:pStyle w:val="SingleTxtG"/>
        <w:rPr>
          <w:lang w:val="fr-CH"/>
        </w:rPr>
      </w:pPr>
      <w:r w:rsidRPr="009F43DE">
        <w:rPr>
          <w:lang w:val="fr-CH"/>
        </w:rPr>
        <w:t>20.</w:t>
      </w:r>
      <w:r w:rsidRPr="009F43DE">
        <w:rPr>
          <w:lang w:val="fr-CH"/>
        </w:rPr>
        <w:tab/>
        <w:t>Le Gouvernement sri-lankais n</w:t>
      </w:r>
      <w:r w:rsidR="00F8384A" w:rsidRPr="009F43DE">
        <w:rPr>
          <w:lang w:val="fr-CH"/>
        </w:rPr>
        <w:t>’</w:t>
      </w:r>
      <w:r w:rsidRPr="009F43DE">
        <w:rPr>
          <w:lang w:val="fr-CH"/>
        </w:rPr>
        <w:t xml:space="preserve">hésitera pas à poursuivre les </w:t>
      </w:r>
      <w:r w:rsidR="00F071DF" w:rsidRPr="009F43DE">
        <w:rPr>
          <w:lang w:val="fr-CH"/>
        </w:rPr>
        <w:t xml:space="preserve">coupables </w:t>
      </w:r>
      <w:r w:rsidRPr="009F43DE">
        <w:rPr>
          <w:lang w:val="fr-CH"/>
        </w:rPr>
        <w:t xml:space="preserve">chaque fois que des preuves crédibles seront disponibles. </w:t>
      </w:r>
      <w:r w:rsidR="008F3C01" w:rsidRPr="009F43DE">
        <w:rPr>
          <w:lang w:val="fr-CH"/>
        </w:rPr>
        <w:t xml:space="preserve">La Constitution du pays garantit la protection des droits fondamentaux et </w:t>
      </w:r>
      <w:r w:rsidR="000F0191" w:rsidRPr="009F43DE">
        <w:rPr>
          <w:lang w:val="fr-CH"/>
        </w:rPr>
        <w:t xml:space="preserve">la société civile sri-lankaise jouit de grandes libertés et fait montre de dynamisme, comme en témoignent </w:t>
      </w:r>
      <w:r w:rsidR="008F3C01" w:rsidRPr="009F43DE">
        <w:rPr>
          <w:lang w:val="fr-CH"/>
        </w:rPr>
        <w:t xml:space="preserve">les nombreux échanges </w:t>
      </w:r>
      <w:r w:rsidRPr="009F43DE">
        <w:rPr>
          <w:lang w:val="fr-CH"/>
        </w:rPr>
        <w:t>que le Haut-Commissaire des Nations Unies aux droits de l</w:t>
      </w:r>
      <w:r w:rsidR="00F8384A" w:rsidRPr="009F43DE">
        <w:rPr>
          <w:lang w:val="fr-CH"/>
        </w:rPr>
        <w:t>’</w:t>
      </w:r>
      <w:r w:rsidRPr="009F43DE">
        <w:rPr>
          <w:lang w:val="fr-CH"/>
        </w:rPr>
        <w:t>homme et d</w:t>
      </w:r>
      <w:r w:rsidR="00F8384A" w:rsidRPr="009F43DE">
        <w:rPr>
          <w:lang w:val="fr-CH"/>
        </w:rPr>
        <w:t>’</w:t>
      </w:r>
      <w:r w:rsidRPr="009F43DE">
        <w:rPr>
          <w:lang w:val="fr-CH"/>
        </w:rPr>
        <w:t xml:space="preserve">autres dignitaires étrangers ont </w:t>
      </w:r>
      <w:r w:rsidR="008F3C01" w:rsidRPr="009F43DE">
        <w:rPr>
          <w:lang w:val="fr-CH"/>
        </w:rPr>
        <w:t>tenu</w:t>
      </w:r>
      <w:r w:rsidR="000F0191" w:rsidRPr="009F43DE">
        <w:rPr>
          <w:lang w:val="fr-CH"/>
        </w:rPr>
        <w:t>s</w:t>
      </w:r>
      <w:r w:rsidR="008F3C01" w:rsidRPr="009F43DE">
        <w:rPr>
          <w:lang w:val="fr-CH"/>
        </w:rPr>
        <w:t xml:space="preserve"> avec </w:t>
      </w:r>
      <w:r w:rsidR="000F0191" w:rsidRPr="009F43DE">
        <w:rPr>
          <w:lang w:val="fr-CH"/>
        </w:rPr>
        <w:t>certains de ses</w:t>
      </w:r>
      <w:r w:rsidR="008F3C01" w:rsidRPr="009F43DE">
        <w:rPr>
          <w:lang w:val="fr-CH"/>
        </w:rPr>
        <w:t xml:space="preserve"> membres lors de leurs visites r</w:t>
      </w:r>
      <w:r w:rsidRPr="009F43DE">
        <w:rPr>
          <w:lang w:val="fr-CH"/>
        </w:rPr>
        <w:t xml:space="preserve">écentes </w:t>
      </w:r>
      <w:r w:rsidR="008F3C01" w:rsidRPr="009F43DE">
        <w:rPr>
          <w:lang w:val="fr-CH"/>
        </w:rPr>
        <w:t>à</w:t>
      </w:r>
      <w:r w:rsidRPr="009F43DE">
        <w:rPr>
          <w:lang w:val="fr-CH"/>
        </w:rPr>
        <w:t xml:space="preserve"> Sri Lanka ainsi que </w:t>
      </w:r>
      <w:r w:rsidR="000F0191" w:rsidRPr="009F43DE">
        <w:rPr>
          <w:lang w:val="fr-CH"/>
        </w:rPr>
        <w:t>l</w:t>
      </w:r>
      <w:r w:rsidRPr="009F43DE">
        <w:rPr>
          <w:lang w:val="fr-CH"/>
        </w:rPr>
        <w:t xml:space="preserve">a participation active </w:t>
      </w:r>
      <w:r w:rsidR="000F0191" w:rsidRPr="009F43DE">
        <w:rPr>
          <w:lang w:val="fr-CH"/>
        </w:rPr>
        <w:t xml:space="preserve">de ceux-ci à </w:t>
      </w:r>
      <w:r w:rsidRPr="009F43DE">
        <w:rPr>
          <w:lang w:val="fr-CH"/>
        </w:rPr>
        <w:t>divers forums internationaux. Bien qu</w:t>
      </w:r>
      <w:r w:rsidR="00F8384A" w:rsidRPr="009F43DE">
        <w:rPr>
          <w:lang w:val="fr-CH"/>
        </w:rPr>
        <w:t>’</w:t>
      </w:r>
      <w:r w:rsidRPr="009F43DE">
        <w:rPr>
          <w:lang w:val="fr-CH"/>
        </w:rPr>
        <w:t>aucune loi spécifique n</w:t>
      </w:r>
      <w:r w:rsidR="00F8384A" w:rsidRPr="009F43DE">
        <w:rPr>
          <w:lang w:val="fr-CH"/>
        </w:rPr>
        <w:t>’</w:t>
      </w:r>
      <w:r w:rsidRPr="009F43DE">
        <w:rPr>
          <w:lang w:val="fr-CH"/>
        </w:rPr>
        <w:t xml:space="preserve">ait été </w:t>
      </w:r>
      <w:r w:rsidR="007E3D04" w:rsidRPr="009F43DE">
        <w:rPr>
          <w:lang w:val="fr-CH"/>
        </w:rPr>
        <w:t>adoptée concernant les</w:t>
      </w:r>
      <w:r w:rsidRPr="009F43DE">
        <w:rPr>
          <w:lang w:val="fr-CH"/>
        </w:rPr>
        <w:t xml:space="preserve"> défenseurs des droits de l</w:t>
      </w:r>
      <w:r w:rsidR="00F8384A" w:rsidRPr="009F43DE">
        <w:rPr>
          <w:lang w:val="fr-CH"/>
        </w:rPr>
        <w:t>’</w:t>
      </w:r>
      <w:r w:rsidRPr="009F43DE">
        <w:rPr>
          <w:lang w:val="fr-CH"/>
        </w:rPr>
        <w:t xml:space="preserve">homme, toute personne dont les droits sont violés </w:t>
      </w:r>
      <w:r w:rsidR="00F82330" w:rsidRPr="009F43DE">
        <w:rPr>
          <w:lang w:val="fr-CH"/>
        </w:rPr>
        <w:t xml:space="preserve">a </w:t>
      </w:r>
      <w:r w:rsidRPr="009F43DE">
        <w:rPr>
          <w:lang w:val="fr-CH"/>
        </w:rPr>
        <w:t>la possibilité de déposer une</w:t>
      </w:r>
      <w:r w:rsidR="00F82330" w:rsidRPr="009F43DE">
        <w:rPr>
          <w:lang w:val="fr-CH"/>
        </w:rPr>
        <w:t xml:space="preserve"> requête pour violation des droits </w:t>
      </w:r>
      <w:r w:rsidRPr="009F43DE">
        <w:rPr>
          <w:lang w:val="fr-CH"/>
        </w:rPr>
        <w:t xml:space="preserve">fondamentaux </w:t>
      </w:r>
      <w:r w:rsidR="00F82330" w:rsidRPr="009F43DE">
        <w:rPr>
          <w:lang w:val="fr-CH"/>
        </w:rPr>
        <w:t>auprès de</w:t>
      </w:r>
      <w:r w:rsidRPr="009F43DE">
        <w:rPr>
          <w:lang w:val="fr-CH"/>
        </w:rPr>
        <w:t xml:space="preserve"> la Cour suprême</w:t>
      </w:r>
      <w:r w:rsidR="00F82330" w:rsidRPr="009F43DE">
        <w:rPr>
          <w:lang w:val="fr-CH"/>
        </w:rPr>
        <w:t xml:space="preserve"> ou</w:t>
      </w:r>
      <w:r w:rsidRPr="009F43DE">
        <w:rPr>
          <w:lang w:val="fr-CH"/>
        </w:rPr>
        <w:t xml:space="preserve"> une demande d</w:t>
      </w:r>
      <w:r w:rsidR="00F8384A" w:rsidRPr="009F43DE">
        <w:rPr>
          <w:lang w:val="fr-CH"/>
        </w:rPr>
        <w:t>’</w:t>
      </w:r>
      <w:r w:rsidR="00F82330" w:rsidRPr="009F43DE">
        <w:rPr>
          <w:lang w:val="fr-CH"/>
        </w:rPr>
        <w:t xml:space="preserve">assignation devant </w:t>
      </w:r>
      <w:r w:rsidRPr="009F43DE">
        <w:rPr>
          <w:lang w:val="fr-CH"/>
        </w:rPr>
        <w:t>la Cour d</w:t>
      </w:r>
      <w:r w:rsidR="00F8384A" w:rsidRPr="009F43DE">
        <w:rPr>
          <w:lang w:val="fr-CH"/>
        </w:rPr>
        <w:t>’</w:t>
      </w:r>
      <w:r w:rsidRPr="009F43DE">
        <w:rPr>
          <w:lang w:val="fr-CH"/>
        </w:rPr>
        <w:t xml:space="preserve">appel, ou </w:t>
      </w:r>
      <w:r w:rsidR="00F82330" w:rsidRPr="009F43DE">
        <w:rPr>
          <w:lang w:val="fr-CH"/>
        </w:rPr>
        <w:t xml:space="preserve">encore </w:t>
      </w:r>
      <w:r w:rsidRPr="009F43DE">
        <w:rPr>
          <w:lang w:val="fr-CH"/>
        </w:rPr>
        <w:t>déposer plainte devant la Commission nationale des droits de l</w:t>
      </w:r>
      <w:r w:rsidR="00F8384A" w:rsidRPr="009F43DE">
        <w:rPr>
          <w:lang w:val="fr-CH"/>
        </w:rPr>
        <w:t>’</w:t>
      </w:r>
      <w:r w:rsidRPr="009F43DE">
        <w:rPr>
          <w:lang w:val="fr-CH"/>
        </w:rPr>
        <w:t xml:space="preserve">homme en son nom, ou </w:t>
      </w:r>
      <w:r w:rsidR="00F82330" w:rsidRPr="009F43DE">
        <w:rPr>
          <w:lang w:val="fr-CH"/>
        </w:rPr>
        <w:t>dans</w:t>
      </w:r>
      <w:r w:rsidRPr="009F43DE">
        <w:rPr>
          <w:lang w:val="fr-CH"/>
        </w:rPr>
        <w:t xml:space="preserve"> l</w:t>
      </w:r>
      <w:r w:rsidR="00F8384A" w:rsidRPr="009F43DE">
        <w:rPr>
          <w:lang w:val="fr-CH"/>
        </w:rPr>
        <w:t>’</w:t>
      </w:r>
      <w:r w:rsidRPr="009F43DE">
        <w:rPr>
          <w:lang w:val="fr-CH"/>
        </w:rPr>
        <w:t xml:space="preserve">intérêt public. </w:t>
      </w:r>
      <w:r w:rsidR="00F82330" w:rsidRPr="009F43DE">
        <w:rPr>
          <w:lang w:val="fr-CH"/>
        </w:rPr>
        <w:t>L</w:t>
      </w:r>
      <w:r w:rsidRPr="009F43DE">
        <w:rPr>
          <w:lang w:val="fr-CH"/>
        </w:rPr>
        <w:t xml:space="preserve">es individus ou les groupes qui souhaitent </w:t>
      </w:r>
      <w:r w:rsidR="00F82330" w:rsidRPr="009F43DE">
        <w:rPr>
          <w:lang w:val="fr-CH"/>
        </w:rPr>
        <w:t>défendre</w:t>
      </w:r>
      <w:r w:rsidRPr="009F43DE">
        <w:rPr>
          <w:lang w:val="fr-CH"/>
        </w:rPr>
        <w:t xml:space="preserve"> des causes sociales</w:t>
      </w:r>
      <w:r w:rsidR="00F82330" w:rsidRPr="009F43DE">
        <w:rPr>
          <w:lang w:val="fr-CH"/>
        </w:rPr>
        <w:t xml:space="preserve"> bénéficient d</w:t>
      </w:r>
      <w:r w:rsidR="00F8384A" w:rsidRPr="009F43DE">
        <w:rPr>
          <w:lang w:val="fr-CH"/>
        </w:rPr>
        <w:t>’</w:t>
      </w:r>
      <w:r w:rsidR="00F82330" w:rsidRPr="009F43DE">
        <w:rPr>
          <w:lang w:val="fr-CH"/>
        </w:rPr>
        <w:t>un vaste ensemble de garanties constitutionnelles, y compris des voies de recours efficaces</w:t>
      </w:r>
      <w:r w:rsidRPr="009F43DE">
        <w:rPr>
          <w:lang w:val="fr-CH"/>
        </w:rPr>
        <w:t>.</w:t>
      </w:r>
    </w:p>
    <w:p w:rsidR="006452AF" w:rsidRPr="009F43DE" w:rsidRDefault="006452AF" w:rsidP="006452AF">
      <w:pPr>
        <w:pStyle w:val="H23G"/>
        <w:rPr>
          <w:lang w:val="fr-CH"/>
        </w:rPr>
      </w:pPr>
      <w:r w:rsidRPr="009F43DE">
        <w:rPr>
          <w:lang w:val="fr-CH"/>
        </w:rPr>
        <w:tab/>
      </w:r>
      <w:r w:rsidRPr="009F43DE">
        <w:rPr>
          <w:lang w:val="fr-CH"/>
        </w:rPr>
        <w:tab/>
      </w:r>
      <w:r w:rsidR="00F82330" w:rsidRPr="009F43DE">
        <w:rPr>
          <w:lang w:val="fr-CH"/>
        </w:rPr>
        <w:t>Faire en sorte que les Veddah puissent retourner sur les terres dont ils ont été expulsés et y demeurer en paix</w:t>
      </w:r>
      <w:r w:rsidRPr="009F43DE">
        <w:rPr>
          <w:bCs/>
          <w:lang w:val="fr-CH" w:eastAsia="fr-FR"/>
        </w:rPr>
        <w:t xml:space="preserve"> </w:t>
      </w:r>
      <w:r w:rsidR="001D6B83">
        <w:rPr>
          <w:bCs/>
          <w:lang w:val="fr-CH" w:eastAsia="fr-FR"/>
        </w:rPr>
        <w:t>(</w:t>
      </w:r>
      <w:r w:rsidR="000F0191" w:rsidRPr="009F43DE">
        <w:rPr>
          <w:bCs/>
          <w:lang w:val="fr-CH" w:eastAsia="fr-FR"/>
        </w:rPr>
        <w:t>p</w:t>
      </w:r>
      <w:r w:rsidRPr="009F43DE">
        <w:rPr>
          <w:bCs/>
          <w:lang w:val="fr-CH" w:eastAsia="fr-FR"/>
        </w:rPr>
        <w:t>ar</w:t>
      </w:r>
      <w:r w:rsidR="001D6B83">
        <w:rPr>
          <w:bCs/>
          <w:lang w:val="fr-CH" w:eastAsia="fr-FR"/>
        </w:rPr>
        <w:t>.</w:t>
      </w:r>
      <w:r w:rsidRPr="009F43DE">
        <w:rPr>
          <w:bCs/>
          <w:lang w:val="fr-CH" w:eastAsia="fr-FR"/>
        </w:rPr>
        <w:t xml:space="preserve"> 11</w:t>
      </w:r>
      <w:r w:rsidR="001D6B83">
        <w:rPr>
          <w:bCs/>
          <w:lang w:val="fr-CH" w:eastAsia="fr-FR"/>
        </w:rPr>
        <w:t>)</w:t>
      </w:r>
    </w:p>
    <w:p w:rsidR="006452AF" w:rsidRPr="009F43DE" w:rsidRDefault="006452AF" w:rsidP="006452AF">
      <w:pPr>
        <w:pStyle w:val="SingleTxtG"/>
        <w:rPr>
          <w:lang w:val="fr-CH"/>
        </w:rPr>
      </w:pPr>
      <w:r w:rsidRPr="009F43DE">
        <w:rPr>
          <w:lang w:val="fr-CH"/>
        </w:rPr>
        <w:t>21.</w:t>
      </w:r>
      <w:r w:rsidRPr="009F43DE">
        <w:rPr>
          <w:lang w:val="fr-CH"/>
        </w:rPr>
        <w:tab/>
        <w:t>Le Gouvernement tient à r</w:t>
      </w:r>
      <w:r w:rsidR="00F82330" w:rsidRPr="009F43DE">
        <w:rPr>
          <w:lang w:val="fr-CH"/>
        </w:rPr>
        <w:t>éaffirmer</w:t>
      </w:r>
      <w:r w:rsidRPr="009F43DE">
        <w:rPr>
          <w:lang w:val="fr-CH"/>
        </w:rPr>
        <w:t xml:space="preserve"> que les </w:t>
      </w:r>
      <w:r w:rsidR="00E42ABD" w:rsidRPr="009F43DE">
        <w:rPr>
          <w:lang w:val="fr-CH"/>
        </w:rPr>
        <w:t>Adivasi (</w:t>
      </w:r>
      <w:r w:rsidRPr="009F43DE">
        <w:rPr>
          <w:lang w:val="fr-CH"/>
        </w:rPr>
        <w:t>Veddah</w:t>
      </w:r>
      <w:r w:rsidR="00E42ABD" w:rsidRPr="009F43DE">
        <w:rPr>
          <w:lang w:val="fr-CH"/>
        </w:rPr>
        <w:t>)</w:t>
      </w:r>
      <w:r w:rsidRPr="009F43DE">
        <w:rPr>
          <w:lang w:val="fr-CH"/>
        </w:rPr>
        <w:t xml:space="preserve"> ont pu </w:t>
      </w:r>
      <w:r w:rsidR="00F60D9C" w:rsidRPr="009F43DE">
        <w:rPr>
          <w:lang w:val="fr-CH"/>
        </w:rPr>
        <w:t>bénéficier</w:t>
      </w:r>
      <w:r w:rsidRPr="009F43DE">
        <w:rPr>
          <w:lang w:val="fr-CH"/>
        </w:rPr>
        <w:t xml:space="preserve"> de façon ininterrompue de leur liberté de résider sur leurs terres</w:t>
      </w:r>
      <w:r w:rsidR="00F60D9C" w:rsidRPr="009F43DE">
        <w:rPr>
          <w:lang w:val="fr-CH"/>
        </w:rPr>
        <w:t xml:space="preserve"> ancestrales</w:t>
      </w:r>
      <w:r w:rsidRPr="009F43DE">
        <w:rPr>
          <w:lang w:val="fr-CH"/>
        </w:rPr>
        <w:t xml:space="preserve">, </w:t>
      </w:r>
      <w:r w:rsidR="00F60D9C" w:rsidRPr="009F43DE">
        <w:rPr>
          <w:lang w:val="fr-CH"/>
        </w:rPr>
        <w:t>surtout</w:t>
      </w:r>
      <w:r w:rsidRPr="009F43DE">
        <w:rPr>
          <w:lang w:val="fr-CH"/>
        </w:rPr>
        <w:t xml:space="preserve"> </w:t>
      </w:r>
      <w:r w:rsidR="00F60D9C" w:rsidRPr="009F43DE">
        <w:rPr>
          <w:lang w:val="fr-CH"/>
        </w:rPr>
        <w:t>dans</w:t>
      </w:r>
      <w:r w:rsidRPr="009F43DE">
        <w:rPr>
          <w:lang w:val="fr-CH"/>
        </w:rPr>
        <w:t xml:space="preserve"> la réserve Maduru Oya, où </w:t>
      </w:r>
      <w:r w:rsidR="007E3D04" w:rsidRPr="009F43DE">
        <w:rPr>
          <w:lang w:val="fr-CH"/>
        </w:rPr>
        <w:t>vivent</w:t>
      </w:r>
      <w:r w:rsidR="00F60D9C" w:rsidRPr="009F43DE">
        <w:rPr>
          <w:lang w:val="fr-CH"/>
        </w:rPr>
        <w:t xml:space="preserve"> la majorité d</w:t>
      </w:r>
      <w:r w:rsidR="00F8384A" w:rsidRPr="009F43DE">
        <w:rPr>
          <w:lang w:val="fr-CH"/>
        </w:rPr>
        <w:t>’</w:t>
      </w:r>
      <w:r w:rsidR="00F60D9C" w:rsidRPr="009F43DE">
        <w:rPr>
          <w:lang w:val="fr-CH"/>
        </w:rPr>
        <w:t>entre eux</w:t>
      </w:r>
      <w:r w:rsidRPr="001D6B83">
        <w:rPr>
          <w:rStyle w:val="FootnoteReference"/>
        </w:rPr>
        <w:footnoteReference w:id="4"/>
      </w:r>
      <w:r w:rsidR="001D6B83">
        <w:rPr>
          <w:lang w:val="fr-CH"/>
        </w:rPr>
        <w:t>.</w:t>
      </w:r>
      <w:r w:rsidRPr="009F43DE">
        <w:rPr>
          <w:lang w:val="fr-CH"/>
        </w:rPr>
        <w:t xml:space="preserve"> Cependant, des restrictions sont mis</w:t>
      </w:r>
      <w:r w:rsidR="00EC43E6" w:rsidRPr="009F43DE">
        <w:rPr>
          <w:lang w:val="fr-CH"/>
        </w:rPr>
        <w:t xml:space="preserve">es </w:t>
      </w:r>
      <w:r w:rsidRPr="009F43DE">
        <w:rPr>
          <w:lang w:val="fr-CH"/>
        </w:rPr>
        <w:t xml:space="preserve">en place </w:t>
      </w:r>
      <w:r w:rsidR="00EC43E6" w:rsidRPr="009F43DE">
        <w:rPr>
          <w:lang w:val="fr-CH"/>
        </w:rPr>
        <w:t>pour éviter</w:t>
      </w:r>
      <w:r w:rsidRPr="009F43DE">
        <w:rPr>
          <w:lang w:val="fr-CH"/>
        </w:rPr>
        <w:t xml:space="preserve"> le braconnage des animaux sauvages dans la réserve forestière </w:t>
      </w:r>
      <w:r w:rsidR="00EC43E6" w:rsidRPr="009F43DE">
        <w:rPr>
          <w:lang w:val="fr-CH"/>
        </w:rPr>
        <w:t xml:space="preserve">et assurer leur </w:t>
      </w:r>
      <w:r w:rsidRPr="009F43DE">
        <w:rPr>
          <w:lang w:val="fr-CH"/>
        </w:rPr>
        <w:t xml:space="preserve">conservation. </w:t>
      </w:r>
      <w:r w:rsidR="00EC43E6" w:rsidRPr="009F43DE">
        <w:rPr>
          <w:lang w:val="fr-CH"/>
        </w:rPr>
        <w:t>On notera</w:t>
      </w:r>
      <w:r w:rsidRPr="009F43DE">
        <w:rPr>
          <w:lang w:val="fr-CH"/>
        </w:rPr>
        <w:t xml:space="preserve"> également que</w:t>
      </w:r>
      <w:r w:rsidR="007E3D04" w:rsidRPr="009F43DE">
        <w:rPr>
          <w:lang w:val="fr-CH"/>
        </w:rPr>
        <w:t>,</w:t>
      </w:r>
      <w:r w:rsidRPr="009F43DE">
        <w:rPr>
          <w:lang w:val="fr-CH"/>
        </w:rPr>
        <w:t xml:space="preserve"> lors de la conception de projets d</w:t>
      </w:r>
      <w:r w:rsidR="00F8384A" w:rsidRPr="009F43DE">
        <w:rPr>
          <w:lang w:val="fr-CH"/>
        </w:rPr>
        <w:t>’</w:t>
      </w:r>
      <w:r w:rsidR="00EC43E6" w:rsidRPr="009F43DE">
        <w:rPr>
          <w:lang w:val="fr-CH"/>
        </w:rPr>
        <w:t>aménagement</w:t>
      </w:r>
      <w:r w:rsidRPr="009F43DE">
        <w:rPr>
          <w:lang w:val="fr-CH"/>
        </w:rPr>
        <w:t xml:space="preserve"> dans les </w:t>
      </w:r>
      <w:r w:rsidR="00E42ABD" w:rsidRPr="009F43DE">
        <w:rPr>
          <w:lang w:val="fr-CH"/>
        </w:rPr>
        <w:t>zones de peuplement</w:t>
      </w:r>
      <w:r w:rsidRPr="009F43DE">
        <w:rPr>
          <w:lang w:val="fr-CH"/>
        </w:rPr>
        <w:t xml:space="preserve"> adivasi</w:t>
      </w:r>
      <w:r w:rsidRPr="009F43DE">
        <w:rPr>
          <w:rStyle w:val="FootnoteReference"/>
          <w:lang w:val="fr-CH"/>
        </w:rPr>
        <w:footnoteReference w:id="5"/>
      </w:r>
      <w:r w:rsidRPr="009F43DE">
        <w:rPr>
          <w:lang w:val="fr-CH"/>
        </w:rPr>
        <w:t xml:space="preserve">, </w:t>
      </w:r>
      <w:r w:rsidR="00E42ABD" w:rsidRPr="009F43DE">
        <w:rPr>
          <w:lang w:val="fr-CH"/>
        </w:rPr>
        <w:t>l</w:t>
      </w:r>
      <w:r w:rsidR="00F8384A" w:rsidRPr="009F43DE">
        <w:rPr>
          <w:lang w:val="fr-CH"/>
        </w:rPr>
        <w:t>’</w:t>
      </w:r>
      <w:r w:rsidRPr="009F43DE">
        <w:rPr>
          <w:lang w:val="fr-CH"/>
        </w:rPr>
        <w:t>engagement</w:t>
      </w:r>
      <w:r w:rsidR="00E42ABD" w:rsidRPr="009F43DE">
        <w:rPr>
          <w:lang w:val="fr-CH"/>
        </w:rPr>
        <w:t xml:space="preserve"> a été</w:t>
      </w:r>
      <w:r w:rsidRPr="009F43DE">
        <w:rPr>
          <w:lang w:val="fr-CH"/>
        </w:rPr>
        <w:t xml:space="preserve"> pris </w:t>
      </w:r>
      <w:r w:rsidR="00E42ABD" w:rsidRPr="009F43DE">
        <w:rPr>
          <w:lang w:val="fr-CH"/>
        </w:rPr>
        <w:t>d</w:t>
      </w:r>
      <w:r w:rsidR="00F8384A" w:rsidRPr="009F43DE">
        <w:rPr>
          <w:lang w:val="fr-CH"/>
        </w:rPr>
        <w:t>’</w:t>
      </w:r>
      <w:r w:rsidRPr="009F43DE">
        <w:rPr>
          <w:lang w:val="fr-CH"/>
        </w:rPr>
        <w:t>assurer la participation et la consultation de</w:t>
      </w:r>
      <w:r w:rsidR="00E42ABD" w:rsidRPr="009F43DE">
        <w:rPr>
          <w:lang w:val="fr-CH"/>
        </w:rPr>
        <w:t>s</w:t>
      </w:r>
      <w:r w:rsidRPr="009F43DE">
        <w:rPr>
          <w:lang w:val="fr-CH"/>
        </w:rPr>
        <w:t xml:space="preserve"> communauté</w:t>
      </w:r>
      <w:r w:rsidR="00E42ABD" w:rsidRPr="009F43DE">
        <w:rPr>
          <w:lang w:val="fr-CH"/>
        </w:rPr>
        <w:t>s</w:t>
      </w:r>
      <w:r w:rsidRPr="009F43DE">
        <w:rPr>
          <w:lang w:val="fr-CH"/>
        </w:rPr>
        <w:t xml:space="preserve"> adivasi </w:t>
      </w:r>
      <w:r w:rsidR="00E42ABD" w:rsidRPr="009F43DE">
        <w:rPr>
          <w:lang w:val="fr-CH"/>
        </w:rPr>
        <w:t>concernées</w:t>
      </w:r>
      <w:r w:rsidRPr="009F43DE">
        <w:rPr>
          <w:lang w:val="fr-CH"/>
        </w:rPr>
        <w:t xml:space="preserve">. </w:t>
      </w:r>
      <w:r w:rsidR="00E42ABD" w:rsidRPr="009F43DE">
        <w:rPr>
          <w:lang w:val="fr-CH"/>
        </w:rPr>
        <w:t>Compte tenu de sa</w:t>
      </w:r>
      <w:r w:rsidRPr="009F43DE">
        <w:rPr>
          <w:lang w:val="fr-CH"/>
        </w:rPr>
        <w:t xml:space="preserve"> politique </w:t>
      </w:r>
      <w:r w:rsidR="00E42ABD" w:rsidRPr="009F43DE">
        <w:rPr>
          <w:lang w:val="fr-CH"/>
        </w:rPr>
        <w:t>à l</w:t>
      </w:r>
      <w:r w:rsidR="00F8384A" w:rsidRPr="009F43DE">
        <w:rPr>
          <w:lang w:val="fr-CH"/>
        </w:rPr>
        <w:t>’</w:t>
      </w:r>
      <w:r w:rsidR="00E42ABD" w:rsidRPr="009F43DE">
        <w:rPr>
          <w:lang w:val="fr-CH"/>
        </w:rPr>
        <w:t>égard de la population</w:t>
      </w:r>
      <w:r w:rsidRPr="009F43DE">
        <w:rPr>
          <w:lang w:val="fr-CH"/>
        </w:rPr>
        <w:t xml:space="preserve"> adivasi et </w:t>
      </w:r>
      <w:r w:rsidR="00E42ABD" w:rsidRPr="009F43DE">
        <w:rPr>
          <w:lang w:val="fr-CH"/>
        </w:rPr>
        <w:t xml:space="preserve">du </w:t>
      </w:r>
      <w:r w:rsidRPr="009F43DE">
        <w:rPr>
          <w:lang w:val="fr-CH"/>
        </w:rPr>
        <w:t xml:space="preserve">rôle </w:t>
      </w:r>
      <w:r w:rsidR="00E42ABD" w:rsidRPr="009F43DE">
        <w:rPr>
          <w:lang w:val="fr-CH"/>
        </w:rPr>
        <w:t>qu</w:t>
      </w:r>
      <w:r w:rsidR="00F8384A" w:rsidRPr="009F43DE">
        <w:rPr>
          <w:lang w:val="fr-CH"/>
        </w:rPr>
        <w:t>’</w:t>
      </w:r>
      <w:r w:rsidR="00E42ABD" w:rsidRPr="009F43DE">
        <w:rPr>
          <w:lang w:val="fr-CH"/>
        </w:rPr>
        <w:t xml:space="preserve">elle </w:t>
      </w:r>
      <w:r w:rsidR="007E3D04" w:rsidRPr="009F43DE">
        <w:rPr>
          <w:lang w:val="fr-CH"/>
        </w:rPr>
        <w:t>doit</w:t>
      </w:r>
      <w:r w:rsidR="00E42ABD" w:rsidRPr="009F43DE">
        <w:rPr>
          <w:lang w:val="fr-CH"/>
        </w:rPr>
        <w:t xml:space="preserve"> jouer</w:t>
      </w:r>
      <w:r w:rsidRPr="009F43DE">
        <w:rPr>
          <w:lang w:val="fr-CH"/>
        </w:rPr>
        <w:t xml:space="preserve"> dans le processus de développement</w:t>
      </w:r>
      <w:r w:rsidR="00E42ABD" w:rsidRPr="009F43DE">
        <w:rPr>
          <w:lang w:val="fr-CH"/>
        </w:rPr>
        <w:t>, l</w:t>
      </w:r>
      <w:r w:rsidR="00F8384A" w:rsidRPr="009F43DE">
        <w:rPr>
          <w:lang w:val="fr-CH"/>
        </w:rPr>
        <w:t>’</w:t>
      </w:r>
      <w:r w:rsidR="007574C7" w:rsidRPr="009F43DE">
        <w:rPr>
          <w:lang w:val="fr-CH"/>
        </w:rPr>
        <w:t>État</w:t>
      </w:r>
      <w:r w:rsidR="00E42ABD" w:rsidRPr="009F43DE">
        <w:rPr>
          <w:lang w:val="fr-CH"/>
        </w:rPr>
        <w:t xml:space="preserve"> s</w:t>
      </w:r>
      <w:r w:rsidR="00F8384A" w:rsidRPr="009F43DE">
        <w:rPr>
          <w:lang w:val="fr-CH"/>
        </w:rPr>
        <w:t>’</w:t>
      </w:r>
      <w:r w:rsidR="00E42ABD" w:rsidRPr="009F43DE">
        <w:rPr>
          <w:lang w:val="fr-CH"/>
        </w:rPr>
        <w:t>est employé à prendre</w:t>
      </w:r>
      <w:r w:rsidRPr="009F43DE">
        <w:rPr>
          <w:lang w:val="fr-CH"/>
        </w:rPr>
        <w:t xml:space="preserve"> en considération les aspirations spécifiques, l</w:t>
      </w:r>
      <w:r w:rsidR="00F8384A" w:rsidRPr="009F43DE">
        <w:rPr>
          <w:lang w:val="fr-CH"/>
        </w:rPr>
        <w:t>’</w:t>
      </w:r>
      <w:r w:rsidRPr="009F43DE">
        <w:rPr>
          <w:lang w:val="fr-CH"/>
        </w:rPr>
        <w:t>identité culturelle et le mode de vie</w:t>
      </w:r>
      <w:r w:rsidR="00E42ABD" w:rsidRPr="009F43DE">
        <w:rPr>
          <w:lang w:val="fr-CH"/>
        </w:rPr>
        <w:t xml:space="preserve"> de cette population, qui </w:t>
      </w:r>
      <w:r w:rsidRPr="009F43DE">
        <w:rPr>
          <w:lang w:val="fr-CH"/>
        </w:rPr>
        <w:t>joui</w:t>
      </w:r>
      <w:r w:rsidR="007E3D04" w:rsidRPr="009F43DE">
        <w:rPr>
          <w:lang w:val="fr-CH"/>
        </w:rPr>
        <w:t>t</w:t>
      </w:r>
      <w:r w:rsidRPr="009F43DE">
        <w:rPr>
          <w:lang w:val="fr-CH"/>
        </w:rPr>
        <w:t xml:space="preserve"> de tous les autres droits </w:t>
      </w:r>
      <w:r w:rsidR="007E3D04" w:rsidRPr="009F43DE">
        <w:rPr>
          <w:lang w:val="fr-CH"/>
        </w:rPr>
        <w:t>accordés aux</w:t>
      </w:r>
      <w:r w:rsidRPr="009F43DE">
        <w:rPr>
          <w:lang w:val="fr-CH"/>
        </w:rPr>
        <w:t xml:space="preserve"> citoyens sri-lankais. Voir également </w:t>
      </w:r>
      <w:r w:rsidR="00EC43E6" w:rsidRPr="009F43DE">
        <w:rPr>
          <w:lang w:val="fr-CH"/>
        </w:rPr>
        <w:t xml:space="preserve">à cet égard </w:t>
      </w:r>
      <w:r w:rsidRPr="009F43DE">
        <w:rPr>
          <w:lang w:val="fr-CH"/>
        </w:rPr>
        <w:t>le</w:t>
      </w:r>
      <w:r w:rsidR="00EC43E6" w:rsidRPr="009F43DE">
        <w:rPr>
          <w:lang w:val="fr-CH"/>
        </w:rPr>
        <w:t>s</w:t>
      </w:r>
      <w:r w:rsidRPr="009F43DE">
        <w:rPr>
          <w:lang w:val="fr-CH"/>
        </w:rPr>
        <w:t xml:space="preserve"> paragraphe</w:t>
      </w:r>
      <w:r w:rsidR="00EC43E6" w:rsidRPr="009F43DE">
        <w:rPr>
          <w:lang w:val="fr-CH"/>
        </w:rPr>
        <w:t>s</w:t>
      </w:r>
      <w:r w:rsidRPr="009F43DE">
        <w:rPr>
          <w:lang w:val="fr-CH"/>
        </w:rPr>
        <w:t xml:space="preserve"> 165</w:t>
      </w:r>
      <w:r w:rsidR="00E42ABD" w:rsidRPr="009F43DE">
        <w:rPr>
          <w:lang w:val="fr-CH"/>
        </w:rPr>
        <w:t xml:space="preserve"> à </w:t>
      </w:r>
      <w:r w:rsidRPr="009F43DE">
        <w:rPr>
          <w:lang w:val="fr-CH"/>
        </w:rPr>
        <w:t>167</w:t>
      </w:r>
      <w:r w:rsidR="00EC43E6" w:rsidRPr="009F43DE">
        <w:rPr>
          <w:lang w:val="fr-CH"/>
        </w:rPr>
        <w:t>.</w:t>
      </w:r>
    </w:p>
    <w:p w:rsidR="006452AF" w:rsidRPr="009F43DE" w:rsidRDefault="006452AF" w:rsidP="006452AF">
      <w:pPr>
        <w:pStyle w:val="H23G"/>
        <w:rPr>
          <w:lang w:val="fr-CH"/>
        </w:rPr>
      </w:pPr>
      <w:r w:rsidRPr="009F43DE">
        <w:rPr>
          <w:lang w:val="fr-CH"/>
        </w:rPr>
        <w:tab/>
      </w:r>
      <w:r w:rsidRPr="009F43DE">
        <w:rPr>
          <w:lang w:val="fr-CH"/>
        </w:rPr>
        <w:tab/>
        <w:t xml:space="preserve">Lutter </w:t>
      </w:r>
      <w:r w:rsidRPr="009F43DE">
        <w:rPr>
          <w:bCs/>
          <w:lang w:val="fr-CH" w:eastAsia="fr-FR"/>
        </w:rPr>
        <w:t>contre la corruption et l</w:t>
      </w:r>
      <w:r w:rsidR="00F8384A" w:rsidRPr="009F43DE">
        <w:rPr>
          <w:bCs/>
          <w:lang w:val="fr-CH" w:eastAsia="fr-FR"/>
        </w:rPr>
        <w:t>’</w:t>
      </w:r>
      <w:r w:rsidRPr="009F43DE">
        <w:rPr>
          <w:bCs/>
          <w:lang w:val="fr-CH" w:eastAsia="fr-FR"/>
        </w:rPr>
        <w:t xml:space="preserve">impunité </w:t>
      </w:r>
      <w:r w:rsidR="001D6B83">
        <w:rPr>
          <w:bCs/>
          <w:lang w:val="fr-CH" w:eastAsia="fr-FR"/>
        </w:rPr>
        <w:t>(</w:t>
      </w:r>
      <w:r w:rsidR="000F0191" w:rsidRPr="009F43DE">
        <w:rPr>
          <w:bCs/>
          <w:lang w:val="fr-CH" w:eastAsia="fr-FR"/>
        </w:rPr>
        <w:t>p</w:t>
      </w:r>
      <w:r w:rsidRPr="009F43DE">
        <w:rPr>
          <w:bCs/>
          <w:lang w:val="fr-CH" w:eastAsia="fr-FR"/>
        </w:rPr>
        <w:t>ar</w:t>
      </w:r>
      <w:r w:rsidR="001D6B83">
        <w:rPr>
          <w:bCs/>
          <w:lang w:val="fr-CH" w:eastAsia="fr-FR"/>
        </w:rPr>
        <w:t>.</w:t>
      </w:r>
      <w:r w:rsidRPr="009F43DE">
        <w:rPr>
          <w:bCs/>
          <w:lang w:val="fr-CH" w:eastAsia="fr-FR"/>
        </w:rPr>
        <w:t xml:space="preserve"> 12</w:t>
      </w:r>
      <w:r w:rsidR="001D6B83">
        <w:rPr>
          <w:lang w:val="fr-CH"/>
        </w:rPr>
        <w:t>)</w:t>
      </w:r>
    </w:p>
    <w:p w:rsidR="006452AF" w:rsidRPr="009F43DE" w:rsidRDefault="006452AF" w:rsidP="006452AF">
      <w:pPr>
        <w:pStyle w:val="SingleTxtG"/>
        <w:rPr>
          <w:lang w:val="fr-CH"/>
        </w:rPr>
      </w:pPr>
      <w:r w:rsidRPr="009F43DE">
        <w:rPr>
          <w:lang w:val="fr-CH"/>
        </w:rPr>
        <w:t>22.</w:t>
      </w:r>
      <w:r w:rsidR="005556CD" w:rsidRPr="009F43DE">
        <w:rPr>
          <w:lang w:val="fr-CH"/>
        </w:rPr>
        <w:tab/>
      </w:r>
      <w:r w:rsidRPr="009F43DE">
        <w:rPr>
          <w:lang w:val="fr-CH"/>
        </w:rPr>
        <w:t>Sri Lanka</w:t>
      </w:r>
      <w:r w:rsidR="000F0191" w:rsidRPr="009F43DE">
        <w:rPr>
          <w:lang w:val="fr-CH"/>
        </w:rPr>
        <w:t>, en tant qu</w:t>
      </w:r>
      <w:r w:rsidR="00F8384A" w:rsidRPr="009F43DE">
        <w:rPr>
          <w:lang w:val="fr-CH"/>
        </w:rPr>
        <w:t>’</w:t>
      </w:r>
      <w:r w:rsidR="007574C7" w:rsidRPr="009F43DE">
        <w:rPr>
          <w:lang w:val="fr-CH"/>
        </w:rPr>
        <w:t>État</w:t>
      </w:r>
      <w:r w:rsidRPr="009F43DE">
        <w:rPr>
          <w:lang w:val="fr-CH"/>
        </w:rPr>
        <w:t xml:space="preserve"> partie à la Convention des Nations Unies contre la corruption, reste déterminé</w:t>
      </w:r>
      <w:r w:rsidR="00E42ABD" w:rsidRPr="009F43DE">
        <w:rPr>
          <w:lang w:val="fr-CH"/>
        </w:rPr>
        <w:t>e</w:t>
      </w:r>
      <w:r w:rsidRPr="009F43DE">
        <w:rPr>
          <w:lang w:val="fr-CH"/>
        </w:rPr>
        <w:t xml:space="preserve"> à mettre en œuvre efficacement </w:t>
      </w:r>
      <w:r w:rsidR="00EF44E2" w:rsidRPr="009F43DE">
        <w:rPr>
          <w:lang w:val="fr-CH"/>
        </w:rPr>
        <w:t>l</w:t>
      </w:r>
      <w:r w:rsidRPr="009F43DE">
        <w:rPr>
          <w:lang w:val="fr-CH"/>
        </w:rPr>
        <w:t>es dispositions</w:t>
      </w:r>
      <w:r w:rsidR="00EF44E2" w:rsidRPr="009F43DE">
        <w:rPr>
          <w:lang w:val="fr-CH"/>
        </w:rPr>
        <w:t xml:space="preserve"> de cet instrument</w:t>
      </w:r>
      <w:r w:rsidRPr="009F43DE">
        <w:rPr>
          <w:lang w:val="fr-CH"/>
        </w:rPr>
        <w:t xml:space="preserve">. </w:t>
      </w:r>
      <w:r w:rsidR="00EF44E2" w:rsidRPr="009F43DE">
        <w:rPr>
          <w:lang w:val="fr-CH"/>
        </w:rPr>
        <w:t>Une</w:t>
      </w:r>
      <w:r w:rsidRPr="009F43DE">
        <w:rPr>
          <w:lang w:val="fr-CH"/>
        </w:rPr>
        <w:t xml:space="preserve"> loi habilitante</w:t>
      </w:r>
      <w:r w:rsidR="00EF44E2" w:rsidRPr="009F43DE">
        <w:rPr>
          <w:lang w:val="fr-CH"/>
        </w:rPr>
        <w:t xml:space="preserve"> a été introduite, </w:t>
      </w:r>
      <w:r w:rsidRPr="009F43DE">
        <w:rPr>
          <w:lang w:val="fr-CH"/>
        </w:rPr>
        <w:t xml:space="preserve">qui vise à donner effet à la Convention, la Commission indépendante </w:t>
      </w:r>
      <w:r w:rsidR="00B51AF7" w:rsidRPr="009F43DE">
        <w:rPr>
          <w:lang w:val="fr-CH"/>
        </w:rPr>
        <w:t xml:space="preserve">chargée </w:t>
      </w:r>
      <w:r w:rsidRPr="009F43DE">
        <w:rPr>
          <w:lang w:val="fr-CH"/>
        </w:rPr>
        <w:t>d</w:t>
      </w:r>
      <w:r w:rsidR="00F8384A" w:rsidRPr="009F43DE">
        <w:rPr>
          <w:lang w:val="fr-CH"/>
        </w:rPr>
        <w:t>’</w:t>
      </w:r>
      <w:r w:rsidRPr="009F43DE">
        <w:rPr>
          <w:lang w:val="fr-CH"/>
        </w:rPr>
        <w:t>enquête</w:t>
      </w:r>
      <w:r w:rsidR="00B51AF7" w:rsidRPr="009F43DE">
        <w:rPr>
          <w:lang w:val="fr-CH"/>
        </w:rPr>
        <w:t>r</w:t>
      </w:r>
      <w:r w:rsidRPr="009F43DE">
        <w:rPr>
          <w:lang w:val="fr-CH"/>
        </w:rPr>
        <w:t xml:space="preserve"> sur les allégations de corruption</w:t>
      </w:r>
      <w:r w:rsidR="00B51AF7" w:rsidRPr="009F43DE">
        <w:rPr>
          <w:lang w:val="fr-CH"/>
        </w:rPr>
        <w:t xml:space="preserve"> ou d</w:t>
      </w:r>
      <w:r w:rsidR="00F8384A" w:rsidRPr="009F43DE">
        <w:rPr>
          <w:lang w:val="fr-CH"/>
        </w:rPr>
        <w:t>’</w:t>
      </w:r>
      <w:r w:rsidR="00B51AF7" w:rsidRPr="009F43DE">
        <w:rPr>
          <w:lang w:val="fr-CH"/>
        </w:rPr>
        <w:t>actes de corruption</w:t>
      </w:r>
      <w:r w:rsidRPr="009F43DE">
        <w:rPr>
          <w:lang w:val="fr-CH"/>
        </w:rPr>
        <w:t xml:space="preserve"> </w:t>
      </w:r>
      <w:r w:rsidR="00B51AF7" w:rsidRPr="009F43DE">
        <w:rPr>
          <w:lang w:val="fr-CH"/>
        </w:rPr>
        <w:t>ayant pour mission d</w:t>
      </w:r>
      <w:r w:rsidR="00F8384A" w:rsidRPr="009F43DE">
        <w:rPr>
          <w:lang w:val="fr-CH"/>
        </w:rPr>
        <w:t>’</w:t>
      </w:r>
      <w:r w:rsidR="00B51AF7" w:rsidRPr="009F43DE">
        <w:rPr>
          <w:lang w:val="fr-CH"/>
        </w:rPr>
        <w:t>enquê</w:t>
      </w:r>
      <w:r w:rsidR="00EF44E2" w:rsidRPr="009F43DE">
        <w:rPr>
          <w:lang w:val="fr-CH"/>
        </w:rPr>
        <w:t>ter sur les violations et d</w:t>
      </w:r>
      <w:r w:rsidR="00F8384A" w:rsidRPr="009F43DE">
        <w:rPr>
          <w:lang w:val="fr-CH"/>
        </w:rPr>
        <w:t>’</w:t>
      </w:r>
      <w:r w:rsidR="00EF44E2" w:rsidRPr="009F43DE">
        <w:rPr>
          <w:lang w:val="fr-CH"/>
        </w:rPr>
        <w:t xml:space="preserve">en </w:t>
      </w:r>
      <w:r w:rsidRPr="009F43DE">
        <w:rPr>
          <w:lang w:val="fr-CH"/>
        </w:rPr>
        <w:t>poursui</w:t>
      </w:r>
      <w:r w:rsidR="00EF44E2" w:rsidRPr="009F43DE">
        <w:rPr>
          <w:lang w:val="fr-CH"/>
        </w:rPr>
        <w:t>vre les auteurs</w:t>
      </w:r>
      <w:r w:rsidRPr="009F43DE">
        <w:rPr>
          <w:lang w:val="fr-CH"/>
        </w:rPr>
        <w:t xml:space="preserve">. </w:t>
      </w:r>
      <w:r w:rsidR="00B2292F">
        <w:rPr>
          <w:lang w:val="fr-CH"/>
        </w:rPr>
        <w:t>Elle</w:t>
      </w:r>
      <w:r w:rsidR="00B2292F" w:rsidRPr="009F43DE">
        <w:rPr>
          <w:lang w:val="fr-CH"/>
        </w:rPr>
        <w:t xml:space="preserve"> </w:t>
      </w:r>
      <w:r w:rsidRPr="009F43DE">
        <w:rPr>
          <w:lang w:val="fr-CH"/>
        </w:rPr>
        <w:t xml:space="preserve">a présenté sa </w:t>
      </w:r>
      <w:r w:rsidR="00EF44E2" w:rsidRPr="009F43DE">
        <w:rPr>
          <w:lang w:val="fr-CH"/>
        </w:rPr>
        <w:t>l</w:t>
      </w:r>
      <w:r w:rsidRPr="009F43DE">
        <w:rPr>
          <w:lang w:val="fr-CH"/>
        </w:rPr>
        <w:t>iste de contrôle détaillée pour l</w:t>
      </w:r>
      <w:r w:rsidR="00F8384A" w:rsidRPr="009F43DE">
        <w:rPr>
          <w:lang w:val="fr-CH"/>
        </w:rPr>
        <w:t>’</w:t>
      </w:r>
      <w:r w:rsidRPr="009F43DE">
        <w:rPr>
          <w:lang w:val="fr-CH"/>
        </w:rPr>
        <w:t xml:space="preserve">auto-évaluation au </w:t>
      </w:r>
      <w:r w:rsidR="00B2292F">
        <w:rPr>
          <w:lang w:val="fr-CH"/>
        </w:rPr>
        <w:t>s</w:t>
      </w:r>
      <w:r w:rsidR="00B2292F" w:rsidRPr="009F43DE">
        <w:rPr>
          <w:lang w:val="fr-CH"/>
        </w:rPr>
        <w:t xml:space="preserve">ecrétariat </w:t>
      </w:r>
      <w:r w:rsidRPr="009F43DE">
        <w:rPr>
          <w:lang w:val="fr-CH"/>
        </w:rPr>
        <w:t xml:space="preserve">de la Convention et la visite </w:t>
      </w:r>
      <w:r w:rsidR="00B51AF7" w:rsidRPr="009F43DE">
        <w:rPr>
          <w:lang w:val="fr-CH"/>
        </w:rPr>
        <w:t xml:space="preserve">de </w:t>
      </w:r>
      <w:r w:rsidRPr="009F43DE">
        <w:rPr>
          <w:lang w:val="fr-CH"/>
        </w:rPr>
        <w:t>pays de</w:t>
      </w:r>
      <w:r w:rsidR="00B51AF7" w:rsidRPr="009F43DE">
        <w:rPr>
          <w:lang w:val="fr-CH"/>
        </w:rPr>
        <w:t>s</w:t>
      </w:r>
      <w:r w:rsidRPr="009F43DE">
        <w:rPr>
          <w:lang w:val="fr-CH"/>
        </w:rPr>
        <w:t xml:space="preserve"> États parties </w:t>
      </w:r>
      <w:r w:rsidR="00B51AF7" w:rsidRPr="009F43DE">
        <w:rPr>
          <w:lang w:val="fr-CH"/>
        </w:rPr>
        <w:t>chargés de l</w:t>
      </w:r>
      <w:r w:rsidR="00F8384A" w:rsidRPr="009F43DE">
        <w:rPr>
          <w:lang w:val="fr-CH"/>
        </w:rPr>
        <w:t>’</w:t>
      </w:r>
      <w:r w:rsidR="00B51AF7" w:rsidRPr="009F43DE">
        <w:rPr>
          <w:lang w:val="fr-CH"/>
        </w:rPr>
        <w:t xml:space="preserve">examen a eu lieu </w:t>
      </w:r>
      <w:r w:rsidRPr="009F43DE">
        <w:rPr>
          <w:lang w:val="fr-CH"/>
        </w:rPr>
        <w:t>en 2013.</w:t>
      </w:r>
    </w:p>
    <w:p w:rsidR="006452AF" w:rsidRPr="009F43DE" w:rsidRDefault="006452AF" w:rsidP="006452AF">
      <w:pPr>
        <w:pStyle w:val="SingleTxtG"/>
        <w:rPr>
          <w:lang w:val="fr-CH"/>
        </w:rPr>
      </w:pPr>
      <w:r w:rsidRPr="009F43DE">
        <w:rPr>
          <w:lang w:val="fr-CH"/>
        </w:rPr>
        <w:t>23.</w:t>
      </w:r>
      <w:r w:rsidRPr="009F43DE">
        <w:rPr>
          <w:lang w:val="fr-CH"/>
        </w:rPr>
        <w:tab/>
        <w:t>L</w:t>
      </w:r>
      <w:r w:rsidR="00B51AF7" w:rsidRPr="009F43DE">
        <w:rPr>
          <w:lang w:val="fr-CH"/>
        </w:rPr>
        <w:t>e</w:t>
      </w:r>
      <w:r w:rsidRPr="009F43DE">
        <w:rPr>
          <w:lang w:val="fr-CH"/>
        </w:rPr>
        <w:t xml:space="preserve"> 19</w:t>
      </w:r>
      <w:r w:rsidRPr="009F43DE">
        <w:rPr>
          <w:vertAlign w:val="superscript"/>
          <w:lang w:val="fr-CH"/>
        </w:rPr>
        <w:t>e</w:t>
      </w:r>
      <w:r w:rsidRPr="009F43DE">
        <w:rPr>
          <w:lang w:val="fr-CH"/>
        </w:rPr>
        <w:t xml:space="preserve"> </w:t>
      </w:r>
      <w:r w:rsidR="00B2292F">
        <w:rPr>
          <w:lang w:val="fr-CH"/>
        </w:rPr>
        <w:t>a</w:t>
      </w:r>
      <w:r w:rsidR="00B2292F" w:rsidRPr="009F43DE">
        <w:rPr>
          <w:lang w:val="fr-CH"/>
        </w:rPr>
        <w:t xml:space="preserve">mendement </w:t>
      </w:r>
      <w:r w:rsidRPr="009F43DE">
        <w:rPr>
          <w:lang w:val="fr-CH"/>
        </w:rPr>
        <w:t xml:space="preserve">à la Constitution </w:t>
      </w:r>
      <w:r w:rsidR="00B51AF7" w:rsidRPr="009F43DE">
        <w:rPr>
          <w:lang w:val="fr-CH"/>
        </w:rPr>
        <w:t xml:space="preserve">prévoit </w:t>
      </w:r>
      <w:r w:rsidR="00C4528B" w:rsidRPr="009F43DE">
        <w:rPr>
          <w:lang w:val="fr-CH"/>
        </w:rPr>
        <w:t>au paragraphe 1 de</w:t>
      </w:r>
      <w:r w:rsidRPr="009F43DE">
        <w:rPr>
          <w:lang w:val="fr-CH"/>
        </w:rPr>
        <w:t xml:space="preserve"> l</w:t>
      </w:r>
      <w:r w:rsidR="00F8384A" w:rsidRPr="009F43DE">
        <w:rPr>
          <w:lang w:val="fr-CH"/>
        </w:rPr>
        <w:t>’</w:t>
      </w:r>
      <w:r w:rsidR="00B51AF7" w:rsidRPr="009F43DE">
        <w:rPr>
          <w:lang w:val="fr-CH"/>
        </w:rPr>
        <w:t>a</w:t>
      </w:r>
      <w:r w:rsidRPr="009F43DE">
        <w:rPr>
          <w:lang w:val="fr-CH"/>
        </w:rPr>
        <w:t xml:space="preserve">rticle 156(A) que le Parlement </w:t>
      </w:r>
      <w:r w:rsidR="00B51AF7" w:rsidRPr="009F43DE">
        <w:rPr>
          <w:lang w:val="fr-CH"/>
        </w:rPr>
        <w:t>doit adopt</w:t>
      </w:r>
      <w:r w:rsidR="00C4528B" w:rsidRPr="009F43DE">
        <w:rPr>
          <w:lang w:val="fr-CH"/>
        </w:rPr>
        <w:t>er</w:t>
      </w:r>
      <w:r w:rsidR="00B51AF7" w:rsidRPr="009F43DE">
        <w:rPr>
          <w:lang w:val="fr-CH"/>
        </w:rPr>
        <w:t xml:space="preserve"> une loi établissant </w:t>
      </w:r>
      <w:r w:rsidRPr="009F43DE">
        <w:rPr>
          <w:lang w:val="fr-CH"/>
        </w:rPr>
        <w:t xml:space="preserve">une </w:t>
      </w:r>
      <w:r w:rsidR="00B2292F">
        <w:rPr>
          <w:lang w:val="fr-CH"/>
        </w:rPr>
        <w:t>c</w:t>
      </w:r>
      <w:r w:rsidR="00B2292F" w:rsidRPr="009F43DE">
        <w:rPr>
          <w:lang w:val="fr-CH"/>
        </w:rPr>
        <w:t xml:space="preserve">ommission </w:t>
      </w:r>
      <w:r w:rsidR="00B51AF7" w:rsidRPr="009F43DE">
        <w:rPr>
          <w:lang w:val="fr-CH"/>
        </w:rPr>
        <w:t xml:space="preserve">chargée </w:t>
      </w:r>
      <w:r w:rsidRPr="009F43DE">
        <w:rPr>
          <w:lang w:val="fr-CH"/>
        </w:rPr>
        <w:t>d</w:t>
      </w:r>
      <w:r w:rsidR="00F8384A" w:rsidRPr="009F43DE">
        <w:rPr>
          <w:lang w:val="fr-CH"/>
        </w:rPr>
        <w:t>’</w:t>
      </w:r>
      <w:r w:rsidRPr="009F43DE">
        <w:rPr>
          <w:lang w:val="fr-CH"/>
        </w:rPr>
        <w:t>enquêter sur les allégations de corruption ou d</w:t>
      </w:r>
      <w:r w:rsidR="00F8384A" w:rsidRPr="009F43DE">
        <w:rPr>
          <w:lang w:val="fr-CH"/>
        </w:rPr>
        <w:t>’</w:t>
      </w:r>
      <w:r w:rsidR="00B51AF7" w:rsidRPr="009F43DE">
        <w:rPr>
          <w:lang w:val="fr-CH"/>
        </w:rPr>
        <w:t>actes d</w:t>
      </w:r>
      <w:r w:rsidRPr="009F43DE">
        <w:rPr>
          <w:lang w:val="fr-CH"/>
        </w:rPr>
        <w:t>e corruption. Conformément à l</w:t>
      </w:r>
      <w:r w:rsidR="00F8384A" w:rsidRPr="009F43DE">
        <w:rPr>
          <w:lang w:val="fr-CH"/>
        </w:rPr>
        <w:t>’</w:t>
      </w:r>
      <w:r w:rsidRPr="009F43DE">
        <w:rPr>
          <w:lang w:val="fr-CH"/>
        </w:rPr>
        <w:t>a</w:t>
      </w:r>
      <w:r w:rsidR="00C4528B" w:rsidRPr="009F43DE">
        <w:rPr>
          <w:lang w:val="fr-CH"/>
        </w:rPr>
        <w:t xml:space="preserve">linéa </w:t>
      </w:r>
      <w:r w:rsidR="00C4528B" w:rsidRPr="00B2292F">
        <w:rPr>
          <w:i/>
          <w:lang w:val="fr-CH"/>
        </w:rPr>
        <w:t>a</w:t>
      </w:r>
      <w:r w:rsidR="00C4528B" w:rsidRPr="009F43DE">
        <w:rPr>
          <w:lang w:val="fr-CH"/>
        </w:rPr>
        <w:t xml:space="preserve"> de ce paragraphe</w:t>
      </w:r>
      <w:r w:rsidRPr="009F43DE">
        <w:rPr>
          <w:lang w:val="fr-CH"/>
        </w:rPr>
        <w:t xml:space="preserve">, une telle loi </w:t>
      </w:r>
      <w:r w:rsidR="00902031" w:rsidRPr="009F43DE">
        <w:rPr>
          <w:lang w:val="fr-CH"/>
        </w:rPr>
        <w:t xml:space="preserve">doit </w:t>
      </w:r>
      <w:r w:rsidRPr="009F43DE">
        <w:rPr>
          <w:lang w:val="fr-CH"/>
        </w:rPr>
        <w:t>prévoir la nomination des membres de la Commission par le Président sur la recommandation du Conseil constitutionnel. L</w:t>
      </w:r>
      <w:r w:rsidR="00F8384A" w:rsidRPr="009F43DE">
        <w:rPr>
          <w:lang w:val="fr-CH"/>
        </w:rPr>
        <w:t>’</w:t>
      </w:r>
      <w:r w:rsidR="00B51AF7" w:rsidRPr="009F43DE">
        <w:rPr>
          <w:lang w:val="fr-CH"/>
        </w:rPr>
        <w:t>a</w:t>
      </w:r>
      <w:r w:rsidR="00C4528B" w:rsidRPr="009F43DE">
        <w:rPr>
          <w:lang w:val="fr-CH"/>
        </w:rPr>
        <w:t xml:space="preserve">linéa </w:t>
      </w:r>
      <w:r w:rsidR="00C4528B" w:rsidRPr="007347D9">
        <w:rPr>
          <w:i/>
          <w:lang w:val="fr-CH"/>
        </w:rPr>
        <w:t>b</w:t>
      </w:r>
      <w:r w:rsidR="00C4528B" w:rsidRPr="009F43DE">
        <w:rPr>
          <w:lang w:val="fr-CH"/>
        </w:rPr>
        <w:t xml:space="preserve"> du même paragraphe</w:t>
      </w:r>
      <w:r w:rsidRPr="009F43DE">
        <w:rPr>
          <w:lang w:val="fr-CH"/>
        </w:rPr>
        <w:t xml:space="preserve"> habilite la </w:t>
      </w:r>
      <w:r w:rsidR="007347D9">
        <w:rPr>
          <w:lang w:val="fr-CH"/>
        </w:rPr>
        <w:t>c</w:t>
      </w:r>
      <w:r w:rsidR="007347D9" w:rsidRPr="009F43DE">
        <w:rPr>
          <w:lang w:val="fr-CH"/>
        </w:rPr>
        <w:t xml:space="preserve">ommission </w:t>
      </w:r>
      <w:r w:rsidRPr="009F43DE">
        <w:rPr>
          <w:lang w:val="fr-CH"/>
        </w:rPr>
        <w:t xml:space="preserve">à </w:t>
      </w:r>
      <w:r w:rsidR="00C4528B" w:rsidRPr="009F43DE">
        <w:rPr>
          <w:lang w:val="fr-CH"/>
        </w:rPr>
        <w:t xml:space="preserve">piloter </w:t>
      </w:r>
      <w:r w:rsidRPr="009F43DE">
        <w:rPr>
          <w:lang w:val="fr-CH"/>
        </w:rPr>
        <w:t>une enquête préliminaire ou à réaliser une enquête sur une allégation de corruption ou d</w:t>
      </w:r>
      <w:r w:rsidR="00F8384A" w:rsidRPr="009F43DE">
        <w:rPr>
          <w:lang w:val="fr-CH"/>
        </w:rPr>
        <w:t>’</w:t>
      </w:r>
      <w:r w:rsidR="00C4528B" w:rsidRPr="009F43DE">
        <w:rPr>
          <w:lang w:val="fr-CH"/>
        </w:rPr>
        <w:t>actes d</w:t>
      </w:r>
      <w:r w:rsidRPr="009F43DE">
        <w:rPr>
          <w:lang w:val="fr-CH"/>
        </w:rPr>
        <w:t>e corruption, que ce soit de sa propre initiative ou s</w:t>
      </w:r>
      <w:r w:rsidR="00C4528B" w:rsidRPr="009F43DE">
        <w:rPr>
          <w:lang w:val="fr-CH"/>
        </w:rPr>
        <w:t>uite à</w:t>
      </w:r>
      <w:r w:rsidRPr="009F43DE">
        <w:rPr>
          <w:lang w:val="fr-CH"/>
        </w:rPr>
        <w:t xml:space="preserve"> une plainte déposée </w:t>
      </w:r>
      <w:r w:rsidR="00C4528B" w:rsidRPr="009F43DE">
        <w:rPr>
          <w:lang w:val="fr-CH"/>
        </w:rPr>
        <w:t>auprès d</w:t>
      </w:r>
      <w:r w:rsidR="00F8384A" w:rsidRPr="009F43DE">
        <w:rPr>
          <w:lang w:val="fr-CH"/>
        </w:rPr>
        <w:t>’</w:t>
      </w:r>
      <w:r w:rsidRPr="009F43DE">
        <w:rPr>
          <w:lang w:val="fr-CH"/>
        </w:rPr>
        <w:t>elle. L</w:t>
      </w:r>
      <w:r w:rsidR="00C4528B" w:rsidRPr="009F43DE">
        <w:rPr>
          <w:lang w:val="fr-CH"/>
        </w:rPr>
        <w:t>e paragraphe 2 de l</w:t>
      </w:r>
      <w:r w:rsidR="00F8384A" w:rsidRPr="009F43DE">
        <w:rPr>
          <w:lang w:val="fr-CH"/>
        </w:rPr>
        <w:t>’</w:t>
      </w:r>
      <w:r w:rsidR="00C4528B" w:rsidRPr="009F43DE">
        <w:rPr>
          <w:lang w:val="fr-CH"/>
        </w:rPr>
        <w:t>a</w:t>
      </w:r>
      <w:r w:rsidRPr="009F43DE">
        <w:rPr>
          <w:lang w:val="fr-CH"/>
        </w:rPr>
        <w:t>rticle 156(A)</w:t>
      </w:r>
      <w:r w:rsidR="00C4528B" w:rsidRPr="009F43DE">
        <w:rPr>
          <w:lang w:val="fr-CH"/>
        </w:rPr>
        <w:t xml:space="preserve"> </w:t>
      </w:r>
      <w:r w:rsidR="00902031" w:rsidRPr="009F43DE">
        <w:rPr>
          <w:lang w:val="fr-CH"/>
        </w:rPr>
        <w:t>dispose</w:t>
      </w:r>
      <w:r w:rsidRPr="009F43DE">
        <w:rPr>
          <w:lang w:val="fr-CH"/>
        </w:rPr>
        <w:t xml:space="preserve"> en outre que</w:t>
      </w:r>
      <w:r w:rsidR="00C4528B" w:rsidRPr="009F43DE">
        <w:rPr>
          <w:lang w:val="fr-CH"/>
        </w:rPr>
        <w:t>, tant que</w:t>
      </w:r>
      <w:r w:rsidRPr="009F43DE">
        <w:rPr>
          <w:lang w:val="fr-CH"/>
        </w:rPr>
        <w:t xml:space="preserve"> le Parlement </w:t>
      </w:r>
      <w:r w:rsidR="00C4528B" w:rsidRPr="009F43DE">
        <w:rPr>
          <w:lang w:val="fr-CH"/>
        </w:rPr>
        <w:t>n</w:t>
      </w:r>
      <w:r w:rsidR="00F8384A" w:rsidRPr="009F43DE">
        <w:rPr>
          <w:lang w:val="fr-CH"/>
        </w:rPr>
        <w:t>’</w:t>
      </w:r>
      <w:r w:rsidR="00C4528B" w:rsidRPr="009F43DE">
        <w:rPr>
          <w:lang w:val="fr-CH"/>
        </w:rPr>
        <w:t>aura pas adopté une loi établissant</w:t>
      </w:r>
      <w:r w:rsidRPr="009F43DE">
        <w:rPr>
          <w:lang w:val="fr-CH"/>
        </w:rPr>
        <w:t xml:space="preserve"> la </w:t>
      </w:r>
      <w:r w:rsidR="007347D9">
        <w:rPr>
          <w:lang w:val="fr-CH"/>
        </w:rPr>
        <w:t>c</w:t>
      </w:r>
      <w:r w:rsidR="007347D9" w:rsidRPr="009F43DE">
        <w:rPr>
          <w:lang w:val="fr-CH"/>
        </w:rPr>
        <w:t xml:space="preserve">ommission </w:t>
      </w:r>
      <w:r w:rsidR="00C4528B" w:rsidRPr="009F43DE">
        <w:rPr>
          <w:lang w:val="fr-CH"/>
        </w:rPr>
        <w:t xml:space="preserve">chargée </w:t>
      </w:r>
      <w:r w:rsidRPr="009F43DE">
        <w:rPr>
          <w:lang w:val="fr-CH"/>
        </w:rPr>
        <w:t>d</w:t>
      </w:r>
      <w:r w:rsidR="00F8384A" w:rsidRPr="009F43DE">
        <w:rPr>
          <w:lang w:val="fr-CH"/>
        </w:rPr>
        <w:t>’</w:t>
      </w:r>
      <w:r w:rsidRPr="009F43DE">
        <w:rPr>
          <w:lang w:val="fr-CH"/>
        </w:rPr>
        <w:t>enquête</w:t>
      </w:r>
      <w:r w:rsidR="00C4528B" w:rsidRPr="009F43DE">
        <w:rPr>
          <w:lang w:val="fr-CH"/>
        </w:rPr>
        <w:t>r</w:t>
      </w:r>
      <w:r w:rsidRPr="009F43DE">
        <w:rPr>
          <w:lang w:val="fr-CH"/>
        </w:rPr>
        <w:t xml:space="preserve"> sur les allégations de corruption ou </w:t>
      </w:r>
      <w:r w:rsidR="00C4528B" w:rsidRPr="009F43DE">
        <w:rPr>
          <w:lang w:val="fr-CH"/>
        </w:rPr>
        <w:t xml:space="preserve">les actes </w:t>
      </w:r>
      <w:r w:rsidRPr="009F43DE">
        <w:rPr>
          <w:lang w:val="fr-CH"/>
        </w:rPr>
        <w:t>de corruption,</w:t>
      </w:r>
      <w:r w:rsidR="00C4528B" w:rsidRPr="009F43DE">
        <w:rPr>
          <w:lang w:val="fr-CH"/>
        </w:rPr>
        <w:t xml:space="preserve"> c</w:t>
      </w:r>
      <w:r w:rsidR="00F8384A" w:rsidRPr="009F43DE">
        <w:rPr>
          <w:lang w:val="fr-CH"/>
        </w:rPr>
        <w:t>’</w:t>
      </w:r>
      <w:r w:rsidR="00C4528B" w:rsidRPr="009F43DE">
        <w:rPr>
          <w:lang w:val="fr-CH"/>
        </w:rPr>
        <w:t>est l</w:t>
      </w:r>
      <w:r w:rsidR="00F8384A" w:rsidRPr="009F43DE">
        <w:rPr>
          <w:lang w:val="fr-CH"/>
        </w:rPr>
        <w:t>’</w:t>
      </w:r>
      <w:r w:rsidRPr="009F43DE">
        <w:rPr>
          <w:lang w:val="fr-CH"/>
        </w:rPr>
        <w:t xml:space="preserve">actuelle </w:t>
      </w:r>
      <w:r w:rsidR="00C4528B" w:rsidRPr="009F43DE">
        <w:rPr>
          <w:lang w:val="fr-CH"/>
        </w:rPr>
        <w:t xml:space="preserve">loi </w:t>
      </w:r>
      <w:r w:rsidR="001D6B83">
        <w:rPr>
          <w:lang w:val="fr-CH"/>
        </w:rPr>
        <w:t>n</w:t>
      </w:r>
      <w:r w:rsidR="001D6B83" w:rsidRPr="001D6B83">
        <w:rPr>
          <w:vertAlign w:val="superscript"/>
          <w:lang w:val="fr-CH"/>
        </w:rPr>
        <w:t>o</w:t>
      </w:r>
      <w:r w:rsidR="00C4528B" w:rsidRPr="009F43DE">
        <w:rPr>
          <w:lang w:val="fr-CH"/>
        </w:rPr>
        <w:t> 19 de 1994 sur la Commission d</w:t>
      </w:r>
      <w:r w:rsidR="00F8384A" w:rsidRPr="009F43DE">
        <w:rPr>
          <w:lang w:val="fr-CH"/>
        </w:rPr>
        <w:t>’</w:t>
      </w:r>
      <w:r w:rsidR="00C4528B" w:rsidRPr="009F43DE">
        <w:rPr>
          <w:lang w:val="fr-CH"/>
        </w:rPr>
        <w:t xml:space="preserve">enquête sur </w:t>
      </w:r>
      <w:r w:rsidRPr="009F43DE">
        <w:rPr>
          <w:lang w:val="fr-CH"/>
        </w:rPr>
        <w:t xml:space="preserve">les </w:t>
      </w:r>
      <w:r w:rsidR="00C4528B" w:rsidRPr="009F43DE">
        <w:rPr>
          <w:lang w:val="fr-CH"/>
        </w:rPr>
        <w:t>a</w:t>
      </w:r>
      <w:r w:rsidRPr="009F43DE">
        <w:rPr>
          <w:lang w:val="fr-CH"/>
        </w:rPr>
        <w:t xml:space="preserve">llégations de corruption ou </w:t>
      </w:r>
      <w:r w:rsidR="00C4528B" w:rsidRPr="009F43DE">
        <w:rPr>
          <w:lang w:val="fr-CH"/>
        </w:rPr>
        <w:t>d</w:t>
      </w:r>
      <w:r w:rsidR="00F8384A" w:rsidRPr="009F43DE">
        <w:rPr>
          <w:lang w:val="fr-CH"/>
        </w:rPr>
        <w:t>’</w:t>
      </w:r>
      <w:r w:rsidR="00C4528B" w:rsidRPr="009F43DE">
        <w:rPr>
          <w:lang w:val="fr-CH"/>
        </w:rPr>
        <w:t>actes de c</w:t>
      </w:r>
      <w:r w:rsidRPr="009F43DE">
        <w:rPr>
          <w:lang w:val="fr-CH"/>
        </w:rPr>
        <w:t xml:space="preserve">orruption </w:t>
      </w:r>
      <w:r w:rsidR="00C4528B" w:rsidRPr="009F43DE">
        <w:rPr>
          <w:lang w:val="fr-CH"/>
        </w:rPr>
        <w:t>qui s</w:t>
      </w:r>
      <w:r w:rsidR="00F8384A" w:rsidRPr="009F43DE">
        <w:rPr>
          <w:lang w:val="fr-CH"/>
        </w:rPr>
        <w:t>’</w:t>
      </w:r>
      <w:r w:rsidR="00C4528B" w:rsidRPr="009F43DE">
        <w:rPr>
          <w:lang w:val="fr-CH"/>
        </w:rPr>
        <w:t>a</w:t>
      </w:r>
      <w:r w:rsidRPr="009F43DE">
        <w:rPr>
          <w:lang w:val="fr-CH"/>
        </w:rPr>
        <w:t>pplique</w:t>
      </w:r>
      <w:r w:rsidR="00C4528B" w:rsidRPr="009F43DE">
        <w:rPr>
          <w:lang w:val="fr-CH"/>
        </w:rPr>
        <w:t>,</w:t>
      </w:r>
      <w:r w:rsidRPr="009F43DE">
        <w:rPr>
          <w:lang w:val="fr-CH"/>
        </w:rPr>
        <w:t xml:space="preserve"> </w:t>
      </w:r>
      <w:r w:rsidR="00C4528B" w:rsidRPr="009F43DE">
        <w:rPr>
          <w:lang w:val="fr-CH"/>
        </w:rPr>
        <w:t xml:space="preserve">moyennant une </w:t>
      </w:r>
      <w:r w:rsidRPr="009F43DE">
        <w:rPr>
          <w:lang w:val="fr-CH"/>
        </w:rPr>
        <w:t xml:space="preserve">modification </w:t>
      </w:r>
      <w:r w:rsidR="00C4528B" w:rsidRPr="009F43DE">
        <w:rPr>
          <w:lang w:val="fr-CH"/>
        </w:rPr>
        <w:t xml:space="preserve">destinée à permettre à la </w:t>
      </w:r>
      <w:r w:rsidR="007347D9">
        <w:rPr>
          <w:lang w:val="fr-CH"/>
        </w:rPr>
        <w:t>c</w:t>
      </w:r>
      <w:r w:rsidR="007347D9" w:rsidRPr="009F43DE">
        <w:rPr>
          <w:lang w:val="fr-CH"/>
        </w:rPr>
        <w:t xml:space="preserve">ommission </w:t>
      </w:r>
      <w:r w:rsidR="00C4528B" w:rsidRPr="009F43DE">
        <w:rPr>
          <w:lang w:val="fr-CH"/>
        </w:rPr>
        <w:t xml:space="preserve">désignée en vertu </w:t>
      </w:r>
      <w:r w:rsidRPr="009F43DE">
        <w:rPr>
          <w:lang w:val="fr-CH"/>
        </w:rPr>
        <w:t xml:space="preserve">de </w:t>
      </w:r>
      <w:r w:rsidR="00C4528B" w:rsidRPr="009F43DE">
        <w:rPr>
          <w:lang w:val="fr-CH"/>
        </w:rPr>
        <w:t>ladite loi d</w:t>
      </w:r>
      <w:r w:rsidR="00F8384A" w:rsidRPr="009F43DE">
        <w:rPr>
          <w:lang w:val="fr-CH"/>
        </w:rPr>
        <w:t>’</w:t>
      </w:r>
      <w:r w:rsidRPr="009F43DE">
        <w:rPr>
          <w:lang w:val="fr-CH"/>
        </w:rPr>
        <w:t xml:space="preserve">enquêter sur une allégation de corruption ou </w:t>
      </w:r>
      <w:r w:rsidR="00C4528B" w:rsidRPr="009F43DE">
        <w:rPr>
          <w:lang w:val="fr-CH"/>
        </w:rPr>
        <w:t xml:space="preserve">des actes </w:t>
      </w:r>
      <w:r w:rsidRPr="009F43DE">
        <w:rPr>
          <w:lang w:val="fr-CH"/>
        </w:rPr>
        <w:t xml:space="preserve">de corruption, </w:t>
      </w:r>
      <w:r w:rsidR="00C4528B" w:rsidRPr="009F43DE">
        <w:rPr>
          <w:lang w:val="fr-CH"/>
        </w:rPr>
        <w:t>de</w:t>
      </w:r>
      <w:r w:rsidRPr="009F43DE">
        <w:rPr>
          <w:lang w:val="fr-CH"/>
        </w:rPr>
        <w:t xml:space="preserve"> sa propre initiative ou s</w:t>
      </w:r>
      <w:r w:rsidR="00C4528B" w:rsidRPr="009F43DE">
        <w:rPr>
          <w:lang w:val="fr-CH"/>
        </w:rPr>
        <w:t xml:space="preserve">uite à une </w:t>
      </w:r>
      <w:r w:rsidRPr="009F43DE">
        <w:rPr>
          <w:lang w:val="fr-CH"/>
        </w:rPr>
        <w:t xml:space="preserve">plainte écrite </w:t>
      </w:r>
      <w:r w:rsidR="0058595A" w:rsidRPr="009F43DE">
        <w:rPr>
          <w:lang w:val="fr-CH"/>
        </w:rPr>
        <w:t>déposée auprès d</w:t>
      </w:r>
      <w:r w:rsidR="00F8384A" w:rsidRPr="009F43DE">
        <w:rPr>
          <w:lang w:val="fr-CH"/>
        </w:rPr>
        <w:t>’</w:t>
      </w:r>
      <w:r w:rsidR="0058595A" w:rsidRPr="009F43DE">
        <w:rPr>
          <w:lang w:val="fr-CH"/>
        </w:rPr>
        <w:t>elle</w:t>
      </w:r>
      <w:r w:rsidRPr="009F43DE">
        <w:rPr>
          <w:lang w:val="fr-CH"/>
        </w:rPr>
        <w:t xml:space="preserve">. </w:t>
      </w:r>
    </w:p>
    <w:p w:rsidR="006452AF" w:rsidRPr="009F43DE" w:rsidRDefault="006452AF" w:rsidP="006452AF">
      <w:pPr>
        <w:pStyle w:val="SingleTxtG"/>
        <w:rPr>
          <w:lang w:val="fr-CH"/>
        </w:rPr>
      </w:pPr>
      <w:r w:rsidRPr="009F43DE">
        <w:rPr>
          <w:lang w:val="fr-CH"/>
        </w:rPr>
        <w:t>24.</w:t>
      </w:r>
      <w:r w:rsidRPr="009F43DE">
        <w:rPr>
          <w:lang w:val="fr-CH"/>
        </w:rPr>
        <w:tab/>
        <w:t>La Commission d</w:t>
      </w:r>
      <w:r w:rsidR="00F8384A" w:rsidRPr="009F43DE">
        <w:rPr>
          <w:lang w:val="fr-CH"/>
        </w:rPr>
        <w:t>’</w:t>
      </w:r>
      <w:r w:rsidRPr="009F43DE">
        <w:rPr>
          <w:lang w:val="fr-CH"/>
        </w:rPr>
        <w:t xml:space="preserve">enquête sur les allégations de corruption ou </w:t>
      </w:r>
      <w:r w:rsidR="0058595A" w:rsidRPr="009F43DE">
        <w:rPr>
          <w:lang w:val="fr-CH"/>
        </w:rPr>
        <w:t>d</w:t>
      </w:r>
      <w:r w:rsidR="00F8384A" w:rsidRPr="009F43DE">
        <w:rPr>
          <w:lang w:val="fr-CH"/>
        </w:rPr>
        <w:t>’</w:t>
      </w:r>
      <w:r w:rsidR="0058595A" w:rsidRPr="009F43DE">
        <w:rPr>
          <w:lang w:val="fr-CH"/>
        </w:rPr>
        <w:t>actes d</w:t>
      </w:r>
      <w:r w:rsidRPr="009F43DE">
        <w:rPr>
          <w:lang w:val="fr-CH"/>
        </w:rPr>
        <w:t>e corruption, établi</w:t>
      </w:r>
      <w:r w:rsidR="0058595A" w:rsidRPr="009F43DE">
        <w:rPr>
          <w:lang w:val="fr-CH"/>
        </w:rPr>
        <w:t>e</w:t>
      </w:r>
      <w:r w:rsidRPr="009F43DE">
        <w:rPr>
          <w:lang w:val="fr-CH"/>
        </w:rPr>
        <w:t xml:space="preserve"> par la loi </w:t>
      </w:r>
      <w:r w:rsidR="00F80613">
        <w:rPr>
          <w:lang w:val="fr-CH"/>
        </w:rPr>
        <w:t>n</w:t>
      </w:r>
      <w:r w:rsidR="00F80613" w:rsidRPr="001D6B83">
        <w:rPr>
          <w:vertAlign w:val="superscript"/>
          <w:lang w:val="fr-CH"/>
        </w:rPr>
        <w:t>o</w:t>
      </w:r>
      <w:r w:rsidR="0058595A" w:rsidRPr="009F43DE">
        <w:rPr>
          <w:lang w:val="fr-CH"/>
        </w:rPr>
        <w:t> </w:t>
      </w:r>
      <w:r w:rsidRPr="009F43DE">
        <w:rPr>
          <w:lang w:val="fr-CH"/>
        </w:rPr>
        <w:t>19 de 1994, a pour mandat principal d</w:t>
      </w:r>
      <w:r w:rsidR="00F8384A" w:rsidRPr="009F43DE">
        <w:rPr>
          <w:lang w:val="fr-CH"/>
        </w:rPr>
        <w:t>’</w:t>
      </w:r>
      <w:r w:rsidRPr="009F43DE">
        <w:rPr>
          <w:lang w:val="fr-CH"/>
        </w:rPr>
        <w:t>enquêter sur les allégations d</w:t>
      </w:r>
      <w:r w:rsidR="00F8384A" w:rsidRPr="009F43DE">
        <w:rPr>
          <w:lang w:val="fr-CH"/>
        </w:rPr>
        <w:t>’</w:t>
      </w:r>
      <w:r w:rsidRPr="009F43DE">
        <w:rPr>
          <w:lang w:val="fr-CH"/>
        </w:rPr>
        <w:t xml:space="preserve">infractions commises en vertu de la </w:t>
      </w:r>
      <w:r w:rsidR="0058595A" w:rsidRPr="009F43DE">
        <w:rPr>
          <w:lang w:val="fr-CH"/>
        </w:rPr>
        <w:t>l</w:t>
      </w:r>
      <w:r w:rsidRPr="009F43DE">
        <w:rPr>
          <w:lang w:val="fr-CH"/>
        </w:rPr>
        <w:t xml:space="preserve">oi sur la corruption ou de la </w:t>
      </w:r>
      <w:r w:rsidR="0058595A" w:rsidRPr="009F43DE">
        <w:rPr>
          <w:lang w:val="fr-CH"/>
        </w:rPr>
        <w:t>l</w:t>
      </w:r>
      <w:r w:rsidRPr="009F43DE">
        <w:rPr>
          <w:lang w:val="fr-CH"/>
        </w:rPr>
        <w:t xml:space="preserve">oi </w:t>
      </w:r>
      <w:r w:rsidR="00F80613">
        <w:rPr>
          <w:lang w:val="fr-CH"/>
        </w:rPr>
        <w:t>n</w:t>
      </w:r>
      <w:r w:rsidR="00F80613" w:rsidRPr="001D6B83">
        <w:rPr>
          <w:vertAlign w:val="superscript"/>
          <w:lang w:val="fr-CH"/>
        </w:rPr>
        <w:t>o</w:t>
      </w:r>
      <w:r w:rsidR="0058595A" w:rsidRPr="009F43DE">
        <w:rPr>
          <w:lang w:val="fr-CH"/>
        </w:rPr>
        <w:t> </w:t>
      </w:r>
      <w:r w:rsidRPr="009F43DE">
        <w:rPr>
          <w:lang w:val="fr-CH"/>
        </w:rPr>
        <w:t xml:space="preserve">1 de 1975 </w:t>
      </w:r>
      <w:r w:rsidR="0058595A" w:rsidRPr="009F43DE">
        <w:rPr>
          <w:lang w:val="fr-CH"/>
        </w:rPr>
        <w:t>sur la</w:t>
      </w:r>
      <w:r w:rsidRPr="009F43DE">
        <w:rPr>
          <w:lang w:val="fr-CH"/>
        </w:rPr>
        <w:t xml:space="preserve"> déclaration de</w:t>
      </w:r>
      <w:r w:rsidR="0058595A" w:rsidRPr="009F43DE">
        <w:rPr>
          <w:lang w:val="fr-CH"/>
        </w:rPr>
        <w:t xml:space="preserve">s </w:t>
      </w:r>
      <w:r w:rsidRPr="009F43DE">
        <w:rPr>
          <w:lang w:val="fr-CH"/>
        </w:rPr>
        <w:t>actif</w:t>
      </w:r>
      <w:r w:rsidR="0058595A" w:rsidRPr="009F43DE">
        <w:rPr>
          <w:lang w:val="fr-CH"/>
        </w:rPr>
        <w:t>s</w:t>
      </w:r>
      <w:r w:rsidRPr="009F43DE">
        <w:rPr>
          <w:lang w:val="fr-CH"/>
        </w:rPr>
        <w:t xml:space="preserve"> et </w:t>
      </w:r>
      <w:r w:rsidR="0058595A" w:rsidRPr="009F43DE">
        <w:rPr>
          <w:lang w:val="fr-CH"/>
        </w:rPr>
        <w:t>des</w:t>
      </w:r>
      <w:r w:rsidRPr="009F43DE">
        <w:rPr>
          <w:lang w:val="fr-CH"/>
        </w:rPr>
        <w:t xml:space="preserve"> passif</w:t>
      </w:r>
      <w:r w:rsidR="0058595A" w:rsidRPr="009F43DE">
        <w:rPr>
          <w:lang w:val="fr-CH"/>
        </w:rPr>
        <w:t>s, ainsi que d</w:t>
      </w:r>
      <w:r w:rsidR="00F8384A" w:rsidRPr="009F43DE">
        <w:rPr>
          <w:lang w:val="fr-CH"/>
        </w:rPr>
        <w:t>’</w:t>
      </w:r>
      <w:r w:rsidR="0058595A" w:rsidRPr="009F43DE">
        <w:rPr>
          <w:lang w:val="fr-CH"/>
        </w:rPr>
        <w:t>engager des poursuites contre les auteurs de ces infractions devant les juridictions</w:t>
      </w:r>
      <w:r w:rsidRPr="009F43DE">
        <w:rPr>
          <w:lang w:val="fr-CH"/>
        </w:rPr>
        <w:t xml:space="preserve"> compétent</w:t>
      </w:r>
      <w:r w:rsidR="0058595A" w:rsidRPr="009F43DE">
        <w:rPr>
          <w:lang w:val="fr-CH"/>
        </w:rPr>
        <w:t>es</w:t>
      </w:r>
      <w:r w:rsidRPr="009F43DE">
        <w:rPr>
          <w:lang w:val="fr-CH"/>
        </w:rPr>
        <w:t xml:space="preserve">. La </w:t>
      </w:r>
      <w:r w:rsidR="0058595A" w:rsidRPr="009F43DE">
        <w:rPr>
          <w:lang w:val="fr-CH"/>
        </w:rPr>
        <w:t>l</w:t>
      </w:r>
      <w:r w:rsidRPr="009F43DE">
        <w:rPr>
          <w:lang w:val="fr-CH"/>
        </w:rPr>
        <w:t>oi est entrée en vigueur le 15</w:t>
      </w:r>
      <w:r w:rsidR="0058595A" w:rsidRPr="009F43DE">
        <w:rPr>
          <w:lang w:val="fr-CH"/>
        </w:rPr>
        <w:t> </w:t>
      </w:r>
      <w:r w:rsidR="00D9533B" w:rsidRPr="009F43DE">
        <w:rPr>
          <w:lang w:val="fr-CH"/>
        </w:rPr>
        <w:t>décembre</w:t>
      </w:r>
      <w:r w:rsidR="00D9533B">
        <w:rPr>
          <w:lang w:val="fr-CH"/>
        </w:rPr>
        <w:t xml:space="preserve"> </w:t>
      </w:r>
      <w:r w:rsidRPr="009F43DE">
        <w:rPr>
          <w:lang w:val="fr-CH"/>
        </w:rPr>
        <w:t>1994.</w:t>
      </w:r>
    </w:p>
    <w:p w:rsidR="006452AF" w:rsidRPr="009F43DE" w:rsidRDefault="006452AF" w:rsidP="006452AF">
      <w:pPr>
        <w:pStyle w:val="SingleTxtG"/>
        <w:rPr>
          <w:lang w:val="fr-CH"/>
        </w:rPr>
      </w:pPr>
      <w:r w:rsidRPr="009F43DE">
        <w:rPr>
          <w:lang w:val="fr-CH"/>
        </w:rPr>
        <w:t>25.</w:t>
      </w:r>
      <w:r w:rsidRPr="009F43DE">
        <w:rPr>
          <w:lang w:val="fr-CH"/>
        </w:rPr>
        <w:tab/>
        <w:t>L</w:t>
      </w:r>
      <w:r w:rsidR="0058595A" w:rsidRPr="009F43DE">
        <w:rPr>
          <w:lang w:val="fr-CH"/>
        </w:rPr>
        <w:t>a compétence</w:t>
      </w:r>
      <w:r w:rsidRPr="009F43DE">
        <w:rPr>
          <w:lang w:val="fr-CH"/>
        </w:rPr>
        <w:t xml:space="preserve"> de la Commission peut être invoquée par tout individu </w:t>
      </w:r>
      <w:r w:rsidR="0058595A" w:rsidRPr="009F43DE">
        <w:rPr>
          <w:lang w:val="fr-CH"/>
        </w:rPr>
        <w:t>s</w:t>
      </w:r>
      <w:r w:rsidR="00F8384A" w:rsidRPr="009F43DE">
        <w:rPr>
          <w:lang w:val="fr-CH"/>
        </w:rPr>
        <w:t>’</w:t>
      </w:r>
      <w:r w:rsidR="0058595A" w:rsidRPr="009F43DE">
        <w:rPr>
          <w:lang w:val="fr-CH"/>
        </w:rPr>
        <w:t>adressant à elle par écrit en vertu de</w:t>
      </w:r>
      <w:r w:rsidRPr="009F43DE">
        <w:rPr>
          <w:lang w:val="fr-CH"/>
        </w:rPr>
        <w:t xml:space="preserve"> l</w:t>
      </w:r>
      <w:r w:rsidR="00F8384A" w:rsidRPr="009F43DE">
        <w:rPr>
          <w:lang w:val="fr-CH"/>
        </w:rPr>
        <w:t>’</w:t>
      </w:r>
      <w:r w:rsidRPr="009F43DE">
        <w:rPr>
          <w:lang w:val="fr-CH"/>
        </w:rPr>
        <w:t xml:space="preserve">article 4 de la </w:t>
      </w:r>
      <w:r w:rsidR="0058595A" w:rsidRPr="009F43DE">
        <w:rPr>
          <w:lang w:val="fr-CH"/>
        </w:rPr>
        <w:t>l</w:t>
      </w:r>
      <w:r w:rsidRPr="009F43DE">
        <w:rPr>
          <w:lang w:val="fr-CH"/>
        </w:rPr>
        <w:t>oi. L</w:t>
      </w:r>
      <w:r w:rsidR="00F8384A" w:rsidRPr="009F43DE">
        <w:rPr>
          <w:lang w:val="fr-CH"/>
        </w:rPr>
        <w:t>’</w:t>
      </w:r>
      <w:r w:rsidR="0058595A" w:rsidRPr="009F43DE">
        <w:rPr>
          <w:lang w:val="fr-CH"/>
        </w:rPr>
        <w:t>a</w:t>
      </w:r>
      <w:r w:rsidRPr="009F43DE">
        <w:rPr>
          <w:lang w:val="fr-CH"/>
        </w:rPr>
        <w:t>rticle</w:t>
      </w:r>
      <w:r w:rsidR="0058595A" w:rsidRPr="009F43DE">
        <w:rPr>
          <w:lang w:val="fr-CH"/>
        </w:rPr>
        <w:t> </w:t>
      </w:r>
      <w:r w:rsidRPr="009F43DE">
        <w:rPr>
          <w:lang w:val="fr-CH"/>
        </w:rPr>
        <w:t>5 confère des pouvoirs considérables à la Commission dans la conduite d</w:t>
      </w:r>
      <w:r w:rsidR="00F8384A" w:rsidRPr="009F43DE">
        <w:rPr>
          <w:lang w:val="fr-CH"/>
        </w:rPr>
        <w:t>’</w:t>
      </w:r>
      <w:r w:rsidRPr="009F43DE">
        <w:rPr>
          <w:lang w:val="fr-CH"/>
        </w:rPr>
        <w:t>une enquête. Lorsqu</w:t>
      </w:r>
      <w:r w:rsidR="00F8384A" w:rsidRPr="009F43DE">
        <w:rPr>
          <w:lang w:val="fr-CH"/>
        </w:rPr>
        <w:t>’</w:t>
      </w:r>
      <w:r w:rsidRPr="009F43DE">
        <w:rPr>
          <w:lang w:val="fr-CH"/>
        </w:rPr>
        <w:t xml:space="preserve">une infraction est </w:t>
      </w:r>
      <w:r w:rsidR="0058595A" w:rsidRPr="009F43DE">
        <w:rPr>
          <w:lang w:val="fr-CH"/>
        </w:rPr>
        <w:t>révélée</w:t>
      </w:r>
      <w:r w:rsidRPr="009F43DE">
        <w:rPr>
          <w:lang w:val="fr-CH"/>
        </w:rPr>
        <w:t xml:space="preserve">, la Commission (conformément à </w:t>
      </w:r>
      <w:r w:rsidR="0058595A" w:rsidRPr="009F43DE">
        <w:rPr>
          <w:lang w:val="fr-CH"/>
        </w:rPr>
        <w:t>son a</w:t>
      </w:r>
      <w:r w:rsidRPr="009F43DE">
        <w:rPr>
          <w:lang w:val="fr-CH"/>
        </w:rPr>
        <w:t>rticle</w:t>
      </w:r>
      <w:r w:rsidR="0058595A" w:rsidRPr="009F43DE">
        <w:rPr>
          <w:lang w:val="fr-CH"/>
        </w:rPr>
        <w:t> </w:t>
      </w:r>
      <w:r w:rsidRPr="009F43DE">
        <w:rPr>
          <w:lang w:val="fr-CH"/>
        </w:rPr>
        <w:t xml:space="preserve">11) </w:t>
      </w:r>
      <w:r w:rsidR="0058595A" w:rsidRPr="009F43DE">
        <w:rPr>
          <w:lang w:val="fr-CH"/>
        </w:rPr>
        <w:t>invite</w:t>
      </w:r>
      <w:r w:rsidRPr="009F43DE">
        <w:rPr>
          <w:lang w:val="fr-CH"/>
        </w:rPr>
        <w:t xml:space="preserve"> son </w:t>
      </w:r>
      <w:r w:rsidR="007347D9">
        <w:rPr>
          <w:lang w:val="fr-CH"/>
        </w:rPr>
        <w:t>d</w:t>
      </w:r>
      <w:r w:rsidR="007347D9" w:rsidRPr="009F43DE">
        <w:rPr>
          <w:lang w:val="fr-CH"/>
        </w:rPr>
        <w:t xml:space="preserve">irecteur </w:t>
      </w:r>
      <w:r w:rsidRPr="009F43DE">
        <w:rPr>
          <w:lang w:val="fr-CH"/>
        </w:rPr>
        <w:t xml:space="preserve">général à engager des poursuites pénales contre </w:t>
      </w:r>
      <w:r w:rsidR="0058595A" w:rsidRPr="009F43DE">
        <w:rPr>
          <w:lang w:val="fr-CH"/>
        </w:rPr>
        <w:t>les auteurs de l</w:t>
      </w:r>
      <w:r w:rsidR="00F8384A" w:rsidRPr="009F43DE">
        <w:rPr>
          <w:lang w:val="fr-CH"/>
        </w:rPr>
        <w:t>’</w:t>
      </w:r>
      <w:r w:rsidR="0058595A" w:rsidRPr="009F43DE">
        <w:rPr>
          <w:lang w:val="fr-CH"/>
        </w:rPr>
        <w:t>infraction</w:t>
      </w:r>
      <w:r w:rsidRPr="009F43DE">
        <w:rPr>
          <w:lang w:val="fr-CH"/>
        </w:rPr>
        <w:t xml:space="preserve"> devant l</w:t>
      </w:r>
      <w:r w:rsidR="0058595A" w:rsidRPr="009F43DE">
        <w:rPr>
          <w:lang w:val="fr-CH"/>
        </w:rPr>
        <w:t>a juridiction</w:t>
      </w:r>
      <w:r w:rsidRPr="009F43DE">
        <w:rPr>
          <w:lang w:val="fr-CH"/>
        </w:rPr>
        <w:t xml:space="preserve"> compétent</w:t>
      </w:r>
      <w:r w:rsidR="0058595A" w:rsidRPr="009F43DE">
        <w:rPr>
          <w:lang w:val="fr-CH"/>
        </w:rPr>
        <w:t>e</w:t>
      </w:r>
      <w:r w:rsidRPr="009F43DE">
        <w:rPr>
          <w:lang w:val="fr-CH"/>
        </w:rPr>
        <w:t xml:space="preserve">. </w:t>
      </w:r>
      <w:r w:rsidR="00437DA9" w:rsidRPr="009F43DE">
        <w:rPr>
          <w:lang w:val="fr-CH"/>
        </w:rPr>
        <w:t>Des actes d</w:t>
      </w:r>
      <w:r w:rsidR="00F8384A" w:rsidRPr="009F43DE">
        <w:rPr>
          <w:lang w:val="fr-CH"/>
        </w:rPr>
        <w:t>’</w:t>
      </w:r>
      <w:r w:rsidR="00437DA9" w:rsidRPr="009F43DE">
        <w:rPr>
          <w:lang w:val="fr-CH"/>
        </w:rPr>
        <w:t xml:space="preserve">accusation rédigés par le </w:t>
      </w:r>
      <w:r w:rsidR="007347D9">
        <w:rPr>
          <w:lang w:val="fr-CH"/>
        </w:rPr>
        <w:t>d</w:t>
      </w:r>
      <w:r w:rsidR="00437DA9" w:rsidRPr="009F43DE">
        <w:rPr>
          <w:lang w:val="fr-CH"/>
        </w:rPr>
        <w:t>irecteur général sont</w:t>
      </w:r>
      <w:r w:rsidRPr="009F43DE">
        <w:rPr>
          <w:lang w:val="fr-CH"/>
        </w:rPr>
        <w:t xml:space="preserve"> recevable</w:t>
      </w:r>
      <w:r w:rsidR="00437DA9" w:rsidRPr="009F43DE">
        <w:rPr>
          <w:lang w:val="fr-CH"/>
        </w:rPr>
        <w:t>s</w:t>
      </w:r>
      <w:r w:rsidRPr="009F43DE">
        <w:rPr>
          <w:lang w:val="fr-CH"/>
        </w:rPr>
        <w:t xml:space="preserve"> </w:t>
      </w:r>
      <w:r w:rsidR="00437DA9" w:rsidRPr="009F43DE">
        <w:rPr>
          <w:lang w:val="fr-CH"/>
        </w:rPr>
        <w:t>par la Cour suprême</w:t>
      </w:r>
      <w:r w:rsidRPr="009F43DE">
        <w:rPr>
          <w:lang w:val="fr-CH"/>
        </w:rPr>
        <w:t>.</w:t>
      </w:r>
    </w:p>
    <w:p w:rsidR="006452AF" w:rsidRPr="009F43DE" w:rsidRDefault="006452AF" w:rsidP="006452AF">
      <w:pPr>
        <w:pStyle w:val="SingleTxtG"/>
        <w:rPr>
          <w:lang w:val="fr-CH"/>
        </w:rPr>
      </w:pPr>
      <w:r w:rsidRPr="009F43DE">
        <w:rPr>
          <w:lang w:val="fr-CH"/>
        </w:rPr>
        <w:t>26.</w:t>
      </w:r>
      <w:r w:rsidRPr="009F43DE">
        <w:rPr>
          <w:lang w:val="fr-CH"/>
        </w:rPr>
        <w:tab/>
      </w:r>
      <w:r w:rsidR="00437DA9" w:rsidRPr="009F43DE">
        <w:rPr>
          <w:lang w:val="fr-CH"/>
        </w:rPr>
        <w:t xml:space="preserve">La Commission étant un </w:t>
      </w:r>
      <w:r w:rsidRPr="009F43DE">
        <w:rPr>
          <w:lang w:val="fr-CH" w:eastAsia="fr-FR"/>
        </w:rPr>
        <w:t xml:space="preserve">organisme indépendant responsable seulement devant le Parlement, </w:t>
      </w:r>
      <w:r w:rsidR="00437DA9" w:rsidRPr="009F43DE">
        <w:rPr>
          <w:lang w:val="fr-CH" w:eastAsia="fr-FR"/>
        </w:rPr>
        <w:t>aucun de ses</w:t>
      </w:r>
      <w:r w:rsidRPr="009F43DE">
        <w:rPr>
          <w:lang w:val="fr-CH" w:eastAsia="fr-FR"/>
        </w:rPr>
        <w:t xml:space="preserve"> membre</w:t>
      </w:r>
      <w:r w:rsidR="00437DA9" w:rsidRPr="009F43DE">
        <w:rPr>
          <w:lang w:val="fr-CH" w:eastAsia="fr-FR"/>
        </w:rPr>
        <w:t>s</w:t>
      </w:r>
      <w:r w:rsidRPr="009F43DE">
        <w:rPr>
          <w:lang w:val="fr-CH" w:eastAsia="fr-FR"/>
        </w:rPr>
        <w:t xml:space="preserve"> ne peut être démis de ses fonctions </w:t>
      </w:r>
      <w:r w:rsidR="00437DA9" w:rsidRPr="009F43DE">
        <w:rPr>
          <w:lang w:val="fr-CH" w:eastAsia="fr-FR"/>
        </w:rPr>
        <w:t>sans un</w:t>
      </w:r>
      <w:r w:rsidRPr="009F43DE">
        <w:rPr>
          <w:lang w:val="fr-CH" w:eastAsia="fr-FR"/>
        </w:rPr>
        <w:t xml:space="preserve"> décret du Président</w:t>
      </w:r>
      <w:r w:rsidR="00437DA9" w:rsidRPr="009F43DE">
        <w:rPr>
          <w:lang w:val="fr-CH" w:eastAsia="fr-FR"/>
        </w:rPr>
        <w:t xml:space="preserve">. Ce décret fait suite à une demande </w:t>
      </w:r>
      <w:r w:rsidRPr="009F43DE">
        <w:rPr>
          <w:lang w:val="fr-CH" w:eastAsia="fr-FR"/>
        </w:rPr>
        <w:t>du Parlement soutenu</w:t>
      </w:r>
      <w:r w:rsidR="00437DA9" w:rsidRPr="009F43DE">
        <w:rPr>
          <w:lang w:val="fr-CH" w:eastAsia="fr-FR"/>
        </w:rPr>
        <w:t>e</w:t>
      </w:r>
      <w:r w:rsidRPr="009F43DE">
        <w:rPr>
          <w:lang w:val="fr-CH" w:eastAsia="fr-FR"/>
        </w:rPr>
        <w:t xml:space="preserve"> par la majorité de</w:t>
      </w:r>
      <w:r w:rsidR="00437DA9" w:rsidRPr="009F43DE">
        <w:rPr>
          <w:lang w:val="fr-CH" w:eastAsia="fr-FR"/>
        </w:rPr>
        <w:t xml:space="preserve"> ses</w:t>
      </w:r>
      <w:r w:rsidRPr="009F43DE">
        <w:rPr>
          <w:lang w:val="fr-CH" w:eastAsia="fr-FR"/>
        </w:rPr>
        <w:t xml:space="preserve"> membres (y compris ceux non présents) et </w:t>
      </w:r>
      <w:r w:rsidR="005F28CD" w:rsidRPr="009F43DE">
        <w:rPr>
          <w:lang w:val="fr-CH" w:eastAsia="fr-FR"/>
        </w:rPr>
        <w:t>cette demande doit être motivée par une</w:t>
      </w:r>
      <w:r w:rsidRPr="009F43DE">
        <w:rPr>
          <w:lang w:val="fr-CH" w:eastAsia="fr-FR"/>
        </w:rPr>
        <w:t xml:space="preserve"> faute ou </w:t>
      </w:r>
      <w:r w:rsidR="005F28CD" w:rsidRPr="009F43DE">
        <w:rPr>
          <w:lang w:val="fr-CH" w:eastAsia="fr-FR"/>
        </w:rPr>
        <w:t xml:space="preserve">une </w:t>
      </w:r>
      <w:r w:rsidRPr="009F43DE">
        <w:rPr>
          <w:lang w:val="fr-CH" w:eastAsia="fr-FR"/>
        </w:rPr>
        <w:t>incapacité avérée.</w:t>
      </w:r>
    </w:p>
    <w:p w:rsidR="006452AF" w:rsidRPr="009F43DE" w:rsidRDefault="006452AF" w:rsidP="00F80613">
      <w:pPr>
        <w:pStyle w:val="SingleTxtG"/>
        <w:rPr>
          <w:lang w:val="fr-CH"/>
        </w:rPr>
      </w:pPr>
      <w:r w:rsidRPr="009F43DE">
        <w:rPr>
          <w:lang w:val="fr-CH"/>
        </w:rPr>
        <w:t>27.</w:t>
      </w:r>
      <w:r w:rsidRPr="009F43DE">
        <w:rPr>
          <w:lang w:val="fr-CH"/>
        </w:rPr>
        <w:tab/>
      </w:r>
      <w:r w:rsidR="005F28CD" w:rsidRPr="009F43DE">
        <w:rPr>
          <w:lang w:val="fr-CH"/>
        </w:rPr>
        <w:t>Initialement</w:t>
      </w:r>
      <w:r w:rsidRPr="009F43DE">
        <w:rPr>
          <w:lang w:val="fr-CH" w:eastAsia="fr-FR"/>
        </w:rPr>
        <w:t xml:space="preserve">, les infractions liées à la corruption </w:t>
      </w:r>
      <w:r w:rsidR="005F28CD" w:rsidRPr="009F43DE">
        <w:rPr>
          <w:lang w:val="fr-CH" w:eastAsia="fr-FR"/>
        </w:rPr>
        <w:t>étaient couvertes d</w:t>
      </w:r>
      <w:r w:rsidRPr="009F43DE">
        <w:rPr>
          <w:lang w:val="fr-CH" w:eastAsia="fr-FR"/>
        </w:rPr>
        <w:t xml:space="preserve">ans le Code pénal. En 1954, </w:t>
      </w:r>
      <w:r w:rsidR="005F28CD" w:rsidRPr="009F43DE">
        <w:rPr>
          <w:lang w:val="fr-CH" w:eastAsia="fr-FR"/>
        </w:rPr>
        <w:t xml:space="preserve">le Parlement a adopté </w:t>
      </w:r>
      <w:r w:rsidRPr="009F43DE">
        <w:rPr>
          <w:lang w:val="fr-CH" w:eastAsia="fr-FR"/>
        </w:rPr>
        <w:t xml:space="preserve">la </w:t>
      </w:r>
      <w:r w:rsidR="005F28CD" w:rsidRPr="009F43DE">
        <w:rPr>
          <w:lang w:val="fr-CH" w:eastAsia="fr-FR"/>
        </w:rPr>
        <w:t>l</w:t>
      </w:r>
      <w:r w:rsidRPr="009F43DE">
        <w:rPr>
          <w:lang w:val="fr-CH" w:eastAsia="fr-FR"/>
        </w:rPr>
        <w:t xml:space="preserve">oi </w:t>
      </w:r>
      <w:r w:rsidR="00F80613">
        <w:rPr>
          <w:lang w:val="fr-CH"/>
        </w:rPr>
        <w:t>n</w:t>
      </w:r>
      <w:r w:rsidR="00F80613" w:rsidRPr="001D6B83">
        <w:rPr>
          <w:vertAlign w:val="superscript"/>
          <w:lang w:val="fr-CH"/>
        </w:rPr>
        <w:t>o</w:t>
      </w:r>
      <w:r w:rsidR="005F28CD" w:rsidRPr="009F43DE">
        <w:rPr>
          <w:lang w:val="fr-CH" w:eastAsia="fr-FR"/>
        </w:rPr>
        <w:t> </w:t>
      </w:r>
      <w:r w:rsidRPr="009F43DE">
        <w:rPr>
          <w:lang w:val="fr-CH" w:eastAsia="fr-FR"/>
        </w:rPr>
        <w:t xml:space="preserve">11 sur la corruption, </w:t>
      </w:r>
      <w:r w:rsidR="00902031" w:rsidRPr="009F43DE">
        <w:rPr>
          <w:lang w:val="fr-CH" w:eastAsia="fr-FR"/>
        </w:rPr>
        <w:t>qui a créé</w:t>
      </w:r>
      <w:r w:rsidRPr="009F43DE">
        <w:rPr>
          <w:lang w:val="fr-CH" w:eastAsia="fr-FR"/>
        </w:rPr>
        <w:t xml:space="preserve"> le Ministère des commissaires </w:t>
      </w:r>
      <w:r w:rsidR="005F28CD" w:rsidRPr="009F43DE">
        <w:rPr>
          <w:lang w:val="fr-CH" w:eastAsia="fr-FR"/>
        </w:rPr>
        <w:t>à</w:t>
      </w:r>
      <w:r w:rsidRPr="009F43DE">
        <w:rPr>
          <w:lang w:val="fr-CH" w:eastAsia="fr-FR"/>
        </w:rPr>
        <w:t xml:space="preserve"> la corruption. </w:t>
      </w:r>
      <w:r w:rsidR="005F28CD" w:rsidRPr="009F43DE">
        <w:rPr>
          <w:lang w:val="fr-CH" w:eastAsia="fr-FR"/>
        </w:rPr>
        <w:t xml:space="preserve">En vertu de cette loi, la </w:t>
      </w:r>
      <w:r w:rsidRPr="009F43DE">
        <w:rPr>
          <w:lang w:val="fr-CH" w:eastAsia="fr-FR"/>
        </w:rPr>
        <w:t xml:space="preserve">corruption </w:t>
      </w:r>
      <w:r w:rsidR="005F28CD" w:rsidRPr="009F43DE">
        <w:rPr>
          <w:lang w:val="fr-CH" w:eastAsia="fr-FR"/>
        </w:rPr>
        <w:t>active était considérée comme une infraction</w:t>
      </w:r>
      <w:r w:rsidRPr="009F43DE">
        <w:rPr>
          <w:lang w:val="fr-CH" w:eastAsia="fr-FR"/>
        </w:rPr>
        <w:t xml:space="preserve"> punissable, </w:t>
      </w:r>
      <w:r w:rsidR="005F28CD" w:rsidRPr="009F43DE">
        <w:rPr>
          <w:lang w:val="fr-CH" w:eastAsia="fr-FR"/>
        </w:rPr>
        <w:t>mais pas la c</w:t>
      </w:r>
      <w:r w:rsidRPr="009F43DE">
        <w:rPr>
          <w:lang w:val="fr-CH" w:eastAsia="fr-FR"/>
        </w:rPr>
        <w:t>orruption</w:t>
      </w:r>
      <w:r w:rsidR="005F28CD" w:rsidRPr="009F43DE">
        <w:rPr>
          <w:lang w:val="fr-CH" w:eastAsia="fr-FR"/>
        </w:rPr>
        <w:t xml:space="preserve"> passive. </w:t>
      </w:r>
      <w:r w:rsidRPr="009F43DE">
        <w:rPr>
          <w:lang w:val="fr-CH" w:eastAsia="fr-FR"/>
        </w:rPr>
        <w:t>Cette lacune a été corrigée avec l</w:t>
      </w:r>
      <w:r w:rsidR="00F8384A" w:rsidRPr="009F43DE">
        <w:rPr>
          <w:lang w:val="fr-CH" w:eastAsia="fr-FR"/>
        </w:rPr>
        <w:t>’</w:t>
      </w:r>
      <w:r w:rsidRPr="009F43DE">
        <w:rPr>
          <w:lang w:val="fr-CH" w:eastAsia="fr-FR"/>
        </w:rPr>
        <w:t xml:space="preserve">adoption de la </w:t>
      </w:r>
      <w:r w:rsidR="005F28CD" w:rsidRPr="009F43DE">
        <w:rPr>
          <w:lang w:val="fr-CH" w:eastAsia="fr-FR"/>
        </w:rPr>
        <w:t>l</w:t>
      </w:r>
      <w:r w:rsidRPr="009F43DE">
        <w:rPr>
          <w:lang w:val="fr-CH" w:eastAsia="fr-FR"/>
        </w:rPr>
        <w:t xml:space="preserve">oi </w:t>
      </w:r>
      <w:r w:rsidR="00F80613">
        <w:rPr>
          <w:lang w:val="fr-CH"/>
        </w:rPr>
        <w:t>n</w:t>
      </w:r>
      <w:r w:rsidR="00F80613" w:rsidRPr="001D6B83">
        <w:rPr>
          <w:vertAlign w:val="superscript"/>
          <w:lang w:val="fr-CH"/>
        </w:rPr>
        <w:t>o</w:t>
      </w:r>
      <w:r w:rsidR="005F28CD" w:rsidRPr="009F43DE">
        <w:rPr>
          <w:lang w:val="fr-CH" w:eastAsia="fr-FR"/>
        </w:rPr>
        <w:t> </w:t>
      </w:r>
      <w:r w:rsidRPr="009F43DE">
        <w:rPr>
          <w:lang w:val="fr-CH" w:eastAsia="fr-FR"/>
        </w:rPr>
        <w:t xml:space="preserve">20 de 1994, qui </w:t>
      </w:r>
      <w:r w:rsidR="005F28CD" w:rsidRPr="009F43DE">
        <w:rPr>
          <w:lang w:val="fr-CH" w:eastAsia="fr-FR"/>
        </w:rPr>
        <w:t xml:space="preserve">modifiait la loi </w:t>
      </w:r>
      <w:r w:rsidR="00F80613">
        <w:rPr>
          <w:lang w:val="fr-CH"/>
        </w:rPr>
        <w:t>n</w:t>
      </w:r>
      <w:r w:rsidR="00F80613" w:rsidRPr="001D6B83">
        <w:rPr>
          <w:vertAlign w:val="superscript"/>
          <w:lang w:val="fr-CH"/>
        </w:rPr>
        <w:t>o</w:t>
      </w:r>
      <w:r w:rsidR="005F28CD" w:rsidRPr="009F43DE">
        <w:rPr>
          <w:lang w:val="fr-CH" w:eastAsia="fr-FR"/>
        </w:rPr>
        <w:t> </w:t>
      </w:r>
      <w:r w:rsidRPr="009F43DE">
        <w:rPr>
          <w:lang w:val="fr-CH" w:eastAsia="fr-FR"/>
        </w:rPr>
        <w:t xml:space="preserve">11 de 1954 et </w:t>
      </w:r>
      <w:r w:rsidR="005F28CD" w:rsidRPr="009F43DE">
        <w:rPr>
          <w:lang w:val="fr-CH" w:eastAsia="fr-FR"/>
        </w:rPr>
        <w:t>qui contenait des</w:t>
      </w:r>
      <w:r w:rsidRPr="009F43DE">
        <w:rPr>
          <w:lang w:val="fr-CH" w:eastAsia="fr-FR"/>
        </w:rPr>
        <w:t xml:space="preserve"> dispositions </w:t>
      </w:r>
      <w:r w:rsidR="005F28CD" w:rsidRPr="009F43DE">
        <w:rPr>
          <w:lang w:val="fr-CH" w:eastAsia="fr-FR"/>
        </w:rPr>
        <w:t>prévoyant de lutter à la fois contre la corruption active et la corruption passive.</w:t>
      </w:r>
    </w:p>
    <w:p w:rsidR="00F65290" w:rsidRPr="009F43DE" w:rsidRDefault="00057D4A" w:rsidP="00057D4A">
      <w:pPr>
        <w:pStyle w:val="SingleTxtG"/>
        <w:rPr>
          <w:color w:val="000000"/>
          <w:lang w:val="fr-CH"/>
        </w:rPr>
      </w:pPr>
      <w:r w:rsidRPr="009F43DE">
        <w:rPr>
          <w:lang w:val="fr-CH"/>
        </w:rPr>
        <w:t>28.</w:t>
      </w:r>
      <w:r w:rsidRPr="009F43DE">
        <w:rPr>
          <w:lang w:val="fr-CH"/>
        </w:rPr>
        <w:tab/>
      </w:r>
      <w:r w:rsidR="005F28CD" w:rsidRPr="009F43DE">
        <w:rPr>
          <w:lang w:val="fr-CH"/>
        </w:rPr>
        <w:t>Outre</w:t>
      </w:r>
      <w:r w:rsidR="00B13C84" w:rsidRPr="009F43DE">
        <w:rPr>
          <w:color w:val="00B050"/>
          <w:lang w:val="fr-CH"/>
        </w:rPr>
        <w:t xml:space="preserve"> </w:t>
      </w:r>
      <w:r w:rsidR="00B13C84" w:rsidRPr="009F43DE">
        <w:rPr>
          <w:color w:val="000000"/>
          <w:lang w:val="fr-CH"/>
        </w:rPr>
        <w:t>l</w:t>
      </w:r>
      <w:r w:rsidR="00F8384A" w:rsidRPr="009F43DE">
        <w:rPr>
          <w:color w:val="000000"/>
          <w:lang w:val="fr-CH"/>
        </w:rPr>
        <w:t>’</w:t>
      </w:r>
      <w:r w:rsidR="00B13C84" w:rsidRPr="009F43DE">
        <w:rPr>
          <w:color w:val="000000"/>
          <w:lang w:val="fr-CH"/>
        </w:rPr>
        <w:t>établissement de la Commission d</w:t>
      </w:r>
      <w:r w:rsidR="00F8384A" w:rsidRPr="009F43DE">
        <w:rPr>
          <w:color w:val="000000"/>
          <w:lang w:val="fr-CH"/>
        </w:rPr>
        <w:t>’</w:t>
      </w:r>
      <w:r w:rsidR="00B13C84" w:rsidRPr="009F43DE">
        <w:rPr>
          <w:color w:val="000000"/>
          <w:lang w:val="fr-CH"/>
        </w:rPr>
        <w:t xml:space="preserve">enquête sur les allégations de corruption, aux termes de la </w:t>
      </w:r>
      <w:r w:rsidR="00902031" w:rsidRPr="009F43DE">
        <w:rPr>
          <w:color w:val="000000"/>
          <w:lang w:val="fr-CH"/>
        </w:rPr>
        <w:t>l</w:t>
      </w:r>
      <w:r w:rsidR="00B13C84" w:rsidRPr="009F43DE">
        <w:rPr>
          <w:color w:val="000000"/>
          <w:lang w:val="fr-CH"/>
        </w:rPr>
        <w:t xml:space="preserve">oi </w:t>
      </w:r>
      <w:r w:rsidR="00F80613">
        <w:rPr>
          <w:lang w:val="fr-CH"/>
        </w:rPr>
        <w:t>n</w:t>
      </w:r>
      <w:r w:rsidR="00F80613" w:rsidRPr="001D6B83">
        <w:rPr>
          <w:vertAlign w:val="superscript"/>
          <w:lang w:val="fr-CH"/>
        </w:rPr>
        <w:t>o</w:t>
      </w:r>
      <w:r w:rsidR="00902031" w:rsidRPr="009F43DE">
        <w:rPr>
          <w:color w:val="000000"/>
          <w:lang w:val="fr-CH"/>
        </w:rPr>
        <w:t> </w:t>
      </w:r>
      <w:r w:rsidR="00B13C84" w:rsidRPr="009F43DE">
        <w:rPr>
          <w:color w:val="000000"/>
          <w:lang w:val="fr-CH"/>
        </w:rPr>
        <w:t xml:space="preserve">1 </w:t>
      </w:r>
      <w:r w:rsidR="009719A6" w:rsidRPr="009F43DE">
        <w:rPr>
          <w:color w:val="000000"/>
          <w:lang w:val="fr-CH"/>
        </w:rPr>
        <w:t xml:space="preserve">de 1975 </w:t>
      </w:r>
      <w:r w:rsidR="00B13C84" w:rsidRPr="009F43DE">
        <w:rPr>
          <w:color w:val="000000"/>
          <w:lang w:val="fr-CH"/>
        </w:rPr>
        <w:t>sur la déclaration des actifs et des passi</w:t>
      </w:r>
      <w:r w:rsidR="00B1496E" w:rsidRPr="009F43DE">
        <w:rPr>
          <w:color w:val="000000"/>
          <w:lang w:val="fr-CH"/>
        </w:rPr>
        <w:t>f</w:t>
      </w:r>
      <w:r w:rsidR="00B13C84" w:rsidRPr="009F43DE">
        <w:rPr>
          <w:color w:val="000000"/>
          <w:lang w:val="fr-CH"/>
        </w:rPr>
        <w:t>s, les fonctionnaires publ</w:t>
      </w:r>
      <w:r w:rsidR="00B1496E" w:rsidRPr="009F43DE">
        <w:rPr>
          <w:color w:val="000000"/>
          <w:lang w:val="fr-CH"/>
        </w:rPr>
        <w:t>ics, les juges, les membres du P</w:t>
      </w:r>
      <w:r w:rsidR="00B13C84" w:rsidRPr="009F43DE">
        <w:rPr>
          <w:color w:val="000000"/>
          <w:lang w:val="fr-CH"/>
        </w:rPr>
        <w:t>arlement, les administrateurs des entr</w:t>
      </w:r>
      <w:r w:rsidR="00B1496E" w:rsidRPr="009F43DE">
        <w:rPr>
          <w:color w:val="000000"/>
          <w:lang w:val="fr-CH"/>
        </w:rPr>
        <w:t>e</w:t>
      </w:r>
      <w:r w:rsidR="00B13C84" w:rsidRPr="009F43DE">
        <w:rPr>
          <w:color w:val="000000"/>
          <w:lang w:val="fr-CH"/>
        </w:rPr>
        <w:t xml:space="preserve">prises publiques, etc. </w:t>
      </w:r>
      <w:r w:rsidR="00B1496E" w:rsidRPr="009F43DE">
        <w:rPr>
          <w:color w:val="000000"/>
          <w:lang w:val="fr-CH"/>
        </w:rPr>
        <w:t>sont tenus de faire des dé</w:t>
      </w:r>
      <w:r w:rsidR="00B13C84" w:rsidRPr="009F43DE">
        <w:rPr>
          <w:color w:val="000000"/>
          <w:lang w:val="fr-CH"/>
        </w:rPr>
        <w:t>clarations périod</w:t>
      </w:r>
      <w:r w:rsidR="00B1496E" w:rsidRPr="009F43DE">
        <w:rPr>
          <w:color w:val="000000"/>
          <w:lang w:val="fr-CH"/>
        </w:rPr>
        <w:t>iques de leurs actifs et passif</w:t>
      </w:r>
      <w:r w:rsidR="00B13C84" w:rsidRPr="009F43DE">
        <w:rPr>
          <w:color w:val="000000"/>
          <w:lang w:val="fr-CH"/>
        </w:rPr>
        <w:t>s à l</w:t>
      </w:r>
      <w:r w:rsidR="00F8384A" w:rsidRPr="009F43DE">
        <w:rPr>
          <w:color w:val="000000"/>
          <w:lang w:val="fr-CH"/>
        </w:rPr>
        <w:t>’</w:t>
      </w:r>
      <w:r w:rsidR="00B13C84" w:rsidRPr="009F43DE">
        <w:rPr>
          <w:color w:val="000000"/>
          <w:lang w:val="fr-CH"/>
        </w:rPr>
        <w:t>intérieur et à l</w:t>
      </w:r>
      <w:r w:rsidR="00F8384A" w:rsidRPr="009F43DE">
        <w:rPr>
          <w:color w:val="000000"/>
          <w:lang w:val="fr-CH"/>
        </w:rPr>
        <w:t>’</w:t>
      </w:r>
      <w:r w:rsidR="00B13C84" w:rsidRPr="009F43DE">
        <w:rPr>
          <w:color w:val="000000"/>
          <w:lang w:val="fr-CH"/>
        </w:rPr>
        <w:t>extérieur d</w:t>
      </w:r>
      <w:r w:rsidR="009F17F3" w:rsidRPr="009F43DE">
        <w:rPr>
          <w:color w:val="000000"/>
          <w:lang w:val="fr-CH"/>
        </w:rPr>
        <w:t>e</w:t>
      </w:r>
      <w:r w:rsidR="00B13C84" w:rsidRPr="009F43DE">
        <w:rPr>
          <w:color w:val="000000"/>
          <w:lang w:val="fr-CH"/>
        </w:rPr>
        <w:t xml:space="preserve"> Sri Lanka. </w:t>
      </w:r>
    </w:p>
    <w:p w:rsidR="00F65290" w:rsidRPr="009F43DE" w:rsidRDefault="00057D4A" w:rsidP="00057D4A">
      <w:pPr>
        <w:pStyle w:val="SingleTxtG"/>
        <w:rPr>
          <w:color w:val="000000"/>
          <w:lang w:val="fr-CH"/>
        </w:rPr>
      </w:pPr>
      <w:r w:rsidRPr="009F43DE">
        <w:rPr>
          <w:color w:val="000000"/>
          <w:lang w:val="fr-CH"/>
        </w:rPr>
        <w:t>29.</w:t>
      </w:r>
      <w:r w:rsidRPr="009F43DE">
        <w:rPr>
          <w:color w:val="000000"/>
          <w:lang w:val="fr-CH"/>
        </w:rPr>
        <w:tab/>
      </w:r>
      <w:r w:rsidR="00104329" w:rsidRPr="009F43DE">
        <w:rPr>
          <w:color w:val="000000"/>
          <w:lang w:val="fr-CH"/>
        </w:rPr>
        <w:t xml:space="preserve">La </w:t>
      </w:r>
      <w:r w:rsidR="00F65290" w:rsidRPr="009F43DE">
        <w:rPr>
          <w:color w:val="000000"/>
          <w:lang w:val="fr-CH"/>
        </w:rPr>
        <w:t xml:space="preserve">Commission </w:t>
      </w:r>
      <w:r w:rsidR="00104329" w:rsidRPr="009F43DE">
        <w:rPr>
          <w:color w:val="000000"/>
          <w:lang w:val="fr-CH"/>
        </w:rPr>
        <w:t xml:space="preserve">a </w:t>
      </w:r>
      <w:r w:rsidR="00902031" w:rsidRPr="009F43DE">
        <w:rPr>
          <w:color w:val="000000"/>
          <w:lang w:val="fr-CH"/>
        </w:rPr>
        <w:t>engagé diverses actions</w:t>
      </w:r>
      <w:r w:rsidR="00104329" w:rsidRPr="009F43DE">
        <w:rPr>
          <w:color w:val="000000"/>
          <w:lang w:val="fr-CH"/>
        </w:rPr>
        <w:t xml:space="preserve"> pour </w:t>
      </w:r>
      <w:r w:rsidR="00902031" w:rsidRPr="009F43DE">
        <w:rPr>
          <w:color w:val="000000"/>
          <w:lang w:val="fr-CH"/>
        </w:rPr>
        <w:t xml:space="preserve">sensibiliser le public à la </w:t>
      </w:r>
      <w:r w:rsidR="00104329" w:rsidRPr="009F43DE">
        <w:rPr>
          <w:color w:val="000000"/>
          <w:lang w:val="fr-CH"/>
        </w:rPr>
        <w:t xml:space="preserve">corruption, </w:t>
      </w:r>
      <w:r w:rsidR="00096FE4" w:rsidRPr="009F43DE">
        <w:rPr>
          <w:color w:val="000000"/>
          <w:lang w:val="fr-CH"/>
        </w:rPr>
        <w:t>notamment</w:t>
      </w:r>
      <w:r w:rsidR="00F8384A" w:rsidRPr="009F43DE">
        <w:rPr>
          <w:color w:val="000000"/>
          <w:lang w:val="fr-CH"/>
        </w:rPr>
        <w:t>:</w:t>
      </w:r>
    </w:p>
    <w:p w:rsidR="00F65290" w:rsidRPr="009F43DE" w:rsidRDefault="00057D4A" w:rsidP="00057D4A">
      <w:pPr>
        <w:pStyle w:val="Bullet1G"/>
        <w:numPr>
          <w:ilvl w:val="0"/>
          <w:numId w:val="0"/>
        </w:numPr>
        <w:tabs>
          <w:tab w:val="left" w:pos="1701"/>
        </w:tabs>
        <w:ind w:left="1701" w:hanging="170"/>
        <w:rPr>
          <w:color w:val="000000"/>
          <w:lang w:val="fr-CH"/>
        </w:rPr>
      </w:pPr>
      <w:r w:rsidRPr="009F43DE">
        <w:rPr>
          <w:color w:val="000000"/>
          <w:lang w:val="fr-CH"/>
        </w:rPr>
        <w:t>•</w:t>
      </w:r>
      <w:r w:rsidRPr="009F43DE">
        <w:rPr>
          <w:color w:val="000000"/>
          <w:lang w:val="fr-CH"/>
        </w:rPr>
        <w:tab/>
      </w:r>
      <w:r w:rsidR="00F80613" w:rsidRPr="009F43DE">
        <w:rPr>
          <w:color w:val="000000"/>
          <w:lang w:val="fr-CH"/>
        </w:rPr>
        <w:t>L</w:t>
      </w:r>
      <w:r w:rsidR="00F8384A" w:rsidRPr="009F43DE">
        <w:rPr>
          <w:color w:val="000000"/>
          <w:lang w:val="fr-CH"/>
        </w:rPr>
        <w:t>’</w:t>
      </w:r>
      <w:r w:rsidR="00902031" w:rsidRPr="009F43DE">
        <w:rPr>
          <w:color w:val="000000"/>
          <w:lang w:val="fr-CH"/>
        </w:rPr>
        <w:t>organisation de</w:t>
      </w:r>
      <w:r w:rsidR="00104329" w:rsidRPr="009F43DE">
        <w:rPr>
          <w:color w:val="000000"/>
          <w:lang w:val="fr-CH"/>
        </w:rPr>
        <w:t xml:space="preserve"> séminaires et d</w:t>
      </w:r>
      <w:r w:rsidR="00F8384A" w:rsidRPr="009F43DE">
        <w:rPr>
          <w:color w:val="000000"/>
          <w:lang w:val="fr-CH"/>
        </w:rPr>
        <w:t>’</w:t>
      </w:r>
      <w:r w:rsidR="00104329" w:rsidRPr="009F43DE">
        <w:rPr>
          <w:color w:val="000000"/>
          <w:lang w:val="fr-CH"/>
        </w:rPr>
        <w:t>ateliers au sein des institutions publiques</w:t>
      </w:r>
      <w:r w:rsidR="00695AFF">
        <w:rPr>
          <w:color w:val="000000"/>
          <w:lang w:val="fr-CH"/>
        </w:rPr>
        <w:t>;</w:t>
      </w:r>
    </w:p>
    <w:p w:rsidR="00F65290" w:rsidRPr="009F43DE" w:rsidRDefault="00057D4A" w:rsidP="00057D4A">
      <w:pPr>
        <w:pStyle w:val="Bullet1G"/>
        <w:numPr>
          <w:ilvl w:val="0"/>
          <w:numId w:val="0"/>
        </w:numPr>
        <w:tabs>
          <w:tab w:val="left" w:pos="1701"/>
        </w:tabs>
        <w:ind w:left="1701" w:hanging="170"/>
        <w:rPr>
          <w:color w:val="000000"/>
          <w:lang w:val="fr-CH"/>
        </w:rPr>
      </w:pPr>
      <w:r w:rsidRPr="009F43DE">
        <w:rPr>
          <w:color w:val="000000"/>
          <w:lang w:val="fr-CH"/>
        </w:rPr>
        <w:t>•</w:t>
      </w:r>
      <w:r w:rsidRPr="009F43DE">
        <w:rPr>
          <w:color w:val="000000"/>
          <w:lang w:val="fr-CH"/>
        </w:rPr>
        <w:tab/>
      </w:r>
      <w:r w:rsidR="00F80613" w:rsidRPr="009F43DE">
        <w:rPr>
          <w:color w:val="000000"/>
          <w:lang w:val="fr-CH"/>
        </w:rPr>
        <w:t>L</w:t>
      </w:r>
      <w:r w:rsidR="00F8384A" w:rsidRPr="009F43DE">
        <w:rPr>
          <w:color w:val="000000"/>
          <w:lang w:val="fr-CH"/>
        </w:rPr>
        <w:t>’</w:t>
      </w:r>
      <w:r w:rsidR="00FA4164" w:rsidRPr="009F43DE">
        <w:rPr>
          <w:color w:val="000000"/>
          <w:lang w:val="fr-CH"/>
        </w:rPr>
        <w:t>organ</w:t>
      </w:r>
      <w:r w:rsidR="00104329" w:rsidRPr="009F43DE">
        <w:rPr>
          <w:color w:val="000000"/>
          <w:lang w:val="fr-CH"/>
        </w:rPr>
        <w:t>i</w:t>
      </w:r>
      <w:r w:rsidR="00FA4164" w:rsidRPr="009F43DE">
        <w:rPr>
          <w:color w:val="000000"/>
          <w:lang w:val="fr-CH"/>
        </w:rPr>
        <w:t>s</w:t>
      </w:r>
      <w:r w:rsidR="00104329" w:rsidRPr="009F43DE">
        <w:rPr>
          <w:color w:val="000000"/>
          <w:lang w:val="fr-CH"/>
        </w:rPr>
        <w:t>ation de concours d</w:t>
      </w:r>
      <w:r w:rsidR="00F8384A" w:rsidRPr="009F43DE">
        <w:rPr>
          <w:color w:val="000000"/>
          <w:lang w:val="fr-CH"/>
        </w:rPr>
        <w:t>’</w:t>
      </w:r>
      <w:r w:rsidR="00104329" w:rsidRPr="009F43DE">
        <w:rPr>
          <w:color w:val="000000"/>
          <w:lang w:val="fr-CH"/>
        </w:rPr>
        <w:t>essais et d</w:t>
      </w:r>
      <w:r w:rsidR="00F8384A" w:rsidRPr="009F43DE">
        <w:rPr>
          <w:color w:val="000000"/>
          <w:lang w:val="fr-CH"/>
        </w:rPr>
        <w:t>’</w:t>
      </w:r>
      <w:r w:rsidR="00104329" w:rsidRPr="009F43DE">
        <w:rPr>
          <w:color w:val="000000"/>
          <w:lang w:val="fr-CH"/>
        </w:rPr>
        <w:t>œuvres d</w:t>
      </w:r>
      <w:r w:rsidR="00F8384A" w:rsidRPr="009F43DE">
        <w:rPr>
          <w:color w:val="000000"/>
          <w:lang w:val="fr-CH"/>
        </w:rPr>
        <w:t>’</w:t>
      </w:r>
      <w:r w:rsidR="00104329" w:rsidRPr="009F43DE">
        <w:rPr>
          <w:color w:val="000000"/>
          <w:lang w:val="fr-CH"/>
        </w:rPr>
        <w:t>art pour les élèves des écoles</w:t>
      </w:r>
      <w:r w:rsidR="00695AFF">
        <w:rPr>
          <w:color w:val="000000"/>
          <w:lang w:val="fr-CH"/>
        </w:rPr>
        <w:t>;</w:t>
      </w:r>
    </w:p>
    <w:p w:rsidR="00F65290" w:rsidRPr="009F43DE" w:rsidRDefault="00057D4A" w:rsidP="00057D4A">
      <w:pPr>
        <w:pStyle w:val="Bullet1G"/>
        <w:numPr>
          <w:ilvl w:val="0"/>
          <w:numId w:val="0"/>
        </w:numPr>
        <w:tabs>
          <w:tab w:val="left" w:pos="1701"/>
        </w:tabs>
        <w:ind w:left="1701" w:hanging="170"/>
        <w:rPr>
          <w:color w:val="000000"/>
          <w:lang w:val="fr-CH"/>
        </w:rPr>
      </w:pPr>
      <w:r w:rsidRPr="009F43DE">
        <w:rPr>
          <w:color w:val="000000"/>
          <w:lang w:val="fr-CH"/>
        </w:rPr>
        <w:t>•</w:t>
      </w:r>
      <w:r w:rsidRPr="009F43DE">
        <w:rPr>
          <w:color w:val="000000"/>
          <w:lang w:val="fr-CH"/>
        </w:rPr>
        <w:tab/>
      </w:r>
      <w:r w:rsidR="00F80613" w:rsidRPr="009F43DE">
        <w:rPr>
          <w:color w:val="000000"/>
          <w:lang w:val="fr-CH"/>
        </w:rPr>
        <w:t xml:space="preserve">Des </w:t>
      </w:r>
      <w:r w:rsidR="00104329" w:rsidRPr="009F43DE">
        <w:rPr>
          <w:color w:val="000000"/>
          <w:lang w:val="fr-CH"/>
        </w:rPr>
        <w:t>campagnes d</w:t>
      </w:r>
      <w:r w:rsidR="00F8384A" w:rsidRPr="009F43DE">
        <w:rPr>
          <w:color w:val="000000"/>
          <w:lang w:val="fr-CH"/>
        </w:rPr>
        <w:t>’</w:t>
      </w:r>
      <w:r w:rsidR="00104329" w:rsidRPr="009F43DE">
        <w:rPr>
          <w:color w:val="000000"/>
          <w:lang w:val="fr-CH"/>
        </w:rPr>
        <w:t>affich</w:t>
      </w:r>
      <w:r w:rsidR="00902031" w:rsidRPr="009F43DE">
        <w:rPr>
          <w:color w:val="000000"/>
          <w:lang w:val="fr-CH"/>
        </w:rPr>
        <w:t>age</w:t>
      </w:r>
      <w:r w:rsidR="00695AFF">
        <w:rPr>
          <w:color w:val="000000"/>
          <w:lang w:val="fr-CH"/>
        </w:rPr>
        <w:t>;</w:t>
      </w:r>
    </w:p>
    <w:p w:rsidR="00F65290" w:rsidRPr="009F43DE" w:rsidRDefault="00057D4A" w:rsidP="00057D4A">
      <w:pPr>
        <w:pStyle w:val="Bullet1G"/>
        <w:numPr>
          <w:ilvl w:val="0"/>
          <w:numId w:val="0"/>
        </w:numPr>
        <w:tabs>
          <w:tab w:val="left" w:pos="1701"/>
        </w:tabs>
        <w:ind w:left="1701" w:hanging="170"/>
        <w:rPr>
          <w:color w:val="000000"/>
          <w:lang w:val="fr-CH"/>
        </w:rPr>
      </w:pPr>
      <w:r w:rsidRPr="009F43DE">
        <w:rPr>
          <w:color w:val="000000"/>
          <w:lang w:val="fr-CH"/>
        </w:rPr>
        <w:t>•</w:t>
      </w:r>
      <w:r w:rsidRPr="009F43DE">
        <w:rPr>
          <w:color w:val="000000"/>
          <w:lang w:val="fr-CH"/>
        </w:rPr>
        <w:tab/>
      </w:r>
      <w:r w:rsidR="00F80613" w:rsidRPr="009F43DE">
        <w:rPr>
          <w:color w:val="000000"/>
          <w:lang w:val="fr-CH"/>
        </w:rPr>
        <w:t xml:space="preserve">Des </w:t>
      </w:r>
      <w:r w:rsidR="00104329" w:rsidRPr="009F43DE">
        <w:rPr>
          <w:color w:val="000000"/>
          <w:lang w:val="fr-CH"/>
        </w:rPr>
        <w:t>publicités à la radio et à la télévision</w:t>
      </w:r>
      <w:r w:rsidR="00695AFF">
        <w:rPr>
          <w:color w:val="000000"/>
          <w:lang w:val="fr-CH"/>
        </w:rPr>
        <w:t>;</w:t>
      </w:r>
    </w:p>
    <w:p w:rsidR="00F65290" w:rsidRPr="009F43DE" w:rsidRDefault="00057D4A" w:rsidP="00057D4A">
      <w:pPr>
        <w:pStyle w:val="Bullet1G"/>
        <w:numPr>
          <w:ilvl w:val="0"/>
          <w:numId w:val="0"/>
        </w:numPr>
        <w:tabs>
          <w:tab w:val="left" w:pos="1701"/>
        </w:tabs>
        <w:ind w:left="1701" w:hanging="170"/>
        <w:rPr>
          <w:color w:val="000000"/>
          <w:lang w:val="fr-CH"/>
        </w:rPr>
      </w:pPr>
      <w:r w:rsidRPr="009F43DE">
        <w:rPr>
          <w:color w:val="000000"/>
          <w:lang w:val="fr-CH"/>
        </w:rPr>
        <w:t>•</w:t>
      </w:r>
      <w:r w:rsidRPr="009F43DE">
        <w:rPr>
          <w:color w:val="000000"/>
          <w:lang w:val="fr-CH"/>
        </w:rPr>
        <w:tab/>
      </w:r>
      <w:r w:rsidR="00F80613" w:rsidRPr="009F43DE">
        <w:rPr>
          <w:color w:val="000000"/>
          <w:lang w:val="fr-CH"/>
        </w:rPr>
        <w:t xml:space="preserve">La </w:t>
      </w:r>
      <w:r w:rsidR="00104329" w:rsidRPr="009F43DE">
        <w:rPr>
          <w:color w:val="000000"/>
          <w:lang w:val="fr-CH"/>
        </w:rPr>
        <w:t>d</w:t>
      </w:r>
      <w:r w:rsidR="00F65290" w:rsidRPr="009F43DE">
        <w:rPr>
          <w:color w:val="000000"/>
          <w:lang w:val="fr-CH"/>
        </w:rPr>
        <w:t xml:space="preserve">istribution </w:t>
      </w:r>
      <w:r w:rsidR="00104329" w:rsidRPr="009F43DE">
        <w:rPr>
          <w:color w:val="000000"/>
          <w:lang w:val="fr-CH"/>
        </w:rPr>
        <w:t>de brochures</w:t>
      </w:r>
      <w:r w:rsidR="00695AFF">
        <w:rPr>
          <w:color w:val="000000"/>
          <w:lang w:val="fr-CH"/>
        </w:rPr>
        <w:t>;</w:t>
      </w:r>
    </w:p>
    <w:p w:rsidR="00F65290" w:rsidRPr="009F43DE" w:rsidRDefault="00057D4A" w:rsidP="00057D4A">
      <w:pPr>
        <w:pStyle w:val="Bullet1G"/>
        <w:numPr>
          <w:ilvl w:val="0"/>
          <w:numId w:val="0"/>
        </w:numPr>
        <w:tabs>
          <w:tab w:val="left" w:pos="1701"/>
        </w:tabs>
        <w:ind w:left="1701" w:hanging="170"/>
        <w:rPr>
          <w:color w:val="000000"/>
          <w:lang w:val="fr-CH"/>
        </w:rPr>
      </w:pPr>
      <w:r w:rsidRPr="009F43DE">
        <w:rPr>
          <w:color w:val="000000"/>
          <w:lang w:val="fr-CH"/>
        </w:rPr>
        <w:t>•</w:t>
      </w:r>
      <w:r w:rsidRPr="009F43DE">
        <w:rPr>
          <w:color w:val="000000"/>
          <w:lang w:val="fr-CH"/>
        </w:rPr>
        <w:tab/>
      </w:r>
      <w:r w:rsidR="00F80613" w:rsidRPr="009F43DE">
        <w:rPr>
          <w:color w:val="000000"/>
          <w:lang w:val="fr-CH"/>
        </w:rPr>
        <w:t>L</w:t>
      </w:r>
      <w:r w:rsidR="00F8384A" w:rsidRPr="009F43DE">
        <w:rPr>
          <w:color w:val="000000"/>
          <w:lang w:val="fr-CH"/>
        </w:rPr>
        <w:t>’</w:t>
      </w:r>
      <w:r w:rsidR="00104329" w:rsidRPr="009F43DE">
        <w:rPr>
          <w:color w:val="000000"/>
          <w:lang w:val="fr-CH"/>
        </w:rPr>
        <w:t>installation de stands lors de divers év</w:t>
      </w:r>
      <w:r w:rsidR="00902031" w:rsidRPr="009F43DE">
        <w:rPr>
          <w:color w:val="000000"/>
          <w:lang w:val="fr-CH"/>
        </w:rPr>
        <w:t>é</w:t>
      </w:r>
      <w:r w:rsidR="00104329" w:rsidRPr="009F43DE">
        <w:rPr>
          <w:color w:val="000000"/>
          <w:lang w:val="fr-CH"/>
        </w:rPr>
        <w:t xml:space="preserve">nements publics </w:t>
      </w:r>
      <w:r w:rsidR="00902031" w:rsidRPr="009F43DE">
        <w:rPr>
          <w:color w:val="000000"/>
          <w:lang w:val="fr-CH"/>
        </w:rPr>
        <w:t>pour débattre de</w:t>
      </w:r>
      <w:r w:rsidR="00D87753" w:rsidRPr="009F43DE">
        <w:rPr>
          <w:color w:val="000000"/>
          <w:lang w:val="fr-CH"/>
        </w:rPr>
        <w:t xml:space="preserve">s questions relatives à la </w:t>
      </w:r>
      <w:r w:rsidR="00F65290" w:rsidRPr="009F43DE">
        <w:rPr>
          <w:color w:val="000000"/>
          <w:lang w:val="fr-CH"/>
        </w:rPr>
        <w:t>corruption</w:t>
      </w:r>
      <w:r w:rsidR="00B0477B" w:rsidRPr="009F43DE">
        <w:rPr>
          <w:color w:val="000000"/>
          <w:lang w:val="fr-CH"/>
        </w:rPr>
        <w:t>.</w:t>
      </w:r>
    </w:p>
    <w:p w:rsidR="009E2C14" w:rsidRPr="009F43DE" w:rsidRDefault="00ED0FF9" w:rsidP="00057D4A">
      <w:pPr>
        <w:pStyle w:val="H4G"/>
        <w:rPr>
          <w:color w:val="000000"/>
          <w:lang w:val="fr-CH"/>
        </w:rPr>
      </w:pPr>
      <w:r w:rsidRPr="009F43DE">
        <w:rPr>
          <w:lang w:val="fr-CH"/>
        </w:rPr>
        <w:tab/>
      </w:r>
      <w:r w:rsidRPr="009F43DE">
        <w:rPr>
          <w:lang w:val="fr-CH"/>
        </w:rPr>
        <w:tab/>
      </w:r>
      <w:r w:rsidR="00965BBE" w:rsidRPr="009F43DE">
        <w:rPr>
          <w:color w:val="000000"/>
          <w:lang w:val="fr-CH"/>
        </w:rPr>
        <w:t>Renforcement des c</w:t>
      </w:r>
      <w:r w:rsidR="00F65290" w:rsidRPr="009F43DE">
        <w:rPr>
          <w:color w:val="000000"/>
          <w:lang w:val="fr-CH"/>
        </w:rPr>
        <w:t>apacit</w:t>
      </w:r>
      <w:r w:rsidR="00965BBE" w:rsidRPr="009F43DE">
        <w:rPr>
          <w:color w:val="000000"/>
          <w:lang w:val="fr-CH"/>
        </w:rPr>
        <w:t>és</w:t>
      </w:r>
      <w:r w:rsidR="00F65290" w:rsidRPr="009F43DE">
        <w:rPr>
          <w:color w:val="000000"/>
          <w:lang w:val="fr-CH"/>
        </w:rPr>
        <w:t xml:space="preserve"> </w:t>
      </w:r>
    </w:p>
    <w:p w:rsidR="009E2C14" w:rsidRPr="009F43DE" w:rsidRDefault="00057D4A" w:rsidP="00057D4A">
      <w:pPr>
        <w:pStyle w:val="SingleTxtG"/>
        <w:rPr>
          <w:color w:val="000000"/>
          <w:lang w:val="fr-CH"/>
        </w:rPr>
      </w:pPr>
      <w:r w:rsidRPr="009F43DE">
        <w:rPr>
          <w:color w:val="000000"/>
          <w:lang w:val="fr-CH"/>
        </w:rPr>
        <w:t>30.</w:t>
      </w:r>
      <w:r w:rsidRPr="009F43DE">
        <w:rPr>
          <w:color w:val="000000"/>
          <w:lang w:val="fr-CH"/>
        </w:rPr>
        <w:tab/>
      </w:r>
      <w:r w:rsidR="006467B2" w:rsidRPr="009F43DE">
        <w:rPr>
          <w:color w:val="000000"/>
          <w:lang w:val="fr-CH"/>
        </w:rPr>
        <w:t>Des programmes de formation dans le pays et à l</w:t>
      </w:r>
      <w:r w:rsidR="00F8384A" w:rsidRPr="009F43DE">
        <w:rPr>
          <w:color w:val="000000"/>
          <w:lang w:val="fr-CH"/>
        </w:rPr>
        <w:t>’</w:t>
      </w:r>
      <w:r w:rsidR="006467B2" w:rsidRPr="009F43DE">
        <w:rPr>
          <w:color w:val="000000"/>
          <w:lang w:val="fr-CH"/>
        </w:rPr>
        <w:t>étranger sont proposés pour améliorer les compétences techniques des procureurs et des enquêteurs de la Commission.</w:t>
      </w:r>
    </w:p>
    <w:p w:rsidR="00F65290" w:rsidRPr="009F43DE" w:rsidRDefault="00ED0FF9" w:rsidP="00057D4A">
      <w:pPr>
        <w:pStyle w:val="H56G"/>
        <w:rPr>
          <w:color w:val="000000"/>
          <w:lang w:val="fr-CH"/>
        </w:rPr>
      </w:pPr>
      <w:r w:rsidRPr="009F43DE">
        <w:rPr>
          <w:color w:val="000000"/>
          <w:lang w:val="fr-CH"/>
        </w:rPr>
        <w:tab/>
      </w:r>
      <w:r w:rsidRPr="009F43DE">
        <w:rPr>
          <w:color w:val="000000"/>
          <w:lang w:val="fr-CH"/>
        </w:rPr>
        <w:tab/>
      </w:r>
      <w:r w:rsidR="00965BBE" w:rsidRPr="009F43DE">
        <w:rPr>
          <w:color w:val="000000"/>
          <w:lang w:val="fr-CH"/>
        </w:rPr>
        <w:t>Formations dans le pays</w:t>
      </w:r>
    </w:p>
    <w:p w:rsidR="009E2C14" w:rsidRPr="009F43DE" w:rsidRDefault="00057D4A" w:rsidP="00057D4A">
      <w:pPr>
        <w:pStyle w:val="SingleTxtG"/>
        <w:rPr>
          <w:color w:val="000000"/>
          <w:lang w:val="fr-CH"/>
        </w:rPr>
      </w:pPr>
      <w:r w:rsidRPr="009F43DE">
        <w:rPr>
          <w:color w:val="000000"/>
          <w:lang w:val="fr-CH"/>
        </w:rPr>
        <w:t>31.</w:t>
      </w:r>
      <w:r w:rsidRPr="009F43DE">
        <w:rPr>
          <w:color w:val="000000"/>
          <w:lang w:val="fr-CH"/>
        </w:rPr>
        <w:tab/>
      </w:r>
      <w:r w:rsidR="003E7A18" w:rsidRPr="009F43DE">
        <w:rPr>
          <w:color w:val="000000"/>
          <w:lang w:val="fr-CH"/>
        </w:rPr>
        <w:t xml:space="preserve">Grâce à des financements du PNUD, plusieurs programmes de formation </w:t>
      </w:r>
      <w:r w:rsidR="006467B2" w:rsidRPr="009F43DE">
        <w:rPr>
          <w:color w:val="000000"/>
          <w:lang w:val="fr-CH"/>
        </w:rPr>
        <w:t>ont été organisés à l</w:t>
      </w:r>
      <w:r w:rsidR="00F8384A" w:rsidRPr="009F43DE">
        <w:rPr>
          <w:color w:val="000000"/>
          <w:lang w:val="fr-CH"/>
        </w:rPr>
        <w:t>’</w:t>
      </w:r>
      <w:r w:rsidR="006467B2" w:rsidRPr="009F43DE">
        <w:rPr>
          <w:color w:val="000000"/>
          <w:lang w:val="fr-CH"/>
        </w:rPr>
        <w:t>intention des procureurs et enquêteurs de la Commission sur les procédures judiciaires, l</w:t>
      </w:r>
      <w:r w:rsidR="00F8384A" w:rsidRPr="009F43DE">
        <w:rPr>
          <w:color w:val="000000"/>
          <w:lang w:val="fr-CH"/>
        </w:rPr>
        <w:t>’</w:t>
      </w:r>
      <w:r w:rsidR="006467B2" w:rsidRPr="009F43DE">
        <w:rPr>
          <w:color w:val="000000"/>
          <w:lang w:val="fr-CH"/>
        </w:rPr>
        <w:t>administration et les procédures financières, ainsi que les appels d</w:t>
      </w:r>
      <w:r w:rsidR="00F8384A" w:rsidRPr="009F43DE">
        <w:rPr>
          <w:color w:val="000000"/>
          <w:lang w:val="fr-CH"/>
        </w:rPr>
        <w:t>’</w:t>
      </w:r>
      <w:r w:rsidR="006467B2" w:rsidRPr="009F43DE">
        <w:rPr>
          <w:color w:val="000000"/>
          <w:lang w:val="fr-CH"/>
        </w:rPr>
        <w:t>offres et les procédures de passation des marchés.</w:t>
      </w:r>
    </w:p>
    <w:p w:rsidR="009E2C14" w:rsidRPr="009F43DE" w:rsidRDefault="00057D4A" w:rsidP="00057D4A">
      <w:pPr>
        <w:pStyle w:val="SingleTxtG"/>
        <w:rPr>
          <w:color w:val="000000"/>
          <w:lang w:val="fr-CH"/>
        </w:rPr>
      </w:pPr>
      <w:r w:rsidRPr="009F43DE">
        <w:rPr>
          <w:lang w:val="fr-CH"/>
        </w:rPr>
        <w:t>32.</w:t>
      </w:r>
      <w:r w:rsidRPr="009F43DE">
        <w:rPr>
          <w:lang w:val="fr-CH"/>
        </w:rPr>
        <w:tab/>
      </w:r>
      <w:r w:rsidR="003E7A18" w:rsidRPr="009F43DE">
        <w:rPr>
          <w:color w:val="000000"/>
          <w:lang w:val="fr-CH"/>
        </w:rPr>
        <w:t>De plus</w:t>
      </w:r>
      <w:r w:rsidR="00B0477B" w:rsidRPr="009F43DE">
        <w:rPr>
          <w:color w:val="000000"/>
          <w:lang w:val="fr-CH"/>
        </w:rPr>
        <w:t>,</w:t>
      </w:r>
      <w:r w:rsidR="003E7A18" w:rsidRPr="009F43DE">
        <w:rPr>
          <w:color w:val="000000"/>
          <w:lang w:val="fr-CH"/>
        </w:rPr>
        <w:t xml:space="preserve"> plusieurs ateliers internes </w:t>
      </w:r>
      <w:r w:rsidR="009F17F3" w:rsidRPr="009F43DE">
        <w:rPr>
          <w:color w:val="000000"/>
          <w:lang w:val="fr-CH"/>
        </w:rPr>
        <w:t xml:space="preserve">ont été </w:t>
      </w:r>
      <w:r w:rsidR="003E7A18" w:rsidRPr="009F43DE">
        <w:rPr>
          <w:color w:val="000000"/>
          <w:lang w:val="fr-CH"/>
        </w:rPr>
        <w:t xml:space="preserve">financés par le PNUD </w:t>
      </w:r>
      <w:r w:rsidR="009F17F3" w:rsidRPr="009F43DE">
        <w:rPr>
          <w:color w:val="000000"/>
          <w:lang w:val="fr-CH"/>
        </w:rPr>
        <w:t>pour contribuer à l</w:t>
      </w:r>
      <w:r w:rsidR="00F8384A" w:rsidRPr="009F43DE">
        <w:rPr>
          <w:color w:val="000000"/>
          <w:lang w:val="fr-CH"/>
        </w:rPr>
        <w:t>’</w:t>
      </w:r>
      <w:r w:rsidR="009F17F3" w:rsidRPr="009F43DE">
        <w:rPr>
          <w:color w:val="000000"/>
          <w:lang w:val="fr-CH"/>
        </w:rPr>
        <w:t xml:space="preserve">amélioration des </w:t>
      </w:r>
      <w:r w:rsidR="003E7A18" w:rsidRPr="009F43DE">
        <w:rPr>
          <w:color w:val="000000"/>
          <w:lang w:val="fr-CH"/>
        </w:rPr>
        <w:t xml:space="preserve">connaissances </w:t>
      </w:r>
      <w:r w:rsidR="009F17F3" w:rsidRPr="009F43DE">
        <w:rPr>
          <w:color w:val="000000"/>
          <w:lang w:val="fr-CH"/>
        </w:rPr>
        <w:t>des juges et leur donner la p</w:t>
      </w:r>
      <w:r w:rsidR="003E7A18" w:rsidRPr="009F43DE">
        <w:rPr>
          <w:color w:val="000000"/>
          <w:lang w:val="fr-CH"/>
        </w:rPr>
        <w:t>ossibilité d</w:t>
      </w:r>
      <w:r w:rsidR="00F8384A" w:rsidRPr="009F43DE">
        <w:rPr>
          <w:color w:val="000000"/>
          <w:lang w:val="fr-CH"/>
        </w:rPr>
        <w:t>’</w:t>
      </w:r>
      <w:r w:rsidR="009F17F3" w:rsidRPr="009F43DE">
        <w:rPr>
          <w:color w:val="000000"/>
          <w:lang w:val="fr-CH"/>
        </w:rPr>
        <w:t xml:space="preserve">appliquer </w:t>
      </w:r>
      <w:r w:rsidR="003E7A18" w:rsidRPr="009F43DE">
        <w:rPr>
          <w:color w:val="000000"/>
          <w:lang w:val="fr-CH"/>
        </w:rPr>
        <w:t xml:space="preserve">des procédures opérationnelles transparentes </w:t>
      </w:r>
      <w:r w:rsidR="009F17F3" w:rsidRPr="009F43DE">
        <w:rPr>
          <w:color w:val="000000"/>
          <w:lang w:val="fr-CH"/>
        </w:rPr>
        <w:t>et</w:t>
      </w:r>
      <w:r w:rsidR="003E7A18" w:rsidRPr="009F43DE">
        <w:rPr>
          <w:color w:val="000000"/>
          <w:lang w:val="fr-CH"/>
        </w:rPr>
        <w:t xml:space="preserve"> garantir</w:t>
      </w:r>
      <w:r w:rsidR="009F17F3" w:rsidRPr="009F43DE">
        <w:rPr>
          <w:color w:val="000000"/>
          <w:lang w:val="fr-CH"/>
        </w:rPr>
        <w:t xml:space="preserve"> ainsi </w:t>
      </w:r>
      <w:r w:rsidR="003E7A18" w:rsidRPr="009F43DE">
        <w:rPr>
          <w:color w:val="000000"/>
          <w:lang w:val="fr-CH"/>
        </w:rPr>
        <w:t xml:space="preserve">que </w:t>
      </w:r>
      <w:r w:rsidR="005556CD" w:rsidRPr="009F43DE">
        <w:rPr>
          <w:color w:val="000000"/>
          <w:lang w:val="fr-CH"/>
        </w:rPr>
        <w:t>justice soit faite</w:t>
      </w:r>
      <w:r w:rsidR="003E7A18" w:rsidRPr="009F43DE">
        <w:rPr>
          <w:color w:val="000000"/>
          <w:lang w:val="fr-CH"/>
        </w:rPr>
        <w:t xml:space="preserve">. </w:t>
      </w:r>
    </w:p>
    <w:p w:rsidR="00F65290" w:rsidRPr="009F43DE" w:rsidRDefault="00ED0FF9" w:rsidP="00057D4A">
      <w:pPr>
        <w:pStyle w:val="H56G"/>
        <w:rPr>
          <w:color w:val="000000"/>
          <w:lang w:val="fr-CH"/>
        </w:rPr>
      </w:pPr>
      <w:r w:rsidRPr="009F43DE">
        <w:rPr>
          <w:color w:val="000000"/>
          <w:lang w:val="fr-CH"/>
        </w:rPr>
        <w:tab/>
      </w:r>
      <w:r w:rsidRPr="009F43DE">
        <w:rPr>
          <w:color w:val="000000"/>
          <w:lang w:val="fr-CH"/>
        </w:rPr>
        <w:tab/>
      </w:r>
      <w:r w:rsidR="003E7A18" w:rsidRPr="009F43DE">
        <w:rPr>
          <w:color w:val="000000"/>
          <w:lang w:val="fr-CH"/>
        </w:rPr>
        <w:t>Formation/</w:t>
      </w:r>
      <w:r w:rsidR="009F17F3" w:rsidRPr="009F43DE">
        <w:rPr>
          <w:color w:val="000000"/>
          <w:lang w:val="fr-CH"/>
        </w:rPr>
        <w:t>s</w:t>
      </w:r>
      <w:r w:rsidR="003E7A18" w:rsidRPr="009F43DE">
        <w:rPr>
          <w:color w:val="000000"/>
          <w:lang w:val="fr-CH"/>
        </w:rPr>
        <w:t>éminaires/</w:t>
      </w:r>
      <w:r w:rsidR="009F17F3" w:rsidRPr="009F43DE">
        <w:rPr>
          <w:color w:val="000000"/>
          <w:lang w:val="fr-CH"/>
        </w:rPr>
        <w:t>a</w:t>
      </w:r>
      <w:r w:rsidR="003E7A18" w:rsidRPr="009F43DE">
        <w:rPr>
          <w:color w:val="000000"/>
          <w:lang w:val="fr-CH"/>
        </w:rPr>
        <w:t>teliers/</w:t>
      </w:r>
      <w:r w:rsidR="009F17F3" w:rsidRPr="009F43DE">
        <w:rPr>
          <w:color w:val="000000"/>
          <w:lang w:val="fr-CH"/>
        </w:rPr>
        <w:t>r</w:t>
      </w:r>
      <w:r w:rsidR="003E7A18" w:rsidRPr="009F43DE">
        <w:rPr>
          <w:color w:val="000000"/>
          <w:lang w:val="fr-CH"/>
        </w:rPr>
        <w:t>éunions à l</w:t>
      </w:r>
      <w:r w:rsidR="00F8384A" w:rsidRPr="009F43DE">
        <w:rPr>
          <w:color w:val="000000"/>
          <w:lang w:val="fr-CH"/>
        </w:rPr>
        <w:t>’</w:t>
      </w:r>
      <w:r w:rsidR="003E7A18" w:rsidRPr="009F43DE">
        <w:rPr>
          <w:color w:val="000000"/>
          <w:lang w:val="fr-CH"/>
        </w:rPr>
        <w:t>étranger</w:t>
      </w:r>
    </w:p>
    <w:p w:rsidR="009E2C14" w:rsidRPr="009F43DE" w:rsidRDefault="00057D4A" w:rsidP="00057D4A">
      <w:pPr>
        <w:pStyle w:val="SingleTxtG"/>
        <w:rPr>
          <w:color w:val="000000"/>
          <w:lang w:val="fr-CH"/>
        </w:rPr>
      </w:pPr>
      <w:r w:rsidRPr="009F43DE">
        <w:rPr>
          <w:color w:val="000000"/>
          <w:lang w:val="fr-CH"/>
        </w:rPr>
        <w:t>33.</w:t>
      </w:r>
      <w:r w:rsidRPr="009F43DE">
        <w:rPr>
          <w:color w:val="000000"/>
          <w:lang w:val="fr-CH"/>
        </w:rPr>
        <w:tab/>
      </w:r>
      <w:r w:rsidR="00255264" w:rsidRPr="009F43DE">
        <w:rPr>
          <w:color w:val="000000"/>
          <w:lang w:val="fr-CH"/>
        </w:rPr>
        <w:t>Les organisations internationales suivantes ont proposé plusieurs programme</w:t>
      </w:r>
      <w:r w:rsidR="009F17F3" w:rsidRPr="009F43DE">
        <w:rPr>
          <w:color w:val="000000"/>
          <w:lang w:val="fr-CH"/>
        </w:rPr>
        <w:t>s</w:t>
      </w:r>
      <w:r w:rsidR="00255264" w:rsidRPr="009F43DE">
        <w:rPr>
          <w:color w:val="000000"/>
          <w:lang w:val="fr-CH"/>
        </w:rPr>
        <w:t xml:space="preserve"> de formation </w:t>
      </w:r>
      <w:r w:rsidR="009F17F3" w:rsidRPr="009F43DE">
        <w:rPr>
          <w:color w:val="000000"/>
          <w:lang w:val="fr-CH"/>
        </w:rPr>
        <w:t>dans le domaine de</w:t>
      </w:r>
      <w:r w:rsidR="00255264" w:rsidRPr="009F43DE">
        <w:rPr>
          <w:color w:val="000000"/>
          <w:lang w:val="fr-CH"/>
        </w:rPr>
        <w:t xml:space="preserve"> la lu</w:t>
      </w:r>
      <w:r w:rsidR="009F17F3" w:rsidRPr="009F43DE">
        <w:rPr>
          <w:color w:val="000000"/>
          <w:lang w:val="fr-CH"/>
        </w:rPr>
        <w:t>t</w:t>
      </w:r>
      <w:r w:rsidR="00255264" w:rsidRPr="009F43DE">
        <w:rPr>
          <w:color w:val="000000"/>
          <w:lang w:val="fr-CH"/>
        </w:rPr>
        <w:t>te contre la corruption à l</w:t>
      </w:r>
      <w:r w:rsidR="00F8384A" w:rsidRPr="009F43DE">
        <w:rPr>
          <w:color w:val="000000"/>
          <w:lang w:val="fr-CH"/>
        </w:rPr>
        <w:t>’</w:t>
      </w:r>
      <w:r w:rsidR="00255264" w:rsidRPr="009F43DE">
        <w:rPr>
          <w:color w:val="000000"/>
          <w:lang w:val="fr-CH"/>
        </w:rPr>
        <w:t>intention des procureurs et enquêteurs de la C</w:t>
      </w:r>
      <w:r w:rsidR="00F65290" w:rsidRPr="009F43DE">
        <w:rPr>
          <w:color w:val="000000"/>
          <w:lang w:val="fr-CH"/>
        </w:rPr>
        <w:t>ommission</w:t>
      </w:r>
      <w:r w:rsidR="00F8384A" w:rsidRPr="009F43DE">
        <w:rPr>
          <w:color w:val="000000"/>
          <w:lang w:val="fr-CH"/>
        </w:rPr>
        <w:t>:</w:t>
      </w:r>
    </w:p>
    <w:p w:rsidR="00F65290" w:rsidRPr="009F43DE" w:rsidRDefault="00057D4A" w:rsidP="00057D4A">
      <w:pPr>
        <w:pStyle w:val="Bullet1G"/>
        <w:numPr>
          <w:ilvl w:val="0"/>
          <w:numId w:val="0"/>
        </w:numPr>
        <w:tabs>
          <w:tab w:val="left" w:pos="1701"/>
        </w:tabs>
        <w:ind w:left="1701" w:hanging="170"/>
        <w:rPr>
          <w:color w:val="000000"/>
          <w:lang w:val="fr-CH"/>
        </w:rPr>
      </w:pPr>
      <w:r w:rsidRPr="009F43DE">
        <w:rPr>
          <w:color w:val="000000"/>
          <w:lang w:val="fr-CH"/>
        </w:rPr>
        <w:t>•</w:t>
      </w:r>
      <w:r w:rsidRPr="009F43DE">
        <w:rPr>
          <w:color w:val="000000"/>
          <w:lang w:val="fr-CH"/>
        </w:rPr>
        <w:tab/>
      </w:r>
      <w:r w:rsidR="00255264" w:rsidRPr="009F43DE">
        <w:rPr>
          <w:color w:val="000000"/>
          <w:lang w:val="fr-CH"/>
        </w:rPr>
        <w:t>Académie de lut</w:t>
      </w:r>
      <w:r w:rsidR="00096FE4" w:rsidRPr="009F43DE">
        <w:rPr>
          <w:color w:val="000000"/>
          <w:lang w:val="fr-CH"/>
        </w:rPr>
        <w:t>t</w:t>
      </w:r>
      <w:r w:rsidR="00255264" w:rsidRPr="009F43DE">
        <w:rPr>
          <w:color w:val="000000"/>
          <w:lang w:val="fr-CH"/>
        </w:rPr>
        <w:t xml:space="preserve">e contre la corruption de la </w:t>
      </w:r>
      <w:r w:rsidR="00F65290" w:rsidRPr="009F43DE">
        <w:rPr>
          <w:color w:val="000000"/>
          <w:lang w:val="fr-CH"/>
        </w:rPr>
        <w:t>Mala</w:t>
      </w:r>
      <w:r w:rsidR="00255264" w:rsidRPr="009F43DE">
        <w:rPr>
          <w:color w:val="000000"/>
          <w:lang w:val="fr-CH"/>
        </w:rPr>
        <w:t>is</w:t>
      </w:r>
      <w:r w:rsidR="009D4E15">
        <w:rPr>
          <w:color w:val="000000"/>
          <w:lang w:val="fr-CH"/>
        </w:rPr>
        <w:t>i</w:t>
      </w:r>
      <w:r w:rsidR="00255264" w:rsidRPr="009F43DE">
        <w:rPr>
          <w:color w:val="000000"/>
          <w:lang w:val="fr-CH"/>
        </w:rPr>
        <w:t>e</w:t>
      </w:r>
      <w:r w:rsidR="009D4E15">
        <w:rPr>
          <w:color w:val="000000"/>
          <w:lang w:val="fr-CH"/>
        </w:rPr>
        <w:t>;</w:t>
      </w:r>
    </w:p>
    <w:p w:rsidR="00F65290" w:rsidRPr="009F43DE" w:rsidRDefault="00057D4A" w:rsidP="00057D4A">
      <w:pPr>
        <w:pStyle w:val="Bullet1G"/>
        <w:numPr>
          <w:ilvl w:val="0"/>
          <w:numId w:val="0"/>
        </w:numPr>
        <w:tabs>
          <w:tab w:val="left" w:pos="1701"/>
        </w:tabs>
        <w:ind w:left="1701" w:hanging="170"/>
        <w:rPr>
          <w:lang w:val="fr-CH"/>
        </w:rPr>
      </w:pPr>
      <w:r w:rsidRPr="009F43DE">
        <w:rPr>
          <w:lang w:val="fr-CH"/>
        </w:rPr>
        <w:t>•</w:t>
      </w:r>
      <w:r w:rsidRPr="009F43DE">
        <w:rPr>
          <w:lang w:val="fr-CH"/>
        </w:rPr>
        <w:tab/>
      </w:r>
      <w:r w:rsidR="00C14C0A" w:rsidRPr="009F43DE">
        <w:rPr>
          <w:lang w:val="fr-CH"/>
        </w:rPr>
        <w:t>Institut des Nations Unies pour la prévention du crime et le traitement des délinquants en Asie et en Extrême-Orient (</w:t>
      </w:r>
      <w:r w:rsidR="00F65290" w:rsidRPr="009F43DE">
        <w:rPr>
          <w:lang w:val="fr-CH"/>
        </w:rPr>
        <w:t>Jap</w:t>
      </w:r>
      <w:r w:rsidR="00C14C0A" w:rsidRPr="009F43DE">
        <w:rPr>
          <w:lang w:val="fr-CH"/>
        </w:rPr>
        <w:t>o</w:t>
      </w:r>
      <w:r w:rsidR="00F65290" w:rsidRPr="009F43DE">
        <w:rPr>
          <w:lang w:val="fr-CH"/>
        </w:rPr>
        <w:t>n</w:t>
      </w:r>
      <w:r w:rsidR="00096FE4" w:rsidRPr="009F43DE">
        <w:rPr>
          <w:lang w:val="fr-CH"/>
        </w:rPr>
        <w:t>)</w:t>
      </w:r>
      <w:r w:rsidR="00F65290" w:rsidRPr="009F43DE">
        <w:rPr>
          <w:lang w:val="fr-CH"/>
        </w:rPr>
        <w:t xml:space="preserve"> – </w:t>
      </w:r>
      <w:r w:rsidR="00C14C0A" w:rsidRPr="009F43DE">
        <w:rPr>
          <w:lang w:val="fr-CH"/>
        </w:rPr>
        <w:t>organis</w:t>
      </w:r>
      <w:r w:rsidR="00096FE4" w:rsidRPr="009F43DE">
        <w:rPr>
          <w:lang w:val="fr-CH"/>
        </w:rPr>
        <w:t>ation par</w:t>
      </w:r>
      <w:r w:rsidR="00C14C0A" w:rsidRPr="009F43DE">
        <w:rPr>
          <w:lang w:val="fr-CH"/>
        </w:rPr>
        <w:t xml:space="preserve"> l</w:t>
      </w:r>
      <w:r w:rsidR="00F8384A" w:rsidRPr="009F43DE">
        <w:rPr>
          <w:lang w:val="fr-CH"/>
        </w:rPr>
        <w:t>’</w:t>
      </w:r>
      <w:r w:rsidR="00096FE4" w:rsidRPr="009F43DE">
        <w:rPr>
          <w:lang w:val="fr-CH"/>
        </w:rPr>
        <w:t xml:space="preserve">Agence japonaise </w:t>
      </w:r>
      <w:r w:rsidR="00C14C0A" w:rsidRPr="009F43DE">
        <w:rPr>
          <w:lang w:val="fr-CH"/>
        </w:rPr>
        <w:t>de coopération internationale</w:t>
      </w:r>
      <w:r w:rsidR="009D4E15">
        <w:rPr>
          <w:color w:val="000000"/>
          <w:lang w:val="fr-CH"/>
        </w:rPr>
        <w:t>;</w:t>
      </w:r>
    </w:p>
    <w:p w:rsidR="00F65290" w:rsidRPr="009F43DE" w:rsidRDefault="00057D4A" w:rsidP="00057D4A">
      <w:pPr>
        <w:pStyle w:val="Bullet1G"/>
        <w:numPr>
          <w:ilvl w:val="0"/>
          <w:numId w:val="0"/>
        </w:numPr>
        <w:tabs>
          <w:tab w:val="left" w:pos="1701"/>
        </w:tabs>
        <w:ind w:left="1701" w:hanging="170"/>
        <w:rPr>
          <w:lang w:val="fr-CH"/>
        </w:rPr>
      </w:pPr>
      <w:r w:rsidRPr="009F43DE">
        <w:rPr>
          <w:lang w:val="fr-CH"/>
        </w:rPr>
        <w:t>•</w:t>
      </w:r>
      <w:r w:rsidRPr="009F43DE">
        <w:rPr>
          <w:lang w:val="fr-CH"/>
        </w:rPr>
        <w:tab/>
      </w:r>
      <w:r w:rsidR="009D4E15" w:rsidRPr="009F43DE">
        <w:rPr>
          <w:lang w:val="fr-CH"/>
        </w:rPr>
        <w:t xml:space="preserve">Un </w:t>
      </w:r>
      <w:r w:rsidR="00C14C0A" w:rsidRPr="009F43DE">
        <w:rPr>
          <w:lang w:val="fr-CH"/>
        </w:rPr>
        <w:t xml:space="preserve">institut régional du </w:t>
      </w:r>
      <w:r w:rsidR="00096FE4" w:rsidRPr="009F43DE">
        <w:rPr>
          <w:lang w:val="fr-CH"/>
        </w:rPr>
        <w:t xml:space="preserve">Réseau du </w:t>
      </w:r>
      <w:r w:rsidR="00C14C0A" w:rsidRPr="009F43DE">
        <w:rPr>
          <w:lang w:val="fr-CH"/>
        </w:rPr>
        <w:t>Programme des Nations Unies en matière de prévention du crime et de justice pénale</w:t>
      </w:r>
      <w:r w:rsidR="009D4E15">
        <w:rPr>
          <w:color w:val="000000"/>
          <w:lang w:val="fr-CH"/>
        </w:rPr>
        <w:t>;</w:t>
      </w:r>
    </w:p>
    <w:p w:rsidR="00F65290" w:rsidRPr="005F283E" w:rsidRDefault="00057D4A" w:rsidP="00057D4A">
      <w:pPr>
        <w:pStyle w:val="Bullet1G"/>
        <w:numPr>
          <w:ilvl w:val="0"/>
          <w:numId w:val="0"/>
        </w:numPr>
        <w:tabs>
          <w:tab w:val="left" w:pos="1701"/>
        </w:tabs>
        <w:ind w:left="1701" w:hanging="170"/>
        <w:rPr>
          <w:lang w:val="en-US"/>
        </w:rPr>
      </w:pPr>
      <w:r w:rsidRPr="005F283E">
        <w:rPr>
          <w:lang w:val="en-US"/>
        </w:rPr>
        <w:t>•</w:t>
      </w:r>
      <w:r w:rsidRPr="005F283E">
        <w:rPr>
          <w:lang w:val="en-US"/>
        </w:rPr>
        <w:tab/>
      </w:r>
      <w:r w:rsidR="00F65290" w:rsidRPr="005F283E">
        <w:rPr>
          <w:lang w:val="en-US"/>
        </w:rPr>
        <w:t>Defence Institute of Legal Studies, New Port, Rhode Island</w:t>
      </w:r>
      <w:r w:rsidR="00C14C0A" w:rsidRPr="005F283E">
        <w:rPr>
          <w:lang w:val="en-US"/>
        </w:rPr>
        <w:t xml:space="preserve"> (</w:t>
      </w:r>
      <w:r w:rsidR="007574C7" w:rsidRPr="005F283E">
        <w:rPr>
          <w:lang w:val="en-US"/>
        </w:rPr>
        <w:t>États-Unis</w:t>
      </w:r>
      <w:r w:rsidR="00C14C0A" w:rsidRPr="005F283E">
        <w:rPr>
          <w:lang w:val="en-US"/>
        </w:rPr>
        <w:t>)</w:t>
      </w:r>
      <w:r w:rsidR="009D4E15" w:rsidRPr="005F283E">
        <w:rPr>
          <w:color w:val="000000"/>
          <w:lang w:val="en-US"/>
        </w:rPr>
        <w:t>;</w:t>
      </w:r>
    </w:p>
    <w:p w:rsidR="00F65290" w:rsidRPr="009F43DE" w:rsidRDefault="00057D4A" w:rsidP="00057D4A">
      <w:pPr>
        <w:pStyle w:val="Bullet1G"/>
        <w:numPr>
          <w:ilvl w:val="0"/>
          <w:numId w:val="0"/>
        </w:numPr>
        <w:tabs>
          <w:tab w:val="left" w:pos="1701"/>
        </w:tabs>
        <w:ind w:left="1701" w:hanging="170"/>
        <w:rPr>
          <w:lang w:val="fr-CH"/>
        </w:rPr>
      </w:pPr>
      <w:r w:rsidRPr="009F43DE">
        <w:rPr>
          <w:lang w:val="fr-CH"/>
        </w:rPr>
        <w:t>•</w:t>
      </w:r>
      <w:r w:rsidRPr="009F43DE">
        <w:rPr>
          <w:lang w:val="fr-CH"/>
        </w:rPr>
        <w:tab/>
      </w:r>
      <w:r w:rsidR="00F65290" w:rsidRPr="009F43DE">
        <w:rPr>
          <w:lang w:val="fr-CH"/>
        </w:rPr>
        <w:t>Corrupt Practices Investigation Bureau – Singapo</w:t>
      </w:r>
      <w:r w:rsidR="00C14C0A" w:rsidRPr="009F43DE">
        <w:rPr>
          <w:lang w:val="fr-CH"/>
        </w:rPr>
        <w:t>u</w:t>
      </w:r>
      <w:r w:rsidR="00F65290" w:rsidRPr="009F43DE">
        <w:rPr>
          <w:lang w:val="fr-CH"/>
        </w:rPr>
        <w:t>r (Singapore Cooperation Programme)</w:t>
      </w:r>
      <w:r w:rsidR="009D4E15">
        <w:rPr>
          <w:color w:val="000000"/>
          <w:lang w:val="fr-CH"/>
        </w:rPr>
        <w:t>;</w:t>
      </w:r>
    </w:p>
    <w:p w:rsidR="00F65290" w:rsidRPr="009F43DE" w:rsidRDefault="00057D4A" w:rsidP="00057D4A">
      <w:pPr>
        <w:pStyle w:val="Bullet1G"/>
        <w:numPr>
          <w:ilvl w:val="0"/>
          <w:numId w:val="0"/>
        </w:numPr>
        <w:tabs>
          <w:tab w:val="left" w:pos="1701"/>
        </w:tabs>
        <w:ind w:left="1701" w:hanging="170"/>
        <w:rPr>
          <w:lang w:val="fr-CH"/>
        </w:rPr>
      </w:pPr>
      <w:r w:rsidRPr="009F43DE">
        <w:rPr>
          <w:lang w:val="fr-CH"/>
        </w:rPr>
        <w:t>•</w:t>
      </w:r>
      <w:r w:rsidRPr="009F43DE">
        <w:rPr>
          <w:lang w:val="fr-CH"/>
        </w:rPr>
        <w:tab/>
      </w:r>
      <w:r w:rsidR="00F65290" w:rsidRPr="009F43DE">
        <w:rPr>
          <w:lang w:val="fr-CH"/>
        </w:rPr>
        <w:t>Independent Commission against Corruption (ICAC ), Hong Kong</w:t>
      </w:r>
      <w:r w:rsidR="009D4E15">
        <w:rPr>
          <w:lang w:val="fr-CH"/>
        </w:rPr>
        <w:t>.</w:t>
      </w:r>
    </w:p>
    <w:p w:rsidR="00C77E1E" w:rsidRPr="009F43DE" w:rsidRDefault="00ED0FF9" w:rsidP="00C77E1E">
      <w:pPr>
        <w:pStyle w:val="H23G"/>
        <w:rPr>
          <w:lang w:val="fr-CH"/>
        </w:rPr>
      </w:pPr>
      <w:r w:rsidRPr="009F43DE">
        <w:rPr>
          <w:lang w:val="fr-CH"/>
        </w:rPr>
        <w:tab/>
      </w:r>
      <w:r w:rsidRPr="009F43DE">
        <w:rPr>
          <w:lang w:val="fr-CH"/>
        </w:rPr>
        <w:tab/>
      </w:r>
      <w:r w:rsidR="00C77E1E" w:rsidRPr="009F43DE">
        <w:rPr>
          <w:lang w:val="fr-CH"/>
        </w:rPr>
        <w:t>Convention des Nations Unies contre la corruption</w:t>
      </w:r>
    </w:p>
    <w:p w:rsidR="00C77E1E" w:rsidRPr="009F43DE" w:rsidRDefault="00C77E1E" w:rsidP="00C77E1E">
      <w:pPr>
        <w:pStyle w:val="SingleTxtG"/>
        <w:rPr>
          <w:color w:val="000000"/>
          <w:lang w:val="fr-CH"/>
        </w:rPr>
      </w:pPr>
      <w:r w:rsidRPr="009F43DE">
        <w:rPr>
          <w:lang w:val="fr-CH"/>
        </w:rPr>
        <w:t>34.</w:t>
      </w:r>
      <w:r w:rsidRPr="009F43DE">
        <w:rPr>
          <w:lang w:val="fr-CH"/>
        </w:rPr>
        <w:tab/>
      </w:r>
      <w:r w:rsidR="00096FE4" w:rsidRPr="009F43DE">
        <w:rPr>
          <w:color w:val="000000"/>
          <w:lang w:val="fr-CH"/>
        </w:rPr>
        <w:t>Aux termes de c</w:t>
      </w:r>
      <w:r w:rsidRPr="009F43DE">
        <w:rPr>
          <w:color w:val="000000"/>
          <w:lang w:val="fr-CH"/>
        </w:rPr>
        <w:t xml:space="preserve">ette </w:t>
      </w:r>
      <w:r w:rsidR="009D4E15">
        <w:rPr>
          <w:color w:val="000000"/>
          <w:lang w:val="fr-CH"/>
        </w:rPr>
        <w:t>c</w:t>
      </w:r>
      <w:r w:rsidR="009D4E15" w:rsidRPr="009F43DE">
        <w:rPr>
          <w:color w:val="000000"/>
          <w:lang w:val="fr-CH"/>
        </w:rPr>
        <w:t>onvention</w:t>
      </w:r>
      <w:r w:rsidR="00096FE4" w:rsidRPr="009F43DE">
        <w:rPr>
          <w:color w:val="000000"/>
          <w:lang w:val="fr-CH"/>
        </w:rPr>
        <w:t>,</w:t>
      </w:r>
      <w:r w:rsidRPr="009F43DE">
        <w:rPr>
          <w:color w:val="000000"/>
          <w:lang w:val="fr-CH"/>
        </w:rPr>
        <w:t xml:space="preserve"> les </w:t>
      </w:r>
      <w:r w:rsidR="007574C7" w:rsidRPr="009F43DE">
        <w:rPr>
          <w:color w:val="000000"/>
          <w:lang w:val="fr-CH"/>
        </w:rPr>
        <w:t>États</w:t>
      </w:r>
      <w:r w:rsidRPr="009F43DE">
        <w:rPr>
          <w:color w:val="000000"/>
          <w:lang w:val="fr-CH"/>
        </w:rPr>
        <w:t xml:space="preserve"> </w:t>
      </w:r>
      <w:r w:rsidR="00242A06" w:rsidRPr="009F43DE">
        <w:rPr>
          <w:color w:val="000000"/>
          <w:lang w:val="fr-CH"/>
        </w:rPr>
        <w:t xml:space="preserve">parties </w:t>
      </w:r>
      <w:r w:rsidR="00096FE4" w:rsidRPr="009F43DE">
        <w:rPr>
          <w:color w:val="000000"/>
          <w:lang w:val="fr-CH"/>
        </w:rPr>
        <w:t>sont tenus de</w:t>
      </w:r>
      <w:r w:rsidRPr="009F43DE">
        <w:rPr>
          <w:color w:val="000000"/>
          <w:lang w:val="fr-CH"/>
        </w:rPr>
        <w:t xml:space="preserve"> prendre les mesures nécessaires pour </w:t>
      </w:r>
      <w:r w:rsidR="00096FE4" w:rsidRPr="009F43DE">
        <w:rPr>
          <w:color w:val="000000"/>
          <w:lang w:val="fr-CH"/>
        </w:rPr>
        <w:t>mettre en évidence</w:t>
      </w:r>
      <w:r w:rsidRPr="009F43DE">
        <w:rPr>
          <w:color w:val="000000"/>
          <w:lang w:val="fr-CH"/>
        </w:rPr>
        <w:t xml:space="preserve"> les écarts entre la Convention et l</w:t>
      </w:r>
      <w:r w:rsidR="00242A06" w:rsidRPr="009F43DE">
        <w:rPr>
          <w:color w:val="000000"/>
          <w:lang w:val="fr-CH"/>
        </w:rPr>
        <w:t>eur</w:t>
      </w:r>
      <w:r w:rsidRPr="009F43DE">
        <w:rPr>
          <w:color w:val="000000"/>
          <w:lang w:val="fr-CH"/>
        </w:rPr>
        <w:t xml:space="preserve"> législation </w:t>
      </w:r>
      <w:r w:rsidR="00242A06" w:rsidRPr="009F43DE">
        <w:rPr>
          <w:color w:val="000000"/>
          <w:lang w:val="fr-CH"/>
        </w:rPr>
        <w:t>en vigueur.</w:t>
      </w:r>
    </w:p>
    <w:p w:rsidR="00C77E1E" w:rsidRPr="009F43DE" w:rsidRDefault="00C77E1E" w:rsidP="00C77E1E">
      <w:pPr>
        <w:pStyle w:val="SingleTxtG"/>
        <w:rPr>
          <w:color w:val="000000"/>
          <w:lang w:val="fr-CH"/>
        </w:rPr>
      </w:pPr>
      <w:r w:rsidRPr="009F43DE">
        <w:rPr>
          <w:color w:val="000000"/>
          <w:lang w:val="fr-CH"/>
        </w:rPr>
        <w:t>35.</w:t>
      </w:r>
      <w:r w:rsidRPr="009F43DE">
        <w:rPr>
          <w:color w:val="000000"/>
          <w:lang w:val="fr-CH"/>
        </w:rPr>
        <w:tab/>
      </w:r>
      <w:r w:rsidR="009D4E15">
        <w:rPr>
          <w:color w:val="000000"/>
          <w:lang w:val="fr-CH"/>
        </w:rPr>
        <w:t>À</w:t>
      </w:r>
      <w:r w:rsidRPr="009F43DE">
        <w:rPr>
          <w:color w:val="000000"/>
          <w:lang w:val="fr-CH"/>
        </w:rPr>
        <w:t xml:space="preserve"> la demande du point focal désigné par le Président, une équipe de consultants nationaux composée de membres de haut niveau du Bureau du Procureur général a été nommée par le Procureur général en vue d</w:t>
      </w:r>
      <w:r w:rsidR="00F8384A" w:rsidRPr="009F43DE">
        <w:rPr>
          <w:color w:val="000000"/>
          <w:lang w:val="fr-CH"/>
        </w:rPr>
        <w:t>’</w:t>
      </w:r>
      <w:r w:rsidRPr="009F43DE">
        <w:rPr>
          <w:color w:val="000000"/>
          <w:lang w:val="fr-CH"/>
        </w:rPr>
        <w:t>identifier les</w:t>
      </w:r>
      <w:r w:rsidR="005556CD" w:rsidRPr="009F43DE">
        <w:rPr>
          <w:color w:val="000000"/>
          <w:lang w:val="fr-CH"/>
        </w:rPr>
        <w:t xml:space="preserve"> éventuels</w:t>
      </w:r>
      <w:r w:rsidRPr="009F43DE">
        <w:rPr>
          <w:color w:val="000000"/>
          <w:lang w:val="fr-CH"/>
        </w:rPr>
        <w:t xml:space="preserve"> écarts. </w:t>
      </w:r>
    </w:p>
    <w:p w:rsidR="00C77E1E" w:rsidRPr="009F43DE" w:rsidRDefault="00C77E1E" w:rsidP="00C77E1E">
      <w:pPr>
        <w:pStyle w:val="SingleTxtG"/>
        <w:rPr>
          <w:color w:val="000000"/>
          <w:lang w:val="fr-CH"/>
        </w:rPr>
      </w:pPr>
      <w:r w:rsidRPr="009F43DE">
        <w:rPr>
          <w:color w:val="000000"/>
          <w:lang w:val="fr-CH"/>
        </w:rPr>
        <w:t>36.</w:t>
      </w:r>
      <w:r w:rsidRPr="009F43DE">
        <w:rPr>
          <w:color w:val="000000"/>
          <w:lang w:val="fr-CH"/>
        </w:rPr>
        <w:tab/>
        <w:t xml:space="preserve">Les </w:t>
      </w:r>
      <w:r w:rsidR="00EC6730" w:rsidRPr="009F43DE">
        <w:rPr>
          <w:color w:val="000000"/>
          <w:lang w:val="fr-CH"/>
        </w:rPr>
        <w:t>c</w:t>
      </w:r>
      <w:r w:rsidRPr="009F43DE">
        <w:rPr>
          <w:color w:val="000000"/>
          <w:lang w:val="fr-CH"/>
        </w:rPr>
        <w:t>onsultants nationaux ont présenté un rapport d</w:t>
      </w:r>
      <w:r w:rsidR="00F8384A" w:rsidRPr="009F43DE">
        <w:rPr>
          <w:color w:val="000000"/>
          <w:lang w:val="fr-CH"/>
        </w:rPr>
        <w:t>’</w:t>
      </w:r>
      <w:r w:rsidRPr="009F43DE">
        <w:rPr>
          <w:color w:val="000000"/>
          <w:lang w:val="fr-CH"/>
        </w:rPr>
        <w:t>analyse</w:t>
      </w:r>
      <w:r w:rsidR="00EC6730" w:rsidRPr="009F43DE">
        <w:rPr>
          <w:color w:val="000000"/>
          <w:lang w:val="fr-CH"/>
        </w:rPr>
        <w:t>,</w:t>
      </w:r>
      <w:r w:rsidRPr="009F43DE">
        <w:rPr>
          <w:color w:val="000000"/>
          <w:lang w:val="fr-CH"/>
        </w:rPr>
        <w:t xml:space="preserve"> qui a été approuvé par le Comité consultati</w:t>
      </w:r>
      <w:r w:rsidR="00EC6730" w:rsidRPr="009F43DE">
        <w:rPr>
          <w:color w:val="000000"/>
          <w:lang w:val="fr-CH"/>
        </w:rPr>
        <w:t>f</w:t>
      </w:r>
      <w:r w:rsidRPr="009F43DE">
        <w:rPr>
          <w:color w:val="000000"/>
          <w:lang w:val="fr-CH"/>
        </w:rPr>
        <w:t xml:space="preserve"> composé du Procureur général, du Rapporteur juridique, du Président</w:t>
      </w:r>
      <w:r w:rsidR="00C91A83">
        <w:rPr>
          <w:color w:val="000000"/>
          <w:lang w:val="fr-CH"/>
        </w:rPr>
        <w:t xml:space="preserve"> </w:t>
      </w:r>
      <w:r w:rsidRPr="009F43DE">
        <w:rPr>
          <w:color w:val="000000"/>
          <w:lang w:val="fr-CH"/>
        </w:rPr>
        <w:t>de la Commission sur la corruption, du Secrétaire général du Ministère de la justice et du Conseiller juridique du Ministre des affaires étrangères. Ce rapport a été transmis à l</w:t>
      </w:r>
      <w:r w:rsidR="00F8384A" w:rsidRPr="009F43DE">
        <w:rPr>
          <w:color w:val="000000"/>
          <w:lang w:val="fr-CH"/>
        </w:rPr>
        <w:t>’</w:t>
      </w:r>
      <w:r w:rsidRPr="009F43DE">
        <w:rPr>
          <w:color w:val="000000"/>
          <w:lang w:val="fr-CH"/>
        </w:rPr>
        <w:t>Office des Nations Unies contre la drogue et le crime.</w:t>
      </w:r>
    </w:p>
    <w:p w:rsidR="00C77E1E" w:rsidRPr="009F43DE" w:rsidRDefault="00C77E1E" w:rsidP="00C77E1E">
      <w:pPr>
        <w:pStyle w:val="SingleTxtG"/>
        <w:rPr>
          <w:color w:val="000000"/>
          <w:lang w:val="fr-CH"/>
        </w:rPr>
      </w:pPr>
      <w:r w:rsidRPr="009F43DE">
        <w:rPr>
          <w:color w:val="000000"/>
          <w:lang w:val="fr-CH"/>
        </w:rPr>
        <w:t>37.</w:t>
      </w:r>
      <w:r w:rsidRPr="009F43DE">
        <w:rPr>
          <w:color w:val="000000"/>
          <w:lang w:val="fr-CH"/>
        </w:rPr>
        <w:tab/>
      </w:r>
      <w:r w:rsidR="00EC6730" w:rsidRPr="009F43DE">
        <w:rPr>
          <w:color w:val="000000"/>
          <w:lang w:val="fr-CH"/>
        </w:rPr>
        <w:t>Outre</w:t>
      </w:r>
      <w:r w:rsidRPr="009F43DE">
        <w:rPr>
          <w:color w:val="000000"/>
          <w:lang w:val="fr-CH"/>
        </w:rPr>
        <w:t xml:space="preserve"> la </w:t>
      </w:r>
      <w:r w:rsidR="00EC6730" w:rsidRPr="009F43DE">
        <w:rPr>
          <w:color w:val="000000"/>
          <w:lang w:val="fr-CH"/>
        </w:rPr>
        <w:t>l</w:t>
      </w:r>
      <w:r w:rsidRPr="009F43DE">
        <w:rPr>
          <w:color w:val="000000"/>
          <w:lang w:val="fr-CH"/>
        </w:rPr>
        <w:t xml:space="preserve">oi sur la corruption, diverses lois et institutions </w:t>
      </w:r>
      <w:r w:rsidR="00EC6730" w:rsidRPr="009F43DE">
        <w:rPr>
          <w:color w:val="000000"/>
          <w:lang w:val="fr-CH"/>
        </w:rPr>
        <w:t xml:space="preserve">sri-lankaises visent à combattre </w:t>
      </w:r>
      <w:r w:rsidRPr="009F43DE">
        <w:rPr>
          <w:color w:val="000000"/>
          <w:lang w:val="fr-CH"/>
        </w:rPr>
        <w:t xml:space="preserve">la corruption. </w:t>
      </w:r>
    </w:p>
    <w:p w:rsidR="00C77E1E" w:rsidRPr="009F43DE" w:rsidRDefault="00C77E1E" w:rsidP="00C77E1E">
      <w:pPr>
        <w:pStyle w:val="H23G"/>
        <w:rPr>
          <w:color w:val="000000"/>
          <w:lang w:val="fr-CH"/>
        </w:rPr>
      </w:pPr>
      <w:r w:rsidRPr="009F43DE">
        <w:rPr>
          <w:lang w:val="fr-CH"/>
        </w:rPr>
        <w:tab/>
      </w:r>
      <w:r w:rsidRPr="009F43DE">
        <w:rPr>
          <w:lang w:val="fr-CH"/>
        </w:rPr>
        <w:tab/>
      </w:r>
      <w:r w:rsidRPr="009F43DE">
        <w:rPr>
          <w:color w:val="000000"/>
          <w:lang w:val="fr-CH"/>
        </w:rPr>
        <w:t xml:space="preserve">Loi </w:t>
      </w:r>
      <w:r w:rsidR="009D4E15">
        <w:rPr>
          <w:color w:val="000000"/>
          <w:lang w:val="fr-CH"/>
        </w:rPr>
        <w:t>n</w:t>
      </w:r>
      <w:r w:rsidR="009D4E15" w:rsidRPr="009D4E15">
        <w:rPr>
          <w:color w:val="000000"/>
          <w:vertAlign w:val="superscript"/>
          <w:lang w:val="fr-CH"/>
        </w:rPr>
        <w:t>o</w:t>
      </w:r>
      <w:r w:rsidR="00EC6730" w:rsidRPr="009F43DE">
        <w:rPr>
          <w:color w:val="000000"/>
          <w:lang w:val="fr-CH"/>
        </w:rPr>
        <w:t> </w:t>
      </w:r>
      <w:r w:rsidRPr="009F43DE">
        <w:rPr>
          <w:color w:val="000000"/>
          <w:lang w:val="fr-CH"/>
        </w:rPr>
        <w:t>5 de 2006 sur la prévention du blanchiment d</w:t>
      </w:r>
      <w:r w:rsidR="00F8384A" w:rsidRPr="009F43DE">
        <w:rPr>
          <w:color w:val="000000"/>
          <w:lang w:val="fr-CH"/>
        </w:rPr>
        <w:t>’</w:t>
      </w:r>
      <w:r w:rsidRPr="009F43DE">
        <w:rPr>
          <w:color w:val="000000"/>
          <w:lang w:val="fr-CH"/>
        </w:rPr>
        <w:t>argent</w:t>
      </w:r>
    </w:p>
    <w:p w:rsidR="00C77E1E" w:rsidRPr="009F43DE" w:rsidRDefault="00C77E1E" w:rsidP="00C77E1E">
      <w:pPr>
        <w:pStyle w:val="SingleTxtG"/>
        <w:rPr>
          <w:color w:val="000000"/>
          <w:lang w:val="fr-CH"/>
        </w:rPr>
      </w:pPr>
      <w:r w:rsidRPr="009F43DE">
        <w:rPr>
          <w:color w:val="000000"/>
          <w:lang w:val="fr-CH"/>
        </w:rPr>
        <w:t>38.</w:t>
      </w:r>
      <w:r w:rsidRPr="009F43DE">
        <w:rPr>
          <w:color w:val="000000"/>
          <w:lang w:val="fr-CH"/>
        </w:rPr>
        <w:tab/>
        <w:t xml:space="preserve">En </w:t>
      </w:r>
      <w:r w:rsidR="00EC6730" w:rsidRPr="009F43DE">
        <w:rPr>
          <w:color w:val="000000"/>
          <w:lang w:val="fr-CH"/>
        </w:rPr>
        <w:t>application</w:t>
      </w:r>
      <w:r w:rsidRPr="009F43DE">
        <w:rPr>
          <w:color w:val="000000"/>
          <w:lang w:val="fr-CH"/>
        </w:rPr>
        <w:t xml:space="preserve"> </w:t>
      </w:r>
      <w:r w:rsidR="00EC6730" w:rsidRPr="009F43DE">
        <w:rPr>
          <w:color w:val="000000"/>
          <w:lang w:val="fr-CH"/>
        </w:rPr>
        <w:t xml:space="preserve">de </w:t>
      </w:r>
      <w:r w:rsidRPr="009F43DE">
        <w:rPr>
          <w:color w:val="000000"/>
          <w:lang w:val="fr-CH"/>
        </w:rPr>
        <w:t xml:space="preserve">cette loi, le </w:t>
      </w:r>
      <w:r w:rsidR="00F8384A" w:rsidRPr="009F43DE">
        <w:rPr>
          <w:color w:val="000000"/>
          <w:lang w:val="fr-CH"/>
        </w:rPr>
        <w:t>«</w:t>
      </w:r>
      <w:r w:rsidRPr="009F43DE">
        <w:rPr>
          <w:color w:val="000000"/>
          <w:lang w:val="fr-CH"/>
        </w:rPr>
        <w:t>blanchiment d</w:t>
      </w:r>
      <w:r w:rsidR="00F8384A" w:rsidRPr="009F43DE">
        <w:rPr>
          <w:color w:val="000000"/>
          <w:lang w:val="fr-CH"/>
        </w:rPr>
        <w:t>’</w:t>
      </w:r>
      <w:r w:rsidRPr="009F43DE">
        <w:rPr>
          <w:color w:val="000000"/>
          <w:lang w:val="fr-CH"/>
        </w:rPr>
        <w:t>argent</w:t>
      </w:r>
      <w:r w:rsidR="00F8384A" w:rsidRPr="009F43DE">
        <w:rPr>
          <w:color w:val="000000"/>
          <w:lang w:val="fr-CH"/>
        </w:rPr>
        <w:t>»</w:t>
      </w:r>
      <w:r w:rsidR="00EC6730" w:rsidRPr="009F43DE">
        <w:rPr>
          <w:color w:val="000000"/>
          <w:lang w:val="fr-CH"/>
        </w:rPr>
        <w:t xml:space="preserve"> s</w:t>
      </w:r>
      <w:r w:rsidR="00F8384A" w:rsidRPr="009F43DE">
        <w:rPr>
          <w:color w:val="000000"/>
          <w:lang w:val="fr-CH"/>
        </w:rPr>
        <w:t>’</w:t>
      </w:r>
      <w:r w:rsidR="00EC6730" w:rsidRPr="009F43DE">
        <w:rPr>
          <w:color w:val="000000"/>
          <w:lang w:val="fr-CH"/>
        </w:rPr>
        <w:t>entend de la</w:t>
      </w:r>
      <w:r w:rsidRPr="009F43DE">
        <w:rPr>
          <w:color w:val="000000"/>
          <w:lang w:val="fr-CH"/>
        </w:rPr>
        <w:t xml:space="preserve"> participation directe ou indirecte </w:t>
      </w:r>
      <w:r w:rsidR="00EC6730" w:rsidRPr="009F43DE">
        <w:rPr>
          <w:color w:val="000000"/>
          <w:lang w:val="fr-CH"/>
        </w:rPr>
        <w:t>à</w:t>
      </w:r>
      <w:r w:rsidRPr="009F43DE">
        <w:rPr>
          <w:color w:val="000000"/>
          <w:lang w:val="fr-CH"/>
        </w:rPr>
        <w:t xml:space="preserve"> toute opération </w:t>
      </w:r>
      <w:r w:rsidR="00EC6730" w:rsidRPr="009F43DE">
        <w:rPr>
          <w:color w:val="000000"/>
          <w:lang w:val="fr-CH"/>
        </w:rPr>
        <w:t xml:space="preserve">portant sur un </w:t>
      </w:r>
      <w:r w:rsidRPr="009F43DE">
        <w:rPr>
          <w:color w:val="000000"/>
          <w:lang w:val="fr-CH"/>
        </w:rPr>
        <w:t xml:space="preserve">bien </w:t>
      </w:r>
      <w:r w:rsidR="00EC6730" w:rsidRPr="009F43DE">
        <w:rPr>
          <w:color w:val="000000"/>
          <w:lang w:val="fr-CH"/>
        </w:rPr>
        <w:t>acquis, d</w:t>
      </w:r>
      <w:r w:rsidRPr="009F43DE">
        <w:rPr>
          <w:color w:val="000000"/>
          <w:lang w:val="fr-CH"/>
        </w:rPr>
        <w:t>irectement ou indirectement</w:t>
      </w:r>
      <w:r w:rsidR="00EC6730" w:rsidRPr="009F43DE">
        <w:rPr>
          <w:color w:val="000000"/>
          <w:lang w:val="fr-CH"/>
        </w:rPr>
        <w:t>,</w:t>
      </w:r>
      <w:r w:rsidRPr="009F43DE">
        <w:rPr>
          <w:color w:val="000000"/>
          <w:lang w:val="fr-CH"/>
        </w:rPr>
        <w:t xml:space="preserve"> en relation avec une activité illicite </w:t>
      </w:r>
      <w:r w:rsidR="00EC6730" w:rsidRPr="009F43DE">
        <w:rPr>
          <w:color w:val="000000"/>
          <w:lang w:val="fr-CH"/>
        </w:rPr>
        <w:t>ou avec les produits d</w:t>
      </w:r>
      <w:r w:rsidR="00F8384A" w:rsidRPr="009F43DE">
        <w:rPr>
          <w:color w:val="000000"/>
          <w:lang w:val="fr-CH"/>
        </w:rPr>
        <w:t>’</w:t>
      </w:r>
      <w:r w:rsidR="00EC6730" w:rsidRPr="009F43DE">
        <w:rPr>
          <w:color w:val="000000"/>
          <w:lang w:val="fr-CH"/>
        </w:rPr>
        <w:t xml:space="preserve">une telle activité, ou </w:t>
      </w:r>
      <w:r w:rsidR="003F4C37" w:rsidRPr="009F43DE">
        <w:rPr>
          <w:color w:val="000000"/>
          <w:lang w:val="fr-CH"/>
        </w:rPr>
        <w:t xml:space="preserve">bien </w:t>
      </w:r>
      <w:r w:rsidR="00EC6730" w:rsidRPr="009F43DE">
        <w:rPr>
          <w:color w:val="000000"/>
          <w:lang w:val="fr-CH"/>
        </w:rPr>
        <w:t xml:space="preserve">du fait de </w:t>
      </w:r>
      <w:r w:rsidRPr="009F43DE">
        <w:rPr>
          <w:color w:val="000000"/>
          <w:lang w:val="fr-CH"/>
        </w:rPr>
        <w:t>per</w:t>
      </w:r>
      <w:r w:rsidR="00EC6730" w:rsidRPr="009F43DE">
        <w:rPr>
          <w:color w:val="000000"/>
          <w:lang w:val="fr-CH"/>
        </w:rPr>
        <w:t xml:space="preserve">cevoir, </w:t>
      </w:r>
      <w:r w:rsidRPr="009F43DE">
        <w:rPr>
          <w:color w:val="000000"/>
          <w:lang w:val="fr-CH"/>
        </w:rPr>
        <w:t>poss</w:t>
      </w:r>
      <w:r w:rsidR="00EC6730" w:rsidRPr="009F43DE">
        <w:rPr>
          <w:color w:val="000000"/>
          <w:lang w:val="fr-CH"/>
        </w:rPr>
        <w:t>éder</w:t>
      </w:r>
      <w:r w:rsidR="001A16EE" w:rsidRPr="009F43DE">
        <w:rPr>
          <w:color w:val="000000"/>
          <w:lang w:val="fr-CH"/>
        </w:rPr>
        <w:t>,</w:t>
      </w:r>
      <w:r w:rsidR="00EC6730" w:rsidRPr="009F43DE">
        <w:rPr>
          <w:color w:val="000000"/>
          <w:lang w:val="fr-CH"/>
        </w:rPr>
        <w:t xml:space="preserve"> cacher</w:t>
      </w:r>
      <w:r w:rsidR="003F4C37" w:rsidRPr="009F43DE">
        <w:rPr>
          <w:color w:val="000000"/>
          <w:lang w:val="fr-CH"/>
        </w:rPr>
        <w:t>, etc.</w:t>
      </w:r>
      <w:r w:rsidR="00EC6730" w:rsidRPr="009F43DE">
        <w:rPr>
          <w:color w:val="000000"/>
          <w:lang w:val="fr-CH"/>
        </w:rPr>
        <w:t xml:space="preserve"> </w:t>
      </w:r>
      <w:r w:rsidR="003F4C37" w:rsidRPr="009F43DE">
        <w:rPr>
          <w:color w:val="000000"/>
          <w:lang w:val="fr-CH"/>
        </w:rPr>
        <w:t>un bien acquis en relation avec une activité illicite.</w:t>
      </w:r>
      <w:r w:rsidRPr="009F43DE">
        <w:rPr>
          <w:color w:val="000000"/>
          <w:lang w:val="fr-CH"/>
        </w:rPr>
        <w:t xml:space="preserve"> Les activités illicites</w:t>
      </w:r>
      <w:r w:rsidR="003F4C37" w:rsidRPr="009F43DE">
        <w:rPr>
          <w:color w:val="000000"/>
          <w:lang w:val="fr-CH"/>
        </w:rPr>
        <w:t>, qui sont définies par la loi,</w:t>
      </w:r>
      <w:r w:rsidRPr="009F43DE">
        <w:rPr>
          <w:color w:val="000000"/>
          <w:lang w:val="fr-CH"/>
        </w:rPr>
        <w:t xml:space="preserve"> comprennent </w:t>
      </w:r>
      <w:r w:rsidR="003F4C37" w:rsidRPr="009F43DE">
        <w:rPr>
          <w:color w:val="000000"/>
          <w:lang w:val="fr-CH"/>
        </w:rPr>
        <w:t xml:space="preserve">notamment des </w:t>
      </w:r>
      <w:r w:rsidRPr="009F43DE">
        <w:rPr>
          <w:color w:val="000000"/>
          <w:lang w:val="fr-CH"/>
        </w:rPr>
        <w:t>délits comme le terrorisme, la corruption, l</w:t>
      </w:r>
      <w:r w:rsidR="003F4C37" w:rsidRPr="009F43DE">
        <w:rPr>
          <w:color w:val="000000"/>
          <w:lang w:val="fr-CH"/>
        </w:rPr>
        <w:t>a</w:t>
      </w:r>
      <w:r w:rsidRPr="009F43DE">
        <w:rPr>
          <w:color w:val="000000"/>
          <w:lang w:val="fr-CH"/>
        </w:rPr>
        <w:t xml:space="preserve"> violation du contrôle des changes, la cybercriminalité, les systèmes pyramidaux, la traite d</w:t>
      </w:r>
      <w:r w:rsidR="00F8384A" w:rsidRPr="009F43DE">
        <w:rPr>
          <w:color w:val="000000"/>
          <w:lang w:val="fr-CH"/>
        </w:rPr>
        <w:t>’</w:t>
      </w:r>
      <w:r w:rsidRPr="009F43DE">
        <w:rPr>
          <w:color w:val="000000"/>
          <w:lang w:val="fr-CH"/>
        </w:rPr>
        <w:t>êtres humains, l</w:t>
      </w:r>
      <w:r w:rsidR="003F4C37" w:rsidRPr="009F43DE">
        <w:rPr>
          <w:color w:val="000000"/>
          <w:lang w:val="fr-CH"/>
        </w:rPr>
        <w:t>a maltraitance des</w:t>
      </w:r>
      <w:r w:rsidRPr="009F43DE">
        <w:rPr>
          <w:color w:val="000000"/>
          <w:lang w:val="fr-CH"/>
        </w:rPr>
        <w:t xml:space="preserve"> enfants </w:t>
      </w:r>
      <w:r w:rsidR="00702C32" w:rsidRPr="009F43DE">
        <w:rPr>
          <w:color w:val="000000"/>
          <w:lang w:val="fr-CH"/>
        </w:rPr>
        <w:t xml:space="preserve">et </w:t>
      </w:r>
      <w:r w:rsidRPr="009F43DE">
        <w:rPr>
          <w:color w:val="000000"/>
          <w:lang w:val="fr-CH"/>
        </w:rPr>
        <w:t>les infractions à l</w:t>
      </w:r>
      <w:r w:rsidR="00F8384A" w:rsidRPr="009F43DE">
        <w:rPr>
          <w:color w:val="000000"/>
          <w:lang w:val="fr-CH"/>
        </w:rPr>
        <w:t>’</w:t>
      </w:r>
      <w:r w:rsidR="003F4C37" w:rsidRPr="009F43DE">
        <w:rPr>
          <w:color w:val="000000"/>
          <w:lang w:val="fr-CH"/>
        </w:rPr>
        <w:t>o</w:t>
      </w:r>
      <w:r w:rsidRPr="009F43DE">
        <w:rPr>
          <w:color w:val="000000"/>
          <w:lang w:val="fr-CH"/>
        </w:rPr>
        <w:t>rdonnance su</w:t>
      </w:r>
      <w:r w:rsidR="003F4C37" w:rsidRPr="009F43DE">
        <w:rPr>
          <w:color w:val="000000"/>
          <w:lang w:val="fr-CH"/>
        </w:rPr>
        <w:t>r</w:t>
      </w:r>
      <w:r w:rsidRPr="009F43DE">
        <w:rPr>
          <w:color w:val="000000"/>
          <w:lang w:val="fr-CH"/>
        </w:rPr>
        <w:t xml:space="preserve"> les armes à feu et les explosifs. La </w:t>
      </w:r>
      <w:r w:rsidR="003F4C37" w:rsidRPr="009F43DE">
        <w:rPr>
          <w:color w:val="000000"/>
          <w:lang w:val="fr-CH"/>
        </w:rPr>
        <w:t>l</w:t>
      </w:r>
      <w:r w:rsidRPr="009F43DE">
        <w:rPr>
          <w:color w:val="000000"/>
          <w:lang w:val="fr-CH"/>
        </w:rPr>
        <w:t xml:space="preserve">oi </w:t>
      </w:r>
      <w:r w:rsidR="003F4C37" w:rsidRPr="009F43DE">
        <w:rPr>
          <w:color w:val="000000"/>
          <w:lang w:val="fr-CH"/>
        </w:rPr>
        <w:t xml:space="preserve">en question </w:t>
      </w:r>
      <w:r w:rsidRPr="009F43DE">
        <w:rPr>
          <w:color w:val="000000"/>
          <w:lang w:val="fr-CH"/>
        </w:rPr>
        <w:t xml:space="preserve">a été renforcée par la loi </w:t>
      </w:r>
      <w:r w:rsidR="003F4C37" w:rsidRPr="009F43DE">
        <w:rPr>
          <w:color w:val="000000"/>
          <w:lang w:val="fr-CH"/>
        </w:rPr>
        <w:t xml:space="preserve">modificative </w:t>
      </w:r>
      <w:r w:rsidR="00F80613">
        <w:rPr>
          <w:lang w:val="fr-CH"/>
        </w:rPr>
        <w:t>n</w:t>
      </w:r>
      <w:r w:rsidR="00F80613" w:rsidRPr="001D6B83">
        <w:rPr>
          <w:vertAlign w:val="superscript"/>
          <w:lang w:val="fr-CH"/>
        </w:rPr>
        <w:t>o</w:t>
      </w:r>
      <w:r w:rsidR="003F4C37" w:rsidRPr="009F43DE">
        <w:rPr>
          <w:color w:val="000000"/>
          <w:lang w:val="fr-CH"/>
        </w:rPr>
        <w:t> </w:t>
      </w:r>
      <w:r w:rsidRPr="009F43DE">
        <w:rPr>
          <w:color w:val="000000"/>
          <w:lang w:val="fr-CH"/>
        </w:rPr>
        <w:t>40 de 2011</w:t>
      </w:r>
      <w:r w:rsidR="003F4C37" w:rsidRPr="009F43DE">
        <w:rPr>
          <w:color w:val="000000"/>
          <w:lang w:val="fr-CH"/>
        </w:rPr>
        <w:t>,</w:t>
      </w:r>
      <w:r w:rsidRPr="009F43DE">
        <w:rPr>
          <w:color w:val="000000"/>
          <w:lang w:val="fr-CH"/>
        </w:rPr>
        <w:t xml:space="preserve"> qui a étendu </w:t>
      </w:r>
      <w:r w:rsidR="003F4C37" w:rsidRPr="009F43DE">
        <w:rPr>
          <w:color w:val="000000"/>
          <w:lang w:val="fr-CH"/>
        </w:rPr>
        <w:t>le</w:t>
      </w:r>
      <w:r w:rsidRPr="009F43DE">
        <w:rPr>
          <w:color w:val="000000"/>
          <w:lang w:val="fr-CH"/>
        </w:rPr>
        <w:t xml:space="preserve"> </w:t>
      </w:r>
      <w:r w:rsidR="003F4C37" w:rsidRPr="009F43DE">
        <w:rPr>
          <w:color w:val="000000"/>
          <w:lang w:val="fr-CH"/>
        </w:rPr>
        <w:t>champ d</w:t>
      </w:r>
      <w:r w:rsidR="00F8384A" w:rsidRPr="009F43DE">
        <w:rPr>
          <w:color w:val="000000"/>
          <w:lang w:val="fr-CH"/>
        </w:rPr>
        <w:t>’</w:t>
      </w:r>
      <w:r w:rsidR="003F4C37" w:rsidRPr="009F43DE">
        <w:rPr>
          <w:color w:val="000000"/>
          <w:lang w:val="fr-CH"/>
        </w:rPr>
        <w:t xml:space="preserve">application </w:t>
      </w:r>
      <w:r w:rsidRPr="009F43DE">
        <w:rPr>
          <w:color w:val="000000"/>
          <w:lang w:val="fr-CH"/>
        </w:rPr>
        <w:t>d</w:t>
      </w:r>
      <w:r w:rsidR="003F4C37" w:rsidRPr="009F43DE">
        <w:rPr>
          <w:color w:val="000000"/>
          <w:lang w:val="fr-CH"/>
        </w:rPr>
        <w:t>e la législation</w:t>
      </w:r>
      <w:r w:rsidRPr="009F43DE">
        <w:rPr>
          <w:color w:val="000000"/>
          <w:lang w:val="fr-CH"/>
        </w:rPr>
        <w:t xml:space="preserve"> pour couvrir toute personne ayant commis un délit de blanchiment alors qu</w:t>
      </w:r>
      <w:r w:rsidR="00F8384A" w:rsidRPr="009F43DE">
        <w:rPr>
          <w:color w:val="000000"/>
          <w:lang w:val="fr-CH"/>
        </w:rPr>
        <w:t>’</w:t>
      </w:r>
      <w:r w:rsidRPr="009F43DE">
        <w:rPr>
          <w:color w:val="000000"/>
          <w:lang w:val="fr-CH"/>
        </w:rPr>
        <w:t>elle se trouv</w:t>
      </w:r>
      <w:r w:rsidR="007139EA" w:rsidRPr="009F43DE">
        <w:rPr>
          <w:color w:val="000000"/>
          <w:lang w:val="fr-CH"/>
        </w:rPr>
        <w:t xml:space="preserve">ait </w:t>
      </w:r>
      <w:r w:rsidR="003F4C37" w:rsidRPr="009F43DE">
        <w:rPr>
          <w:color w:val="000000"/>
          <w:lang w:val="fr-CH"/>
        </w:rPr>
        <w:t>à</w:t>
      </w:r>
      <w:r w:rsidRPr="009F43DE">
        <w:rPr>
          <w:color w:val="000000"/>
          <w:lang w:val="fr-CH"/>
        </w:rPr>
        <w:t xml:space="preserve"> Sri Lanka. L</w:t>
      </w:r>
      <w:r w:rsidR="003F4C37" w:rsidRPr="009F43DE">
        <w:rPr>
          <w:color w:val="000000"/>
          <w:lang w:val="fr-CH"/>
        </w:rPr>
        <w:t>e paragraphe 2 de l</w:t>
      </w:r>
      <w:r w:rsidR="00F8384A" w:rsidRPr="009F43DE">
        <w:rPr>
          <w:color w:val="000000"/>
          <w:lang w:val="fr-CH"/>
        </w:rPr>
        <w:t>’</w:t>
      </w:r>
      <w:r w:rsidRPr="009F43DE">
        <w:rPr>
          <w:color w:val="000000"/>
          <w:lang w:val="fr-CH"/>
        </w:rPr>
        <w:t>article</w:t>
      </w:r>
      <w:r w:rsidR="003F4C37" w:rsidRPr="009F43DE">
        <w:rPr>
          <w:color w:val="000000"/>
          <w:lang w:val="fr-CH"/>
        </w:rPr>
        <w:t> </w:t>
      </w:r>
      <w:r w:rsidRPr="009F43DE">
        <w:rPr>
          <w:color w:val="000000"/>
          <w:lang w:val="fr-CH"/>
        </w:rPr>
        <w:t xml:space="preserve">11 de cette </w:t>
      </w:r>
      <w:r w:rsidR="003F4C37" w:rsidRPr="009F43DE">
        <w:rPr>
          <w:color w:val="000000"/>
          <w:lang w:val="fr-CH"/>
        </w:rPr>
        <w:t>l</w:t>
      </w:r>
      <w:r w:rsidRPr="009F43DE">
        <w:rPr>
          <w:color w:val="000000"/>
          <w:lang w:val="fr-CH"/>
        </w:rPr>
        <w:t>oi prévoit également la récupération de</w:t>
      </w:r>
      <w:r w:rsidR="003F4C37" w:rsidRPr="009F43DE">
        <w:rPr>
          <w:color w:val="000000"/>
          <w:lang w:val="fr-CH"/>
        </w:rPr>
        <w:t xml:space="preserve"> biens d</w:t>
      </w:r>
      <w:r w:rsidR="00F8384A" w:rsidRPr="009F43DE">
        <w:rPr>
          <w:color w:val="000000"/>
          <w:lang w:val="fr-CH"/>
        </w:rPr>
        <w:t>’</w:t>
      </w:r>
      <w:r w:rsidR="003F4C37" w:rsidRPr="009F43DE">
        <w:rPr>
          <w:color w:val="000000"/>
          <w:lang w:val="fr-CH"/>
        </w:rPr>
        <w:t>une valeur</w:t>
      </w:r>
      <w:r w:rsidRPr="009F43DE">
        <w:rPr>
          <w:color w:val="000000"/>
          <w:lang w:val="fr-CH"/>
        </w:rPr>
        <w:t xml:space="preserve"> </w:t>
      </w:r>
      <w:r w:rsidR="007139EA" w:rsidRPr="009F43DE">
        <w:rPr>
          <w:color w:val="000000"/>
          <w:lang w:val="fr-CH"/>
        </w:rPr>
        <w:t xml:space="preserve">équivalente à </w:t>
      </w:r>
      <w:r w:rsidR="003F4C37" w:rsidRPr="009F43DE">
        <w:rPr>
          <w:color w:val="000000"/>
          <w:lang w:val="fr-CH"/>
        </w:rPr>
        <w:t>ceux ayant fait l</w:t>
      </w:r>
      <w:r w:rsidR="00F8384A" w:rsidRPr="009F43DE">
        <w:rPr>
          <w:color w:val="000000"/>
          <w:lang w:val="fr-CH"/>
        </w:rPr>
        <w:t>’</w:t>
      </w:r>
      <w:r w:rsidR="003F4C37" w:rsidRPr="009F43DE">
        <w:rPr>
          <w:color w:val="000000"/>
          <w:lang w:val="fr-CH"/>
        </w:rPr>
        <w:t>objet d</w:t>
      </w:r>
      <w:r w:rsidR="00F8384A" w:rsidRPr="009F43DE">
        <w:rPr>
          <w:color w:val="000000"/>
          <w:lang w:val="fr-CH"/>
        </w:rPr>
        <w:t>’</w:t>
      </w:r>
      <w:r w:rsidR="003F4C37" w:rsidRPr="009F43DE">
        <w:rPr>
          <w:color w:val="000000"/>
          <w:lang w:val="fr-CH"/>
        </w:rPr>
        <w:t xml:space="preserve">une </w:t>
      </w:r>
      <w:r w:rsidRPr="009F43DE">
        <w:rPr>
          <w:color w:val="000000"/>
          <w:lang w:val="fr-CH"/>
        </w:rPr>
        <w:t>activité illicite</w:t>
      </w:r>
      <w:r w:rsidR="003F4C37" w:rsidRPr="009F43DE">
        <w:rPr>
          <w:color w:val="000000"/>
          <w:lang w:val="fr-CH"/>
        </w:rPr>
        <w:t xml:space="preserve">, </w:t>
      </w:r>
      <w:r w:rsidRPr="009F43DE">
        <w:rPr>
          <w:color w:val="000000"/>
          <w:lang w:val="fr-CH"/>
        </w:rPr>
        <w:t xml:space="preserve">si </w:t>
      </w:r>
      <w:r w:rsidR="007139EA" w:rsidRPr="009F43DE">
        <w:rPr>
          <w:color w:val="000000"/>
          <w:lang w:val="fr-CH"/>
        </w:rPr>
        <w:t xml:space="preserve">ceux-ci </w:t>
      </w:r>
      <w:r w:rsidRPr="009F43DE">
        <w:rPr>
          <w:color w:val="000000"/>
          <w:lang w:val="fr-CH"/>
        </w:rPr>
        <w:t xml:space="preserve">ne peuvent pas être </w:t>
      </w:r>
      <w:r w:rsidR="003F4C37" w:rsidRPr="009F43DE">
        <w:rPr>
          <w:color w:val="000000"/>
          <w:lang w:val="fr-CH"/>
        </w:rPr>
        <w:t>localisés</w:t>
      </w:r>
      <w:r w:rsidRPr="009F43DE">
        <w:rPr>
          <w:color w:val="000000"/>
          <w:lang w:val="fr-CH"/>
        </w:rPr>
        <w:t>.</w:t>
      </w:r>
    </w:p>
    <w:p w:rsidR="00C77E1E" w:rsidRPr="009F43DE" w:rsidRDefault="00C77E1E" w:rsidP="00C77E1E">
      <w:pPr>
        <w:pStyle w:val="H23G"/>
        <w:rPr>
          <w:b w:val="0"/>
          <w:color w:val="000000"/>
          <w:lang w:val="fr-CH"/>
        </w:rPr>
      </w:pPr>
      <w:r w:rsidRPr="009F43DE">
        <w:rPr>
          <w:color w:val="000000"/>
          <w:lang w:val="fr-CH"/>
        </w:rPr>
        <w:tab/>
      </w:r>
      <w:r w:rsidRPr="009F43DE">
        <w:rPr>
          <w:color w:val="000000"/>
          <w:lang w:val="fr-CH"/>
        </w:rPr>
        <w:tab/>
        <w:t xml:space="preserve">Loi </w:t>
      </w:r>
      <w:r w:rsidR="009D4E15">
        <w:rPr>
          <w:color w:val="000000"/>
          <w:lang w:val="fr-CH"/>
        </w:rPr>
        <w:t>n</w:t>
      </w:r>
      <w:r w:rsidR="009D4E15" w:rsidRPr="009D4E15">
        <w:rPr>
          <w:color w:val="000000"/>
          <w:vertAlign w:val="superscript"/>
          <w:lang w:val="fr-CH"/>
        </w:rPr>
        <w:t>o</w:t>
      </w:r>
      <w:r w:rsidR="003F4C37" w:rsidRPr="009F43DE">
        <w:rPr>
          <w:color w:val="000000"/>
          <w:lang w:val="fr-CH"/>
        </w:rPr>
        <w:t> </w:t>
      </w:r>
      <w:r w:rsidRPr="009F43DE">
        <w:rPr>
          <w:color w:val="000000"/>
          <w:lang w:val="fr-CH"/>
        </w:rPr>
        <w:t xml:space="preserve">6 de 2006 sur la </w:t>
      </w:r>
      <w:r w:rsidR="007139EA" w:rsidRPr="009F43DE">
        <w:rPr>
          <w:color w:val="000000"/>
          <w:lang w:val="fr-CH"/>
        </w:rPr>
        <w:t>déclaration</w:t>
      </w:r>
      <w:r w:rsidRPr="009F43DE">
        <w:rPr>
          <w:color w:val="000000"/>
          <w:lang w:val="fr-CH"/>
        </w:rPr>
        <w:t xml:space="preserve"> des transactions financières</w:t>
      </w:r>
    </w:p>
    <w:p w:rsidR="00C77E1E" w:rsidRPr="009F43DE" w:rsidRDefault="00C77E1E" w:rsidP="00C77E1E">
      <w:pPr>
        <w:pStyle w:val="SingleTxtG"/>
        <w:rPr>
          <w:color w:val="000000"/>
          <w:lang w:val="fr-CH"/>
        </w:rPr>
      </w:pPr>
      <w:r w:rsidRPr="009F43DE">
        <w:rPr>
          <w:color w:val="000000"/>
          <w:lang w:val="fr-CH"/>
        </w:rPr>
        <w:t>39.</w:t>
      </w:r>
      <w:r w:rsidRPr="009F43DE">
        <w:rPr>
          <w:color w:val="000000"/>
          <w:lang w:val="fr-CH"/>
        </w:rPr>
        <w:tab/>
        <w:t xml:space="preserve">Le Gouvernement </w:t>
      </w:r>
      <w:r w:rsidR="003F4C37" w:rsidRPr="009F43DE">
        <w:rPr>
          <w:color w:val="000000"/>
          <w:lang w:val="fr-CH"/>
        </w:rPr>
        <w:t xml:space="preserve">sri-lankais </w:t>
      </w:r>
      <w:r w:rsidRPr="009F43DE">
        <w:rPr>
          <w:color w:val="000000"/>
          <w:lang w:val="fr-CH"/>
        </w:rPr>
        <w:t xml:space="preserve">a fait adopter la </w:t>
      </w:r>
      <w:r w:rsidR="003F4C37" w:rsidRPr="009F43DE">
        <w:rPr>
          <w:color w:val="000000"/>
          <w:lang w:val="fr-CH"/>
        </w:rPr>
        <w:t>l</w:t>
      </w:r>
      <w:r w:rsidRPr="009F43DE">
        <w:rPr>
          <w:color w:val="000000"/>
          <w:lang w:val="fr-CH"/>
        </w:rPr>
        <w:t xml:space="preserve">oi </w:t>
      </w:r>
      <w:r w:rsidR="00F80613">
        <w:rPr>
          <w:lang w:val="fr-CH"/>
        </w:rPr>
        <w:t>n</w:t>
      </w:r>
      <w:r w:rsidR="00F80613" w:rsidRPr="001D6B83">
        <w:rPr>
          <w:vertAlign w:val="superscript"/>
          <w:lang w:val="fr-CH"/>
        </w:rPr>
        <w:t>o</w:t>
      </w:r>
      <w:r w:rsidR="003F4C37" w:rsidRPr="009F43DE">
        <w:rPr>
          <w:color w:val="000000"/>
          <w:lang w:val="fr-CH"/>
        </w:rPr>
        <w:t> </w:t>
      </w:r>
      <w:r w:rsidRPr="009F43DE">
        <w:rPr>
          <w:color w:val="000000"/>
          <w:lang w:val="fr-CH"/>
        </w:rPr>
        <w:t xml:space="preserve">6 de 2006 sur la </w:t>
      </w:r>
      <w:r w:rsidR="007139EA" w:rsidRPr="009F43DE">
        <w:rPr>
          <w:color w:val="000000"/>
          <w:lang w:val="fr-CH"/>
        </w:rPr>
        <w:t>déclaration</w:t>
      </w:r>
      <w:r w:rsidRPr="009F43DE">
        <w:rPr>
          <w:color w:val="000000"/>
          <w:lang w:val="fr-CH"/>
        </w:rPr>
        <w:t xml:space="preserve"> des transactions financières </w:t>
      </w:r>
      <w:r w:rsidR="005556CD" w:rsidRPr="009F43DE">
        <w:rPr>
          <w:color w:val="000000"/>
          <w:lang w:val="fr-CH"/>
        </w:rPr>
        <w:t xml:space="preserve">afin de </w:t>
      </w:r>
      <w:r w:rsidRPr="009F43DE">
        <w:rPr>
          <w:color w:val="000000"/>
          <w:lang w:val="fr-CH"/>
        </w:rPr>
        <w:t xml:space="preserve">recueillir des données sur les transactions financières suspectes. </w:t>
      </w:r>
      <w:r w:rsidR="003F4C37" w:rsidRPr="009F43DE">
        <w:rPr>
          <w:color w:val="000000"/>
          <w:lang w:val="fr-CH"/>
        </w:rPr>
        <w:t>Cette l</w:t>
      </w:r>
      <w:r w:rsidRPr="009F43DE">
        <w:rPr>
          <w:color w:val="000000"/>
          <w:lang w:val="fr-CH"/>
        </w:rPr>
        <w:t>oi facilite également la prévention</w:t>
      </w:r>
      <w:r w:rsidR="007139EA" w:rsidRPr="009F43DE">
        <w:rPr>
          <w:color w:val="000000"/>
          <w:lang w:val="fr-CH"/>
        </w:rPr>
        <w:t xml:space="preserve"> et</w:t>
      </w:r>
      <w:r w:rsidRPr="009F43DE">
        <w:rPr>
          <w:color w:val="000000"/>
          <w:lang w:val="fr-CH"/>
        </w:rPr>
        <w:t xml:space="preserve"> la détection des délits de blanchiment d</w:t>
      </w:r>
      <w:r w:rsidR="00F8384A" w:rsidRPr="009F43DE">
        <w:rPr>
          <w:color w:val="000000"/>
          <w:lang w:val="fr-CH"/>
        </w:rPr>
        <w:t>’</w:t>
      </w:r>
      <w:r w:rsidRPr="009F43DE">
        <w:rPr>
          <w:color w:val="000000"/>
          <w:lang w:val="fr-CH"/>
        </w:rPr>
        <w:t>argent</w:t>
      </w:r>
      <w:r w:rsidR="007139EA" w:rsidRPr="009F43DE">
        <w:rPr>
          <w:color w:val="000000"/>
          <w:lang w:val="fr-CH"/>
        </w:rPr>
        <w:t>, ainsi que les enquêtes et poursuites correspondantes</w:t>
      </w:r>
      <w:r w:rsidRPr="009F43DE">
        <w:rPr>
          <w:color w:val="000000"/>
          <w:lang w:val="fr-CH"/>
        </w:rPr>
        <w:t xml:space="preserve">. </w:t>
      </w:r>
      <w:r w:rsidR="007139EA" w:rsidRPr="009F43DE">
        <w:rPr>
          <w:color w:val="000000"/>
          <w:lang w:val="fr-CH"/>
        </w:rPr>
        <w:t>Elle</w:t>
      </w:r>
      <w:r w:rsidRPr="009F43DE">
        <w:rPr>
          <w:color w:val="000000"/>
          <w:lang w:val="fr-CH"/>
        </w:rPr>
        <w:t xml:space="preserve"> </w:t>
      </w:r>
      <w:r w:rsidR="007139EA" w:rsidRPr="009F43DE">
        <w:rPr>
          <w:color w:val="000000"/>
          <w:lang w:val="fr-CH"/>
        </w:rPr>
        <w:t>exige de</w:t>
      </w:r>
      <w:r w:rsidRPr="009F43DE">
        <w:rPr>
          <w:color w:val="000000"/>
          <w:lang w:val="fr-CH"/>
        </w:rPr>
        <w:t xml:space="preserve"> certaines institutions </w:t>
      </w:r>
      <w:r w:rsidR="007139EA" w:rsidRPr="009F43DE">
        <w:rPr>
          <w:color w:val="000000"/>
          <w:lang w:val="fr-CH"/>
        </w:rPr>
        <w:t>qu</w:t>
      </w:r>
      <w:r w:rsidR="00F8384A" w:rsidRPr="009F43DE">
        <w:rPr>
          <w:color w:val="000000"/>
          <w:lang w:val="fr-CH"/>
        </w:rPr>
        <w:t>’</w:t>
      </w:r>
      <w:r w:rsidR="007139EA" w:rsidRPr="009F43DE">
        <w:rPr>
          <w:color w:val="000000"/>
          <w:lang w:val="fr-CH"/>
        </w:rPr>
        <w:t>elles fasse</w:t>
      </w:r>
      <w:r w:rsidR="00020E2B" w:rsidRPr="009F43DE">
        <w:rPr>
          <w:color w:val="000000"/>
          <w:lang w:val="fr-CH"/>
        </w:rPr>
        <w:t>nt</w:t>
      </w:r>
      <w:r w:rsidR="007139EA" w:rsidRPr="009F43DE">
        <w:rPr>
          <w:color w:val="000000"/>
          <w:lang w:val="fr-CH"/>
        </w:rPr>
        <w:t xml:space="preserve"> preuve d</w:t>
      </w:r>
      <w:r w:rsidR="00F8384A" w:rsidRPr="009F43DE">
        <w:rPr>
          <w:color w:val="000000"/>
          <w:lang w:val="fr-CH"/>
        </w:rPr>
        <w:t>’</w:t>
      </w:r>
      <w:r w:rsidR="007139EA" w:rsidRPr="009F43DE">
        <w:rPr>
          <w:color w:val="000000"/>
          <w:lang w:val="fr-CH"/>
        </w:rPr>
        <w:t xml:space="preserve">une diligence raisonnable </w:t>
      </w:r>
      <w:r w:rsidR="005556CD" w:rsidRPr="009F43DE">
        <w:rPr>
          <w:color w:val="000000"/>
          <w:lang w:val="fr-CH"/>
        </w:rPr>
        <w:t>pour</w:t>
      </w:r>
      <w:r w:rsidRPr="009F43DE">
        <w:rPr>
          <w:color w:val="000000"/>
          <w:lang w:val="fr-CH"/>
        </w:rPr>
        <w:t xml:space="preserve"> lutter contre le blanchiment d</w:t>
      </w:r>
      <w:r w:rsidR="00F8384A" w:rsidRPr="009F43DE">
        <w:rPr>
          <w:color w:val="000000"/>
          <w:lang w:val="fr-CH"/>
        </w:rPr>
        <w:t>’</w:t>
      </w:r>
      <w:r w:rsidRPr="009F43DE">
        <w:rPr>
          <w:color w:val="000000"/>
          <w:lang w:val="fr-CH"/>
        </w:rPr>
        <w:t xml:space="preserve">argent et le financement du terrorisme. </w:t>
      </w:r>
    </w:p>
    <w:p w:rsidR="00C77E1E" w:rsidRPr="009F43DE" w:rsidRDefault="00C77E1E" w:rsidP="00C77E1E">
      <w:pPr>
        <w:pStyle w:val="SingleTxtG"/>
        <w:rPr>
          <w:color w:val="000000"/>
          <w:lang w:val="fr-CH"/>
        </w:rPr>
      </w:pPr>
      <w:r w:rsidRPr="009F43DE">
        <w:rPr>
          <w:lang w:val="fr-CH"/>
        </w:rPr>
        <w:t>40.</w:t>
      </w:r>
      <w:r w:rsidRPr="009F43DE">
        <w:rPr>
          <w:lang w:val="fr-CH"/>
        </w:rPr>
        <w:tab/>
      </w:r>
      <w:r w:rsidRPr="009F43DE">
        <w:rPr>
          <w:color w:val="000000"/>
          <w:lang w:val="fr-CH"/>
        </w:rPr>
        <w:t xml:space="preserve">Conformément à cette loi, les institutions ne peuvent </w:t>
      </w:r>
      <w:r w:rsidR="00020E2B" w:rsidRPr="009F43DE">
        <w:rPr>
          <w:color w:val="000000"/>
          <w:lang w:val="fr-CH"/>
        </w:rPr>
        <w:t>procéder à l</w:t>
      </w:r>
      <w:r w:rsidR="00F8384A" w:rsidRPr="009F43DE">
        <w:rPr>
          <w:color w:val="000000"/>
          <w:lang w:val="fr-CH"/>
        </w:rPr>
        <w:t>’</w:t>
      </w:r>
      <w:r w:rsidR="00020E2B" w:rsidRPr="009F43DE">
        <w:rPr>
          <w:color w:val="000000"/>
          <w:lang w:val="fr-CH"/>
        </w:rPr>
        <w:t>exécution d</w:t>
      </w:r>
      <w:r w:rsidR="00F8384A" w:rsidRPr="009F43DE">
        <w:rPr>
          <w:color w:val="000000"/>
          <w:lang w:val="fr-CH"/>
        </w:rPr>
        <w:t>’</w:t>
      </w:r>
      <w:r w:rsidRPr="009F43DE">
        <w:rPr>
          <w:color w:val="000000"/>
          <w:lang w:val="fr-CH"/>
        </w:rPr>
        <w:t xml:space="preserve">une transaction </w:t>
      </w:r>
      <w:r w:rsidR="00187A1F" w:rsidRPr="009F43DE">
        <w:rPr>
          <w:color w:val="000000"/>
          <w:lang w:val="fr-CH"/>
        </w:rPr>
        <w:t>si e</w:t>
      </w:r>
      <w:r w:rsidRPr="009F43DE">
        <w:rPr>
          <w:color w:val="000000"/>
          <w:lang w:val="fr-CH"/>
        </w:rPr>
        <w:t xml:space="preserve">lles ne </w:t>
      </w:r>
      <w:r w:rsidR="00020E2B" w:rsidRPr="009F43DE">
        <w:rPr>
          <w:color w:val="000000"/>
          <w:lang w:val="fr-CH"/>
        </w:rPr>
        <w:t>sont pas en mesure d</w:t>
      </w:r>
      <w:r w:rsidR="00F8384A" w:rsidRPr="009F43DE">
        <w:rPr>
          <w:color w:val="000000"/>
          <w:lang w:val="fr-CH"/>
        </w:rPr>
        <w:t>’</w:t>
      </w:r>
      <w:r w:rsidRPr="009F43DE">
        <w:rPr>
          <w:color w:val="000000"/>
          <w:lang w:val="fr-CH"/>
        </w:rPr>
        <w:t>identifier correctement l</w:t>
      </w:r>
      <w:r w:rsidR="00F8384A" w:rsidRPr="009F43DE">
        <w:rPr>
          <w:color w:val="000000"/>
          <w:lang w:val="fr-CH"/>
        </w:rPr>
        <w:t>’</w:t>
      </w:r>
      <w:r w:rsidRPr="009F43DE">
        <w:rPr>
          <w:color w:val="000000"/>
          <w:lang w:val="fr-CH"/>
        </w:rPr>
        <w:t xml:space="preserve">identité de la personne concernée et elles doivent déclarer cette </w:t>
      </w:r>
      <w:r w:rsidR="00020E2B" w:rsidRPr="009F43DE">
        <w:rPr>
          <w:color w:val="000000"/>
          <w:lang w:val="fr-CH"/>
        </w:rPr>
        <w:t>transaction</w:t>
      </w:r>
      <w:r w:rsidRPr="009F43DE">
        <w:rPr>
          <w:color w:val="000000"/>
          <w:lang w:val="fr-CH"/>
        </w:rPr>
        <w:t xml:space="preserve"> à la Cellule de renseignement financier. Une </w:t>
      </w:r>
      <w:r w:rsidR="00020E2B" w:rsidRPr="009F43DE">
        <w:rPr>
          <w:color w:val="000000"/>
          <w:lang w:val="fr-CH"/>
        </w:rPr>
        <w:t xml:space="preserve">de leurs principales </w:t>
      </w:r>
      <w:r w:rsidRPr="009F43DE">
        <w:rPr>
          <w:color w:val="000000"/>
          <w:lang w:val="fr-CH"/>
        </w:rPr>
        <w:t xml:space="preserve">obligations </w:t>
      </w:r>
      <w:r w:rsidR="00020E2B" w:rsidRPr="009F43DE">
        <w:rPr>
          <w:color w:val="000000"/>
          <w:lang w:val="fr-CH"/>
        </w:rPr>
        <w:t>est la déclaration de</w:t>
      </w:r>
      <w:r w:rsidRPr="009F43DE">
        <w:rPr>
          <w:color w:val="000000"/>
          <w:lang w:val="fr-CH"/>
        </w:rPr>
        <w:t xml:space="preserve">s transactions en espèces ou </w:t>
      </w:r>
      <w:r w:rsidR="00020E2B" w:rsidRPr="009F43DE">
        <w:rPr>
          <w:color w:val="000000"/>
          <w:lang w:val="fr-CH"/>
        </w:rPr>
        <w:t>des</w:t>
      </w:r>
      <w:r w:rsidRPr="009F43DE">
        <w:rPr>
          <w:color w:val="000000"/>
          <w:lang w:val="fr-CH"/>
        </w:rPr>
        <w:t xml:space="preserve"> transfert</w:t>
      </w:r>
      <w:r w:rsidR="00020E2B" w:rsidRPr="009F43DE">
        <w:rPr>
          <w:color w:val="000000"/>
          <w:lang w:val="fr-CH"/>
        </w:rPr>
        <w:t>s</w:t>
      </w:r>
      <w:r w:rsidRPr="009F43DE">
        <w:rPr>
          <w:color w:val="000000"/>
          <w:lang w:val="fr-CH"/>
        </w:rPr>
        <w:t xml:space="preserve"> électronique</w:t>
      </w:r>
      <w:r w:rsidR="00020E2B" w:rsidRPr="009F43DE">
        <w:rPr>
          <w:color w:val="000000"/>
          <w:lang w:val="fr-CH"/>
        </w:rPr>
        <w:t>s</w:t>
      </w:r>
      <w:r w:rsidRPr="009F43DE">
        <w:rPr>
          <w:color w:val="000000"/>
          <w:lang w:val="fr-CH"/>
        </w:rPr>
        <w:t xml:space="preserve"> </w:t>
      </w:r>
      <w:r w:rsidR="00020E2B" w:rsidRPr="009F43DE">
        <w:rPr>
          <w:color w:val="000000"/>
          <w:lang w:val="fr-CH"/>
        </w:rPr>
        <w:t>portant sur des montant</w:t>
      </w:r>
      <w:r w:rsidR="00347D28" w:rsidRPr="009F43DE">
        <w:rPr>
          <w:color w:val="000000"/>
          <w:lang w:val="fr-CH"/>
        </w:rPr>
        <w:t>s</w:t>
      </w:r>
      <w:r w:rsidR="00020E2B" w:rsidRPr="009F43DE">
        <w:rPr>
          <w:color w:val="000000"/>
          <w:lang w:val="fr-CH"/>
        </w:rPr>
        <w:t xml:space="preserve"> </w:t>
      </w:r>
      <w:r w:rsidR="00347D28" w:rsidRPr="009F43DE">
        <w:rPr>
          <w:color w:val="000000"/>
          <w:lang w:val="fr-CH"/>
        </w:rPr>
        <w:t xml:space="preserve">supérieurs à </w:t>
      </w:r>
      <w:r w:rsidR="00187A1F" w:rsidRPr="009F43DE">
        <w:rPr>
          <w:color w:val="000000"/>
          <w:lang w:val="fr-CH"/>
        </w:rPr>
        <w:t>certains plafonds</w:t>
      </w:r>
      <w:r w:rsidRPr="009F43DE">
        <w:rPr>
          <w:color w:val="000000"/>
          <w:lang w:val="fr-CH"/>
        </w:rPr>
        <w:t xml:space="preserve">. Les institutions sont également tenues, en vertu de la </w:t>
      </w:r>
      <w:r w:rsidR="00020E2B" w:rsidRPr="009F43DE">
        <w:rPr>
          <w:color w:val="000000"/>
          <w:lang w:val="fr-CH"/>
        </w:rPr>
        <w:t>l</w:t>
      </w:r>
      <w:r w:rsidRPr="009F43DE">
        <w:rPr>
          <w:color w:val="000000"/>
          <w:lang w:val="fr-CH"/>
        </w:rPr>
        <w:t xml:space="preserve">oi, de déclarer les opérations </w:t>
      </w:r>
      <w:r w:rsidR="00020E2B" w:rsidRPr="009F43DE">
        <w:rPr>
          <w:color w:val="000000"/>
          <w:lang w:val="fr-CH"/>
        </w:rPr>
        <w:t>pour lesquelles elles ont</w:t>
      </w:r>
      <w:r w:rsidRPr="009F43DE">
        <w:rPr>
          <w:color w:val="000000"/>
          <w:lang w:val="fr-CH"/>
        </w:rPr>
        <w:t xml:space="preserve"> des motifs raisonnables de soupçonner </w:t>
      </w:r>
      <w:r w:rsidR="00347D28" w:rsidRPr="009F43DE">
        <w:rPr>
          <w:color w:val="000000"/>
          <w:lang w:val="fr-CH"/>
        </w:rPr>
        <w:t>l</w:t>
      </w:r>
      <w:r w:rsidR="00F8384A" w:rsidRPr="009F43DE">
        <w:rPr>
          <w:color w:val="000000"/>
          <w:lang w:val="fr-CH"/>
        </w:rPr>
        <w:t>’</w:t>
      </w:r>
      <w:r w:rsidR="00347D28" w:rsidRPr="009F43DE">
        <w:rPr>
          <w:color w:val="000000"/>
          <w:lang w:val="fr-CH"/>
        </w:rPr>
        <w:t>existence d</w:t>
      </w:r>
      <w:r w:rsidR="00F8384A" w:rsidRPr="009F43DE">
        <w:rPr>
          <w:color w:val="000000"/>
          <w:lang w:val="fr-CH"/>
        </w:rPr>
        <w:t>’</w:t>
      </w:r>
      <w:r w:rsidRPr="009F43DE">
        <w:rPr>
          <w:color w:val="000000"/>
          <w:lang w:val="fr-CH"/>
        </w:rPr>
        <w:t>une activité ill</w:t>
      </w:r>
      <w:r w:rsidR="00020E2B" w:rsidRPr="009F43DE">
        <w:rPr>
          <w:color w:val="000000"/>
          <w:lang w:val="fr-CH"/>
        </w:rPr>
        <w:t>icite</w:t>
      </w:r>
      <w:r w:rsidRPr="009F43DE">
        <w:rPr>
          <w:color w:val="000000"/>
          <w:lang w:val="fr-CH"/>
        </w:rPr>
        <w:t xml:space="preserve">. </w:t>
      </w:r>
    </w:p>
    <w:p w:rsidR="00C77E1E" w:rsidRPr="009F43DE" w:rsidRDefault="00C77E1E" w:rsidP="00D9533B">
      <w:pPr>
        <w:pStyle w:val="H23G"/>
        <w:rPr>
          <w:lang w:val="fr-CH"/>
        </w:rPr>
      </w:pPr>
      <w:r w:rsidRPr="009F43DE">
        <w:rPr>
          <w:b w:val="0"/>
          <w:lang w:val="fr-CH"/>
        </w:rPr>
        <w:tab/>
      </w:r>
      <w:r w:rsidR="00347D28" w:rsidRPr="009F43DE">
        <w:rPr>
          <w:b w:val="0"/>
          <w:lang w:val="fr-CH"/>
        </w:rPr>
        <w:tab/>
      </w:r>
      <w:r w:rsidRPr="009F43DE">
        <w:rPr>
          <w:lang w:val="fr-CH"/>
        </w:rPr>
        <w:t>La Cellule de renseignement financier</w:t>
      </w:r>
    </w:p>
    <w:p w:rsidR="00C77E1E" w:rsidRPr="009F43DE" w:rsidRDefault="00C77E1E" w:rsidP="00C77E1E">
      <w:pPr>
        <w:pStyle w:val="SingleTxtG"/>
        <w:rPr>
          <w:lang w:val="fr-CH"/>
        </w:rPr>
      </w:pPr>
      <w:r w:rsidRPr="009F43DE">
        <w:rPr>
          <w:lang w:val="fr-CH"/>
        </w:rPr>
        <w:t>41.</w:t>
      </w:r>
      <w:r w:rsidRPr="009F43DE">
        <w:rPr>
          <w:lang w:val="fr-CH"/>
        </w:rPr>
        <w:tab/>
        <w:t xml:space="preserve">Une </w:t>
      </w:r>
      <w:r w:rsidR="00D9533B">
        <w:rPr>
          <w:lang w:val="fr-CH"/>
        </w:rPr>
        <w:t>c</w:t>
      </w:r>
      <w:r w:rsidR="00D9533B" w:rsidRPr="009F43DE">
        <w:rPr>
          <w:lang w:val="fr-CH"/>
        </w:rPr>
        <w:t xml:space="preserve">ellule </w:t>
      </w:r>
      <w:r w:rsidRPr="009F43DE">
        <w:rPr>
          <w:lang w:val="fr-CH"/>
        </w:rPr>
        <w:t xml:space="preserve">de renseignement financier a été établie </w:t>
      </w:r>
      <w:r w:rsidR="002D1B43" w:rsidRPr="009F43DE">
        <w:rPr>
          <w:lang w:val="fr-CH"/>
        </w:rPr>
        <w:t xml:space="preserve">au sein de </w:t>
      </w:r>
      <w:r w:rsidRPr="009F43DE">
        <w:rPr>
          <w:lang w:val="fr-CH"/>
        </w:rPr>
        <w:t xml:space="preserve">la Banque centrale pour remplir les fonctions prévues dans la </w:t>
      </w:r>
      <w:r w:rsidR="00347D28" w:rsidRPr="009F43DE">
        <w:rPr>
          <w:lang w:val="fr-CH"/>
        </w:rPr>
        <w:t>l</w:t>
      </w:r>
      <w:r w:rsidRPr="009F43DE">
        <w:rPr>
          <w:lang w:val="fr-CH"/>
        </w:rPr>
        <w:t>oi sur la prévention du blanchiment d</w:t>
      </w:r>
      <w:r w:rsidR="00F8384A" w:rsidRPr="009F43DE">
        <w:rPr>
          <w:lang w:val="fr-CH"/>
        </w:rPr>
        <w:t>’</w:t>
      </w:r>
      <w:r w:rsidRPr="009F43DE">
        <w:rPr>
          <w:lang w:val="fr-CH"/>
        </w:rPr>
        <w:t xml:space="preserve">argent et la </w:t>
      </w:r>
      <w:r w:rsidR="00347D28" w:rsidRPr="009F43DE">
        <w:rPr>
          <w:lang w:val="fr-CH"/>
        </w:rPr>
        <w:t>l</w:t>
      </w:r>
      <w:r w:rsidRPr="009F43DE">
        <w:rPr>
          <w:lang w:val="fr-CH"/>
        </w:rPr>
        <w:t xml:space="preserve">oi sur les transactions financières. </w:t>
      </w:r>
      <w:r w:rsidR="00347D28" w:rsidRPr="009F43DE">
        <w:rPr>
          <w:lang w:val="fr-CH"/>
        </w:rPr>
        <w:t>Lorsqu</w:t>
      </w:r>
      <w:r w:rsidR="00F8384A" w:rsidRPr="009F43DE">
        <w:rPr>
          <w:lang w:val="fr-CH"/>
        </w:rPr>
        <w:t>’</w:t>
      </w:r>
      <w:r w:rsidR="005556CD" w:rsidRPr="009F43DE">
        <w:rPr>
          <w:lang w:val="fr-CH"/>
        </w:rPr>
        <w:t>elle</w:t>
      </w:r>
      <w:r w:rsidR="00347D28" w:rsidRPr="009F43DE">
        <w:rPr>
          <w:lang w:val="fr-CH"/>
        </w:rPr>
        <w:t xml:space="preserve"> ne dispose pas d</w:t>
      </w:r>
      <w:r w:rsidR="00F8384A" w:rsidRPr="009F43DE">
        <w:rPr>
          <w:lang w:val="fr-CH"/>
        </w:rPr>
        <w:t>’</w:t>
      </w:r>
      <w:r w:rsidR="00347D28" w:rsidRPr="009F43DE">
        <w:rPr>
          <w:lang w:val="fr-CH"/>
        </w:rPr>
        <w:t>informations satisfaisantes sur une</w:t>
      </w:r>
      <w:r w:rsidRPr="009F43DE">
        <w:rPr>
          <w:lang w:val="fr-CH"/>
        </w:rPr>
        <w:t xml:space="preserve"> transaction </w:t>
      </w:r>
      <w:r w:rsidR="00347D28" w:rsidRPr="009F43DE">
        <w:rPr>
          <w:lang w:val="fr-CH"/>
        </w:rPr>
        <w:t>ou si celle-ci éveille des soupçons</w:t>
      </w:r>
      <w:r w:rsidRPr="009F43DE">
        <w:rPr>
          <w:lang w:val="fr-CH"/>
        </w:rPr>
        <w:t>, l</w:t>
      </w:r>
      <w:r w:rsidR="00F8384A" w:rsidRPr="009F43DE">
        <w:rPr>
          <w:lang w:val="fr-CH"/>
        </w:rPr>
        <w:t>’</w:t>
      </w:r>
      <w:r w:rsidRPr="009F43DE">
        <w:rPr>
          <w:lang w:val="fr-CH"/>
        </w:rPr>
        <w:t xml:space="preserve">institution ne doit pas </w:t>
      </w:r>
      <w:r w:rsidR="00347D28" w:rsidRPr="009F43DE">
        <w:rPr>
          <w:lang w:val="fr-CH"/>
        </w:rPr>
        <w:t>donner suite à</w:t>
      </w:r>
      <w:r w:rsidRPr="009F43DE">
        <w:rPr>
          <w:lang w:val="fr-CH"/>
        </w:rPr>
        <w:t xml:space="preserve"> </w:t>
      </w:r>
      <w:r w:rsidR="00347D28" w:rsidRPr="009F43DE">
        <w:rPr>
          <w:lang w:val="fr-CH"/>
        </w:rPr>
        <w:t xml:space="preserve">son exécution, </w:t>
      </w:r>
      <w:r w:rsidRPr="009F43DE">
        <w:rPr>
          <w:lang w:val="fr-CH"/>
        </w:rPr>
        <w:t xml:space="preserve">mais </w:t>
      </w:r>
      <w:r w:rsidR="00347D28" w:rsidRPr="009F43DE">
        <w:rPr>
          <w:lang w:val="fr-CH"/>
        </w:rPr>
        <w:t xml:space="preserve">doit faire une déclaration </w:t>
      </w:r>
      <w:r w:rsidRPr="009F43DE">
        <w:rPr>
          <w:lang w:val="fr-CH"/>
        </w:rPr>
        <w:t xml:space="preserve">à la Cellule de renseignement financier. </w:t>
      </w:r>
    </w:p>
    <w:p w:rsidR="00C77E1E" w:rsidRPr="009F43DE" w:rsidRDefault="00C77E1E" w:rsidP="00C77E1E">
      <w:pPr>
        <w:pStyle w:val="SingleTxtG"/>
        <w:rPr>
          <w:lang w:val="fr-CH"/>
        </w:rPr>
      </w:pPr>
      <w:r w:rsidRPr="009F43DE">
        <w:rPr>
          <w:lang w:val="fr-CH"/>
        </w:rPr>
        <w:t>42.</w:t>
      </w:r>
      <w:r w:rsidRPr="009F43DE">
        <w:rPr>
          <w:lang w:val="fr-CH"/>
        </w:rPr>
        <w:tab/>
      </w:r>
      <w:r w:rsidR="0072022B" w:rsidRPr="009F43DE">
        <w:rPr>
          <w:lang w:val="fr-CH"/>
        </w:rPr>
        <w:t>Le</w:t>
      </w:r>
      <w:r w:rsidRPr="009F43DE">
        <w:rPr>
          <w:lang w:val="fr-CH"/>
        </w:rPr>
        <w:t xml:space="preserve"> pays a </w:t>
      </w:r>
      <w:r w:rsidR="0072022B" w:rsidRPr="009F43DE">
        <w:rPr>
          <w:lang w:val="fr-CH"/>
        </w:rPr>
        <w:t xml:space="preserve">donc </w:t>
      </w:r>
      <w:r w:rsidRPr="009F43DE">
        <w:rPr>
          <w:lang w:val="fr-CH"/>
        </w:rPr>
        <w:t xml:space="preserve">pris les mesures nécessaires pour </w:t>
      </w:r>
      <w:r w:rsidR="0072022B" w:rsidRPr="009F43DE">
        <w:rPr>
          <w:lang w:val="fr-CH"/>
        </w:rPr>
        <w:t>se doter</w:t>
      </w:r>
      <w:r w:rsidRPr="009F43DE">
        <w:rPr>
          <w:lang w:val="fr-CH"/>
        </w:rPr>
        <w:t xml:space="preserve"> d</w:t>
      </w:r>
      <w:r w:rsidR="00F8384A" w:rsidRPr="009F43DE">
        <w:rPr>
          <w:lang w:val="fr-CH"/>
        </w:rPr>
        <w:t>’</w:t>
      </w:r>
      <w:r w:rsidRPr="009F43DE">
        <w:rPr>
          <w:lang w:val="fr-CH"/>
        </w:rPr>
        <w:t>un cadre législatif dédié à la prévention</w:t>
      </w:r>
      <w:r w:rsidR="0072022B" w:rsidRPr="009F43DE">
        <w:rPr>
          <w:lang w:val="fr-CH"/>
        </w:rPr>
        <w:t xml:space="preserve"> de la corruption et des actes de corruption, à la réalisation des </w:t>
      </w:r>
      <w:r w:rsidRPr="009F43DE">
        <w:rPr>
          <w:lang w:val="fr-CH"/>
        </w:rPr>
        <w:t xml:space="preserve">enquêtes </w:t>
      </w:r>
      <w:r w:rsidR="0072022B" w:rsidRPr="009F43DE">
        <w:rPr>
          <w:lang w:val="fr-CH"/>
        </w:rPr>
        <w:t>requises et à l</w:t>
      </w:r>
      <w:r w:rsidR="00F8384A" w:rsidRPr="009F43DE">
        <w:rPr>
          <w:lang w:val="fr-CH"/>
        </w:rPr>
        <w:t>’</w:t>
      </w:r>
      <w:r w:rsidR="0072022B" w:rsidRPr="009F43DE">
        <w:rPr>
          <w:lang w:val="fr-CH"/>
        </w:rPr>
        <w:t>ouverture éventuelle de</w:t>
      </w:r>
      <w:r w:rsidRPr="009F43DE">
        <w:rPr>
          <w:lang w:val="fr-CH"/>
        </w:rPr>
        <w:t xml:space="preserve"> poursuite</w:t>
      </w:r>
      <w:r w:rsidR="0072022B" w:rsidRPr="009F43DE">
        <w:rPr>
          <w:lang w:val="fr-CH"/>
        </w:rPr>
        <w:t>s</w:t>
      </w:r>
      <w:r w:rsidRPr="009F43DE">
        <w:rPr>
          <w:lang w:val="fr-CH"/>
        </w:rPr>
        <w:t xml:space="preserve">. </w:t>
      </w:r>
    </w:p>
    <w:p w:rsidR="00C77E1E" w:rsidRPr="009F43DE" w:rsidRDefault="00C77E1E" w:rsidP="00C77E1E">
      <w:pPr>
        <w:pStyle w:val="H23G"/>
        <w:rPr>
          <w:lang w:val="fr-CH"/>
        </w:rPr>
      </w:pPr>
      <w:r w:rsidRPr="009F43DE">
        <w:rPr>
          <w:lang w:val="fr-CH"/>
        </w:rPr>
        <w:tab/>
      </w:r>
      <w:r w:rsidRPr="009F43DE">
        <w:rPr>
          <w:lang w:val="fr-CH"/>
        </w:rPr>
        <w:tab/>
        <w:t xml:space="preserve">Discrimination </w:t>
      </w:r>
      <w:r w:rsidR="0072022B" w:rsidRPr="009F43DE">
        <w:rPr>
          <w:lang w:val="fr-CH"/>
        </w:rPr>
        <w:t>à l</w:t>
      </w:r>
      <w:r w:rsidR="00F8384A" w:rsidRPr="009F43DE">
        <w:rPr>
          <w:lang w:val="fr-CH"/>
        </w:rPr>
        <w:t>’</w:t>
      </w:r>
      <w:r w:rsidR="0072022B" w:rsidRPr="009F43DE">
        <w:rPr>
          <w:lang w:val="fr-CH"/>
        </w:rPr>
        <w:t xml:space="preserve">encontre </w:t>
      </w:r>
      <w:r w:rsidRPr="009F43DE">
        <w:rPr>
          <w:lang w:val="fr-CH"/>
        </w:rPr>
        <w:t xml:space="preserve">des travailleurs </w:t>
      </w:r>
      <w:r w:rsidR="00B75D06" w:rsidRPr="009F43DE">
        <w:rPr>
          <w:lang w:val="fr-CH"/>
        </w:rPr>
        <w:t xml:space="preserve">des plantations et </w:t>
      </w:r>
      <w:r w:rsidRPr="009F43DE">
        <w:rPr>
          <w:lang w:val="fr-CH"/>
        </w:rPr>
        <w:t>de leur famille</w:t>
      </w:r>
      <w:r w:rsidR="00B75D06" w:rsidRPr="009F43DE">
        <w:rPr>
          <w:lang w:val="fr-CH"/>
        </w:rPr>
        <w:t xml:space="preserve"> ainsi que </w:t>
      </w:r>
      <w:r w:rsidRPr="009F43DE">
        <w:rPr>
          <w:lang w:val="fr-CH"/>
        </w:rPr>
        <w:t>des Tamouls d</w:t>
      </w:r>
      <w:r w:rsidR="00F8384A" w:rsidRPr="009F43DE">
        <w:rPr>
          <w:lang w:val="fr-CH"/>
        </w:rPr>
        <w:t>’</w:t>
      </w:r>
      <w:r w:rsidRPr="009F43DE">
        <w:rPr>
          <w:lang w:val="fr-CH"/>
        </w:rPr>
        <w:t xml:space="preserve">origine indienne </w:t>
      </w:r>
      <w:r w:rsidR="00F80613">
        <w:rPr>
          <w:lang w:val="fr-CH"/>
        </w:rPr>
        <w:t>(</w:t>
      </w:r>
      <w:r w:rsidR="0072022B" w:rsidRPr="009F43DE">
        <w:rPr>
          <w:lang w:val="fr-CH"/>
        </w:rPr>
        <w:t>p</w:t>
      </w:r>
      <w:r w:rsidRPr="009F43DE">
        <w:rPr>
          <w:lang w:val="fr-CH"/>
        </w:rPr>
        <w:t>ar</w:t>
      </w:r>
      <w:r w:rsidR="00F80613">
        <w:rPr>
          <w:lang w:val="fr-CH"/>
        </w:rPr>
        <w:t>.</w:t>
      </w:r>
      <w:r w:rsidRPr="009F43DE">
        <w:rPr>
          <w:lang w:val="fr-CH"/>
        </w:rPr>
        <w:t xml:space="preserve"> 13</w:t>
      </w:r>
      <w:r w:rsidR="00F80613">
        <w:rPr>
          <w:lang w:val="fr-CH"/>
        </w:rPr>
        <w:t>)</w:t>
      </w:r>
    </w:p>
    <w:p w:rsidR="00C77E1E" w:rsidRPr="009F43DE" w:rsidRDefault="00C77E1E" w:rsidP="00C77E1E">
      <w:pPr>
        <w:pStyle w:val="SingleTxtG"/>
        <w:rPr>
          <w:color w:val="000000"/>
          <w:lang w:val="fr-CH"/>
        </w:rPr>
      </w:pPr>
      <w:r w:rsidRPr="009F43DE">
        <w:rPr>
          <w:lang w:val="fr-CH"/>
        </w:rPr>
        <w:t>43.</w:t>
      </w:r>
      <w:r w:rsidRPr="009F43DE">
        <w:rPr>
          <w:lang w:val="fr-CH"/>
        </w:rPr>
        <w:tab/>
      </w:r>
      <w:r w:rsidR="00B75D06" w:rsidRPr="009F43DE">
        <w:rPr>
          <w:color w:val="000000"/>
          <w:lang w:val="fr-CH"/>
        </w:rPr>
        <w:t>Plusieurs initiatives ont été engagées par des organismes opérationnels pour améliorer le</w:t>
      </w:r>
      <w:r w:rsidRPr="009F43DE">
        <w:rPr>
          <w:color w:val="000000"/>
          <w:lang w:val="fr-CH"/>
        </w:rPr>
        <w:t>s conditions de vie des familles d</w:t>
      </w:r>
      <w:r w:rsidR="00B75D06" w:rsidRPr="009F43DE">
        <w:rPr>
          <w:color w:val="000000"/>
          <w:lang w:val="fr-CH"/>
        </w:rPr>
        <w:t>e près de</w:t>
      </w:r>
      <w:r w:rsidRPr="009F43DE">
        <w:rPr>
          <w:color w:val="000000"/>
          <w:lang w:val="fr-CH"/>
        </w:rPr>
        <w:t xml:space="preserve"> 169</w:t>
      </w:r>
      <w:r w:rsidR="0072022B" w:rsidRPr="009F43DE">
        <w:rPr>
          <w:color w:val="000000"/>
          <w:lang w:val="fr-CH"/>
        </w:rPr>
        <w:t> </w:t>
      </w:r>
      <w:r w:rsidRPr="009F43DE">
        <w:rPr>
          <w:color w:val="000000"/>
          <w:lang w:val="fr-CH"/>
        </w:rPr>
        <w:t>000</w:t>
      </w:r>
      <w:r w:rsidR="0072022B" w:rsidRPr="009F43DE">
        <w:rPr>
          <w:color w:val="000000"/>
          <w:lang w:val="fr-CH"/>
        </w:rPr>
        <w:t> </w:t>
      </w:r>
      <w:r w:rsidRPr="009F43DE">
        <w:rPr>
          <w:color w:val="000000"/>
          <w:lang w:val="fr-CH"/>
        </w:rPr>
        <w:t xml:space="preserve">travailleurs </w:t>
      </w:r>
      <w:r w:rsidR="00B75D06" w:rsidRPr="009F43DE">
        <w:rPr>
          <w:color w:val="000000"/>
          <w:lang w:val="fr-CH"/>
        </w:rPr>
        <w:t>des plantations,</w:t>
      </w:r>
      <w:r w:rsidRPr="009F43DE">
        <w:rPr>
          <w:color w:val="000000"/>
          <w:lang w:val="fr-CH"/>
        </w:rPr>
        <w:t xml:space="preserve"> en particulier les </w:t>
      </w:r>
      <w:r w:rsidR="0072022B" w:rsidRPr="009F43DE">
        <w:rPr>
          <w:color w:val="000000"/>
          <w:lang w:val="fr-CH"/>
        </w:rPr>
        <w:t>T</w:t>
      </w:r>
      <w:r w:rsidRPr="009F43DE">
        <w:rPr>
          <w:color w:val="000000"/>
          <w:lang w:val="fr-CH"/>
        </w:rPr>
        <w:t>amouls (d</w:t>
      </w:r>
      <w:r w:rsidR="00F8384A" w:rsidRPr="009F43DE">
        <w:rPr>
          <w:color w:val="000000"/>
          <w:lang w:val="fr-CH"/>
        </w:rPr>
        <w:t>’</w:t>
      </w:r>
      <w:r w:rsidRPr="009F43DE">
        <w:rPr>
          <w:color w:val="000000"/>
          <w:lang w:val="fr-CH"/>
        </w:rPr>
        <w:t>origine indienne)</w:t>
      </w:r>
      <w:r w:rsidR="00B75D06" w:rsidRPr="009F43DE">
        <w:rPr>
          <w:color w:val="000000"/>
          <w:lang w:val="fr-CH"/>
        </w:rPr>
        <w:t xml:space="preserve">, dont celle de </w:t>
      </w:r>
      <w:r w:rsidRPr="009F43DE">
        <w:rPr>
          <w:color w:val="000000"/>
          <w:lang w:val="fr-CH"/>
        </w:rPr>
        <w:t>l</w:t>
      </w:r>
      <w:r w:rsidR="00F8384A" w:rsidRPr="009F43DE">
        <w:rPr>
          <w:color w:val="000000"/>
          <w:lang w:val="fr-CH"/>
        </w:rPr>
        <w:t>’</w:t>
      </w:r>
      <w:r w:rsidRPr="009F43DE">
        <w:rPr>
          <w:color w:val="000000"/>
          <w:lang w:val="fr-CH"/>
        </w:rPr>
        <w:t xml:space="preserve">ancien Ministère des plantations </w:t>
      </w:r>
      <w:r w:rsidR="00D959F5" w:rsidRPr="009F43DE">
        <w:rPr>
          <w:color w:val="000000"/>
          <w:lang w:val="fr-CH"/>
        </w:rPr>
        <w:t xml:space="preserve">agissant par le biais du </w:t>
      </w:r>
      <w:r w:rsidR="005556CD" w:rsidRPr="009F43DE">
        <w:rPr>
          <w:lang w:val="fr-CH"/>
        </w:rPr>
        <w:t>Plantation Human Development Trust</w:t>
      </w:r>
      <w:r w:rsidR="005556CD" w:rsidRPr="009F43DE">
        <w:rPr>
          <w:color w:val="000000"/>
          <w:lang w:val="fr-CH"/>
        </w:rPr>
        <w:t xml:space="preserve"> (</w:t>
      </w:r>
      <w:r w:rsidR="00D959F5" w:rsidRPr="009F43DE">
        <w:rPr>
          <w:color w:val="000000"/>
          <w:lang w:val="fr-CH"/>
        </w:rPr>
        <w:t xml:space="preserve">Trust </w:t>
      </w:r>
      <w:r w:rsidRPr="009F43DE">
        <w:rPr>
          <w:color w:val="000000"/>
          <w:lang w:val="fr-CH"/>
        </w:rPr>
        <w:t>pour le développement humain dans les plantations</w:t>
      </w:r>
      <w:r w:rsidR="005556CD" w:rsidRPr="009F43DE">
        <w:rPr>
          <w:color w:val="000000"/>
          <w:lang w:val="fr-CH"/>
        </w:rPr>
        <w:t>)</w:t>
      </w:r>
      <w:r w:rsidR="00D959F5" w:rsidRPr="009F43DE">
        <w:rPr>
          <w:color w:val="000000"/>
          <w:lang w:val="fr-CH"/>
        </w:rPr>
        <w:t xml:space="preserve"> (PHDT), qui est décrite</w:t>
      </w:r>
      <w:r w:rsidRPr="009F43DE">
        <w:rPr>
          <w:color w:val="000000"/>
          <w:lang w:val="fr-CH"/>
        </w:rPr>
        <w:t xml:space="preserve"> ci-dessous.</w:t>
      </w:r>
    </w:p>
    <w:p w:rsidR="00C77E1E" w:rsidRPr="005F283E" w:rsidRDefault="00C77E1E" w:rsidP="00D9533B">
      <w:pPr>
        <w:pStyle w:val="H4G"/>
        <w:rPr>
          <w:lang w:val="fr-CH"/>
        </w:rPr>
      </w:pPr>
      <w:r w:rsidRPr="009F43DE">
        <w:rPr>
          <w:lang w:val="fr-CH"/>
        </w:rPr>
        <w:tab/>
      </w:r>
      <w:r w:rsidRPr="009F43DE">
        <w:rPr>
          <w:lang w:val="fr-CH"/>
        </w:rPr>
        <w:tab/>
        <w:t>Logements</w:t>
      </w:r>
    </w:p>
    <w:p w:rsidR="00C77E1E" w:rsidRPr="009F43DE" w:rsidRDefault="00C77E1E" w:rsidP="00C77E1E">
      <w:pPr>
        <w:pStyle w:val="SingleTxtG"/>
        <w:rPr>
          <w:color w:val="000000"/>
          <w:lang w:val="fr-CH"/>
        </w:rPr>
      </w:pPr>
      <w:r w:rsidRPr="009F43DE">
        <w:rPr>
          <w:lang w:val="fr-CH"/>
        </w:rPr>
        <w:t>44.</w:t>
      </w:r>
      <w:r w:rsidRPr="009F43DE">
        <w:rPr>
          <w:lang w:val="fr-CH"/>
        </w:rPr>
        <w:tab/>
      </w:r>
      <w:r w:rsidRPr="009F43DE">
        <w:rPr>
          <w:color w:val="000000"/>
          <w:lang w:val="fr-CH"/>
        </w:rPr>
        <w:t>La construction de maisons individuelles de 50</w:t>
      </w:r>
      <w:r w:rsidR="00D959F5" w:rsidRPr="009F43DE">
        <w:rPr>
          <w:color w:val="000000"/>
          <w:lang w:val="fr-CH"/>
        </w:rPr>
        <w:t> m</w:t>
      </w:r>
      <w:r w:rsidR="00D959F5" w:rsidRPr="009F43DE">
        <w:rPr>
          <w:color w:val="000000"/>
          <w:vertAlign w:val="superscript"/>
          <w:lang w:val="fr-CH"/>
        </w:rPr>
        <w:t>2</w:t>
      </w:r>
      <w:r w:rsidRPr="009F43DE">
        <w:rPr>
          <w:color w:val="000000"/>
          <w:lang w:val="fr-CH"/>
        </w:rPr>
        <w:t xml:space="preserve"> </w:t>
      </w:r>
      <w:r w:rsidR="00D959F5" w:rsidRPr="009F43DE">
        <w:rPr>
          <w:color w:val="000000"/>
          <w:lang w:val="fr-CH"/>
        </w:rPr>
        <w:t>environ sur des terrains de 180 m</w:t>
      </w:r>
      <w:r w:rsidR="00D959F5" w:rsidRPr="009F43DE">
        <w:rPr>
          <w:color w:val="000000"/>
          <w:vertAlign w:val="superscript"/>
          <w:lang w:val="fr-CH"/>
        </w:rPr>
        <w:t>2</w:t>
      </w:r>
      <w:r w:rsidRPr="009F43DE">
        <w:rPr>
          <w:color w:val="000000"/>
          <w:lang w:val="fr-CH"/>
        </w:rPr>
        <w:t xml:space="preserve"> a été approuvée par le C</w:t>
      </w:r>
      <w:r w:rsidR="005556CD" w:rsidRPr="009F43DE">
        <w:rPr>
          <w:color w:val="000000"/>
          <w:lang w:val="fr-CH"/>
        </w:rPr>
        <w:t xml:space="preserve">onseil des Ministres </w:t>
      </w:r>
      <w:r w:rsidRPr="009F43DE">
        <w:rPr>
          <w:color w:val="000000"/>
          <w:lang w:val="fr-CH"/>
        </w:rPr>
        <w:t xml:space="preserve">en tant que politique </w:t>
      </w:r>
      <w:r w:rsidR="00D959F5" w:rsidRPr="009F43DE">
        <w:rPr>
          <w:color w:val="000000"/>
          <w:lang w:val="fr-CH"/>
        </w:rPr>
        <w:t>publique</w:t>
      </w:r>
      <w:r w:rsidRPr="009F43DE">
        <w:rPr>
          <w:color w:val="000000"/>
          <w:lang w:val="fr-CH"/>
        </w:rPr>
        <w:t xml:space="preserve"> et un programme de lo</w:t>
      </w:r>
      <w:r w:rsidR="004E6DED" w:rsidRPr="009F43DE">
        <w:rPr>
          <w:color w:val="000000"/>
          <w:lang w:val="fr-CH"/>
        </w:rPr>
        <w:t>tissements, raccordés aux réseaux d</w:t>
      </w:r>
      <w:r w:rsidR="00F8384A" w:rsidRPr="009F43DE">
        <w:rPr>
          <w:color w:val="000000"/>
          <w:lang w:val="fr-CH"/>
        </w:rPr>
        <w:t>’</w:t>
      </w:r>
      <w:r w:rsidR="004E6DED" w:rsidRPr="009F43DE">
        <w:rPr>
          <w:color w:val="000000"/>
          <w:lang w:val="fr-CH"/>
        </w:rPr>
        <w:t>alimentation en eau, d</w:t>
      </w:r>
      <w:r w:rsidR="00F8384A" w:rsidRPr="009F43DE">
        <w:rPr>
          <w:color w:val="000000"/>
          <w:lang w:val="fr-CH"/>
        </w:rPr>
        <w:t>’</w:t>
      </w:r>
      <w:r w:rsidR="004E6DED" w:rsidRPr="009F43DE">
        <w:rPr>
          <w:color w:val="000000"/>
          <w:lang w:val="fr-CH"/>
        </w:rPr>
        <w:t>a</w:t>
      </w:r>
      <w:r w:rsidRPr="009F43DE">
        <w:rPr>
          <w:color w:val="000000"/>
          <w:lang w:val="fr-CH"/>
        </w:rPr>
        <w:t>ssainissement</w:t>
      </w:r>
      <w:r w:rsidR="004E6DED" w:rsidRPr="009F43DE">
        <w:rPr>
          <w:color w:val="000000"/>
          <w:lang w:val="fr-CH"/>
        </w:rPr>
        <w:t xml:space="preserve"> et d</w:t>
      </w:r>
      <w:r w:rsidR="00F8384A" w:rsidRPr="009F43DE">
        <w:rPr>
          <w:color w:val="000000"/>
          <w:lang w:val="fr-CH"/>
        </w:rPr>
        <w:t>’</w:t>
      </w:r>
      <w:r w:rsidR="004E6DED" w:rsidRPr="009F43DE">
        <w:rPr>
          <w:color w:val="000000"/>
          <w:lang w:val="fr-CH"/>
        </w:rPr>
        <w:t>électricité et</w:t>
      </w:r>
      <w:r w:rsidRPr="009F43DE">
        <w:rPr>
          <w:color w:val="000000"/>
          <w:lang w:val="fr-CH"/>
        </w:rPr>
        <w:t xml:space="preserve"> </w:t>
      </w:r>
      <w:r w:rsidR="004E6DED" w:rsidRPr="009F43DE">
        <w:rPr>
          <w:color w:val="000000"/>
          <w:lang w:val="fr-CH"/>
        </w:rPr>
        <w:t xml:space="preserve">dotés de </w:t>
      </w:r>
      <w:r w:rsidRPr="009F43DE">
        <w:rPr>
          <w:color w:val="000000"/>
          <w:lang w:val="fr-CH"/>
        </w:rPr>
        <w:t>routes d</w:t>
      </w:r>
      <w:r w:rsidR="00F8384A" w:rsidRPr="009F43DE">
        <w:rPr>
          <w:color w:val="000000"/>
          <w:lang w:val="fr-CH"/>
        </w:rPr>
        <w:t>’</w:t>
      </w:r>
      <w:r w:rsidRPr="009F43DE">
        <w:rPr>
          <w:color w:val="000000"/>
          <w:lang w:val="fr-CH"/>
        </w:rPr>
        <w:t xml:space="preserve">accès, </w:t>
      </w:r>
      <w:r w:rsidR="004E6DED" w:rsidRPr="009F43DE">
        <w:rPr>
          <w:color w:val="000000"/>
          <w:lang w:val="fr-CH"/>
        </w:rPr>
        <w:t xml:space="preserve">de </w:t>
      </w:r>
      <w:r w:rsidRPr="009F43DE">
        <w:rPr>
          <w:color w:val="000000"/>
          <w:lang w:val="fr-CH"/>
        </w:rPr>
        <w:t xml:space="preserve">centres </w:t>
      </w:r>
      <w:r w:rsidR="0019773D" w:rsidRPr="009F43DE">
        <w:rPr>
          <w:color w:val="000000"/>
          <w:lang w:val="fr-CH"/>
        </w:rPr>
        <w:t>sociaux</w:t>
      </w:r>
      <w:r w:rsidRPr="009F43DE">
        <w:rPr>
          <w:color w:val="000000"/>
          <w:lang w:val="fr-CH"/>
        </w:rPr>
        <w:t xml:space="preserve">, </w:t>
      </w:r>
      <w:r w:rsidR="0019773D" w:rsidRPr="009F43DE">
        <w:rPr>
          <w:color w:val="000000"/>
          <w:lang w:val="fr-CH"/>
        </w:rPr>
        <w:t xml:space="preserve">de </w:t>
      </w:r>
      <w:r w:rsidRPr="009F43DE">
        <w:rPr>
          <w:color w:val="000000"/>
          <w:lang w:val="fr-CH"/>
        </w:rPr>
        <w:t>centres de développement de l</w:t>
      </w:r>
      <w:r w:rsidR="00F8384A" w:rsidRPr="009F43DE">
        <w:rPr>
          <w:color w:val="000000"/>
          <w:lang w:val="fr-CH"/>
        </w:rPr>
        <w:t>’</w:t>
      </w:r>
      <w:r w:rsidRPr="009F43DE">
        <w:rPr>
          <w:color w:val="000000"/>
          <w:lang w:val="fr-CH"/>
        </w:rPr>
        <w:t xml:space="preserve">enfant et </w:t>
      </w:r>
      <w:r w:rsidR="0019773D" w:rsidRPr="009F43DE">
        <w:rPr>
          <w:color w:val="000000"/>
          <w:lang w:val="fr-CH"/>
        </w:rPr>
        <w:t>de temples</w:t>
      </w:r>
      <w:r w:rsidRPr="009F43DE">
        <w:rPr>
          <w:color w:val="000000"/>
          <w:lang w:val="fr-CH"/>
        </w:rPr>
        <w:t xml:space="preserve"> ainsi que d</w:t>
      </w:r>
      <w:r w:rsidR="00F8384A" w:rsidRPr="009F43DE">
        <w:rPr>
          <w:color w:val="000000"/>
          <w:lang w:val="fr-CH"/>
        </w:rPr>
        <w:t>’</w:t>
      </w:r>
      <w:r w:rsidRPr="009F43DE">
        <w:rPr>
          <w:color w:val="000000"/>
          <w:lang w:val="fr-CH"/>
        </w:rPr>
        <w:t>autres installations co</w:t>
      </w:r>
      <w:r w:rsidR="0019773D" w:rsidRPr="009F43DE">
        <w:rPr>
          <w:color w:val="000000"/>
          <w:lang w:val="fr-CH"/>
        </w:rPr>
        <w:t>llectives</w:t>
      </w:r>
      <w:r w:rsidRPr="009F43DE">
        <w:rPr>
          <w:color w:val="000000"/>
          <w:lang w:val="fr-CH"/>
        </w:rPr>
        <w:t xml:space="preserve"> </w:t>
      </w:r>
      <w:r w:rsidR="0019773D" w:rsidRPr="009F43DE">
        <w:rPr>
          <w:color w:val="000000"/>
          <w:lang w:val="fr-CH"/>
        </w:rPr>
        <w:t>est</w:t>
      </w:r>
      <w:r w:rsidRPr="009F43DE">
        <w:rPr>
          <w:color w:val="000000"/>
          <w:lang w:val="fr-CH"/>
        </w:rPr>
        <w:t xml:space="preserve"> mis en œuvre pour </w:t>
      </w:r>
      <w:r w:rsidR="004E6DED" w:rsidRPr="009F43DE">
        <w:rPr>
          <w:color w:val="000000"/>
          <w:lang w:val="fr-CH"/>
        </w:rPr>
        <w:t xml:space="preserve">permettre aux communautés </w:t>
      </w:r>
      <w:r w:rsidR="0019773D" w:rsidRPr="009F43DE">
        <w:rPr>
          <w:color w:val="000000"/>
          <w:lang w:val="fr-CH"/>
        </w:rPr>
        <w:t>de travailleurs des</w:t>
      </w:r>
      <w:r w:rsidR="004E6DED" w:rsidRPr="009F43DE">
        <w:rPr>
          <w:color w:val="000000"/>
          <w:lang w:val="fr-CH"/>
        </w:rPr>
        <w:t xml:space="preserve"> plantations </w:t>
      </w:r>
      <w:r w:rsidR="0019773D" w:rsidRPr="009F43DE">
        <w:rPr>
          <w:color w:val="000000"/>
          <w:lang w:val="fr-CH"/>
        </w:rPr>
        <w:t>de vivre dans des conditions dignes</w:t>
      </w:r>
      <w:r w:rsidRPr="009F43DE">
        <w:rPr>
          <w:color w:val="000000"/>
          <w:lang w:val="fr-CH"/>
        </w:rPr>
        <w:t>. L</w:t>
      </w:r>
      <w:r w:rsidR="0019773D" w:rsidRPr="009F43DE">
        <w:rPr>
          <w:color w:val="000000"/>
          <w:lang w:val="fr-CH"/>
        </w:rPr>
        <w:t>e Trust</w:t>
      </w:r>
      <w:r w:rsidRPr="009F43DE">
        <w:rPr>
          <w:color w:val="000000"/>
          <w:lang w:val="fr-CH"/>
        </w:rPr>
        <w:t xml:space="preserve"> </w:t>
      </w:r>
      <w:r w:rsidR="0019773D" w:rsidRPr="009F43DE">
        <w:rPr>
          <w:color w:val="000000"/>
          <w:lang w:val="fr-CH"/>
        </w:rPr>
        <w:t>collabore avec le</w:t>
      </w:r>
      <w:r w:rsidRPr="009F43DE">
        <w:rPr>
          <w:color w:val="000000"/>
          <w:lang w:val="fr-CH"/>
        </w:rPr>
        <w:t xml:space="preserve"> Ministère des plantations </w:t>
      </w:r>
      <w:r w:rsidR="0019773D" w:rsidRPr="009F43DE">
        <w:rPr>
          <w:color w:val="000000"/>
          <w:lang w:val="fr-CH"/>
        </w:rPr>
        <w:t>d</w:t>
      </w:r>
      <w:r w:rsidR="00F8384A" w:rsidRPr="009F43DE">
        <w:rPr>
          <w:color w:val="000000"/>
          <w:lang w:val="fr-CH"/>
        </w:rPr>
        <w:t>’</w:t>
      </w:r>
      <w:r w:rsidR="0019773D" w:rsidRPr="009F43DE">
        <w:rPr>
          <w:color w:val="000000"/>
          <w:lang w:val="fr-CH"/>
        </w:rPr>
        <w:t xml:space="preserve">abord </w:t>
      </w:r>
      <w:r w:rsidRPr="009F43DE">
        <w:rPr>
          <w:color w:val="000000"/>
          <w:lang w:val="fr-CH"/>
        </w:rPr>
        <w:t xml:space="preserve">pour émettre </w:t>
      </w:r>
      <w:r w:rsidR="0019773D" w:rsidRPr="009F43DE">
        <w:rPr>
          <w:color w:val="000000"/>
          <w:lang w:val="fr-CH"/>
        </w:rPr>
        <w:t>l</w:t>
      </w:r>
      <w:r w:rsidRPr="009F43DE">
        <w:rPr>
          <w:color w:val="000000"/>
          <w:lang w:val="fr-CH"/>
        </w:rPr>
        <w:t>es titres de p</w:t>
      </w:r>
      <w:r w:rsidR="0019773D" w:rsidRPr="009F43DE">
        <w:rPr>
          <w:color w:val="000000"/>
          <w:lang w:val="fr-CH"/>
        </w:rPr>
        <w:t xml:space="preserve">ropriété puis pour les délivrer </w:t>
      </w:r>
      <w:r w:rsidRPr="009F43DE">
        <w:rPr>
          <w:color w:val="000000"/>
          <w:lang w:val="fr-CH"/>
        </w:rPr>
        <w:t>aux deux conjoints afin de garantir la copropriété, l</w:t>
      </w:r>
      <w:r w:rsidR="00F8384A" w:rsidRPr="009F43DE">
        <w:rPr>
          <w:color w:val="000000"/>
          <w:lang w:val="fr-CH"/>
        </w:rPr>
        <w:t>’</w:t>
      </w:r>
      <w:r w:rsidRPr="009F43DE">
        <w:rPr>
          <w:color w:val="000000"/>
          <w:lang w:val="fr-CH"/>
        </w:rPr>
        <w:t>égalité des sexes et l</w:t>
      </w:r>
      <w:r w:rsidR="00F8384A" w:rsidRPr="009F43DE">
        <w:rPr>
          <w:color w:val="000000"/>
          <w:lang w:val="fr-CH"/>
        </w:rPr>
        <w:t>’</w:t>
      </w:r>
      <w:r w:rsidRPr="009F43DE">
        <w:rPr>
          <w:color w:val="000000"/>
          <w:lang w:val="fr-CH"/>
        </w:rPr>
        <w:t xml:space="preserve">autonomisation. </w:t>
      </w:r>
      <w:r w:rsidR="006D45F8" w:rsidRPr="009F43DE">
        <w:rPr>
          <w:color w:val="000000"/>
          <w:lang w:val="fr-CH"/>
        </w:rPr>
        <w:t>Les premiers</w:t>
      </w:r>
      <w:r w:rsidR="0019773D" w:rsidRPr="009F43DE">
        <w:rPr>
          <w:color w:val="000000"/>
          <w:lang w:val="fr-CH"/>
        </w:rPr>
        <w:t xml:space="preserve"> titres de propriété </w:t>
      </w:r>
      <w:r w:rsidR="006D45F8" w:rsidRPr="009F43DE">
        <w:rPr>
          <w:color w:val="000000"/>
          <w:lang w:val="fr-CH"/>
        </w:rPr>
        <w:t>à être délivrés l</w:t>
      </w:r>
      <w:r w:rsidR="00F8384A" w:rsidRPr="009F43DE">
        <w:rPr>
          <w:color w:val="000000"/>
          <w:lang w:val="fr-CH"/>
        </w:rPr>
        <w:t>’</w:t>
      </w:r>
      <w:r w:rsidR="006D45F8" w:rsidRPr="009F43DE">
        <w:rPr>
          <w:color w:val="000000"/>
          <w:lang w:val="fr-CH"/>
        </w:rPr>
        <w:t xml:space="preserve">ont été le 10 mai 2015 à </w:t>
      </w:r>
      <w:r w:rsidRPr="009F43DE">
        <w:rPr>
          <w:color w:val="000000"/>
          <w:lang w:val="fr-CH"/>
        </w:rPr>
        <w:t>230</w:t>
      </w:r>
      <w:r w:rsidR="0019773D" w:rsidRPr="009F43DE">
        <w:rPr>
          <w:color w:val="000000"/>
          <w:lang w:val="fr-CH"/>
        </w:rPr>
        <w:t> </w:t>
      </w:r>
      <w:r w:rsidRPr="009F43DE">
        <w:rPr>
          <w:color w:val="000000"/>
          <w:lang w:val="fr-CH"/>
        </w:rPr>
        <w:t xml:space="preserve">familles </w:t>
      </w:r>
      <w:r w:rsidR="006D45F8" w:rsidRPr="009F43DE">
        <w:rPr>
          <w:color w:val="000000"/>
          <w:lang w:val="fr-CH"/>
        </w:rPr>
        <w:t>dans les</w:t>
      </w:r>
      <w:r w:rsidRPr="009F43DE">
        <w:rPr>
          <w:color w:val="000000"/>
          <w:lang w:val="fr-CH"/>
        </w:rPr>
        <w:t xml:space="preserve"> régions de Nuwara Eliya et de Badulla et </w:t>
      </w:r>
      <w:r w:rsidR="006D45F8" w:rsidRPr="009F43DE">
        <w:rPr>
          <w:color w:val="000000"/>
          <w:lang w:val="fr-CH"/>
        </w:rPr>
        <w:t>à</w:t>
      </w:r>
      <w:r w:rsidRPr="009F43DE">
        <w:rPr>
          <w:color w:val="000000"/>
          <w:lang w:val="fr-CH"/>
        </w:rPr>
        <w:t xml:space="preserve"> Talawakelle</w:t>
      </w:r>
      <w:r w:rsidR="006D45F8" w:rsidRPr="009F43DE">
        <w:rPr>
          <w:color w:val="000000"/>
          <w:lang w:val="fr-CH"/>
        </w:rPr>
        <w:t>.</w:t>
      </w:r>
      <w:r w:rsidRPr="009F43DE">
        <w:rPr>
          <w:color w:val="000000"/>
          <w:lang w:val="fr-CH"/>
        </w:rPr>
        <w:t xml:space="preserve"> Jusqu</w:t>
      </w:r>
      <w:r w:rsidR="00F8384A" w:rsidRPr="009F43DE">
        <w:rPr>
          <w:color w:val="000000"/>
          <w:lang w:val="fr-CH"/>
        </w:rPr>
        <w:t>’</w:t>
      </w:r>
      <w:r w:rsidR="006D45F8" w:rsidRPr="009F43DE">
        <w:rPr>
          <w:color w:val="000000"/>
          <w:lang w:val="fr-CH"/>
        </w:rPr>
        <w:t>ici</w:t>
      </w:r>
      <w:r w:rsidRPr="009F43DE">
        <w:rPr>
          <w:color w:val="000000"/>
          <w:lang w:val="fr-CH"/>
        </w:rPr>
        <w:t>, 1</w:t>
      </w:r>
      <w:r w:rsidR="006D45F8" w:rsidRPr="009F43DE">
        <w:rPr>
          <w:color w:val="000000"/>
          <w:lang w:val="fr-CH"/>
        </w:rPr>
        <w:t> </w:t>
      </w:r>
      <w:r w:rsidRPr="009F43DE">
        <w:rPr>
          <w:color w:val="000000"/>
          <w:lang w:val="fr-CH"/>
        </w:rPr>
        <w:t>098</w:t>
      </w:r>
      <w:r w:rsidR="006D45F8" w:rsidRPr="009F43DE">
        <w:rPr>
          <w:color w:val="000000"/>
          <w:lang w:val="fr-CH"/>
        </w:rPr>
        <w:t> </w:t>
      </w:r>
      <w:r w:rsidRPr="009F43DE">
        <w:rPr>
          <w:color w:val="000000"/>
          <w:lang w:val="fr-CH"/>
        </w:rPr>
        <w:t xml:space="preserve">titres </w:t>
      </w:r>
      <w:r w:rsidR="006D45F8" w:rsidRPr="009F43DE">
        <w:rPr>
          <w:color w:val="000000"/>
          <w:lang w:val="fr-CH"/>
        </w:rPr>
        <w:t>de ce type</w:t>
      </w:r>
      <w:r w:rsidRPr="009F43DE">
        <w:rPr>
          <w:color w:val="000000"/>
          <w:lang w:val="fr-CH"/>
        </w:rPr>
        <w:t xml:space="preserve"> ont été délivrés. Le projet Indian Grant Funding </w:t>
      </w:r>
      <w:r w:rsidR="006D45F8" w:rsidRPr="009F43DE">
        <w:rPr>
          <w:color w:val="000000"/>
          <w:lang w:val="fr-CH"/>
        </w:rPr>
        <w:t>concernant la construction de</w:t>
      </w:r>
      <w:r w:rsidRPr="009F43DE">
        <w:rPr>
          <w:color w:val="000000"/>
          <w:lang w:val="fr-CH"/>
        </w:rPr>
        <w:t xml:space="preserve"> 4 000 maisons</w:t>
      </w:r>
      <w:r w:rsidR="006D45F8" w:rsidRPr="009F43DE">
        <w:rPr>
          <w:color w:val="000000"/>
          <w:lang w:val="fr-CH"/>
        </w:rPr>
        <w:t xml:space="preserve">, qui </w:t>
      </w:r>
      <w:r w:rsidRPr="009F43DE">
        <w:rPr>
          <w:color w:val="000000"/>
          <w:lang w:val="fr-CH"/>
        </w:rPr>
        <w:t xml:space="preserve">a débuté en janvier 2015 dans les régions de Badulla, de Nuwara Eliya et de Hatton, </w:t>
      </w:r>
      <w:r w:rsidR="006D45F8" w:rsidRPr="009F43DE">
        <w:rPr>
          <w:color w:val="000000"/>
          <w:lang w:val="fr-CH"/>
        </w:rPr>
        <w:t xml:space="preserve">constitue une </w:t>
      </w:r>
      <w:r w:rsidRPr="009F43DE">
        <w:rPr>
          <w:color w:val="000000"/>
          <w:lang w:val="fr-CH"/>
        </w:rPr>
        <w:t xml:space="preserve">priorité du </w:t>
      </w:r>
      <w:r w:rsidR="006D45F8" w:rsidRPr="009F43DE">
        <w:rPr>
          <w:color w:val="000000"/>
          <w:lang w:val="fr-CH"/>
        </w:rPr>
        <w:t>p</w:t>
      </w:r>
      <w:r w:rsidRPr="009F43DE">
        <w:rPr>
          <w:color w:val="000000"/>
          <w:lang w:val="fr-CH"/>
        </w:rPr>
        <w:t xml:space="preserve">rogramme de travail </w:t>
      </w:r>
      <w:r w:rsidR="006D45F8" w:rsidRPr="009F43DE">
        <w:rPr>
          <w:color w:val="000000"/>
          <w:lang w:val="fr-CH"/>
        </w:rPr>
        <w:t>sur</w:t>
      </w:r>
      <w:r w:rsidRPr="009F43DE">
        <w:rPr>
          <w:color w:val="000000"/>
          <w:lang w:val="fr-CH"/>
        </w:rPr>
        <w:t xml:space="preserve"> 100 jours </w:t>
      </w:r>
      <w:r w:rsidR="00F1176B" w:rsidRPr="009F43DE">
        <w:rPr>
          <w:color w:val="000000"/>
          <w:lang w:val="fr-CH"/>
        </w:rPr>
        <w:t>arrêté</w:t>
      </w:r>
      <w:r w:rsidR="006D45F8" w:rsidRPr="009F43DE">
        <w:rPr>
          <w:color w:val="000000"/>
          <w:lang w:val="fr-CH"/>
        </w:rPr>
        <w:t xml:space="preserve"> par l</w:t>
      </w:r>
      <w:r w:rsidR="00F8384A" w:rsidRPr="009F43DE">
        <w:rPr>
          <w:color w:val="000000"/>
          <w:lang w:val="fr-CH"/>
        </w:rPr>
        <w:t>’</w:t>
      </w:r>
      <w:r w:rsidR="007574C7" w:rsidRPr="009F43DE">
        <w:rPr>
          <w:color w:val="000000"/>
          <w:lang w:val="fr-CH"/>
        </w:rPr>
        <w:t>État</w:t>
      </w:r>
      <w:r w:rsidRPr="009F43DE">
        <w:rPr>
          <w:color w:val="000000"/>
          <w:lang w:val="fr-CH"/>
        </w:rPr>
        <w:t xml:space="preserve">. </w:t>
      </w:r>
      <w:r w:rsidR="006D45F8" w:rsidRPr="009F43DE">
        <w:rPr>
          <w:color w:val="000000"/>
          <w:lang w:val="fr-CH"/>
        </w:rPr>
        <w:t>C</w:t>
      </w:r>
      <w:r w:rsidRPr="009F43DE">
        <w:rPr>
          <w:color w:val="000000"/>
          <w:lang w:val="fr-CH"/>
        </w:rPr>
        <w:t>e projet devrait être achevé en 2017 en deux phases (</w:t>
      </w:r>
      <w:r w:rsidR="006D45F8" w:rsidRPr="009F43DE">
        <w:rPr>
          <w:color w:val="000000"/>
          <w:lang w:val="fr-CH"/>
        </w:rPr>
        <w:t>p</w:t>
      </w:r>
      <w:r w:rsidRPr="009F43DE">
        <w:rPr>
          <w:color w:val="000000"/>
          <w:lang w:val="fr-CH"/>
        </w:rPr>
        <w:t xml:space="preserve">hase I – </w:t>
      </w:r>
      <w:r w:rsidR="00D9533B" w:rsidRPr="009F43DE">
        <w:rPr>
          <w:color w:val="000000"/>
          <w:lang w:val="fr-CH"/>
        </w:rPr>
        <w:t xml:space="preserve">Construction </w:t>
      </w:r>
      <w:r w:rsidR="006D45F8" w:rsidRPr="009F43DE">
        <w:rPr>
          <w:color w:val="000000"/>
          <w:lang w:val="fr-CH"/>
        </w:rPr>
        <w:t xml:space="preserve">de </w:t>
      </w:r>
      <w:r w:rsidRPr="009F43DE">
        <w:rPr>
          <w:color w:val="000000"/>
          <w:lang w:val="fr-CH"/>
        </w:rPr>
        <w:t xml:space="preserve">1 034 </w:t>
      </w:r>
      <w:r w:rsidR="006D45F8" w:rsidRPr="009F43DE">
        <w:rPr>
          <w:color w:val="000000"/>
          <w:lang w:val="fr-CH"/>
        </w:rPr>
        <w:t xml:space="preserve">maisons </w:t>
      </w:r>
      <w:r w:rsidRPr="009F43DE">
        <w:rPr>
          <w:color w:val="000000"/>
          <w:lang w:val="fr-CH"/>
        </w:rPr>
        <w:t xml:space="preserve">et </w:t>
      </w:r>
      <w:r w:rsidR="006D45F8" w:rsidRPr="009F43DE">
        <w:rPr>
          <w:color w:val="000000"/>
          <w:lang w:val="fr-CH"/>
        </w:rPr>
        <w:t>p</w:t>
      </w:r>
      <w:r w:rsidRPr="009F43DE">
        <w:rPr>
          <w:color w:val="000000"/>
          <w:lang w:val="fr-CH"/>
        </w:rPr>
        <w:t xml:space="preserve">hase II – </w:t>
      </w:r>
      <w:r w:rsidR="00D9533B" w:rsidRPr="009F43DE">
        <w:rPr>
          <w:color w:val="000000"/>
          <w:lang w:val="fr-CH"/>
        </w:rPr>
        <w:t xml:space="preserve">Construction </w:t>
      </w:r>
      <w:r w:rsidR="006D45F8" w:rsidRPr="009F43DE">
        <w:rPr>
          <w:color w:val="000000"/>
          <w:lang w:val="fr-CH"/>
        </w:rPr>
        <w:t xml:space="preserve">de </w:t>
      </w:r>
      <w:r w:rsidRPr="009F43DE">
        <w:rPr>
          <w:color w:val="000000"/>
          <w:lang w:val="fr-CH"/>
        </w:rPr>
        <w:t>2 966</w:t>
      </w:r>
      <w:r w:rsidR="006D45F8" w:rsidRPr="009F43DE">
        <w:rPr>
          <w:color w:val="000000"/>
          <w:lang w:val="fr-CH"/>
        </w:rPr>
        <w:t> maisons</w:t>
      </w:r>
      <w:r w:rsidRPr="009F43DE">
        <w:rPr>
          <w:color w:val="000000"/>
          <w:lang w:val="fr-CH"/>
        </w:rPr>
        <w:t>).</w:t>
      </w:r>
    </w:p>
    <w:p w:rsidR="00C77E1E" w:rsidRPr="005F283E" w:rsidRDefault="00C77E1E" w:rsidP="00D9533B">
      <w:pPr>
        <w:pStyle w:val="H4G"/>
        <w:rPr>
          <w:lang w:val="fr-CH"/>
        </w:rPr>
      </w:pPr>
      <w:r w:rsidRPr="009F43DE">
        <w:rPr>
          <w:lang w:val="fr-CH"/>
        </w:rPr>
        <w:tab/>
      </w:r>
      <w:r w:rsidRPr="009F43DE">
        <w:rPr>
          <w:lang w:val="fr-CH"/>
        </w:rPr>
        <w:tab/>
        <w:t xml:space="preserve">Réfection de la toiture de 1 000 </w:t>
      </w:r>
      <w:r w:rsidR="00DD4155" w:rsidRPr="009F43DE">
        <w:rPr>
          <w:lang w:val="fr-CH"/>
        </w:rPr>
        <w:t>baraquements</w:t>
      </w:r>
      <w:r w:rsidRPr="009F43DE">
        <w:rPr>
          <w:lang w:val="fr-CH"/>
        </w:rPr>
        <w:t xml:space="preserve"> en mauvais état</w:t>
      </w:r>
    </w:p>
    <w:p w:rsidR="00C77E1E" w:rsidRPr="009F43DE" w:rsidRDefault="00C77E1E" w:rsidP="00C77E1E">
      <w:pPr>
        <w:pStyle w:val="SingleTxtG"/>
        <w:rPr>
          <w:color w:val="000000"/>
          <w:lang w:val="fr-CH"/>
        </w:rPr>
      </w:pPr>
      <w:r w:rsidRPr="009F43DE">
        <w:rPr>
          <w:color w:val="000000"/>
          <w:lang w:val="fr-CH"/>
        </w:rPr>
        <w:t>45.</w:t>
      </w:r>
      <w:r w:rsidRPr="009F43DE">
        <w:rPr>
          <w:color w:val="000000"/>
          <w:lang w:val="fr-CH"/>
        </w:rPr>
        <w:tab/>
        <w:t xml:space="preserve">Le Ministère des plantations </w:t>
      </w:r>
      <w:r w:rsidR="00D65520" w:rsidRPr="009F43DE">
        <w:rPr>
          <w:color w:val="000000"/>
          <w:lang w:val="fr-CH"/>
        </w:rPr>
        <w:t xml:space="preserve">finance </w:t>
      </w:r>
      <w:r w:rsidRPr="009F43DE">
        <w:rPr>
          <w:color w:val="000000"/>
          <w:lang w:val="fr-CH"/>
        </w:rPr>
        <w:t>la réfection de la toiture de 1 000</w:t>
      </w:r>
      <w:r w:rsidR="00D65520" w:rsidRPr="009F43DE">
        <w:rPr>
          <w:color w:val="000000"/>
          <w:lang w:val="fr-CH"/>
        </w:rPr>
        <w:t> baraquements</w:t>
      </w:r>
      <w:r w:rsidRPr="009F43DE">
        <w:rPr>
          <w:color w:val="000000"/>
          <w:lang w:val="fr-CH"/>
        </w:rPr>
        <w:t xml:space="preserve"> dans l</w:t>
      </w:r>
      <w:r w:rsidR="00F8384A" w:rsidRPr="009F43DE">
        <w:rPr>
          <w:color w:val="000000"/>
          <w:lang w:val="fr-CH"/>
        </w:rPr>
        <w:t>’</w:t>
      </w:r>
      <w:r w:rsidRPr="009F43DE">
        <w:rPr>
          <w:color w:val="000000"/>
          <w:lang w:val="fr-CH"/>
        </w:rPr>
        <w:t xml:space="preserve">ensemble des sept régions </w:t>
      </w:r>
      <w:r w:rsidR="00D65520" w:rsidRPr="009F43DE">
        <w:rPr>
          <w:color w:val="000000"/>
          <w:lang w:val="fr-CH"/>
        </w:rPr>
        <w:t>où se trouvent des</w:t>
      </w:r>
      <w:r w:rsidRPr="009F43DE">
        <w:rPr>
          <w:color w:val="000000"/>
          <w:lang w:val="fr-CH"/>
        </w:rPr>
        <w:t xml:space="preserve"> plantations </w:t>
      </w:r>
      <w:r w:rsidR="00D65520" w:rsidRPr="009F43DE">
        <w:rPr>
          <w:color w:val="000000"/>
          <w:lang w:val="fr-CH"/>
        </w:rPr>
        <w:t>afin essentiellement d</w:t>
      </w:r>
      <w:r w:rsidR="00F8384A" w:rsidRPr="009F43DE">
        <w:rPr>
          <w:color w:val="000000"/>
          <w:lang w:val="fr-CH"/>
        </w:rPr>
        <w:t>’</w:t>
      </w:r>
      <w:r w:rsidR="00D65520" w:rsidRPr="009F43DE">
        <w:rPr>
          <w:color w:val="000000"/>
          <w:lang w:val="fr-CH"/>
        </w:rPr>
        <w:t xml:space="preserve">améliorer et de rénover </w:t>
      </w:r>
      <w:r w:rsidRPr="009F43DE">
        <w:rPr>
          <w:color w:val="000000"/>
          <w:lang w:val="fr-CH"/>
        </w:rPr>
        <w:t xml:space="preserve">les </w:t>
      </w:r>
      <w:r w:rsidR="00D65520" w:rsidRPr="009F43DE">
        <w:rPr>
          <w:color w:val="000000"/>
          <w:lang w:val="fr-CH"/>
        </w:rPr>
        <w:t xml:space="preserve">habitations </w:t>
      </w:r>
      <w:r w:rsidRPr="009F43DE">
        <w:rPr>
          <w:color w:val="000000"/>
          <w:lang w:val="fr-CH"/>
        </w:rPr>
        <w:t>délabrées. La réfection des toitures est une mesure provisoire car la construction d</w:t>
      </w:r>
      <w:r w:rsidR="00F8384A" w:rsidRPr="009F43DE">
        <w:rPr>
          <w:color w:val="000000"/>
          <w:lang w:val="fr-CH"/>
        </w:rPr>
        <w:t>’</w:t>
      </w:r>
      <w:r w:rsidRPr="009F43DE">
        <w:rPr>
          <w:color w:val="000000"/>
          <w:lang w:val="fr-CH"/>
        </w:rPr>
        <w:t xml:space="preserve">un grand nombre de nouvelles maisons est coûteuse et prend du temps. Les achats </w:t>
      </w:r>
      <w:r w:rsidR="00D65520" w:rsidRPr="009F43DE">
        <w:rPr>
          <w:color w:val="000000"/>
          <w:lang w:val="fr-CH"/>
        </w:rPr>
        <w:t xml:space="preserve">de matériels </w:t>
      </w:r>
      <w:r w:rsidRPr="009F43DE">
        <w:rPr>
          <w:color w:val="000000"/>
          <w:lang w:val="fr-CH"/>
        </w:rPr>
        <w:t>ont été effectués pour 266 unités.</w:t>
      </w:r>
    </w:p>
    <w:p w:rsidR="00C77E1E" w:rsidRPr="005F283E" w:rsidRDefault="00C77E1E" w:rsidP="00D9533B">
      <w:pPr>
        <w:pStyle w:val="H4G"/>
        <w:rPr>
          <w:lang w:val="fr-CH"/>
        </w:rPr>
      </w:pPr>
      <w:r w:rsidRPr="009F43DE">
        <w:rPr>
          <w:color w:val="00B050"/>
          <w:lang w:val="fr-CH"/>
        </w:rPr>
        <w:tab/>
      </w:r>
      <w:r w:rsidRPr="009F43DE">
        <w:rPr>
          <w:color w:val="00B050"/>
          <w:lang w:val="fr-CH"/>
        </w:rPr>
        <w:tab/>
      </w:r>
      <w:r w:rsidR="006F543A" w:rsidRPr="009F43DE">
        <w:rPr>
          <w:lang w:val="fr-CH"/>
        </w:rPr>
        <w:t xml:space="preserve">Approvisionnement en </w:t>
      </w:r>
      <w:r w:rsidRPr="009F43DE">
        <w:rPr>
          <w:lang w:val="fr-CH"/>
        </w:rPr>
        <w:t>eau potable et santé</w:t>
      </w:r>
    </w:p>
    <w:p w:rsidR="00C77E1E" w:rsidRPr="009F43DE" w:rsidRDefault="00C77E1E" w:rsidP="00C77E1E">
      <w:pPr>
        <w:pStyle w:val="SingleTxtG"/>
        <w:rPr>
          <w:color w:val="000000"/>
          <w:lang w:val="fr-CH"/>
        </w:rPr>
      </w:pPr>
      <w:r w:rsidRPr="009F43DE">
        <w:rPr>
          <w:color w:val="000000"/>
          <w:lang w:val="fr-CH"/>
        </w:rPr>
        <w:t>46.</w:t>
      </w:r>
      <w:r w:rsidRPr="009F43DE">
        <w:rPr>
          <w:color w:val="000000"/>
          <w:lang w:val="fr-CH"/>
        </w:rPr>
        <w:tab/>
      </w:r>
      <w:r w:rsidR="006F543A" w:rsidRPr="009F43DE">
        <w:rPr>
          <w:color w:val="000000"/>
          <w:lang w:val="fr-CH"/>
        </w:rPr>
        <w:t>D</w:t>
      </w:r>
      <w:r w:rsidRPr="009F43DE">
        <w:rPr>
          <w:color w:val="000000"/>
          <w:lang w:val="fr-CH"/>
        </w:rPr>
        <w:t>es projets d</w:t>
      </w:r>
      <w:r w:rsidR="00F8384A" w:rsidRPr="009F43DE">
        <w:rPr>
          <w:color w:val="000000"/>
          <w:lang w:val="fr-CH"/>
        </w:rPr>
        <w:t>’</w:t>
      </w:r>
      <w:r w:rsidRPr="009F43DE">
        <w:rPr>
          <w:color w:val="000000"/>
          <w:lang w:val="fr-CH"/>
        </w:rPr>
        <w:t xml:space="preserve">approvisionnement en eau sont mis en œuvre dans sept régions de plantation pour </w:t>
      </w:r>
      <w:r w:rsidR="006F543A" w:rsidRPr="009F43DE">
        <w:rPr>
          <w:color w:val="000000"/>
          <w:lang w:val="fr-CH"/>
        </w:rPr>
        <w:t xml:space="preserve">alimenter en </w:t>
      </w:r>
      <w:r w:rsidRPr="009F43DE">
        <w:rPr>
          <w:color w:val="000000"/>
          <w:lang w:val="fr-CH"/>
        </w:rPr>
        <w:t>eau potable 1 054 familles</w:t>
      </w:r>
      <w:r w:rsidR="006F543A" w:rsidRPr="009F43DE">
        <w:rPr>
          <w:color w:val="000000"/>
          <w:lang w:val="fr-CH"/>
        </w:rPr>
        <w:t>, soit un total de</w:t>
      </w:r>
      <w:r w:rsidRPr="009F43DE">
        <w:rPr>
          <w:color w:val="000000"/>
          <w:lang w:val="fr-CH"/>
        </w:rPr>
        <w:t xml:space="preserve"> 4 743</w:t>
      </w:r>
      <w:r w:rsidR="006F543A" w:rsidRPr="009F43DE">
        <w:rPr>
          <w:color w:val="000000"/>
          <w:lang w:val="fr-CH"/>
        </w:rPr>
        <w:t> </w:t>
      </w:r>
      <w:r w:rsidRPr="009F43DE">
        <w:rPr>
          <w:color w:val="000000"/>
          <w:lang w:val="fr-CH"/>
        </w:rPr>
        <w:t>personnes. Trois projets ont été achevés. En outre, dans le cadre du programme de construction d</w:t>
      </w:r>
      <w:r w:rsidR="00F8384A" w:rsidRPr="009F43DE">
        <w:rPr>
          <w:color w:val="000000"/>
          <w:lang w:val="fr-CH"/>
        </w:rPr>
        <w:t>’</w:t>
      </w:r>
      <w:r w:rsidR="006F543A" w:rsidRPr="009F43DE">
        <w:rPr>
          <w:color w:val="000000"/>
          <w:lang w:val="fr-CH"/>
        </w:rPr>
        <w:t xml:space="preserve">équipements </w:t>
      </w:r>
      <w:r w:rsidRPr="009F43DE">
        <w:rPr>
          <w:color w:val="000000"/>
          <w:lang w:val="fr-CH"/>
        </w:rPr>
        <w:t>de base, 27</w:t>
      </w:r>
      <w:r w:rsidR="006F543A" w:rsidRPr="009F43DE">
        <w:rPr>
          <w:color w:val="000000"/>
          <w:lang w:val="fr-CH"/>
        </w:rPr>
        <w:t> </w:t>
      </w:r>
      <w:r w:rsidRPr="009F43DE">
        <w:rPr>
          <w:color w:val="000000"/>
          <w:lang w:val="fr-CH"/>
        </w:rPr>
        <w:t>projets d</w:t>
      </w:r>
      <w:r w:rsidR="00F8384A" w:rsidRPr="009F43DE">
        <w:rPr>
          <w:color w:val="000000"/>
          <w:lang w:val="fr-CH"/>
        </w:rPr>
        <w:t>’</w:t>
      </w:r>
      <w:r w:rsidRPr="009F43DE">
        <w:rPr>
          <w:color w:val="000000"/>
          <w:lang w:val="fr-CH"/>
        </w:rPr>
        <w:t xml:space="preserve">approvisionnement en eau potable </w:t>
      </w:r>
      <w:r w:rsidR="006F543A" w:rsidRPr="009F43DE">
        <w:rPr>
          <w:color w:val="000000"/>
          <w:lang w:val="fr-CH"/>
        </w:rPr>
        <w:t>doivent bénéficier à</w:t>
      </w:r>
      <w:r w:rsidRPr="009F43DE">
        <w:rPr>
          <w:color w:val="000000"/>
          <w:lang w:val="fr-CH"/>
        </w:rPr>
        <w:t xml:space="preserve"> 3 607 familles dans 17 </w:t>
      </w:r>
      <w:r w:rsidR="006F543A" w:rsidRPr="009F43DE">
        <w:rPr>
          <w:color w:val="000000"/>
          <w:lang w:val="fr-CH"/>
        </w:rPr>
        <w:t>plantations</w:t>
      </w:r>
      <w:r w:rsidRPr="009F43DE">
        <w:rPr>
          <w:color w:val="000000"/>
          <w:lang w:val="fr-CH"/>
        </w:rPr>
        <w:t xml:space="preserve">. </w:t>
      </w:r>
      <w:r w:rsidR="006F543A" w:rsidRPr="009F43DE">
        <w:rPr>
          <w:color w:val="000000"/>
          <w:lang w:val="fr-CH"/>
        </w:rPr>
        <w:t>D</w:t>
      </w:r>
      <w:r w:rsidRPr="009F43DE">
        <w:rPr>
          <w:color w:val="000000"/>
          <w:lang w:val="fr-CH"/>
        </w:rPr>
        <w:t>es travaux de construction/d</w:t>
      </w:r>
      <w:r w:rsidR="00F8384A" w:rsidRPr="009F43DE">
        <w:rPr>
          <w:color w:val="000000"/>
          <w:lang w:val="fr-CH"/>
        </w:rPr>
        <w:t>’</w:t>
      </w:r>
      <w:r w:rsidRPr="009F43DE">
        <w:rPr>
          <w:color w:val="000000"/>
          <w:lang w:val="fr-CH"/>
        </w:rPr>
        <w:t xml:space="preserve">amélioration ont été engagés sous la supervision des </w:t>
      </w:r>
      <w:r w:rsidR="006F543A" w:rsidRPr="009F43DE">
        <w:rPr>
          <w:color w:val="000000"/>
          <w:lang w:val="fr-CH"/>
        </w:rPr>
        <w:t>s</w:t>
      </w:r>
      <w:r w:rsidRPr="009F43DE">
        <w:rPr>
          <w:color w:val="000000"/>
          <w:lang w:val="fr-CH"/>
        </w:rPr>
        <w:t xml:space="preserve">ecrétariats divisionnaires </w:t>
      </w:r>
      <w:r w:rsidR="006F543A" w:rsidRPr="009F43DE">
        <w:rPr>
          <w:color w:val="000000"/>
          <w:lang w:val="fr-CH"/>
        </w:rPr>
        <w:t>compétents</w:t>
      </w:r>
      <w:r w:rsidRPr="009F43DE">
        <w:rPr>
          <w:color w:val="000000"/>
          <w:lang w:val="fr-CH"/>
        </w:rPr>
        <w:t xml:space="preserve">. </w:t>
      </w:r>
      <w:r w:rsidR="002A082E" w:rsidRPr="009F43DE">
        <w:rPr>
          <w:color w:val="000000"/>
          <w:lang w:val="fr-CH"/>
        </w:rPr>
        <w:t>S</w:t>
      </w:r>
      <w:r w:rsidR="00F8384A" w:rsidRPr="009F43DE">
        <w:rPr>
          <w:color w:val="000000"/>
          <w:lang w:val="fr-CH"/>
        </w:rPr>
        <w:t>’</w:t>
      </w:r>
      <w:r w:rsidR="002A082E" w:rsidRPr="009F43DE">
        <w:rPr>
          <w:color w:val="000000"/>
          <w:lang w:val="fr-CH"/>
        </w:rPr>
        <w:t>agissant de</w:t>
      </w:r>
      <w:r w:rsidRPr="009F43DE">
        <w:rPr>
          <w:color w:val="000000"/>
          <w:lang w:val="fr-CH"/>
        </w:rPr>
        <w:t xml:space="preserve"> l</w:t>
      </w:r>
      <w:r w:rsidR="00F8384A" w:rsidRPr="009F43DE">
        <w:rPr>
          <w:color w:val="000000"/>
          <w:lang w:val="fr-CH"/>
        </w:rPr>
        <w:t>’</w:t>
      </w:r>
      <w:r w:rsidRPr="009F43DE">
        <w:rPr>
          <w:color w:val="000000"/>
          <w:lang w:val="fr-CH"/>
        </w:rPr>
        <w:t xml:space="preserve">amélioration de la santé, le Ministère de la </w:t>
      </w:r>
      <w:r w:rsidR="002A082E" w:rsidRPr="009F43DE">
        <w:rPr>
          <w:color w:val="000000"/>
          <w:lang w:val="fr-CH"/>
        </w:rPr>
        <w:t>s</w:t>
      </w:r>
      <w:r w:rsidRPr="009F43DE">
        <w:rPr>
          <w:color w:val="000000"/>
          <w:lang w:val="fr-CH"/>
        </w:rPr>
        <w:t xml:space="preserve">anté a </w:t>
      </w:r>
      <w:r w:rsidR="002A082E" w:rsidRPr="009F43DE">
        <w:rPr>
          <w:color w:val="000000"/>
          <w:lang w:val="fr-CH"/>
        </w:rPr>
        <w:t xml:space="preserve">procédé à </w:t>
      </w:r>
      <w:r w:rsidRPr="009F43DE">
        <w:rPr>
          <w:color w:val="000000"/>
          <w:lang w:val="fr-CH"/>
        </w:rPr>
        <w:t xml:space="preserve">une analyse </w:t>
      </w:r>
      <w:r w:rsidR="002A082E" w:rsidRPr="009F43DE">
        <w:rPr>
          <w:color w:val="000000"/>
          <w:lang w:val="fr-CH"/>
        </w:rPr>
        <w:t xml:space="preserve">critique </w:t>
      </w:r>
      <w:r w:rsidRPr="009F43DE">
        <w:rPr>
          <w:color w:val="000000"/>
          <w:lang w:val="fr-CH"/>
        </w:rPr>
        <w:t xml:space="preserve">de la situation </w:t>
      </w:r>
      <w:r w:rsidR="002A082E" w:rsidRPr="009F43DE">
        <w:rPr>
          <w:color w:val="000000"/>
          <w:lang w:val="fr-CH"/>
        </w:rPr>
        <w:t xml:space="preserve">afin </w:t>
      </w:r>
      <w:r w:rsidRPr="009F43DE">
        <w:rPr>
          <w:color w:val="000000"/>
          <w:lang w:val="fr-CH"/>
        </w:rPr>
        <w:t>de mesurer l</w:t>
      </w:r>
      <w:r w:rsidR="00F8384A" w:rsidRPr="009F43DE">
        <w:rPr>
          <w:color w:val="000000"/>
          <w:lang w:val="fr-CH"/>
        </w:rPr>
        <w:t>’</w:t>
      </w:r>
      <w:r w:rsidRPr="009F43DE">
        <w:rPr>
          <w:color w:val="000000"/>
          <w:lang w:val="fr-CH"/>
        </w:rPr>
        <w:t>impact des programmes existants d</w:t>
      </w:r>
      <w:r w:rsidR="002A082E" w:rsidRPr="009F43DE">
        <w:rPr>
          <w:color w:val="000000"/>
          <w:lang w:val="fr-CH"/>
        </w:rPr>
        <w:t xml:space="preserve">e rénovation </w:t>
      </w:r>
      <w:r w:rsidRPr="009F43DE">
        <w:rPr>
          <w:color w:val="000000"/>
          <w:lang w:val="fr-CH"/>
        </w:rPr>
        <w:t xml:space="preserve">des installations </w:t>
      </w:r>
      <w:r w:rsidR="002A082E" w:rsidRPr="009F43DE">
        <w:rPr>
          <w:color w:val="000000"/>
          <w:lang w:val="fr-CH"/>
        </w:rPr>
        <w:t xml:space="preserve">sanitaires </w:t>
      </w:r>
      <w:r w:rsidRPr="009F43DE">
        <w:rPr>
          <w:color w:val="000000"/>
          <w:lang w:val="fr-CH"/>
        </w:rPr>
        <w:t xml:space="preserve">dans le secteur des </w:t>
      </w:r>
      <w:r w:rsidR="002A082E" w:rsidRPr="009F43DE">
        <w:rPr>
          <w:color w:val="000000"/>
          <w:lang w:val="fr-CH"/>
        </w:rPr>
        <w:t>plantations</w:t>
      </w:r>
      <w:r w:rsidRPr="009F43DE">
        <w:rPr>
          <w:color w:val="000000"/>
          <w:lang w:val="fr-CH"/>
        </w:rPr>
        <w:t xml:space="preserve"> et d</w:t>
      </w:r>
      <w:r w:rsidR="00E016DA" w:rsidRPr="009F43DE">
        <w:rPr>
          <w:color w:val="000000"/>
          <w:lang w:val="fr-CH"/>
        </w:rPr>
        <w:t>e mettre en évidence les aspects</w:t>
      </w:r>
      <w:r w:rsidRPr="009F43DE">
        <w:rPr>
          <w:color w:val="000000"/>
          <w:lang w:val="fr-CH"/>
        </w:rPr>
        <w:t xml:space="preserve"> à améliorer. </w:t>
      </w:r>
      <w:r w:rsidR="00E016DA" w:rsidRPr="009F43DE">
        <w:rPr>
          <w:color w:val="000000"/>
          <w:lang w:val="fr-CH"/>
        </w:rPr>
        <w:t>D</w:t>
      </w:r>
      <w:r w:rsidRPr="009F43DE">
        <w:rPr>
          <w:color w:val="000000"/>
          <w:lang w:val="fr-CH"/>
        </w:rPr>
        <w:t xml:space="preserve">es programmes spéciaux ont </w:t>
      </w:r>
      <w:r w:rsidR="00E016DA" w:rsidRPr="009F43DE">
        <w:rPr>
          <w:color w:val="000000"/>
          <w:lang w:val="fr-CH"/>
        </w:rPr>
        <w:t xml:space="preserve">donc </w:t>
      </w:r>
      <w:r w:rsidRPr="009F43DE">
        <w:rPr>
          <w:color w:val="000000"/>
          <w:lang w:val="fr-CH"/>
        </w:rPr>
        <w:t>été réalisés dans le secteur des p</w:t>
      </w:r>
      <w:r w:rsidR="00E016DA" w:rsidRPr="009F43DE">
        <w:rPr>
          <w:color w:val="000000"/>
          <w:lang w:val="fr-CH"/>
        </w:rPr>
        <w:t>lantations</w:t>
      </w:r>
      <w:r w:rsidRPr="009F43DE">
        <w:rPr>
          <w:color w:val="000000"/>
          <w:lang w:val="fr-CH"/>
        </w:rPr>
        <w:t xml:space="preserve"> pour promouvoir la nutrition et développe</w:t>
      </w:r>
      <w:r w:rsidR="00E016DA" w:rsidRPr="009F43DE">
        <w:rPr>
          <w:color w:val="000000"/>
          <w:lang w:val="fr-CH"/>
        </w:rPr>
        <w:t>r les</w:t>
      </w:r>
      <w:r w:rsidRPr="009F43DE">
        <w:rPr>
          <w:color w:val="000000"/>
          <w:lang w:val="fr-CH"/>
        </w:rPr>
        <w:t xml:space="preserve"> infrastructures. Des sages-femmes qualifiées du secteur public </w:t>
      </w:r>
      <w:r w:rsidR="00C13BCE" w:rsidRPr="009F43DE">
        <w:rPr>
          <w:color w:val="000000"/>
          <w:lang w:val="fr-CH"/>
        </w:rPr>
        <w:t xml:space="preserve">de la santé </w:t>
      </w:r>
      <w:r w:rsidRPr="009F43DE">
        <w:rPr>
          <w:color w:val="000000"/>
          <w:lang w:val="fr-CH"/>
        </w:rPr>
        <w:t xml:space="preserve">ont été </w:t>
      </w:r>
      <w:r w:rsidR="00E016DA" w:rsidRPr="009F43DE">
        <w:rPr>
          <w:color w:val="000000"/>
          <w:lang w:val="fr-CH"/>
        </w:rPr>
        <w:t>a</w:t>
      </w:r>
      <w:r w:rsidR="000D575D" w:rsidRPr="009F43DE">
        <w:rPr>
          <w:color w:val="000000"/>
          <w:lang w:val="fr-CH"/>
        </w:rPr>
        <w:t>ffectées</w:t>
      </w:r>
      <w:r w:rsidR="00E016DA" w:rsidRPr="009F43DE">
        <w:rPr>
          <w:color w:val="000000"/>
          <w:lang w:val="fr-CH"/>
        </w:rPr>
        <w:t xml:space="preserve"> à </w:t>
      </w:r>
      <w:r w:rsidRPr="009F43DE">
        <w:rPr>
          <w:color w:val="000000"/>
          <w:lang w:val="fr-CH"/>
        </w:rPr>
        <w:t>toutes les p</w:t>
      </w:r>
      <w:r w:rsidR="00E016DA" w:rsidRPr="009F43DE">
        <w:rPr>
          <w:color w:val="000000"/>
          <w:lang w:val="fr-CH"/>
        </w:rPr>
        <w:t>lantations</w:t>
      </w:r>
      <w:r w:rsidRPr="009F43DE">
        <w:rPr>
          <w:color w:val="000000"/>
          <w:lang w:val="fr-CH"/>
        </w:rPr>
        <w:t xml:space="preserve">. En outre, des groupes communautaires ont été </w:t>
      </w:r>
      <w:r w:rsidR="00E016DA" w:rsidRPr="009F43DE">
        <w:rPr>
          <w:color w:val="000000"/>
          <w:lang w:val="fr-CH"/>
        </w:rPr>
        <w:t>constitués</w:t>
      </w:r>
      <w:r w:rsidRPr="009F43DE">
        <w:rPr>
          <w:color w:val="000000"/>
          <w:lang w:val="fr-CH"/>
        </w:rPr>
        <w:t xml:space="preserve"> pour </w:t>
      </w:r>
      <w:r w:rsidR="004C1411" w:rsidRPr="009F43DE">
        <w:rPr>
          <w:color w:val="000000"/>
          <w:lang w:val="fr-CH"/>
        </w:rPr>
        <w:t xml:space="preserve">transmettre </w:t>
      </w:r>
      <w:r w:rsidRPr="009F43DE">
        <w:rPr>
          <w:color w:val="000000"/>
          <w:lang w:val="fr-CH"/>
        </w:rPr>
        <w:t>des informations médicales e</w:t>
      </w:r>
      <w:r w:rsidR="004C1411" w:rsidRPr="009F43DE">
        <w:rPr>
          <w:color w:val="000000"/>
          <w:lang w:val="fr-CH"/>
        </w:rPr>
        <w:t>t sanitaires</w:t>
      </w:r>
      <w:r w:rsidRPr="009F43DE">
        <w:rPr>
          <w:color w:val="000000"/>
          <w:lang w:val="fr-CH"/>
        </w:rPr>
        <w:t xml:space="preserve">. Le Ministère des </w:t>
      </w:r>
      <w:r w:rsidR="007331D2" w:rsidRPr="009F43DE">
        <w:rPr>
          <w:color w:val="000000"/>
          <w:lang w:val="fr-CH"/>
        </w:rPr>
        <w:t>droits des femmes</w:t>
      </w:r>
      <w:r w:rsidRPr="009F43DE">
        <w:rPr>
          <w:color w:val="000000"/>
          <w:lang w:val="fr-CH"/>
        </w:rPr>
        <w:t xml:space="preserve"> a </w:t>
      </w:r>
      <w:r w:rsidR="004C1411" w:rsidRPr="009F43DE">
        <w:rPr>
          <w:color w:val="000000"/>
          <w:lang w:val="fr-CH"/>
        </w:rPr>
        <w:t>réalisé</w:t>
      </w:r>
      <w:r w:rsidRPr="009F43DE">
        <w:rPr>
          <w:color w:val="000000"/>
          <w:lang w:val="fr-CH"/>
        </w:rPr>
        <w:t xml:space="preserve"> </w:t>
      </w:r>
      <w:r w:rsidR="00D9533B">
        <w:rPr>
          <w:color w:val="000000"/>
          <w:lang w:val="fr-CH"/>
        </w:rPr>
        <w:t>10</w:t>
      </w:r>
      <w:r w:rsidR="00D9533B" w:rsidRPr="009F43DE">
        <w:rPr>
          <w:color w:val="000000"/>
          <w:lang w:val="fr-CH"/>
        </w:rPr>
        <w:t xml:space="preserve"> </w:t>
      </w:r>
      <w:r w:rsidRPr="009F43DE">
        <w:rPr>
          <w:color w:val="000000"/>
          <w:lang w:val="fr-CH"/>
        </w:rPr>
        <w:t xml:space="preserve">programmes sur la prévention de la grossesse chez les adolescentes dans le </w:t>
      </w:r>
      <w:r w:rsidR="004C1411" w:rsidRPr="009F43DE">
        <w:rPr>
          <w:color w:val="000000"/>
          <w:lang w:val="fr-CH"/>
        </w:rPr>
        <w:t>d</w:t>
      </w:r>
      <w:r w:rsidRPr="009F43DE">
        <w:rPr>
          <w:color w:val="000000"/>
          <w:lang w:val="fr-CH"/>
        </w:rPr>
        <w:t xml:space="preserve">istrict de Nuwara Eliya en collaboration avec le Trust Board Plantation. </w:t>
      </w:r>
    </w:p>
    <w:p w:rsidR="00C77E1E" w:rsidRPr="009F43DE" w:rsidRDefault="00C77E1E" w:rsidP="00D9533B">
      <w:pPr>
        <w:pStyle w:val="H4G"/>
        <w:rPr>
          <w:lang w:val="fr-CH"/>
        </w:rPr>
      </w:pPr>
      <w:r w:rsidRPr="009F43DE">
        <w:rPr>
          <w:lang w:val="fr-CH"/>
        </w:rPr>
        <w:tab/>
      </w:r>
      <w:r w:rsidRPr="009F43DE">
        <w:rPr>
          <w:lang w:val="fr-CH"/>
        </w:rPr>
        <w:tab/>
        <w:t xml:space="preserve">Abrogation de la loi </w:t>
      </w:r>
      <w:r w:rsidR="00F80613">
        <w:rPr>
          <w:lang w:val="fr-CH"/>
        </w:rPr>
        <w:t>n</w:t>
      </w:r>
      <w:r w:rsidR="00F80613" w:rsidRPr="001D6B83">
        <w:rPr>
          <w:vertAlign w:val="superscript"/>
          <w:lang w:val="fr-CH"/>
        </w:rPr>
        <w:t>o</w:t>
      </w:r>
      <w:r w:rsidR="00E016DA" w:rsidRPr="009F43DE">
        <w:rPr>
          <w:lang w:val="fr-CH"/>
        </w:rPr>
        <w:t> </w:t>
      </w:r>
      <w:r w:rsidRPr="009F43DE">
        <w:rPr>
          <w:lang w:val="fr-CH"/>
        </w:rPr>
        <w:t xml:space="preserve">18 de 1948 relative à la </w:t>
      </w:r>
      <w:r w:rsidR="00E016DA" w:rsidRPr="009F43DE">
        <w:rPr>
          <w:lang w:val="fr-CH"/>
        </w:rPr>
        <w:t>citoyenneté</w:t>
      </w:r>
      <w:r w:rsidRPr="009F43DE">
        <w:rPr>
          <w:lang w:val="fr-CH"/>
        </w:rPr>
        <w:t xml:space="preserve"> </w:t>
      </w:r>
    </w:p>
    <w:p w:rsidR="00C77E1E" w:rsidRPr="009F43DE" w:rsidRDefault="00C77E1E" w:rsidP="00C77E1E">
      <w:pPr>
        <w:pStyle w:val="SingleTxtG"/>
        <w:rPr>
          <w:color w:val="000000"/>
          <w:lang w:val="fr-CH"/>
        </w:rPr>
      </w:pPr>
      <w:r w:rsidRPr="009F43DE">
        <w:rPr>
          <w:color w:val="000000"/>
          <w:lang w:val="fr-CH"/>
        </w:rPr>
        <w:t>47.</w:t>
      </w:r>
      <w:r w:rsidRPr="009F43DE">
        <w:rPr>
          <w:color w:val="000000"/>
          <w:lang w:val="fr-CH"/>
        </w:rPr>
        <w:tab/>
        <w:t xml:space="preserve">La </w:t>
      </w:r>
      <w:r w:rsidR="00EF5391" w:rsidRPr="009F43DE">
        <w:rPr>
          <w:color w:val="000000"/>
          <w:lang w:val="fr-CH"/>
        </w:rPr>
        <w:t>l</w:t>
      </w:r>
      <w:r w:rsidRPr="009F43DE">
        <w:rPr>
          <w:color w:val="000000"/>
          <w:lang w:val="fr-CH"/>
        </w:rPr>
        <w:t xml:space="preserve">oi </w:t>
      </w:r>
      <w:r w:rsidR="00F80613">
        <w:rPr>
          <w:lang w:val="fr-CH"/>
        </w:rPr>
        <w:t>n</w:t>
      </w:r>
      <w:r w:rsidR="00F80613" w:rsidRPr="001D6B83">
        <w:rPr>
          <w:vertAlign w:val="superscript"/>
          <w:lang w:val="fr-CH"/>
        </w:rPr>
        <w:t>o</w:t>
      </w:r>
      <w:r w:rsidR="00EF5391" w:rsidRPr="009F43DE">
        <w:rPr>
          <w:color w:val="000000"/>
          <w:lang w:val="fr-CH"/>
        </w:rPr>
        <w:t> </w:t>
      </w:r>
      <w:r w:rsidRPr="009F43DE">
        <w:rPr>
          <w:color w:val="000000"/>
          <w:lang w:val="fr-CH"/>
        </w:rPr>
        <w:t xml:space="preserve">18 de 1948 relative à la </w:t>
      </w:r>
      <w:r w:rsidR="00EF5391" w:rsidRPr="009F43DE">
        <w:rPr>
          <w:color w:val="000000"/>
          <w:lang w:val="fr-CH"/>
        </w:rPr>
        <w:t xml:space="preserve">citoyenneté </w:t>
      </w:r>
      <w:r w:rsidRPr="009F43DE">
        <w:rPr>
          <w:color w:val="000000"/>
          <w:lang w:val="fr-CH"/>
        </w:rPr>
        <w:t>a été modifiée à plusieurs reprises,</w:t>
      </w:r>
      <w:r w:rsidR="00EF5391" w:rsidRPr="009F43DE">
        <w:rPr>
          <w:color w:val="000000"/>
          <w:lang w:val="fr-CH"/>
        </w:rPr>
        <w:t xml:space="preserve"> notamment </w:t>
      </w:r>
      <w:r w:rsidRPr="009F43DE">
        <w:rPr>
          <w:color w:val="000000"/>
          <w:lang w:val="fr-CH"/>
        </w:rPr>
        <w:t xml:space="preserve">par les </w:t>
      </w:r>
      <w:r w:rsidR="00EF5391" w:rsidRPr="009F43DE">
        <w:rPr>
          <w:color w:val="000000"/>
          <w:lang w:val="fr-CH"/>
        </w:rPr>
        <w:t>l</w:t>
      </w:r>
      <w:r w:rsidRPr="009F43DE">
        <w:rPr>
          <w:color w:val="000000"/>
          <w:lang w:val="fr-CH"/>
        </w:rPr>
        <w:t xml:space="preserve">ois modificatives </w:t>
      </w:r>
      <w:r w:rsidR="00F80613">
        <w:rPr>
          <w:lang w:val="fr-CH"/>
        </w:rPr>
        <w:t>n</w:t>
      </w:r>
      <w:r w:rsidR="00F80613" w:rsidRPr="001D6B83">
        <w:rPr>
          <w:vertAlign w:val="superscript"/>
          <w:lang w:val="fr-CH"/>
        </w:rPr>
        <w:t>o</w:t>
      </w:r>
      <w:r w:rsidR="00EF5391" w:rsidRPr="009F43DE">
        <w:rPr>
          <w:color w:val="000000"/>
          <w:lang w:val="fr-CH"/>
        </w:rPr>
        <w:t> 4</w:t>
      </w:r>
      <w:r w:rsidRPr="009F43DE">
        <w:rPr>
          <w:color w:val="000000"/>
          <w:lang w:val="fr-CH"/>
        </w:rPr>
        <w:t xml:space="preserve">0 de 1950, </w:t>
      </w:r>
      <w:r w:rsidR="00F80613">
        <w:rPr>
          <w:lang w:val="fr-CH"/>
        </w:rPr>
        <w:t>n</w:t>
      </w:r>
      <w:r w:rsidR="00F80613" w:rsidRPr="001D6B83">
        <w:rPr>
          <w:vertAlign w:val="superscript"/>
          <w:lang w:val="fr-CH"/>
        </w:rPr>
        <w:t>o</w:t>
      </w:r>
      <w:r w:rsidR="00EF5391" w:rsidRPr="009F43DE">
        <w:rPr>
          <w:color w:val="000000"/>
          <w:lang w:val="fr-CH"/>
        </w:rPr>
        <w:t> </w:t>
      </w:r>
      <w:r w:rsidRPr="009F43DE">
        <w:rPr>
          <w:color w:val="000000"/>
          <w:lang w:val="fr-CH"/>
        </w:rPr>
        <w:t xml:space="preserve">13 de 1955, </w:t>
      </w:r>
      <w:r w:rsidR="00F80613">
        <w:rPr>
          <w:lang w:val="fr-CH"/>
        </w:rPr>
        <w:t>n</w:t>
      </w:r>
      <w:r w:rsidR="00F80613" w:rsidRPr="001D6B83">
        <w:rPr>
          <w:vertAlign w:val="superscript"/>
          <w:lang w:val="fr-CH"/>
        </w:rPr>
        <w:t>o</w:t>
      </w:r>
      <w:r w:rsidR="00EF5391" w:rsidRPr="009F43DE">
        <w:rPr>
          <w:color w:val="000000"/>
          <w:lang w:val="fr-CH"/>
        </w:rPr>
        <w:t> </w:t>
      </w:r>
      <w:r w:rsidRPr="009F43DE">
        <w:rPr>
          <w:color w:val="000000"/>
          <w:lang w:val="fr-CH"/>
        </w:rPr>
        <w:t xml:space="preserve">45 de 1987, </w:t>
      </w:r>
      <w:r w:rsidR="00F80613">
        <w:rPr>
          <w:lang w:val="fr-CH"/>
        </w:rPr>
        <w:t>n</w:t>
      </w:r>
      <w:r w:rsidR="00F80613" w:rsidRPr="001D6B83">
        <w:rPr>
          <w:vertAlign w:val="superscript"/>
          <w:lang w:val="fr-CH"/>
        </w:rPr>
        <w:t>o</w:t>
      </w:r>
      <w:r w:rsidR="00EF5391" w:rsidRPr="009F43DE">
        <w:rPr>
          <w:color w:val="000000"/>
          <w:lang w:val="fr-CH"/>
        </w:rPr>
        <w:t> </w:t>
      </w:r>
      <w:r w:rsidRPr="009F43DE">
        <w:rPr>
          <w:color w:val="000000"/>
          <w:lang w:val="fr-CH"/>
        </w:rPr>
        <w:t xml:space="preserve">15 de 1993, </w:t>
      </w:r>
      <w:r w:rsidR="00F80613">
        <w:rPr>
          <w:lang w:val="fr-CH"/>
        </w:rPr>
        <w:t>n</w:t>
      </w:r>
      <w:r w:rsidR="00F80613" w:rsidRPr="001D6B83">
        <w:rPr>
          <w:vertAlign w:val="superscript"/>
          <w:lang w:val="fr-CH"/>
        </w:rPr>
        <w:t>o</w:t>
      </w:r>
      <w:r w:rsidR="00EF5391" w:rsidRPr="009F43DE">
        <w:rPr>
          <w:color w:val="000000"/>
          <w:lang w:val="fr-CH"/>
        </w:rPr>
        <w:t> </w:t>
      </w:r>
      <w:r w:rsidRPr="009F43DE">
        <w:rPr>
          <w:color w:val="000000"/>
          <w:lang w:val="fr-CH"/>
        </w:rPr>
        <w:t xml:space="preserve">43 de 1993 et </w:t>
      </w:r>
      <w:r w:rsidR="00F80613">
        <w:rPr>
          <w:lang w:val="fr-CH"/>
        </w:rPr>
        <w:t>n</w:t>
      </w:r>
      <w:r w:rsidR="00F80613" w:rsidRPr="001D6B83">
        <w:rPr>
          <w:vertAlign w:val="superscript"/>
          <w:lang w:val="fr-CH"/>
        </w:rPr>
        <w:t>o</w:t>
      </w:r>
      <w:r w:rsidR="00B3602C" w:rsidRPr="009F43DE">
        <w:rPr>
          <w:color w:val="000000"/>
          <w:lang w:val="fr-CH"/>
        </w:rPr>
        <w:t> </w:t>
      </w:r>
      <w:r w:rsidRPr="009F43DE">
        <w:rPr>
          <w:color w:val="000000"/>
          <w:lang w:val="fr-CH"/>
        </w:rPr>
        <w:t xml:space="preserve">16 de 2003. Les </w:t>
      </w:r>
      <w:r w:rsidR="00EF5391" w:rsidRPr="009F43DE">
        <w:rPr>
          <w:color w:val="000000"/>
          <w:lang w:val="fr-CH"/>
        </w:rPr>
        <w:t xml:space="preserve">principales </w:t>
      </w:r>
      <w:r w:rsidRPr="009F43DE">
        <w:rPr>
          <w:color w:val="000000"/>
          <w:lang w:val="fr-CH"/>
        </w:rPr>
        <w:t xml:space="preserve">modifications </w:t>
      </w:r>
      <w:r w:rsidR="00EF5391" w:rsidRPr="009F43DE">
        <w:rPr>
          <w:color w:val="000000"/>
          <w:lang w:val="fr-CH"/>
        </w:rPr>
        <w:t xml:space="preserve">apportées sont les </w:t>
      </w:r>
      <w:r w:rsidRPr="009F43DE">
        <w:rPr>
          <w:color w:val="000000"/>
          <w:lang w:val="fr-CH"/>
        </w:rPr>
        <w:t>suivant</w:t>
      </w:r>
      <w:r w:rsidR="00EF5391" w:rsidRPr="009F43DE">
        <w:rPr>
          <w:color w:val="000000"/>
          <w:lang w:val="fr-CH"/>
        </w:rPr>
        <w:t>e</w:t>
      </w:r>
      <w:r w:rsidRPr="009F43DE">
        <w:rPr>
          <w:color w:val="000000"/>
          <w:lang w:val="fr-CH"/>
        </w:rPr>
        <w:t xml:space="preserve">s. </w:t>
      </w:r>
    </w:p>
    <w:p w:rsidR="00C77E1E" w:rsidRPr="009F43DE" w:rsidRDefault="00C77E1E" w:rsidP="00C77E1E">
      <w:pPr>
        <w:pStyle w:val="Bullet1G"/>
        <w:numPr>
          <w:ilvl w:val="0"/>
          <w:numId w:val="0"/>
        </w:numPr>
        <w:tabs>
          <w:tab w:val="left" w:pos="1701"/>
        </w:tabs>
        <w:ind w:left="1701" w:hanging="170"/>
        <w:rPr>
          <w:color w:val="000000"/>
          <w:lang w:val="fr-CH"/>
        </w:rPr>
      </w:pPr>
      <w:r w:rsidRPr="009F43DE">
        <w:rPr>
          <w:color w:val="000000"/>
          <w:lang w:val="fr-CH"/>
        </w:rPr>
        <w:t>•</w:t>
      </w:r>
      <w:r w:rsidRPr="009F43DE">
        <w:rPr>
          <w:color w:val="000000"/>
          <w:lang w:val="fr-CH"/>
        </w:rPr>
        <w:tab/>
        <w:t xml:space="preserve">Des dispositions </w:t>
      </w:r>
      <w:r w:rsidR="00EF5391" w:rsidRPr="009F43DE">
        <w:rPr>
          <w:color w:val="000000"/>
          <w:lang w:val="fr-CH"/>
        </w:rPr>
        <w:t xml:space="preserve">de la loi </w:t>
      </w:r>
      <w:r w:rsidR="00F80613">
        <w:rPr>
          <w:lang w:val="fr-CH"/>
        </w:rPr>
        <w:t>n</w:t>
      </w:r>
      <w:r w:rsidR="00F80613" w:rsidRPr="001D6B83">
        <w:rPr>
          <w:vertAlign w:val="superscript"/>
          <w:lang w:val="fr-CH"/>
        </w:rPr>
        <w:t>o</w:t>
      </w:r>
      <w:r w:rsidR="00F80613">
        <w:rPr>
          <w:color w:val="000000"/>
          <w:lang w:val="fr-CH"/>
        </w:rPr>
        <w:t> </w:t>
      </w:r>
      <w:r w:rsidR="00EF5391" w:rsidRPr="009F43DE">
        <w:rPr>
          <w:color w:val="000000"/>
          <w:lang w:val="fr-CH"/>
        </w:rPr>
        <w:t>40 de 1950 prévoient le</w:t>
      </w:r>
      <w:r w:rsidRPr="009F43DE">
        <w:rPr>
          <w:color w:val="000000"/>
          <w:lang w:val="fr-CH"/>
        </w:rPr>
        <w:t xml:space="preserve"> rétablissement de la nationalité et la </w:t>
      </w:r>
      <w:r w:rsidR="00B6106A" w:rsidRPr="009F43DE">
        <w:rPr>
          <w:color w:val="000000"/>
          <w:lang w:val="fr-CH"/>
        </w:rPr>
        <w:t>restriction de la</w:t>
      </w:r>
      <w:r w:rsidRPr="009F43DE">
        <w:rPr>
          <w:color w:val="000000"/>
          <w:lang w:val="fr-CH"/>
        </w:rPr>
        <w:t xml:space="preserve"> double nationalité</w:t>
      </w:r>
      <w:r w:rsidR="0066000A">
        <w:rPr>
          <w:color w:val="000000"/>
          <w:lang w:val="fr-CH"/>
        </w:rPr>
        <w:t>;</w:t>
      </w:r>
    </w:p>
    <w:p w:rsidR="00B6106A" w:rsidRPr="0066000A" w:rsidRDefault="00C77E1E" w:rsidP="00C77E1E">
      <w:pPr>
        <w:pStyle w:val="Bullet1G"/>
        <w:numPr>
          <w:ilvl w:val="0"/>
          <w:numId w:val="0"/>
        </w:numPr>
        <w:tabs>
          <w:tab w:val="left" w:pos="1701"/>
        </w:tabs>
        <w:ind w:left="1701" w:hanging="170"/>
        <w:rPr>
          <w:color w:val="000000"/>
          <w:lang w:val="fr-FR"/>
        </w:rPr>
      </w:pPr>
      <w:r w:rsidRPr="009F43DE">
        <w:rPr>
          <w:color w:val="000000"/>
          <w:lang w:val="fr-CH"/>
        </w:rPr>
        <w:t>•</w:t>
      </w:r>
      <w:r w:rsidRPr="009F43DE">
        <w:rPr>
          <w:color w:val="000000"/>
          <w:lang w:val="fr-CH"/>
        </w:rPr>
        <w:tab/>
      </w:r>
      <w:r w:rsidR="00B6106A" w:rsidRPr="009F43DE">
        <w:rPr>
          <w:color w:val="000000"/>
          <w:lang w:val="fr-CH"/>
        </w:rPr>
        <w:t xml:space="preserve">La loi </w:t>
      </w:r>
      <w:r w:rsidR="00F80613">
        <w:rPr>
          <w:lang w:val="fr-CH"/>
        </w:rPr>
        <w:t>n</w:t>
      </w:r>
      <w:r w:rsidR="00F80613" w:rsidRPr="001D6B83">
        <w:rPr>
          <w:vertAlign w:val="superscript"/>
          <w:lang w:val="fr-CH"/>
        </w:rPr>
        <w:t>o</w:t>
      </w:r>
      <w:r w:rsidR="00F80613">
        <w:rPr>
          <w:color w:val="000000"/>
          <w:lang w:val="fr-CH"/>
        </w:rPr>
        <w:t> </w:t>
      </w:r>
      <w:r w:rsidR="00B6106A" w:rsidRPr="009F43DE">
        <w:rPr>
          <w:color w:val="000000"/>
          <w:lang w:val="fr-CH"/>
        </w:rPr>
        <w:t>43 de 1993 établit un système d</w:t>
      </w:r>
      <w:r w:rsidR="00F8384A" w:rsidRPr="009F43DE">
        <w:rPr>
          <w:color w:val="000000"/>
          <w:lang w:val="fr-CH"/>
        </w:rPr>
        <w:t>’</w:t>
      </w:r>
      <w:r w:rsidRPr="009F43DE">
        <w:rPr>
          <w:color w:val="000000"/>
          <w:lang w:val="fr-CH"/>
        </w:rPr>
        <w:t>enregistrement des citoyens</w:t>
      </w:r>
      <w:r w:rsidR="00B6106A" w:rsidRPr="009F43DE">
        <w:rPr>
          <w:color w:val="000000"/>
          <w:lang w:val="fr-CH"/>
        </w:rPr>
        <w:t xml:space="preserve"> ainsi que</w:t>
      </w:r>
      <w:r w:rsidRPr="009F43DE">
        <w:rPr>
          <w:color w:val="000000"/>
          <w:lang w:val="fr-CH"/>
        </w:rPr>
        <w:t xml:space="preserve"> des personnes </w:t>
      </w:r>
      <w:r w:rsidR="00B6106A" w:rsidRPr="009F43DE">
        <w:rPr>
          <w:color w:val="000000"/>
          <w:lang w:val="fr-CH"/>
        </w:rPr>
        <w:t xml:space="preserve">ayant le statut de </w:t>
      </w:r>
      <w:r w:rsidRPr="009F43DE">
        <w:rPr>
          <w:color w:val="000000"/>
          <w:lang w:val="fr-CH"/>
        </w:rPr>
        <w:t>résidents en vertu de la partie</w:t>
      </w:r>
      <w:r w:rsidR="00B6106A" w:rsidRPr="009F43DE">
        <w:rPr>
          <w:color w:val="000000"/>
          <w:lang w:val="fr-CH"/>
        </w:rPr>
        <w:t> </w:t>
      </w:r>
      <w:r w:rsidRPr="009F43DE">
        <w:rPr>
          <w:color w:val="000000"/>
          <w:lang w:val="fr-CH"/>
        </w:rPr>
        <w:t xml:space="preserve">III de la </w:t>
      </w:r>
      <w:r w:rsidR="00B6106A" w:rsidRPr="009F43DE">
        <w:rPr>
          <w:color w:val="000000"/>
          <w:lang w:val="fr-CH"/>
        </w:rPr>
        <w:t>l</w:t>
      </w:r>
      <w:r w:rsidRPr="009F43DE">
        <w:rPr>
          <w:color w:val="000000"/>
          <w:lang w:val="fr-CH"/>
        </w:rPr>
        <w:t>oi sur l</w:t>
      </w:r>
      <w:r w:rsidR="00F8384A" w:rsidRPr="009F43DE">
        <w:rPr>
          <w:color w:val="000000"/>
          <w:lang w:val="fr-CH"/>
        </w:rPr>
        <w:t>’</w:t>
      </w:r>
      <w:r w:rsidR="00B6106A" w:rsidRPr="009F43DE">
        <w:rPr>
          <w:color w:val="000000"/>
          <w:lang w:val="fr-CH"/>
        </w:rPr>
        <w:t>immigration et l</w:t>
      </w:r>
      <w:r w:rsidR="00F8384A" w:rsidRPr="009F43DE">
        <w:rPr>
          <w:color w:val="000000"/>
          <w:lang w:val="fr-CH"/>
        </w:rPr>
        <w:t>’</w:t>
      </w:r>
      <w:r w:rsidR="00B6106A" w:rsidRPr="009F43DE">
        <w:rPr>
          <w:color w:val="000000"/>
          <w:lang w:val="fr-CH"/>
        </w:rPr>
        <w:t>émigration</w:t>
      </w:r>
      <w:r w:rsidR="0066000A">
        <w:rPr>
          <w:color w:val="000000"/>
          <w:lang w:val="fr-CH"/>
        </w:rPr>
        <w:t>;</w:t>
      </w:r>
    </w:p>
    <w:p w:rsidR="00C77E1E" w:rsidRPr="009F43DE" w:rsidRDefault="00C77E1E" w:rsidP="00C77E1E">
      <w:pPr>
        <w:pStyle w:val="Bullet1G"/>
        <w:numPr>
          <w:ilvl w:val="0"/>
          <w:numId w:val="0"/>
        </w:numPr>
        <w:tabs>
          <w:tab w:val="left" w:pos="1701"/>
        </w:tabs>
        <w:ind w:left="1701" w:hanging="170"/>
        <w:rPr>
          <w:color w:val="000000"/>
          <w:lang w:val="fr-CH"/>
        </w:rPr>
      </w:pPr>
      <w:r w:rsidRPr="009F43DE">
        <w:rPr>
          <w:color w:val="000000"/>
          <w:lang w:val="fr-CH"/>
        </w:rPr>
        <w:t>•</w:t>
      </w:r>
      <w:r w:rsidRPr="009F43DE">
        <w:rPr>
          <w:color w:val="000000"/>
          <w:lang w:val="fr-CH"/>
        </w:rPr>
        <w:tab/>
        <w:t xml:space="preserve">Auparavant, le droit à la citoyenneté par filiation était limité aux seuls descendants du père. Avec la </w:t>
      </w:r>
      <w:r w:rsidR="00EF5391" w:rsidRPr="009F43DE">
        <w:rPr>
          <w:color w:val="000000"/>
          <w:lang w:val="fr-CH"/>
        </w:rPr>
        <w:t>l</w:t>
      </w:r>
      <w:r w:rsidRPr="009F43DE">
        <w:rPr>
          <w:color w:val="000000"/>
          <w:lang w:val="fr-CH"/>
        </w:rPr>
        <w:t xml:space="preserve">oi </w:t>
      </w:r>
      <w:r w:rsidR="00EF5391" w:rsidRPr="009F43DE">
        <w:rPr>
          <w:color w:val="000000"/>
          <w:lang w:val="fr-CH"/>
        </w:rPr>
        <w:t xml:space="preserve">modificative </w:t>
      </w:r>
      <w:r w:rsidR="00F80613">
        <w:rPr>
          <w:lang w:val="fr-CH"/>
        </w:rPr>
        <w:t>n</w:t>
      </w:r>
      <w:r w:rsidR="00F80613" w:rsidRPr="001D6B83">
        <w:rPr>
          <w:vertAlign w:val="superscript"/>
          <w:lang w:val="fr-CH"/>
        </w:rPr>
        <w:t>o</w:t>
      </w:r>
      <w:r w:rsidR="00F80613">
        <w:rPr>
          <w:color w:val="000000"/>
          <w:lang w:val="fr-CH"/>
        </w:rPr>
        <w:t> </w:t>
      </w:r>
      <w:r w:rsidRPr="009F43DE">
        <w:rPr>
          <w:color w:val="000000"/>
          <w:lang w:val="fr-CH"/>
        </w:rPr>
        <w:t>43 de 2003</w:t>
      </w:r>
      <w:r w:rsidR="00B6106A" w:rsidRPr="009F43DE">
        <w:rPr>
          <w:color w:val="000000"/>
          <w:lang w:val="fr-CH"/>
        </w:rPr>
        <w:t>,</w:t>
      </w:r>
      <w:r w:rsidRPr="009F43DE">
        <w:rPr>
          <w:color w:val="000000"/>
          <w:lang w:val="fr-CH"/>
        </w:rPr>
        <w:t xml:space="preserve"> il a été étendu aux descendants de la mère avec effet à la date </w:t>
      </w:r>
      <w:r w:rsidR="00B6106A" w:rsidRPr="009F43DE">
        <w:rPr>
          <w:color w:val="000000"/>
          <w:lang w:val="fr-CH"/>
        </w:rPr>
        <w:t>de</w:t>
      </w:r>
      <w:r w:rsidRPr="009F43DE">
        <w:rPr>
          <w:color w:val="000000"/>
          <w:lang w:val="fr-CH"/>
        </w:rPr>
        <w:t xml:space="preserve"> la </w:t>
      </w:r>
      <w:r w:rsidR="00B6106A" w:rsidRPr="009F43DE">
        <w:rPr>
          <w:color w:val="000000"/>
          <w:lang w:val="fr-CH"/>
        </w:rPr>
        <w:t>l</w:t>
      </w:r>
      <w:r w:rsidRPr="009F43DE">
        <w:rPr>
          <w:color w:val="000000"/>
          <w:lang w:val="fr-CH"/>
        </w:rPr>
        <w:t>oi sur la citoyenneté (15</w:t>
      </w:r>
      <w:r w:rsidR="0066000A">
        <w:rPr>
          <w:color w:val="000000"/>
          <w:lang w:val="fr-CH"/>
        </w:rPr>
        <w:t xml:space="preserve"> novembre </w:t>
      </w:r>
      <w:r w:rsidRPr="009F43DE">
        <w:rPr>
          <w:color w:val="000000"/>
          <w:lang w:val="fr-CH"/>
        </w:rPr>
        <w:t>1948)</w:t>
      </w:r>
      <w:r w:rsidR="00B6106A" w:rsidRPr="009F43DE">
        <w:rPr>
          <w:color w:val="000000"/>
          <w:lang w:val="fr-CH"/>
        </w:rPr>
        <w:t>.</w:t>
      </w:r>
    </w:p>
    <w:p w:rsidR="00C77E1E" w:rsidRPr="009F43DE" w:rsidRDefault="00C77E1E" w:rsidP="00C77E1E">
      <w:pPr>
        <w:pStyle w:val="SingleTxtG"/>
        <w:rPr>
          <w:color w:val="000000"/>
          <w:lang w:val="fr-CH"/>
        </w:rPr>
      </w:pPr>
      <w:r w:rsidRPr="009F43DE">
        <w:rPr>
          <w:color w:val="000000"/>
          <w:lang w:val="fr-CH"/>
        </w:rPr>
        <w:t>48.</w:t>
      </w:r>
      <w:r w:rsidRPr="009F43DE">
        <w:rPr>
          <w:color w:val="000000"/>
          <w:lang w:val="fr-CH"/>
        </w:rPr>
        <w:tab/>
        <w:t xml:space="preserve">Le Gouvernement </w:t>
      </w:r>
      <w:r w:rsidR="00B6106A" w:rsidRPr="009F43DE">
        <w:rPr>
          <w:color w:val="000000"/>
          <w:lang w:val="fr-CH"/>
        </w:rPr>
        <w:t xml:space="preserve">sri-lankais </w:t>
      </w:r>
      <w:r w:rsidRPr="009F43DE">
        <w:rPr>
          <w:color w:val="000000"/>
          <w:lang w:val="fr-CH"/>
        </w:rPr>
        <w:t xml:space="preserve">a </w:t>
      </w:r>
      <w:r w:rsidR="007574C7" w:rsidRPr="009F43DE">
        <w:rPr>
          <w:color w:val="000000"/>
          <w:lang w:val="fr-CH"/>
        </w:rPr>
        <w:t>œuvré</w:t>
      </w:r>
      <w:r w:rsidR="00F1176B" w:rsidRPr="009F43DE">
        <w:rPr>
          <w:color w:val="000000"/>
          <w:lang w:val="fr-CH"/>
        </w:rPr>
        <w:t xml:space="preserve"> en faveur de l</w:t>
      </w:r>
      <w:r w:rsidR="00F8384A" w:rsidRPr="009F43DE">
        <w:rPr>
          <w:color w:val="000000"/>
          <w:lang w:val="fr-CH"/>
        </w:rPr>
        <w:t>’</w:t>
      </w:r>
      <w:r w:rsidR="00F1176B" w:rsidRPr="009F43DE">
        <w:rPr>
          <w:color w:val="000000"/>
          <w:lang w:val="fr-CH"/>
        </w:rPr>
        <w:t>adoption d</w:t>
      </w:r>
      <w:r w:rsidR="00F8384A" w:rsidRPr="009F43DE">
        <w:rPr>
          <w:color w:val="000000"/>
          <w:lang w:val="fr-CH"/>
        </w:rPr>
        <w:t>’</w:t>
      </w:r>
      <w:r w:rsidRPr="009F43DE">
        <w:rPr>
          <w:color w:val="000000"/>
          <w:lang w:val="fr-CH"/>
        </w:rPr>
        <w:t xml:space="preserve">une loi sur la </w:t>
      </w:r>
      <w:r w:rsidR="004E58EA" w:rsidRPr="009F43DE">
        <w:rPr>
          <w:color w:val="000000"/>
          <w:lang w:val="fr-CH"/>
        </w:rPr>
        <w:t xml:space="preserve">citoyenneté </w:t>
      </w:r>
      <w:r w:rsidRPr="009F43DE">
        <w:rPr>
          <w:color w:val="000000"/>
          <w:lang w:val="fr-CH"/>
        </w:rPr>
        <w:t>des personnes d</w:t>
      </w:r>
      <w:r w:rsidR="00F8384A" w:rsidRPr="009F43DE">
        <w:rPr>
          <w:color w:val="000000"/>
          <w:lang w:val="fr-CH"/>
        </w:rPr>
        <w:t>’</w:t>
      </w:r>
      <w:r w:rsidRPr="009F43DE">
        <w:rPr>
          <w:color w:val="000000"/>
          <w:lang w:val="fr-CH"/>
        </w:rPr>
        <w:t xml:space="preserve">origine indienne (loi </w:t>
      </w:r>
      <w:r w:rsidR="00F80613">
        <w:rPr>
          <w:lang w:val="fr-CH"/>
        </w:rPr>
        <w:t>n</w:t>
      </w:r>
      <w:r w:rsidR="00F80613" w:rsidRPr="001D6B83">
        <w:rPr>
          <w:vertAlign w:val="superscript"/>
          <w:lang w:val="fr-CH"/>
        </w:rPr>
        <w:t>o</w:t>
      </w:r>
      <w:r w:rsidR="00B6106A" w:rsidRPr="009F43DE">
        <w:rPr>
          <w:color w:val="000000"/>
          <w:lang w:val="fr-CH"/>
        </w:rPr>
        <w:t> </w:t>
      </w:r>
      <w:r w:rsidRPr="009F43DE">
        <w:rPr>
          <w:color w:val="000000"/>
          <w:lang w:val="fr-CH"/>
        </w:rPr>
        <w:t xml:space="preserve">35 de 2003 portant modification de la loi sur la </w:t>
      </w:r>
      <w:r w:rsidR="00A526EF" w:rsidRPr="009F43DE">
        <w:rPr>
          <w:color w:val="000000"/>
          <w:lang w:val="fr-CH"/>
        </w:rPr>
        <w:t>naturalisation</w:t>
      </w:r>
      <w:r w:rsidRPr="009F43DE">
        <w:rPr>
          <w:color w:val="000000"/>
          <w:lang w:val="fr-CH"/>
        </w:rPr>
        <w:t xml:space="preserve"> des personnes d</w:t>
      </w:r>
      <w:r w:rsidR="00F8384A" w:rsidRPr="009F43DE">
        <w:rPr>
          <w:color w:val="000000"/>
          <w:lang w:val="fr-CH"/>
        </w:rPr>
        <w:t>’</w:t>
      </w:r>
      <w:r w:rsidRPr="009F43DE">
        <w:rPr>
          <w:color w:val="000000"/>
          <w:lang w:val="fr-CH"/>
        </w:rPr>
        <w:t xml:space="preserve">origine indienne). En vertu de cette loi, quiconque est </w:t>
      </w:r>
      <w:r w:rsidR="004E58EA" w:rsidRPr="009F43DE">
        <w:rPr>
          <w:color w:val="000000"/>
          <w:lang w:val="fr-CH"/>
        </w:rPr>
        <w:t>un rés</w:t>
      </w:r>
      <w:r w:rsidRPr="009F43DE">
        <w:rPr>
          <w:color w:val="000000"/>
          <w:lang w:val="fr-CH"/>
        </w:rPr>
        <w:t xml:space="preserve">ident permanent de Sri Lanka depuis le 30 octobre 1964, ou est </w:t>
      </w:r>
      <w:r w:rsidR="00B6106A" w:rsidRPr="009F43DE">
        <w:rPr>
          <w:color w:val="000000"/>
          <w:lang w:val="fr-CH"/>
        </w:rPr>
        <w:t xml:space="preserve">un </w:t>
      </w:r>
      <w:r w:rsidRPr="009F43DE">
        <w:rPr>
          <w:color w:val="000000"/>
          <w:lang w:val="fr-CH"/>
        </w:rPr>
        <w:t>descendant d</w:t>
      </w:r>
      <w:r w:rsidR="00F8384A" w:rsidRPr="009F43DE">
        <w:rPr>
          <w:color w:val="000000"/>
          <w:lang w:val="fr-CH"/>
        </w:rPr>
        <w:t>’</w:t>
      </w:r>
      <w:r w:rsidR="004E58EA" w:rsidRPr="009F43DE">
        <w:rPr>
          <w:color w:val="000000"/>
          <w:lang w:val="fr-CH"/>
        </w:rPr>
        <w:t>un</w:t>
      </w:r>
      <w:r w:rsidRPr="009F43DE">
        <w:rPr>
          <w:color w:val="000000"/>
          <w:lang w:val="fr-CH"/>
        </w:rPr>
        <w:t xml:space="preserve"> résident permanent depuis cette même date, se voit octroyer le statut de citoyen de Sri Lanka et jouit de tous les droits et des privilèges que la loi accorde à tout citoyen sri-lankais. Actuellement, il n</w:t>
      </w:r>
      <w:r w:rsidR="00F8384A" w:rsidRPr="009F43DE">
        <w:rPr>
          <w:color w:val="000000"/>
          <w:lang w:val="fr-CH"/>
        </w:rPr>
        <w:t>’</w:t>
      </w:r>
      <w:r w:rsidRPr="009F43DE">
        <w:rPr>
          <w:color w:val="000000"/>
          <w:lang w:val="fr-CH"/>
        </w:rPr>
        <w:t>y a pas d</w:t>
      </w:r>
      <w:r w:rsidR="00F8384A" w:rsidRPr="009F43DE">
        <w:rPr>
          <w:color w:val="000000"/>
          <w:lang w:val="fr-CH"/>
        </w:rPr>
        <w:t>’</w:t>
      </w:r>
      <w:r w:rsidRPr="009F43DE">
        <w:rPr>
          <w:color w:val="000000"/>
          <w:lang w:val="fr-CH"/>
        </w:rPr>
        <w:t>apatride au Sri Lanka</w:t>
      </w:r>
      <w:r w:rsidRPr="00F80613">
        <w:rPr>
          <w:rStyle w:val="FootnoteReference"/>
        </w:rPr>
        <w:footnoteReference w:id="6"/>
      </w:r>
      <w:r w:rsidR="00F80613">
        <w:rPr>
          <w:color w:val="000000"/>
          <w:lang w:val="fr-CH"/>
        </w:rPr>
        <w:t>.</w:t>
      </w:r>
    </w:p>
    <w:p w:rsidR="00C77E1E" w:rsidRPr="009F43DE" w:rsidRDefault="00C77E1E" w:rsidP="0066000A">
      <w:pPr>
        <w:pStyle w:val="H23G"/>
        <w:rPr>
          <w:lang w:val="fr-CH"/>
        </w:rPr>
      </w:pPr>
      <w:r w:rsidRPr="009F43DE">
        <w:rPr>
          <w:rFonts w:eastAsia="Calibri"/>
          <w:lang w:val="fr-CH"/>
        </w:rPr>
        <w:tab/>
      </w:r>
      <w:r w:rsidRPr="009F43DE">
        <w:rPr>
          <w:rFonts w:eastAsia="Calibri"/>
          <w:lang w:val="fr-CH"/>
        </w:rPr>
        <w:tab/>
      </w:r>
      <w:r w:rsidR="00A526EF" w:rsidRPr="009F43DE">
        <w:rPr>
          <w:rFonts w:eastAsia="Calibri"/>
          <w:lang w:val="fr-CH"/>
        </w:rPr>
        <w:t>P</w:t>
      </w:r>
      <w:r w:rsidRPr="009F43DE">
        <w:rPr>
          <w:rFonts w:eastAsia="Calibri"/>
          <w:lang w:val="fr-CH"/>
        </w:rPr>
        <w:t xml:space="preserve">olitique nationale sur </w:t>
      </w:r>
      <w:r w:rsidR="00A526EF" w:rsidRPr="009F43DE">
        <w:rPr>
          <w:rFonts w:eastAsia="Calibri"/>
          <w:lang w:val="fr-CH"/>
        </w:rPr>
        <w:t xml:space="preserve">le handicap </w:t>
      </w:r>
      <w:r w:rsidRPr="009F43DE">
        <w:rPr>
          <w:rFonts w:eastAsia="Calibri"/>
          <w:lang w:val="fr-CH"/>
        </w:rPr>
        <w:t xml:space="preserve">et </w:t>
      </w:r>
      <w:r w:rsidR="00A526EF" w:rsidRPr="009F43DE">
        <w:rPr>
          <w:rFonts w:eastAsia="Calibri"/>
          <w:lang w:val="fr-CH"/>
        </w:rPr>
        <w:t>redoublement</w:t>
      </w:r>
      <w:r w:rsidRPr="009F43DE">
        <w:rPr>
          <w:rFonts w:eastAsia="Calibri"/>
          <w:lang w:val="fr-CH"/>
        </w:rPr>
        <w:t xml:space="preserve"> des efforts pour favoriser l</w:t>
      </w:r>
      <w:r w:rsidR="00F8384A" w:rsidRPr="009F43DE">
        <w:rPr>
          <w:rFonts w:eastAsia="Calibri"/>
          <w:lang w:val="fr-CH"/>
        </w:rPr>
        <w:t>’</w:t>
      </w:r>
      <w:r w:rsidRPr="009F43DE">
        <w:rPr>
          <w:rFonts w:eastAsia="Calibri"/>
          <w:lang w:val="fr-CH"/>
        </w:rPr>
        <w:t xml:space="preserve">entrée sur le marché du travail des personnes handicapées </w:t>
      </w:r>
      <w:r w:rsidR="00F80613">
        <w:rPr>
          <w:lang w:val="fr-CH"/>
        </w:rPr>
        <w:t>(</w:t>
      </w:r>
      <w:r w:rsidR="004E58EA" w:rsidRPr="009F43DE">
        <w:rPr>
          <w:lang w:val="fr-CH"/>
        </w:rPr>
        <w:t>p</w:t>
      </w:r>
      <w:r w:rsidRPr="009F43DE">
        <w:rPr>
          <w:lang w:val="fr-CH"/>
        </w:rPr>
        <w:t>ar</w:t>
      </w:r>
      <w:r w:rsidR="00F80613">
        <w:rPr>
          <w:lang w:val="fr-CH"/>
        </w:rPr>
        <w:t xml:space="preserve">. </w:t>
      </w:r>
      <w:r w:rsidRPr="009F43DE">
        <w:rPr>
          <w:lang w:val="fr-CH"/>
        </w:rPr>
        <w:t>14</w:t>
      </w:r>
      <w:r w:rsidR="00E52A1B">
        <w:rPr>
          <w:lang w:val="fr-CH"/>
        </w:rPr>
        <w:t>)</w:t>
      </w:r>
    </w:p>
    <w:p w:rsidR="00C77E1E" w:rsidRPr="009F43DE" w:rsidRDefault="00C77E1E" w:rsidP="00C77E1E">
      <w:pPr>
        <w:pStyle w:val="SingleTxtG"/>
        <w:rPr>
          <w:color w:val="000000"/>
          <w:lang w:val="fr-CH"/>
        </w:rPr>
      </w:pPr>
      <w:r w:rsidRPr="009F43DE">
        <w:rPr>
          <w:color w:val="000000"/>
          <w:lang w:val="fr-CH"/>
        </w:rPr>
        <w:t>49.</w:t>
      </w:r>
      <w:r w:rsidRPr="009F43DE">
        <w:rPr>
          <w:color w:val="000000"/>
          <w:lang w:val="fr-CH"/>
        </w:rPr>
        <w:tab/>
        <w:t>Si l</w:t>
      </w:r>
      <w:r w:rsidR="00F8384A" w:rsidRPr="009F43DE">
        <w:rPr>
          <w:color w:val="000000"/>
          <w:lang w:val="fr-CH"/>
        </w:rPr>
        <w:t>’</w:t>
      </w:r>
      <w:r w:rsidRPr="009F43DE">
        <w:rPr>
          <w:color w:val="000000"/>
          <w:lang w:val="fr-CH"/>
        </w:rPr>
        <w:t>article</w:t>
      </w:r>
      <w:r w:rsidR="00A526EF" w:rsidRPr="009F43DE">
        <w:rPr>
          <w:color w:val="000000"/>
          <w:lang w:val="fr-CH"/>
        </w:rPr>
        <w:t> </w:t>
      </w:r>
      <w:r w:rsidRPr="009F43DE">
        <w:rPr>
          <w:color w:val="000000"/>
          <w:lang w:val="fr-CH"/>
        </w:rPr>
        <w:t xml:space="preserve">12 </w:t>
      </w:r>
      <w:r w:rsidR="00A526EF" w:rsidRPr="009F43DE">
        <w:rPr>
          <w:color w:val="000000"/>
          <w:lang w:val="fr-CH"/>
        </w:rPr>
        <w:t xml:space="preserve">de la Constitution </w:t>
      </w:r>
      <w:r w:rsidRPr="009F43DE">
        <w:rPr>
          <w:color w:val="000000"/>
          <w:lang w:val="fr-CH"/>
        </w:rPr>
        <w:t>garantit le droit à l</w:t>
      </w:r>
      <w:r w:rsidR="00F8384A" w:rsidRPr="009F43DE">
        <w:rPr>
          <w:color w:val="000000"/>
          <w:lang w:val="fr-CH"/>
        </w:rPr>
        <w:t>’</w:t>
      </w:r>
      <w:r w:rsidRPr="009F43DE">
        <w:rPr>
          <w:color w:val="000000"/>
          <w:lang w:val="fr-CH"/>
        </w:rPr>
        <w:t>égalité, l</w:t>
      </w:r>
      <w:r w:rsidR="00A526EF" w:rsidRPr="009F43DE">
        <w:rPr>
          <w:color w:val="000000"/>
          <w:lang w:val="fr-CH"/>
        </w:rPr>
        <w:t>e paragraphe 4</w:t>
      </w:r>
      <w:r w:rsidRPr="009F43DE">
        <w:rPr>
          <w:color w:val="000000"/>
          <w:lang w:val="fr-CH"/>
        </w:rPr>
        <w:t xml:space="preserve"> de </w:t>
      </w:r>
      <w:r w:rsidR="00A526EF" w:rsidRPr="009F43DE">
        <w:rPr>
          <w:color w:val="000000"/>
          <w:lang w:val="fr-CH"/>
        </w:rPr>
        <w:t>cet article p</w:t>
      </w:r>
      <w:r w:rsidRPr="009F43DE">
        <w:rPr>
          <w:color w:val="000000"/>
          <w:lang w:val="fr-CH"/>
        </w:rPr>
        <w:t xml:space="preserve">révoit </w:t>
      </w:r>
      <w:r w:rsidR="00A526EF" w:rsidRPr="009F43DE">
        <w:rPr>
          <w:color w:val="000000"/>
          <w:lang w:val="fr-CH"/>
        </w:rPr>
        <w:t>expressément</w:t>
      </w:r>
      <w:r w:rsidRPr="009F43DE">
        <w:rPr>
          <w:color w:val="000000"/>
          <w:lang w:val="fr-CH"/>
        </w:rPr>
        <w:t xml:space="preserve"> que </w:t>
      </w:r>
      <w:r w:rsidR="00F8384A" w:rsidRPr="009F43DE">
        <w:rPr>
          <w:color w:val="000000"/>
          <w:lang w:val="fr-CH"/>
        </w:rPr>
        <w:t>«</w:t>
      </w:r>
      <w:r w:rsidR="00B3602C" w:rsidRPr="009F43DE">
        <w:rPr>
          <w:lang w:val="fr-CH"/>
        </w:rPr>
        <w:t xml:space="preserve">rien dans le présent article ne saurait faire obstacle à une disposition spéciale du droit ou </w:t>
      </w:r>
      <w:r w:rsidR="00F1176B" w:rsidRPr="009F43DE">
        <w:rPr>
          <w:lang w:val="fr-CH"/>
        </w:rPr>
        <w:t xml:space="preserve">à </w:t>
      </w:r>
      <w:r w:rsidR="00B3602C" w:rsidRPr="009F43DE">
        <w:rPr>
          <w:lang w:val="fr-CH"/>
        </w:rPr>
        <w:t>une législation s</w:t>
      </w:r>
      <w:r w:rsidR="00C16CCB" w:rsidRPr="009F43DE">
        <w:rPr>
          <w:lang w:val="fr-CH"/>
        </w:rPr>
        <w:t>econdaire</w:t>
      </w:r>
      <w:r w:rsidR="00B3602C" w:rsidRPr="009F43DE">
        <w:rPr>
          <w:lang w:val="fr-CH"/>
        </w:rPr>
        <w:t xml:space="preserve"> ou encore à une action de l</w:t>
      </w:r>
      <w:r w:rsidR="00F8384A" w:rsidRPr="009F43DE">
        <w:rPr>
          <w:lang w:val="fr-CH"/>
        </w:rPr>
        <w:t>’</w:t>
      </w:r>
      <w:r w:rsidR="00B3602C" w:rsidRPr="009F43DE">
        <w:rPr>
          <w:lang w:val="fr-CH"/>
        </w:rPr>
        <w:t>exécutif visant à promouvoir le progrès des femmes, des enfants ou des personnes handicapées</w:t>
      </w:r>
      <w:r w:rsidR="00F8384A" w:rsidRPr="009F43DE">
        <w:rPr>
          <w:color w:val="000000"/>
          <w:lang w:val="fr-CH"/>
        </w:rPr>
        <w:t>»</w:t>
      </w:r>
      <w:r w:rsidRPr="009F43DE">
        <w:rPr>
          <w:color w:val="000000"/>
          <w:lang w:val="fr-CH"/>
        </w:rPr>
        <w:t xml:space="preserve">. Le Gouvernement </w:t>
      </w:r>
      <w:r w:rsidR="00B3602C" w:rsidRPr="009F43DE">
        <w:rPr>
          <w:color w:val="000000"/>
          <w:lang w:val="fr-CH"/>
        </w:rPr>
        <w:t xml:space="preserve">sri-lankais </w:t>
      </w:r>
      <w:r w:rsidRPr="009F43DE">
        <w:rPr>
          <w:color w:val="000000"/>
          <w:lang w:val="fr-CH"/>
        </w:rPr>
        <w:t>a continué de favoriser le droit au travail et à l</w:t>
      </w:r>
      <w:r w:rsidR="00F8384A" w:rsidRPr="009F43DE">
        <w:rPr>
          <w:color w:val="000000"/>
          <w:lang w:val="fr-CH"/>
        </w:rPr>
        <w:t>’</w:t>
      </w:r>
      <w:r w:rsidRPr="009F43DE">
        <w:rPr>
          <w:color w:val="000000"/>
          <w:lang w:val="fr-CH"/>
        </w:rPr>
        <w:t xml:space="preserve">emploi des personnes handicapées en </w:t>
      </w:r>
      <w:r w:rsidR="00B3602C" w:rsidRPr="009F43DE">
        <w:rPr>
          <w:color w:val="000000"/>
          <w:lang w:val="fr-CH"/>
        </w:rPr>
        <w:t>publiant</w:t>
      </w:r>
      <w:r w:rsidRPr="009F43DE">
        <w:rPr>
          <w:color w:val="000000"/>
          <w:lang w:val="fr-CH"/>
        </w:rPr>
        <w:t xml:space="preserve"> et </w:t>
      </w:r>
      <w:r w:rsidR="00B3602C" w:rsidRPr="009F43DE">
        <w:rPr>
          <w:color w:val="000000"/>
          <w:lang w:val="fr-CH"/>
        </w:rPr>
        <w:t xml:space="preserve">en </w:t>
      </w:r>
      <w:r w:rsidRPr="009F43DE">
        <w:rPr>
          <w:color w:val="000000"/>
          <w:lang w:val="fr-CH"/>
        </w:rPr>
        <w:t>renouvelant des circulaires d</w:t>
      </w:r>
      <w:r w:rsidR="00B3602C" w:rsidRPr="009F43DE">
        <w:rPr>
          <w:color w:val="000000"/>
          <w:lang w:val="fr-CH"/>
        </w:rPr>
        <w:t>e l</w:t>
      </w:r>
      <w:r w:rsidR="00F8384A" w:rsidRPr="009F43DE">
        <w:rPr>
          <w:color w:val="000000"/>
          <w:lang w:val="fr-CH"/>
        </w:rPr>
        <w:t>’</w:t>
      </w:r>
      <w:r w:rsidRPr="009F43DE">
        <w:rPr>
          <w:color w:val="000000"/>
          <w:lang w:val="fr-CH"/>
        </w:rPr>
        <w:t xml:space="preserve">administration publique </w:t>
      </w:r>
      <w:r w:rsidR="00B3602C" w:rsidRPr="009F43DE">
        <w:rPr>
          <w:color w:val="000000"/>
          <w:lang w:val="fr-CH"/>
        </w:rPr>
        <w:t>réservant</w:t>
      </w:r>
      <w:r w:rsidRPr="009F43DE">
        <w:rPr>
          <w:color w:val="000000"/>
          <w:lang w:val="fr-CH"/>
        </w:rPr>
        <w:t xml:space="preserve"> 3</w:t>
      </w:r>
      <w:r w:rsidR="00B3602C" w:rsidRPr="009F43DE">
        <w:rPr>
          <w:color w:val="000000"/>
          <w:lang w:val="fr-CH"/>
        </w:rPr>
        <w:t> </w:t>
      </w:r>
      <w:r w:rsidRPr="009F43DE">
        <w:rPr>
          <w:color w:val="000000"/>
          <w:lang w:val="fr-CH"/>
        </w:rPr>
        <w:t>% des offres d</w:t>
      </w:r>
      <w:r w:rsidR="00F8384A" w:rsidRPr="009F43DE">
        <w:rPr>
          <w:color w:val="000000"/>
          <w:lang w:val="fr-CH"/>
        </w:rPr>
        <w:t>’</w:t>
      </w:r>
      <w:r w:rsidRPr="009F43DE">
        <w:rPr>
          <w:color w:val="000000"/>
          <w:lang w:val="fr-CH"/>
        </w:rPr>
        <w:t xml:space="preserve">emploi aux personnes handicapées. </w:t>
      </w:r>
    </w:p>
    <w:p w:rsidR="00C77E1E" w:rsidRPr="009F43DE" w:rsidRDefault="00C77E1E" w:rsidP="00C77E1E">
      <w:pPr>
        <w:pStyle w:val="SingleTxtG"/>
        <w:rPr>
          <w:color w:val="000000"/>
          <w:lang w:val="fr-CH"/>
        </w:rPr>
      </w:pPr>
      <w:r w:rsidRPr="009F43DE">
        <w:rPr>
          <w:lang w:val="fr-CH"/>
        </w:rPr>
        <w:t>50.</w:t>
      </w:r>
      <w:r w:rsidRPr="009F43DE">
        <w:rPr>
          <w:lang w:val="fr-CH"/>
        </w:rPr>
        <w:tab/>
      </w:r>
      <w:r w:rsidRPr="009F43DE">
        <w:rPr>
          <w:color w:val="000000"/>
          <w:lang w:val="fr-CH"/>
        </w:rPr>
        <w:t xml:space="preserve">La </w:t>
      </w:r>
      <w:r w:rsidR="00B3602C" w:rsidRPr="009F43DE">
        <w:rPr>
          <w:color w:val="000000"/>
          <w:lang w:val="fr-CH"/>
        </w:rPr>
        <w:t>l</w:t>
      </w:r>
      <w:r w:rsidRPr="009F43DE">
        <w:rPr>
          <w:color w:val="000000"/>
          <w:lang w:val="fr-CH"/>
        </w:rPr>
        <w:t xml:space="preserve">oi </w:t>
      </w:r>
      <w:r w:rsidR="00F80613">
        <w:rPr>
          <w:lang w:val="fr-CH"/>
        </w:rPr>
        <w:t>n</w:t>
      </w:r>
      <w:r w:rsidR="00F80613" w:rsidRPr="001D6B83">
        <w:rPr>
          <w:vertAlign w:val="superscript"/>
          <w:lang w:val="fr-CH"/>
        </w:rPr>
        <w:t>o</w:t>
      </w:r>
      <w:r w:rsidR="00B3602C" w:rsidRPr="009F43DE">
        <w:rPr>
          <w:color w:val="000000"/>
          <w:lang w:val="fr-CH"/>
        </w:rPr>
        <w:t> </w:t>
      </w:r>
      <w:r w:rsidRPr="009F43DE">
        <w:rPr>
          <w:color w:val="000000"/>
          <w:lang w:val="fr-CH"/>
        </w:rPr>
        <w:t xml:space="preserve">28 de 1996 relative à la protection des droits des personnes </w:t>
      </w:r>
      <w:r w:rsidR="00B3602C" w:rsidRPr="009F43DE">
        <w:rPr>
          <w:color w:val="000000"/>
          <w:lang w:val="fr-CH"/>
        </w:rPr>
        <w:t>handicapées</w:t>
      </w:r>
      <w:r w:rsidRPr="009F43DE">
        <w:rPr>
          <w:color w:val="000000"/>
          <w:lang w:val="fr-CH"/>
        </w:rPr>
        <w:t xml:space="preserve"> a établi un </w:t>
      </w:r>
      <w:r w:rsidR="00B3602C" w:rsidRPr="009F43DE">
        <w:rPr>
          <w:color w:val="000000"/>
          <w:lang w:val="fr-CH"/>
        </w:rPr>
        <w:t>C</w:t>
      </w:r>
      <w:r w:rsidRPr="009F43DE">
        <w:rPr>
          <w:color w:val="000000"/>
          <w:lang w:val="fr-CH"/>
        </w:rPr>
        <w:t xml:space="preserve">onseil national pour les personnes </w:t>
      </w:r>
      <w:r w:rsidR="00B3602C" w:rsidRPr="009F43DE">
        <w:rPr>
          <w:color w:val="000000"/>
          <w:lang w:val="fr-CH"/>
        </w:rPr>
        <w:t>handicapées</w:t>
      </w:r>
      <w:r w:rsidRPr="009F43DE">
        <w:rPr>
          <w:color w:val="000000"/>
          <w:lang w:val="fr-CH"/>
        </w:rPr>
        <w:t xml:space="preserve">. </w:t>
      </w:r>
      <w:r w:rsidR="00B3602C" w:rsidRPr="009F43DE">
        <w:rPr>
          <w:color w:val="000000"/>
          <w:lang w:val="fr-CH"/>
        </w:rPr>
        <w:t>Parmi les membres de ce</w:t>
      </w:r>
      <w:r w:rsidRPr="009F43DE">
        <w:rPr>
          <w:color w:val="000000"/>
          <w:lang w:val="fr-CH"/>
        </w:rPr>
        <w:t xml:space="preserve"> </w:t>
      </w:r>
      <w:r w:rsidR="00B3602C" w:rsidRPr="009F43DE">
        <w:rPr>
          <w:color w:val="000000"/>
          <w:lang w:val="fr-CH"/>
        </w:rPr>
        <w:t>C</w:t>
      </w:r>
      <w:r w:rsidRPr="009F43DE">
        <w:rPr>
          <w:color w:val="000000"/>
          <w:lang w:val="fr-CH"/>
        </w:rPr>
        <w:t xml:space="preserve">onseil </w:t>
      </w:r>
      <w:r w:rsidR="00B3602C" w:rsidRPr="009F43DE">
        <w:rPr>
          <w:color w:val="000000"/>
          <w:lang w:val="fr-CH"/>
        </w:rPr>
        <w:t>figurent</w:t>
      </w:r>
      <w:r w:rsidRPr="009F43DE">
        <w:rPr>
          <w:color w:val="000000"/>
          <w:lang w:val="fr-CH"/>
        </w:rPr>
        <w:t xml:space="preserve"> </w:t>
      </w:r>
      <w:r w:rsidR="00B3602C" w:rsidRPr="009F43DE">
        <w:rPr>
          <w:color w:val="000000"/>
          <w:lang w:val="fr-CH"/>
        </w:rPr>
        <w:t>notamment des</w:t>
      </w:r>
      <w:r w:rsidRPr="009F43DE">
        <w:rPr>
          <w:color w:val="000000"/>
          <w:lang w:val="fr-CH"/>
        </w:rPr>
        <w:t xml:space="preserve"> membres représentant des personnes handicapées et </w:t>
      </w:r>
      <w:r w:rsidR="00B3602C" w:rsidRPr="009F43DE">
        <w:rPr>
          <w:color w:val="000000"/>
          <w:lang w:val="fr-CH"/>
        </w:rPr>
        <w:t xml:space="preserve">des </w:t>
      </w:r>
      <w:r w:rsidRPr="009F43DE">
        <w:rPr>
          <w:color w:val="000000"/>
          <w:lang w:val="fr-CH"/>
        </w:rPr>
        <w:t xml:space="preserve">organismes </w:t>
      </w:r>
      <w:r w:rsidR="00F1176B" w:rsidRPr="009F43DE">
        <w:rPr>
          <w:color w:val="000000"/>
          <w:lang w:val="fr-CH"/>
        </w:rPr>
        <w:t xml:space="preserve">leur </w:t>
      </w:r>
      <w:r w:rsidR="00B3602C" w:rsidRPr="009F43DE">
        <w:rPr>
          <w:color w:val="000000"/>
          <w:lang w:val="fr-CH"/>
        </w:rPr>
        <w:t>fournissant des</w:t>
      </w:r>
      <w:r w:rsidRPr="009F43DE">
        <w:rPr>
          <w:color w:val="000000"/>
          <w:lang w:val="fr-CH"/>
        </w:rPr>
        <w:t xml:space="preserve"> services, y compris </w:t>
      </w:r>
      <w:r w:rsidR="00C27A5B" w:rsidRPr="009F43DE">
        <w:rPr>
          <w:color w:val="000000"/>
          <w:lang w:val="fr-CH"/>
        </w:rPr>
        <w:t>des organismes d</w:t>
      </w:r>
      <w:r w:rsidR="00F8384A" w:rsidRPr="009F43DE">
        <w:rPr>
          <w:color w:val="000000"/>
          <w:lang w:val="fr-CH"/>
        </w:rPr>
        <w:t>’</w:t>
      </w:r>
      <w:r w:rsidR="00C27A5B" w:rsidRPr="009F43DE">
        <w:rPr>
          <w:color w:val="000000"/>
          <w:lang w:val="fr-CH"/>
        </w:rPr>
        <w:t>auto-assistance</w:t>
      </w:r>
      <w:r w:rsidRPr="009F43DE">
        <w:rPr>
          <w:color w:val="000000"/>
          <w:lang w:val="fr-CH"/>
        </w:rPr>
        <w:t>. La fonction principale du Conseil est d</w:t>
      </w:r>
      <w:r w:rsidR="00F8384A" w:rsidRPr="009F43DE">
        <w:rPr>
          <w:color w:val="000000"/>
          <w:lang w:val="fr-CH"/>
        </w:rPr>
        <w:t>’</w:t>
      </w:r>
      <w:r w:rsidRPr="009F43DE">
        <w:rPr>
          <w:color w:val="000000"/>
          <w:lang w:val="fr-CH"/>
        </w:rPr>
        <w:t>assurer la promotion et la protection des droits de</w:t>
      </w:r>
      <w:r w:rsidR="00C27A5B" w:rsidRPr="009F43DE">
        <w:rPr>
          <w:color w:val="000000"/>
          <w:lang w:val="fr-CH"/>
        </w:rPr>
        <w:t>s</w:t>
      </w:r>
      <w:r w:rsidRPr="009F43DE">
        <w:rPr>
          <w:color w:val="000000"/>
          <w:lang w:val="fr-CH"/>
        </w:rPr>
        <w:t xml:space="preserve"> personnes</w:t>
      </w:r>
      <w:r w:rsidR="00C27A5B" w:rsidRPr="009F43DE">
        <w:rPr>
          <w:color w:val="000000"/>
          <w:lang w:val="fr-CH"/>
        </w:rPr>
        <w:t xml:space="preserve"> handicapées</w:t>
      </w:r>
      <w:r w:rsidRPr="009F43DE">
        <w:rPr>
          <w:color w:val="000000"/>
          <w:lang w:val="fr-CH"/>
        </w:rPr>
        <w:t xml:space="preserve">. Conformément aux dispositions de </w:t>
      </w:r>
      <w:r w:rsidR="00C27A5B" w:rsidRPr="009F43DE">
        <w:rPr>
          <w:color w:val="000000"/>
          <w:lang w:val="fr-CH"/>
        </w:rPr>
        <w:t>la l</w:t>
      </w:r>
      <w:r w:rsidRPr="009F43DE">
        <w:rPr>
          <w:color w:val="000000"/>
          <w:lang w:val="fr-CH"/>
        </w:rPr>
        <w:t>oi, ont été aussi adoptés et publiés au Journal offici</w:t>
      </w:r>
      <w:r w:rsidR="00C27A5B" w:rsidRPr="009F43DE">
        <w:rPr>
          <w:color w:val="000000"/>
          <w:lang w:val="fr-CH"/>
        </w:rPr>
        <w:t>e</w:t>
      </w:r>
      <w:r w:rsidRPr="009F43DE">
        <w:rPr>
          <w:color w:val="000000"/>
          <w:lang w:val="fr-CH"/>
        </w:rPr>
        <w:t>l les 17</w:t>
      </w:r>
      <w:r w:rsidR="00C27A5B" w:rsidRPr="009F43DE">
        <w:rPr>
          <w:color w:val="000000"/>
          <w:lang w:val="fr-CH"/>
        </w:rPr>
        <w:t> </w:t>
      </w:r>
      <w:r w:rsidR="00501505" w:rsidRPr="009F43DE">
        <w:rPr>
          <w:color w:val="000000"/>
          <w:lang w:val="fr-CH"/>
        </w:rPr>
        <w:t>octobre</w:t>
      </w:r>
      <w:r w:rsidR="00501505">
        <w:rPr>
          <w:color w:val="000000"/>
          <w:lang w:val="fr-CH"/>
        </w:rPr>
        <w:t xml:space="preserve"> </w:t>
      </w:r>
      <w:r w:rsidRPr="009F43DE">
        <w:rPr>
          <w:color w:val="000000"/>
          <w:lang w:val="fr-CH"/>
        </w:rPr>
        <w:t>2007 et 18</w:t>
      </w:r>
      <w:r w:rsidR="00C27A5B" w:rsidRPr="009F43DE">
        <w:rPr>
          <w:color w:val="000000"/>
          <w:lang w:val="fr-CH"/>
        </w:rPr>
        <w:t> </w:t>
      </w:r>
      <w:r w:rsidR="00501505" w:rsidRPr="009F43DE">
        <w:rPr>
          <w:color w:val="000000"/>
          <w:lang w:val="fr-CH"/>
        </w:rPr>
        <w:t>septembre</w:t>
      </w:r>
      <w:r w:rsidR="00501505">
        <w:rPr>
          <w:color w:val="000000"/>
          <w:lang w:val="fr-CH"/>
        </w:rPr>
        <w:t xml:space="preserve"> </w:t>
      </w:r>
      <w:r w:rsidRPr="009F43DE">
        <w:rPr>
          <w:color w:val="000000"/>
          <w:lang w:val="fr-CH"/>
        </w:rPr>
        <w:t xml:space="preserve">2009 </w:t>
      </w:r>
      <w:r w:rsidR="00C27A5B" w:rsidRPr="009F43DE">
        <w:rPr>
          <w:color w:val="000000"/>
          <w:lang w:val="fr-CH"/>
        </w:rPr>
        <w:t>des règlements sur l</w:t>
      </w:r>
      <w:r w:rsidR="00F8384A" w:rsidRPr="009F43DE">
        <w:rPr>
          <w:color w:val="000000"/>
          <w:lang w:val="fr-CH"/>
        </w:rPr>
        <w:t>’</w:t>
      </w:r>
      <w:r w:rsidR="00C27A5B" w:rsidRPr="009F43DE">
        <w:rPr>
          <w:color w:val="000000"/>
          <w:lang w:val="fr-CH"/>
        </w:rPr>
        <w:t>accessibilité aux personnes handicapées qui s</w:t>
      </w:r>
      <w:r w:rsidR="00F8384A" w:rsidRPr="009F43DE">
        <w:rPr>
          <w:color w:val="000000"/>
          <w:lang w:val="fr-CH"/>
        </w:rPr>
        <w:t>’</w:t>
      </w:r>
      <w:r w:rsidR="00C27A5B" w:rsidRPr="009F43DE">
        <w:rPr>
          <w:color w:val="000000"/>
          <w:lang w:val="fr-CH"/>
        </w:rPr>
        <w:t>appliquent aux</w:t>
      </w:r>
      <w:r w:rsidRPr="009F43DE">
        <w:rPr>
          <w:color w:val="000000"/>
          <w:lang w:val="fr-CH"/>
        </w:rPr>
        <w:t xml:space="preserve"> bâtiments publics, </w:t>
      </w:r>
      <w:r w:rsidR="00C27A5B" w:rsidRPr="009F43DE">
        <w:rPr>
          <w:color w:val="000000"/>
          <w:lang w:val="fr-CH"/>
        </w:rPr>
        <w:t>aux</w:t>
      </w:r>
      <w:r w:rsidRPr="009F43DE">
        <w:rPr>
          <w:color w:val="000000"/>
          <w:lang w:val="fr-CH"/>
        </w:rPr>
        <w:t xml:space="preserve"> lieux publics et </w:t>
      </w:r>
      <w:r w:rsidR="00C27A5B" w:rsidRPr="009F43DE">
        <w:rPr>
          <w:color w:val="000000"/>
          <w:lang w:val="fr-CH"/>
        </w:rPr>
        <w:t>à tous les</w:t>
      </w:r>
      <w:r w:rsidRPr="009F43DE">
        <w:rPr>
          <w:color w:val="000000"/>
          <w:lang w:val="fr-CH"/>
        </w:rPr>
        <w:t xml:space="preserve"> lieux où des services publics sont </w:t>
      </w:r>
      <w:r w:rsidR="00E87452" w:rsidRPr="009F43DE">
        <w:rPr>
          <w:color w:val="000000"/>
          <w:lang w:val="fr-CH"/>
        </w:rPr>
        <w:t xml:space="preserve">assurés et auxquels </w:t>
      </w:r>
      <w:r w:rsidRPr="009F43DE">
        <w:rPr>
          <w:color w:val="000000"/>
          <w:lang w:val="fr-CH"/>
        </w:rPr>
        <w:t xml:space="preserve">les personnes handicapées </w:t>
      </w:r>
      <w:r w:rsidR="00E87452" w:rsidRPr="009F43DE">
        <w:rPr>
          <w:color w:val="000000"/>
          <w:lang w:val="fr-CH"/>
        </w:rPr>
        <w:t>doivent avoir accès</w:t>
      </w:r>
      <w:r w:rsidRPr="009F43DE">
        <w:rPr>
          <w:color w:val="000000"/>
          <w:lang w:val="fr-CH"/>
        </w:rPr>
        <w:t xml:space="preserve">. La </w:t>
      </w:r>
      <w:r w:rsidR="00E87452" w:rsidRPr="009F43DE">
        <w:rPr>
          <w:color w:val="000000"/>
          <w:lang w:val="fr-CH"/>
        </w:rPr>
        <w:t>l</w:t>
      </w:r>
      <w:r w:rsidRPr="009F43DE">
        <w:rPr>
          <w:color w:val="000000"/>
          <w:lang w:val="fr-CH"/>
        </w:rPr>
        <w:t xml:space="preserve">oi </w:t>
      </w:r>
      <w:r w:rsidR="00F80613">
        <w:rPr>
          <w:lang w:val="fr-CH"/>
        </w:rPr>
        <w:t>n</w:t>
      </w:r>
      <w:r w:rsidR="00F80613" w:rsidRPr="001D6B83">
        <w:rPr>
          <w:vertAlign w:val="superscript"/>
          <w:lang w:val="fr-CH"/>
        </w:rPr>
        <w:t>o</w:t>
      </w:r>
      <w:r w:rsidR="00E87452" w:rsidRPr="009F43DE">
        <w:rPr>
          <w:color w:val="000000"/>
          <w:lang w:val="fr-CH"/>
        </w:rPr>
        <w:t> </w:t>
      </w:r>
      <w:r w:rsidRPr="009F43DE">
        <w:rPr>
          <w:color w:val="000000"/>
          <w:lang w:val="fr-CH"/>
        </w:rPr>
        <w:t xml:space="preserve">28 de 2011 sur les dispositions spéciales pour les élections a été intégrée dans le cadre juridique général du pays. Cette </w:t>
      </w:r>
      <w:r w:rsidR="00E87452" w:rsidRPr="009F43DE">
        <w:rPr>
          <w:color w:val="000000"/>
          <w:lang w:val="fr-CH"/>
        </w:rPr>
        <w:t>l</w:t>
      </w:r>
      <w:r w:rsidRPr="009F43DE">
        <w:rPr>
          <w:color w:val="000000"/>
          <w:lang w:val="fr-CH"/>
        </w:rPr>
        <w:t>oi permet à une personne handicapée d</w:t>
      </w:r>
      <w:r w:rsidR="00F8384A" w:rsidRPr="009F43DE">
        <w:rPr>
          <w:color w:val="000000"/>
          <w:lang w:val="fr-CH"/>
        </w:rPr>
        <w:t>’</w:t>
      </w:r>
      <w:r w:rsidRPr="009F43DE">
        <w:rPr>
          <w:color w:val="000000"/>
          <w:lang w:val="fr-CH"/>
        </w:rPr>
        <w:t xml:space="preserve">être accompagnée </w:t>
      </w:r>
      <w:r w:rsidR="00E87452" w:rsidRPr="009F43DE">
        <w:rPr>
          <w:color w:val="000000"/>
          <w:lang w:val="fr-CH"/>
        </w:rPr>
        <w:t>l</w:t>
      </w:r>
      <w:r w:rsidRPr="009F43DE">
        <w:rPr>
          <w:color w:val="000000"/>
          <w:lang w:val="fr-CH"/>
        </w:rPr>
        <w:t>orsqu</w:t>
      </w:r>
      <w:r w:rsidR="00F8384A" w:rsidRPr="009F43DE">
        <w:rPr>
          <w:color w:val="000000"/>
          <w:lang w:val="fr-CH"/>
        </w:rPr>
        <w:t>’</w:t>
      </w:r>
      <w:r w:rsidRPr="009F43DE">
        <w:rPr>
          <w:color w:val="000000"/>
          <w:lang w:val="fr-CH"/>
        </w:rPr>
        <w:t xml:space="preserve">elle </w:t>
      </w:r>
      <w:r w:rsidR="00E87452" w:rsidRPr="009F43DE">
        <w:rPr>
          <w:color w:val="000000"/>
          <w:lang w:val="fr-CH"/>
        </w:rPr>
        <w:t>participe à un scrutin.</w:t>
      </w:r>
    </w:p>
    <w:p w:rsidR="00C77E1E" w:rsidRPr="009F43DE" w:rsidRDefault="00C77E1E" w:rsidP="00C77E1E">
      <w:pPr>
        <w:pStyle w:val="SingleTxtG"/>
        <w:rPr>
          <w:color w:val="000000"/>
          <w:lang w:val="fr-CH"/>
        </w:rPr>
      </w:pPr>
      <w:r w:rsidRPr="009F43DE">
        <w:rPr>
          <w:lang w:val="fr-CH"/>
        </w:rPr>
        <w:t>51.</w:t>
      </w:r>
      <w:r w:rsidRPr="009F43DE">
        <w:rPr>
          <w:lang w:val="fr-CH"/>
        </w:rPr>
        <w:tab/>
      </w:r>
      <w:r w:rsidRPr="009F43DE">
        <w:rPr>
          <w:color w:val="000000"/>
          <w:lang w:val="fr-CH"/>
        </w:rPr>
        <w:t xml:space="preserve">En outre, </w:t>
      </w:r>
      <w:r w:rsidR="00E87452" w:rsidRPr="009F43DE">
        <w:rPr>
          <w:color w:val="000000"/>
          <w:lang w:val="fr-CH"/>
        </w:rPr>
        <w:t xml:space="preserve">le 26 mai 2016, </w:t>
      </w:r>
      <w:r w:rsidRPr="009F43DE">
        <w:rPr>
          <w:color w:val="000000"/>
          <w:lang w:val="fr-CH"/>
        </w:rPr>
        <w:t xml:space="preserve">un </w:t>
      </w:r>
      <w:r w:rsidR="00E87452" w:rsidRPr="009F43DE">
        <w:rPr>
          <w:color w:val="000000"/>
          <w:lang w:val="fr-CH"/>
        </w:rPr>
        <w:t>m</w:t>
      </w:r>
      <w:r w:rsidRPr="009F43DE">
        <w:rPr>
          <w:color w:val="000000"/>
          <w:lang w:val="fr-CH"/>
        </w:rPr>
        <w:t xml:space="preserve">émorandum a été approuvé par le </w:t>
      </w:r>
      <w:r w:rsidR="00E87452" w:rsidRPr="009F43DE">
        <w:rPr>
          <w:color w:val="000000"/>
          <w:lang w:val="fr-CH"/>
        </w:rPr>
        <w:t xml:space="preserve">Conseil des Ministres </w:t>
      </w:r>
      <w:r w:rsidRPr="009F43DE">
        <w:rPr>
          <w:color w:val="000000"/>
          <w:lang w:val="fr-CH"/>
        </w:rPr>
        <w:t xml:space="preserve">sur </w:t>
      </w:r>
      <w:r w:rsidR="00F8384A" w:rsidRPr="009F43DE">
        <w:rPr>
          <w:color w:val="000000"/>
          <w:lang w:val="fr-CH"/>
        </w:rPr>
        <w:t>«</w:t>
      </w:r>
      <w:r w:rsidRPr="009F43DE">
        <w:rPr>
          <w:color w:val="000000"/>
          <w:lang w:val="fr-CH"/>
        </w:rPr>
        <w:t>La reconnaissance d</w:t>
      </w:r>
      <w:r w:rsidR="00E87452" w:rsidRPr="009F43DE">
        <w:rPr>
          <w:color w:val="000000"/>
          <w:lang w:val="fr-CH"/>
        </w:rPr>
        <w:t xml:space="preserve">e la </w:t>
      </w:r>
      <w:r w:rsidRPr="009F43DE">
        <w:rPr>
          <w:color w:val="000000"/>
          <w:lang w:val="fr-CH"/>
        </w:rPr>
        <w:t>lang</w:t>
      </w:r>
      <w:r w:rsidR="00E87452" w:rsidRPr="009F43DE">
        <w:rPr>
          <w:color w:val="000000"/>
          <w:lang w:val="fr-CH"/>
        </w:rPr>
        <w:t>ue</w:t>
      </w:r>
      <w:r w:rsidRPr="009F43DE">
        <w:rPr>
          <w:color w:val="000000"/>
          <w:lang w:val="fr-CH"/>
        </w:rPr>
        <w:t xml:space="preserve"> des signes </w:t>
      </w:r>
      <w:r w:rsidR="00E87452" w:rsidRPr="009F43DE">
        <w:rPr>
          <w:color w:val="000000"/>
          <w:lang w:val="fr-CH"/>
        </w:rPr>
        <w:t xml:space="preserve">en tant que </w:t>
      </w:r>
      <w:r w:rsidRPr="009F43DE">
        <w:rPr>
          <w:color w:val="000000"/>
          <w:lang w:val="fr-CH"/>
        </w:rPr>
        <w:t>lang</w:t>
      </w:r>
      <w:r w:rsidR="00E87452" w:rsidRPr="009F43DE">
        <w:rPr>
          <w:color w:val="000000"/>
          <w:lang w:val="fr-CH"/>
        </w:rPr>
        <w:t>ue</w:t>
      </w:r>
      <w:r w:rsidRPr="009F43DE">
        <w:rPr>
          <w:color w:val="000000"/>
          <w:lang w:val="fr-CH"/>
        </w:rPr>
        <w:t xml:space="preserve"> </w:t>
      </w:r>
      <w:r w:rsidR="00E87452" w:rsidRPr="009F43DE">
        <w:rPr>
          <w:color w:val="000000"/>
          <w:lang w:val="fr-CH"/>
        </w:rPr>
        <w:t>en bonne et due forme</w:t>
      </w:r>
      <w:r w:rsidR="00F8384A" w:rsidRPr="009F43DE">
        <w:rPr>
          <w:color w:val="000000"/>
          <w:lang w:val="fr-CH"/>
        </w:rPr>
        <w:t>»</w:t>
      </w:r>
      <w:r w:rsidRPr="009F43DE">
        <w:rPr>
          <w:color w:val="000000"/>
          <w:lang w:val="fr-CH"/>
        </w:rPr>
        <w:t xml:space="preserve">. </w:t>
      </w:r>
      <w:r w:rsidR="00E87452" w:rsidRPr="009F43DE">
        <w:rPr>
          <w:color w:val="000000"/>
          <w:lang w:val="fr-CH"/>
        </w:rPr>
        <w:t>E</w:t>
      </w:r>
      <w:r w:rsidRPr="009F43DE">
        <w:rPr>
          <w:color w:val="000000"/>
          <w:lang w:val="fr-CH"/>
        </w:rPr>
        <w:t>n collaboration avec le Ministère de la langue nationale et de l</w:t>
      </w:r>
      <w:r w:rsidR="00F8384A" w:rsidRPr="009F43DE">
        <w:rPr>
          <w:color w:val="000000"/>
          <w:lang w:val="fr-CH"/>
        </w:rPr>
        <w:t>’</w:t>
      </w:r>
      <w:r w:rsidRPr="009F43DE">
        <w:rPr>
          <w:color w:val="000000"/>
          <w:lang w:val="fr-CH"/>
        </w:rPr>
        <w:t xml:space="preserve">intégration sociale, les mesures nécessaires </w:t>
      </w:r>
      <w:r w:rsidR="00E87452" w:rsidRPr="009F43DE">
        <w:rPr>
          <w:color w:val="000000"/>
          <w:lang w:val="fr-CH"/>
        </w:rPr>
        <w:t xml:space="preserve">sont prises pour promouvoir la langue </w:t>
      </w:r>
      <w:r w:rsidRPr="009F43DE">
        <w:rPr>
          <w:color w:val="000000"/>
          <w:lang w:val="fr-CH"/>
        </w:rPr>
        <w:t xml:space="preserve">des signes </w:t>
      </w:r>
      <w:r w:rsidR="00E87452" w:rsidRPr="009F43DE">
        <w:rPr>
          <w:color w:val="000000"/>
          <w:lang w:val="fr-CH"/>
        </w:rPr>
        <w:t>à</w:t>
      </w:r>
      <w:r w:rsidRPr="009F43DE">
        <w:rPr>
          <w:color w:val="000000"/>
          <w:lang w:val="fr-CH"/>
        </w:rPr>
        <w:t xml:space="preserve"> Sri Lanka.</w:t>
      </w:r>
    </w:p>
    <w:p w:rsidR="00C77E1E" w:rsidRPr="009F43DE" w:rsidRDefault="00C77E1E" w:rsidP="00C77E1E">
      <w:pPr>
        <w:pStyle w:val="SingleTxtG"/>
        <w:rPr>
          <w:color w:val="000000"/>
          <w:lang w:val="fr-CH"/>
        </w:rPr>
      </w:pPr>
      <w:r w:rsidRPr="009F43DE">
        <w:rPr>
          <w:lang w:val="fr-CH"/>
        </w:rPr>
        <w:t>52.</w:t>
      </w:r>
      <w:r w:rsidRPr="009F43DE">
        <w:rPr>
          <w:lang w:val="fr-CH"/>
        </w:rPr>
        <w:tab/>
      </w:r>
      <w:r w:rsidRPr="009F43DE">
        <w:rPr>
          <w:color w:val="000000"/>
          <w:lang w:val="fr-CH"/>
        </w:rPr>
        <w:t>En juillet 2003, le</w:t>
      </w:r>
      <w:r w:rsidR="00ED05DC" w:rsidRPr="009F43DE">
        <w:rPr>
          <w:color w:val="000000"/>
          <w:lang w:val="fr-CH"/>
        </w:rPr>
        <w:t>s autorités ont</w:t>
      </w:r>
      <w:r w:rsidRPr="009F43DE">
        <w:rPr>
          <w:color w:val="000000"/>
          <w:lang w:val="fr-CH"/>
        </w:rPr>
        <w:t xml:space="preserve"> lancé une politique nationale sur le handicap, qui se compose de 26 domaines d</w:t>
      </w:r>
      <w:r w:rsidR="00F8384A" w:rsidRPr="009F43DE">
        <w:rPr>
          <w:color w:val="000000"/>
          <w:lang w:val="fr-CH"/>
        </w:rPr>
        <w:t>’</w:t>
      </w:r>
      <w:r w:rsidRPr="009F43DE">
        <w:rPr>
          <w:color w:val="000000"/>
          <w:lang w:val="fr-CH"/>
        </w:rPr>
        <w:t>action sectoriels</w:t>
      </w:r>
      <w:r w:rsidR="00ED05DC" w:rsidRPr="009F43DE">
        <w:rPr>
          <w:color w:val="000000"/>
          <w:lang w:val="fr-CH"/>
        </w:rPr>
        <w:t>, dont</w:t>
      </w:r>
      <w:r w:rsidRPr="009F43DE">
        <w:rPr>
          <w:color w:val="000000"/>
          <w:lang w:val="fr-CH"/>
        </w:rPr>
        <w:t xml:space="preserve"> l</w:t>
      </w:r>
      <w:r w:rsidR="00F8384A" w:rsidRPr="009F43DE">
        <w:rPr>
          <w:color w:val="000000"/>
          <w:lang w:val="fr-CH"/>
        </w:rPr>
        <w:t>’</w:t>
      </w:r>
      <w:r w:rsidRPr="009F43DE">
        <w:rPr>
          <w:color w:val="000000"/>
          <w:lang w:val="fr-CH"/>
        </w:rPr>
        <w:t>emploi, la formation professionnelle, le développement des compétences, l</w:t>
      </w:r>
      <w:r w:rsidR="00F8384A" w:rsidRPr="009F43DE">
        <w:rPr>
          <w:color w:val="000000"/>
          <w:lang w:val="fr-CH"/>
        </w:rPr>
        <w:t>’</w:t>
      </w:r>
      <w:r w:rsidRPr="009F43DE">
        <w:rPr>
          <w:color w:val="000000"/>
          <w:lang w:val="fr-CH"/>
        </w:rPr>
        <w:t xml:space="preserve">éducation et </w:t>
      </w:r>
      <w:r w:rsidR="00ED05DC" w:rsidRPr="009F43DE">
        <w:rPr>
          <w:color w:val="000000"/>
          <w:lang w:val="fr-CH"/>
        </w:rPr>
        <w:t xml:space="preserve">la </w:t>
      </w:r>
      <w:r w:rsidRPr="009F43DE">
        <w:rPr>
          <w:color w:val="000000"/>
          <w:lang w:val="fr-CH"/>
        </w:rPr>
        <w:t xml:space="preserve">lutte contre la pauvreté. </w:t>
      </w:r>
    </w:p>
    <w:p w:rsidR="00C77E1E" w:rsidRPr="009F43DE" w:rsidRDefault="00C77E1E" w:rsidP="00C77E1E">
      <w:pPr>
        <w:pStyle w:val="SingleTxtG"/>
        <w:rPr>
          <w:color w:val="000000"/>
          <w:lang w:val="fr-CH"/>
        </w:rPr>
      </w:pPr>
      <w:r w:rsidRPr="009F43DE">
        <w:rPr>
          <w:lang w:val="fr-CH"/>
        </w:rPr>
        <w:t>53.</w:t>
      </w:r>
      <w:r w:rsidRPr="009F43DE">
        <w:rPr>
          <w:lang w:val="fr-CH"/>
        </w:rPr>
        <w:tab/>
      </w:r>
      <w:r w:rsidRPr="009F43DE">
        <w:rPr>
          <w:color w:val="000000"/>
          <w:lang w:val="fr-CH"/>
        </w:rPr>
        <w:t>L</w:t>
      </w:r>
      <w:r w:rsidR="00ED05DC" w:rsidRPr="009F43DE">
        <w:rPr>
          <w:color w:val="000000"/>
          <w:lang w:val="fr-CH"/>
        </w:rPr>
        <w:t>es autorités ont pris de</w:t>
      </w:r>
      <w:r w:rsidRPr="009F43DE">
        <w:rPr>
          <w:color w:val="000000"/>
          <w:lang w:val="fr-CH"/>
        </w:rPr>
        <w:t xml:space="preserve">s initiatives </w:t>
      </w:r>
      <w:r w:rsidR="00ED05DC" w:rsidRPr="009F43DE">
        <w:rPr>
          <w:color w:val="000000"/>
          <w:lang w:val="fr-CH"/>
        </w:rPr>
        <w:t>pour favoriser</w:t>
      </w:r>
      <w:r w:rsidRPr="009F43DE">
        <w:rPr>
          <w:color w:val="000000"/>
          <w:lang w:val="fr-CH"/>
        </w:rPr>
        <w:t xml:space="preserve"> l</w:t>
      </w:r>
      <w:r w:rsidR="00F8384A" w:rsidRPr="009F43DE">
        <w:rPr>
          <w:color w:val="000000"/>
          <w:lang w:val="fr-CH"/>
        </w:rPr>
        <w:t>’</w:t>
      </w:r>
      <w:r w:rsidR="00ED05DC" w:rsidRPr="009F43DE">
        <w:rPr>
          <w:color w:val="000000"/>
          <w:lang w:val="fr-CH"/>
        </w:rPr>
        <w:t>amélioration de la situation</w:t>
      </w:r>
      <w:r w:rsidRPr="009F43DE">
        <w:rPr>
          <w:color w:val="000000"/>
          <w:lang w:val="fr-CH"/>
        </w:rPr>
        <w:t xml:space="preserve"> des personnes handicapées, </w:t>
      </w:r>
      <w:r w:rsidR="00ED05DC" w:rsidRPr="009F43DE">
        <w:rPr>
          <w:color w:val="000000"/>
          <w:lang w:val="fr-CH"/>
        </w:rPr>
        <w:t>dont le versement à 11 216 familles d</w:t>
      </w:r>
      <w:r w:rsidR="00F8384A" w:rsidRPr="009F43DE">
        <w:rPr>
          <w:color w:val="000000"/>
          <w:lang w:val="fr-CH"/>
        </w:rPr>
        <w:t>’</w:t>
      </w:r>
      <w:r w:rsidRPr="009F43DE">
        <w:rPr>
          <w:color w:val="000000"/>
          <w:lang w:val="fr-CH"/>
        </w:rPr>
        <w:t>une allocation de subsistance mensuelle de 3 000</w:t>
      </w:r>
      <w:r w:rsidR="00ED05DC" w:rsidRPr="009F43DE">
        <w:rPr>
          <w:color w:val="000000"/>
          <w:lang w:val="fr-CH"/>
        </w:rPr>
        <w:t> roupies sri-lankaises</w:t>
      </w:r>
      <w:r w:rsidRPr="009F43DE">
        <w:rPr>
          <w:color w:val="000000"/>
          <w:lang w:val="fr-CH"/>
        </w:rPr>
        <w:t xml:space="preserve">. Une </w:t>
      </w:r>
      <w:r w:rsidR="00ED05DC" w:rsidRPr="009F43DE">
        <w:rPr>
          <w:color w:val="000000"/>
          <w:lang w:val="fr-CH"/>
        </w:rPr>
        <w:t>aide</w:t>
      </w:r>
      <w:r w:rsidRPr="009F43DE">
        <w:rPr>
          <w:color w:val="000000"/>
          <w:lang w:val="fr-CH"/>
        </w:rPr>
        <w:t xml:space="preserve"> de 250</w:t>
      </w:r>
      <w:r w:rsidR="00ED05DC" w:rsidRPr="009F43DE">
        <w:rPr>
          <w:color w:val="000000"/>
          <w:lang w:val="fr-CH"/>
        </w:rPr>
        <w:t> </w:t>
      </w:r>
      <w:r w:rsidRPr="009F43DE">
        <w:rPr>
          <w:color w:val="000000"/>
          <w:lang w:val="fr-CH"/>
        </w:rPr>
        <w:t>000</w:t>
      </w:r>
      <w:r w:rsidR="00ED05DC" w:rsidRPr="009F43DE">
        <w:rPr>
          <w:color w:val="000000"/>
          <w:lang w:val="fr-CH"/>
        </w:rPr>
        <w:t xml:space="preserve"> roupies sri-lankaises </w:t>
      </w:r>
      <w:r w:rsidRPr="009F43DE">
        <w:rPr>
          <w:color w:val="000000"/>
          <w:lang w:val="fr-CH"/>
        </w:rPr>
        <w:t xml:space="preserve">est également versée pour couvrir les </w:t>
      </w:r>
      <w:r w:rsidR="00ED05DC" w:rsidRPr="009F43DE">
        <w:rPr>
          <w:color w:val="000000"/>
          <w:lang w:val="fr-CH"/>
        </w:rPr>
        <w:t>dépenses</w:t>
      </w:r>
      <w:r w:rsidRPr="009F43DE">
        <w:rPr>
          <w:color w:val="000000"/>
          <w:lang w:val="fr-CH"/>
        </w:rPr>
        <w:t xml:space="preserve"> de construction et d</w:t>
      </w:r>
      <w:r w:rsidR="00F8384A" w:rsidRPr="009F43DE">
        <w:rPr>
          <w:color w:val="000000"/>
          <w:lang w:val="fr-CH"/>
        </w:rPr>
        <w:t>’</w:t>
      </w:r>
      <w:r w:rsidRPr="009F43DE">
        <w:rPr>
          <w:color w:val="000000"/>
          <w:lang w:val="fr-CH"/>
        </w:rPr>
        <w:t>amé</w:t>
      </w:r>
      <w:r w:rsidR="00ED05DC" w:rsidRPr="009F43DE">
        <w:rPr>
          <w:color w:val="000000"/>
          <w:lang w:val="fr-CH"/>
        </w:rPr>
        <w:t>nagement des habitations</w:t>
      </w:r>
      <w:r w:rsidRPr="009F43DE">
        <w:rPr>
          <w:color w:val="000000"/>
          <w:lang w:val="fr-CH"/>
        </w:rPr>
        <w:t xml:space="preserve">. </w:t>
      </w:r>
      <w:r w:rsidR="00ED05DC" w:rsidRPr="009F43DE">
        <w:rPr>
          <w:color w:val="000000"/>
          <w:lang w:val="fr-CH"/>
        </w:rPr>
        <w:t>Les travailleurs indépendants souffrant d</w:t>
      </w:r>
      <w:r w:rsidR="00F8384A" w:rsidRPr="009F43DE">
        <w:rPr>
          <w:color w:val="000000"/>
          <w:lang w:val="fr-CH"/>
        </w:rPr>
        <w:t>’</w:t>
      </w:r>
      <w:r w:rsidR="00ED05DC" w:rsidRPr="009F43DE">
        <w:rPr>
          <w:color w:val="000000"/>
          <w:lang w:val="fr-CH"/>
        </w:rPr>
        <w:t>un handicap se voient pour leur part attribuer une</w:t>
      </w:r>
      <w:r w:rsidRPr="009F43DE">
        <w:rPr>
          <w:color w:val="000000"/>
          <w:lang w:val="fr-CH"/>
        </w:rPr>
        <w:t xml:space="preserve"> allocation de 25</w:t>
      </w:r>
      <w:r w:rsidR="00ED05DC" w:rsidRPr="009F43DE">
        <w:rPr>
          <w:color w:val="000000"/>
          <w:lang w:val="fr-CH"/>
        </w:rPr>
        <w:t> </w:t>
      </w:r>
      <w:r w:rsidRPr="009F43DE">
        <w:rPr>
          <w:color w:val="000000"/>
          <w:lang w:val="fr-CH"/>
        </w:rPr>
        <w:t>000</w:t>
      </w:r>
      <w:r w:rsidR="00ED05DC" w:rsidRPr="009F43DE">
        <w:rPr>
          <w:color w:val="000000"/>
          <w:lang w:val="fr-CH"/>
        </w:rPr>
        <w:t> roupies sri-lankaises</w:t>
      </w:r>
      <w:r w:rsidRPr="009F43DE">
        <w:rPr>
          <w:color w:val="000000"/>
          <w:lang w:val="fr-CH"/>
        </w:rPr>
        <w:t>. L</w:t>
      </w:r>
      <w:r w:rsidR="00F8384A" w:rsidRPr="009F43DE">
        <w:rPr>
          <w:color w:val="000000"/>
          <w:lang w:val="fr-CH"/>
        </w:rPr>
        <w:t>’</w:t>
      </w:r>
      <w:r w:rsidRPr="009F43DE">
        <w:rPr>
          <w:color w:val="000000"/>
          <w:lang w:val="fr-CH"/>
        </w:rPr>
        <w:t xml:space="preserve">État a continué </w:t>
      </w:r>
      <w:r w:rsidR="000E4B5B" w:rsidRPr="009F43DE">
        <w:rPr>
          <w:color w:val="000000"/>
          <w:lang w:val="fr-CH"/>
        </w:rPr>
        <w:t>de mettre à disposition des appareillages, tels que</w:t>
      </w:r>
      <w:r w:rsidRPr="009F43DE">
        <w:rPr>
          <w:color w:val="000000"/>
          <w:lang w:val="fr-CH"/>
        </w:rPr>
        <w:t xml:space="preserve"> des fauteuils roulants, des béquilles et des lunettes</w:t>
      </w:r>
      <w:r w:rsidR="000E4B5B" w:rsidRPr="009F43DE">
        <w:rPr>
          <w:color w:val="000000"/>
          <w:lang w:val="fr-CH"/>
        </w:rPr>
        <w:t>,</w:t>
      </w:r>
      <w:r w:rsidRPr="009F43DE">
        <w:rPr>
          <w:color w:val="000000"/>
          <w:lang w:val="fr-CH"/>
        </w:rPr>
        <w:t xml:space="preserve"> dans de nombreu</w:t>
      </w:r>
      <w:r w:rsidR="000E4B5B" w:rsidRPr="009F43DE">
        <w:rPr>
          <w:color w:val="000000"/>
          <w:lang w:val="fr-CH"/>
        </w:rPr>
        <w:t>ses parties</w:t>
      </w:r>
      <w:r w:rsidRPr="009F43DE">
        <w:rPr>
          <w:color w:val="000000"/>
          <w:lang w:val="fr-CH"/>
        </w:rPr>
        <w:t xml:space="preserve"> de l</w:t>
      </w:r>
      <w:r w:rsidR="00F8384A" w:rsidRPr="009F43DE">
        <w:rPr>
          <w:color w:val="000000"/>
          <w:lang w:val="fr-CH"/>
        </w:rPr>
        <w:t>’</w:t>
      </w:r>
      <w:r w:rsidRPr="009F43DE">
        <w:rPr>
          <w:color w:val="000000"/>
          <w:lang w:val="fr-CH"/>
        </w:rPr>
        <w:t>île. En outre, des cours sur l</w:t>
      </w:r>
      <w:r w:rsidR="00F8384A" w:rsidRPr="009F43DE">
        <w:rPr>
          <w:color w:val="000000"/>
          <w:lang w:val="fr-CH"/>
        </w:rPr>
        <w:t>’</w:t>
      </w:r>
      <w:r w:rsidR="000E4B5B" w:rsidRPr="009F43DE">
        <w:rPr>
          <w:color w:val="000000"/>
          <w:lang w:val="fr-CH"/>
        </w:rPr>
        <w:t>éc</w:t>
      </w:r>
      <w:r w:rsidR="00CA5484" w:rsidRPr="009F43DE">
        <w:rPr>
          <w:color w:val="000000"/>
          <w:lang w:val="fr-CH"/>
        </w:rPr>
        <w:t>r</w:t>
      </w:r>
      <w:r w:rsidR="000E4B5B" w:rsidRPr="009F43DE">
        <w:rPr>
          <w:color w:val="000000"/>
          <w:lang w:val="fr-CH"/>
        </w:rPr>
        <w:t>iture</w:t>
      </w:r>
      <w:r w:rsidRPr="009F43DE">
        <w:rPr>
          <w:color w:val="000000"/>
          <w:lang w:val="fr-CH"/>
        </w:rPr>
        <w:t xml:space="preserve"> braille et la langue des signes sont </w:t>
      </w:r>
      <w:r w:rsidR="00CA5484" w:rsidRPr="009F43DE">
        <w:rPr>
          <w:color w:val="000000"/>
          <w:lang w:val="fr-CH"/>
        </w:rPr>
        <w:t>organisés à l</w:t>
      </w:r>
      <w:r w:rsidR="00F8384A" w:rsidRPr="009F43DE">
        <w:rPr>
          <w:color w:val="000000"/>
          <w:lang w:val="fr-CH"/>
        </w:rPr>
        <w:t>’</w:t>
      </w:r>
      <w:r w:rsidR="00CA5484" w:rsidRPr="009F43DE">
        <w:rPr>
          <w:color w:val="000000"/>
          <w:lang w:val="fr-CH"/>
        </w:rPr>
        <w:t>intention des</w:t>
      </w:r>
      <w:r w:rsidRPr="009F43DE">
        <w:rPr>
          <w:color w:val="000000"/>
          <w:lang w:val="fr-CH"/>
        </w:rPr>
        <w:t xml:space="preserve"> fonctionnaires afin d</w:t>
      </w:r>
      <w:r w:rsidR="00F8384A" w:rsidRPr="009F43DE">
        <w:rPr>
          <w:color w:val="000000"/>
          <w:lang w:val="fr-CH"/>
        </w:rPr>
        <w:t>’</w:t>
      </w:r>
      <w:r w:rsidR="00CA5484" w:rsidRPr="009F43DE">
        <w:rPr>
          <w:color w:val="000000"/>
          <w:lang w:val="fr-CH"/>
        </w:rPr>
        <w:t xml:space="preserve">améliorer la </w:t>
      </w:r>
      <w:r w:rsidRPr="009F43DE">
        <w:rPr>
          <w:color w:val="000000"/>
          <w:lang w:val="fr-CH"/>
        </w:rPr>
        <w:t>communication entre eux et les personnes handicapées.</w:t>
      </w:r>
    </w:p>
    <w:p w:rsidR="00C77E1E" w:rsidRPr="009F43DE" w:rsidRDefault="00C77E1E" w:rsidP="00C77E1E">
      <w:pPr>
        <w:pStyle w:val="SingleTxtG"/>
        <w:rPr>
          <w:color w:val="000000"/>
          <w:lang w:val="fr-CH"/>
        </w:rPr>
      </w:pPr>
      <w:r w:rsidRPr="009F43DE">
        <w:rPr>
          <w:lang w:val="fr-CH"/>
        </w:rPr>
        <w:t>54.</w:t>
      </w:r>
      <w:r w:rsidRPr="009F43DE">
        <w:rPr>
          <w:lang w:val="fr-CH"/>
        </w:rPr>
        <w:tab/>
      </w:r>
      <w:r w:rsidRPr="009F43DE">
        <w:rPr>
          <w:color w:val="000000"/>
          <w:lang w:val="fr-CH"/>
        </w:rPr>
        <w:t xml:space="preserve">Le Ministère des </w:t>
      </w:r>
      <w:r w:rsidR="00CA5484" w:rsidRPr="009F43DE">
        <w:rPr>
          <w:color w:val="000000"/>
          <w:lang w:val="fr-CH"/>
        </w:rPr>
        <w:t>s</w:t>
      </w:r>
      <w:r w:rsidRPr="009F43DE">
        <w:rPr>
          <w:color w:val="000000"/>
          <w:lang w:val="fr-CH"/>
        </w:rPr>
        <w:t xml:space="preserve">ervices sociaux a établi </w:t>
      </w:r>
      <w:r w:rsidR="00A014B9">
        <w:rPr>
          <w:color w:val="000000"/>
          <w:lang w:val="fr-CH"/>
        </w:rPr>
        <w:t>cinq</w:t>
      </w:r>
      <w:r w:rsidR="00F80613" w:rsidRPr="009F43DE">
        <w:rPr>
          <w:color w:val="000000"/>
          <w:lang w:val="fr-CH"/>
        </w:rPr>
        <w:t> </w:t>
      </w:r>
      <w:r w:rsidRPr="009F43DE">
        <w:rPr>
          <w:color w:val="000000"/>
          <w:lang w:val="fr-CH"/>
        </w:rPr>
        <w:t xml:space="preserve">centres de formation professionnelle pour les personnes handicapées dans trois districts, où des programmes de formation </w:t>
      </w:r>
      <w:r w:rsidR="00CA5484" w:rsidRPr="009F43DE">
        <w:rPr>
          <w:color w:val="000000"/>
          <w:lang w:val="fr-CH"/>
        </w:rPr>
        <w:t xml:space="preserve">de deux ans en internat </w:t>
      </w:r>
      <w:r w:rsidRPr="009F43DE">
        <w:rPr>
          <w:color w:val="000000"/>
          <w:lang w:val="fr-CH"/>
        </w:rPr>
        <w:t xml:space="preserve">sont </w:t>
      </w:r>
      <w:r w:rsidR="00CA5484" w:rsidRPr="009F43DE">
        <w:rPr>
          <w:color w:val="000000"/>
          <w:lang w:val="fr-CH"/>
        </w:rPr>
        <w:t>proposés</w:t>
      </w:r>
      <w:r w:rsidRPr="009F43DE">
        <w:rPr>
          <w:color w:val="000000"/>
          <w:lang w:val="fr-CH"/>
        </w:rPr>
        <w:t>. Les stagiaires qui termin</w:t>
      </w:r>
      <w:r w:rsidR="00F1176B" w:rsidRPr="009F43DE">
        <w:rPr>
          <w:color w:val="000000"/>
          <w:lang w:val="fr-CH"/>
        </w:rPr>
        <w:t>ent</w:t>
      </w:r>
      <w:r w:rsidRPr="009F43DE">
        <w:rPr>
          <w:color w:val="000000"/>
          <w:lang w:val="fr-CH"/>
        </w:rPr>
        <w:t xml:space="preserve"> avec succès le programme de formation </w:t>
      </w:r>
      <w:r w:rsidR="00CA5484" w:rsidRPr="009F43DE">
        <w:rPr>
          <w:color w:val="000000"/>
          <w:lang w:val="fr-CH"/>
        </w:rPr>
        <w:t xml:space="preserve">se </w:t>
      </w:r>
      <w:r w:rsidR="00F1176B" w:rsidRPr="009F43DE">
        <w:rPr>
          <w:color w:val="000000"/>
          <w:lang w:val="fr-CH"/>
        </w:rPr>
        <w:t>voient</w:t>
      </w:r>
      <w:r w:rsidR="00CA5484" w:rsidRPr="009F43DE">
        <w:rPr>
          <w:color w:val="000000"/>
          <w:lang w:val="fr-CH"/>
        </w:rPr>
        <w:t xml:space="preserve"> décerner </w:t>
      </w:r>
      <w:r w:rsidRPr="009F43DE">
        <w:rPr>
          <w:color w:val="000000"/>
          <w:lang w:val="fr-CH"/>
        </w:rPr>
        <w:t>des certificats</w:t>
      </w:r>
      <w:r w:rsidR="00CA5484" w:rsidRPr="009F43DE">
        <w:rPr>
          <w:color w:val="000000"/>
          <w:lang w:val="fr-CH"/>
        </w:rPr>
        <w:t>, accompagnés d</w:t>
      </w:r>
      <w:r w:rsidR="00F8384A" w:rsidRPr="009F43DE">
        <w:rPr>
          <w:color w:val="000000"/>
          <w:lang w:val="fr-CH"/>
        </w:rPr>
        <w:t>’</w:t>
      </w:r>
      <w:r w:rsidRPr="009F43DE">
        <w:rPr>
          <w:color w:val="000000"/>
          <w:lang w:val="fr-CH"/>
        </w:rPr>
        <w:t>un ensemble d</w:t>
      </w:r>
      <w:r w:rsidR="00F8384A" w:rsidRPr="009F43DE">
        <w:rPr>
          <w:color w:val="000000"/>
          <w:lang w:val="fr-CH"/>
        </w:rPr>
        <w:t>’</w:t>
      </w:r>
      <w:r w:rsidRPr="009F43DE">
        <w:rPr>
          <w:color w:val="000000"/>
          <w:lang w:val="fr-CH"/>
        </w:rPr>
        <w:t xml:space="preserve">outils </w:t>
      </w:r>
      <w:r w:rsidR="00CA5484" w:rsidRPr="009F43DE">
        <w:rPr>
          <w:color w:val="000000"/>
          <w:lang w:val="fr-CH"/>
        </w:rPr>
        <w:t>d</w:t>
      </w:r>
      <w:r w:rsidR="00F8384A" w:rsidRPr="009F43DE">
        <w:rPr>
          <w:color w:val="000000"/>
          <w:lang w:val="fr-CH"/>
        </w:rPr>
        <w:t>’</w:t>
      </w:r>
      <w:r w:rsidR="00CA5484" w:rsidRPr="009F43DE">
        <w:rPr>
          <w:color w:val="000000"/>
          <w:lang w:val="fr-CH"/>
        </w:rPr>
        <w:t>une valeur de</w:t>
      </w:r>
      <w:r w:rsidRPr="009F43DE">
        <w:rPr>
          <w:color w:val="000000"/>
          <w:lang w:val="fr-CH"/>
        </w:rPr>
        <w:t xml:space="preserve"> 10 000</w:t>
      </w:r>
      <w:r w:rsidR="00CA5484" w:rsidRPr="009F43DE">
        <w:rPr>
          <w:color w:val="000000"/>
          <w:lang w:val="fr-CH"/>
        </w:rPr>
        <w:t> roupies sri-lankaises</w:t>
      </w:r>
      <w:r w:rsidRPr="009F43DE">
        <w:rPr>
          <w:color w:val="000000"/>
          <w:lang w:val="fr-CH"/>
        </w:rPr>
        <w:t>. Le Ministère des services sociaux a signé un protocole d</w:t>
      </w:r>
      <w:r w:rsidR="00F8384A" w:rsidRPr="009F43DE">
        <w:rPr>
          <w:color w:val="000000"/>
          <w:lang w:val="fr-CH"/>
        </w:rPr>
        <w:t>’</w:t>
      </w:r>
      <w:r w:rsidRPr="009F43DE">
        <w:rPr>
          <w:color w:val="000000"/>
          <w:lang w:val="fr-CH"/>
        </w:rPr>
        <w:t>accord avec la République de Corée du Sud (Sister School Vocational Training Assistance Programme</w:t>
      </w:r>
      <w:r w:rsidRPr="009F43DE">
        <w:rPr>
          <w:caps/>
          <w:color w:val="000000"/>
          <w:lang w:val="fr-CH"/>
        </w:rPr>
        <w:t xml:space="preserve">) </w:t>
      </w:r>
      <w:r w:rsidRPr="009F43DE">
        <w:rPr>
          <w:color w:val="000000"/>
          <w:lang w:val="fr-CH"/>
        </w:rPr>
        <w:t xml:space="preserve">pour </w:t>
      </w:r>
      <w:r w:rsidR="00CA5484" w:rsidRPr="009F43DE">
        <w:rPr>
          <w:color w:val="000000"/>
          <w:lang w:val="fr-CH"/>
        </w:rPr>
        <w:t xml:space="preserve">mettre en place </w:t>
      </w:r>
      <w:r w:rsidRPr="009F43DE">
        <w:rPr>
          <w:color w:val="000000"/>
          <w:lang w:val="fr-CH"/>
        </w:rPr>
        <w:t xml:space="preserve">et équiper le Centre de formation professionnelle </w:t>
      </w:r>
      <w:r w:rsidR="00CA5484" w:rsidRPr="009F43DE">
        <w:rPr>
          <w:color w:val="000000"/>
          <w:lang w:val="fr-CH"/>
        </w:rPr>
        <w:t xml:space="preserve">de </w:t>
      </w:r>
      <w:r w:rsidRPr="009F43DE">
        <w:rPr>
          <w:color w:val="000000"/>
          <w:lang w:val="fr-CH"/>
        </w:rPr>
        <w:t>Seeduwa</w:t>
      </w:r>
      <w:r w:rsidR="00CA5484" w:rsidRPr="009F43DE">
        <w:rPr>
          <w:color w:val="000000"/>
          <w:lang w:val="fr-CH"/>
        </w:rPr>
        <w:t xml:space="preserve">, qui </w:t>
      </w:r>
      <w:r w:rsidR="004575A2" w:rsidRPr="009F43DE">
        <w:rPr>
          <w:color w:val="000000"/>
          <w:lang w:val="fr-CH"/>
        </w:rPr>
        <w:t xml:space="preserve">est un </w:t>
      </w:r>
      <w:r w:rsidRPr="009F43DE">
        <w:rPr>
          <w:color w:val="000000"/>
          <w:lang w:val="fr-CH"/>
        </w:rPr>
        <w:t>centre de recours disposant des dernières technologies</w:t>
      </w:r>
      <w:r w:rsidR="00CA5484" w:rsidRPr="009F43DE">
        <w:rPr>
          <w:color w:val="000000"/>
          <w:lang w:val="fr-CH"/>
        </w:rPr>
        <w:t xml:space="preserve">. Il a aussi </w:t>
      </w:r>
      <w:r w:rsidRPr="009F43DE">
        <w:rPr>
          <w:color w:val="000000"/>
          <w:lang w:val="fr-CH"/>
        </w:rPr>
        <w:t xml:space="preserve">collaboré avec la Banque mondiale pour </w:t>
      </w:r>
      <w:r w:rsidR="00CA5484" w:rsidRPr="009F43DE">
        <w:rPr>
          <w:color w:val="000000"/>
          <w:lang w:val="fr-CH"/>
        </w:rPr>
        <w:t>assurer</w:t>
      </w:r>
      <w:r w:rsidRPr="009F43DE">
        <w:rPr>
          <w:color w:val="000000"/>
          <w:lang w:val="fr-CH"/>
        </w:rPr>
        <w:t xml:space="preserve"> une formation professionnelle aux personnes handicapées dans huit districts. Sous l</w:t>
      </w:r>
      <w:r w:rsidR="00F8384A" w:rsidRPr="009F43DE">
        <w:rPr>
          <w:color w:val="000000"/>
          <w:lang w:val="fr-CH"/>
        </w:rPr>
        <w:t>’</w:t>
      </w:r>
      <w:r w:rsidRPr="009F43DE">
        <w:rPr>
          <w:color w:val="000000"/>
          <w:lang w:val="fr-CH"/>
        </w:rPr>
        <w:t>égide de l</w:t>
      </w:r>
      <w:r w:rsidR="00F8384A" w:rsidRPr="009F43DE">
        <w:rPr>
          <w:color w:val="000000"/>
          <w:lang w:val="fr-CH"/>
        </w:rPr>
        <w:t>’</w:t>
      </w:r>
      <w:r w:rsidRPr="009F43DE">
        <w:rPr>
          <w:color w:val="000000"/>
          <w:lang w:val="fr-CH"/>
        </w:rPr>
        <w:t xml:space="preserve">Unité </w:t>
      </w:r>
      <w:r w:rsidR="004575A2" w:rsidRPr="009F43DE">
        <w:rPr>
          <w:color w:val="000000"/>
          <w:lang w:val="fr-CH"/>
        </w:rPr>
        <w:t xml:space="preserve">consultative </w:t>
      </w:r>
      <w:r w:rsidRPr="009F43DE">
        <w:rPr>
          <w:color w:val="000000"/>
          <w:lang w:val="fr-CH"/>
        </w:rPr>
        <w:t>du Ministère des services sociaux, 97 assistants de consultation</w:t>
      </w:r>
      <w:r w:rsidR="007E4E74" w:rsidRPr="009F43DE">
        <w:rPr>
          <w:color w:val="000000"/>
          <w:lang w:val="fr-CH"/>
        </w:rPr>
        <w:t>, formés à l</w:t>
      </w:r>
      <w:r w:rsidR="00F8384A" w:rsidRPr="009F43DE">
        <w:rPr>
          <w:color w:val="000000"/>
          <w:lang w:val="fr-CH"/>
        </w:rPr>
        <w:t>’</w:t>
      </w:r>
      <w:r w:rsidR="007E4E74" w:rsidRPr="009F43DE">
        <w:rPr>
          <w:color w:val="000000"/>
          <w:lang w:val="fr-CH"/>
        </w:rPr>
        <w:t xml:space="preserve">utilisation des méthodes </w:t>
      </w:r>
      <w:r w:rsidR="007574C7" w:rsidRPr="009F43DE">
        <w:rPr>
          <w:color w:val="000000"/>
          <w:lang w:val="fr-CH"/>
        </w:rPr>
        <w:t>psychologiques</w:t>
      </w:r>
      <w:r w:rsidR="007E4E74" w:rsidRPr="009F43DE">
        <w:rPr>
          <w:color w:val="000000"/>
          <w:lang w:val="fr-CH"/>
        </w:rPr>
        <w:t>,</w:t>
      </w:r>
      <w:r w:rsidRPr="009F43DE">
        <w:rPr>
          <w:color w:val="000000"/>
          <w:lang w:val="fr-CH"/>
        </w:rPr>
        <w:t xml:space="preserve"> sont </w:t>
      </w:r>
      <w:r w:rsidR="004575A2" w:rsidRPr="009F43DE">
        <w:rPr>
          <w:color w:val="000000"/>
          <w:lang w:val="fr-CH"/>
        </w:rPr>
        <w:t>r</w:t>
      </w:r>
      <w:r w:rsidRPr="009F43DE">
        <w:rPr>
          <w:color w:val="000000"/>
          <w:lang w:val="fr-CH"/>
        </w:rPr>
        <w:t xml:space="preserve">attachés aux </w:t>
      </w:r>
      <w:r w:rsidR="004575A2" w:rsidRPr="009F43DE">
        <w:rPr>
          <w:color w:val="000000"/>
          <w:lang w:val="fr-CH"/>
        </w:rPr>
        <w:t>s</w:t>
      </w:r>
      <w:r w:rsidRPr="009F43DE">
        <w:rPr>
          <w:color w:val="000000"/>
          <w:lang w:val="fr-CH"/>
        </w:rPr>
        <w:t xml:space="preserve">ecrétariats divisionnaires pour fournir les services </w:t>
      </w:r>
      <w:r w:rsidR="007E4E74" w:rsidRPr="009F43DE">
        <w:rPr>
          <w:color w:val="000000"/>
          <w:lang w:val="fr-CH"/>
        </w:rPr>
        <w:t>nécessaire</w:t>
      </w:r>
      <w:r w:rsidR="00F1176B" w:rsidRPr="009F43DE">
        <w:rPr>
          <w:color w:val="000000"/>
          <w:lang w:val="fr-CH"/>
        </w:rPr>
        <w:t xml:space="preserve">s </w:t>
      </w:r>
      <w:r w:rsidR="007E4E74" w:rsidRPr="009F43DE">
        <w:rPr>
          <w:color w:val="000000"/>
          <w:lang w:val="fr-CH"/>
        </w:rPr>
        <w:t>en matière d</w:t>
      </w:r>
      <w:r w:rsidR="00F8384A" w:rsidRPr="009F43DE">
        <w:rPr>
          <w:color w:val="000000"/>
          <w:lang w:val="fr-CH"/>
        </w:rPr>
        <w:t>’</w:t>
      </w:r>
      <w:r w:rsidR="007E4E74" w:rsidRPr="009F43DE">
        <w:rPr>
          <w:color w:val="000000"/>
          <w:lang w:val="fr-CH"/>
        </w:rPr>
        <w:t xml:space="preserve">orientation, </w:t>
      </w:r>
      <w:r w:rsidRPr="009F43DE">
        <w:rPr>
          <w:color w:val="000000"/>
          <w:lang w:val="fr-CH"/>
        </w:rPr>
        <w:t>de sensibilisation, de leadership, de coordination et de développement de la personnalité.</w:t>
      </w:r>
      <w:r w:rsidR="00C91A83">
        <w:rPr>
          <w:color w:val="000000"/>
          <w:lang w:val="fr-CH"/>
        </w:rPr>
        <w:t xml:space="preserve"> </w:t>
      </w:r>
    </w:p>
    <w:p w:rsidR="00C77E1E" w:rsidRPr="009F43DE" w:rsidRDefault="00C77E1E" w:rsidP="00A014B9">
      <w:pPr>
        <w:pStyle w:val="H4G"/>
        <w:rPr>
          <w:rFonts w:eastAsia="Calibri"/>
          <w:lang w:val="fr-CH"/>
        </w:rPr>
      </w:pPr>
      <w:r w:rsidRPr="009F43DE">
        <w:rPr>
          <w:rFonts w:eastAsia="Calibri"/>
          <w:lang w:val="fr-CH"/>
        </w:rPr>
        <w:tab/>
      </w:r>
      <w:r w:rsidRPr="009F43DE">
        <w:rPr>
          <w:rFonts w:eastAsia="Calibri"/>
          <w:lang w:val="fr-CH"/>
        </w:rPr>
        <w:tab/>
        <w:t xml:space="preserve">Ratification </w:t>
      </w:r>
      <w:r w:rsidRPr="009F43DE">
        <w:rPr>
          <w:lang w:val="fr-CH"/>
        </w:rPr>
        <w:t>de la Convention relative aux droits des personnes handicapées et d</w:t>
      </w:r>
      <w:r w:rsidR="007E4E74" w:rsidRPr="009F43DE">
        <w:rPr>
          <w:lang w:val="fr-CH"/>
        </w:rPr>
        <w:t>e son</w:t>
      </w:r>
      <w:r w:rsidRPr="009F43DE">
        <w:rPr>
          <w:lang w:val="fr-CH"/>
        </w:rPr>
        <w:t xml:space="preserve"> Protocole facultatif </w:t>
      </w:r>
    </w:p>
    <w:p w:rsidR="00C77E1E" w:rsidRPr="009F43DE" w:rsidRDefault="00C77E1E" w:rsidP="00C77E1E">
      <w:pPr>
        <w:pStyle w:val="SingleTxtG"/>
        <w:rPr>
          <w:color w:val="000000"/>
          <w:lang w:val="fr-CH"/>
        </w:rPr>
      </w:pPr>
      <w:r w:rsidRPr="009F43DE">
        <w:rPr>
          <w:lang w:val="fr-CH"/>
        </w:rPr>
        <w:t>55.</w:t>
      </w:r>
      <w:r w:rsidRPr="009F43DE">
        <w:rPr>
          <w:lang w:val="fr-CH"/>
        </w:rPr>
        <w:tab/>
        <w:t xml:space="preserve">Le </w:t>
      </w:r>
      <w:r w:rsidRPr="009F43DE">
        <w:rPr>
          <w:color w:val="000000"/>
          <w:lang w:val="fr-CH"/>
        </w:rPr>
        <w:t>processus de consultation pour la ratification de ce</w:t>
      </w:r>
      <w:r w:rsidR="007E4E74" w:rsidRPr="009F43DE">
        <w:rPr>
          <w:color w:val="000000"/>
          <w:lang w:val="fr-CH"/>
        </w:rPr>
        <w:t xml:space="preserve">tte </w:t>
      </w:r>
      <w:r w:rsidR="00A014B9">
        <w:rPr>
          <w:color w:val="000000"/>
          <w:lang w:val="fr-CH"/>
        </w:rPr>
        <w:t>c</w:t>
      </w:r>
      <w:r w:rsidR="00A014B9" w:rsidRPr="009F43DE">
        <w:rPr>
          <w:color w:val="000000"/>
          <w:lang w:val="fr-CH"/>
        </w:rPr>
        <w:t xml:space="preserve">onvention </w:t>
      </w:r>
      <w:r w:rsidRPr="009F43DE">
        <w:rPr>
          <w:color w:val="000000"/>
          <w:lang w:val="fr-CH"/>
        </w:rPr>
        <w:t xml:space="preserve">est en cours </w:t>
      </w:r>
      <w:r w:rsidR="00F1176B" w:rsidRPr="009F43DE">
        <w:rPr>
          <w:color w:val="000000"/>
          <w:lang w:val="fr-CH"/>
        </w:rPr>
        <w:t>et la</w:t>
      </w:r>
      <w:r w:rsidRPr="009F43DE">
        <w:rPr>
          <w:color w:val="000000"/>
          <w:lang w:val="fr-CH"/>
        </w:rPr>
        <w:t xml:space="preserve"> ratification </w:t>
      </w:r>
      <w:r w:rsidR="00F1176B" w:rsidRPr="009F43DE">
        <w:rPr>
          <w:color w:val="000000"/>
          <w:lang w:val="fr-CH"/>
        </w:rPr>
        <w:t xml:space="preserve">devrait intervenir </w:t>
      </w:r>
      <w:r w:rsidRPr="009F43DE">
        <w:rPr>
          <w:color w:val="000000"/>
          <w:lang w:val="fr-CH"/>
        </w:rPr>
        <w:t xml:space="preserve">à une date proche. </w:t>
      </w:r>
    </w:p>
    <w:p w:rsidR="00C77E1E" w:rsidRPr="005F283E" w:rsidRDefault="00C77E1E" w:rsidP="00A014B9">
      <w:pPr>
        <w:pStyle w:val="H23G"/>
        <w:rPr>
          <w:lang w:val="fr-CH"/>
        </w:rPr>
      </w:pPr>
      <w:r w:rsidRPr="009F43DE">
        <w:rPr>
          <w:lang w:val="fr-CH"/>
        </w:rPr>
        <w:tab/>
      </w:r>
      <w:r w:rsidRPr="009F43DE">
        <w:rPr>
          <w:lang w:val="fr-CH"/>
        </w:rPr>
        <w:tab/>
        <w:t xml:space="preserve">Lois discriminatoires </w:t>
      </w:r>
      <w:r w:rsidR="00F80613">
        <w:rPr>
          <w:lang w:val="fr-CH"/>
        </w:rPr>
        <w:t>(</w:t>
      </w:r>
      <w:r w:rsidR="007E4E74" w:rsidRPr="009F43DE">
        <w:rPr>
          <w:lang w:val="fr-CH"/>
        </w:rPr>
        <w:t>p</w:t>
      </w:r>
      <w:r w:rsidRPr="009F43DE">
        <w:rPr>
          <w:lang w:val="fr-CH"/>
        </w:rPr>
        <w:t>ar</w:t>
      </w:r>
      <w:r w:rsidR="00F80613">
        <w:rPr>
          <w:lang w:val="fr-CH"/>
        </w:rPr>
        <w:t>.</w:t>
      </w:r>
      <w:r w:rsidRPr="009F43DE">
        <w:rPr>
          <w:lang w:val="fr-CH"/>
        </w:rPr>
        <w:t xml:space="preserve"> 15</w:t>
      </w:r>
      <w:r w:rsidR="00F80613">
        <w:rPr>
          <w:lang w:val="fr-CH"/>
        </w:rPr>
        <w:t>)</w:t>
      </w:r>
    </w:p>
    <w:p w:rsidR="00C77E1E" w:rsidRPr="005F283E" w:rsidRDefault="00C77E1E" w:rsidP="00A014B9">
      <w:pPr>
        <w:pStyle w:val="H4G"/>
        <w:rPr>
          <w:lang w:val="fr-CH"/>
        </w:rPr>
      </w:pPr>
      <w:r w:rsidRPr="009F43DE">
        <w:rPr>
          <w:lang w:val="fr-CH"/>
        </w:rPr>
        <w:tab/>
      </w:r>
      <w:r w:rsidRPr="009F43DE">
        <w:rPr>
          <w:lang w:val="fr-CH"/>
        </w:rPr>
        <w:tab/>
      </w:r>
      <w:r w:rsidR="007574C7" w:rsidRPr="009F43DE">
        <w:rPr>
          <w:lang w:val="fr-CH"/>
        </w:rPr>
        <w:t>Égalité</w:t>
      </w:r>
      <w:r w:rsidRPr="009F43DE">
        <w:rPr>
          <w:lang w:val="fr-CH"/>
        </w:rPr>
        <w:t xml:space="preserve"> de droits pour les femmes</w:t>
      </w:r>
    </w:p>
    <w:p w:rsidR="00C77E1E" w:rsidRPr="009F43DE" w:rsidRDefault="00C77E1E" w:rsidP="00C77E1E">
      <w:pPr>
        <w:pStyle w:val="SingleTxtG"/>
        <w:rPr>
          <w:color w:val="000000"/>
          <w:lang w:val="fr-CH"/>
        </w:rPr>
      </w:pPr>
      <w:r w:rsidRPr="009F43DE">
        <w:rPr>
          <w:lang w:val="fr-CH"/>
        </w:rPr>
        <w:t>56.</w:t>
      </w:r>
      <w:r w:rsidRPr="009F43DE">
        <w:rPr>
          <w:lang w:val="fr-CH"/>
        </w:rPr>
        <w:tab/>
        <w:t>L</w:t>
      </w:r>
      <w:r w:rsidR="00F8384A" w:rsidRPr="009F43DE">
        <w:rPr>
          <w:lang w:val="fr-CH"/>
        </w:rPr>
        <w:t>’</w:t>
      </w:r>
      <w:r w:rsidRPr="009F43DE">
        <w:rPr>
          <w:lang w:val="fr-CH"/>
        </w:rPr>
        <w:t>ar</w:t>
      </w:r>
      <w:r w:rsidRPr="009F43DE">
        <w:rPr>
          <w:rFonts w:eastAsia="Calibri"/>
          <w:lang w:val="fr-CH"/>
        </w:rPr>
        <w:t>ticle 12 de la Constitution d</w:t>
      </w:r>
      <w:r w:rsidR="007E4E74" w:rsidRPr="009F43DE">
        <w:rPr>
          <w:rFonts w:eastAsia="Calibri"/>
          <w:lang w:val="fr-CH"/>
        </w:rPr>
        <w:t>e</w:t>
      </w:r>
      <w:r w:rsidRPr="009F43DE">
        <w:rPr>
          <w:rFonts w:eastAsia="Calibri"/>
          <w:lang w:val="fr-CH"/>
        </w:rPr>
        <w:t xml:space="preserve"> Sri Lanka garantit </w:t>
      </w:r>
      <w:r w:rsidRPr="009F43DE">
        <w:rPr>
          <w:lang w:val="fr-CH"/>
        </w:rPr>
        <w:t>l</w:t>
      </w:r>
      <w:r w:rsidR="00F8384A" w:rsidRPr="009F43DE">
        <w:rPr>
          <w:lang w:val="fr-CH"/>
        </w:rPr>
        <w:t>’</w:t>
      </w:r>
      <w:r w:rsidRPr="009F43DE">
        <w:rPr>
          <w:lang w:val="fr-CH"/>
        </w:rPr>
        <w:t xml:space="preserve">égalité devant la </w:t>
      </w:r>
      <w:r w:rsidR="007E4E74" w:rsidRPr="009F43DE">
        <w:rPr>
          <w:lang w:val="fr-CH"/>
        </w:rPr>
        <w:t>l</w:t>
      </w:r>
      <w:r w:rsidRPr="009F43DE">
        <w:rPr>
          <w:lang w:val="fr-CH"/>
        </w:rPr>
        <w:t xml:space="preserve">oi et </w:t>
      </w:r>
      <w:r w:rsidR="009719A6" w:rsidRPr="009F43DE">
        <w:rPr>
          <w:lang w:val="fr-CH"/>
        </w:rPr>
        <w:t>l</w:t>
      </w:r>
      <w:r w:rsidR="00F8384A" w:rsidRPr="009F43DE">
        <w:rPr>
          <w:lang w:val="fr-CH"/>
        </w:rPr>
        <w:t>’</w:t>
      </w:r>
      <w:r w:rsidR="009719A6" w:rsidRPr="009F43DE">
        <w:rPr>
          <w:lang w:val="fr-CH"/>
        </w:rPr>
        <w:t>égalité de p</w:t>
      </w:r>
      <w:r w:rsidR="007E4E74" w:rsidRPr="009F43DE">
        <w:rPr>
          <w:lang w:val="fr-CH"/>
        </w:rPr>
        <w:t xml:space="preserve">rotection </w:t>
      </w:r>
      <w:r w:rsidR="009719A6" w:rsidRPr="009F43DE">
        <w:rPr>
          <w:lang w:val="fr-CH"/>
        </w:rPr>
        <w:t>par</w:t>
      </w:r>
      <w:r w:rsidRPr="009F43DE">
        <w:rPr>
          <w:lang w:val="fr-CH"/>
        </w:rPr>
        <w:t xml:space="preserve"> la </w:t>
      </w:r>
      <w:r w:rsidR="007E4E74" w:rsidRPr="009F43DE">
        <w:rPr>
          <w:lang w:val="fr-CH"/>
        </w:rPr>
        <w:t>l</w:t>
      </w:r>
      <w:r w:rsidRPr="009F43DE">
        <w:rPr>
          <w:lang w:val="fr-CH"/>
        </w:rPr>
        <w:t xml:space="preserve">oi et interdit toute discrimination fondée sur le sexe. </w:t>
      </w:r>
      <w:r w:rsidRPr="009F43DE">
        <w:rPr>
          <w:rFonts w:eastAsia="Calibri"/>
          <w:lang w:val="fr-CH"/>
        </w:rPr>
        <w:t>Sri Lanka est depuis 1981 partie à la Convention sur l</w:t>
      </w:r>
      <w:r w:rsidR="00F8384A" w:rsidRPr="009F43DE">
        <w:rPr>
          <w:rFonts w:eastAsia="Calibri"/>
          <w:lang w:val="fr-CH"/>
        </w:rPr>
        <w:t>’</w:t>
      </w:r>
      <w:r w:rsidRPr="009F43DE">
        <w:rPr>
          <w:rFonts w:eastAsia="Calibri"/>
          <w:lang w:val="fr-CH"/>
        </w:rPr>
        <w:t>élimination de toutes les formes de discrimination à l</w:t>
      </w:r>
      <w:r w:rsidR="00F8384A" w:rsidRPr="009F43DE">
        <w:rPr>
          <w:rFonts w:eastAsia="Calibri"/>
          <w:lang w:val="fr-CH"/>
        </w:rPr>
        <w:t>’</w:t>
      </w:r>
      <w:r w:rsidRPr="009F43DE">
        <w:rPr>
          <w:rFonts w:eastAsia="Calibri"/>
          <w:lang w:val="fr-CH"/>
        </w:rPr>
        <w:t>égard des femmes. En tant qu</w:t>
      </w:r>
      <w:r w:rsidR="00F8384A" w:rsidRPr="009F43DE">
        <w:rPr>
          <w:rFonts w:eastAsia="Calibri"/>
          <w:lang w:val="fr-CH"/>
        </w:rPr>
        <w:t>’</w:t>
      </w:r>
      <w:r w:rsidR="007574C7" w:rsidRPr="009F43DE">
        <w:rPr>
          <w:rFonts w:eastAsia="Calibri"/>
          <w:lang w:val="fr-CH"/>
        </w:rPr>
        <w:t>État</w:t>
      </w:r>
      <w:r w:rsidRPr="009F43DE">
        <w:rPr>
          <w:rFonts w:eastAsia="Calibri"/>
          <w:lang w:val="fr-CH"/>
        </w:rPr>
        <w:t xml:space="preserve"> </w:t>
      </w:r>
      <w:r w:rsidR="00C16CCB" w:rsidRPr="009F43DE">
        <w:rPr>
          <w:rFonts w:eastAsia="Calibri"/>
          <w:lang w:val="fr-CH"/>
        </w:rPr>
        <w:t>p</w:t>
      </w:r>
      <w:r w:rsidRPr="009F43DE">
        <w:rPr>
          <w:rFonts w:eastAsia="Calibri"/>
          <w:lang w:val="fr-CH"/>
        </w:rPr>
        <w:t xml:space="preserve">artie à la Convention, </w:t>
      </w:r>
      <w:r w:rsidR="00C16CCB" w:rsidRPr="009F43DE">
        <w:rPr>
          <w:rFonts w:eastAsia="Calibri"/>
          <w:lang w:val="fr-CH"/>
        </w:rPr>
        <w:t>elle</w:t>
      </w:r>
      <w:r w:rsidRPr="009F43DE">
        <w:rPr>
          <w:rFonts w:eastAsia="Calibri"/>
          <w:lang w:val="fr-CH"/>
        </w:rPr>
        <w:t xml:space="preserve"> a présenté son huitième </w:t>
      </w:r>
      <w:r w:rsidRPr="009F43DE">
        <w:rPr>
          <w:lang w:val="fr-CH"/>
        </w:rPr>
        <w:t xml:space="preserve">rapport périodique au Comité pour </w:t>
      </w:r>
      <w:r w:rsidRPr="009F43DE">
        <w:rPr>
          <w:color w:val="000000"/>
          <w:lang w:val="fr-CH"/>
        </w:rPr>
        <w:t>l</w:t>
      </w:r>
      <w:r w:rsidR="00F8384A" w:rsidRPr="009F43DE">
        <w:rPr>
          <w:color w:val="000000"/>
          <w:lang w:val="fr-CH"/>
        </w:rPr>
        <w:t>’</w:t>
      </w:r>
      <w:r w:rsidRPr="009F43DE">
        <w:rPr>
          <w:color w:val="000000"/>
          <w:lang w:val="fr-CH"/>
        </w:rPr>
        <w:t>élimination de la discrimination à l</w:t>
      </w:r>
      <w:r w:rsidR="00F8384A" w:rsidRPr="009F43DE">
        <w:rPr>
          <w:color w:val="000000"/>
          <w:lang w:val="fr-CH"/>
        </w:rPr>
        <w:t>’</w:t>
      </w:r>
      <w:r w:rsidRPr="009F43DE">
        <w:rPr>
          <w:color w:val="000000"/>
          <w:lang w:val="fr-CH"/>
        </w:rPr>
        <w:t xml:space="preserve">égard des femmes en mai 2015 et continue de suivre les </w:t>
      </w:r>
      <w:r w:rsidRPr="009F43DE">
        <w:rPr>
          <w:rFonts w:eastAsia="Calibri"/>
          <w:color w:val="000000"/>
          <w:lang w:val="fr-CH"/>
        </w:rPr>
        <w:t xml:space="preserve">recommandations de la Convention. Le rapport présente des informations importantes sur les progrès </w:t>
      </w:r>
      <w:r w:rsidR="00C16CCB" w:rsidRPr="009F43DE">
        <w:rPr>
          <w:rFonts w:eastAsia="Calibri"/>
          <w:color w:val="000000"/>
          <w:lang w:val="fr-CH"/>
        </w:rPr>
        <w:t>accomplis</w:t>
      </w:r>
      <w:r w:rsidRPr="009F43DE">
        <w:rPr>
          <w:rFonts w:eastAsia="Calibri"/>
          <w:color w:val="000000"/>
          <w:lang w:val="fr-CH"/>
        </w:rPr>
        <w:t xml:space="preserve"> dans la promotion de l</w:t>
      </w:r>
      <w:r w:rsidR="00F8384A" w:rsidRPr="009F43DE">
        <w:rPr>
          <w:rFonts w:eastAsia="Calibri"/>
          <w:color w:val="000000"/>
          <w:lang w:val="fr-CH"/>
        </w:rPr>
        <w:t>’</w:t>
      </w:r>
      <w:r w:rsidRPr="009F43DE">
        <w:rPr>
          <w:rFonts w:eastAsia="Calibri"/>
          <w:color w:val="000000"/>
          <w:lang w:val="fr-CH"/>
        </w:rPr>
        <w:t xml:space="preserve">égalité des droits dans les sphères socioéconomiques et culturelles. </w:t>
      </w:r>
    </w:p>
    <w:p w:rsidR="00C77E1E" w:rsidRPr="009F43DE" w:rsidRDefault="00C77E1E" w:rsidP="00C77E1E">
      <w:pPr>
        <w:pStyle w:val="SingleTxtG"/>
        <w:rPr>
          <w:lang w:val="fr-CH"/>
        </w:rPr>
      </w:pPr>
      <w:r w:rsidRPr="009F43DE">
        <w:rPr>
          <w:color w:val="000000"/>
          <w:lang w:val="fr-CH"/>
        </w:rPr>
        <w:t>57.</w:t>
      </w:r>
      <w:r w:rsidRPr="009F43DE">
        <w:rPr>
          <w:color w:val="000000"/>
          <w:lang w:val="fr-CH"/>
        </w:rPr>
        <w:tab/>
        <w:t xml:space="preserve">La Charte des femmes de </w:t>
      </w:r>
      <w:r w:rsidRPr="009F43DE">
        <w:rPr>
          <w:rFonts w:eastAsia="Calibri"/>
          <w:color w:val="000000"/>
          <w:lang w:val="fr-CH"/>
        </w:rPr>
        <w:t>1993 garantit que tous les droits des femmes sont également respectés lors de l</w:t>
      </w:r>
      <w:r w:rsidR="00F8384A" w:rsidRPr="009F43DE">
        <w:rPr>
          <w:rFonts w:eastAsia="Calibri"/>
          <w:color w:val="000000"/>
          <w:lang w:val="fr-CH"/>
        </w:rPr>
        <w:t>’</w:t>
      </w:r>
      <w:r w:rsidRPr="009F43DE">
        <w:rPr>
          <w:rFonts w:eastAsia="Calibri"/>
          <w:color w:val="000000"/>
          <w:lang w:val="fr-CH"/>
        </w:rPr>
        <w:t>élaboration des lois. L</w:t>
      </w:r>
      <w:r w:rsidR="00C16CCB" w:rsidRPr="009F43DE">
        <w:rPr>
          <w:rFonts w:eastAsia="Calibri"/>
          <w:color w:val="000000"/>
          <w:lang w:val="fr-CH"/>
        </w:rPr>
        <w:t>e paragraphe 2 de l</w:t>
      </w:r>
      <w:r w:rsidR="00F8384A" w:rsidRPr="009F43DE">
        <w:rPr>
          <w:rFonts w:eastAsia="Calibri"/>
          <w:color w:val="000000"/>
          <w:lang w:val="fr-CH"/>
        </w:rPr>
        <w:t>’</w:t>
      </w:r>
      <w:r w:rsidRPr="009F43DE">
        <w:rPr>
          <w:rFonts w:eastAsia="Calibri"/>
          <w:color w:val="000000"/>
          <w:lang w:val="fr-CH"/>
        </w:rPr>
        <w:t>article 12 de la Constitution prévoit qu</w:t>
      </w:r>
      <w:r w:rsidR="00F8384A" w:rsidRPr="009F43DE">
        <w:rPr>
          <w:rFonts w:eastAsia="Calibri"/>
          <w:color w:val="000000"/>
          <w:lang w:val="fr-CH"/>
        </w:rPr>
        <w:t>’</w:t>
      </w:r>
      <w:r w:rsidR="00C16CCB" w:rsidRPr="009F43DE">
        <w:rPr>
          <w:rFonts w:eastAsia="Calibri"/>
          <w:color w:val="000000"/>
          <w:lang w:val="fr-CH"/>
        </w:rPr>
        <w:t>aucun</w:t>
      </w:r>
      <w:r w:rsidRPr="009F43DE">
        <w:rPr>
          <w:color w:val="000000"/>
          <w:lang w:val="fr-CH"/>
        </w:rPr>
        <w:t xml:space="preserve"> citoyen ne peut être l</w:t>
      </w:r>
      <w:r w:rsidR="00F8384A" w:rsidRPr="009F43DE">
        <w:rPr>
          <w:color w:val="000000"/>
          <w:lang w:val="fr-CH"/>
        </w:rPr>
        <w:t>’</w:t>
      </w:r>
      <w:r w:rsidRPr="009F43DE">
        <w:rPr>
          <w:color w:val="000000"/>
          <w:lang w:val="fr-CH"/>
        </w:rPr>
        <w:t>objet d</w:t>
      </w:r>
      <w:r w:rsidR="00F8384A" w:rsidRPr="009F43DE">
        <w:rPr>
          <w:color w:val="000000"/>
          <w:lang w:val="fr-CH"/>
        </w:rPr>
        <w:t>’</w:t>
      </w:r>
      <w:r w:rsidRPr="009F43DE">
        <w:rPr>
          <w:color w:val="000000"/>
          <w:lang w:val="fr-CH"/>
        </w:rPr>
        <w:t>une discrimination pour des</w:t>
      </w:r>
      <w:r w:rsidRPr="009F43DE">
        <w:rPr>
          <w:lang w:val="fr-CH"/>
        </w:rPr>
        <w:t xml:space="preserve"> raisons de race, de </w:t>
      </w:r>
      <w:r w:rsidR="00C16CCB" w:rsidRPr="009F43DE">
        <w:rPr>
          <w:lang w:val="fr-CH"/>
        </w:rPr>
        <w:t xml:space="preserve">religion, de langue, de </w:t>
      </w:r>
      <w:r w:rsidRPr="009F43DE">
        <w:rPr>
          <w:lang w:val="fr-CH"/>
        </w:rPr>
        <w:t>caste, de sexe, d</w:t>
      </w:r>
      <w:r w:rsidR="00F8384A" w:rsidRPr="009F43DE">
        <w:rPr>
          <w:lang w:val="fr-CH"/>
        </w:rPr>
        <w:t>’</w:t>
      </w:r>
      <w:r w:rsidRPr="009F43DE">
        <w:rPr>
          <w:lang w:val="fr-CH"/>
        </w:rPr>
        <w:t>opinion politique, de lieu de naissance</w:t>
      </w:r>
      <w:r w:rsidR="00C16CCB" w:rsidRPr="009F43DE">
        <w:rPr>
          <w:lang w:val="fr-CH"/>
        </w:rPr>
        <w:t>, entre autres</w:t>
      </w:r>
      <w:r w:rsidRPr="009F43DE">
        <w:rPr>
          <w:lang w:val="fr-CH"/>
        </w:rPr>
        <w:t>. En vertu d</w:t>
      </w:r>
      <w:r w:rsidR="00C16CCB" w:rsidRPr="009F43DE">
        <w:rPr>
          <w:lang w:val="fr-CH"/>
        </w:rPr>
        <w:t>u paragraphe 4 de cet article</w:t>
      </w:r>
      <w:r w:rsidRPr="009F43DE">
        <w:rPr>
          <w:rFonts w:eastAsia="Calibri"/>
          <w:lang w:val="fr-CH"/>
        </w:rPr>
        <w:t xml:space="preserve">, </w:t>
      </w:r>
      <w:r w:rsidR="00C16CCB" w:rsidRPr="009F43DE">
        <w:rPr>
          <w:rFonts w:eastAsia="Calibri"/>
          <w:lang w:val="fr-CH"/>
        </w:rPr>
        <w:t xml:space="preserve">une </w:t>
      </w:r>
      <w:r w:rsidR="00C16CCB" w:rsidRPr="009F43DE">
        <w:rPr>
          <w:lang w:val="fr-CH"/>
        </w:rPr>
        <w:t>disposition spéciale du droit ou une législation secondaire ou encore une action de l</w:t>
      </w:r>
      <w:r w:rsidR="00F8384A" w:rsidRPr="009F43DE">
        <w:rPr>
          <w:lang w:val="fr-CH"/>
        </w:rPr>
        <w:t>’</w:t>
      </w:r>
      <w:r w:rsidR="00C16CCB" w:rsidRPr="009F43DE">
        <w:rPr>
          <w:lang w:val="fr-CH"/>
        </w:rPr>
        <w:t xml:space="preserve">exécutif </w:t>
      </w:r>
      <w:r w:rsidR="00135826" w:rsidRPr="009F43DE">
        <w:rPr>
          <w:lang w:val="fr-CH"/>
        </w:rPr>
        <w:t xml:space="preserve">peut viser expressément à </w:t>
      </w:r>
      <w:r w:rsidR="00C16CCB" w:rsidRPr="009F43DE">
        <w:rPr>
          <w:lang w:val="fr-CH"/>
        </w:rPr>
        <w:t>promouvoir le progrès des femmes, des enfants ou des personnes handicapées</w:t>
      </w:r>
      <w:r w:rsidRPr="009F43DE">
        <w:rPr>
          <w:lang w:val="fr-CH"/>
        </w:rPr>
        <w:t xml:space="preserve">. </w:t>
      </w:r>
    </w:p>
    <w:p w:rsidR="00C77E1E" w:rsidRPr="005F283E" w:rsidRDefault="00C77E1E" w:rsidP="007D3976">
      <w:pPr>
        <w:pStyle w:val="H4G"/>
        <w:rPr>
          <w:lang w:val="fr-CH"/>
        </w:rPr>
      </w:pPr>
      <w:r w:rsidRPr="009F43DE">
        <w:rPr>
          <w:lang w:val="fr-CH"/>
        </w:rPr>
        <w:tab/>
      </w:r>
      <w:r w:rsidRPr="009F43DE">
        <w:rPr>
          <w:lang w:val="fr-CH"/>
        </w:rPr>
        <w:tab/>
        <w:t>Lois discriminatoires</w:t>
      </w:r>
    </w:p>
    <w:p w:rsidR="00C77E1E" w:rsidRPr="009F43DE" w:rsidRDefault="00C77E1E" w:rsidP="00C77E1E">
      <w:pPr>
        <w:pStyle w:val="SingleTxtG"/>
        <w:rPr>
          <w:color w:val="000000"/>
          <w:lang w:val="fr-CH"/>
        </w:rPr>
      </w:pPr>
      <w:r w:rsidRPr="009F43DE">
        <w:rPr>
          <w:lang w:val="fr-CH"/>
        </w:rPr>
        <w:t>58.</w:t>
      </w:r>
      <w:r w:rsidRPr="009F43DE">
        <w:rPr>
          <w:lang w:val="fr-CH"/>
        </w:rPr>
        <w:tab/>
      </w:r>
      <w:r w:rsidRPr="009F43DE">
        <w:rPr>
          <w:color w:val="000000"/>
          <w:lang w:val="fr-CH"/>
        </w:rPr>
        <w:t xml:space="preserve">La </w:t>
      </w:r>
      <w:r w:rsidR="00C16CCB" w:rsidRPr="009F43DE">
        <w:rPr>
          <w:color w:val="000000"/>
          <w:lang w:val="fr-CH"/>
        </w:rPr>
        <w:t>l</w:t>
      </w:r>
      <w:r w:rsidRPr="009F43DE">
        <w:rPr>
          <w:color w:val="000000"/>
          <w:lang w:val="fr-CH"/>
        </w:rPr>
        <w:t xml:space="preserve">oi </w:t>
      </w:r>
      <w:r w:rsidR="00F80613">
        <w:rPr>
          <w:lang w:val="fr-CH"/>
        </w:rPr>
        <w:t>n</w:t>
      </w:r>
      <w:r w:rsidR="00F80613" w:rsidRPr="001D6B83">
        <w:rPr>
          <w:vertAlign w:val="superscript"/>
          <w:lang w:val="fr-CH"/>
        </w:rPr>
        <w:t>o</w:t>
      </w:r>
      <w:r w:rsidR="00C16CCB" w:rsidRPr="009F43DE">
        <w:rPr>
          <w:color w:val="000000"/>
          <w:lang w:val="fr-CH"/>
        </w:rPr>
        <w:t> </w:t>
      </w:r>
      <w:r w:rsidRPr="009F43DE">
        <w:rPr>
          <w:color w:val="000000"/>
          <w:lang w:val="fr-CH"/>
        </w:rPr>
        <w:t xml:space="preserve">16 de 2003 sur la </w:t>
      </w:r>
      <w:r w:rsidR="00135826" w:rsidRPr="009F43DE">
        <w:rPr>
          <w:color w:val="000000"/>
          <w:lang w:val="fr-CH"/>
        </w:rPr>
        <w:t>citoyenneté</w:t>
      </w:r>
      <w:r w:rsidRPr="009F43DE">
        <w:rPr>
          <w:color w:val="000000"/>
          <w:lang w:val="fr-CH"/>
        </w:rPr>
        <w:t xml:space="preserve"> (modifi</w:t>
      </w:r>
      <w:r w:rsidR="00135826" w:rsidRPr="009F43DE">
        <w:rPr>
          <w:color w:val="000000"/>
          <w:lang w:val="fr-CH"/>
        </w:rPr>
        <w:t>cative</w:t>
      </w:r>
      <w:r w:rsidRPr="009F43DE">
        <w:rPr>
          <w:color w:val="000000"/>
          <w:lang w:val="fr-CH"/>
        </w:rPr>
        <w:t xml:space="preserve">), qui </w:t>
      </w:r>
      <w:r w:rsidR="00135826" w:rsidRPr="009F43DE">
        <w:rPr>
          <w:color w:val="000000"/>
          <w:lang w:val="fr-CH"/>
        </w:rPr>
        <w:t xml:space="preserve">a pris effet au </w:t>
      </w:r>
      <w:r w:rsidRPr="009F43DE">
        <w:rPr>
          <w:color w:val="000000"/>
          <w:lang w:val="fr-CH"/>
        </w:rPr>
        <w:t>1</w:t>
      </w:r>
      <w:r w:rsidRPr="007D3976">
        <w:rPr>
          <w:color w:val="000000"/>
          <w:vertAlign w:val="superscript"/>
          <w:lang w:val="fr-CH"/>
        </w:rPr>
        <w:t>er</w:t>
      </w:r>
      <w:r w:rsidRPr="009F43DE">
        <w:rPr>
          <w:color w:val="000000"/>
          <w:lang w:val="fr-CH"/>
        </w:rPr>
        <w:t xml:space="preserve"> avril 2003, a supprimé les dispositions discriminatoires </w:t>
      </w:r>
      <w:r w:rsidR="00135826" w:rsidRPr="009F43DE">
        <w:rPr>
          <w:color w:val="000000"/>
          <w:lang w:val="fr-CH"/>
        </w:rPr>
        <w:t>en vertu desquelles</w:t>
      </w:r>
      <w:r w:rsidRPr="009F43DE">
        <w:rPr>
          <w:color w:val="000000"/>
          <w:lang w:val="fr-CH"/>
        </w:rPr>
        <w:t xml:space="preserve"> la nationalité ne pouvait être transmise qu</w:t>
      </w:r>
      <w:r w:rsidR="00135826" w:rsidRPr="009F43DE">
        <w:rPr>
          <w:color w:val="000000"/>
          <w:lang w:val="fr-CH"/>
        </w:rPr>
        <w:t>e par les</w:t>
      </w:r>
      <w:r w:rsidRPr="009F43DE">
        <w:rPr>
          <w:color w:val="000000"/>
          <w:lang w:val="fr-CH"/>
        </w:rPr>
        <w:t xml:space="preserve"> hommes. Les femmes jouissent maintenant de droits égaux à celui des hommes en ce qui concerne la nationalité de leurs enfants. Il import</w:t>
      </w:r>
      <w:r w:rsidR="00135826" w:rsidRPr="009F43DE">
        <w:rPr>
          <w:color w:val="000000"/>
          <w:lang w:val="fr-CH"/>
        </w:rPr>
        <w:t>e</w:t>
      </w:r>
      <w:r w:rsidRPr="009F43DE">
        <w:rPr>
          <w:color w:val="000000"/>
          <w:lang w:val="fr-CH"/>
        </w:rPr>
        <w:t xml:space="preserve"> de noter que la </w:t>
      </w:r>
      <w:r w:rsidR="00135826" w:rsidRPr="009F43DE">
        <w:rPr>
          <w:color w:val="000000"/>
          <w:lang w:val="fr-CH"/>
        </w:rPr>
        <w:t>l</w:t>
      </w:r>
      <w:r w:rsidRPr="009F43DE">
        <w:rPr>
          <w:color w:val="000000"/>
          <w:lang w:val="fr-CH"/>
        </w:rPr>
        <w:t>oi confère ce droit de façon rétrospective puisque les descendants à qui la nationalité a été refus</w:t>
      </w:r>
      <w:r w:rsidR="00135826" w:rsidRPr="009F43DE">
        <w:rPr>
          <w:color w:val="000000"/>
          <w:lang w:val="fr-CH"/>
        </w:rPr>
        <w:t>é</w:t>
      </w:r>
      <w:r w:rsidRPr="009F43DE">
        <w:rPr>
          <w:color w:val="000000"/>
          <w:lang w:val="fr-CH"/>
        </w:rPr>
        <w:t>e en raison de cette disposition discriminatoire peuvent demander la nationalité s</w:t>
      </w:r>
      <w:r w:rsidR="00F8384A" w:rsidRPr="009F43DE">
        <w:rPr>
          <w:color w:val="000000"/>
          <w:lang w:val="fr-CH"/>
        </w:rPr>
        <w:t>’</w:t>
      </w:r>
      <w:r w:rsidRPr="009F43DE">
        <w:rPr>
          <w:color w:val="000000"/>
          <w:lang w:val="fr-CH"/>
        </w:rPr>
        <w:t xml:space="preserve">ils le souhaitent. </w:t>
      </w:r>
    </w:p>
    <w:p w:rsidR="00C77E1E" w:rsidRPr="009F43DE" w:rsidRDefault="00C77E1E" w:rsidP="00C77E1E">
      <w:pPr>
        <w:pStyle w:val="SingleTxtG"/>
        <w:rPr>
          <w:lang w:val="fr-CH"/>
        </w:rPr>
      </w:pPr>
      <w:r w:rsidRPr="009F43DE">
        <w:rPr>
          <w:color w:val="000000"/>
          <w:lang w:val="fr-CH"/>
        </w:rPr>
        <w:t>59.</w:t>
      </w:r>
      <w:r w:rsidRPr="009F43DE">
        <w:rPr>
          <w:color w:val="000000"/>
          <w:lang w:val="fr-CH"/>
        </w:rPr>
        <w:tab/>
        <w:t xml:space="preserve">En outre, afin de </w:t>
      </w:r>
      <w:r w:rsidR="004553DB" w:rsidRPr="009F43DE">
        <w:rPr>
          <w:color w:val="000000"/>
          <w:lang w:val="fr-CH"/>
        </w:rPr>
        <w:t>remédier aux</w:t>
      </w:r>
      <w:r w:rsidRPr="009F43DE">
        <w:rPr>
          <w:color w:val="000000"/>
          <w:lang w:val="fr-CH"/>
        </w:rPr>
        <w:t xml:space="preserve"> dis</w:t>
      </w:r>
      <w:r w:rsidR="004553DB" w:rsidRPr="009F43DE">
        <w:rPr>
          <w:color w:val="000000"/>
          <w:lang w:val="fr-CH"/>
        </w:rPr>
        <w:t>parités</w:t>
      </w:r>
      <w:r w:rsidRPr="009F43DE">
        <w:rPr>
          <w:color w:val="000000"/>
          <w:lang w:val="fr-CH"/>
        </w:rPr>
        <w:t xml:space="preserve"> sur la base du sexe en matière d</w:t>
      </w:r>
      <w:r w:rsidR="00F8384A" w:rsidRPr="009F43DE">
        <w:rPr>
          <w:color w:val="000000"/>
          <w:lang w:val="fr-CH"/>
        </w:rPr>
        <w:t>’</w:t>
      </w:r>
      <w:r w:rsidRPr="009F43DE">
        <w:rPr>
          <w:color w:val="000000"/>
          <w:lang w:val="fr-CH"/>
        </w:rPr>
        <w:t xml:space="preserve">héritage des </w:t>
      </w:r>
      <w:r w:rsidR="004553DB" w:rsidRPr="009F43DE">
        <w:rPr>
          <w:color w:val="000000"/>
          <w:lang w:val="fr-CH"/>
        </w:rPr>
        <w:t>biens fonciers</w:t>
      </w:r>
      <w:r w:rsidRPr="009F43DE">
        <w:rPr>
          <w:color w:val="000000"/>
          <w:lang w:val="fr-CH"/>
        </w:rPr>
        <w:t>, un projet</w:t>
      </w:r>
      <w:r w:rsidRPr="009F43DE">
        <w:rPr>
          <w:lang w:val="fr-CH"/>
        </w:rPr>
        <w:t xml:space="preserve"> de loi portant </w:t>
      </w:r>
      <w:r w:rsidR="004553DB" w:rsidRPr="009F43DE">
        <w:rPr>
          <w:lang w:val="fr-CH"/>
        </w:rPr>
        <w:t>modification de l</w:t>
      </w:r>
      <w:r w:rsidR="00F8384A" w:rsidRPr="009F43DE">
        <w:rPr>
          <w:lang w:val="fr-CH"/>
        </w:rPr>
        <w:t>’</w:t>
      </w:r>
      <w:r w:rsidR="004553DB" w:rsidRPr="009F43DE">
        <w:rPr>
          <w:lang w:val="fr-CH"/>
        </w:rPr>
        <w:t xml:space="preserve">ordonnance </w:t>
      </w:r>
      <w:r w:rsidRPr="009F43DE">
        <w:rPr>
          <w:lang w:val="fr-CH"/>
        </w:rPr>
        <w:t>sur la mise en valeur des terres, qui vise à reconnaître l</w:t>
      </w:r>
      <w:r w:rsidR="00F8384A" w:rsidRPr="009F43DE">
        <w:rPr>
          <w:lang w:val="fr-CH"/>
        </w:rPr>
        <w:t>’</w:t>
      </w:r>
      <w:r w:rsidRPr="009F43DE">
        <w:rPr>
          <w:lang w:val="fr-CH"/>
        </w:rPr>
        <w:t>égalité des droits de succession en matière de propriété foncière, a été soumis au Parlement</w:t>
      </w:r>
      <w:r w:rsidR="004553DB" w:rsidRPr="009F43DE">
        <w:rPr>
          <w:lang w:val="fr-CH"/>
        </w:rPr>
        <w:t xml:space="preserve">. Conformément à la Constitution, ce projet de loi </w:t>
      </w:r>
      <w:r w:rsidRPr="009F43DE">
        <w:rPr>
          <w:lang w:val="fr-CH"/>
        </w:rPr>
        <w:t xml:space="preserve">a dû être renvoyé devant les conseils provinciaux, </w:t>
      </w:r>
      <w:r w:rsidR="004553DB" w:rsidRPr="009F43DE">
        <w:rPr>
          <w:lang w:val="fr-CH"/>
        </w:rPr>
        <w:t>où il</w:t>
      </w:r>
      <w:r w:rsidRPr="009F43DE">
        <w:rPr>
          <w:lang w:val="fr-CH"/>
        </w:rPr>
        <w:t xml:space="preserve"> est actuellement à l</w:t>
      </w:r>
      <w:r w:rsidR="00F8384A" w:rsidRPr="009F43DE">
        <w:rPr>
          <w:lang w:val="fr-CH"/>
        </w:rPr>
        <w:t>’</w:t>
      </w:r>
      <w:r w:rsidRPr="009F43DE">
        <w:rPr>
          <w:lang w:val="fr-CH"/>
        </w:rPr>
        <w:t>étude.</w:t>
      </w:r>
    </w:p>
    <w:p w:rsidR="00C77E1E" w:rsidRPr="005F283E" w:rsidRDefault="00C77E1E" w:rsidP="003C1784">
      <w:pPr>
        <w:pStyle w:val="H4G"/>
        <w:rPr>
          <w:lang w:val="fr-CH"/>
        </w:rPr>
      </w:pPr>
      <w:r w:rsidRPr="009F43DE">
        <w:rPr>
          <w:lang w:val="fr-CH"/>
        </w:rPr>
        <w:tab/>
      </w:r>
      <w:r w:rsidRPr="009F43DE">
        <w:rPr>
          <w:lang w:val="fr-CH"/>
        </w:rPr>
        <w:tab/>
        <w:t xml:space="preserve">Droit musulman </w:t>
      </w:r>
      <w:r w:rsidR="004553DB" w:rsidRPr="009F43DE">
        <w:rPr>
          <w:lang w:val="fr-CH"/>
        </w:rPr>
        <w:t>sur le statut personnel</w:t>
      </w:r>
    </w:p>
    <w:p w:rsidR="00C77E1E" w:rsidRPr="009F43DE" w:rsidRDefault="00C77E1E" w:rsidP="00C77E1E">
      <w:pPr>
        <w:pStyle w:val="SingleTxtG"/>
        <w:rPr>
          <w:color w:val="000000"/>
          <w:lang w:val="fr-CH"/>
        </w:rPr>
      </w:pPr>
      <w:r w:rsidRPr="009F43DE">
        <w:rPr>
          <w:color w:val="000000"/>
          <w:lang w:val="fr-CH"/>
        </w:rPr>
        <w:t>60.</w:t>
      </w:r>
      <w:r w:rsidRPr="009F43DE">
        <w:rPr>
          <w:color w:val="000000"/>
          <w:lang w:val="fr-CH"/>
        </w:rPr>
        <w:tab/>
      </w:r>
      <w:r w:rsidRPr="009F43DE">
        <w:rPr>
          <w:rFonts w:eastAsia="Calibri"/>
          <w:color w:val="000000"/>
          <w:lang w:val="fr-CH"/>
        </w:rPr>
        <w:t>Sri Lanka reconnaît l</w:t>
      </w:r>
      <w:r w:rsidR="00F8384A" w:rsidRPr="009F43DE">
        <w:rPr>
          <w:rFonts w:eastAsia="Calibri"/>
          <w:color w:val="000000"/>
          <w:lang w:val="fr-CH"/>
        </w:rPr>
        <w:t>’</w:t>
      </w:r>
      <w:r w:rsidR="004553DB" w:rsidRPr="009F43DE">
        <w:rPr>
          <w:rFonts w:eastAsia="Calibri"/>
          <w:color w:val="000000"/>
          <w:lang w:val="fr-CH"/>
        </w:rPr>
        <w:t>applicabilité</w:t>
      </w:r>
      <w:r w:rsidRPr="009F43DE">
        <w:rPr>
          <w:rFonts w:eastAsia="Calibri"/>
          <w:color w:val="000000"/>
          <w:lang w:val="fr-CH"/>
        </w:rPr>
        <w:t xml:space="preserve"> de droits coutumiers </w:t>
      </w:r>
      <w:r w:rsidR="004553DB" w:rsidRPr="009F43DE">
        <w:rPr>
          <w:rFonts w:eastAsia="Calibri"/>
          <w:color w:val="000000"/>
          <w:lang w:val="fr-CH"/>
        </w:rPr>
        <w:t>à</w:t>
      </w:r>
      <w:r w:rsidRPr="009F43DE">
        <w:rPr>
          <w:rFonts w:eastAsia="Calibri"/>
          <w:color w:val="000000"/>
          <w:lang w:val="fr-CH"/>
        </w:rPr>
        <w:t xml:space="preserve"> certaines communautés d</w:t>
      </w:r>
      <w:r w:rsidR="004553DB" w:rsidRPr="009F43DE">
        <w:rPr>
          <w:rFonts w:eastAsia="Calibri"/>
          <w:color w:val="000000"/>
          <w:lang w:val="fr-CH"/>
        </w:rPr>
        <w:t>u</w:t>
      </w:r>
      <w:r w:rsidRPr="009F43DE">
        <w:rPr>
          <w:rFonts w:eastAsia="Calibri"/>
          <w:color w:val="000000"/>
          <w:lang w:val="fr-CH"/>
        </w:rPr>
        <w:t xml:space="preserve"> pays. La </w:t>
      </w:r>
      <w:r w:rsidR="004553DB" w:rsidRPr="009F43DE">
        <w:rPr>
          <w:rFonts w:eastAsia="Calibri"/>
          <w:color w:val="000000"/>
          <w:lang w:val="fr-CH"/>
        </w:rPr>
        <w:t>l</w:t>
      </w:r>
      <w:r w:rsidRPr="009F43DE">
        <w:rPr>
          <w:rFonts w:eastAsia="Calibri"/>
          <w:color w:val="000000"/>
          <w:lang w:val="fr-CH"/>
        </w:rPr>
        <w:t>oi de 1951 sur le mariage et le divorce musulmans ne mentionne pas d</w:t>
      </w:r>
      <w:r w:rsidR="00F8384A" w:rsidRPr="009F43DE">
        <w:rPr>
          <w:rFonts w:eastAsia="Calibri"/>
          <w:color w:val="000000"/>
          <w:lang w:val="fr-CH"/>
        </w:rPr>
        <w:t>’</w:t>
      </w:r>
      <w:r w:rsidRPr="009F43DE">
        <w:rPr>
          <w:rFonts w:eastAsia="Calibri"/>
          <w:color w:val="000000"/>
          <w:lang w:val="fr-CH"/>
        </w:rPr>
        <w:t>âge minimum pour le mariage et des efforts sont en cours pour obtenir un consensus au sein de la communauté musulmane d</w:t>
      </w:r>
      <w:r w:rsidR="004553DB" w:rsidRPr="009F43DE">
        <w:rPr>
          <w:rFonts w:eastAsia="Calibri"/>
          <w:color w:val="000000"/>
          <w:lang w:val="fr-CH"/>
        </w:rPr>
        <w:t>e</w:t>
      </w:r>
      <w:r w:rsidRPr="009F43DE">
        <w:rPr>
          <w:rFonts w:eastAsia="Calibri"/>
          <w:color w:val="000000"/>
          <w:lang w:val="fr-CH"/>
        </w:rPr>
        <w:t xml:space="preserve"> Sri Lanka afin de </w:t>
      </w:r>
      <w:r w:rsidR="004553DB" w:rsidRPr="009F43DE">
        <w:rPr>
          <w:rFonts w:eastAsia="Calibri"/>
          <w:color w:val="000000"/>
          <w:lang w:val="fr-CH"/>
        </w:rPr>
        <w:t xml:space="preserve">la </w:t>
      </w:r>
      <w:r w:rsidRPr="009F43DE">
        <w:rPr>
          <w:rFonts w:eastAsia="Calibri"/>
          <w:color w:val="000000"/>
          <w:lang w:val="fr-CH"/>
        </w:rPr>
        <w:t xml:space="preserve">modifier. </w:t>
      </w:r>
      <w:r w:rsidR="004553DB" w:rsidRPr="009F43DE">
        <w:rPr>
          <w:rFonts w:eastAsia="Calibri"/>
          <w:color w:val="000000"/>
          <w:lang w:val="fr-CH"/>
        </w:rPr>
        <w:t>Le</w:t>
      </w:r>
      <w:r w:rsidRPr="009F43DE">
        <w:rPr>
          <w:rFonts w:eastAsia="Calibri"/>
          <w:color w:val="000000"/>
          <w:lang w:val="fr-CH"/>
        </w:rPr>
        <w:t xml:space="preserve"> pourcentage signalé de mariages de mineurs musulmans </w:t>
      </w:r>
      <w:r w:rsidR="004553DB" w:rsidRPr="009F43DE">
        <w:rPr>
          <w:rFonts w:eastAsia="Calibri"/>
          <w:color w:val="000000"/>
          <w:lang w:val="fr-CH"/>
        </w:rPr>
        <w:t>a toutefois</w:t>
      </w:r>
      <w:r w:rsidRPr="009F43DE">
        <w:rPr>
          <w:rFonts w:eastAsia="Calibri"/>
          <w:color w:val="000000"/>
          <w:lang w:val="fr-CH"/>
        </w:rPr>
        <w:t xml:space="preserve"> </w:t>
      </w:r>
      <w:r w:rsidR="00654DBE" w:rsidRPr="009F43DE">
        <w:rPr>
          <w:rFonts w:eastAsia="Calibri"/>
          <w:color w:val="000000"/>
          <w:lang w:val="fr-CH"/>
        </w:rPr>
        <w:t xml:space="preserve">nettement </w:t>
      </w:r>
      <w:r w:rsidRPr="009F43DE">
        <w:rPr>
          <w:rFonts w:eastAsia="Calibri"/>
          <w:color w:val="000000"/>
          <w:lang w:val="fr-CH"/>
        </w:rPr>
        <w:t xml:space="preserve">diminué récemment. Les mariages de mineurs ne peuvent donc pas être considérés comme une pratique traditionnelle ou systématique au sein de la communauté musulmane </w:t>
      </w:r>
      <w:r w:rsidR="004553DB" w:rsidRPr="009F43DE">
        <w:rPr>
          <w:rFonts w:eastAsia="Calibri"/>
          <w:color w:val="000000"/>
          <w:lang w:val="fr-CH"/>
        </w:rPr>
        <w:t xml:space="preserve">de Sri Lanka </w:t>
      </w:r>
      <w:r w:rsidRPr="009F43DE">
        <w:rPr>
          <w:rFonts w:eastAsia="Calibri"/>
          <w:color w:val="000000"/>
          <w:lang w:val="fr-CH"/>
        </w:rPr>
        <w:t>et la population est de façon générale consciente de l</w:t>
      </w:r>
      <w:r w:rsidR="00F8384A" w:rsidRPr="009F43DE">
        <w:rPr>
          <w:rFonts w:eastAsia="Calibri"/>
          <w:color w:val="000000"/>
          <w:lang w:val="fr-CH"/>
        </w:rPr>
        <w:t>’</w:t>
      </w:r>
      <w:r w:rsidRPr="009F43DE">
        <w:rPr>
          <w:rFonts w:eastAsia="Calibri"/>
          <w:color w:val="000000"/>
          <w:lang w:val="fr-CH"/>
        </w:rPr>
        <w:t xml:space="preserve">âge minimum du mariage. </w:t>
      </w:r>
    </w:p>
    <w:p w:rsidR="00C77E1E" w:rsidRPr="009F43DE" w:rsidRDefault="00C77E1E" w:rsidP="00F80613">
      <w:pPr>
        <w:pStyle w:val="H23G"/>
        <w:rPr>
          <w:lang w:val="fr-CH"/>
        </w:rPr>
      </w:pPr>
      <w:r w:rsidRPr="009F43DE">
        <w:rPr>
          <w:lang w:val="fr-CH"/>
        </w:rPr>
        <w:tab/>
      </w:r>
      <w:r w:rsidRPr="009F43DE">
        <w:rPr>
          <w:lang w:val="fr-CH"/>
        </w:rPr>
        <w:tab/>
        <w:t xml:space="preserve">Accès des femmes et des jeunes sri-lankais à un emploi stable </w:t>
      </w:r>
      <w:r w:rsidR="00467B9E" w:rsidRPr="009F43DE">
        <w:rPr>
          <w:lang w:val="fr-CH"/>
        </w:rPr>
        <w:t>(par</w:t>
      </w:r>
      <w:r w:rsidR="00F80613">
        <w:rPr>
          <w:lang w:val="fr-CH"/>
        </w:rPr>
        <w:t>.</w:t>
      </w:r>
      <w:r w:rsidR="00467B9E" w:rsidRPr="009F43DE">
        <w:rPr>
          <w:lang w:val="fr-CH"/>
        </w:rPr>
        <w:t xml:space="preserve"> 16)</w:t>
      </w:r>
    </w:p>
    <w:p w:rsidR="00C77E1E" w:rsidRPr="009F43DE" w:rsidRDefault="00C77E1E" w:rsidP="00C77E1E">
      <w:pPr>
        <w:pStyle w:val="SingleTxtG"/>
        <w:rPr>
          <w:lang w:val="fr-CH"/>
        </w:rPr>
      </w:pPr>
      <w:r w:rsidRPr="009F43DE">
        <w:rPr>
          <w:color w:val="000000"/>
          <w:lang w:val="fr-CH"/>
        </w:rPr>
        <w:t>61.</w:t>
      </w:r>
      <w:r w:rsidRPr="009F43DE">
        <w:rPr>
          <w:color w:val="000000"/>
          <w:lang w:val="fr-CH"/>
        </w:rPr>
        <w:tab/>
        <w:t>D</w:t>
      </w:r>
      <w:r w:rsidR="00DD09C2" w:rsidRPr="009F43DE">
        <w:rPr>
          <w:color w:val="000000"/>
          <w:lang w:val="fr-CH"/>
        </w:rPr>
        <w:t>éterminé</w:t>
      </w:r>
      <w:r w:rsidRPr="009F43DE">
        <w:rPr>
          <w:color w:val="000000"/>
          <w:lang w:val="fr-CH"/>
        </w:rPr>
        <w:t xml:space="preserve"> à promouvoir l</w:t>
      </w:r>
      <w:r w:rsidR="00F8384A" w:rsidRPr="009F43DE">
        <w:rPr>
          <w:color w:val="000000"/>
          <w:lang w:val="fr-CH"/>
        </w:rPr>
        <w:t>’</w:t>
      </w:r>
      <w:r w:rsidRPr="009F43DE">
        <w:rPr>
          <w:color w:val="000000"/>
          <w:lang w:val="fr-CH"/>
        </w:rPr>
        <w:t>accès à un emploi stable et d</w:t>
      </w:r>
      <w:r w:rsidR="00DD09C2" w:rsidRPr="009F43DE">
        <w:rPr>
          <w:color w:val="000000"/>
          <w:lang w:val="fr-CH"/>
        </w:rPr>
        <w:t>é</w:t>
      </w:r>
      <w:r w:rsidRPr="009F43DE">
        <w:rPr>
          <w:color w:val="000000"/>
          <w:lang w:val="fr-CH"/>
        </w:rPr>
        <w:t xml:space="preserve">cent, le Gouvernement </w:t>
      </w:r>
      <w:r w:rsidR="00DD09C2" w:rsidRPr="009F43DE">
        <w:rPr>
          <w:color w:val="000000"/>
          <w:lang w:val="fr-CH"/>
        </w:rPr>
        <w:t>s</w:t>
      </w:r>
      <w:r w:rsidRPr="009F43DE">
        <w:rPr>
          <w:color w:val="000000"/>
          <w:lang w:val="fr-CH"/>
        </w:rPr>
        <w:t>ri</w:t>
      </w:r>
      <w:r w:rsidR="00DD09C2" w:rsidRPr="009F43DE">
        <w:rPr>
          <w:color w:val="000000"/>
          <w:lang w:val="fr-CH"/>
        </w:rPr>
        <w:t>-la</w:t>
      </w:r>
      <w:r w:rsidRPr="009F43DE">
        <w:rPr>
          <w:color w:val="000000"/>
          <w:lang w:val="fr-CH"/>
        </w:rPr>
        <w:t>nkais a adopté en septembre 2012 la politique nationale en matière de ressources humaines et d</w:t>
      </w:r>
      <w:r w:rsidR="00F8384A" w:rsidRPr="009F43DE">
        <w:rPr>
          <w:color w:val="000000"/>
          <w:lang w:val="fr-CH"/>
        </w:rPr>
        <w:t>’</w:t>
      </w:r>
      <w:r w:rsidRPr="009F43DE">
        <w:rPr>
          <w:color w:val="000000"/>
          <w:lang w:val="fr-CH"/>
        </w:rPr>
        <w:t xml:space="preserve">emploi, qui </w:t>
      </w:r>
      <w:r w:rsidR="00DD09C2" w:rsidRPr="009F43DE">
        <w:rPr>
          <w:color w:val="000000"/>
          <w:lang w:val="fr-CH"/>
        </w:rPr>
        <w:t>sert de</w:t>
      </w:r>
      <w:r w:rsidRPr="009F43DE">
        <w:rPr>
          <w:color w:val="000000"/>
          <w:lang w:val="fr-CH"/>
        </w:rPr>
        <w:t xml:space="preserve"> cadre </w:t>
      </w:r>
      <w:r w:rsidR="00DD09C2" w:rsidRPr="009F43DE">
        <w:rPr>
          <w:color w:val="000000"/>
          <w:lang w:val="fr-CH"/>
        </w:rPr>
        <w:t xml:space="preserve">directeur </w:t>
      </w:r>
      <w:r w:rsidRPr="009F43DE">
        <w:rPr>
          <w:color w:val="000000"/>
          <w:lang w:val="fr-CH"/>
        </w:rPr>
        <w:t xml:space="preserve">général </w:t>
      </w:r>
      <w:r w:rsidR="00DD09C2" w:rsidRPr="009F43DE">
        <w:rPr>
          <w:color w:val="000000"/>
          <w:lang w:val="fr-CH"/>
        </w:rPr>
        <w:t>à</w:t>
      </w:r>
      <w:r w:rsidRPr="009F43DE">
        <w:rPr>
          <w:color w:val="000000"/>
          <w:lang w:val="fr-CH"/>
        </w:rPr>
        <w:t xml:space="preserve"> plusieurs politiques nationales </w:t>
      </w:r>
      <w:r w:rsidR="00467B9E" w:rsidRPr="009F43DE">
        <w:rPr>
          <w:color w:val="000000"/>
          <w:lang w:val="fr-CH"/>
        </w:rPr>
        <w:t>déjà mises en place pour les</w:t>
      </w:r>
      <w:r w:rsidRPr="009F43DE">
        <w:rPr>
          <w:color w:val="000000"/>
          <w:lang w:val="fr-CH"/>
        </w:rPr>
        <w:t xml:space="preserve"> ressources humaines et l</w:t>
      </w:r>
      <w:r w:rsidR="00F8384A" w:rsidRPr="009F43DE">
        <w:rPr>
          <w:color w:val="000000"/>
          <w:lang w:val="fr-CH"/>
        </w:rPr>
        <w:t>’</w:t>
      </w:r>
      <w:r w:rsidRPr="009F43DE">
        <w:rPr>
          <w:color w:val="000000"/>
          <w:lang w:val="fr-CH"/>
        </w:rPr>
        <w:t xml:space="preserve">emploi. La politique nationale vise à </w:t>
      </w:r>
      <w:r w:rsidR="00A355E9" w:rsidRPr="009F43DE">
        <w:rPr>
          <w:color w:val="000000"/>
          <w:lang w:val="fr-CH"/>
        </w:rPr>
        <w:t>donner accès à</w:t>
      </w:r>
      <w:r w:rsidRPr="009F43DE">
        <w:rPr>
          <w:color w:val="000000"/>
          <w:lang w:val="fr-CH"/>
        </w:rPr>
        <w:t xml:space="preserve"> un emploi à temps plein, productif et librement choisi à chaque ho</w:t>
      </w:r>
      <w:r w:rsidR="00A355E9" w:rsidRPr="009F43DE">
        <w:rPr>
          <w:color w:val="000000"/>
          <w:lang w:val="fr-CH"/>
        </w:rPr>
        <w:t>m</w:t>
      </w:r>
      <w:r w:rsidRPr="009F43DE">
        <w:rPr>
          <w:color w:val="000000"/>
          <w:lang w:val="fr-CH"/>
        </w:rPr>
        <w:t xml:space="preserve">me et femme </w:t>
      </w:r>
      <w:r w:rsidR="00A355E9" w:rsidRPr="009F43DE">
        <w:rPr>
          <w:color w:val="000000"/>
          <w:lang w:val="fr-CH"/>
        </w:rPr>
        <w:t>à</w:t>
      </w:r>
      <w:r w:rsidRPr="009F43DE">
        <w:rPr>
          <w:color w:val="000000"/>
          <w:lang w:val="fr-CH"/>
        </w:rPr>
        <w:t xml:space="preserve"> Sri Lanka et à </w:t>
      </w:r>
      <w:r w:rsidR="00A355E9" w:rsidRPr="009F43DE">
        <w:rPr>
          <w:color w:val="000000"/>
          <w:lang w:val="fr-CH"/>
        </w:rPr>
        <w:t>doter</w:t>
      </w:r>
      <w:r w:rsidRPr="009F43DE">
        <w:rPr>
          <w:color w:val="000000"/>
          <w:lang w:val="fr-CH"/>
        </w:rPr>
        <w:t xml:space="preserve"> le pays </w:t>
      </w:r>
      <w:r w:rsidR="00A355E9" w:rsidRPr="009F43DE">
        <w:rPr>
          <w:color w:val="000000"/>
          <w:lang w:val="fr-CH"/>
        </w:rPr>
        <w:t>d</w:t>
      </w:r>
      <w:r w:rsidR="00F8384A" w:rsidRPr="009F43DE">
        <w:rPr>
          <w:color w:val="000000"/>
          <w:lang w:val="fr-CH"/>
        </w:rPr>
        <w:t>’</w:t>
      </w:r>
      <w:r w:rsidRPr="009F43DE">
        <w:rPr>
          <w:color w:val="000000"/>
          <w:lang w:val="fr-CH"/>
        </w:rPr>
        <w:t>une main-d</w:t>
      </w:r>
      <w:r w:rsidR="00F8384A" w:rsidRPr="009F43DE">
        <w:rPr>
          <w:color w:val="000000"/>
          <w:lang w:val="fr-CH"/>
        </w:rPr>
        <w:t>’</w:t>
      </w:r>
      <w:r w:rsidRPr="009F43DE">
        <w:rPr>
          <w:color w:val="000000"/>
          <w:lang w:val="fr-CH"/>
        </w:rPr>
        <w:t xml:space="preserve">œuvre hautement qualifiée, compétitive au niveau mondial, </w:t>
      </w:r>
      <w:r w:rsidR="00654DBE" w:rsidRPr="009F43DE">
        <w:rPr>
          <w:color w:val="000000"/>
          <w:lang w:val="fr-CH"/>
        </w:rPr>
        <w:t>pluricompétente</w:t>
      </w:r>
      <w:r w:rsidRPr="009F43DE">
        <w:rPr>
          <w:color w:val="000000"/>
          <w:lang w:val="fr-CH"/>
        </w:rPr>
        <w:t xml:space="preserve"> et productive. </w:t>
      </w:r>
      <w:r w:rsidR="00281C3E" w:rsidRPr="009F43DE">
        <w:rPr>
          <w:color w:val="000000"/>
          <w:lang w:val="fr-CH"/>
        </w:rPr>
        <w:t xml:space="preserve">Dix-neuf </w:t>
      </w:r>
      <w:r w:rsidRPr="009F43DE">
        <w:rPr>
          <w:color w:val="000000"/>
          <w:lang w:val="fr-CH"/>
        </w:rPr>
        <w:t>domaines</w:t>
      </w:r>
      <w:r w:rsidRPr="009F43DE">
        <w:rPr>
          <w:lang w:val="fr-CH"/>
        </w:rPr>
        <w:t xml:space="preserve"> principaux d</w:t>
      </w:r>
      <w:r w:rsidR="00F8384A" w:rsidRPr="009F43DE">
        <w:rPr>
          <w:lang w:val="fr-CH"/>
        </w:rPr>
        <w:t>’</w:t>
      </w:r>
      <w:r w:rsidRPr="009F43DE">
        <w:rPr>
          <w:lang w:val="fr-CH"/>
        </w:rPr>
        <w:t xml:space="preserve">intervention </w:t>
      </w:r>
      <w:r w:rsidR="00281C3E" w:rsidRPr="009F43DE">
        <w:rPr>
          <w:lang w:val="fr-CH"/>
        </w:rPr>
        <w:t xml:space="preserve">ont été </w:t>
      </w:r>
      <w:r w:rsidR="00573E67" w:rsidRPr="009F43DE">
        <w:rPr>
          <w:lang w:val="fr-CH"/>
        </w:rPr>
        <w:t>recensés</w:t>
      </w:r>
      <w:r w:rsidR="00281C3E" w:rsidRPr="009F43DE">
        <w:rPr>
          <w:lang w:val="fr-CH"/>
        </w:rPr>
        <w:t>, qui</w:t>
      </w:r>
      <w:r w:rsidRPr="009F43DE">
        <w:rPr>
          <w:lang w:val="fr-CH"/>
        </w:rPr>
        <w:t xml:space="preserve"> ont été r</w:t>
      </w:r>
      <w:r w:rsidR="00281C3E" w:rsidRPr="009F43DE">
        <w:rPr>
          <w:lang w:val="fr-CH"/>
        </w:rPr>
        <w:t>egroupés en</w:t>
      </w:r>
      <w:r w:rsidRPr="009F43DE">
        <w:rPr>
          <w:lang w:val="fr-CH"/>
        </w:rPr>
        <w:t xml:space="preserve"> cinq grands </w:t>
      </w:r>
      <w:r w:rsidR="00281C3E" w:rsidRPr="009F43DE">
        <w:rPr>
          <w:lang w:val="fr-CH"/>
        </w:rPr>
        <w:t>volets aux fins de l</w:t>
      </w:r>
      <w:r w:rsidR="00F8384A" w:rsidRPr="009F43DE">
        <w:rPr>
          <w:lang w:val="fr-CH"/>
        </w:rPr>
        <w:t>’</w:t>
      </w:r>
      <w:r w:rsidR="00281C3E" w:rsidRPr="009F43DE">
        <w:rPr>
          <w:lang w:val="fr-CH"/>
        </w:rPr>
        <w:t>élaboration de</w:t>
      </w:r>
      <w:r w:rsidRPr="009F43DE">
        <w:rPr>
          <w:lang w:val="fr-CH"/>
        </w:rPr>
        <w:t xml:space="preserve"> stratégies de mise en œuvre. Un cadre d</w:t>
      </w:r>
      <w:r w:rsidR="00F8384A" w:rsidRPr="009F43DE">
        <w:rPr>
          <w:lang w:val="fr-CH"/>
        </w:rPr>
        <w:t>’</w:t>
      </w:r>
      <w:r w:rsidRPr="009F43DE">
        <w:rPr>
          <w:lang w:val="fr-CH"/>
        </w:rPr>
        <w:t>action orienté sur les résultats</w:t>
      </w:r>
      <w:r w:rsidR="00E91CC6" w:rsidRPr="009F43DE">
        <w:rPr>
          <w:lang w:val="fr-CH"/>
        </w:rPr>
        <w:t xml:space="preserve"> définit les actions à engager, les</w:t>
      </w:r>
      <w:r w:rsidR="00281C3E" w:rsidRPr="009F43DE">
        <w:rPr>
          <w:lang w:val="fr-CH"/>
        </w:rPr>
        <w:t xml:space="preserve"> </w:t>
      </w:r>
      <w:r w:rsidRPr="009F43DE">
        <w:rPr>
          <w:lang w:val="fr-CH"/>
        </w:rPr>
        <w:t>lignes directrices</w:t>
      </w:r>
      <w:r w:rsidR="00E91CC6" w:rsidRPr="009F43DE">
        <w:rPr>
          <w:lang w:val="fr-CH"/>
        </w:rPr>
        <w:t xml:space="preserve"> à suivre, les</w:t>
      </w:r>
      <w:r w:rsidRPr="009F43DE">
        <w:rPr>
          <w:lang w:val="fr-CH"/>
        </w:rPr>
        <w:t xml:space="preserve"> produits </w:t>
      </w:r>
      <w:r w:rsidR="00E91CC6" w:rsidRPr="009F43DE">
        <w:rPr>
          <w:lang w:val="fr-CH"/>
        </w:rPr>
        <w:t>à obtenir et l</w:t>
      </w:r>
      <w:r w:rsidRPr="009F43DE">
        <w:rPr>
          <w:lang w:val="fr-CH"/>
        </w:rPr>
        <w:t xml:space="preserve">es indicateurs clefs de performance. Les </w:t>
      </w:r>
      <w:r w:rsidR="00EE7D1B" w:rsidRPr="009F43DE">
        <w:rPr>
          <w:lang w:val="fr-CH"/>
        </w:rPr>
        <w:t>m</w:t>
      </w:r>
      <w:r w:rsidRPr="009F43DE">
        <w:rPr>
          <w:lang w:val="fr-CH"/>
        </w:rPr>
        <w:t xml:space="preserve">inistères, la Fédération des employeurs de Ceylan, la Chambre de commerce de Ceylan et la Fédération des </w:t>
      </w:r>
      <w:r w:rsidR="00EE7D1B" w:rsidRPr="009F43DE">
        <w:rPr>
          <w:lang w:val="fr-CH"/>
        </w:rPr>
        <w:t>c</w:t>
      </w:r>
      <w:r w:rsidRPr="009F43DE">
        <w:rPr>
          <w:lang w:val="fr-CH"/>
        </w:rPr>
        <w:t>hambres de commerce et d</w:t>
      </w:r>
      <w:r w:rsidR="00F8384A" w:rsidRPr="009F43DE">
        <w:rPr>
          <w:lang w:val="fr-CH"/>
        </w:rPr>
        <w:t>’</w:t>
      </w:r>
      <w:r w:rsidRPr="009F43DE">
        <w:rPr>
          <w:lang w:val="fr-CH"/>
        </w:rPr>
        <w:t>industrie de Sri Lanka, ainsi que les syndicats et les autres partenaires sociaux</w:t>
      </w:r>
      <w:r w:rsidR="00EE7D1B" w:rsidRPr="009F43DE">
        <w:rPr>
          <w:lang w:val="fr-CH"/>
        </w:rPr>
        <w:t>,</w:t>
      </w:r>
      <w:r w:rsidRPr="009F43DE">
        <w:rPr>
          <w:lang w:val="fr-CH"/>
        </w:rPr>
        <w:t xml:space="preserve"> ont participé à l</w:t>
      </w:r>
      <w:r w:rsidR="00F8384A" w:rsidRPr="009F43DE">
        <w:rPr>
          <w:lang w:val="fr-CH"/>
        </w:rPr>
        <w:t>’</w:t>
      </w:r>
      <w:r w:rsidR="00E91CC6" w:rsidRPr="009F43DE">
        <w:rPr>
          <w:lang w:val="fr-CH"/>
        </w:rPr>
        <w:t xml:space="preserve">élaboration </w:t>
      </w:r>
      <w:r w:rsidRPr="009F43DE">
        <w:rPr>
          <w:lang w:val="fr-CH"/>
        </w:rPr>
        <w:t xml:space="preserve">du </w:t>
      </w:r>
      <w:r w:rsidR="00E91CC6" w:rsidRPr="009F43DE">
        <w:rPr>
          <w:lang w:val="fr-CH"/>
        </w:rPr>
        <w:t>p</w:t>
      </w:r>
      <w:r w:rsidRPr="009F43DE">
        <w:rPr>
          <w:lang w:val="fr-CH"/>
        </w:rPr>
        <w:t>lan d</w:t>
      </w:r>
      <w:r w:rsidR="00F8384A" w:rsidRPr="009F43DE">
        <w:rPr>
          <w:lang w:val="fr-CH"/>
        </w:rPr>
        <w:t>’</w:t>
      </w:r>
      <w:r w:rsidRPr="009F43DE">
        <w:rPr>
          <w:lang w:val="fr-CH"/>
        </w:rPr>
        <w:t>action détaillé pour la mise en œuvre de la politique nationale</w:t>
      </w:r>
      <w:r w:rsidR="00654DBE" w:rsidRPr="009F43DE">
        <w:rPr>
          <w:lang w:val="fr-CH"/>
        </w:rPr>
        <w:t xml:space="preserve"> en matière de ressources humaines et d</w:t>
      </w:r>
      <w:r w:rsidR="00F8384A" w:rsidRPr="009F43DE">
        <w:rPr>
          <w:lang w:val="fr-CH"/>
        </w:rPr>
        <w:t>’</w:t>
      </w:r>
      <w:r w:rsidR="00654DBE" w:rsidRPr="009F43DE">
        <w:rPr>
          <w:lang w:val="fr-CH"/>
        </w:rPr>
        <w:t>emploi</w:t>
      </w:r>
      <w:r w:rsidRPr="009F43DE">
        <w:rPr>
          <w:lang w:val="fr-CH"/>
        </w:rPr>
        <w:t>. L</w:t>
      </w:r>
      <w:r w:rsidR="00F8384A" w:rsidRPr="009F43DE">
        <w:rPr>
          <w:lang w:val="fr-CH"/>
        </w:rPr>
        <w:t>’</w:t>
      </w:r>
      <w:r w:rsidR="00E91CC6" w:rsidRPr="009F43DE">
        <w:rPr>
          <w:lang w:val="fr-CH"/>
        </w:rPr>
        <w:t>U</w:t>
      </w:r>
      <w:r w:rsidRPr="009F43DE">
        <w:rPr>
          <w:lang w:val="fr-CH"/>
        </w:rPr>
        <w:t xml:space="preserve">nité de coordination et de </w:t>
      </w:r>
      <w:r w:rsidR="00EE7D1B" w:rsidRPr="009F43DE">
        <w:rPr>
          <w:lang w:val="fr-CH"/>
        </w:rPr>
        <w:t xml:space="preserve">suivi </w:t>
      </w:r>
      <w:r w:rsidRPr="009F43DE">
        <w:rPr>
          <w:lang w:val="fr-CH"/>
        </w:rPr>
        <w:t xml:space="preserve">de </w:t>
      </w:r>
      <w:r w:rsidR="00EE7D1B" w:rsidRPr="009F43DE">
        <w:rPr>
          <w:lang w:val="fr-CH"/>
        </w:rPr>
        <w:t xml:space="preserve">la mise en œuvre de </w:t>
      </w:r>
      <w:r w:rsidR="00654DBE" w:rsidRPr="009F43DE">
        <w:rPr>
          <w:lang w:val="fr-CH"/>
        </w:rPr>
        <w:t>cette</w:t>
      </w:r>
      <w:r w:rsidRPr="009F43DE">
        <w:rPr>
          <w:lang w:val="fr-CH"/>
        </w:rPr>
        <w:t xml:space="preserve"> politique a été inaugurée en juin 2014.</w:t>
      </w:r>
    </w:p>
    <w:p w:rsidR="00C77E1E" w:rsidRPr="009F43DE" w:rsidRDefault="00C77E1E" w:rsidP="00C77E1E">
      <w:pPr>
        <w:pStyle w:val="SingleTxtG"/>
        <w:rPr>
          <w:lang w:val="fr-CH"/>
        </w:rPr>
      </w:pPr>
      <w:r w:rsidRPr="009F43DE">
        <w:rPr>
          <w:lang w:val="fr-CH"/>
        </w:rPr>
        <w:t>62.</w:t>
      </w:r>
      <w:r w:rsidRPr="009F43DE">
        <w:rPr>
          <w:lang w:val="fr-CH"/>
        </w:rPr>
        <w:tab/>
      </w:r>
      <w:r w:rsidR="00654DBE" w:rsidRPr="009F43DE">
        <w:rPr>
          <w:lang w:val="fr-CH"/>
        </w:rPr>
        <w:t xml:space="preserve">Il est prévu dans ce cadre </w:t>
      </w:r>
      <w:r w:rsidRPr="009F43DE">
        <w:rPr>
          <w:lang w:val="fr-CH"/>
        </w:rPr>
        <w:t xml:space="preserve">de constituer dans tout le pays un réseau de </w:t>
      </w:r>
      <w:r w:rsidR="00E91CC6" w:rsidRPr="009F43DE">
        <w:rPr>
          <w:lang w:val="fr-CH"/>
        </w:rPr>
        <w:t xml:space="preserve">guichets uniques qui </w:t>
      </w:r>
      <w:r w:rsidRPr="009F43DE">
        <w:rPr>
          <w:lang w:val="fr-CH"/>
        </w:rPr>
        <w:t>fourni</w:t>
      </w:r>
      <w:r w:rsidR="00E91CC6" w:rsidRPr="009F43DE">
        <w:rPr>
          <w:lang w:val="fr-CH"/>
        </w:rPr>
        <w:t>raient</w:t>
      </w:r>
      <w:r w:rsidRPr="009F43DE">
        <w:rPr>
          <w:lang w:val="fr-CH"/>
        </w:rPr>
        <w:t xml:space="preserve"> des </w:t>
      </w:r>
      <w:r w:rsidR="00E91CC6" w:rsidRPr="009F43DE">
        <w:rPr>
          <w:lang w:val="fr-CH"/>
        </w:rPr>
        <w:t>renseignements</w:t>
      </w:r>
      <w:r w:rsidRPr="009F43DE">
        <w:rPr>
          <w:lang w:val="fr-CH"/>
        </w:rPr>
        <w:t xml:space="preserve"> sur les formations, des conseils </w:t>
      </w:r>
      <w:r w:rsidR="00E91CC6" w:rsidRPr="009F43DE">
        <w:rPr>
          <w:lang w:val="fr-CH"/>
        </w:rPr>
        <w:t>professionnels et</w:t>
      </w:r>
      <w:r w:rsidRPr="009F43DE">
        <w:rPr>
          <w:lang w:val="fr-CH"/>
        </w:rPr>
        <w:t xml:space="preserve"> d</w:t>
      </w:r>
      <w:r w:rsidR="00F8384A" w:rsidRPr="009F43DE">
        <w:rPr>
          <w:lang w:val="fr-CH"/>
        </w:rPr>
        <w:t>’</w:t>
      </w:r>
      <w:r w:rsidRPr="009F43DE">
        <w:rPr>
          <w:lang w:val="fr-CH"/>
        </w:rPr>
        <w:t>autres services relatifs à l</w:t>
      </w:r>
      <w:r w:rsidR="00F8384A" w:rsidRPr="009F43DE">
        <w:rPr>
          <w:lang w:val="fr-CH"/>
        </w:rPr>
        <w:t>’</w:t>
      </w:r>
      <w:r w:rsidRPr="009F43DE">
        <w:rPr>
          <w:lang w:val="fr-CH"/>
        </w:rPr>
        <w:t xml:space="preserve">emploi. Des programmes de sensibilisation et de promotion ont aussi été réalisés par la Division du développement des petites entreprises, </w:t>
      </w:r>
      <w:r w:rsidR="00E91CC6" w:rsidRPr="009F43DE">
        <w:rPr>
          <w:lang w:val="fr-CH"/>
        </w:rPr>
        <w:t>qui relève du</w:t>
      </w:r>
      <w:r w:rsidRPr="009F43DE">
        <w:rPr>
          <w:lang w:val="fr-CH"/>
        </w:rPr>
        <w:t xml:space="preserve"> Ministère de la jeunesse, </w:t>
      </w:r>
      <w:r w:rsidR="00E91CC6" w:rsidRPr="009F43DE">
        <w:rPr>
          <w:lang w:val="fr-CH"/>
        </w:rPr>
        <w:t>afin d</w:t>
      </w:r>
      <w:r w:rsidR="00F8384A" w:rsidRPr="009F43DE">
        <w:rPr>
          <w:lang w:val="fr-CH"/>
        </w:rPr>
        <w:t>’</w:t>
      </w:r>
      <w:r w:rsidRPr="009F43DE">
        <w:rPr>
          <w:lang w:val="fr-CH"/>
        </w:rPr>
        <w:t xml:space="preserve">inculquer aux jeunes du pays des attitudes positives et </w:t>
      </w:r>
      <w:r w:rsidR="00654DBE" w:rsidRPr="009F43DE">
        <w:rPr>
          <w:lang w:val="fr-CH"/>
        </w:rPr>
        <w:t xml:space="preserve">de </w:t>
      </w:r>
      <w:r w:rsidRPr="009F43DE">
        <w:rPr>
          <w:lang w:val="fr-CH"/>
        </w:rPr>
        <w:t xml:space="preserve">les encourager à </w:t>
      </w:r>
      <w:r w:rsidR="00654DBE" w:rsidRPr="009F43DE">
        <w:rPr>
          <w:lang w:val="fr-CH"/>
        </w:rPr>
        <w:t>se lancer dans l</w:t>
      </w:r>
      <w:r w:rsidR="00F8384A" w:rsidRPr="009F43DE">
        <w:rPr>
          <w:lang w:val="fr-CH"/>
        </w:rPr>
        <w:t>’</w:t>
      </w:r>
      <w:r w:rsidR="00654DBE" w:rsidRPr="009F43DE">
        <w:rPr>
          <w:lang w:val="fr-CH"/>
        </w:rPr>
        <w:t>entrepreneuriat</w:t>
      </w:r>
      <w:r w:rsidRPr="009F43DE">
        <w:rPr>
          <w:lang w:val="fr-CH"/>
        </w:rPr>
        <w:t>.</w:t>
      </w:r>
    </w:p>
    <w:p w:rsidR="00C77E1E" w:rsidRPr="009F43DE" w:rsidRDefault="00C77E1E" w:rsidP="00C77E1E">
      <w:pPr>
        <w:pStyle w:val="SingleTxtG"/>
        <w:rPr>
          <w:lang w:val="fr-CH"/>
        </w:rPr>
      </w:pPr>
      <w:r w:rsidRPr="009F43DE">
        <w:rPr>
          <w:lang w:val="fr-CH"/>
        </w:rPr>
        <w:t>63.</w:t>
      </w:r>
      <w:r w:rsidRPr="009F43DE">
        <w:rPr>
          <w:lang w:val="fr-CH"/>
        </w:rPr>
        <w:tab/>
        <w:t xml:space="preserve">Des </w:t>
      </w:r>
      <w:r w:rsidR="0049793A" w:rsidRPr="009F43DE">
        <w:rPr>
          <w:lang w:val="fr-CH"/>
        </w:rPr>
        <w:t xml:space="preserve">diplômes nationaux professionnels </w:t>
      </w:r>
      <w:r w:rsidRPr="009F43DE">
        <w:rPr>
          <w:rFonts w:eastAsia="Calibri"/>
          <w:lang w:val="fr-CH"/>
        </w:rPr>
        <w:t xml:space="preserve">ont été </w:t>
      </w:r>
      <w:r w:rsidR="0049793A" w:rsidRPr="009F43DE">
        <w:rPr>
          <w:rFonts w:eastAsia="Calibri"/>
          <w:lang w:val="fr-CH"/>
        </w:rPr>
        <w:t xml:space="preserve">décernés </w:t>
      </w:r>
      <w:r w:rsidRPr="009F43DE">
        <w:rPr>
          <w:rFonts w:eastAsia="Calibri"/>
          <w:lang w:val="fr-CH"/>
        </w:rPr>
        <w:t xml:space="preserve">à </w:t>
      </w:r>
      <w:r w:rsidR="0049793A" w:rsidRPr="009F43DE">
        <w:rPr>
          <w:rFonts w:eastAsia="Calibri"/>
          <w:lang w:val="fr-CH"/>
        </w:rPr>
        <w:t>l</w:t>
      </w:r>
      <w:r w:rsidR="00F8384A" w:rsidRPr="009F43DE">
        <w:rPr>
          <w:rFonts w:eastAsia="Calibri"/>
          <w:lang w:val="fr-CH"/>
        </w:rPr>
        <w:t>’</w:t>
      </w:r>
      <w:r w:rsidR="0049793A" w:rsidRPr="009F43DE">
        <w:rPr>
          <w:rFonts w:eastAsia="Calibri"/>
          <w:lang w:val="fr-CH"/>
        </w:rPr>
        <w:t xml:space="preserve">issue de </w:t>
      </w:r>
      <w:r w:rsidRPr="009F43DE">
        <w:rPr>
          <w:rFonts w:eastAsia="Calibri"/>
          <w:lang w:val="fr-CH"/>
        </w:rPr>
        <w:t xml:space="preserve">la plupart des cours de formation </w:t>
      </w:r>
      <w:r w:rsidR="0049793A" w:rsidRPr="009F43DE">
        <w:rPr>
          <w:rFonts w:eastAsia="Calibri"/>
          <w:lang w:val="fr-CH"/>
        </w:rPr>
        <w:t xml:space="preserve">dispensés </w:t>
      </w:r>
      <w:r w:rsidRPr="009F43DE">
        <w:rPr>
          <w:rFonts w:eastAsia="Calibri"/>
          <w:lang w:val="fr-CH"/>
        </w:rPr>
        <w:t xml:space="preserve">par </w:t>
      </w:r>
      <w:r w:rsidR="00654DBE" w:rsidRPr="009F43DE">
        <w:rPr>
          <w:rFonts w:eastAsia="Calibri"/>
          <w:lang w:val="fr-CH"/>
        </w:rPr>
        <w:t>l</w:t>
      </w:r>
      <w:r w:rsidRPr="009F43DE">
        <w:rPr>
          <w:rFonts w:eastAsia="Calibri"/>
          <w:lang w:val="fr-CH"/>
        </w:rPr>
        <w:t xml:space="preserve">es institutions de formation </w:t>
      </w:r>
      <w:r w:rsidR="0049793A" w:rsidRPr="009F43DE">
        <w:rPr>
          <w:rFonts w:eastAsia="Calibri"/>
          <w:lang w:val="fr-CH"/>
        </w:rPr>
        <w:t>relevant</w:t>
      </w:r>
      <w:r w:rsidRPr="009F43DE">
        <w:rPr>
          <w:rFonts w:eastAsia="Calibri"/>
          <w:lang w:val="fr-CH"/>
        </w:rPr>
        <w:t xml:space="preserve"> du ministère susmentionné</w:t>
      </w:r>
      <w:r w:rsidR="00654DBE" w:rsidRPr="009F43DE">
        <w:rPr>
          <w:rFonts w:eastAsia="Calibri"/>
          <w:lang w:val="fr-CH"/>
        </w:rPr>
        <w:t>,</w:t>
      </w:r>
      <w:r w:rsidRPr="009F43DE">
        <w:rPr>
          <w:rFonts w:eastAsia="Calibri"/>
          <w:lang w:val="fr-CH"/>
        </w:rPr>
        <w:t xml:space="preserve"> qui ont préparé les stagiaires à </w:t>
      </w:r>
      <w:r w:rsidR="0049793A" w:rsidRPr="009F43DE">
        <w:rPr>
          <w:rFonts w:eastAsia="Calibri"/>
          <w:lang w:val="fr-CH"/>
        </w:rPr>
        <w:t>s</w:t>
      </w:r>
      <w:r w:rsidR="00F8384A" w:rsidRPr="009F43DE">
        <w:rPr>
          <w:rFonts w:eastAsia="Calibri"/>
          <w:lang w:val="fr-CH"/>
        </w:rPr>
        <w:t>’</w:t>
      </w:r>
      <w:r w:rsidR="0049793A" w:rsidRPr="009F43DE">
        <w:rPr>
          <w:rFonts w:eastAsia="Calibri"/>
          <w:lang w:val="fr-CH"/>
        </w:rPr>
        <w:t>intégrer sur le</w:t>
      </w:r>
      <w:r w:rsidRPr="009F43DE">
        <w:rPr>
          <w:rFonts w:eastAsia="Calibri"/>
          <w:lang w:val="fr-CH"/>
        </w:rPr>
        <w:t xml:space="preserve"> marché local comme </w:t>
      </w:r>
      <w:r w:rsidR="0049793A" w:rsidRPr="009F43DE">
        <w:rPr>
          <w:rFonts w:eastAsia="Calibri"/>
          <w:lang w:val="fr-CH"/>
        </w:rPr>
        <w:t>sur le</w:t>
      </w:r>
      <w:r w:rsidRPr="009F43DE">
        <w:rPr>
          <w:rFonts w:eastAsia="Calibri"/>
          <w:lang w:val="fr-CH"/>
        </w:rPr>
        <w:t xml:space="preserve"> marché mondial. </w:t>
      </w:r>
    </w:p>
    <w:p w:rsidR="00C77E1E" w:rsidRPr="009F43DE" w:rsidRDefault="00C77E1E" w:rsidP="00654DBE">
      <w:pPr>
        <w:pStyle w:val="SingleTxtG"/>
        <w:rPr>
          <w:lang w:val="fr-CH"/>
        </w:rPr>
      </w:pPr>
      <w:r w:rsidRPr="009F43DE">
        <w:rPr>
          <w:lang w:val="fr-CH"/>
        </w:rPr>
        <w:t>64.</w:t>
      </w:r>
      <w:r w:rsidRPr="009F43DE">
        <w:rPr>
          <w:lang w:val="fr-CH"/>
        </w:rPr>
        <w:tab/>
        <w:t>L</w:t>
      </w:r>
      <w:r w:rsidR="00F8384A" w:rsidRPr="009F43DE">
        <w:rPr>
          <w:lang w:val="fr-CH"/>
        </w:rPr>
        <w:t>’</w:t>
      </w:r>
      <w:r w:rsidRPr="009F43DE">
        <w:rPr>
          <w:color w:val="000000"/>
          <w:lang w:val="fr-CH"/>
        </w:rPr>
        <w:t>Autorité nationale d</w:t>
      </w:r>
      <w:r w:rsidR="00F8384A" w:rsidRPr="009F43DE">
        <w:rPr>
          <w:color w:val="000000"/>
          <w:lang w:val="fr-CH"/>
        </w:rPr>
        <w:t>’</w:t>
      </w:r>
      <w:r w:rsidRPr="009F43DE">
        <w:rPr>
          <w:color w:val="000000"/>
          <w:lang w:val="fr-CH"/>
        </w:rPr>
        <w:t xml:space="preserve">apprentissage et de formation industrielle </w:t>
      </w:r>
      <w:r w:rsidRPr="009F43DE">
        <w:rPr>
          <w:rFonts w:eastAsia="Calibri"/>
          <w:color w:val="000000"/>
          <w:lang w:val="fr-CH"/>
        </w:rPr>
        <w:t xml:space="preserve">met </w:t>
      </w:r>
      <w:r w:rsidR="0049793A" w:rsidRPr="009F43DE">
        <w:rPr>
          <w:rFonts w:eastAsia="Calibri"/>
          <w:color w:val="000000"/>
          <w:lang w:val="fr-CH"/>
        </w:rPr>
        <w:t xml:space="preserve">en place </w:t>
      </w:r>
      <w:r w:rsidR="009A08E3" w:rsidRPr="009F43DE">
        <w:rPr>
          <w:rFonts w:eastAsia="Calibri"/>
          <w:color w:val="000000"/>
          <w:lang w:val="fr-CH"/>
        </w:rPr>
        <w:t>des</w:t>
      </w:r>
      <w:r w:rsidRPr="009F43DE">
        <w:rPr>
          <w:rFonts w:eastAsia="Calibri"/>
          <w:color w:val="000000"/>
          <w:lang w:val="fr-CH"/>
        </w:rPr>
        <w:t xml:space="preserve"> centre</w:t>
      </w:r>
      <w:r w:rsidR="009A08E3" w:rsidRPr="009F43DE">
        <w:rPr>
          <w:rFonts w:eastAsia="Calibri"/>
          <w:color w:val="000000"/>
          <w:lang w:val="fr-CH"/>
        </w:rPr>
        <w:t>s</w:t>
      </w:r>
      <w:r w:rsidRPr="009F43DE">
        <w:rPr>
          <w:rFonts w:eastAsia="Calibri"/>
          <w:color w:val="000000"/>
          <w:lang w:val="fr-CH"/>
        </w:rPr>
        <w:t xml:space="preserve"> de formation </w:t>
      </w:r>
      <w:r w:rsidR="009A08E3" w:rsidRPr="009F43DE">
        <w:rPr>
          <w:rFonts w:eastAsia="Calibri"/>
          <w:lang w:val="fr-CH"/>
        </w:rPr>
        <w:t>technique</w:t>
      </w:r>
      <w:r w:rsidRPr="009F43DE">
        <w:rPr>
          <w:rFonts w:eastAsia="Calibri"/>
          <w:color w:val="000000"/>
          <w:lang w:val="fr-CH"/>
        </w:rPr>
        <w:t xml:space="preserve"> entièrement équipé</w:t>
      </w:r>
      <w:r w:rsidR="009A08E3" w:rsidRPr="009F43DE">
        <w:rPr>
          <w:rFonts w:eastAsia="Calibri"/>
          <w:color w:val="000000"/>
          <w:lang w:val="fr-CH"/>
        </w:rPr>
        <w:t>s</w:t>
      </w:r>
      <w:r w:rsidRPr="009F43DE">
        <w:rPr>
          <w:rFonts w:eastAsia="Calibri"/>
          <w:color w:val="000000"/>
          <w:lang w:val="fr-CH"/>
        </w:rPr>
        <w:t xml:space="preserve"> </w:t>
      </w:r>
      <w:r w:rsidR="0035133E" w:rsidRPr="009F43DE">
        <w:rPr>
          <w:rFonts w:eastAsia="Calibri"/>
          <w:color w:val="000000"/>
          <w:lang w:val="fr-CH"/>
        </w:rPr>
        <w:t>organisant des stages professionnels d</w:t>
      </w:r>
      <w:r w:rsidRPr="009F43DE">
        <w:rPr>
          <w:rFonts w:eastAsia="Calibri"/>
          <w:color w:val="000000"/>
          <w:lang w:val="fr-CH"/>
        </w:rPr>
        <w:t>iplôm</w:t>
      </w:r>
      <w:r w:rsidR="0069385A" w:rsidRPr="009F43DE">
        <w:rPr>
          <w:rFonts w:eastAsia="Calibri"/>
          <w:color w:val="000000"/>
          <w:lang w:val="fr-CH"/>
        </w:rPr>
        <w:t>ants</w:t>
      </w:r>
      <w:r w:rsidRPr="009F43DE">
        <w:rPr>
          <w:rFonts w:eastAsia="Calibri"/>
          <w:color w:val="000000"/>
          <w:lang w:val="fr-CH"/>
        </w:rPr>
        <w:t>. De plus</w:t>
      </w:r>
      <w:r w:rsidR="0035133E" w:rsidRPr="009F43DE">
        <w:rPr>
          <w:rFonts w:eastAsia="Calibri"/>
          <w:color w:val="000000"/>
          <w:lang w:val="fr-CH"/>
        </w:rPr>
        <w:t>,</w:t>
      </w:r>
      <w:r w:rsidRPr="009F43DE">
        <w:rPr>
          <w:rFonts w:eastAsia="Calibri"/>
          <w:color w:val="000000"/>
          <w:lang w:val="fr-CH"/>
        </w:rPr>
        <w:t xml:space="preserve"> un</w:t>
      </w:r>
      <w:r w:rsidR="009A08E3" w:rsidRPr="009F43DE">
        <w:rPr>
          <w:rFonts w:eastAsia="Calibri"/>
          <w:color w:val="000000"/>
          <w:lang w:val="fr-CH"/>
        </w:rPr>
        <w:t>e structure</w:t>
      </w:r>
      <w:r w:rsidRPr="009F43DE">
        <w:rPr>
          <w:rFonts w:eastAsia="Calibri"/>
          <w:color w:val="000000"/>
          <w:lang w:val="fr-CH"/>
        </w:rPr>
        <w:t xml:space="preserve"> d</w:t>
      </w:r>
      <w:r w:rsidR="00F8384A" w:rsidRPr="009F43DE">
        <w:rPr>
          <w:rFonts w:eastAsia="Calibri"/>
          <w:color w:val="000000"/>
          <w:lang w:val="fr-CH"/>
        </w:rPr>
        <w:t>’</w:t>
      </w:r>
      <w:r w:rsidR="009A08E3" w:rsidRPr="009F43DE">
        <w:rPr>
          <w:rFonts w:eastAsia="Calibri"/>
          <w:color w:val="000000"/>
          <w:lang w:val="fr-CH"/>
        </w:rPr>
        <w:t xml:space="preserve">accueil </w:t>
      </w:r>
      <w:r w:rsidRPr="009F43DE">
        <w:rPr>
          <w:rFonts w:eastAsia="Calibri"/>
          <w:color w:val="000000"/>
          <w:lang w:val="fr-CH"/>
        </w:rPr>
        <w:t xml:space="preserve">de jour </w:t>
      </w:r>
      <w:r w:rsidR="009A08E3" w:rsidRPr="009F43DE">
        <w:rPr>
          <w:rFonts w:eastAsia="Calibri"/>
          <w:color w:val="000000"/>
          <w:lang w:val="fr-CH"/>
        </w:rPr>
        <w:t xml:space="preserve">en mesure </w:t>
      </w:r>
      <w:r w:rsidRPr="009F43DE">
        <w:rPr>
          <w:rFonts w:eastAsia="Calibri"/>
          <w:color w:val="000000"/>
          <w:lang w:val="fr-CH"/>
        </w:rPr>
        <w:t>de recevoir</w:t>
      </w:r>
      <w:r w:rsidRPr="009F43DE">
        <w:rPr>
          <w:rFonts w:eastAsia="Calibri"/>
          <w:lang w:val="fr-CH"/>
        </w:rPr>
        <w:t xml:space="preserve"> 100</w:t>
      </w:r>
      <w:r w:rsidR="009A08E3" w:rsidRPr="009F43DE">
        <w:rPr>
          <w:rFonts w:eastAsia="Calibri"/>
          <w:lang w:val="fr-CH"/>
        </w:rPr>
        <w:t> </w:t>
      </w:r>
      <w:r w:rsidRPr="009F43DE">
        <w:rPr>
          <w:rFonts w:eastAsia="Calibri"/>
          <w:lang w:val="fr-CH"/>
        </w:rPr>
        <w:t xml:space="preserve">enfants a aussi </w:t>
      </w:r>
      <w:r w:rsidR="009A08E3" w:rsidRPr="009F43DE">
        <w:rPr>
          <w:rFonts w:eastAsia="Calibri"/>
          <w:lang w:val="fr-CH"/>
        </w:rPr>
        <w:t xml:space="preserve">été </w:t>
      </w:r>
      <w:r w:rsidRPr="009F43DE">
        <w:rPr>
          <w:rFonts w:eastAsia="Calibri"/>
          <w:lang w:val="fr-CH"/>
        </w:rPr>
        <w:t>établi</w:t>
      </w:r>
      <w:r w:rsidR="0069385A" w:rsidRPr="009F43DE">
        <w:rPr>
          <w:rFonts w:eastAsia="Calibri"/>
          <w:lang w:val="fr-CH"/>
        </w:rPr>
        <w:t>e</w:t>
      </w:r>
      <w:r w:rsidRPr="009F43DE">
        <w:rPr>
          <w:rFonts w:eastAsia="Calibri"/>
          <w:lang w:val="fr-CH"/>
        </w:rPr>
        <w:t xml:space="preserve"> dans chacun de ces centres en vue de fa</w:t>
      </w:r>
      <w:r w:rsidR="009A08E3" w:rsidRPr="009F43DE">
        <w:rPr>
          <w:rFonts w:eastAsia="Calibri"/>
          <w:lang w:val="fr-CH"/>
        </w:rPr>
        <w:t>ciliter</w:t>
      </w:r>
      <w:r w:rsidRPr="009F43DE">
        <w:rPr>
          <w:rFonts w:eastAsia="Calibri"/>
          <w:lang w:val="fr-CH"/>
        </w:rPr>
        <w:t xml:space="preserve"> l</w:t>
      </w:r>
      <w:r w:rsidR="00F8384A" w:rsidRPr="009F43DE">
        <w:rPr>
          <w:rFonts w:eastAsia="Calibri"/>
          <w:lang w:val="fr-CH"/>
        </w:rPr>
        <w:t>’</w:t>
      </w:r>
      <w:r w:rsidRPr="009F43DE">
        <w:rPr>
          <w:rFonts w:eastAsia="Calibri"/>
          <w:lang w:val="fr-CH"/>
        </w:rPr>
        <w:t xml:space="preserve">inscription de </w:t>
      </w:r>
      <w:r w:rsidR="009A08E3" w:rsidRPr="009F43DE">
        <w:rPr>
          <w:rFonts w:eastAsia="Calibri"/>
          <w:lang w:val="fr-CH"/>
        </w:rPr>
        <w:t xml:space="preserve">personnes </w:t>
      </w:r>
      <w:r w:rsidRPr="009F43DE">
        <w:rPr>
          <w:rFonts w:eastAsia="Calibri"/>
          <w:lang w:val="fr-CH"/>
        </w:rPr>
        <w:t xml:space="preserve">veuves à des cours de formation technique et professionnelle. </w:t>
      </w:r>
    </w:p>
    <w:p w:rsidR="00C77E1E" w:rsidRPr="009F43DE" w:rsidRDefault="00C77E1E" w:rsidP="00C77E1E">
      <w:pPr>
        <w:pStyle w:val="SingleTxtG"/>
        <w:rPr>
          <w:lang w:val="fr-CH"/>
        </w:rPr>
      </w:pPr>
      <w:r w:rsidRPr="009F43DE">
        <w:rPr>
          <w:lang w:val="fr-CH"/>
        </w:rPr>
        <w:t>65.</w:t>
      </w:r>
      <w:r w:rsidRPr="009F43DE">
        <w:rPr>
          <w:lang w:val="fr-CH"/>
        </w:rPr>
        <w:tab/>
        <w:t xml:space="preserve">Des cours et des diplômes </w:t>
      </w:r>
      <w:r w:rsidR="00A568C3" w:rsidRPr="009F43DE">
        <w:rPr>
          <w:lang w:val="fr-CH"/>
        </w:rPr>
        <w:t xml:space="preserve">professionnels sur mesure </w:t>
      </w:r>
      <w:r w:rsidRPr="009F43DE">
        <w:rPr>
          <w:lang w:val="fr-CH"/>
        </w:rPr>
        <w:t>dans les domaines de la</w:t>
      </w:r>
      <w:r w:rsidR="00A568C3" w:rsidRPr="009F43DE">
        <w:rPr>
          <w:lang w:val="fr-CH"/>
        </w:rPr>
        <w:t xml:space="preserve"> coiffure et de l</w:t>
      </w:r>
      <w:r w:rsidR="00F8384A" w:rsidRPr="009F43DE">
        <w:rPr>
          <w:lang w:val="fr-CH"/>
        </w:rPr>
        <w:t>’</w:t>
      </w:r>
      <w:r w:rsidR="00A568C3" w:rsidRPr="009F43DE">
        <w:rPr>
          <w:lang w:val="fr-CH"/>
        </w:rPr>
        <w:t xml:space="preserve">esthétique, </w:t>
      </w:r>
      <w:r w:rsidRPr="009F43DE">
        <w:rPr>
          <w:lang w:val="fr-CH"/>
        </w:rPr>
        <w:t>de la photocopie et d</w:t>
      </w:r>
      <w:r w:rsidR="00A568C3" w:rsidRPr="009F43DE">
        <w:rPr>
          <w:lang w:val="fr-CH"/>
        </w:rPr>
        <w:t>u travail de l</w:t>
      </w:r>
      <w:r w:rsidR="00F8384A" w:rsidRPr="009F43DE">
        <w:rPr>
          <w:lang w:val="fr-CH"/>
        </w:rPr>
        <w:t>’</w:t>
      </w:r>
      <w:r w:rsidR="00A568C3" w:rsidRPr="009F43DE">
        <w:rPr>
          <w:lang w:val="fr-CH"/>
        </w:rPr>
        <w:t xml:space="preserve">aluminium </w:t>
      </w:r>
      <w:r w:rsidRPr="009F43DE">
        <w:rPr>
          <w:lang w:val="fr-CH"/>
        </w:rPr>
        <w:t xml:space="preserve">sont </w:t>
      </w:r>
      <w:r w:rsidR="00A568C3" w:rsidRPr="009F43DE">
        <w:rPr>
          <w:lang w:val="fr-CH"/>
        </w:rPr>
        <w:t xml:space="preserve">dispensés </w:t>
      </w:r>
      <w:r w:rsidRPr="009F43DE">
        <w:rPr>
          <w:lang w:val="fr-CH"/>
        </w:rPr>
        <w:t>par l</w:t>
      </w:r>
      <w:r w:rsidR="00F8384A" w:rsidRPr="009F43DE">
        <w:rPr>
          <w:lang w:val="fr-CH"/>
        </w:rPr>
        <w:t>’</w:t>
      </w:r>
      <w:r w:rsidRPr="009F43DE">
        <w:rPr>
          <w:lang w:val="fr-CH"/>
        </w:rPr>
        <w:t>A</w:t>
      </w:r>
      <w:r w:rsidR="00A568C3" w:rsidRPr="009F43DE">
        <w:rPr>
          <w:lang w:val="fr-CH"/>
        </w:rPr>
        <w:t xml:space="preserve">utorité </w:t>
      </w:r>
      <w:r w:rsidRPr="009F43DE">
        <w:rPr>
          <w:lang w:val="fr-CH"/>
        </w:rPr>
        <w:t xml:space="preserve">de formation professionnelle </w:t>
      </w:r>
      <w:r w:rsidR="00A568C3" w:rsidRPr="009F43DE">
        <w:rPr>
          <w:lang w:val="fr-CH"/>
        </w:rPr>
        <w:t>à l</w:t>
      </w:r>
      <w:r w:rsidR="00F8384A" w:rsidRPr="009F43DE">
        <w:rPr>
          <w:lang w:val="fr-CH"/>
        </w:rPr>
        <w:t>’</w:t>
      </w:r>
      <w:r w:rsidR="00A568C3" w:rsidRPr="009F43DE">
        <w:rPr>
          <w:lang w:val="fr-CH"/>
        </w:rPr>
        <w:t>intention d</w:t>
      </w:r>
      <w:r w:rsidRPr="009F43DE">
        <w:rPr>
          <w:lang w:val="fr-CH"/>
        </w:rPr>
        <w:t xml:space="preserve">es jeunes ayant </w:t>
      </w:r>
      <w:r w:rsidR="00A568C3" w:rsidRPr="009F43DE">
        <w:rPr>
          <w:lang w:val="fr-CH"/>
        </w:rPr>
        <w:t>des aptitudes différentes</w:t>
      </w:r>
      <w:r w:rsidRPr="009F43DE">
        <w:rPr>
          <w:lang w:val="fr-CH"/>
        </w:rPr>
        <w:t xml:space="preserve">. </w:t>
      </w:r>
    </w:p>
    <w:p w:rsidR="00C77E1E" w:rsidRPr="009F43DE" w:rsidRDefault="00C77E1E" w:rsidP="00C77E1E">
      <w:pPr>
        <w:pStyle w:val="SingleTxtG"/>
        <w:rPr>
          <w:lang w:val="fr-CH"/>
        </w:rPr>
      </w:pPr>
      <w:r w:rsidRPr="009F43DE">
        <w:rPr>
          <w:lang w:val="fr-CH"/>
        </w:rPr>
        <w:t>66.</w:t>
      </w:r>
      <w:r w:rsidRPr="009F43DE">
        <w:rPr>
          <w:lang w:val="fr-CH"/>
        </w:rPr>
        <w:tab/>
        <w:t>L</w:t>
      </w:r>
      <w:r w:rsidR="00210845" w:rsidRPr="009F43DE">
        <w:rPr>
          <w:lang w:val="fr-CH"/>
        </w:rPr>
        <w:t>a technologie fait depuis peu partie des disciplines enseignées en fin de cycle du secondaire</w:t>
      </w:r>
      <w:r w:rsidRPr="009F43DE">
        <w:rPr>
          <w:lang w:val="fr-CH"/>
        </w:rPr>
        <w:t xml:space="preserve"> </w:t>
      </w:r>
      <w:r w:rsidR="00210845" w:rsidRPr="009F43DE">
        <w:rPr>
          <w:lang w:val="fr-CH"/>
        </w:rPr>
        <w:t>afin de</w:t>
      </w:r>
      <w:r w:rsidRPr="009F43DE">
        <w:rPr>
          <w:lang w:val="fr-CH"/>
        </w:rPr>
        <w:t xml:space="preserve"> réduire le </w:t>
      </w:r>
      <w:r w:rsidR="00210845" w:rsidRPr="009F43DE">
        <w:rPr>
          <w:lang w:val="fr-CH"/>
        </w:rPr>
        <w:t xml:space="preserve">pourcentage de recalés </w:t>
      </w:r>
      <w:r w:rsidRPr="009F43DE">
        <w:rPr>
          <w:lang w:val="fr-CH"/>
        </w:rPr>
        <w:t>aux examens conventionnels d</w:t>
      </w:r>
      <w:r w:rsidR="00F8384A" w:rsidRPr="009F43DE">
        <w:rPr>
          <w:lang w:val="fr-CH"/>
        </w:rPr>
        <w:t>’</w:t>
      </w:r>
      <w:r w:rsidRPr="009F43DE">
        <w:rPr>
          <w:lang w:val="fr-CH"/>
        </w:rPr>
        <w:t xml:space="preserve">entrée </w:t>
      </w:r>
      <w:r w:rsidR="00210845" w:rsidRPr="009F43DE">
        <w:rPr>
          <w:lang w:val="fr-CH"/>
        </w:rPr>
        <w:t>à l</w:t>
      </w:r>
      <w:r w:rsidR="00F8384A" w:rsidRPr="009F43DE">
        <w:rPr>
          <w:lang w:val="fr-CH"/>
        </w:rPr>
        <w:t>’</w:t>
      </w:r>
      <w:r w:rsidRPr="009F43DE">
        <w:rPr>
          <w:lang w:val="fr-CH"/>
        </w:rPr>
        <w:t>université</w:t>
      </w:r>
      <w:r w:rsidR="00210845" w:rsidRPr="009F43DE">
        <w:rPr>
          <w:lang w:val="fr-CH"/>
        </w:rPr>
        <w:t xml:space="preserve"> et également d</w:t>
      </w:r>
      <w:r w:rsidR="00F8384A" w:rsidRPr="009F43DE">
        <w:rPr>
          <w:lang w:val="fr-CH"/>
        </w:rPr>
        <w:t>’</w:t>
      </w:r>
      <w:r w:rsidR="00210845" w:rsidRPr="009F43DE">
        <w:rPr>
          <w:lang w:val="fr-CH"/>
        </w:rPr>
        <w:t>ouvrir de nouvelle</w:t>
      </w:r>
      <w:r w:rsidR="003C1784">
        <w:rPr>
          <w:lang w:val="fr-CH"/>
        </w:rPr>
        <w:t>s</w:t>
      </w:r>
      <w:r w:rsidR="00210845" w:rsidRPr="009F43DE">
        <w:rPr>
          <w:lang w:val="fr-CH"/>
        </w:rPr>
        <w:t xml:space="preserve"> filières dans le supérieur.</w:t>
      </w:r>
      <w:r w:rsidRPr="009F43DE">
        <w:rPr>
          <w:lang w:val="fr-CH"/>
        </w:rPr>
        <w:t xml:space="preserve"> </w:t>
      </w:r>
    </w:p>
    <w:p w:rsidR="00C77E1E" w:rsidRPr="009F43DE" w:rsidRDefault="00C77E1E" w:rsidP="00C77E1E">
      <w:pPr>
        <w:pStyle w:val="SingleTxtG"/>
        <w:rPr>
          <w:lang w:val="fr-CH"/>
        </w:rPr>
      </w:pPr>
      <w:r w:rsidRPr="009F43DE">
        <w:rPr>
          <w:lang w:val="fr-CH"/>
        </w:rPr>
        <w:t>67.</w:t>
      </w:r>
      <w:r w:rsidRPr="009F43DE">
        <w:rPr>
          <w:lang w:val="fr-CH"/>
        </w:rPr>
        <w:tab/>
      </w:r>
      <w:r w:rsidRPr="009F43DE">
        <w:rPr>
          <w:rFonts w:eastAsia="Calibri"/>
          <w:lang w:val="fr-CH"/>
        </w:rPr>
        <w:t xml:space="preserve">Il convient de mentionner également le </w:t>
      </w:r>
      <w:r w:rsidR="00210845" w:rsidRPr="009F43DE">
        <w:rPr>
          <w:rFonts w:eastAsia="Calibri"/>
          <w:lang w:val="fr-CH"/>
        </w:rPr>
        <w:t>p</w:t>
      </w:r>
      <w:r w:rsidRPr="009F43DE">
        <w:rPr>
          <w:rFonts w:eastAsia="Calibri"/>
          <w:lang w:val="fr-CH"/>
        </w:rPr>
        <w:t xml:space="preserve">rogramme </w:t>
      </w:r>
      <w:r w:rsidR="00210845" w:rsidRPr="009F43DE">
        <w:rPr>
          <w:rFonts w:eastAsia="Calibri"/>
          <w:lang w:val="fr-CH"/>
        </w:rPr>
        <w:t xml:space="preserve">national </w:t>
      </w:r>
      <w:r w:rsidRPr="009F43DE">
        <w:rPr>
          <w:rFonts w:eastAsia="Calibri"/>
          <w:lang w:val="fr-CH"/>
        </w:rPr>
        <w:t>d</w:t>
      </w:r>
      <w:r w:rsidR="00F8384A" w:rsidRPr="009F43DE">
        <w:rPr>
          <w:rFonts w:eastAsia="Calibri"/>
          <w:lang w:val="fr-CH"/>
        </w:rPr>
        <w:t>’</w:t>
      </w:r>
      <w:r w:rsidRPr="009F43DE">
        <w:rPr>
          <w:rFonts w:eastAsia="Calibri"/>
          <w:lang w:val="fr-CH"/>
        </w:rPr>
        <w:t>échange</w:t>
      </w:r>
      <w:r w:rsidR="00210845" w:rsidRPr="009F43DE">
        <w:rPr>
          <w:rFonts w:eastAsia="Calibri"/>
          <w:lang w:val="fr-CH"/>
        </w:rPr>
        <w:t>s qui vise</w:t>
      </w:r>
      <w:r w:rsidRPr="009F43DE">
        <w:rPr>
          <w:rFonts w:eastAsia="Calibri"/>
          <w:lang w:val="fr-CH"/>
        </w:rPr>
        <w:t xml:space="preserve"> </w:t>
      </w:r>
      <w:r w:rsidR="00210845" w:rsidRPr="009F43DE">
        <w:rPr>
          <w:rFonts w:eastAsia="Calibri"/>
          <w:lang w:val="fr-CH"/>
        </w:rPr>
        <w:t>à favoriser la compréhension</w:t>
      </w:r>
      <w:r w:rsidRPr="009F43DE">
        <w:rPr>
          <w:rFonts w:eastAsia="Calibri"/>
          <w:lang w:val="fr-CH"/>
        </w:rPr>
        <w:t xml:space="preserve"> interculturelle et inter</w:t>
      </w:r>
      <w:r w:rsidR="00210845" w:rsidRPr="009F43DE">
        <w:rPr>
          <w:rFonts w:eastAsia="Calibri"/>
          <w:lang w:val="fr-CH"/>
        </w:rPr>
        <w:t>e</w:t>
      </w:r>
      <w:r w:rsidRPr="009F43DE">
        <w:rPr>
          <w:rFonts w:eastAsia="Calibri"/>
          <w:lang w:val="fr-CH"/>
        </w:rPr>
        <w:t xml:space="preserve">thnique entre les jeunes </w:t>
      </w:r>
      <w:r w:rsidR="00654DBE" w:rsidRPr="009F43DE">
        <w:rPr>
          <w:rFonts w:eastAsia="Calibri"/>
          <w:lang w:val="fr-CH"/>
        </w:rPr>
        <w:t>s</w:t>
      </w:r>
      <w:r w:rsidRPr="009F43DE">
        <w:rPr>
          <w:rFonts w:eastAsia="Calibri"/>
          <w:lang w:val="fr-CH"/>
        </w:rPr>
        <w:t>ri</w:t>
      </w:r>
      <w:r w:rsidR="00210845" w:rsidRPr="009F43DE">
        <w:rPr>
          <w:rFonts w:eastAsia="Calibri"/>
          <w:lang w:val="fr-CH"/>
        </w:rPr>
        <w:t>-</w:t>
      </w:r>
      <w:r w:rsidR="00654DBE" w:rsidRPr="009F43DE">
        <w:rPr>
          <w:rFonts w:eastAsia="Calibri"/>
          <w:lang w:val="fr-CH"/>
        </w:rPr>
        <w:t>l</w:t>
      </w:r>
      <w:r w:rsidRPr="009F43DE">
        <w:rPr>
          <w:rFonts w:eastAsia="Calibri"/>
          <w:lang w:val="fr-CH"/>
        </w:rPr>
        <w:t xml:space="preserve">ankais ayant des origines </w:t>
      </w:r>
      <w:r w:rsidR="00210845" w:rsidRPr="009F43DE">
        <w:rPr>
          <w:rFonts w:eastAsia="Calibri"/>
          <w:lang w:val="fr-CH"/>
        </w:rPr>
        <w:t>e</w:t>
      </w:r>
      <w:r w:rsidRPr="009F43DE">
        <w:rPr>
          <w:rFonts w:eastAsia="Calibri"/>
          <w:lang w:val="fr-CH"/>
        </w:rPr>
        <w:t xml:space="preserve">thniques et culturelles multiples. </w:t>
      </w:r>
    </w:p>
    <w:p w:rsidR="00C77E1E" w:rsidRPr="009F43DE" w:rsidRDefault="00C77E1E" w:rsidP="00C77E1E">
      <w:pPr>
        <w:pStyle w:val="H4G"/>
        <w:rPr>
          <w:lang w:val="fr-CH"/>
        </w:rPr>
      </w:pPr>
      <w:r w:rsidRPr="009F43DE">
        <w:rPr>
          <w:lang w:val="fr-CH"/>
        </w:rPr>
        <w:tab/>
      </w:r>
      <w:r w:rsidRPr="009F43DE">
        <w:rPr>
          <w:lang w:val="fr-CH"/>
        </w:rPr>
        <w:tab/>
      </w:r>
      <w:r w:rsidR="009A08E3" w:rsidRPr="009F43DE">
        <w:rPr>
          <w:lang w:val="fr-CH"/>
        </w:rPr>
        <w:t>Progra</w:t>
      </w:r>
      <w:r w:rsidR="00210845" w:rsidRPr="009F43DE">
        <w:rPr>
          <w:lang w:val="fr-CH"/>
        </w:rPr>
        <w:t xml:space="preserve">mmes ciblés pour les </w:t>
      </w:r>
      <w:r w:rsidR="00A9288A" w:rsidRPr="009F43DE">
        <w:rPr>
          <w:lang w:val="fr-CH"/>
        </w:rPr>
        <w:t>jeunes du nord et de l</w:t>
      </w:r>
      <w:r w:rsidR="00F8384A" w:rsidRPr="009F43DE">
        <w:rPr>
          <w:lang w:val="fr-CH"/>
        </w:rPr>
        <w:t>’</w:t>
      </w:r>
      <w:r w:rsidR="00A9288A" w:rsidRPr="009F43DE">
        <w:rPr>
          <w:lang w:val="fr-CH"/>
        </w:rPr>
        <w:t>est</w:t>
      </w:r>
    </w:p>
    <w:p w:rsidR="00C77E1E" w:rsidRPr="009F43DE" w:rsidRDefault="00C77E1E" w:rsidP="00C77E1E">
      <w:pPr>
        <w:pStyle w:val="SingleTxtG"/>
        <w:rPr>
          <w:lang w:val="fr-CH"/>
        </w:rPr>
      </w:pPr>
      <w:r w:rsidRPr="009F43DE">
        <w:rPr>
          <w:lang w:val="fr-CH"/>
        </w:rPr>
        <w:t>68.</w:t>
      </w:r>
      <w:r w:rsidRPr="009F43DE">
        <w:rPr>
          <w:lang w:val="fr-CH"/>
        </w:rPr>
        <w:tab/>
      </w:r>
      <w:r w:rsidR="00A9288A" w:rsidRPr="009F43DE">
        <w:rPr>
          <w:lang w:val="fr-CH"/>
        </w:rPr>
        <w:t xml:space="preserve">Pris au piège du </w:t>
      </w:r>
      <w:r w:rsidRPr="009F43DE">
        <w:rPr>
          <w:lang w:val="fr-CH"/>
        </w:rPr>
        <w:t>conflit brutal qui a fait rage pendant trois décennies, les jeunes d</w:t>
      </w:r>
      <w:r w:rsidR="00A9288A" w:rsidRPr="009F43DE">
        <w:rPr>
          <w:lang w:val="fr-CH"/>
        </w:rPr>
        <w:t>es</w:t>
      </w:r>
      <w:r w:rsidRPr="009F43DE">
        <w:rPr>
          <w:lang w:val="fr-CH"/>
        </w:rPr>
        <w:t xml:space="preserve"> provinces touchées </w:t>
      </w:r>
      <w:r w:rsidR="00A9288A" w:rsidRPr="009F43DE">
        <w:rPr>
          <w:lang w:val="fr-CH"/>
        </w:rPr>
        <w:t>n</w:t>
      </w:r>
      <w:r w:rsidR="00F8384A" w:rsidRPr="009F43DE">
        <w:rPr>
          <w:lang w:val="fr-CH"/>
        </w:rPr>
        <w:t>’</w:t>
      </w:r>
      <w:r w:rsidR="00A9288A" w:rsidRPr="009F43DE">
        <w:rPr>
          <w:lang w:val="fr-CH"/>
        </w:rPr>
        <w:t xml:space="preserve">ont pas été en mesure </w:t>
      </w:r>
      <w:r w:rsidRPr="009F43DE">
        <w:rPr>
          <w:lang w:val="fr-CH"/>
        </w:rPr>
        <w:t>d</w:t>
      </w:r>
      <w:r w:rsidR="00F8384A" w:rsidRPr="009F43DE">
        <w:rPr>
          <w:lang w:val="fr-CH"/>
        </w:rPr>
        <w:t>’</w:t>
      </w:r>
      <w:r w:rsidR="00A9288A" w:rsidRPr="009F43DE">
        <w:rPr>
          <w:lang w:val="fr-CH"/>
        </w:rPr>
        <w:t>exercer</w:t>
      </w:r>
      <w:r w:rsidRPr="009F43DE">
        <w:rPr>
          <w:lang w:val="fr-CH"/>
        </w:rPr>
        <w:t xml:space="preserve"> des activités génératrices de revenus</w:t>
      </w:r>
      <w:r w:rsidR="00A9288A" w:rsidRPr="009F43DE">
        <w:rPr>
          <w:lang w:val="fr-CH"/>
        </w:rPr>
        <w:t xml:space="preserve"> et n</w:t>
      </w:r>
      <w:r w:rsidR="00F8384A" w:rsidRPr="009F43DE">
        <w:rPr>
          <w:lang w:val="fr-CH"/>
        </w:rPr>
        <w:t>’</w:t>
      </w:r>
      <w:r w:rsidR="00A9288A" w:rsidRPr="009F43DE">
        <w:rPr>
          <w:lang w:val="fr-CH"/>
        </w:rPr>
        <w:t>ont pas pu actualiser leurs</w:t>
      </w:r>
      <w:r w:rsidRPr="009F43DE">
        <w:rPr>
          <w:lang w:val="fr-CH"/>
        </w:rPr>
        <w:t xml:space="preserve"> compétences pour répondre aux besoins d</w:t>
      </w:r>
      <w:r w:rsidR="00F8384A" w:rsidRPr="009F43DE">
        <w:rPr>
          <w:lang w:val="fr-CH"/>
        </w:rPr>
        <w:t>’</w:t>
      </w:r>
      <w:r w:rsidRPr="009F43DE">
        <w:rPr>
          <w:lang w:val="fr-CH"/>
        </w:rPr>
        <w:t>un marché du travail</w:t>
      </w:r>
      <w:r w:rsidR="00A9288A" w:rsidRPr="009F43DE">
        <w:rPr>
          <w:lang w:val="fr-CH"/>
        </w:rPr>
        <w:t xml:space="preserve"> </w:t>
      </w:r>
      <w:r w:rsidRPr="009F43DE">
        <w:rPr>
          <w:lang w:val="fr-CH"/>
        </w:rPr>
        <w:t>concurrentiel</w:t>
      </w:r>
      <w:r w:rsidR="00A9288A" w:rsidRPr="009F43DE">
        <w:rPr>
          <w:lang w:val="fr-CH"/>
        </w:rPr>
        <w:t xml:space="preserve"> et </w:t>
      </w:r>
      <w:r w:rsidR="00654DBE" w:rsidRPr="009F43DE">
        <w:rPr>
          <w:lang w:val="fr-CH"/>
        </w:rPr>
        <w:t>en évolution</w:t>
      </w:r>
      <w:r w:rsidRPr="009F43DE">
        <w:rPr>
          <w:lang w:val="fr-CH"/>
        </w:rPr>
        <w:t xml:space="preserve">. </w:t>
      </w:r>
      <w:r w:rsidR="00A9288A" w:rsidRPr="009F43DE">
        <w:rPr>
          <w:lang w:val="fr-CH"/>
        </w:rPr>
        <w:t xml:space="preserve">Face à cette situation, </w:t>
      </w:r>
      <w:r w:rsidRPr="009F43DE">
        <w:rPr>
          <w:lang w:val="fr-CH"/>
        </w:rPr>
        <w:t xml:space="preserve">le Conseil national des services à la jeunesse a </w:t>
      </w:r>
      <w:r w:rsidR="00A9288A" w:rsidRPr="009F43DE">
        <w:rPr>
          <w:lang w:val="fr-CH"/>
        </w:rPr>
        <w:t>mis en place des</w:t>
      </w:r>
      <w:r w:rsidRPr="009F43DE">
        <w:rPr>
          <w:lang w:val="fr-CH"/>
        </w:rPr>
        <w:t xml:space="preserve"> programmes de développement des </w:t>
      </w:r>
      <w:r w:rsidR="00A9288A" w:rsidRPr="009F43DE">
        <w:rPr>
          <w:lang w:val="fr-CH"/>
        </w:rPr>
        <w:t>qualifications</w:t>
      </w:r>
      <w:r w:rsidRPr="009F43DE">
        <w:rPr>
          <w:lang w:val="fr-CH"/>
        </w:rPr>
        <w:t xml:space="preserve"> </w:t>
      </w:r>
      <w:r w:rsidR="00A9288A" w:rsidRPr="009F43DE">
        <w:rPr>
          <w:lang w:val="fr-CH"/>
        </w:rPr>
        <w:t xml:space="preserve">destinés à permettre aux jeunes des régions nord et est du pays de renforcer leurs </w:t>
      </w:r>
      <w:r w:rsidR="000D005E" w:rsidRPr="009F43DE">
        <w:rPr>
          <w:lang w:val="fr-CH"/>
        </w:rPr>
        <w:t>compétences de base, leurs</w:t>
      </w:r>
      <w:r w:rsidRPr="009F43DE">
        <w:rPr>
          <w:lang w:val="fr-CH"/>
        </w:rPr>
        <w:t xml:space="preserve"> compétences sociales et le</w:t>
      </w:r>
      <w:r w:rsidR="000D005E" w:rsidRPr="009F43DE">
        <w:rPr>
          <w:lang w:val="fr-CH"/>
        </w:rPr>
        <w:t>ur</w:t>
      </w:r>
      <w:r w:rsidRPr="009F43DE">
        <w:rPr>
          <w:lang w:val="fr-CH"/>
        </w:rPr>
        <w:t>s compétences professionnelles.</w:t>
      </w:r>
    </w:p>
    <w:p w:rsidR="00C77E1E" w:rsidRPr="009F43DE" w:rsidRDefault="00C77E1E" w:rsidP="00C77E1E">
      <w:pPr>
        <w:pStyle w:val="H4G"/>
        <w:rPr>
          <w:lang w:val="fr-CH"/>
        </w:rPr>
      </w:pPr>
      <w:r w:rsidRPr="009F43DE">
        <w:rPr>
          <w:lang w:val="fr-CH"/>
        </w:rPr>
        <w:tab/>
      </w:r>
      <w:r w:rsidRPr="009F43DE">
        <w:rPr>
          <w:lang w:val="fr-CH"/>
        </w:rPr>
        <w:tab/>
        <w:t>Risque de per</w:t>
      </w:r>
      <w:r w:rsidR="000D005E" w:rsidRPr="009F43DE">
        <w:rPr>
          <w:lang w:val="fr-CH"/>
        </w:rPr>
        <w:t>tes d</w:t>
      </w:r>
      <w:r w:rsidR="00F8384A" w:rsidRPr="009F43DE">
        <w:rPr>
          <w:lang w:val="fr-CH"/>
        </w:rPr>
        <w:t>’</w:t>
      </w:r>
      <w:r w:rsidR="000D005E" w:rsidRPr="009F43DE">
        <w:rPr>
          <w:lang w:val="fr-CH"/>
        </w:rPr>
        <w:t>emplois</w:t>
      </w:r>
      <w:r w:rsidRPr="009F43DE">
        <w:rPr>
          <w:lang w:val="fr-CH"/>
        </w:rPr>
        <w:t xml:space="preserve"> du fait du retrait du Système généralisé de préférence</w:t>
      </w:r>
      <w:r w:rsidR="000D005E" w:rsidRPr="009F43DE">
        <w:rPr>
          <w:lang w:val="fr-CH"/>
        </w:rPr>
        <w:t>s</w:t>
      </w:r>
      <w:r w:rsidRPr="009F43DE">
        <w:rPr>
          <w:lang w:val="fr-CH"/>
        </w:rPr>
        <w:t xml:space="preserve"> (SGP)</w:t>
      </w:r>
    </w:p>
    <w:p w:rsidR="00C77E1E" w:rsidRPr="009F43DE" w:rsidRDefault="00C77E1E" w:rsidP="00C77E1E">
      <w:pPr>
        <w:pStyle w:val="SingleTxtG"/>
        <w:rPr>
          <w:lang w:val="fr-CH"/>
        </w:rPr>
      </w:pPr>
      <w:r w:rsidRPr="009F43DE">
        <w:rPr>
          <w:lang w:val="fr-CH"/>
        </w:rPr>
        <w:t>69.</w:t>
      </w:r>
      <w:r w:rsidRPr="009F43DE">
        <w:rPr>
          <w:lang w:val="fr-CH"/>
        </w:rPr>
        <w:tab/>
      </w:r>
      <w:r w:rsidR="000D005E" w:rsidRPr="009F43DE">
        <w:rPr>
          <w:lang w:val="fr-CH"/>
        </w:rPr>
        <w:t xml:space="preserve">Des discussions sont en cours actuellement entre </w:t>
      </w:r>
      <w:r w:rsidRPr="009F43DE">
        <w:rPr>
          <w:lang w:val="fr-CH"/>
        </w:rPr>
        <w:t>l</w:t>
      </w:r>
      <w:r w:rsidR="00F8384A" w:rsidRPr="009F43DE">
        <w:rPr>
          <w:lang w:val="fr-CH"/>
        </w:rPr>
        <w:t>’</w:t>
      </w:r>
      <w:r w:rsidRPr="009F43DE">
        <w:rPr>
          <w:lang w:val="fr-CH"/>
        </w:rPr>
        <w:t xml:space="preserve">Union européenne (UE) </w:t>
      </w:r>
      <w:r w:rsidR="005A78AC" w:rsidRPr="009F43DE">
        <w:rPr>
          <w:lang w:val="fr-CH"/>
        </w:rPr>
        <w:t>et le Gouvernement sri-lankais</w:t>
      </w:r>
      <w:r w:rsidR="0069385A" w:rsidRPr="009F43DE">
        <w:rPr>
          <w:lang w:val="fr-CH"/>
        </w:rPr>
        <w:t>,</w:t>
      </w:r>
      <w:r w:rsidR="005A78AC" w:rsidRPr="009F43DE">
        <w:rPr>
          <w:lang w:val="fr-CH"/>
        </w:rPr>
        <w:t xml:space="preserve"> qui souhaite que le pays soit à nouveau admis au bénéfice du</w:t>
      </w:r>
      <w:r w:rsidR="00C91A83">
        <w:rPr>
          <w:lang w:val="fr-CH"/>
        </w:rPr>
        <w:t xml:space="preserve"> </w:t>
      </w:r>
      <w:r w:rsidR="000D005E" w:rsidRPr="009F43DE">
        <w:rPr>
          <w:lang w:val="fr-CH"/>
        </w:rPr>
        <w:t xml:space="preserve">régime </w:t>
      </w:r>
      <w:r w:rsidR="00F80613">
        <w:rPr>
          <w:lang w:val="fr-CH"/>
        </w:rPr>
        <w:t>«</w:t>
      </w:r>
      <w:r w:rsidRPr="009F43DE">
        <w:rPr>
          <w:lang w:val="fr-CH"/>
        </w:rPr>
        <w:t>SGP Plus</w:t>
      </w:r>
      <w:r w:rsidR="00F80613">
        <w:rPr>
          <w:lang w:val="fr-CH"/>
        </w:rPr>
        <w:t>»</w:t>
      </w:r>
      <w:r w:rsidR="000D005E" w:rsidRPr="009F43DE">
        <w:rPr>
          <w:lang w:val="fr-CH"/>
        </w:rPr>
        <w:t>.</w:t>
      </w:r>
    </w:p>
    <w:p w:rsidR="00C77E1E" w:rsidRPr="009F43DE" w:rsidRDefault="00C77E1E" w:rsidP="00C77E1E">
      <w:pPr>
        <w:pStyle w:val="H23G"/>
        <w:rPr>
          <w:lang w:val="fr-CH"/>
        </w:rPr>
      </w:pPr>
      <w:r w:rsidRPr="009F43DE">
        <w:rPr>
          <w:lang w:val="fr-CH"/>
        </w:rPr>
        <w:tab/>
      </w:r>
      <w:r w:rsidRPr="009F43DE">
        <w:rPr>
          <w:lang w:val="fr-CH"/>
        </w:rPr>
        <w:tab/>
        <w:t>Législation sur l</w:t>
      </w:r>
      <w:r w:rsidR="00F8384A" w:rsidRPr="009F43DE">
        <w:rPr>
          <w:lang w:val="fr-CH"/>
        </w:rPr>
        <w:t>’</w:t>
      </w:r>
      <w:r w:rsidRPr="009F43DE">
        <w:rPr>
          <w:lang w:val="fr-CH"/>
        </w:rPr>
        <w:t>interdiction de</w:t>
      </w:r>
      <w:r w:rsidR="00741E3B" w:rsidRPr="009F43DE">
        <w:rPr>
          <w:lang w:val="fr-CH"/>
        </w:rPr>
        <w:t>s</w:t>
      </w:r>
      <w:r w:rsidRPr="009F43DE">
        <w:rPr>
          <w:lang w:val="fr-CH"/>
        </w:rPr>
        <w:t xml:space="preserve"> discrimination</w:t>
      </w:r>
      <w:r w:rsidR="00741E3B" w:rsidRPr="009F43DE">
        <w:rPr>
          <w:lang w:val="fr-CH"/>
        </w:rPr>
        <w:t>s</w:t>
      </w:r>
      <w:r w:rsidRPr="009F43DE">
        <w:rPr>
          <w:lang w:val="fr-CH"/>
        </w:rPr>
        <w:t xml:space="preserve"> directe</w:t>
      </w:r>
      <w:r w:rsidR="00741E3B" w:rsidRPr="009F43DE">
        <w:rPr>
          <w:lang w:val="fr-CH"/>
        </w:rPr>
        <w:t>s</w:t>
      </w:r>
      <w:r w:rsidRPr="009F43DE">
        <w:rPr>
          <w:lang w:val="fr-CH"/>
        </w:rPr>
        <w:t xml:space="preserve"> et indirecte</w:t>
      </w:r>
      <w:r w:rsidR="00741E3B" w:rsidRPr="009F43DE">
        <w:rPr>
          <w:lang w:val="fr-CH"/>
        </w:rPr>
        <w:t>s en matière d</w:t>
      </w:r>
      <w:r w:rsidR="00F8384A" w:rsidRPr="009F43DE">
        <w:rPr>
          <w:lang w:val="fr-CH"/>
        </w:rPr>
        <w:t>’</w:t>
      </w:r>
      <w:r w:rsidRPr="009F43DE">
        <w:rPr>
          <w:lang w:val="fr-CH"/>
        </w:rPr>
        <w:t xml:space="preserve">emploi </w:t>
      </w:r>
      <w:r w:rsidR="003C1784">
        <w:rPr>
          <w:lang w:val="fr-CH"/>
        </w:rPr>
        <w:t>(</w:t>
      </w:r>
      <w:r w:rsidR="000D005E" w:rsidRPr="009F43DE">
        <w:rPr>
          <w:lang w:val="fr-CH"/>
        </w:rPr>
        <w:t>p</w:t>
      </w:r>
      <w:r w:rsidRPr="009F43DE">
        <w:rPr>
          <w:lang w:val="fr-CH"/>
        </w:rPr>
        <w:t>ar</w:t>
      </w:r>
      <w:r w:rsidR="00F80613">
        <w:rPr>
          <w:lang w:val="fr-CH"/>
        </w:rPr>
        <w:t>.</w:t>
      </w:r>
      <w:r w:rsidRPr="009F43DE">
        <w:rPr>
          <w:lang w:val="fr-CH"/>
        </w:rPr>
        <w:t xml:space="preserve"> 18</w:t>
      </w:r>
      <w:r w:rsidR="003C1784">
        <w:rPr>
          <w:lang w:val="fr-CH"/>
        </w:rPr>
        <w:t>)</w:t>
      </w:r>
    </w:p>
    <w:p w:rsidR="00C77E1E" w:rsidRPr="009F43DE" w:rsidRDefault="00C77E1E" w:rsidP="00C77E1E">
      <w:pPr>
        <w:pStyle w:val="SingleTxtG"/>
        <w:rPr>
          <w:lang w:val="fr-CH"/>
        </w:rPr>
      </w:pPr>
      <w:r w:rsidRPr="009F43DE">
        <w:rPr>
          <w:lang w:val="fr-CH"/>
        </w:rPr>
        <w:t>70.</w:t>
      </w:r>
      <w:r w:rsidRPr="009F43DE">
        <w:rPr>
          <w:lang w:val="fr-CH"/>
        </w:rPr>
        <w:tab/>
      </w:r>
      <w:r w:rsidRPr="009F43DE">
        <w:rPr>
          <w:rFonts w:eastAsia="Calibri"/>
          <w:lang w:val="fr-CH"/>
        </w:rPr>
        <w:t xml:space="preserve">La Constitution </w:t>
      </w:r>
      <w:r w:rsidR="00741E3B" w:rsidRPr="009F43DE">
        <w:rPr>
          <w:rFonts w:eastAsia="Calibri"/>
          <w:lang w:val="fr-CH"/>
        </w:rPr>
        <w:t xml:space="preserve">sri-lankaise </w:t>
      </w:r>
      <w:r w:rsidRPr="009F43DE">
        <w:rPr>
          <w:rFonts w:eastAsia="Calibri"/>
          <w:lang w:val="fr-CH"/>
        </w:rPr>
        <w:t xml:space="preserve">prévoit que tous les </w:t>
      </w:r>
      <w:r w:rsidR="00741E3B" w:rsidRPr="009F43DE">
        <w:rPr>
          <w:rFonts w:eastAsia="Calibri"/>
          <w:lang w:val="fr-CH"/>
        </w:rPr>
        <w:t>salariés</w:t>
      </w:r>
      <w:r w:rsidRPr="009F43DE">
        <w:rPr>
          <w:rFonts w:eastAsia="Calibri"/>
          <w:lang w:val="fr-CH"/>
        </w:rPr>
        <w:t xml:space="preserve"> </w:t>
      </w:r>
      <w:r w:rsidR="00741E3B" w:rsidRPr="009F43DE">
        <w:rPr>
          <w:rFonts w:eastAsia="Calibri"/>
          <w:lang w:val="fr-CH"/>
        </w:rPr>
        <w:t>sont</w:t>
      </w:r>
      <w:r w:rsidRPr="009F43DE">
        <w:rPr>
          <w:rFonts w:eastAsia="Calibri"/>
          <w:lang w:val="fr-CH"/>
        </w:rPr>
        <w:t xml:space="preserve"> protégés contre tout</w:t>
      </w:r>
      <w:r w:rsidR="00741E3B" w:rsidRPr="009F43DE">
        <w:rPr>
          <w:rFonts w:eastAsia="Calibri"/>
          <w:lang w:val="fr-CH"/>
        </w:rPr>
        <w:t>es les formes de</w:t>
      </w:r>
      <w:r w:rsidRPr="009F43DE">
        <w:rPr>
          <w:rFonts w:eastAsia="Calibri"/>
          <w:lang w:val="fr-CH"/>
        </w:rPr>
        <w:t xml:space="preserve"> discrimination dans le secteur privé comme </w:t>
      </w:r>
      <w:r w:rsidR="00415553" w:rsidRPr="009F43DE">
        <w:rPr>
          <w:rFonts w:eastAsia="Calibri"/>
          <w:lang w:val="fr-CH"/>
        </w:rPr>
        <w:t xml:space="preserve">dans </w:t>
      </w:r>
      <w:r w:rsidRPr="009F43DE">
        <w:rPr>
          <w:rFonts w:eastAsia="Calibri"/>
          <w:lang w:val="fr-CH"/>
        </w:rPr>
        <w:t xml:space="preserve">le secteur public. </w:t>
      </w:r>
      <w:r w:rsidR="00741E3B" w:rsidRPr="009F43DE">
        <w:rPr>
          <w:rFonts w:eastAsia="Calibri"/>
          <w:lang w:val="fr-CH"/>
        </w:rPr>
        <w:t>Elle garantit l</w:t>
      </w:r>
      <w:r w:rsidRPr="009F43DE">
        <w:rPr>
          <w:rFonts w:eastAsia="Calibri"/>
          <w:lang w:val="fr-CH"/>
        </w:rPr>
        <w:t>es droits fondamentaux des citoyens</w:t>
      </w:r>
      <w:r w:rsidR="00741E3B" w:rsidRPr="009F43DE">
        <w:rPr>
          <w:rFonts w:eastAsia="Calibri"/>
          <w:lang w:val="fr-CH"/>
        </w:rPr>
        <w:t xml:space="preserve">, qui sont </w:t>
      </w:r>
      <w:r w:rsidRPr="009F43DE">
        <w:rPr>
          <w:rFonts w:eastAsia="Calibri"/>
          <w:lang w:val="fr-CH"/>
        </w:rPr>
        <w:t xml:space="preserve">libres de choisir </w:t>
      </w:r>
      <w:r w:rsidR="00741E3B" w:rsidRPr="009F43DE">
        <w:rPr>
          <w:rFonts w:eastAsia="Calibri"/>
          <w:lang w:val="fr-CH"/>
        </w:rPr>
        <w:t>leur profession</w:t>
      </w:r>
      <w:r w:rsidRPr="009F43DE">
        <w:rPr>
          <w:rFonts w:eastAsia="Calibri"/>
          <w:lang w:val="fr-CH"/>
        </w:rPr>
        <w:t xml:space="preserve">. </w:t>
      </w:r>
      <w:r w:rsidR="00741E3B" w:rsidRPr="009F43DE">
        <w:rPr>
          <w:rFonts w:eastAsia="Calibri"/>
          <w:lang w:val="fr-CH"/>
        </w:rPr>
        <w:t>S</w:t>
      </w:r>
      <w:r w:rsidRPr="009F43DE">
        <w:rPr>
          <w:rFonts w:eastAsia="Calibri"/>
          <w:lang w:val="fr-CH"/>
        </w:rPr>
        <w:t xml:space="preserve">es articles 12, 14 et 17 </w:t>
      </w:r>
      <w:r w:rsidR="00741E3B" w:rsidRPr="009F43DE">
        <w:rPr>
          <w:rFonts w:eastAsia="Calibri"/>
          <w:lang w:val="fr-CH"/>
        </w:rPr>
        <w:t xml:space="preserve">revêtent une importance </w:t>
      </w:r>
      <w:r w:rsidRPr="009F43DE">
        <w:rPr>
          <w:rFonts w:eastAsia="Calibri"/>
          <w:lang w:val="fr-CH"/>
        </w:rPr>
        <w:t>particulière</w:t>
      </w:r>
      <w:r w:rsidR="00741E3B" w:rsidRPr="009F43DE">
        <w:rPr>
          <w:rFonts w:eastAsia="Calibri"/>
          <w:lang w:val="fr-CH"/>
        </w:rPr>
        <w:t xml:space="preserve"> à cet égard</w:t>
      </w:r>
      <w:r w:rsidRPr="009F43DE">
        <w:rPr>
          <w:rFonts w:eastAsia="Calibri"/>
          <w:lang w:val="fr-CH"/>
        </w:rPr>
        <w:t xml:space="preserve">. </w:t>
      </w:r>
    </w:p>
    <w:p w:rsidR="00C77E1E" w:rsidRPr="009F43DE" w:rsidRDefault="00C77E1E" w:rsidP="00C77E1E">
      <w:pPr>
        <w:pStyle w:val="SingleTxtG"/>
        <w:rPr>
          <w:lang w:val="fr-CH"/>
        </w:rPr>
      </w:pPr>
      <w:r w:rsidRPr="009F43DE">
        <w:rPr>
          <w:lang w:val="fr-CH"/>
        </w:rPr>
        <w:t>71.</w:t>
      </w:r>
      <w:r w:rsidRPr="009F43DE">
        <w:rPr>
          <w:lang w:val="fr-CH"/>
        </w:rPr>
        <w:tab/>
      </w:r>
      <w:r w:rsidR="00741E3B" w:rsidRPr="009F43DE">
        <w:rPr>
          <w:color w:val="000000"/>
          <w:lang w:val="fr-CH"/>
        </w:rPr>
        <w:t>L</w:t>
      </w:r>
      <w:r w:rsidR="00F8384A" w:rsidRPr="009F43DE">
        <w:rPr>
          <w:color w:val="000000"/>
          <w:lang w:val="fr-CH"/>
        </w:rPr>
        <w:t>’</w:t>
      </w:r>
      <w:r w:rsidR="00741E3B" w:rsidRPr="009F43DE">
        <w:rPr>
          <w:color w:val="000000"/>
          <w:lang w:val="fr-CH"/>
        </w:rPr>
        <w:t>article 126 dispose que t</w:t>
      </w:r>
      <w:r w:rsidRPr="009F43DE">
        <w:rPr>
          <w:color w:val="000000"/>
          <w:lang w:val="fr-CH"/>
        </w:rPr>
        <w:t xml:space="preserve">oute personne a le droit de saisir la Cour suprême en cas de violation, ou de </w:t>
      </w:r>
      <w:r w:rsidR="004C421D" w:rsidRPr="009F43DE">
        <w:rPr>
          <w:color w:val="000000"/>
          <w:lang w:val="fr-CH"/>
        </w:rPr>
        <w:t xml:space="preserve">risque de </w:t>
      </w:r>
      <w:r w:rsidRPr="009F43DE">
        <w:rPr>
          <w:color w:val="000000"/>
          <w:lang w:val="fr-CH"/>
        </w:rPr>
        <w:t>violation, par un acte de l</w:t>
      </w:r>
      <w:r w:rsidR="00F8384A" w:rsidRPr="009F43DE">
        <w:rPr>
          <w:color w:val="000000"/>
          <w:lang w:val="fr-CH"/>
        </w:rPr>
        <w:t>’</w:t>
      </w:r>
      <w:r w:rsidRPr="009F43DE">
        <w:rPr>
          <w:color w:val="000000"/>
          <w:lang w:val="fr-CH"/>
        </w:rPr>
        <w:t>exécutif ou un acte administratif, d</w:t>
      </w:r>
      <w:r w:rsidR="00F8384A" w:rsidRPr="009F43DE">
        <w:rPr>
          <w:color w:val="000000"/>
          <w:lang w:val="fr-CH"/>
        </w:rPr>
        <w:t>’</w:t>
      </w:r>
      <w:r w:rsidRPr="009F43DE">
        <w:rPr>
          <w:color w:val="000000"/>
          <w:lang w:val="fr-CH"/>
        </w:rPr>
        <w:t>un droit fondamental qu</w:t>
      </w:r>
      <w:r w:rsidR="00415553" w:rsidRPr="009F43DE">
        <w:rPr>
          <w:color w:val="000000"/>
          <w:lang w:val="fr-CH"/>
        </w:rPr>
        <w:t>i lui est garanti par l</w:t>
      </w:r>
      <w:r w:rsidRPr="009F43DE">
        <w:rPr>
          <w:color w:val="000000"/>
          <w:lang w:val="fr-CH"/>
        </w:rPr>
        <w:t xml:space="preserve">es dispositions de la </w:t>
      </w:r>
      <w:r w:rsidRPr="009F43DE">
        <w:rPr>
          <w:rFonts w:eastAsia="Calibri"/>
          <w:color w:val="000000"/>
          <w:lang w:val="fr-CH"/>
        </w:rPr>
        <w:t>Constitution.</w:t>
      </w:r>
    </w:p>
    <w:p w:rsidR="00C77E1E" w:rsidRPr="009F43DE" w:rsidRDefault="00C77E1E" w:rsidP="00C77E1E">
      <w:pPr>
        <w:pStyle w:val="SingleTxtG"/>
        <w:rPr>
          <w:lang w:val="fr-CH"/>
        </w:rPr>
      </w:pPr>
      <w:r w:rsidRPr="009F43DE">
        <w:rPr>
          <w:lang w:val="fr-CH"/>
        </w:rPr>
        <w:t>72.</w:t>
      </w:r>
      <w:r w:rsidRPr="009F43DE">
        <w:rPr>
          <w:lang w:val="fr-CH"/>
        </w:rPr>
        <w:tab/>
        <w:t>Le nombre de femmes particip</w:t>
      </w:r>
      <w:r w:rsidR="00741E3B" w:rsidRPr="009F43DE">
        <w:rPr>
          <w:lang w:val="fr-CH"/>
        </w:rPr>
        <w:t>a</w:t>
      </w:r>
      <w:r w:rsidRPr="009F43DE">
        <w:rPr>
          <w:lang w:val="fr-CH"/>
        </w:rPr>
        <w:t>nt à la formulation de</w:t>
      </w:r>
      <w:r w:rsidR="0069385A" w:rsidRPr="009F43DE">
        <w:rPr>
          <w:lang w:val="fr-CH"/>
        </w:rPr>
        <w:t>s</w:t>
      </w:r>
      <w:r w:rsidRPr="009F43DE">
        <w:rPr>
          <w:lang w:val="fr-CH"/>
        </w:rPr>
        <w:t xml:space="preserve"> politiques gouvernementales occup</w:t>
      </w:r>
      <w:r w:rsidR="00741E3B" w:rsidRPr="009F43DE">
        <w:rPr>
          <w:lang w:val="fr-CH"/>
        </w:rPr>
        <w:t>a</w:t>
      </w:r>
      <w:r w:rsidRPr="009F43DE">
        <w:rPr>
          <w:lang w:val="fr-CH"/>
        </w:rPr>
        <w:t xml:space="preserve">nt des postes publics de </w:t>
      </w:r>
      <w:r w:rsidR="006B31C2" w:rsidRPr="009F43DE">
        <w:rPr>
          <w:lang w:val="fr-CH"/>
        </w:rPr>
        <w:t xml:space="preserve">responsabilité </w:t>
      </w:r>
      <w:r w:rsidRPr="009F43DE">
        <w:rPr>
          <w:lang w:val="fr-CH"/>
        </w:rPr>
        <w:t>et re</w:t>
      </w:r>
      <w:r w:rsidRPr="009F43DE">
        <w:rPr>
          <w:color w:val="000000"/>
          <w:lang w:val="fr-CH"/>
        </w:rPr>
        <w:t>mpliss</w:t>
      </w:r>
      <w:r w:rsidR="00741E3B" w:rsidRPr="009F43DE">
        <w:rPr>
          <w:color w:val="000000"/>
          <w:lang w:val="fr-CH"/>
        </w:rPr>
        <w:t>a</w:t>
      </w:r>
      <w:r w:rsidRPr="009F43DE">
        <w:rPr>
          <w:color w:val="000000"/>
          <w:lang w:val="fr-CH"/>
        </w:rPr>
        <w:t xml:space="preserve">nt des fonctions officielles à tous les </w:t>
      </w:r>
      <w:r w:rsidR="006B31C2" w:rsidRPr="009F43DE">
        <w:rPr>
          <w:color w:val="000000"/>
          <w:lang w:val="fr-CH"/>
        </w:rPr>
        <w:t>échelons</w:t>
      </w:r>
      <w:r w:rsidRPr="009F43DE">
        <w:rPr>
          <w:color w:val="000000"/>
          <w:lang w:val="fr-CH"/>
        </w:rPr>
        <w:t xml:space="preserve"> d</w:t>
      </w:r>
      <w:r w:rsidR="00741E3B" w:rsidRPr="009F43DE">
        <w:rPr>
          <w:color w:val="000000"/>
          <w:lang w:val="fr-CH"/>
        </w:rPr>
        <w:t>e l</w:t>
      </w:r>
      <w:r w:rsidR="00F8384A" w:rsidRPr="009F43DE">
        <w:rPr>
          <w:color w:val="000000"/>
          <w:lang w:val="fr-CH"/>
        </w:rPr>
        <w:t>’</w:t>
      </w:r>
      <w:r w:rsidR="00741E3B" w:rsidRPr="009F43DE">
        <w:rPr>
          <w:color w:val="000000"/>
          <w:lang w:val="fr-CH"/>
        </w:rPr>
        <w:t>administration</w:t>
      </w:r>
      <w:r w:rsidRPr="009F43DE">
        <w:rPr>
          <w:rFonts w:eastAsia="Calibri"/>
          <w:color w:val="000000"/>
          <w:lang w:val="fr-CH"/>
        </w:rPr>
        <w:t xml:space="preserve"> continue d</w:t>
      </w:r>
      <w:r w:rsidR="00F8384A" w:rsidRPr="009F43DE">
        <w:rPr>
          <w:rFonts w:eastAsia="Calibri"/>
          <w:color w:val="000000"/>
          <w:lang w:val="fr-CH"/>
        </w:rPr>
        <w:t>’</w:t>
      </w:r>
      <w:r w:rsidRPr="009F43DE">
        <w:rPr>
          <w:rFonts w:eastAsia="Calibri"/>
          <w:color w:val="000000"/>
          <w:lang w:val="fr-CH"/>
        </w:rPr>
        <w:t xml:space="preserve">augmenter. </w:t>
      </w:r>
      <w:r w:rsidRPr="009F43DE">
        <w:rPr>
          <w:color w:val="000000"/>
          <w:lang w:val="fr-CH"/>
        </w:rPr>
        <w:t>Grâce à une politique énergique de recrutement sans discrimination sexuelle, appuyée par les garanties constitutionnelles d</w:t>
      </w:r>
      <w:r w:rsidR="00F8384A" w:rsidRPr="009F43DE">
        <w:rPr>
          <w:color w:val="000000"/>
          <w:lang w:val="fr-CH"/>
        </w:rPr>
        <w:t>’</w:t>
      </w:r>
      <w:r w:rsidRPr="009F43DE">
        <w:rPr>
          <w:color w:val="000000"/>
          <w:lang w:val="fr-CH"/>
        </w:rPr>
        <w:t>égalité, un nombre croissant de femmes entrent dans tous les secteurs de la fonction publique et des entreprises</w:t>
      </w:r>
      <w:r w:rsidRPr="009F43DE">
        <w:rPr>
          <w:rFonts w:eastAsia="Calibri"/>
          <w:color w:val="000000"/>
          <w:lang w:val="fr-CH"/>
        </w:rPr>
        <w:t xml:space="preserve">. </w:t>
      </w:r>
      <w:r w:rsidR="003C1784">
        <w:rPr>
          <w:rFonts w:eastAsia="Calibri"/>
          <w:color w:val="000000"/>
          <w:lang w:val="fr-CH"/>
        </w:rPr>
        <w:t>À</w:t>
      </w:r>
      <w:r w:rsidRPr="009F43DE">
        <w:rPr>
          <w:rFonts w:eastAsia="Calibri"/>
          <w:color w:val="000000"/>
          <w:lang w:val="fr-CH"/>
        </w:rPr>
        <w:t xml:space="preserve"> l</w:t>
      </w:r>
      <w:r w:rsidR="00F8384A" w:rsidRPr="009F43DE">
        <w:rPr>
          <w:rFonts w:eastAsia="Calibri"/>
          <w:color w:val="000000"/>
          <w:lang w:val="fr-CH"/>
        </w:rPr>
        <w:t>’</w:t>
      </w:r>
      <w:r w:rsidRPr="009F43DE">
        <w:rPr>
          <w:rFonts w:eastAsia="Calibri"/>
          <w:color w:val="000000"/>
          <w:lang w:val="fr-CH"/>
        </w:rPr>
        <w:t>heure actuelle</w:t>
      </w:r>
      <w:r w:rsidR="006B31C2" w:rsidRPr="009F43DE">
        <w:rPr>
          <w:rFonts w:eastAsia="Calibri"/>
          <w:color w:val="000000"/>
          <w:lang w:val="fr-CH"/>
        </w:rPr>
        <w:t>,</w:t>
      </w:r>
      <w:r w:rsidRPr="009F43DE">
        <w:rPr>
          <w:rFonts w:eastAsia="Calibri"/>
          <w:color w:val="000000"/>
          <w:lang w:val="fr-CH"/>
        </w:rPr>
        <w:t xml:space="preserve"> des Sri</w:t>
      </w:r>
      <w:r w:rsidR="006B31C2" w:rsidRPr="009F43DE">
        <w:rPr>
          <w:rFonts w:eastAsia="Calibri"/>
          <w:color w:val="000000"/>
          <w:lang w:val="fr-CH"/>
        </w:rPr>
        <w:t>-</w:t>
      </w:r>
      <w:r w:rsidR="001975FF" w:rsidRPr="009F43DE">
        <w:rPr>
          <w:rFonts w:eastAsia="Calibri"/>
          <w:color w:val="000000"/>
          <w:lang w:val="fr-CH"/>
        </w:rPr>
        <w:t xml:space="preserve">Lankaises </w:t>
      </w:r>
      <w:r w:rsidR="006B31C2" w:rsidRPr="009F43DE">
        <w:rPr>
          <w:rFonts w:eastAsia="Calibri"/>
          <w:color w:val="000000"/>
          <w:lang w:val="fr-CH"/>
        </w:rPr>
        <w:t xml:space="preserve">exercent </w:t>
      </w:r>
      <w:r w:rsidRPr="009F43DE">
        <w:rPr>
          <w:rFonts w:eastAsia="Calibri"/>
          <w:color w:val="000000"/>
          <w:lang w:val="fr-CH"/>
        </w:rPr>
        <w:t xml:space="preserve">des </w:t>
      </w:r>
      <w:r w:rsidR="006B31C2" w:rsidRPr="009F43DE">
        <w:rPr>
          <w:rFonts w:eastAsia="Calibri"/>
          <w:color w:val="000000"/>
          <w:lang w:val="fr-CH"/>
        </w:rPr>
        <w:t>fonctions de haut niveau en tant que s</w:t>
      </w:r>
      <w:r w:rsidRPr="009F43DE">
        <w:rPr>
          <w:rFonts w:eastAsia="Calibri"/>
          <w:color w:val="000000"/>
          <w:lang w:val="fr-CH"/>
        </w:rPr>
        <w:t>ecrétaire</w:t>
      </w:r>
      <w:r w:rsidR="006B31C2" w:rsidRPr="009F43DE">
        <w:rPr>
          <w:rFonts w:eastAsia="Calibri"/>
          <w:color w:val="000000"/>
          <w:lang w:val="fr-CH"/>
        </w:rPr>
        <w:t>s</w:t>
      </w:r>
      <w:r w:rsidRPr="009F43DE">
        <w:rPr>
          <w:rFonts w:eastAsia="Calibri"/>
          <w:color w:val="000000"/>
          <w:lang w:val="fr-CH"/>
        </w:rPr>
        <w:t xml:space="preserve"> général</w:t>
      </w:r>
      <w:r w:rsidR="006B31C2" w:rsidRPr="009F43DE">
        <w:rPr>
          <w:rFonts w:eastAsia="Calibri"/>
          <w:color w:val="000000"/>
          <w:lang w:val="fr-CH"/>
        </w:rPr>
        <w:t>es</w:t>
      </w:r>
      <w:r w:rsidRPr="009F43DE">
        <w:rPr>
          <w:rFonts w:eastAsia="Calibri"/>
          <w:color w:val="000000"/>
          <w:lang w:val="fr-CH"/>
        </w:rPr>
        <w:t xml:space="preserve"> de ministè</w:t>
      </w:r>
      <w:r w:rsidRPr="009F43DE">
        <w:rPr>
          <w:rFonts w:eastAsia="Calibri"/>
          <w:lang w:val="fr-CH"/>
        </w:rPr>
        <w:t xml:space="preserve">res, chefs de missions diplomatiques et magistrates. </w:t>
      </w:r>
    </w:p>
    <w:p w:rsidR="00C77E1E" w:rsidRPr="009F43DE" w:rsidRDefault="00C77E1E" w:rsidP="00C77E1E">
      <w:pPr>
        <w:pStyle w:val="SingleTxtG"/>
        <w:rPr>
          <w:lang w:val="fr-CH"/>
        </w:rPr>
      </w:pPr>
      <w:r w:rsidRPr="009F43DE">
        <w:rPr>
          <w:lang w:val="fr-CH"/>
        </w:rPr>
        <w:t>73.</w:t>
      </w:r>
      <w:r w:rsidRPr="009F43DE">
        <w:rPr>
          <w:lang w:val="fr-CH"/>
        </w:rPr>
        <w:tab/>
      </w:r>
      <w:r w:rsidR="006B31C2" w:rsidRPr="009F43DE">
        <w:rPr>
          <w:lang w:val="fr-CH"/>
        </w:rPr>
        <w:t xml:space="preserve">Pour </w:t>
      </w:r>
      <w:r w:rsidRPr="009F43DE">
        <w:rPr>
          <w:lang w:val="fr-CH"/>
        </w:rPr>
        <w:t>favoriser l</w:t>
      </w:r>
      <w:r w:rsidR="00F8384A" w:rsidRPr="009F43DE">
        <w:rPr>
          <w:lang w:val="fr-CH"/>
        </w:rPr>
        <w:t>’</w:t>
      </w:r>
      <w:r w:rsidR="006B31C2" w:rsidRPr="009F43DE">
        <w:rPr>
          <w:lang w:val="fr-CH"/>
        </w:rPr>
        <w:t>exercice par les femmes de</w:t>
      </w:r>
      <w:r w:rsidR="0069385A" w:rsidRPr="009F43DE">
        <w:rPr>
          <w:lang w:val="fr-CH"/>
        </w:rPr>
        <w:t>s</w:t>
      </w:r>
      <w:r w:rsidR="006B31C2" w:rsidRPr="009F43DE">
        <w:rPr>
          <w:lang w:val="fr-CH"/>
        </w:rPr>
        <w:t xml:space="preserve"> d</w:t>
      </w:r>
      <w:r w:rsidRPr="009F43DE">
        <w:rPr>
          <w:lang w:val="fr-CH"/>
        </w:rPr>
        <w:t xml:space="preserve">roits politiques et civils </w:t>
      </w:r>
      <w:r w:rsidR="0069385A" w:rsidRPr="009F43DE">
        <w:rPr>
          <w:lang w:val="fr-CH"/>
        </w:rPr>
        <w:t>que leur reconnaît</w:t>
      </w:r>
      <w:r w:rsidRPr="009F43DE">
        <w:rPr>
          <w:lang w:val="fr-CH"/>
        </w:rPr>
        <w:t xml:space="preserve"> la Charte des femmes, un</w:t>
      </w:r>
      <w:r w:rsidR="00415553" w:rsidRPr="009F43DE">
        <w:rPr>
          <w:lang w:val="fr-CH"/>
        </w:rPr>
        <w:t>e formation diplômante d</w:t>
      </w:r>
      <w:r w:rsidR="00F8384A" w:rsidRPr="009F43DE">
        <w:rPr>
          <w:lang w:val="fr-CH"/>
        </w:rPr>
        <w:t>’</w:t>
      </w:r>
      <w:r w:rsidR="00415553" w:rsidRPr="009F43DE">
        <w:rPr>
          <w:lang w:val="fr-CH"/>
        </w:rPr>
        <w:t xml:space="preserve">un an </w:t>
      </w:r>
      <w:r w:rsidRPr="009F43DE">
        <w:rPr>
          <w:lang w:val="fr-CH"/>
        </w:rPr>
        <w:t xml:space="preserve">est </w:t>
      </w:r>
      <w:r w:rsidR="00415553" w:rsidRPr="009F43DE">
        <w:rPr>
          <w:lang w:val="fr-CH"/>
        </w:rPr>
        <w:t>assurée gratuitement</w:t>
      </w:r>
      <w:r w:rsidRPr="009F43DE">
        <w:rPr>
          <w:lang w:val="fr-CH"/>
        </w:rPr>
        <w:t xml:space="preserve"> avec l</w:t>
      </w:r>
      <w:r w:rsidR="00F8384A" w:rsidRPr="009F43DE">
        <w:rPr>
          <w:lang w:val="fr-CH"/>
        </w:rPr>
        <w:t>’</w:t>
      </w:r>
      <w:r w:rsidRPr="009F43DE">
        <w:rPr>
          <w:lang w:val="fr-CH"/>
        </w:rPr>
        <w:t>aide de l</w:t>
      </w:r>
      <w:r w:rsidR="00F8384A" w:rsidRPr="009F43DE">
        <w:rPr>
          <w:lang w:val="fr-CH"/>
        </w:rPr>
        <w:t>’</w:t>
      </w:r>
      <w:r w:rsidRPr="009F43DE">
        <w:rPr>
          <w:lang w:val="fr-CH"/>
        </w:rPr>
        <w:t>Institut national de développement social afin d</w:t>
      </w:r>
      <w:r w:rsidR="00F8384A" w:rsidRPr="009F43DE">
        <w:rPr>
          <w:lang w:val="fr-CH"/>
        </w:rPr>
        <w:t>’</w:t>
      </w:r>
      <w:r w:rsidRPr="009F43DE">
        <w:rPr>
          <w:lang w:val="fr-CH"/>
        </w:rPr>
        <w:t xml:space="preserve">accroître la représentation des femmes en politique. Des </w:t>
      </w:r>
      <w:r w:rsidRPr="009F43DE">
        <w:rPr>
          <w:color w:val="000000"/>
          <w:lang w:val="fr-CH"/>
        </w:rPr>
        <w:t>responsables communaut</w:t>
      </w:r>
      <w:r w:rsidR="00415553" w:rsidRPr="009F43DE">
        <w:rPr>
          <w:color w:val="000000"/>
          <w:lang w:val="fr-CH"/>
        </w:rPr>
        <w:t xml:space="preserve">aires </w:t>
      </w:r>
      <w:r w:rsidRPr="009F43DE">
        <w:rPr>
          <w:color w:val="000000"/>
          <w:lang w:val="fr-CH"/>
        </w:rPr>
        <w:t>f</w:t>
      </w:r>
      <w:r w:rsidR="00415553" w:rsidRPr="009F43DE">
        <w:rPr>
          <w:color w:val="000000"/>
          <w:lang w:val="fr-CH"/>
        </w:rPr>
        <w:t xml:space="preserve">éminines </w:t>
      </w:r>
      <w:r w:rsidRPr="009F43DE">
        <w:rPr>
          <w:rFonts w:eastAsia="Calibri"/>
          <w:color w:val="000000"/>
          <w:lang w:val="fr-CH"/>
        </w:rPr>
        <w:t>ont été choisi</w:t>
      </w:r>
      <w:r w:rsidR="00415553" w:rsidRPr="009F43DE">
        <w:rPr>
          <w:rFonts w:eastAsia="Calibri"/>
          <w:color w:val="000000"/>
          <w:lang w:val="fr-CH"/>
        </w:rPr>
        <w:t>e</w:t>
      </w:r>
      <w:r w:rsidRPr="009F43DE">
        <w:rPr>
          <w:rFonts w:eastAsia="Calibri"/>
          <w:color w:val="000000"/>
          <w:lang w:val="fr-CH"/>
        </w:rPr>
        <w:t xml:space="preserve">s pour </w:t>
      </w:r>
      <w:r w:rsidR="00415553" w:rsidRPr="009F43DE">
        <w:rPr>
          <w:rFonts w:eastAsia="Calibri"/>
          <w:color w:val="000000"/>
          <w:lang w:val="fr-CH"/>
        </w:rPr>
        <w:t xml:space="preserve">participer à cette formation, dont </w:t>
      </w:r>
      <w:r w:rsidRPr="009F43DE">
        <w:rPr>
          <w:rFonts w:eastAsia="Calibri"/>
          <w:color w:val="000000"/>
          <w:lang w:val="fr-CH"/>
        </w:rPr>
        <w:t xml:space="preserve">le coût financier est </w:t>
      </w:r>
      <w:r w:rsidR="00415553" w:rsidRPr="009F43DE">
        <w:rPr>
          <w:rFonts w:eastAsia="Calibri"/>
          <w:color w:val="000000"/>
          <w:lang w:val="fr-CH"/>
        </w:rPr>
        <w:t xml:space="preserve">pris en charge par </w:t>
      </w:r>
      <w:r w:rsidRPr="009F43DE">
        <w:rPr>
          <w:rFonts w:eastAsia="Calibri"/>
          <w:color w:val="000000"/>
          <w:lang w:val="fr-CH"/>
        </w:rPr>
        <w:t>le Comité national de la femme. Ce</w:t>
      </w:r>
      <w:r w:rsidR="00415553" w:rsidRPr="009F43DE">
        <w:rPr>
          <w:rFonts w:eastAsia="Calibri"/>
          <w:color w:val="000000"/>
          <w:lang w:val="fr-CH"/>
        </w:rPr>
        <w:t xml:space="preserve">tte formation </w:t>
      </w:r>
      <w:r w:rsidRPr="009F43DE">
        <w:rPr>
          <w:rFonts w:eastAsia="Calibri"/>
          <w:color w:val="000000"/>
          <w:lang w:val="fr-CH"/>
        </w:rPr>
        <w:t>a aussi</w:t>
      </w:r>
      <w:r w:rsidRPr="009F43DE">
        <w:rPr>
          <w:rFonts w:eastAsia="Calibri"/>
          <w:lang w:val="fr-CH"/>
        </w:rPr>
        <w:t xml:space="preserve"> été </w:t>
      </w:r>
      <w:r w:rsidR="00415553" w:rsidRPr="009F43DE">
        <w:rPr>
          <w:rFonts w:eastAsia="Calibri"/>
          <w:lang w:val="fr-CH"/>
        </w:rPr>
        <w:t>dispensée</w:t>
      </w:r>
      <w:r w:rsidRPr="009F43DE">
        <w:rPr>
          <w:rFonts w:eastAsia="Calibri"/>
          <w:lang w:val="fr-CH"/>
        </w:rPr>
        <w:t xml:space="preserve"> en langue tamoule à l</w:t>
      </w:r>
      <w:r w:rsidR="00F8384A" w:rsidRPr="009F43DE">
        <w:rPr>
          <w:rFonts w:eastAsia="Calibri"/>
          <w:lang w:val="fr-CH"/>
        </w:rPr>
        <w:t>’</w:t>
      </w:r>
      <w:r w:rsidRPr="009F43DE">
        <w:rPr>
          <w:rFonts w:eastAsia="Calibri"/>
          <w:lang w:val="fr-CH"/>
        </w:rPr>
        <w:t xml:space="preserve">intention des femmes du </w:t>
      </w:r>
      <w:r w:rsidR="00415553" w:rsidRPr="009F43DE">
        <w:rPr>
          <w:rFonts w:eastAsia="Calibri"/>
          <w:lang w:val="fr-CH"/>
        </w:rPr>
        <w:t>n</w:t>
      </w:r>
      <w:r w:rsidRPr="009F43DE">
        <w:rPr>
          <w:rFonts w:eastAsia="Calibri"/>
          <w:lang w:val="fr-CH"/>
        </w:rPr>
        <w:t>ord et de l</w:t>
      </w:r>
      <w:r w:rsidR="00F8384A" w:rsidRPr="009F43DE">
        <w:rPr>
          <w:rFonts w:eastAsia="Calibri"/>
          <w:lang w:val="fr-CH"/>
        </w:rPr>
        <w:t>’</w:t>
      </w:r>
      <w:r w:rsidR="00415553" w:rsidRPr="009F43DE">
        <w:rPr>
          <w:rFonts w:eastAsia="Calibri"/>
          <w:lang w:val="fr-CH"/>
        </w:rPr>
        <w:t>e</w:t>
      </w:r>
      <w:r w:rsidRPr="009F43DE">
        <w:rPr>
          <w:rFonts w:eastAsia="Calibri"/>
          <w:lang w:val="fr-CH"/>
        </w:rPr>
        <w:t>st</w:t>
      </w:r>
      <w:r w:rsidR="00415553" w:rsidRPr="009F43DE">
        <w:rPr>
          <w:rFonts w:eastAsia="Calibri"/>
          <w:lang w:val="fr-CH"/>
        </w:rPr>
        <w:t xml:space="preserve"> du pays</w:t>
      </w:r>
      <w:r w:rsidRPr="009F43DE">
        <w:rPr>
          <w:rFonts w:eastAsia="Calibri"/>
          <w:lang w:val="fr-CH"/>
        </w:rPr>
        <w:t xml:space="preserve">. </w:t>
      </w:r>
      <w:r w:rsidR="00415553" w:rsidRPr="009F43DE">
        <w:rPr>
          <w:rFonts w:eastAsia="Calibri"/>
          <w:lang w:val="fr-CH"/>
        </w:rPr>
        <w:t xml:space="preserve">Récemment, </w:t>
      </w:r>
      <w:r w:rsidR="001975FF">
        <w:rPr>
          <w:rFonts w:eastAsia="Calibri"/>
          <w:lang w:val="fr-CH"/>
        </w:rPr>
        <w:t>50</w:t>
      </w:r>
      <w:r w:rsidR="001975FF" w:rsidRPr="009F43DE">
        <w:rPr>
          <w:rFonts w:eastAsia="Calibri"/>
          <w:lang w:val="fr-CH"/>
        </w:rPr>
        <w:t xml:space="preserve"> </w:t>
      </w:r>
      <w:r w:rsidR="00210E33" w:rsidRPr="009F43DE">
        <w:rPr>
          <w:rFonts w:eastAsia="Calibri"/>
          <w:lang w:val="fr-CH"/>
        </w:rPr>
        <w:t xml:space="preserve">femmes ont participé à </w:t>
      </w:r>
      <w:r w:rsidR="00415553" w:rsidRPr="009F43DE">
        <w:rPr>
          <w:rFonts w:eastAsia="Calibri"/>
          <w:lang w:val="fr-CH"/>
        </w:rPr>
        <w:t>u</w:t>
      </w:r>
      <w:r w:rsidRPr="009F43DE">
        <w:rPr>
          <w:rFonts w:eastAsia="Calibri"/>
          <w:lang w:val="fr-CH"/>
        </w:rPr>
        <w:t xml:space="preserve">n programme interne </w:t>
      </w:r>
      <w:r w:rsidR="00210E33" w:rsidRPr="009F43DE">
        <w:rPr>
          <w:rFonts w:eastAsia="Calibri"/>
          <w:lang w:val="fr-CH"/>
        </w:rPr>
        <w:t>d</w:t>
      </w:r>
      <w:r w:rsidRPr="009F43DE">
        <w:rPr>
          <w:rFonts w:eastAsia="Calibri"/>
          <w:lang w:val="fr-CH"/>
        </w:rPr>
        <w:t xml:space="preserve">u Ministère du développement agraire, </w:t>
      </w:r>
      <w:r w:rsidR="00210E33" w:rsidRPr="009F43DE">
        <w:rPr>
          <w:rFonts w:eastAsia="Calibri"/>
          <w:lang w:val="fr-CH"/>
        </w:rPr>
        <w:t xml:space="preserve">à </w:t>
      </w:r>
      <w:r w:rsidRPr="009F43DE">
        <w:rPr>
          <w:rFonts w:eastAsia="Calibri"/>
          <w:lang w:val="fr-CH"/>
        </w:rPr>
        <w:t>Vavuniya.</w:t>
      </w:r>
    </w:p>
    <w:p w:rsidR="00C77E1E" w:rsidRPr="009F43DE" w:rsidRDefault="00C77E1E" w:rsidP="00C77E1E">
      <w:pPr>
        <w:pStyle w:val="H23G"/>
        <w:rPr>
          <w:lang w:val="fr-CH"/>
        </w:rPr>
      </w:pPr>
      <w:r w:rsidRPr="009F43DE">
        <w:rPr>
          <w:lang w:val="fr-CH"/>
        </w:rPr>
        <w:tab/>
      </w:r>
      <w:r w:rsidRPr="009F43DE">
        <w:rPr>
          <w:lang w:val="fr-CH"/>
        </w:rPr>
        <w:tab/>
        <w:t xml:space="preserve">Garantir un salaire minimum à tous les travailleurs </w:t>
      </w:r>
      <w:r w:rsidR="00F80613">
        <w:rPr>
          <w:lang w:val="fr-CH"/>
        </w:rPr>
        <w:t>(</w:t>
      </w:r>
      <w:r w:rsidR="005A78AC" w:rsidRPr="009F43DE">
        <w:rPr>
          <w:lang w:val="fr-CH"/>
        </w:rPr>
        <w:t>p</w:t>
      </w:r>
      <w:r w:rsidRPr="009F43DE">
        <w:rPr>
          <w:lang w:val="fr-CH"/>
        </w:rPr>
        <w:t>ar</w:t>
      </w:r>
      <w:r w:rsidR="00F80613">
        <w:rPr>
          <w:lang w:val="fr-CH"/>
        </w:rPr>
        <w:t>.</w:t>
      </w:r>
      <w:r w:rsidRPr="009F43DE">
        <w:rPr>
          <w:lang w:val="fr-CH"/>
        </w:rPr>
        <w:t xml:space="preserve"> 19</w:t>
      </w:r>
      <w:r w:rsidR="00F80613">
        <w:rPr>
          <w:lang w:val="fr-CH"/>
        </w:rPr>
        <w:t>)</w:t>
      </w:r>
    </w:p>
    <w:p w:rsidR="00C77E1E" w:rsidRPr="009F43DE" w:rsidRDefault="00C77E1E" w:rsidP="00C77E1E">
      <w:pPr>
        <w:pStyle w:val="SingleTxtG"/>
        <w:rPr>
          <w:color w:val="000000"/>
          <w:lang w:val="fr-CH"/>
        </w:rPr>
      </w:pPr>
      <w:r w:rsidRPr="009F43DE">
        <w:rPr>
          <w:lang w:val="fr-CH"/>
        </w:rPr>
        <w:t>74.</w:t>
      </w:r>
      <w:r w:rsidRPr="009F43DE">
        <w:rPr>
          <w:lang w:val="fr-CH"/>
        </w:rPr>
        <w:tab/>
      </w:r>
      <w:r w:rsidRPr="009F43DE">
        <w:rPr>
          <w:color w:val="000000"/>
          <w:lang w:val="fr-CH"/>
        </w:rPr>
        <w:t>Les ré</w:t>
      </w:r>
      <w:r w:rsidRPr="009F43DE">
        <w:rPr>
          <w:rFonts w:eastAsia="Calibri"/>
          <w:color w:val="000000"/>
          <w:lang w:val="fr-CH"/>
        </w:rPr>
        <w:t xml:space="preserve">munérations des travailleurs du secteur privé au Sri Lanka sont déterminées par des </w:t>
      </w:r>
      <w:r w:rsidRPr="009F43DE">
        <w:rPr>
          <w:color w:val="000000"/>
          <w:lang w:val="fr-CH"/>
        </w:rPr>
        <w:t xml:space="preserve">commissions salariales et </w:t>
      </w:r>
      <w:r w:rsidRPr="009F43DE">
        <w:rPr>
          <w:rFonts w:eastAsia="Calibri"/>
          <w:color w:val="000000"/>
          <w:lang w:val="fr-CH"/>
        </w:rPr>
        <w:t xml:space="preserve">des accords collectifs. </w:t>
      </w:r>
      <w:r w:rsidR="00210E33" w:rsidRPr="009F43DE">
        <w:rPr>
          <w:rFonts w:eastAsia="Calibri"/>
          <w:color w:val="000000"/>
          <w:lang w:val="fr-CH"/>
        </w:rPr>
        <w:t>Les</w:t>
      </w:r>
      <w:r w:rsidRPr="009F43DE">
        <w:rPr>
          <w:rFonts w:eastAsia="Calibri"/>
          <w:color w:val="000000"/>
          <w:lang w:val="fr-CH"/>
        </w:rPr>
        <w:t xml:space="preserve"> commissions salariales sont </w:t>
      </w:r>
      <w:r w:rsidR="00210E33" w:rsidRPr="009F43DE">
        <w:rPr>
          <w:rFonts w:eastAsia="Calibri"/>
          <w:color w:val="000000"/>
          <w:lang w:val="fr-CH"/>
        </w:rPr>
        <w:t>organisées par secteur d</w:t>
      </w:r>
      <w:r w:rsidR="00F8384A" w:rsidRPr="009F43DE">
        <w:rPr>
          <w:rFonts w:eastAsia="Calibri"/>
          <w:color w:val="000000"/>
          <w:lang w:val="fr-CH"/>
        </w:rPr>
        <w:t>’</w:t>
      </w:r>
      <w:r w:rsidR="00210E33" w:rsidRPr="009F43DE">
        <w:rPr>
          <w:rFonts w:eastAsia="Calibri"/>
          <w:color w:val="000000"/>
          <w:lang w:val="fr-CH"/>
        </w:rPr>
        <w:t>activité</w:t>
      </w:r>
      <w:r w:rsidRPr="009F43DE">
        <w:rPr>
          <w:rFonts w:eastAsia="Calibri"/>
          <w:color w:val="000000"/>
          <w:lang w:val="fr-CH"/>
        </w:rPr>
        <w:t xml:space="preserve">, alors que les accords collectifs sont </w:t>
      </w:r>
      <w:r w:rsidR="00210E33" w:rsidRPr="009F43DE">
        <w:rPr>
          <w:rFonts w:eastAsia="Calibri"/>
          <w:color w:val="000000"/>
          <w:lang w:val="fr-CH"/>
        </w:rPr>
        <w:t>négociés au niveau de l</w:t>
      </w:r>
      <w:r w:rsidR="00F8384A" w:rsidRPr="009F43DE">
        <w:rPr>
          <w:rFonts w:eastAsia="Calibri"/>
          <w:color w:val="000000"/>
          <w:lang w:val="fr-CH"/>
        </w:rPr>
        <w:t>’</w:t>
      </w:r>
      <w:r w:rsidRPr="009F43DE">
        <w:rPr>
          <w:rFonts w:eastAsia="Calibri"/>
          <w:color w:val="000000"/>
          <w:lang w:val="fr-CH"/>
        </w:rPr>
        <w:t>entreprise.</w:t>
      </w:r>
    </w:p>
    <w:p w:rsidR="00C77E1E" w:rsidRPr="009F43DE" w:rsidRDefault="00C77E1E" w:rsidP="00C77E1E">
      <w:pPr>
        <w:pStyle w:val="SingleTxtG"/>
        <w:rPr>
          <w:lang w:val="fr-CH"/>
        </w:rPr>
      </w:pPr>
      <w:r w:rsidRPr="009F43DE">
        <w:rPr>
          <w:lang w:val="fr-CH"/>
        </w:rPr>
        <w:t>75.</w:t>
      </w:r>
      <w:r w:rsidRPr="009F43DE">
        <w:rPr>
          <w:lang w:val="fr-CH"/>
        </w:rPr>
        <w:tab/>
      </w:r>
      <w:r w:rsidRPr="009F43DE">
        <w:rPr>
          <w:color w:val="000000"/>
          <w:lang w:val="fr-CH"/>
        </w:rPr>
        <w:t>Les commissions salariales s</w:t>
      </w:r>
      <w:r w:rsidR="00210E33" w:rsidRPr="009F43DE">
        <w:rPr>
          <w:color w:val="000000"/>
          <w:lang w:val="fr-CH"/>
        </w:rPr>
        <w:t>e réunissent</w:t>
      </w:r>
      <w:r w:rsidRPr="009F43DE">
        <w:rPr>
          <w:color w:val="000000"/>
          <w:lang w:val="fr-CH"/>
        </w:rPr>
        <w:t xml:space="preserve"> périodiquement </w:t>
      </w:r>
      <w:r w:rsidRPr="009F43DE">
        <w:rPr>
          <w:rFonts w:eastAsia="Calibri"/>
          <w:color w:val="000000"/>
          <w:lang w:val="fr-CH"/>
        </w:rPr>
        <w:t>avec la participation de</w:t>
      </w:r>
      <w:r w:rsidR="00210E33" w:rsidRPr="009F43DE">
        <w:rPr>
          <w:rFonts w:eastAsia="Calibri"/>
          <w:color w:val="000000"/>
          <w:lang w:val="fr-CH"/>
        </w:rPr>
        <w:t xml:space="preserve"> l</w:t>
      </w:r>
      <w:r w:rsidR="00F8384A" w:rsidRPr="009F43DE">
        <w:rPr>
          <w:rFonts w:eastAsia="Calibri"/>
          <w:color w:val="000000"/>
          <w:lang w:val="fr-CH"/>
        </w:rPr>
        <w:t>’</w:t>
      </w:r>
      <w:r w:rsidR="00210E33" w:rsidRPr="009F43DE">
        <w:rPr>
          <w:rFonts w:eastAsia="Calibri"/>
          <w:color w:val="000000"/>
          <w:lang w:val="fr-CH"/>
        </w:rPr>
        <w:t>ensemble de</w:t>
      </w:r>
      <w:r w:rsidRPr="009F43DE">
        <w:rPr>
          <w:rFonts w:eastAsia="Calibri"/>
          <w:color w:val="000000"/>
          <w:lang w:val="fr-CH"/>
        </w:rPr>
        <w:t xml:space="preserve">s parties prenantes </w:t>
      </w:r>
      <w:r w:rsidR="00210E33" w:rsidRPr="009F43DE">
        <w:rPr>
          <w:rFonts w:eastAsia="Calibri"/>
          <w:color w:val="000000"/>
          <w:lang w:val="fr-CH"/>
        </w:rPr>
        <w:t>afin</w:t>
      </w:r>
      <w:r w:rsidRPr="009F43DE">
        <w:rPr>
          <w:rFonts w:eastAsia="Calibri"/>
          <w:color w:val="000000"/>
          <w:lang w:val="fr-CH"/>
        </w:rPr>
        <w:t xml:space="preserve"> de fixer et </w:t>
      </w:r>
      <w:r w:rsidR="00210E33" w:rsidRPr="009F43DE">
        <w:rPr>
          <w:rFonts w:eastAsia="Calibri"/>
          <w:color w:val="000000"/>
          <w:lang w:val="fr-CH"/>
        </w:rPr>
        <w:t>d</w:t>
      </w:r>
      <w:r w:rsidR="00F8384A" w:rsidRPr="009F43DE">
        <w:rPr>
          <w:rFonts w:eastAsia="Calibri"/>
          <w:color w:val="000000"/>
          <w:lang w:val="fr-CH"/>
        </w:rPr>
        <w:t>’</w:t>
      </w:r>
      <w:r w:rsidR="00210E33" w:rsidRPr="009F43DE">
        <w:rPr>
          <w:rFonts w:eastAsia="Calibri"/>
          <w:color w:val="000000"/>
          <w:lang w:val="fr-CH"/>
        </w:rPr>
        <w:t xml:space="preserve">ajuster </w:t>
      </w:r>
      <w:r w:rsidRPr="009F43DE">
        <w:rPr>
          <w:rFonts w:eastAsia="Calibri"/>
          <w:color w:val="000000"/>
          <w:lang w:val="fr-CH"/>
        </w:rPr>
        <w:t>les salaires minimum</w:t>
      </w:r>
      <w:r w:rsidR="00210E33" w:rsidRPr="009F43DE">
        <w:rPr>
          <w:rFonts w:eastAsia="Calibri"/>
          <w:color w:val="000000"/>
          <w:lang w:val="fr-CH"/>
        </w:rPr>
        <w:t>s</w:t>
      </w:r>
      <w:r w:rsidRPr="009F43DE">
        <w:rPr>
          <w:rFonts w:eastAsia="Calibri"/>
          <w:color w:val="000000"/>
          <w:lang w:val="fr-CH"/>
        </w:rPr>
        <w:t xml:space="preserve">. </w:t>
      </w:r>
      <w:r w:rsidR="00210E33" w:rsidRPr="009F43DE">
        <w:rPr>
          <w:rFonts w:eastAsia="Calibri"/>
          <w:color w:val="000000"/>
          <w:lang w:val="fr-CH"/>
        </w:rPr>
        <w:t>C</w:t>
      </w:r>
      <w:r w:rsidR="00F8384A" w:rsidRPr="009F43DE">
        <w:rPr>
          <w:rFonts w:eastAsia="Calibri"/>
          <w:color w:val="000000"/>
          <w:lang w:val="fr-CH"/>
        </w:rPr>
        <w:t>’</w:t>
      </w:r>
      <w:r w:rsidR="00210E33" w:rsidRPr="009F43DE">
        <w:rPr>
          <w:rFonts w:eastAsia="Calibri"/>
          <w:color w:val="000000"/>
          <w:lang w:val="fr-CH"/>
        </w:rPr>
        <w:t xml:space="preserve">est un organisme tripartite relevant de ces commissions qui détermine </w:t>
      </w:r>
      <w:r w:rsidR="00317D20" w:rsidRPr="009F43DE">
        <w:rPr>
          <w:rFonts w:eastAsia="Calibri"/>
          <w:color w:val="000000"/>
          <w:lang w:val="fr-CH"/>
        </w:rPr>
        <w:t>le niveau du salaire minimum pour les professions exercées dans les différents secteurs</w:t>
      </w:r>
      <w:r w:rsidRPr="009F43DE">
        <w:rPr>
          <w:rFonts w:eastAsia="Calibri"/>
          <w:color w:val="000000"/>
          <w:lang w:val="fr-CH"/>
        </w:rPr>
        <w:t xml:space="preserve">. </w:t>
      </w:r>
      <w:r w:rsidR="00317D20" w:rsidRPr="009F43DE">
        <w:rPr>
          <w:rFonts w:eastAsia="Calibri"/>
          <w:color w:val="000000"/>
          <w:lang w:val="fr-CH"/>
        </w:rPr>
        <w:t>Le principe de base est celui d</w:t>
      </w:r>
      <w:r w:rsidR="00F8384A" w:rsidRPr="009F43DE">
        <w:rPr>
          <w:rFonts w:eastAsia="Calibri"/>
          <w:color w:val="000000"/>
          <w:lang w:val="fr-CH"/>
        </w:rPr>
        <w:t>’</w:t>
      </w:r>
      <w:r w:rsidR="00317D20" w:rsidRPr="009F43DE">
        <w:rPr>
          <w:rFonts w:eastAsia="Calibri"/>
          <w:color w:val="000000"/>
          <w:lang w:val="fr-CH"/>
        </w:rPr>
        <w:t>une rémunération égale pour un travail de valeur égale</w:t>
      </w:r>
      <w:r w:rsidRPr="009F43DE">
        <w:rPr>
          <w:color w:val="000000"/>
          <w:lang w:val="fr-CH"/>
        </w:rPr>
        <w:t xml:space="preserve">. </w:t>
      </w:r>
      <w:r w:rsidR="000C5543">
        <w:rPr>
          <w:color w:val="000000"/>
          <w:lang w:val="fr-CH"/>
        </w:rPr>
        <w:t>À</w:t>
      </w:r>
      <w:r w:rsidRPr="009F43DE">
        <w:rPr>
          <w:rFonts w:eastAsia="Calibri"/>
          <w:color w:val="000000"/>
          <w:lang w:val="fr-CH"/>
        </w:rPr>
        <w:t xml:space="preserve"> Sri Lanka</w:t>
      </w:r>
      <w:r w:rsidR="00317D20" w:rsidRPr="009F43DE">
        <w:rPr>
          <w:rFonts w:eastAsia="Calibri"/>
          <w:color w:val="000000"/>
          <w:lang w:val="fr-CH"/>
        </w:rPr>
        <w:t>,</w:t>
      </w:r>
      <w:r w:rsidRPr="009F43DE">
        <w:rPr>
          <w:rFonts w:eastAsia="Calibri"/>
          <w:color w:val="000000"/>
          <w:lang w:val="fr-CH"/>
        </w:rPr>
        <w:t xml:space="preserve"> les accords collectifs s</w:t>
      </w:r>
      <w:r w:rsidR="00317D20" w:rsidRPr="009F43DE">
        <w:rPr>
          <w:rFonts w:eastAsia="Calibri"/>
          <w:color w:val="000000"/>
          <w:lang w:val="fr-CH"/>
        </w:rPr>
        <w:t>ont conclus</w:t>
      </w:r>
      <w:r w:rsidRPr="009F43DE">
        <w:rPr>
          <w:rFonts w:eastAsia="Calibri"/>
          <w:color w:val="000000"/>
          <w:lang w:val="fr-CH"/>
        </w:rPr>
        <w:t xml:space="preserve"> uniquement </w:t>
      </w:r>
      <w:r w:rsidR="00317D20" w:rsidRPr="009F43DE">
        <w:rPr>
          <w:rFonts w:eastAsia="Calibri"/>
          <w:color w:val="000000"/>
          <w:lang w:val="fr-CH"/>
        </w:rPr>
        <w:t>au niveau de l</w:t>
      </w:r>
      <w:r w:rsidR="00F8384A" w:rsidRPr="009F43DE">
        <w:rPr>
          <w:rFonts w:eastAsia="Calibri"/>
          <w:color w:val="000000"/>
          <w:lang w:val="fr-CH"/>
        </w:rPr>
        <w:t>’</w:t>
      </w:r>
      <w:r w:rsidRPr="009F43DE">
        <w:rPr>
          <w:rFonts w:eastAsia="Calibri"/>
          <w:color w:val="000000"/>
          <w:lang w:val="fr-CH"/>
        </w:rPr>
        <w:t>entreprise. La viabilité de l</w:t>
      </w:r>
      <w:r w:rsidR="00F8384A" w:rsidRPr="009F43DE">
        <w:rPr>
          <w:rFonts w:eastAsia="Calibri"/>
          <w:color w:val="000000"/>
          <w:lang w:val="fr-CH"/>
        </w:rPr>
        <w:t>’</w:t>
      </w:r>
      <w:r w:rsidRPr="009F43DE">
        <w:rPr>
          <w:rFonts w:eastAsia="Calibri"/>
          <w:color w:val="000000"/>
          <w:lang w:val="fr-CH"/>
        </w:rPr>
        <w:t xml:space="preserve">entreprise joue un rôle important dans le processus de détermination des </w:t>
      </w:r>
      <w:r w:rsidR="00317D20" w:rsidRPr="009F43DE">
        <w:rPr>
          <w:rFonts w:eastAsia="Calibri"/>
          <w:color w:val="000000"/>
          <w:lang w:val="fr-CH"/>
        </w:rPr>
        <w:t>salaires</w:t>
      </w:r>
      <w:r w:rsidRPr="009F43DE">
        <w:rPr>
          <w:rFonts w:eastAsia="Calibri"/>
          <w:color w:val="000000"/>
          <w:lang w:val="fr-CH"/>
        </w:rPr>
        <w:t xml:space="preserve"> par</w:t>
      </w:r>
      <w:r w:rsidRPr="009F43DE">
        <w:rPr>
          <w:rFonts w:eastAsia="Calibri"/>
          <w:lang w:val="fr-CH"/>
        </w:rPr>
        <w:t xml:space="preserve"> le biais des négociations collectives. Les salaires correspondant à une </w:t>
      </w:r>
      <w:r w:rsidR="00317D20" w:rsidRPr="009F43DE">
        <w:rPr>
          <w:rFonts w:eastAsia="Calibri"/>
          <w:lang w:val="fr-CH"/>
        </w:rPr>
        <w:t>profession</w:t>
      </w:r>
      <w:r w:rsidRPr="009F43DE">
        <w:rPr>
          <w:rFonts w:eastAsia="Calibri"/>
          <w:lang w:val="fr-CH"/>
        </w:rPr>
        <w:t xml:space="preserve"> spécifique peuvent varier d</w:t>
      </w:r>
      <w:r w:rsidR="00F8384A" w:rsidRPr="009F43DE">
        <w:rPr>
          <w:rFonts w:eastAsia="Calibri"/>
          <w:lang w:val="fr-CH"/>
        </w:rPr>
        <w:t>’</w:t>
      </w:r>
      <w:r w:rsidRPr="009F43DE">
        <w:rPr>
          <w:rFonts w:eastAsia="Calibri"/>
          <w:lang w:val="fr-CH"/>
        </w:rPr>
        <w:t xml:space="preserve">une entreprise à </w:t>
      </w:r>
      <w:r w:rsidR="00317D20" w:rsidRPr="009F43DE">
        <w:rPr>
          <w:rFonts w:eastAsia="Calibri"/>
          <w:lang w:val="fr-CH"/>
        </w:rPr>
        <w:t>l</w:t>
      </w:r>
      <w:r w:rsidR="00F8384A" w:rsidRPr="009F43DE">
        <w:rPr>
          <w:rFonts w:eastAsia="Calibri"/>
          <w:lang w:val="fr-CH"/>
        </w:rPr>
        <w:t>’</w:t>
      </w:r>
      <w:r w:rsidRPr="009F43DE">
        <w:rPr>
          <w:rFonts w:eastAsia="Calibri"/>
          <w:lang w:val="fr-CH"/>
        </w:rPr>
        <w:t>autre en fonction de l</w:t>
      </w:r>
      <w:r w:rsidR="00317D20" w:rsidRPr="009F43DE">
        <w:rPr>
          <w:rFonts w:eastAsia="Calibri"/>
          <w:lang w:val="fr-CH"/>
        </w:rPr>
        <w:t>a</w:t>
      </w:r>
      <w:r w:rsidRPr="009F43DE">
        <w:rPr>
          <w:rFonts w:eastAsia="Calibri"/>
          <w:lang w:val="fr-CH"/>
        </w:rPr>
        <w:t xml:space="preserve"> viabilité.</w:t>
      </w:r>
    </w:p>
    <w:p w:rsidR="00C77E1E" w:rsidRPr="009F43DE" w:rsidRDefault="00C77E1E" w:rsidP="00C77E1E">
      <w:pPr>
        <w:pStyle w:val="SingleTxtG"/>
        <w:rPr>
          <w:lang w:val="fr-CH"/>
        </w:rPr>
      </w:pPr>
      <w:r w:rsidRPr="009F43DE">
        <w:rPr>
          <w:lang w:val="fr-CH"/>
        </w:rPr>
        <w:t>76.</w:t>
      </w:r>
      <w:r w:rsidRPr="009F43DE">
        <w:rPr>
          <w:lang w:val="fr-CH"/>
        </w:rPr>
        <w:tab/>
        <w:t xml:space="preserve">Les accords collectifs jouent un rôle </w:t>
      </w:r>
      <w:r w:rsidR="00317D20" w:rsidRPr="009F43DE">
        <w:rPr>
          <w:lang w:val="fr-CH"/>
        </w:rPr>
        <w:t xml:space="preserve">important </w:t>
      </w:r>
      <w:r w:rsidRPr="009F43DE">
        <w:rPr>
          <w:lang w:val="fr-CH"/>
        </w:rPr>
        <w:t xml:space="preserve">dans la détermination des salaires minimums dans le secteur des plantations qui </w:t>
      </w:r>
      <w:r w:rsidR="008F6B82" w:rsidRPr="009F43DE">
        <w:rPr>
          <w:lang w:val="fr-CH"/>
        </w:rPr>
        <w:t xml:space="preserve">relèvent du système des commissions </w:t>
      </w:r>
      <w:r w:rsidRPr="009F43DE">
        <w:rPr>
          <w:lang w:val="fr-CH"/>
        </w:rPr>
        <w:t xml:space="preserve">salariales. </w:t>
      </w:r>
      <w:r w:rsidR="000C5543">
        <w:rPr>
          <w:lang w:val="fr-CH"/>
        </w:rPr>
        <w:t>À</w:t>
      </w:r>
      <w:r w:rsidRPr="009F43DE">
        <w:rPr>
          <w:lang w:val="fr-CH"/>
        </w:rPr>
        <w:t xml:space="preserve"> l</w:t>
      </w:r>
      <w:r w:rsidR="00F8384A" w:rsidRPr="009F43DE">
        <w:rPr>
          <w:lang w:val="fr-CH"/>
        </w:rPr>
        <w:t>’</w:t>
      </w:r>
      <w:r w:rsidRPr="009F43DE">
        <w:rPr>
          <w:lang w:val="fr-CH"/>
        </w:rPr>
        <w:t xml:space="preserve">heure actuelle, le salaire minimum des </w:t>
      </w:r>
      <w:r w:rsidR="008F6B82" w:rsidRPr="009F43DE">
        <w:rPr>
          <w:lang w:val="fr-CH"/>
        </w:rPr>
        <w:t>ouvriers</w:t>
      </w:r>
      <w:r w:rsidRPr="009F43DE">
        <w:rPr>
          <w:lang w:val="fr-CH"/>
        </w:rPr>
        <w:t xml:space="preserve"> des plantations est nettement plus élevé que celui des autres secteurs. En 2013, les </w:t>
      </w:r>
      <w:r w:rsidR="008F6B82" w:rsidRPr="009F43DE">
        <w:rPr>
          <w:lang w:val="fr-CH"/>
        </w:rPr>
        <w:t>ouvriers</w:t>
      </w:r>
      <w:r w:rsidRPr="009F43DE">
        <w:rPr>
          <w:lang w:val="fr-CH"/>
        </w:rPr>
        <w:t xml:space="preserve"> des plantations de thé et de caoutchouc d</w:t>
      </w:r>
      <w:r w:rsidR="008F6B82" w:rsidRPr="009F43DE">
        <w:rPr>
          <w:lang w:val="fr-CH"/>
        </w:rPr>
        <w:t>e</w:t>
      </w:r>
      <w:r w:rsidRPr="009F43DE">
        <w:rPr>
          <w:lang w:val="fr-CH"/>
        </w:rPr>
        <w:t xml:space="preserve"> Sri Lanka ont obtenu une augmentation de 18</w:t>
      </w:r>
      <w:r w:rsidR="008F6B82" w:rsidRPr="009F43DE">
        <w:rPr>
          <w:lang w:val="fr-CH"/>
        </w:rPr>
        <w:t> </w:t>
      </w:r>
      <w:r w:rsidRPr="009F43DE">
        <w:rPr>
          <w:lang w:val="fr-CH"/>
        </w:rPr>
        <w:t>% de leur salaire de base journalier suite à un accord collectif entre les représentants de</w:t>
      </w:r>
      <w:r w:rsidR="008F6B82" w:rsidRPr="009F43DE">
        <w:rPr>
          <w:lang w:val="fr-CH"/>
        </w:rPr>
        <w:t xml:space="preserve"> leurs</w:t>
      </w:r>
      <w:r w:rsidRPr="009F43DE">
        <w:rPr>
          <w:lang w:val="fr-CH"/>
        </w:rPr>
        <w:t xml:space="preserve"> syndicats et la Fédération des employeurs. </w:t>
      </w:r>
    </w:p>
    <w:p w:rsidR="00C77E1E" w:rsidRPr="009F43DE" w:rsidRDefault="00C77E1E" w:rsidP="00C77E1E">
      <w:pPr>
        <w:pStyle w:val="H23G"/>
        <w:rPr>
          <w:lang w:val="fr-CH"/>
        </w:rPr>
      </w:pPr>
      <w:r w:rsidRPr="009F43DE">
        <w:rPr>
          <w:lang w:val="fr-CH"/>
        </w:rPr>
        <w:tab/>
      </w:r>
      <w:r w:rsidRPr="009F43DE">
        <w:rPr>
          <w:lang w:val="fr-CH"/>
        </w:rPr>
        <w:tab/>
        <w:t xml:space="preserve">Législation visant à prévenir le harcèlement sexuel au travail </w:t>
      </w:r>
      <w:r w:rsidR="00F80613">
        <w:rPr>
          <w:lang w:val="fr-CH"/>
        </w:rPr>
        <w:t>(</w:t>
      </w:r>
      <w:r w:rsidR="00317D20" w:rsidRPr="009F43DE">
        <w:rPr>
          <w:lang w:val="fr-CH"/>
        </w:rPr>
        <w:t>p</w:t>
      </w:r>
      <w:r w:rsidRPr="009F43DE">
        <w:rPr>
          <w:lang w:val="fr-CH"/>
        </w:rPr>
        <w:t>ar</w:t>
      </w:r>
      <w:r w:rsidR="00F80613">
        <w:rPr>
          <w:lang w:val="fr-CH"/>
        </w:rPr>
        <w:t>.</w:t>
      </w:r>
      <w:r w:rsidRPr="009F43DE">
        <w:rPr>
          <w:lang w:val="fr-CH"/>
        </w:rPr>
        <w:t xml:space="preserve"> 20</w:t>
      </w:r>
      <w:r w:rsidR="00F80613">
        <w:rPr>
          <w:lang w:val="fr-CH"/>
        </w:rPr>
        <w:t>)</w:t>
      </w:r>
    </w:p>
    <w:p w:rsidR="00C77E1E" w:rsidRPr="009F43DE" w:rsidRDefault="00C77E1E" w:rsidP="000C5543">
      <w:pPr>
        <w:pStyle w:val="SingleTxtG"/>
        <w:rPr>
          <w:color w:val="000000"/>
          <w:lang w:val="fr-CH"/>
        </w:rPr>
      </w:pPr>
      <w:r w:rsidRPr="009F43DE">
        <w:rPr>
          <w:lang w:val="fr-CH"/>
        </w:rPr>
        <w:t>77.</w:t>
      </w:r>
      <w:r w:rsidRPr="009F43DE">
        <w:rPr>
          <w:lang w:val="fr-CH"/>
        </w:rPr>
        <w:tab/>
        <w:t xml:space="preserve">Le harcèlement sexuel est un délit </w:t>
      </w:r>
      <w:r w:rsidR="008F6B82" w:rsidRPr="009F43DE">
        <w:rPr>
          <w:lang w:val="fr-CH"/>
        </w:rPr>
        <w:t>à</w:t>
      </w:r>
      <w:r w:rsidRPr="009F43DE">
        <w:rPr>
          <w:lang w:val="fr-CH"/>
        </w:rPr>
        <w:t xml:space="preserve"> Sri Lanka. L</w:t>
      </w:r>
      <w:r w:rsidR="00F8384A" w:rsidRPr="009F43DE">
        <w:rPr>
          <w:lang w:val="fr-CH"/>
        </w:rPr>
        <w:t>’</w:t>
      </w:r>
      <w:r w:rsidRPr="009F43DE">
        <w:rPr>
          <w:lang w:val="fr-CH"/>
        </w:rPr>
        <w:t xml:space="preserve">article 345 du Code pénal </w:t>
      </w:r>
      <w:r w:rsidR="008F6B82" w:rsidRPr="009F43DE">
        <w:rPr>
          <w:lang w:val="fr-CH"/>
        </w:rPr>
        <w:t>incrimine,</w:t>
      </w:r>
      <w:r w:rsidRPr="009F43DE">
        <w:rPr>
          <w:lang w:val="fr-CH"/>
        </w:rPr>
        <w:t xml:space="preserve"> entre autres, le harcèlement sexuel par agression ou usage de la force </w:t>
      </w:r>
      <w:r w:rsidR="008F6B82" w:rsidRPr="009F43DE">
        <w:rPr>
          <w:lang w:val="fr-CH"/>
        </w:rPr>
        <w:t xml:space="preserve">ou le </w:t>
      </w:r>
      <w:r w:rsidRPr="009F43DE">
        <w:rPr>
          <w:lang w:val="fr-CH"/>
        </w:rPr>
        <w:t xml:space="preserve">harcèlement </w:t>
      </w:r>
      <w:r w:rsidR="008F6B82" w:rsidRPr="009F43DE">
        <w:rPr>
          <w:lang w:val="fr-CH"/>
        </w:rPr>
        <w:t>ou toute conduite offensante résultant de propos ou de pratiques à connotation sexuelle</w:t>
      </w:r>
      <w:r w:rsidRPr="009F43DE">
        <w:rPr>
          <w:lang w:val="fr-CH"/>
        </w:rPr>
        <w:t xml:space="preserve">. Il </w:t>
      </w:r>
      <w:r w:rsidR="008F6B82" w:rsidRPr="009F43DE">
        <w:rPr>
          <w:color w:val="000000"/>
          <w:lang w:val="fr-CH"/>
        </w:rPr>
        <w:t xml:space="preserve">assimile </w:t>
      </w:r>
      <w:r w:rsidRPr="009F43DE">
        <w:rPr>
          <w:color w:val="000000"/>
          <w:lang w:val="fr-CH"/>
        </w:rPr>
        <w:t xml:space="preserve">également </w:t>
      </w:r>
      <w:r w:rsidR="008F6B82" w:rsidRPr="009F43DE">
        <w:rPr>
          <w:color w:val="000000"/>
          <w:lang w:val="fr-CH"/>
        </w:rPr>
        <w:t>à un délit de harcèlement sexuel toute</w:t>
      </w:r>
      <w:r w:rsidRPr="009F43DE">
        <w:rPr>
          <w:color w:val="000000"/>
          <w:lang w:val="fr-CH"/>
        </w:rPr>
        <w:t xml:space="preserve"> avance sexuelle non sollicité</w:t>
      </w:r>
      <w:r w:rsidR="008F6B82" w:rsidRPr="009F43DE">
        <w:rPr>
          <w:color w:val="000000"/>
          <w:lang w:val="fr-CH"/>
        </w:rPr>
        <w:t>e</w:t>
      </w:r>
      <w:r w:rsidRPr="009F43DE">
        <w:rPr>
          <w:color w:val="000000"/>
          <w:lang w:val="fr-CH"/>
        </w:rPr>
        <w:t xml:space="preserve"> par une personne dépositaire de l</w:t>
      </w:r>
      <w:r w:rsidR="00F8384A" w:rsidRPr="009F43DE">
        <w:rPr>
          <w:color w:val="000000"/>
          <w:lang w:val="fr-CH"/>
        </w:rPr>
        <w:t>’</w:t>
      </w:r>
      <w:r w:rsidRPr="009F43DE">
        <w:rPr>
          <w:color w:val="000000"/>
          <w:lang w:val="fr-CH"/>
        </w:rPr>
        <w:t>autorité sur un lieu de travail ou tout autre lieu. Les articles 365</w:t>
      </w:r>
      <w:r w:rsidR="008F6B82" w:rsidRPr="009F43DE">
        <w:rPr>
          <w:color w:val="000000"/>
          <w:lang w:val="fr-CH"/>
        </w:rPr>
        <w:t> </w:t>
      </w:r>
      <w:r w:rsidRPr="009F43DE">
        <w:rPr>
          <w:color w:val="000000"/>
          <w:lang w:val="fr-CH"/>
        </w:rPr>
        <w:t xml:space="preserve">B </w:t>
      </w:r>
      <w:r w:rsidR="008F6B82" w:rsidRPr="009F43DE">
        <w:rPr>
          <w:color w:val="000000"/>
          <w:lang w:val="fr-CH"/>
        </w:rPr>
        <w:t xml:space="preserve">et </w:t>
      </w:r>
      <w:r w:rsidRPr="009F43DE">
        <w:rPr>
          <w:color w:val="000000"/>
          <w:lang w:val="fr-CH"/>
        </w:rPr>
        <w:t xml:space="preserve">364 </w:t>
      </w:r>
      <w:r w:rsidR="00FC059B" w:rsidRPr="009F43DE">
        <w:rPr>
          <w:color w:val="000000"/>
          <w:lang w:val="fr-CH"/>
        </w:rPr>
        <w:t>incriminent quant à eux</w:t>
      </w:r>
      <w:r w:rsidRPr="009F43DE">
        <w:rPr>
          <w:color w:val="000000"/>
          <w:lang w:val="fr-CH"/>
        </w:rPr>
        <w:t xml:space="preserve"> les abus sexuels et les viols. L</w:t>
      </w:r>
      <w:r w:rsidR="00F8384A" w:rsidRPr="009F43DE">
        <w:rPr>
          <w:color w:val="000000"/>
          <w:lang w:val="fr-CH"/>
        </w:rPr>
        <w:t>’</w:t>
      </w:r>
      <w:r w:rsidRPr="009F43DE">
        <w:rPr>
          <w:color w:val="000000"/>
          <w:lang w:val="fr-CH"/>
        </w:rPr>
        <w:t>a</w:t>
      </w:r>
      <w:r w:rsidR="006730A1" w:rsidRPr="009F43DE">
        <w:rPr>
          <w:color w:val="000000"/>
          <w:lang w:val="fr-CH"/>
        </w:rPr>
        <w:t xml:space="preserve">linéa </w:t>
      </w:r>
      <w:r w:rsidR="006730A1" w:rsidRPr="00F80613">
        <w:rPr>
          <w:i/>
          <w:color w:val="000000"/>
          <w:lang w:val="fr-CH"/>
        </w:rPr>
        <w:t>a</w:t>
      </w:r>
      <w:r w:rsidR="006730A1" w:rsidRPr="009F43DE">
        <w:rPr>
          <w:color w:val="000000"/>
          <w:lang w:val="fr-CH"/>
        </w:rPr>
        <w:t xml:space="preserve"> du paragraphe 2 de l</w:t>
      </w:r>
      <w:r w:rsidR="00F8384A" w:rsidRPr="009F43DE">
        <w:rPr>
          <w:color w:val="000000"/>
          <w:lang w:val="fr-CH"/>
        </w:rPr>
        <w:t>’</w:t>
      </w:r>
      <w:r w:rsidR="006730A1" w:rsidRPr="009F43DE">
        <w:rPr>
          <w:color w:val="000000"/>
          <w:lang w:val="fr-CH"/>
        </w:rPr>
        <w:t>a</w:t>
      </w:r>
      <w:r w:rsidRPr="009F43DE">
        <w:rPr>
          <w:color w:val="000000"/>
          <w:lang w:val="fr-CH"/>
        </w:rPr>
        <w:t xml:space="preserve">rticle 364 </w:t>
      </w:r>
      <w:r w:rsidR="004C421D" w:rsidRPr="009F43DE">
        <w:rPr>
          <w:color w:val="000000"/>
          <w:lang w:val="fr-CH"/>
        </w:rPr>
        <w:t>prévoit des sanctions pénales à l</w:t>
      </w:r>
      <w:r w:rsidR="00F8384A" w:rsidRPr="009F43DE">
        <w:rPr>
          <w:color w:val="000000"/>
          <w:lang w:val="fr-CH"/>
        </w:rPr>
        <w:t>’</w:t>
      </w:r>
      <w:r w:rsidR="004C421D" w:rsidRPr="009F43DE">
        <w:rPr>
          <w:color w:val="000000"/>
          <w:lang w:val="fr-CH"/>
        </w:rPr>
        <w:t xml:space="preserve">encontre des </w:t>
      </w:r>
      <w:r w:rsidRPr="009F43DE">
        <w:rPr>
          <w:color w:val="000000"/>
          <w:lang w:val="fr-CH"/>
        </w:rPr>
        <w:t>agent</w:t>
      </w:r>
      <w:r w:rsidR="004C421D" w:rsidRPr="009F43DE">
        <w:rPr>
          <w:color w:val="000000"/>
          <w:lang w:val="fr-CH"/>
        </w:rPr>
        <w:t>s</w:t>
      </w:r>
      <w:r w:rsidRPr="009F43DE">
        <w:rPr>
          <w:color w:val="000000"/>
          <w:lang w:val="fr-CH"/>
        </w:rPr>
        <w:t xml:space="preserve"> de l</w:t>
      </w:r>
      <w:r w:rsidR="00F8384A" w:rsidRPr="009F43DE">
        <w:rPr>
          <w:color w:val="000000"/>
          <w:lang w:val="fr-CH"/>
        </w:rPr>
        <w:t>’</w:t>
      </w:r>
      <w:r w:rsidRPr="009F43DE">
        <w:rPr>
          <w:color w:val="000000"/>
          <w:lang w:val="fr-CH"/>
        </w:rPr>
        <w:t xml:space="preserve">État ou </w:t>
      </w:r>
      <w:r w:rsidR="004C421D" w:rsidRPr="009F43DE">
        <w:rPr>
          <w:color w:val="000000"/>
          <w:lang w:val="fr-CH"/>
        </w:rPr>
        <w:t>des</w:t>
      </w:r>
      <w:r w:rsidRPr="009F43DE">
        <w:rPr>
          <w:color w:val="000000"/>
          <w:lang w:val="fr-CH"/>
        </w:rPr>
        <w:t xml:space="preserve"> personne </w:t>
      </w:r>
      <w:r w:rsidR="006730A1" w:rsidRPr="009F43DE">
        <w:rPr>
          <w:color w:val="000000"/>
          <w:lang w:val="fr-CH"/>
        </w:rPr>
        <w:t>dépositaire</w:t>
      </w:r>
      <w:r w:rsidR="004C421D" w:rsidRPr="009F43DE">
        <w:rPr>
          <w:color w:val="000000"/>
          <w:lang w:val="fr-CH"/>
        </w:rPr>
        <w:t>s</w:t>
      </w:r>
      <w:r w:rsidR="006730A1" w:rsidRPr="009F43DE">
        <w:rPr>
          <w:color w:val="000000"/>
          <w:lang w:val="fr-CH"/>
        </w:rPr>
        <w:t xml:space="preserve"> de l</w:t>
      </w:r>
      <w:r w:rsidR="00F8384A" w:rsidRPr="009F43DE">
        <w:rPr>
          <w:color w:val="000000"/>
          <w:lang w:val="fr-CH"/>
        </w:rPr>
        <w:t>’</w:t>
      </w:r>
      <w:r w:rsidR="006730A1" w:rsidRPr="009F43DE">
        <w:rPr>
          <w:color w:val="000000"/>
          <w:lang w:val="fr-CH"/>
        </w:rPr>
        <w:t>autorité</w:t>
      </w:r>
      <w:r w:rsidRPr="009F43DE">
        <w:rPr>
          <w:color w:val="000000"/>
          <w:lang w:val="fr-CH"/>
        </w:rPr>
        <w:t xml:space="preserve"> </w:t>
      </w:r>
      <w:r w:rsidR="004C421D" w:rsidRPr="009F43DE">
        <w:rPr>
          <w:color w:val="000000"/>
          <w:lang w:val="fr-CH"/>
        </w:rPr>
        <w:t xml:space="preserve">qui </w:t>
      </w:r>
      <w:r w:rsidRPr="009F43DE">
        <w:rPr>
          <w:color w:val="000000"/>
          <w:lang w:val="fr-CH"/>
        </w:rPr>
        <w:t>profit</w:t>
      </w:r>
      <w:r w:rsidR="004C421D" w:rsidRPr="009F43DE">
        <w:rPr>
          <w:color w:val="000000"/>
          <w:lang w:val="fr-CH"/>
        </w:rPr>
        <w:t>e</w:t>
      </w:r>
      <w:r w:rsidRPr="009F43DE">
        <w:rPr>
          <w:color w:val="000000"/>
          <w:lang w:val="fr-CH"/>
        </w:rPr>
        <w:t xml:space="preserve">nt de </w:t>
      </w:r>
      <w:r w:rsidR="004C421D" w:rsidRPr="009F43DE">
        <w:rPr>
          <w:color w:val="000000"/>
          <w:lang w:val="fr-CH"/>
        </w:rPr>
        <w:t>leur</w:t>
      </w:r>
      <w:r w:rsidRPr="009F43DE">
        <w:rPr>
          <w:color w:val="000000"/>
          <w:lang w:val="fr-CH"/>
        </w:rPr>
        <w:t xml:space="preserve"> </w:t>
      </w:r>
      <w:r w:rsidR="004C421D" w:rsidRPr="009F43DE">
        <w:rPr>
          <w:color w:val="000000"/>
          <w:lang w:val="fr-CH"/>
        </w:rPr>
        <w:t>position pour commettre des viols.</w:t>
      </w:r>
    </w:p>
    <w:p w:rsidR="00C77E1E" w:rsidRPr="009F43DE" w:rsidRDefault="00C77E1E" w:rsidP="000C5543">
      <w:pPr>
        <w:pStyle w:val="SingleTxtG"/>
        <w:rPr>
          <w:lang w:val="fr-CH"/>
        </w:rPr>
      </w:pPr>
      <w:r w:rsidRPr="009F43DE">
        <w:rPr>
          <w:lang w:val="fr-CH"/>
        </w:rPr>
        <w:t>78.</w:t>
      </w:r>
      <w:r w:rsidRPr="009F43DE">
        <w:rPr>
          <w:lang w:val="fr-CH"/>
        </w:rPr>
        <w:tab/>
        <w:t>Le Bureau de la santé familiale est le point focal en matière de santé des femmes au sein du Ministère de la santé. Les membres des services de soin</w:t>
      </w:r>
      <w:r w:rsidR="00B72E9D" w:rsidRPr="009F43DE">
        <w:rPr>
          <w:lang w:val="fr-CH"/>
        </w:rPr>
        <w:t>s</w:t>
      </w:r>
      <w:r w:rsidRPr="009F43DE">
        <w:rPr>
          <w:lang w:val="fr-CH"/>
        </w:rPr>
        <w:t xml:space="preserve"> de santé primaire</w:t>
      </w:r>
      <w:r w:rsidR="00B72E9D" w:rsidRPr="009F43DE">
        <w:rPr>
          <w:lang w:val="fr-CH"/>
        </w:rPr>
        <w:t>s</w:t>
      </w:r>
      <w:r w:rsidRPr="009F43DE">
        <w:rPr>
          <w:lang w:val="fr-CH"/>
        </w:rPr>
        <w:t xml:space="preserve"> de tous les districts ont été formés </w:t>
      </w:r>
      <w:r w:rsidR="00B72E9D" w:rsidRPr="009F43DE">
        <w:rPr>
          <w:lang w:val="fr-CH"/>
        </w:rPr>
        <w:t>à la</w:t>
      </w:r>
      <w:r w:rsidRPr="009F43DE">
        <w:rPr>
          <w:lang w:val="fr-CH"/>
        </w:rPr>
        <w:t xml:space="preserve"> prévention et </w:t>
      </w:r>
      <w:r w:rsidR="00B72E9D" w:rsidRPr="009F43DE">
        <w:rPr>
          <w:lang w:val="fr-CH"/>
        </w:rPr>
        <w:t>à la</w:t>
      </w:r>
      <w:r w:rsidRPr="009F43DE">
        <w:rPr>
          <w:lang w:val="fr-CH"/>
        </w:rPr>
        <w:t xml:space="preserve"> </w:t>
      </w:r>
      <w:r w:rsidR="00B72E9D" w:rsidRPr="009F43DE">
        <w:rPr>
          <w:lang w:val="fr-CH"/>
        </w:rPr>
        <w:t xml:space="preserve">gestion des </w:t>
      </w:r>
      <w:r w:rsidRPr="009F43DE">
        <w:rPr>
          <w:lang w:val="fr-CH"/>
        </w:rPr>
        <w:t>violence</w:t>
      </w:r>
      <w:r w:rsidR="00B72E9D" w:rsidRPr="009F43DE">
        <w:rPr>
          <w:lang w:val="fr-CH"/>
        </w:rPr>
        <w:t>s</w:t>
      </w:r>
      <w:r w:rsidRPr="009F43DE">
        <w:rPr>
          <w:lang w:val="fr-CH"/>
        </w:rPr>
        <w:t xml:space="preserve"> fondée</w:t>
      </w:r>
      <w:r w:rsidR="00B72E9D" w:rsidRPr="009F43DE">
        <w:rPr>
          <w:lang w:val="fr-CH"/>
        </w:rPr>
        <w:t>s</w:t>
      </w:r>
      <w:r w:rsidRPr="009F43DE">
        <w:rPr>
          <w:lang w:val="fr-CH"/>
        </w:rPr>
        <w:t xml:space="preserve"> sur le sexe</w:t>
      </w:r>
      <w:r w:rsidR="00B72E9D" w:rsidRPr="009F43DE">
        <w:rPr>
          <w:lang w:val="fr-CH"/>
        </w:rPr>
        <w:t xml:space="preserve">. </w:t>
      </w:r>
      <w:r w:rsidRPr="009F43DE">
        <w:rPr>
          <w:lang w:val="fr-CH"/>
        </w:rPr>
        <w:t xml:space="preserve">Les supports de formation </w:t>
      </w:r>
      <w:r w:rsidR="00E5029E" w:rsidRPr="009F43DE">
        <w:rPr>
          <w:lang w:val="fr-CH"/>
        </w:rPr>
        <w:t>sont disponibles</w:t>
      </w:r>
      <w:r w:rsidRPr="009F43DE">
        <w:rPr>
          <w:lang w:val="fr-CH"/>
        </w:rPr>
        <w:t xml:space="preserve"> dans les trois langues et un kit de communication a été </w:t>
      </w:r>
      <w:r w:rsidR="00B72E9D" w:rsidRPr="009F43DE">
        <w:rPr>
          <w:lang w:val="fr-CH"/>
        </w:rPr>
        <w:t>élaboré</w:t>
      </w:r>
      <w:r w:rsidRPr="009F43DE">
        <w:rPr>
          <w:lang w:val="fr-CH"/>
        </w:rPr>
        <w:t xml:space="preserve"> pour aider les communautés à mieux lutter contre </w:t>
      </w:r>
      <w:r w:rsidR="00B72E9D" w:rsidRPr="009F43DE">
        <w:rPr>
          <w:lang w:val="fr-CH"/>
        </w:rPr>
        <w:t>ces violences</w:t>
      </w:r>
      <w:r w:rsidRPr="009F43DE">
        <w:rPr>
          <w:lang w:val="fr-CH"/>
        </w:rPr>
        <w:t xml:space="preserve">. </w:t>
      </w:r>
    </w:p>
    <w:p w:rsidR="00C77E1E" w:rsidRPr="009F43DE" w:rsidRDefault="00C77E1E" w:rsidP="000C5543">
      <w:pPr>
        <w:pStyle w:val="SingleTxtG"/>
        <w:rPr>
          <w:lang w:val="fr-CH"/>
        </w:rPr>
      </w:pPr>
      <w:r w:rsidRPr="009F43DE">
        <w:rPr>
          <w:lang w:val="fr-CH"/>
        </w:rPr>
        <w:t>79.</w:t>
      </w:r>
      <w:r w:rsidRPr="009F43DE">
        <w:rPr>
          <w:lang w:val="fr-CH"/>
        </w:rPr>
        <w:tab/>
        <w:t>Dans le cadre du Plan d</w:t>
      </w:r>
      <w:r w:rsidR="00F8384A" w:rsidRPr="009F43DE">
        <w:rPr>
          <w:lang w:val="fr-CH"/>
        </w:rPr>
        <w:t>’</w:t>
      </w:r>
      <w:r w:rsidRPr="009F43DE">
        <w:rPr>
          <w:lang w:val="fr-CH"/>
        </w:rPr>
        <w:t xml:space="preserve">action pour prévenir </w:t>
      </w:r>
      <w:r w:rsidR="001E1162" w:rsidRPr="009F43DE">
        <w:rPr>
          <w:lang w:val="fr-CH"/>
        </w:rPr>
        <w:t>les</w:t>
      </w:r>
      <w:r w:rsidRPr="009F43DE">
        <w:rPr>
          <w:lang w:val="fr-CH"/>
        </w:rPr>
        <w:t xml:space="preserve"> violence</w:t>
      </w:r>
      <w:r w:rsidR="001E1162" w:rsidRPr="009F43DE">
        <w:rPr>
          <w:lang w:val="fr-CH"/>
        </w:rPr>
        <w:t>s</w:t>
      </w:r>
      <w:r w:rsidRPr="009F43DE">
        <w:rPr>
          <w:lang w:val="fr-CH"/>
        </w:rPr>
        <w:t xml:space="preserve"> domestique</w:t>
      </w:r>
      <w:r w:rsidR="001E1162" w:rsidRPr="009F43DE">
        <w:rPr>
          <w:lang w:val="fr-CH"/>
        </w:rPr>
        <w:t>s</w:t>
      </w:r>
      <w:r w:rsidRPr="009F43DE">
        <w:rPr>
          <w:lang w:val="fr-CH"/>
        </w:rPr>
        <w:t xml:space="preserve">, le Ministère des affaires des femmes a établi en 2012 un refuge pour les victimes de violences </w:t>
      </w:r>
      <w:r w:rsidR="00B72E9D" w:rsidRPr="009F43DE">
        <w:rPr>
          <w:lang w:val="fr-CH"/>
        </w:rPr>
        <w:t>sexistes, qui a accueilli</w:t>
      </w:r>
      <w:r w:rsidRPr="009F43DE">
        <w:rPr>
          <w:lang w:val="fr-CH"/>
        </w:rPr>
        <w:t xml:space="preserve"> près de 50 femmes. Le Ministère a aussi alloué des fonds pour l</w:t>
      </w:r>
      <w:r w:rsidR="00F8384A" w:rsidRPr="009F43DE">
        <w:rPr>
          <w:lang w:val="fr-CH"/>
        </w:rPr>
        <w:t>’</w:t>
      </w:r>
      <w:r w:rsidRPr="009F43DE">
        <w:rPr>
          <w:lang w:val="fr-CH"/>
        </w:rPr>
        <w:t>établissement de refuges d</w:t>
      </w:r>
      <w:r w:rsidR="00B72E9D" w:rsidRPr="009F43DE">
        <w:rPr>
          <w:lang w:val="fr-CH"/>
        </w:rPr>
        <w:t>e ce type dans le n</w:t>
      </w:r>
      <w:r w:rsidRPr="009F43DE">
        <w:rPr>
          <w:lang w:val="fr-CH"/>
        </w:rPr>
        <w:t>ord et l</w:t>
      </w:r>
      <w:r w:rsidR="00F8384A" w:rsidRPr="009F43DE">
        <w:rPr>
          <w:lang w:val="fr-CH"/>
        </w:rPr>
        <w:t>’</w:t>
      </w:r>
      <w:r w:rsidR="00B72E9D" w:rsidRPr="009F43DE">
        <w:rPr>
          <w:lang w:val="fr-CH"/>
        </w:rPr>
        <w:t>e</w:t>
      </w:r>
      <w:r w:rsidRPr="009F43DE">
        <w:rPr>
          <w:lang w:val="fr-CH"/>
        </w:rPr>
        <w:t>st</w:t>
      </w:r>
      <w:r w:rsidR="00B72E9D" w:rsidRPr="009F43DE">
        <w:rPr>
          <w:lang w:val="fr-CH"/>
        </w:rPr>
        <w:t xml:space="preserve"> du pays</w:t>
      </w:r>
      <w:r w:rsidRPr="009F43DE">
        <w:rPr>
          <w:lang w:val="fr-CH"/>
        </w:rPr>
        <w:t>.</w:t>
      </w:r>
    </w:p>
    <w:p w:rsidR="00C77E1E" w:rsidRPr="009F43DE" w:rsidRDefault="00C77E1E" w:rsidP="00C77E1E">
      <w:pPr>
        <w:pStyle w:val="H23G"/>
        <w:rPr>
          <w:lang w:val="fr-CH"/>
        </w:rPr>
      </w:pPr>
      <w:r w:rsidRPr="009F43DE">
        <w:rPr>
          <w:lang w:val="fr-CH"/>
        </w:rPr>
        <w:tab/>
      </w:r>
      <w:r w:rsidRPr="009F43DE">
        <w:rPr>
          <w:lang w:val="fr-CH"/>
        </w:rPr>
        <w:tab/>
        <w:t>Protection des femmes migrantes et développement de</w:t>
      </w:r>
      <w:r w:rsidR="00B72E9D" w:rsidRPr="009F43DE">
        <w:rPr>
          <w:lang w:val="fr-CH"/>
        </w:rPr>
        <w:t>s</w:t>
      </w:r>
      <w:r w:rsidRPr="009F43DE">
        <w:rPr>
          <w:lang w:val="fr-CH"/>
        </w:rPr>
        <w:t xml:space="preserve"> possibilités d</w:t>
      </w:r>
      <w:r w:rsidR="00F8384A" w:rsidRPr="009F43DE">
        <w:rPr>
          <w:lang w:val="fr-CH"/>
        </w:rPr>
        <w:t>’</w:t>
      </w:r>
      <w:r w:rsidRPr="009F43DE">
        <w:rPr>
          <w:lang w:val="fr-CH"/>
        </w:rPr>
        <w:t xml:space="preserve">emploi </w:t>
      </w:r>
      <w:r w:rsidR="00B72E9D" w:rsidRPr="009F43DE">
        <w:rPr>
          <w:lang w:val="fr-CH"/>
        </w:rPr>
        <w:t>d</w:t>
      </w:r>
      <w:r w:rsidRPr="009F43DE">
        <w:rPr>
          <w:lang w:val="fr-CH"/>
        </w:rPr>
        <w:t xml:space="preserve">es femmes </w:t>
      </w:r>
      <w:r w:rsidR="00B72E9D" w:rsidRPr="009F43DE">
        <w:rPr>
          <w:lang w:val="fr-CH"/>
        </w:rPr>
        <w:t>dans le</w:t>
      </w:r>
      <w:r w:rsidRPr="009F43DE">
        <w:rPr>
          <w:lang w:val="fr-CH"/>
        </w:rPr>
        <w:t xml:space="preserve"> pays </w:t>
      </w:r>
      <w:r w:rsidR="00363BB7">
        <w:rPr>
          <w:lang w:val="fr-CH"/>
        </w:rPr>
        <w:t>(</w:t>
      </w:r>
      <w:r w:rsidR="00B72E9D" w:rsidRPr="009F43DE">
        <w:rPr>
          <w:lang w:val="fr-CH"/>
        </w:rPr>
        <w:t>p</w:t>
      </w:r>
      <w:r w:rsidRPr="009F43DE">
        <w:rPr>
          <w:lang w:val="fr-CH"/>
        </w:rPr>
        <w:t>ar</w:t>
      </w:r>
      <w:r w:rsidR="00363BB7">
        <w:rPr>
          <w:lang w:val="fr-CH"/>
        </w:rPr>
        <w:t>.</w:t>
      </w:r>
      <w:r w:rsidRPr="009F43DE">
        <w:rPr>
          <w:lang w:val="fr-CH"/>
        </w:rPr>
        <w:t xml:space="preserve"> 21</w:t>
      </w:r>
      <w:r w:rsidR="00363BB7">
        <w:rPr>
          <w:lang w:val="fr-CH"/>
        </w:rPr>
        <w:t>)</w:t>
      </w:r>
    </w:p>
    <w:p w:rsidR="00C77E1E" w:rsidRPr="009F43DE" w:rsidRDefault="00C77E1E" w:rsidP="00C77E1E">
      <w:pPr>
        <w:pStyle w:val="SingleTxtG"/>
        <w:rPr>
          <w:lang w:val="fr-CH"/>
        </w:rPr>
      </w:pPr>
      <w:r w:rsidRPr="009F43DE">
        <w:rPr>
          <w:lang w:val="fr-CH"/>
        </w:rPr>
        <w:t>80.</w:t>
      </w:r>
      <w:r w:rsidRPr="009F43DE">
        <w:rPr>
          <w:lang w:val="fr-CH"/>
        </w:rPr>
        <w:tab/>
      </w:r>
      <w:r w:rsidR="00B72E9D" w:rsidRPr="009F43DE">
        <w:rPr>
          <w:lang w:val="fr-CH"/>
        </w:rPr>
        <w:t>La</w:t>
      </w:r>
      <w:r w:rsidRPr="009F43DE">
        <w:rPr>
          <w:lang w:val="fr-CH"/>
        </w:rPr>
        <w:t xml:space="preserve"> question de savoir si l</w:t>
      </w:r>
      <w:r w:rsidR="00B72E9D" w:rsidRPr="009F43DE">
        <w:rPr>
          <w:lang w:val="fr-CH"/>
        </w:rPr>
        <w:t>e départ de femmes pour aller travailler à l</w:t>
      </w:r>
      <w:r w:rsidR="00F8384A" w:rsidRPr="009F43DE">
        <w:rPr>
          <w:lang w:val="fr-CH"/>
        </w:rPr>
        <w:t>’</w:t>
      </w:r>
      <w:r w:rsidR="00B72E9D" w:rsidRPr="009F43DE">
        <w:rPr>
          <w:lang w:val="fr-CH"/>
        </w:rPr>
        <w:t xml:space="preserve">étranger </w:t>
      </w:r>
      <w:r w:rsidRPr="009F43DE">
        <w:rPr>
          <w:lang w:val="fr-CH"/>
        </w:rPr>
        <w:t>est économiquement et socialement bénéfique</w:t>
      </w:r>
      <w:r w:rsidR="00B72E9D" w:rsidRPr="009F43DE">
        <w:rPr>
          <w:lang w:val="fr-CH"/>
        </w:rPr>
        <w:t xml:space="preserve"> a fait débat à Sri Lanka</w:t>
      </w:r>
      <w:r w:rsidRPr="009F43DE">
        <w:rPr>
          <w:lang w:val="fr-CH"/>
        </w:rPr>
        <w:t xml:space="preserve">. </w:t>
      </w:r>
      <w:r w:rsidR="00C30DD6" w:rsidRPr="009F43DE">
        <w:rPr>
          <w:lang w:val="fr-CH"/>
        </w:rPr>
        <w:t xml:space="preserve">Cette polémique a conduit à </w:t>
      </w:r>
      <w:r w:rsidRPr="009F43DE">
        <w:rPr>
          <w:lang w:val="fr-CH"/>
        </w:rPr>
        <w:t xml:space="preserve">une </w:t>
      </w:r>
      <w:r w:rsidR="00C30DD6" w:rsidRPr="009F43DE">
        <w:rPr>
          <w:lang w:val="fr-CH"/>
        </w:rPr>
        <w:t>progression de l</w:t>
      </w:r>
      <w:r w:rsidR="00F8384A" w:rsidRPr="009F43DE">
        <w:rPr>
          <w:lang w:val="fr-CH"/>
        </w:rPr>
        <w:t>’</w:t>
      </w:r>
      <w:r w:rsidR="00C30DD6" w:rsidRPr="009F43DE">
        <w:rPr>
          <w:lang w:val="fr-CH"/>
        </w:rPr>
        <w:t xml:space="preserve">émigration </w:t>
      </w:r>
      <w:r w:rsidR="00B72E9D" w:rsidRPr="009F43DE">
        <w:rPr>
          <w:lang w:val="fr-CH"/>
        </w:rPr>
        <w:t>de</w:t>
      </w:r>
      <w:r w:rsidRPr="009F43DE">
        <w:rPr>
          <w:lang w:val="fr-CH"/>
        </w:rPr>
        <w:t xml:space="preserve"> travailleurs de sexe masculin (21,45</w:t>
      </w:r>
      <w:r w:rsidR="00B72E9D" w:rsidRPr="009F43DE">
        <w:rPr>
          <w:lang w:val="fr-CH"/>
        </w:rPr>
        <w:t> </w:t>
      </w:r>
      <w:r w:rsidRPr="009F43DE">
        <w:rPr>
          <w:lang w:val="fr-CH"/>
        </w:rPr>
        <w:t>% en 2013), en même temps qu</w:t>
      </w:r>
      <w:r w:rsidR="00F8384A" w:rsidRPr="009F43DE">
        <w:rPr>
          <w:lang w:val="fr-CH"/>
        </w:rPr>
        <w:t>’</w:t>
      </w:r>
      <w:r w:rsidR="00C30DD6" w:rsidRPr="009F43DE">
        <w:rPr>
          <w:lang w:val="fr-CH"/>
        </w:rPr>
        <w:t xml:space="preserve">à </w:t>
      </w:r>
      <w:r w:rsidRPr="009F43DE">
        <w:rPr>
          <w:lang w:val="fr-CH"/>
        </w:rPr>
        <w:t>une diminution d</w:t>
      </w:r>
      <w:r w:rsidR="00C30DD6" w:rsidRPr="009F43DE">
        <w:rPr>
          <w:lang w:val="fr-CH"/>
        </w:rPr>
        <w:t>es</w:t>
      </w:r>
      <w:r w:rsidRPr="009F43DE">
        <w:rPr>
          <w:lang w:val="fr-CH"/>
        </w:rPr>
        <w:t xml:space="preserve"> départ</w:t>
      </w:r>
      <w:r w:rsidR="00C30DD6" w:rsidRPr="009F43DE">
        <w:rPr>
          <w:lang w:val="fr-CH"/>
        </w:rPr>
        <w:t>s</w:t>
      </w:r>
      <w:r w:rsidRPr="009F43DE">
        <w:rPr>
          <w:lang w:val="fr-CH"/>
        </w:rPr>
        <w:t xml:space="preserve"> de </w:t>
      </w:r>
      <w:r w:rsidR="00C30DD6" w:rsidRPr="009F43DE">
        <w:rPr>
          <w:lang w:val="fr-CH"/>
        </w:rPr>
        <w:t>femmes</w:t>
      </w:r>
      <w:r w:rsidRPr="009F43DE">
        <w:rPr>
          <w:lang w:val="fr-CH"/>
        </w:rPr>
        <w:t xml:space="preserve"> (14,64</w:t>
      </w:r>
      <w:r w:rsidR="00C30DD6" w:rsidRPr="009F43DE">
        <w:rPr>
          <w:lang w:val="fr-CH"/>
        </w:rPr>
        <w:t> </w:t>
      </w:r>
      <w:r w:rsidRPr="009F43DE">
        <w:rPr>
          <w:lang w:val="fr-CH"/>
        </w:rPr>
        <w:t xml:space="preserve">% en 2013). </w:t>
      </w:r>
      <w:r w:rsidR="00C30DD6" w:rsidRPr="009F43DE">
        <w:rPr>
          <w:lang w:val="fr-CH"/>
        </w:rPr>
        <w:t xml:space="preserve">On a </w:t>
      </w:r>
      <w:r w:rsidRPr="009F43DE">
        <w:rPr>
          <w:lang w:val="fr-CH"/>
        </w:rPr>
        <w:t xml:space="preserve">également constaté </w:t>
      </w:r>
      <w:r w:rsidR="00C30DD6" w:rsidRPr="009F43DE">
        <w:rPr>
          <w:lang w:val="fr-CH"/>
        </w:rPr>
        <w:t>un recul de</w:t>
      </w:r>
      <w:r w:rsidRPr="009F43DE">
        <w:rPr>
          <w:lang w:val="fr-CH"/>
        </w:rPr>
        <w:t xml:space="preserve"> l</w:t>
      </w:r>
      <w:r w:rsidR="00F8384A" w:rsidRPr="009F43DE">
        <w:rPr>
          <w:lang w:val="fr-CH"/>
        </w:rPr>
        <w:t>’</w:t>
      </w:r>
      <w:r w:rsidR="00C30DD6" w:rsidRPr="009F43DE">
        <w:rPr>
          <w:lang w:val="fr-CH"/>
        </w:rPr>
        <w:t>émigration d</w:t>
      </w:r>
      <w:r w:rsidR="00F8384A" w:rsidRPr="009F43DE">
        <w:rPr>
          <w:lang w:val="fr-CH"/>
        </w:rPr>
        <w:t>’</w:t>
      </w:r>
      <w:r w:rsidR="00C30DD6" w:rsidRPr="009F43DE">
        <w:rPr>
          <w:lang w:val="fr-CH"/>
        </w:rPr>
        <w:t>employées de maison</w:t>
      </w:r>
      <w:r w:rsidRPr="009F43DE">
        <w:rPr>
          <w:lang w:val="fr-CH"/>
        </w:rPr>
        <w:t xml:space="preserve"> (18,55</w:t>
      </w:r>
      <w:r w:rsidR="00C30DD6" w:rsidRPr="009F43DE">
        <w:rPr>
          <w:lang w:val="fr-CH"/>
        </w:rPr>
        <w:t> </w:t>
      </w:r>
      <w:r w:rsidRPr="009F43DE">
        <w:rPr>
          <w:lang w:val="fr-CH"/>
        </w:rPr>
        <w:t>% en 2013). La majorité des travailleurs migrants sont partis par l</w:t>
      </w:r>
      <w:r w:rsidR="00F8384A" w:rsidRPr="009F43DE">
        <w:rPr>
          <w:lang w:val="fr-CH"/>
        </w:rPr>
        <w:t>’</w:t>
      </w:r>
      <w:r w:rsidRPr="009F43DE">
        <w:rPr>
          <w:lang w:val="fr-CH"/>
        </w:rPr>
        <w:t>intermédiaire d</w:t>
      </w:r>
      <w:r w:rsidR="00F8384A" w:rsidRPr="009F43DE">
        <w:rPr>
          <w:lang w:val="fr-CH"/>
        </w:rPr>
        <w:t>’</w:t>
      </w:r>
      <w:r w:rsidRPr="009F43DE">
        <w:rPr>
          <w:lang w:val="fr-CH"/>
        </w:rPr>
        <w:t>agences de migration a</w:t>
      </w:r>
      <w:r w:rsidR="00C30DD6" w:rsidRPr="009F43DE">
        <w:rPr>
          <w:lang w:val="fr-CH"/>
        </w:rPr>
        <w:t>gréées</w:t>
      </w:r>
      <w:r w:rsidRPr="009F43DE">
        <w:rPr>
          <w:lang w:val="fr-CH"/>
        </w:rPr>
        <w:t xml:space="preserve"> (61,6</w:t>
      </w:r>
      <w:r w:rsidR="00C30DD6" w:rsidRPr="009F43DE">
        <w:rPr>
          <w:lang w:val="fr-CH"/>
        </w:rPr>
        <w:t> </w:t>
      </w:r>
      <w:r w:rsidRPr="009F43DE">
        <w:rPr>
          <w:lang w:val="fr-CH"/>
        </w:rPr>
        <w:t>% en 2013).</w:t>
      </w:r>
    </w:p>
    <w:p w:rsidR="00C77E1E" w:rsidRPr="009F43DE" w:rsidRDefault="00C77E1E" w:rsidP="00C77E1E">
      <w:pPr>
        <w:pStyle w:val="SingleTxtG"/>
        <w:rPr>
          <w:lang w:val="fr-CH"/>
        </w:rPr>
      </w:pPr>
      <w:r w:rsidRPr="009F43DE">
        <w:rPr>
          <w:lang w:val="fr-CH"/>
        </w:rPr>
        <w:t>81.</w:t>
      </w:r>
      <w:r w:rsidRPr="009F43DE">
        <w:rPr>
          <w:lang w:val="fr-CH"/>
        </w:rPr>
        <w:tab/>
        <w:t>Le</w:t>
      </w:r>
      <w:r w:rsidR="00C30DD6" w:rsidRPr="009F43DE">
        <w:rPr>
          <w:lang w:val="fr-CH"/>
        </w:rPr>
        <w:t>s</w:t>
      </w:r>
      <w:r w:rsidRPr="009F43DE">
        <w:rPr>
          <w:lang w:val="fr-CH"/>
        </w:rPr>
        <w:t xml:space="preserve"> </w:t>
      </w:r>
      <w:r w:rsidR="00C30DD6" w:rsidRPr="009F43DE">
        <w:rPr>
          <w:lang w:val="fr-CH"/>
        </w:rPr>
        <w:t>autorités encourag</w:t>
      </w:r>
      <w:r w:rsidR="00E5029E" w:rsidRPr="009F43DE">
        <w:rPr>
          <w:lang w:val="fr-CH"/>
        </w:rPr>
        <w:t>ent</w:t>
      </w:r>
      <w:r w:rsidR="00C30DD6" w:rsidRPr="009F43DE">
        <w:rPr>
          <w:lang w:val="fr-CH"/>
        </w:rPr>
        <w:t xml:space="preserve"> activement l</w:t>
      </w:r>
      <w:r w:rsidR="00F8384A" w:rsidRPr="009F43DE">
        <w:rPr>
          <w:lang w:val="fr-CH"/>
        </w:rPr>
        <w:t>’</w:t>
      </w:r>
      <w:r w:rsidRPr="009F43DE">
        <w:rPr>
          <w:lang w:val="fr-CH"/>
        </w:rPr>
        <w:t>emploi local par le biais d</w:t>
      </w:r>
      <w:r w:rsidR="00F8384A" w:rsidRPr="009F43DE">
        <w:rPr>
          <w:lang w:val="fr-CH"/>
        </w:rPr>
        <w:t>’</w:t>
      </w:r>
      <w:r w:rsidRPr="009F43DE">
        <w:rPr>
          <w:lang w:val="fr-CH"/>
        </w:rPr>
        <w:t>initiatives telles que des programmes de développement rural et de microcrédit. S</w:t>
      </w:r>
      <w:r w:rsidR="00F8384A" w:rsidRPr="009F43DE">
        <w:rPr>
          <w:lang w:val="fr-CH"/>
        </w:rPr>
        <w:t>’</w:t>
      </w:r>
      <w:r w:rsidRPr="009F43DE">
        <w:rPr>
          <w:lang w:val="fr-CH"/>
        </w:rPr>
        <w:t xml:space="preserve">adressant à un large éventail de consommateurs dans les </w:t>
      </w:r>
      <w:r w:rsidR="00373CD3" w:rsidRPr="009F43DE">
        <w:rPr>
          <w:lang w:val="fr-CH"/>
        </w:rPr>
        <w:t xml:space="preserve">tranches à </w:t>
      </w:r>
      <w:r w:rsidRPr="009F43DE">
        <w:rPr>
          <w:lang w:val="fr-CH"/>
        </w:rPr>
        <w:t xml:space="preserve">faible revenu, les initiatives de microcrédit </w:t>
      </w:r>
      <w:r w:rsidR="00373CD3" w:rsidRPr="009F43DE">
        <w:rPr>
          <w:lang w:val="fr-CH"/>
        </w:rPr>
        <w:t>des</w:t>
      </w:r>
      <w:r w:rsidRPr="009F43DE">
        <w:rPr>
          <w:lang w:val="fr-CH"/>
        </w:rPr>
        <w:t xml:space="preserve"> institutions financières publiques et privées rend</w:t>
      </w:r>
      <w:r w:rsidR="00E5029E" w:rsidRPr="009F43DE">
        <w:rPr>
          <w:lang w:val="fr-CH"/>
        </w:rPr>
        <w:t>ent</w:t>
      </w:r>
      <w:r w:rsidRPr="009F43DE">
        <w:rPr>
          <w:lang w:val="fr-CH"/>
        </w:rPr>
        <w:t xml:space="preserve"> un service inestimable en améliorant le statut socioéconomique de ces segments vulnérables de la population. </w:t>
      </w:r>
      <w:r w:rsidR="00363BB7">
        <w:rPr>
          <w:lang w:val="fr-CH"/>
        </w:rPr>
        <w:t>À</w:t>
      </w:r>
      <w:r w:rsidRPr="009F43DE">
        <w:rPr>
          <w:lang w:val="fr-CH"/>
        </w:rPr>
        <w:t xml:space="preserve"> moyen et </w:t>
      </w:r>
      <w:r w:rsidR="00373CD3" w:rsidRPr="009F43DE">
        <w:rPr>
          <w:lang w:val="fr-CH"/>
        </w:rPr>
        <w:t xml:space="preserve">à </w:t>
      </w:r>
      <w:r w:rsidRPr="009F43DE">
        <w:rPr>
          <w:lang w:val="fr-CH"/>
        </w:rPr>
        <w:t>long terme</w:t>
      </w:r>
      <w:r w:rsidR="00373CD3" w:rsidRPr="009F43DE">
        <w:rPr>
          <w:lang w:val="fr-CH"/>
        </w:rPr>
        <w:t>, ces actions contribueront au maintien d</w:t>
      </w:r>
      <w:r w:rsidR="00F8384A" w:rsidRPr="009F43DE">
        <w:rPr>
          <w:lang w:val="fr-CH"/>
        </w:rPr>
        <w:t>’</w:t>
      </w:r>
      <w:r w:rsidRPr="009F43DE">
        <w:rPr>
          <w:lang w:val="fr-CH"/>
        </w:rPr>
        <w:t xml:space="preserve">un capital humain </w:t>
      </w:r>
      <w:r w:rsidR="00373CD3" w:rsidRPr="009F43DE">
        <w:rPr>
          <w:lang w:val="fr-CH"/>
        </w:rPr>
        <w:t xml:space="preserve">plus important </w:t>
      </w:r>
      <w:r w:rsidRPr="009F43DE">
        <w:rPr>
          <w:lang w:val="fr-CH"/>
        </w:rPr>
        <w:t>dans l</w:t>
      </w:r>
      <w:r w:rsidR="00F8384A" w:rsidRPr="009F43DE">
        <w:rPr>
          <w:lang w:val="fr-CH"/>
        </w:rPr>
        <w:t>’</w:t>
      </w:r>
      <w:r w:rsidRPr="009F43DE">
        <w:rPr>
          <w:lang w:val="fr-CH"/>
        </w:rPr>
        <w:t xml:space="preserve">économie locale, </w:t>
      </w:r>
      <w:r w:rsidR="00373CD3" w:rsidRPr="009F43DE">
        <w:rPr>
          <w:lang w:val="fr-CH"/>
        </w:rPr>
        <w:t>diminuant l</w:t>
      </w:r>
      <w:r w:rsidR="00F8384A" w:rsidRPr="009F43DE">
        <w:rPr>
          <w:lang w:val="fr-CH"/>
        </w:rPr>
        <w:t>’</w:t>
      </w:r>
      <w:r w:rsidR="00373CD3" w:rsidRPr="009F43DE">
        <w:rPr>
          <w:lang w:val="fr-CH"/>
        </w:rPr>
        <w:t>attrait de</w:t>
      </w:r>
      <w:r w:rsidRPr="009F43DE">
        <w:rPr>
          <w:lang w:val="fr-CH"/>
        </w:rPr>
        <w:t xml:space="preserve"> l</w:t>
      </w:r>
      <w:r w:rsidR="00F8384A" w:rsidRPr="009F43DE">
        <w:rPr>
          <w:lang w:val="fr-CH"/>
        </w:rPr>
        <w:t>’</w:t>
      </w:r>
      <w:r w:rsidRPr="009F43DE">
        <w:rPr>
          <w:lang w:val="fr-CH"/>
        </w:rPr>
        <w:t>emploi à l</w:t>
      </w:r>
      <w:r w:rsidR="00F8384A" w:rsidRPr="009F43DE">
        <w:rPr>
          <w:lang w:val="fr-CH"/>
        </w:rPr>
        <w:t>’</w:t>
      </w:r>
      <w:r w:rsidRPr="009F43DE">
        <w:rPr>
          <w:lang w:val="fr-CH"/>
        </w:rPr>
        <w:t xml:space="preserve">étranger. </w:t>
      </w:r>
      <w:r w:rsidR="00373CD3" w:rsidRPr="009F43DE">
        <w:rPr>
          <w:lang w:val="fr-CH"/>
        </w:rPr>
        <w:t>Le</w:t>
      </w:r>
      <w:r w:rsidRPr="009F43DE">
        <w:rPr>
          <w:lang w:val="fr-CH"/>
        </w:rPr>
        <w:t xml:space="preserve"> programme de formation </w:t>
      </w:r>
      <w:r w:rsidR="00373CD3" w:rsidRPr="009F43DE">
        <w:rPr>
          <w:lang w:val="fr-CH"/>
        </w:rPr>
        <w:t>offert aux</w:t>
      </w:r>
      <w:r w:rsidRPr="009F43DE">
        <w:rPr>
          <w:lang w:val="fr-CH"/>
        </w:rPr>
        <w:t xml:space="preserve"> travailleurs migrants avant le</w:t>
      </w:r>
      <w:r w:rsidR="00373CD3" w:rsidRPr="009F43DE">
        <w:rPr>
          <w:lang w:val="fr-CH"/>
        </w:rPr>
        <w:t>ur</w:t>
      </w:r>
      <w:r w:rsidRPr="009F43DE">
        <w:rPr>
          <w:lang w:val="fr-CH"/>
        </w:rPr>
        <w:t xml:space="preserve"> départ a été renforcé. Les </w:t>
      </w:r>
      <w:r w:rsidR="00612923" w:rsidRPr="009F43DE">
        <w:rPr>
          <w:lang w:val="fr-CH"/>
        </w:rPr>
        <w:t>attachés des missions sri-lankaises à l</w:t>
      </w:r>
      <w:r w:rsidR="00F8384A" w:rsidRPr="009F43DE">
        <w:rPr>
          <w:lang w:val="fr-CH"/>
        </w:rPr>
        <w:t>’</w:t>
      </w:r>
      <w:r w:rsidR="00612923" w:rsidRPr="009F43DE">
        <w:rPr>
          <w:lang w:val="fr-CH"/>
        </w:rPr>
        <w:t>étranger qui sont chargés de l</w:t>
      </w:r>
      <w:r w:rsidR="00F8384A" w:rsidRPr="009F43DE">
        <w:rPr>
          <w:lang w:val="fr-CH"/>
        </w:rPr>
        <w:t>’</w:t>
      </w:r>
      <w:r w:rsidR="00612923" w:rsidRPr="009F43DE">
        <w:rPr>
          <w:lang w:val="fr-CH"/>
        </w:rPr>
        <w:t xml:space="preserve">emploi sont des représentants du </w:t>
      </w:r>
      <w:r w:rsidR="00B262BD" w:rsidRPr="009F43DE">
        <w:rPr>
          <w:lang w:val="fr-CH"/>
        </w:rPr>
        <w:t>Bureau sri-lankais pour l</w:t>
      </w:r>
      <w:r w:rsidR="00F8384A" w:rsidRPr="009F43DE">
        <w:rPr>
          <w:lang w:val="fr-CH"/>
        </w:rPr>
        <w:t>’</w:t>
      </w:r>
      <w:r w:rsidR="00B262BD" w:rsidRPr="009F43DE">
        <w:rPr>
          <w:lang w:val="fr-CH"/>
        </w:rPr>
        <w:t>emploi à l</w:t>
      </w:r>
      <w:r w:rsidR="00F8384A" w:rsidRPr="009F43DE">
        <w:rPr>
          <w:lang w:val="fr-CH"/>
        </w:rPr>
        <w:t>’</w:t>
      </w:r>
      <w:r w:rsidR="00B262BD" w:rsidRPr="009F43DE">
        <w:rPr>
          <w:lang w:val="fr-CH"/>
        </w:rPr>
        <w:t>étranger</w:t>
      </w:r>
      <w:r w:rsidR="00612923" w:rsidRPr="009F43DE">
        <w:rPr>
          <w:lang w:val="fr-CH"/>
        </w:rPr>
        <w:t xml:space="preserve">, </w:t>
      </w:r>
      <w:r w:rsidR="00E5029E" w:rsidRPr="009F43DE">
        <w:rPr>
          <w:lang w:val="fr-CH"/>
        </w:rPr>
        <w:t xml:space="preserve">qui </w:t>
      </w:r>
      <w:r w:rsidR="00612923" w:rsidRPr="009F43DE">
        <w:rPr>
          <w:lang w:val="fr-CH"/>
        </w:rPr>
        <w:t>exerce une fonction de médiation en cas de différends. Le rôle</w:t>
      </w:r>
      <w:r w:rsidRPr="009F43DE">
        <w:rPr>
          <w:lang w:val="fr-CH"/>
        </w:rPr>
        <w:t xml:space="preserve"> </w:t>
      </w:r>
      <w:r w:rsidR="00612923" w:rsidRPr="009F43DE">
        <w:rPr>
          <w:lang w:val="fr-CH"/>
        </w:rPr>
        <w:t>des attachés chargés de l</w:t>
      </w:r>
      <w:r w:rsidR="00F8384A" w:rsidRPr="009F43DE">
        <w:rPr>
          <w:lang w:val="fr-CH"/>
        </w:rPr>
        <w:t>’</w:t>
      </w:r>
      <w:r w:rsidR="00612923" w:rsidRPr="009F43DE">
        <w:rPr>
          <w:lang w:val="fr-CH"/>
        </w:rPr>
        <w:t xml:space="preserve">emploi </w:t>
      </w:r>
      <w:r w:rsidRPr="009F43DE">
        <w:rPr>
          <w:lang w:val="fr-CH"/>
        </w:rPr>
        <w:t xml:space="preserve">a été rationalisé </w:t>
      </w:r>
      <w:r w:rsidR="00E5029E" w:rsidRPr="009F43DE">
        <w:rPr>
          <w:lang w:val="fr-CH"/>
        </w:rPr>
        <w:t>suite à</w:t>
      </w:r>
      <w:r w:rsidRPr="009F43DE">
        <w:rPr>
          <w:lang w:val="fr-CH"/>
        </w:rPr>
        <w:t xml:space="preserve"> l</w:t>
      </w:r>
      <w:r w:rsidR="00F8384A" w:rsidRPr="009F43DE">
        <w:rPr>
          <w:lang w:val="fr-CH"/>
        </w:rPr>
        <w:t>’</w:t>
      </w:r>
      <w:r w:rsidRPr="009F43DE">
        <w:rPr>
          <w:lang w:val="fr-CH"/>
        </w:rPr>
        <w:t>introduction de nouveaux manuels opérationnels</w:t>
      </w:r>
      <w:r w:rsidR="00612923" w:rsidRPr="009F43DE">
        <w:rPr>
          <w:lang w:val="fr-CH"/>
        </w:rPr>
        <w:t>, établis</w:t>
      </w:r>
      <w:r w:rsidRPr="009F43DE">
        <w:rPr>
          <w:lang w:val="fr-CH"/>
        </w:rPr>
        <w:t xml:space="preserve"> avec l</w:t>
      </w:r>
      <w:r w:rsidR="00F8384A" w:rsidRPr="009F43DE">
        <w:rPr>
          <w:lang w:val="fr-CH"/>
        </w:rPr>
        <w:t>’</w:t>
      </w:r>
      <w:r w:rsidRPr="009F43DE">
        <w:rPr>
          <w:lang w:val="fr-CH"/>
        </w:rPr>
        <w:t>aide de l</w:t>
      </w:r>
      <w:r w:rsidR="00F8384A" w:rsidRPr="009F43DE">
        <w:rPr>
          <w:lang w:val="fr-CH"/>
        </w:rPr>
        <w:t>’</w:t>
      </w:r>
      <w:r w:rsidRPr="009F43DE">
        <w:rPr>
          <w:lang w:val="fr-CH"/>
        </w:rPr>
        <w:t>Organisation internationale du Travail (OIT).</w:t>
      </w:r>
    </w:p>
    <w:p w:rsidR="00C77E1E" w:rsidRPr="009F43DE" w:rsidRDefault="00C77E1E" w:rsidP="00C77E1E">
      <w:pPr>
        <w:pStyle w:val="SingleTxtG"/>
        <w:rPr>
          <w:lang w:val="fr-CH"/>
        </w:rPr>
      </w:pPr>
      <w:r w:rsidRPr="009F43DE">
        <w:rPr>
          <w:lang w:val="fr-CH"/>
        </w:rPr>
        <w:t>82.</w:t>
      </w:r>
      <w:r w:rsidRPr="009F43DE">
        <w:rPr>
          <w:lang w:val="fr-CH"/>
        </w:rPr>
        <w:tab/>
        <w:t xml:space="preserve">Le </w:t>
      </w:r>
      <w:r w:rsidR="00B262BD" w:rsidRPr="009F43DE">
        <w:rPr>
          <w:lang w:val="fr-CH"/>
        </w:rPr>
        <w:t>Bureau sri-lankais pour l</w:t>
      </w:r>
      <w:r w:rsidR="00F8384A" w:rsidRPr="009F43DE">
        <w:rPr>
          <w:lang w:val="fr-CH"/>
        </w:rPr>
        <w:t>’</w:t>
      </w:r>
      <w:r w:rsidR="00B262BD" w:rsidRPr="009F43DE">
        <w:rPr>
          <w:lang w:val="fr-CH"/>
        </w:rPr>
        <w:t>emploi à l</w:t>
      </w:r>
      <w:r w:rsidR="00F8384A" w:rsidRPr="009F43DE">
        <w:rPr>
          <w:lang w:val="fr-CH"/>
        </w:rPr>
        <w:t>’</w:t>
      </w:r>
      <w:r w:rsidR="00B262BD" w:rsidRPr="009F43DE">
        <w:rPr>
          <w:lang w:val="fr-CH"/>
        </w:rPr>
        <w:t>étranger</w:t>
      </w:r>
      <w:r w:rsidRPr="009F43DE">
        <w:rPr>
          <w:lang w:val="fr-CH"/>
        </w:rPr>
        <w:t xml:space="preserve"> </w:t>
      </w:r>
      <w:r w:rsidR="00E5029E" w:rsidRPr="009F43DE">
        <w:rPr>
          <w:lang w:val="fr-CH"/>
        </w:rPr>
        <w:t>a mis en place un service d</w:t>
      </w:r>
      <w:r w:rsidR="00F8384A" w:rsidRPr="009F43DE">
        <w:rPr>
          <w:lang w:val="fr-CH"/>
        </w:rPr>
        <w:t>’</w:t>
      </w:r>
      <w:r w:rsidR="00E5029E" w:rsidRPr="009F43DE">
        <w:rPr>
          <w:lang w:val="fr-CH"/>
        </w:rPr>
        <w:t>écoute téléphonique</w:t>
      </w:r>
      <w:r w:rsidRPr="009F43DE">
        <w:rPr>
          <w:lang w:val="fr-CH"/>
        </w:rPr>
        <w:t xml:space="preserve"> </w:t>
      </w:r>
      <w:r w:rsidR="00E5029E" w:rsidRPr="009F43DE">
        <w:rPr>
          <w:lang w:val="fr-CH"/>
        </w:rPr>
        <w:t>accessible</w:t>
      </w:r>
      <w:r w:rsidRPr="009F43DE">
        <w:rPr>
          <w:lang w:val="fr-CH"/>
        </w:rPr>
        <w:t xml:space="preserve"> </w:t>
      </w:r>
      <w:r w:rsidR="00363BB7">
        <w:rPr>
          <w:lang w:val="fr-CH"/>
        </w:rPr>
        <w:t>vingt-quatre</w:t>
      </w:r>
      <w:r w:rsidR="00363BB7" w:rsidRPr="009F43DE">
        <w:rPr>
          <w:lang w:val="fr-CH"/>
        </w:rPr>
        <w:t xml:space="preserve"> </w:t>
      </w:r>
      <w:r w:rsidRPr="009F43DE">
        <w:rPr>
          <w:lang w:val="fr-CH"/>
        </w:rPr>
        <w:t xml:space="preserve">heures sur </w:t>
      </w:r>
      <w:r w:rsidR="00363BB7">
        <w:rPr>
          <w:lang w:val="fr-CH"/>
        </w:rPr>
        <w:t>vingt-quatre</w:t>
      </w:r>
      <w:r w:rsidR="00363BB7" w:rsidRPr="009F43DE">
        <w:rPr>
          <w:lang w:val="fr-CH"/>
        </w:rPr>
        <w:t xml:space="preserve"> </w:t>
      </w:r>
      <w:r w:rsidR="003B4155" w:rsidRPr="009F43DE">
        <w:rPr>
          <w:lang w:val="fr-CH"/>
        </w:rPr>
        <w:t>ainsi qu</w:t>
      </w:r>
      <w:r w:rsidR="00F8384A" w:rsidRPr="009F43DE">
        <w:rPr>
          <w:lang w:val="fr-CH"/>
        </w:rPr>
        <w:t>’</w:t>
      </w:r>
      <w:r w:rsidRPr="009F43DE">
        <w:rPr>
          <w:lang w:val="fr-CH"/>
        </w:rPr>
        <w:t>un centre d</w:t>
      </w:r>
      <w:r w:rsidR="00F8384A" w:rsidRPr="009F43DE">
        <w:rPr>
          <w:lang w:val="fr-CH"/>
        </w:rPr>
        <w:t>’</w:t>
      </w:r>
      <w:r w:rsidRPr="009F43DE">
        <w:rPr>
          <w:lang w:val="fr-CH"/>
        </w:rPr>
        <w:t xml:space="preserve">information </w:t>
      </w:r>
      <w:r w:rsidR="003B4155" w:rsidRPr="009F43DE">
        <w:rPr>
          <w:lang w:val="fr-CH"/>
        </w:rPr>
        <w:t>basé à</w:t>
      </w:r>
      <w:r w:rsidRPr="009F43DE">
        <w:rPr>
          <w:lang w:val="fr-CH"/>
        </w:rPr>
        <w:t xml:space="preserve"> Sri Lanka pour recevoir les demandes de renseignements/plaintes de</w:t>
      </w:r>
      <w:r w:rsidR="003B4155" w:rsidRPr="009F43DE">
        <w:rPr>
          <w:lang w:val="fr-CH"/>
        </w:rPr>
        <w:t>s</w:t>
      </w:r>
      <w:r w:rsidRPr="009F43DE">
        <w:rPr>
          <w:lang w:val="fr-CH"/>
        </w:rPr>
        <w:t xml:space="preserve"> travailleurs migrants sri-lankais dans le monde entier. </w:t>
      </w:r>
      <w:r w:rsidR="003B4155" w:rsidRPr="009F43DE">
        <w:rPr>
          <w:lang w:val="fr-CH"/>
        </w:rPr>
        <w:t>Il</w:t>
      </w:r>
      <w:r w:rsidRPr="009F43DE">
        <w:rPr>
          <w:lang w:val="fr-CH"/>
        </w:rPr>
        <w:t xml:space="preserve"> exige que les </w:t>
      </w:r>
      <w:r w:rsidR="003B4155" w:rsidRPr="009F43DE">
        <w:rPr>
          <w:lang w:val="fr-CH"/>
        </w:rPr>
        <w:t>candidats à l</w:t>
      </w:r>
      <w:r w:rsidR="00F8384A" w:rsidRPr="009F43DE">
        <w:rPr>
          <w:lang w:val="fr-CH"/>
        </w:rPr>
        <w:t>’</w:t>
      </w:r>
      <w:r w:rsidR="003B4155" w:rsidRPr="009F43DE">
        <w:rPr>
          <w:lang w:val="fr-CH"/>
        </w:rPr>
        <w:t xml:space="preserve">émigration dans le secteur des services domestiques </w:t>
      </w:r>
      <w:r w:rsidRPr="009F43DE">
        <w:rPr>
          <w:lang w:val="fr-CH"/>
        </w:rPr>
        <w:t xml:space="preserve">passent un examen médical avant leur départ, </w:t>
      </w:r>
      <w:r w:rsidR="003B4155" w:rsidRPr="009F43DE">
        <w:rPr>
          <w:lang w:val="fr-CH"/>
        </w:rPr>
        <w:t>alors que ceux</w:t>
      </w:r>
      <w:r w:rsidRPr="009F43DE">
        <w:rPr>
          <w:lang w:val="fr-CH"/>
        </w:rPr>
        <w:t xml:space="preserve"> qui n</w:t>
      </w:r>
      <w:r w:rsidR="00F8384A" w:rsidRPr="009F43DE">
        <w:rPr>
          <w:lang w:val="fr-CH"/>
        </w:rPr>
        <w:t>’</w:t>
      </w:r>
      <w:r w:rsidRPr="009F43DE">
        <w:rPr>
          <w:lang w:val="fr-CH"/>
        </w:rPr>
        <w:t>ont aucune expérience préalable d</w:t>
      </w:r>
      <w:r w:rsidR="003B4155" w:rsidRPr="009F43DE">
        <w:rPr>
          <w:lang w:val="fr-CH"/>
        </w:rPr>
        <w:t>u</w:t>
      </w:r>
      <w:r w:rsidRPr="009F43DE">
        <w:rPr>
          <w:lang w:val="fr-CH"/>
        </w:rPr>
        <w:t xml:space="preserve"> travail au Moyen-Orient </w:t>
      </w:r>
      <w:r w:rsidR="003B4155" w:rsidRPr="009F43DE">
        <w:rPr>
          <w:lang w:val="fr-CH"/>
        </w:rPr>
        <w:t>sont tenus de</w:t>
      </w:r>
      <w:r w:rsidRPr="009F43DE">
        <w:rPr>
          <w:lang w:val="fr-CH"/>
        </w:rPr>
        <w:t xml:space="preserve"> suivre le cours de formation de </w:t>
      </w:r>
      <w:r w:rsidR="00363BB7">
        <w:rPr>
          <w:lang w:val="fr-CH"/>
        </w:rPr>
        <w:t>douze</w:t>
      </w:r>
      <w:r w:rsidR="00363BB7" w:rsidRPr="009F43DE">
        <w:rPr>
          <w:lang w:val="fr-CH"/>
        </w:rPr>
        <w:t xml:space="preserve"> </w:t>
      </w:r>
      <w:r w:rsidRPr="009F43DE">
        <w:rPr>
          <w:lang w:val="fr-CH"/>
        </w:rPr>
        <w:t>jours gratuit qu</w:t>
      </w:r>
      <w:r w:rsidR="00F8384A" w:rsidRPr="009F43DE">
        <w:rPr>
          <w:lang w:val="fr-CH"/>
        </w:rPr>
        <w:t>’</w:t>
      </w:r>
      <w:r w:rsidRPr="009F43DE">
        <w:rPr>
          <w:lang w:val="fr-CH"/>
        </w:rPr>
        <w:t xml:space="preserve">il organise. Depuis juillet 2010, </w:t>
      </w:r>
      <w:r w:rsidR="003B4155" w:rsidRPr="009F43DE">
        <w:rPr>
          <w:lang w:val="fr-CH"/>
        </w:rPr>
        <w:t>la</w:t>
      </w:r>
      <w:r w:rsidRPr="009F43DE">
        <w:rPr>
          <w:lang w:val="fr-CH"/>
        </w:rPr>
        <w:t xml:space="preserve"> formation préalable </w:t>
      </w:r>
      <w:r w:rsidR="003B4155" w:rsidRPr="009F43DE">
        <w:rPr>
          <w:lang w:val="fr-CH"/>
        </w:rPr>
        <w:t>à l</w:t>
      </w:r>
      <w:r w:rsidR="00F8384A" w:rsidRPr="009F43DE">
        <w:rPr>
          <w:lang w:val="fr-CH"/>
        </w:rPr>
        <w:t>’</w:t>
      </w:r>
      <w:r w:rsidR="003B4155" w:rsidRPr="009F43DE">
        <w:rPr>
          <w:lang w:val="fr-CH"/>
        </w:rPr>
        <w:t>intention des candidates à des postes d</w:t>
      </w:r>
      <w:r w:rsidR="00F8384A" w:rsidRPr="009F43DE">
        <w:rPr>
          <w:lang w:val="fr-CH"/>
        </w:rPr>
        <w:t>’</w:t>
      </w:r>
      <w:r w:rsidR="003B4155" w:rsidRPr="009F43DE">
        <w:rPr>
          <w:lang w:val="fr-CH"/>
        </w:rPr>
        <w:t>employée de maison à l</w:t>
      </w:r>
      <w:r w:rsidR="00F8384A" w:rsidRPr="009F43DE">
        <w:rPr>
          <w:lang w:val="fr-CH"/>
        </w:rPr>
        <w:t>’</w:t>
      </w:r>
      <w:r w:rsidR="003B4155" w:rsidRPr="009F43DE">
        <w:rPr>
          <w:lang w:val="fr-CH"/>
        </w:rPr>
        <w:t>étranger est aussi obligatoire</w:t>
      </w:r>
      <w:r w:rsidRPr="009F43DE">
        <w:rPr>
          <w:lang w:val="fr-CH"/>
        </w:rPr>
        <w:t xml:space="preserve">. </w:t>
      </w:r>
      <w:r w:rsidR="003B4155" w:rsidRPr="009F43DE">
        <w:rPr>
          <w:lang w:val="fr-CH"/>
        </w:rPr>
        <w:t xml:space="preserve">Cette formation vise </w:t>
      </w:r>
      <w:r w:rsidRPr="009F43DE">
        <w:rPr>
          <w:lang w:val="fr-CH"/>
        </w:rPr>
        <w:t xml:space="preserve">également les employés de sexe masculin partant dans </w:t>
      </w:r>
      <w:r w:rsidR="003B4155" w:rsidRPr="009F43DE">
        <w:rPr>
          <w:lang w:val="fr-CH"/>
        </w:rPr>
        <w:t>d</w:t>
      </w:r>
      <w:r w:rsidRPr="009F43DE">
        <w:rPr>
          <w:lang w:val="fr-CH"/>
        </w:rPr>
        <w:t xml:space="preserve">es pays du Moyen-Orient. Les agents du </w:t>
      </w:r>
      <w:r w:rsidR="00B262BD" w:rsidRPr="009F43DE">
        <w:rPr>
          <w:lang w:val="fr-CH"/>
        </w:rPr>
        <w:t>Bureau</w:t>
      </w:r>
      <w:r w:rsidRPr="009F43DE">
        <w:rPr>
          <w:lang w:val="fr-CH"/>
        </w:rPr>
        <w:t xml:space="preserve"> peuvent </w:t>
      </w:r>
      <w:r w:rsidR="003B4155" w:rsidRPr="009F43DE">
        <w:rPr>
          <w:lang w:val="fr-CH"/>
        </w:rPr>
        <w:t>en outre</w:t>
      </w:r>
      <w:r w:rsidRPr="009F43DE">
        <w:rPr>
          <w:lang w:val="fr-CH"/>
        </w:rPr>
        <w:t xml:space="preserve">, sur demande, </w:t>
      </w:r>
      <w:r w:rsidR="00F21439" w:rsidRPr="009F43DE">
        <w:rPr>
          <w:lang w:val="fr-CH"/>
        </w:rPr>
        <w:t>veiller au bien-être des</w:t>
      </w:r>
      <w:r w:rsidRPr="009F43DE">
        <w:rPr>
          <w:lang w:val="fr-CH"/>
        </w:rPr>
        <w:t xml:space="preserve"> familles et </w:t>
      </w:r>
      <w:r w:rsidR="00F21439" w:rsidRPr="009F43DE">
        <w:rPr>
          <w:lang w:val="fr-CH"/>
        </w:rPr>
        <w:t>d</w:t>
      </w:r>
      <w:r w:rsidRPr="009F43DE">
        <w:rPr>
          <w:lang w:val="fr-CH"/>
        </w:rPr>
        <w:t xml:space="preserve">es enfants </w:t>
      </w:r>
      <w:r w:rsidR="00F21439" w:rsidRPr="009F43DE">
        <w:rPr>
          <w:lang w:val="fr-CH"/>
        </w:rPr>
        <w:t>que les</w:t>
      </w:r>
      <w:r w:rsidRPr="009F43DE">
        <w:rPr>
          <w:lang w:val="fr-CH"/>
        </w:rPr>
        <w:t xml:space="preserve"> travailleurs migrants </w:t>
      </w:r>
      <w:r w:rsidR="00F21439" w:rsidRPr="009F43DE">
        <w:rPr>
          <w:lang w:val="fr-CH"/>
        </w:rPr>
        <w:t>laissent sur place</w:t>
      </w:r>
      <w:r w:rsidR="00A14E69" w:rsidRPr="009F43DE">
        <w:rPr>
          <w:lang w:val="fr-CH"/>
        </w:rPr>
        <w:t xml:space="preserve"> et à qui un</w:t>
      </w:r>
      <w:r w:rsidR="00F21439" w:rsidRPr="009F43DE">
        <w:rPr>
          <w:lang w:val="fr-CH"/>
        </w:rPr>
        <w:t>e</w:t>
      </w:r>
      <w:r w:rsidRPr="009F43DE">
        <w:rPr>
          <w:lang w:val="fr-CH"/>
        </w:rPr>
        <w:t xml:space="preserve"> aide et un soutien </w:t>
      </w:r>
      <w:r w:rsidR="00F21439" w:rsidRPr="009F43DE">
        <w:rPr>
          <w:lang w:val="fr-CH"/>
        </w:rPr>
        <w:t xml:space="preserve">sont apportés pour couvrir </w:t>
      </w:r>
      <w:r w:rsidR="00081996" w:rsidRPr="009F43DE">
        <w:rPr>
          <w:lang w:val="fr-CH"/>
        </w:rPr>
        <w:t>différents</w:t>
      </w:r>
      <w:r w:rsidR="00F21439" w:rsidRPr="009F43DE">
        <w:rPr>
          <w:lang w:val="fr-CH"/>
        </w:rPr>
        <w:t xml:space="preserve"> </w:t>
      </w:r>
      <w:r w:rsidR="00A14E69" w:rsidRPr="009F43DE">
        <w:rPr>
          <w:lang w:val="fr-CH"/>
        </w:rPr>
        <w:t>besoins</w:t>
      </w:r>
      <w:r w:rsidR="00081996" w:rsidRPr="009F43DE">
        <w:rPr>
          <w:lang w:val="fr-CH"/>
        </w:rPr>
        <w:t>, notamment</w:t>
      </w:r>
      <w:r w:rsidR="00F21439" w:rsidRPr="009F43DE">
        <w:rPr>
          <w:lang w:val="fr-CH"/>
        </w:rPr>
        <w:t xml:space="preserve"> </w:t>
      </w:r>
      <w:r w:rsidR="00A14E69" w:rsidRPr="009F43DE">
        <w:rPr>
          <w:lang w:val="fr-CH"/>
        </w:rPr>
        <w:t xml:space="preserve">dans le domaine de </w:t>
      </w:r>
      <w:r w:rsidR="00F21439" w:rsidRPr="009F43DE">
        <w:rPr>
          <w:lang w:val="fr-CH"/>
        </w:rPr>
        <w:t>l</w:t>
      </w:r>
      <w:r w:rsidR="00F8384A" w:rsidRPr="009F43DE">
        <w:rPr>
          <w:lang w:val="fr-CH"/>
        </w:rPr>
        <w:t>’</w:t>
      </w:r>
      <w:r w:rsidRPr="009F43DE">
        <w:rPr>
          <w:lang w:val="fr-CH"/>
        </w:rPr>
        <w:t>éducation.</w:t>
      </w:r>
    </w:p>
    <w:p w:rsidR="00C77E1E" w:rsidRPr="009F43DE" w:rsidRDefault="00C77E1E" w:rsidP="00C77E1E">
      <w:pPr>
        <w:pStyle w:val="SingleTxtG"/>
        <w:rPr>
          <w:color w:val="000000"/>
          <w:lang w:val="fr-CH"/>
        </w:rPr>
      </w:pPr>
      <w:r w:rsidRPr="009F43DE">
        <w:rPr>
          <w:lang w:val="fr-CH"/>
        </w:rPr>
        <w:t>83.</w:t>
      </w:r>
      <w:r w:rsidRPr="009F43DE">
        <w:rPr>
          <w:lang w:val="fr-CH"/>
        </w:rPr>
        <w:tab/>
      </w:r>
      <w:r w:rsidRPr="009F43DE">
        <w:rPr>
          <w:color w:val="000000"/>
          <w:lang w:val="fr-CH"/>
        </w:rPr>
        <w:t xml:space="preserve">Le </w:t>
      </w:r>
      <w:r w:rsidR="00B262BD" w:rsidRPr="009F43DE">
        <w:rPr>
          <w:lang w:val="fr-CH"/>
        </w:rPr>
        <w:t>Bureau sri-lankais pour l</w:t>
      </w:r>
      <w:r w:rsidR="00F8384A" w:rsidRPr="009F43DE">
        <w:rPr>
          <w:lang w:val="fr-CH"/>
        </w:rPr>
        <w:t>’</w:t>
      </w:r>
      <w:r w:rsidR="00B262BD" w:rsidRPr="009F43DE">
        <w:rPr>
          <w:lang w:val="fr-CH"/>
        </w:rPr>
        <w:t>emploi à l</w:t>
      </w:r>
      <w:r w:rsidR="00F8384A" w:rsidRPr="009F43DE">
        <w:rPr>
          <w:lang w:val="fr-CH"/>
        </w:rPr>
        <w:t>’</w:t>
      </w:r>
      <w:r w:rsidR="00B262BD" w:rsidRPr="009F43DE">
        <w:rPr>
          <w:lang w:val="fr-CH"/>
        </w:rPr>
        <w:t>étranger</w:t>
      </w:r>
      <w:r w:rsidR="00B262BD" w:rsidRPr="009F43DE">
        <w:rPr>
          <w:color w:val="000000"/>
          <w:lang w:val="fr-CH"/>
        </w:rPr>
        <w:t xml:space="preserve"> </w:t>
      </w:r>
      <w:r w:rsidRPr="009F43DE">
        <w:rPr>
          <w:color w:val="000000"/>
          <w:lang w:val="fr-CH"/>
        </w:rPr>
        <w:t xml:space="preserve">et le </w:t>
      </w:r>
      <w:r w:rsidR="00F21439" w:rsidRPr="009F43DE">
        <w:rPr>
          <w:color w:val="000000"/>
          <w:lang w:val="fr-CH"/>
        </w:rPr>
        <w:t>M</w:t>
      </w:r>
      <w:r w:rsidRPr="009F43DE">
        <w:rPr>
          <w:color w:val="000000"/>
          <w:lang w:val="fr-CH"/>
        </w:rPr>
        <w:t xml:space="preserve">inistère du </w:t>
      </w:r>
      <w:r w:rsidR="00F21439" w:rsidRPr="009F43DE">
        <w:rPr>
          <w:color w:val="000000"/>
          <w:lang w:val="fr-CH"/>
        </w:rPr>
        <w:t>t</w:t>
      </w:r>
      <w:r w:rsidRPr="009F43DE">
        <w:rPr>
          <w:color w:val="000000"/>
          <w:lang w:val="fr-CH"/>
        </w:rPr>
        <w:t>ravail</w:t>
      </w:r>
      <w:r w:rsidR="00F21439" w:rsidRPr="009F43DE">
        <w:rPr>
          <w:color w:val="000000"/>
          <w:lang w:val="fr-CH"/>
        </w:rPr>
        <w:t>,</w:t>
      </w:r>
      <w:r w:rsidRPr="009F43DE">
        <w:rPr>
          <w:color w:val="000000"/>
          <w:lang w:val="fr-CH"/>
        </w:rPr>
        <w:t xml:space="preserve"> en collaboration avec l</w:t>
      </w:r>
      <w:r w:rsidR="00F8384A" w:rsidRPr="009F43DE">
        <w:rPr>
          <w:color w:val="000000"/>
          <w:lang w:val="fr-CH"/>
        </w:rPr>
        <w:t>’</w:t>
      </w:r>
      <w:r w:rsidRPr="009F43DE">
        <w:rPr>
          <w:color w:val="000000"/>
          <w:lang w:val="fr-CH"/>
        </w:rPr>
        <w:t>Organisation internationale pour les migrations (OIM) et sous la supervision directe de l</w:t>
      </w:r>
      <w:r w:rsidR="00F8384A" w:rsidRPr="009F43DE">
        <w:rPr>
          <w:color w:val="000000"/>
          <w:lang w:val="fr-CH"/>
        </w:rPr>
        <w:t>’</w:t>
      </w:r>
      <w:r w:rsidR="007574C7" w:rsidRPr="009F43DE">
        <w:rPr>
          <w:color w:val="000000"/>
          <w:lang w:val="fr-CH"/>
        </w:rPr>
        <w:t>Équipe</w:t>
      </w:r>
      <w:r w:rsidRPr="009F43DE">
        <w:rPr>
          <w:color w:val="000000"/>
          <w:lang w:val="fr-CH"/>
        </w:rPr>
        <w:t xml:space="preserve"> nationale de lutte contre la traite d</w:t>
      </w:r>
      <w:r w:rsidR="00F8384A" w:rsidRPr="009F43DE">
        <w:rPr>
          <w:color w:val="000000"/>
          <w:lang w:val="fr-CH"/>
        </w:rPr>
        <w:t>’</w:t>
      </w:r>
      <w:r w:rsidRPr="009F43DE">
        <w:rPr>
          <w:color w:val="000000"/>
          <w:lang w:val="fr-CH"/>
        </w:rPr>
        <w:t>êtres humains dirigé</w:t>
      </w:r>
      <w:r w:rsidR="00324B5A" w:rsidRPr="009F43DE">
        <w:rPr>
          <w:color w:val="000000"/>
          <w:lang w:val="fr-CH"/>
        </w:rPr>
        <w:t>e</w:t>
      </w:r>
      <w:r w:rsidRPr="009F43DE">
        <w:rPr>
          <w:color w:val="000000"/>
          <w:lang w:val="fr-CH"/>
        </w:rPr>
        <w:t xml:space="preserve"> par le </w:t>
      </w:r>
      <w:r w:rsidR="00324B5A" w:rsidRPr="009F43DE">
        <w:rPr>
          <w:color w:val="000000"/>
          <w:lang w:val="fr-CH"/>
        </w:rPr>
        <w:t>M</w:t>
      </w:r>
      <w:r w:rsidRPr="009F43DE">
        <w:rPr>
          <w:color w:val="000000"/>
          <w:lang w:val="fr-CH"/>
        </w:rPr>
        <w:t xml:space="preserve">inistère de la </w:t>
      </w:r>
      <w:r w:rsidR="00324B5A" w:rsidRPr="009F43DE">
        <w:rPr>
          <w:color w:val="000000"/>
          <w:lang w:val="fr-CH"/>
        </w:rPr>
        <w:t>j</w:t>
      </w:r>
      <w:r w:rsidRPr="009F43DE">
        <w:rPr>
          <w:color w:val="000000"/>
          <w:lang w:val="fr-CH"/>
        </w:rPr>
        <w:t>ustice, a organisé un programme régional de formation en août 2014 à Amman (Jordanie) sur l</w:t>
      </w:r>
      <w:r w:rsidR="00F8384A" w:rsidRPr="009F43DE">
        <w:rPr>
          <w:color w:val="000000"/>
          <w:lang w:val="fr-CH"/>
        </w:rPr>
        <w:t>’</w:t>
      </w:r>
      <w:r w:rsidRPr="009F43DE">
        <w:rPr>
          <w:color w:val="000000"/>
          <w:lang w:val="fr-CH"/>
        </w:rPr>
        <w:t>identification, la protection et l</w:t>
      </w:r>
      <w:r w:rsidR="00F8384A" w:rsidRPr="009F43DE">
        <w:rPr>
          <w:color w:val="000000"/>
          <w:lang w:val="fr-CH"/>
        </w:rPr>
        <w:t>’</w:t>
      </w:r>
      <w:r w:rsidRPr="009F43DE">
        <w:rPr>
          <w:color w:val="000000"/>
          <w:lang w:val="fr-CH"/>
        </w:rPr>
        <w:t>orientation des victimes de la traite d</w:t>
      </w:r>
      <w:r w:rsidR="00F8384A" w:rsidRPr="009F43DE">
        <w:rPr>
          <w:color w:val="000000"/>
          <w:lang w:val="fr-CH"/>
        </w:rPr>
        <w:t>’</w:t>
      </w:r>
      <w:r w:rsidRPr="009F43DE">
        <w:rPr>
          <w:color w:val="000000"/>
          <w:lang w:val="fr-CH"/>
        </w:rPr>
        <w:t>êtres humains</w:t>
      </w:r>
      <w:r w:rsidR="00324B5A" w:rsidRPr="009F43DE">
        <w:rPr>
          <w:color w:val="000000"/>
          <w:lang w:val="fr-CH"/>
        </w:rPr>
        <w:t>. Cette formation, qui était destinée aux</w:t>
      </w:r>
      <w:r w:rsidRPr="009F43DE">
        <w:rPr>
          <w:color w:val="000000"/>
          <w:lang w:val="fr-CH"/>
        </w:rPr>
        <w:t xml:space="preserve"> agents </w:t>
      </w:r>
      <w:r w:rsidR="00A14E69" w:rsidRPr="009F43DE">
        <w:rPr>
          <w:color w:val="000000"/>
          <w:lang w:val="fr-CH"/>
        </w:rPr>
        <w:t xml:space="preserve">en poste </w:t>
      </w:r>
      <w:r w:rsidRPr="009F43DE">
        <w:rPr>
          <w:color w:val="000000"/>
          <w:lang w:val="fr-CH"/>
        </w:rPr>
        <w:t>dans les missions d</w:t>
      </w:r>
      <w:r w:rsidR="00A14E69" w:rsidRPr="009F43DE">
        <w:rPr>
          <w:color w:val="000000"/>
          <w:lang w:val="fr-CH"/>
        </w:rPr>
        <w:t>e</w:t>
      </w:r>
      <w:r w:rsidRPr="009F43DE">
        <w:rPr>
          <w:color w:val="000000"/>
          <w:lang w:val="fr-CH"/>
        </w:rPr>
        <w:t xml:space="preserve"> Sri Lanka dans la région du Moyen-Orient</w:t>
      </w:r>
      <w:r w:rsidR="00324B5A" w:rsidRPr="009F43DE">
        <w:rPr>
          <w:color w:val="000000"/>
          <w:lang w:val="fr-CH"/>
        </w:rPr>
        <w:t>, avait pour objectif d</w:t>
      </w:r>
      <w:r w:rsidRPr="009F43DE">
        <w:rPr>
          <w:color w:val="000000"/>
          <w:lang w:val="fr-CH"/>
        </w:rPr>
        <w:t xml:space="preserve">e sensibiliser ces </w:t>
      </w:r>
      <w:r w:rsidR="00324B5A" w:rsidRPr="009F43DE">
        <w:rPr>
          <w:color w:val="000000"/>
          <w:lang w:val="fr-CH"/>
        </w:rPr>
        <w:t xml:space="preserve">derniers au problème de </w:t>
      </w:r>
      <w:r w:rsidRPr="009F43DE">
        <w:rPr>
          <w:color w:val="000000"/>
          <w:lang w:val="fr-CH"/>
        </w:rPr>
        <w:t>la traite d</w:t>
      </w:r>
      <w:r w:rsidR="00F8384A" w:rsidRPr="009F43DE">
        <w:rPr>
          <w:color w:val="000000"/>
          <w:lang w:val="fr-CH"/>
        </w:rPr>
        <w:t>’</w:t>
      </w:r>
      <w:r w:rsidR="00324B5A" w:rsidRPr="009F43DE">
        <w:rPr>
          <w:color w:val="000000"/>
          <w:lang w:val="fr-CH"/>
        </w:rPr>
        <w:t>êtres humains et à s</w:t>
      </w:r>
      <w:r w:rsidRPr="009F43DE">
        <w:rPr>
          <w:color w:val="000000"/>
          <w:lang w:val="fr-CH"/>
        </w:rPr>
        <w:t xml:space="preserve">es </w:t>
      </w:r>
      <w:r w:rsidR="00324B5A" w:rsidRPr="009F43DE">
        <w:rPr>
          <w:color w:val="000000"/>
          <w:lang w:val="fr-CH"/>
        </w:rPr>
        <w:t>règles ainsi qu</w:t>
      </w:r>
      <w:r w:rsidR="00F8384A" w:rsidRPr="009F43DE">
        <w:rPr>
          <w:color w:val="000000"/>
          <w:lang w:val="fr-CH"/>
        </w:rPr>
        <w:t>’</w:t>
      </w:r>
      <w:r w:rsidR="00324B5A" w:rsidRPr="009F43DE">
        <w:rPr>
          <w:color w:val="000000"/>
          <w:lang w:val="fr-CH"/>
        </w:rPr>
        <w:t>à la nécessité d</w:t>
      </w:r>
      <w:r w:rsidR="00F8384A" w:rsidRPr="009F43DE">
        <w:rPr>
          <w:color w:val="000000"/>
          <w:lang w:val="fr-CH"/>
        </w:rPr>
        <w:t>’</w:t>
      </w:r>
      <w:r w:rsidR="00324B5A" w:rsidRPr="009F43DE">
        <w:rPr>
          <w:color w:val="000000"/>
          <w:lang w:val="fr-CH"/>
        </w:rPr>
        <w:t>identifier l</w:t>
      </w:r>
      <w:r w:rsidRPr="009F43DE">
        <w:rPr>
          <w:color w:val="000000"/>
          <w:lang w:val="fr-CH"/>
        </w:rPr>
        <w:t xml:space="preserve">es victimes et </w:t>
      </w:r>
      <w:r w:rsidR="00324B5A" w:rsidRPr="009F43DE">
        <w:rPr>
          <w:color w:val="000000"/>
          <w:lang w:val="fr-CH"/>
        </w:rPr>
        <w:t>de leur</w:t>
      </w:r>
      <w:r w:rsidRPr="009F43DE">
        <w:rPr>
          <w:color w:val="000000"/>
          <w:lang w:val="fr-CH"/>
        </w:rPr>
        <w:t xml:space="preserve"> fourni</w:t>
      </w:r>
      <w:r w:rsidR="00324B5A" w:rsidRPr="009F43DE">
        <w:rPr>
          <w:color w:val="000000"/>
          <w:lang w:val="fr-CH"/>
        </w:rPr>
        <w:t>r des</w:t>
      </w:r>
      <w:r w:rsidRPr="009F43DE">
        <w:rPr>
          <w:color w:val="000000"/>
          <w:lang w:val="fr-CH"/>
        </w:rPr>
        <w:t xml:space="preserve"> services de protection et d</w:t>
      </w:r>
      <w:r w:rsidR="00F8384A" w:rsidRPr="009F43DE">
        <w:rPr>
          <w:color w:val="000000"/>
          <w:lang w:val="fr-CH"/>
        </w:rPr>
        <w:t>’</w:t>
      </w:r>
      <w:r w:rsidRPr="009F43DE">
        <w:rPr>
          <w:color w:val="000000"/>
          <w:lang w:val="fr-CH"/>
        </w:rPr>
        <w:t>orientation.</w:t>
      </w:r>
    </w:p>
    <w:p w:rsidR="00C77E1E" w:rsidRPr="009F43DE" w:rsidRDefault="00C77E1E" w:rsidP="00C77E1E">
      <w:pPr>
        <w:pStyle w:val="SingleTxtG"/>
        <w:rPr>
          <w:lang w:val="fr-CH"/>
        </w:rPr>
      </w:pPr>
      <w:r w:rsidRPr="009F43DE">
        <w:rPr>
          <w:lang w:val="fr-CH"/>
        </w:rPr>
        <w:t>84.</w:t>
      </w:r>
      <w:r w:rsidRPr="009F43DE">
        <w:rPr>
          <w:lang w:val="fr-CH"/>
        </w:rPr>
        <w:tab/>
        <w:t xml:space="preserve">Le Ministère </w:t>
      </w:r>
      <w:r w:rsidR="00324B5A" w:rsidRPr="009F43DE">
        <w:rPr>
          <w:lang w:val="fr-CH"/>
        </w:rPr>
        <w:t>chargé de l</w:t>
      </w:r>
      <w:r w:rsidR="00F8384A" w:rsidRPr="009F43DE">
        <w:rPr>
          <w:lang w:val="fr-CH"/>
        </w:rPr>
        <w:t>’</w:t>
      </w:r>
      <w:r w:rsidR="00324B5A" w:rsidRPr="009F43DE">
        <w:rPr>
          <w:lang w:val="fr-CH"/>
        </w:rPr>
        <w:t>e</w:t>
      </w:r>
      <w:r w:rsidRPr="009F43DE">
        <w:rPr>
          <w:lang w:val="fr-CH"/>
        </w:rPr>
        <w:t>mploi à l</w:t>
      </w:r>
      <w:r w:rsidR="00F8384A" w:rsidRPr="009F43DE">
        <w:rPr>
          <w:lang w:val="fr-CH"/>
        </w:rPr>
        <w:t>’</w:t>
      </w:r>
      <w:r w:rsidRPr="009F43DE">
        <w:rPr>
          <w:lang w:val="fr-CH"/>
        </w:rPr>
        <w:t xml:space="preserve">étranger a mis en place une organisation </w:t>
      </w:r>
      <w:r w:rsidR="00324B5A" w:rsidRPr="009F43DE">
        <w:rPr>
          <w:lang w:val="fr-CH"/>
        </w:rPr>
        <w:t>couvrant l</w:t>
      </w:r>
      <w:r w:rsidR="00F8384A" w:rsidRPr="009F43DE">
        <w:rPr>
          <w:lang w:val="fr-CH"/>
        </w:rPr>
        <w:t>’</w:t>
      </w:r>
      <w:r w:rsidR="00324B5A" w:rsidRPr="009F43DE">
        <w:rPr>
          <w:lang w:val="fr-CH"/>
        </w:rPr>
        <w:t>ensemble de l</w:t>
      </w:r>
      <w:r w:rsidR="00F8384A" w:rsidRPr="009F43DE">
        <w:rPr>
          <w:lang w:val="fr-CH"/>
        </w:rPr>
        <w:t>’</w:t>
      </w:r>
      <w:r w:rsidR="00324B5A" w:rsidRPr="009F43DE">
        <w:rPr>
          <w:lang w:val="fr-CH"/>
        </w:rPr>
        <w:t>île, la</w:t>
      </w:r>
      <w:r w:rsidRPr="009F43DE">
        <w:rPr>
          <w:lang w:val="fr-CH"/>
        </w:rPr>
        <w:t xml:space="preserve"> </w:t>
      </w:r>
      <w:r w:rsidR="00F8384A" w:rsidRPr="009F43DE">
        <w:rPr>
          <w:lang w:val="fr-CH"/>
        </w:rPr>
        <w:t>«</w:t>
      </w:r>
      <w:r w:rsidRPr="009F43DE">
        <w:rPr>
          <w:lang w:val="fr-CH"/>
        </w:rPr>
        <w:t>Fondation Rataviruwo</w:t>
      </w:r>
      <w:r w:rsidR="00F8384A" w:rsidRPr="009F43DE">
        <w:rPr>
          <w:lang w:val="fr-CH"/>
        </w:rPr>
        <w:t>»</w:t>
      </w:r>
      <w:r w:rsidR="00324B5A" w:rsidRPr="009F43DE">
        <w:rPr>
          <w:lang w:val="fr-CH"/>
        </w:rPr>
        <w:t>, qui a pour mission de</w:t>
      </w:r>
      <w:r w:rsidRPr="009F43DE">
        <w:rPr>
          <w:lang w:val="fr-CH"/>
        </w:rPr>
        <w:t xml:space="preserve"> promo</w:t>
      </w:r>
      <w:r w:rsidR="00324B5A" w:rsidRPr="009F43DE">
        <w:rPr>
          <w:lang w:val="fr-CH"/>
        </w:rPr>
        <w:t>uvoir les</w:t>
      </w:r>
      <w:r w:rsidRPr="009F43DE">
        <w:rPr>
          <w:lang w:val="fr-CH"/>
        </w:rPr>
        <w:t xml:space="preserve"> droits économiques, sociaux et culturels des travailleurs migrants et de leur famille </w:t>
      </w:r>
      <w:r w:rsidR="00324B5A" w:rsidRPr="009F43DE">
        <w:rPr>
          <w:lang w:val="fr-CH"/>
        </w:rPr>
        <w:t>restée à</w:t>
      </w:r>
      <w:r w:rsidRPr="009F43DE">
        <w:rPr>
          <w:lang w:val="fr-CH"/>
        </w:rPr>
        <w:t xml:space="preserve"> Sri Lanka. </w:t>
      </w:r>
      <w:r w:rsidR="00324B5A" w:rsidRPr="009F43DE">
        <w:rPr>
          <w:lang w:val="fr-CH"/>
        </w:rPr>
        <w:t xml:space="preserve">Cette </w:t>
      </w:r>
      <w:r w:rsidRPr="009F43DE">
        <w:rPr>
          <w:lang w:val="fr-CH"/>
        </w:rPr>
        <w:t xml:space="preserve">organisation </w:t>
      </w:r>
      <w:r w:rsidR="00081996" w:rsidRPr="009F43DE">
        <w:rPr>
          <w:lang w:val="fr-CH"/>
        </w:rPr>
        <w:t>s</w:t>
      </w:r>
      <w:r w:rsidR="00F8384A" w:rsidRPr="009F43DE">
        <w:rPr>
          <w:lang w:val="fr-CH"/>
        </w:rPr>
        <w:t>’</w:t>
      </w:r>
      <w:r w:rsidR="00081996" w:rsidRPr="009F43DE">
        <w:rPr>
          <w:lang w:val="fr-CH"/>
        </w:rPr>
        <w:t xml:space="preserve">est employée à mettre </w:t>
      </w:r>
      <w:r w:rsidRPr="009F43DE">
        <w:rPr>
          <w:lang w:val="fr-CH"/>
        </w:rPr>
        <w:t>en œuvre de</w:t>
      </w:r>
      <w:r w:rsidR="00081996" w:rsidRPr="009F43DE">
        <w:rPr>
          <w:lang w:val="fr-CH"/>
        </w:rPr>
        <w:t>s</w:t>
      </w:r>
      <w:r w:rsidRPr="009F43DE">
        <w:rPr>
          <w:lang w:val="fr-CH"/>
        </w:rPr>
        <w:t xml:space="preserve"> programmes </w:t>
      </w:r>
      <w:r w:rsidR="00A14E69" w:rsidRPr="009F43DE">
        <w:rPr>
          <w:lang w:val="fr-CH"/>
        </w:rPr>
        <w:t>d</w:t>
      </w:r>
      <w:r w:rsidR="00F8384A" w:rsidRPr="009F43DE">
        <w:rPr>
          <w:lang w:val="fr-CH"/>
        </w:rPr>
        <w:t>’</w:t>
      </w:r>
      <w:r w:rsidR="00A14E69" w:rsidRPr="009F43DE">
        <w:rPr>
          <w:lang w:val="fr-CH"/>
        </w:rPr>
        <w:t xml:space="preserve">aménagement de logements pour les travailleurs migrants ainsi que des programmes de </w:t>
      </w:r>
      <w:r w:rsidRPr="009F43DE">
        <w:rPr>
          <w:lang w:val="fr-CH"/>
        </w:rPr>
        <w:t>bourses pour le</w:t>
      </w:r>
      <w:r w:rsidR="00A14E69" w:rsidRPr="009F43DE">
        <w:rPr>
          <w:lang w:val="fr-CH"/>
        </w:rPr>
        <w:t>ur</w:t>
      </w:r>
      <w:r w:rsidRPr="009F43DE">
        <w:rPr>
          <w:lang w:val="fr-CH"/>
        </w:rPr>
        <w:t>s enfants</w:t>
      </w:r>
      <w:r w:rsidR="00A14E69" w:rsidRPr="009F43DE">
        <w:rPr>
          <w:lang w:val="fr-CH"/>
        </w:rPr>
        <w:t>, entre autres. Par ailleurs,</w:t>
      </w:r>
      <w:r w:rsidRPr="009F43DE">
        <w:rPr>
          <w:lang w:val="fr-CH"/>
        </w:rPr>
        <w:t xml:space="preserve"> le </w:t>
      </w:r>
      <w:r w:rsidR="000C5543" w:rsidRPr="009F43DE">
        <w:rPr>
          <w:lang w:val="fr-CH"/>
        </w:rPr>
        <w:t xml:space="preserve">Ministère </w:t>
      </w:r>
      <w:r w:rsidRPr="009F43DE">
        <w:rPr>
          <w:lang w:val="fr-CH"/>
        </w:rPr>
        <w:t xml:space="preserve">a </w:t>
      </w:r>
      <w:r w:rsidR="004407A6" w:rsidRPr="009F43DE">
        <w:rPr>
          <w:lang w:val="fr-CH"/>
        </w:rPr>
        <w:t>créé</w:t>
      </w:r>
      <w:r w:rsidRPr="009F43DE">
        <w:rPr>
          <w:lang w:val="fr-CH"/>
        </w:rPr>
        <w:t xml:space="preserve"> dans chaque district des centres de ressources pour répondre aux besoins des travailleurs migrants.</w:t>
      </w:r>
    </w:p>
    <w:p w:rsidR="00C77E1E" w:rsidRPr="009F43DE" w:rsidRDefault="00C77E1E" w:rsidP="00C77E1E">
      <w:pPr>
        <w:pStyle w:val="H23G"/>
        <w:rPr>
          <w:lang w:val="fr-CH"/>
        </w:rPr>
      </w:pPr>
      <w:r w:rsidRPr="009F43DE">
        <w:rPr>
          <w:lang w:val="fr-CH"/>
        </w:rPr>
        <w:tab/>
      </w:r>
      <w:r w:rsidRPr="009F43DE">
        <w:rPr>
          <w:lang w:val="fr-CH"/>
        </w:rPr>
        <w:tab/>
        <w:t>Liberté d</w:t>
      </w:r>
      <w:r w:rsidR="00F8384A" w:rsidRPr="009F43DE">
        <w:rPr>
          <w:lang w:val="fr-CH"/>
        </w:rPr>
        <w:t>’</w:t>
      </w:r>
      <w:r w:rsidRPr="009F43DE">
        <w:rPr>
          <w:lang w:val="fr-CH"/>
        </w:rPr>
        <w:t xml:space="preserve">association et activités des syndicats </w:t>
      </w:r>
      <w:r w:rsidR="00363BB7">
        <w:rPr>
          <w:lang w:val="fr-CH"/>
        </w:rPr>
        <w:t>(</w:t>
      </w:r>
      <w:r w:rsidR="004407A6" w:rsidRPr="009F43DE">
        <w:rPr>
          <w:lang w:val="fr-CH"/>
        </w:rPr>
        <w:t>p</w:t>
      </w:r>
      <w:r w:rsidRPr="009F43DE">
        <w:rPr>
          <w:lang w:val="fr-CH"/>
        </w:rPr>
        <w:t>ar</w:t>
      </w:r>
      <w:r w:rsidR="00363BB7">
        <w:rPr>
          <w:lang w:val="fr-CH"/>
        </w:rPr>
        <w:t>.</w:t>
      </w:r>
      <w:r w:rsidRPr="009F43DE">
        <w:rPr>
          <w:lang w:val="fr-CH"/>
        </w:rPr>
        <w:t xml:space="preserve"> 22</w:t>
      </w:r>
      <w:r w:rsidR="00363BB7">
        <w:rPr>
          <w:lang w:val="fr-CH"/>
        </w:rPr>
        <w:t>)</w:t>
      </w:r>
    </w:p>
    <w:p w:rsidR="00C77E1E" w:rsidRPr="009F43DE" w:rsidRDefault="00C77E1E" w:rsidP="00C77E1E">
      <w:pPr>
        <w:pStyle w:val="SingleTxtG"/>
        <w:rPr>
          <w:lang w:val="fr-CH"/>
        </w:rPr>
      </w:pPr>
      <w:r w:rsidRPr="009F43DE">
        <w:rPr>
          <w:lang w:val="fr-CH"/>
        </w:rPr>
        <w:t>85.</w:t>
      </w:r>
      <w:r w:rsidRPr="009F43DE">
        <w:rPr>
          <w:lang w:val="fr-CH"/>
        </w:rPr>
        <w:tab/>
        <w:t>Sri Lanka reconnaît et respecte pleinement la liberté d</w:t>
      </w:r>
      <w:r w:rsidR="00F8384A" w:rsidRPr="009F43DE">
        <w:rPr>
          <w:lang w:val="fr-CH"/>
        </w:rPr>
        <w:t>’</w:t>
      </w:r>
      <w:r w:rsidRPr="009F43DE">
        <w:rPr>
          <w:lang w:val="fr-CH"/>
        </w:rPr>
        <w:t>association et l</w:t>
      </w:r>
      <w:r w:rsidR="00F8384A" w:rsidRPr="009F43DE">
        <w:rPr>
          <w:lang w:val="fr-CH"/>
        </w:rPr>
        <w:t>’</w:t>
      </w:r>
      <w:r w:rsidRPr="009F43DE">
        <w:rPr>
          <w:lang w:val="fr-CH"/>
        </w:rPr>
        <w:t>a</w:t>
      </w:r>
      <w:r w:rsidR="004407A6" w:rsidRPr="009F43DE">
        <w:rPr>
          <w:lang w:val="fr-CH"/>
        </w:rPr>
        <w:t xml:space="preserve">linéa </w:t>
      </w:r>
      <w:r w:rsidR="004407A6" w:rsidRPr="00363BB7">
        <w:rPr>
          <w:i/>
          <w:lang w:val="fr-CH"/>
        </w:rPr>
        <w:t>a</w:t>
      </w:r>
      <w:r w:rsidR="004407A6" w:rsidRPr="009F43DE">
        <w:rPr>
          <w:lang w:val="fr-CH"/>
        </w:rPr>
        <w:t xml:space="preserve"> du paragraphe 1 de</w:t>
      </w:r>
      <w:r w:rsidRPr="009F43DE">
        <w:rPr>
          <w:lang w:val="fr-CH"/>
        </w:rPr>
        <w:t xml:space="preserve"> l</w:t>
      </w:r>
      <w:r w:rsidR="00F8384A" w:rsidRPr="009F43DE">
        <w:rPr>
          <w:lang w:val="fr-CH"/>
        </w:rPr>
        <w:t>’</w:t>
      </w:r>
      <w:r w:rsidRPr="009F43DE">
        <w:rPr>
          <w:lang w:val="fr-CH"/>
        </w:rPr>
        <w:t xml:space="preserve">article 14 de la Constitution </w:t>
      </w:r>
      <w:r w:rsidR="00C46596" w:rsidRPr="009F43DE">
        <w:rPr>
          <w:lang w:val="fr-CH"/>
        </w:rPr>
        <w:t xml:space="preserve">établit </w:t>
      </w:r>
      <w:r w:rsidRPr="009F43DE">
        <w:rPr>
          <w:lang w:val="fr-CH"/>
        </w:rPr>
        <w:t>la liberté de constituer des syndicats et d</w:t>
      </w:r>
      <w:r w:rsidR="004407A6" w:rsidRPr="009F43DE">
        <w:rPr>
          <w:lang w:val="fr-CH"/>
        </w:rPr>
        <w:t>e s</w:t>
      </w:r>
      <w:r w:rsidR="00F8384A" w:rsidRPr="009F43DE">
        <w:rPr>
          <w:lang w:val="fr-CH"/>
        </w:rPr>
        <w:t>’</w:t>
      </w:r>
      <w:r w:rsidRPr="009F43DE">
        <w:rPr>
          <w:lang w:val="fr-CH"/>
        </w:rPr>
        <w:t>y a</w:t>
      </w:r>
      <w:r w:rsidR="004407A6" w:rsidRPr="009F43DE">
        <w:rPr>
          <w:lang w:val="fr-CH"/>
        </w:rPr>
        <w:t>ffilier</w:t>
      </w:r>
      <w:r w:rsidRPr="009F43DE">
        <w:rPr>
          <w:lang w:val="fr-CH"/>
        </w:rPr>
        <w:t xml:space="preserve">. En outre, </w:t>
      </w:r>
      <w:r w:rsidR="004407A6" w:rsidRPr="009F43DE">
        <w:rPr>
          <w:lang w:val="fr-CH"/>
        </w:rPr>
        <w:t xml:space="preserve">plusieurs </w:t>
      </w:r>
      <w:r w:rsidR="00003F4A" w:rsidRPr="009F43DE">
        <w:rPr>
          <w:lang w:val="fr-CH"/>
        </w:rPr>
        <w:t>mesures</w:t>
      </w:r>
      <w:r w:rsidR="00C46596" w:rsidRPr="009F43DE">
        <w:rPr>
          <w:lang w:val="fr-CH"/>
        </w:rPr>
        <w:t xml:space="preserve"> </w:t>
      </w:r>
      <w:r w:rsidR="004407A6" w:rsidRPr="009F43DE">
        <w:rPr>
          <w:lang w:val="fr-CH"/>
        </w:rPr>
        <w:t xml:space="preserve">ont été </w:t>
      </w:r>
      <w:r w:rsidR="00C46596" w:rsidRPr="009F43DE">
        <w:rPr>
          <w:lang w:val="fr-CH"/>
        </w:rPr>
        <w:t>prises</w:t>
      </w:r>
      <w:r w:rsidR="004407A6" w:rsidRPr="009F43DE">
        <w:rPr>
          <w:lang w:val="fr-CH"/>
        </w:rPr>
        <w:t xml:space="preserve"> pour </w:t>
      </w:r>
      <w:r w:rsidR="00003F4A" w:rsidRPr="009F43DE">
        <w:rPr>
          <w:lang w:val="fr-CH"/>
        </w:rPr>
        <w:t>assurer le</w:t>
      </w:r>
      <w:r w:rsidR="004407A6" w:rsidRPr="009F43DE">
        <w:rPr>
          <w:lang w:val="fr-CH"/>
        </w:rPr>
        <w:t xml:space="preserve"> respect de la liberté syndicale dans le secteur privé</w:t>
      </w:r>
      <w:r w:rsidR="00003F4A" w:rsidRPr="009F43DE">
        <w:rPr>
          <w:lang w:val="fr-CH"/>
        </w:rPr>
        <w:t xml:space="preserve">, </w:t>
      </w:r>
      <w:r w:rsidR="00C46596" w:rsidRPr="009F43DE">
        <w:rPr>
          <w:lang w:val="fr-CH"/>
        </w:rPr>
        <w:t>comme</w:t>
      </w:r>
      <w:r w:rsidRPr="009F43DE">
        <w:rPr>
          <w:lang w:val="fr-CH"/>
        </w:rPr>
        <w:t xml:space="preserve"> la création de centres de facilitation dans les zones franches </w:t>
      </w:r>
      <w:r w:rsidR="00C46596" w:rsidRPr="009F43DE">
        <w:rPr>
          <w:lang w:val="fr-CH"/>
        </w:rPr>
        <w:t>pour l</w:t>
      </w:r>
      <w:r w:rsidR="00F8384A" w:rsidRPr="009F43DE">
        <w:rPr>
          <w:lang w:val="fr-CH"/>
        </w:rPr>
        <w:t>’</w:t>
      </w:r>
      <w:r w:rsidR="00C46596" w:rsidRPr="009F43DE">
        <w:rPr>
          <w:lang w:val="fr-CH"/>
        </w:rPr>
        <w:t xml:space="preserve">industrie </w:t>
      </w:r>
      <w:r w:rsidRPr="009F43DE">
        <w:rPr>
          <w:lang w:val="fr-CH"/>
        </w:rPr>
        <w:t>d</w:t>
      </w:r>
      <w:r w:rsidR="00F8384A" w:rsidRPr="009F43DE">
        <w:rPr>
          <w:lang w:val="fr-CH"/>
        </w:rPr>
        <w:t>’</w:t>
      </w:r>
      <w:r w:rsidRPr="009F43DE">
        <w:rPr>
          <w:lang w:val="fr-CH"/>
        </w:rPr>
        <w:t>exportation (en vue de promouvoir et de garantir la liberté d</w:t>
      </w:r>
      <w:r w:rsidR="00F8384A" w:rsidRPr="009F43DE">
        <w:rPr>
          <w:lang w:val="fr-CH"/>
        </w:rPr>
        <w:t>’</w:t>
      </w:r>
      <w:r w:rsidRPr="009F43DE">
        <w:rPr>
          <w:lang w:val="fr-CH"/>
        </w:rPr>
        <w:t>association), le renforcement de la procédure d</w:t>
      </w:r>
      <w:r w:rsidR="00F8384A" w:rsidRPr="009F43DE">
        <w:rPr>
          <w:lang w:val="fr-CH"/>
        </w:rPr>
        <w:t>’</w:t>
      </w:r>
      <w:r w:rsidRPr="009F43DE">
        <w:rPr>
          <w:lang w:val="fr-CH"/>
        </w:rPr>
        <w:t xml:space="preserve">enquête </w:t>
      </w:r>
      <w:r w:rsidR="00C46596" w:rsidRPr="009F43DE">
        <w:rPr>
          <w:lang w:val="fr-CH"/>
        </w:rPr>
        <w:t>sur</w:t>
      </w:r>
      <w:r w:rsidRPr="009F43DE">
        <w:rPr>
          <w:lang w:val="fr-CH"/>
        </w:rPr>
        <w:t xml:space="preserve"> les pratiques déloyale</w:t>
      </w:r>
      <w:r w:rsidR="00C46596" w:rsidRPr="009F43DE">
        <w:rPr>
          <w:lang w:val="fr-CH"/>
        </w:rPr>
        <w:t>s</w:t>
      </w:r>
      <w:r w:rsidRPr="009F43DE">
        <w:rPr>
          <w:lang w:val="fr-CH"/>
        </w:rPr>
        <w:t xml:space="preserve"> de travail</w:t>
      </w:r>
      <w:r w:rsidR="00C46596" w:rsidRPr="009F43DE">
        <w:rPr>
          <w:lang w:val="fr-CH"/>
        </w:rPr>
        <w:t xml:space="preserve"> et</w:t>
      </w:r>
      <w:r w:rsidRPr="009F43DE">
        <w:rPr>
          <w:lang w:val="fr-CH"/>
        </w:rPr>
        <w:t xml:space="preserve"> le rattrapage des retards dans la poursuite de ces pratiques</w:t>
      </w:r>
      <w:r w:rsidR="00C46596" w:rsidRPr="009F43DE">
        <w:rPr>
          <w:lang w:val="fr-CH"/>
        </w:rPr>
        <w:t>.</w:t>
      </w:r>
    </w:p>
    <w:p w:rsidR="00C77E1E" w:rsidRPr="009F43DE" w:rsidRDefault="00C77E1E" w:rsidP="00C77E1E">
      <w:pPr>
        <w:pStyle w:val="SingleTxtG"/>
        <w:rPr>
          <w:lang w:val="fr-CH"/>
        </w:rPr>
      </w:pPr>
      <w:r w:rsidRPr="009F43DE">
        <w:rPr>
          <w:lang w:val="fr-CH"/>
        </w:rPr>
        <w:t>86.</w:t>
      </w:r>
      <w:r w:rsidRPr="009F43DE">
        <w:rPr>
          <w:lang w:val="fr-CH"/>
        </w:rPr>
        <w:tab/>
        <w:t>Aux termes de l</w:t>
      </w:r>
      <w:r w:rsidR="00F8384A" w:rsidRPr="009F43DE">
        <w:rPr>
          <w:lang w:val="fr-CH"/>
        </w:rPr>
        <w:t>’</w:t>
      </w:r>
      <w:r w:rsidRPr="009F43DE">
        <w:rPr>
          <w:lang w:val="fr-CH"/>
        </w:rPr>
        <w:t xml:space="preserve">article 32 A de la loi </w:t>
      </w:r>
      <w:r w:rsidR="00363BB7">
        <w:rPr>
          <w:lang w:val="fr-CH"/>
        </w:rPr>
        <w:t>n</w:t>
      </w:r>
      <w:r w:rsidR="00363BB7" w:rsidRPr="001D6B83">
        <w:rPr>
          <w:vertAlign w:val="superscript"/>
          <w:lang w:val="fr-CH"/>
        </w:rPr>
        <w:t>o</w:t>
      </w:r>
      <w:r w:rsidR="00C46596" w:rsidRPr="009F43DE">
        <w:rPr>
          <w:lang w:val="fr-CH"/>
        </w:rPr>
        <w:t> </w:t>
      </w:r>
      <w:r w:rsidRPr="009F43DE">
        <w:rPr>
          <w:lang w:val="fr-CH"/>
        </w:rPr>
        <w:t xml:space="preserve">43 de 1950 sur les conflits </w:t>
      </w:r>
      <w:r w:rsidR="00C46596" w:rsidRPr="009F43DE">
        <w:rPr>
          <w:lang w:val="fr-CH"/>
        </w:rPr>
        <w:t>du travail</w:t>
      </w:r>
      <w:r w:rsidRPr="009F43DE">
        <w:rPr>
          <w:lang w:val="fr-CH"/>
        </w:rPr>
        <w:t xml:space="preserve">, le fait </w:t>
      </w:r>
      <w:r w:rsidR="00C46596" w:rsidRPr="009F43DE">
        <w:rPr>
          <w:lang w:val="fr-CH"/>
        </w:rPr>
        <w:t>pour un</w:t>
      </w:r>
      <w:r w:rsidRPr="009F43DE">
        <w:rPr>
          <w:lang w:val="fr-CH"/>
        </w:rPr>
        <w:t xml:space="preserve"> employeur </w:t>
      </w:r>
      <w:r w:rsidR="00C46596" w:rsidRPr="009F43DE">
        <w:rPr>
          <w:lang w:val="fr-CH"/>
        </w:rPr>
        <w:t xml:space="preserve">de </w:t>
      </w:r>
      <w:r w:rsidRPr="009F43DE">
        <w:rPr>
          <w:lang w:val="fr-CH"/>
        </w:rPr>
        <w:t>contrai</w:t>
      </w:r>
      <w:r w:rsidR="00C46596" w:rsidRPr="009F43DE">
        <w:rPr>
          <w:lang w:val="fr-CH"/>
        </w:rPr>
        <w:t>ndre</w:t>
      </w:r>
      <w:r w:rsidRPr="009F43DE">
        <w:rPr>
          <w:lang w:val="fr-CH"/>
        </w:rPr>
        <w:t>/force</w:t>
      </w:r>
      <w:r w:rsidR="00C46596" w:rsidRPr="009F43DE">
        <w:rPr>
          <w:lang w:val="fr-CH"/>
        </w:rPr>
        <w:t>r</w:t>
      </w:r>
      <w:r w:rsidRPr="009F43DE">
        <w:rPr>
          <w:lang w:val="fr-CH"/>
        </w:rPr>
        <w:t xml:space="preserve"> un </w:t>
      </w:r>
      <w:r w:rsidR="00C46596" w:rsidRPr="009F43DE">
        <w:rPr>
          <w:lang w:val="fr-CH"/>
        </w:rPr>
        <w:t xml:space="preserve">salarié </w:t>
      </w:r>
      <w:r w:rsidR="00974D6D" w:rsidRPr="009F43DE">
        <w:rPr>
          <w:lang w:val="fr-CH"/>
        </w:rPr>
        <w:t xml:space="preserve">potentiel </w:t>
      </w:r>
      <w:r w:rsidR="00C46596" w:rsidRPr="009F43DE">
        <w:rPr>
          <w:lang w:val="fr-CH"/>
        </w:rPr>
        <w:t>à s</w:t>
      </w:r>
      <w:r w:rsidR="00F8384A" w:rsidRPr="009F43DE">
        <w:rPr>
          <w:lang w:val="fr-CH"/>
        </w:rPr>
        <w:t>’</w:t>
      </w:r>
      <w:r w:rsidR="00C46596" w:rsidRPr="009F43DE">
        <w:rPr>
          <w:lang w:val="fr-CH"/>
        </w:rPr>
        <w:t xml:space="preserve">affilier </w:t>
      </w:r>
      <w:r w:rsidRPr="009F43DE">
        <w:rPr>
          <w:lang w:val="fr-CH"/>
        </w:rPr>
        <w:t xml:space="preserve">ou </w:t>
      </w:r>
      <w:r w:rsidR="00974D6D" w:rsidRPr="009F43DE">
        <w:rPr>
          <w:lang w:val="fr-CH"/>
        </w:rPr>
        <w:t xml:space="preserve">à </w:t>
      </w:r>
      <w:r w:rsidRPr="009F43DE">
        <w:rPr>
          <w:lang w:val="fr-CH"/>
        </w:rPr>
        <w:t xml:space="preserve">ne pas </w:t>
      </w:r>
      <w:r w:rsidR="00974D6D" w:rsidRPr="009F43DE">
        <w:rPr>
          <w:lang w:val="fr-CH"/>
        </w:rPr>
        <w:t>s</w:t>
      </w:r>
      <w:r w:rsidR="00F8384A" w:rsidRPr="009F43DE">
        <w:rPr>
          <w:lang w:val="fr-CH"/>
        </w:rPr>
        <w:t>’</w:t>
      </w:r>
      <w:r w:rsidR="00974D6D" w:rsidRPr="009F43DE">
        <w:rPr>
          <w:lang w:val="fr-CH"/>
        </w:rPr>
        <w:t>affilier à</w:t>
      </w:r>
      <w:r w:rsidRPr="009F43DE">
        <w:rPr>
          <w:lang w:val="fr-CH"/>
        </w:rPr>
        <w:t xml:space="preserve"> un syndicat</w:t>
      </w:r>
      <w:r w:rsidR="00974D6D" w:rsidRPr="009F43DE">
        <w:rPr>
          <w:lang w:val="fr-CH"/>
        </w:rPr>
        <w:t xml:space="preserve">, sous peine de non-embauche, </w:t>
      </w:r>
      <w:r w:rsidRPr="009F43DE">
        <w:rPr>
          <w:lang w:val="fr-CH"/>
        </w:rPr>
        <w:t>constitue une pratique déloyale de travail.</w:t>
      </w:r>
    </w:p>
    <w:p w:rsidR="00C77E1E" w:rsidRPr="009F43DE" w:rsidRDefault="00C77E1E" w:rsidP="00C77E1E">
      <w:pPr>
        <w:pStyle w:val="H4G"/>
        <w:rPr>
          <w:lang w:val="fr-CH"/>
        </w:rPr>
      </w:pPr>
      <w:r w:rsidRPr="009F43DE">
        <w:rPr>
          <w:rFonts w:eastAsia="Calibri"/>
          <w:lang w:val="fr-CH"/>
        </w:rPr>
        <w:tab/>
      </w:r>
      <w:r w:rsidRPr="009F43DE">
        <w:rPr>
          <w:rFonts w:eastAsia="Calibri"/>
          <w:lang w:val="fr-CH"/>
        </w:rPr>
        <w:tab/>
      </w:r>
      <w:r w:rsidRPr="009F43DE">
        <w:rPr>
          <w:lang w:val="fr-CH"/>
        </w:rPr>
        <w:t xml:space="preserve">Droit de </w:t>
      </w:r>
      <w:r w:rsidR="00B262BD" w:rsidRPr="009F43DE">
        <w:rPr>
          <w:lang w:val="fr-CH"/>
        </w:rPr>
        <w:t xml:space="preserve">constituer </w:t>
      </w:r>
      <w:r w:rsidRPr="009F43DE">
        <w:rPr>
          <w:lang w:val="fr-CH"/>
        </w:rPr>
        <w:t>des syndicats et de s</w:t>
      </w:r>
      <w:r w:rsidR="00F8384A" w:rsidRPr="009F43DE">
        <w:rPr>
          <w:lang w:val="fr-CH"/>
        </w:rPr>
        <w:t>’</w:t>
      </w:r>
      <w:r w:rsidRPr="009F43DE">
        <w:rPr>
          <w:lang w:val="fr-CH"/>
        </w:rPr>
        <w:t>affilier à des syndicats</w:t>
      </w:r>
    </w:p>
    <w:p w:rsidR="00C77E1E" w:rsidRPr="009F43DE" w:rsidRDefault="00C77E1E" w:rsidP="00C77E1E">
      <w:pPr>
        <w:pStyle w:val="SingleTxtG"/>
        <w:rPr>
          <w:lang w:val="fr-CH"/>
        </w:rPr>
      </w:pPr>
      <w:r w:rsidRPr="009F43DE">
        <w:rPr>
          <w:lang w:val="fr-CH"/>
        </w:rPr>
        <w:t>87.</w:t>
      </w:r>
      <w:r w:rsidRPr="009F43DE">
        <w:rPr>
          <w:lang w:val="fr-CH"/>
        </w:rPr>
        <w:tab/>
      </w:r>
      <w:r w:rsidRPr="009F43DE">
        <w:rPr>
          <w:color w:val="000000"/>
          <w:lang w:val="fr-CH"/>
        </w:rPr>
        <w:t>L</w:t>
      </w:r>
      <w:r w:rsidR="00F8384A" w:rsidRPr="009F43DE">
        <w:rPr>
          <w:color w:val="000000"/>
          <w:lang w:val="fr-CH"/>
        </w:rPr>
        <w:t>’</w:t>
      </w:r>
      <w:r w:rsidR="00974D6D" w:rsidRPr="009F43DE">
        <w:rPr>
          <w:color w:val="000000"/>
          <w:lang w:val="fr-CH"/>
        </w:rPr>
        <w:t>o</w:t>
      </w:r>
      <w:r w:rsidRPr="009F43DE">
        <w:rPr>
          <w:color w:val="000000"/>
          <w:lang w:val="fr-CH"/>
        </w:rPr>
        <w:t>rdonnance de 1935 sur les syndicats définit</w:t>
      </w:r>
      <w:r w:rsidR="00EF1D43">
        <w:rPr>
          <w:color w:val="000000"/>
          <w:lang w:val="fr-CH"/>
        </w:rPr>
        <w:t>,</w:t>
      </w:r>
      <w:r w:rsidRPr="009F43DE">
        <w:rPr>
          <w:color w:val="000000"/>
          <w:lang w:val="fr-CH"/>
        </w:rPr>
        <w:t xml:space="preserve"> dans son article 2</w:t>
      </w:r>
      <w:r w:rsidR="00EF1D43">
        <w:rPr>
          <w:color w:val="000000"/>
          <w:lang w:val="fr-CH"/>
        </w:rPr>
        <w:t>,</w:t>
      </w:r>
      <w:r w:rsidRPr="009F43DE">
        <w:rPr>
          <w:color w:val="000000"/>
          <w:lang w:val="fr-CH"/>
        </w:rPr>
        <w:t xml:space="preserve"> un syndicat comme toute association ou </w:t>
      </w:r>
      <w:r w:rsidR="00644268" w:rsidRPr="009F43DE">
        <w:rPr>
          <w:color w:val="000000"/>
          <w:lang w:val="fr-CH"/>
        </w:rPr>
        <w:t>groupement</w:t>
      </w:r>
      <w:r w:rsidRPr="009F43DE">
        <w:rPr>
          <w:color w:val="000000"/>
          <w:lang w:val="fr-CH"/>
        </w:rPr>
        <w:t xml:space="preserve"> temporaire ou permanent de travailleurs ou d</w:t>
      </w:r>
      <w:r w:rsidR="00F8384A" w:rsidRPr="009F43DE">
        <w:rPr>
          <w:color w:val="000000"/>
          <w:lang w:val="fr-CH"/>
        </w:rPr>
        <w:t>’</w:t>
      </w:r>
      <w:r w:rsidRPr="009F43DE">
        <w:rPr>
          <w:color w:val="000000"/>
          <w:lang w:val="fr-CH"/>
        </w:rPr>
        <w:t xml:space="preserve">employeurs </w:t>
      </w:r>
      <w:r w:rsidR="00644268" w:rsidRPr="009F43DE">
        <w:rPr>
          <w:color w:val="000000"/>
          <w:lang w:val="fr-CH"/>
        </w:rPr>
        <w:t>ayant un ou plusieurs des</w:t>
      </w:r>
      <w:r w:rsidRPr="009F43DE">
        <w:rPr>
          <w:color w:val="000000"/>
          <w:lang w:val="fr-CH"/>
        </w:rPr>
        <w:t xml:space="preserve"> obje</w:t>
      </w:r>
      <w:r w:rsidR="00974D6D" w:rsidRPr="009F43DE">
        <w:rPr>
          <w:color w:val="000000"/>
          <w:lang w:val="fr-CH"/>
        </w:rPr>
        <w:t>ctifs</w:t>
      </w:r>
      <w:r w:rsidRPr="009F43DE">
        <w:rPr>
          <w:color w:val="000000"/>
          <w:lang w:val="fr-CH"/>
        </w:rPr>
        <w:t xml:space="preserve"> prévus dans</w:t>
      </w:r>
      <w:r w:rsidRPr="009F43DE">
        <w:rPr>
          <w:lang w:val="fr-CH"/>
        </w:rPr>
        <w:t xml:space="preserve"> l</w:t>
      </w:r>
      <w:r w:rsidR="00F8384A" w:rsidRPr="009F43DE">
        <w:rPr>
          <w:lang w:val="fr-CH"/>
        </w:rPr>
        <w:t>’</w:t>
      </w:r>
      <w:r w:rsidR="00974D6D" w:rsidRPr="009F43DE">
        <w:rPr>
          <w:lang w:val="fr-CH"/>
        </w:rPr>
        <w:t>o</w:t>
      </w:r>
      <w:r w:rsidRPr="009F43DE">
        <w:rPr>
          <w:lang w:val="fr-CH"/>
        </w:rPr>
        <w:t>rdonnance</w:t>
      </w:r>
      <w:r w:rsidRPr="00C7262B">
        <w:rPr>
          <w:rStyle w:val="FootnoteReference"/>
        </w:rPr>
        <w:footnoteReference w:id="7"/>
      </w:r>
      <w:r w:rsidR="00C7262B">
        <w:rPr>
          <w:lang w:val="fr-CH"/>
        </w:rPr>
        <w:t>.</w:t>
      </w:r>
      <w:r w:rsidRPr="009F43DE">
        <w:rPr>
          <w:lang w:val="fr-CH"/>
        </w:rPr>
        <w:t xml:space="preserve"> </w:t>
      </w:r>
    </w:p>
    <w:p w:rsidR="00C77E1E" w:rsidRPr="009F43DE" w:rsidRDefault="00C77E1E" w:rsidP="00C77E1E">
      <w:pPr>
        <w:pStyle w:val="SingleTxtG"/>
        <w:rPr>
          <w:lang w:val="fr-CH"/>
        </w:rPr>
      </w:pPr>
      <w:r w:rsidRPr="009F43DE">
        <w:rPr>
          <w:lang w:val="fr-CH"/>
        </w:rPr>
        <w:t>88.</w:t>
      </w:r>
      <w:r w:rsidRPr="009F43DE">
        <w:rPr>
          <w:lang w:val="fr-CH"/>
        </w:rPr>
        <w:tab/>
      </w:r>
      <w:r w:rsidR="00644268" w:rsidRPr="009F43DE">
        <w:rPr>
          <w:lang w:val="fr-CH"/>
        </w:rPr>
        <w:t>C</w:t>
      </w:r>
      <w:r w:rsidRPr="009F43DE">
        <w:rPr>
          <w:lang w:val="fr-CH"/>
        </w:rPr>
        <w:t>ertain</w:t>
      </w:r>
      <w:r w:rsidR="00644268" w:rsidRPr="009F43DE">
        <w:rPr>
          <w:lang w:val="fr-CH"/>
        </w:rPr>
        <w:t>es</w:t>
      </w:r>
      <w:r w:rsidRPr="009F43DE">
        <w:rPr>
          <w:lang w:val="fr-CH"/>
        </w:rPr>
        <w:t xml:space="preserve"> dispositions de l</w:t>
      </w:r>
      <w:r w:rsidR="00F8384A" w:rsidRPr="009F43DE">
        <w:rPr>
          <w:lang w:val="fr-CH"/>
        </w:rPr>
        <w:t>’</w:t>
      </w:r>
      <w:r w:rsidRPr="009F43DE">
        <w:rPr>
          <w:lang w:val="fr-CH"/>
        </w:rPr>
        <w:t>ordonnance sur les syndicats visent à protéger le droit des syndicats de fonctionner librement. L</w:t>
      </w:r>
      <w:r w:rsidR="00F8384A" w:rsidRPr="009F43DE">
        <w:rPr>
          <w:lang w:val="fr-CH"/>
        </w:rPr>
        <w:t>’</w:t>
      </w:r>
      <w:r w:rsidRPr="009F43DE">
        <w:rPr>
          <w:lang w:val="fr-CH"/>
        </w:rPr>
        <w:t xml:space="preserve">article 26 prévoit une immunité </w:t>
      </w:r>
      <w:r w:rsidR="00E75B79" w:rsidRPr="009F43DE">
        <w:rPr>
          <w:lang w:val="fr-CH"/>
        </w:rPr>
        <w:t>légale des</w:t>
      </w:r>
      <w:r w:rsidRPr="009F43DE">
        <w:rPr>
          <w:lang w:val="fr-CH"/>
        </w:rPr>
        <w:t xml:space="preserve"> syndicats contre </w:t>
      </w:r>
      <w:r w:rsidR="00E75B79" w:rsidRPr="009F43DE">
        <w:rPr>
          <w:lang w:val="fr-CH"/>
        </w:rPr>
        <w:t>une</w:t>
      </w:r>
      <w:r w:rsidRPr="009F43DE">
        <w:rPr>
          <w:lang w:val="fr-CH"/>
        </w:rPr>
        <w:t xml:space="preserve"> action civile dans </w:t>
      </w:r>
      <w:r w:rsidR="00E75B79" w:rsidRPr="009F43DE">
        <w:rPr>
          <w:lang w:val="fr-CH"/>
        </w:rPr>
        <w:t>quelques</w:t>
      </w:r>
      <w:r w:rsidRPr="009F43DE">
        <w:rPr>
          <w:lang w:val="fr-CH"/>
        </w:rPr>
        <w:t xml:space="preserve"> cas. Selon l</w:t>
      </w:r>
      <w:r w:rsidR="00F8384A" w:rsidRPr="009F43DE">
        <w:rPr>
          <w:lang w:val="fr-CH"/>
        </w:rPr>
        <w:t>’</w:t>
      </w:r>
      <w:r w:rsidRPr="009F43DE">
        <w:rPr>
          <w:lang w:val="fr-CH"/>
        </w:rPr>
        <w:t xml:space="preserve">article 29, les </w:t>
      </w:r>
      <w:r w:rsidR="00E75B79" w:rsidRPr="009F43DE">
        <w:rPr>
          <w:lang w:val="fr-CH"/>
        </w:rPr>
        <w:t>objectifs d</w:t>
      </w:r>
      <w:r w:rsidR="00F8384A" w:rsidRPr="009F43DE">
        <w:rPr>
          <w:lang w:val="fr-CH"/>
        </w:rPr>
        <w:t>’</w:t>
      </w:r>
      <w:r w:rsidR="00E75B79" w:rsidRPr="009F43DE">
        <w:rPr>
          <w:lang w:val="fr-CH"/>
        </w:rPr>
        <w:t xml:space="preserve">un syndicat enregistré </w:t>
      </w:r>
      <w:r w:rsidRPr="009F43DE">
        <w:rPr>
          <w:lang w:val="fr-CH"/>
        </w:rPr>
        <w:t xml:space="preserve">ne </w:t>
      </w:r>
      <w:r w:rsidR="00AA0759" w:rsidRPr="009F43DE">
        <w:rPr>
          <w:lang w:val="fr-CH"/>
        </w:rPr>
        <w:t>peuvent</w:t>
      </w:r>
      <w:r w:rsidRPr="009F43DE">
        <w:rPr>
          <w:lang w:val="fr-CH"/>
        </w:rPr>
        <w:t xml:space="preserve"> pas </w:t>
      </w:r>
      <w:r w:rsidR="00AA0759" w:rsidRPr="009F43DE">
        <w:rPr>
          <w:lang w:val="fr-CH"/>
        </w:rPr>
        <w:t xml:space="preserve">être </w:t>
      </w:r>
      <w:r w:rsidRPr="009F43DE">
        <w:rPr>
          <w:lang w:val="fr-CH"/>
        </w:rPr>
        <w:t>considérés comme illégaux du seul fait qu</w:t>
      </w:r>
      <w:r w:rsidR="00F8384A" w:rsidRPr="009F43DE">
        <w:rPr>
          <w:lang w:val="fr-CH"/>
        </w:rPr>
        <w:t>’</w:t>
      </w:r>
      <w:r w:rsidR="00AA0759" w:rsidRPr="009F43DE">
        <w:rPr>
          <w:lang w:val="fr-CH"/>
        </w:rPr>
        <w:t>ils limitent l</w:t>
      </w:r>
      <w:r w:rsidR="00F8384A" w:rsidRPr="009F43DE">
        <w:rPr>
          <w:lang w:val="fr-CH"/>
        </w:rPr>
        <w:t>’</w:t>
      </w:r>
      <w:r w:rsidR="00AA0759" w:rsidRPr="009F43DE">
        <w:rPr>
          <w:lang w:val="fr-CH"/>
        </w:rPr>
        <w:t>activité et ne peuvent donc ni conduire à engager des poursuites pénales contre un membre dudit syndicat</w:t>
      </w:r>
      <w:r w:rsidRPr="009F43DE">
        <w:rPr>
          <w:lang w:val="fr-CH"/>
        </w:rPr>
        <w:t xml:space="preserve"> pour complot ou </w:t>
      </w:r>
      <w:r w:rsidR="00AA0759" w:rsidRPr="009F43DE">
        <w:rPr>
          <w:lang w:val="fr-CH"/>
        </w:rPr>
        <w:t xml:space="preserve">toute </w:t>
      </w:r>
      <w:r w:rsidRPr="009F43DE">
        <w:rPr>
          <w:lang w:val="fr-CH"/>
        </w:rPr>
        <w:t xml:space="preserve">autre raison </w:t>
      </w:r>
      <w:r w:rsidR="00AA0759" w:rsidRPr="009F43DE">
        <w:rPr>
          <w:lang w:val="fr-CH"/>
        </w:rPr>
        <w:t xml:space="preserve">ni </w:t>
      </w:r>
      <w:r w:rsidRPr="009F43DE">
        <w:rPr>
          <w:lang w:val="fr-CH"/>
        </w:rPr>
        <w:t>rendre nul ou annulable tout accord ou</w:t>
      </w:r>
      <w:r w:rsidR="00AA0759" w:rsidRPr="009F43DE">
        <w:rPr>
          <w:lang w:val="fr-CH"/>
        </w:rPr>
        <w:t xml:space="preserve"> mandat</w:t>
      </w:r>
      <w:r w:rsidRPr="009F43DE">
        <w:rPr>
          <w:lang w:val="fr-CH"/>
        </w:rPr>
        <w:t>.</w:t>
      </w:r>
    </w:p>
    <w:p w:rsidR="00C77E1E" w:rsidRPr="009F43DE" w:rsidRDefault="00C77E1E" w:rsidP="00C77E1E">
      <w:pPr>
        <w:pStyle w:val="SingleTxtG"/>
        <w:rPr>
          <w:lang w:val="fr-CH"/>
        </w:rPr>
      </w:pPr>
      <w:r w:rsidRPr="009F43DE">
        <w:rPr>
          <w:lang w:val="fr-CH"/>
        </w:rPr>
        <w:t>89.</w:t>
      </w:r>
      <w:r w:rsidRPr="009F43DE">
        <w:rPr>
          <w:lang w:val="fr-CH"/>
        </w:rPr>
        <w:tab/>
        <w:t>Le droit de grève n</w:t>
      </w:r>
      <w:r w:rsidR="00F8384A" w:rsidRPr="009F43DE">
        <w:rPr>
          <w:lang w:val="fr-CH"/>
        </w:rPr>
        <w:t>’</w:t>
      </w:r>
      <w:r w:rsidRPr="009F43DE">
        <w:rPr>
          <w:lang w:val="fr-CH"/>
        </w:rPr>
        <w:t xml:space="preserve">est pas expressément </w:t>
      </w:r>
      <w:r w:rsidR="00AA0759" w:rsidRPr="009F43DE">
        <w:rPr>
          <w:lang w:val="fr-CH"/>
        </w:rPr>
        <w:t>reconnu</w:t>
      </w:r>
      <w:r w:rsidRPr="009F43DE">
        <w:rPr>
          <w:lang w:val="fr-CH"/>
        </w:rPr>
        <w:t xml:space="preserve"> par le droit écrit d</w:t>
      </w:r>
      <w:r w:rsidR="00AA0759" w:rsidRPr="009F43DE">
        <w:rPr>
          <w:lang w:val="fr-CH"/>
        </w:rPr>
        <w:t xml:space="preserve">e </w:t>
      </w:r>
      <w:r w:rsidRPr="009F43DE">
        <w:rPr>
          <w:lang w:val="fr-CH"/>
        </w:rPr>
        <w:t xml:space="preserve">Sri Lanka. </w:t>
      </w:r>
      <w:r w:rsidR="00AA0759" w:rsidRPr="009F43DE">
        <w:rPr>
          <w:lang w:val="fr-CH"/>
        </w:rPr>
        <w:t>L</w:t>
      </w:r>
      <w:r w:rsidR="00F8384A" w:rsidRPr="009F43DE">
        <w:rPr>
          <w:lang w:val="fr-CH"/>
        </w:rPr>
        <w:t>’</w:t>
      </w:r>
      <w:r w:rsidRPr="009F43DE">
        <w:rPr>
          <w:lang w:val="fr-CH"/>
        </w:rPr>
        <w:t>a</w:t>
      </w:r>
      <w:r w:rsidR="00AA0759" w:rsidRPr="009F43DE">
        <w:rPr>
          <w:lang w:val="fr-CH"/>
        </w:rPr>
        <w:t xml:space="preserve">linéa </w:t>
      </w:r>
      <w:r w:rsidR="00AA0759" w:rsidRPr="00363BB7">
        <w:rPr>
          <w:i/>
          <w:lang w:val="fr-CH"/>
        </w:rPr>
        <w:t>b</w:t>
      </w:r>
      <w:r w:rsidR="00AA0759" w:rsidRPr="009F43DE">
        <w:rPr>
          <w:lang w:val="fr-CH"/>
        </w:rPr>
        <w:t xml:space="preserve"> de l</w:t>
      </w:r>
      <w:r w:rsidR="00F8384A" w:rsidRPr="009F43DE">
        <w:rPr>
          <w:lang w:val="fr-CH"/>
        </w:rPr>
        <w:t>’</w:t>
      </w:r>
      <w:r w:rsidR="00AA0759" w:rsidRPr="009F43DE">
        <w:rPr>
          <w:lang w:val="fr-CH"/>
        </w:rPr>
        <w:t>a</w:t>
      </w:r>
      <w:r w:rsidRPr="009F43DE">
        <w:rPr>
          <w:lang w:val="fr-CH"/>
        </w:rPr>
        <w:t>rticle</w:t>
      </w:r>
      <w:r w:rsidR="00AA0759" w:rsidRPr="009F43DE">
        <w:rPr>
          <w:lang w:val="fr-CH"/>
        </w:rPr>
        <w:t> </w:t>
      </w:r>
      <w:r w:rsidRPr="009F43DE">
        <w:rPr>
          <w:lang w:val="fr-CH"/>
        </w:rPr>
        <w:t xml:space="preserve">18 </w:t>
      </w:r>
      <w:r w:rsidR="00AA0759" w:rsidRPr="009F43DE">
        <w:rPr>
          <w:lang w:val="fr-CH"/>
        </w:rPr>
        <w:t>de l</w:t>
      </w:r>
      <w:r w:rsidR="00F8384A" w:rsidRPr="009F43DE">
        <w:rPr>
          <w:lang w:val="fr-CH"/>
        </w:rPr>
        <w:t>’</w:t>
      </w:r>
      <w:r w:rsidR="00AA0759" w:rsidRPr="009F43DE">
        <w:rPr>
          <w:lang w:val="fr-CH"/>
        </w:rPr>
        <w:t xml:space="preserve">ordonnance </w:t>
      </w:r>
      <w:r w:rsidRPr="009F43DE">
        <w:rPr>
          <w:lang w:val="fr-CH"/>
        </w:rPr>
        <w:t>sur les syndicats prévoit</w:t>
      </w:r>
      <w:r w:rsidR="00AA0759" w:rsidRPr="009F43DE">
        <w:rPr>
          <w:lang w:val="fr-CH"/>
        </w:rPr>
        <w:t>, toutefois, qu</w:t>
      </w:r>
      <w:r w:rsidR="00F8384A" w:rsidRPr="009F43DE">
        <w:rPr>
          <w:lang w:val="fr-CH"/>
        </w:rPr>
        <w:t>’</w:t>
      </w:r>
      <w:r w:rsidR="00AA0759" w:rsidRPr="009F43DE">
        <w:rPr>
          <w:lang w:val="fr-CH"/>
        </w:rPr>
        <w:t>un syndicat</w:t>
      </w:r>
      <w:r w:rsidRPr="009F43DE">
        <w:rPr>
          <w:lang w:val="fr-CH"/>
        </w:rPr>
        <w:t xml:space="preserve"> </w:t>
      </w:r>
      <w:r w:rsidR="00AA0759" w:rsidRPr="009F43DE">
        <w:rPr>
          <w:lang w:val="fr-CH"/>
        </w:rPr>
        <w:t xml:space="preserve">qui </w:t>
      </w:r>
      <w:r w:rsidRPr="009F43DE">
        <w:rPr>
          <w:lang w:val="fr-CH"/>
        </w:rPr>
        <w:t>n</w:t>
      </w:r>
      <w:r w:rsidR="00F8384A" w:rsidRPr="009F43DE">
        <w:rPr>
          <w:lang w:val="fr-CH"/>
        </w:rPr>
        <w:t>’</w:t>
      </w:r>
      <w:r w:rsidRPr="009F43DE">
        <w:rPr>
          <w:lang w:val="fr-CH"/>
        </w:rPr>
        <w:t>est pas enregistré</w:t>
      </w:r>
      <w:r w:rsidR="00AA0759" w:rsidRPr="009F43DE">
        <w:rPr>
          <w:lang w:val="fr-CH"/>
        </w:rPr>
        <w:t>,</w:t>
      </w:r>
      <w:r w:rsidRPr="009F43DE">
        <w:rPr>
          <w:lang w:val="fr-CH"/>
        </w:rPr>
        <w:t xml:space="preserve"> ni aucun de ses dirigeants ou agents agissant en son nom, </w:t>
      </w:r>
      <w:r w:rsidR="007F1AFC" w:rsidRPr="009F43DE">
        <w:rPr>
          <w:lang w:val="fr-CH"/>
        </w:rPr>
        <w:t>ne peut intervenir dans un conflit du travail quel qu</w:t>
      </w:r>
      <w:r w:rsidR="00F8384A" w:rsidRPr="009F43DE">
        <w:rPr>
          <w:lang w:val="fr-CH"/>
        </w:rPr>
        <w:t>’</w:t>
      </w:r>
      <w:r w:rsidR="007F1AFC" w:rsidRPr="009F43DE">
        <w:rPr>
          <w:lang w:val="fr-CH"/>
        </w:rPr>
        <w:t>il soit, ni</w:t>
      </w:r>
      <w:r w:rsidRPr="009F43DE">
        <w:rPr>
          <w:lang w:val="fr-CH"/>
        </w:rPr>
        <w:t xml:space="preserve"> </w:t>
      </w:r>
      <w:r w:rsidR="007F1AFC" w:rsidRPr="009F43DE">
        <w:rPr>
          <w:lang w:val="fr-CH"/>
        </w:rPr>
        <w:t>encourager</w:t>
      </w:r>
      <w:r w:rsidRPr="009F43DE">
        <w:rPr>
          <w:lang w:val="fr-CH"/>
        </w:rPr>
        <w:t xml:space="preserve">, organiser ou financer une grève ou un lock-out, </w:t>
      </w:r>
      <w:r w:rsidR="007F1AFC" w:rsidRPr="009F43DE">
        <w:rPr>
          <w:lang w:val="fr-CH"/>
        </w:rPr>
        <w:t>ni</w:t>
      </w:r>
      <w:r w:rsidRPr="009F43DE">
        <w:rPr>
          <w:lang w:val="fr-CH"/>
        </w:rPr>
        <w:t xml:space="preserve"> </w:t>
      </w:r>
      <w:r w:rsidR="007F1AFC" w:rsidRPr="009F43DE">
        <w:rPr>
          <w:lang w:val="fr-CH"/>
        </w:rPr>
        <w:t>verser</w:t>
      </w:r>
      <w:r w:rsidRPr="009F43DE">
        <w:rPr>
          <w:lang w:val="fr-CH"/>
        </w:rPr>
        <w:t xml:space="preserve"> un salaire ou d</w:t>
      </w:r>
      <w:r w:rsidR="00F8384A" w:rsidRPr="009F43DE">
        <w:rPr>
          <w:lang w:val="fr-CH"/>
        </w:rPr>
        <w:t>’</w:t>
      </w:r>
      <w:r w:rsidRPr="009F43DE">
        <w:rPr>
          <w:lang w:val="fr-CH"/>
        </w:rPr>
        <w:t xml:space="preserve">autres avantages </w:t>
      </w:r>
      <w:r w:rsidR="007F1AFC" w:rsidRPr="009F43DE">
        <w:rPr>
          <w:lang w:val="fr-CH"/>
        </w:rPr>
        <w:t>à</w:t>
      </w:r>
      <w:r w:rsidRPr="009F43DE">
        <w:rPr>
          <w:lang w:val="fr-CH"/>
        </w:rPr>
        <w:t xml:space="preserve"> ses membres au cours d</w:t>
      </w:r>
      <w:r w:rsidR="00F8384A" w:rsidRPr="009F43DE">
        <w:rPr>
          <w:lang w:val="fr-CH"/>
        </w:rPr>
        <w:t>’</w:t>
      </w:r>
      <w:r w:rsidRPr="009F43DE">
        <w:rPr>
          <w:lang w:val="fr-CH"/>
        </w:rPr>
        <w:t xml:space="preserve">une grève ou </w:t>
      </w:r>
      <w:r w:rsidR="00EF1D43">
        <w:rPr>
          <w:lang w:val="fr-CH"/>
        </w:rPr>
        <w:t>d’</w:t>
      </w:r>
      <w:r w:rsidRPr="009F43DE">
        <w:rPr>
          <w:lang w:val="fr-CH"/>
        </w:rPr>
        <w:t>un lock-out. En outre, l</w:t>
      </w:r>
      <w:r w:rsidR="00AA0759" w:rsidRPr="009F43DE">
        <w:rPr>
          <w:lang w:val="fr-CH"/>
        </w:rPr>
        <w:t xml:space="preserve">es </w:t>
      </w:r>
      <w:r w:rsidRPr="009F43DE">
        <w:rPr>
          <w:lang w:val="fr-CH"/>
        </w:rPr>
        <w:t>article</w:t>
      </w:r>
      <w:r w:rsidR="00AA0759" w:rsidRPr="009F43DE">
        <w:rPr>
          <w:lang w:val="fr-CH"/>
        </w:rPr>
        <w:t>s</w:t>
      </w:r>
      <w:r w:rsidRPr="009F43DE">
        <w:rPr>
          <w:lang w:val="fr-CH"/>
        </w:rPr>
        <w:t xml:space="preserve"> 26 et 27 de l</w:t>
      </w:r>
      <w:r w:rsidR="00F8384A" w:rsidRPr="009F43DE">
        <w:rPr>
          <w:lang w:val="fr-CH"/>
        </w:rPr>
        <w:t>’</w:t>
      </w:r>
      <w:r w:rsidR="00AA0759" w:rsidRPr="009F43DE">
        <w:rPr>
          <w:lang w:val="fr-CH"/>
        </w:rPr>
        <w:t>o</w:t>
      </w:r>
      <w:r w:rsidRPr="009F43DE">
        <w:rPr>
          <w:lang w:val="fr-CH"/>
        </w:rPr>
        <w:t>rdonnance sur les syndicats accorde</w:t>
      </w:r>
      <w:r w:rsidR="007F1AFC" w:rsidRPr="009F43DE">
        <w:rPr>
          <w:lang w:val="fr-CH"/>
        </w:rPr>
        <w:t>nt</w:t>
      </w:r>
      <w:r w:rsidRPr="009F43DE">
        <w:rPr>
          <w:lang w:val="fr-CH"/>
        </w:rPr>
        <w:t xml:space="preserve"> une protection aux syndicats et à leurs membres contre les actes civils et délictuels commis à l</w:t>
      </w:r>
      <w:r w:rsidR="00F8384A" w:rsidRPr="009F43DE">
        <w:rPr>
          <w:lang w:val="fr-CH"/>
        </w:rPr>
        <w:t>’</w:t>
      </w:r>
      <w:r w:rsidRPr="009F43DE">
        <w:rPr>
          <w:lang w:val="fr-CH"/>
        </w:rPr>
        <w:t>occasion de</w:t>
      </w:r>
      <w:r w:rsidR="007F1AFC" w:rsidRPr="009F43DE">
        <w:rPr>
          <w:lang w:val="fr-CH"/>
        </w:rPr>
        <w:t xml:space="preserve"> conflits du</w:t>
      </w:r>
      <w:r w:rsidRPr="009F43DE">
        <w:rPr>
          <w:lang w:val="fr-CH"/>
        </w:rPr>
        <w:t xml:space="preserve"> travail. </w:t>
      </w:r>
    </w:p>
    <w:p w:rsidR="00C77E1E" w:rsidRPr="00363BB7" w:rsidRDefault="00C77E1E" w:rsidP="00C77E1E">
      <w:pPr>
        <w:pStyle w:val="SingleTxtG"/>
        <w:rPr>
          <w:lang w:val="fr-FR"/>
        </w:rPr>
      </w:pPr>
      <w:r w:rsidRPr="009F43DE">
        <w:rPr>
          <w:lang w:val="fr-CH"/>
        </w:rPr>
        <w:t>90.</w:t>
      </w:r>
      <w:r w:rsidRPr="009F43DE">
        <w:rPr>
          <w:lang w:val="fr-CH"/>
        </w:rPr>
        <w:tab/>
        <w:t xml:space="preserve">La reconnaissance du droit à la négociation collective par la </w:t>
      </w:r>
      <w:r w:rsidR="007F1AFC" w:rsidRPr="009F43DE">
        <w:rPr>
          <w:lang w:val="fr-CH"/>
        </w:rPr>
        <w:t>l</w:t>
      </w:r>
      <w:r w:rsidRPr="009F43DE">
        <w:rPr>
          <w:lang w:val="fr-CH"/>
        </w:rPr>
        <w:t xml:space="preserve">oi sur les conflits </w:t>
      </w:r>
      <w:r w:rsidR="007F1AFC" w:rsidRPr="009F43DE">
        <w:rPr>
          <w:lang w:val="fr-CH"/>
        </w:rPr>
        <w:t>du travail</w:t>
      </w:r>
      <w:r w:rsidRPr="009F43DE">
        <w:rPr>
          <w:lang w:val="fr-CH"/>
        </w:rPr>
        <w:t xml:space="preserve"> renforce encore les droits des syndicats en définissant </w:t>
      </w:r>
      <w:r w:rsidR="007F1AFC" w:rsidRPr="009F43DE">
        <w:rPr>
          <w:lang w:val="fr-CH"/>
        </w:rPr>
        <w:t>la</w:t>
      </w:r>
      <w:r w:rsidRPr="009F43DE">
        <w:rPr>
          <w:lang w:val="fr-CH"/>
        </w:rPr>
        <w:t xml:space="preserve"> négociation collective </w:t>
      </w:r>
      <w:r w:rsidR="007F1AFC" w:rsidRPr="009F43DE">
        <w:rPr>
          <w:lang w:val="fr-CH"/>
        </w:rPr>
        <w:t xml:space="preserve">comme </w:t>
      </w:r>
      <w:r w:rsidRPr="009F43DE">
        <w:rPr>
          <w:lang w:val="fr-CH"/>
        </w:rPr>
        <w:t xml:space="preserve">la négociation entre un employeur ou </w:t>
      </w:r>
      <w:r w:rsidR="007F1AFC" w:rsidRPr="009F43DE">
        <w:rPr>
          <w:lang w:val="fr-CH"/>
        </w:rPr>
        <w:t>d</w:t>
      </w:r>
      <w:r w:rsidRPr="009F43DE">
        <w:rPr>
          <w:lang w:val="fr-CH"/>
        </w:rPr>
        <w:t xml:space="preserve">es employeurs et les </w:t>
      </w:r>
      <w:r w:rsidR="007F1AFC" w:rsidRPr="009F43DE">
        <w:rPr>
          <w:lang w:val="fr-CH"/>
        </w:rPr>
        <w:t>salariés ou leurs syndicats des</w:t>
      </w:r>
      <w:r w:rsidRPr="009F43DE">
        <w:rPr>
          <w:lang w:val="fr-CH"/>
        </w:rPr>
        <w:t xml:space="preserve"> termes et </w:t>
      </w:r>
      <w:r w:rsidR="007F1AFC" w:rsidRPr="009F43DE">
        <w:rPr>
          <w:lang w:val="fr-CH"/>
        </w:rPr>
        <w:t>d</w:t>
      </w:r>
      <w:r w:rsidRPr="009F43DE">
        <w:rPr>
          <w:lang w:val="fr-CH"/>
        </w:rPr>
        <w:t>es conditions d</w:t>
      </w:r>
      <w:r w:rsidR="00F8384A" w:rsidRPr="009F43DE">
        <w:rPr>
          <w:lang w:val="fr-CH"/>
        </w:rPr>
        <w:t>’</w:t>
      </w:r>
      <w:r w:rsidRPr="009F43DE">
        <w:rPr>
          <w:lang w:val="fr-CH"/>
        </w:rPr>
        <w:t>emploi et d</w:t>
      </w:r>
      <w:r w:rsidR="00F8384A" w:rsidRPr="009F43DE">
        <w:rPr>
          <w:lang w:val="fr-CH"/>
        </w:rPr>
        <w:t>’</w:t>
      </w:r>
      <w:r w:rsidRPr="009F43DE">
        <w:rPr>
          <w:lang w:val="fr-CH"/>
        </w:rPr>
        <w:t>autres questions connexes. Ces dispositions c</w:t>
      </w:r>
      <w:r w:rsidR="007F1AFC" w:rsidRPr="009F43DE">
        <w:rPr>
          <w:lang w:val="fr-CH"/>
        </w:rPr>
        <w:t>réent l</w:t>
      </w:r>
      <w:r w:rsidR="00F8384A" w:rsidRPr="009F43DE">
        <w:rPr>
          <w:lang w:val="fr-CH"/>
        </w:rPr>
        <w:t>’</w:t>
      </w:r>
      <w:r w:rsidRPr="009F43DE">
        <w:rPr>
          <w:lang w:val="fr-CH"/>
        </w:rPr>
        <w:t xml:space="preserve">environnement juridique </w:t>
      </w:r>
      <w:r w:rsidR="007F1AFC" w:rsidRPr="009F43DE">
        <w:rPr>
          <w:lang w:val="fr-CH"/>
        </w:rPr>
        <w:t>dans lequel les</w:t>
      </w:r>
      <w:r w:rsidRPr="009F43DE">
        <w:rPr>
          <w:lang w:val="fr-CH"/>
        </w:rPr>
        <w:t xml:space="preserve"> syndicats </w:t>
      </w:r>
      <w:r w:rsidR="007F1AFC" w:rsidRPr="009F43DE">
        <w:rPr>
          <w:lang w:val="fr-CH"/>
        </w:rPr>
        <w:t>peuvent</w:t>
      </w:r>
      <w:r w:rsidRPr="009F43DE">
        <w:rPr>
          <w:lang w:val="fr-CH"/>
        </w:rPr>
        <w:t xml:space="preserve"> fonctionner librement pour atteindre leurs objectifs.</w:t>
      </w:r>
    </w:p>
    <w:p w:rsidR="00C77E1E" w:rsidRPr="009F43DE" w:rsidRDefault="00C77E1E" w:rsidP="00C77E1E">
      <w:pPr>
        <w:pStyle w:val="SingleTxtG"/>
        <w:rPr>
          <w:lang w:val="fr-CH"/>
        </w:rPr>
      </w:pPr>
      <w:r w:rsidRPr="009F43DE">
        <w:rPr>
          <w:lang w:val="fr-CH"/>
        </w:rPr>
        <w:t>91.</w:t>
      </w:r>
      <w:r w:rsidRPr="009F43DE">
        <w:rPr>
          <w:lang w:val="fr-CH"/>
        </w:rPr>
        <w:tab/>
        <w:t xml:space="preserve">Sri Lanka est partie à la Convention </w:t>
      </w:r>
      <w:r w:rsidR="00363BB7">
        <w:rPr>
          <w:lang w:val="fr-CH"/>
        </w:rPr>
        <w:t>n</w:t>
      </w:r>
      <w:r w:rsidR="00363BB7" w:rsidRPr="001D6B83">
        <w:rPr>
          <w:vertAlign w:val="superscript"/>
          <w:lang w:val="fr-CH"/>
        </w:rPr>
        <w:t>o</w:t>
      </w:r>
      <w:r w:rsidR="007F1AFC" w:rsidRPr="009F43DE">
        <w:rPr>
          <w:lang w:val="fr-CH"/>
        </w:rPr>
        <w:t> </w:t>
      </w:r>
      <w:r w:rsidRPr="009F43DE">
        <w:rPr>
          <w:lang w:val="fr-CH"/>
        </w:rPr>
        <w:t>87 de l</w:t>
      </w:r>
      <w:r w:rsidR="00F8384A" w:rsidRPr="009F43DE">
        <w:rPr>
          <w:lang w:val="fr-CH"/>
        </w:rPr>
        <w:t>’</w:t>
      </w:r>
      <w:r w:rsidRPr="009F43DE">
        <w:rPr>
          <w:lang w:val="fr-CH"/>
        </w:rPr>
        <w:t xml:space="preserve">OIT sur la liberté syndicale et la protection du droit syndical et à la Convention </w:t>
      </w:r>
      <w:r w:rsidR="00363BB7">
        <w:rPr>
          <w:lang w:val="fr-CH"/>
        </w:rPr>
        <w:t>n</w:t>
      </w:r>
      <w:r w:rsidR="00363BB7" w:rsidRPr="001D6B83">
        <w:rPr>
          <w:vertAlign w:val="superscript"/>
          <w:lang w:val="fr-CH"/>
        </w:rPr>
        <w:t>o</w:t>
      </w:r>
      <w:r w:rsidR="007F1AFC" w:rsidRPr="009F43DE">
        <w:rPr>
          <w:lang w:val="fr-CH"/>
        </w:rPr>
        <w:t> </w:t>
      </w:r>
      <w:r w:rsidRPr="009F43DE">
        <w:rPr>
          <w:lang w:val="fr-CH"/>
        </w:rPr>
        <w:t xml:space="preserve">98 sur le droit </w:t>
      </w:r>
      <w:r w:rsidR="007F1AFC" w:rsidRPr="009F43DE">
        <w:rPr>
          <w:lang w:val="fr-CH"/>
        </w:rPr>
        <w:t>d</w:t>
      </w:r>
      <w:r w:rsidR="00F8384A" w:rsidRPr="009F43DE">
        <w:rPr>
          <w:lang w:val="fr-CH"/>
        </w:rPr>
        <w:t>’</w:t>
      </w:r>
      <w:r w:rsidR="007F1AFC" w:rsidRPr="009F43DE">
        <w:rPr>
          <w:lang w:val="fr-CH"/>
        </w:rPr>
        <w:t xml:space="preserve">organisation et de </w:t>
      </w:r>
      <w:r w:rsidRPr="009F43DE">
        <w:rPr>
          <w:lang w:val="fr-CH"/>
        </w:rPr>
        <w:t xml:space="preserve">négociation collective. </w:t>
      </w:r>
    </w:p>
    <w:p w:rsidR="00C77E1E" w:rsidRPr="009F43DE" w:rsidRDefault="00C77E1E" w:rsidP="00C77E1E">
      <w:pPr>
        <w:pStyle w:val="H23G"/>
        <w:rPr>
          <w:lang w:val="fr-CH"/>
        </w:rPr>
      </w:pPr>
      <w:r w:rsidRPr="009F43DE">
        <w:rPr>
          <w:lang w:val="fr-CH"/>
        </w:rPr>
        <w:tab/>
      </w:r>
      <w:r w:rsidRPr="009F43DE">
        <w:rPr>
          <w:lang w:val="fr-CH"/>
        </w:rPr>
        <w:tab/>
        <w:t>Programmes d</w:t>
      </w:r>
      <w:r w:rsidR="00F8384A" w:rsidRPr="009F43DE">
        <w:rPr>
          <w:lang w:val="fr-CH"/>
        </w:rPr>
        <w:t>’</w:t>
      </w:r>
      <w:r w:rsidR="00D93076" w:rsidRPr="009F43DE">
        <w:rPr>
          <w:lang w:val="fr-CH"/>
        </w:rPr>
        <w:t>aide sociale et d</w:t>
      </w:r>
      <w:r w:rsidR="00F8384A" w:rsidRPr="009F43DE">
        <w:rPr>
          <w:lang w:val="fr-CH"/>
        </w:rPr>
        <w:t>’</w:t>
      </w:r>
      <w:r w:rsidR="00D93076" w:rsidRPr="009F43DE">
        <w:rPr>
          <w:lang w:val="fr-CH"/>
        </w:rPr>
        <w:t>atténuation d</w:t>
      </w:r>
      <w:r w:rsidRPr="009F43DE">
        <w:rPr>
          <w:lang w:val="fr-CH"/>
        </w:rPr>
        <w:t xml:space="preserve">e la pauvreté </w:t>
      </w:r>
      <w:r w:rsidR="008F3872">
        <w:rPr>
          <w:lang w:val="fr-CH"/>
        </w:rPr>
        <w:t>(</w:t>
      </w:r>
      <w:r w:rsidR="00D93076" w:rsidRPr="009F43DE">
        <w:rPr>
          <w:lang w:val="fr-CH"/>
        </w:rPr>
        <w:t>p</w:t>
      </w:r>
      <w:r w:rsidRPr="009F43DE">
        <w:rPr>
          <w:lang w:val="fr-CH"/>
        </w:rPr>
        <w:t>ar</w:t>
      </w:r>
      <w:r w:rsidR="008F3872">
        <w:rPr>
          <w:lang w:val="fr-CH"/>
        </w:rPr>
        <w:t>.</w:t>
      </w:r>
      <w:r w:rsidRPr="009F43DE">
        <w:rPr>
          <w:lang w:val="fr-CH"/>
        </w:rPr>
        <w:t xml:space="preserve"> 23</w:t>
      </w:r>
      <w:r w:rsidR="008F3872">
        <w:rPr>
          <w:lang w:val="fr-CH"/>
        </w:rPr>
        <w:t>)</w:t>
      </w:r>
    </w:p>
    <w:p w:rsidR="00C77E1E" w:rsidRPr="009F43DE" w:rsidRDefault="00C77E1E" w:rsidP="00C77E1E">
      <w:pPr>
        <w:pStyle w:val="SingleTxtG"/>
        <w:rPr>
          <w:lang w:val="fr-CH"/>
        </w:rPr>
      </w:pPr>
      <w:r w:rsidRPr="009F43DE">
        <w:rPr>
          <w:lang w:val="fr-CH"/>
        </w:rPr>
        <w:t>92.</w:t>
      </w:r>
      <w:r w:rsidRPr="009F43DE">
        <w:rPr>
          <w:lang w:val="fr-CH"/>
        </w:rPr>
        <w:tab/>
        <w:t xml:space="preserve">Sri Lanka a réalisé </w:t>
      </w:r>
      <w:r w:rsidR="00D93076" w:rsidRPr="009F43DE">
        <w:rPr>
          <w:lang w:val="fr-CH"/>
        </w:rPr>
        <w:t xml:space="preserve">ces dernières années </w:t>
      </w:r>
      <w:r w:rsidRPr="009F43DE">
        <w:rPr>
          <w:lang w:val="fr-CH"/>
        </w:rPr>
        <w:t>des progrès considérables dans la réduction de la pauvreté</w:t>
      </w:r>
      <w:r w:rsidR="00D93076" w:rsidRPr="009F43DE">
        <w:rPr>
          <w:lang w:val="fr-CH"/>
        </w:rPr>
        <w:t xml:space="preserve">, qui a reculé </w:t>
      </w:r>
      <w:r w:rsidRPr="009F43DE">
        <w:rPr>
          <w:lang w:val="fr-CH"/>
        </w:rPr>
        <w:t>de 15</w:t>
      </w:r>
      <w:r w:rsidR="00D93076" w:rsidRPr="009F43DE">
        <w:rPr>
          <w:lang w:val="fr-CH"/>
        </w:rPr>
        <w:t> </w:t>
      </w:r>
      <w:r w:rsidRPr="009F43DE">
        <w:rPr>
          <w:lang w:val="fr-CH"/>
        </w:rPr>
        <w:t>% en 2005 à 8,9</w:t>
      </w:r>
      <w:r w:rsidR="00D93076" w:rsidRPr="009F43DE">
        <w:rPr>
          <w:lang w:val="fr-CH"/>
        </w:rPr>
        <w:t> </w:t>
      </w:r>
      <w:r w:rsidRPr="009F43DE">
        <w:rPr>
          <w:lang w:val="fr-CH"/>
        </w:rPr>
        <w:t>% en 2011</w:t>
      </w:r>
      <w:r w:rsidR="00D93076" w:rsidRPr="009F43DE">
        <w:rPr>
          <w:lang w:val="fr-CH"/>
        </w:rPr>
        <w:t>, grâce à une panoplie équilibrée de</w:t>
      </w:r>
      <w:r w:rsidRPr="009F43DE">
        <w:rPr>
          <w:lang w:val="fr-CH"/>
        </w:rPr>
        <w:t xml:space="preserve"> politiques et </w:t>
      </w:r>
      <w:r w:rsidR="00D93076" w:rsidRPr="009F43DE">
        <w:rPr>
          <w:lang w:val="fr-CH"/>
        </w:rPr>
        <w:t xml:space="preserve">de </w:t>
      </w:r>
      <w:r w:rsidRPr="009F43DE">
        <w:rPr>
          <w:lang w:val="fr-CH"/>
        </w:rPr>
        <w:t>stratégies de développement macro et microéconomique</w:t>
      </w:r>
      <w:r w:rsidR="00D93076" w:rsidRPr="009F43DE">
        <w:rPr>
          <w:lang w:val="fr-CH"/>
        </w:rPr>
        <w:t>s</w:t>
      </w:r>
      <w:r w:rsidRPr="009F43DE">
        <w:rPr>
          <w:lang w:val="fr-CH"/>
        </w:rPr>
        <w:t>. Par exemple, la pauvreté a considérablement diminué</w:t>
      </w:r>
      <w:r w:rsidR="00D93076" w:rsidRPr="009F43DE">
        <w:rPr>
          <w:lang w:val="fr-CH"/>
        </w:rPr>
        <w:t xml:space="preserve"> dans le secteur des plantations</w:t>
      </w:r>
      <w:r w:rsidRPr="009F43DE">
        <w:rPr>
          <w:lang w:val="fr-CH"/>
        </w:rPr>
        <w:t xml:space="preserve">, </w:t>
      </w:r>
      <w:r w:rsidR="00D93076" w:rsidRPr="009F43DE">
        <w:rPr>
          <w:lang w:val="fr-CH"/>
        </w:rPr>
        <w:t>tombant de</w:t>
      </w:r>
      <w:r w:rsidRPr="009F43DE">
        <w:rPr>
          <w:lang w:val="fr-CH"/>
        </w:rPr>
        <w:t xml:space="preserve"> 32</w:t>
      </w:r>
      <w:r w:rsidR="00D93076" w:rsidRPr="009F43DE">
        <w:rPr>
          <w:lang w:val="fr-CH"/>
        </w:rPr>
        <w:t> </w:t>
      </w:r>
      <w:r w:rsidRPr="009F43DE">
        <w:rPr>
          <w:lang w:val="fr-CH"/>
        </w:rPr>
        <w:t>% à 11,4</w:t>
      </w:r>
      <w:r w:rsidR="00D93076" w:rsidRPr="009F43DE">
        <w:rPr>
          <w:lang w:val="fr-CH"/>
        </w:rPr>
        <w:t> </w:t>
      </w:r>
      <w:r w:rsidRPr="009F43DE">
        <w:rPr>
          <w:lang w:val="fr-CH"/>
        </w:rPr>
        <w:t>% ainsi que dans le secteur rural</w:t>
      </w:r>
      <w:r w:rsidR="00D93076" w:rsidRPr="009F43DE">
        <w:rPr>
          <w:lang w:val="fr-CH"/>
        </w:rPr>
        <w:t>,</w:t>
      </w:r>
      <w:r w:rsidRPr="009F43DE">
        <w:rPr>
          <w:lang w:val="fr-CH"/>
        </w:rPr>
        <w:t xml:space="preserve"> où elle est </w:t>
      </w:r>
      <w:r w:rsidR="00D93076" w:rsidRPr="009F43DE">
        <w:rPr>
          <w:lang w:val="fr-CH"/>
        </w:rPr>
        <w:t xml:space="preserve">revenue </w:t>
      </w:r>
      <w:r w:rsidRPr="009F43DE">
        <w:rPr>
          <w:lang w:val="fr-CH"/>
        </w:rPr>
        <w:t>de 15,7</w:t>
      </w:r>
      <w:r w:rsidR="00D93076" w:rsidRPr="009F43DE">
        <w:rPr>
          <w:lang w:val="fr-CH"/>
        </w:rPr>
        <w:t> </w:t>
      </w:r>
      <w:r w:rsidRPr="009F43DE">
        <w:rPr>
          <w:lang w:val="fr-CH"/>
        </w:rPr>
        <w:t>% à 9,4</w:t>
      </w:r>
      <w:r w:rsidR="00D93076" w:rsidRPr="009F43DE">
        <w:rPr>
          <w:lang w:val="fr-CH"/>
        </w:rPr>
        <w:t> </w:t>
      </w:r>
      <w:r w:rsidRPr="009F43DE">
        <w:rPr>
          <w:lang w:val="fr-CH"/>
        </w:rPr>
        <w:t>%</w:t>
      </w:r>
      <w:r w:rsidR="00955840" w:rsidRPr="009F43DE">
        <w:rPr>
          <w:lang w:val="fr-CH"/>
        </w:rPr>
        <w:t>. S</w:t>
      </w:r>
      <w:r w:rsidR="00D93076" w:rsidRPr="009F43DE">
        <w:rPr>
          <w:lang w:val="fr-CH"/>
        </w:rPr>
        <w:t xml:space="preserve">on recul dans </w:t>
      </w:r>
      <w:r w:rsidRPr="009F43DE">
        <w:rPr>
          <w:lang w:val="fr-CH"/>
        </w:rPr>
        <w:t xml:space="preserve">le secteur urbain </w:t>
      </w:r>
      <w:r w:rsidR="00D93076" w:rsidRPr="009F43DE">
        <w:rPr>
          <w:lang w:val="fr-CH"/>
        </w:rPr>
        <w:t>n</w:t>
      </w:r>
      <w:r w:rsidR="00F8384A" w:rsidRPr="009F43DE">
        <w:rPr>
          <w:lang w:val="fr-CH"/>
        </w:rPr>
        <w:t>’</w:t>
      </w:r>
      <w:r w:rsidR="00955840" w:rsidRPr="009F43DE">
        <w:rPr>
          <w:lang w:val="fr-CH"/>
        </w:rPr>
        <w:t>a été</w:t>
      </w:r>
      <w:r w:rsidR="00D93076" w:rsidRPr="009F43DE">
        <w:rPr>
          <w:lang w:val="fr-CH"/>
        </w:rPr>
        <w:t xml:space="preserve"> que modéré (</w:t>
      </w:r>
      <w:r w:rsidRPr="009F43DE">
        <w:rPr>
          <w:lang w:val="fr-CH"/>
        </w:rPr>
        <w:t>5,3</w:t>
      </w:r>
      <w:r w:rsidR="00D93076" w:rsidRPr="009F43DE">
        <w:rPr>
          <w:lang w:val="fr-CH"/>
        </w:rPr>
        <w:t> </w:t>
      </w:r>
      <w:r w:rsidRPr="009F43DE">
        <w:rPr>
          <w:lang w:val="fr-CH"/>
        </w:rPr>
        <w:t>%</w:t>
      </w:r>
      <w:r w:rsidR="00D93076" w:rsidRPr="009F43DE">
        <w:rPr>
          <w:lang w:val="fr-CH"/>
        </w:rPr>
        <w:t>)</w:t>
      </w:r>
      <w:r w:rsidRPr="009F43DE">
        <w:rPr>
          <w:lang w:val="fr-CH"/>
        </w:rPr>
        <w:t xml:space="preserve">. </w:t>
      </w:r>
      <w:r w:rsidR="00D93076" w:rsidRPr="009F43DE">
        <w:rPr>
          <w:lang w:val="fr-CH"/>
        </w:rPr>
        <w:t>En 2012/13, l</w:t>
      </w:r>
      <w:r w:rsidR="00F8384A" w:rsidRPr="009F43DE">
        <w:rPr>
          <w:lang w:val="fr-CH"/>
        </w:rPr>
        <w:t>’</w:t>
      </w:r>
      <w:r w:rsidRPr="009F43DE">
        <w:rPr>
          <w:lang w:val="fr-CH"/>
        </w:rPr>
        <w:t xml:space="preserve">indice de pauvreté était de 6,7 </w:t>
      </w:r>
      <w:r w:rsidR="00D93076" w:rsidRPr="009F43DE">
        <w:rPr>
          <w:lang w:val="fr-CH"/>
        </w:rPr>
        <w:t>contre</w:t>
      </w:r>
      <w:r w:rsidRPr="009F43DE">
        <w:rPr>
          <w:lang w:val="fr-CH"/>
        </w:rPr>
        <w:t xml:space="preserve"> 8,9 en 2009/10. En 2012/13, </w:t>
      </w:r>
      <w:r w:rsidR="00D93076" w:rsidRPr="009F43DE">
        <w:rPr>
          <w:lang w:val="fr-CH"/>
        </w:rPr>
        <w:t>on dénombrait</w:t>
      </w:r>
      <w:r w:rsidRPr="009F43DE">
        <w:rPr>
          <w:lang w:val="fr-CH"/>
        </w:rPr>
        <w:t xml:space="preserve"> environ 1,3</w:t>
      </w:r>
      <w:r w:rsidR="00D93076" w:rsidRPr="009F43DE">
        <w:rPr>
          <w:lang w:val="fr-CH"/>
        </w:rPr>
        <w:t> </w:t>
      </w:r>
      <w:r w:rsidRPr="009F43DE">
        <w:rPr>
          <w:lang w:val="fr-CH"/>
        </w:rPr>
        <w:t xml:space="preserve">million de </w:t>
      </w:r>
      <w:r w:rsidR="00D93076" w:rsidRPr="009F43DE">
        <w:rPr>
          <w:lang w:val="fr-CH"/>
        </w:rPr>
        <w:t>p</w:t>
      </w:r>
      <w:r w:rsidRPr="009F43DE">
        <w:rPr>
          <w:lang w:val="fr-CH"/>
        </w:rPr>
        <w:t>auvres, alors que</w:t>
      </w:r>
      <w:r w:rsidR="00D93076" w:rsidRPr="009F43DE">
        <w:rPr>
          <w:lang w:val="fr-CH"/>
        </w:rPr>
        <w:t>,</w:t>
      </w:r>
      <w:r w:rsidRPr="009F43DE">
        <w:rPr>
          <w:lang w:val="fr-CH"/>
        </w:rPr>
        <w:t xml:space="preserve"> </w:t>
      </w:r>
      <w:r w:rsidR="00D93076" w:rsidRPr="009F43DE">
        <w:rPr>
          <w:lang w:val="fr-CH"/>
        </w:rPr>
        <w:t>lors de</w:t>
      </w:r>
      <w:r w:rsidRPr="009F43DE">
        <w:rPr>
          <w:lang w:val="fr-CH"/>
        </w:rPr>
        <w:t xml:space="preserve"> la précédente année d</w:t>
      </w:r>
      <w:r w:rsidR="00F8384A" w:rsidRPr="009F43DE">
        <w:rPr>
          <w:lang w:val="fr-CH"/>
        </w:rPr>
        <w:t>’</w:t>
      </w:r>
      <w:r w:rsidRPr="009F43DE">
        <w:rPr>
          <w:lang w:val="fr-CH"/>
        </w:rPr>
        <w:t xml:space="preserve">enquête </w:t>
      </w:r>
      <w:r w:rsidR="00D93076" w:rsidRPr="009F43DE">
        <w:rPr>
          <w:lang w:val="fr-CH"/>
        </w:rPr>
        <w:t>(</w:t>
      </w:r>
      <w:r w:rsidRPr="009F43DE">
        <w:rPr>
          <w:lang w:val="fr-CH"/>
        </w:rPr>
        <w:t>2009/10</w:t>
      </w:r>
      <w:r w:rsidR="00D93076" w:rsidRPr="009F43DE">
        <w:rPr>
          <w:lang w:val="fr-CH"/>
        </w:rPr>
        <w:t>)</w:t>
      </w:r>
      <w:r w:rsidRPr="009F43DE">
        <w:rPr>
          <w:lang w:val="fr-CH"/>
        </w:rPr>
        <w:t>, ils étaient 1,8</w:t>
      </w:r>
      <w:r w:rsidR="00D93076" w:rsidRPr="009F43DE">
        <w:rPr>
          <w:lang w:val="fr-CH"/>
        </w:rPr>
        <w:t> </w:t>
      </w:r>
      <w:r w:rsidRPr="009F43DE">
        <w:rPr>
          <w:lang w:val="fr-CH"/>
        </w:rPr>
        <w:t>million</w:t>
      </w:r>
      <w:r w:rsidR="00D93076" w:rsidRPr="009F43DE">
        <w:rPr>
          <w:lang w:val="fr-CH"/>
        </w:rPr>
        <w:t>, soit</w:t>
      </w:r>
      <w:r w:rsidRPr="009F43DE">
        <w:rPr>
          <w:lang w:val="fr-CH"/>
        </w:rPr>
        <w:t xml:space="preserve"> une baisse de 0,5 million entre 2009/10 et 2012/13</w:t>
      </w:r>
      <w:r w:rsidRPr="009F43DE">
        <w:rPr>
          <w:rStyle w:val="FootnoteReference"/>
          <w:lang w:val="fr-CH"/>
        </w:rPr>
        <w:footnoteReference w:id="8"/>
      </w:r>
      <w:r w:rsidR="005E385E">
        <w:rPr>
          <w:lang w:val="fr-CH"/>
        </w:rPr>
        <w:t>.</w:t>
      </w:r>
    </w:p>
    <w:p w:rsidR="00C77E1E" w:rsidRPr="009F43DE" w:rsidRDefault="00C77E1E" w:rsidP="00C77E1E">
      <w:pPr>
        <w:pStyle w:val="SingleTxtG"/>
        <w:rPr>
          <w:lang w:val="fr-CH"/>
        </w:rPr>
      </w:pPr>
      <w:r w:rsidRPr="009F43DE">
        <w:rPr>
          <w:lang w:val="fr-CH"/>
        </w:rPr>
        <w:t>93.</w:t>
      </w:r>
      <w:r w:rsidRPr="009F43DE">
        <w:rPr>
          <w:lang w:val="fr-CH"/>
        </w:rPr>
        <w:tab/>
        <w:t xml:space="preserve">Les efforts </w:t>
      </w:r>
      <w:r w:rsidR="00955840" w:rsidRPr="009F43DE">
        <w:rPr>
          <w:lang w:val="fr-CH"/>
        </w:rPr>
        <w:t>faits par l</w:t>
      </w:r>
      <w:r w:rsidR="00F8384A" w:rsidRPr="009F43DE">
        <w:rPr>
          <w:lang w:val="fr-CH"/>
        </w:rPr>
        <w:t>’</w:t>
      </w:r>
      <w:r w:rsidR="007574C7" w:rsidRPr="009F43DE">
        <w:rPr>
          <w:lang w:val="fr-CH"/>
        </w:rPr>
        <w:t>État</w:t>
      </w:r>
      <w:r w:rsidR="00955840" w:rsidRPr="009F43DE">
        <w:rPr>
          <w:lang w:val="fr-CH"/>
        </w:rPr>
        <w:t xml:space="preserve"> </w:t>
      </w:r>
      <w:r w:rsidRPr="009F43DE">
        <w:rPr>
          <w:lang w:val="fr-CH"/>
        </w:rPr>
        <w:t>pour améliorer les infrastructure</w:t>
      </w:r>
      <w:r w:rsidR="00955840" w:rsidRPr="009F43DE">
        <w:rPr>
          <w:lang w:val="fr-CH"/>
        </w:rPr>
        <w:t>s</w:t>
      </w:r>
      <w:r w:rsidRPr="009F43DE">
        <w:rPr>
          <w:lang w:val="fr-CH"/>
        </w:rPr>
        <w:t xml:space="preserve"> régionales de base ont eu un</w:t>
      </w:r>
      <w:r w:rsidR="00955840" w:rsidRPr="009F43DE">
        <w:rPr>
          <w:lang w:val="fr-CH"/>
        </w:rPr>
        <w:t>e incidence</w:t>
      </w:r>
      <w:r w:rsidRPr="009F43DE">
        <w:rPr>
          <w:lang w:val="fr-CH"/>
        </w:rPr>
        <w:t xml:space="preserve"> positi</w:t>
      </w:r>
      <w:r w:rsidR="00955840" w:rsidRPr="009F43DE">
        <w:rPr>
          <w:lang w:val="fr-CH"/>
        </w:rPr>
        <w:t>ve</w:t>
      </w:r>
      <w:r w:rsidRPr="009F43DE">
        <w:rPr>
          <w:lang w:val="fr-CH"/>
        </w:rPr>
        <w:t xml:space="preserve"> sur les ménages à faible revenu. </w:t>
      </w:r>
      <w:r w:rsidR="003B0067" w:rsidRPr="009F43DE">
        <w:rPr>
          <w:lang w:val="fr-CH"/>
        </w:rPr>
        <w:t>En outre</w:t>
      </w:r>
      <w:r w:rsidRPr="009F43DE">
        <w:rPr>
          <w:lang w:val="fr-CH"/>
        </w:rPr>
        <w:t xml:space="preserve">, le </w:t>
      </w:r>
      <w:r w:rsidR="003B0067" w:rsidRPr="009F43DE">
        <w:rPr>
          <w:lang w:val="fr-CH"/>
        </w:rPr>
        <w:t>fort taux d</w:t>
      </w:r>
      <w:r w:rsidR="00F8384A" w:rsidRPr="009F43DE">
        <w:rPr>
          <w:lang w:val="fr-CH"/>
        </w:rPr>
        <w:t>’</w:t>
      </w:r>
      <w:r w:rsidR="003B0067" w:rsidRPr="009F43DE">
        <w:rPr>
          <w:lang w:val="fr-CH"/>
        </w:rPr>
        <w:t xml:space="preserve">expansion du </w:t>
      </w:r>
      <w:r w:rsidRPr="009F43DE">
        <w:rPr>
          <w:lang w:val="fr-CH"/>
        </w:rPr>
        <w:t xml:space="preserve">secteur agricole au cours des cinq dernières années a contribué à la baisse significative de la pauvreté rurale. </w:t>
      </w:r>
      <w:r w:rsidR="003B0067" w:rsidRPr="009F43DE">
        <w:rPr>
          <w:lang w:val="fr-CH"/>
        </w:rPr>
        <w:t>Dans le même temps</w:t>
      </w:r>
      <w:r w:rsidRPr="009F43DE">
        <w:rPr>
          <w:lang w:val="fr-CH"/>
        </w:rPr>
        <w:t xml:space="preserve">, le taux de chômage </w:t>
      </w:r>
      <w:r w:rsidR="003B0067" w:rsidRPr="009F43DE">
        <w:rPr>
          <w:lang w:val="fr-CH"/>
        </w:rPr>
        <w:t>est revenu, selon les estimations, à</w:t>
      </w:r>
      <w:r w:rsidRPr="009F43DE">
        <w:rPr>
          <w:lang w:val="fr-CH"/>
        </w:rPr>
        <w:t xml:space="preserve"> 4,1</w:t>
      </w:r>
      <w:r w:rsidR="003B0067" w:rsidRPr="009F43DE">
        <w:rPr>
          <w:lang w:val="fr-CH"/>
        </w:rPr>
        <w:t> </w:t>
      </w:r>
      <w:r w:rsidRPr="009F43DE">
        <w:rPr>
          <w:lang w:val="fr-CH"/>
        </w:rPr>
        <w:t xml:space="preserve">%, au quatrième trimestre de 2013. Ces statistiques </w:t>
      </w:r>
      <w:r w:rsidR="003B0067" w:rsidRPr="009F43DE">
        <w:rPr>
          <w:lang w:val="fr-CH"/>
        </w:rPr>
        <w:t>témoignent de l</w:t>
      </w:r>
      <w:r w:rsidR="00F8384A" w:rsidRPr="009F43DE">
        <w:rPr>
          <w:lang w:val="fr-CH"/>
        </w:rPr>
        <w:t>’</w:t>
      </w:r>
      <w:r w:rsidR="003B0067" w:rsidRPr="009F43DE">
        <w:rPr>
          <w:lang w:val="fr-CH"/>
        </w:rPr>
        <w:t xml:space="preserve">efficacité des politiques mises en </w:t>
      </w:r>
      <w:r w:rsidR="007574C7" w:rsidRPr="009F43DE">
        <w:rPr>
          <w:lang w:val="fr-CH"/>
        </w:rPr>
        <w:t>œuvre</w:t>
      </w:r>
      <w:r w:rsidR="003B0067" w:rsidRPr="009F43DE">
        <w:rPr>
          <w:lang w:val="fr-CH"/>
        </w:rPr>
        <w:t xml:space="preserve"> par le</w:t>
      </w:r>
      <w:r w:rsidRPr="009F43DE">
        <w:rPr>
          <w:lang w:val="fr-CH"/>
        </w:rPr>
        <w:t xml:space="preserve"> Gouvernement </w:t>
      </w:r>
      <w:r w:rsidR="003B0067" w:rsidRPr="009F43DE">
        <w:rPr>
          <w:lang w:val="fr-CH"/>
        </w:rPr>
        <w:t>sri-lankais</w:t>
      </w:r>
      <w:r w:rsidRPr="009F43DE">
        <w:rPr>
          <w:lang w:val="fr-CH"/>
        </w:rPr>
        <w:t xml:space="preserve"> pour </w:t>
      </w:r>
      <w:r w:rsidR="003B0067" w:rsidRPr="009F43DE">
        <w:rPr>
          <w:lang w:val="fr-CH"/>
        </w:rPr>
        <w:t xml:space="preserve">lutter contre la pauvreté de manière </w:t>
      </w:r>
      <w:r w:rsidRPr="009F43DE">
        <w:rPr>
          <w:lang w:val="fr-CH"/>
        </w:rPr>
        <w:t>inclusive</w:t>
      </w:r>
      <w:r w:rsidR="003B0067" w:rsidRPr="009F43DE">
        <w:rPr>
          <w:lang w:val="fr-CH"/>
        </w:rPr>
        <w:t xml:space="preserve"> et sur un large front</w:t>
      </w:r>
      <w:r w:rsidRPr="009F43DE">
        <w:rPr>
          <w:lang w:val="fr-CH"/>
        </w:rPr>
        <w:t xml:space="preserve">. </w:t>
      </w:r>
    </w:p>
    <w:p w:rsidR="00C77E1E" w:rsidRPr="009F43DE" w:rsidRDefault="00C77E1E" w:rsidP="00C77E1E">
      <w:pPr>
        <w:pStyle w:val="SingleTxtG"/>
        <w:rPr>
          <w:color w:val="000000"/>
          <w:lang w:val="fr-CH"/>
        </w:rPr>
      </w:pPr>
      <w:r w:rsidRPr="009F43DE">
        <w:rPr>
          <w:lang w:val="fr-CH"/>
        </w:rPr>
        <w:t>94.</w:t>
      </w:r>
      <w:r w:rsidRPr="009F43DE">
        <w:rPr>
          <w:lang w:val="fr-CH"/>
        </w:rPr>
        <w:tab/>
        <w:t>Alors que le lancement de programmes massifs de développement au niveau macr</w:t>
      </w:r>
      <w:r w:rsidR="00727421" w:rsidRPr="009F43DE">
        <w:rPr>
          <w:lang w:val="fr-CH"/>
        </w:rPr>
        <w:t>oé</w:t>
      </w:r>
      <w:r w:rsidR="003B0067" w:rsidRPr="009F43DE">
        <w:rPr>
          <w:lang w:val="fr-CH"/>
        </w:rPr>
        <w:t>conomique</w:t>
      </w:r>
      <w:r w:rsidRPr="009F43DE">
        <w:rPr>
          <w:lang w:val="fr-CH"/>
        </w:rPr>
        <w:t>, tels que la construction de ports</w:t>
      </w:r>
      <w:r w:rsidR="003B0067" w:rsidRPr="009F43DE">
        <w:rPr>
          <w:lang w:val="fr-CH"/>
        </w:rPr>
        <w:t>,</w:t>
      </w:r>
      <w:r w:rsidRPr="009F43DE">
        <w:rPr>
          <w:lang w:val="fr-CH"/>
        </w:rPr>
        <w:t xml:space="preserve"> d</w:t>
      </w:r>
      <w:r w:rsidR="00F8384A" w:rsidRPr="009F43DE">
        <w:rPr>
          <w:lang w:val="fr-CH"/>
        </w:rPr>
        <w:t>’</w:t>
      </w:r>
      <w:r w:rsidRPr="009F43DE">
        <w:rPr>
          <w:lang w:val="fr-CH"/>
        </w:rPr>
        <w:t>aéroports</w:t>
      </w:r>
      <w:r w:rsidR="003B0067" w:rsidRPr="009F43DE">
        <w:rPr>
          <w:lang w:val="fr-CH"/>
        </w:rPr>
        <w:t xml:space="preserve"> et</w:t>
      </w:r>
      <w:r w:rsidRPr="009F43DE">
        <w:rPr>
          <w:lang w:val="fr-CH"/>
        </w:rPr>
        <w:t xml:space="preserve"> </w:t>
      </w:r>
      <w:r w:rsidR="003B0067" w:rsidRPr="009F43DE">
        <w:rPr>
          <w:lang w:val="fr-CH"/>
        </w:rPr>
        <w:t>d</w:t>
      </w:r>
      <w:r w:rsidR="00F8384A" w:rsidRPr="009F43DE">
        <w:rPr>
          <w:lang w:val="fr-CH"/>
        </w:rPr>
        <w:t>’</w:t>
      </w:r>
      <w:r w:rsidRPr="009F43DE">
        <w:rPr>
          <w:lang w:val="fr-CH"/>
        </w:rPr>
        <w:t>autoroutes, la promotion des télécommunication</w:t>
      </w:r>
      <w:r w:rsidR="00727421" w:rsidRPr="009F43DE">
        <w:rPr>
          <w:lang w:val="fr-CH"/>
        </w:rPr>
        <w:t>s et du</w:t>
      </w:r>
      <w:r w:rsidRPr="009F43DE">
        <w:rPr>
          <w:lang w:val="fr-CH"/>
        </w:rPr>
        <w:t xml:space="preserve"> tourisme et la planification et le développement des communes </w:t>
      </w:r>
      <w:r w:rsidR="00727421" w:rsidRPr="009F43DE">
        <w:rPr>
          <w:lang w:val="fr-CH"/>
        </w:rPr>
        <w:t>afin de</w:t>
      </w:r>
      <w:r w:rsidRPr="009F43DE">
        <w:rPr>
          <w:lang w:val="fr-CH"/>
        </w:rPr>
        <w:t xml:space="preserve"> faire d</w:t>
      </w:r>
      <w:r w:rsidR="00727421" w:rsidRPr="009F43DE">
        <w:rPr>
          <w:lang w:val="fr-CH"/>
        </w:rPr>
        <w:t>e</w:t>
      </w:r>
      <w:r w:rsidRPr="009F43DE">
        <w:rPr>
          <w:lang w:val="fr-CH"/>
        </w:rPr>
        <w:t xml:space="preserve"> Sri Lanka</w:t>
      </w:r>
      <w:r w:rsidR="00727421" w:rsidRPr="009F43DE">
        <w:rPr>
          <w:lang w:val="fr-CH"/>
        </w:rPr>
        <w:t xml:space="preserve"> une plaque</w:t>
      </w:r>
      <w:r w:rsidR="008F3872">
        <w:rPr>
          <w:lang w:val="fr-CH"/>
        </w:rPr>
        <w:t xml:space="preserve"> </w:t>
      </w:r>
      <w:r w:rsidR="00727421" w:rsidRPr="009F43DE">
        <w:rPr>
          <w:lang w:val="fr-CH"/>
        </w:rPr>
        <w:t xml:space="preserve">tournante </w:t>
      </w:r>
      <w:r w:rsidRPr="009F43DE">
        <w:rPr>
          <w:lang w:val="fr-CH"/>
        </w:rPr>
        <w:t>des transports, du tourisme et de</w:t>
      </w:r>
      <w:r w:rsidR="00727421" w:rsidRPr="009F43DE">
        <w:rPr>
          <w:lang w:val="fr-CH"/>
        </w:rPr>
        <w:t>s</w:t>
      </w:r>
      <w:r w:rsidRPr="009F43DE">
        <w:rPr>
          <w:lang w:val="fr-CH"/>
        </w:rPr>
        <w:t xml:space="preserve"> communication</w:t>
      </w:r>
      <w:r w:rsidR="00727421" w:rsidRPr="009F43DE">
        <w:rPr>
          <w:lang w:val="fr-CH"/>
        </w:rPr>
        <w:t>s,</w:t>
      </w:r>
      <w:r w:rsidRPr="009F43DE">
        <w:rPr>
          <w:lang w:val="fr-CH"/>
        </w:rPr>
        <w:t xml:space="preserve"> </w:t>
      </w:r>
      <w:r w:rsidR="00727421" w:rsidRPr="009F43DE">
        <w:rPr>
          <w:lang w:val="fr-CH"/>
        </w:rPr>
        <w:t>favorise la</w:t>
      </w:r>
      <w:r w:rsidRPr="009F43DE">
        <w:rPr>
          <w:lang w:val="fr-CH"/>
        </w:rPr>
        <w:t xml:space="preserve"> croissance économique, l</w:t>
      </w:r>
      <w:r w:rsidR="00F8384A" w:rsidRPr="009F43DE">
        <w:rPr>
          <w:lang w:val="fr-CH"/>
        </w:rPr>
        <w:t>’</w:t>
      </w:r>
      <w:r w:rsidRPr="009F43DE">
        <w:rPr>
          <w:lang w:val="fr-CH"/>
        </w:rPr>
        <w:t xml:space="preserve">exécution simultanée de programmes de développement rural centrés sur les villages, tels que </w:t>
      </w:r>
      <w:r w:rsidR="00727421" w:rsidRPr="009F43DE">
        <w:rPr>
          <w:lang w:val="fr-CH"/>
        </w:rPr>
        <w:t xml:space="preserve">le </w:t>
      </w:r>
      <w:r w:rsidRPr="009F43DE">
        <w:rPr>
          <w:lang w:val="fr-CH"/>
        </w:rPr>
        <w:t>Programme d</w:t>
      </w:r>
      <w:r w:rsidR="00727421" w:rsidRPr="009F43DE">
        <w:rPr>
          <w:lang w:val="fr-CH"/>
        </w:rPr>
        <w:t>e rénovation des</w:t>
      </w:r>
      <w:r w:rsidRPr="009F43DE">
        <w:rPr>
          <w:lang w:val="fr-CH"/>
        </w:rPr>
        <w:t xml:space="preserve"> village</w:t>
      </w:r>
      <w:r w:rsidR="00727421" w:rsidRPr="009F43DE">
        <w:rPr>
          <w:lang w:val="fr-CH"/>
        </w:rPr>
        <w:t>s (Gama Neguma</w:t>
      </w:r>
      <w:r w:rsidRPr="009F43DE">
        <w:rPr>
          <w:lang w:val="fr-CH"/>
        </w:rPr>
        <w:t xml:space="preserve">) et </w:t>
      </w:r>
      <w:r w:rsidR="00727421" w:rsidRPr="009F43DE">
        <w:rPr>
          <w:lang w:val="fr-CH"/>
        </w:rPr>
        <w:t>le P</w:t>
      </w:r>
      <w:r w:rsidRPr="009F43DE">
        <w:rPr>
          <w:lang w:val="fr-CH"/>
        </w:rPr>
        <w:t>rogramme de développement des moyens de subsistance</w:t>
      </w:r>
      <w:r w:rsidR="00727421" w:rsidRPr="009F43DE">
        <w:rPr>
          <w:lang w:val="fr-CH"/>
        </w:rPr>
        <w:t xml:space="preserve"> (Divi Neguma</w:t>
      </w:r>
      <w:r w:rsidRPr="009F43DE">
        <w:rPr>
          <w:lang w:val="fr-CH"/>
        </w:rPr>
        <w:t>)</w:t>
      </w:r>
      <w:r w:rsidR="00727421" w:rsidRPr="009F43DE">
        <w:rPr>
          <w:lang w:val="fr-CH"/>
        </w:rPr>
        <w:t>,</w:t>
      </w:r>
      <w:r w:rsidRPr="009F43DE">
        <w:rPr>
          <w:lang w:val="fr-CH"/>
        </w:rPr>
        <w:t xml:space="preserve"> </w:t>
      </w:r>
      <w:r w:rsidR="00641CFA" w:rsidRPr="009F43DE">
        <w:rPr>
          <w:lang w:val="fr-CH"/>
        </w:rPr>
        <w:t>vise à autonomiser</w:t>
      </w:r>
      <w:r w:rsidRPr="009F43DE">
        <w:rPr>
          <w:lang w:val="fr-CH"/>
        </w:rPr>
        <w:t xml:space="preserve"> les </w:t>
      </w:r>
      <w:r w:rsidR="00641CFA" w:rsidRPr="009F43DE">
        <w:rPr>
          <w:lang w:val="fr-CH"/>
        </w:rPr>
        <w:t>populations concernées</w:t>
      </w:r>
      <w:r w:rsidRPr="009F43DE">
        <w:rPr>
          <w:color w:val="000000"/>
          <w:lang w:val="fr-CH"/>
        </w:rPr>
        <w:t>.</w:t>
      </w:r>
      <w:r w:rsidR="00C91A83">
        <w:rPr>
          <w:color w:val="000000"/>
          <w:lang w:val="fr-CH"/>
        </w:rPr>
        <w:t xml:space="preserve"> </w:t>
      </w:r>
    </w:p>
    <w:p w:rsidR="00C77E1E" w:rsidRPr="009F43DE" w:rsidRDefault="00C77E1E" w:rsidP="00C77E1E">
      <w:pPr>
        <w:pStyle w:val="SingleTxtG"/>
        <w:rPr>
          <w:lang w:val="fr-CH"/>
        </w:rPr>
      </w:pPr>
      <w:r w:rsidRPr="009F43DE">
        <w:rPr>
          <w:color w:val="000000"/>
          <w:lang w:val="fr-CH"/>
        </w:rPr>
        <w:t>95.</w:t>
      </w:r>
      <w:r w:rsidRPr="009F43DE">
        <w:rPr>
          <w:color w:val="000000"/>
          <w:lang w:val="fr-CH"/>
        </w:rPr>
        <w:tab/>
        <w:t>L</w:t>
      </w:r>
      <w:r w:rsidR="00F8384A" w:rsidRPr="009F43DE">
        <w:rPr>
          <w:color w:val="000000"/>
          <w:lang w:val="fr-CH"/>
        </w:rPr>
        <w:t>’</w:t>
      </w:r>
      <w:r w:rsidRPr="009F43DE">
        <w:rPr>
          <w:color w:val="000000"/>
          <w:lang w:val="fr-CH"/>
        </w:rPr>
        <w:t>objectif principal du Programme de développement des moyens de</w:t>
      </w:r>
      <w:r w:rsidRPr="009F43DE">
        <w:rPr>
          <w:lang w:val="fr-CH"/>
        </w:rPr>
        <w:t xml:space="preserve"> subsistance est d</w:t>
      </w:r>
      <w:r w:rsidR="00641CFA" w:rsidRPr="009F43DE">
        <w:rPr>
          <w:lang w:val="fr-CH"/>
        </w:rPr>
        <w:t>e promouvoir</w:t>
      </w:r>
      <w:r w:rsidRPr="009F43DE">
        <w:rPr>
          <w:lang w:val="fr-CH"/>
        </w:rPr>
        <w:t xml:space="preserve"> un large éventail d</w:t>
      </w:r>
      <w:r w:rsidR="00F8384A" w:rsidRPr="009F43DE">
        <w:rPr>
          <w:lang w:val="fr-CH"/>
        </w:rPr>
        <w:t>’</w:t>
      </w:r>
      <w:r w:rsidRPr="009F43DE">
        <w:rPr>
          <w:lang w:val="fr-CH"/>
        </w:rPr>
        <w:t xml:space="preserve">activités </w:t>
      </w:r>
      <w:r w:rsidR="00641CFA" w:rsidRPr="009F43DE">
        <w:rPr>
          <w:lang w:val="fr-CH"/>
        </w:rPr>
        <w:t xml:space="preserve">économiques </w:t>
      </w:r>
      <w:r w:rsidRPr="009F43DE">
        <w:rPr>
          <w:lang w:val="fr-CH"/>
        </w:rPr>
        <w:t xml:space="preserve">et de services </w:t>
      </w:r>
      <w:r w:rsidR="00641CFA" w:rsidRPr="009F43DE">
        <w:rPr>
          <w:lang w:val="fr-CH"/>
        </w:rPr>
        <w:t>afin de</w:t>
      </w:r>
      <w:r w:rsidRPr="009F43DE">
        <w:rPr>
          <w:lang w:val="fr-CH"/>
        </w:rPr>
        <w:t xml:space="preserve"> protéger les ménages contre diverses vulnérabilités du marché </w:t>
      </w:r>
      <w:r w:rsidR="00641CFA" w:rsidRPr="009F43DE">
        <w:rPr>
          <w:lang w:val="fr-CH"/>
        </w:rPr>
        <w:t xml:space="preserve">et de favoriser des </w:t>
      </w:r>
      <w:r w:rsidRPr="009F43DE">
        <w:rPr>
          <w:lang w:val="fr-CH"/>
        </w:rPr>
        <w:t>mode</w:t>
      </w:r>
      <w:r w:rsidR="00641CFA" w:rsidRPr="009F43DE">
        <w:rPr>
          <w:lang w:val="fr-CH"/>
        </w:rPr>
        <w:t>s</w:t>
      </w:r>
      <w:r w:rsidRPr="009F43DE">
        <w:rPr>
          <w:lang w:val="fr-CH"/>
        </w:rPr>
        <w:t xml:space="preserve"> de vie familia</w:t>
      </w:r>
      <w:r w:rsidR="00641CFA" w:rsidRPr="009F43DE">
        <w:rPr>
          <w:lang w:val="fr-CH"/>
        </w:rPr>
        <w:t>ux</w:t>
      </w:r>
      <w:r w:rsidRPr="009F43DE">
        <w:rPr>
          <w:lang w:val="fr-CH"/>
        </w:rPr>
        <w:t xml:space="preserve"> sain</w:t>
      </w:r>
      <w:r w:rsidR="00641CFA" w:rsidRPr="009F43DE">
        <w:rPr>
          <w:lang w:val="fr-CH"/>
        </w:rPr>
        <w:t>s</w:t>
      </w:r>
      <w:r w:rsidRPr="009F43DE">
        <w:rPr>
          <w:lang w:val="fr-CH"/>
        </w:rPr>
        <w:t xml:space="preserve">, en particulier dans les zones rurales. </w:t>
      </w:r>
      <w:r w:rsidR="00641CFA" w:rsidRPr="009F43DE">
        <w:rPr>
          <w:lang w:val="fr-CH"/>
        </w:rPr>
        <w:t>L</w:t>
      </w:r>
      <w:r w:rsidR="00F8384A" w:rsidRPr="009F43DE">
        <w:rPr>
          <w:lang w:val="fr-CH"/>
        </w:rPr>
        <w:t>’</w:t>
      </w:r>
      <w:r w:rsidRPr="009F43DE">
        <w:rPr>
          <w:lang w:val="fr-CH"/>
        </w:rPr>
        <w:t xml:space="preserve">économie rurale </w:t>
      </w:r>
      <w:r w:rsidR="00641CFA" w:rsidRPr="009F43DE">
        <w:rPr>
          <w:lang w:val="fr-CH"/>
        </w:rPr>
        <w:t>devrait ainsi bénéficier d</w:t>
      </w:r>
      <w:r w:rsidR="00F8384A" w:rsidRPr="009F43DE">
        <w:rPr>
          <w:lang w:val="fr-CH"/>
        </w:rPr>
        <w:t>’</w:t>
      </w:r>
      <w:r w:rsidR="00641CFA" w:rsidRPr="009F43DE">
        <w:rPr>
          <w:lang w:val="fr-CH"/>
        </w:rPr>
        <w:t>un développement durable grâce à la création de</w:t>
      </w:r>
      <w:r w:rsidRPr="009F43DE">
        <w:rPr>
          <w:lang w:val="fr-CH"/>
        </w:rPr>
        <w:t xml:space="preserve"> centres économiques semi-urbains et ruraux dans </w:t>
      </w:r>
      <w:r w:rsidR="00641CFA" w:rsidRPr="009F43DE">
        <w:rPr>
          <w:lang w:val="fr-CH"/>
        </w:rPr>
        <w:t>l</w:t>
      </w:r>
      <w:r w:rsidR="00F8384A" w:rsidRPr="009F43DE">
        <w:rPr>
          <w:lang w:val="fr-CH"/>
        </w:rPr>
        <w:t>’</w:t>
      </w:r>
      <w:r w:rsidR="00641CFA" w:rsidRPr="009F43DE">
        <w:rPr>
          <w:lang w:val="fr-CH"/>
        </w:rPr>
        <w:t xml:space="preserve">ensemble du </w:t>
      </w:r>
      <w:r w:rsidRPr="009F43DE">
        <w:rPr>
          <w:lang w:val="fr-CH"/>
        </w:rPr>
        <w:t>pays.</w:t>
      </w:r>
    </w:p>
    <w:p w:rsidR="00C77E1E" w:rsidRPr="009F43DE" w:rsidRDefault="00C77E1E" w:rsidP="00C77E1E">
      <w:pPr>
        <w:pStyle w:val="SingleTxtG"/>
        <w:rPr>
          <w:lang w:val="fr-CH"/>
        </w:rPr>
      </w:pPr>
      <w:r w:rsidRPr="009F43DE">
        <w:rPr>
          <w:lang w:val="fr-CH"/>
        </w:rPr>
        <w:t>96.</w:t>
      </w:r>
      <w:r w:rsidRPr="009F43DE">
        <w:rPr>
          <w:lang w:val="fr-CH"/>
        </w:rPr>
        <w:tab/>
        <w:t>L</w:t>
      </w:r>
      <w:r w:rsidR="00F8384A" w:rsidRPr="009F43DE">
        <w:rPr>
          <w:lang w:val="fr-CH"/>
        </w:rPr>
        <w:t>’</w:t>
      </w:r>
      <w:r w:rsidR="00641CFA" w:rsidRPr="009F43DE">
        <w:rPr>
          <w:lang w:val="fr-CH"/>
        </w:rPr>
        <w:t xml:space="preserve">Autorité chargée du Programme de rénovation des villages est le fruit de la fusion, aux termes de la loi </w:t>
      </w:r>
      <w:r w:rsidR="00884045">
        <w:rPr>
          <w:lang w:val="fr-CH"/>
        </w:rPr>
        <w:t>n</w:t>
      </w:r>
      <w:r w:rsidR="00884045" w:rsidRPr="00884045">
        <w:rPr>
          <w:vertAlign w:val="superscript"/>
          <w:lang w:val="fr-CH"/>
        </w:rPr>
        <w:t>o</w:t>
      </w:r>
      <w:r w:rsidR="00641CFA" w:rsidRPr="009F43DE">
        <w:rPr>
          <w:lang w:val="fr-CH"/>
        </w:rPr>
        <w:t xml:space="preserve"> 1 de 2013 relative au programme Divi Neguma, </w:t>
      </w:r>
      <w:r w:rsidRPr="009F43DE">
        <w:rPr>
          <w:lang w:val="fr-CH"/>
        </w:rPr>
        <w:t xml:space="preserve">de la Sri Lanka Samurdhi Authority, </w:t>
      </w:r>
      <w:r w:rsidR="00641CFA" w:rsidRPr="009F43DE">
        <w:rPr>
          <w:lang w:val="fr-CH"/>
        </w:rPr>
        <w:t xml:space="preserve">de </w:t>
      </w:r>
      <w:r w:rsidRPr="009F43DE">
        <w:rPr>
          <w:lang w:val="fr-CH"/>
        </w:rPr>
        <w:t xml:space="preserve">la Up Country Development Authority et </w:t>
      </w:r>
      <w:r w:rsidR="00641CFA" w:rsidRPr="009F43DE">
        <w:rPr>
          <w:lang w:val="fr-CH"/>
        </w:rPr>
        <w:t xml:space="preserve">de </w:t>
      </w:r>
      <w:r w:rsidRPr="009F43DE">
        <w:rPr>
          <w:lang w:val="fr-CH"/>
        </w:rPr>
        <w:t>la Southern Development Authority</w:t>
      </w:r>
      <w:r w:rsidR="00641CFA" w:rsidRPr="009F43DE">
        <w:rPr>
          <w:lang w:val="fr-CH"/>
        </w:rPr>
        <w:t>. Ses principaux objectifs sont mes suivants</w:t>
      </w:r>
      <w:r w:rsidR="00F8384A" w:rsidRPr="009F43DE">
        <w:rPr>
          <w:lang w:val="fr-CH"/>
        </w:rPr>
        <w:t>:</w:t>
      </w:r>
    </w:p>
    <w:p w:rsidR="00C77E1E" w:rsidRPr="009F43DE" w:rsidRDefault="00C77E1E" w:rsidP="00C77E1E">
      <w:pPr>
        <w:pStyle w:val="Bullet1G"/>
        <w:numPr>
          <w:ilvl w:val="0"/>
          <w:numId w:val="0"/>
        </w:numPr>
        <w:tabs>
          <w:tab w:val="left" w:pos="1701"/>
        </w:tabs>
        <w:ind w:left="1701" w:hanging="170"/>
        <w:rPr>
          <w:lang w:val="fr-CH"/>
        </w:rPr>
      </w:pPr>
      <w:r w:rsidRPr="009F43DE">
        <w:rPr>
          <w:lang w:val="fr-CH"/>
        </w:rPr>
        <w:t>•</w:t>
      </w:r>
      <w:r w:rsidRPr="009F43DE">
        <w:rPr>
          <w:lang w:val="fr-CH"/>
        </w:rPr>
        <w:tab/>
        <w:t xml:space="preserve">Mener des activités de développement pour réduire la pauvreté et </w:t>
      </w:r>
      <w:r w:rsidR="00641CFA" w:rsidRPr="009F43DE">
        <w:rPr>
          <w:lang w:val="fr-CH"/>
        </w:rPr>
        <w:t xml:space="preserve">favoriser </w:t>
      </w:r>
      <w:r w:rsidRPr="009F43DE">
        <w:rPr>
          <w:lang w:val="fr-CH"/>
        </w:rPr>
        <w:t>l</w:t>
      </w:r>
      <w:r w:rsidR="00F8384A" w:rsidRPr="009F43DE">
        <w:rPr>
          <w:lang w:val="fr-CH"/>
        </w:rPr>
        <w:t>’</w:t>
      </w:r>
      <w:r w:rsidRPr="009F43DE">
        <w:rPr>
          <w:lang w:val="fr-CH"/>
        </w:rPr>
        <w:t>équité sociale</w:t>
      </w:r>
      <w:r w:rsidR="00884045">
        <w:rPr>
          <w:color w:val="000000"/>
          <w:lang w:val="fr-CH"/>
        </w:rPr>
        <w:t>;</w:t>
      </w:r>
    </w:p>
    <w:p w:rsidR="00C77E1E" w:rsidRPr="009F43DE" w:rsidRDefault="00C77E1E" w:rsidP="00C77E1E">
      <w:pPr>
        <w:pStyle w:val="Bullet1G"/>
        <w:numPr>
          <w:ilvl w:val="0"/>
          <w:numId w:val="0"/>
        </w:numPr>
        <w:tabs>
          <w:tab w:val="left" w:pos="1701"/>
        </w:tabs>
        <w:ind w:left="1701" w:hanging="170"/>
        <w:rPr>
          <w:lang w:val="fr-CH"/>
        </w:rPr>
      </w:pPr>
      <w:r w:rsidRPr="009F43DE">
        <w:rPr>
          <w:lang w:val="fr-CH"/>
        </w:rPr>
        <w:t>•</w:t>
      </w:r>
      <w:r w:rsidRPr="009F43DE">
        <w:rPr>
          <w:lang w:val="fr-CH"/>
        </w:rPr>
        <w:tab/>
      </w:r>
      <w:r w:rsidR="00641CFA" w:rsidRPr="009F43DE">
        <w:rPr>
          <w:lang w:val="fr-CH"/>
        </w:rPr>
        <w:t xml:space="preserve">Encourager </w:t>
      </w:r>
      <w:r w:rsidRPr="009F43DE">
        <w:rPr>
          <w:lang w:val="fr-CH"/>
        </w:rPr>
        <w:t>les activités de développement économique centrées sur l</w:t>
      </w:r>
      <w:r w:rsidR="00F8384A" w:rsidRPr="009F43DE">
        <w:rPr>
          <w:lang w:val="fr-CH"/>
        </w:rPr>
        <w:t>’</w:t>
      </w:r>
      <w:r w:rsidRPr="009F43DE">
        <w:rPr>
          <w:lang w:val="fr-CH"/>
        </w:rPr>
        <w:t>individu, la famille, le groupe et la communauté</w:t>
      </w:r>
      <w:r w:rsidR="00884045">
        <w:rPr>
          <w:color w:val="000000"/>
          <w:lang w:val="fr-CH"/>
        </w:rPr>
        <w:t>;</w:t>
      </w:r>
    </w:p>
    <w:p w:rsidR="00C77E1E" w:rsidRPr="009F43DE" w:rsidRDefault="00C77E1E" w:rsidP="00C77E1E">
      <w:pPr>
        <w:pStyle w:val="Bullet1G"/>
        <w:numPr>
          <w:ilvl w:val="0"/>
          <w:numId w:val="0"/>
        </w:numPr>
        <w:tabs>
          <w:tab w:val="left" w:pos="1701"/>
        </w:tabs>
        <w:ind w:left="1701" w:hanging="170"/>
        <w:rPr>
          <w:lang w:val="fr-CH"/>
        </w:rPr>
      </w:pPr>
      <w:r w:rsidRPr="009F43DE">
        <w:rPr>
          <w:lang w:val="fr-CH"/>
        </w:rPr>
        <w:t>•</w:t>
      </w:r>
      <w:r w:rsidRPr="009F43DE">
        <w:rPr>
          <w:lang w:val="fr-CH"/>
        </w:rPr>
        <w:tab/>
        <w:t xml:space="preserve">Garantir la sécurité alimentaire pour chaque individu et </w:t>
      </w:r>
      <w:r w:rsidR="00641CFA" w:rsidRPr="009F43DE">
        <w:rPr>
          <w:lang w:val="fr-CH"/>
        </w:rPr>
        <w:t xml:space="preserve">pour chaque </w:t>
      </w:r>
      <w:r w:rsidRPr="009F43DE">
        <w:rPr>
          <w:lang w:val="fr-CH"/>
        </w:rPr>
        <w:t>famille</w:t>
      </w:r>
      <w:r w:rsidR="00884045">
        <w:rPr>
          <w:color w:val="000000"/>
          <w:lang w:val="fr-CH"/>
        </w:rPr>
        <w:t>;</w:t>
      </w:r>
    </w:p>
    <w:p w:rsidR="00C77E1E" w:rsidRPr="009F43DE" w:rsidRDefault="00C77E1E" w:rsidP="00C77E1E">
      <w:pPr>
        <w:pStyle w:val="Bullet1G"/>
        <w:numPr>
          <w:ilvl w:val="0"/>
          <w:numId w:val="0"/>
        </w:numPr>
        <w:tabs>
          <w:tab w:val="left" w:pos="1701"/>
        </w:tabs>
        <w:ind w:left="1701" w:hanging="170"/>
        <w:rPr>
          <w:lang w:val="fr-CH"/>
        </w:rPr>
      </w:pPr>
      <w:r w:rsidRPr="009F43DE">
        <w:rPr>
          <w:lang w:val="fr-CH"/>
        </w:rPr>
        <w:t>•</w:t>
      </w:r>
      <w:r w:rsidRPr="009F43DE">
        <w:rPr>
          <w:lang w:val="fr-CH"/>
        </w:rPr>
        <w:tab/>
        <w:t xml:space="preserve">Fournir des micro-financements </w:t>
      </w:r>
      <w:r w:rsidR="00641CFA" w:rsidRPr="009F43DE">
        <w:rPr>
          <w:lang w:val="fr-CH"/>
        </w:rPr>
        <w:t>afin de</w:t>
      </w:r>
      <w:r w:rsidRPr="009F43DE">
        <w:rPr>
          <w:lang w:val="fr-CH"/>
        </w:rPr>
        <w:t xml:space="preserve"> promouvoir l</w:t>
      </w:r>
      <w:r w:rsidR="00F8384A" w:rsidRPr="009F43DE">
        <w:rPr>
          <w:lang w:val="fr-CH"/>
        </w:rPr>
        <w:t>’</w:t>
      </w:r>
      <w:r w:rsidR="00641CFA" w:rsidRPr="009F43DE">
        <w:rPr>
          <w:lang w:val="fr-CH"/>
        </w:rPr>
        <w:t xml:space="preserve">amélioration </w:t>
      </w:r>
      <w:r w:rsidRPr="009F43DE">
        <w:rPr>
          <w:lang w:val="fr-CH"/>
        </w:rPr>
        <w:t>des moyens de subsistance</w:t>
      </w:r>
      <w:r w:rsidR="00502F26" w:rsidRPr="009F43DE">
        <w:rPr>
          <w:lang w:val="fr-CH"/>
        </w:rPr>
        <w:t>.</w:t>
      </w:r>
    </w:p>
    <w:p w:rsidR="00C77E1E" w:rsidRPr="009F43DE" w:rsidRDefault="00C77E1E" w:rsidP="00C77E1E">
      <w:pPr>
        <w:pStyle w:val="SingleTxtG"/>
        <w:rPr>
          <w:lang w:val="fr-CH"/>
        </w:rPr>
      </w:pPr>
      <w:r w:rsidRPr="009F43DE">
        <w:rPr>
          <w:lang w:val="fr-CH"/>
        </w:rPr>
        <w:t>97.</w:t>
      </w:r>
      <w:r w:rsidRPr="009F43DE">
        <w:rPr>
          <w:lang w:val="fr-CH"/>
        </w:rPr>
        <w:tab/>
      </w:r>
      <w:r w:rsidR="00502F26" w:rsidRPr="009F43DE">
        <w:rPr>
          <w:lang w:val="fr-CH"/>
        </w:rPr>
        <w:t>Dans le cadre de l</w:t>
      </w:r>
      <w:r w:rsidRPr="009F43DE">
        <w:rPr>
          <w:lang w:val="fr-CH"/>
        </w:rPr>
        <w:t>a politique nationale en matière de ressources humaines et d</w:t>
      </w:r>
      <w:r w:rsidR="00F8384A" w:rsidRPr="009F43DE">
        <w:rPr>
          <w:lang w:val="fr-CH"/>
        </w:rPr>
        <w:t>’</w:t>
      </w:r>
      <w:r w:rsidRPr="009F43DE">
        <w:rPr>
          <w:lang w:val="fr-CH"/>
        </w:rPr>
        <w:t>emploi</w:t>
      </w:r>
      <w:r w:rsidR="00502F26" w:rsidRPr="009F43DE">
        <w:rPr>
          <w:lang w:val="fr-CH"/>
        </w:rPr>
        <w:t>,</w:t>
      </w:r>
      <w:r w:rsidRPr="009F43DE">
        <w:rPr>
          <w:lang w:val="fr-CH"/>
        </w:rPr>
        <w:t xml:space="preserve"> des accords de sous-traitance </w:t>
      </w:r>
      <w:r w:rsidR="00502F26" w:rsidRPr="009F43DE">
        <w:rPr>
          <w:lang w:val="fr-CH"/>
        </w:rPr>
        <w:t xml:space="preserve">ont été passés </w:t>
      </w:r>
      <w:r w:rsidRPr="009F43DE">
        <w:rPr>
          <w:lang w:val="fr-CH"/>
        </w:rPr>
        <w:t xml:space="preserve">entre les entreprises </w:t>
      </w:r>
      <w:r w:rsidR="00502F26" w:rsidRPr="009F43DE">
        <w:rPr>
          <w:lang w:val="fr-CH"/>
        </w:rPr>
        <w:t>de petite taille et les entreprises de taille</w:t>
      </w:r>
      <w:r w:rsidRPr="009F43DE">
        <w:rPr>
          <w:lang w:val="fr-CH"/>
        </w:rPr>
        <w:t xml:space="preserve"> moyenne pour améliorer les possibilités d</w:t>
      </w:r>
      <w:r w:rsidR="00F8384A" w:rsidRPr="009F43DE">
        <w:rPr>
          <w:lang w:val="fr-CH"/>
        </w:rPr>
        <w:t>’</w:t>
      </w:r>
      <w:r w:rsidRPr="009F43DE">
        <w:rPr>
          <w:lang w:val="fr-CH"/>
        </w:rPr>
        <w:t>emploi dans les régions moins privilégié</w:t>
      </w:r>
      <w:r w:rsidR="00502F26" w:rsidRPr="009F43DE">
        <w:rPr>
          <w:lang w:val="fr-CH"/>
        </w:rPr>
        <w:t>e</w:t>
      </w:r>
      <w:r w:rsidRPr="009F43DE">
        <w:rPr>
          <w:lang w:val="fr-CH"/>
        </w:rPr>
        <w:t xml:space="preserve">s et </w:t>
      </w:r>
      <w:r w:rsidR="00502F26" w:rsidRPr="009F43DE">
        <w:rPr>
          <w:lang w:val="fr-CH"/>
        </w:rPr>
        <w:t>sous-</w:t>
      </w:r>
      <w:r w:rsidRPr="009F43DE">
        <w:rPr>
          <w:lang w:val="fr-CH"/>
        </w:rPr>
        <w:t xml:space="preserve">développées. </w:t>
      </w:r>
      <w:r w:rsidR="00502F26" w:rsidRPr="009F43DE">
        <w:rPr>
          <w:lang w:val="fr-CH"/>
        </w:rPr>
        <w:t xml:space="preserve">En outre, les grandes entreprises </w:t>
      </w:r>
      <w:r w:rsidRPr="009F43DE">
        <w:rPr>
          <w:lang w:val="fr-CH"/>
        </w:rPr>
        <w:t xml:space="preserve">du secteur privé </w:t>
      </w:r>
      <w:r w:rsidR="00502F26" w:rsidRPr="009F43DE">
        <w:rPr>
          <w:lang w:val="fr-CH"/>
        </w:rPr>
        <w:t xml:space="preserve">sont </w:t>
      </w:r>
      <w:r w:rsidRPr="009F43DE">
        <w:rPr>
          <w:lang w:val="fr-CH"/>
        </w:rPr>
        <w:t>encouragé</w:t>
      </w:r>
      <w:r w:rsidR="00502F26" w:rsidRPr="009F43DE">
        <w:rPr>
          <w:lang w:val="fr-CH"/>
        </w:rPr>
        <w:t>e</w:t>
      </w:r>
      <w:r w:rsidRPr="009F43DE">
        <w:rPr>
          <w:lang w:val="fr-CH"/>
        </w:rPr>
        <w:t xml:space="preserve">s à </w:t>
      </w:r>
      <w:r w:rsidR="00502F26" w:rsidRPr="009F43DE">
        <w:rPr>
          <w:lang w:val="fr-CH"/>
        </w:rPr>
        <w:t>s</w:t>
      </w:r>
      <w:r w:rsidR="00F8384A" w:rsidRPr="009F43DE">
        <w:rPr>
          <w:lang w:val="fr-CH"/>
        </w:rPr>
        <w:t>’</w:t>
      </w:r>
      <w:r w:rsidR="00502F26" w:rsidRPr="009F43DE">
        <w:rPr>
          <w:lang w:val="fr-CH"/>
        </w:rPr>
        <w:t>impliquer de façon à se rendre compte du caractère rentable de l</w:t>
      </w:r>
      <w:r w:rsidR="00F8384A" w:rsidRPr="009F43DE">
        <w:rPr>
          <w:lang w:val="fr-CH"/>
        </w:rPr>
        <w:t>’</w:t>
      </w:r>
      <w:r w:rsidR="00502F26" w:rsidRPr="009F43DE">
        <w:rPr>
          <w:lang w:val="fr-CH"/>
        </w:rPr>
        <w:t>externalisation de certaines de leurs activités aux petites et moyennes entreprises.</w:t>
      </w:r>
      <w:r w:rsidRPr="009F43DE">
        <w:rPr>
          <w:lang w:val="fr-CH"/>
        </w:rPr>
        <w:t xml:space="preserve"> </w:t>
      </w:r>
    </w:p>
    <w:p w:rsidR="00C77E1E" w:rsidRPr="009F43DE" w:rsidRDefault="00C77E1E" w:rsidP="00FA3F93">
      <w:pPr>
        <w:pStyle w:val="SingleTxtG"/>
        <w:rPr>
          <w:color w:val="000000"/>
          <w:lang w:val="fr-CH"/>
        </w:rPr>
      </w:pPr>
      <w:r w:rsidRPr="009F43DE">
        <w:rPr>
          <w:lang w:val="fr-CH"/>
        </w:rPr>
        <w:t>98.</w:t>
      </w:r>
      <w:r w:rsidRPr="009F43DE">
        <w:rPr>
          <w:lang w:val="fr-CH"/>
        </w:rPr>
        <w:tab/>
        <w:t xml:space="preserve">Le Gouvernement </w:t>
      </w:r>
      <w:r w:rsidR="00502F26" w:rsidRPr="009F43DE">
        <w:rPr>
          <w:lang w:val="fr-CH"/>
        </w:rPr>
        <w:t>sri-lankais</w:t>
      </w:r>
      <w:r w:rsidRPr="009F43DE">
        <w:rPr>
          <w:lang w:val="fr-CH"/>
        </w:rPr>
        <w:t xml:space="preserve"> envisage d</w:t>
      </w:r>
      <w:r w:rsidR="00F8384A" w:rsidRPr="009F43DE">
        <w:rPr>
          <w:lang w:val="fr-CH"/>
        </w:rPr>
        <w:t>’</w:t>
      </w:r>
      <w:r w:rsidRPr="009F43DE">
        <w:rPr>
          <w:lang w:val="fr-CH"/>
        </w:rPr>
        <w:t xml:space="preserve">adopter un régime de protection sociale universelle et les mesures nécessaires seront prises pour établir un </w:t>
      </w:r>
      <w:r w:rsidR="00F8384A" w:rsidRPr="009F43DE">
        <w:rPr>
          <w:lang w:val="fr-CH"/>
        </w:rPr>
        <w:t>«</w:t>
      </w:r>
      <w:r w:rsidRPr="009F43DE">
        <w:rPr>
          <w:lang w:val="fr-CH"/>
        </w:rPr>
        <w:t>socle de protection sociale</w:t>
      </w:r>
      <w:r w:rsidR="00F8384A" w:rsidRPr="009F43DE">
        <w:rPr>
          <w:lang w:val="fr-CH"/>
        </w:rPr>
        <w:t>»</w:t>
      </w:r>
      <w:r w:rsidR="00502F26" w:rsidRPr="009F43DE">
        <w:rPr>
          <w:lang w:val="fr-CH"/>
        </w:rPr>
        <w:t>,</w:t>
      </w:r>
      <w:r w:rsidRPr="009F43DE">
        <w:rPr>
          <w:lang w:val="fr-CH"/>
        </w:rPr>
        <w:t xml:space="preserve"> </w:t>
      </w:r>
      <w:r w:rsidR="00FA3F93" w:rsidRPr="009F43DE">
        <w:rPr>
          <w:color w:val="000000"/>
          <w:lang w:val="fr-CH"/>
        </w:rPr>
        <w:t>contenant des garanties élémentaires, comme l</w:t>
      </w:r>
      <w:r w:rsidR="00F8384A" w:rsidRPr="009F43DE">
        <w:rPr>
          <w:color w:val="000000"/>
          <w:lang w:val="fr-CH"/>
        </w:rPr>
        <w:t>’</w:t>
      </w:r>
      <w:r w:rsidR="00FA3F93" w:rsidRPr="009F43DE">
        <w:rPr>
          <w:color w:val="000000"/>
          <w:lang w:val="fr-CH"/>
        </w:rPr>
        <w:t>accès aux soins de santé essentiels; la sécurité élémentaire de revenu pour les</w:t>
      </w:r>
      <w:r w:rsidR="00FA3F93" w:rsidRPr="009F43DE">
        <w:rPr>
          <w:color w:val="4B4B4B"/>
          <w:lang w:val="fr-CH"/>
        </w:rPr>
        <w:t xml:space="preserve"> </w:t>
      </w:r>
      <w:r w:rsidR="00FA3F93" w:rsidRPr="009F43DE">
        <w:rPr>
          <w:color w:val="000000"/>
          <w:lang w:val="fr-CH"/>
        </w:rPr>
        <w:t>enfants, à un niveau défini à l</w:t>
      </w:r>
      <w:r w:rsidR="00F8384A" w:rsidRPr="009F43DE">
        <w:rPr>
          <w:color w:val="000000"/>
          <w:lang w:val="fr-CH"/>
        </w:rPr>
        <w:t>’</w:t>
      </w:r>
      <w:r w:rsidR="00FA3F93" w:rsidRPr="009F43DE">
        <w:rPr>
          <w:color w:val="000000"/>
          <w:lang w:val="fr-CH"/>
        </w:rPr>
        <w:t>échelle nationale, et leur accès à l</w:t>
      </w:r>
      <w:r w:rsidR="00F8384A" w:rsidRPr="009F43DE">
        <w:rPr>
          <w:color w:val="000000"/>
          <w:lang w:val="fr-CH"/>
        </w:rPr>
        <w:t>’</w:t>
      </w:r>
      <w:r w:rsidR="00FA3F93" w:rsidRPr="009F43DE">
        <w:rPr>
          <w:color w:val="000000"/>
          <w:lang w:val="fr-CH"/>
        </w:rPr>
        <w:t>alimentation, à l</w:t>
      </w:r>
      <w:r w:rsidR="00F8384A" w:rsidRPr="009F43DE">
        <w:rPr>
          <w:color w:val="000000"/>
          <w:lang w:val="fr-CH"/>
        </w:rPr>
        <w:t>’</w:t>
      </w:r>
      <w:r w:rsidR="00FA3F93" w:rsidRPr="009F43DE">
        <w:rPr>
          <w:color w:val="000000"/>
          <w:lang w:val="fr-CH"/>
        </w:rPr>
        <w:t>éducation et aux soins; la sécurité élémentaire de revenu pour les personnes d</w:t>
      </w:r>
      <w:r w:rsidR="00F8384A" w:rsidRPr="009F43DE">
        <w:rPr>
          <w:color w:val="000000"/>
          <w:lang w:val="fr-CH"/>
        </w:rPr>
        <w:t>’</w:t>
      </w:r>
      <w:r w:rsidR="00FA3F93" w:rsidRPr="009F43DE">
        <w:rPr>
          <w:color w:val="000000"/>
          <w:lang w:val="fr-CH"/>
        </w:rPr>
        <w:t>âge actif qui sont dans l</w:t>
      </w:r>
      <w:r w:rsidR="00F8384A" w:rsidRPr="009F43DE">
        <w:rPr>
          <w:color w:val="000000"/>
          <w:lang w:val="fr-CH"/>
        </w:rPr>
        <w:t>’</w:t>
      </w:r>
      <w:r w:rsidR="00FA3F93" w:rsidRPr="009F43DE">
        <w:rPr>
          <w:color w:val="000000"/>
          <w:lang w:val="fr-CH"/>
        </w:rPr>
        <w:t>incapacité de gagner un revenu suffisant, notamment dans les cas de chômage; la sécurité élémentaire de revenu pour les personnes âgées et les personnes handicapées.</w:t>
      </w:r>
    </w:p>
    <w:p w:rsidR="00C77E1E" w:rsidRPr="009F43DE" w:rsidRDefault="00C77E1E" w:rsidP="00C77E1E">
      <w:pPr>
        <w:pStyle w:val="H23G"/>
        <w:rPr>
          <w:lang w:val="fr-CH"/>
        </w:rPr>
      </w:pPr>
      <w:r w:rsidRPr="009F43DE">
        <w:rPr>
          <w:lang w:val="fr-CH"/>
        </w:rPr>
        <w:tab/>
      </w:r>
      <w:r w:rsidRPr="009F43DE">
        <w:rPr>
          <w:lang w:val="fr-CH"/>
        </w:rPr>
        <w:tab/>
        <w:t>Violence</w:t>
      </w:r>
      <w:r w:rsidR="00502F26" w:rsidRPr="009F43DE">
        <w:rPr>
          <w:lang w:val="fr-CH"/>
        </w:rPr>
        <w:t>s</w:t>
      </w:r>
      <w:r w:rsidRPr="009F43DE">
        <w:rPr>
          <w:lang w:val="fr-CH"/>
        </w:rPr>
        <w:t xml:space="preserve"> contre les femmes </w:t>
      </w:r>
      <w:r w:rsidR="00884045">
        <w:rPr>
          <w:lang w:val="fr-CH"/>
        </w:rPr>
        <w:t>(</w:t>
      </w:r>
      <w:r w:rsidR="00502F26" w:rsidRPr="009F43DE">
        <w:rPr>
          <w:lang w:val="fr-CH"/>
        </w:rPr>
        <w:t>p</w:t>
      </w:r>
      <w:r w:rsidRPr="009F43DE">
        <w:rPr>
          <w:lang w:val="fr-CH"/>
        </w:rPr>
        <w:t>ar</w:t>
      </w:r>
      <w:r w:rsidR="00884045">
        <w:rPr>
          <w:lang w:val="fr-CH"/>
        </w:rPr>
        <w:t xml:space="preserve">. </w:t>
      </w:r>
      <w:r w:rsidRPr="009F43DE">
        <w:rPr>
          <w:lang w:val="fr-CH"/>
        </w:rPr>
        <w:t>24</w:t>
      </w:r>
      <w:r w:rsidR="00884045">
        <w:rPr>
          <w:lang w:val="fr-CH"/>
        </w:rPr>
        <w:t>)</w:t>
      </w:r>
    </w:p>
    <w:p w:rsidR="00C77E1E" w:rsidRPr="009F43DE" w:rsidRDefault="00C77E1E" w:rsidP="00C77E1E">
      <w:pPr>
        <w:pStyle w:val="SingleTxtG"/>
        <w:rPr>
          <w:lang w:val="fr-CH"/>
        </w:rPr>
      </w:pPr>
      <w:r w:rsidRPr="009F43DE">
        <w:rPr>
          <w:lang w:val="fr-CH"/>
        </w:rPr>
        <w:t>99.</w:t>
      </w:r>
      <w:r w:rsidRPr="009F43DE">
        <w:rPr>
          <w:lang w:val="fr-CH"/>
        </w:rPr>
        <w:tab/>
        <w:t xml:space="preserve">La loi </w:t>
      </w:r>
      <w:r w:rsidR="00884045">
        <w:rPr>
          <w:lang w:val="fr-CH"/>
        </w:rPr>
        <w:t>n</w:t>
      </w:r>
      <w:r w:rsidR="00884045" w:rsidRPr="00884045">
        <w:rPr>
          <w:vertAlign w:val="superscript"/>
          <w:lang w:val="fr-CH"/>
        </w:rPr>
        <w:t>o</w:t>
      </w:r>
      <w:r w:rsidR="00FA3F93" w:rsidRPr="009F43DE">
        <w:rPr>
          <w:lang w:val="fr-CH"/>
        </w:rPr>
        <w:t> </w:t>
      </w:r>
      <w:r w:rsidRPr="009F43DE">
        <w:rPr>
          <w:lang w:val="fr-CH"/>
        </w:rPr>
        <w:t>34 de 2005 sur la prévention de la violence familiale prévoit l</w:t>
      </w:r>
      <w:r w:rsidR="00F8384A" w:rsidRPr="009F43DE">
        <w:rPr>
          <w:lang w:val="fr-CH"/>
        </w:rPr>
        <w:t>’</w:t>
      </w:r>
      <w:r w:rsidRPr="009F43DE">
        <w:rPr>
          <w:lang w:val="fr-CH"/>
        </w:rPr>
        <w:t>adoption</w:t>
      </w:r>
      <w:r w:rsidR="00CE0B5B" w:rsidRPr="009F43DE">
        <w:rPr>
          <w:lang w:val="fr-CH"/>
        </w:rPr>
        <w:t xml:space="preserve"> d</w:t>
      </w:r>
      <w:r w:rsidR="00F8384A" w:rsidRPr="009F43DE">
        <w:rPr>
          <w:lang w:val="fr-CH"/>
        </w:rPr>
        <w:t>’</w:t>
      </w:r>
      <w:r w:rsidR="00CE0B5B" w:rsidRPr="009F43DE">
        <w:rPr>
          <w:lang w:val="fr-CH"/>
        </w:rPr>
        <w:t>ordonnances de</w:t>
      </w:r>
      <w:r w:rsidRPr="009F43DE">
        <w:rPr>
          <w:lang w:val="fr-CH"/>
        </w:rPr>
        <w:t xml:space="preserve"> protection lorsque des actes de violence familiale </w:t>
      </w:r>
      <w:r w:rsidR="00CE0B5B" w:rsidRPr="009F43DE">
        <w:rPr>
          <w:lang w:val="fr-CH"/>
        </w:rPr>
        <w:t>so</w:t>
      </w:r>
      <w:r w:rsidRPr="009F43DE">
        <w:rPr>
          <w:lang w:val="fr-CH"/>
        </w:rPr>
        <w:t xml:space="preserve">nt commis ou sont </w:t>
      </w:r>
      <w:r w:rsidR="00CE0B5B" w:rsidRPr="009F43DE">
        <w:rPr>
          <w:lang w:val="fr-CH"/>
        </w:rPr>
        <w:t>prévisibles</w:t>
      </w:r>
      <w:r w:rsidRPr="009F43DE">
        <w:rPr>
          <w:lang w:val="fr-CH"/>
        </w:rPr>
        <w:t xml:space="preserve">. Elle </w:t>
      </w:r>
      <w:r w:rsidR="00CE0B5B" w:rsidRPr="009F43DE">
        <w:rPr>
          <w:lang w:val="fr-CH"/>
        </w:rPr>
        <w:t>définit</w:t>
      </w:r>
      <w:r w:rsidRPr="009F43DE">
        <w:rPr>
          <w:lang w:val="fr-CH"/>
        </w:rPr>
        <w:t xml:space="preserve"> la procédure </w:t>
      </w:r>
      <w:r w:rsidR="00CE0B5B" w:rsidRPr="009F43DE">
        <w:rPr>
          <w:lang w:val="fr-CH"/>
        </w:rPr>
        <w:t xml:space="preserve">à suivre </w:t>
      </w:r>
      <w:r w:rsidRPr="009F43DE">
        <w:rPr>
          <w:lang w:val="fr-CH"/>
        </w:rPr>
        <w:t xml:space="preserve">pour obtenir une telle </w:t>
      </w:r>
      <w:r w:rsidR="00CE0B5B" w:rsidRPr="009F43DE">
        <w:rPr>
          <w:lang w:val="fr-CH"/>
        </w:rPr>
        <w:t>injonction</w:t>
      </w:r>
      <w:r w:rsidRPr="009F43DE">
        <w:rPr>
          <w:lang w:val="fr-CH"/>
        </w:rPr>
        <w:t xml:space="preserve"> suite à une violence familiale. Le viol </w:t>
      </w:r>
      <w:r w:rsidR="00CE0B5B" w:rsidRPr="009F43DE">
        <w:rPr>
          <w:lang w:val="fr-CH"/>
        </w:rPr>
        <w:t>conjugal</w:t>
      </w:r>
      <w:r w:rsidRPr="009F43DE">
        <w:rPr>
          <w:lang w:val="fr-CH"/>
        </w:rPr>
        <w:t xml:space="preserve"> est reconnu lorsque les parties sont séparées judiciairement. </w:t>
      </w:r>
    </w:p>
    <w:p w:rsidR="00C77E1E" w:rsidRPr="009F43DE" w:rsidRDefault="00C77E1E" w:rsidP="00C77E1E">
      <w:pPr>
        <w:pStyle w:val="SingleTxtG"/>
        <w:rPr>
          <w:color w:val="000000"/>
          <w:lang w:val="fr-CH"/>
        </w:rPr>
      </w:pPr>
      <w:r w:rsidRPr="009F43DE">
        <w:rPr>
          <w:lang w:val="fr-CH"/>
        </w:rPr>
        <w:t>100.</w:t>
      </w:r>
      <w:r w:rsidRPr="009F43DE">
        <w:rPr>
          <w:lang w:val="fr-CH"/>
        </w:rPr>
        <w:tab/>
      </w:r>
      <w:r w:rsidRPr="009F43DE">
        <w:rPr>
          <w:color w:val="000000"/>
          <w:lang w:val="fr-CH"/>
        </w:rPr>
        <w:t xml:space="preserve">La Commission nationale de la condition de la femme </w:t>
      </w:r>
      <w:r w:rsidR="00CE0B5B" w:rsidRPr="009F43DE">
        <w:rPr>
          <w:color w:val="000000"/>
          <w:lang w:val="fr-CH"/>
        </w:rPr>
        <w:t>a</w:t>
      </w:r>
      <w:r w:rsidRPr="009F43DE">
        <w:rPr>
          <w:color w:val="000000"/>
          <w:lang w:val="fr-CH"/>
        </w:rPr>
        <w:t xml:space="preserve"> lancé un programme</w:t>
      </w:r>
      <w:r w:rsidR="00B262BD" w:rsidRPr="009F43DE">
        <w:rPr>
          <w:color w:val="000000"/>
          <w:lang w:val="fr-CH"/>
        </w:rPr>
        <w:t xml:space="preserve"> d</w:t>
      </w:r>
      <w:r w:rsidR="00F8384A" w:rsidRPr="009F43DE">
        <w:rPr>
          <w:color w:val="000000"/>
          <w:lang w:val="fr-CH"/>
        </w:rPr>
        <w:t>’</w:t>
      </w:r>
      <w:r w:rsidR="00B262BD" w:rsidRPr="009F43DE">
        <w:rPr>
          <w:color w:val="000000"/>
          <w:lang w:val="fr-CH"/>
        </w:rPr>
        <w:t>ampleur nationale pour</w:t>
      </w:r>
      <w:r w:rsidRPr="009F43DE">
        <w:rPr>
          <w:color w:val="000000"/>
          <w:lang w:val="fr-CH"/>
        </w:rPr>
        <w:t xml:space="preserve"> contrôler la mise en œuvre de la loi sur la prévention de la violence familiale. Il s</w:t>
      </w:r>
      <w:r w:rsidR="00F8384A" w:rsidRPr="009F43DE">
        <w:rPr>
          <w:color w:val="000000"/>
          <w:lang w:val="fr-CH"/>
        </w:rPr>
        <w:t>’</w:t>
      </w:r>
      <w:r w:rsidRPr="009F43DE">
        <w:rPr>
          <w:color w:val="000000"/>
          <w:lang w:val="fr-CH"/>
        </w:rPr>
        <w:t>agit d</w:t>
      </w:r>
      <w:r w:rsidR="00F8384A" w:rsidRPr="009F43DE">
        <w:rPr>
          <w:color w:val="000000"/>
          <w:lang w:val="fr-CH"/>
        </w:rPr>
        <w:t>’</w:t>
      </w:r>
      <w:r w:rsidRPr="009F43DE">
        <w:rPr>
          <w:color w:val="000000"/>
          <w:lang w:val="fr-CH"/>
        </w:rPr>
        <w:t>organiser des séminaires pour sensibiliser les femmes aux dispositions de cette loi, de créer des centres d</w:t>
      </w:r>
      <w:r w:rsidR="00F8384A" w:rsidRPr="009F43DE">
        <w:rPr>
          <w:color w:val="000000"/>
          <w:lang w:val="fr-CH"/>
        </w:rPr>
        <w:t>’</w:t>
      </w:r>
      <w:r w:rsidRPr="009F43DE">
        <w:rPr>
          <w:color w:val="000000"/>
          <w:lang w:val="fr-CH"/>
        </w:rPr>
        <w:t>accueil, d</w:t>
      </w:r>
      <w:r w:rsidR="00F8384A" w:rsidRPr="009F43DE">
        <w:rPr>
          <w:color w:val="000000"/>
          <w:lang w:val="fr-CH"/>
        </w:rPr>
        <w:t>’</w:t>
      </w:r>
      <w:r w:rsidRPr="009F43DE">
        <w:rPr>
          <w:color w:val="000000"/>
          <w:lang w:val="fr-CH"/>
        </w:rPr>
        <w:t>assurer des conseils psychosociaux</w:t>
      </w:r>
      <w:r w:rsidR="00F72E04" w:rsidRPr="009F43DE">
        <w:rPr>
          <w:color w:val="000000"/>
          <w:lang w:val="fr-CH"/>
        </w:rPr>
        <w:t xml:space="preserve"> et </w:t>
      </w:r>
      <w:r w:rsidRPr="009F43DE">
        <w:rPr>
          <w:color w:val="000000"/>
          <w:lang w:val="fr-CH"/>
        </w:rPr>
        <w:t>d</w:t>
      </w:r>
      <w:r w:rsidR="00F8384A" w:rsidRPr="009F43DE">
        <w:rPr>
          <w:color w:val="000000"/>
          <w:lang w:val="fr-CH"/>
        </w:rPr>
        <w:t>’</w:t>
      </w:r>
      <w:r w:rsidR="00B262BD" w:rsidRPr="009F43DE">
        <w:rPr>
          <w:color w:val="000000"/>
          <w:lang w:val="fr-CH"/>
        </w:rPr>
        <w:t>établir</w:t>
      </w:r>
      <w:r w:rsidRPr="009F43DE">
        <w:rPr>
          <w:color w:val="000000"/>
          <w:lang w:val="fr-CH"/>
        </w:rPr>
        <w:t xml:space="preserve"> des centres pour les femmes et les enfants maltraités faisant l</w:t>
      </w:r>
      <w:r w:rsidR="00F8384A" w:rsidRPr="009F43DE">
        <w:rPr>
          <w:color w:val="000000"/>
          <w:lang w:val="fr-CH"/>
        </w:rPr>
        <w:t>’</w:t>
      </w:r>
      <w:r w:rsidRPr="009F43DE">
        <w:rPr>
          <w:color w:val="000000"/>
          <w:lang w:val="fr-CH"/>
        </w:rPr>
        <w:t>objet d</w:t>
      </w:r>
      <w:r w:rsidR="00F8384A" w:rsidRPr="009F43DE">
        <w:rPr>
          <w:color w:val="000000"/>
          <w:lang w:val="fr-CH"/>
        </w:rPr>
        <w:t>’</w:t>
      </w:r>
      <w:r w:rsidRPr="009F43DE">
        <w:rPr>
          <w:color w:val="000000"/>
          <w:lang w:val="fr-CH"/>
        </w:rPr>
        <w:t>une ordonnance de protection en application de la nouvelle législation.</w:t>
      </w:r>
      <w:r w:rsidR="00C91A83">
        <w:rPr>
          <w:color w:val="000000"/>
          <w:lang w:val="fr-CH"/>
        </w:rPr>
        <w:t xml:space="preserve"> </w:t>
      </w:r>
    </w:p>
    <w:p w:rsidR="00C77E1E" w:rsidRPr="009F43DE" w:rsidRDefault="00C77E1E" w:rsidP="00C77E1E">
      <w:pPr>
        <w:pStyle w:val="SingleTxtG"/>
        <w:rPr>
          <w:lang w:val="fr-CH"/>
        </w:rPr>
      </w:pPr>
      <w:r w:rsidRPr="009F43DE">
        <w:rPr>
          <w:lang w:val="fr-CH"/>
        </w:rPr>
        <w:t>101.</w:t>
      </w:r>
      <w:r w:rsidRPr="009F43DE">
        <w:rPr>
          <w:lang w:val="fr-CH"/>
        </w:rPr>
        <w:tab/>
      </w:r>
      <w:r w:rsidR="00F72E04" w:rsidRPr="009F43DE">
        <w:rPr>
          <w:color w:val="000000"/>
          <w:lang w:val="fr-CH"/>
        </w:rPr>
        <w:t>Une</w:t>
      </w:r>
      <w:r w:rsidRPr="009F43DE">
        <w:rPr>
          <w:color w:val="000000"/>
          <w:lang w:val="fr-CH"/>
        </w:rPr>
        <w:t xml:space="preserve"> campagne nationale</w:t>
      </w:r>
      <w:r w:rsidRPr="009F43DE">
        <w:rPr>
          <w:rStyle w:val="FootnoteReference"/>
          <w:rFonts w:eastAsia="Calibri"/>
          <w:color w:val="000000"/>
          <w:lang w:val="fr-CH"/>
        </w:rPr>
        <w:footnoteReference w:id="9"/>
      </w:r>
      <w:r w:rsidRPr="009F43DE">
        <w:rPr>
          <w:rFonts w:eastAsia="Calibri"/>
          <w:color w:val="000000"/>
          <w:lang w:val="fr-CH"/>
        </w:rPr>
        <w:t xml:space="preserve"> </w:t>
      </w:r>
      <w:r w:rsidRPr="009F43DE">
        <w:rPr>
          <w:color w:val="000000"/>
          <w:lang w:val="fr-CH"/>
        </w:rPr>
        <w:t xml:space="preserve">intitulée </w:t>
      </w:r>
      <w:r w:rsidR="00F8384A" w:rsidRPr="009F43DE">
        <w:rPr>
          <w:color w:val="000000"/>
          <w:lang w:val="fr-CH"/>
        </w:rPr>
        <w:t>«</w:t>
      </w:r>
      <w:r w:rsidRPr="009F43DE">
        <w:rPr>
          <w:color w:val="000000"/>
          <w:lang w:val="fr-CH"/>
        </w:rPr>
        <w:t>Éradiquons le viol maintenant</w:t>
      </w:r>
      <w:r w:rsidR="00F8384A" w:rsidRPr="009F43DE">
        <w:rPr>
          <w:color w:val="000000"/>
          <w:lang w:val="fr-CH"/>
        </w:rPr>
        <w:t>»</w:t>
      </w:r>
      <w:r w:rsidRPr="009F43DE">
        <w:rPr>
          <w:rFonts w:eastAsia="Calibri"/>
          <w:color w:val="000000"/>
          <w:lang w:val="fr-CH"/>
        </w:rPr>
        <w:t xml:space="preserve"> et 16</w:t>
      </w:r>
      <w:r w:rsidR="00F72E04" w:rsidRPr="009F43DE">
        <w:rPr>
          <w:rFonts w:eastAsia="Calibri"/>
          <w:color w:val="000000"/>
          <w:lang w:val="fr-CH"/>
        </w:rPr>
        <w:t> </w:t>
      </w:r>
      <w:r w:rsidRPr="009F43DE">
        <w:rPr>
          <w:rFonts w:eastAsia="Calibri"/>
          <w:color w:val="000000"/>
          <w:lang w:val="fr-CH"/>
        </w:rPr>
        <w:t>journées d</w:t>
      </w:r>
      <w:r w:rsidR="00F8384A" w:rsidRPr="009F43DE">
        <w:rPr>
          <w:rFonts w:eastAsia="Calibri"/>
          <w:color w:val="000000"/>
          <w:lang w:val="fr-CH"/>
        </w:rPr>
        <w:t>’</w:t>
      </w:r>
      <w:r w:rsidRPr="009F43DE">
        <w:rPr>
          <w:rFonts w:eastAsia="Calibri"/>
          <w:color w:val="000000"/>
          <w:lang w:val="fr-CH"/>
        </w:rPr>
        <w:t xml:space="preserve">activisme sur le thème </w:t>
      </w:r>
      <w:r w:rsidR="00F8384A" w:rsidRPr="009F43DE">
        <w:rPr>
          <w:rFonts w:eastAsia="Calibri"/>
          <w:color w:val="000000"/>
          <w:lang w:val="fr-CH"/>
        </w:rPr>
        <w:t>«</w:t>
      </w:r>
      <w:r w:rsidRPr="009F43DE">
        <w:rPr>
          <w:rFonts w:eastAsia="Calibri"/>
          <w:color w:val="000000"/>
          <w:lang w:val="fr-CH"/>
        </w:rPr>
        <w:t xml:space="preserve">De la paix </w:t>
      </w:r>
      <w:r w:rsidR="00F72E04" w:rsidRPr="009F43DE">
        <w:rPr>
          <w:rFonts w:eastAsia="Calibri"/>
          <w:color w:val="000000"/>
          <w:lang w:val="fr-CH"/>
        </w:rPr>
        <w:t xml:space="preserve">familiale </w:t>
      </w:r>
      <w:r w:rsidRPr="009F43DE">
        <w:rPr>
          <w:rFonts w:eastAsia="Calibri"/>
          <w:color w:val="000000"/>
          <w:lang w:val="fr-CH"/>
        </w:rPr>
        <w:t>à la paix communaut</w:t>
      </w:r>
      <w:r w:rsidR="00F72E04" w:rsidRPr="009F43DE">
        <w:rPr>
          <w:rFonts w:eastAsia="Calibri"/>
          <w:color w:val="000000"/>
          <w:lang w:val="fr-CH"/>
        </w:rPr>
        <w:t>aire</w:t>
      </w:r>
      <w:r w:rsidR="00F8384A" w:rsidRPr="009F43DE">
        <w:rPr>
          <w:rFonts w:eastAsia="Calibri"/>
          <w:color w:val="000000"/>
          <w:lang w:val="fr-CH"/>
        </w:rPr>
        <w:t>»</w:t>
      </w:r>
      <w:r w:rsidR="00F72E04" w:rsidRPr="009F43DE">
        <w:rPr>
          <w:rFonts w:eastAsia="Calibri"/>
          <w:color w:val="000000"/>
          <w:lang w:val="fr-CH"/>
        </w:rPr>
        <w:t xml:space="preserve"> </w:t>
      </w:r>
      <w:r w:rsidR="00B262BD" w:rsidRPr="009F43DE">
        <w:rPr>
          <w:rFonts w:eastAsia="Calibri"/>
          <w:color w:val="000000"/>
          <w:lang w:val="fr-CH"/>
        </w:rPr>
        <w:t>ont</w:t>
      </w:r>
      <w:r w:rsidR="00F72E04" w:rsidRPr="009F43DE">
        <w:rPr>
          <w:rFonts w:eastAsia="Calibri"/>
          <w:color w:val="000000"/>
          <w:lang w:val="fr-CH"/>
        </w:rPr>
        <w:t xml:space="preserve"> </w:t>
      </w:r>
      <w:r w:rsidR="001F2AFE" w:rsidRPr="009F43DE">
        <w:rPr>
          <w:rFonts w:eastAsia="Calibri"/>
          <w:color w:val="000000"/>
          <w:lang w:val="fr-CH"/>
        </w:rPr>
        <w:t xml:space="preserve">été organisées </w:t>
      </w:r>
      <w:r w:rsidRPr="009F43DE">
        <w:rPr>
          <w:color w:val="000000"/>
          <w:lang w:val="fr-CH"/>
        </w:rPr>
        <w:t>du 25</w:t>
      </w:r>
      <w:r w:rsidR="00F72E04" w:rsidRPr="009F43DE">
        <w:rPr>
          <w:color w:val="000000"/>
          <w:lang w:val="fr-CH"/>
        </w:rPr>
        <w:t> </w:t>
      </w:r>
      <w:r w:rsidRPr="009F43DE">
        <w:rPr>
          <w:color w:val="000000"/>
          <w:lang w:val="fr-CH"/>
        </w:rPr>
        <w:t>novembre au 10</w:t>
      </w:r>
      <w:r w:rsidR="00F72E04" w:rsidRPr="009F43DE">
        <w:rPr>
          <w:color w:val="000000"/>
          <w:lang w:val="fr-CH"/>
        </w:rPr>
        <w:t> </w:t>
      </w:r>
      <w:r w:rsidRPr="009F43DE">
        <w:rPr>
          <w:color w:val="000000"/>
          <w:lang w:val="fr-CH"/>
        </w:rPr>
        <w:t>décembre</w:t>
      </w:r>
      <w:r w:rsidR="00F72E04" w:rsidRPr="009F43DE">
        <w:rPr>
          <w:color w:val="000000"/>
          <w:lang w:val="fr-CH"/>
        </w:rPr>
        <w:t> </w:t>
      </w:r>
      <w:r w:rsidRPr="009F43DE">
        <w:rPr>
          <w:color w:val="000000"/>
          <w:lang w:val="fr-CH"/>
        </w:rPr>
        <w:t xml:space="preserve">2011 dans cinq districts, à savoir Anuradhapura, Hambantota, Nuwaraeliya, Batticaloa et Ampara. </w:t>
      </w:r>
      <w:r w:rsidR="00F72E04" w:rsidRPr="009F43DE">
        <w:rPr>
          <w:color w:val="000000"/>
          <w:lang w:val="fr-CH"/>
        </w:rPr>
        <w:t>Grâce à c</w:t>
      </w:r>
      <w:r w:rsidRPr="009F43DE">
        <w:rPr>
          <w:color w:val="000000"/>
          <w:lang w:val="fr-CH"/>
        </w:rPr>
        <w:t>ette campagne</w:t>
      </w:r>
      <w:r w:rsidR="00F72E04" w:rsidRPr="009F43DE">
        <w:rPr>
          <w:color w:val="000000"/>
          <w:lang w:val="fr-CH"/>
        </w:rPr>
        <w:t>, qui</w:t>
      </w:r>
      <w:r w:rsidRPr="009F43DE">
        <w:rPr>
          <w:color w:val="000000"/>
          <w:lang w:val="fr-CH"/>
        </w:rPr>
        <w:t xml:space="preserve"> a été relancée en 2012 pour marquer la </w:t>
      </w:r>
      <w:r w:rsidR="00F72E04" w:rsidRPr="009F43DE">
        <w:rPr>
          <w:color w:val="000000"/>
          <w:lang w:val="fr-CH"/>
        </w:rPr>
        <w:t>J</w:t>
      </w:r>
      <w:r w:rsidRPr="009F43DE">
        <w:rPr>
          <w:color w:val="000000"/>
          <w:lang w:val="fr-CH"/>
        </w:rPr>
        <w:t>ournée internationale de la femme</w:t>
      </w:r>
      <w:r w:rsidR="00F72E04" w:rsidRPr="009F43DE">
        <w:rPr>
          <w:color w:val="000000"/>
          <w:lang w:val="fr-CH"/>
        </w:rPr>
        <w:t>,</w:t>
      </w:r>
      <w:r w:rsidRPr="009F43DE">
        <w:rPr>
          <w:color w:val="000000"/>
          <w:lang w:val="fr-CH"/>
        </w:rPr>
        <w:t xml:space="preserve"> le Ministère du développement de l</w:t>
      </w:r>
      <w:r w:rsidR="00F8384A" w:rsidRPr="009F43DE">
        <w:rPr>
          <w:color w:val="000000"/>
          <w:lang w:val="fr-CH"/>
        </w:rPr>
        <w:t>’</w:t>
      </w:r>
      <w:r w:rsidRPr="009F43DE">
        <w:rPr>
          <w:color w:val="000000"/>
          <w:lang w:val="fr-CH"/>
        </w:rPr>
        <w:t>enfant et de l</w:t>
      </w:r>
      <w:r w:rsidR="00F8384A" w:rsidRPr="009F43DE">
        <w:rPr>
          <w:color w:val="000000"/>
          <w:lang w:val="fr-CH"/>
        </w:rPr>
        <w:t>’</w:t>
      </w:r>
      <w:r w:rsidRPr="009F43DE">
        <w:rPr>
          <w:color w:val="000000"/>
          <w:lang w:val="fr-CH"/>
        </w:rPr>
        <w:t xml:space="preserve">autonomisation des femmes </w:t>
      </w:r>
      <w:r w:rsidR="00F72E04" w:rsidRPr="009F43DE">
        <w:rPr>
          <w:color w:val="000000"/>
          <w:lang w:val="fr-CH"/>
        </w:rPr>
        <w:t>vis</w:t>
      </w:r>
      <w:r w:rsidR="00B262BD" w:rsidRPr="009F43DE">
        <w:rPr>
          <w:color w:val="000000"/>
          <w:lang w:val="fr-CH"/>
        </w:rPr>
        <w:t>e</w:t>
      </w:r>
      <w:r w:rsidR="00F72E04" w:rsidRPr="009F43DE">
        <w:rPr>
          <w:color w:val="000000"/>
          <w:lang w:val="fr-CH"/>
        </w:rPr>
        <w:t xml:space="preserve"> à</w:t>
      </w:r>
      <w:r w:rsidRPr="009F43DE">
        <w:rPr>
          <w:color w:val="000000"/>
          <w:lang w:val="fr-CH"/>
        </w:rPr>
        <w:t xml:space="preserve"> faire prendre conscience du </w:t>
      </w:r>
      <w:r w:rsidR="00F72E04" w:rsidRPr="009F43DE">
        <w:rPr>
          <w:color w:val="000000"/>
          <w:lang w:val="fr-CH"/>
        </w:rPr>
        <w:t xml:space="preserve">fléau que représente le </w:t>
      </w:r>
      <w:r w:rsidRPr="009F43DE">
        <w:rPr>
          <w:color w:val="000000"/>
          <w:lang w:val="fr-CH"/>
        </w:rPr>
        <w:t>viol à</w:t>
      </w:r>
      <w:r w:rsidRPr="009F43DE">
        <w:rPr>
          <w:lang w:val="fr-CH"/>
        </w:rPr>
        <w:t xml:space="preserve"> l</w:t>
      </w:r>
      <w:r w:rsidR="00F8384A" w:rsidRPr="009F43DE">
        <w:rPr>
          <w:lang w:val="fr-CH"/>
        </w:rPr>
        <w:t>’</w:t>
      </w:r>
      <w:r w:rsidRPr="009F43DE">
        <w:rPr>
          <w:lang w:val="fr-CH"/>
        </w:rPr>
        <w:t>échelle nationale grâce au réseau de</w:t>
      </w:r>
      <w:r w:rsidR="001F2AFE" w:rsidRPr="009F43DE">
        <w:rPr>
          <w:lang w:val="fr-CH"/>
        </w:rPr>
        <w:t xml:space="preserve"> responsables du progrès des</w:t>
      </w:r>
      <w:r w:rsidRPr="009F43DE">
        <w:rPr>
          <w:lang w:val="fr-CH"/>
        </w:rPr>
        <w:t xml:space="preserve"> </w:t>
      </w:r>
      <w:r w:rsidR="001F2AFE" w:rsidRPr="009F43DE">
        <w:rPr>
          <w:lang w:val="fr-CH"/>
        </w:rPr>
        <w:t>f</w:t>
      </w:r>
      <w:r w:rsidRPr="009F43DE">
        <w:rPr>
          <w:lang w:val="fr-CH"/>
        </w:rPr>
        <w:t xml:space="preserve">emmes </w:t>
      </w:r>
      <w:r w:rsidR="001F2AFE" w:rsidRPr="009F43DE">
        <w:rPr>
          <w:lang w:val="fr-CH"/>
        </w:rPr>
        <w:t>dans les s</w:t>
      </w:r>
      <w:r w:rsidRPr="009F43DE">
        <w:rPr>
          <w:lang w:val="fr-CH"/>
        </w:rPr>
        <w:t xml:space="preserve">ecrétariats divisionnaires, les </w:t>
      </w:r>
      <w:r w:rsidR="001F2AFE" w:rsidRPr="009F43DE">
        <w:rPr>
          <w:lang w:val="fr-CH"/>
        </w:rPr>
        <w:t xml:space="preserve">associations </w:t>
      </w:r>
      <w:r w:rsidRPr="009F43DE">
        <w:rPr>
          <w:lang w:val="fr-CH"/>
        </w:rPr>
        <w:t>de femmes, le</w:t>
      </w:r>
      <w:r w:rsidR="001F2AFE" w:rsidRPr="009F43DE">
        <w:rPr>
          <w:lang w:val="fr-CH"/>
        </w:rPr>
        <w:t xml:space="preserve">s organisations du </w:t>
      </w:r>
      <w:r w:rsidRPr="009F43DE">
        <w:rPr>
          <w:lang w:val="fr-CH"/>
        </w:rPr>
        <w:t>clergé, les organis</w:t>
      </w:r>
      <w:r w:rsidR="001F2AFE" w:rsidRPr="009F43DE">
        <w:rPr>
          <w:lang w:val="fr-CH"/>
        </w:rPr>
        <w:t>mes</w:t>
      </w:r>
      <w:r w:rsidRPr="009F43DE">
        <w:rPr>
          <w:lang w:val="fr-CH"/>
        </w:rPr>
        <w:t xml:space="preserve"> socia</w:t>
      </w:r>
      <w:r w:rsidR="001F2AFE" w:rsidRPr="009F43DE">
        <w:rPr>
          <w:lang w:val="fr-CH"/>
        </w:rPr>
        <w:t>ux et les organisations non gouvernementales</w:t>
      </w:r>
      <w:r w:rsidRPr="009F43DE">
        <w:rPr>
          <w:rFonts w:eastAsia="Calibri"/>
          <w:lang w:val="fr-CH"/>
        </w:rPr>
        <w:t>.</w:t>
      </w:r>
    </w:p>
    <w:p w:rsidR="00C77E1E" w:rsidRPr="009F43DE" w:rsidRDefault="00C77E1E" w:rsidP="00C77E1E">
      <w:pPr>
        <w:pStyle w:val="SingleTxtG"/>
        <w:rPr>
          <w:lang w:val="fr-CH"/>
        </w:rPr>
      </w:pPr>
      <w:r w:rsidRPr="009F43DE">
        <w:rPr>
          <w:lang w:val="fr-CH"/>
        </w:rPr>
        <w:t>102.</w:t>
      </w:r>
      <w:r w:rsidRPr="009F43DE">
        <w:rPr>
          <w:lang w:val="fr-CH"/>
        </w:rPr>
        <w:tab/>
      </w:r>
      <w:r w:rsidR="001F2AFE" w:rsidRPr="009F43DE">
        <w:rPr>
          <w:lang w:val="fr-CH"/>
        </w:rPr>
        <w:t>L</w:t>
      </w:r>
      <w:r w:rsidRPr="009F43DE">
        <w:rPr>
          <w:lang w:val="fr-CH"/>
        </w:rPr>
        <w:t xml:space="preserve">es ateliers </w:t>
      </w:r>
      <w:r w:rsidR="001F2AFE" w:rsidRPr="009F43DE">
        <w:rPr>
          <w:lang w:val="fr-CH"/>
        </w:rPr>
        <w:t xml:space="preserve">tenus </w:t>
      </w:r>
      <w:r w:rsidRPr="009F43DE">
        <w:rPr>
          <w:lang w:val="fr-CH"/>
        </w:rPr>
        <w:t xml:space="preserve">sur </w:t>
      </w:r>
      <w:r w:rsidR="001F2AFE" w:rsidRPr="009F43DE">
        <w:rPr>
          <w:lang w:val="fr-CH"/>
        </w:rPr>
        <w:t xml:space="preserve">le thème </w:t>
      </w:r>
      <w:r w:rsidR="00F8384A" w:rsidRPr="009F43DE">
        <w:rPr>
          <w:lang w:val="fr-CH"/>
        </w:rPr>
        <w:t>«</w:t>
      </w:r>
      <w:r w:rsidRPr="009F43DE">
        <w:rPr>
          <w:lang w:val="fr-CH"/>
        </w:rPr>
        <w:t>Les hommes aussi peuvent faire une différence</w:t>
      </w:r>
      <w:r w:rsidR="00F8384A" w:rsidRPr="009F43DE">
        <w:rPr>
          <w:lang w:val="fr-CH"/>
        </w:rPr>
        <w:t>»</w:t>
      </w:r>
      <w:r w:rsidRPr="009F43DE">
        <w:rPr>
          <w:lang w:val="fr-CH"/>
        </w:rPr>
        <w:t xml:space="preserve"> </w:t>
      </w:r>
      <w:r w:rsidR="001F2AFE" w:rsidRPr="009F43DE">
        <w:rPr>
          <w:lang w:val="fr-CH"/>
        </w:rPr>
        <w:t>ont cherché à impliquer les</w:t>
      </w:r>
      <w:r w:rsidRPr="009F43DE">
        <w:rPr>
          <w:lang w:val="fr-CH"/>
        </w:rPr>
        <w:t xml:space="preserve"> hommes dans la lutte contre la violence </w:t>
      </w:r>
      <w:r w:rsidR="001F2AFE" w:rsidRPr="009F43DE">
        <w:rPr>
          <w:lang w:val="fr-CH"/>
        </w:rPr>
        <w:t>fondée</w:t>
      </w:r>
      <w:r w:rsidRPr="009F43DE">
        <w:rPr>
          <w:lang w:val="fr-CH"/>
        </w:rPr>
        <w:t xml:space="preserve"> sur le sexe</w:t>
      </w:r>
      <w:r w:rsidR="001F2AFE" w:rsidRPr="009F43DE">
        <w:rPr>
          <w:lang w:val="fr-CH"/>
        </w:rPr>
        <w:t>.</w:t>
      </w:r>
      <w:r w:rsidRPr="009F43DE">
        <w:rPr>
          <w:lang w:val="fr-CH"/>
        </w:rPr>
        <w:t xml:space="preserve"> </w:t>
      </w:r>
      <w:r w:rsidR="00BB599D" w:rsidRPr="009F43DE">
        <w:rPr>
          <w:lang w:val="fr-CH"/>
        </w:rPr>
        <w:t>Il s</w:t>
      </w:r>
      <w:r w:rsidR="00F8384A" w:rsidRPr="009F43DE">
        <w:rPr>
          <w:lang w:val="fr-CH"/>
        </w:rPr>
        <w:t>’</w:t>
      </w:r>
      <w:r w:rsidR="00BB599D" w:rsidRPr="009F43DE">
        <w:rPr>
          <w:lang w:val="fr-CH"/>
        </w:rPr>
        <w:t xml:space="preserve">agissait </w:t>
      </w:r>
      <w:r w:rsidR="00E9497B" w:rsidRPr="009F43DE">
        <w:rPr>
          <w:lang w:val="fr-CH"/>
        </w:rPr>
        <w:t>d’une</w:t>
      </w:r>
      <w:r w:rsidRPr="009F43DE">
        <w:rPr>
          <w:lang w:val="fr-CH"/>
        </w:rPr>
        <w:t xml:space="preserve"> </w:t>
      </w:r>
      <w:r w:rsidR="00BB599D" w:rsidRPr="009F43DE">
        <w:rPr>
          <w:lang w:val="fr-CH"/>
        </w:rPr>
        <w:t>première étape sur la voie de</w:t>
      </w:r>
      <w:r w:rsidRPr="009F43DE">
        <w:rPr>
          <w:lang w:val="fr-CH"/>
        </w:rPr>
        <w:t xml:space="preserve"> l</w:t>
      </w:r>
      <w:r w:rsidR="00F8384A" w:rsidRPr="009F43DE">
        <w:rPr>
          <w:lang w:val="fr-CH"/>
        </w:rPr>
        <w:t>’</w:t>
      </w:r>
      <w:r w:rsidR="00214073" w:rsidRPr="009F43DE">
        <w:rPr>
          <w:lang w:val="fr-CH"/>
        </w:rPr>
        <w:t xml:space="preserve">engagement </w:t>
      </w:r>
      <w:r w:rsidRPr="009F43DE">
        <w:rPr>
          <w:lang w:val="fr-CH"/>
        </w:rPr>
        <w:t>des parlementaires de sexe masculin, de</w:t>
      </w:r>
      <w:r w:rsidR="00214073" w:rsidRPr="009F43DE">
        <w:rPr>
          <w:lang w:val="fr-CH"/>
        </w:rPr>
        <w:t>s</w:t>
      </w:r>
      <w:r w:rsidRPr="009F43DE">
        <w:rPr>
          <w:lang w:val="fr-CH"/>
        </w:rPr>
        <w:t xml:space="preserve"> décideurs et de</w:t>
      </w:r>
      <w:r w:rsidR="00BB599D" w:rsidRPr="009F43DE">
        <w:rPr>
          <w:lang w:val="fr-CH"/>
        </w:rPr>
        <w:t>s</w:t>
      </w:r>
      <w:r w:rsidRPr="009F43DE">
        <w:rPr>
          <w:lang w:val="fr-CH"/>
        </w:rPr>
        <w:t xml:space="preserve"> militaires dans la lutte contre la violence sexiste</w:t>
      </w:r>
      <w:r w:rsidR="00214073" w:rsidRPr="009F43DE">
        <w:rPr>
          <w:lang w:val="fr-CH"/>
        </w:rPr>
        <w:t xml:space="preserve"> et de leur sensibilisation au rôle que peuvent jouer les hommes</w:t>
      </w:r>
      <w:r w:rsidRPr="009F43DE">
        <w:rPr>
          <w:lang w:val="fr-CH"/>
        </w:rPr>
        <w:t>.</w:t>
      </w:r>
    </w:p>
    <w:p w:rsidR="00C77E1E" w:rsidRPr="009F43DE" w:rsidRDefault="00C77E1E" w:rsidP="00C77E1E">
      <w:pPr>
        <w:pStyle w:val="SingleTxtG"/>
        <w:rPr>
          <w:lang w:val="fr-CH"/>
        </w:rPr>
      </w:pPr>
      <w:r w:rsidRPr="009F43DE">
        <w:rPr>
          <w:lang w:val="fr-CH"/>
        </w:rPr>
        <w:t>103.</w:t>
      </w:r>
      <w:r w:rsidRPr="009F43DE">
        <w:rPr>
          <w:lang w:val="fr-CH"/>
        </w:rPr>
        <w:tab/>
        <w:t xml:space="preserve">Le Ministère des </w:t>
      </w:r>
      <w:r w:rsidR="007331D2" w:rsidRPr="009F43DE">
        <w:rPr>
          <w:lang w:val="fr-CH"/>
        </w:rPr>
        <w:t>droits des femmes</w:t>
      </w:r>
      <w:r w:rsidRPr="009F43DE">
        <w:rPr>
          <w:lang w:val="fr-CH"/>
        </w:rPr>
        <w:t xml:space="preserve"> est en train de mettre en place des centres </w:t>
      </w:r>
      <w:r w:rsidR="00214073" w:rsidRPr="009F43DE">
        <w:rPr>
          <w:lang w:val="fr-CH"/>
        </w:rPr>
        <w:t xml:space="preserve">spécialisés </w:t>
      </w:r>
      <w:r w:rsidRPr="009F43DE">
        <w:rPr>
          <w:lang w:val="fr-CH"/>
        </w:rPr>
        <w:t xml:space="preserve">dans </w:t>
      </w:r>
      <w:r w:rsidR="00214073" w:rsidRPr="009F43DE">
        <w:rPr>
          <w:lang w:val="fr-CH"/>
        </w:rPr>
        <w:t>certains</w:t>
      </w:r>
      <w:r w:rsidRPr="009F43DE">
        <w:rPr>
          <w:lang w:val="fr-CH"/>
        </w:rPr>
        <w:t xml:space="preserve"> districts </w:t>
      </w:r>
      <w:r w:rsidR="00214073" w:rsidRPr="009F43DE">
        <w:rPr>
          <w:lang w:val="fr-CH"/>
        </w:rPr>
        <w:t>afin de</w:t>
      </w:r>
      <w:r w:rsidRPr="009F43DE">
        <w:rPr>
          <w:lang w:val="fr-CH"/>
        </w:rPr>
        <w:t xml:space="preserve"> </w:t>
      </w:r>
      <w:r w:rsidR="009F2D6A" w:rsidRPr="009F43DE">
        <w:rPr>
          <w:lang w:val="fr-CH"/>
        </w:rPr>
        <w:t>donner</w:t>
      </w:r>
      <w:r w:rsidRPr="009F43DE">
        <w:rPr>
          <w:lang w:val="fr-CH"/>
        </w:rPr>
        <w:t xml:space="preserve"> des conseils aux victimes de violence. Un</w:t>
      </w:r>
      <w:r w:rsidR="009F2D6A" w:rsidRPr="009F43DE">
        <w:rPr>
          <w:lang w:val="fr-CH"/>
        </w:rPr>
        <w:t xml:space="preserve"> soutien psychosocial est aussi fourni aux </w:t>
      </w:r>
      <w:r w:rsidRPr="009F43DE">
        <w:rPr>
          <w:lang w:val="fr-CH"/>
        </w:rPr>
        <w:t xml:space="preserve">enfants victimes de violence et </w:t>
      </w:r>
      <w:r w:rsidR="009F2D6A" w:rsidRPr="009F43DE">
        <w:rPr>
          <w:lang w:val="fr-CH"/>
        </w:rPr>
        <w:t>de maltraitance afin de faciliter leur</w:t>
      </w:r>
      <w:r w:rsidRPr="009F43DE">
        <w:rPr>
          <w:lang w:val="fr-CH"/>
        </w:rPr>
        <w:t xml:space="preserve"> réadapt</w:t>
      </w:r>
      <w:r w:rsidR="009F2D6A" w:rsidRPr="009F43DE">
        <w:rPr>
          <w:lang w:val="fr-CH"/>
        </w:rPr>
        <w:t xml:space="preserve">ation et leur </w:t>
      </w:r>
      <w:r w:rsidRPr="009F43DE">
        <w:rPr>
          <w:lang w:val="fr-CH"/>
        </w:rPr>
        <w:t>réins</w:t>
      </w:r>
      <w:r w:rsidR="009F2D6A" w:rsidRPr="009F43DE">
        <w:rPr>
          <w:lang w:val="fr-CH"/>
        </w:rPr>
        <w:t>ertion</w:t>
      </w:r>
      <w:r w:rsidRPr="009F43DE">
        <w:rPr>
          <w:lang w:val="fr-CH"/>
        </w:rPr>
        <w:t xml:space="preserve">. Des lignes directrices pour la </w:t>
      </w:r>
      <w:r w:rsidR="000745CE" w:rsidRPr="009F43DE">
        <w:rPr>
          <w:lang w:val="fr-CH"/>
        </w:rPr>
        <w:t>prise en charge des cas</w:t>
      </w:r>
      <w:r w:rsidRPr="009F43DE">
        <w:rPr>
          <w:lang w:val="fr-CH"/>
        </w:rPr>
        <w:t xml:space="preserve"> ont été </w:t>
      </w:r>
      <w:r w:rsidR="000745CE" w:rsidRPr="009F43DE">
        <w:rPr>
          <w:lang w:val="fr-CH"/>
        </w:rPr>
        <w:t>élaborées</w:t>
      </w:r>
      <w:r w:rsidRPr="009F43DE">
        <w:rPr>
          <w:lang w:val="fr-CH"/>
        </w:rPr>
        <w:t xml:space="preserve"> </w:t>
      </w:r>
      <w:r w:rsidR="000745CE" w:rsidRPr="009F43DE">
        <w:rPr>
          <w:lang w:val="fr-CH"/>
        </w:rPr>
        <w:t>afin d</w:t>
      </w:r>
      <w:r w:rsidR="00F8384A" w:rsidRPr="009F43DE">
        <w:rPr>
          <w:lang w:val="fr-CH"/>
        </w:rPr>
        <w:t>’</w:t>
      </w:r>
      <w:r w:rsidR="000745CE" w:rsidRPr="009F43DE">
        <w:rPr>
          <w:lang w:val="fr-CH"/>
        </w:rPr>
        <w:t xml:space="preserve">assurer une gestion </w:t>
      </w:r>
      <w:r w:rsidRPr="009F43DE">
        <w:rPr>
          <w:lang w:val="fr-CH"/>
        </w:rPr>
        <w:t xml:space="preserve">efficace des </w:t>
      </w:r>
      <w:r w:rsidR="000745CE" w:rsidRPr="009F43DE">
        <w:rPr>
          <w:lang w:val="fr-CH"/>
        </w:rPr>
        <w:t xml:space="preserve">problèmes </w:t>
      </w:r>
      <w:r w:rsidR="00691A20" w:rsidRPr="009F43DE">
        <w:rPr>
          <w:lang w:val="fr-CH"/>
        </w:rPr>
        <w:t>intéressant</w:t>
      </w:r>
      <w:r w:rsidR="000745CE" w:rsidRPr="009F43DE">
        <w:rPr>
          <w:lang w:val="fr-CH"/>
        </w:rPr>
        <w:t xml:space="preserve"> les</w:t>
      </w:r>
      <w:r w:rsidRPr="009F43DE">
        <w:rPr>
          <w:lang w:val="fr-CH"/>
        </w:rPr>
        <w:t xml:space="preserve"> enfants ayant besoin de soins et de protection et les agents de terrain concernés ont été formés à leur utilisation.</w:t>
      </w:r>
    </w:p>
    <w:p w:rsidR="00C77E1E" w:rsidRPr="009F43DE" w:rsidRDefault="00C77E1E" w:rsidP="00C77E1E">
      <w:pPr>
        <w:pStyle w:val="SingleTxtG"/>
        <w:rPr>
          <w:lang w:val="fr-CH"/>
        </w:rPr>
      </w:pPr>
      <w:r w:rsidRPr="009F43DE">
        <w:rPr>
          <w:rFonts w:eastAsia="Calibri"/>
          <w:lang w:val="fr-CH"/>
        </w:rPr>
        <w:t>104.</w:t>
      </w:r>
      <w:r w:rsidRPr="009F43DE">
        <w:rPr>
          <w:rFonts w:eastAsia="Calibri"/>
          <w:lang w:val="fr-CH"/>
        </w:rPr>
        <w:tab/>
      </w:r>
      <w:r w:rsidRPr="009F43DE">
        <w:rPr>
          <w:lang w:val="fr-CH"/>
        </w:rPr>
        <w:t>Le</w:t>
      </w:r>
      <w:r w:rsidR="000745CE" w:rsidRPr="009F43DE">
        <w:rPr>
          <w:lang w:val="fr-CH"/>
        </w:rPr>
        <w:t>s autorités ont</w:t>
      </w:r>
      <w:r w:rsidRPr="009F43DE">
        <w:rPr>
          <w:lang w:val="fr-CH"/>
        </w:rPr>
        <w:t xml:space="preserve"> </w:t>
      </w:r>
      <w:r w:rsidR="00691A20" w:rsidRPr="009F43DE">
        <w:rPr>
          <w:lang w:val="fr-CH"/>
        </w:rPr>
        <w:t>créé</w:t>
      </w:r>
      <w:r w:rsidRPr="009F43DE">
        <w:rPr>
          <w:lang w:val="fr-CH"/>
        </w:rPr>
        <w:t xml:space="preserve"> en 1994 le Bureau pour la protection des enfants et des femmes au sein du Département de la police. </w:t>
      </w:r>
      <w:r w:rsidR="00691A20" w:rsidRPr="009F43DE">
        <w:rPr>
          <w:lang w:val="fr-CH"/>
        </w:rPr>
        <w:t>Des</w:t>
      </w:r>
      <w:r w:rsidRPr="009F43DE">
        <w:rPr>
          <w:lang w:val="fr-CH"/>
        </w:rPr>
        <w:t xml:space="preserve"> bureaux </w:t>
      </w:r>
      <w:r w:rsidR="00691A20" w:rsidRPr="009F43DE">
        <w:rPr>
          <w:lang w:val="fr-CH"/>
        </w:rPr>
        <w:t xml:space="preserve">du même type sont désormais en </w:t>
      </w:r>
      <w:r w:rsidR="005B142F" w:rsidRPr="009F43DE">
        <w:rPr>
          <w:lang w:val="fr-CH"/>
        </w:rPr>
        <w:t xml:space="preserve">activité </w:t>
      </w:r>
      <w:r w:rsidRPr="009F43DE">
        <w:rPr>
          <w:lang w:val="fr-CH"/>
        </w:rPr>
        <w:t xml:space="preserve">dans </w:t>
      </w:r>
      <w:r w:rsidR="00691A20" w:rsidRPr="009F43DE">
        <w:rPr>
          <w:lang w:val="fr-CH"/>
        </w:rPr>
        <w:t>l</w:t>
      </w:r>
      <w:r w:rsidR="00F8384A" w:rsidRPr="009F43DE">
        <w:rPr>
          <w:lang w:val="fr-CH"/>
        </w:rPr>
        <w:t>’</w:t>
      </w:r>
      <w:r w:rsidR="00691A20" w:rsidRPr="009F43DE">
        <w:rPr>
          <w:lang w:val="fr-CH"/>
        </w:rPr>
        <w:t>ensemble des</w:t>
      </w:r>
      <w:r w:rsidRPr="009F43DE">
        <w:rPr>
          <w:lang w:val="fr-CH"/>
        </w:rPr>
        <w:t xml:space="preserve"> 438</w:t>
      </w:r>
      <w:r w:rsidR="00691A20" w:rsidRPr="009F43DE">
        <w:rPr>
          <w:lang w:val="fr-CH"/>
        </w:rPr>
        <w:t> </w:t>
      </w:r>
      <w:r w:rsidRPr="009F43DE">
        <w:rPr>
          <w:lang w:val="fr-CH"/>
        </w:rPr>
        <w:t xml:space="preserve">postes de police </w:t>
      </w:r>
      <w:r w:rsidR="00691A20" w:rsidRPr="009F43DE">
        <w:rPr>
          <w:lang w:val="fr-CH"/>
        </w:rPr>
        <w:t>de</w:t>
      </w:r>
      <w:r w:rsidRPr="009F43DE">
        <w:rPr>
          <w:lang w:val="fr-CH"/>
        </w:rPr>
        <w:t xml:space="preserve"> l</w:t>
      </w:r>
      <w:r w:rsidR="00F8384A" w:rsidRPr="009F43DE">
        <w:rPr>
          <w:lang w:val="fr-CH"/>
        </w:rPr>
        <w:t>’</w:t>
      </w:r>
      <w:r w:rsidRPr="009F43DE">
        <w:rPr>
          <w:lang w:val="fr-CH"/>
        </w:rPr>
        <w:t>île</w:t>
      </w:r>
      <w:r w:rsidR="00691A20" w:rsidRPr="009F43DE">
        <w:rPr>
          <w:lang w:val="fr-CH"/>
        </w:rPr>
        <w:t xml:space="preserve">. Quarante-trois </w:t>
      </w:r>
      <w:r w:rsidRPr="009F43DE">
        <w:rPr>
          <w:lang w:val="fr-CH"/>
        </w:rPr>
        <w:t xml:space="preserve">bureaux divisionnaires pour les enfants et les femmes </w:t>
      </w:r>
      <w:r w:rsidR="00691A20" w:rsidRPr="009F43DE">
        <w:rPr>
          <w:lang w:val="fr-CH"/>
        </w:rPr>
        <w:t>s</w:t>
      </w:r>
      <w:r w:rsidR="00F8384A" w:rsidRPr="009F43DE">
        <w:rPr>
          <w:lang w:val="fr-CH"/>
        </w:rPr>
        <w:t>’</w:t>
      </w:r>
      <w:r w:rsidR="00691A20" w:rsidRPr="009F43DE">
        <w:rPr>
          <w:lang w:val="fr-CH"/>
        </w:rPr>
        <w:t xml:space="preserve">occupent, </w:t>
      </w:r>
      <w:r w:rsidRPr="009F43DE">
        <w:rPr>
          <w:lang w:val="fr-CH"/>
        </w:rPr>
        <w:t>dans toutes les divisions de police territoriales</w:t>
      </w:r>
      <w:r w:rsidR="00691A20" w:rsidRPr="009F43DE">
        <w:rPr>
          <w:lang w:val="fr-CH"/>
        </w:rPr>
        <w:t>, des</w:t>
      </w:r>
      <w:r w:rsidRPr="009F43DE">
        <w:rPr>
          <w:lang w:val="fr-CH"/>
        </w:rPr>
        <w:t xml:space="preserve"> crimes spécifiques commis contre les femmes et les enfants.</w:t>
      </w:r>
    </w:p>
    <w:p w:rsidR="00C77E1E" w:rsidRPr="009F43DE" w:rsidRDefault="00C77E1E" w:rsidP="00C77E1E">
      <w:pPr>
        <w:pStyle w:val="SingleTxtG"/>
        <w:rPr>
          <w:rFonts w:eastAsia="Calibri"/>
          <w:color w:val="000000"/>
          <w:lang w:val="fr-CH"/>
        </w:rPr>
      </w:pPr>
      <w:r w:rsidRPr="009F43DE">
        <w:rPr>
          <w:lang w:val="fr-CH"/>
        </w:rPr>
        <w:t>105.</w:t>
      </w:r>
      <w:r w:rsidRPr="009F43DE">
        <w:rPr>
          <w:lang w:val="fr-CH"/>
        </w:rPr>
        <w:tab/>
        <w:t xml:space="preserve">Des unités </w:t>
      </w:r>
      <w:r w:rsidR="00691A20" w:rsidRPr="009F43DE">
        <w:rPr>
          <w:lang w:val="fr-CH"/>
        </w:rPr>
        <w:t>pour le</w:t>
      </w:r>
      <w:r w:rsidRPr="009F43DE">
        <w:rPr>
          <w:lang w:val="fr-CH"/>
        </w:rPr>
        <w:t xml:space="preserve"> développement des femmes et des enfants son</w:t>
      </w:r>
      <w:r w:rsidRPr="009F43DE">
        <w:rPr>
          <w:rFonts w:eastAsia="Calibri"/>
          <w:lang w:val="fr-CH"/>
        </w:rPr>
        <w:t xml:space="preserve">t opérationnelles dans les </w:t>
      </w:r>
      <w:r w:rsidR="00691A20" w:rsidRPr="009F43DE">
        <w:rPr>
          <w:rFonts w:eastAsia="Calibri"/>
          <w:lang w:val="fr-CH"/>
        </w:rPr>
        <w:t>s</w:t>
      </w:r>
      <w:r w:rsidRPr="009F43DE">
        <w:rPr>
          <w:rFonts w:eastAsia="Calibri"/>
          <w:lang w:val="fr-CH"/>
        </w:rPr>
        <w:t>ecrétariats divisionnaires d</w:t>
      </w:r>
      <w:r w:rsidR="00691A20" w:rsidRPr="009F43DE">
        <w:rPr>
          <w:rFonts w:eastAsia="Calibri"/>
          <w:lang w:val="fr-CH"/>
        </w:rPr>
        <w:t>es</w:t>
      </w:r>
      <w:r w:rsidRPr="009F43DE">
        <w:rPr>
          <w:rFonts w:eastAsia="Calibri"/>
          <w:lang w:val="fr-CH"/>
        </w:rPr>
        <w:t xml:space="preserve"> districts de Mullaitivu, Kilinochchi et Jaffna</w:t>
      </w:r>
      <w:r w:rsidR="005B142F" w:rsidRPr="009F43DE">
        <w:rPr>
          <w:rFonts w:eastAsia="Calibri"/>
          <w:lang w:val="fr-CH"/>
        </w:rPr>
        <w:t xml:space="preserve"> afin </w:t>
      </w:r>
      <w:r w:rsidR="00691A20" w:rsidRPr="009F43DE">
        <w:rPr>
          <w:rFonts w:eastAsia="Calibri"/>
          <w:lang w:val="fr-CH"/>
        </w:rPr>
        <w:t>de</w:t>
      </w:r>
      <w:r w:rsidRPr="009F43DE">
        <w:rPr>
          <w:rFonts w:eastAsia="Calibri"/>
          <w:lang w:val="fr-CH"/>
        </w:rPr>
        <w:t xml:space="preserve"> permettre aux agents de terrain </w:t>
      </w:r>
      <w:r w:rsidR="005B142F" w:rsidRPr="009F43DE">
        <w:rPr>
          <w:rFonts w:eastAsia="Calibri"/>
          <w:lang w:val="fr-CH"/>
        </w:rPr>
        <w:t>de</w:t>
      </w:r>
      <w:r w:rsidRPr="009F43DE">
        <w:rPr>
          <w:rFonts w:eastAsia="Calibri"/>
          <w:lang w:val="fr-CH"/>
        </w:rPr>
        <w:t xml:space="preserve"> fournir </w:t>
      </w:r>
      <w:r w:rsidR="005B142F" w:rsidRPr="009F43DE">
        <w:rPr>
          <w:rFonts w:eastAsia="Calibri"/>
          <w:lang w:val="fr-CH"/>
        </w:rPr>
        <w:t>l</w:t>
      </w:r>
      <w:r w:rsidRPr="009F43DE">
        <w:rPr>
          <w:rFonts w:eastAsia="Calibri"/>
          <w:lang w:val="fr-CH"/>
        </w:rPr>
        <w:t xml:space="preserve">es services </w:t>
      </w:r>
      <w:r w:rsidR="005B142F" w:rsidRPr="009F43DE">
        <w:rPr>
          <w:rFonts w:eastAsia="Calibri"/>
          <w:lang w:val="fr-CH"/>
        </w:rPr>
        <w:t>nécessaires à la mise en place d</w:t>
      </w:r>
      <w:r w:rsidR="00F8384A" w:rsidRPr="009F43DE">
        <w:rPr>
          <w:rFonts w:eastAsia="Calibri"/>
          <w:lang w:val="fr-CH"/>
        </w:rPr>
        <w:t>’</w:t>
      </w:r>
      <w:r w:rsidR="005B142F" w:rsidRPr="009F43DE">
        <w:rPr>
          <w:rFonts w:eastAsia="Calibri"/>
          <w:lang w:val="fr-CH"/>
        </w:rPr>
        <w:t xml:space="preserve">un environnement </w:t>
      </w:r>
      <w:r w:rsidRPr="009F43DE">
        <w:rPr>
          <w:rFonts w:eastAsia="Calibri"/>
          <w:lang w:val="fr-CH"/>
        </w:rPr>
        <w:t xml:space="preserve">sûr pour les femmes et les enfants. En outre, des </w:t>
      </w:r>
      <w:r w:rsidR="00F8384A" w:rsidRPr="009F43DE">
        <w:rPr>
          <w:rFonts w:eastAsia="Calibri"/>
          <w:lang w:val="fr-CH"/>
        </w:rPr>
        <w:t>«</w:t>
      </w:r>
      <w:r w:rsidR="005B142F" w:rsidRPr="009F43DE">
        <w:rPr>
          <w:rFonts w:eastAsia="Calibri"/>
          <w:lang w:val="fr-CH"/>
        </w:rPr>
        <w:t xml:space="preserve">cellules </w:t>
      </w:r>
      <w:r w:rsidRPr="009F43DE">
        <w:rPr>
          <w:rFonts w:eastAsia="Calibri"/>
          <w:lang w:val="fr-CH"/>
        </w:rPr>
        <w:t>de prévention</w:t>
      </w:r>
      <w:r w:rsidR="005B142F" w:rsidRPr="009F43DE">
        <w:rPr>
          <w:rFonts w:eastAsia="Calibri"/>
          <w:lang w:val="fr-CH"/>
        </w:rPr>
        <w:t xml:space="preserve"> de la </w:t>
      </w:r>
      <w:r w:rsidRPr="009F43DE">
        <w:rPr>
          <w:rFonts w:eastAsia="Calibri"/>
          <w:lang w:val="fr-CH"/>
        </w:rPr>
        <w:t>violence sexuelle et sexiste</w:t>
      </w:r>
      <w:r w:rsidR="00F8384A" w:rsidRPr="009F43DE">
        <w:rPr>
          <w:rFonts w:eastAsia="Calibri"/>
          <w:lang w:val="fr-CH"/>
        </w:rPr>
        <w:t>»</w:t>
      </w:r>
      <w:r w:rsidRPr="009F43DE">
        <w:rPr>
          <w:rFonts w:eastAsia="Calibri"/>
          <w:lang w:val="fr-CH"/>
        </w:rPr>
        <w:t xml:space="preserve"> ont été établi</w:t>
      </w:r>
      <w:r w:rsidR="005B142F" w:rsidRPr="009F43DE">
        <w:rPr>
          <w:rFonts w:eastAsia="Calibri"/>
          <w:lang w:val="fr-CH"/>
        </w:rPr>
        <w:t>e</w:t>
      </w:r>
      <w:r w:rsidRPr="009F43DE">
        <w:rPr>
          <w:rFonts w:eastAsia="Calibri"/>
          <w:lang w:val="fr-CH"/>
        </w:rPr>
        <w:t>s dans les hôpitaux de base des districts de Jaffna et Vavuniya et une aide en matière de santé, de sécurité et d</w:t>
      </w:r>
      <w:r w:rsidR="00F8384A" w:rsidRPr="009F43DE">
        <w:rPr>
          <w:rFonts w:eastAsia="Calibri"/>
          <w:lang w:val="fr-CH"/>
        </w:rPr>
        <w:t>’</w:t>
      </w:r>
      <w:r w:rsidRPr="009F43DE">
        <w:rPr>
          <w:rFonts w:eastAsia="Calibri"/>
          <w:lang w:val="fr-CH"/>
        </w:rPr>
        <w:t xml:space="preserve">assistance juridique est fournie aux femmes hospitalisées </w:t>
      </w:r>
      <w:r w:rsidR="005B142F" w:rsidRPr="009F43DE">
        <w:rPr>
          <w:rFonts w:eastAsia="Calibri"/>
          <w:lang w:val="fr-CH"/>
        </w:rPr>
        <w:t>suite à des</w:t>
      </w:r>
      <w:r w:rsidRPr="009F43DE">
        <w:rPr>
          <w:rFonts w:eastAsia="Calibri"/>
          <w:lang w:val="fr-CH"/>
        </w:rPr>
        <w:t xml:space="preserve"> violences fondées sur le </w:t>
      </w:r>
      <w:r w:rsidRPr="009F43DE">
        <w:rPr>
          <w:rFonts w:eastAsia="Calibri"/>
          <w:color w:val="000000"/>
          <w:lang w:val="fr-CH"/>
        </w:rPr>
        <w:t>sexe.</w:t>
      </w:r>
    </w:p>
    <w:p w:rsidR="00C77E1E" w:rsidRPr="009F43DE" w:rsidRDefault="00C77E1E" w:rsidP="00C77E1E">
      <w:pPr>
        <w:pStyle w:val="H4G"/>
        <w:rPr>
          <w:lang w:val="fr-CH"/>
        </w:rPr>
      </w:pPr>
      <w:r w:rsidRPr="009F43DE">
        <w:rPr>
          <w:rFonts w:eastAsia="Calibri"/>
          <w:lang w:val="fr-CH"/>
        </w:rPr>
        <w:tab/>
      </w:r>
      <w:r w:rsidRPr="009F43DE">
        <w:rPr>
          <w:rFonts w:eastAsia="Calibri"/>
          <w:lang w:val="fr-CH"/>
        </w:rPr>
        <w:tab/>
        <w:t>Programmes de formation</w:t>
      </w:r>
    </w:p>
    <w:p w:rsidR="00C77E1E" w:rsidRPr="009F43DE" w:rsidRDefault="00C77E1E" w:rsidP="00C77E1E">
      <w:pPr>
        <w:pStyle w:val="SingleTxtG"/>
        <w:rPr>
          <w:rFonts w:eastAsia="Calibri"/>
          <w:lang w:val="fr-CH"/>
        </w:rPr>
      </w:pPr>
      <w:r w:rsidRPr="009F43DE">
        <w:rPr>
          <w:rFonts w:eastAsia="Calibri"/>
          <w:lang w:val="fr-CH"/>
        </w:rPr>
        <w:t>106.</w:t>
      </w:r>
      <w:r w:rsidRPr="009F43DE">
        <w:rPr>
          <w:rFonts w:eastAsia="Calibri"/>
          <w:lang w:val="fr-CH"/>
        </w:rPr>
        <w:tab/>
      </w:r>
      <w:r w:rsidR="00241AAF" w:rsidRPr="009F43DE">
        <w:rPr>
          <w:rFonts w:eastAsia="Calibri"/>
          <w:lang w:val="fr-CH"/>
        </w:rPr>
        <w:t>L</w:t>
      </w:r>
      <w:r w:rsidRPr="009F43DE">
        <w:rPr>
          <w:lang w:val="fr-CH"/>
        </w:rPr>
        <w:t xml:space="preserve">es programmes de sensibilisation </w:t>
      </w:r>
      <w:r w:rsidR="005B142F" w:rsidRPr="009F43DE">
        <w:rPr>
          <w:lang w:val="fr-CH"/>
        </w:rPr>
        <w:t>à</w:t>
      </w:r>
      <w:r w:rsidRPr="009F43DE">
        <w:rPr>
          <w:lang w:val="fr-CH"/>
        </w:rPr>
        <w:t xml:space="preserve"> la prévention de la violence contre les femmes et </w:t>
      </w:r>
      <w:r w:rsidR="00241AAF" w:rsidRPr="009F43DE">
        <w:rPr>
          <w:lang w:val="fr-CH"/>
        </w:rPr>
        <w:t xml:space="preserve">à </w:t>
      </w:r>
      <w:r w:rsidRPr="009F43DE">
        <w:rPr>
          <w:lang w:val="fr-CH"/>
        </w:rPr>
        <w:t>la protection des droits des femmes</w:t>
      </w:r>
      <w:r w:rsidR="00241AAF" w:rsidRPr="009F43DE">
        <w:rPr>
          <w:lang w:val="fr-CH"/>
        </w:rPr>
        <w:t>,</w:t>
      </w:r>
      <w:r w:rsidRPr="009F43DE">
        <w:rPr>
          <w:lang w:val="fr-CH"/>
        </w:rPr>
        <w:t xml:space="preserve"> </w:t>
      </w:r>
      <w:r w:rsidR="00241AAF" w:rsidRPr="009F43DE">
        <w:rPr>
          <w:lang w:val="fr-CH"/>
        </w:rPr>
        <w:t>réalisés à l</w:t>
      </w:r>
      <w:r w:rsidR="00F8384A" w:rsidRPr="009F43DE">
        <w:rPr>
          <w:lang w:val="fr-CH"/>
        </w:rPr>
        <w:t>’</w:t>
      </w:r>
      <w:r w:rsidR="00241AAF" w:rsidRPr="009F43DE">
        <w:rPr>
          <w:lang w:val="fr-CH"/>
        </w:rPr>
        <w:t>intention des</w:t>
      </w:r>
      <w:r w:rsidRPr="009F43DE">
        <w:rPr>
          <w:lang w:val="fr-CH"/>
        </w:rPr>
        <w:t xml:space="preserve"> membres de la police et des forces de sécurité, </w:t>
      </w:r>
      <w:r w:rsidR="00241AAF" w:rsidRPr="009F43DE">
        <w:rPr>
          <w:lang w:val="fr-CH"/>
        </w:rPr>
        <w:t>d</w:t>
      </w:r>
      <w:r w:rsidRPr="009F43DE">
        <w:rPr>
          <w:lang w:val="fr-CH"/>
        </w:rPr>
        <w:t xml:space="preserve">es dirigeants communautaires et </w:t>
      </w:r>
      <w:r w:rsidR="00241AAF" w:rsidRPr="009F43DE">
        <w:rPr>
          <w:lang w:val="fr-CH"/>
        </w:rPr>
        <w:t>d</w:t>
      </w:r>
      <w:r w:rsidRPr="009F43DE">
        <w:rPr>
          <w:lang w:val="fr-CH"/>
        </w:rPr>
        <w:t>es membres du public</w:t>
      </w:r>
      <w:r w:rsidR="00241AAF" w:rsidRPr="009F43DE">
        <w:rPr>
          <w:lang w:val="fr-CH"/>
        </w:rPr>
        <w:t>, font partie intégrante</w:t>
      </w:r>
      <w:r w:rsidRPr="009F43DE">
        <w:rPr>
          <w:lang w:val="fr-CH"/>
        </w:rPr>
        <w:t xml:space="preserve"> des programmes du Comité national sur les femmes et du Bureau des femmes du Sri Lanka. En outre, un documentaire en langue tamoul</w:t>
      </w:r>
      <w:r w:rsidR="00B262BD" w:rsidRPr="009F43DE">
        <w:rPr>
          <w:lang w:val="fr-CH"/>
        </w:rPr>
        <w:t>e</w:t>
      </w:r>
      <w:r w:rsidRPr="009F43DE">
        <w:rPr>
          <w:lang w:val="fr-CH"/>
        </w:rPr>
        <w:t xml:space="preserve"> sur la prévention de la violence domestique et d</w:t>
      </w:r>
      <w:r w:rsidR="00F8384A" w:rsidRPr="009F43DE">
        <w:rPr>
          <w:lang w:val="fr-CH"/>
        </w:rPr>
        <w:t>’</w:t>
      </w:r>
      <w:r w:rsidRPr="009F43DE">
        <w:rPr>
          <w:lang w:val="fr-CH"/>
        </w:rPr>
        <w:t xml:space="preserve">autres formes de harcèlement sera projeté dans </w:t>
      </w:r>
      <w:r w:rsidR="00241AAF" w:rsidRPr="009F43DE">
        <w:rPr>
          <w:lang w:val="fr-CH"/>
        </w:rPr>
        <w:t xml:space="preserve">le cadre </w:t>
      </w:r>
      <w:r w:rsidRPr="009F43DE">
        <w:rPr>
          <w:lang w:val="fr-CH"/>
        </w:rPr>
        <w:t xml:space="preserve">de programmes </w:t>
      </w:r>
      <w:r w:rsidR="00241AAF" w:rsidRPr="009F43DE">
        <w:rPr>
          <w:lang w:val="fr-CH"/>
        </w:rPr>
        <w:t>réalisés</w:t>
      </w:r>
      <w:r w:rsidRPr="009F43DE">
        <w:rPr>
          <w:lang w:val="fr-CH"/>
        </w:rPr>
        <w:t xml:space="preserve"> dans les </w:t>
      </w:r>
      <w:r w:rsidR="00B262BD" w:rsidRPr="009F43DE">
        <w:rPr>
          <w:lang w:val="fr-CH"/>
        </w:rPr>
        <w:t>régions</w:t>
      </w:r>
      <w:r w:rsidRPr="009F43DE">
        <w:rPr>
          <w:lang w:val="fr-CH"/>
        </w:rPr>
        <w:t xml:space="preserve"> </w:t>
      </w:r>
      <w:r w:rsidR="00241AAF" w:rsidRPr="009F43DE">
        <w:rPr>
          <w:lang w:val="fr-CH"/>
        </w:rPr>
        <w:t>n</w:t>
      </w:r>
      <w:r w:rsidRPr="009F43DE">
        <w:rPr>
          <w:lang w:val="fr-CH"/>
        </w:rPr>
        <w:t>ord</w:t>
      </w:r>
      <w:r w:rsidR="00241AAF" w:rsidRPr="009F43DE">
        <w:rPr>
          <w:lang w:val="fr-CH"/>
        </w:rPr>
        <w:t xml:space="preserve"> et e</w:t>
      </w:r>
      <w:r w:rsidRPr="009F43DE">
        <w:rPr>
          <w:lang w:val="fr-CH"/>
        </w:rPr>
        <w:t xml:space="preserve">st et </w:t>
      </w:r>
      <w:r w:rsidR="00241AAF" w:rsidRPr="009F43DE">
        <w:rPr>
          <w:lang w:val="fr-CH"/>
        </w:rPr>
        <w:t>dans les zones d</w:t>
      </w:r>
      <w:r w:rsidRPr="009F43DE">
        <w:rPr>
          <w:lang w:val="fr-CH"/>
        </w:rPr>
        <w:t xml:space="preserve">es plantations. </w:t>
      </w:r>
      <w:r w:rsidR="00241AAF" w:rsidRPr="009F43DE">
        <w:rPr>
          <w:lang w:val="fr-CH"/>
        </w:rPr>
        <w:t>Une attention particulière sera portée aux</w:t>
      </w:r>
      <w:r w:rsidRPr="009F43DE">
        <w:rPr>
          <w:lang w:val="fr-CH"/>
        </w:rPr>
        <w:t xml:space="preserve"> femmes qui ont été touchées par le conflit armé dans le </w:t>
      </w:r>
      <w:r w:rsidR="00241AAF" w:rsidRPr="009F43DE">
        <w:rPr>
          <w:lang w:val="fr-CH"/>
        </w:rPr>
        <w:t>n</w:t>
      </w:r>
      <w:r w:rsidRPr="009F43DE">
        <w:rPr>
          <w:lang w:val="fr-CH"/>
        </w:rPr>
        <w:t>ord et l</w:t>
      </w:r>
      <w:r w:rsidR="00F8384A" w:rsidRPr="009F43DE">
        <w:rPr>
          <w:lang w:val="fr-CH"/>
        </w:rPr>
        <w:t>’</w:t>
      </w:r>
      <w:r w:rsidR="00241AAF" w:rsidRPr="009F43DE">
        <w:rPr>
          <w:lang w:val="fr-CH"/>
        </w:rPr>
        <w:t>e</w:t>
      </w:r>
      <w:r w:rsidRPr="009F43DE">
        <w:rPr>
          <w:lang w:val="fr-CH"/>
        </w:rPr>
        <w:t xml:space="preserve">st du pays. En outre, une série de programmes </w:t>
      </w:r>
      <w:r w:rsidR="00241AAF" w:rsidRPr="009F43DE">
        <w:rPr>
          <w:lang w:val="fr-CH"/>
        </w:rPr>
        <w:t>ont</w:t>
      </w:r>
      <w:r w:rsidRPr="009F43DE">
        <w:rPr>
          <w:lang w:val="fr-CH"/>
        </w:rPr>
        <w:t xml:space="preserve"> été diffusé</w:t>
      </w:r>
      <w:r w:rsidR="00241AAF" w:rsidRPr="009F43DE">
        <w:rPr>
          <w:lang w:val="fr-CH"/>
        </w:rPr>
        <w:t>s</w:t>
      </w:r>
      <w:r w:rsidRPr="009F43DE">
        <w:rPr>
          <w:lang w:val="fr-CH"/>
        </w:rPr>
        <w:t xml:space="preserve"> via la Sri Lanka Broadcasting Corporation</w:t>
      </w:r>
      <w:r w:rsidR="00241AAF" w:rsidRPr="009F43DE">
        <w:rPr>
          <w:lang w:val="fr-CH"/>
        </w:rPr>
        <w:t>,</w:t>
      </w:r>
      <w:r w:rsidRPr="009F43DE">
        <w:rPr>
          <w:lang w:val="fr-CH"/>
        </w:rPr>
        <w:t xml:space="preserve"> tant en </w:t>
      </w:r>
      <w:r w:rsidR="009D5590" w:rsidRPr="009F43DE">
        <w:rPr>
          <w:rStyle w:val="freetext"/>
          <w:color w:val="333333"/>
          <w:lang w:val="fr-CH"/>
        </w:rPr>
        <w:t xml:space="preserve">singhalais </w:t>
      </w:r>
      <w:r w:rsidRPr="009F43DE">
        <w:rPr>
          <w:lang w:val="fr-CH"/>
        </w:rPr>
        <w:t>qu</w:t>
      </w:r>
      <w:r w:rsidR="00F8384A" w:rsidRPr="009F43DE">
        <w:rPr>
          <w:lang w:val="fr-CH"/>
        </w:rPr>
        <w:t>’</w:t>
      </w:r>
      <w:r w:rsidRPr="009F43DE">
        <w:rPr>
          <w:lang w:val="fr-CH"/>
        </w:rPr>
        <w:t>en tamoul</w:t>
      </w:r>
      <w:r w:rsidR="00B262BD" w:rsidRPr="009F43DE">
        <w:rPr>
          <w:lang w:val="fr-CH"/>
        </w:rPr>
        <w:t>e</w:t>
      </w:r>
      <w:r w:rsidR="00241AAF" w:rsidRPr="009F43DE">
        <w:rPr>
          <w:lang w:val="fr-CH"/>
        </w:rPr>
        <w:t>,</w:t>
      </w:r>
      <w:r w:rsidRPr="009F43DE">
        <w:rPr>
          <w:lang w:val="fr-CH"/>
        </w:rPr>
        <w:t xml:space="preserve"> sur des sujets comme la prévention du harcèlement des femmes; </w:t>
      </w:r>
      <w:r w:rsidRPr="009F43DE">
        <w:rPr>
          <w:color w:val="000000"/>
          <w:lang w:val="fr-CH"/>
        </w:rPr>
        <w:t xml:space="preserve">la </w:t>
      </w:r>
      <w:r w:rsidR="009D5590" w:rsidRPr="009F43DE">
        <w:rPr>
          <w:color w:val="000000"/>
          <w:lang w:val="fr-CH"/>
        </w:rPr>
        <w:t>l</w:t>
      </w:r>
      <w:r w:rsidRPr="009F43DE">
        <w:rPr>
          <w:color w:val="000000"/>
          <w:lang w:val="fr-CH"/>
        </w:rPr>
        <w:t xml:space="preserve">oi </w:t>
      </w:r>
      <w:r w:rsidR="00E9497B">
        <w:rPr>
          <w:color w:val="000000"/>
          <w:lang w:val="fr-CH"/>
        </w:rPr>
        <w:t>n</w:t>
      </w:r>
      <w:r w:rsidR="00E9497B" w:rsidRPr="00E9497B">
        <w:rPr>
          <w:color w:val="000000"/>
          <w:vertAlign w:val="superscript"/>
          <w:lang w:val="fr-CH"/>
        </w:rPr>
        <w:t>o</w:t>
      </w:r>
      <w:r w:rsidR="009D5590" w:rsidRPr="009F43DE">
        <w:rPr>
          <w:color w:val="000000"/>
          <w:lang w:val="fr-CH"/>
        </w:rPr>
        <w:t> </w:t>
      </w:r>
      <w:r w:rsidRPr="009F43DE">
        <w:rPr>
          <w:color w:val="000000"/>
          <w:lang w:val="fr-CH"/>
        </w:rPr>
        <w:t>34 de 2005 sur la prévention de la violence familiale; la prévention de</w:t>
      </w:r>
      <w:r w:rsidR="009D5590" w:rsidRPr="009F43DE">
        <w:rPr>
          <w:color w:val="000000"/>
          <w:lang w:val="fr-CH"/>
        </w:rPr>
        <w:t>s</w:t>
      </w:r>
      <w:r w:rsidRPr="009F43DE">
        <w:rPr>
          <w:color w:val="000000"/>
          <w:lang w:val="fr-CH"/>
        </w:rPr>
        <w:t xml:space="preserve"> grossesse</w:t>
      </w:r>
      <w:r w:rsidR="009D5590" w:rsidRPr="009F43DE">
        <w:rPr>
          <w:color w:val="000000"/>
          <w:lang w:val="fr-CH"/>
        </w:rPr>
        <w:t>s chez</w:t>
      </w:r>
      <w:r w:rsidR="009D5590" w:rsidRPr="009F43DE">
        <w:rPr>
          <w:lang w:val="fr-CH"/>
        </w:rPr>
        <w:t xml:space="preserve"> les</w:t>
      </w:r>
      <w:r w:rsidRPr="009F43DE">
        <w:rPr>
          <w:lang w:val="fr-CH"/>
        </w:rPr>
        <w:t xml:space="preserve"> adolescentes; et les fonctions du Centre de traitement des plaintes </w:t>
      </w:r>
      <w:r w:rsidR="009D5590" w:rsidRPr="009F43DE">
        <w:rPr>
          <w:lang w:val="fr-CH"/>
        </w:rPr>
        <w:t>pour violences sexistes</w:t>
      </w:r>
      <w:r w:rsidRPr="009F43DE">
        <w:rPr>
          <w:lang w:val="fr-CH"/>
        </w:rPr>
        <w:t>.</w:t>
      </w:r>
    </w:p>
    <w:p w:rsidR="00C77E1E" w:rsidRPr="009F43DE" w:rsidRDefault="00C77E1E" w:rsidP="00C77E1E">
      <w:pPr>
        <w:pStyle w:val="SingleTxtG"/>
        <w:rPr>
          <w:rFonts w:eastAsia="Calibri"/>
          <w:lang w:val="fr-CH"/>
        </w:rPr>
      </w:pPr>
      <w:r w:rsidRPr="009F43DE">
        <w:rPr>
          <w:rFonts w:eastAsia="Calibri"/>
          <w:lang w:val="fr-CH"/>
        </w:rPr>
        <w:t>107.</w:t>
      </w:r>
      <w:r w:rsidRPr="009F43DE">
        <w:rPr>
          <w:rFonts w:eastAsia="Calibri"/>
          <w:lang w:val="fr-CH"/>
        </w:rPr>
        <w:tab/>
        <w:t>Une f</w:t>
      </w:r>
      <w:r w:rsidRPr="009F43DE">
        <w:rPr>
          <w:lang w:val="fr-CH"/>
        </w:rPr>
        <w:t xml:space="preserve">ormation sur la prévention et la gestion des violences fondées sur le sexe fait également partie de la formation des sages-femmes et des </w:t>
      </w:r>
      <w:r w:rsidR="00032D12" w:rsidRPr="009F43DE">
        <w:rPr>
          <w:lang w:val="fr-CH"/>
        </w:rPr>
        <w:t xml:space="preserve">travailleurs sanitaires </w:t>
      </w:r>
      <w:r w:rsidRPr="009F43DE">
        <w:rPr>
          <w:lang w:val="fr-CH"/>
        </w:rPr>
        <w:t>primaires</w:t>
      </w:r>
      <w:r w:rsidR="00032D12" w:rsidRPr="009F43DE">
        <w:rPr>
          <w:lang w:val="fr-CH"/>
        </w:rPr>
        <w:t>,</w:t>
      </w:r>
      <w:r w:rsidRPr="009F43DE">
        <w:rPr>
          <w:lang w:val="fr-CH"/>
        </w:rPr>
        <w:t xml:space="preserve"> qui sont en première ligne pour </w:t>
      </w:r>
      <w:r w:rsidR="00032D12" w:rsidRPr="009F43DE">
        <w:rPr>
          <w:lang w:val="fr-CH"/>
        </w:rPr>
        <w:t xml:space="preserve">la fourniture de </w:t>
      </w:r>
      <w:r w:rsidRPr="009F43DE">
        <w:rPr>
          <w:lang w:val="fr-CH"/>
        </w:rPr>
        <w:t xml:space="preserve">soins de santé </w:t>
      </w:r>
      <w:r w:rsidR="00032D12" w:rsidRPr="009F43DE">
        <w:rPr>
          <w:lang w:val="fr-CH"/>
        </w:rPr>
        <w:t>aux</w:t>
      </w:r>
      <w:r w:rsidRPr="009F43DE">
        <w:rPr>
          <w:lang w:val="fr-CH"/>
        </w:rPr>
        <w:t xml:space="preserve"> femmes et qui ont un accès direct aux familles</w:t>
      </w:r>
      <w:r w:rsidR="00032D12" w:rsidRPr="009F43DE">
        <w:rPr>
          <w:lang w:val="fr-CH"/>
        </w:rPr>
        <w:t xml:space="preserve">. Cette formation est assurée par des </w:t>
      </w:r>
      <w:r w:rsidR="00137B1E" w:rsidRPr="009F43DE">
        <w:rPr>
          <w:lang w:val="fr-CH"/>
        </w:rPr>
        <w:t>spécialistes expressément affectés à cette tâche.</w:t>
      </w:r>
      <w:r w:rsidRPr="009F43DE">
        <w:rPr>
          <w:rFonts w:eastAsia="Calibri"/>
          <w:lang w:val="fr-CH"/>
        </w:rPr>
        <w:t xml:space="preserve"> </w:t>
      </w:r>
    </w:p>
    <w:p w:rsidR="00C77E1E" w:rsidRPr="009F43DE" w:rsidRDefault="00C77E1E" w:rsidP="007F319E">
      <w:pPr>
        <w:pStyle w:val="H23G"/>
        <w:rPr>
          <w:rFonts w:eastAsia="Calibri"/>
          <w:lang w:val="fr-CH"/>
        </w:rPr>
      </w:pPr>
      <w:r w:rsidRPr="009F43DE">
        <w:rPr>
          <w:rFonts w:eastAsia="Calibri"/>
          <w:lang w:val="fr-CH"/>
        </w:rPr>
        <w:tab/>
      </w:r>
      <w:r w:rsidRPr="009F43DE">
        <w:rPr>
          <w:rFonts w:eastAsia="Calibri"/>
          <w:lang w:val="fr-CH"/>
        </w:rPr>
        <w:tab/>
        <w:t>I</w:t>
      </w:r>
      <w:r w:rsidRPr="009F43DE">
        <w:rPr>
          <w:lang w:val="fr-CH"/>
        </w:rPr>
        <w:t xml:space="preserve">ncrimination du viol conjugal en toutes circonstances </w:t>
      </w:r>
      <w:r w:rsidR="007F319E">
        <w:rPr>
          <w:rFonts w:eastAsia="Calibri"/>
          <w:lang w:val="fr-CH"/>
        </w:rPr>
        <w:t>(</w:t>
      </w:r>
      <w:r w:rsidR="00032D12" w:rsidRPr="009F43DE">
        <w:rPr>
          <w:rFonts w:eastAsia="Calibri"/>
          <w:lang w:val="fr-CH"/>
        </w:rPr>
        <w:t>p</w:t>
      </w:r>
      <w:r w:rsidRPr="009F43DE">
        <w:rPr>
          <w:rFonts w:eastAsia="Calibri"/>
          <w:lang w:val="fr-CH"/>
        </w:rPr>
        <w:t>ar</w:t>
      </w:r>
      <w:r w:rsidR="007F319E">
        <w:rPr>
          <w:rFonts w:eastAsia="Calibri"/>
          <w:lang w:val="fr-CH"/>
        </w:rPr>
        <w:t xml:space="preserve">. </w:t>
      </w:r>
      <w:r w:rsidRPr="009F43DE">
        <w:rPr>
          <w:rFonts w:eastAsia="Calibri"/>
          <w:lang w:val="fr-CH"/>
        </w:rPr>
        <w:t>25</w:t>
      </w:r>
      <w:r w:rsidR="007F319E">
        <w:rPr>
          <w:rFonts w:eastAsia="Calibri"/>
          <w:lang w:val="fr-CH"/>
        </w:rPr>
        <w:t>)</w:t>
      </w:r>
    </w:p>
    <w:p w:rsidR="00C77E1E" w:rsidRPr="009F43DE" w:rsidRDefault="00C77E1E" w:rsidP="00C77E1E">
      <w:pPr>
        <w:pStyle w:val="SingleTxtG"/>
        <w:rPr>
          <w:rFonts w:eastAsia="Calibri"/>
          <w:lang w:val="fr-CH"/>
        </w:rPr>
      </w:pPr>
      <w:r w:rsidRPr="009F43DE">
        <w:rPr>
          <w:rFonts w:eastAsia="Calibri"/>
          <w:lang w:val="fr-CH"/>
        </w:rPr>
        <w:t>108.</w:t>
      </w:r>
      <w:r w:rsidRPr="009F43DE">
        <w:rPr>
          <w:rFonts w:eastAsia="Calibri"/>
          <w:lang w:val="fr-CH"/>
        </w:rPr>
        <w:tab/>
      </w:r>
      <w:r w:rsidRPr="009F43DE">
        <w:rPr>
          <w:lang w:val="fr-CH"/>
        </w:rPr>
        <w:t xml:space="preserve">Le Gouvernement </w:t>
      </w:r>
      <w:r w:rsidR="00137B1E" w:rsidRPr="009F43DE">
        <w:rPr>
          <w:lang w:val="fr-CH"/>
        </w:rPr>
        <w:t xml:space="preserve">sri-lankais </w:t>
      </w:r>
      <w:r w:rsidRPr="009F43DE">
        <w:rPr>
          <w:lang w:val="fr-CH"/>
        </w:rPr>
        <w:t>tient à rappeler au Comité la sensibilité d</w:t>
      </w:r>
      <w:r w:rsidR="00137B1E" w:rsidRPr="009F43DE">
        <w:rPr>
          <w:lang w:val="fr-CH"/>
        </w:rPr>
        <w:t>e la question</w:t>
      </w:r>
      <w:r w:rsidRPr="009F43DE">
        <w:rPr>
          <w:lang w:val="fr-CH"/>
        </w:rPr>
        <w:t xml:space="preserve"> du viol conjugal. Compte tenu du tissu social multiculturel du pays, il faut souligner qu</w:t>
      </w:r>
      <w:r w:rsidR="00F8384A" w:rsidRPr="009F43DE">
        <w:rPr>
          <w:lang w:val="fr-CH"/>
        </w:rPr>
        <w:t>’</w:t>
      </w:r>
      <w:r w:rsidR="00137B1E" w:rsidRPr="009F43DE">
        <w:rPr>
          <w:lang w:val="fr-CH"/>
        </w:rPr>
        <w:t xml:space="preserve">obtenir </w:t>
      </w:r>
      <w:r w:rsidRPr="009F43DE">
        <w:rPr>
          <w:lang w:val="fr-CH"/>
        </w:rPr>
        <w:t>un consensus global de toutes les parties prenantes de la société sur un</w:t>
      </w:r>
      <w:r w:rsidR="00137B1E" w:rsidRPr="009F43DE">
        <w:rPr>
          <w:lang w:val="fr-CH"/>
        </w:rPr>
        <w:t>e question aussi</w:t>
      </w:r>
      <w:r w:rsidRPr="009F43DE">
        <w:rPr>
          <w:lang w:val="fr-CH"/>
        </w:rPr>
        <w:t xml:space="preserve"> controversé</w:t>
      </w:r>
      <w:r w:rsidR="00137B1E" w:rsidRPr="009F43DE">
        <w:rPr>
          <w:lang w:val="fr-CH"/>
        </w:rPr>
        <w:t xml:space="preserve">e </w:t>
      </w:r>
      <w:r w:rsidRPr="009F43DE">
        <w:rPr>
          <w:lang w:val="fr-CH"/>
        </w:rPr>
        <w:t>est en effet compliqué et difficile. Toutefois, dans les cas de séparation judiciaire des parties</w:t>
      </w:r>
      <w:r w:rsidR="005C1D13" w:rsidRPr="009F43DE">
        <w:rPr>
          <w:lang w:val="fr-CH"/>
        </w:rPr>
        <w:t>,</w:t>
      </w:r>
      <w:r w:rsidRPr="009F43DE">
        <w:rPr>
          <w:lang w:val="fr-CH"/>
        </w:rPr>
        <w:t xml:space="preserve"> le viol conjugal est considéré comme une infraction pénale.</w:t>
      </w:r>
    </w:p>
    <w:p w:rsidR="00C77E1E" w:rsidRPr="009F43DE" w:rsidRDefault="00C77E1E" w:rsidP="00C77E1E">
      <w:pPr>
        <w:pStyle w:val="H23G"/>
        <w:rPr>
          <w:rFonts w:eastAsia="Calibri"/>
          <w:lang w:val="fr-CH"/>
        </w:rPr>
      </w:pPr>
      <w:r w:rsidRPr="009F43DE">
        <w:rPr>
          <w:lang w:val="fr-CH"/>
        </w:rPr>
        <w:tab/>
      </w:r>
      <w:r w:rsidRPr="009F43DE">
        <w:rPr>
          <w:lang w:val="fr-CH"/>
        </w:rPr>
        <w:tab/>
        <w:t xml:space="preserve">Mesures pour lutter contre le travail des enfants </w:t>
      </w:r>
      <w:r w:rsidR="007F319E">
        <w:rPr>
          <w:lang w:val="fr-CH"/>
        </w:rPr>
        <w:t>(</w:t>
      </w:r>
      <w:r w:rsidR="005C1D13" w:rsidRPr="009F43DE">
        <w:rPr>
          <w:lang w:val="fr-CH"/>
        </w:rPr>
        <w:t>p</w:t>
      </w:r>
      <w:r w:rsidRPr="009F43DE">
        <w:rPr>
          <w:lang w:val="fr-CH"/>
        </w:rPr>
        <w:t>ar</w:t>
      </w:r>
      <w:r w:rsidR="007F319E">
        <w:rPr>
          <w:lang w:val="fr-CH"/>
        </w:rPr>
        <w:t xml:space="preserve">. </w:t>
      </w:r>
      <w:r w:rsidRPr="009F43DE">
        <w:rPr>
          <w:lang w:val="fr-CH"/>
        </w:rPr>
        <w:t>26</w:t>
      </w:r>
      <w:r w:rsidR="007F319E">
        <w:rPr>
          <w:lang w:val="fr-CH"/>
        </w:rPr>
        <w:t>)</w:t>
      </w:r>
      <w:r w:rsidRPr="009F43DE">
        <w:rPr>
          <w:lang w:val="fr-CH"/>
        </w:rPr>
        <w:t xml:space="preserve"> </w:t>
      </w:r>
    </w:p>
    <w:p w:rsidR="00C77E1E" w:rsidRPr="009F43DE" w:rsidRDefault="00C77E1E" w:rsidP="00C77E1E">
      <w:pPr>
        <w:pStyle w:val="SingleTxtG"/>
        <w:rPr>
          <w:rFonts w:eastAsia="Calibri"/>
          <w:color w:val="000000"/>
          <w:lang w:val="fr-CH"/>
        </w:rPr>
      </w:pPr>
      <w:r w:rsidRPr="009F43DE">
        <w:rPr>
          <w:rFonts w:eastAsia="Calibri"/>
          <w:lang w:val="fr-CH"/>
        </w:rPr>
        <w:t>109.</w:t>
      </w:r>
      <w:r w:rsidRPr="009F43DE">
        <w:rPr>
          <w:rFonts w:eastAsia="Calibri"/>
          <w:lang w:val="fr-CH"/>
        </w:rPr>
        <w:tab/>
      </w:r>
      <w:r w:rsidRPr="009F43DE">
        <w:rPr>
          <w:rFonts w:eastAsia="Calibri"/>
          <w:color w:val="000000"/>
          <w:lang w:val="fr-CH"/>
        </w:rPr>
        <w:t>L</w:t>
      </w:r>
      <w:r w:rsidR="00F8384A" w:rsidRPr="009F43DE">
        <w:rPr>
          <w:rFonts w:eastAsia="Calibri"/>
          <w:color w:val="000000"/>
          <w:lang w:val="fr-CH"/>
        </w:rPr>
        <w:t>’</w:t>
      </w:r>
      <w:r w:rsidR="005C1D13" w:rsidRPr="009F43DE">
        <w:rPr>
          <w:rFonts w:eastAsia="Calibri"/>
          <w:color w:val="000000"/>
          <w:lang w:val="fr-CH"/>
        </w:rPr>
        <w:t>emploi</w:t>
      </w:r>
      <w:r w:rsidRPr="009F43DE">
        <w:rPr>
          <w:color w:val="000000"/>
          <w:lang w:val="fr-CH"/>
        </w:rPr>
        <w:t xml:space="preserve"> des enfants </w:t>
      </w:r>
      <w:r w:rsidR="005C1D13" w:rsidRPr="009F43DE">
        <w:rPr>
          <w:color w:val="000000"/>
          <w:lang w:val="fr-CH"/>
        </w:rPr>
        <w:t>à</w:t>
      </w:r>
      <w:r w:rsidRPr="009F43DE">
        <w:rPr>
          <w:color w:val="000000"/>
          <w:lang w:val="fr-CH"/>
        </w:rPr>
        <w:t xml:space="preserve"> Sri Lanka est régi par la loi </w:t>
      </w:r>
      <w:r w:rsidR="007F319E">
        <w:rPr>
          <w:color w:val="000000"/>
          <w:lang w:val="fr-CH"/>
        </w:rPr>
        <w:t>n</w:t>
      </w:r>
      <w:r w:rsidR="007F319E" w:rsidRPr="007F319E">
        <w:rPr>
          <w:color w:val="000000"/>
          <w:vertAlign w:val="superscript"/>
          <w:lang w:val="fr-CH"/>
        </w:rPr>
        <w:t>o</w:t>
      </w:r>
      <w:r w:rsidR="005C1D13" w:rsidRPr="009F43DE">
        <w:rPr>
          <w:color w:val="000000"/>
          <w:lang w:val="fr-CH"/>
        </w:rPr>
        <w:t> </w:t>
      </w:r>
      <w:r w:rsidRPr="009F43DE">
        <w:rPr>
          <w:color w:val="000000"/>
          <w:lang w:val="fr-CH"/>
        </w:rPr>
        <w:t>47 de 1956 sur l</w:t>
      </w:r>
      <w:r w:rsidR="00F8384A" w:rsidRPr="009F43DE">
        <w:rPr>
          <w:color w:val="000000"/>
          <w:lang w:val="fr-CH"/>
        </w:rPr>
        <w:t>’</w:t>
      </w:r>
      <w:r w:rsidR="005C1D13" w:rsidRPr="009F43DE">
        <w:rPr>
          <w:color w:val="000000"/>
          <w:lang w:val="fr-CH"/>
        </w:rPr>
        <w:t>emploi</w:t>
      </w:r>
      <w:r w:rsidRPr="009F43DE">
        <w:rPr>
          <w:color w:val="000000"/>
          <w:lang w:val="fr-CH"/>
        </w:rPr>
        <w:t xml:space="preserve"> des femmes, des jeunes et des enfants. Selon cette loi, </w:t>
      </w:r>
      <w:r w:rsidR="00BB33DA" w:rsidRPr="009F43DE">
        <w:rPr>
          <w:color w:val="000000"/>
          <w:lang w:val="fr-CH"/>
        </w:rPr>
        <w:t xml:space="preserve">tout individu de moins de </w:t>
      </w:r>
      <w:r w:rsidRPr="009F43DE">
        <w:rPr>
          <w:color w:val="000000"/>
          <w:lang w:val="fr-CH"/>
        </w:rPr>
        <w:t xml:space="preserve">14 ans </w:t>
      </w:r>
      <w:r w:rsidR="00BB33DA" w:rsidRPr="009F43DE">
        <w:rPr>
          <w:color w:val="000000"/>
          <w:lang w:val="fr-CH"/>
        </w:rPr>
        <w:t xml:space="preserve">est considéré comme un enfant, alors que les individus de </w:t>
      </w:r>
      <w:r w:rsidRPr="009F43DE">
        <w:rPr>
          <w:color w:val="000000"/>
          <w:lang w:val="fr-CH"/>
        </w:rPr>
        <w:t xml:space="preserve">14 </w:t>
      </w:r>
      <w:r w:rsidR="00BB33DA" w:rsidRPr="009F43DE">
        <w:rPr>
          <w:color w:val="000000"/>
          <w:lang w:val="fr-CH"/>
        </w:rPr>
        <w:t>à</w:t>
      </w:r>
      <w:r w:rsidRPr="009F43DE">
        <w:rPr>
          <w:color w:val="000000"/>
          <w:lang w:val="fr-CH"/>
        </w:rPr>
        <w:t xml:space="preserve"> 18 ans </w:t>
      </w:r>
      <w:r w:rsidR="00BB33DA" w:rsidRPr="009F43DE">
        <w:rPr>
          <w:color w:val="000000"/>
          <w:lang w:val="fr-CH"/>
        </w:rPr>
        <w:t xml:space="preserve">sont classés parmi les </w:t>
      </w:r>
      <w:r w:rsidR="00F8384A" w:rsidRPr="009F43DE">
        <w:rPr>
          <w:color w:val="000000"/>
          <w:lang w:val="fr-CH"/>
        </w:rPr>
        <w:t>«</w:t>
      </w:r>
      <w:r w:rsidRPr="009F43DE">
        <w:rPr>
          <w:color w:val="000000"/>
          <w:lang w:val="fr-CH"/>
        </w:rPr>
        <w:t>jeune</w:t>
      </w:r>
      <w:r w:rsidR="00BB33DA" w:rsidRPr="009F43DE">
        <w:rPr>
          <w:color w:val="000000"/>
          <w:lang w:val="fr-CH"/>
        </w:rPr>
        <w:t>s</w:t>
      </w:r>
      <w:r w:rsidR="00F8384A" w:rsidRPr="009F43DE">
        <w:rPr>
          <w:color w:val="000000"/>
          <w:lang w:val="fr-CH"/>
        </w:rPr>
        <w:t>»</w:t>
      </w:r>
      <w:r w:rsidRPr="009F43DE">
        <w:rPr>
          <w:color w:val="000000"/>
          <w:lang w:val="fr-CH"/>
        </w:rPr>
        <w:t>. L</w:t>
      </w:r>
      <w:r w:rsidR="00F8384A" w:rsidRPr="009F43DE">
        <w:rPr>
          <w:color w:val="000000"/>
          <w:lang w:val="fr-CH"/>
        </w:rPr>
        <w:t>’</w:t>
      </w:r>
      <w:r w:rsidRPr="009F43DE">
        <w:rPr>
          <w:color w:val="000000"/>
          <w:lang w:val="fr-CH"/>
        </w:rPr>
        <w:t xml:space="preserve">article 20A de la </w:t>
      </w:r>
      <w:r w:rsidR="00BB33DA" w:rsidRPr="009F43DE">
        <w:rPr>
          <w:color w:val="000000"/>
          <w:lang w:val="fr-CH"/>
        </w:rPr>
        <w:t>l</w:t>
      </w:r>
      <w:r w:rsidRPr="009F43DE">
        <w:rPr>
          <w:color w:val="000000"/>
          <w:lang w:val="fr-CH"/>
        </w:rPr>
        <w:t>oi interdit aux personnes de moins de 18 ans d</w:t>
      </w:r>
      <w:r w:rsidR="00F8384A" w:rsidRPr="009F43DE">
        <w:rPr>
          <w:color w:val="000000"/>
          <w:lang w:val="fr-CH"/>
        </w:rPr>
        <w:t>’</w:t>
      </w:r>
      <w:r w:rsidR="00BB33DA" w:rsidRPr="009F43DE">
        <w:rPr>
          <w:color w:val="000000"/>
          <w:lang w:val="fr-CH"/>
        </w:rPr>
        <w:t>exercer une activité</w:t>
      </w:r>
      <w:r w:rsidRPr="009F43DE">
        <w:rPr>
          <w:color w:val="000000"/>
          <w:lang w:val="fr-CH"/>
        </w:rPr>
        <w:t xml:space="preserve"> dangereuse. En outre, l</w:t>
      </w:r>
      <w:r w:rsidR="00F8384A" w:rsidRPr="009F43DE">
        <w:rPr>
          <w:color w:val="000000"/>
          <w:lang w:val="fr-CH"/>
        </w:rPr>
        <w:t>’</w:t>
      </w:r>
      <w:r w:rsidRPr="009F43DE">
        <w:rPr>
          <w:color w:val="000000"/>
          <w:lang w:val="fr-CH"/>
        </w:rPr>
        <w:t>asservissement</w:t>
      </w:r>
      <w:r w:rsidR="00BB33DA" w:rsidRPr="009F43DE">
        <w:rPr>
          <w:color w:val="000000"/>
          <w:lang w:val="fr-CH"/>
        </w:rPr>
        <w:t xml:space="preserve"> pour dettes</w:t>
      </w:r>
      <w:r w:rsidRPr="009F43DE">
        <w:rPr>
          <w:color w:val="000000"/>
          <w:lang w:val="fr-CH"/>
        </w:rPr>
        <w:t>, le travail forcé ou obligatoire, l</w:t>
      </w:r>
      <w:r w:rsidR="00F8384A" w:rsidRPr="009F43DE">
        <w:rPr>
          <w:color w:val="000000"/>
          <w:lang w:val="fr-CH"/>
        </w:rPr>
        <w:t>’</w:t>
      </w:r>
      <w:r w:rsidRPr="009F43DE">
        <w:rPr>
          <w:color w:val="000000"/>
          <w:lang w:val="fr-CH"/>
        </w:rPr>
        <w:t>esclavage et le recrutement d</w:t>
      </w:r>
      <w:r w:rsidR="00F8384A" w:rsidRPr="009F43DE">
        <w:rPr>
          <w:color w:val="000000"/>
          <w:lang w:val="fr-CH"/>
        </w:rPr>
        <w:t>’</w:t>
      </w:r>
      <w:r w:rsidRPr="009F43DE">
        <w:rPr>
          <w:color w:val="000000"/>
          <w:lang w:val="fr-CH"/>
        </w:rPr>
        <w:t>enfants soldats sont érigés en infraction par l</w:t>
      </w:r>
      <w:r w:rsidR="00F8384A" w:rsidRPr="009F43DE">
        <w:rPr>
          <w:color w:val="000000"/>
          <w:lang w:val="fr-CH"/>
        </w:rPr>
        <w:t>’</w:t>
      </w:r>
      <w:r w:rsidRPr="009F43DE">
        <w:rPr>
          <w:color w:val="000000"/>
          <w:lang w:val="fr-CH"/>
        </w:rPr>
        <w:t>article 358A du Code pénal.</w:t>
      </w:r>
      <w:r w:rsidR="00C91A83">
        <w:rPr>
          <w:rFonts w:eastAsia="Calibri"/>
          <w:color w:val="000000"/>
          <w:lang w:val="fr-CH"/>
        </w:rPr>
        <w:t xml:space="preserve"> </w:t>
      </w:r>
    </w:p>
    <w:p w:rsidR="00C77E1E" w:rsidRPr="009F43DE" w:rsidRDefault="00C77E1E" w:rsidP="00C77E1E">
      <w:pPr>
        <w:pStyle w:val="SingleTxtG"/>
        <w:rPr>
          <w:rFonts w:eastAsia="Calibri"/>
          <w:lang w:val="fr-CH"/>
        </w:rPr>
      </w:pPr>
      <w:r w:rsidRPr="009F43DE">
        <w:rPr>
          <w:rFonts w:eastAsia="Calibri"/>
          <w:lang w:val="fr-CH"/>
        </w:rPr>
        <w:t>110.</w:t>
      </w:r>
      <w:r w:rsidRPr="009F43DE">
        <w:rPr>
          <w:rFonts w:eastAsia="Calibri"/>
          <w:lang w:val="fr-CH"/>
        </w:rPr>
        <w:tab/>
        <w:t>D</w:t>
      </w:r>
      <w:r w:rsidRPr="009F43DE">
        <w:rPr>
          <w:lang w:val="fr-CH"/>
        </w:rPr>
        <w:t xml:space="preserve">es mécanismes institutionnels formels sont en place pour enquêter sur les allégations </w:t>
      </w:r>
      <w:r w:rsidR="00670680" w:rsidRPr="009F43DE">
        <w:rPr>
          <w:lang w:val="fr-CH"/>
        </w:rPr>
        <w:t>concernant les</w:t>
      </w:r>
      <w:r w:rsidRPr="009F43DE">
        <w:rPr>
          <w:lang w:val="fr-CH"/>
        </w:rPr>
        <w:t xml:space="preserve"> pires formes de travail des enfants et l</w:t>
      </w:r>
      <w:r w:rsidR="00BB33DA" w:rsidRPr="009F43DE">
        <w:rPr>
          <w:lang w:val="fr-CH"/>
        </w:rPr>
        <w:t>eur donner suite</w:t>
      </w:r>
      <w:r w:rsidRPr="009F43DE">
        <w:rPr>
          <w:lang w:val="fr-CH"/>
        </w:rPr>
        <w:t xml:space="preserve">. </w:t>
      </w:r>
      <w:r w:rsidR="007331D2" w:rsidRPr="009F43DE">
        <w:rPr>
          <w:lang w:val="fr-CH"/>
        </w:rPr>
        <w:t xml:space="preserve">Ces mécanismes </w:t>
      </w:r>
      <w:r w:rsidR="00B262BD" w:rsidRPr="009F43DE">
        <w:rPr>
          <w:lang w:val="fr-CH"/>
        </w:rPr>
        <w:t xml:space="preserve">sont placés sous la </w:t>
      </w:r>
      <w:r w:rsidR="007331D2" w:rsidRPr="009F43DE">
        <w:rPr>
          <w:lang w:val="fr-CH"/>
        </w:rPr>
        <w:t xml:space="preserve">tutelle du </w:t>
      </w:r>
      <w:r w:rsidRPr="009F43DE">
        <w:rPr>
          <w:lang w:val="fr-CH"/>
        </w:rPr>
        <w:t>Minist</w:t>
      </w:r>
      <w:r w:rsidR="007331D2" w:rsidRPr="009F43DE">
        <w:rPr>
          <w:lang w:val="fr-CH"/>
        </w:rPr>
        <w:t>ère</w:t>
      </w:r>
      <w:r w:rsidRPr="009F43DE">
        <w:rPr>
          <w:lang w:val="fr-CH"/>
        </w:rPr>
        <w:t xml:space="preserve"> du travail et des relations </w:t>
      </w:r>
      <w:r w:rsidR="007331D2" w:rsidRPr="009F43DE">
        <w:rPr>
          <w:lang w:val="fr-CH"/>
        </w:rPr>
        <w:t xml:space="preserve">professionnelles, du </w:t>
      </w:r>
      <w:r w:rsidRPr="009F43DE">
        <w:rPr>
          <w:lang w:val="fr-CH"/>
        </w:rPr>
        <w:t>Ministère d</w:t>
      </w:r>
      <w:r w:rsidR="00F8384A" w:rsidRPr="009F43DE">
        <w:rPr>
          <w:lang w:val="fr-CH"/>
        </w:rPr>
        <w:t>’</w:t>
      </w:r>
      <w:r w:rsidR="007574C7" w:rsidRPr="009F43DE">
        <w:rPr>
          <w:lang w:val="fr-CH"/>
        </w:rPr>
        <w:t>État</w:t>
      </w:r>
      <w:r w:rsidRPr="009F43DE">
        <w:rPr>
          <w:lang w:val="fr-CH"/>
        </w:rPr>
        <w:t xml:space="preserve"> </w:t>
      </w:r>
      <w:r w:rsidR="007331D2" w:rsidRPr="009F43DE">
        <w:rPr>
          <w:lang w:val="fr-CH"/>
        </w:rPr>
        <w:t>aux droits de l</w:t>
      </w:r>
      <w:r w:rsidR="00F8384A" w:rsidRPr="009F43DE">
        <w:rPr>
          <w:lang w:val="fr-CH"/>
        </w:rPr>
        <w:t>’</w:t>
      </w:r>
      <w:r w:rsidR="007331D2" w:rsidRPr="009F43DE">
        <w:rPr>
          <w:lang w:val="fr-CH"/>
        </w:rPr>
        <w:t>enfant</w:t>
      </w:r>
      <w:r w:rsidRPr="009F43DE">
        <w:rPr>
          <w:lang w:val="fr-CH"/>
        </w:rPr>
        <w:t xml:space="preserve">, </w:t>
      </w:r>
      <w:r w:rsidR="00670680" w:rsidRPr="009F43DE">
        <w:rPr>
          <w:lang w:val="fr-CH"/>
        </w:rPr>
        <w:t>du</w:t>
      </w:r>
      <w:r w:rsidRPr="009F43DE">
        <w:rPr>
          <w:lang w:val="fr-CH"/>
        </w:rPr>
        <w:t xml:space="preserve"> Ministère des </w:t>
      </w:r>
      <w:r w:rsidR="007331D2" w:rsidRPr="009F43DE">
        <w:rPr>
          <w:lang w:val="fr-CH"/>
        </w:rPr>
        <w:t>droits des femmes</w:t>
      </w:r>
      <w:r w:rsidRPr="009F43DE">
        <w:rPr>
          <w:lang w:val="fr-CH"/>
        </w:rPr>
        <w:t xml:space="preserve">, </w:t>
      </w:r>
      <w:r w:rsidR="00670680" w:rsidRPr="009F43DE">
        <w:rPr>
          <w:lang w:val="fr-CH"/>
        </w:rPr>
        <w:t>du</w:t>
      </w:r>
      <w:r w:rsidRPr="009F43DE">
        <w:rPr>
          <w:lang w:val="fr-CH"/>
        </w:rPr>
        <w:t xml:space="preserve"> Ministère de la justice, </w:t>
      </w:r>
      <w:r w:rsidR="00670680" w:rsidRPr="009F43DE">
        <w:rPr>
          <w:lang w:val="fr-CH"/>
        </w:rPr>
        <w:t>du</w:t>
      </w:r>
      <w:r w:rsidRPr="009F43DE">
        <w:rPr>
          <w:lang w:val="fr-CH"/>
        </w:rPr>
        <w:t xml:space="preserve"> Ministère du travail, </w:t>
      </w:r>
      <w:r w:rsidR="00670680" w:rsidRPr="009F43DE">
        <w:rPr>
          <w:lang w:val="fr-CH"/>
        </w:rPr>
        <w:t xml:space="preserve">de </w:t>
      </w:r>
      <w:r w:rsidRPr="009F43DE">
        <w:rPr>
          <w:lang w:val="fr-CH"/>
        </w:rPr>
        <w:t>l</w:t>
      </w:r>
      <w:r w:rsidR="00F8384A" w:rsidRPr="009F43DE">
        <w:rPr>
          <w:lang w:val="fr-CH"/>
        </w:rPr>
        <w:t>’</w:t>
      </w:r>
      <w:r w:rsidRPr="009F43DE">
        <w:rPr>
          <w:lang w:val="fr-CH"/>
        </w:rPr>
        <w:t>A</w:t>
      </w:r>
      <w:r w:rsidR="00AE4422" w:rsidRPr="009F43DE">
        <w:rPr>
          <w:lang w:val="fr-CH"/>
        </w:rPr>
        <w:t>gence</w:t>
      </w:r>
      <w:r w:rsidRPr="009F43DE">
        <w:rPr>
          <w:lang w:val="fr-CH"/>
        </w:rPr>
        <w:t xml:space="preserve"> nationale de protection de</w:t>
      </w:r>
      <w:r w:rsidR="00AE4422" w:rsidRPr="009F43DE">
        <w:rPr>
          <w:lang w:val="fr-CH"/>
        </w:rPr>
        <w:t xml:space="preserve"> l</w:t>
      </w:r>
      <w:r w:rsidR="00F8384A" w:rsidRPr="009F43DE">
        <w:rPr>
          <w:lang w:val="fr-CH"/>
        </w:rPr>
        <w:t>’</w:t>
      </w:r>
      <w:r w:rsidR="00AE4422" w:rsidRPr="009F43DE">
        <w:rPr>
          <w:lang w:val="fr-CH"/>
        </w:rPr>
        <w:t>enfance</w:t>
      </w:r>
      <w:r w:rsidRPr="009F43DE">
        <w:rPr>
          <w:lang w:val="fr-CH"/>
        </w:rPr>
        <w:t xml:space="preserve">, </w:t>
      </w:r>
      <w:r w:rsidR="00670680" w:rsidRPr="009F43DE">
        <w:rPr>
          <w:lang w:val="fr-CH"/>
        </w:rPr>
        <w:t>du</w:t>
      </w:r>
      <w:r w:rsidRPr="009F43DE">
        <w:rPr>
          <w:lang w:val="fr-CH"/>
        </w:rPr>
        <w:t xml:space="preserve"> </w:t>
      </w:r>
      <w:r w:rsidRPr="009F43DE">
        <w:rPr>
          <w:color w:val="000000"/>
          <w:lang w:val="fr-CH"/>
        </w:rPr>
        <w:t>Département de probation et des services de protection de l</w:t>
      </w:r>
      <w:r w:rsidR="00F8384A" w:rsidRPr="009F43DE">
        <w:rPr>
          <w:color w:val="000000"/>
          <w:lang w:val="fr-CH"/>
        </w:rPr>
        <w:t>’</w:t>
      </w:r>
      <w:r w:rsidRPr="009F43DE">
        <w:rPr>
          <w:color w:val="000000"/>
          <w:lang w:val="fr-CH"/>
        </w:rPr>
        <w:t xml:space="preserve">enfance et </w:t>
      </w:r>
      <w:r w:rsidR="00670680" w:rsidRPr="009F43DE">
        <w:rPr>
          <w:color w:val="000000"/>
          <w:lang w:val="fr-CH"/>
        </w:rPr>
        <w:t>du</w:t>
      </w:r>
      <w:r w:rsidRPr="009F43DE">
        <w:rPr>
          <w:color w:val="000000"/>
          <w:lang w:val="fr-CH"/>
        </w:rPr>
        <w:t xml:space="preserve"> Département de la police</w:t>
      </w:r>
      <w:r w:rsidRPr="009F43DE">
        <w:rPr>
          <w:lang w:val="fr-CH"/>
        </w:rPr>
        <w:t>.</w:t>
      </w:r>
      <w:r w:rsidR="00C91A83">
        <w:rPr>
          <w:lang w:val="fr-CH"/>
        </w:rPr>
        <w:t xml:space="preserve"> </w:t>
      </w:r>
    </w:p>
    <w:p w:rsidR="00C77E1E" w:rsidRPr="009F43DE" w:rsidRDefault="00C77E1E" w:rsidP="00C77E1E">
      <w:pPr>
        <w:pStyle w:val="SingleTxtG"/>
        <w:rPr>
          <w:rFonts w:eastAsia="Calibri"/>
          <w:color w:val="000000"/>
          <w:lang w:val="fr-CH"/>
        </w:rPr>
      </w:pPr>
      <w:r w:rsidRPr="009F43DE">
        <w:rPr>
          <w:rFonts w:eastAsia="Calibri"/>
          <w:lang w:val="fr-CH"/>
        </w:rPr>
        <w:t>111.</w:t>
      </w:r>
      <w:r w:rsidRPr="009F43DE">
        <w:rPr>
          <w:rFonts w:eastAsia="Calibri"/>
          <w:lang w:val="fr-CH"/>
        </w:rPr>
        <w:tab/>
      </w:r>
      <w:r w:rsidRPr="009F43DE">
        <w:rPr>
          <w:lang w:val="fr-CH"/>
        </w:rPr>
        <w:t xml:space="preserve">Comme </w:t>
      </w:r>
      <w:r w:rsidR="00670680" w:rsidRPr="009F43DE">
        <w:rPr>
          <w:lang w:val="fr-CH"/>
        </w:rPr>
        <w:t>indiqué</w:t>
      </w:r>
      <w:r w:rsidRPr="009F43DE">
        <w:rPr>
          <w:lang w:val="fr-CH"/>
        </w:rPr>
        <w:t xml:space="preserve"> ci-dessus</w:t>
      </w:r>
      <w:r w:rsidR="00670680" w:rsidRPr="009F43DE">
        <w:rPr>
          <w:lang w:val="fr-CH"/>
        </w:rPr>
        <w:t>,</w:t>
      </w:r>
      <w:r w:rsidRPr="009F43DE">
        <w:rPr>
          <w:lang w:val="fr-CH"/>
        </w:rPr>
        <w:t xml:space="preserve"> </w:t>
      </w:r>
      <w:r w:rsidR="00670680" w:rsidRPr="009F43DE">
        <w:rPr>
          <w:lang w:val="fr-CH"/>
        </w:rPr>
        <w:t xml:space="preserve">des liens étroits de </w:t>
      </w:r>
      <w:r w:rsidRPr="009F43DE">
        <w:rPr>
          <w:lang w:val="fr-CH"/>
        </w:rPr>
        <w:t xml:space="preserve">coopération </w:t>
      </w:r>
      <w:r w:rsidR="00670680" w:rsidRPr="009F43DE">
        <w:rPr>
          <w:lang w:val="fr-CH"/>
        </w:rPr>
        <w:t xml:space="preserve">ont été noués </w:t>
      </w:r>
      <w:r w:rsidRPr="009F43DE">
        <w:rPr>
          <w:lang w:val="fr-CH"/>
        </w:rPr>
        <w:t>entre les agences et les ministères pour examiner les plaintes en matière de travail des enfants. Ces plaintes sont traitées rapidement par</w:t>
      </w:r>
      <w:r w:rsidR="00AE4422" w:rsidRPr="009F43DE">
        <w:rPr>
          <w:lang w:val="fr-CH"/>
        </w:rPr>
        <w:t xml:space="preserve"> l</w:t>
      </w:r>
      <w:r w:rsidRPr="009F43DE">
        <w:rPr>
          <w:lang w:val="fr-CH"/>
        </w:rPr>
        <w:t xml:space="preserve">a Division des </w:t>
      </w:r>
      <w:r w:rsidR="007331D2" w:rsidRPr="009F43DE">
        <w:rPr>
          <w:lang w:val="fr-CH"/>
        </w:rPr>
        <w:t xml:space="preserve">droits des </w:t>
      </w:r>
      <w:r w:rsidRPr="009F43DE">
        <w:rPr>
          <w:lang w:val="fr-CH"/>
        </w:rPr>
        <w:t>f</w:t>
      </w:r>
      <w:r w:rsidR="007331D2" w:rsidRPr="009F43DE">
        <w:rPr>
          <w:lang w:val="fr-CH"/>
        </w:rPr>
        <w:t>emmes</w:t>
      </w:r>
      <w:r w:rsidRPr="009F43DE">
        <w:rPr>
          <w:lang w:val="fr-CH"/>
        </w:rPr>
        <w:t xml:space="preserve"> et des enfants d</w:t>
      </w:r>
      <w:r w:rsidR="00AE4422" w:rsidRPr="009F43DE">
        <w:rPr>
          <w:lang w:val="fr-CH"/>
        </w:rPr>
        <w:t>u</w:t>
      </w:r>
      <w:r w:rsidRPr="009F43DE">
        <w:rPr>
          <w:lang w:val="fr-CH"/>
        </w:rPr>
        <w:t xml:space="preserve"> Ministère</w:t>
      </w:r>
      <w:r w:rsidRPr="009F43DE">
        <w:rPr>
          <w:color w:val="000000"/>
          <w:lang w:val="fr-CH"/>
        </w:rPr>
        <w:t>, l</w:t>
      </w:r>
      <w:r w:rsidR="00F8384A" w:rsidRPr="009F43DE">
        <w:rPr>
          <w:color w:val="000000"/>
          <w:lang w:val="fr-CH"/>
        </w:rPr>
        <w:t>’</w:t>
      </w:r>
      <w:r w:rsidRPr="009F43DE">
        <w:rPr>
          <w:color w:val="000000"/>
          <w:lang w:val="fr-CH"/>
        </w:rPr>
        <w:t>Agence nationale de protection de l</w:t>
      </w:r>
      <w:r w:rsidR="00F8384A" w:rsidRPr="009F43DE">
        <w:rPr>
          <w:color w:val="000000"/>
          <w:lang w:val="fr-CH"/>
        </w:rPr>
        <w:t>’</w:t>
      </w:r>
      <w:r w:rsidRPr="009F43DE">
        <w:rPr>
          <w:color w:val="000000"/>
          <w:lang w:val="fr-CH"/>
        </w:rPr>
        <w:t>enfance, le Département de la police, le Département de probation et des services de protection de l</w:t>
      </w:r>
      <w:r w:rsidR="00F8384A" w:rsidRPr="009F43DE">
        <w:rPr>
          <w:color w:val="000000"/>
          <w:lang w:val="fr-CH"/>
        </w:rPr>
        <w:t>’</w:t>
      </w:r>
      <w:r w:rsidRPr="009F43DE">
        <w:rPr>
          <w:color w:val="000000"/>
          <w:lang w:val="fr-CH"/>
        </w:rPr>
        <w:t>enfance recueill</w:t>
      </w:r>
      <w:r w:rsidR="00AE4422" w:rsidRPr="009F43DE">
        <w:rPr>
          <w:color w:val="000000"/>
          <w:lang w:val="fr-CH"/>
        </w:rPr>
        <w:t>ant les</w:t>
      </w:r>
      <w:r w:rsidRPr="009F43DE">
        <w:rPr>
          <w:color w:val="000000"/>
          <w:lang w:val="fr-CH"/>
        </w:rPr>
        <w:t xml:space="preserve"> informations et les preuves nécessaires pour </w:t>
      </w:r>
      <w:r w:rsidR="00AE4422" w:rsidRPr="009F43DE">
        <w:rPr>
          <w:color w:val="000000"/>
          <w:lang w:val="fr-CH"/>
        </w:rPr>
        <w:t>engager des poursuites</w:t>
      </w:r>
      <w:r w:rsidRPr="009F43DE">
        <w:rPr>
          <w:color w:val="000000"/>
          <w:lang w:val="fr-CH"/>
        </w:rPr>
        <w:t xml:space="preserve"> contre les contrevenants présumés.</w:t>
      </w:r>
    </w:p>
    <w:p w:rsidR="00C77E1E" w:rsidRPr="009F43DE" w:rsidRDefault="00C77E1E" w:rsidP="00C77E1E">
      <w:pPr>
        <w:pStyle w:val="SingleTxtG"/>
        <w:rPr>
          <w:rFonts w:eastAsia="Calibri"/>
          <w:lang w:val="fr-CH"/>
        </w:rPr>
      </w:pPr>
      <w:r w:rsidRPr="009F43DE">
        <w:rPr>
          <w:rFonts w:eastAsia="Calibri"/>
          <w:lang w:val="fr-CH"/>
        </w:rPr>
        <w:t>112.</w:t>
      </w:r>
      <w:r w:rsidRPr="009F43DE">
        <w:rPr>
          <w:rFonts w:eastAsia="Calibri"/>
          <w:lang w:val="fr-CH"/>
        </w:rPr>
        <w:tab/>
      </w:r>
      <w:r w:rsidRPr="009F43DE">
        <w:rPr>
          <w:lang w:val="fr-CH"/>
        </w:rPr>
        <w:t>En outre, un manuel de formation sur les jeunes travailleurs, qui couvre le travail des enfants et le travail dangereux, a été préparé et distribué aux inspecteurs du travail, à d</w:t>
      </w:r>
      <w:r w:rsidR="00F8384A" w:rsidRPr="009F43DE">
        <w:rPr>
          <w:lang w:val="fr-CH"/>
        </w:rPr>
        <w:t>’</w:t>
      </w:r>
      <w:r w:rsidRPr="009F43DE">
        <w:rPr>
          <w:lang w:val="fr-CH"/>
        </w:rPr>
        <w:t>autres agents d</w:t>
      </w:r>
      <w:r w:rsidR="00F8384A" w:rsidRPr="009F43DE">
        <w:rPr>
          <w:lang w:val="fr-CH"/>
        </w:rPr>
        <w:t>’</w:t>
      </w:r>
      <w:r w:rsidRPr="009F43DE">
        <w:rPr>
          <w:lang w:val="fr-CH"/>
        </w:rPr>
        <w:t>exécution et aux partenaires sociaux. L</w:t>
      </w:r>
      <w:r w:rsidR="00AE4422" w:rsidRPr="009F43DE">
        <w:rPr>
          <w:lang w:val="fr-CH"/>
        </w:rPr>
        <w:t>e</w:t>
      </w:r>
      <w:r w:rsidRPr="009F43DE">
        <w:rPr>
          <w:lang w:val="fr-CH"/>
        </w:rPr>
        <w:t xml:space="preserve"> personnel concerné a </w:t>
      </w:r>
      <w:r w:rsidR="00AE4422" w:rsidRPr="009F43DE">
        <w:rPr>
          <w:lang w:val="fr-CH"/>
        </w:rPr>
        <w:t xml:space="preserve">reçu une formation sur la base des </w:t>
      </w:r>
      <w:r w:rsidRPr="009F43DE">
        <w:rPr>
          <w:lang w:val="fr-CH"/>
        </w:rPr>
        <w:t xml:space="preserve">directives </w:t>
      </w:r>
      <w:r w:rsidR="00AE4422" w:rsidRPr="009F43DE">
        <w:rPr>
          <w:lang w:val="fr-CH"/>
        </w:rPr>
        <w:t>contenues</w:t>
      </w:r>
      <w:r w:rsidRPr="009F43DE">
        <w:rPr>
          <w:lang w:val="fr-CH"/>
        </w:rPr>
        <w:t xml:space="preserve"> dans le manuel. Dans l</w:t>
      </w:r>
      <w:r w:rsidR="00F8384A" w:rsidRPr="009F43DE">
        <w:rPr>
          <w:lang w:val="fr-CH"/>
        </w:rPr>
        <w:t>’</w:t>
      </w:r>
      <w:r w:rsidRPr="009F43DE">
        <w:rPr>
          <w:lang w:val="fr-CH"/>
        </w:rPr>
        <w:t>ensemble, ces efforts ont contribué à rationaliser le</w:t>
      </w:r>
      <w:r w:rsidR="00AE4422" w:rsidRPr="009F43DE">
        <w:rPr>
          <w:lang w:val="fr-CH"/>
        </w:rPr>
        <w:t>s procédures de poursuites</w:t>
      </w:r>
      <w:r w:rsidRPr="009F43DE">
        <w:rPr>
          <w:lang w:val="fr-CH"/>
        </w:rPr>
        <w:t xml:space="preserve"> relatives au travail des enfants.</w:t>
      </w:r>
    </w:p>
    <w:p w:rsidR="00C77E1E" w:rsidRPr="009F43DE" w:rsidRDefault="00C77E1E" w:rsidP="00C77E1E">
      <w:pPr>
        <w:pStyle w:val="SingleTxtG"/>
        <w:rPr>
          <w:rFonts w:eastAsia="Calibri"/>
          <w:lang w:val="fr-CH"/>
        </w:rPr>
      </w:pPr>
      <w:r w:rsidRPr="009F43DE">
        <w:rPr>
          <w:rFonts w:eastAsia="Calibri"/>
          <w:lang w:val="fr-CH"/>
        </w:rPr>
        <w:t>113.</w:t>
      </w:r>
      <w:r w:rsidRPr="009F43DE">
        <w:rPr>
          <w:rFonts w:eastAsia="Calibri"/>
          <w:lang w:val="fr-CH"/>
        </w:rPr>
        <w:tab/>
      </w:r>
      <w:r w:rsidRPr="009F43DE">
        <w:rPr>
          <w:lang w:val="fr-CH"/>
        </w:rPr>
        <w:t>Les politiques visant à prévenir le travail des enfants ont été intégré</w:t>
      </w:r>
      <w:r w:rsidR="00AE4422" w:rsidRPr="009F43DE">
        <w:rPr>
          <w:lang w:val="fr-CH"/>
        </w:rPr>
        <w:t>e</w:t>
      </w:r>
      <w:r w:rsidRPr="009F43DE">
        <w:rPr>
          <w:lang w:val="fr-CH"/>
        </w:rPr>
        <w:t xml:space="preserve">s </w:t>
      </w:r>
      <w:r w:rsidR="00AE4422" w:rsidRPr="009F43DE">
        <w:rPr>
          <w:lang w:val="fr-CH"/>
        </w:rPr>
        <w:t>au</w:t>
      </w:r>
      <w:r w:rsidRPr="009F43DE">
        <w:rPr>
          <w:lang w:val="fr-CH"/>
        </w:rPr>
        <w:t xml:space="preserve"> cadre juridique du pays. Un plan d</w:t>
      </w:r>
      <w:r w:rsidR="00F8384A" w:rsidRPr="009F43DE">
        <w:rPr>
          <w:lang w:val="fr-CH"/>
        </w:rPr>
        <w:t>’</w:t>
      </w:r>
      <w:r w:rsidRPr="009F43DE">
        <w:rPr>
          <w:lang w:val="fr-CH"/>
        </w:rPr>
        <w:t xml:space="preserve">action national a été élaboré par le Ministère du travail sur la base de la Feuille de route </w:t>
      </w:r>
      <w:r w:rsidR="00200624" w:rsidRPr="009F43DE">
        <w:rPr>
          <w:lang w:val="fr-CH"/>
        </w:rPr>
        <w:t xml:space="preserve">intitulée </w:t>
      </w:r>
      <w:r w:rsidRPr="009F43DE">
        <w:rPr>
          <w:lang w:val="fr-CH"/>
        </w:rPr>
        <w:t xml:space="preserve">les </w:t>
      </w:r>
      <w:r w:rsidR="00F8384A" w:rsidRPr="009F43DE">
        <w:rPr>
          <w:lang w:val="fr-CH"/>
        </w:rPr>
        <w:t>«</w:t>
      </w:r>
      <w:r w:rsidR="00D37451" w:rsidRPr="009F43DE">
        <w:rPr>
          <w:lang w:val="fr-CH"/>
        </w:rPr>
        <w:t xml:space="preserve">Pires </w:t>
      </w:r>
      <w:r w:rsidRPr="009F43DE">
        <w:rPr>
          <w:lang w:val="fr-CH"/>
        </w:rPr>
        <w:t>formes de travail des enfants</w:t>
      </w:r>
      <w:r w:rsidR="00F8384A" w:rsidRPr="009F43DE">
        <w:rPr>
          <w:lang w:val="fr-CH"/>
        </w:rPr>
        <w:t>»</w:t>
      </w:r>
      <w:r w:rsidRPr="009F43DE">
        <w:rPr>
          <w:lang w:val="fr-CH"/>
        </w:rPr>
        <w:t xml:space="preserve">. </w:t>
      </w:r>
      <w:r w:rsidR="00200624" w:rsidRPr="009F43DE">
        <w:rPr>
          <w:lang w:val="fr-CH"/>
        </w:rPr>
        <w:t>D</w:t>
      </w:r>
      <w:r w:rsidR="00F8384A" w:rsidRPr="009F43DE">
        <w:rPr>
          <w:lang w:val="fr-CH"/>
        </w:rPr>
        <w:t>’</w:t>
      </w:r>
      <w:r w:rsidR="00200624" w:rsidRPr="009F43DE">
        <w:rPr>
          <w:lang w:val="fr-CH"/>
        </w:rPr>
        <w:t>après cette</w:t>
      </w:r>
      <w:r w:rsidRPr="009F43DE">
        <w:rPr>
          <w:lang w:val="fr-CH"/>
        </w:rPr>
        <w:t xml:space="preserve"> feuille de route</w:t>
      </w:r>
      <w:r w:rsidR="00200624" w:rsidRPr="009F43DE">
        <w:rPr>
          <w:lang w:val="fr-CH"/>
        </w:rPr>
        <w:t>,</w:t>
      </w:r>
      <w:r w:rsidRPr="009F43DE">
        <w:rPr>
          <w:lang w:val="fr-CH"/>
        </w:rPr>
        <w:t xml:space="preserve"> les enfants </w:t>
      </w:r>
      <w:r w:rsidR="00200624" w:rsidRPr="009F43DE">
        <w:rPr>
          <w:lang w:val="fr-CH"/>
        </w:rPr>
        <w:t xml:space="preserve">vivant </w:t>
      </w:r>
      <w:r w:rsidRPr="009F43DE">
        <w:rPr>
          <w:lang w:val="fr-CH"/>
        </w:rPr>
        <w:t>dans les zones touchées par les conflits, dans les régions de plantation et dans les zones rurales pauvres sont les plus vulnérables à l</w:t>
      </w:r>
      <w:r w:rsidR="00F8384A" w:rsidRPr="009F43DE">
        <w:rPr>
          <w:lang w:val="fr-CH"/>
        </w:rPr>
        <w:t>’</w:t>
      </w:r>
      <w:r w:rsidRPr="009F43DE">
        <w:rPr>
          <w:lang w:val="fr-CH"/>
        </w:rPr>
        <w:t xml:space="preserve">exploitation </w:t>
      </w:r>
      <w:r w:rsidR="00200624" w:rsidRPr="009F43DE">
        <w:rPr>
          <w:lang w:val="fr-CH"/>
        </w:rPr>
        <w:t>économique</w:t>
      </w:r>
      <w:r w:rsidRPr="009F43DE">
        <w:rPr>
          <w:lang w:val="fr-CH"/>
        </w:rPr>
        <w:t xml:space="preserve"> et à la prostitution. Le Comité national</w:t>
      </w:r>
      <w:r w:rsidR="00200624" w:rsidRPr="009F43DE">
        <w:rPr>
          <w:lang w:val="fr-CH"/>
        </w:rPr>
        <w:t xml:space="preserve"> de pilotage</w:t>
      </w:r>
      <w:r w:rsidRPr="009F43DE">
        <w:rPr>
          <w:lang w:val="fr-CH"/>
        </w:rPr>
        <w:t xml:space="preserve">, qui a été </w:t>
      </w:r>
      <w:r w:rsidR="00200624" w:rsidRPr="009F43DE">
        <w:rPr>
          <w:lang w:val="fr-CH"/>
        </w:rPr>
        <w:t xml:space="preserve">constitué </w:t>
      </w:r>
      <w:r w:rsidRPr="009F43DE">
        <w:rPr>
          <w:lang w:val="fr-CH"/>
        </w:rPr>
        <w:t>en octobre 2010, a amélioré la coordination entre les membres et facilité l</w:t>
      </w:r>
      <w:r w:rsidR="00F8384A" w:rsidRPr="009F43DE">
        <w:rPr>
          <w:lang w:val="fr-CH"/>
        </w:rPr>
        <w:t>’</w:t>
      </w:r>
      <w:r w:rsidRPr="009F43DE">
        <w:rPr>
          <w:lang w:val="fr-CH"/>
        </w:rPr>
        <w:t>intégration des questions et préoccupations concernant le travail des enfants dans les politiques et programmes de ses organisations membres. La mise en œuvre de la Feuille de route</w:t>
      </w:r>
      <w:r w:rsidR="00200624" w:rsidRPr="009F43DE">
        <w:rPr>
          <w:lang w:val="fr-CH"/>
        </w:rPr>
        <w:t>, qui doit intervenir dans son intégralité en 2016,</w:t>
      </w:r>
      <w:r w:rsidRPr="009F43DE">
        <w:rPr>
          <w:lang w:val="fr-CH"/>
        </w:rPr>
        <w:t xml:space="preserve"> a </w:t>
      </w:r>
      <w:r w:rsidR="00200624" w:rsidRPr="009F43DE">
        <w:rPr>
          <w:lang w:val="fr-CH"/>
        </w:rPr>
        <w:t>marqué le début d</w:t>
      </w:r>
      <w:r w:rsidR="00F8384A" w:rsidRPr="009F43DE">
        <w:rPr>
          <w:lang w:val="fr-CH"/>
        </w:rPr>
        <w:t>’</w:t>
      </w:r>
      <w:r w:rsidR="00200624" w:rsidRPr="009F43DE">
        <w:rPr>
          <w:lang w:val="fr-CH"/>
        </w:rPr>
        <w:t>une</w:t>
      </w:r>
      <w:r w:rsidRPr="009F43DE">
        <w:rPr>
          <w:lang w:val="fr-CH"/>
        </w:rPr>
        <w:t xml:space="preserve"> politique de tolérance zéro sur les pires formes de travail des enfants.</w:t>
      </w:r>
    </w:p>
    <w:p w:rsidR="00C77E1E" w:rsidRPr="009F43DE" w:rsidRDefault="00C77E1E" w:rsidP="00C77E1E">
      <w:pPr>
        <w:pStyle w:val="SingleTxtG"/>
        <w:rPr>
          <w:rFonts w:eastAsia="Calibri"/>
          <w:lang w:val="fr-CH"/>
        </w:rPr>
      </w:pPr>
      <w:r w:rsidRPr="009F43DE">
        <w:rPr>
          <w:rFonts w:eastAsia="Calibri"/>
          <w:lang w:val="fr-CH"/>
        </w:rPr>
        <w:t>114.</w:t>
      </w:r>
      <w:r w:rsidRPr="009F43DE">
        <w:rPr>
          <w:rFonts w:eastAsia="Calibri"/>
          <w:lang w:val="fr-CH"/>
        </w:rPr>
        <w:tab/>
      </w:r>
      <w:r w:rsidR="00200624" w:rsidRPr="009F43DE">
        <w:rPr>
          <w:rFonts w:eastAsia="Calibri"/>
          <w:lang w:val="fr-CH"/>
        </w:rPr>
        <w:t>Des</w:t>
      </w:r>
      <w:r w:rsidRPr="009F43DE">
        <w:rPr>
          <w:lang w:val="fr-CH"/>
        </w:rPr>
        <w:t xml:space="preserve"> incidents concernant le travail des enfants </w:t>
      </w:r>
      <w:r w:rsidR="00200624" w:rsidRPr="009F43DE">
        <w:rPr>
          <w:lang w:val="fr-CH"/>
        </w:rPr>
        <w:t>ayant été</w:t>
      </w:r>
      <w:r w:rsidRPr="009F43DE">
        <w:rPr>
          <w:lang w:val="fr-CH"/>
        </w:rPr>
        <w:t xml:space="preserve"> signalés dans le secteur informel, une plus grande attention a été accordée à la sensibilisation de toutes les parties prenantes </w:t>
      </w:r>
      <w:r w:rsidR="005015CA" w:rsidRPr="009F43DE">
        <w:rPr>
          <w:lang w:val="fr-CH"/>
        </w:rPr>
        <w:t xml:space="preserve">au niveau </w:t>
      </w:r>
      <w:r w:rsidRPr="009F43DE">
        <w:rPr>
          <w:lang w:val="fr-CH"/>
        </w:rPr>
        <w:t>de</w:t>
      </w:r>
      <w:r w:rsidR="005015CA" w:rsidRPr="009F43DE">
        <w:rPr>
          <w:lang w:val="fr-CH"/>
        </w:rPr>
        <w:t>s</w:t>
      </w:r>
      <w:r w:rsidRPr="009F43DE">
        <w:rPr>
          <w:lang w:val="fr-CH"/>
        </w:rPr>
        <w:t xml:space="preserve"> communauté</w:t>
      </w:r>
      <w:r w:rsidR="005015CA" w:rsidRPr="009F43DE">
        <w:rPr>
          <w:lang w:val="fr-CH"/>
        </w:rPr>
        <w:t>s</w:t>
      </w:r>
      <w:r w:rsidRPr="009F43DE">
        <w:rPr>
          <w:lang w:val="fr-CH"/>
        </w:rPr>
        <w:t xml:space="preserve">, en particulier les enfants des écoles. Les </w:t>
      </w:r>
      <w:r w:rsidR="005015CA" w:rsidRPr="009F43DE">
        <w:rPr>
          <w:lang w:val="fr-CH"/>
        </w:rPr>
        <w:t>actions</w:t>
      </w:r>
      <w:r w:rsidRPr="009F43DE">
        <w:rPr>
          <w:lang w:val="fr-CH"/>
        </w:rPr>
        <w:t xml:space="preserve"> suivantes ont été </w:t>
      </w:r>
      <w:r w:rsidR="005015CA" w:rsidRPr="009F43DE">
        <w:rPr>
          <w:lang w:val="fr-CH"/>
        </w:rPr>
        <w:t>menées</w:t>
      </w:r>
      <w:r w:rsidRPr="009F43DE">
        <w:rPr>
          <w:lang w:val="fr-CH"/>
        </w:rPr>
        <w:t xml:space="preserve"> au cours de la période considérée</w:t>
      </w:r>
      <w:r w:rsidR="00F8384A" w:rsidRPr="009F43DE">
        <w:rPr>
          <w:lang w:val="fr-CH"/>
        </w:rPr>
        <w:t>:</w:t>
      </w:r>
      <w:r w:rsidRPr="009F43DE">
        <w:rPr>
          <w:rFonts w:eastAsia="Calibri"/>
          <w:lang w:val="fr-CH"/>
        </w:rPr>
        <w:t xml:space="preserve"> </w:t>
      </w:r>
    </w:p>
    <w:p w:rsidR="00C77E1E" w:rsidRPr="009F43DE" w:rsidRDefault="00C77E1E" w:rsidP="00C77E1E">
      <w:pPr>
        <w:pStyle w:val="Bullet1G"/>
        <w:numPr>
          <w:ilvl w:val="0"/>
          <w:numId w:val="0"/>
        </w:numPr>
        <w:tabs>
          <w:tab w:val="left" w:pos="1701"/>
        </w:tabs>
        <w:ind w:left="1701" w:hanging="170"/>
        <w:rPr>
          <w:rFonts w:eastAsia="Calibri"/>
          <w:lang w:val="fr-CH"/>
        </w:rPr>
      </w:pPr>
      <w:r w:rsidRPr="009F43DE">
        <w:rPr>
          <w:rFonts w:eastAsia="Calibri"/>
          <w:lang w:val="fr-CH"/>
        </w:rPr>
        <w:t>•</w:t>
      </w:r>
      <w:r w:rsidRPr="009F43DE">
        <w:rPr>
          <w:rFonts w:eastAsia="Calibri"/>
          <w:lang w:val="fr-CH"/>
        </w:rPr>
        <w:tab/>
        <w:t>D</w:t>
      </w:r>
      <w:r w:rsidR="001F5F05" w:rsidRPr="009F43DE">
        <w:rPr>
          <w:rFonts w:eastAsia="Calibri"/>
          <w:lang w:val="fr-CH"/>
        </w:rPr>
        <w:t xml:space="preserve">iverses méthodes ont été utilisées, comme le </w:t>
      </w:r>
      <w:r w:rsidR="001F5F05" w:rsidRPr="009F43DE">
        <w:rPr>
          <w:lang w:val="fr-CH"/>
        </w:rPr>
        <w:t>théâtre de rue</w:t>
      </w:r>
      <w:r w:rsidR="001F5F05" w:rsidRPr="009F43DE">
        <w:rPr>
          <w:rFonts w:eastAsia="Calibri"/>
          <w:lang w:val="fr-CH"/>
        </w:rPr>
        <w:t xml:space="preserve">, pour </w:t>
      </w:r>
      <w:r w:rsidR="005015CA" w:rsidRPr="009F43DE">
        <w:rPr>
          <w:rFonts w:eastAsia="Calibri"/>
          <w:lang w:val="fr-CH"/>
        </w:rPr>
        <w:t xml:space="preserve">mener à bien des actions </w:t>
      </w:r>
      <w:r w:rsidRPr="009F43DE">
        <w:rPr>
          <w:lang w:val="fr-CH"/>
        </w:rPr>
        <w:t xml:space="preserve">de sensibilisation </w:t>
      </w:r>
      <w:r w:rsidR="000F6F6E" w:rsidRPr="009F43DE">
        <w:rPr>
          <w:lang w:val="fr-CH"/>
        </w:rPr>
        <w:t>autour des différents domaines de risques à l</w:t>
      </w:r>
      <w:r w:rsidR="00F8384A" w:rsidRPr="009F43DE">
        <w:rPr>
          <w:lang w:val="fr-CH"/>
        </w:rPr>
        <w:t>’</w:t>
      </w:r>
      <w:r w:rsidR="000F6F6E" w:rsidRPr="009F43DE">
        <w:rPr>
          <w:lang w:val="fr-CH"/>
        </w:rPr>
        <w:t>intention d</w:t>
      </w:r>
      <w:r w:rsidRPr="009F43DE">
        <w:rPr>
          <w:lang w:val="fr-CH"/>
        </w:rPr>
        <w:t>es partenaires sociaux dans les districts d</w:t>
      </w:r>
      <w:r w:rsidR="00F8384A" w:rsidRPr="009F43DE">
        <w:rPr>
          <w:lang w:val="fr-CH"/>
        </w:rPr>
        <w:t>’</w:t>
      </w:r>
      <w:r w:rsidRPr="009F43DE">
        <w:rPr>
          <w:lang w:val="fr-CH"/>
        </w:rPr>
        <w:t xml:space="preserve">Ampara, </w:t>
      </w:r>
      <w:r w:rsidR="001F5F05" w:rsidRPr="009F43DE">
        <w:rPr>
          <w:lang w:val="fr-CH"/>
        </w:rPr>
        <w:t xml:space="preserve">de </w:t>
      </w:r>
      <w:r w:rsidRPr="009F43DE">
        <w:rPr>
          <w:lang w:val="fr-CH"/>
        </w:rPr>
        <w:t xml:space="preserve">Batticaloa, </w:t>
      </w:r>
      <w:r w:rsidR="001F5F05" w:rsidRPr="009F43DE">
        <w:rPr>
          <w:lang w:val="fr-CH"/>
        </w:rPr>
        <w:t xml:space="preserve">de </w:t>
      </w:r>
      <w:r w:rsidRPr="009F43DE">
        <w:rPr>
          <w:lang w:val="fr-CH"/>
        </w:rPr>
        <w:t xml:space="preserve">Trincomalee et </w:t>
      </w:r>
      <w:r w:rsidR="001F5F05" w:rsidRPr="009F43DE">
        <w:rPr>
          <w:lang w:val="fr-CH"/>
        </w:rPr>
        <w:t xml:space="preserve">de </w:t>
      </w:r>
      <w:r w:rsidRPr="009F43DE">
        <w:rPr>
          <w:lang w:val="fr-CH"/>
        </w:rPr>
        <w:t xml:space="preserve">Polonnaruwa. </w:t>
      </w:r>
      <w:r w:rsidR="005015CA" w:rsidRPr="009F43DE">
        <w:rPr>
          <w:lang w:val="fr-CH"/>
        </w:rPr>
        <w:t>Les</w:t>
      </w:r>
      <w:r w:rsidRPr="009F43DE">
        <w:rPr>
          <w:lang w:val="fr-CH"/>
        </w:rPr>
        <w:t xml:space="preserve"> médias populaires </w:t>
      </w:r>
      <w:r w:rsidR="005015CA" w:rsidRPr="009F43DE">
        <w:rPr>
          <w:lang w:val="fr-CH"/>
        </w:rPr>
        <w:t xml:space="preserve">ont aussi </w:t>
      </w:r>
      <w:r w:rsidRPr="009F43DE">
        <w:rPr>
          <w:lang w:val="fr-CH"/>
        </w:rPr>
        <w:t xml:space="preserve">été utilisés, </w:t>
      </w:r>
      <w:r w:rsidR="005015CA" w:rsidRPr="009F43DE">
        <w:rPr>
          <w:lang w:val="fr-CH"/>
        </w:rPr>
        <w:t xml:space="preserve">avec la production </w:t>
      </w:r>
      <w:r w:rsidRPr="009F43DE">
        <w:rPr>
          <w:lang w:val="fr-CH"/>
        </w:rPr>
        <w:t>de</w:t>
      </w:r>
      <w:r w:rsidR="005015CA" w:rsidRPr="009F43DE">
        <w:rPr>
          <w:lang w:val="fr-CH"/>
        </w:rPr>
        <w:t xml:space="preserve"> fictions </w:t>
      </w:r>
      <w:r w:rsidRPr="009F43DE">
        <w:rPr>
          <w:lang w:val="fr-CH"/>
        </w:rPr>
        <w:t xml:space="preserve">par le Ministère du travail </w:t>
      </w:r>
      <w:r w:rsidR="005015CA" w:rsidRPr="009F43DE">
        <w:rPr>
          <w:lang w:val="fr-CH"/>
        </w:rPr>
        <w:t>sur les</w:t>
      </w:r>
      <w:r w:rsidRPr="009F43DE">
        <w:rPr>
          <w:lang w:val="fr-CH"/>
        </w:rPr>
        <w:t xml:space="preserve"> pires formes de travail des enfants, et </w:t>
      </w:r>
      <w:r w:rsidR="005015CA" w:rsidRPr="009F43DE">
        <w:rPr>
          <w:lang w:val="fr-CH"/>
        </w:rPr>
        <w:t>leur diffusion sur</w:t>
      </w:r>
      <w:r w:rsidRPr="009F43DE">
        <w:rPr>
          <w:lang w:val="fr-CH"/>
        </w:rPr>
        <w:t xml:space="preserve"> trois grandes chaînes de télévision</w:t>
      </w:r>
      <w:r w:rsidR="00D37451">
        <w:rPr>
          <w:lang w:val="fr-CH"/>
        </w:rPr>
        <w:t>;</w:t>
      </w:r>
    </w:p>
    <w:p w:rsidR="00C77E1E" w:rsidRPr="00D37451" w:rsidRDefault="00C77E1E" w:rsidP="00C77E1E">
      <w:pPr>
        <w:pStyle w:val="Bullet1G"/>
        <w:numPr>
          <w:ilvl w:val="0"/>
          <w:numId w:val="0"/>
        </w:numPr>
        <w:tabs>
          <w:tab w:val="left" w:pos="1701"/>
        </w:tabs>
        <w:ind w:left="1701" w:hanging="170"/>
        <w:rPr>
          <w:rFonts w:eastAsia="Calibri"/>
          <w:lang w:val="fr-FR"/>
        </w:rPr>
      </w:pPr>
      <w:r w:rsidRPr="009F43DE">
        <w:rPr>
          <w:rFonts w:eastAsia="Calibri"/>
          <w:lang w:val="fr-CH"/>
        </w:rPr>
        <w:t>•</w:t>
      </w:r>
      <w:r w:rsidRPr="009F43DE">
        <w:rPr>
          <w:rFonts w:eastAsia="Calibri"/>
          <w:lang w:val="fr-CH"/>
        </w:rPr>
        <w:tab/>
      </w:r>
      <w:r w:rsidRPr="009F43DE">
        <w:rPr>
          <w:lang w:val="fr-CH"/>
        </w:rPr>
        <w:t xml:space="preserve">Des </w:t>
      </w:r>
      <w:r w:rsidR="000F6F6E" w:rsidRPr="009F43DE">
        <w:rPr>
          <w:lang w:val="fr-CH"/>
        </w:rPr>
        <w:t xml:space="preserve">programmes </w:t>
      </w:r>
      <w:r w:rsidR="005015CA" w:rsidRPr="009F43DE">
        <w:rPr>
          <w:lang w:val="fr-CH"/>
        </w:rPr>
        <w:t>de</w:t>
      </w:r>
      <w:r w:rsidRPr="009F43DE">
        <w:rPr>
          <w:lang w:val="fr-CH"/>
        </w:rPr>
        <w:t xml:space="preserve"> sensibilisation </w:t>
      </w:r>
      <w:r w:rsidR="005015CA" w:rsidRPr="009F43DE">
        <w:rPr>
          <w:lang w:val="fr-CH"/>
        </w:rPr>
        <w:t xml:space="preserve">ont aussi été </w:t>
      </w:r>
      <w:r w:rsidR="000F6F6E" w:rsidRPr="009F43DE">
        <w:rPr>
          <w:lang w:val="fr-CH"/>
        </w:rPr>
        <w:t xml:space="preserve">réalisés </w:t>
      </w:r>
      <w:r w:rsidR="005015CA" w:rsidRPr="009F43DE">
        <w:rPr>
          <w:lang w:val="fr-CH"/>
        </w:rPr>
        <w:t>dans</w:t>
      </w:r>
      <w:r w:rsidRPr="009F43DE">
        <w:rPr>
          <w:lang w:val="fr-CH"/>
        </w:rPr>
        <w:t xml:space="preserve"> le secteur des plantations, </w:t>
      </w:r>
      <w:r w:rsidR="000F6F6E" w:rsidRPr="009F43DE">
        <w:rPr>
          <w:lang w:val="fr-CH"/>
        </w:rPr>
        <w:t xml:space="preserve">ainsi que </w:t>
      </w:r>
      <w:r w:rsidRPr="009F43DE">
        <w:rPr>
          <w:lang w:val="fr-CH"/>
        </w:rPr>
        <w:t xml:space="preserve">des programmes de conseil dans les zones franches </w:t>
      </w:r>
      <w:r w:rsidR="005015CA" w:rsidRPr="009F43DE">
        <w:rPr>
          <w:lang w:val="fr-CH"/>
        </w:rPr>
        <w:t>pour l</w:t>
      </w:r>
      <w:r w:rsidR="00F8384A" w:rsidRPr="009F43DE">
        <w:rPr>
          <w:lang w:val="fr-CH"/>
        </w:rPr>
        <w:t>’</w:t>
      </w:r>
      <w:r w:rsidR="005015CA" w:rsidRPr="009F43DE">
        <w:rPr>
          <w:lang w:val="fr-CH"/>
        </w:rPr>
        <w:t>activité d</w:t>
      </w:r>
      <w:r w:rsidR="00F8384A" w:rsidRPr="009F43DE">
        <w:rPr>
          <w:lang w:val="fr-CH"/>
        </w:rPr>
        <w:t>’</w:t>
      </w:r>
      <w:r w:rsidR="005015CA" w:rsidRPr="009F43DE">
        <w:rPr>
          <w:lang w:val="fr-CH"/>
        </w:rPr>
        <w:t xml:space="preserve">exportation </w:t>
      </w:r>
      <w:r w:rsidRPr="009F43DE">
        <w:rPr>
          <w:lang w:val="fr-CH"/>
        </w:rPr>
        <w:t>et des programmes de sensibilisation dans le secteur industriel (hors zones franches)</w:t>
      </w:r>
      <w:r w:rsidR="00D37451">
        <w:rPr>
          <w:lang w:val="fr-CH"/>
        </w:rPr>
        <w:t>;</w:t>
      </w:r>
    </w:p>
    <w:p w:rsidR="00C77E1E" w:rsidRPr="009F43DE" w:rsidRDefault="00C77E1E" w:rsidP="00C77E1E">
      <w:pPr>
        <w:pStyle w:val="Bullet1G"/>
        <w:numPr>
          <w:ilvl w:val="0"/>
          <w:numId w:val="0"/>
        </w:numPr>
        <w:tabs>
          <w:tab w:val="left" w:pos="1701"/>
        </w:tabs>
        <w:ind w:left="1701" w:hanging="170"/>
        <w:rPr>
          <w:rFonts w:eastAsia="Calibri"/>
          <w:lang w:val="fr-CH"/>
        </w:rPr>
      </w:pPr>
      <w:r w:rsidRPr="009F43DE">
        <w:rPr>
          <w:rFonts w:eastAsia="Calibri"/>
          <w:lang w:val="fr-CH"/>
        </w:rPr>
        <w:t>•</w:t>
      </w:r>
      <w:r w:rsidRPr="009F43DE">
        <w:rPr>
          <w:rFonts w:eastAsia="Calibri"/>
          <w:lang w:val="fr-CH"/>
        </w:rPr>
        <w:tab/>
      </w:r>
      <w:r w:rsidR="000F6F6E" w:rsidRPr="009F43DE">
        <w:rPr>
          <w:rFonts w:eastAsia="Calibri"/>
          <w:lang w:val="fr-CH"/>
        </w:rPr>
        <w:t>Vingt-trois c</w:t>
      </w:r>
      <w:r w:rsidRPr="009F43DE">
        <w:rPr>
          <w:lang w:val="fr-CH"/>
        </w:rPr>
        <w:t>lubs d</w:t>
      </w:r>
      <w:r w:rsidR="00F8384A" w:rsidRPr="009F43DE">
        <w:rPr>
          <w:lang w:val="fr-CH"/>
        </w:rPr>
        <w:t>’</w:t>
      </w:r>
      <w:r w:rsidRPr="009F43DE">
        <w:rPr>
          <w:lang w:val="fr-CH"/>
        </w:rPr>
        <w:t xml:space="preserve">enfants ont été </w:t>
      </w:r>
      <w:r w:rsidR="000F6F6E" w:rsidRPr="009F43DE">
        <w:rPr>
          <w:lang w:val="fr-CH"/>
        </w:rPr>
        <w:t>constitués p</w:t>
      </w:r>
      <w:r w:rsidRPr="009F43DE">
        <w:rPr>
          <w:lang w:val="fr-CH"/>
        </w:rPr>
        <w:t>ar l</w:t>
      </w:r>
      <w:r w:rsidR="00F8384A" w:rsidRPr="009F43DE">
        <w:rPr>
          <w:lang w:val="fr-CH"/>
        </w:rPr>
        <w:t>’</w:t>
      </w:r>
      <w:r w:rsidRPr="009F43DE">
        <w:rPr>
          <w:lang w:val="fr-CH"/>
        </w:rPr>
        <w:t>Agence nationale de protection de</w:t>
      </w:r>
      <w:r w:rsidR="005015CA" w:rsidRPr="009F43DE">
        <w:rPr>
          <w:lang w:val="fr-CH"/>
        </w:rPr>
        <w:t xml:space="preserve"> l</w:t>
      </w:r>
      <w:r w:rsidR="00F8384A" w:rsidRPr="009F43DE">
        <w:rPr>
          <w:lang w:val="fr-CH"/>
        </w:rPr>
        <w:t>’</w:t>
      </w:r>
      <w:r w:rsidR="005015CA" w:rsidRPr="009F43DE">
        <w:rPr>
          <w:lang w:val="fr-CH"/>
        </w:rPr>
        <w:t>enfance</w:t>
      </w:r>
      <w:r w:rsidRPr="009F43DE">
        <w:rPr>
          <w:lang w:val="fr-CH"/>
        </w:rPr>
        <w:t xml:space="preserve"> dans la province du </w:t>
      </w:r>
      <w:r w:rsidR="005015CA" w:rsidRPr="009F43DE">
        <w:rPr>
          <w:lang w:val="fr-CH"/>
        </w:rPr>
        <w:t>n</w:t>
      </w:r>
      <w:r w:rsidRPr="009F43DE">
        <w:rPr>
          <w:lang w:val="fr-CH"/>
        </w:rPr>
        <w:t>ord en vue de sensibiliser à la maltraitance des enfants</w:t>
      </w:r>
      <w:r w:rsidR="00D37451">
        <w:rPr>
          <w:lang w:val="fr-CH"/>
        </w:rPr>
        <w:t>;</w:t>
      </w:r>
    </w:p>
    <w:p w:rsidR="00C77E1E" w:rsidRPr="009F43DE" w:rsidRDefault="00C77E1E" w:rsidP="00C77E1E">
      <w:pPr>
        <w:pStyle w:val="Bullet1G"/>
        <w:numPr>
          <w:ilvl w:val="0"/>
          <w:numId w:val="0"/>
        </w:numPr>
        <w:tabs>
          <w:tab w:val="left" w:pos="1701"/>
        </w:tabs>
        <w:ind w:left="1701" w:hanging="170"/>
        <w:rPr>
          <w:rFonts w:eastAsia="Calibri"/>
          <w:lang w:val="fr-CH"/>
        </w:rPr>
      </w:pPr>
      <w:r w:rsidRPr="009F43DE">
        <w:rPr>
          <w:rFonts w:eastAsia="Calibri"/>
          <w:lang w:val="fr-CH"/>
        </w:rPr>
        <w:t>•</w:t>
      </w:r>
      <w:r w:rsidRPr="009F43DE">
        <w:rPr>
          <w:rFonts w:eastAsia="Calibri"/>
          <w:lang w:val="fr-CH"/>
        </w:rPr>
        <w:tab/>
      </w:r>
      <w:r w:rsidR="000F6F6E" w:rsidRPr="009F43DE">
        <w:rPr>
          <w:rFonts w:eastAsia="Calibri"/>
          <w:lang w:val="fr-CH"/>
        </w:rPr>
        <w:t>Des s</w:t>
      </w:r>
      <w:r w:rsidRPr="009F43DE">
        <w:rPr>
          <w:lang w:val="fr-CH"/>
        </w:rPr>
        <w:t xml:space="preserve">ervices de conseil </w:t>
      </w:r>
      <w:r w:rsidR="000F6F6E" w:rsidRPr="009F43DE">
        <w:rPr>
          <w:lang w:val="fr-CH"/>
        </w:rPr>
        <w:t>ont été m</w:t>
      </w:r>
      <w:r w:rsidR="00B262BD" w:rsidRPr="009F43DE">
        <w:rPr>
          <w:lang w:val="fr-CH"/>
        </w:rPr>
        <w:t>i</w:t>
      </w:r>
      <w:r w:rsidR="000F6F6E" w:rsidRPr="009F43DE">
        <w:rPr>
          <w:lang w:val="fr-CH"/>
        </w:rPr>
        <w:t>s en place dans les écoles pour améliorer la qualité de l</w:t>
      </w:r>
      <w:r w:rsidR="00F8384A" w:rsidRPr="009F43DE">
        <w:rPr>
          <w:lang w:val="fr-CH"/>
        </w:rPr>
        <w:t>’</w:t>
      </w:r>
      <w:r w:rsidR="000F6F6E" w:rsidRPr="009F43DE">
        <w:rPr>
          <w:lang w:val="fr-CH"/>
        </w:rPr>
        <w:t>enseignement (la formation des enseignants a été prise en charge par l</w:t>
      </w:r>
      <w:r w:rsidR="00F8384A" w:rsidRPr="009F43DE">
        <w:rPr>
          <w:lang w:val="fr-CH"/>
        </w:rPr>
        <w:t>’</w:t>
      </w:r>
      <w:r w:rsidR="000F6F6E" w:rsidRPr="009F43DE">
        <w:rPr>
          <w:lang w:val="fr-CH"/>
        </w:rPr>
        <w:t>Agence nationale de protection de l</w:t>
      </w:r>
      <w:r w:rsidR="00F8384A" w:rsidRPr="009F43DE">
        <w:rPr>
          <w:lang w:val="fr-CH"/>
        </w:rPr>
        <w:t>’</w:t>
      </w:r>
      <w:r w:rsidR="000F6F6E" w:rsidRPr="009F43DE">
        <w:rPr>
          <w:lang w:val="fr-CH"/>
        </w:rPr>
        <w:t>enfance</w:t>
      </w:r>
      <w:r w:rsidRPr="009F43DE">
        <w:rPr>
          <w:lang w:val="fr-CH"/>
        </w:rPr>
        <w:t>)</w:t>
      </w:r>
      <w:r w:rsidR="00D37451">
        <w:rPr>
          <w:lang w:val="fr-CH"/>
        </w:rPr>
        <w:t>;</w:t>
      </w:r>
    </w:p>
    <w:p w:rsidR="00C77E1E" w:rsidRPr="009F43DE" w:rsidRDefault="00C77E1E" w:rsidP="00C77E1E">
      <w:pPr>
        <w:pStyle w:val="Bullet1G"/>
        <w:numPr>
          <w:ilvl w:val="0"/>
          <w:numId w:val="0"/>
        </w:numPr>
        <w:tabs>
          <w:tab w:val="left" w:pos="1701"/>
        </w:tabs>
        <w:ind w:left="1701" w:hanging="170"/>
        <w:rPr>
          <w:rFonts w:eastAsia="Calibri"/>
          <w:lang w:val="fr-CH"/>
        </w:rPr>
      </w:pPr>
      <w:r w:rsidRPr="009F43DE">
        <w:rPr>
          <w:rFonts w:eastAsia="Calibri"/>
          <w:lang w:val="fr-CH"/>
        </w:rPr>
        <w:t>•</w:t>
      </w:r>
      <w:r w:rsidRPr="009F43DE">
        <w:rPr>
          <w:rFonts w:eastAsia="Calibri"/>
          <w:lang w:val="fr-CH"/>
        </w:rPr>
        <w:tab/>
      </w:r>
      <w:r w:rsidR="000F6F6E" w:rsidRPr="009F43DE">
        <w:rPr>
          <w:rFonts w:eastAsia="Calibri"/>
          <w:lang w:val="fr-CH"/>
        </w:rPr>
        <w:t>Des</w:t>
      </w:r>
      <w:r w:rsidRPr="009F43DE">
        <w:rPr>
          <w:lang w:val="fr-CH"/>
        </w:rPr>
        <w:t xml:space="preserve"> repas</w:t>
      </w:r>
      <w:r w:rsidR="000F6F6E" w:rsidRPr="009F43DE">
        <w:rPr>
          <w:lang w:val="fr-CH"/>
        </w:rPr>
        <w:t>, des</w:t>
      </w:r>
      <w:r w:rsidRPr="009F43DE">
        <w:rPr>
          <w:lang w:val="fr-CH"/>
        </w:rPr>
        <w:t xml:space="preserve"> livres et des uniformes </w:t>
      </w:r>
      <w:r w:rsidR="000F6F6E" w:rsidRPr="009F43DE">
        <w:rPr>
          <w:lang w:val="fr-CH"/>
        </w:rPr>
        <w:t xml:space="preserve">ont été distribués gratuitement </w:t>
      </w:r>
      <w:r w:rsidRPr="009F43DE">
        <w:rPr>
          <w:lang w:val="fr-CH"/>
        </w:rPr>
        <w:t xml:space="preserve">à tous les enfants des écoles par le </w:t>
      </w:r>
      <w:r w:rsidR="000F6F6E" w:rsidRPr="009F43DE">
        <w:rPr>
          <w:lang w:val="fr-CH"/>
        </w:rPr>
        <w:t>M</w:t>
      </w:r>
      <w:r w:rsidRPr="009F43DE">
        <w:rPr>
          <w:lang w:val="fr-CH"/>
        </w:rPr>
        <w:t>inistère de l</w:t>
      </w:r>
      <w:r w:rsidR="00F8384A" w:rsidRPr="009F43DE">
        <w:rPr>
          <w:lang w:val="fr-CH"/>
        </w:rPr>
        <w:t>’</w:t>
      </w:r>
      <w:r w:rsidR="000F6F6E" w:rsidRPr="009F43DE">
        <w:rPr>
          <w:lang w:val="fr-CH"/>
        </w:rPr>
        <w:t>é</w:t>
      </w:r>
      <w:r w:rsidRPr="009F43DE">
        <w:rPr>
          <w:lang w:val="fr-CH"/>
        </w:rPr>
        <w:t xml:space="preserve">ducation. </w:t>
      </w:r>
      <w:r w:rsidR="000F6F6E" w:rsidRPr="009F43DE">
        <w:rPr>
          <w:lang w:val="fr-CH"/>
        </w:rPr>
        <w:t>D</w:t>
      </w:r>
      <w:r w:rsidR="00F8384A" w:rsidRPr="009F43DE">
        <w:rPr>
          <w:lang w:val="fr-CH"/>
        </w:rPr>
        <w:t>’</w:t>
      </w:r>
      <w:r w:rsidR="000F6F6E" w:rsidRPr="009F43DE">
        <w:rPr>
          <w:lang w:val="fr-CH"/>
        </w:rPr>
        <w:t xml:space="preserve">après les estimations de ce dernier, </w:t>
      </w:r>
      <w:r w:rsidRPr="009F43DE">
        <w:rPr>
          <w:lang w:val="fr-CH"/>
        </w:rPr>
        <w:t xml:space="preserve">les dépenses </w:t>
      </w:r>
      <w:r w:rsidR="000F6F6E" w:rsidRPr="009F43DE">
        <w:rPr>
          <w:lang w:val="fr-CH"/>
        </w:rPr>
        <w:t xml:space="preserve">pour la distribution gratuite de manuels aux élèves se sont chiffrées au total à 2 400 millions de roupies sri-lankaises </w:t>
      </w:r>
      <w:r w:rsidRPr="009F43DE">
        <w:rPr>
          <w:lang w:val="fr-CH"/>
        </w:rPr>
        <w:t xml:space="preserve">en 2014 </w:t>
      </w:r>
      <w:r w:rsidR="000F6F6E" w:rsidRPr="009F43DE">
        <w:rPr>
          <w:lang w:val="fr-CH"/>
        </w:rPr>
        <w:t>et celles au tit</w:t>
      </w:r>
      <w:r w:rsidR="00B2634A" w:rsidRPr="009F43DE">
        <w:rPr>
          <w:lang w:val="fr-CH"/>
        </w:rPr>
        <w:t>r</w:t>
      </w:r>
      <w:r w:rsidR="000F6F6E" w:rsidRPr="009F43DE">
        <w:rPr>
          <w:lang w:val="fr-CH"/>
        </w:rPr>
        <w:t xml:space="preserve">e des uniformes scolaires </w:t>
      </w:r>
      <w:r w:rsidR="00B2634A" w:rsidRPr="009F43DE">
        <w:rPr>
          <w:lang w:val="fr-CH"/>
        </w:rPr>
        <w:t>à</w:t>
      </w:r>
      <w:r w:rsidRPr="009F43DE">
        <w:rPr>
          <w:lang w:val="fr-CH"/>
        </w:rPr>
        <w:t xml:space="preserve"> 2 738,3 millions de </w:t>
      </w:r>
      <w:r w:rsidR="001F5F05" w:rsidRPr="009F43DE">
        <w:rPr>
          <w:lang w:val="fr-CH"/>
        </w:rPr>
        <w:t>roupies sri-lankaises</w:t>
      </w:r>
      <w:r w:rsidR="00B2634A" w:rsidRPr="009F43DE">
        <w:rPr>
          <w:lang w:val="fr-CH"/>
        </w:rPr>
        <w:t>.</w:t>
      </w:r>
    </w:p>
    <w:p w:rsidR="00C77E1E" w:rsidRPr="009F43DE" w:rsidRDefault="00C77E1E" w:rsidP="00C77E1E">
      <w:pPr>
        <w:pStyle w:val="SingleTxtG"/>
        <w:rPr>
          <w:rFonts w:eastAsia="Calibri"/>
          <w:lang w:val="fr-CH"/>
        </w:rPr>
      </w:pPr>
      <w:r w:rsidRPr="009F43DE">
        <w:rPr>
          <w:rFonts w:eastAsia="Calibri"/>
          <w:lang w:val="fr-CH"/>
        </w:rPr>
        <w:t>115.</w:t>
      </w:r>
      <w:r w:rsidRPr="009F43DE">
        <w:rPr>
          <w:rFonts w:eastAsia="Calibri"/>
          <w:lang w:val="fr-CH"/>
        </w:rPr>
        <w:tab/>
        <w:t>L</w:t>
      </w:r>
      <w:r w:rsidR="00F8384A" w:rsidRPr="009F43DE">
        <w:rPr>
          <w:rFonts w:eastAsia="Calibri"/>
          <w:lang w:val="fr-CH"/>
        </w:rPr>
        <w:t>’</w:t>
      </w:r>
      <w:r w:rsidR="00B2634A" w:rsidRPr="009F43DE">
        <w:rPr>
          <w:rFonts w:eastAsia="Calibri"/>
          <w:lang w:val="fr-CH"/>
        </w:rPr>
        <w:t xml:space="preserve">amélioration remarquable des </w:t>
      </w:r>
      <w:r w:rsidRPr="009F43DE">
        <w:rPr>
          <w:lang w:val="fr-CH"/>
        </w:rPr>
        <w:t xml:space="preserve">indicateurs sociaux </w:t>
      </w:r>
      <w:r w:rsidR="00B2634A" w:rsidRPr="009F43DE">
        <w:rPr>
          <w:lang w:val="fr-CH"/>
        </w:rPr>
        <w:t>du</w:t>
      </w:r>
      <w:r w:rsidRPr="009F43DE">
        <w:rPr>
          <w:lang w:val="fr-CH"/>
        </w:rPr>
        <w:t xml:space="preserve"> pays </w:t>
      </w:r>
      <w:r w:rsidR="00B2634A" w:rsidRPr="009F43DE">
        <w:rPr>
          <w:lang w:val="fr-CH"/>
        </w:rPr>
        <w:t>ces</w:t>
      </w:r>
      <w:r w:rsidRPr="009F43DE">
        <w:rPr>
          <w:lang w:val="fr-CH"/>
        </w:rPr>
        <w:t xml:space="preserve"> dernières années, comme </w:t>
      </w:r>
      <w:r w:rsidR="00B2634A" w:rsidRPr="009F43DE">
        <w:rPr>
          <w:lang w:val="fr-CH"/>
        </w:rPr>
        <w:t>la hausse d</w:t>
      </w:r>
      <w:r w:rsidRPr="009F43DE">
        <w:rPr>
          <w:lang w:val="fr-CH"/>
        </w:rPr>
        <w:t xml:space="preserve">es taux de scolarisation </w:t>
      </w:r>
      <w:r w:rsidR="00B2634A" w:rsidRPr="009F43DE">
        <w:rPr>
          <w:lang w:val="fr-CH"/>
        </w:rPr>
        <w:t>et</w:t>
      </w:r>
      <w:r w:rsidRPr="009F43DE">
        <w:rPr>
          <w:lang w:val="fr-CH"/>
        </w:rPr>
        <w:t xml:space="preserve"> la réduction d</w:t>
      </w:r>
      <w:r w:rsidR="00B2634A" w:rsidRPr="009F43DE">
        <w:rPr>
          <w:lang w:val="fr-CH"/>
        </w:rPr>
        <w:t>u nombre de décrochages</w:t>
      </w:r>
      <w:r w:rsidRPr="009F43DE">
        <w:rPr>
          <w:lang w:val="fr-CH"/>
        </w:rPr>
        <w:t xml:space="preserve"> scolaires</w:t>
      </w:r>
      <w:r w:rsidR="00B2634A" w:rsidRPr="009F43DE">
        <w:rPr>
          <w:lang w:val="fr-CH"/>
        </w:rPr>
        <w:t>,</w:t>
      </w:r>
      <w:r w:rsidRPr="009F43DE">
        <w:rPr>
          <w:lang w:val="fr-CH"/>
        </w:rPr>
        <w:t xml:space="preserve"> sont des manifestations claires d</w:t>
      </w:r>
      <w:r w:rsidR="00B2634A" w:rsidRPr="009F43DE">
        <w:rPr>
          <w:lang w:val="fr-CH"/>
        </w:rPr>
        <w:t>u recul du</w:t>
      </w:r>
      <w:r w:rsidRPr="009F43DE">
        <w:rPr>
          <w:lang w:val="fr-CH"/>
        </w:rPr>
        <w:t xml:space="preserve"> travail des enfants </w:t>
      </w:r>
      <w:r w:rsidR="00B2634A" w:rsidRPr="009F43DE">
        <w:rPr>
          <w:lang w:val="fr-CH"/>
        </w:rPr>
        <w:t>à</w:t>
      </w:r>
      <w:r w:rsidRPr="009F43DE">
        <w:rPr>
          <w:lang w:val="fr-CH"/>
        </w:rPr>
        <w:t xml:space="preserve"> Sri Lanka.</w:t>
      </w:r>
    </w:p>
    <w:p w:rsidR="00C77E1E" w:rsidRPr="009F43DE" w:rsidRDefault="00C77E1E" w:rsidP="00C77E1E">
      <w:pPr>
        <w:pStyle w:val="H23G"/>
        <w:rPr>
          <w:color w:val="000000"/>
          <w:lang w:val="fr-CH"/>
        </w:rPr>
      </w:pPr>
      <w:r w:rsidRPr="009F43DE">
        <w:rPr>
          <w:lang w:val="fr-CH"/>
        </w:rPr>
        <w:tab/>
      </w:r>
      <w:r w:rsidRPr="009F43DE">
        <w:rPr>
          <w:lang w:val="fr-CH"/>
        </w:rPr>
        <w:tab/>
        <w:t>Mesures visant à empêcher l</w:t>
      </w:r>
      <w:r w:rsidR="00F8384A" w:rsidRPr="009F43DE">
        <w:rPr>
          <w:lang w:val="fr-CH"/>
        </w:rPr>
        <w:t>’</w:t>
      </w:r>
      <w:r w:rsidRPr="009F43DE">
        <w:rPr>
          <w:lang w:val="fr-CH"/>
        </w:rPr>
        <w:t xml:space="preserve">exploitation des enfants </w:t>
      </w:r>
      <w:r w:rsidR="00D37451">
        <w:rPr>
          <w:lang w:val="fr-CH"/>
        </w:rPr>
        <w:t>(</w:t>
      </w:r>
      <w:r w:rsidR="00AE4422" w:rsidRPr="009F43DE">
        <w:rPr>
          <w:lang w:val="fr-CH"/>
        </w:rPr>
        <w:t>p</w:t>
      </w:r>
      <w:r w:rsidRPr="009F43DE">
        <w:rPr>
          <w:lang w:val="fr-CH"/>
        </w:rPr>
        <w:t>ar</w:t>
      </w:r>
      <w:r w:rsidR="00D37451">
        <w:rPr>
          <w:lang w:val="fr-CH"/>
        </w:rPr>
        <w:t xml:space="preserve">. </w:t>
      </w:r>
      <w:r w:rsidRPr="009F43DE">
        <w:rPr>
          <w:lang w:val="fr-CH"/>
        </w:rPr>
        <w:t>27</w:t>
      </w:r>
      <w:r w:rsidR="00D37451">
        <w:rPr>
          <w:color w:val="000000"/>
          <w:lang w:val="fr-CH"/>
        </w:rPr>
        <w:t>)</w:t>
      </w:r>
    </w:p>
    <w:p w:rsidR="00C77E1E" w:rsidRPr="009F43DE" w:rsidRDefault="00C77E1E" w:rsidP="00C77E1E">
      <w:pPr>
        <w:pStyle w:val="SingleTxtG"/>
        <w:rPr>
          <w:rFonts w:eastAsia="Calibri"/>
          <w:lang w:val="fr-CH"/>
        </w:rPr>
      </w:pPr>
      <w:r w:rsidRPr="009F43DE">
        <w:rPr>
          <w:rFonts w:eastAsia="Calibri"/>
          <w:lang w:val="fr-CH"/>
        </w:rPr>
        <w:t>116.</w:t>
      </w:r>
      <w:r w:rsidRPr="009F43DE">
        <w:rPr>
          <w:rFonts w:eastAsia="Calibri"/>
          <w:lang w:val="fr-CH"/>
        </w:rPr>
        <w:tab/>
      </w:r>
      <w:r w:rsidRPr="009F43DE">
        <w:rPr>
          <w:lang w:val="fr-CH"/>
        </w:rPr>
        <w:t xml:space="preserve">Sri Lanka reste préoccupé par le fait que des pédophiles voyagent </w:t>
      </w:r>
      <w:r w:rsidR="00B2634A" w:rsidRPr="009F43DE">
        <w:rPr>
          <w:lang w:val="fr-CH"/>
        </w:rPr>
        <w:t xml:space="preserve">partout </w:t>
      </w:r>
      <w:r w:rsidRPr="009F43DE">
        <w:rPr>
          <w:lang w:val="fr-CH"/>
        </w:rPr>
        <w:t>dans le monde, y compris</w:t>
      </w:r>
      <w:r w:rsidR="00AE4422" w:rsidRPr="009F43DE">
        <w:rPr>
          <w:lang w:val="fr-CH"/>
        </w:rPr>
        <w:t xml:space="preserve"> à</w:t>
      </w:r>
      <w:r w:rsidRPr="009F43DE">
        <w:rPr>
          <w:lang w:val="fr-CH"/>
        </w:rPr>
        <w:t xml:space="preserve"> Sri Lanka, pour se livrer à des relations sexuelles avec des enfants. En plus des programmes de sensibilisation </w:t>
      </w:r>
      <w:r w:rsidR="00925144" w:rsidRPr="009F43DE">
        <w:rPr>
          <w:lang w:val="fr-CH"/>
        </w:rPr>
        <w:t>sur</w:t>
      </w:r>
      <w:r w:rsidRPr="009F43DE">
        <w:rPr>
          <w:lang w:val="fr-CH"/>
        </w:rPr>
        <w:t xml:space="preserve"> cette question, l</w:t>
      </w:r>
      <w:r w:rsidR="00F8384A" w:rsidRPr="009F43DE">
        <w:rPr>
          <w:lang w:val="fr-CH"/>
        </w:rPr>
        <w:t>’</w:t>
      </w:r>
      <w:r w:rsidRPr="009F43DE">
        <w:rPr>
          <w:lang w:val="fr-CH"/>
        </w:rPr>
        <w:t>Agence nationale de protection de l</w:t>
      </w:r>
      <w:r w:rsidR="00F8384A" w:rsidRPr="009F43DE">
        <w:rPr>
          <w:lang w:val="fr-CH"/>
        </w:rPr>
        <w:t>’</w:t>
      </w:r>
      <w:r w:rsidRPr="009F43DE">
        <w:rPr>
          <w:lang w:val="fr-CH"/>
        </w:rPr>
        <w:t xml:space="preserve">enfance a pris des mesures pour renforcer sa cellule de veille cybernétique. Cette </w:t>
      </w:r>
      <w:r w:rsidR="00177FA2" w:rsidRPr="009F43DE">
        <w:rPr>
          <w:lang w:val="fr-CH"/>
        </w:rPr>
        <w:t>cellule</w:t>
      </w:r>
      <w:r w:rsidRPr="009F43DE">
        <w:rPr>
          <w:lang w:val="fr-CH"/>
        </w:rPr>
        <w:t xml:space="preserve"> a été r</w:t>
      </w:r>
      <w:r w:rsidR="007B7CED" w:rsidRPr="009F43DE">
        <w:rPr>
          <w:lang w:val="fr-CH"/>
        </w:rPr>
        <w:t>éactivé</w:t>
      </w:r>
      <w:r w:rsidR="00B2634A" w:rsidRPr="009F43DE">
        <w:rPr>
          <w:lang w:val="fr-CH"/>
        </w:rPr>
        <w:t>e</w:t>
      </w:r>
      <w:r w:rsidRPr="009F43DE">
        <w:rPr>
          <w:lang w:val="fr-CH"/>
        </w:rPr>
        <w:t xml:space="preserve"> en janvier 2014 avec </w:t>
      </w:r>
      <w:r w:rsidR="00B2634A" w:rsidRPr="009F43DE">
        <w:rPr>
          <w:lang w:val="fr-CH"/>
        </w:rPr>
        <w:t xml:space="preserve">pour </w:t>
      </w:r>
      <w:r w:rsidRPr="009F43DE">
        <w:rPr>
          <w:lang w:val="fr-CH"/>
        </w:rPr>
        <w:t>objectif d</w:t>
      </w:r>
      <w:r w:rsidR="00F8384A" w:rsidRPr="009F43DE">
        <w:rPr>
          <w:lang w:val="fr-CH"/>
        </w:rPr>
        <w:t>’</w:t>
      </w:r>
      <w:r w:rsidRPr="009F43DE">
        <w:rPr>
          <w:lang w:val="fr-CH"/>
        </w:rPr>
        <w:t xml:space="preserve">identifier les pédophiles via </w:t>
      </w:r>
      <w:r w:rsidR="00B2634A" w:rsidRPr="009F43DE">
        <w:rPr>
          <w:lang w:val="fr-CH"/>
        </w:rPr>
        <w:t>l</w:t>
      </w:r>
      <w:r w:rsidR="00F8384A" w:rsidRPr="009F43DE">
        <w:rPr>
          <w:lang w:val="fr-CH"/>
        </w:rPr>
        <w:t>’</w:t>
      </w:r>
      <w:r w:rsidR="00B2634A" w:rsidRPr="009F43DE">
        <w:rPr>
          <w:lang w:val="fr-CH"/>
        </w:rPr>
        <w:t>I</w:t>
      </w:r>
      <w:r w:rsidRPr="009F43DE">
        <w:rPr>
          <w:lang w:val="fr-CH"/>
        </w:rPr>
        <w:t>nternet. L</w:t>
      </w:r>
      <w:r w:rsidR="00F8384A" w:rsidRPr="009F43DE">
        <w:rPr>
          <w:lang w:val="fr-CH"/>
        </w:rPr>
        <w:t>’</w:t>
      </w:r>
      <w:r w:rsidR="00B2634A" w:rsidRPr="009F43DE">
        <w:rPr>
          <w:lang w:val="fr-CH"/>
        </w:rPr>
        <w:t>Agence nationale de protection de l</w:t>
      </w:r>
      <w:r w:rsidR="00F8384A" w:rsidRPr="009F43DE">
        <w:rPr>
          <w:lang w:val="fr-CH"/>
        </w:rPr>
        <w:t>’</w:t>
      </w:r>
      <w:r w:rsidR="00B2634A" w:rsidRPr="009F43DE">
        <w:rPr>
          <w:lang w:val="fr-CH"/>
        </w:rPr>
        <w:t>enfance</w:t>
      </w:r>
      <w:r w:rsidRPr="009F43DE">
        <w:rPr>
          <w:lang w:val="fr-CH"/>
        </w:rPr>
        <w:t xml:space="preserve"> prend des mesures en vertu de la loi </w:t>
      </w:r>
      <w:r w:rsidR="00C6345E">
        <w:rPr>
          <w:lang w:val="fr-CH"/>
        </w:rPr>
        <w:t>n</w:t>
      </w:r>
      <w:r w:rsidR="00C6345E" w:rsidRPr="00C6345E">
        <w:rPr>
          <w:vertAlign w:val="superscript"/>
          <w:lang w:val="fr-CH"/>
        </w:rPr>
        <w:t>o</w:t>
      </w:r>
      <w:r w:rsidRPr="009F43DE">
        <w:rPr>
          <w:lang w:val="fr-CH"/>
        </w:rPr>
        <w:t xml:space="preserve">°50 de 1998 et </w:t>
      </w:r>
      <w:r w:rsidR="00B2634A" w:rsidRPr="009F43DE">
        <w:rPr>
          <w:lang w:val="fr-CH"/>
        </w:rPr>
        <w:t>d</w:t>
      </w:r>
      <w:r w:rsidRPr="009F43DE">
        <w:rPr>
          <w:lang w:val="fr-CH"/>
        </w:rPr>
        <w:t>es dispositions du Code pénal pour prévenir l</w:t>
      </w:r>
      <w:r w:rsidR="00F8384A" w:rsidRPr="009F43DE">
        <w:rPr>
          <w:lang w:val="fr-CH"/>
        </w:rPr>
        <w:t>’</w:t>
      </w:r>
      <w:r w:rsidR="00177FA2" w:rsidRPr="009F43DE">
        <w:rPr>
          <w:lang w:val="fr-CH"/>
        </w:rPr>
        <w:t xml:space="preserve">exploitation sexuelle </w:t>
      </w:r>
      <w:r w:rsidRPr="009F43DE">
        <w:rPr>
          <w:lang w:val="fr-CH"/>
        </w:rPr>
        <w:t>des enfants par l</w:t>
      </w:r>
      <w:r w:rsidR="00F8384A" w:rsidRPr="009F43DE">
        <w:rPr>
          <w:lang w:val="fr-CH"/>
        </w:rPr>
        <w:t>’</w:t>
      </w:r>
      <w:r w:rsidRPr="009F43DE">
        <w:rPr>
          <w:lang w:val="fr-CH"/>
        </w:rPr>
        <w:t>intermédiaire d</w:t>
      </w:r>
      <w:r w:rsidR="00F8384A" w:rsidRPr="009F43DE">
        <w:rPr>
          <w:lang w:val="fr-CH"/>
        </w:rPr>
        <w:t>’</w:t>
      </w:r>
      <w:r w:rsidRPr="009F43DE">
        <w:rPr>
          <w:lang w:val="fr-CH"/>
        </w:rPr>
        <w:t xml:space="preserve">Internet et a arrêté </w:t>
      </w:r>
      <w:r w:rsidR="00177FA2" w:rsidRPr="009F43DE">
        <w:rPr>
          <w:lang w:val="fr-CH"/>
        </w:rPr>
        <w:t>d</w:t>
      </w:r>
      <w:r w:rsidRPr="009F43DE">
        <w:rPr>
          <w:lang w:val="fr-CH"/>
        </w:rPr>
        <w:t xml:space="preserve">es pédophiles </w:t>
      </w:r>
      <w:r w:rsidR="00177FA2" w:rsidRPr="009F43DE">
        <w:rPr>
          <w:lang w:val="fr-CH"/>
        </w:rPr>
        <w:t xml:space="preserve">grâce à </w:t>
      </w:r>
      <w:r w:rsidRPr="009F43DE">
        <w:rPr>
          <w:lang w:val="fr-CH"/>
        </w:rPr>
        <w:t xml:space="preserve">sa cellule de veille cybernétique. Après avoir </w:t>
      </w:r>
      <w:r w:rsidR="00177FA2" w:rsidRPr="009F43DE">
        <w:rPr>
          <w:lang w:val="fr-CH"/>
        </w:rPr>
        <w:t xml:space="preserve">eu connaissance de </w:t>
      </w:r>
      <w:r w:rsidRPr="009F43DE">
        <w:rPr>
          <w:lang w:val="fr-CH"/>
        </w:rPr>
        <w:t>cas d</w:t>
      </w:r>
      <w:r w:rsidR="00177FA2" w:rsidRPr="009F43DE">
        <w:rPr>
          <w:lang w:val="fr-CH"/>
        </w:rPr>
        <w:t>e maltraitance</w:t>
      </w:r>
      <w:r w:rsidRPr="009F43DE">
        <w:rPr>
          <w:lang w:val="fr-CH"/>
        </w:rPr>
        <w:t xml:space="preserve"> d</w:t>
      </w:r>
      <w:r w:rsidR="00F8384A" w:rsidRPr="009F43DE">
        <w:rPr>
          <w:lang w:val="fr-CH"/>
        </w:rPr>
        <w:t>’</w:t>
      </w:r>
      <w:r w:rsidRPr="009F43DE">
        <w:rPr>
          <w:lang w:val="fr-CH"/>
        </w:rPr>
        <w:t xml:space="preserve">enfants </w:t>
      </w:r>
      <w:r w:rsidR="00177FA2" w:rsidRPr="009F43DE">
        <w:rPr>
          <w:lang w:val="fr-CH"/>
        </w:rPr>
        <w:t>ayant fait suite à</w:t>
      </w:r>
      <w:r w:rsidRPr="009F43DE">
        <w:rPr>
          <w:lang w:val="fr-CH"/>
        </w:rPr>
        <w:t xml:space="preserve"> l</w:t>
      </w:r>
      <w:r w:rsidR="00F8384A" w:rsidRPr="009F43DE">
        <w:rPr>
          <w:lang w:val="fr-CH"/>
        </w:rPr>
        <w:t>’</w:t>
      </w:r>
      <w:r w:rsidRPr="009F43DE">
        <w:rPr>
          <w:lang w:val="fr-CH"/>
        </w:rPr>
        <w:t>utilisation non contrôlée de l</w:t>
      </w:r>
      <w:r w:rsidR="00F8384A" w:rsidRPr="009F43DE">
        <w:rPr>
          <w:lang w:val="fr-CH"/>
        </w:rPr>
        <w:t>’</w:t>
      </w:r>
      <w:r w:rsidRPr="009F43DE">
        <w:rPr>
          <w:lang w:val="fr-CH"/>
        </w:rPr>
        <w:t>Internet, l</w:t>
      </w:r>
      <w:r w:rsidR="00F8384A" w:rsidRPr="009F43DE">
        <w:rPr>
          <w:lang w:val="fr-CH"/>
        </w:rPr>
        <w:t>’</w:t>
      </w:r>
      <w:r w:rsidR="00B2634A" w:rsidRPr="009F43DE">
        <w:rPr>
          <w:lang w:val="fr-CH"/>
        </w:rPr>
        <w:t>Agence</w:t>
      </w:r>
      <w:r w:rsidRPr="009F43DE">
        <w:rPr>
          <w:lang w:val="fr-CH"/>
        </w:rPr>
        <w:t xml:space="preserve"> a récemment annoncé </w:t>
      </w:r>
      <w:r w:rsidR="008937EF" w:rsidRPr="009F43DE">
        <w:rPr>
          <w:lang w:val="fr-CH"/>
        </w:rPr>
        <w:t>qu</w:t>
      </w:r>
      <w:r w:rsidR="00F8384A" w:rsidRPr="009F43DE">
        <w:rPr>
          <w:lang w:val="fr-CH"/>
        </w:rPr>
        <w:t>’</w:t>
      </w:r>
      <w:r w:rsidR="008937EF" w:rsidRPr="009F43DE">
        <w:rPr>
          <w:lang w:val="fr-CH"/>
        </w:rPr>
        <w:t xml:space="preserve">elle avait décidé </w:t>
      </w:r>
      <w:r w:rsidRPr="009F43DE">
        <w:rPr>
          <w:lang w:val="fr-CH"/>
        </w:rPr>
        <w:t>de proposer une formation spéciale aux parents pour surveiller l</w:t>
      </w:r>
      <w:r w:rsidR="008937EF" w:rsidRPr="009F43DE">
        <w:rPr>
          <w:lang w:val="fr-CH"/>
        </w:rPr>
        <w:t>a façon dont leurs enfants utilisent l</w:t>
      </w:r>
      <w:r w:rsidR="00F8384A" w:rsidRPr="009F43DE">
        <w:rPr>
          <w:lang w:val="fr-CH"/>
        </w:rPr>
        <w:t>’</w:t>
      </w:r>
      <w:r w:rsidRPr="009F43DE">
        <w:rPr>
          <w:lang w:val="fr-CH"/>
        </w:rPr>
        <w:t>Internet.</w:t>
      </w:r>
    </w:p>
    <w:p w:rsidR="00C77E1E" w:rsidRPr="009F43DE" w:rsidRDefault="00C77E1E" w:rsidP="00C77E1E">
      <w:pPr>
        <w:pStyle w:val="SingleTxtG"/>
        <w:rPr>
          <w:rFonts w:eastAsia="Calibri"/>
          <w:lang w:val="fr-CH"/>
        </w:rPr>
      </w:pPr>
      <w:r w:rsidRPr="009F43DE">
        <w:rPr>
          <w:rFonts w:eastAsia="Calibri"/>
          <w:lang w:val="fr-CH"/>
        </w:rPr>
        <w:t>117.</w:t>
      </w:r>
      <w:r w:rsidRPr="009F43DE">
        <w:rPr>
          <w:rFonts w:eastAsia="Calibri"/>
          <w:lang w:val="fr-CH"/>
        </w:rPr>
        <w:tab/>
      </w:r>
      <w:r w:rsidR="008937EF" w:rsidRPr="009F43DE">
        <w:rPr>
          <w:rFonts w:eastAsia="Calibri"/>
          <w:lang w:val="fr-CH"/>
        </w:rPr>
        <w:t>Afin</w:t>
      </w:r>
      <w:r w:rsidRPr="009F43DE">
        <w:rPr>
          <w:lang w:val="fr-CH"/>
        </w:rPr>
        <w:t xml:space="preserve"> de renforcer l</w:t>
      </w:r>
      <w:r w:rsidR="00F8384A" w:rsidRPr="009F43DE">
        <w:rPr>
          <w:lang w:val="fr-CH"/>
        </w:rPr>
        <w:t>’</w:t>
      </w:r>
      <w:r w:rsidRPr="009F43DE">
        <w:rPr>
          <w:lang w:val="fr-CH"/>
        </w:rPr>
        <w:t>action contre le tourisme sexuel impliquant des enfants et la maltraitance des enfants, l</w:t>
      </w:r>
      <w:r w:rsidR="00F8384A" w:rsidRPr="009F43DE">
        <w:rPr>
          <w:lang w:val="fr-CH"/>
        </w:rPr>
        <w:t>’</w:t>
      </w:r>
      <w:r w:rsidR="00B2634A" w:rsidRPr="009F43DE">
        <w:rPr>
          <w:lang w:val="fr-CH"/>
        </w:rPr>
        <w:t>Agence nationale de protection de l</w:t>
      </w:r>
      <w:r w:rsidR="00F8384A" w:rsidRPr="009F43DE">
        <w:rPr>
          <w:lang w:val="fr-CH"/>
        </w:rPr>
        <w:t>’</w:t>
      </w:r>
      <w:r w:rsidR="00B2634A" w:rsidRPr="009F43DE">
        <w:rPr>
          <w:lang w:val="fr-CH"/>
        </w:rPr>
        <w:t>enfance</w:t>
      </w:r>
      <w:r w:rsidRPr="009F43DE">
        <w:rPr>
          <w:lang w:val="fr-CH"/>
        </w:rPr>
        <w:t xml:space="preserve"> a demandé l</w:t>
      </w:r>
      <w:r w:rsidR="00F8384A" w:rsidRPr="009F43DE">
        <w:rPr>
          <w:lang w:val="fr-CH"/>
        </w:rPr>
        <w:t>’</w:t>
      </w:r>
      <w:r w:rsidRPr="009F43DE">
        <w:rPr>
          <w:lang w:val="fr-CH"/>
        </w:rPr>
        <w:t xml:space="preserve">appui des ambassades concernées pour obtenir des informations sur les registres des délinquants sexuels dans leur pays respectif. Cette opération internationale en réseau a </w:t>
      </w:r>
      <w:r w:rsidR="008937EF" w:rsidRPr="009F43DE">
        <w:rPr>
          <w:lang w:val="fr-CH"/>
        </w:rPr>
        <w:t xml:space="preserve">permis </w:t>
      </w:r>
      <w:r w:rsidR="00925144" w:rsidRPr="009F43DE">
        <w:rPr>
          <w:lang w:val="fr-CH"/>
        </w:rPr>
        <w:t>récemment</w:t>
      </w:r>
      <w:r w:rsidR="008937EF" w:rsidRPr="009F43DE">
        <w:rPr>
          <w:lang w:val="fr-CH"/>
        </w:rPr>
        <w:t xml:space="preserve"> d</w:t>
      </w:r>
      <w:r w:rsidR="00F8384A" w:rsidRPr="009F43DE">
        <w:rPr>
          <w:lang w:val="fr-CH"/>
        </w:rPr>
        <w:t>’</w:t>
      </w:r>
      <w:r w:rsidR="008937EF" w:rsidRPr="009F43DE">
        <w:rPr>
          <w:lang w:val="fr-CH"/>
        </w:rPr>
        <w:t>i</w:t>
      </w:r>
      <w:r w:rsidRPr="009F43DE">
        <w:rPr>
          <w:lang w:val="fr-CH"/>
        </w:rPr>
        <w:t>nterdire aux étrangers identifiés comme des pédophiles d</w:t>
      </w:r>
      <w:r w:rsidR="00F8384A" w:rsidRPr="009F43DE">
        <w:rPr>
          <w:lang w:val="fr-CH"/>
        </w:rPr>
        <w:t>’</w:t>
      </w:r>
      <w:r w:rsidRPr="009F43DE">
        <w:rPr>
          <w:lang w:val="fr-CH"/>
        </w:rPr>
        <w:t>entrer dans le pays. L</w:t>
      </w:r>
      <w:r w:rsidR="00F8384A" w:rsidRPr="009F43DE">
        <w:rPr>
          <w:lang w:val="fr-CH"/>
        </w:rPr>
        <w:t>’</w:t>
      </w:r>
      <w:r w:rsidR="00B2634A" w:rsidRPr="009F43DE">
        <w:rPr>
          <w:lang w:val="fr-CH"/>
        </w:rPr>
        <w:t>Agence</w:t>
      </w:r>
      <w:r w:rsidRPr="009F43DE">
        <w:rPr>
          <w:lang w:val="fr-CH"/>
        </w:rPr>
        <w:t xml:space="preserve"> a également demandé aux touristes et autres visiteurs </w:t>
      </w:r>
      <w:r w:rsidR="008937EF" w:rsidRPr="009F43DE">
        <w:rPr>
          <w:lang w:val="fr-CH"/>
        </w:rPr>
        <w:t>de tous les pays du monde venant à</w:t>
      </w:r>
      <w:r w:rsidRPr="009F43DE">
        <w:rPr>
          <w:lang w:val="fr-CH"/>
        </w:rPr>
        <w:t xml:space="preserve"> Sri Lanka </w:t>
      </w:r>
      <w:r w:rsidR="008937EF" w:rsidRPr="009F43DE">
        <w:rPr>
          <w:lang w:val="fr-CH"/>
        </w:rPr>
        <w:t xml:space="preserve">de </w:t>
      </w:r>
      <w:r w:rsidRPr="009F43DE">
        <w:rPr>
          <w:lang w:val="fr-CH"/>
        </w:rPr>
        <w:t xml:space="preserve">se joindre </w:t>
      </w:r>
      <w:r w:rsidR="008937EF" w:rsidRPr="009F43DE">
        <w:rPr>
          <w:lang w:val="fr-CH"/>
        </w:rPr>
        <w:t>aux efforts qu</w:t>
      </w:r>
      <w:r w:rsidR="00F8384A" w:rsidRPr="009F43DE">
        <w:rPr>
          <w:lang w:val="fr-CH"/>
        </w:rPr>
        <w:t>’</w:t>
      </w:r>
      <w:r w:rsidR="008937EF" w:rsidRPr="009F43DE">
        <w:rPr>
          <w:lang w:val="fr-CH"/>
        </w:rPr>
        <w:t xml:space="preserve">elle déployait pour </w:t>
      </w:r>
      <w:r w:rsidRPr="009F43DE">
        <w:rPr>
          <w:lang w:val="fr-CH"/>
        </w:rPr>
        <w:t xml:space="preserve">protéger les enfants en </w:t>
      </w:r>
      <w:r w:rsidR="008937EF" w:rsidRPr="009F43DE">
        <w:rPr>
          <w:lang w:val="fr-CH"/>
        </w:rPr>
        <w:t>faisant preuve de vigilance et en signalant</w:t>
      </w:r>
      <w:r w:rsidRPr="009F43DE">
        <w:rPr>
          <w:lang w:val="fr-CH"/>
        </w:rPr>
        <w:t xml:space="preserve"> tout comportement suspect, violent ou abusif envers un enfant qu</w:t>
      </w:r>
      <w:r w:rsidR="00F8384A" w:rsidRPr="009F43DE">
        <w:rPr>
          <w:lang w:val="fr-CH"/>
        </w:rPr>
        <w:t>’</w:t>
      </w:r>
      <w:r w:rsidRPr="009F43DE">
        <w:rPr>
          <w:lang w:val="fr-CH"/>
        </w:rPr>
        <w:t>ils p</w:t>
      </w:r>
      <w:r w:rsidR="008937EF" w:rsidRPr="009F43DE">
        <w:rPr>
          <w:lang w:val="fr-CH"/>
        </w:rPr>
        <w:t>ourraient observer</w:t>
      </w:r>
      <w:r w:rsidRPr="009F43DE">
        <w:rPr>
          <w:lang w:val="fr-CH"/>
        </w:rPr>
        <w:t xml:space="preserve"> au cours de leur </w:t>
      </w:r>
      <w:r w:rsidR="008937EF" w:rsidRPr="009F43DE">
        <w:rPr>
          <w:lang w:val="fr-CH"/>
        </w:rPr>
        <w:t>séjour</w:t>
      </w:r>
      <w:r w:rsidRPr="009F43DE">
        <w:rPr>
          <w:lang w:val="fr-CH"/>
        </w:rPr>
        <w:t xml:space="preserve">. </w:t>
      </w:r>
    </w:p>
    <w:p w:rsidR="00C77E1E" w:rsidRPr="009F43DE" w:rsidRDefault="00C77E1E" w:rsidP="00C77E1E">
      <w:pPr>
        <w:pStyle w:val="SingleTxtG"/>
        <w:rPr>
          <w:rFonts w:eastAsia="Calibri"/>
          <w:lang w:val="fr-CH"/>
        </w:rPr>
      </w:pPr>
      <w:r w:rsidRPr="005F283E">
        <w:rPr>
          <w:rFonts w:eastAsia="Calibri"/>
          <w:lang w:val="en-US"/>
        </w:rPr>
        <w:t>118.</w:t>
      </w:r>
      <w:r w:rsidRPr="005F283E">
        <w:rPr>
          <w:rFonts w:eastAsia="Calibri"/>
          <w:lang w:val="en-US"/>
        </w:rPr>
        <w:tab/>
      </w:r>
      <w:r w:rsidRPr="005F283E">
        <w:rPr>
          <w:lang w:val="en-US"/>
        </w:rPr>
        <w:t xml:space="preserve">En </w:t>
      </w:r>
      <w:r w:rsidR="008937EF" w:rsidRPr="005F283E">
        <w:rPr>
          <w:lang w:val="en-US"/>
        </w:rPr>
        <w:t xml:space="preserve">2013, Sri Lanka a été classée au premier rang dans le </w:t>
      </w:r>
      <w:r w:rsidR="00F8384A" w:rsidRPr="005F283E">
        <w:rPr>
          <w:lang w:val="en-US"/>
        </w:rPr>
        <w:t>«</w:t>
      </w:r>
      <w:r w:rsidR="008937EF" w:rsidRPr="005F283E">
        <w:rPr>
          <w:lang w:val="en-US"/>
        </w:rPr>
        <w:t>South Asian Report on the Child friendliness of Government</w:t>
      </w:r>
      <w:r w:rsidR="00F8384A" w:rsidRPr="005F283E">
        <w:rPr>
          <w:lang w:val="en-US"/>
        </w:rPr>
        <w:t>»</w:t>
      </w:r>
      <w:r w:rsidR="008937EF" w:rsidRPr="005F283E">
        <w:rPr>
          <w:lang w:val="en-US"/>
        </w:rPr>
        <w:t xml:space="preserve">. </w:t>
      </w:r>
      <w:r w:rsidR="00184CD2" w:rsidRPr="009F43DE">
        <w:rPr>
          <w:lang w:val="fr-CH"/>
        </w:rPr>
        <w:t>L</w:t>
      </w:r>
      <w:r w:rsidR="00F8384A" w:rsidRPr="009F43DE">
        <w:rPr>
          <w:lang w:val="fr-CH"/>
        </w:rPr>
        <w:t>’</w:t>
      </w:r>
      <w:r w:rsidR="00184CD2" w:rsidRPr="009F43DE">
        <w:rPr>
          <w:lang w:val="fr-CH"/>
        </w:rPr>
        <w:t>Agence nationale de protection de l</w:t>
      </w:r>
      <w:r w:rsidR="00F8384A" w:rsidRPr="009F43DE">
        <w:rPr>
          <w:lang w:val="fr-CH"/>
        </w:rPr>
        <w:t>’</w:t>
      </w:r>
      <w:r w:rsidR="00184CD2" w:rsidRPr="009F43DE">
        <w:rPr>
          <w:lang w:val="fr-CH"/>
        </w:rPr>
        <w:t xml:space="preserve">enfance, qui souhaite favoriser une société et des villages </w:t>
      </w:r>
      <w:r w:rsidR="00F8384A" w:rsidRPr="009F43DE">
        <w:rPr>
          <w:lang w:val="fr-CH"/>
        </w:rPr>
        <w:t>«</w:t>
      </w:r>
      <w:r w:rsidR="00184CD2" w:rsidRPr="009F43DE">
        <w:rPr>
          <w:lang w:val="fr-CH"/>
        </w:rPr>
        <w:t>amis des enfants</w:t>
      </w:r>
      <w:r w:rsidR="00F8384A" w:rsidRPr="009F43DE">
        <w:rPr>
          <w:lang w:val="fr-CH"/>
        </w:rPr>
        <w:t>»</w:t>
      </w:r>
      <w:r w:rsidR="00184CD2" w:rsidRPr="009F43DE">
        <w:rPr>
          <w:lang w:val="fr-CH"/>
        </w:rPr>
        <w:t xml:space="preserve"> de façon à renforcer le système de protection de l</w:t>
      </w:r>
      <w:r w:rsidR="00F8384A" w:rsidRPr="009F43DE">
        <w:rPr>
          <w:lang w:val="fr-CH"/>
        </w:rPr>
        <w:t>’</w:t>
      </w:r>
      <w:r w:rsidR="00184CD2" w:rsidRPr="009F43DE">
        <w:rPr>
          <w:lang w:val="fr-CH"/>
        </w:rPr>
        <w:t>enfance au niveau communautaire a mis en place l</w:t>
      </w:r>
      <w:r w:rsidR="00F8384A" w:rsidRPr="009F43DE">
        <w:rPr>
          <w:lang w:val="fr-CH"/>
        </w:rPr>
        <w:t>’</w:t>
      </w:r>
      <w:r w:rsidR="00736930">
        <w:rPr>
          <w:lang w:val="fr-CH"/>
        </w:rPr>
        <w:t>«</w:t>
      </w:r>
      <w:r w:rsidR="00184CD2" w:rsidRPr="009F43DE">
        <w:rPr>
          <w:lang w:val="fr-CH"/>
        </w:rPr>
        <w:t>Angel Network in Sri Lanka</w:t>
      </w:r>
      <w:r w:rsidR="00F8384A" w:rsidRPr="009F43DE">
        <w:rPr>
          <w:lang w:val="fr-CH"/>
        </w:rPr>
        <w:t>»</w:t>
      </w:r>
      <w:r w:rsidR="00184CD2" w:rsidRPr="009F43DE">
        <w:rPr>
          <w:lang w:val="fr-CH"/>
        </w:rPr>
        <w:t>, un réseau de sensibilisation à la protection de l</w:t>
      </w:r>
      <w:r w:rsidR="00F8384A" w:rsidRPr="009F43DE">
        <w:rPr>
          <w:lang w:val="fr-CH"/>
        </w:rPr>
        <w:t>’</w:t>
      </w:r>
      <w:r w:rsidR="00184CD2" w:rsidRPr="009F43DE">
        <w:rPr>
          <w:lang w:val="fr-CH"/>
        </w:rPr>
        <w:t>enfance qui marque la première étape d</w:t>
      </w:r>
      <w:r w:rsidR="00F8384A" w:rsidRPr="009F43DE">
        <w:rPr>
          <w:lang w:val="fr-CH"/>
        </w:rPr>
        <w:t>’</w:t>
      </w:r>
      <w:r w:rsidR="00184CD2" w:rsidRPr="009F43DE">
        <w:rPr>
          <w:lang w:val="fr-CH"/>
        </w:rPr>
        <w:t>un système de protection de l</w:t>
      </w:r>
      <w:r w:rsidR="00F8384A" w:rsidRPr="009F43DE">
        <w:rPr>
          <w:lang w:val="fr-CH"/>
        </w:rPr>
        <w:t>’</w:t>
      </w:r>
      <w:r w:rsidR="00184CD2" w:rsidRPr="009F43DE">
        <w:rPr>
          <w:lang w:val="fr-CH"/>
        </w:rPr>
        <w:t>enfance et de sensibilisation à la nécessité d</w:t>
      </w:r>
      <w:r w:rsidR="00F8384A" w:rsidRPr="009F43DE">
        <w:rPr>
          <w:lang w:val="fr-CH"/>
        </w:rPr>
        <w:t>’</w:t>
      </w:r>
      <w:r w:rsidR="00184CD2" w:rsidRPr="009F43DE">
        <w:rPr>
          <w:lang w:val="fr-CH"/>
        </w:rPr>
        <w:t>assurer la sécurité des enfants au niveau des villages. Tous les acteurs non</w:t>
      </w:r>
      <w:r w:rsidR="00736930">
        <w:rPr>
          <w:lang w:val="fr-CH"/>
        </w:rPr>
        <w:t xml:space="preserve"> </w:t>
      </w:r>
      <w:r w:rsidR="00184CD2" w:rsidRPr="009F43DE">
        <w:rPr>
          <w:lang w:val="fr-CH"/>
        </w:rPr>
        <w:t>étatiques ont été invités à participer au réseau afin de contribuer à l</w:t>
      </w:r>
      <w:r w:rsidR="00F8384A" w:rsidRPr="009F43DE">
        <w:rPr>
          <w:lang w:val="fr-CH"/>
        </w:rPr>
        <w:t>’</w:t>
      </w:r>
      <w:r w:rsidR="00184CD2" w:rsidRPr="009F43DE">
        <w:rPr>
          <w:lang w:val="fr-CH"/>
        </w:rPr>
        <w:t>élaboration de lois et de politiques en faveur des enfants et de veiller au respect des besoins des enfants dans les villages. L</w:t>
      </w:r>
      <w:r w:rsidR="00F8384A" w:rsidRPr="009F43DE">
        <w:rPr>
          <w:lang w:val="fr-CH"/>
        </w:rPr>
        <w:t>’</w:t>
      </w:r>
      <w:r w:rsidR="00184CD2" w:rsidRPr="009F43DE">
        <w:rPr>
          <w:lang w:val="fr-CH"/>
        </w:rPr>
        <w:t>un des principaux objectifs de ce programme est d</w:t>
      </w:r>
      <w:r w:rsidR="00F8384A" w:rsidRPr="009F43DE">
        <w:rPr>
          <w:lang w:val="fr-CH"/>
        </w:rPr>
        <w:t>’</w:t>
      </w:r>
      <w:r w:rsidR="00184CD2" w:rsidRPr="009F43DE">
        <w:rPr>
          <w:lang w:val="fr-CH"/>
        </w:rPr>
        <w:t>autonomiser les acteurs non</w:t>
      </w:r>
      <w:r w:rsidR="00736930">
        <w:rPr>
          <w:lang w:val="fr-CH"/>
        </w:rPr>
        <w:t xml:space="preserve"> </w:t>
      </w:r>
      <w:r w:rsidR="00092EFD" w:rsidRPr="009F43DE">
        <w:rPr>
          <w:lang w:val="fr-CH"/>
        </w:rPr>
        <w:t>étatiques, de les impliquer dans la protection des enfants contre toutes les formes de maltraitance et de forger des liens étroits avec les collectivités locales.</w:t>
      </w:r>
    </w:p>
    <w:p w:rsidR="00C77E1E" w:rsidRPr="009F43DE" w:rsidRDefault="00C77E1E" w:rsidP="00C77E1E">
      <w:pPr>
        <w:pStyle w:val="SingleTxtG"/>
        <w:rPr>
          <w:rFonts w:eastAsia="Calibri"/>
          <w:lang w:val="fr-CH"/>
        </w:rPr>
      </w:pPr>
      <w:r w:rsidRPr="009F43DE">
        <w:rPr>
          <w:rFonts w:eastAsia="Calibri"/>
          <w:lang w:val="fr-CH"/>
        </w:rPr>
        <w:t>119.</w:t>
      </w:r>
      <w:r w:rsidRPr="009F43DE">
        <w:rPr>
          <w:rFonts w:eastAsia="Calibri"/>
          <w:lang w:val="fr-CH"/>
        </w:rPr>
        <w:tab/>
      </w:r>
      <w:r w:rsidR="00092EFD" w:rsidRPr="009F43DE">
        <w:rPr>
          <w:rFonts w:eastAsia="Calibri"/>
          <w:lang w:val="fr-CH"/>
        </w:rPr>
        <w:t>Des</w:t>
      </w:r>
      <w:r w:rsidRPr="009F43DE">
        <w:rPr>
          <w:lang w:val="fr-CH"/>
        </w:rPr>
        <w:t xml:space="preserve"> </w:t>
      </w:r>
      <w:r w:rsidR="00092EFD" w:rsidRPr="009F43DE">
        <w:rPr>
          <w:lang w:val="fr-CH"/>
        </w:rPr>
        <w:t>actions</w:t>
      </w:r>
      <w:r w:rsidRPr="009F43DE">
        <w:rPr>
          <w:lang w:val="fr-CH"/>
        </w:rPr>
        <w:t xml:space="preserve"> de sensibilisation à l</w:t>
      </w:r>
      <w:r w:rsidR="00F8384A" w:rsidRPr="009F43DE">
        <w:rPr>
          <w:lang w:val="fr-CH"/>
        </w:rPr>
        <w:t>’</w:t>
      </w:r>
      <w:r w:rsidRPr="009F43DE">
        <w:rPr>
          <w:lang w:val="fr-CH"/>
        </w:rPr>
        <w:t>échelle d</w:t>
      </w:r>
      <w:r w:rsidR="00092EFD" w:rsidRPr="009F43DE">
        <w:rPr>
          <w:lang w:val="fr-CH"/>
        </w:rPr>
        <w:t>u pays</w:t>
      </w:r>
      <w:r w:rsidRPr="009F43DE">
        <w:rPr>
          <w:lang w:val="fr-CH"/>
        </w:rPr>
        <w:t xml:space="preserve"> ont continué </w:t>
      </w:r>
      <w:r w:rsidR="00092EFD" w:rsidRPr="009F43DE">
        <w:rPr>
          <w:lang w:val="fr-CH"/>
        </w:rPr>
        <w:t>d</w:t>
      </w:r>
      <w:r w:rsidR="00F8384A" w:rsidRPr="009F43DE">
        <w:rPr>
          <w:lang w:val="fr-CH"/>
        </w:rPr>
        <w:t>’</w:t>
      </w:r>
      <w:r w:rsidR="00092EFD" w:rsidRPr="009F43DE">
        <w:rPr>
          <w:lang w:val="fr-CH"/>
        </w:rPr>
        <w:t>être menées</w:t>
      </w:r>
      <w:r w:rsidRPr="009F43DE">
        <w:rPr>
          <w:lang w:val="fr-CH"/>
        </w:rPr>
        <w:t xml:space="preserve"> par l</w:t>
      </w:r>
      <w:r w:rsidR="00F8384A" w:rsidRPr="009F43DE">
        <w:rPr>
          <w:lang w:val="fr-CH"/>
        </w:rPr>
        <w:t>’</w:t>
      </w:r>
      <w:r w:rsidR="00092EFD" w:rsidRPr="009F43DE">
        <w:rPr>
          <w:lang w:val="fr-CH"/>
        </w:rPr>
        <w:t>Agence nationale de protection de l</w:t>
      </w:r>
      <w:r w:rsidR="00F8384A" w:rsidRPr="009F43DE">
        <w:rPr>
          <w:lang w:val="fr-CH"/>
        </w:rPr>
        <w:t>’</w:t>
      </w:r>
      <w:r w:rsidR="00092EFD" w:rsidRPr="009F43DE">
        <w:rPr>
          <w:lang w:val="fr-CH"/>
        </w:rPr>
        <w:t xml:space="preserve">enfance et la Police </w:t>
      </w:r>
      <w:r w:rsidRPr="009F43DE">
        <w:rPr>
          <w:lang w:val="fr-CH"/>
        </w:rPr>
        <w:t xml:space="preserve">du tourisme, </w:t>
      </w:r>
      <w:r w:rsidR="00092EFD" w:rsidRPr="009F43DE">
        <w:rPr>
          <w:lang w:val="fr-CH"/>
        </w:rPr>
        <w:t>qui se sont surtout intéressées aux</w:t>
      </w:r>
      <w:r w:rsidRPr="009F43DE">
        <w:rPr>
          <w:lang w:val="fr-CH"/>
        </w:rPr>
        <w:t xml:space="preserve"> enfants, </w:t>
      </w:r>
      <w:r w:rsidR="00092EFD" w:rsidRPr="009F43DE">
        <w:rPr>
          <w:lang w:val="fr-CH"/>
        </w:rPr>
        <w:t>aux</w:t>
      </w:r>
      <w:r w:rsidRPr="009F43DE">
        <w:rPr>
          <w:lang w:val="fr-CH"/>
        </w:rPr>
        <w:t xml:space="preserve"> guides de voyage et </w:t>
      </w:r>
      <w:r w:rsidR="00092EFD" w:rsidRPr="009F43DE">
        <w:rPr>
          <w:lang w:val="fr-CH"/>
        </w:rPr>
        <w:t xml:space="preserve">à </w:t>
      </w:r>
      <w:r w:rsidRPr="009F43DE">
        <w:rPr>
          <w:lang w:val="fr-CH"/>
        </w:rPr>
        <w:t>la communauté côtière proche des destinations touristiques afin de protéger les enfants contre l</w:t>
      </w:r>
      <w:r w:rsidR="00F8384A" w:rsidRPr="009F43DE">
        <w:rPr>
          <w:lang w:val="fr-CH"/>
        </w:rPr>
        <w:t>’</w:t>
      </w:r>
      <w:r w:rsidRPr="009F43DE">
        <w:rPr>
          <w:lang w:val="fr-CH"/>
        </w:rPr>
        <w:t>exploitation. Les agents de</w:t>
      </w:r>
      <w:r w:rsidR="00092EFD" w:rsidRPr="009F43DE">
        <w:rPr>
          <w:lang w:val="fr-CH"/>
        </w:rPr>
        <w:t xml:space="preserve"> la P</w:t>
      </w:r>
      <w:r w:rsidRPr="009F43DE">
        <w:rPr>
          <w:lang w:val="fr-CH"/>
        </w:rPr>
        <w:t xml:space="preserve">olice du tourisme </w:t>
      </w:r>
      <w:r w:rsidR="00092EFD" w:rsidRPr="009F43DE">
        <w:rPr>
          <w:lang w:val="fr-CH"/>
        </w:rPr>
        <w:t>se rendent</w:t>
      </w:r>
      <w:r w:rsidRPr="009F43DE">
        <w:rPr>
          <w:lang w:val="fr-CH"/>
        </w:rPr>
        <w:t xml:space="preserve"> régulièrement </w:t>
      </w:r>
      <w:r w:rsidR="00092EFD" w:rsidRPr="009F43DE">
        <w:rPr>
          <w:lang w:val="fr-CH"/>
        </w:rPr>
        <w:t xml:space="preserve">dans les </w:t>
      </w:r>
      <w:r w:rsidRPr="009F43DE">
        <w:rPr>
          <w:lang w:val="fr-CH"/>
        </w:rPr>
        <w:t>zones de destination touristique pour surveiller la situation.</w:t>
      </w:r>
    </w:p>
    <w:p w:rsidR="00C77E1E" w:rsidRPr="009F43DE" w:rsidRDefault="00C77E1E" w:rsidP="00C77E1E">
      <w:pPr>
        <w:pStyle w:val="SingleTxtG"/>
        <w:rPr>
          <w:rFonts w:eastAsia="Calibri"/>
          <w:lang w:val="fr-CH"/>
        </w:rPr>
      </w:pPr>
      <w:r w:rsidRPr="009F43DE">
        <w:rPr>
          <w:rFonts w:eastAsia="Calibri"/>
          <w:lang w:val="fr-CH"/>
        </w:rPr>
        <w:t>120.</w:t>
      </w:r>
      <w:r w:rsidRPr="009F43DE">
        <w:rPr>
          <w:rFonts w:eastAsia="Calibri"/>
          <w:lang w:val="fr-CH"/>
        </w:rPr>
        <w:tab/>
      </w:r>
      <w:r w:rsidRPr="009F43DE">
        <w:rPr>
          <w:lang w:val="fr-CH"/>
        </w:rPr>
        <w:t xml:space="preserve">En septembre 2011, </w:t>
      </w:r>
      <w:r w:rsidR="00A65370" w:rsidRPr="009F43DE">
        <w:rPr>
          <w:lang w:val="fr-CH"/>
        </w:rPr>
        <w:t xml:space="preserve">a été lancé </w:t>
      </w:r>
      <w:r w:rsidRPr="009F43DE">
        <w:rPr>
          <w:lang w:val="fr-CH"/>
        </w:rPr>
        <w:t xml:space="preserve">un projet spécial intitulé </w:t>
      </w:r>
      <w:r w:rsidR="00F8384A" w:rsidRPr="009F43DE">
        <w:rPr>
          <w:lang w:val="fr-CH"/>
        </w:rPr>
        <w:t>«</w:t>
      </w:r>
      <w:r w:rsidRPr="009F43DE">
        <w:rPr>
          <w:lang w:val="fr-CH"/>
        </w:rPr>
        <w:t xml:space="preserve">Projet national pour le traitement et le règlement rapides des </w:t>
      </w:r>
      <w:r w:rsidR="00A65370" w:rsidRPr="009F43DE">
        <w:rPr>
          <w:lang w:val="fr-CH"/>
        </w:rPr>
        <w:t xml:space="preserve">affaires </w:t>
      </w:r>
      <w:r w:rsidRPr="009F43DE">
        <w:rPr>
          <w:lang w:val="fr-CH"/>
        </w:rPr>
        <w:t xml:space="preserve">de violence </w:t>
      </w:r>
      <w:r w:rsidR="00A65370" w:rsidRPr="009F43DE">
        <w:rPr>
          <w:lang w:val="fr-CH"/>
        </w:rPr>
        <w:t>impliquant des</w:t>
      </w:r>
      <w:r w:rsidRPr="009F43DE">
        <w:rPr>
          <w:lang w:val="fr-CH"/>
        </w:rPr>
        <w:t xml:space="preserve"> enfants par le système de justice pénale d</w:t>
      </w:r>
      <w:r w:rsidR="00A65370" w:rsidRPr="009F43DE">
        <w:rPr>
          <w:lang w:val="fr-CH"/>
        </w:rPr>
        <w:t>e</w:t>
      </w:r>
      <w:r w:rsidRPr="009F43DE">
        <w:rPr>
          <w:lang w:val="fr-CH"/>
        </w:rPr>
        <w:t xml:space="preserve"> Sri Lanka et pour la prévention d</w:t>
      </w:r>
      <w:r w:rsidR="00A65370" w:rsidRPr="009F43DE">
        <w:rPr>
          <w:lang w:val="fr-CH"/>
        </w:rPr>
        <w:t>e la</w:t>
      </w:r>
      <w:r w:rsidRPr="009F43DE">
        <w:rPr>
          <w:lang w:val="fr-CH"/>
        </w:rPr>
        <w:t xml:space="preserve"> victimisation secondaire des </w:t>
      </w:r>
      <w:r w:rsidR="00A65370" w:rsidRPr="009F43DE">
        <w:rPr>
          <w:lang w:val="fr-CH"/>
        </w:rPr>
        <w:t>enfants victi</w:t>
      </w:r>
      <w:r w:rsidRPr="009F43DE">
        <w:rPr>
          <w:lang w:val="fr-CH"/>
        </w:rPr>
        <w:t xml:space="preserve">mes de </w:t>
      </w:r>
      <w:r w:rsidR="00A65370" w:rsidRPr="009F43DE">
        <w:rPr>
          <w:lang w:val="fr-CH"/>
        </w:rPr>
        <w:t>maltraitance</w:t>
      </w:r>
      <w:r w:rsidR="00F8384A" w:rsidRPr="009F43DE">
        <w:rPr>
          <w:lang w:val="fr-CH"/>
        </w:rPr>
        <w:t>»</w:t>
      </w:r>
      <w:r w:rsidRPr="009F43DE">
        <w:rPr>
          <w:lang w:val="fr-CH"/>
        </w:rPr>
        <w:t xml:space="preserve">. Les services du Procureur général, le Ministère de la justice, la police et le Ministère de la santé </w:t>
      </w:r>
      <w:r w:rsidR="00A65370" w:rsidRPr="009F43DE">
        <w:rPr>
          <w:lang w:val="fr-CH"/>
        </w:rPr>
        <w:t>collaborent à la réalisation de ce projet</w:t>
      </w:r>
      <w:r w:rsidRPr="009F43DE">
        <w:rPr>
          <w:lang w:val="fr-CH"/>
        </w:rPr>
        <w:t xml:space="preserve"> commun, avec l</w:t>
      </w:r>
      <w:r w:rsidR="00F8384A" w:rsidRPr="009F43DE">
        <w:rPr>
          <w:lang w:val="fr-CH"/>
        </w:rPr>
        <w:t>’</w:t>
      </w:r>
      <w:r w:rsidRPr="009F43DE">
        <w:rPr>
          <w:lang w:val="fr-CH"/>
        </w:rPr>
        <w:t>aide de l</w:t>
      </w:r>
      <w:r w:rsidR="00F8384A" w:rsidRPr="009F43DE">
        <w:rPr>
          <w:lang w:val="fr-CH"/>
        </w:rPr>
        <w:t>’</w:t>
      </w:r>
      <w:r w:rsidRPr="009F43DE">
        <w:rPr>
          <w:lang w:val="fr-CH"/>
        </w:rPr>
        <w:t>UNICEF</w:t>
      </w:r>
      <w:r w:rsidRPr="009F43DE">
        <w:rPr>
          <w:rStyle w:val="FootnoteReference"/>
          <w:rFonts w:eastAsia="Calibri"/>
          <w:lang w:val="fr-CH"/>
        </w:rPr>
        <w:footnoteReference w:id="10"/>
      </w:r>
      <w:r w:rsidR="00F8384A" w:rsidRPr="009F43DE">
        <w:rPr>
          <w:rFonts w:eastAsia="Calibri"/>
          <w:lang w:val="fr-CH"/>
        </w:rPr>
        <w:t>.</w:t>
      </w:r>
      <w:r w:rsidRPr="009F43DE">
        <w:rPr>
          <w:rFonts w:eastAsia="Calibri"/>
          <w:lang w:val="fr-CH"/>
        </w:rPr>
        <w:t xml:space="preserve"> </w:t>
      </w:r>
      <w:r w:rsidRPr="009F43DE">
        <w:rPr>
          <w:lang w:val="fr-CH"/>
        </w:rPr>
        <w:t xml:space="preserve">Le </w:t>
      </w:r>
      <w:r w:rsidR="0065664E" w:rsidRPr="009F43DE">
        <w:rPr>
          <w:lang w:val="fr-CH"/>
        </w:rPr>
        <w:t>champ d</w:t>
      </w:r>
      <w:r w:rsidR="00F8384A" w:rsidRPr="009F43DE">
        <w:rPr>
          <w:lang w:val="fr-CH"/>
        </w:rPr>
        <w:t>’</w:t>
      </w:r>
      <w:r w:rsidR="0065664E" w:rsidRPr="009F43DE">
        <w:rPr>
          <w:lang w:val="fr-CH"/>
        </w:rPr>
        <w:t xml:space="preserve">application du </w:t>
      </w:r>
      <w:r w:rsidRPr="009F43DE">
        <w:rPr>
          <w:lang w:val="fr-CH"/>
        </w:rPr>
        <w:t>projet pilote</w:t>
      </w:r>
      <w:r w:rsidR="0065664E" w:rsidRPr="009F43DE">
        <w:rPr>
          <w:lang w:val="fr-CH"/>
        </w:rPr>
        <w:t>,</w:t>
      </w:r>
      <w:r w:rsidRPr="009F43DE">
        <w:rPr>
          <w:lang w:val="fr-CH"/>
        </w:rPr>
        <w:t xml:space="preserve"> </w:t>
      </w:r>
      <w:r w:rsidR="0065664E" w:rsidRPr="009F43DE">
        <w:rPr>
          <w:lang w:val="fr-CH"/>
        </w:rPr>
        <w:t xml:space="preserve">lancé </w:t>
      </w:r>
      <w:r w:rsidRPr="009F43DE">
        <w:rPr>
          <w:lang w:val="fr-CH"/>
        </w:rPr>
        <w:t xml:space="preserve">en octobre 2011 </w:t>
      </w:r>
      <w:r w:rsidR="0065664E" w:rsidRPr="009F43DE">
        <w:rPr>
          <w:lang w:val="fr-CH"/>
        </w:rPr>
        <w:t>au tribunal supérieur de</w:t>
      </w:r>
      <w:r w:rsidRPr="009F43DE">
        <w:rPr>
          <w:lang w:val="fr-CH"/>
        </w:rPr>
        <w:t xml:space="preserve"> Gampaha</w:t>
      </w:r>
      <w:r w:rsidR="0065664E" w:rsidRPr="009F43DE">
        <w:rPr>
          <w:lang w:val="fr-CH"/>
        </w:rPr>
        <w:t xml:space="preserve">, est désormais </w:t>
      </w:r>
      <w:r w:rsidRPr="009F43DE">
        <w:rPr>
          <w:lang w:val="fr-CH"/>
        </w:rPr>
        <w:t xml:space="preserve">étendu aux </w:t>
      </w:r>
      <w:r w:rsidR="0065664E" w:rsidRPr="009F43DE">
        <w:rPr>
          <w:lang w:val="fr-CH"/>
        </w:rPr>
        <w:t xml:space="preserve">juridictions supérieures des districts </w:t>
      </w:r>
      <w:r w:rsidRPr="009F43DE">
        <w:rPr>
          <w:lang w:val="fr-CH"/>
        </w:rPr>
        <w:t xml:space="preserve">de Polonnaruwa, </w:t>
      </w:r>
      <w:r w:rsidR="0065664E" w:rsidRPr="009F43DE">
        <w:rPr>
          <w:lang w:val="fr-CH"/>
        </w:rPr>
        <w:t>d</w:t>
      </w:r>
      <w:r w:rsidR="00F8384A" w:rsidRPr="009F43DE">
        <w:rPr>
          <w:lang w:val="fr-CH"/>
        </w:rPr>
        <w:t>’</w:t>
      </w:r>
      <w:r w:rsidRPr="009F43DE">
        <w:rPr>
          <w:lang w:val="fr-CH"/>
        </w:rPr>
        <w:t xml:space="preserve">Anuradhapura, </w:t>
      </w:r>
      <w:r w:rsidR="0065664E" w:rsidRPr="009F43DE">
        <w:rPr>
          <w:lang w:val="fr-CH"/>
        </w:rPr>
        <w:t xml:space="preserve">de </w:t>
      </w:r>
      <w:r w:rsidRPr="009F43DE">
        <w:rPr>
          <w:lang w:val="fr-CH"/>
        </w:rPr>
        <w:t xml:space="preserve">Batticaloa, </w:t>
      </w:r>
      <w:r w:rsidR="0065664E" w:rsidRPr="009F43DE">
        <w:rPr>
          <w:lang w:val="fr-CH"/>
        </w:rPr>
        <w:t xml:space="preserve">de </w:t>
      </w:r>
      <w:r w:rsidRPr="009F43DE">
        <w:rPr>
          <w:lang w:val="fr-CH"/>
        </w:rPr>
        <w:t xml:space="preserve">Jaffna, </w:t>
      </w:r>
      <w:r w:rsidR="0065664E" w:rsidRPr="009F43DE">
        <w:rPr>
          <w:lang w:val="fr-CH"/>
        </w:rPr>
        <w:t xml:space="preserve">de </w:t>
      </w:r>
      <w:r w:rsidRPr="009F43DE">
        <w:rPr>
          <w:lang w:val="fr-CH"/>
        </w:rPr>
        <w:t xml:space="preserve">Ratnapura et </w:t>
      </w:r>
      <w:r w:rsidR="0065664E" w:rsidRPr="009F43DE">
        <w:rPr>
          <w:lang w:val="fr-CH"/>
        </w:rPr>
        <w:t>d</w:t>
      </w:r>
      <w:r w:rsidR="00F8384A" w:rsidRPr="009F43DE">
        <w:rPr>
          <w:lang w:val="fr-CH"/>
        </w:rPr>
        <w:t>’</w:t>
      </w:r>
      <w:r w:rsidRPr="009F43DE">
        <w:rPr>
          <w:lang w:val="fr-CH"/>
        </w:rPr>
        <w:t xml:space="preserve">Embilipitiya. </w:t>
      </w:r>
      <w:r w:rsidR="00F8465A" w:rsidRPr="009F43DE">
        <w:rPr>
          <w:lang w:val="fr-CH"/>
        </w:rPr>
        <w:t>On envisage également de l</w:t>
      </w:r>
      <w:r w:rsidR="00F8384A" w:rsidRPr="009F43DE">
        <w:rPr>
          <w:lang w:val="fr-CH"/>
        </w:rPr>
        <w:t>’</w:t>
      </w:r>
      <w:r w:rsidR="00F8465A" w:rsidRPr="009F43DE">
        <w:rPr>
          <w:lang w:val="fr-CH"/>
        </w:rPr>
        <w:t>étendre à</w:t>
      </w:r>
      <w:r w:rsidRPr="009F43DE">
        <w:rPr>
          <w:lang w:val="fr-CH"/>
        </w:rPr>
        <w:t xml:space="preserve"> quatre autres </w:t>
      </w:r>
      <w:r w:rsidR="00F8465A" w:rsidRPr="009F43DE">
        <w:rPr>
          <w:lang w:val="fr-CH"/>
        </w:rPr>
        <w:t>tribunaux supérieurs</w:t>
      </w:r>
      <w:r w:rsidR="00F8384A" w:rsidRPr="009F43DE">
        <w:rPr>
          <w:lang w:val="fr-CH"/>
        </w:rPr>
        <w:t>:</w:t>
      </w:r>
      <w:r w:rsidR="00F8465A" w:rsidRPr="009F43DE">
        <w:rPr>
          <w:lang w:val="fr-CH"/>
        </w:rPr>
        <w:t xml:space="preserve"> ceux de</w:t>
      </w:r>
      <w:r w:rsidRPr="009F43DE">
        <w:rPr>
          <w:lang w:val="fr-CH"/>
        </w:rPr>
        <w:t xml:space="preserve"> Kandy, Nuwara Eliya, Kurunegala et Badulla.</w:t>
      </w:r>
      <w:r w:rsidR="00C91A83">
        <w:rPr>
          <w:rFonts w:eastAsia="Calibri"/>
          <w:lang w:val="fr-CH"/>
        </w:rPr>
        <w:t xml:space="preserve"> </w:t>
      </w:r>
    </w:p>
    <w:p w:rsidR="00C82061" w:rsidRPr="009F43DE" w:rsidRDefault="00C77E1E" w:rsidP="00C82061">
      <w:pPr>
        <w:pStyle w:val="H23G"/>
        <w:rPr>
          <w:lang w:val="fr-CH"/>
        </w:rPr>
      </w:pPr>
      <w:r w:rsidRPr="009F43DE">
        <w:rPr>
          <w:lang w:val="fr-CH"/>
        </w:rPr>
        <w:tab/>
      </w:r>
      <w:r w:rsidRPr="009F43DE">
        <w:rPr>
          <w:lang w:val="fr-CH"/>
        </w:rPr>
        <w:tab/>
      </w:r>
      <w:r w:rsidR="00C82061" w:rsidRPr="009F43DE">
        <w:rPr>
          <w:lang w:val="fr-CH"/>
        </w:rPr>
        <w:t>Accès à l</w:t>
      </w:r>
      <w:r w:rsidR="00F8384A" w:rsidRPr="009F43DE">
        <w:rPr>
          <w:lang w:val="fr-CH"/>
        </w:rPr>
        <w:t>’</w:t>
      </w:r>
      <w:r w:rsidR="00C82061" w:rsidRPr="009F43DE">
        <w:rPr>
          <w:lang w:val="fr-CH"/>
        </w:rPr>
        <w:t xml:space="preserve">aide alimentaire humanitaire pendant le conflit interne </w:t>
      </w:r>
      <w:r w:rsidR="006046CE">
        <w:rPr>
          <w:lang w:val="fr-CH"/>
        </w:rPr>
        <w:t>(</w:t>
      </w:r>
      <w:r w:rsidR="00C82061" w:rsidRPr="009F43DE">
        <w:rPr>
          <w:lang w:val="fr-CH"/>
        </w:rPr>
        <w:t>par</w:t>
      </w:r>
      <w:r w:rsidR="006046CE">
        <w:rPr>
          <w:lang w:val="fr-CH"/>
        </w:rPr>
        <w:t xml:space="preserve">. </w:t>
      </w:r>
      <w:r w:rsidR="00C82061" w:rsidRPr="009F43DE">
        <w:rPr>
          <w:lang w:val="fr-CH"/>
        </w:rPr>
        <w:t>28</w:t>
      </w:r>
      <w:r w:rsidR="006046CE">
        <w:rPr>
          <w:lang w:val="fr-CH"/>
        </w:rPr>
        <w:t>)</w:t>
      </w:r>
    </w:p>
    <w:p w:rsidR="00C82061" w:rsidRPr="009F43DE" w:rsidRDefault="00C82061" w:rsidP="00C82061">
      <w:pPr>
        <w:pStyle w:val="SingleTxtG"/>
        <w:rPr>
          <w:rFonts w:eastAsia="Calibri"/>
          <w:lang w:val="fr-CH"/>
        </w:rPr>
      </w:pPr>
      <w:r w:rsidRPr="009F43DE">
        <w:rPr>
          <w:rFonts w:eastAsia="Calibri"/>
          <w:lang w:val="fr-CH"/>
        </w:rPr>
        <w:t>121.</w:t>
      </w:r>
      <w:r w:rsidRPr="009F43DE">
        <w:rPr>
          <w:rFonts w:eastAsia="Calibri"/>
          <w:lang w:val="fr-CH"/>
        </w:rPr>
        <w:tab/>
      </w:r>
      <w:r w:rsidRPr="009F43DE">
        <w:rPr>
          <w:lang w:val="fr-CH"/>
        </w:rPr>
        <w:t>Le Comité consultatif sur l</w:t>
      </w:r>
      <w:r w:rsidR="00F8384A" w:rsidRPr="009F43DE">
        <w:rPr>
          <w:lang w:val="fr-CH"/>
        </w:rPr>
        <w:t>’</w:t>
      </w:r>
      <w:r w:rsidRPr="009F43DE">
        <w:rPr>
          <w:lang w:val="fr-CH"/>
        </w:rPr>
        <w:t>assistance humanitaire</w:t>
      </w:r>
      <w:r w:rsidRPr="009F43DE">
        <w:rPr>
          <w:rStyle w:val="FootnoteReference"/>
          <w:lang w:val="fr-CH"/>
        </w:rPr>
        <w:footnoteReference w:id="11"/>
      </w:r>
      <w:r w:rsidRPr="009F43DE">
        <w:rPr>
          <w:lang w:val="fr-CH"/>
        </w:rPr>
        <w:t xml:space="preserve"> a été le principal mécanisme institutionnel chargé de suivre les questions liées à la sécurité humaine des civils dans les provinces du nord et de l</w:t>
      </w:r>
      <w:r w:rsidR="00F8384A" w:rsidRPr="009F43DE">
        <w:rPr>
          <w:lang w:val="fr-CH"/>
        </w:rPr>
        <w:t>’</w:t>
      </w:r>
      <w:r w:rsidRPr="009F43DE">
        <w:rPr>
          <w:lang w:val="fr-CH"/>
        </w:rPr>
        <w:t>est du pays au cours de l</w:t>
      </w:r>
      <w:r w:rsidR="00F8384A" w:rsidRPr="009F43DE">
        <w:rPr>
          <w:lang w:val="fr-CH"/>
        </w:rPr>
        <w:t>’</w:t>
      </w:r>
      <w:r w:rsidRPr="009F43DE">
        <w:rPr>
          <w:lang w:val="fr-CH"/>
        </w:rPr>
        <w:t xml:space="preserve">opération humanitaire. Ce </w:t>
      </w:r>
      <w:r w:rsidR="006046CE">
        <w:rPr>
          <w:lang w:val="fr-CH"/>
        </w:rPr>
        <w:t>c</w:t>
      </w:r>
      <w:r w:rsidR="006046CE" w:rsidRPr="009F43DE">
        <w:rPr>
          <w:lang w:val="fr-CH"/>
        </w:rPr>
        <w:t xml:space="preserve">omité </w:t>
      </w:r>
      <w:r w:rsidR="00925144" w:rsidRPr="009F43DE">
        <w:rPr>
          <w:lang w:val="fr-CH"/>
        </w:rPr>
        <w:t>était</w:t>
      </w:r>
      <w:r w:rsidRPr="009F43DE">
        <w:rPr>
          <w:lang w:val="fr-CH"/>
        </w:rPr>
        <w:t xml:space="preserve"> composé de nombreuses parties prenantes nationales et internationales</w:t>
      </w:r>
      <w:r w:rsidR="00925144" w:rsidRPr="009F43DE">
        <w:rPr>
          <w:lang w:val="fr-CH"/>
        </w:rPr>
        <w:t>,</w:t>
      </w:r>
      <w:r w:rsidRPr="009F43DE">
        <w:rPr>
          <w:lang w:val="fr-CH"/>
        </w:rPr>
        <w:t xml:space="preserve"> comme les ambassadeurs impliqués dans le processus de paix</w:t>
      </w:r>
      <w:r w:rsidR="00925144" w:rsidRPr="009F43DE">
        <w:rPr>
          <w:lang w:val="fr-CH"/>
        </w:rPr>
        <w:t xml:space="preserve"> et</w:t>
      </w:r>
      <w:r w:rsidRPr="009F43DE">
        <w:rPr>
          <w:lang w:val="fr-CH"/>
        </w:rPr>
        <w:t xml:space="preserve"> les responsables des ONG internationales et nationales. Il s</w:t>
      </w:r>
      <w:r w:rsidR="00F8384A" w:rsidRPr="009F43DE">
        <w:rPr>
          <w:lang w:val="fr-CH"/>
        </w:rPr>
        <w:t>’</w:t>
      </w:r>
      <w:r w:rsidRPr="009F43DE">
        <w:rPr>
          <w:lang w:val="fr-CH"/>
        </w:rPr>
        <w:t>est réuni régulièrement et a examiné les questions relatives à l</w:t>
      </w:r>
      <w:r w:rsidR="00F8384A" w:rsidRPr="009F43DE">
        <w:rPr>
          <w:lang w:val="fr-CH"/>
        </w:rPr>
        <w:t>’</w:t>
      </w:r>
      <w:r w:rsidRPr="009F43DE">
        <w:rPr>
          <w:lang w:val="fr-CH"/>
        </w:rPr>
        <w:t>aide humanitaire. Les gouvernements successifs de Sri Lanka ont continué d</w:t>
      </w:r>
      <w:r w:rsidR="00F8384A" w:rsidRPr="009F43DE">
        <w:rPr>
          <w:lang w:val="fr-CH"/>
        </w:rPr>
        <w:t>’</w:t>
      </w:r>
      <w:r w:rsidRPr="009F43DE">
        <w:rPr>
          <w:lang w:val="fr-CH"/>
        </w:rPr>
        <w:t xml:space="preserve">assurer </w:t>
      </w:r>
      <w:r w:rsidR="00925144" w:rsidRPr="009F43DE">
        <w:rPr>
          <w:lang w:val="fr-CH"/>
        </w:rPr>
        <w:t xml:space="preserve">régulièrement </w:t>
      </w:r>
      <w:r w:rsidRPr="009F43DE">
        <w:rPr>
          <w:lang w:val="fr-CH"/>
        </w:rPr>
        <w:t>la fourniture de denrées alimentaires et de services essentiels, y compris les services d</w:t>
      </w:r>
      <w:r w:rsidR="00F8384A" w:rsidRPr="009F43DE">
        <w:rPr>
          <w:lang w:val="fr-CH"/>
        </w:rPr>
        <w:t>’</w:t>
      </w:r>
      <w:r w:rsidRPr="009F43DE">
        <w:rPr>
          <w:lang w:val="fr-CH"/>
        </w:rPr>
        <w:t>éducation et de santé</w:t>
      </w:r>
      <w:r w:rsidR="00925144" w:rsidRPr="009F43DE">
        <w:rPr>
          <w:lang w:val="fr-CH"/>
        </w:rPr>
        <w:t>,</w:t>
      </w:r>
      <w:r w:rsidRPr="009F43DE">
        <w:rPr>
          <w:lang w:val="fr-CH"/>
        </w:rPr>
        <w:t xml:space="preserve"> dans les zones contrôlées par les Tigres de libération de l</w:t>
      </w:r>
      <w:r w:rsidR="00F8384A" w:rsidRPr="009F43DE">
        <w:rPr>
          <w:lang w:val="fr-CH"/>
        </w:rPr>
        <w:t>’</w:t>
      </w:r>
      <w:r w:rsidRPr="009F43DE">
        <w:rPr>
          <w:lang w:val="fr-CH"/>
        </w:rPr>
        <w:t>Eelam tamoul pendant toute la durée de ce long conflit. Les paragraphes 4.143</w:t>
      </w:r>
      <w:r w:rsidR="006046CE">
        <w:rPr>
          <w:lang w:val="fr-CH"/>
        </w:rPr>
        <w:t xml:space="preserve"> à </w:t>
      </w:r>
      <w:r w:rsidRPr="009F43DE">
        <w:rPr>
          <w:lang w:val="fr-CH"/>
        </w:rPr>
        <w:t xml:space="preserve">4.213 du rapport de la Commission des enseignements et de la réconciliation fournissent une vue complète et détaillée des services essentiels </w:t>
      </w:r>
      <w:r w:rsidR="00925144" w:rsidRPr="009F43DE">
        <w:rPr>
          <w:lang w:val="fr-CH"/>
        </w:rPr>
        <w:t xml:space="preserve">fournis </w:t>
      </w:r>
      <w:r w:rsidRPr="009F43DE">
        <w:rPr>
          <w:lang w:val="fr-CH"/>
        </w:rPr>
        <w:t>dans ces zones. Même si la situation a été difficile et compliquée, le Gouvernement sri</w:t>
      </w:r>
      <w:r w:rsidR="00925144" w:rsidRPr="009F43DE">
        <w:rPr>
          <w:lang w:val="fr-CH"/>
        </w:rPr>
        <w:t>-</w:t>
      </w:r>
      <w:r w:rsidRPr="009F43DE">
        <w:rPr>
          <w:lang w:val="fr-CH"/>
        </w:rPr>
        <w:t xml:space="preserve">lankais a assuré la </w:t>
      </w:r>
      <w:r w:rsidR="00925144" w:rsidRPr="009F43DE">
        <w:rPr>
          <w:lang w:val="fr-CH"/>
        </w:rPr>
        <w:t>mise à disposition</w:t>
      </w:r>
      <w:r w:rsidRPr="009F43DE">
        <w:rPr>
          <w:lang w:val="fr-CH"/>
        </w:rPr>
        <w:t xml:space="preserve"> de biens de première nécessité à la communauté qui en avait besoin. Les dossiers d</w:t>
      </w:r>
      <w:r w:rsidR="00F8384A" w:rsidRPr="009F43DE">
        <w:rPr>
          <w:lang w:val="fr-CH"/>
        </w:rPr>
        <w:t>’</w:t>
      </w:r>
      <w:r w:rsidRPr="009F43DE">
        <w:rPr>
          <w:lang w:val="fr-CH"/>
        </w:rPr>
        <w:t>organismes internationaux</w:t>
      </w:r>
      <w:r w:rsidR="00925144" w:rsidRPr="009F43DE">
        <w:rPr>
          <w:lang w:val="fr-CH"/>
        </w:rPr>
        <w:t>,</w:t>
      </w:r>
      <w:r w:rsidRPr="009F43DE">
        <w:rPr>
          <w:lang w:val="fr-CH"/>
        </w:rPr>
        <w:t xml:space="preserve"> comme le Programme alimentaire mondial (PAM) et le Comité international de la Croix-Rouge (CICR)</w:t>
      </w:r>
      <w:r w:rsidR="00925144" w:rsidRPr="009F43DE">
        <w:rPr>
          <w:lang w:val="fr-CH"/>
        </w:rPr>
        <w:t xml:space="preserve">, sont là pour en </w:t>
      </w:r>
      <w:r w:rsidRPr="009F43DE">
        <w:rPr>
          <w:lang w:val="fr-CH"/>
        </w:rPr>
        <w:t>témoigne</w:t>
      </w:r>
      <w:r w:rsidR="00925144" w:rsidRPr="009F43DE">
        <w:rPr>
          <w:lang w:val="fr-CH"/>
        </w:rPr>
        <w:t>r</w:t>
      </w:r>
      <w:r w:rsidRPr="009F43DE">
        <w:rPr>
          <w:lang w:val="fr-CH"/>
        </w:rPr>
        <w:t>. Même pendant les derni</w:t>
      </w:r>
      <w:r w:rsidR="00925144" w:rsidRPr="009F43DE">
        <w:rPr>
          <w:lang w:val="fr-CH"/>
        </w:rPr>
        <w:t>ères phases</w:t>
      </w:r>
      <w:r w:rsidRPr="009F43DE">
        <w:rPr>
          <w:lang w:val="fr-CH"/>
        </w:rPr>
        <w:t xml:space="preserve"> de l</w:t>
      </w:r>
      <w:r w:rsidR="00F8384A" w:rsidRPr="009F43DE">
        <w:rPr>
          <w:lang w:val="fr-CH"/>
        </w:rPr>
        <w:t>’</w:t>
      </w:r>
      <w:r w:rsidRPr="009F43DE">
        <w:rPr>
          <w:lang w:val="fr-CH"/>
        </w:rPr>
        <w:t>opération humanitaire, lorsque la population piégée ne pouvait pas être atteint</w:t>
      </w:r>
      <w:r w:rsidR="00925144" w:rsidRPr="009F43DE">
        <w:rPr>
          <w:lang w:val="fr-CH"/>
        </w:rPr>
        <w:t>e</w:t>
      </w:r>
      <w:r w:rsidRPr="009F43DE">
        <w:rPr>
          <w:lang w:val="fr-CH"/>
        </w:rPr>
        <w:t xml:space="preserve"> par la route, </w:t>
      </w:r>
      <w:r w:rsidR="00346E50" w:rsidRPr="009F43DE">
        <w:rPr>
          <w:lang w:val="fr-CH"/>
        </w:rPr>
        <w:t>d</w:t>
      </w:r>
      <w:r w:rsidRPr="009F43DE">
        <w:rPr>
          <w:lang w:val="fr-CH"/>
        </w:rPr>
        <w:t xml:space="preserve">es fournitures ont été </w:t>
      </w:r>
      <w:r w:rsidR="00925144" w:rsidRPr="009F43DE">
        <w:rPr>
          <w:lang w:val="fr-CH"/>
        </w:rPr>
        <w:t>acheminées</w:t>
      </w:r>
      <w:r w:rsidRPr="009F43DE">
        <w:rPr>
          <w:lang w:val="fr-CH"/>
        </w:rPr>
        <w:t xml:space="preserve"> par un bateau du CICR</w:t>
      </w:r>
      <w:r w:rsidR="00925144" w:rsidRPr="009F43DE">
        <w:rPr>
          <w:lang w:val="fr-CH"/>
        </w:rPr>
        <w:t>,</w:t>
      </w:r>
      <w:r w:rsidRPr="009F43DE">
        <w:rPr>
          <w:lang w:val="fr-CH"/>
        </w:rPr>
        <w:t xml:space="preserve"> escorté par la marine d</w:t>
      </w:r>
      <w:r w:rsidR="00925144" w:rsidRPr="009F43DE">
        <w:rPr>
          <w:lang w:val="fr-CH"/>
        </w:rPr>
        <w:t>e</w:t>
      </w:r>
      <w:r w:rsidRPr="009F43DE">
        <w:rPr>
          <w:lang w:val="fr-CH"/>
        </w:rPr>
        <w:t xml:space="preserve"> Sri Lanka.</w:t>
      </w:r>
    </w:p>
    <w:p w:rsidR="00C82061" w:rsidRPr="009F43DE" w:rsidRDefault="00C82061" w:rsidP="00C82061">
      <w:pPr>
        <w:pStyle w:val="H23G"/>
        <w:rPr>
          <w:lang w:val="fr-CH"/>
        </w:rPr>
      </w:pPr>
      <w:r w:rsidRPr="009F43DE">
        <w:rPr>
          <w:lang w:val="fr-CH"/>
        </w:rPr>
        <w:tab/>
      </w:r>
      <w:r w:rsidRPr="009F43DE">
        <w:rPr>
          <w:lang w:val="fr-CH"/>
        </w:rPr>
        <w:tab/>
        <w:t xml:space="preserve">Exercice des droits économiques, sociaux et culturels des personnes déplacées </w:t>
      </w:r>
      <w:r w:rsidR="00F8384A" w:rsidRPr="009F43DE">
        <w:rPr>
          <w:lang w:val="fr-CH"/>
        </w:rPr>
        <w:t>(</w:t>
      </w:r>
      <w:r w:rsidRPr="009F43DE">
        <w:rPr>
          <w:lang w:val="fr-CH"/>
        </w:rPr>
        <w:t>par</w:t>
      </w:r>
      <w:r w:rsidR="00F8384A" w:rsidRPr="009F43DE">
        <w:rPr>
          <w:lang w:val="fr-CH"/>
        </w:rPr>
        <w:t>. </w:t>
      </w:r>
      <w:r w:rsidRPr="009F43DE">
        <w:rPr>
          <w:lang w:val="fr-CH"/>
        </w:rPr>
        <w:t>29</w:t>
      </w:r>
      <w:r w:rsidR="00F8384A" w:rsidRPr="009F43DE">
        <w:rPr>
          <w:lang w:val="fr-CH"/>
        </w:rPr>
        <w:t>)</w:t>
      </w:r>
      <w:r w:rsidRPr="009F43DE">
        <w:rPr>
          <w:lang w:val="fr-CH"/>
        </w:rPr>
        <w:t xml:space="preserve"> </w:t>
      </w:r>
    </w:p>
    <w:p w:rsidR="00C82061" w:rsidRPr="009F43DE" w:rsidRDefault="00C82061" w:rsidP="00C82061">
      <w:pPr>
        <w:pStyle w:val="SingleTxtG"/>
        <w:rPr>
          <w:lang w:val="fr-CH"/>
        </w:rPr>
      </w:pPr>
      <w:r w:rsidRPr="009F43DE">
        <w:rPr>
          <w:lang w:val="fr-CH"/>
        </w:rPr>
        <w:t>122.</w:t>
      </w:r>
      <w:r w:rsidRPr="009F43DE">
        <w:rPr>
          <w:lang w:val="fr-CH"/>
        </w:rPr>
        <w:tab/>
        <w:t>Une fois achevées les opérations militaires contre les Tigres de libération de l</w:t>
      </w:r>
      <w:r w:rsidR="00F8384A" w:rsidRPr="009F43DE">
        <w:rPr>
          <w:lang w:val="fr-CH"/>
        </w:rPr>
        <w:t>’</w:t>
      </w:r>
      <w:r w:rsidRPr="009F43DE">
        <w:rPr>
          <w:lang w:val="fr-CH"/>
        </w:rPr>
        <w:t xml:space="preserve">Eelam tamoul en 2009, le Gouvernement </w:t>
      </w:r>
      <w:r w:rsidR="00346E50" w:rsidRPr="009F43DE">
        <w:rPr>
          <w:lang w:val="fr-CH"/>
        </w:rPr>
        <w:t xml:space="preserve">sri-lankais </w:t>
      </w:r>
      <w:r w:rsidRPr="009F43DE">
        <w:rPr>
          <w:lang w:val="fr-CH"/>
        </w:rPr>
        <w:t xml:space="preserve">a entrepris de réduire progressivement la présence militaire dans les anciennes zones de conflit, procédé à un réexamen des </w:t>
      </w:r>
      <w:r w:rsidR="00346E50" w:rsidRPr="009F43DE">
        <w:rPr>
          <w:lang w:val="fr-CH"/>
        </w:rPr>
        <w:t>z</w:t>
      </w:r>
      <w:r w:rsidRPr="009F43DE">
        <w:rPr>
          <w:lang w:val="fr-CH"/>
        </w:rPr>
        <w:t xml:space="preserve">ones de haute sécurité et </w:t>
      </w:r>
      <w:r w:rsidR="00346E50" w:rsidRPr="009F43DE">
        <w:rPr>
          <w:lang w:val="fr-CH"/>
        </w:rPr>
        <w:t>libéré</w:t>
      </w:r>
      <w:r w:rsidRPr="009F43DE">
        <w:rPr>
          <w:lang w:val="fr-CH"/>
        </w:rPr>
        <w:t xml:space="preserve"> des terres </w:t>
      </w:r>
      <w:r w:rsidR="00346E50" w:rsidRPr="009F43DE">
        <w:rPr>
          <w:lang w:val="fr-CH"/>
        </w:rPr>
        <w:t>pour la</w:t>
      </w:r>
      <w:r w:rsidRPr="009F43DE">
        <w:rPr>
          <w:lang w:val="fr-CH"/>
        </w:rPr>
        <w:t xml:space="preserve"> réinstallation des personnes déplacées. </w:t>
      </w:r>
    </w:p>
    <w:p w:rsidR="00C82061" w:rsidRPr="009F43DE" w:rsidRDefault="00C82061" w:rsidP="00C82061">
      <w:pPr>
        <w:pStyle w:val="SingleTxtG"/>
        <w:rPr>
          <w:lang w:val="fr-CH"/>
        </w:rPr>
      </w:pPr>
      <w:r w:rsidRPr="009F43DE">
        <w:rPr>
          <w:lang w:val="fr-CH"/>
        </w:rPr>
        <w:t>123.</w:t>
      </w:r>
      <w:r w:rsidRPr="009F43DE">
        <w:rPr>
          <w:lang w:val="fr-CH"/>
        </w:rPr>
        <w:tab/>
        <w:t xml:space="preserve">Sous le gouvernement actuel, </w:t>
      </w:r>
      <w:r w:rsidR="00346E50" w:rsidRPr="009F43DE">
        <w:rPr>
          <w:lang w:val="fr-CH"/>
        </w:rPr>
        <w:t xml:space="preserve">environ </w:t>
      </w:r>
      <w:r w:rsidRPr="009F43DE">
        <w:rPr>
          <w:lang w:val="fr-CH"/>
        </w:rPr>
        <w:t>40</w:t>
      </w:r>
      <w:r w:rsidR="00346E50" w:rsidRPr="009F43DE">
        <w:rPr>
          <w:lang w:val="fr-CH"/>
        </w:rPr>
        <w:t>0 </w:t>
      </w:r>
      <w:r w:rsidRPr="009F43DE">
        <w:rPr>
          <w:lang w:val="fr-CH"/>
        </w:rPr>
        <w:t>hectares de terres privées se trouvant dans l</w:t>
      </w:r>
      <w:r w:rsidR="00F8384A" w:rsidRPr="009F43DE">
        <w:rPr>
          <w:lang w:val="fr-CH"/>
        </w:rPr>
        <w:t>’</w:t>
      </w:r>
      <w:r w:rsidRPr="009F43DE">
        <w:rPr>
          <w:lang w:val="fr-CH"/>
        </w:rPr>
        <w:t>ancienne zone de haute sécurité de Jaffna/Palaly et qui étaient jusqu</w:t>
      </w:r>
      <w:r w:rsidR="00F8384A" w:rsidRPr="009F43DE">
        <w:rPr>
          <w:lang w:val="fr-CH"/>
        </w:rPr>
        <w:t>’</w:t>
      </w:r>
      <w:r w:rsidRPr="009F43DE">
        <w:rPr>
          <w:lang w:val="fr-CH"/>
        </w:rPr>
        <w:t xml:space="preserve">ici utilisées par les militaires, ont été mises à disposition du </w:t>
      </w:r>
      <w:r w:rsidR="00346E50" w:rsidRPr="009F43DE">
        <w:rPr>
          <w:lang w:val="fr-CH"/>
        </w:rPr>
        <w:t>s</w:t>
      </w:r>
      <w:r w:rsidRPr="009F43DE">
        <w:rPr>
          <w:lang w:val="fr-CH"/>
        </w:rPr>
        <w:t xml:space="preserve">ecrétaire de district </w:t>
      </w:r>
      <w:r w:rsidR="00346E50" w:rsidRPr="009F43DE">
        <w:rPr>
          <w:lang w:val="fr-CH"/>
        </w:rPr>
        <w:t>en vue de leur restitution</w:t>
      </w:r>
      <w:r w:rsidRPr="009F43DE">
        <w:rPr>
          <w:lang w:val="fr-CH"/>
        </w:rPr>
        <w:t xml:space="preserve"> aux propriétaires d</w:t>
      </w:r>
      <w:r w:rsidR="00F8384A" w:rsidRPr="009F43DE">
        <w:rPr>
          <w:lang w:val="fr-CH"/>
        </w:rPr>
        <w:t>’</w:t>
      </w:r>
      <w:r w:rsidRPr="009F43DE">
        <w:rPr>
          <w:lang w:val="fr-CH"/>
        </w:rPr>
        <w:t xml:space="preserve">origine. Des mesures ont déjà été prises pour identifier </w:t>
      </w:r>
      <w:r w:rsidR="00346E50" w:rsidRPr="009F43DE">
        <w:rPr>
          <w:lang w:val="fr-CH"/>
        </w:rPr>
        <w:t>davantage de</w:t>
      </w:r>
      <w:r w:rsidRPr="009F43DE">
        <w:rPr>
          <w:lang w:val="fr-CH"/>
        </w:rPr>
        <w:t xml:space="preserve"> terres </w:t>
      </w:r>
      <w:r w:rsidR="001B1696" w:rsidRPr="009F43DE">
        <w:rPr>
          <w:lang w:val="fr-CH"/>
        </w:rPr>
        <w:t>pouvant être libérées</w:t>
      </w:r>
      <w:r w:rsidRPr="009F43DE">
        <w:rPr>
          <w:lang w:val="fr-CH"/>
        </w:rPr>
        <w:t xml:space="preserve"> dans ces zones. En outre, </w:t>
      </w:r>
      <w:r w:rsidR="00346E50" w:rsidRPr="009F43DE">
        <w:rPr>
          <w:lang w:val="fr-CH"/>
        </w:rPr>
        <w:t>en</w:t>
      </w:r>
      <w:r w:rsidRPr="009F43DE">
        <w:rPr>
          <w:lang w:val="fr-CH"/>
        </w:rPr>
        <w:t xml:space="preserve"> 2015, le Ministère de la défense a accéléré l</w:t>
      </w:r>
      <w:r w:rsidR="00F8384A" w:rsidRPr="009F43DE">
        <w:rPr>
          <w:lang w:val="fr-CH"/>
        </w:rPr>
        <w:t>’</w:t>
      </w:r>
      <w:r w:rsidRPr="009F43DE">
        <w:rPr>
          <w:lang w:val="fr-CH"/>
        </w:rPr>
        <w:t>annulation des demandes d</w:t>
      </w:r>
      <w:r w:rsidR="00F8384A" w:rsidRPr="009F43DE">
        <w:rPr>
          <w:lang w:val="fr-CH"/>
        </w:rPr>
        <w:t>’</w:t>
      </w:r>
      <w:r w:rsidRPr="009F43DE">
        <w:rPr>
          <w:lang w:val="fr-CH"/>
        </w:rPr>
        <w:t>acquisition de 84 parcelles de terrain afin de restituer 15</w:t>
      </w:r>
      <w:r w:rsidR="001B1696" w:rsidRPr="009F43DE">
        <w:rPr>
          <w:lang w:val="fr-CH"/>
        </w:rPr>
        <w:t>0</w:t>
      </w:r>
      <w:r w:rsidRPr="009F43DE">
        <w:rPr>
          <w:lang w:val="fr-CH"/>
        </w:rPr>
        <w:t xml:space="preserve"> hectares environ de terres privées dans le nord et l</w:t>
      </w:r>
      <w:r w:rsidR="00F8384A" w:rsidRPr="009F43DE">
        <w:rPr>
          <w:lang w:val="fr-CH"/>
        </w:rPr>
        <w:t>’</w:t>
      </w:r>
      <w:r w:rsidRPr="009F43DE">
        <w:rPr>
          <w:lang w:val="fr-CH"/>
        </w:rPr>
        <w:t xml:space="preserve">est. Par ailleurs, </w:t>
      </w:r>
      <w:r w:rsidR="001B1696" w:rsidRPr="009F43DE">
        <w:rPr>
          <w:lang w:val="fr-CH"/>
        </w:rPr>
        <w:t xml:space="preserve">près de </w:t>
      </w:r>
      <w:r w:rsidRPr="009F43DE">
        <w:rPr>
          <w:lang w:val="fr-CH"/>
        </w:rPr>
        <w:t>7 </w:t>
      </w:r>
      <w:r w:rsidR="001B1696" w:rsidRPr="009F43DE">
        <w:rPr>
          <w:lang w:val="fr-CH"/>
        </w:rPr>
        <w:t>500</w:t>
      </w:r>
      <w:r w:rsidRPr="009F43DE">
        <w:rPr>
          <w:lang w:val="fr-CH"/>
        </w:rPr>
        <w:t xml:space="preserve"> hectares de terres à Ponnaweli et Kilinochchi, qui étaient sous la protection de l</w:t>
      </w:r>
      <w:r w:rsidR="00F8384A" w:rsidRPr="009F43DE">
        <w:rPr>
          <w:lang w:val="fr-CH"/>
        </w:rPr>
        <w:t>’</w:t>
      </w:r>
      <w:r w:rsidRPr="009F43DE">
        <w:rPr>
          <w:lang w:val="fr-CH"/>
        </w:rPr>
        <w:t>armée</w:t>
      </w:r>
      <w:r w:rsidR="001B1696" w:rsidRPr="009F43DE">
        <w:rPr>
          <w:lang w:val="fr-CH"/>
        </w:rPr>
        <w:t>,</w:t>
      </w:r>
      <w:r w:rsidRPr="009F43DE">
        <w:rPr>
          <w:lang w:val="fr-CH"/>
        </w:rPr>
        <w:t xml:space="preserve"> ont été restituées. Les réinstallations dans la </w:t>
      </w:r>
      <w:r w:rsidR="001B1696" w:rsidRPr="009F43DE">
        <w:rPr>
          <w:lang w:val="fr-CH"/>
        </w:rPr>
        <w:t xml:space="preserve">région de </w:t>
      </w:r>
      <w:r w:rsidRPr="009F43DE">
        <w:rPr>
          <w:lang w:val="fr-CH"/>
        </w:rPr>
        <w:t>Sampur sont considérées comme prioritaire</w:t>
      </w:r>
      <w:r w:rsidR="001B1696" w:rsidRPr="009F43DE">
        <w:rPr>
          <w:lang w:val="fr-CH"/>
        </w:rPr>
        <w:t>s</w:t>
      </w:r>
      <w:r w:rsidRPr="009F43DE">
        <w:rPr>
          <w:lang w:val="fr-CH"/>
        </w:rPr>
        <w:t xml:space="preserve">. </w:t>
      </w:r>
      <w:r w:rsidR="001B1696" w:rsidRPr="009F43DE">
        <w:rPr>
          <w:lang w:val="fr-CH"/>
        </w:rPr>
        <w:t xml:space="preserve">En </w:t>
      </w:r>
      <w:r w:rsidRPr="009F43DE">
        <w:rPr>
          <w:lang w:val="fr-CH"/>
        </w:rPr>
        <w:t>conséquen</w:t>
      </w:r>
      <w:r w:rsidR="001B1696" w:rsidRPr="009F43DE">
        <w:rPr>
          <w:lang w:val="fr-CH"/>
        </w:rPr>
        <w:t>ce</w:t>
      </w:r>
      <w:r w:rsidRPr="009F43DE">
        <w:rPr>
          <w:lang w:val="fr-CH"/>
        </w:rPr>
        <w:t>, l</w:t>
      </w:r>
      <w:r w:rsidR="00F8384A" w:rsidRPr="009F43DE">
        <w:rPr>
          <w:lang w:val="fr-CH"/>
        </w:rPr>
        <w:t>’</w:t>
      </w:r>
      <w:r w:rsidRPr="009F43DE">
        <w:rPr>
          <w:lang w:val="fr-CH"/>
        </w:rPr>
        <w:t>attribution spéciale d</w:t>
      </w:r>
      <w:r w:rsidR="00F8384A" w:rsidRPr="009F43DE">
        <w:rPr>
          <w:lang w:val="fr-CH"/>
        </w:rPr>
        <w:t>’</w:t>
      </w:r>
      <w:r w:rsidRPr="009F43DE">
        <w:rPr>
          <w:lang w:val="fr-CH"/>
        </w:rPr>
        <w:t>une zone de 4</w:t>
      </w:r>
      <w:r w:rsidR="001B1696" w:rsidRPr="009F43DE">
        <w:rPr>
          <w:lang w:val="fr-CH"/>
        </w:rPr>
        <w:t>50</w:t>
      </w:r>
      <w:r w:rsidRPr="009F43DE">
        <w:rPr>
          <w:lang w:val="fr-CH"/>
        </w:rPr>
        <w:t xml:space="preserve"> hectares </w:t>
      </w:r>
      <w:r w:rsidR="001B1696" w:rsidRPr="009F43DE">
        <w:rPr>
          <w:lang w:val="fr-CH"/>
        </w:rPr>
        <w:t>environ</w:t>
      </w:r>
      <w:r w:rsidRPr="009F43DE">
        <w:rPr>
          <w:lang w:val="fr-CH"/>
        </w:rPr>
        <w:t xml:space="preserve"> au Conseil d</w:t>
      </w:r>
      <w:r w:rsidR="00F8384A" w:rsidRPr="009F43DE">
        <w:rPr>
          <w:lang w:val="fr-CH"/>
        </w:rPr>
        <w:t>’</w:t>
      </w:r>
      <w:r w:rsidRPr="009F43DE">
        <w:rPr>
          <w:lang w:val="fr-CH"/>
        </w:rPr>
        <w:t>investissement a été annulée en 2015 et le Ministère de</w:t>
      </w:r>
      <w:r w:rsidR="001B1696" w:rsidRPr="009F43DE">
        <w:rPr>
          <w:lang w:val="fr-CH"/>
        </w:rPr>
        <w:t>s biens fonciers</w:t>
      </w:r>
      <w:r w:rsidRPr="009F43DE">
        <w:rPr>
          <w:lang w:val="fr-CH"/>
        </w:rPr>
        <w:t xml:space="preserve"> </w:t>
      </w:r>
      <w:r w:rsidR="001B1696" w:rsidRPr="009F43DE">
        <w:rPr>
          <w:lang w:val="fr-CH"/>
        </w:rPr>
        <w:t>est en train de procéder au trans</w:t>
      </w:r>
      <w:r w:rsidRPr="009F43DE">
        <w:rPr>
          <w:lang w:val="fr-CH"/>
        </w:rPr>
        <w:t>fert des terres à leurs propriétaires d</w:t>
      </w:r>
      <w:r w:rsidR="00F8384A" w:rsidRPr="009F43DE">
        <w:rPr>
          <w:lang w:val="fr-CH"/>
        </w:rPr>
        <w:t>’</w:t>
      </w:r>
      <w:r w:rsidRPr="009F43DE">
        <w:rPr>
          <w:lang w:val="fr-CH"/>
        </w:rPr>
        <w:t xml:space="preserve">origine respectifs. En outre, sur les </w:t>
      </w:r>
      <w:r w:rsidR="001B1696" w:rsidRPr="009F43DE">
        <w:rPr>
          <w:lang w:val="fr-CH"/>
        </w:rPr>
        <w:t>100</w:t>
      </w:r>
      <w:r w:rsidRPr="009F43DE">
        <w:rPr>
          <w:lang w:val="fr-CH"/>
        </w:rPr>
        <w:t xml:space="preserve"> hectares de terres situées à Sampur</w:t>
      </w:r>
      <w:r w:rsidR="001B1696" w:rsidRPr="009F43DE">
        <w:rPr>
          <w:lang w:val="fr-CH"/>
        </w:rPr>
        <w:t>,</w:t>
      </w:r>
      <w:r w:rsidRPr="009F43DE">
        <w:rPr>
          <w:lang w:val="fr-CH"/>
        </w:rPr>
        <w:t xml:space="preserve"> où le Centre de formation de la Marine a été établi, 2</w:t>
      </w:r>
      <w:r w:rsidR="001B1696" w:rsidRPr="009F43DE">
        <w:rPr>
          <w:lang w:val="fr-CH"/>
        </w:rPr>
        <w:t>5</w:t>
      </w:r>
      <w:r w:rsidRPr="009F43DE">
        <w:rPr>
          <w:lang w:val="fr-CH"/>
        </w:rPr>
        <w:t xml:space="preserve"> hectares </w:t>
      </w:r>
      <w:r w:rsidR="001B1696" w:rsidRPr="009F43DE">
        <w:rPr>
          <w:lang w:val="fr-CH"/>
        </w:rPr>
        <w:t xml:space="preserve">environ </w:t>
      </w:r>
      <w:r w:rsidRPr="009F43DE">
        <w:rPr>
          <w:lang w:val="fr-CH"/>
        </w:rPr>
        <w:t>ont été restitués et sont maintenant occupés par les propriétaires d</w:t>
      </w:r>
      <w:r w:rsidR="00F8384A" w:rsidRPr="009F43DE">
        <w:rPr>
          <w:lang w:val="fr-CH"/>
        </w:rPr>
        <w:t>’</w:t>
      </w:r>
      <w:r w:rsidRPr="009F43DE">
        <w:rPr>
          <w:lang w:val="fr-CH"/>
        </w:rPr>
        <w:t xml:space="preserve">origine. Le 22 août, le Président a remis des titres fonciers à 234 familles déplacées par la guerre qui sont dorénavant réinstallées dans ces zones. Des mesures seront prises pour mettre à disposition du </w:t>
      </w:r>
      <w:r w:rsidR="001B1696" w:rsidRPr="009F43DE">
        <w:rPr>
          <w:lang w:val="fr-CH"/>
        </w:rPr>
        <w:t>s</w:t>
      </w:r>
      <w:r w:rsidRPr="009F43DE">
        <w:rPr>
          <w:lang w:val="fr-CH"/>
        </w:rPr>
        <w:t xml:space="preserve">ecrétariat divisionnaire les zones restantes </w:t>
      </w:r>
      <w:r w:rsidR="003D5C37" w:rsidRPr="009F43DE">
        <w:rPr>
          <w:lang w:val="fr-CH"/>
        </w:rPr>
        <w:t>et lancer d</w:t>
      </w:r>
      <w:r w:rsidR="00F8384A" w:rsidRPr="009F43DE">
        <w:rPr>
          <w:lang w:val="fr-CH"/>
        </w:rPr>
        <w:t>’</w:t>
      </w:r>
      <w:r w:rsidR="003D5C37" w:rsidRPr="009F43DE">
        <w:rPr>
          <w:lang w:val="fr-CH"/>
        </w:rPr>
        <w:t>autres</w:t>
      </w:r>
      <w:r w:rsidRPr="009F43DE">
        <w:rPr>
          <w:lang w:val="fr-CH"/>
        </w:rPr>
        <w:t xml:space="preserve"> activités de réinstallation. La restitution en 2015 de 40</w:t>
      </w:r>
      <w:r w:rsidR="003D5C37" w:rsidRPr="009F43DE">
        <w:rPr>
          <w:lang w:val="fr-CH"/>
        </w:rPr>
        <w:t>0</w:t>
      </w:r>
      <w:r w:rsidRPr="009F43DE">
        <w:rPr>
          <w:lang w:val="fr-CH"/>
        </w:rPr>
        <w:t xml:space="preserve"> hectares de terres privées d</w:t>
      </w:r>
      <w:r w:rsidR="003D5C37" w:rsidRPr="009F43DE">
        <w:rPr>
          <w:lang w:val="fr-CH"/>
        </w:rPr>
        <w:t>ans</w:t>
      </w:r>
      <w:r w:rsidRPr="009F43DE">
        <w:rPr>
          <w:lang w:val="fr-CH"/>
        </w:rPr>
        <w:t xml:space="preserve"> la zone de haute sécurité de Jaffna et de </w:t>
      </w:r>
      <w:r w:rsidR="003D5C37" w:rsidRPr="009F43DE">
        <w:rPr>
          <w:lang w:val="fr-CH"/>
        </w:rPr>
        <w:t>100</w:t>
      </w:r>
      <w:r w:rsidRPr="009F43DE">
        <w:rPr>
          <w:lang w:val="fr-CH"/>
        </w:rPr>
        <w:t xml:space="preserve"> hectares de terres </w:t>
      </w:r>
      <w:r w:rsidR="003D5C37" w:rsidRPr="009F43DE">
        <w:rPr>
          <w:lang w:val="fr-CH"/>
        </w:rPr>
        <w:t xml:space="preserve">dans la région de </w:t>
      </w:r>
      <w:r w:rsidRPr="009F43DE">
        <w:rPr>
          <w:lang w:val="fr-CH"/>
        </w:rPr>
        <w:t xml:space="preserve">Sampur a permis la réinstallation récente de 1 171 familles dans le district de Jaffna et de 253 familles dans le village de Sampur. Les discussions entre le Ministère de la défense et les autorités de réinstallation </w:t>
      </w:r>
      <w:r w:rsidR="003D5C37" w:rsidRPr="009F43DE">
        <w:rPr>
          <w:lang w:val="fr-CH"/>
        </w:rPr>
        <w:t>se poursuivent afin d</w:t>
      </w:r>
      <w:r w:rsidR="00F8384A" w:rsidRPr="009F43DE">
        <w:rPr>
          <w:lang w:val="fr-CH"/>
        </w:rPr>
        <w:t>’</w:t>
      </w:r>
      <w:r w:rsidR="003D5C37" w:rsidRPr="009F43DE">
        <w:rPr>
          <w:lang w:val="fr-CH"/>
        </w:rPr>
        <w:t>id</w:t>
      </w:r>
      <w:r w:rsidRPr="009F43DE">
        <w:rPr>
          <w:lang w:val="fr-CH"/>
        </w:rPr>
        <w:t>entifier d</w:t>
      </w:r>
      <w:r w:rsidR="00F8384A" w:rsidRPr="009F43DE">
        <w:rPr>
          <w:lang w:val="fr-CH"/>
        </w:rPr>
        <w:t>’</w:t>
      </w:r>
      <w:r w:rsidRPr="009F43DE">
        <w:rPr>
          <w:lang w:val="fr-CH"/>
        </w:rPr>
        <w:t xml:space="preserve">autres terrains </w:t>
      </w:r>
      <w:r w:rsidR="003D5C37" w:rsidRPr="009F43DE">
        <w:rPr>
          <w:lang w:val="fr-CH"/>
        </w:rPr>
        <w:t xml:space="preserve">pouvant être libérés </w:t>
      </w:r>
      <w:r w:rsidRPr="009F43DE">
        <w:rPr>
          <w:lang w:val="fr-CH"/>
        </w:rPr>
        <w:t>en vue de réinstallation.</w:t>
      </w:r>
      <w:r w:rsidR="00C91A83">
        <w:rPr>
          <w:lang w:val="fr-CH"/>
        </w:rPr>
        <w:t xml:space="preserve"> </w:t>
      </w:r>
      <w:r w:rsidR="003D5C37" w:rsidRPr="009F43DE">
        <w:rPr>
          <w:lang w:val="fr-CH"/>
        </w:rPr>
        <w:t>Jusqu</w:t>
      </w:r>
      <w:r w:rsidR="00F8384A" w:rsidRPr="009F43DE">
        <w:rPr>
          <w:lang w:val="fr-CH"/>
        </w:rPr>
        <w:t>’</w:t>
      </w:r>
      <w:r w:rsidR="003D5C37" w:rsidRPr="009F43DE">
        <w:rPr>
          <w:lang w:val="fr-CH"/>
        </w:rPr>
        <w:t>ici, environ 8 100 hectares de terres privées et 2 300 hectares de terres appartenant au domaine public ont été libérés dans le nord et l</w:t>
      </w:r>
      <w:r w:rsidR="00F8384A" w:rsidRPr="009F43DE">
        <w:rPr>
          <w:lang w:val="fr-CH"/>
        </w:rPr>
        <w:t>’</w:t>
      </w:r>
      <w:r w:rsidR="003D5C37" w:rsidRPr="009F43DE">
        <w:rPr>
          <w:lang w:val="fr-CH"/>
        </w:rPr>
        <w:t>est.</w:t>
      </w:r>
    </w:p>
    <w:p w:rsidR="00C82061" w:rsidRPr="009F43DE" w:rsidRDefault="00C82061" w:rsidP="00C82061">
      <w:pPr>
        <w:pStyle w:val="SingleTxtG"/>
        <w:rPr>
          <w:rFonts w:eastAsia="Calibri"/>
          <w:lang w:val="fr-CH"/>
        </w:rPr>
      </w:pPr>
      <w:r w:rsidRPr="009F43DE">
        <w:rPr>
          <w:lang w:val="fr-CH"/>
        </w:rPr>
        <w:t>124.</w:t>
      </w:r>
      <w:r w:rsidRPr="009F43DE">
        <w:rPr>
          <w:lang w:val="fr-CH"/>
        </w:rPr>
        <w:tab/>
        <w:t>Toutes les écoles situées dans l</w:t>
      </w:r>
      <w:r w:rsidR="003D5C37" w:rsidRPr="009F43DE">
        <w:rPr>
          <w:lang w:val="fr-CH"/>
        </w:rPr>
        <w:t>a</w:t>
      </w:r>
      <w:r w:rsidRPr="009F43DE">
        <w:rPr>
          <w:lang w:val="fr-CH"/>
        </w:rPr>
        <w:t xml:space="preserve"> province du nord qui étaient utilisées par les militaires ont été transférées à un usage civil. Les écoles occupées par les Tigres de libération de l</w:t>
      </w:r>
      <w:r w:rsidR="00F8384A" w:rsidRPr="009F43DE">
        <w:rPr>
          <w:lang w:val="fr-CH"/>
        </w:rPr>
        <w:t>’</w:t>
      </w:r>
      <w:r w:rsidRPr="009F43DE">
        <w:rPr>
          <w:lang w:val="fr-CH"/>
        </w:rPr>
        <w:t>Eelam tamoul ont été rénovées par l</w:t>
      </w:r>
      <w:r w:rsidR="00F8384A" w:rsidRPr="009F43DE">
        <w:rPr>
          <w:lang w:val="fr-CH"/>
        </w:rPr>
        <w:t>’</w:t>
      </w:r>
      <w:r w:rsidR="007574C7" w:rsidRPr="009F43DE">
        <w:rPr>
          <w:lang w:val="fr-CH"/>
        </w:rPr>
        <w:t>État</w:t>
      </w:r>
      <w:r w:rsidRPr="009F43DE">
        <w:rPr>
          <w:lang w:val="fr-CH"/>
        </w:rPr>
        <w:t xml:space="preserve"> et transférées aux </w:t>
      </w:r>
      <w:r w:rsidR="003D5C37" w:rsidRPr="009F43DE">
        <w:rPr>
          <w:lang w:val="fr-CH"/>
        </w:rPr>
        <w:t>responsables</w:t>
      </w:r>
      <w:r w:rsidRPr="009F43DE">
        <w:rPr>
          <w:lang w:val="fr-CH"/>
        </w:rPr>
        <w:t xml:space="preserve"> de l</w:t>
      </w:r>
      <w:r w:rsidR="00F8384A" w:rsidRPr="009F43DE">
        <w:rPr>
          <w:lang w:val="fr-CH"/>
        </w:rPr>
        <w:t>’</w:t>
      </w:r>
      <w:r w:rsidRPr="009F43DE">
        <w:rPr>
          <w:lang w:val="fr-CH"/>
        </w:rPr>
        <w:t>éducation des zones concernées.</w:t>
      </w:r>
    </w:p>
    <w:p w:rsidR="00C82061" w:rsidRPr="009F43DE" w:rsidRDefault="00C82061" w:rsidP="00C82061">
      <w:pPr>
        <w:pStyle w:val="SingleTxtG"/>
        <w:rPr>
          <w:rFonts w:eastAsia="Calibri"/>
          <w:lang w:val="fr-CH"/>
        </w:rPr>
      </w:pPr>
      <w:r w:rsidRPr="009F43DE">
        <w:rPr>
          <w:rFonts w:eastAsia="Calibri"/>
          <w:lang w:val="fr-CH"/>
        </w:rPr>
        <w:t>125.</w:t>
      </w:r>
      <w:r w:rsidRPr="009F43DE">
        <w:rPr>
          <w:rFonts w:eastAsia="Calibri"/>
          <w:lang w:val="fr-CH"/>
        </w:rPr>
        <w:tab/>
        <w:t>L</w:t>
      </w:r>
      <w:r w:rsidR="00F8384A" w:rsidRPr="009F43DE">
        <w:rPr>
          <w:lang w:val="fr-CH"/>
        </w:rPr>
        <w:t>’</w:t>
      </w:r>
      <w:r w:rsidRPr="009F43DE">
        <w:rPr>
          <w:lang w:val="fr-CH"/>
        </w:rPr>
        <w:t xml:space="preserve">équipe de pays des Nations Unies, </w:t>
      </w:r>
      <w:r w:rsidR="003D5C37" w:rsidRPr="009F43DE">
        <w:rPr>
          <w:lang w:val="fr-CH"/>
        </w:rPr>
        <w:t>dont fait partie le</w:t>
      </w:r>
      <w:r w:rsidRPr="009F43DE">
        <w:rPr>
          <w:lang w:val="fr-CH"/>
        </w:rPr>
        <w:t xml:space="preserve"> HCR, travaille actuellement avec le Ministère de la réinstallation et des affaires hindoues et d</w:t>
      </w:r>
      <w:r w:rsidR="00F8384A" w:rsidRPr="009F43DE">
        <w:rPr>
          <w:lang w:val="fr-CH"/>
        </w:rPr>
        <w:t>’</w:t>
      </w:r>
      <w:r w:rsidRPr="009F43DE">
        <w:rPr>
          <w:lang w:val="fr-CH"/>
        </w:rPr>
        <w:t>autres entités compétentes pour élaborer des plans de réinstallation des personnes déplacées. Le Ministère a organisé une consultation des donateurs à ce sujet le 4 juin 2015.</w:t>
      </w:r>
    </w:p>
    <w:p w:rsidR="00C82061" w:rsidRPr="009F43DE" w:rsidRDefault="00C82061" w:rsidP="00C82061">
      <w:pPr>
        <w:pStyle w:val="SingleTxtG"/>
        <w:rPr>
          <w:rFonts w:eastAsia="Calibri"/>
          <w:lang w:val="fr-CH"/>
        </w:rPr>
      </w:pPr>
      <w:r w:rsidRPr="009F43DE">
        <w:rPr>
          <w:rFonts w:eastAsia="Calibri"/>
          <w:lang w:val="fr-CH"/>
        </w:rPr>
        <w:t>126.</w:t>
      </w:r>
      <w:r w:rsidRPr="009F43DE">
        <w:rPr>
          <w:rFonts w:eastAsia="Calibri"/>
          <w:lang w:val="fr-CH"/>
        </w:rPr>
        <w:tab/>
        <w:t xml:space="preserve">Le </w:t>
      </w:r>
      <w:r w:rsidRPr="009F43DE">
        <w:rPr>
          <w:lang w:val="fr-CH"/>
        </w:rPr>
        <w:t>Ministère de la réinstallation a réinstallé depuis 2009 232 952 familles comprenant 796 720 personnes dans les provinces du nord et de l</w:t>
      </w:r>
      <w:r w:rsidR="00F8384A" w:rsidRPr="009F43DE">
        <w:rPr>
          <w:lang w:val="fr-CH"/>
        </w:rPr>
        <w:t>’</w:t>
      </w:r>
      <w:r w:rsidRPr="009F43DE">
        <w:rPr>
          <w:lang w:val="fr-CH"/>
        </w:rPr>
        <w:t>est. Sur ce total, 157 051 familles comprenant 521 081 personnes ont été réinstallées dans le nord, alors que 75 901 familles comprenant 275 639 personnes ont été réinstallées dans l</w:t>
      </w:r>
      <w:r w:rsidR="00F8384A" w:rsidRPr="009F43DE">
        <w:rPr>
          <w:lang w:val="fr-CH"/>
        </w:rPr>
        <w:t>’</w:t>
      </w:r>
      <w:r w:rsidRPr="009F43DE">
        <w:rPr>
          <w:lang w:val="fr-CH"/>
        </w:rPr>
        <w:t>est. Fin juin 2015, 13 459 familles comprenant 44 934 personnes soit se trouv</w:t>
      </w:r>
      <w:r w:rsidR="00212AAC" w:rsidRPr="009F43DE">
        <w:rPr>
          <w:lang w:val="fr-CH"/>
        </w:rPr>
        <w:t>ai</w:t>
      </w:r>
      <w:r w:rsidRPr="009F43DE">
        <w:rPr>
          <w:lang w:val="fr-CH"/>
        </w:rPr>
        <w:t>ent dans des centres d</w:t>
      </w:r>
      <w:r w:rsidR="00F8384A" w:rsidRPr="009F43DE">
        <w:rPr>
          <w:lang w:val="fr-CH"/>
        </w:rPr>
        <w:t>’</w:t>
      </w:r>
      <w:r w:rsidRPr="009F43DE">
        <w:rPr>
          <w:lang w:val="fr-CH"/>
        </w:rPr>
        <w:t>aide sociale, soit viv</w:t>
      </w:r>
      <w:r w:rsidR="00212AAC" w:rsidRPr="009F43DE">
        <w:rPr>
          <w:lang w:val="fr-CH"/>
        </w:rPr>
        <w:t>ai</w:t>
      </w:r>
      <w:r w:rsidRPr="009F43DE">
        <w:rPr>
          <w:lang w:val="fr-CH"/>
        </w:rPr>
        <w:t>ent avec des parents et amis. La réinstallation de ces familles sera effectuée après la fin d</w:t>
      </w:r>
      <w:r w:rsidR="00212AAC" w:rsidRPr="009F43DE">
        <w:rPr>
          <w:lang w:val="fr-CH"/>
        </w:rPr>
        <w:t>es opérations de</w:t>
      </w:r>
      <w:r w:rsidRPr="009F43DE">
        <w:rPr>
          <w:lang w:val="fr-CH"/>
        </w:rPr>
        <w:t xml:space="preserve"> déminage d</w:t>
      </w:r>
      <w:r w:rsidR="00212AAC" w:rsidRPr="009F43DE">
        <w:rPr>
          <w:lang w:val="fr-CH"/>
        </w:rPr>
        <w:t>e</w:t>
      </w:r>
      <w:r w:rsidRPr="009F43DE">
        <w:rPr>
          <w:lang w:val="fr-CH"/>
        </w:rPr>
        <w:t>s zones concernées et la restitution des terres.</w:t>
      </w:r>
      <w:r w:rsidR="00C91A83">
        <w:rPr>
          <w:rFonts w:eastAsia="Calibri"/>
          <w:lang w:val="fr-CH"/>
        </w:rPr>
        <w:t xml:space="preserve"> </w:t>
      </w:r>
    </w:p>
    <w:p w:rsidR="00C82061" w:rsidRPr="009F43DE" w:rsidRDefault="00C82061" w:rsidP="00C82061">
      <w:pPr>
        <w:pStyle w:val="SingleTxtG"/>
        <w:rPr>
          <w:rFonts w:eastAsia="Calibri"/>
          <w:lang w:val="fr-CH"/>
        </w:rPr>
      </w:pPr>
      <w:r w:rsidRPr="009F43DE">
        <w:rPr>
          <w:rFonts w:eastAsia="Calibri"/>
          <w:lang w:val="fr-CH"/>
        </w:rPr>
        <w:t>127.</w:t>
      </w:r>
      <w:r w:rsidRPr="009F43DE">
        <w:rPr>
          <w:rFonts w:eastAsia="Calibri"/>
          <w:lang w:val="fr-CH"/>
        </w:rPr>
        <w:tab/>
        <w:t xml:space="preserve">Le projet </w:t>
      </w:r>
      <w:r w:rsidR="00F8384A" w:rsidRPr="009F43DE">
        <w:rPr>
          <w:rFonts w:eastAsia="Calibri"/>
          <w:lang w:val="fr-CH"/>
        </w:rPr>
        <w:t>«</w:t>
      </w:r>
      <w:r w:rsidRPr="009F43DE">
        <w:rPr>
          <w:rFonts w:eastAsia="Calibri"/>
          <w:lang w:val="fr-CH"/>
        </w:rPr>
        <w:t>Indian Housing</w:t>
      </w:r>
      <w:r w:rsidR="00F8384A" w:rsidRPr="009F43DE">
        <w:rPr>
          <w:lang w:val="fr-CH"/>
        </w:rPr>
        <w:t>»</w:t>
      </w:r>
      <w:r w:rsidRPr="009F43DE">
        <w:rPr>
          <w:lang w:val="fr-CH"/>
        </w:rPr>
        <w:t xml:space="preserve"> visant à construire 46 000 maisons dans le nord et l</w:t>
      </w:r>
      <w:r w:rsidR="00F8384A" w:rsidRPr="009F43DE">
        <w:rPr>
          <w:lang w:val="fr-CH"/>
        </w:rPr>
        <w:t>’</w:t>
      </w:r>
      <w:r w:rsidRPr="009F43DE">
        <w:rPr>
          <w:lang w:val="fr-CH"/>
        </w:rPr>
        <w:t>est est en cours de mise en œuvre. Jusqu</w:t>
      </w:r>
      <w:r w:rsidR="00F8384A" w:rsidRPr="009F43DE">
        <w:rPr>
          <w:lang w:val="fr-CH"/>
        </w:rPr>
        <w:t>’</w:t>
      </w:r>
      <w:r w:rsidR="00212AAC" w:rsidRPr="009F43DE">
        <w:rPr>
          <w:lang w:val="fr-CH"/>
        </w:rPr>
        <w:t>ici</w:t>
      </w:r>
      <w:r w:rsidRPr="009F43DE">
        <w:rPr>
          <w:lang w:val="fr-CH"/>
        </w:rPr>
        <w:t>, 27 000 maisons ont été construites. L</w:t>
      </w:r>
      <w:r w:rsidR="00F8384A" w:rsidRPr="009F43DE">
        <w:rPr>
          <w:lang w:val="fr-CH"/>
        </w:rPr>
        <w:t>’</w:t>
      </w:r>
      <w:r w:rsidRPr="009F43DE">
        <w:rPr>
          <w:lang w:val="fr-CH"/>
        </w:rPr>
        <w:t xml:space="preserve">Union européenne </w:t>
      </w:r>
      <w:r w:rsidR="00212AAC" w:rsidRPr="009F43DE">
        <w:rPr>
          <w:lang w:val="fr-CH"/>
        </w:rPr>
        <w:t>est convenue</w:t>
      </w:r>
      <w:r w:rsidRPr="009F43DE">
        <w:rPr>
          <w:lang w:val="fr-CH"/>
        </w:rPr>
        <w:t xml:space="preserve"> de fournir 3 000 </w:t>
      </w:r>
      <w:r w:rsidR="00212AAC" w:rsidRPr="009F43DE">
        <w:rPr>
          <w:lang w:val="fr-CH"/>
        </w:rPr>
        <w:t xml:space="preserve">habitations pour les </w:t>
      </w:r>
      <w:r w:rsidRPr="009F43DE">
        <w:rPr>
          <w:lang w:val="fr-CH"/>
        </w:rPr>
        <w:t>communautés réinstallées dans le nord et l</w:t>
      </w:r>
      <w:r w:rsidR="00F8384A" w:rsidRPr="009F43DE">
        <w:rPr>
          <w:lang w:val="fr-CH"/>
        </w:rPr>
        <w:t>’</w:t>
      </w:r>
      <w:r w:rsidRPr="009F43DE">
        <w:rPr>
          <w:lang w:val="fr-CH"/>
        </w:rPr>
        <w:t xml:space="preserve">est. Ce projet débutera en septembre 2015. Le Ministère de la réinstallation a terminé une évaluation des besoins grâce aux </w:t>
      </w:r>
      <w:r w:rsidR="00212AAC" w:rsidRPr="009F43DE">
        <w:rPr>
          <w:lang w:val="fr-CH"/>
        </w:rPr>
        <w:t>s</w:t>
      </w:r>
      <w:r w:rsidRPr="009F43DE">
        <w:rPr>
          <w:lang w:val="fr-CH"/>
        </w:rPr>
        <w:t>ecrétariats des districts des provinces du nord et de l</w:t>
      </w:r>
      <w:r w:rsidR="00F8384A" w:rsidRPr="009F43DE">
        <w:rPr>
          <w:lang w:val="fr-CH"/>
        </w:rPr>
        <w:t>’</w:t>
      </w:r>
      <w:r w:rsidRPr="009F43DE">
        <w:rPr>
          <w:lang w:val="fr-CH"/>
        </w:rPr>
        <w:t xml:space="preserve">est et aux </w:t>
      </w:r>
      <w:r w:rsidR="00212AAC" w:rsidRPr="009F43DE">
        <w:rPr>
          <w:lang w:val="fr-CH"/>
        </w:rPr>
        <w:t>s</w:t>
      </w:r>
      <w:r w:rsidRPr="009F43DE">
        <w:rPr>
          <w:lang w:val="fr-CH"/>
        </w:rPr>
        <w:t>ecrétariats de district des villages qui étaient menacés. Sur la base des résultats de l</w:t>
      </w:r>
      <w:r w:rsidR="00F8384A" w:rsidRPr="009F43DE">
        <w:rPr>
          <w:lang w:val="fr-CH"/>
        </w:rPr>
        <w:t>’</w:t>
      </w:r>
      <w:r w:rsidRPr="009F43DE">
        <w:rPr>
          <w:lang w:val="fr-CH"/>
        </w:rPr>
        <w:t>évaluation des besoins, le Ministère a préparé plusieurs projets et les a présentés au Ministère de la planification nationale.</w:t>
      </w:r>
    </w:p>
    <w:p w:rsidR="00C82061" w:rsidRPr="009F43DE" w:rsidRDefault="00C82061" w:rsidP="00C82061">
      <w:pPr>
        <w:pStyle w:val="SingleTxtG"/>
        <w:rPr>
          <w:rFonts w:eastAsia="Calibri"/>
          <w:lang w:val="fr-CH"/>
        </w:rPr>
      </w:pPr>
      <w:r w:rsidRPr="009F43DE">
        <w:rPr>
          <w:rFonts w:eastAsia="Calibri"/>
          <w:lang w:val="fr-CH"/>
        </w:rPr>
        <w:t>128.</w:t>
      </w:r>
      <w:r w:rsidRPr="009F43DE">
        <w:rPr>
          <w:rFonts w:eastAsia="Calibri"/>
          <w:lang w:val="fr-CH"/>
        </w:rPr>
        <w:tab/>
      </w:r>
      <w:r w:rsidRPr="009F43DE">
        <w:rPr>
          <w:lang w:val="fr-CH"/>
        </w:rPr>
        <w:t>Le</w:t>
      </w:r>
      <w:r w:rsidR="00212AAC" w:rsidRPr="009F43DE">
        <w:rPr>
          <w:lang w:val="fr-CH"/>
        </w:rPr>
        <w:t>s autorités</w:t>
      </w:r>
      <w:r w:rsidRPr="009F43DE">
        <w:rPr>
          <w:lang w:val="fr-CH"/>
        </w:rPr>
        <w:t xml:space="preserve"> met</w:t>
      </w:r>
      <w:r w:rsidR="00212AAC" w:rsidRPr="009F43DE">
        <w:rPr>
          <w:lang w:val="fr-CH"/>
        </w:rPr>
        <w:t>tent</w:t>
      </w:r>
      <w:r w:rsidRPr="009F43DE">
        <w:rPr>
          <w:lang w:val="fr-CH"/>
        </w:rPr>
        <w:t xml:space="preserve"> en œuvre un programme visant à accorder </w:t>
      </w:r>
      <w:r w:rsidR="00212AAC" w:rsidRPr="009F43DE">
        <w:rPr>
          <w:lang w:val="fr-CH"/>
        </w:rPr>
        <w:t>des droits de</w:t>
      </w:r>
      <w:r w:rsidRPr="009F43DE">
        <w:rPr>
          <w:lang w:val="fr-CH"/>
        </w:rPr>
        <w:t xml:space="preserve"> propriété </w:t>
      </w:r>
      <w:r w:rsidR="00212AAC" w:rsidRPr="009F43DE">
        <w:rPr>
          <w:lang w:val="fr-CH"/>
        </w:rPr>
        <w:t>foncière aux p</w:t>
      </w:r>
      <w:r w:rsidRPr="009F43DE">
        <w:rPr>
          <w:lang w:val="fr-CH"/>
        </w:rPr>
        <w:t>ersonnes déplacées qui ont été réinstallées pendant la période d</w:t>
      </w:r>
      <w:r w:rsidR="00F8384A" w:rsidRPr="009F43DE">
        <w:rPr>
          <w:lang w:val="fr-CH"/>
        </w:rPr>
        <w:t>’</w:t>
      </w:r>
      <w:r w:rsidRPr="009F43DE">
        <w:rPr>
          <w:lang w:val="fr-CH"/>
        </w:rPr>
        <w:t xml:space="preserve">après-guerre. </w:t>
      </w:r>
      <w:r w:rsidR="00212AAC" w:rsidRPr="009F43DE">
        <w:rPr>
          <w:lang w:val="fr-CH"/>
        </w:rPr>
        <w:t>Dans ce contexte,</w:t>
      </w:r>
      <w:r w:rsidRPr="009F43DE">
        <w:rPr>
          <w:lang w:val="fr-CH"/>
        </w:rPr>
        <w:t xml:space="preserve"> le Commissaire général aux questions foncières a publié la circulaire </w:t>
      </w:r>
      <w:r w:rsidR="000B0D4F">
        <w:rPr>
          <w:lang w:val="fr-CH"/>
        </w:rPr>
        <w:t>n</w:t>
      </w:r>
      <w:r w:rsidR="000B0D4F" w:rsidRPr="000B0D4F">
        <w:rPr>
          <w:vertAlign w:val="superscript"/>
          <w:lang w:val="fr-CH"/>
        </w:rPr>
        <w:t>o</w:t>
      </w:r>
      <w:r w:rsidRPr="009F43DE">
        <w:rPr>
          <w:lang w:val="fr-CH"/>
        </w:rPr>
        <w:t> 2013/01, qui est détaillée et fournit des lignes directives pour le suivi continu des activités des commissaires aux questions foncières provinciaux et des secrétaires divisionnaires et de district des provinces du nord et de l</w:t>
      </w:r>
      <w:r w:rsidR="00F8384A" w:rsidRPr="009F43DE">
        <w:rPr>
          <w:lang w:val="fr-CH"/>
        </w:rPr>
        <w:t>’</w:t>
      </w:r>
      <w:r w:rsidRPr="009F43DE">
        <w:rPr>
          <w:lang w:val="fr-CH"/>
        </w:rPr>
        <w:t xml:space="preserve">est. </w:t>
      </w:r>
      <w:r w:rsidR="00212AAC" w:rsidRPr="009F43DE">
        <w:rPr>
          <w:lang w:val="fr-CH"/>
        </w:rPr>
        <w:t>Dans le même temps</w:t>
      </w:r>
      <w:r w:rsidRPr="009F43DE">
        <w:rPr>
          <w:lang w:val="fr-CH"/>
        </w:rPr>
        <w:t>, le travail d</w:t>
      </w:r>
      <w:r w:rsidR="00F8384A" w:rsidRPr="009F43DE">
        <w:rPr>
          <w:lang w:val="fr-CH"/>
        </w:rPr>
        <w:t>’</w:t>
      </w:r>
      <w:r w:rsidRPr="009F43DE">
        <w:rPr>
          <w:lang w:val="fr-CH"/>
        </w:rPr>
        <w:t xml:space="preserve">enregistrement des titres fonciers a commencé dans les secrétariats divisionnaires de Nallur, Karachchi, Vavuniya </w:t>
      </w:r>
      <w:r w:rsidR="00212AAC" w:rsidRPr="009F43DE">
        <w:rPr>
          <w:lang w:val="fr-CH"/>
        </w:rPr>
        <w:t>n</w:t>
      </w:r>
      <w:r w:rsidRPr="009F43DE">
        <w:rPr>
          <w:lang w:val="fr-CH"/>
        </w:rPr>
        <w:t>ord, Marithimepattu, MusaliManmune nord, Vakarai, Ampara, Damana, Eravurpattu, Trincomalee, Kinniya, Kuchchuveli et Thambalagamuwa. Une enquête sur les questions foncières est en cours dans les cinq secrétariats divisionnaires de Manmunne Nord, Eravurpattu, Trincomalee, Kinniya et Kuchchuveli.</w:t>
      </w:r>
    </w:p>
    <w:p w:rsidR="00C82061" w:rsidRPr="009F43DE" w:rsidRDefault="00C82061" w:rsidP="00C82061">
      <w:pPr>
        <w:pStyle w:val="H23G"/>
        <w:rPr>
          <w:lang w:val="fr-CH"/>
        </w:rPr>
      </w:pPr>
      <w:r w:rsidRPr="009F43DE">
        <w:rPr>
          <w:lang w:val="fr-CH"/>
        </w:rPr>
        <w:tab/>
      </w:r>
      <w:r w:rsidRPr="009F43DE">
        <w:rPr>
          <w:lang w:val="fr-CH"/>
        </w:rPr>
        <w:tab/>
        <w:t>Exercice des droits économiques, sociaux et culturels dans des conditions d</w:t>
      </w:r>
      <w:r w:rsidR="00F8384A" w:rsidRPr="009F43DE">
        <w:rPr>
          <w:lang w:val="fr-CH"/>
        </w:rPr>
        <w:t>’</w:t>
      </w:r>
      <w:r w:rsidRPr="009F43DE">
        <w:rPr>
          <w:lang w:val="fr-CH"/>
        </w:rPr>
        <w:t xml:space="preserve">égalité grâce à des mesures spécifiques </w:t>
      </w:r>
      <w:r w:rsidR="004879DA">
        <w:rPr>
          <w:lang w:val="fr-CH"/>
        </w:rPr>
        <w:t>(</w:t>
      </w:r>
      <w:r w:rsidRPr="009F43DE">
        <w:rPr>
          <w:lang w:val="fr-CH"/>
        </w:rPr>
        <w:t>par</w:t>
      </w:r>
      <w:r w:rsidR="004879DA">
        <w:rPr>
          <w:lang w:val="fr-CH"/>
        </w:rPr>
        <w:t xml:space="preserve">. </w:t>
      </w:r>
      <w:r w:rsidRPr="009F43DE">
        <w:rPr>
          <w:lang w:val="fr-CH"/>
        </w:rPr>
        <w:t>30</w:t>
      </w:r>
      <w:r w:rsidR="004879DA">
        <w:rPr>
          <w:lang w:val="fr-CH"/>
        </w:rPr>
        <w:t>)</w:t>
      </w:r>
    </w:p>
    <w:p w:rsidR="00C82061" w:rsidRPr="009F43DE" w:rsidRDefault="00C82061" w:rsidP="00C82061">
      <w:pPr>
        <w:pStyle w:val="SingleTxtG"/>
        <w:rPr>
          <w:rFonts w:eastAsia="Calibri"/>
          <w:lang w:val="fr-CH"/>
        </w:rPr>
      </w:pPr>
      <w:r w:rsidRPr="009F43DE">
        <w:rPr>
          <w:rFonts w:eastAsia="Calibri"/>
          <w:lang w:val="fr-CH"/>
        </w:rPr>
        <w:t>129.</w:t>
      </w:r>
      <w:r w:rsidRPr="009F43DE">
        <w:rPr>
          <w:rFonts w:eastAsia="Calibri"/>
          <w:lang w:val="fr-CH"/>
        </w:rPr>
        <w:tab/>
      </w:r>
      <w:r w:rsidRPr="009F43DE">
        <w:rPr>
          <w:lang w:val="fr-CH"/>
        </w:rPr>
        <w:t>La fin de trente années de conflit terroriste en 2009 a permis d</w:t>
      </w:r>
      <w:r w:rsidR="00091339" w:rsidRPr="009F43DE">
        <w:rPr>
          <w:lang w:val="fr-CH"/>
        </w:rPr>
        <w:t>e consacrer</w:t>
      </w:r>
      <w:r w:rsidRPr="009F43DE">
        <w:rPr>
          <w:lang w:val="fr-CH"/>
        </w:rPr>
        <w:t xml:space="preserve"> le capital humain et physique du pays à des objectifs de reconstruction et </w:t>
      </w:r>
      <w:r w:rsidR="00091339" w:rsidRPr="009F43DE">
        <w:rPr>
          <w:lang w:val="fr-CH"/>
        </w:rPr>
        <w:t>de</w:t>
      </w:r>
      <w:r w:rsidRPr="009F43DE">
        <w:rPr>
          <w:lang w:val="fr-CH"/>
        </w:rPr>
        <w:t xml:space="preserve"> développement. Comme indiqué dans la réponse au paragraphe 29 des </w:t>
      </w:r>
      <w:r w:rsidR="00091339" w:rsidRPr="009F43DE">
        <w:rPr>
          <w:lang w:val="fr-CH"/>
        </w:rPr>
        <w:t>O</w:t>
      </w:r>
      <w:r w:rsidRPr="009F43DE">
        <w:rPr>
          <w:lang w:val="fr-CH"/>
        </w:rPr>
        <w:t xml:space="preserve">bservations finales, le Gouvernement </w:t>
      </w:r>
      <w:r w:rsidR="00091339" w:rsidRPr="009F43DE">
        <w:rPr>
          <w:lang w:val="fr-CH"/>
        </w:rPr>
        <w:t xml:space="preserve">sri-lankais </w:t>
      </w:r>
      <w:r w:rsidRPr="009F43DE">
        <w:rPr>
          <w:lang w:val="fr-CH"/>
        </w:rPr>
        <w:t>a également entrepris avec succès de r</w:t>
      </w:r>
      <w:r w:rsidR="00091339" w:rsidRPr="009F43DE">
        <w:rPr>
          <w:lang w:val="fr-CH"/>
        </w:rPr>
        <w:t>établir</w:t>
      </w:r>
      <w:r w:rsidRPr="009F43DE">
        <w:rPr>
          <w:lang w:val="fr-CH"/>
        </w:rPr>
        <w:t xml:space="preserve"> les moyens de subsistance des personnes vivant dans les zones touchées par la guerre</w:t>
      </w:r>
      <w:r w:rsidR="00091339" w:rsidRPr="009F43DE">
        <w:rPr>
          <w:lang w:val="fr-CH"/>
        </w:rPr>
        <w:t>, dont l</w:t>
      </w:r>
      <w:r w:rsidR="00F8384A" w:rsidRPr="009F43DE">
        <w:rPr>
          <w:lang w:val="fr-CH"/>
        </w:rPr>
        <w:t>’</w:t>
      </w:r>
      <w:r w:rsidR="00091339" w:rsidRPr="009F43DE">
        <w:rPr>
          <w:lang w:val="fr-CH"/>
        </w:rPr>
        <w:t>évolution</w:t>
      </w:r>
      <w:r w:rsidRPr="009F43DE">
        <w:rPr>
          <w:lang w:val="fr-CH"/>
        </w:rPr>
        <w:t xml:space="preserve"> rapide, en particulier dans le domaine </w:t>
      </w:r>
      <w:r w:rsidR="00091339" w:rsidRPr="009F43DE">
        <w:rPr>
          <w:lang w:val="fr-CH"/>
        </w:rPr>
        <w:t>agricole</w:t>
      </w:r>
      <w:r w:rsidRPr="009F43DE">
        <w:rPr>
          <w:lang w:val="fr-CH"/>
        </w:rPr>
        <w:t xml:space="preserve">, a </w:t>
      </w:r>
      <w:r w:rsidR="00091339" w:rsidRPr="009F43DE">
        <w:rPr>
          <w:lang w:val="fr-CH"/>
        </w:rPr>
        <w:t xml:space="preserve">conduit à une amélioration du </w:t>
      </w:r>
      <w:r w:rsidRPr="009F43DE">
        <w:rPr>
          <w:lang w:val="fr-CH"/>
        </w:rPr>
        <w:t>niveau de revenu de la population.</w:t>
      </w:r>
      <w:r w:rsidR="00C91A83">
        <w:rPr>
          <w:rFonts w:eastAsia="Calibri"/>
          <w:lang w:val="fr-CH"/>
        </w:rPr>
        <w:t xml:space="preserve"> </w:t>
      </w:r>
    </w:p>
    <w:p w:rsidR="00C82061" w:rsidRPr="009F43DE" w:rsidRDefault="00C82061" w:rsidP="00C82061">
      <w:pPr>
        <w:pStyle w:val="SingleTxtG"/>
        <w:rPr>
          <w:rFonts w:eastAsia="Calibri"/>
          <w:lang w:val="fr-CH"/>
        </w:rPr>
      </w:pPr>
      <w:r w:rsidRPr="009F43DE">
        <w:rPr>
          <w:rFonts w:eastAsia="Calibri"/>
          <w:lang w:val="fr-CH"/>
        </w:rPr>
        <w:t>130.</w:t>
      </w:r>
      <w:r w:rsidRPr="009F43DE">
        <w:rPr>
          <w:rFonts w:eastAsia="Calibri"/>
          <w:lang w:val="fr-CH"/>
        </w:rPr>
        <w:tab/>
        <w:t>L</w:t>
      </w:r>
      <w:r w:rsidRPr="009F43DE">
        <w:rPr>
          <w:lang w:val="fr-CH"/>
        </w:rPr>
        <w:t>e</w:t>
      </w:r>
      <w:r w:rsidR="00091339" w:rsidRPr="009F43DE">
        <w:rPr>
          <w:lang w:val="fr-CH"/>
        </w:rPr>
        <w:t>s</w:t>
      </w:r>
      <w:r w:rsidRPr="009F43DE">
        <w:rPr>
          <w:lang w:val="fr-CH"/>
        </w:rPr>
        <w:t xml:space="preserve"> </w:t>
      </w:r>
      <w:r w:rsidR="00091339" w:rsidRPr="009F43DE">
        <w:rPr>
          <w:lang w:val="fr-CH"/>
        </w:rPr>
        <w:t>autorités ont</w:t>
      </w:r>
      <w:r w:rsidRPr="009F43DE">
        <w:rPr>
          <w:lang w:val="fr-CH"/>
        </w:rPr>
        <w:t xml:space="preserve"> affecté d</w:t>
      </w:r>
      <w:r w:rsidR="00F8384A" w:rsidRPr="009F43DE">
        <w:rPr>
          <w:lang w:val="fr-CH"/>
        </w:rPr>
        <w:t>’</w:t>
      </w:r>
      <w:r w:rsidR="00091339" w:rsidRPr="009F43DE">
        <w:rPr>
          <w:lang w:val="fr-CH"/>
        </w:rPr>
        <w:t xml:space="preserve">importantes </w:t>
      </w:r>
      <w:r w:rsidRPr="009F43DE">
        <w:rPr>
          <w:lang w:val="fr-CH"/>
        </w:rPr>
        <w:t>ressources nationales aux provinces du nord et de l</w:t>
      </w:r>
      <w:r w:rsidR="00F8384A" w:rsidRPr="009F43DE">
        <w:rPr>
          <w:lang w:val="fr-CH"/>
        </w:rPr>
        <w:t>’</w:t>
      </w:r>
      <w:r w:rsidRPr="009F43DE">
        <w:rPr>
          <w:lang w:val="fr-CH"/>
        </w:rPr>
        <w:t xml:space="preserve">est pour </w:t>
      </w:r>
      <w:r w:rsidR="00091339" w:rsidRPr="009F43DE">
        <w:rPr>
          <w:lang w:val="fr-CH"/>
        </w:rPr>
        <w:t xml:space="preserve">faciliter </w:t>
      </w:r>
      <w:r w:rsidRPr="009F43DE">
        <w:rPr>
          <w:lang w:val="fr-CH"/>
        </w:rPr>
        <w:t>les processus de réhabilitation, réinstallation et reconstruction. La province du nord a enregistré un taux de croissance du PIB de 23,6 % en 2013, contribuant pour 4,3 % à l</w:t>
      </w:r>
      <w:r w:rsidR="00F8384A" w:rsidRPr="009F43DE">
        <w:rPr>
          <w:lang w:val="fr-CH"/>
        </w:rPr>
        <w:t>’</w:t>
      </w:r>
      <w:r w:rsidRPr="009F43DE">
        <w:rPr>
          <w:lang w:val="fr-CH"/>
        </w:rPr>
        <w:t>économie nationale</w:t>
      </w:r>
      <w:r w:rsidR="00091339" w:rsidRPr="009F43DE">
        <w:rPr>
          <w:lang w:val="fr-CH"/>
        </w:rPr>
        <w:t>,</w:t>
      </w:r>
      <w:r w:rsidRPr="009F43DE">
        <w:rPr>
          <w:lang w:val="fr-CH"/>
        </w:rPr>
        <w:t xml:space="preserve"> contre 3,7</w:t>
      </w:r>
      <w:r w:rsidR="00091339" w:rsidRPr="009F43DE">
        <w:rPr>
          <w:lang w:val="fr-CH"/>
        </w:rPr>
        <w:t> %</w:t>
      </w:r>
      <w:r w:rsidRPr="009F43DE">
        <w:rPr>
          <w:lang w:val="fr-CH"/>
        </w:rPr>
        <w:t xml:space="preserve"> en 2011, tandis que la province de l</w:t>
      </w:r>
      <w:r w:rsidR="00F8384A" w:rsidRPr="009F43DE">
        <w:rPr>
          <w:lang w:val="fr-CH"/>
        </w:rPr>
        <w:t>’</w:t>
      </w:r>
      <w:r w:rsidRPr="009F43DE">
        <w:rPr>
          <w:lang w:val="fr-CH"/>
        </w:rPr>
        <w:t>est a enregistré le deuxième taux de croissance du PIB provincial à 36</w:t>
      </w:r>
      <w:r w:rsidR="00091339" w:rsidRPr="009F43DE">
        <w:rPr>
          <w:lang w:val="fr-CH"/>
        </w:rPr>
        <w:t>,</w:t>
      </w:r>
      <w:r w:rsidRPr="009F43DE">
        <w:rPr>
          <w:lang w:val="fr-CH"/>
        </w:rPr>
        <w:t>6 %</w:t>
      </w:r>
      <w:r w:rsidR="00091339" w:rsidRPr="009F43DE">
        <w:rPr>
          <w:lang w:val="fr-CH"/>
        </w:rPr>
        <w:t xml:space="preserve">, sa contribution au </w:t>
      </w:r>
      <w:r w:rsidRPr="009F43DE">
        <w:rPr>
          <w:lang w:val="fr-CH"/>
        </w:rPr>
        <w:t xml:space="preserve">PIB </w:t>
      </w:r>
      <w:r w:rsidR="00091339" w:rsidRPr="009F43DE">
        <w:rPr>
          <w:lang w:val="fr-CH"/>
        </w:rPr>
        <w:t xml:space="preserve">passant à </w:t>
      </w:r>
      <w:r w:rsidRPr="009F43DE">
        <w:rPr>
          <w:lang w:val="fr-CH"/>
        </w:rPr>
        <w:t>6,9</w:t>
      </w:r>
      <w:r w:rsidR="00091339" w:rsidRPr="009F43DE">
        <w:rPr>
          <w:lang w:val="fr-CH"/>
        </w:rPr>
        <w:t> </w:t>
      </w:r>
      <w:r w:rsidRPr="009F43DE">
        <w:rPr>
          <w:lang w:val="fr-CH"/>
        </w:rPr>
        <w:t>% en 2013 contre 5,8</w:t>
      </w:r>
      <w:r w:rsidR="00091339" w:rsidRPr="009F43DE">
        <w:rPr>
          <w:lang w:val="fr-CH"/>
        </w:rPr>
        <w:t> </w:t>
      </w:r>
      <w:r w:rsidRPr="009F43DE">
        <w:rPr>
          <w:lang w:val="fr-CH"/>
        </w:rPr>
        <w:t xml:space="preserve">% en 2011. Le taux de chômage </w:t>
      </w:r>
      <w:r w:rsidR="00091339" w:rsidRPr="009F43DE">
        <w:rPr>
          <w:lang w:val="fr-CH"/>
        </w:rPr>
        <w:t>a</w:t>
      </w:r>
      <w:r w:rsidRPr="009F43DE">
        <w:rPr>
          <w:lang w:val="fr-CH"/>
        </w:rPr>
        <w:t xml:space="preserve"> également diminué de manière significative dans les provinces du nord et de l</w:t>
      </w:r>
      <w:r w:rsidR="00F8384A" w:rsidRPr="009F43DE">
        <w:rPr>
          <w:lang w:val="fr-CH"/>
        </w:rPr>
        <w:t>’</w:t>
      </w:r>
      <w:r w:rsidRPr="009F43DE">
        <w:rPr>
          <w:lang w:val="fr-CH"/>
        </w:rPr>
        <w:t xml:space="preserve">est. </w:t>
      </w:r>
      <w:r w:rsidR="00091339" w:rsidRPr="009F43DE">
        <w:rPr>
          <w:lang w:val="fr-CH"/>
        </w:rPr>
        <w:t>Dans</w:t>
      </w:r>
      <w:r w:rsidRPr="009F43DE">
        <w:rPr>
          <w:lang w:val="fr-CH"/>
        </w:rPr>
        <w:t xml:space="preserve"> la province du nord</w:t>
      </w:r>
      <w:r w:rsidR="00091339" w:rsidRPr="009F43DE">
        <w:rPr>
          <w:lang w:val="fr-CH"/>
        </w:rPr>
        <w:t>, il est revenu de</w:t>
      </w:r>
      <w:r w:rsidRPr="009F43DE">
        <w:rPr>
          <w:lang w:val="fr-CH"/>
        </w:rPr>
        <w:t xml:space="preserve"> 6,1</w:t>
      </w:r>
      <w:r w:rsidR="00091339" w:rsidRPr="009F43DE">
        <w:rPr>
          <w:lang w:val="fr-CH"/>
        </w:rPr>
        <w:t> </w:t>
      </w:r>
      <w:r w:rsidRPr="009F43DE">
        <w:rPr>
          <w:lang w:val="fr-CH"/>
        </w:rPr>
        <w:t>% à 5,2</w:t>
      </w:r>
      <w:r w:rsidR="00091339" w:rsidRPr="009F43DE">
        <w:rPr>
          <w:lang w:val="fr-CH"/>
        </w:rPr>
        <w:t> </w:t>
      </w:r>
      <w:r w:rsidRPr="009F43DE">
        <w:rPr>
          <w:lang w:val="fr-CH"/>
        </w:rPr>
        <w:t>%, et dans l</w:t>
      </w:r>
      <w:r w:rsidR="00091339" w:rsidRPr="009F43DE">
        <w:rPr>
          <w:lang w:val="fr-CH"/>
        </w:rPr>
        <w:t>a</w:t>
      </w:r>
      <w:r w:rsidRPr="009F43DE">
        <w:rPr>
          <w:lang w:val="fr-CH"/>
        </w:rPr>
        <w:t xml:space="preserve"> province de l</w:t>
      </w:r>
      <w:r w:rsidR="00F8384A" w:rsidRPr="009F43DE">
        <w:rPr>
          <w:lang w:val="fr-CH"/>
        </w:rPr>
        <w:t>’</w:t>
      </w:r>
      <w:r w:rsidRPr="009F43DE">
        <w:rPr>
          <w:lang w:val="fr-CH"/>
        </w:rPr>
        <w:t>est de 15,5</w:t>
      </w:r>
      <w:r w:rsidR="00091339" w:rsidRPr="009F43DE">
        <w:rPr>
          <w:lang w:val="fr-CH"/>
        </w:rPr>
        <w:t> </w:t>
      </w:r>
      <w:r w:rsidRPr="009F43DE">
        <w:rPr>
          <w:lang w:val="fr-CH"/>
        </w:rPr>
        <w:t>% à 4,9</w:t>
      </w:r>
      <w:r w:rsidR="00091339" w:rsidRPr="009F43DE">
        <w:rPr>
          <w:lang w:val="fr-CH"/>
        </w:rPr>
        <w:t> </w:t>
      </w:r>
      <w:r w:rsidRPr="009F43DE">
        <w:rPr>
          <w:lang w:val="fr-CH"/>
        </w:rPr>
        <w:t>% sur la période 2005</w:t>
      </w:r>
      <w:r w:rsidR="000B0D4F">
        <w:rPr>
          <w:lang w:val="fr-CH"/>
        </w:rPr>
        <w:t xml:space="preserve"> à </w:t>
      </w:r>
      <w:r w:rsidRPr="009F43DE">
        <w:rPr>
          <w:lang w:val="fr-CH"/>
        </w:rPr>
        <w:t>2012.</w:t>
      </w:r>
    </w:p>
    <w:p w:rsidR="00C82061" w:rsidRPr="009F43DE" w:rsidRDefault="00C82061" w:rsidP="00C82061">
      <w:pPr>
        <w:pStyle w:val="SingleTxtG"/>
        <w:rPr>
          <w:rFonts w:eastAsia="Calibri"/>
          <w:lang w:val="fr-CH"/>
        </w:rPr>
      </w:pPr>
      <w:r w:rsidRPr="009F43DE">
        <w:rPr>
          <w:rFonts w:eastAsia="Calibri"/>
          <w:lang w:val="fr-CH"/>
        </w:rPr>
        <w:t>131.</w:t>
      </w:r>
      <w:r w:rsidRPr="009F43DE">
        <w:rPr>
          <w:rFonts w:eastAsia="Calibri"/>
          <w:lang w:val="fr-CH"/>
        </w:rPr>
        <w:tab/>
      </w:r>
      <w:r w:rsidRPr="009F43DE">
        <w:rPr>
          <w:lang w:val="fr-CH"/>
        </w:rPr>
        <w:t xml:space="preserve">Dans le cadre du </w:t>
      </w:r>
      <w:r w:rsidR="00091339" w:rsidRPr="009F43DE">
        <w:rPr>
          <w:lang w:val="fr-CH"/>
        </w:rPr>
        <w:t>p</w:t>
      </w:r>
      <w:r w:rsidRPr="009F43DE">
        <w:rPr>
          <w:lang w:val="fr-CH"/>
        </w:rPr>
        <w:t>rogramme de développement urbain (Pura Neguma), 84</w:t>
      </w:r>
      <w:r w:rsidR="00091339" w:rsidRPr="009F43DE">
        <w:rPr>
          <w:lang w:val="fr-CH"/>
        </w:rPr>
        <w:t> </w:t>
      </w:r>
      <w:r w:rsidRPr="009F43DE">
        <w:rPr>
          <w:lang w:val="fr-CH"/>
        </w:rPr>
        <w:t>% des investissements totaux dans le nord et 77</w:t>
      </w:r>
      <w:r w:rsidR="00091339" w:rsidRPr="009F43DE">
        <w:rPr>
          <w:lang w:val="fr-CH"/>
        </w:rPr>
        <w:t> </w:t>
      </w:r>
      <w:r w:rsidRPr="009F43DE">
        <w:rPr>
          <w:lang w:val="fr-CH"/>
        </w:rPr>
        <w:t>% des investissements totaux dans l</w:t>
      </w:r>
      <w:r w:rsidR="00F8384A" w:rsidRPr="009F43DE">
        <w:rPr>
          <w:lang w:val="fr-CH"/>
        </w:rPr>
        <w:t>’</w:t>
      </w:r>
      <w:r w:rsidRPr="009F43DE">
        <w:rPr>
          <w:lang w:val="fr-CH"/>
        </w:rPr>
        <w:t>est ont été c</w:t>
      </w:r>
      <w:r w:rsidR="00091339" w:rsidRPr="009F43DE">
        <w:rPr>
          <w:lang w:val="fr-CH"/>
        </w:rPr>
        <w:t xml:space="preserve">onsacrés à la construction de </w:t>
      </w:r>
      <w:r w:rsidR="00CA1965" w:rsidRPr="009F43DE">
        <w:rPr>
          <w:lang w:val="fr-CH"/>
        </w:rPr>
        <w:t>voies d</w:t>
      </w:r>
      <w:r w:rsidR="00F8384A" w:rsidRPr="009F43DE">
        <w:rPr>
          <w:lang w:val="fr-CH"/>
        </w:rPr>
        <w:t>’</w:t>
      </w:r>
      <w:r w:rsidR="00CA1965" w:rsidRPr="009F43DE">
        <w:rPr>
          <w:lang w:val="fr-CH"/>
        </w:rPr>
        <w:t>accès vers les</w:t>
      </w:r>
      <w:r w:rsidR="00091339" w:rsidRPr="009F43DE">
        <w:rPr>
          <w:lang w:val="fr-CH"/>
        </w:rPr>
        <w:t xml:space="preserve"> zones rurales</w:t>
      </w:r>
      <w:r w:rsidRPr="009F43DE">
        <w:rPr>
          <w:lang w:val="fr-CH"/>
        </w:rPr>
        <w:t xml:space="preserve">. La ligne de chemin de fer reconstruite entre Omanthai et Kilinochchi a été </w:t>
      </w:r>
      <w:r w:rsidR="00091339" w:rsidRPr="009F43DE">
        <w:rPr>
          <w:lang w:val="fr-CH"/>
        </w:rPr>
        <w:t>ouverte</w:t>
      </w:r>
      <w:r w:rsidRPr="009F43DE">
        <w:rPr>
          <w:lang w:val="fr-CH"/>
        </w:rPr>
        <w:t xml:space="preserve"> et dédiée à la population de Sri</w:t>
      </w:r>
      <w:r w:rsidR="000B0D4F">
        <w:rPr>
          <w:lang w:val="fr-CH"/>
        </w:rPr>
        <w:t>-</w:t>
      </w:r>
      <w:r w:rsidRPr="009F43DE">
        <w:rPr>
          <w:lang w:val="fr-CH"/>
        </w:rPr>
        <w:t>Lanka le 14 septembre 2013. Le deuxième segment, Kilinochchi-Pallai, d</w:t>
      </w:r>
      <w:r w:rsidR="00F8384A" w:rsidRPr="009F43DE">
        <w:rPr>
          <w:lang w:val="fr-CH"/>
        </w:rPr>
        <w:t>’</w:t>
      </w:r>
      <w:r w:rsidRPr="009F43DE">
        <w:rPr>
          <w:lang w:val="fr-CH"/>
        </w:rPr>
        <w:t>environ 30</w:t>
      </w:r>
      <w:r w:rsidR="00091339" w:rsidRPr="009F43DE">
        <w:rPr>
          <w:lang w:val="fr-CH"/>
        </w:rPr>
        <w:t> </w:t>
      </w:r>
      <w:r w:rsidRPr="009F43DE">
        <w:rPr>
          <w:lang w:val="fr-CH"/>
        </w:rPr>
        <w:t xml:space="preserve">kilomètres, a été ajouté au réseau ferroviaire. La </w:t>
      </w:r>
      <w:r w:rsidR="00CA1965" w:rsidRPr="009F43DE">
        <w:rPr>
          <w:lang w:val="fr-CH"/>
        </w:rPr>
        <w:t>centrale de</w:t>
      </w:r>
      <w:r w:rsidRPr="009F43DE">
        <w:rPr>
          <w:lang w:val="fr-CH"/>
        </w:rPr>
        <w:t xml:space="preserve"> Chunnakam a été ouverte, </w:t>
      </w:r>
      <w:r w:rsidR="00CA1965" w:rsidRPr="009F43DE">
        <w:rPr>
          <w:lang w:val="fr-CH"/>
        </w:rPr>
        <w:t>connectant</w:t>
      </w:r>
      <w:r w:rsidRPr="009F43DE">
        <w:rPr>
          <w:lang w:val="fr-CH"/>
        </w:rPr>
        <w:t xml:space="preserve"> la péninsule de Jaffna au réseau national après une interruption de deux décennies. Plus de 63 Mw d</w:t>
      </w:r>
      <w:r w:rsidR="00F8384A" w:rsidRPr="009F43DE">
        <w:rPr>
          <w:lang w:val="fr-CH"/>
        </w:rPr>
        <w:t>’</w:t>
      </w:r>
      <w:r w:rsidRPr="009F43DE">
        <w:rPr>
          <w:lang w:val="fr-CH"/>
        </w:rPr>
        <w:t xml:space="preserve">électricité doivent arriver dans la péninsule de Jaffna en passant par </w:t>
      </w:r>
      <w:r w:rsidR="00CA1965" w:rsidRPr="009F43DE">
        <w:rPr>
          <w:lang w:val="fr-CH"/>
        </w:rPr>
        <w:t>cette sous-centrale</w:t>
      </w:r>
      <w:r w:rsidRPr="009F43DE">
        <w:rPr>
          <w:lang w:val="fr-CH"/>
        </w:rPr>
        <w:t xml:space="preserve"> pour laquelle l</w:t>
      </w:r>
      <w:r w:rsidR="00F8384A" w:rsidRPr="009F43DE">
        <w:rPr>
          <w:lang w:val="fr-CH"/>
        </w:rPr>
        <w:t>’</w:t>
      </w:r>
      <w:r w:rsidR="007574C7" w:rsidRPr="009F43DE">
        <w:rPr>
          <w:lang w:val="fr-CH"/>
        </w:rPr>
        <w:t>État</w:t>
      </w:r>
      <w:r w:rsidRPr="009F43DE">
        <w:rPr>
          <w:lang w:val="fr-CH"/>
        </w:rPr>
        <w:t xml:space="preserve"> a dépensé 1 800 millions de roupies. Le nouveau </w:t>
      </w:r>
      <w:r w:rsidR="00CA1965" w:rsidRPr="009F43DE">
        <w:rPr>
          <w:lang w:val="fr-CH"/>
        </w:rPr>
        <w:t>p</w:t>
      </w:r>
      <w:r w:rsidRPr="009F43DE">
        <w:rPr>
          <w:lang w:val="fr-CH"/>
        </w:rPr>
        <w:t>ort d</w:t>
      </w:r>
      <w:r w:rsidR="00F8384A" w:rsidRPr="009F43DE">
        <w:rPr>
          <w:lang w:val="fr-CH"/>
        </w:rPr>
        <w:t>’</w:t>
      </w:r>
      <w:r w:rsidRPr="009F43DE">
        <w:rPr>
          <w:lang w:val="fr-CH"/>
        </w:rPr>
        <w:t>Oluvil à l</w:t>
      </w:r>
      <w:r w:rsidR="00F8384A" w:rsidRPr="009F43DE">
        <w:rPr>
          <w:lang w:val="fr-CH"/>
        </w:rPr>
        <w:t>’</w:t>
      </w:r>
      <w:r w:rsidRPr="009F43DE">
        <w:rPr>
          <w:lang w:val="fr-CH"/>
        </w:rPr>
        <w:t xml:space="preserve">est, </w:t>
      </w:r>
      <w:r w:rsidR="00CA1965" w:rsidRPr="009F43DE">
        <w:rPr>
          <w:lang w:val="fr-CH"/>
        </w:rPr>
        <w:t>dont la construction a coûté</w:t>
      </w:r>
      <w:r w:rsidRPr="009F43DE">
        <w:rPr>
          <w:lang w:val="fr-CH"/>
        </w:rPr>
        <w:t xml:space="preserve"> 7 000 millions de roupies</w:t>
      </w:r>
      <w:r w:rsidR="00CA1965" w:rsidRPr="009F43DE">
        <w:rPr>
          <w:lang w:val="fr-CH"/>
        </w:rPr>
        <w:t>,</w:t>
      </w:r>
      <w:r w:rsidRPr="009F43DE">
        <w:rPr>
          <w:lang w:val="fr-CH"/>
        </w:rPr>
        <w:t xml:space="preserve"> a ouvert en septembre 2013. Le Ministère de la réinstallation a entamé des négociations avec le Conseil de l</w:t>
      </w:r>
      <w:r w:rsidR="00F8384A" w:rsidRPr="009F43DE">
        <w:rPr>
          <w:lang w:val="fr-CH"/>
        </w:rPr>
        <w:t>’</w:t>
      </w:r>
      <w:r w:rsidRPr="009F43DE">
        <w:rPr>
          <w:lang w:val="fr-CH"/>
        </w:rPr>
        <w:t xml:space="preserve">investissement pour ouvrir une antenne régionale à Jaffna, et a également </w:t>
      </w:r>
      <w:r w:rsidR="00CA1965" w:rsidRPr="009F43DE">
        <w:rPr>
          <w:lang w:val="fr-CH"/>
        </w:rPr>
        <w:t xml:space="preserve">tenu </w:t>
      </w:r>
      <w:r w:rsidRPr="009F43DE">
        <w:rPr>
          <w:lang w:val="fr-CH"/>
        </w:rPr>
        <w:t>des discussions avec la Chambre de commerce de Jaffna et le Jaffna Managers Forum sur les moyens de créer de nouveaux emplois dans le</w:t>
      </w:r>
      <w:r w:rsidR="00CA1965" w:rsidRPr="009F43DE">
        <w:rPr>
          <w:lang w:val="fr-CH"/>
        </w:rPr>
        <w:t>s provinces du n</w:t>
      </w:r>
      <w:r w:rsidRPr="009F43DE">
        <w:rPr>
          <w:lang w:val="fr-CH"/>
        </w:rPr>
        <w:t xml:space="preserve">ord et </w:t>
      </w:r>
      <w:r w:rsidR="00CA1965" w:rsidRPr="009F43DE">
        <w:rPr>
          <w:lang w:val="fr-CH"/>
        </w:rPr>
        <w:t>de l</w:t>
      </w:r>
      <w:r w:rsidR="00F8384A" w:rsidRPr="009F43DE">
        <w:rPr>
          <w:lang w:val="fr-CH"/>
        </w:rPr>
        <w:t>’</w:t>
      </w:r>
      <w:r w:rsidR="00CA1965" w:rsidRPr="009F43DE">
        <w:rPr>
          <w:lang w:val="fr-CH"/>
        </w:rPr>
        <w:t>e</w:t>
      </w:r>
      <w:r w:rsidRPr="009F43DE">
        <w:rPr>
          <w:lang w:val="fr-CH"/>
        </w:rPr>
        <w:t>st.</w:t>
      </w:r>
      <w:r w:rsidR="00C91A83">
        <w:rPr>
          <w:rFonts w:eastAsia="Calibri"/>
          <w:lang w:val="fr-CH"/>
        </w:rPr>
        <w:t xml:space="preserve"> </w:t>
      </w:r>
    </w:p>
    <w:p w:rsidR="00C82061" w:rsidRPr="009F43DE" w:rsidRDefault="00C82061" w:rsidP="00C82061">
      <w:pPr>
        <w:pStyle w:val="SingleTxtG"/>
        <w:rPr>
          <w:rFonts w:eastAsia="Calibri"/>
          <w:lang w:val="fr-CH"/>
        </w:rPr>
      </w:pPr>
      <w:r w:rsidRPr="009F43DE">
        <w:rPr>
          <w:rFonts w:eastAsia="Calibri"/>
          <w:lang w:val="fr-CH"/>
        </w:rPr>
        <w:t>132.</w:t>
      </w:r>
      <w:r w:rsidRPr="009F43DE">
        <w:rPr>
          <w:rFonts w:eastAsia="Calibri"/>
          <w:lang w:val="fr-CH"/>
        </w:rPr>
        <w:tab/>
      </w:r>
      <w:r w:rsidRPr="009F43DE">
        <w:rPr>
          <w:lang w:val="fr-CH"/>
        </w:rPr>
        <w:t xml:space="preserve">Sri Lanka a été </w:t>
      </w:r>
      <w:r w:rsidR="00CA1965" w:rsidRPr="009F43DE">
        <w:rPr>
          <w:lang w:val="fr-CH"/>
        </w:rPr>
        <w:t>classée dans la catégorie</w:t>
      </w:r>
      <w:r w:rsidRPr="009F43DE">
        <w:rPr>
          <w:lang w:val="fr-CH"/>
        </w:rPr>
        <w:t xml:space="preserve"> de</w:t>
      </w:r>
      <w:r w:rsidR="00CA1965" w:rsidRPr="009F43DE">
        <w:rPr>
          <w:lang w:val="fr-CH"/>
        </w:rPr>
        <w:t>s</w:t>
      </w:r>
      <w:r w:rsidRPr="009F43DE">
        <w:rPr>
          <w:lang w:val="fr-CH"/>
        </w:rPr>
        <w:t xml:space="preserve"> pays à revenu intermédiaire </w:t>
      </w:r>
      <w:r w:rsidR="00CA1965" w:rsidRPr="009F43DE">
        <w:rPr>
          <w:lang w:val="fr-CH"/>
        </w:rPr>
        <w:t xml:space="preserve">de la tranche supérieure </w:t>
      </w:r>
      <w:r w:rsidRPr="009F43DE">
        <w:rPr>
          <w:lang w:val="fr-CH"/>
        </w:rPr>
        <w:t xml:space="preserve">par le Fonds monétaire international (FMI) le 11 janvier 2010, ce qui </w:t>
      </w:r>
      <w:r w:rsidR="00CA1965" w:rsidRPr="009F43DE">
        <w:rPr>
          <w:lang w:val="fr-CH"/>
        </w:rPr>
        <w:t>la</w:t>
      </w:r>
      <w:r w:rsidRPr="009F43DE">
        <w:rPr>
          <w:lang w:val="fr-CH"/>
        </w:rPr>
        <w:t xml:space="preserve"> fait sortir de la liste des pays </w:t>
      </w:r>
      <w:r w:rsidR="00CA1965" w:rsidRPr="009F43DE">
        <w:rPr>
          <w:lang w:val="fr-CH"/>
        </w:rPr>
        <w:t>répondant aux conditions requises pour bénéficier d</w:t>
      </w:r>
      <w:r w:rsidRPr="009F43DE">
        <w:rPr>
          <w:lang w:val="fr-CH"/>
        </w:rPr>
        <w:t>u Fonds fiduciaire pour la réduction de la pauvreté et pour la croissance. Les principaux facteurs de ce</w:t>
      </w:r>
      <w:r w:rsidR="00CA1965" w:rsidRPr="009F43DE">
        <w:rPr>
          <w:lang w:val="fr-CH"/>
        </w:rPr>
        <w:t xml:space="preserve"> reclassement</w:t>
      </w:r>
      <w:r w:rsidRPr="009F43DE">
        <w:rPr>
          <w:lang w:val="fr-CH"/>
        </w:rPr>
        <w:t xml:space="preserve"> sont les suivants</w:t>
      </w:r>
      <w:r w:rsidR="00F8384A" w:rsidRPr="009F43DE">
        <w:rPr>
          <w:lang w:val="fr-CH"/>
        </w:rPr>
        <w:t>:</w:t>
      </w:r>
      <w:r w:rsidRPr="009F43DE">
        <w:rPr>
          <w:lang w:val="fr-CH"/>
        </w:rPr>
        <w:t xml:space="preserve"> i) avoir un revenu par habitant bien au-dessus du seuil </w:t>
      </w:r>
      <w:r w:rsidR="00CA1965" w:rsidRPr="009F43DE">
        <w:rPr>
          <w:lang w:val="fr-CH"/>
        </w:rPr>
        <w:t>fixé par</w:t>
      </w:r>
      <w:r w:rsidRPr="009F43DE">
        <w:rPr>
          <w:lang w:val="fr-CH"/>
        </w:rPr>
        <w:t xml:space="preserve"> l</w:t>
      </w:r>
      <w:r w:rsidR="00F8384A" w:rsidRPr="009F43DE">
        <w:rPr>
          <w:lang w:val="fr-CH"/>
        </w:rPr>
        <w:t>’</w:t>
      </w:r>
      <w:r w:rsidRPr="009F43DE">
        <w:rPr>
          <w:lang w:val="fr-CH"/>
        </w:rPr>
        <w:t xml:space="preserve">Association internationale de développement </w:t>
      </w:r>
      <w:r w:rsidR="00CA1965" w:rsidRPr="009F43DE">
        <w:rPr>
          <w:lang w:val="fr-CH"/>
        </w:rPr>
        <w:t>depuis</w:t>
      </w:r>
      <w:r w:rsidRPr="009F43DE">
        <w:rPr>
          <w:lang w:val="fr-CH"/>
        </w:rPr>
        <w:t xml:space="preserve"> plusieurs années</w:t>
      </w:r>
      <w:r w:rsidR="000B0D4F">
        <w:rPr>
          <w:lang w:val="fr-CH"/>
        </w:rPr>
        <w:t>;</w:t>
      </w:r>
      <w:r w:rsidRPr="009F43DE">
        <w:rPr>
          <w:lang w:val="fr-CH"/>
        </w:rPr>
        <w:t xml:space="preserve"> ii) être en mesure d</w:t>
      </w:r>
      <w:r w:rsidR="00F8384A" w:rsidRPr="009F43DE">
        <w:rPr>
          <w:lang w:val="fr-CH"/>
        </w:rPr>
        <w:t>’</w:t>
      </w:r>
      <w:r w:rsidRPr="009F43DE">
        <w:rPr>
          <w:lang w:val="fr-CH"/>
        </w:rPr>
        <w:t>accéder de façon durable et substantielle aux marchés internationaux</w:t>
      </w:r>
      <w:r w:rsidR="0013497C" w:rsidRPr="009F43DE">
        <w:rPr>
          <w:lang w:val="fr-CH"/>
        </w:rPr>
        <w:t xml:space="preserve"> des capitaux</w:t>
      </w:r>
      <w:r w:rsidR="000B0D4F">
        <w:rPr>
          <w:lang w:val="fr-CH"/>
        </w:rPr>
        <w:t>;</w:t>
      </w:r>
      <w:r w:rsidRPr="009F43DE">
        <w:rPr>
          <w:lang w:val="fr-CH"/>
        </w:rPr>
        <w:t xml:space="preserve"> et iii) ne pas </w:t>
      </w:r>
      <w:r w:rsidR="0013497C" w:rsidRPr="009F43DE">
        <w:rPr>
          <w:lang w:val="fr-CH"/>
        </w:rPr>
        <w:t>souffrir</w:t>
      </w:r>
      <w:r w:rsidRPr="009F43DE">
        <w:rPr>
          <w:lang w:val="fr-CH"/>
        </w:rPr>
        <w:t xml:space="preserve"> de graves vulnérabilités à court terme.</w:t>
      </w:r>
      <w:r w:rsidR="00C91A83">
        <w:rPr>
          <w:lang w:val="fr-CH"/>
        </w:rPr>
        <w:t xml:space="preserve"> </w:t>
      </w:r>
    </w:p>
    <w:p w:rsidR="00C82061" w:rsidRPr="009F43DE" w:rsidRDefault="00C82061" w:rsidP="00C82061">
      <w:pPr>
        <w:pStyle w:val="SingleTxtG"/>
        <w:rPr>
          <w:rFonts w:eastAsia="Calibri"/>
          <w:lang w:val="fr-CH"/>
        </w:rPr>
      </w:pPr>
      <w:r w:rsidRPr="009F43DE">
        <w:rPr>
          <w:rFonts w:eastAsia="Calibri"/>
          <w:lang w:val="fr-CH"/>
        </w:rPr>
        <w:t>133.</w:t>
      </w:r>
      <w:r w:rsidRPr="009F43DE">
        <w:rPr>
          <w:rFonts w:eastAsia="Calibri"/>
          <w:lang w:val="fr-CH"/>
        </w:rPr>
        <w:tab/>
      </w:r>
      <w:r w:rsidRPr="009F43DE">
        <w:rPr>
          <w:lang w:val="fr-CH"/>
        </w:rPr>
        <w:t xml:space="preserve">En outre, </w:t>
      </w:r>
      <w:r w:rsidR="0013497C" w:rsidRPr="009F43DE">
        <w:rPr>
          <w:lang w:val="fr-CH"/>
        </w:rPr>
        <w:t xml:space="preserve">les </w:t>
      </w:r>
      <w:r w:rsidR="000B0D4F" w:rsidRPr="009F43DE">
        <w:rPr>
          <w:lang w:val="fr-CH"/>
        </w:rPr>
        <w:t>récents</w:t>
      </w:r>
      <w:r w:rsidR="0013497C" w:rsidRPr="009F43DE">
        <w:rPr>
          <w:lang w:val="fr-CH"/>
        </w:rPr>
        <w:t xml:space="preserve"> résultats socioéconomiques témoignent de </w:t>
      </w:r>
      <w:r w:rsidRPr="009F43DE">
        <w:rPr>
          <w:lang w:val="fr-CH"/>
        </w:rPr>
        <w:t>l</w:t>
      </w:r>
      <w:r w:rsidR="00F8384A" w:rsidRPr="009F43DE">
        <w:rPr>
          <w:lang w:val="fr-CH"/>
        </w:rPr>
        <w:t>’</w:t>
      </w:r>
      <w:r w:rsidRPr="009F43DE">
        <w:rPr>
          <w:lang w:val="fr-CH"/>
        </w:rPr>
        <w:t>engagement d</w:t>
      </w:r>
      <w:r w:rsidR="0013497C" w:rsidRPr="009F43DE">
        <w:rPr>
          <w:lang w:val="fr-CH"/>
        </w:rPr>
        <w:t>e l</w:t>
      </w:r>
      <w:r w:rsidR="00F8384A" w:rsidRPr="009F43DE">
        <w:rPr>
          <w:lang w:val="fr-CH"/>
        </w:rPr>
        <w:t>’</w:t>
      </w:r>
      <w:r w:rsidR="007574C7" w:rsidRPr="009F43DE">
        <w:rPr>
          <w:lang w:val="fr-CH"/>
        </w:rPr>
        <w:t>État</w:t>
      </w:r>
      <w:r w:rsidR="0013497C" w:rsidRPr="009F43DE">
        <w:rPr>
          <w:lang w:val="fr-CH"/>
        </w:rPr>
        <w:t xml:space="preserve"> en faveur de la</w:t>
      </w:r>
      <w:r w:rsidRPr="009F43DE">
        <w:rPr>
          <w:lang w:val="fr-CH"/>
        </w:rPr>
        <w:t xml:space="preserve"> lutte contre la pauvreté. Les progrès accomplis dans la réalisation des </w:t>
      </w:r>
      <w:r w:rsidR="0013497C" w:rsidRPr="009F43DE">
        <w:rPr>
          <w:lang w:val="fr-CH"/>
        </w:rPr>
        <w:t>o</w:t>
      </w:r>
      <w:r w:rsidRPr="009F43DE">
        <w:rPr>
          <w:lang w:val="fr-CH"/>
        </w:rPr>
        <w:t>bjectifs du Millénaire pour le développement et des objectifs de développement de l</w:t>
      </w:r>
      <w:r w:rsidR="00F8384A" w:rsidRPr="009F43DE">
        <w:rPr>
          <w:lang w:val="fr-CH"/>
        </w:rPr>
        <w:t>’</w:t>
      </w:r>
      <w:r w:rsidR="0013497C" w:rsidRPr="009F43DE">
        <w:rPr>
          <w:rStyle w:val="admitted"/>
          <w:color w:val="333333"/>
          <w:lang w:val="fr-CH"/>
        </w:rPr>
        <w:t>Association sud-asiatique de coopération régionale (</w:t>
      </w:r>
      <w:r w:rsidRPr="009F43DE">
        <w:rPr>
          <w:lang w:val="fr-CH"/>
        </w:rPr>
        <w:t>ASACR</w:t>
      </w:r>
      <w:r w:rsidR="0013497C" w:rsidRPr="009F43DE">
        <w:rPr>
          <w:lang w:val="fr-CH"/>
        </w:rPr>
        <w:t>)</w:t>
      </w:r>
      <w:r w:rsidRPr="009F43DE">
        <w:rPr>
          <w:lang w:val="fr-CH"/>
        </w:rPr>
        <w:t xml:space="preserve"> montrent sans aucun doute l</w:t>
      </w:r>
      <w:r w:rsidR="00F8384A" w:rsidRPr="009F43DE">
        <w:rPr>
          <w:lang w:val="fr-CH"/>
        </w:rPr>
        <w:t>’</w:t>
      </w:r>
      <w:r w:rsidRPr="009F43DE">
        <w:rPr>
          <w:lang w:val="fr-CH"/>
        </w:rPr>
        <w:t xml:space="preserve">efficacité des mesures prises pour réduire la pauvreté. La mise en </w:t>
      </w:r>
      <w:r w:rsidR="0013497C" w:rsidRPr="009F43DE">
        <w:rPr>
          <w:lang w:val="fr-CH"/>
        </w:rPr>
        <w:t xml:space="preserve">place de </w:t>
      </w:r>
      <w:r w:rsidRPr="009F43DE">
        <w:rPr>
          <w:lang w:val="fr-CH"/>
        </w:rPr>
        <w:t xml:space="preserve">filets de sécurité pour </w:t>
      </w:r>
      <w:r w:rsidR="0013497C" w:rsidRPr="009F43DE">
        <w:rPr>
          <w:lang w:val="fr-CH"/>
        </w:rPr>
        <w:t>certains</w:t>
      </w:r>
      <w:r w:rsidRPr="009F43DE">
        <w:rPr>
          <w:lang w:val="fr-CH"/>
        </w:rPr>
        <w:t xml:space="preserve"> groupes communautaires </w:t>
      </w:r>
      <w:r w:rsidR="0013497C" w:rsidRPr="009F43DE">
        <w:rPr>
          <w:lang w:val="fr-CH"/>
        </w:rPr>
        <w:t xml:space="preserve">vise à </w:t>
      </w:r>
      <w:r w:rsidRPr="009F43DE">
        <w:rPr>
          <w:lang w:val="fr-CH"/>
        </w:rPr>
        <w:t xml:space="preserve">empêcher que les communautés vulnérables </w:t>
      </w:r>
      <w:r w:rsidR="0013497C" w:rsidRPr="009F43DE">
        <w:rPr>
          <w:lang w:val="fr-CH"/>
        </w:rPr>
        <w:t xml:space="preserve">ne </w:t>
      </w:r>
      <w:r w:rsidRPr="009F43DE">
        <w:rPr>
          <w:lang w:val="fr-CH"/>
        </w:rPr>
        <w:t>soient victimes des forces du marché concurrentiel</w:t>
      </w:r>
      <w:r w:rsidR="0013497C" w:rsidRPr="009F43DE">
        <w:rPr>
          <w:lang w:val="fr-CH"/>
        </w:rPr>
        <w:t>les</w:t>
      </w:r>
      <w:r w:rsidRPr="009F43DE">
        <w:rPr>
          <w:lang w:val="fr-CH"/>
        </w:rPr>
        <w:t xml:space="preserve"> dans un cadre macroéconomique. Dans le même temps, les progrès </w:t>
      </w:r>
      <w:r w:rsidR="0013497C" w:rsidRPr="009F43DE">
        <w:rPr>
          <w:lang w:val="fr-CH"/>
        </w:rPr>
        <w:t>accomplis</w:t>
      </w:r>
      <w:r w:rsidRPr="009F43DE">
        <w:rPr>
          <w:lang w:val="fr-CH"/>
        </w:rPr>
        <w:t xml:space="preserve"> dans les domaines de la santé et de l</w:t>
      </w:r>
      <w:r w:rsidR="00F8384A" w:rsidRPr="009F43DE">
        <w:rPr>
          <w:lang w:val="fr-CH"/>
        </w:rPr>
        <w:t>’</w:t>
      </w:r>
      <w:r w:rsidRPr="009F43DE">
        <w:rPr>
          <w:lang w:val="fr-CH"/>
        </w:rPr>
        <w:t>éducation ont eu un</w:t>
      </w:r>
      <w:r w:rsidR="0013497C" w:rsidRPr="009F43DE">
        <w:rPr>
          <w:lang w:val="fr-CH"/>
        </w:rPr>
        <w:t>e</w:t>
      </w:r>
      <w:r w:rsidRPr="009F43DE">
        <w:rPr>
          <w:lang w:val="fr-CH"/>
        </w:rPr>
        <w:t xml:space="preserve"> </w:t>
      </w:r>
      <w:r w:rsidR="0013497C" w:rsidRPr="009F43DE">
        <w:rPr>
          <w:lang w:val="fr-CH"/>
        </w:rPr>
        <w:t xml:space="preserve">importante </w:t>
      </w:r>
      <w:r w:rsidRPr="009F43DE">
        <w:rPr>
          <w:lang w:val="fr-CH"/>
        </w:rPr>
        <w:t>i</w:t>
      </w:r>
      <w:r w:rsidR="0013497C" w:rsidRPr="009F43DE">
        <w:rPr>
          <w:lang w:val="fr-CH"/>
        </w:rPr>
        <w:t>ncidence sur le st</w:t>
      </w:r>
      <w:r w:rsidRPr="009F43DE">
        <w:rPr>
          <w:lang w:val="fr-CH"/>
        </w:rPr>
        <w:t xml:space="preserve">atut socioéconomique actuel du pays. Voir aussi la réponse ci-dessus au paragraphe 13 des </w:t>
      </w:r>
      <w:r w:rsidR="0013497C" w:rsidRPr="009F43DE">
        <w:rPr>
          <w:lang w:val="fr-CH"/>
        </w:rPr>
        <w:t>O</w:t>
      </w:r>
      <w:r w:rsidRPr="009F43DE">
        <w:rPr>
          <w:lang w:val="fr-CH"/>
        </w:rPr>
        <w:t>bservations finales.</w:t>
      </w:r>
    </w:p>
    <w:p w:rsidR="00C82061" w:rsidRPr="009F43DE" w:rsidRDefault="00C82061" w:rsidP="00C82061">
      <w:pPr>
        <w:pStyle w:val="SingleTxtG"/>
        <w:rPr>
          <w:lang w:val="fr-CH"/>
        </w:rPr>
      </w:pPr>
      <w:r w:rsidRPr="009F43DE">
        <w:rPr>
          <w:lang w:val="fr-CH"/>
        </w:rPr>
        <w:t>134.</w:t>
      </w:r>
      <w:r w:rsidRPr="009F43DE">
        <w:rPr>
          <w:lang w:val="fr-CH"/>
        </w:rPr>
        <w:tab/>
        <w:t>Le programme Divi Neguma</w:t>
      </w:r>
      <w:r w:rsidRPr="009F43DE">
        <w:rPr>
          <w:rStyle w:val="FootnoteReference"/>
          <w:lang w:val="fr-CH"/>
        </w:rPr>
        <w:footnoteReference w:id="12"/>
      </w:r>
      <w:r w:rsidRPr="009F43DE">
        <w:rPr>
          <w:lang w:val="fr-CH"/>
        </w:rPr>
        <w:t xml:space="preserve"> a commencé en mars 2011, avec </w:t>
      </w:r>
      <w:r w:rsidR="0013497C" w:rsidRPr="009F43DE">
        <w:rPr>
          <w:lang w:val="fr-CH"/>
        </w:rPr>
        <w:t xml:space="preserve">pour </w:t>
      </w:r>
      <w:r w:rsidRPr="009F43DE">
        <w:rPr>
          <w:lang w:val="fr-CH"/>
        </w:rPr>
        <w:t xml:space="preserve">objectif de créer des unités domestiques saines et fortes et économiquement autonomes. </w:t>
      </w:r>
      <w:r w:rsidR="0013497C" w:rsidRPr="009F43DE">
        <w:rPr>
          <w:lang w:val="fr-CH"/>
        </w:rPr>
        <w:t>C</w:t>
      </w:r>
      <w:r w:rsidRPr="009F43DE">
        <w:rPr>
          <w:lang w:val="fr-CH"/>
        </w:rPr>
        <w:t>e programme vise essentiellement à améliorer les éléments d</w:t>
      </w:r>
      <w:r w:rsidR="00F8384A" w:rsidRPr="009F43DE">
        <w:rPr>
          <w:lang w:val="fr-CH"/>
        </w:rPr>
        <w:t>’</w:t>
      </w:r>
      <w:r w:rsidRPr="009F43DE">
        <w:rPr>
          <w:lang w:val="fr-CH"/>
        </w:rPr>
        <w:t>infrastructure locaux tels que les routes</w:t>
      </w:r>
      <w:r w:rsidRPr="009F43DE">
        <w:rPr>
          <w:rStyle w:val="FootnoteReference"/>
          <w:lang w:val="fr-CH"/>
        </w:rPr>
        <w:footnoteReference w:id="13"/>
      </w:r>
      <w:r w:rsidRPr="009F43DE">
        <w:rPr>
          <w:lang w:val="fr-CH"/>
        </w:rPr>
        <w:t xml:space="preserve">, </w:t>
      </w:r>
      <w:r w:rsidR="00EB6864" w:rsidRPr="009F43DE">
        <w:rPr>
          <w:lang w:val="fr-CH"/>
        </w:rPr>
        <w:t>en zones rurales</w:t>
      </w:r>
      <w:r w:rsidRPr="009F43DE">
        <w:rPr>
          <w:rStyle w:val="FootnoteReference"/>
          <w:lang w:val="fr-CH"/>
        </w:rPr>
        <w:footnoteReference w:id="14"/>
      </w:r>
      <w:r w:rsidRPr="009F43DE">
        <w:rPr>
          <w:lang w:val="fr-CH"/>
        </w:rPr>
        <w:t>, qui servent d</w:t>
      </w:r>
      <w:r w:rsidR="00EB6864" w:rsidRPr="009F43DE">
        <w:rPr>
          <w:lang w:val="fr-CH"/>
        </w:rPr>
        <w:t>e voies d</w:t>
      </w:r>
      <w:r w:rsidR="00F8384A" w:rsidRPr="009F43DE">
        <w:rPr>
          <w:lang w:val="fr-CH"/>
        </w:rPr>
        <w:t>’</w:t>
      </w:r>
      <w:r w:rsidR="00EB6864" w:rsidRPr="009F43DE">
        <w:rPr>
          <w:lang w:val="fr-CH"/>
        </w:rPr>
        <w:t>accès aux</w:t>
      </w:r>
      <w:r w:rsidRPr="009F43DE">
        <w:rPr>
          <w:lang w:val="fr-CH"/>
        </w:rPr>
        <w:t xml:space="preserve"> producteurs locaux </w:t>
      </w:r>
      <w:r w:rsidR="00EB6864" w:rsidRPr="009F43DE">
        <w:rPr>
          <w:lang w:val="fr-CH"/>
        </w:rPr>
        <w:t xml:space="preserve">pour </w:t>
      </w:r>
      <w:r w:rsidRPr="009F43DE">
        <w:rPr>
          <w:lang w:val="fr-CH"/>
        </w:rPr>
        <w:t>transporter et commercialiser leurs produits dans les centres de marchés urbains</w:t>
      </w:r>
      <w:r w:rsidR="00EB6864" w:rsidRPr="009F43DE">
        <w:rPr>
          <w:lang w:val="fr-CH"/>
        </w:rPr>
        <w:t>. Accessoirement, cela</w:t>
      </w:r>
      <w:r w:rsidRPr="009F43DE">
        <w:rPr>
          <w:lang w:val="fr-CH"/>
        </w:rPr>
        <w:t xml:space="preserve"> a permis d</w:t>
      </w:r>
      <w:r w:rsidR="00F8384A" w:rsidRPr="009F43DE">
        <w:rPr>
          <w:lang w:val="fr-CH"/>
        </w:rPr>
        <w:t>’</w:t>
      </w:r>
      <w:r w:rsidRPr="009F43DE">
        <w:rPr>
          <w:lang w:val="fr-CH"/>
        </w:rPr>
        <w:t xml:space="preserve">améliorer les possibilités </w:t>
      </w:r>
      <w:r w:rsidR="00EB6864" w:rsidRPr="009F43DE">
        <w:rPr>
          <w:lang w:val="fr-CH"/>
        </w:rPr>
        <w:t>de génération de revenus des</w:t>
      </w:r>
      <w:r w:rsidRPr="009F43DE">
        <w:rPr>
          <w:lang w:val="fr-CH"/>
        </w:rPr>
        <w:t xml:space="preserve"> communauté</w:t>
      </w:r>
      <w:r w:rsidR="00EB6864" w:rsidRPr="009F43DE">
        <w:rPr>
          <w:lang w:val="fr-CH"/>
        </w:rPr>
        <w:t>s</w:t>
      </w:r>
      <w:r w:rsidRPr="009F43DE">
        <w:rPr>
          <w:lang w:val="fr-CH"/>
        </w:rPr>
        <w:t xml:space="preserve"> agricole</w:t>
      </w:r>
      <w:r w:rsidR="00EB6864" w:rsidRPr="009F43DE">
        <w:rPr>
          <w:lang w:val="fr-CH"/>
        </w:rPr>
        <w:t>s</w:t>
      </w:r>
      <w:r w:rsidRPr="009F43DE">
        <w:rPr>
          <w:lang w:val="fr-CH"/>
        </w:rPr>
        <w:t xml:space="preserve">. </w:t>
      </w:r>
    </w:p>
    <w:p w:rsidR="00C82061" w:rsidRPr="009F43DE" w:rsidRDefault="00C82061" w:rsidP="00C82061">
      <w:pPr>
        <w:pStyle w:val="SingleTxtG"/>
        <w:rPr>
          <w:rFonts w:eastAsia="Calibri"/>
          <w:lang w:val="fr-CH"/>
        </w:rPr>
      </w:pPr>
      <w:r w:rsidRPr="009F43DE">
        <w:rPr>
          <w:rFonts w:eastAsia="Calibri"/>
          <w:lang w:val="fr-CH"/>
        </w:rPr>
        <w:t>135.</w:t>
      </w:r>
      <w:r w:rsidRPr="009F43DE">
        <w:rPr>
          <w:rFonts w:eastAsia="Calibri"/>
          <w:lang w:val="fr-CH"/>
        </w:rPr>
        <w:tab/>
        <w:t>La r</w:t>
      </w:r>
      <w:r w:rsidRPr="009F43DE">
        <w:rPr>
          <w:lang w:val="fr-CH"/>
        </w:rPr>
        <w:t xml:space="preserve">econstruction de petits </w:t>
      </w:r>
      <w:r w:rsidR="00EB6864" w:rsidRPr="009F43DE">
        <w:rPr>
          <w:lang w:val="fr-CH"/>
        </w:rPr>
        <w:t>systèmes</w:t>
      </w:r>
      <w:r w:rsidRPr="009F43DE">
        <w:rPr>
          <w:lang w:val="fr-CH"/>
        </w:rPr>
        <w:t xml:space="preserve"> d</w:t>
      </w:r>
      <w:r w:rsidR="00F8384A" w:rsidRPr="009F43DE">
        <w:rPr>
          <w:lang w:val="fr-CH"/>
        </w:rPr>
        <w:t>’</w:t>
      </w:r>
      <w:r w:rsidRPr="009F43DE">
        <w:rPr>
          <w:lang w:val="fr-CH"/>
        </w:rPr>
        <w:t xml:space="preserve">irrigation et la </w:t>
      </w:r>
      <w:r w:rsidR="00EB6864" w:rsidRPr="009F43DE">
        <w:rPr>
          <w:lang w:val="fr-CH"/>
        </w:rPr>
        <w:t xml:space="preserve">remise en </w:t>
      </w:r>
      <w:r w:rsidRPr="009F43DE">
        <w:rPr>
          <w:lang w:val="fr-CH"/>
        </w:rPr>
        <w:t>culture de rizières abandonnées ont permis aux communautés rurales d</w:t>
      </w:r>
      <w:r w:rsidR="00F8384A" w:rsidRPr="009F43DE">
        <w:rPr>
          <w:lang w:val="fr-CH"/>
        </w:rPr>
        <w:t>’</w:t>
      </w:r>
      <w:r w:rsidR="00EB6864" w:rsidRPr="009F43DE">
        <w:rPr>
          <w:lang w:val="fr-CH"/>
        </w:rPr>
        <w:t xml:space="preserve">entreprendre </w:t>
      </w:r>
      <w:r w:rsidRPr="009F43DE">
        <w:rPr>
          <w:lang w:val="fr-CH"/>
        </w:rPr>
        <w:t>des activités agricoles</w:t>
      </w:r>
      <w:r w:rsidR="00EB6864" w:rsidRPr="009F43DE">
        <w:rPr>
          <w:lang w:val="fr-CH"/>
        </w:rPr>
        <w:t xml:space="preserve"> et de trouver ainsi </w:t>
      </w:r>
      <w:r w:rsidRPr="009F43DE">
        <w:rPr>
          <w:lang w:val="fr-CH"/>
        </w:rPr>
        <w:t xml:space="preserve">de nouvelles possibilités de génération de revenus. Ces initiatives devraient contribuer à la sécurité alimentaire et aux efforts de développement durable du pays, soulignant </w:t>
      </w:r>
      <w:r w:rsidR="00EB6864" w:rsidRPr="009F43DE">
        <w:rPr>
          <w:lang w:val="fr-CH"/>
        </w:rPr>
        <w:t>l</w:t>
      </w:r>
      <w:r w:rsidR="00F8384A" w:rsidRPr="009F43DE">
        <w:rPr>
          <w:lang w:val="fr-CH"/>
        </w:rPr>
        <w:t>’</w:t>
      </w:r>
      <w:r w:rsidR="00EB6864" w:rsidRPr="009F43DE">
        <w:rPr>
          <w:lang w:val="fr-CH"/>
        </w:rPr>
        <w:t>intérêt de</w:t>
      </w:r>
      <w:r w:rsidRPr="009F43DE">
        <w:rPr>
          <w:lang w:val="fr-CH"/>
        </w:rPr>
        <w:t xml:space="preserve"> l</w:t>
      </w:r>
      <w:r w:rsidR="00F8384A" w:rsidRPr="009F43DE">
        <w:rPr>
          <w:lang w:val="fr-CH"/>
        </w:rPr>
        <w:t>’</w:t>
      </w:r>
      <w:r w:rsidRPr="009F43DE">
        <w:rPr>
          <w:lang w:val="fr-CH"/>
        </w:rPr>
        <w:t>approche diversifiée et holistique du développement que le</w:t>
      </w:r>
      <w:r w:rsidR="00EB6864" w:rsidRPr="009F43DE">
        <w:rPr>
          <w:lang w:val="fr-CH"/>
        </w:rPr>
        <w:t>s autorités cherchent à privilégier</w:t>
      </w:r>
      <w:r w:rsidRPr="009F43DE">
        <w:rPr>
          <w:lang w:val="fr-CH"/>
        </w:rPr>
        <w:t>.</w:t>
      </w:r>
    </w:p>
    <w:p w:rsidR="00C82061" w:rsidRPr="009F43DE" w:rsidRDefault="00C82061" w:rsidP="00C82061">
      <w:pPr>
        <w:pStyle w:val="SingleTxtG"/>
        <w:rPr>
          <w:rFonts w:eastAsia="Calibri"/>
          <w:lang w:val="fr-CH"/>
        </w:rPr>
      </w:pPr>
      <w:r w:rsidRPr="009F43DE">
        <w:rPr>
          <w:rFonts w:eastAsia="Calibri"/>
          <w:lang w:val="fr-CH"/>
        </w:rPr>
        <w:t>136.</w:t>
      </w:r>
      <w:r w:rsidRPr="009F43DE">
        <w:rPr>
          <w:rFonts w:eastAsia="Calibri"/>
          <w:lang w:val="fr-CH"/>
        </w:rPr>
        <w:tab/>
      </w:r>
      <w:r w:rsidRPr="009F43DE">
        <w:rPr>
          <w:lang w:val="fr-CH"/>
        </w:rPr>
        <w:t xml:space="preserve">En outre, des </w:t>
      </w:r>
      <w:r w:rsidR="00EB6864" w:rsidRPr="009F43DE">
        <w:rPr>
          <w:lang w:val="fr-CH"/>
        </w:rPr>
        <w:t>mesures ont été prises</w:t>
      </w:r>
      <w:r w:rsidRPr="009F43DE">
        <w:rPr>
          <w:lang w:val="fr-CH"/>
        </w:rPr>
        <w:t xml:space="preserve"> en matière de microcrédit </w:t>
      </w:r>
      <w:r w:rsidR="00EB6864" w:rsidRPr="009F43DE">
        <w:rPr>
          <w:lang w:val="fr-CH"/>
        </w:rPr>
        <w:t>afin de</w:t>
      </w:r>
      <w:r w:rsidRPr="009F43DE">
        <w:rPr>
          <w:lang w:val="fr-CH"/>
        </w:rPr>
        <w:t xml:space="preserve"> résoudre les problèmes de </w:t>
      </w:r>
      <w:r w:rsidR="00EB6864" w:rsidRPr="009F43DE">
        <w:rPr>
          <w:lang w:val="fr-CH"/>
        </w:rPr>
        <w:t>financement</w:t>
      </w:r>
      <w:r w:rsidRPr="009F43DE">
        <w:rPr>
          <w:lang w:val="fr-CH"/>
        </w:rPr>
        <w:t xml:space="preserve"> des femmes cherchant à créer des entreprises. Comme mentionné ci-dessus, le Gouvernement </w:t>
      </w:r>
      <w:r w:rsidR="00EB6864" w:rsidRPr="009F43DE">
        <w:rPr>
          <w:lang w:val="fr-CH"/>
        </w:rPr>
        <w:t>sri-lankais souhaite tirer pleinement parti d</w:t>
      </w:r>
      <w:r w:rsidRPr="009F43DE">
        <w:rPr>
          <w:lang w:val="fr-CH"/>
        </w:rPr>
        <w:t xml:space="preserve">es ambitions et </w:t>
      </w:r>
      <w:r w:rsidR="00EB6864" w:rsidRPr="009F43DE">
        <w:rPr>
          <w:lang w:val="fr-CH"/>
        </w:rPr>
        <w:t>d</w:t>
      </w:r>
      <w:r w:rsidRPr="009F43DE">
        <w:rPr>
          <w:lang w:val="fr-CH"/>
        </w:rPr>
        <w:t>es potentialités entrepreneuriales de ses citoyens grâce à la mise en œuvre de mécanismes spécifiques vis</w:t>
      </w:r>
      <w:r w:rsidR="00EB6864" w:rsidRPr="009F43DE">
        <w:rPr>
          <w:lang w:val="fr-CH"/>
        </w:rPr>
        <w:t>a</w:t>
      </w:r>
      <w:r w:rsidRPr="009F43DE">
        <w:rPr>
          <w:lang w:val="fr-CH"/>
        </w:rPr>
        <w:t xml:space="preserve">nt ces groupes </w:t>
      </w:r>
      <w:r w:rsidR="00EB6864" w:rsidRPr="009F43DE">
        <w:rPr>
          <w:lang w:val="fr-CH"/>
        </w:rPr>
        <w:t>particuliers dont l</w:t>
      </w:r>
      <w:r w:rsidR="00F8384A" w:rsidRPr="009F43DE">
        <w:rPr>
          <w:lang w:val="fr-CH"/>
        </w:rPr>
        <w:t>’</w:t>
      </w:r>
      <w:r w:rsidR="00EB6864" w:rsidRPr="009F43DE">
        <w:rPr>
          <w:lang w:val="fr-CH"/>
        </w:rPr>
        <w:t>autonomisation devrait bénéficier à l</w:t>
      </w:r>
      <w:r w:rsidR="00F8384A" w:rsidRPr="009F43DE">
        <w:rPr>
          <w:lang w:val="fr-CH"/>
        </w:rPr>
        <w:t>’</w:t>
      </w:r>
      <w:r w:rsidR="00EB6864" w:rsidRPr="009F43DE">
        <w:rPr>
          <w:lang w:val="fr-CH"/>
        </w:rPr>
        <w:t>économie du pays.</w:t>
      </w:r>
    </w:p>
    <w:p w:rsidR="00C82061" w:rsidRPr="009F43DE" w:rsidRDefault="00C82061" w:rsidP="00C82061">
      <w:pPr>
        <w:pStyle w:val="SingleTxtG"/>
        <w:rPr>
          <w:rFonts w:eastAsia="Calibri"/>
          <w:lang w:val="fr-CH"/>
        </w:rPr>
      </w:pPr>
      <w:r w:rsidRPr="009F43DE">
        <w:rPr>
          <w:rFonts w:eastAsia="Calibri"/>
          <w:lang w:val="fr-CH"/>
        </w:rPr>
        <w:t>137.</w:t>
      </w:r>
      <w:r w:rsidRPr="009F43DE">
        <w:rPr>
          <w:rFonts w:eastAsia="Calibri"/>
          <w:lang w:val="fr-CH"/>
        </w:rPr>
        <w:tab/>
      </w:r>
      <w:r w:rsidRPr="009F43DE">
        <w:rPr>
          <w:lang w:val="fr-CH"/>
        </w:rPr>
        <w:t>Les projets de développement Uthuru Wasanthayana et Nagenahira Navodaya</w:t>
      </w:r>
      <w:r w:rsidRPr="009B0A18">
        <w:rPr>
          <w:rStyle w:val="FootnoteReference"/>
        </w:rPr>
        <w:footnoteReference w:id="15"/>
      </w:r>
      <w:r w:rsidR="009B0A18">
        <w:rPr>
          <w:lang w:val="fr-CH"/>
        </w:rPr>
        <w:t>,</w:t>
      </w:r>
      <w:r w:rsidRPr="009F43DE">
        <w:rPr>
          <w:lang w:val="fr-CH"/>
        </w:rPr>
        <w:t xml:space="preserve"> </w:t>
      </w:r>
      <w:r w:rsidR="006D7C3E" w:rsidRPr="009F43DE">
        <w:rPr>
          <w:lang w:val="fr-CH"/>
        </w:rPr>
        <w:t xml:space="preserve">mis en </w:t>
      </w:r>
      <w:r w:rsidR="007574C7" w:rsidRPr="009F43DE">
        <w:rPr>
          <w:lang w:val="fr-CH"/>
        </w:rPr>
        <w:t>œuvre</w:t>
      </w:r>
      <w:r w:rsidR="006D7C3E" w:rsidRPr="009F43DE">
        <w:rPr>
          <w:lang w:val="fr-CH"/>
        </w:rPr>
        <w:t xml:space="preserve"> conjointement par</w:t>
      </w:r>
      <w:r w:rsidRPr="009F43DE">
        <w:rPr>
          <w:lang w:val="fr-CH"/>
        </w:rPr>
        <w:t xml:space="preserve"> l</w:t>
      </w:r>
      <w:r w:rsidR="00F8384A" w:rsidRPr="009F43DE">
        <w:rPr>
          <w:lang w:val="fr-CH"/>
        </w:rPr>
        <w:t>’</w:t>
      </w:r>
      <w:r w:rsidR="006D7C3E" w:rsidRPr="009F43DE">
        <w:rPr>
          <w:lang w:val="fr-CH"/>
        </w:rPr>
        <w:t xml:space="preserve">ancien </w:t>
      </w:r>
      <w:r w:rsidRPr="009F43DE">
        <w:rPr>
          <w:lang w:val="fr-CH"/>
        </w:rPr>
        <w:t xml:space="preserve">Ministère du développement économique, ont </w:t>
      </w:r>
      <w:r w:rsidR="006D7C3E" w:rsidRPr="009F43DE">
        <w:rPr>
          <w:lang w:val="fr-CH"/>
        </w:rPr>
        <w:t>pour objectif</w:t>
      </w:r>
      <w:r w:rsidRPr="009F43DE">
        <w:rPr>
          <w:lang w:val="fr-CH"/>
        </w:rPr>
        <w:t xml:space="preserve"> d</w:t>
      </w:r>
      <w:r w:rsidR="00F8384A" w:rsidRPr="009F43DE">
        <w:rPr>
          <w:lang w:val="fr-CH"/>
        </w:rPr>
        <w:t>’</w:t>
      </w:r>
      <w:r w:rsidRPr="009F43DE">
        <w:rPr>
          <w:lang w:val="fr-CH"/>
        </w:rPr>
        <w:t>améliorer les conditions socioéconomiques des habitants des provinces du nord et de l</w:t>
      </w:r>
      <w:r w:rsidR="00F8384A" w:rsidRPr="009F43DE">
        <w:rPr>
          <w:lang w:val="fr-CH"/>
        </w:rPr>
        <w:t>’</w:t>
      </w:r>
      <w:r w:rsidRPr="009F43DE">
        <w:rPr>
          <w:lang w:val="fr-CH"/>
        </w:rPr>
        <w:t>est.</w:t>
      </w:r>
    </w:p>
    <w:p w:rsidR="00C82061" w:rsidRPr="009F43DE" w:rsidRDefault="00C82061" w:rsidP="00C82061">
      <w:pPr>
        <w:pStyle w:val="H23G"/>
        <w:rPr>
          <w:lang w:val="fr-CH"/>
        </w:rPr>
      </w:pPr>
      <w:r w:rsidRPr="009F43DE">
        <w:rPr>
          <w:lang w:val="fr-CH"/>
        </w:rPr>
        <w:tab/>
      </w:r>
      <w:r w:rsidRPr="009F43DE">
        <w:rPr>
          <w:lang w:val="fr-CH"/>
        </w:rPr>
        <w:tab/>
        <w:t>S</w:t>
      </w:r>
      <w:r w:rsidR="00F8384A" w:rsidRPr="009F43DE">
        <w:rPr>
          <w:lang w:val="fr-CH"/>
        </w:rPr>
        <w:t>’</w:t>
      </w:r>
      <w:r w:rsidRPr="009F43DE">
        <w:rPr>
          <w:lang w:val="fr-CH"/>
        </w:rPr>
        <w:t>attaquer au problème de la pénurie de logements en adoptant une stratégie nationale et un plan d</w:t>
      </w:r>
      <w:r w:rsidR="00F8384A" w:rsidRPr="009F43DE">
        <w:rPr>
          <w:lang w:val="fr-CH"/>
        </w:rPr>
        <w:t>’</w:t>
      </w:r>
      <w:r w:rsidRPr="009F43DE">
        <w:rPr>
          <w:lang w:val="fr-CH"/>
        </w:rPr>
        <w:t xml:space="preserve">action en vue de garantir le droit à un logement décent </w:t>
      </w:r>
      <w:r w:rsidR="009B0A18">
        <w:rPr>
          <w:lang w:val="fr-CH"/>
        </w:rPr>
        <w:t>(</w:t>
      </w:r>
      <w:r w:rsidRPr="009F43DE">
        <w:rPr>
          <w:lang w:val="fr-CH"/>
        </w:rPr>
        <w:t>par</w:t>
      </w:r>
      <w:r w:rsidR="009B0A18">
        <w:rPr>
          <w:lang w:val="fr-CH"/>
        </w:rPr>
        <w:t>.</w:t>
      </w:r>
      <w:r w:rsidRPr="009F43DE">
        <w:rPr>
          <w:lang w:val="fr-CH"/>
        </w:rPr>
        <w:t xml:space="preserve"> 31</w:t>
      </w:r>
      <w:r w:rsidR="009B0A18">
        <w:rPr>
          <w:lang w:val="fr-CH"/>
        </w:rPr>
        <w:t>)</w:t>
      </w:r>
      <w:r w:rsidRPr="009F43DE">
        <w:rPr>
          <w:lang w:val="fr-CH"/>
        </w:rPr>
        <w:t xml:space="preserve"> </w:t>
      </w:r>
    </w:p>
    <w:p w:rsidR="00C82061" w:rsidRPr="009F43DE" w:rsidRDefault="00C82061" w:rsidP="00C82061">
      <w:pPr>
        <w:pStyle w:val="H4G"/>
        <w:rPr>
          <w:lang w:val="fr-CH"/>
        </w:rPr>
      </w:pPr>
      <w:r w:rsidRPr="009F43DE">
        <w:rPr>
          <w:lang w:val="fr-CH"/>
        </w:rPr>
        <w:tab/>
      </w:r>
      <w:r w:rsidRPr="009F43DE">
        <w:rPr>
          <w:lang w:val="fr-CH"/>
        </w:rPr>
        <w:tab/>
        <w:t>Stratégie nationale et plan d</w:t>
      </w:r>
      <w:r w:rsidR="00F8384A" w:rsidRPr="009F43DE">
        <w:rPr>
          <w:lang w:val="fr-CH"/>
        </w:rPr>
        <w:t>’</w:t>
      </w:r>
      <w:r w:rsidRPr="009F43DE">
        <w:rPr>
          <w:lang w:val="fr-CH"/>
        </w:rPr>
        <w:t xml:space="preserve">action pour un logement décent </w:t>
      </w:r>
    </w:p>
    <w:p w:rsidR="00C82061" w:rsidRPr="009F43DE" w:rsidRDefault="00C82061" w:rsidP="00C82061">
      <w:pPr>
        <w:pStyle w:val="SingleTxtG"/>
        <w:rPr>
          <w:lang w:val="fr-CH"/>
        </w:rPr>
      </w:pPr>
      <w:r w:rsidRPr="009F43DE">
        <w:rPr>
          <w:lang w:val="fr-CH"/>
        </w:rPr>
        <w:t>138.</w:t>
      </w:r>
      <w:r w:rsidRPr="009F43DE">
        <w:rPr>
          <w:lang w:val="fr-CH"/>
        </w:rPr>
        <w:tab/>
      </w:r>
      <w:r w:rsidR="006D7C3E" w:rsidRPr="009F43DE">
        <w:rPr>
          <w:lang w:val="fr-CH"/>
        </w:rPr>
        <w:t>Le</w:t>
      </w:r>
      <w:r w:rsidRPr="009F43DE">
        <w:rPr>
          <w:lang w:val="fr-CH"/>
        </w:rPr>
        <w:t xml:space="preserve"> pays n</w:t>
      </w:r>
      <w:r w:rsidR="00F8384A" w:rsidRPr="009F43DE">
        <w:rPr>
          <w:lang w:val="fr-CH"/>
        </w:rPr>
        <w:t>’</w:t>
      </w:r>
      <w:r w:rsidRPr="009F43DE">
        <w:rPr>
          <w:lang w:val="fr-CH"/>
        </w:rPr>
        <w:t xml:space="preserve">a pas </w:t>
      </w:r>
      <w:r w:rsidR="006D7C3E" w:rsidRPr="009F43DE">
        <w:rPr>
          <w:lang w:val="fr-CH"/>
        </w:rPr>
        <w:t xml:space="preserve">été en mesure de mettre en </w:t>
      </w:r>
      <w:r w:rsidR="007574C7" w:rsidRPr="009F43DE">
        <w:rPr>
          <w:lang w:val="fr-CH"/>
        </w:rPr>
        <w:t>œuvre</w:t>
      </w:r>
      <w:r w:rsidR="006D7C3E" w:rsidRPr="009F43DE">
        <w:rPr>
          <w:lang w:val="fr-CH"/>
        </w:rPr>
        <w:t xml:space="preserve"> une</w:t>
      </w:r>
      <w:r w:rsidRPr="009F43DE">
        <w:rPr>
          <w:lang w:val="fr-CH"/>
        </w:rPr>
        <w:t xml:space="preserve"> politique globale du logement </w:t>
      </w:r>
      <w:r w:rsidR="006D7C3E" w:rsidRPr="009F43DE">
        <w:rPr>
          <w:lang w:val="fr-CH"/>
        </w:rPr>
        <w:t>au cours de</w:t>
      </w:r>
      <w:r w:rsidRPr="009F43DE">
        <w:rPr>
          <w:lang w:val="fr-CH"/>
        </w:rPr>
        <w:t xml:space="preserve"> ces dernières décennies </w:t>
      </w:r>
      <w:r w:rsidR="006D7C3E" w:rsidRPr="009F43DE">
        <w:rPr>
          <w:lang w:val="fr-CH"/>
        </w:rPr>
        <w:t xml:space="preserve">marquées par </w:t>
      </w:r>
      <w:r w:rsidRPr="009F43DE">
        <w:rPr>
          <w:lang w:val="fr-CH"/>
        </w:rPr>
        <w:t>des phases s</w:t>
      </w:r>
      <w:r w:rsidR="00F8384A" w:rsidRPr="009F43DE">
        <w:rPr>
          <w:lang w:val="fr-CH"/>
        </w:rPr>
        <w:t>’</w:t>
      </w:r>
      <w:r w:rsidRPr="009F43DE">
        <w:rPr>
          <w:lang w:val="fr-CH"/>
        </w:rPr>
        <w:t xml:space="preserve">instabilité et de troubles </w:t>
      </w:r>
      <w:r w:rsidR="006D7C3E" w:rsidRPr="009F43DE">
        <w:rPr>
          <w:lang w:val="fr-CH"/>
        </w:rPr>
        <w:t>et un conflit meurtrier</w:t>
      </w:r>
      <w:r w:rsidRPr="009F43DE">
        <w:rPr>
          <w:lang w:val="fr-CH"/>
        </w:rPr>
        <w:t xml:space="preserve">. Depuis que la paix est revenue et que les conditions sont propices </w:t>
      </w:r>
      <w:r w:rsidR="006D7C3E" w:rsidRPr="009F43DE">
        <w:rPr>
          <w:lang w:val="fr-CH"/>
        </w:rPr>
        <w:t>à une stratégie bien définie de développement</w:t>
      </w:r>
      <w:r w:rsidRPr="009F43DE">
        <w:rPr>
          <w:lang w:val="fr-CH"/>
        </w:rPr>
        <w:t xml:space="preserve">, une politique nationale du logement a été </w:t>
      </w:r>
      <w:r w:rsidR="006D7C3E" w:rsidRPr="009F43DE">
        <w:rPr>
          <w:lang w:val="fr-CH"/>
        </w:rPr>
        <w:t>élaborée</w:t>
      </w:r>
      <w:r w:rsidRPr="009F43DE">
        <w:rPr>
          <w:lang w:val="fr-CH"/>
        </w:rPr>
        <w:t xml:space="preserve"> par l</w:t>
      </w:r>
      <w:r w:rsidR="006D7C3E" w:rsidRPr="009F43DE">
        <w:rPr>
          <w:lang w:val="fr-CH"/>
        </w:rPr>
        <w:t xml:space="preserve">e </w:t>
      </w:r>
      <w:r w:rsidRPr="009F43DE">
        <w:rPr>
          <w:lang w:val="fr-CH"/>
        </w:rPr>
        <w:t>Ministère du logement, de</w:t>
      </w:r>
      <w:r w:rsidR="006D7C3E" w:rsidRPr="009F43DE">
        <w:rPr>
          <w:lang w:val="fr-CH"/>
        </w:rPr>
        <w:t>s</w:t>
      </w:r>
      <w:r w:rsidRPr="009F43DE">
        <w:rPr>
          <w:lang w:val="fr-CH"/>
        </w:rPr>
        <w:t xml:space="preserve"> services d</w:t>
      </w:r>
      <w:r w:rsidR="00F8384A" w:rsidRPr="009F43DE">
        <w:rPr>
          <w:lang w:val="fr-CH"/>
        </w:rPr>
        <w:t>’</w:t>
      </w:r>
      <w:r w:rsidRPr="009F43DE">
        <w:rPr>
          <w:lang w:val="fr-CH"/>
        </w:rPr>
        <w:t>ingénierie et des installations communes (</w:t>
      </w:r>
      <w:r w:rsidR="006D7C3E" w:rsidRPr="009F43DE">
        <w:rPr>
          <w:lang w:val="fr-CH"/>
        </w:rPr>
        <w:t>qui s</w:t>
      </w:r>
      <w:r w:rsidR="00F8384A" w:rsidRPr="009F43DE">
        <w:rPr>
          <w:lang w:val="fr-CH"/>
        </w:rPr>
        <w:t>’</w:t>
      </w:r>
      <w:r w:rsidR="006D7C3E" w:rsidRPr="009F43DE">
        <w:rPr>
          <w:lang w:val="fr-CH"/>
        </w:rPr>
        <w:t xml:space="preserve">appelle désormais </w:t>
      </w:r>
      <w:r w:rsidRPr="009F43DE">
        <w:rPr>
          <w:lang w:val="fr-CH"/>
        </w:rPr>
        <w:t xml:space="preserve">Ministère du logement et </w:t>
      </w:r>
      <w:r w:rsidR="006D7C3E" w:rsidRPr="009F43DE">
        <w:rPr>
          <w:lang w:val="fr-CH"/>
        </w:rPr>
        <w:t xml:space="preserve">du programme </w:t>
      </w:r>
      <w:r w:rsidRPr="009F43DE">
        <w:rPr>
          <w:lang w:val="fr-CH"/>
        </w:rPr>
        <w:t>Samurdhi)</w:t>
      </w:r>
      <w:r w:rsidR="006D7C3E" w:rsidRPr="009F43DE">
        <w:rPr>
          <w:lang w:val="fr-CH"/>
        </w:rPr>
        <w:t>,</w:t>
      </w:r>
      <w:r w:rsidRPr="009F43DE">
        <w:rPr>
          <w:lang w:val="fr-CH"/>
        </w:rPr>
        <w:t xml:space="preserve"> approuvée par le Conseil des </w:t>
      </w:r>
      <w:r w:rsidR="006D7C3E" w:rsidRPr="009F43DE">
        <w:rPr>
          <w:lang w:val="fr-CH"/>
        </w:rPr>
        <w:t>M</w:t>
      </w:r>
      <w:r w:rsidRPr="009F43DE">
        <w:rPr>
          <w:lang w:val="fr-CH"/>
        </w:rPr>
        <w:t>inistres et adoptée en 2014. L</w:t>
      </w:r>
      <w:r w:rsidR="00F8384A" w:rsidRPr="009F43DE">
        <w:rPr>
          <w:lang w:val="fr-CH"/>
        </w:rPr>
        <w:t>’</w:t>
      </w:r>
      <w:r w:rsidRPr="009F43DE">
        <w:rPr>
          <w:lang w:val="fr-CH"/>
        </w:rPr>
        <w:t xml:space="preserve">objectif principal de </w:t>
      </w:r>
      <w:r w:rsidR="006D7C3E" w:rsidRPr="009F43DE">
        <w:rPr>
          <w:lang w:val="fr-CH"/>
        </w:rPr>
        <w:t>cette po</w:t>
      </w:r>
      <w:r w:rsidRPr="009F43DE">
        <w:rPr>
          <w:lang w:val="fr-CH"/>
        </w:rPr>
        <w:t xml:space="preserve">litique est de </w:t>
      </w:r>
      <w:r w:rsidR="00F8384A" w:rsidRPr="009F43DE">
        <w:rPr>
          <w:lang w:val="fr-CH"/>
        </w:rPr>
        <w:t>«</w:t>
      </w:r>
      <w:r w:rsidRPr="009F43DE">
        <w:rPr>
          <w:lang w:val="fr-CH"/>
        </w:rPr>
        <w:t xml:space="preserve">garantir le droit de vivre dans un </w:t>
      </w:r>
      <w:r w:rsidR="00554A31" w:rsidRPr="009F43DE">
        <w:rPr>
          <w:lang w:val="fr-CH"/>
        </w:rPr>
        <w:t>logement</w:t>
      </w:r>
      <w:r w:rsidRPr="009F43DE">
        <w:rPr>
          <w:lang w:val="fr-CH"/>
        </w:rPr>
        <w:t xml:space="preserve"> </w:t>
      </w:r>
      <w:r w:rsidR="00554A31" w:rsidRPr="009F43DE">
        <w:rPr>
          <w:lang w:val="fr-CH"/>
        </w:rPr>
        <w:t>décent</w:t>
      </w:r>
      <w:r w:rsidRPr="009F43DE">
        <w:rPr>
          <w:lang w:val="fr-CH"/>
        </w:rPr>
        <w:t>, s</w:t>
      </w:r>
      <w:r w:rsidR="00554A31" w:rsidRPr="009F43DE">
        <w:rPr>
          <w:lang w:val="fr-CH"/>
        </w:rPr>
        <w:t>ûr</w:t>
      </w:r>
      <w:r w:rsidRPr="009F43DE">
        <w:rPr>
          <w:lang w:val="fr-CH"/>
        </w:rPr>
        <w:t>, de qualité, abordable</w:t>
      </w:r>
      <w:r w:rsidR="00554A31" w:rsidRPr="009F43DE">
        <w:rPr>
          <w:lang w:val="fr-CH"/>
        </w:rPr>
        <w:t>,</w:t>
      </w:r>
      <w:r w:rsidRPr="009F43DE">
        <w:rPr>
          <w:lang w:val="fr-CH"/>
        </w:rPr>
        <w:t xml:space="preserve"> durable</w:t>
      </w:r>
      <w:r w:rsidR="00554A31" w:rsidRPr="009F43DE">
        <w:rPr>
          <w:lang w:val="fr-CH"/>
        </w:rPr>
        <w:t>,</w:t>
      </w:r>
      <w:r w:rsidRPr="009F43DE">
        <w:rPr>
          <w:lang w:val="fr-CH"/>
        </w:rPr>
        <w:t xml:space="preserve"> </w:t>
      </w:r>
      <w:r w:rsidR="00554A31" w:rsidRPr="009F43DE">
        <w:rPr>
          <w:lang w:val="fr-CH"/>
        </w:rPr>
        <w:t>écologique, sé</w:t>
      </w:r>
      <w:r w:rsidRPr="009F43DE">
        <w:rPr>
          <w:lang w:val="fr-CH"/>
        </w:rPr>
        <w:t xml:space="preserve">curisé </w:t>
      </w:r>
      <w:r w:rsidR="00554A31" w:rsidRPr="009F43DE">
        <w:rPr>
          <w:lang w:val="fr-CH"/>
        </w:rPr>
        <w:t xml:space="preserve">et </w:t>
      </w:r>
      <w:r w:rsidRPr="009F43DE">
        <w:rPr>
          <w:lang w:val="fr-CH"/>
        </w:rPr>
        <w:t xml:space="preserve">disposant de </w:t>
      </w:r>
      <w:r w:rsidR="00554A31" w:rsidRPr="009F43DE">
        <w:rPr>
          <w:lang w:val="fr-CH"/>
        </w:rPr>
        <w:t>tous les équipements voulus, afin d</w:t>
      </w:r>
      <w:r w:rsidR="00F8384A" w:rsidRPr="009F43DE">
        <w:rPr>
          <w:lang w:val="fr-CH"/>
        </w:rPr>
        <w:t>’</w:t>
      </w:r>
      <w:r w:rsidR="00554A31" w:rsidRPr="009F43DE">
        <w:rPr>
          <w:lang w:val="fr-CH"/>
        </w:rPr>
        <w:t>assurer des conditions de vie satisfaisantes et de répondre</w:t>
      </w:r>
      <w:r w:rsidRPr="009F43DE">
        <w:rPr>
          <w:lang w:val="fr-CH"/>
        </w:rPr>
        <w:t xml:space="preserve"> </w:t>
      </w:r>
      <w:r w:rsidR="00554A31" w:rsidRPr="009F43DE">
        <w:rPr>
          <w:lang w:val="fr-CH"/>
        </w:rPr>
        <w:t>aux</w:t>
      </w:r>
      <w:r w:rsidRPr="009F43DE">
        <w:rPr>
          <w:lang w:val="fr-CH"/>
        </w:rPr>
        <w:t xml:space="preserve"> besoins </w:t>
      </w:r>
      <w:r w:rsidR="00554A31" w:rsidRPr="009F43DE">
        <w:rPr>
          <w:lang w:val="fr-CH"/>
        </w:rPr>
        <w:t xml:space="preserve">légitimes </w:t>
      </w:r>
      <w:r w:rsidRPr="009F43DE">
        <w:rPr>
          <w:lang w:val="fr-CH"/>
        </w:rPr>
        <w:t>de la population</w:t>
      </w:r>
      <w:r w:rsidR="00F8384A" w:rsidRPr="009F43DE">
        <w:rPr>
          <w:lang w:val="fr-CH"/>
        </w:rPr>
        <w:t>»</w:t>
      </w:r>
      <w:r w:rsidRPr="007848EA">
        <w:rPr>
          <w:rStyle w:val="FootnoteReference"/>
        </w:rPr>
        <w:footnoteReference w:id="16"/>
      </w:r>
      <w:r w:rsidR="007848EA">
        <w:rPr>
          <w:lang w:val="fr-CH"/>
        </w:rPr>
        <w:t>.</w:t>
      </w:r>
      <w:r w:rsidRPr="009F43DE">
        <w:rPr>
          <w:rStyle w:val="FootnoteReference"/>
          <w:lang w:val="fr-CH"/>
        </w:rPr>
        <w:t xml:space="preserve"> </w:t>
      </w:r>
    </w:p>
    <w:p w:rsidR="00C82061" w:rsidRPr="009F43DE" w:rsidRDefault="00C82061" w:rsidP="00C82061">
      <w:pPr>
        <w:pStyle w:val="H4G"/>
        <w:rPr>
          <w:lang w:val="fr-CH"/>
        </w:rPr>
      </w:pPr>
      <w:r w:rsidRPr="009F43DE">
        <w:rPr>
          <w:lang w:val="fr-CH"/>
        </w:rPr>
        <w:tab/>
      </w:r>
      <w:r w:rsidRPr="009F43DE">
        <w:rPr>
          <w:lang w:val="fr-CH"/>
        </w:rPr>
        <w:tab/>
      </w:r>
      <w:r w:rsidR="00554A31" w:rsidRPr="009F43DE">
        <w:rPr>
          <w:lang w:val="fr-CH"/>
        </w:rPr>
        <w:t>Remédier au</w:t>
      </w:r>
      <w:r w:rsidRPr="009F43DE">
        <w:rPr>
          <w:lang w:val="fr-CH"/>
        </w:rPr>
        <w:t xml:space="preserve"> problème de logement de toutes les fa</w:t>
      </w:r>
      <w:r w:rsidR="00554A31" w:rsidRPr="009F43DE">
        <w:rPr>
          <w:lang w:val="fr-CH"/>
        </w:rPr>
        <w:t>m</w:t>
      </w:r>
      <w:r w:rsidRPr="009F43DE">
        <w:rPr>
          <w:lang w:val="fr-CH"/>
        </w:rPr>
        <w:t>illes à faible revenu</w:t>
      </w:r>
    </w:p>
    <w:p w:rsidR="00C82061" w:rsidRPr="009F43DE" w:rsidRDefault="00C82061" w:rsidP="00C82061">
      <w:pPr>
        <w:pStyle w:val="SingleTxtG"/>
        <w:rPr>
          <w:lang w:val="fr-CH"/>
        </w:rPr>
      </w:pPr>
      <w:r w:rsidRPr="009F43DE">
        <w:rPr>
          <w:lang w:val="fr-CH"/>
        </w:rPr>
        <w:t>139.</w:t>
      </w:r>
      <w:r w:rsidRPr="009F43DE">
        <w:rPr>
          <w:lang w:val="fr-CH"/>
        </w:rPr>
        <w:tab/>
        <w:t>Le Programme de réhabilitation urbaine, mis en œuvre par le Ministère de la défense et l</w:t>
      </w:r>
      <w:r w:rsidR="00F8384A" w:rsidRPr="009F43DE">
        <w:rPr>
          <w:lang w:val="fr-CH"/>
        </w:rPr>
        <w:t>’</w:t>
      </w:r>
      <w:r w:rsidRPr="009F43DE">
        <w:rPr>
          <w:lang w:val="fr-CH"/>
        </w:rPr>
        <w:t>Autorité de développement urbain</w:t>
      </w:r>
      <w:r w:rsidR="00554A31" w:rsidRPr="009F43DE">
        <w:rPr>
          <w:lang w:val="fr-CH"/>
        </w:rPr>
        <w:t>, d</w:t>
      </w:r>
      <w:r w:rsidR="00F8384A" w:rsidRPr="009F43DE">
        <w:rPr>
          <w:lang w:val="fr-CH"/>
        </w:rPr>
        <w:t>’</w:t>
      </w:r>
      <w:r w:rsidR="00554A31" w:rsidRPr="009F43DE">
        <w:rPr>
          <w:lang w:val="fr-CH"/>
        </w:rPr>
        <w:t>approvisionnement en eau et d</w:t>
      </w:r>
      <w:r w:rsidR="00F8384A" w:rsidRPr="009F43DE">
        <w:rPr>
          <w:lang w:val="fr-CH"/>
        </w:rPr>
        <w:t>’</w:t>
      </w:r>
      <w:r w:rsidR="00554A31" w:rsidRPr="009F43DE">
        <w:rPr>
          <w:lang w:val="fr-CH"/>
        </w:rPr>
        <w:t>assainissement</w:t>
      </w:r>
      <w:r w:rsidRPr="009F43DE">
        <w:rPr>
          <w:lang w:val="fr-CH"/>
        </w:rPr>
        <w:t xml:space="preserve"> (</w:t>
      </w:r>
      <w:r w:rsidR="00554A31" w:rsidRPr="009F43DE">
        <w:rPr>
          <w:lang w:val="fr-CH"/>
        </w:rPr>
        <w:t>qui</w:t>
      </w:r>
      <w:r w:rsidRPr="009F43DE">
        <w:rPr>
          <w:lang w:val="fr-CH"/>
        </w:rPr>
        <w:t xml:space="preserve"> </w:t>
      </w:r>
      <w:r w:rsidR="00933564" w:rsidRPr="009F43DE">
        <w:rPr>
          <w:lang w:val="fr-CH"/>
        </w:rPr>
        <w:t xml:space="preserve">a été lancé </w:t>
      </w:r>
      <w:r w:rsidRPr="009F43DE">
        <w:rPr>
          <w:lang w:val="fr-CH"/>
        </w:rPr>
        <w:t>par l</w:t>
      </w:r>
      <w:r w:rsidR="00F8384A" w:rsidRPr="009F43DE">
        <w:rPr>
          <w:lang w:val="fr-CH"/>
        </w:rPr>
        <w:t>’</w:t>
      </w:r>
      <w:r w:rsidR="00554A31" w:rsidRPr="009F43DE">
        <w:rPr>
          <w:lang w:val="fr-CH"/>
        </w:rPr>
        <w:t xml:space="preserve">ancien </w:t>
      </w:r>
      <w:r w:rsidRPr="009F43DE">
        <w:rPr>
          <w:lang w:val="fr-CH"/>
        </w:rPr>
        <w:t>Ministère de la défense et du développement urbain)</w:t>
      </w:r>
      <w:r w:rsidR="00554A31" w:rsidRPr="009F43DE">
        <w:rPr>
          <w:lang w:val="fr-CH"/>
        </w:rPr>
        <w:t>,</w:t>
      </w:r>
      <w:r w:rsidRPr="009F43DE">
        <w:rPr>
          <w:lang w:val="fr-CH"/>
        </w:rPr>
        <w:t xml:space="preserve"> est une approche d</w:t>
      </w:r>
      <w:r w:rsidR="00F8384A" w:rsidRPr="009F43DE">
        <w:rPr>
          <w:lang w:val="fr-CH"/>
        </w:rPr>
        <w:t>’</w:t>
      </w:r>
      <w:r w:rsidR="00554A31" w:rsidRPr="009F43DE">
        <w:rPr>
          <w:lang w:val="fr-CH"/>
        </w:rPr>
        <w:t>aménagement</w:t>
      </w:r>
      <w:r w:rsidRPr="009F43DE">
        <w:rPr>
          <w:lang w:val="fr-CH"/>
        </w:rPr>
        <w:t xml:space="preserve"> globale adoptée pour la ville de Colombo, </w:t>
      </w:r>
      <w:r w:rsidR="00554A31" w:rsidRPr="009F43DE">
        <w:rPr>
          <w:lang w:val="fr-CH"/>
        </w:rPr>
        <w:t>en tant que</w:t>
      </w:r>
      <w:r w:rsidRPr="009F43DE">
        <w:rPr>
          <w:lang w:val="fr-CH"/>
        </w:rPr>
        <w:t xml:space="preserve"> capitale commerciale</w:t>
      </w:r>
      <w:r w:rsidR="00933564" w:rsidRPr="009F43DE">
        <w:rPr>
          <w:lang w:val="fr-CH"/>
        </w:rPr>
        <w:t xml:space="preserve"> dans le cadre du développement général du pays. </w:t>
      </w:r>
      <w:r w:rsidRPr="009F43DE">
        <w:rPr>
          <w:lang w:val="fr-CH"/>
        </w:rPr>
        <w:t>Dans le programme d</w:t>
      </w:r>
      <w:r w:rsidR="00F8384A" w:rsidRPr="009F43DE">
        <w:rPr>
          <w:lang w:val="fr-CH"/>
        </w:rPr>
        <w:t>’</w:t>
      </w:r>
      <w:r w:rsidR="00933564" w:rsidRPr="009F43DE">
        <w:rPr>
          <w:lang w:val="fr-CH"/>
        </w:rPr>
        <w:t>aménagement de</w:t>
      </w:r>
      <w:r w:rsidRPr="009F43DE">
        <w:rPr>
          <w:lang w:val="fr-CH"/>
        </w:rPr>
        <w:t xml:space="preserve"> Colombo, un accent particulier </w:t>
      </w:r>
      <w:r w:rsidR="00933564" w:rsidRPr="009F43DE">
        <w:rPr>
          <w:lang w:val="fr-CH"/>
        </w:rPr>
        <w:t>a été</w:t>
      </w:r>
      <w:r w:rsidRPr="009F43DE">
        <w:rPr>
          <w:lang w:val="fr-CH"/>
        </w:rPr>
        <w:t xml:space="preserve"> mis sur la résolution des problèmes de logement de toutes les familles à faible revenu vivant dans des taudis et des bidonvilles, des </w:t>
      </w:r>
      <w:r w:rsidR="00933564" w:rsidRPr="009F43DE">
        <w:rPr>
          <w:lang w:val="fr-CH"/>
        </w:rPr>
        <w:t>friches</w:t>
      </w:r>
      <w:r w:rsidRPr="009F43DE">
        <w:rPr>
          <w:lang w:val="fr-CH"/>
        </w:rPr>
        <w:t xml:space="preserve"> industrielles et tou</w:t>
      </w:r>
      <w:r w:rsidR="00933564" w:rsidRPr="009F43DE">
        <w:rPr>
          <w:lang w:val="fr-CH"/>
        </w:rPr>
        <w:t>t</w:t>
      </w:r>
      <w:r w:rsidRPr="009F43DE">
        <w:rPr>
          <w:lang w:val="fr-CH"/>
        </w:rPr>
        <w:t xml:space="preserve"> autre </w:t>
      </w:r>
      <w:r w:rsidR="00933564" w:rsidRPr="009F43DE">
        <w:rPr>
          <w:lang w:val="fr-CH"/>
        </w:rPr>
        <w:t>lieu insalubre</w:t>
      </w:r>
      <w:r w:rsidRPr="009F43DE">
        <w:rPr>
          <w:lang w:val="fr-CH"/>
        </w:rPr>
        <w:t>.</w:t>
      </w:r>
    </w:p>
    <w:p w:rsidR="00C82061" w:rsidRPr="009F43DE" w:rsidRDefault="00C82061" w:rsidP="00C82061">
      <w:pPr>
        <w:pStyle w:val="SingleTxtG"/>
        <w:rPr>
          <w:lang w:val="fr-CH"/>
        </w:rPr>
      </w:pPr>
      <w:r w:rsidRPr="009F43DE">
        <w:rPr>
          <w:lang w:val="fr-CH"/>
        </w:rPr>
        <w:t>140.</w:t>
      </w:r>
      <w:r w:rsidRPr="009F43DE">
        <w:rPr>
          <w:lang w:val="fr-CH"/>
        </w:rPr>
        <w:tab/>
        <w:t>L</w:t>
      </w:r>
      <w:r w:rsidR="00933564" w:rsidRPr="009F43DE">
        <w:rPr>
          <w:lang w:val="fr-CH"/>
        </w:rPr>
        <w:t>e recensement effectué par l</w:t>
      </w:r>
      <w:r w:rsidR="00F8384A" w:rsidRPr="009F43DE">
        <w:rPr>
          <w:lang w:val="fr-CH"/>
        </w:rPr>
        <w:t>’</w:t>
      </w:r>
      <w:r w:rsidRPr="009F43DE">
        <w:rPr>
          <w:lang w:val="fr-CH"/>
        </w:rPr>
        <w:t>Autorité de développement urbain a</w:t>
      </w:r>
      <w:r w:rsidR="00933564" w:rsidRPr="009F43DE">
        <w:rPr>
          <w:lang w:val="fr-CH"/>
        </w:rPr>
        <w:t xml:space="preserve"> permis de constater</w:t>
      </w:r>
      <w:r w:rsidRPr="009F43DE">
        <w:rPr>
          <w:lang w:val="fr-CH"/>
        </w:rPr>
        <w:t xml:space="preserve"> qu</w:t>
      </w:r>
      <w:r w:rsidR="00F8384A" w:rsidRPr="009F43DE">
        <w:rPr>
          <w:lang w:val="fr-CH"/>
        </w:rPr>
        <w:t>’</w:t>
      </w:r>
      <w:r w:rsidRPr="009F43DE">
        <w:rPr>
          <w:lang w:val="fr-CH"/>
        </w:rPr>
        <w:t xml:space="preserve">environ 66 000 familles vivaient dans des conditions de vie </w:t>
      </w:r>
      <w:r w:rsidR="00933564" w:rsidRPr="009F43DE">
        <w:rPr>
          <w:lang w:val="fr-CH"/>
        </w:rPr>
        <w:t>indignes dans la ville de Colombo</w:t>
      </w:r>
      <w:r w:rsidRPr="009F43DE">
        <w:rPr>
          <w:lang w:val="fr-CH"/>
        </w:rPr>
        <w:t xml:space="preserve">. </w:t>
      </w:r>
      <w:r w:rsidR="00933564" w:rsidRPr="009F43DE">
        <w:rPr>
          <w:lang w:val="fr-CH"/>
        </w:rPr>
        <w:t>Face à ce p</w:t>
      </w:r>
      <w:r w:rsidRPr="009F43DE">
        <w:rPr>
          <w:lang w:val="fr-CH"/>
        </w:rPr>
        <w:t>roblème majeur de logement</w:t>
      </w:r>
      <w:r w:rsidR="00933564" w:rsidRPr="009F43DE">
        <w:rPr>
          <w:lang w:val="fr-CH"/>
        </w:rPr>
        <w:t xml:space="preserve">, les autorités ont élaboré </w:t>
      </w:r>
      <w:r w:rsidRPr="009F43DE">
        <w:rPr>
          <w:lang w:val="fr-CH"/>
        </w:rPr>
        <w:t xml:space="preserve">une stratégie claire pour </w:t>
      </w:r>
      <w:r w:rsidR="00933564" w:rsidRPr="009F43DE">
        <w:rPr>
          <w:lang w:val="fr-CH"/>
        </w:rPr>
        <w:t>mener à bien</w:t>
      </w:r>
      <w:r w:rsidRPr="009F43DE">
        <w:rPr>
          <w:lang w:val="fr-CH"/>
        </w:rPr>
        <w:t xml:space="preserve"> un programme </w:t>
      </w:r>
      <w:r w:rsidR="00933564" w:rsidRPr="009F43DE">
        <w:rPr>
          <w:lang w:val="fr-CH"/>
        </w:rPr>
        <w:t xml:space="preserve">majeur </w:t>
      </w:r>
      <w:r w:rsidRPr="009F43DE">
        <w:rPr>
          <w:lang w:val="fr-CH"/>
        </w:rPr>
        <w:t xml:space="preserve">de rénovation urbaine </w:t>
      </w:r>
      <w:r w:rsidR="00933564" w:rsidRPr="009F43DE">
        <w:rPr>
          <w:lang w:val="fr-CH"/>
        </w:rPr>
        <w:t xml:space="preserve">destiné à reloger </w:t>
      </w:r>
      <w:r w:rsidRPr="009F43DE">
        <w:rPr>
          <w:lang w:val="fr-CH"/>
        </w:rPr>
        <w:t xml:space="preserve">toutes les familles </w:t>
      </w:r>
      <w:r w:rsidR="00933564" w:rsidRPr="009F43DE">
        <w:rPr>
          <w:lang w:val="fr-CH"/>
        </w:rPr>
        <w:t xml:space="preserve">à faible revenu </w:t>
      </w:r>
      <w:r w:rsidRPr="009F43DE">
        <w:rPr>
          <w:lang w:val="fr-CH"/>
        </w:rPr>
        <w:t xml:space="preserve">vivant dans ces zones mal desservies </w:t>
      </w:r>
      <w:r w:rsidR="00933564" w:rsidRPr="009F43DE">
        <w:rPr>
          <w:lang w:val="fr-CH"/>
        </w:rPr>
        <w:t>et à mettre à leur disposition tous les</w:t>
      </w:r>
      <w:r w:rsidRPr="009F43DE">
        <w:rPr>
          <w:lang w:val="fr-CH"/>
        </w:rPr>
        <w:t xml:space="preserve"> équipements et installations de base.</w:t>
      </w:r>
    </w:p>
    <w:p w:rsidR="00C82061" w:rsidRPr="009F43DE" w:rsidRDefault="00C82061" w:rsidP="00C82061">
      <w:pPr>
        <w:pStyle w:val="SingleTxtG"/>
        <w:rPr>
          <w:lang w:val="fr-CH"/>
        </w:rPr>
      </w:pPr>
      <w:r w:rsidRPr="009F43DE">
        <w:rPr>
          <w:lang w:val="fr-CH"/>
        </w:rPr>
        <w:t>141.</w:t>
      </w:r>
      <w:r w:rsidRPr="009F43DE">
        <w:rPr>
          <w:lang w:val="fr-CH"/>
        </w:rPr>
        <w:tab/>
        <w:t>Toutes les familles, quelle</w:t>
      </w:r>
      <w:r w:rsidR="00B84725" w:rsidRPr="009F43DE">
        <w:rPr>
          <w:lang w:val="fr-CH"/>
        </w:rPr>
        <w:t>s</w:t>
      </w:r>
      <w:r w:rsidRPr="009F43DE">
        <w:rPr>
          <w:lang w:val="fr-CH"/>
        </w:rPr>
        <w:t xml:space="preserve"> que soi</w:t>
      </w:r>
      <w:r w:rsidR="00B84725" w:rsidRPr="009F43DE">
        <w:rPr>
          <w:lang w:val="fr-CH"/>
        </w:rPr>
        <w:t>en</w:t>
      </w:r>
      <w:r w:rsidRPr="009F43DE">
        <w:rPr>
          <w:lang w:val="fr-CH"/>
        </w:rPr>
        <w:t xml:space="preserve">t leur appartenance ethnique, leur religion ou </w:t>
      </w:r>
      <w:r w:rsidR="00B84725" w:rsidRPr="009F43DE">
        <w:rPr>
          <w:lang w:val="fr-CH"/>
        </w:rPr>
        <w:t>leurs autres particularités</w:t>
      </w:r>
      <w:r w:rsidRPr="009F43DE">
        <w:rPr>
          <w:lang w:val="fr-CH"/>
        </w:rPr>
        <w:t xml:space="preserve">, </w:t>
      </w:r>
      <w:r w:rsidR="00B84725" w:rsidRPr="009F43DE">
        <w:rPr>
          <w:lang w:val="fr-CH"/>
        </w:rPr>
        <w:t>font l</w:t>
      </w:r>
      <w:r w:rsidR="00F8384A" w:rsidRPr="009F43DE">
        <w:rPr>
          <w:lang w:val="fr-CH"/>
        </w:rPr>
        <w:t>’</w:t>
      </w:r>
      <w:r w:rsidR="00B84725" w:rsidRPr="009F43DE">
        <w:rPr>
          <w:lang w:val="fr-CH"/>
        </w:rPr>
        <w:t>objet d</w:t>
      </w:r>
      <w:r w:rsidR="00F8384A" w:rsidRPr="009F43DE">
        <w:rPr>
          <w:lang w:val="fr-CH"/>
        </w:rPr>
        <w:t>’</w:t>
      </w:r>
      <w:r w:rsidR="00B84725" w:rsidRPr="009F43DE">
        <w:rPr>
          <w:lang w:val="fr-CH"/>
        </w:rPr>
        <w:t>un traitement équitable</w:t>
      </w:r>
      <w:r w:rsidRPr="009F43DE">
        <w:rPr>
          <w:lang w:val="fr-CH"/>
        </w:rPr>
        <w:t xml:space="preserve"> pour l</w:t>
      </w:r>
      <w:r w:rsidR="00F8384A" w:rsidRPr="009F43DE">
        <w:rPr>
          <w:lang w:val="fr-CH"/>
        </w:rPr>
        <w:t>’</w:t>
      </w:r>
      <w:r w:rsidRPr="009F43DE">
        <w:rPr>
          <w:lang w:val="fr-CH"/>
        </w:rPr>
        <w:t>attribution d</w:t>
      </w:r>
      <w:r w:rsidR="00F8384A" w:rsidRPr="009F43DE">
        <w:rPr>
          <w:lang w:val="fr-CH"/>
        </w:rPr>
        <w:t>’</w:t>
      </w:r>
      <w:r w:rsidRPr="009F43DE">
        <w:rPr>
          <w:lang w:val="fr-CH"/>
        </w:rPr>
        <w:t>un logement. La politique adoptée consiste à déplacer toutes les familles dans l</w:t>
      </w:r>
      <w:r w:rsidR="00F8384A" w:rsidRPr="009F43DE">
        <w:rPr>
          <w:lang w:val="fr-CH"/>
        </w:rPr>
        <w:t>’</w:t>
      </w:r>
      <w:r w:rsidRPr="009F43DE">
        <w:rPr>
          <w:lang w:val="fr-CH"/>
        </w:rPr>
        <w:t xml:space="preserve">ensemble immobilier le plus proche en </w:t>
      </w:r>
      <w:r w:rsidR="00B84725" w:rsidRPr="009F43DE">
        <w:rPr>
          <w:lang w:val="fr-CH"/>
        </w:rPr>
        <w:t>assurant les services scolaires nécessaires pour les</w:t>
      </w:r>
      <w:r w:rsidRPr="009F43DE">
        <w:rPr>
          <w:lang w:val="fr-CH"/>
        </w:rPr>
        <w:t xml:space="preserve"> enfants </w:t>
      </w:r>
      <w:r w:rsidR="00B84725" w:rsidRPr="009F43DE">
        <w:rPr>
          <w:lang w:val="fr-CH"/>
        </w:rPr>
        <w:t>et en veillant au</w:t>
      </w:r>
      <w:r w:rsidRPr="009F43DE">
        <w:rPr>
          <w:lang w:val="fr-CH"/>
        </w:rPr>
        <w:t xml:space="preserve"> développement et </w:t>
      </w:r>
      <w:r w:rsidR="00B84725" w:rsidRPr="009F43DE">
        <w:rPr>
          <w:lang w:val="fr-CH"/>
        </w:rPr>
        <w:t xml:space="preserve">à </w:t>
      </w:r>
      <w:r w:rsidRPr="009F43DE">
        <w:rPr>
          <w:lang w:val="fr-CH"/>
        </w:rPr>
        <w:t>l</w:t>
      </w:r>
      <w:r w:rsidR="00F8384A" w:rsidRPr="009F43DE">
        <w:rPr>
          <w:lang w:val="fr-CH"/>
        </w:rPr>
        <w:t>’</w:t>
      </w:r>
      <w:r w:rsidRPr="009F43DE">
        <w:rPr>
          <w:lang w:val="fr-CH"/>
        </w:rPr>
        <w:t>amélioration de</w:t>
      </w:r>
      <w:r w:rsidR="00B84725" w:rsidRPr="009F43DE">
        <w:rPr>
          <w:lang w:val="fr-CH"/>
        </w:rPr>
        <w:t>s</w:t>
      </w:r>
      <w:r w:rsidRPr="009F43DE">
        <w:rPr>
          <w:lang w:val="fr-CH"/>
        </w:rPr>
        <w:t xml:space="preserve"> moyens de subsistance. Au cours de</w:t>
      </w:r>
      <w:r w:rsidR="00B84725" w:rsidRPr="009F43DE">
        <w:rPr>
          <w:lang w:val="fr-CH"/>
        </w:rPr>
        <w:t>s deux dernières années</w:t>
      </w:r>
      <w:r w:rsidRPr="009F43DE">
        <w:rPr>
          <w:lang w:val="fr-CH"/>
        </w:rPr>
        <w:t>, l</w:t>
      </w:r>
      <w:r w:rsidR="00F8384A" w:rsidRPr="009F43DE">
        <w:rPr>
          <w:lang w:val="fr-CH"/>
        </w:rPr>
        <w:t>’</w:t>
      </w:r>
      <w:r w:rsidRPr="009F43DE">
        <w:rPr>
          <w:lang w:val="fr-CH"/>
        </w:rPr>
        <w:t>Autorité de développement urbain a accordé des contrats pour la construction de logement</w:t>
      </w:r>
      <w:r w:rsidR="00B84725" w:rsidRPr="009F43DE">
        <w:rPr>
          <w:lang w:val="fr-CH"/>
        </w:rPr>
        <w:t>s sur</w:t>
      </w:r>
      <w:r w:rsidRPr="009F43DE">
        <w:rPr>
          <w:lang w:val="fr-CH"/>
        </w:rPr>
        <w:t xml:space="preserve"> 19 sites</w:t>
      </w:r>
      <w:r w:rsidR="00B84725" w:rsidRPr="009F43DE">
        <w:rPr>
          <w:lang w:val="fr-CH"/>
        </w:rPr>
        <w:t xml:space="preserve">. </w:t>
      </w:r>
      <w:r w:rsidR="007574C7" w:rsidRPr="009F43DE">
        <w:rPr>
          <w:lang w:val="fr-CH"/>
        </w:rPr>
        <w:t>Étaient</w:t>
      </w:r>
      <w:r w:rsidR="00B84725" w:rsidRPr="009F43DE">
        <w:rPr>
          <w:lang w:val="fr-CH"/>
        </w:rPr>
        <w:t xml:space="preserve"> prévus dans le cadre de ces projets des</w:t>
      </w:r>
      <w:r w:rsidRPr="009F43DE">
        <w:rPr>
          <w:lang w:val="fr-CH"/>
        </w:rPr>
        <w:t xml:space="preserve"> immeubles de trois étages et des copropriétés de 12 étages </w:t>
      </w:r>
      <w:r w:rsidR="00B84725" w:rsidRPr="009F43DE">
        <w:rPr>
          <w:lang w:val="fr-CH"/>
        </w:rPr>
        <w:t xml:space="preserve">avec des appartements </w:t>
      </w:r>
      <w:r w:rsidRPr="009F43DE">
        <w:rPr>
          <w:lang w:val="fr-CH"/>
        </w:rPr>
        <w:t>d</w:t>
      </w:r>
      <w:r w:rsidR="00F8384A" w:rsidRPr="009F43DE">
        <w:rPr>
          <w:lang w:val="fr-CH"/>
        </w:rPr>
        <w:t>’</w:t>
      </w:r>
      <w:r w:rsidRPr="009F43DE">
        <w:rPr>
          <w:lang w:val="fr-CH"/>
        </w:rPr>
        <w:t>une su</w:t>
      </w:r>
      <w:r w:rsidR="00B84725" w:rsidRPr="009F43DE">
        <w:rPr>
          <w:lang w:val="fr-CH"/>
        </w:rPr>
        <w:t>perficie</w:t>
      </w:r>
      <w:r w:rsidRPr="009F43DE">
        <w:rPr>
          <w:lang w:val="fr-CH"/>
        </w:rPr>
        <w:t xml:space="preserve"> </w:t>
      </w:r>
      <w:r w:rsidR="00B84725" w:rsidRPr="009F43DE">
        <w:rPr>
          <w:lang w:val="fr-CH"/>
        </w:rPr>
        <w:t>moyenne</w:t>
      </w:r>
      <w:r w:rsidRPr="009F43DE">
        <w:rPr>
          <w:lang w:val="fr-CH"/>
        </w:rPr>
        <w:t xml:space="preserve"> d</w:t>
      </w:r>
      <w:r w:rsidR="00F8384A" w:rsidRPr="009F43DE">
        <w:rPr>
          <w:lang w:val="fr-CH"/>
        </w:rPr>
        <w:t>’</w:t>
      </w:r>
      <w:r w:rsidRPr="009F43DE">
        <w:rPr>
          <w:lang w:val="fr-CH"/>
        </w:rPr>
        <w:t xml:space="preserve">environ </w:t>
      </w:r>
      <w:r w:rsidR="00B84725" w:rsidRPr="009F43DE">
        <w:rPr>
          <w:lang w:val="fr-CH"/>
        </w:rPr>
        <w:t>40</w:t>
      </w:r>
      <w:r w:rsidRPr="009F43DE">
        <w:rPr>
          <w:lang w:val="fr-CH"/>
        </w:rPr>
        <w:t xml:space="preserve"> m</w:t>
      </w:r>
      <w:r w:rsidR="00145080" w:rsidRPr="00145080">
        <w:rPr>
          <w:vertAlign w:val="superscript"/>
          <w:lang w:val="fr-CH"/>
        </w:rPr>
        <w:t>2</w:t>
      </w:r>
      <w:r w:rsidRPr="009F43DE">
        <w:rPr>
          <w:lang w:val="fr-CH"/>
        </w:rPr>
        <w:t xml:space="preserve"> </w:t>
      </w:r>
      <w:r w:rsidR="00B84725" w:rsidRPr="009F43DE">
        <w:rPr>
          <w:lang w:val="fr-CH"/>
        </w:rPr>
        <w:t>entièrement équipés</w:t>
      </w:r>
      <w:r w:rsidRPr="009F43DE">
        <w:rPr>
          <w:lang w:val="fr-CH"/>
        </w:rPr>
        <w:t xml:space="preserve">. Au cours de la </w:t>
      </w:r>
      <w:r w:rsidR="00B84725" w:rsidRPr="009F43DE">
        <w:rPr>
          <w:lang w:val="fr-CH"/>
        </w:rPr>
        <w:t xml:space="preserve">deuxième </w:t>
      </w:r>
      <w:r w:rsidRPr="009F43DE">
        <w:rPr>
          <w:lang w:val="fr-CH"/>
        </w:rPr>
        <w:t xml:space="preserve">phase </w:t>
      </w:r>
      <w:r w:rsidR="00B84725" w:rsidRPr="009F43DE">
        <w:rPr>
          <w:lang w:val="fr-CH"/>
        </w:rPr>
        <w:t xml:space="preserve">des travaux, la superficie </w:t>
      </w:r>
      <w:r w:rsidRPr="009F43DE">
        <w:rPr>
          <w:lang w:val="fr-CH"/>
        </w:rPr>
        <w:t xml:space="preserve">de chaque unité a été </w:t>
      </w:r>
      <w:r w:rsidR="00B84725" w:rsidRPr="009F43DE">
        <w:rPr>
          <w:lang w:val="fr-CH"/>
        </w:rPr>
        <w:t>portée</w:t>
      </w:r>
      <w:r w:rsidRPr="009F43DE">
        <w:rPr>
          <w:lang w:val="fr-CH"/>
        </w:rPr>
        <w:t xml:space="preserve"> à 46 m</w:t>
      </w:r>
      <w:r w:rsidR="00145080" w:rsidRPr="00145080">
        <w:rPr>
          <w:vertAlign w:val="superscript"/>
          <w:lang w:val="fr-CH"/>
        </w:rPr>
        <w:t>2</w:t>
      </w:r>
      <w:r w:rsidR="00B37CEF" w:rsidRPr="009F43DE">
        <w:rPr>
          <w:lang w:val="fr-CH"/>
        </w:rPr>
        <w:t xml:space="preserve"> environ</w:t>
      </w:r>
      <w:r w:rsidRPr="009F43DE">
        <w:rPr>
          <w:lang w:val="fr-CH"/>
        </w:rPr>
        <w:t xml:space="preserve">. Actuellement, près de 14 000 unités sont à différentes étapes de leur construction et les 4 900 premières unités ont été </w:t>
      </w:r>
      <w:r w:rsidR="00B37CEF" w:rsidRPr="009F43DE">
        <w:rPr>
          <w:lang w:val="fr-CH"/>
        </w:rPr>
        <w:t>livrées</w:t>
      </w:r>
      <w:r w:rsidRPr="009F43DE">
        <w:rPr>
          <w:lang w:val="fr-CH"/>
        </w:rPr>
        <w:t xml:space="preserve"> aux 4 900 familles sélectionnées à la fin de l</w:t>
      </w:r>
      <w:r w:rsidR="00F8384A" w:rsidRPr="009F43DE">
        <w:rPr>
          <w:lang w:val="fr-CH"/>
        </w:rPr>
        <w:t>’</w:t>
      </w:r>
      <w:r w:rsidRPr="009F43DE">
        <w:rPr>
          <w:lang w:val="fr-CH"/>
        </w:rPr>
        <w:t xml:space="preserve">année 2014. Toutes les parties lésées par une décision </w:t>
      </w:r>
      <w:r w:rsidR="00B84725" w:rsidRPr="009F43DE">
        <w:rPr>
          <w:lang w:val="fr-CH"/>
        </w:rPr>
        <w:t>ont pu</w:t>
      </w:r>
      <w:r w:rsidRPr="009F43DE">
        <w:rPr>
          <w:lang w:val="fr-CH"/>
        </w:rPr>
        <w:t xml:space="preserve"> librement </w:t>
      </w:r>
      <w:r w:rsidR="00B84725" w:rsidRPr="009F43DE">
        <w:rPr>
          <w:lang w:val="fr-CH"/>
        </w:rPr>
        <w:t>utiliser toutes les</w:t>
      </w:r>
      <w:r w:rsidRPr="009F43DE">
        <w:rPr>
          <w:lang w:val="fr-CH"/>
        </w:rPr>
        <w:t xml:space="preserve"> voies de </w:t>
      </w:r>
      <w:r w:rsidR="00B84725" w:rsidRPr="009F43DE">
        <w:rPr>
          <w:lang w:val="fr-CH"/>
        </w:rPr>
        <w:t>recours disponibles</w:t>
      </w:r>
      <w:r w:rsidRPr="009F43DE">
        <w:rPr>
          <w:lang w:val="fr-CH"/>
        </w:rPr>
        <w:t xml:space="preserve"> et le</w:t>
      </w:r>
      <w:r w:rsidR="00B84725" w:rsidRPr="009F43DE">
        <w:rPr>
          <w:lang w:val="fr-CH"/>
        </w:rPr>
        <w:t>ur</w:t>
      </w:r>
      <w:r w:rsidRPr="009F43DE">
        <w:rPr>
          <w:lang w:val="fr-CH"/>
        </w:rPr>
        <w:t xml:space="preserve"> droit à recevoir une indemnisation adéquate a été dûment reconnu et respecté</w:t>
      </w:r>
      <w:r w:rsidR="00B84725" w:rsidRPr="009F43DE">
        <w:rPr>
          <w:lang w:val="fr-CH"/>
        </w:rPr>
        <w:t xml:space="preserve"> par l</w:t>
      </w:r>
      <w:r w:rsidR="00F8384A" w:rsidRPr="009F43DE">
        <w:rPr>
          <w:lang w:val="fr-CH"/>
        </w:rPr>
        <w:t>’</w:t>
      </w:r>
      <w:r w:rsidR="007574C7" w:rsidRPr="009F43DE">
        <w:rPr>
          <w:lang w:val="fr-CH"/>
        </w:rPr>
        <w:t>État</w:t>
      </w:r>
      <w:r w:rsidR="00B84725" w:rsidRPr="009F43DE">
        <w:rPr>
          <w:lang w:val="fr-CH"/>
        </w:rPr>
        <w:t xml:space="preserve"> partie, en tant que signat</w:t>
      </w:r>
      <w:r w:rsidR="00B37CEF" w:rsidRPr="009F43DE">
        <w:rPr>
          <w:lang w:val="fr-CH"/>
        </w:rPr>
        <w:t>aire du</w:t>
      </w:r>
      <w:r w:rsidR="00B84725" w:rsidRPr="009F43DE">
        <w:rPr>
          <w:lang w:val="fr-CH"/>
        </w:rPr>
        <w:t xml:space="preserve"> Pacte international relatif aux droits économiques, sociaux</w:t>
      </w:r>
      <w:r w:rsidR="00B37CEF" w:rsidRPr="009F43DE">
        <w:rPr>
          <w:lang w:val="fr-CH"/>
        </w:rPr>
        <w:t xml:space="preserve"> et politiques.</w:t>
      </w:r>
      <w:r w:rsidRPr="009F43DE">
        <w:rPr>
          <w:lang w:val="fr-CH"/>
        </w:rPr>
        <w:t xml:space="preserve"> </w:t>
      </w:r>
    </w:p>
    <w:p w:rsidR="00C82061" w:rsidRPr="009F43DE" w:rsidRDefault="00C82061" w:rsidP="00C82061">
      <w:pPr>
        <w:pStyle w:val="H23G"/>
        <w:rPr>
          <w:rFonts w:eastAsia="Calibri"/>
          <w:lang w:val="fr-CH"/>
        </w:rPr>
      </w:pPr>
      <w:r w:rsidRPr="009F43DE">
        <w:rPr>
          <w:lang w:val="fr-CH"/>
        </w:rPr>
        <w:tab/>
      </w:r>
      <w:r w:rsidRPr="009F43DE">
        <w:rPr>
          <w:lang w:val="fr-CH"/>
        </w:rPr>
        <w:tab/>
        <w:t xml:space="preserve">Lutter contre la surpopulation des prisons, en envisageant en particulier des mesures de substitution à la privation de liberté </w:t>
      </w:r>
      <w:r w:rsidR="007848EA">
        <w:rPr>
          <w:lang w:val="fr-CH"/>
        </w:rPr>
        <w:t>(</w:t>
      </w:r>
      <w:r w:rsidRPr="009F43DE">
        <w:rPr>
          <w:lang w:val="fr-CH"/>
        </w:rPr>
        <w:t>par</w:t>
      </w:r>
      <w:r w:rsidR="007848EA">
        <w:rPr>
          <w:lang w:val="fr-CH"/>
        </w:rPr>
        <w:t>.</w:t>
      </w:r>
      <w:r w:rsidRPr="009F43DE">
        <w:rPr>
          <w:lang w:val="fr-CH"/>
        </w:rPr>
        <w:t xml:space="preserve"> 32</w:t>
      </w:r>
      <w:r w:rsidR="007848EA">
        <w:rPr>
          <w:rFonts w:eastAsia="Calibri"/>
          <w:lang w:val="fr-CH"/>
        </w:rPr>
        <w:t>)</w:t>
      </w:r>
    </w:p>
    <w:p w:rsidR="00C82061" w:rsidRPr="009F43DE" w:rsidRDefault="00C82061" w:rsidP="00C82061">
      <w:pPr>
        <w:pStyle w:val="SingleTxtG"/>
        <w:rPr>
          <w:lang w:val="fr-CH"/>
        </w:rPr>
      </w:pPr>
      <w:r w:rsidRPr="009F43DE">
        <w:rPr>
          <w:lang w:val="fr-CH"/>
        </w:rPr>
        <w:t>142.</w:t>
      </w:r>
      <w:r w:rsidRPr="009F43DE">
        <w:rPr>
          <w:lang w:val="fr-CH"/>
        </w:rPr>
        <w:tab/>
        <w:t xml:space="preserve">Le Ministère de la </w:t>
      </w:r>
      <w:r w:rsidR="00B37CEF" w:rsidRPr="009F43DE">
        <w:rPr>
          <w:lang w:val="fr-CH"/>
        </w:rPr>
        <w:t>J</w:t>
      </w:r>
      <w:r w:rsidRPr="009F43DE">
        <w:rPr>
          <w:lang w:val="fr-CH"/>
        </w:rPr>
        <w:t xml:space="preserve">ustice est chargé de </w:t>
      </w:r>
      <w:r w:rsidR="00B37CEF" w:rsidRPr="009F43DE">
        <w:rPr>
          <w:lang w:val="fr-CH"/>
        </w:rPr>
        <w:t>la supervision de toutes les affaires intéressant les détenus. Il met actuellement à exécution un programme v</w:t>
      </w:r>
      <w:r w:rsidRPr="009F43DE">
        <w:rPr>
          <w:lang w:val="fr-CH"/>
        </w:rPr>
        <w:t xml:space="preserve">isant à réduire la congestion en déplaçant les </w:t>
      </w:r>
      <w:r w:rsidR="00B37CEF" w:rsidRPr="009F43DE">
        <w:rPr>
          <w:lang w:val="fr-CH"/>
        </w:rPr>
        <w:t xml:space="preserve">centres de détention </w:t>
      </w:r>
      <w:r w:rsidRPr="009F43DE">
        <w:rPr>
          <w:lang w:val="fr-CH"/>
        </w:rPr>
        <w:t>des zones densément peuplées vers des zones disposant de plus d</w:t>
      </w:r>
      <w:r w:rsidR="00F8384A" w:rsidRPr="009F43DE">
        <w:rPr>
          <w:lang w:val="fr-CH"/>
        </w:rPr>
        <w:t>’</w:t>
      </w:r>
      <w:r w:rsidRPr="009F43DE">
        <w:rPr>
          <w:lang w:val="fr-CH"/>
        </w:rPr>
        <w:t xml:space="preserve">espace. Une attention </w:t>
      </w:r>
      <w:r w:rsidR="00B37CEF" w:rsidRPr="009F43DE">
        <w:rPr>
          <w:lang w:val="fr-CH"/>
        </w:rPr>
        <w:t>particulière a été apportée</w:t>
      </w:r>
      <w:r w:rsidRPr="009F43DE">
        <w:rPr>
          <w:lang w:val="fr-CH"/>
        </w:rPr>
        <w:t xml:space="preserve"> tant aux projets de réinstallation à Tangalle, Matara, Galle, Badulla et Trincomalee qu</w:t>
      </w:r>
      <w:r w:rsidR="00F8384A" w:rsidRPr="009F43DE">
        <w:rPr>
          <w:lang w:val="fr-CH"/>
        </w:rPr>
        <w:t>’</w:t>
      </w:r>
      <w:r w:rsidRPr="009F43DE">
        <w:rPr>
          <w:lang w:val="fr-CH"/>
        </w:rPr>
        <w:t>à la construction de nouve</w:t>
      </w:r>
      <w:r w:rsidR="00B37CEF" w:rsidRPr="009F43DE">
        <w:rPr>
          <w:lang w:val="fr-CH"/>
        </w:rPr>
        <w:t>aux centres de détention</w:t>
      </w:r>
      <w:r w:rsidRPr="009F43DE">
        <w:rPr>
          <w:lang w:val="fr-CH"/>
        </w:rPr>
        <w:t xml:space="preserve"> à Pallekelle et Jaffna. L</w:t>
      </w:r>
      <w:r w:rsidR="00F8384A" w:rsidRPr="009F43DE">
        <w:rPr>
          <w:lang w:val="fr-CH"/>
        </w:rPr>
        <w:t>’</w:t>
      </w:r>
      <w:r w:rsidRPr="009F43DE">
        <w:rPr>
          <w:lang w:val="fr-CH"/>
        </w:rPr>
        <w:t xml:space="preserve">expansion des </w:t>
      </w:r>
      <w:r w:rsidR="00B37CEF" w:rsidRPr="009F43DE">
        <w:rPr>
          <w:lang w:val="fr-CH"/>
        </w:rPr>
        <w:t>centres de détention de</w:t>
      </w:r>
      <w:r w:rsidRPr="009F43DE">
        <w:rPr>
          <w:lang w:val="fr-CH"/>
        </w:rPr>
        <w:t xml:space="preserve"> Mahara, Watakara et Kalutara est en cours. </w:t>
      </w:r>
      <w:r w:rsidR="00B37CEF" w:rsidRPr="009F43DE">
        <w:rPr>
          <w:lang w:val="fr-CH"/>
        </w:rPr>
        <w:t xml:space="preserve">Afin de diminuer la congestion dans les prisons, </w:t>
      </w:r>
      <w:r w:rsidR="007C36A7" w:rsidRPr="009F43DE">
        <w:rPr>
          <w:lang w:val="fr-CH"/>
        </w:rPr>
        <w:t>le M</w:t>
      </w:r>
      <w:r w:rsidR="00B37CEF" w:rsidRPr="009F43DE">
        <w:rPr>
          <w:lang w:val="fr-CH"/>
        </w:rPr>
        <w:t>inistère</w:t>
      </w:r>
      <w:r w:rsidRPr="009F43DE">
        <w:rPr>
          <w:lang w:val="fr-CH"/>
        </w:rPr>
        <w:t xml:space="preserve"> </w:t>
      </w:r>
      <w:r w:rsidR="00B37CEF" w:rsidRPr="009F43DE">
        <w:rPr>
          <w:lang w:val="fr-CH"/>
        </w:rPr>
        <w:t xml:space="preserve">libère </w:t>
      </w:r>
      <w:r w:rsidR="007C36A7" w:rsidRPr="009F43DE">
        <w:rPr>
          <w:lang w:val="fr-CH"/>
        </w:rPr>
        <w:t xml:space="preserve">aussi </w:t>
      </w:r>
      <w:r w:rsidR="00B37CEF" w:rsidRPr="009F43DE">
        <w:rPr>
          <w:lang w:val="fr-CH"/>
        </w:rPr>
        <w:t>des détenus à titre temporaire ou définitif</w:t>
      </w:r>
      <w:r w:rsidRPr="009F43DE">
        <w:rPr>
          <w:lang w:val="fr-CH"/>
        </w:rPr>
        <w:t>, dans les conditions suivantes</w:t>
      </w:r>
      <w:r w:rsidR="00F8384A" w:rsidRPr="009F43DE">
        <w:rPr>
          <w:lang w:val="fr-CH"/>
        </w:rPr>
        <w:t>:</w:t>
      </w:r>
    </w:p>
    <w:p w:rsidR="00C82061" w:rsidRPr="009F43DE" w:rsidRDefault="00C82061" w:rsidP="00C82061">
      <w:pPr>
        <w:pStyle w:val="Bullet1G"/>
        <w:numPr>
          <w:ilvl w:val="0"/>
          <w:numId w:val="0"/>
        </w:numPr>
        <w:tabs>
          <w:tab w:val="left" w:pos="1701"/>
        </w:tabs>
        <w:ind w:left="1701" w:hanging="170"/>
        <w:rPr>
          <w:lang w:val="fr-CH"/>
        </w:rPr>
      </w:pPr>
      <w:r w:rsidRPr="009F43DE">
        <w:rPr>
          <w:lang w:val="fr-CH"/>
        </w:rPr>
        <w:t>•</w:t>
      </w:r>
      <w:r w:rsidRPr="009F43DE">
        <w:rPr>
          <w:lang w:val="fr-CH"/>
        </w:rPr>
        <w:tab/>
      </w:r>
      <w:r w:rsidR="007C36A7" w:rsidRPr="009F43DE">
        <w:rPr>
          <w:lang w:val="fr-CH"/>
        </w:rPr>
        <w:t>Remise</w:t>
      </w:r>
      <w:r w:rsidRPr="009F43DE">
        <w:rPr>
          <w:lang w:val="fr-CH"/>
        </w:rPr>
        <w:t xml:space="preserve"> en liberté </w:t>
      </w:r>
      <w:r w:rsidR="007C36A7" w:rsidRPr="009F43DE">
        <w:rPr>
          <w:lang w:val="fr-CH"/>
        </w:rPr>
        <w:t>suite à</w:t>
      </w:r>
      <w:r w:rsidRPr="009F43DE">
        <w:rPr>
          <w:lang w:val="fr-CH"/>
        </w:rPr>
        <w:t xml:space="preserve"> une amnistie</w:t>
      </w:r>
      <w:r w:rsidR="007848EA">
        <w:rPr>
          <w:lang w:val="fr-CH"/>
        </w:rPr>
        <w:t>;</w:t>
      </w:r>
    </w:p>
    <w:p w:rsidR="00C82061" w:rsidRPr="009F43DE" w:rsidRDefault="00C82061" w:rsidP="00C82061">
      <w:pPr>
        <w:pStyle w:val="Bullet1G"/>
        <w:numPr>
          <w:ilvl w:val="0"/>
          <w:numId w:val="0"/>
        </w:numPr>
        <w:tabs>
          <w:tab w:val="left" w:pos="1701"/>
        </w:tabs>
        <w:ind w:left="1701" w:hanging="170"/>
        <w:rPr>
          <w:lang w:val="fr-CH"/>
        </w:rPr>
      </w:pPr>
      <w:r w:rsidRPr="009F43DE">
        <w:rPr>
          <w:lang w:val="fr-CH"/>
        </w:rPr>
        <w:t>•</w:t>
      </w:r>
      <w:r w:rsidRPr="009F43DE">
        <w:rPr>
          <w:lang w:val="fr-CH"/>
        </w:rPr>
        <w:tab/>
      </w:r>
      <w:r w:rsidR="007C36A7" w:rsidRPr="009F43DE">
        <w:rPr>
          <w:lang w:val="fr-CH"/>
        </w:rPr>
        <w:t>L</w:t>
      </w:r>
      <w:r w:rsidRPr="009F43DE">
        <w:rPr>
          <w:lang w:val="fr-CH"/>
        </w:rPr>
        <w:t>iberté conditionnelle</w:t>
      </w:r>
      <w:r w:rsidR="007848EA">
        <w:rPr>
          <w:lang w:val="fr-CH"/>
        </w:rPr>
        <w:t>;</w:t>
      </w:r>
    </w:p>
    <w:p w:rsidR="00C82061" w:rsidRPr="009F43DE" w:rsidRDefault="00C82061" w:rsidP="00C82061">
      <w:pPr>
        <w:pStyle w:val="Bullet1G"/>
        <w:numPr>
          <w:ilvl w:val="0"/>
          <w:numId w:val="0"/>
        </w:numPr>
        <w:tabs>
          <w:tab w:val="left" w:pos="1701"/>
        </w:tabs>
        <w:ind w:left="1701" w:hanging="170"/>
        <w:rPr>
          <w:lang w:val="fr-CH"/>
        </w:rPr>
      </w:pPr>
      <w:r w:rsidRPr="009F43DE">
        <w:rPr>
          <w:lang w:val="fr-CH"/>
        </w:rPr>
        <w:t>•</w:t>
      </w:r>
      <w:r w:rsidRPr="009F43DE">
        <w:rPr>
          <w:lang w:val="fr-CH"/>
        </w:rPr>
        <w:tab/>
      </w:r>
      <w:r w:rsidR="007C36A7" w:rsidRPr="009F43DE">
        <w:rPr>
          <w:lang w:val="fr-CH"/>
        </w:rPr>
        <w:t>Octroi d</w:t>
      </w:r>
      <w:r w:rsidR="00F8384A" w:rsidRPr="009F43DE">
        <w:rPr>
          <w:lang w:val="fr-CH"/>
        </w:rPr>
        <w:t>’</w:t>
      </w:r>
      <w:r w:rsidRPr="009F43DE">
        <w:rPr>
          <w:lang w:val="fr-CH"/>
        </w:rPr>
        <w:t>une permission</w:t>
      </w:r>
      <w:r w:rsidR="007C36A7" w:rsidRPr="009F43DE">
        <w:rPr>
          <w:lang w:val="fr-CH"/>
        </w:rPr>
        <w:t>.</w:t>
      </w:r>
    </w:p>
    <w:p w:rsidR="00C82061" w:rsidRPr="009F43DE" w:rsidRDefault="00C82061" w:rsidP="00C82061">
      <w:pPr>
        <w:pStyle w:val="SingleTxtG"/>
        <w:rPr>
          <w:lang w:val="fr-CH"/>
        </w:rPr>
      </w:pPr>
      <w:r w:rsidRPr="009F43DE">
        <w:rPr>
          <w:lang w:val="fr-CH"/>
        </w:rPr>
        <w:t>143.</w:t>
      </w:r>
      <w:r w:rsidRPr="009F43DE">
        <w:rPr>
          <w:lang w:val="fr-CH"/>
        </w:rPr>
        <w:tab/>
        <w:t>L</w:t>
      </w:r>
      <w:r w:rsidR="00F8384A" w:rsidRPr="009F43DE">
        <w:rPr>
          <w:lang w:val="fr-CH"/>
        </w:rPr>
        <w:t>’</w:t>
      </w:r>
      <w:r w:rsidRPr="009F43DE">
        <w:rPr>
          <w:lang w:val="fr-CH"/>
        </w:rPr>
        <w:t xml:space="preserve">État tient à rappeler au Comité que les jeunes délinquants sont séparés des détenus adultes et que des véhicules distincts </w:t>
      </w:r>
      <w:r w:rsidR="007C36A7" w:rsidRPr="009F43DE">
        <w:rPr>
          <w:lang w:val="fr-CH"/>
        </w:rPr>
        <w:t>leur sont affectés pour le transport</w:t>
      </w:r>
      <w:r w:rsidRPr="009F43DE">
        <w:rPr>
          <w:lang w:val="fr-CH"/>
        </w:rPr>
        <w:t xml:space="preserve"> jusqu</w:t>
      </w:r>
      <w:r w:rsidR="00F8384A" w:rsidRPr="009F43DE">
        <w:rPr>
          <w:lang w:val="fr-CH"/>
        </w:rPr>
        <w:t>’</w:t>
      </w:r>
      <w:r w:rsidRPr="009F43DE">
        <w:rPr>
          <w:lang w:val="fr-CH"/>
        </w:rPr>
        <w:t>aux tribunaux. Les enfants condamnés à la prison sont envoyés à l</w:t>
      </w:r>
      <w:r w:rsidR="00F8384A" w:rsidRPr="009F43DE">
        <w:rPr>
          <w:lang w:val="fr-CH"/>
        </w:rPr>
        <w:t>’</w:t>
      </w:r>
      <w:r w:rsidR="007574C7" w:rsidRPr="009F43DE">
        <w:rPr>
          <w:lang w:val="fr-CH"/>
        </w:rPr>
        <w:t>École</w:t>
      </w:r>
      <w:r w:rsidRPr="009F43DE">
        <w:rPr>
          <w:lang w:val="fr-CH"/>
        </w:rPr>
        <w:t xml:space="preserve"> de formation de Wathupitiwela pour jeunes délinquants, au Centre correctionnel de Pallansena pour jeunes délinquants et au Centre correctionnel de Taldena pour jeunes délinquants. La première école au monde pour des prisonniers a été ouverte le 21 mars 2014, à la prison de Watareka. Cent quatre-vingt trois détenus ont été sélectionnés pour </w:t>
      </w:r>
      <w:r w:rsidR="007C36A7" w:rsidRPr="009F43DE">
        <w:rPr>
          <w:lang w:val="fr-CH"/>
        </w:rPr>
        <w:t xml:space="preserve">y </w:t>
      </w:r>
      <w:r w:rsidRPr="009F43DE">
        <w:rPr>
          <w:lang w:val="fr-CH"/>
        </w:rPr>
        <w:t>étudier jusqu</w:t>
      </w:r>
      <w:r w:rsidR="00F8384A" w:rsidRPr="009F43DE">
        <w:rPr>
          <w:lang w:val="fr-CH"/>
        </w:rPr>
        <w:t>’</w:t>
      </w:r>
      <w:r w:rsidRPr="009F43DE">
        <w:rPr>
          <w:lang w:val="fr-CH"/>
        </w:rPr>
        <w:t xml:space="preserve">aux niveaux 8 et 9 et leurs uniformes scolaires ont été </w:t>
      </w:r>
      <w:r w:rsidR="007C36A7" w:rsidRPr="009F43DE">
        <w:rPr>
          <w:lang w:val="fr-CH"/>
        </w:rPr>
        <w:t>pris en charge par l</w:t>
      </w:r>
      <w:r w:rsidR="00F8384A" w:rsidRPr="009F43DE">
        <w:rPr>
          <w:lang w:val="fr-CH"/>
        </w:rPr>
        <w:t>’</w:t>
      </w:r>
      <w:r w:rsidR="007574C7" w:rsidRPr="009F43DE">
        <w:rPr>
          <w:lang w:val="fr-CH"/>
        </w:rPr>
        <w:t>État</w:t>
      </w:r>
      <w:r w:rsidRPr="009F43DE">
        <w:rPr>
          <w:lang w:val="fr-CH"/>
        </w:rPr>
        <w:t xml:space="preserve">. Ils suivront les programmes scolaires officiels dispensés par des enseignants publics. </w:t>
      </w:r>
    </w:p>
    <w:p w:rsidR="00C82061" w:rsidRPr="009F43DE" w:rsidRDefault="00C82061" w:rsidP="00C82061">
      <w:pPr>
        <w:pStyle w:val="SingleTxtG"/>
        <w:rPr>
          <w:lang w:val="fr-CH"/>
        </w:rPr>
      </w:pPr>
      <w:r w:rsidRPr="009F43DE">
        <w:rPr>
          <w:lang w:val="fr-CH"/>
        </w:rPr>
        <w:t>144.</w:t>
      </w:r>
      <w:r w:rsidRPr="009F43DE">
        <w:rPr>
          <w:lang w:val="fr-CH"/>
        </w:rPr>
        <w:tab/>
        <w:t>Le projet de loi sur l</w:t>
      </w:r>
      <w:r w:rsidR="00F8384A" w:rsidRPr="009F43DE">
        <w:rPr>
          <w:lang w:val="fr-CH"/>
        </w:rPr>
        <w:t>’</w:t>
      </w:r>
      <w:r w:rsidRPr="009F43DE">
        <w:rPr>
          <w:lang w:val="fr-CH"/>
        </w:rPr>
        <w:t xml:space="preserve">administration pénitentiaire qui vise à améliorer les </w:t>
      </w:r>
      <w:r w:rsidR="007C36A7" w:rsidRPr="009F43DE">
        <w:rPr>
          <w:lang w:val="fr-CH"/>
        </w:rPr>
        <w:t>conditions de détention</w:t>
      </w:r>
      <w:r w:rsidRPr="009F43DE">
        <w:rPr>
          <w:lang w:val="fr-CH"/>
        </w:rPr>
        <w:t xml:space="preserve"> dans les prisons les plus peuplées du pays a été présenté à l</w:t>
      </w:r>
      <w:r w:rsidR="00F8384A" w:rsidRPr="009F43DE">
        <w:rPr>
          <w:lang w:val="fr-CH"/>
        </w:rPr>
        <w:t>’</w:t>
      </w:r>
      <w:r w:rsidRPr="009F43DE">
        <w:rPr>
          <w:lang w:val="fr-CH"/>
        </w:rPr>
        <w:t>ex-Ministre de</w:t>
      </w:r>
      <w:r w:rsidR="007C36A7" w:rsidRPr="009F43DE">
        <w:rPr>
          <w:lang w:val="fr-CH"/>
        </w:rPr>
        <w:t xml:space="preserve"> la </w:t>
      </w:r>
      <w:r w:rsidRPr="009F43DE">
        <w:rPr>
          <w:lang w:val="fr-CH"/>
        </w:rPr>
        <w:t xml:space="preserve">réforme des prisons par la Commission </w:t>
      </w:r>
      <w:r w:rsidR="007C36A7" w:rsidRPr="009F43DE">
        <w:rPr>
          <w:lang w:val="fr-CH"/>
        </w:rPr>
        <w:t xml:space="preserve">compétente. </w:t>
      </w:r>
      <w:r w:rsidRPr="009F43DE">
        <w:rPr>
          <w:lang w:val="fr-CH"/>
        </w:rPr>
        <w:t>La nouvelle loi remplacera l</w:t>
      </w:r>
      <w:r w:rsidR="00F8384A" w:rsidRPr="009F43DE">
        <w:rPr>
          <w:lang w:val="fr-CH"/>
        </w:rPr>
        <w:t>’</w:t>
      </w:r>
      <w:r w:rsidR="007C36A7" w:rsidRPr="009F43DE">
        <w:rPr>
          <w:lang w:val="fr-CH"/>
        </w:rPr>
        <w:t>o</w:t>
      </w:r>
      <w:r w:rsidRPr="009F43DE">
        <w:rPr>
          <w:lang w:val="fr-CH"/>
        </w:rPr>
        <w:t xml:space="preserve">rdonnance </w:t>
      </w:r>
      <w:r w:rsidR="007C36A7" w:rsidRPr="009F43DE">
        <w:rPr>
          <w:lang w:val="fr-CH"/>
        </w:rPr>
        <w:t xml:space="preserve">existante </w:t>
      </w:r>
      <w:r w:rsidRPr="009F43DE">
        <w:rPr>
          <w:lang w:val="fr-CH"/>
        </w:rPr>
        <w:t xml:space="preserve">sur les prisons </w:t>
      </w:r>
      <w:r w:rsidR="007C36A7" w:rsidRPr="009F43DE">
        <w:rPr>
          <w:lang w:val="fr-CH"/>
        </w:rPr>
        <w:t>et visera à ration</w:t>
      </w:r>
      <w:r w:rsidRPr="009F43DE">
        <w:rPr>
          <w:lang w:val="fr-CH"/>
        </w:rPr>
        <w:t>aliser l</w:t>
      </w:r>
      <w:r w:rsidR="007C36A7" w:rsidRPr="009F43DE">
        <w:rPr>
          <w:lang w:val="fr-CH"/>
        </w:rPr>
        <w:t>es dispositions</w:t>
      </w:r>
      <w:r w:rsidRPr="009F43DE">
        <w:rPr>
          <w:lang w:val="fr-CH"/>
        </w:rPr>
        <w:t xml:space="preserve"> législative</w:t>
      </w:r>
      <w:r w:rsidR="007C36A7" w:rsidRPr="009F43DE">
        <w:rPr>
          <w:lang w:val="fr-CH"/>
        </w:rPr>
        <w:t>s</w:t>
      </w:r>
      <w:r w:rsidRPr="009F43DE">
        <w:rPr>
          <w:lang w:val="fr-CH"/>
        </w:rPr>
        <w:t xml:space="preserve"> et administrative</w:t>
      </w:r>
      <w:r w:rsidR="007C36A7" w:rsidRPr="009F43DE">
        <w:rPr>
          <w:lang w:val="fr-CH"/>
        </w:rPr>
        <w:t>s</w:t>
      </w:r>
      <w:r w:rsidRPr="009F43DE">
        <w:rPr>
          <w:lang w:val="fr-CH"/>
        </w:rPr>
        <w:t xml:space="preserve"> </w:t>
      </w:r>
      <w:r w:rsidR="007C36A7" w:rsidRPr="009F43DE">
        <w:rPr>
          <w:lang w:val="fr-CH"/>
        </w:rPr>
        <w:t>applicables à</w:t>
      </w:r>
      <w:r w:rsidRPr="009F43DE">
        <w:rPr>
          <w:lang w:val="fr-CH"/>
        </w:rPr>
        <w:t xml:space="preserve"> l</w:t>
      </w:r>
      <w:r w:rsidR="00F8384A" w:rsidRPr="009F43DE">
        <w:rPr>
          <w:lang w:val="fr-CH"/>
        </w:rPr>
        <w:t>’</w:t>
      </w:r>
      <w:r w:rsidRPr="009F43DE">
        <w:rPr>
          <w:lang w:val="fr-CH"/>
        </w:rPr>
        <w:t>administration pénitentiaire conformément aux normes et pratiques internationales acceptées. La Commission a aussi examiné les obligations internationales de Sri Lanka</w:t>
      </w:r>
      <w:r w:rsidR="007C36A7" w:rsidRPr="009F43DE">
        <w:rPr>
          <w:lang w:val="fr-CH"/>
        </w:rPr>
        <w:t>,</w:t>
      </w:r>
      <w:r w:rsidRPr="009F43DE">
        <w:rPr>
          <w:lang w:val="fr-CH"/>
        </w:rPr>
        <w:t xml:space="preserve"> telles que les Règles minima pour le traitement des détenus adoptées par l</w:t>
      </w:r>
      <w:r w:rsidR="00F8384A" w:rsidRPr="009F43DE">
        <w:rPr>
          <w:lang w:val="fr-CH"/>
        </w:rPr>
        <w:t>’</w:t>
      </w:r>
      <w:r w:rsidRPr="009F43DE">
        <w:rPr>
          <w:lang w:val="fr-CH"/>
        </w:rPr>
        <w:t>Organisation des Nations Unies, les conventions adoptées par l</w:t>
      </w:r>
      <w:r w:rsidR="00F8384A" w:rsidRPr="009F43DE">
        <w:rPr>
          <w:lang w:val="fr-CH"/>
        </w:rPr>
        <w:t>’</w:t>
      </w:r>
      <w:r w:rsidRPr="009F43DE">
        <w:rPr>
          <w:lang w:val="fr-CH"/>
        </w:rPr>
        <w:t>Organisation internationale du Travail et ratifiées par Sri Lanka et d</w:t>
      </w:r>
      <w:r w:rsidR="00F8384A" w:rsidRPr="009F43DE">
        <w:rPr>
          <w:lang w:val="fr-CH"/>
        </w:rPr>
        <w:t>’</w:t>
      </w:r>
      <w:r w:rsidRPr="009F43DE">
        <w:rPr>
          <w:lang w:val="fr-CH"/>
        </w:rPr>
        <w:t>autres principes internationaux relatifs aux prisonniers et à l</w:t>
      </w:r>
      <w:r w:rsidR="00F8384A" w:rsidRPr="009F43DE">
        <w:rPr>
          <w:lang w:val="fr-CH"/>
        </w:rPr>
        <w:t>’</w:t>
      </w:r>
      <w:r w:rsidRPr="009F43DE">
        <w:rPr>
          <w:lang w:val="fr-CH"/>
        </w:rPr>
        <w:t>administration pénitentiaire.</w:t>
      </w:r>
    </w:p>
    <w:p w:rsidR="00C82061" w:rsidRPr="009F43DE" w:rsidRDefault="00C82061" w:rsidP="00C82061">
      <w:pPr>
        <w:pStyle w:val="H23G"/>
        <w:rPr>
          <w:lang w:val="fr-CH"/>
        </w:rPr>
      </w:pPr>
      <w:r w:rsidRPr="009F43DE">
        <w:rPr>
          <w:lang w:val="fr-CH"/>
        </w:rPr>
        <w:tab/>
      </w:r>
      <w:r w:rsidRPr="009F43DE">
        <w:rPr>
          <w:lang w:val="fr-CH"/>
        </w:rPr>
        <w:tab/>
        <w:t xml:space="preserve">Mesures de protection du droit à une alimentation suffisante </w:t>
      </w:r>
      <w:r w:rsidR="00145080">
        <w:rPr>
          <w:lang w:val="fr-CH"/>
        </w:rPr>
        <w:t>(</w:t>
      </w:r>
      <w:r w:rsidRPr="009F43DE">
        <w:rPr>
          <w:lang w:val="fr-CH"/>
        </w:rPr>
        <w:t>par</w:t>
      </w:r>
      <w:r w:rsidR="00145080">
        <w:rPr>
          <w:lang w:val="fr-CH"/>
        </w:rPr>
        <w:t xml:space="preserve">. </w:t>
      </w:r>
      <w:r w:rsidRPr="009F43DE">
        <w:rPr>
          <w:lang w:val="fr-CH"/>
        </w:rPr>
        <w:t>33</w:t>
      </w:r>
      <w:r w:rsidR="00145080">
        <w:rPr>
          <w:lang w:val="fr-CH"/>
        </w:rPr>
        <w:t>)</w:t>
      </w:r>
    </w:p>
    <w:p w:rsidR="00C82061" w:rsidRPr="009F43DE" w:rsidRDefault="00C82061" w:rsidP="00C82061">
      <w:pPr>
        <w:pStyle w:val="SingleTxtG"/>
        <w:rPr>
          <w:lang w:val="fr-CH"/>
        </w:rPr>
      </w:pPr>
      <w:r w:rsidRPr="009F43DE">
        <w:rPr>
          <w:lang w:val="fr-CH"/>
        </w:rPr>
        <w:t>145.</w:t>
      </w:r>
      <w:r w:rsidRPr="009F43DE">
        <w:rPr>
          <w:lang w:val="fr-CH"/>
        </w:rPr>
        <w:tab/>
        <w:t>Le Gouvernement sri</w:t>
      </w:r>
      <w:r w:rsidR="007C36A7" w:rsidRPr="009F43DE">
        <w:rPr>
          <w:lang w:val="fr-CH"/>
        </w:rPr>
        <w:t>-</w:t>
      </w:r>
      <w:r w:rsidRPr="009F43DE">
        <w:rPr>
          <w:lang w:val="fr-CH"/>
        </w:rPr>
        <w:t xml:space="preserve">lankais a </w:t>
      </w:r>
      <w:r w:rsidR="007C36A7" w:rsidRPr="009F43DE">
        <w:rPr>
          <w:lang w:val="fr-CH"/>
        </w:rPr>
        <w:t>fait de</w:t>
      </w:r>
      <w:r w:rsidRPr="009F43DE">
        <w:rPr>
          <w:lang w:val="fr-CH"/>
        </w:rPr>
        <w:t xml:space="preserve"> la nutrition un domaine prioritaire. La politique nationale de nutrition a été adoptée en 2010 </w:t>
      </w:r>
      <w:r w:rsidR="007C36A7" w:rsidRPr="009F43DE">
        <w:rPr>
          <w:lang w:val="fr-CH"/>
        </w:rPr>
        <w:t xml:space="preserve">et </w:t>
      </w:r>
      <w:r w:rsidRPr="009F43DE">
        <w:rPr>
          <w:lang w:val="fr-CH"/>
        </w:rPr>
        <w:t xml:space="preserve">des programmes </w:t>
      </w:r>
      <w:r w:rsidR="007C36A7" w:rsidRPr="009F43DE">
        <w:rPr>
          <w:lang w:val="fr-CH"/>
        </w:rPr>
        <w:t>ont été conçus pour garantir à tous les citoyens</w:t>
      </w:r>
      <w:r w:rsidRPr="009F43DE">
        <w:rPr>
          <w:lang w:val="fr-CH"/>
        </w:rPr>
        <w:t xml:space="preserve"> la sécurité alimentaire</w:t>
      </w:r>
      <w:r w:rsidR="007C36A7" w:rsidRPr="009F43DE">
        <w:rPr>
          <w:lang w:val="fr-CH"/>
        </w:rPr>
        <w:t xml:space="preserve">. </w:t>
      </w:r>
      <w:r w:rsidRPr="009F43DE">
        <w:rPr>
          <w:lang w:val="fr-CH"/>
        </w:rPr>
        <w:t xml:space="preserve">Le </w:t>
      </w:r>
      <w:r w:rsidR="007C36A7" w:rsidRPr="009F43DE">
        <w:rPr>
          <w:lang w:val="fr-CH"/>
        </w:rPr>
        <w:t>C</w:t>
      </w:r>
      <w:r w:rsidRPr="009F43DE">
        <w:rPr>
          <w:lang w:val="fr-CH"/>
        </w:rPr>
        <w:t xml:space="preserve">onseil national de la nutrition, présidé par le </w:t>
      </w:r>
      <w:r w:rsidR="00145080">
        <w:rPr>
          <w:lang w:val="fr-CH"/>
        </w:rPr>
        <w:t>c</w:t>
      </w:r>
      <w:r w:rsidRPr="009F43DE">
        <w:rPr>
          <w:lang w:val="fr-CH"/>
        </w:rPr>
        <w:t>hef de l</w:t>
      </w:r>
      <w:r w:rsidR="00F8384A" w:rsidRPr="009F43DE">
        <w:rPr>
          <w:lang w:val="fr-CH"/>
        </w:rPr>
        <w:t>’</w:t>
      </w:r>
      <w:r w:rsidR="007574C7" w:rsidRPr="009F43DE">
        <w:rPr>
          <w:lang w:val="fr-CH"/>
        </w:rPr>
        <w:t>État</w:t>
      </w:r>
      <w:r w:rsidRPr="009F43DE">
        <w:rPr>
          <w:lang w:val="fr-CH"/>
        </w:rPr>
        <w:t xml:space="preserve"> et auquel participent 14 ministères et tous les premiers ministres des provinces, a établi un mécanisme pour </w:t>
      </w:r>
      <w:r w:rsidR="007C36A7" w:rsidRPr="009F43DE">
        <w:rPr>
          <w:lang w:val="fr-CH"/>
        </w:rPr>
        <w:t xml:space="preserve">donner effet aux différents objectifs de la politique dans un </w:t>
      </w:r>
      <w:r w:rsidRPr="009F43DE">
        <w:rPr>
          <w:lang w:val="fr-CH"/>
        </w:rPr>
        <w:t xml:space="preserve">cadre multisectoriel. </w:t>
      </w:r>
      <w:r w:rsidR="00FB3258" w:rsidRPr="009F43DE">
        <w:rPr>
          <w:lang w:val="fr-CH"/>
        </w:rPr>
        <w:t>Un rang très élevé de priorité a été accordé aux ques</w:t>
      </w:r>
      <w:r w:rsidRPr="009F43DE">
        <w:rPr>
          <w:lang w:val="fr-CH"/>
        </w:rPr>
        <w:t xml:space="preserve">tions de nutrition maternelle et infantile. </w:t>
      </w:r>
      <w:r w:rsidR="00FB3258" w:rsidRPr="009F43DE">
        <w:rPr>
          <w:lang w:val="fr-CH"/>
        </w:rPr>
        <w:t>D</w:t>
      </w:r>
      <w:r w:rsidR="00F8384A" w:rsidRPr="009F43DE">
        <w:rPr>
          <w:lang w:val="fr-CH"/>
        </w:rPr>
        <w:t>’</w:t>
      </w:r>
      <w:r w:rsidR="00FB3258" w:rsidRPr="009F43DE">
        <w:rPr>
          <w:lang w:val="fr-CH"/>
        </w:rPr>
        <w:t>après l</w:t>
      </w:r>
      <w:r w:rsidR="00F8384A" w:rsidRPr="009F43DE">
        <w:rPr>
          <w:lang w:val="fr-CH"/>
        </w:rPr>
        <w:t>’</w:t>
      </w:r>
      <w:r w:rsidR="00FB3258" w:rsidRPr="009F43DE">
        <w:rPr>
          <w:lang w:val="fr-CH"/>
        </w:rPr>
        <w:t>i</w:t>
      </w:r>
      <w:r w:rsidRPr="009F43DE">
        <w:rPr>
          <w:lang w:val="fr-CH"/>
        </w:rPr>
        <w:t>ndice de sécurité alimentaire mondial</w:t>
      </w:r>
      <w:r w:rsidR="00FB3258" w:rsidRPr="009F43DE">
        <w:rPr>
          <w:lang w:val="fr-CH"/>
        </w:rPr>
        <w:t xml:space="preserve">, </w:t>
      </w:r>
      <w:r w:rsidRPr="009F43DE">
        <w:rPr>
          <w:lang w:val="fr-CH"/>
        </w:rPr>
        <w:t xml:space="preserve">Sri Lanka </w:t>
      </w:r>
      <w:r w:rsidR="00FB3258" w:rsidRPr="009F43DE">
        <w:rPr>
          <w:lang w:val="fr-CH"/>
        </w:rPr>
        <w:t xml:space="preserve">se classe </w:t>
      </w:r>
      <w:r w:rsidRPr="009F43DE">
        <w:rPr>
          <w:lang w:val="fr-CH"/>
        </w:rPr>
        <w:t>en 63</w:t>
      </w:r>
      <w:r w:rsidRPr="009F43DE">
        <w:rPr>
          <w:vertAlign w:val="superscript"/>
          <w:lang w:val="fr-CH"/>
        </w:rPr>
        <w:t>e</w:t>
      </w:r>
      <w:r w:rsidRPr="009F43DE">
        <w:rPr>
          <w:lang w:val="fr-CH"/>
        </w:rPr>
        <w:t xml:space="preserve"> position sur 105 pays.</w:t>
      </w:r>
    </w:p>
    <w:p w:rsidR="00C82061" w:rsidRPr="009F43DE" w:rsidRDefault="00C82061" w:rsidP="00C82061">
      <w:pPr>
        <w:pStyle w:val="SingleTxtG"/>
        <w:rPr>
          <w:lang w:val="fr-CH"/>
        </w:rPr>
      </w:pPr>
      <w:r w:rsidRPr="009F43DE">
        <w:rPr>
          <w:lang w:val="fr-CH"/>
        </w:rPr>
        <w:t>146.</w:t>
      </w:r>
      <w:r w:rsidRPr="009F43DE">
        <w:rPr>
          <w:lang w:val="fr-CH"/>
        </w:rPr>
        <w:tab/>
        <w:t>Un ensemble intégré de mesures de santé maternelle et infantile a été mis en œuvre dans l</w:t>
      </w:r>
      <w:r w:rsidR="00F8384A" w:rsidRPr="009F43DE">
        <w:rPr>
          <w:lang w:val="fr-CH"/>
        </w:rPr>
        <w:t>’</w:t>
      </w:r>
      <w:r w:rsidRPr="009F43DE">
        <w:rPr>
          <w:lang w:val="fr-CH"/>
        </w:rPr>
        <w:t>ensemble d</w:t>
      </w:r>
      <w:r w:rsidR="00FB3258" w:rsidRPr="009F43DE">
        <w:rPr>
          <w:lang w:val="fr-CH"/>
        </w:rPr>
        <w:t>u pays</w:t>
      </w:r>
      <w:r w:rsidRPr="009F43DE">
        <w:rPr>
          <w:lang w:val="fr-CH"/>
        </w:rPr>
        <w:t xml:space="preserve"> par le Ministère de la santé et de la médecine </w:t>
      </w:r>
      <w:r w:rsidR="00FB3258" w:rsidRPr="009F43DE">
        <w:rPr>
          <w:lang w:val="fr-CH"/>
        </w:rPr>
        <w:t>autochtone. Un intérêt p</w:t>
      </w:r>
      <w:r w:rsidRPr="009F43DE">
        <w:rPr>
          <w:lang w:val="fr-CH"/>
        </w:rPr>
        <w:t xml:space="preserve">articulier </w:t>
      </w:r>
      <w:r w:rsidR="00FB3258" w:rsidRPr="009F43DE">
        <w:rPr>
          <w:lang w:val="fr-CH"/>
        </w:rPr>
        <w:t>est accordé aux</w:t>
      </w:r>
      <w:r w:rsidRPr="009F43DE">
        <w:rPr>
          <w:lang w:val="fr-CH"/>
        </w:rPr>
        <w:t xml:space="preserve"> populations vulnérables afin de r</w:t>
      </w:r>
      <w:r w:rsidR="00FB3258" w:rsidRPr="009F43DE">
        <w:rPr>
          <w:lang w:val="fr-CH"/>
        </w:rPr>
        <w:t>emédier à tous les problèmes</w:t>
      </w:r>
      <w:r w:rsidRPr="009F43DE">
        <w:rPr>
          <w:lang w:val="fr-CH"/>
        </w:rPr>
        <w:t xml:space="preserve"> pouvant avoir un impact sur les niveaux de la nutrition maternelle et infantile.</w:t>
      </w:r>
    </w:p>
    <w:p w:rsidR="00C82061" w:rsidRPr="009F43DE" w:rsidRDefault="00C82061" w:rsidP="00C82061">
      <w:pPr>
        <w:pStyle w:val="SingleTxtG"/>
        <w:rPr>
          <w:lang w:val="fr-CH"/>
        </w:rPr>
      </w:pPr>
      <w:r w:rsidRPr="009F43DE">
        <w:rPr>
          <w:lang w:val="fr-CH"/>
        </w:rPr>
        <w:t>147.</w:t>
      </w:r>
      <w:r w:rsidRPr="009F43DE">
        <w:rPr>
          <w:lang w:val="fr-CH"/>
        </w:rPr>
        <w:tab/>
        <w:t>En plus des multiples initiatives qu</w:t>
      </w:r>
      <w:r w:rsidR="00F8384A" w:rsidRPr="009F43DE">
        <w:rPr>
          <w:lang w:val="fr-CH"/>
        </w:rPr>
        <w:t>’</w:t>
      </w:r>
      <w:r w:rsidR="00FB3258" w:rsidRPr="009F43DE">
        <w:rPr>
          <w:lang w:val="fr-CH"/>
        </w:rPr>
        <w:t>elles ont engagées</w:t>
      </w:r>
      <w:r w:rsidRPr="009F43DE">
        <w:rPr>
          <w:lang w:val="fr-CH"/>
        </w:rPr>
        <w:t xml:space="preserve"> pour assurer la sécurité alimentaire de la population, </w:t>
      </w:r>
      <w:r w:rsidR="00FB3258" w:rsidRPr="009F43DE">
        <w:rPr>
          <w:lang w:val="fr-CH"/>
        </w:rPr>
        <w:t>les autorités se sont</w:t>
      </w:r>
      <w:r w:rsidRPr="009F43DE">
        <w:rPr>
          <w:lang w:val="fr-CH"/>
        </w:rPr>
        <w:t xml:space="preserve"> également </w:t>
      </w:r>
      <w:r w:rsidR="00FB3258" w:rsidRPr="009F43DE">
        <w:rPr>
          <w:lang w:val="fr-CH"/>
        </w:rPr>
        <w:t>employées</w:t>
      </w:r>
      <w:r w:rsidRPr="009F43DE">
        <w:rPr>
          <w:lang w:val="fr-CH"/>
        </w:rPr>
        <w:t xml:space="preserve"> à renforcer plusieurs autres programmes, y </w:t>
      </w:r>
      <w:r w:rsidR="00C85D5A">
        <w:rPr>
          <w:lang w:val="fr-CH"/>
        </w:rPr>
        <w:t xml:space="preserve">compris </w:t>
      </w:r>
      <w:r w:rsidR="00FB3258" w:rsidRPr="009F43DE">
        <w:rPr>
          <w:lang w:val="fr-CH"/>
        </w:rPr>
        <w:t>l</w:t>
      </w:r>
      <w:r w:rsidR="00F8384A" w:rsidRPr="009F43DE">
        <w:rPr>
          <w:lang w:val="fr-CH"/>
        </w:rPr>
        <w:t>’</w:t>
      </w:r>
      <w:r w:rsidR="00FB3258" w:rsidRPr="009F43DE">
        <w:rPr>
          <w:lang w:val="fr-CH"/>
        </w:rPr>
        <w:t>octroi</w:t>
      </w:r>
      <w:r w:rsidRPr="009F43DE">
        <w:rPr>
          <w:lang w:val="fr-CH"/>
        </w:rPr>
        <w:t xml:space="preserve"> de subventions pour les engrais, le développement des jardins domestiques</w:t>
      </w:r>
      <w:r w:rsidR="00FB3258" w:rsidRPr="009F43DE">
        <w:rPr>
          <w:lang w:val="fr-CH"/>
        </w:rPr>
        <w:t xml:space="preserve"> et</w:t>
      </w:r>
      <w:r w:rsidRPr="009F43DE">
        <w:rPr>
          <w:lang w:val="fr-CH"/>
        </w:rPr>
        <w:t xml:space="preserve"> le programme national de suppléments alimentaires (Thriposa</w:t>
      </w:r>
      <w:r w:rsidR="00145080">
        <w:rPr>
          <w:lang w:val="fr-CH"/>
        </w:rPr>
        <w:t>)</w:t>
      </w:r>
      <w:r w:rsidRPr="009F43DE">
        <w:rPr>
          <w:rStyle w:val="FootnoteReference"/>
          <w:lang w:val="fr-CH"/>
        </w:rPr>
        <w:footnoteReference w:id="17"/>
      </w:r>
      <w:r w:rsidR="00FB3258" w:rsidRPr="009F43DE">
        <w:rPr>
          <w:lang w:val="fr-CH"/>
        </w:rPr>
        <w:t xml:space="preserve">, </w:t>
      </w:r>
      <w:r w:rsidRPr="009F43DE">
        <w:rPr>
          <w:lang w:val="fr-CH"/>
        </w:rPr>
        <w:t xml:space="preserve">qui visent à </w:t>
      </w:r>
      <w:r w:rsidR="00FB3258" w:rsidRPr="009F43DE">
        <w:rPr>
          <w:lang w:val="fr-CH"/>
        </w:rPr>
        <w:t>couvrir l</w:t>
      </w:r>
      <w:r w:rsidR="00F8384A" w:rsidRPr="009F43DE">
        <w:rPr>
          <w:lang w:val="fr-CH"/>
        </w:rPr>
        <w:t>’</w:t>
      </w:r>
      <w:r w:rsidR="00FB3258" w:rsidRPr="009F43DE">
        <w:rPr>
          <w:lang w:val="fr-CH"/>
        </w:rPr>
        <w:t>ensemble des besoins des</w:t>
      </w:r>
      <w:r w:rsidRPr="009F43DE">
        <w:rPr>
          <w:lang w:val="fr-CH"/>
        </w:rPr>
        <w:t xml:space="preserve"> bénéficiaires. </w:t>
      </w:r>
      <w:r w:rsidR="00FB3258" w:rsidRPr="009F43DE">
        <w:rPr>
          <w:lang w:val="fr-CH"/>
        </w:rPr>
        <w:t>D</w:t>
      </w:r>
      <w:r w:rsidRPr="009F43DE">
        <w:rPr>
          <w:lang w:val="fr-CH"/>
        </w:rPr>
        <w:t>es programmes spéciaux</w:t>
      </w:r>
      <w:r w:rsidR="00FB3258" w:rsidRPr="009F43DE">
        <w:rPr>
          <w:lang w:val="fr-CH"/>
        </w:rPr>
        <w:t xml:space="preserve"> de distribution de suppléments alimentaires ont aussi été mis en </w:t>
      </w:r>
      <w:r w:rsidR="007574C7" w:rsidRPr="009F43DE">
        <w:rPr>
          <w:lang w:val="fr-CH"/>
        </w:rPr>
        <w:t>œuvre</w:t>
      </w:r>
      <w:r w:rsidRPr="009F43DE">
        <w:rPr>
          <w:lang w:val="fr-CH"/>
        </w:rPr>
        <w:t xml:space="preserve"> dans les districts vulnérables.</w:t>
      </w:r>
    </w:p>
    <w:p w:rsidR="00C82061" w:rsidRPr="009F43DE" w:rsidRDefault="00C82061" w:rsidP="00C82061">
      <w:pPr>
        <w:pStyle w:val="SingleTxtG"/>
        <w:rPr>
          <w:lang w:val="fr-CH"/>
        </w:rPr>
      </w:pPr>
      <w:r w:rsidRPr="009F43DE">
        <w:rPr>
          <w:lang w:val="fr-CH"/>
        </w:rPr>
        <w:t>148.</w:t>
      </w:r>
      <w:r w:rsidRPr="009F43DE">
        <w:rPr>
          <w:lang w:val="fr-CH"/>
        </w:rPr>
        <w:tab/>
        <w:t xml:space="preserve">Les districts de Nuwara Eliya et Monaragala ont été déclarés prioritaires à cet égard, car ils </w:t>
      </w:r>
      <w:r w:rsidR="002F2062" w:rsidRPr="009F43DE">
        <w:rPr>
          <w:lang w:val="fr-CH"/>
        </w:rPr>
        <w:t>marquent un retard par rapport aux autres au regard de</w:t>
      </w:r>
      <w:r w:rsidRPr="009F43DE">
        <w:rPr>
          <w:lang w:val="fr-CH"/>
        </w:rPr>
        <w:t xml:space="preserve"> plusieurs indicateurs nutritionnels connexes. Un programme spécial de ré</w:t>
      </w:r>
      <w:r w:rsidR="002F2062" w:rsidRPr="009F43DE">
        <w:rPr>
          <w:lang w:val="fr-CH"/>
        </w:rPr>
        <w:t>cupération</w:t>
      </w:r>
      <w:r w:rsidRPr="009F43DE">
        <w:rPr>
          <w:lang w:val="fr-CH"/>
        </w:rPr>
        <w:t xml:space="preserve"> nutritionnelle a été lancé dans les provinces du nord et de l</w:t>
      </w:r>
      <w:r w:rsidR="00F8384A" w:rsidRPr="009F43DE">
        <w:rPr>
          <w:lang w:val="fr-CH"/>
        </w:rPr>
        <w:t>’</w:t>
      </w:r>
      <w:r w:rsidRPr="009F43DE">
        <w:rPr>
          <w:lang w:val="fr-CH"/>
        </w:rPr>
        <w:t xml:space="preserve">est, </w:t>
      </w:r>
      <w:r w:rsidR="002F2062" w:rsidRPr="009F43DE">
        <w:rPr>
          <w:lang w:val="fr-CH"/>
        </w:rPr>
        <w:t>souffrant d</w:t>
      </w:r>
      <w:r w:rsidR="00F8384A" w:rsidRPr="009F43DE">
        <w:rPr>
          <w:lang w:val="fr-CH"/>
        </w:rPr>
        <w:t>’</w:t>
      </w:r>
      <w:r w:rsidR="002F2062" w:rsidRPr="009F43DE">
        <w:rPr>
          <w:lang w:val="fr-CH"/>
        </w:rPr>
        <w:t xml:space="preserve">une forte </w:t>
      </w:r>
      <w:r w:rsidRPr="009F43DE">
        <w:rPr>
          <w:lang w:val="fr-CH"/>
        </w:rPr>
        <w:t>prévalence de la malnutrition aiguë sévère</w:t>
      </w:r>
      <w:r w:rsidR="002F2062" w:rsidRPr="009F43DE">
        <w:rPr>
          <w:lang w:val="fr-CH"/>
        </w:rPr>
        <w:t>.</w:t>
      </w:r>
      <w:r w:rsidRPr="009F43DE">
        <w:rPr>
          <w:lang w:val="fr-CH"/>
        </w:rPr>
        <w:t xml:space="preserve"> </w:t>
      </w:r>
      <w:r w:rsidR="002F2062" w:rsidRPr="009F43DE">
        <w:rPr>
          <w:lang w:val="fr-CH"/>
        </w:rPr>
        <w:t>Grâce à ce programme</w:t>
      </w:r>
      <w:r w:rsidRPr="009F43DE">
        <w:rPr>
          <w:lang w:val="fr-CH"/>
        </w:rPr>
        <w:t>, les taux de malnutrition aiguë sévère ont chuté d</w:t>
      </w:r>
      <w:r w:rsidR="00F8384A" w:rsidRPr="009F43DE">
        <w:rPr>
          <w:lang w:val="fr-CH"/>
        </w:rPr>
        <w:t>’</w:t>
      </w:r>
      <w:r w:rsidRPr="009F43DE">
        <w:rPr>
          <w:lang w:val="fr-CH"/>
        </w:rPr>
        <w:t xml:space="preserve">environ 4 points de pourcentage </w:t>
      </w:r>
      <w:r w:rsidR="002F2062" w:rsidRPr="009F43DE">
        <w:rPr>
          <w:lang w:val="fr-CH"/>
        </w:rPr>
        <w:t>sur</w:t>
      </w:r>
      <w:r w:rsidRPr="009F43DE">
        <w:rPr>
          <w:lang w:val="fr-CH"/>
        </w:rPr>
        <w:t xml:space="preserve"> une période de </w:t>
      </w:r>
      <w:r w:rsidR="00BD1C52">
        <w:rPr>
          <w:lang w:val="fr-CH"/>
        </w:rPr>
        <w:t>quatre</w:t>
      </w:r>
      <w:r w:rsidR="00BD1C52" w:rsidRPr="009F43DE">
        <w:rPr>
          <w:lang w:val="fr-CH"/>
        </w:rPr>
        <w:t xml:space="preserve"> </w:t>
      </w:r>
      <w:r w:rsidRPr="009F43DE">
        <w:rPr>
          <w:lang w:val="fr-CH"/>
        </w:rPr>
        <w:t>mois.</w:t>
      </w:r>
    </w:p>
    <w:p w:rsidR="00C77E1E" w:rsidRPr="009F43DE" w:rsidRDefault="00C77E1E" w:rsidP="00C77E1E">
      <w:pPr>
        <w:pStyle w:val="H23G"/>
        <w:rPr>
          <w:lang w:val="fr-CH"/>
        </w:rPr>
      </w:pPr>
      <w:r w:rsidRPr="009F43DE">
        <w:rPr>
          <w:lang w:val="fr-CH"/>
        </w:rPr>
        <w:tab/>
      </w:r>
      <w:r w:rsidRPr="009F43DE">
        <w:rPr>
          <w:lang w:val="fr-CH"/>
        </w:rPr>
        <w:tab/>
        <w:t>Programme de ré</w:t>
      </w:r>
      <w:r w:rsidR="002F2062" w:rsidRPr="009F43DE">
        <w:rPr>
          <w:lang w:val="fr-CH"/>
        </w:rPr>
        <w:t>cupération</w:t>
      </w:r>
      <w:r w:rsidRPr="009F43DE">
        <w:rPr>
          <w:lang w:val="fr-CH"/>
        </w:rPr>
        <w:t xml:space="preserve"> nutritionnelle pour les personnes déplacées dans la province du </w:t>
      </w:r>
      <w:r w:rsidR="00B2634A" w:rsidRPr="009F43DE">
        <w:rPr>
          <w:lang w:val="fr-CH"/>
        </w:rPr>
        <w:t>n</w:t>
      </w:r>
      <w:r w:rsidRPr="009F43DE">
        <w:rPr>
          <w:lang w:val="fr-CH"/>
        </w:rPr>
        <w:t xml:space="preserve">ord en 2009 </w:t>
      </w:r>
      <w:r w:rsidR="004879DA">
        <w:rPr>
          <w:lang w:val="fr-CH"/>
        </w:rPr>
        <w:t>–</w:t>
      </w:r>
      <w:r w:rsidR="004879DA" w:rsidRPr="009F43DE">
        <w:rPr>
          <w:lang w:val="fr-CH"/>
        </w:rPr>
        <w:t xml:space="preserve"> </w:t>
      </w:r>
      <w:r w:rsidRPr="009F43DE">
        <w:rPr>
          <w:lang w:val="fr-CH"/>
        </w:rPr>
        <w:t xml:space="preserve">Réduction de la prévalence de la malnutrition </w:t>
      </w:r>
      <w:r w:rsidR="002F2062" w:rsidRPr="009F43DE">
        <w:rPr>
          <w:lang w:val="fr-CH"/>
        </w:rPr>
        <w:t xml:space="preserve">aiguë </w:t>
      </w:r>
      <w:r w:rsidRPr="009F43DE">
        <w:rPr>
          <w:lang w:val="fr-CH"/>
        </w:rPr>
        <w:t xml:space="preserve">sévère et </w:t>
      </w:r>
      <w:r w:rsidR="00B2634A" w:rsidRPr="009F43DE">
        <w:rPr>
          <w:lang w:val="fr-CH"/>
        </w:rPr>
        <w:t xml:space="preserve">de </w:t>
      </w:r>
      <w:r w:rsidRPr="009F43DE">
        <w:rPr>
          <w:lang w:val="fr-CH"/>
        </w:rPr>
        <w:t xml:space="preserve">la malnutrition aiguë modérée chez les enfants de moins de 5 ans </w:t>
      </w:r>
    </w:p>
    <w:p w:rsidR="00C77E1E" w:rsidRPr="009F43DE" w:rsidRDefault="00DC3389" w:rsidP="00C77E1E">
      <w:pPr>
        <w:pStyle w:val="SingleTxtG"/>
        <w:jc w:val="left"/>
        <w:rPr>
          <w:lang w:val="fr-CH"/>
        </w:rPr>
      </w:pPr>
      <w:r>
        <w:rPr>
          <w:noProof/>
          <w:lang w:val="fr-FR" w:eastAsia="fr-FR"/>
        </w:rPr>
        <w:pict>
          <v:shapetype id="_x0000_t202" coordsize="21600,21600" o:spt="202" path="m,l,21600r21600,l21600,xe">
            <v:stroke joinstyle="miter"/>
            <v:path gradientshapeok="t" o:connecttype="rect"/>
          </v:shapetype>
          <v:shape id="_x0000_s1031" type="#_x0000_t202" style="position:absolute;left:0;text-align:left;margin-left:262.1pt;margin-top:169.5pt;width:76.7pt;height:47.5pt;z-index:4" stroked="f">
            <v:textbox style="layout-flow:vertical;mso-layout-flow-alt:bottom-to-top;mso-next-textbox:#_x0000_s1031" inset="12mm,0,0,0">
              <w:txbxContent>
                <w:p w:rsidR="00BD1C52" w:rsidRDefault="00BD1C52" w:rsidP="00C54292">
                  <w:r>
                    <w:rPr>
                      <w:lang w:val="fr-FR"/>
                    </w:rPr>
                    <w:t>Novembre</w:t>
                  </w:r>
                </w:p>
              </w:txbxContent>
            </v:textbox>
          </v:shape>
        </w:pict>
      </w:r>
      <w:r>
        <w:rPr>
          <w:noProof/>
          <w:lang w:val="fr-FR" w:eastAsia="fr-FR"/>
        </w:rPr>
        <w:pict>
          <v:shape id="_x0000_s1030" type="#_x0000_t202" style="position:absolute;left:0;text-align:left;margin-left:171.2pt;margin-top:169pt;width:86.05pt;height:49.45pt;z-index:3" stroked="f">
            <v:textbox style="layout-flow:vertical;mso-layout-flow-alt:bottom-to-top;mso-next-textbox:#_x0000_s1030" inset="12mm,0,0,0">
              <w:txbxContent>
                <w:p w:rsidR="00BD1C52" w:rsidRDefault="00BD1C52">
                  <w:r>
                    <w:rPr>
                      <w:lang w:val="fr-FR"/>
                    </w:rPr>
                    <w:t>Septembre</w:t>
                  </w:r>
                </w:p>
              </w:txbxContent>
            </v:textbox>
          </v:shape>
        </w:pict>
      </w:r>
      <w:r>
        <w:rPr>
          <w:noProof/>
          <w:lang w:val="fr-FR" w:eastAsia="fr-FR"/>
        </w:rPr>
        <w:pict>
          <v:shape id="_x0000_s1032" type="#_x0000_t202" style="position:absolute;left:0;text-align:left;margin-left:340.15pt;margin-top:167.9pt;width:78pt;height:50.95pt;z-index:5" stroked="f">
            <v:textbox style="layout-flow:vertical;mso-layout-flow-alt:bottom-to-top;mso-next-textbox:#_x0000_s1032" inset="12mm,0,0,0">
              <w:txbxContent>
                <w:p w:rsidR="00BD1C52" w:rsidRDefault="00BD1C52" w:rsidP="00C54292">
                  <w:r>
                    <w:rPr>
                      <w:lang w:val="fr-FR"/>
                    </w:rPr>
                    <w:t>Décembre</w:t>
                  </w:r>
                </w:p>
              </w:txbxContent>
            </v:textbox>
          </v:shape>
        </w:pict>
      </w:r>
      <w:r>
        <w:rPr>
          <w:noProof/>
          <w:lang w:val="fr-FR" w:eastAsia="fr-FR"/>
        </w:rPr>
        <w:pict>
          <v:shape id="_x0000_s1027" type="#_x0000_t202" style="position:absolute;left:0;text-align:left;margin-left:89.85pt;margin-top:171pt;width:81.85pt;height:45.55pt;z-index:2" stroked="f">
            <v:textbox style="layout-flow:vertical;mso-layout-flow-alt:bottom-to-top;mso-next-textbox:#_x0000_s1027" inset="12mm,0,0,0">
              <w:txbxContent>
                <w:p w:rsidR="00BD1C52" w:rsidRPr="005F283E" w:rsidRDefault="00BD1C52" w:rsidP="00C54292">
                  <w:pPr>
                    <w:rPr>
                      <w:lang w:val="fr-FR"/>
                    </w:rPr>
                  </w:pPr>
                  <w:r>
                    <w:rPr>
                      <w:lang w:val="fr-FR"/>
                    </w:rPr>
                    <w:t>Mai</w:t>
                  </w:r>
                </w:p>
              </w:txbxContent>
            </v:textbox>
          </v:shape>
        </w:pict>
      </w:r>
      <w:r w:rsidR="004879DA">
        <w:rPr>
          <w:noProof/>
          <w:lang w:val="fr-FR" w:eastAsia="fr-FR"/>
        </w:rPr>
        <w:pict>
          <v:rect id="_x0000_s1026" style="position:absolute;left:0;text-align:left;margin-left:126.7pt;margin-top:173.95pt;width:263.3pt;height:42.85pt;z-index:1" stroked="f"/>
        </w:pict>
      </w:r>
      <w:r w:rsidR="007B0F90" w:rsidRPr="009F43DE">
        <w:rPr>
          <w:noProof/>
          <w:lang w:val="fr-CH" w:eastAsia="zh-CN"/>
        </w:rPr>
        <w:pict>
          <v:shape id="Picture 10" o:spid="_x0000_i1026" type="#_x0000_t75" style="width:375.75pt;height:219pt;visibility:visible">
            <v:imagedata r:id="rId8" o:title="" grayscale="t"/>
          </v:shape>
        </w:pict>
      </w:r>
    </w:p>
    <w:p w:rsidR="002F2062" w:rsidRPr="00DC3389" w:rsidRDefault="00C54292" w:rsidP="00C54292">
      <w:pPr>
        <w:pStyle w:val="SingleTxtG"/>
        <w:spacing w:after="0"/>
        <w:ind w:firstLine="170"/>
        <w:jc w:val="left"/>
        <w:rPr>
          <w:sz w:val="18"/>
          <w:szCs w:val="18"/>
          <w:lang w:val="fr-CH"/>
        </w:rPr>
      </w:pPr>
      <w:r w:rsidRPr="00DC3389">
        <w:rPr>
          <w:b/>
          <w:sz w:val="18"/>
          <w:szCs w:val="18"/>
          <w:lang w:val="fr-CH"/>
        </w:rPr>
        <w:t>SAM</w:t>
      </w:r>
      <w:r w:rsidRPr="00DC3389">
        <w:rPr>
          <w:sz w:val="18"/>
          <w:szCs w:val="18"/>
          <w:lang w:val="fr-CH"/>
        </w:rPr>
        <w:t xml:space="preserve">: </w:t>
      </w:r>
      <w:r w:rsidR="002F2062" w:rsidRPr="00145080">
        <w:rPr>
          <w:b/>
          <w:sz w:val="18"/>
          <w:szCs w:val="18"/>
          <w:lang w:val="fr-CH"/>
        </w:rPr>
        <w:t>Malnutrition aiguë sévère</w:t>
      </w:r>
      <w:r w:rsidRPr="00DC3389">
        <w:rPr>
          <w:sz w:val="18"/>
          <w:szCs w:val="18"/>
          <w:lang w:val="fr-CH"/>
        </w:rPr>
        <w:t>.</w:t>
      </w:r>
    </w:p>
    <w:p w:rsidR="002F2062" w:rsidRPr="00C54292" w:rsidRDefault="00C54292" w:rsidP="00DC3389">
      <w:pPr>
        <w:pStyle w:val="SingleTxtG"/>
        <w:spacing w:after="240"/>
        <w:ind w:firstLine="170"/>
        <w:jc w:val="left"/>
        <w:rPr>
          <w:lang w:val="fr-CH"/>
        </w:rPr>
      </w:pPr>
      <w:r w:rsidRPr="00DC3389">
        <w:rPr>
          <w:b/>
          <w:sz w:val="18"/>
          <w:szCs w:val="18"/>
          <w:lang w:val="fr-CH"/>
        </w:rPr>
        <w:t>MAM</w:t>
      </w:r>
      <w:r w:rsidRPr="00DC3389">
        <w:rPr>
          <w:sz w:val="18"/>
          <w:szCs w:val="18"/>
          <w:lang w:val="fr-CH"/>
        </w:rPr>
        <w:t xml:space="preserve">: </w:t>
      </w:r>
      <w:r w:rsidR="002F2062" w:rsidRPr="00145080">
        <w:rPr>
          <w:b/>
          <w:sz w:val="18"/>
          <w:szCs w:val="18"/>
          <w:lang w:val="fr-CH"/>
        </w:rPr>
        <w:t>Malnutrition aiguë modérée</w:t>
      </w:r>
      <w:r w:rsidRPr="00DC3389">
        <w:rPr>
          <w:sz w:val="18"/>
          <w:szCs w:val="18"/>
          <w:lang w:val="fr-CH"/>
        </w:rPr>
        <w:t>.</w:t>
      </w:r>
    </w:p>
    <w:p w:rsidR="00C77E1E" w:rsidRPr="009F43DE" w:rsidRDefault="00C77E1E" w:rsidP="00C77E1E">
      <w:pPr>
        <w:pStyle w:val="SingleTxtG"/>
        <w:spacing w:before="240"/>
        <w:rPr>
          <w:lang w:val="fr-CH"/>
        </w:rPr>
      </w:pPr>
      <w:r w:rsidRPr="009F43DE">
        <w:rPr>
          <w:lang w:val="fr-CH"/>
        </w:rPr>
        <w:t>149.</w:t>
      </w:r>
      <w:r w:rsidRPr="009F43DE">
        <w:rPr>
          <w:lang w:val="fr-CH"/>
        </w:rPr>
        <w:tab/>
        <w:t>Des programmes spéciaux ont été introduits pour améliorer l</w:t>
      </w:r>
      <w:r w:rsidR="00F8384A" w:rsidRPr="009F43DE">
        <w:rPr>
          <w:lang w:val="fr-CH"/>
        </w:rPr>
        <w:t>’</w:t>
      </w:r>
      <w:r w:rsidRPr="009F43DE">
        <w:rPr>
          <w:lang w:val="fr-CH"/>
        </w:rPr>
        <w:t xml:space="preserve">état nutritionnel des personnes vivant dans les plantations. Des sages-femmes du secteur </w:t>
      </w:r>
      <w:r w:rsidR="002F2062" w:rsidRPr="009F43DE">
        <w:rPr>
          <w:lang w:val="fr-CH"/>
        </w:rPr>
        <w:t xml:space="preserve">public </w:t>
      </w:r>
      <w:r w:rsidRPr="009F43DE">
        <w:rPr>
          <w:lang w:val="fr-CH"/>
        </w:rPr>
        <w:t xml:space="preserve">de la santé de la même communauté ont été recrutées </w:t>
      </w:r>
      <w:r w:rsidR="002F2062" w:rsidRPr="009F43DE">
        <w:rPr>
          <w:lang w:val="fr-CH"/>
        </w:rPr>
        <w:t xml:space="preserve">afin de réduire le plus possible </w:t>
      </w:r>
      <w:r w:rsidRPr="009F43DE">
        <w:rPr>
          <w:lang w:val="fr-CH"/>
        </w:rPr>
        <w:t xml:space="preserve">les </w:t>
      </w:r>
      <w:r w:rsidR="002F2062" w:rsidRPr="009F43DE">
        <w:rPr>
          <w:lang w:val="fr-CH"/>
        </w:rPr>
        <w:t>problèmes linguistiques</w:t>
      </w:r>
      <w:r w:rsidRPr="009F43DE">
        <w:rPr>
          <w:lang w:val="fr-CH"/>
        </w:rPr>
        <w:t xml:space="preserve">. </w:t>
      </w:r>
      <w:r w:rsidR="00CF4585" w:rsidRPr="009F43DE">
        <w:rPr>
          <w:lang w:val="fr-CH"/>
        </w:rPr>
        <w:t>Le</w:t>
      </w:r>
      <w:r w:rsidRPr="009F43DE">
        <w:rPr>
          <w:lang w:val="fr-CH"/>
        </w:rPr>
        <w:t xml:space="preserve"> projet d</w:t>
      </w:r>
      <w:r w:rsidR="00F8384A" w:rsidRPr="009F43DE">
        <w:rPr>
          <w:lang w:val="fr-CH"/>
        </w:rPr>
        <w:t>’</w:t>
      </w:r>
      <w:r w:rsidRPr="009F43DE">
        <w:rPr>
          <w:lang w:val="fr-CH"/>
        </w:rPr>
        <w:t xml:space="preserve">amélioration de la nutrition </w:t>
      </w:r>
      <w:r w:rsidR="00CF4585" w:rsidRPr="009F43DE">
        <w:rPr>
          <w:lang w:val="fr-CH"/>
        </w:rPr>
        <w:t xml:space="preserve">mis en </w:t>
      </w:r>
      <w:r w:rsidR="007574C7" w:rsidRPr="009F43DE">
        <w:rPr>
          <w:lang w:val="fr-CH"/>
        </w:rPr>
        <w:t>œuvre</w:t>
      </w:r>
      <w:r w:rsidR="00CF4585" w:rsidRPr="009F43DE">
        <w:rPr>
          <w:lang w:val="fr-CH"/>
        </w:rPr>
        <w:t xml:space="preserve"> </w:t>
      </w:r>
      <w:r w:rsidRPr="009F43DE">
        <w:rPr>
          <w:lang w:val="fr-CH"/>
        </w:rPr>
        <w:t>d</w:t>
      </w:r>
      <w:r w:rsidR="002F2062" w:rsidRPr="009F43DE">
        <w:rPr>
          <w:lang w:val="fr-CH"/>
        </w:rPr>
        <w:t>ans</w:t>
      </w:r>
      <w:r w:rsidRPr="009F43DE">
        <w:rPr>
          <w:lang w:val="fr-CH"/>
        </w:rPr>
        <w:t xml:space="preserve"> la </w:t>
      </w:r>
      <w:r w:rsidR="002F2062" w:rsidRPr="009F43DE">
        <w:rPr>
          <w:lang w:val="fr-CH"/>
        </w:rPr>
        <w:t>p</w:t>
      </w:r>
      <w:r w:rsidRPr="009F43DE">
        <w:rPr>
          <w:lang w:val="fr-CH"/>
        </w:rPr>
        <w:t xml:space="preserve">rovince du </w:t>
      </w:r>
      <w:r w:rsidR="002F2062" w:rsidRPr="009F43DE">
        <w:rPr>
          <w:lang w:val="fr-CH"/>
        </w:rPr>
        <w:t>n</w:t>
      </w:r>
      <w:r w:rsidRPr="009F43DE">
        <w:rPr>
          <w:lang w:val="fr-CH"/>
        </w:rPr>
        <w:t xml:space="preserve">ord a </w:t>
      </w:r>
      <w:r w:rsidR="002F2062" w:rsidRPr="009F43DE">
        <w:rPr>
          <w:lang w:val="fr-CH"/>
        </w:rPr>
        <w:t xml:space="preserve">contribué à </w:t>
      </w:r>
      <w:r w:rsidR="00CF4585" w:rsidRPr="009F43DE">
        <w:rPr>
          <w:lang w:val="fr-CH"/>
        </w:rPr>
        <w:t>l</w:t>
      </w:r>
      <w:r w:rsidR="00F8384A" w:rsidRPr="009F43DE">
        <w:rPr>
          <w:lang w:val="fr-CH"/>
        </w:rPr>
        <w:t>’</w:t>
      </w:r>
      <w:r w:rsidR="002F2062" w:rsidRPr="009F43DE">
        <w:rPr>
          <w:lang w:val="fr-CH"/>
        </w:rPr>
        <w:t xml:space="preserve">autonomisation </w:t>
      </w:r>
      <w:r w:rsidR="00CF4585" w:rsidRPr="009F43DE">
        <w:rPr>
          <w:lang w:val="fr-CH"/>
        </w:rPr>
        <w:t>de la</w:t>
      </w:r>
      <w:r w:rsidRPr="009F43DE">
        <w:rPr>
          <w:lang w:val="fr-CH"/>
        </w:rPr>
        <w:t xml:space="preserve"> population </w:t>
      </w:r>
      <w:r w:rsidR="00CF4585" w:rsidRPr="009F43DE">
        <w:rPr>
          <w:lang w:val="fr-CH"/>
        </w:rPr>
        <w:t>locale touchée</w:t>
      </w:r>
      <w:r w:rsidRPr="009F43DE">
        <w:rPr>
          <w:lang w:val="fr-CH"/>
        </w:rPr>
        <w:t>. Afin d</w:t>
      </w:r>
      <w:r w:rsidR="00F8384A" w:rsidRPr="009F43DE">
        <w:rPr>
          <w:lang w:val="fr-CH"/>
        </w:rPr>
        <w:t>’</w:t>
      </w:r>
      <w:r w:rsidRPr="009F43DE">
        <w:rPr>
          <w:lang w:val="fr-CH"/>
        </w:rPr>
        <w:t>améliorer l</w:t>
      </w:r>
      <w:r w:rsidR="00F8384A" w:rsidRPr="009F43DE">
        <w:rPr>
          <w:lang w:val="fr-CH"/>
        </w:rPr>
        <w:t>’</w:t>
      </w:r>
      <w:r w:rsidRPr="009F43DE">
        <w:rPr>
          <w:lang w:val="fr-CH"/>
        </w:rPr>
        <w:t xml:space="preserve">état nutritionnel des enfants dans le secteur des plantations, des mesures ont été prises pour étendre </w:t>
      </w:r>
      <w:r w:rsidR="00CF4585" w:rsidRPr="009F43DE">
        <w:rPr>
          <w:lang w:val="fr-CH"/>
        </w:rPr>
        <w:t xml:space="preserve">à ce secteur </w:t>
      </w:r>
      <w:r w:rsidRPr="009F43DE">
        <w:rPr>
          <w:lang w:val="fr-CH"/>
        </w:rPr>
        <w:t xml:space="preserve">le </w:t>
      </w:r>
      <w:r w:rsidR="00F8384A" w:rsidRPr="009F43DE">
        <w:rPr>
          <w:lang w:val="fr-CH"/>
        </w:rPr>
        <w:t>«</w:t>
      </w:r>
      <w:r w:rsidRPr="009F43DE">
        <w:rPr>
          <w:lang w:val="fr-CH"/>
        </w:rPr>
        <w:t xml:space="preserve">programme de </w:t>
      </w:r>
      <w:r w:rsidR="00CF4585" w:rsidRPr="009F43DE">
        <w:rPr>
          <w:lang w:val="fr-CH"/>
        </w:rPr>
        <w:t xml:space="preserve">distribution de </w:t>
      </w:r>
      <w:r w:rsidRPr="009F43DE">
        <w:rPr>
          <w:lang w:val="fr-CH"/>
        </w:rPr>
        <w:t>lait frais</w:t>
      </w:r>
      <w:r w:rsidR="00F8384A" w:rsidRPr="009F43DE">
        <w:rPr>
          <w:lang w:val="fr-CH"/>
        </w:rPr>
        <w:t>»</w:t>
      </w:r>
      <w:r w:rsidR="00CF4585" w:rsidRPr="009F43DE">
        <w:rPr>
          <w:lang w:val="fr-CH"/>
        </w:rPr>
        <w:t>.</w:t>
      </w:r>
      <w:r w:rsidRPr="009F43DE">
        <w:rPr>
          <w:lang w:val="fr-CH"/>
        </w:rPr>
        <w:t xml:space="preserve"> Un programme de repas à mi-journée </w:t>
      </w:r>
      <w:r w:rsidR="00CF4585" w:rsidRPr="009F43DE">
        <w:rPr>
          <w:lang w:val="fr-CH"/>
        </w:rPr>
        <w:t>permet de</w:t>
      </w:r>
      <w:r w:rsidRPr="009F43DE">
        <w:rPr>
          <w:lang w:val="fr-CH"/>
        </w:rPr>
        <w:t xml:space="preserve"> </w:t>
      </w:r>
      <w:r w:rsidR="00CF4585" w:rsidRPr="009F43DE">
        <w:rPr>
          <w:lang w:val="fr-CH"/>
        </w:rPr>
        <w:t xml:space="preserve">préserver </w:t>
      </w:r>
      <w:r w:rsidRPr="009F43DE">
        <w:rPr>
          <w:lang w:val="fr-CH"/>
        </w:rPr>
        <w:t>l</w:t>
      </w:r>
      <w:r w:rsidR="00F8384A" w:rsidRPr="009F43DE">
        <w:rPr>
          <w:lang w:val="fr-CH"/>
        </w:rPr>
        <w:t>’</w:t>
      </w:r>
      <w:r w:rsidRPr="009F43DE">
        <w:rPr>
          <w:lang w:val="fr-CH"/>
        </w:rPr>
        <w:t xml:space="preserve">état nutritionnel de chaque enfant. </w:t>
      </w:r>
      <w:r w:rsidR="00CF4585" w:rsidRPr="009F43DE">
        <w:rPr>
          <w:lang w:val="fr-CH"/>
        </w:rPr>
        <w:t>Il est</w:t>
      </w:r>
      <w:r w:rsidRPr="009F43DE">
        <w:rPr>
          <w:lang w:val="fr-CH"/>
        </w:rPr>
        <w:t xml:space="preserve"> réalisé dans la province du </w:t>
      </w:r>
      <w:r w:rsidR="00CF4585" w:rsidRPr="009F43DE">
        <w:rPr>
          <w:lang w:val="fr-CH"/>
        </w:rPr>
        <w:t>n</w:t>
      </w:r>
      <w:r w:rsidRPr="009F43DE">
        <w:rPr>
          <w:lang w:val="fr-CH"/>
        </w:rPr>
        <w:t xml:space="preserve">ord et </w:t>
      </w:r>
      <w:r w:rsidR="00CF4585" w:rsidRPr="009F43DE">
        <w:rPr>
          <w:lang w:val="fr-CH"/>
        </w:rPr>
        <w:t xml:space="preserve">a </w:t>
      </w:r>
      <w:r w:rsidRPr="009F43DE">
        <w:rPr>
          <w:lang w:val="fr-CH"/>
        </w:rPr>
        <w:t>vis</w:t>
      </w:r>
      <w:r w:rsidR="00CF4585" w:rsidRPr="009F43DE">
        <w:rPr>
          <w:lang w:val="fr-CH"/>
        </w:rPr>
        <w:t>é</w:t>
      </w:r>
      <w:r w:rsidRPr="009F43DE">
        <w:rPr>
          <w:lang w:val="fr-CH"/>
        </w:rPr>
        <w:t xml:space="preserve"> 160 000 élèves en 2015. Il a </w:t>
      </w:r>
      <w:r w:rsidR="00CF4585" w:rsidRPr="009F43DE">
        <w:rPr>
          <w:lang w:val="fr-CH"/>
        </w:rPr>
        <w:t xml:space="preserve">aussi </w:t>
      </w:r>
      <w:r w:rsidRPr="009F43DE">
        <w:rPr>
          <w:lang w:val="fr-CH"/>
        </w:rPr>
        <w:t>contribué à améliorer la fréquentation scolaire des enfants</w:t>
      </w:r>
      <w:r w:rsidR="00CF4585" w:rsidRPr="009F43DE">
        <w:rPr>
          <w:lang w:val="fr-CH"/>
        </w:rPr>
        <w:t>,</w:t>
      </w:r>
      <w:r w:rsidRPr="009F43DE">
        <w:rPr>
          <w:lang w:val="fr-CH"/>
        </w:rPr>
        <w:t xml:space="preserve"> en particulier dans les écoles où vont des enfants issus de familles à faible revenu.</w:t>
      </w:r>
    </w:p>
    <w:p w:rsidR="00C77E1E" w:rsidRPr="009F43DE" w:rsidRDefault="00C77E1E" w:rsidP="00C77E1E">
      <w:pPr>
        <w:pStyle w:val="SingleTxtG"/>
        <w:rPr>
          <w:lang w:val="fr-CH"/>
        </w:rPr>
      </w:pPr>
      <w:r w:rsidRPr="009F43DE">
        <w:rPr>
          <w:lang w:val="fr-CH"/>
        </w:rPr>
        <w:t>150.</w:t>
      </w:r>
      <w:r w:rsidRPr="009F43DE">
        <w:rPr>
          <w:lang w:val="fr-CH"/>
        </w:rPr>
        <w:tab/>
        <w:t xml:space="preserve">Des filets de sécurité adéquats </w:t>
      </w:r>
      <w:r w:rsidR="00CF4585" w:rsidRPr="009F43DE">
        <w:rPr>
          <w:lang w:val="fr-CH"/>
        </w:rPr>
        <w:t>s</w:t>
      </w:r>
      <w:r w:rsidRPr="009F43DE">
        <w:rPr>
          <w:lang w:val="fr-CH"/>
        </w:rPr>
        <w:t xml:space="preserve">ont prévus pour </w:t>
      </w:r>
      <w:r w:rsidR="00CF4585" w:rsidRPr="009F43DE">
        <w:rPr>
          <w:lang w:val="fr-CH"/>
        </w:rPr>
        <w:t>venir en aide aux</w:t>
      </w:r>
      <w:r w:rsidRPr="009F43DE">
        <w:rPr>
          <w:lang w:val="fr-CH"/>
        </w:rPr>
        <w:t xml:space="preserve"> populations marginalisées </w:t>
      </w:r>
      <w:r w:rsidR="00CF4585" w:rsidRPr="009F43DE">
        <w:rPr>
          <w:lang w:val="fr-CH"/>
        </w:rPr>
        <w:t>dans le cadre du</w:t>
      </w:r>
      <w:r w:rsidRPr="009F43DE">
        <w:rPr>
          <w:lang w:val="fr-CH"/>
        </w:rPr>
        <w:t xml:space="preserve"> programme de lutte contre la pauvreté Samurdhi ainsi </w:t>
      </w:r>
      <w:r w:rsidR="00C85D5A">
        <w:rPr>
          <w:lang w:val="fr-CH"/>
        </w:rPr>
        <w:t xml:space="preserve">que </w:t>
      </w:r>
      <w:r w:rsidR="00CF4585" w:rsidRPr="009F43DE">
        <w:rPr>
          <w:lang w:val="fr-CH"/>
        </w:rPr>
        <w:t>dans le cadre du</w:t>
      </w:r>
      <w:r w:rsidRPr="009F43DE">
        <w:rPr>
          <w:lang w:val="fr-CH"/>
        </w:rPr>
        <w:t xml:space="preserve"> programme de </w:t>
      </w:r>
      <w:r w:rsidR="00CF4585" w:rsidRPr="009F43DE">
        <w:rPr>
          <w:lang w:val="fr-CH"/>
        </w:rPr>
        <w:t>distribution de lait frais et</w:t>
      </w:r>
      <w:r w:rsidRPr="009F43DE">
        <w:rPr>
          <w:lang w:val="fr-CH"/>
        </w:rPr>
        <w:t xml:space="preserve"> de panier</w:t>
      </w:r>
      <w:r w:rsidR="00CF4585" w:rsidRPr="009F43DE">
        <w:rPr>
          <w:lang w:val="fr-CH"/>
        </w:rPr>
        <w:t>s</w:t>
      </w:r>
      <w:r w:rsidRPr="009F43DE">
        <w:rPr>
          <w:lang w:val="fr-CH"/>
        </w:rPr>
        <w:t xml:space="preserve"> alimentaire</w:t>
      </w:r>
      <w:r w:rsidR="00CF4585" w:rsidRPr="009F43DE">
        <w:rPr>
          <w:lang w:val="fr-CH"/>
        </w:rPr>
        <w:t>s</w:t>
      </w:r>
      <w:r w:rsidRPr="009F43DE">
        <w:rPr>
          <w:lang w:val="fr-CH"/>
        </w:rPr>
        <w:t xml:space="preserve"> gratuit</w:t>
      </w:r>
      <w:r w:rsidR="00CF4585" w:rsidRPr="009F43DE">
        <w:rPr>
          <w:lang w:val="fr-CH"/>
        </w:rPr>
        <w:t>s</w:t>
      </w:r>
      <w:r w:rsidRPr="009F43DE">
        <w:rPr>
          <w:lang w:val="fr-CH"/>
        </w:rPr>
        <w:t xml:space="preserve">. Le programme national </w:t>
      </w:r>
      <w:r w:rsidR="00CF4585" w:rsidRPr="009F43DE">
        <w:rPr>
          <w:lang w:val="fr-CH"/>
        </w:rPr>
        <w:t>d</w:t>
      </w:r>
      <w:r w:rsidR="00F8384A" w:rsidRPr="009F43DE">
        <w:rPr>
          <w:lang w:val="fr-CH"/>
        </w:rPr>
        <w:t>’</w:t>
      </w:r>
      <w:r w:rsidR="00CF4585" w:rsidRPr="009F43DE">
        <w:rPr>
          <w:lang w:val="fr-CH"/>
        </w:rPr>
        <w:t xml:space="preserve">élimination des carences en </w:t>
      </w:r>
      <w:r w:rsidRPr="009F43DE">
        <w:rPr>
          <w:lang w:val="fr-CH"/>
        </w:rPr>
        <w:t xml:space="preserve">micronutriments </w:t>
      </w:r>
      <w:r w:rsidR="00CF4585" w:rsidRPr="009F43DE">
        <w:rPr>
          <w:lang w:val="fr-CH"/>
        </w:rPr>
        <w:t>couvre</w:t>
      </w:r>
      <w:r w:rsidRPr="009F43DE">
        <w:rPr>
          <w:lang w:val="fr-CH"/>
        </w:rPr>
        <w:t xml:space="preserve"> l</w:t>
      </w:r>
      <w:r w:rsidR="00F8384A" w:rsidRPr="009F43DE">
        <w:rPr>
          <w:lang w:val="fr-CH"/>
        </w:rPr>
        <w:t>’</w:t>
      </w:r>
      <w:r w:rsidRPr="009F43DE">
        <w:rPr>
          <w:lang w:val="fr-CH"/>
        </w:rPr>
        <w:t>ensemble du pays</w:t>
      </w:r>
      <w:r w:rsidR="00CF4585" w:rsidRPr="009F43DE">
        <w:rPr>
          <w:lang w:val="fr-CH"/>
        </w:rPr>
        <w:t xml:space="preserve"> et tous les groupes de population, </w:t>
      </w:r>
      <w:r w:rsidRPr="009F43DE">
        <w:rPr>
          <w:lang w:val="fr-CH"/>
        </w:rPr>
        <w:t xml:space="preserve">y compris les femmes enceintes et allaitantes, les enfants de moins de </w:t>
      </w:r>
      <w:r w:rsidR="00C85D5A">
        <w:rPr>
          <w:lang w:val="fr-CH"/>
        </w:rPr>
        <w:t>5</w:t>
      </w:r>
      <w:r w:rsidR="00C85D5A" w:rsidRPr="009F43DE">
        <w:rPr>
          <w:lang w:val="fr-CH"/>
        </w:rPr>
        <w:t xml:space="preserve"> </w:t>
      </w:r>
      <w:r w:rsidRPr="009F43DE">
        <w:rPr>
          <w:lang w:val="fr-CH"/>
        </w:rPr>
        <w:t xml:space="preserve">ans et les enfants </w:t>
      </w:r>
      <w:r w:rsidR="00CF4585" w:rsidRPr="009F43DE">
        <w:rPr>
          <w:lang w:val="fr-CH"/>
        </w:rPr>
        <w:t>scolarisés</w:t>
      </w:r>
      <w:r w:rsidRPr="009F43DE">
        <w:rPr>
          <w:lang w:val="fr-CH"/>
        </w:rPr>
        <w:t>, quel</w:t>
      </w:r>
      <w:r w:rsidR="00CF4585" w:rsidRPr="009F43DE">
        <w:rPr>
          <w:lang w:val="fr-CH"/>
        </w:rPr>
        <w:t>s</w:t>
      </w:r>
      <w:r w:rsidRPr="009F43DE">
        <w:rPr>
          <w:lang w:val="fr-CH"/>
        </w:rPr>
        <w:t xml:space="preserve"> que soi</w:t>
      </w:r>
      <w:r w:rsidR="00CF4585" w:rsidRPr="009F43DE">
        <w:rPr>
          <w:lang w:val="fr-CH"/>
        </w:rPr>
        <w:t>en</w:t>
      </w:r>
      <w:r w:rsidRPr="009F43DE">
        <w:rPr>
          <w:lang w:val="fr-CH"/>
        </w:rPr>
        <w:t>t leur religion, origine ethnique ou situation géographique.</w:t>
      </w:r>
    </w:p>
    <w:p w:rsidR="00C77E1E" w:rsidRPr="009F43DE" w:rsidRDefault="00C77E1E" w:rsidP="00C77E1E">
      <w:pPr>
        <w:pStyle w:val="H23G"/>
        <w:rPr>
          <w:color w:val="000000"/>
          <w:lang w:val="fr-CH"/>
        </w:rPr>
      </w:pPr>
      <w:r w:rsidRPr="009F43DE">
        <w:rPr>
          <w:lang w:val="fr-CH"/>
        </w:rPr>
        <w:tab/>
      </w:r>
      <w:r w:rsidRPr="009F43DE">
        <w:rPr>
          <w:lang w:val="fr-CH"/>
        </w:rPr>
        <w:tab/>
        <w:t>Lois relatives à l</w:t>
      </w:r>
      <w:r w:rsidR="00F8384A" w:rsidRPr="009F43DE">
        <w:rPr>
          <w:lang w:val="fr-CH"/>
        </w:rPr>
        <w:t>’</w:t>
      </w:r>
      <w:r w:rsidRPr="009F43DE">
        <w:rPr>
          <w:lang w:val="fr-CH"/>
        </w:rPr>
        <w:t xml:space="preserve">avortement </w:t>
      </w:r>
      <w:r w:rsidR="00C85D5A">
        <w:rPr>
          <w:color w:val="000000"/>
          <w:lang w:val="fr-CH"/>
        </w:rPr>
        <w:t>(</w:t>
      </w:r>
      <w:r w:rsidR="00B77824" w:rsidRPr="009F43DE">
        <w:rPr>
          <w:color w:val="000000"/>
          <w:lang w:val="fr-CH"/>
        </w:rPr>
        <w:t>p</w:t>
      </w:r>
      <w:r w:rsidRPr="009F43DE">
        <w:rPr>
          <w:color w:val="000000"/>
          <w:lang w:val="fr-CH"/>
        </w:rPr>
        <w:t>ar</w:t>
      </w:r>
      <w:r w:rsidR="00C85D5A">
        <w:rPr>
          <w:color w:val="000000"/>
          <w:lang w:val="fr-CH"/>
        </w:rPr>
        <w:t xml:space="preserve">. </w:t>
      </w:r>
      <w:r w:rsidRPr="009F43DE">
        <w:rPr>
          <w:color w:val="000000"/>
          <w:lang w:val="fr-CH"/>
        </w:rPr>
        <w:t>34</w:t>
      </w:r>
      <w:r w:rsidR="00C85D5A">
        <w:rPr>
          <w:color w:val="000000"/>
          <w:lang w:val="fr-CH"/>
        </w:rPr>
        <w:t>)</w:t>
      </w:r>
      <w:r w:rsidRPr="009F43DE">
        <w:rPr>
          <w:color w:val="000000"/>
          <w:lang w:val="fr-CH"/>
        </w:rPr>
        <w:t xml:space="preserve"> </w:t>
      </w:r>
    </w:p>
    <w:p w:rsidR="00C77E1E" w:rsidRPr="009F43DE" w:rsidRDefault="00C77E1E" w:rsidP="00C77E1E">
      <w:pPr>
        <w:pStyle w:val="SingleTxtG"/>
        <w:rPr>
          <w:color w:val="000000"/>
          <w:lang w:val="fr-CH"/>
        </w:rPr>
      </w:pPr>
      <w:r w:rsidRPr="009F43DE">
        <w:rPr>
          <w:color w:val="000000"/>
          <w:lang w:val="fr-CH"/>
        </w:rPr>
        <w:t>151.</w:t>
      </w:r>
      <w:r w:rsidRPr="009F43DE">
        <w:rPr>
          <w:color w:val="000000"/>
          <w:lang w:val="fr-CH"/>
        </w:rPr>
        <w:tab/>
        <w:t>Sri Lanka a pris connaissance des inquiétudes du Comité liées au fait que l</w:t>
      </w:r>
      <w:r w:rsidR="00F8384A" w:rsidRPr="009F43DE">
        <w:rPr>
          <w:color w:val="000000"/>
          <w:lang w:val="fr-CH"/>
        </w:rPr>
        <w:t>’</w:t>
      </w:r>
      <w:r w:rsidRPr="009F43DE">
        <w:rPr>
          <w:color w:val="000000"/>
          <w:lang w:val="fr-CH"/>
        </w:rPr>
        <w:t>avortement demeure une infraction pénale. Le Code pénal, dans ses articles 303 à 306, précise qu</w:t>
      </w:r>
      <w:r w:rsidR="00F8384A" w:rsidRPr="009F43DE">
        <w:rPr>
          <w:color w:val="000000"/>
          <w:lang w:val="fr-CH"/>
        </w:rPr>
        <w:t>’</w:t>
      </w:r>
      <w:r w:rsidRPr="009F43DE">
        <w:rPr>
          <w:color w:val="000000"/>
          <w:lang w:val="fr-CH"/>
        </w:rPr>
        <w:t>il n</w:t>
      </w:r>
      <w:r w:rsidR="00F8384A" w:rsidRPr="009F43DE">
        <w:rPr>
          <w:color w:val="000000"/>
          <w:lang w:val="fr-CH"/>
        </w:rPr>
        <w:t>’</w:t>
      </w:r>
      <w:r w:rsidRPr="009F43DE">
        <w:rPr>
          <w:color w:val="000000"/>
          <w:lang w:val="fr-CH"/>
        </w:rPr>
        <w:t>est autorisé que pour sauver la vie de la mère. Le projet de loi de 1995 portant modification du Code pénal comportait une proposition autorisant l</w:t>
      </w:r>
      <w:r w:rsidR="00F8384A" w:rsidRPr="009F43DE">
        <w:rPr>
          <w:color w:val="000000"/>
          <w:lang w:val="fr-CH"/>
        </w:rPr>
        <w:t>’</w:t>
      </w:r>
      <w:r w:rsidRPr="009F43DE">
        <w:rPr>
          <w:color w:val="000000"/>
          <w:lang w:val="fr-CH"/>
        </w:rPr>
        <w:t>interruption de grossesse en cas de viol et d</w:t>
      </w:r>
      <w:r w:rsidR="00F8384A" w:rsidRPr="009F43DE">
        <w:rPr>
          <w:color w:val="000000"/>
          <w:lang w:val="fr-CH"/>
        </w:rPr>
        <w:t>’</w:t>
      </w:r>
      <w:r w:rsidRPr="009F43DE">
        <w:rPr>
          <w:color w:val="000000"/>
          <w:lang w:val="fr-CH"/>
        </w:rPr>
        <w:t>inceste. Cette proposition controversée a été retirée au Parlement après un ample débat parce qu</w:t>
      </w:r>
      <w:r w:rsidR="00F8384A" w:rsidRPr="009F43DE">
        <w:rPr>
          <w:color w:val="000000"/>
          <w:lang w:val="fr-CH"/>
        </w:rPr>
        <w:t>’</w:t>
      </w:r>
      <w:r w:rsidRPr="009F43DE">
        <w:rPr>
          <w:color w:val="000000"/>
          <w:lang w:val="fr-CH"/>
        </w:rPr>
        <w:t>elle suscitait des réticences d</w:t>
      </w:r>
      <w:r w:rsidR="00F8384A" w:rsidRPr="009F43DE">
        <w:rPr>
          <w:color w:val="000000"/>
          <w:lang w:val="fr-CH"/>
        </w:rPr>
        <w:t>’</w:t>
      </w:r>
      <w:r w:rsidRPr="009F43DE">
        <w:rPr>
          <w:color w:val="000000"/>
          <w:lang w:val="fr-CH"/>
        </w:rPr>
        <w:t>ordre éthique et religieux.</w:t>
      </w:r>
    </w:p>
    <w:p w:rsidR="00C77E1E" w:rsidRPr="009F43DE" w:rsidRDefault="00C77E1E" w:rsidP="00C77E1E">
      <w:pPr>
        <w:pStyle w:val="H4G"/>
        <w:rPr>
          <w:lang w:val="fr-CH"/>
        </w:rPr>
      </w:pPr>
      <w:r w:rsidRPr="009F43DE">
        <w:rPr>
          <w:lang w:val="fr-CH"/>
        </w:rPr>
        <w:tab/>
      </w:r>
      <w:r w:rsidRPr="009F43DE">
        <w:rPr>
          <w:lang w:val="fr-CH"/>
        </w:rPr>
        <w:tab/>
      </w:r>
      <w:r w:rsidR="007574C7" w:rsidRPr="009F43DE">
        <w:rPr>
          <w:lang w:val="fr-CH"/>
        </w:rPr>
        <w:t>Établissement</w:t>
      </w:r>
      <w:r w:rsidRPr="009F43DE">
        <w:rPr>
          <w:lang w:val="fr-CH"/>
        </w:rPr>
        <w:t xml:space="preserve"> de services de santé sexuelle et procréative de base</w:t>
      </w:r>
    </w:p>
    <w:p w:rsidR="00C77E1E" w:rsidRPr="009F43DE" w:rsidRDefault="00C77E1E" w:rsidP="00C77E1E">
      <w:pPr>
        <w:pStyle w:val="SingleTxtG"/>
        <w:rPr>
          <w:lang w:val="fr-CH"/>
        </w:rPr>
      </w:pPr>
      <w:r w:rsidRPr="009F43DE">
        <w:rPr>
          <w:lang w:val="fr-CH"/>
        </w:rPr>
        <w:t>152.</w:t>
      </w:r>
      <w:r w:rsidRPr="009F43DE">
        <w:rPr>
          <w:lang w:val="fr-CH"/>
        </w:rPr>
        <w:tab/>
        <w:t xml:space="preserve">Les politiques et stratégies </w:t>
      </w:r>
      <w:r w:rsidR="00CF4585" w:rsidRPr="009F43DE">
        <w:rPr>
          <w:lang w:val="fr-CH"/>
        </w:rPr>
        <w:t>de</w:t>
      </w:r>
      <w:r w:rsidRPr="009F43DE">
        <w:rPr>
          <w:lang w:val="fr-CH"/>
        </w:rPr>
        <w:t xml:space="preserve"> planification familiale, adoptées par le Ministère de la santé et de la médecine </w:t>
      </w:r>
      <w:r w:rsidR="00CF4585" w:rsidRPr="009F43DE">
        <w:rPr>
          <w:lang w:val="fr-CH"/>
        </w:rPr>
        <w:t>autochtone</w:t>
      </w:r>
      <w:r w:rsidRPr="009F43DE">
        <w:rPr>
          <w:lang w:val="fr-CH"/>
        </w:rPr>
        <w:t xml:space="preserve">, contribuent à la prévention des avortements provoqués. Par exemple, les couples </w:t>
      </w:r>
      <w:r w:rsidR="004145EA" w:rsidRPr="009F43DE">
        <w:rPr>
          <w:lang w:val="fr-CH"/>
        </w:rPr>
        <w:t>répondant aux conditions requises</w:t>
      </w:r>
      <w:r w:rsidRPr="009F43DE">
        <w:rPr>
          <w:lang w:val="fr-CH"/>
        </w:rPr>
        <w:t xml:space="preserve"> (</w:t>
      </w:r>
      <w:r w:rsidR="004145EA" w:rsidRPr="009F43DE">
        <w:rPr>
          <w:lang w:val="fr-CH"/>
        </w:rPr>
        <w:t xml:space="preserve">ceux </w:t>
      </w:r>
      <w:r w:rsidRPr="009F43DE">
        <w:rPr>
          <w:lang w:val="fr-CH"/>
        </w:rPr>
        <w:t xml:space="preserve">où les femmes sont en âge de procréer) reçoivent des conseils </w:t>
      </w:r>
      <w:r w:rsidR="004145EA" w:rsidRPr="009F43DE">
        <w:rPr>
          <w:lang w:val="fr-CH"/>
        </w:rPr>
        <w:t>en matière de</w:t>
      </w:r>
      <w:r w:rsidRPr="009F43DE">
        <w:rPr>
          <w:lang w:val="fr-CH"/>
        </w:rPr>
        <w:t xml:space="preserve"> planification familiale et </w:t>
      </w:r>
      <w:r w:rsidR="004145EA" w:rsidRPr="009F43DE">
        <w:rPr>
          <w:lang w:val="fr-CH"/>
        </w:rPr>
        <w:t>de</w:t>
      </w:r>
      <w:r w:rsidRPr="009F43DE">
        <w:rPr>
          <w:lang w:val="fr-CH"/>
        </w:rPr>
        <w:t xml:space="preserve"> méthodes contraceptives. </w:t>
      </w:r>
      <w:r w:rsidR="004145EA" w:rsidRPr="009F43DE">
        <w:rPr>
          <w:lang w:val="fr-CH"/>
        </w:rPr>
        <w:t xml:space="preserve">Les services fournis vont de la </w:t>
      </w:r>
      <w:r w:rsidRPr="009F43DE">
        <w:rPr>
          <w:lang w:val="fr-CH"/>
        </w:rPr>
        <w:t xml:space="preserve">stérilisation dans </w:t>
      </w:r>
      <w:r w:rsidR="004145EA" w:rsidRPr="009F43DE">
        <w:rPr>
          <w:lang w:val="fr-CH"/>
        </w:rPr>
        <w:t>d</w:t>
      </w:r>
      <w:r w:rsidRPr="009F43DE">
        <w:rPr>
          <w:lang w:val="fr-CH"/>
        </w:rPr>
        <w:t xml:space="preserve">es établissements spécialisés à la distribution de contraceptifs oraux et de préservatifs </w:t>
      </w:r>
      <w:r w:rsidR="004145EA" w:rsidRPr="009F43DE">
        <w:rPr>
          <w:lang w:val="fr-CH"/>
        </w:rPr>
        <w:t xml:space="preserve">par les travailleurs sanitaires de terrain lors </w:t>
      </w:r>
      <w:r w:rsidRPr="009F43DE">
        <w:rPr>
          <w:lang w:val="fr-CH"/>
        </w:rPr>
        <w:t xml:space="preserve">de visites à domicile. </w:t>
      </w:r>
      <w:r w:rsidR="004145EA" w:rsidRPr="009F43DE">
        <w:rPr>
          <w:lang w:val="fr-CH"/>
        </w:rPr>
        <w:t>Ces</w:t>
      </w:r>
      <w:r w:rsidRPr="009F43DE">
        <w:rPr>
          <w:lang w:val="fr-CH"/>
        </w:rPr>
        <w:t xml:space="preserve"> services sont accessibles dans l</w:t>
      </w:r>
      <w:r w:rsidR="00F8384A" w:rsidRPr="009F43DE">
        <w:rPr>
          <w:lang w:val="fr-CH"/>
        </w:rPr>
        <w:t>’</w:t>
      </w:r>
      <w:r w:rsidRPr="009F43DE">
        <w:rPr>
          <w:lang w:val="fr-CH"/>
        </w:rPr>
        <w:t xml:space="preserve">ensemble du pays </w:t>
      </w:r>
      <w:r w:rsidR="004145EA" w:rsidRPr="009F43DE">
        <w:rPr>
          <w:lang w:val="fr-CH"/>
        </w:rPr>
        <w:t>et à tous les</w:t>
      </w:r>
      <w:r w:rsidRPr="009F43DE">
        <w:rPr>
          <w:lang w:val="fr-CH"/>
        </w:rPr>
        <w:t xml:space="preserve"> groupe</w:t>
      </w:r>
      <w:r w:rsidR="004145EA" w:rsidRPr="009F43DE">
        <w:rPr>
          <w:lang w:val="fr-CH"/>
        </w:rPr>
        <w:t>s de population</w:t>
      </w:r>
      <w:r w:rsidRPr="009F43DE">
        <w:rPr>
          <w:lang w:val="fr-CH"/>
        </w:rPr>
        <w:t>.</w:t>
      </w:r>
    </w:p>
    <w:p w:rsidR="00C77E1E" w:rsidRPr="009F43DE" w:rsidRDefault="00C77E1E" w:rsidP="00C77E1E">
      <w:pPr>
        <w:pStyle w:val="SingleTxtG"/>
        <w:rPr>
          <w:lang w:val="fr-CH"/>
        </w:rPr>
      </w:pPr>
      <w:r w:rsidRPr="009F43DE">
        <w:rPr>
          <w:lang w:val="fr-CH"/>
        </w:rPr>
        <w:t>153.</w:t>
      </w:r>
      <w:r w:rsidRPr="009F43DE">
        <w:rPr>
          <w:lang w:val="fr-CH"/>
        </w:rPr>
        <w:tab/>
        <w:t xml:space="preserve">Les services de santé sexuelle et </w:t>
      </w:r>
      <w:r w:rsidR="007574C7" w:rsidRPr="009F43DE">
        <w:rPr>
          <w:lang w:val="fr-CH"/>
        </w:rPr>
        <w:t>procréative</w:t>
      </w:r>
      <w:r w:rsidRPr="009F43DE">
        <w:rPr>
          <w:lang w:val="fr-CH"/>
        </w:rPr>
        <w:t xml:space="preserve"> </w:t>
      </w:r>
      <w:r w:rsidR="004145EA" w:rsidRPr="009F43DE">
        <w:rPr>
          <w:lang w:val="fr-CH"/>
        </w:rPr>
        <w:t xml:space="preserve">de base </w:t>
      </w:r>
      <w:r w:rsidRPr="009F43DE">
        <w:rPr>
          <w:lang w:val="fr-CH"/>
        </w:rPr>
        <w:t xml:space="preserve">sont bien établis </w:t>
      </w:r>
      <w:r w:rsidR="004145EA" w:rsidRPr="009F43DE">
        <w:rPr>
          <w:lang w:val="fr-CH"/>
        </w:rPr>
        <w:t>à</w:t>
      </w:r>
      <w:r w:rsidRPr="009F43DE">
        <w:rPr>
          <w:lang w:val="fr-CH"/>
        </w:rPr>
        <w:t xml:space="preserve"> Sri Lanka. Le Ministère de la santé et de la médecine </w:t>
      </w:r>
      <w:r w:rsidR="004145EA" w:rsidRPr="009F43DE">
        <w:rPr>
          <w:lang w:val="fr-CH"/>
        </w:rPr>
        <w:t>autochtone</w:t>
      </w:r>
      <w:r w:rsidRPr="009F43DE">
        <w:rPr>
          <w:lang w:val="fr-CH"/>
        </w:rPr>
        <w:t xml:space="preserve"> est le principal fournisseur de services de planification familiale, avec plus de 1</w:t>
      </w:r>
      <w:r w:rsidR="004145EA" w:rsidRPr="009F43DE">
        <w:rPr>
          <w:lang w:val="fr-CH"/>
        </w:rPr>
        <w:t> </w:t>
      </w:r>
      <w:r w:rsidRPr="009F43DE">
        <w:rPr>
          <w:lang w:val="fr-CH"/>
        </w:rPr>
        <w:t xml:space="preserve">800 </w:t>
      </w:r>
      <w:r w:rsidR="004145EA" w:rsidRPr="009F43DE">
        <w:rPr>
          <w:lang w:val="fr-CH"/>
        </w:rPr>
        <w:t>dispensaires agréés</w:t>
      </w:r>
      <w:r w:rsidRPr="009F43DE">
        <w:rPr>
          <w:lang w:val="fr-CH"/>
        </w:rPr>
        <w:t xml:space="preserve">, tant </w:t>
      </w:r>
      <w:r w:rsidR="004145EA" w:rsidRPr="009F43DE">
        <w:rPr>
          <w:lang w:val="fr-CH"/>
        </w:rPr>
        <w:t>au niveau local</w:t>
      </w:r>
      <w:r w:rsidRPr="009F43DE">
        <w:rPr>
          <w:lang w:val="fr-CH"/>
        </w:rPr>
        <w:t xml:space="preserve"> que dans </w:t>
      </w:r>
      <w:r w:rsidR="004145EA" w:rsidRPr="009F43DE">
        <w:rPr>
          <w:lang w:val="fr-CH"/>
        </w:rPr>
        <w:t>d</w:t>
      </w:r>
      <w:r w:rsidRPr="009F43DE">
        <w:rPr>
          <w:lang w:val="fr-CH"/>
        </w:rPr>
        <w:t xml:space="preserve">es </w:t>
      </w:r>
      <w:r w:rsidR="004145EA" w:rsidRPr="009F43DE">
        <w:rPr>
          <w:lang w:val="fr-CH"/>
        </w:rPr>
        <w:t>établissements de soins</w:t>
      </w:r>
      <w:r w:rsidRPr="009F43DE">
        <w:rPr>
          <w:lang w:val="fr-CH"/>
        </w:rPr>
        <w:t>. L</w:t>
      </w:r>
      <w:r w:rsidR="00F8384A" w:rsidRPr="009F43DE">
        <w:rPr>
          <w:lang w:val="fr-CH"/>
        </w:rPr>
        <w:t>’</w:t>
      </w:r>
      <w:r w:rsidR="004145EA" w:rsidRPr="009F43DE">
        <w:rPr>
          <w:lang w:val="fr-CH"/>
        </w:rPr>
        <w:t>objectif</w:t>
      </w:r>
      <w:r w:rsidRPr="009F43DE">
        <w:rPr>
          <w:lang w:val="fr-CH"/>
        </w:rPr>
        <w:t xml:space="preserve"> </w:t>
      </w:r>
      <w:r w:rsidR="004145EA" w:rsidRPr="009F43DE">
        <w:rPr>
          <w:lang w:val="fr-CH"/>
        </w:rPr>
        <w:t>à</w:t>
      </w:r>
      <w:r w:rsidRPr="009F43DE">
        <w:rPr>
          <w:lang w:val="fr-CH"/>
        </w:rPr>
        <w:t xml:space="preserve"> Sri Lanka est d</w:t>
      </w:r>
      <w:r w:rsidR="004145EA" w:rsidRPr="009F43DE">
        <w:rPr>
          <w:lang w:val="fr-CH"/>
        </w:rPr>
        <w:t>e disposer d</w:t>
      </w:r>
      <w:r w:rsidR="00F8384A" w:rsidRPr="009F43DE">
        <w:rPr>
          <w:lang w:val="fr-CH"/>
        </w:rPr>
        <w:t>’</w:t>
      </w:r>
      <w:r w:rsidRPr="009F43DE">
        <w:rPr>
          <w:lang w:val="fr-CH"/>
        </w:rPr>
        <w:t>un centre de planification familiale pour 10 000 habitants</w:t>
      </w:r>
      <w:r w:rsidR="004145EA" w:rsidRPr="009F43DE">
        <w:rPr>
          <w:lang w:val="fr-CH"/>
        </w:rPr>
        <w:t xml:space="preserve"> et cet objectif</w:t>
      </w:r>
      <w:r w:rsidRPr="009F43DE">
        <w:rPr>
          <w:lang w:val="fr-CH"/>
        </w:rPr>
        <w:t xml:space="preserve"> a été réalisé dans la majorité des </w:t>
      </w:r>
      <w:r w:rsidR="004145EA" w:rsidRPr="009F43DE">
        <w:rPr>
          <w:lang w:val="fr-CH"/>
        </w:rPr>
        <w:t>régions</w:t>
      </w:r>
      <w:r w:rsidRPr="009F43DE">
        <w:rPr>
          <w:lang w:val="fr-CH"/>
        </w:rPr>
        <w:t xml:space="preserve">. Au moins quatre méthodes de planification familiale sont </w:t>
      </w:r>
      <w:r w:rsidR="004145EA" w:rsidRPr="009F43DE">
        <w:rPr>
          <w:lang w:val="fr-CH"/>
        </w:rPr>
        <w:t>proposées dans</w:t>
      </w:r>
      <w:r w:rsidRPr="009F43DE">
        <w:rPr>
          <w:lang w:val="fr-CH"/>
        </w:rPr>
        <w:t xml:space="preserve"> chacun de ces centres, de sorte que les </w:t>
      </w:r>
      <w:r w:rsidR="004145EA" w:rsidRPr="009F43DE">
        <w:rPr>
          <w:lang w:val="fr-CH"/>
        </w:rPr>
        <w:t>patients</w:t>
      </w:r>
      <w:r w:rsidRPr="009F43DE">
        <w:rPr>
          <w:lang w:val="fr-CH"/>
        </w:rPr>
        <w:t xml:space="preserve"> sont en mesure de choisir la méthode qui leur convient le mieux. En outre, plus de 6 000 sages-femmes du secteur </w:t>
      </w:r>
      <w:r w:rsidR="00C13BCE" w:rsidRPr="009F43DE">
        <w:rPr>
          <w:lang w:val="fr-CH"/>
        </w:rPr>
        <w:t xml:space="preserve">public </w:t>
      </w:r>
      <w:r w:rsidRPr="009F43DE">
        <w:rPr>
          <w:lang w:val="fr-CH"/>
        </w:rPr>
        <w:t>de la santé</w:t>
      </w:r>
      <w:r w:rsidR="004145EA" w:rsidRPr="009F43DE">
        <w:rPr>
          <w:lang w:val="fr-CH"/>
        </w:rPr>
        <w:t xml:space="preserve"> distribuent</w:t>
      </w:r>
      <w:r w:rsidRPr="009F43DE">
        <w:rPr>
          <w:lang w:val="fr-CH"/>
        </w:rPr>
        <w:t xml:space="preserve"> des contraceptifs oraux et des préservatifs lors de visites à domicile. Ces services sont fournis dans l</w:t>
      </w:r>
      <w:r w:rsidR="00F8384A" w:rsidRPr="009F43DE">
        <w:rPr>
          <w:lang w:val="fr-CH"/>
        </w:rPr>
        <w:t>’</w:t>
      </w:r>
      <w:r w:rsidRPr="009F43DE">
        <w:rPr>
          <w:lang w:val="fr-CH"/>
        </w:rPr>
        <w:t xml:space="preserve">ensemble du pays et à tous les groupes </w:t>
      </w:r>
      <w:r w:rsidR="004145EA" w:rsidRPr="009F43DE">
        <w:rPr>
          <w:lang w:val="fr-CH"/>
        </w:rPr>
        <w:t>de la population</w:t>
      </w:r>
      <w:r w:rsidRPr="009F43DE">
        <w:rPr>
          <w:lang w:val="fr-CH"/>
        </w:rPr>
        <w:t>. La sensibilisation de la population est un élément essentiel de cet ensemble de services.</w:t>
      </w:r>
    </w:p>
    <w:p w:rsidR="00C77E1E" w:rsidRPr="009F43DE" w:rsidRDefault="00C77E1E" w:rsidP="00C77E1E">
      <w:pPr>
        <w:pStyle w:val="SingleTxtG"/>
        <w:rPr>
          <w:color w:val="000000"/>
          <w:lang w:val="fr-CH"/>
        </w:rPr>
      </w:pPr>
      <w:r w:rsidRPr="009F43DE">
        <w:rPr>
          <w:lang w:val="fr-CH"/>
        </w:rPr>
        <w:t>154.</w:t>
      </w:r>
      <w:r w:rsidRPr="009F43DE">
        <w:rPr>
          <w:lang w:val="fr-CH"/>
        </w:rPr>
        <w:tab/>
      </w:r>
      <w:r w:rsidRPr="009F43DE">
        <w:rPr>
          <w:color w:val="000000"/>
          <w:lang w:val="fr-CH"/>
        </w:rPr>
        <w:t xml:space="preserve">En 2013, le taux de prévalence de la contraception était de 64,9 % (55,4 % pour les méthodes modernes et 9,5 % pour les méthodes traditionnelles) et </w:t>
      </w:r>
      <w:r w:rsidR="004145EA" w:rsidRPr="009F43DE">
        <w:rPr>
          <w:color w:val="000000"/>
          <w:lang w:val="fr-CH"/>
        </w:rPr>
        <w:t xml:space="preserve">il </w:t>
      </w:r>
      <w:r w:rsidRPr="009F43DE">
        <w:rPr>
          <w:color w:val="000000"/>
          <w:lang w:val="fr-CH"/>
        </w:rPr>
        <w:t>est resté sta</w:t>
      </w:r>
      <w:r w:rsidR="004145EA" w:rsidRPr="009F43DE">
        <w:rPr>
          <w:color w:val="000000"/>
          <w:lang w:val="fr-CH"/>
        </w:rPr>
        <w:t>ble</w:t>
      </w:r>
      <w:r w:rsidRPr="009F43DE">
        <w:rPr>
          <w:color w:val="000000"/>
          <w:lang w:val="fr-CH"/>
        </w:rPr>
        <w:t xml:space="preserve"> au cours des cinq dernières années. Le taux visé pour atteindre un indice synthétique de fécondité de 2,1, considéré comme taux de remplacement, est de 72 %. Entre 2007 et 2013, l</w:t>
      </w:r>
      <w:r w:rsidR="00F8384A" w:rsidRPr="009F43DE">
        <w:rPr>
          <w:color w:val="000000"/>
          <w:lang w:val="fr-CH"/>
        </w:rPr>
        <w:t>’</w:t>
      </w:r>
      <w:r w:rsidRPr="009F43DE">
        <w:rPr>
          <w:color w:val="000000"/>
          <w:lang w:val="fr-CH"/>
        </w:rPr>
        <w:t>utilisation d</w:t>
      </w:r>
      <w:r w:rsidR="004145EA" w:rsidRPr="009F43DE">
        <w:rPr>
          <w:color w:val="000000"/>
          <w:lang w:val="fr-CH"/>
        </w:rPr>
        <w:t>e toute</w:t>
      </w:r>
      <w:r w:rsidRPr="009F43DE">
        <w:rPr>
          <w:color w:val="000000"/>
          <w:lang w:val="fr-CH"/>
        </w:rPr>
        <w:t xml:space="preserve"> méthode de contraception a progressé d</w:t>
      </w:r>
      <w:r w:rsidR="00F8384A" w:rsidRPr="009F43DE">
        <w:rPr>
          <w:color w:val="000000"/>
          <w:lang w:val="fr-CH"/>
        </w:rPr>
        <w:t>’</w:t>
      </w:r>
      <w:r w:rsidRPr="009F43DE">
        <w:rPr>
          <w:color w:val="000000"/>
          <w:lang w:val="fr-CH"/>
        </w:rPr>
        <w:t>environ 5 %.</w:t>
      </w:r>
    </w:p>
    <w:p w:rsidR="00C77E1E" w:rsidRPr="009F43DE" w:rsidRDefault="00C77E1E" w:rsidP="00C77E1E">
      <w:pPr>
        <w:pStyle w:val="SingleTxtG"/>
        <w:rPr>
          <w:color w:val="000000"/>
          <w:lang w:val="fr-CH"/>
        </w:rPr>
      </w:pPr>
      <w:r w:rsidRPr="009F43DE">
        <w:rPr>
          <w:color w:val="000000"/>
          <w:lang w:val="fr-CH"/>
        </w:rPr>
        <w:t>155.</w:t>
      </w:r>
      <w:r w:rsidRPr="009F43DE">
        <w:rPr>
          <w:color w:val="000000"/>
          <w:lang w:val="fr-CH"/>
        </w:rPr>
        <w:tab/>
      </w:r>
      <w:r w:rsidR="00FD2F95" w:rsidRPr="009F43DE">
        <w:rPr>
          <w:color w:val="000000"/>
          <w:lang w:val="fr-CH"/>
        </w:rPr>
        <w:t>L</w:t>
      </w:r>
      <w:r w:rsidR="00F8384A" w:rsidRPr="009F43DE">
        <w:rPr>
          <w:color w:val="000000"/>
          <w:lang w:val="fr-CH"/>
        </w:rPr>
        <w:t>’</w:t>
      </w:r>
      <w:r w:rsidRPr="009F43DE">
        <w:rPr>
          <w:color w:val="000000"/>
          <w:lang w:val="fr-CH"/>
        </w:rPr>
        <w:t xml:space="preserve">éducation </w:t>
      </w:r>
      <w:r w:rsidR="00FD2F95" w:rsidRPr="009F43DE">
        <w:rPr>
          <w:color w:val="000000"/>
          <w:lang w:val="fr-CH"/>
        </w:rPr>
        <w:t>à la santé procréative figure désormais</w:t>
      </w:r>
      <w:r w:rsidRPr="009F43DE">
        <w:rPr>
          <w:color w:val="000000"/>
          <w:lang w:val="fr-CH"/>
        </w:rPr>
        <w:t xml:space="preserve"> dans le</w:t>
      </w:r>
      <w:r w:rsidR="00FD2F95" w:rsidRPr="009F43DE">
        <w:rPr>
          <w:color w:val="000000"/>
          <w:lang w:val="fr-CH"/>
        </w:rPr>
        <w:t>s</w:t>
      </w:r>
      <w:r w:rsidRPr="009F43DE">
        <w:rPr>
          <w:color w:val="000000"/>
          <w:lang w:val="fr-CH"/>
        </w:rPr>
        <w:t xml:space="preserve"> programme</w:t>
      </w:r>
      <w:r w:rsidR="00FD2F95" w:rsidRPr="009F43DE">
        <w:rPr>
          <w:color w:val="000000"/>
          <w:lang w:val="fr-CH"/>
        </w:rPr>
        <w:t>s</w:t>
      </w:r>
      <w:r w:rsidRPr="009F43DE">
        <w:rPr>
          <w:color w:val="000000"/>
          <w:lang w:val="fr-CH"/>
        </w:rPr>
        <w:t xml:space="preserve"> scolaire</w:t>
      </w:r>
      <w:r w:rsidR="00FD2F95" w:rsidRPr="009F43DE">
        <w:rPr>
          <w:color w:val="000000"/>
          <w:lang w:val="fr-CH"/>
        </w:rPr>
        <w:t>s</w:t>
      </w:r>
      <w:r w:rsidRPr="009F43DE">
        <w:rPr>
          <w:color w:val="000000"/>
          <w:lang w:val="fr-CH"/>
        </w:rPr>
        <w:t xml:space="preserve"> et des </w:t>
      </w:r>
      <w:r w:rsidR="00FD2F95" w:rsidRPr="009F43DE">
        <w:rPr>
          <w:color w:val="000000"/>
          <w:lang w:val="fr-CH"/>
        </w:rPr>
        <w:t>équipes du système de santé public ont mené sur le terrain des actions spéciales</w:t>
      </w:r>
      <w:r w:rsidRPr="009F43DE">
        <w:rPr>
          <w:color w:val="000000"/>
          <w:lang w:val="fr-CH"/>
        </w:rPr>
        <w:t xml:space="preserve"> de sensibilisation des élèves.</w:t>
      </w:r>
    </w:p>
    <w:p w:rsidR="00C77E1E" w:rsidRPr="009F43DE" w:rsidRDefault="00C77E1E" w:rsidP="00C77E1E">
      <w:pPr>
        <w:pStyle w:val="H23G"/>
        <w:rPr>
          <w:lang w:val="fr-CH"/>
        </w:rPr>
      </w:pPr>
      <w:r w:rsidRPr="009F43DE">
        <w:rPr>
          <w:lang w:val="fr-CH"/>
        </w:rPr>
        <w:tab/>
      </w:r>
      <w:r w:rsidRPr="009F43DE">
        <w:rPr>
          <w:lang w:val="fr-CH"/>
        </w:rPr>
        <w:tab/>
      </w:r>
      <w:r w:rsidR="00FD2F95" w:rsidRPr="009F43DE">
        <w:rPr>
          <w:lang w:val="fr-CH"/>
        </w:rPr>
        <w:t>Services de santé mentale pour traiter les cas extrêmement répandus de troubles mentaux liés au conflit</w:t>
      </w:r>
      <w:r w:rsidRPr="009F43DE">
        <w:rPr>
          <w:lang w:val="fr-CH"/>
        </w:rPr>
        <w:t xml:space="preserve"> </w:t>
      </w:r>
      <w:r w:rsidR="00C85D5A">
        <w:rPr>
          <w:lang w:val="fr-CH"/>
        </w:rPr>
        <w:t>(</w:t>
      </w:r>
      <w:r w:rsidR="00B77824" w:rsidRPr="009F43DE">
        <w:rPr>
          <w:lang w:val="fr-CH"/>
        </w:rPr>
        <w:t>p</w:t>
      </w:r>
      <w:r w:rsidRPr="009F43DE">
        <w:rPr>
          <w:lang w:val="fr-CH"/>
        </w:rPr>
        <w:t>ar</w:t>
      </w:r>
      <w:r w:rsidR="00C85D5A">
        <w:rPr>
          <w:lang w:val="fr-CH"/>
        </w:rPr>
        <w:t xml:space="preserve">. </w:t>
      </w:r>
      <w:r w:rsidRPr="009F43DE">
        <w:rPr>
          <w:lang w:val="fr-CH"/>
        </w:rPr>
        <w:t>35</w:t>
      </w:r>
      <w:r w:rsidR="00C85D5A">
        <w:rPr>
          <w:lang w:val="fr-CH"/>
        </w:rPr>
        <w:t>)</w:t>
      </w:r>
    </w:p>
    <w:p w:rsidR="00C77E1E" w:rsidRPr="009F43DE" w:rsidRDefault="00C77E1E" w:rsidP="00C77E1E">
      <w:pPr>
        <w:pStyle w:val="SingleTxtG"/>
        <w:rPr>
          <w:lang w:val="fr-CH"/>
        </w:rPr>
      </w:pPr>
      <w:r w:rsidRPr="009F43DE">
        <w:rPr>
          <w:lang w:val="fr-CH"/>
        </w:rPr>
        <w:t>156.</w:t>
      </w:r>
      <w:r w:rsidRPr="009F43DE">
        <w:rPr>
          <w:lang w:val="fr-CH"/>
        </w:rPr>
        <w:tab/>
        <w:t xml:space="preserve">La </w:t>
      </w:r>
      <w:r w:rsidR="00FD2F95" w:rsidRPr="009F43DE">
        <w:rPr>
          <w:lang w:val="fr-CH"/>
        </w:rPr>
        <w:t>l</w:t>
      </w:r>
      <w:r w:rsidRPr="009F43DE">
        <w:rPr>
          <w:lang w:val="fr-CH"/>
        </w:rPr>
        <w:t>oi sur la santé mentale de 2007 a été révisée et complétée en mai 2013 et des mesures ont été prises pour obtenir l</w:t>
      </w:r>
      <w:r w:rsidR="00F8384A" w:rsidRPr="009F43DE">
        <w:rPr>
          <w:lang w:val="fr-CH"/>
        </w:rPr>
        <w:t>’</w:t>
      </w:r>
      <w:r w:rsidRPr="009F43DE">
        <w:rPr>
          <w:lang w:val="fr-CH"/>
        </w:rPr>
        <w:t>approbation du C</w:t>
      </w:r>
      <w:r w:rsidR="00FD2F95" w:rsidRPr="009F43DE">
        <w:rPr>
          <w:lang w:val="fr-CH"/>
        </w:rPr>
        <w:t>onseil des Ministres</w:t>
      </w:r>
      <w:r w:rsidRPr="009F43DE">
        <w:rPr>
          <w:lang w:val="fr-CH"/>
        </w:rPr>
        <w:t xml:space="preserve"> et transmettre ce projet de loi au Service de rédaction juridique pour observation</w:t>
      </w:r>
      <w:r w:rsidR="00FD2F95" w:rsidRPr="009F43DE">
        <w:rPr>
          <w:lang w:val="fr-CH"/>
        </w:rPr>
        <w:t>s</w:t>
      </w:r>
      <w:r w:rsidRPr="009F43DE">
        <w:rPr>
          <w:lang w:val="fr-CH"/>
        </w:rPr>
        <w:t xml:space="preserve">. En outre, </w:t>
      </w:r>
      <w:r w:rsidR="00FD2F95" w:rsidRPr="009F43DE">
        <w:rPr>
          <w:lang w:val="fr-CH"/>
        </w:rPr>
        <w:t xml:space="preserve">les autorités se sont employées à </w:t>
      </w:r>
      <w:r w:rsidRPr="009F43DE">
        <w:rPr>
          <w:lang w:val="fr-CH"/>
        </w:rPr>
        <w:t>renforcer les services de santé mentale au niveau des districts en nommant des agents de santé supplémentaires, y compris des psychiatres consultants, des médecins et des infirmières psychiatriques. Des plans sont en cours pour recruter plus de personnel.</w:t>
      </w:r>
    </w:p>
    <w:p w:rsidR="00C77E1E" w:rsidRPr="009F43DE" w:rsidRDefault="00C77E1E" w:rsidP="00C77E1E">
      <w:pPr>
        <w:pStyle w:val="SingleTxtG"/>
        <w:rPr>
          <w:lang w:val="fr-CH"/>
        </w:rPr>
      </w:pPr>
      <w:r w:rsidRPr="009F43DE">
        <w:rPr>
          <w:lang w:val="fr-CH"/>
        </w:rPr>
        <w:t>157.</w:t>
      </w:r>
      <w:r w:rsidRPr="009F43DE">
        <w:rPr>
          <w:lang w:val="fr-CH"/>
        </w:rPr>
        <w:tab/>
      </w:r>
      <w:r w:rsidR="00380BEB" w:rsidRPr="009F43DE">
        <w:rPr>
          <w:lang w:val="fr-CH"/>
        </w:rPr>
        <w:t xml:space="preserve">Pour </w:t>
      </w:r>
      <w:r w:rsidRPr="009F43DE">
        <w:rPr>
          <w:lang w:val="fr-CH"/>
        </w:rPr>
        <w:t>améliorer l</w:t>
      </w:r>
      <w:r w:rsidR="00380BEB" w:rsidRPr="009F43DE">
        <w:rPr>
          <w:lang w:val="fr-CH"/>
        </w:rPr>
        <w:t>es conditions de</w:t>
      </w:r>
      <w:r w:rsidRPr="009F43DE">
        <w:rPr>
          <w:lang w:val="fr-CH"/>
        </w:rPr>
        <w:t xml:space="preserve"> santé mentale des communautés touchées par la guerre, la Commission présidentielle enquêtant sur les cas de personnes disparues </w:t>
      </w:r>
      <w:r w:rsidR="00380BEB" w:rsidRPr="009F43DE">
        <w:rPr>
          <w:lang w:val="fr-CH"/>
        </w:rPr>
        <w:t>à</w:t>
      </w:r>
      <w:r w:rsidRPr="009F43DE">
        <w:rPr>
          <w:lang w:val="fr-CH"/>
        </w:rPr>
        <w:t xml:space="preserve"> Sri Lanka a concentré son attention sur la fourniture d</w:t>
      </w:r>
      <w:r w:rsidR="00F8384A" w:rsidRPr="009F43DE">
        <w:rPr>
          <w:lang w:val="fr-CH"/>
        </w:rPr>
        <w:t>’</w:t>
      </w:r>
      <w:r w:rsidRPr="009F43DE">
        <w:rPr>
          <w:lang w:val="fr-CH"/>
        </w:rPr>
        <w:t xml:space="preserve">une assistance psychologique aux familles des personnes portées disparues </w:t>
      </w:r>
      <w:r w:rsidR="00380BEB" w:rsidRPr="009F43DE">
        <w:rPr>
          <w:lang w:val="fr-CH"/>
        </w:rPr>
        <w:t>durant le conflit</w:t>
      </w:r>
      <w:r w:rsidRPr="009F43DE">
        <w:rPr>
          <w:lang w:val="fr-CH"/>
        </w:rPr>
        <w:t>. La Commission, conjointement avec le Ministère de la santé, l</w:t>
      </w:r>
      <w:r w:rsidR="00F8384A" w:rsidRPr="009F43DE">
        <w:rPr>
          <w:lang w:val="fr-CH"/>
        </w:rPr>
        <w:t>’</w:t>
      </w:r>
      <w:r w:rsidRPr="009F43DE">
        <w:rPr>
          <w:lang w:val="fr-CH"/>
        </w:rPr>
        <w:t xml:space="preserve">Institut national de la santé mentale et le Comité international de la Croix-Rouge (CICR), a récemment organisé une réunion consultative avec les spécialistes de la santé mentale </w:t>
      </w:r>
      <w:r w:rsidR="00380BEB" w:rsidRPr="009F43DE">
        <w:rPr>
          <w:lang w:val="fr-CH"/>
        </w:rPr>
        <w:t>afin de</w:t>
      </w:r>
      <w:r w:rsidRPr="009F43DE">
        <w:rPr>
          <w:lang w:val="fr-CH"/>
        </w:rPr>
        <w:t xml:space="preserve"> coordonner les mécanismes existants </w:t>
      </w:r>
      <w:r w:rsidR="00380BEB" w:rsidRPr="009F43DE">
        <w:rPr>
          <w:lang w:val="fr-CH"/>
        </w:rPr>
        <w:t>et de mettre au point</w:t>
      </w:r>
      <w:r w:rsidRPr="009F43DE">
        <w:rPr>
          <w:lang w:val="fr-CH"/>
        </w:rPr>
        <w:t xml:space="preserve"> de nouvelles stratégies pour faire face aux besoins en matière de santé </w:t>
      </w:r>
      <w:r w:rsidR="00380BEB" w:rsidRPr="009F43DE">
        <w:rPr>
          <w:lang w:val="fr-CH"/>
        </w:rPr>
        <w:t xml:space="preserve">mentale </w:t>
      </w:r>
      <w:r w:rsidRPr="009F43DE">
        <w:rPr>
          <w:lang w:val="fr-CH"/>
        </w:rPr>
        <w:t xml:space="preserve">des familles des personnes </w:t>
      </w:r>
      <w:r w:rsidR="00380BEB" w:rsidRPr="009F43DE">
        <w:rPr>
          <w:lang w:val="fr-CH"/>
        </w:rPr>
        <w:t xml:space="preserve">portées </w:t>
      </w:r>
      <w:r w:rsidRPr="009F43DE">
        <w:rPr>
          <w:lang w:val="fr-CH"/>
        </w:rPr>
        <w:t>disparues.</w:t>
      </w:r>
    </w:p>
    <w:p w:rsidR="00C77E1E" w:rsidRPr="009F43DE" w:rsidRDefault="00C77E1E" w:rsidP="00C77E1E">
      <w:pPr>
        <w:pStyle w:val="H23G"/>
        <w:rPr>
          <w:lang w:val="fr-CH"/>
        </w:rPr>
      </w:pPr>
      <w:r w:rsidRPr="009F43DE">
        <w:rPr>
          <w:lang w:val="fr-CH"/>
        </w:rPr>
        <w:tab/>
      </w:r>
      <w:r w:rsidRPr="009F43DE">
        <w:rPr>
          <w:lang w:val="fr-CH"/>
        </w:rPr>
        <w:tab/>
        <w:t>Système public d</w:t>
      </w:r>
      <w:r w:rsidR="00F8384A" w:rsidRPr="009F43DE">
        <w:rPr>
          <w:lang w:val="fr-CH"/>
        </w:rPr>
        <w:t>’</w:t>
      </w:r>
      <w:r w:rsidRPr="009F43DE">
        <w:rPr>
          <w:lang w:val="fr-CH"/>
        </w:rPr>
        <w:t xml:space="preserve">éducation </w:t>
      </w:r>
      <w:r w:rsidR="00E52A1B">
        <w:rPr>
          <w:lang w:val="fr-CH"/>
        </w:rPr>
        <w:t>(</w:t>
      </w:r>
      <w:r w:rsidR="00B77824" w:rsidRPr="009F43DE">
        <w:rPr>
          <w:lang w:val="fr-CH"/>
        </w:rPr>
        <w:t>p</w:t>
      </w:r>
      <w:r w:rsidRPr="009F43DE">
        <w:rPr>
          <w:lang w:val="fr-CH"/>
        </w:rPr>
        <w:t>ar</w:t>
      </w:r>
      <w:r w:rsidR="00E52A1B">
        <w:rPr>
          <w:lang w:val="fr-CH"/>
        </w:rPr>
        <w:t>.</w:t>
      </w:r>
      <w:r w:rsidR="00C85D5A">
        <w:rPr>
          <w:lang w:val="fr-CH"/>
        </w:rPr>
        <w:t xml:space="preserve"> </w:t>
      </w:r>
      <w:r w:rsidRPr="009F43DE">
        <w:rPr>
          <w:lang w:val="fr-CH"/>
        </w:rPr>
        <w:t>36</w:t>
      </w:r>
      <w:r w:rsidR="00C85D5A">
        <w:rPr>
          <w:lang w:val="fr-CH"/>
        </w:rPr>
        <w:t>)</w:t>
      </w:r>
      <w:r w:rsidRPr="009F43DE">
        <w:rPr>
          <w:lang w:val="fr-CH"/>
        </w:rPr>
        <w:t xml:space="preserve"> </w:t>
      </w:r>
    </w:p>
    <w:p w:rsidR="00C77E1E" w:rsidRPr="009F43DE" w:rsidRDefault="00C77E1E" w:rsidP="00C77E1E">
      <w:pPr>
        <w:pStyle w:val="SingleTxtG"/>
        <w:rPr>
          <w:lang w:val="fr-CH"/>
        </w:rPr>
      </w:pPr>
      <w:r w:rsidRPr="009F43DE">
        <w:rPr>
          <w:lang w:val="fr-CH"/>
        </w:rPr>
        <w:t>158.</w:t>
      </w:r>
      <w:r w:rsidRPr="009F43DE">
        <w:rPr>
          <w:lang w:val="fr-CH"/>
        </w:rPr>
        <w:tab/>
        <w:t>Le</w:t>
      </w:r>
      <w:r w:rsidR="00380BEB" w:rsidRPr="009F43DE">
        <w:rPr>
          <w:lang w:val="fr-CH"/>
        </w:rPr>
        <w:t>s autorités sont</w:t>
      </w:r>
      <w:r w:rsidRPr="009F43DE">
        <w:rPr>
          <w:lang w:val="fr-CH"/>
        </w:rPr>
        <w:t xml:space="preserve"> déterminé</w:t>
      </w:r>
      <w:r w:rsidR="00380BEB" w:rsidRPr="009F43DE">
        <w:rPr>
          <w:lang w:val="fr-CH"/>
        </w:rPr>
        <w:t>es</w:t>
      </w:r>
      <w:r w:rsidRPr="009F43DE">
        <w:rPr>
          <w:lang w:val="fr-CH"/>
        </w:rPr>
        <w:t xml:space="preserve"> à promouvoir et protéger les droits à l</w:t>
      </w:r>
      <w:r w:rsidR="00F8384A" w:rsidRPr="009F43DE">
        <w:rPr>
          <w:lang w:val="fr-CH"/>
        </w:rPr>
        <w:t>’</w:t>
      </w:r>
      <w:r w:rsidRPr="009F43DE">
        <w:rPr>
          <w:lang w:val="fr-CH"/>
        </w:rPr>
        <w:t xml:space="preserve">éducation de tous les citoyens </w:t>
      </w:r>
      <w:r w:rsidR="00AB7CC5" w:rsidRPr="009F43DE">
        <w:rPr>
          <w:lang w:val="fr-CH"/>
        </w:rPr>
        <w:t>au moyen de</w:t>
      </w:r>
      <w:r w:rsidRPr="009F43DE">
        <w:rPr>
          <w:lang w:val="fr-CH"/>
        </w:rPr>
        <w:t xml:space="preserve"> l</w:t>
      </w:r>
      <w:r w:rsidR="00F8384A" w:rsidRPr="009F43DE">
        <w:rPr>
          <w:lang w:val="fr-CH"/>
        </w:rPr>
        <w:t>’</w:t>
      </w:r>
      <w:r w:rsidRPr="009F43DE">
        <w:rPr>
          <w:lang w:val="fr-CH"/>
        </w:rPr>
        <w:t>accès gratuit à l</w:t>
      </w:r>
      <w:r w:rsidR="00F8384A" w:rsidRPr="009F43DE">
        <w:rPr>
          <w:lang w:val="fr-CH"/>
        </w:rPr>
        <w:t>’</w:t>
      </w:r>
      <w:r w:rsidRPr="009F43DE">
        <w:rPr>
          <w:lang w:val="fr-CH"/>
        </w:rPr>
        <w:t xml:space="preserve">enseignement primaire, secondaire et supérieur pour </w:t>
      </w:r>
      <w:r w:rsidR="00AB7CC5" w:rsidRPr="009F43DE">
        <w:rPr>
          <w:lang w:val="fr-CH"/>
        </w:rPr>
        <w:t xml:space="preserve">tous </w:t>
      </w:r>
      <w:r w:rsidRPr="009F43DE">
        <w:rPr>
          <w:lang w:val="fr-CH"/>
        </w:rPr>
        <w:t xml:space="preserve">les enfants et les jeunes </w:t>
      </w:r>
      <w:r w:rsidR="00AB7CC5" w:rsidRPr="009F43DE">
        <w:rPr>
          <w:lang w:val="fr-CH"/>
        </w:rPr>
        <w:t>du pays</w:t>
      </w:r>
      <w:r w:rsidRPr="009F43DE">
        <w:rPr>
          <w:lang w:val="fr-CH"/>
        </w:rPr>
        <w:t xml:space="preserve">. </w:t>
      </w:r>
      <w:r w:rsidR="00AB7CC5" w:rsidRPr="009F43DE">
        <w:rPr>
          <w:lang w:val="fr-CH"/>
        </w:rPr>
        <w:t xml:space="preserve">Elles visent à mettre en place des conditions sûres et propices dans lesquelles </w:t>
      </w:r>
      <w:r w:rsidRPr="009F43DE">
        <w:rPr>
          <w:lang w:val="fr-CH"/>
        </w:rPr>
        <w:t xml:space="preserve">les enfants peuvent apprendre et se développer physiquement, socialement et </w:t>
      </w:r>
      <w:r w:rsidR="00AB7CC5" w:rsidRPr="009F43DE">
        <w:rPr>
          <w:lang w:val="fr-CH"/>
        </w:rPr>
        <w:t>intellectuellement</w:t>
      </w:r>
      <w:r w:rsidRPr="009F43DE">
        <w:rPr>
          <w:lang w:val="fr-CH"/>
        </w:rPr>
        <w:t xml:space="preserve"> conformément aux valeurs culturelles, aux droits de l</w:t>
      </w:r>
      <w:r w:rsidR="00F8384A" w:rsidRPr="009F43DE">
        <w:rPr>
          <w:lang w:val="fr-CH"/>
        </w:rPr>
        <w:t>’</w:t>
      </w:r>
      <w:r w:rsidRPr="009F43DE">
        <w:rPr>
          <w:lang w:val="fr-CH"/>
        </w:rPr>
        <w:t>homme et aux libertés fondamentales</w:t>
      </w:r>
      <w:r w:rsidR="00AB7CC5" w:rsidRPr="009F43DE">
        <w:rPr>
          <w:lang w:val="fr-CH"/>
        </w:rPr>
        <w:t xml:space="preserve"> que défend le pays</w:t>
      </w:r>
      <w:r w:rsidRPr="009F43DE">
        <w:rPr>
          <w:lang w:val="fr-CH"/>
        </w:rPr>
        <w:t>. Sri Lanka a pris plusieurs initiative</w:t>
      </w:r>
      <w:r w:rsidR="00AB7CC5" w:rsidRPr="009F43DE">
        <w:rPr>
          <w:lang w:val="fr-CH"/>
        </w:rPr>
        <w:t xml:space="preserve">s destinées à assurer </w:t>
      </w:r>
      <w:r w:rsidRPr="009F43DE">
        <w:rPr>
          <w:lang w:val="fr-CH"/>
        </w:rPr>
        <w:t>la protection, le développement et l</w:t>
      </w:r>
      <w:r w:rsidR="00F8384A" w:rsidRPr="009F43DE">
        <w:rPr>
          <w:lang w:val="fr-CH"/>
        </w:rPr>
        <w:t>’</w:t>
      </w:r>
      <w:r w:rsidRPr="009F43DE">
        <w:rPr>
          <w:lang w:val="fr-CH"/>
        </w:rPr>
        <w:t xml:space="preserve">éducation des enfants, </w:t>
      </w:r>
      <w:r w:rsidR="00AB7CC5" w:rsidRPr="009F43DE">
        <w:rPr>
          <w:lang w:val="fr-CH"/>
        </w:rPr>
        <w:t>en s</w:t>
      </w:r>
      <w:r w:rsidR="00F8384A" w:rsidRPr="009F43DE">
        <w:rPr>
          <w:lang w:val="fr-CH"/>
        </w:rPr>
        <w:t>’</w:t>
      </w:r>
      <w:r w:rsidR="00AB7CC5" w:rsidRPr="009F43DE">
        <w:rPr>
          <w:lang w:val="fr-CH"/>
        </w:rPr>
        <w:t>attachant en particulier à répondre aux besoins d</w:t>
      </w:r>
      <w:r w:rsidRPr="009F43DE">
        <w:rPr>
          <w:lang w:val="fr-CH"/>
        </w:rPr>
        <w:t>es enfants en situation de vulnérabilité, tels que les enfants handicapés</w:t>
      </w:r>
      <w:r w:rsidR="00AB7CC5" w:rsidRPr="009F43DE">
        <w:rPr>
          <w:lang w:val="fr-CH"/>
        </w:rPr>
        <w:t>,</w:t>
      </w:r>
      <w:r w:rsidRPr="009F43DE">
        <w:rPr>
          <w:lang w:val="fr-CH"/>
        </w:rPr>
        <w:t xml:space="preserve"> les enfants touchés par les conflits, les enfants des rues et les enfants maltraités et abandonnés.</w:t>
      </w:r>
    </w:p>
    <w:p w:rsidR="00C77E1E" w:rsidRPr="009F43DE" w:rsidRDefault="00C77E1E" w:rsidP="00C77E1E">
      <w:pPr>
        <w:pStyle w:val="SingleTxtG"/>
        <w:rPr>
          <w:lang w:val="fr-CH"/>
        </w:rPr>
      </w:pPr>
      <w:r w:rsidRPr="009F43DE">
        <w:rPr>
          <w:lang w:val="fr-CH"/>
        </w:rPr>
        <w:t>159.</w:t>
      </w:r>
      <w:r w:rsidRPr="009F43DE">
        <w:rPr>
          <w:lang w:val="fr-CH"/>
        </w:rPr>
        <w:tab/>
        <w:t xml:space="preserve">Dans les provinces du </w:t>
      </w:r>
      <w:r w:rsidR="00AB7CC5" w:rsidRPr="009F43DE">
        <w:rPr>
          <w:lang w:val="fr-CH"/>
        </w:rPr>
        <w:t>n</w:t>
      </w:r>
      <w:r w:rsidRPr="009F43DE">
        <w:rPr>
          <w:lang w:val="fr-CH"/>
        </w:rPr>
        <w:t>ord et de l</w:t>
      </w:r>
      <w:r w:rsidR="00F8384A" w:rsidRPr="009F43DE">
        <w:rPr>
          <w:lang w:val="fr-CH"/>
        </w:rPr>
        <w:t>’</w:t>
      </w:r>
      <w:r w:rsidR="00AB7CC5" w:rsidRPr="009F43DE">
        <w:rPr>
          <w:lang w:val="fr-CH"/>
        </w:rPr>
        <w:t>e</w:t>
      </w:r>
      <w:r w:rsidRPr="009F43DE">
        <w:rPr>
          <w:lang w:val="fr-CH"/>
        </w:rPr>
        <w:t>st, les écoles ont été rouvertes depuis la fin du conflit en 2009 et les enfants, y compris les anciens enfants soldats recrutés par le groupe terroriste (</w:t>
      </w:r>
      <w:r w:rsidR="00AB7CC5" w:rsidRPr="009F43DE">
        <w:rPr>
          <w:lang w:val="fr-CH"/>
        </w:rPr>
        <w:t>Tigres de libération de l</w:t>
      </w:r>
      <w:r w:rsidR="00F8384A" w:rsidRPr="009F43DE">
        <w:rPr>
          <w:lang w:val="fr-CH"/>
        </w:rPr>
        <w:t>’</w:t>
      </w:r>
      <w:r w:rsidR="00AB7CC5" w:rsidRPr="009F43DE">
        <w:rPr>
          <w:lang w:val="fr-CH"/>
        </w:rPr>
        <w:t>Eelam tamoul</w:t>
      </w:r>
      <w:r w:rsidRPr="009F43DE">
        <w:rPr>
          <w:lang w:val="fr-CH"/>
        </w:rPr>
        <w:t>)</w:t>
      </w:r>
      <w:r w:rsidR="0010595F" w:rsidRPr="009F43DE">
        <w:rPr>
          <w:lang w:val="fr-CH"/>
        </w:rPr>
        <w:t>,</w:t>
      </w:r>
      <w:r w:rsidRPr="009F43DE">
        <w:rPr>
          <w:lang w:val="fr-CH"/>
        </w:rPr>
        <w:t xml:space="preserve"> sont </w:t>
      </w:r>
      <w:r w:rsidR="00AB7CC5" w:rsidRPr="009F43DE">
        <w:rPr>
          <w:lang w:val="fr-CH"/>
        </w:rPr>
        <w:t>à nouveau scolarisés</w:t>
      </w:r>
      <w:r w:rsidRPr="009F43DE">
        <w:rPr>
          <w:lang w:val="fr-CH"/>
        </w:rPr>
        <w:t xml:space="preserve">. </w:t>
      </w:r>
      <w:r w:rsidR="0010595F" w:rsidRPr="009F43DE">
        <w:rPr>
          <w:lang w:val="fr-CH"/>
        </w:rPr>
        <w:t>En mai 2010,</w:t>
      </w:r>
      <w:r w:rsidRPr="009F43DE">
        <w:rPr>
          <w:lang w:val="fr-CH"/>
        </w:rPr>
        <w:t xml:space="preserve"> 594 ex-enfants soldats, </w:t>
      </w:r>
      <w:r w:rsidR="0010595F" w:rsidRPr="009F43DE">
        <w:rPr>
          <w:lang w:val="fr-CH"/>
        </w:rPr>
        <w:t>dont</w:t>
      </w:r>
      <w:r w:rsidRPr="009F43DE">
        <w:rPr>
          <w:lang w:val="fr-CH"/>
        </w:rPr>
        <w:t xml:space="preserve"> 364 garçons et 230 filles, </w:t>
      </w:r>
      <w:r w:rsidR="0010595F" w:rsidRPr="009F43DE">
        <w:rPr>
          <w:lang w:val="fr-CH"/>
        </w:rPr>
        <w:t>avaient ainsi pu</w:t>
      </w:r>
      <w:r w:rsidRPr="009F43DE">
        <w:rPr>
          <w:lang w:val="fr-CH"/>
        </w:rPr>
        <w:t xml:space="preserve"> </w:t>
      </w:r>
      <w:r w:rsidR="0010595F" w:rsidRPr="009F43DE">
        <w:rPr>
          <w:lang w:val="fr-CH"/>
        </w:rPr>
        <w:t>être</w:t>
      </w:r>
      <w:r w:rsidRPr="009F43DE">
        <w:rPr>
          <w:lang w:val="fr-CH"/>
        </w:rPr>
        <w:t xml:space="preserve"> réhabilités et réinsérés dans la société</w:t>
      </w:r>
      <w:r w:rsidR="0010595F" w:rsidRPr="009F43DE">
        <w:rPr>
          <w:lang w:val="fr-CH"/>
        </w:rPr>
        <w:t>. Tous les enfants</w:t>
      </w:r>
      <w:r w:rsidRPr="009F43DE">
        <w:rPr>
          <w:lang w:val="fr-CH"/>
        </w:rPr>
        <w:t xml:space="preserve"> qui ont manqué leur scolarité pendant la période de conflit ont </w:t>
      </w:r>
      <w:r w:rsidR="0010595F" w:rsidRPr="009F43DE">
        <w:rPr>
          <w:lang w:val="fr-CH"/>
        </w:rPr>
        <w:t>bénéficié d</w:t>
      </w:r>
      <w:r w:rsidR="00F8384A" w:rsidRPr="009F43DE">
        <w:rPr>
          <w:lang w:val="fr-CH"/>
        </w:rPr>
        <w:t>’</w:t>
      </w:r>
      <w:r w:rsidR="0010595F" w:rsidRPr="009F43DE">
        <w:rPr>
          <w:lang w:val="fr-CH"/>
        </w:rPr>
        <w:t xml:space="preserve">une aide pour récupérer les filières </w:t>
      </w:r>
      <w:r w:rsidRPr="009F43DE">
        <w:rPr>
          <w:lang w:val="fr-CH"/>
        </w:rPr>
        <w:t>formelle</w:t>
      </w:r>
      <w:r w:rsidR="0010595F" w:rsidRPr="009F43DE">
        <w:rPr>
          <w:lang w:val="fr-CH"/>
        </w:rPr>
        <w:t>s</w:t>
      </w:r>
      <w:r w:rsidRPr="009F43DE">
        <w:rPr>
          <w:lang w:val="fr-CH"/>
        </w:rPr>
        <w:t xml:space="preserve"> et ceux qui </w:t>
      </w:r>
      <w:r w:rsidR="0010595F" w:rsidRPr="009F43DE">
        <w:rPr>
          <w:lang w:val="fr-CH"/>
        </w:rPr>
        <w:t xml:space="preserve">étaient prêts à passer les </w:t>
      </w:r>
      <w:r w:rsidRPr="009F43DE">
        <w:rPr>
          <w:lang w:val="fr-CH"/>
        </w:rPr>
        <w:t>examens po</w:t>
      </w:r>
      <w:r w:rsidRPr="009F43DE">
        <w:rPr>
          <w:color w:val="000000"/>
          <w:lang w:val="fr-CH"/>
        </w:rPr>
        <w:t>ur l</w:t>
      </w:r>
      <w:r w:rsidR="00F8384A" w:rsidRPr="009F43DE">
        <w:rPr>
          <w:color w:val="000000"/>
          <w:lang w:val="fr-CH"/>
        </w:rPr>
        <w:t>’</w:t>
      </w:r>
      <w:r w:rsidRPr="009F43DE">
        <w:rPr>
          <w:color w:val="000000"/>
          <w:lang w:val="fr-CH"/>
        </w:rPr>
        <w:t>obtention du certificat d</w:t>
      </w:r>
      <w:r w:rsidR="00F8384A" w:rsidRPr="009F43DE">
        <w:rPr>
          <w:color w:val="000000"/>
          <w:lang w:val="fr-CH"/>
        </w:rPr>
        <w:t>’</w:t>
      </w:r>
      <w:r w:rsidRPr="009F43DE">
        <w:rPr>
          <w:color w:val="000000"/>
          <w:lang w:val="fr-CH"/>
        </w:rPr>
        <w:t>études générales des niveaux ordinaire et supérieur les ont p</w:t>
      </w:r>
      <w:r w:rsidRPr="009F43DE">
        <w:rPr>
          <w:lang w:val="fr-CH"/>
        </w:rPr>
        <w:t>assés en suivant des programmes d</w:t>
      </w:r>
      <w:r w:rsidR="00F8384A" w:rsidRPr="009F43DE">
        <w:rPr>
          <w:lang w:val="fr-CH"/>
        </w:rPr>
        <w:t>’</w:t>
      </w:r>
      <w:r w:rsidRPr="009F43DE">
        <w:rPr>
          <w:lang w:val="fr-CH"/>
        </w:rPr>
        <w:t>enseignement spéciaux et des c</w:t>
      </w:r>
      <w:r w:rsidR="0010595F" w:rsidRPr="009F43DE">
        <w:rPr>
          <w:lang w:val="fr-CH"/>
        </w:rPr>
        <w:t>ours de rattrapage</w:t>
      </w:r>
      <w:r w:rsidRPr="009F43DE">
        <w:rPr>
          <w:lang w:val="fr-CH"/>
        </w:rPr>
        <w:t xml:space="preserve"> dans le cadre du </w:t>
      </w:r>
      <w:r w:rsidR="00F8384A" w:rsidRPr="009F43DE">
        <w:rPr>
          <w:lang w:val="fr-CH"/>
        </w:rPr>
        <w:t>«</w:t>
      </w:r>
      <w:r w:rsidRPr="009F43DE">
        <w:rPr>
          <w:lang w:val="fr-CH"/>
        </w:rPr>
        <w:t>Catch up Education Scheme</w:t>
      </w:r>
      <w:r w:rsidR="00F8384A" w:rsidRPr="009F43DE">
        <w:rPr>
          <w:lang w:val="fr-CH"/>
        </w:rPr>
        <w:t>»</w:t>
      </w:r>
      <w:r w:rsidRPr="009F43DE">
        <w:rPr>
          <w:lang w:val="fr-CH"/>
        </w:rPr>
        <w:t xml:space="preserve">. </w:t>
      </w:r>
      <w:r w:rsidR="0010595F" w:rsidRPr="009F43DE">
        <w:rPr>
          <w:lang w:val="fr-CH"/>
        </w:rPr>
        <w:t>Ils ont été 169 à se qualifier pour entrer à l</w:t>
      </w:r>
      <w:r w:rsidR="00F8384A" w:rsidRPr="009F43DE">
        <w:rPr>
          <w:lang w:val="fr-CH"/>
        </w:rPr>
        <w:t>’</w:t>
      </w:r>
      <w:r w:rsidR="0010595F" w:rsidRPr="009F43DE">
        <w:rPr>
          <w:lang w:val="fr-CH"/>
        </w:rPr>
        <w:t xml:space="preserve">université. En outre, une formation professionnelle a été dispensée à </w:t>
      </w:r>
      <w:r w:rsidRPr="009F43DE">
        <w:rPr>
          <w:lang w:val="fr-CH"/>
        </w:rPr>
        <w:t xml:space="preserve">322 ex-enfants soldats </w:t>
      </w:r>
      <w:r w:rsidR="0010595F" w:rsidRPr="009F43DE">
        <w:rPr>
          <w:lang w:val="fr-CH"/>
        </w:rPr>
        <w:t>afin de leur permettre d</w:t>
      </w:r>
      <w:r w:rsidR="00F8384A" w:rsidRPr="009F43DE">
        <w:rPr>
          <w:lang w:val="fr-CH"/>
        </w:rPr>
        <w:t>’</w:t>
      </w:r>
      <w:r w:rsidR="0010595F" w:rsidRPr="009F43DE">
        <w:rPr>
          <w:lang w:val="fr-CH"/>
        </w:rPr>
        <w:t xml:space="preserve">exercer </w:t>
      </w:r>
      <w:r w:rsidRPr="009F43DE">
        <w:rPr>
          <w:lang w:val="fr-CH"/>
        </w:rPr>
        <w:t xml:space="preserve">une activité rémunérée. </w:t>
      </w:r>
    </w:p>
    <w:p w:rsidR="00C77E1E" w:rsidRPr="009F43DE" w:rsidRDefault="00C77E1E" w:rsidP="00C77E1E">
      <w:pPr>
        <w:pStyle w:val="H4G"/>
        <w:rPr>
          <w:lang w:val="fr-CH"/>
        </w:rPr>
      </w:pPr>
      <w:r w:rsidRPr="009F43DE">
        <w:rPr>
          <w:lang w:val="fr-CH"/>
        </w:rPr>
        <w:tab/>
      </w:r>
      <w:r w:rsidRPr="009F43DE">
        <w:rPr>
          <w:lang w:val="fr-CH"/>
        </w:rPr>
        <w:tab/>
        <w:t>Distribution égale des ressources</w:t>
      </w:r>
    </w:p>
    <w:p w:rsidR="00C77E1E" w:rsidRPr="009F43DE" w:rsidRDefault="00C77E1E" w:rsidP="00C77E1E">
      <w:pPr>
        <w:pStyle w:val="SingleTxtG"/>
        <w:rPr>
          <w:lang w:val="fr-CH"/>
        </w:rPr>
      </w:pPr>
      <w:r w:rsidRPr="009F43DE">
        <w:rPr>
          <w:lang w:val="fr-CH"/>
        </w:rPr>
        <w:t>160.</w:t>
      </w:r>
      <w:r w:rsidRPr="009F43DE">
        <w:rPr>
          <w:lang w:val="fr-CH"/>
        </w:rPr>
        <w:tab/>
        <w:t xml:space="preserve">Sri Lanka a </w:t>
      </w:r>
      <w:r w:rsidR="00192E31" w:rsidRPr="009F43DE">
        <w:rPr>
          <w:lang w:val="fr-CH"/>
        </w:rPr>
        <w:t xml:space="preserve">progressé sur la voie </w:t>
      </w:r>
      <w:r w:rsidRPr="009F43DE">
        <w:rPr>
          <w:lang w:val="fr-CH"/>
        </w:rPr>
        <w:t>de l</w:t>
      </w:r>
      <w:r w:rsidR="00F8384A" w:rsidRPr="009F43DE">
        <w:rPr>
          <w:lang w:val="fr-CH"/>
        </w:rPr>
        <w:t>’</w:t>
      </w:r>
      <w:r w:rsidRPr="009F43DE">
        <w:rPr>
          <w:lang w:val="fr-CH"/>
        </w:rPr>
        <w:t xml:space="preserve">égalité des sexes </w:t>
      </w:r>
      <w:r w:rsidR="00192E31" w:rsidRPr="009F43DE">
        <w:rPr>
          <w:lang w:val="fr-CH"/>
        </w:rPr>
        <w:t>dans tous les secteurs de</w:t>
      </w:r>
      <w:r w:rsidRPr="009F43DE">
        <w:rPr>
          <w:lang w:val="fr-CH"/>
        </w:rPr>
        <w:t xml:space="preserve"> l</w:t>
      </w:r>
      <w:r w:rsidR="00F8384A" w:rsidRPr="009F43DE">
        <w:rPr>
          <w:lang w:val="fr-CH"/>
        </w:rPr>
        <w:t>’</w:t>
      </w:r>
      <w:r w:rsidRPr="009F43DE">
        <w:rPr>
          <w:lang w:val="fr-CH"/>
        </w:rPr>
        <w:t xml:space="preserve">éducation. Le </w:t>
      </w:r>
      <w:r w:rsidR="00192E31" w:rsidRPr="009F43DE">
        <w:rPr>
          <w:lang w:val="fr-CH"/>
        </w:rPr>
        <w:t>rapport entre le taux</w:t>
      </w:r>
      <w:r w:rsidRPr="009F43DE">
        <w:rPr>
          <w:lang w:val="fr-CH"/>
        </w:rPr>
        <w:t xml:space="preserve"> de scolarisation des filles </w:t>
      </w:r>
      <w:r w:rsidR="00192E31" w:rsidRPr="009F43DE">
        <w:rPr>
          <w:lang w:val="fr-CH"/>
        </w:rPr>
        <w:t>et celui</w:t>
      </w:r>
      <w:r w:rsidRPr="009F43DE">
        <w:rPr>
          <w:lang w:val="fr-CH"/>
        </w:rPr>
        <w:t xml:space="preserve"> des garçons a augmenté à tous les niveaux et a atteint l</w:t>
      </w:r>
      <w:r w:rsidR="00F8384A" w:rsidRPr="009F43DE">
        <w:rPr>
          <w:lang w:val="fr-CH"/>
        </w:rPr>
        <w:t>’</w:t>
      </w:r>
      <w:r w:rsidRPr="009F43DE">
        <w:rPr>
          <w:lang w:val="fr-CH"/>
        </w:rPr>
        <w:t>objectif de 100</w:t>
      </w:r>
      <w:r w:rsidR="00192E31" w:rsidRPr="009F43DE">
        <w:rPr>
          <w:lang w:val="fr-CH"/>
        </w:rPr>
        <w:t> </w:t>
      </w:r>
      <w:r w:rsidRPr="009F43DE">
        <w:rPr>
          <w:lang w:val="fr-CH"/>
        </w:rPr>
        <w:t>% dans les é</w:t>
      </w:r>
      <w:r w:rsidR="00192E31" w:rsidRPr="009F43DE">
        <w:rPr>
          <w:lang w:val="fr-CH"/>
        </w:rPr>
        <w:t>tablissements d</w:t>
      </w:r>
      <w:r w:rsidR="00F8384A" w:rsidRPr="009F43DE">
        <w:rPr>
          <w:lang w:val="fr-CH"/>
        </w:rPr>
        <w:t>’</w:t>
      </w:r>
      <w:r w:rsidR="00192E31" w:rsidRPr="009F43DE">
        <w:rPr>
          <w:lang w:val="fr-CH"/>
        </w:rPr>
        <w:t>enseignement secondaire</w:t>
      </w:r>
      <w:r w:rsidRPr="009F43DE">
        <w:rPr>
          <w:lang w:val="fr-CH"/>
        </w:rPr>
        <w:t>. Le Gouvernement sri</w:t>
      </w:r>
      <w:r w:rsidR="00192E31" w:rsidRPr="009F43DE">
        <w:rPr>
          <w:lang w:val="fr-CH"/>
        </w:rPr>
        <w:t>-</w:t>
      </w:r>
      <w:r w:rsidRPr="009F43DE">
        <w:rPr>
          <w:lang w:val="fr-CH"/>
        </w:rPr>
        <w:t xml:space="preserve">lankais a pris </w:t>
      </w:r>
      <w:r w:rsidR="00192E31" w:rsidRPr="009F43DE">
        <w:rPr>
          <w:lang w:val="fr-CH"/>
        </w:rPr>
        <w:t>les mesures suivantes pour assure</w:t>
      </w:r>
      <w:r w:rsidR="00AF6FC3">
        <w:rPr>
          <w:lang w:val="fr-CH"/>
        </w:rPr>
        <w:t>r</w:t>
      </w:r>
      <w:r w:rsidR="00192E31" w:rsidRPr="009F43DE">
        <w:rPr>
          <w:lang w:val="fr-CH"/>
        </w:rPr>
        <w:t xml:space="preserve"> de façon proactive l</w:t>
      </w:r>
      <w:r w:rsidR="00F8384A" w:rsidRPr="009F43DE">
        <w:rPr>
          <w:lang w:val="fr-CH"/>
        </w:rPr>
        <w:t>’</w:t>
      </w:r>
      <w:r w:rsidR="00192E31" w:rsidRPr="009F43DE">
        <w:rPr>
          <w:lang w:val="fr-CH"/>
        </w:rPr>
        <w:t>accès de tous les enfants à une</w:t>
      </w:r>
      <w:r w:rsidRPr="009F43DE">
        <w:rPr>
          <w:lang w:val="fr-CH"/>
        </w:rPr>
        <w:t xml:space="preserve"> éducation de qualité.</w:t>
      </w:r>
    </w:p>
    <w:p w:rsidR="00C77E1E" w:rsidRPr="009F43DE" w:rsidRDefault="00C77E1E" w:rsidP="00C77E1E">
      <w:pPr>
        <w:pStyle w:val="Bullet1G"/>
        <w:numPr>
          <w:ilvl w:val="0"/>
          <w:numId w:val="0"/>
        </w:numPr>
        <w:tabs>
          <w:tab w:val="left" w:pos="1701"/>
        </w:tabs>
        <w:ind w:left="1701" w:hanging="170"/>
        <w:rPr>
          <w:lang w:val="fr-CH"/>
        </w:rPr>
      </w:pPr>
      <w:r w:rsidRPr="009F43DE">
        <w:rPr>
          <w:lang w:val="fr-CH"/>
        </w:rPr>
        <w:t>•</w:t>
      </w:r>
      <w:r w:rsidRPr="009F43DE">
        <w:rPr>
          <w:lang w:val="fr-CH"/>
        </w:rPr>
        <w:tab/>
      </w:r>
      <w:r w:rsidR="002F1D49" w:rsidRPr="009F43DE">
        <w:rPr>
          <w:lang w:val="fr-CH"/>
        </w:rPr>
        <w:t>La c</w:t>
      </w:r>
      <w:r w:rsidR="00192E31" w:rsidRPr="009F43DE">
        <w:rPr>
          <w:lang w:val="fr-CH"/>
        </w:rPr>
        <w:t xml:space="preserve">réation </w:t>
      </w:r>
      <w:r w:rsidRPr="009F43DE">
        <w:rPr>
          <w:lang w:val="fr-CH"/>
        </w:rPr>
        <w:t>de 1</w:t>
      </w:r>
      <w:r w:rsidR="00192E31" w:rsidRPr="009F43DE">
        <w:rPr>
          <w:lang w:val="fr-CH"/>
        </w:rPr>
        <w:t> </w:t>
      </w:r>
      <w:r w:rsidRPr="009F43DE">
        <w:rPr>
          <w:lang w:val="fr-CH"/>
        </w:rPr>
        <w:t>000 établissement</w:t>
      </w:r>
      <w:r w:rsidR="00192E31" w:rsidRPr="009F43DE">
        <w:rPr>
          <w:lang w:val="fr-CH"/>
        </w:rPr>
        <w:t>s</w:t>
      </w:r>
      <w:r w:rsidRPr="009F43DE">
        <w:rPr>
          <w:lang w:val="fr-CH"/>
        </w:rPr>
        <w:t xml:space="preserve"> </w:t>
      </w:r>
      <w:r w:rsidR="00192E31" w:rsidRPr="009F43DE">
        <w:rPr>
          <w:lang w:val="fr-CH"/>
        </w:rPr>
        <w:t>d</w:t>
      </w:r>
      <w:r w:rsidR="00F8384A" w:rsidRPr="009F43DE">
        <w:rPr>
          <w:lang w:val="fr-CH"/>
        </w:rPr>
        <w:t>’</w:t>
      </w:r>
      <w:r w:rsidR="00192E31" w:rsidRPr="009F43DE">
        <w:rPr>
          <w:lang w:val="fr-CH"/>
        </w:rPr>
        <w:t xml:space="preserve">enseignement </w:t>
      </w:r>
      <w:r w:rsidRPr="009F43DE">
        <w:rPr>
          <w:lang w:val="fr-CH"/>
        </w:rPr>
        <w:t xml:space="preserve">secondaire (au moins un par secrétariat </w:t>
      </w:r>
      <w:r w:rsidR="00192E31" w:rsidRPr="009F43DE">
        <w:rPr>
          <w:lang w:val="fr-CH"/>
        </w:rPr>
        <w:t>divisionnaire</w:t>
      </w:r>
      <w:r w:rsidRPr="009F43DE">
        <w:rPr>
          <w:lang w:val="fr-CH"/>
        </w:rPr>
        <w:t xml:space="preserve">) </w:t>
      </w:r>
      <w:r w:rsidR="002F1D49" w:rsidRPr="009F43DE">
        <w:rPr>
          <w:lang w:val="fr-CH"/>
        </w:rPr>
        <w:t>dotés</w:t>
      </w:r>
      <w:r w:rsidR="00192E31" w:rsidRPr="009F43DE">
        <w:rPr>
          <w:lang w:val="fr-CH"/>
        </w:rPr>
        <w:t xml:space="preserve"> de</w:t>
      </w:r>
      <w:r w:rsidRPr="009F43DE">
        <w:rPr>
          <w:lang w:val="fr-CH"/>
        </w:rPr>
        <w:t xml:space="preserve"> laboratoires technologiques </w:t>
      </w:r>
      <w:r w:rsidR="00192E31" w:rsidRPr="009F43DE">
        <w:rPr>
          <w:lang w:val="fr-CH"/>
        </w:rPr>
        <w:t xml:space="preserve">et des </w:t>
      </w:r>
      <w:r w:rsidR="002F1D49" w:rsidRPr="009F43DE">
        <w:rPr>
          <w:lang w:val="fr-CH"/>
        </w:rPr>
        <w:t>équipements m</w:t>
      </w:r>
      <w:r w:rsidRPr="009F43DE">
        <w:rPr>
          <w:lang w:val="fr-CH"/>
        </w:rPr>
        <w:t>atériels</w:t>
      </w:r>
      <w:r w:rsidR="002F1D49" w:rsidRPr="009F43DE">
        <w:rPr>
          <w:lang w:val="fr-CH"/>
        </w:rPr>
        <w:t xml:space="preserve"> et immatériels requis dans le domaine des </w:t>
      </w:r>
      <w:r w:rsidRPr="009F43DE">
        <w:rPr>
          <w:lang w:val="fr-CH"/>
        </w:rPr>
        <w:t>technologie</w:t>
      </w:r>
      <w:r w:rsidR="002F1D49" w:rsidRPr="009F43DE">
        <w:rPr>
          <w:lang w:val="fr-CH"/>
        </w:rPr>
        <w:t>s</w:t>
      </w:r>
      <w:r w:rsidRPr="009F43DE">
        <w:rPr>
          <w:lang w:val="fr-CH"/>
        </w:rPr>
        <w:t xml:space="preserve"> de l</w:t>
      </w:r>
      <w:r w:rsidR="00F8384A" w:rsidRPr="009F43DE">
        <w:rPr>
          <w:lang w:val="fr-CH"/>
        </w:rPr>
        <w:t>’</w:t>
      </w:r>
      <w:r w:rsidRPr="009F43DE">
        <w:rPr>
          <w:lang w:val="fr-CH"/>
        </w:rPr>
        <w:t>information et de</w:t>
      </w:r>
      <w:r w:rsidR="002F1D49" w:rsidRPr="009F43DE">
        <w:rPr>
          <w:lang w:val="fr-CH"/>
        </w:rPr>
        <w:t>s</w:t>
      </w:r>
      <w:r w:rsidRPr="009F43DE">
        <w:rPr>
          <w:lang w:val="fr-CH"/>
        </w:rPr>
        <w:t xml:space="preserve"> communication</w:t>
      </w:r>
      <w:r w:rsidR="00C650E8">
        <w:rPr>
          <w:lang w:val="fr-CH"/>
        </w:rPr>
        <w:t>s</w:t>
      </w:r>
      <w:r w:rsidRPr="009F43DE">
        <w:rPr>
          <w:lang w:val="fr-CH"/>
        </w:rPr>
        <w:t xml:space="preserve"> (TIC). Cette </w:t>
      </w:r>
      <w:r w:rsidR="002F1D49" w:rsidRPr="009F43DE">
        <w:rPr>
          <w:lang w:val="fr-CH"/>
        </w:rPr>
        <w:t>mesure</w:t>
      </w:r>
      <w:r w:rsidRPr="009F43DE">
        <w:rPr>
          <w:lang w:val="fr-CH"/>
        </w:rPr>
        <w:t xml:space="preserve"> vise à réduire les inégalités de répartition des ressources, </w:t>
      </w:r>
      <w:r w:rsidR="00192E31" w:rsidRPr="009F43DE">
        <w:rPr>
          <w:lang w:val="fr-CH"/>
        </w:rPr>
        <w:t xml:space="preserve">à </w:t>
      </w:r>
      <w:r w:rsidR="002F1D49" w:rsidRPr="009F43DE">
        <w:rPr>
          <w:lang w:val="fr-CH"/>
        </w:rPr>
        <w:t>combler</w:t>
      </w:r>
      <w:r w:rsidRPr="009F43DE">
        <w:rPr>
          <w:lang w:val="fr-CH"/>
        </w:rPr>
        <w:t xml:space="preserve"> la fracture numérique et, </w:t>
      </w:r>
      <w:r w:rsidR="002F1D49" w:rsidRPr="009F43DE">
        <w:rPr>
          <w:lang w:val="fr-CH"/>
        </w:rPr>
        <w:t xml:space="preserve">en fin de compte, </w:t>
      </w:r>
      <w:r w:rsidR="00192E31" w:rsidRPr="009F43DE">
        <w:rPr>
          <w:lang w:val="fr-CH"/>
        </w:rPr>
        <w:t xml:space="preserve">à atténuer </w:t>
      </w:r>
      <w:r w:rsidR="002F1D49" w:rsidRPr="009F43DE">
        <w:rPr>
          <w:lang w:val="fr-CH"/>
        </w:rPr>
        <w:t xml:space="preserve">le plus possible </w:t>
      </w:r>
      <w:r w:rsidR="00192E31" w:rsidRPr="009F43DE">
        <w:rPr>
          <w:lang w:val="fr-CH"/>
        </w:rPr>
        <w:t>l</w:t>
      </w:r>
      <w:r w:rsidRPr="009F43DE">
        <w:rPr>
          <w:lang w:val="fr-CH"/>
        </w:rPr>
        <w:t>es disparités régionales</w:t>
      </w:r>
      <w:r w:rsidR="00C650E8">
        <w:rPr>
          <w:lang w:val="fr-CH"/>
        </w:rPr>
        <w:t>;</w:t>
      </w:r>
    </w:p>
    <w:p w:rsidR="00C77E1E" w:rsidRPr="009F43DE" w:rsidRDefault="00C77E1E" w:rsidP="00C77E1E">
      <w:pPr>
        <w:pStyle w:val="Bullet1G"/>
        <w:numPr>
          <w:ilvl w:val="0"/>
          <w:numId w:val="0"/>
        </w:numPr>
        <w:tabs>
          <w:tab w:val="left" w:pos="1701"/>
        </w:tabs>
        <w:ind w:left="1701" w:hanging="170"/>
        <w:rPr>
          <w:lang w:val="fr-CH"/>
        </w:rPr>
      </w:pPr>
      <w:r w:rsidRPr="009F43DE">
        <w:rPr>
          <w:lang w:val="fr-CH"/>
        </w:rPr>
        <w:t>•</w:t>
      </w:r>
      <w:r w:rsidRPr="009F43DE">
        <w:rPr>
          <w:lang w:val="fr-CH"/>
        </w:rPr>
        <w:tab/>
      </w:r>
      <w:r w:rsidR="002F1D49" w:rsidRPr="009F43DE">
        <w:rPr>
          <w:lang w:val="fr-CH"/>
        </w:rPr>
        <w:t>L</w:t>
      </w:r>
      <w:r w:rsidR="00F8384A" w:rsidRPr="009F43DE">
        <w:rPr>
          <w:lang w:val="fr-CH"/>
        </w:rPr>
        <w:t>’</w:t>
      </w:r>
      <w:r w:rsidR="002F1D49" w:rsidRPr="009F43DE">
        <w:rPr>
          <w:lang w:val="fr-CH"/>
        </w:rPr>
        <w:t>i</w:t>
      </w:r>
      <w:r w:rsidRPr="009F43DE">
        <w:rPr>
          <w:lang w:val="fr-CH"/>
        </w:rPr>
        <w:t>nstitutionnalisation du concept d</w:t>
      </w:r>
      <w:r w:rsidR="00F8384A" w:rsidRPr="009F43DE">
        <w:rPr>
          <w:lang w:val="fr-CH"/>
        </w:rPr>
        <w:t>’</w:t>
      </w:r>
      <w:r w:rsidRPr="009F43DE">
        <w:rPr>
          <w:lang w:val="fr-CH"/>
        </w:rPr>
        <w:t>écoles amies des enfants en vue d</w:t>
      </w:r>
      <w:r w:rsidR="00F8384A" w:rsidRPr="009F43DE">
        <w:rPr>
          <w:lang w:val="fr-CH"/>
        </w:rPr>
        <w:t>’</w:t>
      </w:r>
      <w:r w:rsidRPr="009F43DE">
        <w:rPr>
          <w:lang w:val="fr-CH"/>
        </w:rPr>
        <w:t>améliorer la qualité de l</w:t>
      </w:r>
      <w:r w:rsidR="00F8384A" w:rsidRPr="009F43DE">
        <w:rPr>
          <w:lang w:val="fr-CH"/>
        </w:rPr>
        <w:t>’</w:t>
      </w:r>
      <w:r w:rsidRPr="009F43DE">
        <w:rPr>
          <w:lang w:val="fr-CH"/>
        </w:rPr>
        <w:t>enseignement primaire</w:t>
      </w:r>
      <w:r w:rsidR="00C650E8">
        <w:rPr>
          <w:lang w:val="fr-CH"/>
        </w:rPr>
        <w:t>;</w:t>
      </w:r>
    </w:p>
    <w:p w:rsidR="00C77E1E" w:rsidRPr="009F43DE" w:rsidRDefault="00C77E1E" w:rsidP="00C77E1E">
      <w:pPr>
        <w:pStyle w:val="Bullet1G"/>
        <w:numPr>
          <w:ilvl w:val="0"/>
          <w:numId w:val="0"/>
        </w:numPr>
        <w:tabs>
          <w:tab w:val="left" w:pos="1701"/>
        </w:tabs>
        <w:ind w:left="1701" w:hanging="170"/>
        <w:rPr>
          <w:lang w:val="fr-CH"/>
        </w:rPr>
      </w:pPr>
      <w:r w:rsidRPr="009F43DE">
        <w:rPr>
          <w:lang w:val="fr-CH"/>
        </w:rPr>
        <w:t>•</w:t>
      </w:r>
      <w:r w:rsidRPr="009F43DE">
        <w:rPr>
          <w:lang w:val="fr-CH"/>
        </w:rPr>
        <w:tab/>
      </w:r>
      <w:r w:rsidR="002F1D49" w:rsidRPr="009F43DE">
        <w:rPr>
          <w:lang w:val="fr-CH"/>
        </w:rPr>
        <w:t>La c</w:t>
      </w:r>
      <w:r w:rsidRPr="009F43DE">
        <w:rPr>
          <w:lang w:val="fr-CH"/>
        </w:rPr>
        <w:t>onstruction d</w:t>
      </w:r>
      <w:r w:rsidR="00F8384A" w:rsidRPr="009F43DE">
        <w:rPr>
          <w:lang w:val="fr-CH"/>
        </w:rPr>
        <w:t>’</w:t>
      </w:r>
      <w:r w:rsidRPr="009F43DE">
        <w:rPr>
          <w:lang w:val="fr-CH"/>
        </w:rPr>
        <w:t xml:space="preserve">écoles dans les </w:t>
      </w:r>
      <w:r w:rsidR="002F1D49" w:rsidRPr="009F43DE">
        <w:rPr>
          <w:lang w:val="fr-CH"/>
        </w:rPr>
        <w:t>régions qui ont été</w:t>
      </w:r>
      <w:r w:rsidRPr="009F43DE">
        <w:rPr>
          <w:lang w:val="fr-CH"/>
        </w:rPr>
        <w:t xml:space="preserve"> touchées par le conflit</w:t>
      </w:r>
      <w:r w:rsidR="002F1D49" w:rsidRPr="009F43DE">
        <w:rPr>
          <w:lang w:val="fr-CH"/>
        </w:rPr>
        <w:t>. Cette mesure fait</w:t>
      </w:r>
      <w:r w:rsidRPr="009F43DE">
        <w:rPr>
          <w:lang w:val="fr-CH"/>
        </w:rPr>
        <w:t xml:space="preserve"> partie intégrante de l</w:t>
      </w:r>
      <w:r w:rsidR="00F8384A" w:rsidRPr="009F43DE">
        <w:rPr>
          <w:lang w:val="fr-CH"/>
        </w:rPr>
        <w:t>’</w:t>
      </w:r>
      <w:r w:rsidRPr="009F43DE">
        <w:rPr>
          <w:lang w:val="fr-CH"/>
        </w:rPr>
        <w:t xml:space="preserve">effort </w:t>
      </w:r>
      <w:r w:rsidR="002F1D49" w:rsidRPr="009F43DE">
        <w:rPr>
          <w:lang w:val="fr-CH"/>
        </w:rPr>
        <w:t>mené par l</w:t>
      </w:r>
      <w:r w:rsidR="00F8384A" w:rsidRPr="009F43DE">
        <w:rPr>
          <w:lang w:val="fr-CH"/>
        </w:rPr>
        <w:t>’</w:t>
      </w:r>
      <w:r w:rsidRPr="009F43DE">
        <w:rPr>
          <w:lang w:val="fr-CH"/>
        </w:rPr>
        <w:t>État</w:t>
      </w:r>
      <w:r w:rsidR="002F1D49" w:rsidRPr="009F43DE">
        <w:rPr>
          <w:lang w:val="fr-CH"/>
        </w:rPr>
        <w:t xml:space="preserve"> partie</w:t>
      </w:r>
      <w:r w:rsidRPr="009F43DE">
        <w:rPr>
          <w:lang w:val="fr-CH"/>
        </w:rPr>
        <w:t xml:space="preserve"> pour accélérer le processus de rétablissement des droits </w:t>
      </w:r>
      <w:r w:rsidR="002F1D49" w:rsidRPr="009F43DE">
        <w:rPr>
          <w:lang w:val="fr-CH"/>
        </w:rPr>
        <w:t>d</w:t>
      </w:r>
      <w:r w:rsidRPr="009F43DE">
        <w:rPr>
          <w:lang w:val="fr-CH"/>
        </w:rPr>
        <w:t>es enfants</w:t>
      </w:r>
      <w:r w:rsidR="00C650E8">
        <w:rPr>
          <w:lang w:val="fr-CH"/>
        </w:rPr>
        <w:t>;</w:t>
      </w:r>
    </w:p>
    <w:p w:rsidR="00C77E1E" w:rsidRPr="009F43DE" w:rsidRDefault="00C77E1E" w:rsidP="00C77E1E">
      <w:pPr>
        <w:pStyle w:val="Bullet1G"/>
        <w:numPr>
          <w:ilvl w:val="0"/>
          <w:numId w:val="0"/>
        </w:numPr>
        <w:tabs>
          <w:tab w:val="left" w:pos="1701"/>
        </w:tabs>
        <w:ind w:left="1701" w:hanging="170"/>
        <w:rPr>
          <w:lang w:val="fr-CH"/>
        </w:rPr>
      </w:pPr>
      <w:r w:rsidRPr="009F43DE">
        <w:rPr>
          <w:lang w:val="fr-CH"/>
        </w:rPr>
        <w:t>•</w:t>
      </w:r>
      <w:r w:rsidRPr="009F43DE">
        <w:rPr>
          <w:lang w:val="fr-CH"/>
        </w:rPr>
        <w:tab/>
        <w:t xml:space="preserve">En outre, dans le cadre du programme Gama Neguma (Programme </w:t>
      </w:r>
      <w:r w:rsidR="002F1D49" w:rsidRPr="009F43DE">
        <w:rPr>
          <w:lang w:val="fr-CH"/>
        </w:rPr>
        <w:t>de rénovation des villages</w:t>
      </w:r>
      <w:r w:rsidRPr="009F43DE">
        <w:rPr>
          <w:lang w:val="fr-CH"/>
        </w:rPr>
        <w:t xml:space="preserve">), des </w:t>
      </w:r>
      <w:r w:rsidR="002F1D49" w:rsidRPr="009F43DE">
        <w:rPr>
          <w:lang w:val="fr-CH"/>
        </w:rPr>
        <w:t xml:space="preserve">équipements </w:t>
      </w:r>
      <w:r w:rsidRPr="009F43DE">
        <w:rPr>
          <w:lang w:val="fr-CH"/>
        </w:rPr>
        <w:t>sanitaires ont été installés dans le</w:t>
      </w:r>
      <w:r w:rsidR="002F1D49" w:rsidRPr="009F43DE">
        <w:rPr>
          <w:lang w:val="fr-CH"/>
        </w:rPr>
        <w:t>s écoles afin</w:t>
      </w:r>
      <w:r w:rsidRPr="009F43DE">
        <w:rPr>
          <w:lang w:val="fr-CH"/>
        </w:rPr>
        <w:t xml:space="preserve"> de </w:t>
      </w:r>
      <w:r w:rsidR="002F1D49" w:rsidRPr="009F43DE">
        <w:rPr>
          <w:lang w:val="fr-CH"/>
        </w:rPr>
        <w:t>permettre aux</w:t>
      </w:r>
      <w:r w:rsidRPr="009F43DE">
        <w:rPr>
          <w:lang w:val="fr-CH"/>
        </w:rPr>
        <w:t xml:space="preserve"> enfants de jouir de leur droit à l</w:t>
      </w:r>
      <w:r w:rsidR="00F8384A" w:rsidRPr="009F43DE">
        <w:rPr>
          <w:lang w:val="fr-CH"/>
        </w:rPr>
        <w:t>’</w:t>
      </w:r>
      <w:r w:rsidRPr="009F43DE">
        <w:rPr>
          <w:lang w:val="fr-CH"/>
        </w:rPr>
        <w:t xml:space="preserve">éducation, sans aucune entrave. Sri Lanka </w:t>
      </w:r>
      <w:r w:rsidR="002F1D49" w:rsidRPr="009F43DE">
        <w:rPr>
          <w:lang w:val="fr-CH"/>
        </w:rPr>
        <w:t>s</w:t>
      </w:r>
      <w:r w:rsidR="00F8384A" w:rsidRPr="009F43DE">
        <w:rPr>
          <w:lang w:val="fr-CH"/>
        </w:rPr>
        <w:t>’</w:t>
      </w:r>
      <w:r w:rsidR="002F1D49" w:rsidRPr="009F43DE">
        <w:rPr>
          <w:lang w:val="fr-CH"/>
        </w:rPr>
        <w:t>est activement employée à assurer la conformité avec les</w:t>
      </w:r>
      <w:r w:rsidRPr="009F43DE">
        <w:rPr>
          <w:lang w:val="fr-CH"/>
        </w:rPr>
        <w:t xml:space="preserve"> normes internationales </w:t>
      </w:r>
      <w:r w:rsidR="002F1D49" w:rsidRPr="009F43DE">
        <w:rPr>
          <w:lang w:val="fr-CH"/>
        </w:rPr>
        <w:t>de tous les</w:t>
      </w:r>
      <w:r w:rsidRPr="009F43DE">
        <w:rPr>
          <w:lang w:val="fr-CH"/>
        </w:rPr>
        <w:t xml:space="preserve"> services fournis, en particulier dans les é</w:t>
      </w:r>
      <w:r w:rsidR="002F1D49" w:rsidRPr="009F43DE">
        <w:rPr>
          <w:lang w:val="fr-CH"/>
        </w:rPr>
        <w:t>tablissements</w:t>
      </w:r>
      <w:r w:rsidRPr="009F43DE">
        <w:rPr>
          <w:lang w:val="fr-CH"/>
        </w:rPr>
        <w:t xml:space="preserve"> mixtes. Des terrains de jeux et du matériel éducatif </w:t>
      </w:r>
      <w:r w:rsidR="008A17FA" w:rsidRPr="009F43DE">
        <w:rPr>
          <w:lang w:val="fr-CH"/>
        </w:rPr>
        <w:t>ont été mis à la disposition des</w:t>
      </w:r>
      <w:r w:rsidRPr="009F43DE">
        <w:rPr>
          <w:lang w:val="fr-CH"/>
        </w:rPr>
        <w:t xml:space="preserve"> écoles maternelles</w:t>
      </w:r>
      <w:r w:rsidR="008A17FA" w:rsidRPr="009F43DE">
        <w:rPr>
          <w:lang w:val="fr-CH"/>
        </w:rPr>
        <w:t xml:space="preserve"> afin de donner aux</w:t>
      </w:r>
      <w:r w:rsidRPr="009F43DE">
        <w:rPr>
          <w:lang w:val="fr-CH"/>
        </w:rPr>
        <w:t xml:space="preserve"> enfants </w:t>
      </w:r>
      <w:r w:rsidR="008A17FA" w:rsidRPr="009F43DE">
        <w:rPr>
          <w:lang w:val="fr-CH"/>
        </w:rPr>
        <w:t>toutes les possibilités de s</w:t>
      </w:r>
      <w:r w:rsidR="00F8384A" w:rsidRPr="009F43DE">
        <w:rPr>
          <w:lang w:val="fr-CH"/>
        </w:rPr>
        <w:t>’</w:t>
      </w:r>
      <w:r w:rsidR="008A17FA" w:rsidRPr="009F43DE">
        <w:rPr>
          <w:lang w:val="fr-CH"/>
        </w:rPr>
        <w:t xml:space="preserve">épanouir et de </w:t>
      </w:r>
      <w:r w:rsidRPr="009F43DE">
        <w:rPr>
          <w:lang w:val="fr-CH"/>
        </w:rPr>
        <w:t>jouir de leur droit à l</w:t>
      </w:r>
      <w:r w:rsidR="00F8384A" w:rsidRPr="009F43DE">
        <w:rPr>
          <w:lang w:val="fr-CH"/>
        </w:rPr>
        <w:t>’</w:t>
      </w:r>
      <w:r w:rsidRPr="009F43DE">
        <w:rPr>
          <w:lang w:val="fr-CH"/>
        </w:rPr>
        <w:t>éducation, en particulier dans les zones rurales du pays. Ces mesures ont donné des résultats positifs</w:t>
      </w:r>
      <w:r w:rsidR="008A17FA" w:rsidRPr="009F43DE">
        <w:rPr>
          <w:lang w:val="fr-CH"/>
        </w:rPr>
        <w:t>, comme en témoigne</w:t>
      </w:r>
      <w:r w:rsidRPr="009F43DE">
        <w:rPr>
          <w:lang w:val="fr-CH"/>
        </w:rPr>
        <w:t xml:space="preserve"> l</w:t>
      </w:r>
      <w:r w:rsidR="00F8384A" w:rsidRPr="009F43DE">
        <w:rPr>
          <w:lang w:val="fr-CH"/>
        </w:rPr>
        <w:t>’</w:t>
      </w:r>
      <w:r w:rsidRPr="009F43DE">
        <w:rPr>
          <w:lang w:val="fr-CH"/>
        </w:rPr>
        <w:t xml:space="preserve">augmentation des admissions dans les écoles maternelles. Dans le cadre du programme Gama Neguma </w:t>
      </w:r>
      <w:r w:rsidR="008A17FA" w:rsidRPr="009F43DE">
        <w:rPr>
          <w:lang w:val="fr-CH"/>
        </w:rPr>
        <w:t>susmentionné</w:t>
      </w:r>
      <w:r w:rsidRPr="009F43DE">
        <w:rPr>
          <w:lang w:val="fr-CH"/>
        </w:rPr>
        <w:t xml:space="preserve">, 5 123 projets </w:t>
      </w:r>
      <w:r w:rsidR="008A17FA" w:rsidRPr="009F43DE">
        <w:rPr>
          <w:lang w:val="fr-CH"/>
        </w:rPr>
        <w:t>d</w:t>
      </w:r>
      <w:r w:rsidR="00F8384A" w:rsidRPr="009F43DE">
        <w:rPr>
          <w:lang w:val="fr-CH"/>
        </w:rPr>
        <w:t>’</w:t>
      </w:r>
      <w:r w:rsidR="008A17FA" w:rsidRPr="009F43DE">
        <w:rPr>
          <w:lang w:val="fr-CH"/>
        </w:rPr>
        <w:t xml:space="preserve">aménagement des écoles </w:t>
      </w:r>
      <w:r w:rsidRPr="009F43DE">
        <w:rPr>
          <w:lang w:val="fr-CH"/>
        </w:rPr>
        <w:t xml:space="preserve">ont été réalisés. </w:t>
      </w:r>
    </w:p>
    <w:p w:rsidR="00B77824" w:rsidRPr="009F43DE" w:rsidRDefault="00C77E1E" w:rsidP="00C77E1E">
      <w:pPr>
        <w:pStyle w:val="SingleTxtG"/>
        <w:rPr>
          <w:lang w:val="fr-CH"/>
        </w:rPr>
      </w:pPr>
      <w:r w:rsidRPr="009F43DE">
        <w:rPr>
          <w:lang w:val="fr-CH"/>
        </w:rPr>
        <w:t>161.</w:t>
      </w:r>
      <w:r w:rsidRPr="009F43DE">
        <w:rPr>
          <w:lang w:val="fr-CH"/>
        </w:rPr>
        <w:tab/>
        <w:t>L</w:t>
      </w:r>
      <w:r w:rsidR="00F8384A" w:rsidRPr="009F43DE">
        <w:rPr>
          <w:lang w:val="fr-CH"/>
        </w:rPr>
        <w:t>’</w:t>
      </w:r>
      <w:r w:rsidRPr="009F43DE">
        <w:rPr>
          <w:lang w:val="fr-CH"/>
        </w:rPr>
        <w:t>éducation aux droits de l</w:t>
      </w:r>
      <w:r w:rsidR="00F8384A" w:rsidRPr="009F43DE">
        <w:rPr>
          <w:lang w:val="fr-CH"/>
        </w:rPr>
        <w:t>’</w:t>
      </w:r>
      <w:r w:rsidRPr="009F43DE">
        <w:rPr>
          <w:lang w:val="fr-CH"/>
        </w:rPr>
        <w:t xml:space="preserve">homme et à la paix </w:t>
      </w:r>
      <w:r w:rsidR="008A17FA" w:rsidRPr="009F43DE">
        <w:rPr>
          <w:lang w:val="fr-CH"/>
        </w:rPr>
        <w:t>est désormais dispensée</w:t>
      </w:r>
      <w:r w:rsidRPr="009F43DE">
        <w:rPr>
          <w:lang w:val="fr-CH"/>
        </w:rPr>
        <w:t xml:space="preserve"> dans le</w:t>
      </w:r>
      <w:r w:rsidR="008A17FA" w:rsidRPr="009F43DE">
        <w:rPr>
          <w:lang w:val="fr-CH"/>
        </w:rPr>
        <w:t xml:space="preserve"> </w:t>
      </w:r>
      <w:r w:rsidRPr="009F43DE">
        <w:rPr>
          <w:lang w:val="fr-CH"/>
        </w:rPr>
        <w:t xml:space="preserve">programme scolaire </w:t>
      </w:r>
      <w:r w:rsidR="008A17FA" w:rsidRPr="009F43DE">
        <w:rPr>
          <w:lang w:val="fr-CH"/>
        </w:rPr>
        <w:t>au titre</w:t>
      </w:r>
      <w:r w:rsidRPr="009F43DE">
        <w:rPr>
          <w:lang w:val="fr-CH"/>
        </w:rPr>
        <w:t xml:space="preserve"> de l</w:t>
      </w:r>
      <w:r w:rsidR="00F8384A" w:rsidRPr="009F43DE">
        <w:rPr>
          <w:lang w:val="fr-CH"/>
        </w:rPr>
        <w:t>’</w:t>
      </w:r>
      <w:r w:rsidRPr="009F43DE">
        <w:rPr>
          <w:lang w:val="fr-CH"/>
        </w:rPr>
        <w:t>éducation civique et de l</w:t>
      </w:r>
      <w:r w:rsidR="00F8384A" w:rsidRPr="009F43DE">
        <w:rPr>
          <w:lang w:val="fr-CH"/>
        </w:rPr>
        <w:t>’</w:t>
      </w:r>
      <w:r w:rsidRPr="009F43DE">
        <w:rPr>
          <w:lang w:val="fr-CH"/>
        </w:rPr>
        <w:t>éducation à la citoyenneté. La Commission des droits de l</w:t>
      </w:r>
      <w:r w:rsidR="00F8384A" w:rsidRPr="009F43DE">
        <w:rPr>
          <w:lang w:val="fr-CH"/>
        </w:rPr>
        <w:t>’</w:t>
      </w:r>
      <w:r w:rsidRPr="009F43DE">
        <w:rPr>
          <w:lang w:val="fr-CH"/>
        </w:rPr>
        <w:t>homme de Sri Lanka a pris l</w:t>
      </w:r>
      <w:r w:rsidR="00F8384A" w:rsidRPr="009F43DE">
        <w:rPr>
          <w:lang w:val="fr-CH"/>
        </w:rPr>
        <w:t>’</w:t>
      </w:r>
      <w:r w:rsidRPr="009F43DE">
        <w:rPr>
          <w:lang w:val="fr-CH"/>
        </w:rPr>
        <w:t>initiative d</w:t>
      </w:r>
      <w:r w:rsidR="00F8384A" w:rsidRPr="009F43DE">
        <w:rPr>
          <w:lang w:val="fr-CH"/>
        </w:rPr>
        <w:t>’</w:t>
      </w:r>
      <w:r w:rsidRPr="009F43DE">
        <w:rPr>
          <w:lang w:val="fr-CH"/>
        </w:rPr>
        <w:t>étudier l</w:t>
      </w:r>
      <w:r w:rsidR="008A17FA" w:rsidRPr="009F43DE">
        <w:rPr>
          <w:lang w:val="fr-CH"/>
        </w:rPr>
        <w:t>e</w:t>
      </w:r>
      <w:r w:rsidRPr="009F43DE">
        <w:rPr>
          <w:lang w:val="fr-CH"/>
        </w:rPr>
        <w:t xml:space="preserve"> programme</w:t>
      </w:r>
      <w:r w:rsidR="008A17FA" w:rsidRPr="009F43DE">
        <w:rPr>
          <w:lang w:val="fr-CH"/>
        </w:rPr>
        <w:t xml:space="preserve"> actuellement suivi </w:t>
      </w:r>
      <w:r w:rsidRPr="009F43DE">
        <w:rPr>
          <w:lang w:val="fr-CH"/>
        </w:rPr>
        <w:t>afin d</w:t>
      </w:r>
      <w:r w:rsidR="00F8384A" w:rsidRPr="009F43DE">
        <w:rPr>
          <w:lang w:val="fr-CH"/>
        </w:rPr>
        <w:t>’</w:t>
      </w:r>
      <w:r w:rsidRPr="009F43DE">
        <w:rPr>
          <w:lang w:val="fr-CH"/>
        </w:rPr>
        <w:t xml:space="preserve">identifier les domaines </w:t>
      </w:r>
      <w:r w:rsidR="008A17FA" w:rsidRPr="009F43DE">
        <w:rPr>
          <w:lang w:val="fr-CH"/>
        </w:rPr>
        <w:t>où des a</w:t>
      </w:r>
      <w:r w:rsidRPr="009F43DE">
        <w:rPr>
          <w:lang w:val="fr-CH"/>
        </w:rPr>
        <w:t>mélioration</w:t>
      </w:r>
      <w:r w:rsidR="00C650E8">
        <w:rPr>
          <w:lang w:val="fr-CH"/>
        </w:rPr>
        <w:t>s</w:t>
      </w:r>
      <w:r w:rsidRPr="009F43DE">
        <w:rPr>
          <w:lang w:val="fr-CH"/>
        </w:rPr>
        <w:t xml:space="preserve"> </w:t>
      </w:r>
      <w:r w:rsidR="008A17FA" w:rsidRPr="009F43DE">
        <w:rPr>
          <w:lang w:val="fr-CH"/>
        </w:rPr>
        <w:t xml:space="preserve">pourraient être apportées, </w:t>
      </w:r>
      <w:r w:rsidRPr="009F43DE">
        <w:rPr>
          <w:lang w:val="fr-CH"/>
        </w:rPr>
        <w:t xml:space="preserve">en collaboration avec </w:t>
      </w:r>
      <w:r w:rsidR="008A17FA" w:rsidRPr="009F43DE">
        <w:rPr>
          <w:lang w:val="fr-CH"/>
        </w:rPr>
        <w:t>d</w:t>
      </w:r>
      <w:r w:rsidRPr="009F43DE">
        <w:rPr>
          <w:lang w:val="fr-CH"/>
        </w:rPr>
        <w:t>es organisations de la société civile comme l</w:t>
      </w:r>
      <w:r w:rsidR="00F8384A" w:rsidRPr="009F43DE">
        <w:rPr>
          <w:lang w:val="fr-CH"/>
        </w:rPr>
        <w:t>’</w:t>
      </w:r>
      <w:r w:rsidRPr="009F43DE">
        <w:rPr>
          <w:lang w:val="fr-CH"/>
        </w:rPr>
        <w:t>Association pour la promotion de l</w:t>
      </w:r>
      <w:r w:rsidR="00F8384A" w:rsidRPr="009F43DE">
        <w:rPr>
          <w:lang w:val="fr-CH"/>
        </w:rPr>
        <w:t>’</w:t>
      </w:r>
      <w:r w:rsidRPr="009F43DE">
        <w:rPr>
          <w:lang w:val="fr-CH"/>
        </w:rPr>
        <w:t>éducation et l</w:t>
      </w:r>
      <w:r w:rsidR="00F8384A" w:rsidRPr="009F43DE">
        <w:rPr>
          <w:lang w:val="fr-CH"/>
        </w:rPr>
        <w:t>’</w:t>
      </w:r>
      <w:r w:rsidRPr="009F43DE">
        <w:rPr>
          <w:lang w:val="fr-CH"/>
        </w:rPr>
        <w:t>Institut national de l</w:t>
      </w:r>
      <w:r w:rsidR="00F8384A" w:rsidRPr="009F43DE">
        <w:rPr>
          <w:lang w:val="fr-CH"/>
        </w:rPr>
        <w:t>’</w:t>
      </w:r>
      <w:r w:rsidRPr="009F43DE">
        <w:rPr>
          <w:lang w:val="fr-CH"/>
        </w:rPr>
        <w:t>éducation.</w:t>
      </w:r>
    </w:p>
    <w:p w:rsidR="00E5029E" w:rsidRPr="009F43DE" w:rsidRDefault="00C0171E" w:rsidP="007738FD">
      <w:pPr>
        <w:pStyle w:val="HChG"/>
        <w:rPr>
          <w:lang w:val="fr-CH"/>
        </w:rPr>
      </w:pPr>
      <w:r w:rsidRPr="009F43DE">
        <w:rPr>
          <w:lang w:val="fr-CH"/>
        </w:rPr>
        <w:tab/>
      </w:r>
      <w:r w:rsidRPr="009F43DE">
        <w:rPr>
          <w:lang w:val="fr-CH"/>
        </w:rPr>
        <w:tab/>
      </w:r>
      <w:r w:rsidR="00E5029E" w:rsidRPr="009F43DE">
        <w:rPr>
          <w:lang w:val="fr-CH"/>
        </w:rPr>
        <w:t>Partie II –</w:t>
      </w:r>
      <w:r w:rsidR="007738FD" w:rsidRPr="009F43DE">
        <w:rPr>
          <w:lang w:val="fr-CH"/>
        </w:rPr>
        <w:t xml:space="preserve"> </w:t>
      </w:r>
      <w:r w:rsidR="00E5029E" w:rsidRPr="009F43DE">
        <w:rPr>
          <w:lang w:val="fr-CH"/>
        </w:rPr>
        <w:t>Progrès depuis le dernier rapport périodique</w:t>
      </w:r>
    </w:p>
    <w:p w:rsidR="00E5029E" w:rsidRPr="009F43DE" w:rsidRDefault="00E5029E" w:rsidP="00E5029E">
      <w:pPr>
        <w:pStyle w:val="H1G"/>
        <w:rPr>
          <w:lang w:val="fr-CH"/>
        </w:rPr>
      </w:pPr>
      <w:r w:rsidRPr="009F43DE">
        <w:rPr>
          <w:lang w:val="fr-CH"/>
        </w:rPr>
        <w:tab/>
      </w:r>
      <w:r w:rsidRPr="009F43DE">
        <w:rPr>
          <w:lang w:val="fr-CH"/>
        </w:rPr>
        <w:tab/>
        <w:t>Article 1</w:t>
      </w:r>
      <w:r w:rsidR="007738FD" w:rsidRPr="009F43DE">
        <w:rPr>
          <w:lang w:val="fr-CH"/>
        </w:rPr>
        <w:br/>
      </w:r>
      <w:r w:rsidRPr="009F43DE">
        <w:rPr>
          <w:lang w:val="fr-CH"/>
        </w:rPr>
        <w:t>Autodétermination</w:t>
      </w:r>
    </w:p>
    <w:p w:rsidR="00E5029E" w:rsidRPr="009F43DE" w:rsidRDefault="00E5029E" w:rsidP="00E5029E">
      <w:pPr>
        <w:pStyle w:val="SingleTxtG"/>
        <w:rPr>
          <w:lang w:val="fr-CH"/>
        </w:rPr>
      </w:pPr>
      <w:r w:rsidRPr="009F43DE">
        <w:rPr>
          <w:lang w:val="fr-CH"/>
        </w:rPr>
        <w:t>162.</w:t>
      </w:r>
      <w:r w:rsidRPr="009F43DE">
        <w:rPr>
          <w:lang w:val="fr-CH"/>
        </w:rPr>
        <w:tab/>
        <w:t>Sri Lanka a toujours été d</w:t>
      </w:r>
      <w:r w:rsidR="00F8384A" w:rsidRPr="009F43DE">
        <w:rPr>
          <w:lang w:val="fr-CH"/>
        </w:rPr>
        <w:t>’</w:t>
      </w:r>
      <w:r w:rsidRPr="009F43DE">
        <w:rPr>
          <w:lang w:val="fr-CH"/>
        </w:rPr>
        <w:t>avis que la notion de droit à l</w:t>
      </w:r>
      <w:r w:rsidR="00F8384A" w:rsidRPr="009F43DE">
        <w:rPr>
          <w:lang w:val="fr-CH"/>
        </w:rPr>
        <w:t>’</w:t>
      </w:r>
      <w:r w:rsidRPr="009F43DE">
        <w:rPr>
          <w:lang w:val="fr-CH"/>
        </w:rPr>
        <w:t>autodétermination vaut uniquement dans un contexte de décolonisation et ne peut être appliquée ou être interprétée d</w:t>
      </w:r>
      <w:r w:rsidR="00F8384A" w:rsidRPr="009F43DE">
        <w:rPr>
          <w:lang w:val="fr-CH"/>
        </w:rPr>
        <w:t>’</w:t>
      </w:r>
      <w:r w:rsidRPr="009F43DE">
        <w:rPr>
          <w:lang w:val="fr-CH"/>
        </w:rPr>
        <w:t xml:space="preserve">une manière préjudiciable à la souveraineté et </w:t>
      </w:r>
      <w:r w:rsidR="00F8465A" w:rsidRPr="009F43DE">
        <w:rPr>
          <w:lang w:val="fr-CH"/>
        </w:rPr>
        <w:t xml:space="preserve">à </w:t>
      </w:r>
      <w:r w:rsidRPr="009F43DE">
        <w:rPr>
          <w:lang w:val="fr-CH"/>
        </w:rPr>
        <w:t>l</w:t>
      </w:r>
      <w:r w:rsidR="00F8384A" w:rsidRPr="009F43DE">
        <w:rPr>
          <w:lang w:val="fr-CH"/>
        </w:rPr>
        <w:t>’</w:t>
      </w:r>
      <w:r w:rsidRPr="009F43DE">
        <w:rPr>
          <w:lang w:val="fr-CH"/>
        </w:rPr>
        <w:t>intégrité territoriale d</w:t>
      </w:r>
      <w:r w:rsidR="00F8384A" w:rsidRPr="009F43DE">
        <w:rPr>
          <w:lang w:val="fr-CH"/>
        </w:rPr>
        <w:t>’</w:t>
      </w:r>
      <w:r w:rsidRPr="009F43DE">
        <w:rPr>
          <w:lang w:val="fr-CH"/>
        </w:rPr>
        <w:t xml:space="preserve">un </w:t>
      </w:r>
      <w:r w:rsidR="007574C7" w:rsidRPr="009F43DE">
        <w:rPr>
          <w:lang w:val="fr-CH"/>
        </w:rPr>
        <w:t>État</w:t>
      </w:r>
      <w:r w:rsidRPr="009F43DE">
        <w:rPr>
          <w:lang w:val="fr-CH"/>
        </w:rPr>
        <w:t xml:space="preserve"> indépendant. Aux termes de l</w:t>
      </w:r>
      <w:r w:rsidR="00F8384A" w:rsidRPr="009F43DE">
        <w:rPr>
          <w:lang w:val="fr-CH"/>
        </w:rPr>
        <w:t>’</w:t>
      </w:r>
      <w:r w:rsidRPr="009F43DE">
        <w:rPr>
          <w:lang w:val="fr-CH"/>
        </w:rPr>
        <w:t xml:space="preserve">article 3 de la Constitution </w:t>
      </w:r>
      <w:r w:rsidR="00F8384A" w:rsidRPr="009F43DE">
        <w:rPr>
          <w:lang w:val="fr-CH"/>
        </w:rPr>
        <w:t>«</w:t>
      </w:r>
      <w:r w:rsidRPr="009F43DE">
        <w:rPr>
          <w:lang w:val="fr-CH"/>
        </w:rPr>
        <w:t>Dans la République d</w:t>
      </w:r>
      <w:r w:rsidR="00F8465A" w:rsidRPr="009F43DE">
        <w:rPr>
          <w:lang w:val="fr-CH"/>
        </w:rPr>
        <w:t>e</w:t>
      </w:r>
      <w:r w:rsidRPr="009F43DE">
        <w:rPr>
          <w:lang w:val="fr-CH"/>
        </w:rPr>
        <w:t xml:space="preserve"> Sri Lanka</w:t>
      </w:r>
      <w:r w:rsidR="00F8465A" w:rsidRPr="009F43DE">
        <w:rPr>
          <w:lang w:val="fr-CH"/>
        </w:rPr>
        <w:t>,</w:t>
      </w:r>
      <w:r w:rsidRPr="009F43DE">
        <w:rPr>
          <w:lang w:val="fr-CH"/>
        </w:rPr>
        <w:t xml:space="preserve"> la souveraineté appartient au peuple et est inaliénable</w:t>
      </w:r>
      <w:r w:rsidR="00F8384A" w:rsidRPr="009F43DE">
        <w:rPr>
          <w:lang w:val="fr-CH"/>
        </w:rPr>
        <w:t>»</w:t>
      </w:r>
      <w:r w:rsidR="00F8465A" w:rsidRPr="009F43DE">
        <w:rPr>
          <w:lang w:val="fr-CH"/>
        </w:rPr>
        <w:t>.</w:t>
      </w:r>
      <w:r w:rsidRPr="009F43DE">
        <w:rPr>
          <w:lang w:val="fr-CH"/>
        </w:rPr>
        <w:t xml:space="preserve"> </w:t>
      </w:r>
      <w:r w:rsidR="00F8465A" w:rsidRPr="009F43DE">
        <w:rPr>
          <w:lang w:val="fr-CH"/>
        </w:rPr>
        <w:t xml:space="preserve">Le peuple dans son ensemble est donc souverain </w:t>
      </w:r>
      <w:r w:rsidRPr="009F43DE">
        <w:rPr>
          <w:lang w:val="fr-CH"/>
        </w:rPr>
        <w:t xml:space="preserve">et </w:t>
      </w:r>
      <w:r w:rsidR="00F8465A" w:rsidRPr="009F43DE">
        <w:rPr>
          <w:lang w:val="fr-CH"/>
        </w:rPr>
        <w:t>on ne saurait</w:t>
      </w:r>
      <w:r w:rsidRPr="009F43DE">
        <w:rPr>
          <w:lang w:val="fr-CH"/>
        </w:rPr>
        <w:t xml:space="preserve"> considér</w:t>
      </w:r>
      <w:r w:rsidR="00F8465A" w:rsidRPr="009F43DE">
        <w:rPr>
          <w:lang w:val="fr-CH"/>
        </w:rPr>
        <w:t>er</w:t>
      </w:r>
      <w:r w:rsidRPr="009F43DE">
        <w:rPr>
          <w:lang w:val="fr-CH"/>
        </w:rPr>
        <w:t xml:space="preserve"> qu</w:t>
      </w:r>
      <w:r w:rsidR="00F8384A" w:rsidRPr="009F43DE">
        <w:rPr>
          <w:lang w:val="fr-CH"/>
        </w:rPr>
        <w:t>’</w:t>
      </w:r>
      <w:r w:rsidRPr="009F43DE">
        <w:rPr>
          <w:lang w:val="fr-CH"/>
        </w:rPr>
        <w:t>un groupe quelconque ou qu</w:t>
      </w:r>
      <w:r w:rsidR="00F8384A" w:rsidRPr="009F43DE">
        <w:rPr>
          <w:lang w:val="fr-CH"/>
        </w:rPr>
        <w:t>’</w:t>
      </w:r>
      <w:r w:rsidRPr="009F43DE">
        <w:rPr>
          <w:lang w:val="fr-CH"/>
        </w:rPr>
        <w:t>une partie de l</w:t>
      </w:r>
      <w:r w:rsidR="00F8384A" w:rsidRPr="009F43DE">
        <w:rPr>
          <w:lang w:val="fr-CH"/>
        </w:rPr>
        <w:t>’</w:t>
      </w:r>
      <w:r w:rsidRPr="009F43DE">
        <w:rPr>
          <w:lang w:val="fr-CH"/>
        </w:rPr>
        <w:t xml:space="preserve">ensemble du peuple </w:t>
      </w:r>
      <w:r w:rsidR="00F8465A" w:rsidRPr="009F43DE">
        <w:rPr>
          <w:lang w:val="fr-CH"/>
        </w:rPr>
        <w:t>puisse</w:t>
      </w:r>
      <w:r w:rsidRPr="009F43DE">
        <w:rPr>
          <w:lang w:val="fr-CH"/>
        </w:rPr>
        <w:t xml:space="preserve"> avoir un droit propre à l</w:t>
      </w:r>
      <w:r w:rsidR="00F8384A" w:rsidRPr="009F43DE">
        <w:rPr>
          <w:lang w:val="fr-CH"/>
        </w:rPr>
        <w:t>’</w:t>
      </w:r>
      <w:r w:rsidRPr="009F43DE">
        <w:rPr>
          <w:lang w:val="fr-CH"/>
        </w:rPr>
        <w:t>autodétermination.</w:t>
      </w:r>
    </w:p>
    <w:p w:rsidR="00E5029E" w:rsidRPr="009F43DE" w:rsidRDefault="00E5029E" w:rsidP="00E5029E">
      <w:pPr>
        <w:pStyle w:val="SingleTxtG"/>
        <w:rPr>
          <w:lang w:val="fr-CH"/>
        </w:rPr>
      </w:pPr>
      <w:r w:rsidRPr="009F43DE">
        <w:rPr>
          <w:lang w:val="fr-CH"/>
        </w:rPr>
        <w:t>163.</w:t>
      </w:r>
      <w:r w:rsidRPr="009F43DE">
        <w:rPr>
          <w:lang w:val="fr-CH"/>
        </w:rPr>
        <w:tab/>
        <w:t>Aujourd</w:t>
      </w:r>
      <w:r w:rsidR="00F8384A" w:rsidRPr="009F43DE">
        <w:rPr>
          <w:lang w:val="fr-CH"/>
        </w:rPr>
        <w:t>’</w:t>
      </w:r>
      <w:r w:rsidRPr="009F43DE">
        <w:rPr>
          <w:lang w:val="fr-CH"/>
        </w:rPr>
        <w:t xml:space="preserve">hui, </w:t>
      </w:r>
      <w:r w:rsidR="00F8465A" w:rsidRPr="009F43DE">
        <w:rPr>
          <w:lang w:val="fr-CH"/>
        </w:rPr>
        <w:t>à</w:t>
      </w:r>
      <w:r w:rsidRPr="009F43DE">
        <w:rPr>
          <w:lang w:val="fr-CH"/>
        </w:rPr>
        <w:t xml:space="preserve"> Sri Lanka, les représentants élus du peuple tamoul </w:t>
      </w:r>
      <w:r w:rsidR="00F8465A" w:rsidRPr="009F43DE">
        <w:rPr>
          <w:lang w:val="fr-CH"/>
        </w:rPr>
        <w:t xml:space="preserve">peuvent faire entendre leur voix </w:t>
      </w:r>
      <w:r w:rsidRPr="009F43DE">
        <w:rPr>
          <w:lang w:val="fr-CH"/>
        </w:rPr>
        <w:t xml:space="preserve">non seulement au </w:t>
      </w:r>
      <w:r w:rsidR="00F8465A" w:rsidRPr="009F43DE">
        <w:rPr>
          <w:lang w:val="fr-CH"/>
        </w:rPr>
        <w:t>niveau central</w:t>
      </w:r>
      <w:r w:rsidRPr="009F43DE">
        <w:rPr>
          <w:lang w:val="fr-CH"/>
        </w:rPr>
        <w:t xml:space="preserve">, mais aussi au niveau provincial, </w:t>
      </w:r>
      <w:r w:rsidR="00F8465A" w:rsidRPr="009F43DE">
        <w:rPr>
          <w:lang w:val="fr-CH"/>
        </w:rPr>
        <w:t xml:space="preserve">puisque </w:t>
      </w:r>
      <w:r w:rsidRPr="009F43DE">
        <w:rPr>
          <w:lang w:val="fr-CH"/>
        </w:rPr>
        <w:t xml:space="preserve">le parti ethnique tamoul Ilankai Tamil ArasuKadchi (ITAK) </w:t>
      </w:r>
      <w:r w:rsidR="00F8465A" w:rsidRPr="009F43DE">
        <w:rPr>
          <w:lang w:val="fr-CH"/>
        </w:rPr>
        <w:t>est majoritaire</w:t>
      </w:r>
      <w:r w:rsidR="004A686E" w:rsidRPr="009F43DE">
        <w:rPr>
          <w:lang w:val="fr-CH"/>
        </w:rPr>
        <w:t xml:space="preserve"> au sein du</w:t>
      </w:r>
      <w:r w:rsidRPr="009F43DE">
        <w:rPr>
          <w:lang w:val="fr-CH"/>
        </w:rPr>
        <w:t xml:space="preserve"> Conseil provincial du </w:t>
      </w:r>
      <w:r w:rsidR="00F8465A" w:rsidRPr="009F43DE">
        <w:rPr>
          <w:lang w:val="fr-CH"/>
        </w:rPr>
        <w:t>n</w:t>
      </w:r>
      <w:r w:rsidRPr="009F43DE">
        <w:rPr>
          <w:lang w:val="fr-CH"/>
        </w:rPr>
        <w:t>ord.</w:t>
      </w:r>
    </w:p>
    <w:p w:rsidR="00E5029E" w:rsidRPr="009F43DE" w:rsidRDefault="00E5029E" w:rsidP="00E5029E">
      <w:pPr>
        <w:pStyle w:val="SingleTxtG"/>
        <w:rPr>
          <w:lang w:val="fr-CH"/>
        </w:rPr>
      </w:pPr>
      <w:r w:rsidRPr="009F43DE">
        <w:rPr>
          <w:lang w:val="fr-CH"/>
        </w:rPr>
        <w:t>164.</w:t>
      </w:r>
      <w:r w:rsidRPr="009F43DE">
        <w:rPr>
          <w:lang w:val="fr-CH"/>
        </w:rPr>
        <w:tab/>
        <w:t>Les élections présidentielle</w:t>
      </w:r>
      <w:r w:rsidR="004A686E" w:rsidRPr="009F43DE">
        <w:rPr>
          <w:lang w:val="fr-CH"/>
        </w:rPr>
        <w:t>s</w:t>
      </w:r>
      <w:r w:rsidRPr="009F43DE">
        <w:rPr>
          <w:lang w:val="fr-CH"/>
        </w:rPr>
        <w:t xml:space="preserve">, les élections au Conseil provincial et les élections générales qui ont eu lieu depuis la dernière période </w:t>
      </w:r>
      <w:r w:rsidR="008A17FA" w:rsidRPr="009F43DE">
        <w:rPr>
          <w:lang w:val="fr-CH"/>
        </w:rPr>
        <w:t>couverte</w:t>
      </w:r>
      <w:r w:rsidR="004A686E" w:rsidRPr="009F43DE">
        <w:rPr>
          <w:lang w:val="fr-CH"/>
        </w:rPr>
        <w:t xml:space="preserve"> </w:t>
      </w:r>
      <w:r w:rsidRPr="009F43DE">
        <w:rPr>
          <w:lang w:val="fr-CH"/>
        </w:rPr>
        <w:t>sont les suivantes</w:t>
      </w:r>
      <w:r w:rsidR="00F8384A" w:rsidRPr="009F43DE">
        <w:rPr>
          <w:lang w:val="fr-CH"/>
        </w:rPr>
        <w:t>:</w:t>
      </w:r>
      <w:r w:rsidRPr="009F43DE">
        <w:rPr>
          <w:lang w:val="fr-CH"/>
        </w:rPr>
        <w:t xml:space="preserve"> élections parlementaires en 2015, élection présidentielle en 2015, élection présidentielle en 2010, élections parlementaires générales en 2010, élections au</w:t>
      </w:r>
      <w:r w:rsidR="00AE0DA7" w:rsidRPr="009F43DE">
        <w:rPr>
          <w:lang w:val="fr-CH"/>
        </w:rPr>
        <w:t>x c</w:t>
      </w:r>
      <w:r w:rsidRPr="009F43DE">
        <w:rPr>
          <w:lang w:val="fr-CH"/>
        </w:rPr>
        <w:t>onseil</w:t>
      </w:r>
      <w:r w:rsidR="00AE0DA7" w:rsidRPr="009F43DE">
        <w:rPr>
          <w:lang w:val="fr-CH"/>
        </w:rPr>
        <w:t>s</w:t>
      </w:r>
      <w:r w:rsidRPr="009F43DE">
        <w:rPr>
          <w:lang w:val="fr-CH"/>
        </w:rPr>
        <w:t xml:space="preserve"> provincia</w:t>
      </w:r>
      <w:r w:rsidR="00AE0DA7" w:rsidRPr="009F43DE">
        <w:rPr>
          <w:lang w:val="fr-CH"/>
        </w:rPr>
        <w:t>ux</w:t>
      </w:r>
      <w:r w:rsidRPr="009F43DE">
        <w:rPr>
          <w:lang w:val="fr-CH"/>
        </w:rPr>
        <w:t xml:space="preserve"> en 2009 pour les provinces du </w:t>
      </w:r>
      <w:r w:rsidR="004A686E" w:rsidRPr="009F43DE">
        <w:rPr>
          <w:lang w:val="fr-CH"/>
        </w:rPr>
        <w:t>s</w:t>
      </w:r>
      <w:r w:rsidRPr="009F43DE">
        <w:rPr>
          <w:lang w:val="fr-CH"/>
        </w:rPr>
        <w:t xml:space="preserve">ud, </w:t>
      </w:r>
      <w:r w:rsidR="004A686E" w:rsidRPr="009F43DE">
        <w:rPr>
          <w:lang w:val="fr-CH"/>
        </w:rPr>
        <w:t>d</w:t>
      </w:r>
      <w:r w:rsidR="00F8384A" w:rsidRPr="009F43DE">
        <w:rPr>
          <w:lang w:val="fr-CH"/>
        </w:rPr>
        <w:t>’</w:t>
      </w:r>
      <w:r w:rsidRPr="009F43DE">
        <w:rPr>
          <w:lang w:val="fr-CH"/>
        </w:rPr>
        <w:t>Uva, de l</w:t>
      </w:r>
      <w:r w:rsidR="00F8384A" w:rsidRPr="009F43DE">
        <w:rPr>
          <w:lang w:val="fr-CH"/>
        </w:rPr>
        <w:t>’</w:t>
      </w:r>
      <w:r w:rsidR="004A686E" w:rsidRPr="009F43DE">
        <w:rPr>
          <w:lang w:val="fr-CH"/>
        </w:rPr>
        <w:t>o</w:t>
      </w:r>
      <w:r w:rsidRPr="009F43DE">
        <w:rPr>
          <w:lang w:val="fr-CH"/>
        </w:rPr>
        <w:t xml:space="preserve">uest, du centre et du </w:t>
      </w:r>
      <w:r w:rsidR="00AE0DA7" w:rsidRPr="009F43DE">
        <w:rPr>
          <w:lang w:val="fr-CH"/>
        </w:rPr>
        <w:t>n</w:t>
      </w:r>
      <w:r w:rsidRPr="009F43DE">
        <w:rPr>
          <w:lang w:val="fr-CH"/>
        </w:rPr>
        <w:t>ord</w:t>
      </w:r>
      <w:r w:rsidR="00AE0DA7" w:rsidRPr="009F43DE">
        <w:rPr>
          <w:lang w:val="fr-CH"/>
        </w:rPr>
        <w:t>-o</w:t>
      </w:r>
      <w:r w:rsidRPr="009F43DE">
        <w:rPr>
          <w:lang w:val="fr-CH"/>
        </w:rPr>
        <w:t>uest, en 2012 pour les provinces de l</w:t>
      </w:r>
      <w:r w:rsidR="00F8384A" w:rsidRPr="009F43DE">
        <w:rPr>
          <w:lang w:val="fr-CH"/>
        </w:rPr>
        <w:t>’</w:t>
      </w:r>
      <w:r w:rsidR="00AE0DA7" w:rsidRPr="009F43DE">
        <w:rPr>
          <w:lang w:val="fr-CH"/>
        </w:rPr>
        <w:t>e</w:t>
      </w:r>
      <w:r w:rsidRPr="009F43DE">
        <w:rPr>
          <w:lang w:val="fr-CH"/>
        </w:rPr>
        <w:t xml:space="preserve">st, du </w:t>
      </w:r>
      <w:r w:rsidR="00AE0DA7" w:rsidRPr="009F43DE">
        <w:rPr>
          <w:lang w:val="fr-CH"/>
        </w:rPr>
        <w:t>c</w:t>
      </w:r>
      <w:r w:rsidRPr="009F43DE">
        <w:rPr>
          <w:lang w:val="fr-CH"/>
        </w:rPr>
        <w:t>entre</w:t>
      </w:r>
      <w:r w:rsidR="00AE0DA7" w:rsidRPr="009F43DE">
        <w:rPr>
          <w:lang w:val="fr-CH"/>
        </w:rPr>
        <w:t>-n</w:t>
      </w:r>
      <w:r w:rsidRPr="009F43DE">
        <w:rPr>
          <w:lang w:val="fr-CH"/>
        </w:rPr>
        <w:t xml:space="preserve">ord et de Sabaragamuwa et en 2013 pour la province du </w:t>
      </w:r>
      <w:r w:rsidR="00AE0DA7" w:rsidRPr="009F43DE">
        <w:rPr>
          <w:lang w:val="fr-CH"/>
        </w:rPr>
        <w:t>n</w:t>
      </w:r>
      <w:r w:rsidRPr="009F43DE">
        <w:rPr>
          <w:lang w:val="fr-CH"/>
        </w:rPr>
        <w:t>ord.</w:t>
      </w:r>
    </w:p>
    <w:p w:rsidR="00E5029E" w:rsidRPr="009F43DE" w:rsidRDefault="00E5029E" w:rsidP="00E5029E">
      <w:pPr>
        <w:pStyle w:val="SingleTxtG"/>
        <w:rPr>
          <w:lang w:val="fr-CH"/>
        </w:rPr>
      </w:pPr>
      <w:r w:rsidRPr="009F43DE">
        <w:rPr>
          <w:lang w:val="fr-CH"/>
        </w:rPr>
        <w:t>165. Lors de l</w:t>
      </w:r>
      <w:r w:rsidR="00F8384A" w:rsidRPr="009F43DE">
        <w:rPr>
          <w:lang w:val="fr-CH"/>
        </w:rPr>
        <w:t>’</w:t>
      </w:r>
      <w:r w:rsidRPr="009F43DE">
        <w:rPr>
          <w:lang w:val="fr-CH"/>
        </w:rPr>
        <w:t>élection présidentielle tenue en 2015, 81,52</w:t>
      </w:r>
      <w:r w:rsidR="00AE0DA7" w:rsidRPr="009F43DE">
        <w:rPr>
          <w:lang w:val="fr-CH"/>
        </w:rPr>
        <w:t> </w:t>
      </w:r>
      <w:r w:rsidRPr="009F43DE">
        <w:rPr>
          <w:lang w:val="fr-CH"/>
        </w:rPr>
        <w:t xml:space="preserve">% des électeurs inscrits </w:t>
      </w:r>
      <w:r w:rsidR="00AE0DA7" w:rsidRPr="009F43DE">
        <w:rPr>
          <w:lang w:val="fr-CH"/>
        </w:rPr>
        <w:t>à</w:t>
      </w:r>
      <w:r w:rsidRPr="009F43DE">
        <w:rPr>
          <w:lang w:val="fr-CH"/>
        </w:rPr>
        <w:t xml:space="preserve"> Sri Lanka d</w:t>
      </w:r>
      <w:r w:rsidR="00AE0DA7" w:rsidRPr="009F43DE">
        <w:rPr>
          <w:lang w:val="fr-CH"/>
        </w:rPr>
        <w:t>ans</w:t>
      </w:r>
      <w:r w:rsidRPr="009F43DE">
        <w:rPr>
          <w:lang w:val="fr-CH"/>
        </w:rPr>
        <w:t xml:space="preserve"> toutes les parties de l</w:t>
      </w:r>
      <w:r w:rsidR="00F8384A" w:rsidRPr="009F43DE">
        <w:rPr>
          <w:lang w:val="fr-CH"/>
        </w:rPr>
        <w:t>’</w:t>
      </w:r>
      <w:r w:rsidRPr="009F43DE">
        <w:rPr>
          <w:lang w:val="fr-CH"/>
        </w:rPr>
        <w:t xml:space="preserve">île, y compris les provinces du </w:t>
      </w:r>
      <w:r w:rsidR="00AE0DA7" w:rsidRPr="009F43DE">
        <w:rPr>
          <w:lang w:val="fr-CH"/>
        </w:rPr>
        <w:t>n</w:t>
      </w:r>
      <w:r w:rsidRPr="009F43DE">
        <w:rPr>
          <w:lang w:val="fr-CH"/>
        </w:rPr>
        <w:t>ord et de l</w:t>
      </w:r>
      <w:r w:rsidR="00F8384A" w:rsidRPr="009F43DE">
        <w:rPr>
          <w:lang w:val="fr-CH"/>
        </w:rPr>
        <w:t>’</w:t>
      </w:r>
      <w:r w:rsidR="00AE0DA7" w:rsidRPr="009F43DE">
        <w:rPr>
          <w:lang w:val="fr-CH"/>
        </w:rPr>
        <w:t>e</w:t>
      </w:r>
      <w:r w:rsidRPr="009F43DE">
        <w:rPr>
          <w:lang w:val="fr-CH"/>
        </w:rPr>
        <w:t xml:space="preserve">st </w:t>
      </w:r>
      <w:r w:rsidR="00AE0DA7" w:rsidRPr="009F43DE">
        <w:rPr>
          <w:lang w:val="fr-CH"/>
        </w:rPr>
        <w:t>touchées</w:t>
      </w:r>
      <w:r w:rsidRPr="009F43DE">
        <w:rPr>
          <w:lang w:val="fr-CH"/>
        </w:rPr>
        <w:t xml:space="preserve"> par l</w:t>
      </w:r>
      <w:r w:rsidR="00AE0DA7" w:rsidRPr="009F43DE">
        <w:rPr>
          <w:lang w:val="fr-CH"/>
        </w:rPr>
        <w:t>e conflit, ont participé au scrutin, ce qui</w:t>
      </w:r>
      <w:r w:rsidRPr="009F43DE">
        <w:rPr>
          <w:lang w:val="fr-CH"/>
        </w:rPr>
        <w:t xml:space="preserve"> constitu</w:t>
      </w:r>
      <w:r w:rsidR="00AE0DA7" w:rsidRPr="009F43DE">
        <w:rPr>
          <w:lang w:val="fr-CH"/>
        </w:rPr>
        <w:t>e</w:t>
      </w:r>
      <w:r w:rsidRPr="009F43DE">
        <w:rPr>
          <w:lang w:val="fr-CH"/>
        </w:rPr>
        <w:t xml:space="preserve"> le taux de participation le plus élevé </w:t>
      </w:r>
      <w:r w:rsidR="00AE0DA7" w:rsidRPr="009F43DE">
        <w:rPr>
          <w:lang w:val="fr-CH"/>
        </w:rPr>
        <w:t>jamais enregistré dans le pays</w:t>
      </w:r>
      <w:r w:rsidRPr="009F43DE">
        <w:rPr>
          <w:lang w:val="fr-CH"/>
        </w:rPr>
        <w:t>.</w:t>
      </w:r>
    </w:p>
    <w:p w:rsidR="00E5029E" w:rsidRPr="009F43DE" w:rsidRDefault="00E5029E" w:rsidP="00E5029E">
      <w:pPr>
        <w:pStyle w:val="H23G"/>
        <w:rPr>
          <w:lang w:val="fr-CH"/>
        </w:rPr>
      </w:pPr>
      <w:r w:rsidRPr="009F43DE">
        <w:rPr>
          <w:lang w:val="fr-CH"/>
        </w:rPr>
        <w:tab/>
      </w:r>
      <w:r w:rsidRPr="009F43DE">
        <w:rPr>
          <w:lang w:val="fr-CH"/>
        </w:rPr>
        <w:tab/>
        <w:t>Droits de la communauté adivasi/veddah</w:t>
      </w:r>
    </w:p>
    <w:p w:rsidR="00E5029E" w:rsidRPr="009F43DE" w:rsidRDefault="00E5029E" w:rsidP="00E5029E">
      <w:pPr>
        <w:pStyle w:val="SingleTxtG"/>
        <w:rPr>
          <w:lang w:val="fr-CH"/>
        </w:rPr>
      </w:pPr>
      <w:r w:rsidRPr="009F43DE">
        <w:rPr>
          <w:lang w:val="fr-CH"/>
        </w:rPr>
        <w:t>166.</w:t>
      </w:r>
      <w:r w:rsidRPr="009F43DE">
        <w:rPr>
          <w:lang w:val="fr-CH"/>
        </w:rPr>
        <w:tab/>
        <w:t>Bien que Sri Lanka ne reconna</w:t>
      </w:r>
      <w:r w:rsidR="00AE0DA7" w:rsidRPr="009F43DE">
        <w:rPr>
          <w:lang w:val="fr-CH"/>
        </w:rPr>
        <w:t>isse</w:t>
      </w:r>
      <w:r w:rsidRPr="009F43DE">
        <w:rPr>
          <w:lang w:val="fr-CH"/>
        </w:rPr>
        <w:t xml:space="preserve"> pas le concept de </w:t>
      </w:r>
      <w:r w:rsidR="00F8384A" w:rsidRPr="009F43DE">
        <w:rPr>
          <w:lang w:val="fr-CH"/>
        </w:rPr>
        <w:t>«</w:t>
      </w:r>
      <w:r w:rsidRPr="009F43DE">
        <w:rPr>
          <w:lang w:val="fr-CH"/>
        </w:rPr>
        <w:t>peuples autochtones</w:t>
      </w:r>
      <w:r w:rsidR="00F8384A" w:rsidRPr="009F43DE">
        <w:rPr>
          <w:lang w:val="fr-CH"/>
        </w:rPr>
        <w:t>»</w:t>
      </w:r>
      <w:r w:rsidRPr="009F43DE">
        <w:rPr>
          <w:lang w:val="fr-CH"/>
        </w:rPr>
        <w:t>, car tous les peuples d</w:t>
      </w:r>
      <w:r w:rsidR="00AE0DA7" w:rsidRPr="009F43DE">
        <w:rPr>
          <w:lang w:val="fr-CH"/>
        </w:rPr>
        <w:t>e l</w:t>
      </w:r>
      <w:r w:rsidR="00F8384A" w:rsidRPr="009F43DE">
        <w:rPr>
          <w:lang w:val="fr-CH"/>
        </w:rPr>
        <w:t>’</w:t>
      </w:r>
      <w:r w:rsidR="00AE0DA7" w:rsidRPr="009F43DE">
        <w:rPr>
          <w:lang w:val="fr-CH"/>
        </w:rPr>
        <w:t>île</w:t>
      </w:r>
      <w:r w:rsidRPr="009F43DE">
        <w:rPr>
          <w:lang w:val="fr-CH"/>
        </w:rPr>
        <w:t xml:space="preserve"> partagent un héritage commun de plus de </w:t>
      </w:r>
      <w:r w:rsidR="001D1A33">
        <w:rPr>
          <w:lang w:val="fr-CH"/>
        </w:rPr>
        <w:t>deux mille cinq cents</w:t>
      </w:r>
      <w:r w:rsidRPr="009F43DE">
        <w:rPr>
          <w:lang w:val="fr-CH"/>
        </w:rPr>
        <w:t xml:space="preserve"> ans et contribuent à la diversité et la richesse de la civilisation </w:t>
      </w:r>
      <w:r w:rsidR="00AE0DA7" w:rsidRPr="009F43DE">
        <w:rPr>
          <w:lang w:val="fr-CH"/>
        </w:rPr>
        <w:t>sri-lankaise, elle</w:t>
      </w:r>
      <w:r w:rsidRPr="009F43DE">
        <w:rPr>
          <w:lang w:val="fr-CH"/>
        </w:rPr>
        <w:t xml:space="preserve"> a voté en faveur de l</w:t>
      </w:r>
      <w:r w:rsidR="00F8384A" w:rsidRPr="009F43DE">
        <w:rPr>
          <w:lang w:val="fr-CH"/>
        </w:rPr>
        <w:t>’</w:t>
      </w:r>
      <w:r w:rsidRPr="009F43DE">
        <w:rPr>
          <w:lang w:val="fr-CH"/>
        </w:rPr>
        <w:t>adoption de la Déclaration sur les droits des peuples autochtones (adoptée par l</w:t>
      </w:r>
      <w:r w:rsidR="00F8384A" w:rsidRPr="009F43DE">
        <w:rPr>
          <w:lang w:val="fr-CH"/>
        </w:rPr>
        <w:t>’</w:t>
      </w:r>
      <w:r w:rsidRPr="009F43DE">
        <w:rPr>
          <w:lang w:val="fr-CH"/>
        </w:rPr>
        <w:t xml:space="preserve">Assemblée générale le 13 </w:t>
      </w:r>
      <w:r w:rsidR="00AE0DA7" w:rsidRPr="009F43DE">
        <w:rPr>
          <w:lang w:val="fr-CH"/>
        </w:rPr>
        <w:t>s</w:t>
      </w:r>
      <w:r w:rsidRPr="009F43DE">
        <w:rPr>
          <w:lang w:val="fr-CH"/>
        </w:rPr>
        <w:t>eptembre 2007).</w:t>
      </w:r>
    </w:p>
    <w:p w:rsidR="00E5029E" w:rsidRPr="009F43DE" w:rsidRDefault="00E5029E" w:rsidP="00E5029E">
      <w:pPr>
        <w:pStyle w:val="SingleTxtG"/>
        <w:rPr>
          <w:lang w:val="fr-CH"/>
        </w:rPr>
      </w:pPr>
      <w:r w:rsidRPr="009F43DE">
        <w:rPr>
          <w:lang w:val="fr-CH"/>
        </w:rPr>
        <w:t>167.</w:t>
      </w:r>
      <w:r w:rsidRPr="009F43DE">
        <w:rPr>
          <w:lang w:val="fr-CH"/>
        </w:rPr>
        <w:tab/>
        <w:t xml:space="preserve">Au fil des ans, la population adivasi a déserté ses </w:t>
      </w:r>
      <w:r w:rsidR="00AE0DA7" w:rsidRPr="009F43DE">
        <w:rPr>
          <w:lang w:val="fr-CH"/>
        </w:rPr>
        <w:t>zones de peuplement</w:t>
      </w:r>
      <w:r w:rsidRPr="009F43DE">
        <w:rPr>
          <w:lang w:val="fr-CH"/>
        </w:rPr>
        <w:t xml:space="preserve"> traditionnel</w:t>
      </w:r>
      <w:r w:rsidR="00AE0DA7" w:rsidRPr="009F43DE">
        <w:rPr>
          <w:lang w:val="fr-CH"/>
        </w:rPr>
        <w:t>le</w:t>
      </w:r>
      <w:r w:rsidRPr="009F43DE">
        <w:rPr>
          <w:lang w:val="fr-CH"/>
        </w:rPr>
        <w:t xml:space="preserve">s et a occupé des terres attribuées au titre du </w:t>
      </w:r>
      <w:r w:rsidR="00AE0DA7" w:rsidRPr="009F43DE">
        <w:rPr>
          <w:lang w:val="fr-CH"/>
        </w:rPr>
        <w:t>p</w:t>
      </w:r>
      <w:r w:rsidRPr="009F43DE">
        <w:rPr>
          <w:lang w:val="fr-CH"/>
        </w:rPr>
        <w:t>rojet d</w:t>
      </w:r>
      <w:r w:rsidR="00F8384A" w:rsidRPr="009F43DE">
        <w:rPr>
          <w:lang w:val="fr-CH"/>
        </w:rPr>
        <w:t>’</w:t>
      </w:r>
      <w:r w:rsidR="00AE0DA7" w:rsidRPr="009F43DE">
        <w:rPr>
          <w:lang w:val="fr-CH"/>
        </w:rPr>
        <w:t xml:space="preserve">aménagement de la région de </w:t>
      </w:r>
      <w:r w:rsidRPr="009F43DE">
        <w:rPr>
          <w:lang w:val="fr-CH"/>
        </w:rPr>
        <w:t>Mahaweli. Des parcelles allant de 1 000 à 10 000 m</w:t>
      </w:r>
      <w:r w:rsidR="001D1A33" w:rsidRPr="001D1A33">
        <w:rPr>
          <w:vertAlign w:val="superscript"/>
          <w:lang w:val="fr-CH"/>
        </w:rPr>
        <w:t>2</w:t>
      </w:r>
      <w:r w:rsidRPr="009F43DE">
        <w:rPr>
          <w:lang w:val="fr-CH"/>
        </w:rPr>
        <w:t xml:space="preserve"> environ ont </w:t>
      </w:r>
      <w:r w:rsidR="00AE0DA7" w:rsidRPr="009F43DE">
        <w:rPr>
          <w:lang w:val="fr-CH"/>
        </w:rPr>
        <w:t xml:space="preserve">ainsi </w:t>
      </w:r>
      <w:r w:rsidRPr="009F43DE">
        <w:rPr>
          <w:lang w:val="fr-CH"/>
        </w:rPr>
        <w:t>été réparti</w:t>
      </w:r>
      <w:r w:rsidR="00EB09B4" w:rsidRPr="009F43DE">
        <w:rPr>
          <w:lang w:val="fr-CH"/>
        </w:rPr>
        <w:t>es</w:t>
      </w:r>
      <w:r w:rsidRPr="009F43DE">
        <w:rPr>
          <w:lang w:val="fr-CH"/>
        </w:rPr>
        <w:t>. Les Adivasi ont également quitté leurs terres traditionnelles pendant l</w:t>
      </w:r>
      <w:r w:rsidR="00EB09B4" w:rsidRPr="009F43DE">
        <w:rPr>
          <w:lang w:val="fr-CH"/>
        </w:rPr>
        <w:t>e conflit</w:t>
      </w:r>
      <w:r w:rsidRPr="009F43DE">
        <w:rPr>
          <w:lang w:val="fr-CH"/>
        </w:rPr>
        <w:t xml:space="preserve"> et se sont installés dans les villages de Dalukana, Pollebedda, Vakarai, Kumchamkulim</w:t>
      </w:r>
      <w:r w:rsidR="001D1A33">
        <w:rPr>
          <w:lang w:val="fr-CH"/>
        </w:rPr>
        <w:t>,</w:t>
      </w:r>
      <w:r w:rsidRPr="009F43DE">
        <w:rPr>
          <w:lang w:val="fr-CH"/>
        </w:rPr>
        <w:t xml:space="preserve"> etc. </w:t>
      </w:r>
      <w:r w:rsidR="00EB09B4" w:rsidRPr="009F43DE">
        <w:rPr>
          <w:lang w:val="fr-CH"/>
        </w:rPr>
        <w:t>On trouvera des</w:t>
      </w:r>
      <w:r w:rsidRPr="009F43DE">
        <w:rPr>
          <w:lang w:val="fr-CH"/>
        </w:rPr>
        <w:t xml:space="preserve"> statistiques relatives à la propriété foncière de la communauté adivasi </w:t>
      </w:r>
      <w:r w:rsidR="00EB09B4" w:rsidRPr="009F43DE">
        <w:rPr>
          <w:lang w:val="fr-CH"/>
        </w:rPr>
        <w:t>dans les</w:t>
      </w:r>
      <w:r w:rsidRPr="009F43DE">
        <w:rPr>
          <w:lang w:val="fr-CH"/>
        </w:rPr>
        <w:t xml:space="preserve"> tableaux 1, 2 et 3 de l</w:t>
      </w:r>
      <w:r w:rsidR="00F8384A" w:rsidRPr="009F43DE">
        <w:rPr>
          <w:lang w:val="fr-CH"/>
        </w:rPr>
        <w:t>’</w:t>
      </w:r>
      <w:r w:rsidR="00EB09B4" w:rsidRPr="009F43DE">
        <w:rPr>
          <w:lang w:val="fr-CH"/>
        </w:rPr>
        <w:t>a</w:t>
      </w:r>
      <w:r w:rsidRPr="009F43DE">
        <w:rPr>
          <w:lang w:val="fr-CH"/>
        </w:rPr>
        <w:t>nnexe.</w:t>
      </w:r>
    </w:p>
    <w:p w:rsidR="00E5029E" w:rsidRPr="009F43DE" w:rsidRDefault="00E5029E" w:rsidP="00E5029E">
      <w:pPr>
        <w:pStyle w:val="SingleTxtG"/>
        <w:rPr>
          <w:lang w:val="fr-CH"/>
        </w:rPr>
      </w:pPr>
      <w:r w:rsidRPr="009F43DE">
        <w:rPr>
          <w:lang w:val="fr-CH"/>
        </w:rPr>
        <w:t>168.</w:t>
      </w:r>
      <w:r w:rsidRPr="009F43DE">
        <w:rPr>
          <w:lang w:val="fr-CH"/>
        </w:rPr>
        <w:tab/>
        <w:t>L</w:t>
      </w:r>
      <w:r w:rsidR="00F8384A" w:rsidRPr="009F43DE">
        <w:rPr>
          <w:lang w:val="fr-CH"/>
        </w:rPr>
        <w:t>’</w:t>
      </w:r>
      <w:r w:rsidR="00AE0DA7" w:rsidRPr="009F43DE">
        <w:rPr>
          <w:lang w:val="fr-CH"/>
        </w:rPr>
        <w:t xml:space="preserve">ancien </w:t>
      </w:r>
      <w:r w:rsidRPr="009F43DE">
        <w:rPr>
          <w:lang w:val="fr-CH"/>
        </w:rPr>
        <w:t>Ministère de la culture et des arts (Ministère d</w:t>
      </w:r>
      <w:r w:rsidR="00F8384A" w:rsidRPr="009F43DE">
        <w:rPr>
          <w:lang w:val="fr-CH"/>
        </w:rPr>
        <w:t>’</w:t>
      </w:r>
      <w:r w:rsidR="007574C7" w:rsidRPr="009F43DE">
        <w:rPr>
          <w:lang w:val="fr-CH"/>
        </w:rPr>
        <w:t>État</w:t>
      </w:r>
      <w:r w:rsidRPr="009F43DE">
        <w:rPr>
          <w:lang w:val="fr-CH"/>
        </w:rPr>
        <w:t xml:space="preserve"> des affaires culturelles depuis janvier 2015) finance et facilite les recherches menées par l</w:t>
      </w:r>
      <w:r w:rsidR="00F8384A" w:rsidRPr="009F43DE">
        <w:rPr>
          <w:lang w:val="fr-CH"/>
        </w:rPr>
        <w:t>’</w:t>
      </w:r>
      <w:r w:rsidRPr="009F43DE">
        <w:rPr>
          <w:lang w:val="fr-CH"/>
        </w:rPr>
        <w:t>Université de Colombo et d</w:t>
      </w:r>
      <w:r w:rsidR="00F8384A" w:rsidRPr="009F43DE">
        <w:rPr>
          <w:lang w:val="fr-CH"/>
        </w:rPr>
        <w:t>’</w:t>
      </w:r>
      <w:r w:rsidRPr="009F43DE">
        <w:rPr>
          <w:lang w:val="fr-CH"/>
        </w:rPr>
        <w:t>autres institutions gouvernementales sur le</w:t>
      </w:r>
      <w:r w:rsidR="00EB09B4" w:rsidRPr="009F43DE">
        <w:rPr>
          <w:lang w:val="fr-CH"/>
        </w:rPr>
        <w:t>s</w:t>
      </w:r>
      <w:r w:rsidRPr="009F43DE">
        <w:rPr>
          <w:lang w:val="fr-CH"/>
        </w:rPr>
        <w:t xml:space="preserve"> mode</w:t>
      </w:r>
      <w:r w:rsidR="00EB09B4" w:rsidRPr="009F43DE">
        <w:rPr>
          <w:lang w:val="fr-CH"/>
        </w:rPr>
        <w:t>s</w:t>
      </w:r>
      <w:r w:rsidRPr="009F43DE">
        <w:rPr>
          <w:lang w:val="fr-CH"/>
        </w:rPr>
        <w:t xml:space="preserve"> de vie, les </w:t>
      </w:r>
      <w:r w:rsidR="00EB09B4" w:rsidRPr="009F43DE">
        <w:rPr>
          <w:lang w:val="fr-CH"/>
        </w:rPr>
        <w:t>produits médicinaux</w:t>
      </w:r>
      <w:r w:rsidRPr="009F43DE">
        <w:rPr>
          <w:lang w:val="fr-CH"/>
        </w:rPr>
        <w:t xml:space="preserve"> et les soins infirmiers, les coutumes, les rituels, les chansons folkloriques, la langue, la littérature et la culture de</w:t>
      </w:r>
      <w:r w:rsidR="00A94F8A" w:rsidRPr="009F43DE">
        <w:rPr>
          <w:lang w:val="fr-CH"/>
        </w:rPr>
        <w:t xml:space="preserve"> la population autochtone</w:t>
      </w:r>
      <w:r w:rsidRPr="009F43DE">
        <w:rPr>
          <w:lang w:val="fr-CH"/>
        </w:rPr>
        <w:t>.</w:t>
      </w:r>
    </w:p>
    <w:p w:rsidR="00E5029E" w:rsidRPr="009F43DE" w:rsidRDefault="00E5029E" w:rsidP="007738FD">
      <w:pPr>
        <w:pStyle w:val="H1G"/>
        <w:rPr>
          <w:lang w:val="fr-CH"/>
        </w:rPr>
      </w:pPr>
      <w:r w:rsidRPr="009F43DE">
        <w:rPr>
          <w:lang w:val="fr-CH"/>
        </w:rPr>
        <w:tab/>
      </w:r>
      <w:r w:rsidRPr="009F43DE">
        <w:rPr>
          <w:lang w:val="fr-CH"/>
        </w:rPr>
        <w:tab/>
        <w:t>Article 2</w:t>
      </w:r>
      <w:r w:rsidR="007738FD" w:rsidRPr="009F43DE">
        <w:rPr>
          <w:lang w:val="fr-CH"/>
        </w:rPr>
        <w:br/>
      </w:r>
      <w:r w:rsidRPr="009F43DE">
        <w:rPr>
          <w:rStyle w:val="shorttext"/>
          <w:lang w:val="fr-CH"/>
        </w:rPr>
        <w:t>Réalisation des droits énoncés dans le Pacte</w:t>
      </w:r>
    </w:p>
    <w:p w:rsidR="00E5029E" w:rsidRPr="009F43DE" w:rsidRDefault="00E5029E" w:rsidP="00E5029E">
      <w:pPr>
        <w:pStyle w:val="SingleTxtG"/>
        <w:rPr>
          <w:lang w:val="fr-CH"/>
        </w:rPr>
      </w:pPr>
      <w:r w:rsidRPr="009F43DE">
        <w:rPr>
          <w:lang w:val="fr-CH"/>
        </w:rPr>
        <w:t>169.</w:t>
      </w:r>
      <w:r w:rsidRPr="009F43DE">
        <w:rPr>
          <w:lang w:val="fr-CH"/>
        </w:rPr>
        <w:tab/>
        <w:t>L</w:t>
      </w:r>
      <w:r w:rsidR="00F8384A" w:rsidRPr="009F43DE">
        <w:rPr>
          <w:lang w:val="fr-CH"/>
        </w:rPr>
        <w:t>’</w:t>
      </w:r>
      <w:r w:rsidRPr="009F43DE">
        <w:rPr>
          <w:lang w:val="fr-CH"/>
        </w:rPr>
        <w:t>article 12 de la Constitution d</w:t>
      </w:r>
      <w:r w:rsidR="00EB09B4" w:rsidRPr="009F43DE">
        <w:rPr>
          <w:lang w:val="fr-CH"/>
        </w:rPr>
        <w:t>e</w:t>
      </w:r>
      <w:r w:rsidRPr="009F43DE">
        <w:rPr>
          <w:lang w:val="fr-CH"/>
        </w:rPr>
        <w:t xml:space="preserve"> Sri Lanka garantit le droit fondamental à l</w:t>
      </w:r>
      <w:r w:rsidR="00F8384A" w:rsidRPr="009F43DE">
        <w:rPr>
          <w:lang w:val="fr-CH"/>
        </w:rPr>
        <w:t>’</w:t>
      </w:r>
      <w:r w:rsidRPr="009F43DE">
        <w:rPr>
          <w:lang w:val="fr-CH"/>
        </w:rPr>
        <w:t>égalité et interdit les discriminations fondées sur la race, la religion, la langue, la caste, le sexe</w:t>
      </w:r>
      <w:r w:rsidR="00EB09B4" w:rsidRPr="009F43DE">
        <w:rPr>
          <w:lang w:val="fr-CH"/>
        </w:rPr>
        <w:t>,</w:t>
      </w:r>
      <w:r w:rsidRPr="009F43DE">
        <w:rPr>
          <w:lang w:val="fr-CH"/>
        </w:rPr>
        <w:t xml:space="preserve"> l</w:t>
      </w:r>
      <w:r w:rsidR="00F8384A" w:rsidRPr="009F43DE">
        <w:rPr>
          <w:lang w:val="fr-CH"/>
        </w:rPr>
        <w:t>’</w:t>
      </w:r>
      <w:r w:rsidRPr="009F43DE">
        <w:rPr>
          <w:lang w:val="fr-CH"/>
        </w:rPr>
        <w:t>opinion politique et le lieu de naissance.</w:t>
      </w:r>
    </w:p>
    <w:p w:rsidR="00E5029E" w:rsidRPr="009F43DE" w:rsidRDefault="00E5029E" w:rsidP="00E5029E">
      <w:pPr>
        <w:pStyle w:val="SingleTxtG"/>
        <w:rPr>
          <w:lang w:val="fr-CH"/>
        </w:rPr>
      </w:pPr>
      <w:r w:rsidRPr="009F43DE">
        <w:rPr>
          <w:lang w:val="fr-CH"/>
        </w:rPr>
        <w:t>170.</w:t>
      </w:r>
      <w:r w:rsidRPr="009F43DE">
        <w:rPr>
          <w:lang w:val="fr-CH"/>
        </w:rPr>
        <w:tab/>
        <w:t>En 2011, le C</w:t>
      </w:r>
      <w:r w:rsidR="00EB09B4" w:rsidRPr="009F43DE">
        <w:rPr>
          <w:lang w:val="fr-CH"/>
        </w:rPr>
        <w:t>onseil des Ministres</w:t>
      </w:r>
      <w:r w:rsidRPr="009F43DE">
        <w:rPr>
          <w:lang w:val="fr-CH"/>
        </w:rPr>
        <w:t xml:space="preserve"> a donné son accord </w:t>
      </w:r>
      <w:r w:rsidR="00EB09B4" w:rsidRPr="009F43DE">
        <w:rPr>
          <w:lang w:val="fr-CH"/>
        </w:rPr>
        <w:t xml:space="preserve">pour </w:t>
      </w:r>
      <w:r w:rsidRPr="009F43DE">
        <w:rPr>
          <w:lang w:val="fr-CH"/>
        </w:rPr>
        <w:t xml:space="preserve">modifier les </w:t>
      </w:r>
      <w:r w:rsidR="00EB09B4" w:rsidRPr="009F43DE">
        <w:rPr>
          <w:lang w:val="fr-CH"/>
        </w:rPr>
        <w:t>I</w:t>
      </w:r>
      <w:r w:rsidRPr="009F43DE">
        <w:rPr>
          <w:lang w:val="fr-CH"/>
        </w:rPr>
        <w:t>nstructions données à tous les services de l</w:t>
      </w:r>
      <w:r w:rsidR="00F8384A" w:rsidRPr="009F43DE">
        <w:rPr>
          <w:lang w:val="fr-CH"/>
        </w:rPr>
        <w:t>’</w:t>
      </w:r>
      <w:r w:rsidRPr="009F43DE">
        <w:rPr>
          <w:lang w:val="fr-CH"/>
        </w:rPr>
        <w:t xml:space="preserve">île </w:t>
      </w:r>
      <w:r w:rsidR="00EB09B4" w:rsidRPr="009F43DE">
        <w:rPr>
          <w:lang w:val="fr-CH"/>
        </w:rPr>
        <w:t xml:space="preserve">et </w:t>
      </w:r>
      <w:r w:rsidRPr="009F43DE">
        <w:rPr>
          <w:lang w:val="fr-CH"/>
        </w:rPr>
        <w:t>a</w:t>
      </w:r>
      <w:r w:rsidR="00EB09B4" w:rsidRPr="009F43DE">
        <w:rPr>
          <w:lang w:val="fr-CH"/>
        </w:rPr>
        <w:t>ccroître</w:t>
      </w:r>
      <w:r w:rsidRPr="009F43DE">
        <w:rPr>
          <w:lang w:val="fr-CH"/>
        </w:rPr>
        <w:t xml:space="preserve"> le recrutement de candidats parlant le tamoul</w:t>
      </w:r>
      <w:r w:rsidR="0004555F" w:rsidRPr="009F43DE">
        <w:rPr>
          <w:lang w:val="fr-CH"/>
        </w:rPr>
        <w:t>,</w:t>
      </w:r>
      <w:r w:rsidRPr="009F43DE">
        <w:rPr>
          <w:lang w:val="fr-CH"/>
        </w:rPr>
        <w:t xml:space="preserve"> exclusivement </w:t>
      </w:r>
      <w:r w:rsidR="00EB09B4" w:rsidRPr="009F43DE">
        <w:rPr>
          <w:lang w:val="fr-CH"/>
        </w:rPr>
        <w:t xml:space="preserve">pour une affectation </w:t>
      </w:r>
      <w:r w:rsidRPr="009F43DE">
        <w:rPr>
          <w:lang w:val="fr-CH"/>
        </w:rPr>
        <w:t xml:space="preserve">dans les provinces du </w:t>
      </w:r>
      <w:r w:rsidR="00EB09B4" w:rsidRPr="009F43DE">
        <w:rPr>
          <w:lang w:val="fr-CH"/>
        </w:rPr>
        <w:t>n</w:t>
      </w:r>
      <w:r w:rsidRPr="009F43DE">
        <w:rPr>
          <w:lang w:val="fr-CH"/>
        </w:rPr>
        <w:t>ord et de l</w:t>
      </w:r>
      <w:r w:rsidR="00F8384A" w:rsidRPr="009F43DE">
        <w:rPr>
          <w:lang w:val="fr-CH"/>
        </w:rPr>
        <w:t>’</w:t>
      </w:r>
      <w:r w:rsidR="00EB09B4" w:rsidRPr="009F43DE">
        <w:rPr>
          <w:lang w:val="fr-CH"/>
        </w:rPr>
        <w:t>e</w:t>
      </w:r>
      <w:r w:rsidRPr="009F43DE">
        <w:rPr>
          <w:lang w:val="fr-CH"/>
        </w:rPr>
        <w:t xml:space="preserve">st. Actuellement, </w:t>
      </w:r>
      <w:r w:rsidR="0004555F" w:rsidRPr="009F43DE">
        <w:rPr>
          <w:lang w:val="fr-CH"/>
        </w:rPr>
        <w:t xml:space="preserve">parmi les policiers parlant le tamoul, </w:t>
      </w:r>
      <w:r w:rsidRPr="009F43DE">
        <w:rPr>
          <w:lang w:val="fr-CH"/>
        </w:rPr>
        <w:t xml:space="preserve">2 207 </w:t>
      </w:r>
      <w:r w:rsidR="0004555F" w:rsidRPr="009F43DE">
        <w:rPr>
          <w:lang w:val="fr-CH"/>
        </w:rPr>
        <w:t>sont</w:t>
      </w:r>
      <w:r w:rsidR="00EB09B4" w:rsidRPr="009F43DE">
        <w:rPr>
          <w:lang w:val="fr-CH"/>
        </w:rPr>
        <w:t xml:space="preserve"> en poste d</w:t>
      </w:r>
      <w:r w:rsidRPr="009F43DE">
        <w:rPr>
          <w:lang w:val="fr-CH"/>
        </w:rPr>
        <w:t>ans le nord</w:t>
      </w:r>
      <w:r w:rsidR="00EB09B4" w:rsidRPr="009F43DE">
        <w:rPr>
          <w:lang w:val="fr-CH"/>
        </w:rPr>
        <w:t xml:space="preserve"> et</w:t>
      </w:r>
      <w:r w:rsidRPr="009F43DE">
        <w:rPr>
          <w:lang w:val="fr-CH"/>
        </w:rPr>
        <w:t xml:space="preserve"> 2 326 </w:t>
      </w:r>
      <w:r w:rsidR="0004555F" w:rsidRPr="009F43DE">
        <w:rPr>
          <w:lang w:val="fr-CH"/>
        </w:rPr>
        <w:t>sont en service da</w:t>
      </w:r>
      <w:r w:rsidRPr="009F43DE">
        <w:rPr>
          <w:lang w:val="fr-CH"/>
        </w:rPr>
        <w:t>ns la police d</w:t>
      </w:r>
      <w:r w:rsidR="0004555F" w:rsidRPr="009F43DE">
        <w:rPr>
          <w:lang w:val="fr-CH"/>
        </w:rPr>
        <w:t>e</w:t>
      </w:r>
      <w:r w:rsidRPr="009F43DE">
        <w:rPr>
          <w:lang w:val="fr-CH"/>
        </w:rPr>
        <w:t xml:space="preserve"> Sri Lanka. De plus, 3 849 civils tamouls du nord ont été recrutés pour le </w:t>
      </w:r>
      <w:r w:rsidRPr="009F43DE">
        <w:rPr>
          <w:color w:val="000000"/>
          <w:lang w:val="fr-CH"/>
        </w:rPr>
        <w:t xml:space="preserve">Département de la sécurité civile, dont 665 anciens combattants des </w:t>
      </w:r>
      <w:r w:rsidR="0004555F" w:rsidRPr="009F43DE">
        <w:rPr>
          <w:color w:val="000000"/>
          <w:lang w:val="fr-CH"/>
        </w:rPr>
        <w:t xml:space="preserve">Tigres </w:t>
      </w:r>
      <w:r w:rsidR="0004555F" w:rsidRPr="009F43DE">
        <w:rPr>
          <w:rStyle w:val="fr"/>
          <w:bCs/>
          <w:color w:val="000000"/>
          <w:lang w:val="fr-CH"/>
        </w:rPr>
        <w:t>de libération de l</w:t>
      </w:r>
      <w:r w:rsidR="00F8384A" w:rsidRPr="009F43DE">
        <w:rPr>
          <w:rStyle w:val="fr"/>
          <w:bCs/>
          <w:color w:val="000000"/>
          <w:lang w:val="fr-CH"/>
        </w:rPr>
        <w:t>’</w:t>
      </w:r>
      <w:r w:rsidR="0004555F" w:rsidRPr="009F43DE">
        <w:rPr>
          <w:rStyle w:val="fr"/>
          <w:bCs/>
          <w:color w:val="000000"/>
          <w:lang w:val="fr-CH"/>
        </w:rPr>
        <w:t>Eelam tamoul</w:t>
      </w:r>
      <w:r w:rsidRPr="009F43DE">
        <w:rPr>
          <w:color w:val="000000"/>
          <w:lang w:val="fr-CH"/>
        </w:rPr>
        <w:t>. Des mesures sont également prises pour promouvoir l</w:t>
      </w:r>
      <w:r w:rsidR="00F8384A" w:rsidRPr="009F43DE">
        <w:rPr>
          <w:color w:val="000000"/>
          <w:lang w:val="fr-CH"/>
        </w:rPr>
        <w:t>’</w:t>
      </w:r>
      <w:r w:rsidRPr="009F43DE">
        <w:rPr>
          <w:color w:val="000000"/>
          <w:lang w:val="fr-CH"/>
        </w:rPr>
        <w:t>harmonie ethnique et culturelle</w:t>
      </w:r>
      <w:r w:rsidRPr="009F43DE">
        <w:rPr>
          <w:lang w:val="fr-CH"/>
        </w:rPr>
        <w:t xml:space="preserve"> dans les programmes scolaires, l</w:t>
      </w:r>
      <w:r w:rsidR="00F8384A" w:rsidRPr="009F43DE">
        <w:rPr>
          <w:lang w:val="fr-CH"/>
        </w:rPr>
        <w:t>’</w:t>
      </w:r>
      <w:r w:rsidRPr="009F43DE">
        <w:rPr>
          <w:lang w:val="fr-CH"/>
        </w:rPr>
        <w:t xml:space="preserve">enseignement supérieur, les sports et les arts. </w:t>
      </w:r>
      <w:r w:rsidR="0004555F" w:rsidRPr="009F43DE">
        <w:rPr>
          <w:lang w:val="fr-CH"/>
        </w:rPr>
        <w:t>Elles</w:t>
      </w:r>
      <w:r w:rsidRPr="009F43DE">
        <w:rPr>
          <w:lang w:val="fr-CH"/>
        </w:rPr>
        <w:t xml:space="preserve"> </w:t>
      </w:r>
      <w:r w:rsidR="0004555F" w:rsidRPr="009F43DE">
        <w:rPr>
          <w:lang w:val="fr-CH"/>
        </w:rPr>
        <w:t xml:space="preserve">font suite à </w:t>
      </w:r>
      <w:r w:rsidRPr="009F43DE">
        <w:rPr>
          <w:lang w:val="fr-CH"/>
        </w:rPr>
        <w:t xml:space="preserve">la diminution du nombre de membres de la communauté tamoule dans la fonction publique </w:t>
      </w:r>
      <w:r w:rsidR="0004555F" w:rsidRPr="009F43DE">
        <w:rPr>
          <w:lang w:val="fr-CH"/>
        </w:rPr>
        <w:t>durant</w:t>
      </w:r>
      <w:r w:rsidRPr="009F43DE">
        <w:rPr>
          <w:lang w:val="fr-CH"/>
        </w:rPr>
        <w:t xml:space="preserve"> trois décennies </w:t>
      </w:r>
      <w:r w:rsidR="0004555F" w:rsidRPr="009F43DE">
        <w:rPr>
          <w:lang w:val="fr-CH"/>
        </w:rPr>
        <w:t xml:space="preserve">du fait des </w:t>
      </w:r>
      <w:r w:rsidRPr="009F43DE">
        <w:rPr>
          <w:lang w:val="fr-CH"/>
        </w:rPr>
        <w:t>menaces</w:t>
      </w:r>
      <w:r w:rsidR="0004555F" w:rsidRPr="009F43DE">
        <w:rPr>
          <w:lang w:val="fr-CH"/>
        </w:rPr>
        <w:t xml:space="preserve"> représentées par l</w:t>
      </w:r>
      <w:r w:rsidRPr="009F43DE">
        <w:rPr>
          <w:color w:val="000000"/>
          <w:lang w:val="fr-CH"/>
        </w:rPr>
        <w:t xml:space="preserve">es </w:t>
      </w:r>
      <w:r w:rsidR="0004555F" w:rsidRPr="009F43DE">
        <w:rPr>
          <w:color w:val="000000"/>
          <w:lang w:val="fr-CH"/>
        </w:rPr>
        <w:t xml:space="preserve">Tigres </w:t>
      </w:r>
      <w:r w:rsidR="0004555F" w:rsidRPr="009F43DE">
        <w:rPr>
          <w:rStyle w:val="fr"/>
          <w:bCs/>
          <w:color w:val="000000"/>
          <w:lang w:val="fr-CH"/>
        </w:rPr>
        <w:t>de libération de l</w:t>
      </w:r>
      <w:r w:rsidR="00F8384A" w:rsidRPr="009F43DE">
        <w:rPr>
          <w:rStyle w:val="fr"/>
          <w:bCs/>
          <w:color w:val="000000"/>
          <w:lang w:val="fr-CH"/>
        </w:rPr>
        <w:t>’</w:t>
      </w:r>
      <w:r w:rsidR="0004555F" w:rsidRPr="009F43DE">
        <w:rPr>
          <w:rStyle w:val="fr"/>
          <w:bCs/>
          <w:color w:val="000000"/>
          <w:lang w:val="fr-CH"/>
        </w:rPr>
        <w:t>Eelam tamoul</w:t>
      </w:r>
      <w:r w:rsidRPr="009F43DE">
        <w:rPr>
          <w:color w:val="000000"/>
          <w:lang w:val="fr-CH"/>
        </w:rPr>
        <w:t xml:space="preserve"> et des représailles contre les membres de la</w:t>
      </w:r>
      <w:r w:rsidRPr="009F43DE">
        <w:rPr>
          <w:lang w:val="fr-CH"/>
        </w:rPr>
        <w:t xml:space="preserve"> communauté tamoule travaillant dans la fonction publique.</w:t>
      </w:r>
    </w:p>
    <w:p w:rsidR="00E5029E" w:rsidRPr="009F43DE" w:rsidRDefault="00E5029E" w:rsidP="00E5029E">
      <w:pPr>
        <w:pStyle w:val="SingleTxtG"/>
        <w:rPr>
          <w:lang w:val="fr-CH"/>
        </w:rPr>
      </w:pPr>
      <w:r w:rsidRPr="009F43DE">
        <w:rPr>
          <w:lang w:val="fr-CH"/>
        </w:rPr>
        <w:t>171.</w:t>
      </w:r>
      <w:r w:rsidRPr="009F43DE">
        <w:rPr>
          <w:lang w:val="fr-CH"/>
        </w:rPr>
        <w:tab/>
        <w:t>Le</w:t>
      </w:r>
      <w:r w:rsidR="0004555F" w:rsidRPr="009F43DE">
        <w:rPr>
          <w:lang w:val="fr-CH"/>
        </w:rPr>
        <w:t>s autorités ont</w:t>
      </w:r>
      <w:r w:rsidRPr="009F43DE">
        <w:rPr>
          <w:lang w:val="fr-CH"/>
        </w:rPr>
        <w:t xml:space="preserve"> également pris des mesures pour </w:t>
      </w:r>
      <w:r w:rsidR="00E36450" w:rsidRPr="009F43DE">
        <w:rPr>
          <w:lang w:val="fr-CH"/>
        </w:rPr>
        <w:t xml:space="preserve">mettre fin à </w:t>
      </w:r>
      <w:r w:rsidRPr="009F43DE">
        <w:rPr>
          <w:lang w:val="fr-CH"/>
        </w:rPr>
        <w:t xml:space="preserve">la polarisation </w:t>
      </w:r>
      <w:r w:rsidR="00E36450" w:rsidRPr="009F43DE">
        <w:rPr>
          <w:lang w:val="fr-CH"/>
        </w:rPr>
        <w:t>des</w:t>
      </w:r>
      <w:r w:rsidRPr="009F43DE">
        <w:rPr>
          <w:lang w:val="fr-CH"/>
        </w:rPr>
        <w:t xml:space="preserve"> forces armées </w:t>
      </w:r>
      <w:r w:rsidR="00E36450" w:rsidRPr="009F43DE">
        <w:rPr>
          <w:lang w:val="fr-CH"/>
        </w:rPr>
        <w:t>sri-lankaises</w:t>
      </w:r>
      <w:r w:rsidRPr="009F43DE">
        <w:rPr>
          <w:lang w:val="fr-CH"/>
        </w:rPr>
        <w:t xml:space="preserve"> </w:t>
      </w:r>
      <w:r w:rsidR="00E36450" w:rsidRPr="009F43DE">
        <w:rPr>
          <w:lang w:val="fr-CH"/>
        </w:rPr>
        <w:t>intervenue durant le</w:t>
      </w:r>
      <w:r w:rsidRPr="009F43DE">
        <w:rPr>
          <w:lang w:val="fr-CH"/>
        </w:rPr>
        <w:t xml:space="preserve"> conflit entre le Gouvernement sri lankais et les</w:t>
      </w:r>
      <w:r w:rsidR="0004555F" w:rsidRPr="009F43DE">
        <w:rPr>
          <w:lang w:val="fr-CH"/>
        </w:rPr>
        <w:t xml:space="preserve"> Tigres de libération de l</w:t>
      </w:r>
      <w:r w:rsidR="00F8384A" w:rsidRPr="009F43DE">
        <w:rPr>
          <w:lang w:val="fr-CH"/>
        </w:rPr>
        <w:t>’</w:t>
      </w:r>
      <w:r w:rsidR="0004555F" w:rsidRPr="009F43DE">
        <w:rPr>
          <w:lang w:val="fr-CH"/>
        </w:rPr>
        <w:t>Eelam tamoul</w:t>
      </w:r>
      <w:r w:rsidRPr="009F43DE">
        <w:rPr>
          <w:lang w:val="fr-CH"/>
        </w:rPr>
        <w:t xml:space="preserve">. La première </w:t>
      </w:r>
      <w:r w:rsidR="00E36450" w:rsidRPr="009F43DE">
        <w:rPr>
          <w:lang w:val="fr-CH"/>
        </w:rPr>
        <w:t>promotion</w:t>
      </w:r>
      <w:r w:rsidRPr="009F43DE">
        <w:rPr>
          <w:lang w:val="fr-CH"/>
        </w:rPr>
        <w:t xml:space="preserve"> de femmes recrutées dans la </w:t>
      </w:r>
      <w:r w:rsidR="00E36450" w:rsidRPr="009F43DE">
        <w:rPr>
          <w:lang w:val="fr-CH"/>
        </w:rPr>
        <w:t xml:space="preserve">région de </w:t>
      </w:r>
      <w:r w:rsidRPr="009F43DE">
        <w:rPr>
          <w:lang w:val="fr-CH"/>
        </w:rPr>
        <w:t xml:space="preserve">Mullaitivu </w:t>
      </w:r>
      <w:r w:rsidR="00E36450" w:rsidRPr="009F43DE">
        <w:rPr>
          <w:lang w:val="fr-CH"/>
        </w:rPr>
        <w:t>(</w:t>
      </w:r>
      <w:r w:rsidR="001E0EBF">
        <w:rPr>
          <w:lang w:val="fr-CH"/>
        </w:rPr>
        <w:t>30</w:t>
      </w:r>
      <w:r w:rsidR="001E0EBF" w:rsidRPr="009F43DE">
        <w:rPr>
          <w:lang w:val="fr-CH"/>
        </w:rPr>
        <w:t xml:space="preserve"> </w:t>
      </w:r>
      <w:r w:rsidR="00E36450" w:rsidRPr="009F43DE">
        <w:rPr>
          <w:lang w:val="fr-CH"/>
        </w:rPr>
        <w:t xml:space="preserve">au total ) </w:t>
      </w:r>
      <w:r w:rsidRPr="009F43DE">
        <w:rPr>
          <w:lang w:val="fr-CH"/>
        </w:rPr>
        <w:t>a rejoint le service actif à l</w:t>
      </w:r>
      <w:r w:rsidR="00F8384A" w:rsidRPr="009F43DE">
        <w:rPr>
          <w:lang w:val="fr-CH"/>
        </w:rPr>
        <w:t>’</w:t>
      </w:r>
      <w:r w:rsidRPr="009F43DE">
        <w:rPr>
          <w:lang w:val="fr-CH"/>
        </w:rPr>
        <w:t>occasion d</w:t>
      </w:r>
      <w:r w:rsidR="00F8384A" w:rsidRPr="009F43DE">
        <w:rPr>
          <w:lang w:val="fr-CH"/>
        </w:rPr>
        <w:t>’</w:t>
      </w:r>
      <w:r w:rsidRPr="009F43DE">
        <w:rPr>
          <w:lang w:val="fr-CH"/>
        </w:rPr>
        <w:t xml:space="preserve">une cérémonie </w:t>
      </w:r>
      <w:r w:rsidR="00E36450" w:rsidRPr="009F43DE">
        <w:rPr>
          <w:lang w:val="fr-CH"/>
        </w:rPr>
        <w:t>haute en couleur tenue à</w:t>
      </w:r>
      <w:r w:rsidRPr="009F43DE">
        <w:rPr>
          <w:lang w:val="fr-CH"/>
        </w:rPr>
        <w:t xml:space="preserve"> Mullaitivu le 2 juillet 2014. </w:t>
      </w:r>
      <w:r w:rsidR="00E36450" w:rsidRPr="009F43DE">
        <w:rPr>
          <w:lang w:val="fr-CH"/>
        </w:rPr>
        <w:t>Cette cérémonie marquait</w:t>
      </w:r>
      <w:r w:rsidRPr="009F43DE">
        <w:rPr>
          <w:lang w:val="fr-CH"/>
        </w:rPr>
        <w:t xml:space="preserve"> </w:t>
      </w:r>
      <w:r w:rsidR="00E36450" w:rsidRPr="009F43DE">
        <w:rPr>
          <w:lang w:val="fr-CH"/>
        </w:rPr>
        <w:t>la fin d</w:t>
      </w:r>
      <w:r w:rsidR="00F8384A" w:rsidRPr="009F43DE">
        <w:rPr>
          <w:lang w:val="fr-CH"/>
        </w:rPr>
        <w:t>’</w:t>
      </w:r>
      <w:r w:rsidRPr="009F43DE">
        <w:rPr>
          <w:lang w:val="fr-CH"/>
        </w:rPr>
        <w:t xml:space="preserve">une formation de base de trois mois au </w:t>
      </w:r>
      <w:r w:rsidR="001E0EBF" w:rsidRPr="009F43DE">
        <w:rPr>
          <w:lang w:val="fr-CH"/>
        </w:rPr>
        <w:t>quartier général</w:t>
      </w:r>
      <w:r w:rsidRPr="009F43DE">
        <w:rPr>
          <w:lang w:val="fr-CH"/>
        </w:rPr>
        <w:t xml:space="preserve"> des forces de sécurité à Mullaitivu. Ces femmes-soldats sont destinées à assumer des fonctions de coordination civile.</w:t>
      </w:r>
    </w:p>
    <w:p w:rsidR="00E5029E" w:rsidRPr="009F43DE" w:rsidRDefault="00E5029E" w:rsidP="00E5029E">
      <w:pPr>
        <w:pStyle w:val="SingleTxtG"/>
        <w:rPr>
          <w:lang w:val="fr-CH"/>
        </w:rPr>
      </w:pPr>
      <w:r w:rsidRPr="009F43DE">
        <w:rPr>
          <w:lang w:val="fr-CH"/>
        </w:rPr>
        <w:t>172.</w:t>
      </w:r>
      <w:r w:rsidRPr="009F43DE">
        <w:rPr>
          <w:lang w:val="fr-CH"/>
        </w:rPr>
        <w:tab/>
        <w:t xml:space="preserve">Un plan national </w:t>
      </w:r>
      <w:r w:rsidR="00E36450" w:rsidRPr="009F43DE">
        <w:rPr>
          <w:lang w:val="fr-CH"/>
        </w:rPr>
        <w:t xml:space="preserve">sur </w:t>
      </w:r>
      <w:r w:rsidR="001E0EBF">
        <w:rPr>
          <w:lang w:val="fr-CH"/>
        </w:rPr>
        <w:t>dix</w:t>
      </w:r>
      <w:r w:rsidR="001E0EBF" w:rsidRPr="009F43DE">
        <w:rPr>
          <w:lang w:val="fr-CH"/>
        </w:rPr>
        <w:t xml:space="preserve"> </w:t>
      </w:r>
      <w:r w:rsidRPr="009F43DE">
        <w:rPr>
          <w:lang w:val="fr-CH"/>
        </w:rPr>
        <w:t>ans pour un</w:t>
      </w:r>
      <w:r w:rsidR="00E36450" w:rsidRPr="009F43DE">
        <w:rPr>
          <w:lang w:val="fr-CH"/>
        </w:rPr>
        <w:t>e</w:t>
      </w:r>
      <w:r w:rsidRPr="009F43DE">
        <w:rPr>
          <w:lang w:val="fr-CH"/>
        </w:rPr>
        <w:t xml:space="preserve"> Sri Lanka trilingue a été lancé en janvier 2012</w:t>
      </w:r>
      <w:r w:rsidR="00E36450" w:rsidRPr="009F43DE">
        <w:rPr>
          <w:lang w:val="fr-CH"/>
        </w:rPr>
        <w:t>.</w:t>
      </w:r>
      <w:r w:rsidRPr="009F43DE">
        <w:rPr>
          <w:lang w:val="fr-CH"/>
        </w:rPr>
        <w:t xml:space="preserve"> </w:t>
      </w:r>
      <w:r w:rsidR="00E36450" w:rsidRPr="009F43DE">
        <w:rPr>
          <w:lang w:val="fr-CH"/>
        </w:rPr>
        <w:t xml:space="preserve">Dans le cadre de </w:t>
      </w:r>
      <w:r w:rsidR="00F37622" w:rsidRPr="009F43DE">
        <w:rPr>
          <w:lang w:val="fr-CH"/>
        </w:rPr>
        <w:t>la</w:t>
      </w:r>
      <w:r w:rsidR="00E36450" w:rsidRPr="009F43DE">
        <w:rPr>
          <w:lang w:val="fr-CH"/>
        </w:rPr>
        <w:t xml:space="preserve"> politique de trilinguisme</w:t>
      </w:r>
      <w:r w:rsidRPr="009F43DE">
        <w:rPr>
          <w:lang w:val="fr-CH"/>
        </w:rPr>
        <w:t>, le</w:t>
      </w:r>
      <w:r w:rsidR="00E36450" w:rsidRPr="009F43DE">
        <w:rPr>
          <w:lang w:val="fr-CH"/>
        </w:rPr>
        <w:t>s autorités ont</w:t>
      </w:r>
      <w:r w:rsidRPr="009F43DE">
        <w:rPr>
          <w:lang w:val="fr-CH"/>
        </w:rPr>
        <w:t xml:space="preserve"> </w:t>
      </w:r>
      <w:r w:rsidR="00E36450" w:rsidRPr="009F43DE">
        <w:rPr>
          <w:lang w:val="fr-CH"/>
        </w:rPr>
        <w:t xml:space="preserve">introduit </w:t>
      </w:r>
      <w:r w:rsidRPr="009F43DE">
        <w:rPr>
          <w:lang w:val="fr-CH"/>
        </w:rPr>
        <w:t xml:space="preserve">un programme visant à </w:t>
      </w:r>
      <w:r w:rsidR="00E36450" w:rsidRPr="009F43DE">
        <w:rPr>
          <w:lang w:val="fr-CH"/>
        </w:rPr>
        <w:t>assurer le bilinguisme des agents de l</w:t>
      </w:r>
      <w:r w:rsidR="00F8384A" w:rsidRPr="009F43DE">
        <w:rPr>
          <w:lang w:val="fr-CH"/>
        </w:rPr>
        <w:t>’</w:t>
      </w:r>
      <w:r w:rsidR="007574C7" w:rsidRPr="009F43DE">
        <w:rPr>
          <w:lang w:val="fr-CH"/>
        </w:rPr>
        <w:t>État</w:t>
      </w:r>
      <w:r w:rsidR="00E36450" w:rsidRPr="009F43DE">
        <w:rPr>
          <w:lang w:val="fr-CH"/>
        </w:rPr>
        <w:t>, qui doivent pouvoir s</w:t>
      </w:r>
      <w:r w:rsidR="00F8384A" w:rsidRPr="009F43DE">
        <w:rPr>
          <w:lang w:val="fr-CH"/>
        </w:rPr>
        <w:t>’</w:t>
      </w:r>
      <w:r w:rsidR="00E36450" w:rsidRPr="009F43DE">
        <w:rPr>
          <w:lang w:val="fr-CH"/>
        </w:rPr>
        <w:t>exprimer en s</w:t>
      </w:r>
      <w:r w:rsidRPr="009F43DE">
        <w:rPr>
          <w:lang w:val="fr-CH"/>
        </w:rPr>
        <w:t xml:space="preserve">inghalais et </w:t>
      </w:r>
      <w:r w:rsidR="00E36450" w:rsidRPr="009F43DE">
        <w:rPr>
          <w:lang w:val="fr-CH"/>
        </w:rPr>
        <w:t xml:space="preserve">en </w:t>
      </w:r>
      <w:r w:rsidRPr="009F43DE">
        <w:rPr>
          <w:lang w:val="fr-CH"/>
        </w:rPr>
        <w:t xml:space="preserve">tamoul. Les fonctionnaires et les agents de police qui ont été recrutés et formés pour </w:t>
      </w:r>
      <w:r w:rsidR="00F37622" w:rsidRPr="009F43DE">
        <w:rPr>
          <w:lang w:val="fr-CH"/>
        </w:rPr>
        <w:t>assurer des services publics dans le</w:t>
      </w:r>
      <w:r w:rsidRPr="009F43DE">
        <w:rPr>
          <w:lang w:val="fr-CH"/>
        </w:rPr>
        <w:t xml:space="preserve"> </w:t>
      </w:r>
      <w:r w:rsidR="00F37622" w:rsidRPr="009F43DE">
        <w:rPr>
          <w:lang w:val="fr-CH"/>
        </w:rPr>
        <w:t>n</w:t>
      </w:r>
      <w:r w:rsidRPr="009F43DE">
        <w:rPr>
          <w:lang w:val="fr-CH"/>
        </w:rPr>
        <w:t>ord et l</w:t>
      </w:r>
      <w:r w:rsidR="00F8384A" w:rsidRPr="009F43DE">
        <w:rPr>
          <w:lang w:val="fr-CH"/>
        </w:rPr>
        <w:t>’</w:t>
      </w:r>
      <w:r w:rsidR="00F37622" w:rsidRPr="009F43DE">
        <w:rPr>
          <w:lang w:val="fr-CH"/>
        </w:rPr>
        <w:t>e</w:t>
      </w:r>
      <w:r w:rsidRPr="009F43DE">
        <w:rPr>
          <w:lang w:val="fr-CH"/>
        </w:rPr>
        <w:t xml:space="preserve">st </w:t>
      </w:r>
      <w:r w:rsidR="00F37622" w:rsidRPr="009F43DE">
        <w:rPr>
          <w:lang w:val="fr-CH"/>
        </w:rPr>
        <w:t>peuvent utiliser la</w:t>
      </w:r>
      <w:r w:rsidRPr="009F43DE">
        <w:rPr>
          <w:lang w:val="fr-CH"/>
        </w:rPr>
        <w:t xml:space="preserve"> langue de leur choix. Une attention particulière est </w:t>
      </w:r>
      <w:r w:rsidR="00F37622" w:rsidRPr="009F43DE">
        <w:rPr>
          <w:lang w:val="fr-CH"/>
        </w:rPr>
        <w:t>accordée à l</w:t>
      </w:r>
      <w:r w:rsidR="00F8384A" w:rsidRPr="009F43DE">
        <w:rPr>
          <w:lang w:val="fr-CH"/>
        </w:rPr>
        <w:t>’</w:t>
      </w:r>
      <w:r w:rsidR="00F37622" w:rsidRPr="009F43DE">
        <w:rPr>
          <w:lang w:val="fr-CH"/>
        </w:rPr>
        <w:t>affectation dans le nord de</w:t>
      </w:r>
      <w:r w:rsidRPr="009F43DE">
        <w:rPr>
          <w:lang w:val="fr-CH"/>
        </w:rPr>
        <w:t xml:space="preserve"> personnel de police </w:t>
      </w:r>
      <w:r w:rsidR="00F37622" w:rsidRPr="009F43DE">
        <w:rPr>
          <w:lang w:val="fr-CH"/>
        </w:rPr>
        <w:t>ayant</w:t>
      </w:r>
      <w:r w:rsidRPr="009F43DE">
        <w:rPr>
          <w:lang w:val="fr-CH"/>
        </w:rPr>
        <w:t xml:space="preserve"> une bonne connaissance du tamoul.</w:t>
      </w:r>
    </w:p>
    <w:p w:rsidR="00E5029E" w:rsidRPr="009F43DE" w:rsidRDefault="00E5029E" w:rsidP="00E5029E">
      <w:pPr>
        <w:pStyle w:val="SingleTxtG"/>
        <w:rPr>
          <w:lang w:val="fr-CH"/>
        </w:rPr>
      </w:pPr>
      <w:r w:rsidRPr="009F43DE">
        <w:rPr>
          <w:lang w:val="fr-CH"/>
        </w:rPr>
        <w:t>173.</w:t>
      </w:r>
      <w:r w:rsidRPr="009F43DE">
        <w:rPr>
          <w:lang w:val="fr-CH"/>
        </w:rPr>
        <w:tab/>
        <w:t>Le Département national de l</w:t>
      </w:r>
      <w:r w:rsidR="00F8384A" w:rsidRPr="009F43DE">
        <w:rPr>
          <w:lang w:val="fr-CH"/>
        </w:rPr>
        <w:t>’</w:t>
      </w:r>
      <w:r w:rsidRPr="009F43DE">
        <w:rPr>
          <w:lang w:val="fr-CH"/>
        </w:rPr>
        <w:t>état civil a pris des mesures pour délivrer des cartes d</w:t>
      </w:r>
      <w:r w:rsidR="00F8384A" w:rsidRPr="009F43DE">
        <w:rPr>
          <w:lang w:val="fr-CH"/>
        </w:rPr>
        <w:t>’</w:t>
      </w:r>
      <w:r w:rsidRPr="009F43DE">
        <w:rPr>
          <w:lang w:val="fr-CH"/>
        </w:rPr>
        <w:t xml:space="preserve">identité informatisées dans les deux langues nationales, le </w:t>
      </w:r>
      <w:r w:rsidR="00F37622" w:rsidRPr="009F43DE">
        <w:rPr>
          <w:lang w:val="fr-CH"/>
        </w:rPr>
        <w:t>s</w:t>
      </w:r>
      <w:r w:rsidRPr="009F43DE">
        <w:rPr>
          <w:lang w:val="fr-CH"/>
        </w:rPr>
        <w:t xml:space="preserve">inghalais et le tamoul. </w:t>
      </w:r>
      <w:r w:rsidR="00F37622" w:rsidRPr="009F43DE">
        <w:rPr>
          <w:lang w:val="fr-CH"/>
        </w:rPr>
        <w:t>Si</w:t>
      </w:r>
      <w:r w:rsidRPr="009F43DE">
        <w:rPr>
          <w:lang w:val="fr-CH"/>
        </w:rPr>
        <w:t xml:space="preserve"> les cartes d</w:t>
      </w:r>
      <w:r w:rsidR="00F8384A" w:rsidRPr="009F43DE">
        <w:rPr>
          <w:lang w:val="fr-CH"/>
        </w:rPr>
        <w:t>’</w:t>
      </w:r>
      <w:r w:rsidRPr="009F43DE">
        <w:rPr>
          <w:lang w:val="fr-CH"/>
        </w:rPr>
        <w:t xml:space="preserve">identité des communautés minoritaires sont déjà </w:t>
      </w:r>
      <w:r w:rsidR="00F37622" w:rsidRPr="009F43DE">
        <w:rPr>
          <w:lang w:val="fr-CH"/>
        </w:rPr>
        <w:t>délivrées</w:t>
      </w:r>
      <w:r w:rsidRPr="009F43DE">
        <w:rPr>
          <w:lang w:val="fr-CH"/>
        </w:rPr>
        <w:t xml:space="preserve"> en </w:t>
      </w:r>
      <w:r w:rsidR="00F37622" w:rsidRPr="009F43DE">
        <w:rPr>
          <w:lang w:val="fr-CH"/>
        </w:rPr>
        <w:t xml:space="preserve">version bilingue par souci </w:t>
      </w:r>
      <w:r w:rsidRPr="009F43DE">
        <w:rPr>
          <w:lang w:val="fr-CH"/>
        </w:rPr>
        <w:t>de commodité, la nouvelle décision sera applicable à toutes les cartes d</w:t>
      </w:r>
      <w:r w:rsidR="00F8384A" w:rsidRPr="009F43DE">
        <w:rPr>
          <w:lang w:val="fr-CH"/>
        </w:rPr>
        <w:t>’</w:t>
      </w:r>
      <w:r w:rsidRPr="009F43DE">
        <w:rPr>
          <w:lang w:val="fr-CH"/>
        </w:rPr>
        <w:t>identité, a</w:t>
      </w:r>
      <w:r w:rsidR="00F37622" w:rsidRPr="009F43DE">
        <w:rPr>
          <w:lang w:val="fr-CH"/>
        </w:rPr>
        <w:t xml:space="preserve">fin </w:t>
      </w:r>
      <w:r w:rsidRPr="009F43DE">
        <w:rPr>
          <w:lang w:val="fr-CH"/>
        </w:rPr>
        <w:t>d</w:t>
      </w:r>
      <w:r w:rsidR="00F8384A" w:rsidRPr="009F43DE">
        <w:rPr>
          <w:lang w:val="fr-CH"/>
        </w:rPr>
        <w:t>’</w:t>
      </w:r>
      <w:r w:rsidRPr="009F43DE">
        <w:rPr>
          <w:lang w:val="fr-CH"/>
        </w:rPr>
        <w:t>assurer l</w:t>
      </w:r>
      <w:r w:rsidR="00F8384A" w:rsidRPr="009F43DE">
        <w:rPr>
          <w:lang w:val="fr-CH"/>
        </w:rPr>
        <w:t>’</w:t>
      </w:r>
      <w:r w:rsidRPr="009F43DE">
        <w:rPr>
          <w:lang w:val="fr-CH"/>
        </w:rPr>
        <w:t>é</w:t>
      </w:r>
      <w:r w:rsidR="00F37622" w:rsidRPr="009F43DE">
        <w:rPr>
          <w:lang w:val="fr-CH"/>
        </w:rPr>
        <w:t>galité de</w:t>
      </w:r>
      <w:r w:rsidRPr="009F43DE">
        <w:rPr>
          <w:lang w:val="fr-CH"/>
        </w:rPr>
        <w:t xml:space="preserve"> tous les citoyens.</w:t>
      </w:r>
    </w:p>
    <w:p w:rsidR="00E5029E" w:rsidRPr="009F43DE" w:rsidRDefault="00E5029E" w:rsidP="00E5029E">
      <w:pPr>
        <w:pStyle w:val="H1G"/>
        <w:rPr>
          <w:lang w:val="fr-CH"/>
        </w:rPr>
      </w:pPr>
      <w:r w:rsidRPr="009F43DE">
        <w:rPr>
          <w:lang w:val="fr-CH"/>
        </w:rPr>
        <w:tab/>
      </w:r>
      <w:r w:rsidRPr="009F43DE">
        <w:rPr>
          <w:lang w:val="fr-CH"/>
        </w:rPr>
        <w:tab/>
        <w:t>Article 3</w:t>
      </w:r>
      <w:r w:rsidR="007738FD" w:rsidRPr="009F43DE">
        <w:rPr>
          <w:lang w:val="fr-CH"/>
        </w:rPr>
        <w:br/>
      </w:r>
      <w:r w:rsidRPr="009F43DE">
        <w:rPr>
          <w:lang w:val="fr-CH"/>
        </w:rPr>
        <w:t xml:space="preserve">Égalité </w:t>
      </w:r>
      <w:r w:rsidR="00F37622" w:rsidRPr="009F43DE">
        <w:rPr>
          <w:lang w:val="fr-CH"/>
        </w:rPr>
        <w:t>des</w:t>
      </w:r>
      <w:r w:rsidRPr="009F43DE">
        <w:rPr>
          <w:lang w:val="fr-CH"/>
        </w:rPr>
        <w:t xml:space="preserve"> sexes</w:t>
      </w:r>
    </w:p>
    <w:p w:rsidR="00E5029E" w:rsidRPr="009F43DE" w:rsidRDefault="00E5029E" w:rsidP="00E5029E">
      <w:pPr>
        <w:pStyle w:val="SingleTxtG"/>
        <w:rPr>
          <w:color w:val="000000"/>
          <w:lang w:val="fr-CH"/>
        </w:rPr>
      </w:pPr>
      <w:r w:rsidRPr="009F43DE">
        <w:rPr>
          <w:lang w:val="fr-CH"/>
        </w:rPr>
        <w:t>174.</w:t>
      </w:r>
      <w:r w:rsidRPr="009F43DE">
        <w:rPr>
          <w:lang w:val="fr-CH"/>
        </w:rPr>
        <w:tab/>
        <w:t>Comme indiqué dans les réponses aux paragraphes 15, 18, 24 et 36 des observations finales, le Gouvernem</w:t>
      </w:r>
      <w:r w:rsidRPr="009F43DE">
        <w:rPr>
          <w:color w:val="000000"/>
          <w:lang w:val="fr-CH"/>
        </w:rPr>
        <w:t xml:space="preserve">ent </w:t>
      </w:r>
      <w:r w:rsidR="00F37622" w:rsidRPr="009F43DE">
        <w:rPr>
          <w:color w:val="000000"/>
          <w:lang w:val="fr-CH"/>
        </w:rPr>
        <w:t xml:space="preserve">sri-lankais </w:t>
      </w:r>
      <w:r w:rsidRPr="009F43DE">
        <w:rPr>
          <w:color w:val="000000"/>
          <w:lang w:val="fr-CH"/>
        </w:rPr>
        <w:t>continue de s</w:t>
      </w:r>
      <w:r w:rsidR="00F8384A" w:rsidRPr="009F43DE">
        <w:rPr>
          <w:color w:val="000000"/>
          <w:lang w:val="fr-CH"/>
        </w:rPr>
        <w:t>’</w:t>
      </w:r>
      <w:r w:rsidRPr="009F43DE">
        <w:rPr>
          <w:color w:val="000000"/>
          <w:lang w:val="fr-CH"/>
        </w:rPr>
        <w:t>attacher à promouvoir l</w:t>
      </w:r>
      <w:r w:rsidR="00F8384A" w:rsidRPr="009F43DE">
        <w:rPr>
          <w:color w:val="000000"/>
          <w:lang w:val="fr-CH"/>
        </w:rPr>
        <w:t>’</w:t>
      </w:r>
      <w:r w:rsidRPr="009F43DE">
        <w:rPr>
          <w:color w:val="000000"/>
          <w:lang w:val="fr-CH"/>
        </w:rPr>
        <w:t xml:space="preserve">égalité </w:t>
      </w:r>
      <w:r w:rsidR="00F37622" w:rsidRPr="009F43DE">
        <w:rPr>
          <w:color w:val="000000"/>
          <w:lang w:val="fr-CH"/>
        </w:rPr>
        <w:t>des</w:t>
      </w:r>
      <w:r w:rsidRPr="009F43DE">
        <w:rPr>
          <w:color w:val="000000"/>
          <w:lang w:val="fr-CH"/>
        </w:rPr>
        <w:t xml:space="preserve"> sexes et à lutter contre la violence à l</w:t>
      </w:r>
      <w:r w:rsidR="00F8384A" w:rsidRPr="009F43DE">
        <w:rPr>
          <w:color w:val="000000"/>
          <w:lang w:val="fr-CH"/>
        </w:rPr>
        <w:t>’</w:t>
      </w:r>
      <w:r w:rsidRPr="009F43DE">
        <w:rPr>
          <w:color w:val="000000"/>
          <w:lang w:val="fr-CH"/>
        </w:rPr>
        <w:t>égard des femmes et des filles grâce à plusieurs mesures législatives et politiques et divers plans d</w:t>
      </w:r>
      <w:r w:rsidR="00F8384A" w:rsidRPr="009F43DE">
        <w:rPr>
          <w:color w:val="000000"/>
          <w:lang w:val="fr-CH"/>
        </w:rPr>
        <w:t>’</w:t>
      </w:r>
      <w:r w:rsidRPr="009F43DE">
        <w:rPr>
          <w:color w:val="000000"/>
          <w:lang w:val="fr-CH"/>
        </w:rPr>
        <w:t>action.</w:t>
      </w:r>
    </w:p>
    <w:p w:rsidR="00E5029E" w:rsidRPr="009F43DE" w:rsidRDefault="00E5029E" w:rsidP="00E5029E">
      <w:pPr>
        <w:pStyle w:val="SingleTxtG"/>
        <w:rPr>
          <w:lang w:val="fr-CH"/>
        </w:rPr>
      </w:pPr>
      <w:r w:rsidRPr="009F43DE">
        <w:rPr>
          <w:color w:val="000000"/>
          <w:lang w:val="fr-CH"/>
        </w:rPr>
        <w:t>175.</w:t>
      </w:r>
      <w:r w:rsidRPr="009F43DE">
        <w:rPr>
          <w:color w:val="000000"/>
          <w:lang w:val="fr-CH"/>
        </w:rPr>
        <w:tab/>
        <w:t xml:space="preserve">Pour ce qui est des services professionnels, la participation des femmes est en hausse mais </w:t>
      </w:r>
      <w:r w:rsidR="00AD4FD4" w:rsidRPr="009F43DE">
        <w:rPr>
          <w:color w:val="000000"/>
          <w:lang w:val="fr-CH"/>
        </w:rPr>
        <w:t>cette évolution est</w:t>
      </w:r>
      <w:r w:rsidRPr="009F43DE">
        <w:rPr>
          <w:color w:val="000000"/>
          <w:lang w:val="fr-CH"/>
        </w:rPr>
        <w:t xml:space="preserve"> fondée exclusivement sur le mérite et non sur des quotas par sexe. De plus en plus de femmes continuent d</w:t>
      </w:r>
      <w:r w:rsidR="00F8384A" w:rsidRPr="009F43DE">
        <w:rPr>
          <w:color w:val="000000"/>
          <w:lang w:val="fr-CH"/>
        </w:rPr>
        <w:t>’</w:t>
      </w:r>
      <w:r w:rsidRPr="009F43DE">
        <w:rPr>
          <w:color w:val="000000"/>
          <w:lang w:val="fr-CH"/>
        </w:rPr>
        <w:t>accéder à des secteurs d</w:t>
      </w:r>
      <w:r w:rsidR="00F8384A" w:rsidRPr="009F43DE">
        <w:rPr>
          <w:color w:val="000000"/>
          <w:lang w:val="fr-CH"/>
        </w:rPr>
        <w:t>’</w:t>
      </w:r>
      <w:r w:rsidRPr="009F43DE">
        <w:rPr>
          <w:color w:val="000000"/>
          <w:lang w:val="fr-CH"/>
        </w:rPr>
        <w:t>emploi qui étaient jusque-là dominés par les hommes ou leur étaient exclusivement réservés, tels que le secteur judiciaire, la direction d</w:t>
      </w:r>
      <w:r w:rsidR="00F8384A" w:rsidRPr="009F43DE">
        <w:rPr>
          <w:color w:val="000000"/>
          <w:lang w:val="fr-CH"/>
        </w:rPr>
        <w:t>’</w:t>
      </w:r>
      <w:r w:rsidRPr="009F43DE">
        <w:rPr>
          <w:color w:val="000000"/>
          <w:lang w:val="fr-CH"/>
        </w:rPr>
        <w:t>entreprise, la banque et l</w:t>
      </w:r>
      <w:r w:rsidR="00F8384A" w:rsidRPr="009F43DE">
        <w:rPr>
          <w:color w:val="000000"/>
          <w:lang w:val="fr-CH"/>
        </w:rPr>
        <w:t>’</w:t>
      </w:r>
      <w:r w:rsidRPr="009F43DE">
        <w:rPr>
          <w:color w:val="000000"/>
          <w:lang w:val="fr-CH"/>
        </w:rPr>
        <w:t>ingénierie. Certains postes éminents au sein de l</w:t>
      </w:r>
      <w:r w:rsidR="00F8384A" w:rsidRPr="009F43DE">
        <w:rPr>
          <w:color w:val="000000"/>
          <w:lang w:val="fr-CH"/>
        </w:rPr>
        <w:t>’</w:t>
      </w:r>
      <w:r w:rsidRPr="009F43DE">
        <w:rPr>
          <w:color w:val="000000"/>
          <w:lang w:val="fr-CH"/>
        </w:rPr>
        <w:t xml:space="preserve">administration, notamment </w:t>
      </w:r>
      <w:r w:rsidR="00AD4FD4" w:rsidRPr="009F43DE">
        <w:rPr>
          <w:color w:val="000000"/>
          <w:lang w:val="fr-CH"/>
        </w:rPr>
        <w:t>ceux de</w:t>
      </w:r>
      <w:r w:rsidRPr="009F43DE">
        <w:rPr>
          <w:color w:val="000000"/>
          <w:lang w:val="fr-CH"/>
        </w:rPr>
        <w:t xml:space="preserve"> </w:t>
      </w:r>
      <w:r w:rsidR="001E0EBF">
        <w:rPr>
          <w:color w:val="000000"/>
          <w:lang w:val="fr-CH"/>
        </w:rPr>
        <w:t>p</w:t>
      </w:r>
      <w:r w:rsidRPr="009F43DE">
        <w:rPr>
          <w:color w:val="000000"/>
          <w:lang w:val="fr-CH"/>
        </w:rPr>
        <w:t xml:space="preserve">résident de la Cour suprême, </w:t>
      </w:r>
      <w:r w:rsidR="00AD4FD4" w:rsidRPr="009F43DE">
        <w:rPr>
          <w:color w:val="000000"/>
          <w:lang w:val="fr-CH"/>
        </w:rPr>
        <w:t>de</w:t>
      </w:r>
      <w:r w:rsidRPr="009F43DE">
        <w:rPr>
          <w:color w:val="000000"/>
          <w:lang w:val="fr-CH"/>
        </w:rPr>
        <w:t xml:space="preserve"> </w:t>
      </w:r>
      <w:r w:rsidR="001E0EBF">
        <w:rPr>
          <w:color w:val="000000"/>
          <w:lang w:val="fr-CH"/>
        </w:rPr>
        <w:t>p</w:t>
      </w:r>
      <w:r w:rsidR="001E0EBF" w:rsidRPr="009F43DE">
        <w:rPr>
          <w:color w:val="000000"/>
          <w:lang w:val="fr-CH"/>
        </w:rPr>
        <w:t xml:space="preserve">rocureur </w:t>
      </w:r>
      <w:r w:rsidRPr="009F43DE">
        <w:rPr>
          <w:color w:val="000000"/>
          <w:lang w:val="fr-CH"/>
        </w:rPr>
        <w:t xml:space="preserve">général, </w:t>
      </w:r>
      <w:r w:rsidR="00AD4FD4" w:rsidRPr="009F43DE">
        <w:rPr>
          <w:color w:val="000000"/>
          <w:lang w:val="fr-CH"/>
        </w:rPr>
        <w:t>d</w:t>
      </w:r>
      <w:r w:rsidRPr="009F43DE">
        <w:rPr>
          <w:color w:val="000000"/>
          <w:lang w:val="fr-CH"/>
        </w:rPr>
        <w:t xml:space="preserve">e </w:t>
      </w:r>
      <w:r w:rsidR="001E0EBF">
        <w:rPr>
          <w:color w:val="000000"/>
          <w:lang w:val="fr-CH"/>
        </w:rPr>
        <w:t>p</w:t>
      </w:r>
      <w:r w:rsidR="001E0EBF" w:rsidRPr="009F43DE">
        <w:rPr>
          <w:color w:val="000000"/>
          <w:lang w:val="fr-CH"/>
        </w:rPr>
        <w:t xml:space="preserve">résident </w:t>
      </w:r>
      <w:r w:rsidRPr="009F43DE">
        <w:rPr>
          <w:color w:val="000000"/>
          <w:lang w:val="fr-CH"/>
        </w:rPr>
        <w:t xml:space="preserve">de la Commission des bourses universitaires, </w:t>
      </w:r>
      <w:r w:rsidR="00AD4FD4" w:rsidRPr="009F43DE">
        <w:rPr>
          <w:color w:val="000000"/>
          <w:lang w:val="fr-CH"/>
        </w:rPr>
        <w:t xml:space="preserve">de </w:t>
      </w:r>
      <w:r w:rsidR="001E0EBF">
        <w:rPr>
          <w:color w:val="000000"/>
          <w:lang w:val="fr-CH"/>
        </w:rPr>
        <w:t>r</w:t>
      </w:r>
      <w:r w:rsidR="001E0EBF" w:rsidRPr="009F43DE">
        <w:rPr>
          <w:color w:val="000000"/>
          <w:lang w:val="fr-CH"/>
        </w:rPr>
        <w:t xml:space="preserve">apporteur </w:t>
      </w:r>
      <w:r w:rsidRPr="009F43DE">
        <w:rPr>
          <w:color w:val="000000"/>
          <w:lang w:val="fr-CH"/>
        </w:rPr>
        <w:t>juridique d</w:t>
      </w:r>
      <w:r w:rsidR="00AD4FD4" w:rsidRPr="009F43DE">
        <w:rPr>
          <w:color w:val="000000"/>
          <w:lang w:val="fr-CH"/>
        </w:rPr>
        <w:t>e</w:t>
      </w:r>
      <w:r w:rsidRPr="009F43DE">
        <w:rPr>
          <w:color w:val="000000"/>
          <w:lang w:val="fr-CH"/>
        </w:rPr>
        <w:t xml:space="preserve"> Sri Lanka, </w:t>
      </w:r>
      <w:r w:rsidR="00AD4FD4" w:rsidRPr="009F43DE">
        <w:rPr>
          <w:color w:val="000000"/>
          <w:lang w:val="fr-CH"/>
        </w:rPr>
        <w:t>de</w:t>
      </w:r>
      <w:r w:rsidRPr="009F43DE">
        <w:rPr>
          <w:color w:val="000000"/>
          <w:lang w:val="fr-CH"/>
        </w:rPr>
        <w:t xml:space="preserve"> secrétaires généraux de certains ministères tels que ceux des affaires étrangères et de la justice</w:t>
      </w:r>
      <w:r w:rsidR="00AD4FD4" w:rsidRPr="009F43DE">
        <w:rPr>
          <w:color w:val="000000"/>
          <w:lang w:val="fr-CH"/>
        </w:rPr>
        <w:t>,</w:t>
      </w:r>
      <w:r w:rsidRPr="009F43DE">
        <w:rPr>
          <w:color w:val="000000"/>
          <w:lang w:val="fr-CH"/>
        </w:rPr>
        <w:t xml:space="preserve"> ont été ou sont confiés à des femmes.</w:t>
      </w:r>
      <w:r w:rsidRPr="009F43DE">
        <w:rPr>
          <w:lang w:val="fr-CH"/>
        </w:rPr>
        <w:t xml:space="preserve"> La Cour suprême compte aujourd</w:t>
      </w:r>
      <w:r w:rsidR="00F8384A" w:rsidRPr="009F43DE">
        <w:rPr>
          <w:lang w:val="fr-CH"/>
        </w:rPr>
        <w:t>’</w:t>
      </w:r>
      <w:r w:rsidRPr="009F43DE">
        <w:rPr>
          <w:lang w:val="fr-CH"/>
        </w:rPr>
        <w:t>hui deux juges f</w:t>
      </w:r>
      <w:r w:rsidR="00AD4FD4" w:rsidRPr="009F43DE">
        <w:rPr>
          <w:lang w:val="fr-CH"/>
        </w:rPr>
        <w:t>emmes</w:t>
      </w:r>
      <w:r w:rsidRPr="009F43DE">
        <w:rPr>
          <w:lang w:val="fr-CH"/>
        </w:rPr>
        <w:t xml:space="preserve">. Plus de 80 fonctionnaires du Ministère de la </w:t>
      </w:r>
      <w:r w:rsidR="001E0EBF">
        <w:rPr>
          <w:lang w:val="fr-CH"/>
        </w:rPr>
        <w:t>j</w:t>
      </w:r>
      <w:r w:rsidR="001E0EBF" w:rsidRPr="009F43DE">
        <w:rPr>
          <w:lang w:val="fr-CH"/>
        </w:rPr>
        <w:t>ustice</w:t>
      </w:r>
      <w:r w:rsidR="00D52329" w:rsidRPr="009F43DE">
        <w:rPr>
          <w:lang w:val="fr-CH"/>
        </w:rPr>
        <w:t>, aux</w:t>
      </w:r>
      <w:r w:rsidRPr="009F43DE">
        <w:rPr>
          <w:lang w:val="fr-CH"/>
        </w:rPr>
        <w:t xml:space="preserve"> niveaux de conseiller d</w:t>
      </w:r>
      <w:r w:rsidR="00F8384A" w:rsidRPr="009F43DE">
        <w:rPr>
          <w:lang w:val="fr-CH"/>
        </w:rPr>
        <w:t>’</w:t>
      </w:r>
      <w:r w:rsidR="007574C7" w:rsidRPr="009F43DE">
        <w:rPr>
          <w:lang w:val="fr-CH"/>
        </w:rPr>
        <w:t>État</w:t>
      </w:r>
      <w:r w:rsidRPr="009F43DE">
        <w:rPr>
          <w:lang w:val="fr-CH"/>
        </w:rPr>
        <w:t>, conseiller d</w:t>
      </w:r>
      <w:r w:rsidR="00F8384A" w:rsidRPr="009F43DE">
        <w:rPr>
          <w:lang w:val="fr-CH"/>
        </w:rPr>
        <w:t>’</w:t>
      </w:r>
      <w:r w:rsidR="007574C7" w:rsidRPr="009F43DE">
        <w:rPr>
          <w:lang w:val="fr-CH"/>
        </w:rPr>
        <w:t>État</w:t>
      </w:r>
      <w:r w:rsidRPr="009F43DE">
        <w:rPr>
          <w:lang w:val="fr-CH"/>
        </w:rPr>
        <w:t xml:space="preserve"> en chef, procureur général adjoint, procureur général associé, avocat d</w:t>
      </w:r>
      <w:r w:rsidR="00F8384A" w:rsidRPr="009F43DE">
        <w:rPr>
          <w:lang w:val="fr-CH"/>
        </w:rPr>
        <w:t>’</w:t>
      </w:r>
      <w:r w:rsidR="007574C7" w:rsidRPr="009F43DE">
        <w:rPr>
          <w:lang w:val="fr-CH"/>
        </w:rPr>
        <w:t>État</w:t>
      </w:r>
      <w:r w:rsidRPr="009F43DE">
        <w:rPr>
          <w:lang w:val="fr-CH"/>
        </w:rPr>
        <w:t xml:space="preserve"> en chef, avocat d</w:t>
      </w:r>
      <w:r w:rsidR="00F8384A" w:rsidRPr="009F43DE">
        <w:rPr>
          <w:lang w:val="fr-CH"/>
        </w:rPr>
        <w:t>’</w:t>
      </w:r>
      <w:r w:rsidR="007574C7" w:rsidRPr="009F43DE">
        <w:rPr>
          <w:lang w:val="fr-CH"/>
        </w:rPr>
        <w:t>État</w:t>
      </w:r>
      <w:r w:rsidRPr="009F43DE">
        <w:rPr>
          <w:lang w:val="fr-CH"/>
        </w:rPr>
        <w:t xml:space="preserve"> et assistant avocat d</w:t>
      </w:r>
      <w:r w:rsidR="00F8384A" w:rsidRPr="009F43DE">
        <w:rPr>
          <w:lang w:val="fr-CH"/>
        </w:rPr>
        <w:t>’</w:t>
      </w:r>
      <w:r w:rsidR="007574C7" w:rsidRPr="009F43DE">
        <w:rPr>
          <w:lang w:val="fr-CH"/>
        </w:rPr>
        <w:t>État</w:t>
      </w:r>
      <w:r w:rsidR="00D52329" w:rsidRPr="009F43DE">
        <w:rPr>
          <w:lang w:val="fr-CH"/>
        </w:rPr>
        <w:t>,</w:t>
      </w:r>
      <w:r w:rsidRPr="009F43DE">
        <w:rPr>
          <w:lang w:val="fr-CH"/>
        </w:rPr>
        <w:t xml:space="preserve"> sont des femmes.</w:t>
      </w:r>
    </w:p>
    <w:p w:rsidR="00E5029E" w:rsidRPr="009F43DE" w:rsidRDefault="00E5029E" w:rsidP="00E5029E">
      <w:pPr>
        <w:pStyle w:val="SingleTxtG"/>
        <w:rPr>
          <w:lang w:val="fr-CH"/>
        </w:rPr>
      </w:pPr>
      <w:r w:rsidRPr="009F43DE">
        <w:rPr>
          <w:lang w:val="fr-CH"/>
        </w:rPr>
        <w:t>176.</w:t>
      </w:r>
      <w:r w:rsidRPr="009F43DE">
        <w:rPr>
          <w:lang w:val="fr-CH"/>
        </w:rPr>
        <w:tab/>
        <w:t>Le</w:t>
      </w:r>
      <w:r w:rsidR="00D52329" w:rsidRPr="009F43DE">
        <w:rPr>
          <w:lang w:val="fr-CH"/>
        </w:rPr>
        <w:t>s autorités cont</w:t>
      </w:r>
      <w:r w:rsidRPr="009F43DE">
        <w:rPr>
          <w:lang w:val="fr-CH"/>
        </w:rPr>
        <w:t>inue</w:t>
      </w:r>
      <w:r w:rsidR="00D52329" w:rsidRPr="009F43DE">
        <w:rPr>
          <w:lang w:val="fr-CH"/>
        </w:rPr>
        <w:t>nt</w:t>
      </w:r>
      <w:r w:rsidRPr="009F43DE">
        <w:rPr>
          <w:lang w:val="fr-CH"/>
        </w:rPr>
        <w:t xml:space="preserve"> d</w:t>
      </w:r>
      <w:r w:rsidR="00F8384A" w:rsidRPr="009F43DE">
        <w:rPr>
          <w:lang w:val="fr-CH"/>
        </w:rPr>
        <w:t>’</w:t>
      </w:r>
      <w:r w:rsidRPr="009F43DE">
        <w:rPr>
          <w:lang w:val="fr-CH"/>
        </w:rPr>
        <w:t>encourager la participation active des femmes à la</w:t>
      </w:r>
      <w:r w:rsidR="00D52329" w:rsidRPr="009F43DE">
        <w:rPr>
          <w:lang w:val="fr-CH"/>
        </w:rPr>
        <w:t xml:space="preserve"> vie</w:t>
      </w:r>
      <w:r w:rsidRPr="009F43DE">
        <w:rPr>
          <w:lang w:val="fr-CH"/>
        </w:rPr>
        <w:t xml:space="preserve"> politique. L</w:t>
      </w:r>
      <w:r w:rsidR="00F8384A" w:rsidRPr="009F43DE">
        <w:rPr>
          <w:lang w:val="fr-CH"/>
        </w:rPr>
        <w:t>’</w:t>
      </w:r>
      <w:r w:rsidRPr="009F43DE">
        <w:rPr>
          <w:lang w:val="fr-CH"/>
        </w:rPr>
        <w:t>a</w:t>
      </w:r>
      <w:r w:rsidR="00D52329" w:rsidRPr="009F43DE">
        <w:rPr>
          <w:lang w:val="fr-CH"/>
        </w:rPr>
        <w:t xml:space="preserve">linéa </w:t>
      </w:r>
      <w:r w:rsidR="00D52329" w:rsidRPr="001E0EBF">
        <w:rPr>
          <w:i/>
          <w:lang w:val="fr-CH"/>
        </w:rPr>
        <w:t>d</w:t>
      </w:r>
      <w:r w:rsidR="00D52329" w:rsidRPr="009F43DE">
        <w:rPr>
          <w:lang w:val="fr-CH"/>
        </w:rPr>
        <w:t xml:space="preserve"> du paragraphe 4 de l</w:t>
      </w:r>
      <w:r w:rsidR="00F8384A" w:rsidRPr="009F43DE">
        <w:rPr>
          <w:lang w:val="fr-CH"/>
        </w:rPr>
        <w:t>’</w:t>
      </w:r>
      <w:r w:rsidR="00D52329" w:rsidRPr="009F43DE">
        <w:rPr>
          <w:lang w:val="fr-CH"/>
        </w:rPr>
        <w:t>ar</w:t>
      </w:r>
      <w:r w:rsidRPr="009F43DE">
        <w:rPr>
          <w:lang w:val="fr-CH"/>
        </w:rPr>
        <w:t>ticle 7</w:t>
      </w:r>
      <w:r w:rsidR="00D52329" w:rsidRPr="009F43DE">
        <w:rPr>
          <w:lang w:val="fr-CH"/>
        </w:rPr>
        <w:t xml:space="preserve"> </w:t>
      </w:r>
      <w:r w:rsidRPr="009F43DE">
        <w:rPr>
          <w:lang w:val="fr-CH"/>
        </w:rPr>
        <w:t xml:space="preserve">de la </w:t>
      </w:r>
      <w:r w:rsidR="00D52329" w:rsidRPr="009F43DE">
        <w:rPr>
          <w:lang w:val="fr-CH"/>
        </w:rPr>
        <w:t>l</w:t>
      </w:r>
      <w:r w:rsidRPr="009F43DE">
        <w:rPr>
          <w:lang w:val="fr-CH"/>
        </w:rPr>
        <w:t xml:space="preserve">oi modificative </w:t>
      </w:r>
      <w:r w:rsidR="001E0EBF">
        <w:rPr>
          <w:lang w:val="fr-CH"/>
        </w:rPr>
        <w:t>n</w:t>
      </w:r>
      <w:r w:rsidR="001E0EBF" w:rsidRPr="001E0EBF">
        <w:rPr>
          <w:vertAlign w:val="superscript"/>
          <w:lang w:val="fr-CH"/>
        </w:rPr>
        <w:t>o</w:t>
      </w:r>
      <w:r w:rsidR="001E0EBF">
        <w:rPr>
          <w:lang w:val="fr-CH"/>
        </w:rPr>
        <w:t> </w:t>
      </w:r>
      <w:r w:rsidRPr="009F43DE">
        <w:rPr>
          <w:lang w:val="fr-CH"/>
        </w:rPr>
        <w:t>58 de 2009 sur les élections législatives prévoit</w:t>
      </w:r>
      <w:r w:rsidR="00D52329" w:rsidRPr="009F43DE">
        <w:rPr>
          <w:lang w:val="fr-CH"/>
        </w:rPr>
        <w:t>,</w:t>
      </w:r>
      <w:r w:rsidRPr="009F43DE">
        <w:rPr>
          <w:lang w:val="fr-CH"/>
        </w:rPr>
        <w:t xml:space="preserve"> afin de garantir une meilleure représentation des femmes dans les partis politiques et dans la </w:t>
      </w:r>
      <w:r w:rsidR="00D52329" w:rsidRPr="009F43DE">
        <w:rPr>
          <w:lang w:val="fr-CH"/>
        </w:rPr>
        <w:t xml:space="preserve">vie </w:t>
      </w:r>
      <w:r w:rsidRPr="009F43DE">
        <w:rPr>
          <w:lang w:val="fr-CH"/>
        </w:rPr>
        <w:t xml:space="preserve">politique, </w:t>
      </w:r>
      <w:r w:rsidR="00D52329" w:rsidRPr="009F43DE">
        <w:rPr>
          <w:lang w:val="fr-CH"/>
        </w:rPr>
        <w:t xml:space="preserve">que </w:t>
      </w:r>
      <w:r w:rsidRPr="009F43DE">
        <w:rPr>
          <w:lang w:val="fr-CH"/>
        </w:rPr>
        <w:t xml:space="preserve">chaque parti politique reconnu doit veiller à </w:t>
      </w:r>
      <w:r w:rsidR="00D52329" w:rsidRPr="009F43DE">
        <w:rPr>
          <w:lang w:val="fr-CH"/>
        </w:rPr>
        <w:t>ce qu</w:t>
      </w:r>
      <w:r w:rsidR="00F8384A" w:rsidRPr="009F43DE">
        <w:rPr>
          <w:lang w:val="fr-CH"/>
        </w:rPr>
        <w:t>’</w:t>
      </w:r>
      <w:r w:rsidR="00D52329" w:rsidRPr="009F43DE">
        <w:rPr>
          <w:lang w:val="fr-CH"/>
        </w:rPr>
        <w:t>une</w:t>
      </w:r>
      <w:r w:rsidRPr="009F43DE">
        <w:rPr>
          <w:lang w:val="fr-CH"/>
        </w:rPr>
        <w:t xml:space="preserve"> ou plusieurs femmes </w:t>
      </w:r>
      <w:r w:rsidR="00D52329" w:rsidRPr="009F43DE">
        <w:rPr>
          <w:lang w:val="fr-CH"/>
        </w:rPr>
        <w:t>fassent parti de son bureau</w:t>
      </w:r>
      <w:r w:rsidRPr="009F43DE">
        <w:rPr>
          <w:lang w:val="fr-CH"/>
        </w:rPr>
        <w:t>.</w:t>
      </w:r>
    </w:p>
    <w:p w:rsidR="00E5029E" w:rsidRPr="009F43DE" w:rsidRDefault="00E5029E" w:rsidP="00E5029E">
      <w:pPr>
        <w:pStyle w:val="H1G"/>
        <w:rPr>
          <w:lang w:val="fr-CH"/>
        </w:rPr>
      </w:pPr>
      <w:r w:rsidRPr="009F43DE">
        <w:rPr>
          <w:lang w:val="fr-CH"/>
        </w:rPr>
        <w:tab/>
      </w:r>
      <w:r w:rsidRPr="009F43DE">
        <w:rPr>
          <w:lang w:val="fr-CH"/>
        </w:rPr>
        <w:tab/>
        <w:t>Articles 4 et 5</w:t>
      </w:r>
      <w:r w:rsidR="007738FD" w:rsidRPr="009F43DE">
        <w:rPr>
          <w:lang w:val="fr-CH"/>
        </w:rPr>
        <w:br/>
      </w:r>
      <w:r w:rsidRPr="009F43DE">
        <w:rPr>
          <w:lang w:val="fr-CH"/>
        </w:rPr>
        <w:t xml:space="preserve">Restriction des limitations aux droits </w:t>
      </w:r>
      <w:r w:rsidR="00166723" w:rsidRPr="009F43DE">
        <w:rPr>
          <w:lang w:val="fr-CH"/>
        </w:rPr>
        <w:t>assurés conformément au</w:t>
      </w:r>
      <w:r w:rsidRPr="009F43DE">
        <w:rPr>
          <w:lang w:val="fr-CH"/>
        </w:rPr>
        <w:t xml:space="preserve"> Pacte et non-dérogation aux droits</w:t>
      </w:r>
    </w:p>
    <w:p w:rsidR="00E5029E" w:rsidRPr="009F43DE" w:rsidRDefault="00E5029E" w:rsidP="00E5029E">
      <w:pPr>
        <w:pStyle w:val="SingleTxtG"/>
        <w:rPr>
          <w:lang w:val="fr-CH"/>
        </w:rPr>
      </w:pPr>
      <w:r w:rsidRPr="009F43DE">
        <w:rPr>
          <w:lang w:val="fr-CH"/>
        </w:rPr>
        <w:t>177.</w:t>
      </w:r>
      <w:r w:rsidRPr="009F43DE">
        <w:rPr>
          <w:lang w:val="fr-CH"/>
        </w:rPr>
        <w:tab/>
        <w:t>Les limit</w:t>
      </w:r>
      <w:r w:rsidR="00166723" w:rsidRPr="009F43DE">
        <w:rPr>
          <w:lang w:val="fr-CH"/>
        </w:rPr>
        <w:t>ations</w:t>
      </w:r>
      <w:r w:rsidRPr="009F43DE">
        <w:rPr>
          <w:lang w:val="fr-CH"/>
        </w:rPr>
        <w:t xml:space="preserve"> </w:t>
      </w:r>
      <w:r w:rsidR="00166723" w:rsidRPr="009F43DE">
        <w:rPr>
          <w:lang w:val="fr-CH"/>
        </w:rPr>
        <w:t>aux</w:t>
      </w:r>
      <w:r w:rsidRPr="009F43DE">
        <w:rPr>
          <w:lang w:val="fr-CH"/>
        </w:rPr>
        <w:t xml:space="preserve"> droits </w:t>
      </w:r>
      <w:r w:rsidR="00166723" w:rsidRPr="009F43DE">
        <w:rPr>
          <w:lang w:val="fr-CH"/>
        </w:rPr>
        <w:t>assurés conformément au</w:t>
      </w:r>
      <w:r w:rsidRPr="009F43DE">
        <w:rPr>
          <w:lang w:val="fr-CH"/>
        </w:rPr>
        <w:t xml:space="preserve"> Pacte sont présentées </w:t>
      </w:r>
      <w:r w:rsidR="00166723" w:rsidRPr="009F43DE">
        <w:rPr>
          <w:lang w:val="fr-CH"/>
        </w:rPr>
        <w:t>au titre de</w:t>
      </w:r>
      <w:r w:rsidRPr="009F43DE">
        <w:rPr>
          <w:lang w:val="fr-CH"/>
        </w:rPr>
        <w:t xml:space="preserve"> l</w:t>
      </w:r>
      <w:r w:rsidR="00F8384A" w:rsidRPr="009F43DE">
        <w:rPr>
          <w:lang w:val="fr-CH"/>
        </w:rPr>
        <w:t>’</w:t>
      </w:r>
      <w:r w:rsidRPr="009F43DE">
        <w:rPr>
          <w:lang w:val="fr-CH"/>
        </w:rPr>
        <w:t xml:space="preserve">article </w:t>
      </w:r>
      <w:r w:rsidR="00166723" w:rsidRPr="009F43DE">
        <w:rPr>
          <w:lang w:val="fr-CH"/>
        </w:rPr>
        <w:t>concerné</w:t>
      </w:r>
      <w:r w:rsidRPr="009F43DE">
        <w:rPr>
          <w:lang w:val="fr-CH"/>
        </w:rPr>
        <w:t>.</w:t>
      </w:r>
    </w:p>
    <w:p w:rsidR="00E5029E" w:rsidRPr="009F43DE" w:rsidRDefault="00E5029E" w:rsidP="00E5029E">
      <w:pPr>
        <w:pStyle w:val="H1G"/>
        <w:rPr>
          <w:lang w:val="fr-CH"/>
        </w:rPr>
      </w:pPr>
      <w:r w:rsidRPr="009F43DE">
        <w:rPr>
          <w:lang w:val="fr-CH"/>
        </w:rPr>
        <w:tab/>
      </w:r>
      <w:r w:rsidRPr="009F43DE">
        <w:rPr>
          <w:lang w:val="fr-CH"/>
        </w:rPr>
        <w:tab/>
        <w:t>Article 6</w:t>
      </w:r>
      <w:r w:rsidR="007738FD" w:rsidRPr="009F43DE">
        <w:rPr>
          <w:lang w:val="fr-CH"/>
        </w:rPr>
        <w:br/>
      </w:r>
      <w:r w:rsidRPr="009F43DE">
        <w:rPr>
          <w:lang w:val="fr-CH"/>
        </w:rPr>
        <w:t>Droit au travail</w:t>
      </w:r>
    </w:p>
    <w:p w:rsidR="00E5029E" w:rsidRPr="009F43DE" w:rsidRDefault="00E5029E" w:rsidP="00AE2E29">
      <w:pPr>
        <w:pStyle w:val="H23G"/>
        <w:rPr>
          <w:lang w:val="fr-CH"/>
        </w:rPr>
      </w:pPr>
      <w:r w:rsidRPr="009F43DE">
        <w:rPr>
          <w:lang w:val="fr-CH"/>
        </w:rPr>
        <w:tab/>
      </w:r>
      <w:r w:rsidRPr="009F43DE">
        <w:rPr>
          <w:lang w:val="fr-CH"/>
        </w:rPr>
        <w:tab/>
        <w:t>Protection contre la discrimination dans l</w:t>
      </w:r>
      <w:r w:rsidR="00F8384A" w:rsidRPr="009F43DE">
        <w:rPr>
          <w:lang w:val="fr-CH"/>
        </w:rPr>
        <w:t>’</w:t>
      </w:r>
      <w:r w:rsidRPr="009F43DE">
        <w:rPr>
          <w:lang w:val="fr-CH"/>
        </w:rPr>
        <w:t>emploi et la profession</w:t>
      </w:r>
    </w:p>
    <w:p w:rsidR="00E5029E" w:rsidRPr="009F43DE" w:rsidRDefault="00E5029E" w:rsidP="00E5029E">
      <w:pPr>
        <w:pStyle w:val="SingleTxtG"/>
        <w:rPr>
          <w:lang w:val="fr-CH"/>
        </w:rPr>
      </w:pPr>
      <w:r w:rsidRPr="009F43DE">
        <w:rPr>
          <w:lang w:val="fr-CH"/>
        </w:rPr>
        <w:t>178.</w:t>
      </w:r>
      <w:r w:rsidRPr="009F43DE">
        <w:rPr>
          <w:lang w:val="fr-CH"/>
        </w:rPr>
        <w:tab/>
        <w:t xml:space="preserve">Les articles 12, 14 et 17 de la Constitution </w:t>
      </w:r>
      <w:r w:rsidR="00166723" w:rsidRPr="009F43DE">
        <w:rPr>
          <w:lang w:val="fr-CH"/>
        </w:rPr>
        <w:t>contiennent des</w:t>
      </w:r>
      <w:r w:rsidRPr="009F43DE">
        <w:rPr>
          <w:lang w:val="fr-CH"/>
        </w:rPr>
        <w:t xml:space="preserve"> dispositions </w:t>
      </w:r>
      <w:r w:rsidR="00166723" w:rsidRPr="009F43DE">
        <w:rPr>
          <w:lang w:val="fr-CH"/>
        </w:rPr>
        <w:t>concernant les</w:t>
      </w:r>
      <w:r w:rsidRPr="009F43DE">
        <w:rPr>
          <w:lang w:val="fr-CH"/>
        </w:rPr>
        <w:t xml:space="preserve"> droits fondamentaux </w:t>
      </w:r>
      <w:r w:rsidR="00166723" w:rsidRPr="009F43DE">
        <w:rPr>
          <w:lang w:val="fr-CH"/>
        </w:rPr>
        <w:t>de</w:t>
      </w:r>
      <w:r w:rsidRPr="009F43DE">
        <w:rPr>
          <w:lang w:val="fr-CH"/>
        </w:rPr>
        <w:t xml:space="preserve"> tous les citoyens. </w:t>
      </w:r>
      <w:r w:rsidR="00166723" w:rsidRPr="009F43DE">
        <w:rPr>
          <w:lang w:val="fr-CH"/>
        </w:rPr>
        <w:t>Aux termes de</w:t>
      </w:r>
      <w:r w:rsidRPr="009F43DE">
        <w:rPr>
          <w:lang w:val="fr-CH"/>
        </w:rPr>
        <w:t xml:space="preserve"> l</w:t>
      </w:r>
      <w:r w:rsidR="00F8384A" w:rsidRPr="009F43DE">
        <w:rPr>
          <w:lang w:val="fr-CH"/>
        </w:rPr>
        <w:t>’</w:t>
      </w:r>
      <w:r w:rsidRPr="009F43DE">
        <w:rPr>
          <w:lang w:val="fr-CH"/>
        </w:rPr>
        <w:t>article 14 de la Constitution, le Gouvernement sri</w:t>
      </w:r>
      <w:r w:rsidR="00166723" w:rsidRPr="009F43DE">
        <w:rPr>
          <w:lang w:val="fr-CH"/>
        </w:rPr>
        <w:t>-</w:t>
      </w:r>
      <w:r w:rsidRPr="009F43DE">
        <w:rPr>
          <w:lang w:val="fr-CH"/>
        </w:rPr>
        <w:t xml:space="preserve">lankais reconnaît la liberté de chaque citoyen de </w:t>
      </w:r>
      <w:r w:rsidR="00166723" w:rsidRPr="009F43DE">
        <w:rPr>
          <w:lang w:val="fr-CH"/>
        </w:rPr>
        <w:t>constituer un syndicat, de s</w:t>
      </w:r>
      <w:r w:rsidR="00F8384A" w:rsidRPr="009F43DE">
        <w:rPr>
          <w:lang w:val="fr-CH"/>
        </w:rPr>
        <w:t>’</w:t>
      </w:r>
      <w:r w:rsidR="00166723" w:rsidRPr="009F43DE">
        <w:rPr>
          <w:lang w:val="fr-CH"/>
        </w:rPr>
        <w:t xml:space="preserve">affilier </w:t>
      </w:r>
      <w:r w:rsidRPr="009F43DE">
        <w:rPr>
          <w:lang w:val="fr-CH"/>
        </w:rPr>
        <w:t>à un syndicat et d</w:t>
      </w:r>
      <w:r w:rsidR="00F8384A" w:rsidRPr="009F43DE">
        <w:rPr>
          <w:lang w:val="fr-CH"/>
        </w:rPr>
        <w:t>’</w:t>
      </w:r>
      <w:r w:rsidR="00166723" w:rsidRPr="009F43DE">
        <w:rPr>
          <w:lang w:val="fr-CH"/>
        </w:rPr>
        <w:t>exercer tout</w:t>
      </w:r>
      <w:r w:rsidRPr="009F43DE">
        <w:rPr>
          <w:lang w:val="fr-CH"/>
        </w:rPr>
        <w:t xml:space="preserve"> emploi, profession</w:t>
      </w:r>
      <w:r w:rsidR="00166723" w:rsidRPr="009F43DE">
        <w:rPr>
          <w:lang w:val="fr-CH"/>
        </w:rPr>
        <w:t xml:space="preserve"> ou</w:t>
      </w:r>
      <w:r w:rsidRPr="009F43DE">
        <w:rPr>
          <w:lang w:val="fr-CH"/>
        </w:rPr>
        <w:t xml:space="preserve"> commerce, </w:t>
      </w:r>
      <w:r w:rsidR="00166723" w:rsidRPr="009F43DE">
        <w:rPr>
          <w:lang w:val="fr-CH"/>
        </w:rPr>
        <w:t>ou de gérer des</w:t>
      </w:r>
      <w:r w:rsidRPr="009F43DE">
        <w:rPr>
          <w:lang w:val="fr-CH"/>
        </w:rPr>
        <w:t xml:space="preserve"> affaires ou </w:t>
      </w:r>
      <w:r w:rsidR="00166723" w:rsidRPr="009F43DE">
        <w:rPr>
          <w:lang w:val="fr-CH"/>
        </w:rPr>
        <w:t>une</w:t>
      </w:r>
      <w:r w:rsidRPr="009F43DE">
        <w:rPr>
          <w:lang w:val="fr-CH"/>
        </w:rPr>
        <w:t xml:space="preserve"> entreprise</w:t>
      </w:r>
      <w:r w:rsidR="00166723" w:rsidRPr="009F43DE">
        <w:rPr>
          <w:lang w:val="fr-CH"/>
        </w:rPr>
        <w:t xml:space="preserve"> dans des conditions conformes au droit</w:t>
      </w:r>
      <w:r w:rsidRPr="009F43DE">
        <w:rPr>
          <w:lang w:val="fr-CH"/>
        </w:rPr>
        <w:t>. Il est également fait référence à cet égard au paragraphe 22 de la réponse aux observations finales.</w:t>
      </w:r>
    </w:p>
    <w:p w:rsidR="00E5029E" w:rsidRPr="009F43DE" w:rsidRDefault="00E5029E" w:rsidP="00E5029E">
      <w:pPr>
        <w:pStyle w:val="SingleTxtG"/>
        <w:rPr>
          <w:lang w:val="fr-CH"/>
        </w:rPr>
      </w:pPr>
      <w:r w:rsidRPr="009F43DE">
        <w:rPr>
          <w:lang w:val="fr-CH"/>
        </w:rPr>
        <w:t>179.</w:t>
      </w:r>
      <w:r w:rsidRPr="009F43DE">
        <w:rPr>
          <w:lang w:val="fr-CH"/>
        </w:rPr>
        <w:tab/>
        <w:t xml:space="preserve">La </w:t>
      </w:r>
      <w:r w:rsidR="00166723" w:rsidRPr="009F43DE">
        <w:rPr>
          <w:lang w:val="fr-CH"/>
        </w:rPr>
        <w:t>répartition de l</w:t>
      </w:r>
      <w:r w:rsidR="00F8384A" w:rsidRPr="009F43DE">
        <w:rPr>
          <w:lang w:val="fr-CH"/>
        </w:rPr>
        <w:t>’</w:t>
      </w:r>
      <w:r w:rsidR="00166723" w:rsidRPr="009F43DE">
        <w:rPr>
          <w:lang w:val="fr-CH"/>
        </w:rPr>
        <w:t xml:space="preserve">emploi entre les </w:t>
      </w:r>
      <w:r w:rsidRPr="009F43DE">
        <w:rPr>
          <w:lang w:val="fr-CH"/>
        </w:rPr>
        <w:t xml:space="preserve">principaux </w:t>
      </w:r>
      <w:r w:rsidR="00166723" w:rsidRPr="009F43DE">
        <w:rPr>
          <w:lang w:val="fr-CH"/>
        </w:rPr>
        <w:t>secteurs d</w:t>
      </w:r>
      <w:r w:rsidR="00F8384A" w:rsidRPr="009F43DE">
        <w:rPr>
          <w:lang w:val="fr-CH"/>
        </w:rPr>
        <w:t>’</w:t>
      </w:r>
      <w:r w:rsidR="00166723" w:rsidRPr="009F43DE">
        <w:rPr>
          <w:lang w:val="fr-CH"/>
        </w:rPr>
        <w:t>activité s</w:t>
      </w:r>
      <w:r w:rsidR="00F8384A" w:rsidRPr="009F43DE">
        <w:rPr>
          <w:lang w:val="fr-CH"/>
        </w:rPr>
        <w:t>’</w:t>
      </w:r>
      <w:r w:rsidR="00166723" w:rsidRPr="009F43DE">
        <w:rPr>
          <w:lang w:val="fr-CH"/>
        </w:rPr>
        <w:t>est modifiée, avec l</w:t>
      </w:r>
      <w:r w:rsidR="00F8384A" w:rsidRPr="009F43DE">
        <w:rPr>
          <w:lang w:val="fr-CH"/>
        </w:rPr>
        <w:t>’</w:t>
      </w:r>
      <w:r w:rsidR="00166723" w:rsidRPr="009F43DE">
        <w:rPr>
          <w:lang w:val="fr-CH"/>
        </w:rPr>
        <w:t xml:space="preserve">augmentation de la part </w:t>
      </w:r>
      <w:r w:rsidRPr="009F43DE">
        <w:rPr>
          <w:lang w:val="fr-CH"/>
        </w:rPr>
        <w:t>du secteur de l</w:t>
      </w:r>
      <w:r w:rsidR="00F8384A" w:rsidRPr="009F43DE">
        <w:rPr>
          <w:lang w:val="fr-CH"/>
        </w:rPr>
        <w:t>’</w:t>
      </w:r>
      <w:r w:rsidRPr="009F43DE">
        <w:rPr>
          <w:lang w:val="fr-CH"/>
        </w:rPr>
        <w:t>industrie et du secteur de</w:t>
      </w:r>
      <w:r w:rsidR="00166723" w:rsidRPr="009F43DE">
        <w:rPr>
          <w:lang w:val="fr-CH"/>
        </w:rPr>
        <w:t>s</w:t>
      </w:r>
      <w:r w:rsidRPr="009F43DE">
        <w:rPr>
          <w:lang w:val="fr-CH"/>
        </w:rPr>
        <w:t xml:space="preserve"> services et </w:t>
      </w:r>
      <w:r w:rsidR="00166723" w:rsidRPr="009F43DE">
        <w:rPr>
          <w:lang w:val="fr-CH"/>
        </w:rPr>
        <w:t>la</w:t>
      </w:r>
      <w:r w:rsidRPr="009F43DE">
        <w:rPr>
          <w:lang w:val="fr-CH"/>
        </w:rPr>
        <w:t xml:space="preserve"> diminution de la part du secteur de l</w:t>
      </w:r>
      <w:r w:rsidR="00F8384A" w:rsidRPr="009F43DE">
        <w:rPr>
          <w:lang w:val="fr-CH"/>
        </w:rPr>
        <w:t>’</w:t>
      </w:r>
      <w:r w:rsidRPr="009F43DE">
        <w:rPr>
          <w:lang w:val="fr-CH"/>
        </w:rPr>
        <w:t>agriculture dans l</w:t>
      </w:r>
      <w:r w:rsidR="00F8384A" w:rsidRPr="009F43DE">
        <w:rPr>
          <w:lang w:val="fr-CH"/>
        </w:rPr>
        <w:t>’</w:t>
      </w:r>
      <w:r w:rsidRPr="009F43DE">
        <w:rPr>
          <w:lang w:val="fr-CH"/>
        </w:rPr>
        <w:t xml:space="preserve">emploi total. Le secteur des services </w:t>
      </w:r>
      <w:r w:rsidR="00166723" w:rsidRPr="009F43DE">
        <w:rPr>
          <w:lang w:val="fr-CH"/>
        </w:rPr>
        <w:t>est celui qui a offert le plus de</w:t>
      </w:r>
      <w:r w:rsidRPr="009F43DE">
        <w:rPr>
          <w:lang w:val="fr-CH"/>
        </w:rPr>
        <w:t xml:space="preserve"> possibilités d</w:t>
      </w:r>
      <w:r w:rsidR="00F8384A" w:rsidRPr="009F43DE">
        <w:rPr>
          <w:lang w:val="fr-CH"/>
        </w:rPr>
        <w:t>’</w:t>
      </w:r>
      <w:r w:rsidRPr="009F43DE">
        <w:rPr>
          <w:lang w:val="fr-CH"/>
        </w:rPr>
        <w:t>emploi en 2014. L</w:t>
      </w:r>
      <w:r w:rsidR="00F8384A" w:rsidRPr="009F43DE">
        <w:rPr>
          <w:lang w:val="fr-CH"/>
        </w:rPr>
        <w:t>’</w:t>
      </w:r>
      <w:r w:rsidRPr="009F43DE">
        <w:rPr>
          <w:lang w:val="fr-CH"/>
        </w:rPr>
        <w:t xml:space="preserve">emploi dans le secteur public </w:t>
      </w:r>
      <w:r w:rsidR="00F55513" w:rsidRPr="009F43DE">
        <w:rPr>
          <w:lang w:val="fr-CH"/>
        </w:rPr>
        <w:t xml:space="preserve">et </w:t>
      </w:r>
      <w:r w:rsidRPr="009F43DE">
        <w:rPr>
          <w:lang w:val="fr-CH"/>
        </w:rPr>
        <w:t xml:space="preserve">le secteur privé et le travail indépendant </w:t>
      </w:r>
      <w:r w:rsidR="00F55513" w:rsidRPr="009F43DE">
        <w:rPr>
          <w:lang w:val="fr-CH"/>
        </w:rPr>
        <w:t xml:space="preserve">ont </w:t>
      </w:r>
      <w:r w:rsidRPr="009F43DE">
        <w:rPr>
          <w:lang w:val="fr-CH"/>
        </w:rPr>
        <w:t xml:space="preserve">augmenté </w:t>
      </w:r>
      <w:r w:rsidR="00166723" w:rsidRPr="009F43DE">
        <w:rPr>
          <w:lang w:val="fr-CH"/>
        </w:rPr>
        <w:t>durant</w:t>
      </w:r>
      <w:r w:rsidRPr="009F43DE">
        <w:rPr>
          <w:lang w:val="fr-CH"/>
        </w:rPr>
        <w:t xml:space="preserve"> l</w:t>
      </w:r>
      <w:r w:rsidR="00F8384A" w:rsidRPr="009F43DE">
        <w:rPr>
          <w:lang w:val="fr-CH"/>
        </w:rPr>
        <w:t>’</w:t>
      </w:r>
      <w:r w:rsidRPr="009F43DE">
        <w:rPr>
          <w:lang w:val="fr-CH"/>
        </w:rPr>
        <w:t xml:space="preserve">année. Le chômage </w:t>
      </w:r>
      <w:r w:rsidR="006416C6" w:rsidRPr="009F43DE">
        <w:rPr>
          <w:lang w:val="fr-CH"/>
        </w:rPr>
        <w:t xml:space="preserve">parmi les </w:t>
      </w:r>
      <w:r w:rsidRPr="009F43DE">
        <w:rPr>
          <w:lang w:val="fr-CH"/>
        </w:rPr>
        <w:t>personnes</w:t>
      </w:r>
      <w:r w:rsidR="006416C6" w:rsidRPr="009F43DE">
        <w:rPr>
          <w:lang w:val="fr-CH"/>
        </w:rPr>
        <w:t xml:space="preserve"> titulaires du c</w:t>
      </w:r>
      <w:r w:rsidRPr="009F43DE">
        <w:rPr>
          <w:lang w:val="fr-CH"/>
        </w:rPr>
        <w:t xml:space="preserve">ertificat </w:t>
      </w:r>
      <w:r w:rsidR="006416C6" w:rsidRPr="009F43DE">
        <w:rPr>
          <w:color w:val="000000"/>
          <w:lang w:val="fr-CH"/>
        </w:rPr>
        <w:t>général d</w:t>
      </w:r>
      <w:r w:rsidR="00F8384A" w:rsidRPr="009F43DE">
        <w:rPr>
          <w:color w:val="000000"/>
          <w:lang w:val="fr-CH"/>
        </w:rPr>
        <w:t>’</w:t>
      </w:r>
      <w:r w:rsidR="006416C6" w:rsidRPr="009F43DE">
        <w:rPr>
          <w:color w:val="000000"/>
          <w:lang w:val="fr-CH"/>
        </w:rPr>
        <w:t>éducation, niveau ordinaire</w:t>
      </w:r>
      <w:r w:rsidR="006416C6" w:rsidRPr="009F43DE">
        <w:rPr>
          <w:lang w:val="fr-CH"/>
        </w:rPr>
        <w:t xml:space="preserve"> (niveau O), </w:t>
      </w:r>
      <w:r w:rsidRPr="009F43DE">
        <w:rPr>
          <w:lang w:val="fr-CH"/>
        </w:rPr>
        <w:t xml:space="preserve">a légèrement diminué, </w:t>
      </w:r>
      <w:r w:rsidR="006416C6" w:rsidRPr="009F43DE">
        <w:rPr>
          <w:lang w:val="fr-CH"/>
        </w:rPr>
        <w:t>tombant</w:t>
      </w:r>
      <w:r w:rsidRPr="009F43DE">
        <w:rPr>
          <w:lang w:val="fr-CH"/>
        </w:rPr>
        <w:t xml:space="preserve"> à 5,9</w:t>
      </w:r>
      <w:r w:rsidR="006416C6" w:rsidRPr="009F43DE">
        <w:rPr>
          <w:lang w:val="fr-CH"/>
        </w:rPr>
        <w:t> </w:t>
      </w:r>
      <w:r w:rsidRPr="009F43DE">
        <w:rPr>
          <w:lang w:val="fr-CH"/>
        </w:rPr>
        <w:t>% en 2013 contre 6,0</w:t>
      </w:r>
      <w:r w:rsidR="006416C6" w:rsidRPr="009F43DE">
        <w:rPr>
          <w:lang w:val="fr-CH"/>
        </w:rPr>
        <w:t> </w:t>
      </w:r>
      <w:r w:rsidRPr="009F43DE">
        <w:rPr>
          <w:lang w:val="fr-CH"/>
        </w:rPr>
        <w:t>% en 2012</w:t>
      </w:r>
      <w:r w:rsidR="00792FED" w:rsidRPr="009F43DE">
        <w:rPr>
          <w:lang w:val="fr-CH"/>
        </w:rPr>
        <w:t>. Dans le même temps,</w:t>
      </w:r>
      <w:r w:rsidR="006416C6" w:rsidRPr="009F43DE">
        <w:rPr>
          <w:lang w:val="fr-CH"/>
        </w:rPr>
        <w:t xml:space="preserve"> le taux de chômage le plus élevé (</w:t>
      </w:r>
      <w:r w:rsidRPr="009F43DE">
        <w:rPr>
          <w:lang w:val="fr-CH"/>
        </w:rPr>
        <w:t>8,6</w:t>
      </w:r>
      <w:r w:rsidR="006416C6" w:rsidRPr="009F43DE">
        <w:rPr>
          <w:lang w:val="fr-CH"/>
        </w:rPr>
        <w:t> </w:t>
      </w:r>
      <w:r w:rsidRPr="009F43DE">
        <w:rPr>
          <w:lang w:val="fr-CH"/>
        </w:rPr>
        <w:t>%</w:t>
      </w:r>
      <w:r w:rsidR="006416C6" w:rsidRPr="009F43DE">
        <w:rPr>
          <w:lang w:val="fr-CH"/>
        </w:rPr>
        <w:t>)</w:t>
      </w:r>
      <w:r w:rsidRPr="009F43DE">
        <w:rPr>
          <w:lang w:val="fr-CH"/>
        </w:rPr>
        <w:t xml:space="preserve"> a été enregistré </w:t>
      </w:r>
      <w:r w:rsidR="006416C6" w:rsidRPr="009F43DE">
        <w:rPr>
          <w:lang w:val="fr-CH"/>
        </w:rPr>
        <w:t>parmi les</w:t>
      </w:r>
      <w:r w:rsidRPr="009F43DE">
        <w:rPr>
          <w:lang w:val="fr-CH"/>
        </w:rPr>
        <w:t xml:space="preserve"> personnes </w:t>
      </w:r>
      <w:r w:rsidR="006416C6" w:rsidRPr="009F43DE">
        <w:rPr>
          <w:lang w:val="fr-CH"/>
        </w:rPr>
        <w:t>titulaires du</w:t>
      </w:r>
      <w:r w:rsidR="006416C6" w:rsidRPr="009F43DE">
        <w:rPr>
          <w:color w:val="000000"/>
          <w:lang w:val="fr-CH"/>
        </w:rPr>
        <w:t xml:space="preserve"> certificat général d</w:t>
      </w:r>
      <w:r w:rsidR="00F8384A" w:rsidRPr="009F43DE">
        <w:rPr>
          <w:color w:val="000000"/>
          <w:lang w:val="fr-CH"/>
        </w:rPr>
        <w:t>’</w:t>
      </w:r>
      <w:r w:rsidR="006416C6" w:rsidRPr="009F43DE">
        <w:rPr>
          <w:color w:val="000000"/>
          <w:lang w:val="fr-CH"/>
        </w:rPr>
        <w:t>éducation</w:t>
      </w:r>
      <w:r w:rsidR="00792FED" w:rsidRPr="009F43DE">
        <w:rPr>
          <w:color w:val="000000"/>
          <w:lang w:val="fr-CH"/>
        </w:rPr>
        <w:t>,</w:t>
      </w:r>
      <w:r w:rsidR="006416C6" w:rsidRPr="009F43DE">
        <w:rPr>
          <w:color w:val="000000"/>
          <w:lang w:val="fr-CH"/>
        </w:rPr>
        <w:t xml:space="preserve"> obtenu au terme d</w:t>
      </w:r>
      <w:r w:rsidR="00792FED" w:rsidRPr="009F43DE">
        <w:rPr>
          <w:color w:val="000000"/>
          <w:lang w:val="fr-CH"/>
        </w:rPr>
        <w:t>u cycle d</w:t>
      </w:r>
      <w:r w:rsidR="00F8384A" w:rsidRPr="009F43DE">
        <w:rPr>
          <w:color w:val="000000"/>
          <w:lang w:val="fr-CH"/>
        </w:rPr>
        <w:t>’</w:t>
      </w:r>
      <w:r w:rsidR="00792FED" w:rsidRPr="009F43DE">
        <w:rPr>
          <w:color w:val="000000"/>
          <w:lang w:val="fr-CH"/>
        </w:rPr>
        <w:t>enseignement</w:t>
      </w:r>
      <w:r w:rsidR="006416C6" w:rsidRPr="009F43DE">
        <w:rPr>
          <w:color w:val="000000"/>
          <w:lang w:val="fr-CH"/>
        </w:rPr>
        <w:t xml:space="preserve"> secondaire</w:t>
      </w:r>
      <w:r w:rsidR="006416C6" w:rsidRPr="009F43DE">
        <w:rPr>
          <w:lang w:val="fr-CH"/>
        </w:rPr>
        <w:t xml:space="preserve"> (niveau A), </w:t>
      </w:r>
      <w:r w:rsidR="00792FED" w:rsidRPr="009F43DE">
        <w:rPr>
          <w:lang w:val="fr-CH"/>
        </w:rPr>
        <w:t>et de diplômes d</w:t>
      </w:r>
      <w:r w:rsidR="00F8384A" w:rsidRPr="009F43DE">
        <w:rPr>
          <w:lang w:val="fr-CH"/>
        </w:rPr>
        <w:t>’</w:t>
      </w:r>
      <w:r w:rsidR="00792FED" w:rsidRPr="009F43DE">
        <w:rPr>
          <w:lang w:val="fr-CH"/>
        </w:rPr>
        <w:t xml:space="preserve">un niveau supérieur, </w:t>
      </w:r>
      <w:r w:rsidR="006416C6" w:rsidRPr="009F43DE">
        <w:rPr>
          <w:lang w:val="fr-CH"/>
        </w:rPr>
        <w:t>ce qui constitue un sujet de</w:t>
      </w:r>
      <w:r w:rsidRPr="009F43DE">
        <w:rPr>
          <w:lang w:val="fr-CH"/>
        </w:rPr>
        <w:t xml:space="preserve"> préoccupation. Ce taux reflète en grande partie l</w:t>
      </w:r>
      <w:r w:rsidR="00F8384A" w:rsidRPr="009F43DE">
        <w:rPr>
          <w:lang w:val="fr-CH"/>
        </w:rPr>
        <w:t>’</w:t>
      </w:r>
      <w:r w:rsidRPr="009F43DE">
        <w:rPr>
          <w:lang w:val="fr-CH"/>
        </w:rPr>
        <w:t xml:space="preserve">inadéquation entre les compétences </w:t>
      </w:r>
      <w:r w:rsidR="00A465E5" w:rsidRPr="009F43DE">
        <w:rPr>
          <w:lang w:val="fr-CH"/>
        </w:rPr>
        <w:t xml:space="preserve">offertes </w:t>
      </w:r>
      <w:r w:rsidRPr="009F43DE">
        <w:rPr>
          <w:lang w:val="fr-CH"/>
        </w:rPr>
        <w:t xml:space="preserve">et les </w:t>
      </w:r>
      <w:r w:rsidR="00A465E5" w:rsidRPr="009F43DE">
        <w:rPr>
          <w:lang w:val="fr-CH"/>
        </w:rPr>
        <w:t>compétences recherchées</w:t>
      </w:r>
      <w:r w:rsidR="006416C6" w:rsidRPr="009F43DE">
        <w:rPr>
          <w:lang w:val="fr-CH"/>
        </w:rPr>
        <w:t>,</w:t>
      </w:r>
      <w:r w:rsidRPr="009F43DE">
        <w:rPr>
          <w:lang w:val="fr-CH"/>
        </w:rPr>
        <w:t xml:space="preserve"> </w:t>
      </w:r>
      <w:r w:rsidR="00F94BAD" w:rsidRPr="009F43DE">
        <w:rPr>
          <w:lang w:val="fr-CH"/>
        </w:rPr>
        <w:t>liée à</w:t>
      </w:r>
      <w:r w:rsidR="006416C6" w:rsidRPr="009F43DE">
        <w:rPr>
          <w:lang w:val="fr-CH"/>
        </w:rPr>
        <w:t xml:space="preserve"> la présence sur le marché de jeunes ayant un niveau de formation supérieur</w:t>
      </w:r>
      <w:r w:rsidRPr="009F43DE">
        <w:rPr>
          <w:lang w:val="fr-CH"/>
        </w:rPr>
        <w:t xml:space="preserve">. </w:t>
      </w:r>
      <w:r w:rsidR="006416C6" w:rsidRPr="009F43DE">
        <w:rPr>
          <w:lang w:val="fr-CH"/>
        </w:rPr>
        <w:t>Une</w:t>
      </w:r>
      <w:r w:rsidRPr="009F43DE">
        <w:rPr>
          <w:lang w:val="fr-CH"/>
        </w:rPr>
        <w:t xml:space="preserve"> plus grande attention </w:t>
      </w:r>
      <w:r w:rsidR="006416C6" w:rsidRPr="009F43DE">
        <w:rPr>
          <w:lang w:val="fr-CH"/>
        </w:rPr>
        <w:t>doit être accordée à l</w:t>
      </w:r>
      <w:r w:rsidR="00F8384A" w:rsidRPr="009F43DE">
        <w:rPr>
          <w:lang w:val="fr-CH"/>
        </w:rPr>
        <w:t>’</w:t>
      </w:r>
      <w:r w:rsidR="006416C6" w:rsidRPr="009F43DE">
        <w:rPr>
          <w:lang w:val="fr-CH"/>
        </w:rPr>
        <w:t>enseignement</w:t>
      </w:r>
      <w:r w:rsidRPr="009F43DE">
        <w:rPr>
          <w:lang w:val="fr-CH"/>
        </w:rPr>
        <w:t xml:space="preserve"> spécialisé et au développement des </w:t>
      </w:r>
      <w:r w:rsidR="005812A7" w:rsidRPr="009F43DE">
        <w:rPr>
          <w:lang w:val="fr-CH"/>
        </w:rPr>
        <w:t>qualifications</w:t>
      </w:r>
      <w:r w:rsidRPr="009F43DE">
        <w:rPr>
          <w:lang w:val="fr-CH"/>
        </w:rPr>
        <w:t xml:space="preserve">, </w:t>
      </w:r>
      <w:r w:rsidR="00A465E5" w:rsidRPr="009F43DE">
        <w:rPr>
          <w:lang w:val="fr-CH"/>
        </w:rPr>
        <w:t xml:space="preserve">notamment </w:t>
      </w:r>
      <w:r w:rsidR="005812A7" w:rsidRPr="009F43DE">
        <w:rPr>
          <w:lang w:val="fr-CH"/>
        </w:rPr>
        <w:t xml:space="preserve">par </w:t>
      </w:r>
      <w:r w:rsidR="00A465E5" w:rsidRPr="009F43DE">
        <w:rPr>
          <w:lang w:val="fr-CH"/>
        </w:rPr>
        <w:t>la formation t</w:t>
      </w:r>
      <w:r w:rsidRPr="009F43DE">
        <w:rPr>
          <w:lang w:val="fr-CH"/>
        </w:rPr>
        <w:t>echnique</w:t>
      </w:r>
      <w:r w:rsidR="00A465E5" w:rsidRPr="009F43DE">
        <w:rPr>
          <w:lang w:val="fr-CH"/>
        </w:rPr>
        <w:t>,</w:t>
      </w:r>
      <w:r w:rsidRPr="009F43DE">
        <w:rPr>
          <w:lang w:val="fr-CH"/>
        </w:rPr>
        <w:t xml:space="preserve"> professionnelle</w:t>
      </w:r>
      <w:r w:rsidR="00A465E5" w:rsidRPr="009F43DE">
        <w:rPr>
          <w:lang w:val="fr-CH"/>
        </w:rPr>
        <w:t xml:space="preserve"> et</w:t>
      </w:r>
      <w:r w:rsidRPr="009F43DE">
        <w:rPr>
          <w:lang w:val="fr-CH"/>
        </w:rPr>
        <w:t xml:space="preserve"> fondée sur les </w:t>
      </w:r>
      <w:r w:rsidR="00A465E5" w:rsidRPr="009F43DE">
        <w:rPr>
          <w:lang w:val="fr-CH"/>
        </w:rPr>
        <w:t>TIC, afin d</w:t>
      </w:r>
      <w:r w:rsidR="00F8384A" w:rsidRPr="009F43DE">
        <w:rPr>
          <w:lang w:val="fr-CH"/>
        </w:rPr>
        <w:t>’</w:t>
      </w:r>
      <w:r w:rsidRPr="009F43DE">
        <w:rPr>
          <w:lang w:val="fr-CH"/>
        </w:rPr>
        <w:t>améliorer l</w:t>
      </w:r>
      <w:r w:rsidR="00F8384A" w:rsidRPr="009F43DE">
        <w:rPr>
          <w:lang w:val="fr-CH"/>
        </w:rPr>
        <w:t>’</w:t>
      </w:r>
      <w:r w:rsidRPr="009F43DE">
        <w:rPr>
          <w:lang w:val="fr-CH"/>
        </w:rPr>
        <w:t xml:space="preserve">employabilité. Comme cela a été </w:t>
      </w:r>
      <w:r w:rsidR="00A465E5" w:rsidRPr="009F43DE">
        <w:rPr>
          <w:lang w:val="fr-CH"/>
        </w:rPr>
        <w:t>le cas ces</w:t>
      </w:r>
      <w:r w:rsidRPr="009F43DE">
        <w:rPr>
          <w:lang w:val="fr-CH"/>
        </w:rPr>
        <w:t xml:space="preserve"> dernières années, la productivité du travail a augment</w:t>
      </w:r>
      <w:r w:rsidR="005812A7" w:rsidRPr="009F43DE">
        <w:rPr>
          <w:lang w:val="fr-CH"/>
        </w:rPr>
        <w:t>é</w:t>
      </w:r>
      <w:r w:rsidRPr="009F43DE">
        <w:rPr>
          <w:lang w:val="fr-CH"/>
        </w:rPr>
        <w:t xml:space="preserve"> en 2013. En outre, les départs </w:t>
      </w:r>
      <w:r w:rsidR="005812A7" w:rsidRPr="009F43DE">
        <w:rPr>
          <w:lang w:val="fr-CH"/>
        </w:rPr>
        <w:t>de travailleurs</w:t>
      </w:r>
      <w:r w:rsidR="00A465E5" w:rsidRPr="009F43DE">
        <w:rPr>
          <w:lang w:val="fr-CH"/>
        </w:rPr>
        <w:t xml:space="preserve"> </w:t>
      </w:r>
      <w:r w:rsidRPr="009F43DE">
        <w:rPr>
          <w:lang w:val="fr-CH"/>
        </w:rPr>
        <w:t>à l</w:t>
      </w:r>
      <w:r w:rsidR="00F8384A" w:rsidRPr="009F43DE">
        <w:rPr>
          <w:lang w:val="fr-CH"/>
        </w:rPr>
        <w:t>’</w:t>
      </w:r>
      <w:r w:rsidRPr="009F43DE">
        <w:rPr>
          <w:lang w:val="fr-CH"/>
        </w:rPr>
        <w:t xml:space="preserve">étranger, qui </w:t>
      </w:r>
      <w:r w:rsidR="00A465E5" w:rsidRPr="009F43DE">
        <w:rPr>
          <w:lang w:val="fr-CH"/>
        </w:rPr>
        <w:t>constituent</w:t>
      </w:r>
      <w:r w:rsidRPr="009F43DE">
        <w:rPr>
          <w:lang w:val="fr-CH"/>
        </w:rPr>
        <w:t xml:space="preserve"> une source importante de recettes en devises pour le pays, ont également</w:t>
      </w:r>
      <w:r w:rsidR="00A465E5" w:rsidRPr="009F43DE">
        <w:rPr>
          <w:lang w:val="fr-CH"/>
        </w:rPr>
        <w:t xml:space="preserve"> progressé</w:t>
      </w:r>
      <w:r w:rsidRPr="009F43DE">
        <w:rPr>
          <w:lang w:val="fr-CH"/>
        </w:rPr>
        <w:t xml:space="preserve"> de manière </w:t>
      </w:r>
      <w:r w:rsidR="005812A7" w:rsidRPr="009F43DE">
        <w:rPr>
          <w:lang w:val="fr-CH"/>
        </w:rPr>
        <w:t xml:space="preserve">notable </w:t>
      </w:r>
      <w:r w:rsidRPr="009F43DE">
        <w:rPr>
          <w:lang w:val="fr-CH"/>
        </w:rPr>
        <w:t>en 2013.</w:t>
      </w:r>
    </w:p>
    <w:p w:rsidR="00E5029E" w:rsidRPr="009F43DE" w:rsidRDefault="00E5029E" w:rsidP="00E5029E">
      <w:pPr>
        <w:pStyle w:val="SingleTxtG"/>
        <w:rPr>
          <w:lang w:val="fr-CH"/>
        </w:rPr>
      </w:pPr>
      <w:r w:rsidRPr="009F43DE">
        <w:rPr>
          <w:lang w:val="fr-CH"/>
        </w:rPr>
        <w:t>180.</w:t>
      </w:r>
      <w:r w:rsidRPr="009F43DE">
        <w:rPr>
          <w:lang w:val="fr-CH"/>
        </w:rPr>
        <w:tab/>
      </w:r>
      <w:r w:rsidR="00A465E5" w:rsidRPr="009F43DE">
        <w:rPr>
          <w:lang w:val="fr-CH"/>
        </w:rPr>
        <w:t>S</w:t>
      </w:r>
      <w:r w:rsidR="00F8384A" w:rsidRPr="009F43DE">
        <w:rPr>
          <w:lang w:val="fr-CH"/>
        </w:rPr>
        <w:t>’</w:t>
      </w:r>
      <w:r w:rsidR="00A465E5" w:rsidRPr="009F43DE">
        <w:rPr>
          <w:lang w:val="fr-CH"/>
        </w:rPr>
        <w:t>agissant de la situation dans l</w:t>
      </w:r>
      <w:r w:rsidR="00F8384A" w:rsidRPr="009F43DE">
        <w:rPr>
          <w:lang w:val="fr-CH"/>
        </w:rPr>
        <w:t>’</w:t>
      </w:r>
      <w:r w:rsidR="00A465E5" w:rsidRPr="009F43DE">
        <w:rPr>
          <w:lang w:val="fr-CH"/>
        </w:rPr>
        <w:t>emploi</w:t>
      </w:r>
      <w:r w:rsidRPr="009F43DE">
        <w:rPr>
          <w:lang w:val="fr-CH"/>
        </w:rPr>
        <w:t>, le nombre et l</w:t>
      </w:r>
      <w:r w:rsidR="00A465E5" w:rsidRPr="009F43DE">
        <w:rPr>
          <w:lang w:val="fr-CH"/>
        </w:rPr>
        <w:t xml:space="preserve">e pourcentage </w:t>
      </w:r>
      <w:r w:rsidRPr="009F43DE">
        <w:rPr>
          <w:lang w:val="fr-CH"/>
        </w:rPr>
        <w:t xml:space="preserve">des </w:t>
      </w:r>
      <w:r w:rsidR="00A465E5" w:rsidRPr="009F43DE">
        <w:rPr>
          <w:lang w:val="fr-CH"/>
        </w:rPr>
        <w:t>personnes exerçant un emploi</w:t>
      </w:r>
      <w:r w:rsidRPr="009F43DE">
        <w:rPr>
          <w:lang w:val="fr-CH"/>
        </w:rPr>
        <w:t xml:space="preserve"> dans le secteur privé</w:t>
      </w:r>
      <w:r w:rsidR="00A465E5" w:rsidRPr="009F43DE">
        <w:rPr>
          <w:lang w:val="fr-CH"/>
        </w:rPr>
        <w:t xml:space="preserve"> ou </w:t>
      </w:r>
      <w:r w:rsidRPr="009F43DE">
        <w:rPr>
          <w:lang w:val="fr-CH"/>
        </w:rPr>
        <w:t xml:space="preserve">le secteur public </w:t>
      </w:r>
      <w:r w:rsidR="00A465E5" w:rsidRPr="009F43DE">
        <w:rPr>
          <w:lang w:val="fr-CH"/>
        </w:rPr>
        <w:t>ou un</w:t>
      </w:r>
      <w:r w:rsidRPr="009F43DE">
        <w:rPr>
          <w:lang w:val="fr-CH"/>
        </w:rPr>
        <w:t xml:space="preserve"> travail indépendant ont augmenté. </w:t>
      </w:r>
      <w:r w:rsidR="00A465E5" w:rsidRPr="009F43DE">
        <w:rPr>
          <w:lang w:val="fr-CH"/>
        </w:rPr>
        <w:t>La majeure partie des</w:t>
      </w:r>
      <w:r w:rsidRPr="009F43DE">
        <w:rPr>
          <w:lang w:val="fr-CH"/>
        </w:rPr>
        <w:t xml:space="preserve"> emplois (40,6</w:t>
      </w:r>
      <w:r w:rsidR="00A465E5" w:rsidRPr="009F43DE">
        <w:rPr>
          <w:lang w:val="fr-CH"/>
        </w:rPr>
        <w:t> </w:t>
      </w:r>
      <w:r w:rsidRPr="009F43DE">
        <w:rPr>
          <w:lang w:val="fr-CH"/>
        </w:rPr>
        <w:t xml:space="preserve">%) </w:t>
      </w:r>
      <w:r w:rsidR="00A465E5" w:rsidRPr="009F43DE">
        <w:rPr>
          <w:lang w:val="fr-CH"/>
        </w:rPr>
        <w:t>se situaient dans</w:t>
      </w:r>
      <w:r w:rsidRPr="009F43DE">
        <w:rPr>
          <w:lang w:val="fr-CH"/>
        </w:rPr>
        <w:t xml:space="preserve"> le secteur privé, bien que la part relative de celui-ci a</w:t>
      </w:r>
      <w:r w:rsidR="00A465E5" w:rsidRPr="009F43DE">
        <w:rPr>
          <w:lang w:val="fr-CH"/>
        </w:rPr>
        <w:t>it</w:t>
      </w:r>
      <w:r w:rsidRPr="009F43DE">
        <w:rPr>
          <w:lang w:val="fr-CH"/>
        </w:rPr>
        <w:t xml:space="preserve"> légèrement diminué en 2013 par rapport à l</w:t>
      </w:r>
      <w:r w:rsidR="00F8384A" w:rsidRPr="009F43DE">
        <w:rPr>
          <w:lang w:val="fr-CH"/>
        </w:rPr>
        <w:t>’</w:t>
      </w:r>
      <w:r w:rsidRPr="009F43DE">
        <w:rPr>
          <w:lang w:val="fr-CH"/>
        </w:rPr>
        <w:t>année précédente. La part des catégories employeurs et travailleurs indépendants dans l</w:t>
      </w:r>
      <w:r w:rsidR="00F8384A" w:rsidRPr="009F43DE">
        <w:rPr>
          <w:lang w:val="fr-CH"/>
        </w:rPr>
        <w:t>’</w:t>
      </w:r>
      <w:r w:rsidRPr="009F43DE">
        <w:rPr>
          <w:lang w:val="fr-CH"/>
        </w:rPr>
        <w:t xml:space="preserve">emploi total </w:t>
      </w:r>
      <w:r w:rsidR="00A465E5" w:rsidRPr="009F43DE">
        <w:rPr>
          <w:lang w:val="fr-CH"/>
        </w:rPr>
        <w:t>est passée</w:t>
      </w:r>
      <w:r w:rsidRPr="009F43DE">
        <w:rPr>
          <w:lang w:val="fr-CH"/>
        </w:rPr>
        <w:t xml:space="preserve"> à 35,2</w:t>
      </w:r>
      <w:r w:rsidR="00A465E5" w:rsidRPr="009F43DE">
        <w:rPr>
          <w:lang w:val="fr-CH"/>
        </w:rPr>
        <w:t> </w:t>
      </w:r>
      <w:r w:rsidRPr="009F43DE">
        <w:rPr>
          <w:lang w:val="fr-CH"/>
        </w:rPr>
        <w:t>% en 2013</w:t>
      </w:r>
      <w:r w:rsidR="00A465E5" w:rsidRPr="009F43DE">
        <w:rPr>
          <w:lang w:val="fr-CH"/>
        </w:rPr>
        <w:t>, contre</w:t>
      </w:r>
      <w:r w:rsidRPr="009F43DE">
        <w:rPr>
          <w:lang w:val="fr-CH"/>
        </w:rPr>
        <w:t xml:space="preserve"> 34,7</w:t>
      </w:r>
      <w:r w:rsidR="00A465E5" w:rsidRPr="009F43DE">
        <w:rPr>
          <w:lang w:val="fr-CH"/>
        </w:rPr>
        <w:t> </w:t>
      </w:r>
      <w:r w:rsidRPr="009F43DE">
        <w:rPr>
          <w:lang w:val="fr-CH"/>
        </w:rPr>
        <w:t>% en 2012. Le nombre d</w:t>
      </w:r>
      <w:r w:rsidR="00F8384A" w:rsidRPr="009F43DE">
        <w:rPr>
          <w:lang w:val="fr-CH"/>
        </w:rPr>
        <w:t>’</w:t>
      </w:r>
      <w:r w:rsidRPr="009F43DE">
        <w:rPr>
          <w:lang w:val="fr-CH"/>
        </w:rPr>
        <w:t>employés dans le secteur public a augmenté de 2,7</w:t>
      </w:r>
      <w:r w:rsidR="00A465E5" w:rsidRPr="009F43DE">
        <w:rPr>
          <w:lang w:val="fr-CH"/>
        </w:rPr>
        <w:t> </w:t>
      </w:r>
      <w:r w:rsidRPr="009F43DE">
        <w:rPr>
          <w:lang w:val="fr-CH"/>
        </w:rPr>
        <w:t xml:space="preserve">% pour atteindre un total de 1 282 917 personnes en 2013, comme </w:t>
      </w:r>
      <w:r w:rsidR="00A465E5" w:rsidRPr="009F43DE">
        <w:rPr>
          <w:lang w:val="fr-CH"/>
        </w:rPr>
        <w:t>il ressort de</w:t>
      </w:r>
      <w:r w:rsidRPr="009F43DE">
        <w:rPr>
          <w:lang w:val="fr-CH"/>
        </w:rPr>
        <w:t xml:space="preserve"> l</w:t>
      </w:r>
      <w:r w:rsidR="00F8384A" w:rsidRPr="009F43DE">
        <w:rPr>
          <w:lang w:val="fr-CH"/>
        </w:rPr>
        <w:t>’</w:t>
      </w:r>
      <w:r w:rsidRPr="009F43DE">
        <w:rPr>
          <w:lang w:val="fr-CH"/>
        </w:rPr>
        <w:t>enquête sur l</w:t>
      </w:r>
      <w:r w:rsidR="00F8384A" w:rsidRPr="009F43DE">
        <w:rPr>
          <w:lang w:val="fr-CH"/>
        </w:rPr>
        <w:t>’</w:t>
      </w:r>
      <w:r w:rsidRPr="009F43DE">
        <w:rPr>
          <w:lang w:val="fr-CH"/>
        </w:rPr>
        <w:t xml:space="preserve">emploi </w:t>
      </w:r>
      <w:r w:rsidR="005869CB" w:rsidRPr="009F43DE">
        <w:rPr>
          <w:lang w:val="fr-CH"/>
        </w:rPr>
        <w:t>dans le</w:t>
      </w:r>
      <w:r w:rsidRPr="009F43DE">
        <w:rPr>
          <w:lang w:val="fr-CH"/>
        </w:rPr>
        <w:t xml:space="preserve"> secteur public effectuée par la Banque centrale.</w:t>
      </w:r>
    </w:p>
    <w:p w:rsidR="00E5029E" w:rsidRPr="009F43DE" w:rsidRDefault="00E5029E" w:rsidP="00E5029E">
      <w:pPr>
        <w:pStyle w:val="H1G"/>
        <w:rPr>
          <w:lang w:val="fr-CH"/>
        </w:rPr>
      </w:pPr>
      <w:r w:rsidRPr="009F43DE">
        <w:rPr>
          <w:lang w:val="fr-CH"/>
        </w:rPr>
        <w:tab/>
      </w:r>
      <w:r w:rsidRPr="009F43DE">
        <w:rPr>
          <w:lang w:val="fr-CH"/>
        </w:rPr>
        <w:tab/>
        <w:t>Article 7</w:t>
      </w:r>
      <w:r w:rsidR="007738FD" w:rsidRPr="009F43DE">
        <w:rPr>
          <w:lang w:val="fr-CH"/>
        </w:rPr>
        <w:br/>
      </w:r>
      <w:r w:rsidRPr="009F43DE">
        <w:rPr>
          <w:lang w:val="fr-CH"/>
        </w:rPr>
        <w:t>Droit à des conditions d</w:t>
      </w:r>
      <w:r w:rsidR="00F8384A" w:rsidRPr="009F43DE">
        <w:rPr>
          <w:lang w:val="fr-CH"/>
        </w:rPr>
        <w:t>’</w:t>
      </w:r>
      <w:r w:rsidRPr="009F43DE">
        <w:rPr>
          <w:lang w:val="fr-CH"/>
        </w:rPr>
        <w:t>emploi équitables</w:t>
      </w:r>
    </w:p>
    <w:p w:rsidR="00E5029E" w:rsidRPr="009F43DE" w:rsidRDefault="00E5029E" w:rsidP="00E5029E">
      <w:pPr>
        <w:pStyle w:val="H23G"/>
        <w:rPr>
          <w:color w:val="000000"/>
          <w:lang w:val="fr-CH"/>
        </w:rPr>
      </w:pPr>
      <w:r w:rsidRPr="009F43DE">
        <w:rPr>
          <w:lang w:val="fr-CH"/>
        </w:rPr>
        <w:tab/>
      </w:r>
      <w:r w:rsidRPr="009F43DE">
        <w:rPr>
          <w:lang w:val="fr-CH"/>
        </w:rPr>
        <w:tab/>
        <w:t xml:space="preserve">Cadre juridique </w:t>
      </w:r>
    </w:p>
    <w:p w:rsidR="00E5029E" w:rsidRPr="009F43DE" w:rsidRDefault="00E5029E" w:rsidP="00E5029E">
      <w:pPr>
        <w:pStyle w:val="SingleTxtG"/>
        <w:rPr>
          <w:lang w:val="fr-CH"/>
        </w:rPr>
      </w:pPr>
      <w:r w:rsidRPr="009F43DE">
        <w:rPr>
          <w:lang w:val="fr-CH"/>
        </w:rPr>
        <w:t>181.</w:t>
      </w:r>
      <w:r w:rsidRPr="009F43DE">
        <w:rPr>
          <w:lang w:val="fr-CH"/>
        </w:rPr>
        <w:tab/>
        <w:t>Les droits fondamentaux des citoyens sont garantis par la Constitution et tout citoyen est libre de choisir sa profession. L</w:t>
      </w:r>
      <w:r w:rsidR="00F8384A" w:rsidRPr="009F43DE">
        <w:rPr>
          <w:lang w:val="fr-CH"/>
        </w:rPr>
        <w:t>’</w:t>
      </w:r>
      <w:r w:rsidRPr="009F43DE">
        <w:rPr>
          <w:lang w:val="fr-CH"/>
        </w:rPr>
        <w:t>article 12</w:t>
      </w:r>
      <w:r w:rsidR="005869CB" w:rsidRPr="009F43DE">
        <w:rPr>
          <w:lang w:val="fr-CH"/>
        </w:rPr>
        <w:t xml:space="preserve"> et les alinéas </w:t>
      </w:r>
      <w:r w:rsidRPr="00E464B9">
        <w:rPr>
          <w:i/>
          <w:lang w:val="fr-CH"/>
        </w:rPr>
        <w:t>d</w:t>
      </w:r>
      <w:r w:rsidRPr="009F43DE">
        <w:rPr>
          <w:lang w:val="fr-CH"/>
        </w:rPr>
        <w:t xml:space="preserve"> et </w:t>
      </w:r>
      <w:r w:rsidRPr="00E464B9">
        <w:rPr>
          <w:i/>
          <w:lang w:val="fr-CH"/>
        </w:rPr>
        <w:t>g</w:t>
      </w:r>
      <w:r w:rsidRPr="009F43DE">
        <w:rPr>
          <w:lang w:val="fr-CH"/>
        </w:rPr>
        <w:t xml:space="preserve"> </w:t>
      </w:r>
      <w:r w:rsidR="005869CB" w:rsidRPr="009F43DE">
        <w:rPr>
          <w:lang w:val="fr-CH"/>
        </w:rPr>
        <w:t>du paragraphe 1 de l</w:t>
      </w:r>
      <w:r w:rsidR="00F8384A" w:rsidRPr="009F43DE">
        <w:rPr>
          <w:lang w:val="fr-CH"/>
        </w:rPr>
        <w:t>’</w:t>
      </w:r>
      <w:r w:rsidR="005869CB" w:rsidRPr="009F43DE">
        <w:rPr>
          <w:lang w:val="fr-CH"/>
        </w:rPr>
        <w:t xml:space="preserve">article 14 de </w:t>
      </w:r>
      <w:r w:rsidRPr="009F43DE">
        <w:rPr>
          <w:lang w:val="fr-CH"/>
        </w:rPr>
        <w:t>la Constitution sont d</w:t>
      </w:r>
      <w:r w:rsidR="00F8384A" w:rsidRPr="009F43DE">
        <w:rPr>
          <w:lang w:val="fr-CH"/>
        </w:rPr>
        <w:t>’</w:t>
      </w:r>
      <w:r w:rsidRPr="009F43DE">
        <w:rPr>
          <w:lang w:val="fr-CH"/>
        </w:rPr>
        <w:t>une importance particulière à cet égard. L</w:t>
      </w:r>
      <w:r w:rsidR="005869CB" w:rsidRPr="009F43DE">
        <w:rPr>
          <w:lang w:val="fr-CH"/>
        </w:rPr>
        <w:t>a</w:t>
      </w:r>
      <w:r w:rsidRPr="009F43DE">
        <w:rPr>
          <w:lang w:val="fr-CH"/>
        </w:rPr>
        <w:t xml:space="preserve"> </w:t>
      </w:r>
      <w:r w:rsidR="005869CB" w:rsidRPr="009F43DE">
        <w:rPr>
          <w:lang w:val="fr-CH"/>
        </w:rPr>
        <w:t>l</w:t>
      </w:r>
      <w:r w:rsidRPr="009F43DE">
        <w:rPr>
          <w:lang w:val="fr-CH"/>
        </w:rPr>
        <w:t>oi sur la cessation d</w:t>
      </w:r>
      <w:r w:rsidR="00F8384A" w:rsidRPr="009F43DE">
        <w:rPr>
          <w:lang w:val="fr-CH"/>
        </w:rPr>
        <w:t>’</w:t>
      </w:r>
      <w:r w:rsidR="005869CB" w:rsidRPr="009F43DE">
        <w:rPr>
          <w:lang w:val="fr-CH"/>
        </w:rPr>
        <w:t>activité</w:t>
      </w:r>
      <w:r w:rsidRPr="009F43DE">
        <w:rPr>
          <w:lang w:val="fr-CH"/>
        </w:rPr>
        <w:t xml:space="preserve"> (dispositions spéciales), qui protège contre le licenciement arbitraire, l</w:t>
      </w:r>
      <w:r w:rsidR="00F8384A" w:rsidRPr="009F43DE">
        <w:rPr>
          <w:lang w:val="fr-CH"/>
        </w:rPr>
        <w:t>’</w:t>
      </w:r>
      <w:r w:rsidR="005869CB" w:rsidRPr="009F43DE">
        <w:rPr>
          <w:lang w:val="fr-CH"/>
        </w:rPr>
        <w:t>o</w:t>
      </w:r>
      <w:r w:rsidRPr="009F43DE">
        <w:rPr>
          <w:lang w:val="fr-CH"/>
        </w:rPr>
        <w:t xml:space="preserve">rdonnance sur les usines, qui </w:t>
      </w:r>
      <w:r w:rsidR="005869CB" w:rsidRPr="009F43DE">
        <w:rPr>
          <w:lang w:val="fr-CH"/>
        </w:rPr>
        <w:t>définit les conditions de la</w:t>
      </w:r>
      <w:r w:rsidRPr="009F43DE">
        <w:rPr>
          <w:lang w:val="fr-CH"/>
        </w:rPr>
        <w:t xml:space="preserve"> sécurité et </w:t>
      </w:r>
      <w:r w:rsidR="005869CB" w:rsidRPr="009F43DE">
        <w:rPr>
          <w:lang w:val="fr-CH"/>
        </w:rPr>
        <w:t>du</w:t>
      </w:r>
      <w:r w:rsidRPr="009F43DE">
        <w:rPr>
          <w:lang w:val="fr-CH"/>
        </w:rPr>
        <w:t xml:space="preserve"> bien-être des travailleurs dans les usines et la </w:t>
      </w:r>
      <w:r w:rsidR="005869CB" w:rsidRPr="009F43DE">
        <w:rPr>
          <w:lang w:val="fr-CH"/>
        </w:rPr>
        <w:t>l</w:t>
      </w:r>
      <w:r w:rsidRPr="009F43DE">
        <w:rPr>
          <w:lang w:val="fr-CH"/>
        </w:rPr>
        <w:t>oi sur les employés de</w:t>
      </w:r>
      <w:r w:rsidR="005869CB" w:rsidRPr="009F43DE">
        <w:rPr>
          <w:lang w:val="fr-CH"/>
        </w:rPr>
        <w:t>s</w:t>
      </w:r>
      <w:r w:rsidRPr="009F43DE">
        <w:rPr>
          <w:lang w:val="fr-CH"/>
        </w:rPr>
        <w:t xml:space="preserve"> bureaux et </w:t>
      </w:r>
      <w:r w:rsidR="005869CB" w:rsidRPr="009F43DE">
        <w:rPr>
          <w:lang w:val="fr-CH"/>
        </w:rPr>
        <w:t xml:space="preserve">des </w:t>
      </w:r>
      <w:r w:rsidRPr="009F43DE">
        <w:rPr>
          <w:lang w:val="fr-CH"/>
        </w:rPr>
        <w:t>commerce</w:t>
      </w:r>
      <w:r w:rsidR="005869CB" w:rsidRPr="009F43DE">
        <w:rPr>
          <w:lang w:val="fr-CH"/>
        </w:rPr>
        <w:t>s</w:t>
      </w:r>
      <w:r w:rsidRPr="009F43DE">
        <w:rPr>
          <w:lang w:val="fr-CH"/>
        </w:rPr>
        <w:t>, qui</w:t>
      </w:r>
      <w:r w:rsidR="005869CB" w:rsidRPr="009F43DE">
        <w:rPr>
          <w:lang w:val="fr-CH"/>
        </w:rPr>
        <w:t xml:space="preserve"> règlemente la durée du</w:t>
      </w:r>
      <w:r w:rsidRPr="009F43DE">
        <w:rPr>
          <w:lang w:val="fr-CH"/>
        </w:rPr>
        <w:t xml:space="preserve"> travail </w:t>
      </w:r>
      <w:r w:rsidR="005869CB" w:rsidRPr="009F43DE">
        <w:rPr>
          <w:lang w:val="fr-CH"/>
        </w:rPr>
        <w:t>et le niveau de la</w:t>
      </w:r>
      <w:r w:rsidRPr="009F43DE">
        <w:rPr>
          <w:lang w:val="fr-CH"/>
        </w:rPr>
        <w:t xml:space="preserve"> rémunération dans les bureaux et les commerces, renforcent </w:t>
      </w:r>
      <w:r w:rsidR="005869CB" w:rsidRPr="009F43DE">
        <w:rPr>
          <w:lang w:val="fr-CH"/>
        </w:rPr>
        <w:t>le cadre juridique des</w:t>
      </w:r>
      <w:r w:rsidRPr="009F43DE">
        <w:rPr>
          <w:lang w:val="fr-CH"/>
        </w:rPr>
        <w:t xml:space="preserve"> conditions </w:t>
      </w:r>
      <w:r w:rsidR="005869CB" w:rsidRPr="009F43DE">
        <w:rPr>
          <w:lang w:val="fr-CH"/>
        </w:rPr>
        <w:t>d</w:t>
      </w:r>
      <w:r w:rsidR="00F8384A" w:rsidRPr="009F43DE">
        <w:rPr>
          <w:lang w:val="fr-CH"/>
        </w:rPr>
        <w:t>’</w:t>
      </w:r>
      <w:r w:rsidR="005869CB" w:rsidRPr="009F43DE">
        <w:rPr>
          <w:lang w:val="fr-CH"/>
        </w:rPr>
        <w:t>emploi équitables</w:t>
      </w:r>
      <w:r w:rsidRPr="009F43DE">
        <w:rPr>
          <w:lang w:val="fr-CH"/>
        </w:rPr>
        <w:t>.</w:t>
      </w:r>
    </w:p>
    <w:p w:rsidR="00E5029E" w:rsidRPr="009F43DE" w:rsidRDefault="00E5029E" w:rsidP="00E5029E">
      <w:pPr>
        <w:pStyle w:val="SingleTxtG"/>
        <w:rPr>
          <w:lang w:val="fr-CH"/>
        </w:rPr>
      </w:pPr>
      <w:r w:rsidRPr="009F43DE">
        <w:rPr>
          <w:lang w:val="fr-CH"/>
        </w:rPr>
        <w:t>182.</w:t>
      </w:r>
      <w:r w:rsidRPr="009F43DE">
        <w:rPr>
          <w:lang w:val="fr-CH"/>
        </w:rPr>
        <w:tab/>
        <w:t>L</w:t>
      </w:r>
      <w:r w:rsidR="00F8384A" w:rsidRPr="009F43DE">
        <w:rPr>
          <w:lang w:val="fr-CH"/>
        </w:rPr>
        <w:t>’</w:t>
      </w:r>
      <w:r w:rsidR="005869CB" w:rsidRPr="009F43DE">
        <w:rPr>
          <w:lang w:val="fr-CH"/>
        </w:rPr>
        <w:t>o</w:t>
      </w:r>
      <w:r w:rsidRPr="009F43DE">
        <w:rPr>
          <w:lang w:val="fr-CH"/>
        </w:rPr>
        <w:t xml:space="preserve">rdonnance de 1941 sur les </w:t>
      </w:r>
      <w:r w:rsidR="005869CB" w:rsidRPr="009F43DE">
        <w:rPr>
          <w:lang w:val="fr-CH"/>
        </w:rPr>
        <w:t>commissions</w:t>
      </w:r>
      <w:r w:rsidRPr="009F43DE">
        <w:rPr>
          <w:lang w:val="fr-CH"/>
        </w:rPr>
        <w:t xml:space="preserve"> sala</w:t>
      </w:r>
      <w:r w:rsidR="005869CB" w:rsidRPr="009F43DE">
        <w:rPr>
          <w:lang w:val="fr-CH"/>
        </w:rPr>
        <w:t>riales</w:t>
      </w:r>
      <w:r w:rsidRPr="009F43DE">
        <w:rPr>
          <w:lang w:val="fr-CH"/>
        </w:rPr>
        <w:t>, reconnaît plusieurs principes importants, comme la fixation de taux de salaire minimums, l</w:t>
      </w:r>
      <w:r w:rsidR="00F8384A" w:rsidRPr="009F43DE">
        <w:rPr>
          <w:lang w:val="fr-CH"/>
        </w:rPr>
        <w:t>’</w:t>
      </w:r>
      <w:r w:rsidRPr="009F43DE">
        <w:rPr>
          <w:lang w:val="fr-CH"/>
        </w:rPr>
        <w:t>introduction d</w:t>
      </w:r>
      <w:r w:rsidR="00F8384A" w:rsidRPr="009F43DE">
        <w:rPr>
          <w:lang w:val="fr-CH"/>
        </w:rPr>
        <w:t>’</w:t>
      </w:r>
      <w:r w:rsidRPr="009F43DE">
        <w:rPr>
          <w:lang w:val="fr-CH"/>
        </w:rPr>
        <w:t>une définition légale de la journée de travail, l</w:t>
      </w:r>
      <w:r w:rsidR="00F8384A" w:rsidRPr="009F43DE">
        <w:rPr>
          <w:lang w:val="fr-CH"/>
        </w:rPr>
        <w:t>’</w:t>
      </w:r>
      <w:r w:rsidRPr="009F43DE">
        <w:rPr>
          <w:lang w:val="fr-CH"/>
        </w:rPr>
        <w:t>âge minimum pour travailler et le concept de tripartisme. À l</w:t>
      </w:r>
      <w:r w:rsidR="00F8384A" w:rsidRPr="009F43DE">
        <w:rPr>
          <w:lang w:val="fr-CH"/>
        </w:rPr>
        <w:t>’</w:t>
      </w:r>
      <w:r w:rsidRPr="009F43DE">
        <w:rPr>
          <w:lang w:val="fr-CH"/>
        </w:rPr>
        <w:t xml:space="preserve">heure actuelle, </w:t>
      </w:r>
      <w:r w:rsidR="005869CB" w:rsidRPr="009F43DE">
        <w:rPr>
          <w:lang w:val="fr-CH"/>
        </w:rPr>
        <w:t xml:space="preserve">les </w:t>
      </w:r>
      <w:r w:rsidRPr="009F43DE">
        <w:rPr>
          <w:lang w:val="fr-CH"/>
        </w:rPr>
        <w:t>43 co</w:t>
      </w:r>
      <w:r w:rsidR="005869CB" w:rsidRPr="009F43DE">
        <w:rPr>
          <w:lang w:val="fr-CH"/>
        </w:rPr>
        <w:t xml:space="preserve">mmissions salariales en fonction </w:t>
      </w:r>
      <w:r w:rsidRPr="009F43DE">
        <w:rPr>
          <w:lang w:val="fr-CH"/>
        </w:rPr>
        <w:t>déterminent le salaire minimum dans les plantations</w:t>
      </w:r>
      <w:r w:rsidR="005869CB" w:rsidRPr="009F43DE">
        <w:rPr>
          <w:lang w:val="fr-CH"/>
        </w:rPr>
        <w:t>, le</w:t>
      </w:r>
      <w:r w:rsidRPr="009F43DE">
        <w:rPr>
          <w:lang w:val="fr-CH"/>
        </w:rPr>
        <w:t xml:space="preserve"> secteur industriel</w:t>
      </w:r>
      <w:r w:rsidR="005869CB" w:rsidRPr="009F43DE">
        <w:rPr>
          <w:lang w:val="fr-CH"/>
        </w:rPr>
        <w:t xml:space="preserve"> et celui des services</w:t>
      </w:r>
      <w:r w:rsidRPr="009F43DE">
        <w:rPr>
          <w:lang w:val="fr-CH"/>
        </w:rPr>
        <w:t>.</w:t>
      </w:r>
    </w:p>
    <w:p w:rsidR="00E5029E" w:rsidRPr="009F43DE" w:rsidRDefault="00E5029E" w:rsidP="00E5029E">
      <w:pPr>
        <w:pStyle w:val="SingleTxtG"/>
        <w:rPr>
          <w:lang w:val="fr-CH"/>
        </w:rPr>
      </w:pPr>
      <w:r w:rsidRPr="009F43DE">
        <w:rPr>
          <w:lang w:val="fr-CH"/>
        </w:rPr>
        <w:t>183.</w:t>
      </w:r>
      <w:r w:rsidRPr="009F43DE">
        <w:rPr>
          <w:lang w:val="fr-CH"/>
        </w:rPr>
        <w:tab/>
      </w:r>
      <w:r w:rsidR="00EB2846">
        <w:rPr>
          <w:lang w:val="fr-CH"/>
        </w:rPr>
        <w:t>À</w:t>
      </w:r>
      <w:r w:rsidRPr="009F43DE">
        <w:rPr>
          <w:lang w:val="fr-CH"/>
        </w:rPr>
        <w:t xml:space="preserve"> Sri Lanka, les conventions collectives sont </w:t>
      </w:r>
      <w:r w:rsidR="005869CB" w:rsidRPr="009F43DE">
        <w:rPr>
          <w:lang w:val="fr-CH"/>
        </w:rPr>
        <w:t xml:space="preserve">conclues </w:t>
      </w:r>
      <w:r w:rsidRPr="009F43DE">
        <w:rPr>
          <w:lang w:val="fr-CH"/>
        </w:rPr>
        <w:t xml:space="preserve">exclusivement </w:t>
      </w:r>
      <w:r w:rsidR="005869CB" w:rsidRPr="009F43DE">
        <w:rPr>
          <w:lang w:val="fr-CH"/>
        </w:rPr>
        <w:t>au niveau de l</w:t>
      </w:r>
      <w:r w:rsidR="00F8384A" w:rsidRPr="009F43DE">
        <w:rPr>
          <w:lang w:val="fr-CH"/>
        </w:rPr>
        <w:t>’</w:t>
      </w:r>
      <w:r w:rsidRPr="009F43DE">
        <w:rPr>
          <w:lang w:val="fr-CH"/>
        </w:rPr>
        <w:t xml:space="preserve">entreprise. </w:t>
      </w:r>
      <w:r w:rsidR="005869CB" w:rsidRPr="009F43DE">
        <w:rPr>
          <w:lang w:val="fr-CH"/>
        </w:rPr>
        <w:t xml:space="preserve">Lors de </w:t>
      </w:r>
      <w:r w:rsidRPr="009F43DE">
        <w:rPr>
          <w:lang w:val="fr-CH"/>
        </w:rPr>
        <w:t xml:space="preserve">la fixation des salaires par la </w:t>
      </w:r>
      <w:r w:rsidR="005869CB" w:rsidRPr="009F43DE">
        <w:rPr>
          <w:lang w:val="fr-CH"/>
        </w:rPr>
        <w:t xml:space="preserve">voie de la </w:t>
      </w:r>
      <w:r w:rsidRPr="009F43DE">
        <w:rPr>
          <w:lang w:val="fr-CH"/>
        </w:rPr>
        <w:t>négociation collective</w:t>
      </w:r>
      <w:r w:rsidR="005869CB" w:rsidRPr="009F43DE">
        <w:rPr>
          <w:lang w:val="fr-CH"/>
        </w:rPr>
        <w:t>,</w:t>
      </w:r>
      <w:r w:rsidRPr="009F43DE">
        <w:rPr>
          <w:lang w:val="fr-CH"/>
        </w:rPr>
        <w:t xml:space="preserve"> il est tenu compte, entre autres, de la viabilité de l</w:t>
      </w:r>
      <w:r w:rsidR="00F8384A" w:rsidRPr="009F43DE">
        <w:rPr>
          <w:lang w:val="fr-CH"/>
        </w:rPr>
        <w:t>’</w:t>
      </w:r>
      <w:r w:rsidRPr="009F43DE">
        <w:rPr>
          <w:lang w:val="fr-CH"/>
        </w:rPr>
        <w:t xml:space="preserve">entreprise. </w:t>
      </w:r>
      <w:r w:rsidR="004C09EB" w:rsidRPr="009F43DE">
        <w:rPr>
          <w:lang w:val="fr-CH"/>
        </w:rPr>
        <w:t>La</w:t>
      </w:r>
      <w:r w:rsidRPr="009F43DE">
        <w:rPr>
          <w:lang w:val="fr-CH"/>
        </w:rPr>
        <w:t xml:space="preserve"> </w:t>
      </w:r>
      <w:r w:rsidR="005869CB" w:rsidRPr="009F43DE">
        <w:rPr>
          <w:lang w:val="fr-CH"/>
        </w:rPr>
        <w:t xml:space="preserve">viabilité </w:t>
      </w:r>
      <w:r w:rsidRPr="009F43DE">
        <w:rPr>
          <w:lang w:val="fr-CH"/>
        </w:rPr>
        <w:t>des entreprises</w:t>
      </w:r>
      <w:r w:rsidR="004C09EB" w:rsidRPr="009F43DE">
        <w:rPr>
          <w:lang w:val="fr-CH"/>
        </w:rPr>
        <w:t xml:space="preserve"> </w:t>
      </w:r>
      <w:r w:rsidRPr="009F43DE">
        <w:rPr>
          <w:lang w:val="fr-CH"/>
        </w:rPr>
        <w:t xml:space="preserve">dans </w:t>
      </w:r>
      <w:r w:rsidR="004C09EB" w:rsidRPr="009F43DE">
        <w:rPr>
          <w:lang w:val="fr-CH"/>
        </w:rPr>
        <w:t>un</w:t>
      </w:r>
      <w:r w:rsidRPr="009F43DE">
        <w:rPr>
          <w:lang w:val="fr-CH"/>
        </w:rPr>
        <w:t xml:space="preserve"> même secteur p</w:t>
      </w:r>
      <w:r w:rsidR="004C09EB" w:rsidRPr="009F43DE">
        <w:rPr>
          <w:lang w:val="fr-CH"/>
        </w:rPr>
        <w:t>ouvant</w:t>
      </w:r>
      <w:r w:rsidRPr="009F43DE">
        <w:rPr>
          <w:lang w:val="fr-CH"/>
        </w:rPr>
        <w:t xml:space="preserve"> varier d</w:t>
      </w:r>
      <w:r w:rsidR="00F8384A" w:rsidRPr="009F43DE">
        <w:rPr>
          <w:lang w:val="fr-CH"/>
        </w:rPr>
        <w:t>’</w:t>
      </w:r>
      <w:r w:rsidRPr="009F43DE">
        <w:rPr>
          <w:lang w:val="fr-CH"/>
        </w:rPr>
        <w:t>un</w:t>
      </w:r>
      <w:r w:rsidR="004C09EB" w:rsidRPr="009F43DE">
        <w:rPr>
          <w:lang w:val="fr-CH"/>
        </w:rPr>
        <w:t>e entité à l</w:t>
      </w:r>
      <w:r w:rsidR="00F8384A" w:rsidRPr="009F43DE">
        <w:rPr>
          <w:lang w:val="fr-CH"/>
        </w:rPr>
        <w:t>’</w:t>
      </w:r>
      <w:r w:rsidR="004C09EB" w:rsidRPr="009F43DE">
        <w:rPr>
          <w:lang w:val="fr-CH"/>
        </w:rPr>
        <w:t>autre</w:t>
      </w:r>
      <w:r w:rsidRPr="009F43DE">
        <w:rPr>
          <w:lang w:val="fr-CH"/>
        </w:rPr>
        <w:t>, l</w:t>
      </w:r>
      <w:r w:rsidR="004C09EB" w:rsidRPr="009F43DE">
        <w:rPr>
          <w:lang w:val="fr-CH"/>
        </w:rPr>
        <w:t xml:space="preserve">a rémunération </w:t>
      </w:r>
      <w:r w:rsidRPr="009F43DE">
        <w:rPr>
          <w:lang w:val="fr-CH"/>
        </w:rPr>
        <w:t>d</w:t>
      </w:r>
      <w:r w:rsidR="00F8384A" w:rsidRPr="009F43DE">
        <w:rPr>
          <w:lang w:val="fr-CH"/>
        </w:rPr>
        <w:t>’</w:t>
      </w:r>
      <w:r w:rsidRPr="009F43DE">
        <w:rPr>
          <w:lang w:val="fr-CH"/>
        </w:rPr>
        <w:t>un emploi spécifique peut également varier entre entreprises à l</w:t>
      </w:r>
      <w:r w:rsidR="00F8384A" w:rsidRPr="009F43DE">
        <w:rPr>
          <w:lang w:val="fr-CH"/>
        </w:rPr>
        <w:t>’</w:t>
      </w:r>
      <w:r w:rsidRPr="009F43DE">
        <w:rPr>
          <w:lang w:val="fr-CH"/>
        </w:rPr>
        <w:t>intérieur de la même branche. Ce scénario limite également l</w:t>
      </w:r>
      <w:r w:rsidR="00F8384A" w:rsidRPr="009F43DE">
        <w:rPr>
          <w:lang w:val="fr-CH"/>
        </w:rPr>
        <w:t>’</w:t>
      </w:r>
      <w:r w:rsidRPr="009F43DE">
        <w:rPr>
          <w:lang w:val="fr-CH"/>
        </w:rPr>
        <w:t>application du principe. Le Comité peut se reporter à la réponse au paragraphe</w:t>
      </w:r>
      <w:r w:rsidR="00EB2846">
        <w:rPr>
          <w:lang w:val="fr-CH"/>
        </w:rPr>
        <w:t> </w:t>
      </w:r>
      <w:r w:rsidRPr="009F43DE">
        <w:rPr>
          <w:lang w:val="fr-CH"/>
        </w:rPr>
        <w:t>19 des observations finales pour plus d</w:t>
      </w:r>
      <w:r w:rsidR="00F8384A" w:rsidRPr="009F43DE">
        <w:rPr>
          <w:lang w:val="fr-CH"/>
        </w:rPr>
        <w:t>’</w:t>
      </w:r>
      <w:r w:rsidRPr="009F43DE">
        <w:rPr>
          <w:lang w:val="fr-CH"/>
        </w:rPr>
        <w:t xml:space="preserve">informations </w:t>
      </w:r>
      <w:r w:rsidR="004C09EB" w:rsidRPr="009F43DE">
        <w:rPr>
          <w:lang w:val="fr-CH"/>
        </w:rPr>
        <w:t>sur les</w:t>
      </w:r>
      <w:r w:rsidRPr="009F43DE">
        <w:rPr>
          <w:lang w:val="fr-CH"/>
        </w:rPr>
        <w:t xml:space="preserve"> négociation</w:t>
      </w:r>
      <w:r w:rsidR="004C09EB" w:rsidRPr="009F43DE">
        <w:rPr>
          <w:lang w:val="fr-CH"/>
        </w:rPr>
        <w:t>s</w:t>
      </w:r>
      <w:r w:rsidRPr="009F43DE">
        <w:rPr>
          <w:lang w:val="fr-CH"/>
        </w:rPr>
        <w:t xml:space="preserve"> collective</w:t>
      </w:r>
      <w:r w:rsidR="004C09EB" w:rsidRPr="009F43DE">
        <w:rPr>
          <w:lang w:val="fr-CH"/>
        </w:rPr>
        <w:t>s</w:t>
      </w:r>
      <w:r w:rsidRPr="009F43DE">
        <w:rPr>
          <w:lang w:val="fr-CH"/>
        </w:rPr>
        <w:t>.</w:t>
      </w:r>
    </w:p>
    <w:p w:rsidR="00E5029E" w:rsidRPr="009F43DE" w:rsidRDefault="00E5029E" w:rsidP="00E5029E">
      <w:pPr>
        <w:pStyle w:val="SingleTxtG"/>
        <w:rPr>
          <w:lang w:val="fr-CH"/>
        </w:rPr>
      </w:pPr>
      <w:r w:rsidRPr="009F43DE">
        <w:rPr>
          <w:lang w:val="fr-CH"/>
        </w:rPr>
        <w:t>184</w:t>
      </w:r>
      <w:r w:rsidR="00EB2846" w:rsidRPr="009F43DE">
        <w:rPr>
          <w:lang w:val="fr-CH"/>
        </w:rPr>
        <w:t>.</w:t>
      </w:r>
      <w:r w:rsidR="00EB2846">
        <w:rPr>
          <w:lang w:val="fr-CH"/>
        </w:rPr>
        <w:tab/>
      </w:r>
      <w:r w:rsidRPr="009F43DE">
        <w:rPr>
          <w:lang w:val="fr-CH"/>
        </w:rPr>
        <w:t>Il import</w:t>
      </w:r>
      <w:r w:rsidR="004C09EB" w:rsidRPr="009F43DE">
        <w:rPr>
          <w:lang w:val="fr-CH"/>
        </w:rPr>
        <w:t>e</w:t>
      </w:r>
      <w:r w:rsidRPr="009F43DE">
        <w:rPr>
          <w:lang w:val="fr-CH"/>
        </w:rPr>
        <w:t xml:space="preserve"> de noter que l</w:t>
      </w:r>
      <w:r w:rsidR="004C09EB" w:rsidRPr="009F43DE">
        <w:rPr>
          <w:lang w:val="fr-CH"/>
        </w:rPr>
        <w:t>a</w:t>
      </w:r>
      <w:r w:rsidRPr="009F43DE">
        <w:rPr>
          <w:lang w:val="fr-CH"/>
        </w:rPr>
        <w:t xml:space="preserve"> convention collective dans le secteur des plantations joue un rôle particulièrement important dans la détermination du salaire minimum pour les </w:t>
      </w:r>
      <w:r w:rsidR="004C09EB" w:rsidRPr="009F43DE">
        <w:rPr>
          <w:lang w:val="fr-CH"/>
        </w:rPr>
        <w:t>ouvriers</w:t>
      </w:r>
      <w:r w:rsidRPr="009F43DE">
        <w:rPr>
          <w:lang w:val="fr-CH"/>
        </w:rPr>
        <w:t xml:space="preserve"> des plantations. À l</w:t>
      </w:r>
      <w:r w:rsidR="00F8384A" w:rsidRPr="009F43DE">
        <w:rPr>
          <w:lang w:val="fr-CH"/>
        </w:rPr>
        <w:t>’</w:t>
      </w:r>
      <w:r w:rsidRPr="009F43DE">
        <w:rPr>
          <w:lang w:val="fr-CH"/>
        </w:rPr>
        <w:t xml:space="preserve">heure actuelle, </w:t>
      </w:r>
      <w:r w:rsidR="004C09EB" w:rsidRPr="009F43DE">
        <w:rPr>
          <w:lang w:val="fr-CH"/>
        </w:rPr>
        <w:t>ce salaire est nettement supérieur au</w:t>
      </w:r>
      <w:r w:rsidRPr="009F43DE">
        <w:rPr>
          <w:lang w:val="fr-CH"/>
        </w:rPr>
        <w:t xml:space="preserve"> salaire minimum </w:t>
      </w:r>
      <w:r w:rsidR="004C09EB" w:rsidRPr="009F43DE">
        <w:rPr>
          <w:lang w:val="fr-CH"/>
        </w:rPr>
        <w:t xml:space="preserve">déterminé dans les </w:t>
      </w:r>
      <w:r w:rsidRPr="009F43DE">
        <w:rPr>
          <w:lang w:val="fr-CH"/>
        </w:rPr>
        <w:t xml:space="preserve">autres secteurs </w:t>
      </w:r>
      <w:r w:rsidR="004C09EB" w:rsidRPr="009F43DE">
        <w:rPr>
          <w:lang w:val="fr-CH"/>
        </w:rPr>
        <w:t>par les commissions salariales compétentes</w:t>
      </w:r>
      <w:r w:rsidRPr="009F43DE">
        <w:rPr>
          <w:lang w:val="fr-CH"/>
        </w:rPr>
        <w:t>.</w:t>
      </w:r>
    </w:p>
    <w:p w:rsidR="00E5029E" w:rsidRPr="009F43DE" w:rsidRDefault="00E5029E" w:rsidP="00E5029E">
      <w:pPr>
        <w:pStyle w:val="SingleTxtG"/>
        <w:rPr>
          <w:lang w:val="fr-CH"/>
        </w:rPr>
      </w:pPr>
      <w:r w:rsidRPr="009F43DE">
        <w:rPr>
          <w:lang w:val="fr-CH"/>
        </w:rPr>
        <w:t>185.</w:t>
      </w:r>
      <w:r w:rsidRPr="009F43DE">
        <w:rPr>
          <w:lang w:val="fr-CH"/>
        </w:rPr>
        <w:tab/>
        <w:t xml:space="preserve">Le mécanisme de fixation du salaire minimum au Sri Lanka est constitué </w:t>
      </w:r>
      <w:r w:rsidR="004C09EB" w:rsidRPr="009F43DE">
        <w:rPr>
          <w:lang w:val="fr-CH"/>
        </w:rPr>
        <w:t>par des</w:t>
      </w:r>
      <w:r w:rsidRPr="009F43DE">
        <w:rPr>
          <w:lang w:val="fr-CH"/>
        </w:rPr>
        <w:t xml:space="preserve"> conseil</w:t>
      </w:r>
      <w:r w:rsidR="004C09EB" w:rsidRPr="009F43DE">
        <w:rPr>
          <w:lang w:val="fr-CH"/>
        </w:rPr>
        <w:t>s</w:t>
      </w:r>
      <w:r w:rsidRPr="009F43DE">
        <w:rPr>
          <w:lang w:val="fr-CH"/>
        </w:rPr>
        <w:t xml:space="preserve"> indépendant</w:t>
      </w:r>
      <w:r w:rsidR="004C09EB" w:rsidRPr="009F43DE">
        <w:rPr>
          <w:lang w:val="fr-CH"/>
        </w:rPr>
        <w:t>s</w:t>
      </w:r>
      <w:r w:rsidRPr="009F43DE">
        <w:rPr>
          <w:lang w:val="fr-CH"/>
        </w:rPr>
        <w:t>, permanent</w:t>
      </w:r>
      <w:r w:rsidR="004C09EB" w:rsidRPr="009F43DE">
        <w:rPr>
          <w:lang w:val="fr-CH"/>
        </w:rPr>
        <w:t>s</w:t>
      </w:r>
      <w:r w:rsidRPr="009F43DE">
        <w:rPr>
          <w:lang w:val="fr-CH"/>
        </w:rPr>
        <w:t xml:space="preserve"> et tripartite</w:t>
      </w:r>
      <w:r w:rsidR="004C09EB" w:rsidRPr="009F43DE">
        <w:rPr>
          <w:lang w:val="fr-CH"/>
        </w:rPr>
        <w:t>s</w:t>
      </w:r>
      <w:r w:rsidRPr="009F43DE">
        <w:rPr>
          <w:lang w:val="fr-CH"/>
        </w:rPr>
        <w:t xml:space="preserve"> ayant des pouvoirs </w:t>
      </w:r>
      <w:r w:rsidR="004C09EB" w:rsidRPr="009F43DE">
        <w:rPr>
          <w:lang w:val="fr-CH"/>
        </w:rPr>
        <w:t xml:space="preserve">effectifs </w:t>
      </w:r>
      <w:r w:rsidRPr="009F43DE">
        <w:rPr>
          <w:lang w:val="fr-CH"/>
        </w:rPr>
        <w:t>de recommandation</w:t>
      </w:r>
      <w:r w:rsidR="004C09EB" w:rsidRPr="009F43DE">
        <w:rPr>
          <w:lang w:val="fr-CH"/>
        </w:rPr>
        <w:t>, qui sont établis</w:t>
      </w:r>
      <w:r w:rsidRPr="009F43DE">
        <w:rPr>
          <w:lang w:val="fr-CH"/>
        </w:rPr>
        <w:t xml:space="preserve"> au niveau de </w:t>
      </w:r>
      <w:r w:rsidR="004C09EB" w:rsidRPr="009F43DE">
        <w:rPr>
          <w:lang w:val="fr-CH"/>
        </w:rPr>
        <w:t>chaque secteur</w:t>
      </w:r>
      <w:r w:rsidRPr="009F43DE">
        <w:rPr>
          <w:lang w:val="fr-CH"/>
        </w:rPr>
        <w:t xml:space="preserve"> pour déterminer les taux de</w:t>
      </w:r>
      <w:r w:rsidR="004C09EB" w:rsidRPr="009F43DE">
        <w:rPr>
          <w:lang w:val="fr-CH"/>
        </w:rPr>
        <w:t>s</w:t>
      </w:r>
      <w:r w:rsidRPr="009F43DE">
        <w:rPr>
          <w:lang w:val="fr-CH"/>
        </w:rPr>
        <w:t xml:space="preserve"> salaires minim</w:t>
      </w:r>
      <w:r w:rsidR="004C09EB" w:rsidRPr="009F43DE">
        <w:rPr>
          <w:lang w:val="fr-CH"/>
        </w:rPr>
        <w:t xml:space="preserve">ums </w:t>
      </w:r>
      <w:r w:rsidRPr="009F43DE">
        <w:rPr>
          <w:lang w:val="fr-CH"/>
        </w:rPr>
        <w:t>pour les groupes spécifiques de travailleurs d</w:t>
      </w:r>
      <w:r w:rsidR="00715602" w:rsidRPr="009F43DE">
        <w:rPr>
          <w:lang w:val="fr-CH"/>
        </w:rPr>
        <w:t>u</w:t>
      </w:r>
      <w:r w:rsidRPr="009F43DE">
        <w:rPr>
          <w:lang w:val="fr-CH"/>
        </w:rPr>
        <w:t xml:space="preserve"> secteur</w:t>
      </w:r>
      <w:r w:rsidR="00715602" w:rsidRPr="009F43DE">
        <w:rPr>
          <w:lang w:val="fr-CH"/>
        </w:rPr>
        <w:t xml:space="preserve"> concerné</w:t>
      </w:r>
      <w:r w:rsidRPr="009F43DE">
        <w:rPr>
          <w:lang w:val="fr-CH"/>
        </w:rPr>
        <w:t>. Ce mécanisme offre un cadre approprié pour la fixation des taux</w:t>
      </w:r>
      <w:r w:rsidR="00715602" w:rsidRPr="009F43DE">
        <w:rPr>
          <w:lang w:val="fr-CH"/>
        </w:rPr>
        <w:t>,</w:t>
      </w:r>
      <w:r w:rsidRPr="009F43DE">
        <w:rPr>
          <w:lang w:val="fr-CH"/>
        </w:rPr>
        <w:t xml:space="preserve"> secteur par secteur, en tenant compte des circonstances particulières de cha</w:t>
      </w:r>
      <w:r w:rsidR="00715602" w:rsidRPr="009F43DE">
        <w:rPr>
          <w:lang w:val="fr-CH"/>
        </w:rPr>
        <w:t>cun d</w:t>
      </w:r>
      <w:r w:rsidR="00F8384A" w:rsidRPr="009F43DE">
        <w:rPr>
          <w:lang w:val="fr-CH"/>
        </w:rPr>
        <w:t>’</w:t>
      </w:r>
      <w:r w:rsidR="00715602" w:rsidRPr="009F43DE">
        <w:rPr>
          <w:lang w:val="fr-CH"/>
        </w:rPr>
        <w:t>entre eux</w:t>
      </w:r>
      <w:r w:rsidRPr="009F43DE">
        <w:rPr>
          <w:lang w:val="fr-CH"/>
        </w:rPr>
        <w:t>, avec la participation directe de tous les partenaires sociaux.</w:t>
      </w:r>
    </w:p>
    <w:p w:rsidR="00E5029E" w:rsidRPr="009F43DE" w:rsidRDefault="00E5029E" w:rsidP="00E5029E">
      <w:pPr>
        <w:pStyle w:val="SingleTxtG"/>
        <w:rPr>
          <w:lang w:val="fr-CH"/>
        </w:rPr>
      </w:pPr>
      <w:r w:rsidRPr="009F43DE">
        <w:rPr>
          <w:lang w:val="fr-CH"/>
        </w:rPr>
        <w:t>186.</w:t>
      </w:r>
      <w:r w:rsidRPr="009F43DE">
        <w:rPr>
          <w:lang w:val="fr-CH"/>
        </w:rPr>
        <w:tab/>
        <w:t>Le Gouvernement sri</w:t>
      </w:r>
      <w:r w:rsidR="00715602" w:rsidRPr="009F43DE">
        <w:rPr>
          <w:lang w:val="fr-CH"/>
        </w:rPr>
        <w:t>-</w:t>
      </w:r>
      <w:r w:rsidRPr="009F43DE">
        <w:rPr>
          <w:lang w:val="fr-CH"/>
        </w:rPr>
        <w:t xml:space="preserve">lankais a ratifié la Convention </w:t>
      </w:r>
      <w:r w:rsidR="00EB2846">
        <w:rPr>
          <w:lang w:val="fr-CH"/>
        </w:rPr>
        <w:t>n</w:t>
      </w:r>
      <w:r w:rsidR="00EB2846" w:rsidRPr="00EB2846">
        <w:rPr>
          <w:vertAlign w:val="superscript"/>
          <w:lang w:val="fr-CH"/>
        </w:rPr>
        <w:t>o</w:t>
      </w:r>
      <w:r w:rsidRPr="009F43DE">
        <w:rPr>
          <w:lang w:val="fr-CH"/>
        </w:rPr>
        <w:t>°11</w:t>
      </w:r>
      <w:r w:rsidR="00715602" w:rsidRPr="009F43DE">
        <w:rPr>
          <w:lang w:val="fr-CH"/>
        </w:rPr>
        <w:t>1</w:t>
      </w:r>
      <w:r w:rsidRPr="009F43DE">
        <w:rPr>
          <w:lang w:val="fr-CH"/>
        </w:rPr>
        <w:t xml:space="preserve"> de l</w:t>
      </w:r>
      <w:r w:rsidR="00F8384A" w:rsidRPr="009F43DE">
        <w:rPr>
          <w:lang w:val="fr-CH"/>
        </w:rPr>
        <w:t>’</w:t>
      </w:r>
      <w:r w:rsidRPr="009F43DE">
        <w:rPr>
          <w:lang w:val="fr-CH"/>
        </w:rPr>
        <w:t>OIT concernant la discrimination (emploi et profession) et donne effet aux dispositions de la convention en droit et dans les faits. Aucune pratique discriminatoire fondée sur le sexe, la race ou la caste n</w:t>
      </w:r>
      <w:r w:rsidR="00F8384A" w:rsidRPr="009F43DE">
        <w:rPr>
          <w:lang w:val="fr-CH"/>
        </w:rPr>
        <w:t>’</w:t>
      </w:r>
      <w:r w:rsidRPr="009F43DE">
        <w:rPr>
          <w:lang w:val="fr-CH"/>
        </w:rPr>
        <w:t>est légalement autorisée sur le lieu de travail par la loi et les conditions d</w:t>
      </w:r>
      <w:r w:rsidR="00F8384A" w:rsidRPr="009F43DE">
        <w:rPr>
          <w:lang w:val="fr-CH"/>
        </w:rPr>
        <w:t>’</w:t>
      </w:r>
      <w:r w:rsidRPr="009F43DE">
        <w:rPr>
          <w:lang w:val="fr-CH"/>
        </w:rPr>
        <w:t xml:space="preserve">emploi telles que les salaires, les congés et la sécurité sociale, etc. sont </w:t>
      </w:r>
      <w:r w:rsidR="00715602" w:rsidRPr="009F43DE">
        <w:rPr>
          <w:lang w:val="fr-CH"/>
        </w:rPr>
        <w:t xml:space="preserve">identiques pour </w:t>
      </w:r>
      <w:r w:rsidR="00EB2846">
        <w:rPr>
          <w:lang w:val="fr-CH"/>
        </w:rPr>
        <w:t>le</w:t>
      </w:r>
      <w:r w:rsidR="00EB2846" w:rsidRPr="009F43DE">
        <w:rPr>
          <w:lang w:val="fr-CH"/>
        </w:rPr>
        <w:t xml:space="preserve">s </w:t>
      </w:r>
      <w:r w:rsidR="00715602" w:rsidRPr="009F43DE">
        <w:rPr>
          <w:lang w:val="fr-CH"/>
        </w:rPr>
        <w:t>femmes et les hommes</w:t>
      </w:r>
      <w:r w:rsidRPr="009F43DE">
        <w:rPr>
          <w:lang w:val="fr-CH"/>
        </w:rPr>
        <w:t>.</w:t>
      </w:r>
    </w:p>
    <w:p w:rsidR="00E5029E" w:rsidRPr="009F43DE" w:rsidRDefault="00E5029E" w:rsidP="00E5029E">
      <w:pPr>
        <w:pStyle w:val="H1G"/>
        <w:rPr>
          <w:lang w:val="fr-CH"/>
        </w:rPr>
      </w:pPr>
      <w:r w:rsidRPr="009F43DE">
        <w:rPr>
          <w:lang w:val="fr-CH"/>
        </w:rPr>
        <w:tab/>
      </w:r>
      <w:r w:rsidRPr="009F43DE">
        <w:rPr>
          <w:lang w:val="fr-CH"/>
        </w:rPr>
        <w:tab/>
        <w:t>Article 8</w:t>
      </w:r>
      <w:r w:rsidR="007738FD" w:rsidRPr="009F43DE">
        <w:rPr>
          <w:lang w:val="fr-CH"/>
        </w:rPr>
        <w:br/>
      </w:r>
      <w:r w:rsidRPr="009F43DE">
        <w:rPr>
          <w:rStyle w:val="shorttext"/>
          <w:lang w:val="fr-CH"/>
        </w:rPr>
        <w:t xml:space="preserve">Droit de </w:t>
      </w:r>
      <w:r w:rsidR="00715602" w:rsidRPr="009F43DE">
        <w:rPr>
          <w:rStyle w:val="shorttext"/>
          <w:lang w:val="fr-CH"/>
        </w:rPr>
        <w:t>constituer un syndicat et de s</w:t>
      </w:r>
      <w:r w:rsidR="00F8384A" w:rsidRPr="009F43DE">
        <w:rPr>
          <w:rStyle w:val="shorttext"/>
          <w:lang w:val="fr-CH"/>
        </w:rPr>
        <w:t>’</w:t>
      </w:r>
      <w:r w:rsidR="00715602" w:rsidRPr="009F43DE">
        <w:rPr>
          <w:rStyle w:val="shorttext"/>
          <w:lang w:val="fr-CH"/>
        </w:rPr>
        <w:t>affilier à un</w:t>
      </w:r>
      <w:r w:rsidRPr="009F43DE">
        <w:rPr>
          <w:rStyle w:val="shorttext"/>
          <w:lang w:val="fr-CH"/>
        </w:rPr>
        <w:t xml:space="preserve"> syndicat</w:t>
      </w:r>
    </w:p>
    <w:p w:rsidR="00E5029E" w:rsidRPr="009F43DE" w:rsidRDefault="00E5029E" w:rsidP="00E5029E">
      <w:pPr>
        <w:pStyle w:val="SingleTxtG"/>
        <w:rPr>
          <w:lang w:val="fr-CH"/>
        </w:rPr>
      </w:pPr>
      <w:r w:rsidRPr="009F43DE">
        <w:rPr>
          <w:color w:val="000000"/>
          <w:lang w:val="fr-CH"/>
        </w:rPr>
        <w:t>187.</w:t>
      </w:r>
      <w:r w:rsidRPr="009F43DE">
        <w:rPr>
          <w:color w:val="000000"/>
          <w:lang w:val="fr-CH"/>
        </w:rPr>
        <w:tab/>
        <w:t>Il s</w:t>
      </w:r>
      <w:r w:rsidR="00F8384A" w:rsidRPr="009F43DE">
        <w:rPr>
          <w:color w:val="000000"/>
          <w:lang w:val="fr-CH"/>
        </w:rPr>
        <w:t>’</w:t>
      </w:r>
      <w:r w:rsidRPr="009F43DE">
        <w:rPr>
          <w:color w:val="000000"/>
          <w:lang w:val="fr-CH"/>
        </w:rPr>
        <w:t>est formé dans le pays une solide tradition de syndicalisme qui est indissociablement liée au rôle important qu</w:t>
      </w:r>
      <w:r w:rsidR="00F8384A" w:rsidRPr="009F43DE">
        <w:rPr>
          <w:color w:val="000000"/>
          <w:lang w:val="fr-CH"/>
        </w:rPr>
        <w:t>’</w:t>
      </w:r>
      <w:r w:rsidRPr="009F43DE">
        <w:rPr>
          <w:color w:val="000000"/>
          <w:lang w:val="fr-CH"/>
        </w:rPr>
        <w:t>ont joué les syndicats dans le mouvement pour l</w:t>
      </w:r>
      <w:r w:rsidR="00F8384A" w:rsidRPr="009F43DE">
        <w:rPr>
          <w:color w:val="000000"/>
          <w:lang w:val="fr-CH"/>
        </w:rPr>
        <w:t>’</w:t>
      </w:r>
      <w:r w:rsidRPr="009F43DE">
        <w:rPr>
          <w:color w:val="000000"/>
          <w:lang w:val="fr-CH"/>
        </w:rPr>
        <w:t xml:space="preserve">indépendance de Sri Lanka. </w:t>
      </w:r>
      <w:r w:rsidR="00715602" w:rsidRPr="009F43DE">
        <w:rPr>
          <w:color w:val="000000"/>
          <w:lang w:val="fr-CH"/>
        </w:rPr>
        <w:t>S</w:t>
      </w:r>
      <w:r w:rsidR="00F8384A" w:rsidRPr="009F43DE">
        <w:rPr>
          <w:color w:val="000000"/>
          <w:lang w:val="fr-CH"/>
        </w:rPr>
        <w:t>’</w:t>
      </w:r>
      <w:r w:rsidR="00715602" w:rsidRPr="009F43DE">
        <w:rPr>
          <w:color w:val="000000"/>
          <w:lang w:val="fr-CH"/>
        </w:rPr>
        <w:t xml:space="preserve">agissant des </w:t>
      </w:r>
      <w:r w:rsidRPr="009F43DE">
        <w:rPr>
          <w:color w:val="000000"/>
          <w:lang w:val="fr-CH"/>
        </w:rPr>
        <w:t xml:space="preserve">autres dispositions constitutionnelles </w:t>
      </w:r>
      <w:r w:rsidR="00715602" w:rsidRPr="009F43DE">
        <w:rPr>
          <w:color w:val="000000"/>
          <w:lang w:val="fr-CH"/>
        </w:rPr>
        <w:t>de</w:t>
      </w:r>
      <w:r w:rsidRPr="009F43DE">
        <w:rPr>
          <w:color w:val="000000"/>
          <w:lang w:val="fr-CH"/>
        </w:rPr>
        <w:t xml:space="preserve"> Sri Lanka concern</w:t>
      </w:r>
      <w:r w:rsidR="00715602" w:rsidRPr="009F43DE">
        <w:rPr>
          <w:color w:val="000000"/>
          <w:lang w:val="fr-CH"/>
        </w:rPr>
        <w:t>ant</w:t>
      </w:r>
      <w:r w:rsidRPr="009F43DE">
        <w:rPr>
          <w:color w:val="000000"/>
          <w:lang w:val="fr-CH"/>
        </w:rPr>
        <w:t xml:space="preserve"> la liberté d</w:t>
      </w:r>
      <w:r w:rsidR="00F8384A" w:rsidRPr="009F43DE">
        <w:rPr>
          <w:color w:val="000000"/>
          <w:lang w:val="fr-CH"/>
        </w:rPr>
        <w:t>’</w:t>
      </w:r>
      <w:r w:rsidRPr="009F43DE">
        <w:rPr>
          <w:color w:val="000000"/>
          <w:lang w:val="fr-CH"/>
        </w:rPr>
        <w:t xml:space="preserve">association et la création de syndicats par certaines catégories de personnes, </w:t>
      </w:r>
      <w:r w:rsidR="00715602" w:rsidRPr="009F43DE">
        <w:rPr>
          <w:color w:val="000000"/>
          <w:lang w:val="fr-CH"/>
        </w:rPr>
        <w:t>on peut se</w:t>
      </w:r>
      <w:r w:rsidRPr="009F43DE">
        <w:rPr>
          <w:color w:val="000000"/>
          <w:lang w:val="fr-CH"/>
        </w:rPr>
        <w:t xml:space="preserve"> référer</w:t>
      </w:r>
      <w:r w:rsidRPr="009F43DE">
        <w:rPr>
          <w:lang w:val="fr-CH"/>
        </w:rPr>
        <w:t xml:space="preserve"> à la réponse au paragraphe 22 des Observations finales.</w:t>
      </w:r>
    </w:p>
    <w:p w:rsidR="00E5029E" w:rsidRPr="009F43DE" w:rsidRDefault="00E5029E" w:rsidP="00E5029E">
      <w:pPr>
        <w:pStyle w:val="H1G"/>
        <w:rPr>
          <w:lang w:val="fr-CH"/>
        </w:rPr>
      </w:pPr>
      <w:r w:rsidRPr="009F43DE">
        <w:rPr>
          <w:lang w:val="fr-CH"/>
        </w:rPr>
        <w:tab/>
      </w:r>
      <w:r w:rsidRPr="009F43DE">
        <w:rPr>
          <w:lang w:val="fr-CH"/>
        </w:rPr>
        <w:tab/>
        <w:t>Article 9</w:t>
      </w:r>
      <w:r w:rsidR="007738FD" w:rsidRPr="009F43DE">
        <w:rPr>
          <w:lang w:val="fr-CH"/>
        </w:rPr>
        <w:br/>
      </w:r>
      <w:r w:rsidRPr="009F43DE">
        <w:rPr>
          <w:lang w:val="fr-CH"/>
        </w:rPr>
        <w:t>Droit à la sécurité sociale</w:t>
      </w:r>
    </w:p>
    <w:p w:rsidR="00E5029E" w:rsidRPr="009F43DE" w:rsidRDefault="00E5029E" w:rsidP="00E5029E">
      <w:pPr>
        <w:pStyle w:val="SingleTxtG"/>
        <w:rPr>
          <w:lang w:val="fr-CH"/>
        </w:rPr>
      </w:pPr>
      <w:r w:rsidRPr="009F43DE">
        <w:rPr>
          <w:lang w:val="fr-CH"/>
        </w:rPr>
        <w:t>188.</w:t>
      </w:r>
      <w:r w:rsidRPr="009F43DE">
        <w:rPr>
          <w:lang w:val="fr-CH"/>
        </w:rPr>
        <w:tab/>
        <w:t xml:space="preserve">Le système de sécurité sociale </w:t>
      </w:r>
      <w:r w:rsidR="00715602" w:rsidRPr="009F43DE">
        <w:rPr>
          <w:lang w:val="fr-CH"/>
        </w:rPr>
        <w:t xml:space="preserve">de </w:t>
      </w:r>
      <w:r w:rsidRPr="009F43DE">
        <w:rPr>
          <w:lang w:val="fr-CH"/>
        </w:rPr>
        <w:t xml:space="preserve">Sri Lanka </w:t>
      </w:r>
      <w:r w:rsidR="00715602" w:rsidRPr="009F43DE">
        <w:rPr>
          <w:lang w:val="fr-CH"/>
        </w:rPr>
        <w:t>est constitué par d</w:t>
      </w:r>
      <w:r w:rsidRPr="009F43DE">
        <w:rPr>
          <w:lang w:val="fr-CH"/>
        </w:rPr>
        <w:t xml:space="preserve">es régimes assez bien établis de pensions de vieillesse et de paiements forfaitaires </w:t>
      </w:r>
      <w:r w:rsidR="00715602" w:rsidRPr="009F43DE">
        <w:rPr>
          <w:lang w:val="fr-CH"/>
        </w:rPr>
        <w:t>de</w:t>
      </w:r>
      <w:r w:rsidRPr="009F43DE">
        <w:rPr>
          <w:lang w:val="fr-CH"/>
        </w:rPr>
        <w:t xml:space="preserve"> retraite pour les fonctionnaires et les travailleurs du secteur privé formel et le</w:t>
      </w:r>
      <w:r w:rsidR="00195A7E" w:rsidRPr="009F43DE">
        <w:rPr>
          <w:lang w:val="fr-CH"/>
        </w:rPr>
        <w:t>urs</w:t>
      </w:r>
      <w:r w:rsidRPr="009F43DE">
        <w:rPr>
          <w:lang w:val="fr-CH"/>
        </w:rPr>
        <w:t xml:space="preserve"> personnes </w:t>
      </w:r>
      <w:r w:rsidR="00195A7E" w:rsidRPr="009F43DE">
        <w:rPr>
          <w:lang w:val="fr-CH"/>
        </w:rPr>
        <w:t>à charge.</w:t>
      </w:r>
      <w:r w:rsidRPr="009F43DE">
        <w:rPr>
          <w:lang w:val="fr-CH"/>
        </w:rPr>
        <w:t xml:space="preserve"> (</w:t>
      </w:r>
      <w:r w:rsidR="00195A7E" w:rsidRPr="009F43DE">
        <w:rPr>
          <w:lang w:val="fr-CH"/>
        </w:rPr>
        <w:t xml:space="preserve">Le Comité peut se référer au rapport périodique de Sri Lanka de 1997 </w:t>
      </w:r>
      <w:r w:rsidRPr="009F43DE">
        <w:rPr>
          <w:lang w:val="fr-CH"/>
        </w:rPr>
        <w:t>sur la mise en œuvre du Pacte international</w:t>
      </w:r>
      <w:r w:rsidR="00195A7E" w:rsidRPr="009F43DE">
        <w:rPr>
          <w:lang w:val="fr-CH"/>
        </w:rPr>
        <w:t xml:space="preserve"> pour plus de précisions à cet égard</w:t>
      </w:r>
      <w:r w:rsidR="00F45F4E">
        <w:rPr>
          <w:lang w:val="fr-CH"/>
        </w:rPr>
        <w:t>.</w:t>
      </w:r>
      <w:r w:rsidRPr="009F43DE">
        <w:rPr>
          <w:lang w:val="fr-CH"/>
        </w:rPr>
        <w:t>) Il existe des régimes volontaires pour les travailleurs de l</w:t>
      </w:r>
      <w:r w:rsidR="00F8384A" w:rsidRPr="009F43DE">
        <w:rPr>
          <w:lang w:val="fr-CH"/>
        </w:rPr>
        <w:t>’</w:t>
      </w:r>
      <w:r w:rsidRPr="009F43DE">
        <w:rPr>
          <w:lang w:val="fr-CH"/>
        </w:rPr>
        <w:t xml:space="preserve">économie informelle. En outre, </w:t>
      </w:r>
      <w:r w:rsidR="00195A7E" w:rsidRPr="009F43DE">
        <w:rPr>
          <w:lang w:val="fr-CH"/>
        </w:rPr>
        <w:t xml:space="preserve">plusieurs dispositifs </w:t>
      </w:r>
      <w:r w:rsidRPr="009F43DE">
        <w:rPr>
          <w:lang w:val="fr-CH"/>
        </w:rPr>
        <w:t>couvrent l</w:t>
      </w:r>
      <w:r w:rsidR="00F8384A" w:rsidRPr="009F43DE">
        <w:rPr>
          <w:lang w:val="fr-CH"/>
        </w:rPr>
        <w:t>’</w:t>
      </w:r>
      <w:r w:rsidRPr="009F43DE">
        <w:rPr>
          <w:lang w:val="fr-CH"/>
        </w:rPr>
        <w:t xml:space="preserve">invalidité, les soins de santé et les filets de sécurité sociale </w:t>
      </w:r>
      <w:r w:rsidR="00195A7E" w:rsidRPr="009F43DE">
        <w:rPr>
          <w:lang w:val="fr-CH"/>
        </w:rPr>
        <w:t>pour</w:t>
      </w:r>
      <w:r w:rsidRPr="009F43DE">
        <w:rPr>
          <w:lang w:val="fr-CH"/>
        </w:rPr>
        <w:t xml:space="preserve"> les pauvres. De nombreux risques sont couverts sur une base universelle (soins de santé) ou par un régime ou un autre (vieillesse, invalidité, </w:t>
      </w:r>
      <w:r w:rsidR="00195A7E" w:rsidRPr="009F43DE">
        <w:rPr>
          <w:lang w:val="fr-CH"/>
        </w:rPr>
        <w:t>réversion</w:t>
      </w:r>
      <w:r w:rsidRPr="009F43DE">
        <w:rPr>
          <w:lang w:val="fr-CH"/>
        </w:rPr>
        <w:t>). Certains risques sont partiellement couverts (invalidité, maternité, indemnisation des travailleurs).</w:t>
      </w:r>
    </w:p>
    <w:p w:rsidR="00E5029E" w:rsidRPr="009F43DE" w:rsidRDefault="00E5029E" w:rsidP="00E5029E">
      <w:pPr>
        <w:pStyle w:val="SingleTxtG"/>
        <w:rPr>
          <w:lang w:val="fr-CH"/>
        </w:rPr>
      </w:pPr>
      <w:r w:rsidRPr="009F43DE">
        <w:rPr>
          <w:lang w:val="fr-CH"/>
        </w:rPr>
        <w:t>189.</w:t>
      </w:r>
      <w:r w:rsidRPr="009F43DE">
        <w:rPr>
          <w:lang w:val="fr-CH"/>
        </w:rPr>
        <w:tab/>
        <w:t xml:space="preserve">En août 1995, Sri Lanka a lancé le Mouvement Samurdhi (prospérité), qui </w:t>
      </w:r>
      <w:r w:rsidR="00195A7E" w:rsidRPr="009F43DE">
        <w:rPr>
          <w:lang w:val="fr-CH"/>
        </w:rPr>
        <w:t>avait pour objectif d</w:t>
      </w:r>
      <w:r w:rsidR="00F8384A" w:rsidRPr="009F43DE">
        <w:rPr>
          <w:lang w:val="fr-CH"/>
        </w:rPr>
        <w:t>’</w:t>
      </w:r>
      <w:r w:rsidR="00195A7E" w:rsidRPr="009F43DE">
        <w:rPr>
          <w:lang w:val="fr-CH"/>
        </w:rPr>
        <w:t>aider</w:t>
      </w:r>
      <w:r w:rsidRPr="009F43DE">
        <w:rPr>
          <w:lang w:val="fr-CH"/>
        </w:rPr>
        <w:t xml:space="preserve"> 1,2 million de familles à s</w:t>
      </w:r>
      <w:r w:rsidR="00F8384A" w:rsidRPr="009F43DE">
        <w:rPr>
          <w:lang w:val="fr-CH"/>
        </w:rPr>
        <w:t>’</w:t>
      </w:r>
      <w:r w:rsidRPr="009F43DE">
        <w:rPr>
          <w:lang w:val="fr-CH"/>
        </w:rPr>
        <w:t xml:space="preserve">élever au-dessus du seuil de pauvreté. Environ 100 000 familles </w:t>
      </w:r>
      <w:r w:rsidR="00195A7E" w:rsidRPr="009F43DE">
        <w:rPr>
          <w:lang w:val="fr-CH"/>
        </w:rPr>
        <w:t>reçoivent ainsi</w:t>
      </w:r>
      <w:r w:rsidRPr="009F43DE">
        <w:rPr>
          <w:lang w:val="fr-CH"/>
        </w:rPr>
        <w:t xml:space="preserve"> 1 000,00 </w:t>
      </w:r>
      <w:r w:rsidR="00195A7E" w:rsidRPr="009F43DE">
        <w:rPr>
          <w:lang w:val="fr-CH"/>
        </w:rPr>
        <w:t>roupies</w:t>
      </w:r>
      <w:r w:rsidRPr="009F43DE">
        <w:rPr>
          <w:lang w:val="fr-CH"/>
        </w:rPr>
        <w:t xml:space="preserve"> </w:t>
      </w:r>
      <w:r w:rsidR="00195A7E" w:rsidRPr="009F43DE">
        <w:rPr>
          <w:lang w:val="fr-CH"/>
        </w:rPr>
        <w:t xml:space="preserve">sri-lankaises </w:t>
      </w:r>
      <w:r w:rsidRPr="009F43DE">
        <w:rPr>
          <w:lang w:val="fr-CH"/>
        </w:rPr>
        <w:t>par mois. Les bénéficiaires forment la partie la plus pauvre de la population</w:t>
      </w:r>
      <w:r w:rsidR="00195A7E" w:rsidRPr="009F43DE">
        <w:rPr>
          <w:lang w:val="fr-CH"/>
        </w:rPr>
        <w:t>,</w:t>
      </w:r>
      <w:r w:rsidRPr="009F43DE">
        <w:rPr>
          <w:lang w:val="fr-CH"/>
        </w:rPr>
        <w:t xml:space="preserve"> avec un revenu mensuel inférieur à 500,00 </w:t>
      </w:r>
      <w:r w:rsidR="00195A7E" w:rsidRPr="009F43DE">
        <w:rPr>
          <w:lang w:val="fr-CH"/>
        </w:rPr>
        <w:t>roupies</w:t>
      </w:r>
      <w:r w:rsidRPr="009F43DE">
        <w:rPr>
          <w:lang w:val="fr-CH"/>
        </w:rPr>
        <w:t xml:space="preserve">. Les 1,1 million de familles restantes, dont le revenu mensuel est compris entre 500,00 et 1 000,00 </w:t>
      </w:r>
      <w:r w:rsidR="00195A7E" w:rsidRPr="009F43DE">
        <w:rPr>
          <w:lang w:val="fr-CH"/>
        </w:rPr>
        <w:t xml:space="preserve">roupies </w:t>
      </w:r>
      <w:r w:rsidRPr="009F43DE">
        <w:rPr>
          <w:lang w:val="fr-CH"/>
        </w:rPr>
        <w:t xml:space="preserve">ont perçu une allocation mensuelle de 500,00 </w:t>
      </w:r>
      <w:r w:rsidR="00195A7E" w:rsidRPr="009F43DE">
        <w:rPr>
          <w:lang w:val="fr-CH"/>
        </w:rPr>
        <w:t>roupies</w:t>
      </w:r>
      <w:r w:rsidRPr="009F43DE">
        <w:rPr>
          <w:lang w:val="fr-CH"/>
        </w:rPr>
        <w:t>. Ce régime d</w:t>
      </w:r>
      <w:r w:rsidR="00195A7E" w:rsidRPr="009F43DE">
        <w:rPr>
          <w:lang w:val="fr-CH"/>
        </w:rPr>
        <w:t>e garantie de ressources</w:t>
      </w:r>
      <w:r w:rsidRPr="009F43DE">
        <w:rPr>
          <w:lang w:val="fr-CH"/>
        </w:rPr>
        <w:t xml:space="preserve"> est </w:t>
      </w:r>
      <w:r w:rsidR="00195A7E" w:rsidRPr="009F43DE">
        <w:rPr>
          <w:lang w:val="fr-CH"/>
        </w:rPr>
        <w:t>étayé</w:t>
      </w:r>
      <w:r w:rsidRPr="009F43DE">
        <w:rPr>
          <w:lang w:val="fr-CH"/>
        </w:rPr>
        <w:t xml:space="preserve"> par </w:t>
      </w:r>
      <w:r w:rsidR="00195A7E" w:rsidRPr="009F43DE">
        <w:rPr>
          <w:lang w:val="fr-CH"/>
        </w:rPr>
        <w:t>les projets d</w:t>
      </w:r>
      <w:r w:rsidR="00F8384A" w:rsidRPr="009F43DE">
        <w:rPr>
          <w:lang w:val="fr-CH"/>
        </w:rPr>
        <w:t>’</w:t>
      </w:r>
      <w:r w:rsidRPr="009F43DE">
        <w:rPr>
          <w:lang w:val="fr-CH"/>
        </w:rPr>
        <w:t xml:space="preserve">emploi indépendant et les projets coopératifs et communautaires </w:t>
      </w:r>
      <w:r w:rsidR="00195A7E" w:rsidRPr="009F43DE">
        <w:rPr>
          <w:lang w:val="fr-CH"/>
        </w:rPr>
        <w:t>qui visent à</w:t>
      </w:r>
      <w:r w:rsidRPr="009F43DE">
        <w:rPr>
          <w:lang w:val="fr-CH"/>
        </w:rPr>
        <w:t xml:space="preserve"> accroître la productivité et </w:t>
      </w:r>
      <w:r w:rsidR="00195A7E" w:rsidRPr="009F43DE">
        <w:rPr>
          <w:lang w:val="fr-CH"/>
        </w:rPr>
        <w:t xml:space="preserve">à </w:t>
      </w:r>
      <w:r w:rsidRPr="009F43DE">
        <w:rPr>
          <w:lang w:val="fr-CH"/>
        </w:rPr>
        <w:t>créer des emplois. (</w:t>
      </w:r>
      <w:r w:rsidR="00195A7E" w:rsidRPr="009F43DE">
        <w:rPr>
          <w:lang w:val="fr-CH"/>
        </w:rPr>
        <w:t>Sri Lanka a fourni des précisions à cet égard dans son</w:t>
      </w:r>
      <w:r w:rsidRPr="009F43DE">
        <w:rPr>
          <w:lang w:val="fr-CH"/>
        </w:rPr>
        <w:t xml:space="preserve"> rapport périodique d</w:t>
      </w:r>
      <w:r w:rsidR="00195A7E" w:rsidRPr="009F43DE">
        <w:rPr>
          <w:lang w:val="fr-CH"/>
        </w:rPr>
        <w:t>e 1997</w:t>
      </w:r>
      <w:r w:rsidR="00F45F4E">
        <w:rPr>
          <w:lang w:val="fr-CH"/>
        </w:rPr>
        <w:t>.</w:t>
      </w:r>
      <w:r w:rsidRPr="009F43DE">
        <w:rPr>
          <w:lang w:val="fr-CH"/>
        </w:rPr>
        <w:t>)</w:t>
      </w:r>
    </w:p>
    <w:p w:rsidR="00E5029E" w:rsidRPr="009F43DE" w:rsidRDefault="00E5029E" w:rsidP="00E5029E">
      <w:pPr>
        <w:pStyle w:val="SingleTxtG"/>
        <w:rPr>
          <w:lang w:val="fr-CH"/>
        </w:rPr>
      </w:pPr>
      <w:r w:rsidRPr="009F43DE">
        <w:rPr>
          <w:lang w:val="fr-CH"/>
        </w:rPr>
        <w:t>190.</w:t>
      </w:r>
      <w:r w:rsidRPr="009F43DE">
        <w:rPr>
          <w:lang w:val="fr-CH"/>
        </w:rPr>
        <w:tab/>
        <w:t xml:space="preserve">Les </w:t>
      </w:r>
      <w:r w:rsidR="001229F8" w:rsidRPr="009F43DE">
        <w:rPr>
          <w:lang w:val="fr-CH"/>
        </w:rPr>
        <w:t>agents</w:t>
      </w:r>
      <w:r w:rsidRPr="009F43DE">
        <w:rPr>
          <w:lang w:val="fr-CH"/>
        </w:rPr>
        <w:t xml:space="preserve"> de la fonction publique et leurs familles sont couverts par trois principaux régimes gérés par le Ministère des pensions du Gouvernement sri</w:t>
      </w:r>
      <w:r w:rsidR="001229F8" w:rsidRPr="009F43DE">
        <w:rPr>
          <w:lang w:val="fr-CH"/>
        </w:rPr>
        <w:t>-l</w:t>
      </w:r>
      <w:r w:rsidRPr="009F43DE">
        <w:rPr>
          <w:lang w:val="fr-CH"/>
        </w:rPr>
        <w:t>ankais. Il s</w:t>
      </w:r>
      <w:r w:rsidR="00F8384A" w:rsidRPr="009F43DE">
        <w:rPr>
          <w:lang w:val="fr-CH"/>
        </w:rPr>
        <w:t>’</w:t>
      </w:r>
      <w:r w:rsidRPr="009F43DE">
        <w:rPr>
          <w:lang w:val="fr-CH"/>
        </w:rPr>
        <w:t xml:space="preserve">agit du Système de retraite des fonctionnaires, du Fonds de prévoyance des fonctionnaires et du </w:t>
      </w:r>
      <w:r w:rsidR="001229F8" w:rsidRPr="009F43DE">
        <w:rPr>
          <w:lang w:val="fr-CH"/>
        </w:rPr>
        <w:t>R</w:t>
      </w:r>
      <w:r w:rsidRPr="009F43DE">
        <w:rPr>
          <w:lang w:val="fr-CH"/>
        </w:rPr>
        <w:t>égime de pension des veuves et des orphelins. Les bénéficiaires du Fonds d</w:t>
      </w:r>
      <w:r w:rsidR="00F8384A" w:rsidRPr="009F43DE">
        <w:rPr>
          <w:lang w:val="fr-CH"/>
        </w:rPr>
        <w:t>’</w:t>
      </w:r>
      <w:r w:rsidRPr="009F43DE">
        <w:rPr>
          <w:lang w:val="fr-CH"/>
        </w:rPr>
        <w:t>affectation spéciale pour l</w:t>
      </w:r>
      <w:r w:rsidR="00F8384A" w:rsidRPr="009F43DE">
        <w:rPr>
          <w:lang w:val="fr-CH"/>
        </w:rPr>
        <w:t>’</w:t>
      </w:r>
      <w:r w:rsidRPr="009F43DE">
        <w:rPr>
          <w:lang w:val="fr-CH"/>
        </w:rPr>
        <w:t xml:space="preserve">emploi et de la Caisse de prévoyance professionnelle sont </w:t>
      </w:r>
      <w:r w:rsidR="001229F8" w:rsidRPr="009F43DE">
        <w:rPr>
          <w:lang w:val="fr-CH"/>
        </w:rPr>
        <w:t xml:space="preserve">les travailleurs du secteur privé formel, qui reçoivent </w:t>
      </w:r>
      <w:r w:rsidRPr="009F43DE">
        <w:rPr>
          <w:lang w:val="fr-CH"/>
        </w:rPr>
        <w:t>une somme forfaitaire de base.</w:t>
      </w:r>
    </w:p>
    <w:p w:rsidR="00E5029E" w:rsidRPr="009F43DE" w:rsidRDefault="00E5029E" w:rsidP="00E5029E">
      <w:pPr>
        <w:pStyle w:val="SingleTxtG"/>
        <w:rPr>
          <w:lang w:val="fr-CH"/>
        </w:rPr>
      </w:pPr>
      <w:r w:rsidRPr="009F43DE">
        <w:rPr>
          <w:lang w:val="fr-CH"/>
        </w:rPr>
        <w:t>191.</w:t>
      </w:r>
      <w:r w:rsidRPr="009F43DE">
        <w:rPr>
          <w:lang w:val="fr-CH"/>
        </w:rPr>
        <w:tab/>
        <w:t xml:space="preserve">Une étape importante vers la </w:t>
      </w:r>
      <w:r w:rsidR="001229F8" w:rsidRPr="009F43DE">
        <w:rPr>
          <w:lang w:val="fr-CH"/>
        </w:rPr>
        <w:t>couverture</w:t>
      </w:r>
      <w:r w:rsidRPr="009F43DE">
        <w:rPr>
          <w:lang w:val="fr-CH"/>
        </w:rPr>
        <w:t xml:space="preserve"> sociale d</w:t>
      </w:r>
      <w:r w:rsidR="001229F8" w:rsidRPr="009F43DE">
        <w:rPr>
          <w:lang w:val="fr-CH"/>
        </w:rPr>
        <w:t xml:space="preserve">es travailleurs </w:t>
      </w:r>
      <w:r w:rsidRPr="009F43DE">
        <w:rPr>
          <w:lang w:val="fr-CH"/>
        </w:rPr>
        <w:t>de l</w:t>
      </w:r>
      <w:r w:rsidR="00F8384A" w:rsidRPr="009F43DE">
        <w:rPr>
          <w:lang w:val="fr-CH"/>
        </w:rPr>
        <w:t>’</w:t>
      </w:r>
      <w:r w:rsidRPr="009F43DE">
        <w:rPr>
          <w:lang w:val="fr-CH"/>
        </w:rPr>
        <w:t>économie informelle a été franchie avec l</w:t>
      </w:r>
      <w:r w:rsidR="00F8384A" w:rsidRPr="009F43DE">
        <w:rPr>
          <w:lang w:val="fr-CH"/>
        </w:rPr>
        <w:t>’</w:t>
      </w:r>
      <w:r w:rsidRPr="009F43DE">
        <w:rPr>
          <w:lang w:val="fr-CH"/>
        </w:rPr>
        <w:t>introduction des régimes de retraite des agriculteurs et des pêcheurs. Selon l</w:t>
      </w:r>
      <w:r w:rsidR="00F8384A" w:rsidRPr="009F43DE">
        <w:rPr>
          <w:lang w:val="fr-CH"/>
        </w:rPr>
        <w:t>’</w:t>
      </w:r>
      <w:r w:rsidRPr="009F43DE">
        <w:rPr>
          <w:lang w:val="fr-CH"/>
        </w:rPr>
        <w:t xml:space="preserve">Enquête sur la population active </w:t>
      </w:r>
      <w:r w:rsidR="001229F8" w:rsidRPr="009F43DE">
        <w:rPr>
          <w:lang w:val="fr-CH"/>
        </w:rPr>
        <w:t>de</w:t>
      </w:r>
      <w:r w:rsidRPr="009F43DE">
        <w:rPr>
          <w:lang w:val="fr-CH"/>
        </w:rPr>
        <w:t xml:space="preserve"> 2010, 62,6</w:t>
      </w:r>
      <w:r w:rsidR="001229F8" w:rsidRPr="009F43DE">
        <w:rPr>
          <w:lang w:val="fr-CH"/>
        </w:rPr>
        <w:t> </w:t>
      </w:r>
      <w:r w:rsidRPr="009F43DE">
        <w:rPr>
          <w:lang w:val="fr-CH"/>
        </w:rPr>
        <w:t>% de la population active totale d</w:t>
      </w:r>
      <w:r w:rsidR="001229F8" w:rsidRPr="009F43DE">
        <w:rPr>
          <w:lang w:val="fr-CH"/>
        </w:rPr>
        <w:t>u</w:t>
      </w:r>
      <w:r w:rsidRPr="009F43DE">
        <w:rPr>
          <w:lang w:val="fr-CH"/>
        </w:rPr>
        <w:t xml:space="preserve"> pays travaillent dans le secteur informel de l</w:t>
      </w:r>
      <w:r w:rsidR="00F8384A" w:rsidRPr="009F43DE">
        <w:rPr>
          <w:lang w:val="fr-CH"/>
        </w:rPr>
        <w:t>’</w:t>
      </w:r>
      <w:r w:rsidRPr="009F43DE">
        <w:rPr>
          <w:lang w:val="fr-CH"/>
        </w:rPr>
        <w:t xml:space="preserve">économie, </w:t>
      </w:r>
      <w:r w:rsidR="001229F8" w:rsidRPr="009F43DE">
        <w:rPr>
          <w:lang w:val="fr-CH"/>
        </w:rPr>
        <w:t>dont p</w:t>
      </w:r>
      <w:r w:rsidRPr="009F43DE">
        <w:rPr>
          <w:lang w:val="fr-CH"/>
        </w:rPr>
        <w:t>rès de 2,2</w:t>
      </w:r>
      <w:r w:rsidR="001229F8" w:rsidRPr="009F43DE">
        <w:rPr>
          <w:lang w:val="fr-CH"/>
        </w:rPr>
        <w:t> </w:t>
      </w:r>
      <w:r w:rsidRPr="009F43DE">
        <w:rPr>
          <w:lang w:val="fr-CH"/>
        </w:rPr>
        <w:t xml:space="preserve">millions dans le secteur agricole. </w:t>
      </w:r>
      <w:r w:rsidR="001229F8" w:rsidRPr="009F43DE">
        <w:rPr>
          <w:lang w:val="fr-CH"/>
        </w:rPr>
        <w:t>Une</w:t>
      </w:r>
      <w:r w:rsidRPr="009F43DE">
        <w:rPr>
          <w:lang w:val="fr-CH"/>
        </w:rPr>
        <w:t xml:space="preserve"> prestation d</w:t>
      </w:r>
      <w:r w:rsidR="00F8384A" w:rsidRPr="009F43DE">
        <w:rPr>
          <w:lang w:val="fr-CH"/>
        </w:rPr>
        <w:t>’</w:t>
      </w:r>
      <w:r w:rsidRPr="009F43DE">
        <w:rPr>
          <w:lang w:val="fr-CH"/>
        </w:rPr>
        <w:t>invalidité est également versée dans le cas d</w:t>
      </w:r>
      <w:r w:rsidR="00F8384A" w:rsidRPr="009F43DE">
        <w:rPr>
          <w:lang w:val="fr-CH"/>
        </w:rPr>
        <w:t>’</w:t>
      </w:r>
      <w:r w:rsidR="001229F8" w:rsidRPr="009F43DE">
        <w:rPr>
          <w:lang w:val="fr-CH"/>
        </w:rPr>
        <w:t xml:space="preserve">une </w:t>
      </w:r>
      <w:r w:rsidRPr="009F43DE">
        <w:rPr>
          <w:lang w:val="fr-CH"/>
        </w:rPr>
        <w:t>invalidité partielle ou permanente. Le système</w:t>
      </w:r>
      <w:r w:rsidR="001229F8" w:rsidRPr="009F43DE">
        <w:rPr>
          <w:lang w:val="fr-CH"/>
        </w:rPr>
        <w:t xml:space="preserve"> </w:t>
      </w:r>
      <w:r w:rsidRPr="009F43DE">
        <w:rPr>
          <w:lang w:val="fr-CH"/>
        </w:rPr>
        <w:t xml:space="preserve">est </w:t>
      </w:r>
      <w:r w:rsidR="001229F8" w:rsidRPr="009F43DE">
        <w:rPr>
          <w:lang w:val="fr-CH"/>
        </w:rPr>
        <w:t xml:space="preserve">par nature </w:t>
      </w:r>
      <w:r w:rsidRPr="009F43DE">
        <w:rPr>
          <w:lang w:val="fr-CH"/>
        </w:rPr>
        <w:t xml:space="preserve">flexible </w:t>
      </w:r>
      <w:r w:rsidR="001229F8" w:rsidRPr="009F43DE">
        <w:rPr>
          <w:lang w:val="fr-CH"/>
        </w:rPr>
        <w:t>et les paiements peuvent être effectués soit à intervalles réguliers</w:t>
      </w:r>
      <w:r w:rsidRPr="009F43DE">
        <w:rPr>
          <w:lang w:val="fr-CH"/>
        </w:rPr>
        <w:t xml:space="preserve"> (</w:t>
      </w:r>
      <w:r w:rsidR="001229F8" w:rsidRPr="009F43DE">
        <w:rPr>
          <w:lang w:val="fr-CH"/>
        </w:rPr>
        <w:t>un choix entre trois calendriers de versement est prévu par la réglementation</w:t>
      </w:r>
      <w:r w:rsidRPr="009F43DE">
        <w:rPr>
          <w:lang w:val="fr-CH"/>
        </w:rPr>
        <w:t>)</w:t>
      </w:r>
      <w:r w:rsidR="001229F8" w:rsidRPr="009F43DE">
        <w:rPr>
          <w:lang w:val="fr-CH"/>
        </w:rPr>
        <w:t>, soit</w:t>
      </w:r>
      <w:r w:rsidRPr="009F43DE">
        <w:rPr>
          <w:lang w:val="fr-CH"/>
        </w:rPr>
        <w:t xml:space="preserve"> sur une base forfaitaire.</w:t>
      </w:r>
    </w:p>
    <w:p w:rsidR="00E5029E" w:rsidRPr="009F43DE" w:rsidRDefault="00E5029E" w:rsidP="00E5029E">
      <w:pPr>
        <w:pStyle w:val="H1G"/>
        <w:rPr>
          <w:lang w:val="fr-CH"/>
        </w:rPr>
      </w:pPr>
      <w:r w:rsidRPr="009F43DE">
        <w:rPr>
          <w:lang w:val="fr-CH"/>
        </w:rPr>
        <w:tab/>
      </w:r>
      <w:r w:rsidRPr="009F43DE">
        <w:rPr>
          <w:lang w:val="fr-CH"/>
        </w:rPr>
        <w:tab/>
        <w:t>Article 10</w:t>
      </w:r>
      <w:r w:rsidR="007738FD" w:rsidRPr="009F43DE">
        <w:rPr>
          <w:lang w:val="fr-CH"/>
        </w:rPr>
        <w:br/>
      </w:r>
      <w:r w:rsidRPr="009F43DE">
        <w:rPr>
          <w:lang w:val="fr-CH"/>
        </w:rPr>
        <w:t>Droit à la protection de la famille</w:t>
      </w:r>
    </w:p>
    <w:p w:rsidR="00E5029E" w:rsidRPr="009F43DE" w:rsidRDefault="00E5029E" w:rsidP="00E5029E">
      <w:pPr>
        <w:pStyle w:val="SingleTxtG"/>
        <w:rPr>
          <w:lang w:val="fr-CH"/>
        </w:rPr>
      </w:pPr>
      <w:r w:rsidRPr="009F43DE">
        <w:rPr>
          <w:lang w:val="fr-CH"/>
        </w:rPr>
        <w:t>192.</w:t>
      </w:r>
      <w:r w:rsidRPr="009F43DE">
        <w:rPr>
          <w:lang w:val="fr-CH"/>
        </w:rPr>
        <w:tab/>
      </w:r>
      <w:r w:rsidR="001229F8" w:rsidRPr="009F43DE">
        <w:rPr>
          <w:lang w:val="fr-CH"/>
        </w:rPr>
        <w:t>On notera</w:t>
      </w:r>
      <w:r w:rsidRPr="009F43DE">
        <w:rPr>
          <w:lang w:val="fr-CH"/>
        </w:rPr>
        <w:t xml:space="preserve"> que les modifications apportées à l</w:t>
      </w:r>
      <w:r w:rsidR="00F8384A" w:rsidRPr="009F43DE">
        <w:rPr>
          <w:lang w:val="fr-CH"/>
        </w:rPr>
        <w:t>’</w:t>
      </w:r>
      <w:r w:rsidRPr="009F43DE">
        <w:rPr>
          <w:lang w:val="fr-CH"/>
        </w:rPr>
        <w:t>ordonnance de 1907 sur l</w:t>
      </w:r>
      <w:r w:rsidR="00F8384A" w:rsidRPr="009F43DE">
        <w:rPr>
          <w:lang w:val="fr-CH"/>
        </w:rPr>
        <w:t>’</w:t>
      </w:r>
      <w:r w:rsidRPr="009F43DE">
        <w:rPr>
          <w:lang w:val="fr-CH"/>
        </w:rPr>
        <w:t xml:space="preserve">enregistrement des mariages et </w:t>
      </w:r>
      <w:r w:rsidR="00B6146D" w:rsidRPr="009F43DE">
        <w:rPr>
          <w:lang w:val="fr-CH"/>
        </w:rPr>
        <w:t xml:space="preserve">à </w:t>
      </w:r>
      <w:r w:rsidRPr="009F43DE">
        <w:rPr>
          <w:lang w:val="fr-CH"/>
        </w:rPr>
        <w:t xml:space="preserve">la </w:t>
      </w:r>
      <w:r w:rsidR="001229F8" w:rsidRPr="009F43DE">
        <w:rPr>
          <w:lang w:val="fr-CH"/>
        </w:rPr>
        <w:t>l</w:t>
      </w:r>
      <w:r w:rsidRPr="009F43DE">
        <w:rPr>
          <w:lang w:val="fr-CH"/>
        </w:rPr>
        <w:t xml:space="preserve">oi de 1952 sur le mariage et le divorce Kandyan ont </w:t>
      </w:r>
      <w:r w:rsidR="00B6146D" w:rsidRPr="009F43DE">
        <w:rPr>
          <w:lang w:val="fr-CH"/>
        </w:rPr>
        <w:t>porté à 18 ans</w:t>
      </w:r>
      <w:r w:rsidRPr="009F43DE">
        <w:rPr>
          <w:lang w:val="fr-CH"/>
        </w:rPr>
        <w:t>, pour les hommes comme pour les femmes, l</w:t>
      </w:r>
      <w:r w:rsidR="00F8384A" w:rsidRPr="009F43DE">
        <w:rPr>
          <w:lang w:val="fr-CH"/>
        </w:rPr>
        <w:t>’</w:t>
      </w:r>
      <w:r w:rsidRPr="009F43DE">
        <w:rPr>
          <w:lang w:val="fr-CH"/>
        </w:rPr>
        <w:t>âge minimum d</w:t>
      </w:r>
      <w:r w:rsidR="00B6146D" w:rsidRPr="009F43DE">
        <w:rPr>
          <w:lang w:val="fr-CH"/>
        </w:rPr>
        <w:t>u</w:t>
      </w:r>
      <w:r w:rsidRPr="009F43DE">
        <w:rPr>
          <w:lang w:val="fr-CH"/>
        </w:rPr>
        <w:t xml:space="preserve"> mariage</w:t>
      </w:r>
      <w:r w:rsidR="00B6146D" w:rsidRPr="009F43DE">
        <w:rPr>
          <w:lang w:val="fr-CH"/>
        </w:rPr>
        <w:t xml:space="preserve"> régi par leurs dispositions</w:t>
      </w:r>
      <w:r w:rsidRPr="009F43DE">
        <w:rPr>
          <w:lang w:val="fr-CH"/>
        </w:rPr>
        <w:t xml:space="preserve"> qu</w:t>
      </w:r>
      <w:r w:rsidR="00F8384A" w:rsidRPr="009F43DE">
        <w:rPr>
          <w:lang w:val="fr-CH"/>
        </w:rPr>
        <w:t>’</w:t>
      </w:r>
      <w:r w:rsidRPr="009F43DE">
        <w:rPr>
          <w:lang w:val="fr-CH"/>
        </w:rPr>
        <w:t xml:space="preserve">elles régissent. Le droit de tous les hommes et </w:t>
      </w:r>
      <w:r w:rsidR="00B6146D" w:rsidRPr="009F43DE">
        <w:rPr>
          <w:lang w:val="fr-CH"/>
        </w:rPr>
        <w:t xml:space="preserve">de </w:t>
      </w:r>
      <w:r w:rsidRPr="009F43DE">
        <w:rPr>
          <w:lang w:val="fr-CH"/>
        </w:rPr>
        <w:t xml:space="preserve">toutes les femmes de plus de 18 ans de contracter mariage par un consentement libre et complet est garanti par la loi. </w:t>
      </w:r>
      <w:r w:rsidR="00B6146D" w:rsidRPr="009F43DE">
        <w:rPr>
          <w:lang w:val="fr-CH"/>
        </w:rPr>
        <w:t>En vertu de l</w:t>
      </w:r>
      <w:r w:rsidR="00F8384A" w:rsidRPr="009F43DE">
        <w:rPr>
          <w:lang w:val="fr-CH"/>
        </w:rPr>
        <w:t>’</w:t>
      </w:r>
      <w:r w:rsidR="00B6146D" w:rsidRPr="009F43DE">
        <w:rPr>
          <w:lang w:val="fr-CH"/>
        </w:rPr>
        <w:t xml:space="preserve">ordonnance générale sur le mariage, le </w:t>
      </w:r>
      <w:r w:rsidRPr="009F43DE">
        <w:rPr>
          <w:lang w:val="fr-CH"/>
        </w:rPr>
        <w:t>formulaire d</w:t>
      </w:r>
      <w:r w:rsidR="00F8384A" w:rsidRPr="009F43DE">
        <w:rPr>
          <w:lang w:val="fr-CH"/>
        </w:rPr>
        <w:t>’</w:t>
      </w:r>
      <w:r w:rsidRPr="009F43DE">
        <w:rPr>
          <w:lang w:val="fr-CH"/>
        </w:rPr>
        <w:t xml:space="preserve">enregistrement du mariage doit être signé par les deux </w:t>
      </w:r>
      <w:r w:rsidR="00B6146D" w:rsidRPr="009F43DE">
        <w:rPr>
          <w:lang w:val="fr-CH"/>
        </w:rPr>
        <w:t>époux</w:t>
      </w:r>
      <w:r w:rsidRPr="009F43DE">
        <w:rPr>
          <w:lang w:val="fr-CH"/>
        </w:rPr>
        <w:t xml:space="preserve"> pour preuve de leur consentement. Les liens sociaux, culturels et religieux sont réaffirmés lors des cérémonies de mariage.</w:t>
      </w:r>
    </w:p>
    <w:p w:rsidR="00E5029E" w:rsidRPr="005F283E" w:rsidRDefault="00E5029E" w:rsidP="00F45F4E">
      <w:pPr>
        <w:pStyle w:val="H23G"/>
        <w:rPr>
          <w:lang w:val="fr-CH"/>
        </w:rPr>
      </w:pPr>
      <w:r w:rsidRPr="009F43DE">
        <w:rPr>
          <w:lang w:val="fr-CH"/>
        </w:rPr>
        <w:tab/>
      </w:r>
      <w:r w:rsidRPr="009F43DE">
        <w:rPr>
          <w:lang w:val="fr-CH"/>
        </w:rPr>
        <w:tab/>
        <w:t>Services sociaux pour les personnes âgées et les personnes handicapées</w:t>
      </w:r>
    </w:p>
    <w:p w:rsidR="00E5029E" w:rsidRPr="009F43DE" w:rsidRDefault="00E5029E" w:rsidP="00E5029E">
      <w:pPr>
        <w:pStyle w:val="SingleTxtG"/>
        <w:rPr>
          <w:lang w:val="fr-CH"/>
        </w:rPr>
      </w:pPr>
      <w:r w:rsidRPr="009F43DE">
        <w:rPr>
          <w:color w:val="000000"/>
          <w:lang w:val="fr-CH"/>
        </w:rPr>
        <w:t>193.</w:t>
      </w:r>
      <w:r w:rsidRPr="009F43DE">
        <w:rPr>
          <w:color w:val="000000"/>
          <w:lang w:val="fr-CH"/>
        </w:rPr>
        <w:tab/>
      </w:r>
      <w:r w:rsidR="00A94F8A" w:rsidRPr="009F43DE">
        <w:rPr>
          <w:color w:val="000000"/>
          <w:lang w:val="fr-CH"/>
        </w:rPr>
        <w:t>Le</w:t>
      </w:r>
      <w:r w:rsidRPr="009F43DE">
        <w:rPr>
          <w:lang w:val="fr-CH"/>
        </w:rPr>
        <w:t xml:space="preserve"> Ministère des services sociaux </w:t>
      </w:r>
      <w:r w:rsidR="00A94F8A" w:rsidRPr="009F43DE">
        <w:rPr>
          <w:lang w:val="fr-CH"/>
        </w:rPr>
        <w:t>a essentiellement pour mission de s</w:t>
      </w:r>
      <w:r w:rsidR="00F8384A" w:rsidRPr="009F43DE">
        <w:rPr>
          <w:lang w:val="fr-CH"/>
        </w:rPr>
        <w:t>’</w:t>
      </w:r>
      <w:r w:rsidR="00A94F8A" w:rsidRPr="009F43DE">
        <w:rPr>
          <w:lang w:val="fr-CH"/>
        </w:rPr>
        <w:t>occuper des</w:t>
      </w:r>
      <w:r w:rsidRPr="009F43DE">
        <w:rPr>
          <w:lang w:val="fr-CH"/>
        </w:rPr>
        <w:t xml:space="preserve"> personnes handicapées, </w:t>
      </w:r>
      <w:r w:rsidR="00A94F8A" w:rsidRPr="009F43DE">
        <w:rPr>
          <w:lang w:val="fr-CH"/>
        </w:rPr>
        <w:t>d</w:t>
      </w:r>
      <w:r w:rsidRPr="009F43DE">
        <w:rPr>
          <w:lang w:val="fr-CH"/>
        </w:rPr>
        <w:t xml:space="preserve">es personnes âgées et </w:t>
      </w:r>
      <w:r w:rsidR="00A94F8A" w:rsidRPr="009F43DE">
        <w:rPr>
          <w:lang w:val="fr-CH"/>
        </w:rPr>
        <w:t>d</w:t>
      </w:r>
      <w:r w:rsidRPr="009F43DE">
        <w:rPr>
          <w:lang w:val="fr-CH"/>
        </w:rPr>
        <w:t xml:space="preserve">es familles monoparentales. Sri Lanka est signataire depuis 2007 de la Convention des Nations Unies sur les droits des personnes handicapées. Le Ministère a activement pris des mesures pour mettre en œuvre des programmes </w:t>
      </w:r>
      <w:r w:rsidR="00A94F8A" w:rsidRPr="009F43DE">
        <w:rPr>
          <w:lang w:val="fr-CH"/>
        </w:rPr>
        <w:t xml:space="preserve">visant à </w:t>
      </w:r>
      <w:r w:rsidRPr="009F43DE">
        <w:rPr>
          <w:lang w:val="fr-CH"/>
        </w:rPr>
        <w:t>garanti</w:t>
      </w:r>
      <w:r w:rsidR="00A94F8A" w:rsidRPr="009F43DE">
        <w:rPr>
          <w:lang w:val="fr-CH"/>
        </w:rPr>
        <w:t>r</w:t>
      </w:r>
      <w:r w:rsidRPr="009F43DE">
        <w:rPr>
          <w:lang w:val="fr-CH"/>
        </w:rPr>
        <w:t xml:space="preserve"> que les droits des personnes handicapées sont conformes à la Convention des Nations Unies.</w:t>
      </w:r>
    </w:p>
    <w:p w:rsidR="00E5029E" w:rsidRPr="009F43DE" w:rsidRDefault="00E5029E" w:rsidP="00E5029E">
      <w:pPr>
        <w:pStyle w:val="H23G"/>
        <w:rPr>
          <w:lang w:val="fr-CH"/>
        </w:rPr>
      </w:pPr>
      <w:r w:rsidRPr="009F43DE">
        <w:rPr>
          <w:lang w:val="fr-CH"/>
        </w:rPr>
        <w:tab/>
      </w:r>
      <w:r w:rsidRPr="009F43DE">
        <w:rPr>
          <w:lang w:val="fr-CH"/>
        </w:rPr>
        <w:tab/>
      </w:r>
      <w:r w:rsidR="00A94F8A" w:rsidRPr="009F43DE">
        <w:rPr>
          <w:lang w:val="fr-CH"/>
        </w:rPr>
        <w:t>Allocations</w:t>
      </w:r>
      <w:r w:rsidRPr="009F43DE">
        <w:rPr>
          <w:lang w:val="fr-CH"/>
        </w:rPr>
        <w:t xml:space="preserve"> de maternité</w:t>
      </w:r>
    </w:p>
    <w:p w:rsidR="00E5029E" w:rsidRPr="009F43DE" w:rsidRDefault="00E5029E" w:rsidP="00E5029E">
      <w:pPr>
        <w:pStyle w:val="SingleTxtG"/>
        <w:rPr>
          <w:lang w:val="fr-CH"/>
        </w:rPr>
      </w:pPr>
      <w:r w:rsidRPr="009F43DE">
        <w:rPr>
          <w:lang w:val="fr-CH"/>
        </w:rPr>
        <w:t>194.</w:t>
      </w:r>
      <w:r w:rsidRPr="009F43DE">
        <w:rPr>
          <w:lang w:val="fr-CH"/>
        </w:rPr>
        <w:tab/>
      </w:r>
      <w:r w:rsidR="00A94F8A" w:rsidRPr="009F43DE">
        <w:rPr>
          <w:lang w:val="fr-CH"/>
        </w:rPr>
        <w:t>Au Sri Lanka, d</w:t>
      </w:r>
      <w:r w:rsidRPr="009F43DE">
        <w:rPr>
          <w:lang w:val="fr-CH"/>
        </w:rPr>
        <w:t xml:space="preserve">es </w:t>
      </w:r>
      <w:r w:rsidR="00A94F8A" w:rsidRPr="009F43DE">
        <w:rPr>
          <w:lang w:val="fr-CH"/>
        </w:rPr>
        <w:t>allocations</w:t>
      </w:r>
      <w:r w:rsidRPr="009F43DE">
        <w:rPr>
          <w:lang w:val="fr-CH"/>
        </w:rPr>
        <w:t xml:space="preserve"> de maternité sont </w:t>
      </w:r>
      <w:r w:rsidR="00A94F8A" w:rsidRPr="009F43DE">
        <w:rPr>
          <w:lang w:val="fr-CH"/>
        </w:rPr>
        <w:t xml:space="preserve">versées aux </w:t>
      </w:r>
      <w:r w:rsidRPr="009F43DE">
        <w:rPr>
          <w:lang w:val="fr-CH"/>
        </w:rPr>
        <w:t xml:space="preserve">catégories suivantes de femmes </w:t>
      </w:r>
      <w:r w:rsidR="00A94F8A" w:rsidRPr="009F43DE">
        <w:rPr>
          <w:lang w:val="fr-CH"/>
        </w:rPr>
        <w:t>salariées</w:t>
      </w:r>
      <w:r w:rsidR="00F8384A" w:rsidRPr="009F43DE">
        <w:rPr>
          <w:lang w:val="fr-CH"/>
        </w:rPr>
        <w:t>:</w:t>
      </w:r>
    </w:p>
    <w:p w:rsidR="00E5029E" w:rsidRPr="009F43DE" w:rsidRDefault="00E5029E" w:rsidP="00E5029E">
      <w:pPr>
        <w:pStyle w:val="Bullet1G"/>
        <w:numPr>
          <w:ilvl w:val="0"/>
          <w:numId w:val="0"/>
        </w:numPr>
        <w:ind w:left="1134" w:firstLine="567"/>
        <w:rPr>
          <w:lang w:val="fr-CH"/>
        </w:rPr>
      </w:pPr>
      <w:r w:rsidRPr="009F43DE">
        <w:rPr>
          <w:lang w:val="fr-CH"/>
        </w:rPr>
        <w:t>i)</w:t>
      </w:r>
      <w:r w:rsidRPr="009F43DE">
        <w:rPr>
          <w:lang w:val="fr-CH"/>
        </w:rPr>
        <w:tab/>
        <w:t xml:space="preserve">Les </w:t>
      </w:r>
      <w:r w:rsidR="00A94F8A" w:rsidRPr="009F43DE">
        <w:rPr>
          <w:lang w:val="fr-CH"/>
        </w:rPr>
        <w:t>agents de l</w:t>
      </w:r>
      <w:r w:rsidR="00F8384A" w:rsidRPr="009F43DE">
        <w:rPr>
          <w:lang w:val="fr-CH"/>
        </w:rPr>
        <w:t>’</w:t>
      </w:r>
      <w:r w:rsidR="007574C7" w:rsidRPr="009F43DE">
        <w:rPr>
          <w:lang w:val="fr-CH"/>
        </w:rPr>
        <w:t>État</w:t>
      </w:r>
      <w:r w:rsidRPr="009F43DE">
        <w:rPr>
          <w:lang w:val="fr-CH"/>
        </w:rPr>
        <w:t>;</w:t>
      </w:r>
    </w:p>
    <w:p w:rsidR="00E5029E" w:rsidRPr="009F43DE" w:rsidRDefault="00E5029E" w:rsidP="00F45F4E">
      <w:pPr>
        <w:pStyle w:val="Bullet1G"/>
        <w:numPr>
          <w:ilvl w:val="0"/>
          <w:numId w:val="0"/>
        </w:numPr>
        <w:ind w:left="1701"/>
        <w:rPr>
          <w:lang w:val="fr-CH"/>
        </w:rPr>
      </w:pPr>
      <w:r w:rsidRPr="009F43DE">
        <w:rPr>
          <w:lang w:val="fr-CH"/>
        </w:rPr>
        <w:t>ii)</w:t>
      </w:r>
      <w:r w:rsidRPr="009F43DE">
        <w:rPr>
          <w:lang w:val="fr-CH"/>
        </w:rPr>
        <w:tab/>
        <w:t xml:space="preserve">Les femmes </w:t>
      </w:r>
      <w:r w:rsidR="00A94F8A" w:rsidRPr="009F43DE">
        <w:rPr>
          <w:lang w:val="fr-CH"/>
        </w:rPr>
        <w:t>salariées</w:t>
      </w:r>
      <w:r w:rsidRPr="009F43DE">
        <w:rPr>
          <w:lang w:val="fr-CH"/>
        </w:rPr>
        <w:t xml:space="preserve"> visées par la partie I de la </w:t>
      </w:r>
      <w:r w:rsidR="00A94F8A" w:rsidRPr="009F43DE">
        <w:rPr>
          <w:lang w:val="fr-CH"/>
        </w:rPr>
        <w:t>l</w:t>
      </w:r>
      <w:r w:rsidRPr="009F43DE">
        <w:rPr>
          <w:lang w:val="fr-CH"/>
        </w:rPr>
        <w:t>oi sur les employés de</w:t>
      </w:r>
      <w:r w:rsidR="00A94F8A" w:rsidRPr="009F43DE">
        <w:rPr>
          <w:lang w:val="fr-CH"/>
        </w:rPr>
        <w:t>s</w:t>
      </w:r>
      <w:r w:rsidRPr="009F43DE">
        <w:rPr>
          <w:lang w:val="fr-CH"/>
        </w:rPr>
        <w:t xml:space="preserve"> bureau</w:t>
      </w:r>
      <w:r w:rsidR="00A94F8A" w:rsidRPr="009F43DE">
        <w:rPr>
          <w:lang w:val="fr-CH"/>
        </w:rPr>
        <w:t>x</w:t>
      </w:r>
      <w:r w:rsidRPr="009F43DE">
        <w:rPr>
          <w:lang w:val="fr-CH"/>
        </w:rPr>
        <w:t xml:space="preserve"> et de</w:t>
      </w:r>
      <w:r w:rsidR="00A94F8A" w:rsidRPr="009F43DE">
        <w:rPr>
          <w:lang w:val="fr-CH"/>
        </w:rPr>
        <w:t>s</w:t>
      </w:r>
      <w:r w:rsidRPr="009F43DE">
        <w:rPr>
          <w:lang w:val="fr-CH"/>
        </w:rPr>
        <w:t xml:space="preserve"> commerce</w:t>
      </w:r>
      <w:r w:rsidR="00A94F8A" w:rsidRPr="009F43DE">
        <w:rPr>
          <w:lang w:val="fr-CH"/>
        </w:rPr>
        <w:t>s</w:t>
      </w:r>
      <w:r w:rsidRPr="009F43DE">
        <w:rPr>
          <w:lang w:val="fr-CH"/>
        </w:rPr>
        <w:t>;</w:t>
      </w:r>
    </w:p>
    <w:p w:rsidR="00E5029E" w:rsidRPr="009F43DE" w:rsidRDefault="00E5029E" w:rsidP="00F45F4E">
      <w:pPr>
        <w:pStyle w:val="Bullet1G"/>
        <w:numPr>
          <w:ilvl w:val="0"/>
          <w:numId w:val="0"/>
        </w:numPr>
        <w:ind w:left="1701"/>
        <w:rPr>
          <w:lang w:val="fr-CH"/>
        </w:rPr>
      </w:pPr>
      <w:r w:rsidRPr="009F43DE">
        <w:rPr>
          <w:lang w:val="fr-CH"/>
        </w:rPr>
        <w:t>iii)</w:t>
      </w:r>
      <w:r w:rsidRPr="009F43DE">
        <w:rPr>
          <w:lang w:val="fr-CH"/>
        </w:rPr>
        <w:tab/>
        <w:t>Les femmes salariées couvertes par l</w:t>
      </w:r>
      <w:r w:rsidR="00F8384A" w:rsidRPr="009F43DE">
        <w:rPr>
          <w:lang w:val="fr-CH"/>
        </w:rPr>
        <w:t>’</w:t>
      </w:r>
      <w:r w:rsidR="00A94F8A" w:rsidRPr="009F43DE">
        <w:rPr>
          <w:lang w:val="fr-CH"/>
        </w:rPr>
        <w:t>o</w:t>
      </w:r>
      <w:r w:rsidRPr="009F43DE">
        <w:rPr>
          <w:lang w:val="fr-CH"/>
        </w:rPr>
        <w:t xml:space="preserve">rdonnance </w:t>
      </w:r>
      <w:r w:rsidR="00F45F4E">
        <w:rPr>
          <w:lang w:val="fr-CH"/>
        </w:rPr>
        <w:t>n</w:t>
      </w:r>
      <w:r w:rsidR="00F45F4E" w:rsidRPr="00F45F4E">
        <w:rPr>
          <w:vertAlign w:val="superscript"/>
          <w:lang w:val="fr-CH"/>
        </w:rPr>
        <w:t>o</w:t>
      </w:r>
      <w:r w:rsidR="00A94F8A" w:rsidRPr="009F43DE">
        <w:rPr>
          <w:lang w:val="fr-CH"/>
        </w:rPr>
        <w:t> </w:t>
      </w:r>
      <w:r w:rsidRPr="009F43DE">
        <w:rPr>
          <w:lang w:val="fr-CH"/>
        </w:rPr>
        <w:t xml:space="preserve">32 de 1939 sur les </w:t>
      </w:r>
      <w:r w:rsidR="00A94F8A" w:rsidRPr="009F43DE">
        <w:rPr>
          <w:lang w:val="fr-CH"/>
        </w:rPr>
        <w:t>allocations</w:t>
      </w:r>
      <w:r w:rsidRPr="009F43DE">
        <w:rPr>
          <w:lang w:val="fr-CH"/>
        </w:rPr>
        <w:t xml:space="preserve"> de maternité.</w:t>
      </w:r>
    </w:p>
    <w:p w:rsidR="00E5029E" w:rsidRPr="009F43DE" w:rsidRDefault="00E5029E" w:rsidP="00E5029E">
      <w:pPr>
        <w:pStyle w:val="H23G"/>
        <w:rPr>
          <w:lang w:val="fr-CH"/>
        </w:rPr>
      </w:pPr>
      <w:r w:rsidRPr="009F43DE">
        <w:rPr>
          <w:lang w:val="fr-CH"/>
        </w:rPr>
        <w:tab/>
      </w:r>
      <w:r w:rsidRPr="009F43DE">
        <w:rPr>
          <w:lang w:val="fr-CH"/>
        </w:rPr>
        <w:tab/>
      </w:r>
      <w:r w:rsidR="00A94F8A" w:rsidRPr="009F43DE">
        <w:rPr>
          <w:lang w:val="fr-CH"/>
        </w:rPr>
        <w:t>Allocations</w:t>
      </w:r>
      <w:r w:rsidRPr="009F43DE">
        <w:rPr>
          <w:lang w:val="fr-CH"/>
        </w:rPr>
        <w:t xml:space="preserve"> de maternité dans le secteur public</w:t>
      </w:r>
    </w:p>
    <w:p w:rsidR="00E5029E" w:rsidRPr="009F43DE" w:rsidRDefault="00E5029E" w:rsidP="00E5029E">
      <w:pPr>
        <w:pStyle w:val="SingleTxtG"/>
        <w:rPr>
          <w:lang w:val="fr-CH"/>
        </w:rPr>
      </w:pPr>
      <w:r w:rsidRPr="009F43DE">
        <w:rPr>
          <w:lang w:val="fr-CH"/>
        </w:rPr>
        <w:t>195.</w:t>
      </w:r>
      <w:r w:rsidRPr="009F43DE">
        <w:rPr>
          <w:lang w:val="fr-CH"/>
        </w:rPr>
        <w:tab/>
        <w:t xml:space="preserve">Les </w:t>
      </w:r>
      <w:r w:rsidR="00A94F8A" w:rsidRPr="009F43DE">
        <w:rPr>
          <w:lang w:val="fr-CH"/>
        </w:rPr>
        <w:t>allocations</w:t>
      </w:r>
      <w:r w:rsidRPr="009F43DE">
        <w:rPr>
          <w:lang w:val="fr-CH"/>
        </w:rPr>
        <w:t xml:space="preserve"> de maternité dans le secteur public sont régies par l</w:t>
      </w:r>
      <w:r w:rsidR="00F8384A" w:rsidRPr="009F43DE">
        <w:rPr>
          <w:lang w:val="fr-CH"/>
        </w:rPr>
        <w:t>’</w:t>
      </w:r>
      <w:r w:rsidRPr="009F43DE">
        <w:rPr>
          <w:lang w:val="fr-CH"/>
        </w:rPr>
        <w:t>article 18 du chapitre II du Code d</w:t>
      </w:r>
      <w:r w:rsidR="00F8384A" w:rsidRPr="009F43DE">
        <w:rPr>
          <w:lang w:val="fr-CH"/>
        </w:rPr>
        <w:t>’</w:t>
      </w:r>
      <w:r w:rsidRPr="009F43DE">
        <w:rPr>
          <w:lang w:val="fr-CH"/>
        </w:rPr>
        <w:t xml:space="preserve">établissement, </w:t>
      </w:r>
      <w:r w:rsidR="00304E81" w:rsidRPr="009F43DE">
        <w:rPr>
          <w:lang w:val="fr-CH"/>
        </w:rPr>
        <w:t>en vertu du</w:t>
      </w:r>
      <w:r w:rsidRPr="009F43DE">
        <w:rPr>
          <w:lang w:val="fr-CH"/>
        </w:rPr>
        <w:t xml:space="preserve">quel </w:t>
      </w:r>
      <w:r w:rsidR="00304E81" w:rsidRPr="009F43DE">
        <w:rPr>
          <w:lang w:val="fr-CH"/>
        </w:rPr>
        <w:t>toute</w:t>
      </w:r>
      <w:r w:rsidRPr="009F43DE">
        <w:rPr>
          <w:lang w:val="fr-CH"/>
        </w:rPr>
        <w:t xml:space="preserve"> femme qui a travaillé pendant une période d</w:t>
      </w:r>
      <w:r w:rsidR="00F8384A" w:rsidRPr="009F43DE">
        <w:rPr>
          <w:lang w:val="fr-CH"/>
        </w:rPr>
        <w:t>’</w:t>
      </w:r>
      <w:r w:rsidRPr="009F43DE">
        <w:rPr>
          <w:lang w:val="fr-CH"/>
        </w:rPr>
        <w:t xml:space="preserve">au moins neuf mois a droit à </w:t>
      </w:r>
      <w:r w:rsidR="00A7238B">
        <w:rPr>
          <w:lang w:val="fr-CH"/>
        </w:rPr>
        <w:t>douze</w:t>
      </w:r>
      <w:r w:rsidR="00A7238B" w:rsidRPr="009F43DE">
        <w:rPr>
          <w:lang w:val="fr-CH"/>
        </w:rPr>
        <w:t xml:space="preserve"> </w:t>
      </w:r>
      <w:r w:rsidRPr="009F43DE">
        <w:rPr>
          <w:lang w:val="fr-CH"/>
        </w:rPr>
        <w:t xml:space="preserve">semaines de congé </w:t>
      </w:r>
      <w:r w:rsidR="00304E81" w:rsidRPr="009F43DE">
        <w:rPr>
          <w:lang w:val="fr-CH"/>
        </w:rPr>
        <w:t>à</w:t>
      </w:r>
      <w:r w:rsidRPr="009F43DE">
        <w:rPr>
          <w:lang w:val="fr-CH"/>
        </w:rPr>
        <w:t xml:space="preserve"> plein </w:t>
      </w:r>
      <w:r w:rsidR="00304E81" w:rsidRPr="009F43DE">
        <w:rPr>
          <w:lang w:val="fr-CH"/>
        </w:rPr>
        <w:t>traitement</w:t>
      </w:r>
      <w:r w:rsidRPr="009F43DE">
        <w:rPr>
          <w:lang w:val="fr-CH"/>
        </w:rPr>
        <w:t xml:space="preserve"> pour la première et la </w:t>
      </w:r>
      <w:r w:rsidR="00304E81" w:rsidRPr="009F43DE">
        <w:rPr>
          <w:lang w:val="fr-CH"/>
        </w:rPr>
        <w:t>deuxième</w:t>
      </w:r>
      <w:r w:rsidRPr="009F43DE">
        <w:rPr>
          <w:lang w:val="fr-CH"/>
        </w:rPr>
        <w:t xml:space="preserve"> naissances vivantes. Pour toutes les naissances au-delà de la </w:t>
      </w:r>
      <w:r w:rsidR="00304E81" w:rsidRPr="009F43DE">
        <w:rPr>
          <w:lang w:val="fr-CH"/>
        </w:rPr>
        <w:t>deuxième</w:t>
      </w:r>
      <w:r w:rsidRPr="009F43DE">
        <w:rPr>
          <w:lang w:val="fr-CH"/>
        </w:rPr>
        <w:t xml:space="preserve">, si elle a travaillé la période minimale de neuf mois, six semaines de congé à plein traitement </w:t>
      </w:r>
      <w:r w:rsidR="00304E81" w:rsidRPr="009F43DE">
        <w:rPr>
          <w:lang w:val="fr-CH"/>
        </w:rPr>
        <w:t xml:space="preserve">lui </w:t>
      </w:r>
      <w:r w:rsidRPr="009F43DE">
        <w:rPr>
          <w:lang w:val="fr-CH"/>
        </w:rPr>
        <w:t xml:space="preserve">sont accordées. Si </w:t>
      </w:r>
      <w:r w:rsidR="00304E81" w:rsidRPr="009F43DE">
        <w:rPr>
          <w:lang w:val="fr-CH"/>
        </w:rPr>
        <w:t>elle n</w:t>
      </w:r>
      <w:r w:rsidR="00F8384A" w:rsidRPr="009F43DE">
        <w:rPr>
          <w:lang w:val="fr-CH"/>
        </w:rPr>
        <w:t>’</w:t>
      </w:r>
      <w:r w:rsidRPr="009F43DE">
        <w:rPr>
          <w:lang w:val="fr-CH"/>
        </w:rPr>
        <w:t xml:space="preserve">a pas travaillé un minimum de neuf mois, elle se verra accorder </w:t>
      </w:r>
      <w:r w:rsidR="00A7238B">
        <w:rPr>
          <w:lang w:val="fr-CH"/>
        </w:rPr>
        <w:t>douze</w:t>
      </w:r>
      <w:r w:rsidR="00A7238B" w:rsidRPr="009F43DE">
        <w:rPr>
          <w:lang w:val="fr-CH"/>
        </w:rPr>
        <w:t xml:space="preserve"> </w:t>
      </w:r>
      <w:r w:rsidRPr="009F43DE">
        <w:rPr>
          <w:lang w:val="fr-CH"/>
        </w:rPr>
        <w:t>semaines de congé pour les première et deuxième naissances vivantes</w:t>
      </w:r>
      <w:r w:rsidR="00304E81" w:rsidRPr="009F43DE">
        <w:rPr>
          <w:lang w:val="fr-CH"/>
        </w:rPr>
        <w:t xml:space="preserve">, le versement du traitement plein étant proportionnel à la durée </w:t>
      </w:r>
      <w:r w:rsidRPr="009F43DE">
        <w:rPr>
          <w:lang w:val="fr-CH"/>
        </w:rPr>
        <w:t>de s</w:t>
      </w:r>
      <w:r w:rsidR="00304E81" w:rsidRPr="009F43DE">
        <w:rPr>
          <w:lang w:val="fr-CH"/>
        </w:rPr>
        <w:t xml:space="preserve">a période de </w:t>
      </w:r>
      <w:r w:rsidRPr="009F43DE">
        <w:rPr>
          <w:lang w:val="fr-CH"/>
        </w:rPr>
        <w:t xml:space="preserve">service. Le reste du congé est sans solde. </w:t>
      </w:r>
      <w:r w:rsidR="00304E81" w:rsidRPr="009F43DE">
        <w:rPr>
          <w:lang w:val="fr-CH"/>
        </w:rPr>
        <w:t>Voir</w:t>
      </w:r>
      <w:r w:rsidRPr="009F43DE">
        <w:rPr>
          <w:lang w:val="fr-CH"/>
        </w:rPr>
        <w:t xml:space="preserve"> le contenu de la circulaire de l</w:t>
      </w:r>
      <w:r w:rsidR="00F8384A" w:rsidRPr="009F43DE">
        <w:rPr>
          <w:lang w:val="fr-CH"/>
        </w:rPr>
        <w:t>’</w:t>
      </w:r>
      <w:r w:rsidRPr="009F43DE">
        <w:rPr>
          <w:lang w:val="fr-CH"/>
        </w:rPr>
        <w:t xml:space="preserve">administration publique 03/2006 du 6 </w:t>
      </w:r>
      <w:r w:rsidR="00304E81" w:rsidRPr="009F43DE">
        <w:rPr>
          <w:lang w:val="fr-CH"/>
        </w:rPr>
        <w:t>m</w:t>
      </w:r>
      <w:r w:rsidRPr="009F43DE">
        <w:rPr>
          <w:lang w:val="fr-CH"/>
        </w:rPr>
        <w:t>ars 2006, qui prévoit un congé paternel</w:t>
      </w:r>
      <w:r w:rsidRPr="00A7238B">
        <w:rPr>
          <w:rStyle w:val="FootnoteReference"/>
        </w:rPr>
        <w:footnoteReference w:id="18"/>
      </w:r>
      <w:r w:rsidR="00A7238B">
        <w:rPr>
          <w:lang w:val="fr-CH"/>
        </w:rPr>
        <w:t>.</w:t>
      </w:r>
      <w:r w:rsidRPr="009F43DE">
        <w:rPr>
          <w:lang w:val="fr-CH"/>
        </w:rPr>
        <w:t xml:space="preserve"> </w:t>
      </w:r>
    </w:p>
    <w:p w:rsidR="00E5029E" w:rsidRPr="009F43DE" w:rsidRDefault="00E5029E" w:rsidP="00E5029E">
      <w:pPr>
        <w:pStyle w:val="H23G"/>
        <w:rPr>
          <w:lang w:val="fr-CH"/>
        </w:rPr>
      </w:pPr>
      <w:r w:rsidRPr="009F43DE">
        <w:rPr>
          <w:lang w:val="fr-CH"/>
        </w:rPr>
        <w:tab/>
      </w:r>
      <w:r w:rsidRPr="009F43DE">
        <w:rPr>
          <w:lang w:val="fr-CH"/>
        </w:rPr>
        <w:tab/>
      </w:r>
      <w:r w:rsidR="00304E81" w:rsidRPr="009F43DE">
        <w:rPr>
          <w:lang w:val="fr-CH"/>
        </w:rPr>
        <w:t>P</w:t>
      </w:r>
      <w:r w:rsidRPr="009F43DE">
        <w:rPr>
          <w:lang w:val="fr-CH"/>
        </w:rPr>
        <w:t>révention du travail des enfants</w:t>
      </w:r>
    </w:p>
    <w:p w:rsidR="00E5029E" w:rsidRPr="009F43DE" w:rsidRDefault="00E5029E" w:rsidP="00E5029E">
      <w:pPr>
        <w:pStyle w:val="SingleTxtG"/>
        <w:rPr>
          <w:lang w:val="fr-CH"/>
        </w:rPr>
      </w:pPr>
      <w:r w:rsidRPr="009F43DE">
        <w:rPr>
          <w:lang w:val="fr-CH"/>
        </w:rPr>
        <w:t>196.</w:t>
      </w:r>
      <w:r w:rsidRPr="009F43DE">
        <w:rPr>
          <w:lang w:val="fr-CH"/>
        </w:rPr>
        <w:tab/>
        <w:t xml:space="preserve">Sri Lanka a ratifié la Convention </w:t>
      </w:r>
      <w:r w:rsidR="00A7238B">
        <w:rPr>
          <w:lang w:val="fr-CH"/>
        </w:rPr>
        <w:t>n</w:t>
      </w:r>
      <w:r w:rsidR="00A7238B" w:rsidRPr="00A7238B">
        <w:rPr>
          <w:vertAlign w:val="superscript"/>
          <w:lang w:val="fr-CH"/>
        </w:rPr>
        <w:t>o</w:t>
      </w:r>
      <w:r w:rsidR="00304E81" w:rsidRPr="009F43DE">
        <w:rPr>
          <w:lang w:val="fr-CH"/>
        </w:rPr>
        <w:t> </w:t>
      </w:r>
      <w:r w:rsidRPr="009F43DE">
        <w:rPr>
          <w:lang w:val="fr-CH"/>
        </w:rPr>
        <w:t>138 de 1973 sur l</w:t>
      </w:r>
      <w:r w:rsidR="00F8384A" w:rsidRPr="009F43DE">
        <w:rPr>
          <w:lang w:val="fr-CH"/>
        </w:rPr>
        <w:t>’</w:t>
      </w:r>
      <w:r w:rsidRPr="009F43DE">
        <w:rPr>
          <w:lang w:val="fr-CH"/>
        </w:rPr>
        <w:t xml:space="preserve">âge minimum et la Convention </w:t>
      </w:r>
      <w:r w:rsidR="00A7238B">
        <w:rPr>
          <w:lang w:val="fr-CH"/>
        </w:rPr>
        <w:t>n</w:t>
      </w:r>
      <w:r w:rsidR="00A7238B" w:rsidRPr="00A7238B">
        <w:rPr>
          <w:vertAlign w:val="superscript"/>
          <w:lang w:val="fr-CH"/>
        </w:rPr>
        <w:t>o</w:t>
      </w:r>
      <w:r w:rsidR="00304E81" w:rsidRPr="009F43DE">
        <w:rPr>
          <w:lang w:val="fr-CH"/>
        </w:rPr>
        <w:t> </w:t>
      </w:r>
      <w:r w:rsidRPr="009F43DE">
        <w:rPr>
          <w:lang w:val="fr-CH"/>
        </w:rPr>
        <w:t xml:space="preserve">182 de 1999 sur les pires formes de travail des enfants. </w:t>
      </w:r>
      <w:r w:rsidR="00304E81" w:rsidRPr="009F43DE">
        <w:rPr>
          <w:lang w:val="fr-CH"/>
        </w:rPr>
        <w:t>Elle</w:t>
      </w:r>
      <w:r w:rsidRPr="009F43DE">
        <w:rPr>
          <w:lang w:val="fr-CH"/>
        </w:rPr>
        <w:t xml:space="preserve"> a aligné sa législation, y compris </w:t>
      </w:r>
      <w:r w:rsidR="00304E81" w:rsidRPr="009F43DE">
        <w:rPr>
          <w:lang w:val="fr-CH"/>
        </w:rPr>
        <w:t>son</w:t>
      </w:r>
      <w:r w:rsidRPr="009F43DE">
        <w:rPr>
          <w:lang w:val="fr-CH"/>
        </w:rPr>
        <w:t xml:space="preserve"> code pénal, </w:t>
      </w:r>
      <w:r w:rsidR="00304E81" w:rsidRPr="009F43DE">
        <w:rPr>
          <w:lang w:val="fr-CH"/>
        </w:rPr>
        <w:t>sur</w:t>
      </w:r>
      <w:r w:rsidRPr="009F43DE">
        <w:rPr>
          <w:lang w:val="fr-CH"/>
        </w:rPr>
        <w:t xml:space="preserve"> les dispositions de ces conventions</w:t>
      </w:r>
      <w:r w:rsidR="00304E81" w:rsidRPr="009F43DE">
        <w:rPr>
          <w:lang w:val="fr-CH"/>
        </w:rPr>
        <w:t xml:space="preserve">, a </w:t>
      </w:r>
      <w:r w:rsidR="006435F8" w:rsidRPr="009F43DE">
        <w:rPr>
          <w:lang w:val="fr-CH"/>
        </w:rPr>
        <w:t>érigé en infraction pénale le travail forcé des enfants, la traite d</w:t>
      </w:r>
      <w:r w:rsidR="00F8384A" w:rsidRPr="009F43DE">
        <w:rPr>
          <w:lang w:val="fr-CH"/>
        </w:rPr>
        <w:t>’</w:t>
      </w:r>
      <w:r w:rsidR="006435F8" w:rsidRPr="009F43DE">
        <w:rPr>
          <w:lang w:val="fr-CH"/>
        </w:rPr>
        <w:t xml:space="preserve">enfants </w:t>
      </w:r>
      <w:r w:rsidR="00304E81" w:rsidRPr="009F43DE">
        <w:rPr>
          <w:lang w:val="fr-CH"/>
        </w:rPr>
        <w:t xml:space="preserve">et </w:t>
      </w:r>
      <w:r w:rsidR="006435F8" w:rsidRPr="009F43DE">
        <w:rPr>
          <w:lang w:val="fr-CH"/>
        </w:rPr>
        <w:t>l</w:t>
      </w:r>
      <w:r w:rsidR="00F8384A" w:rsidRPr="009F43DE">
        <w:rPr>
          <w:lang w:val="fr-CH"/>
        </w:rPr>
        <w:t>’</w:t>
      </w:r>
      <w:r w:rsidR="006435F8" w:rsidRPr="009F43DE">
        <w:rPr>
          <w:lang w:val="fr-CH"/>
        </w:rPr>
        <w:t xml:space="preserve">exploitation sexuelle des mineurs et </w:t>
      </w:r>
      <w:r w:rsidR="00304E81" w:rsidRPr="009F43DE">
        <w:rPr>
          <w:lang w:val="fr-CH"/>
        </w:rPr>
        <w:t>a prévu</w:t>
      </w:r>
      <w:r w:rsidRPr="009F43DE">
        <w:rPr>
          <w:lang w:val="fr-CH"/>
        </w:rPr>
        <w:t xml:space="preserve"> de lourdes amendes et des peines d</w:t>
      </w:r>
      <w:r w:rsidR="00F8384A" w:rsidRPr="009F43DE">
        <w:rPr>
          <w:lang w:val="fr-CH"/>
        </w:rPr>
        <w:t>’</w:t>
      </w:r>
      <w:r w:rsidRPr="009F43DE">
        <w:rPr>
          <w:lang w:val="fr-CH"/>
        </w:rPr>
        <w:t xml:space="preserve">emprisonnement </w:t>
      </w:r>
      <w:r w:rsidR="00304E81" w:rsidRPr="009F43DE">
        <w:rPr>
          <w:lang w:val="fr-CH"/>
        </w:rPr>
        <w:t xml:space="preserve">sévères </w:t>
      </w:r>
      <w:r w:rsidRPr="009F43DE">
        <w:rPr>
          <w:lang w:val="fr-CH"/>
        </w:rPr>
        <w:t xml:space="preserve">pour </w:t>
      </w:r>
      <w:r w:rsidR="00304E81" w:rsidRPr="009F43DE">
        <w:rPr>
          <w:lang w:val="fr-CH"/>
        </w:rPr>
        <w:t>tou</w:t>
      </w:r>
      <w:r w:rsidR="006435F8" w:rsidRPr="009F43DE">
        <w:rPr>
          <w:lang w:val="fr-CH"/>
        </w:rPr>
        <w:t>s</w:t>
      </w:r>
      <w:r w:rsidR="00304E81" w:rsidRPr="009F43DE">
        <w:rPr>
          <w:lang w:val="fr-CH"/>
        </w:rPr>
        <w:t xml:space="preserve"> ceux qui impliquent des enfants dans </w:t>
      </w:r>
      <w:r w:rsidR="006435F8" w:rsidRPr="009F43DE">
        <w:rPr>
          <w:lang w:val="fr-CH"/>
        </w:rPr>
        <w:t>d</w:t>
      </w:r>
      <w:r w:rsidR="00304E81" w:rsidRPr="009F43DE">
        <w:rPr>
          <w:lang w:val="fr-CH"/>
        </w:rPr>
        <w:t>es activités illicites</w:t>
      </w:r>
      <w:r w:rsidRPr="009F43DE">
        <w:rPr>
          <w:lang w:val="fr-CH"/>
        </w:rPr>
        <w:t xml:space="preserve">. Veuillez vous référer à la réponse au paragraphe 26 des </w:t>
      </w:r>
      <w:r w:rsidR="006435F8" w:rsidRPr="009F43DE">
        <w:rPr>
          <w:lang w:val="fr-CH"/>
        </w:rPr>
        <w:t>O</w:t>
      </w:r>
      <w:r w:rsidRPr="009F43DE">
        <w:rPr>
          <w:lang w:val="fr-CH"/>
        </w:rPr>
        <w:t>bservations finales sur le travail des enfants.</w:t>
      </w:r>
    </w:p>
    <w:p w:rsidR="00E5029E" w:rsidRPr="009F43DE" w:rsidRDefault="00E5029E" w:rsidP="00E5029E">
      <w:pPr>
        <w:pStyle w:val="SingleTxtG"/>
        <w:rPr>
          <w:lang w:val="fr-CH"/>
        </w:rPr>
      </w:pPr>
      <w:r w:rsidRPr="009F43DE">
        <w:rPr>
          <w:lang w:val="fr-CH"/>
        </w:rPr>
        <w:t>197.</w:t>
      </w:r>
      <w:r w:rsidRPr="009F43DE">
        <w:rPr>
          <w:lang w:val="fr-CH"/>
        </w:rPr>
        <w:tab/>
        <w:t xml:space="preserve">La législation visant à protéger les droits des personnes âgées a été adoptée par le Parlement en 2000. La promulgation de la </w:t>
      </w:r>
      <w:r w:rsidR="006435F8" w:rsidRPr="009F43DE">
        <w:rPr>
          <w:lang w:val="fr-CH"/>
        </w:rPr>
        <w:t>l</w:t>
      </w:r>
      <w:r w:rsidRPr="009F43DE">
        <w:rPr>
          <w:lang w:val="fr-CH"/>
        </w:rPr>
        <w:t xml:space="preserve">oi </w:t>
      </w:r>
      <w:r w:rsidR="00A7238B">
        <w:rPr>
          <w:lang w:val="fr-CH"/>
        </w:rPr>
        <w:t>n</w:t>
      </w:r>
      <w:r w:rsidR="00A7238B" w:rsidRPr="00A7238B">
        <w:rPr>
          <w:vertAlign w:val="superscript"/>
          <w:lang w:val="fr-CH"/>
        </w:rPr>
        <w:t>o</w:t>
      </w:r>
      <w:r w:rsidR="006435F8" w:rsidRPr="009F43DE">
        <w:rPr>
          <w:lang w:val="fr-CH"/>
        </w:rPr>
        <w:t> 9</w:t>
      </w:r>
      <w:r w:rsidRPr="009F43DE">
        <w:rPr>
          <w:lang w:val="fr-CH"/>
        </w:rPr>
        <w:t xml:space="preserve"> de 2000 sur la protection des droits des personnes âgées est une mesure importante pour la protection des personnes âgées au Sri Lanka. </w:t>
      </w:r>
      <w:r w:rsidR="006435F8" w:rsidRPr="009F43DE">
        <w:rPr>
          <w:lang w:val="fr-CH"/>
        </w:rPr>
        <w:t>Cette</w:t>
      </w:r>
      <w:r w:rsidRPr="009F43DE">
        <w:rPr>
          <w:lang w:val="fr-CH"/>
        </w:rPr>
        <w:t xml:space="preserve"> loi prévoit la création d</w:t>
      </w:r>
      <w:r w:rsidR="00F8384A" w:rsidRPr="009F43DE">
        <w:rPr>
          <w:lang w:val="fr-CH"/>
        </w:rPr>
        <w:t>’</w:t>
      </w:r>
      <w:r w:rsidRPr="009F43DE">
        <w:rPr>
          <w:lang w:val="fr-CH"/>
        </w:rPr>
        <w:t xml:space="preserve">un Conseil national des personnes âgées, </w:t>
      </w:r>
      <w:r w:rsidR="006435F8" w:rsidRPr="009F43DE">
        <w:rPr>
          <w:lang w:val="fr-CH"/>
        </w:rPr>
        <w:t>d</w:t>
      </w:r>
      <w:r w:rsidR="00F8384A" w:rsidRPr="009F43DE">
        <w:rPr>
          <w:lang w:val="fr-CH"/>
        </w:rPr>
        <w:t>’</w:t>
      </w:r>
      <w:r w:rsidRPr="009F43DE">
        <w:rPr>
          <w:lang w:val="fr-CH"/>
        </w:rPr>
        <w:t xml:space="preserve">un Secrétariat national pour les personnes âgées, </w:t>
      </w:r>
      <w:r w:rsidR="006435F8" w:rsidRPr="009F43DE">
        <w:rPr>
          <w:lang w:val="fr-CH"/>
        </w:rPr>
        <w:t>d</w:t>
      </w:r>
      <w:r w:rsidR="00F8384A" w:rsidRPr="009F43DE">
        <w:rPr>
          <w:lang w:val="fr-CH"/>
        </w:rPr>
        <w:t>’</w:t>
      </w:r>
      <w:r w:rsidRPr="009F43DE">
        <w:rPr>
          <w:lang w:val="fr-CH"/>
        </w:rPr>
        <w:t xml:space="preserve">un Fonds national pour les personnes âgées et </w:t>
      </w:r>
      <w:r w:rsidR="006435F8" w:rsidRPr="009F43DE">
        <w:rPr>
          <w:lang w:val="fr-CH"/>
        </w:rPr>
        <w:t>d</w:t>
      </w:r>
      <w:r w:rsidR="00F8384A" w:rsidRPr="009F43DE">
        <w:rPr>
          <w:lang w:val="fr-CH"/>
        </w:rPr>
        <w:t>’</w:t>
      </w:r>
      <w:r w:rsidRPr="009F43DE">
        <w:rPr>
          <w:lang w:val="fr-CH"/>
        </w:rPr>
        <w:t xml:space="preserve">un </w:t>
      </w:r>
      <w:r w:rsidR="006435F8" w:rsidRPr="009F43DE">
        <w:rPr>
          <w:lang w:val="fr-CH"/>
        </w:rPr>
        <w:t>C</w:t>
      </w:r>
      <w:r w:rsidRPr="009F43DE">
        <w:rPr>
          <w:lang w:val="fr-CH"/>
        </w:rPr>
        <w:t>onseil pour l</w:t>
      </w:r>
      <w:r w:rsidR="006435F8" w:rsidRPr="009F43DE">
        <w:rPr>
          <w:lang w:val="fr-CH"/>
        </w:rPr>
        <w:t>a prise en charge des</w:t>
      </w:r>
      <w:r w:rsidRPr="009F43DE">
        <w:rPr>
          <w:lang w:val="fr-CH"/>
        </w:rPr>
        <w:t xml:space="preserve"> personnes âgées. </w:t>
      </w:r>
      <w:r w:rsidR="006435F8" w:rsidRPr="009F43DE">
        <w:rPr>
          <w:lang w:val="fr-CH"/>
        </w:rPr>
        <w:t>Elle</w:t>
      </w:r>
      <w:r w:rsidRPr="009F43DE">
        <w:rPr>
          <w:lang w:val="fr-CH"/>
        </w:rPr>
        <w:t xml:space="preserve"> a été modifiée en 2011 </w:t>
      </w:r>
      <w:r w:rsidR="006435F8" w:rsidRPr="009F43DE">
        <w:rPr>
          <w:lang w:val="fr-CH"/>
        </w:rPr>
        <w:t>pour intégrer</w:t>
      </w:r>
      <w:r w:rsidRPr="009F43DE">
        <w:rPr>
          <w:lang w:val="fr-CH"/>
        </w:rPr>
        <w:t xml:space="preserve"> des protections supplémentaires </w:t>
      </w:r>
      <w:r w:rsidR="006435F8" w:rsidRPr="009F43DE">
        <w:rPr>
          <w:lang w:val="fr-CH"/>
        </w:rPr>
        <w:t>en faveur</w:t>
      </w:r>
      <w:r w:rsidRPr="009F43DE">
        <w:rPr>
          <w:lang w:val="fr-CH"/>
        </w:rPr>
        <w:t xml:space="preserve"> </w:t>
      </w:r>
      <w:r w:rsidR="006435F8" w:rsidRPr="009F43DE">
        <w:rPr>
          <w:lang w:val="fr-CH"/>
        </w:rPr>
        <w:t>d</w:t>
      </w:r>
      <w:r w:rsidRPr="009F43DE">
        <w:rPr>
          <w:lang w:val="fr-CH"/>
        </w:rPr>
        <w:t xml:space="preserve">es personnes âgées, y compris </w:t>
      </w:r>
      <w:r w:rsidR="006435F8" w:rsidRPr="009F43DE">
        <w:rPr>
          <w:lang w:val="fr-CH"/>
        </w:rPr>
        <w:t>des dispositions</w:t>
      </w:r>
      <w:r w:rsidRPr="009F43DE">
        <w:rPr>
          <w:lang w:val="fr-CH"/>
        </w:rPr>
        <w:t xml:space="preserve"> </w:t>
      </w:r>
      <w:r w:rsidR="006435F8" w:rsidRPr="009F43DE">
        <w:rPr>
          <w:lang w:val="fr-CH"/>
        </w:rPr>
        <w:t>concernant la délivrance de</w:t>
      </w:r>
      <w:r w:rsidRPr="009F43DE">
        <w:rPr>
          <w:lang w:val="fr-CH"/>
        </w:rPr>
        <w:t xml:space="preserve"> cartes d</w:t>
      </w:r>
      <w:r w:rsidR="00F8384A" w:rsidRPr="009F43DE">
        <w:rPr>
          <w:lang w:val="fr-CH"/>
        </w:rPr>
        <w:t>’</w:t>
      </w:r>
      <w:r w:rsidRPr="009F43DE">
        <w:rPr>
          <w:lang w:val="fr-CH"/>
        </w:rPr>
        <w:t xml:space="preserve">identité </w:t>
      </w:r>
      <w:r w:rsidR="006435F8" w:rsidRPr="009F43DE">
        <w:rPr>
          <w:lang w:val="fr-CH"/>
        </w:rPr>
        <w:t xml:space="preserve">spéciales </w:t>
      </w:r>
      <w:r w:rsidRPr="009F43DE">
        <w:rPr>
          <w:lang w:val="fr-CH"/>
        </w:rPr>
        <w:t>et l</w:t>
      </w:r>
      <w:r w:rsidR="00F8384A" w:rsidRPr="009F43DE">
        <w:rPr>
          <w:lang w:val="fr-CH"/>
        </w:rPr>
        <w:t>’</w:t>
      </w:r>
      <w:r w:rsidRPr="009F43DE">
        <w:rPr>
          <w:lang w:val="fr-CH"/>
        </w:rPr>
        <w:t>enregistrement des résidences pour personnes âgées.</w:t>
      </w:r>
    </w:p>
    <w:p w:rsidR="00E5029E" w:rsidRPr="009F43DE" w:rsidRDefault="00E5029E" w:rsidP="00E5029E">
      <w:pPr>
        <w:pStyle w:val="H1G"/>
        <w:rPr>
          <w:color w:val="000000"/>
          <w:lang w:val="fr-CH"/>
        </w:rPr>
      </w:pPr>
      <w:r w:rsidRPr="009F43DE">
        <w:rPr>
          <w:lang w:val="fr-CH"/>
        </w:rPr>
        <w:tab/>
      </w:r>
      <w:r w:rsidRPr="009F43DE">
        <w:rPr>
          <w:lang w:val="fr-CH"/>
        </w:rPr>
        <w:tab/>
        <w:t>Article 11</w:t>
      </w:r>
      <w:r w:rsidR="007738FD" w:rsidRPr="009F43DE">
        <w:rPr>
          <w:lang w:val="fr-CH"/>
        </w:rPr>
        <w:br/>
      </w:r>
      <w:r w:rsidRPr="009F43DE">
        <w:rPr>
          <w:color w:val="000000"/>
          <w:lang w:val="fr-CH"/>
        </w:rPr>
        <w:t>Droit à un niveau de vie suffisant</w:t>
      </w:r>
    </w:p>
    <w:p w:rsidR="00E5029E" w:rsidRPr="009F43DE" w:rsidRDefault="00E5029E" w:rsidP="00E5029E">
      <w:pPr>
        <w:pStyle w:val="H23G"/>
        <w:rPr>
          <w:lang w:val="fr-CH"/>
        </w:rPr>
      </w:pPr>
      <w:r w:rsidRPr="009F43DE">
        <w:rPr>
          <w:lang w:val="fr-CH"/>
        </w:rPr>
        <w:tab/>
      </w:r>
      <w:r w:rsidRPr="009F43DE">
        <w:rPr>
          <w:lang w:val="fr-CH"/>
        </w:rPr>
        <w:tab/>
        <w:t>Le droit à une alimentation adéquate</w:t>
      </w:r>
    </w:p>
    <w:p w:rsidR="00E5029E" w:rsidRPr="009F43DE" w:rsidRDefault="00E5029E" w:rsidP="00E5029E">
      <w:pPr>
        <w:pStyle w:val="SingleTxtG"/>
        <w:rPr>
          <w:lang w:val="fr-CH"/>
        </w:rPr>
      </w:pPr>
      <w:r w:rsidRPr="009F43DE">
        <w:rPr>
          <w:lang w:val="fr-CH"/>
        </w:rPr>
        <w:t>198.</w:t>
      </w:r>
      <w:r w:rsidRPr="009F43DE">
        <w:rPr>
          <w:lang w:val="fr-CH"/>
        </w:rPr>
        <w:tab/>
        <w:t>L</w:t>
      </w:r>
      <w:r w:rsidR="00F8384A" w:rsidRPr="009F43DE">
        <w:rPr>
          <w:lang w:val="fr-CH"/>
        </w:rPr>
        <w:t>’</w:t>
      </w:r>
      <w:r w:rsidRPr="009F43DE">
        <w:rPr>
          <w:lang w:val="fr-CH"/>
        </w:rPr>
        <w:t xml:space="preserve">objectif principal de la politique </w:t>
      </w:r>
      <w:r w:rsidR="006435F8" w:rsidRPr="009F43DE">
        <w:rPr>
          <w:lang w:val="fr-CH"/>
        </w:rPr>
        <w:t xml:space="preserve">agricole </w:t>
      </w:r>
      <w:r w:rsidRPr="009F43DE">
        <w:rPr>
          <w:lang w:val="fr-CH"/>
        </w:rPr>
        <w:t>nationale est d</w:t>
      </w:r>
      <w:r w:rsidR="00F8384A" w:rsidRPr="009F43DE">
        <w:rPr>
          <w:lang w:val="fr-CH"/>
        </w:rPr>
        <w:t>’</w:t>
      </w:r>
      <w:r w:rsidRPr="009F43DE">
        <w:rPr>
          <w:lang w:val="fr-CH"/>
        </w:rPr>
        <w:t xml:space="preserve">augmenter la production </w:t>
      </w:r>
      <w:r w:rsidR="006435F8" w:rsidRPr="009F43DE">
        <w:rPr>
          <w:lang w:val="fr-CH"/>
        </w:rPr>
        <w:t>du secteur de l</w:t>
      </w:r>
      <w:r w:rsidR="00F8384A" w:rsidRPr="009F43DE">
        <w:rPr>
          <w:lang w:val="fr-CH"/>
        </w:rPr>
        <w:t>’</w:t>
      </w:r>
      <w:r w:rsidR="006435F8" w:rsidRPr="009F43DE">
        <w:rPr>
          <w:lang w:val="fr-CH"/>
        </w:rPr>
        <w:t>agriculture afin d</w:t>
      </w:r>
      <w:r w:rsidR="00F8384A" w:rsidRPr="009F43DE">
        <w:rPr>
          <w:lang w:val="fr-CH"/>
        </w:rPr>
        <w:t>’</w:t>
      </w:r>
      <w:r w:rsidRPr="009F43DE">
        <w:rPr>
          <w:lang w:val="fr-CH"/>
        </w:rPr>
        <w:t xml:space="preserve">améliorer </w:t>
      </w:r>
      <w:r w:rsidR="006435F8" w:rsidRPr="009F43DE">
        <w:rPr>
          <w:lang w:val="fr-CH"/>
        </w:rPr>
        <w:t xml:space="preserve">la </w:t>
      </w:r>
      <w:r w:rsidRPr="009F43DE">
        <w:rPr>
          <w:lang w:val="fr-CH"/>
        </w:rPr>
        <w:t>sécurité alimentaire et nutritionnelle.</w:t>
      </w:r>
    </w:p>
    <w:p w:rsidR="00E5029E" w:rsidRPr="009F43DE" w:rsidRDefault="00E5029E" w:rsidP="00E5029E">
      <w:pPr>
        <w:pStyle w:val="SingleTxtG"/>
        <w:rPr>
          <w:lang w:val="fr-CH"/>
        </w:rPr>
      </w:pPr>
      <w:r w:rsidRPr="009F43DE">
        <w:rPr>
          <w:lang w:val="fr-CH"/>
        </w:rPr>
        <w:t>199.</w:t>
      </w:r>
      <w:r w:rsidRPr="009F43DE">
        <w:rPr>
          <w:lang w:val="fr-CH"/>
        </w:rPr>
        <w:tab/>
        <w:t>Le</w:t>
      </w:r>
      <w:r w:rsidR="00D91064" w:rsidRPr="009F43DE">
        <w:rPr>
          <w:lang w:val="fr-CH"/>
        </w:rPr>
        <w:t>s autorités ont déployé de gros efforts pour augmenter l</w:t>
      </w:r>
      <w:r w:rsidR="00F8384A" w:rsidRPr="009F43DE">
        <w:rPr>
          <w:lang w:val="fr-CH"/>
        </w:rPr>
        <w:t>’</w:t>
      </w:r>
      <w:r w:rsidR="00D91064" w:rsidRPr="009F43DE">
        <w:rPr>
          <w:lang w:val="fr-CH"/>
        </w:rPr>
        <w:t xml:space="preserve">offre de </w:t>
      </w:r>
      <w:r w:rsidRPr="009F43DE">
        <w:rPr>
          <w:lang w:val="fr-CH"/>
        </w:rPr>
        <w:t>riz</w:t>
      </w:r>
      <w:r w:rsidR="00D91064" w:rsidRPr="009F43DE">
        <w:rPr>
          <w:lang w:val="fr-CH"/>
        </w:rPr>
        <w:t>,</w:t>
      </w:r>
      <w:r w:rsidRPr="009F43DE">
        <w:rPr>
          <w:lang w:val="fr-CH"/>
        </w:rPr>
        <w:t xml:space="preserve"> qui est l</w:t>
      </w:r>
      <w:r w:rsidR="00F8384A" w:rsidRPr="009F43DE">
        <w:rPr>
          <w:lang w:val="fr-CH"/>
        </w:rPr>
        <w:t>’</w:t>
      </w:r>
      <w:r w:rsidRPr="009F43DE">
        <w:rPr>
          <w:lang w:val="fr-CH"/>
        </w:rPr>
        <w:t xml:space="preserve">aliment de base du pays. La production moyenne </w:t>
      </w:r>
      <w:r w:rsidR="00D91064" w:rsidRPr="009F43DE">
        <w:rPr>
          <w:lang w:val="fr-CH"/>
        </w:rPr>
        <w:t xml:space="preserve">de riz </w:t>
      </w:r>
      <w:r w:rsidRPr="009F43DE">
        <w:rPr>
          <w:lang w:val="fr-CH"/>
        </w:rPr>
        <w:t xml:space="preserve">était </w:t>
      </w:r>
      <w:r w:rsidR="00D91064" w:rsidRPr="009F43DE">
        <w:rPr>
          <w:lang w:val="fr-CH"/>
        </w:rPr>
        <w:t xml:space="preserve">de </w:t>
      </w:r>
      <w:r w:rsidRPr="009F43DE">
        <w:rPr>
          <w:lang w:val="fr-CH"/>
        </w:rPr>
        <w:t xml:space="preserve">2 675 millions de tonnes en 2013. </w:t>
      </w:r>
      <w:r w:rsidR="00D91064" w:rsidRPr="009F43DE">
        <w:rPr>
          <w:lang w:val="fr-CH"/>
        </w:rPr>
        <w:t>Parmi les mesures appliquées dans ce domaine figurent</w:t>
      </w:r>
      <w:r w:rsidRPr="009F43DE">
        <w:rPr>
          <w:lang w:val="fr-CH"/>
        </w:rPr>
        <w:t xml:space="preserve"> un prix plancher à la production, une subvention </w:t>
      </w:r>
      <w:r w:rsidR="00D91064" w:rsidRPr="009F43DE">
        <w:rPr>
          <w:lang w:val="fr-CH"/>
        </w:rPr>
        <w:t>de</w:t>
      </w:r>
      <w:r w:rsidRPr="009F43DE">
        <w:rPr>
          <w:lang w:val="fr-CH"/>
        </w:rPr>
        <w:t xml:space="preserve"> 90</w:t>
      </w:r>
      <w:r w:rsidR="00D91064" w:rsidRPr="009F43DE">
        <w:rPr>
          <w:lang w:val="fr-CH"/>
        </w:rPr>
        <w:t> % au titre des engrais</w:t>
      </w:r>
      <w:r w:rsidRPr="009F43DE">
        <w:rPr>
          <w:lang w:val="fr-CH"/>
        </w:rPr>
        <w:t xml:space="preserve"> et l</w:t>
      </w:r>
      <w:r w:rsidR="00F8384A" w:rsidRPr="009F43DE">
        <w:rPr>
          <w:lang w:val="fr-CH"/>
        </w:rPr>
        <w:t>’</w:t>
      </w:r>
      <w:r w:rsidRPr="009F43DE">
        <w:rPr>
          <w:lang w:val="fr-CH"/>
        </w:rPr>
        <w:t xml:space="preserve">obligation </w:t>
      </w:r>
      <w:r w:rsidR="00D91064" w:rsidRPr="009F43DE">
        <w:rPr>
          <w:lang w:val="fr-CH"/>
        </w:rPr>
        <w:t>d</w:t>
      </w:r>
      <w:r w:rsidR="00F8384A" w:rsidRPr="009F43DE">
        <w:rPr>
          <w:lang w:val="fr-CH"/>
        </w:rPr>
        <w:t>’</w:t>
      </w:r>
      <w:r w:rsidR="00D91064" w:rsidRPr="009F43DE">
        <w:rPr>
          <w:lang w:val="fr-CH"/>
        </w:rPr>
        <w:t>utiliser les</w:t>
      </w:r>
      <w:r w:rsidRPr="009F43DE">
        <w:rPr>
          <w:lang w:val="fr-CH"/>
        </w:rPr>
        <w:t xml:space="preserve"> rizières uniquement pour la production de riz. En 2013, le</w:t>
      </w:r>
      <w:r w:rsidR="00D91064" w:rsidRPr="009F43DE">
        <w:rPr>
          <w:lang w:val="fr-CH"/>
        </w:rPr>
        <w:t>s autorités ont</w:t>
      </w:r>
      <w:r w:rsidRPr="009F43DE">
        <w:rPr>
          <w:lang w:val="fr-CH"/>
        </w:rPr>
        <w:t xml:space="preserve"> décidé d</w:t>
      </w:r>
      <w:r w:rsidR="00F8384A" w:rsidRPr="009F43DE">
        <w:rPr>
          <w:lang w:val="fr-CH"/>
        </w:rPr>
        <w:t>’</w:t>
      </w:r>
      <w:r w:rsidRPr="009F43DE">
        <w:rPr>
          <w:lang w:val="fr-CH"/>
        </w:rPr>
        <w:t xml:space="preserve">augmenter la subvention </w:t>
      </w:r>
      <w:r w:rsidR="00D91064" w:rsidRPr="009F43DE">
        <w:rPr>
          <w:lang w:val="fr-CH"/>
        </w:rPr>
        <w:t>aux</w:t>
      </w:r>
      <w:r w:rsidRPr="009F43DE">
        <w:rPr>
          <w:lang w:val="fr-CH"/>
        </w:rPr>
        <w:t xml:space="preserve"> engrais </w:t>
      </w:r>
      <w:r w:rsidR="00D91064" w:rsidRPr="009F43DE">
        <w:rPr>
          <w:lang w:val="fr-CH"/>
        </w:rPr>
        <w:t>attribuée a</w:t>
      </w:r>
      <w:r w:rsidRPr="009F43DE">
        <w:rPr>
          <w:lang w:val="fr-CH"/>
        </w:rPr>
        <w:t xml:space="preserve">ux agriculteurs pour la </w:t>
      </w:r>
      <w:r w:rsidR="00D91064" w:rsidRPr="009F43DE">
        <w:rPr>
          <w:lang w:val="fr-CH"/>
        </w:rPr>
        <w:t>campagne Maha de</w:t>
      </w:r>
      <w:r w:rsidRPr="009F43DE">
        <w:rPr>
          <w:lang w:val="fr-CH"/>
        </w:rPr>
        <w:t xml:space="preserve"> 2013/14 de 15</w:t>
      </w:r>
      <w:r w:rsidR="00D91064" w:rsidRPr="009F43DE">
        <w:rPr>
          <w:lang w:val="fr-CH"/>
        </w:rPr>
        <w:t> </w:t>
      </w:r>
      <w:r w:rsidRPr="009F43DE">
        <w:rPr>
          <w:lang w:val="fr-CH"/>
        </w:rPr>
        <w:t xml:space="preserve">% par rapport au montant de la </w:t>
      </w:r>
      <w:r w:rsidR="00D91064" w:rsidRPr="009F43DE">
        <w:rPr>
          <w:lang w:val="fr-CH"/>
        </w:rPr>
        <w:t>campagne précédente</w:t>
      </w:r>
      <w:r w:rsidRPr="009F43DE">
        <w:rPr>
          <w:lang w:val="fr-CH"/>
        </w:rPr>
        <w:t xml:space="preserve"> et 40 milliards de roupies ont été alloués à cette </w:t>
      </w:r>
      <w:r w:rsidR="00D91064" w:rsidRPr="009F43DE">
        <w:rPr>
          <w:lang w:val="fr-CH"/>
        </w:rPr>
        <w:t>mesure</w:t>
      </w:r>
      <w:r w:rsidRPr="009F43DE">
        <w:rPr>
          <w:lang w:val="fr-CH"/>
        </w:rPr>
        <w:t>.</w:t>
      </w:r>
    </w:p>
    <w:p w:rsidR="00E5029E" w:rsidRPr="009F43DE" w:rsidRDefault="00E5029E" w:rsidP="00E5029E">
      <w:pPr>
        <w:pStyle w:val="SingleTxtG"/>
        <w:rPr>
          <w:lang w:val="fr-CH"/>
        </w:rPr>
      </w:pPr>
      <w:r w:rsidRPr="009F43DE">
        <w:rPr>
          <w:lang w:val="fr-CH"/>
        </w:rPr>
        <w:t>200.</w:t>
      </w:r>
      <w:r w:rsidRPr="009F43DE">
        <w:rPr>
          <w:lang w:val="fr-CH"/>
        </w:rPr>
        <w:tab/>
        <w:t>La politique agricole d</w:t>
      </w:r>
      <w:r w:rsidR="00D91064" w:rsidRPr="009F43DE">
        <w:rPr>
          <w:lang w:val="fr-CH"/>
        </w:rPr>
        <w:t>e</w:t>
      </w:r>
      <w:r w:rsidRPr="009F43DE">
        <w:rPr>
          <w:lang w:val="fr-CH"/>
        </w:rPr>
        <w:t xml:space="preserve"> Sri Lanka met l</w:t>
      </w:r>
      <w:r w:rsidR="00F8384A" w:rsidRPr="009F43DE">
        <w:rPr>
          <w:lang w:val="fr-CH"/>
        </w:rPr>
        <w:t>’</w:t>
      </w:r>
      <w:r w:rsidRPr="009F43DE">
        <w:rPr>
          <w:lang w:val="fr-CH"/>
        </w:rPr>
        <w:t>accent sur l</w:t>
      </w:r>
      <w:r w:rsidR="00F8384A" w:rsidRPr="009F43DE">
        <w:rPr>
          <w:lang w:val="fr-CH"/>
        </w:rPr>
        <w:t>’</w:t>
      </w:r>
      <w:r w:rsidRPr="009F43DE">
        <w:rPr>
          <w:lang w:val="fr-CH"/>
        </w:rPr>
        <w:t>autosuffisance dans la production de riz et encourage la consommation de riz. Le Gouvernement sri</w:t>
      </w:r>
      <w:r w:rsidR="00D91064" w:rsidRPr="009F43DE">
        <w:rPr>
          <w:lang w:val="fr-CH"/>
        </w:rPr>
        <w:t>-</w:t>
      </w:r>
      <w:r w:rsidRPr="009F43DE">
        <w:rPr>
          <w:lang w:val="fr-CH"/>
        </w:rPr>
        <w:t xml:space="preserve">lankais </w:t>
      </w:r>
      <w:r w:rsidR="00D91064" w:rsidRPr="009F43DE">
        <w:rPr>
          <w:lang w:val="fr-CH"/>
        </w:rPr>
        <w:t>s</w:t>
      </w:r>
      <w:r w:rsidR="00F8384A" w:rsidRPr="009F43DE">
        <w:rPr>
          <w:lang w:val="fr-CH"/>
        </w:rPr>
        <w:t>’</w:t>
      </w:r>
      <w:r w:rsidR="00D91064" w:rsidRPr="009F43DE">
        <w:rPr>
          <w:lang w:val="fr-CH"/>
        </w:rPr>
        <w:t>emploie à</w:t>
      </w:r>
      <w:r w:rsidRPr="009F43DE">
        <w:rPr>
          <w:lang w:val="fr-CH"/>
        </w:rPr>
        <w:t xml:space="preserve"> garantir un prix minimum aux agriculteurs par le biais de l</w:t>
      </w:r>
      <w:r w:rsidR="00F8384A" w:rsidRPr="009F43DE">
        <w:rPr>
          <w:lang w:val="fr-CH"/>
        </w:rPr>
        <w:t>’</w:t>
      </w:r>
      <w:r w:rsidRPr="009F43DE">
        <w:rPr>
          <w:lang w:val="fr-CH"/>
        </w:rPr>
        <w:t xml:space="preserve">Office de commercialisation du riz et également </w:t>
      </w:r>
      <w:r w:rsidR="00D91064" w:rsidRPr="009F43DE">
        <w:rPr>
          <w:lang w:val="fr-CH"/>
        </w:rPr>
        <w:t xml:space="preserve">à maintenir </w:t>
      </w:r>
      <w:r w:rsidRPr="009F43DE">
        <w:rPr>
          <w:lang w:val="fr-CH"/>
        </w:rPr>
        <w:t xml:space="preserve">un prix de détail maximum pour les consommateurs. </w:t>
      </w:r>
      <w:r w:rsidR="00D91064" w:rsidRPr="009F43DE">
        <w:rPr>
          <w:lang w:val="fr-CH"/>
        </w:rPr>
        <w:t>Il applique en outre</w:t>
      </w:r>
      <w:r w:rsidRPr="009F43DE">
        <w:rPr>
          <w:lang w:val="fr-CH"/>
        </w:rPr>
        <w:t xml:space="preserve"> un droit de 20 roupies par kg sur les importations de riz et des droits de douane sur des produits concurrents, tels que le blé.</w:t>
      </w:r>
    </w:p>
    <w:p w:rsidR="00E5029E" w:rsidRPr="009F43DE" w:rsidRDefault="00E5029E" w:rsidP="00E5029E">
      <w:pPr>
        <w:pStyle w:val="H23G"/>
        <w:rPr>
          <w:lang w:val="fr-CH"/>
        </w:rPr>
      </w:pPr>
      <w:r w:rsidRPr="009F43DE">
        <w:rPr>
          <w:lang w:val="fr-CH"/>
        </w:rPr>
        <w:tab/>
      </w:r>
      <w:r w:rsidRPr="009F43DE">
        <w:rPr>
          <w:lang w:val="fr-CH"/>
        </w:rPr>
        <w:tab/>
        <w:t>Élimination de la malnutrition</w:t>
      </w:r>
    </w:p>
    <w:p w:rsidR="00E5029E" w:rsidRPr="009F43DE" w:rsidRDefault="00E5029E" w:rsidP="00E5029E">
      <w:pPr>
        <w:pStyle w:val="SingleTxtG"/>
        <w:rPr>
          <w:lang w:val="fr-CH"/>
        </w:rPr>
      </w:pPr>
      <w:r w:rsidRPr="009F43DE">
        <w:rPr>
          <w:lang w:val="fr-CH"/>
        </w:rPr>
        <w:t>201.</w:t>
      </w:r>
      <w:r w:rsidRPr="009F43DE">
        <w:rPr>
          <w:lang w:val="fr-CH"/>
        </w:rPr>
        <w:tab/>
        <w:t>L</w:t>
      </w:r>
      <w:r w:rsidR="00F8384A" w:rsidRPr="009F43DE">
        <w:rPr>
          <w:lang w:val="fr-CH"/>
        </w:rPr>
        <w:t>’</w:t>
      </w:r>
      <w:r w:rsidRPr="009F43DE">
        <w:rPr>
          <w:lang w:val="fr-CH"/>
        </w:rPr>
        <w:t xml:space="preserve">un des principaux objectifs de la politique nationale </w:t>
      </w:r>
      <w:r w:rsidR="00D91064" w:rsidRPr="009F43DE">
        <w:rPr>
          <w:lang w:val="fr-CH"/>
        </w:rPr>
        <w:t>d</w:t>
      </w:r>
      <w:r w:rsidR="00F8384A" w:rsidRPr="009F43DE">
        <w:rPr>
          <w:lang w:val="fr-CH"/>
        </w:rPr>
        <w:t>’</w:t>
      </w:r>
      <w:r w:rsidR="00D91064" w:rsidRPr="009F43DE">
        <w:rPr>
          <w:lang w:val="fr-CH"/>
        </w:rPr>
        <w:t xml:space="preserve">un pays sur le point de rejoindre les rangs des pays </w:t>
      </w:r>
      <w:r w:rsidRPr="009F43DE">
        <w:rPr>
          <w:lang w:val="fr-CH"/>
        </w:rPr>
        <w:t>développé</w:t>
      </w:r>
      <w:r w:rsidR="00D91064" w:rsidRPr="009F43DE">
        <w:rPr>
          <w:lang w:val="fr-CH"/>
        </w:rPr>
        <w:t>s</w:t>
      </w:r>
      <w:r w:rsidRPr="009F43DE">
        <w:rPr>
          <w:lang w:val="fr-CH"/>
        </w:rPr>
        <w:t xml:space="preserve"> est l</w:t>
      </w:r>
      <w:r w:rsidR="00F8384A" w:rsidRPr="009F43DE">
        <w:rPr>
          <w:lang w:val="fr-CH"/>
        </w:rPr>
        <w:t>’</w:t>
      </w:r>
      <w:r w:rsidRPr="009F43DE">
        <w:rPr>
          <w:lang w:val="fr-CH"/>
        </w:rPr>
        <w:t>éradication de la malnutrition et l</w:t>
      </w:r>
      <w:r w:rsidR="00F8384A" w:rsidRPr="009F43DE">
        <w:rPr>
          <w:lang w:val="fr-CH"/>
        </w:rPr>
        <w:t>’</w:t>
      </w:r>
      <w:r w:rsidRPr="009F43DE">
        <w:rPr>
          <w:lang w:val="fr-CH"/>
        </w:rPr>
        <w:t>amélioration de l</w:t>
      </w:r>
      <w:r w:rsidR="00F8384A" w:rsidRPr="009F43DE">
        <w:rPr>
          <w:lang w:val="fr-CH"/>
        </w:rPr>
        <w:t>’</w:t>
      </w:r>
      <w:r w:rsidRPr="009F43DE">
        <w:rPr>
          <w:lang w:val="fr-CH"/>
        </w:rPr>
        <w:t xml:space="preserve">accès à une alimentation et </w:t>
      </w:r>
      <w:r w:rsidR="00D91064" w:rsidRPr="009F43DE">
        <w:rPr>
          <w:lang w:val="fr-CH"/>
        </w:rPr>
        <w:t xml:space="preserve">à </w:t>
      </w:r>
      <w:r w:rsidRPr="009F43DE">
        <w:rPr>
          <w:lang w:val="fr-CH"/>
        </w:rPr>
        <w:t xml:space="preserve">des aliments de qualité pour </w:t>
      </w:r>
      <w:r w:rsidR="00D91064" w:rsidRPr="009F43DE">
        <w:rPr>
          <w:lang w:val="fr-CH"/>
        </w:rPr>
        <w:t xml:space="preserve">tous </w:t>
      </w:r>
      <w:r w:rsidRPr="009F43DE">
        <w:rPr>
          <w:lang w:val="fr-CH"/>
        </w:rPr>
        <w:t xml:space="preserve">les citoyens. Un approvisionnement régulier </w:t>
      </w:r>
      <w:r w:rsidR="00D91064" w:rsidRPr="009F43DE">
        <w:rPr>
          <w:lang w:val="fr-CH"/>
        </w:rPr>
        <w:t xml:space="preserve">en produits alimentaires </w:t>
      </w:r>
      <w:r w:rsidRPr="009F43DE">
        <w:rPr>
          <w:lang w:val="fr-CH"/>
        </w:rPr>
        <w:t xml:space="preserve">et éléments nutritionnels est assuré grâce aux initiatives Divi Neguma et Samurdhi visant les familles dans le besoin. </w:t>
      </w:r>
      <w:r w:rsidR="00CA61C7" w:rsidRPr="009F43DE">
        <w:rPr>
          <w:lang w:val="fr-CH"/>
        </w:rPr>
        <w:t>De l</w:t>
      </w:r>
      <w:r w:rsidR="00F8384A" w:rsidRPr="009F43DE">
        <w:rPr>
          <w:lang w:val="fr-CH"/>
        </w:rPr>
        <w:t>’</w:t>
      </w:r>
      <w:r w:rsidR="00CA61C7" w:rsidRPr="009F43DE">
        <w:rPr>
          <w:lang w:val="fr-CH"/>
        </w:rPr>
        <w:t xml:space="preserve">avis des autorités, </w:t>
      </w:r>
      <w:r w:rsidRPr="009F43DE">
        <w:rPr>
          <w:lang w:val="fr-CH"/>
        </w:rPr>
        <w:t>la consommation d</w:t>
      </w:r>
      <w:r w:rsidR="00F8384A" w:rsidRPr="009F43DE">
        <w:rPr>
          <w:lang w:val="fr-CH"/>
        </w:rPr>
        <w:t>’</w:t>
      </w:r>
      <w:r w:rsidRPr="009F43DE">
        <w:rPr>
          <w:lang w:val="fr-CH"/>
        </w:rPr>
        <w:t xml:space="preserve">aliments de mauvaise qualité </w:t>
      </w:r>
      <w:r w:rsidR="00CA61C7" w:rsidRPr="009F43DE">
        <w:rPr>
          <w:lang w:val="fr-CH"/>
        </w:rPr>
        <w:t>est l</w:t>
      </w:r>
      <w:r w:rsidR="00F8384A" w:rsidRPr="009F43DE">
        <w:rPr>
          <w:lang w:val="fr-CH"/>
        </w:rPr>
        <w:t>’</w:t>
      </w:r>
      <w:r w:rsidR="00CA61C7" w:rsidRPr="009F43DE">
        <w:rPr>
          <w:lang w:val="fr-CH"/>
        </w:rPr>
        <w:t xml:space="preserve">une </w:t>
      </w:r>
      <w:r w:rsidRPr="009F43DE">
        <w:rPr>
          <w:lang w:val="fr-CH"/>
        </w:rPr>
        <w:t xml:space="preserve">des principales </w:t>
      </w:r>
      <w:r w:rsidR="00CA61C7" w:rsidRPr="009F43DE">
        <w:rPr>
          <w:lang w:val="fr-CH"/>
        </w:rPr>
        <w:t>causes</w:t>
      </w:r>
      <w:r w:rsidRPr="009F43DE">
        <w:rPr>
          <w:lang w:val="fr-CH"/>
        </w:rPr>
        <w:t xml:space="preserve"> de l</w:t>
      </w:r>
      <w:r w:rsidR="00F8384A" w:rsidRPr="009F43DE">
        <w:rPr>
          <w:lang w:val="fr-CH"/>
        </w:rPr>
        <w:t>’</w:t>
      </w:r>
      <w:r w:rsidRPr="009F43DE">
        <w:rPr>
          <w:lang w:val="fr-CH"/>
        </w:rPr>
        <w:t>obésité (10</w:t>
      </w:r>
      <w:r w:rsidR="00CA61C7" w:rsidRPr="009F43DE">
        <w:rPr>
          <w:lang w:val="fr-CH"/>
        </w:rPr>
        <w:t> </w:t>
      </w:r>
      <w:r w:rsidRPr="009F43DE">
        <w:rPr>
          <w:lang w:val="fr-CH"/>
        </w:rPr>
        <w:t>%), des retards de croissance (17,3</w:t>
      </w:r>
      <w:r w:rsidR="00CA61C7" w:rsidRPr="009F43DE">
        <w:rPr>
          <w:lang w:val="fr-CH"/>
        </w:rPr>
        <w:t> </w:t>
      </w:r>
      <w:r w:rsidRPr="009F43DE">
        <w:rPr>
          <w:lang w:val="fr-CH"/>
        </w:rPr>
        <w:t>%), d</w:t>
      </w:r>
      <w:r w:rsidR="00F8384A" w:rsidRPr="009F43DE">
        <w:rPr>
          <w:lang w:val="fr-CH"/>
        </w:rPr>
        <w:t>’</w:t>
      </w:r>
      <w:r w:rsidRPr="009F43DE">
        <w:rPr>
          <w:lang w:val="fr-CH"/>
        </w:rPr>
        <w:t>un faible poids à la naissance (16</w:t>
      </w:r>
      <w:r w:rsidR="00CA61C7" w:rsidRPr="009F43DE">
        <w:rPr>
          <w:lang w:val="fr-CH"/>
        </w:rPr>
        <w:t> </w:t>
      </w:r>
      <w:r w:rsidRPr="009F43DE">
        <w:rPr>
          <w:lang w:val="fr-CH"/>
        </w:rPr>
        <w:t>%) et d</w:t>
      </w:r>
      <w:r w:rsidR="00F8384A" w:rsidRPr="009F43DE">
        <w:rPr>
          <w:lang w:val="fr-CH"/>
        </w:rPr>
        <w:t>’</w:t>
      </w:r>
      <w:r w:rsidRPr="009F43DE">
        <w:rPr>
          <w:lang w:val="fr-CH"/>
        </w:rPr>
        <w:t>une anémie chez les femmes enceintes (16,2</w:t>
      </w:r>
      <w:r w:rsidR="00CA61C7" w:rsidRPr="009F43DE">
        <w:rPr>
          <w:lang w:val="fr-CH"/>
        </w:rPr>
        <w:t> </w:t>
      </w:r>
      <w:r w:rsidRPr="009F43DE">
        <w:rPr>
          <w:lang w:val="fr-CH"/>
        </w:rPr>
        <w:t>%) et les mères allaitantes (19,6</w:t>
      </w:r>
      <w:r w:rsidR="00CA61C7" w:rsidRPr="009F43DE">
        <w:rPr>
          <w:lang w:val="fr-CH"/>
        </w:rPr>
        <w:t> </w:t>
      </w:r>
      <w:r w:rsidRPr="009F43DE">
        <w:rPr>
          <w:lang w:val="fr-CH"/>
        </w:rPr>
        <w:t>%). Aussi, le mois de juin de chaque année est</w:t>
      </w:r>
      <w:r w:rsidR="00CA61C7" w:rsidRPr="009F43DE">
        <w:rPr>
          <w:lang w:val="fr-CH"/>
        </w:rPr>
        <w:t>-il</w:t>
      </w:r>
      <w:r w:rsidRPr="009F43DE">
        <w:rPr>
          <w:lang w:val="fr-CH"/>
        </w:rPr>
        <w:t xml:space="preserve"> déclaré mois de la nutrition. Pendant ce mois, de nombreuses réunions </w:t>
      </w:r>
      <w:r w:rsidR="00CA61C7" w:rsidRPr="009F43DE">
        <w:rPr>
          <w:lang w:val="fr-CH"/>
        </w:rPr>
        <w:t xml:space="preserve">sont organisées pour donner des idées sur les moyens de préparer </w:t>
      </w:r>
      <w:r w:rsidRPr="009F43DE">
        <w:rPr>
          <w:lang w:val="fr-CH"/>
        </w:rPr>
        <w:t>un repas plus nutriti</w:t>
      </w:r>
      <w:r w:rsidR="00CA61C7" w:rsidRPr="009F43DE">
        <w:rPr>
          <w:lang w:val="fr-CH"/>
        </w:rPr>
        <w:t>f</w:t>
      </w:r>
      <w:r w:rsidRPr="009F43DE">
        <w:rPr>
          <w:lang w:val="fr-CH"/>
        </w:rPr>
        <w:t xml:space="preserve">. Les secrétaires provinciaux de </w:t>
      </w:r>
      <w:r w:rsidR="00CA61C7" w:rsidRPr="009F43DE">
        <w:rPr>
          <w:lang w:val="fr-CH"/>
        </w:rPr>
        <w:t xml:space="preserve">la </w:t>
      </w:r>
      <w:r w:rsidRPr="009F43DE">
        <w:rPr>
          <w:lang w:val="fr-CH"/>
        </w:rPr>
        <w:t xml:space="preserve">santé, les directeurs régionaux et provinciaux de </w:t>
      </w:r>
      <w:r w:rsidR="00CA61C7" w:rsidRPr="009F43DE">
        <w:rPr>
          <w:lang w:val="fr-CH"/>
        </w:rPr>
        <w:t xml:space="preserve">la </w:t>
      </w:r>
      <w:r w:rsidRPr="009F43DE">
        <w:rPr>
          <w:lang w:val="fr-CH"/>
        </w:rPr>
        <w:t xml:space="preserve">santé et les </w:t>
      </w:r>
      <w:r w:rsidR="00CA61C7" w:rsidRPr="009F43DE">
        <w:rPr>
          <w:lang w:val="fr-CH"/>
        </w:rPr>
        <w:t>responsables de la santé familiale</w:t>
      </w:r>
      <w:r w:rsidRPr="009F43DE">
        <w:rPr>
          <w:lang w:val="fr-CH"/>
        </w:rPr>
        <w:t xml:space="preserve"> dans les zones rurales ont été chargés de la mise en œuvre de ce projet.</w:t>
      </w:r>
    </w:p>
    <w:p w:rsidR="00E5029E" w:rsidRPr="009F43DE" w:rsidRDefault="00E5029E" w:rsidP="00E5029E">
      <w:pPr>
        <w:pStyle w:val="SingleTxtG"/>
        <w:rPr>
          <w:lang w:val="fr-CH"/>
        </w:rPr>
      </w:pPr>
      <w:r w:rsidRPr="009F43DE">
        <w:rPr>
          <w:lang w:val="fr-CH"/>
        </w:rPr>
        <w:t>202.</w:t>
      </w:r>
      <w:r w:rsidRPr="009F43DE">
        <w:rPr>
          <w:lang w:val="fr-CH"/>
        </w:rPr>
        <w:tab/>
        <w:t xml:space="preserve">Ayant observé que la consommation de fruits par habitant </w:t>
      </w:r>
      <w:r w:rsidR="00CA61C7" w:rsidRPr="009F43DE">
        <w:rPr>
          <w:lang w:val="fr-CH"/>
        </w:rPr>
        <w:t>à</w:t>
      </w:r>
      <w:r w:rsidRPr="009F43DE">
        <w:rPr>
          <w:lang w:val="fr-CH"/>
        </w:rPr>
        <w:t xml:space="preserve"> Sri Lanka reste nettement inférieure à la quantité journalière moyenne requise, le Ministère de l</w:t>
      </w:r>
      <w:r w:rsidR="00F8384A" w:rsidRPr="009F43DE">
        <w:rPr>
          <w:lang w:val="fr-CH"/>
        </w:rPr>
        <w:t>’</w:t>
      </w:r>
      <w:r w:rsidRPr="009F43DE">
        <w:rPr>
          <w:lang w:val="fr-CH"/>
        </w:rPr>
        <w:t xml:space="preserve">agriculture a </w:t>
      </w:r>
      <w:r w:rsidR="00CA61C7" w:rsidRPr="009F43DE">
        <w:rPr>
          <w:lang w:val="fr-CH"/>
        </w:rPr>
        <w:t xml:space="preserve">lancé </w:t>
      </w:r>
      <w:r w:rsidRPr="009F43DE">
        <w:rPr>
          <w:lang w:val="fr-CH"/>
        </w:rPr>
        <w:t>une Semaine nationale de promotion des fruits</w:t>
      </w:r>
      <w:r w:rsidR="00CA61C7" w:rsidRPr="009F43DE">
        <w:rPr>
          <w:lang w:val="fr-CH"/>
        </w:rPr>
        <w:t>, qui a eu lieu du</w:t>
      </w:r>
      <w:r w:rsidRPr="009F43DE">
        <w:rPr>
          <w:lang w:val="fr-CH"/>
        </w:rPr>
        <w:t xml:space="preserve"> 14 au 21 juillet 2014</w:t>
      </w:r>
      <w:r w:rsidR="00CA61C7" w:rsidRPr="009F43DE">
        <w:rPr>
          <w:lang w:val="fr-CH"/>
        </w:rPr>
        <w:t>, afin de</w:t>
      </w:r>
      <w:r w:rsidRPr="009F43DE">
        <w:rPr>
          <w:lang w:val="fr-CH"/>
        </w:rPr>
        <w:t xml:space="preserve"> faire prendre conscience de l</w:t>
      </w:r>
      <w:r w:rsidR="00F8384A" w:rsidRPr="009F43DE">
        <w:rPr>
          <w:lang w:val="fr-CH"/>
        </w:rPr>
        <w:t>’</w:t>
      </w:r>
      <w:r w:rsidRPr="009F43DE">
        <w:rPr>
          <w:lang w:val="fr-CH"/>
        </w:rPr>
        <w:t xml:space="preserve">importance de la consommation de fruits. Plusieurs </w:t>
      </w:r>
      <w:r w:rsidR="00CA61C7" w:rsidRPr="009F43DE">
        <w:rPr>
          <w:lang w:val="fr-CH"/>
        </w:rPr>
        <w:t>activités ont eu lieu sur ce thème a</w:t>
      </w:r>
      <w:r w:rsidRPr="009F43DE">
        <w:rPr>
          <w:lang w:val="fr-CH"/>
        </w:rPr>
        <w:t xml:space="preserve">u cours de la semaine, avec le soutien du Centre de recherche et de développement </w:t>
      </w:r>
      <w:r w:rsidR="00CA61C7" w:rsidRPr="009F43DE">
        <w:rPr>
          <w:lang w:val="fr-CH"/>
        </w:rPr>
        <w:t>sur les cultures fruitières de</w:t>
      </w:r>
      <w:r w:rsidRPr="009F43DE">
        <w:rPr>
          <w:lang w:val="fr-CH"/>
        </w:rPr>
        <w:t xml:space="preserve"> Kananwila, </w:t>
      </w:r>
      <w:r w:rsidR="00CA61C7" w:rsidRPr="009F43DE">
        <w:rPr>
          <w:lang w:val="fr-CH"/>
        </w:rPr>
        <w:t xml:space="preserve">à </w:t>
      </w:r>
      <w:r w:rsidRPr="009F43DE">
        <w:rPr>
          <w:lang w:val="fr-CH"/>
        </w:rPr>
        <w:t>Horana.</w:t>
      </w:r>
    </w:p>
    <w:p w:rsidR="00E5029E" w:rsidRPr="009F43DE" w:rsidRDefault="00E5029E" w:rsidP="00E5029E">
      <w:pPr>
        <w:pStyle w:val="H23G"/>
        <w:rPr>
          <w:lang w:val="fr-CH"/>
        </w:rPr>
      </w:pPr>
      <w:r w:rsidRPr="009F43DE">
        <w:rPr>
          <w:lang w:val="fr-CH"/>
        </w:rPr>
        <w:tab/>
      </w:r>
      <w:r w:rsidRPr="009F43DE">
        <w:rPr>
          <w:lang w:val="fr-CH"/>
        </w:rPr>
        <w:tab/>
        <w:t>Mesures en place pour rendre l</w:t>
      </w:r>
      <w:r w:rsidR="00F8384A" w:rsidRPr="009F43DE">
        <w:rPr>
          <w:lang w:val="fr-CH"/>
        </w:rPr>
        <w:t>’</w:t>
      </w:r>
      <w:r w:rsidRPr="009F43DE">
        <w:rPr>
          <w:lang w:val="fr-CH"/>
        </w:rPr>
        <w:t>eau abordable pour les familles à faible revenu</w:t>
      </w:r>
    </w:p>
    <w:p w:rsidR="00E5029E" w:rsidRPr="009F43DE" w:rsidRDefault="00E5029E" w:rsidP="00E5029E">
      <w:pPr>
        <w:pStyle w:val="SingleTxtG"/>
        <w:rPr>
          <w:lang w:val="fr-CH"/>
        </w:rPr>
      </w:pPr>
      <w:r w:rsidRPr="009F43DE">
        <w:rPr>
          <w:lang w:val="fr-CH"/>
        </w:rPr>
        <w:t>203.</w:t>
      </w:r>
      <w:r w:rsidRPr="009F43DE">
        <w:rPr>
          <w:lang w:val="fr-CH"/>
        </w:rPr>
        <w:tab/>
        <w:t xml:space="preserve">Le </w:t>
      </w:r>
      <w:r w:rsidR="00CA61C7" w:rsidRPr="009F43DE">
        <w:rPr>
          <w:lang w:val="fr-CH"/>
        </w:rPr>
        <w:t>C</w:t>
      </w:r>
      <w:r w:rsidRPr="009F43DE">
        <w:rPr>
          <w:lang w:val="fr-CH"/>
        </w:rPr>
        <w:t>onseil national de l</w:t>
      </w:r>
      <w:r w:rsidR="00F8384A" w:rsidRPr="009F43DE">
        <w:rPr>
          <w:lang w:val="fr-CH"/>
        </w:rPr>
        <w:t>’</w:t>
      </w:r>
      <w:r w:rsidRPr="009F43DE">
        <w:rPr>
          <w:lang w:val="fr-CH"/>
        </w:rPr>
        <w:t>approvisionnement en eau et de</w:t>
      </w:r>
      <w:r w:rsidR="00CA61C7" w:rsidRPr="009F43DE">
        <w:rPr>
          <w:lang w:val="fr-CH"/>
        </w:rPr>
        <w:t xml:space="preserve"> l</w:t>
      </w:r>
      <w:r w:rsidR="00F8384A" w:rsidRPr="009F43DE">
        <w:rPr>
          <w:lang w:val="fr-CH"/>
        </w:rPr>
        <w:t>’</w:t>
      </w:r>
      <w:r w:rsidR="00CA61C7" w:rsidRPr="009F43DE">
        <w:rPr>
          <w:lang w:val="fr-CH"/>
        </w:rPr>
        <w:t>assainissement</w:t>
      </w:r>
      <w:r w:rsidRPr="009F43DE">
        <w:rPr>
          <w:lang w:val="fr-CH"/>
        </w:rPr>
        <w:t xml:space="preserve"> a pris ces dernières années plusieurs mesures pour rendre l</w:t>
      </w:r>
      <w:r w:rsidR="00F8384A" w:rsidRPr="009F43DE">
        <w:rPr>
          <w:lang w:val="fr-CH"/>
        </w:rPr>
        <w:t>’</w:t>
      </w:r>
      <w:r w:rsidRPr="009F43DE">
        <w:rPr>
          <w:lang w:val="fr-CH"/>
        </w:rPr>
        <w:t>eau abordable pour les personnes à faible revenu. Dans le système tarifaire actuel</w:t>
      </w:r>
      <w:r w:rsidR="00CA61C7" w:rsidRPr="009F43DE">
        <w:rPr>
          <w:lang w:val="fr-CH"/>
        </w:rPr>
        <w:t>,</w:t>
      </w:r>
      <w:r w:rsidRPr="009F43DE">
        <w:rPr>
          <w:lang w:val="fr-CH"/>
        </w:rPr>
        <w:t xml:space="preserve"> il existe trois catégories distinctes </w:t>
      </w:r>
      <w:r w:rsidR="00CA61C7" w:rsidRPr="009F43DE">
        <w:rPr>
          <w:lang w:val="fr-CH"/>
        </w:rPr>
        <w:t xml:space="preserve">de prix </w:t>
      </w:r>
      <w:r w:rsidRPr="009F43DE">
        <w:rPr>
          <w:lang w:val="fr-CH"/>
        </w:rPr>
        <w:t>pour les consommateurs nationaux afin d</w:t>
      </w:r>
      <w:r w:rsidR="00F8384A" w:rsidRPr="009F43DE">
        <w:rPr>
          <w:lang w:val="fr-CH"/>
        </w:rPr>
        <w:t>’</w:t>
      </w:r>
      <w:r w:rsidRPr="009F43DE">
        <w:rPr>
          <w:lang w:val="fr-CH"/>
        </w:rPr>
        <w:t>avantager les ménages à faible revenu. Un système tarifaire national s</w:t>
      </w:r>
      <w:r w:rsidR="00F8384A" w:rsidRPr="009F43DE">
        <w:rPr>
          <w:lang w:val="fr-CH"/>
        </w:rPr>
        <w:t>’</w:t>
      </w:r>
      <w:r w:rsidRPr="009F43DE">
        <w:rPr>
          <w:lang w:val="fr-CH"/>
        </w:rPr>
        <w:t>applique aux services d</w:t>
      </w:r>
      <w:r w:rsidR="00F8384A" w:rsidRPr="009F43DE">
        <w:rPr>
          <w:lang w:val="fr-CH"/>
        </w:rPr>
        <w:t>’</w:t>
      </w:r>
      <w:r w:rsidRPr="009F43DE">
        <w:rPr>
          <w:lang w:val="fr-CH"/>
        </w:rPr>
        <w:t>approvisionnement en eau fournis dans l</w:t>
      </w:r>
      <w:r w:rsidR="00F8384A" w:rsidRPr="009F43DE">
        <w:rPr>
          <w:lang w:val="fr-CH"/>
        </w:rPr>
        <w:t>’</w:t>
      </w:r>
      <w:r w:rsidR="00CA61C7" w:rsidRPr="009F43DE">
        <w:rPr>
          <w:lang w:val="fr-CH"/>
        </w:rPr>
        <w:t xml:space="preserve">ensemble du pays, mais il existe aussi </w:t>
      </w:r>
      <w:r w:rsidRPr="009F43DE">
        <w:rPr>
          <w:lang w:val="fr-CH"/>
        </w:rPr>
        <w:t>des systèmes d</w:t>
      </w:r>
      <w:r w:rsidR="00F8384A" w:rsidRPr="009F43DE">
        <w:rPr>
          <w:lang w:val="fr-CH"/>
        </w:rPr>
        <w:t>’</w:t>
      </w:r>
      <w:r w:rsidRPr="009F43DE">
        <w:rPr>
          <w:lang w:val="fr-CH"/>
        </w:rPr>
        <w:t xml:space="preserve">approvisionnement gérés par les autorités locales </w:t>
      </w:r>
      <w:r w:rsidR="00CA61C7" w:rsidRPr="009F43DE">
        <w:rPr>
          <w:lang w:val="fr-CH"/>
        </w:rPr>
        <w:t>qui appliquent des tarifs spécifiques</w:t>
      </w:r>
      <w:r w:rsidRPr="009F43DE">
        <w:rPr>
          <w:lang w:val="fr-CH"/>
        </w:rPr>
        <w:t xml:space="preserve">. En outre, </w:t>
      </w:r>
      <w:r w:rsidR="003577DA" w:rsidRPr="009F43DE">
        <w:rPr>
          <w:lang w:val="fr-CH"/>
        </w:rPr>
        <w:t>l</w:t>
      </w:r>
      <w:r w:rsidRPr="009F43DE">
        <w:rPr>
          <w:lang w:val="fr-CH"/>
        </w:rPr>
        <w:t>es organisations communautaires de gestion de l</w:t>
      </w:r>
      <w:r w:rsidR="00F8384A" w:rsidRPr="009F43DE">
        <w:rPr>
          <w:lang w:val="fr-CH"/>
        </w:rPr>
        <w:t>’</w:t>
      </w:r>
      <w:r w:rsidRPr="009F43DE">
        <w:rPr>
          <w:lang w:val="fr-CH"/>
        </w:rPr>
        <w:t xml:space="preserve">approvisionnement en eau </w:t>
      </w:r>
      <w:r w:rsidR="003577DA" w:rsidRPr="009F43DE">
        <w:rPr>
          <w:lang w:val="fr-CH"/>
        </w:rPr>
        <w:t>fixent elles-mêmes le montant des redevances qu</w:t>
      </w:r>
      <w:r w:rsidR="00F8384A" w:rsidRPr="009F43DE">
        <w:rPr>
          <w:lang w:val="fr-CH"/>
        </w:rPr>
        <w:t>’</w:t>
      </w:r>
      <w:r w:rsidR="003577DA" w:rsidRPr="009F43DE">
        <w:rPr>
          <w:lang w:val="fr-CH"/>
        </w:rPr>
        <w:t xml:space="preserve">elles perçoivent. </w:t>
      </w:r>
      <w:r w:rsidRPr="009F43DE">
        <w:rPr>
          <w:lang w:val="fr-CH"/>
        </w:rPr>
        <w:t xml:space="preserve">Il </w:t>
      </w:r>
      <w:r w:rsidR="003577DA" w:rsidRPr="009F43DE">
        <w:rPr>
          <w:lang w:val="fr-CH"/>
        </w:rPr>
        <w:t>i</w:t>
      </w:r>
      <w:r w:rsidRPr="009F43DE">
        <w:rPr>
          <w:lang w:val="fr-CH"/>
        </w:rPr>
        <w:t>mport</w:t>
      </w:r>
      <w:r w:rsidR="003577DA" w:rsidRPr="009F43DE">
        <w:rPr>
          <w:lang w:val="fr-CH"/>
        </w:rPr>
        <w:t>e</w:t>
      </w:r>
      <w:r w:rsidRPr="009F43DE">
        <w:rPr>
          <w:lang w:val="fr-CH"/>
        </w:rPr>
        <w:t xml:space="preserve"> de noter que ces</w:t>
      </w:r>
      <w:r w:rsidR="003577DA" w:rsidRPr="009F43DE">
        <w:rPr>
          <w:lang w:val="fr-CH"/>
        </w:rPr>
        <w:t xml:space="preserve"> redevances</w:t>
      </w:r>
      <w:r w:rsidRPr="009F43DE">
        <w:rPr>
          <w:lang w:val="fr-CH"/>
        </w:rPr>
        <w:t xml:space="preserve"> sont abordables pour la catégorie </w:t>
      </w:r>
      <w:r w:rsidR="00B73A16">
        <w:rPr>
          <w:lang w:val="fr-CH"/>
        </w:rPr>
        <w:t>«</w:t>
      </w:r>
      <w:r w:rsidRPr="009F43DE">
        <w:rPr>
          <w:lang w:val="fr-CH"/>
        </w:rPr>
        <w:t xml:space="preserve">consommation </w:t>
      </w:r>
      <w:r w:rsidR="00B73A16" w:rsidRPr="009F43DE">
        <w:rPr>
          <w:lang w:val="fr-CH"/>
        </w:rPr>
        <w:t>intérieure</w:t>
      </w:r>
      <w:r w:rsidR="00B73A16">
        <w:rPr>
          <w:lang w:val="fr-CH"/>
        </w:rPr>
        <w:t>»</w:t>
      </w:r>
      <w:r w:rsidR="003577DA" w:rsidRPr="009F43DE">
        <w:rPr>
          <w:lang w:val="fr-CH"/>
        </w:rPr>
        <w:t>,</w:t>
      </w:r>
      <w:r w:rsidRPr="009F43DE">
        <w:rPr>
          <w:lang w:val="fr-CH"/>
        </w:rPr>
        <w:t xml:space="preserve"> car le Conseil national fournit une assistance technique gratuite aux organisations communautaires pour gérer les systèmes d</w:t>
      </w:r>
      <w:r w:rsidR="00F8384A" w:rsidRPr="009F43DE">
        <w:rPr>
          <w:lang w:val="fr-CH"/>
        </w:rPr>
        <w:t>’</w:t>
      </w:r>
      <w:r w:rsidRPr="009F43DE">
        <w:rPr>
          <w:lang w:val="fr-CH"/>
        </w:rPr>
        <w:t xml:space="preserve">approvisionnement en eau </w:t>
      </w:r>
      <w:r w:rsidR="003577DA" w:rsidRPr="009F43DE">
        <w:rPr>
          <w:lang w:val="fr-CH"/>
        </w:rPr>
        <w:t>par le biais d</w:t>
      </w:r>
      <w:r w:rsidR="00F8384A" w:rsidRPr="009F43DE">
        <w:rPr>
          <w:lang w:val="fr-CH"/>
        </w:rPr>
        <w:t>’</w:t>
      </w:r>
      <w:r w:rsidRPr="009F43DE">
        <w:rPr>
          <w:lang w:val="fr-CH"/>
        </w:rPr>
        <w:t xml:space="preserve">unités </w:t>
      </w:r>
      <w:r w:rsidR="003577DA" w:rsidRPr="009F43DE">
        <w:rPr>
          <w:lang w:val="fr-CH"/>
        </w:rPr>
        <w:t xml:space="preserve">spécialisées établies dans </w:t>
      </w:r>
      <w:r w:rsidRPr="009F43DE">
        <w:rPr>
          <w:lang w:val="fr-CH"/>
        </w:rPr>
        <w:t>presque tous les districts</w:t>
      </w:r>
      <w:r w:rsidR="003577DA" w:rsidRPr="009F43DE">
        <w:rPr>
          <w:lang w:val="fr-CH"/>
        </w:rPr>
        <w:t xml:space="preserve"> ruraux</w:t>
      </w:r>
      <w:r w:rsidRPr="009F43DE">
        <w:rPr>
          <w:lang w:val="fr-CH"/>
        </w:rPr>
        <w:t>. Ce</w:t>
      </w:r>
      <w:r w:rsidR="003577DA" w:rsidRPr="009F43DE">
        <w:rPr>
          <w:lang w:val="fr-CH"/>
        </w:rPr>
        <w:t xml:space="preserve"> dispositif </w:t>
      </w:r>
      <w:r w:rsidRPr="009F43DE">
        <w:rPr>
          <w:lang w:val="fr-CH"/>
        </w:rPr>
        <w:t>permet de contrôler les coûts d</w:t>
      </w:r>
      <w:r w:rsidR="00F8384A" w:rsidRPr="009F43DE">
        <w:rPr>
          <w:lang w:val="fr-CH"/>
        </w:rPr>
        <w:t>’</w:t>
      </w:r>
      <w:r w:rsidRPr="009F43DE">
        <w:rPr>
          <w:lang w:val="fr-CH"/>
        </w:rPr>
        <w:t>exploitation des systèmes d</w:t>
      </w:r>
      <w:r w:rsidR="00F8384A" w:rsidRPr="009F43DE">
        <w:rPr>
          <w:lang w:val="fr-CH"/>
        </w:rPr>
        <w:t>’</w:t>
      </w:r>
      <w:r w:rsidRPr="009F43DE">
        <w:rPr>
          <w:lang w:val="fr-CH"/>
        </w:rPr>
        <w:t xml:space="preserve">approvisionnement en eau gérés par les organisations communautaires. </w:t>
      </w:r>
    </w:p>
    <w:p w:rsidR="00E5029E" w:rsidRPr="009F43DE" w:rsidRDefault="00E5029E" w:rsidP="00E5029E">
      <w:pPr>
        <w:pStyle w:val="H23G"/>
        <w:rPr>
          <w:lang w:val="fr-CH"/>
        </w:rPr>
      </w:pPr>
      <w:r w:rsidRPr="009F43DE">
        <w:rPr>
          <w:lang w:val="fr-CH"/>
        </w:rPr>
        <w:tab/>
      </w:r>
      <w:r w:rsidRPr="009F43DE">
        <w:rPr>
          <w:lang w:val="fr-CH"/>
        </w:rPr>
        <w:tab/>
        <w:t xml:space="preserve">Droit à un logement </w:t>
      </w:r>
      <w:r w:rsidR="003577DA" w:rsidRPr="009F43DE">
        <w:rPr>
          <w:lang w:val="fr-CH"/>
        </w:rPr>
        <w:t>décent</w:t>
      </w:r>
    </w:p>
    <w:p w:rsidR="00E5029E" w:rsidRPr="009F43DE" w:rsidRDefault="00E5029E" w:rsidP="00E5029E">
      <w:pPr>
        <w:pStyle w:val="SingleTxtG"/>
        <w:rPr>
          <w:lang w:val="fr-CH"/>
        </w:rPr>
      </w:pPr>
      <w:r w:rsidRPr="009F43DE">
        <w:rPr>
          <w:lang w:val="fr-CH"/>
        </w:rPr>
        <w:t>204.</w:t>
      </w:r>
      <w:r w:rsidRPr="009F43DE">
        <w:rPr>
          <w:lang w:val="fr-CH"/>
        </w:rPr>
        <w:tab/>
        <w:t>Veuillez vous référer à la réponse au paragraphe 31 des observations finales.</w:t>
      </w:r>
    </w:p>
    <w:p w:rsidR="00E5029E" w:rsidRPr="009F43DE" w:rsidRDefault="00E5029E" w:rsidP="00E5029E">
      <w:pPr>
        <w:pStyle w:val="H1G"/>
        <w:rPr>
          <w:lang w:val="fr-CH"/>
        </w:rPr>
      </w:pPr>
      <w:r w:rsidRPr="009F43DE">
        <w:rPr>
          <w:lang w:val="fr-CH"/>
        </w:rPr>
        <w:tab/>
      </w:r>
      <w:r w:rsidRPr="009F43DE">
        <w:rPr>
          <w:lang w:val="fr-CH"/>
        </w:rPr>
        <w:tab/>
        <w:t>Article 12</w:t>
      </w:r>
      <w:r w:rsidR="007738FD" w:rsidRPr="009F43DE">
        <w:rPr>
          <w:lang w:val="fr-CH"/>
        </w:rPr>
        <w:br/>
      </w:r>
      <w:r w:rsidRPr="009F43DE">
        <w:rPr>
          <w:lang w:val="fr-CH"/>
        </w:rPr>
        <w:t>Droit à la santé</w:t>
      </w:r>
    </w:p>
    <w:p w:rsidR="00E5029E" w:rsidRPr="009F43DE" w:rsidRDefault="00E5029E" w:rsidP="00E5029E">
      <w:pPr>
        <w:pStyle w:val="SingleTxtG"/>
        <w:rPr>
          <w:lang w:val="fr-CH"/>
        </w:rPr>
      </w:pPr>
      <w:r w:rsidRPr="009F43DE">
        <w:rPr>
          <w:lang w:val="fr-CH"/>
        </w:rPr>
        <w:t>205.</w:t>
      </w:r>
      <w:r w:rsidRPr="009F43DE">
        <w:rPr>
          <w:lang w:val="fr-CH"/>
        </w:rPr>
        <w:tab/>
        <w:t xml:space="preserve">Sri Lanka </w:t>
      </w:r>
      <w:r w:rsidR="003577DA" w:rsidRPr="009F43DE">
        <w:rPr>
          <w:lang w:val="fr-CH"/>
        </w:rPr>
        <w:t>dispose d</w:t>
      </w:r>
      <w:r w:rsidR="00F8384A" w:rsidRPr="009F43DE">
        <w:rPr>
          <w:lang w:val="fr-CH"/>
        </w:rPr>
        <w:t>’</w:t>
      </w:r>
      <w:r w:rsidRPr="009F43DE">
        <w:rPr>
          <w:lang w:val="fr-CH"/>
        </w:rPr>
        <w:t xml:space="preserve">un vaste réseau de services de santé en termes de couverture </w:t>
      </w:r>
      <w:r w:rsidR="003577DA" w:rsidRPr="009F43DE">
        <w:rPr>
          <w:lang w:val="fr-CH"/>
        </w:rPr>
        <w:t xml:space="preserve">géographique et de couverture de la </w:t>
      </w:r>
      <w:r w:rsidRPr="009F43DE">
        <w:rPr>
          <w:lang w:val="fr-CH"/>
        </w:rPr>
        <w:t>population</w:t>
      </w:r>
      <w:r w:rsidR="003577DA" w:rsidRPr="009F43DE">
        <w:rPr>
          <w:lang w:val="fr-CH"/>
        </w:rPr>
        <w:t>. Le pays est réputé de longue date pour l</w:t>
      </w:r>
      <w:r w:rsidR="00F8384A" w:rsidRPr="009F43DE">
        <w:rPr>
          <w:lang w:val="fr-CH"/>
        </w:rPr>
        <w:t>’</w:t>
      </w:r>
      <w:r w:rsidR="003577DA" w:rsidRPr="009F43DE">
        <w:rPr>
          <w:lang w:val="fr-CH"/>
        </w:rPr>
        <w:t>assez bon</w:t>
      </w:r>
      <w:r w:rsidR="00D40D88" w:rsidRPr="009F43DE">
        <w:rPr>
          <w:lang w:val="fr-CH"/>
        </w:rPr>
        <w:t xml:space="preserve"> niveau de ses installations sanitaires qui fournissent gratuitement </w:t>
      </w:r>
      <w:r w:rsidRPr="009F43DE">
        <w:rPr>
          <w:lang w:val="fr-CH"/>
        </w:rPr>
        <w:t>de</w:t>
      </w:r>
      <w:r w:rsidR="00D40D88" w:rsidRPr="009F43DE">
        <w:rPr>
          <w:lang w:val="fr-CH"/>
        </w:rPr>
        <w:t>s</w:t>
      </w:r>
      <w:r w:rsidRPr="009F43DE">
        <w:rPr>
          <w:lang w:val="fr-CH"/>
        </w:rPr>
        <w:t xml:space="preserve"> soins médicaux</w:t>
      </w:r>
      <w:r w:rsidR="00D40D88" w:rsidRPr="009F43DE">
        <w:rPr>
          <w:lang w:val="fr-CH"/>
        </w:rPr>
        <w:t>, des</w:t>
      </w:r>
      <w:r w:rsidRPr="009F43DE">
        <w:rPr>
          <w:lang w:val="fr-CH"/>
        </w:rPr>
        <w:t xml:space="preserve"> soins hospitaliers et de</w:t>
      </w:r>
      <w:r w:rsidR="00D40D88" w:rsidRPr="009F43DE">
        <w:rPr>
          <w:lang w:val="fr-CH"/>
        </w:rPr>
        <w:t>s</w:t>
      </w:r>
      <w:r w:rsidRPr="009F43DE">
        <w:rPr>
          <w:lang w:val="fr-CH"/>
        </w:rPr>
        <w:t xml:space="preserve"> services cliniques. Ce</w:t>
      </w:r>
      <w:r w:rsidR="00D40D88" w:rsidRPr="009F43DE">
        <w:rPr>
          <w:lang w:val="fr-CH"/>
        </w:rPr>
        <w:t xml:space="preserve">s résultats sont le fruit de </w:t>
      </w:r>
      <w:r w:rsidRPr="009F43DE">
        <w:rPr>
          <w:lang w:val="fr-CH"/>
        </w:rPr>
        <w:t>l</w:t>
      </w:r>
      <w:r w:rsidR="00F8384A" w:rsidRPr="009F43DE">
        <w:rPr>
          <w:lang w:val="fr-CH"/>
        </w:rPr>
        <w:t>’</w:t>
      </w:r>
      <w:r w:rsidR="00D40D88" w:rsidRPr="009F43DE">
        <w:rPr>
          <w:lang w:val="fr-CH"/>
        </w:rPr>
        <w:t xml:space="preserve">investissement continu </w:t>
      </w:r>
      <w:r w:rsidRPr="009F43DE">
        <w:rPr>
          <w:lang w:val="fr-CH"/>
        </w:rPr>
        <w:t xml:space="preserve">de ressources financières </w:t>
      </w:r>
      <w:r w:rsidR="00D40D88" w:rsidRPr="009F43DE">
        <w:rPr>
          <w:lang w:val="fr-CH"/>
        </w:rPr>
        <w:t xml:space="preserve">importantes </w:t>
      </w:r>
      <w:r w:rsidRPr="009F43DE">
        <w:rPr>
          <w:lang w:val="fr-CH"/>
        </w:rPr>
        <w:t>provenant du budget de l</w:t>
      </w:r>
      <w:r w:rsidR="00F8384A" w:rsidRPr="009F43DE">
        <w:rPr>
          <w:lang w:val="fr-CH"/>
        </w:rPr>
        <w:t>’</w:t>
      </w:r>
      <w:r w:rsidR="007574C7" w:rsidRPr="009F43DE">
        <w:rPr>
          <w:lang w:val="fr-CH"/>
        </w:rPr>
        <w:t>État</w:t>
      </w:r>
      <w:r w:rsidRPr="009F43DE">
        <w:rPr>
          <w:lang w:val="fr-CH"/>
        </w:rPr>
        <w:t xml:space="preserve"> </w:t>
      </w:r>
      <w:r w:rsidR="00D40D88" w:rsidRPr="009F43DE">
        <w:rPr>
          <w:lang w:val="fr-CH"/>
        </w:rPr>
        <w:t>dans les</w:t>
      </w:r>
      <w:r w:rsidRPr="009F43DE">
        <w:rPr>
          <w:lang w:val="fr-CH"/>
        </w:rPr>
        <w:t xml:space="preserve"> secteurs sociaux d</w:t>
      </w:r>
      <w:r w:rsidR="00D40D88" w:rsidRPr="009F43DE">
        <w:rPr>
          <w:lang w:val="fr-CH"/>
        </w:rPr>
        <w:t xml:space="preserve">urant la </w:t>
      </w:r>
      <w:r w:rsidRPr="009F43DE">
        <w:rPr>
          <w:lang w:val="fr-CH"/>
        </w:rPr>
        <w:t xml:space="preserve">période </w:t>
      </w:r>
      <w:r w:rsidR="00D40D88" w:rsidRPr="009F43DE">
        <w:rPr>
          <w:lang w:val="fr-CH"/>
        </w:rPr>
        <w:t xml:space="preserve">qui a </w:t>
      </w:r>
      <w:r w:rsidRPr="009F43DE">
        <w:rPr>
          <w:lang w:val="fr-CH"/>
        </w:rPr>
        <w:t>suiv</w:t>
      </w:r>
      <w:r w:rsidR="00D40D88" w:rsidRPr="009F43DE">
        <w:rPr>
          <w:lang w:val="fr-CH"/>
        </w:rPr>
        <w:t>i</w:t>
      </w:r>
      <w:r w:rsidRPr="009F43DE">
        <w:rPr>
          <w:lang w:val="fr-CH"/>
        </w:rPr>
        <w:t xml:space="preserve"> l</w:t>
      </w:r>
      <w:r w:rsidR="00F8384A" w:rsidRPr="009F43DE">
        <w:rPr>
          <w:lang w:val="fr-CH"/>
        </w:rPr>
        <w:t>’</w:t>
      </w:r>
      <w:r w:rsidRPr="009F43DE">
        <w:rPr>
          <w:lang w:val="fr-CH"/>
        </w:rPr>
        <w:t xml:space="preserve">indépendance. </w:t>
      </w:r>
      <w:r w:rsidR="00D40D88" w:rsidRPr="009F43DE">
        <w:rPr>
          <w:lang w:val="fr-CH"/>
        </w:rPr>
        <w:t>Le se</w:t>
      </w:r>
      <w:r w:rsidRPr="009F43DE">
        <w:rPr>
          <w:lang w:val="fr-CH"/>
        </w:rPr>
        <w:t xml:space="preserve">cteur </w:t>
      </w:r>
      <w:r w:rsidR="00D40D88" w:rsidRPr="009F43DE">
        <w:rPr>
          <w:lang w:val="fr-CH"/>
        </w:rPr>
        <w:t>privé de</w:t>
      </w:r>
      <w:r w:rsidRPr="009F43DE">
        <w:rPr>
          <w:lang w:val="fr-CH"/>
        </w:rPr>
        <w:t xml:space="preserve"> soins de santé </w:t>
      </w:r>
      <w:r w:rsidR="00D40D88" w:rsidRPr="009F43DE">
        <w:rPr>
          <w:lang w:val="fr-CH"/>
        </w:rPr>
        <w:t xml:space="preserve">qui </w:t>
      </w:r>
      <w:r w:rsidRPr="009F43DE">
        <w:rPr>
          <w:lang w:val="fr-CH"/>
        </w:rPr>
        <w:t>existe en parallèle</w:t>
      </w:r>
      <w:r w:rsidR="00D40D88" w:rsidRPr="009F43DE">
        <w:rPr>
          <w:lang w:val="fr-CH"/>
        </w:rPr>
        <w:t xml:space="preserve"> est utilisé essentiellement par les </w:t>
      </w:r>
      <w:r w:rsidRPr="009F43DE">
        <w:rPr>
          <w:lang w:val="fr-CH"/>
        </w:rPr>
        <w:t>titulaires d</w:t>
      </w:r>
      <w:r w:rsidR="00F8384A" w:rsidRPr="009F43DE">
        <w:rPr>
          <w:lang w:val="fr-CH"/>
        </w:rPr>
        <w:t>’</w:t>
      </w:r>
      <w:r w:rsidRPr="009F43DE">
        <w:rPr>
          <w:lang w:val="fr-CH"/>
        </w:rPr>
        <w:t>assurances privées.</w:t>
      </w:r>
    </w:p>
    <w:p w:rsidR="00E5029E" w:rsidRPr="009F43DE" w:rsidRDefault="00E5029E" w:rsidP="00E5029E">
      <w:pPr>
        <w:pStyle w:val="SingleTxtG"/>
        <w:rPr>
          <w:lang w:val="fr-CH"/>
        </w:rPr>
      </w:pPr>
      <w:r w:rsidRPr="009F43DE">
        <w:rPr>
          <w:lang w:val="fr-CH"/>
        </w:rPr>
        <w:t>206.</w:t>
      </w:r>
      <w:r w:rsidRPr="009F43DE">
        <w:rPr>
          <w:lang w:val="fr-CH"/>
        </w:rPr>
        <w:tab/>
        <w:t>L</w:t>
      </w:r>
      <w:r w:rsidR="00F8384A" w:rsidRPr="009F43DE">
        <w:rPr>
          <w:lang w:val="fr-CH"/>
        </w:rPr>
        <w:t>’</w:t>
      </w:r>
      <w:r w:rsidRPr="009F43DE">
        <w:rPr>
          <w:lang w:val="fr-CH"/>
        </w:rPr>
        <w:t xml:space="preserve">État </w:t>
      </w:r>
      <w:r w:rsidR="00D40D88" w:rsidRPr="009F43DE">
        <w:rPr>
          <w:lang w:val="fr-CH"/>
        </w:rPr>
        <w:t>p</w:t>
      </w:r>
      <w:r w:rsidRPr="009F43DE">
        <w:rPr>
          <w:lang w:val="fr-CH"/>
        </w:rPr>
        <w:t xml:space="preserve">artie a élaboré </w:t>
      </w:r>
      <w:r w:rsidR="00D40D88" w:rsidRPr="009F43DE">
        <w:rPr>
          <w:lang w:val="fr-CH"/>
        </w:rPr>
        <w:t xml:space="preserve">et met en </w:t>
      </w:r>
      <w:r w:rsidR="007574C7" w:rsidRPr="009F43DE">
        <w:rPr>
          <w:lang w:val="fr-CH"/>
        </w:rPr>
        <w:t>œuvre</w:t>
      </w:r>
      <w:r w:rsidR="00D40D88" w:rsidRPr="009F43DE">
        <w:rPr>
          <w:lang w:val="fr-CH"/>
        </w:rPr>
        <w:t xml:space="preserve"> </w:t>
      </w:r>
      <w:r w:rsidRPr="009F43DE">
        <w:rPr>
          <w:lang w:val="fr-CH"/>
        </w:rPr>
        <w:t xml:space="preserve">une politique nationale </w:t>
      </w:r>
      <w:r w:rsidR="00D40D88" w:rsidRPr="009F43DE">
        <w:rPr>
          <w:lang w:val="fr-CH"/>
        </w:rPr>
        <w:t xml:space="preserve">de santé </w:t>
      </w:r>
      <w:r w:rsidRPr="009F43DE">
        <w:rPr>
          <w:lang w:val="fr-CH"/>
        </w:rPr>
        <w:t xml:space="preserve">décennale (2006-2016). En outre, </w:t>
      </w:r>
      <w:r w:rsidR="00D40D88" w:rsidRPr="009F43DE">
        <w:rPr>
          <w:lang w:val="fr-CH"/>
        </w:rPr>
        <w:t>un</w:t>
      </w:r>
      <w:r w:rsidRPr="009F43DE">
        <w:rPr>
          <w:lang w:val="fr-CH"/>
        </w:rPr>
        <w:t xml:space="preserve"> Plan national de développement sanitaire </w:t>
      </w:r>
      <w:r w:rsidR="00D40D88" w:rsidRPr="009F43DE">
        <w:rPr>
          <w:lang w:val="fr-CH"/>
        </w:rPr>
        <w:t xml:space="preserve">a été mis au point </w:t>
      </w:r>
      <w:r w:rsidRPr="009F43DE">
        <w:rPr>
          <w:lang w:val="fr-CH"/>
        </w:rPr>
        <w:t xml:space="preserve">par le Ministère de la santé pour le moyen terme (2013-2017). Le Ministère de la santé </w:t>
      </w:r>
      <w:r w:rsidR="00D40D88" w:rsidRPr="009F43DE">
        <w:rPr>
          <w:lang w:val="fr-CH"/>
        </w:rPr>
        <w:t>est tenu d</w:t>
      </w:r>
      <w:r w:rsidR="00F8384A" w:rsidRPr="009F43DE">
        <w:rPr>
          <w:lang w:val="fr-CH"/>
        </w:rPr>
        <w:t>’</w:t>
      </w:r>
      <w:r w:rsidR="00D40D88" w:rsidRPr="009F43DE">
        <w:rPr>
          <w:lang w:val="fr-CH"/>
        </w:rPr>
        <w:t>établir</w:t>
      </w:r>
      <w:r w:rsidRPr="009F43DE">
        <w:rPr>
          <w:lang w:val="fr-CH"/>
        </w:rPr>
        <w:t xml:space="preserve"> ses budgets </w:t>
      </w:r>
      <w:r w:rsidR="00D40D88" w:rsidRPr="009F43DE">
        <w:rPr>
          <w:lang w:val="fr-CH"/>
        </w:rPr>
        <w:t xml:space="preserve">et plans </w:t>
      </w:r>
      <w:r w:rsidRPr="009F43DE">
        <w:rPr>
          <w:lang w:val="fr-CH"/>
        </w:rPr>
        <w:t>annuels sur la base de la politique nationale. Des installations,</w:t>
      </w:r>
      <w:r w:rsidR="00D40D88" w:rsidRPr="009F43DE">
        <w:rPr>
          <w:lang w:val="fr-CH"/>
        </w:rPr>
        <w:t xml:space="preserve"> biens et services </w:t>
      </w:r>
      <w:r w:rsidRPr="009F43DE">
        <w:rPr>
          <w:lang w:val="fr-CH"/>
        </w:rPr>
        <w:t xml:space="preserve">de santé préventive, curative et </w:t>
      </w:r>
      <w:r w:rsidR="00C13BCE" w:rsidRPr="009F43DE">
        <w:rPr>
          <w:lang w:val="fr-CH"/>
        </w:rPr>
        <w:t xml:space="preserve">réadaptative </w:t>
      </w:r>
      <w:r w:rsidRPr="009F43DE">
        <w:rPr>
          <w:lang w:val="fr-CH"/>
        </w:rPr>
        <w:t xml:space="preserve">sont physiquement accessibles en toute sécurité </w:t>
      </w:r>
      <w:r w:rsidR="00C13BCE" w:rsidRPr="009F43DE">
        <w:rPr>
          <w:lang w:val="fr-CH"/>
        </w:rPr>
        <w:t xml:space="preserve">et </w:t>
      </w:r>
      <w:r w:rsidRPr="009F43DE">
        <w:rPr>
          <w:lang w:val="fr-CH"/>
        </w:rPr>
        <w:t>gratuitement par tous</w:t>
      </w:r>
      <w:r w:rsidR="00C13BCE" w:rsidRPr="009F43DE">
        <w:rPr>
          <w:lang w:val="fr-CH"/>
        </w:rPr>
        <w:t>,</w:t>
      </w:r>
      <w:r w:rsidRPr="009F43DE">
        <w:rPr>
          <w:lang w:val="fr-CH"/>
        </w:rPr>
        <w:t xml:space="preserve"> quel</w:t>
      </w:r>
      <w:r w:rsidR="00C13BCE" w:rsidRPr="009F43DE">
        <w:rPr>
          <w:lang w:val="fr-CH"/>
        </w:rPr>
        <w:t xml:space="preserve"> </w:t>
      </w:r>
      <w:r w:rsidRPr="009F43DE">
        <w:rPr>
          <w:lang w:val="fr-CH"/>
        </w:rPr>
        <w:t>que soit leur niveau de revenu.</w:t>
      </w:r>
    </w:p>
    <w:p w:rsidR="00E5029E" w:rsidRPr="009F43DE" w:rsidRDefault="00E5029E" w:rsidP="00E5029E">
      <w:pPr>
        <w:pStyle w:val="H23G"/>
        <w:rPr>
          <w:lang w:val="fr-CH"/>
        </w:rPr>
      </w:pPr>
      <w:r w:rsidRPr="009F43DE">
        <w:rPr>
          <w:lang w:val="fr-CH"/>
        </w:rPr>
        <w:tab/>
      </w:r>
      <w:r w:rsidRPr="009F43DE">
        <w:rPr>
          <w:lang w:val="fr-CH"/>
        </w:rPr>
        <w:tab/>
        <w:t>Santé maternelle et infantile et planification familiale</w:t>
      </w:r>
    </w:p>
    <w:p w:rsidR="00E5029E" w:rsidRPr="009F43DE" w:rsidRDefault="00E5029E" w:rsidP="00E5029E">
      <w:pPr>
        <w:pStyle w:val="SingleTxtG"/>
        <w:rPr>
          <w:lang w:val="fr-CH"/>
        </w:rPr>
      </w:pPr>
      <w:r w:rsidRPr="009F43DE">
        <w:rPr>
          <w:lang w:val="fr-CH"/>
        </w:rPr>
        <w:t>207.</w:t>
      </w:r>
      <w:r w:rsidRPr="009F43DE">
        <w:rPr>
          <w:lang w:val="fr-CH"/>
        </w:rPr>
        <w:tab/>
        <w:t xml:space="preserve">Les sages-femmes du secteur </w:t>
      </w:r>
      <w:r w:rsidR="00C13BCE" w:rsidRPr="009F43DE">
        <w:rPr>
          <w:lang w:val="fr-CH"/>
        </w:rPr>
        <w:t>public de la santé</w:t>
      </w:r>
      <w:r w:rsidRPr="009F43DE">
        <w:rPr>
          <w:lang w:val="fr-CH"/>
        </w:rPr>
        <w:t xml:space="preserve"> se voient a</w:t>
      </w:r>
      <w:r w:rsidR="00C13BCE" w:rsidRPr="009F43DE">
        <w:rPr>
          <w:lang w:val="fr-CH"/>
        </w:rPr>
        <w:t>ffecter</w:t>
      </w:r>
      <w:r w:rsidRPr="009F43DE">
        <w:rPr>
          <w:lang w:val="fr-CH"/>
        </w:rPr>
        <w:t xml:space="preserve"> une zone bien délimitée avec une population de 2 000 à 7 000 personnes</w:t>
      </w:r>
      <w:r w:rsidR="00C13BCE" w:rsidRPr="009F43DE">
        <w:rPr>
          <w:lang w:val="fr-CH"/>
        </w:rPr>
        <w:t>. Elles</w:t>
      </w:r>
      <w:r w:rsidRPr="009F43DE">
        <w:rPr>
          <w:lang w:val="fr-CH"/>
        </w:rPr>
        <w:t xml:space="preserve"> </w:t>
      </w:r>
      <w:r w:rsidR="00C13BCE" w:rsidRPr="009F43DE">
        <w:rPr>
          <w:lang w:val="fr-CH"/>
        </w:rPr>
        <w:t xml:space="preserve">effectuent des </w:t>
      </w:r>
      <w:r w:rsidRPr="009F43DE">
        <w:rPr>
          <w:lang w:val="fr-CH"/>
        </w:rPr>
        <w:t xml:space="preserve">visites systématiques </w:t>
      </w:r>
      <w:r w:rsidR="00C13BCE" w:rsidRPr="009F43DE">
        <w:rPr>
          <w:lang w:val="fr-CH"/>
        </w:rPr>
        <w:t xml:space="preserve">à domicile </w:t>
      </w:r>
      <w:r w:rsidRPr="009F43DE">
        <w:rPr>
          <w:lang w:val="fr-CH"/>
        </w:rPr>
        <w:t xml:space="preserve">des mères et des enfants </w:t>
      </w:r>
      <w:r w:rsidR="00C13BCE" w:rsidRPr="009F43DE">
        <w:rPr>
          <w:lang w:val="fr-CH"/>
        </w:rPr>
        <w:t>de</w:t>
      </w:r>
      <w:r w:rsidRPr="009F43DE">
        <w:rPr>
          <w:lang w:val="fr-CH"/>
        </w:rPr>
        <w:t xml:space="preserve"> la communauté</w:t>
      </w:r>
      <w:r w:rsidR="00C13BCE" w:rsidRPr="009F43DE">
        <w:rPr>
          <w:lang w:val="fr-CH"/>
        </w:rPr>
        <w:t xml:space="preserve">, à qui elles dispensent des soins. Elles assurent aussi une éducation </w:t>
      </w:r>
      <w:r w:rsidR="00E1277C" w:rsidRPr="009F43DE">
        <w:rPr>
          <w:lang w:val="fr-CH"/>
        </w:rPr>
        <w:t xml:space="preserve">et une action de sensibilisation en </w:t>
      </w:r>
      <w:r w:rsidRPr="009F43DE">
        <w:rPr>
          <w:lang w:val="fr-CH"/>
        </w:rPr>
        <w:t>matière de santé et d</w:t>
      </w:r>
      <w:r w:rsidR="00F8384A" w:rsidRPr="009F43DE">
        <w:rPr>
          <w:lang w:val="fr-CH"/>
        </w:rPr>
        <w:t>’</w:t>
      </w:r>
      <w:r w:rsidRPr="009F43DE">
        <w:rPr>
          <w:lang w:val="fr-CH"/>
        </w:rPr>
        <w:t xml:space="preserve">activités liées à la santé </w:t>
      </w:r>
      <w:r w:rsidR="00E1277C" w:rsidRPr="009F43DE">
        <w:rPr>
          <w:lang w:val="fr-CH"/>
        </w:rPr>
        <w:t xml:space="preserve">et prodiguent le cas échéant des </w:t>
      </w:r>
      <w:r w:rsidRPr="009F43DE">
        <w:rPr>
          <w:lang w:val="fr-CH"/>
        </w:rPr>
        <w:t xml:space="preserve">conseils </w:t>
      </w:r>
      <w:r w:rsidR="00E1277C" w:rsidRPr="009F43DE">
        <w:rPr>
          <w:lang w:val="fr-CH"/>
        </w:rPr>
        <w:t>dans le domaine de la</w:t>
      </w:r>
      <w:r w:rsidRPr="009F43DE">
        <w:rPr>
          <w:lang w:val="fr-CH"/>
        </w:rPr>
        <w:t xml:space="preserve"> planification familiale</w:t>
      </w:r>
      <w:r w:rsidR="00E1277C" w:rsidRPr="009F43DE">
        <w:rPr>
          <w:lang w:val="fr-CH"/>
        </w:rPr>
        <w:t>, toujours dans leur zone d</w:t>
      </w:r>
      <w:r w:rsidR="00F8384A" w:rsidRPr="009F43DE">
        <w:rPr>
          <w:lang w:val="fr-CH"/>
        </w:rPr>
        <w:t>’</w:t>
      </w:r>
      <w:r w:rsidR="00E1277C" w:rsidRPr="009F43DE">
        <w:rPr>
          <w:lang w:val="fr-CH"/>
        </w:rPr>
        <w:t>affectation.</w:t>
      </w:r>
      <w:r w:rsidRPr="009F43DE">
        <w:rPr>
          <w:lang w:val="fr-CH"/>
        </w:rPr>
        <w:t xml:space="preserve"> L</w:t>
      </w:r>
      <w:r w:rsidR="00E1277C" w:rsidRPr="009F43DE">
        <w:rPr>
          <w:lang w:val="fr-CH"/>
        </w:rPr>
        <w:t>eur champ d</w:t>
      </w:r>
      <w:r w:rsidR="00F8384A" w:rsidRPr="009F43DE">
        <w:rPr>
          <w:lang w:val="fr-CH"/>
        </w:rPr>
        <w:t>’</w:t>
      </w:r>
      <w:r w:rsidR="00E1277C" w:rsidRPr="009F43DE">
        <w:rPr>
          <w:lang w:val="fr-CH"/>
        </w:rPr>
        <w:t>action est large et s</w:t>
      </w:r>
      <w:r w:rsidR="00F8384A" w:rsidRPr="009F43DE">
        <w:rPr>
          <w:lang w:val="fr-CH"/>
        </w:rPr>
        <w:t>’</w:t>
      </w:r>
      <w:r w:rsidR="00E1277C" w:rsidRPr="009F43DE">
        <w:rPr>
          <w:lang w:val="fr-CH"/>
        </w:rPr>
        <w:t>étend à</w:t>
      </w:r>
      <w:r w:rsidRPr="009F43DE">
        <w:rPr>
          <w:lang w:val="fr-CH"/>
        </w:rPr>
        <w:t xml:space="preserve"> l</w:t>
      </w:r>
      <w:r w:rsidR="00F8384A" w:rsidRPr="009F43DE">
        <w:rPr>
          <w:lang w:val="fr-CH"/>
        </w:rPr>
        <w:t>’</w:t>
      </w:r>
      <w:r w:rsidRPr="009F43DE">
        <w:rPr>
          <w:lang w:val="fr-CH"/>
        </w:rPr>
        <w:t xml:space="preserve">ensemble du pays. </w:t>
      </w:r>
      <w:r w:rsidR="00E1277C" w:rsidRPr="009F43DE">
        <w:rPr>
          <w:lang w:val="fr-CH"/>
        </w:rPr>
        <w:t xml:space="preserve">Chacun, </w:t>
      </w:r>
      <w:r w:rsidRPr="009F43DE">
        <w:rPr>
          <w:lang w:val="fr-CH"/>
        </w:rPr>
        <w:t xml:space="preserve">quel que soit </w:t>
      </w:r>
      <w:r w:rsidR="00E1277C" w:rsidRPr="009F43DE">
        <w:rPr>
          <w:lang w:val="fr-CH"/>
        </w:rPr>
        <w:t>son</w:t>
      </w:r>
      <w:r w:rsidRPr="009F43DE">
        <w:rPr>
          <w:lang w:val="fr-CH"/>
        </w:rPr>
        <w:t xml:space="preserve"> statut social et économique, </w:t>
      </w:r>
      <w:r w:rsidR="00E1277C" w:rsidRPr="009F43DE">
        <w:rPr>
          <w:lang w:val="fr-CH"/>
        </w:rPr>
        <w:t>a</w:t>
      </w:r>
      <w:r w:rsidRPr="009F43DE">
        <w:rPr>
          <w:lang w:val="fr-CH"/>
        </w:rPr>
        <w:t xml:space="preserve"> accès aux services </w:t>
      </w:r>
      <w:r w:rsidR="00E1277C" w:rsidRPr="009F43DE">
        <w:rPr>
          <w:lang w:val="fr-CH"/>
        </w:rPr>
        <w:t>sus</w:t>
      </w:r>
      <w:r w:rsidRPr="009F43DE">
        <w:rPr>
          <w:lang w:val="fr-CH"/>
        </w:rPr>
        <w:t>mentionnés.</w:t>
      </w:r>
    </w:p>
    <w:p w:rsidR="00E5029E" w:rsidRPr="009F43DE" w:rsidRDefault="00E5029E" w:rsidP="00E5029E">
      <w:pPr>
        <w:pStyle w:val="SingleTxtG"/>
        <w:rPr>
          <w:lang w:val="fr-CH"/>
        </w:rPr>
      </w:pPr>
      <w:r w:rsidRPr="009F43DE">
        <w:rPr>
          <w:lang w:val="fr-CH"/>
        </w:rPr>
        <w:t>208.</w:t>
      </w:r>
      <w:r w:rsidRPr="009F43DE">
        <w:rPr>
          <w:lang w:val="fr-CH"/>
        </w:rPr>
        <w:tab/>
        <w:t xml:space="preserve">La </w:t>
      </w:r>
      <w:r w:rsidR="00F8384A" w:rsidRPr="009F43DE">
        <w:rPr>
          <w:lang w:val="fr-CH"/>
        </w:rPr>
        <w:t>«</w:t>
      </w:r>
      <w:r w:rsidRPr="009F43DE">
        <w:rPr>
          <w:lang w:val="fr-CH"/>
        </w:rPr>
        <w:t>Politique nationale de santé maternelle et infantile</w:t>
      </w:r>
      <w:r w:rsidR="00F8384A" w:rsidRPr="009F43DE">
        <w:rPr>
          <w:lang w:val="fr-CH"/>
        </w:rPr>
        <w:t>»</w:t>
      </w:r>
      <w:r w:rsidR="00E1277C" w:rsidRPr="009F43DE">
        <w:rPr>
          <w:lang w:val="fr-CH"/>
        </w:rPr>
        <w:t>,</w:t>
      </w:r>
      <w:r w:rsidRPr="009F43DE">
        <w:rPr>
          <w:lang w:val="fr-CH"/>
        </w:rPr>
        <w:t xml:space="preserve"> adoptée par le Conseil des </w:t>
      </w:r>
      <w:r w:rsidR="00B73A16">
        <w:rPr>
          <w:lang w:val="fr-CH"/>
        </w:rPr>
        <w:t>m</w:t>
      </w:r>
      <w:r w:rsidR="00B73A16" w:rsidRPr="009F43DE">
        <w:rPr>
          <w:lang w:val="fr-CH"/>
        </w:rPr>
        <w:t xml:space="preserve">inistres </w:t>
      </w:r>
      <w:r w:rsidRPr="009F43DE">
        <w:rPr>
          <w:lang w:val="fr-CH"/>
        </w:rPr>
        <w:t>en 2012</w:t>
      </w:r>
      <w:r w:rsidR="00E1277C" w:rsidRPr="009F43DE">
        <w:rPr>
          <w:lang w:val="fr-CH"/>
        </w:rPr>
        <w:t xml:space="preserve">, oriente la mise en </w:t>
      </w:r>
      <w:r w:rsidR="007574C7" w:rsidRPr="009F43DE">
        <w:rPr>
          <w:lang w:val="fr-CH"/>
        </w:rPr>
        <w:t>œuvre</w:t>
      </w:r>
      <w:r w:rsidR="00E1277C" w:rsidRPr="009F43DE">
        <w:rPr>
          <w:lang w:val="fr-CH"/>
        </w:rPr>
        <w:t xml:space="preserve"> effective par</w:t>
      </w:r>
      <w:r w:rsidRPr="009F43DE">
        <w:rPr>
          <w:lang w:val="fr-CH"/>
        </w:rPr>
        <w:t xml:space="preserve"> tous les districts et provinces </w:t>
      </w:r>
      <w:r w:rsidR="00E1277C" w:rsidRPr="009F43DE">
        <w:rPr>
          <w:lang w:val="fr-CH"/>
        </w:rPr>
        <w:t>d</w:t>
      </w:r>
      <w:r w:rsidR="00F8384A" w:rsidRPr="009F43DE">
        <w:rPr>
          <w:lang w:val="fr-CH"/>
        </w:rPr>
        <w:t>’</w:t>
      </w:r>
      <w:r w:rsidR="00E1277C" w:rsidRPr="009F43DE">
        <w:rPr>
          <w:lang w:val="fr-CH"/>
        </w:rPr>
        <w:t>activités dans ce domaine</w:t>
      </w:r>
      <w:r w:rsidRPr="009F43DE">
        <w:rPr>
          <w:lang w:val="fr-CH"/>
        </w:rPr>
        <w:t xml:space="preserve">. Le taux de mortalité maternelle et le taux de mortalité infantile sont deux des indicateurs des </w:t>
      </w:r>
      <w:r w:rsidR="00E1277C" w:rsidRPr="009F43DE">
        <w:rPr>
          <w:lang w:val="fr-CH"/>
        </w:rPr>
        <w:t>objectifs du Millénaire pour le développement</w:t>
      </w:r>
      <w:r w:rsidRPr="009F43DE">
        <w:rPr>
          <w:lang w:val="fr-CH"/>
        </w:rPr>
        <w:t xml:space="preserve"> qui ont été atteints à l</w:t>
      </w:r>
      <w:r w:rsidR="00F8384A" w:rsidRPr="009F43DE">
        <w:rPr>
          <w:lang w:val="fr-CH"/>
        </w:rPr>
        <w:t>’</w:t>
      </w:r>
      <w:r w:rsidRPr="009F43DE">
        <w:rPr>
          <w:lang w:val="fr-CH"/>
        </w:rPr>
        <w:t xml:space="preserve">échelle nationale. Les indicateurs de la santé maternelle et infantile du pays </w:t>
      </w:r>
      <w:r w:rsidR="00E1277C" w:rsidRPr="009F43DE">
        <w:rPr>
          <w:lang w:val="fr-CH"/>
        </w:rPr>
        <w:t>progressent régulièrement et témoignent de la</w:t>
      </w:r>
      <w:r w:rsidRPr="009F43DE">
        <w:rPr>
          <w:lang w:val="fr-CH"/>
        </w:rPr>
        <w:t xml:space="preserve"> nette amélioration de la santé des mères et des enfants </w:t>
      </w:r>
      <w:r w:rsidR="00E1277C" w:rsidRPr="009F43DE">
        <w:rPr>
          <w:lang w:val="fr-CH"/>
        </w:rPr>
        <w:t>dans le pays</w:t>
      </w:r>
      <w:r w:rsidRPr="009F43DE">
        <w:rPr>
          <w:color w:val="000000"/>
          <w:lang w:val="fr-CH"/>
        </w:rPr>
        <w:t xml:space="preserve">. Le Bureau des Nations Unies pour Sri Lanka a </w:t>
      </w:r>
      <w:r w:rsidR="00E1277C" w:rsidRPr="009F43DE">
        <w:rPr>
          <w:color w:val="000000"/>
          <w:lang w:val="fr-CH"/>
        </w:rPr>
        <w:t>indiqué</w:t>
      </w:r>
      <w:r w:rsidRPr="009F43DE">
        <w:rPr>
          <w:color w:val="000000"/>
          <w:lang w:val="fr-CH"/>
        </w:rPr>
        <w:t xml:space="preserve"> que </w:t>
      </w:r>
      <w:r w:rsidR="00F8384A" w:rsidRPr="009F43DE">
        <w:rPr>
          <w:color w:val="000000"/>
          <w:lang w:val="fr-CH"/>
        </w:rPr>
        <w:t>«</w:t>
      </w:r>
      <w:r w:rsidRPr="009F43DE">
        <w:rPr>
          <w:color w:val="000000"/>
          <w:lang w:val="fr-CH"/>
        </w:rPr>
        <w:t>d</w:t>
      </w:r>
      <w:r w:rsidR="00F8384A" w:rsidRPr="009F43DE">
        <w:rPr>
          <w:color w:val="000000"/>
          <w:lang w:val="fr-CH"/>
        </w:rPr>
        <w:t>’</w:t>
      </w:r>
      <w:r w:rsidRPr="009F43DE">
        <w:rPr>
          <w:color w:val="000000"/>
          <w:lang w:val="fr-CH"/>
        </w:rPr>
        <w:t>après le Service de santé familiale du Ministère de la santé, le taux de mortalité maternelle est tombé de 92 décès pour 100 000 naissances vivantes en 1990 à 33,3 en 2010</w:t>
      </w:r>
      <w:r w:rsidR="00F8384A" w:rsidRPr="009F43DE">
        <w:rPr>
          <w:color w:val="000000"/>
          <w:lang w:val="fr-CH"/>
        </w:rPr>
        <w:t>»</w:t>
      </w:r>
      <w:r w:rsidRPr="00B55AB2">
        <w:rPr>
          <w:rStyle w:val="FootnoteReference"/>
        </w:rPr>
        <w:footnoteReference w:id="19"/>
      </w:r>
      <w:r w:rsidRPr="009F43DE">
        <w:rPr>
          <w:color w:val="000000"/>
          <w:lang w:val="fr-CH"/>
        </w:rPr>
        <w:t>. Il en va de mêm</w:t>
      </w:r>
      <w:r w:rsidRPr="009F43DE">
        <w:rPr>
          <w:lang w:val="fr-CH"/>
        </w:rPr>
        <w:t xml:space="preserve">e pour la mortalité néonatale, infantile et la mortalité des enfants de moins de </w:t>
      </w:r>
      <w:r w:rsidR="00342F0F">
        <w:rPr>
          <w:lang w:val="fr-CH"/>
        </w:rPr>
        <w:t>5</w:t>
      </w:r>
      <w:r w:rsidR="00342F0F" w:rsidRPr="009F43DE">
        <w:rPr>
          <w:lang w:val="fr-CH"/>
        </w:rPr>
        <w:t xml:space="preserve"> </w:t>
      </w:r>
      <w:r w:rsidRPr="009F43DE">
        <w:rPr>
          <w:lang w:val="fr-CH"/>
        </w:rPr>
        <w:t xml:space="preserve">ans </w:t>
      </w:r>
      <w:r w:rsidR="00342F0F">
        <w:rPr>
          <w:lang w:val="fr-CH"/>
        </w:rPr>
        <w:t>–</w:t>
      </w:r>
      <w:r w:rsidR="00342F0F" w:rsidRPr="009F43DE">
        <w:rPr>
          <w:lang w:val="fr-CH"/>
        </w:rPr>
        <w:t xml:space="preserve"> </w:t>
      </w:r>
      <w:r w:rsidR="00E1277C" w:rsidRPr="009F43DE">
        <w:rPr>
          <w:lang w:val="fr-CH"/>
        </w:rPr>
        <w:t xml:space="preserve">qui sont, respectivement, de </w:t>
      </w:r>
      <w:r w:rsidRPr="009F43DE">
        <w:rPr>
          <w:lang w:val="fr-CH"/>
        </w:rPr>
        <w:t>6,8, 9,2 et 10,4 pour 1 000 naissances vivantes. L</w:t>
      </w:r>
      <w:r w:rsidR="00F8384A" w:rsidRPr="009F43DE">
        <w:rPr>
          <w:lang w:val="fr-CH"/>
        </w:rPr>
        <w:t>’</w:t>
      </w:r>
      <w:r w:rsidRPr="009F43DE">
        <w:rPr>
          <w:lang w:val="fr-CH"/>
        </w:rPr>
        <w:t>amélioration de ces indicateurs peut être principalement attribuée à la mise en œuvre des programmes de santé maternelle et infantile du Ministère de la santé, qui fournissent des soins de santé efficaces et largement accessibles pour les mères et les enfants ainsi que des soins obstétricaux en milieu hospitalier. Le Gouvernement sri</w:t>
      </w:r>
      <w:r w:rsidR="00E1277C" w:rsidRPr="009F43DE">
        <w:rPr>
          <w:lang w:val="fr-CH"/>
        </w:rPr>
        <w:t>-</w:t>
      </w:r>
      <w:r w:rsidRPr="009F43DE">
        <w:rPr>
          <w:lang w:val="fr-CH"/>
        </w:rPr>
        <w:t xml:space="preserve">lankais a pris plusieurs </w:t>
      </w:r>
      <w:r w:rsidR="00E1277C" w:rsidRPr="009F43DE">
        <w:rPr>
          <w:lang w:val="fr-CH"/>
        </w:rPr>
        <w:t>mesures pour</w:t>
      </w:r>
      <w:r w:rsidRPr="009F43DE">
        <w:rPr>
          <w:lang w:val="fr-CH"/>
        </w:rPr>
        <w:t xml:space="preserve"> renforcer les soins d</w:t>
      </w:r>
      <w:r w:rsidR="00F8384A" w:rsidRPr="009F43DE">
        <w:rPr>
          <w:lang w:val="fr-CH"/>
        </w:rPr>
        <w:t>’</w:t>
      </w:r>
      <w:r w:rsidRPr="009F43DE">
        <w:rPr>
          <w:lang w:val="fr-CH"/>
        </w:rPr>
        <w:t>urgence, les soins obstétricaux et les soins aux nouveau-nés dans tous les districts du pays.</w:t>
      </w:r>
    </w:p>
    <w:p w:rsidR="00E5029E" w:rsidRPr="009F43DE" w:rsidRDefault="00E5029E" w:rsidP="00E5029E">
      <w:pPr>
        <w:pStyle w:val="SingleTxtG"/>
        <w:rPr>
          <w:color w:val="000000"/>
          <w:lang w:val="fr-CH"/>
        </w:rPr>
      </w:pPr>
      <w:r w:rsidRPr="009F43DE">
        <w:rPr>
          <w:lang w:val="fr-CH"/>
        </w:rPr>
        <w:t>209.</w:t>
      </w:r>
      <w:r w:rsidRPr="009F43DE">
        <w:rPr>
          <w:lang w:val="fr-CH"/>
        </w:rPr>
        <w:tab/>
      </w:r>
      <w:r w:rsidR="00D37A10" w:rsidRPr="009F43DE">
        <w:rPr>
          <w:lang w:val="fr-CH"/>
        </w:rPr>
        <w:t>En janvier 2014, le</w:t>
      </w:r>
      <w:r w:rsidRPr="009F43DE">
        <w:rPr>
          <w:lang w:val="fr-CH"/>
        </w:rPr>
        <w:t xml:space="preserve"> Gouvernement sri</w:t>
      </w:r>
      <w:r w:rsidR="00E1277C" w:rsidRPr="009F43DE">
        <w:rPr>
          <w:lang w:val="fr-CH"/>
        </w:rPr>
        <w:t>-</w:t>
      </w:r>
      <w:r w:rsidRPr="009F43DE">
        <w:rPr>
          <w:lang w:val="fr-CH"/>
        </w:rPr>
        <w:t xml:space="preserve">lankais a présenté au Parlement </w:t>
      </w:r>
      <w:r w:rsidR="00D37A10" w:rsidRPr="009F43DE">
        <w:rPr>
          <w:lang w:val="fr-CH"/>
        </w:rPr>
        <w:t>un arrêté</w:t>
      </w:r>
      <w:r w:rsidRPr="009F43DE">
        <w:rPr>
          <w:lang w:val="fr-CH"/>
        </w:rPr>
        <w:t xml:space="preserve"> extraordinaire publié</w:t>
      </w:r>
      <w:r w:rsidR="00D37A10" w:rsidRPr="009F43DE">
        <w:rPr>
          <w:lang w:val="fr-CH"/>
        </w:rPr>
        <w:t xml:space="preserve"> dans le Journal officiel et exigeant</w:t>
      </w:r>
      <w:r w:rsidRPr="009F43DE">
        <w:rPr>
          <w:lang w:val="fr-CH"/>
        </w:rPr>
        <w:t xml:space="preserve"> l</w:t>
      </w:r>
      <w:r w:rsidR="00F8384A" w:rsidRPr="009F43DE">
        <w:rPr>
          <w:lang w:val="fr-CH"/>
        </w:rPr>
        <w:t>’</w:t>
      </w:r>
      <w:r w:rsidRPr="009F43DE">
        <w:rPr>
          <w:lang w:val="fr-CH"/>
        </w:rPr>
        <w:t xml:space="preserve">impression de mises en garde illustrées sur les paquets de cigarettes. Selon </w:t>
      </w:r>
      <w:r w:rsidR="00D37A10" w:rsidRPr="009F43DE">
        <w:rPr>
          <w:lang w:val="fr-CH"/>
        </w:rPr>
        <w:t>cet arrêté</w:t>
      </w:r>
      <w:r w:rsidRPr="009F43DE">
        <w:rPr>
          <w:lang w:val="fr-CH"/>
        </w:rPr>
        <w:t xml:space="preserve">, la mise en garde picturale est imprimée sur les deux côtés de chaque paquet de cigarettes, </w:t>
      </w:r>
      <w:r w:rsidR="00D37A10" w:rsidRPr="009F43DE">
        <w:rPr>
          <w:lang w:val="fr-CH"/>
        </w:rPr>
        <w:t xml:space="preserve">ou de chaque </w:t>
      </w:r>
      <w:r w:rsidRPr="009F43DE">
        <w:rPr>
          <w:lang w:val="fr-CH"/>
        </w:rPr>
        <w:t>emballage ou carton contenant des cigarettes</w:t>
      </w:r>
      <w:r w:rsidR="00D37A10" w:rsidRPr="009F43DE">
        <w:rPr>
          <w:lang w:val="fr-CH"/>
        </w:rPr>
        <w:t>,</w:t>
      </w:r>
      <w:r w:rsidRPr="009F43DE">
        <w:rPr>
          <w:lang w:val="fr-CH"/>
        </w:rPr>
        <w:t xml:space="preserve"> et couvre au moins 80</w:t>
      </w:r>
      <w:r w:rsidR="00D37A10" w:rsidRPr="009F43DE">
        <w:rPr>
          <w:lang w:val="fr-CH"/>
        </w:rPr>
        <w:t> %</w:t>
      </w:r>
      <w:r w:rsidRPr="009F43DE">
        <w:rPr>
          <w:lang w:val="fr-CH"/>
        </w:rPr>
        <w:t xml:space="preserve"> de l</w:t>
      </w:r>
      <w:r w:rsidR="00D37A10" w:rsidRPr="009F43DE">
        <w:rPr>
          <w:lang w:val="fr-CH"/>
        </w:rPr>
        <w:t>eur</w:t>
      </w:r>
      <w:r w:rsidRPr="009F43DE">
        <w:rPr>
          <w:lang w:val="fr-CH"/>
        </w:rPr>
        <w:t xml:space="preserve"> surface totale</w:t>
      </w:r>
      <w:r w:rsidR="00D37A10" w:rsidRPr="009F43DE">
        <w:rPr>
          <w:lang w:val="fr-CH"/>
        </w:rPr>
        <w:t xml:space="preserve">. Il est interdit de diffuser de fausses informations sur </w:t>
      </w:r>
      <w:r w:rsidRPr="009F43DE">
        <w:rPr>
          <w:lang w:val="fr-CH"/>
        </w:rPr>
        <w:t>l</w:t>
      </w:r>
      <w:r w:rsidR="00D37A10" w:rsidRPr="009F43DE">
        <w:rPr>
          <w:lang w:val="fr-CH"/>
        </w:rPr>
        <w:t>es conséquences pour la santé de</w:t>
      </w:r>
      <w:r w:rsidRPr="009F43DE">
        <w:rPr>
          <w:lang w:val="fr-CH"/>
        </w:rPr>
        <w:t xml:space="preserve"> la fumée de cigarette</w:t>
      </w:r>
      <w:r w:rsidR="00D37A10" w:rsidRPr="009F43DE">
        <w:rPr>
          <w:lang w:val="fr-CH"/>
        </w:rPr>
        <w:t>. Il est</w:t>
      </w:r>
      <w:r w:rsidRPr="009F43DE">
        <w:rPr>
          <w:lang w:val="fr-CH"/>
        </w:rPr>
        <w:t xml:space="preserve"> également mentionné dans l</w:t>
      </w:r>
      <w:r w:rsidR="00F8384A" w:rsidRPr="009F43DE">
        <w:rPr>
          <w:lang w:val="fr-CH"/>
        </w:rPr>
        <w:t>’</w:t>
      </w:r>
      <w:r w:rsidR="00D37A10" w:rsidRPr="009F43DE">
        <w:rPr>
          <w:lang w:val="fr-CH"/>
        </w:rPr>
        <w:t>arrêté</w:t>
      </w:r>
      <w:r w:rsidRPr="009F43DE">
        <w:rPr>
          <w:lang w:val="fr-CH"/>
        </w:rPr>
        <w:t xml:space="preserve"> que les paquets de cigarettes ne peuvent pas être produits, importés ou vendus sans les mises en garde illustrées. En outre, la quantité de nicotine contenue dans le produit doit être clairement mentionnée et il est interdit de couvrir </w:t>
      </w:r>
      <w:r w:rsidR="00D37A10" w:rsidRPr="009F43DE">
        <w:rPr>
          <w:lang w:val="fr-CH"/>
        </w:rPr>
        <w:t>l</w:t>
      </w:r>
      <w:r w:rsidRPr="009F43DE">
        <w:rPr>
          <w:lang w:val="fr-CH"/>
        </w:rPr>
        <w:t>es avertissements avec d</w:t>
      </w:r>
      <w:r w:rsidR="00F8384A" w:rsidRPr="009F43DE">
        <w:rPr>
          <w:lang w:val="fr-CH"/>
        </w:rPr>
        <w:t>’</w:t>
      </w:r>
      <w:r w:rsidRPr="009F43DE">
        <w:rPr>
          <w:lang w:val="fr-CH"/>
        </w:rPr>
        <w:t>autres ph</w:t>
      </w:r>
      <w:r w:rsidRPr="009F43DE">
        <w:rPr>
          <w:color w:val="000000"/>
          <w:lang w:val="fr-CH"/>
        </w:rPr>
        <w:t>otos.</w:t>
      </w:r>
    </w:p>
    <w:p w:rsidR="00E5029E" w:rsidRPr="009F43DE" w:rsidRDefault="00E5029E" w:rsidP="00E5029E">
      <w:pPr>
        <w:pStyle w:val="H23G"/>
        <w:rPr>
          <w:lang w:val="fr-CH"/>
        </w:rPr>
      </w:pPr>
      <w:r w:rsidRPr="009F43DE">
        <w:rPr>
          <w:lang w:val="fr-CH"/>
        </w:rPr>
        <w:tab/>
      </w:r>
      <w:r w:rsidRPr="009F43DE">
        <w:rPr>
          <w:lang w:val="fr-CH"/>
        </w:rPr>
        <w:tab/>
        <w:t>Sensibilisation à la prévention du VIH/</w:t>
      </w:r>
      <w:r w:rsidR="00D37A10" w:rsidRPr="009F43DE">
        <w:rPr>
          <w:lang w:val="fr-CH"/>
        </w:rPr>
        <w:t>s</w:t>
      </w:r>
      <w:r w:rsidRPr="009F43DE">
        <w:rPr>
          <w:lang w:val="fr-CH"/>
        </w:rPr>
        <w:t>ida et d</w:t>
      </w:r>
      <w:r w:rsidR="00F8384A" w:rsidRPr="009F43DE">
        <w:rPr>
          <w:lang w:val="fr-CH"/>
        </w:rPr>
        <w:t>’</w:t>
      </w:r>
      <w:r w:rsidRPr="009F43DE">
        <w:rPr>
          <w:lang w:val="fr-CH"/>
        </w:rPr>
        <w:t>autres maladies sexuellement transmissibles</w:t>
      </w:r>
      <w:r w:rsidR="00D37A10" w:rsidRPr="009F43DE">
        <w:rPr>
          <w:lang w:val="fr-CH"/>
        </w:rPr>
        <w:t xml:space="preserve"> (MST)</w:t>
      </w:r>
    </w:p>
    <w:p w:rsidR="00E5029E" w:rsidRPr="009F43DE" w:rsidRDefault="00E5029E" w:rsidP="00E5029E">
      <w:pPr>
        <w:pStyle w:val="SingleTxtG"/>
        <w:rPr>
          <w:lang w:val="fr-CH"/>
        </w:rPr>
      </w:pPr>
      <w:r w:rsidRPr="009F43DE">
        <w:rPr>
          <w:lang w:val="fr-CH"/>
        </w:rPr>
        <w:t>210.</w:t>
      </w:r>
      <w:r w:rsidRPr="009F43DE">
        <w:rPr>
          <w:lang w:val="fr-CH"/>
        </w:rPr>
        <w:tab/>
      </w:r>
      <w:r w:rsidR="00D37A10" w:rsidRPr="009F43DE">
        <w:rPr>
          <w:lang w:val="fr-CH"/>
        </w:rPr>
        <w:t xml:space="preserve">Grâce au </w:t>
      </w:r>
      <w:r w:rsidRPr="009F43DE">
        <w:rPr>
          <w:lang w:val="fr-CH"/>
        </w:rPr>
        <w:t xml:space="preserve">programme national </w:t>
      </w:r>
      <w:r w:rsidR="00D37A10" w:rsidRPr="009F43DE">
        <w:rPr>
          <w:lang w:val="fr-CH"/>
        </w:rPr>
        <w:t xml:space="preserve">sur les </w:t>
      </w:r>
      <w:r w:rsidRPr="009F43DE">
        <w:rPr>
          <w:lang w:val="fr-CH"/>
        </w:rPr>
        <w:t>MST</w:t>
      </w:r>
      <w:r w:rsidR="00D37A10" w:rsidRPr="009F43DE">
        <w:rPr>
          <w:lang w:val="fr-CH"/>
        </w:rPr>
        <w:t xml:space="preserve"> et le s</w:t>
      </w:r>
      <w:r w:rsidRPr="009F43DE">
        <w:rPr>
          <w:lang w:val="fr-CH"/>
        </w:rPr>
        <w:t>ida</w:t>
      </w:r>
      <w:r w:rsidR="00D37A10" w:rsidRPr="009F43DE">
        <w:rPr>
          <w:lang w:val="fr-CH"/>
        </w:rPr>
        <w:t>, des conseils et des tests pour le VIH et des services de dépistage des MST ont été proposés aux</w:t>
      </w:r>
      <w:r w:rsidRPr="009F43DE">
        <w:rPr>
          <w:lang w:val="fr-CH"/>
        </w:rPr>
        <w:t xml:space="preserve"> populations vulnérables et à risque élevé</w:t>
      </w:r>
      <w:r w:rsidR="00D37A10" w:rsidRPr="009F43DE">
        <w:rPr>
          <w:lang w:val="fr-CH"/>
        </w:rPr>
        <w:t xml:space="preserve">. </w:t>
      </w:r>
      <w:r w:rsidR="00754327" w:rsidRPr="009F43DE">
        <w:rPr>
          <w:lang w:val="fr-CH"/>
        </w:rPr>
        <w:t>Pour l</w:t>
      </w:r>
      <w:r w:rsidR="00F8384A" w:rsidRPr="009F43DE">
        <w:rPr>
          <w:lang w:val="fr-CH"/>
        </w:rPr>
        <w:t>’</w:t>
      </w:r>
      <w:r w:rsidRPr="009F43DE">
        <w:rPr>
          <w:lang w:val="fr-CH"/>
        </w:rPr>
        <w:t>éducation du grand public</w:t>
      </w:r>
      <w:r w:rsidR="00754327" w:rsidRPr="009F43DE">
        <w:rPr>
          <w:lang w:val="fr-CH"/>
        </w:rPr>
        <w:t>, plusieurs supports ont été utilisés, comme des</w:t>
      </w:r>
      <w:r w:rsidRPr="009F43DE">
        <w:rPr>
          <w:lang w:val="fr-CH"/>
        </w:rPr>
        <w:t xml:space="preserve"> marches contre le </w:t>
      </w:r>
      <w:r w:rsidR="00754327" w:rsidRPr="009F43DE">
        <w:rPr>
          <w:lang w:val="fr-CH"/>
        </w:rPr>
        <w:t>s</w:t>
      </w:r>
      <w:r w:rsidRPr="009F43DE">
        <w:rPr>
          <w:lang w:val="fr-CH"/>
        </w:rPr>
        <w:t xml:space="preserve">ida, </w:t>
      </w:r>
      <w:r w:rsidR="00754327" w:rsidRPr="009F43DE">
        <w:rPr>
          <w:lang w:val="fr-CH"/>
        </w:rPr>
        <w:t>des campagnes par le biais des</w:t>
      </w:r>
      <w:r w:rsidRPr="009F43DE">
        <w:rPr>
          <w:lang w:val="fr-CH"/>
        </w:rPr>
        <w:t xml:space="preserve"> médias électroniques, des concours d</w:t>
      </w:r>
      <w:r w:rsidR="00F8384A" w:rsidRPr="009F43DE">
        <w:rPr>
          <w:lang w:val="fr-CH"/>
        </w:rPr>
        <w:t>’</w:t>
      </w:r>
      <w:r w:rsidRPr="009F43DE">
        <w:rPr>
          <w:lang w:val="fr-CH"/>
        </w:rPr>
        <w:t>affich</w:t>
      </w:r>
      <w:r w:rsidR="00754327" w:rsidRPr="009F43DE">
        <w:rPr>
          <w:lang w:val="fr-CH"/>
        </w:rPr>
        <w:t>age</w:t>
      </w:r>
      <w:r w:rsidRPr="009F43DE">
        <w:rPr>
          <w:lang w:val="fr-CH"/>
        </w:rPr>
        <w:t xml:space="preserve"> (225 affiches </w:t>
      </w:r>
      <w:r w:rsidR="00754327" w:rsidRPr="009F43DE">
        <w:rPr>
          <w:lang w:val="fr-CH"/>
        </w:rPr>
        <w:t>ont été présentées par des</w:t>
      </w:r>
      <w:r w:rsidRPr="009F43DE">
        <w:rPr>
          <w:lang w:val="fr-CH"/>
        </w:rPr>
        <w:t xml:space="preserve"> </w:t>
      </w:r>
      <w:r w:rsidR="00754327" w:rsidRPr="009F43DE">
        <w:rPr>
          <w:lang w:val="fr-CH"/>
        </w:rPr>
        <w:t>enfants des écoles</w:t>
      </w:r>
      <w:r w:rsidRPr="009F43DE">
        <w:rPr>
          <w:lang w:val="fr-CH"/>
        </w:rPr>
        <w:t xml:space="preserve">), des chansons et des pièces de théâtre présentées pendant la Journée mondiale du </w:t>
      </w:r>
      <w:r w:rsidR="00754327" w:rsidRPr="009F43DE">
        <w:rPr>
          <w:lang w:val="fr-CH"/>
        </w:rPr>
        <w:t>s</w:t>
      </w:r>
      <w:r w:rsidRPr="009F43DE">
        <w:rPr>
          <w:lang w:val="fr-CH"/>
        </w:rPr>
        <w:t>ida chaque année. Des brochures et des dépliants ayant principalement pour thème zéro infection et zéro discrimination contre les porteurs de VIH/</w:t>
      </w:r>
      <w:r w:rsidR="00754327" w:rsidRPr="009F43DE">
        <w:rPr>
          <w:lang w:val="fr-CH"/>
        </w:rPr>
        <w:t>s</w:t>
      </w:r>
      <w:r w:rsidRPr="009F43DE">
        <w:rPr>
          <w:lang w:val="fr-CH"/>
        </w:rPr>
        <w:t xml:space="preserve">ida et </w:t>
      </w:r>
      <w:r w:rsidR="00754327" w:rsidRPr="009F43DE">
        <w:rPr>
          <w:lang w:val="fr-CH"/>
        </w:rPr>
        <w:t xml:space="preserve">de </w:t>
      </w:r>
      <w:r w:rsidRPr="009F43DE">
        <w:rPr>
          <w:lang w:val="fr-CH"/>
        </w:rPr>
        <w:t xml:space="preserve">MST ont été distribués </w:t>
      </w:r>
      <w:r w:rsidR="00754327" w:rsidRPr="009F43DE">
        <w:rPr>
          <w:lang w:val="fr-CH"/>
        </w:rPr>
        <w:t>dans les établissements scolaires</w:t>
      </w:r>
      <w:r w:rsidRPr="009F43DE">
        <w:rPr>
          <w:lang w:val="fr-CH"/>
        </w:rPr>
        <w:t>.</w:t>
      </w:r>
    </w:p>
    <w:p w:rsidR="00E5029E" w:rsidRPr="009F43DE" w:rsidRDefault="00E5029E" w:rsidP="00E5029E">
      <w:pPr>
        <w:pStyle w:val="H23G"/>
        <w:rPr>
          <w:color w:val="000000"/>
          <w:lang w:val="fr-CH"/>
        </w:rPr>
      </w:pPr>
      <w:r w:rsidRPr="009F43DE">
        <w:rPr>
          <w:lang w:val="fr-CH"/>
        </w:rPr>
        <w:tab/>
      </w:r>
      <w:r w:rsidRPr="009F43DE">
        <w:rPr>
          <w:lang w:val="fr-CH"/>
        </w:rPr>
        <w:tab/>
      </w:r>
      <w:r w:rsidR="007574C7" w:rsidRPr="009F43DE">
        <w:rPr>
          <w:lang w:val="fr-CH"/>
        </w:rPr>
        <w:t>Établissements</w:t>
      </w:r>
      <w:r w:rsidRPr="009F43DE">
        <w:rPr>
          <w:lang w:val="fr-CH"/>
        </w:rPr>
        <w:t xml:space="preserve"> psychi</w:t>
      </w:r>
      <w:r w:rsidRPr="009F43DE">
        <w:rPr>
          <w:color w:val="000000"/>
          <w:lang w:val="fr-CH"/>
        </w:rPr>
        <w:t>atriques pour les personnes souffrant de troubles mentaux</w:t>
      </w:r>
    </w:p>
    <w:p w:rsidR="00E5029E" w:rsidRPr="009F43DE" w:rsidRDefault="00E5029E" w:rsidP="00E5029E">
      <w:pPr>
        <w:pStyle w:val="SingleTxtG"/>
        <w:rPr>
          <w:lang w:val="fr-CH"/>
        </w:rPr>
      </w:pPr>
      <w:r w:rsidRPr="009F43DE">
        <w:rPr>
          <w:color w:val="000000"/>
          <w:lang w:val="fr-CH"/>
        </w:rPr>
        <w:t>211.</w:t>
      </w:r>
      <w:r w:rsidRPr="009F43DE">
        <w:rPr>
          <w:color w:val="000000"/>
          <w:lang w:val="fr-CH"/>
        </w:rPr>
        <w:tab/>
        <w:t xml:space="preserve">Le Ministère de </w:t>
      </w:r>
      <w:r w:rsidRPr="009F43DE">
        <w:rPr>
          <w:lang w:val="fr-CH"/>
        </w:rPr>
        <w:t xml:space="preserve">la </w:t>
      </w:r>
      <w:r w:rsidR="00754327" w:rsidRPr="009F43DE">
        <w:rPr>
          <w:lang w:val="fr-CH"/>
        </w:rPr>
        <w:t>s</w:t>
      </w:r>
      <w:r w:rsidRPr="009F43DE">
        <w:rPr>
          <w:lang w:val="fr-CH"/>
        </w:rPr>
        <w:t xml:space="preserve">anté et de la médecine </w:t>
      </w:r>
      <w:r w:rsidR="00754327" w:rsidRPr="009F43DE">
        <w:rPr>
          <w:lang w:val="fr-CH"/>
        </w:rPr>
        <w:t>autochtone</w:t>
      </w:r>
      <w:r w:rsidRPr="009F43DE">
        <w:rPr>
          <w:lang w:val="fr-CH"/>
        </w:rPr>
        <w:t xml:space="preserve"> veill</w:t>
      </w:r>
      <w:r w:rsidR="00754327" w:rsidRPr="009F43DE">
        <w:rPr>
          <w:lang w:val="fr-CH"/>
        </w:rPr>
        <w:t>e</w:t>
      </w:r>
      <w:r w:rsidRPr="009F43DE">
        <w:rPr>
          <w:lang w:val="fr-CH"/>
        </w:rPr>
        <w:t xml:space="preserve"> à ce que des psychiatres consultants </w:t>
      </w:r>
      <w:r w:rsidR="00754327" w:rsidRPr="009F43DE">
        <w:rPr>
          <w:lang w:val="fr-CH"/>
        </w:rPr>
        <w:t>et des médecins spécialisés en santé mentale soient présents</w:t>
      </w:r>
      <w:r w:rsidRPr="009F43DE">
        <w:rPr>
          <w:lang w:val="fr-CH"/>
        </w:rPr>
        <w:t xml:space="preserve"> dans presque tous les districts du pays. </w:t>
      </w:r>
      <w:r w:rsidR="00754327" w:rsidRPr="009F43DE">
        <w:rPr>
          <w:lang w:val="fr-CH"/>
        </w:rPr>
        <w:t>Soixante pour cent des</w:t>
      </w:r>
      <w:r w:rsidRPr="009F43DE">
        <w:rPr>
          <w:lang w:val="fr-CH"/>
        </w:rPr>
        <w:t xml:space="preserve"> districts</w:t>
      </w:r>
      <w:r w:rsidR="00754327" w:rsidRPr="009F43DE">
        <w:rPr>
          <w:lang w:val="fr-CH"/>
        </w:rPr>
        <w:t xml:space="preserve"> disposent de</w:t>
      </w:r>
      <w:r w:rsidRPr="009F43DE">
        <w:rPr>
          <w:lang w:val="fr-CH"/>
        </w:rPr>
        <w:t xml:space="preserve"> services psychiatriques au sein des hôpitaux </w:t>
      </w:r>
      <w:r w:rsidR="00754327" w:rsidRPr="009F43DE">
        <w:rPr>
          <w:lang w:val="fr-CH"/>
        </w:rPr>
        <w:t xml:space="preserve">généraux </w:t>
      </w:r>
      <w:r w:rsidRPr="009F43DE">
        <w:rPr>
          <w:lang w:val="fr-CH"/>
        </w:rPr>
        <w:t>et d</w:t>
      </w:r>
      <w:r w:rsidR="00754327" w:rsidRPr="009F43DE">
        <w:rPr>
          <w:lang w:val="fr-CH"/>
        </w:rPr>
        <w:t>es unités de soins psychiatriques existent dans tous les hôpitaux de district</w:t>
      </w:r>
      <w:r w:rsidRPr="009F43DE">
        <w:rPr>
          <w:lang w:val="fr-CH"/>
        </w:rPr>
        <w:t xml:space="preserve">. </w:t>
      </w:r>
      <w:r w:rsidR="00754327" w:rsidRPr="009F43DE">
        <w:rPr>
          <w:lang w:val="fr-CH"/>
        </w:rPr>
        <w:t>Les mesures voulues ont aussi été prises pour</w:t>
      </w:r>
      <w:r w:rsidRPr="009F43DE">
        <w:rPr>
          <w:lang w:val="fr-CH"/>
        </w:rPr>
        <w:t xml:space="preserve"> </w:t>
      </w:r>
      <w:r w:rsidR="00896AE3" w:rsidRPr="009F43DE">
        <w:rPr>
          <w:lang w:val="fr-CH"/>
        </w:rPr>
        <w:t xml:space="preserve">assurer dans tous les districts des services de </w:t>
      </w:r>
      <w:r w:rsidRPr="009F43DE">
        <w:rPr>
          <w:lang w:val="fr-CH"/>
        </w:rPr>
        <w:t xml:space="preserve">psychiatrie </w:t>
      </w:r>
      <w:r w:rsidR="00896AE3" w:rsidRPr="009F43DE">
        <w:rPr>
          <w:lang w:val="fr-CH"/>
        </w:rPr>
        <w:t xml:space="preserve">au niveau communautaire </w:t>
      </w:r>
      <w:r w:rsidRPr="009F43DE">
        <w:rPr>
          <w:lang w:val="fr-CH"/>
        </w:rPr>
        <w:t xml:space="preserve">afin de </w:t>
      </w:r>
      <w:r w:rsidR="00896AE3" w:rsidRPr="009F43DE">
        <w:rPr>
          <w:lang w:val="fr-CH"/>
        </w:rPr>
        <w:t xml:space="preserve">prendre en charge </w:t>
      </w:r>
      <w:r w:rsidRPr="009F43DE">
        <w:rPr>
          <w:lang w:val="fr-CH"/>
        </w:rPr>
        <w:t>les patients qui ne viennent pas pour des traitements réguliers. L</w:t>
      </w:r>
      <w:r w:rsidR="00F8384A" w:rsidRPr="009F43DE">
        <w:rPr>
          <w:lang w:val="fr-CH"/>
        </w:rPr>
        <w:t>’</w:t>
      </w:r>
      <w:r w:rsidRPr="009F43DE">
        <w:rPr>
          <w:lang w:val="fr-CH"/>
        </w:rPr>
        <w:t xml:space="preserve">Institut national de la santé mentale procède à </w:t>
      </w:r>
      <w:r w:rsidR="00896AE3" w:rsidRPr="009F43DE">
        <w:rPr>
          <w:lang w:val="fr-CH"/>
        </w:rPr>
        <w:t>un examen</w:t>
      </w:r>
      <w:r w:rsidRPr="009F43DE">
        <w:rPr>
          <w:lang w:val="fr-CH"/>
        </w:rPr>
        <w:t xml:space="preserve"> périodique </w:t>
      </w:r>
      <w:r w:rsidR="00896AE3" w:rsidRPr="009F43DE">
        <w:rPr>
          <w:lang w:val="fr-CH"/>
        </w:rPr>
        <w:t>de ces services et en</w:t>
      </w:r>
      <w:r w:rsidRPr="009F43DE">
        <w:rPr>
          <w:lang w:val="fr-CH"/>
        </w:rPr>
        <w:t xml:space="preserve"> </w:t>
      </w:r>
      <w:r w:rsidR="00896AE3" w:rsidRPr="009F43DE">
        <w:rPr>
          <w:lang w:val="fr-CH"/>
        </w:rPr>
        <w:t>assure le</w:t>
      </w:r>
      <w:r w:rsidRPr="009F43DE">
        <w:rPr>
          <w:lang w:val="fr-CH"/>
        </w:rPr>
        <w:t xml:space="preserve"> contrôle effectif.</w:t>
      </w:r>
    </w:p>
    <w:p w:rsidR="00E5029E" w:rsidRPr="009F43DE" w:rsidRDefault="00E5029E" w:rsidP="00E5029E">
      <w:pPr>
        <w:pStyle w:val="H1G"/>
        <w:rPr>
          <w:lang w:val="fr-CH"/>
        </w:rPr>
      </w:pPr>
      <w:r w:rsidRPr="009F43DE">
        <w:rPr>
          <w:lang w:val="fr-CH"/>
        </w:rPr>
        <w:tab/>
      </w:r>
      <w:r w:rsidRPr="009F43DE">
        <w:rPr>
          <w:lang w:val="fr-CH"/>
        </w:rPr>
        <w:tab/>
        <w:t>Articles 13 et 14</w:t>
      </w:r>
      <w:r w:rsidR="007738FD" w:rsidRPr="009F43DE">
        <w:rPr>
          <w:lang w:val="fr-CH"/>
        </w:rPr>
        <w:br/>
      </w:r>
      <w:r w:rsidRPr="009F43DE">
        <w:rPr>
          <w:lang w:val="fr-CH"/>
        </w:rPr>
        <w:t>Droit à l</w:t>
      </w:r>
      <w:r w:rsidR="00F8384A" w:rsidRPr="009F43DE">
        <w:rPr>
          <w:lang w:val="fr-CH"/>
        </w:rPr>
        <w:t>’</w:t>
      </w:r>
      <w:r w:rsidRPr="009F43DE">
        <w:rPr>
          <w:lang w:val="fr-CH"/>
        </w:rPr>
        <w:t>éducation</w:t>
      </w:r>
    </w:p>
    <w:p w:rsidR="00E5029E" w:rsidRPr="009F43DE" w:rsidRDefault="00E5029E" w:rsidP="00E5029E">
      <w:pPr>
        <w:pStyle w:val="SingleTxtG"/>
        <w:rPr>
          <w:color w:val="000000"/>
          <w:lang w:val="fr-CH"/>
        </w:rPr>
      </w:pPr>
      <w:r w:rsidRPr="009F43DE">
        <w:rPr>
          <w:lang w:val="fr-CH"/>
        </w:rPr>
        <w:t>212.</w:t>
      </w:r>
      <w:r w:rsidRPr="009F43DE">
        <w:rPr>
          <w:lang w:val="fr-CH"/>
        </w:rPr>
        <w:tab/>
        <w:t>Sri Lanka est déterminé</w:t>
      </w:r>
      <w:r w:rsidR="00896AE3" w:rsidRPr="009F43DE">
        <w:rPr>
          <w:lang w:val="fr-CH"/>
        </w:rPr>
        <w:t>e</w:t>
      </w:r>
      <w:r w:rsidRPr="009F43DE">
        <w:rPr>
          <w:lang w:val="fr-CH"/>
        </w:rPr>
        <w:t xml:space="preserve"> à promouvoir et protéger le droit à l</w:t>
      </w:r>
      <w:r w:rsidR="00F8384A" w:rsidRPr="009F43DE">
        <w:rPr>
          <w:lang w:val="fr-CH"/>
        </w:rPr>
        <w:t>’</w:t>
      </w:r>
      <w:r w:rsidRPr="009F43DE">
        <w:rPr>
          <w:lang w:val="fr-CH"/>
        </w:rPr>
        <w:t>éducation pour tous</w:t>
      </w:r>
      <w:r w:rsidR="00896AE3" w:rsidRPr="009F43DE">
        <w:rPr>
          <w:lang w:val="fr-CH"/>
        </w:rPr>
        <w:t>. Elle</w:t>
      </w:r>
      <w:r w:rsidRPr="009F43DE">
        <w:rPr>
          <w:lang w:val="fr-CH"/>
        </w:rPr>
        <w:t xml:space="preserve"> est également signataire de conventions internationales telles que la Convention relative aux droits de l</w:t>
      </w:r>
      <w:r w:rsidR="00F8384A" w:rsidRPr="009F43DE">
        <w:rPr>
          <w:lang w:val="fr-CH"/>
        </w:rPr>
        <w:t>’</w:t>
      </w:r>
      <w:r w:rsidRPr="009F43DE">
        <w:rPr>
          <w:lang w:val="fr-CH"/>
        </w:rPr>
        <w:t>enfant, la Déclaration mondiale sur l</w:t>
      </w:r>
      <w:r w:rsidR="00F8384A" w:rsidRPr="009F43DE">
        <w:rPr>
          <w:lang w:val="fr-CH"/>
        </w:rPr>
        <w:t>’</w:t>
      </w:r>
      <w:r w:rsidRPr="009F43DE">
        <w:rPr>
          <w:lang w:val="fr-CH"/>
        </w:rPr>
        <w:t>éducation (1990), le Mouvement de l</w:t>
      </w:r>
      <w:r w:rsidR="00F8384A" w:rsidRPr="009F43DE">
        <w:rPr>
          <w:lang w:val="fr-CH"/>
        </w:rPr>
        <w:t>’</w:t>
      </w:r>
      <w:r w:rsidRPr="009F43DE">
        <w:rPr>
          <w:lang w:val="fr-CH"/>
        </w:rPr>
        <w:t xml:space="preserve">éducation pour tous (2000) et les </w:t>
      </w:r>
      <w:r w:rsidR="00896AE3" w:rsidRPr="009F43DE">
        <w:rPr>
          <w:lang w:val="fr-CH"/>
        </w:rPr>
        <w:t>o</w:t>
      </w:r>
      <w:r w:rsidRPr="009F43DE">
        <w:rPr>
          <w:lang w:val="fr-CH"/>
        </w:rPr>
        <w:t xml:space="preserve">bjectifs du Millénaire pour le développement (2000). </w:t>
      </w:r>
      <w:r w:rsidRPr="009F43DE">
        <w:rPr>
          <w:color w:val="000000"/>
          <w:lang w:val="fr-CH"/>
        </w:rPr>
        <w:t>Aux termes d</w:t>
      </w:r>
      <w:r w:rsidR="00896AE3" w:rsidRPr="009F43DE">
        <w:rPr>
          <w:color w:val="000000"/>
          <w:lang w:val="fr-CH"/>
        </w:rPr>
        <w:t>u paragraphe 2 d</w:t>
      </w:r>
      <w:r w:rsidRPr="009F43DE">
        <w:rPr>
          <w:color w:val="000000"/>
          <w:lang w:val="fr-CH"/>
        </w:rPr>
        <w:t>e l</w:t>
      </w:r>
      <w:r w:rsidR="00F8384A" w:rsidRPr="009F43DE">
        <w:rPr>
          <w:color w:val="000000"/>
          <w:lang w:val="fr-CH"/>
        </w:rPr>
        <w:t>’</w:t>
      </w:r>
      <w:r w:rsidRPr="009F43DE">
        <w:rPr>
          <w:color w:val="000000"/>
          <w:lang w:val="fr-CH"/>
        </w:rPr>
        <w:t xml:space="preserve">article 27 de </w:t>
      </w:r>
      <w:r w:rsidR="00896AE3" w:rsidRPr="009F43DE">
        <w:rPr>
          <w:color w:val="000000"/>
          <w:lang w:val="fr-CH"/>
        </w:rPr>
        <w:t>s</w:t>
      </w:r>
      <w:r w:rsidRPr="009F43DE">
        <w:rPr>
          <w:color w:val="000000"/>
          <w:lang w:val="fr-CH"/>
        </w:rPr>
        <w:t xml:space="preserve">a Constitution, </w:t>
      </w:r>
      <w:r w:rsidR="00896AE3" w:rsidRPr="009F43DE">
        <w:rPr>
          <w:color w:val="000000"/>
          <w:lang w:val="fr-CH"/>
        </w:rPr>
        <w:t>elle</w:t>
      </w:r>
      <w:r w:rsidRPr="009F43DE">
        <w:rPr>
          <w:color w:val="000000"/>
          <w:lang w:val="fr-CH"/>
        </w:rPr>
        <w:t xml:space="preserve"> </w:t>
      </w:r>
      <w:r w:rsidR="00896AE3" w:rsidRPr="009F43DE">
        <w:rPr>
          <w:color w:val="000000"/>
          <w:lang w:val="fr-CH"/>
        </w:rPr>
        <w:t>s</w:t>
      </w:r>
      <w:r w:rsidR="00F8384A" w:rsidRPr="009F43DE">
        <w:rPr>
          <w:color w:val="000000"/>
          <w:lang w:val="fr-CH"/>
        </w:rPr>
        <w:t>’</w:t>
      </w:r>
      <w:r w:rsidRPr="009F43DE">
        <w:rPr>
          <w:color w:val="000000"/>
          <w:lang w:val="fr-CH"/>
        </w:rPr>
        <w:t>est engagé</w:t>
      </w:r>
      <w:r w:rsidR="00896AE3" w:rsidRPr="009F43DE">
        <w:rPr>
          <w:color w:val="000000"/>
          <w:lang w:val="fr-CH"/>
        </w:rPr>
        <w:t>e</w:t>
      </w:r>
      <w:r w:rsidRPr="009F43DE">
        <w:rPr>
          <w:color w:val="000000"/>
          <w:lang w:val="fr-CH"/>
        </w:rPr>
        <w:t xml:space="preserve"> à mettre en place une société socialiste démocratique, ayant notamment pour objectifs (…)</w:t>
      </w:r>
      <w:r w:rsidR="00C91A83">
        <w:rPr>
          <w:color w:val="000000"/>
          <w:lang w:val="fr-CH"/>
        </w:rPr>
        <w:t xml:space="preserve"> </w:t>
      </w:r>
      <w:r w:rsidR="00F8384A" w:rsidRPr="009F43DE">
        <w:rPr>
          <w:color w:val="000000"/>
          <w:lang w:val="fr-CH"/>
        </w:rPr>
        <w:t>«</w:t>
      </w:r>
      <w:r w:rsidRPr="009F43DE">
        <w:rPr>
          <w:color w:val="000000"/>
          <w:lang w:val="fr-CH"/>
        </w:rPr>
        <w:t>d</w:t>
      </w:r>
      <w:r w:rsidR="00F8384A" w:rsidRPr="009F43DE">
        <w:rPr>
          <w:color w:val="000000"/>
          <w:lang w:val="fr-CH"/>
        </w:rPr>
        <w:t>’</w:t>
      </w:r>
      <w:r w:rsidRPr="009F43DE">
        <w:rPr>
          <w:color w:val="000000"/>
          <w:lang w:val="fr-CH"/>
        </w:rPr>
        <w:t>éliminer complètement l</w:t>
      </w:r>
      <w:r w:rsidR="00F8384A" w:rsidRPr="009F43DE">
        <w:rPr>
          <w:color w:val="000000"/>
          <w:lang w:val="fr-CH"/>
        </w:rPr>
        <w:t>’</w:t>
      </w:r>
      <w:r w:rsidRPr="009F43DE">
        <w:rPr>
          <w:color w:val="000000"/>
          <w:lang w:val="fr-CH"/>
        </w:rPr>
        <w:t>analphabétisme et de garantir à chaque individu le droit d</w:t>
      </w:r>
      <w:r w:rsidR="00F8384A" w:rsidRPr="009F43DE">
        <w:rPr>
          <w:color w:val="000000"/>
          <w:lang w:val="fr-CH"/>
        </w:rPr>
        <w:t>’</w:t>
      </w:r>
      <w:r w:rsidRPr="009F43DE">
        <w:rPr>
          <w:color w:val="000000"/>
          <w:lang w:val="fr-CH"/>
        </w:rPr>
        <w:t>accès universel et égal à l</w:t>
      </w:r>
      <w:r w:rsidR="00F8384A" w:rsidRPr="009F43DE">
        <w:rPr>
          <w:color w:val="000000"/>
          <w:lang w:val="fr-CH"/>
        </w:rPr>
        <w:t>’</w:t>
      </w:r>
      <w:r w:rsidRPr="009F43DE">
        <w:rPr>
          <w:color w:val="000000"/>
          <w:lang w:val="fr-CH"/>
        </w:rPr>
        <w:t>éducation à tous les niveaux</w:t>
      </w:r>
      <w:r w:rsidR="00F8384A" w:rsidRPr="009F43DE">
        <w:rPr>
          <w:color w:val="000000"/>
          <w:lang w:val="fr-CH"/>
        </w:rPr>
        <w:t>»</w:t>
      </w:r>
      <w:r w:rsidR="00342F0F">
        <w:rPr>
          <w:color w:val="000000"/>
          <w:lang w:val="fr-CH"/>
        </w:rPr>
        <w:t>.</w:t>
      </w:r>
      <w:r w:rsidRPr="009F43DE">
        <w:rPr>
          <w:color w:val="000000"/>
          <w:lang w:val="fr-CH"/>
        </w:rPr>
        <w:t xml:space="preserve"> L</w:t>
      </w:r>
      <w:r w:rsidR="00F8384A" w:rsidRPr="009F43DE">
        <w:rPr>
          <w:color w:val="000000"/>
          <w:lang w:val="fr-CH"/>
        </w:rPr>
        <w:t>’</w:t>
      </w:r>
      <w:r w:rsidR="00896AE3" w:rsidRPr="009F43DE">
        <w:rPr>
          <w:color w:val="000000"/>
          <w:lang w:val="fr-CH"/>
        </w:rPr>
        <w:t>o</w:t>
      </w:r>
      <w:r w:rsidRPr="009F43DE">
        <w:rPr>
          <w:color w:val="000000"/>
          <w:lang w:val="fr-CH"/>
        </w:rPr>
        <w:t xml:space="preserve">rdonnance </w:t>
      </w:r>
      <w:r w:rsidR="00342F0F">
        <w:rPr>
          <w:color w:val="000000"/>
          <w:lang w:val="fr-CH"/>
        </w:rPr>
        <w:t>n</w:t>
      </w:r>
      <w:r w:rsidR="00342F0F" w:rsidRPr="00342F0F">
        <w:rPr>
          <w:color w:val="000000"/>
          <w:vertAlign w:val="superscript"/>
          <w:lang w:val="fr-CH"/>
        </w:rPr>
        <w:t>o</w:t>
      </w:r>
      <w:r w:rsidR="00896AE3" w:rsidRPr="009F43DE">
        <w:rPr>
          <w:color w:val="000000"/>
          <w:lang w:val="fr-CH"/>
        </w:rPr>
        <w:t xml:space="preserve"> 31 de 1939 </w:t>
      </w:r>
      <w:r w:rsidRPr="009F43DE">
        <w:rPr>
          <w:color w:val="000000"/>
          <w:lang w:val="fr-CH"/>
        </w:rPr>
        <w:t>sur l</w:t>
      </w:r>
      <w:r w:rsidR="00F8384A" w:rsidRPr="009F43DE">
        <w:rPr>
          <w:color w:val="000000"/>
          <w:lang w:val="fr-CH"/>
        </w:rPr>
        <w:t>’</w:t>
      </w:r>
      <w:r w:rsidRPr="009F43DE">
        <w:rPr>
          <w:color w:val="000000"/>
          <w:lang w:val="fr-CH"/>
        </w:rPr>
        <w:t>éducation</w:t>
      </w:r>
      <w:r w:rsidR="00896AE3" w:rsidRPr="009F43DE">
        <w:rPr>
          <w:color w:val="000000"/>
          <w:lang w:val="fr-CH"/>
        </w:rPr>
        <w:t xml:space="preserve"> constitue</w:t>
      </w:r>
      <w:r w:rsidRPr="009F43DE">
        <w:rPr>
          <w:color w:val="000000"/>
          <w:lang w:val="fr-CH"/>
        </w:rPr>
        <w:t xml:space="preserve"> la base juridique du système d</w:t>
      </w:r>
      <w:r w:rsidR="00F8384A" w:rsidRPr="009F43DE">
        <w:rPr>
          <w:color w:val="000000"/>
          <w:lang w:val="fr-CH"/>
        </w:rPr>
        <w:t>’</w:t>
      </w:r>
      <w:r w:rsidRPr="009F43DE">
        <w:rPr>
          <w:color w:val="000000"/>
          <w:lang w:val="fr-CH"/>
        </w:rPr>
        <w:t xml:space="preserve">éducation et </w:t>
      </w:r>
      <w:r w:rsidR="00896AE3" w:rsidRPr="009F43DE">
        <w:rPr>
          <w:color w:val="000000"/>
          <w:lang w:val="fr-CH"/>
        </w:rPr>
        <w:t>de la</w:t>
      </w:r>
      <w:r w:rsidRPr="009F43DE">
        <w:rPr>
          <w:color w:val="000000"/>
          <w:lang w:val="fr-CH"/>
        </w:rPr>
        <w:t xml:space="preserve"> scolarité obligatoire, </w:t>
      </w:r>
      <w:r w:rsidR="00896AE3" w:rsidRPr="009F43DE">
        <w:rPr>
          <w:color w:val="000000"/>
          <w:lang w:val="fr-CH"/>
        </w:rPr>
        <w:t>qui a fait l</w:t>
      </w:r>
      <w:r w:rsidR="00F8384A" w:rsidRPr="009F43DE">
        <w:rPr>
          <w:color w:val="000000"/>
          <w:lang w:val="fr-CH"/>
        </w:rPr>
        <w:t>’</w:t>
      </w:r>
      <w:r w:rsidR="00896AE3" w:rsidRPr="009F43DE">
        <w:rPr>
          <w:color w:val="000000"/>
          <w:lang w:val="fr-CH"/>
        </w:rPr>
        <w:t>objet du rè</w:t>
      </w:r>
      <w:r w:rsidRPr="009F43DE">
        <w:rPr>
          <w:color w:val="000000"/>
          <w:lang w:val="fr-CH"/>
        </w:rPr>
        <w:t xml:space="preserve">glement </w:t>
      </w:r>
      <w:r w:rsidR="00342F0F">
        <w:rPr>
          <w:color w:val="000000"/>
          <w:lang w:val="fr-CH"/>
        </w:rPr>
        <w:t>n</w:t>
      </w:r>
      <w:r w:rsidR="00342F0F" w:rsidRPr="00342F0F">
        <w:rPr>
          <w:color w:val="000000"/>
          <w:vertAlign w:val="superscript"/>
          <w:lang w:val="fr-CH"/>
        </w:rPr>
        <w:t>o</w:t>
      </w:r>
      <w:r w:rsidR="00896AE3" w:rsidRPr="009F43DE">
        <w:rPr>
          <w:color w:val="000000"/>
          <w:lang w:val="fr-CH"/>
        </w:rPr>
        <w:t> 1</w:t>
      </w:r>
      <w:r w:rsidRPr="009F43DE">
        <w:rPr>
          <w:color w:val="000000"/>
          <w:lang w:val="fr-CH"/>
        </w:rPr>
        <w:t xml:space="preserve"> de 1997 exige</w:t>
      </w:r>
      <w:r w:rsidR="00896AE3" w:rsidRPr="009F43DE">
        <w:rPr>
          <w:color w:val="000000"/>
          <w:lang w:val="fr-CH"/>
        </w:rPr>
        <w:t>ant</w:t>
      </w:r>
      <w:r w:rsidRPr="009F43DE">
        <w:rPr>
          <w:color w:val="000000"/>
          <w:lang w:val="fr-CH"/>
        </w:rPr>
        <w:t xml:space="preserve"> que soient scolarisés tous les enfants </w:t>
      </w:r>
      <w:r w:rsidR="00896AE3" w:rsidRPr="009F43DE">
        <w:rPr>
          <w:color w:val="000000"/>
          <w:lang w:val="fr-CH"/>
        </w:rPr>
        <w:t xml:space="preserve">de </w:t>
      </w:r>
      <w:r w:rsidR="00342F0F">
        <w:rPr>
          <w:color w:val="000000"/>
          <w:lang w:val="fr-CH"/>
        </w:rPr>
        <w:t>5</w:t>
      </w:r>
      <w:r w:rsidR="00342F0F" w:rsidRPr="009F43DE">
        <w:rPr>
          <w:color w:val="000000"/>
          <w:lang w:val="fr-CH"/>
        </w:rPr>
        <w:t xml:space="preserve"> </w:t>
      </w:r>
      <w:r w:rsidR="00896AE3" w:rsidRPr="009F43DE">
        <w:rPr>
          <w:color w:val="000000"/>
          <w:lang w:val="fr-CH"/>
        </w:rPr>
        <w:t>à</w:t>
      </w:r>
      <w:r w:rsidRPr="009F43DE">
        <w:rPr>
          <w:color w:val="000000"/>
          <w:lang w:val="fr-CH"/>
        </w:rPr>
        <w:t xml:space="preserve"> </w:t>
      </w:r>
      <w:r w:rsidR="00342F0F">
        <w:rPr>
          <w:color w:val="000000"/>
          <w:lang w:val="fr-CH"/>
        </w:rPr>
        <w:t>14</w:t>
      </w:r>
      <w:r w:rsidR="00342F0F" w:rsidRPr="009F43DE">
        <w:rPr>
          <w:color w:val="000000"/>
          <w:lang w:val="fr-CH"/>
        </w:rPr>
        <w:t xml:space="preserve"> </w:t>
      </w:r>
      <w:r w:rsidRPr="009F43DE">
        <w:rPr>
          <w:color w:val="000000"/>
          <w:lang w:val="fr-CH"/>
        </w:rPr>
        <w:t>ans.</w:t>
      </w:r>
    </w:p>
    <w:p w:rsidR="00E5029E" w:rsidRPr="009F43DE" w:rsidRDefault="00E5029E" w:rsidP="00E5029E">
      <w:pPr>
        <w:pStyle w:val="H23G"/>
        <w:rPr>
          <w:color w:val="000000"/>
          <w:lang w:val="fr-CH"/>
        </w:rPr>
      </w:pPr>
      <w:r w:rsidRPr="009F43DE">
        <w:rPr>
          <w:color w:val="000000"/>
          <w:lang w:val="fr-CH"/>
        </w:rPr>
        <w:tab/>
      </w:r>
      <w:r w:rsidRPr="009F43DE">
        <w:rPr>
          <w:color w:val="000000"/>
          <w:lang w:val="fr-CH"/>
        </w:rPr>
        <w:tab/>
        <w:t>Système d</w:t>
      </w:r>
      <w:r w:rsidR="00F8384A" w:rsidRPr="009F43DE">
        <w:rPr>
          <w:color w:val="000000"/>
          <w:lang w:val="fr-CH"/>
        </w:rPr>
        <w:t>’</w:t>
      </w:r>
      <w:r w:rsidRPr="009F43DE">
        <w:rPr>
          <w:color w:val="000000"/>
          <w:lang w:val="fr-CH"/>
        </w:rPr>
        <w:t>éducation gratuit</w:t>
      </w:r>
    </w:p>
    <w:p w:rsidR="00E5029E" w:rsidRPr="009F43DE" w:rsidRDefault="00E5029E" w:rsidP="00E5029E">
      <w:pPr>
        <w:pStyle w:val="SingleTxtG"/>
        <w:rPr>
          <w:lang w:val="fr-CH"/>
        </w:rPr>
      </w:pPr>
      <w:r w:rsidRPr="009F43DE">
        <w:rPr>
          <w:lang w:val="fr-CH"/>
        </w:rPr>
        <w:t>213.</w:t>
      </w:r>
      <w:r w:rsidRPr="009F43DE">
        <w:rPr>
          <w:lang w:val="fr-CH"/>
        </w:rPr>
        <w:tab/>
      </w:r>
      <w:r w:rsidR="00C666A7" w:rsidRPr="009F43DE">
        <w:rPr>
          <w:lang w:val="fr-CH"/>
        </w:rPr>
        <w:t>La gratuité de l</w:t>
      </w:r>
      <w:r w:rsidR="00F8384A" w:rsidRPr="009F43DE">
        <w:rPr>
          <w:lang w:val="fr-CH"/>
        </w:rPr>
        <w:t>’</w:t>
      </w:r>
      <w:r w:rsidR="00C666A7" w:rsidRPr="009F43DE">
        <w:rPr>
          <w:lang w:val="fr-CH"/>
        </w:rPr>
        <w:t>éducation de la maternelle à l</w:t>
      </w:r>
      <w:r w:rsidR="00F8384A" w:rsidRPr="009F43DE">
        <w:rPr>
          <w:lang w:val="fr-CH"/>
        </w:rPr>
        <w:t>’</w:t>
      </w:r>
      <w:r w:rsidR="00C666A7" w:rsidRPr="009F43DE">
        <w:rPr>
          <w:lang w:val="fr-CH"/>
        </w:rPr>
        <w:t>université et les possibilités d</w:t>
      </w:r>
      <w:r w:rsidR="00F8384A" w:rsidRPr="009F43DE">
        <w:rPr>
          <w:lang w:val="fr-CH"/>
        </w:rPr>
        <w:t>’</w:t>
      </w:r>
      <w:r w:rsidR="00C666A7" w:rsidRPr="009F43DE">
        <w:rPr>
          <w:lang w:val="fr-CH"/>
        </w:rPr>
        <w:t>éducation égales pour tous, instituées dès 1945, constituent les</w:t>
      </w:r>
      <w:r w:rsidRPr="009F43DE">
        <w:rPr>
          <w:lang w:val="fr-CH"/>
        </w:rPr>
        <w:t xml:space="preserve"> initiatives importantes prises par l</w:t>
      </w:r>
      <w:r w:rsidR="00F8384A" w:rsidRPr="009F43DE">
        <w:rPr>
          <w:lang w:val="fr-CH"/>
        </w:rPr>
        <w:t>’</w:t>
      </w:r>
      <w:r w:rsidR="007574C7" w:rsidRPr="009F43DE">
        <w:rPr>
          <w:lang w:val="fr-CH"/>
        </w:rPr>
        <w:t>État</w:t>
      </w:r>
      <w:r w:rsidRPr="009F43DE">
        <w:rPr>
          <w:lang w:val="fr-CH"/>
        </w:rPr>
        <w:t xml:space="preserve"> </w:t>
      </w:r>
      <w:r w:rsidR="00C666A7" w:rsidRPr="009F43DE">
        <w:rPr>
          <w:lang w:val="fr-CH"/>
        </w:rPr>
        <w:t>p</w:t>
      </w:r>
      <w:r w:rsidRPr="009F43DE">
        <w:rPr>
          <w:lang w:val="fr-CH"/>
        </w:rPr>
        <w:t xml:space="preserve">our garantir le droit </w:t>
      </w:r>
      <w:r w:rsidR="00C666A7" w:rsidRPr="009F43DE">
        <w:rPr>
          <w:lang w:val="fr-CH"/>
        </w:rPr>
        <w:t xml:space="preserve">de tous </w:t>
      </w:r>
      <w:r w:rsidRPr="009F43DE">
        <w:rPr>
          <w:lang w:val="fr-CH"/>
        </w:rPr>
        <w:t>à l</w:t>
      </w:r>
      <w:r w:rsidR="00F8384A" w:rsidRPr="009F43DE">
        <w:rPr>
          <w:lang w:val="fr-CH"/>
        </w:rPr>
        <w:t>’</w:t>
      </w:r>
      <w:r w:rsidRPr="009F43DE">
        <w:rPr>
          <w:lang w:val="fr-CH"/>
        </w:rPr>
        <w:t>éducation. L</w:t>
      </w:r>
      <w:r w:rsidR="00C666A7" w:rsidRPr="009F43DE">
        <w:rPr>
          <w:lang w:val="fr-CH"/>
        </w:rPr>
        <w:t xml:space="preserve">a gratuité du </w:t>
      </w:r>
      <w:r w:rsidRPr="009F43DE">
        <w:rPr>
          <w:lang w:val="fr-CH"/>
        </w:rPr>
        <w:t>système d</w:t>
      </w:r>
      <w:r w:rsidR="00F8384A" w:rsidRPr="009F43DE">
        <w:rPr>
          <w:lang w:val="fr-CH"/>
        </w:rPr>
        <w:t>’</w:t>
      </w:r>
      <w:r w:rsidRPr="009F43DE">
        <w:rPr>
          <w:lang w:val="fr-CH"/>
        </w:rPr>
        <w:t xml:space="preserve">éducation a encore </w:t>
      </w:r>
      <w:r w:rsidR="00C666A7" w:rsidRPr="009F43DE">
        <w:rPr>
          <w:lang w:val="fr-CH"/>
        </w:rPr>
        <w:t xml:space="preserve">été </w:t>
      </w:r>
      <w:r w:rsidRPr="009F43DE">
        <w:rPr>
          <w:lang w:val="fr-CH"/>
        </w:rPr>
        <w:t>renforcé</w:t>
      </w:r>
      <w:r w:rsidR="00C666A7" w:rsidRPr="009F43DE">
        <w:rPr>
          <w:lang w:val="fr-CH"/>
        </w:rPr>
        <w:t>e</w:t>
      </w:r>
      <w:r w:rsidRPr="009F43DE">
        <w:rPr>
          <w:lang w:val="fr-CH"/>
        </w:rPr>
        <w:t xml:space="preserve"> par plusieurs autres politiques</w:t>
      </w:r>
      <w:r w:rsidR="00C666A7" w:rsidRPr="009F43DE">
        <w:rPr>
          <w:lang w:val="fr-CH"/>
        </w:rPr>
        <w:t>,</w:t>
      </w:r>
      <w:r w:rsidRPr="009F43DE">
        <w:rPr>
          <w:lang w:val="fr-CH"/>
        </w:rPr>
        <w:t xml:space="preserve"> telles que la fourniture gratuite des manuels scolaires </w:t>
      </w:r>
      <w:r w:rsidR="00C666A7" w:rsidRPr="009F43DE">
        <w:rPr>
          <w:lang w:val="fr-CH"/>
        </w:rPr>
        <w:t>mi</w:t>
      </w:r>
      <w:r w:rsidRPr="009F43DE">
        <w:rPr>
          <w:lang w:val="fr-CH"/>
        </w:rPr>
        <w:t xml:space="preserve">se en place depuis les années </w:t>
      </w:r>
      <w:r w:rsidR="000B59D5">
        <w:rPr>
          <w:lang w:val="fr-CH"/>
        </w:rPr>
        <w:t>19</w:t>
      </w:r>
      <w:r w:rsidRPr="009F43DE">
        <w:rPr>
          <w:lang w:val="fr-CH"/>
        </w:rPr>
        <w:t xml:space="preserve">50. Des </w:t>
      </w:r>
      <w:r w:rsidR="00C666A7" w:rsidRPr="009F43DE">
        <w:rPr>
          <w:lang w:val="fr-CH"/>
        </w:rPr>
        <w:t>services généralisés d</w:t>
      </w:r>
      <w:r w:rsidR="00F8384A" w:rsidRPr="009F43DE">
        <w:rPr>
          <w:lang w:val="fr-CH"/>
        </w:rPr>
        <w:t>’</w:t>
      </w:r>
      <w:r w:rsidR="00C666A7" w:rsidRPr="009F43DE">
        <w:rPr>
          <w:lang w:val="fr-CH"/>
        </w:rPr>
        <w:t xml:space="preserve">aide aux </w:t>
      </w:r>
      <w:r w:rsidRPr="009F43DE">
        <w:rPr>
          <w:lang w:val="fr-CH"/>
        </w:rPr>
        <w:t>étudiants</w:t>
      </w:r>
      <w:r w:rsidR="00C666A7" w:rsidRPr="009F43DE">
        <w:rPr>
          <w:lang w:val="fr-CH"/>
        </w:rPr>
        <w:t>,</w:t>
      </w:r>
      <w:r w:rsidRPr="009F43DE">
        <w:rPr>
          <w:lang w:val="fr-CH"/>
        </w:rPr>
        <w:t xml:space="preserve"> tels que des services de santé</w:t>
      </w:r>
      <w:r w:rsidR="00C666A7" w:rsidRPr="009F43DE">
        <w:rPr>
          <w:lang w:val="fr-CH"/>
        </w:rPr>
        <w:t xml:space="preserve"> gratuits,</w:t>
      </w:r>
      <w:r w:rsidRPr="009F43DE">
        <w:rPr>
          <w:lang w:val="fr-CH"/>
        </w:rPr>
        <w:t xml:space="preserve"> </w:t>
      </w:r>
      <w:r w:rsidR="00C666A7" w:rsidRPr="009F43DE">
        <w:rPr>
          <w:lang w:val="fr-CH"/>
        </w:rPr>
        <w:t xml:space="preserve">la distribution gratuite de repas en milieu de journée </w:t>
      </w:r>
      <w:r w:rsidRPr="009F43DE">
        <w:rPr>
          <w:lang w:val="fr-CH"/>
        </w:rPr>
        <w:t>et une aide financière (sous forme de bourses) dans l</w:t>
      </w:r>
      <w:r w:rsidR="00F8384A" w:rsidRPr="009F43DE">
        <w:rPr>
          <w:lang w:val="fr-CH"/>
        </w:rPr>
        <w:t>’</w:t>
      </w:r>
      <w:r w:rsidRPr="009F43DE">
        <w:rPr>
          <w:lang w:val="fr-CH"/>
        </w:rPr>
        <w:t>enseignement secondaire et supérieur pour tous les étudiants talentueux et prometteurs</w:t>
      </w:r>
      <w:r w:rsidR="00C666A7" w:rsidRPr="009F43DE">
        <w:rPr>
          <w:lang w:val="fr-CH"/>
        </w:rPr>
        <w:t>,</w:t>
      </w:r>
      <w:r w:rsidRPr="009F43DE">
        <w:rPr>
          <w:lang w:val="fr-CH"/>
        </w:rPr>
        <w:t xml:space="preserve"> réduisent également le coût de l</w:t>
      </w:r>
      <w:r w:rsidR="00F8384A" w:rsidRPr="009F43DE">
        <w:rPr>
          <w:lang w:val="fr-CH"/>
        </w:rPr>
        <w:t>’</w:t>
      </w:r>
      <w:r w:rsidRPr="009F43DE">
        <w:rPr>
          <w:lang w:val="fr-CH"/>
        </w:rPr>
        <w:t>éducation pour les parents. Veuillez vous reporter au tableau 4 de l</w:t>
      </w:r>
      <w:r w:rsidR="00F8384A" w:rsidRPr="009F43DE">
        <w:rPr>
          <w:lang w:val="fr-CH"/>
        </w:rPr>
        <w:t>’</w:t>
      </w:r>
      <w:r w:rsidR="00C666A7" w:rsidRPr="009F43DE">
        <w:rPr>
          <w:lang w:val="fr-CH"/>
        </w:rPr>
        <w:t>a</w:t>
      </w:r>
      <w:r w:rsidRPr="009F43DE">
        <w:rPr>
          <w:lang w:val="fr-CH"/>
        </w:rPr>
        <w:t>nnexe pour les statistiques sur le taux net de scolarisation dans l</w:t>
      </w:r>
      <w:r w:rsidR="00F8384A" w:rsidRPr="009F43DE">
        <w:rPr>
          <w:lang w:val="fr-CH"/>
        </w:rPr>
        <w:t>’</w:t>
      </w:r>
      <w:r w:rsidRPr="009F43DE">
        <w:rPr>
          <w:lang w:val="fr-CH"/>
        </w:rPr>
        <w:t>enseignement primaire par sexe, au tableau</w:t>
      </w:r>
      <w:r w:rsidR="00C666A7" w:rsidRPr="009F43DE">
        <w:rPr>
          <w:lang w:val="fr-CH"/>
        </w:rPr>
        <w:t xml:space="preserve"> </w:t>
      </w:r>
      <w:r w:rsidRPr="009F43DE">
        <w:rPr>
          <w:lang w:val="fr-CH"/>
        </w:rPr>
        <w:t>5 pour l</w:t>
      </w:r>
      <w:r w:rsidR="00C666A7" w:rsidRPr="009F43DE">
        <w:rPr>
          <w:lang w:val="fr-CH"/>
        </w:rPr>
        <w:t>e taux de scolarisation par province</w:t>
      </w:r>
      <w:r w:rsidRPr="009F43DE">
        <w:rPr>
          <w:lang w:val="fr-CH"/>
        </w:rPr>
        <w:t xml:space="preserve"> et au tableau 6 pour le taux de scolarisation par année d</w:t>
      </w:r>
      <w:r w:rsidR="00F8384A" w:rsidRPr="009F43DE">
        <w:rPr>
          <w:lang w:val="fr-CH"/>
        </w:rPr>
        <w:t>’</w:t>
      </w:r>
      <w:r w:rsidRPr="009F43DE">
        <w:rPr>
          <w:lang w:val="fr-CH"/>
        </w:rPr>
        <w:t>études.</w:t>
      </w:r>
    </w:p>
    <w:p w:rsidR="00E5029E" w:rsidRPr="009F43DE" w:rsidRDefault="00E5029E" w:rsidP="00E5029E">
      <w:pPr>
        <w:pStyle w:val="H23G"/>
        <w:rPr>
          <w:lang w:val="fr-CH"/>
        </w:rPr>
      </w:pPr>
      <w:r w:rsidRPr="009F43DE">
        <w:rPr>
          <w:lang w:val="fr-CH"/>
        </w:rPr>
        <w:tab/>
      </w:r>
      <w:r w:rsidRPr="009F43DE">
        <w:rPr>
          <w:lang w:val="fr-CH"/>
        </w:rPr>
        <w:tab/>
      </w:r>
      <w:r w:rsidR="00C666A7" w:rsidRPr="009F43DE">
        <w:rPr>
          <w:lang w:val="fr-CH"/>
        </w:rPr>
        <w:t>P</w:t>
      </w:r>
      <w:r w:rsidRPr="009F43DE">
        <w:rPr>
          <w:lang w:val="fr-CH"/>
        </w:rPr>
        <w:t>rogramme-cadre pour le développement du secteur de l</w:t>
      </w:r>
      <w:r w:rsidR="00F8384A" w:rsidRPr="009F43DE">
        <w:rPr>
          <w:lang w:val="fr-CH"/>
        </w:rPr>
        <w:t>’</w:t>
      </w:r>
      <w:r w:rsidRPr="009F43DE">
        <w:rPr>
          <w:lang w:val="fr-CH"/>
        </w:rPr>
        <w:t>éducation</w:t>
      </w:r>
    </w:p>
    <w:p w:rsidR="00E5029E" w:rsidRPr="009F43DE" w:rsidRDefault="00E5029E" w:rsidP="00E5029E">
      <w:pPr>
        <w:pStyle w:val="SingleTxtG"/>
        <w:rPr>
          <w:lang w:val="fr-CH"/>
        </w:rPr>
      </w:pPr>
      <w:r w:rsidRPr="009F43DE">
        <w:rPr>
          <w:lang w:val="fr-CH"/>
        </w:rPr>
        <w:t>214.</w:t>
      </w:r>
      <w:r w:rsidRPr="009F43DE">
        <w:rPr>
          <w:lang w:val="fr-CH"/>
        </w:rPr>
        <w:tab/>
        <w:t>Conformément au programme-cadre ci-dessus, le Ministère de l</w:t>
      </w:r>
      <w:r w:rsidR="00F8384A" w:rsidRPr="009F43DE">
        <w:rPr>
          <w:lang w:val="fr-CH"/>
        </w:rPr>
        <w:t>’</w:t>
      </w:r>
      <w:r w:rsidRPr="009F43DE">
        <w:rPr>
          <w:lang w:val="fr-CH"/>
        </w:rPr>
        <w:t xml:space="preserve">éducation a </w:t>
      </w:r>
      <w:r w:rsidR="00C666A7" w:rsidRPr="009F43DE">
        <w:rPr>
          <w:lang w:val="fr-CH"/>
        </w:rPr>
        <w:t xml:space="preserve">repoussé de 14 à 16 ans </w:t>
      </w:r>
      <w:r w:rsidRPr="009F43DE">
        <w:rPr>
          <w:lang w:val="fr-CH"/>
        </w:rPr>
        <w:t>la limite d</w:t>
      </w:r>
      <w:r w:rsidR="00F8384A" w:rsidRPr="009F43DE">
        <w:rPr>
          <w:lang w:val="fr-CH"/>
        </w:rPr>
        <w:t>’</w:t>
      </w:r>
      <w:r w:rsidRPr="009F43DE">
        <w:rPr>
          <w:lang w:val="fr-CH"/>
        </w:rPr>
        <w:t>âge pour la scolarité obligatoire</w:t>
      </w:r>
      <w:r w:rsidR="00C666A7" w:rsidRPr="009F43DE">
        <w:rPr>
          <w:lang w:val="fr-CH"/>
        </w:rPr>
        <w:t>,</w:t>
      </w:r>
      <w:r w:rsidRPr="009F43DE">
        <w:rPr>
          <w:lang w:val="fr-CH"/>
        </w:rPr>
        <w:t xml:space="preserve"> afin d</w:t>
      </w:r>
      <w:r w:rsidR="00F8384A" w:rsidRPr="009F43DE">
        <w:rPr>
          <w:lang w:val="fr-CH"/>
        </w:rPr>
        <w:t>’</w:t>
      </w:r>
      <w:r w:rsidRPr="009F43DE">
        <w:rPr>
          <w:lang w:val="fr-CH"/>
        </w:rPr>
        <w:t xml:space="preserve">empêcher que </w:t>
      </w:r>
      <w:r w:rsidR="00C666A7" w:rsidRPr="009F43DE">
        <w:rPr>
          <w:lang w:val="fr-CH"/>
        </w:rPr>
        <w:t>d</w:t>
      </w:r>
      <w:r w:rsidRPr="009F43DE">
        <w:rPr>
          <w:lang w:val="fr-CH"/>
        </w:rPr>
        <w:t xml:space="preserve">es </w:t>
      </w:r>
      <w:r w:rsidR="00C666A7" w:rsidRPr="009F43DE">
        <w:rPr>
          <w:lang w:val="fr-CH"/>
        </w:rPr>
        <w:t>jeunes</w:t>
      </w:r>
      <w:r w:rsidRPr="009F43DE">
        <w:rPr>
          <w:lang w:val="fr-CH"/>
        </w:rPr>
        <w:t xml:space="preserve"> sortent du système éducatif pour des raisons économiques.</w:t>
      </w:r>
    </w:p>
    <w:p w:rsidR="00E5029E" w:rsidRPr="009F43DE" w:rsidRDefault="00E5029E" w:rsidP="00E5029E">
      <w:pPr>
        <w:pStyle w:val="SingleTxtG"/>
        <w:rPr>
          <w:lang w:val="fr-CH"/>
        </w:rPr>
      </w:pPr>
      <w:r w:rsidRPr="009F43DE">
        <w:rPr>
          <w:lang w:val="fr-CH"/>
        </w:rPr>
        <w:t>215.</w:t>
      </w:r>
      <w:r w:rsidRPr="009F43DE">
        <w:rPr>
          <w:lang w:val="fr-CH"/>
        </w:rPr>
        <w:tab/>
        <w:t xml:space="preserve">Le Gouvernement </w:t>
      </w:r>
      <w:r w:rsidR="00C666A7" w:rsidRPr="009F43DE">
        <w:rPr>
          <w:lang w:val="fr-CH"/>
        </w:rPr>
        <w:t xml:space="preserve">sri-lankais </w:t>
      </w:r>
      <w:r w:rsidRPr="009F43DE">
        <w:rPr>
          <w:lang w:val="fr-CH"/>
        </w:rPr>
        <w:t>fournit tout un ensemble de services d</w:t>
      </w:r>
      <w:r w:rsidR="00F8384A" w:rsidRPr="009F43DE">
        <w:rPr>
          <w:lang w:val="fr-CH"/>
        </w:rPr>
        <w:t>’</w:t>
      </w:r>
      <w:r w:rsidRPr="009F43DE">
        <w:rPr>
          <w:lang w:val="fr-CH"/>
        </w:rPr>
        <w:t xml:space="preserve">aide sociale aux élèves des écoles. Ces mesures ont contribué à </w:t>
      </w:r>
      <w:r w:rsidR="00C666A7" w:rsidRPr="009F43DE">
        <w:rPr>
          <w:lang w:val="fr-CH"/>
        </w:rPr>
        <w:t>l</w:t>
      </w:r>
      <w:r w:rsidR="00F8384A" w:rsidRPr="009F43DE">
        <w:rPr>
          <w:lang w:val="fr-CH"/>
        </w:rPr>
        <w:t>’</w:t>
      </w:r>
      <w:r w:rsidR="00C666A7" w:rsidRPr="009F43DE">
        <w:rPr>
          <w:lang w:val="fr-CH"/>
        </w:rPr>
        <w:t xml:space="preserve">amélioration des taux de scolarisation, présence et </w:t>
      </w:r>
      <w:r w:rsidRPr="009F43DE">
        <w:rPr>
          <w:lang w:val="fr-CH"/>
        </w:rPr>
        <w:t>alphabétisation dans le pays. Chaque année, le Ministère de l</w:t>
      </w:r>
      <w:r w:rsidR="00F8384A" w:rsidRPr="009F43DE">
        <w:rPr>
          <w:lang w:val="fr-CH"/>
        </w:rPr>
        <w:t>’</w:t>
      </w:r>
      <w:r w:rsidRPr="009F43DE">
        <w:rPr>
          <w:lang w:val="fr-CH"/>
        </w:rPr>
        <w:t>éducation alloue 10</w:t>
      </w:r>
      <w:r w:rsidR="00C666A7" w:rsidRPr="009F43DE">
        <w:rPr>
          <w:lang w:val="fr-CH"/>
        </w:rPr>
        <w:t> </w:t>
      </w:r>
      <w:r w:rsidRPr="009F43DE">
        <w:rPr>
          <w:lang w:val="fr-CH"/>
        </w:rPr>
        <w:t xml:space="preserve">% de son budget aux subventions destinées à fournir gratuitement des manuels aux élèves. </w:t>
      </w:r>
    </w:p>
    <w:p w:rsidR="00E5029E" w:rsidRPr="005F283E" w:rsidRDefault="00E5029E" w:rsidP="00DC3389">
      <w:pPr>
        <w:pStyle w:val="H23G"/>
        <w:rPr>
          <w:lang w:val="fr-CH"/>
        </w:rPr>
      </w:pPr>
      <w:r w:rsidRPr="009F43DE">
        <w:rPr>
          <w:lang w:val="fr-CH"/>
        </w:rPr>
        <w:tab/>
      </w:r>
      <w:r w:rsidRPr="009F43DE">
        <w:rPr>
          <w:lang w:val="fr-CH"/>
        </w:rPr>
        <w:tab/>
        <w:t>Enfants handicapés et ayant des besoins éducatifs spéciaux</w:t>
      </w:r>
    </w:p>
    <w:p w:rsidR="00E5029E" w:rsidRPr="009F43DE" w:rsidRDefault="00E5029E" w:rsidP="00E5029E">
      <w:pPr>
        <w:pStyle w:val="SingleTxtG"/>
        <w:rPr>
          <w:color w:val="000000"/>
          <w:lang w:val="fr-CH"/>
        </w:rPr>
      </w:pPr>
      <w:r w:rsidRPr="009F43DE">
        <w:rPr>
          <w:color w:val="000000"/>
          <w:lang w:val="fr-CH"/>
        </w:rPr>
        <w:t>216.</w:t>
      </w:r>
      <w:r w:rsidRPr="009F43DE">
        <w:rPr>
          <w:color w:val="000000"/>
          <w:lang w:val="fr-CH"/>
        </w:rPr>
        <w:tab/>
        <w:t xml:space="preserve">Il existe actuellement 714 écoles </w:t>
      </w:r>
      <w:r w:rsidR="000E5858" w:rsidRPr="009F43DE">
        <w:rPr>
          <w:color w:val="000000"/>
          <w:lang w:val="fr-CH"/>
        </w:rPr>
        <w:t xml:space="preserve">publiques </w:t>
      </w:r>
      <w:r w:rsidRPr="009F43DE">
        <w:rPr>
          <w:color w:val="000000"/>
          <w:lang w:val="fr-CH"/>
        </w:rPr>
        <w:t>(111 écoles nationales et 603 écoles provinciales) qui disposent de services d</w:t>
      </w:r>
      <w:r w:rsidR="00F8384A" w:rsidRPr="009F43DE">
        <w:rPr>
          <w:color w:val="000000"/>
          <w:lang w:val="fr-CH"/>
        </w:rPr>
        <w:t>’</w:t>
      </w:r>
      <w:r w:rsidRPr="009F43DE">
        <w:rPr>
          <w:color w:val="000000"/>
          <w:lang w:val="fr-CH"/>
        </w:rPr>
        <w:t xml:space="preserve">enseignement spécialisé pour enfants handicapés. On </w:t>
      </w:r>
      <w:r w:rsidR="000E5858" w:rsidRPr="009F43DE">
        <w:rPr>
          <w:color w:val="000000"/>
          <w:lang w:val="fr-CH"/>
        </w:rPr>
        <w:t>dénombre</w:t>
      </w:r>
      <w:r w:rsidRPr="009F43DE">
        <w:rPr>
          <w:color w:val="000000"/>
          <w:lang w:val="fr-CH"/>
        </w:rPr>
        <w:t xml:space="preserve"> 25</w:t>
      </w:r>
      <w:r w:rsidR="000E5858" w:rsidRPr="009F43DE">
        <w:rPr>
          <w:color w:val="000000"/>
          <w:lang w:val="fr-CH"/>
        </w:rPr>
        <w:t> </w:t>
      </w:r>
      <w:r w:rsidRPr="009F43DE">
        <w:rPr>
          <w:color w:val="000000"/>
          <w:lang w:val="fr-CH"/>
        </w:rPr>
        <w:t>écoles spécialisées pour enfants gravement handicapés, fonctionnant dans le secteur privé. Ces établissements bénéficient du soutien financier d</w:t>
      </w:r>
      <w:r w:rsidR="000E5858" w:rsidRPr="009F43DE">
        <w:rPr>
          <w:color w:val="000000"/>
          <w:lang w:val="fr-CH"/>
        </w:rPr>
        <w:t>e l</w:t>
      </w:r>
      <w:r w:rsidR="00F8384A" w:rsidRPr="009F43DE">
        <w:rPr>
          <w:color w:val="000000"/>
          <w:lang w:val="fr-CH"/>
        </w:rPr>
        <w:t>’</w:t>
      </w:r>
      <w:r w:rsidR="007574C7" w:rsidRPr="009F43DE">
        <w:rPr>
          <w:color w:val="000000"/>
          <w:lang w:val="fr-CH"/>
        </w:rPr>
        <w:t>État</w:t>
      </w:r>
      <w:r w:rsidR="000E5858" w:rsidRPr="009F43DE">
        <w:rPr>
          <w:color w:val="000000"/>
          <w:lang w:val="fr-CH"/>
        </w:rPr>
        <w:t xml:space="preserve"> Les </w:t>
      </w:r>
      <w:r w:rsidRPr="009F43DE">
        <w:rPr>
          <w:color w:val="000000"/>
          <w:lang w:val="fr-CH"/>
        </w:rPr>
        <w:t>25 écoles pour enfants handicapés fonctionnant dans</w:t>
      </w:r>
      <w:r w:rsidR="00C91A83">
        <w:rPr>
          <w:color w:val="000000"/>
          <w:lang w:val="fr-CH"/>
        </w:rPr>
        <w:t xml:space="preserve"> </w:t>
      </w:r>
      <w:r w:rsidRPr="009F43DE">
        <w:rPr>
          <w:color w:val="000000"/>
          <w:lang w:val="fr-CH"/>
        </w:rPr>
        <w:t xml:space="preserve">le secteur privé sont </w:t>
      </w:r>
      <w:r w:rsidR="000E5858" w:rsidRPr="009F43DE">
        <w:rPr>
          <w:color w:val="000000"/>
          <w:lang w:val="fr-CH"/>
        </w:rPr>
        <w:t xml:space="preserve">aussi </w:t>
      </w:r>
      <w:r w:rsidRPr="009F43DE">
        <w:rPr>
          <w:color w:val="000000"/>
          <w:lang w:val="fr-CH"/>
        </w:rPr>
        <w:t>partiellement financées par l</w:t>
      </w:r>
      <w:r w:rsidR="00F8384A" w:rsidRPr="009F43DE">
        <w:rPr>
          <w:color w:val="000000"/>
          <w:lang w:val="fr-CH"/>
        </w:rPr>
        <w:t>’</w:t>
      </w:r>
      <w:r w:rsidR="007574C7" w:rsidRPr="009F43DE">
        <w:rPr>
          <w:color w:val="000000"/>
          <w:lang w:val="fr-CH"/>
        </w:rPr>
        <w:t>État</w:t>
      </w:r>
      <w:r w:rsidRPr="009F43DE">
        <w:rPr>
          <w:color w:val="000000"/>
          <w:lang w:val="fr-CH"/>
        </w:rPr>
        <w:t>. Veuillez vous référer au tableau 7 de l</w:t>
      </w:r>
      <w:r w:rsidR="00F8384A" w:rsidRPr="009F43DE">
        <w:rPr>
          <w:color w:val="000000"/>
          <w:lang w:val="fr-CH"/>
        </w:rPr>
        <w:t>’</w:t>
      </w:r>
      <w:r w:rsidRPr="009F43DE">
        <w:rPr>
          <w:color w:val="000000"/>
          <w:lang w:val="fr-CH"/>
        </w:rPr>
        <w:t>annexe pour le nombre d</w:t>
      </w:r>
      <w:r w:rsidR="00F8384A" w:rsidRPr="009F43DE">
        <w:rPr>
          <w:color w:val="000000"/>
          <w:lang w:val="fr-CH"/>
        </w:rPr>
        <w:t>’</w:t>
      </w:r>
      <w:r w:rsidRPr="009F43DE">
        <w:rPr>
          <w:color w:val="000000"/>
          <w:lang w:val="fr-CH"/>
        </w:rPr>
        <w:t>écoles spécialisées pour enfants handicapés par catégorie et nombre d</w:t>
      </w:r>
      <w:r w:rsidR="00F8384A" w:rsidRPr="009F43DE">
        <w:rPr>
          <w:color w:val="000000"/>
          <w:lang w:val="fr-CH"/>
        </w:rPr>
        <w:t>’</w:t>
      </w:r>
      <w:r w:rsidRPr="009F43DE">
        <w:rPr>
          <w:color w:val="000000"/>
          <w:lang w:val="fr-CH"/>
        </w:rPr>
        <w:t>élèves.</w:t>
      </w:r>
    </w:p>
    <w:p w:rsidR="00E5029E" w:rsidRPr="009F43DE" w:rsidRDefault="00E5029E" w:rsidP="00E5029E">
      <w:pPr>
        <w:pStyle w:val="H23G"/>
        <w:rPr>
          <w:lang w:val="fr-CH"/>
        </w:rPr>
      </w:pPr>
      <w:r w:rsidRPr="009F43DE">
        <w:rPr>
          <w:color w:val="000000"/>
          <w:lang w:val="fr-CH"/>
        </w:rPr>
        <w:tab/>
      </w:r>
      <w:r w:rsidRPr="009F43DE">
        <w:rPr>
          <w:lang w:val="fr-CH"/>
        </w:rPr>
        <w:tab/>
        <w:t>Système d</w:t>
      </w:r>
      <w:r w:rsidR="00F8384A" w:rsidRPr="009F43DE">
        <w:rPr>
          <w:lang w:val="fr-CH"/>
        </w:rPr>
        <w:t>’</w:t>
      </w:r>
      <w:r w:rsidRPr="009F43DE">
        <w:rPr>
          <w:lang w:val="fr-CH"/>
        </w:rPr>
        <w:t>enseignement technique et de formation professionnelle</w:t>
      </w:r>
    </w:p>
    <w:p w:rsidR="00E5029E" w:rsidRPr="009F43DE" w:rsidRDefault="00E5029E" w:rsidP="00E5029E">
      <w:pPr>
        <w:pStyle w:val="SingleTxtG"/>
        <w:rPr>
          <w:lang w:val="fr-CH"/>
        </w:rPr>
      </w:pPr>
      <w:r w:rsidRPr="009F43DE">
        <w:rPr>
          <w:lang w:val="fr-CH"/>
        </w:rPr>
        <w:t>217.</w:t>
      </w:r>
      <w:r w:rsidRPr="009F43DE">
        <w:rPr>
          <w:lang w:val="fr-CH"/>
        </w:rPr>
        <w:tab/>
        <w:t xml:space="preserve">Les cours postsecondaires </w:t>
      </w:r>
      <w:r w:rsidR="000E5858" w:rsidRPr="009F43DE">
        <w:rPr>
          <w:lang w:val="fr-CH"/>
        </w:rPr>
        <w:t>du système d</w:t>
      </w:r>
      <w:r w:rsidR="00F8384A" w:rsidRPr="009F43DE">
        <w:rPr>
          <w:lang w:val="fr-CH"/>
        </w:rPr>
        <w:t>’</w:t>
      </w:r>
      <w:r w:rsidR="000E5858" w:rsidRPr="009F43DE">
        <w:rPr>
          <w:lang w:val="fr-CH"/>
        </w:rPr>
        <w:t xml:space="preserve">enseignement technique et de formation professionnelle </w:t>
      </w:r>
      <w:r w:rsidRPr="009F43DE">
        <w:rPr>
          <w:lang w:val="fr-CH"/>
        </w:rPr>
        <w:t>englobent diverses formes et niveaux de formation, qui commencent généralement après l</w:t>
      </w:r>
      <w:r w:rsidR="00F8384A" w:rsidRPr="009F43DE">
        <w:rPr>
          <w:lang w:val="fr-CH"/>
        </w:rPr>
        <w:t>’</w:t>
      </w:r>
      <w:r w:rsidRPr="009F43DE">
        <w:rPr>
          <w:lang w:val="fr-CH"/>
        </w:rPr>
        <w:t>achèvement du deuxième cycle d</w:t>
      </w:r>
      <w:r w:rsidR="000E5858" w:rsidRPr="009F43DE">
        <w:rPr>
          <w:lang w:val="fr-CH"/>
        </w:rPr>
        <w:t>u</w:t>
      </w:r>
      <w:r w:rsidRPr="009F43DE">
        <w:rPr>
          <w:lang w:val="fr-CH"/>
        </w:rPr>
        <w:t xml:space="preserve"> secondaire (11</w:t>
      </w:r>
      <w:r w:rsidRPr="009F43DE">
        <w:rPr>
          <w:vertAlign w:val="superscript"/>
          <w:lang w:val="fr-CH"/>
        </w:rPr>
        <w:t>e</w:t>
      </w:r>
      <w:r w:rsidRPr="009F43DE">
        <w:rPr>
          <w:lang w:val="fr-CH"/>
        </w:rPr>
        <w:t xml:space="preserve"> année, 16 ans) et vont jusqu</w:t>
      </w:r>
      <w:r w:rsidR="00F8384A" w:rsidRPr="009F43DE">
        <w:rPr>
          <w:lang w:val="fr-CH"/>
        </w:rPr>
        <w:t>’</w:t>
      </w:r>
      <w:r w:rsidRPr="009F43DE">
        <w:rPr>
          <w:lang w:val="fr-CH"/>
        </w:rPr>
        <w:t xml:space="preserve">au niveau du diplôme. Le premier </w:t>
      </w:r>
      <w:r w:rsidR="000E5858" w:rsidRPr="009F43DE">
        <w:rPr>
          <w:lang w:val="fr-CH"/>
        </w:rPr>
        <w:t>niveau</w:t>
      </w:r>
      <w:r w:rsidRPr="009F43DE">
        <w:rPr>
          <w:lang w:val="fr-CH"/>
        </w:rPr>
        <w:t xml:space="preserve"> des programmes de formation se compose de cours sanctionnés par un certificat, qui sont conçus </w:t>
      </w:r>
      <w:r w:rsidR="000E5858" w:rsidRPr="009F43DE">
        <w:rPr>
          <w:lang w:val="fr-CH"/>
        </w:rPr>
        <w:t>à l</w:t>
      </w:r>
      <w:r w:rsidR="00F8384A" w:rsidRPr="009F43DE">
        <w:rPr>
          <w:lang w:val="fr-CH"/>
        </w:rPr>
        <w:t>’</w:t>
      </w:r>
      <w:r w:rsidR="000E5858" w:rsidRPr="009F43DE">
        <w:rPr>
          <w:lang w:val="fr-CH"/>
        </w:rPr>
        <w:t>intention des jeunes souhaitant exercer un emploi dans les catégories allant de l</w:t>
      </w:r>
      <w:r w:rsidR="00F8384A" w:rsidRPr="009F43DE">
        <w:rPr>
          <w:lang w:val="fr-CH"/>
        </w:rPr>
        <w:t>’</w:t>
      </w:r>
      <w:r w:rsidR="000E5858" w:rsidRPr="009F43DE">
        <w:rPr>
          <w:lang w:val="fr-CH"/>
        </w:rPr>
        <w:t>ouvrier</w:t>
      </w:r>
      <w:r w:rsidRPr="009F43DE">
        <w:rPr>
          <w:lang w:val="fr-CH"/>
        </w:rPr>
        <w:t xml:space="preserve"> semi-qualifié à </w:t>
      </w:r>
      <w:r w:rsidR="000E5858" w:rsidRPr="009F43DE">
        <w:rPr>
          <w:lang w:val="fr-CH"/>
        </w:rPr>
        <w:t>l</w:t>
      </w:r>
      <w:r w:rsidR="00F8384A" w:rsidRPr="009F43DE">
        <w:rPr>
          <w:lang w:val="fr-CH"/>
        </w:rPr>
        <w:t>’</w:t>
      </w:r>
      <w:r w:rsidRPr="009F43DE">
        <w:rPr>
          <w:lang w:val="fr-CH"/>
        </w:rPr>
        <w:t xml:space="preserve">artisan qualifié. Le </w:t>
      </w:r>
      <w:r w:rsidR="000E5858" w:rsidRPr="009F43DE">
        <w:rPr>
          <w:lang w:val="fr-CH"/>
        </w:rPr>
        <w:t>niveau</w:t>
      </w:r>
      <w:r w:rsidRPr="009F43DE">
        <w:rPr>
          <w:lang w:val="fr-CH"/>
        </w:rPr>
        <w:t xml:space="preserve"> suivant </w:t>
      </w:r>
      <w:r w:rsidR="000E5858" w:rsidRPr="009F43DE">
        <w:rPr>
          <w:lang w:val="fr-CH"/>
        </w:rPr>
        <w:t xml:space="preserve">propose des </w:t>
      </w:r>
      <w:r w:rsidRPr="009F43DE">
        <w:rPr>
          <w:lang w:val="fr-CH"/>
        </w:rPr>
        <w:t xml:space="preserve">programmes diplômants, qui </w:t>
      </w:r>
      <w:r w:rsidR="000E5858" w:rsidRPr="009F43DE">
        <w:rPr>
          <w:lang w:val="fr-CH"/>
        </w:rPr>
        <w:t>sont suivis généralement</w:t>
      </w:r>
      <w:r w:rsidRPr="009F43DE">
        <w:rPr>
          <w:lang w:val="fr-CH"/>
        </w:rPr>
        <w:t xml:space="preserve"> </w:t>
      </w:r>
      <w:r w:rsidR="000E5858" w:rsidRPr="009F43DE">
        <w:rPr>
          <w:lang w:val="fr-CH"/>
        </w:rPr>
        <w:t>par les</w:t>
      </w:r>
      <w:r w:rsidRPr="009F43DE">
        <w:rPr>
          <w:lang w:val="fr-CH"/>
        </w:rPr>
        <w:t xml:space="preserve"> étudiants qui ont réussi leur certificat d</w:t>
      </w:r>
      <w:r w:rsidR="00F8384A" w:rsidRPr="009F43DE">
        <w:rPr>
          <w:lang w:val="fr-CH"/>
        </w:rPr>
        <w:t>’</w:t>
      </w:r>
      <w:r w:rsidRPr="009F43DE">
        <w:rPr>
          <w:lang w:val="fr-CH"/>
        </w:rPr>
        <w:t>études générales de niveau avancé avec de relativement bonnes notes en mathématiques, physique et chimie.</w:t>
      </w:r>
    </w:p>
    <w:p w:rsidR="00E5029E" w:rsidRPr="009F43DE" w:rsidRDefault="00E5029E" w:rsidP="00E52A1B">
      <w:pPr>
        <w:pStyle w:val="H1G"/>
        <w:rPr>
          <w:lang w:val="fr-CH"/>
        </w:rPr>
      </w:pPr>
      <w:r w:rsidRPr="009F43DE">
        <w:rPr>
          <w:lang w:val="fr-CH"/>
        </w:rPr>
        <w:tab/>
      </w:r>
      <w:r w:rsidRPr="009F43DE">
        <w:rPr>
          <w:lang w:val="fr-CH"/>
        </w:rPr>
        <w:tab/>
        <w:t>Article 15</w:t>
      </w:r>
      <w:r w:rsidR="007738FD" w:rsidRPr="009F43DE">
        <w:rPr>
          <w:lang w:val="fr-CH"/>
        </w:rPr>
        <w:br/>
      </w:r>
      <w:r w:rsidRPr="009F43DE">
        <w:rPr>
          <w:lang w:val="fr-CH"/>
        </w:rPr>
        <w:t>Droit de participer à la vie culturelle et de bénéficier du progrès scientifique</w:t>
      </w:r>
    </w:p>
    <w:p w:rsidR="00E5029E" w:rsidRPr="009F43DE" w:rsidRDefault="00E5029E" w:rsidP="00E5029E">
      <w:pPr>
        <w:pStyle w:val="SingleTxtG"/>
        <w:rPr>
          <w:color w:val="000000"/>
          <w:lang w:val="fr-CH"/>
        </w:rPr>
      </w:pPr>
      <w:r w:rsidRPr="009F43DE">
        <w:rPr>
          <w:color w:val="000000"/>
          <w:lang w:val="fr-CH"/>
        </w:rPr>
        <w:t>218.</w:t>
      </w:r>
      <w:r w:rsidRPr="009F43DE">
        <w:rPr>
          <w:color w:val="000000"/>
          <w:lang w:val="fr-CH"/>
        </w:rPr>
        <w:tab/>
        <w:t>Sri La</w:t>
      </w:r>
      <w:r w:rsidRPr="009F43DE">
        <w:rPr>
          <w:lang w:val="fr-CH"/>
        </w:rPr>
        <w:t>nka est riche d</w:t>
      </w:r>
      <w:r w:rsidR="00F8384A" w:rsidRPr="009F43DE">
        <w:rPr>
          <w:lang w:val="fr-CH"/>
        </w:rPr>
        <w:t>’</w:t>
      </w:r>
      <w:r w:rsidRPr="009F43DE">
        <w:rPr>
          <w:lang w:val="fr-CH"/>
        </w:rPr>
        <w:t xml:space="preserve">un tissu social </w:t>
      </w:r>
      <w:r w:rsidR="007574C7" w:rsidRPr="009F43DE">
        <w:rPr>
          <w:lang w:val="fr-CH"/>
        </w:rPr>
        <w:t>multiethnique</w:t>
      </w:r>
      <w:r w:rsidRPr="009F43DE">
        <w:rPr>
          <w:lang w:val="fr-CH"/>
        </w:rPr>
        <w:t xml:space="preserve">, multireligieux et </w:t>
      </w:r>
      <w:r w:rsidR="007574C7" w:rsidRPr="009F43DE">
        <w:rPr>
          <w:lang w:val="fr-CH"/>
        </w:rPr>
        <w:t>multiculturel</w:t>
      </w:r>
      <w:r w:rsidRPr="009F43DE">
        <w:rPr>
          <w:lang w:val="fr-CH"/>
        </w:rPr>
        <w:t xml:space="preserve">. </w:t>
      </w:r>
      <w:r w:rsidR="0047062D" w:rsidRPr="009F43DE">
        <w:rPr>
          <w:lang w:val="fr-CH"/>
        </w:rPr>
        <w:t>Conscient de la nécessité</w:t>
      </w:r>
      <w:r w:rsidRPr="009F43DE">
        <w:rPr>
          <w:lang w:val="fr-CH"/>
        </w:rPr>
        <w:t xml:space="preserve"> d</w:t>
      </w:r>
      <w:r w:rsidR="00F8384A" w:rsidRPr="009F43DE">
        <w:rPr>
          <w:lang w:val="fr-CH"/>
        </w:rPr>
        <w:t>’</w:t>
      </w:r>
      <w:r w:rsidRPr="009F43DE">
        <w:rPr>
          <w:lang w:val="fr-CH"/>
        </w:rPr>
        <w:t xml:space="preserve">une plus grande </w:t>
      </w:r>
      <w:r w:rsidR="0047062D" w:rsidRPr="009F43DE">
        <w:rPr>
          <w:lang w:val="fr-CH"/>
        </w:rPr>
        <w:t xml:space="preserve">prise de conscience </w:t>
      </w:r>
      <w:r w:rsidRPr="009F43DE">
        <w:rPr>
          <w:lang w:val="fr-CH"/>
        </w:rPr>
        <w:t>du pluralisme culturel dans le contexte de l</w:t>
      </w:r>
      <w:r w:rsidR="00F8384A" w:rsidRPr="009F43DE">
        <w:rPr>
          <w:lang w:val="fr-CH"/>
        </w:rPr>
        <w:t>’</w:t>
      </w:r>
      <w:r w:rsidRPr="009F43DE">
        <w:rPr>
          <w:lang w:val="fr-CH"/>
        </w:rPr>
        <w:t xml:space="preserve">intégration nationale, le </w:t>
      </w:r>
      <w:r w:rsidR="0047062D" w:rsidRPr="009F43DE">
        <w:rPr>
          <w:lang w:val="fr-CH"/>
        </w:rPr>
        <w:t xml:space="preserve">pays a adopté le </w:t>
      </w:r>
      <w:r w:rsidRPr="009F43DE">
        <w:rPr>
          <w:lang w:val="fr-CH"/>
        </w:rPr>
        <w:t>Plan d</w:t>
      </w:r>
      <w:r w:rsidR="00F8384A" w:rsidRPr="009F43DE">
        <w:rPr>
          <w:lang w:val="fr-CH"/>
        </w:rPr>
        <w:t>’</w:t>
      </w:r>
      <w:r w:rsidRPr="009F43DE">
        <w:rPr>
          <w:lang w:val="fr-CH"/>
        </w:rPr>
        <w:t>action national pour les droits de l</w:t>
      </w:r>
      <w:r w:rsidR="00F8384A" w:rsidRPr="009F43DE">
        <w:rPr>
          <w:lang w:val="fr-CH"/>
        </w:rPr>
        <w:t>’</w:t>
      </w:r>
      <w:r w:rsidRPr="009F43DE">
        <w:rPr>
          <w:lang w:val="fr-CH"/>
        </w:rPr>
        <w:t>homme</w:t>
      </w:r>
      <w:r w:rsidR="0047062D" w:rsidRPr="009F43DE">
        <w:rPr>
          <w:lang w:val="fr-CH"/>
        </w:rPr>
        <w:t>, qui met</w:t>
      </w:r>
      <w:r w:rsidRPr="009F43DE">
        <w:rPr>
          <w:lang w:val="fr-CH"/>
        </w:rPr>
        <w:t xml:space="preserve"> en évidence l</w:t>
      </w:r>
      <w:r w:rsidR="0047062D" w:rsidRPr="009F43DE">
        <w:rPr>
          <w:lang w:val="fr-CH"/>
        </w:rPr>
        <w:t>e caractère essentiel d</w:t>
      </w:r>
      <w:r w:rsidR="00F8384A" w:rsidRPr="009F43DE">
        <w:rPr>
          <w:lang w:val="fr-CH"/>
        </w:rPr>
        <w:t>’</w:t>
      </w:r>
      <w:r w:rsidR="0047062D" w:rsidRPr="009F43DE">
        <w:rPr>
          <w:lang w:val="fr-CH"/>
        </w:rPr>
        <w:t>u</w:t>
      </w:r>
      <w:r w:rsidRPr="009F43DE">
        <w:rPr>
          <w:lang w:val="fr-CH"/>
        </w:rPr>
        <w:t xml:space="preserve">ne politique culturelle globale et </w:t>
      </w:r>
      <w:r w:rsidR="0047062D" w:rsidRPr="009F43DE">
        <w:rPr>
          <w:lang w:val="fr-CH"/>
        </w:rPr>
        <w:t>d</w:t>
      </w:r>
      <w:r w:rsidR="00F8384A" w:rsidRPr="009F43DE">
        <w:rPr>
          <w:lang w:val="fr-CH"/>
        </w:rPr>
        <w:t>’</w:t>
      </w:r>
      <w:r w:rsidRPr="009F43DE">
        <w:rPr>
          <w:lang w:val="fr-CH"/>
        </w:rPr>
        <w:t>un mécanisme garantissant les droits culturels, ainsi que l</w:t>
      </w:r>
      <w:r w:rsidR="00F8384A" w:rsidRPr="009F43DE">
        <w:rPr>
          <w:lang w:val="fr-CH"/>
        </w:rPr>
        <w:t>’</w:t>
      </w:r>
      <w:r w:rsidRPr="009F43DE">
        <w:rPr>
          <w:lang w:val="fr-CH"/>
        </w:rPr>
        <w:t>importance de la mobilisation des ressources pour la promotion de l</w:t>
      </w:r>
      <w:r w:rsidR="00F8384A" w:rsidRPr="009F43DE">
        <w:rPr>
          <w:lang w:val="fr-CH"/>
        </w:rPr>
        <w:t>’</w:t>
      </w:r>
      <w:r w:rsidRPr="009F43DE">
        <w:rPr>
          <w:lang w:val="fr-CH"/>
        </w:rPr>
        <w:t>harmonie interculturelle</w:t>
      </w:r>
      <w:r w:rsidR="0047062D" w:rsidRPr="009F43DE">
        <w:rPr>
          <w:lang w:val="fr-CH"/>
        </w:rPr>
        <w:t>, de</w:t>
      </w:r>
      <w:r w:rsidRPr="009F43DE">
        <w:rPr>
          <w:lang w:val="fr-CH"/>
        </w:rPr>
        <w:t xml:space="preserve"> productions artistiques socialement pertinentes ainsi que </w:t>
      </w:r>
      <w:r w:rsidR="0047062D" w:rsidRPr="009F43DE">
        <w:rPr>
          <w:lang w:val="fr-CH"/>
        </w:rPr>
        <w:t>de</w:t>
      </w:r>
      <w:r w:rsidRPr="009F43DE">
        <w:rPr>
          <w:lang w:val="fr-CH"/>
        </w:rPr>
        <w:t xml:space="preserve"> l</w:t>
      </w:r>
      <w:r w:rsidR="00F8384A" w:rsidRPr="009F43DE">
        <w:rPr>
          <w:lang w:val="fr-CH"/>
        </w:rPr>
        <w:t>’</w:t>
      </w:r>
      <w:r w:rsidRPr="009F43DE">
        <w:rPr>
          <w:lang w:val="fr-CH"/>
        </w:rPr>
        <w:t>amélioration d</w:t>
      </w:r>
      <w:r w:rsidR="0047062D" w:rsidRPr="009F43DE">
        <w:rPr>
          <w:lang w:val="fr-CH"/>
        </w:rPr>
        <w:t xml:space="preserve">es conditions de </w:t>
      </w:r>
      <w:r w:rsidRPr="009F43DE">
        <w:rPr>
          <w:lang w:val="fr-CH"/>
        </w:rPr>
        <w:t>vie des artistes. La mise en œuvre vigoureuse de la politique de trilinguisme renforce encore le pluralisme linguistique et culturel du pays, conformément à la Constituti</w:t>
      </w:r>
      <w:r w:rsidRPr="009F43DE">
        <w:rPr>
          <w:color w:val="000000"/>
          <w:lang w:val="fr-CH"/>
        </w:rPr>
        <w:t>on, qui stipule que tout citoyen a droit à la liberté de jouir, pour soi ou en association avec d</w:t>
      </w:r>
      <w:r w:rsidR="00F8384A" w:rsidRPr="009F43DE">
        <w:rPr>
          <w:color w:val="000000"/>
          <w:lang w:val="fr-CH"/>
        </w:rPr>
        <w:t>’</w:t>
      </w:r>
      <w:r w:rsidRPr="009F43DE">
        <w:rPr>
          <w:color w:val="000000"/>
          <w:lang w:val="fr-CH"/>
        </w:rPr>
        <w:t>autres, de sa propre culture et de la promouvoir et d</w:t>
      </w:r>
      <w:r w:rsidR="00F8384A" w:rsidRPr="009F43DE">
        <w:rPr>
          <w:color w:val="000000"/>
          <w:lang w:val="fr-CH"/>
        </w:rPr>
        <w:t>’</w:t>
      </w:r>
      <w:r w:rsidRPr="009F43DE">
        <w:rPr>
          <w:color w:val="000000"/>
          <w:lang w:val="fr-CH"/>
        </w:rPr>
        <w:t xml:space="preserve">utiliser sa propre langue. </w:t>
      </w:r>
    </w:p>
    <w:p w:rsidR="00E5029E" w:rsidRPr="009F43DE" w:rsidRDefault="00E5029E" w:rsidP="00E5029E">
      <w:pPr>
        <w:pStyle w:val="SingleTxtG"/>
        <w:rPr>
          <w:lang w:val="fr-CH"/>
        </w:rPr>
      </w:pPr>
      <w:r w:rsidRPr="009F43DE">
        <w:rPr>
          <w:lang w:val="fr-CH"/>
        </w:rPr>
        <w:t>219.</w:t>
      </w:r>
      <w:r w:rsidRPr="009F43DE">
        <w:rPr>
          <w:lang w:val="fr-CH"/>
        </w:rPr>
        <w:tab/>
        <w:t>L</w:t>
      </w:r>
      <w:r w:rsidR="00F8384A" w:rsidRPr="009F43DE">
        <w:rPr>
          <w:lang w:val="fr-CH"/>
        </w:rPr>
        <w:t>’</w:t>
      </w:r>
      <w:r w:rsidRPr="009F43DE">
        <w:rPr>
          <w:lang w:val="fr-CH"/>
        </w:rPr>
        <w:t xml:space="preserve">Agence </w:t>
      </w:r>
      <w:r w:rsidR="0047062D" w:rsidRPr="009F43DE">
        <w:rPr>
          <w:lang w:val="fr-CH"/>
        </w:rPr>
        <w:t xml:space="preserve">sri-lankaise </w:t>
      </w:r>
      <w:r w:rsidRPr="009F43DE">
        <w:rPr>
          <w:lang w:val="fr-CH"/>
        </w:rPr>
        <w:t>des technologies de l</w:t>
      </w:r>
      <w:r w:rsidR="00F8384A" w:rsidRPr="009F43DE">
        <w:rPr>
          <w:lang w:val="fr-CH"/>
        </w:rPr>
        <w:t>’</w:t>
      </w:r>
      <w:r w:rsidRPr="009F43DE">
        <w:rPr>
          <w:lang w:val="fr-CH"/>
        </w:rPr>
        <w:t>information et de</w:t>
      </w:r>
      <w:r w:rsidR="0047062D" w:rsidRPr="009F43DE">
        <w:rPr>
          <w:lang w:val="fr-CH"/>
        </w:rPr>
        <w:t>s</w:t>
      </w:r>
      <w:r w:rsidRPr="009F43DE">
        <w:rPr>
          <w:lang w:val="fr-CH"/>
        </w:rPr>
        <w:t xml:space="preserve"> communication</w:t>
      </w:r>
      <w:r w:rsidR="0047062D" w:rsidRPr="009F43DE">
        <w:rPr>
          <w:lang w:val="fr-CH"/>
        </w:rPr>
        <w:t>s a été désignée comme</w:t>
      </w:r>
      <w:r w:rsidRPr="009F43DE">
        <w:rPr>
          <w:lang w:val="fr-CH"/>
        </w:rPr>
        <w:t xml:space="preserve"> chef de file </w:t>
      </w:r>
      <w:r w:rsidR="0047062D" w:rsidRPr="009F43DE">
        <w:rPr>
          <w:lang w:val="fr-CH"/>
        </w:rPr>
        <w:t>de</w:t>
      </w:r>
      <w:r w:rsidRPr="009F43DE">
        <w:rPr>
          <w:lang w:val="fr-CH"/>
        </w:rPr>
        <w:t xml:space="preserve"> l</w:t>
      </w:r>
      <w:r w:rsidR="00F8384A" w:rsidRPr="009F43DE">
        <w:rPr>
          <w:lang w:val="fr-CH"/>
        </w:rPr>
        <w:t>’</w:t>
      </w:r>
      <w:r w:rsidRPr="009F43DE">
        <w:rPr>
          <w:lang w:val="fr-CH"/>
        </w:rPr>
        <w:t>application de ces techn</w:t>
      </w:r>
      <w:r w:rsidR="0047062D" w:rsidRPr="009F43DE">
        <w:rPr>
          <w:lang w:val="fr-CH"/>
        </w:rPr>
        <w:t>ologies</w:t>
      </w:r>
      <w:r w:rsidRPr="009F43DE">
        <w:rPr>
          <w:lang w:val="fr-CH"/>
        </w:rPr>
        <w:t xml:space="preserve"> afin d</w:t>
      </w:r>
      <w:r w:rsidR="0047062D" w:rsidRPr="009F43DE">
        <w:rPr>
          <w:lang w:val="fr-CH"/>
        </w:rPr>
        <w:t>e susciter</w:t>
      </w:r>
      <w:r w:rsidRPr="009F43DE">
        <w:rPr>
          <w:lang w:val="fr-CH"/>
        </w:rPr>
        <w:t xml:space="preserve"> des améliorations majeures dans les domaines de l</w:t>
      </w:r>
      <w:r w:rsidR="00F8384A" w:rsidRPr="009F43DE">
        <w:rPr>
          <w:lang w:val="fr-CH"/>
        </w:rPr>
        <w:t>’</w:t>
      </w:r>
      <w:r w:rsidRPr="009F43DE">
        <w:rPr>
          <w:lang w:val="fr-CH"/>
        </w:rPr>
        <w:t xml:space="preserve">économie, du développement et du progrès social. Grâce au projet de connexion </w:t>
      </w:r>
      <w:r w:rsidR="007574C7" w:rsidRPr="009F43DE">
        <w:rPr>
          <w:lang w:val="fr-CH"/>
        </w:rPr>
        <w:t>Wifi</w:t>
      </w:r>
      <w:r w:rsidRPr="009F43DE">
        <w:rPr>
          <w:lang w:val="fr-CH"/>
        </w:rPr>
        <w:t xml:space="preserve"> gratuite lancé en 2015, les </w:t>
      </w:r>
      <w:r w:rsidR="0047062D" w:rsidRPr="009F43DE">
        <w:rPr>
          <w:lang w:val="fr-CH"/>
        </w:rPr>
        <w:t>Sri-</w:t>
      </w:r>
      <w:r w:rsidR="00AA5651" w:rsidRPr="009F43DE">
        <w:rPr>
          <w:lang w:val="fr-CH"/>
        </w:rPr>
        <w:t xml:space="preserve">Lankais </w:t>
      </w:r>
      <w:r w:rsidRPr="009F43DE">
        <w:rPr>
          <w:lang w:val="fr-CH"/>
        </w:rPr>
        <w:t xml:space="preserve">ont </w:t>
      </w:r>
      <w:r w:rsidR="0047062D" w:rsidRPr="009F43DE">
        <w:rPr>
          <w:lang w:val="fr-CH"/>
        </w:rPr>
        <w:t xml:space="preserve">la possibilité </w:t>
      </w:r>
      <w:r w:rsidRPr="009F43DE">
        <w:rPr>
          <w:lang w:val="fr-CH"/>
        </w:rPr>
        <w:t>d</w:t>
      </w:r>
      <w:r w:rsidR="00F8384A" w:rsidRPr="009F43DE">
        <w:rPr>
          <w:lang w:val="fr-CH"/>
        </w:rPr>
        <w:t>’</w:t>
      </w:r>
      <w:r w:rsidRPr="009F43DE">
        <w:rPr>
          <w:lang w:val="fr-CH"/>
        </w:rPr>
        <w:t xml:space="preserve">accéder </w:t>
      </w:r>
      <w:r w:rsidR="0047062D" w:rsidRPr="009F43DE">
        <w:rPr>
          <w:lang w:val="fr-CH"/>
        </w:rPr>
        <w:t xml:space="preserve">gratuitement </w:t>
      </w:r>
      <w:r w:rsidRPr="009F43DE">
        <w:rPr>
          <w:lang w:val="fr-CH"/>
        </w:rPr>
        <w:t xml:space="preserve">à 100 Mo de données par mois à une vitesse maximale de 512 Kbps. Les </w:t>
      </w:r>
      <w:r w:rsidR="0047062D" w:rsidRPr="009F43DE">
        <w:rPr>
          <w:lang w:val="fr-CH"/>
        </w:rPr>
        <w:t xml:space="preserve">lieux de connexion </w:t>
      </w:r>
      <w:r w:rsidRPr="009F43DE">
        <w:rPr>
          <w:lang w:val="fr-CH"/>
        </w:rPr>
        <w:t xml:space="preserve">sont des lieux publics courants comme les gares, les arrêts de bus, les bibliothèques publiques, les hôpitaux, etc. Le service </w:t>
      </w:r>
      <w:r w:rsidR="007574C7" w:rsidRPr="009F43DE">
        <w:rPr>
          <w:lang w:val="fr-CH"/>
        </w:rPr>
        <w:t>Wifi</w:t>
      </w:r>
      <w:r w:rsidRPr="009F43DE">
        <w:rPr>
          <w:lang w:val="fr-CH"/>
        </w:rPr>
        <w:t xml:space="preserve"> gratuit </w:t>
      </w:r>
      <w:r w:rsidR="0047062D" w:rsidRPr="009F43DE">
        <w:rPr>
          <w:lang w:val="fr-CH"/>
        </w:rPr>
        <w:t>est</w:t>
      </w:r>
      <w:r w:rsidRPr="009F43DE">
        <w:rPr>
          <w:lang w:val="fr-CH"/>
        </w:rPr>
        <w:t xml:space="preserve"> fourni par des opérateurs de télécommunication locaux. </w:t>
      </w:r>
      <w:r w:rsidR="0047062D" w:rsidRPr="009F43DE">
        <w:rPr>
          <w:lang w:val="fr-CH"/>
        </w:rPr>
        <w:t>Un</w:t>
      </w:r>
      <w:r w:rsidRPr="009F43DE">
        <w:rPr>
          <w:lang w:val="fr-CH"/>
        </w:rPr>
        <w:t xml:space="preserve"> </w:t>
      </w:r>
      <w:r w:rsidR="0047062D" w:rsidRPr="009F43DE">
        <w:rPr>
          <w:lang w:val="fr-CH"/>
        </w:rPr>
        <w:t>c</w:t>
      </w:r>
      <w:r w:rsidRPr="009F43DE">
        <w:rPr>
          <w:lang w:val="fr-CH"/>
        </w:rPr>
        <w:t>entre d</w:t>
      </w:r>
      <w:r w:rsidR="00F8384A" w:rsidRPr="009F43DE">
        <w:rPr>
          <w:lang w:val="fr-CH"/>
        </w:rPr>
        <w:t>’</w:t>
      </w:r>
      <w:r w:rsidRPr="009F43DE">
        <w:rPr>
          <w:lang w:val="fr-CH"/>
        </w:rPr>
        <w:t>appel (</w:t>
      </w:r>
      <w:hyperlink r:id="rId9" w:history="1">
        <w:r w:rsidRPr="00AA5651">
          <w:rPr>
            <w:rStyle w:val="Hyperlink"/>
            <w:color w:val="auto"/>
            <w:u w:val="none"/>
            <w:lang w:val="fr-CH"/>
          </w:rPr>
          <w:t>www.gic.gov.lk</w:t>
        </w:r>
      </w:hyperlink>
      <w:r w:rsidRPr="009F43DE">
        <w:rPr>
          <w:lang w:val="fr-CH"/>
        </w:rPr>
        <w:t xml:space="preserve"> téléphone 1919) traite les demandes concernant le service </w:t>
      </w:r>
      <w:r w:rsidR="007574C7" w:rsidRPr="009F43DE">
        <w:rPr>
          <w:lang w:val="fr-CH"/>
        </w:rPr>
        <w:t>Wifi</w:t>
      </w:r>
      <w:r w:rsidRPr="009F43DE">
        <w:rPr>
          <w:lang w:val="fr-CH"/>
        </w:rPr>
        <w:t xml:space="preserve"> gratuit et aide à la connexion au système. La page Internet www.freewifi.lk a également été établie.</w:t>
      </w:r>
    </w:p>
    <w:p w:rsidR="00E5029E" w:rsidRPr="009F43DE" w:rsidRDefault="00E5029E" w:rsidP="00E5029E">
      <w:pPr>
        <w:pStyle w:val="SingleTxtG"/>
        <w:rPr>
          <w:lang w:val="fr-CH"/>
        </w:rPr>
      </w:pPr>
      <w:r w:rsidRPr="009F43DE">
        <w:rPr>
          <w:lang w:val="fr-CH"/>
        </w:rPr>
        <w:t>220.</w:t>
      </w:r>
      <w:r w:rsidRPr="009F43DE">
        <w:rPr>
          <w:lang w:val="fr-CH"/>
        </w:rPr>
        <w:tab/>
      </w:r>
      <w:r w:rsidR="0012766B" w:rsidRPr="009F43DE">
        <w:rPr>
          <w:lang w:val="fr-CH"/>
        </w:rPr>
        <w:t>D</w:t>
      </w:r>
      <w:r w:rsidRPr="009F43DE">
        <w:rPr>
          <w:lang w:val="fr-CH"/>
        </w:rPr>
        <w:t xml:space="preserve">es connexions </w:t>
      </w:r>
      <w:r w:rsidR="007574C7" w:rsidRPr="009F43DE">
        <w:rPr>
          <w:lang w:val="fr-CH"/>
        </w:rPr>
        <w:t>Wifi</w:t>
      </w:r>
      <w:r w:rsidRPr="009F43DE">
        <w:rPr>
          <w:lang w:val="fr-CH"/>
        </w:rPr>
        <w:t xml:space="preserve"> gratuites devraient être disponibles dans tout le pays d</w:t>
      </w:r>
      <w:r w:rsidR="00F8384A" w:rsidRPr="009F43DE">
        <w:rPr>
          <w:lang w:val="fr-CH"/>
        </w:rPr>
        <w:t>’</w:t>
      </w:r>
      <w:r w:rsidRPr="009F43DE">
        <w:rPr>
          <w:lang w:val="fr-CH"/>
        </w:rPr>
        <w:t xml:space="preserve">ici </w:t>
      </w:r>
      <w:r w:rsidR="0012766B" w:rsidRPr="009F43DE">
        <w:rPr>
          <w:lang w:val="fr-CH"/>
        </w:rPr>
        <w:t xml:space="preserve">à </w:t>
      </w:r>
      <w:r w:rsidRPr="009F43DE">
        <w:rPr>
          <w:lang w:val="fr-CH"/>
        </w:rPr>
        <w:t>mars 2016 grâce au projet Loon de Google</w:t>
      </w:r>
      <w:r w:rsidR="0012766B" w:rsidRPr="009F43DE">
        <w:rPr>
          <w:lang w:val="fr-CH"/>
        </w:rPr>
        <w:t>,</w:t>
      </w:r>
      <w:r w:rsidRPr="009F43DE">
        <w:rPr>
          <w:lang w:val="fr-CH"/>
        </w:rPr>
        <w:t xml:space="preserve"> qui fournira ainsi un accès Internet universel à l</w:t>
      </w:r>
      <w:r w:rsidR="00F8384A" w:rsidRPr="009F43DE">
        <w:rPr>
          <w:lang w:val="fr-CH"/>
        </w:rPr>
        <w:t>’</w:t>
      </w:r>
      <w:r w:rsidRPr="009F43DE">
        <w:rPr>
          <w:lang w:val="fr-CH"/>
        </w:rPr>
        <w:t xml:space="preserve">ensemble du pays. </w:t>
      </w:r>
      <w:r w:rsidR="0012766B" w:rsidRPr="009F43DE">
        <w:rPr>
          <w:lang w:val="fr-CH"/>
        </w:rPr>
        <w:t>En application de la loi</w:t>
      </w:r>
      <w:r w:rsidRPr="009F43DE">
        <w:rPr>
          <w:lang w:val="fr-CH"/>
        </w:rPr>
        <w:t xml:space="preserve"> de 2003 sur les technologies de l</w:t>
      </w:r>
      <w:r w:rsidR="00F8384A" w:rsidRPr="009F43DE">
        <w:rPr>
          <w:lang w:val="fr-CH"/>
        </w:rPr>
        <w:t>’</w:t>
      </w:r>
      <w:r w:rsidRPr="009F43DE">
        <w:rPr>
          <w:lang w:val="fr-CH"/>
        </w:rPr>
        <w:t>information et de</w:t>
      </w:r>
      <w:r w:rsidR="0012766B" w:rsidRPr="009F43DE">
        <w:rPr>
          <w:lang w:val="fr-CH"/>
        </w:rPr>
        <w:t>s</w:t>
      </w:r>
      <w:r w:rsidRPr="009F43DE">
        <w:rPr>
          <w:lang w:val="fr-CH"/>
        </w:rPr>
        <w:t xml:space="preserve"> communication</w:t>
      </w:r>
      <w:r w:rsidR="0012766B" w:rsidRPr="009F43DE">
        <w:rPr>
          <w:lang w:val="fr-CH"/>
        </w:rPr>
        <w:t>s</w:t>
      </w:r>
      <w:r w:rsidRPr="009F43DE">
        <w:rPr>
          <w:lang w:val="fr-CH"/>
        </w:rPr>
        <w:t xml:space="preserve">, </w:t>
      </w:r>
      <w:r w:rsidR="0012766B" w:rsidRPr="009F43DE">
        <w:rPr>
          <w:lang w:val="fr-CH"/>
        </w:rPr>
        <w:t>d</w:t>
      </w:r>
      <w:r w:rsidRPr="009F43DE">
        <w:rPr>
          <w:lang w:val="fr-CH"/>
        </w:rPr>
        <w:t xml:space="preserve">es </w:t>
      </w:r>
      <w:r w:rsidR="00AA5651">
        <w:rPr>
          <w:lang w:val="fr-CH"/>
        </w:rPr>
        <w:t>c</w:t>
      </w:r>
      <w:r w:rsidR="00AA5651" w:rsidRPr="009F43DE">
        <w:rPr>
          <w:lang w:val="fr-CH"/>
        </w:rPr>
        <w:t xml:space="preserve">entres </w:t>
      </w:r>
      <w:r w:rsidRPr="009F43DE">
        <w:rPr>
          <w:lang w:val="fr-CH"/>
        </w:rPr>
        <w:t>Nenasala (Wisdom outlets</w:t>
      </w:r>
      <w:r w:rsidR="0012766B" w:rsidRPr="009F43DE">
        <w:rPr>
          <w:lang w:val="fr-CH"/>
        </w:rPr>
        <w:t>)</w:t>
      </w:r>
      <w:r w:rsidRPr="009F43DE">
        <w:rPr>
          <w:lang w:val="fr-CH"/>
        </w:rPr>
        <w:t xml:space="preserve"> ont été </w:t>
      </w:r>
      <w:r w:rsidR="0012766B" w:rsidRPr="009F43DE">
        <w:rPr>
          <w:lang w:val="fr-CH"/>
        </w:rPr>
        <w:t xml:space="preserve">établis </w:t>
      </w:r>
      <w:r w:rsidRPr="009F43DE">
        <w:rPr>
          <w:lang w:val="fr-CH"/>
        </w:rPr>
        <w:t>pour faciliter l</w:t>
      </w:r>
      <w:r w:rsidR="00F8384A" w:rsidRPr="009F43DE">
        <w:rPr>
          <w:lang w:val="fr-CH"/>
        </w:rPr>
        <w:t>’</w:t>
      </w:r>
      <w:r w:rsidRPr="009F43DE">
        <w:rPr>
          <w:lang w:val="fr-CH"/>
        </w:rPr>
        <w:t>accès à l</w:t>
      </w:r>
      <w:r w:rsidR="00F8384A" w:rsidRPr="009F43DE">
        <w:rPr>
          <w:lang w:val="fr-CH"/>
        </w:rPr>
        <w:t>’</w:t>
      </w:r>
      <w:r w:rsidRPr="009F43DE">
        <w:rPr>
          <w:lang w:val="fr-CH"/>
        </w:rPr>
        <w:t xml:space="preserve">Internet et </w:t>
      </w:r>
      <w:r w:rsidR="0012766B" w:rsidRPr="009F43DE">
        <w:rPr>
          <w:lang w:val="fr-CH"/>
        </w:rPr>
        <w:t xml:space="preserve">à </w:t>
      </w:r>
      <w:r w:rsidRPr="009F43DE">
        <w:rPr>
          <w:lang w:val="fr-CH"/>
        </w:rPr>
        <w:t xml:space="preserve">la technologie </w:t>
      </w:r>
      <w:r w:rsidR="0012766B" w:rsidRPr="009F43DE">
        <w:rPr>
          <w:lang w:val="fr-CH"/>
        </w:rPr>
        <w:t>en de</w:t>
      </w:r>
      <w:r w:rsidRPr="009F43DE">
        <w:rPr>
          <w:lang w:val="fr-CH"/>
        </w:rPr>
        <w:t xml:space="preserve">hors de Colombo </w:t>
      </w:r>
      <w:r w:rsidR="0012766B" w:rsidRPr="009F43DE">
        <w:rPr>
          <w:lang w:val="fr-CH"/>
        </w:rPr>
        <w:t xml:space="preserve">et </w:t>
      </w:r>
      <w:r w:rsidRPr="009F43DE">
        <w:rPr>
          <w:lang w:val="fr-CH"/>
        </w:rPr>
        <w:t xml:space="preserve">réduire </w:t>
      </w:r>
      <w:r w:rsidR="0012766B" w:rsidRPr="009F43DE">
        <w:rPr>
          <w:lang w:val="fr-CH"/>
        </w:rPr>
        <w:t xml:space="preserve">ainsi </w:t>
      </w:r>
      <w:r w:rsidRPr="009F43DE">
        <w:rPr>
          <w:lang w:val="fr-CH"/>
        </w:rPr>
        <w:t xml:space="preserve">la fracture numérique. Les </w:t>
      </w:r>
      <w:r w:rsidR="00AA5651">
        <w:rPr>
          <w:lang w:val="fr-CH"/>
        </w:rPr>
        <w:t>c</w:t>
      </w:r>
      <w:r w:rsidR="00AA5651" w:rsidRPr="009F43DE">
        <w:rPr>
          <w:lang w:val="fr-CH"/>
        </w:rPr>
        <w:t xml:space="preserve">entres </w:t>
      </w:r>
      <w:r w:rsidRPr="009F43DE">
        <w:rPr>
          <w:lang w:val="fr-CH"/>
        </w:rPr>
        <w:t xml:space="preserve">Nanasala sont des centres </w:t>
      </w:r>
      <w:r w:rsidR="007574C7" w:rsidRPr="009F43DE">
        <w:rPr>
          <w:lang w:val="fr-CH"/>
        </w:rPr>
        <w:t>multiservices</w:t>
      </w:r>
      <w:r w:rsidRPr="009F43DE">
        <w:rPr>
          <w:lang w:val="fr-CH"/>
        </w:rPr>
        <w:t xml:space="preserve"> qui répondent aux divers besoins des communautés en matière de technologies de l</w:t>
      </w:r>
      <w:r w:rsidR="00F8384A" w:rsidRPr="009F43DE">
        <w:rPr>
          <w:lang w:val="fr-CH"/>
        </w:rPr>
        <w:t>’</w:t>
      </w:r>
      <w:r w:rsidRPr="009F43DE">
        <w:rPr>
          <w:lang w:val="fr-CH"/>
        </w:rPr>
        <w:t>information et de</w:t>
      </w:r>
      <w:r w:rsidR="0012766B" w:rsidRPr="009F43DE">
        <w:rPr>
          <w:lang w:val="fr-CH"/>
        </w:rPr>
        <w:t>s</w:t>
      </w:r>
      <w:r w:rsidRPr="009F43DE">
        <w:rPr>
          <w:lang w:val="fr-CH"/>
        </w:rPr>
        <w:t xml:space="preserve"> communication</w:t>
      </w:r>
      <w:r w:rsidR="0012766B" w:rsidRPr="009F43DE">
        <w:rPr>
          <w:lang w:val="fr-CH"/>
        </w:rPr>
        <w:t>s</w:t>
      </w:r>
      <w:r w:rsidRPr="009F43DE">
        <w:rPr>
          <w:lang w:val="fr-CH"/>
        </w:rPr>
        <w:t xml:space="preserve">. </w:t>
      </w:r>
      <w:r w:rsidR="0012766B" w:rsidRPr="009F43DE">
        <w:rPr>
          <w:lang w:val="fr-CH"/>
        </w:rPr>
        <w:t>L</w:t>
      </w:r>
      <w:r w:rsidR="00F8384A" w:rsidRPr="009F43DE">
        <w:rPr>
          <w:lang w:val="fr-CH"/>
        </w:rPr>
        <w:t>’</w:t>
      </w:r>
      <w:r w:rsidR="0012766B" w:rsidRPr="009F43DE">
        <w:rPr>
          <w:lang w:val="fr-CH"/>
        </w:rPr>
        <w:t xml:space="preserve">adoption de </w:t>
      </w:r>
      <w:r w:rsidRPr="009F43DE">
        <w:rPr>
          <w:lang w:val="fr-CH"/>
        </w:rPr>
        <w:t>ces technologies</w:t>
      </w:r>
      <w:r w:rsidR="0012766B" w:rsidRPr="009F43DE">
        <w:rPr>
          <w:lang w:val="fr-CH"/>
        </w:rPr>
        <w:t xml:space="preserve"> améliore les conditions de vie des </w:t>
      </w:r>
      <w:r w:rsidRPr="009F43DE">
        <w:rPr>
          <w:lang w:val="fr-CH"/>
        </w:rPr>
        <w:t xml:space="preserve">communautés </w:t>
      </w:r>
      <w:r w:rsidR="0012766B" w:rsidRPr="009F43DE">
        <w:rPr>
          <w:lang w:val="fr-CH"/>
        </w:rPr>
        <w:t>en</w:t>
      </w:r>
      <w:r w:rsidRPr="009F43DE">
        <w:rPr>
          <w:lang w:val="fr-CH"/>
        </w:rPr>
        <w:t xml:space="preserve"> facil</w:t>
      </w:r>
      <w:r w:rsidR="0012766B" w:rsidRPr="009F43DE">
        <w:rPr>
          <w:lang w:val="fr-CH"/>
        </w:rPr>
        <w:t>itant</w:t>
      </w:r>
      <w:r w:rsidRPr="009F43DE">
        <w:rPr>
          <w:lang w:val="fr-CH"/>
        </w:rPr>
        <w:t xml:space="preserve"> </w:t>
      </w:r>
      <w:r w:rsidR="0012766B" w:rsidRPr="009F43DE">
        <w:rPr>
          <w:lang w:val="fr-CH"/>
        </w:rPr>
        <w:t>l</w:t>
      </w:r>
      <w:r w:rsidR="00F8384A" w:rsidRPr="009F43DE">
        <w:rPr>
          <w:lang w:val="fr-CH"/>
        </w:rPr>
        <w:t>’</w:t>
      </w:r>
      <w:r w:rsidR="0012766B" w:rsidRPr="009F43DE">
        <w:rPr>
          <w:lang w:val="fr-CH"/>
        </w:rPr>
        <w:t xml:space="preserve">accès </w:t>
      </w:r>
      <w:r w:rsidRPr="009F43DE">
        <w:rPr>
          <w:lang w:val="fr-CH"/>
        </w:rPr>
        <w:t>à l</w:t>
      </w:r>
      <w:r w:rsidR="00F8384A" w:rsidRPr="009F43DE">
        <w:rPr>
          <w:lang w:val="fr-CH"/>
        </w:rPr>
        <w:t>’</w:t>
      </w:r>
      <w:r w:rsidRPr="009F43DE">
        <w:rPr>
          <w:lang w:val="fr-CH"/>
        </w:rPr>
        <w:t xml:space="preserve">information et aux services, </w:t>
      </w:r>
      <w:r w:rsidR="0012766B" w:rsidRPr="009F43DE">
        <w:rPr>
          <w:lang w:val="fr-CH"/>
        </w:rPr>
        <w:t>notamment aux</w:t>
      </w:r>
      <w:r w:rsidRPr="009F43DE">
        <w:rPr>
          <w:lang w:val="fr-CH"/>
        </w:rPr>
        <w:t xml:space="preserve"> connaissances culturelles.</w:t>
      </w:r>
    </w:p>
    <w:p w:rsidR="00E5029E" w:rsidRPr="009F43DE" w:rsidRDefault="00E5029E" w:rsidP="00E5029E">
      <w:pPr>
        <w:pStyle w:val="SingleTxtG"/>
        <w:rPr>
          <w:lang w:val="fr-CH"/>
        </w:rPr>
      </w:pPr>
      <w:r w:rsidRPr="009F43DE">
        <w:rPr>
          <w:lang w:val="fr-CH"/>
        </w:rPr>
        <w:t>221.</w:t>
      </w:r>
      <w:r w:rsidRPr="009F43DE">
        <w:rPr>
          <w:lang w:val="fr-CH"/>
        </w:rPr>
        <w:tab/>
        <w:t xml:space="preserve">Le Ministère a pris les </w:t>
      </w:r>
      <w:r w:rsidR="0012766B" w:rsidRPr="009F43DE">
        <w:rPr>
          <w:lang w:val="fr-CH"/>
        </w:rPr>
        <w:t>mesures</w:t>
      </w:r>
      <w:r w:rsidRPr="009F43DE">
        <w:rPr>
          <w:lang w:val="fr-CH"/>
        </w:rPr>
        <w:t xml:space="preserve"> suivantes </w:t>
      </w:r>
      <w:r w:rsidR="0012766B" w:rsidRPr="009F43DE">
        <w:rPr>
          <w:lang w:val="fr-CH"/>
        </w:rPr>
        <w:t>pour</w:t>
      </w:r>
      <w:r w:rsidRPr="009F43DE">
        <w:rPr>
          <w:lang w:val="fr-CH"/>
        </w:rPr>
        <w:t xml:space="preserve"> promouvoir la culture populaire et l</w:t>
      </w:r>
      <w:r w:rsidR="00F8384A" w:rsidRPr="009F43DE">
        <w:rPr>
          <w:lang w:val="fr-CH"/>
        </w:rPr>
        <w:t>’</w:t>
      </w:r>
      <w:r w:rsidR="0012766B" w:rsidRPr="009F43DE">
        <w:rPr>
          <w:lang w:val="fr-CH"/>
        </w:rPr>
        <w:t xml:space="preserve">héritage </w:t>
      </w:r>
      <w:r w:rsidRPr="009F43DE">
        <w:rPr>
          <w:lang w:val="fr-CH"/>
        </w:rPr>
        <w:t>des populations adivasi/vedda</w:t>
      </w:r>
      <w:r w:rsidR="0012766B" w:rsidRPr="009F43DE">
        <w:rPr>
          <w:lang w:val="fr-CH"/>
        </w:rPr>
        <w:t>h</w:t>
      </w:r>
      <w:r w:rsidRPr="009F43DE">
        <w:rPr>
          <w:lang w:val="fr-CH"/>
        </w:rPr>
        <w:t xml:space="preserve"> du pays.</w:t>
      </w:r>
    </w:p>
    <w:p w:rsidR="00E5029E" w:rsidRPr="009F43DE" w:rsidRDefault="00E5029E" w:rsidP="00E5029E">
      <w:pPr>
        <w:pStyle w:val="Bullet1G"/>
        <w:numPr>
          <w:ilvl w:val="0"/>
          <w:numId w:val="0"/>
        </w:numPr>
        <w:tabs>
          <w:tab w:val="left" w:pos="1701"/>
        </w:tabs>
        <w:ind w:left="1701" w:hanging="170"/>
        <w:rPr>
          <w:lang w:val="fr-CH"/>
        </w:rPr>
      </w:pPr>
      <w:r w:rsidRPr="009F43DE">
        <w:rPr>
          <w:lang w:val="fr-CH"/>
        </w:rPr>
        <w:t>•</w:t>
      </w:r>
      <w:r w:rsidRPr="009F43DE">
        <w:rPr>
          <w:lang w:val="fr-CH"/>
        </w:rPr>
        <w:tab/>
        <w:t xml:space="preserve">Rénovation de </w:t>
      </w:r>
      <w:r w:rsidR="0012766B" w:rsidRPr="009F43DE">
        <w:rPr>
          <w:lang w:val="fr-CH"/>
        </w:rPr>
        <w:t>l</w:t>
      </w:r>
      <w:r w:rsidR="00F8384A" w:rsidRPr="009F43DE">
        <w:rPr>
          <w:lang w:val="fr-CH"/>
        </w:rPr>
        <w:t>’</w:t>
      </w:r>
      <w:r w:rsidRPr="009F43DE">
        <w:rPr>
          <w:lang w:val="fr-CH"/>
        </w:rPr>
        <w:t>Adivasi Jana Uruma Kendraya à Dambana. L</w:t>
      </w:r>
      <w:r w:rsidR="00F8384A" w:rsidRPr="009F43DE">
        <w:rPr>
          <w:lang w:val="fr-CH"/>
        </w:rPr>
        <w:t>’</w:t>
      </w:r>
      <w:r w:rsidRPr="009F43DE">
        <w:rPr>
          <w:lang w:val="fr-CH"/>
        </w:rPr>
        <w:t xml:space="preserve">objectif de </w:t>
      </w:r>
      <w:r w:rsidR="0012766B" w:rsidRPr="009F43DE">
        <w:rPr>
          <w:lang w:val="fr-CH"/>
        </w:rPr>
        <w:t>cette</w:t>
      </w:r>
      <w:r w:rsidRPr="009F43DE">
        <w:rPr>
          <w:lang w:val="fr-CH"/>
        </w:rPr>
        <w:t xml:space="preserve"> rénovation est de protéger, promouvoir et reconnaître le patrimoine des peuples autochtones. Parmi les autres </w:t>
      </w:r>
      <w:r w:rsidR="0012766B" w:rsidRPr="009F43DE">
        <w:rPr>
          <w:lang w:val="fr-CH"/>
        </w:rPr>
        <w:t>retombées</w:t>
      </w:r>
      <w:r w:rsidRPr="009F43DE">
        <w:rPr>
          <w:lang w:val="fr-CH"/>
        </w:rPr>
        <w:t xml:space="preserve"> de ce projet</w:t>
      </w:r>
      <w:r w:rsidR="0012766B" w:rsidRPr="009F43DE">
        <w:rPr>
          <w:lang w:val="fr-CH"/>
        </w:rPr>
        <w:t>, on peut</w:t>
      </w:r>
      <w:r w:rsidRPr="009F43DE">
        <w:rPr>
          <w:lang w:val="fr-CH"/>
        </w:rPr>
        <w:t xml:space="preserve"> signaler l</w:t>
      </w:r>
      <w:r w:rsidR="00F8384A" w:rsidRPr="009F43DE">
        <w:rPr>
          <w:lang w:val="fr-CH"/>
        </w:rPr>
        <w:t>’</w:t>
      </w:r>
      <w:r w:rsidRPr="009F43DE">
        <w:rPr>
          <w:lang w:val="fr-CH"/>
        </w:rPr>
        <w:t>amélioration des moyens de subsistance de</w:t>
      </w:r>
      <w:r w:rsidR="00C46220" w:rsidRPr="009F43DE">
        <w:rPr>
          <w:lang w:val="fr-CH"/>
        </w:rPr>
        <w:t xml:space="preserve"> la population</w:t>
      </w:r>
      <w:r w:rsidRPr="009F43DE">
        <w:rPr>
          <w:lang w:val="fr-CH"/>
        </w:rPr>
        <w:t xml:space="preserve"> </w:t>
      </w:r>
      <w:r w:rsidR="0012766B" w:rsidRPr="009F43DE">
        <w:rPr>
          <w:lang w:val="fr-CH"/>
        </w:rPr>
        <w:t xml:space="preserve">concernée </w:t>
      </w:r>
      <w:r w:rsidRPr="009F43DE">
        <w:rPr>
          <w:lang w:val="fr-CH"/>
        </w:rPr>
        <w:t>grâce à une augmentation du nombre de touristes et l</w:t>
      </w:r>
      <w:r w:rsidR="0012766B" w:rsidRPr="009F43DE">
        <w:rPr>
          <w:lang w:val="fr-CH"/>
        </w:rPr>
        <w:t xml:space="preserve">a multiplication </w:t>
      </w:r>
      <w:r w:rsidRPr="009F43DE">
        <w:rPr>
          <w:lang w:val="fr-CH"/>
        </w:rPr>
        <w:t>de</w:t>
      </w:r>
      <w:r w:rsidR="0012766B" w:rsidRPr="009F43DE">
        <w:rPr>
          <w:lang w:val="fr-CH"/>
        </w:rPr>
        <w:t>s</w:t>
      </w:r>
      <w:r w:rsidRPr="009F43DE">
        <w:rPr>
          <w:lang w:val="fr-CH"/>
        </w:rPr>
        <w:t xml:space="preserve"> recherche</w:t>
      </w:r>
      <w:r w:rsidR="0012766B" w:rsidRPr="009F43DE">
        <w:rPr>
          <w:lang w:val="fr-CH"/>
        </w:rPr>
        <w:t>s</w:t>
      </w:r>
      <w:r w:rsidRPr="009F43DE">
        <w:rPr>
          <w:lang w:val="fr-CH"/>
        </w:rPr>
        <w:t xml:space="preserve"> universitair</w:t>
      </w:r>
      <w:r w:rsidR="0012766B" w:rsidRPr="009F43DE">
        <w:rPr>
          <w:lang w:val="fr-CH"/>
        </w:rPr>
        <w:t xml:space="preserve">es sur </w:t>
      </w:r>
      <w:r w:rsidRPr="009F43DE">
        <w:rPr>
          <w:lang w:val="fr-CH"/>
        </w:rPr>
        <w:t>ce</w:t>
      </w:r>
      <w:r w:rsidR="00C46220" w:rsidRPr="009F43DE">
        <w:rPr>
          <w:lang w:val="fr-CH"/>
        </w:rPr>
        <w:t xml:space="preserve">tte population et sa </w:t>
      </w:r>
      <w:r w:rsidRPr="009F43DE">
        <w:rPr>
          <w:lang w:val="fr-CH"/>
        </w:rPr>
        <w:t>culture</w:t>
      </w:r>
      <w:r w:rsidR="00C46220" w:rsidRPr="009F43DE">
        <w:rPr>
          <w:lang w:val="fr-CH"/>
        </w:rPr>
        <w:t xml:space="preserve"> unique</w:t>
      </w:r>
      <w:r w:rsidR="00B2292F">
        <w:rPr>
          <w:lang w:val="fr-CH"/>
        </w:rPr>
        <w:t>;</w:t>
      </w:r>
    </w:p>
    <w:p w:rsidR="00E5029E" w:rsidRDefault="00E5029E" w:rsidP="00E5029E">
      <w:pPr>
        <w:pStyle w:val="Bullet1G"/>
        <w:tabs>
          <w:tab w:val="left" w:pos="1701"/>
        </w:tabs>
        <w:rPr>
          <w:lang w:val="fr-CH"/>
        </w:rPr>
      </w:pPr>
      <w:r w:rsidRPr="009F43DE">
        <w:rPr>
          <w:lang w:val="fr-CH"/>
        </w:rPr>
        <w:t>La construction d</w:t>
      </w:r>
      <w:r w:rsidR="00F8384A" w:rsidRPr="009F43DE">
        <w:rPr>
          <w:lang w:val="fr-CH"/>
        </w:rPr>
        <w:t>’</w:t>
      </w:r>
      <w:r w:rsidRPr="009F43DE">
        <w:rPr>
          <w:lang w:val="fr-CH"/>
        </w:rPr>
        <w:t>un Piyasa Adivasi Veda</w:t>
      </w:r>
      <w:r w:rsidR="00C46220" w:rsidRPr="009F43DE">
        <w:rPr>
          <w:lang w:val="fr-CH"/>
        </w:rPr>
        <w:t xml:space="preserve">, qui </w:t>
      </w:r>
      <w:r w:rsidRPr="009F43DE">
        <w:rPr>
          <w:lang w:val="fr-CH"/>
        </w:rPr>
        <w:t>vis</w:t>
      </w:r>
      <w:r w:rsidR="00C46220" w:rsidRPr="009F43DE">
        <w:rPr>
          <w:lang w:val="fr-CH"/>
        </w:rPr>
        <w:t>e</w:t>
      </w:r>
      <w:r w:rsidRPr="009F43DE">
        <w:rPr>
          <w:lang w:val="fr-CH"/>
        </w:rPr>
        <w:t xml:space="preserve"> à promouvoir et préserver l</w:t>
      </w:r>
      <w:r w:rsidR="00F8384A" w:rsidRPr="009F43DE">
        <w:rPr>
          <w:lang w:val="fr-CH"/>
        </w:rPr>
        <w:t>’</w:t>
      </w:r>
      <w:r w:rsidRPr="009F43DE">
        <w:rPr>
          <w:lang w:val="fr-CH"/>
        </w:rPr>
        <w:t>ancien système médical traditionnel des peuples autochtones. En outre, deux maisons ont été construites pour les dirigeants autochtones, en gardant les mêmes objectifs à l</w:t>
      </w:r>
      <w:r w:rsidR="00F8384A" w:rsidRPr="009F43DE">
        <w:rPr>
          <w:lang w:val="fr-CH"/>
        </w:rPr>
        <w:t>’</w:t>
      </w:r>
      <w:r w:rsidRPr="009F43DE">
        <w:rPr>
          <w:lang w:val="fr-CH"/>
        </w:rPr>
        <w:t>esprit</w:t>
      </w:r>
      <w:r w:rsidR="00B2292F">
        <w:rPr>
          <w:lang w:val="fr-CH"/>
        </w:rPr>
        <w:t>;</w:t>
      </w:r>
    </w:p>
    <w:p w:rsidR="00E5029E" w:rsidRPr="009F43DE" w:rsidRDefault="00AA5651" w:rsidP="00AA5651">
      <w:pPr>
        <w:pStyle w:val="Bullet1G"/>
        <w:tabs>
          <w:tab w:val="left" w:pos="1701"/>
        </w:tabs>
        <w:rPr>
          <w:lang w:val="fr-CH"/>
        </w:rPr>
      </w:pPr>
      <w:r w:rsidRPr="009F43DE">
        <w:rPr>
          <w:lang w:val="fr-CH"/>
        </w:rPr>
        <w:t>Un théâtre en plein air a été construit pour la démonstration des activités folkloriques culturelles des peuples autochtones. Comme on l’a déjà indiqué, cela constitue aussi une attraction touristique majeure permettant d’améliorer encore les moyens de subsistance de la population.</w:t>
      </w:r>
    </w:p>
    <w:p w:rsidR="00E5029E" w:rsidRPr="009F43DE" w:rsidRDefault="00E5029E" w:rsidP="00E5029E">
      <w:pPr>
        <w:pStyle w:val="H23G"/>
        <w:rPr>
          <w:lang w:val="fr-CH"/>
        </w:rPr>
      </w:pPr>
      <w:r w:rsidRPr="009F43DE">
        <w:rPr>
          <w:lang w:val="fr-CH"/>
        </w:rPr>
        <w:tab/>
      </w:r>
      <w:r w:rsidRPr="009F43DE">
        <w:rPr>
          <w:lang w:val="fr-CH"/>
        </w:rPr>
        <w:tab/>
        <w:t xml:space="preserve">Loi </w:t>
      </w:r>
      <w:r w:rsidR="00B2292F">
        <w:rPr>
          <w:lang w:val="fr-CH"/>
        </w:rPr>
        <w:t>n</w:t>
      </w:r>
      <w:r w:rsidR="00B2292F" w:rsidRPr="001D6B83">
        <w:rPr>
          <w:vertAlign w:val="superscript"/>
          <w:lang w:val="fr-CH"/>
        </w:rPr>
        <w:t>o</w:t>
      </w:r>
      <w:r w:rsidR="00C46220" w:rsidRPr="009F43DE">
        <w:rPr>
          <w:lang w:val="fr-CH"/>
        </w:rPr>
        <w:t> </w:t>
      </w:r>
      <w:r w:rsidRPr="009F43DE">
        <w:rPr>
          <w:lang w:val="fr-CH"/>
        </w:rPr>
        <w:t>36 de 2003 sur la propriété intellectuelle</w:t>
      </w:r>
    </w:p>
    <w:p w:rsidR="00E5029E" w:rsidRPr="009F43DE" w:rsidRDefault="00E5029E" w:rsidP="00E5029E">
      <w:pPr>
        <w:pStyle w:val="SingleTxtG"/>
        <w:rPr>
          <w:lang w:val="fr-CH"/>
        </w:rPr>
      </w:pPr>
      <w:r w:rsidRPr="009F43DE">
        <w:rPr>
          <w:lang w:val="fr-CH"/>
        </w:rPr>
        <w:t>222.</w:t>
      </w:r>
      <w:r w:rsidRPr="009F43DE">
        <w:rPr>
          <w:lang w:val="fr-CH"/>
        </w:rPr>
        <w:tab/>
        <w:t>L</w:t>
      </w:r>
      <w:r w:rsidR="00C46220" w:rsidRPr="009F43DE">
        <w:rPr>
          <w:lang w:val="fr-CH"/>
        </w:rPr>
        <w:t>e paragraphe 1 de l</w:t>
      </w:r>
      <w:r w:rsidR="00F8384A" w:rsidRPr="009F43DE">
        <w:rPr>
          <w:lang w:val="fr-CH"/>
        </w:rPr>
        <w:t>’</w:t>
      </w:r>
      <w:r w:rsidRPr="009F43DE">
        <w:rPr>
          <w:lang w:val="fr-CH"/>
        </w:rPr>
        <w:t xml:space="preserve">article 6 de la </w:t>
      </w:r>
      <w:r w:rsidR="00C46220" w:rsidRPr="009F43DE">
        <w:rPr>
          <w:lang w:val="fr-CH"/>
        </w:rPr>
        <w:t>l</w:t>
      </w:r>
      <w:r w:rsidRPr="009F43DE">
        <w:rPr>
          <w:lang w:val="fr-CH"/>
        </w:rPr>
        <w:t>oi</w:t>
      </w:r>
      <w:r w:rsidR="00B2292F" w:rsidRPr="00B2292F">
        <w:rPr>
          <w:lang w:val="fr-CH"/>
        </w:rPr>
        <w:t xml:space="preserve"> </w:t>
      </w:r>
      <w:r w:rsidR="00B2292F">
        <w:rPr>
          <w:lang w:val="fr-CH"/>
        </w:rPr>
        <w:t>n</w:t>
      </w:r>
      <w:r w:rsidR="00B2292F" w:rsidRPr="001D6B83">
        <w:rPr>
          <w:vertAlign w:val="superscript"/>
          <w:lang w:val="fr-CH"/>
        </w:rPr>
        <w:t>o</w:t>
      </w:r>
      <w:r w:rsidR="00C46220" w:rsidRPr="009F43DE">
        <w:rPr>
          <w:lang w:val="fr-CH"/>
        </w:rPr>
        <w:t> </w:t>
      </w:r>
      <w:r w:rsidRPr="009F43DE">
        <w:rPr>
          <w:lang w:val="fr-CH"/>
        </w:rPr>
        <w:t xml:space="preserve">36 de 2003 sur la propriété intellectuelle prévoit la protection des œuvres littéraires, artistiques ou scientifiques qui sont des créations de propriété intellectuelle dans les domaines littéraire, artistique et scientifique. </w:t>
      </w:r>
      <w:r w:rsidR="00C46220" w:rsidRPr="009F43DE">
        <w:rPr>
          <w:lang w:val="fr-CH"/>
        </w:rPr>
        <w:t>Il peut s</w:t>
      </w:r>
      <w:r w:rsidR="00F8384A" w:rsidRPr="009F43DE">
        <w:rPr>
          <w:lang w:val="fr-CH"/>
        </w:rPr>
        <w:t>’</w:t>
      </w:r>
      <w:r w:rsidR="00C46220" w:rsidRPr="009F43DE">
        <w:rPr>
          <w:lang w:val="fr-CH"/>
        </w:rPr>
        <w:t>agir de</w:t>
      </w:r>
      <w:r w:rsidRPr="009F43DE">
        <w:rPr>
          <w:lang w:val="fr-CH"/>
        </w:rPr>
        <w:t xml:space="preserve"> livres, brochures, articles, programmes informatiques, discours, conférences, allocutions, œuvres dramatiques, musicales ou chorégraphiques, productions théâtrales, œuvres folkloriques, audiovisuelles</w:t>
      </w:r>
      <w:r w:rsidR="00C46220" w:rsidRPr="009F43DE">
        <w:rPr>
          <w:lang w:val="fr-CH"/>
        </w:rPr>
        <w:t xml:space="preserve"> ou</w:t>
      </w:r>
      <w:r w:rsidRPr="009F43DE">
        <w:rPr>
          <w:lang w:val="fr-CH"/>
        </w:rPr>
        <w:t xml:space="preserve"> architecturales, dessins, peintures, sculptures, photographies, arts appliqués, illustrations, cartes, plans</w:t>
      </w:r>
      <w:r w:rsidR="00C46220" w:rsidRPr="009F43DE">
        <w:rPr>
          <w:lang w:val="fr-CH"/>
        </w:rPr>
        <w:t>, qui doivent</w:t>
      </w:r>
      <w:r w:rsidRPr="009F43DE">
        <w:rPr>
          <w:lang w:val="fr-CH"/>
        </w:rPr>
        <w:t xml:space="preserve"> être protégés indépendamment de l</w:t>
      </w:r>
      <w:r w:rsidR="00C46220" w:rsidRPr="009F43DE">
        <w:rPr>
          <w:lang w:val="fr-CH"/>
        </w:rPr>
        <w:t>a</w:t>
      </w:r>
      <w:r w:rsidRPr="009F43DE">
        <w:rPr>
          <w:lang w:val="fr-CH"/>
        </w:rPr>
        <w:t xml:space="preserve"> forme d</w:t>
      </w:r>
      <w:r w:rsidR="00F8384A" w:rsidRPr="009F43DE">
        <w:rPr>
          <w:lang w:val="fr-CH"/>
        </w:rPr>
        <w:t>’</w:t>
      </w:r>
      <w:r w:rsidRPr="009F43DE">
        <w:rPr>
          <w:lang w:val="fr-CH"/>
        </w:rPr>
        <w:t>expression</w:t>
      </w:r>
      <w:r w:rsidR="00C46220" w:rsidRPr="009F43DE">
        <w:rPr>
          <w:lang w:val="fr-CH"/>
        </w:rPr>
        <w:t>, du</w:t>
      </w:r>
      <w:r w:rsidRPr="009F43DE">
        <w:rPr>
          <w:lang w:val="fr-CH"/>
        </w:rPr>
        <w:t xml:space="preserve"> contenu et </w:t>
      </w:r>
      <w:r w:rsidR="00C46220" w:rsidRPr="009F43DE">
        <w:rPr>
          <w:lang w:val="fr-CH"/>
        </w:rPr>
        <w:t xml:space="preserve">de la </w:t>
      </w:r>
      <w:r w:rsidRPr="009F43DE">
        <w:rPr>
          <w:lang w:val="fr-CH"/>
        </w:rPr>
        <w:t>qualité. L</w:t>
      </w:r>
      <w:r w:rsidR="00F8384A" w:rsidRPr="009F43DE">
        <w:rPr>
          <w:lang w:val="fr-CH"/>
        </w:rPr>
        <w:t>’</w:t>
      </w:r>
      <w:r w:rsidRPr="009F43DE">
        <w:rPr>
          <w:lang w:val="fr-CH"/>
        </w:rPr>
        <w:t xml:space="preserve">article 5 de la </w:t>
      </w:r>
      <w:r w:rsidR="00C46220" w:rsidRPr="009F43DE">
        <w:rPr>
          <w:lang w:val="fr-CH"/>
        </w:rPr>
        <w:t>l</w:t>
      </w:r>
      <w:r w:rsidRPr="009F43DE">
        <w:rPr>
          <w:lang w:val="fr-CH"/>
        </w:rPr>
        <w:t xml:space="preserve">oi définit comme </w:t>
      </w:r>
      <w:r w:rsidR="00F8384A" w:rsidRPr="009F43DE">
        <w:rPr>
          <w:lang w:val="fr-CH"/>
        </w:rPr>
        <w:t>«</w:t>
      </w:r>
      <w:r w:rsidRPr="009F43DE">
        <w:rPr>
          <w:lang w:val="fr-CH"/>
        </w:rPr>
        <w:t>auteur</w:t>
      </w:r>
      <w:r w:rsidR="00F8384A" w:rsidRPr="009F43DE">
        <w:rPr>
          <w:lang w:val="fr-CH"/>
        </w:rPr>
        <w:t>»</w:t>
      </w:r>
      <w:r w:rsidRPr="009F43DE">
        <w:rPr>
          <w:lang w:val="fr-CH"/>
        </w:rPr>
        <w:t xml:space="preserve"> la personne physique qui a créé l</w:t>
      </w:r>
      <w:r w:rsidR="00F8384A" w:rsidRPr="009F43DE">
        <w:rPr>
          <w:lang w:val="fr-CH"/>
        </w:rPr>
        <w:t>’</w:t>
      </w:r>
      <w:r w:rsidRPr="009F43DE">
        <w:rPr>
          <w:lang w:val="fr-CH"/>
        </w:rPr>
        <w:t>œuvre. En vertu de l</w:t>
      </w:r>
      <w:r w:rsidR="00F8384A" w:rsidRPr="009F43DE">
        <w:rPr>
          <w:lang w:val="fr-CH"/>
        </w:rPr>
        <w:t>’</w:t>
      </w:r>
      <w:r w:rsidRPr="009F43DE">
        <w:rPr>
          <w:lang w:val="fr-CH"/>
        </w:rPr>
        <w:t xml:space="preserve">article 13, sous réserve des dispositions </w:t>
      </w:r>
      <w:r w:rsidR="00C46220" w:rsidRPr="009F43DE">
        <w:rPr>
          <w:lang w:val="fr-CH"/>
        </w:rPr>
        <w:t>concernant l</w:t>
      </w:r>
      <w:r w:rsidR="00F8384A" w:rsidRPr="009F43DE">
        <w:rPr>
          <w:lang w:val="fr-CH"/>
        </w:rPr>
        <w:t>’</w:t>
      </w:r>
      <w:r w:rsidR="00C46220" w:rsidRPr="009F43DE">
        <w:rPr>
          <w:lang w:val="fr-CH"/>
        </w:rPr>
        <w:t xml:space="preserve">usage raisonnable et </w:t>
      </w:r>
      <w:r w:rsidRPr="009F43DE">
        <w:rPr>
          <w:lang w:val="fr-CH"/>
        </w:rPr>
        <w:t xml:space="preserve">la </w:t>
      </w:r>
      <w:r w:rsidR="00C46220" w:rsidRPr="009F43DE">
        <w:rPr>
          <w:lang w:val="fr-CH"/>
        </w:rPr>
        <w:t>période</w:t>
      </w:r>
      <w:r w:rsidRPr="009F43DE">
        <w:rPr>
          <w:lang w:val="fr-CH"/>
        </w:rPr>
        <w:t xml:space="preserve"> de protection, les droits économiques et moraux </w:t>
      </w:r>
      <w:r w:rsidR="00C46220" w:rsidRPr="009F43DE">
        <w:rPr>
          <w:lang w:val="fr-CH"/>
        </w:rPr>
        <w:t>sont</w:t>
      </w:r>
      <w:r w:rsidRPr="009F43DE">
        <w:rPr>
          <w:lang w:val="fr-CH"/>
        </w:rPr>
        <w:t xml:space="preserve"> protégés pendant la durée de vie de l</w:t>
      </w:r>
      <w:r w:rsidR="00F8384A" w:rsidRPr="009F43DE">
        <w:rPr>
          <w:lang w:val="fr-CH"/>
        </w:rPr>
        <w:t>’</w:t>
      </w:r>
      <w:r w:rsidRPr="009F43DE">
        <w:rPr>
          <w:lang w:val="fr-CH"/>
        </w:rPr>
        <w:t xml:space="preserve">auteur et une période de </w:t>
      </w:r>
      <w:r w:rsidR="00B2292F">
        <w:rPr>
          <w:lang w:val="fr-CH"/>
        </w:rPr>
        <w:t>soixante-dix</w:t>
      </w:r>
      <w:r w:rsidR="00B2292F" w:rsidRPr="009F43DE">
        <w:rPr>
          <w:lang w:val="fr-CH"/>
        </w:rPr>
        <w:t xml:space="preserve"> </w:t>
      </w:r>
      <w:r w:rsidRPr="009F43DE">
        <w:rPr>
          <w:lang w:val="fr-CH"/>
        </w:rPr>
        <w:t>ans à compter de la date de sa mort.</w:t>
      </w:r>
    </w:p>
    <w:p w:rsidR="00E5029E" w:rsidRPr="009F43DE" w:rsidRDefault="00E5029E" w:rsidP="00E5029E">
      <w:pPr>
        <w:pStyle w:val="SingleTxtG"/>
        <w:rPr>
          <w:lang w:val="fr-CH"/>
        </w:rPr>
      </w:pPr>
      <w:r w:rsidRPr="009F43DE">
        <w:rPr>
          <w:lang w:val="fr-CH"/>
        </w:rPr>
        <w:t>223.</w:t>
      </w:r>
      <w:r w:rsidRPr="009F43DE">
        <w:rPr>
          <w:lang w:val="fr-CH"/>
        </w:rPr>
        <w:tab/>
        <w:t xml:space="preserve">Le </w:t>
      </w:r>
      <w:r w:rsidR="007574C7" w:rsidRPr="009F43DE">
        <w:rPr>
          <w:lang w:val="fr-CH"/>
        </w:rPr>
        <w:t xml:space="preserve">détenteur </w:t>
      </w:r>
      <w:r w:rsidRPr="009F43DE">
        <w:rPr>
          <w:lang w:val="fr-CH"/>
        </w:rPr>
        <w:t>du droit d</w:t>
      </w:r>
      <w:r w:rsidR="00F8384A" w:rsidRPr="009F43DE">
        <w:rPr>
          <w:lang w:val="fr-CH"/>
        </w:rPr>
        <w:t>’</w:t>
      </w:r>
      <w:r w:rsidRPr="009F43DE">
        <w:rPr>
          <w:lang w:val="fr-CH"/>
        </w:rPr>
        <w:t>auteur d</w:t>
      </w:r>
      <w:r w:rsidR="00F8384A" w:rsidRPr="009F43DE">
        <w:rPr>
          <w:lang w:val="fr-CH"/>
        </w:rPr>
        <w:t>’</w:t>
      </w:r>
      <w:r w:rsidRPr="009F43DE">
        <w:rPr>
          <w:lang w:val="fr-CH"/>
        </w:rPr>
        <w:t>une œuvre bénéficie d</w:t>
      </w:r>
      <w:r w:rsidR="00F8384A" w:rsidRPr="009F43DE">
        <w:rPr>
          <w:lang w:val="fr-CH"/>
        </w:rPr>
        <w:t>’</w:t>
      </w:r>
      <w:r w:rsidRPr="009F43DE">
        <w:rPr>
          <w:lang w:val="fr-CH"/>
        </w:rPr>
        <w:t>un droit exclusif sur la reproduction, la traduction, l</w:t>
      </w:r>
      <w:r w:rsidR="00F8384A" w:rsidRPr="009F43DE">
        <w:rPr>
          <w:lang w:val="fr-CH"/>
        </w:rPr>
        <w:t>’</w:t>
      </w:r>
      <w:r w:rsidRPr="009F43DE">
        <w:rPr>
          <w:lang w:val="fr-CH"/>
        </w:rPr>
        <w:t xml:space="preserve">adaptation et les modifications de son œuvre, </w:t>
      </w:r>
      <w:r w:rsidR="007574C7" w:rsidRPr="009F43DE">
        <w:rPr>
          <w:lang w:val="fr-CH"/>
        </w:rPr>
        <w:t xml:space="preserve">ainsi que sur </w:t>
      </w:r>
      <w:r w:rsidRPr="009F43DE">
        <w:rPr>
          <w:lang w:val="fr-CH"/>
        </w:rPr>
        <w:t>sa distribution publique par une vente, une location ou une exportation. En vertu de l</w:t>
      </w:r>
      <w:r w:rsidR="00F8384A" w:rsidRPr="009F43DE">
        <w:rPr>
          <w:lang w:val="fr-CH"/>
        </w:rPr>
        <w:t>’</w:t>
      </w:r>
      <w:r w:rsidRPr="009F43DE">
        <w:rPr>
          <w:lang w:val="fr-CH"/>
        </w:rPr>
        <w:t>article</w:t>
      </w:r>
      <w:r w:rsidR="000278AE">
        <w:rPr>
          <w:lang w:val="fr-CH"/>
        </w:rPr>
        <w:t> </w:t>
      </w:r>
      <w:r w:rsidRPr="009F43DE">
        <w:rPr>
          <w:lang w:val="fr-CH"/>
        </w:rPr>
        <w:t xml:space="preserve">24 de la </w:t>
      </w:r>
      <w:r w:rsidR="007574C7" w:rsidRPr="009F43DE">
        <w:rPr>
          <w:lang w:val="fr-CH"/>
        </w:rPr>
        <w:t>l</w:t>
      </w:r>
      <w:r w:rsidRPr="009F43DE">
        <w:rPr>
          <w:lang w:val="fr-CH"/>
        </w:rPr>
        <w:t xml:space="preserve">oi, les expressions </w:t>
      </w:r>
      <w:r w:rsidR="007574C7" w:rsidRPr="009F43DE">
        <w:rPr>
          <w:lang w:val="fr-CH"/>
        </w:rPr>
        <w:t>culturelles traditionnelles</w:t>
      </w:r>
      <w:r w:rsidRPr="009F43DE">
        <w:rPr>
          <w:lang w:val="fr-CH"/>
        </w:rPr>
        <w:t xml:space="preserve"> doivent être protégées contre la reproduction, la communication au public, l</w:t>
      </w:r>
      <w:r w:rsidR="00F8384A" w:rsidRPr="009F43DE">
        <w:rPr>
          <w:lang w:val="fr-CH"/>
        </w:rPr>
        <w:t>’</w:t>
      </w:r>
      <w:r w:rsidRPr="009F43DE">
        <w:rPr>
          <w:lang w:val="fr-CH"/>
        </w:rPr>
        <w:t>adaptation, la traduction et d</w:t>
      </w:r>
      <w:r w:rsidR="00F8384A" w:rsidRPr="009F43DE">
        <w:rPr>
          <w:lang w:val="fr-CH"/>
        </w:rPr>
        <w:t>’</w:t>
      </w:r>
      <w:r w:rsidRPr="009F43DE">
        <w:rPr>
          <w:lang w:val="fr-CH"/>
        </w:rPr>
        <w:t xml:space="preserve">autres transformations quand </w:t>
      </w:r>
      <w:r w:rsidR="007574C7" w:rsidRPr="009F43DE">
        <w:rPr>
          <w:lang w:val="fr-CH"/>
        </w:rPr>
        <w:t>celles-ci ont</w:t>
      </w:r>
      <w:r w:rsidRPr="009F43DE">
        <w:rPr>
          <w:lang w:val="fr-CH"/>
        </w:rPr>
        <w:t xml:space="preserve"> des fins commerciales ou </w:t>
      </w:r>
      <w:r w:rsidR="007574C7" w:rsidRPr="009F43DE">
        <w:rPr>
          <w:lang w:val="fr-CH"/>
        </w:rPr>
        <w:t xml:space="preserve">interviennent </w:t>
      </w:r>
      <w:r w:rsidRPr="009F43DE">
        <w:rPr>
          <w:lang w:val="fr-CH"/>
        </w:rPr>
        <w:t>en dehors d</w:t>
      </w:r>
      <w:r w:rsidR="007574C7" w:rsidRPr="009F43DE">
        <w:rPr>
          <w:lang w:val="fr-CH"/>
        </w:rPr>
        <w:t>u</w:t>
      </w:r>
      <w:r w:rsidRPr="009F43DE">
        <w:rPr>
          <w:lang w:val="fr-CH"/>
        </w:rPr>
        <w:t xml:space="preserve"> contexte traditionnel ou coutumier.</w:t>
      </w:r>
    </w:p>
    <w:p w:rsidR="00E5029E" w:rsidRPr="009F43DE" w:rsidRDefault="00E5029E" w:rsidP="00E5029E">
      <w:pPr>
        <w:pStyle w:val="SingleTxtG"/>
        <w:rPr>
          <w:color w:val="000000"/>
          <w:lang w:val="fr-CH"/>
        </w:rPr>
      </w:pPr>
      <w:r w:rsidRPr="009F43DE">
        <w:rPr>
          <w:lang w:val="fr-CH"/>
        </w:rPr>
        <w:t>224.</w:t>
      </w:r>
      <w:r w:rsidRPr="009F43DE">
        <w:rPr>
          <w:lang w:val="fr-CH"/>
        </w:rPr>
        <w:tab/>
        <w:t xml:space="preserve">Sri </w:t>
      </w:r>
      <w:r w:rsidRPr="009F43DE">
        <w:rPr>
          <w:color w:val="000000"/>
          <w:lang w:val="fr-CH"/>
        </w:rPr>
        <w:t>Lanka est partie</w:t>
      </w:r>
      <w:r w:rsidR="000278AE">
        <w:rPr>
          <w:color w:val="000000"/>
          <w:lang w:val="fr-CH"/>
        </w:rPr>
        <w:t>:</w:t>
      </w:r>
      <w:r w:rsidRPr="009F43DE">
        <w:rPr>
          <w:color w:val="000000"/>
          <w:lang w:val="fr-CH"/>
        </w:rPr>
        <w:t xml:space="preserve"> i) à la Convention de Paris pour la protection de la propriété industrielle</w:t>
      </w:r>
      <w:r w:rsidR="00B2292F">
        <w:rPr>
          <w:color w:val="000000"/>
          <w:lang w:val="fr-CH"/>
        </w:rPr>
        <w:t>;</w:t>
      </w:r>
      <w:r w:rsidR="00B2292F" w:rsidRPr="009F43DE">
        <w:rPr>
          <w:color w:val="000000"/>
          <w:lang w:val="fr-CH"/>
        </w:rPr>
        <w:t xml:space="preserve"> </w:t>
      </w:r>
      <w:r w:rsidRPr="009F43DE">
        <w:rPr>
          <w:color w:val="000000"/>
          <w:lang w:val="fr-CH"/>
        </w:rPr>
        <w:t>ii) à la Convention de Berne pour la protection des droits littéraires et artistiques</w:t>
      </w:r>
      <w:r w:rsidR="00B2292F">
        <w:rPr>
          <w:color w:val="000000"/>
          <w:lang w:val="fr-CH"/>
        </w:rPr>
        <w:t>;</w:t>
      </w:r>
      <w:r w:rsidR="00B2292F" w:rsidRPr="009F43DE">
        <w:rPr>
          <w:color w:val="000000"/>
          <w:lang w:val="fr-CH"/>
        </w:rPr>
        <w:t xml:space="preserve"> </w:t>
      </w:r>
      <w:r w:rsidRPr="009F43DE">
        <w:rPr>
          <w:color w:val="000000"/>
          <w:lang w:val="fr-CH"/>
        </w:rPr>
        <w:t>iii) au Traité de coopération sur les brevets</w:t>
      </w:r>
      <w:r w:rsidR="00B2292F">
        <w:rPr>
          <w:color w:val="000000"/>
          <w:lang w:val="fr-CH"/>
        </w:rPr>
        <w:t>;</w:t>
      </w:r>
      <w:r w:rsidR="00B2292F" w:rsidRPr="009F43DE">
        <w:rPr>
          <w:color w:val="000000"/>
          <w:lang w:val="fr-CH"/>
        </w:rPr>
        <w:t xml:space="preserve"> </w:t>
      </w:r>
      <w:r w:rsidRPr="009F43DE">
        <w:rPr>
          <w:color w:val="000000"/>
          <w:lang w:val="fr-CH"/>
        </w:rPr>
        <w:t>iv) à l</w:t>
      </w:r>
      <w:r w:rsidR="00F8384A" w:rsidRPr="009F43DE">
        <w:rPr>
          <w:color w:val="000000"/>
          <w:lang w:val="fr-CH"/>
        </w:rPr>
        <w:t>’</w:t>
      </w:r>
      <w:r w:rsidRPr="009F43DE">
        <w:rPr>
          <w:color w:val="000000"/>
          <w:lang w:val="fr-CH"/>
        </w:rPr>
        <w:t>Arrangement de Madrid concernant la répression des indications de provenance fausses ou fallacieuses sur les produits (1891</w:t>
      </w:r>
      <w:r w:rsidR="00B2292F" w:rsidRPr="009F43DE">
        <w:rPr>
          <w:color w:val="000000"/>
          <w:lang w:val="fr-CH"/>
        </w:rPr>
        <w:t>)</w:t>
      </w:r>
      <w:r w:rsidR="00B2292F">
        <w:rPr>
          <w:color w:val="000000"/>
          <w:lang w:val="fr-CH"/>
        </w:rPr>
        <w:t xml:space="preserve">; </w:t>
      </w:r>
      <w:r w:rsidRPr="009F43DE">
        <w:rPr>
          <w:color w:val="000000"/>
          <w:lang w:val="fr-CH"/>
        </w:rPr>
        <w:t xml:space="preserve">v) au Traité de Nairobi concernant la protection du symbole </w:t>
      </w:r>
      <w:r w:rsidR="00B2292F" w:rsidRPr="009F43DE">
        <w:rPr>
          <w:color w:val="000000"/>
          <w:lang w:val="fr-CH"/>
        </w:rPr>
        <w:t>olympique</w:t>
      </w:r>
      <w:r w:rsidR="00B2292F">
        <w:rPr>
          <w:color w:val="000000"/>
          <w:lang w:val="fr-CH"/>
        </w:rPr>
        <w:t xml:space="preserve">; </w:t>
      </w:r>
      <w:r w:rsidRPr="009F43DE">
        <w:rPr>
          <w:color w:val="000000"/>
          <w:lang w:val="fr-CH"/>
        </w:rPr>
        <w:t>et vi</w:t>
      </w:r>
      <w:r w:rsidR="000278AE" w:rsidRPr="009F43DE">
        <w:rPr>
          <w:color w:val="000000"/>
          <w:lang w:val="fr-CH"/>
        </w:rPr>
        <w:t>)</w:t>
      </w:r>
      <w:r w:rsidR="000278AE">
        <w:rPr>
          <w:color w:val="000000"/>
          <w:lang w:val="fr-CH"/>
        </w:rPr>
        <w:t> </w:t>
      </w:r>
      <w:r w:rsidRPr="009F43DE">
        <w:rPr>
          <w:color w:val="000000"/>
          <w:lang w:val="fr-CH"/>
        </w:rPr>
        <w:t>à l</w:t>
      </w:r>
      <w:r w:rsidR="00F8384A" w:rsidRPr="009F43DE">
        <w:rPr>
          <w:color w:val="000000"/>
          <w:lang w:val="fr-CH"/>
        </w:rPr>
        <w:t>’</w:t>
      </w:r>
      <w:r w:rsidRPr="000278AE">
        <w:rPr>
          <w:bCs/>
          <w:color w:val="000000"/>
          <w:lang w:val="fr-CH"/>
        </w:rPr>
        <w:t>Accord sur les aspects des droits de propriété intellectuelle qui touchent au commerce</w:t>
      </w:r>
      <w:r w:rsidRPr="000278AE">
        <w:rPr>
          <w:color w:val="000000"/>
          <w:lang w:val="fr-CH"/>
        </w:rPr>
        <w:t xml:space="preserve">. </w:t>
      </w:r>
      <w:r w:rsidRPr="009F43DE">
        <w:rPr>
          <w:color w:val="000000"/>
          <w:lang w:val="fr-CH"/>
        </w:rPr>
        <w:t xml:space="preserve">Toute personne est habilitée à </w:t>
      </w:r>
      <w:r w:rsidR="007574C7" w:rsidRPr="009F43DE">
        <w:rPr>
          <w:color w:val="000000"/>
          <w:lang w:val="fr-CH"/>
        </w:rPr>
        <w:t xml:space="preserve">demander la </w:t>
      </w:r>
      <w:r w:rsidRPr="009F43DE">
        <w:rPr>
          <w:color w:val="000000"/>
          <w:lang w:val="fr-CH"/>
        </w:rPr>
        <w:t xml:space="preserve">protection </w:t>
      </w:r>
      <w:r w:rsidR="007574C7" w:rsidRPr="009F43DE">
        <w:rPr>
          <w:color w:val="000000"/>
          <w:lang w:val="fr-CH"/>
        </w:rPr>
        <w:t>de</w:t>
      </w:r>
      <w:r w:rsidRPr="009F43DE">
        <w:rPr>
          <w:color w:val="000000"/>
          <w:lang w:val="fr-CH"/>
        </w:rPr>
        <w:t xml:space="preserve"> ses inventions, dessins et marques à l</w:t>
      </w:r>
      <w:r w:rsidR="00F8384A" w:rsidRPr="009F43DE">
        <w:rPr>
          <w:color w:val="000000"/>
          <w:lang w:val="fr-CH"/>
        </w:rPr>
        <w:t>’</w:t>
      </w:r>
      <w:r w:rsidRPr="009F43DE">
        <w:rPr>
          <w:color w:val="000000"/>
          <w:lang w:val="fr-CH"/>
        </w:rPr>
        <w:t xml:space="preserve">Office de la propriété intellectuelle, sous réserve des dispositions de la </w:t>
      </w:r>
      <w:r w:rsidR="007574C7" w:rsidRPr="009F43DE">
        <w:rPr>
          <w:color w:val="000000"/>
          <w:lang w:val="fr-CH"/>
        </w:rPr>
        <w:t>l</w:t>
      </w:r>
      <w:r w:rsidRPr="009F43DE">
        <w:rPr>
          <w:color w:val="000000"/>
          <w:lang w:val="fr-CH"/>
        </w:rPr>
        <w:t>oi.</w:t>
      </w:r>
    </w:p>
    <w:p w:rsidR="00E5029E" w:rsidRPr="009F43DE" w:rsidRDefault="00E5029E" w:rsidP="00E5029E">
      <w:pPr>
        <w:pStyle w:val="SingleTxtG"/>
        <w:spacing w:before="240" w:after="0"/>
        <w:jc w:val="center"/>
        <w:rPr>
          <w:color w:val="000000"/>
          <w:u w:val="single"/>
          <w:lang w:val="fr-CH"/>
        </w:rPr>
      </w:pPr>
      <w:r w:rsidRPr="009F43DE">
        <w:rPr>
          <w:color w:val="000000"/>
          <w:u w:val="single"/>
          <w:lang w:val="fr-CH"/>
        </w:rPr>
        <w:tab/>
      </w:r>
      <w:r w:rsidRPr="009F43DE">
        <w:rPr>
          <w:color w:val="000000"/>
          <w:u w:val="single"/>
          <w:lang w:val="fr-CH"/>
        </w:rPr>
        <w:tab/>
      </w:r>
      <w:r w:rsidRPr="009F43DE">
        <w:rPr>
          <w:color w:val="000000"/>
          <w:u w:val="single"/>
          <w:lang w:val="fr-CH"/>
        </w:rPr>
        <w:tab/>
      </w:r>
    </w:p>
    <w:sectPr w:rsidR="00E5029E" w:rsidRPr="009F43DE" w:rsidSect="00D9533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3B9" w:rsidRDefault="00E903B9"/>
  </w:endnote>
  <w:endnote w:type="continuationSeparator" w:id="0">
    <w:p w:rsidR="00E903B9" w:rsidRDefault="00E903B9"/>
  </w:endnote>
  <w:endnote w:type="continuationNotice" w:id="1">
    <w:p w:rsidR="00E903B9" w:rsidRDefault="00E903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Latha">
    <w:panose1 w:val="020B0604020202020204"/>
    <w:charset w:val="00"/>
    <w:family w:val="swiss"/>
    <w:pitch w:val="variable"/>
    <w:sig w:usb0="00100003" w:usb1="00000000" w:usb2="00000000" w:usb3="00000000" w:csb0="0000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C52" w:rsidRPr="00057D4A" w:rsidRDefault="00BD1C52" w:rsidP="003827D5">
    <w:pPr>
      <w:pStyle w:val="Footer"/>
      <w:tabs>
        <w:tab w:val="right" w:pos="9598"/>
        <w:tab w:val="right" w:pos="9638"/>
      </w:tabs>
      <w:rPr>
        <w:b/>
        <w:bCs/>
      </w:rPr>
    </w:pPr>
    <w:r w:rsidRPr="00057D4A">
      <w:rPr>
        <w:b/>
        <w:bCs/>
        <w:sz w:val="18"/>
      </w:rPr>
      <w:fldChar w:fldCharType="begin"/>
    </w:r>
    <w:r w:rsidRPr="00057D4A">
      <w:rPr>
        <w:b/>
        <w:bCs/>
        <w:sz w:val="18"/>
      </w:rPr>
      <w:instrText xml:space="preserve"> PAGE  \* MERGEFORMAT </w:instrText>
    </w:r>
    <w:r w:rsidRPr="00057D4A">
      <w:rPr>
        <w:b/>
        <w:bCs/>
        <w:sz w:val="18"/>
      </w:rPr>
      <w:fldChar w:fldCharType="separate"/>
    </w:r>
    <w:r w:rsidR="00111906">
      <w:rPr>
        <w:b/>
        <w:bCs/>
        <w:noProof/>
        <w:sz w:val="18"/>
      </w:rPr>
      <w:t>2</w:t>
    </w:r>
    <w:r w:rsidRPr="00057D4A">
      <w:rPr>
        <w:b/>
        <w:bCs/>
        <w:sz w:val="18"/>
      </w:rPr>
      <w:fldChar w:fldCharType="end"/>
    </w:r>
    <w:r>
      <w:rPr>
        <w:b/>
        <w:bCs/>
      </w:rPr>
      <w:tab/>
    </w:r>
    <w:r w:rsidRPr="008C4B9F">
      <w:rPr>
        <w:szCs w:val="16"/>
      </w:rPr>
      <w:t>GE.16-00185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C52" w:rsidRPr="00057D4A" w:rsidRDefault="00BD1C52" w:rsidP="003827D5">
    <w:pPr>
      <w:pStyle w:val="Footer"/>
      <w:tabs>
        <w:tab w:val="right" w:pos="9598"/>
        <w:tab w:val="right" w:pos="9638"/>
      </w:tabs>
      <w:rPr>
        <w:b/>
        <w:bCs/>
        <w:sz w:val="18"/>
      </w:rPr>
    </w:pPr>
    <w:r w:rsidRPr="008C4B9F">
      <w:rPr>
        <w:szCs w:val="16"/>
      </w:rPr>
      <w:t>GE.16-00185  (EXT)</w:t>
    </w:r>
    <w:r>
      <w:rPr>
        <w:b/>
        <w:sz w:val="20"/>
      </w:rPr>
      <w:tab/>
    </w:r>
    <w:r w:rsidRPr="00057D4A">
      <w:rPr>
        <w:b/>
        <w:bCs/>
        <w:sz w:val="18"/>
      </w:rPr>
      <w:fldChar w:fldCharType="begin"/>
    </w:r>
    <w:r w:rsidRPr="00057D4A">
      <w:rPr>
        <w:b/>
        <w:bCs/>
        <w:sz w:val="18"/>
      </w:rPr>
      <w:instrText xml:space="preserve"> PAGE  \* MERGEFORMAT </w:instrText>
    </w:r>
    <w:r w:rsidRPr="00057D4A">
      <w:rPr>
        <w:b/>
        <w:bCs/>
        <w:sz w:val="18"/>
      </w:rPr>
      <w:fldChar w:fldCharType="separate"/>
    </w:r>
    <w:r w:rsidR="00111906">
      <w:rPr>
        <w:b/>
        <w:bCs/>
        <w:noProof/>
        <w:sz w:val="18"/>
      </w:rPr>
      <w:t>3</w:t>
    </w:r>
    <w:r w:rsidRPr="00057D4A">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49" w:rsidRPr="008A2149" w:rsidRDefault="00BD1C52" w:rsidP="008A2149">
    <w:pPr>
      <w:pStyle w:val="Footer"/>
      <w:spacing w:before="240"/>
      <w:rPr>
        <w:rFonts w:ascii="C39T30Lfz" w:hAnsi="C39T30Lfz"/>
        <w:sz w:val="56"/>
      </w:rPr>
    </w:pPr>
    <w:r>
      <w:rPr>
        <w:noProof/>
        <w:sz w:val="20"/>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GE.16-00185  (EXT)</w:t>
    </w:r>
    <w:r w:rsidR="008A2149">
      <w:rPr>
        <w:sz w:val="20"/>
      </w:rPr>
      <w:br/>
    </w:r>
    <w:r w:rsidR="008A2149">
      <w:rPr>
        <w:rFonts w:ascii="C39T30Lfz" w:hAnsi="C39T30Lfz"/>
        <w:sz w:val="56"/>
      </w:rPr>
      <w:t></w:t>
    </w:r>
    <w:r w:rsidR="008A2149">
      <w:rPr>
        <w:rFonts w:ascii="C39T30Lfz" w:hAnsi="C39T30Lfz"/>
        <w:sz w:val="56"/>
      </w:rPr>
      <w:t></w:t>
    </w:r>
    <w:r w:rsidR="008A2149">
      <w:rPr>
        <w:rFonts w:ascii="C39T30Lfz" w:hAnsi="C39T30Lfz"/>
        <w:sz w:val="56"/>
      </w:rPr>
      <w:t></w:t>
    </w:r>
    <w:r w:rsidR="008A2149">
      <w:rPr>
        <w:rFonts w:ascii="C39T30Lfz" w:hAnsi="C39T30Lfz"/>
        <w:sz w:val="56"/>
      </w:rPr>
      <w:t></w:t>
    </w:r>
    <w:r w:rsidR="008A2149">
      <w:rPr>
        <w:rFonts w:ascii="C39T30Lfz" w:hAnsi="C39T30Lfz"/>
        <w:sz w:val="56"/>
      </w:rPr>
      <w:t></w:t>
    </w:r>
    <w:r w:rsidR="008A2149">
      <w:rPr>
        <w:rFonts w:ascii="C39T30Lfz" w:hAnsi="C39T30Lfz"/>
        <w:sz w:val="56"/>
      </w:rPr>
      <w:t></w:t>
    </w:r>
    <w:r w:rsidR="008A2149">
      <w:rPr>
        <w:rFonts w:ascii="C39T30Lfz" w:hAnsi="C39T30Lfz"/>
        <w:sz w:val="56"/>
      </w:rPr>
      <w:t></w:t>
    </w:r>
    <w:r w:rsidR="008A2149">
      <w:rPr>
        <w:rFonts w:ascii="C39T30Lfz" w:hAnsi="C39T30Lfz"/>
        <w:sz w:val="56"/>
      </w:rPr>
      <w:t></w:t>
    </w:r>
    <w:r w:rsidR="008A2149">
      <w:rPr>
        <w:rFonts w:ascii="C39T30Lfz" w:hAnsi="C39T30Lfz"/>
        <w:sz w:val="56"/>
      </w:rPr>
      <w:t></w:t>
    </w:r>
    <w:r w:rsidR="008A2149">
      <w:rPr>
        <w:rFonts w:ascii="C39T30Lfz" w:hAnsi="C39T30Lfz"/>
        <w:noProof/>
        <w:sz w:val="56"/>
        <w:lang w:val="en-US" w:eastAsia="zh-CN"/>
      </w:rPr>
      <w:pict>
        <v:shape id="_x0000_s2053" type="#_x0000_t75" style="position:absolute;margin-left:432.25pt;margin-top:632.1pt;width:50.25pt;height:50.25pt;z-index:2;mso-position-horizontal-relative:margin;mso-position-vertical-relative:margin">
          <v:imagedata r:id="rId2" o:title="5&amp;Size=2&amp;Lang=F"/>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3B9" w:rsidRPr="000B175B" w:rsidRDefault="00E903B9" w:rsidP="000B175B">
      <w:pPr>
        <w:tabs>
          <w:tab w:val="right" w:pos="2155"/>
        </w:tabs>
        <w:spacing w:after="80"/>
        <w:ind w:left="680"/>
        <w:rPr>
          <w:u w:val="single"/>
        </w:rPr>
      </w:pPr>
      <w:r>
        <w:rPr>
          <w:u w:val="single"/>
        </w:rPr>
        <w:tab/>
      </w:r>
    </w:p>
  </w:footnote>
  <w:footnote w:type="continuationSeparator" w:id="0">
    <w:p w:rsidR="00E903B9" w:rsidRPr="00FC68B7" w:rsidRDefault="00E903B9" w:rsidP="00FC68B7">
      <w:pPr>
        <w:tabs>
          <w:tab w:val="left" w:pos="2155"/>
        </w:tabs>
        <w:spacing w:after="80"/>
        <w:ind w:left="680"/>
        <w:rPr>
          <w:u w:val="single"/>
        </w:rPr>
      </w:pPr>
      <w:r>
        <w:rPr>
          <w:u w:val="single"/>
        </w:rPr>
        <w:tab/>
      </w:r>
    </w:p>
  </w:footnote>
  <w:footnote w:type="continuationNotice" w:id="1">
    <w:p w:rsidR="00E903B9" w:rsidRDefault="00E903B9"/>
  </w:footnote>
  <w:footnote w:id="2">
    <w:p w:rsidR="00BD1C52" w:rsidRPr="007D38E5" w:rsidRDefault="00BD1C52" w:rsidP="006452AF">
      <w:pPr>
        <w:pStyle w:val="FootnoteText"/>
        <w:rPr>
          <w:lang w:val="fr-FR"/>
        </w:rPr>
      </w:pPr>
      <w:r w:rsidRPr="00061627">
        <w:rPr>
          <w:lang w:val="fr-FR"/>
        </w:rPr>
        <w:tab/>
      </w:r>
      <w:r w:rsidRPr="00F8384A">
        <w:rPr>
          <w:rStyle w:val="FootnoteReference"/>
          <w:sz w:val="20"/>
          <w:vertAlign w:val="baseline"/>
          <w:lang w:val="fr-FR"/>
        </w:rPr>
        <w:t>*</w:t>
      </w:r>
      <w:r w:rsidRPr="007D38E5">
        <w:rPr>
          <w:sz w:val="20"/>
          <w:lang w:val="fr-FR"/>
        </w:rPr>
        <w:tab/>
      </w:r>
      <w:r w:rsidRPr="007D38E5">
        <w:rPr>
          <w:lang w:val="fr-FR"/>
        </w:rPr>
        <w:t xml:space="preserve">Le présent document n’a pas </w:t>
      </w:r>
      <w:r w:rsidRPr="007C48B2">
        <w:rPr>
          <w:lang w:val="fr-FR"/>
        </w:rPr>
        <w:t>fait l’objet d’une relecture sur le fond</w:t>
      </w:r>
      <w:r>
        <w:rPr>
          <w:lang w:val="fr-FR"/>
        </w:rPr>
        <w:t xml:space="preserve"> par les</w:t>
      </w:r>
      <w:r w:rsidRPr="007D38E5">
        <w:rPr>
          <w:lang w:val="fr-FR"/>
        </w:rPr>
        <w:t xml:space="preserve"> services d’éditi</w:t>
      </w:r>
      <w:r>
        <w:rPr>
          <w:lang w:val="fr-FR"/>
        </w:rPr>
        <w:t>on.</w:t>
      </w:r>
    </w:p>
  </w:footnote>
  <w:footnote w:id="3">
    <w:p w:rsidR="00BD1C52" w:rsidRPr="003930B1" w:rsidRDefault="00BD1C52">
      <w:pPr>
        <w:pStyle w:val="FootnoteText"/>
        <w:rPr>
          <w:lang w:val="fr-FR"/>
        </w:rPr>
      </w:pPr>
      <w:r w:rsidRPr="005F283E">
        <w:rPr>
          <w:lang w:val="fr-CH"/>
        </w:rPr>
        <w:tab/>
      </w:r>
      <w:r w:rsidRPr="003930B1">
        <w:rPr>
          <w:rStyle w:val="FootnoteReference"/>
          <w:sz w:val="20"/>
          <w:vertAlign w:val="baseline"/>
        </w:rPr>
        <w:t>**</w:t>
      </w:r>
      <w:r>
        <w:rPr>
          <w:sz w:val="20"/>
        </w:rPr>
        <w:tab/>
      </w:r>
      <w:r w:rsidR="00111906" w:rsidRPr="00111906">
        <w:rPr>
          <w:lang w:val="fr-FR"/>
        </w:rPr>
        <w:t>Les annexes au présent rapport peuvent être consultées auprès du Secrétariat. Elles sont aussi accessibles sur le site web du Comité des droits économiques, sociaux et culturels</w:t>
      </w:r>
      <w:r w:rsidR="00111906">
        <w:rPr>
          <w:lang w:val="fr-FR"/>
        </w:rPr>
        <w:t>.</w:t>
      </w:r>
    </w:p>
  </w:footnote>
  <w:footnote w:id="4">
    <w:p w:rsidR="00BD1C52" w:rsidRPr="00894E11" w:rsidRDefault="00BD1C52" w:rsidP="006452AF">
      <w:pPr>
        <w:pStyle w:val="FootnoteText"/>
        <w:rPr>
          <w:lang w:val="fr-FR"/>
        </w:rPr>
      </w:pPr>
      <w:r w:rsidRPr="007D38E5">
        <w:rPr>
          <w:lang w:val="fr-FR"/>
        </w:rPr>
        <w:tab/>
      </w:r>
      <w:r w:rsidRPr="00E4519A">
        <w:rPr>
          <w:rStyle w:val="FootnoteReference"/>
        </w:rPr>
        <w:footnoteRef/>
      </w:r>
      <w:r w:rsidRPr="00894E11">
        <w:rPr>
          <w:lang w:val="fr-FR"/>
        </w:rPr>
        <w:tab/>
      </w:r>
      <w:r w:rsidRPr="00894E11">
        <w:rPr>
          <w:szCs w:val="18"/>
          <w:lang w:val="fr-FR" w:eastAsia="fr-FR"/>
        </w:rPr>
        <w:t>Selon les données de l</w:t>
      </w:r>
      <w:r>
        <w:rPr>
          <w:szCs w:val="18"/>
          <w:lang w:val="fr-FR" w:eastAsia="fr-FR"/>
        </w:rPr>
        <w:t>’</w:t>
      </w:r>
      <w:r w:rsidRPr="00894E11">
        <w:rPr>
          <w:szCs w:val="18"/>
          <w:lang w:val="fr-FR" w:eastAsia="fr-FR"/>
        </w:rPr>
        <w:t xml:space="preserve">Autorité </w:t>
      </w:r>
      <w:r>
        <w:rPr>
          <w:szCs w:val="18"/>
          <w:lang w:val="fr-FR" w:eastAsia="fr-FR"/>
        </w:rPr>
        <w:t xml:space="preserve">du </w:t>
      </w:r>
      <w:r w:rsidRPr="00894E11">
        <w:rPr>
          <w:szCs w:val="18"/>
          <w:lang w:val="fr-FR" w:eastAsia="fr-FR"/>
        </w:rPr>
        <w:t xml:space="preserve">Mahaweli </w:t>
      </w:r>
      <w:r>
        <w:rPr>
          <w:szCs w:val="18"/>
          <w:lang w:val="fr-FR" w:eastAsia="fr-FR"/>
        </w:rPr>
        <w:t>à</w:t>
      </w:r>
      <w:r w:rsidRPr="00894E11">
        <w:rPr>
          <w:szCs w:val="18"/>
          <w:lang w:val="fr-FR" w:eastAsia="fr-FR"/>
        </w:rPr>
        <w:t xml:space="preserve"> Sri Lanka, 49 familles qui </w:t>
      </w:r>
      <w:r>
        <w:rPr>
          <w:szCs w:val="18"/>
          <w:lang w:val="fr-FR" w:eastAsia="fr-FR"/>
        </w:rPr>
        <w:t>refusaient de</w:t>
      </w:r>
      <w:r w:rsidRPr="00894E11">
        <w:rPr>
          <w:szCs w:val="18"/>
          <w:lang w:val="fr-FR" w:eastAsia="fr-FR"/>
        </w:rPr>
        <w:t xml:space="preserve"> quitter </w:t>
      </w:r>
      <w:r w:rsidRPr="00F60D9C">
        <w:rPr>
          <w:lang w:val="fr-FR"/>
        </w:rPr>
        <w:t xml:space="preserve">la réserve de Maduru Oya </w:t>
      </w:r>
      <w:r w:rsidRPr="00F60D9C">
        <w:rPr>
          <w:szCs w:val="18"/>
          <w:lang w:val="fr-FR" w:eastAsia="fr-FR"/>
        </w:rPr>
        <w:t xml:space="preserve">ont été </w:t>
      </w:r>
      <w:r>
        <w:rPr>
          <w:szCs w:val="18"/>
          <w:lang w:val="fr-FR" w:eastAsia="fr-FR"/>
        </w:rPr>
        <w:t>transférées</w:t>
      </w:r>
      <w:r w:rsidRPr="00F60D9C">
        <w:rPr>
          <w:szCs w:val="18"/>
          <w:lang w:val="fr-FR" w:eastAsia="fr-FR"/>
        </w:rPr>
        <w:t xml:space="preserve"> dans un deuxième </w:t>
      </w:r>
      <w:r>
        <w:rPr>
          <w:szCs w:val="18"/>
          <w:lang w:val="fr-FR" w:eastAsia="fr-FR"/>
        </w:rPr>
        <w:t xml:space="preserve">établissement de cette réserve, équipé des mêmes installations </w:t>
      </w:r>
      <w:r w:rsidRPr="00894E11">
        <w:rPr>
          <w:szCs w:val="18"/>
          <w:lang w:val="fr-FR" w:eastAsia="fr-FR"/>
        </w:rPr>
        <w:t xml:space="preserve">et </w:t>
      </w:r>
      <w:r>
        <w:rPr>
          <w:szCs w:val="18"/>
          <w:lang w:val="fr-FR" w:eastAsia="fr-FR"/>
        </w:rPr>
        <w:t>services</w:t>
      </w:r>
      <w:r w:rsidRPr="00894E11">
        <w:rPr>
          <w:szCs w:val="18"/>
          <w:lang w:val="fr-FR" w:eastAsia="fr-FR"/>
        </w:rPr>
        <w:t xml:space="preserve"> </w:t>
      </w:r>
      <w:r>
        <w:rPr>
          <w:szCs w:val="18"/>
          <w:lang w:val="fr-FR" w:eastAsia="fr-FR"/>
        </w:rPr>
        <w:t>leur permettant d’</w:t>
      </w:r>
      <w:r w:rsidRPr="00894E11">
        <w:rPr>
          <w:szCs w:val="18"/>
          <w:lang w:val="fr-FR" w:eastAsia="fr-FR"/>
        </w:rPr>
        <w:t xml:space="preserve">exercer et </w:t>
      </w:r>
      <w:r>
        <w:rPr>
          <w:szCs w:val="18"/>
          <w:lang w:val="fr-FR" w:eastAsia="fr-FR"/>
        </w:rPr>
        <w:t xml:space="preserve">de </w:t>
      </w:r>
      <w:r w:rsidRPr="00894E11">
        <w:rPr>
          <w:szCs w:val="18"/>
          <w:lang w:val="fr-FR" w:eastAsia="fr-FR"/>
        </w:rPr>
        <w:t>préserver leurs droits culturels.</w:t>
      </w:r>
      <w:r>
        <w:rPr>
          <w:szCs w:val="18"/>
          <w:lang w:val="fr-FR" w:eastAsia="fr-FR"/>
        </w:rPr>
        <w:t xml:space="preserve"> Onze</w:t>
      </w:r>
      <w:r w:rsidRPr="00894E11">
        <w:rPr>
          <w:szCs w:val="18"/>
          <w:lang w:val="fr-FR" w:eastAsia="fr-FR"/>
        </w:rPr>
        <w:t xml:space="preserve"> familles </w:t>
      </w:r>
      <w:r>
        <w:rPr>
          <w:szCs w:val="18"/>
          <w:lang w:val="fr-FR" w:eastAsia="fr-FR"/>
        </w:rPr>
        <w:t>ont été réinstallées</w:t>
      </w:r>
      <w:r w:rsidRPr="00894E11">
        <w:rPr>
          <w:szCs w:val="18"/>
          <w:lang w:val="fr-FR" w:eastAsia="fr-FR"/>
        </w:rPr>
        <w:t xml:space="preserve"> </w:t>
      </w:r>
      <w:r>
        <w:rPr>
          <w:szCs w:val="18"/>
          <w:lang w:val="fr-FR" w:eastAsia="fr-FR"/>
        </w:rPr>
        <w:t>à</w:t>
      </w:r>
      <w:r w:rsidRPr="00894E11">
        <w:rPr>
          <w:szCs w:val="18"/>
          <w:lang w:val="fr-FR" w:eastAsia="fr-FR"/>
        </w:rPr>
        <w:t xml:space="preserve"> Kotabakiniya, un autre village pr</w:t>
      </w:r>
      <w:r>
        <w:rPr>
          <w:szCs w:val="18"/>
          <w:lang w:val="fr-FR" w:eastAsia="fr-FR"/>
        </w:rPr>
        <w:t>oche</w:t>
      </w:r>
      <w:r w:rsidRPr="00894E11">
        <w:rPr>
          <w:szCs w:val="18"/>
          <w:lang w:val="fr-FR" w:eastAsia="fr-FR"/>
        </w:rPr>
        <w:t xml:space="preserve"> de Maduru Oya, tandis que </w:t>
      </w:r>
      <w:r>
        <w:rPr>
          <w:szCs w:val="18"/>
          <w:lang w:val="fr-FR" w:eastAsia="fr-FR"/>
        </w:rPr>
        <w:t>celles qui ont quitté la réserve</w:t>
      </w:r>
      <w:r w:rsidRPr="00894E11">
        <w:rPr>
          <w:szCs w:val="18"/>
          <w:lang w:val="fr-FR" w:eastAsia="fr-FR"/>
        </w:rPr>
        <w:t xml:space="preserve"> ont été réinstallé</w:t>
      </w:r>
      <w:r>
        <w:rPr>
          <w:szCs w:val="18"/>
          <w:lang w:val="fr-FR" w:eastAsia="fr-FR"/>
        </w:rPr>
        <w:t>e</w:t>
      </w:r>
      <w:r w:rsidRPr="00894E11">
        <w:rPr>
          <w:szCs w:val="18"/>
          <w:lang w:val="fr-FR" w:eastAsia="fr-FR"/>
        </w:rPr>
        <w:t xml:space="preserve">s </w:t>
      </w:r>
      <w:r>
        <w:rPr>
          <w:szCs w:val="18"/>
          <w:lang w:val="fr-FR" w:eastAsia="fr-FR"/>
        </w:rPr>
        <w:t>à</w:t>
      </w:r>
      <w:r w:rsidRPr="00894E11">
        <w:rPr>
          <w:szCs w:val="18"/>
          <w:lang w:val="fr-FR" w:eastAsia="fr-FR"/>
        </w:rPr>
        <w:t xml:space="preserve"> Henanigala et Kandeganwila</w:t>
      </w:r>
      <w:r>
        <w:rPr>
          <w:szCs w:val="18"/>
          <w:lang w:val="fr-FR" w:eastAsia="fr-FR"/>
        </w:rPr>
        <w:t>,</w:t>
      </w:r>
      <w:r w:rsidRPr="00894E11">
        <w:rPr>
          <w:szCs w:val="18"/>
          <w:lang w:val="fr-FR" w:eastAsia="fr-FR"/>
        </w:rPr>
        <w:t xml:space="preserve"> avec l</w:t>
      </w:r>
      <w:r>
        <w:rPr>
          <w:szCs w:val="18"/>
          <w:lang w:val="fr-FR" w:eastAsia="fr-FR"/>
        </w:rPr>
        <w:t>’</w:t>
      </w:r>
      <w:r w:rsidRPr="00894E11">
        <w:rPr>
          <w:szCs w:val="18"/>
          <w:lang w:val="fr-FR" w:eastAsia="fr-FR"/>
        </w:rPr>
        <w:t>aide financière de l</w:t>
      </w:r>
      <w:r>
        <w:rPr>
          <w:szCs w:val="18"/>
          <w:lang w:val="fr-FR" w:eastAsia="fr-FR"/>
        </w:rPr>
        <w:t>’</w:t>
      </w:r>
      <w:r w:rsidRPr="00894E11">
        <w:rPr>
          <w:szCs w:val="18"/>
          <w:lang w:val="fr-FR" w:eastAsia="fr-FR"/>
        </w:rPr>
        <w:t>État.</w:t>
      </w:r>
    </w:p>
  </w:footnote>
  <w:footnote w:id="5">
    <w:p w:rsidR="00BD1C52" w:rsidRPr="00894E11" w:rsidRDefault="00BD1C52" w:rsidP="006452AF">
      <w:pPr>
        <w:pStyle w:val="FootnoteText"/>
        <w:rPr>
          <w:lang w:val="fr-FR"/>
        </w:rPr>
      </w:pPr>
      <w:r w:rsidRPr="00894E11">
        <w:rPr>
          <w:lang w:val="fr-FR"/>
        </w:rPr>
        <w:tab/>
      </w:r>
      <w:r w:rsidRPr="00E4519A">
        <w:rPr>
          <w:rStyle w:val="FootnoteReference"/>
        </w:rPr>
        <w:footnoteRef/>
      </w:r>
      <w:r w:rsidRPr="00894E11">
        <w:rPr>
          <w:lang w:val="fr-FR"/>
        </w:rPr>
        <w:tab/>
        <w:t xml:space="preserve">Des installations telles que </w:t>
      </w:r>
      <w:r>
        <w:rPr>
          <w:lang w:val="fr-FR"/>
        </w:rPr>
        <w:t>d</w:t>
      </w:r>
      <w:r w:rsidRPr="00894E11">
        <w:rPr>
          <w:lang w:val="fr-FR"/>
        </w:rPr>
        <w:t xml:space="preserve">es écoles maternelles, </w:t>
      </w:r>
      <w:r>
        <w:rPr>
          <w:lang w:val="fr-FR"/>
        </w:rPr>
        <w:t>des</w:t>
      </w:r>
      <w:r w:rsidRPr="00894E11">
        <w:rPr>
          <w:lang w:val="fr-FR"/>
        </w:rPr>
        <w:t xml:space="preserve"> logement</w:t>
      </w:r>
      <w:r>
        <w:rPr>
          <w:lang w:val="fr-FR"/>
        </w:rPr>
        <w:t>s</w:t>
      </w:r>
      <w:r w:rsidRPr="00894E11">
        <w:rPr>
          <w:lang w:val="fr-FR"/>
        </w:rPr>
        <w:t xml:space="preserve">, </w:t>
      </w:r>
      <w:r>
        <w:rPr>
          <w:lang w:val="fr-FR"/>
        </w:rPr>
        <w:t xml:space="preserve">des équipements </w:t>
      </w:r>
      <w:r w:rsidRPr="00894E11">
        <w:rPr>
          <w:lang w:val="fr-FR"/>
        </w:rPr>
        <w:t>sanitaire</w:t>
      </w:r>
      <w:r>
        <w:rPr>
          <w:lang w:val="fr-FR"/>
        </w:rPr>
        <w:t>s</w:t>
      </w:r>
      <w:r w:rsidRPr="00894E11">
        <w:rPr>
          <w:lang w:val="fr-FR"/>
        </w:rPr>
        <w:t xml:space="preserve"> et</w:t>
      </w:r>
      <w:r>
        <w:rPr>
          <w:lang w:val="fr-FR"/>
        </w:rPr>
        <w:t xml:space="preserve"> des centres</w:t>
      </w:r>
      <w:r w:rsidRPr="00894E11">
        <w:rPr>
          <w:lang w:val="fr-FR"/>
        </w:rPr>
        <w:t xml:space="preserve"> communautaire</w:t>
      </w:r>
      <w:r>
        <w:rPr>
          <w:lang w:val="fr-FR"/>
        </w:rPr>
        <w:t>s</w:t>
      </w:r>
      <w:r w:rsidRPr="00894E11">
        <w:rPr>
          <w:lang w:val="fr-FR"/>
        </w:rPr>
        <w:t xml:space="preserve"> et religieux</w:t>
      </w:r>
      <w:r>
        <w:rPr>
          <w:lang w:val="fr-FR"/>
        </w:rPr>
        <w:t>,</w:t>
      </w:r>
      <w:r w:rsidRPr="00894E11">
        <w:rPr>
          <w:lang w:val="fr-FR"/>
        </w:rPr>
        <w:t xml:space="preserve"> ont été </w:t>
      </w:r>
      <w:r>
        <w:rPr>
          <w:lang w:val="fr-FR"/>
        </w:rPr>
        <w:t>mises à disposition</w:t>
      </w:r>
      <w:r w:rsidRPr="00894E11">
        <w:rPr>
          <w:lang w:val="fr-FR"/>
        </w:rPr>
        <w:t xml:space="preserve"> aux frais de l</w:t>
      </w:r>
      <w:r>
        <w:rPr>
          <w:lang w:val="fr-FR"/>
        </w:rPr>
        <w:t>’</w:t>
      </w:r>
      <w:r w:rsidRPr="00894E11">
        <w:rPr>
          <w:lang w:val="fr-FR"/>
        </w:rPr>
        <w:t xml:space="preserve">État partie pour faciliter </w:t>
      </w:r>
      <w:r>
        <w:rPr>
          <w:lang w:val="fr-FR"/>
        </w:rPr>
        <w:t>le</w:t>
      </w:r>
      <w:r w:rsidRPr="00894E11">
        <w:rPr>
          <w:lang w:val="fr-FR"/>
        </w:rPr>
        <w:t xml:space="preserve"> processus de réinstallation.</w:t>
      </w:r>
    </w:p>
  </w:footnote>
  <w:footnote w:id="6">
    <w:p w:rsidR="00BD1C52" w:rsidRPr="00A526EF" w:rsidRDefault="00BD1C52" w:rsidP="00C77E1E">
      <w:pPr>
        <w:pStyle w:val="FootnoteText"/>
        <w:rPr>
          <w:lang w:val="fr-FR"/>
        </w:rPr>
      </w:pPr>
      <w:r w:rsidRPr="0058595A">
        <w:rPr>
          <w:lang w:val="fr-FR"/>
        </w:rPr>
        <w:tab/>
      </w:r>
      <w:r w:rsidRPr="00E4519A">
        <w:rPr>
          <w:rStyle w:val="FootnoteReference"/>
        </w:rPr>
        <w:footnoteRef/>
      </w:r>
      <w:r w:rsidRPr="00A526EF">
        <w:rPr>
          <w:lang w:val="fr-FR"/>
        </w:rPr>
        <w:tab/>
        <w:t xml:space="preserve">Voir Statistical Snapshot sur le </w:t>
      </w:r>
      <w:r>
        <w:rPr>
          <w:lang w:val="fr-FR"/>
        </w:rPr>
        <w:t xml:space="preserve">site Web du </w:t>
      </w:r>
      <w:r w:rsidRPr="00A526EF">
        <w:rPr>
          <w:lang w:val="fr-FR"/>
        </w:rPr>
        <w:t>HCR</w:t>
      </w:r>
      <w:r>
        <w:rPr>
          <w:lang w:val="fr-FR"/>
        </w:rPr>
        <w:t>: http:</w:t>
      </w:r>
      <w:r w:rsidRPr="00A526EF">
        <w:rPr>
          <w:lang w:val="fr-FR"/>
        </w:rPr>
        <w:t>//www.unhcr.org/cgi-bin/texis/vtx/page?page=</w:t>
      </w:r>
      <w:r>
        <w:rPr>
          <w:lang w:val="fr-FR"/>
        </w:rPr>
        <w:t xml:space="preserve"> </w:t>
      </w:r>
      <w:r w:rsidRPr="00A526EF">
        <w:rPr>
          <w:lang w:val="fr-FR"/>
        </w:rPr>
        <w:t>49e4878e6&amp;submit=GO.</w:t>
      </w:r>
    </w:p>
  </w:footnote>
  <w:footnote w:id="7">
    <w:p w:rsidR="00BD1C52" w:rsidRPr="00521BA0" w:rsidRDefault="00BD1C52" w:rsidP="00C77E1E">
      <w:pPr>
        <w:pStyle w:val="FootnoteText"/>
        <w:rPr>
          <w:lang w:val="fr-FR"/>
        </w:rPr>
      </w:pPr>
      <w:r w:rsidRPr="00A526EF">
        <w:rPr>
          <w:lang w:val="fr-FR"/>
        </w:rPr>
        <w:tab/>
      </w:r>
      <w:r w:rsidRPr="00E4519A">
        <w:rPr>
          <w:rStyle w:val="FootnoteReference"/>
        </w:rPr>
        <w:footnoteRef/>
      </w:r>
      <w:r w:rsidRPr="00521BA0">
        <w:rPr>
          <w:lang w:val="fr-FR"/>
        </w:rPr>
        <w:tab/>
      </w:r>
      <w:r>
        <w:rPr>
          <w:lang w:val="fr-FR"/>
        </w:rPr>
        <w:t>Toutef</w:t>
      </w:r>
      <w:r w:rsidRPr="00521BA0">
        <w:rPr>
          <w:lang w:val="fr-FR"/>
        </w:rPr>
        <w:t xml:space="preserve">ois, toute association ou </w:t>
      </w:r>
      <w:r>
        <w:rPr>
          <w:lang w:val="fr-FR"/>
        </w:rPr>
        <w:t xml:space="preserve">tout </w:t>
      </w:r>
      <w:r w:rsidRPr="00521BA0">
        <w:rPr>
          <w:lang w:val="fr-FR"/>
        </w:rPr>
        <w:t xml:space="preserve">groupement de juges, de militaires, de policiers, de gardiens de prison, de membres </w:t>
      </w:r>
      <w:r>
        <w:rPr>
          <w:lang w:val="fr-FR"/>
        </w:rPr>
        <w:t>des sociétés d’exploitation agricole</w:t>
      </w:r>
      <w:r w:rsidRPr="00521BA0">
        <w:rPr>
          <w:lang w:val="fr-FR"/>
        </w:rPr>
        <w:t xml:space="preserve"> établi</w:t>
      </w:r>
      <w:r>
        <w:rPr>
          <w:lang w:val="fr-FR"/>
        </w:rPr>
        <w:t>es</w:t>
      </w:r>
      <w:r w:rsidRPr="00521BA0">
        <w:rPr>
          <w:lang w:val="fr-FR"/>
        </w:rPr>
        <w:t xml:space="preserve"> en vertu de l’</w:t>
      </w:r>
      <w:r>
        <w:rPr>
          <w:lang w:val="fr-FR"/>
        </w:rPr>
        <w:t>ordonnance y relative n’est pas considéré comme un syndicat et ne relève pas de l’ordonnance sur les syndicats (par.</w:t>
      </w:r>
      <w:r w:rsidDel="00C7262B">
        <w:rPr>
          <w:lang w:val="fr-FR"/>
        </w:rPr>
        <w:t xml:space="preserve"> </w:t>
      </w:r>
      <w:r>
        <w:rPr>
          <w:lang w:val="fr-FR"/>
        </w:rPr>
        <w:t xml:space="preserve">2 de l’article </w:t>
      </w:r>
      <w:r w:rsidRPr="00521BA0">
        <w:rPr>
          <w:lang w:val="fr-FR"/>
        </w:rPr>
        <w:t xml:space="preserve">20 </w:t>
      </w:r>
      <w:r>
        <w:rPr>
          <w:lang w:val="fr-FR"/>
        </w:rPr>
        <w:t>de l’o</w:t>
      </w:r>
      <w:r w:rsidRPr="00521BA0">
        <w:rPr>
          <w:lang w:val="fr-FR"/>
        </w:rPr>
        <w:t>rd</w:t>
      </w:r>
      <w:r>
        <w:rPr>
          <w:lang w:val="fr-FR"/>
        </w:rPr>
        <w:t>on</w:t>
      </w:r>
      <w:r w:rsidRPr="00521BA0">
        <w:rPr>
          <w:lang w:val="fr-FR"/>
        </w:rPr>
        <w:t>nance).</w:t>
      </w:r>
    </w:p>
  </w:footnote>
  <w:footnote w:id="8">
    <w:p w:rsidR="00BD1C52" w:rsidRPr="00F00178" w:rsidRDefault="00BD1C52" w:rsidP="00C77E1E">
      <w:pPr>
        <w:pStyle w:val="FootnoteText"/>
        <w:rPr>
          <w:lang w:val="fr-FR"/>
        </w:rPr>
      </w:pPr>
      <w:r w:rsidRPr="00521BA0">
        <w:rPr>
          <w:lang w:val="fr-FR"/>
        </w:rPr>
        <w:tab/>
      </w:r>
      <w:r w:rsidRPr="00E4519A">
        <w:rPr>
          <w:rStyle w:val="FootnoteReference"/>
        </w:rPr>
        <w:footnoteRef/>
      </w:r>
      <w:r w:rsidRPr="00F00178">
        <w:rPr>
          <w:lang w:val="fr-FR"/>
        </w:rPr>
        <w:tab/>
        <w:t xml:space="preserve">Direction du recensement et des statistiques, Indicateurs de la pauvreté, </w:t>
      </w:r>
      <w:r>
        <w:rPr>
          <w:lang w:val="fr-FR"/>
        </w:rPr>
        <w:t>En</w:t>
      </w:r>
      <w:r w:rsidRPr="00F00178">
        <w:rPr>
          <w:lang w:val="fr-FR"/>
        </w:rPr>
        <w:t>q</w:t>
      </w:r>
      <w:r>
        <w:rPr>
          <w:lang w:val="fr-FR"/>
        </w:rPr>
        <w:t>uête sur le revenu et les dépenses des ménages</w:t>
      </w:r>
      <w:r w:rsidRPr="00F00178">
        <w:rPr>
          <w:lang w:val="fr-FR"/>
        </w:rPr>
        <w:t xml:space="preserve"> – 2012/13.</w:t>
      </w:r>
    </w:p>
  </w:footnote>
  <w:footnote w:id="9">
    <w:p w:rsidR="00BD1C52" w:rsidRPr="00CA3459" w:rsidRDefault="00BD1C52" w:rsidP="00C77E1E">
      <w:pPr>
        <w:pStyle w:val="FootnoteText"/>
        <w:rPr>
          <w:lang w:val="fr-FR"/>
        </w:rPr>
      </w:pPr>
      <w:r w:rsidRPr="00F00178">
        <w:rPr>
          <w:lang w:val="fr-FR"/>
        </w:rPr>
        <w:tab/>
      </w:r>
      <w:r w:rsidRPr="00E4519A">
        <w:rPr>
          <w:rStyle w:val="FootnoteReference"/>
        </w:rPr>
        <w:footnoteRef/>
      </w:r>
      <w:r w:rsidRPr="00CA3459">
        <w:rPr>
          <w:lang w:val="fr-FR"/>
        </w:rPr>
        <w:tab/>
      </w:r>
      <w:r>
        <w:rPr>
          <w:lang w:val="fr-FR"/>
        </w:rPr>
        <w:t xml:space="preserve">Ancien </w:t>
      </w:r>
      <w:r w:rsidRPr="00CA3459">
        <w:rPr>
          <w:lang w:val="fr-FR"/>
        </w:rPr>
        <w:t>Ministère du développement de l’enfant et des affaires féminines.</w:t>
      </w:r>
    </w:p>
  </w:footnote>
  <w:footnote w:id="10">
    <w:p w:rsidR="00BD1C52" w:rsidRPr="009934EC" w:rsidRDefault="00BD1C52" w:rsidP="00C77E1E">
      <w:pPr>
        <w:pStyle w:val="FootnoteText"/>
        <w:rPr>
          <w:lang w:val="fr-FR"/>
        </w:rPr>
      </w:pPr>
      <w:r w:rsidRPr="00CA3459">
        <w:rPr>
          <w:lang w:val="fr-FR"/>
        </w:rPr>
        <w:tab/>
      </w:r>
      <w:r w:rsidRPr="00E4519A">
        <w:rPr>
          <w:rStyle w:val="FootnoteReference"/>
        </w:rPr>
        <w:footnoteRef/>
      </w:r>
      <w:r w:rsidRPr="007F0BDC">
        <w:rPr>
          <w:lang w:val="fr-FR"/>
        </w:rPr>
        <w:tab/>
        <w:t xml:space="preserve">Dans le cadre de ce projet, un mécanisme de surveillance étroite des </w:t>
      </w:r>
      <w:r>
        <w:rPr>
          <w:lang w:val="fr-FR"/>
        </w:rPr>
        <w:t xml:space="preserve">enquêtes </w:t>
      </w:r>
      <w:r w:rsidRPr="007F0BDC">
        <w:rPr>
          <w:lang w:val="fr-FR"/>
        </w:rPr>
        <w:t xml:space="preserve">sur les </w:t>
      </w:r>
      <w:r>
        <w:rPr>
          <w:lang w:val="fr-FR"/>
        </w:rPr>
        <w:t xml:space="preserve">cas de maltraitance des enfants est établi: il est exigé du fonctionnaire </w:t>
      </w:r>
      <w:r w:rsidRPr="007F0BDC">
        <w:rPr>
          <w:lang w:val="fr-FR"/>
        </w:rPr>
        <w:t xml:space="preserve">responsable du poste de police qui reçoit une plainte </w:t>
      </w:r>
      <w:r>
        <w:rPr>
          <w:lang w:val="fr-FR"/>
        </w:rPr>
        <w:t xml:space="preserve">concernant des violences à l’encontre d’un enfant qu’il </w:t>
      </w:r>
      <w:r w:rsidRPr="007F0BDC">
        <w:rPr>
          <w:lang w:val="fr-FR"/>
        </w:rPr>
        <w:t xml:space="preserve">présente un rapport </w:t>
      </w:r>
      <w:r>
        <w:rPr>
          <w:lang w:val="fr-FR"/>
        </w:rPr>
        <w:t xml:space="preserve">au représentant du parquet compétent </w:t>
      </w:r>
      <w:r w:rsidRPr="007F0BDC">
        <w:rPr>
          <w:lang w:val="fr-FR"/>
        </w:rPr>
        <w:t xml:space="preserve">dans les </w:t>
      </w:r>
      <w:r>
        <w:rPr>
          <w:lang w:val="fr-FR"/>
        </w:rPr>
        <w:t>vingt-quatre</w:t>
      </w:r>
      <w:r w:rsidRPr="007F0BDC">
        <w:rPr>
          <w:lang w:val="fr-FR"/>
        </w:rPr>
        <w:t xml:space="preserve"> </w:t>
      </w:r>
      <w:r>
        <w:rPr>
          <w:lang w:val="fr-FR"/>
        </w:rPr>
        <w:t>h</w:t>
      </w:r>
      <w:r w:rsidRPr="007F0BDC">
        <w:rPr>
          <w:lang w:val="fr-FR"/>
        </w:rPr>
        <w:t xml:space="preserve">eures </w:t>
      </w:r>
      <w:r>
        <w:rPr>
          <w:lang w:val="fr-FR"/>
        </w:rPr>
        <w:t xml:space="preserve">de </w:t>
      </w:r>
      <w:r w:rsidRPr="007F0BDC">
        <w:rPr>
          <w:lang w:val="fr-FR"/>
        </w:rPr>
        <w:t xml:space="preserve">la réception de la première </w:t>
      </w:r>
      <w:r>
        <w:rPr>
          <w:lang w:val="fr-FR"/>
        </w:rPr>
        <w:t>plainte</w:t>
      </w:r>
      <w:r w:rsidRPr="007F0BDC">
        <w:rPr>
          <w:lang w:val="fr-FR"/>
        </w:rPr>
        <w:t>. Les enquêteurs sont tenus de c</w:t>
      </w:r>
      <w:r>
        <w:rPr>
          <w:lang w:val="fr-FR"/>
        </w:rPr>
        <w:t>lore</w:t>
      </w:r>
      <w:r w:rsidRPr="007F0BDC">
        <w:rPr>
          <w:lang w:val="fr-FR"/>
        </w:rPr>
        <w:t xml:space="preserve"> les investigations dans </w:t>
      </w:r>
      <w:r>
        <w:rPr>
          <w:lang w:val="fr-FR"/>
        </w:rPr>
        <w:t>un délai de</w:t>
      </w:r>
      <w:r w:rsidRPr="007F0BDC">
        <w:rPr>
          <w:lang w:val="fr-FR"/>
        </w:rPr>
        <w:t xml:space="preserve"> trois semaines. Les </w:t>
      </w:r>
      <w:r>
        <w:rPr>
          <w:lang w:val="fr-FR"/>
        </w:rPr>
        <w:t xml:space="preserve">médecins agréés </w:t>
      </w:r>
      <w:r w:rsidRPr="007F0BDC">
        <w:rPr>
          <w:lang w:val="fr-FR"/>
        </w:rPr>
        <w:t>qui examinent l</w:t>
      </w:r>
      <w:r>
        <w:rPr>
          <w:lang w:val="fr-FR"/>
        </w:rPr>
        <w:t>’</w:t>
      </w:r>
      <w:r w:rsidRPr="007F0BDC">
        <w:rPr>
          <w:lang w:val="fr-FR"/>
        </w:rPr>
        <w:t xml:space="preserve">enfant victime </w:t>
      </w:r>
      <w:r>
        <w:rPr>
          <w:lang w:val="fr-FR"/>
        </w:rPr>
        <w:t>communiquent leur rapport</w:t>
      </w:r>
      <w:r w:rsidRPr="007F0BDC">
        <w:rPr>
          <w:lang w:val="fr-FR"/>
        </w:rPr>
        <w:t xml:space="preserve"> </w:t>
      </w:r>
      <w:r>
        <w:rPr>
          <w:lang w:val="fr-FR"/>
        </w:rPr>
        <w:t xml:space="preserve">médico-légal </w:t>
      </w:r>
      <w:r w:rsidRPr="007F0BDC">
        <w:rPr>
          <w:lang w:val="fr-FR"/>
        </w:rPr>
        <w:t xml:space="preserve">complet dans </w:t>
      </w:r>
      <w:r>
        <w:rPr>
          <w:lang w:val="fr-FR"/>
        </w:rPr>
        <w:t xml:space="preserve">le même délai, ce qui </w:t>
      </w:r>
      <w:r w:rsidRPr="007F0BDC">
        <w:rPr>
          <w:lang w:val="fr-FR"/>
        </w:rPr>
        <w:t xml:space="preserve">permet </w:t>
      </w:r>
      <w:r>
        <w:rPr>
          <w:lang w:val="fr-FR"/>
        </w:rPr>
        <w:t>au fonctionnaire responsable</w:t>
      </w:r>
      <w:r w:rsidRPr="007F0BDC">
        <w:rPr>
          <w:lang w:val="fr-FR"/>
        </w:rPr>
        <w:t xml:space="preserve"> du poste de police de soumettre </w:t>
      </w:r>
      <w:r>
        <w:rPr>
          <w:lang w:val="fr-FR"/>
        </w:rPr>
        <w:t>des extraits du rapport d’enquête</w:t>
      </w:r>
      <w:r w:rsidRPr="007F0BDC">
        <w:rPr>
          <w:lang w:val="fr-FR"/>
        </w:rPr>
        <w:t xml:space="preserve"> au </w:t>
      </w:r>
      <w:r>
        <w:rPr>
          <w:lang w:val="fr-FR"/>
        </w:rPr>
        <w:t>P</w:t>
      </w:r>
      <w:r w:rsidRPr="007F0BDC">
        <w:rPr>
          <w:lang w:val="fr-FR"/>
        </w:rPr>
        <w:t xml:space="preserve">rocureur général </w:t>
      </w:r>
      <w:r>
        <w:rPr>
          <w:lang w:val="fr-FR"/>
        </w:rPr>
        <w:t>au cours de la</w:t>
      </w:r>
      <w:r w:rsidRPr="007F0BDC">
        <w:rPr>
          <w:lang w:val="fr-FR"/>
        </w:rPr>
        <w:t xml:space="preserve"> semaine </w:t>
      </w:r>
      <w:r>
        <w:rPr>
          <w:lang w:val="fr-FR"/>
        </w:rPr>
        <w:t>qui suit</w:t>
      </w:r>
      <w:r w:rsidRPr="007F0BDC">
        <w:rPr>
          <w:lang w:val="fr-FR"/>
        </w:rPr>
        <w:t xml:space="preserve">. </w:t>
      </w:r>
      <w:r w:rsidRPr="009934EC">
        <w:rPr>
          <w:lang w:val="fr-FR"/>
        </w:rPr>
        <w:t>Le Procureur général examine les extraits pr</w:t>
      </w:r>
      <w:r>
        <w:rPr>
          <w:lang w:val="fr-FR"/>
        </w:rPr>
        <w:t>é</w:t>
      </w:r>
      <w:r w:rsidRPr="009934EC">
        <w:rPr>
          <w:lang w:val="fr-FR"/>
        </w:rPr>
        <w:t>sent</w:t>
      </w:r>
      <w:r>
        <w:rPr>
          <w:lang w:val="fr-FR"/>
        </w:rPr>
        <w:t>é</w:t>
      </w:r>
      <w:r w:rsidRPr="009934EC">
        <w:rPr>
          <w:lang w:val="fr-FR"/>
        </w:rPr>
        <w:t xml:space="preserve">s par la police et </w:t>
      </w:r>
      <w:r>
        <w:rPr>
          <w:lang w:val="fr-FR"/>
        </w:rPr>
        <w:t>rend sa décision</w:t>
      </w:r>
      <w:r w:rsidRPr="009934EC">
        <w:rPr>
          <w:lang w:val="fr-FR"/>
        </w:rPr>
        <w:t xml:space="preserve"> dans les quatre semaines suivant </w:t>
      </w:r>
      <w:r>
        <w:rPr>
          <w:lang w:val="fr-FR"/>
        </w:rPr>
        <w:t>leur</w:t>
      </w:r>
      <w:r w:rsidRPr="009934EC">
        <w:rPr>
          <w:lang w:val="fr-FR"/>
        </w:rPr>
        <w:t xml:space="preserve"> </w:t>
      </w:r>
      <w:r>
        <w:rPr>
          <w:lang w:val="fr-FR"/>
        </w:rPr>
        <w:t>ré</w:t>
      </w:r>
      <w:r w:rsidRPr="009934EC">
        <w:rPr>
          <w:lang w:val="fr-FR"/>
        </w:rPr>
        <w:t>ception.</w:t>
      </w:r>
    </w:p>
  </w:footnote>
  <w:footnote w:id="11">
    <w:p w:rsidR="00BD1C52" w:rsidRPr="00FE01CD" w:rsidRDefault="00BD1C52" w:rsidP="00C82061">
      <w:pPr>
        <w:pStyle w:val="FootnoteText"/>
        <w:rPr>
          <w:lang w:val="fr-FR"/>
        </w:rPr>
      </w:pPr>
      <w:r w:rsidRPr="009934EC">
        <w:rPr>
          <w:lang w:val="fr-FR"/>
        </w:rPr>
        <w:tab/>
      </w:r>
      <w:r w:rsidRPr="00E4519A">
        <w:rPr>
          <w:rStyle w:val="FootnoteReference"/>
        </w:rPr>
        <w:footnoteRef/>
      </w:r>
      <w:r w:rsidRPr="00FE01CD">
        <w:rPr>
          <w:lang w:val="fr-FR"/>
        </w:rPr>
        <w:tab/>
        <w:t>Pour plus d</w:t>
      </w:r>
      <w:r>
        <w:rPr>
          <w:lang w:val="fr-FR"/>
        </w:rPr>
        <w:t>e précisions</w:t>
      </w:r>
      <w:r w:rsidRPr="00FE01CD">
        <w:rPr>
          <w:lang w:val="fr-FR"/>
        </w:rPr>
        <w:t xml:space="preserve"> concernant le Comité consultati</w:t>
      </w:r>
      <w:r>
        <w:rPr>
          <w:lang w:val="fr-FR"/>
        </w:rPr>
        <w:t xml:space="preserve">f </w:t>
      </w:r>
      <w:r w:rsidRPr="00FE01CD">
        <w:rPr>
          <w:lang w:val="fr-FR"/>
        </w:rPr>
        <w:t>sur l</w:t>
      </w:r>
      <w:r>
        <w:rPr>
          <w:lang w:val="fr-FR"/>
        </w:rPr>
        <w:t xml:space="preserve">’assistance humanitaire, voir le rapport présenté par l’État partie en </w:t>
      </w:r>
      <w:r w:rsidRPr="00FE01CD">
        <w:rPr>
          <w:lang w:val="fr-FR"/>
        </w:rPr>
        <w:t>2008.</w:t>
      </w:r>
    </w:p>
  </w:footnote>
  <w:footnote w:id="12">
    <w:p w:rsidR="00BD1C52" w:rsidRPr="00EF25FC" w:rsidRDefault="00BD1C52" w:rsidP="00C82061">
      <w:pPr>
        <w:pStyle w:val="FootnoteText"/>
        <w:rPr>
          <w:lang w:val="fr-FR"/>
        </w:rPr>
      </w:pPr>
      <w:r w:rsidRPr="00FE01CD">
        <w:rPr>
          <w:lang w:val="fr-FR"/>
        </w:rPr>
        <w:tab/>
      </w:r>
      <w:r w:rsidRPr="00E4519A">
        <w:rPr>
          <w:rStyle w:val="FootnoteReference"/>
        </w:rPr>
        <w:footnoteRef/>
      </w:r>
      <w:r w:rsidRPr="00EF25FC">
        <w:rPr>
          <w:lang w:val="fr-FR"/>
        </w:rPr>
        <w:tab/>
        <w:t xml:space="preserve">La phase I du programme a </w:t>
      </w:r>
      <w:r>
        <w:rPr>
          <w:lang w:val="fr-FR"/>
        </w:rPr>
        <w:t xml:space="preserve">concerné </w:t>
      </w:r>
      <w:r w:rsidRPr="00EF25FC">
        <w:rPr>
          <w:lang w:val="fr-FR"/>
        </w:rPr>
        <w:t>1 million d</w:t>
      </w:r>
      <w:r>
        <w:rPr>
          <w:lang w:val="fr-FR"/>
        </w:rPr>
        <w:t>’</w:t>
      </w:r>
      <w:r w:rsidRPr="00EF25FC">
        <w:rPr>
          <w:lang w:val="fr-FR"/>
        </w:rPr>
        <w:t>unit</w:t>
      </w:r>
      <w:r>
        <w:rPr>
          <w:lang w:val="fr-FR"/>
        </w:rPr>
        <w:t>é</w:t>
      </w:r>
      <w:r w:rsidRPr="00EF25FC">
        <w:rPr>
          <w:lang w:val="fr-FR"/>
        </w:rPr>
        <w:t>s économiques</w:t>
      </w:r>
      <w:r>
        <w:rPr>
          <w:lang w:val="fr-FR"/>
        </w:rPr>
        <w:t xml:space="preserve"> domestiques</w:t>
      </w:r>
      <w:r w:rsidRPr="00EF25FC">
        <w:rPr>
          <w:lang w:val="fr-FR"/>
        </w:rPr>
        <w:t>, alors que la phase</w:t>
      </w:r>
      <w:r>
        <w:rPr>
          <w:lang w:val="fr-FR"/>
        </w:rPr>
        <w:t> </w:t>
      </w:r>
      <w:r w:rsidRPr="00EF25FC">
        <w:rPr>
          <w:lang w:val="fr-FR"/>
        </w:rPr>
        <w:t xml:space="preserve">II, qui a </w:t>
      </w:r>
      <w:r>
        <w:rPr>
          <w:lang w:val="fr-FR"/>
        </w:rPr>
        <w:t>débuté</w:t>
      </w:r>
      <w:r w:rsidRPr="00EF25FC">
        <w:rPr>
          <w:lang w:val="fr-FR"/>
        </w:rPr>
        <w:t xml:space="preserve"> en novembr</w:t>
      </w:r>
      <w:r>
        <w:rPr>
          <w:lang w:val="fr-FR"/>
        </w:rPr>
        <w:t>e</w:t>
      </w:r>
      <w:r w:rsidRPr="00EF25FC">
        <w:rPr>
          <w:lang w:val="fr-FR"/>
        </w:rPr>
        <w:t xml:space="preserve"> 2011</w:t>
      </w:r>
      <w:r>
        <w:rPr>
          <w:lang w:val="fr-FR"/>
        </w:rPr>
        <w:t xml:space="preserve">, a </w:t>
      </w:r>
      <w:r w:rsidRPr="00EF25FC">
        <w:rPr>
          <w:lang w:val="fr-FR"/>
        </w:rPr>
        <w:t>c</w:t>
      </w:r>
      <w:r>
        <w:rPr>
          <w:lang w:val="fr-FR"/>
        </w:rPr>
        <w:t>ouvert</w:t>
      </w:r>
      <w:r w:rsidRPr="00EF25FC">
        <w:rPr>
          <w:lang w:val="fr-FR"/>
        </w:rPr>
        <w:t xml:space="preserve"> 2 million</w:t>
      </w:r>
      <w:r>
        <w:rPr>
          <w:lang w:val="fr-FR"/>
        </w:rPr>
        <w:t>s</w:t>
      </w:r>
      <w:r w:rsidRPr="00EF25FC">
        <w:rPr>
          <w:lang w:val="fr-FR"/>
        </w:rPr>
        <w:t xml:space="preserve"> </w:t>
      </w:r>
      <w:r>
        <w:rPr>
          <w:lang w:val="fr-FR"/>
        </w:rPr>
        <w:t>d’</w:t>
      </w:r>
      <w:r w:rsidRPr="00EF25FC">
        <w:rPr>
          <w:lang w:val="fr-FR"/>
        </w:rPr>
        <w:t>unit</w:t>
      </w:r>
      <w:r>
        <w:rPr>
          <w:lang w:val="fr-FR"/>
        </w:rPr>
        <w:t>é</w:t>
      </w:r>
      <w:r w:rsidRPr="00EF25FC">
        <w:rPr>
          <w:lang w:val="fr-FR"/>
        </w:rPr>
        <w:t xml:space="preserve">s. </w:t>
      </w:r>
      <w:r>
        <w:rPr>
          <w:lang w:val="fr-FR"/>
        </w:rPr>
        <w:t>La p</w:t>
      </w:r>
      <w:r w:rsidRPr="00EF25FC">
        <w:rPr>
          <w:lang w:val="fr-FR"/>
        </w:rPr>
        <w:t>hase</w:t>
      </w:r>
      <w:r>
        <w:rPr>
          <w:lang w:val="fr-FR"/>
        </w:rPr>
        <w:t> </w:t>
      </w:r>
      <w:r w:rsidRPr="00EF25FC">
        <w:rPr>
          <w:lang w:val="fr-FR"/>
        </w:rPr>
        <w:t>III, qui a commenc</w:t>
      </w:r>
      <w:r>
        <w:rPr>
          <w:lang w:val="fr-FR"/>
        </w:rPr>
        <w:t>é</w:t>
      </w:r>
      <w:r w:rsidRPr="00EF25FC">
        <w:rPr>
          <w:lang w:val="fr-FR"/>
        </w:rPr>
        <w:t xml:space="preserve"> en avril 2012, </w:t>
      </w:r>
      <w:r>
        <w:rPr>
          <w:lang w:val="fr-FR"/>
        </w:rPr>
        <w:t xml:space="preserve">a concerné </w:t>
      </w:r>
      <w:r w:rsidRPr="00EF25FC">
        <w:rPr>
          <w:lang w:val="fr-FR"/>
        </w:rPr>
        <w:t>2</w:t>
      </w:r>
      <w:r>
        <w:rPr>
          <w:lang w:val="fr-FR"/>
        </w:rPr>
        <w:t>,</w:t>
      </w:r>
      <w:r w:rsidRPr="00EF25FC">
        <w:rPr>
          <w:lang w:val="fr-FR"/>
        </w:rPr>
        <w:t>5 million</w:t>
      </w:r>
      <w:r>
        <w:rPr>
          <w:lang w:val="fr-FR"/>
        </w:rPr>
        <w:t>s</w:t>
      </w:r>
      <w:r w:rsidRPr="00EF25FC">
        <w:rPr>
          <w:lang w:val="fr-FR"/>
        </w:rPr>
        <w:t xml:space="preserve"> </w:t>
      </w:r>
      <w:r>
        <w:rPr>
          <w:lang w:val="fr-FR"/>
        </w:rPr>
        <w:t>d’</w:t>
      </w:r>
      <w:r w:rsidRPr="00EF25FC">
        <w:rPr>
          <w:lang w:val="fr-FR"/>
        </w:rPr>
        <w:t>unit</w:t>
      </w:r>
      <w:r>
        <w:rPr>
          <w:lang w:val="fr-FR"/>
        </w:rPr>
        <w:t>é</w:t>
      </w:r>
      <w:r w:rsidRPr="00EF25FC">
        <w:rPr>
          <w:lang w:val="fr-FR"/>
        </w:rPr>
        <w:t>s. La phase IV a été lancée le 22 octobre 2012. La phase</w:t>
      </w:r>
      <w:r>
        <w:rPr>
          <w:lang w:val="fr-FR"/>
        </w:rPr>
        <w:t> </w:t>
      </w:r>
      <w:r w:rsidRPr="00EF25FC">
        <w:rPr>
          <w:lang w:val="fr-FR"/>
        </w:rPr>
        <w:t>V de Divinaguma a été lanc</w:t>
      </w:r>
      <w:r>
        <w:rPr>
          <w:lang w:val="fr-FR"/>
        </w:rPr>
        <w:t>é</w:t>
      </w:r>
      <w:r w:rsidRPr="00EF25FC">
        <w:rPr>
          <w:lang w:val="fr-FR"/>
        </w:rPr>
        <w:t>e en octobre 2013 avec pour objectif d’a</w:t>
      </w:r>
      <w:r>
        <w:rPr>
          <w:lang w:val="fr-FR"/>
        </w:rPr>
        <w:t>ccroître</w:t>
      </w:r>
      <w:r w:rsidRPr="00EF25FC">
        <w:rPr>
          <w:lang w:val="fr-FR"/>
        </w:rPr>
        <w:t xml:space="preserve"> les revenus des familles en </w:t>
      </w:r>
      <w:r>
        <w:rPr>
          <w:lang w:val="fr-FR"/>
        </w:rPr>
        <w:t>amé</w:t>
      </w:r>
      <w:r w:rsidRPr="00EF25FC">
        <w:rPr>
          <w:lang w:val="fr-FR"/>
        </w:rPr>
        <w:t xml:space="preserve">liorant la culture de jardins familiaux. </w:t>
      </w:r>
    </w:p>
  </w:footnote>
  <w:footnote w:id="13">
    <w:p w:rsidR="00BD1C52" w:rsidRPr="00EF25FC" w:rsidRDefault="00BD1C52" w:rsidP="00C82061">
      <w:pPr>
        <w:pStyle w:val="FootnoteText"/>
        <w:rPr>
          <w:lang w:val="fr-FR"/>
        </w:rPr>
      </w:pPr>
      <w:r w:rsidRPr="00EF25FC">
        <w:rPr>
          <w:lang w:val="fr-FR"/>
        </w:rPr>
        <w:tab/>
      </w:r>
      <w:r w:rsidRPr="00E4519A">
        <w:rPr>
          <w:rStyle w:val="FootnoteReference"/>
        </w:rPr>
        <w:footnoteRef/>
      </w:r>
      <w:r w:rsidRPr="00EF25FC">
        <w:rPr>
          <w:lang w:val="fr-FR"/>
        </w:rPr>
        <w:tab/>
        <w:t xml:space="preserve">En 2011, 7 141 projets de </w:t>
      </w:r>
      <w:r>
        <w:rPr>
          <w:lang w:val="fr-FR"/>
        </w:rPr>
        <w:t xml:space="preserve">construction de </w:t>
      </w:r>
      <w:r w:rsidRPr="00EF25FC">
        <w:rPr>
          <w:lang w:val="fr-FR"/>
        </w:rPr>
        <w:t xml:space="preserve">routes, ponts et caniveaux ont été </w:t>
      </w:r>
      <w:r>
        <w:rPr>
          <w:lang w:val="fr-FR"/>
        </w:rPr>
        <w:t>menés à bien</w:t>
      </w:r>
      <w:r w:rsidRPr="00EF25FC">
        <w:rPr>
          <w:lang w:val="fr-FR"/>
        </w:rPr>
        <w:t xml:space="preserve">. </w:t>
      </w:r>
      <w:r>
        <w:rPr>
          <w:lang w:val="fr-FR"/>
        </w:rPr>
        <w:t xml:space="preserve">Les dépenses totales de programme se sont chiffrées à </w:t>
      </w:r>
      <w:r w:rsidRPr="00EF25FC">
        <w:rPr>
          <w:lang w:val="fr-FR"/>
        </w:rPr>
        <w:t>2</w:t>
      </w:r>
      <w:r>
        <w:rPr>
          <w:lang w:val="fr-FR"/>
        </w:rPr>
        <w:t> </w:t>
      </w:r>
      <w:r w:rsidRPr="00EF25FC">
        <w:rPr>
          <w:lang w:val="fr-FR"/>
        </w:rPr>
        <w:t xml:space="preserve">606 </w:t>
      </w:r>
      <w:r>
        <w:rPr>
          <w:lang w:val="fr-FR"/>
        </w:rPr>
        <w:t xml:space="preserve">milliards de roupies sri-lankaises, dont ont bénéficié </w:t>
      </w:r>
      <w:r w:rsidRPr="00EF25FC">
        <w:rPr>
          <w:lang w:val="fr-FR"/>
        </w:rPr>
        <w:t>4 million</w:t>
      </w:r>
      <w:r>
        <w:rPr>
          <w:lang w:val="fr-FR"/>
        </w:rPr>
        <w:t>s de personnes</w:t>
      </w:r>
      <w:r w:rsidRPr="00EF25FC">
        <w:rPr>
          <w:lang w:val="fr-FR"/>
        </w:rPr>
        <w:t>.</w:t>
      </w:r>
    </w:p>
  </w:footnote>
  <w:footnote w:id="14">
    <w:p w:rsidR="00BD1C52" w:rsidRPr="00E82089" w:rsidRDefault="00BD1C52" w:rsidP="00C82061">
      <w:pPr>
        <w:pStyle w:val="FootnoteText"/>
        <w:rPr>
          <w:lang w:val="fr-FR"/>
        </w:rPr>
      </w:pPr>
      <w:r w:rsidRPr="00EF25FC">
        <w:rPr>
          <w:lang w:val="fr-FR"/>
        </w:rPr>
        <w:tab/>
      </w:r>
      <w:r w:rsidRPr="00E4519A">
        <w:rPr>
          <w:rStyle w:val="FootnoteReference"/>
        </w:rPr>
        <w:footnoteRef/>
      </w:r>
      <w:r w:rsidRPr="00EF25FC">
        <w:rPr>
          <w:lang w:val="fr-FR"/>
        </w:rPr>
        <w:tab/>
        <w:t xml:space="preserve">En 2011, 7 141 projets de </w:t>
      </w:r>
      <w:r>
        <w:rPr>
          <w:lang w:val="fr-FR"/>
        </w:rPr>
        <w:t xml:space="preserve">construction de </w:t>
      </w:r>
      <w:r w:rsidRPr="00EF25FC">
        <w:rPr>
          <w:lang w:val="fr-FR"/>
        </w:rPr>
        <w:t xml:space="preserve">routes, ponts et caniveaux ont été </w:t>
      </w:r>
      <w:r>
        <w:rPr>
          <w:lang w:val="fr-FR"/>
        </w:rPr>
        <w:t>menés à bien</w:t>
      </w:r>
      <w:r w:rsidRPr="00EF25FC">
        <w:rPr>
          <w:lang w:val="fr-FR"/>
        </w:rPr>
        <w:t xml:space="preserve">. </w:t>
      </w:r>
      <w:r>
        <w:rPr>
          <w:lang w:val="fr-FR"/>
        </w:rPr>
        <w:t xml:space="preserve">Les dépenses totales de programme se sont chiffrées à </w:t>
      </w:r>
      <w:r w:rsidRPr="00EF25FC">
        <w:rPr>
          <w:lang w:val="fr-FR"/>
        </w:rPr>
        <w:t>2</w:t>
      </w:r>
      <w:r>
        <w:rPr>
          <w:lang w:val="fr-FR"/>
        </w:rPr>
        <w:t> </w:t>
      </w:r>
      <w:r w:rsidRPr="00EF25FC">
        <w:rPr>
          <w:lang w:val="fr-FR"/>
        </w:rPr>
        <w:t xml:space="preserve">606 </w:t>
      </w:r>
      <w:r>
        <w:rPr>
          <w:lang w:val="fr-FR"/>
        </w:rPr>
        <w:t xml:space="preserve">milliards de roupies sri-lankaises, dont ont bénéficié </w:t>
      </w:r>
      <w:r w:rsidRPr="00EF25FC">
        <w:rPr>
          <w:lang w:val="fr-FR"/>
        </w:rPr>
        <w:t>4 million</w:t>
      </w:r>
      <w:r>
        <w:rPr>
          <w:lang w:val="fr-FR"/>
        </w:rPr>
        <w:t>s de personnes.</w:t>
      </w:r>
      <w:r w:rsidRPr="00EF25FC">
        <w:rPr>
          <w:lang w:val="fr-FR"/>
        </w:rPr>
        <w:t xml:space="preserve"> </w:t>
      </w:r>
    </w:p>
  </w:footnote>
  <w:footnote w:id="15">
    <w:p w:rsidR="00BD1C52" w:rsidRPr="00544926" w:rsidRDefault="00BD1C52" w:rsidP="00C82061">
      <w:pPr>
        <w:pStyle w:val="FootnoteText"/>
        <w:rPr>
          <w:lang w:val="fr-FR"/>
        </w:rPr>
      </w:pPr>
      <w:r w:rsidRPr="00E82089">
        <w:rPr>
          <w:lang w:val="fr-FR"/>
        </w:rPr>
        <w:tab/>
      </w:r>
      <w:r w:rsidRPr="00E4519A">
        <w:rPr>
          <w:rStyle w:val="FootnoteReference"/>
        </w:rPr>
        <w:footnoteRef/>
      </w:r>
      <w:r w:rsidRPr="00544926">
        <w:rPr>
          <w:lang w:val="fr-FR"/>
        </w:rPr>
        <w:tab/>
        <w:t>Un</w:t>
      </w:r>
      <w:r>
        <w:rPr>
          <w:lang w:val="fr-FR"/>
        </w:rPr>
        <w:t xml:space="preserve"> grand nombre</w:t>
      </w:r>
      <w:r w:rsidRPr="00544926">
        <w:rPr>
          <w:lang w:val="fr-FR"/>
        </w:rPr>
        <w:t xml:space="preserve"> d’informations sont disponible</w:t>
      </w:r>
      <w:r>
        <w:rPr>
          <w:lang w:val="fr-FR"/>
        </w:rPr>
        <w:t>s</w:t>
      </w:r>
      <w:r w:rsidRPr="00544926">
        <w:rPr>
          <w:lang w:val="fr-FR"/>
        </w:rPr>
        <w:t xml:space="preserve"> sur le nouveau portail </w:t>
      </w:r>
      <w:r>
        <w:rPr>
          <w:lang w:val="fr-FR"/>
        </w:rPr>
        <w:t>officie</w:t>
      </w:r>
      <w:r w:rsidRPr="00544926">
        <w:rPr>
          <w:lang w:val="fr-FR"/>
        </w:rPr>
        <w:t xml:space="preserve">l du Gouvernement </w:t>
      </w:r>
      <w:r>
        <w:rPr>
          <w:lang w:val="fr-FR"/>
        </w:rPr>
        <w:t>consacré au développement</w:t>
      </w:r>
      <w:r w:rsidRPr="00544926">
        <w:rPr>
          <w:lang w:val="fr-FR"/>
        </w:rPr>
        <w:t xml:space="preserve">. </w:t>
      </w:r>
      <w:r>
        <w:rPr>
          <w:lang w:val="fr-FR"/>
        </w:rPr>
        <w:t xml:space="preserve">Vous pouvez vous </w:t>
      </w:r>
      <w:r w:rsidRPr="00544926">
        <w:rPr>
          <w:lang w:val="fr-FR"/>
        </w:rPr>
        <w:t>rendre sur le site</w:t>
      </w:r>
      <w:r>
        <w:rPr>
          <w:lang w:val="fr-FR"/>
        </w:rPr>
        <w:t>:</w:t>
      </w:r>
      <w:r w:rsidRPr="00544926">
        <w:rPr>
          <w:lang w:val="fr-FR"/>
        </w:rPr>
        <w:t xml:space="preserve"> www.development.lk pour obtenir plus d</w:t>
      </w:r>
      <w:r>
        <w:rPr>
          <w:lang w:val="fr-FR"/>
        </w:rPr>
        <w:t>e précisions</w:t>
      </w:r>
      <w:r w:rsidRPr="00544926">
        <w:rPr>
          <w:lang w:val="fr-FR"/>
        </w:rPr>
        <w:t xml:space="preserve"> sur les activités de développement </w:t>
      </w:r>
      <w:r>
        <w:rPr>
          <w:lang w:val="fr-FR"/>
        </w:rPr>
        <w:t xml:space="preserve">réalisées </w:t>
      </w:r>
      <w:r w:rsidRPr="00544926">
        <w:rPr>
          <w:lang w:val="fr-FR"/>
        </w:rPr>
        <w:t xml:space="preserve">dans les </w:t>
      </w:r>
      <w:r>
        <w:rPr>
          <w:lang w:val="fr-FR"/>
        </w:rPr>
        <w:t>p</w:t>
      </w:r>
      <w:r w:rsidRPr="00544926">
        <w:rPr>
          <w:lang w:val="fr-FR"/>
        </w:rPr>
        <w:t xml:space="preserve">rovinces du </w:t>
      </w:r>
      <w:r>
        <w:rPr>
          <w:lang w:val="fr-FR"/>
        </w:rPr>
        <w:t>n</w:t>
      </w:r>
      <w:r w:rsidRPr="00544926">
        <w:rPr>
          <w:lang w:val="fr-FR"/>
        </w:rPr>
        <w:t>ord et de l’</w:t>
      </w:r>
      <w:r>
        <w:rPr>
          <w:lang w:val="fr-FR"/>
        </w:rPr>
        <w:t>e</w:t>
      </w:r>
      <w:r w:rsidRPr="00544926">
        <w:rPr>
          <w:lang w:val="fr-FR"/>
        </w:rPr>
        <w:t>st</w:t>
      </w:r>
      <w:r>
        <w:rPr>
          <w:lang w:val="fr-FR"/>
        </w:rPr>
        <w:t xml:space="preserve"> ainsi que dans les autres régions du pays. </w:t>
      </w:r>
      <w:r w:rsidRPr="00544926">
        <w:rPr>
          <w:lang w:val="fr-FR"/>
        </w:rPr>
        <w:t>On</w:t>
      </w:r>
      <w:r>
        <w:rPr>
          <w:lang w:val="fr-FR"/>
        </w:rPr>
        <w:t xml:space="preserve"> p</w:t>
      </w:r>
      <w:r w:rsidRPr="00544926">
        <w:rPr>
          <w:lang w:val="fr-FR"/>
        </w:rPr>
        <w:t xml:space="preserve">eut </w:t>
      </w:r>
      <w:r>
        <w:rPr>
          <w:lang w:val="fr-FR"/>
        </w:rPr>
        <w:t xml:space="preserve">aussi </w:t>
      </w:r>
      <w:r w:rsidRPr="00544926">
        <w:rPr>
          <w:lang w:val="fr-FR"/>
        </w:rPr>
        <w:t xml:space="preserve">y trouver </w:t>
      </w:r>
      <w:r>
        <w:rPr>
          <w:lang w:val="fr-FR"/>
        </w:rPr>
        <w:t>un descriptif des activités de développement entreprises par le Gouvernement sri-lankais pour diminuer la pauvreté régionale</w:t>
      </w:r>
      <w:r w:rsidRPr="00544926">
        <w:rPr>
          <w:lang w:val="fr-FR"/>
        </w:rPr>
        <w:t>.</w:t>
      </w:r>
    </w:p>
  </w:footnote>
  <w:footnote w:id="16">
    <w:p w:rsidR="00BD1C52" w:rsidRPr="00544926" w:rsidRDefault="00BD1C52" w:rsidP="00C82061">
      <w:pPr>
        <w:pStyle w:val="FootnoteText"/>
        <w:rPr>
          <w:lang w:val="fr-FR"/>
        </w:rPr>
      </w:pPr>
      <w:r w:rsidRPr="00544926">
        <w:rPr>
          <w:lang w:val="fr-FR"/>
        </w:rPr>
        <w:tab/>
      </w:r>
      <w:r w:rsidRPr="00E4519A">
        <w:rPr>
          <w:rStyle w:val="FootnoteReference"/>
        </w:rPr>
        <w:footnoteRef/>
      </w:r>
      <w:r w:rsidRPr="00544926">
        <w:rPr>
          <w:lang w:val="fr-FR"/>
        </w:rPr>
        <w:tab/>
        <w:t xml:space="preserve">La politique nationale du </w:t>
      </w:r>
      <w:r>
        <w:rPr>
          <w:lang w:val="fr-FR"/>
        </w:rPr>
        <w:t>lo</w:t>
      </w:r>
      <w:r w:rsidRPr="00544926">
        <w:rPr>
          <w:lang w:val="fr-FR"/>
        </w:rPr>
        <w:t xml:space="preserve">gement peut </w:t>
      </w:r>
      <w:r>
        <w:rPr>
          <w:lang w:val="fr-FR"/>
        </w:rPr>
        <w:t xml:space="preserve">être consultée sur le site </w:t>
      </w:r>
      <w:r w:rsidRPr="00544926">
        <w:rPr>
          <w:lang w:val="fr-FR"/>
        </w:rPr>
        <w:t>www.housingpolicy.lk.</w:t>
      </w:r>
    </w:p>
  </w:footnote>
  <w:footnote w:id="17">
    <w:p w:rsidR="00BD1C52" w:rsidRPr="00B76CAE" w:rsidRDefault="00BD1C52" w:rsidP="00C82061">
      <w:pPr>
        <w:pStyle w:val="FootnoteText"/>
        <w:rPr>
          <w:lang w:val="fr-FR"/>
        </w:rPr>
      </w:pPr>
      <w:r w:rsidRPr="00544926">
        <w:rPr>
          <w:lang w:val="fr-FR"/>
        </w:rPr>
        <w:tab/>
      </w:r>
      <w:r w:rsidRPr="00E4519A">
        <w:rPr>
          <w:rStyle w:val="FootnoteReference"/>
        </w:rPr>
        <w:footnoteRef/>
      </w:r>
      <w:r w:rsidRPr="00B76CAE">
        <w:rPr>
          <w:lang w:val="fr-FR"/>
        </w:rPr>
        <w:tab/>
        <w:t>Pour plus d</w:t>
      </w:r>
      <w:r>
        <w:rPr>
          <w:lang w:val="fr-FR"/>
        </w:rPr>
        <w:t>e précisions</w:t>
      </w:r>
      <w:r w:rsidRPr="00B76CAE">
        <w:rPr>
          <w:lang w:val="fr-FR"/>
        </w:rPr>
        <w:t xml:space="preserve"> sur le programme de nutrition </w:t>
      </w:r>
      <w:r w:rsidRPr="00B76CAE">
        <w:rPr>
          <w:i/>
          <w:lang w:val="fr-FR"/>
        </w:rPr>
        <w:t>Triposha</w:t>
      </w:r>
      <w:r w:rsidRPr="00B76CAE">
        <w:rPr>
          <w:lang w:val="fr-FR"/>
        </w:rPr>
        <w:t>, voir le r</w:t>
      </w:r>
      <w:r>
        <w:rPr>
          <w:lang w:val="fr-FR"/>
        </w:rPr>
        <w:t>a</w:t>
      </w:r>
      <w:r w:rsidRPr="00B76CAE">
        <w:rPr>
          <w:lang w:val="fr-FR"/>
        </w:rPr>
        <w:t>pport</w:t>
      </w:r>
      <w:r>
        <w:rPr>
          <w:lang w:val="fr-FR"/>
        </w:rPr>
        <w:t xml:space="preserve"> initial présenté par l’État partie en </w:t>
      </w:r>
      <w:r w:rsidRPr="00B76CAE">
        <w:rPr>
          <w:lang w:val="fr-FR"/>
        </w:rPr>
        <w:t>1996.</w:t>
      </w:r>
    </w:p>
  </w:footnote>
  <w:footnote w:id="18">
    <w:p w:rsidR="00BD1C52" w:rsidRPr="001A09D9" w:rsidRDefault="00BD1C52" w:rsidP="00E5029E">
      <w:pPr>
        <w:pStyle w:val="FootnoteText"/>
        <w:rPr>
          <w:lang w:val="fr-FR"/>
        </w:rPr>
      </w:pPr>
      <w:r w:rsidRPr="00B76CAE">
        <w:rPr>
          <w:lang w:val="fr-FR"/>
        </w:rPr>
        <w:tab/>
      </w:r>
      <w:r w:rsidRPr="00E4519A">
        <w:rPr>
          <w:rStyle w:val="FootnoteReference"/>
        </w:rPr>
        <w:footnoteRef/>
      </w:r>
      <w:r w:rsidRPr="001A09D9">
        <w:rPr>
          <w:lang w:val="fr-FR"/>
        </w:rPr>
        <w:tab/>
        <w:t>Pour une copie de la circulaire</w:t>
      </w:r>
      <w:r>
        <w:rPr>
          <w:lang w:val="fr-FR"/>
        </w:rPr>
        <w:t>, voir le</w:t>
      </w:r>
      <w:r w:rsidRPr="001A09D9">
        <w:rPr>
          <w:lang w:val="fr-FR"/>
        </w:rPr>
        <w:t xml:space="preserve"> site http://www.pubad.gov.lk/web/eservices/circulars/2006/</w:t>
      </w:r>
      <w:r>
        <w:rPr>
          <w:lang w:val="fr-FR"/>
        </w:rPr>
        <w:t xml:space="preserve"> </w:t>
      </w:r>
      <w:r w:rsidRPr="001A09D9">
        <w:rPr>
          <w:lang w:val="fr-FR"/>
        </w:rPr>
        <w:t>E/03-2006%28e%29.pdf.</w:t>
      </w:r>
    </w:p>
  </w:footnote>
  <w:footnote w:id="19">
    <w:p w:rsidR="00BD1C52" w:rsidRPr="00D451A7" w:rsidRDefault="00BD1C52" w:rsidP="00E5029E">
      <w:pPr>
        <w:pStyle w:val="FootnoteText"/>
        <w:rPr>
          <w:lang w:val="fr-FR"/>
        </w:rPr>
      </w:pPr>
      <w:r w:rsidRPr="00E75923">
        <w:rPr>
          <w:lang w:val="fr-FR"/>
        </w:rPr>
        <w:tab/>
      </w:r>
      <w:r w:rsidRPr="00D451A7">
        <w:rPr>
          <w:rStyle w:val="FootnoteReference"/>
        </w:rPr>
        <w:footnoteRef/>
      </w:r>
      <w:r w:rsidRPr="00D451A7">
        <w:rPr>
          <w:lang w:val="fr-FR"/>
        </w:rPr>
        <w:tab/>
        <w:t>Rapport sur les objectifs du Millénaire pour le développement publié par l</w:t>
      </w:r>
      <w:r>
        <w:rPr>
          <w:lang w:val="fr-FR"/>
        </w:rPr>
        <w:t>’Organisation d</w:t>
      </w:r>
      <w:r w:rsidRPr="00D451A7">
        <w:rPr>
          <w:lang w:val="fr-FR"/>
        </w:rPr>
        <w:t>es Nations</w:t>
      </w:r>
      <w:r>
        <w:rPr>
          <w:lang w:val="fr-FR"/>
        </w:rPr>
        <w:t> </w:t>
      </w:r>
      <w:r w:rsidRPr="00D451A7">
        <w:rPr>
          <w:lang w:val="fr-FR"/>
        </w:rPr>
        <w:t xml:space="preserve">Unies pour Sri Lanka – 2015. </w:t>
      </w:r>
      <w:r>
        <w:rPr>
          <w:lang w:val="fr-FR"/>
        </w:rPr>
        <w:t>p.</w:t>
      </w:r>
      <w:r w:rsidRPr="00D451A7" w:rsidDel="00B55AB2">
        <w:rPr>
          <w:lang w:val="fr-FR"/>
        </w:rPr>
        <w:t xml:space="preserve"> </w:t>
      </w:r>
      <w:r w:rsidRPr="00D451A7">
        <w:rPr>
          <w:lang w:val="fr-FR"/>
        </w:rPr>
        <w:t>103.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C52" w:rsidRPr="00600516" w:rsidRDefault="00BD1C52" w:rsidP="00600516">
    <w:pPr>
      <w:pStyle w:val="Header"/>
    </w:pPr>
    <w:r>
      <w:t>E/C.12/LKA/5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C52" w:rsidRPr="00600516" w:rsidRDefault="00BD1C52" w:rsidP="003827D5">
    <w:pPr>
      <w:pStyle w:val="Header"/>
      <w:jc w:val="right"/>
    </w:pPr>
    <w:r>
      <w:t>E/C.12/LKA/5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6528F8"/>
    <w:multiLevelType w:val="multilevel"/>
    <w:tmpl w:val="F07E9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AD2C42"/>
    <w:multiLevelType w:val="hybridMultilevel"/>
    <w:tmpl w:val="472E2880"/>
    <w:lvl w:ilvl="0" w:tplc="A5BC90B0">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23E842CF"/>
    <w:multiLevelType w:val="hybridMultilevel"/>
    <w:tmpl w:val="8488D89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4"/>
  </w:num>
  <w:num w:numId="13">
    <w:abstractNumId w:val="10"/>
  </w:num>
  <w:num w:numId="14">
    <w:abstractNumId w:val="18"/>
  </w:num>
  <w:num w:numId="15">
    <w:abstractNumId w:val="13"/>
  </w:num>
  <w:num w:numId="16">
    <w:abstractNumId w:val="12"/>
  </w:num>
  <w:num w:numId="17">
    <w:abstractNumId w:val="16"/>
  </w:num>
  <w:num w:numId="18">
    <w:abstractNumId w:val="15"/>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n-SG" w:vendorID="64" w:dllVersion="131078" w:nlCheck="1" w:checkStyle="1"/>
  <w:activeWritingStyle w:appName="MSWord" w:lang="en-AU" w:vendorID="64" w:dllVersion="131078" w:nlCheck="1" w:checkStyle="1"/>
  <w:activeWritingStyle w:appName="MSWord" w:lang="fr-FR" w:vendorID="64" w:dllVersion="131078" w:nlCheck="1" w:checkStyle="1"/>
  <w:activeWritingStyle w:appName="MSWord" w:lang="fr-CA" w:vendorID="64" w:dllVersion="131078"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fillcolor="white">
      <v:fill color="white"/>
      <v:textbox style="layout-flow:vertical;mso-layout-flow-alt:bottom-to-top"/>
    </o:shapedefaults>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6628"/>
    <w:rsid w:val="000017A5"/>
    <w:rsid w:val="00003F4A"/>
    <w:rsid w:val="000071BE"/>
    <w:rsid w:val="00013C2D"/>
    <w:rsid w:val="00020E2B"/>
    <w:rsid w:val="000278AE"/>
    <w:rsid w:val="00031A40"/>
    <w:rsid w:val="000322B8"/>
    <w:rsid w:val="00032836"/>
    <w:rsid w:val="00032D12"/>
    <w:rsid w:val="00033772"/>
    <w:rsid w:val="00034DE3"/>
    <w:rsid w:val="0004228E"/>
    <w:rsid w:val="0004555F"/>
    <w:rsid w:val="00046B1F"/>
    <w:rsid w:val="00050F6B"/>
    <w:rsid w:val="0005121E"/>
    <w:rsid w:val="00057D4A"/>
    <w:rsid w:val="00057E97"/>
    <w:rsid w:val="00064214"/>
    <w:rsid w:val="00067DE9"/>
    <w:rsid w:val="00070EBC"/>
    <w:rsid w:val="000729C5"/>
    <w:rsid w:val="00072C8C"/>
    <w:rsid w:val="000733B5"/>
    <w:rsid w:val="00074008"/>
    <w:rsid w:val="000745CE"/>
    <w:rsid w:val="000761E2"/>
    <w:rsid w:val="00081815"/>
    <w:rsid w:val="00081996"/>
    <w:rsid w:val="000855B1"/>
    <w:rsid w:val="00086461"/>
    <w:rsid w:val="00087367"/>
    <w:rsid w:val="00091339"/>
    <w:rsid w:val="00092EFD"/>
    <w:rsid w:val="000931C0"/>
    <w:rsid w:val="00096C3D"/>
    <w:rsid w:val="00096FE4"/>
    <w:rsid w:val="000A72C9"/>
    <w:rsid w:val="000B0595"/>
    <w:rsid w:val="000B0D4F"/>
    <w:rsid w:val="000B15FB"/>
    <w:rsid w:val="000B175B"/>
    <w:rsid w:val="000B1DB6"/>
    <w:rsid w:val="000B3A0F"/>
    <w:rsid w:val="000B41C8"/>
    <w:rsid w:val="000B4EF7"/>
    <w:rsid w:val="000B59D5"/>
    <w:rsid w:val="000C2C03"/>
    <w:rsid w:val="000C2D2E"/>
    <w:rsid w:val="000C5543"/>
    <w:rsid w:val="000D005E"/>
    <w:rsid w:val="000D575D"/>
    <w:rsid w:val="000E0415"/>
    <w:rsid w:val="000E4B5B"/>
    <w:rsid w:val="000E5858"/>
    <w:rsid w:val="000F0191"/>
    <w:rsid w:val="000F6F6E"/>
    <w:rsid w:val="000F76F7"/>
    <w:rsid w:val="000F7DE5"/>
    <w:rsid w:val="00104329"/>
    <w:rsid w:val="00104B1F"/>
    <w:rsid w:val="0010595F"/>
    <w:rsid w:val="00107526"/>
    <w:rsid w:val="001078D1"/>
    <w:rsid w:val="001103AA"/>
    <w:rsid w:val="00111906"/>
    <w:rsid w:val="00111923"/>
    <w:rsid w:val="0011666B"/>
    <w:rsid w:val="001229F8"/>
    <w:rsid w:val="001262D5"/>
    <w:rsid w:val="0012766B"/>
    <w:rsid w:val="001305B7"/>
    <w:rsid w:val="0013497C"/>
    <w:rsid w:val="00134B80"/>
    <w:rsid w:val="00135826"/>
    <w:rsid w:val="00137873"/>
    <w:rsid w:val="00137B1E"/>
    <w:rsid w:val="001442F0"/>
    <w:rsid w:val="00145080"/>
    <w:rsid w:val="001509ED"/>
    <w:rsid w:val="001523CD"/>
    <w:rsid w:val="00160691"/>
    <w:rsid w:val="001643C9"/>
    <w:rsid w:val="00165F3A"/>
    <w:rsid w:val="00166723"/>
    <w:rsid w:val="001714EA"/>
    <w:rsid w:val="001726C9"/>
    <w:rsid w:val="00177FA2"/>
    <w:rsid w:val="00184CD2"/>
    <w:rsid w:val="00186CDD"/>
    <w:rsid w:val="00187A1F"/>
    <w:rsid w:val="00192E31"/>
    <w:rsid w:val="00193DA0"/>
    <w:rsid w:val="00195864"/>
    <w:rsid w:val="00195A7E"/>
    <w:rsid w:val="001975FF"/>
    <w:rsid w:val="0019773D"/>
    <w:rsid w:val="00197AA3"/>
    <w:rsid w:val="001A16EE"/>
    <w:rsid w:val="001B1696"/>
    <w:rsid w:val="001B18EE"/>
    <w:rsid w:val="001B1918"/>
    <w:rsid w:val="001B4B04"/>
    <w:rsid w:val="001B56A0"/>
    <w:rsid w:val="001B603F"/>
    <w:rsid w:val="001B711F"/>
    <w:rsid w:val="001C27BB"/>
    <w:rsid w:val="001C2A4C"/>
    <w:rsid w:val="001C391C"/>
    <w:rsid w:val="001C50FA"/>
    <w:rsid w:val="001C6663"/>
    <w:rsid w:val="001C7895"/>
    <w:rsid w:val="001D0C8C"/>
    <w:rsid w:val="001D0E5C"/>
    <w:rsid w:val="001D1419"/>
    <w:rsid w:val="001D1A33"/>
    <w:rsid w:val="001D26DF"/>
    <w:rsid w:val="001D352C"/>
    <w:rsid w:val="001D3A03"/>
    <w:rsid w:val="001D5E72"/>
    <w:rsid w:val="001D6B83"/>
    <w:rsid w:val="001E0EBF"/>
    <w:rsid w:val="001E1162"/>
    <w:rsid w:val="001E2D73"/>
    <w:rsid w:val="001E7B67"/>
    <w:rsid w:val="001F2AFE"/>
    <w:rsid w:val="001F327B"/>
    <w:rsid w:val="001F5F05"/>
    <w:rsid w:val="001F742D"/>
    <w:rsid w:val="00200624"/>
    <w:rsid w:val="00202DA8"/>
    <w:rsid w:val="00210845"/>
    <w:rsid w:val="00210E33"/>
    <w:rsid w:val="00211E0B"/>
    <w:rsid w:val="00212AAC"/>
    <w:rsid w:val="00214073"/>
    <w:rsid w:val="00221BEF"/>
    <w:rsid w:val="002278B8"/>
    <w:rsid w:val="00233BBD"/>
    <w:rsid w:val="00234636"/>
    <w:rsid w:val="00241AAF"/>
    <w:rsid w:val="00242A06"/>
    <w:rsid w:val="00251A57"/>
    <w:rsid w:val="00254073"/>
    <w:rsid w:val="00255264"/>
    <w:rsid w:val="00260D34"/>
    <w:rsid w:val="00267F5F"/>
    <w:rsid w:val="002707E0"/>
    <w:rsid w:val="00270A78"/>
    <w:rsid w:val="00270B2F"/>
    <w:rsid w:val="00273C84"/>
    <w:rsid w:val="00274C91"/>
    <w:rsid w:val="00274F34"/>
    <w:rsid w:val="002765AD"/>
    <w:rsid w:val="002765BD"/>
    <w:rsid w:val="00276D12"/>
    <w:rsid w:val="00281C3E"/>
    <w:rsid w:val="00282FC0"/>
    <w:rsid w:val="00285570"/>
    <w:rsid w:val="002856CF"/>
    <w:rsid w:val="00286B4D"/>
    <w:rsid w:val="00291191"/>
    <w:rsid w:val="002925DA"/>
    <w:rsid w:val="0029500C"/>
    <w:rsid w:val="00297030"/>
    <w:rsid w:val="002A082E"/>
    <w:rsid w:val="002C112E"/>
    <w:rsid w:val="002C325B"/>
    <w:rsid w:val="002C4A51"/>
    <w:rsid w:val="002C6029"/>
    <w:rsid w:val="002C6573"/>
    <w:rsid w:val="002D1B43"/>
    <w:rsid w:val="002D34EA"/>
    <w:rsid w:val="002D4643"/>
    <w:rsid w:val="002E680C"/>
    <w:rsid w:val="002F1019"/>
    <w:rsid w:val="002F175C"/>
    <w:rsid w:val="002F1D49"/>
    <w:rsid w:val="002F2062"/>
    <w:rsid w:val="002F58A6"/>
    <w:rsid w:val="002F5963"/>
    <w:rsid w:val="003004BE"/>
    <w:rsid w:val="00302E18"/>
    <w:rsid w:val="00304E81"/>
    <w:rsid w:val="00305186"/>
    <w:rsid w:val="00305E7A"/>
    <w:rsid w:val="0030644C"/>
    <w:rsid w:val="003129E3"/>
    <w:rsid w:val="00317D20"/>
    <w:rsid w:val="003229D8"/>
    <w:rsid w:val="00324B5A"/>
    <w:rsid w:val="00331CBD"/>
    <w:rsid w:val="00333A2A"/>
    <w:rsid w:val="00336F35"/>
    <w:rsid w:val="00342F0F"/>
    <w:rsid w:val="003466D9"/>
    <w:rsid w:val="00346B99"/>
    <w:rsid w:val="00346E50"/>
    <w:rsid w:val="00347D28"/>
    <w:rsid w:val="0035133E"/>
    <w:rsid w:val="00352336"/>
    <w:rsid w:val="00352709"/>
    <w:rsid w:val="003577DA"/>
    <w:rsid w:val="0036319A"/>
    <w:rsid w:val="00363BB7"/>
    <w:rsid w:val="003643D5"/>
    <w:rsid w:val="00370768"/>
    <w:rsid w:val="00371178"/>
    <w:rsid w:val="0037236C"/>
    <w:rsid w:val="00373CD3"/>
    <w:rsid w:val="003773C6"/>
    <w:rsid w:val="00380BEB"/>
    <w:rsid w:val="003827D5"/>
    <w:rsid w:val="003832F9"/>
    <w:rsid w:val="00391E6D"/>
    <w:rsid w:val="003930B1"/>
    <w:rsid w:val="003A6033"/>
    <w:rsid w:val="003A6810"/>
    <w:rsid w:val="003A716B"/>
    <w:rsid w:val="003B0067"/>
    <w:rsid w:val="003B1797"/>
    <w:rsid w:val="003B390A"/>
    <w:rsid w:val="003B4155"/>
    <w:rsid w:val="003B5E39"/>
    <w:rsid w:val="003C1784"/>
    <w:rsid w:val="003C2CC4"/>
    <w:rsid w:val="003C5C93"/>
    <w:rsid w:val="003D3E68"/>
    <w:rsid w:val="003D4B23"/>
    <w:rsid w:val="003D5C37"/>
    <w:rsid w:val="003E7282"/>
    <w:rsid w:val="003E7A18"/>
    <w:rsid w:val="003F1705"/>
    <w:rsid w:val="003F19FC"/>
    <w:rsid w:val="003F266A"/>
    <w:rsid w:val="003F4C37"/>
    <w:rsid w:val="00410C89"/>
    <w:rsid w:val="004145EA"/>
    <w:rsid w:val="00415553"/>
    <w:rsid w:val="0042197C"/>
    <w:rsid w:val="00422E03"/>
    <w:rsid w:val="004248EA"/>
    <w:rsid w:val="00426B9B"/>
    <w:rsid w:val="00426DFD"/>
    <w:rsid w:val="0043084C"/>
    <w:rsid w:val="00431513"/>
    <w:rsid w:val="004325CB"/>
    <w:rsid w:val="004352AB"/>
    <w:rsid w:val="00436628"/>
    <w:rsid w:val="00436728"/>
    <w:rsid w:val="00437DA9"/>
    <w:rsid w:val="004407A6"/>
    <w:rsid w:val="00442A83"/>
    <w:rsid w:val="00443028"/>
    <w:rsid w:val="004430AD"/>
    <w:rsid w:val="00443697"/>
    <w:rsid w:val="004517F2"/>
    <w:rsid w:val="0045495B"/>
    <w:rsid w:val="004553DB"/>
    <w:rsid w:val="00456CC6"/>
    <w:rsid w:val="004575A2"/>
    <w:rsid w:val="0046139F"/>
    <w:rsid w:val="00467B9E"/>
    <w:rsid w:val="0047062D"/>
    <w:rsid w:val="00481132"/>
    <w:rsid w:val="0048254E"/>
    <w:rsid w:val="004838F4"/>
    <w:rsid w:val="0048397A"/>
    <w:rsid w:val="004875DD"/>
    <w:rsid w:val="004879DA"/>
    <w:rsid w:val="004914C6"/>
    <w:rsid w:val="00493E27"/>
    <w:rsid w:val="0049672C"/>
    <w:rsid w:val="0049793A"/>
    <w:rsid w:val="004A5BBF"/>
    <w:rsid w:val="004A686E"/>
    <w:rsid w:val="004B28A1"/>
    <w:rsid w:val="004B3E02"/>
    <w:rsid w:val="004C09EB"/>
    <w:rsid w:val="004C1411"/>
    <w:rsid w:val="004C2461"/>
    <w:rsid w:val="004C27FD"/>
    <w:rsid w:val="004C421D"/>
    <w:rsid w:val="004C7462"/>
    <w:rsid w:val="004D0AD8"/>
    <w:rsid w:val="004D698B"/>
    <w:rsid w:val="004D7230"/>
    <w:rsid w:val="004E19BD"/>
    <w:rsid w:val="004E2878"/>
    <w:rsid w:val="004E3AD5"/>
    <w:rsid w:val="004E58EA"/>
    <w:rsid w:val="004E6938"/>
    <w:rsid w:val="004E6DED"/>
    <w:rsid w:val="004E77B2"/>
    <w:rsid w:val="004F2803"/>
    <w:rsid w:val="004F3770"/>
    <w:rsid w:val="004F5761"/>
    <w:rsid w:val="004F7932"/>
    <w:rsid w:val="00501505"/>
    <w:rsid w:val="005015CA"/>
    <w:rsid w:val="00502F26"/>
    <w:rsid w:val="00504B2D"/>
    <w:rsid w:val="005117C6"/>
    <w:rsid w:val="005119B3"/>
    <w:rsid w:val="00516A2D"/>
    <w:rsid w:val="0052136D"/>
    <w:rsid w:val="00521BA0"/>
    <w:rsid w:val="00522B58"/>
    <w:rsid w:val="0052574F"/>
    <w:rsid w:val="0052775E"/>
    <w:rsid w:val="00534AEF"/>
    <w:rsid w:val="00537016"/>
    <w:rsid w:val="0054140D"/>
    <w:rsid w:val="005420F2"/>
    <w:rsid w:val="00552F4A"/>
    <w:rsid w:val="005531E9"/>
    <w:rsid w:val="005542F7"/>
    <w:rsid w:val="00554A31"/>
    <w:rsid w:val="005556CD"/>
    <w:rsid w:val="005574A2"/>
    <w:rsid w:val="005628B6"/>
    <w:rsid w:val="00563353"/>
    <w:rsid w:val="00573E67"/>
    <w:rsid w:val="005751F8"/>
    <w:rsid w:val="00577683"/>
    <w:rsid w:val="005812A7"/>
    <w:rsid w:val="0058595A"/>
    <w:rsid w:val="005869CB"/>
    <w:rsid w:val="00590A38"/>
    <w:rsid w:val="00592D7D"/>
    <w:rsid w:val="00597396"/>
    <w:rsid w:val="005A38C3"/>
    <w:rsid w:val="005A498E"/>
    <w:rsid w:val="005A53EF"/>
    <w:rsid w:val="005A722D"/>
    <w:rsid w:val="005A78AC"/>
    <w:rsid w:val="005B142F"/>
    <w:rsid w:val="005B3DB3"/>
    <w:rsid w:val="005B4E13"/>
    <w:rsid w:val="005C1D13"/>
    <w:rsid w:val="005C61B5"/>
    <w:rsid w:val="005C6420"/>
    <w:rsid w:val="005D3BAD"/>
    <w:rsid w:val="005D3DCB"/>
    <w:rsid w:val="005D5034"/>
    <w:rsid w:val="005D7CA0"/>
    <w:rsid w:val="005E041F"/>
    <w:rsid w:val="005E1937"/>
    <w:rsid w:val="005E35EF"/>
    <w:rsid w:val="005E385E"/>
    <w:rsid w:val="005F19FE"/>
    <w:rsid w:val="005F283E"/>
    <w:rsid w:val="005F28CD"/>
    <w:rsid w:val="005F49B7"/>
    <w:rsid w:val="005F7774"/>
    <w:rsid w:val="005F7B75"/>
    <w:rsid w:val="006001EE"/>
    <w:rsid w:val="00600516"/>
    <w:rsid w:val="006010D6"/>
    <w:rsid w:val="00604136"/>
    <w:rsid w:val="006046CE"/>
    <w:rsid w:val="00605042"/>
    <w:rsid w:val="006071BA"/>
    <w:rsid w:val="00611FC4"/>
    <w:rsid w:val="00612207"/>
    <w:rsid w:val="00612923"/>
    <w:rsid w:val="00615872"/>
    <w:rsid w:val="006176FB"/>
    <w:rsid w:val="006215E0"/>
    <w:rsid w:val="00624E48"/>
    <w:rsid w:val="0062676D"/>
    <w:rsid w:val="00640B26"/>
    <w:rsid w:val="006416C6"/>
    <w:rsid w:val="00641CFA"/>
    <w:rsid w:val="006435F8"/>
    <w:rsid w:val="00644268"/>
    <w:rsid w:val="006452AF"/>
    <w:rsid w:val="006467B2"/>
    <w:rsid w:val="00651E0F"/>
    <w:rsid w:val="00652651"/>
    <w:rsid w:val="00652D0A"/>
    <w:rsid w:val="00654DBE"/>
    <w:rsid w:val="0065664E"/>
    <w:rsid w:val="006567DF"/>
    <w:rsid w:val="0066000A"/>
    <w:rsid w:val="006623D5"/>
    <w:rsid w:val="006627E1"/>
    <w:rsid w:val="00662BB6"/>
    <w:rsid w:val="006677CC"/>
    <w:rsid w:val="00670651"/>
    <w:rsid w:val="00670680"/>
    <w:rsid w:val="006730A1"/>
    <w:rsid w:val="00682521"/>
    <w:rsid w:val="00684C21"/>
    <w:rsid w:val="00691A20"/>
    <w:rsid w:val="0069385A"/>
    <w:rsid w:val="00695AFF"/>
    <w:rsid w:val="006A022E"/>
    <w:rsid w:val="006A2530"/>
    <w:rsid w:val="006A3DD1"/>
    <w:rsid w:val="006A60CB"/>
    <w:rsid w:val="006B31C2"/>
    <w:rsid w:val="006B5303"/>
    <w:rsid w:val="006B5A83"/>
    <w:rsid w:val="006C3589"/>
    <w:rsid w:val="006C676F"/>
    <w:rsid w:val="006C71AF"/>
    <w:rsid w:val="006D1EAC"/>
    <w:rsid w:val="006D37AF"/>
    <w:rsid w:val="006D45F8"/>
    <w:rsid w:val="006D51D0"/>
    <w:rsid w:val="006D7C3E"/>
    <w:rsid w:val="006E11FB"/>
    <w:rsid w:val="006E33FC"/>
    <w:rsid w:val="006E564B"/>
    <w:rsid w:val="006E7191"/>
    <w:rsid w:val="006F1F99"/>
    <w:rsid w:val="006F3A4B"/>
    <w:rsid w:val="006F543A"/>
    <w:rsid w:val="00702C32"/>
    <w:rsid w:val="00703577"/>
    <w:rsid w:val="00705894"/>
    <w:rsid w:val="00706035"/>
    <w:rsid w:val="00707F58"/>
    <w:rsid w:val="007139EA"/>
    <w:rsid w:val="00715602"/>
    <w:rsid w:val="0072022B"/>
    <w:rsid w:val="007240A5"/>
    <w:rsid w:val="00724CFB"/>
    <w:rsid w:val="00725030"/>
    <w:rsid w:val="0072632A"/>
    <w:rsid w:val="00726592"/>
    <w:rsid w:val="00727421"/>
    <w:rsid w:val="007327D5"/>
    <w:rsid w:val="007331D2"/>
    <w:rsid w:val="007347D9"/>
    <w:rsid w:val="00736930"/>
    <w:rsid w:val="00737AC2"/>
    <w:rsid w:val="00741E3B"/>
    <w:rsid w:val="00746401"/>
    <w:rsid w:val="007542B6"/>
    <w:rsid w:val="00754327"/>
    <w:rsid w:val="00755819"/>
    <w:rsid w:val="00756F4A"/>
    <w:rsid w:val="007574C7"/>
    <w:rsid w:val="0076045F"/>
    <w:rsid w:val="00760E8C"/>
    <w:rsid w:val="007629C8"/>
    <w:rsid w:val="0077047D"/>
    <w:rsid w:val="007738FD"/>
    <w:rsid w:val="00777E82"/>
    <w:rsid w:val="007817BF"/>
    <w:rsid w:val="00782A80"/>
    <w:rsid w:val="00783FD1"/>
    <w:rsid w:val="007848EA"/>
    <w:rsid w:val="00792FED"/>
    <w:rsid w:val="007954FD"/>
    <w:rsid w:val="0079712E"/>
    <w:rsid w:val="007B05BF"/>
    <w:rsid w:val="007B0F90"/>
    <w:rsid w:val="007B46CF"/>
    <w:rsid w:val="007B6BA5"/>
    <w:rsid w:val="007B7CED"/>
    <w:rsid w:val="007B7FE4"/>
    <w:rsid w:val="007C3390"/>
    <w:rsid w:val="007C36A7"/>
    <w:rsid w:val="007C3B8B"/>
    <w:rsid w:val="007C48B2"/>
    <w:rsid w:val="007C4F4B"/>
    <w:rsid w:val="007C5C21"/>
    <w:rsid w:val="007D1878"/>
    <w:rsid w:val="007D3976"/>
    <w:rsid w:val="007E01E9"/>
    <w:rsid w:val="007E0938"/>
    <w:rsid w:val="007E2D9F"/>
    <w:rsid w:val="007E3D04"/>
    <w:rsid w:val="007E4E74"/>
    <w:rsid w:val="007E63F3"/>
    <w:rsid w:val="007F0BDC"/>
    <w:rsid w:val="007F1AFC"/>
    <w:rsid w:val="007F319E"/>
    <w:rsid w:val="007F6611"/>
    <w:rsid w:val="00801CCE"/>
    <w:rsid w:val="008033AE"/>
    <w:rsid w:val="00803965"/>
    <w:rsid w:val="00810271"/>
    <w:rsid w:val="00811920"/>
    <w:rsid w:val="00815AD0"/>
    <w:rsid w:val="008229F3"/>
    <w:rsid w:val="0082336C"/>
    <w:rsid w:val="008242D7"/>
    <w:rsid w:val="00824524"/>
    <w:rsid w:val="008254F1"/>
    <w:rsid w:val="008257B1"/>
    <w:rsid w:val="008279DE"/>
    <w:rsid w:val="008314B6"/>
    <w:rsid w:val="008421D5"/>
    <w:rsid w:val="00843767"/>
    <w:rsid w:val="00853C6F"/>
    <w:rsid w:val="00866E81"/>
    <w:rsid w:val="008679D9"/>
    <w:rsid w:val="00880B89"/>
    <w:rsid w:val="00884045"/>
    <w:rsid w:val="0088418C"/>
    <w:rsid w:val="00886024"/>
    <w:rsid w:val="008878DE"/>
    <w:rsid w:val="008937EF"/>
    <w:rsid w:val="00896AE3"/>
    <w:rsid w:val="00896FF1"/>
    <w:rsid w:val="00897792"/>
    <w:rsid w:val="008979B1"/>
    <w:rsid w:val="008A17FA"/>
    <w:rsid w:val="008A2149"/>
    <w:rsid w:val="008A6443"/>
    <w:rsid w:val="008A6B25"/>
    <w:rsid w:val="008A6C4F"/>
    <w:rsid w:val="008B1B5E"/>
    <w:rsid w:val="008B2335"/>
    <w:rsid w:val="008B2A45"/>
    <w:rsid w:val="008B3999"/>
    <w:rsid w:val="008B7D26"/>
    <w:rsid w:val="008C4B9F"/>
    <w:rsid w:val="008C4DFF"/>
    <w:rsid w:val="008C5D76"/>
    <w:rsid w:val="008D0787"/>
    <w:rsid w:val="008E0678"/>
    <w:rsid w:val="008E36B0"/>
    <w:rsid w:val="008E77B9"/>
    <w:rsid w:val="008F3872"/>
    <w:rsid w:val="008F3C01"/>
    <w:rsid w:val="008F6B82"/>
    <w:rsid w:val="00902031"/>
    <w:rsid w:val="00902371"/>
    <w:rsid w:val="009038A5"/>
    <w:rsid w:val="00905B61"/>
    <w:rsid w:val="0091093D"/>
    <w:rsid w:val="009200DA"/>
    <w:rsid w:val="009216CE"/>
    <w:rsid w:val="009223CA"/>
    <w:rsid w:val="009224E3"/>
    <w:rsid w:val="00925144"/>
    <w:rsid w:val="00933564"/>
    <w:rsid w:val="00934E29"/>
    <w:rsid w:val="00937B77"/>
    <w:rsid w:val="00940F93"/>
    <w:rsid w:val="00943FE6"/>
    <w:rsid w:val="00950E17"/>
    <w:rsid w:val="009518D5"/>
    <w:rsid w:val="00954992"/>
    <w:rsid w:val="009551F9"/>
    <w:rsid w:val="00955840"/>
    <w:rsid w:val="00961357"/>
    <w:rsid w:val="00963E06"/>
    <w:rsid w:val="00963E80"/>
    <w:rsid w:val="00965BBE"/>
    <w:rsid w:val="00966619"/>
    <w:rsid w:val="009719A6"/>
    <w:rsid w:val="00974700"/>
    <w:rsid w:val="00974D6D"/>
    <w:rsid w:val="009760F3"/>
    <w:rsid w:val="00976445"/>
    <w:rsid w:val="00985E85"/>
    <w:rsid w:val="00986220"/>
    <w:rsid w:val="009910B0"/>
    <w:rsid w:val="00992089"/>
    <w:rsid w:val="009934EC"/>
    <w:rsid w:val="009A08E3"/>
    <w:rsid w:val="009A0E8D"/>
    <w:rsid w:val="009A3F24"/>
    <w:rsid w:val="009B0A18"/>
    <w:rsid w:val="009B26E7"/>
    <w:rsid w:val="009B3AB0"/>
    <w:rsid w:val="009B3D25"/>
    <w:rsid w:val="009B4AD7"/>
    <w:rsid w:val="009B683B"/>
    <w:rsid w:val="009D3A86"/>
    <w:rsid w:val="009D4E15"/>
    <w:rsid w:val="009D5590"/>
    <w:rsid w:val="009D70CC"/>
    <w:rsid w:val="009E25DA"/>
    <w:rsid w:val="009E2C14"/>
    <w:rsid w:val="009E6D14"/>
    <w:rsid w:val="009F1284"/>
    <w:rsid w:val="009F17F3"/>
    <w:rsid w:val="009F2D6A"/>
    <w:rsid w:val="009F3164"/>
    <w:rsid w:val="009F43DE"/>
    <w:rsid w:val="00A00A3F"/>
    <w:rsid w:val="00A01489"/>
    <w:rsid w:val="00A014B9"/>
    <w:rsid w:val="00A06F24"/>
    <w:rsid w:val="00A101C2"/>
    <w:rsid w:val="00A10CEB"/>
    <w:rsid w:val="00A1443B"/>
    <w:rsid w:val="00A14E69"/>
    <w:rsid w:val="00A17F9E"/>
    <w:rsid w:val="00A262F7"/>
    <w:rsid w:val="00A26449"/>
    <w:rsid w:val="00A3026E"/>
    <w:rsid w:val="00A33701"/>
    <w:rsid w:val="00A338F1"/>
    <w:rsid w:val="00A355E9"/>
    <w:rsid w:val="00A37A1E"/>
    <w:rsid w:val="00A44BFD"/>
    <w:rsid w:val="00A465E5"/>
    <w:rsid w:val="00A51AEA"/>
    <w:rsid w:val="00A526EF"/>
    <w:rsid w:val="00A54151"/>
    <w:rsid w:val="00A5555C"/>
    <w:rsid w:val="00A568C3"/>
    <w:rsid w:val="00A65370"/>
    <w:rsid w:val="00A71577"/>
    <w:rsid w:val="00A7238B"/>
    <w:rsid w:val="00A72F22"/>
    <w:rsid w:val="00A7360F"/>
    <w:rsid w:val="00A748A6"/>
    <w:rsid w:val="00A769F4"/>
    <w:rsid w:val="00A776B4"/>
    <w:rsid w:val="00A852C6"/>
    <w:rsid w:val="00A90E75"/>
    <w:rsid w:val="00A90EAE"/>
    <w:rsid w:val="00A9288A"/>
    <w:rsid w:val="00A94361"/>
    <w:rsid w:val="00A94F8A"/>
    <w:rsid w:val="00A9588F"/>
    <w:rsid w:val="00AA0759"/>
    <w:rsid w:val="00AA293C"/>
    <w:rsid w:val="00AA5651"/>
    <w:rsid w:val="00AB12EE"/>
    <w:rsid w:val="00AB7CC5"/>
    <w:rsid w:val="00AC5668"/>
    <w:rsid w:val="00AD4FD4"/>
    <w:rsid w:val="00AE0B7A"/>
    <w:rsid w:val="00AE0DA7"/>
    <w:rsid w:val="00AE13F2"/>
    <w:rsid w:val="00AE2E29"/>
    <w:rsid w:val="00AE4422"/>
    <w:rsid w:val="00AE4719"/>
    <w:rsid w:val="00AE5E4A"/>
    <w:rsid w:val="00AE7AF3"/>
    <w:rsid w:val="00AF6BBB"/>
    <w:rsid w:val="00AF6CAF"/>
    <w:rsid w:val="00AF6FC3"/>
    <w:rsid w:val="00B00E5B"/>
    <w:rsid w:val="00B021F0"/>
    <w:rsid w:val="00B03B0C"/>
    <w:rsid w:val="00B0477B"/>
    <w:rsid w:val="00B10832"/>
    <w:rsid w:val="00B10FCD"/>
    <w:rsid w:val="00B13C84"/>
    <w:rsid w:val="00B1496E"/>
    <w:rsid w:val="00B14D80"/>
    <w:rsid w:val="00B15932"/>
    <w:rsid w:val="00B17832"/>
    <w:rsid w:val="00B2292F"/>
    <w:rsid w:val="00B262BD"/>
    <w:rsid w:val="00B2634A"/>
    <w:rsid w:val="00B26C8E"/>
    <w:rsid w:val="00B30179"/>
    <w:rsid w:val="00B3339A"/>
    <w:rsid w:val="00B3602C"/>
    <w:rsid w:val="00B37CEF"/>
    <w:rsid w:val="00B421C1"/>
    <w:rsid w:val="00B51AF7"/>
    <w:rsid w:val="00B55AB2"/>
    <w:rsid w:val="00B55C71"/>
    <w:rsid w:val="00B56E4A"/>
    <w:rsid w:val="00B56E9C"/>
    <w:rsid w:val="00B577F4"/>
    <w:rsid w:val="00B6106A"/>
    <w:rsid w:val="00B6146D"/>
    <w:rsid w:val="00B62C52"/>
    <w:rsid w:val="00B643E0"/>
    <w:rsid w:val="00B646D2"/>
    <w:rsid w:val="00B64B1F"/>
    <w:rsid w:val="00B6553F"/>
    <w:rsid w:val="00B66D4F"/>
    <w:rsid w:val="00B70B86"/>
    <w:rsid w:val="00B72E9D"/>
    <w:rsid w:val="00B7384C"/>
    <w:rsid w:val="00B73A16"/>
    <w:rsid w:val="00B75127"/>
    <w:rsid w:val="00B75D06"/>
    <w:rsid w:val="00B77824"/>
    <w:rsid w:val="00B77989"/>
    <w:rsid w:val="00B77D05"/>
    <w:rsid w:val="00B80063"/>
    <w:rsid w:val="00B81206"/>
    <w:rsid w:val="00B81E12"/>
    <w:rsid w:val="00B84725"/>
    <w:rsid w:val="00B86FA8"/>
    <w:rsid w:val="00B87C08"/>
    <w:rsid w:val="00B90A7A"/>
    <w:rsid w:val="00B92B81"/>
    <w:rsid w:val="00B92E39"/>
    <w:rsid w:val="00B93904"/>
    <w:rsid w:val="00B974F0"/>
    <w:rsid w:val="00BA50D4"/>
    <w:rsid w:val="00BA7287"/>
    <w:rsid w:val="00BB33DA"/>
    <w:rsid w:val="00BB599D"/>
    <w:rsid w:val="00BB647C"/>
    <w:rsid w:val="00BC3FA0"/>
    <w:rsid w:val="00BC74E9"/>
    <w:rsid w:val="00BD0B73"/>
    <w:rsid w:val="00BD1C52"/>
    <w:rsid w:val="00BD6127"/>
    <w:rsid w:val="00BE531A"/>
    <w:rsid w:val="00BF4B29"/>
    <w:rsid w:val="00BF54E4"/>
    <w:rsid w:val="00BF5C67"/>
    <w:rsid w:val="00BF68A8"/>
    <w:rsid w:val="00BF7757"/>
    <w:rsid w:val="00BF7F0E"/>
    <w:rsid w:val="00C0171E"/>
    <w:rsid w:val="00C03797"/>
    <w:rsid w:val="00C05C30"/>
    <w:rsid w:val="00C11A03"/>
    <w:rsid w:val="00C13BCE"/>
    <w:rsid w:val="00C14C0A"/>
    <w:rsid w:val="00C15A2D"/>
    <w:rsid w:val="00C16CCB"/>
    <w:rsid w:val="00C173BA"/>
    <w:rsid w:val="00C22C0C"/>
    <w:rsid w:val="00C27A5B"/>
    <w:rsid w:val="00C30DD6"/>
    <w:rsid w:val="00C4105F"/>
    <w:rsid w:val="00C4527F"/>
    <w:rsid w:val="00C4528B"/>
    <w:rsid w:val="00C46220"/>
    <w:rsid w:val="00C463DD"/>
    <w:rsid w:val="00C46596"/>
    <w:rsid w:val="00C4724C"/>
    <w:rsid w:val="00C54292"/>
    <w:rsid w:val="00C56602"/>
    <w:rsid w:val="00C629A0"/>
    <w:rsid w:val="00C62B8B"/>
    <w:rsid w:val="00C6345E"/>
    <w:rsid w:val="00C64629"/>
    <w:rsid w:val="00C650E8"/>
    <w:rsid w:val="00C666A7"/>
    <w:rsid w:val="00C7262B"/>
    <w:rsid w:val="00C745C3"/>
    <w:rsid w:val="00C746D7"/>
    <w:rsid w:val="00C76527"/>
    <w:rsid w:val="00C77E1E"/>
    <w:rsid w:val="00C815E6"/>
    <w:rsid w:val="00C82061"/>
    <w:rsid w:val="00C82148"/>
    <w:rsid w:val="00C82C0E"/>
    <w:rsid w:val="00C8441E"/>
    <w:rsid w:val="00C85D5A"/>
    <w:rsid w:val="00C90684"/>
    <w:rsid w:val="00C91907"/>
    <w:rsid w:val="00C91A83"/>
    <w:rsid w:val="00CA1965"/>
    <w:rsid w:val="00CA3459"/>
    <w:rsid w:val="00CA5484"/>
    <w:rsid w:val="00CA61C7"/>
    <w:rsid w:val="00CB3E03"/>
    <w:rsid w:val="00CC0FD0"/>
    <w:rsid w:val="00CC75AF"/>
    <w:rsid w:val="00CD6BF2"/>
    <w:rsid w:val="00CE07E9"/>
    <w:rsid w:val="00CE0B5B"/>
    <w:rsid w:val="00CE1629"/>
    <w:rsid w:val="00CE1CCE"/>
    <w:rsid w:val="00CE4A8F"/>
    <w:rsid w:val="00CF1462"/>
    <w:rsid w:val="00CF32EB"/>
    <w:rsid w:val="00CF4585"/>
    <w:rsid w:val="00D023E9"/>
    <w:rsid w:val="00D07B6B"/>
    <w:rsid w:val="00D154A8"/>
    <w:rsid w:val="00D2031B"/>
    <w:rsid w:val="00D208BB"/>
    <w:rsid w:val="00D20CD1"/>
    <w:rsid w:val="00D21B17"/>
    <w:rsid w:val="00D23613"/>
    <w:rsid w:val="00D23C6D"/>
    <w:rsid w:val="00D25FE2"/>
    <w:rsid w:val="00D3134B"/>
    <w:rsid w:val="00D37451"/>
    <w:rsid w:val="00D37A10"/>
    <w:rsid w:val="00D40D88"/>
    <w:rsid w:val="00D43252"/>
    <w:rsid w:val="00D446F2"/>
    <w:rsid w:val="00D4622F"/>
    <w:rsid w:val="00D47EEA"/>
    <w:rsid w:val="00D52329"/>
    <w:rsid w:val="00D5332D"/>
    <w:rsid w:val="00D553F0"/>
    <w:rsid w:val="00D65520"/>
    <w:rsid w:val="00D662DD"/>
    <w:rsid w:val="00D663C5"/>
    <w:rsid w:val="00D773DF"/>
    <w:rsid w:val="00D87753"/>
    <w:rsid w:val="00D91064"/>
    <w:rsid w:val="00D93076"/>
    <w:rsid w:val="00D95303"/>
    <w:rsid w:val="00D9533B"/>
    <w:rsid w:val="00D959F5"/>
    <w:rsid w:val="00D978C6"/>
    <w:rsid w:val="00DA032A"/>
    <w:rsid w:val="00DA3C1C"/>
    <w:rsid w:val="00DA7528"/>
    <w:rsid w:val="00DA7BB4"/>
    <w:rsid w:val="00DC3389"/>
    <w:rsid w:val="00DC5FCB"/>
    <w:rsid w:val="00DD09C2"/>
    <w:rsid w:val="00DD4155"/>
    <w:rsid w:val="00DE2B39"/>
    <w:rsid w:val="00DF5B18"/>
    <w:rsid w:val="00E011D4"/>
    <w:rsid w:val="00E016DA"/>
    <w:rsid w:val="00E02353"/>
    <w:rsid w:val="00E046DF"/>
    <w:rsid w:val="00E065EC"/>
    <w:rsid w:val="00E10AA5"/>
    <w:rsid w:val="00E1277C"/>
    <w:rsid w:val="00E15FF4"/>
    <w:rsid w:val="00E20BB8"/>
    <w:rsid w:val="00E23489"/>
    <w:rsid w:val="00E234CA"/>
    <w:rsid w:val="00E2357B"/>
    <w:rsid w:val="00E245B3"/>
    <w:rsid w:val="00E27346"/>
    <w:rsid w:val="00E300BB"/>
    <w:rsid w:val="00E3148B"/>
    <w:rsid w:val="00E3198F"/>
    <w:rsid w:val="00E33FB9"/>
    <w:rsid w:val="00E36450"/>
    <w:rsid w:val="00E36625"/>
    <w:rsid w:val="00E40140"/>
    <w:rsid w:val="00E42A49"/>
    <w:rsid w:val="00E42ABD"/>
    <w:rsid w:val="00E4519A"/>
    <w:rsid w:val="00E464B9"/>
    <w:rsid w:val="00E5029E"/>
    <w:rsid w:val="00E51B6A"/>
    <w:rsid w:val="00E52A1B"/>
    <w:rsid w:val="00E53E8F"/>
    <w:rsid w:val="00E54891"/>
    <w:rsid w:val="00E56A36"/>
    <w:rsid w:val="00E56DBA"/>
    <w:rsid w:val="00E71BC8"/>
    <w:rsid w:val="00E7260F"/>
    <w:rsid w:val="00E73F5D"/>
    <w:rsid w:val="00E75B79"/>
    <w:rsid w:val="00E770DE"/>
    <w:rsid w:val="00E77E4E"/>
    <w:rsid w:val="00E82089"/>
    <w:rsid w:val="00E834FF"/>
    <w:rsid w:val="00E83EF3"/>
    <w:rsid w:val="00E87452"/>
    <w:rsid w:val="00E903B9"/>
    <w:rsid w:val="00E91CC6"/>
    <w:rsid w:val="00E94779"/>
    <w:rsid w:val="00E9497B"/>
    <w:rsid w:val="00E96630"/>
    <w:rsid w:val="00EA064A"/>
    <w:rsid w:val="00EA0DA9"/>
    <w:rsid w:val="00EA2630"/>
    <w:rsid w:val="00EB09B4"/>
    <w:rsid w:val="00EB2846"/>
    <w:rsid w:val="00EB5CB3"/>
    <w:rsid w:val="00EB6864"/>
    <w:rsid w:val="00EC0C08"/>
    <w:rsid w:val="00EC43E6"/>
    <w:rsid w:val="00EC5384"/>
    <w:rsid w:val="00EC652C"/>
    <w:rsid w:val="00EC6730"/>
    <w:rsid w:val="00EC749E"/>
    <w:rsid w:val="00ED05DC"/>
    <w:rsid w:val="00ED0FF9"/>
    <w:rsid w:val="00ED7A2A"/>
    <w:rsid w:val="00EE2870"/>
    <w:rsid w:val="00EE6B33"/>
    <w:rsid w:val="00EE7969"/>
    <w:rsid w:val="00EE7D1B"/>
    <w:rsid w:val="00EF1D43"/>
    <w:rsid w:val="00EF1D7F"/>
    <w:rsid w:val="00EF25FC"/>
    <w:rsid w:val="00EF44E2"/>
    <w:rsid w:val="00EF5391"/>
    <w:rsid w:val="00F00178"/>
    <w:rsid w:val="00F021E8"/>
    <w:rsid w:val="00F071DF"/>
    <w:rsid w:val="00F109E5"/>
    <w:rsid w:val="00F1176B"/>
    <w:rsid w:val="00F16532"/>
    <w:rsid w:val="00F206C8"/>
    <w:rsid w:val="00F21439"/>
    <w:rsid w:val="00F2555A"/>
    <w:rsid w:val="00F2621B"/>
    <w:rsid w:val="00F31E5F"/>
    <w:rsid w:val="00F32D29"/>
    <w:rsid w:val="00F3318C"/>
    <w:rsid w:val="00F35168"/>
    <w:rsid w:val="00F37622"/>
    <w:rsid w:val="00F407FE"/>
    <w:rsid w:val="00F43E4C"/>
    <w:rsid w:val="00F45F4E"/>
    <w:rsid w:val="00F52F51"/>
    <w:rsid w:val="00F55513"/>
    <w:rsid w:val="00F60D9C"/>
    <w:rsid w:val="00F6100A"/>
    <w:rsid w:val="00F65290"/>
    <w:rsid w:val="00F72E04"/>
    <w:rsid w:val="00F75D03"/>
    <w:rsid w:val="00F80613"/>
    <w:rsid w:val="00F81BF6"/>
    <w:rsid w:val="00F82330"/>
    <w:rsid w:val="00F8384A"/>
    <w:rsid w:val="00F8465A"/>
    <w:rsid w:val="00F87F5B"/>
    <w:rsid w:val="00F93781"/>
    <w:rsid w:val="00F943BD"/>
    <w:rsid w:val="00F94BAD"/>
    <w:rsid w:val="00F96311"/>
    <w:rsid w:val="00FA3F93"/>
    <w:rsid w:val="00FA4164"/>
    <w:rsid w:val="00FB0DE3"/>
    <w:rsid w:val="00FB3258"/>
    <w:rsid w:val="00FB613B"/>
    <w:rsid w:val="00FC059B"/>
    <w:rsid w:val="00FC1B77"/>
    <w:rsid w:val="00FC68B7"/>
    <w:rsid w:val="00FC7E53"/>
    <w:rsid w:val="00FD10E0"/>
    <w:rsid w:val="00FD2F95"/>
    <w:rsid w:val="00FD5BB7"/>
    <w:rsid w:val="00FD7600"/>
    <w:rsid w:val="00FE106A"/>
    <w:rsid w:val="00FF145D"/>
    <w:rsid w:val="00FF3982"/>
    <w:rsid w:val="00FF65FB"/>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v:textbox style="layout-flow:vertical;mso-layout-flow-alt:bottom-to-top"/>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link w:val="Heading1Char"/>
    <w:uiPriority w:val="9"/>
    <w:qFormat/>
    <w:rsid w:val="00ED7A2A"/>
    <w:pPr>
      <w:spacing w:after="0" w:line="240" w:lineRule="auto"/>
      <w:ind w:right="0"/>
      <w:jc w:val="left"/>
      <w:outlineLvl w:val="0"/>
    </w:pPr>
  </w:style>
  <w:style w:type="paragraph" w:styleId="Heading2">
    <w:name w:val="heading 2"/>
    <w:basedOn w:val="Normal"/>
    <w:next w:val="Normal"/>
    <w:link w:val="Heading2Char"/>
    <w:uiPriority w:val="9"/>
    <w:qFormat/>
    <w:pPr>
      <w:spacing w:line="240" w:lineRule="auto"/>
      <w:outlineLvl w:val="1"/>
    </w:pPr>
  </w:style>
  <w:style w:type="paragraph" w:styleId="Heading3">
    <w:name w:val="heading 3"/>
    <w:basedOn w:val="Normal"/>
    <w:next w:val="Normal"/>
    <w:link w:val="Heading3Char"/>
    <w:uiPriority w:val="9"/>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uiPriority w:val="99"/>
    <w:semiHidden/>
    <w:rPr>
      <w:sz w:val="6"/>
    </w:rPr>
  </w:style>
  <w:style w:type="paragraph" w:styleId="CommentText">
    <w:name w:val="annotation text"/>
    <w:basedOn w:val="Normal"/>
    <w:link w:val="CommentTextChar1"/>
    <w:uiPriority w:val="99"/>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paragraph" w:styleId="ListParagraph">
    <w:name w:val="List Paragraph"/>
    <w:basedOn w:val="Normal"/>
    <w:uiPriority w:val="34"/>
    <w:qFormat/>
    <w:rsid w:val="00F65290"/>
    <w:pPr>
      <w:suppressAutoHyphens w:val="0"/>
      <w:spacing w:after="200" w:line="276" w:lineRule="auto"/>
      <w:ind w:left="720"/>
      <w:contextualSpacing/>
    </w:pPr>
    <w:rPr>
      <w:rFonts w:ascii="Calibri" w:hAnsi="Calibri" w:cs="Iskoola Pota"/>
      <w:sz w:val="22"/>
      <w:szCs w:val="22"/>
      <w:lang w:val="en-US"/>
    </w:rPr>
  </w:style>
  <w:style w:type="character" w:customStyle="1" w:styleId="Heading1Char">
    <w:name w:val="Heading 1 Char"/>
    <w:aliases w:val="Table_G Char"/>
    <w:link w:val="Heading1"/>
    <w:uiPriority w:val="9"/>
    <w:rsid w:val="00F65290"/>
    <w:rPr>
      <w:lang w:val="en-GB" w:eastAsia="en-US"/>
    </w:rPr>
  </w:style>
  <w:style w:type="character" w:customStyle="1" w:styleId="Heading2Char">
    <w:name w:val="Heading 2 Char"/>
    <w:link w:val="Heading2"/>
    <w:uiPriority w:val="9"/>
    <w:rsid w:val="00F65290"/>
    <w:rPr>
      <w:lang w:val="en-GB" w:eastAsia="en-US"/>
    </w:rPr>
  </w:style>
  <w:style w:type="character" w:customStyle="1" w:styleId="Heading3Char">
    <w:name w:val="Heading 3 Char"/>
    <w:link w:val="Heading3"/>
    <w:uiPriority w:val="9"/>
    <w:rsid w:val="00F65290"/>
    <w:rPr>
      <w:lang w:val="en-GB" w:eastAsia="en-US"/>
    </w:rPr>
  </w:style>
  <w:style w:type="character" w:customStyle="1" w:styleId="FootnoteTextChar">
    <w:name w:val="Footnote Text Char"/>
    <w:aliases w:val="5_G Char"/>
    <w:link w:val="FootnoteText"/>
    <w:rsid w:val="00F65290"/>
    <w:rPr>
      <w:sz w:val="18"/>
      <w:lang w:val="en-GB" w:eastAsia="en-US"/>
    </w:rPr>
  </w:style>
  <w:style w:type="character" w:customStyle="1" w:styleId="H1GChar">
    <w:name w:val="_ H_1_G Char"/>
    <w:link w:val="H1G"/>
    <w:rsid w:val="00F65290"/>
    <w:rPr>
      <w:b/>
      <w:sz w:val="24"/>
      <w:lang w:val="en-GB" w:eastAsia="en-US"/>
    </w:rPr>
  </w:style>
  <w:style w:type="character" w:customStyle="1" w:styleId="SingleTxtGChar">
    <w:name w:val="_ Single Txt_G Char"/>
    <w:link w:val="SingleTxtG"/>
    <w:rsid w:val="00F65290"/>
    <w:rPr>
      <w:lang w:val="en-GB" w:eastAsia="en-US"/>
    </w:rPr>
  </w:style>
  <w:style w:type="character" w:customStyle="1" w:styleId="CommentTextChar">
    <w:name w:val="Comment Text Char"/>
    <w:uiPriority w:val="99"/>
    <w:semiHidden/>
    <w:rsid w:val="00F65290"/>
    <w:rPr>
      <w:rFonts w:ascii="Calibri" w:eastAsia="Times New Roman" w:hAnsi="Calibri" w:cs="Times New Roman"/>
      <w:sz w:val="20"/>
      <w:szCs w:val="20"/>
      <w:lang w:eastAsia="en-GB" w:bidi="si-LK"/>
    </w:rPr>
  </w:style>
  <w:style w:type="paragraph" w:styleId="BalloonText">
    <w:name w:val="Balloon Text"/>
    <w:basedOn w:val="Normal"/>
    <w:link w:val="BalloonTextChar"/>
    <w:uiPriority w:val="99"/>
    <w:unhideWhenUsed/>
    <w:rsid w:val="00F65290"/>
    <w:pPr>
      <w:suppressAutoHyphens w:val="0"/>
      <w:spacing w:line="240" w:lineRule="auto"/>
    </w:pPr>
    <w:rPr>
      <w:rFonts w:ascii="Tahoma" w:eastAsia="Calibri" w:hAnsi="Tahoma" w:cs="Tahoma"/>
      <w:sz w:val="16"/>
      <w:szCs w:val="16"/>
      <w:lang w:val="en-SG"/>
    </w:rPr>
  </w:style>
  <w:style w:type="character" w:customStyle="1" w:styleId="BalloonTextChar">
    <w:name w:val="Balloon Text Char"/>
    <w:link w:val="BalloonText"/>
    <w:uiPriority w:val="99"/>
    <w:rsid w:val="00F65290"/>
    <w:rPr>
      <w:rFonts w:ascii="Tahoma" w:eastAsia="Calibri" w:hAnsi="Tahoma" w:cs="Tahoma"/>
      <w:sz w:val="16"/>
      <w:szCs w:val="16"/>
      <w:lang w:val="en-SG" w:eastAsia="en-US"/>
    </w:rPr>
  </w:style>
  <w:style w:type="paragraph" w:styleId="CommentSubject">
    <w:name w:val="annotation subject"/>
    <w:basedOn w:val="CommentText"/>
    <w:next w:val="CommentText"/>
    <w:link w:val="CommentSubjectChar"/>
    <w:uiPriority w:val="99"/>
    <w:unhideWhenUsed/>
    <w:rsid w:val="00F65290"/>
    <w:pPr>
      <w:suppressAutoHyphens w:val="0"/>
      <w:spacing w:after="200" w:line="240" w:lineRule="auto"/>
    </w:pPr>
    <w:rPr>
      <w:rFonts w:ascii="Calibri" w:eastAsia="Calibri" w:hAnsi="Calibri" w:cs="Iskoola Pota"/>
      <w:b/>
      <w:bCs/>
      <w:lang w:val="en-SG"/>
    </w:rPr>
  </w:style>
  <w:style w:type="character" w:customStyle="1" w:styleId="CommentTextChar1">
    <w:name w:val="Comment Text Char1"/>
    <w:link w:val="CommentText"/>
    <w:uiPriority w:val="99"/>
    <w:semiHidden/>
    <w:rsid w:val="00F65290"/>
    <w:rPr>
      <w:lang w:val="en-GB" w:eastAsia="en-US"/>
    </w:rPr>
  </w:style>
  <w:style w:type="character" w:customStyle="1" w:styleId="CommentSubjectChar">
    <w:name w:val="Comment Subject Char"/>
    <w:link w:val="CommentSubject"/>
    <w:uiPriority w:val="99"/>
    <w:rsid w:val="00F65290"/>
    <w:rPr>
      <w:rFonts w:ascii="Calibri" w:eastAsia="Calibri" w:hAnsi="Calibri" w:cs="Iskoola Pota"/>
      <w:b/>
      <w:bCs/>
      <w:lang w:val="en-SG" w:eastAsia="en-US"/>
    </w:rPr>
  </w:style>
  <w:style w:type="paragraph" w:styleId="NoSpacing">
    <w:name w:val="No Spacing"/>
    <w:link w:val="NoSpacingChar"/>
    <w:uiPriority w:val="1"/>
    <w:qFormat/>
    <w:rsid w:val="00F65290"/>
    <w:rPr>
      <w:rFonts w:ascii="Calibri" w:eastAsia="Calibri" w:hAnsi="Calibri" w:cs="Latha"/>
      <w:sz w:val="22"/>
      <w:szCs w:val="22"/>
      <w:lang w:val="en-GB"/>
    </w:rPr>
  </w:style>
  <w:style w:type="character" w:customStyle="1" w:styleId="NoSpacingChar">
    <w:name w:val="No Spacing Char"/>
    <w:link w:val="NoSpacing"/>
    <w:uiPriority w:val="1"/>
    <w:rsid w:val="00F65290"/>
    <w:rPr>
      <w:rFonts w:ascii="Calibri" w:eastAsia="Calibri" w:hAnsi="Calibri" w:cs="Latha"/>
      <w:sz w:val="22"/>
      <w:szCs w:val="22"/>
      <w:lang w:val="en-GB" w:eastAsia="en-US"/>
    </w:rPr>
  </w:style>
  <w:style w:type="character" w:customStyle="1" w:styleId="HeaderChar">
    <w:name w:val="Header Char"/>
    <w:aliases w:val="6_G Char"/>
    <w:link w:val="Header"/>
    <w:uiPriority w:val="99"/>
    <w:rsid w:val="00F65290"/>
    <w:rPr>
      <w:b/>
      <w:sz w:val="18"/>
      <w:lang w:val="en-GB" w:eastAsia="en-US"/>
    </w:rPr>
  </w:style>
  <w:style w:type="character" w:customStyle="1" w:styleId="FooterChar">
    <w:name w:val="Footer Char"/>
    <w:aliases w:val="3_G Char"/>
    <w:link w:val="Footer"/>
    <w:uiPriority w:val="99"/>
    <w:rsid w:val="00F65290"/>
    <w:rPr>
      <w:sz w:val="16"/>
      <w:lang w:val="en-GB" w:eastAsia="en-US"/>
    </w:rPr>
  </w:style>
  <w:style w:type="paragraph" w:styleId="Revision">
    <w:name w:val="Revision"/>
    <w:hidden/>
    <w:uiPriority w:val="99"/>
    <w:semiHidden/>
    <w:rsid w:val="00F65290"/>
    <w:rPr>
      <w:rFonts w:ascii="Calibri" w:eastAsia="Calibri" w:hAnsi="Calibri" w:cs="Iskoola Pota"/>
      <w:sz w:val="22"/>
      <w:szCs w:val="22"/>
      <w:lang w:val="en-SG"/>
    </w:rPr>
  </w:style>
  <w:style w:type="character" w:customStyle="1" w:styleId="newsbody">
    <w:name w:val="newsbody"/>
    <w:rsid w:val="00F65290"/>
  </w:style>
  <w:style w:type="character" w:customStyle="1" w:styleId="apple-converted-space">
    <w:name w:val="apple-converted-space"/>
    <w:rsid w:val="00F65290"/>
  </w:style>
  <w:style w:type="character" w:customStyle="1" w:styleId="pastelec">
    <w:name w:val="pastelec"/>
    <w:rsid w:val="00F65290"/>
  </w:style>
  <w:style w:type="character" w:customStyle="1" w:styleId="uidunit">
    <w:name w:val="uidunit"/>
    <w:rsid w:val="00F65290"/>
  </w:style>
  <w:style w:type="table" w:styleId="MediumGrid3-Accent3">
    <w:name w:val="Medium Grid 3 Accent 3"/>
    <w:basedOn w:val="TableNormal"/>
    <w:uiPriority w:val="69"/>
    <w:rsid w:val="00F65290"/>
    <w:rPr>
      <w:rFonts w:ascii="Calibri" w:hAnsi="Calibri" w:cs="Iskoola Pota"/>
      <w:sz w:val="22"/>
      <w:szCs w:val="22"/>
      <w:lang w:bidi="ta-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customStyle="1" w:styleId="shorttext">
    <w:name w:val="short_text"/>
    <w:basedOn w:val="DefaultParagraphFont"/>
    <w:rsid w:val="00E5029E"/>
  </w:style>
  <w:style w:type="character" w:customStyle="1" w:styleId="freetext">
    <w:name w:val="freetext"/>
    <w:basedOn w:val="DefaultParagraphFont"/>
    <w:rsid w:val="009D5590"/>
  </w:style>
  <w:style w:type="character" w:customStyle="1" w:styleId="fr">
    <w:name w:val="fr"/>
    <w:basedOn w:val="DefaultParagraphFont"/>
    <w:rsid w:val="0004555F"/>
  </w:style>
  <w:style w:type="character" w:customStyle="1" w:styleId="frresult">
    <w:name w:val="frresult"/>
    <w:basedOn w:val="DefaultParagraphFont"/>
    <w:rsid w:val="0013497C"/>
  </w:style>
  <w:style w:type="character" w:customStyle="1" w:styleId="acronym">
    <w:name w:val="acronym"/>
    <w:basedOn w:val="DefaultParagraphFont"/>
    <w:rsid w:val="0013497C"/>
  </w:style>
  <w:style w:type="character" w:customStyle="1" w:styleId="admitted">
    <w:name w:val="admitted"/>
    <w:basedOn w:val="DefaultParagraphFont"/>
    <w:rsid w:val="00134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840101">
      <w:bodyDiv w:val="1"/>
      <w:marLeft w:val="0"/>
      <w:marRight w:val="0"/>
      <w:marTop w:val="0"/>
      <w:marBottom w:val="0"/>
      <w:divBdr>
        <w:top w:val="none" w:sz="0" w:space="0" w:color="auto"/>
        <w:left w:val="none" w:sz="0" w:space="0" w:color="auto"/>
        <w:bottom w:val="none" w:sz="0" w:space="0" w:color="auto"/>
        <w:right w:val="none" w:sz="0" w:space="0" w:color="auto"/>
      </w:divBdr>
      <w:divsChild>
        <w:div w:id="1938442646">
          <w:marLeft w:val="0"/>
          <w:marRight w:val="0"/>
          <w:marTop w:val="0"/>
          <w:marBottom w:val="0"/>
          <w:divBdr>
            <w:top w:val="none" w:sz="0" w:space="0" w:color="auto"/>
            <w:left w:val="none" w:sz="0" w:space="0" w:color="auto"/>
            <w:bottom w:val="none" w:sz="0" w:space="0" w:color="auto"/>
            <w:right w:val="none" w:sz="0" w:space="0" w:color="auto"/>
          </w:divBdr>
          <w:divsChild>
            <w:div w:id="17513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62315">
      <w:bodyDiv w:val="1"/>
      <w:marLeft w:val="0"/>
      <w:marRight w:val="0"/>
      <w:marTop w:val="0"/>
      <w:marBottom w:val="0"/>
      <w:divBdr>
        <w:top w:val="none" w:sz="0" w:space="0" w:color="auto"/>
        <w:left w:val="none" w:sz="0" w:space="0" w:color="auto"/>
        <w:bottom w:val="none" w:sz="0" w:space="0" w:color="auto"/>
        <w:right w:val="none" w:sz="0" w:space="0" w:color="auto"/>
      </w:divBdr>
      <w:divsChild>
        <w:div w:id="943802851">
          <w:marLeft w:val="0"/>
          <w:marRight w:val="0"/>
          <w:marTop w:val="0"/>
          <w:marBottom w:val="0"/>
          <w:divBdr>
            <w:top w:val="none" w:sz="0" w:space="0" w:color="auto"/>
            <w:left w:val="none" w:sz="0" w:space="0" w:color="auto"/>
            <w:bottom w:val="none" w:sz="0" w:space="0" w:color="auto"/>
            <w:right w:val="none" w:sz="0" w:space="0" w:color="auto"/>
          </w:divBdr>
          <w:divsChild>
            <w:div w:id="348677719">
              <w:marLeft w:val="0"/>
              <w:marRight w:val="0"/>
              <w:marTop w:val="0"/>
              <w:marBottom w:val="0"/>
              <w:divBdr>
                <w:top w:val="none" w:sz="0" w:space="0" w:color="auto"/>
                <w:left w:val="none" w:sz="0" w:space="0" w:color="auto"/>
                <w:bottom w:val="none" w:sz="0" w:space="0" w:color="auto"/>
                <w:right w:val="none" w:sz="0" w:space="0" w:color="auto"/>
              </w:divBdr>
            </w:div>
            <w:div w:id="465049495">
              <w:marLeft w:val="0"/>
              <w:marRight w:val="0"/>
              <w:marTop w:val="0"/>
              <w:marBottom w:val="0"/>
              <w:divBdr>
                <w:top w:val="none" w:sz="0" w:space="0" w:color="auto"/>
                <w:left w:val="none" w:sz="0" w:space="0" w:color="auto"/>
                <w:bottom w:val="none" w:sz="0" w:space="0" w:color="auto"/>
                <w:right w:val="none" w:sz="0" w:space="0" w:color="auto"/>
              </w:divBdr>
              <w:divsChild>
                <w:div w:id="1402170608">
                  <w:marLeft w:val="0"/>
                  <w:marRight w:val="0"/>
                  <w:marTop w:val="0"/>
                  <w:marBottom w:val="0"/>
                  <w:divBdr>
                    <w:top w:val="none" w:sz="0" w:space="0" w:color="auto"/>
                    <w:left w:val="none" w:sz="0" w:space="0" w:color="auto"/>
                    <w:bottom w:val="none" w:sz="0" w:space="0" w:color="auto"/>
                    <w:right w:val="none" w:sz="0" w:space="0" w:color="auto"/>
                  </w:divBdr>
                  <w:divsChild>
                    <w:div w:id="1028337212">
                      <w:marLeft w:val="0"/>
                      <w:marRight w:val="0"/>
                      <w:marTop w:val="0"/>
                      <w:marBottom w:val="0"/>
                      <w:divBdr>
                        <w:top w:val="none" w:sz="0" w:space="0" w:color="auto"/>
                        <w:left w:val="none" w:sz="0" w:space="0" w:color="auto"/>
                        <w:bottom w:val="none" w:sz="0" w:space="0" w:color="auto"/>
                        <w:right w:val="none" w:sz="0" w:space="0" w:color="auto"/>
                      </w:divBdr>
                      <w:divsChild>
                        <w:div w:id="10606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09240">
                  <w:marLeft w:val="0"/>
                  <w:marRight w:val="0"/>
                  <w:marTop w:val="0"/>
                  <w:marBottom w:val="0"/>
                  <w:divBdr>
                    <w:top w:val="none" w:sz="0" w:space="0" w:color="auto"/>
                    <w:left w:val="none" w:sz="0" w:space="0" w:color="auto"/>
                    <w:bottom w:val="none" w:sz="0" w:space="0" w:color="auto"/>
                    <w:right w:val="none" w:sz="0" w:space="0" w:color="auto"/>
                  </w:divBdr>
                  <w:divsChild>
                    <w:div w:id="1470829736">
                      <w:marLeft w:val="0"/>
                      <w:marRight w:val="0"/>
                      <w:marTop w:val="0"/>
                      <w:marBottom w:val="0"/>
                      <w:divBdr>
                        <w:top w:val="none" w:sz="0" w:space="0" w:color="auto"/>
                        <w:left w:val="none" w:sz="0" w:space="0" w:color="auto"/>
                        <w:bottom w:val="none" w:sz="0" w:space="0" w:color="auto"/>
                        <w:right w:val="none" w:sz="0" w:space="0" w:color="auto"/>
                      </w:divBdr>
                      <w:divsChild>
                        <w:div w:id="16926337">
                          <w:marLeft w:val="0"/>
                          <w:marRight w:val="0"/>
                          <w:marTop w:val="0"/>
                          <w:marBottom w:val="0"/>
                          <w:divBdr>
                            <w:top w:val="none" w:sz="0" w:space="0" w:color="auto"/>
                            <w:left w:val="none" w:sz="0" w:space="0" w:color="auto"/>
                            <w:bottom w:val="none" w:sz="0" w:space="0" w:color="auto"/>
                            <w:right w:val="none" w:sz="0" w:space="0" w:color="auto"/>
                          </w:divBdr>
                          <w:divsChild>
                            <w:div w:id="640306677">
                              <w:marLeft w:val="0"/>
                              <w:marRight w:val="0"/>
                              <w:marTop w:val="0"/>
                              <w:marBottom w:val="0"/>
                              <w:divBdr>
                                <w:top w:val="none" w:sz="0" w:space="0" w:color="auto"/>
                                <w:left w:val="none" w:sz="0" w:space="0" w:color="auto"/>
                                <w:bottom w:val="none" w:sz="0" w:space="0" w:color="auto"/>
                                <w:right w:val="none" w:sz="0" w:space="0" w:color="auto"/>
                              </w:divBdr>
                              <w:divsChild>
                                <w:div w:id="454255917">
                                  <w:marLeft w:val="0"/>
                                  <w:marRight w:val="0"/>
                                  <w:marTop w:val="0"/>
                                  <w:marBottom w:val="0"/>
                                  <w:divBdr>
                                    <w:top w:val="none" w:sz="0" w:space="0" w:color="auto"/>
                                    <w:left w:val="none" w:sz="0" w:space="0" w:color="auto"/>
                                    <w:bottom w:val="none" w:sz="0" w:space="0" w:color="auto"/>
                                    <w:right w:val="none" w:sz="0" w:space="0" w:color="auto"/>
                                  </w:divBdr>
                                  <w:divsChild>
                                    <w:div w:id="567955385">
                                      <w:marLeft w:val="0"/>
                                      <w:marRight w:val="0"/>
                                      <w:marTop w:val="0"/>
                                      <w:marBottom w:val="0"/>
                                      <w:divBdr>
                                        <w:top w:val="none" w:sz="0" w:space="0" w:color="auto"/>
                                        <w:left w:val="none" w:sz="0" w:space="0" w:color="auto"/>
                                        <w:bottom w:val="none" w:sz="0" w:space="0" w:color="auto"/>
                                        <w:right w:val="none" w:sz="0" w:space="0" w:color="auto"/>
                                      </w:divBdr>
                                      <w:divsChild>
                                        <w:div w:id="358552064">
                                          <w:marLeft w:val="0"/>
                                          <w:marRight w:val="0"/>
                                          <w:marTop w:val="0"/>
                                          <w:marBottom w:val="0"/>
                                          <w:divBdr>
                                            <w:top w:val="none" w:sz="0" w:space="0" w:color="auto"/>
                                            <w:left w:val="none" w:sz="0" w:space="0" w:color="auto"/>
                                            <w:bottom w:val="none" w:sz="0" w:space="0" w:color="auto"/>
                                            <w:right w:val="none" w:sz="0" w:space="0" w:color="auto"/>
                                          </w:divBdr>
                                          <w:divsChild>
                                            <w:div w:id="601376690">
                                              <w:marLeft w:val="0"/>
                                              <w:marRight w:val="0"/>
                                              <w:marTop w:val="0"/>
                                              <w:marBottom w:val="0"/>
                                              <w:divBdr>
                                                <w:top w:val="none" w:sz="0" w:space="0" w:color="auto"/>
                                                <w:left w:val="none" w:sz="0" w:space="0" w:color="auto"/>
                                                <w:bottom w:val="none" w:sz="0" w:space="0" w:color="auto"/>
                                                <w:right w:val="none" w:sz="0" w:space="0" w:color="auto"/>
                                              </w:divBdr>
                                              <w:divsChild>
                                                <w:div w:id="1206680379">
                                                  <w:marLeft w:val="0"/>
                                                  <w:marRight w:val="0"/>
                                                  <w:marTop w:val="0"/>
                                                  <w:marBottom w:val="0"/>
                                                  <w:divBdr>
                                                    <w:top w:val="none" w:sz="0" w:space="0" w:color="auto"/>
                                                    <w:left w:val="none" w:sz="0" w:space="0" w:color="auto"/>
                                                    <w:bottom w:val="none" w:sz="0" w:space="0" w:color="auto"/>
                                                    <w:right w:val="none" w:sz="0" w:space="0" w:color="auto"/>
                                                  </w:divBdr>
                                                  <w:divsChild>
                                                    <w:div w:id="33969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585884">
                                  <w:marLeft w:val="0"/>
                                  <w:marRight w:val="0"/>
                                  <w:marTop w:val="0"/>
                                  <w:marBottom w:val="0"/>
                                  <w:divBdr>
                                    <w:top w:val="none" w:sz="0" w:space="0" w:color="auto"/>
                                    <w:left w:val="none" w:sz="0" w:space="0" w:color="auto"/>
                                    <w:bottom w:val="none" w:sz="0" w:space="0" w:color="auto"/>
                                    <w:right w:val="none" w:sz="0" w:space="0" w:color="auto"/>
                                  </w:divBdr>
                                  <w:divsChild>
                                    <w:div w:id="709035672">
                                      <w:marLeft w:val="0"/>
                                      <w:marRight w:val="0"/>
                                      <w:marTop w:val="0"/>
                                      <w:marBottom w:val="0"/>
                                      <w:divBdr>
                                        <w:top w:val="none" w:sz="0" w:space="0" w:color="auto"/>
                                        <w:left w:val="none" w:sz="0" w:space="0" w:color="auto"/>
                                        <w:bottom w:val="none" w:sz="0" w:space="0" w:color="auto"/>
                                        <w:right w:val="none" w:sz="0" w:space="0" w:color="auto"/>
                                      </w:divBdr>
                                      <w:divsChild>
                                        <w:div w:id="1152257776">
                                          <w:marLeft w:val="0"/>
                                          <w:marRight w:val="0"/>
                                          <w:marTop w:val="0"/>
                                          <w:marBottom w:val="0"/>
                                          <w:divBdr>
                                            <w:top w:val="none" w:sz="0" w:space="0" w:color="auto"/>
                                            <w:left w:val="none" w:sz="0" w:space="0" w:color="auto"/>
                                            <w:bottom w:val="none" w:sz="0" w:space="0" w:color="auto"/>
                                            <w:right w:val="none" w:sz="0" w:space="0" w:color="auto"/>
                                          </w:divBdr>
                                          <w:divsChild>
                                            <w:div w:id="13525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20376">
                              <w:marLeft w:val="0"/>
                              <w:marRight w:val="0"/>
                              <w:marTop w:val="0"/>
                              <w:marBottom w:val="0"/>
                              <w:divBdr>
                                <w:top w:val="none" w:sz="0" w:space="0" w:color="auto"/>
                                <w:left w:val="none" w:sz="0" w:space="0" w:color="auto"/>
                                <w:bottom w:val="none" w:sz="0" w:space="0" w:color="auto"/>
                                <w:right w:val="none" w:sz="0" w:space="0" w:color="auto"/>
                              </w:divBdr>
                              <w:divsChild>
                                <w:div w:id="1183085122">
                                  <w:marLeft w:val="0"/>
                                  <w:marRight w:val="0"/>
                                  <w:marTop w:val="0"/>
                                  <w:marBottom w:val="0"/>
                                  <w:divBdr>
                                    <w:top w:val="none" w:sz="0" w:space="0" w:color="auto"/>
                                    <w:left w:val="none" w:sz="0" w:space="0" w:color="auto"/>
                                    <w:bottom w:val="none" w:sz="0" w:space="0" w:color="auto"/>
                                    <w:right w:val="none" w:sz="0" w:space="0" w:color="auto"/>
                                  </w:divBdr>
                                  <w:divsChild>
                                    <w:div w:id="155465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735037">
              <w:marLeft w:val="0"/>
              <w:marRight w:val="0"/>
              <w:marTop w:val="0"/>
              <w:marBottom w:val="0"/>
              <w:divBdr>
                <w:top w:val="none" w:sz="0" w:space="0" w:color="auto"/>
                <w:left w:val="none" w:sz="0" w:space="0" w:color="auto"/>
                <w:bottom w:val="none" w:sz="0" w:space="0" w:color="auto"/>
                <w:right w:val="none" w:sz="0" w:space="0" w:color="auto"/>
              </w:divBdr>
              <w:divsChild>
                <w:div w:id="656033026">
                  <w:marLeft w:val="0"/>
                  <w:marRight w:val="0"/>
                  <w:marTop w:val="0"/>
                  <w:marBottom w:val="0"/>
                  <w:divBdr>
                    <w:top w:val="none" w:sz="0" w:space="0" w:color="auto"/>
                    <w:left w:val="none" w:sz="0" w:space="0" w:color="auto"/>
                    <w:bottom w:val="none" w:sz="0" w:space="0" w:color="auto"/>
                    <w:right w:val="none" w:sz="0" w:space="0" w:color="auto"/>
                  </w:divBdr>
                  <w:divsChild>
                    <w:div w:id="20576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352095">
      <w:bodyDiv w:val="1"/>
      <w:marLeft w:val="0"/>
      <w:marRight w:val="0"/>
      <w:marTop w:val="0"/>
      <w:marBottom w:val="0"/>
      <w:divBdr>
        <w:top w:val="none" w:sz="0" w:space="0" w:color="auto"/>
        <w:left w:val="none" w:sz="0" w:space="0" w:color="auto"/>
        <w:bottom w:val="none" w:sz="0" w:space="0" w:color="auto"/>
        <w:right w:val="none" w:sz="0" w:space="0" w:color="auto"/>
      </w:divBdr>
      <w:divsChild>
        <w:div w:id="1031227596">
          <w:marLeft w:val="0"/>
          <w:marRight w:val="0"/>
          <w:marTop w:val="0"/>
          <w:marBottom w:val="0"/>
          <w:divBdr>
            <w:top w:val="none" w:sz="0" w:space="0" w:color="auto"/>
            <w:left w:val="none" w:sz="0" w:space="0" w:color="auto"/>
            <w:bottom w:val="none" w:sz="0" w:space="0" w:color="auto"/>
            <w:right w:val="none" w:sz="0" w:space="0" w:color="auto"/>
          </w:divBdr>
          <w:divsChild>
            <w:div w:id="17612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96535">
      <w:bodyDiv w:val="1"/>
      <w:marLeft w:val="0"/>
      <w:marRight w:val="0"/>
      <w:marTop w:val="0"/>
      <w:marBottom w:val="0"/>
      <w:divBdr>
        <w:top w:val="none" w:sz="0" w:space="0" w:color="auto"/>
        <w:left w:val="none" w:sz="0" w:space="0" w:color="auto"/>
        <w:bottom w:val="none" w:sz="0" w:space="0" w:color="auto"/>
        <w:right w:val="none" w:sz="0" w:space="0" w:color="auto"/>
      </w:divBdr>
      <w:divsChild>
        <w:div w:id="1199585443">
          <w:marLeft w:val="0"/>
          <w:marRight w:val="0"/>
          <w:marTop w:val="0"/>
          <w:marBottom w:val="0"/>
          <w:divBdr>
            <w:top w:val="none" w:sz="0" w:space="0" w:color="auto"/>
            <w:left w:val="none" w:sz="0" w:space="0" w:color="auto"/>
            <w:bottom w:val="none" w:sz="0" w:space="0" w:color="auto"/>
            <w:right w:val="none" w:sz="0" w:space="0" w:color="auto"/>
          </w:divBdr>
          <w:divsChild>
            <w:div w:id="91069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37427">
      <w:bodyDiv w:val="1"/>
      <w:marLeft w:val="0"/>
      <w:marRight w:val="0"/>
      <w:marTop w:val="0"/>
      <w:marBottom w:val="0"/>
      <w:divBdr>
        <w:top w:val="none" w:sz="0" w:space="0" w:color="auto"/>
        <w:left w:val="none" w:sz="0" w:space="0" w:color="auto"/>
        <w:bottom w:val="none" w:sz="0" w:space="0" w:color="auto"/>
        <w:right w:val="none" w:sz="0" w:space="0" w:color="auto"/>
      </w:divBdr>
      <w:divsChild>
        <w:div w:id="800080386">
          <w:marLeft w:val="0"/>
          <w:marRight w:val="0"/>
          <w:marTop w:val="0"/>
          <w:marBottom w:val="0"/>
          <w:divBdr>
            <w:top w:val="none" w:sz="0" w:space="0" w:color="auto"/>
            <w:left w:val="none" w:sz="0" w:space="0" w:color="auto"/>
            <w:bottom w:val="none" w:sz="0" w:space="0" w:color="auto"/>
            <w:right w:val="none" w:sz="0" w:space="0" w:color="auto"/>
          </w:divBdr>
          <w:divsChild>
            <w:div w:id="603615351">
              <w:marLeft w:val="0"/>
              <w:marRight w:val="0"/>
              <w:marTop w:val="0"/>
              <w:marBottom w:val="0"/>
              <w:divBdr>
                <w:top w:val="none" w:sz="0" w:space="0" w:color="auto"/>
                <w:left w:val="none" w:sz="0" w:space="0" w:color="auto"/>
                <w:bottom w:val="none" w:sz="0" w:space="0" w:color="auto"/>
                <w:right w:val="none" w:sz="0" w:space="0" w:color="auto"/>
              </w:divBdr>
              <w:divsChild>
                <w:div w:id="1421173628">
                  <w:marLeft w:val="0"/>
                  <w:marRight w:val="0"/>
                  <w:marTop w:val="0"/>
                  <w:marBottom w:val="0"/>
                  <w:divBdr>
                    <w:top w:val="single" w:sz="12" w:space="0" w:color="104591"/>
                    <w:left w:val="none" w:sz="0" w:space="0" w:color="auto"/>
                    <w:bottom w:val="none" w:sz="0" w:space="0" w:color="auto"/>
                    <w:right w:val="none" w:sz="0" w:space="0" w:color="auto"/>
                  </w:divBdr>
                  <w:divsChild>
                    <w:div w:id="1396513589">
                      <w:marLeft w:val="0"/>
                      <w:marRight w:val="0"/>
                      <w:marTop w:val="0"/>
                      <w:marBottom w:val="0"/>
                      <w:divBdr>
                        <w:top w:val="none" w:sz="0" w:space="0" w:color="auto"/>
                        <w:left w:val="none" w:sz="0" w:space="0" w:color="auto"/>
                        <w:bottom w:val="none" w:sz="0" w:space="0" w:color="auto"/>
                        <w:right w:val="none" w:sz="0" w:space="0" w:color="auto"/>
                      </w:divBdr>
                      <w:divsChild>
                        <w:div w:id="193220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402844">
      <w:bodyDiv w:val="1"/>
      <w:marLeft w:val="0"/>
      <w:marRight w:val="0"/>
      <w:marTop w:val="0"/>
      <w:marBottom w:val="0"/>
      <w:divBdr>
        <w:top w:val="none" w:sz="0" w:space="0" w:color="auto"/>
        <w:left w:val="none" w:sz="0" w:space="0" w:color="auto"/>
        <w:bottom w:val="none" w:sz="0" w:space="0" w:color="auto"/>
        <w:right w:val="none" w:sz="0" w:space="0" w:color="auto"/>
      </w:divBdr>
      <w:divsChild>
        <w:div w:id="1916352462">
          <w:marLeft w:val="0"/>
          <w:marRight w:val="0"/>
          <w:marTop w:val="0"/>
          <w:marBottom w:val="0"/>
          <w:divBdr>
            <w:top w:val="none" w:sz="0" w:space="0" w:color="auto"/>
            <w:left w:val="none" w:sz="0" w:space="0" w:color="auto"/>
            <w:bottom w:val="none" w:sz="0" w:space="0" w:color="auto"/>
            <w:right w:val="none" w:sz="0" w:space="0" w:color="auto"/>
          </w:divBdr>
          <w:divsChild>
            <w:div w:id="49226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ic.gov.lk"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45</Pages>
  <Words>22539</Words>
  <Characters>128478</Characters>
  <Application>Microsoft Office Word</Application>
  <DocSecurity>4</DocSecurity>
  <Lines>1070</Lines>
  <Paragraphs>301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E13S6\63915</vt:lpstr>
      <vt:lpstr>E13S6\63915</vt:lpstr>
    </vt:vector>
  </TitlesOfParts>
  <Company>CSD</Company>
  <LinksUpToDate>false</LinksUpToDate>
  <CharactersWithSpaces>150716</CharactersWithSpaces>
  <SharedDoc>false</SharedDoc>
  <HLinks>
    <vt:vector size="6" baseType="variant">
      <vt:variant>
        <vt:i4>8192061</vt:i4>
      </vt:variant>
      <vt:variant>
        <vt:i4>0</vt:i4>
      </vt:variant>
      <vt:variant>
        <vt:i4>0</vt:i4>
      </vt:variant>
      <vt:variant>
        <vt:i4>5</vt:i4>
      </vt:variant>
      <vt:variant>
        <vt:lpwstr>http://www.gic.gov.lk/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E13S6\63915</dc:title>
  <dc:subject>E/C.12/XXX/Y</dc:subject>
  <dc:creator>Giltsoff</dc:creator>
  <cp:keywords/>
  <dc:description>Final</dc:description>
  <cp:lastModifiedBy>yangw</cp:lastModifiedBy>
  <cp:revision>5</cp:revision>
  <cp:lastPrinted>2016-06-12T09:20:00Z</cp:lastPrinted>
  <dcterms:created xsi:type="dcterms:W3CDTF">2016-06-13T15:53:00Z</dcterms:created>
  <dcterms:modified xsi:type="dcterms:W3CDTF">2016-06-14T09:12:00Z</dcterms:modified>
</cp:coreProperties>
</file>