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EE3B24"/>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EE3B24" w:rsidP="00EE3B24">
            <w:pPr>
              <w:jc w:val="right"/>
            </w:pPr>
            <w:r w:rsidRPr="00EE3B24">
              <w:rPr>
                <w:sz w:val="40"/>
              </w:rPr>
              <w:t>E</w:t>
            </w:r>
            <w:r>
              <w:t>/C.12/LKA/Q/5/Add.1</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EE3B24" w:rsidP="0002432E">
            <w:pPr>
              <w:spacing w:before="240"/>
            </w:pPr>
            <w:r>
              <w:t>Distr. générale</w:t>
            </w:r>
          </w:p>
          <w:p w:rsidR="00EE3B24" w:rsidRDefault="00EE3B24" w:rsidP="00EE3B24">
            <w:pPr>
              <w:spacing w:line="240" w:lineRule="exact"/>
            </w:pPr>
            <w:r>
              <w:t>11 août 2017</w:t>
            </w:r>
          </w:p>
          <w:p w:rsidR="00EE3B24" w:rsidRDefault="00EE3B24" w:rsidP="00EE3B24">
            <w:pPr>
              <w:spacing w:line="240" w:lineRule="exact"/>
            </w:pPr>
            <w:r>
              <w:t>Français</w:t>
            </w:r>
          </w:p>
          <w:p w:rsidR="00EE3B24" w:rsidRDefault="00EE3B24" w:rsidP="00EE3B24">
            <w:pPr>
              <w:spacing w:line="240" w:lineRule="exact"/>
            </w:pPr>
            <w:r>
              <w:t>Original : anglais</w:t>
            </w:r>
          </w:p>
          <w:p w:rsidR="00EE3B24" w:rsidRPr="00DB58B5" w:rsidRDefault="00EE3B24" w:rsidP="00EE3B24">
            <w:pPr>
              <w:spacing w:line="240" w:lineRule="exact"/>
            </w:pPr>
            <w:r>
              <w:t>Anglais, espagnol et français seulement</w:t>
            </w:r>
          </w:p>
        </w:tc>
      </w:tr>
    </w:tbl>
    <w:p w:rsidR="00EC4C5A" w:rsidRPr="00E4666C" w:rsidRDefault="00EC4C5A" w:rsidP="007607C0">
      <w:pPr>
        <w:spacing w:before="120"/>
        <w:rPr>
          <w:b/>
          <w:sz w:val="24"/>
          <w:szCs w:val="24"/>
        </w:rPr>
      </w:pPr>
      <w:r w:rsidRPr="00E4666C">
        <w:rPr>
          <w:b/>
          <w:sz w:val="24"/>
          <w:szCs w:val="24"/>
        </w:rPr>
        <w:t>Comité des droits économiques, sociaux et culturels</w:t>
      </w:r>
    </w:p>
    <w:p w:rsidR="00EC4C5A" w:rsidRPr="00CB2CDF" w:rsidRDefault="00EC4C5A" w:rsidP="007607C0">
      <w:pPr>
        <w:rPr>
          <w:b/>
        </w:rPr>
      </w:pPr>
      <w:r>
        <w:rPr>
          <w:b/>
        </w:rPr>
        <w:t xml:space="preserve">Soixante et unième </w:t>
      </w:r>
      <w:r w:rsidRPr="00CB2CDF">
        <w:rPr>
          <w:b/>
        </w:rPr>
        <w:t>session</w:t>
      </w:r>
    </w:p>
    <w:p w:rsidR="00EC4C5A" w:rsidRPr="00CC76D1" w:rsidRDefault="00EC4C5A" w:rsidP="00EC4C5A">
      <w:pPr>
        <w:rPr>
          <w:lang w:val="fr-FR"/>
        </w:rPr>
      </w:pPr>
      <w:r w:rsidRPr="00CC76D1">
        <w:rPr>
          <w:lang w:val="fr-FR"/>
        </w:rPr>
        <w:t>29 mai-23 juin 2017</w:t>
      </w:r>
    </w:p>
    <w:p w:rsidR="00EC4C5A" w:rsidRDefault="00EC4C5A" w:rsidP="007607C0">
      <w:r>
        <w:t>Point 6 a) de l</w:t>
      </w:r>
      <w:r w:rsidR="00474653">
        <w:t>’</w:t>
      </w:r>
      <w:r>
        <w:t>ordre du jour</w:t>
      </w:r>
    </w:p>
    <w:p w:rsidR="00EC4C5A" w:rsidRPr="00CC76D1" w:rsidRDefault="00EC4C5A" w:rsidP="00EC4C5A">
      <w:pPr>
        <w:rPr>
          <w:b/>
          <w:lang w:val="fr-FR"/>
        </w:rPr>
      </w:pPr>
      <w:r w:rsidRPr="00CC76D1">
        <w:rPr>
          <w:b/>
          <w:lang w:val="fr-FR"/>
        </w:rPr>
        <w:t>Examen des rapports</w:t>
      </w:r>
      <w:r w:rsidR="00112F55">
        <w:rPr>
          <w:b/>
          <w:lang w:val="fr-FR"/>
        </w:rPr>
        <w:t xml:space="preserve"> :</w:t>
      </w:r>
      <w:r w:rsidRPr="00CC76D1">
        <w:rPr>
          <w:b/>
          <w:lang w:val="fr-FR"/>
        </w:rPr>
        <w:t xml:space="preserve"> rapports soumis par les États parties</w:t>
      </w:r>
    </w:p>
    <w:p w:rsidR="00EC4C5A" w:rsidRPr="00CC76D1" w:rsidRDefault="00EC4C5A" w:rsidP="00EC4C5A">
      <w:pPr>
        <w:rPr>
          <w:b/>
          <w:lang w:val="fr-FR"/>
        </w:rPr>
      </w:pPr>
      <w:r w:rsidRPr="00CC76D1">
        <w:rPr>
          <w:b/>
          <w:lang w:val="fr-FR"/>
        </w:rPr>
        <w:t>conformément aux articles 16 et 17 du Pacte</w:t>
      </w:r>
    </w:p>
    <w:p w:rsidR="00EC4C5A" w:rsidRPr="00CC76D1" w:rsidRDefault="00EC4C5A" w:rsidP="00EC4C5A">
      <w:pPr>
        <w:pStyle w:val="HChG"/>
        <w:rPr>
          <w:lang w:val="fr-FR"/>
        </w:rPr>
      </w:pPr>
      <w:r w:rsidRPr="00CC76D1">
        <w:rPr>
          <w:lang w:val="fr-FR"/>
        </w:rPr>
        <w:tab/>
      </w:r>
      <w:r w:rsidRPr="00CC76D1">
        <w:rPr>
          <w:lang w:val="fr-FR"/>
        </w:rPr>
        <w:tab/>
        <w:t>Liste de points concernant le cinquième rapport périodique de Sri Lanka</w:t>
      </w:r>
    </w:p>
    <w:p w:rsidR="00EC4C5A" w:rsidRPr="00CC76D1" w:rsidRDefault="00EC4C5A" w:rsidP="00EC4C5A">
      <w:pPr>
        <w:pStyle w:val="H23G"/>
        <w:rPr>
          <w:lang w:val="fr-FR"/>
        </w:rPr>
      </w:pPr>
      <w:r w:rsidRPr="00CC76D1">
        <w:rPr>
          <w:lang w:val="fr-FR"/>
        </w:rPr>
        <w:tab/>
      </w:r>
      <w:r w:rsidRPr="00CC76D1">
        <w:rPr>
          <w:lang w:val="fr-FR"/>
        </w:rPr>
        <w:tab/>
        <w:t>Additif</w:t>
      </w:r>
    </w:p>
    <w:p w:rsidR="00EC4C5A" w:rsidRPr="00CC76D1" w:rsidRDefault="00EC4C5A" w:rsidP="00EC4C5A">
      <w:pPr>
        <w:pStyle w:val="HChG"/>
        <w:rPr>
          <w:lang w:val="fr-FR"/>
        </w:rPr>
      </w:pPr>
      <w:r w:rsidRPr="00CC76D1">
        <w:rPr>
          <w:lang w:val="fr-FR"/>
        </w:rPr>
        <w:tab/>
      </w:r>
      <w:r w:rsidRPr="00CC76D1">
        <w:rPr>
          <w:lang w:val="fr-FR"/>
        </w:rPr>
        <w:tab/>
        <w:t>Réponses de Sri Lanka à la liste de points</w:t>
      </w:r>
      <w:r w:rsidR="00EE417E" w:rsidRPr="00590608">
        <w:rPr>
          <w:rStyle w:val="Appelnotedebasdep"/>
          <w:b w:val="0"/>
          <w:sz w:val="20"/>
          <w:vertAlign w:val="baseline"/>
        </w:rPr>
        <w:footnoteReference w:customMarkFollows="1" w:id="2"/>
        <w:t>*</w:t>
      </w:r>
    </w:p>
    <w:p w:rsidR="00EC4C5A" w:rsidRPr="00CC76D1" w:rsidRDefault="00EC4C5A" w:rsidP="00EC4C5A">
      <w:pPr>
        <w:pStyle w:val="SingleTxtG"/>
        <w:jc w:val="right"/>
        <w:rPr>
          <w:lang w:val="fr-FR"/>
        </w:rPr>
      </w:pPr>
      <w:r w:rsidRPr="00CC76D1">
        <w:rPr>
          <w:lang w:val="fr-FR"/>
        </w:rPr>
        <w:t>[Date de réception</w:t>
      </w:r>
      <w:r w:rsidR="00E43420">
        <w:rPr>
          <w:lang w:val="fr-FR"/>
        </w:rPr>
        <w:t> :</w:t>
      </w:r>
      <w:r w:rsidRPr="00CC76D1">
        <w:rPr>
          <w:lang w:val="fr-FR"/>
        </w:rPr>
        <w:t xml:space="preserve"> 27 mai 2017]</w:t>
      </w:r>
    </w:p>
    <w:p w:rsidR="00EC4C5A" w:rsidRPr="00CC76D1" w:rsidRDefault="00EC4C5A" w:rsidP="000910B0">
      <w:pPr>
        <w:pStyle w:val="SingleTxtG"/>
        <w:rPr>
          <w:lang w:val="fr-FR"/>
        </w:rPr>
      </w:pPr>
      <w:r w:rsidRPr="00CC76D1">
        <w:rPr>
          <w:lang w:val="fr-FR"/>
        </w:rPr>
        <w:br w:type="page"/>
      </w:r>
      <w:r w:rsidRPr="00CC76D1">
        <w:rPr>
          <w:lang w:val="fr-FR"/>
        </w:rPr>
        <w:lastRenderedPageBreak/>
        <w:t>1.</w:t>
      </w:r>
      <w:r w:rsidRPr="00CC76D1">
        <w:rPr>
          <w:lang w:val="fr-FR"/>
        </w:rPr>
        <w:tab/>
        <w:t xml:space="preserve">Le Gouvernement sri-lankais a soumis son cinquième rapport périodique en application des dispositions du Pacte international relatif aux droits économiques, sociaux et culturels en octobre 2015. Le présent document vise à répondre à la liste de points soulevés par le Comité des droits économiques, sociaux et culturels au sujet de ce cinquième rapport. </w:t>
      </w:r>
    </w:p>
    <w:p w:rsidR="00EC4C5A" w:rsidRPr="00CC76D1" w:rsidRDefault="00EC4C5A" w:rsidP="000910B0">
      <w:pPr>
        <w:pStyle w:val="SingleTxtG"/>
        <w:rPr>
          <w:lang w:val="fr-FR"/>
        </w:rPr>
      </w:pPr>
      <w:r w:rsidRPr="00CC76D1">
        <w:rPr>
          <w:lang w:val="fr-FR"/>
        </w:rPr>
        <w:t>2.</w:t>
      </w:r>
      <w:r w:rsidRPr="00CC76D1">
        <w:rPr>
          <w:lang w:val="fr-FR"/>
        </w:rPr>
        <w:tab/>
        <w:t>Le scrutin présidentiel de janvier 2015 et les élections parlementaires d</w:t>
      </w:r>
      <w:r w:rsidR="00474653">
        <w:rPr>
          <w:lang w:val="fr-FR"/>
        </w:rPr>
        <w:t>’</w:t>
      </w:r>
      <w:r w:rsidRPr="00CC76D1">
        <w:rPr>
          <w:lang w:val="fr-FR"/>
        </w:rPr>
        <w:t>août 2015 ont conduit les deux principaux partis politiques de Sri Lanka – le Sri Lanka Freedom Party et l</w:t>
      </w:r>
      <w:r w:rsidR="00F16E9C">
        <w:rPr>
          <w:lang w:val="fr-FR"/>
        </w:rPr>
        <w:t xml:space="preserve">e </w:t>
      </w:r>
      <w:r w:rsidRPr="00CC76D1">
        <w:rPr>
          <w:lang w:val="fr-FR"/>
        </w:rPr>
        <w:t>United National Party – à former un gouvernement d</w:t>
      </w:r>
      <w:r w:rsidR="00474653">
        <w:rPr>
          <w:lang w:val="fr-FR"/>
        </w:rPr>
        <w:t>’</w:t>
      </w:r>
      <w:r w:rsidRPr="00CC76D1">
        <w:rPr>
          <w:lang w:val="fr-FR"/>
        </w:rPr>
        <w:t>union nationale dans le but d</w:t>
      </w:r>
      <w:r w:rsidR="00474653">
        <w:rPr>
          <w:lang w:val="fr-FR"/>
        </w:rPr>
        <w:t>’</w:t>
      </w:r>
      <w:r w:rsidRPr="00CC76D1">
        <w:rPr>
          <w:lang w:val="fr-FR"/>
        </w:rPr>
        <w:t xml:space="preserve">assurer la stabilité politique nécessaire pour ouvrir la voie </w:t>
      </w:r>
      <w:r w:rsidR="008E5667">
        <w:rPr>
          <w:lang w:val="fr-FR"/>
        </w:rPr>
        <w:t>à des réformes essentielles. La </w:t>
      </w:r>
      <w:r w:rsidRPr="00CC76D1">
        <w:rPr>
          <w:lang w:val="fr-FR"/>
        </w:rPr>
        <w:t>stabilité ayant résulté de cet événement historique a facilité la mise en œuvre d</w:t>
      </w:r>
      <w:r w:rsidR="00474653">
        <w:rPr>
          <w:lang w:val="fr-FR"/>
        </w:rPr>
        <w:t>’</w:t>
      </w:r>
      <w:r w:rsidRPr="00CC76D1">
        <w:rPr>
          <w:lang w:val="fr-FR"/>
        </w:rPr>
        <w:t>un certain nombre de mesures progressives visant à assurer le développement économique et social, à renforcer la démocratie, l</w:t>
      </w:r>
      <w:r w:rsidR="00474653">
        <w:rPr>
          <w:lang w:val="fr-FR"/>
        </w:rPr>
        <w:t>’</w:t>
      </w:r>
      <w:r w:rsidRPr="00CC76D1">
        <w:rPr>
          <w:lang w:val="fr-FR"/>
        </w:rPr>
        <w:t>état de droit et la bonne gouvernance, à lutter contre la corruption, à encourager la réconciliation nationale, et à promouvoir et protéger les droits de l</w:t>
      </w:r>
      <w:r w:rsidR="00474653">
        <w:rPr>
          <w:lang w:val="fr-FR"/>
        </w:rPr>
        <w:t>’</w:t>
      </w:r>
      <w:r w:rsidRPr="00CC76D1">
        <w:rPr>
          <w:lang w:val="fr-FR"/>
        </w:rPr>
        <w:t>homme de la population sri-lankaise. Ces mesures progressives ont fait l</w:t>
      </w:r>
      <w:r w:rsidR="00474653">
        <w:rPr>
          <w:lang w:val="fr-FR"/>
        </w:rPr>
        <w:t>’</w:t>
      </w:r>
      <w:r w:rsidRPr="00CC76D1">
        <w:rPr>
          <w:lang w:val="fr-FR"/>
        </w:rPr>
        <w:t>objet d</w:t>
      </w:r>
      <w:r w:rsidR="00474653">
        <w:rPr>
          <w:lang w:val="fr-FR"/>
        </w:rPr>
        <w:t>’</w:t>
      </w:r>
      <w:r w:rsidRPr="00CC76D1">
        <w:rPr>
          <w:lang w:val="fr-FR"/>
        </w:rPr>
        <w:t>un examen détaillé dans les rapports et les réponses que le Gouvernement sri-lankais a présentés aux organes conventionnels des Nations Unies en 2016 et au début de la présente année, y compris ceux soumis au Comité pour l</w:t>
      </w:r>
      <w:r w:rsidR="00474653">
        <w:rPr>
          <w:lang w:val="fr-FR"/>
        </w:rPr>
        <w:t>’</w:t>
      </w:r>
      <w:r w:rsidRPr="00CC76D1">
        <w:rPr>
          <w:lang w:val="fr-FR"/>
        </w:rPr>
        <w:t>élimination de la discrimination raciale, au Comité contre la torture et au Comité pour l</w:t>
      </w:r>
      <w:r w:rsidR="00474653">
        <w:rPr>
          <w:lang w:val="fr-FR"/>
        </w:rPr>
        <w:t>’</w:t>
      </w:r>
      <w:r w:rsidRPr="00CC76D1">
        <w:rPr>
          <w:lang w:val="fr-FR"/>
        </w:rPr>
        <w:t>élimination de toutes les formes de discrimination à l</w:t>
      </w:r>
      <w:r w:rsidR="00474653">
        <w:rPr>
          <w:lang w:val="fr-FR"/>
        </w:rPr>
        <w:t>’</w:t>
      </w:r>
      <w:r w:rsidRPr="00CC76D1">
        <w:rPr>
          <w:lang w:val="fr-FR"/>
        </w:rPr>
        <w:t>égard des femmes.</w:t>
      </w:r>
    </w:p>
    <w:p w:rsidR="00EC4C5A" w:rsidRPr="00CC76D1" w:rsidRDefault="00EC4C5A" w:rsidP="000910B0">
      <w:pPr>
        <w:pStyle w:val="SingleTxtG"/>
        <w:rPr>
          <w:lang w:val="fr-FR"/>
        </w:rPr>
      </w:pPr>
      <w:r w:rsidRPr="00CC76D1">
        <w:rPr>
          <w:lang w:val="fr-FR"/>
        </w:rPr>
        <w:t>3.</w:t>
      </w:r>
      <w:r w:rsidRPr="00CC76D1">
        <w:rPr>
          <w:lang w:val="fr-FR"/>
        </w:rPr>
        <w:tab/>
        <w:t>S</w:t>
      </w:r>
      <w:r w:rsidR="00474653">
        <w:rPr>
          <w:lang w:val="fr-FR"/>
        </w:rPr>
        <w:t>’</w:t>
      </w:r>
      <w:r w:rsidRPr="00CC76D1">
        <w:rPr>
          <w:lang w:val="fr-FR"/>
        </w:rPr>
        <w:t>agissant plus spécifiquement des droits économiques, sociaux et culturels, plusieurs réformes législatives et mesures de politique générale importantes ont été introduites au cours des deux dernières années dans le but de reconnaître et de donner effet aux droits consacrés dans le Pacte et les lois nationales pertinentes</w:t>
      </w:r>
      <w:r w:rsidR="00112F55">
        <w:rPr>
          <w:lang w:val="fr-FR"/>
        </w:rPr>
        <w:t xml:space="preserve"> :</w:t>
      </w:r>
    </w:p>
    <w:p w:rsidR="00EC4C5A" w:rsidRPr="00CC76D1" w:rsidRDefault="00EC4C5A" w:rsidP="000910B0">
      <w:pPr>
        <w:pStyle w:val="H23G"/>
        <w:rPr>
          <w:lang w:val="fr-FR"/>
        </w:rPr>
      </w:pPr>
      <w:r w:rsidRPr="00CC76D1">
        <w:rPr>
          <w:lang w:val="fr-FR"/>
        </w:rPr>
        <w:tab/>
      </w:r>
      <w:r w:rsidRPr="00CC76D1">
        <w:rPr>
          <w:lang w:val="fr-FR"/>
        </w:rPr>
        <w:tab/>
        <w:t>Reconnaissance des droits économiques, sociaux et culturels</w:t>
      </w:r>
    </w:p>
    <w:p w:rsidR="00EC4C5A" w:rsidRPr="00CC76D1" w:rsidRDefault="00EC4C5A" w:rsidP="000910B0">
      <w:pPr>
        <w:pStyle w:val="Bullet1G"/>
        <w:rPr>
          <w:lang w:val="fr-FR"/>
        </w:rPr>
      </w:pPr>
      <w:r w:rsidRPr="00CC76D1">
        <w:rPr>
          <w:lang w:val="fr-FR"/>
        </w:rPr>
        <w:t>En avril 2016, le Parlement a commencé à siéger en Assemblée constituante afin de rédiger le projet de nouvelle Constitution de Sri Lanka comportant une charte des droits. L</w:t>
      </w:r>
      <w:r w:rsidR="00474653">
        <w:rPr>
          <w:lang w:val="fr-FR"/>
        </w:rPr>
        <w:t>’</w:t>
      </w:r>
      <w:r w:rsidRPr="00CC76D1">
        <w:rPr>
          <w:lang w:val="fr-FR"/>
        </w:rPr>
        <w:t>une des priorités de ce processus est de proposer que les droits économiques, sociaux et culturels soient reconnus comme des droits fondamentaux opposables (pour plus de détails à</w:t>
      </w:r>
      <w:r w:rsidR="00CB391E">
        <w:rPr>
          <w:lang w:val="fr-FR"/>
        </w:rPr>
        <w:t xml:space="preserve"> cet égard voir par. 1.1 à 1.5) ;</w:t>
      </w:r>
    </w:p>
    <w:p w:rsidR="00EC4C5A" w:rsidRPr="00CC76D1" w:rsidRDefault="00EC4C5A" w:rsidP="000910B0">
      <w:pPr>
        <w:pStyle w:val="Bullet1G"/>
        <w:rPr>
          <w:lang w:val="fr-FR"/>
        </w:rPr>
      </w:pPr>
      <w:r w:rsidRPr="00CC76D1">
        <w:rPr>
          <w:lang w:val="fr-FR"/>
        </w:rPr>
        <w:t>En janvier 2017, le Gouvernement sri-lankais a adopté le Plan d</w:t>
      </w:r>
      <w:r w:rsidR="00474653">
        <w:rPr>
          <w:lang w:val="fr-FR"/>
        </w:rPr>
        <w:t>’</w:t>
      </w:r>
      <w:r w:rsidRPr="00CC76D1">
        <w:rPr>
          <w:lang w:val="fr-FR"/>
        </w:rPr>
        <w:t>action national en faveur des droits de l</w:t>
      </w:r>
      <w:r w:rsidR="00474653">
        <w:rPr>
          <w:lang w:val="fr-FR"/>
        </w:rPr>
        <w:t>’</w:t>
      </w:r>
      <w:r w:rsidRPr="00CC76D1">
        <w:rPr>
          <w:lang w:val="fr-FR"/>
        </w:rPr>
        <w:t>homme pour la</w:t>
      </w:r>
      <w:r w:rsidR="00CB391E">
        <w:rPr>
          <w:lang w:val="fr-FR"/>
        </w:rPr>
        <w:t xml:space="preserve"> période 2017-2021, qui reconnaî</w:t>
      </w:r>
      <w:r w:rsidRPr="00CC76D1">
        <w:rPr>
          <w:lang w:val="fr-FR"/>
        </w:rPr>
        <w:t>t l</w:t>
      </w:r>
      <w:r w:rsidR="00474653">
        <w:rPr>
          <w:lang w:val="fr-FR"/>
        </w:rPr>
        <w:t>’</w:t>
      </w:r>
      <w:r w:rsidRPr="00CC76D1">
        <w:rPr>
          <w:lang w:val="fr-FR"/>
        </w:rPr>
        <w:t>indivisibilité des droits de l</w:t>
      </w:r>
      <w:r w:rsidR="00474653">
        <w:rPr>
          <w:lang w:val="fr-FR"/>
        </w:rPr>
        <w:t>’</w:t>
      </w:r>
      <w:r w:rsidRPr="00CC76D1">
        <w:rPr>
          <w:lang w:val="fr-FR"/>
        </w:rPr>
        <w:t>homme et comporte un chapitre distinct portant sur la protection et la promotion des droits économiques, sociaux et culturels. Élaboré grâce à la contribution et à la participation active d</w:t>
      </w:r>
      <w:r w:rsidR="00474653">
        <w:rPr>
          <w:lang w:val="fr-FR"/>
        </w:rPr>
        <w:t>’</w:t>
      </w:r>
      <w:r w:rsidRPr="00CC76D1">
        <w:rPr>
          <w:lang w:val="fr-FR"/>
        </w:rPr>
        <w:t>organismes publics et de membres de la société civile et du public, ce plan énonce la politique du Gouvernement concernant la protection et la promotion des droits de l</w:t>
      </w:r>
      <w:r w:rsidR="00474653">
        <w:rPr>
          <w:lang w:val="fr-FR"/>
        </w:rPr>
        <w:t>’</w:t>
      </w:r>
      <w:r w:rsidR="00CB1ACC">
        <w:rPr>
          <w:lang w:val="fr-FR"/>
        </w:rPr>
        <w:t>homme dans les 10</w:t>
      </w:r>
      <w:r w:rsidRPr="00CC76D1">
        <w:rPr>
          <w:lang w:val="fr-FR"/>
        </w:rPr>
        <w:t xml:space="preserve"> grands domaines suivants</w:t>
      </w:r>
      <w:r w:rsidR="00310857">
        <w:rPr>
          <w:lang w:val="fr-FR"/>
        </w:rPr>
        <w:t> :</w:t>
      </w:r>
      <w:r w:rsidR="00505EB6">
        <w:rPr>
          <w:lang w:val="fr-FR"/>
        </w:rPr>
        <w:t xml:space="preserve"> </w:t>
      </w:r>
      <w:r w:rsidRPr="00CC76D1">
        <w:rPr>
          <w:lang w:val="fr-FR"/>
        </w:rPr>
        <w:t>1</w:t>
      </w:r>
      <w:r w:rsidR="00505EB6">
        <w:rPr>
          <w:lang w:val="fr-FR"/>
        </w:rPr>
        <w:t xml:space="preserve">) droits civils et politiques, </w:t>
      </w:r>
      <w:r w:rsidRPr="00CC76D1">
        <w:rPr>
          <w:lang w:val="fr-FR"/>
        </w:rPr>
        <w:t>2) droits éco</w:t>
      </w:r>
      <w:r w:rsidR="00505EB6">
        <w:rPr>
          <w:lang w:val="fr-FR"/>
        </w:rPr>
        <w:t>nomiques, sociaux et culturels</w:t>
      </w:r>
      <w:r w:rsidR="001B4C73">
        <w:rPr>
          <w:lang w:val="fr-FR"/>
        </w:rPr>
        <w:t>,</w:t>
      </w:r>
      <w:r w:rsidR="00505EB6">
        <w:rPr>
          <w:lang w:val="fr-FR"/>
        </w:rPr>
        <w:t xml:space="preserve"> </w:t>
      </w:r>
      <w:r w:rsidRPr="00CC76D1">
        <w:rPr>
          <w:lang w:val="fr-FR"/>
        </w:rPr>
        <w:t>3) prévention de la torture,</w:t>
      </w:r>
      <w:r w:rsidR="00CB391E">
        <w:rPr>
          <w:lang w:val="fr-FR"/>
        </w:rPr>
        <w:t xml:space="preserve"> </w:t>
      </w:r>
      <w:r w:rsidR="00505EB6">
        <w:rPr>
          <w:lang w:val="fr-FR"/>
        </w:rPr>
        <w:t xml:space="preserve">4) droits de la femme, </w:t>
      </w:r>
      <w:r w:rsidRPr="00CC76D1">
        <w:rPr>
          <w:lang w:val="fr-FR"/>
        </w:rPr>
        <w:t>5) droits de l</w:t>
      </w:r>
      <w:r w:rsidR="00474653">
        <w:rPr>
          <w:lang w:val="fr-FR"/>
        </w:rPr>
        <w:t>’</w:t>
      </w:r>
      <w:r w:rsidR="00505EB6">
        <w:rPr>
          <w:lang w:val="fr-FR"/>
        </w:rPr>
        <w:t xml:space="preserve">enfant, </w:t>
      </w:r>
      <w:r w:rsidRPr="00CC76D1">
        <w:rPr>
          <w:lang w:val="fr-FR"/>
        </w:rPr>
        <w:t>6) dr</w:t>
      </w:r>
      <w:r w:rsidR="00505EB6">
        <w:rPr>
          <w:lang w:val="fr-FR"/>
        </w:rPr>
        <w:t>oits des travailleurs migrants</w:t>
      </w:r>
      <w:r w:rsidR="001B4C73">
        <w:rPr>
          <w:lang w:val="fr-FR"/>
        </w:rPr>
        <w:t>,</w:t>
      </w:r>
      <w:r w:rsidR="00505EB6">
        <w:rPr>
          <w:lang w:val="fr-FR"/>
        </w:rPr>
        <w:t xml:space="preserve"> 7) droits des travailleurs, </w:t>
      </w:r>
      <w:r w:rsidRPr="00CC76D1">
        <w:rPr>
          <w:lang w:val="fr-FR"/>
        </w:rPr>
        <w:t>8) droits des personnes dé</w:t>
      </w:r>
      <w:r w:rsidR="00505EB6">
        <w:rPr>
          <w:lang w:val="fr-FR"/>
        </w:rPr>
        <w:t xml:space="preserve">placées dans leur propre pays, </w:t>
      </w:r>
      <w:r w:rsidRPr="00CC76D1">
        <w:rPr>
          <w:lang w:val="fr-FR"/>
        </w:rPr>
        <w:t>9) droit</w:t>
      </w:r>
      <w:r w:rsidR="00505EB6">
        <w:rPr>
          <w:lang w:val="fr-FR"/>
        </w:rPr>
        <w:t>s des personnes handicapées</w:t>
      </w:r>
      <w:r w:rsidR="001B4C73">
        <w:rPr>
          <w:lang w:val="fr-FR"/>
        </w:rPr>
        <w:t>,</w:t>
      </w:r>
      <w:r w:rsidR="00505EB6">
        <w:rPr>
          <w:lang w:val="fr-FR"/>
        </w:rPr>
        <w:t xml:space="preserve"> et </w:t>
      </w:r>
      <w:r w:rsidRPr="00CC76D1">
        <w:rPr>
          <w:lang w:val="fr-FR"/>
        </w:rPr>
        <w:t>10) droits environnementaux. La Commission des droits de l</w:t>
      </w:r>
      <w:r w:rsidR="00474653">
        <w:rPr>
          <w:lang w:val="fr-FR"/>
        </w:rPr>
        <w:t>’</w:t>
      </w:r>
      <w:r w:rsidRPr="00CC76D1">
        <w:rPr>
          <w:lang w:val="fr-FR"/>
        </w:rPr>
        <w:t>homme de Sri Lanka a participé à l</w:t>
      </w:r>
      <w:r w:rsidR="00474653">
        <w:rPr>
          <w:lang w:val="fr-FR"/>
        </w:rPr>
        <w:t>’</w:t>
      </w:r>
      <w:r w:rsidRPr="00CC76D1">
        <w:rPr>
          <w:lang w:val="fr-FR"/>
        </w:rPr>
        <w:t xml:space="preserve">élaboration de ce plan. </w:t>
      </w:r>
    </w:p>
    <w:p w:rsidR="00EC4C5A" w:rsidRPr="00CC76D1" w:rsidRDefault="00EC4C5A" w:rsidP="000910B0">
      <w:pPr>
        <w:pStyle w:val="H23G"/>
        <w:rPr>
          <w:lang w:val="fr-FR"/>
        </w:rPr>
      </w:pPr>
      <w:r w:rsidRPr="00CC76D1">
        <w:rPr>
          <w:lang w:val="fr-FR"/>
        </w:rPr>
        <w:tab/>
      </w:r>
      <w:r w:rsidRPr="00CC76D1">
        <w:rPr>
          <w:lang w:val="fr-FR"/>
        </w:rPr>
        <w:tab/>
        <w:t>Bonne gouvernance</w:t>
      </w:r>
    </w:p>
    <w:p w:rsidR="00EC4C5A" w:rsidRPr="00CC76D1" w:rsidRDefault="00EC4C5A" w:rsidP="000910B0">
      <w:pPr>
        <w:pStyle w:val="Bullet1G"/>
        <w:rPr>
          <w:lang w:val="fr-FR"/>
        </w:rPr>
      </w:pPr>
      <w:r w:rsidRPr="00CC76D1">
        <w:rPr>
          <w:lang w:val="fr-FR"/>
        </w:rPr>
        <w:t xml:space="preserve">Adopté par le Parlement en mai 2015, le dix-neuvième amendement à la Constitution a ouvert un vaste chantier de réformes démocratiques et donné lieu en particulier à la réduction des pouvoirs du </w:t>
      </w:r>
      <w:r w:rsidR="008E3A22" w:rsidRPr="00CC76D1">
        <w:rPr>
          <w:lang w:val="fr-FR"/>
        </w:rPr>
        <w:t>P</w:t>
      </w:r>
      <w:r w:rsidRPr="00CC76D1">
        <w:rPr>
          <w:lang w:val="fr-FR"/>
        </w:rPr>
        <w:t>résident, au rétablissement de limites au nombre de ses mandats successifs et à la création d</w:t>
      </w:r>
      <w:r w:rsidR="00474653">
        <w:rPr>
          <w:lang w:val="fr-FR"/>
        </w:rPr>
        <w:t>’</w:t>
      </w:r>
      <w:r w:rsidRPr="00CC76D1">
        <w:rPr>
          <w:lang w:val="fr-FR"/>
        </w:rPr>
        <w:t xml:space="preserve">organes indépendants de nomination et de contrôle des institutions clefs, en particulier celles qui concernent </w:t>
      </w:r>
      <w:r w:rsidR="00061A08">
        <w:rPr>
          <w:lang w:val="fr-FR"/>
        </w:rPr>
        <w:t xml:space="preserve">la </w:t>
      </w:r>
      <w:r w:rsidRPr="00CC76D1">
        <w:rPr>
          <w:lang w:val="fr-FR"/>
        </w:rPr>
        <w:t>justice, la police, la fonction publique, etc. Parmi les institutions dont l</w:t>
      </w:r>
      <w:r w:rsidR="00474653">
        <w:rPr>
          <w:lang w:val="fr-FR"/>
        </w:rPr>
        <w:t>’</w:t>
      </w:r>
      <w:r w:rsidRPr="00CC76D1">
        <w:rPr>
          <w:lang w:val="fr-FR"/>
        </w:rPr>
        <w:t>indépendance a été renforcée par ce dix-neuvième amendement, figurent la Commission d</w:t>
      </w:r>
      <w:r w:rsidR="00474653">
        <w:rPr>
          <w:lang w:val="fr-FR"/>
        </w:rPr>
        <w:t>’</w:t>
      </w:r>
      <w:r w:rsidRPr="00CC76D1">
        <w:rPr>
          <w:lang w:val="fr-FR"/>
        </w:rPr>
        <w:t>enquête sur les allégations de corruption ou d</w:t>
      </w:r>
      <w:r w:rsidR="00474653">
        <w:rPr>
          <w:lang w:val="fr-FR"/>
        </w:rPr>
        <w:t>’</w:t>
      </w:r>
      <w:r w:rsidRPr="00CC76D1">
        <w:rPr>
          <w:lang w:val="fr-FR"/>
        </w:rPr>
        <w:t>actes de corruption, la Commission de la fonction publique et la Commission nationale de la police, qui jouent un rôle dans l</w:t>
      </w:r>
      <w:r w:rsidR="00474653">
        <w:rPr>
          <w:lang w:val="fr-FR"/>
        </w:rPr>
        <w:t>’</w:t>
      </w:r>
      <w:r w:rsidRPr="00CC76D1">
        <w:rPr>
          <w:lang w:val="fr-FR"/>
        </w:rPr>
        <w:t>établissement d</w:t>
      </w:r>
      <w:r w:rsidR="00474653">
        <w:rPr>
          <w:lang w:val="fr-FR"/>
        </w:rPr>
        <w:t>’</w:t>
      </w:r>
      <w:r w:rsidRPr="00CC76D1">
        <w:rPr>
          <w:lang w:val="fr-FR"/>
        </w:rPr>
        <w:t>une bonne gouvernance. Le dix-neuvième amendement prévoit également la création d</w:t>
      </w:r>
      <w:r w:rsidR="00474653">
        <w:rPr>
          <w:lang w:val="fr-FR"/>
        </w:rPr>
        <w:t>’</w:t>
      </w:r>
      <w:r w:rsidRPr="00CC76D1">
        <w:rPr>
          <w:lang w:val="fr-FR"/>
        </w:rPr>
        <w:t xml:space="preserve">une Commission nationale des marchés </w:t>
      </w:r>
      <w:r w:rsidRPr="00CC76D1">
        <w:rPr>
          <w:lang w:val="fr-FR"/>
        </w:rPr>
        <w:lastRenderedPageBreak/>
        <w:t>publics et d</w:t>
      </w:r>
      <w:r w:rsidR="00474653">
        <w:rPr>
          <w:lang w:val="fr-FR"/>
        </w:rPr>
        <w:t>’</w:t>
      </w:r>
      <w:r w:rsidRPr="00CC76D1">
        <w:rPr>
          <w:lang w:val="fr-FR"/>
        </w:rPr>
        <w:t>une Commission des services d</w:t>
      </w:r>
      <w:r w:rsidR="00474653">
        <w:rPr>
          <w:lang w:val="fr-FR"/>
        </w:rPr>
        <w:t>’</w:t>
      </w:r>
      <w:r w:rsidRPr="00CC76D1">
        <w:rPr>
          <w:lang w:val="fr-FR"/>
        </w:rPr>
        <w:t>audit, afin d</w:t>
      </w:r>
      <w:r w:rsidR="00474653">
        <w:rPr>
          <w:lang w:val="fr-FR"/>
        </w:rPr>
        <w:t>’</w:t>
      </w:r>
      <w:r w:rsidRPr="00CC76D1">
        <w:rPr>
          <w:lang w:val="fr-FR"/>
        </w:rPr>
        <w:t>assurer la transparence et de prévenir et éliminer la cor</w:t>
      </w:r>
      <w:r w:rsidR="00CB391E">
        <w:rPr>
          <w:lang w:val="fr-FR"/>
        </w:rPr>
        <w:t>ruption dans le secteur public ;</w:t>
      </w:r>
    </w:p>
    <w:p w:rsidR="00EC4C5A" w:rsidRPr="00CC76D1" w:rsidRDefault="00EC4C5A" w:rsidP="000910B0">
      <w:pPr>
        <w:pStyle w:val="Bullet1G"/>
        <w:rPr>
          <w:lang w:val="fr-FR"/>
        </w:rPr>
      </w:pPr>
      <w:r w:rsidRPr="00CC76D1">
        <w:rPr>
          <w:lang w:val="fr-FR"/>
        </w:rPr>
        <w:t>Afin de renforcer la bonne gouvernance, le Gouvernement a également créé des organes spéciaux chargés d</w:t>
      </w:r>
      <w:r w:rsidR="00474653">
        <w:rPr>
          <w:lang w:val="fr-FR"/>
        </w:rPr>
        <w:t>’</w:t>
      </w:r>
      <w:r w:rsidRPr="00CC76D1">
        <w:rPr>
          <w:lang w:val="fr-FR"/>
        </w:rPr>
        <w:t>enquêter sur les plaintes de corruption et de fraude à grande échelle. Il s</w:t>
      </w:r>
      <w:r w:rsidR="00474653">
        <w:rPr>
          <w:lang w:val="fr-FR"/>
        </w:rPr>
        <w:t>’</w:t>
      </w:r>
      <w:r w:rsidRPr="00CC76D1">
        <w:rPr>
          <w:lang w:val="fr-FR"/>
        </w:rPr>
        <w:t>agit notamment de la Commission présidentielle d</w:t>
      </w:r>
      <w:r w:rsidR="00474653">
        <w:rPr>
          <w:lang w:val="fr-FR"/>
        </w:rPr>
        <w:t>’</w:t>
      </w:r>
      <w:r w:rsidRPr="00CC76D1">
        <w:rPr>
          <w:lang w:val="fr-FR"/>
        </w:rPr>
        <w:t>enquête sur les fraudes graves et du Comité de haut niveau chargé de la lutte contre la corruption. Une nouvelle division d</w:t>
      </w:r>
      <w:r w:rsidR="00474653">
        <w:rPr>
          <w:lang w:val="fr-FR"/>
        </w:rPr>
        <w:t>’</w:t>
      </w:r>
      <w:r w:rsidRPr="00CC76D1">
        <w:rPr>
          <w:lang w:val="fr-FR"/>
        </w:rPr>
        <w:t>enquête sur la délinquance financière a été créée au sein de la police. Placée sous la direction d</w:t>
      </w:r>
      <w:r w:rsidR="00474653">
        <w:rPr>
          <w:lang w:val="fr-FR"/>
        </w:rPr>
        <w:t>’</w:t>
      </w:r>
      <w:r w:rsidRPr="00CC76D1">
        <w:rPr>
          <w:lang w:val="fr-FR"/>
        </w:rPr>
        <w:t>un inspecteur général adjoint de la police, cette division est chargée d</w:t>
      </w:r>
      <w:r w:rsidR="00474653">
        <w:rPr>
          <w:lang w:val="fr-FR"/>
        </w:rPr>
        <w:t>’</w:t>
      </w:r>
      <w:r w:rsidRPr="00CC76D1">
        <w:rPr>
          <w:lang w:val="fr-FR"/>
        </w:rPr>
        <w:t xml:space="preserve">enquêter sur les affaires de fraude financière. </w:t>
      </w:r>
    </w:p>
    <w:p w:rsidR="00EC4C5A" w:rsidRPr="00CC76D1" w:rsidRDefault="00EC4C5A" w:rsidP="000910B0">
      <w:pPr>
        <w:pStyle w:val="H23G"/>
        <w:rPr>
          <w:lang w:val="fr-FR"/>
        </w:rPr>
      </w:pPr>
      <w:r w:rsidRPr="00CC76D1">
        <w:rPr>
          <w:lang w:val="fr-FR"/>
        </w:rPr>
        <w:tab/>
      </w:r>
      <w:r w:rsidRPr="00CC76D1">
        <w:rPr>
          <w:lang w:val="fr-FR"/>
        </w:rPr>
        <w:tab/>
        <w:t>Droits linguistiques</w:t>
      </w:r>
    </w:p>
    <w:p w:rsidR="00EC4C5A" w:rsidRPr="00CC76D1" w:rsidRDefault="00EC4C5A" w:rsidP="000910B0">
      <w:pPr>
        <w:pStyle w:val="Bullet1G"/>
        <w:rPr>
          <w:lang w:val="fr-FR"/>
        </w:rPr>
      </w:pPr>
      <w:r w:rsidRPr="00CC76D1">
        <w:rPr>
          <w:lang w:val="fr-FR"/>
        </w:rPr>
        <w:t>En mars 2015, le Gouvernement a pris une mesure importante en publiant une circulaire à l</w:t>
      </w:r>
      <w:r w:rsidR="00474653">
        <w:rPr>
          <w:lang w:val="fr-FR"/>
        </w:rPr>
        <w:t>’</w:t>
      </w:r>
      <w:r w:rsidRPr="00CC76D1">
        <w:rPr>
          <w:lang w:val="fr-FR"/>
        </w:rPr>
        <w:t>intention de toutes les administrations publiques dans laquelle il précise qu</w:t>
      </w:r>
      <w:r w:rsidR="00474653">
        <w:rPr>
          <w:lang w:val="fr-FR"/>
        </w:rPr>
        <w:t>’</w:t>
      </w:r>
      <w:r w:rsidRPr="00CC76D1">
        <w:rPr>
          <w:lang w:val="fr-FR"/>
        </w:rPr>
        <w:t>aucune interdiction n</w:t>
      </w:r>
      <w:r w:rsidR="00474653">
        <w:rPr>
          <w:lang w:val="fr-FR"/>
        </w:rPr>
        <w:t>’</w:t>
      </w:r>
      <w:r w:rsidRPr="00CC76D1">
        <w:rPr>
          <w:lang w:val="fr-FR"/>
        </w:rPr>
        <w:t>empêche que l</w:t>
      </w:r>
      <w:r w:rsidR="00474653">
        <w:rPr>
          <w:lang w:val="fr-FR"/>
        </w:rPr>
        <w:t>’</w:t>
      </w:r>
      <w:r w:rsidRPr="00CC76D1">
        <w:rPr>
          <w:lang w:val="fr-FR"/>
        </w:rPr>
        <w:t>hymne national soit chanté en langue tamoule. En outre, le 4 février 2016 et</w:t>
      </w:r>
      <w:r w:rsidR="00CB391E">
        <w:rPr>
          <w:lang w:val="fr-FR"/>
        </w:rPr>
        <w:t xml:space="preserve"> pour la première fois depuis soixante</w:t>
      </w:r>
      <w:r w:rsidR="00CB391E">
        <w:rPr>
          <w:lang w:val="fr-FR"/>
        </w:rPr>
        <w:noBreakHyphen/>
        <w:t>sept</w:t>
      </w:r>
      <w:r w:rsidRPr="00CC76D1">
        <w:rPr>
          <w:lang w:val="fr-FR"/>
        </w:rPr>
        <w:t xml:space="preserve"> ans, l</w:t>
      </w:r>
      <w:r w:rsidR="00474653">
        <w:rPr>
          <w:lang w:val="fr-FR"/>
        </w:rPr>
        <w:t>’</w:t>
      </w:r>
      <w:r w:rsidRPr="00CC76D1">
        <w:rPr>
          <w:lang w:val="fr-FR"/>
        </w:rPr>
        <w:t>hymne national a été entonné dans les deux langues officielles, le cinghalais et le tamoul, dans le cadre des célébrations de la Journée de l</w:t>
      </w:r>
      <w:r w:rsidR="00474653">
        <w:rPr>
          <w:lang w:val="fr-FR"/>
        </w:rPr>
        <w:t>’</w:t>
      </w:r>
      <w:r w:rsidR="00CB391E">
        <w:rPr>
          <w:lang w:val="fr-FR"/>
        </w:rPr>
        <w:t>indépendance ;</w:t>
      </w:r>
    </w:p>
    <w:p w:rsidR="00EC4C5A" w:rsidRPr="00CC76D1" w:rsidRDefault="00EC4C5A" w:rsidP="000910B0">
      <w:pPr>
        <w:pStyle w:val="Bullet1G"/>
        <w:rPr>
          <w:lang w:val="fr-FR"/>
        </w:rPr>
      </w:pPr>
      <w:r w:rsidRPr="00CC76D1">
        <w:rPr>
          <w:lang w:val="fr-FR"/>
        </w:rPr>
        <w:t>Dans l</w:t>
      </w:r>
      <w:r w:rsidR="00474653">
        <w:rPr>
          <w:lang w:val="fr-FR"/>
        </w:rPr>
        <w:t>’</w:t>
      </w:r>
      <w:r w:rsidRPr="00CC76D1">
        <w:rPr>
          <w:lang w:val="fr-FR"/>
        </w:rPr>
        <w:t>intervalle et compte tenu des obstacles auxquels se heurtent les populations des provinces du Nord et de l</w:t>
      </w:r>
      <w:r w:rsidR="00474653">
        <w:rPr>
          <w:lang w:val="fr-FR"/>
        </w:rPr>
        <w:t>’</w:t>
      </w:r>
      <w:r w:rsidRPr="00CC76D1">
        <w:rPr>
          <w:lang w:val="fr-FR"/>
        </w:rPr>
        <w:t>Est pour accéder aux mécanismes d</w:t>
      </w:r>
      <w:r w:rsidR="00474653">
        <w:rPr>
          <w:lang w:val="fr-FR"/>
        </w:rPr>
        <w:t>’</w:t>
      </w:r>
      <w:r w:rsidRPr="00CC76D1">
        <w:rPr>
          <w:lang w:val="fr-FR"/>
        </w:rPr>
        <w:t xml:space="preserve">application de la loi, 216 policiers, 26 policières et 14 sous-inspecteurs parlant le tamoul ont été recrutés en 2016. </w:t>
      </w:r>
    </w:p>
    <w:p w:rsidR="00EC4C5A" w:rsidRPr="00CC76D1" w:rsidRDefault="00EC4C5A" w:rsidP="000910B0">
      <w:pPr>
        <w:pStyle w:val="H23G"/>
        <w:rPr>
          <w:lang w:val="fr-FR"/>
        </w:rPr>
      </w:pPr>
      <w:r w:rsidRPr="00CC76D1">
        <w:rPr>
          <w:lang w:val="fr-FR"/>
        </w:rPr>
        <w:tab/>
      </w:r>
      <w:r w:rsidRPr="00CC76D1">
        <w:rPr>
          <w:lang w:val="fr-FR"/>
        </w:rPr>
        <w:tab/>
        <w:t>Droits des personnes handicapées</w:t>
      </w:r>
    </w:p>
    <w:p w:rsidR="00EC4C5A" w:rsidRPr="00CC76D1" w:rsidRDefault="00EC4C5A" w:rsidP="000910B0">
      <w:pPr>
        <w:pStyle w:val="Bullet1G"/>
        <w:rPr>
          <w:lang w:val="fr-FR"/>
        </w:rPr>
      </w:pPr>
      <w:r w:rsidRPr="00CC76D1">
        <w:rPr>
          <w:lang w:val="fr-FR"/>
        </w:rPr>
        <w:t>Sri Lanka a ratifié la Convention relative aux droits des personnes handicapées en février 2016. L</w:t>
      </w:r>
      <w:r w:rsidR="00474653">
        <w:rPr>
          <w:lang w:val="fr-FR"/>
        </w:rPr>
        <w:t>’</w:t>
      </w:r>
      <w:r w:rsidRPr="00CC76D1">
        <w:rPr>
          <w:lang w:val="fr-FR"/>
        </w:rPr>
        <w:t>élaboration d</w:t>
      </w:r>
      <w:r w:rsidR="00474653">
        <w:rPr>
          <w:lang w:val="fr-FR"/>
        </w:rPr>
        <w:t>’</w:t>
      </w:r>
      <w:r w:rsidRPr="00CC76D1">
        <w:rPr>
          <w:lang w:val="fr-FR"/>
        </w:rPr>
        <w:t>une loi permettant d</w:t>
      </w:r>
      <w:r w:rsidR="00474653">
        <w:rPr>
          <w:lang w:val="fr-FR"/>
        </w:rPr>
        <w:t>’</w:t>
      </w:r>
      <w:r w:rsidRPr="00CC76D1">
        <w:rPr>
          <w:lang w:val="fr-FR"/>
        </w:rPr>
        <w:t>incorporer les dispositions de la Convention dans</w:t>
      </w:r>
      <w:r w:rsidR="00CB391E">
        <w:rPr>
          <w:lang w:val="fr-FR"/>
        </w:rPr>
        <w:t xml:space="preserve"> le droit interne est en cours ;</w:t>
      </w:r>
    </w:p>
    <w:p w:rsidR="00EC4C5A" w:rsidRPr="00CC76D1" w:rsidRDefault="00EC4C5A" w:rsidP="000910B0">
      <w:pPr>
        <w:pStyle w:val="Bullet1G"/>
        <w:rPr>
          <w:lang w:val="fr-FR"/>
        </w:rPr>
      </w:pPr>
      <w:r w:rsidRPr="00CC76D1">
        <w:rPr>
          <w:lang w:val="fr-FR"/>
        </w:rPr>
        <w:t>En septembre 2016, Sri Lanka a également adhéré au Traité de Marrakech visant à faciliter l</w:t>
      </w:r>
      <w:r w:rsidR="00474653">
        <w:rPr>
          <w:lang w:val="fr-FR"/>
        </w:rPr>
        <w:t>’</w:t>
      </w:r>
      <w:r w:rsidRPr="00CC76D1">
        <w:rPr>
          <w:lang w:val="fr-FR"/>
        </w:rPr>
        <w:t>accès des aveugles, des déficients visuels et des personnes ayant d</w:t>
      </w:r>
      <w:r w:rsidR="00474653">
        <w:rPr>
          <w:lang w:val="fr-FR"/>
        </w:rPr>
        <w:t>’</w:t>
      </w:r>
      <w:r w:rsidRPr="00CC76D1">
        <w:rPr>
          <w:lang w:val="fr-FR"/>
        </w:rPr>
        <w:t xml:space="preserve">autres difficultés de lecture des textes imprimés aux œuvres publiées. </w:t>
      </w:r>
    </w:p>
    <w:p w:rsidR="00EC4C5A" w:rsidRPr="00CC76D1" w:rsidRDefault="00EC4C5A" w:rsidP="000910B0">
      <w:pPr>
        <w:pStyle w:val="H23G"/>
        <w:rPr>
          <w:lang w:val="fr-FR"/>
        </w:rPr>
      </w:pPr>
      <w:r w:rsidRPr="00CC76D1">
        <w:rPr>
          <w:lang w:val="fr-FR"/>
        </w:rPr>
        <w:tab/>
      </w:r>
      <w:r w:rsidRPr="00CC76D1">
        <w:rPr>
          <w:lang w:val="fr-FR"/>
        </w:rPr>
        <w:tab/>
        <w:t>Droits du travail</w:t>
      </w:r>
    </w:p>
    <w:p w:rsidR="00EC4C5A" w:rsidRPr="00CC76D1" w:rsidRDefault="00EC4C5A" w:rsidP="000910B0">
      <w:pPr>
        <w:pStyle w:val="Bullet1G"/>
        <w:rPr>
          <w:lang w:val="fr-FR"/>
        </w:rPr>
      </w:pPr>
      <w:r w:rsidRPr="00CC76D1">
        <w:rPr>
          <w:lang w:val="fr-FR"/>
        </w:rPr>
        <w:t>Sri La</w:t>
      </w:r>
      <w:r w:rsidR="00CB391E">
        <w:rPr>
          <w:lang w:val="fr-FR"/>
        </w:rPr>
        <w:t>nka a ratifié la Convention (</w:t>
      </w:r>
      <w:r w:rsidR="00CB391E" w:rsidRPr="00CB391E">
        <w:rPr>
          <w:rFonts w:eastAsia="MS Mincho"/>
          <w:lang w:val="fr-FR"/>
        </w:rPr>
        <w:t>n</w:t>
      </w:r>
      <w:r w:rsidR="00CB391E" w:rsidRPr="00CB391E">
        <w:rPr>
          <w:rFonts w:eastAsia="MS Mincho"/>
          <w:vertAlign w:val="superscript"/>
          <w:lang w:val="fr-FR"/>
        </w:rPr>
        <w:t>o</w:t>
      </w:r>
      <w:r w:rsidR="00CB391E">
        <w:rPr>
          <w:lang w:val="fr-FR"/>
        </w:rPr>
        <w:t> </w:t>
      </w:r>
      <w:r w:rsidRPr="00CC76D1">
        <w:rPr>
          <w:lang w:val="fr-FR"/>
        </w:rPr>
        <w:t>122) sur la politique de l</w:t>
      </w:r>
      <w:r w:rsidR="00474653">
        <w:rPr>
          <w:lang w:val="fr-FR"/>
        </w:rPr>
        <w:t>’</w:t>
      </w:r>
      <w:r w:rsidRPr="00CC76D1">
        <w:rPr>
          <w:lang w:val="fr-FR"/>
        </w:rPr>
        <w:t>emploi, 1964, de l</w:t>
      </w:r>
      <w:r w:rsidR="00474653">
        <w:rPr>
          <w:lang w:val="fr-FR"/>
        </w:rPr>
        <w:t>’</w:t>
      </w:r>
      <w:r w:rsidRPr="00CC76D1">
        <w:rPr>
          <w:lang w:val="fr-FR"/>
        </w:rPr>
        <w:t xml:space="preserve">Organisation internationale du </w:t>
      </w:r>
      <w:r w:rsidR="00220B9A" w:rsidRPr="00CC76D1">
        <w:rPr>
          <w:lang w:val="fr-FR"/>
        </w:rPr>
        <w:t>T</w:t>
      </w:r>
      <w:r w:rsidRPr="00CC76D1">
        <w:rPr>
          <w:lang w:val="fr-FR"/>
        </w:rPr>
        <w:t>ravail (OIT) en février 2016, donnant ainsi effet à sa volonté de formuler et appliquer une politique active de promotion du plein emploi,</w:t>
      </w:r>
      <w:r w:rsidR="00CB391E">
        <w:rPr>
          <w:lang w:val="fr-FR"/>
        </w:rPr>
        <w:t xml:space="preserve"> productif et librement choisi ;</w:t>
      </w:r>
    </w:p>
    <w:p w:rsidR="00EC4C5A" w:rsidRPr="00CC76D1" w:rsidRDefault="00EC4C5A" w:rsidP="000910B0">
      <w:pPr>
        <w:pStyle w:val="Bullet1G"/>
        <w:rPr>
          <w:lang w:val="fr-FR"/>
        </w:rPr>
      </w:pPr>
      <w:r w:rsidRPr="00CC76D1">
        <w:rPr>
          <w:lang w:val="fr-FR"/>
        </w:rPr>
        <w:t xml:space="preserve">En 2017, le Conseil des ministres a adopté la politique nationale pour mettre fin au travail des enfants. </w:t>
      </w:r>
    </w:p>
    <w:p w:rsidR="00EC4C5A" w:rsidRPr="00CC76D1" w:rsidRDefault="00EC4C5A" w:rsidP="000910B0">
      <w:pPr>
        <w:pStyle w:val="H23G"/>
        <w:rPr>
          <w:lang w:val="fr-FR"/>
        </w:rPr>
      </w:pPr>
      <w:r w:rsidRPr="00CC76D1">
        <w:rPr>
          <w:lang w:val="fr-FR"/>
        </w:rPr>
        <w:tab/>
      </w:r>
      <w:r w:rsidRPr="00CC76D1">
        <w:rPr>
          <w:lang w:val="fr-FR"/>
        </w:rPr>
        <w:tab/>
        <w:t>Droits fonciers</w:t>
      </w:r>
    </w:p>
    <w:p w:rsidR="00EC4C5A" w:rsidRPr="00CC76D1" w:rsidRDefault="00EC4C5A" w:rsidP="000910B0">
      <w:pPr>
        <w:pStyle w:val="Bullet1G"/>
        <w:rPr>
          <w:lang w:val="fr-FR"/>
        </w:rPr>
      </w:pPr>
      <w:r w:rsidRPr="00CC76D1">
        <w:rPr>
          <w:lang w:val="fr-FR"/>
        </w:rPr>
        <w:t>La loi n</w:t>
      </w:r>
      <w:r w:rsidRPr="00CC76D1">
        <w:rPr>
          <w:vertAlign w:val="superscript"/>
          <w:lang w:val="fr-FR"/>
        </w:rPr>
        <w:t>o</w:t>
      </w:r>
      <w:r w:rsidRPr="00CC76D1">
        <w:rPr>
          <w:lang w:val="fr-FR"/>
        </w:rPr>
        <w:t xml:space="preserve"> 5 de 2016 sur la prescription (dispositions spéciales) a été adoptée par le Parlement en avril 2016. Celle-ci prévoit des dispositions spéciales pour les personnes qui n</w:t>
      </w:r>
      <w:r w:rsidR="00474653">
        <w:rPr>
          <w:lang w:val="fr-FR"/>
        </w:rPr>
        <w:t>’</w:t>
      </w:r>
      <w:r w:rsidRPr="00CC76D1">
        <w:rPr>
          <w:lang w:val="fr-FR"/>
        </w:rPr>
        <w:t>ont pas été en mesure de faire valoir leurs droits devant la justice afin de récupérer leurs biens immobiliers, y compris leurs terres, en raison des activités d</w:t>
      </w:r>
      <w:r w:rsidR="00474653">
        <w:rPr>
          <w:lang w:val="fr-FR"/>
        </w:rPr>
        <w:t>’</w:t>
      </w:r>
      <w:r w:rsidRPr="00CC76D1">
        <w:rPr>
          <w:lang w:val="fr-FR"/>
        </w:rPr>
        <w:t>un groupe terroriste militant ou d</w:t>
      </w:r>
      <w:r w:rsidR="00474653">
        <w:rPr>
          <w:lang w:val="fr-FR"/>
        </w:rPr>
        <w:t>’</w:t>
      </w:r>
      <w:r w:rsidR="00CB391E">
        <w:rPr>
          <w:lang w:val="fr-FR"/>
        </w:rPr>
        <w:t>autres situations apparentées ;</w:t>
      </w:r>
    </w:p>
    <w:p w:rsidR="00EC4C5A" w:rsidRPr="00CC76D1" w:rsidRDefault="00EC4C5A" w:rsidP="000910B0">
      <w:pPr>
        <w:pStyle w:val="Bullet1G"/>
        <w:rPr>
          <w:lang w:val="fr-FR"/>
        </w:rPr>
      </w:pPr>
      <w:r w:rsidRPr="00CC76D1">
        <w:rPr>
          <w:lang w:val="fr-FR"/>
        </w:rPr>
        <w:t xml:space="preserve">Quelques mois plus tard, en août 2016, le Conseil des ministres a approuvé la Politique nationale sur les solutions durables pour les personnes déplacées à la suite du conflit, énonçant la politique à long terme du Gouvernement et son ambition concernant la réinstallation des personnes déplacées. </w:t>
      </w:r>
    </w:p>
    <w:p w:rsidR="00EC4C5A" w:rsidRPr="00CC76D1" w:rsidRDefault="00EC4C5A" w:rsidP="000910B0">
      <w:pPr>
        <w:pStyle w:val="H23G"/>
        <w:rPr>
          <w:lang w:val="fr-FR"/>
        </w:rPr>
      </w:pPr>
      <w:r w:rsidRPr="00CC76D1">
        <w:rPr>
          <w:lang w:val="fr-FR"/>
        </w:rPr>
        <w:tab/>
      </w:r>
      <w:r w:rsidRPr="00CC76D1">
        <w:rPr>
          <w:lang w:val="fr-FR"/>
        </w:rPr>
        <w:tab/>
        <w:t>Droits économiques, sociaux et culturels des femmes et des enfants</w:t>
      </w:r>
    </w:p>
    <w:p w:rsidR="00EC4C5A" w:rsidRPr="00CC76D1" w:rsidRDefault="00EC4C5A" w:rsidP="000910B0">
      <w:pPr>
        <w:pStyle w:val="Bullet1G"/>
        <w:rPr>
          <w:lang w:val="fr-FR"/>
        </w:rPr>
      </w:pPr>
      <w:r w:rsidRPr="00CC76D1">
        <w:rPr>
          <w:lang w:val="fr-FR"/>
        </w:rPr>
        <w:t xml:space="preserve">Afin de remédier aux difficultés auxquelles se heurtent les femmes chefs de famille et de les intégrer au processus de développement, le Gouvernement a approuvé, en octobre 2016, une proposition visant à formuler un Plan triennal national pour les </w:t>
      </w:r>
      <w:r w:rsidRPr="00CC76D1">
        <w:rPr>
          <w:lang w:val="fr-FR"/>
        </w:rPr>
        <w:lastRenderedPageBreak/>
        <w:t>ménages dirigés par des femmes dans des domaines comme la santé, le soutien psychosocial, le développement des moyens de subsistance, les services de soutien, la protection, la sécurité sociale et la sensibilisa</w:t>
      </w:r>
      <w:r w:rsidR="00CB391E">
        <w:rPr>
          <w:lang w:val="fr-FR"/>
        </w:rPr>
        <w:t>tion des communautés ;</w:t>
      </w:r>
    </w:p>
    <w:p w:rsidR="00EC4C5A" w:rsidRPr="00CC76D1" w:rsidRDefault="00EC4C5A" w:rsidP="000910B0">
      <w:pPr>
        <w:pStyle w:val="Bullet1G"/>
        <w:rPr>
          <w:lang w:val="fr-FR"/>
        </w:rPr>
      </w:pPr>
      <w:r w:rsidRPr="00CC76D1">
        <w:rPr>
          <w:lang w:val="fr-FR"/>
        </w:rPr>
        <w:t>Les lignes directrices relatives aux foyers temporaires où les femmes victimes de violence peuvent trouver refuge ont été adoptées en novembre 2016</w:t>
      </w:r>
      <w:r w:rsidR="00112F55">
        <w:rPr>
          <w:lang w:val="fr-FR"/>
        </w:rPr>
        <w:t xml:space="preserve"> ;</w:t>
      </w:r>
      <w:r w:rsidRPr="00CC76D1">
        <w:rPr>
          <w:lang w:val="fr-FR"/>
        </w:rPr>
        <w:t xml:space="preserve"> ces foyers sont gérés par des acteurs publics et privés avec l</w:t>
      </w:r>
      <w:r w:rsidR="00474653">
        <w:rPr>
          <w:lang w:val="fr-FR"/>
        </w:rPr>
        <w:t>’</w:t>
      </w:r>
      <w:r w:rsidRPr="00CC76D1">
        <w:rPr>
          <w:lang w:val="fr-FR"/>
        </w:rPr>
        <w:t>aide de la police, des</w:t>
      </w:r>
      <w:r w:rsidR="00CB391E">
        <w:rPr>
          <w:lang w:val="fr-FR"/>
        </w:rPr>
        <w:t xml:space="preserve"> hôpitaux et des ONG ;</w:t>
      </w:r>
    </w:p>
    <w:p w:rsidR="00EC4C5A" w:rsidRPr="00CC76D1" w:rsidRDefault="00EC4C5A" w:rsidP="000910B0">
      <w:pPr>
        <w:pStyle w:val="Bullet1G"/>
        <w:rPr>
          <w:lang w:val="fr-FR"/>
        </w:rPr>
      </w:pPr>
      <w:r w:rsidRPr="00CC76D1">
        <w:rPr>
          <w:lang w:val="fr-FR"/>
        </w:rPr>
        <w:t>En novembre 2016, le Ministère des affaires féminines et de l</w:t>
      </w:r>
      <w:r w:rsidR="00474653">
        <w:rPr>
          <w:lang w:val="fr-FR"/>
        </w:rPr>
        <w:t>’</w:t>
      </w:r>
      <w:r w:rsidRPr="00CC76D1">
        <w:rPr>
          <w:lang w:val="fr-FR"/>
        </w:rPr>
        <w:t>enfance a lancé le Cadre de politique générale et le Plan d</w:t>
      </w:r>
      <w:r w:rsidR="00474653">
        <w:rPr>
          <w:lang w:val="fr-FR"/>
        </w:rPr>
        <w:t>’</w:t>
      </w:r>
      <w:r w:rsidRPr="00CC76D1">
        <w:rPr>
          <w:lang w:val="fr-FR"/>
        </w:rPr>
        <w:t>action national de lutte contre la violence sexuelle et sexiste à Sri L</w:t>
      </w:r>
      <w:r w:rsidR="00CB391E">
        <w:rPr>
          <w:lang w:val="fr-FR"/>
        </w:rPr>
        <w:t>anka pour la période 2016-2020 ;</w:t>
      </w:r>
    </w:p>
    <w:p w:rsidR="00EC4C5A" w:rsidRPr="00CC76D1" w:rsidRDefault="00EC4C5A" w:rsidP="000910B0">
      <w:pPr>
        <w:pStyle w:val="Bullet1G"/>
        <w:rPr>
          <w:lang w:val="fr-FR"/>
        </w:rPr>
      </w:pPr>
      <w:r w:rsidRPr="00CC76D1">
        <w:rPr>
          <w:lang w:val="fr-FR"/>
        </w:rPr>
        <w:t>La mise en place de comités chargés des questions de genre dans les ministères, administrations et services publics a été approuvée par le Conseil des ministres en décembre 2016. Ces comités ont pour but d</w:t>
      </w:r>
      <w:r w:rsidR="00474653">
        <w:rPr>
          <w:lang w:val="fr-FR"/>
        </w:rPr>
        <w:t>’</w:t>
      </w:r>
      <w:r w:rsidRPr="00CC76D1">
        <w:rPr>
          <w:lang w:val="fr-FR"/>
        </w:rPr>
        <w:t>éliminer la discrimination fondée sur le genre et la violence à l</w:t>
      </w:r>
      <w:r w:rsidR="00474653">
        <w:rPr>
          <w:lang w:val="fr-FR"/>
        </w:rPr>
        <w:t>’</w:t>
      </w:r>
      <w:r w:rsidR="00CB391E">
        <w:rPr>
          <w:lang w:val="fr-FR"/>
        </w:rPr>
        <w:t>égard des femmes au travail ;</w:t>
      </w:r>
    </w:p>
    <w:p w:rsidR="00EC4C5A" w:rsidRPr="00CC76D1" w:rsidRDefault="00EC4C5A" w:rsidP="000910B0">
      <w:pPr>
        <w:pStyle w:val="Bullet1G"/>
        <w:rPr>
          <w:lang w:val="fr-FR"/>
        </w:rPr>
      </w:pPr>
      <w:r w:rsidRPr="00CC76D1">
        <w:rPr>
          <w:lang w:val="fr-FR"/>
        </w:rPr>
        <w:t>Réaffirmant la volonté du Gouvernement de réformer les lois relatives au statut personnel qui sont discriminatoires à l</w:t>
      </w:r>
      <w:r w:rsidR="00474653">
        <w:rPr>
          <w:lang w:val="fr-FR"/>
        </w:rPr>
        <w:t>’</w:t>
      </w:r>
      <w:r w:rsidRPr="00CC76D1">
        <w:rPr>
          <w:lang w:val="fr-FR"/>
        </w:rPr>
        <w:t>égard des femmes, un sous-comité ministériel présidé par le Ministre de la justice a été constitué en octobre 2016 pour examiner et réviser la loi musulma</w:t>
      </w:r>
      <w:r w:rsidR="00CB391E">
        <w:rPr>
          <w:lang w:val="fr-FR"/>
        </w:rPr>
        <w:t>ne sur le mariage et le divorce ;</w:t>
      </w:r>
    </w:p>
    <w:p w:rsidR="00EC4C5A" w:rsidRPr="00CC76D1" w:rsidRDefault="00EC4C5A" w:rsidP="000910B0">
      <w:pPr>
        <w:pStyle w:val="Bullet1G"/>
        <w:rPr>
          <w:lang w:val="fr-FR"/>
        </w:rPr>
      </w:pPr>
      <w:r w:rsidRPr="00CC76D1">
        <w:rPr>
          <w:lang w:val="fr-FR"/>
        </w:rPr>
        <w:t xml:space="preserve">Un programme national triennal intitulé </w:t>
      </w:r>
      <w:r w:rsidR="00CB391E">
        <w:rPr>
          <w:lang w:val="fr-FR"/>
        </w:rPr>
        <w:t>« </w:t>
      </w:r>
      <w:r w:rsidRPr="00CC76D1">
        <w:rPr>
          <w:lang w:val="fr-FR"/>
        </w:rPr>
        <w:t>Protégeons les enfants</w:t>
      </w:r>
      <w:r w:rsidR="00CB391E">
        <w:rPr>
          <w:lang w:val="fr-FR"/>
        </w:rPr>
        <w:t> »</w:t>
      </w:r>
      <w:r w:rsidRPr="00CC76D1">
        <w:rPr>
          <w:lang w:val="fr-FR"/>
        </w:rPr>
        <w:t xml:space="preserve"> a été adopté en janvier 2017. Proposé par le Président, ce programme vise à lutter contre la maltraitance des enfants et à assurer leur protection, leur santé, leur nutrition, leur bien-être, de même que l</w:t>
      </w:r>
      <w:r w:rsidR="00474653">
        <w:rPr>
          <w:lang w:val="fr-FR"/>
        </w:rPr>
        <w:t>’</w:t>
      </w:r>
      <w:r w:rsidRPr="00CC76D1">
        <w:rPr>
          <w:lang w:val="fr-FR"/>
        </w:rPr>
        <w:t>épanouissement de leur personnalité, leur éducation et leur préparation à la vie.</w:t>
      </w:r>
    </w:p>
    <w:p w:rsidR="00EC4C5A" w:rsidRPr="00CC76D1" w:rsidRDefault="00EC4C5A" w:rsidP="000910B0">
      <w:pPr>
        <w:pStyle w:val="SingleTxtG"/>
        <w:rPr>
          <w:lang w:val="fr-FR"/>
        </w:rPr>
      </w:pPr>
      <w:r w:rsidRPr="00CC76D1">
        <w:rPr>
          <w:lang w:val="fr-FR"/>
        </w:rPr>
        <w:t>4.</w:t>
      </w:r>
      <w:r w:rsidRPr="00CC76D1">
        <w:rPr>
          <w:lang w:val="fr-FR"/>
        </w:rPr>
        <w:tab/>
        <w:t>À la lumière de ces mesures juridiques et politiques importantes, le Gouvernement sri-lankais souhaite apporter les éléments de réponse suivants aux questions soulevées par le Comité dans la liste de points</w:t>
      </w:r>
      <w:r w:rsidR="00112F55">
        <w:rPr>
          <w:lang w:val="fr-FR"/>
        </w:rPr>
        <w:t xml:space="preserve"> :</w:t>
      </w:r>
    </w:p>
    <w:p w:rsidR="00EC4C5A" w:rsidRPr="00CC76D1" w:rsidRDefault="00EC4C5A" w:rsidP="000910B0">
      <w:pPr>
        <w:pStyle w:val="HChG"/>
        <w:rPr>
          <w:lang w:val="fr-FR"/>
        </w:rPr>
      </w:pPr>
      <w:r w:rsidRPr="00CC76D1">
        <w:rPr>
          <w:lang w:val="fr-FR"/>
        </w:rPr>
        <w:tab/>
        <w:t>I.</w:t>
      </w:r>
      <w:r w:rsidRPr="00CC76D1">
        <w:rPr>
          <w:lang w:val="fr-FR"/>
        </w:rPr>
        <w:tab/>
        <w:t>Renseignements d</w:t>
      </w:r>
      <w:r w:rsidR="00474653">
        <w:rPr>
          <w:lang w:val="fr-FR"/>
        </w:rPr>
        <w:t>’</w:t>
      </w:r>
      <w:r w:rsidRPr="00CC76D1">
        <w:rPr>
          <w:lang w:val="fr-FR"/>
        </w:rPr>
        <w:t xml:space="preserve">ordre général </w:t>
      </w:r>
    </w:p>
    <w:p w:rsidR="00EC4C5A" w:rsidRPr="00CC76D1" w:rsidRDefault="00EC4C5A" w:rsidP="000910B0">
      <w:pPr>
        <w:pStyle w:val="H1G"/>
        <w:rPr>
          <w:lang w:val="fr-FR"/>
        </w:rPr>
      </w:pPr>
      <w:r w:rsidRPr="00CC76D1">
        <w:rPr>
          <w:lang w:val="fr-FR"/>
        </w:rPr>
        <w:tab/>
        <w:t>1.</w:t>
      </w:r>
      <w:r w:rsidRPr="00CC76D1">
        <w:rPr>
          <w:lang w:val="fr-FR"/>
        </w:rPr>
        <w:tab/>
        <w:t>État d</w:t>
      </w:r>
      <w:r w:rsidR="00474653">
        <w:rPr>
          <w:lang w:val="fr-FR"/>
        </w:rPr>
        <w:t>’</w:t>
      </w:r>
      <w:r w:rsidRPr="00CC76D1">
        <w:rPr>
          <w:lang w:val="fr-FR"/>
        </w:rPr>
        <w:t>avancement du processus d</w:t>
      </w:r>
      <w:r w:rsidR="00474653">
        <w:rPr>
          <w:lang w:val="fr-FR"/>
        </w:rPr>
        <w:t>’</w:t>
      </w:r>
      <w:r w:rsidRPr="00CC76D1">
        <w:rPr>
          <w:lang w:val="fr-FR"/>
        </w:rPr>
        <w:t>élaboration d</w:t>
      </w:r>
      <w:r w:rsidR="00474653">
        <w:rPr>
          <w:lang w:val="fr-FR"/>
        </w:rPr>
        <w:t>’</w:t>
      </w:r>
      <w:r w:rsidRPr="00CC76D1">
        <w:rPr>
          <w:lang w:val="fr-FR"/>
        </w:rPr>
        <w:t xml:space="preserve">une </w:t>
      </w:r>
      <w:r w:rsidR="00665543" w:rsidRPr="00CC76D1">
        <w:rPr>
          <w:lang w:val="fr-FR"/>
        </w:rPr>
        <w:t>c</w:t>
      </w:r>
      <w:r w:rsidRPr="00CC76D1">
        <w:rPr>
          <w:lang w:val="fr-FR"/>
        </w:rPr>
        <w:t>harte des droits</w:t>
      </w:r>
    </w:p>
    <w:p w:rsidR="00EC4C5A" w:rsidRPr="00CC76D1" w:rsidRDefault="00EC4C5A" w:rsidP="000910B0">
      <w:pPr>
        <w:pStyle w:val="SingleTxtG"/>
        <w:rPr>
          <w:lang w:val="fr-FR"/>
        </w:rPr>
      </w:pPr>
      <w:r w:rsidRPr="00CC76D1">
        <w:rPr>
          <w:lang w:val="fr-FR"/>
        </w:rPr>
        <w:t>5.</w:t>
      </w:r>
      <w:r w:rsidRPr="00CC76D1">
        <w:rPr>
          <w:lang w:val="fr-FR"/>
        </w:rPr>
        <w:tab/>
        <w:t>Les discussions sur l</w:t>
      </w:r>
      <w:r w:rsidR="00474653">
        <w:rPr>
          <w:lang w:val="fr-FR"/>
        </w:rPr>
        <w:t>’</w:t>
      </w:r>
      <w:r w:rsidRPr="00CC76D1">
        <w:rPr>
          <w:lang w:val="fr-FR"/>
        </w:rPr>
        <w:t>élaboration d</w:t>
      </w:r>
      <w:r w:rsidR="00474653">
        <w:rPr>
          <w:lang w:val="fr-FR"/>
        </w:rPr>
        <w:t>’</w:t>
      </w:r>
      <w:r w:rsidRPr="00CC76D1">
        <w:rPr>
          <w:lang w:val="fr-FR"/>
        </w:rPr>
        <w:t>une nouvelle Constitution comportant une charte des droits ont débuté par des consultations publiques conduites dans tout le pays sous l</w:t>
      </w:r>
      <w:r w:rsidR="00474653">
        <w:rPr>
          <w:lang w:val="fr-FR"/>
        </w:rPr>
        <w:t>’</w:t>
      </w:r>
      <w:r w:rsidRPr="00CC76D1">
        <w:rPr>
          <w:lang w:val="fr-FR"/>
        </w:rPr>
        <w:t>égide d</w:t>
      </w:r>
      <w:r w:rsidR="00474653">
        <w:rPr>
          <w:lang w:val="fr-FR"/>
        </w:rPr>
        <w:t>’</w:t>
      </w:r>
      <w:r w:rsidRPr="00CC76D1">
        <w:rPr>
          <w:lang w:val="fr-FR"/>
        </w:rPr>
        <w:t>un Comité de consultation publique, afin de recueillir les propositions du public sur les réformes constitutionnelles. Ce comité a remis son rapport au Premier Ministre en mai 2016. Il formule des recommandations détaillées en faveur de l</w:t>
      </w:r>
      <w:r w:rsidR="00474653">
        <w:rPr>
          <w:lang w:val="fr-FR"/>
        </w:rPr>
        <w:t>’</w:t>
      </w:r>
      <w:r w:rsidRPr="00CC76D1">
        <w:rPr>
          <w:lang w:val="fr-FR"/>
        </w:rPr>
        <w:t>inscription des droits économiques, sociaux et culturels dans la Constitution et recommande également l</w:t>
      </w:r>
      <w:r w:rsidR="00474653">
        <w:rPr>
          <w:lang w:val="fr-FR"/>
        </w:rPr>
        <w:t>’</w:t>
      </w:r>
      <w:r w:rsidRPr="00CC76D1">
        <w:rPr>
          <w:lang w:val="fr-FR"/>
        </w:rPr>
        <w:t>application judiciaire de ces droits. Le rapport peut être consulté à l</w:t>
      </w:r>
      <w:r w:rsidR="00474653">
        <w:rPr>
          <w:lang w:val="fr-FR"/>
        </w:rPr>
        <w:t>’</w:t>
      </w:r>
      <w:r w:rsidRPr="00CC76D1">
        <w:rPr>
          <w:lang w:val="fr-FR"/>
        </w:rPr>
        <w:t xml:space="preserve">adresse </w:t>
      </w:r>
      <w:r w:rsidR="00901D48" w:rsidRPr="00387D3F">
        <w:t>http://www.yourconstitution.lk/PRCRpt/PRC_english_</w:t>
      </w:r>
      <w:r w:rsidR="00901D48">
        <w:t xml:space="preserve"> </w:t>
      </w:r>
      <w:r w:rsidR="00901D48" w:rsidRPr="00387D3F">
        <w:t>report-A4.pdf</w:t>
      </w:r>
      <w:r w:rsidRPr="00CC76D1">
        <w:rPr>
          <w:lang w:val="fr-FR"/>
        </w:rPr>
        <w:t>.</w:t>
      </w:r>
      <w:r w:rsidR="00901D48">
        <w:rPr>
          <w:lang w:val="fr-FR"/>
        </w:rPr>
        <w:t xml:space="preserve"> </w:t>
      </w:r>
    </w:p>
    <w:p w:rsidR="00EC4C5A" w:rsidRPr="00CC76D1" w:rsidRDefault="00EC4C5A" w:rsidP="000910B0">
      <w:pPr>
        <w:pStyle w:val="SingleTxtG"/>
        <w:rPr>
          <w:lang w:val="fr-FR"/>
        </w:rPr>
      </w:pPr>
      <w:r w:rsidRPr="00CC76D1">
        <w:rPr>
          <w:lang w:val="fr-FR"/>
        </w:rPr>
        <w:t>6.</w:t>
      </w:r>
      <w:r w:rsidRPr="00CC76D1">
        <w:rPr>
          <w:lang w:val="fr-FR"/>
        </w:rPr>
        <w:tab/>
        <w:t>Dans l</w:t>
      </w:r>
      <w:r w:rsidR="00474653">
        <w:rPr>
          <w:lang w:val="fr-FR"/>
        </w:rPr>
        <w:t>’</w:t>
      </w:r>
      <w:r w:rsidRPr="00CC76D1">
        <w:rPr>
          <w:lang w:val="fr-FR"/>
        </w:rPr>
        <w:t>intervalle, le processus parlementaire d</w:t>
      </w:r>
      <w:r w:rsidR="00474653">
        <w:rPr>
          <w:lang w:val="fr-FR"/>
        </w:rPr>
        <w:t>’</w:t>
      </w:r>
      <w:r w:rsidRPr="00CC76D1">
        <w:rPr>
          <w:lang w:val="fr-FR"/>
        </w:rPr>
        <w:t>élaboration d</w:t>
      </w:r>
      <w:r w:rsidR="00474653">
        <w:rPr>
          <w:lang w:val="fr-FR"/>
        </w:rPr>
        <w:t>’</w:t>
      </w:r>
      <w:r w:rsidRPr="00CC76D1">
        <w:rPr>
          <w:lang w:val="fr-FR"/>
        </w:rPr>
        <w:t>une nouvelle Constitution a débuté le 4 avril 2016, date à laquelle le Parlement a décidé de siéger en Assemblée constituante, et se poursuit à l</w:t>
      </w:r>
      <w:r w:rsidR="00474653">
        <w:rPr>
          <w:lang w:val="fr-FR"/>
        </w:rPr>
        <w:t>’</w:t>
      </w:r>
      <w:r w:rsidRPr="00CC76D1">
        <w:rPr>
          <w:lang w:val="fr-FR"/>
        </w:rPr>
        <w:t>heure actuelle. Les conclusions du Comité ont été prises en compte dans ce processus. La première session de l</w:t>
      </w:r>
      <w:r w:rsidR="00474653">
        <w:rPr>
          <w:lang w:val="fr-FR"/>
        </w:rPr>
        <w:t>’</w:t>
      </w:r>
      <w:r w:rsidRPr="00CC76D1">
        <w:rPr>
          <w:lang w:val="fr-FR"/>
        </w:rPr>
        <w:t>Assemblée constituante a donné lieu à l</w:t>
      </w:r>
      <w:r w:rsidR="00474653">
        <w:rPr>
          <w:lang w:val="fr-FR"/>
        </w:rPr>
        <w:t>’</w:t>
      </w:r>
      <w:r w:rsidRPr="00CC76D1">
        <w:rPr>
          <w:lang w:val="fr-FR"/>
        </w:rPr>
        <w:t xml:space="preserve">élection de sept </w:t>
      </w:r>
      <w:r w:rsidR="00250D48" w:rsidRPr="00CC76D1">
        <w:rPr>
          <w:lang w:val="fr-FR"/>
        </w:rPr>
        <w:t>V</w:t>
      </w:r>
      <w:r w:rsidRPr="00CC76D1">
        <w:rPr>
          <w:lang w:val="fr-FR"/>
        </w:rPr>
        <w:t>ice-</w:t>
      </w:r>
      <w:r w:rsidR="00250D48" w:rsidRPr="00CC76D1">
        <w:rPr>
          <w:lang w:val="fr-FR"/>
        </w:rPr>
        <w:t>P</w:t>
      </w:r>
      <w:r w:rsidRPr="00CC76D1">
        <w:rPr>
          <w:lang w:val="fr-FR"/>
        </w:rPr>
        <w:t>résidents chargés de suppléer le Président de l</w:t>
      </w:r>
      <w:r w:rsidR="00474653">
        <w:rPr>
          <w:lang w:val="fr-FR"/>
        </w:rPr>
        <w:t>’</w:t>
      </w:r>
      <w:r w:rsidRPr="00CC76D1">
        <w:rPr>
          <w:lang w:val="fr-FR"/>
        </w:rPr>
        <w:t>Assemblée en son absence. Un Comité directeur composé de 21 membres a été constitué et le Premier Ministre élu à l</w:t>
      </w:r>
      <w:r w:rsidR="00474653">
        <w:rPr>
          <w:lang w:val="fr-FR"/>
        </w:rPr>
        <w:t>’</w:t>
      </w:r>
      <w:r w:rsidRPr="00CC76D1">
        <w:rPr>
          <w:lang w:val="fr-FR"/>
        </w:rPr>
        <w:t>unanimité à sa présidence.</w:t>
      </w:r>
      <w:r w:rsidR="002C0E15">
        <w:rPr>
          <w:lang w:val="fr-FR"/>
        </w:rPr>
        <w:t xml:space="preserve"> Six sous-comités, dont un </w:t>
      </w:r>
      <w:r w:rsidR="007004AB">
        <w:rPr>
          <w:lang w:val="fr-FR"/>
        </w:rPr>
        <w:t>S</w:t>
      </w:r>
      <w:r w:rsidR="002C0E15">
        <w:rPr>
          <w:lang w:val="fr-FR"/>
        </w:rPr>
        <w:t>ous</w:t>
      </w:r>
      <w:r w:rsidR="002C0E15">
        <w:rPr>
          <w:lang w:val="fr-FR"/>
        </w:rPr>
        <w:noBreakHyphen/>
      </w:r>
      <w:r w:rsidR="007004AB" w:rsidRPr="00CC76D1">
        <w:rPr>
          <w:lang w:val="fr-FR"/>
        </w:rPr>
        <w:t>C</w:t>
      </w:r>
      <w:r w:rsidRPr="00CC76D1">
        <w:rPr>
          <w:lang w:val="fr-FR"/>
        </w:rPr>
        <w:t>omité des droits fondamentaux, ont ensuite été créés pour conseiller le Comité directeur et formuler des recommandations appropriées sur certaines questions thématiques. Après délibérations, les sous-comités ont remis leurs rapports en novembre 2016.</w:t>
      </w:r>
    </w:p>
    <w:p w:rsidR="00EC4C5A" w:rsidRPr="00CC76D1" w:rsidRDefault="00EC4C5A" w:rsidP="000910B0">
      <w:pPr>
        <w:pStyle w:val="SingleTxtG"/>
        <w:rPr>
          <w:lang w:val="fr-FR"/>
        </w:rPr>
      </w:pPr>
      <w:r w:rsidRPr="00CC76D1">
        <w:rPr>
          <w:lang w:val="fr-FR"/>
        </w:rPr>
        <w:t>7.</w:t>
      </w:r>
      <w:r w:rsidRPr="00CC76D1">
        <w:rPr>
          <w:lang w:val="fr-FR"/>
        </w:rPr>
        <w:tab/>
        <w:t>L</w:t>
      </w:r>
      <w:r w:rsidR="00474653">
        <w:rPr>
          <w:lang w:val="fr-FR"/>
        </w:rPr>
        <w:t>’</w:t>
      </w:r>
      <w:r w:rsidRPr="00CC76D1">
        <w:rPr>
          <w:lang w:val="fr-FR"/>
        </w:rPr>
        <w:t xml:space="preserve">extrait ci-après du rapport du </w:t>
      </w:r>
      <w:r w:rsidR="00444179" w:rsidRPr="00CC76D1">
        <w:rPr>
          <w:lang w:val="fr-FR"/>
        </w:rPr>
        <w:t>S</w:t>
      </w:r>
      <w:r w:rsidRPr="00CC76D1">
        <w:rPr>
          <w:lang w:val="fr-FR"/>
        </w:rPr>
        <w:t>ous-Comité des droits fondamentaux révèle que celui-ci envisage favorablement l</w:t>
      </w:r>
      <w:r w:rsidR="00474653">
        <w:rPr>
          <w:lang w:val="fr-FR"/>
        </w:rPr>
        <w:t>’</w:t>
      </w:r>
      <w:r w:rsidRPr="00CC76D1">
        <w:rPr>
          <w:lang w:val="fr-FR"/>
        </w:rPr>
        <w:t>inscription des droits économiques, sociaux et culturels dans la Constitution et leur promulgation comme droits opposables</w:t>
      </w:r>
      <w:r w:rsidR="00112F55">
        <w:rPr>
          <w:lang w:val="fr-FR"/>
        </w:rPr>
        <w:t xml:space="preserve"> :</w:t>
      </w:r>
    </w:p>
    <w:p w:rsidR="00EC4C5A" w:rsidRPr="00902198" w:rsidRDefault="000910B0" w:rsidP="000910B0">
      <w:pPr>
        <w:pStyle w:val="SingleTxtG"/>
        <w:ind w:left="1701" w:firstLine="567"/>
      </w:pPr>
      <w:r w:rsidRPr="00902198">
        <w:rPr>
          <w:lang w:val="fr-FR"/>
        </w:rPr>
        <w:lastRenderedPageBreak/>
        <w:t>« </w:t>
      </w:r>
      <w:r w:rsidR="00EC4C5A" w:rsidRPr="00902198">
        <w:rPr>
          <w:lang w:val="fr-FR"/>
        </w:rPr>
        <w:t>Le Sous-Comité s</w:t>
      </w:r>
      <w:r w:rsidR="00474653" w:rsidRPr="00902198">
        <w:rPr>
          <w:lang w:val="fr-FR"/>
        </w:rPr>
        <w:t>’</w:t>
      </w:r>
      <w:r w:rsidR="00EC4C5A" w:rsidRPr="00902198">
        <w:rPr>
          <w:lang w:val="fr-FR"/>
        </w:rPr>
        <w:t>est en particulier penché s</w:t>
      </w:r>
      <w:r w:rsidRPr="00902198">
        <w:rPr>
          <w:lang w:val="fr-FR"/>
        </w:rPr>
        <w:t>ur l</w:t>
      </w:r>
      <w:r w:rsidR="00474653" w:rsidRPr="00902198">
        <w:rPr>
          <w:lang w:val="fr-FR"/>
        </w:rPr>
        <w:t>’</w:t>
      </w:r>
      <w:r w:rsidRPr="00902198">
        <w:rPr>
          <w:lang w:val="fr-FR"/>
        </w:rPr>
        <w:t>inclusion des droits socio</w:t>
      </w:r>
      <w:r w:rsidR="00EC4C5A" w:rsidRPr="00902198">
        <w:rPr>
          <w:lang w:val="fr-FR"/>
        </w:rPr>
        <w:t>économiques opposables dans les constitutions modernes. Lorsque l</w:t>
      </w:r>
      <w:r w:rsidR="00474653" w:rsidRPr="00902198">
        <w:rPr>
          <w:lang w:val="fr-FR"/>
        </w:rPr>
        <w:t>’</w:t>
      </w:r>
      <w:r w:rsidR="00EC4C5A" w:rsidRPr="00902198">
        <w:rPr>
          <w:lang w:val="fr-FR"/>
        </w:rPr>
        <w:t>actuelle Constitution a été promulguée, en 1978, ces droits n</w:t>
      </w:r>
      <w:r w:rsidR="00474653" w:rsidRPr="00902198">
        <w:rPr>
          <w:lang w:val="fr-FR"/>
        </w:rPr>
        <w:t>’</w:t>
      </w:r>
      <w:r w:rsidR="00EC4C5A" w:rsidRPr="00902198">
        <w:rPr>
          <w:lang w:val="fr-FR"/>
        </w:rPr>
        <w:t>avaient pas encore reçu l</w:t>
      </w:r>
      <w:r w:rsidR="00474653" w:rsidRPr="00902198">
        <w:rPr>
          <w:lang w:val="fr-FR"/>
        </w:rPr>
        <w:t>’</w:t>
      </w:r>
      <w:r w:rsidR="00EC4C5A" w:rsidRPr="00902198">
        <w:rPr>
          <w:lang w:val="fr-FR"/>
        </w:rPr>
        <w:t>attention de la communauté internationale. Leur inscription dans un chapitre relatif aux principes directeurs de la politique de l</w:t>
      </w:r>
      <w:r w:rsidR="00474653" w:rsidRPr="00902198">
        <w:rPr>
          <w:lang w:val="fr-FR"/>
        </w:rPr>
        <w:t>’</w:t>
      </w:r>
      <w:r w:rsidR="00EC4C5A" w:rsidRPr="00902198">
        <w:rPr>
          <w:lang w:val="fr-FR"/>
        </w:rPr>
        <w:t>État était par conséquent conforme à la formulation des constitutions de l</w:t>
      </w:r>
      <w:r w:rsidR="00474653" w:rsidRPr="00902198">
        <w:rPr>
          <w:lang w:val="fr-FR"/>
        </w:rPr>
        <w:t>’</w:t>
      </w:r>
      <w:r w:rsidR="00EC4C5A" w:rsidRPr="00902198">
        <w:rPr>
          <w:lang w:val="fr-FR"/>
        </w:rPr>
        <w:t>époque. Toutefois, au cours des vingt dernières années et à la lumière de l</w:t>
      </w:r>
      <w:r w:rsidR="00474653" w:rsidRPr="00902198">
        <w:rPr>
          <w:lang w:val="fr-FR"/>
        </w:rPr>
        <w:t>’</w:t>
      </w:r>
      <w:r w:rsidR="00EC4C5A" w:rsidRPr="00902198">
        <w:rPr>
          <w:lang w:val="fr-FR"/>
        </w:rPr>
        <w:t>évolution de la situation mondiale en matière de droits de l</w:t>
      </w:r>
      <w:r w:rsidR="00474653" w:rsidRPr="00902198">
        <w:rPr>
          <w:lang w:val="fr-FR"/>
        </w:rPr>
        <w:t>’</w:t>
      </w:r>
      <w:r w:rsidR="00EC4C5A" w:rsidRPr="00902198">
        <w:rPr>
          <w:lang w:val="fr-FR"/>
        </w:rPr>
        <w:t>homme, il est devenu clair que le lien intrinsèque entre les droits et libertés politiques et l</w:t>
      </w:r>
      <w:r w:rsidR="00474653" w:rsidRPr="00902198">
        <w:rPr>
          <w:lang w:val="fr-FR"/>
        </w:rPr>
        <w:t>’</w:t>
      </w:r>
      <w:r w:rsidR="00EC4C5A" w:rsidRPr="00902198">
        <w:rPr>
          <w:lang w:val="fr-FR"/>
        </w:rPr>
        <w:t>accès aux ressources économiques et à une meilleure qualité de vie ne pouvait plus être ignoré. Cela est particulièrement vrai dans un pays comme le nôtre où la privation de ces ressources a débouché sur de violents conflits dans le passé. La reconnaissance de ces droits fondamentaux est une tendance qui s</w:t>
      </w:r>
      <w:r w:rsidR="00474653" w:rsidRPr="00902198">
        <w:rPr>
          <w:lang w:val="fr-FR"/>
        </w:rPr>
        <w:t>’</w:t>
      </w:r>
      <w:r w:rsidR="00EC4C5A" w:rsidRPr="00902198">
        <w:rPr>
          <w:lang w:val="fr-FR"/>
        </w:rPr>
        <w:t>observe à l</w:t>
      </w:r>
      <w:r w:rsidR="00474653" w:rsidRPr="00902198">
        <w:rPr>
          <w:lang w:val="fr-FR"/>
        </w:rPr>
        <w:t>’</w:t>
      </w:r>
      <w:r w:rsidR="00EC4C5A" w:rsidRPr="00902198">
        <w:rPr>
          <w:lang w:val="fr-FR"/>
        </w:rPr>
        <w:t>échelle internationale, comme en témoignent les constitutions d</w:t>
      </w:r>
      <w:r w:rsidR="00474653" w:rsidRPr="00902198">
        <w:rPr>
          <w:lang w:val="fr-FR"/>
        </w:rPr>
        <w:t>’</w:t>
      </w:r>
      <w:r w:rsidR="00EC4C5A" w:rsidRPr="00902198">
        <w:rPr>
          <w:lang w:val="fr-FR"/>
        </w:rPr>
        <w:t>Afrique du Sud, du Timor oriental, du Kenya, du Népal et des pays d</w:t>
      </w:r>
      <w:r w:rsidR="00474653" w:rsidRPr="00902198">
        <w:rPr>
          <w:lang w:val="fr-FR"/>
        </w:rPr>
        <w:t>’</w:t>
      </w:r>
      <w:r w:rsidR="00EC4C5A" w:rsidRPr="00902198">
        <w:rPr>
          <w:lang w:val="fr-FR"/>
        </w:rPr>
        <w:t>Amérique latine. Sri Lanka s</w:t>
      </w:r>
      <w:r w:rsidR="00474653" w:rsidRPr="00902198">
        <w:rPr>
          <w:lang w:val="fr-FR"/>
        </w:rPr>
        <w:t>’</w:t>
      </w:r>
      <w:r w:rsidR="00EC4C5A" w:rsidRPr="00902198">
        <w:rPr>
          <w:lang w:val="fr-FR"/>
        </w:rPr>
        <w:t>est également engagé à réaliser les Objectifs de développement durable et il convient donc que cet engagement trouve son expression dans sa nouvelle Constitution. Ces droits ont également été inclus dans le projet d</w:t>
      </w:r>
      <w:r w:rsidR="00474653" w:rsidRPr="00902198">
        <w:rPr>
          <w:lang w:val="fr-FR"/>
        </w:rPr>
        <w:t>’</w:t>
      </w:r>
      <w:r w:rsidR="00EC4C5A" w:rsidRPr="00902198">
        <w:rPr>
          <w:lang w:val="fr-FR"/>
        </w:rPr>
        <w:t xml:space="preserve">amendement de la Constitution de 2000 et dans celui de 2009. </w:t>
      </w:r>
      <w:r w:rsidRPr="00902198">
        <w:rPr>
          <w:b/>
          <w:lang w:val="fr-FR"/>
        </w:rPr>
        <w:t>Le Sous</w:t>
      </w:r>
      <w:r w:rsidRPr="00902198">
        <w:rPr>
          <w:b/>
          <w:lang w:val="fr-FR"/>
        </w:rPr>
        <w:noBreakHyphen/>
      </w:r>
      <w:r w:rsidR="00EC4C5A" w:rsidRPr="00902198">
        <w:rPr>
          <w:b/>
          <w:lang w:val="fr-FR"/>
        </w:rPr>
        <w:t>Comité a donc jugé que</w:t>
      </w:r>
      <w:r w:rsidRPr="00902198">
        <w:rPr>
          <w:b/>
          <w:lang w:val="fr-FR"/>
        </w:rPr>
        <w:t xml:space="preserve"> l</w:t>
      </w:r>
      <w:r w:rsidR="00474653" w:rsidRPr="00902198">
        <w:rPr>
          <w:b/>
          <w:lang w:val="fr-FR"/>
        </w:rPr>
        <w:t>’</w:t>
      </w:r>
      <w:r w:rsidRPr="00902198">
        <w:rPr>
          <w:b/>
          <w:lang w:val="fr-FR"/>
        </w:rPr>
        <w:t>inclusion des droits socio</w:t>
      </w:r>
      <w:r w:rsidR="00EC4C5A" w:rsidRPr="00902198">
        <w:rPr>
          <w:b/>
          <w:lang w:val="fr-FR"/>
        </w:rPr>
        <w:t>économiques opposables revêtait une importance primordiale dans la formulation d</w:t>
      </w:r>
      <w:r w:rsidR="00474653" w:rsidRPr="00902198">
        <w:rPr>
          <w:b/>
          <w:lang w:val="fr-FR"/>
        </w:rPr>
        <w:t>’</w:t>
      </w:r>
      <w:r w:rsidR="00EC4C5A" w:rsidRPr="00902198">
        <w:rPr>
          <w:b/>
          <w:lang w:val="fr-FR"/>
        </w:rPr>
        <w:t>une charte des droits progressiste et moderne</w:t>
      </w:r>
      <w:r w:rsidR="00EC4C5A" w:rsidRPr="00902198">
        <w:rPr>
          <w:lang w:val="fr-FR"/>
        </w:rPr>
        <w:t>.»</w:t>
      </w:r>
      <w:r w:rsidR="00EC4C5A" w:rsidRPr="00902198">
        <w:rPr>
          <w:rStyle w:val="Appelnotedebasdep"/>
        </w:rPr>
        <w:footnoteReference w:id="3"/>
      </w:r>
      <w:r w:rsidRPr="00902198">
        <w:t>.</w:t>
      </w:r>
    </w:p>
    <w:p w:rsidR="00EC4C5A" w:rsidRPr="00CC76D1" w:rsidRDefault="00EC4C5A" w:rsidP="000910B0">
      <w:pPr>
        <w:pStyle w:val="SingleTxtG"/>
        <w:rPr>
          <w:lang w:val="fr-FR"/>
        </w:rPr>
      </w:pPr>
      <w:r w:rsidRPr="00CC76D1">
        <w:rPr>
          <w:lang w:val="fr-FR"/>
        </w:rPr>
        <w:t>8.</w:t>
      </w:r>
      <w:r w:rsidRPr="00CC76D1">
        <w:rPr>
          <w:lang w:val="fr-FR"/>
        </w:rPr>
        <w:tab/>
        <w:t xml:space="preserve">Le rapport du </w:t>
      </w:r>
      <w:r w:rsidR="009467B7" w:rsidRPr="00CC76D1">
        <w:rPr>
          <w:lang w:val="fr-FR"/>
        </w:rPr>
        <w:t>S</w:t>
      </w:r>
      <w:r w:rsidRPr="00CC76D1">
        <w:rPr>
          <w:lang w:val="fr-FR"/>
        </w:rPr>
        <w:t>ous-</w:t>
      </w:r>
      <w:r w:rsidR="009467B7" w:rsidRPr="00CC76D1">
        <w:rPr>
          <w:lang w:val="fr-FR"/>
        </w:rPr>
        <w:t>C</w:t>
      </w:r>
      <w:r w:rsidRPr="00CC76D1">
        <w:rPr>
          <w:lang w:val="fr-FR"/>
        </w:rPr>
        <w:t>omité recommande également l</w:t>
      </w:r>
      <w:r w:rsidR="00474653">
        <w:rPr>
          <w:lang w:val="fr-FR"/>
        </w:rPr>
        <w:t>’</w:t>
      </w:r>
      <w:r w:rsidRPr="00CC76D1">
        <w:rPr>
          <w:lang w:val="fr-FR"/>
        </w:rPr>
        <w:t>inclusion des droits suivants, entre autres, dans le projet de nouvelle Constitution</w:t>
      </w:r>
      <w:r w:rsidR="00112F55">
        <w:rPr>
          <w:lang w:val="fr-FR"/>
        </w:rPr>
        <w:t xml:space="preserve"> :</w:t>
      </w:r>
    </w:p>
    <w:p w:rsidR="00EC4C5A" w:rsidRPr="00CC76D1" w:rsidRDefault="00EC4C5A" w:rsidP="000910B0">
      <w:pPr>
        <w:pStyle w:val="Bullet1G"/>
        <w:rPr>
          <w:lang w:val="fr-FR"/>
        </w:rPr>
      </w:pPr>
      <w:r w:rsidRPr="00CC76D1">
        <w:rPr>
          <w:lang w:val="fr-FR"/>
        </w:rPr>
        <w:t>Droit à l</w:t>
      </w:r>
      <w:r w:rsidR="00474653">
        <w:rPr>
          <w:lang w:val="fr-FR"/>
        </w:rPr>
        <w:t>’</w:t>
      </w:r>
      <w:r w:rsidRPr="00CC76D1">
        <w:rPr>
          <w:lang w:val="fr-FR"/>
        </w:rPr>
        <w:t>égal</w:t>
      </w:r>
      <w:r w:rsidR="000910B0">
        <w:rPr>
          <w:lang w:val="fr-FR"/>
        </w:rPr>
        <w:t>ité et à la non-discrimination −</w:t>
      </w:r>
      <w:r w:rsidRPr="00CC76D1">
        <w:rPr>
          <w:lang w:val="fr-FR"/>
        </w:rPr>
        <w:t xml:space="preserve"> Les femmes et les hommes doivent avoir des droits et des devoirs égaux dans toutes les sphères de la vie publique, familiale, politique, économique, sociale et culturelle</w:t>
      </w:r>
      <w:r w:rsidR="00112F55">
        <w:rPr>
          <w:lang w:val="fr-FR"/>
        </w:rPr>
        <w:t xml:space="preserve"> ;</w:t>
      </w:r>
    </w:p>
    <w:p w:rsidR="00EC4C5A" w:rsidRPr="00CC76D1" w:rsidRDefault="00EC4C5A" w:rsidP="000910B0">
      <w:pPr>
        <w:pStyle w:val="Bullet1G"/>
        <w:rPr>
          <w:lang w:val="fr-FR"/>
        </w:rPr>
      </w:pPr>
      <w:r w:rsidRPr="00CC76D1">
        <w:rPr>
          <w:lang w:val="fr-FR"/>
        </w:rPr>
        <w:t>Droit de jouir de la culture et d</w:t>
      </w:r>
      <w:r w:rsidR="00474653">
        <w:rPr>
          <w:lang w:val="fr-FR"/>
        </w:rPr>
        <w:t>’</w:t>
      </w:r>
      <w:r w:rsidRPr="00CC76D1">
        <w:rPr>
          <w:lang w:val="fr-FR"/>
        </w:rPr>
        <w:t>utiliser sa langue, et de les promouvoir</w:t>
      </w:r>
      <w:r w:rsidR="00112F55">
        <w:rPr>
          <w:lang w:val="fr-FR"/>
        </w:rPr>
        <w:t xml:space="preserve"> ;</w:t>
      </w:r>
    </w:p>
    <w:p w:rsidR="00EC4C5A" w:rsidRPr="00CC76D1" w:rsidRDefault="00EC4C5A" w:rsidP="000910B0">
      <w:pPr>
        <w:pStyle w:val="Bullet1G"/>
        <w:rPr>
          <w:lang w:val="fr-FR"/>
        </w:rPr>
      </w:pPr>
      <w:r w:rsidRPr="00CC76D1">
        <w:rPr>
          <w:lang w:val="fr-FR"/>
        </w:rPr>
        <w:t>Liberté d</w:t>
      </w:r>
      <w:r w:rsidR="00474653">
        <w:rPr>
          <w:lang w:val="fr-FR"/>
        </w:rPr>
        <w:t>’</w:t>
      </w:r>
      <w:r w:rsidRPr="00CC76D1">
        <w:rPr>
          <w:lang w:val="fr-FR"/>
        </w:rPr>
        <w:t>exercer l</w:t>
      </w:r>
      <w:r w:rsidR="00474653">
        <w:rPr>
          <w:lang w:val="fr-FR"/>
        </w:rPr>
        <w:t>’</w:t>
      </w:r>
      <w:r w:rsidRPr="00CC76D1">
        <w:rPr>
          <w:lang w:val="fr-FR"/>
        </w:rPr>
        <w:t>occupation, la profession ou l</w:t>
      </w:r>
      <w:r w:rsidR="00474653">
        <w:rPr>
          <w:lang w:val="fr-FR"/>
        </w:rPr>
        <w:t>’</w:t>
      </w:r>
      <w:r w:rsidRPr="00CC76D1">
        <w:rPr>
          <w:lang w:val="fr-FR"/>
        </w:rPr>
        <w:t>activité industrielle ou commerciale licite de son choix</w:t>
      </w:r>
      <w:r w:rsidR="00112F55">
        <w:rPr>
          <w:lang w:val="fr-FR"/>
        </w:rPr>
        <w:t xml:space="preserve"> ;</w:t>
      </w:r>
    </w:p>
    <w:p w:rsidR="00EC4C5A" w:rsidRPr="00CC76D1" w:rsidRDefault="00EC4C5A" w:rsidP="000910B0">
      <w:pPr>
        <w:pStyle w:val="Bullet1G"/>
        <w:rPr>
          <w:lang w:val="fr-FR"/>
        </w:rPr>
      </w:pPr>
      <w:r w:rsidRPr="00CC76D1">
        <w:rPr>
          <w:lang w:val="fr-FR"/>
        </w:rPr>
        <w:t>Droits du travail</w:t>
      </w:r>
      <w:r w:rsidR="00112F55">
        <w:rPr>
          <w:lang w:val="fr-FR"/>
        </w:rPr>
        <w:t xml:space="preserve"> ;</w:t>
      </w:r>
    </w:p>
    <w:p w:rsidR="00EC4C5A" w:rsidRPr="00CC76D1" w:rsidRDefault="00EC4C5A" w:rsidP="000910B0">
      <w:pPr>
        <w:pStyle w:val="Bullet1G"/>
        <w:rPr>
          <w:lang w:val="fr-FR"/>
        </w:rPr>
      </w:pPr>
      <w:r w:rsidRPr="00CC76D1">
        <w:rPr>
          <w:lang w:val="fr-FR"/>
        </w:rPr>
        <w:t>Droits syndicaux</w:t>
      </w:r>
      <w:r w:rsidR="00112F55">
        <w:rPr>
          <w:lang w:val="fr-FR"/>
        </w:rPr>
        <w:t xml:space="preserve"> ;</w:t>
      </w:r>
    </w:p>
    <w:p w:rsidR="00EC4C5A" w:rsidRPr="00CC76D1" w:rsidRDefault="00EC4C5A" w:rsidP="000910B0">
      <w:pPr>
        <w:pStyle w:val="Bullet1G"/>
        <w:rPr>
          <w:lang w:val="fr-FR"/>
        </w:rPr>
      </w:pPr>
      <w:r w:rsidRPr="00CC76D1">
        <w:rPr>
          <w:lang w:val="fr-FR"/>
        </w:rPr>
        <w:t>Droit à la vie privée</w:t>
      </w:r>
      <w:r w:rsidR="00112F55">
        <w:rPr>
          <w:lang w:val="fr-FR"/>
        </w:rPr>
        <w:t xml:space="preserve"> ;</w:t>
      </w:r>
    </w:p>
    <w:p w:rsidR="00EC4C5A" w:rsidRPr="00CC76D1" w:rsidRDefault="00EC4C5A" w:rsidP="000910B0">
      <w:pPr>
        <w:pStyle w:val="Bullet1G"/>
        <w:rPr>
          <w:lang w:val="fr-FR"/>
        </w:rPr>
      </w:pPr>
      <w:r w:rsidRPr="00CC76D1">
        <w:rPr>
          <w:lang w:val="fr-FR"/>
        </w:rPr>
        <w:t>Droits familiaux</w:t>
      </w:r>
      <w:r w:rsidR="00112F55">
        <w:rPr>
          <w:lang w:val="fr-FR"/>
        </w:rPr>
        <w:t xml:space="preserve"> ;</w:t>
      </w:r>
    </w:p>
    <w:p w:rsidR="00EC4C5A" w:rsidRPr="00CC76D1" w:rsidRDefault="00EC4C5A" w:rsidP="000910B0">
      <w:pPr>
        <w:pStyle w:val="Bullet1G"/>
        <w:rPr>
          <w:lang w:val="fr-FR"/>
        </w:rPr>
      </w:pPr>
      <w:r w:rsidRPr="00CC76D1">
        <w:rPr>
          <w:lang w:val="fr-FR"/>
        </w:rPr>
        <w:t>Droit à la propriété</w:t>
      </w:r>
      <w:r w:rsidR="00112F55">
        <w:rPr>
          <w:lang w:val="fr-FR"/>
        </w:rPr>
        <w:t xml:space="preserve"> ;</w:t>
      </w:r>
    </w:p>
    <w:p w:rsidR="00EC4C5A" w:rsidRPr="00CC76D1" w:rsidRDefault="00EC4C5A" w:rsidP="000910B0">
      <w:pPr>
        <w:pStyle w:val="Bullet1G"/>
        <w:rPr>
          <w:lang w:val="fr-FR"/>
        </w:rPr>
      </w:pPr>
      <w:r w:rsidRPr="00CC76D1">
        <w:rPr>
          <w:lang w:val="fr-FR"/>
        </w:rPr>
        <w:t>Droit à l</w:t>
      </w:r>
      <w:r w:rsidR="00474653">
        <w:rPr>
          <w:lang w:val="fr-FR"/>
        </w:rPr>
        <w:t>’</w:t>
      </w:r>
      <w:r w:rsidRPr="00CC76D1">
        <w:rPr>
          <w:lang w:val="fr-FR"/>
        </w:rPr>
        <w:t>éducation</w:t>
      </w:r>
      <w:r w:rsidR="00112F55">
        <w:rPr>
          <w:lang w:val="fr-FR"/>
        </w:rPr>
        <w:t xml:space="preserve"> ;</w:t>
      </w:r>
    </w:p>
    <w:p w:rsidR="00EC4C5A" w:rsidRPr="00CC76D1" w:rsidRDefault="00EC4C5A" w:rsidP="000910B0">
      <w:pPr>
        <w:pStyle w:val="Bullet1G"/>
        <w:rPr>
          <w:lang w:val="fr-FR"/>
        </w:rPr>
      </w:pPr>
      <w:r w:rsidRPr="00CC76D1">
        <w:rPr>
          <w:lang w:val="fr-FR"/>
        </w:rPr>
        <w:t>Droit à la santé</w:t>
      </w:r>
      <w:r w:rsidR="00112F55">
        <w:rPr>
          <w:lang w:val="fr-FR"/>
        </w:rPr>
        <w:t xml:space="preserve"> ;</w:t>
      </w:r>
    </w:p>
    <w:p w:rsidR="00EC4C5A" w:rsidRPr="00CC76D1" w:rsidRDefault="000910B0" w:rsidP="000910B0">
      <w:pPr>
        <w:pStyle w:val="Bullet1G"/>
        <w:rPr>
          <w:lang w:val="fr-FR"/>
        </w:rPr>
      </w:pPr>
      <w:r>
        <w:rPr>
          <w:lang w:val="fr-FR"/>
        </w:rPr>
        <w:t>Droits sociaux −</w:t>
      </w:r>
      <w:r w:rsidR="00EC4C5A" w:rsidRPr="00CC76D1">
        <w:rPr>
          <w:lang w:val="fr-FR"/>
        </w:rPr>
        <w:t xml:space="preserve"> Droits à une alimentation suffisante et à une nutrition appropriée, à l</w:t>
      </w:r>
      <w:r w:rsidR="00474653">
        <w:rPr>
          <w:lang w:val="fr-FR"/>
        </w:rPr>
        <w:t>’</w:t>
      </w:r>
      <w:r w:rsidR="00EC4C5A" w:rsidRPr="00CC76D1">
        <w:rPr>
          <w:lang w:val="fr-FR"/>
        </w:rPr>
        <w:t>eau potable et à l</w:t>
      </w:r>
      <w:r w:rsidR="00474653">
        <w:rPr>
          <w:lang w:val="fr-FR"/>
        </w:rPr>
        <w:t>’</w:t>
      </w:r>
      <w:r w:rsidR="00EC4C5A" w:rsidRPr="00CC76D1">
        <w:rPr>
          <w:lang w:val="fr-FR"/>
        </w:rPr>
        <w:t>assainissement, à un hébergement ou à un logement convenable, à une protection sociale adéquate, y compris à la sécurité sociale en cas d</w:t>
      </w:r>
      <w:r w:rsidR="00474653">
        <w:rPr>
          <w:lang w:val="fr-FR"/>
        </w:rPr>
        <w:t>’</w:t>
      </w:r>
      <w:r w:rsidR="00EC4C5A" w:rsidRPr="00CC76D1">
        <w:rPr>
          <w:lang w:val="fr-FR"/>
        </w:rPr>
        <w:t>impossibilité de subvenir à ses besoins et à ceux des personnes à sa charge, et droit à un travail décent.</w:t>
      </w:r>
    </w:p>
    <w:p w:rsidR="00EC4C5A" w:rsidRPr="00CC76D1" w:rsidRDefault="00EC4C5A" w:rsidP="000910B0">
      <w:pPr>
        <w:pStyle w:val="SingleTxtG"/>
        <w:rPr>
          <w:lang w:val="fr-FR"/>
        </w:rPr>
      </w:pPr>
      <w:r w:rsidRPr="00CC76D1">
        <w:rPr>
          <w:lang w:val="fr-FR"/>
        </w:rPr>
        <w:t>9.</w:t>
      </w:r>
      <w:r w:rsidRPr="00CC76D1">
        <w:rPr>
          <w:lang w:val="fr-FR"/>
        </w:rPr>
        <w:tab/>
        <w:t>Les rapports des six sous-comités sont actuellement examinés par le Comité directeur dont le rapport devrait être soumis à l</w:t>
      </w:r>
      <w:r w:rsidR="00474653">
        <w:rPr>
          <w:lang w:val="fr-FR"/>
        </w:rPr>
        <w:t>’</w:t>
      </w:r>
      <w:r w:rsidRPr="00CC76D1">
        <w:rPr>
          <w:lang w:val="fr-FR"/>
        </w:rPr>
        <w:t>Assemblée constituante dans les prochains mois. Il est également prévu que le rapport final du C</w:t>
      </w:r>
      <w:r w:rsidR="00C7377D">
        <w:rPr>
          <w:lang w:val="fr-FR"/>
        </w:rPr>
        <w:t>omité directeur soit accompagné</w:t>
      </w:r>
      <w:r w:rsidRPr="00CC76D1">
        <w:rPr>
          <w:lang w:val="fr-FR"/>
        </w:rPr>
        <w:t xml:space="preserve"> d</w:t>
      </w:r>
      <w:r w:rsidR="00474653">
        <w:rPr>
          <w:lang w:val="fr-FR"/>
        </w:rPr>
        <w:t>’</w:t>
      </w:r>
      <w:r w:rsidRPr="00CC76D1">
        <w:rPr>
          <w:lang w:val="fr-FR"/>
        </w:rPr>
        <w:t>un projet de loi constitutionnelle contenant le projet du texte de la nouvelle Constitution, en vue de leur soumission au Parlement pour approbation.</w:t>
      </w:r>
    </w:p>
    <w:p w:rsidR="00EC4C5A" w:rsidRPr="00CC76D1" w:rsidRDefault="00EC4C5A" w:rsidP="000910B0">
      <w:pPr>
        <w:pStyle w:val="H1G"/>
        <w:rPr>
          <w:lang w:val="fr-FR"/>
        </w:rPr>
      </w:pPr>
      <w:r w:rsidRPr="00CC76D1">
        <w:rPr>
          <w:lang w:val="fr-FR"/>
        </w:rPr>
        <w:lastRenderedPageBreak/>
        <w:tab/>
        <w:t>2.</w:t>
      </w:r>
      <w:r w:rsidRPr="00CC76D1">
        <w:rPr>
          <w:lang w:val="fr-FR"/>
        </w:rPr>
        <w:tab/>
        <w:t>Mesures prises pour mieux faire connaître le Pacte international relatif aux droits économiques, sociaux et culturels</w:t>
      </w:r>
    </w:p>
    <w:p w:rsidR="00EC4C5A" w:rsidRPr="00CC76D1" w:rsidRDefault="00EC4C5A" w:rsidP="000910B0">
      <w:pPr>
        <w:pStyle w:val="SingleTxtG"/>
        <w:rPr>
          <w:lang w:val="fr-FR"/>
        </w:rPr>
      </w:pPr>
      <w:r w:rsidRPr="00CC76D1">
        <w:rPr>
          <w:lang w:val="fr-FR"/>
        </w:rPr>
        <w:t>10.</w:t>
      </w:r>
      <w:r w:rsidRPr="00CC76D1">
        <w:rPr>
          <w:lang w:val="fr-FR"/>
        </w:rPr>
        <w:tab/>
        <w:t>Les principaux instruments internationaux relatifs aux droits de l</w:t>
      </w:r>
      <w:r w:rsidR="00474653">
        <w:rPr>
          <w:lang w:val="fr-FR"/>
        </w:rPr>
        <w:t>’</w:t>
      </w:r>
      <w:r w:rsidRPr="00CC76D1">
        <w:rPr>
          <w:lang w:val="fr-FR"/>
        </w:rPr>
        <w:t>homme, dont le Pacte, font partie de la formation dispensée aux magistrats, y compris par l</w:t>
      </w:r>
      <w:r w:rsidR="00474653">
        <w:rPr>
          <w:lang w:val="fr-FR"/>
        </w:rPr>
        <w:t>’</w:t>
      </w:r>
      <w:r w:rsidRPr="00CC76D1">
        <w:rPr>
          <w:lang w:val="fr-FR"/>
        </w:rPr>
        <w:t>Institut de la magistrature. Leur connaissance des droits économiques, sociaux et culturels et de leur importance est d</w:t>
      </w:r>
      <w:r w:rsidR="00474653">
        <w:rPr>
          <w:lang w:val="fr-FR"/>
        </w:rPr>
        <w:t>’</w:t>
      </w:r>
      <w:r w:rsidRPr="00CC76D1">
        <w:rPr>
          <w:lang w:val="fr-FR"/>
        </w:rPr>
        <w:t>ailleurs manifeste dans les nombreuses décisions qu</w:t>
      </w:r>
      <w:r w:rsidR="00474653">
        <w:rPr>
          <w:lang w:val="fr-FR"/>
        </w:rPr>
        <w:t>’</w:t>
      </w:r>
      <w:r w:rsidRPr="00CC76D1">
        <w:rPr>
          <w:lang w:val="fr-FR"/>
        </w:rPr>
        <w:t>ils ont été appelés à rendre en faveur des droits économiques, sociaux et culturels des Sri-</w:t>
      </w:r>
      <w:r w:rsidR="00BE4797" w:rsidRPr="00CC76D1">
        <w:rPr>
          <w:lang w:val="fr-FR"/>
        </w:rPr>
        <w:t>L</w:t>
      </w:r>
      <w:r w:rsidRPr="00CC76D1">
        <w:rPr>
          <w:lang w:val="fr-FR"/>
        </w:rPr>
        <w:t>ankais (notamment dans le domaine de l</w:t>
      </w:r>
      <w:r w:rsidR="00474653">
        <w:rPr>
          <w:lang w:val="fr-FR"/>
        </w:rPr>
        <w:t>’</w:t>
      </w:r>
      <w:r w:rsidRPr="00CC76D1">
        <w:rPr>
          <w:lang w:val="fr-FR"/>
        </w:rPr>
        <w:t>éducation), même si, en vertu de l</w:t>
      </w:r>
      <w:r w:rsidR="00474653">
        <w:rPr>
          <w:lang w:val="fr-FR"/>
        </w:rPr>
        <w:t>’</w:t>
      </w:r>
      <w:r w:rsidRPr="00CC76D1">
        <w:rPr>
          <w:lang w:val="fr-FR"/>
        </w:rPr>
        <w:t>actuelle Constitution, ces droits ne figurent que dans le chapitre consacré aux principes directeurs de la politique de l</w:t>
      </w:r>
      <w:r w:rsidR="00474653">
        <w:rPr>
          <w:lang w:val="fr-FR"/>
        </w:rPr>
        <w:t>’</w:t>
      </w:r>
      <w:r w:rsidRPr="00CC76D1">
        <w:rPr>
          <w:lang w:val="fr-FR"/>
        </w:rPr>
        <w:t>État.</w:t>
      </w:r>
    </w:p>
    <w:p w:rsidR="00EC4C5A" w:rsidRPr="00582EC2" w:rsidRDefault="00EC4C5A" w:rsidP="000910B0">
      <w:pPr>
        <w:pStyle w:val="SingleTxtG"/>
      </w:pPr>
      <w:r w:rsidRPr="00CC76D1">
        <w:rPr>
          <w:lang w:val="fr-FR"/>
        </w:rPr>
        <w:t>11.</w:t>
      </w:r>
      <w:r w:rsidRPr="00CC76D1">
        <w:rPr>
          <w:lang w:val="fr-FR"/>
        </w:rPr>
        <w:tab/>
        <w:t>La récente décision de la Cour suprême dans l</w:t>
      </w:r>
      <w:r w:rsidR="00474653">
        <w:rPr>
          <w:lang w:val="fr-FR"/>
        </w:rPr>
        <w:t>’</w:t>
      </w:r>
      <w:r w:rsidRPr="00CC76D1">
        <w:rPr>
          <w:lang w:val="fr-FR"/>
        </w:rPr>
        <w:t>affaire d</w:t>
      </w:r>
      <w:r w:rsidR="00474653">
        <w:rPr>
          <w:lang w:val="fr-FR"/>
        </w:rPr>
        <w:t>’</w:t>
      </w:r>
      <w:r w:rsidRPr="00CC76D1">
        <w:rPr>
          <w:lang w:val="fr-FR"/>
        </w:rPr>
        <w:t>un enfant qui s</w:t>
      </w:r>
      <w:r w:rsidR="00474653">
        <w:rPr>
          <w:lang w:val="fr-FR"/>
        </w:rPr>
        <w:t>’</w:t>
      </w:r>
      <w:r w:rsidRPr="00CC76D1">
        <w:rPr>
          <w:lang w:val="fr-FR"/>
        </w:rPr>
        <w:t>était vu refuser l</w:t>
      </w:r>
      <w:r w:rsidR="00474653">
        <w:rPr>
          <w:lang w:val="fr-FR"/>
        </w:rPr>
        <w:t>’</w:t>
      </w:r>
      <w:r w:rsidRPr="00CC76D1">
        <w:rPr>
          <w:lang w:val="fr-FR"/>
        </w:rPr>
        <w:t>accès à l</w:t>
      </w:r>
      <w:r w:rsidR="00474653">
        <w:rPr>
          <w:lang w:val="fr-FR"/>
        </w:rPr>
        <w:t>’</w:t>
      </w:r>
      <w:r w:rsidRPr="00CC76D1">
        <w:rPr>
          <w:lang w:val="fr-FR"/>
        </w:rPr>
        <w:t>école primaire, sous l</w:t>
      </w:r>
      <w:r w:rsidR="00474653">
        <w:rPr>
          <w:lang w:val="fr-FR"/>
        </w:rPr>
        <w:t>’</w:t>
      </w:r>
      <w:r w:rsidRPr="00CC76D1">
        <w:rPr>
          <w:lang w:val="fr-FR"/>
        </w:rPr>
        <w:t>effet de pressions exercées sur les responsables de l</w:t>
      </w:r>
      <w:r w:rsidR="00474653">
        <w:rPr>
          <w:lang w:val="fr-FR"/>
        </w:rPr>
        <w:t>’</w:t>
      </w:r>
      <w:r w:rsidRPr="00CC76D1">
        <w:rPr>
          <w:lang w:val="fr-FR"/>
        </w:rPr>
        <w:t>établissement, parce qu</w:t>
      </w:r>
      <w:r w:rsidR="00474653">
        <w:rPr>
          <w:lang w:val="fr-FR"/>
        </w:rPr>
        <w:t>’</w:t>
      </w:r>
      <w:r w:rsidRPr="00CC76D1">
        <w:rPr>
          <w:lang w:val="fr-FR"/>
        </w:rPr>
        <w:t>il était soupçonné d</w:t>
      </w:r>
      <w:r w:rsidR="00474653">
        <w:rPr>
          <w:lang w:val="fr-FR"/>
        </w:rPr>
        <w:t>’</w:t>
      </w:r>
      <w:r w:rsidRPr="00CC76D1">
        <w:rPr>
          <w:lang w:val="fr-FR"/>
        </w:rPr>
        <w:t>être infecté par le VIH/sida, revêt une importance particulière à cet égard</w:t>
      </w:r>
      <w:r w:rsidRPr="00903796">
        <w:rPr>
          <w:rStyle w:val="Appelnotedebasdep"/>
        </w:rPr>
        <w:footnoteReference w:id="4"/>
      </w:r>
      <w:r w:rsidR="00BE4797">
        <w:rPr>
          <w:lang w:val="fr-FR"/>
        </w:rPr>
        <w:t>.</w:t>
      </w:r>
      <w:r w:rsidRPr="00CC76D1">
        <w:rPr>
          <w:lang w:val="fr-FR"/>
        </w:rPr>
        <w:t xml:space="preserve"> Dans le jugement qu</w:t>
      </w:r>
      <w:r w:rsidR="00474653">
        <w:rPr>
          <w:lang w:val="fr-FR"/>
        </w:rPr>
        <w:t>’</w:t>
      </w:r>
      <w:r w:rsidRPr="00CC76D1">
        <w:rPr>
          <w:lang w:val="fr-FR"/>
        </w:rPr>
        <w:t>il a prononcé sur la requête introduite par la mère de l</w:t>
      </w:r>
      <w:r w:rsidR="00474653">
        <w:rPr>
          <w:lang w:val="fr-FR"/>
        </w:rPr>
        <w:t>’</w:t>
      </w:r>
      <w:r w:rsidRPr="00CC76D1">
        <w:rPr>
          <w:lang w:val="fr-FR"/>
        </w:rPr>
        <w:t xml:space="preserve">enfant, le </w:t>
      </w:r>
      <w:r w:rsidR="00380C06" w:rsidRPr="00CC76D1">
        <w:rPr>
          <w:lang w:val="fr-FR"/>
        </w:rPr>
        <w:t>P</w:t>
      </w:r>
      <w:r w:rsidRPr="00CC76D1">
        <w:rPr>
          <w:lang w:val="fr-FR"/>
        </w:rPr>
        <w:t>résident de la Cour a déclaré ce qui suit</w:t>
      </w:r>
      <w:r w:rsidRPr="00903796">
        <w:rPr>
          <w:rStyle w:val="Appelnotedebasdep"/>
        </w:rPr>
        <w:footnoteReference w:id="5"/>
      </w:r>
      <w:r w:rsidR="00582EC2">
        <w:rPr>
          <w:lang w:val="fr-FR"/>
        </w:rPr>
        <w:t> </w:t>
      </w:r>
      <w:r w:rsidR="00582EC2">
        <w:t>:</w:t>
      </w:r>
    </w:p>
    <w:p w:rsidR="00EC4C5A" w:rsidRPr="00CC76D1" w:rsidRDefault="000910B0" w:rsidP="000910B0">
      <w:pPr>
        <w:pStyle w:val="SingleTxtG"/>
        <w:ind w:left="1701" w:firstLine="567"/>
        <w:rPr>
          <w:lang w:val="fr-FR"/>
        </w:rPr>
      </w:pPr>
      <w:r>
        <w:rPr>
          <w:lang w:val="fr-FR"/>
        </w:rPr>
        <w:t>« </w:t>
      </w:r>
      <w:r w:rsidR="00EC4C5A" w:rsidRPr="000841EB">
        <w:rPr>
          <w:lang w:val="fr-FR"/>
        </w:rPr>
        <w:t>... la Cour tient à ce qu</w:t>
      </w:r>
      <w:r w:rsidR="00474653" w:rsidRPr="000841EB">
        <w:rPr>
          <w:lang w:val="fr-FR"/>
        </w:rPr>
        <w:t>’</w:t>
      </w:r>
      <w:r w:rsidR="00EC4C5A" w:rsidRPr="000841EB">
        <w:rPr>
          <w:lang w:val="fr-FR"/>
        </w:rPr>
        <w:t>il soit pris acte qu</w:t>
      </w:r>
      <w:r w:rsidR="00474653" w:rsidRPr="000841EB">
        <w:rPr>
          <w:lang w:val="fr-FR"/>
        </w:rPr>
        <w:t>’</w:t>
      </w:r>
      <w:r w:rsidR="00EC4C5A" w:rsidRPr="000841EB">
        <w:rPr>
          <w:lang w:val="fr-FR"/>
        </w:rPr>
        <w:t>en vertu de l</w:t>
      </w:r>
      <w:r w:rsidR="00474653" w:rsidRPr="000841EB">
        <w:rPr>
          <w:lang w:val="fr-FR"/>
        </w:rPr>
        <w:t>’</w:t>
      </w:r>
      <w:r w:rsidR="00EC4C5A" w:rsidRPr="000841EB">
        <w:rPr>
          <w:lang w:val="fr-FR"/>
        </w:rPr>
        <w:t>alinéa h</w:t>
      </w:r>
      <w:r w:rsidR="00DE46DE">
        <w:rPr>
          <w:lang w:val="fr-FR"/>
        </w:rPr>
        <w:t>)</w:t>
      </w:r>
      <w:r w:rsidR="00EC4C5A" w:rsidRPr="000841EB">
        <w:rPr>
          <w:lang w:val="fr-FR"/>
        </w:rPr>
        <w:t xml:space="preserve"> du paragraphe 2 de l</w:t>
      </w:r>
      <w:r w:rsidR="00474653" w:rsidRPr="000841EB">
        <w:rPr>
          <w:lang w:val="fr-FR"/>
        </w:rPr>
        <w:t>’</w:t>
      </w:r>
      <w:r w:rsidR="00EC4C5A" w:rsidRPr="000841EB">
        <w:rPr>
          <w:lang w:val="fr-FR"/>
        </w:rPr>
        <w:t>article 27 de la Constitution, l</w:t>
      </w:r>
      <w:r w:rsidR="00474653" w:rsidRPr="000841EB">
        <w:rPr>
          <w:lang w:val="fr-FR"/>
        </w:rPr>
        <w:t>’</w:t>
      </w:r>
      <w:r w:rsidR="00EC4C5A" w:rsidRPr="000841EB">
        <w:rPr>
          <w:lang w:val="fr-FR"/>
        </w:rPr>
        <w:t>un des principes directeurs de la politique de l</w:t>
      </w:r>
      <w:r w:rsidR="00474653" w:rsidRPr="000841EB">
        <w:rPr>
          <w:lang w:val="fr-FR"/>
        </w:rPr>
        <w:t>’</w:t>
      </w:r>
      <w:r w:rsidR="00EC4C5A" w:rsidRPr="000841EB">
        <w:rPr>
          <w:lang w:val="fr-FR"/>
        </w:rPr>
        <w:t>État est de garantir à chacun un accès universel et dans des conditions d</w:t>
      </w:r>
      <w:r w:rsidR="00474653" w:rsidRPr="000841EB">
        <w:rPr>
          <w:lang w:val="fr-FR"/>
        </w:rPr>
        <w:t>’</w:t>
      </w:r>
      <w:r w:rsidR="00EC4C5A" w:rsidRPr="000841EB">
        <w:rPr>
          <w:lang w:val="fr-FR"/>
        </w:rPr>
        <w:t>égalité à l</w:t>
      </w:r>
      <w:r w:rsidR="00474653" w:rsidRPr="000841EB">
        <w:rPr>
          <w:lang w:val="fr-FR"/>
        </w:rPr>
        <w:t>’</w:t>
      </w:r>
      <w:r w:rsidR="00EC4C5A" w:rsidRPr="000841EB">
        <w:rPr>
          <w:lang w:val="fr-FR"/>
        </w:rPr>
        <w:t>éducation, à tous les niveaux. La Cour tient également à ce qu</w:t>
      </w:r>
      <w:r w:rsidR="00474653" w:rsidRPr="000841EB">
        <w:rPr>
          <w:lang w:val="fr-FR"/>
        </w:rPr>
        <w:t>’</w:t>
      </w:r>
      <w:r w:rsidR="00EC4C5A" w:rsidRPr="000841EB">
        <w:rPr>
          <w:lang w:val="fr-FR"/>
        </w:rPr>
        <w:t>il soit pris acte qu</w:t>
      </w:r>
      <w:r w:rsidR="00474653" w:rsidRPr="000841EB">
        <w:rPr>
          <w:lang w:val="fr-FR"/>
        </w:rPr>
        <w:t>’</w:t>
      </w:r>
      <w:r w:rsidR="00EC4C5A" w:rsidRPr="000841EB">
        <w:rPr>
          <w:lang w:val="fr-FR"/>
        </w:rPr>
        <w:t>il appartient à l</w:t>
      </w:r>
      <w:r w:rsidR="00474653" w:rsidRPr="000841EB">
        <w:rPr>
          <w:lang w:val="fr-FR"/>
        </w:rPr>
        <w:t>’</w:t>
      </w:r>
      <w:r w:rsidR="00EC4C5A" w:rsidRPr="000841EB">
        <w:rPr>
          <w:lang w:val="fr-FR"/>
        </w:rPr>
        <w:t>État de veiller à la promotion, à la protection et au respect des droits fondamentaux des personnes vivant avec le VIH/sida et de prendre des mesures pour éliminer toute discrimination à leur égard</w:t>
      </w:r>
      <w:r w:rsidRPr="000841EB">
        <w:rPr>
          <w:lang w:val="fr-FR"/>
        </w:rPr>
        <w:t>.</w:t>
      </w:r>
      <w:r>
        <w:rPr>
          <w:lang w:val="fr-FR"/>
        </w:rPr>
        <w:t> ».</w:t>
      </w:r>
    </w:p>
    <w:p w:rsidR="00EC4C5A" w:rsidRPr="00CC76D1" w:rsidRDefault="00EC4C5A" w:rsidP="000910B0">
      <w:pPr>
        <w:pStyle w:val="SingleTxtG"/>
        <w:rPr>
          <w:lang w:val="fr-FR"/>
        </w:rPr>
      </w:pPr>
      <w:r w:rsidRPr="00CC76D1">
        <w:rPr>
          <w:lang w:val="fr-FR"/>
        </w:rPr>
        <w:t>12.</w:t>
      </w:r>
      <w:r w:rsidRPr="00CC76D1">
        <w:rPr>
          <w:lang w:val="fr-FR"/>
        </w:rPr>
        <w:tab/>
        <w:t>Il convient de noter que, bien avant cette affaire, un certain nombre de décisions relatives à des admissions dans des établissements scolaires et universitaires avaient été contestée devant la Cour suprême, et que celle-ci a toujours fait valoir que la jurisprudence reconnaissait le droit à l</w:t>
      </w:r>
      <w:r w:rsidR="00474653">
        <w:rPr>
          <w:lang w:val="fr-FR"/>
        </w:rPr>
        <w:t>’</w:t>
      </w:r>
      <w:r w:rsidRPr="00CC76D1">
        <w:rPr>
          <w:lang w:val="fr-FR"/>
        </w:rPr>
        <w:t>éducation au Sri Lanka</w:t>
      </w:r>
      <w:r w:rsidRPr="00903796">
        <w:rPr>
          <w:rStyle w:val="Appelnotedebasdep"/>
        </w:rPr>
        <w:footnoteReference w:id="6"/>
      </w:r>
      <w:r w:rsidR="00C0168F">
        <w:rPr>
          <w:lang w:val="fr-FR"/>
        </w:rPr>
        <w:t>.</w:t>
      </w:r>
      <w:r w:rsidRPr="00CC76D1">
        <w:rPr>
          <w:lang w:val="fr-FR"/>
        </w:rPr>
        <w:t xml:space="preserve"> Pour formuler sa décision, la Cour s</w:t>
      </w:r>
      <w:r w:rsidR="00474653">
        <w:rPr>
          <w:lang w:val="fr-FR"/>
        </w:rPr>
        <w:t>’</w:t>
      </w:r>
      <w:r w:rsidRPr="00CC76D1">
        <w:rPr>
          <w:lang w:val="fr-FR"/>
        </w:rPr>
        <w:t>est fondée sur l</w:t>
      </w:r>
      <w:r w:rsidR="00474653">
        <w:rPr>
          <w:lang w:val="fr-FR"/>
        </w:rPr>
        <w:t>’</w:t>
      </w:r>
      <w:r w:rsidRPr="00CC76D1">
        <w:rPr>
          <w:lang w:val="fr-FR"/>
        </w:rPr>
        <w:t>article 12 de la Constitution, qui garantit l</w:t>
      </w:r>
      <w:r w:rsidR="00474653">
        <w:rPr>
          <w:lang w:val="fr-FR"/>
        </w:rPr>
        <w:t>’</w:t>
      </w:r>
      <w:r w:rsidRPr="00CC76D1">
        <w:rPr>
          <w:lang w:val="fr-FR"/>
        </w:rPr>
        <w:t>égalité et la non-discrimination sans distinction de race, de religion, de langue ou de toute autre condition. Ainsi, dans l</w:t>
      </w:r>
      <w:r w:rsidR="00474653">
        <w:rPr>
          <w:lang w:val="fr-FR"/>
        </w:rPr>
        <w:t>’</w:t>
      </w:r>
      <w:r w:rsidRPr="00CC76D1">
        <w:rPr>
          <w:lang w:val="fr-FR"/>
        </w:rPr>
        <w:t xml:space="preserve">affaire </w:t>
      </w:r>
      <w:r w:rsidRPr="00CC76D1">
        <w:rPr>
          <w:i/>
          <w:lang w:val="fr-FR"/>
        </w:rPr>
        <w:t>Kavirathne v. Pushpakumara</w:t>
      </w:r>
      <w:r w:rsidRPr="00903796">
        <w:rPr>
          <w:rStyle w:val="Appelnotedebasdep"/>
        </w:rPr>
        <w:footnoteReference w:id="7"/>
      </w:r>
      <w:r w:rsidRPr="00BE4797">
        <w:rPr>
          <w:lang w:val="fr-FR"/>
        </w:rPr>
        <w:t>,</w:t>
      </w:r>
      <w:r w:rsidRPr="00CC76D1">
        <w:rPr>
          <w:i/>
          <w:lang w:val="fr-FR"/>
        </w:rPr>
        <w:t xml:space="preserve"> </w:t>
      </w:r>
      <w:r w:rsidRPr="00CC76D1">
        <w:rPr>
          <w:lang w:val="fr-FR"/>
        </w:rPr>
        <w:t>la Cour suprême a formulé les observations suivantes</w:t>
      </w:r>
      <w:r w:rsidR="00112F55">
        <w:rPr>
          <w:lang w:val="fr-FR"/>
        </w:rPr>
        <w:t xml:space="preserve"> :</w:t>
      </w:r>
    </w:p>
    <w:p w:rsidR="00EC4C5A" w:rsidRPr="00774AF7" w:rsidRDefault="000F4228" w:rsidP="00C0168F">
      <w:pPr>
        <w:pStyle w:val="SingleTxtG"/>
        <w:ind w:left="1701" w:firstLine="567"/>
        <w:rPr>
          <w:lang w:val="fr-FR"/>
        </w:rPr>
      </w:pPr>
      <w:r w:rsidRPr="00774AF7">
        <w:rPr>
          <w:lang w:val="fr-FR"/>
        </w:rPr>
        <w:t>« </w:t>
      </w:r>
      <w:r w:rsidR="00EC4C5A" w:rsidRPr="00774AF7">
        <w:rPr>
          <w:lang w:val="fr-FR"/>
        </w:rPr>
        <w:t>La formulation de l</w:t>
      </w:r>
      <w:r w:rsidR="00474653" w:rsidRPr="00774AF7">
        <w:rPr>
          <w:lang w:val="fr-FR"/>
        </w:rPr>
        <w:t>’</w:t>
      </w:r>
      <w:r w:rsidR="00EC4C5A" w:rsidRPr="00774AF7">
        <w:rPr>
          <w:lang w:val="fr-FR"/>
        </w:rPr>
        <w:t>article 26 de la Déclaration universelle des droits de l</w:t>
      </w:r>
      <w:r w:rsidR="00474653" w:rsidRPr="00774AF7">
        <w:rPr>
          <w:lang w:val="fr-FR"/>
        </w:rPr>
        <w:t>’</w:t>
      </w:r>
      <w:r w:rsidR="00EC4C5A" w:rsidRPr="00774AF7">
        <w:rPr>
          <w:lang w:val="fr-FR"/>
        </w:rPr>
        <w:t>homme illustre ce que l</w:t>
      </w:r>
      <w:r w:rsidR="00474653" w:rsidRPr="00774AF7">
        <w:rPr>
          <w:lang w:val="fr-FR"/>
        </w:rPr>
        <w:t>’</w:t>
      </w:r>
      <w:r w:rsidR="00EC4C5A" w:rsidRPr="00774AF7">
        <w:rPr>
          <w:lang w:val="fr-FR"/>
        </w:rPr>
        <w:t>on entend par droit à l</w:t>
      </w:r>
      <w:r w:rsidR="00474653" w:rsidRPr="00774AF7">
        <w:rPr>
          <w:lang w:val="fr-FR"/>
        </w:rPr>
        <w:t>’</w:t>
      </w:r>
      <w:r w:rsidR="00EC4C5A" w:rsidRPr="00774AF7">
        <w:rPr>
          <w:lang w:val="fr-FR"/>
        </w:rPr>
        <w:t>éducation. Le paragraphe premier dudi</w:t>
      </w:r>
      <w:r w:rsidR="00ED1050" w:rsidRPr="00774AF7">
        <w:rPr>
          <w:lang w:val="fr-FR"/>
        </w:rPr>
        <w:t>t article dispose ce qui suit</w:t>
      </w:r>
      <w:r w:rsidR="00112F55" w:rsidRPr="00774AF7">
        <w:rPr>
          <w:lang w:val="fr-FR"/>
        </w:rPr>
        <w:t xml:space="preserve"> :</w:t>
      </w:r>
      <w:r w:rsidR="00ED1050" w:rsidRPr="00774AF7">
        <w:rPr>
          <w:lang w:val="fr-FR"/>
        </w:rPr>
        <w:t xml:space="preserve"> “</w:t>
      </w:r>
      <w:r w:rsidR="00EC4C5A" w:rsidRPr="00774AF7">
        <w:rPr>
          <w:lang w:val="fr-FR"/>
        </w:rPr>
        <w:t>Toute personne a droit à l</w:t>
      </w:r>
      <w:r w:rsidR="00474653" w:rsidRPr="00774AF7">
        <w:rPr>
          <w:lang w:val="fr-FR"/>
        </w:rPr>
        <w:t>’</w:t>
      </w:r>
      <w:r w:rsidR="00EC4C5A" w:rsidRPr="00774AF7">
        <w:rPr>
          <w:lang w:val="fr-FR"/>
        </w:rPr>
        <w:t>éducation. L</w:t>
      </w:r>
      <w:r w:rsidR="00474653" w:rsidRPr="00774AF7">
        <w:rPr>
          <w:lang w:val="fr-FR"/>
        </w:rPr>
        <w:t>’</w:t>
      </w:r>
      <w:r w:rsidR="00EC4C5A" w:rsidRPr="00774AF7">
        <w:rPr>
          <w:lang w:val="fr-FR"/>
        </w:rPr>
        <w:t>éducation doit être gratuite, au moins en ce qui concerne l</w:t>
      </w:r>
      <w:r w:rsidR="00474653" w:rsidRPr="00774AF7">
        <w:rPr>
          <w:lang w:val="fr-FR"/>
        </w:rPr>
        <w:t>’</w:t>
      </w:r>
      <w:r w:rsidR="00EC4C5A" w:rsidRPr="00774AF7">
        <w:rPr>
          <w:lang w:val="fr-FR"/>
        </w:rPr>
        <w:t>enseignement élémentaire et fondamental. L</w:t>
      </w:r>
      <w:r w:rsidR="00474653" w:rsidRPr="00774AF7">
        <w:rPr>
          <w:lang w:val="fr-FR"/>
        </w:rPr>
        <w:t>’</w:t>
      </w:r>
      <w:r w:rsidR="00EC4C5A" w:rsidRPr="00774AF7">
        <w:rPr>
          <w:lang w:val="fr-FR"/>
        </w:rPr>
        <w:t>enseignement élémentaire est obligatoire. L</w:t>
      </w:r>
      <w:r w:rsidR="00474653" w:rsidRPr="00774AF7">
        <w:rPr>
          <w:lang w:val="fr-FR"/>
        </w:rPr>
        <w:t>’</w:t>
      </w:r>
      <w:r w:rsidR="00EC4C5A" w:rsidRPr="00774AF7">
        <w:rPr>
          <w:lang w:val="fr-FR"/>
        </w:rPr>
        <w:t>enseignement technique et professionnel doit être généralisé</w:t>
      </w:r>
      <w:r w:rsidR="00112F55" w:rsidRPr="00774AF7">
        <w:rPr>
          <w:lang w:val="fr-FR"/>
        </w:rPr>
        <w:t xml:space="preserve"> ;</w:t>
      </w:r>
      <w:r w:rsidR="00EC4C5A" w:rsidRPr="00774AF7">
        <w:rPr>
          <w:lang w:val="fr-FR"/>
        </w:rPr>
        <w:t xml:space="preserve"> l</w:t>
      </w:r>
      <w:r w:rsidR="00474653" w:rsidRPr="00774AF7">
        <w:rPr>
          <w:lang w:val="fr-FR"/>
        </w:rPr>
        <w:t>’</w:t>
      </w:r>
      <w:r w:rsidR="00EC4C5A" w:rsidRPr="00774AF7">
        <w:rPr>
          <w:lang w:val="fr-FR"/>
        </w:rPr>
        <w:t xml:space="preserve">accès aux études supérieures doit être ouvert en pleine égalité à </w:t>
      </w:r>
      <w:r w:rsidR="00ED1050" w:rsidRPr="00774AF7">
        <w:rPr>
          <w:lang w:val="fr-FR"/>
        </w:rPr>
        <w:t>tous en fonction de leur mérite”</w:t>
      </w:r>
      <w:r w:rsidRPr="00774AF7">
        <w:rPr>
          <w:lang w:val="fr-FR"/>
        </w:rPr>
        <w:t xml:space="preserve"> (Non souligné dans le texte).</w:t>
      </w:r>
    </w:p>
    <w:p w:rsidR="00EC4C5A" w:rsidRPr="00774AF7" w:rsidRDefault="00EC4C5A" w:rsidP="00C0168F">
      <w:pPr>
        <w:pStyle w:val="SingleTxtG"/>
        <w:ind w:left="1701" w:firstLine="567"/>
        <w:rPr>
          <w:lang w:val="fr-FR"/>
        </w:rPr>
      </w:pPr>
      <w:r w:rsidRPr="00774AF7">
        <w:rPr>
          <w:lang w:val="fr-FR"/>
        </w:rPr>
        <w:t>Bien que l</w:t>
      </w:r>
      <w:r w:rsidR="00474653" w:rsidRPr="00774AF7">
        <w:rPr>
          <w:lang w:val="fr-FR"/>
        </w:rPr>
        <w:t>’</w:t>
      </w:r>
      <w:r w:rsidRPr="00774AF7">
        <w:rPr>
          <w:lang w:val="fr-FR"/>
        </w:rPr>
        <w:t>alinéa h</w:t>
      </w:r>
      <w:r w:rsidR="006179A8" w:rsidRPr="00774AF7">
        <w:rPr>
          <w:lang w:val="fr-FR"/>
        </w:rPr>
        <w:t>)</w:t>
      </w:r>
      <w:r w:rsidRPr="00774AF7">
        <w:rPr>
          <w:lang w:val="fr-FR"/>
        </w:rPr>
        <w:t xml:space="preserve"> du paragraphe 2 de l</w:t>
      </w:r>
      <w:r w:rsidR="00474653" w:rsidRPr="00774AF7">
        <w:rPr>
          <w:lang w:val="fr-FR"/>
        </w:rPr>
        <w:t>’</w:t>
      </w:r>
      <w:r w:rsidRPr="00774AF7">
        <w:rPr>
          <w:lang w:val="fr-FR"/>
        </w:rPr>
        <w:t>article 27 prévoie l</w:t>
      </w:r>
      <w:r w:rsidR="00474653" w:rsidRPr="00774AF7">
        <w:rPr>
          <w:lang w:val="fr-FR"/>
        </w:rPr>
        <w:t>’</w:t>
      </w:r>
      <w:r w:rsidRPr="00774AF7">
        <w:rPr>
          <w:lang w:val="fr-FR"/>
        </w:rPr>
        <w:t>éradication complète de l</w:t>
      </w:r>
      <w:r w:rsidR="00474653" w:rsidRPr="00774AF7">
        <w:rPr>
          <w:lang w:val="fr-FR"/>
        </w:rPr>
        <w:t>’</w:t>
      </w:r>
      <w:r w:rsidRPr="00774AF7">
        <w:rPr>
          <w:lang w:val="fr-FR"/>
        </w:rPr>
        <w:t>analphabétisme et le droit à un accès universel et dans des conditions d</w:t>
      </w:r>
      <w:r w:rsidR="00474653" w:rsidRPr="00774AF7">
        <w:rPr>
          <w:lang w:val="fr-FR"/>
        </w:rPr>
        <w:t>’</w:t>
      </w:r>
      <w:r w:rsidRPr="00774AF7">
        <w:rPr>
          <w:lang w:val="fr-FR"/>
        </w:rPr>
        <w:t>égalité à l</w:t>
      </w:r>
      <w:r w:rsidR="00474653" w:rsidRPr="00774AF7">
        <w:rPr>
          <w:lang w:val="fr-FR"/>
        </w:rPr>
        <w:t>’</w:t>
      </w:r>
      <w:r w:rsidRPr="00774AF7">
        <w:rPr>
          <w:lang w:val="fr-FR"/>
        </w:rPr>
        <w:t>éducation, à tous les niveaux, le droit à l</w:t>
      </w:r>
      <w:r w:rsidR="00474653" w:rsidRPr="00774AF7">
        <w:rPr>
          <w:lang w:val="fr-FR"/>
        </w:rPr>
        <w:t>’</w:t>
      </w:r>
      <w:r w:rsidRPr="00774AF7">
        <w:rPr>
          <w:lang w:val="fr-FR"/>
        </w:rPr>
        <w:t>éducation est garanti par les principes directeurs de la politique de l</w:t>
      </w:r>
      <w:r w:rsidR="00474653" w:rsidRPr="00774AF7">
        <w:rPr>
          <w:lang w:val="fr-FR"/>
        </w:rPr>
        <w:t>’</w:t>
      </w:r>
      <w:r w:rsidRPr="00774AF7">
        <w:rPr>
          <w:lang w:val="fr-FR"/>
        </w:rPr>
        <w:t>État. Cependant, le paragraphe 1 de l</w:t>
      </w:r>
      <w:r w:rsidR="00474653" w:rsidRPr="00774AF7">
        <w:rPr>
          <w:lang w:val="fr-FR"/>
        </w:rPr>
        <w:t>’</w:t>
      </w:r>
      <w:r w:rsidR="00F17A40">
        <w:rPr>
          <w:lang w:val="fr-FR"/>
        </w:rPr>
        <w:t>article </w:t>
      </w:r>
      <w:r w:rsidRPr="00774AF7">
        <w:rPr>
          <w:lang w:val="fr-FR"/>
        </w:rPr>
        <w:t>12, qui traite du droit à l</w:t>
      </w:r>
      <w:r w:rsidR="00474653" w:rsidRPr="00774AF7">
        <w:rPr>
          <w:lang w:val="fr-FR"/>
        </w:rPr>
        <w:t>’</w:t>
      </w:r>
      <w:r w:rsidRPr="00774AF7">
        <w:rPr>
          <w:lang w:val="fr-FR"/>
        </w:rPr>
        <w:t>égalité, dispose que toutes les personnes sont égales devant la loi et ont droit à une égale protection de la loi. La présente Cour a donc plusieurs fois confirmé le droit à l</w:t>
      </w:r>
      <w:r w:rsidR="00474653" w:rsidRPr="00774AF7">
        <w:rPr>
          <w:lang w:val="fr-FR"/>
        </w:rPr>
        <w:t>’</w:t>
      </w:r>
      <w:r w:rsidRPr="00774AF7">
        <w:rPr>
          <w:lang w:val="fr-FR"/>
        </w:rPr>
        <w:t>éducation en application du paragraphe 1 de l</w:t>
      </w:r>
      <w:r w:rsidR="00474653" w:rsidRPr="00774AF7">
        <w:rPr>
          <w:lang w:val="fr-FR"/>
        </w:rPr>
        <w:t>’</w:t>
      </w:r>
      <w:r w:rsidRPr="00774AF7">
        <w:rPr>
          <w:lang w:val="fr-FR"/>
        </w:rPr>
        <w:t xml:space="preserve">article 12 de la Constitution. </w:t>
      </w:r>
    </w:p>
    <w:p w:rsidR="00EC4C5A" w:rsidRPr="00CC76D1" w:rsidRDefault="00EC4C5A" w:rsidP="00C0168F">
      <w:pPr>
        <w:pStyle w:val="SingleTxtG"/>
        <w:ind w:left="1701" w:firstLine="567"/>
        <w:rPr>
          <w:i/>
          <w:lang w:val="fr-FR"/>
        </w:rPr>
      </w:pPr>
      <w:r w:rsidRPr="00774AF7">
        <w:rPr>
          <w:lang w:val="fr-FR"/>
        </w:rPr>
        <w:t>Dans plusieurs de ses décisions, la Cour suprême a statué sur l</w:t>
      </w:r>
      <w:r w:rsidR="00474653" w:rsidRPr="00774AF7">
        <w:rPr>
          <w:lang w:val="fr-FR"/>
        </w:rPr>
        <w:t>’</w:t>
      </w:r>
      <w:r w:rsidRPr="00774AF7">
        <w:rPr>
          <w:lang w:val="fr-FR"/>
        </w:rPr>
        <w:t>admission d</w:t>
      </w:r>
      <w:r w:rsidR="00474653" w:rsidRPr="00774AF7">
        <w:rPr>
          <w:lang w:val="fr-FR"/>
        </w:rPr>
        <w:t>’</w:t>
      </w:r>
      <w:r w:rsidRPr="00774AF7">
        <w:rPr>
          <w:lang w:val="fr-FR"/>
        </w:rPr>
        <w:t>enfants dans des écoles publiques ou d</w:t>
      </w:r>
      <w:r w:rsidR="00474653" w:rsidRPr="00774AF7">
        <w:rPr>
          <w:lang w:val="fr-FR"/>
        </w:rPr>
        <w:t>’</w:t>
      </w:r>
      <w:r w:rsidRPr="00774AF7">
        <w:rPr>
          <w:lang w:val="fr-FR"/>
        </w:rPr>
        <w:t>étudiants dans différentes facultés des universités nationales. Par conséquent, bien qu</w:t>
      </w:r>
      <w:r w:rsidR="00474653" w:rsidRPr="00774AF7">
        <w:rPr>
          <w:lang w:val="fr-FR"/>
        </w:rPr>
        <w:t>’</w:t>
      </w:r>
      <w:r w:rsidRPr="00774AF7">
        <w:rPr>
          <w:lang w:val="fr-FR"/>
        </w:rPr>
        <w:t>il n</w:t>
      </w:r>
      <w:r w:rsidR="00474653" w:rsidRPr="00774AF7">
        <w:rPr>
          <w:lang w:val="fr-FR"/>
        </w:rPr>
        <w:t>’</w:t>
      </w:r>
      <w:r w:rsidRPr="00774AF7">
        <w:rPr>
          <w:lang w:val="fr-FR"/>
        </w:rPr>
        <w:t>existe pas dans notre Constitution de disposition spécifique concernant le droit à l</w:t>
      </w:r>
      <w:r w:rsidR="00474653" w:rsidRPr="00774AF7">
        <w:rPr>
          <w:lang w:val="fr-FR"/>
        </w:rPr>
        <w:t>’</w:t>
      </w:r>
      <w:r w:rsidRPr="00774AF7">
        <w:rPr>
          <w:lang w:val="fr-FR"/>
        </w:rPr>
        <w:t>éducation, comme celle figurant dans la Déclaration universelle des droits de l</w:t>
      </w:r>
      <w:r w:rsidR="00474653" w:rsidRPr="00774AF7">
        <w:rPr>
          <w:lang w:val="fr-FR"/>
        </w:rPr>
        <w:t>’</w:t>
      </w:r>
      <w:r w:rsidRPr="00774AF7">
        <w:rPr>
          <w:lang w:val="fr-FR"/>
        </w:rPr>
        <w:t xml:space="preserve">homme, ce droit a été accepté </w:t>
      </w:r>
      <w:r w:rsidRPr="00774AF7">
        <w:rPr>
          <w:lang w:val="fr-FR"/>
        </w:rPr>
        <w:lastRenderedPageBreak/>
        <w:t>et reconnu par nos tribunaux sur la base des dispositions énoncées au paragraphe 1 de l</w:t>
      </w:r>
      <w:r w:rsidR="00474653" w:rsidRPr="00774AF7">
        <w:rPr>
          <w:lang w:val="fr-FR"/>
        </w:rPr>
        <w:t>’</w:t>
      </w:r>
      <w:r w:rsidRPr="00774AF7">
        <w:rPr>
          <w:lang w:val="fr-FR"/>
        </w:rPr>
        <w:t>article 12 de la Constitution</w:t>
      </w:r>
      <w:r w:rsidR="006179A8" w:rsidRPr="00774AF7">
        <w:rPr>
          <w:lang w:val="fr-FR"/>
        </w:rPr>
        <w:t>.</w:t>
      </w:r>
      <w:r w:rsidR="006179A8">
        <w:rPr>
          <w:lang w:val="fr-FR"/>
        </w:rPr>
        <w:t> ».</w:t>
      </w:r>
    </w:p>
    <w:p w:rsidR="00EC4C5A" w:rsidRPr="00CC76D1" w:rsidRDefault="00EC4C5A" w:rsidP="006179A8">
      <w:pPr>
        <w:pStyle w:val="SingleTxtG"/>
        <w:rPr>
          <w:lang w:val="fr-FR"/>
        </w:rPr>
      </w:pPr>
      <w:r w:rsidRPr="00CC76D1">
        <w:rPr>
          <w:lang w:val="fr-FR"/>
        </w:rPr>
        <w:t>13.</w:t>
      </w:r>
      <w:r w:rsidRPr="00CC76D1">
        <w:rPr>
          <w:lang w:val="fr-FR"/>
        </w:rPr>
        <w:tab/>
        <w:t>Outre la magistrature, l</w:t>
      </w:r>
      <w:r w:rsidR="00474653">
        <w:rPr>
          <w:lang w:val="fr-FR"/>
        </w:rPr>
        <w:t>’</w:t>
      </w:r>
      <w:r w:rsidRPr="00CC76D1">
        <w:rPr>
          <w:lang w:val="fr-FR"/>
        </w:rPr>
        <w:t>éducation aux droits de l</w:t>
      </w:r>
      <w:r w:rsidR="00474653">
        <w:rPr>
          <w:lang w:val="fr-FR"/>
        </w:rPr>
        <w:t>’</w:t>
      </w:r>
      <w:r w:rsidRPr="00CC76D1">
        <w:rPr>
          <w:lang w:val="fr-FR"/>
        </w:rPr>
        <w:t>homme fait également partie de la formation dispensée à tous les responsables des forces de l</w:t>
      </w:r>
      <w:r w:rsidR="00474653">
        <w:rPr>
          <w:lang w:val="fr-FR"/>
        </w:rPr>
        <w:t>’</w:t>
      </w:r>
      <w:r w:rsidRPr="00CC76D1">
        <w:rPr>
          <w:lang w:val="fr-FR"/>
        </w:rPr>
        <w:t xml:space="preserve">ordre, des militaires et du personnel pénitentiaire. Ils sont aussi enseignés aux agents </w:t>
      </w:r>
      <w:r w:rsidR="00DB555D">
        <w:rPr>
          <w:lang w:val="fr-FR"/>
        </w:rPr>
        <w:t xml:space="preserve">de </w:t>
      </w:r>
      <w:r w:rsidRPr="00CC76D1">
        <w:rPr>
          <w:lang w:val="fr-FR"/>
        </w:rPr>
        <w:t>police, lorsqu</w:t>
      </w:r>
      <w:r w:rsidR="00474653">
        <w:rPr>
          <w:lang w:val="fr-FR"/>
        </w:rPr>
        <w:t>’</w:t>
      </w:r>
      <w:r w:rsidRPr="00CC76D1">
        <w:rPr>
          <w:lang w:val="fr-FR"/>
        </w:rPr>
        <w:t>ils sont recrutés, promus et tout au long de leur carrière. Les principales conventions relatives aux droits de l</w:t>
      </w:r>
      <w:r w:rsidR="00474653">
        <w:rPr>
          <w:lang w:val="fr-FR"/>
        </w:rPr>
        <w:t>’</w:t>
      </w:r>
      <w:r w:rsidRPr="00CC76D1">
        <w:rPr>
          <w:lang w:val="fr-FR"/>
        </w:rPr>
        <w:t>homme, dont le Pacte international relatif aux droits économiques, sociaux et culturels, occupent une place importante dans les programmes de formation dispensés aux membres des forces armées et de la police. Des experts, des profession</w:t>
      </w:r>
      <w:r w:rsidR="006179A8">
        <w:rPr>
          <w:lang w:val="fr-FR"/>
        </w:rPr>
        <w:t>nels et des universitaires, sri</w:t>
      </w:r>
      <w:r w:rsidR="006179A8">
        <w:rPr>
          <w:lang w:val="fr-FR"/>
        </w:rPr>
        <w:noBreakHyphen/>
      </w:r>
      <w:r w:rsidRPr="00CC76D1">
        <w:rPr>
          <w:lang w:val="fr-FR"/>
        </w:rPr>
        <w:t>lankais ou étrangers, sont régulièrement invités à participer aux activités d</w:t>
      </w:r>
      <w:r w:rsidR="00474653">
        <w:rPr>
          <w:lang w:val="fr-FR"/>
        </w:rPr>
        <w:t>’</w:t>
      </w:r>
      <w:r w:rsidRPr="00CC76D1">
        <w:rPr>
          <w:lang w:val="fr-FR"/>
        </w:rPr>
        <w:t>enseignement et de formation. De même, les droits de l</w:t>
      </w:r>
      <w:r w:rsidR="00474653">
        <w:rPr>
          <w:lang w:val="fr-FR"/>
        </w:rPr>
        <w:t>’</w:t>
      </w:r>
      <w:r w:rsidRPr="00CC76D1">
        <w:rPr>
          <w:lang w:val="fr-FR"/>
        </w:rPr>
        <w:t>homme sont une composante primordiale des programmes universitaires de l</w:t>
      </w:r>
      <w:r w:rsidR="00474653">
        <w:rPr>
          <w:lang w:val="fr-FR"/>
        </w:rPr>
        <w:t>’</w:t>
      </w:r>
      <w:r w:rsidRPr="00CC76D1">
        <w:rPr>
          <w:lang w:val="fr-FR"/>
        </w:rPr>
        <w:t>institution militaire délivrant des diplômes de l</w:t>
      </w:r>
      <w:r w:rsidR="00474653">
        <w:rPr>
          <w:lang w:val="fr-FR"/>
        </w:rPr>
        <w:t>’</w:t>
      </w:r>
      <w:r w:rsidRPr="00CC76D1">
        <w:rPr>
          <w:lang w:val="fr-FR"/>
        </w:rPr>
        <w:t xml:space="preserve">enseignement supérieur </w:t>
      </w:r>
      <w:r w:rsidR="00BE4797">
        <w:rPr>
          <w:lang w:val="fr-FR"/>
        </w:rPr>
        <w:t>− </w:t>
      </w:r>
      <w:r w:rsidRPr="00CC76D1">
        <w:rPr>
          <w:lang w:val="fr-FR"/>
        </w:rPr>
        <w:t>l</w:t>
      </w:r>
      <w:r w:rsidR="00474653">
        <w:rPr>
          <w:lang w:val="fr-FR"/>
        </w:rPr>
        <w:t>’</w:t>
      </w:r>
      <w:r w:rsidR="00BE4797">
        <w:rPr>
          <w:lang w:val="fr-FR"/>
        </w:rPr>
        <w:t>Université militaire Kotalawala −</w:t>
      </w:r>
      <w:r w:rsidRPr="00CC76D1">
        <w:rPr>
          <w:lang w:val="fr-FR"/>
        </w:rPr>
        <w:t xml:space="preserve"> où de nombreux cadets suivent des études. </w:t>
      </w:r>
    </w:p>
    <w:p w:rsidR="00EC4C5A" w:rsidRPr="00CC76D1" w:rsidRDefault="00EC4C5A" w:rsidP="006179A8">
      <w:pPr>
        <w:pStyle w:val="H1G"/>
        <w:rPr>
          <w:lang w:val="fr-FR"/>
        </w:rPr>
      </w:pPr>
      <w:r w:rsidRPr="00CC76D1">
        <w:rPr>
          <w:lang w:val="fr-FR"/>
        </w:rPr>
        <w:tab/>
        <w:t>3.</w:t>
      </w:r>
      <w:r w:rsidRPr="00CC76D1">
        <w:rPr>
          <w:lang w:val="fr-FR"/>
        </w:rPr>
        <w:tab/>
        <w:t>Mise en œuvre du P</w:t>
      </w:r>
      <w:r w:rsidR="006179A8">
        <w:rPr>
          <w:lang w:val="fr-FR"/>
        </w:rPr>
        <w:t>lan d</w:t>
      </w:r>
      <w:r w:rsidR="00474653">
        <w:rPr>
          <w:lang w:val="fr-FR"/>
        </w:rPr>
        <w:t>’</w:t>
      </w:r>
      <w:r w:rsidR="006179A8">
        <w:rPr>
          <w:lang w:val="fr-FR"/>
        </w:rPr>
        <w:t>action national en faveur</w:t>
      </w:r>
      <w:r w:rsidR="006179A8">
        <w:rPr>
          <w:lang w:val="fr-FR"/>
        </w:rPr>
        <w:br/>
      </w:r>
      <w:r w:rsidRPr="00CC76D1">
        <w:rPr>
          <w:lang w:val="fr-FR"/>
        </w:rPr>
        <w:t>des droits de l</w:t>
      </w:r>
      <w:r w:rsidR="00474653">
        <w:rPr>
          <w:lang w:val="fr-FR"/>
        </w:rPr>
        <w:t>’</w:t>
      </w:r>
      <w:r w:rsidRPr="00CC76D1">
        <w:rPr>
          <w:lang w:val="fr-FR"/>
        </w:rPr>
        <w:t>homme (2011-2016)</w:t>
      </w:r>
    </w:p>
    <w:p w:rsidR="00EC4C5A" w:rsidRPr="00CC76D1" w:rsidRDefault="00EC4C5A" w:rsidP="006179A8">
      <w:pPr>
        <w:pStyle w:val="SingleTxtG"/>
        <w:rPr>
          <w:lang w:val="fr-FR"/>
        </w:rPr>
      </w:pPr>
      <w:r w:rsidRPr="00CC76D1">
        <w:rPr>
          <w:lang w:val="fr-FR"/>
        </w:rPr>
        <w:t>14.</w:t>
      </w:r>
      <w:r w:rsidRPr="00CC76D1">
        <w:rPr>
          <w:lang w:val="fr-FR"/>
        </w:rPr>
        <w:tab/>
        <w:t>La mise en œuvre du Plan d</w:t>
      </w:r>
      <w:r w:rsidR="00474653">
        <w:rPr>
          <w:lang w:val="fr-FR"/>
        </w:rPr>
        <w:t>’</w:t>
      </w:r>
      <w:r w:rsidRPr="00CC76D1">
        <w:rPr>
          <w:lang w:val="fr-FR"/>
        </w:rPr>
        <w:t>action national en faveur des droits de l</w:t>
      </w:r>
      <w:r w:rsidR="00474653">
        <w:rPr>
          <w:lang w:val="fr-FR"/>
        </w:rPr>
        <w:t>’</w:t>
      </w:r>
      <w:r w:rsidRPr="00CC76D1">
        <w:rPr>
          <w:lang w:val="fr-FR"/>
        </w:rPr>
        <w:t>homme pour la période 2011-2016 n</w:t>
      </w:r>
      <w:r w:rsidR="00474653">
        <w:rPr>
          <w:lang w:val="fr-FR"/>
        </w:rPr>
        <w:t>’</w:t>
      </w:r>
      <w:r w:rsidRPr="00CC76D1">
        <w:rPr>
          <w:lang w:val="fr-FR"/>
        </w:rPr>
        <w:t>a pas été évaluée. Néanmoins, il ressort d</w:t>
      </w:r>
      <w:r w:rsidR="00474653">
        <w:rPr>
          <w:lang w:val="fr-FR"/>
        </w:rPr>
        <w:t>’</w:t>
      </w:r>
      <w:r w:rsidRPr="00CC76D1">
        <w:rPr>
          <w:lang w:val="fr-FR"/>
        </w:rPr>
        <w:t>une étude réalisée lors de l</w:t>
      </w:r>
      <w:r w:rsidR="00474653">
        <w:rPr>
          <w:lang w:val="fr-FR"/>
        </w:rPr>
        <w:t>’</w:t>
      </w:r>
      <w:r w:rsidRPr="00CC76D1">
        <w:rPr>
          <w:lang w:val="fr-FR"/>
        </w:rPr>
        <w:t>élaboration du Plan d</w:t>
      </w:r>
      <w:r w:rsidR="00474653">
        <w:rPr>
          <w:lang w:val="fr-FR"/>
        </w:rPr>
        <w:t>’</w:t>
      </w:r>
      <w:r w:rsidRPr="00CC76D1">
        <w:rPr>
          <w:lang w:val="fr-FR"/>
        </w:rPr>
        <w:t>action national pour la période 2017-2021, que la promulgation d</w:t>
      </w:r>
      <w:r w:rsidR="00474653">
        <w:rPr>
          <w:lang w:val="fr-FR"/>
        </w:rPr>
        <w:t>’</w:t>
      </w:r>
      <w:r w:rsidRPr="00CC76D1">
        <w:rPr>
          <w:lang w:val="fr-FR"/>
        </w:rPr>
        <w:t>un certain nombre de réformes législatives et la mise en œuvre de diverses mesures visant à garantir une bonne gouvernance, l</w:t>
      </w:r>
      <w:r w:rsidR="00474653">
        <w:rPr>
          <w:lang w:val="fr-FR"/>
        </w:rPr>
        <w:t>’</w:t>
      </w:r>
      <w:r w:rsidRPr="00CC76D1">
        <w:rPr>
          <w:lang w:val="fr-FR"/>
        </w:rPr>
        <w:t>état de droit et les droits de l</w:t>
      </w:r>
      <w:r w:rsidR="00474653">
        <w:rPr>
          <w:lang w:val="fr-FR"/>
        </w:rPr>
        <w:t>’</w:t>
      </w:r>
      <w:r w:rsidRPr="00CC76D1">
        <w:rPr>
          <w:lang w:val="fr-FR"/>
        </w:rPr>
        <w:t>homme après 2015 (c</w:t>
      </w:r>
      <w:r w:rsidR="00474653">
        <w:rPr>
          <w:lang w:val="fr-FR"/>
        </w:rPr>
        <w:t>’</w:t>
      </w:r>
      <w:r w:rsidR="00BE4797">
        <w:rPr>
          <w:lang w:val="fr-FR"/>
        </w:rPr>
        <w:t>est</w:t>
      </w:r>
      <w:r w:rsidR="00BE4797">
        <w:rPr>
          <w:lang w:val="fr-FR"/>
        </w:rPr>
        <w:noBreakHyphen/>
      </w:r>
      <w:r w:rsidRPr="00CC76D1">
        <w:rPr>
          <w:lang w:val="fr-FR"/>
        </w:rPr>
        <w:t>à-dire après la formation de l</w:t>
      </w:r>
      <w:r w:rsidR="00474653">
        <w:rPr>
          <w:lang w:val="fr-FR"/>
        </w:rPr>
        <w:t>’</w:t>
      </w:r>
      <w:r w:rsidRPr="00CC76D1">
        <w:rPr>
          <w:lang w:val="fr-FR"/>
        </w:rPr>
        <w:t>actuel Gouvernement d</w:t>
      </w:r>
      <w:r w:rsidR="00474653">
        <w:rPr>
          <w:lang w:val="fr-FR"/>
        </w:rPr>
        <w:t>’</w:t>
      </w:r>
      <w:r w:rsidRPr="00CC76D1">
        <w:rPr>
          <w:lang w:val="fr-FR"/>
        </w:rPr>
        <w:t>union nationale), ont permis, au cours des deux dernières années, de donner suite à la majorité des points d</w:t>
      </w:r>
      <w:r w:rsidR="00474653">
        <w:rPr>
          <w:lang w:val="fr-FR"/>
        </w:rPr>
        <w:t>’</w:t>
      </w:r>
      <w:r w:rsidRPr="00CC76D1">
        <w:rPr>
          <w:lang w:val="fr-FR"/>
        </w:rPr>
        <w:t>action du plan pour la période 2011-2016 qui n</w:t>
      </w:r>
      <w:r w:rsidR="00474653">
        <w:rPr>
          <w:lang w:val="fr-FR"/>
        </w:rPr>
        <w:t>’</w:t>
      </w:r>
      <w:r w:rsidRPr="00CC76D1">
        <w:rPr>
          <w:lang w:val="fr-FR"/>
        </w:rPr>
        <w:t>avaient pas été suivis d</w:t>
      </w:r>
      <w:r w:rsidR="00474653">
        <w:rPr>
          <w:lang w:val="fr-FR"/>
        </w:rPr>
        <w:t>’</w:t>
      </w:r>
      <w:r w:rsidRPr="00CC76D1">
        <w:rPr>
          <w:lang w:val="fr-FR"/>
        </w:rPr>
        <w:t xml:space="preserve">effet. </w:t>
      </w:r>
    </w:p>
    <w:p w:rsidR="00EC4C5A" w:rsidRPr="00CC76D1" w:rsidRDefault="00EC4C5A" w:rsidP="006179A8">
      <w:pPr>
        <w:pStyle w:val="SingleTxtG"/>
        <w:rPr>
          <w:lang w:val="fr-FR"/>
        </w:rPr>
      </w:pPr>
      <w:r w:rsidRPr="00CC76D1">
        <w:rPr>
          <w:lang w:val="fr-FR"/>
        </w:rPr>
        <w:t>15.</w:t>
      </w:r>
      <w:r w:rsidRPr="00CC76D1">
        <w:rPr>
          <w:lang w:val="fr-FR"/>
        </w:rPr>
        <w:tab/>
        <w:t>Le Gouvernement a adopté un plan d</w:t>
      </w:r>
      <w:r w:rsidR="00474653">
        <w:rPr>
          <w:lang w:val="fr-FR"/>
        </w:rPr>
        <w:t>’</w:t>
      </w:r>
      <w:r w:rsidRPr="00CC76D1">
        <w:rPr>
          <w:lang w:val="fr-FR"/>
        </w:rPr>
        <w:t>action national en faveur des droits de l</w:t>
      </w:r>
      <w:r w:rsidR="00474653">
        <w:rPr>
          <w:lang w:val="fr-FR"/>
        </w:rPr>
        <w:t>’</w:t>
      </w:r>
      <w:r w:rsidRPr="00CC76D1">
        <w:rPr>
          <w:lang w:val="fr-FR"/>
        </w:rPr>
        <w:t>homme pour la période 2017-2021 en janvier 2017 afin de mettre en œuvre les dispositions du plan 2011-2016 qui n</w:t>
      </w:r>
      <w:r w:rsidR="00474653">
        <w:rPr>
          <w:lang w:val="fr-FR"/>
        </w:rPr>
        <w:t>’</w:t>
      </w:r>
      <w:r w:rsidRPr="00CC76D1">
        <w:rPr>
          <w:lang w:val="fr-FR"/>
        </w:rPr>
        <w:t>avaient pas été suivies d</w:t>
      </w:r>
      <w:r w:rsidR="00474653">
        <w:rPr>
          <w:lang w:val="fr-FR"/>
        </w:rPr>
        <w:t>’</w:t>
      </w:r>
      <w:r w:rsidRPr="00CC76D1">
        <w:rPr>
          <w:lang w:val="fr-FR"/>
        </w:rPr>
        <w:t>effet et d</w:t>
      </w:r>
      <w:r w:rsidR="00474653">
        <w:rPr>
          <w:lang w:val="fr-FR"/>
        </w:rPr>
        <w:t>’</w:t>
      </w:r>
      <w:r w:rsidRPr="00CC76D1">
        <w:rPr>
          <w:lang w:val="fr-FR"/>
        </w:rPr>
        <w:t>intensifier les mesures visant à protéger et à promouvoir les droits de l</w:t>
      </w:r>
      <w:r w:rsidR="00474653">
        <w:rPr>
          <w:lang w:val="fr-FR"/>
        </w:rPr>
        <w:t>’</w:t>
      </w:r>
      <w:r w:rsidRPr="00CC76D1">
        <w:rPr>
          <w:lang w:val="fr-FR"/>
        </w:rPr>
        <w:t>homme. Conformément à ce qui a déjà été indiqué, ce plan d</w:t>
      </w:r>
      <w:r w:rsidR="00474653">
        <w:rPr>
          <w:lang w:val="fr-FR"/>
        </w:rPr>
        <w:t>’</w:t>
      </w:r>
      <w:r w:rsidRPr="00CC76D1">
        <w:rPr>
          <w:lang w:val="fr-FR"/>
        </w:rPr>
        <w:t>action, élaboré à l</w:t>
      </w:r>
      <w:r w:rsidR="00474653">
        <w:rPr>
          <w:lang w:val="fr-FR"/>
        </w:rPr>
        <w:t>’</w:t>
      </w:r>
      <w:r w:rsidRPr="00CC76D1">
        <w:rPr>
          <w:lang w:val="fr-FR"/>
        </w:rPr>
        <w:t>issue de vastes consultations ouvertes aux organismes publics, ainsi qu</w:t>
      </w:r>
      <w:r w:rsidR="00474653">
        <w:rPr>
          <w:lang w:val="fr-FR"/>
        </w:rPr>
        <w:t>’</w:t>
      </w:r>
      <w:r w:rsidRPr="00CC76D1">
        <w:rPr>
          <w:lang w:val="fr-FR"/>
        </w:rPr>
        <w:t>aux membres de la société civile et du public, comporte un chapitre détaillé sur les droits économiques, sociaux et culturels énonçant les mesures progressives et réalistes qui seront mis en œuvre au cours des cinq proch</w:t>
      </w:r>
      <w:r w:rsidR="00BE4797">
        <w:rPr>
          <w:lang w:val="fr-FR"/>
        </w:rPr>
        <w:t>aines années. Le </w:t>
      </w:r>
      <w:r w:rsidRPr="00CC76D1">
        <w:rPr>
          <w:lang w:val="fr-FR"/>
        </w:rPr>
        <w:t>chapitre du Plan d</w:t>
      </w:r>
      <w:r w:rsidR="00474653">
        <w:rPr>
          <w:lang w:val="fr-FR"/>
        </w:rPr>
        <w:t>’</w:t>
      </w:r>
      <w:r w:rsidRPr="00CC76D1">
        <w:rPr>
          <w:lang w:val="fr-FR"/>
        </w:rPr>
        <w:t>action national en faveur des droits de l</w:t>
      </w:r>
      <w:r w:rsidR="00474653">
        <w:rPr>
          <w:lang w:val="fr-FR"/>
        </w:rPr>
        <w:t>’</w:t>
      </w:r>
      <w:r w:rsidRPr="00CC76D1">
        <w:rPr>
          <w:lang w:val="fr-FR"/>
        </w:rPr>
        <w:t xml:space="preserve">homme 2017-2021 consacré aux droits économiques, sociaux et culturels figure à </w:t>
      </w:r>
      <w:r w:rsidRPr="00CC76D1">
        <w:rPr>
          <w:b/>
          <w:lang w:val="fr-FR"/>
        </w:rPr>
        <w:t>l</w:t>
      </w:r>
      <w:r w:rsidR="00474653">
        <w:rPr>
          <w:b/>
          <w:lang w:val="fr-FR"/>
        </w:rPr>
        <w:t>’</w:t>
      </w:r>
      <w:r w:rsidRPr="00CC76D1">
        <w:rPr>
          <w:b/>
          <w:lang w:val="fr-FR"/>
        </w:rPr>
        <w:t>annexe I</w:t>
      </w:r>
      <w:r w:rsidRPr="00CC76D1">
        <w:rPr>
          <w:lang w:val="fr-FR"/>
        </w:rPr>
        <w:t xml:space="preserve">. </w:t>
      </w:r>
    </w:p>
    <w:p w:rsidR="00EC4C5A" w:rsidRPr="00CC76D1" w:rsidRDefault="00EC4C5A" w:rsidP="006179A8">
      <w:pPr>
        <w:pStyle w:val="H1G"/>
        <w:rPr>
          <w:lang w:val="fr-FR"/>
        </w:rPr>
      </w:pPr>
      <w:r w:rsidRPr="00CC76D1">
        <w:rPr>
          <w:lang w:val="fr-FR"/>
        </w:rPr>
        <w:tab/>
        <w:t>4.</w:t>
      </w:r>
      <w:r w:rsidRPr="00CC76D1">
        <w:rPr>
          <w:lang w:val="fr-FR"/>
        </w:rPr>
        <w:tab/>
        <w:t>Incidence des mesures de lutte contre la corruption et l</w:t>
      </w:r>
      <w:r w:rsidR="00474653">
        <w:rPr>
          <w:lang w:val="fr-FR"/>
        </w:rPr>
        <w:t>’</w:t>
      </w:r>
      <w:r w:rsidRPr="00CC76D1">
        <w:rPr>
          <w:lang w:val="fr-FR"/>
        </w:rPr>
        <w:t>impunité</w:t>
      </w:r>
    </w:p>
    <w:p w:rsidR="00EC4C5A" w:rsidRPr="00CC76D1" w:rsidRDefault="00EC4C5A" w:rsidP="006179A8">
      <w:pPr>
        <w:pStyle w:val="SingleTxtG"/>
        <w:rPr>
          <w:lang w:val="fr-FR"/>
        </w:rPr>
      </w:pPr>
      <w:r w:rsidRPr="00CC76D1">
        <w:rPr>
          <w:lang w:val="fr-FR"/>
        </w:rPr>
        <w:t>16.</w:t>
      </w:r>
      <w:r w:rsidRPr="00CC76D1">
        <w:rPr>
          <w:lang w:val="fr-FR"/>
        </w:rPr>
        <w:tab/>
        <w:t>Conformément à ce qui a déjà été indiqué, l</w:t>
      </w:r>
      <w:r w:rsidR="00474653">
        <w:rPr>
          <w:lang w:val="fr-FR"/>
        </w:rPr>
        <w:t>’</w:t>
      </w:r>
      <w:r w:rsidRPr="00CC76D1">
        <w:rPr>
          <w:lang w:val="fr-FR"/>
        </w:rPr>
        <w:t>adoption du dix-neuvième amendement à la Constitution a renforcé l</w:t>
      </w:r>
      <w:r w:rsidR="00474653">
        <w:rPr>
          <w:lang w:val="fr-FR"/>
        </w:rPr>
        <w:t>’</w:t>
      </w:r>
      <w:r w:rsidRPr="00CC76D1">
        <w:rPr>
          <w:lang w:val="fr-FR"/>
        </w:rPr>
        <w:t>indépendance de plusieurs i</w:t>
      </w:r>
      <w:r w:rsidR="00197EA7">
        <w:rPr>
          <w:lang w:val="fr-FR"/>
        </w:rPr>
        <w:t>nstitutions gouvernementales clef</w:t>
      </w:r>
      <w:r w:rsidRPr="00CC76D1">
        <w:rPr>
          <w:lang w:val="fr-FR"/>
        </w:rPr>
        <w:t>s, dont la Commission d</w:t>
      </w:r>
      <w:r w:rsidR="00474653">
        <w:rPr>
          <w:lang w:val="fr-FR"/>
        </w:rPr>
        <w:t>’</w:t>
      </w:r>
      <w:r w:rsidRPr="00CC76D1">
        <w:rPr>
          <w:lang w:val="fr-FR"/>
        </w:rPr>
        <w:t>enquête sur les allégations de corruption ou d</w:t>
      </w:r>
      <w:r w:rsidR="00474653">
        <w:rPr>
          <w:lang w:val="fr-FR"/>
        </w:rPr>
        <w:t>’</w:t>
      </w:r>
      <w:r w:rsidR="00BE4797">
        <w:rPr>
          <w:lang w:val="fr-FR"/>
        </w:rPr>
        <w:t>actes de corruption. En </w:t>
      </w:r>
      <w:r w:rsidRPr="00CC76D1">
        <w:rPr>
          <w:lang w:val="fr-FR"/>
        </w:rPr>
        <w:t xml:space="preserve">conséquence, cette commission a pu poursuivre efficacement sa mission de prévention et de lutte contre la corruption au cours des deux dernières années. </w:t>
      </w:r>
    </w:p>
    <w:p w:rsidR="00EC4C5A" w:rsidRPr="00CC76D1" w:rsidRDefault="00EC4C5A" w:rsidP="006179A8">
      <w:pPr>
        <w:pStyle w:val="H23G"/>
        <w:rPr>
          <w:lang w:val="fr-FR"/>
        </w:rPr>
      </w:pPr>
      <w:r w:rsidRPr="00CC76D1">
        <w:rPr>
          <w:lang w:val="fr-FR"/>
        </w:rPr>
        <w:tab/>
        <w:t>4.1</w:t>
      </w:r>
      <w:r w:rsidRPr="00CC76D1">
        <w:rPr>
          <w:lang w:val="fr-FR"/>
        </w:rPr>
        <w:tab/>
        <w:t>Mesures de prévention et de répression</w:t>
      </w:r>
    </w:p>
    <w:p w:rsidR="00EC4C5A" w:rsidRPr="00CC76D1" w:rsidRDefault="00EC4C5A" w:rsidP="006179A8">
      <w:pPr>
        <w:pStyle w:val="SingleTxtG"/>
        <w:rPr>
          <w:lang w:val="fr-FR"/>
        </w:rPr>
      </w:pPr>
      <w:r w:rsidRPr="00CC76D1">
        <w:rPr>
          <w:lang w:val="fr-FR"/>
        </w:rPr>
        <w:t>17.</w:t>
      </w:r>
      <w:r w:rsidRPr="00CC76D1">
        <w:rPr>
          <w:lang w:val="fr-FR"/>
        </w:rPr>
        <w:tab/>
        <w:t>Les renseignements détaillés concernant le traitement des plaintes reçues par la Commission d</w:t>
      </w:r>
      <w:r w:rsidR="00474653">
        <w:rPr>
          <w:lang w:val="fr-FR"/>
        </w:rPr>
        <w:t>’</w:t>
      </w:r>
      <w:r w:rsidRPr="00CC76D1">
        <w:rPr>
          <w:lang w:val="fr-FR"/>
        </w:rPr>
        <w:t>enquête sur les allégations de corruption ou d</w:t>
      </w:r>
      <w:r w:rsidR="00474653">
        <w:rPr>
          <w:lang w:val="fr-FR"/>
        </w:rPr>
        <w:t>’</w:t>
      </w:r>
      <w:r w:rsidRPr="00CC76D1">
        <w:rPr>
          <w:lang w:val="fr-FR"/>
        </w:rPr>
        <w:t>act</w:t>
      </w:r>
      <w:r w:rsidR="006338A0">
        <w:rPr>
          <w:lang w:val="fr-FR"/>
        </w:rPr>
        <w:t>es de corruption au cours des vingt-neuf</w:t>
      </w:r>
      <w:r w:rsidRPr="00CC76D1">
        <w:rPr>
          <w:lang w:val="fr-FR"/>
        </w:rPr>
        <w:t xml:space="preserve"> derniers mois figurent ci-après</w:t>
      </w:r>
      <w:r w:rsidR="00112F55">
        <w:rPr>
          <w:lang w:val="fr-FR"/>
        </w:rPr>
        <w:t xml:space="preserve"> :</w:t>
      </w:r>
    </w:p>
    <w:p w:rsidR="00EC4C5A" w:rsidRPr="00CC76D1" w:rsidRDefault="00EC4C5A" w:rsidP="006179A8">
      <w:pPr>
        <w:pStyle w:val="Bullet1G"/>
        <w:rPr>
          <w:lang w:val="fr-FR"/>
        </w:rPr>
      </w:pPr>
      <w:r w:rsidRPr="00CC76D1">
        <w:rPr>
          <w:lang w:val="fr-FR"/>
        </w:rPr>
        <w:t>En 2015, la Commission d</w:t>
      </w:r>
      <w:r w:rsidR="00474653">
        <w:rPr>
          <w:lang w:val="fr-FR"/>
        </w:rPr>
        <w:t>’</w:t>
      </w:r>
      <w:r w:rsidRPr="00CC76D1">
        <w:rPr>
          <w:lang w:val="fr-FR"/>
        </w:rPr>
        <w:t>enquête a reçu 3 913 plaintes et mené 1 530 enquêtes</w:t>
      </w:r>
      <w:r w:rsidRPr="00903796">
        <w:rPr>
          <w:rStyle w:val="Appelnotedebasdep"/>
        </w:rPr>
        <w:footnoteReference w:id="8"/>
      </w:r>
      <w:r w:rsidR="00112F55">
        <w:rPr>
          <w:lang w:val="fr-FR"/>
        </w:rPr>
        <w:t xml:space="preserve"> ;</w:t>
      </w:r>
      <w:r w:rsidRPr="00CC76D1">
        <w:rPr>
          <w:lang w:val="fr-FR"/>
        </w:rPr>
        <w:t xml:space="preserve"> 108 affaires ont été po</w:t>
      </w:r>
      <w:r w:rsidR="00BE4797">
        <w:rPr>
          <w:lang w:val="fr-FR"/>
        </w:rPr>
        <w:t>rtées devant les tribunaux ;</w:t>
      </w:r>
    </w:p>
    <w:p w:rsidR="00EC4C5A" w:rsidRPr="00CC76D1" w:rsidRDefault="00EC4C5A" w:rsidP="006179A8">
      <w:pPr>
        <w:pStyle w:val="Bullet1G"/>
        <w:rPr>
          <w:lang w:val="fr-FR"/>
        </w:rPr>
      </w:pPr>
      <w:r w:rsidRPr="00CC76D1">
        <w:rPr>
          <w:lang w:val="fr-FR"/>
        </w:rPr>
        <w:lastRenderedPageBreak/>
        <w:t>En 2016, la Commission a reçu 3 450 plaintes et mené 2 776 enquêtes</w:t>
      </w:r>
      <w:r w:rsidR="00112F55">
        <w:rPr>
          <w:lang w:val="fr-FR"/>
        </w:rPr>
        <w:t xml:space="preserve"> ;</w:t>
      </w:r>
      <w:r w:rsidRPr="00CC76D1">
        <w:rPr>
          <w:lang w:val="fr-FR"/>
        </w:rPr>
        <w:t xml:space="preserve"> 87 affaires ont é</w:t>
      </w:r>
      <w:r w:rsidR="00BE4797">
        <w:rPr>
          <w:lang w:val="fr-FR"/>
        </w:rPr>
        <w:t>té portées devant les tribunaux ;</w:t>
      </w:r>
    </w:p>
    <w:p w:rsidR="00EC4C5A" w:rsidRPr="00CC76D1" w:rsidRDefault="00EC4C5A" w:rsidP="006179A8">
      <w:pPr>
        <w:pStyle w:val="Bullet1G"/>
        <w:rPr>
          <w:lang w:val="fr-FR"/>
        </w:rPr>
      </w:pPr>
      <w:r w:rsidRPr="00CC76D1">
        <w:rPr>
          <w:lang w:val="fr-FR"/>
        </w:rPr>
        <w:t>Entre janvier et mars 2017, la Commission a reçu 600 plaintes</w:t>
      </w:r>
      <w:r w:rsidR="00112F55">
        <w:rPr>
          <w:lang w:val="fr-FR"/>
        </w:rPr>
        <w:t xml:space="preserve"> ;</w:t>
      </w:r>
      <w:r w:rsidR="00AB162F">
        <w:rPr>
          <w:lang w:val="fr-FR"/>
        </w:rPr>
        <w:t xml:space="preserve"> 10</w:t>
      </w:r>
      <w:r w:rsidRPr="00CC76D1">
        <w:rPr>
          <w:lang w:val="fr-FR"/>
        </w:rPr>
        <w:t xml:space="preserve"> affaires ont été portées en justice et 4 330 affaires font encore l</w:t>
      </w:r>
      <w:r w:rsidR="00474653">
        <w:rPr>
          <w:lang w:val="fr-FR"/>
        </w:rPr>
        <w:t>’</w:t>
      </w:r>
      <w:r w:rsidRPr="00CC76D1">
        <w:rPr>
          <w:lang w:val="fr-FR"/>
        </w:rPr>
        <w:t>objet d</w:t>
      </w:r>
      <w:r w:rsidR="00474653">
        <w:rPr>
          <w:lang w:val="fr-FR"/>
        </w:rPr>
        <w:t>’</w:t>
      </w:r>
      <w:r w:rsidRPr="00CC76D1">
        <w:rPr>
          <w:lang w:val="fr-FR"/>
        </w:rPr>
        <w:t>enquêtes</w:t>
      </w:r>
      <w:r w:rsidRPr="00903796">
        <w:rPr>
          <w:rStyle w:val="Appelnotedebasdep"/>
        </w:rPr>
        <w:footnoteReference w:id="9"/>
      </w:r>
      <w:r w:rsidR="00BE4797">
        <w:rPr>
          <w:lang w:val="fr-FR"/>
        </w:rPr>
        <w:t>.</w:t>
      </w:r>
    </w:p>
    <w:p w:rsidR="00EC4C5A" w:rsidRPr="00CC76D1" w:rsidRDefault="00EC4C5A" w:rsidP="006179A8">
      <w:pPr>
        <w:pStyle w:val="SingleTxtG"/>
        <w:rPr>
          <w:lang w:val="fr-FR"/>
        </w:rPr>
      </w:pPr>
      <w:r w:rsidRPr="00CC76D1">
        <w:rPr>
          <w:lang w:val="fr-FR"/>
        </w:rPr>
        <w:t>18.</w:t>
      </w:r>
      <w:r w:rsidRPr="00CC76D1">
        <w:rPr>
          <w:lang w:val="fr-FR"/>
        </w:rPr>
        <w:tab/>
        <w:t>Le traitement de ces affaires est en cours et une méthodologie a été adoptée pour accélérer leur traitement. En outre, des mécanismes de contrôle sont en place à chaque étape de l</w:t>
      </w:r>
      <w:r w:rsidR="00474653">
        <w:rPr>
          <w:lang w:val="fr-FR"/>
        </w:rPr>
        <w:t>’</w:t>
      </w:r>
      <w:r w:rsidRPr="00CC76D1">
        <w:rPr>
          <w:lang w:val="fr-FR"/>
        </w:rPr>
        <w:t>enquête. Les dossiers sont régulièrement examinés et des spécialistes de différentes disciplines sont sollicités pour aider les enquêteurs à conclure leurs enquêtes dans les meilleurs délais. Des mesures ont également été prises pour augmenter le nombre d</w:t>
      </w:r>
      <w:r w:rsidR="00474653">
        <w:rPr>
          <w:lang w:val="fr-FR"/>
        </w:rPr>
        <w:t>’</w:t>
      </w:r>
      <w:r w:rsidRPr="00CC76D1">
        <w:rPr>
          <w:lang w:val="fr-FR"/>
        </w:rPr>
        <w:t>enquêteurs.</w:t>
      </w:r>
    </w:p>
    <w:p w:rsidR="00EC4C5A" w:rsidRPr="00CC76D1" w:rsidRDefault="00EC4C5A" w:rsidP="006179A8">
      <w:pPr>
        <w:pStyle w:val="SingleTxtG"/>
        <w:rPr>
          <w:lang w:val="fr-FR"/>
        </w:rPr>
      </w:pPr>
      <w:r w:rsidRPr="00CC76D1">
        <w:rPr>
          <w:lang w:val="fr-FR"/>
        </w:rPr>
        <w:t>19.</w:t>
      </w:r>
      <w:r w:rsidRPr="00CC76D1">
        <w:rPr>
          <w:lang w:val="fr-FR"/>
        </w:rPr>
        <w:tab/>
        <w:t>Depuis 2015</w:t>
      </w:r>
      <w:r w:rsidR="003309D0">
        <w:rPr>
          <w:lang w:val="fr-FR"/>
        </w:rPr>
        <w:t xml:space="preserve">, de nombreuses </w:t>
      </w:r>
      <w:r w:rsidRPr="00CC76D1">
        <w:rPr>
          <w:lang w:val="fr-FR"/>
        </w:rPr>
        <w:t>plaintes ont été reçues contre des politiciens et des fonctionnaires. Ces plaintes font l</w:t>
      </w:r>
      <w:r w:rsidR="00474653">
        <w:rPr>
          <w:lang w:val="fr-FR"/>
        </w:rPr>
        <w:t>’</w:t>
      </w:r>
      <w:r w:rsidRPr="00CC76D1">
        <w:rPr>
          <w:lang w:val="fr-FR"/>
        </w:rPr>
        <w:t>objet d</w:t>
      </w:r>
      <w:r w:rsidR="00474653">
        <w:rPr>
          <w:lang w:val="fr-FR"/>
        </w:rPr>
        <w:t>’</w:t>
      </w:r>
      <w:r w:rsidRPr="00CC76D1">
        <w:rPr>
          <w:lang w:val="fr-FR"/>
        </w:rPr>
        <w:t xml:space="preserve">enquêtes plus approfondies et complexes avec le concours de différents experts. </w:t>
      </w:r>
    </w:p>
    <w:p w:rsidR="00EC4C5A" w:rsidRPr="00CC76D1" w:rsidRDefault="00EC4C5A" w:rsidP="006179A8">
      <w:pPr>
        <w:pStyle w:val="SingleTxtG"/>
        <w:rPr>
          <w:lang w:val="fr-FR"/>
        </w:rPr>
      </w:pPr>
      <w:r w:rsidRPr="00CC76D1">
        <w:rPr>
          <w:lang w:val="fr-FR"/>
        </w:rPr>
        <w:t>20.</w:t>
      </w:r>
      <w:r w:rsidRPr="00CC76D1">
        <w:rPr>
          <w:lang w:val="fr-FR"/>
        </w:rPr>
        <w:tab/>
        <w:t xml:space="preserve">Des mesures sont en cours pour recruter près de </w:t>
      </w:r>
      <w:r w:rsidR="00E13052">
        <w:rPr>
          <w:lang w:val="fr-FR"/>
        </w:rPr>
        <w:t>100 </w:t>
      </w:r>
      <w:r w:rsidRPr="00CC76D1">
        <w:rPr>
          <w:lang w:val="fr-FR"/>
        </w:rPr>
        <w:t>spécialistes de la banque, de la comptabilité judiciaire, des audits, de l</w:t>
      </w:r>
      <w:r w:rsidR="00474653">
        <w:rPr>
          <w:lang w:val="fr-FR"/>
        </w:rPr>
        <w:t>’</w:t>
      </w:r>
      <w:r w:rsidRPr="00CC76D1">
        <w:rPr>
          <w:lang w:val="fr-FR"/>
        </w:rPr>
        <w:t>analyse financière, de l</w:t>
      </w:r>
      <w:r w:rsidR="00474653">
        <w:rPr>
          <w:lang w:val="fr-FR"/>
        </w:rPr>
        <w:t>’</w:t>
      </w:r>
      <w:r w:rsidRPr="00CC76D1">
        <w:rPr>
          <w:lang w:val="fr-FR"/>
        </w:rPr>
        <w:t>évaluation, de l</w:t>
      </w:r>
      <w:r w:rsidR="00474653">
        <w:rPr>
          <w:lang w:val="fr-FR"/>
        </w:rPr>
        <w:t>’</w:t>
      </w:r>
      <w:r w:rsidRPr="00CC76D1">
        <w:rPr>
          <w:lang w:val="fr-FR"/>
        </w:rPr>
        <w:t>économie, du secteur bancaire, des marchés boursiers, des achats, du recouvrement d</w:t>
      </w:r>
      <w:r w:rsidR="00474653">
        <w:rPr>
          <w:lang w:val="fr-FR"/>
        </w:rPr>
        <w:t>’</w:t>
      </w:r>
      <w:r w:rsidRPr="00CC76D1">
        <w:rPr>
          <w:lang w:val="fr-FR"/>
        </w:rPr>
        <w:t>avoirs, de la criminalistique numérique, de la gestion, etc., afin d</w:t>
      </w:r>
      <w:r w:rsidR="00474653">
        <w:rPr>
          <w:lang w:val="fr-FR"/>
        </w:rPr>
        <w:t>’</w:t>
      </w:r>
      <w:r w:rsidRPr="00CC76D1">
        <w:rPr>
          <w:lang w:val="fr-FR"/>
        </w:rPr>
        <w:t>aider la Division des enquêtes rattachée à la Commission.</w:t>
      </w:r>
    </w:p>
    <w:p w:rsidR="00EC4C5A" w:rsidRPr="00CC76D1" w:rsidRDefault="00EC4C5A" w:rsidP="006179A8">
      <w:pPr>
        <w:pStyle w:val="H23G"/>
        <w:rPr>
          <w:lang w:val="fr-FR"/>
        </w:rPr>
      </w:pPr>
      <w:r w:rsidRPr="00CC76D1">
        <w:rPr>
          <w:lang w:val="fr-FR"/>
        </w:rPr>
        <w:tab/>
        <w:t>4.2</w:t>
      </w:r>
      <w:r w:rsidRPr="00CC76D1">
        <w:rPr>
          <w:lang w:val="fr-FR"/>
        </w:rPr>
        <w:tab/>
        <w:t>Prévention</w:t>
      </w:r>
    </w:p>
    <w:p w:rsidR="00EC4C5A" w:rsidRPr="00CC76D1" w:rsidRDefault="00EC4C5A" w:rsidP="006179A8">
      <w:pPr>
        <w:pStyle w:val="SingleTxtG"/>
        <w:rPr>
          <w:lang w:val="fr-FR"/>
        </w:rPr>
      </w:pPr>
      <w:r w:rsidRPr="00CC76D1">
        <w:rPr>
          <w:lang w:val="fr-FR"/>
        </w:rPr>
        <w:t>21.</w:t>
      </w:r>
      <w:r w:rsidRPr="00CC76D1">
        <w:rPr>
          <w:lang w:val="fr-FR"/>
        </w:rPr>
        <w:tab/>
        <w:t>La Commission d</w:t>
      </w:r>
      <w:r w:rsidR="00474653">
        <w:rPr>
          <w:lang w:val="fr-FR"/>
        </w:rPr>
        <w:t>’</w:t>
      </w:r>
      <w:r w:rsidRPr="00CC76D1">
        <w:rPr>
          <w:lang w:val="fr-FR"/>
        </w:rPr>
        <w:t>enquête sur les allégations de corruption ou d</w:t>
      </w:r>
      <w:r w:rsidR="00474653">
        <w:rPr>
          <w:lang w:val="fr-FR"/>
        </w:rPr>
        <w:t>’</w:t>
      </w:r>
      <w:r w:rsidRPr="00CC76D1">
        <w:rPr>
          <w:lang w:val="fr-FR"/>
        </w:rPr>
        <w:t>actes de corruption considère qu</w:t>
      </w:r>
      <w:r w:rsidR="00474653">
        <w:rPr>
          <w:lang w:val="fr-FR"/>
        </w:rPr>
        <w:t>’</w:t>
      </w:r>
      <w:r w:rsidRPr="00CC76D1">
        <w:rPr>
          <w:lang w:val="fr-FR"/>
        </w:rPr>
        <w:t>un mécanisme de prévention solide est indispensable pour éradiquer la corruption active et passive. Les mesures de prévention suivante</w:t>
      </w:r>
      <w:r w:rsidR="008218E7">
        <w:rPr>
          <w:lang w:val="fr-FR"/>
        </w:rPr>
        <w:t>s ont par conséquent été prises :</w:t>
      </w:r>
    </w:p>
    <w:p w:rsidR="00EC4C5A" w:rsidRPr="00CC76D1" w:rsidRDefault="00EC4C5A" w:rsidP="006179A8">
      <w:pPr>
        <w:pStyle w:val="Bullet1G"/>
        <w:rPr>
          <w:lang w:val="fr-FR"/>
        </w:rPr>
      </w:pPr>
      <w:r w:rsidRPr="00CC76D1">
        <w:rPr>
          <w:lang w:val="fr-FR"/>
        </w:rPr>
        <w:t>La création d</w:t>
      </w:r>
      <w:r w:rsidR="00474653">
        <w:rPr>
          <w:lang w:val="fr-FR"/>
        </w:rPr>
        <w:t>’</w:t>
      </w:r>
      <w:r w:rsidRPr="00CC76D1">
        <w:rPr>
          <w:lang w:val="fr-FR"/>
        </w:rPr>
        <w:t>une unité distincte chargée de la prévention est en cours. Un bâtiment a été loué pour accueillir cette unité et la Commission des nominations et des rémunérations a approuvé le recrutement de 15 agents. La Commission a entamé un dialogue avec d</w:t>
      </w:r>
      <w:r w:rsidR="00474653">
        <w:rPr>
          <w:lang w:val="fr-FR"/>
        </w:rPr>
        <w:t>’</w:t>
      </w:r>
      <w:r w:rsidRPr="00CC76D1">
        <w:rPr>
          <w:lang w:val="fr-FR"/>
        </w:rPr>
        <w:t>autres parties prenantes pour renforcer le cadre opérationnel de l</w:t>
      </w:r>
      <w:r w:rsidR="00474653">
        <w:rPr>
          <w:lang w:val="fr-FR"/>
        </w:rPr>
        <w:t>’</w:t>
      </w:r>
      <w:r w:rsidRPr="00CC76D1">
        <w:rPr>
          <w:lang w:val="fr-FR"/>
        </w:rPr>
        <w:t>unité de prévention. À cette fin, ses membres ont effectué une visite d</w:t>
      </w:r>
      <w:r w:rsidR="00474653">
        <w:rPr>
          <w:lang w:val="fr-FR"/>
        </w:rPr>
        <w:t>’</w:t>
      </w:r>
      <w:r w:rsidRPr="00CC76D1">
        <w:rPr>
          <w:lang w:val="fr-FR"/>
        </w:rPr>
        <w:t>étude auprès de la Commission indépendante de lutte con</w:t>
      </w:r>
      <w:r w:rsidR="008218E7">
        <w:rPr>
          <w:lang w:val="fr-FR"/>
        </w:rPr>
        <w:t>tre la corruption de Hong Kong ;</w:t>
      </w:r>
    </w:p>
    <w:p w:rsidR="00EC4C5A" w:rsidRPr="00CC76D1" w:rsidRDefault="00EC4C5A" w:rsidP="006179A8">
      <w:pPr>
        <w:pStyle w:val="Bullet1G"/>
        <w:rPr>
          <w:lang w:val="fr-FR"/>
        </w:rPr>
      </w:pPr>
      <w:r w:rsidRPr="00CC76D1">
        <w:rPr>
          <w:lang w:val="fr-FR"/>
        </w:rPr>
        <w:t>Le dix-neuvième amendement de la Constitution a expressément reconnu la Convention des Nations Unies contre la corruption et sa mise en œuvre, ainsi que d</w:t>
      </w:r>
      <w:r w:rsidR="00474653">
        <w:rPr>
          <w:lang w:val="fr-FR"/>
        </w:rPr>
        <w:t>’</w:t>
      </w:r>
      <w:r w:rsidRPr="00CC76D1">
        <w:rPr>
          <w:lang w:val="fr-FR"/>
        </w:rPr>
        <w:t xml:space="preserve">autres conventions internationales relatives à la </w:t>
      </w:r>
      <w:r w:rsidR="008218E7">
        <w:rPr>
          <w:lang w:val="fr-FR"/>
        </w:rPr>
        <w:t>prévention de la corruption. Le </w:t>
      </w:r>
      <w:r w:rsidRPr="00CC76D1">
        <w:rPr>
          <w:lang w:val="fr-FR"/>
        </w:rPr>
        <w:t>deuxième cycle du mécanisme d</w:t>
      </w:r>
      <w:r w:rsidR="00474653">
        <w:rPr>
          <w:lang w:val="fr-FR"/>
        </w:rPr>
        <w:t>’</w:t>
      </w:r>
      <w:r w:rsidRPr="00CC76D1">
        <w:rPr>
          <w:lang w:val="fr-FR"/>
        </w:rPr>
        <w:t>examen de l</w:t>
      </w:r>
      <w:r w:rsidR="00474653">
        <w:rPr>
          <w:lang w:val="fr-FR"/>
        </w:rPr>
        <w:t>’</w:t>
      </w:r>
      <w:r w:rsidRPr="00CC76D1">
        <w:rPr>
          <w:lang w:val="fr-FR"/>
        </w:rPr>
        <w:t>application, par le Sri Lanka, du chapitre II (Mesures préventives) et du chapitre V (Recouvrement d</w:t>
      </w:r>
      <w:r w:rsidR="00474653">
        <w:rPr>
          <w:lang w:val="fr-FR"/>
        </w:rPr>
        <w:t>’</w:t>
      </w:r>
      <w:r w:rsidRPr="00CC76D1">
        <w:rPr>
          <w:lang w:val="fr-FR"/>
        </w:rPr>
        <w:t>avoirs) de la Convention s</w:t>
      </w:r>
      <w:r w:rsidR="00474653">
        <w:rPr>
          <w:lang w:val="fr-FR"/>
        </w:rPr>
        <w:t>’</w:t>
      </w:r>
      <w:r w:rsidRPr="00CC76D1">
        <w:rPr>
          <w:lang w:val="fr-FR"/>
        </w:rPr>
        <w:t>est tenu en mars 2017 à Colombo. La Commission est parvenue à réunir toutes les principales parties prenantes des secteurs public et privé pour ce cycle d</w:t>
      </w:r>
      <w:r w:rsidR="00474653">
        <w:rPr>
          <w:lang w:val="fr-FR"/>
        </w:rPr>
        <w:t>’</w:t>
      </w:r>
      <w:r w:rsidRPr="00CC76D1">
        <w:rPr>
          <w:lang w:val="fr-FR"/>
        </w:rPr>
        <w:t>examen et à obtenir leur parti</w:t>
      </w:r>
      <w:r w:rsidR="008218E7">
        <w:rPr>
          <w:lang w:val="fr-FR"/>
        </w:rPr>
        <w:t>cipation active aux discussions ;</w:t>
      </w:r>
    </w:p>
    <w:p w:rsidR="00EC4C5A" w:rsidRPr="00CC76D1" w:rsidRDefault="00EC4C5A" w:rsidP="006179A8">
      <w:pPr>
        <w:pStyle w:val="Bullet1G"/>
        <w:rPr>
          <w:lang w:val="fr-FR"/>
        </w:rPr>
      </w:pPr>
      <w:r w:rsidRPr="00CC76D1">
        <w:rPr>
          <w:lang w:val="fr-FR"/>
        </w:rPr>
        <w:t>Le 9 décembre 2015, la Commission a lancé un plan d</w:t>
      </w:r>
      <w:r w:rsidR="00474653">
        <w:rPr>
          <w:lang w:val="fr-FR"/>
        </w:rPr>
        <w:t>’</w:t>
      </w:r>
      <w:r w:rsidRPr="00CC76D1">
        <w:rPr>
          <w:lang w:val="fr-FR"/>
        </w:rPr>
        <w:t>action triennal de lutte contre la corruption prenant appu</w:t>
      </w:r>
      <w:r w:rsidR="008218E7">
        <w:rPr>
          <w:lang w:val="fr-FR"/>
        </w:rPr>
        <w:t>i sur une stratégie fondée sur « </w:t>
      </w:r>
      <w:r w:rsidRPr="00CC76D1">
        <w:rPr>
          <w:lang w:val="fr-FR"/>
        </w:rPr>
        <w:t>Sept mesures pour une tolérance zéro de la corruption</w:t>
      </w:r>
      <w:r w:rsidR="008218E7">
        <w:rPr>
          <w:lang w:val="fr-FR"/>
        </w:rPr>
        <w:t> »</w:t>
      </w:r>
      <w:r w:rsidRPr="00CC76D1">
        <w:rPr>
          <w:lang w:val="fr-FR"/>
        </w:rPr>
        <w:t>. La société civile a également participé à l</w:t>
      </w:r>
      <w:r w:rsidR="00474653">
        <w:rPr>
          <w:lang w:val="fr-FR"/>
        </w:rPr>
        <w:t>’</w:t>
      </w:r>
      <w:r w:rsidRPr="00CC76D1">
        <w:rPr>
          <w:lang w:val="fr-FR"/>
        </w:rPr>
        <w:t>élaboration de ce plan d</w:t>
      </w:r>
      <w:r w:rsidR="00474653">
        <w:rPr>
          <w:lang w:val="fr-FR"/>
        </w:rPr>
        <w:t>’</w:t>
      </w:r>
      <w:r w:rsidRPr="00CC76D1">
        <w:rPr>
          <w:lang w:val="fr-FR"/>
        </w:rPr>
        <w:t>action</w:t>
      </w:r>
      <w:r w:rsidR="008218E7">
        <w:rPr>
          <w:lang w:val="fr-FR"/>
        </w:rPr>
        <w:t xml:space="preserve"> dont la mise en œuvre a débuté ;</w:t>
      </w:r>
    </w:p>
    <w:p w:rsidR="00EC4C5A" w:rsidRPr="00CC76D1" w:rsidRDefault="00EC4C5A" w:rsidP="006179A8">
      <w:pPr>
        <w:pStyle w:val="Bullet1G"/>
        <w:rPr>
          <w:lang w:val="fr-FR"/>
        </w:rPr>
      </w:pPr>
      <w:r w:rsidRPr="00CC76D1">
        <w:rPr>
          <w:lang w:val="fr-FR"/>
        </w:rPr>
        <w:t>En ce qui concerne les réformes législatives, des consultations sont actuellement en cours pour modifier la loi n</w:t>
      </w:r>
      <w:r w:rsidRPr="00CC76D1">
        <w:rPr>
          <w:vertAlign w:val="superscript"/>
          <w:lang w:val="fr-FR"/>
        </w:rPr>
        <w:t>o</w:t>
      </w:r>
      <w:r w:rsidRPr="00CC76D1">
        <w:rPr>
          <w:lang w:val="fr-FR"/>
        </w:rPr>
        <w:t xml:space="preserve"> 1 de 1975 relative à la déclaration des actifs et des passifs. Un comité a été chargé d</w:t>
      </w:r>
      <w:r w:rsidR="00474653">
        <w:rPr>
          <w:lang w:val="fr-FR"/>
        </w:rPr>
        <w:t>’</w:t>
      </w:r>
      <w:r w:rsidRPr="00CC76D1">
        <w:rPr>
          <w:lang w:val="fr-FR"/>
        </w:rPr>
        <w:t>él</w:t>
      </w:r>
      <w:r w:rsidR="008218E7">
        <w:rPr>
          <w:lang w:val="fr-FR"/>
        </w:rPr>
        <w:t>aborer les amendements proposés ;</w:t>
      </w:r>
    </w:p>
    <w:p w:rsidR="00EC4C5A" w:rsidRPr="00CC76D1" w:rsidRDefault="00EC4C5A" w:rsidP="006179A8">
      <w:pPr>
        <w:pStyle w:val="Bullet1G"/>
        <w:rPr>
          <w:lang w:val="fr-FR"/>
        </w:rPr>
      </w:pPr>
      <w:r w:rsidRPr="00CC76D1">
        <w:rPr>
          <w:lang w:val="fr-FR"/>
        </w:rPr>
        <w:lastRenderedPageBreak/>
        <w:t>Plusieurs cycles de discussions ont été engagés avec les parties prenantes du secteur de l</w:t>
      </w:r>
      <w:r w:rsidR="00474653">
        <w:rPr>
          <w:lang w:val="fr-FR"/>
        </w:rPr>
        <w:t>’</w:t>
      </w:r>
      <w:r w:rsidRPr="00CC76D1">
        <w:rPr>
          <w:lang w:val="fr-FR"/>
        </w:rPr>
        <w:t>éducation afin d</w:t>
      </w:r>
      <w:r w:rsidR="00474653">
        <w:rPr>
          <w:lang w:val="fr-FR"/>
        </w:rPr>
        <w:t>’</w:t>
      </w:r>
      <w:r w:rsidRPr="00CC76D1">
        <w:rPr>
          <w:lang w:val="fr-FR"/>
        </w:rPr>
        <w:t>inclure la lutte contre la corruption dans le programme d</w:t>
      </w:r>
      <w:r w:rsidR="00474653">
        <w:rPr>
          <w:lang w:val="fr-FR"/>
        </w:rPr>
        <w:t>’</w:t>
      </w:r>
      <w:r w:rsidRPr="00CC76D1">
        <w:rPr>
          <w:lang w:val="fr-FR"/>
        </w:rPr>
        <w:t>enseigneme</w:t>
      </w:r>
      <w:r w:rsidR="008218E7">
        <w:rPr>
          <w:lang w:val="fr-FR"/>
        </w:rPr>
        <w:t>nt et promouvoir son importance ;</w:t>
      </w:r>
    </w:p>
    <w:p w:rsidR="00EC4C5A" w:rsidRPr="00CC76D1" w:rsidRDefault="00EC4C5A" w:rsidP="006179A8">
      <w:pPr>
        <w:pStyle w:val="Bullet1G"/>
        <w:rPr>
          <w:lang w:val="fr-FR"/>
        </w:rPr>
      </w:pPr>
      <w:r w:rsidRPr="00CC76D1">
        <w:rPr>
          <w:lang w:val="fr-FR"/>
        </w:rPr>
        <w:t>Des discussions ont eu lieu avec plusieurs institutions afin d</w:t>
      </w:r>
      <w:r w:rsidR="00474653">
        <w:rPr>
          <w:lang w:val="fr-FR"/>
        </w:rPr>
        <w:t>’</w:t>
      </w:r>
      <w:r w:rsidRPr="00CC76D1">
        <w:rPr>
          <w:lang w:val="fr-FR"/>
        </w:rPr>
        <w:t>étudier la possibilité d</w:t>
      </w:r>
      <w:r w:rsidR="00474653">
        <w:rPr>
          <w:lang w:val="fr-FR"/>
        </w:rPr>
        <w:t>’</w:t>
      </w:r>
      <w:r w:rsidRPr="00CC76D1">
        <w:rPr>
          <w:lang w:val="fr-FR"/>
        </w:rPr>
        <w:t>élaborer un projet pilote visant à mettre en place un système au sein de chaque institution pour lutt</w:t>
      </w:r>
      <w:r w:rsidR="008218E7">
        <w:rPr>
          <w:lang w:val="fr-FR"/>
        </w:rPr>
        <w:t>er contre la corruption interne ;</w:t>
      </w:r>
    </w:p>
    <w:p w:rsidR="00EC4C5A" w:rsidRPr="00CC76D1" w:rsidRDefault="00EC4C5A" w:rsidP="006179A8">
      <w:pPr>
        <w:pStyle w:val="Bullet1G"/>
        <w:rPr>
          <w:lang w:val="fr-FR"/>
        </w:rPr>
      </w:pPr>
      <w:r w:rsidRPr="00CC76D1">
        <w:rPr>
          <w:lang w:val="fr-FR"/>
        </w:rPr>
        <w:t>Des programmes de renforcement des capacités pour les enquêteurs et les procureurs chargés d</w:t>
      </w:r>
      <w:r w:rsidR="00474653">
        <w:rPr>
          <w:lang w:val="fr-FR"/>
        </w:rPr>
        <w:t>’</w:t>
      </w:r>
      <w:r w:rsidRPr="00CC76D1">
        <w:rPr>
          <w:lang w:val="fr-FR"/>
        </w:rPr>
        <w:t xml:space="preserve">instruire les affaires de </w:t>
      </w:r>
      <w:r w:rsidR="008218E7">
        <w:rPr>
          <w:lang w:val="fr-FR"/>
        </w:rPr>
        <w:t>corruption ont été mis en place ;</w:t>
      </w:r>
    </w:p>
    <w:p w:rsidR="00EC4C5A" w:rsidRPr="00CC76D1" w:rsidRDefault="00EC4C5A" w:rsidP="006179A8">
      <w:pPr>
        <w:pStyle w:val="Bullet1G"/>
        <w:rPr>
          <w:lang w:val="fr-FR"/>
        </w:rPr>
      </w:pPr>
      <w:r w:rsidRPr="00CC76D1">
        <w:rPr>
          <w:lang w:val="fr-FR"/>
        </w:rPr>
        <w:t>La Commission d</w:t>
      </w:r>
      <w:r w:rsidR="00474653">
        <w:rPr>
          <w:lang w:val="fr-FR"/>
        </w:rPr>
        <w:t>’</w:t>
      </w:r>
      <w:r w:rsidRPr="00CC76D1">
        <w:rPr>
          <w:lang w:val="fr-FR"/>
        </w:rPr>
        <w:t>enquête sur les allégations de corruption ou d</w:t>
      </w:r>
      <w:r w:rsidR="00474653">
        <w:rPr>
          <w:lang w:val="fr-FR"/>
        </w:rPr>
        <w:t>’</w:t>
      </w:r>
      <w:r w:rsidRPr="00CC76D1">
        <w:rPr>
          <w:lang w:val="fr-FR"/>
        </w:rPr>
        <w:t>actes de corruption et le Ministère de l</w:t>
      </w:r>
      <w:r w:rsidR="00474653">
        <w:rPr>
          <w:lang w:val="fr-FR"/>
        </w:rPr>
        <w:t>’</w:t>
      </w:r>
      <w:r w:rsidRPr="00CC76D1">
        <w:rPr>
          <w:lang w:val="fr-FR"/>
        </w:rPr>
        <w:t>éducation ont lancé plusieurs projets, à court et à long terme, pour les élèves. Parmi les projets à court terme figurent la</w:t>
      </w:r>
      <w:r w:rsidR="006179A8">
        <w:rPr>
          <w:lang w:val="fr-FR"/>
        </w:rPr>
        <w:t xml:space="preserve"> désignation du mois d</w:t>
      </w:r>
      <w:r w:rsidR="00474653">
        <w:rPr>
          <w:lang w:val="fr-FR"/>
        </w:rPr>
        <w:t>’</w:t>
      </w:r>
      <w:r w:rsidR="006179A8">
        <w:rPr>
          <w:lang w:val="fr-FR"/>
        </w:rPr>
        <w:t>octobre « </w:t>
      </w:r>
      <w:r w:rsidRPr="00CC76D1">
        <w:rPr>
          <w:lang w:val="fr-FR"/>
        </w:rPr>
        <w:t>Mois de la lutte contre la corruption</w:t>
      </w:r>
      <w:r w:rsidR="006179A8">
        <w:rPr>
          <w:lang w:val="fr-FR"/>
        </w:rPr>
        <w:t> »</w:t>
      </w:r>
      <w:r w:rsidRPr="00CC76D1">
        <w:rPr>
          <w:lang w:val="fr-FR"/>
        </w:rPr>
        <w:t xml:space="preserve"> dans tous les établissements scolaires et l</w:t>
      </w:r>
      <w:r w:rsidR="00474653">
        <w:rPr>
          <w:lang w:val="fr-FR"/>
        </w:rPr>
        <w:t>’</w:t>
      </w:r>
      <w:r w:rsidRPr="00CC76D1">
        <w:rPr>
          <w:lang w:val="fr-FR"/>
        </w:rPr>
        <w:t>organisation de concours dans sept domaines thématiques afin de présenter les règles de la lutte contre la corruption dans l</w:t>
      </w:r>
      <w:r w:rsidR="00474653">
        <w:rPr>
          <w:lang w:val="fr-FR"/>
        </w:rPr>
        <w:t>’</w:t>
      </w:r>
      <w:r w:rsidRPr="00CC76D1">
        <w:rPr>
          <w:lang w:val="fr-FR"/>
        </w:rPr>
        <w:t>administration scolaire. Les projets à plus long terme portent sur l</w:t>
      </w:r>
      <w:r w:rsidR="00474653">
        <w:rPr>
          <w:lang w:val="fr-FR"/>
        </w:rPr>
        <w:t>’</w:t>
      </w:r>
      <w:r w:rsidRPr="00CC76D1">
        <w:rPr>
          <w:lang w:val="fr-FR"/>
        </w:rPr>
        <w:t>introduction des notions de lutte contre la corruption dans les programmes d</w:t>
      </w:r>
      <w:r w:rsidR="00474653">
        <w:rPr>
          <w:lang w:val="fr-FR"/>
        </w:rPr>
        <w:t>’</w:t>
      </w:r>
      <w:r w:rsidRPr="00CC76D1">
        <w:rPr>
          <w:lang w:val="fr-FR"/>
        </w:rPr>
        <w:t>enseignement, la création de clubs de l</w:t>
      </w:r>
      <w:r w:rsidR="00474653">
        <w:rPr>
          <w:lang w:val="fr-FR"/>
        </w:rPr>
        <w:t>’</w:t>
      </w:r>
      <w:r w:rsidRPr="00CC76D1">
        <w:rPr>
          <w:lang w:val="fr-FR"/>
        </w:rPr>
        <w:t>intégrité, etc.</w:t>
      </w:r>
      <w:r w:rsidR="008218E7">
        <w:rPr>
          <w:lang w:val="fr-FR"/>
        </w:rPr>
        <w:t> ;</w:t>
      </w:r>
    </w:p>
    <w:p w:rsidR="00EC4C5A" w:rsidRPr="00CC76D1" w:rsidRDefault="00EC4C5A" w:rsidP="006179A8">
      <w:pPr>
        <w:pStyle w:val="Bullet1G"/>
        <w:rPr>
          <w:lang w:val="fr-FR"/>
        </w:rPr>
      </w:pPr>
      <w:r w:rsidRPr="00CC76D1">
        <w:rPr>
          <w:lang w:val="fr-FR"/>
        </w:rPr>
        <w:t>Le 26 mars 2007, Sri Lanka a approuvé le Plan d</w:t>
      </w:r>
      <w:r w:rsidR="00474653">
        <w:rPr>
          <w:lang w:val="fr-FR"/>
        </w:rPr>
        <w:t>’</w:t>
      </w:r>
      <w:r w:rsidRPr="00CC76D1">
        <w:rPr>
          <w:lang w:val="fr-FR"/>
        </w:rPr>
        <w:t>action anticorruption pour l</w:t>
      </w:r>
      <w:r w:rsidR="00474653">
        <w:rPr>
          <w:lang w:val="fr-FR"/>
        </w:rPr>
        <w:t>’</w:t>
      </w:r>
      <w:r w:rsidRPr="00CC76D1">
        <w:rPr>
          <w:lang w:val="fr-FR"/>
        </w:rPr>
        <w:t>Asie et le Pacifique, fruit de l</w:t>
      </w:r>
      <w:r w:rsidR="00474653">
        <w:rPr>
          <w:lang w:val="fr-FR"/>
        </w:rPr>
        <w:t>’</w:t>
      </w:r>
      <w:r w:rsidRPr="00CC76D1">
        <w:rPr>
          <w:lang w:val="fr-FR"/>
        </w:rPr>
        <w:t>initiative de lutte contre la corruption de la Banque asiatique de développement et de l</w:t>
      </w:r>
      <w:r w:rsidR="00474653">
        <w:rPr>
          <w:lang w:val="fr-FR"/>
        </w:rPr>
        <w:t>’</w:t>
      </w:r>
      <w:r w:rsidRPr="00CC76D1">
        <w:rPr>
          <w:lang w:val="fr-FR"/>
        </w:rPr>
        <w:t>Organisation de coopération et de développement économiques (OCDE). Le Plan national de lutte contre la corruption a été élaboré la même année, à l</w:t>
      </w:r>
      <w:r w:rsidR="00474653">
        <w:rPr>
          <w:lang w:val="fr-FR"/>
        </w:rPr>
        <w:t>’</w:t>
      </w:r>
      <w:r w:rsidRPr="00CC76D1">
        <w:rPr>
          <w:lang w:val="fr-FR"/>
        </w:rPr>
        <w:t>issue d</w:t>
      </w:r>
      <w:r w:rsidR="00474653">
        <w:rPr>
          <w:lang w:val="fr-FR"/>
        </w:rPr>
        <w:t>’</w:t>
      </w:r>
      <w:r w:rsidRPr="00CC76D1">
        <w:rPr>
          <w:lang w:val="fr-FR"/>
        </w:rPr>
        <w:t>un processus de concertation et avec le concours de l</w:t>
      </w:r>
      <w:r w:rsidR="00474653">
        <w:rPr>
          <w:lang w:val="fr-FR"/>
        </w:rPr>
        <w:t>’</w:t>
      </w:r>
      <w:r w:rsidRPr="00CC76D1">
        <w:rPr>
          <w:lang w:val="fr-FR"/>
        </w:rPr>
        <w:t>Agence des États-Unis pour le développement international (USAID). Ce plan d</w:t>
      </w:r>
      <w:r w:rsidR="00474653">
        <w:rPr>
          <w:lang w:val="fr-FR"/>
        </w:rPr>
        <w:t>’</w:t>
      </w:r>
      <w:r w:rsidRPr="00CC76D1">
        <w:rPr>
          <w:lang w:val="fr-FR"/>
        </w:rPr>
        <w:t>action a permis de préciser d</w:t>
      </w:r>
      <w:r w:rsidR="00474653">
        <w:rPr>
          <w:lang w:val="fr-FR"/>
        </w:rPr>
        <w:t>’</w:t>
      </w:r>
      <w:r w:rsidRPr="00CC76D1">
        <w:rPr>
          <w:lang w:val="fr-FR"/>
        </w:rPr>
        <w:t>importants objectifs, ainsi que les mesures requises. Plusieurs recommandations ont été mises en œuvre.</w:t>
      </w:r>
    </w:p>
    <w:p w:rsidR="00EC4C5A" w:rsidRDefault="00EC4C5A" w:rsidP="006179A8">
      <w:pPr>
        <w:pStyle w:val="SingleTxtG"/>
        <w:rPr>
          <w:lang w:val="fr-FR"/>
        </w:rPr>
      </w:pPr>
      <w:r w:rsidRPr="00CC76D1">
        <w:rPr>
          <w:lang w:val="fr-FR"/>
        </w:rPr>
        <w:t>22.</w:t>
      </w:r>
      <w:r w:rsidRPr="00CC76D1">
        <w:rPr>
          <w:lang w:val="fr-FR"/>
        </w:rPr>
        <w:tab/>
        <w:t>Dans l</w:t>
      </w:r>
      <w:r w:rsidR="00474653">
        <w:rPr>
          <w:lang w:val="fr-FR"/>
        </w:rPr>
        <w:t>’</w:t>
      </w:r>
      <w:r w:rsidRPr="00CC76D1">
        <w:rPr>
          <w:lang w:val="fr-FR"/>
        </w:rPr>
        <w:t>intervalle, les enquêtes ouvertes par la Commission présidentielle d</w:t>
      </w:r>
      <w:r w:rsidR="00474653">
        <w:rPr>
          <w:lang w:val="fr-FR"/>
        </w:rPr>
        <w:t>’</w:t>
      </w:r>
      <w:r w:rsidRPr="00CC76D1">
        <w:rPr>
          <w:lang w:val="fr-FR"/>
        </w:rPr>
        <w:t>enquête établie pour enquêter sur les fraudes graves et la Division des investigations financières et fiscales, se poursuivent. Les statistiques rela</w:t>
      </w:r>
      <w:r w:rsidR="00CC5807">
        <w:rPr>
          <w:lang w:val="fr-FR"/>
        </w:rPr>
        <w:t>tives aux plaintes reçues par la</w:t>
      </w:r>
      <w:r w:rsidRPr="00CC76D1">
        <w:rPr>
          <w:lang w:val="fr-FR"/>
        </w:rPr>
        <w:t xml:space="preserve"> Division des investigations financières et fiscales (au 1</w:t>
      </w:r>
      <w:r w:rsidR="009D4926">
        <w:rPr>
          <w:lang w:val="fr-FR"/>
        </w:rPr>
        <w:t>5 mars 2017) sont les suivantes :</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A0" w:firstRow="1" w:lastRow="0" w:firstColumn="1" w:lastColumn="0" w:noHBand="0" w:noVBand="0"/>
      </w:tblPr>
      <w:tblGrid>
        <w:gridCol w:w="1474"/>
        <w:gridCol w:w="1474"/>
        <w:gridCol w:w="1474"/>
        <w:gridCol w:w="1474"/>
        <w:gridCol w:w="1474"/>
      </w:tblGrid>
      <w:tr w:rsidR="00505A4A" w:rsidRPr="009D4926" w:rsidTr="00F60DC8">
        <w:trPr>
          <w:tblHeader/>
        </w:trPr>
        <w:tc>
          <w:tcPr>
            <w:tcW w:w="1474" w:type="dxa"/>
            <w:shd w:val="clear" w:color="auto" w:fill="auto"/>
            <w:vAlign w:val="bottom"/>
          </w:tcPr>
          <w:p w:rsidR="00EC4C5A" w:rsidRPr="009D4926" w:rsidRDefault="00EC4C5A" w:rsidP="009D4926">
            <w:pPr>
              <w:suppressAutoHyphens w:val="0"/>
              <w:spacing w:before="80" w:after="80" w:line="200" w:lineRule="exact"/>
              <w:rPr>
                <w:i/>
                <w:sz w:val="16"/>
                <w:lang w:val="fr-FR"/>
              </w:rPr>
            </w:pPr>
            <w:r w:rsidRPr="009D4926">
              <w:rPr>
                <w:i/>
                <w:sz w:val="16"/>
                <w:lang w:val="fr-FR"/>
              </w:rPr>
              <w:t>Nombre de plaintes</w:t>
            </w:r>
          </w:p>
        </w:tc>
        <w:tc>
          <w:tcPr>
            <w:tcW w:w="1474" w:type="dxa"/>
            <w:shd w:val="clear" w:color="auto" w:fill="auto"/>
            <w:vAlign w:val="bottom"/>
          </w:tcPr>
          <w:p w:rsidR="00EC4C5A" w:rsidRPr="009D4926" w:rsidRDefault="006F5FE8" w:rsidP="00F60DC8">
            <w:pPr>
              <w:suppressAutoHyphens w:val="0"/>
              <w:spacing w:before="80" w:after="80" w:line="200" w:lineRule="exact"/>
              <w:jc w:val="right"/>
              <w:rPr>
                <w:i/>
                <w:sz w:val="16"/>
                <w:lang w:val="fr-FR"/>
              </w:rPr>
            </w:pPr>
            <w:r>
              <w:rPr>
                <w:i/>
                <w:sz w:val="16"/>
                <w:lang w:val="fr-FR"/>
              </w:rPr>
              <w:t>Nombre</w:t>
            </w:r>
            <w:r>
              <w:rPr>
                <w:i/>
                <w:sz w:val="16"/>
                <w:lang w:val="fr-FR"/>
              </w:rPr>
              <w:br/>
            </w:r>
            <w:r w:rsidR="00EC4C5A" w:rsidRPr="009D4926">
              <w:rPr>
                <w:i/>
                <w:sz w:val="16"/>
                <w:lang w:val="fr-FR"/>
              </w:rPr>
              <w:t>d</w:t>
            </w:r>
            <w:r w:rsidR="00474653" w:rsidRPr="009D4926">
              <w:rPr>
                <w:i/>
                <w:sz w:val="16"/>
                <w:lang w:val="fr-FR"/>
              </w:rPr>
              <w:t>’</w:t>
            </w:r>
            <w:r w:rsidR="00EC4C5A" w:rsidRPr="009D4926">
              <w:rPr>
                <w:i/>
                <w:sz w:val="16"/>
                <w:lang w:val="fr-FR"/>
              </w:rPr>
              <w:t>enquêtes</w:t>
            </w:r>
          </w:p>
        </w:tc>
        <w:tc>
          <w:tcPr>
            <w:tcW w:w="1474" w:type="dxa"/>
            <w:shd w:val="clear" w:color="auto" w:fill="auto"/>
            <w:vAlign w:val="bottom"/>
          </w:tcPr>
          <w:p w:rsidR="00EC4C5A" w:rsidRPr="009D4926" w:rsidRDefault="006F5FE8" w:rsidP="00F60DC8">
            <w:pPr>
              <w:suppressAutoHyphens w:val="0"/>
              <w:spacing w:before="80" w:after="80" w:line="200" w:lineRule="exact"/>
              <w:jc w:val="right"/>
              <w:rPr>
                <w:i/>
                <w:sz w:val="16"/>
                <w:lang w:val="fr-FR"/>
              </w:rPr>
            </w:pPr>
            <w:r>
              <w:rPr>
                <w:i/>
                <w:sz w:val="16"/>
                <w:lang w:val="fr-FR"/>
              </w:rPr>
              <w:t>Nombre</w:t>
            </w:r>
            <w:r>
              <w:rPr>
                <w:i/>
                <w:sz w:val="16"/>
                <w:lang w:val="fr-FR"/>
              </w:rPr>
              <w:br/>
            </w:r>
            <w:r w:rsidR="00EC4C5A" w:rsidRPr="009D4926">
              <w:rPr>
                <w:i/>
                <w:sz w:val="16"/>
                <w:lang w:val="fr-FR"/>
              </w:rPr>
              <w:t>de poursuites</w:t>
            </w:r>
          </w:p>
        </w:tc>
        <w:tc>
          <w:tcPr>
            <w:tcW w:w="1474" w:type="dxa"/>
            <w:shd w:val="clear" w:color="auto" w:fill="auto"/>
            <w:vAlign w:val="bottom"/>
          </w:tcPr>
          <w:p w:rsidR="00EC4C5A" w:rsidRPr="009D4926" w:rsidRDefault="00EC4C5A" w:rsidP="00F60DC8">
            <w:pPr>
              <w:suppressAutoHyphens w:val="0"/>
              <w:spacing w:before="80" w:after="80" w:line="200" w:lineRule="exact"/>
              <w:jc w:val="right"/>
              <w:rPr>
                <w:i/>
                <w:sz w:val="16"/>
                <w:lang w:val="fr-FR"/>
              </w:rPr>
            </w:pPr>
            <w:r w:rsidRPr="009D4926">
              <w:rPr>
                <w:i/>
                <w:sz w:val="16"/>
                <w:lang w:val="fr-FR"/>
              </w:rPr>
              <w:t>Nombre d</w:t>
            </w:r>
            <w:r w:rsidR="00474653" w:rsidRPr="009D4926">
              <w:rPr>
                <w:i/>
                <w:sz w:val="16"/>
                <w:lang w:val="fr-FR"/>
              </w:rPr>
              <w:t>’</w:t>
            </w:r>
            <w:r w:rsidRPr="009D4926">
              <w:rPr>
                <w:i/>
                <w:sz w:val="16"/>
                <w:lang w:val="fr-FR"/>
              </w:rPr>
              <w:t>affaires transmises</w:t>
            </w:r>
            <w:r w:rsidR="00505A4A" w:rsidRPr="009D4926">
              <w:rPr>
                <w:i/>
                <w:sz w:val="16"/>
                <w:lang w:val="fr-FR"/>
              </w:rPr>
              <w:br/>
            </w:r>
            <w:r w:rsidRPr="009D4926">
              <w:rPr>
                <w:i/>
                <w:sz w:val="16"/>
                <w:lang w:val="fr-FR"/>
              </w:rPr>
              <w:t>au Bureau de</w:t>
            </w:r>
            <w:r w:rsidR="00505A4A" w:rsidRPr="009D4926">
              <w:rPr>
                <w:i/>
                <w:sz w:val="16"/>
                <w:lang w:val="fr-FR"/>
              </w:rPr>
              <w:br/>
            </w:r>
            <w:r w:rsidRPr="009D4926">
              <w:rPr>
                <w:i/>
                <w:sz w:val="16"/>
                <w:lang w:val="fr-FR"/>
              </w:rPr>
              <w:t>l</w:t>
            </w:r>
            <w:r w:rsidR="00474653" w:rsidRPr="009D4926">
              <w:rPr>
                <w:i/>
                <w:sz w:val="16"/>
                <w:lang w:val="fr-FR"/>
              </w:rPr>
              <w:t>’</w:t>
            </w:r>
            <w:r w:rsidRPr="009D4926">
              <w:rPr>
                <w:i/>
                <w:sz w:val="16"/>
                <w:lang w:val="fr-FR"/>
              </w:rPr>
              <w:t>Attorney General</w:t>
            </w:r>
          </w:p>
        </w:tc>
        <w:tc>
          <w:tcPr>
            <w:tcW w:w="1474" w:type="dxa"/>
            <w:shd w:val="clear" w:color="auto" w:fill="auto"/>
            <w:vAlign w:val="bottom"/>
          </w:tcPr>
          <w:p w:rsidR="00EC4C5A" w:rsidRPr="009D4926" w:rsidRDefault="006F5FE8" w:rsidP="00F60DC8">
            <w:pPr>
              <w:suppressAutoHyphens w:val="0"/>
              <w:spacing w:before="80" w:after="80" w:line="200" w:lineRule="exact"/>
              <w:jc w:val="right"/>
              <w:rPr>
                <w:i/>
                <w:sz w:val="16"/>
                <w:lang w:val="fr-FR"/>
              </w:rPr>
            </w:pPr>
            <w:r>
              <w:rPr>
                <w:i/>
                <w:sz w:val="16"/>
                <w:lang w:val="fr-FR"/>
              </w:rPr>
              <w:t>Nombre de </w:t>
            </w:r>
            <w:r w:rsidR="00EC4C5A" w:rsidRPr="009D4926">
              <w:rPr>
                <w:i/>
                <w:sz w:val="16"/>
                <w:lang w:val="fr-FR"/>
              </w:rPr>
              <w:t>condamnations</w:t>
            </w:r>
          </w:p>
        </w:tc>
      </w:tr>
      <w:tr w:rsidR="00505A4A" w:rsidRPr="009D4926" w:rsidTr="009D4926">
        <w:tc>
          <w:tcPr>
            <w:tcW w:w="1474" w:type="dxa"/>
            <w:shd w:val="clear" w:color="auto" w:fill="auto"/>
          </w:tcPr>
          <w:p w:rsidR="00EC4C5A" w:rsidRPr="009D4926" w:rsidRDefault="00EC4C5A" w:rsidP="009D4926">
            <w:pPr>
              <w:suppressAutoHyphens w:val="0"/>
              <w:spacing w:before="40" w:after="40" w:line="220" w:lineRule="exact"/>
              <w:rPr>
                <w:sz w:val="18"/>
                <w:szCs w:val="18"/>
                <w:lang w:val="fr-FR"/>
              </w:rPr>
            </w:pPr>
            <w:r w:rsidRPr="009D4926">
              <w:rPr>
                <w:sz w:val="18"/>
                <w:szCs w:val="18"/>
                <w:lang w:val="fr-FR"/>
              </w:rPr>
              <w:t>327</w:t>
            </w:r>
          </w:p>
        </w:tc>
        <w:tc>
          <w:tcPr>
            <w:tcW w:w="1474" w:type="dxa"/>
            <w:shd w:val="clear" w:color="auto" w:fill="auto"/>
            <w:vAlign w:val="bottom"/>
          </w:tcPr>
          <w:p w:rsidR="00EC4C5A" w:rsidRPr="009D4926" w:rsidRDefault="00EC4C5A" w:rsidP="009D4926">
            <w:pPr>
              <w:suppressAutoHyphens w:val="0"/>
              <w:spacing w:before="40" w:after="40" w:line="220" w:lineRule="exact"/>
              <w:jc w:val="right"/>
              <w:rPr>
                <w:sz w:val="18"/>
                <w:szCs w:val="18"/>
                <w:lang w:val="fr-FR"/>
              </w:rPr>
            </w:pPr>
            <w:r w:rsidRPr="009D4926">
              <w:rPr>
                <w:sz w:val="18"/>
                <w:szCs w:val="18"/>
                <w:lang w:val="fr-FR"/>
              </w:rPr>
              <w:t>327</w:t>
            </w:r>
          </w:p>
        </w:tc>
        <w:tc>
          <w:tcPr>
            <w:tcW w:w="1474" w:type="dxa"/>
            <w:shd w:val="clear" w:color="auto" w:fill="auto"/>
            <w:vAlign w:val="bottom"/>
          </w:tcPr>
          <w:p w:rsidR="00EC4C5A" w:rsidRPr="009D4926" w:rsidRDefault="00EC4C5A" w:rsidP="009D4926">
            <w:pPr>
              <w:suppressAutoHyphens w:val="0"/>
              <w:spacing w:before="40" w:after="40" w:line="220" w:lineRule="exact"/>
              <w:jc w:val="right"/>
              <w:rPr>
                <w:sz w:val="18"/>
                <w:szCs w:val="18"/>
                <w:lang w:val="fr-FR"/>
              </w:rPr>
            </w:pPr>
            <w:r w:rsidRPr="009D4926">
              <w:rPr>
                <w:sz w:val="18"/>
                <w:szCs w:val="18"/>
                <w:lang w:val="fr-FR"/>
              </w:rPr>
              <w:t>12</w:t>
            </w:r>
          </w:p>
        </w:tc>
        <w:tc>
          <w:tcPr>
            <w:tcW w:w="1474" w:type="dxa"/>
            <w:shd w:val="clear" w:color="auto" w:fill="auto"/>
            <w:vAlign w:val="bottom"/>
          </w:tcPr>
          <w:p w:rsidR="00EC4C5A" w:rsidRPr="009D4926" w:rsidRDefault="00EC4C5A" w:rsidP="009D4926">
            <w:pPr>
              <w:suppressAutoHyphens w:val="0"/>
              <w:spacing w:before="40" w:after="40" w:line="220" w:lineRule="exact"/>
              <w:jc w:val="right"/>
              <w:rPr>
                <w:sz w:val="18"/>
                <w:szCs w:val="18"/>
                <w:lang w:val="fr-FR"/>
              </w:rPr>
            </w:pPr>
            <w:r w:rsidRPr="009D4926">
              <w:rPr>
                <w:sz w:val="18"/>
                <w:szCs w:val="18"/>
                <w:lang w:val="fr-FR"/>
              </w:rPr>
              <w:t>76</w:t>
            </w:r>
          </w:p>
        </w:tc>
        <w:tc>
          <w:tcPr>
            <w:tcW w:w="1474" w:type="dxa"/>
            <w:shd w:val="clear" w:color="auto" w:fill="auto"/>
            <w:vAlign w:val="bottom"/>
          </w:tcPr>
          <w:p w:rsidR="00EC4C5A" w:rsidRPr="009D4926" w:rsidRDefault="00EC4C5A" w:rsidP="009D4926">
            <w:pPr>
              <w:suppressAutoHyphens w:val="0"/>
              <w:spacing w:before="40" w:after="40" w:line="220" w:lineRule="exact"/>
              <w:jc w:val="right"/>
              <w:rPr>
                <w:sz w:val="18"/>
                <w:szCs w:val="18"/>
                <w:lang w:val="fr-FR"/>
              </w:rPr>
            </w:pPr>
            <w:r w:rsidRPr="009D4926">
              <w:rPr>
                <w:sz w:val="18"/>
                <w:szCs w:val="18"/>
                <w:lang w:val="fr-FR"/>
              </w:rPr>
              <w:t>-</w:t>
            </w:r>
          </w:p>
        </w:tc>
      </w:tr>
    </w:tbl>
    <w:p w:rsidR="00EC4C5A" w:rsidRPr="00CC76D1" w:rsidRDefault="00EC4C5A" w:rsidP="00505A4A">
      <w:pPr>
        <w:pStyle w:val="H23G"/>
        <w:rPr>
          <w:lang w:val="fr-FR"/>
        </w:rPr>
      </w:pPr>
      <w:r w:rsidRPr="00CC76D1">
        <w:rPr>
          <w:lang w:val="fr-FR"/>
        </w:rPr>
        <w:tab/>
        <w:t>5.</w:t>
      </w:r>
      <w:r w:rsidRPr="00CC76D1">
        <w:rPr>
          <w:lang w:val="fr-FR"/>
        </w:rPr>
        <w:tab/>
        <w:t>Mesures prises pour prévenir et combattre la corruption concernant l</w:t>
      </w:r>
      <w:r w:rsidR="00474653">
        <w:rPr>
          <w:lang w:val="fr-FR"/>
        </w:rPr>
        <w:t>’</w:t>
      </w:r>
      <w:r w:rsidRPr="00CC76D1">
        <w:rPr>
          <w:lang w:val="fr-FR"/>
        </w:rPr>
        <w:t>acquisition, l</w:t>
      </w:r>
      <w:r w:rsidR="00474653">
        <w:rPr>
          <w:lang w:val="fr-FR"/>
        </w:rPr>
        <w:t>’</w:t>
      </w:r>
      <w:r w:rsidRPr="00CC76D1">
        <w:rPr>
          <w:lang w:val="fr-FR"/>
        </w:rPr>
        <w:t>occupation et la vente de terres et de biens</w:t>
      </w:r>
    </w:p>
    <w:p w:rsidR="00EC4C5A" w:rsidRPr="00CC76D1" w:rsidRDefault="00EC4C5A" w:rsidP="00E44D44">
      <w:pPr>
        <w:pStyle w:val="SingleTxtG"/>
        <w:rPr>
          <w:lang w:val="fr-FR"/>
        </w:rPr>
      </w:pPr>
      <w:r w:rsidRPr="00CC76D1">
        <w:rPr>
          <w:lang w:val="fr-FR"/>
        </w:rPr>
        <w:t>23.</w:t>
      </w:r>
      <w:r w:rsidRPr="00CC76D1">
        <w:rPr>
          <w:lang w:val="fr-FR"/>
        </w:rPr>
        <w:tab/>
        <w:t>L</w:t>
      </w:r>
      <w:r w:rsidR="00474653">
        <w:rPr>
          <w:lang w:val="fr-FR"/>
        </w:rPr>
        <w:t>’</w:t>
      </w:r>
      <w:r w:rsidRPr="00CC76D1">
        <w:rPr>
          <w:lang w:val="fr-FR"/>
        </w:rPr>
        <w:t xml:space="preserve">acquisition de terres à des fins publiques est régie par un certain nombre de procédures juridiques et administratives énoncées dans la loi </w:t>
      </w:r>
      <w:r w:rsidR="00BE4797" w:rsidRPr="00BE4797">
        <w:rPr>
          <w:rFonts w:eastAsia="MS Mincho"/>
          <w:lang w:val="fr-FR"/>
        </w:rPr>
        <w:t>n</w:t>
      </w:r>
      <w:r w:rsidR="00BE4797" w:rsidRPr="00BE4797">
        <w:rPr>
          <w:rFonts w:eastAsia="MS Mincho"/>
          <w:vertAlign w:val="superscript"/>
          <w:lang w:val="fr-FR"/>
        </w:rPr>
        <w:t>o</w:t>
      </w:r>
      <w:r w:rsidR="00BE4797" w:rsidRPr="00BE4797">
        <w:rPr>
          <w:lang w:val="fr-FR"/>
        </w:rPr>
        <w:t> </w:t>
      </w:r>
      <w:r w:rsidR="00B9209A">
        <w:rPr>
          <w:lang w:val="fr-FR"/>
        </w:rPr>
        <w:t>28 de 10</w:t>
      </w:r>
      <w:r w:rsidRPr="00CC76D1">
        <w:rPr>
          <w:lang w:val="fr-FR"/>
        </w:rPr>
        <w:t>64 sur l</w:t>
      </w:r>
      <w:r w:rsidR="00474653">
        <w:rPr>
          <w:lang w:val="fr-FR"/>
        </w:rPr>
        <w:t>’</w:t>
      </w:r>
      <w:r w:rsidRPr="00CC76D1">
        <w:rPr>
          <w:lang w:val="fr-FR"/>
        </w:rPr>
        <w:t>acquisition des terres, auxquelles les organismes publics doivent se soumettre. Ces procédures visent à assurer la transparence du processus et à protéger les droits des propriétaires fonciers.</w:t>
      </w:r>
    </w:p>
    <w:p w:rsidR="00EC4C5A" w:rsidRPr="00CC76D1" w:rsidRDefault="00EC4C5A" w:rsidP="00E44D44">
      <w:pPr>
        <w:pStyle w:val="SingleTxtG"/>
        <w:rPr>
          <w:lang w:val="fr-FR"/>
        </w:rPr>
      </w:pPr>
      <w:r w:rsidRPr="00CC76D1">
        <w:rPr>
          <w:lang w:val="fr-FR"/>
        </w:rPr>
        <w:t>24.</w:t>
      </w:r>
      <w:r w:rsidRPr="00CC76D1">
        <w:rPr>
          <w:lang w:val="fr-FR"/>
        </w:rPr>
        <w:tab/>
        <w:t>Tout personne publique (ministère, service, société, établissement, conseil provincial ou administration locale) souhaitant acquérir des terres pour les affecter à un usage public est tenue de transmettre son projet d</w:t>
      </w:r>
      <w:r w:rsidR="00474653">
        <w:rPr>
          <w:lang w:val="fr-FR"/>
        </w:rPr>
        <w:t>’</w:t>
      </w:r>
      <w:r w:rsidRPr="00CC76D1">
        <w:rPr>
          <w:lang w:val="fr-FR"/>
        </w:rPr>
        <w:t xml:space="preserve">acquisition au secrétariat de son ministère de tutelle qui le fait parvenir à son tour au secrétariat du Ministère des affaires foncières. </w:t>
      </w:r>
    </w:p>
    <w:p w:rsidR="002E5A4A" w:rsidRDefault="00EC4C5A" w:rsidP="00E44D44">
      <w:pPr>
        <w:pStyle w:val="SingleTxtG"/>
        <w:rPr>
          <w:lang w:val="fr-FR"/>
        </w:rPr>
      </w:pPr>
      <w:r w:rsidRPr="00CC76D1">
        <w:rPr>
          <w:lang w:val="fr-FR"/>
        </w:rPr>
        <w:t>25.</w:t>
      </w:r>
      <w:r w:rsidRPr="00CC76D1">
        <w:rPr>
          <w:lang w:val="fr-FR"/>
        </w:rPr>
        <w:tab/>
        <w:t>La procédure d</w:t>
      </w:r>
      <w:r w:rsidR="00474653">
        <w:rPr>
          <w:lang w:val="fr-FR"/>
        </w:rPr>
        <w:t>’</w:t>
      </w:r>
      <w:r w:rsidRPr="00CC76D1">
        <w:rPr>
          <w:lang w:val="fr-FR"/>
        </w:rPr>
        <w:t>acquisition est lancée après l</w:t>
      </w:r>
      <w:r w:rsidR="00474653">
        <w:rPr>
          <w:lang w:val="fr-FR"/>
        </w:rPr>
        <w:t>’</w:t>
      </w:r>
      <w:r w:rsidRPr="00CC76D1">
        <w:rPr>
          <w:lang w:val="fr-FR"/>
        </w:rPr>
        <w:t>examen de la légitimité du projet et l</w:t>
      </w:r>
      <w:r w:rsidR="00474653">
        <w:rPr>
          <w:lang w:val="fr-FR"/>
        </w:rPr>
        <w:t>’</w:t>
      </w:r>
      <w:r w:rsidRPr="00CC76D1">
        <w:rPr>
          <w:lang w:val="fr-FR"/>
        </w:rPr>
        <w:t>approbation du Ministère des affaires foncières. Une indemnisation et des intérêts sont versés aux propriétaires des terres concernées. Les différentes étapes de cette procédure sont ex</w:t>
      </w:r>
      <w:r w:rsidR="002E5A4A">
        <w:rPr>
          <w:lang w:val="fr-FR"/>
        </w:rPr>
        <w:t>posées dans le tableau ci-après :</w:t>
      </w:r>
    </w:p>
    <w:p w:rsidR="00EC4C5A" w:rsidRPr="00CC76D1" w:rsidRDefault="002E5A4A" w:rsidP="00E44D44">
      <w:pPr>
        <w:pStyle w:val="SingleTxtG"/>
        <w:rPr>
          <w:lang w:val="fr-FR"/>
        </w:rPr>
      </w:pPr>
      <w:r>
        <w:rPr>
          <w:lang w:val="fr-FR"/>
        </w:rPr>
        <w:br w:type="page"/>
      </w:r>
    </w:p>
    <w:tbl>
      <w:tblPr>
        <w:tblW w:w="7370" w:type="dxa"/>
        <w:tblInd w:w="1134" w:type="dxa"/>
        <w:tblLayout w:type="fixed"/>
        <w:tblCellMar>
          <w:left w:w="0" w:type="dxa"/>
          <w:right w:w="0" w:type="dxa"/>
        </w:tblCellMar>
        <w:tblLook w:val="00A0" w:firstRow="1" w:lastRow="0" w:firstColumn="1" w:lastColumn="0" w:noHBand="0" w:noVBand="0"/>
      </w:tblPr>
      <w:tblGrid>
        <w:gridCol w:w="2754"/>
        <w:gridCol w:w="4616"/>
      </w:tblGrid>
      <w:tr w:rsidR="002E5A4A" w:rsidRPr="002E5A4A" w:rsidTr="002E5A4A">
        <w:trPr>
          <w:tblHeader/>
        </w:trPr>
        <w:tc>
          <w:tcPr>
            <w:tcW w:w="275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EC4C5A" w:rsidRPr="002E5A4A" w:rsidRDefault="00EC4C5A" w:rsidP="003F099F">
            <w:pPr>
              <w:keepNext/>
              <w:spacing w:before="80" w:after="80" w:line="200" w:lineRule="exact"/>
              <w:ind w:right="113"/>
              <w:rPr>
                <w:i/>
                <w:sz w:val="16"/>
                <w:lang w:val="fr-FR"/>
              </w:rPr>
            </w:pPr>
            <w:r w:rsidRPr="002E5A4A">
              <w:rPr>
                <w:i/>
                <w:sz w:val="16"/>
                <w:lang w:val="fr-FR"/>
              </w:rPr>
              <w:t>Formulaire</w:t>
            </w:r>
            <w:r w:rsidR="003F099F">
              <w:rPr>
                <w:i/>
                <w:sz w:val="16"/>
                <w:lang w:val="fr-FR"/>
              </w:rPr>
              <w:t>s</w:t>
            </w:r>
            <w:r w:rsidRPr="002E5A4A">
              <w:rPr>
                <w:i/>
                <w:sz w:val="16"/>
                <w:lang w:val="fr-FR"/>
              </w:rPr>
              <w:t xml:space="preserve"> de demande d</w:t>
            </w:r>
            <w:r w:rsidR="00474653">
              <w:rPr>
                <w:i/>
                <w:sz w:val="16"/>
                <w:lang w:val="fr-FR"/>
              </w:rPr>
              <w:t>’</w:t>
            </w:r>
            <w:r w:rsidRPr="002E5A4A">
              <w:rPr>
                <w:i/>
                <w:sz w:val="16"/>
                <w:lang w:val="fr-FR"/>
              </w:rPr>
              <w:t>acquisition 01, 02, 03, 04</w:t>
            </w:r>
          </w:p>
        </w:tc>
        <w:tc>
          <w:tcPr>
            <w:tcW w:w="4616"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EC4C5A" w:rsidRPr="002E5A4A" w:rsidRDefault="00EC4C5A" w:rsidP="002E5A4A">
            <w:pPr>
              <w:spacing w:before="80" w:after="80" w:line="200" w:lineRule="exact"/>
              <w:ind w:right="113"/>
              <w:rPr>
                <w:i/>
                <w:sz w:val="16"/>
                <w:lang w:val="fr-FR"/>
              </w:rPr>
            </w:pPr>
            <w:r w:rsidRPr="002E5A4A">
              <w:rPr>
                <w:i/>
                <w:sz w:val="16"/>
                <w:lang w:val="fr-FR"/>
              </w:rPr>
              <w:t>Institution requérante</w:t>
            </w:r>
            <w:r w:rsidR="00D14B51" w:rsidRPr="002E5A4A">
              <w:rPr>
                <w:i/>
                <w:sz w:val="16"/>
                <w:lang w:val="fr-FR"/>
              </w:rPr>
              <w:t xml:space="preserve"> −</w:t>
            </w:r>
            <w:r w:rsidRPr="002E5A4A">
              <w:rPr>
                <w:i/>
                <w:sz w:val="16"/>
                <w:lang w:val="fr-FR"/>
              </w:rPr>
              <w:t xml:space="preserve"> transmission de la demande par le </w:t>
            </w:r>
            <w:r w:rsidR="00EA541E" w:rsidRPr="002E5A4A">
              <w:rPr>
                <w:i/>
                <w:sz w:val="16"/>
                <w:lang w:val="fr-FR"/>
              </w:rPr>
              <w:t>M</w:t>
            </w:r>
            <w:r w:rsidRPr="002E5A4A">
              <w:rPr>
                <w:i/>
                <w:sz w:val="16"/>
                <w:lang w:val="fr-FR"/>
              </w:rPr>
              <w:t>inistère de tutelle</w:t>
            </w:r>
          </w:p>
        </w:tc>
      </w:tr>
      <w:tr w:rsidR="002E5A4A" w:rsidRPr="002E5A4A" w:rsidTr="002E5A4A">
        <w:trPr>
          <w:trHeight w:hRule="exact" w:val="113"/>
          <w:tblHeader/>
        </w:trPr>
        <w:tc>
          <w:tcPr>
            <w:tcW w:w="2754" w:type="dxa"/>
            <w:tcBorders>
              <w:top w:val="single" w:sz="12" w:space="0" w:color="auto"/>
            </w:tcBorders>
            <w:shd w:val="clear" w:color="auto" w:fill="auto"/>
            <w:tcMar>
              <w:top w:w="0" w:type="dxa"/>
              <w:left w:w="0" w:type="dxa"/>
              <w:bottom w:w="0" w:type="dxa"/>
              <w:right w:w="0" w:type="dxa"/>
            </w:tcMar>
          </w:tcPr>
          <w:p w:rsidR="002E5A4A" w:rsidRPr="002E5A4A" w:rsidRDefault="002E5A4A" w:rsidP="002E5A4A">
            <w:pPr>
              <w:spacing w:before="40" w:after="120"/>
              <w:ind w:right="113"/>
              <w:rPr>
                <w:lang w:val="fr-FR"/>
              </w:rPr>
            </w:pPr>
          </w:p>
        </w:tc>
        <w:tc>
          <w:tcPr>
            <w:tcW w:w="4616" w:type="dxa"/>
            <w:tcBorders>
              <w:top w:val="single" w:sz="12" w:space="0" w:color="auto"/>
            </w:tcBorders>
            <w:shd w:val="clear" w:color="auto" w:fill="auto"/>
            <w:tcMar>
              <w:top w:w="0" w:type="dxa"/>
              <w:left w:w="0" w:type="dxa"/>
              <w:bottom w:w="0" w:type="dxa"/>
              <w:right w:w="0" w:type="dxa"/>
            </w:tcMar>
          </w:tcPr>
          <w:p w:rsidR="002E5A4A" w:rsidRPr="002E5A4A" w:rsidRDefault="002E5A4A" w:rsidP="002E5A4A">
            <w:pPr>
              <w:spacing w:before="40" w:after="120"/>
              <w:ind w:right="113"/>
              <w:rPr>
                <w:lang w:val="fr-FR"/>
              </w:rPr>
            </w:pPr>
          </w:p>
        </w:tc>
      </w:tr>
      <w:tr w:rsidR="00EC4C5A" w:rsidRPr="002E5A4A" w:rsidTr="002E5A4A">
        <w:tc>
          <w:tcPr>
            <w:tcW w:w="2754" w:type="dxa"/>
            <w:shd w:val="clear" w:color="auto" w:fill="auto"/>
            <w:tcMar>
              <w:top w:w="0" w:type="dxa"/>
              <w:left w:w="0" w:type="dxa"/>
              <w:bottom w:w="0" w:type="dxa"/>
              <w:right w:w="0" w:type="dxa"/>
            </w:tcMar>
          </w:tcPr>
          <w:p w:rsidR="00EC4C5A" w:rsidRPr="00DB1E4A" w:rsidRDefault="00EC4C5A" w:rsidP="00DB1E4A">
            <w:pPr>
              <w:spacing w:before="40" w:after="120" w:line="220" w:lineRule="atLeast"/>
              <w:ind w:right="113"/>
              <w:rPr>
                <w:sz w:val="18"/>
                <w:szCs w:val="18"/>
                <w:lang w:val="fr-FR"/>
              </w:rPr>
            </w:pPr>
            <w:r w:rsidRPr="00DB1E4A">
              <w:rPr>
                <w:sz w:val="18"/>
                <w:szCs w:val="18"/>
                <w:lang w:val="fr-FR"/>
              </w:rPr>
              <w:t>Section 2</w:t>
            </w:r>
            <w:r w:rsidR="00A01E05">
              <w:rPr>
                <w:sz w:val="18"/>
                <w:szCs w:val="18"/>
                <w:lang w:val="fr-FR"/>
              </w:rPr>
              <w:t>.</w:t>
            </w:r>
            <w:r w:rsidRPr="00DB1E4A">
              <w:rPr>
                <w:sz w:val="18"/>
                <w:szCs w:val="18"/>
                <w:lang w:val="fr-FR"/>
              </w:rPr>
              <w:t xml:space="preserve"> Direction</w:t>
            </w:r>
          </w:p>
        </w:tc>
        <w:tc>
          <w:tcPr>
            <w:tcW w:w="4616" w:type="dxa"/>
            <w:shd w:val="clear" w:color="auto" w:fill="auto"/>
            <w:tcMar>
              <w:top w:w="0" w:type="dxa"/>
              <w:left w:w="0" w:type="dxa"/>
              <w:bottom w:w="0" w:type="dxa"/>
              <w:right w:w="0" w:type="dxa"/>
            </w:tcMar>
          </w:tcPr>
          <w:p w:rsidR="00EC4C5A" w:rsidRPr="00DB1E4A" w:rsidRDefault="00EC4C5A" w:rsidP="00DB1E4A">
            <w:pPr>
              <w:spacing w:before="40" w:after="120" w:line="220" w:lineRule="atLeast"/>
              <w:ind w:right="113"/>
              <w:rPr>
                <w:sz w:val="18"/>
                <w:szCs w:val="18"/>
                <w:lang w:val="fr-FR"/>
              </w:rPr>
            </w:pPr>
            <w:r w:rsidRPr="00DB1E4A">
              <w:rPr>
                <w:sz w:val="18"/>
                <w:szCs w:val="18"/>
                <w:lang w:val="fr-FR"/>
              </w:rPr>
              <w:t xml:space="preserve">Ministère des affaires foncières </w:t>
            </w:r>
            <w:r w:rsidR="00D14B51" w:rsidRPr="00DB1E4A">
              <w:rPr>
                <w:sz w:val="18"/>
                <w:szCs w:val="18"/>
                <w:lang w:val="fr-FR"/>
              </w:rPr>
              <w:t>−</w:t>
            </w:r>
            <w:r w:rsidR="005667B7">
              <w:rPr>
                <w:sz w:val="18"/>
                <w:szCs w:val="18"/>
                <w:lang w:val="fr-FR"/>
              </w:rPr>
              <w:t xml:space="preserve"> a</w:t>
            </w:r>
            <w:r w:rsidRPr="00DB1E4A">
              <w:rPr>
                <w:sz w:val="18"/>
                <w:szCs w:val="18"/>
                <w:lang w:val="fr-FR"/>
              </w:rPr>
              <w:t>utorise la procédure d</w:t>
            </w:r>
            <w:r w:rsidR="00474653">
              <w:rPr>
                <w:sz w:val="18"/>
                <w:szCs w:val="18"/>
                <w:lang w:val="fr-FR"/>
              </w:rPr>
              <w:t>’</w:t>
            </w:r>
            <w:r w:rsidRPr="00DB1E4A">
              <w:rPr>
                <w:sz w:val="18"/>
                <w:szCs w:val="18"/>
                <w:lang w:val="fr-FR"/>
              </w:rPr>
              <w:t>acquisition et décide si l</w:t>
            </w:r>
            <w:r w:rsidR="00474653">
              <w:rPr>
                <w:sz w:val="18"/>
                <w:szCs w:val="18"/>
                <w:lang w:val="fr-FR"/>
              </w:rPr>
              <w:t>’</w:t>
            </w:r>
            <w:r w:rsidRPr="00DB1E4A">
              <w:rPr>
                <w:sz w:val="18"/>
                <w:szCs w:val="18"/>
                <w:lang w:val="fr-FR"/>
              </w:rPr>
              <w:t>affectation des terres à un usage public est justifiée</w:t>
            </w:r>
          </w:p>
        </w:tc>
      </w:tr>
      <w:tr w:rsidR="00EC4C5A" w:rsidRPr="002E5A4A" w:rsidTr="002E5A4A">
        <w:tc>
          <w:tcPr>
            <w:tcW w:w="2754" w:type="dxa"/>
            <w:shd w:val="clear" w:color="auto" w:fill="auto"/>
            <w:tcMar>
              <w:top w:w="0" w:type="dxa"/>
              <w:left w:w="0" w:type="dxa"/>
              <w:bottom w:w="0" w:type="dxa"/>
              <w:right w:w="0" w:type="dxa"/>
            </w:tcMar>
          </w:tcPr>
          <w:p w:rsidR="00EC4C5A" w:rsidRPr="00DB1E4A" w:rsidRDefault="00EC4C5A" w:rsidP="00C47B9C">
            <w:pPr>
              <w:spacing w:before="40" w:after="120" w:line="220" w:lineRule="atLeast"/>
              <w:ind w:right="113"/>
              <w:rPr>
                <w:sz w:val="18"/>
                <w:szCs w:val="18"/>
                <w:lang w:val="fr-FR"/>
              </w:rPr>
            </w:pPr>
            <w:r w:rsidRPr="00DB1E4A">
              <w:rPr>
                <w:sz w:val="18"/>
                <w:szCs w:val="18"/>
                <w:lang w:val="fr-FR"/>
              </w:rPr>
              <w:t>Section 2</w:t>
            </w:r>
            <w:r w:rsidR="00A01E05">
              <w:rPr>
                <w:sz w:val="18"/>
                <w:szCs w:val="18"/>
                <w:lang w:val="fr-FR"/>
              </w:rPr>
              <w:t>.</w:t>
            </w:r>
            <w:r w:rsidRPr="00DB1E4A">
              <w:rPr>
                <w:sz w:val="18"/>
                <w:szCs w:val="18"/>
                <w:lang w:val="fr-FR"/>
              </w:rPr>
              <w:t xml:space="preserve"> Notification</w:t>
            </w:r>
            <w:r w:rsidR="00C47B9C">
              <w:rPr>
                <w:sz w:val="18"/>
                <w:szCs w:val="18"/>
                <w:lang w:val="fr-FR"/>
              </w:rPr>
              <w:t xml:space="preserve"> </w:t>
            </w:r>
            <w:r w:rsidR="00157435">
              <w:rPr>
                <w:sz w:val="18"/>
                <w:szCs w:val="18"/>
                <w:lang w:val="fr-FR"/>
              </w:rPr>
              <w:t xml:space="preserve">en </w:t>
            </w:r>
            <w:r w:rsidRPr="00DB1E4A">
              <w:rPr>
                <w:sz w:val="18"/>
                <w:szCs w:val="18"/>
                <w:lang w:val="fr-FR"/>
              </w:rPr>
              <w:t>cinghalais, tamoul et anglais</w:t>
            </w:r>
          </w:p>
        </w:tc>
        <w:tc>
          <w:tcPr>
            <w:tcW w:w="4616" w:type="dxa"/>
            <w:shd w:val="clear" w:color="auto" w:fill="auto"/>
            <w:tcMar>
              <w:top w:w="0" w:type="dxa"/>
              <w:left w:w="0" w:type="dxa"/>
              <w:bottom w:w="0" w:type="dxa"/>
              <w:right w:w="0" w:type="dxa"/>
            </w:tcMar>
          </w:tcPr>
          <w:p w:rsidR="00EC4C5A" w:rsidRPr="00DB1E4A" w:rsidRDefault="00EC4C5A" w:rsidP="005667B7">
            <w:pPr>
              <w:spacing w:before="40" w:after="120" w:line="220" w:lineRule="atLeast"/>
              <w:ind w:right="113"/>
              <w:rPr>
                <w:sz w:val="18"/>
                <w:szCs w:val="18"/>
                <w:lang w:val="fr-FR"/>
              </w:rPr>
            </w:pPr>
            <w:r w:rsidRPr="00DB1E4A">
              <w:rPr>
                <w:sz w:val="18"/>
                <w:szCs w:val="18"/>
                <w:lang w:val="fr-FR"/>
              </w:rPr>
              <w:t xml:space="preserve">Secrétaire divisionnaire </w:t>
            </w:r>
            <w:r w:rsidR="00D14B51" w:rsidRPr="00DB1E4A">
              <w:rPr>
                <w:sz w:val="18"/>
                <w:szCs w:val="18"/>
                <w:lang w:val="fr-FR"/>
              </w:rPr>
              <w:t>−</w:t>
            </w:r>
            <w:r w:rsidRPr="00DB1E4A">
              <w:rPr>
                <w:sz w:val="18"/>
                <w:szCs w:val="18"/>
                <w:lang w:val="fr-FR"/>
              </w:rPr>
              <w:t xml:space="preserve"> </w:t>
            </w:r>
            <w:r w:rsidR="005667B7">
              <w:rPr>
                <w:sz w:val="18"/>
                <w:szCs w:val="18"/>
                <w:lang w:val="fr-FR"/>
              </w:rPr>
              <w:t>p</w:t>
            </w:r>
            <w:r w:rsidRPr="00DB1E4A">
              <w:rPr>
                <w:sz w:val="18"/>
                <w:szCs w:val="18"/>
                <w:lang w:val="fr-FR"/>
              </w:rPr>
              <w:t>ublie la notification du projet d</w:t>
            </w:r>
            <w:r w:rsidR="00474653">
              <w:rPr>
                <w:sz w:val="18"/>
                <w:szCs w:val="18"/>
                <w:lang w:val="fr-FR"/>
              </w:rPr>
              <w:t>’</w:t>
            </w:r>
            <w:r w:rsidRPr="00DB1E4A">
              <w:rPr>
                <w:sz w:val="18"/>
                <w:szCs w:val="18"/>
                <w:lang w:val="fr-FR"/>
              </w:rPr>
              <w:t>acquisition dans le secteur des terres concernées</w:t>
            </w:r>
          </w:p>
        </w:tc>
      </w:tr>
      <w:tr w:rsidR="00EC4C5A" w:rsidRPr="002E5A4A" w:rsidTr="002E5A4A">
        <w:tc>
          <w:tcPr>
            <w:tcW w:w="2754" w:type="dxa"/>
            <w:shd w:val="clear" w:color="auto" w:fill="auto"/>
            <w:tcMar>
              <w:top w:w="0" w:type="dxa"/>
              <w:left w:w="0" w:type="dxa"/>
              <w:bottom w:w="0" w:type="dxa"/>
              <w:right w:w="0" w:type="dxa"/>
            </w:tcMar>
          </w:tcPr>
          <w:p w:rsidR="00EC4C5A" w:rsidRPr="00DB1E4A" w:rsidRDefault="00EC4C5A" w:rsidP="00DB1E4A">
            <w:pPr>
              <w:spacing w:before="40" w:after="120" w:line="220" w:lineRule="atLeast"/>
              <w:ind w:right="113"/>
              <w:rPr>
                <w:sz w:val="18"/>
                <w:szCs w:val="18"/>
                <w:lang w:val="fr-FR"/>
              </w:rPr>
            </w:pPr>
            <w:r w:rsidRPr="00DB1E4A">
              <w:rPr>
                <w:sz w:val="18"/>
                <w:szCs w:val="18"/>
                <w:lang w:val="fr-FR"/>
              </w:rPr>
              <w:t>Relevé topographique</w:t>
            </w:r>
          </w:p>
        </w:tc>
        <w:tc>
          <w:tcPr>
            <w:tcW w:w="4616" w:type="dxa"/>
            <w:shd w:val="clear" w:color="auto" w:fill="auto"/>
            <w:tcMar>
              <w:top w:w="0" w:type="dxa"/>
              <w:left w:w="0" w:type="dxa"/>
              <w:bottom w:w="0" w:type="dxa"/>
              <w:right w:w="0" w:type="dxa"/>
            </w:tcMar>
          </w:tcPr>
          <w:p w:rsidR="00EC4C5A" w:rsidRPr="00DB1E4A" w:rsidRDefault="00EC4C5A" w:rsidP="00DB1E4A">
            <w:pPr>
              <w:spacing w:before="40" w:after="120" w:line="220" w:lineRule="atLeast"/>
              <w:ind w:right="113"/>
              <w:rPr>
                <w:sz w:val="18"/>
                <w:szCs w:val="18"/>
                <w:lang w:val="fr-FR"/>
              </w:rPr>
            </w:pPr>
            <w:r w:rsidRPr="00DB1E4A">
              <w:rPr>
                <w:sz w:val="18"/>
                <w:szCs w:val="18"/>
                <w:lang w:val="fr-FR"/>
              </w:rPr>
              <w:t>Arpenteur général</w:t>
            </w:r>
          </w:p>
        </w:tc>
      </w:tr>
      <w:tr w:rsidR="00EC4C5A" w:rsidRPr="002E5A4A" w:rsidTr="002E5A4A">
        <w:tc>
          <w:tcPr>
            <w:tcW w:w="2754" w:type="dxa"/>
            <w:shd w:val="clear" w:color="auto" w:fill="auto"/>
            <w:tcMar>
              <w:top w:w="0" w:type="dxa"/>
              <w:left w:w="0" w:type="dxa"/>
              <w:bottom w:w="0" w:type="dxa"/>
              <w:right w:w="0" w:type="dxa"/>
            </w:tcMar>
          </w:tcPr>
          <w:p w:rsidR="00EC4C5A" w:rsidRPr="00DB1E4A" w:rsidRDefault="00EC4C5A" w:rsidP="00DB1E4A">
            <w:pPr>
              <w:spacing w:before="40" w:after="120" w:line="220" w:lineRule="atLeast"/>
              <w:ind w:right="113"/>
              <w:rPr>
                <w:sz w:val="18"/>
                <w:szCs w:val="18"/>
                <w:lang w:val="fr-FR"/>
              </w:rPr>
            </w:pPr>
            <w:r w:rsidRPr="00DB1E4A">
              <w:rPr>
                <w:sz w:val="18"/>
                <w:szCs w:val="18"/>
                <w:lang w:val="fr-FR"/>
              </w:rPr>
              <w:t>Section 4</w:t>
            </w:r>
            <w:r w:rsidR="00A01E05">
              <w:rPr>
                <w:sz w:val="18"/>
                <w:szCs w:val="18"/>
                <w:lang w:val="fr-FR"/>
              </w:rPr>
              <w:t>.</w:t>
            </w:r>
            <w:r w:rsidRPr="00DB1E4A">
              <w:rPr>
                <w:sz w:val="18"/>
                <w:szCs w:val="18"/>
                <w:lang w:val="fr-FR"/>
              </w:rPr>
              <w:t xml:space="preserve"> Direction</w:t>
            </w:r>
          </w:p>
        </w:tc>
        <w:tc>
          <w:tcPr>
            <w:tcW w:w="4616" w:type="dxa"/>
            <w:shd w:val="clear" w:color="auto" w:fill="auto"/>
            <w:tcMar>
              <w:top w:w="0" w:type="dxa"/>
              <w:left w:w="0" w:type="dxa"/>
              <w:bottom w:w="0" w:type="dxa"/>
              <w:right w:w="0" w:type="dxa"/>
            </w:tcMar>
          </w:tcPr>
          <w:p w:rsidR="00EC4C5A" w:rsidRPr="00DB1E4A" w:rsidRDefault="00EC4C5A" w:rsidP="00DB1E4A">
            <w:pPr>
              <w:spacing w:before="40" w:after="120" w:line="220" w:lineRule="atLeast"/>
              <w:ind w:right="113"/>
              <w:rPr>
                <w:sz w:val="18"/>
                <w:szCs w:val="18"/>
                <w:lang w:val="fr-FR"/>
              </w:rPr>
            </w:pPr>
            <w:r w:rsidRPr="00DB1E4A">
              <w:rPr>
                <w:sz w:val="18"/>
                <w:szCs w:val="18"/>
                <w:lang w:val="fr-FR"/>
              </w:rPr>
              <w:t xml:space="preserve">Ministère des affaires foncières </w:t>
            </w:r>
            <w:r w:rsidR="00D14B51" w:rsidRPr="00DB1E4A">
              <w:rPr>
                <w:sz w:val="18"/>
                <w:szCs w:val="18"/>
                <w:lang w:val="fr-FR"/>
              </w:rPr>
              <w:t>−</w:t>
            </w:r>
            <w:r w:rsidR="005667B7">
              <w:rPr>
                <w:sz w:val="18"/>
                <w:szCs w:val="18"/>
                <w:lang w:val="fr-FR"/>
              </w:rPr>
              <w:t xml:space="preserve"> i</w:t>
            </w:r>
            <w:r w:rsidRPr="00DB1E4A">
              <w:rPr>
                <w:sz w:val="18"/>
                <w:szCs w:val="18"/>
                <w:lang w:val="fr-FR"/>
              </w:rPr>
              <w:t>nvite les propriétaires fonciers à présenter leurs objections et rend une décision sur l</w:t>
            </w:r>
            <w:r w:rsidR="00474653">
              <w:rPr>
                <w:sz w:val="18"/>
                <w:szCs w:val="18"/>
                <w:lang w:val="fr-FR"/>
              </w:rPr>
              <w:t>’</w:t>
            </w:r>
            <w:r w:rsidRPr="00DB1E4A">
              <w:rPr>
                <w:sz w:val="18"/>
                <w:szCs w:val="18"/>
                <w:lang w:val="fr-FR"/>
              </w:rPr>
              <w:t>ouverture d</w:t>
            </w:r>
            <w:r w:rsidR="00474653">
              <w:rPr>
                <w:sz w:val="18"/>
                <w:szCs w:val="18"/>
                <w:lang w:val="fr-FR"/>
              </w:rPr>
              <w:t>’</w:t>
            </w:r>
            <w:r w:rsidRPr="00DB1E4A">
              <w:rPr>
                <w:sz w:val="18"/>
                <w:szCs w:val="18"/>
                <w:lang w:val="fr-FR"/>
              </w:rPr>
              <w:t>une enquête publique</w:t>
            </w:r>
          </w:p>
        </w:tc>
      </w:tr>
      <w:tr w:rsidR="00EC4C5A" w:rsidRPr="002E5A4A" w:rsidTr="002E5A4A">
        <w:tc>
          <w:tcPr>
            <w:tcW w:w="2754" w:type="dxa"/>
            <w:shd w:val="clear" w:color="auto" w:fill="auto"/>
            <w:tcMar>
              <w:top w:w="0" w:type="dxa"/>
              <w:left w:w="0" w:type="dxa"/>
              <w:bottom w:w="0" w:type="dxa"/>
              <w:right w:w="0" w:type="dxa"/>
            </w:tcMar>
          </w:tcPr>
          <w:p w:rsidR="00EC4C5A" w:rsidRPr="00DB1E4A" w:rsidRDefault="00EC4C5A" w:rsidP="00C47B9C">
            <w:pPr>
              <w:spacing w:before="40" w:after="120" w:line="220" w:lineRule="atLeast"/>
              <w:ind w:right="113"/>
              <w:rPr>
                <w:sz w:val="18"/>
                <w:szCs w:val="18"/>
                <w:lang w:val="fr-FR"/>
              </w:rPr>
            </w:pPr>
            <w:r w:rsidRPr="00DB1E4A">
              <w:rPr>
                <w:sz w:val="18"/>
                <w:szCs w:val="18"/>
                <w:lang w:val="fr-FR"/>
              </w:rPr>
              <w:t>Section 4</w:t>
            </w:r>
            <w:r w:rsidR="00A01E05">
              <w:rPr>
                <w:sz w:val="18"/>
                <w:szCs w:val="18"/>
                <w:lang w:val="fr-FR"/>
              </w:rPr>
              <w:t>.</w:t>
            </w:r>
            <w:r w:rsidRPr="00DB1E4A">
              <w:rPr>
                <w:sz w:val="18"/>
                <w:szCs w:val="18"/>
                <w:lang w:val="fr-FR"/>
              </w:rPr>
              <w:t xml:space="preserve"> Notification</w:t>
            </w:r>
            <w:r w:rsidR="00C47B9C">
              <w:rPr>
                <w:sz w:val="18"/>
                <w:szCs w:val="18"/>
                <w:lang w:val="fr-FR"/>
              </w:rPr>
              <w:t xml:space="preserve"> </w:t>
            </w:r>
            <w:r w:rsidR="00157435">
              <w:rPr>
                <w:sz w:val="18"/>
                <w:szCs w:val="18"/>
                <w:lang w:val="fr-FR"/>
              </w:rPr>
              <w:t xml:space="preserve">en </w:t>
            </w:r>
            <w:r w:rsidRPr="00DB1E4A">
              <w:rPr>
                <w:sz w:val="18"/>
                <w:szCs w:val="18"/>
                <w:lang w:val="fr-FR"/>
              </w:rPr>
              <w:t>cinghalais, tamoul et anglais</w:t>
            </w:r>
          </w:p>
        </w:tc>
        <w:tc>
          <w:tcPr>
            <w:tcW w:w="4616" w:type="dxa"/>
            <w:shd w:val="clear" w:color="auto" w:fill="auto"/>
            <w:tcMar>
              <w:top w:w="0" w:type="dxa"/>
              <w:left w:w="0" w:type="dxa"/>
              <w:bottom w:w="0" w:type="dxa"/>
              <w:right w:w="0" w:type="dxa"/>
            </w:tcMar>
          </w:tcPr>
          <w:p w:rsidR="00EC4C5A" w:rsidRPr="00DB1E4A" w:rsidRDefault="00EC4C5A" w:rsidP="005667B7">
            <w:pPr>
              <w:spacing w:before="40" w:after="120" w:line="220" w:lineRule="atLeast"/>
              <w:ind w:right="113"/>
              <w:rPr>
                <w:sz w:val="18"/>
                <w:szCs w:val="18"/>
                <w:lang w:val="fr-FR"/>
              </w:rPr>
            </w:pPr>
            <w:r w:rsidRPr="00DB1E4A">
              <w:rPr>
                <w:sz w:val="18"/>
                <w:szCs w:val="18"/>
                <w:lang w:val="fr-FR"/>
              </w:rPr>
              <w:t xml:space="preserve">Secrétaire divisionnaire </w:t>
            </w:r>
            <w:r w:rsidR="00D14B51" w:rsidRPr="00DB1E4A">
              <w:rPr>
                <w:sz w:val="18"/>
                <w:szCs w:val="18"/>
                <w:lang w:val="fr-FR"/>
              </w:rPr>
              <w:t>−</w:t>
            </w:r>
            <w:r w:rsidRPr="00DB1E4A">
              <w:rPr>
                <w:sz w:val="18"/>
                <w:szCs w:val="18"/>
                <w:lang w:val="fr-FR"/>
              </w:rPr>
              <w:t xml:space="preserve"> </w:t>
            </w:r>
            <w:r w:rsidR="005667B7">
              <w:rPr>
                <w:sz w:val="18"/>
                <w:szCs w:val="18"/>
                <w:lang w:val="fr-FR"/>
              </w:rPr>
              <w:t>p</w:t>
            </w:r>
            <w:r w:rsidRPr="00DB1E4A">
              <w:rPr>
                <w:sz w:val="18"/>
                <w:szCs w:val="18"/>
                <w:lang w:val="fr-FR"/>
              </w:rPr>
              <w:t>ublie la notice invitant les propriétaires à faire part de leurs objections</w:t>
            </w:r>
          </w:p>
        </w:tc>
      </w:tr>
      <w:tr w:rsidR="00EC4C5A" w:rsidRPr="002E5A4A" w:rsidTr="002E5A4A">
        <w:tc>
          <w:tcPr>
            <w:tcW w:w="2754" w:type="dxa"/>
            <w:shd w:val="clear" w:color="auto" w:fill="auto"/>
            <w:tcMar>
              <w:top w:w="0" w:type="dxa"/>
              <w:left w:w="0" w:type="dxa"/>
              <w:bottom w:w="0" w:type="dxa"/>
              <w:right w:w="0" w:type="dxa"/>
            </w:tcMar>
          </w:tcPr>
          <w:p w:rsidR="00EC4C5A" w:rsidRPr="00DB1E4A" w:rsidRDefault="00EC4C5A" w:rsidP="00DB1E4A">
            <w:pPr>
              <w:spacing w:before="40" w:after="120" w:line="220" w:lineRule="atLeast"/>
              <w:ind w:right="113"/>
              <w:rPr>
                <w:sz w:val="18"/>
                <w:szCs w:val="18"/>
                <w:lang w:val="fr-FR"/>
              </w:rPr>
            </w:pPr>
            <w:r w:rsidRPr="00DB1E4A">
              <w:rPr>
                <w:sz w:val="18"/>
                <w:szCs w:val="18"/>
                <w:lang w:val="fr-FR"/>
              </w:rPr>
              <w:t>Enquête sur les objections</w:t>
            </w:r>
          </w:p>
        </w:tc>
        <w:tc>
          <w:tcPr>
            <w:tcW w:w="4616" w:type="dxa"/>
            <w:shd w:val="clear" w:color="auto" w:fill="auto"/>
            <w:tcMar>
              <w:top w:w="0" w:type="dxa"/>
              <w:left w:w="0" w:type="dxa"/>
              <w:bottom w:w="0" w:type="dxa"/>
              <w:right w:w="0" w:type="dxa"/>
            </w:tcMar>
          </w:tcPr>
          <w:p w:rsidR="00EC4C5A" w:rsidRPr="00DB1E4A" w:rsidRDefault="00EC4C5A" w:rsidP="005667B7">
            <w:pPr>
              <w:spacing w:before="40" w:after="120" w:line="220" w:lineRule="atLeast"/>
              <w:ind w:right="113"/>
              <w:rPr>
                <w:sz w:val="18"/>
                <w:szCs w:val="18"/>
                <w:lang w:val="fr-FR"/>
              </w:rPr>
            </w:pPr>
            <w:r w:rsidRPr="00DB1E4A">
              <w:rPr>
                <w:sz w:val="18"/>
                <w:szCs w:val="18"/>
                <w:lang w:val="fr-FR"/>
              </w:rPr>
              <w:t xml:space="preserve">Ministère requérant </w:t>
            </w:r>
            <w:r w:rsidR="00D14B51" w:rsidRPr="00DB1E4A">
              <w:rPr>
                <w:sz w:val="18"/>
                <w:szCs w:val="18"/>
                <w:lang w:val="fr-FR"/>
              </w:rPr>
              <w:t>−</w:t>
            </w:r>
            <w:r w:rsidRPr="00DB1E4A">
              <w:rPr>
                <w:sz w:val="18"/>
                <w:szCs w:val="18"/>
                <w:lang w:val="fr-FR"/>
              </w:rPr>
              <w:t xml:space="preserve"> </w:t>
            </w:r>
            <w:r w:rsidR="005667B7">
              <w:rPr>
                <w:sz w:val="18"/>
                <w:szCs w:val="18"/>
                <w:lang w:val="fr-FR"/>
              </w:rPr>
              <w:t>t</w:t>
            </w:r>
            <w:r w:rsidRPr="00DB1E4A">
              <w:rPr>
                <w:sz w:val="18"/>
                <w:szCs w:val="18"/>
                <w:lang w:val="fr-FR"/>
              </w:rPr>
              <w:t>ransmet les recommandations après la conduite de l</w:t>
            </w:r>
            <w:r w:rsidR="00474653">
              <w:rPr>
                <w:sz w:val="18"/>
                <w:szCs w:val="18"/>
                <w:lang w:val="fr-FR"/>
              </w:rPr>
              <w:t>’</w:t>
            </w:r>
            <w:r w:rsidRPr="00DB1E4A">
              <w:rPr>
                <w:sz w:val="18"/>
                <w:szCs w:val="18"/>
                <w:lang w:val="fr-FR"/>
              </w:rPr>
              <w:t>enquête sur les objections</w:t>
            </w:r>
          </w:p>
        </w:tc>
      </w:tr>
      <w:tr w:rsidR="00EC4C5A" w:rsidRPr="002E5A4A" w:rsidTr="002E5A4A">
        <w:tc>
          <w:tcPr>
            <w:tcW w:w="2754" w:type="dxa"/>
            <w:shd w:val="clear" w:color="auto" w:fill="auto"/>
            <w:tcMar>
              <w:top w:w="0" w:type="dxa"/>
              <w:left w:w="0" w:type="dxa"/>
              <w:bottom w:w="0" w:type="dxa"/>
              <w:right w:w="0" w:type="dxa"/>
            </w:tcMar>
          </w:tcPr>
          <w:p w:rsidR="00EC4C5A" w:rsidRPr="00DB1E4A" w:rsidRDefault="00A01E05" w:rsidP="00DB1E4A">
            <w:pPr>
              <w:spacing w:before="40" w:after="120" w:line="220" w:lineRule="atLeast"/>
              <w:ind w:right="113"/>
              <w:rPr>
                <w:sz w:val="18"/>
                <w:szCs w:val="18"/>
                <w:lang w:val="fr-FR"/>
              </w:rPr>
            </w:pPr>
            <w:r>
              <w:rPr>
                <w:sz w:val="18"/>
                <w:szCs w:val="18"/>
                <w:lang w:val="fr-FR"/>
              </w:rPr>
              <w:t xml:space="preserve">Section 5. </w:t>
            </w:r>
            <w:r w:rsidR="00EC4C5A" w:rsidRPr="00DB1E4A">
              <w:rPr>
                <w:sz w:val="18"/>
                <w:szCs w:val="18"/>
                <w:lang w:val="fr-FR"/>
              </w:rPr>
              <w:t>Déclaration</w:t>
            </w:r>
          </w:p>
        </w:tc>
        <w:tc>
          <w:tcPr>
            <w:tcW w:w="4616" w:type="dxa"/>
            <w:shd w:val="clear" w:color="auto" w:fill="auto"/>
            <w:tcMar>
              <w:top w:w="0" w:type="dxa"/>
              <w:left w:w="0" w:type="dxa"/>
              <w:bottom w:w="0" w:type="dxa"/>
              <w:right w:w="0" w:type="dxa"/>
            </w:tcMar>
          </w:tcPr>
          <w:p w:rsidR="00EC4C5A" w:rsidRPr="00DB1E4A" w:rsidRDefault="00EC4C5A" w:rsidP="00DB1E4A">
            <w:pPr>
              <w:spacing w:before="40" w:after="120" w:line="220" w:lineRule="atLeast"/>
              <w:ind w:right="113"/>
              <w:rPr>
                <w:sz w:val="18"/>
                <w:szCs w:val="18"/>
                <w:lang w:val="fr-FR"/>
              </w:rPr>
            </w:pPr>
            <w:r w:rsidRPr="00DB1E4A">
              <w:rPr>
                <w:sz w:val="18"/>
                <w:szCs w:val="18"/>
                <w:lang w:val="fr-FR"/>
              </w:rPr>
              <w:t xml:space="preserve">Ministère des affaires foncières </w:t>
            </w:r>
            <w:r w:rsidR="00D14B51" w:rsidRPr="00DB1E4A">
              <w:rPr>
                <w:sz w:val="18"/>
                <w:szCs w:val="18"/>
                <w:lang w:val="fr-FR"/>
              </w:rPr>
              <w:t>−</w:t>
            </w:r>
            <w:r w:rsidR="005667B7">
              <w:rPr>
                <w:sz w:val="18"/>
                <w:szCs w:val="18"/>
                <w:lang w:val="fr-FR"/>
              </w:rPr>
              <w:t xml:space="preserve"> d</w:t>
            </w:r>
            <w:r w:rsidRPr="00DB1E4A">
              <w:rPr>
                <w:sz w:val="18"/>
                <w:szCs w:val="18"/>
                <w:lang w:val="fr-FR"/>
              </w:rPr>
              <w:t>écision relative à l</w:t>
            </w:r>
            <w:r w:rsidR="00474653">
              <w:rPr>
                <w:sz w:val="18"/>
                <w:szCs w:val="18"/>
                <w:lang w:val="fr-FR"/>
              </w:rPr>
              <w:t>’</w:t>
            </w:r>
            <w:r w:rsidRPr="00DB1E4A">
              <w:rPr>
                <w:sz w:val="18"/>
                <w:szCs w:val="18"/>
                <w:lang w:val="fr-FR"/>
              </w:rPr>
              <w:t>acquisition des terres</w:t>
            </w:r>
          </w:p>
        </w:tc>
      </w:tr>
      <w:tr w:rsidR="00EC4C5A" w:rsidRPr="002E5A4A" w:rsidTr="002E5A4A">
        <w:tc>
          <w:tcPr>
            <w:tcW w:w="2754" w:type="dxa"/>
            <w:shd w:val="clear" w:color="auto" w:fill="auto"/>
            <w:tcMar>
              <w:top w:w="0" w:type="dxa"/>
              <w:left w:w="0" w:type="dxa"/>
              <w:bottom w:w="0" w:type="dxa"/>
              <w:right w:w="0" w:type="dxa"/>
            </w:tcMar>
          </w:tcPr>
          <w:p w:rsidR="00EC4C5A" w:rsidRPr="00DB1E4A" w:rsidRDefault="00DB1E4A" w:rsidP="00553AE2">
            <w:pPr>
              <w:spacing w:before="40" w:after="120" w:line="220" w:lineRule="atLeast"/>
              <w:ind w:right="113"/>
              <w:rPr>
                <w:sz w:val="18"/>
                <w:szCs w:val="18"/>
                <w:lang w:val="fr-FR"/>
              </w:rPr>
            </w:pPr>
            <w:r w:rsidRPr="00DB1E4A">
              <w:rPr>
                <w:sz w:val="18"/>
                <w:szCs w:val="18"/>
                <w:lang w:val="fr-FR"/>
              </w:rPr>
              <w:t>Section 5</w:t>
            </w:r>
            <w:r w:rsidR="00A01E05">
              <w:rPr>
                <w:sz w:val="18"/>
                <w:szCs w:val="18"/>
                <w:lang w:val="fr-FR"/>
              </w:rPr>
              <w:t>.</w:t>
            </w:r>
            <w:r w:rsidR="00EC4C5A" w:rsidRPr="00DB1E4A">
              <w:rPr>
                <w:sz w:val="18"/>
                <w:szCs w:val="18"/>
                <w:lang w:val="fr-FR"/>
              </w:rPr>
              <w:t xml:space="preserve"> Notice</w:t>
            </w:r>
            <w:r w:rsidR="00C47B9C">
              <w:rPr>
                <w:sz w:val="18"/>
                <w:szCs w:val="18"/>
                <w:lang w:val="fr-FR"/>
              </w:rPr>
              <w:t xml:space="preserve"> </w:t>
            </w:r>
            <w:r w:rsidR="00553AE2">
              <w:rPr>
                <w:sz w:val="18"/>
                <w:szCs w:val="18"/>
                <w:lang w:val="fr-FR"/>
              </w:rPr>
              <w:t xml:space="preserve">en </w:t>
            </w:r>
            <w:r w:rsidR="00EC4C5A" w:rsidRPr="00DB1E4A">
              <w:rPr>
                <w:sz w:val="18"/>
                <w:szCs w:val="18"/>
                <w:lang w:val="fr-FR"/>
              </w:rPr>
              <w:t>cinghalais</w:t>
            </w:r>
            <w:r w:rsidR="00553AE2">
              <w:rPr>
                <w:sz w:val="18"/>
                <w:szCs w:val="18"/>
                <w:lang w:val="fr-FR"/>
              </w:rPr>
              <w:t xml:space="preserve"> </w:t>
            </w:r>
            <w:r w:rsidR="00553AE2">
              <w:rPr>
                <w:sz w:val="18"/>
                <w:szCs w:val="18"/>
                <w:lang w:val="fr-FR"/>
              </w:rPr>
              <w:br/>
            </w:r>
            <w:r w:rsidR="00EC4C5A" w:rsidRPr="00DB1E4A">
              <w:rPr>
                <w:sz w:val="18"/>
                <w:szCs w:val="18"/>
                <w:lang w:val="fr-FR"/>
              </w:rPr>
              <w:t>et anglais</w:t>
            </w:r>
          </w:p>
        </w:tc>
        <w:tc>
          <w:tcPr>
            <w:tcW w:w="4616" w:type="dxa"/>
            <w:shd w:val="clear" w:color="auto" w:fill="auto"/>
            <w:tcMar>
              <w:top w:w="0" w:type="dxa"/>
              <w:left w:w="0" w:type="dxa"/>
              <w:bottom w:w="0" w:type="dxa"/>
              <w:right w:w="0" w:type="dxa"/>
            </w:tcMar>
          </w:tcPr>
          <w:p w:rsidR="00EC4C5A" w:rsidRPr="00DB1E4A" w:rsidRDefault="00EC4C5A" w:rsidP="00DB1E4A">
            <w:pPr>
              <w:spacing w:before="40" w:after="120" w:line="220" w:lineRule="atLeast"/>
              <w:ind w:right="113"/>
              <w:rPr>
                <w:sz w:val="18"/>
                <w:szCs w:val="18"/>
                <w:lang w:val="fr-FR"/>
              </w:rPr>
            </w:pPr>
          </w:p>
        </w:tc>
      </w:tr>
      <w:tr w:rsidR="00EC4C5A" w:rsidRPr="002E5A4A" w:rsidTr="002E5A4A">
        <w:tc>
          <w:tcPr>
            <w:tcW w:w="2754" w:type="dxa"/>
            <w:shd w:val="clear" w:color="auto" w:fill="auto"/>
            <w:tcMar>
              <w:top w:w="0" w:type="dxa"/>
              <w:left w:w="0" w:type="dxa"/>
              <w:bottom w:w="0" w:type="dxa"/>
              <w:right w:w="0" w:type="dxa"/>
            </w:tcMar>
          </w:tcPr>
          <w:p w:rsidR="00EC4C5A" w:rsidRPr="00DB1E4A" w:rsidRDefault="00EC4C5A" w:rsidP="00DB1E4A">
            <w:pPr>
              <w:spacing w:before="40" w:after="120" w:line="220" w:lineRule="atLeast"/>
              <w:ind w:right="113"/>
              <w:rPr>
                <w:sz w:val="18"/>
                <w:szCs w:val="18"/>
                <w:lang w:val="fr-FR"/>
              </w:rPr>
            </w:pPr>
            <w:r w:rsidRPr="00DB1E4A">
              <w:rPr>
                <w:sz w:val="18"/>
                <w:szCs w:val="18"/>
                <w:lang w:val="fr-FR"/>
              </w:rPr>
              <w:t>Plan définitif</w:t>
            </w:r>
          </w:p>
        </w:tc>
        <w:tc>
          <w:tcPr>
            <w:tcW w:w="4616" w:type="dxa"/>
            <w:shd w:val="clear" w:color="auto" w:fill="auto"/>
            <w:tcMar>
              <w:top w:w="0" w:type="dxa"/>
              <w:left w:w="0" w:type="dxa"/>
              <w:bottom w:w="0" w:type="dxa"/>
              <w:right w:w="0" w:type="dxa"/>
            </w:tcMar>
          </w:tcPr>
          <w:p w:rsidR="00EC4C5A" w:rsidRPr="00DB1E4A" w:rsidRDefault="00EC4C5A" w:rsidP="00DB1E4A">
            <w:pPr>
              <w:spacing w:before="40" w:after="120" w:line="220" w:lineRule="atLeast"/>
              <w:ind w:right="113"/>
              <w:rPr>
                <w:sz w:val="18"/>
                <w:szCs w:val="18"/>
                <w:lang w:val="fr-FR"/>
              </w:rPr>
            </w:pPr>
            <w:r w:rsidRPr="00DB1E4A">
              <w:rPr>
                <w:sz w:val="18"/>
                <w:szCs w:val="18"/>
                <w:lang w:val="fr-FR"/>
              </w:rPr>
              <w:t>Arpenteur général</w:t>
            </w:r>
          </w:p>
        </w:tc>
      </w:tr>
      <w:tr w:rsidR="00EC4C5A" w:rsidRPr="002E5A4A" w:rsidTr="002E5A4A">
        <w:tc>
          <w:tcPr>
            <w:tcW w:w="2754" w:type="dxa"/>
            <w:shd w:val="clear" w:color="auto" w:fill="auto"/>
            <w:tcMar>
              <w:top w:w="0" w:type="dxa"/>
              <w:left w:w="0" w:type="dxa"/>
              <w:bottom w:w="0" w:type="dxa"/>
              <w:right w:w="0" w:type="dxa"/>
            </w:tcMar>
          </w:tcPr>
          <w:p w:rsidR="00EC4C5A" w:rsidRPr="00DB1E4A" w:rsidRDefault="00EC4C5A" w:rsidP="00DB1E4A">
            <w:pPr>
              <w:spacing w:before="40" w:after="120" w:line="220" w:lineRule="atLeast"/>
              <w:ind w:right="113"/>
              <w:rPr>
                <w:sz w:val="18"/>
                <w:szCs w:val="18"/>
                <w:lang w:val="fr-FR"/>
              </w:rPr>
            </w:pPr>
            <w:r w:rsidRPr="00DB1E4A">
              <w:rPr>
                <w:sz w:val="18"/>
                <w:szCs w:val="18"/>
                <w:lang w:val="fr-FR"/>
              </w:rPr>
              <w:t>Section 7</w:t>
            </w:r>
            <w:r w:rsidR="00A01E05">
              <w:rPr>
                <w:sz w:val="18"/>
                <w:szCs w:val="18"/>
                <w:lang w:val="fr-FR"/>
              </w:rPr>
              <w:t>.</w:t>
            </w:r>
            <w:r w:rsidRPr="00DB1E4A">
              <w:rPr>
                <w:sz w:val="18"/>
                <w:szCs w:val="18"/>
                <w:lang w:val="fr-FR"/>
              </w:rPr>
              <w:t xml:space="preserve"> Publication au Journal officiel,</w:t>
            </w:r>
            <w:r w:rsidR="0009460C">
              <w:rPr>
                <w:sz w:val="18"/>
                <w:szCs w:val="18"/>
                <w:lang w:val="fr-FR"/>
              </w:rPr>
              <w:t xml:space="preserve"> en</w:t>
            </w:r>
            <w:r w:rsidRPr="00DB1E4A">
              <w:rPr>
                <w:sz w:val="18"/>
                <w:szCs w:val="18"/>
                <w:lang w:val="fr-FR"/>
              </w:rPr>
              <w:t xml:space="preserve"> cinghalais et anglais</w:t>
            </w:r>
          </w:p>
        </w:tc>
        <w:tc>
          <w:tcPr>
            <w:tcW w:w="4616" w:type="dxa"/>
            <w:shd w:val="clear" w:color="auto" w:fill="auto"/>
            <w:tcMar>
              <w:top w:w="0" w:type="dxa"/>
              <w:left w:w="0" w:type="dxa"/>
              <w:bottom w:w="0" w:type="dxa"/>
              <w:right w:w="0" w:type="dxa"/>
            </w:tcMar>
          </w:tcPr>
          <w:p w:rsidR="00EC4C5A" w:rsidRPr="00DB1E4A" w:rsidRDefault="00EC4C5A" w:rsidP="005667B7">
            <w:pPr>
              <w:spacing w:before="40" w:after="120" w:line="220" w:lineRule="atLeast"/>
              <w:ind w:right="113"/>
              <w:rPr>
                <w:sz w:val="18"/>
                <w:szCs w:val="18"/>
                <w:lang w:val="fr-FR"/>
              </w:rPr>
            </w:pPr>
            <w:r w:rsidRPr="00DB1E4A">
              <w:rPr>
                <w:sz w:val="18"/>
                <w:szCs w:val="18"/>
                <w:lang w:val="fr-FR"/>
              </w:rPr>
              <w:t xml:space="preserve">Secrétaire divisionnaire/Imprimerie nationale </w:t>
            </w:r>
            <w:r w:rsidR="00D14B51" w:rsidRPr="00DB1E4A">
              <w:rPr>
                <w:sz w:val="18"/>
                <w:szCs w:val="18"/>
                <w:lang w:val="fr-FR"/>
              </w:rPr>
              <w:t>−</w:t>
            </w:r>
            <w:r w:rsidRPr="00DB1E4A">
              <w:rPr>
                <w:sz w:val="18"/>
                <w:szCs w:val="18"/>
                <w:lang w:val="fr-FR"/>
              </w:rPr>
              <w:t xml:space="preserve"> </w:t>
            </w:r>
            <w:r w:rsidR="005667B7">
              <w:rPr>
                <w:sz w:val="18"/>
                <w:szCs w:val="18"/>
                <w:lang w:val="fr-FR"/>
              </w:rPr>
              <w:t>a</w:t>
            </w:r>
            <w:r w:rsidRPr="00DB1E4A">
              <w:rPr>
                <w:sz w:val="18"/>
                <w:szCs w:val="18"/>
                <w:lang w:val="fr-FR"/>
              </w:rPr>
              <w:t>vis d</w:t>
            </w:r>
            <w:r w:rsidR="00474653">
              <w:rPr>
                <w:sz w:val="18"/>
                <w:szCs w:val="18"/>
                <w:lang w:val="fr-FR"/>
              </w:rPr>
              <w:t>’</w:t>
            </w:r>
            <w:r w:rsidRPr="00DB1E4A">
              <w:rPr>
                <w:sz w:val="18"/>
                <w:szCs w:val="18"/>
                <w:lang w:val="fr-FR"/>
              </w:rPr>
              <w:t>enquête sur le titre foncier</w:t>
            </w:r>
          </w:p>
        </w:tc>
      </w:tr>
      <w:tr w:rsidR="00EC4C5A" w:rsidRPr="002E5A4A" w:rsidTr="002E5A4A">
        <w:tc>
          <w:tcPr>
            <w:tcW w:w="2754" w:type="dxa"/>
            <w:shd w:val="clear" w:color="auto" w:fill="auto"/>
            <w:tcMar>
              <w:top w:w="0" w:type="dxa"/>
              <w:left w:w="0" w:type="dxa"/>
              <w:bottom w:w="0" w:type="dxa"/>
              <w:right w:w="0" w:type="dxa"/>
            </w:tcMar>
          </w:tcPr>
          <w:p w:rsidR="00EC4C5A" w:rsidRPr="00DB1E4A" w:rsidRDefault="00EC4C5A" w:rsidP="00DB1E4A">
            <w:pPr>
              <w:spacing w:before="40" w:after="120" w:line="220" w:lineRule="atLeast"/>
              <w:ind w:right="113"/>
              <w:rPr>
                <w:sz w:val="18"/>
                <w:szCs w:val="18"/>
                <w:lang w:val="fr-FR"/>
              </w:rPr>
            </w:pPr>
            <w:r w:rsidRPr="00DB1E4A">
              <w:rPr>
                <w:sz w:val="18"/>
                <w:szCs w:val="18"/>
                <w:lang w:val="fr-FR"/>
              </w:rPr>
              <w:t>Sectio</w:t>
            </w:r>
            <w:r w:rsidR="00A01E05">
              <w:rPr>
                <w:sz w:val="18"/>
                <w:szCs w:val="18"/>
                <w:lang w:val="fr-FR"/>
              </w:rPr>
              <w:t>n 9.</w:t>
            </w:r>
            <w:r w:rsidRPr="00DB1E4A">
              <w:rPr>
                <w:sz w:val="18"/>
                <w:szCs w:val="18"/>
                <w:lang w:val="fr-FR"/>
              </w:rPr>
              <w:t xml:space="preserve"> Enquête sur le titre foncier</w:t>
            </w:r>
          </w:p>
        </w:tc>
        <w:tc>
          <w:tcPr>
            <w:tcW w:w="4616" w:type="dxa"/>
            <w:shd w:val="clear" w:color="auto" w:fill="auto"/>
            <w:tcMar>
              <w:top w:w="0" w:type="dxa"/>
              <w:left w:w="0" w:type="dxa"/>
              <w:bottom w:w="0" w:type="dxa"/>
              <w:right w:w="0" w:type="dxa"/>
            </w:tcMar>
          </w:tcPr>
          <w:p w:rsidR="00EC4C5A" w:rsidRPr="00DB1E4A" w:rsidRDefault="00EC4C5A" w:rsidP="005667B7">
            <w:pPr>
              <w:spacing w:before="40" w:after="120" w:line="220" w:lineRule="atLeast"/>
              <w:ind w:right="113"/>
              <w:rPr>
                <w:sz w:val="18"/>
                <w:szCs w:val="18"/>
                <w:lang w:val="fr-FR"/>
              </w:rPr>
            </w:pPr>
            <w:r w:rsidRPr="00DB1E4A">
              <w:rPr>
                <w:sz w:val="18"/>
                <w:szCs w:val="18"/>
                <w:lang w:val="fr-FR"/>
              </w:rPr>
              <w:t xml:space="preserve">Secrétaire divisionnaire </w:t>
            </w:r>
            <w:r w:rsidR="00D14B51" w:rsidRPr="00DB1E4A">
              <w:rPr>
                <w:sz w:val="18"/>
                <w:szCs w:val="18"/>
                <w:lang w:val="fr-FR"/>
              </w:rPr>
              <w:t>−</w:t>
            </w:r>
            <w:r w:rsidRPr="00DB1E4A">
              <w:rPr>
                <w:sz w:val="18"/>
                <w:szCs w:val="18"/>
                <w:lang w:val="fr-FR"/>
              </w:rPr>
              <w:t xml:space="preserve"> </w:t>
            </w:r>
            <w:r w:rsidR="005667B7">
              <w:rPr>
                <w:sz w:val="18"/>
                <w:szCs w:val="18"/>
                <w:lang w:val="fr-FR"/>
              </w:rPr>
              <w:t>e</w:t>
            </w:r>
            <w:r w:rsidRPr="00DB1E4A">
              <w:rPr>
                <w:sz w:val="18"/>
                <w:szCs w:val="18"/>
                <w:lang w:val="fr-FR"/>
              </w:rPr>
              <w:t>nquête sur le titre foncier</w:t>
            </w:r>
          </w:p>
        </w:tc>
      </w:tr>
      <w:tr w:rsidR="00EC4C5A" w:rsidRPr="002E5A4A" w:rsidTr="002E5A4A">
        <w:tc>
          <w:tcPr>
            <w:tcW w:w="2754" w:type="dxa"/>
            <w:shd w:val="clear" w:color="auto" w:fill="auto"/>
            <w:tcMar>
              <w:top w:w="0" w:type="dxa"/>
              <w:left w:w="0" w:type="dxa"/>
              <w:bottom w:w="0" w:type="dxa"/>
              <w:right w:w="0" w:type="dxa"/>
            </w:tcMar>
          </w:tcPr>
          <w:p w:rsidR="00EC4C5A" w:rsidRPr="00DB1E4A" w:rsidRDefault="00A01E05" w:rsidP="00DB1E4A">
            <w:pPr>
              <w:spacing w:before="40" w:after="120" w:line="220" w:lineRule="atLeast"/>
              <w:ind w:right="113"/>
              <w:rPr>
                <w:sz w:val="18"/>
                <w:szCs w:val="18"/>
                <w:lang w:val="fr-FR"/>
              </w:rPr>
            </w:pPr>
            <w:r>
              <w:rPr>
                <w:sz w:val="18"/>
                <w:szCs w:val="18"/>
                <w:lang w:val="fr-FR"/>
              </w:rPr>
              <w:t>Section 10.</w:t>
            </w:r>
            <w:r w:rsidR="00EC4C5A" w:rsidRPr="00DB1E4A">
              <w:rPr>
                <w:sz w:val="18"/>
                <w:szCs w:val="18"/>
                <w:lang w:val="fr-FR"/>
              </w:rPr>
              <w:t xml:space="preserve"> Notification relative au titre, transmission au tribunal (formulaires 02 et 04)</w:t>
            </w:r>
          </w:p>
        </w:tc>
        <w:tc>
          <w:tcPr>
            <w:tcW w:w="4616" w:type="dxa"/>
            <w:shd w:val="clear" w:color="auto" w:fill="auto"/>
            <w:tcMar>
              <w:top w:w="0" w:type="dxa"/>
              <w:left w:w="0" w:type="dxa"/>
              <w:bottom w:w="0" w:type="dxa"/>
              <w:right w:w="0" w:type="dxa"/>
            </w:tcMar>
          </w:tcPr>
          <w:p w:rsidR="00EC4C5A" w:rsidRPr="00DB1E4A" w:rsidRDefault="00EC4C5A" w:rsidP="005667B7">
            <w:pPr>
              <w:spacing w:before="40" w:after="120" w:line="220" w:lineRule="atLeast"/>
              <w:ind w:right="113"/>
              <w:rPr>
                <w:sz w:val="18"/>
                <w:szCs w:val="18"/>
                <w:lang w:val="fr-FR"/>
              </w:rPr>
            </w:pPr>
            <w:r w:rsidRPr="00DB1E4A">
              <w:rPr>
                <w:sz w:val="18"/>
                <w:szCs w:val="18"/>
                <w:lang w:val="fr-FR"/>
              </w:rPr>
              <w:t xml:space="preserve">Secrétaire divisionnaire </w:t>
            </w:r>
            <w:r w:rsidR="00D14B51" w:rsidRPr="00DB1E4A">
              <w:rPr>
                <w:sz w:val="18"/>
                <w:szCs w:val="18"/>
                <w:lang w:val="fr-FR"/>
              </w:rPr>
              <w:t>−</w:t>
            </w:r>
            <w:r w:rsidRPr="00DB1E4A">
              <w:rPr>
                <w:sz w:val="18"/>
                <w:szCs w:val="18"/>
                <w:lang w:val="fr-FR"/>
              </w:rPr>
              <w:t xml:space="preserve"> </w:t>
            </w:r>
            <w:r w:rsidR="005667B7">
              <w:rPr>
                <w:sz w:val="18"/>
                <w:szCs w:val="18"/>
                <w:lang w:val="fr-FR"/>
              </w:rPr>
              <w:t>d</w:t>
            </w:r>
            <w:r w:rsidRPr="00DB1E4A">
              <w:rPr>
                <w:sz w:val="18"/>
                <w:szCs w:val="18"/>
                <w:lang w:val="fr-FR"/>
              </w:rPr>
              <w:t>étermine le titre</w:t>
            </w:r>
          </w:p>
        </w:tc>
      </w:tr>
      <w:tr w:rsidR="002E5A4A" w:rsidRPr="002E5A4A" w:rsidTr="002E5A4A">
        <w:tc>
          <w:tcPr>
            <w:tcW w:w="2754" w:type="dxa"/>
            <w:shd w:val="clear" w:color="auto" w:fill="auto"/>
            <w:tcMar>
              <w:top w:w="0" w:type="dxa"/>
              <w:left w:w="0" w:type="dxa"/>
              <w:bottom w:w="0" w:type="dxa"/>
              <w:right w:w="0" w:type="dxa"/>
            </w:tcMar>
          </w:tcPr>
          <w:p w:rsidR="00EC4C5A" w:rsidRPr="00DB1E4A" w:rsidRDefault="00EC4C5A" w:rsidP="00DB1E4A">
            <w:pPr>
              <w:spacing w:before="40" w:after="120" w:line="220" w:lineRule="atLeast"/>
              <w:ind w:right="113"/>
              <w:rPr>
                <w:sz w:val="18"/>
                <w:szCs w:val="18"/>
                <w:lang w:val="fr-FR"/>
              </w:rPr>
            </w:pPr>
            <w:r w:rsidRPr="00DB1E4A">
              <w:rPr>
                <w:sz w:val="18"/>
                <w:szCs w:val="18"/>
                <w:lang w:val="fr-FR"/>
              </w:rPr>
              <w:t>Évaluation</w:t>
            </w:r>
          </w:p>
        </w:tc>
        <w:tc>
          <w:tcPr>
            <w:tcW w:w="4616" w:type="dxa"/>
            <w:shd w:val="clear" w:color="auto" w:fill="auto"/>
            <w:tcMar>
              <w:top w:w="0" w:type="dxa"/>
              <w:left w:w="0" w:type="dxa"/>
              <w:bottom w:w="0" w:type="dxa"/>
              <w:right w:w="0" w:type="dxa"/>
            </w:tcMar>
          </w:tcPr>
          <w:p w:rsidR="00EC4C5A" w:rsidRPr="00DB1E4A" w:rsidRDefault="00EC4C5A" w:rsidP="00DB1E4A">
            <w:pPr>
              <w:spacing w:before="40" w:after="120" w:line="220" w:lineRule="atLeast"/>
              <w:ind w:right="113"/>
              <w:rPr>
                <w:sz w:val="18"/>
                <w:szCs w:val="18"/>
                <w:lang w:val="fr-FR"/>
              </w:rPr>
            </w:pPr>
            <w:r w:rsidRPr="00DB1E4A">
              <w:rPr>
                <w:sz w:val="18"/>
                <w:szCs w:val="18"/>
                <w:lang w:val="fr-FR"/>
              </w:rPr>
              <w:t>Service de l</w:t>
            </w:r>
            <w:r w:rsidR="00474653">
              <w:rPr>
                <w:sz w:val="18"/>
                <w:szCs w:val="18"/>
                <w:lang w:val="fr-FR"/>
              </w:rPr>
              <w:t>’</w:t>
            </w:r>
            <w:r w:rsidRPr="00DB1E4A">
              <w:rPr>
                <w:sz w:val="18"/>
                <w:szCs w:val="18"/>
                <w:lang w:val="fr-FR"/>
              </w:rPr>
              <w:t>évaluation</w:t>
            </w:r>
          </w:p>
        </w:tc>
      </w:tr>
      <w:tr w:rsidR="002E5A4A" w:rsidRPr="002E5A4A" w:rsidTr="002E5A4A">
        <w:tc>
          <w:tcPr>
            <w:tcW w:w="2754" w:type="dxa"/>
            <w:shd w:val="clear" w:color="auto" w:fill="auto"/>
            <w:tcMar>
              <w:top w:w="0" w:type="dxa"/>
              <w:left w:w="0" w:type="dxa"/>
              <w:bottom w:w="0" w:type="dxa"/>
              <w:right w:w="0" w:type="dxa"/>
            </w:tcMar>
          </w:tcPr>
          <w:p w:rsidR="00EC4C5A" w:rsidRPr="00DB1E4A" w:rsidRDefault="00A01E05" w:rsidP="00DB1E4A">
            <w:pPr>
              <w:spacing w:before="40" w:after="120" w:line="220" w:lineRule="atLeast"/>
              <w:ind w:right="113"/>
              <w:rPr>
                <w:sz w:val="18"/>
                <w:szCs w:val="18"/>
                <w:lang w:val="fr-FR"/>
              </w:rPr>
            </w:pPr>
            <w:r>
              <w:rPr>
                <w:sz w:val="18"/>
                <w:szCs w:val="18"/>
                <w:lang w:val="fr-FR"/>
              </w:rPr>
              <w:t>Section 17.</w:t>
            </w:r>
            <w:r w:rsidR="00EC4C5A" w:rsidRPr="00DB1E4A">
              <w:rPr>
                <w:sz w:val="18"/>
                <w:szCs w:val="18"/>
                <w:lang w:val="fr-FR"/>
              </w:rPr>
              <w:t xml:space="preserve"> Indemnisation (formulaire)</w:t>
            </w:r>
          </w:p>
        </w:tc>
        <w:tc>
          <w:tcPr>
            <w:tcW w:w="4616" w:type="dxa"/>
            <w:shd w:val="clear" w:color="auto" w:fill="auto"/>
            <w:tcMar>
              <w:top w:w="0" w:type="dxa"/>
              <w:left w:w="0" w:type="dxa"/>
              <w:bottom w:w="0" w:type="dxa"/>
              <w:right w:w="0" w:type="dxa"/>
            </w:tcMar>
          </w:tcPr>
          <w:p w:rsidR="00EC4C5A" w:rsidRPr="00DB1E4A" w:rsidRDefault="00EC4C5A" w:rsidP="00DB1E4A">
            <w:pPr>
              <w:spacing w:before="40" w:after="120" w:line="220" w:lineRule="atLeast"/>
              <w:ind w:right="113"/>
              <w:rPr>
                <w:sz w:val="18"/>
                <w:szCs w:val="18"/>
                <w:lang w:val="fr-FR"/>
              </w:rPr>
            </w:pPr>
            <w:r w:rsidRPr="00DB1E4A">
              <w:rPr>
                <w:sz w:val="18"/>
                <w:szCs w:val="18"/>
                <w:lang w:val="fr-FR"/>
              </w:rPr>
              <w:t>Secrétaire divisionnaire</w:t>
            </w:r>
          </w:p>
        </w:tc>
      </w:tr>
      <w:tr w:rsidR="002E5A4A" w:rsidRPr="002E5A4A" w:rsidTr="002E5A4A">
        <w:tc>
          <w:tcPr>
            <w:tcW w:w="2754" w:type="dxa"/>
            <w:shd w:val="clear" w:color="auto" w:fill="auto"/>
            <w:tcMar>
              <w:top w:w="0" w:type="dxa"/>
              <w:left w:w="0" w:type="dxa"/>
              <w:bottom w:w="0" w:type="dxa"/>
              <w:right w:w="0" w:type="dxa"/>
            </w:tcMar>
          </w:tcPr>
          <w:p w:rsidR="00EC4C5A" w:rsidRPr="00DB1E4A" w:rsidRDefault="00EC4C5A" w:rsidP="00DB1E4A">
            <w:pPr>
              <w:spacing w:before="40" w:after="120" w:line="220" w:lineRule="atLeast"/>
              <w:ind w:right="113"/>
              <w:rPr>
                <w:sz w:val="18"/>
                <w:szCs w:val="18"/>
                <w:lang w:val="fr-FR"/>
              </w:rPr>
            </w:pPr>
            <w:r w:rsidRPr="00DB1E4A">
              <w:rPr>
                <w:sz w:val="18"/>
                <w:szCs w:val="18"/>
                <w:lang w:val="fr-FR"/>
              </w:rPr>
              <w:t>Versement de l</w:t>
            </w:r>
            <w:r w:rsidR="00474653">
              <w:rPr>
                <w:sz w:val="18"/>
                <w:szCs w:val="18"/>
                <w:lang w:val="fr-FR"/>
              </w:rPr>
              <w:t>’</w:t>
            </w:r>
            <w:r w:rsidRPr="00DB1E4A">
              <w:rPr>
                <w:sz w:val="18"/>
                <w:szCs w:val="18"/>
                <w:lang w:val="fr-FR"/>
              </w:rPr>
              <w:t>indemnisation</w:t>
            </w:r>
          </w:p>
        </w:tc>
        <w:tc>
          <w:tcPr>
            <w:tcW w:w="4616" w:type="dxa"/>
            <w:shd w:val="clear" w:color="auto" w:fill="auto"/>
            <w:tcMar>
              <w:top w:w="0" w:type="dxa"/>
              <w:left w:w="0" w:type="dxa"/>
              <w:bottom w:w="0" w:type="dxa"/>
              <w:right w:w="0" w:type="dxa"/>
            </w:tcMar>
          </w:tcPr>
          <w:p w:rsidR="00EC4C5A" w:rsidRPr="00DB1E4A" w:rsidRDefault="00EC4C5A" w:rsidP="005667B7">
            <w:pPr>
              <w:spacing w:before="40" w:after="120" w:line="220" w:lineRule="atLeast"/>
              <w:ind w:right="113"/>
              <w:rPr>
                <w:sz w:val="18"/>
                <w:szCs w:val="18"/>
                <w:lang w:val="fr-FR"/>
              </w:rPr>
            </w:pPr>
            <w:r w:rsidRPr="00DB1E4A">
              <w:rPr>
                <w:sz w:val="18"/>
                <w:szCs w:val="18"/>
                <w:lang w:val="fr-FR"/>
              </w:rPr>
              <w:t xml:space="preserve">Secrétaire divisionnaire </w:t>
            </w:r>
            <w:r w:rsidR="00D14B51" w:rsidRPr="00DB1E4A">
              <w:rPr>
                <w:sz w:val="18"/>
                <w:szCs w:val="18"/>
                <w:lang w:val="fr-FR"/>
              </w:rPr>
              <w:t>−</w:t>
            </w:r>
            <w:r w:rsidRPr="00DB1E4A">
              <w:rPr>
                <w:sz w:val="18"/>
                <w:szCs w:val="18"/>
                <w:lang w:val="fr-FR"/>
              </w:rPr>
              <w:t xml:space="preserve"> </w:t>
            </w:r>
            <w:r w:rsidR="005667B7">
              <w:rPr>
                <w:sz w:val="18"/>
                <w:szCs w:val="18"/>
                <w:lang w:val="fr-FR"/>
              </w:rPr>
              <w:t>a</w:t>
            </w:r>
            <w:r w:rsidRPr="00DB1E4A">
              <w:rPr>
                <w:sz w:val="18"/>
                <w:szCs w:val="18"/>
                <w:lang w:val="fr-FR"/>
              </w:rPr>
              <w:t>lloue les crédits du Ministère des affaires foncières ou de l</w:t>
            </w:r>
            <w:r w:rsidR="00474653">
              <w:rPr>
                <w:sz w:val="18"/>
                <w:szCs w:val="18"/>
                <w:lang w:val="fr-FR"/>
              </w:rPr>
              <w:t>’</w:t>
            </w:r>
            <w:r w:rsidRPr="00DB1E4A">
              <w:rPr>
                <w:sz w:val="18"/>
                <w:szCs w:val="18"/>
                <w:lang w:val="fr-FR"/>
              </w:rPr>
              <w:t>institution compétente et indemnise les propriétaires fonciers</w:t>
            </w:r>
          </w:p>
        </w:tc>
      </w:tr>
      <w:tr w:rsidR="002E5A4A" w:rsidRPr="002E5A4A" w:rsidTr="002E5A4A">
        <w:tc>
          <w:tcPr>
            <w:tcW w:w="2754" w:type="dxa"/>
            <w:shd w:val="clear" w:color="auto" w:fill="auto"/>
            <w:tcMar>
              <w:top w:w="0" w:type="dxa"/>
              <w:left w:w="0" w:type="dxa"/>
              <w:bottom w:w="0" w:type="dxa"/>
              <w:right w:w="0" w:type="dxa"/>
            </w:tcMar>
          </w:tcPr>
          <w:p w:rsidR="00EC4C5A" w:rsidRPr="00DB1E4A" w:rsidRDefault="00EC4C5A" w:rsidP="00DB1E4A">
            <w:pPr>
              <w:spacing w:before="40" w:after="120" w:line="220" w:lineRule="atLeast"/>
              <w:ind w:right="113"/>
              <w:rPr>
                <w:sz w:val="18"/>
                <w:szCs w:val="18"/>
                <w:lang w:val="fr-FR"/>
              </w:rPr>
            </w:pPr>
            <w:r w:rsidRPr="00DB1E4A">
              <w:rPr>
                <w:sz w:val="18"/>
                <w:szCs w:val="18"/>
                <w:lang w:val="fr-FR"/>
              </w:rPr>
              <w:t>Publication au Journal officiel</w:t>
            </w:r>
          </w:p>
        </w:tc>
        <w:tc>
          <w:tcPr>
            <w:tcW w:w="4616" w:type="dxa"/>
            <w:shd w:val="clear" w:color="auto" w:fill="auto"/>
            <w:tcMar>
              <w:top w:w="0" w:type="dxa"/>
              <w:left w:w="0" w:type="dxa"/>
              <w:bottom w:w="0" w:type="dxa"/>
              <w:right w:w="0" w:type="dxa"/>
            </w:tcMar>
          </w:tcPr>
          <w:p w:rsidR="00EC4C5A" w:rsidRPr="00DB1E4A" w:rsidRDefault="00EC4C5A" w:rsidP="005667B7">
            <w:pPr>
              <w:spacing w:before="40" w:after="120" w:line="220" w:lineRule="atLeast"/>
              <w:ind w:right="113"/>
              <w:rPr>
                <w:sz w:val="18"/>
                <w:szCs w:val="18"/>
                <w:lang w:val="fr-FR"/>
              </w:rPr>
            </w:pPr>
            <w:r w:rsidRPr="00DB1E4A">
              <w:rPr>
                <w:sz w:val="18"/>
                <w:szCs w:val="18"/>
                <w:lang w:val="fr-FR"/>
              </w:rPr>
              <w:t xml:space="preserve">Ministère des affaires foncières </w:t>
            </w:r>
            <w:r w:rsidR="00D14B51" w:rsidRPr="00DB1E4A">
              <w:rPr>
                <w:sz w:val="18"/>
                <w:szCs w:val="18"/>
                <w:lang w:val="fr-FR"/>
              </w:rPr>
              <w:t>−</w:t>
            </w:r>
            <w:r w:rsidRPr="00DB1E4A">
              <w:rPr>
                <w:sz w:val="18"/>
                <w:szCs w:val="18"/>
                <w:lang w:val="fr-FR"/>
              </w:rPr>
              <w:t xml:space="preserve"> </w:t>
            </w:r>
            <w:r w:rsidR="005667B7">
              <w:rPr>
                <w:sz w:val="18"/>
                <w:szCs w:val="18"/>
                <w:lang w:val="fr-FR"/>
              </w:rPr>
              <w:t>p</w:t>
            </w:r>
            <w:r w:rsidRPr="00DB1E4A">
              <w:rPr>
                <w:sz w:val="18"/>
                <w:szCs w:val="18"/>
                <w:lang w:val="fr-FR"/>
              </w:rPr>
              <w:t>rend possession des terres au nom de l</w:t>
            </w:r>
            <w:r w:rsidR="00474653">
              <w:rPr>
                <w:sz w:val="18"/>
                <w:szCs w:val="18"/>
                <w:lang w:val="fr-FR"/>
              </w:rPr>
              <w:t>’</w:t>
            </w:r>
            <w:r w:rsidRPr="00DB1E4A">
              <w:rPr>
                <w:sz w:val="18"/>
                <w:szCs w:val="18"/>
                <w:lang w:val="fr-FR"/>
              </w:rPr>
              <w:t>État</w:t>
            </w:r>
          </w:p>
        </w:tc>
      </w:tr>
      <w:tr w:rsidR="002E5A4A" w:rsidRPr="002E5A4A" w:rsidTr="002E5A4A">
        <w:tc>
          <w:tcPr>
            <w:tcW w:w="2754" w:type="dxa"/>
            <w:shd w:val="clear" w:color="auto" w:fill="auto"/>
            <w:tcMar>
              <w:top w:w="0" w:type="dxa"/>
              <w:left w:w="0" w:type="dxa"/>
              <w:bottom w:w="0" w:type="dxa"/>
              <w:right w:w="0" w:type="dxa"/>
            </w:tcMar>
          </w:tcPr>
          <w:p w:rsidR="00EC4C5A" w:rsidRPr="00DB1E4A" w:rsidRDefault="00EC4C5A" w:rsidP="00DB1E4A">
            <w:pPr>
              <w:spacing w:before="40" w:after="120" w:line="220" w:lineRule="atLeast"/>
              <w:ind w:right="113"/>
              <w:rPr>
                <w:sz w:val="18"/>
                <w:szCs w:val="18"/>
                <w:lang w:val="fr-FR"/>
              </w:rPr>
            </w:pPr>
            <w:r w:rsidRPr="00DB1E4A">
              <w:rPr>
                <w:sz w:val="18"/>
                <w:szCs w:val="18"/>
                <w:lang w:val="fr-FR"/>
              </w:rPr>
              <w:t>Prise de possession</w:t>
            </w:r>
          </w:p>
        </w:tc>
        <w:tc>
          <w:tcPr>
            <w:tcW w:w="4616" w:type="dxa"/>
            <w:shd w:val="clear" w:color="auto" w:fill="auto"/>
            <w:tcMar>
              <w:top w:w="0" w:type="dxa"/>
              <w:left w:w="0" w:type="dxa"/>
              <w:bottom w:w="0" w:type="dxa"/>
              <w:right w:w="0" w:type="dxa"/>
            </w:tcMar>
          </w:tcPr>
          <w:p w:rsidR="00EC4C5A" w:rsidRPr="00DB1E4A" w:rsidRDefault="00EC4C5A" w:rsidP="005667B7">
            <w:pPr>
              <w:spacing w:before="40" w:after="120" w:line="220" w:lineRule="atLeast"/>
              <w:ind w:right="113"/>
              <w:rPr>
                <w:sz w:val="18"/>
                <w:szCs w:val="18"/>
                <w:lang w:val="fr-FR"/>
              </w:rPr>
            </w:pPr>
            <w:r w:rsidRPr="00DB1E4A">
              <w:rPr>
                <w:sz w:val="18"/>
                <w:szCs w:val="18"/>
                <w:lang w:val="fr-FR"/>
              </w:rPr>
              <w:t xml:space="preserve">Secrétaire divisionnaire </w:t>
            </w:r>
            <w:r w:rsidR="00D14B51" w:rsidRPr="00DB1E4A">
              <w:rPr>
                <w:sz w:val="18"/>
                <w:szCs w:val="18"/>
                <w:lang w:val="fr-FR"/>
              </w:rPr>
              <w:t>−</w:t>
            </w:r>
            <w:r w:rsidRPr="00DB1E4A">
              <w:rPr>
                <w:sz w:val="18"/>
                <w:szCs w:val="18"/>
                <w:lang w:val="fr-FR"/>
              </w:rPr>
              <w:t xml:space="preserve"> </w:t>
            </w:r>
            <w:r w:rsidR="005667B7">
              <w:rPr>
                <w:sz w:val="18"/>
                <w:szCs w:val="18"/>
                <w:lang w:val="fr-FR"/>
              </w:rPr>
              <w:t>p</w:t>
            </w:r>
            <w:r w:rsidRPr="00DB1E4A">
              <w:rPr>
                <w:sz w:val="18"/>
                <w:szCs w:val="18"/>
                <w:lang w:val="fr-FR"/>
              </w:rPr>
              <w:t>rend possession des terres et les transfère à l</w:t>
            </w:r>
            <w:r w:rsidR="00474653">
              <w:rPr>
                <w:sz w:val="18"/>
                <w:szCs w:val="18"/>
                <w:lang w:val="fr-FR"/>
              </w:rPr>
              <w:t>’</w:t>
            </w:r>
            <w:r w:rsidRPr="00DB1E4A">
              <w:rPr>
                <w:sz w:val="18"/>
                <w:szCs w:val="18"/>
                <w:lang w:val="fr-FR"/>
              </w:rPr>
              <w:t>institution requérante</w:t>
            </w:r>
          </w:p>
        </w:tc>
      </w:tr>
      <w:tr w:rsidR="002E5A4A" w:rsidRPr="002E5A4A" w:rsidTr="002E5A4A">
        <w:tc>
          <w:tcPr>
            <w:tcW w:w="2754" w:type="dxa"/>
            <w:tcBorders>
              <w:bottom w:val="single" w:sz="12" w:space="0" w:color="auto"/>
            </w:tcBorders>
            <w:shd w:val="clear" w:color="auto" w:fill="auto"/>
            <w:tcMar>
              <w:top w:w="0" w:type="dxa"/>
              <w:left w:w="0" w:type="dxa"/>
              <w:bottom w:w="0" w:type="dxa"/>
              <w:right w:w="0" w:type="dxa"/>
            </w:tcMar>
          </w:tcPr>
          <w:p w:rsidR="00EC4C5A" w:rsidRPr="00DB1E4A" w:rsidRDefault="00EC4C5A" w:rsidP="0017521C">
            <w:pPr>
              <w:spacing w:before="40" w:after="120" w:line="220" w:lineRule="atLeast"/>
              <w:ind w:right="113"/>
              <w:rPr>
                <w:sz w:val="18"/>
                <w:szCs w:val="18"/>
                <w:lang w:val="fr-FR"/>
              </w:rPr>
            </w:pPr>
            <w:r w:rsidRPr="00DB1E4A">
              <w:rPr>
                <w:sz w:val="18"/>
                <w:szCs w:val="18"/>
                <w:lang w:val="fr-FR"/>
              </w:rPr>
              <w:t>Section 44</w:t>
            </w:r>
            <w:r w:rsidR="00A01E05">
              <w:rPr>
                <w:sz w:val="18"/>
                <w:szCs w:val="18"/>
                <w:lang w:val="fr-FR"/>
              </w:rPr>
              <w:t>.</w:t>
            </w:r>
            <w:r w:rsidRPr="00DB1E4A">
              <w:rPr>
                <w:sz w:val="18"/>
                <w:szCs w:val="18"/>
                <w:lang w:val="fr-FR"/>
              </w:rPr>
              <w:t xml:space="preserve"> Certificat de transfert de propriété/acte d</w:t>
            </w:r>
            <w:r w:rsidR="00474653">
              <w:rPr>
                <w:sz w:val="18"/>
                <w:szCs w:val="18"/>
                <w:lang w:val="fr-FR"/>
              </w:rPr>
              <w:t>’</w:t>
            </w:r>
            <w:r w:rsidRPr="00DB1E4A">
              <w:rPr>
                <w:sz w:val="18"/>
                <w:szCs w:val="18"/>
                <w:lang w:val="fr-FR"/>
              </w:rPr>
              <w:t>enregistrement de la propriété de l</w:t>
            </w:r>
            <w:r w:rsidR="00474653">
              <w:rPr>
                <w:sz w:val="18"/>
                <w:szCs w:val="18"/>
                <w:lang w:val="fr-FR"/>
              </w:rPr>
              <w:t>’</w:t>
            </w:r>
            <w:r w:rsidRPr="00DB1E4A">
              <w:rPr>
                <w:sz w:val="18"/>
                <w:szCs w:val="18"/>
                <w:lang w:val="fr-FR"/>
              </w:rPr>
              <w:t>État</w:t>
            </w:r>
            <w:r w:rsidRPr="00DB1E4A">
              <w:rPr>
                <w:sz w:val="18"/>
                <w:szCs w:val="18"/>
                <w:lang w:val="fr-FR"/>
              </w:rPr>
              <w:br/>
              <w:t>Formulaire</w:t>
            </w:r>
            <w:r w:rsidR="0017521C">
              <w:rPr>
                <w:sz w:val="18"/>
                <w:szCs w:val="18"/>
                <w:lang w:val="fr-FR"/>
              </w:rPr>
              <w:t>s</w:t>
            </w:r>
            <w:r w:rsidRPr="00DB1E4A">
              <w:rPr>
                <w:sz w:val="18"/>
                <w:szCs w:val="18"/>
                <w:lang w:val="fr-FR"/>
              </w:rPr>
              <w:t xml:space="preserve"> 01, 02, 03, 04, 05, 06, 07, 08</w:t>
            </w:r>
          </w:p>
        </w:tc>
        <w:tc>
          <w:tcPr>
            <w:tcW w:w="4616" w:type="dxa"/>
            <w:tcBorders>
              <w:bottom w:val="single" w:sz="12" w:space="0" w:color="auto"/>
            </w:tcBorders>
            <w:shd w:val="clear" w:color="auto" w:fill="auto"/>
            <w:tcMar>
              <w:top w:w="0" w:type="dxa"/>
              <w:left w:w="0" w:type="dxa"/>
              <w:bottom w:w="0" w:type="dxa"/>
              <w:right w:w="0" w:type="dxa"/>
            </w:tcMar>
          </w:tcPr>
          <w:p w:rsidR="00EC4C5A" w:rsidRPr="00DB1E4A" w:rsidRDefault="00EC4C5A" w:rsidP="005667B7">
            <w:pPr>
              <w:spacing w:before="40" w:after="120" w:line="220" w:lineRule="atLeast"/>
              <w:ind w:right="113"/>
              <w:rPr>
                <w:sz w:val="18"/>
                <w:szCs w:val="18"/>
                <w:lang w:val="fr-FR"/>
              </w:rPr>
            </w:pPr>
            <w:r w:rsidRPr="00DB1E4A">
              <w:rPr>
                <w:sz w:val="18"/>
                <w:szCs w:val="18"/>
                <w:lang w:val="fr-FR"/>
              </w:rPr>
              <w:t xml:space="preserve">Secrétaire divisionnaire/greffier en chef </w:t>
            </w:r>
            <w:r w:rsidR="00D14B51" w:rsidRPr="00DB1E4A">
              <w:rPr>
                <w:sz w:val="18"/>
                <w:szCs w:val="18"/>
                <w:lang w:val="fr-FR"/>
              </w:rPr>
              <w:t>−</w:t>
            </w:r>
            <w:r w:rsidRPr="00DB1E4A">
              <w:rPr>
                <w:sz w:val="18"/>
                <w:szCs w:val="18"/>
                <w:lang w:val="fr-FR"/>
              </w:rPr>
              <w:t xml:space="preserve"> </w:t>
            </w:r>
            <w:r w:rsidR="005667B7">
              <w:rPr>
                <w:sz w:val="18"/>
                <w:szCs w:val="18"/>
                <w:lang w:val="fr-FR"/>
              </w:rPr>
              <w:t>r</w:t>
            </w:r>
            <w:r w:rsidRPr="00DB1E4A">
              <w:rPr>
                <w:sz w:val="18"/>
                <w:szCs w:val="18"/>
                <w:lang w:val="fr-FR"/>
              </w:rPr>
              <w:t>emet le certificat de transfert de propriété à l</w:t>
            </w:r>
            <w:r w:rsidR="00474653">
              <w:rPr>
                <w:sz w:val="18"/>
                <w:szCs w:val="18"/>
                <w:lang w:val="fr-FR"/>
              </w:rPr>
              <w:t>’</w:t>
            </w:r>
            <w:r w:rsidRPr="00DB1E4A">
              <w:rPr>
                <w:sz w:val="18"/>
                <w:szCs w:val="18"/>
                <w:lang w:val="fr-FR"/>
              </w:rPr>
              <w:t>institution concernée, après indemnisation des propriétaires fonciers</w:t>
            </w:r>
          </w:p>
        </w:tc>
      </w:tr>
    </w:tbl>
    <w:p w:rsidR="00EC4C5A" w:rsidRPr="00CC76D1" w:rsidRDefault="00EC4C5A" w:rsidP="00F94665">
      <w:pPr>
        <w:pStyle w:val="SingleTxtG"/>
        <w:spacing w:before="120"/>
        <w:rPr>
          <w:lang w:val="fr-FR"/>
        </w:rPr>
      </w:pPr>
      <w:r w:rsidRPr="00CC76D1">
        <w:rPr>
          <w:lang w:val="fr-FR"/>
        </w:rPr>
        <w:t>26.</w:t>
      </w:r>
      <w:r w:rsidRPr="00CC76D1">
        <w:rPr>
          <w:lang w:val="fr-FR"/>
        </w:rPr>
        <w:tab/>
        <w:t>La procédure applicable à la restitution des terres détenues par l</w:t>
      </w:r>
      <w:r w:rsidR="00474653">
        <w:rPr>
          <w:lang w:val="fr-FR"/>
        </w:rPr>
        <w:t>’</w:t>
      </w:r>
      <w:r w:rsidRPr="00CC76D1">
        <w:rPr>
          <w:lang w:val="fr-FR"/>
        </w:rPr>
        <w:t>armée est également énoncée dans la loi sur l</w:t>
      </w:r>
      <w:r w:rsidR="00474653">
        <w:rPr>
          <w:lang w:val="fr-FR"/>
        </w:rPr>
        <w:t>’</w:t>
      </w:r>
      <w:r w:rsidRPr="00CC76D1">
        <w:rPr>
          <w:lang w:val="fr-FR"/>
        </w:rPr>
        <w:t>acquisition des terres. Cette procédure prévoit qu</w:t>
      </w:r>
      <w:r w:rsidR="00474653">
        <w:rPr>
          <w:lang w:val="fr-FR"/>
        </w:rPr>
        <w:t>’</w:t>
      </w:r>
      <w:r w:rsidRPr="00CC76D1">
        <w:rPr>
          <w:lang w:val="fr-FR"/>
        </w:rPr>
        <w:t>une fois les terres restituées par le Ministère de la défense au secrétaire divisionnaire ou de district des régions concernées, il appartient au Ministère des affaires foncières de redistribuer les terres à leurs propriétaires légitimes.</w:t>
      </w:r>
    </w:p>
    <w:p w:rsidR="00EC4C5A" w:rsidRDefault="00EC4C5A" w:rsidP="002E5A4A">
      <w:pPr>
        <w:pStyle w:val="SingleTxtG"/>
        <w:rPr>
          <w:lang w:val="fr-FR"/>
        </w:rPr>
      </w:pPr>
      <w:r w:rsidRPr="00CC76D1">
        <w:rPr>
          <w:lang w:val="fr-FR"/>
        </w:rPr>
        <w:lastRenderedPageBreak/>
        <w:t>27.</w:t>
      </w:r>
      <w:r w:rsidRPr="00CC76D1">
        <w:rPr>
          <w:lang w:val="fr-FR"/>
        </w:rPr>
        <w:tab/>
        <w:t>Les chiffres de la superficie totale des terres (y compris des terres de l</w:t>
      </w:r>
      <w:r w:rsidR="00474653">
        <w:rPr>
          <w:lang w:val="fr-FR"/>
        </w:rPr>
        <w:t>’</w:t>
      </w:r>
      <w:r w:rsidRPr="00CC76D1">
        <w:rPr>
          <w:lang w:val="fr-FR"/>
        </w:rPr>
        <w:t>État) acquises par l</w:t>
      </w:r>
      <w:r w:rsidR="00474653">
        <w:rPr>
          <w:lang w:val="fr-FR"/>
        </w:rPr>
        <w:t>’</w:t>
      </w:r>
      <w:r w:rsidRPr="00CC76D1">
        <w:rPr>
          <w:lang w:val="fr-FR"/>
        </w:rPr>
        <w:t>armée et restituées à leurs propriétaires privés et aux institutions publiques (dans le cas des terres de l</w:t>
      </w:r>
      <w:r w:rsidR="00474653">
        <w:rPr>
          <w:lang w:val="fr-FR"/>
        </w:rPr>
        <w:t>’</w:t>
      </w:r>
      <w:r w:rsidRPr="00CC76D1">
        <w:rPr>
          <w:lang w:val="fr-FR"/>
        </w:rPr>
        <w:t>État), au 13 mars 2017, sont indiqués dans le tableau suivant</w:t>
      </w:r>
      <w:r w:rsidR="00112F55">
        <w:rPr>
          <w:lang w:val="fr-FR"/>
        </w:rPr>
        <w:t xml:space="preserve"> :</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812"/>
        <w:gridCol w:w="888"/>
        <w:gridCol w:w="749"/>
        <w:gridCol w:w="952"/>
        <w:gridCol w:w="850"/>
        <w:gridCol w:w="851"/>
      </w:tblGrid>
      <w:tr w:rsidR="00295758" w:rsidRPr="007717E9" w:rsidTr="00AF1481">
        <w:tc>
          <w:tcPr>
            <w:tcW w:w="3402" w:type="dxa"/>
            <w:tcBorders>
              <w:top w:val="single" w:sz="4" w:space="0" w:color="auto"/>
            </w:tcBorders>
            <w:shd w:val="clear" w:color="auto" w:fill="auto"/>
            <w:vAlign w:val="bottom"/>
          </w:tcPr>
          <w:p w:rsidR="00295758" w:rsidRPr="007717E9" w:rsidRDefault="00295758" w:rsidP="00AF1481">
            <w:pPr>
              <w:pStyle w:val="SingleTxtG"/>
              <w:spacing w:before="80" w:after="80" w:line="200" w:lineRule="exact"/>
              <w:ind w:left="0" w:right="0"/>
              <w:jc w:val="center"/>
              <w:rPr>
                <w:i/>
                <w:sz w:val="16"/>
              </w:rPr>
            </w:pPr>
          </w:p>
        </w:tc>
        <w:tc>
          <w:tcPr>
            <w:tcW w:w="1700" w:type="dxa"/>
            <w:gridSpan w:val="2"/>
            <w:tcBorders>
              <w:top w:val="single" w:sz="4" w:space="0" w:color="auto"/>
              <w:bottom w:val="single" w:sz="4" w:space="0" w:color="auto"/>
              <w:right w:val="single" w:sz="18" w:space="0" w:color="FFFFFF" w:themeColor="background1"/>
            </w:tcBorders>
            <w:shd w:val="clear" w:color="auto" w:fill="auto"/>
            <w:vAlign w:val="bottom"/>
          </w:tcPr>
          <w:p w:rsidR="00295758" w:rsidRPr="00EB1168" w:rsidRDefault="00295758" w:rsidP="00AF1481">
            <w:pPr>
              <w:pStyle w:val="SingleTxtG"/>
              <w:spacing w:before="80" w:after="80" w:line="200" w:lineRule="exact"/>
              <w:ind w:left="0" w:right="0"/>
              <w:jc w:val="center"/>
              <w:rPr>
                <w:i/>
                <w:sz w:val="16"/>
              </w:rPr>
            </w:pPr>
            <w:r w:rsidRPr="00C47B9C">
              <w:rPr>
                <w:i/>
                <w:sz w:val="16"/>
                <w:szCs w:val="16"/>
                <w:lang w:val="fr-FR"/>
              </w:rPr>
              <w:t>Terres de l</w:t>
            </w:r>
            <w:r>
              <w:rPr>
                <w:i/>
                <w:sz w:val="16"/>
                <w:szCs w:val="16"/>
                <w:lang w:val="fr-FR"/>
              </w:rPr>
              <w:t>’</w:t>
            </w:r>
            <w:r w:rsidRPr="00C47B9C">
              <w:rPr>
                <w:i/>
                <w:sz w:val="16"/>
                <w:szCs w:val="16"/>
                <w:lang w:val="fr-FR"/>
              </w:rPr>
              <w:t>État</w:t>
            </w:r>
          </w:p>
        </w:tc>
        <w:tc>
          <w:tcPr>
            <w:tcW w:w="1701" w:type="dxa"/>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rsidR="00295758" w:rsidRPr="00EB1168" w:rsidRDefault="00295758" w:rsidP="00AF1481">
            <w:pPr>
              <w:pStyle w:val="SingleTxtG"/>
              <w:spacing w:before="80" w:after="80" w:line="200" w:lineRule="exact"/>
              <w:ind w:left="0" w:right="0"/>
              <w:jc w:val="center"/>
              <w:rPr>
                <w:i/>
                <w:sz w:val="16"/>
              </w:rPr>
            </w:pPr>
            <w:r w:rsidRPr="00C47B9C">
              <w:rPr>
                <w:i/>
                <w:sz w:val="16"/>
                <w:szCs w:val="16"/>
                <w:lang w:val="fr-FR"/>
              </w:rPr>
              <w:t>Terres privées</w:t>
            </w:r>
          </w:p>
        </w:tc>
        <w:tc>
          <w:tcPr>
            <w:tcW w:w="1701" w:type="dxa"/>
            <w:gridSpan w:val="2"/>
            <w:tcBorders>
              <w:top w:val="single" w:sz="4" w:space="0" w:color="auto"/>
              <w:left w:val="single" w:sz="18" w:space="0" w:color="FFFFFF" w:themeColor="background1"/>
              <w:bottom w:val="single" w:sz="4" w:space="0" w:color="auto"/>
            </w:tcBorders>
            <w:shd w:val="clear" w:color="auto" w:fill="auto"/>
            <w:vAlign w:val="bottom"/>
          </w:tcPr>
          <w:p w:rsidR="00295758" w:rsidRPr="007717E9" w:rsidRDefault="00295758" w:rsidP="00AF1481">
            <w:pPr>
              <w:pStyle w:val="SingleTxtG"/>
              <w:spacing w:before="80" w:after="80" w:line="200" w:lineRule="exact"/>
              <w:ind w:left="0" w:right="0"/>
              <w:jc w:val="center"/>
              <w:rPr>
                <w:i/>
                <w:sz w:val="16"/>
              </w:rPr>
            </w:pPr>
            <w:r w:rsidRPr="00EB1168">
              <w:rPr>
                <w:i/>
                <w:sz w:val="16"/>
              </w:rPr>
              <w:t>Total</w:t>
            </w:r>
          </w:p>
        </w:tc>
      </w:tr>
      <w:tr w:rsidR="00295758" w:rsidRPr="007717E9" w:rsidTr="00AF1481">
        <w:tc>
          <w:tcPr>
            <w:tcW w:w="3402" w:type="dxa"/>
            <w:tcBorders>
              <w:bottom w:val="single" w:sz="12" w:space="0" w:color="auto"/>
            </w:tcBorders>
            <w:shd w:val="clear" w:color="auto" w:fill="auto"/>
            <w:vAlign w:val="bottom"/>
          </w:tcPr>
          <w:p w:rsidR="00295758" w:rsidRPr="007717E9" w:rsidRDefault="00295758" w:rsidP="00AF1481">
            <w:pPr>
              <w:pStyle w:val="SingleTxtG"/>
              <w:spacing w:before="80" w:after="80" w:line="200" w:lineRule="exact"/>
              <w:ind w:left="0" w:right="0"/>
              <w:jc w:val="left"/>
              <w:rPr>
                <w:i/>
                <w:sz w:val="16"/>
              </w:rPr>
            </w:pPr>
          </w:p>
        </w:tc>
        <w:tc>
          <w:tcPr>
            <w:tcW w:w="812" w:type="dxa"/>
            <w:tcBorders>
              <w:top w:val="single" w:sz="4" w:space="0" w:color="auto"/>
              <w:bottom w:val="single" w:sz="12" w:space="0" w:color="auto"/>
            </w:tcBorders>
            <w:shd w:val="clear" w:color="auto" w:fill="auto"/>
            <w:vAlign w:val="bottom"/>
          </w:tcPr>
          <w:p w:rsidR="00295758" w:rsidRPr="007717E9" w:rsidRDefault="00295758" w:rsidP="00AF1481">
            <w:pPr>
              <w:pStyle w:val="SingleTxtG"/>
              <w:spacing w:before="80" w:after="80" w:line="200" w:lineRule="exact"/>
              <w:ind w:left="0" w:right="0"/>
              <w:jc w:val="right"/>
              <w:rPr>
                <w:i/>
                <w:sz w:val="16"/>
              </w:rPr>
            </w:pPr>
            <w:r w:rsidRPr="00EB1168">
              <w:rPr>
                <w:i/>
                <w:sz w:val="16"/>
              </w:rPr>
              <w:t>Acres</w:t>
            </w:r>
          </w:p>
        </w:tc>
        <w:tc>
          <w:tcPr>
            <w:tcW w:w="888" w:type="dxa"/>
            <w:tcBorders>
              <w:top w:val="single" w:sz="4" w:space="0" w:color="auto"/>
              <w:bottom w:val="single" w:sz="12" w:space="0" w:color="auto"/>
              <w:right w:val="single" w:sz="18" w:space="0" w:color="FFFFFF" w:themeColor="background1"/>
            </w:tcBorders>
            <w:shd w:val="clear" w:color="auto" w:fill="auto"/>
            <w:vAlign w:val="bottom"/>
          </w:tcPr>
          <w:p w:rsidR="00295758" w:rsidRPr="007717E9" w:rsidRDefault="00295758" w:rsidP="00AF1481">
            <w:pPr>
              <w:pStyle w:val="SingleTxtG"/>
              <w:spacing w:before="80" w:after="80" w:line="200" w:lineRule="exact"/>
              <w:ind w:left="0" w:right="57"/>
              <w:jc w:val="right"/>
              <w:rPr>
                <w:i/>
                <w:sz w:val="16"/>
              </w:rPr>
            </w:pPr>
            <w:r>
              <w:rPr>
                <w:i/>
                <w:sz w:val="16"/>
              </w:rPr>
              <w:t>%</w:t>
            </w:r>
          </w:p>
        </w:tc>
        <w:tc>
          <w:tcPr>
            <w:tcW w:w="749" w:type="dxa"/>
            <w:tcBorders>
              <w:top w:val="single" w:sz="4" w:space="0" w:color="auto"/>
              <w:left w:val="single" w:sz="18" w:space="0" w:color="FFFFFF" w:themeColor="background1"/>
              <w:bottom w:val="single" w:sz="12" w:space="0" w:color="auto"/>
            </w:tcBorders>
            <w:shd w:val="clear" w:color="auto" w:fill="auto"/>
            <w:vAlign w:val="bottom"/>
          </w:tcPr>
          <w:p w:rsidR="00295758" w:rsidRPr="007717E9" w:rsidRDefault="00295758" w:rsidP="00AF1481">
            <w:pPr>
              <w:pStyle w:val="SingleTxtG"/>
              <w:spacing w:before="80" w:after="80" w:line="200" w:lineRule="exact"/>
              <w:ind w:left="0" w:right="0"/>
              <w:jc w:val="right"/>
              <w:rPr>
                <w:i/>
                <w:sz w:val="16"/>
              </w:rPr>
            </w:pPr>
            <w:r w:rsidRPr="00EB1168">
              <w:rPr>
                <w:i/>
                <w:sz w:val="16"/>
              </w:rPr>
              <w:t>Acres</w:t>
            </w:r>
          </w:p>
        </w:tc>
        <w:tc>
          <w:tcPr>
            <w:tcW w:w="952" w:type="dxa"/>
            <w:tcBorders>
              <w:top w:val="single" w:sz="4" w:space="0" w:color="auto"/>
              <w:bottom w:val="single" w:sz="12" w:space="0" w:color="auto"/>
              <w:right w:val="single" w:sz="18" w:space="0" w:color="FFFFFF" w:themeColor="background1"/>
            </w:tcBorders>
            <w:shd w:val="clear" w:color="auto" w:fill="auto"/>
            <w:vAlign w:val="bottom"/>
          </w:tcPr>
          <w:p w:rsidR="00295758" w:rsidRPr="007717E9" w:rsidRDefault="00295758" w:rsidP="00AF1481">
            <w:pPr>
              <w:pStyle w:val="SingleTxtG"/>
              <w:spacing w:before="80" w:after="80" w:line="200" w:lineRule="exact"/>
              <w:ind w:left="0" w:right="57"/>
              <w:jc w:val="right"/>
              <w:rPr>
                <w:i/>
                <w:sz w:val="16"/>
              </w:rPr>
            </w:pPr>
            <w:r>
              <w:rPr>
                <w:i/>
                <w:sz w:val="16"/>
              </w:rPr>
              <w:t>%</w:t>
            </w:r>
          </w:p>
        </w:tc>
        <w:tc>
          <w:tcPr>
            <w:tcW w:w="850" w:type="dxa"/>
            <w:tcBorders>
              <w:top w:val="single" w:sz="4" w:space="0" w:color="auto"/>
              <w:left w:val="single" w:sz="18" w:space="0" w:color="FFFFFF" w:themeColor="background1"/>
              <w:bottom w:val="single" w:sz="12" w:space="0" w:color="auto"/>
            </w:tcBorders>
            <w:shd w:val="clear" w:color="auto" w:fill="auto"/>
            <w:vAlign w:val="bottom"/>
          </w:tcPr>
          <w:p w:rsidR="00295758" w:rsidRPr="007717E9" w:rsidRDefault="00295758" w:rsidP="00AF1481">
            <w:pPr>
              <w:pStyle w:val="SingleTxtG"/>
              <w:spacing w:before="80" w:after="80" w:line="200" w:lineRule="exact"/>
              <w:ind w:left="0" w:right="0"/>
              <w:jc w:val="right"/>
              <w:rPr>
                <w:i/>
                <w:sz w:val="16"/>
              </w:rPr>
            </w:pPr>
            <w:r w:rsidRPr="00EB1168">
              <w:rPr>
                <w:i/>
                <w:sz w:val="16"/>
              </w:rPr>
              <w:t>Acres</w:t>
            </w:r>
          </w:p>
        </w:tc>
        <w:tc>
          <w:tcPr>
            <w:tcW w:w="851" w:type="dxa"/>
            <w:tcBorders>
              <w:top w:val="single" w:sz="4" w:space="0" w:color="auto"/>
              <w:bottom w:val="single" w:sz="12" w:space="0" w:color="auto"/>
            </w:tcBorders>
            <w:shd w:val="clear" w:color="auto" w:fill="auto"/>
            <w:vAlign w:val="bottom"/>
          </w:tcPr>
          <w:p w:rsidR="00295758" w:rsidRPr="007717E9" w:rsidRDefault="00295758" w:rsidP="00AF1481">
            <w:pPr>
              <w:pStyle w:val="SingleTxtG"/>
              <w:spacing w:before="80" w:after="80" w:line="200" w:lineRule="exact"/>
              <w:ind w:left="0" w:right="0"/>
              <w:jc w:val="right"/>
              <w:rPr>
                <w:i/>
                <w:sz w:val="16"/>
              </w:rPr>
            </w:pPr>
            <w:r>
              <w:rPr>
                <w:i/>
                <w:sz w:val="16"/>
              </w:rPr>
              <w:t>%</w:t>
            </w:r>
          </w:p>
        </w:tc>
      </w:tr>
      <w:tr w:rsidR="00295758" w:rsidRPr="007717E9" w:rsidTr="00AF1481">
        <w:tc>
          <w:tcPr>
            <w:tcW w:w="3402" w:type="dxa"/>
            <w:shd w:val="clear" w:color="auto" w:fill="auto"/>
          </w:tcPr>
          <w:p w:rsidR="00295758" w:rsidRPr="00C47B9C" w:rsidRDefault="00295758" w:rsidP="00295758">
            <w:pPr>
              <w:suppressAutoHyphens w:val="0"/>
              <w:spacing w:before="40" w:after="40" w:line="220" w:lineRule="exact"/>
              <w:rPr>
                <w:sz w:val="18"/>
                <w:szCs w:val="18"/>
                <w:lang w:val="fr-FR"/>
              </w:rPr>
            </w:pPr>
            <w:r w:rsidRPr="00C47B9C">
              <w:rPr>
                <w:sz w:val="18"/>
                <w:szCs w:val="18"/>
                <w:lang w:val="fr-FR"/>
              </w:rPr>
              <w:t>Terres occupées par les forces armées au début du processus de réconciliation</w:t>
            </w:r>
          </w:p>
        </w:tc>
        <w:tc>
          <w:tcPr>
            <w:tcW w:w="812" w:type="dxa"/>
            <w:shd w:val="clear" w:color="auto" w:fill="auto"/>
            <w:vAlign w:val="bottom"/>
          </w:tcPr>
          <w:p w:rsidR="00295758" w:rsidRPr="004E7474" w:rsidRDefault="00295758" w:rsidP="00295758">
            <w:pPr>
              <w:pStyle w:val="SingleTxtG"/>
              <w:spacing w:before="40" w:after="40" w:line="220" w:lineRule="exact"/>
              <w:ind w:left="0" w:right="0"/>
              <w:jc w:val="right"/>
              <w:rPr>
                <w:sz w:val="18"/>
              </w:rPr>
            </w:pPr>
            <w:r w:rsidRPr="004E7474">
              <w:rPr>
                <w:sz w:val="18"/>
              </w:rPr>
              <w:t>73</w:t>
            </w:r>
            <w:r>
              <w:rPr>
                <w:sz w:val="18"/>
              </w:rPr>
              <w:t xml:space="preserve"> </w:t>
            </w:r>
            <w:r w:rsidRPr="004E7474">
              <w:rPr>
                <w:sz w:val="18"/>
              </w:rPr>
              <w:t>745</w:t>
            </w:r>
          </w:p>
        </w:tc>
        <w:tc>
          <w:tcPr>
            <w:tcW w:w="888" w:type="dxa"/>
            <w:shd w:val="clear" w:color="auto" w:fill="auto"/>
            <w:vAlign w:val="bottom"/>
          </w:tcPr>
          <w:p w:rsidR="00295758" w:rsidRPr="004E7474" w:rsidRDefault="00295758" w:rsidP="00295758">
            <w:pPr>
              <w:pStyle w:val="SingleTxtG"/>
              <w:spacing w:before="40" w:after="40" w:line="220" w:lineRule="exact"/>
              <w:ind w:left="0" w:right="57"/>
              <w:jc w:val="right"/>
              <w:rPr>
                <w:sz w:val="18"/>
              </w:rPr>
            </w:pPr>
            <w:r w:rsidRPr="004E7474">
              <w:rPr>
                <w:sz w:val="18"/>
              </w:rPr>
              <w:t>100</w:t>
            </w:r>
          </w:p>
        </w:tc>
        <w:tc>
          <w:tcPr>
            <w:tcW w:w="749" w:type="dxa"/>
            <w:shd w:val="clear" w:color="auto" w:fill="auto"/>
            <w:vAlign w:val="bottom"/>
          </w:tcPr>
          <w:p w:rsidR="00295758" w:rsidRPr="004E7474" w:rsidRDefault="00295758" w:rsidP="00295758">
            <w:pPr>
              <w:pStyle w:val="SingleTxtG"/>
              <w:spacing w:before="40" w:after="40" w:line="220" w:lineRule="exact"/>
              <w:ind w:left="0" w:right="0"/>
              <w:jc w:val="right"/>
              <w:rPr>
                <w:sz w:val="18"/>
              </w:rPr>
            </w:pPr>
            <w:r w:rsidRPr="004E7474">
              <w:rPr>
                <w:sz w:val="18"/>
              </w:rPr>
              <w:t>30</w:t>
            </w:r>
            <w:r>
              <w:rPr>
                <w:sz w:val="18"/>
              </w:rPr>
              <w:t xml:space="preserve"> </w:t>
            </w:r>
            <w:r w:rsidRPr="004E7474">
              <w:rPr>
                <w:sz w:val="18"/>
              </w:rPr>
              <w:t>833</w:t>
            </w:r>
          </w:p>
        </w:tc>
        <w:tc>
          <w:tcPr>
            <w:tcW w:w="952" w:type="dxa"/>
            <w:shd w:val="clear" w:color="auto" w:fill="auto"/>
            <w:vAlign w:val="bottom"/>
          </w:tcPr>
          <w:p w:rsidR="00295758" w:rsidRPr="004E7474" w:rsidRDefault="00295758" w:rsidP="00295758">
            <w:pPr>
              <w:pStyle w:val="SingleTxtG"/>
              <w:spacing w:before="40" w:after="40" w:line="220" w:lineRule="exact"/>
              <w:ind w:left="0" w:right="57"/>
              <w:jc w:val="right"/>
              <w:rPr>
                <w:sz w:val="18"/>
              </w:rPr>
            </w:pPr>
            <w:r w:rsidRPr="004E7474">
              <w:rPr>
                <w:sz w:val="18"/>
              </w:rPr>
              <w:t>100</w:t>
            </w:r>
          </w:p>
        </w:tc>
        <w:tc>
          <w:tcPr>
            <w:tcW w:w="850" w:type="dxa"/>
            <w:shd w:val="clear" w:color="auto" w:fill="auto"/>
            <w:vAlign w:val="bottom"/>
          </w:tcPr>
          <w:p w:rsidR="00295758" w:rsidRPr="004E7474" w:rsidRDefault="00295758" w:rsidP="00295758">
            <w:pPr>
              <w:pStyle w:val="SingleTxtG"/>
              <w:spacing w:before="40" w:after="40" w:line="220" w:lineRule="exact"/>
              <w:ind w:left="0" w:right="0"/>
              <w:jc w:val="right"/>
              <w:rPr>
                <w:sz w:val="18"/>
              </w:rPr>
            </w:pPr>
            <w:r w:rsidRPr="004E7474">
              <w:rPr>
                <w:sz w:val="18"/>
              </w:rPr>
              <w:t>104</w:t>
            </w:r>
            <w:r>
              <w:rPr>
                <w:sz w:val="18"/>
              </w:rPr>
              <w:t xml:space="preserve"> </w:t>
            </w:r>
            <w:r w:rsidRPr="004E7474">
              <w:rPr>
                <w:sz w:val="18"/>
              </w:rPr>
              <w:t>578</w:t>
            </w:r>
          </w:p>
        </w:tc>
        <w:tc>
          <w:tcPr>
            <w:tcW w:w="851" w:type="dxa"/>
            <w:shd w:val="clear" w:color="auto" w:fill="auto"/>
            <w:vAlign w:val="bottom"/>
          </w:tcPr>
          <w:p w:rsidR="00295758" w:rsidRPr="004E7474" w:rsidRDefault="00295758" w:rsidP="00295758">
            <w:pPr>
              <w:pStyle w:val="SingleTxtG"/>
              <w:spacing w:before="40" w:after="40" w:line="220" w:lineRule="exact"/>
              <w:ind w:left="0" w:right="0"/>
              <w:jc w:val="right"/>
              <w:rPr>
                <w:sz w:val="18"/>
              </w:rPr>
            </w:pPr>
            <w:r w:rsidRPr="004E7474">
              <w:rPr>
                <w:sz w:val="18"/>
              </w:rPr>
              <w:t>100</w:t>
            </w:r>
          </w:p>
        </w:tc>
      </w:tr>
      <w:tr w:rsidR="00295758" w:rsidRPr="007717E9" w:rsidTr="00AF1481">
        <w:tc>
          <w:tcPr>
            <w:tcW w:w="3402" w:type="dxa"/>
            <w:shd w:val="clear" w:color="auto" w:fill="auto"/>
          </w:tcPr>
          <w:p w:rsidR="00295758" w:rsidRPr="00C47B9C" w:rsidRDefault="00295758" w:rsidP="00295758">
            <w:pPr>
              <w:suppressAutoHyphens w:val="0"/>
              <w:spacing w:before="40" w:after="40" w:line="220" w:lineRule="exact"/>
              <w:rPr>
                <w:sz w:val="18"/>
                <w:szCs w:val="18"/>
                <w:lang w:val="fr-FR"/>
              </w:rPr>
            </w:pPr>
            <w:r w:rsidRPr="00C47B9C">
              <w:rPr>
                <w:sz w:val="18"/>
                <w:szCs w:val="18"/>
                <w:lang w:val="fr-FR"/>
              </w:rPr>
              <w:t>Terres restituées au 16 mai 2017</w:t>
            </w:r>
          </w:p>
        </w:tc>
        <w:tc>
          <w:tcPr>
            <w:tcW w:w="812" w:type="dxa"/>
            <w:shd w:val="clear" w:color="auto" w:fill="auto"/>
            <w:vAlign w:val="bottom"/>
          </w:tcPr>
          <w:p w:rsidR="00295758" w:rsidRPr="004E7474" w:rsidRDefault="00295758" w:rsidP="00295758">
            <w:pPr>
              <w:pStyle w:val="SingleTxtG"/>
              <w:spacing w:before="40" w:after="40" w:line="220" w:lineRule="exact"/>
              <w:ind w:left="0" w:right="0"/>
              <w:jc w:val="right"/>
              <w:rPr>
                <w:sz w:val="18"/>
              </w:rPr>
            </w:pPr>
            <w:r w:rsidRPr="004E7474">
              <w:rPr>
                <w:sz w:val="18"/>
              </w:rPr>
              <w:t>54</w:t>
            </w:r>
            <w:r>
              <w:rPr>
                <w:sz w:val="18"/>
              </w:rPr>
              <w:t xml:space="preserve"> </w:t>
            </w:r>
            <w:r w:rsidRPr="004E7474">
              <w:rPr>
                <w:sz w:val="18"/>
              </w:rPr>
              <w:t>769</w:t>
            </w:r>
          </w:p>
        </w:tc>
        <w:tc>
          <w:tcPr>
            <w:tcW w:w="888" w:type="dxa"/>
            <w:shd w:val="clear" w:color="auto" w:fill="auto"/>
            <w:vAlign w:val="bottom"/>
          </w:tcPr>
          <w:p w:rsidR="00295758" w:rsidRPr="004E7474" w:rsidRDefault="00295758" w:rsidP="00295758">
            <w:pPr>
              <w:pStyle w:val="SingleTxtG"/>
              <w:spacing w:before="40" w:after="40" w:line="220" w:lineRule="exact"/>
              <w:ind w:left="0" w:right="57"/>
              <w:jc w:val="right"/>
              <w:rPr>
                <w:sz w:val="18"/>
              </w:rPr>
            </w:pPr>
            <w:r w:rsidRPr="004E7474">
              <w:rPr>
                <w:sz w:val="18"/>
              </w:rPr>
              <w:t>74</w:t>
            </w:r>
            <w:r>
              <w:rPr>
                <w:sz w:val="18"/>
              </w:rPr>
              <w:t>,</w:t>
            </w:r>
            <w:r w:rsidRPr="004E7474">
              <w:rPr>
                <w:sz w:val="18"/>
              </w:rPr>
              <w:t>2</w:t>
            </w:r>
          </w:p>
        </w:tc>
        <w:tc>
          <w:tcPr>
            <w:tcW w:w="749" w:type="dxa"/>
            <w:shd w:val="clear" w:color="auto" w:fill="auto"/>
            <w:vAlign w:val="bottom"/>
          </w:tcPr>
          <w:p w:rsidR="00295758" w:rsidRPr="004E7474" w:rsidRDefault="00295758" w:rsidP="00295758">
            <w:pPr>
              <w:pStyle w:val="SingleTxtG"/>
              <w:spacing w:before="40" w:after="40" w:line="220" w:lineRule="exact"/>
              <w:ind w:left="0" w:right="0"/>
              <w:jc w:val="right"/>
              <w:rPr>
                <w:sz w:val="18"/>
              </w:rPr>
            </w:pPr>
            <w:r w:rsidRPr="004E7474">
              <w:rPr>
                <w:sz w:val="18"/>
              </w:rPr>
              <w:t>24</w:t>
            </w:r>
            <w:r>
              <w:rPr>
                <w:sz w:val="18"/>
              </w:rPr>
              <w:t xml:space="preserve"> </w:t>
            </w:r>
            <w:r w:rsidRPr="004E7474">
              <w:rPr>
                <w:sz w:val="18"/>
              </w:rPr>
              <w:t>394</w:t>
            </w:r>
          </w:p>
        </w:tc>
        <w:tc>
          <w:tcPr>
            <w:tcW w:w="952" w:type="dxa"/>
            <w:shd w:val="clear" w:color="auto" w:fill="auto"/>
            <w:vAlign w:val="bottom"/>
          </w:tcPr>
          <w:p w:rsidR="00295758" w:rsidRPr="004E7474" w:rsidRDefault="00295758" w:rsidP="00295758">
            <w:pPr>
              <w:pStyle w:val="SingleTxtG"/>
              <w:spacing w:before="40" w:after="40" w:line="220" w:lineRule="exact"/>
              <w:ind w:left="0" w:right="57"/>
              <w:jc w:val="right"/>
              <w:rPr>
                <w:sz w:val="18"/>
              </w:rPr>
            </w:pPr>
            <w:r w:rsidRPr="004E7474">
              <w:rPr>
                <w:sz w:val="18"/>
              </w:rPr>
              <w:t>79</w:t>
            </w:r>
            <w:r>
              <w:rPr>
                <w:sz w:val="18"/>
              </w:rPr>
              <w:t>,</w:t>
            </w:r>
            <w:r w:rsidRPr="004E7474">
              <w:rPr>
                <w:sz w:val="18"/>
              </w:rPr>
              <w:t>1</w:t>
            </w:r>
          </w:p>
        </w:tc>
        <w:tc>
          <w:tcPr>
            <w:tcW w:w="850" w:type="dxa"/>
            <w:shd w:val="clear" w:color="auto" w:fill="auto"/>
            <w:vAlign w:val="bottom"/>
          </w:tcPr>
          <w:p w:rsidR="00295758" w:rsidRPr="004E7474" w:rsidRDefault="00295758" w:rsidP="00295758">
            <w:pPr>
              <w:pStyle w:val="SingleTxtG"/>
              <w:spacing w:before="40" w:after="40" w:line="220" w:lineRule="exact"/>
              <w:ind w:left="0" w:right="0"/>
              <w:jc w:val="right"/>
              <w:rPr>
                <w:sz w:val="18"/>
              </w:rPr>
            </w:pPr>
            <w:r w:rsidRPr="004E7474">
              <w:rPr>
                <w:sz w:val="18"/>
              </w:rPr>
              <w:t>79</w:t>
            </w:r>
            <w:r>
              <w:rPr>
                <w:sz w:val="18"/>
              </w:rPr>
              <w:t xml:space="preserve"> </w:t>
            </w:r>
            <w:r w:rsidRPr="004E7474">
              <w:rPr>
                <w:sz w:val="18"/>
              </w:rPr>
              <w:t>163</w:t>
            </w:r>
          </w:p>
        </w:tc>
        <w:tc>
          <w:tcPr>
            <w:tcW w:w="851" w:type="dxa"/>
            <w:shd w:val="clear" w:color="auto" w:fill="auto"/>
            <w:vAlign w:val="bottom"/>
          </w:tcPr>
          <w:p w:rsidR="00295758" w:rsidRPr="004E7474" w:rsidRDefault="00295758" w:rsidP="00295758">
            <w:pPr>
              <w:pStyle w:val="SingleTxtG"/>
              <w:spacing w:before="40" w:after="40" w:line="220" w:lineRule="exact"/>
              <w:ind w:left="0" w:right="0"/>
              <w:jc w:val="right"/>
              <w:rPr>
                <w:sz w:val="18"/>
              </w:rPr>
            </w:pPr>
            <w:r w:rsidRPr="004E7474">
              <w:rPr>
                <w:sz w:val="18"/>
              </w:rPr>
              <w:t>75</w:t>
            </w:r>
            <w:r>
              <w:rPr>
                <w:sz w:val="18"/>
              </w:rPr>
              <w:t>,</w:t>
            </w:r>
            <w:r w:rsidRPr="004E7474">
              <w:rPr>
                <w:sz w:val="18"/>
              </w:rPr>
              <w:t>69</w:t>
            </w:r>
          </w:p>
        </w:tc>
      </w:tr>
      <w:tr w:rsidR="00295758" w:rsidRPr="007717E9" w:rsidTr="00AF1481">
        <w:tc>
          <w:tcPr>
            <w:tcW w:w="3402" w:type="dxa"/>
            <w:tcBorders>
              <w:bottom w:val="single" w:sz="12" w:space="0" w:color="auto"/>
            </w:tcBorders>
            <w:shd w:val="clear" w:color="auto" w:fill="auto"/>
          </w:tcPr>
          <w:p w:rsidR="00295758" w:rsidRPr="00C47B9C" w:rsidRDefault="00295758" w:rsidP="00295758">
            <w:pPr>
              <w:suppressAutoHyphens w:val="0"/>
              <w:spacing w:before="40" w:after="40" w:line="220" w:lineRule="exact"/>
              <w:rPr>
                <w:sz w:val="18"/>
                <w:szCs w:val="18"/>
                <w:lang w:val="fr-FR"/>
              </w:rPr>
            </w:pPr>
            <w:r w:rsidRPr="00C47B9C">
              <w:rPr>
                <w:sz w:val="18"/>
                <w:szCs w:val="18"/>
                <w:lang w:val="fr-FR"/>
              </w:rPr>
              <w:t>Terres dont la restitution devrait intervenir d</w:t>
            </w:r>
            <w:r>
              <w:rPr>
                <w:sz w:val="18"/>
                <w:szCs w:val="18"/>
                <w:lang w:val="fr-FR"/>
              </w:rPr>
              <w:t>’</w:t>
            </w:r>
            <w:r w:rsidRPr="00C47B9C">
              <w:rPr>
                <w:sz w:val="18"/>
                <w:szCs w:val="18"/>
                <w:lang w:val="fr-FR"/>
              </w:rPr>
              <w:t>ici à la fin de 2017 (en mois)</w:t>
            </w:r>
          </w:p>
        </w:tc>
        <w:tc>
          <w:tcPr>
            <w:tcW w:w="812" w:type="dxa"/>
            <w:tcBorders>
              <w:bottom w:val="single" w:sz="12" w:space="0" w:color="auto"/>
            </w:tcBorders>
            <w:shd w:val="clear" w:color="auto" w:fill="auto"/>
            <w:vAlign w:val="bottom"/>
          </w:tcPr>
          <w:p w:rsidR="00295758" w:rsidRPr="004E7474" w:rsidRDefault="00295758" w:rsidP="00295758">
            <w:pPr>
              <w:pStyle w:val="SingleTxtG"/>
              <w:spacing w:before="40" w:after="40" w:line="220" w:lineRule="exact"/>
              <w:ind w:left="0" w:right="0"/>
              <w:jc w:val="right"/>
              <w:rPr>
                <w:sz w:val="18"/>
              </w:rPr>
            </w:pPr>
            <w:r w:rsidRPr="004E7474">
              <w:rPr>
                <w:sz w:val="18"/>
              </w:rPr>
              <w:t>2</w:t>
            </w:r>
            <w:r>
              <w:rPr>
                <w:sz w:val="18"/>
              </w:rPr>
              <w:t xml:space="preserve"> </w:t>
            </w:r>
            <w:r w:rsidRPr="004E7474">
              <w:rPr>
                <w:sz w:val="18"/>
              </w:rPr>
              <w:t>859</w:t>
            </w:r>
          </w:p>
        </w:tc>
        <w:tc>
          <w:tcPr>
            <w:tcW w:w="888" w:type="dxa"/>
            <w:tcBorders>
              <w:bottom w:val="single" w:sz="12" w:space="0" w:color="auto"/>
            </w:tcBorders>
            <w:shd w:val="clear" w:color="auto" w:fill="auto"/>
            <w:vAlign w:val="bottom"/>
          </w:tcPr>
          <w:p w:rsidR="00295758" w:rsidRPr="004E7474" w:rsidRDefault="00295758" w:rsidP="00295758">
            <w:pPr>
              <w:pStyle w:val="SingleTxtG"/>
              <w:spacing w:before="40" w:after="40" w:line="220" w:lineRule="exact"/>
              <w:ind w:left="0" w:right="57"/>
              <w:jc w:val="right"/>
              <w:rPr>
                <w:sz w:val="18"/>
              </w:rPr>
            </w:pPr>
            <w:r w:rsidRPr="004E7474">
              <w:rPr>
                <w:sz w:val="18"/>
              </w:rPr>
              <w:t>3</w:t>
            </w:r>
            <w:r>
              <w:rPr>
                <w:sz w:val="18"/>
              </w:rPr>
              <w:t>,</w:t>
            </w:r>
            <w:r w:rsidRPr="004E7474">
              <w:rPr>
                <w:sz w:val="18"/>
              </w:rPr>
              <w:t>8</w:t>
            </w:r>
          </w:p>
        </w:tc>
        <w:tc>
          <w:tcPr>
            <w:tcW w:w="749" w:type="dxa"/>
            <w:tcBorders>
              <w:bottom w:val="single" w:sz="12" w:space="0" w:color="auto"/>
            </w:tcBorders>
            <w:shd w:val="clear" w:color="auto" w:fill="auto"/>
            <w:vAlign w:val="bottom"/>
          </w:tcPr>
          <w:p w:rsidR="00295758" w:rsidRPr="004E7474" w:rsidRDefault="00295758" w:rsidP="00295758">
            <w:pPr>
              <w:pStyle w:val="SingleTxtG"/>
              <w:spacing w:before="40" w:after="40" w:line="220" w:lineRule="exact"/>
              <w:ind w:left="0" w:right="0"/>
              <w:jc w:val="right"/>
              <w:rPr>
                <w:sz w:val="18"/>
              </w:rPr>
            </w:pPr>
            <w:r w:rsidRPr="004E7474">
              <w:rPr>
                <w:sz w:val="18"/>
              </w:rPr>
              <w:t>519</w:t>
            </w:r>
          </w:p>
        </w:tc>
        <w:tc>
          <w:tcPr>
            <w:tcW w:w="952" w:type="dxa"/>
            <w:tcBorders>
              <w:bottom w:val="single" w:sz="12" w:space="0" w:color="auto"/>
            </w:tcBorders>
            <w:shd w:val="clear" w:color="auto" w:fill="auto"/>
            <w:vAlign w:val="bottom"/>
          </w:tcPr>
          <w:p w:rsidR="00295758" w:rsidRPr="004E7474" w:rsidRDefault="00295758" w:rsidP="00295758">
            <w:pPr>
              <w:pStyle w:val="SingleTxtG"/>
              <w:spacing w:before="40" w:after="40" w:line="220" w:lineRule="exact"/>
              <w:ind w:left="0" w:right="57"/>
              <w:jc w:val="right"/>
              <w:rPr>
                <w:sz w:val="18"/>
              </w:rPr>
            </w:pPr>
            <w:r w:rsidRPr="004E7474">
              <w:rPr>
                <w:sz w:val="18"/>
              </w:rPr>
              <w:t>1</w:t>
            </w:r>
            <w:r>
              <w:rPr>
                <w:sz w:val="18"/>
              </w:rPr>
              <w:t>,</w:t>
            </w:r>
            <w:r w:rsidRPr="004E7474">
              <w:rPr>
                <w:sz w:val="18"/>
              </w:rPr>
              <w:t>6</w:t>
            </w:r>
          </w:p>
        </w:tc>
        <w:tc>
          <w:tcPr>
            <w:tcW w:w="850" w:type="dxa"/>
            <w:tcBorders>
              <w:bottom w:val="single" w:sz="12" w:space="0" w:color="auto"/>
            </w:tcBorders>
            <w:shd w:val="clear" w:color="auto" w:fill="auto"/>
            <w:vAlign w:val="bottom"/>
          </w:tcPr>
          <w:p w:rsidR="00295758" w:rsidRPr="004E7474" w:rsidRDefault="00295758" w:rsidP="00295758">
            <w:pPr>
              <w:pStyle w:val="SingleTxtG"/>
              <w:spacing w:before="40" w:after="40" w:line="220" w:lineRule="exact"/>
              <w:ind w:left="0" w:right="0"/>
              <w:jc w:val="right"/>
              <w:rPr>
                <w:sz w:val="18"/>
              </w:rPr>
            </w:pPr>
            <w:r w:rsidRPr="004E7474">
              <w:rPr>
                <w:sz w:val="18"/>
              </w:rPr>
              <w:t>3</w:t>
            </w:r>
            <w:r>
              <w:rPr>
                <w:sz w:val="18"/>
              </w:rPr>
              <w:t xml:space="preserve"> </w:t>
            </w:r>
            <w:r w:rsidRPr="004E7474">
              <w:rPr>
                <w:sz w:val="18"/>
              </w:rPr>
              <w:t>378</w:t>
            </w:r>
          </w:p>
        </w:tc>
        <w:tc>
          <w:tcPr>
            <w:tcW w:w="851" w:type="dxa"/>
            <w:tcBorders>
              <w:bottom w:val="single" w:sz="12" w:space="0" w:color="auto"/>
            </w:tcBorders>
            <w:shd w:val="clear" w:color="auto" w:fill="auto"/>
            <w:vAlign w:val="bottom"/>
          </w:tcPr>
          <w:p w:rsidR="00295758" w:rsidRPr="004E7474" w:rsidRDefault="00295758" w:rsidP="00295758">
            <w:pPr>
              <w:pStyle w:val="SingleTxtG"/>
              <w:spacing w:before="40" w:after="40" w:line="220" w:lineRule="exact"/>
              <w:ind w:left="0" w:right="0"/>
              <w:jc w:val="right"/>
              <w:rPr>
                <w:sz w:val="18"/>
              </w:rPr>
            </w:pPr>
            <w:r w:rsidRPr="004E7474">
              <w:rPr>
                <w:sz w:val="18"/>
              </w:rPr>
              <w:t>3</w:t>
            </w:r>
            <w:r>
              <w:rPr>
                <w:sz w:val="18"/>
              </w:rPr>
              <w:t>,</w:t>
            </w:r>
            <w:r w:rsidRPr="004E7474">
              <w:rPr>
                <w:sz w:val="18"/>
              </w:rPr>
              <w:t>23</w:t>
            </w:r>
          </w:p>
        </w:tc>
      </w:tr>
    </w:tbl>
    <w:p w:rsidR="00EC4C5A" w:rsidRPr="00CC76D1" w:rsidRDefault="00EC4C5A" w:rsidP="00C47B9C">
      <w:pPr>
        <w:pStyle w:val="HChG"/>
        <w:rPr>
          <w:lang w:val="fr-FR"/>
        </w:rPr>
      </w:pPr>
      <w:r w:rsidRPr="00CC76D1">
        <w:rPr>
          <w:lang w:val="fr-FR"/>
        </w:rPr>
        <w:tab/>
        <w:t>II.</w:t>
      </w:r>
      <w:r w:rsidRPr="00CC76D1">
        <w:rPr>
          <w:lang w:val="fr-FR"/>
        </w:rPr>
        <w:tab/>
        <w:t>Points relatifs aux disposi</w:t>
      </w:r>
      <w:r w:rsidR="002C7123">
        <w:rPr>
          <w:lang w:val="fr-FR"/>
        </w:rPr>
        <w:t>tions générales du Pacte</w:t>
      </w:r>
      <w:r w:rsidR="00112F55">
        <w:rPr>
          <w:lang w:val="fr-FR"/>
        </w:rPr>
        <w:t xml:space="preserve"> −</w:t>
      </w:r>
      <w:r w:rsidR="002C7123">
        <w:rPr>
          <w:lang w:val="fr-FR"/>
        </w:rPr>
        <w:br/>
      </w:r>
      <w:r w:rsidRPr="00CC76D1">
        <w:rPr>
          <w:lang w:val="fr-FR"/>
        </w:rPr>
        <w:t>Non-discrimination (art. 2, par. 2)</w:t>
      </w:r>
    </w:p>
    <w:p w:rsidR="00EC4C5A" w:rsidRPr="00CC76D1" w:rsidRDefault="00EC4C5A" w:rsidP="00C47B9C">
      <w:pPr>
        <w:pStyle w:val="H1G"/>
        <w:rPr>
          <w:lang w:val="fr-FR"/>
        </w:rPr>
      </w:pPr>
      <w:r w:rsidRPr="00CC76D1">
        <w:rPr>
          <w:lang w:val="fr-FR"/>
        </w:rPr>
        <w:tab/>
        <w:t>1.</w:t>
      </w:r>
      <w:r w:rsidRPr="00CC76D1">
        <w:rPr>
          <w:lang w:val="fr-FR"/>
        </w:rPr>
        <w:tab/>
        <w:t>Accès des personnes handicapées à des aides et des services</w:t>
      </w:r>
    </w:p>
    <w:p w:rsidR="00EC4C5A" w:rsidRPr="00CC76D1" w:rsidRDefault="00EC4C5A" w:rsidP="00F13B77">
      <w:pPr>
        <w:pStyle w:val="SingleTxtG"/>
        <w:rPr>
          <w:lang w:val="fr-FR"/>
        </w:rPr>
      </w:pPr>
      <w:r w:rsidRPr="00CC76D1">
        <w:rPr>
          <w:lang w:val="fr-FR"/>
        </w:rPr>
        <w:t>28.</w:t>
      </w:r>
      <w:r w:rsidRPr="00CC76D1">
        <w:rPr>
          <w:lang w:val="fr-FR"/>
        </w:rPr>
        <w:tab/>
        <w:t>Sri Lanka a ratifié la Convention relative aux droits des personnes handicapées en février 2016. Les textes de loi donnant effet à cet instrument sont en cours d</w:t>
      </w:r>
      <w:r w:rsidR="00474653">
        <w:rPr>
          <w:lang w:val="fr-FR"/>
        </w:rPr>
        <w:t>’</w:t>
      </w:r>
      <w:r w:rsidRPr="00CC76D1">
        <w:rPr>
          <w:lang w:val="fr-FR"/>
        </w:rPr>
        <w:t>élaboration et seront soumis au Conseil des ministres pour approbation d</w:t>
      </w:r>
      <w:r w:rsidR="00474653">
        <w:rPr>
          <w:lang w:val="fr-FR"/>
        </w:rPr>
        <w:t>’</w:t>
      </w:r>
      <w:r w:rsidRPr="00CC76D1">
        <w:rPr>
          <w:lang w:val="fr-FR"/>
        </w:rPr>
        <w:t xml:space="preserve">ici à la fin du mois de septembre 2017. </w:t>
      </w:r>
    </w:p>
    <w:p w:rsidR="00EC4C5A" w:rsidRPr="00CC76D1" w:rsidRDefault="00EC4C5A" w:rsidP="00F13B77">
      <w:pPr>
        <w:pStyle w:val="SingleTxtG"/>
        <w:rPr>
          <w:lang w:val="fr-FR"/>
        </w:rPr>
      </w:pPr>
      <w:r w:rsidRPr="00CC76D1">
        <w:rPr>
          <w:lang w:val="fr-FR"/>
        </w:rPr>
        <w:t>29.</w:t>
      </w:r>
      <w:r w:rsidRPr="00CC76D1">
        <w:rPr>
          <w:lang w:val="fr-FR"/>
        </w:rPr>
        <w:tab/>
        <w:t>Un certain nombre d</w:t>
      </w:r>
      <w:r w:rsidR="00474653">
        <w:rPr>
          <w:lang w:val="fr-FR"/>
        </w:rPr>
        <w:t>’</w:t>
      </w:r>
      <w:r w:rsidRPr="00CC76D1">
        <w:rPr>
          <w:lang w:val="fr-FR"/>
        </w:rPr>
        <w:t>institutions publiques, comme le Ministère de l</w:t>
      </w:r>
      <w:r w:rsidR="00474653">
        <w:rPr>
          <w:lang w:val="fr-FR"/>
        </w:rPr>
        <w:t>’</w:t>
      </w:r>
      <w:r w:rsidRPr="00CC76D1">
        <w:rPr>
          <w:lang w:val="fr-FR"/>
        </w:rPr>
        <w:t>autonomisation sociale et de la protection sociale, le Ministère du travail et des relations syndicales, le Ministère de la fonction publique et le Département des services sociaux, ont pris des dispositions spéciales pour promouvoir l</w:t>
      </w:r>
      <w:r w:rsidR="00474653">
        <w:rPr>
          <w:lang w:val="fr-FR"/>
        </w:rPr>
        <w:t>’</w:t>
      </w:r>
      <w:r w:rsidRPr="00CC76D1">
        <w:rPr>
          <w:lang w:val="fr-FR"/>
        </w:rPr>
        <w:t>accès des personnes handicapées à l</w:t>
      </w:r>
      <w:r w:rsidR="00474653">
        <w:rPr>
          <w:lang w:val="fr-FR"/>
        </w:rPr>
        <w:t>’</w:t>
      </w:r>
      <w:r w:rsidRPr="00CC76D1">
        <w:rPr>
          <w:lang w:val="fr-FR"/>
        </w:rPr>
        <w:t xml:space="preserve">emploi. </w:t>
      </w:r>
    </w:p>
    <w:p w:rsidR="00EC4C5A" w:rsidRPr="00CC76D1" w:rsidRDefault="00EC4C5A" w:rsidP="00F13B77">
      <w:pPr>
        <w:pStyle w:val="SingleTxtG"/>
        <w:rPr>
          <w:lang w:val="fr-FR"/>
        </w:rPr>
      </w:pPr>
      <w:r w:rsidRPr="00CC76D1">
        <w:rPr>
          <w:lang w:val="fr-FR"/>
        </w:rPr>
        <w:t>30.</w:t>
      </w:r>
      <w:r w:rsidRPr="00CC76D1">
        <w:rPr>
          <w:lang w:val="fr-FR"/>
        </w:rPr>
        <w:tab/>
        <w:t>La circulaire de l</w:t>
      </w:r>
      <w:r w:rsidR="00474653">
        <w:rPr>
          <w:lang w:val="fr-FR"/>
        </w:rPr>
        <w:t>’</w:t>
      </w:r>
      <w:r w:rsidRPr="00CC76D1">
        <w:rPr>
          <w:lang w:val="fr-FR"/>
        </w:rPr>
        <w:t xml:space="preserve">administration publique </w:t>
      </w:r>
      <w:r w:rsidR="00F13B77" w:rsidRPr="00F13B77">
        <w:rPr>
          <w:rFonts w:eastAsia="MS Mincho"/>
          <w:lang w:val="fr-FR"/>
        </w:rPr>
        <w:t>n</w:t>
      </w:r>
      <w:r w:rsidR="00F13B77" w:rsidRPr="00F13B77">
        <w:rPr>
          <w:rFonts w:eastAsia="MS Mincho"/>
          <w:vertAlign w:val="superscript"/>
          <w:lang w:val="fr-FR"/>
        </w:rPr>
        <w:t>o</w:t>
      </w:r>
      <w:r w:rsidR="00F13B77" w:rsidRPr="00F13B77">
        <w:rPr>
          <w:lang w:val="fr-FR"/>
        </w:rPr>
        <w:t> </w:t>
      </w:r>
      <w:r w:rsidRPr="00CC76D1">
        <w:rPr>
          <w:lang w:val="fr-FR"/>
        </w:rPr>
        <w:t>27/88 du 18 août 1988 reconnaît la nécessité d</w:t>
      </w:r>
      <w:r w:rsidR="00474653">
        <w:rPr>
          <w:lang w:val="fr-FR"/>
        </w:rPr>
        <w:t>’</w:t>
      </w:r>
      <w:r w:rsidRPr="00CC76D1">
        <w:rPr>
          <w:lang w:val="fr-FR"/>
        </w:rPr>
        <w:t>adopter des mesures préférentielles afin d</w:t>
      </w:r>
      <w:r w:rsidR="00474653">
        <w:rPr>
          <w:lang w:val="fr-FR"/>
        </w:rPr>
        <w:t>’</w:t>
      </w:r>
      <w:r w:rsidRPr="00CC76D1">
        <w:rPr>
          <w:lang w:val="fr-FR"/>
        </w:rPr>
        <w:t>accroître les possibilités d</w:t>
      </w:r>
      <w:r w:rsidR="00474653">
        <w:rPr>
          <w:lang w:val="fr-FR"/>
        </w:rPr>
        <w:t>’</w:t>
      </w:r>
      <w:r w:rsidRPr="00CC76D1">
        <w:rPr>
          <w:lang w:val="fr-FR"/>
        </w:rPr>
        <w:t>emploi des personnes handicapées. Le Ministère de la fonction publique a donc donné pour instruction à tous les ministères, départements et institutions publiques de confier au moins 3</w:t>
      </w:r>
      <w:r w:rsidR="00F13B77">
        <w:rPr>
          <w:lang w:val="fr-FR"/>
        </w:rPr>
        <w:t> </w:t>
      </w:r>
      <w:r w:rsidRPr="00CC76D1">
        <w:rPr>
          <w:lang w:val="fr-FR"/>
        </w:rPr>
        <w:t>% des postes à des personnes handicapées qui disposent des qualifications requises et dont le handicap ne fera pas obstacle à l</w:t>
      </w:r>
      <w:r w:rsidR="00474653">
        <w:rPr>
          <w:lang w:val="fr-FR"/>
        </w:rPr>
        <w:t>’</w:t>
      </w:r>
      <w:r w:rsidRPr="00CC76D1">
        <w:rPr>
          <w:lang w:val="fr-FR"/>
        </w:rPr>
        <w:t xml:space="preserve">exercice de leurs fonctions. </w:t>
      </w:r>
    </w:p>
    <w:p w:rsidR="00EC4C5A" w:rsidRPr="00CC76D1" w:rsidRDefault="00EC4C5A" w:rsidP="00F13B77">
      <w:pPr>
        <w:pStyle w:val="SingleTxtG"/>
        <w:rPr>
          <w:lang w:val="fr-FR"/>
        </w:rPr>
      </w:pPr>
      <w:r w:rsidRPr="00CC76D1">
        <w:rPr>
          <w:lang w:val="fr-FR"/>
        </w:rPr>
        <w:t>31.</w:t>
      </w:r>
      <w:r w:rsidRPr="00CC76D1">
        <w:rPr>
          <w:lang w:val="fr-FR"/>
        </w:rPr>
        <w:tab/>
        <w:t>La politique nationale de 2012 en matière de ressources humaines et d</w:t>
      </w:r>
      <w:r w:rsidR="00474653">
        <w:rPr>
          <w:lang w:val="fr-FR"/>
        </w:rPr>
        <w:t>’</w:t>
      </w:r>
      <w:r w:rsidRPr="00CC76D1">
        <w:rPr>
          <w:lang w:val="fr-FR"/>
        </w:rPr>
        <w:t>emploi reconnaît que les personnes handicapées rencontrent des difficultés d</w:t>
      </w:r>
      <w:r w:rsidR="00474653">
        <w:rPr>
          <w:lang w:val="fr-FR"/>
        </w:rPr>
        <w:t>’</w:t>
      </w:r>
      <w:r w:rsidRPr="00CC76D1">
        <w:rPr>
          <w:lang w:val="fr-FR"/>
        </w:rPr>
        <w:t>accès à l</w:t>
      </w:r>
      <w:r w:rsidR="00474653">
        <w:rPr>
          <w:lang w:val="fr-FR"/>
        </w:rPr>
        <w:t>’</w:t>
      </w:r>
      <w:r w:rsidRPr="00CC76D1">
        <w:rPr>
          <w:lang w:val="fr-FR"/>
        </w:rPr>
        <w:t>éducation, à la formation professionnelle, à l</w:t>
      </w:r>
      <w:r w:rsidR="00474653">
        <w:rPr>
          <w:lang w:val="fr-FR"/>
        </w:rPr>
        <w:t>’</w:t>
      </w:r>
      <w:r w:rsidRPr="00CC76D1">
        <w:rPr>
          <w:lang w:val="fr-FR"/>
        </w:rPr>
        <w:t>emploi et aux programmes d</w:t>
      </w:r>
      <w:r w:rsidR="00474653">
        <w:rPr>
          <w:lang w:val="fr-FR"/>
        </w:rPr>
        <w:t>’</w:t>
      </w:r>
      <w:r w:rsidR="00EA541E">
        <w:rPr>
          <w:lang w:val="fr-FR"/>
        </w:rPr>
        <w:t>aide au développement. Elle </w:t>
      </w:r>
      <w:r w:rsidRPr="00CC76D1">
        <w:rPr>
          <w:lang w:val="fr-FR"/>
        </w:rPr>
        <w:t>prévoit donc des mesures particulières pour faciliter l</w:t>
      </w:r>
      <w:r w:rsidR="00474653">
        <w:rPr>
          <w:lang w:val="fr-FR"/>
        </w:rPr>
        <w:t>’</w:t>
      </w:r>
      <w:r w:rsidRPr="00CC76D1">
        <w:rPr>
          <w:lang w:val="fr-FR"/>
        </w:rPr>
        <w:t>accès à l</w:t>
      </w:r>
      <w:r w:rsidR="00474653">
        <w:rPr>
          <w:lang w:val="fr-FR"/>
        </w:rPr>
        <w:t>’</w:t>
      </w:r>
      <w:r w:rsidRPr="00CC76D1">
        <w:rPr>
          <w:lang w:val="fr-FR"/>
        </w:rPr>
        <w:t>emploi, par la création notamment de conditions matérielles favorables ou la mise en place de programmes d</w:t>
      </w:r>
      <w:r w:rsidR="00474653">
        <w:rPr>
          <w:lang w:val="fr-FR"/>
        </w:rPr>
        <w:t>’</w:t>
      </w:r>
      <w:r w:rsidRPr="00CC76D1">
        <w:rPr>
          <w:lang w:val="fr-FR"/>
        </w:rPr>
        <w:t>incitation à leur embauche à l</w:t>
      </w:r>
      <w:r w:rsidR="00474653">
        <w:rPr>
          <w:lang w:val="fr-FR"/>
        </w:rPr>
        <w:t>’</w:t>
      </w:r>
      <w:r w:rsidRPr="00CC76D1">
        <w:rPr>
          <w:lang w:val="fr-FR"/>
        </w:rPr>
        <w:t xml:space="preserve">intention des employeurs. </w:t>
      </w:r>
    </w:p>
    <w:p w:rsidR="00EC4C5A" w:rsidRPr="00CC76D1" w:rsidRDefault="00EC4C5A" w:rsidP="00F13B77">
      <w:pPr>
        <w:pStyle w:val="SingleTxtG"/>
        <w:rPr>
          <w:lang w:val="fr-FR"/>
        </w:rPr>
      </w:pPr>
      <w:r w:rsidRPr="00CC76D1">
        <w:rPr>
          <w:lang w:val="fr-FR"/>
        </w:rPr>
        <w:t>32.</w:t>
      </w:r>
      <w:r w:rsidRPr="00CC76D1">
        <w:rPr>
          <w:lang w:val="fr-FR"/>
        </w:rPr>
        <w:tab/>
        <w:t>Le Département des services sociaux dispense des formations professionnelles gratuites aux personnes handicapées dans des centre</w:t>
      </w:r>
      <w:r w:rsidR="00F13B77">
        <w:rPr>
          <w:lang w:val="fr-FR"/>
        </w:rPr>
        <w:t>s de formation spécialisée. Les </w:t>
      </w:r>
      <w:r w:rsidRPr="00CC76D1">
        <w:rPr>
          <w:lang w:val="fr-FR"/>
        </w:rPr>
        <w:t>personnes qui réussissent leur formation reçoivent des outils utiles à l</w:t>
      </w:r>
      <w:r w:rsidR="00474653">
        <w:rPr>
          <w:lang w:val="fr-FR"/>
        </w:rPr>
        <w:t>’</w:t>
      </w:r>
      <w:r w:rsidRPr="00CC76D1">
        <w:rPr>
          <w:lang w:val="fr-FR"/>
        </w:rPr>
        <w:t>exercice des professions et métiers correspondants. En outre, le Secrétariat national pour les personnes handicapées offre une aide à la création d</w:t>
      </w:r>
      <w:r w:rsidR="00474653">
        <w:rPr>
          <w:lang w:val="fr-FR"/>
        </w:rPr>
        <w:t>’</w:t>
      </w:r>
      <w:r w:rsidRPr="00CC76D1">
        <w:rPr>
          <w:lang w:val="fr-FR"/>
        </w:rPr>
        <w:t>une activité indépendante. Des subventions pouvant aller jusqu</w:t>
      </w:r>
      <w:r w:rsidR="00474653">
        <w:rPr>
          <w:lang w:val="fr-FR"/>
        </w:rPr>
        <w:t>’</w:t>
      </w:r>
      <w:r w:rsidRPr="00CC76D1">
        <w:rPr>
          <w:lang w:val="fr-FR"/>
        </w:rPr>
        <w:t>à 25</w:t>
      </w:r>
      <w:r w:rsidR="00F13B77">
        <w:rPr>
          <w:lang w:val="fr-FR"/>
        </w:rPr>
        <w:t> </w:t>
      </w:r>
      <w:r w:rsidRPr="00CC76D1">
        <w:rPr>
          <w:lang w:val="fr-FR"/>
        </w:rPr>
        <w:t>000 roupies sri-lankaises sont accordées aux personnes handicapées à faible revenu pour qu</w:t>
      </w:r>
      <w:r w:rsidR="00474653">
        <w:rPr>
          <w:lang w:val="fr-FR"/>
        </w:rPr>
        <w:t>’</w:t>
      </w:r>
      <w:r w:rsidRPr="00CC76D1">
        <w:rPr>
          <w:lang w:val="fr-FR"/>
        </w:rPr>
        <w:t xml:space="preserve">elles puissent se lancer dans une activité indépendante ou développer leur activité. </w:t>
      </w:r>
    </w:p>
    <w:p w:rsidR="00EC4C5A" w:rsidRPr="00CC76D1" w:rsidRDefault="00EC4C5A" w:rsidP="00F13B77">
      <w:pPr>
        <w:pStyle w:val="SingleTxtG"/>
        <w:rPr>
          <w:lang w:val="fr-FR"/>
        </w:rPr>
      </w:pPr>
      <w:r w:rsidRPr="00CC76D1">
        <w:rPr>
          <w:lang w:val="fr-FR"/>
        </w:rPr>
        <w:t>33.</w:t>
      </w:r>
      <w:r w:rsidRPr="00CC76D1">
        <w:rPr>
          <w:lang w:val="fr-FR"/>
        </w:rPr>
        <w:tab/>
        <w:t>Le Ministère du travail et des relations syndicales a créé une base de données pour aider les personnes handicapées à entrer en contact avec de</w:t>
      </w:r>
      <w:r w:rsidR="00F13B77">
        <w:rPr>
          <w:lang w:val="fr-FR"/>
        </w:rPr>
        <w:t>s employeurs potentiels. Celles</w:t>
      </w:r>
      <w:r w:rsidR="00F13B77">
        <w:rPr>
          <w:lang w:val="fr-FR"/>
        </w:rPr>
        <w:noBreakHyphen/>
      </w:r>
      <w:r w:rsidRPr="00CC76D1">
        <w:rPr>
          <w:lang w:val="fr-FR"/>
        </w:rPr>
        <w:t>ci peuvent s</w:t>
      </w:r>
      <w:r w:rsidR="00474653">
        <w:rPr>
          <w:lang w:val="fr-FR"/>
        </w:rPr>
        <w:t>’</w:t>
      </w:r>
      <w:r w:rsidRPr="00CC76D1">
        <w:rPr>
          <w:lang w:val="fr-FR"/>
        </w:rPr>
        <w:t xml:space="preserve">inscrire sur le site Web </w:t>
      </w:r>
      <w:r w:rsidRPr="00EA541E">
        <w:rPr>
          <w:lang w:val="fr-FR"/>
        </w:rPr>
        <w:t>www.employmentforpwds.org</w:t>
      </w:r>
      <w:r w:rsidRPr="00CC76D1">
        <w:rPr>
          <w:lang w:val="fr-FR"/>
        </w:rPr>
        <w:t xml:space="preserve"> pour être informées des possibilités d</w:t>
      </w:r>
      <w:r w:rsidR="00474653">
        <w:rPr>
          <w:lang w:val="fr-FR"/>
        </w:rPr>
        <w:t>’</w:t>
      </w:r>
      <w:r w:rsidRPr="00CC76D1">
        <w:rPr>
          <w:lang w:val="fr-FR"/>
        </w:rPr>
        <w:t xml:space="preserve">emploi. </w:t>
      </w:r>
    </w:p>
    <w:p w:rsidR="00EC4C5A" w:rsidRPr="00CC76D1" w:rsidRDefault="00EC4C5A" w:rsidP="00F13B77">
      <w:pPr>
        <w:pStyle w:val="SingleTxtG"/>
        <w:rPr>
          <w:lang w:val="fr-FR"/>
        </w:rPr>
      </w:pPr>
      <w:r w:rsidRPr="00CC76D1">
        <w:rPr>
          <w:lang w:val="fr-FR"/>
        </w:rPr>
        <w:t>34.</w:t>
      </w:r>
      <w:r w:rsidRPr="00CC76D1">
        <w:rPr>
          <w:lang w:val="fr-FR"/>
        </w:rPr>
        <w:tab/>
        <w:t>En octobre 2006, Sri Lanka a publié des règles pour améliorer l</w:t>
      </w:r>
      <w:r w:rsidR="00474653">
        <w:rPr>
          <w:lang w:val="fr-FR"/>
        </w:rPr>
        <w:t>’</w:t>
      </w:r>
      <w:r w:rsidRPr="00CC76D1">
        <w:rPr>
          <w:lang w:val="fr-FR"/>
        </w:rPr>
        <w:t>accessibilité de l</w:t>
      </w:r>
      <w:r w:rsidR="00474653">
        <w:rPr>
          <w:lang w:val="fr-FR"/>
        </w:rPr>
        <w:t>’</w:t>
      </w:r>
      <w:r w:rsidRPr="00CC76D1">
        <w:rPr>
          <w:lang w:val="fr-FR"/>
        </w:rPr>
        <w:t xml:space="preserve">ensemble des lieux et bâtiments publics ainsi que des lieux où des services courants sont fournis. </w:t>
      </w:r>
    </w:p>
    <w:p w:rsidR="00EC4C5A" w:rsidRPr="00CC76D1" w:rsidRDefault="00EC4C5A" w:rsidP="00F13B77">
      <w:pPr>
        <w:pStyle w:val="H1G"/>
        <w:rPr>
          <w:lang w:val="fr-FR"/>
        </w:rPr>
      </w:pPr>
      <w:r w:rsidRPr="00CC76D1">
        <w:rPr>
          <w:lang w:val="fr-FR"/>
        </w:rPr>
        <w:lastRenderedPageBreak/>
        <w:tab/>
        <w:t>2.</w:t>
      </w:r>
      <w:r w:rsidRPr="00CC76D1">
        <w:rPr>
          <w:lang w:val="fr-FR"/>
        </w:rPr>
        <w:tab/>
        <w:t>Informations actualisée</w:t>
      </w:r>
      <w:r w:rsidR="00F13B77">
        <w:rPr>
          <w:lang w:val="fr-FR"/>
        </w:rPr>
        <w:t>s sur la situation des familles</w:t>
      </w:r>
      <w:r w:rsidR="00F13B77">
        <w:rPr>
          <w:lang w:val="fr-FR"/>
        </w:rPr>
        <w:br/>
      </w:r>
      <w:r w:rsidRPr="00CC76D1">
        <w:rPr>
          <w:lang w:val="fr-FR"/>
        </w:rPr>
        <w:t>des travailleurs des plantations</w:t>
      </w:r>
    </w:p>
    <w:p w:rsidR="00EC4C5A" w:rsidRPr="00CC76D1" w:rsidRDefault="00EC4C5A" w:rsidP="00F13B77">
      <w:pPr>
        <w:pStyle w:val="SingleTxtG"/>
        <w:rPr>
          <w:lang w:val="fr-FR"/>
        </w:rPr>
      </w:pPr>
      <w:r w:rsidRPr="00CC76D1">
        <w:rPr>
          <w:lang w:val="fr-FR"/>
        </w:rPr>
        <w:t>35.</w:t>
      </w:r>
      <w:r w:rsidRPr="00CC76D1">
        <w:rPr>
          <w:lang w:val="fr-FR"/>
        </w:rPr>
        <w:tab/>
        <w:t>Tous les Sri-</w:t>
      </w:r>
      <w:r w:rsidR="001F4AED" w:rsidRPr="00CC76D1">
        <w:rPr>
          <w:lang w:val="fr-FR"/>
        </w:rPr>
        <w:t>L</w:t>
      </w:r>
      <w:r w:rsidRPr="00CC76D1">
        <w:rPr>
          <w:lang w:val="fr-FR"/>
        </w:rPr>
        <w:t>ankais, y compris ceux qui travaillent dans des plantations, sont habilités à exercer les droits et privilèges économiques, sociaux et culturels dans la mesure où ils sont garantis par le chapitre de la Constitution relatif aux droits fondamentaux. Il y a néanmoins lieu de reconnaître que la mise en œuvre de ces droits présente des lacunes dont le Gouvernement a parfaitement conscience. Afin de remédier à cette situation, le Gouvernement sri-lankais a donc créé un Ministère des nouveaux villages, de l</w:t>
      </w:r>
      <w:r w:rsidR="00474653">
        <w:rPr>
          <w:lang w:val="fr-FR"/>
        </w:rPr>
        <w:t>’</w:t>
      </w:r>
      <w:r w:rsidRPr="00CC76D1">
        <w:rPr>
          <w:lang w:val="fr-FR"/>
        </w:rPr>
        <w:t>infrastructure et du développement local du pays des collines en septembre 2015.</w:t>
      </w:r>
    </w:p>
    <w:p w:rsidR="00EC4C5A" w:rsidRPr="00CC76D1" w:rsidRDefault="00EC4C5A" w:rsidP="00F13B77">
      <w:pPr>
        <w:pStyle w:val="SingleTxtG"/>
        <w:rPr>
          <w:lang w:val="fr-FR"/>
        </w:rPr>
      </w:pPr>
      <w:r w:rsidRPr="00CC76D1">
        <w:rPr>
          <w:lang w:val="fr-FR"/>
        </w:rPr>
        <w:t>36.</w:t>
      </w:r>
      <w:r w:rsidRPr="00CC76D1">
        <w:rPr>
          <w:lang w:val="fr-FR"/>
        </w:rPr>
        <w:tab/>
        <w:t>Afin de protéger et de promouvoir les droits des personnes vivant dans des plantations, le Gouvernement a adopté en 2016 un plan d</w:t>
      </w:r>
      <w:r w:rsidR="00474653">
        <w:rPr>
          <w:lang w:val="fr-FR"/>
        </w:rPr>
        <w:t>’</w:t>
      </w:r>
      <w:r w:rsidRPr="00CC76D1">
        <w:rPr>
          <w:lang w:val="fr-FR"/>
        </w:rPr>
        <w:t>action national pour la période 2016-2020 consacré au développement social des travailleurs des plantations dans l</w:t>
      </w:r>
      <w:r w:rsidR="00474653">
        <w:rPr>
          <w:lang w:val="fr-FR"/>
        </w:rPr>
        <w:t>’</w:t>
      </w:r>
      <w:r w:rsidRPr="00CC76D1">
        <w:rPr>
          <w:lang w:val="fr-FR"/>
        </w:rPr>
        <w:t>objectif de définir et de hiérarchiser les interventions susceptibles de promouvoir leur développement social et d</w:t>
      </w:r>
      <w:r w:rsidR="00474653">
        <w:rPr>
          <w:lang w:val="fr-FR"/>
        </w:rPr>
        <w:t>’</w:t>
      </w:r>
      <w:r w:rsidRPr="00CC76D1">
        <w:rPr>
          <w:lang w:val="fr-FR"/>
        </w:rPr>
        <w:t>accroître leur niveau de vie. Le plan se concentre principalement sur les domaines suivants</w:t>
      </w:r>
      <w:r w:rsidR="00112F55">
        <w:rPr>
          <w:lang w:val="fr-FR"/>
        </w:rPr>
        <w:t xml:space="preserve"> :</w:t>
      </w:r>
    </w:p>
    <w:p w:rsidR="00EC4C5A" w:rsidRPr="00CC76D1" w:rsidRDefault="00F13B77" w:rsidP="00F13B77">
      <w:pPr>
        <w:pStyle w:val="Bullet1G"/>
        <w:rPr>
          <w:lang w:val="fr-FR"/>
        </w:rPr>
      </w:pPr>
      <w:r w:rsidRPr="00CC76D1">
        <w:rPr>
          <w:lang w:val="fr-FR"/>
        </w:rPr>
        <w:t>L</w:t>
      </w:r>
      <w:r w:rsidR="00EC4C5A" w:rsidRPr="00CC76D1">
        <w:rPr>
          <w:lang w:val="fr-FR"/>
        </w:rPr>
        <w:t>e logement, l</w:t>
      </w:r>
      <w:r w:rsidR="00474653">
        <w:rPr>
          <w:lang w:val="fr-FR"/>
        </w:rPr>
        <w:t>’</w:t>
      </w:r>
      <w:r w:rsidR="00EC4C5A" w:rsidRPr="00CC76D1">
        <w:rPr>
          <w:lang w:val="fr-FR"/>
        </w:rPr>
        <w:t>approvisionnement en eau, l</w:t>
      </w:r>
      <w:r w:rsidR="00474653">
        <w:rPr>
          <w:lang w:val="fr-FR"/>
        </w:rPr>
        <w:t>’</w:t>
      </w:r>
      <w:r w:rsidR="00EC4C5A" w:rsidRPr="00CC76D1">
        <w:rPr>
          <w:lang w:val="fr-FR"/>
        </w:rPr>
        <w:t>assainissement et d</w:t>
      </w:r>
      <w:r w:rsidR="00474653">
        <w:rPr>
          <w:lang w:val="fr-FR"/>
        </w:rPr>
        <w:t>’</w:t>
      </w:r>
      <w:r w:rsidR="00EC4C5A" w:rsidRPr="00CC76D1">
        <w:rPr>
          <w:lang w:val="fr-FR"/>
        </w:rPr>
        <w:t>autres infrastructures</w:t>
      </w:r>
      <w:r w:rsidR="00112F55">
        <w:rPr>
          <w:lang w:val="fr-FR"/>
        </w:rPr>
        <w:t xml:space="preserve"> ;</w:t>
      </w:r>
    </w:p>
    <w:p w:rsidR="00EC4C5A" w:rsidRPr="00CC76D1" w:rsidRDefault="00F13B77" w:rsidP="00F13B77">
      <w:pPr>
        <w:pStyle w:val="Bullet1G"/>
        <w:rPr>
          <w:lang w:val="fr-FR"/>
        </w:rPr>
      </w:pPr>
      <w:r w:rsidRPr="00CC76D1">
        <w:rPr>
          <w:lang w:val="fr-FR"/>
        </w:rPr>
        <w:t>L</w:t>
      </w:r>
      <w:r w:rsidR="00EC4C5A" w:rsidRPr="00CC76D1">
        <w:rPr>
          <w:lang w:val="fr-FR"/>
        </w:rPr>
        <w:t>e développement de la petite enfance ;</w:t>
      </w:r>
    </w:p>
    <w:p w:rsidR="00EC4C5A" w:rsidRPr="00CC76D1" w:rsidRDefault="00F13B77" w:rsidP="00F13B77">
      <w:pPr>
        <w:pStyle w:val="Bullet1G"/>
        <w:rPr>
          <w:lang w:val="fr-FR"/>
        </w:rPr>
      </w:pPr>
      <w:r w:rsidRPr="00CC76D1">
        <w:rPr>
          <w:lang w:val="fr-FR"/>
        </w:rPr>
        <w:t>L</w:t>
      </w:r>
      <w:r w:rsidR="00EC4C5A" w:rsidRPr="00CC76D1">
        <w:rPr>
          <w:lang w:val="fr-FR"/>
        </w:rPr>
        <w:t>a santé et la nutrition</w:t>
      </w:r>
      <w:r w:rsidR="00112F55">
        <w:rPr>
          <w:lang w:val="fr-FR"/>
        </w:rPr>
        <w:t xml:space="preserve"> ;</w:t>
      </w:r>
    </w:p>
    <w:p w:rsidR="00EC4C5A" w:rsidRPr="00CC76D1" w:rsidRDefault="00F13B77" w:rsidP="00F13B77">
      <w:pPr>
        <w:pStyle w:val="Bullet1G"/>
        <w:rPr>
          <w:lang w:val="fr-FR"/>
        </w:rPr>
      </w:pPr>
      <w:r w:rsidRPr="00CC76D1">
        <w:rPr>
          <w:lang w:val="fr-FR"/>
        </w:rPr>
        <w:t>L</w:t>
      </w:r>
      <w:r w:rsidR="00474653">
        <w:rPr>
          <w:lang w:val="fr-FR"/>
        </w:rPr>
        <w:t>’</w:t>
      </w:r>
      <w:r w:rsidR="00EC4C5A" w:rsidRPr="00CC76D1">
        <w:rPr>
          <w:lang w:val="fr-FR"/>
        </w:rPr>
        <w:t>enseignement primaire et secondaire</w:t>
      </w:r>
      <w:r w:rsidR="00112F55">
        <w:rPr>
          <w:lang w:val="fr-FR"/>
        </w:rPr>
        <w:t xml:space="preserve"> ;</w:t>
      </w:r>
    </w:p>
    <w:p w:rsidR="00EC4C5A" w:rsidRPr="00CC76D1" w:rsidRDefault="00F13B77" w:rsidP="00F13B77">
      <w:pPr>
        <w:pStyle w:val="Bullet1G"/>
        <w:rPr>
          <w:lang w:val="fr-FR"/>
        </w:rPr>
      </w:pPr>
      <w:r w:rsidRPr="00CC76D1">
        <w:rPr>
          <w:lang w:val="fr-FR"/>
        </w:rPr>
        <w:t>L</w:t>
      </w:r>
      <w:r w:rsidR="00EC4C5A" w:rsidRPr="00CC76D1">
        <w:rPr>
          <w:lang w:val="fr-FR"/>
        </w:rPr>
        <w:t>e développement des compétences et la formation professionnelle</w:t>
      </w:r>
      <w:r w:rsidR="00112F55">
        <w:rPr>
          <w:lang w:val="fr-FR"/>
        </w:rPr>
        <w:t xml:space="preserve"> ;</w:t>
      </w:r>
    </w:p>
    <w:p w:rsidR="00EC4C5A" w:rsidRPr="00CC76D1" w:rsidRDefault="00F13B77" w:rsidP="00F13B77">
      <w:pPr>
        <w:pStyle w:val="Bullet1G"/>
        <w:rPr>
          <w:lang w:val="fr-FR"/>
        </w:rPr>
      </w:pPr>
      <w:r w:rsidRPr="00CC76D1">
        <w:rPr>
          <w:lang w:val="fr-FR"/>
        </w:rPr>
        <w:t>L</w:t>
      </w:r>
      <w:r w:rsidR="00474653">
        <w:rPr>
          <w:lang w:val="fr-FR"/>
        </w:rPr>
        <w:t>’</w:t>
      </w:r>
      <w:r w:rsidR="00EC4C5A" w:rsidRPr="00CC76D1">
        <w:rPr>
          <w:lang w:val="fr-FR"/>
        </w:rPr>
        <w:t>autonomisation et la gouvernance des communautés.</w:t>
      </w:r>
    </w:p>
    <w:p w:rsidR="00EC4C5A" w:rsidRPr="00CC76D1" w:rsidRDefault="00EC4C5A" w:rsidP="00B15742">
      <w:pPr>
        <w:pStyle w:val="SingleTxtG"/>
        <w:rPr>
          <w:lang w:val="fr-FR"/>
        </w:rPr>
      </w:pPr>
      <w:r w:rsidRPr="00CC76D1">
        <w:rPr>
          <w:lang w:val="fr-FR"/>
        </w:rPr>
        <w:t>37.</w:t>
      </w:r>
      <w:r w:rsidRPr="00CC76D1">
        <w:rPr>
          <w:lang w:val="fr-FR"/>
        </w:rPr>
        <w:tab/>
        <w:t>Le coût de la mise en œuvre de ce plan d</w:t>
      </w:r>
      <w:r w:rsidR="00474653">
        <w:rPr>
          <w:lang w:val="fr-FR"/>
        </w:rPr>
        <w:t>’</w:t>
      </w:r>
      <w:r w:rsidRPr="00CC76D1">
        <w:rPr>
          <w:lang w:val="fr-FR"/>
        </w:rPr>
        <w:t>acti</w:t>
      </w:r>
      <w:r w:rsidR="00437FB8">
        <w:rPr>
          <w:lang w:val="fr-FR"/>
        </w:rPr>
        <w:t>on national est évalué à 98 000 </w:t>
      </w:r>
      <w:r w:rsidRPr="00CC76D1">
        <w:rPr>
          <w:lang w:val="fr-FR"/>
        </w:rPr>
        <w:t>millions de roupies pour les cinq années de son application. Ce p</w:t>
      </w:r>
      <w:r w:rsidR="00960558">
        <w:rPr>
          <w:lang w:val="fr-FR"/>
        </w:rPr>
        <w:t>lan vise les objectifs suivants :</w:t>
      </w:r>
    </w:p>
    <w:tbl>
      <w:tblPr>
        <w:tblW w:w="7370" w:type="dxa"/>
        <w:tblInd w:w="1134" w:type="dxa"/>
        <w:tblLayout w:type="fixed"/>
        <w:tblCellMar>
          <w:left w:w="0" w:type="dxa"/>
          <w:right w:w="0" w:type="dxa"/>
        </w:tblCellMar>
        <w:tblLook w:val="00A0" w:firstRow="1" w:lastRow="0" w:firstColumn="1" w:lastColumn="0" w:noHBand="0" w:noVBand="0"/>
      </w:tblPr>
      <w:tblGrid>
        <w:gridCol w:w="3969"/>
        <w:gridCol w:w="1701"/>
        <w:gridCol w:w="1700"/>
      </w:tblGrid>
      <w:tr w:rsidR="00960558" w:rsidRPr="00960558" w:rsidTr="00960558">
        <w:trPr>
          <w:tblHeader/>
        </w:trPr>
        <w:tc>
          <w:tcPr>
            <w:tcW w:w="3969" w:type="dxa"/>
            <w:tcBorders>
              <w:top w:val="single" w:sz="4" w:space="0" w:color="auto"/>
              <w:bottom w:val="single" w:sz="12" w:space="0" w:color="auto"/>
            </w:tcBorders>
            <w:shd w:val="clear" w:color="auto" w:fill="auto"/>
            <w:vAlign w:val="bottom"/>
          </w:tcPr>
          <w:p w:rsidR="00EC4C5A" w:rsidRPr="00960558" w:rsidRDefault="00EC4C5A" w:rsidP="00960558">
            <w:pPr>
              <w:suppressAutoHyphens w:val="0"/>
              <w:spacing w:before="80" w:after="80" w:line="200" w:lineRule="exact"/>
              <w:rPr>
                <w:i/>
                <w:sz w:val="16"/>
                <w:lang w:val="fr-FR"/>
              </w:rPr>
            </w:pPr>
            <w:r w:rsidRPr="00960558">
              <w:rPr>
                <w:i/>
                <w:sz w:val="16"/>
                <w:lang w:val="fr-FR"/>
              </w:rPr>
              <w:t>Objectif</w:t>
            </w:r>
          </w:p>
        </w:tc>
        <w:tc>
          <w:tcPr>
            <w:tcW w:w="1701" w:type="dxa"/>
            <w:tcBorders>
              <w:top w:val="single" w:sz="4" w:space="0" w:color="auto"/>
              <w:bottom w:val="single" w:sz="12" w:space="0" w:color="auto"/>
            </w:tcBorders>
            <w:shd w:val="clear" w:color="auto" w:fill="auto"/>
            <w:vAlign w:val="bottom"/>
          </w:tcPr>
          <w:p w:rsidR="00EC4C5A" w:rsidRPr="00960558" w:rsidRDefault="00EC4C5A" w:rsidP="00960558">
            <w:pPr>
              <w:suppressAutoHyphens w:val="0"/>
              <w:spacing w:before="80" w:after="80" w:line="200" w:lineRule="exact"/>
              <w:jc w:val="right"/>
              <w:rPr>
                <w:i/>
                <w:sz w:val="16"/>
                <w:lang w:val="fr-FR"/>
              </w:rPr>
            </w:pPr>
            <w:r w:rsidRPr="00960558">
              <w:rPr>
                <w:i/>
                <w:sz w:val="16"/>
                <w:lang w:val="fr-FR"/>
              </w:rPr>
              <w:t xml:space="preserve">Situation actuelle </w:t>
            </w:r>
          </w:p>
        </w:tc>
        <w:tc>
          <w:tcPr>
            <w:tcW w:w="1700" w:type="dxa"/>
            <w:tcBorders>
              <w:top w:val="single" w:sz="4" w:space="0" w:color="auto"/>
              <w:bottom w:val="single" w:sz="12" w:space="0" w:color="auto"/>
            </w:tcBorders>
            <w:shd w:val="clear" w:color="auto" w:fill="auto"/>
            <w:vAlign w:val="bottom"/>
          </w:tcPr>
          <w:p w:rsidR="00EC4C5A" w:rsidRPr="00960558" w:rsidRDefault="00EC4C5A" w:rsidP="00960558">
            <w:pPr>
              <w:suppressAutoHyphens w:val="0"/>
              <w:spacing w:before="80" w:after="80" w:line="200" w:lineRule="exact"/>
              <w:jc w:val="right"/>
              <w:rPr>
                <w:i/>
                <w:sz w:val="16"/>
                <w:lang w:val="fr-FR"/>
              </w:rPr>
            </w:pPr>
            <w:r w:rsidRPr="00960558">
              <w:rPr>
                <w:i/>
                <w:sz w:val="16"/>
                <w:lang w:val="fr-FR"/>
              </w:rPr>
              <w:t>Situation envisagée</w:t>
            </w:r>
          </w:p>
        </w:tc>
      </w:tr>
      <w:tr w:rsidR="00960558" w:rsidRPr="00960558" w:rsidTr="00960558">
        <w:tc>
          <w:tcPr>
            <w:tcW w:w="3969" w:type="dxa"/>
            <w:tcBorders>
              <w:top w:val="single" w:sz="12" w:space="0" w:color="auto"/>
            </w:tcBorders>
            <w:shd w:val="clear" w:color="auto" w:fill="auto"/>
          </w:tcPr>
          <w:p w:rsidR="00EC4C5A" w:rsidRPr="00960558" w:rsidRDefault="00EC4C5A" w:rsidP="00960558">
            <w:pPr>
              <w:suppressAutoHyphens w:val="0"/>
              <w:spacing w:before="40" w:after="40" w:line="220" w:lineRule="exact"/>
              <w:rPr>
                <w:sz w:val="18"/>
                <w:szCs w:val="18"/>
                <w:lang w:val="fr-FR"/>
              </w:rPr>
            </w:pPr>
            <w:r w:rsidRPr="00960558">
              <w:rPr>
                <w:sz w:val="18"/>
                <w:szCs w:val="18"/>
                <w:lang w:val="fr-FR"/>
              </w:rPr>
              <w:t>Indice numérique de pauvreté</w:t>
            </w:r>
          </w:p>
        </w:tc>
        <w:tc>
          <w:tcPr>
            <w:tcW w:w="1701" w:type="dxa"/>
            <w:tcBorders>
              <w:top w:val="single" w:sz="12" w:space="0" w:color="auto"/>
            </w:tcBorders>
            <w:shd w:val="clear" w:color="auto" w:fill="auto"/>
            <w:vAlign w:val="bottom"/>
          </w:tcPr>
          <w:p w:rsidR="00EC4C5A" w:rsidRPr="00960558" w:rsidRDefault="00EC4C5A" w:rsidP="00960558">
            <w:pPr>
              <w:suppressAutoHyphens w:val="0"/>
              <w:spacing w:before="40" w:after="40" w:line="220" w:lineRule="exact"/>
              <w:jc w:val="right"/>
              <w:rPr>
                <w:sz w:val="18"/>
                <w:szCs w:val="18"/>
                <w:lang w:val="fr-FR"/>
              </w:rPr>
            </w:pPr>
            <w:r w:rsidRPr="00960558">
              <w:rPr>
                <w:sz w:val="18"/>
                <w:szCs w:val="18"/>
                <w:lang w:val="fr-FR"/>
              </w:rPr>
              <w:t>10,9</w:t>
            </w:r>
            <w:r w:rsidR="00960558">
              <w:rPr>
                <w:sz w:val="18"/>
                <w:szCs w:val="18"/>
                <w:lang w:val="fr-FR"/>
              </w:rPr>
              <w:t> </w:t>
            </w:r>
            <w:r w:rsidRPr="00960558">
              <w:rPr>
                <w:sz w:val="18"/>
                <w:szCs w:val="18"/>
                <w:lang w:val="fr-FR"/>
              </w:rPr>
              <w:t>%</w:t>
            </w:r>
          </w:p>
        </w:tc>
        <w:tc>
          <w:tcPr>
            <w:tcW w:w="1700" w:type="dxa"/>
            <w:tcBorders>
              <w:top w:val="single" w:sz="12" w:space="0" w:color="auto"/>
            </w:tcBorders>
            <w:shd w:val="clear" w:color="auto" w:fill="auto"/>
            <w:vAlign w:val="bottom"/>
          </w:tcPr>
          <w:p w:rsidR="00EC4C5A" w:rsidRPr="00960558" w:rsidRDefault="00EC4C5A" w:rsidP="00960558">
            <w:pPr>
              <w:suppressAutoHyphens w:val="0"/>
              <w:spacing w:before="40" w:after="40" w:line="220" w:lineRule="exact"/>
              <w:jc w:val="right"/>
              <w:rPr>
                <w:sz w:val="18"/>
                <w:szCs w:val="18"/>
                <w:lang w:val="fr-FR"/>
              </w:rPr>
            </w:pPr>
            <w:r w:rsidRPr="00960558">
              <w:rPr>
                <w:sz w:val="18"/>
                <w:szCs w:val="18"/>
                <w:lang w:val="fr-FR"/>
              </w:rPr>
              <w:t>6</w:t>
            </w:r>
            <w:r w:rsidR="00960558">
              <w:rPr>
                <w:sz w:val="18"/>
                <w:szCs w:val="18"/>
                <w:lang w:val="fr-FR"/>
              </w:rPr>
              <w:t> </w:t>
            </w:r>
            <w:r w:rsidRPr="00960558">
              <w:rPr>
                <w:sz w:val="18"/>
                <w:szCs w:val="18"/>
                <w:lang w:val="fr-FR"/>
              </w:rPr>
              <w:t>%</w:t>
            </w:r>
          </w:p>
        </w:tc>
      </w:tr>
      <w:tr w:rsidR="00960558" w:rsidRPr="00960558" w:rsidTr="00960558">
        <w:tc>
          <w:tcPr>
            <w:tcW w:w="3969" w:type="dxa"/>
            <w:shd w:val="clear" w:color="auto" w:fill="auto"/>
          </w:tcPr>
          <w:p w:rsidR="00EC4C5A" w:rsidRPr="00960558" w:rsidRDefault="00EC4C5A" w:rsidP="00960558">
            <w:pPr>
              <w:suppressAutoHyphens w:val="0"/>
              <w:spacing w:before="40" w:after="40" w:line="220" w:lineRule="exact"/>
              <w:rPr>
                <w:sz w:val="18"/>
                <w:szCs w:val="18"/>
                <w:lang w:val="fr-FR"/>
              </w:rPr>
            </w:pPr>
            <w:r w:rsidRPr="00960558">
              <w:rPr>
                <w:sz w:val="18"/>
                <w:szCs w:val="18"/>
                <w:lang w:val="fr-FR"/>
              </w:rPr>
              <w:t>Pourcentage d</w:t>
            </w:r>
            <w:r w:rsidR="00474653">
              <w:rPr>
                <w:sz w:val="18"/>
                <w:szCs w:val="18"/>
                <w:lang w:val="fr-FR"/>
              </w:rPr>
              <w:t>’</w:t>
            </w:r>
            <w:r w:rsidRPr="00960558">
              <w:rPr>
                <w:sz w:val="18"/>
                <w:szCs w:val="18"/>
                <w:lang w:val="fr-FR"/>
              </w:rPr>
              <w:t>enfants de moins de 5 ans présentant une anémie</w:t>
            </w:r>
          </w:p>
        </w:tc>
        <w:tc>
          <w:tcPr>
            <w:tcW w:w="1701" w:type="dxa"/>
            <w:shd w:val="clear" w:color="auto" w:fill="auto"/>
            <w:vAlign w:val="bottom"/>
          </w:tcPr>
          <w:p w:rsidR="00EC4C5A" w:rsidRPr="00960558" w:rsidRDefault="00EC4C5A" w:rsidP="00960558">
            <w:pPr>
              <w:suppressAutoHyphens w:val="0"/>
              <w:spacing w:before="40" w:after="40" w:line="220" w:lineRule="exact"/>
              <w:jc w:val="right"/>
              <w:rPr>
                <w:sz w:val="18"/>
                <w:szCs w:val="18"/>
                <w:lang w:val="fr-FR"/>
              </w:rPr>
            </w:pPr>
            <w:r w:rsidRPr="00960558">
              <w:rPr>
                <w:sz w:val="18"/>
                <w:szCs w:val="18"/>
                <w:lang w:val="fr-FR"/>
              </w:rPr>
              <w:t>61</w:t>
            </w:r>
            <w:r w:rsidR="00960558">
              <w:rPr>
                <w:sz w:val="18"/>
                <w:szCs w:val="18"/>
                <w:lang w:val="fr-FR"/>
              </w:rPr>
              <w:t> </w:t>
            </w:r>
            <w:r w:rsidRPr="00960558">
              <w:rPr>
                <w:sz w:val="18"/>
                <w:szCs w:val="18"/>
                <w:lang w:val="fr-FR"/>
              </w:rPr>
              <w:t>%</w:t>
            </w:r>
          </w:p>
        </w:tc>
        <w:tc>
          <w:tcPr>
            <w:tcW w:w="1700" w:type="dxa"/>
            <w:shd w:val="clear" w:color="auto" w:fill="auto"/>
            <w:vAlign w:val="bottom"/>
          </w:tcPr>
          <w:p w:rsidR="00EC4C5A" w:rsidRPr="00960558" w:rsidRDefault="00EC4C5A" w:rsidP="00960558">
            <w:pPr>
              <w:suppressAutoHyphens w:val="0"/>
              <w:spacing w:before="40" w:after="40" w:line="220" w:lineRule="exact"/>
              <w:jc w:val="right"/>
              <w:rPr>
                <w:sz w:val="18"/>
                <w:szCs w:val="18"/>
                <w:lang w:val="fr-FR"/>
              </w:rPr>
            </w:pPr>
            <w:r w:rsidRPr="00960558">
              <w:rPr>
                <w:sz w:val="18"/>
                <w:szCs w:val="18"/>
                <w:lang w:val="fr-FR"/>
              </w:rPr>
              <w:t>17</w:t>
            </w:r>
            <w:r w:rsidR="00960558">
              <w:rPr>
                <w:sz w:val="18"/>
                <w:szCs w:val="18"/>
                <w:lang w:val="fr-FR"/>
              </w:rPr>
              <w:t> </w:t>
            </w:r>
            <w:r w:rsidRPr="00960558">
              <w:rPr>
                <w:sz w:val="18"/>
                <w:szCs w:val="18"/>
                <w:lang w:val="fr-FR"/>
              </w:rPr>
              <w:t>%</w:t>
            </w:r>
          </w:p>
        </w:tc>
      </w:tr>
      <w:tr w:rsidR="00960558" w:rsidRPr="00960558" w:rsidTr="00960558">
        <w:tc>
          <w:tcPr>
            <w:tcW w:w="3969" w:type="dxa"/>
            <w:shd w:val="clear" w:color="auto" w:fill="auto"/>
          </w:tcPr>
          <w:p w:rsidR="00EC4C5A" w:rsidRPr="00960558" w:rsidRDefault="00EC4C5A" w:rsidP="00960558">
            <w:pPr>
              <w:suppressAutoHyphens w:val="0"/>
              <w:spacing w:before="40" w:after="40" w:line="220" w:lineRule="exact"/>
              <w:rPr>
                <w:sz w:val="18"/>
                <w:szCs w:val="18"/>
                <w:lang w:val="fr-FR"/>
              </w:rPr>
            </w:pPr>
            <w:r w:rsidRPr="00960558">
              <w:rPr>
                <w:sz w:val="18"/>
                <w:szCs w:val="18"/>
                <w:lang w:val="fr-FR"/>
              </w:rPr>
              <w:t>Nouveau-nés présentant une insuffisance pondérale</w:t>
            </w:r>
          </w:p>
        </w:tc>
        <w:tc>
          <w:tcPr>
            <w:tcW w:w="1701" w:type="dxa"/>
            <w:shd w:val="clear" w:color="auto" w:fill="auto"/>
            <w:vAlign w:val="bottom"/>
          </w:tcPr>
          <w:p w:rsidR="00EC4C5A" w:rsidRPr="00960558" w:rsidRDefault="00EC4C5A" w:rsidP="00960558">
            <w:pPr>
              <w:suppressAutoHyphens w:val="0"/>
              <w:spacing w:before="40" w:after="40" w:line="220" w:lineRule="exact"/>
              <w:jc w:val="right"/>
              <w:rPr>
                <w:sz w:val="18"/>
                <w:szCs w:val="18"/>
                <w:lang w:val="fr-FR"/>
              </w:rPr>
            </w:pPr>
            <w:r w:rsidRPr="00960558">
              <w:rPr>
                <w:sz w:val="18"/>
                <w:szCs w:val="18"/>
                <w:lang w:val="fr-FR"/>
              </w:rPr>
              <w:t>31</w:t>
            </w:r>
            <w:r w:rsidR="00960558">
              <w:rPr>
                <w:sz w:val="18"/>
                <w:szCs w:val="18"/>
                <w:lang w:val="fr-FR"/>
              </w:rPr>
              <w:t> </w:t>
            </w:r>
            <w:r w:rsidRPr="00960558">
              <w:rPr>
                <w:sz w:val="18"/>
                <w:szCs w:val="18"/>
                <w:lang w:val="fr-FR"/>
              </w:rPr>
              <w:t>%</w:t>
            </w:r>
          </w:p>
        </w:tc>
        <w:tc>
          <w:tcPr>
            <w:tcW w:w="1700" w:type="dxa"/>
            <w:shd w:val="clear" w:color="auto" w:fill="auto"/>
            <w:vAlign w:val="bottom"/>
          </w:tcPr>
          <w:p w:rsidR="00EC4C5A" w:rsidRPr="00960558" w:rsidRDefault="00EC4C5A" w:rsidP="00960558">
            <w:pPr>
              <w:suppressAutoHyphens w:val="0"/>
              <w:spacing w:before="40" w:after="40" w:line="220" w:lineRule="exact"/>
              <w:jc w:val="right"/>
              <w:rPr>
                <w:sz w:val="18"/>
                <w:szCs w:val="18"/>
                <w:lang w:val="fr-FR"/>
              </w:rPr>
            </w:pPr>
            <w:r w:rsidRPr="00960558">
              <w:rPr>
                <w:sz w:val="18"/>
                <w:szCs w:val="18"/>
                <w:lang w:val="fr-FR"/>
              </w:rPr>
              <w:t>13</w:t>
            </w:r>
            <w:r w:rsidR="00960558">
              <w:rPr>
                <w:sz w:val="18"/>
                <w:szCs w:val="18"/>
                <w:lang w:val="fr-FR"/>
              </w:rPr>
              <w:t> </w:t>
            </w:r>
            <w:r w:rsidRPr="00960558">
              <w:rPr>
                <w:sz w:val="18"/>
                <w:szCs w:val="18"/>
                <w:lang w:val="fr-FR"/>
              </w:rPr>
              <w:t>%</w:t>
            </w:r>
          </w:p>
        </w:tc>
      </w:tr>
      <w:tr w:rsidR="00960558" w:rsidRPr="00960558" w:rsidTr="00960558">
        <w:tc>
          <w:tcPr>
            <w:tcW w:w="3969" w:type="dxa"/>
            <w:shd w:val="clear" w:color="auto" w:fill="auto"/>
          </w:tcPr>
          <w:p w:rsidR="00EC4C5A" w:rsidRPr="00960558" w:rsidRDefault="00EC4C5A" w:rsidP="00960558">
            <w:pPr>
              <w:suppressAutoHyphens w:val="0"/>
              <w:spacing w:before="40" w:after="40" w:line="220" w:lineRule="exact"/>
              <w:rPr>
                <w:sz w:val="18"/>
                <w:szCs w:val="18"/>
                <w:lang w:val="fr-FR"/>
              </w:rPr>
            </w:pPr>
            <w:r w:rsidRPr="00960558">
              <w:rPr>
                <w:sz w:val="18"/>
                <w:szCs w:val="18"/>
                <w:lang w:val="fr-FR"/>
              </w:rPr>
              <w:t xml:space="preserve">Maisons individuelles avec propriété foncière </w:t>
            </w:r>
          </w:p>
        </w:tc>
        <w:tc>
          <w:tcPr>
            <w:tcW w:w="1701" w:type="dxa"/>
            <w:shd w:val="clear" w:color="auto" w:fill="auto"/>
            <w:vAlign w:val="bottom"/>
          </w:tcPr>
          <w:p w:rsidR="00EC4C5A" w:rsidRPr="00960558" w:rsidRDefault="00EC4C5A" w:rsidP="00960558">
            <w:pPr>
              <w:suppressAutoHyphens w:val="0"/>
              <w:spacing w:before="40" w:after="40" w:line="220" w:lineRule="exact"/>
              <w:jc w:val="right"/>
              <w:rPr>
                <w:sz w:val="18"/>
                <w:szCs w:val="18"/>
                <w:lang w:val="fr-FR"/>
              </w:rPr>
            </w:pPr>
          </w:p>
        </w:tc>
        <w:tc>
          <w:tcPr>
            <w:tcW w:w="1700" w:type="dxa"/>
            <w:shd w:val="clear" w:color="auto" w:fill="auto"/>
            <w:vAlign w:val="bottom"/>
          </w:tcPr>
          <w:p w:rsidR="00EC4C5A" w:rsidRPr="00960558" w:rsidRDefault="00EC4C5A" w:rsidP="00960558">
            <w:pPr>
              <w:suppressAutoHyphens w:val="0"/>
              <w:spacing w:before="40" w:after="40" w:line="220" w:lineRule="exact"/>
              <w:jc w:val="right"/>
              <w:rPr>
                <w:sz w:val="18"/>
                <w:szCs w:val="18"/>
                <w:lang w:val="fr-FR"/>
              </w:rPr>
            </w:pPr>
            <w:r w:rsidRPr="00960558">
              <w:rPr>
                <w:sz w:val="18"/>
                <w:szCs w:val="18"/>
                <w:lang w:val="fr-FR"/>
              </w:rPr>
              <w:t>56 500</w:t>
            </w:r>
          </w:p>
        </w:tc>
      </w:tr>
      <w:tr w:rsidR="00960558" w:rsidRPr="00960558" w:rsidTr="00960558">
        <w:tc>
          <w:tcPr>
            <w:tcW w:w="3969" w:type="dxa"/>
            <w:shd w:val="clear" w:color="auto" w:fill="auto"/>
          </w:tcPr>
          <w:p w:rsidR="00EC4C5A" w:rsidRPr="00960558" w:rsidRDefault="00EC4C5A" w:rsidP="00960558">
            <w:pPr>
              <w:suppressAutoHyphens w:val="0"/>
              <w:spacing w:before="40" w:after="40" w:line="220" w:lineRule="exact"/>
              <w:rPr>
                <w:sz w:val="18"/>
                <w:szCs w:val="18"/>
                <w:lang w:val="fr-FR"/>
              </w:rPr>
            </w:pPr>
            <w:r w:rsidRPr="00960558">
              <w:rPr>
                <w:sz w:val="18"/>
                <w:szCs w:val="18"/>
                <w:lang w:val="fr-FR"/>
              </w:rPr>
              <w:t>Accès à des sources d</w:t>
            </w:r>
            <w:r w:rsidR="00474653">
              <w:rPr>
                <w:sz w:val="18"/>
                <w:szCs w:val="18"/>
                <w:lang w:val="fr-FR"/>
              </w:rPr>
              <w:t>’</w:t>
            </w:r>
            <w:r w:rsidRPr="00960558">
              <w:rPr>
                <w:sz w:val="18"/>
                <w:szCs w:val="18"/>
                <w:lang w:val="fr-FR"/>
              </w:rPr>
              <w:t>eau potable de meilleure qualité</w:t>
            </w:r>
          </w:p>
        </w:tc>
        <w:tc>
          <w:tcPr>
            <w:tcW w:w="1701" w:type="dxa"/>
            <w:shd w:val="clear" w:color="auto" w:fill="auto"/>
            <w:vAlign w:val="bottom"/>
          </w:tcPr>
          <w:p w:rsidR="00EC4C5A" w:rsidRPr="00960558" w:rsidRDefault="00EC4C5A" w:rsidP="00960558">
            <w:pPr>
              <w:suppressAutoHyphens w:val="0"/>
              <w:spacing w:before="40" w:after="40" w:line="220" w:lineRule="exact"/>
              <w:jc w:val="right"/>
              <w:rPr>
                <w:sz w:val="18"/>
                <w:szCs w:val="18"/>
                <w:lang w:val="fr-FR"/>
              </w:rPr>
            </w:pPr>
            <w:r w:rsidRPr="00960558">
              <w:rPr>
                <w:sz w:val="18"/>
                <w:szCs w:val="18"/>
                <w:lang w:val="fr-FR"/>
              </w:rPr>
              <w:t>52</w:t>
            </w:r>
            <w:r w:rsidR="00960558">
              <w:rPr>
                <w:sz w:val="18"/>
                <w:szCs w:val="18"/>
                <w:lang w:val="fr-FR"/>
              </w:rPr>
              <w:t> </w:t>
            </w:r>
            <w:r w:rsidRPr="00960558">
              <w:rPr>
                <w:sz w:val="18"/>
                <w:szCs w:val="18"/>
                <w:lang w:val="fr-FR"/>
              </w:rPr>
              <w:t>%</w:t>
            </w:r>
          </w:p>
        </w:tc>
        <w:tc>
          <w:tcPr>
            <w:tcW w:w="1700" w:type="dxa"/>
            <w:shd w:val="clear" w:color="auto" w:fill="auto"/>
            <w:vAlign w:val="bottom"/>
          </w:tcPr>
          <w:p w:rsidR="00EC4C5A" w:rsidRPr="00960558" w:rsidRDefault="00EC4C5A" w:rsidP="00960558">
            <w:pPr>
              <w:suppressAutoHyphens w:val="0"/>
              <w:spacing w:before="40" w:after="40" w:line="220" w:lineRule="exact"/>
              <w:jc w:val="right"/>
              <w:rPr>
                <w:sz w:val="18"/>
                <w:szCs w:val="18"/>
                <w:lang w:val="fr-FR"/>
              </w:rPr>
            </w:pPr>
            <w:r w:rsidRPr="00960558">
              <w:rPr>
                <w:sz w:val="18"/>
                <w:szCs w:val="18"/>
                <w:lang w:val="fr-FR"/>
              </w:rPr>
              <w:t>90</w:t>
            </w:r>
            <w:r w:rsidR="00960558">
              <w:rPr>
                <w:sz w:val="18"/>
                <w:szCs w:val="18"/>
                <w:lang w:val="fr-FR"/>
              </w:rPr>
              <w:t> </w:t>
            </w:r>
            <w:r w:rsidRPr="00960558">
              <w:rPr>
                <w:sz w:val="18"/>
                <w:szCs w:val="18"/>
                <w:lang w:val="fr-FR"/>
              </w:rPr>
              <w:t>%</w:t>
            </w:r>
          </w:p>
        </w:tc>
      </w:tr>
      <w:tr w:rsidR="00960558" w:rsidRPr="00960558" w:rsidTr="00960558">
        <w:tc>
          <w:tcPr>
            <w:tcW w:w="3969" w:type="dxa"/>
            <w:shd w:val="clear" w:color="auto" w:fill="auto"/>
          </w:tcPr>
          <w:p w:rsidR="00EC4C5A" w:rsidRPr="00960558" w:rsidRDefault="00EC4C5A" w:rsidP="00960558">
            <w:pPr>
              <w:suppressAutoHyphens w:val="0"/>
              <w:spacing w:before="40" w:after="40" w:line="220" w:lineRule="exact"/>
              <w:rPr>
                <w:sz w:val="18"/>
                <w:szCs w:val="18"/>
                <w:lang w:val="fr-FR"/>
              </w:rPr>
            </w:pPr>
            <w:r w:rsidRPr="00960558">
              <w:rPr>
                <w:sz w:val="18"/>
                <w:szCs w:val="18"/>
                <w:lang w:val="fr-FR"/>
              </w:rPr>
              <w:t>Accès à services d</w:t>
            </w:r>
            <w:r w:rsidR="00474653">
              <w:rPr>
                <w:sz w:val="18"/>
                <w:szCs w:val="18"/>
                <w:lang w:val="fr-FR"/>
              </w:rPr>
              <w:t>’</w:t>
            </w:r>
            <w:r w:rsidRPr="00960558">
              <w:rPr>
                <w:sz w:val="18"/>
                <w:szCs w:val="18"/>
                <w:lang w:val="fr-FR"/>
              </w:rPr>
              <w:t>assainissement de meilleure qualité</w:t>
            </w:r>
          </w:p>
        </w:tc>
        <w:tc>
          <w:tcPr>
            <w:tcW w:w="1701" w:type="dxa"/>
            <w:shd w:val="clear" w:color="auto" w:fill="auto"/>
            <w:vAlign w:val="bottom"/>
          </w:tcPr>
          <w:p w:rsidR="00EC4C5A" w:rsidRPr="00960558" w:rsidRDefault="00EC4C5A" w:rsidP="00960558">
            <w:pPr>
              <w:suppressAutoHyphens w:val="0"/>
              <w:spacing w:before="40" w:after="40" w:line="220" w:lineRule="exact"/>
              <w:jc w:val="right"/>
              <w:rPr>
                <w:sz w:val="18"/>
                <w:szCs w:val="18"/>
                <w:lang w:val="fr-FR"/>
              </w:rPr>
            </w:pPr>
            <w:r w:rsidRPr="00960558">
              <w:rPr>
                <w:sz w:val="18"/>
                <w:szCs w:val="18"/>
                <w:lang w:val="fr-FR"/>
              </w:rPr>
              <w:t>73</w:t>
            </w:r>
            <w:r w:rsidR="00960558">
              <w:rPr>
                <w:sz w:val="18"/>
                <w:szCs w:val="18"/>
                <w:lang w:val="fr-FR"/>
              </w:rPr>
              <w:t> </w:t>
            </w:r>
            <w:r w:rsidRPr="00960558">
              <w:rPr>
                <w:sz w:val="18"/>
                <w:szCs w:val="18"/>
                <w:lang w:val="fr-FR"/>
              </w:rPr>
              <w:t>%</w:t>
            </w:r>
          </w:p>
        </w:tc>
        <w:tc>
          <w:tcPr>
            <w:tcW w:w="1700" w:type="dxa"/>
            <w:shd w:val="clear" w:color="auto" w:fill="auto"/>
            <w:vAlign w:val="bottom"/>
          </w:tcPr>
          <w:p w:rsidR="00EC4C5A" w:rsidRPr="00960558" w:rsidRDefault="00EC4C5A" w:rsidP="00960558">
            <w:pPr>
              <w:suppressAutoHyphens w:val="0"/>
              <w:spacing w:before="40" w:after="40" w:line="220" w:lineRule="exact"/>
              <w:jc w:val="right"/>
              <w:rPr>
                <w:sz w:val="18"/>
                <w:szCs w:val="18"/>
                <w:lang w:val="fr-FR"/>
              </w:rPr>
            </w:pPr>
            <w:r w:rsidRPr="00960558">
              <w:rPr>
                <w:sz w:val="18"/>
                <w:szCs w:val="18"/>
                <w:lang w:val="fr-FR"/>
              </w:rPr>
              <w:t>90</w:t>
            </w:r>
            <w:r w:rsidR="00960558">
              <w:rPr>
                <w:sz w:val="18"/>
                <w:szCs w:val="18"/>
                <w:lang w:val="fr-FR"/>
              </w:rPr>
              <w:t> </w:t>
            </w:r>
            <w:r w:rsidRPr="00960558">
              <w:rPr>
                <w:sz w:val="18"/>
                <w:szCs w:val="18"/>
                <w:lang w:val="fr-FR"/>
              </w:rPr>
              <w:t>%</w:t>
            </w:r>
          </w:p>
        </w:tc>
      </w:tr>
      <w:tr w:rsidR="00960558" w:rsidRPr="00960558" w:rsidTr="00960558">
        <w:tc>
          <w:tcPr>
            <w:tcW w:w="3969" w:type="dxa"/>
            <w:shd w:val="clear" w:color="auto" w:fill="auto"/>
          </w:tcPr>
          <w:p w:rsidR="00EC4C5A" w:rsidRPr="00960558" w:rsidRDefault="00EC4C5A" w:rsidP="00960558">
            <w:pPr>
              <w:suppressAutoHyphens w:val="0"/>
              <w:spacing w:before="40" w:after="40" w:line="220" w:lineRule="exact"/>
              <w:rPr>
                <w:sz w:val="18"/>
                <w:szCs w:val="18"/>
                <w:lang w:val="fr-FR"/>
              </w:rPr>
            </w:pPr>
            <w:r w:rsidRPr="00960558">
              <w:rPr>
                <w:sz w:val="18"/>
                <w:szCs w:val="18"/>
                <w:lang w:val="fr-FR"/>
              </w:rPr>
              <w:t>Centres de développement de la petite enfance</w:t>
            </w:r>
          </w:p>
        </w:tc>
        <w:tc>
          <w:tcPr>
            <w:tcW w:w="1701" w:type="dxa"/>
            <w:shd w:val="clear" w:color="auto" w:fill="auto"/>
            <w:vAlign w:val="bottom"/>
          </w:tcPr>
          <w:p w:rsidR="00EC4C5A" w:rsidRPr="00960558" w:rsidRDefault="00EC4C5A" w:rsidP="00960558">
            <w:pPr>
              <w:suppressAutoHyphens w:val="0"/>
              <w:spacing w:before="40" w:after="40" w:line="220" w:lineRule="exact"/>
              <w:jc w:val="right"/>
              <w:rPr>
                <w:sz w:val="18"/>
                <w:szCs w:val="18"/>
                <w:lang w:val="fr-FR"/>
              </w:rPr>
            </w:pPr>
            <w:r w:rsidRPr="00960558">
              <w:rPr>
                <w:sz w:val="18"/>
                <w:szCs w:val="18"/>
                <w:lang w:val="fr-FR"/>
              </w:rPr>
              <w:t>44</w:t>
            </w:r>
            <w:r w:rsidR="00960558">
              <w:rPr>
                <w:sz w:val="18"/>
                <w:szCs w:val="18"/>
                <w:lang w:val="fr-FR"/>
              </w:rPr>
              <w:t> </w:t>
            </w:r>
            <w:r w:rsidRPr="00960558">
              <w:rPr>
                <w:sz w:val="18"/>
                <w:szCs w:val="18"/>
                <w:lang w:val="fr-FR"/>
              </w:rPr>
              <w:t>%</w:t>
            </w:r>
          </w:p>
        </w:tc>
        <w:tc>
          <w:tcPr>
            <w:tcW w:w="1700" w:type="dxa"/>
            <w:shd w:val="clear" w:color="auto" w:fill="auto"/>
            <w:vAlign w:val="bottom"/>
          </w:tcPr>
          <w:p w:rsidR="00EC4C5A" w:rsidRPr="00960558" w:rsidRDefault="00EC4C5A" w:rsidP="00960558">
            <w:pPr>
              <w:suppressAutoHyphens w:val="0"/>
              <w:spacing w:before="40" w:after="40" w:line="220" w:lineRule="exact"/>
              <w:jc w:val="right"/>
              <w:rPr>
                <w:sz w:val="18"/>
                <w:szCs w:val="18"/>
                <w:lang w:val="fr-FR"/>
              </w:rPr>
            </w:pPr>
            <w:r w:rsidRPr="00960558">
              <w:rPr>
                <w:sz w:val="18"/>
                <w:szCs w:val="18"/>
                <w:lang w:val="fr-FR"/>
              </w:rPr>
              <w:t>80</w:t>
            </w:r>
            <w:r w:rsidR="00960558">
              <w:rPr>
                <w:sz w:val="18"/>
                <w:szCs w:val="18"/>
                <w:lang w:val="fr-FR"/>
              </w:rPr>
              <w:t> </w:t>
            </w:r>
            <w:r w:rsidRPr="00960558">
              <w:rPr>
                <w:sz w:val="18"/>
                <w:szCs w:val="18"/>
                <w:lang w:val="fr-FR"/>
              </w:rPr>
              <w:t>%</w:t>
            </w:r>
          </w:p>
        </w:tc>
      </w:tr>
      <w:tr w:rsidR="00960558" w:rsidRPr="00960558" w:rsidTr="00960558">
        <w:tc>
          <w:tcPr>
            <w:tcW w:w="7370" w:type="dxa"/>
            <w:gridSpan w:val="3"/>
            <w:shd w:val="clear" w:color="auto" w:fill="auto"/>
          </w:tcPr>
          <w:p w:rsidR="00EC4C5A" w:rsidRPr="00960558" w:rsidRDefault="00EC4C5A" w:rsidP="00960558">
            <w:pPr>
              <w:suppressAutoHyphens w:val="0"/>
              <w:spacing w:before="40" w:after="40" w:line="220" w:lineRule="exact"/>
              <w:rPr>
                <w:sz w:val="18"/>
                <w:szCs w:val="18"/>
                <w:lang w:val="fr-FR"/>
              </w:rPr>
            </w:pPr>
            <w:r w:rsidRPr="00960558">
              <w:rPr>
                <w:sz w:val="18"/>
                <w:szCs w:val="18"/>
                <w:lang w:val="fr-FR"/>
              </w:rPr>
              <w:t>Augmentation du nombre de clubs de jeunes et de femmes pour renforcer leurs qualités de chef et leur pouvoir décisionnel</w:t>
            </w:r>
          </w:p>
        </w:tc>
      </w:tr>
      <w:tr w:rsidR="00960558" w:rsidRPr="00960558" w:rsidTr="00960558">
        <w:tc>
          <w:tcPr>
            <w:tcW w:w="7370" w:type="dxa"/>
            <w:gridSpan w:val="3"/>
            <w:tcBorders>
              <w:bottom w:val="single" w:sz="12" w:space="0" w:color="auto"/>
            </w:tcBorders>
            <w:shd w:val="clear" w:color="auto" w:fill="auto"/>
          </w:tcPr>
          <w:p w:rsidR="00EC4C5A" w:rsidRPr="00960558" w:rsidRDefault="00EC4C5A" w:rsidP="00960558">
            <w:pPr>
              <w:suppressAutoHyphens w:val="0"/>
              <w:spacing w:before="40" w:after="40" w:line="220" w:lineRule="exact"/>
              <w:rPr>
                <w:sz w:val="18"/>
                <w:szCs w:val="18"/>
                <w:lang w:val="fr-FR"/>
              </w:rPr>
            </w:pPr>
            <w:r w:rsidRPr="00960558">
              <w:rPr>
                <w:sz w:val="18"/>
                <w:szCs w:val="18"/>
                <w:lang w:val="fr-FR"/>
              </w:rPr>
              <w:t>Augmentation du nombre d</w:t>
            </w:r>
            <w:r w:rsidR="00474653">
              <w:rPr>
                <w:sz w:val="18"/>
                <w:szCs w:val="18"/>
                <w:lang w:val="fr-FR"/>
              </w:rPr>
              <w:t>’</w:t>
            </w:r>
            <w:r w:rsidRPr="00960558">
              <w:rPr>
                <w:sz w:val="18"/>
                <w:szCs w:val="18"/>
                <w:lang w:val="fr-FR"/>
              </w:rPr>
              <w:t>hôpitaux relevant du système de santé public dans les plantations</w:t>
            </w:r>
          </w:p>
        </w:tc>
      </w:tr>
    </w:tbl>
    <w:p w:rsidR="00EC4C5A" w:rsidRPr="00CC76D1" w:rsidRDefault="00EC4C5A" w:rsidP="00642EFB">
      <w:pPr>
        <w:pStyle w:val="H23G"/>
        <w:rPr>
          <w:lang w:val="fr-FR"/>
        </w:rPr>
      </w:pPr>
      <w:r w:rsidRPr="00CC76D1">
        <w:rPr>
          <w:lang w:val="fr-FR"/>
        </w:rPr>
        <w:tab/>
        <w:t>2.1</w:t>
      </w:r>
      <w:r w:rsidRPr="00CC76D1">
        <w:rPr>
          <w:lang w:val="fr-FR"/>
        </w:rPr>
        <w:tab/>
        <w:t>Logement</w:t>
      </w:r>
    </w:p>
    <w:p w:rsidR="00EC4C5A" w:rsidRPr="00CC76D1" w:rsidRDefault="00EC4C5A" w:rsidP="00642EFB">
      <w:pPr>
        <w:pStyle w:val="SingleTxtG"/>
        <w:rPr>
          <w:lang w:val="fr-FR"/>
        </w:rPr>
      </w:pPr>
      <w:r w:rsidRPr="00CC76D1">
        <w:rPr>
          <w:lang w:val="fr-FR"/>
        </w:rPr>
        <w:t>38.</w:t>
      </w:r>
      <w:r w:rsidRPr="00CC76D1">
        <w:rPr>
          <w:lang w:val="fr-FR"/>
        </w:rPr>
        <w:tab/>
        <w:t>Le Plan d</w:t>
      </w:r>
      <w:r w:rsidR="00474653">
        <w:rPr>
          <w:lang w:val="fr-FR"/>
        </w:rPr>
        <w:t>’</w:t>
      </w:r>
      <w:r w:rsidRPr="00CC76D1">
        <w:rPr>
          <w:lang w:val="fr-FR"/>
        </w:rPr>
        <w:t>action national vise à fournir des maisons individuelles et un terrain en pleine propriété de sept perches (177 m</w:t>
      </w:r>
      <w:r w:rsidRPr="00CC76D1">
        <w:rPr>
          <w:vertAlign w:val="superscript"/>
          <w:lang w:val="fr-FR"/>
        </w:rPr>
        <w:t>2</w:t>
      </w:r>
      <w:r w:rsidRPr="00CC76D1">
        <w:rPr>
          <w:lang w:val="fr-FR"/>
        </w:rPr>
        <w:t>) à chaque famille de travailleurs. En 2015, quelque 1 500 maisons ont été distribuées à des familles et il est prévu d</w:t>
      </w:r>
      <w:r w:rsidR="00474653">
        <w:rPr>
          <w:lang w:val="fr-FR"/>
        </w:rPr>
        <w:t>’</w:t>
      </w:r>
      <w:r w:rsidRPr="00CC76D1">
        <w:rPr>
          <w:lang w:val="fr-FR"/>
        </w:rPr>
        <w:t>achever la construction de 2 000 maisons d</w:t>
      </w:r>
      <w:r w:rsidR="00474653">
        <w:rPr>
          <w:lang w:val="fr-FR"/>
        </w:rPr>
        <w:t>’</w:t>
      </w:r>
      <w:r w:rsidRPr="00CC76D1">
        <w:rPr>
          <w:lang w:val="fr-FR"/>
        </w:rPr>
        <w:t>ici à la fin de 2017. Avec l</w:t>
      </w:r>
      <w:r w:rsidR="00474653">
        <w:rPr>
          <w:lang w:val="fr-FR"/>
        </w:rPr>
        <w:t>’</w:t>
      </w:r>
      <w:r w:rsidRPr="00CC76D1">
        <w:rPr>
          <w:lang w:val="fr-FR"/>
        </w:rPr>
        <w:t>aide du Gouvernement indien, 1 134 autres maisons sont en cours de construction pour les familles des travailleurs des plantations qui vivent dans les zones sujettes aux catastrophes, tandis que des bénéficiaires ont été sélectionnés pour 2 866 autres maisons. Dans le cadre de ce programme, 71 familles ont été réinstallées dans un nouveau village situé dans le domaine de Hauteville des plantations d</w:t>
      </w:r>
      <w:r w:rsidR="00474653">
        <w:rPr>
          <w:lang w:val="fr-FR"/>
        </w:rPr>
        <w:t>’</w:t>
      </w:r>
      <w:r w:rsidRPr="00CC76D1">
        <w:rPr>
          <w:lang w:val="fr-FR"/>
        </w:rPr>
        <w:t>Agarapathana. La délivrance de titres de propriété sans équivoque aux propriétaires de maison dans le secteur des plantations a débuté en février 2017.</w:t>
      </w:r>
    </w:p>
    <w:p w:rsidR="00EC4C5A" w:rsidRPr="00CC76D1" w:rsidRDefault="00EC4C5A" w:rsidP="00642EFB">
      <w:pPr>
        <w:pStyle w:val="H23G"/>
        <w:rPr>
          <w:lang w:val="fr-FR"/>
        </w:rPr>
      </w:pPr>
      <w:r w:rsidRPr="00CC76D1">
        <w:rPr>
          <w:lang w:val="fr-FR"/>
        </w:rPr>
        <w:lastRenderedPageBreak/>
        <w:tab/>
        <w:t>2.2</w:t>
      </w:r>
      <w:r w:rsidRPr="00CC76D1">
        <w:rPr>
          <w:lang w:val="fr-FR"/>
        </w:rPr>
        <w:tab/>
        <w:t>Base de données</w:t>
      </w:r>
    </w:p>
    <w:p w:rsidR="00EC4C5A" w:rsidRPr="00CC76D1" w:rsidRDefault="00EC4C5A" w:rsidP="00642EFB">
      <w:pPr>
        <w:pStyle w:val="SingleTxtG"/>
        <w:rPr>
          <w:lang w:val="fr-FR"/>
        </w:rPr>
      </w:pPr>
      <w:r w:rsidRPr="00CC76D1">
        <w:rPr>
          <w:lang w:val="fr-FR"/>
        </w:rPr>
        <w:t>39.</w:t>
      </w:r>
      <w:r w:rsidRPr="00CC76D1">
        <w:rPr>
          <w:lang w:val="fr-FR"/>
        </w:rPr>
        <w:tab/>
        <w:t>En réponse à l</w:t>
      </w:r>
      <w:r w:rsidR="00474653">
        <w:rPr>
          <w:lang w:val="fr-FR"/>
        </w:rPr>
        <w:t>’</w:t>
      </w:r>
      <w:r w:rsidRPr="00CC76D1">
        <w:rPr>
          <w:lang w:val="fr-FR"/>
        </w:rPr>
        <w:t>absence de données statistiques fiables sur la jouissance des droits économiques, sociaux et culturels dans le secteur des plantations, le Ministère des nouveaux villages, de l</w:t>
      </w:r>
      <w:r w:rsidR="00474653">
        <w:rPr>
          <w:lang w:val="fr-FR"/>
        </w:rPr>
        <w:t>’</w:t>
      </w:r>
      <w:r w:rsidRPr="00CC76D1">
        <w:rPr>
          <w:lang w:val="fr-FR"/>
        </w:rPr>
        <w:t>infrastructure et du développement local du pays des collines, avec l</w:t>
      </w:r>
      <w:r w:rsidR="00474653">
        <w:rPr>
          <w:lang w:val="fr-FR"/>
        </w:rPr>
        <w:t>’</w:t>
      </w:r>
      <w:r w:rsidRPr="00CC76D1">
        <w:rPr>
          <w:lang w:val="fr-FR"/>
        </w:rPr>
        <w:t>assistance du Programme des Nations Unies pour le développement (PNUD), s</w:t>
      </w:r>
      <w:r w:rsidR="00474653">
        <w:rPr>
          <w:lang w:val="fr-FR"/>
        </w:rPr>
        <w:t>’</w:t>
      </w:r>
      <w:r w:rsidRPr="00CC76D1">
        <w:rPr>
          <w:lang w:val="fr-FR"/>
        </w:rPr>
        <w:t>attache à créer une base de données qui permettra de préciser les domaines d</w:t>
      </w:r>
      <w:r w:rsidR="00474653">
        <w:rPr>
          <w:lang w:val="fr-FR"/>
        </w:rPr>
        <w:t>’</w:t>
      </w:r>
      <w:r w:rsidRPr="00CC76D1">
        <w:rPr>
          <w:lang w:val="fr-FR"/>
        </w:rPr>
        <w:t>intervention. Ce projet de base de données devrait permettre de recueillir des données statistiques pour évaluer jusqu</w:t>
      </w:r>
      <w:r w:rsidR="00474653">
        <w:rPr>
          <w:lang w:val="fr-FR"/>
        </w:rPr>
        <w:t>’</w:t>
      </w:r>
      <w:r w:rsidRPr="00CC76D1">
        <w:rPr>
          <w:lang w:val="fr-FR"/>
        </w:rPr>
        <w:t>à quel point les travailleurs des plantations sont en mesure d</w:t>
      </w:r>
      <w:r w:rsidR="00474653">
        <w:rPr>
          <w:lang w:val="fr-FR"/>
        </w:rPr>
        <w:t>’</w:t>
      </w:r>
      <w:r w:rsidRPr="00CC76D1">
        <w:rPr>
          <w:lang w:val="fr-FR"/>
        </w:rPr>
        <w:t xml:space="preserve">exercer leurs droits économiques, sociaux et culturels. </w:t>
      </w:r>
    </w:p>
    <w:p w:rsidR="00EC4C5A" w:rsidRPr="00CC76D1" w:rsidRDefault="00EC4C5A" w:rsidP="00642EFB">
      <w:pPr>
        <w:pStyle w:val="H23G"/>
        <w:rPr>
          <w:lang w:val="fr-FR"/>
        </w:rPr>
      </w:pPr>
      <w:r w:rsidRPr="00CC76D1">
        <w:rPr>
          <w:lang w:val="fr-FR"/>
        </w:rPr>
        <w:tab/>
        <w:t>2.3</w:t>
      </w:r>
      <w:r w:rsidRPr="00CC76D1">
        <w:rPr>
          <w:lang w:val="fr-FR"/>
        </w:rPr>
        <w:tab/>
        <w:t xml:space="preserve">Réfection de la toiture des baraquements </w:t>
      </w:r>
    </w:p>
    <w:p w:rsidR="00EC4C5A" w:rsidRPr="00CC76D1" w:rsidRDefault="00EC4C5A" w:rsidP="00642EFB">
      <w:pPr>
        <w:pStyle w:val="SingleTxtG"/>
        <w:rPr>
          <w:lang w:val="fr-FR"/>
        </w:rPr>
      </w:pPr>
      <w:r w:rsidRPr="00CC76D1">
        <w:rPr>
          <w:lang w:val="fr-FR"/>
        </w:rPr>
        <w:t>40.</w:t>
      </w:r>
      <w:r w:rsidRPr="00CC76D1">
        <w:rPr>
          <w:lang w:val="fr-FR"/>
        </w:rPr>
        <w:tab/>
        <w:t>La réfection de la toiture des baraquements est en cours à titre de mesure provisoire. En conséquence, la toiture de plus de 1 500 baraquements sera rénovée d</w:t>
      </w:r>
      <w:r w:rsidR="00474653">
        <w:rPr>
          <w:lang w:val="fr-FR"/>
        </w:rPr>
        <w:t>’</w:t>
      </w:r>
      <w:r w:rsidRPr="00CC76D1">
        <w:rPr>
          <w:lang w:val="fr-FR"/>
        </w:rPr>
        <w:t xml:space="preserve">ici à la fin de 2016 et celle de 900 autres maisons est prévue cette année. </w:t>
      </w:r>
    </w:p>
    <w:p w:rsidR="00EC4C5A" w:rsidRPr="00CC76D1" w:rsidRDefault="00EC4C5A" w:rsidP="00642EFB">
      <w:pPr>
        <w:pStyle w:val="H23G"/>
        <w:rPr>
          <w:lang w:val="fr-FR"/>
        </w:rPr>
      </w:pPr>
      <w:r w:rsidRPr="00CC76D1">
        <w:rPr>
          <w:lang w:val="fr-FR"/>
        </w:rPr>
        <w:tab/>
        <w:t>2.4</w:t>
      </w:r>
      <w:r w:rsidRPr="00CC76D1">
        <w:rPr>
          <w:lang w:val="fr-FR"/>
        </w:rPr>
        <w:tab/>
        <w:t xml:space="preserve">Approvisionnement en eau potable </w:t>
      </w:r>
    </w:p>
    <w:p w:rsidR="00EC4C5A" w:rsidRPr="00CC76D1" w:rsidRDefault="00EC4C5A" w:rsidP="00642EFB">
      <w:pPr>
        <w:pStyle w:val="SingleTxtG"/>
        <w:rPr>
          <w:lang w:val="fr-FR"/>
        </w:rPr>
      </w:pPr>
      <w:r w:rsidRPr="00CC76D1">
        <w:rPr>
          <w:lang w:val="fr-FR"/>
        </w:rPr>
        <w:t>41.</w:t>
      </w:r>
      <w:r w:rsidRPr="00CC76D1">
        <w:rPr>
          <w:lang w:val="fr-FR"/>
        </w:rPr>
        <w:tab/>
        <w:t>Toutes les nouvelles maisons sont raccordées à un réseau d</w:t>
      </w:r>
      <w:r w:rsidR="00474653">
        <w:rPr>
          <w:lang w:val="fr-FR"/>
        </w:rPr>
        <w:t>’</w:t>
      </w:r>
      <w:r w:rsidRPr="00CC76D1">
        <w:rPr>
          <w:lang w:val="fr-FR"/>
        </w:rPr>
        <w:t>eau potable. Au cours de l</w:t>
      </w:r>
      <w:r w:rsidR="00474653">
        <w:rPr>
          <w:lang w:val="fr-FR"/>
        </w:rPr>
        <w:t>’</w:t>
      </w:r>
      <w:r w:rsidRPr="00CC76D1">
        <w:rPr>
          <w:lang w:val="fr-FR"/>
        </w:rPr>
        <w:t>année 2015-2016, 40 nouveaux projets d</w:t>
      </w:r>
      <w:r w:rsidR="00474653">
        <w:rPr>
          <w:lang w:val="fr-FR"/>
        </w:rPr>
        <w:t>’</w:t>
      </w:r>
      <w:r w:rsidRPr="00CC76D1">
        <w:rPr>
          <w:lang w:val="fr-FR"/>
        </w:rPr>
        <w:t>adduction d</w:t>
      </w:r>
      <w:r w:rsidR="00474653">
        <w:rPr>
          <w:lang w:val="fr-FR"/>
        </w:rPr>
        <w:t>’</w:t>
      </w:r>
      <w:r w:rsidR="00EA541E">
        <w:rPr>
          <w:lang w:val="fr-FR"/>
        </w:rPr>
        <w:t>eau ont été mis en œuvre. Des </w:t>
      </w:r>
      <w:r w:rsidRPr="00CC76D1">
        <w:rPr>
          <w:lang w:val="fr-FR"/>
        </w:rPr>
        <w:t>crédits ont été alloués à 36 projets d</w:t>
      </w:r>
      <w:r w:rsidR="00474653">
        <w:rPr>
          <w:lang w:val="fr-FR"/>
        </w:rPr>
        <w:t>’</w:t>
      </w:r>
      <w:r w:rsidRPr="00CC76D1">
        <w:rPr>
          <w:lang w:val="fr-FR"/>
        </w:rPr>
        <w:t>adduction d</w:t>
      </w:r>
      <w:r w:rsidR="00474653">
        <w:rPr>
          <w:lang w:val="fr-FR"/>
        </w:rPr>
        <w:t>’</w:t>
      </w:r>
      <w:r w:rsidRPr="00CC76D1">
        <w:rPr>
          <w:lang w:val="fr-FR"/>
        </w:rPr>
        <w:t>eau au cours de cette année. Avec l</w:t>
      </w:r>
      <w:r w:rsidR="00474653">
        <w:rPr>
          <w:lang w:val="fr-FR"/>
        </w:rPr>
        <w:t>’</w:t>
      </w:r>
      <w:r w:rsidRPr="00CC76D1">
        <w:rPr>
          <w:lang w:val="fr-FR"/>
        </w:rPr>
        <w:t>aide financière de la Banque mondiale, le Gouvernement a mis en œuvre 130 projets à grande échelle dans le domaine de l</w:t>
      </w:r>
      <w:r w:rsidR="00474653">
        <w:rPr>
          <w:lang w:val="fr-FR"/>
        </w:rPr>
        <w:t>’</w:t>
      </w:r>
      <w:r w:rsidRPr="00CC76D1">
        <w:rPr>
          <w:lang w:val="fr-FR"/>
        </w:rPr>
        <w:t>eau qui devraient bénéficier à 15 800 familles.</w:t>
      </w:r>
    </w:p>
    <w:p w:rsidR="00EC4C5A" w:rsidRPr="00CC76D1" w:rsidRDefault="00EC4C5A" w:rsidP="00642EFB">
      <w:pPr>
        <w:pStyle w:val="H23G"/>
        <w:rPr>
          <w:lang w:val="fr-FR"/>
        </w:rPr>
      </w:pPr>
      <w:r w:rsidRPr="00CC76D1">
        <w:rPr>
          <w:lang w:val="fr-FR"/>
        </w:rPr>
        <w:tab/>
        <w:t>2.5</w:t>
      </w:r>
      <w:r w:rsidRPr="00CC76D1">
        <w:rPr>
          <w:lang w:val="fr-FR"/>
        </w:rPr>
        <w:tab/>
        <w:t>Assainissement</w:t>
      </w:r>
    </w:p>
    <w:p w:rsidR="00EC4C5A" w:rsidRPr="00CC76D1" w:rsidRDefault="00EC4C5A" w:rsidP="00642EFB">
      <w:pPr>
        <w:pStyle w:val="SingleTxtG"/>
        <w:rPr>
          <w:lang w:val="fr-FR"/>
        </w:rPr>
      </w:pPr>
      <w:r w:rsidRPr="00CC76D1">
        <w:rPr>
          <w:lang w:val="fr-FR"/>
        </w:rPr>
        <w:t>42.</w:t>
      </w:r>
      <w:r w:rsidRPr="00CC76D1">
        <w:rPr>
          <w:lang w:val="fr-FR"/>
        </w:rPr>
        <w:tab/>
        <w:t>Depuis 2015, plus de 1 500 latrines ont été construites pour les travailleurs des plantations et 900 autres devraient l</w:t>
      </w:r>
      <w:r w:rsidR="00474653">
        <w:rPr>
          <w:lang w:val="fr-FR"/>
        </w:rPr>
        <w:t>’</w:t>
      </w:r>
      <w:r w:rsidRPr="00CC76D1">
        <w:rPr>
          <w:lang w:val="fr-FR"/>
        </w:rPr>
        <w:t>être au cours de la présente année. Avec l</w:t>
      </w:r>
      <w:r w:rsidR="00474653">
        <w:rPr>
          <w:lang w:val="fr-FR"/>
        </w:rPr>
        <w:t>’</w:t>
      </w:r>
      <w:r w:rsidRPr="00CC76D1">
        <w:rPr>
          <w:lang w:val="fr-FR"/>
        </w:rPr>
        <w:t>assistance de la Banque mondiale, le Gouvernement a entamé la construction de 7 300 nouvelles latrines dans le district de Nuwara Eliya.</w:t>
      </w:r>
    </w:p>
    <w:p w:rsidR="00EC4C5A" w:rsidRPr="00CC76D1" w:rsidRDefault="00EC4C5A" w:rsidP="00642EFB">
      <w:pPr>
        <w:pStyle w:val="H23G"/>
        <w:rPr>
          <w:lang w:val="fr-FR"/>
        </w:rPr>
      </w:pPr>
      <w:r w:rsidRPr="00CC76D1">
        <w:rPr>
          <w:lang w:val="fr-FR"/>
        </w:rPr>
        <w:tab/>
        <w:t>2.6</w:t>
      </w:r>
      <w:r w:rsidRPr="00CC76D1">
        <w:rPr>
          <w:lang w:val="fr-FR"/>
        </w:rPr>
        <w:tab/>
        <w:t>Affectation de crédits</w:t>
      </w:r>
    </w:p>
    <w:p w:rsidR="00EC4C5A" w:rsidRPr="00CC76D1" w:rsidRDefault="00EC4C5A" w:rsidP="00642EFB">
      <w:pPr>
        <w:pStyle w:val="SingleTxtG"/>
        <w:rPr>
          <w:lang w:val="fr-FR"/>
        </w:rPr>
      </w:pPr>
      <w:r w:rsidRPr="00CC76D1">
        <w:rPr>
          <w:lang w:val="fr-FR"/>
        </w:rPr>
        <w:t>43.</w:t>
      </w:r>
      <w:r w:rsidRPr="00CC76D1">
        <w:rPr>
          <w:lang w:val="fr-FR"/>
        </w:rPr>
        <w:tab/>
        <w:t>Les crédits affectés au développement social et des infrastructures pour la communauté des travailleurs des plantations ont sensiblement augmenté depuis 2015.</w:t>
      </w:r>
    </w:p>
    <w:tbl>
      <w:tblPr>
        <w:tblW w:w="7370" w:type="dxa"/>
        <w:tblInd w:w="1134" w:type="dxa"/>
        <w:tblLayout w:type="fixed"/>
        <w:tblCellMar>
          <w:left w:w="0" w:type="dxa"/>
          <w:right w:w="0" w:type="dxa"/>
        </w:tblCellMar>
        <w:tblLook w:val="00A0" w:firstRow="1" w:lastRow="0" w:firstColumn="1" w:lastColumn="0" w:noHBand="0" w:noVBand="0"/>
      </w:tblPr>
      <w:tblGrid>
        <w:gridCol w:w="2988"/>
        <w:gridCol w:w="4382"/>
      </w:tblGrid>
      <w:tr w:rsidR="00642EFB" w:rsidRPr="00642EFB" w:rsidTr="00642EFB">
        <w:trPr>
          <w:cantSplit/>
          <w:tblHeader/>
        </w:trPr>
        <w:tc>
          <w:tcPr>
            <w:tcW w:w="2988" w:type="dxa"/>
            <w:tcBorders>
              <w:top w:val="single" w:sz="4" w:space="0" w:color="auto"/>
              <w:bottom w:val="single" w:sz="12" w:space="0" w:color="auto"/>
            </w:tcBorders>
            <w:shd w:val="clear" w:color="auto" w:fill="auto"/>
            <w:vAlign w:val="bottom"/>
          </w:tcPr>
          <w:p w:rsidR="00EC4C5A" w:rsidRPr="00642EFB" w:rsidRDefault="00EC4C5A" w:rsidP="00642EFB">
            <w:pPr>
              <w:suppressAutoHyphens w:val="0"/>
              <w:spacing w:before="80" w:after="80" w:line="200" w:lineRule="exact"/>
              <w:rPr>
                <w:i/>
                <w:sz w:val="16"/>
                <w:lang w:val="fr-FR"/>
              </w:rPr>
            </w:pPr>
            <w:r w:rsidRPr="00642EFB">
              <w:rPr>
                <w:i/>
                <w:sz w:val="16"/>
                <w:lang w:val="fr-FR"/>
              </w:rPr>
              <w:t>Année</w:t>
            </w:r>
          </w:p>
        </w:tc>
        <w:tc>
          <w:tcPr>
            <w:tcW w:w="4382" w:type="dxa"/>
            <w:tcBorders>
              <w:top w:val="single" w:sz="4" w:space="0" w:color="auto"/>
              <w:bottom w:val="single" w:sz="12" w:space="0" w:color="auto"/>
            </w:tcBorders>
            <w:shd w:val="clear" w:color="auto" w:fill="auto"/>
            <w:vAlign w:val="bottom"/>
          </w:tcPr>
          <w:p w:rsidR="00EC4C5A" w:rsidRPr="00642EFB" w:rsidRDefault="00EC4C5A" w:rsidP="00642EFB">
            <w:pPr>
              <w:suppressAutoHyphens w:val="0"/>
              <w:spacing w:before="80" w:after="80" w:line="200" w:lineRule="exact"/>
              <w:jc w:val="right"/>
              <w:rPr>
                <w:i/>
                <w:sz w:val="16"/>
                <w:lang w:val="fr-FR"/>
              </w:rPr>
            </w:pPr>
            <w:r w:rsidRPr="00642EFB">
              <w:rPr>
                <w:i/>
                <w:sz w:val="16"/>
                <w:lang w:val="fr-FR"/>
              </w:rPr>
              <w:t>Crédits alloués (en roupies)</w:t>
            </w:r>
          </w:p>
        </w:tc>
      </w:tr>
      <w:tr w:rsidR="00642EFB" w:rsidRPr="00642EFB" w:rsidTr="00642EFB">
        <w:trPr>
          <w:cantSplit/>
        </w:trPr>
        <w:tc>
          <w:tcPr>
            <w:tcW w:w="2988" w:type="dxa"/>
            <w:tcBorders>
              <w:top w:val="single" w:sz="12" w:space="0" w:color="auto"/>
            </w:tcBorders>
            <w:shd w:val="clear" w:color="auto" w:fill="auto"/>
          </w:tcPr>
          <w:p w:rsidR="00EC4C5A" w:rsidRPr="00642EFB" w:rsidRDefault="00EC4C5A" w:rsidP="00642EFB">
            <w:pPr>
              <w:suppressAutoHyphens w:val="0"/>
              <w:spacing w:before="40" w:after="40" w:line="220" w:lineRule="exact"/>
              <w:rPr>
                <w:sz w:val="18"/>
                <w:szCs w:val="18"/>
                <w:lang w:val="fr-FR"/>
              </w:rPr>
            </w:pPr>
            <w:r w:rsidRPr="00642EFB">
              <w:rPr>
                <w:sz w:val="18"/>
                <w:szCs w:val="18"/>
                <w:lang w:val="fr-FR"/>
              </w:rPr>
              <w:t>2015</w:t>
            </w:r>
          </w:p>
        </w:tc>
        <w:tc>
          <w:tcPr>
            <w:tcW w:w="4382" w:type="dxa"/>
            <w:tcBorders>
              <w:top w:val="single" w:sz="12" w:space="0" w:color="auto"/>
            </w:tcBorders>
            <w:shd w:val="clear" w:color="auto" w:fill="auto"/>
            <w:vAlign w:val="bottom"/>
          </w:tcPr>
          <w:p w:rsidR="00EC4C5A" w:rsidRPr="00642EFB" w:rsidRDefault="00EC4C5A" w:rsidP="00642EFB">
            <w:pPr>
              <w:suppressAutoHyphens w:val="0"/>
              <w:spacing w:before="40" w:after="40" w:line="220" w:lineRule="exact"/>
              <w:jc w:val="right"/>
              <w:rPr>
                <w:sz w:val="18"/>
                <w:szCs w:val="18"/>
                <w:lang w:val="fr-FR"/>
              </w:rPr>
            </w:pPr>
            <w:r w:rsidRPr="00642EFB">
              <w:rPr>
                <w:sz w:val="18"/>
                <w:szCs w:val="18"/>
                <w:lang w:val="fr-FR"/>
              </w:rPr>
              <w:t>1 146 millions (dépenses)</w:t>
            </w:r>
          </w:p>
        </w:tc>
      </w:tr>
      <w:tr w:rsidR="00642EFB" w:rsidRPr="00642EFB" w:rsidTr="00642EFB">
        <w:trPr>
          <w:cantSplit/>
        </w:trPr>
        <w:tc>
          <w:tcPr>
            <w:tcW w:w="2988" w:type="dxa"/>
            <w:shd w:val="clear" w:color="auto" w:fill="auto"/>
          </w:tcPr>
          <w:p w:rsidR="00EC4C5A" w:rsidRPr="00642EFB" w:rsidRDefault="00EC4C5A" w:rsidP="00642EFB">
            <w:pPr>
              <w:suppressAutoHyphens w:val="0"/>
              <w:spacing w:before="40" w:after="40" w:line="220" w:lineRule="exact"/>
              <w:rPr>
                <w:sz w:val="18"/>
                <w:szCs w:val="18"/>
                <w:lang w:val="fr-FR"/>
              </w:rPr>
            </w:pPr>
            <w:r w:rsidRPr="00642EFB">
              <w:rPr>
                <w:sz w:val="18"/>
                <w:szCs w:val="18"/>
                <w:lang w:val="fr-FR"/>
              </w:rPr>
              <w:t>2016</w:t>
            </w:r>
          </w:p>
        </w:tc>
        <w:tc>
          <w:tcPr>
            <w:tcW w:w="4382" w:type="dxa"/>
            <w:shd w:val="clear" w:color="auto" w:fill="auto"/>
            <w:vAlign w:val="bottom"/>
          </w:tcPr>
          <w:p w:rsidR="00EC4C5A" w:rsidRPr="00642EFB" w:rsidRDefault="00EC4C5A" w:rsidP="00642EFB">
            <w:pPr>
              <w:suppressAutoHyphens w:val="0"/>
              <w:spacing w:before="40" w:after="40" w:line="220" w:lineRule="exact"/>
              <w:jc w:val="right"/>
              <w:rPr>
                <w:sz w:val="18"/>
                <w:szCs w:val="18"/>
                <w:lang w:val="fr-FR"/>
              </w:rPr>
            </w:pPr>
            <w:r w:rsidRPr="00642EFB">
              <w:rPr>
                <w:sz w:val="18"/>
                <w:szCs w:val="18"/>
                <w:lang w:val="fr-FR"/>
              </w:rPr>
              <w:t>1 800 millions (dépenses)</w:t>
            </w:r>
          </w:p>
        </w:tc>
      </w:tr>
      <w:tr w:rsidR="00642EFB" w:rsidRPr="00642EFB" w:rsidTr="00642EFB">
        <w:trPr>
          <w:cantSplit/>
        </w:trPr>
        <w:tc>
          <w:tcPr>
            <w:tcW w:w="2988" w:type="dxa"/>
            <w:tcBorders>
              <w:bottom w:val="single" w:sz="12" w:space="0" w:color="auto"/>
            </w:tcBorders>
            <w:shd w:val="clear" w:color="auto" w:fill="auto"/>
          </w:tcPr>
          <w:p w:rsidR="00EC4C5A" w:rsidRPr="00642EFB" w:rsidRDefault="00EC4C5A" w:rsidP="00642EFB">
            <w:pPr>
              <w:suppressAutoHyphens w:val="0"/>
              <w:spacing w:before="40" w:after="40" w:line="220" w:lineRule="exact"/>
              <w:rPr>
                <w:sz w:val="18"/>
                <w:szCs w:val="18"/>
                <w:lang w:val="fr-FR"/>
              </w:rPr>
            </w:pPr>
            <w:r w:rsidRPr="00642EFB">
              <w:rPr>
                <w:sz w:val="18"/>
                <w:szCs w:val="18"/>
                <w:lang w:val="fr-FR"/>
              </w:rPr>
              <w:t>2017</w:t>
            </w:r>
          </w:p>
        </w:tc>
        <w:tc>
          <w:tcPr>
            <w:tcW w:w="4382" w:type="dxa"/>
            <w:tcBorders>
              <w:bottom w:val="single" w:sz="12" w:space="0" w:color="auto"/>
            </w:tcBorders>
            <w:shd w:val="clear" w:color="auto" w:fill="auto"/>
            <w:vAlign w:val="bottom"/>
          </w:tcPr>
          <w:p w:rsidR="00EC4C5A" w:rsidRPr="00642EFB" w:rsidRDefault="00EC4C5A" w:rsidP="00642EFB">
            <w:pPr>
              <w:suppressAutoHyphens w:val="0"/>
              <w:spacing w:before="40" w:after="40" w:line="220" w:lineRule="exact"/>
              <w:jc w:val="right"/>
              <w:rPr>
                <w:sz w:val="18"/>
                <w:szCs w:val="18"/>
                <w:lang w:val="fr-FR"/>
              </w:rPr>
            </w:pPr>
            <w:r w:rsidRPr="00642EFB">
              <w:rPr>
                <w:sz w:val="18"/>
                <w:szCs w:val="18"/>
                <w:lang w:val="fr-FR"/>
              </w:rPr>
              <w:t>4 020 millions</w:t>
            </w:r>
          </w:p>
        </w:tc>
      </w:tr>
    </w:tbl>
    <w:p w:rsidR="00EC4C5A" w:rsidRPr="00CC76D1" w:rsidRDefault="00EC4C5A" w:rsidP="00AC64E3">
      <w:pPr>
        <w:pStyle w:val="SingleTxtG"/>
        <w:spacing w:before="240"/>
        <w:rPr>
          <w:lang w:val="fr-FR"/>
        </w:rPr>
      </w:pPr>
      <w:r w:rsidRPr="00CC76D1">
        <w:rPr>
          <w:lang w:val="fr-FR"/>
        </w:rPr>
        <w:t>44.</w:t>
      </w:r>
      <w:r w:rsidRPr="00CC76D1">
        <w:rPr>
          <w:lang w:val="fr-FR"/>
        </w:rPr>
        <w:tab/>
        <w:t>Comme indiqué précédemment, les crédits alloués à l</w:t>
      </w:r>
      <w:r w:rsidR="00474653">
        <w:rPr>
          <w:lang w:val="fr-FR"/>
        </w:rPr>
        <w:t>’</w:t>
      </w:r>
      <w:r w:rsidRPr="00CC76D1">
        <w:rPr>
          <w:lang w:val="fr-FR"/>
        </w:rPr>
        <w:t>amélioration du niveau de vie dans le secteur des plantations ont pratiquement quadruplé en 2017, conformément à l</w:t>
      </w:r>
      <w:r w:rsidR="00474653">
        <w:rPr>
          <w:lang w:val="fr-FR"/>
        </w:rPr>
        <w:t>’</w:t>
      </w:r>
      <w:r w:rsidRPr="00CC76D1">
        <w:rPr>
          <w:lang w:val="fr-FR"/>
        </w:rPr>
        <w:t>engagement du Gouvernement visant à améliorer les conditions de vie des travailleurs des plantations et de leur famille.</w:t>
      </w:r>
    </w:p>
    <w:p w:rsidR="00EC4C5A" w:rsidRPr="00CC76D1" w:rsidRDefault="00EC4C5A" w:rsidP="00642EFB">
      <w:pPr>
        <w:pStyle w:val="H23G"/>
        <w:rPr>
          <w:lang w:val="fr-FR"/>
        </w:rPr>
      </w:pPr>
      <w:r w:rsidRPr="00CC76D1">
        <w:rPr>
          <w:lang w:val="fr-FR"/>
        </w:rPr>
        <w:tab/>
        <w:t>2.7</w:t>
      </w:r>
      <w:r w:rsidRPr="00CC76D1">
        <w:rPr>
          <w:lang w:val="fr-FR"/>
        </w:rPr>
        <w:tab/>
        <w:t>Santé</w:t>
      </w:r>
    </w:p>
    <w:p w:rsidR="00EC4C5A" w:rsidRPr="00CC76D1" w:rsidRDefault="00EC4C5A" w:rsidP="00642EFB">
      <w:pPr>
        <w:pStyle w:val="Bullet1G"/>
        <w:rPr>
          <w:lang w:val="fr-FR"/>
        </w:rPr>
      </w:pPr>
      <w:r w:rsidRPr="00CC76D1">
        <w:rPr>
          <w:lang w:val="fr-FR"/>
        </w:rPr>
        <w:t>Le projet d</w:t>
      </w:r>
      <w:r w:rsidR="00474653">
        <w:rPr>
          <w:lang w:val="fr-FR"/>
        </w:rPr>
        <w:t>’</w:t>
      </w:r>
      <w:r w:rsidRPr="00CC76D1">
        <w:rPr>
          <w:lang w:val="fr-FR"/>
        </w:rPr>
        <w:t>infrastructures de santé dans les plantations (2015-2017) se poursuit et a bénéficié d</w:t>
      </w:r>
      <w:r w:rsidR="00474653">
        <w:rPr>
          <w:lang w:val="fr-FR"/>
        </w:rPr>
        <w:t>’</w:t>
      </w:r>
      <w:r w:rsidRPr="00CC76D1">
        <w:rPr>
          <w:lang w:val="fr-FR"/>
        </w:rPr>
        <w:t>une enveloppe budgétaire pour l</w:t>
      </w:r>
      <w:r w:rsidR="00474653">
        <w:rPr>
          <w:lang w:val="fr-FR"/>
        </w:rPr>
        <w:t>’</w:t>
      </w:r>
      <w:r w:rsidRPr="00CC76D1">
        <w:rPr>
          <w:lang w:val="fr-FR"/>
        </w:rPr>
        <w:t xml:space="preserve">amélioration des hôpitaux des plantations. Cette enveloppe couvre la construction, la réfection, la rénovation et la modification des équipements dans les établissements sanitaires situés à Nuwaraeliya, Badulla, Kandy, Kegalle, Rathnapura, Matale, Matara, </w:t>
      </w:r>
      <w:r w:rsidR="00EA541E">
        <w:rPr>
          <w:lang w:val="fr-FR"/>
        </w:rPr>
        <w:t>Galle, Kaluthara et Monaragala ;</w:t>
      </w:r>
    </w:p>
    <w:p w:rsidR="00EC4C5A" w:rsidRPr="00CC76D1" w:rsidRDefault="00EC4C5A" w:rsidP="00642EFB">
      <w:pPr>
        <w:pStyle w:val="Bullet1G"/>
        <w:rPr>
          <w:lang w:val="fr-FR"/>
        </w:rPr>
      </w:pPr>
      <w:r w:rsidRPr="00CC76D1">
        <w:rPr>
          <w:lang w:val="fr-FR"/>
        </w:rPr>
        <w:t>Afin d</w:t>
      </w:r>
      <w:r w:rsidR="00474653">
        <w:rPr>
          <w:lang w:val="fr-FR"/>
        </w:rPr>
        <w:t>’</w:t>
      </w:r>
      <w:r w:rsidRPr="00CC76D1">
        <w:rPr>
          <w:lang w:val="fr-FR"/>
        </w:rPr>
        <w:t>améliorer les conditions d</w:t>
      </w:r>
      <w:r w:rsidR="00474653">
        <w:rPr>
          <w:lang w:val="fr-FR"/>
        </w:rPr>
        <w:t>’</w:t>
      </w:r>
      <w:r w:rsidRPr="00CC76D1">
        <w:rPr>
          <w:lang w:val="fr-FR"/>
        </w:rPr>
        <w:t>hygiène dans le secteur des plantations, des mesures ont été prises pour construire 2</w:t>
      </w:r>
      <w:r w:rsidR="00112F55">
        <w:rPr>
          <w:lang w:val="fr-FR"/>
        </w:rPr>
        <w:t> </w:t>
      </w:r>
      <w:r w:rsidRPr="00CC76D1">
        <w:rPr>
          <w:lang w:val="fr-FR"/>
        </w:rPr>
        <w:t>522 latri</w:t>
      </w:r>
      <w:r w:rsidR="00EA541E">
        <w:rPr>
          <w:lang w:val="fr-FR"/>
        </w:rPr>
        <w:t>nes au cours de la période 2014</w:t>
      </w:r>
      <w:r w:rsidR="00EA541E">
        <w:rPr>
          <w:lang w:val="fr-FR"/>
        </w:rPr>
        <w:noBreakHyphen/>
        <w:t>2016 ;</w:t>
      </w:r>
    </w:p>
    <w:p w:rsidR="00EC4C5A" w:rsidRPr="00CC76D1" w:rsidRDefault="00EC4C5A" w:rsidP="00FD6119">
      <w:pPr>
        <w:pStyle w:val="Bullet1G"/>
        <w:keepNext/>
        <w:keepLines/>
        <w:rPr>
          <w:lang w:val="fr-FR"/>
        </w:rPr>
      </w:pPr>
      <w:r w:rsidRPr="00CC76D1">
        <w:rPr>
          <w:lang w:val="fr-FR"/>
        </w:rPr>
        <w:lastRenderedPageBreak/>
        <w:t>Le Ministère de la santé a mené divers programmes de promotion dans le but de sensibiliser la communauté des travailleurs des plantations et de renforcer les capacités du personnel médical. Il convient de noter à cet égard les programmes de dépistage du cancer, de prévention du tabagisme, de formation médicale et d</w:t>
      </w:r>
      <w:r w:rsidR="00474653">
        <w:rPr>
          <w:lang w:val="fr-FR"/>
        </w:rPr>
        <w:t>’</w:t>
      </w:r>
      <w:r w:rsidRPr="00CC76D1">
        <w:rPr>
          <w:lang w:val="fr-FR"/>
        </w:rPr>
        <w:t>éducation à la sécurité routière, ainsi que les programmes en tamoul pour le personnel en poste d</w:t>
      </w:r>
      <w:r w:rsidR="00EA541E">
        <w:rPr>
          <w:lang w:val="fr-FR"/>
        </w:rPr>
        <w:t>ans le secteur des plantations ;</w:t>
      </w:r>
    </w:p>
    <w:p w:rsidR="00EC4C5A" w:rsidRPr="00CC76D1" w:rsidRDefault="00EC4C5A" w:rsidP="00642EFB">
      <w:pPr>
        <w:pStyle w:val="Bullet1G"/>
        <w:rPr>
          <w:lang w:val="fr-FR"/>
        </w:rPr>
      </w:pPr>
      <w:r w:rsidRPr="00CC76D1">
        <w:rPr>
          <w:lang w:val="fr-FR"/>
        </w:rPr>
        <w:t>La Commission de contrôle parlementaire a mis en place un sous-comité chargé de suivre et d</w:t>
      </w:r>
      <w:r w:rsidR="00474653">
        <w:rPr>
          <w:lang w:val="fr-FR"/>
        </w:rPr>
        <w:t>’</w:t>
      </w:r>
      <w:r w:rsidRPr="00CC76D1">
        <w:rPr>
          <w:lang w:val="fr-FR"/>
        </w:rPr>
        <w:t>évaluer les améliorations apportées au secteur de la santé dans les communautés rurales et les plantations. Le Ministère de la santé a piloté la mise en œuvre de programmes nationaux de santé dans le secteur des plantations, avec la participation et la coopération multisectorielles des dirigeants politiques et les pl</w:t>
      </w:r>
      <w:r w:rsidR="00EA541E">
        <w:rPr>
          <w:lang w:val="fr-FR"/>
        </w:rPr>
        <w:t>anteurs des régions concernées ;</w:t>
      </w:r>
    </w:p>
    <w:p w:rsidR="00EC4C5A" w:rsidRPr="00CC76D1" w:rsidRDefault="00EC4C5A" w:rsidP="00642EFB">
      <w:pPr>
        <w:pStyle w:val="Bullet1G"/>
        <w:rPr>
          <w:lang w:val="fr-FR"/>
        </w:rPr>
      </w:pPr>
      <w:r w:rsidRPr="00CC76D1">
        <w:rPr>
          <w:lang w:val="fr-FR"/>
        </w:rPr>
        <w:t xml:space="preserve">Le rapport </w:t>
      </w:r>
      <w:r w:rsidR="00642EFB">
        <w:rPr>
          <w:lang w:val="fr-FR"/>
        </w:rPr>
        <w:t>intitulé « </w:t>
      </w:r>
      <w:r w:rsidRPr="00CC76D1">
        <w:rPr>
          <w:lang w:val="fr-FR"/>
        </w:rPr>
        <w:t>Évaluation multisectorielle de la nutrition dans le secteur des plantations de Sri Lanka</w:t>
      </w:r>
      <w:r w:rsidR="00642EFB">
        <w:rPr>
          <w:lang w:val="fr-FR"/>
        </w:rPr>
        <w:t> »</w:t>
      </w:r>
      <w:r w:rsidRPr="00903796">
        <w:rPr>
          <w:rStyle w:val="Appelnotedebasdep"/>
        </w:rPr>
        <w:footnoteReference w:id="10"/>
      </w:r>
      <w:r w:rsidRPr="00CC76D1">
        <w:rPr>
          <w:lang w:val="fr-FR"/>
        </w:rPr>
        <w:t xml:space="preserve">, publié en 2017 en collaboration avec la Banque mondiale, reconnaît les lacunes du système et propose un cadre pour y remédier de manière efficace. </w:t>
      </w:r>
    </w:p>
    <w:p w:rsidR="00EC4C5A" w:rsidRPr="00CC76D1" w:rsidRDefault="00EC4C5A" w:rsidP="00642EFB">
      <w:pPr>
        <w:pStyle w:val="H1G"/>
        <w:rPr>
          <w:lang w:val="fr-FR"/>
        </w:rPr>
      </w:pPr>
      <w:r w:rsidRPr="00CC76D1">
        <w:rPr>
          <w:lang w:val="fr-FR"/>
        </w:rPr>
        <w:tab/>
        <w:t>3.</w:t>
      </w:r>
      <w:r w:rsidRPr="00CC76D1">
        <w:rPr>
          <w:lang w:val="fr-FR"/>
        </w:rPr>
        <w:tab/>
        <w:t>Mesures prises pour remédier au problème de l</w:t>
      </w:r>
      <w:r w:rsidR="00474653">
        <w:rPr>
          <w:lang w:val="fr-FR"/>
        </w:rPr>
        <w:t>’</w:t>
      </w:r>
      <w:r w:rsidRPr="00CC76D1">
        <w:rPr>
          <w:lang w:val="fr-FR"/>
        </w:rPr>
        <w:t>apatridie et à l</w:t>
      </w:r>
      <w:r w:rsidR="00474653">
        <w:rPr>
          <w:lang w:val="fr-FR"/>
        </w:rPr>
        <w:t>’</w:t>
      </w:r>
      <w:r w:rsidRPr="00CC76D1">
        <w:rPr>
          <w:lang w:val="fr-FR"/>
        </w:rPr>
        <w:t>absence d</w:t>
      </w:r>
      <w:r w:rsidR="00474653">
        <w:rPr>
          <w:lang w:val="fr-FR"/>
        </w:rPr>
        <w:t>’</w:t>
      </w:r>
      <w:r w:rsidRPr="00CC76D1">
        <w:rPr>
          <w:lang w:val="fr-FR"/>
        </w:rPr>
        <w:t>acte</w:t>
      </w:r>
      <w:r w:rsidR="00642EFB">
        <w:rPr>
          <w:lang w:val="fr-FR"/>
        </w:rPr>
        <w:t>s de naissance pour les Tamouls</w:t>
      </w:r>
    </w:p>
    <w:p w:rsidR="00EC4C5A" w:rsidRPr="00CC76D1" w:rsidRDefault="00EC4C5A" w:rsidP="00642EFB">
      <w:pPr>
        <w:pStyle w:val="H23G"/>
        <w:rPr>
          <w:lang w:val="fr-FR"/>
        </w:rPr>
      </w:pPr>
      <w:r w:rsidRPr="00CC76D1">
        <w:rPr>
          <w:lang w:val="fr-FR"/>
        </w:rPr>
        <w:tab/>
        <w:t>3.1</w:t>
      </w:r>
      <w:r w:rsidRPr="00CC76D1">
        <w:rPr>
          <w:lang w:val="fr-FR"/>
        </w:rPr>
        <w:tab/>
        <w:t>Apatridie</w:t>
      </w:r>
    </w:p>
    <w:p w:rsidR="00EC4C5A" w:rsidRPr="00CC76D1" w:rsidRDefault="00EC4C5A" w:rsidP="00642EFB">
      <w:pPr>
        <w:pStyle w:val="SingleTxtG"/>
        <w:rPr>
          <w:lang w:val="fr-FR"/>
        </w:rPr>
      </w:pPr>
      <w:r w:rsidRPr="00CC76D1">
        <w:rPr>
          <w:lang w:val="fr-FR"/>
        </w:rPr>
        <w:t>45.</w:t>
      </w:r>
      <w:r w:rsidRPr="00CC76D1">
        <w:rPr>
          <w:lang w:val="fr-FR"/>
        </w:rPr>
        <w:tab/>
        <w:t>Le paragraphe premier de l</w:t>
      </w:r>
      <w:r w:rsidR="00474653">
        <w:rPr>
          <w:lang w:val="fr-FR"/>
        </w:rPr>
        <w:t>’</w:t>
      </w:r>
      <w:r w:rsidRPr="00CC76D1">
        <w:rPr>
          <w:lang w:val="fr-FR"/>
        </w:rPr>
        <w:t>article 26 de la Constitution garantit qu</w:t>
      </w:r>
      <w:r w:rsidR="00474653">
        <w:rPr>
          <w:lang w:val="fr-FR"/>
        </w:rPr>
        <w:t>’</w:t>
      </w:r>
      <w:r w:rsidRPr="00CC76D1">
        <w:rPr>
          <w:lang w:val="fr-FR"/>
        </w:rPr>
        <w:t>en matière de nationalité, il ne peut y avoir qu</w:t>
      </w:r>
      <w:r w:rsidR="00474653">
        <w:rPr>
          <w:lang w:val="fr-FR"/>
        </w:rPr>
        <w:t>’</w:t>
      </w:r>
      <w:r w:rsidRPr="00CC76D1">
        <w:rPr>
          <w:lang w:val="fr-FR"/>
        </w:rPr>
        <w:t>un seul statut, à savoir</w:t>
      </w:r>
      <w:r w:rsidR="00642EFB">
        <w:rPr>
          <w:lang w:val="fr-FR"/>
        </w:rPr>
        <w:t xml:space="preserve"> celui de « ressortissant de Sri </w:t>
      </w:r>
      <w:r w:rsidRPr="00CC76D1">
        <w:rPr>
          <w:lang w:val="fr-FR"/>
        </w:rPr>
        <w:t>Lanka</w:t>
      </w:r>
      <w:r w:rsidR="00642EFB">
        <w:rPr>
          <w:lang w:val="fr-FR"/>
        </w:rPr>
        <w:t> »</w:t>
      </w:r>
      <w:r w:rsidRPr="00CC76D1">
        <w:rPr>
          <w:lang w:val="fr-FR"/>
        </w:rPr>
        <w:t>. Le paragraphe 3 de l</w:t>
      </w:r>
      <w:r w:rsidR="00474653">
        <w:rPr>
          <w:lang w:val="fr-FR"/>
        </w:rPr>
        <w:t>’</w:t>
      </w:r>
      <w:r w:rsidRPr="00CC76D1">
        <w:rPr>
          <w:lang w:val="fr-FR"/>
        </w:rPr>
        <w:t>article 26 précise qu</w:t>
      </w:r>
      <w:r w:rsidR="00474653">
        <w:rPr>
          <w:lang w:val="fr-FR"/>
        </w:rPr>
        <w:t>’</w:t>
      </w:r>
      <w:r w:rsidRPr="00CC76D1">
        <w:rPr>
          <w:lang w:val="fr-FR"/>
        </w:rPr>
        <w:t>aucune distinction ne peut être établie entre les ressortissants du pays, à quelque fin que ce soit, en fonction du mode d</w:t>
      </w:r>
      <w:r w:rsidR="00474653">
        <w:rPr>
          <w:lang w:val="fr-FR"/>
        </w:rPr>
        <w:t>’</w:t>
      </w:r>
      <w:r w:rsidRPr="00CC76D1">
        <w:rPr>
          <w:lang w:val="fr-FR"/>
        </w:rPr>
        <w:t xml:space="preserve">acquisition de la nationalité, que ce soit par filiation ou par naturalisation. </w:t>
      </w:r>
    </w:p>
    <w:p w:rsidR="00EC4C5A" w:rsidRPr="00CC76D1" w:rsidRDefault="00642EFB" w:rsidP="00642EFB">
      <w:pPr>
        <w:pStyle w:val="SingleTxtG"/>
        <w:rPr>
          <w:lang w:val="fr-FR"/>
        </w:rPr>
      </w:pPr>
      <w:r>
        <w:rPr>
          <w:lang w:val="fr-FR"/>
        </w:rPr>
        <w:t>46.</w:t>
      </w:r>
      <w:r>
        <w:rPr>
          <w:lang w:val="fr-FR"/>
        </w:rPr>
        <w:tab/>
        <w:t>La question de l</w:t>
      </w:r>
      <w:r w:rsidR="00474653">
        <w:rPr>
          <w:lang w:val="fr-FR"/>
        </w:rPr>
        <w:t>’</w:t>
      </w:r>
      <w:r>
        <w:rPr>
          <w:lang w:val="fr-FR"/>
        </w:rPr>
        <w:t>« </w:t>
      </w:r>
      <w:r w:rsidR="00EC4C5A" w:rsidRPr="00CC76D1">
        <w:rPr>
          <w:lang w:val="fr-FR"/>
        </w:rPr>
        <w:t>apatridie</w:t>
      </w:r>
      <w:r>
        <w:rPr>
          <w:lang w:val="fr-FR"/>
        </w:rPr>
        <w:t> »</w:t>
      </w:r>
      <w:r w:rsidR="00EC4C5A" w:rsidRPr="00CC76D1">
        <w:rPr>
          <w:lang w:val="fr-FR"/>
        </w:rPr>
        <w:t xml:space="preserve"> s</w:t>
      </w:r>
      <w:r w:rsidR="00474653">
        <w:rPr>
          <w:lang w:val="fr-FR"/>
        </w:rPr>
        <w:t>’</w:t>
      </w:r>
      <w:r w:rsidR="00EC4C5A" w:rsidRPr="00CC76D1">
        <w:rPr>
          <w:lang w:val="fr-FR"/>
        </w:rPr>
        <w:t>est posée dans les premières années aux Tamouls d</w:t>
      </w:r>
      <w:r w:rsidR="00474653">
        <w:rPr>
          <w:lang w:val="fr-FR"/>
        </w:rPr>
        <w:t>’</w:t>
      </w:r>
      <w:r w:rsidR="00EC4C5A" w:rsidRPr="00CC76D1">
        <w:rPr>
          <w:lang w:val="fr-FR"/>
        </w:rPr>
        <w:t xml:space="preserve">origine indienne qui avaient acquis la citoyenneté sri-lankaise grâce aux initiatives juridiques et politiques prises par les gouvernements successifs de Sri Lanka. </w:t>
      </w:r>
    </w:p>
    <w:p w:rsidR="00EC4C5A" w:rsidRPr="00CC76D1" w:rsidRDefault="00EC4C5A" w:rsidP="00642EFB">
      <w:pPr>
        <w:pStyle w:val="SingleTxtG"/>
        <w:rPr>
          <w:lang w:val="fr-FR"/>
        </w:rPr>
      </w:pPr>
      <w:r w:rsidRPr="00CC76D1">
        <w:rPr>
          <w:lang w:val="fr-FR"/>
        </w:rPr>
        <w:t>47.</w:t>
      </w:r>
      <w:r w:rsidRPr="00CC76D1">
        <w:rPr>
          <w:lang w:val="fr-FR"/>
        </w:rPr>
        <w:tab/>
        <w:t xml:space="preserve">La promulgation de la loi </w:t>
      </w:r>
      <w:r w:rsidR="00642EFB" w:rsidRPr="00642EFB">
        <w:rPr>
          <w:rFonts w:eastAsia="MS Mincho"/>
          <w:lang w:val="fr-FR"/>
        </w:rPr>
        <w:t>n</w:t>
      </w:r>
      <w:r w:rsidR="00642EFB" w:rsidRPr="00642EFB">
        <w:rPr>
          <w:rFonts w:eastAsia="MS Mincho"/>
          <w:vertAlign w:val="superscript"/>
          <w:lang w:val="fr-FR"/>
        </w:rPr>
        <w:t>o</w:t>
      </w:r>
      <w:r w:rsidR="00642EFB" w:rsidRPr="00642EFB">
        <w:rPr>
          <w:lang w:val="fr-FR"/>
        </w:rPr>
        <w:t> </w:t>
      </w:r>
      <w:r w:rsidRPr="00CC76D1">
        <w:rPr>
          <w:lang w:val="fr-FR"/>
        </w:rPr>
        <w:t>39 de 1988 relative à</w:t>
      </w:r>
      <w:r w:rsidR="00642EFB">
        <w:rPr>
          <w:lang w:val="fr-FR"/>
        </w:rPr>
        <w:t xml:space="preserve"> l</w:t>
      </w:r>
      <w:r w:rsidR="00474653">
        <w:rPr>
          <w:lang w:val="fr-FR"/>
        </w:rPr>
        <w:t>’</w:t>
      </w:r>
      <w:r w:rsidR="00642EFB">
        <w:rPr>
          <w:lang w:val="fr-FR"/>
        </w:rPr>
        <w:t>octroi de la nationalité sri</w:t>
      </w:r>
      <w:r w:rsidR="00642EFB">
        <w:rPr>
          <w:lang w:val="fr-FR"/>
        </w:rPr>
        <w:noBreakHyphen/>
      </w:r>
      <w:r w:rsidRPr="00CC76D1">
        <w:rPr>
          <w:lang w:val="fr-FR"/>
        </w:rPr>
        <w:t xml:space="preserve">lankaise aux apatrides (dispositions spéciales) et de la loi </w:t>
      </w:r>
      <w:r w:rsidR="00642EFB" w:rsidRPr="00642EFB">
        <w:rPr>
          <w:rFonts w:eastAsia="MS Mincho"/>
          <w:lang w:val="fr-FR"/>
        </w:rPr>
        <w:t>n</w:t>
      </w:r>
      <w:r w:rsidR="00642EFB" w:rsidRPr="00642EFB">
        <w:rPr>
          <w:rFonts w:eastAsia="MS Mincho"/>
          <w:vertAlign w:val="superscript"/>
          <w:lang w:val="fr-FR"/>
        </w:rPr>
        <w:t>o</w:t>
      </w:r>
      <w:r w:rsidR="00642EFB" w:rsidRPr="00642EFB">
        <w:rPr>
          <w:lang w:val="fr-FR"/>
        </w:rPr>
        <w:t> </w:t>
      </w:r>
      <w:r w:rsidRPr="00CC76D1">
        <w:rPr>
          <w:lang w:val="fr-FR"/>
        </w:rPr>
        <w:t>35 de 2003 relative à l</w:t>
      </w:r>
      <w:r w:rsidR="00474653">
        <w:rPr>
          <w:lang w:val="fr-FR"/>
        </w:rPr>
        <w:t>’</w:t>
      </w:r>
      <w:r w:rsidRPr="00CC76D1">
        <w:rPr>
          <w:lang w:val="fr-FR"/>
        </w:rPr>
        <w:t>octroi de la nationalité sri-lankaise aux personnes d</w:t>
      </w:r>
      <w:r w:rsidR="00474653">
        <w:rPr>
          <w:lang w:val="fr-FR"/>
        </w:rPr>
        <w:t>’</w:t>
      </w:r>
      <w:r w:rsidRPr="00CC76D1">
        <w:rPr>
          <w:lang w:val="fr-FR"/>
        </w:rPr>
        <w:t>origine indienne a permis de régler la question de la nationalité des Tamouls d</w:t>
      </w:r>
      <w:r w:rsidR="00474653">
        <w:rPr>
          <w:lang w:val="fr-FR"/>
        </w:rPr>
        <w:t>’</w:t>
      </w:r>
      <w:r w:rsidRPr="00CC76D1">
        <w:rPr>
          <w:lang w:val="fr-FR"/>
        </w:rPr>
        <w:t>origine indienne. En vertu des lois antérieures relatives à la nationalité, il fallait demander l</w:t>
      </w:r>
      <w:r w:rsidR="00474653">
        <w:rPr>
          <w:lang w:val="fr-FR"/>
        </w:rPr>
        <w:t>’</w:t>
      </w:r>
      <w:r w:rsidRPr="00CC76D1">
        <w:rPr>
          <w:lang w:val="fr-FR"/>
        </w:rPr>
        <w:t>acquisition de la nationalité sri-lankaise et celle-ci était accordée conformément à la loi, par naturalis</w:t>
      </w:r>
      <w:r w:rsidR="00766BC3">
        <w:rPr>
          <w:lang w:val="fr-FR"/>
        </w:rPr>
        <w:t>ation. La procédure était complè</w:t>
      </w:r>
      <w:r w:rsidRPr="00CC76D1">
        <w:rPr>
          <w:lang w:val="fr-FR"/>
        </w:rPr>
        <w:t>tement différente de celle prévue par les deux loi</w:t>
      </w:r>
      <w:r w:rsidR="00642EFB">
        <w:rPr>
          <w:lang w:val="fr-FR"/>
        </w:rPr>
        <w:t>s précitées. La</w:t>
      </w:r>
      <w:r w:rsidR="00A754D7">
        <w:rPr>
          <w:lang w:val="fr-FR"/>
        </w:rPr>
        <w:t xml:space="preserve"> nationalité sri</w:t>
      </w:r>
      <w:r w:rsidR="00A754D7">
        <w:rPr>
          <w:lang w:val="fr-FR"/>
        </w:rPr>
        <w:noBreakHyphen/>
      </w:r>
      <w:r w:rsidRPr="00CC76D1">
        <w:rPr>
          <w:lang w:val="fr-FR"/>
        </w:rPr>
        <w:t>lankaise a été conférée à toutes les personnes d</w:t>
      </w:r>
      <w:r w:rsidR="00474653">
        <w:rPr>
          <w:lang w:val="fr-FR"/>
        </w:rPr>
        <w:t>’</w:t>
      </w:r>
      <w:r w:rsidRPr="00CC76D1">
        <w:rPr>
          <w:lang w:val="fr-FR"/>
        </w:rPr>
        <w:t>origine indienne qui ne l</w:t>
      </w:r>
      <w:r w:rsidR="00474653">
        <w:rPr>
          <w:lang w:val="fr-FR"/>
        </w:rPr>
        <w:t>’</w:t>
      </w:r>
      <w:r w:rsidRPr="00CC76D1">
        <w:rPr>
          <w:lang w:val="fr-FR"/>
        </w:rPr>
        <w:t>avaient pas obtenue en vertu des textes de lois antérieurs. Ces personne</w:t>
      </w:r>
      <w:r w:rsidR="00642EFB">
        <w:rPr>
          <w:lang w:val="fr-FR"/>
        </w:rPr>
        <w:t>s ont obtenu la nationalité sri</w:t>
      </w:r>
      <w:r w:rsidR="00642EFB">
        <w:rPr>
          <w:lang w:val="fr-FR"/>
        </w:rPr>
        <w:noBreakHyphen/>
      </w:r>
      <w:r w:rsidRPr="00CC76D1">
        <w:rPr>
          <w:lang w:val="fr-FR"/>
        </w:rPr>
        <w:t>lankaise sans avoir à en faire la demande et sans efforts particuliers. En outre, il n</w:t>
      </w:r>
      <w:r w:rsidR="00474653">
        <w:rPr>
          <w:lang w:val="fr-FR"/>
        </w:rPr>
        <w:t>’</w:t>
      </w:r>
      <w:r w:rsidRPr="00CC76D1">
        <w:rPr>
          <w:lang w:val="fr-FR"/>
        </w:rPr>
        <w:t>est pas nécessaire de posséder un certificat de citoyenneté pour prouver sa nationalité. En vertu de l</w:t>
      </w:r>
      <w:r w:rsidR="00474653">
        <w:rPr>
          <w:lang w:val="fr-FR"/>
        </w:rPr>
        <w:t>’</w:t>
      </w:r>
      <w:r w:rsidRPr="00CC76D1">
        <w:rPr>
          <w:lang w:val="fr-FR"/>
        </w:rPr>
        <w:t>article 4 de ces deux lois, une déclaration écrite sous serment suffit pour prouver sa nationalité, à quelque fin que ce soit. Les questions relatives à l</w:t>
      </w:r>
      <w:r w:rsidR="00474653">
        <w:rPr>
          <w:lang w:val="fr-FR"/>
        </w:rPr>
        <w:t>’</w:t>
      </w:r>
      <w:r w:rsidRPr="00CC76D1">
        <w:rPr>
          <w:lang w:val="fr-FR"/>
        </w:rPr>
        <w:t>acquisition de la nationalité ayant été réglées, rien n</w:t>
      </w:r>
      <w:r w:rsidR="00474653">
        <w:rPr>
          <w:lang w:val="fr-FR"/>
        </w:rPr>
        <w:t>’</w:t>
      </w:r>
      <w:r w:rsidRPr="00CC76D1">
        <w:rPr>
          <w:lang w:val="fr-FR"/>
        </w:rPr>
        <w:t>empêche les Tamouls d</w:t>
      </w:r>
      <w:r w:rsidR="00474653">
        <w:rPr>
          <w:lang w:val="fr-FR"/>
        </w:rPr>
        <w:t>’</w:t>
      </w:r>
      <w:r w:rsidRPr="00CC76D1">
        <w:rPr>
          <w:lang w:val="fr-FR"/>
        </w:rPr>
        <w:t>origine indienne d</w:t>
      </w:r>
      <w:r w:rsidR="00474653">
        <w:rPr>
          <w:lang w:val="fr-FR"/>
        </w:rPr>
        <w:t>’</w:t>
      </w:r>
      <w:r w:rsidRPr="00CC76D1">
        <w:rPr>
          <w:lang w:val="fr-FR"/>
        </w:rPr>
        <w:t>obtenir une carte d</w:t>
      </w:r>
      <w:r w:rsidR="00474653">
        <w:rPr>
          <w:lang w:val="fr-FR"/>
        </w:rPr>
        <w:t>’</w:t>
      </w:r>
      <w:r w:rsidRPr="00CC76D1">
        <w:rPr>
          <w:lang w:val="fr-FR"/>
        </w:rPr>
        <w:t>identité nationale.</w:t>
      </w:r>
    </w:p>
    <w:p w:rsidR="00EC4C5A" w:rsidRPr="00CC76D1" w:rsidRDefault="00EC4C5A" w:rsidP="00642EFB">
      <w:pPr>
        <w:pStyle w:val="SingleTxtG"/>
        <w:rPr>
          <w:lang w:val="fr-FR"/>
        </w:rPr>
      </w:pPr>
      <w:r w:rsidRPr="00CC76D1">
        <w:rPr>
          <w:lang w:val="fr-FR"/>
        </w:rPr>
        <w:t>48.</w:t>
      </w:r>
      <w:r w:rsidRPr="00CC76D1">
        <w:rPr>
          <w:lang w:val="fr-FR"/>
        </w:rPr>
        <w:tab/>
        <w:t>De ce fait, le Haut-Commissariat des Nations Unies pour les réfugiés (HCR) a cité Sri Lanka comme un exemple de bo</w:t>
      </w:r>
      <w:r w:rsidR="00642EFB">
        <w:rPr>
          <w:lang w:val="fr-FR"/>
        </w:rPr>
        <w:t>nnes pratiques, soulignant que « </w:t>
      </w:r>
      <w:r w:rsidRPr="00CC76D1">
        <w:rPr>
          <w:lang w:val="fr-FR"/>
        </w:rPr>
        <w:t>Sri Lanka présente l</w:t>
      </w:r>
      <w:r w:rsidR="00474653">
        <w:rPr>
          <w:lang w:val="fr-FR"/>
        </w:rPr>
        <w:t>’</w:t>
      </w:r>
      <w:r w:rsidRPr="00CC76D1">
        <w:rPr>
          <w:lang w:val="fr-FR"/>
        </w:rPr>
        <w:t>un des meilleurs exemples de la manière dont les réformes juridiques et politiques, associées à une campagne en faveur de la nationalité, peuvent résoudre rapidement une situation d</w:t>
      </w:r>
      <w:r w:rsidR="00474653">
        <w:rPr>
          <w:lang w:val="fr-FR"/>
        </w:rPr>
        <w:t>’</w:t>
      </w:r>
      <w:r w:rsidRPr="00CC76D1">
        <w:rPr>
          <w:lang w:val="fr-FR"/>
        </w:rPr>
        <w:t>apatridie qui durait depuis longtemps</w:t>
      </w:r>
      <w:r w:rsidR="00642EFB">
        <w:rPr>
          <w:lang w:val="fr-FR"/>
        </w:rPr>
        <w:t> »</w:t>
      </w:r>
      <w:r w:rsidRPr="00903796">
        <w:rPr>
          <w:rStyle w:val="Appelnotedebasdep"/>
        </w:rPr>
        <w:footnoteReference w:id="11"/>
      </w:r>
      <w:r w:rsidRPr="00CC76D1">
        <w:rPr>
          <w:lang w:val="fr-FR"/>
        </w:rPr>
        <w:t xml:space="preserve">. </w:t>
      </w:r>
    </w:p>
    <w:p w:rsidR="00EC4C5A" w:rsidRPr="00CC76D1" w:rsidRDefault="00EC4C5A" w:rsidP="00642EFB">
      <w:pPr>
        <w:pStyle w:val="H23G"/>
        <w:rPr>
          <w:lang w:val="fr-FR"/>
        </w:rPr>
      </w:pPr>
      <w:r w:rsidRPr="00CC76D1">
        <w:rPr>
          <w:lang w:val="fr-FR"/>
        </w:rPr>
        <w:lastRenderedPageBreak/>
        <w:tab/>
        <w:t>3.2</w:t>
      </w:r>
      <w:r w:rsidRPr="00CC76D1">
        <w:rPr>
          <w:lang w:val="fr-FR"/>
        </w:rPr>
        <w:tab/>
        <w:t>Certificats de naissance</w:t>
      </w:r>
    </w:p>
    <w:p w:rsidR="00EC4C5A" w:rsidRPr="00CC76D1" w:rsidRDefault="00EC4C5A" w:rsidP="00642EFB">
      <w:pPr>
        <w:pStyle w:val="SingleTxtG"/>
        <w:rPr>
          <w:lang w:val="fr-FR"/>
        </w:rPr>
      </w:pPr>
      <w:r w:rsidRPr="00CC76D1">
        <w:rPr>
          <w:lang w:val="fr-FR"/>
        </w:rPr>
        <w:t>49.</w:t>
      </w:r>
      <w:r w:rsidRPr="00CC76D1">
        <w:rPr>
          <w:lang w:val="fr-FR"/>
        </w:rPr>
        <w:tab/>
        <w:t>Quiconque ne dispose pas de preuves satisfaisantes pour établir sa date de naiss</w:t>
      </w:r>
      <w:r w:rsidR="00C61765">
        <w:rPr>
          <w:lang w:val="fr-FR"/>
        </w:rPr>
        <w:t>ance, peut se voir délivrer un « </w:t>
      </w:r>
      <w:r w:rsidRPr="00CC76D1">
        <w:rPr>
          <w:lang w:val="fr-FR"/>
        </w:rPr>
        <w:t>certificat d</w:t>
      </w:r>
      <w:r w:rsidR="00474653">
        <w:rPr>
          <w:lang w:val="fr-FR"/>
        </w:rPr>
        <w:t>’</w:t>
      </w:r>
      <w:r w:rsidR="00C61765">
        <w:rPr>
          <w:lang w:val="fr-FR"/>
        </w:rPr>
        <w:t>âge probable »</w:t>
      </w:r>
      <w:r w:rsidRPr="00CC76D1">
        <w:rPr>
          <w:lang w:val="fr-FR"/>
        </w:rPr>
        <w:t xml:space="preserve"> afin de faciliter ses démarches en matière d</w:t>
      </w:r>
      <w:r w:rsidR="00474653">
        <w:rPr>
          <w:lang w:val="fr-FR"/>
        </w:rPr>
        <w:t>’</w:t>
      </w:r>
      <w:r w:rsidRPr="00CC76D1">
        <w:rPr>
          <w:lang w:val="fr-FR"/>
        </w:rPr>
        <w:t>éducation et d</w:t>
      </w:r>
      <w:r w:rsidR="00474653">
        <w:rPr>
          <w:lang w:val="fr-FR"/>
        </w:rPr>
        <w:t>’</w:t>
      </w:r>
      <w:r w:rsidRPr="00CC76D1">
        <w:rPr>
          <w:lang w:val="fr-FR"/>
        </w:rPr>
        <w:t>emploi. Le Haut-Commissariat adjoint de Sri Lanka au Tamil Nadu et le Haut-Commissariat de Sri Lanka à Chennai offrent des services d</w:t>
      </w:r>
      <w:r w:rsidR="00474653">
        <w:rPr>
          <w:lang w:val="fr-FR"/>
        </w:rPr>
        <w:t>’</w:t>
      </w:r>
      <w:r w:rsidRPr="00CC76D1">
        <w:rPr>
          <w:lang w:val="fr-FR"/>
        </w:rPr>
        <w:t xml:space="preserve">enregistrement des naissances pour les enfants nés en Inde de parents sri-lankais ayant quitté le pays pendant le conflit. Les requérants ont la possibilité de faire enregistrer les naissances en cinghalais ou en tamoul. </w:t>
      </w:r>
    </w:p>
    <w:p w:rsidR="00EC4C5A" w:rsidRPr="00CC76D1" w:rsidRDefault="00EC4C5A" w:rsidP="00642EFB">
      <w:pPr>
        <w:pStyle w:val="H23G"/>
        <w:rPr>
          <w:lang w:val="fr-FR"/>
        </w:rPr>
      </w:pPr>
      <w:r w:rsidRPr="00CC76D1">
        <w:rPr>
          <w:lang w:val="fr-FR"/>
        </w:rPr>
        <w:tab/>
        <w:t>3.3</w:t>
      </w:r>
      <w:r w:rsidRPr="00CC76D1">
        <w:rPr>
          <w:lang w:val="fr-FR"/>
        </w:rPr>
        <w:tab/>
        <w:t>Fourniture de documents d</w:t>
      </w:r>
      <w:r w:rsidR="00474653">
        <w:rPr>
          <w:lang w:val="fr-FR"/>
        </w:rPr>
        <w:t>’</w:t>
      </w:r>
      <w:r w:rsidRPr="00CC76D1">
        <w:rPr>
          <w:lang w:val="fr-FR"/>
        </w:rPr>
        <w:t>état civil aux com</w:t>
      </w:r>
      <w:r w:rsidR="00642EFB">
        <w:rPr>
          <w:lang w:val="fr-FR"/>
        </w:rPr>
        <w:t>munautés touchées par la guerre</w:t>
      </w:r>
      <w:r w:rsidR="00642EFB">
        <w:rPr>
          <w:lang w:val="fr-FR"/>
        </w:rPr>
        <w:br/>
      </w:r>
      <w:r w:rsidRPr="00CC76D1">
        <w:rPr>
          <w:lang w:val="fr-FR"/>
        </w:rPr>
        <w:t>et à la population des plantations</w:t>
      </w:r>
    </w:p>
    <w:p w:rsidR="00EC4C5A" w:rsidRPr="00CC76D1" w:rsidRDefault="00EC4C5A" w:rsidP="00642EFB">
      <w:pPr>
        <w:pStyle w:val="SingleTxtG"/>
        <w:rPr>
          <w:lang w:val="fr-FR"/>
        </w:rPr>
      </w:pPr>
      <w:r w:rsidRPr="00CC76D1">
        <w:rPr>
          <w:lang w:val="fr-FR"/>
        </w:rPr>
        <w:t>50.</w:t>
      </w:r>
      <w:r w:rsidRPr="00CC76D1">
        <w:rPr>
          <w:lang w:val="fr-FR"/>
        </w:rPr>
        <w:tab/>
        <w:t>Immédiatement après la fin du conflit, le Gouvernement a lancé, en collaboration avec le PNUD, un projet spécial (projet d</w:t>
      </w:r>
      <w:r w:rsidR="00474653">
        <w:rPr>
          <w:lang w:val="fr-FR"/>
        </w:rPr>
        <w:t>’</w:t>
      </w:r>
      <w:r w:rsidRPr="00CC76D1">
        <w:rPr>
          <w:lang w:val="fr-FR"/>
        </w:rPr>
        <w:t>égalité d</w:t>
      </w:r>
      <w:r w:rsidR="00474653">
        <w:rPr>
          <w:lang w:val="fr-FR"/>
        </w:rPr>
        <w:t>’</w:t>
      </w:r>
      <w:r w:rsidRPr="00CC76D1">
        <w:rPr>
          <w:lang w:val="fr-FR"/>
        </w:rPr>
        <w:t>accès à l</w:t>
      </w:r>
      <w:r w:rsidR="00642EFB">
        <w:rPr>
          <w:lang w:val="fr-FR"/>
        </w:rPr>
        <w:t>a justice) pour la période 2008</w:t>
      </w:r>
      <w:r w:rsidR="00642EFB">
        <w:rPr>
          <w:lang w:val="fr-FR"/>
        </w:rPr>
        <w:noBreakHyphen/>
      </w:r>
      <w:r w:rsidRPr="00CC76D1">
        <w:rPr>
          <w:lang w:val="fr-FR"/>
        </w:rPr>
        <w:t>2011, visant à fournir des documents d</w:t>
      </w:r>
      <w:r w:rsidR="00474653">
        <w:rPr>
          <w:lang w:val="fr-FR"/>
        </w:rPr>
        <w:t>’</w:t>
      </w:r>
      <w:r w:rsidRPr="00CC76D1">
        <w:rPr>
          <w:lang w:val="fr-FR"/>
        </w:rPr>
        <w:t>état civil essentiels, y compris des certificats de naissance, aux personnes touchées par la guerre, ainsi qu</w:t>
      </w:r>
      <w:r w:rsidR="00474653">
        <w:rPr>
          <w:lang w:val="fr-FR"/>
        </w:rPr>
        <w:t>’</w:t>
      </w:r>
      <w:r w:rsidRPr="00CC76D1">
        <w:rPr>
          <w:lang w:val="fr-FR"/>
        </w:rPr>
        <w:t>à la population du secteur des plantations. Dans le cadre de ce programme, un total de 112 033 personnes défavorisées des régions septentrionales et orientales du pays et du secteur des plantations ont pu obtenir des documents d</w:t>
      </w:r>
      <w:r w:rsidR="00474653">
        <w:rPr>
          <w:lang w:val="fr-FR"/>
        </w:rPr>
        <w:t>’</w:t>
      </w:r>
      <w:r w:rsidRPr="00CC76D1">
        <w:rPr>
          <w:lang w:val="fr-FR"/>
        </w:rPr>
        <w:t>état civil essentiels (certificats de naissance, de mariage et de décès, carte nationale d</w:t>
      </w:r>
      <w:r w:rsidR="00474653">
        <w:rPr>
          <w:lang w:val="fr-FR"/>
        </w:rPr>
        <w:t>’</w:t>
      </w:r>
      <w:r w:rsidRPr="00CC76D1">
        <w:rPr>
          <w:lang w:val="fr-FR"/>
        </w:rPr>
        <w:t>identité) grâce à des centres mobiles leur permettant d</w:t>
      </w:r>
      <w:r w:rsidR="00474653">
        <w:rPr>
          <w:lang w:val="fr-FR"/>
        </w:rPr>
        <w:t>’</w:t>
      </w:r>
      <w:r w:rsidRPr="00CC76D1">
        <w:rPr>
          <w:lang w:val="fr-FR"/>
        </w:rPr>
        <w:t>avoir accès aux services d</w:t>
      </w:r>
      <w:r w:rsidR="00474653">
        <w:rPr>
          <w:lang w:val="fr-FR"/>
        </w:rPr>
        <w:t>’</w:t>
      </w:r>
      <w:r w:rsidRPr="00CC76D1">
        <w:rPr>
          <w:lang w:val="fr-FR"/>
        </w:rPr>
        <w:t>état civil, d</w:t>
      </w:r>
      <w:r w:rsidR="00474653">
        <w:rPr>
          <w:lang w:val="fr-FR"/>
        </w:rPr>
        <w:t>’</w:t>
      </w:r>
      <w:r w:rsidRPr="00CC76D1">
        <w:rPr>
          <w:lang w:val="fr-FR"/>
        </w:rPr>
        <w:t>ouvrir des comptes en banque et de faire valoir leurs titres de propriété ou leurs droits successoraux, etc. L</w:t>
      </w:r>
      <w:r w:rsidR="00474653">
        <w:rPr>
          <w:lang w:val="fr-FR"/>
        </w:rPr>
        <w:t>’</w:t>
      </w:r>
      <w:r w:rsidRPr="00CC76D1">
        <w:rPr>
          <w:lang w:val="fr-FR"/>
        </w:rPr>
        <w:t>octroi de la nationalité sri-lankaise aux rapatriés d</w:t>
      </w:r>
      <w:r w:rsidR="00474653">
        <w:rPr>
          <w:lang w:val="fr-FR"/>
        </w:rPr>
        <w:t>’</w:t>
      </w:r>
      <w:r w:rsidRPr="00CC76D1">
        <w:rPr>
          <w:lang w:val="fr-FR"/>
        </w:rPr>
        <w:t>Inde de moins de 21 ans leur a conféré les mêmes droits que les autres citoyens sri-lankais. Plus de 100 centres mobiles ont été déployés. Une description détaillée des mesures prises pour assurer l</w:t>
      </w:r>
      <w:r w:rsidR="00474653">
        <w:rPr>
          <w:lang w:val="fr-FR"/>
        </w:rPr>
        <w:t>’</w:t>
      </w:r>
      <w:r w:rsidRPr="00CC76D1">
        <w:rPr>
          <w:lang w:val="fr-FR"/>
        </w:rPr>
        <w:t>accès aux documents d</w:t>
      </w:r>
      <w:r w:rsidR="00474653">
        <w:rPr>
          <w:lang w:val="fr-FR"/>
        </w:rPr>
        <w:t>’</w:t>
      </w:r>
      <w:r w:rsidRPr="00CC76D1">
        <w:rPr>
          <w:lang w:val="fr-FR"/>
        </w:rPr>
        <w:t>état civil et mettre en place un mécanisme national durable à cet égard figure à l</w:t>
      </w:r>
      <w:r w:rsidR="00474653">
        <w:rPr>
          <w:lang w:val="fr-FR"/>
        </w:rPr>
        <w:t>’</w:t>
      </w:r>
      <w:r w:rsidRPr="008232EC">
        <w:rPr>
          <w:b/>
          <w:lang w:val="fr-FR"/>
        </w:rPr>
        <w:t>annexe II</w:t>
      </w:r>
      <w:r w:rsidRPr="00CC76D1">
        <w:rPr>
          <w:lang w:val="fr-FR"/>
        </w:rPr>
        <w:t>.</w:t>
      </w:r>
    </w:p>
    <w:p w:rsidR="00EC4C5A" w:rsidRPr="00CC76D1" w:rsidRDefault="00EC4C5A" w:rsidP="00642EFB">
      <w:pPr>
        <w:pStyle w:val="H1G"/>
        <w:rPr>
          <w:lang w:val="fr-FR"/>
        </w:rPr>
      </w:pPr>
      <w:r w:rsidRPr="00CC76D1">
        <w:rPr>
          <w:lang w:val="fr-FR"/>
        </w:rPr>
        <w:tab/>
        <w:t>4.</w:t>
      </w:r>
      <w:r w:rsidRPr="00CC76D1">
        <w:rPr>
          <w:lang w:val="fr-FR"/>
        </w:rPr>
        <w:tab/>
        <w:t>Non-discrimination à l</w:t>
      </w:r>
      <w:r w:rsidR="00474653">
        <w:rPr>
          <w:lang w:val="fr-FR"/>
        </w:rPr>
        <w:t>’</w:t>
      </w:r>
      <w:r w:rsidRPr="00CC76D1">
        <w:rPr>
          <w:lang w:val="fr-FR"/>
        </w:rPr>
        <w:t>égard des lesbi</w:t>
      </w:r>
      <w:r w:rsidR="00642EFB">
        <w:rPr>
          <w:lang w:val="fr-FR"/>
        </w:rPr>
        <w:t>ennes, des gays, des bisexuels,</w:t>
      </w:r>
      <w:r w:rsidR="00642EFB">
        <w:rPr>
          <w:lang w:val="fr-FR"/>
        </w:rPr>
        <w:br/>
      </w:r>
      <w:r w:rsidRPr="00CC76D1">
        <w:rPr>
          <w:lang w:val="fr-FR"/>
        </w:rPr>
        <w:t xml:space="preserve">des transgenres et des intersexués </w:t>
      </w:r>
    </w:p>
    <w:p w:rsidR="00EC4C5A" w:rsidRPr="00CC76D1" w:rsidRDefault="00EC4C5A" w:rsidP="00642EFB">
      <w:pPr>
        <w:pStyle w:val="SingleTxtG"/>
        <w:rPr>
          <w:lang w:val="fr-FR"/>
        </w:rPr>
      </w:pPr>
      <w:r w:rsidRPr="00CC76D1">
        <w:rPr>
          <w:lang w:val="fr-FR"/>
        </w:rPr>
        <w:t>51.</w:t>
      </w:r>
      <w:r w:rsidRPr="00CC76D1">
        <w:rPr>
          <w:lang w:val="fr-FR"/>
        </w:rPr>
        <w:tab/>
        <w:t>Le paragraphe 2 de l</w:t>
      </w:r>
      <w:r w:rsidR="00474653">
        <w:rPr>
          <w:lang w:val="fr-FR"/>
        </w:rPr>
        <w:t>’</w:t>
      </w:r>
      <w:r w:rsidRPr="00CC76D1">
        <w:rPr>
          <w:lang w:val="fr-FR"/>
        </w:rPr>
        <w:t>article 12 de la C</w:t>
      </w:r>
      <w:r w:rsidR="00885CA3">
        <w:rPr>
          <w:lang w:val="fr-FR"/>
        </w:rPr>
        <w:t>onstitution dispose que « </w:t>
      </w:r>
      <w:r w:rsidR="005A7A44">
        <w:rPr>
          <w:lang w:val="fr-FR"/>
        </w:rPr>
        <w:t>n</w:t>
      </w:r>
      <w:r w:rsidRPr="00CC76D1">
        <w:rPr>
          <w:lang w:val="fr-FR"/>
        </w:rPr>
        <w:t>ul ne peut faire l</w:t>
      </w:r>
      <w:r w:rsidR="00474653">
        <w:rPr>
          <w:lang w:val="fr-FR"/>
        </w:rPr>
        <w:t>’</w:t>
      </w:r>
      <w:r w:rsidRPr="00CC76D1">
        <w:rPr>
          <w:lang w:val="fr-FR"/>
        </w:rPr>
        <w:t>objet de discrimination fondée sur la race, la religion, la langue, la caste, le sexe, l</w:t>
      </w:r>
      <w:r w:rsidR="00474653">
        <w:rPr>
          <w:lang w:val="fr-FR"/>
        </w:rPr>
        <w:t>’</w:t>
      </w:r>
      <w:r w:rsidRPr="00CC76D1">
        <w:rPr>
          <w:lang w:val="fr-FR"/>
        </w:rPr>
        <w:t>opinion politique, le lieu de naissance</w:t>
      </w:r>
      <w:r w:rsidR="00EA541E">
        <w:rPr>
          <w:lang w:val="fr-FR"/>
        </w:rPr>
        <w:t xml:space="preserve"> ou tout autre motif semblable</w:t>
      </w:r>
      <w:r w:rsidR="00885CA3">
        <w:rPr>
          <w:lang w:val="fr-FR"/>
        </w:rPr>
        <w:t> ».</w:t>
      </w:r>
      <w:r w:rsidRPr="00CC76D1">
        <w:rPr>
          <w:lang w:val="fr-FR"/>
        </w:rPr>
        <w:t xml:space="preserve"> La liste des motifs de discrimination visés dans cet article n</w:t>
      </w:r>
      <w:r w:rsidR="00474653">
        <w:rPr>
          <w:lang w:val="fr-FR"/>
        </w:rPr>
        <w:t>’</w:t>
      </w:r>
      <w:r w:rsidRPr="00CC76D1">
        <w:rPr>
          <w:lang w:val="fr-FR"/>
        </w:rPr>
        <w:t>est manifestement pas exhaustive et peut également englober les différences liées à l</w:t>
      </w:r>
      <w:r w:rsidR="00474653">
        <w:rPr>
          <w:lang w:val="fr-FR"/>
        </w:rPr>
        <w:t>’</w:t>
      </w:r>
      <w:r w:rsidRPr="00CC76D1">
        <w:rPr>
          <w:lang w:val="fr-FR"/>
        </w:rPr>
        <w:t xml:space="preserve">orientation sexuelle. </w:t>
      </w:r>
    </w:p>
    <w:p w:rsidR="00EC4C5A" w:rsidRPr="00CC76D1" w:rsidRDefault="00EC4C5A" w:rsidP="00642EFB">
      <w:pPr>
        <w:pStyle w:val="SingleTxtG"/>
        <w:rPr>
          <w:lang w:val="fr-FR"/>
        </w:rPr>
      </w:pPr>
      <w:r w:rsidRPr="00CC76D1">
        <w:rPr>
          <w:lang w:val="fr-FR"/>
        </w:rPr>
        <w:t>52.</w:t>
      </w:r>
      <w:r w:rsidRPr="00CC76D1">
        <w:rPr>
          <w:lang w:val="fr-FR"/>
        </w:rPr>
        <w:tab/>
        <w:t>Dans le cadre du processus de réforme constitutionnelle en cours, le sous-comité des droits fondamentaux de l</w:t>
      </w:r>
      <w:r w:rsidR="00474653">
        <w:rPr>
          <w:lang w:val="fr-FR"/>
        </w:rPr>
        <w:t>’</w:t>
      </w:r>
      <w:r w:rsidRPr="00CC76D1">
        <w:rPr>
          <w:lang w:val="fr-FR"/>
        </w:rPr>
        <w:t xml:space="preserve">Assemblée constituante a proposé </w:t>
      </w:r>
      <w:r w:rsidR="00C61765">
        <w:rPr>
          <w:lang w:val="fr-FR"/>
        </w:rPr>
        <w:t>de faire figurer explicitement « </w:t>
      </w:r>
      <w:r w:rsidRPr="00CC76D1">
        <w:rPr>
          <w:lang w:val="fr-FR"/>
        </w:rPr>
        <w:t>l</w:t>
      </w:r>
      <w:r w:rsidR="00474653">
        <w:rPr>
          <w:lang w:val="fr-FR"/>
        </w:rPr>
        <w:t>’</w:t>
      </w:r>
      <w:r w:rsidRPr="00CC76D1">
        <w:rPr>
          <w:lang w:val="fr-FR"/>
        </w:rPr>
        <w:t>orientation sexuelle</w:t>
      </w:r>
      <w:r w:rsidR="00C61765">
        <w:rPr>
          <w:lang w:val="fr-FR"/>
        </w:rPr>
        <w:t> »</w:t>
      </w:r>
      <w:r w:rsidRPr="00CC76D1">
        <w:rPr>
          <w:lang w:val="fr-FR"/>
        </w:rPr>
        <w:t xml:space="preserve"> parmi les motifs de discrimination visés, afin que ne subsiste aucun doute sur l</w:t>
      </w:r>
      <w:r w:rsidR="00474653">
        <w:rPr>
          <w:lang w:val="fr-FR"/>
        </w:rPr>
        <w:t>’</w:t>
      </w:r>
      <w:r w:rsidRPr="00CC76D1">
        <w:rPr>
          <w:lang w:val="fr-FR"/>
        </w:rPr>
        <w:t>interdiction de ce type de discrimination en vertu du droit à l</w:t>
      </w:r>
      <w:r w:rsidR="00474653">
        <w:rPr>
          <w:lang w:val="fr-FR"/>
        </w:rPr>
        <w:t>’</w:t>
      </w:r>
      <w:r w:rsidRPr="00CC76D1">
        <w:rPr>
          <w:lang w:val="fr-FR"/>
        </w:rPr>
        <w:t xml:space="preserve">égalité. </w:t>
      </w:r>
    </w:p>
    <w:p w:rsidR="00EC4C5A" w:rsidRPr="00CC76D1" w:rsidRDefault="00EC4C5A" w:rsidP="00642EFB">
      <w:pPr>
        <w:pStyle w:val="SingleTxtG"/>
        <w:rPr>
          <w:lang w:val="fr-FR"/>
        </w:rPr>
      </w:pPr>
      <w:r w:rsidRPr="00CC76D1">
        <w:rPr>
          <w:lang w:val="fr-FR"/>
        </w:rPr>
        <w:t>53.</w:t>
      </w:r>
      <w:r w:rsidRPr="00CC76D1">
        <w:rPr>
          <w:lang w:val="fr-FR"/>
        </w:rPr>
        <w:tab/>
        <w:t>Le libellé proposé par le sous-comité dans son rapport au Comité directeur se lit comme suit</w:t>
      </w:r>
      <w:r w:rsidR="00112F55">
        <w:rPr>
          <w:lang w:val="fr-FR"/>
        </w:rPr>
        <w:t xml:space="preserve"> :</w:t>
      </w:r>
    </w:p>
    <w:p w:rsidR="00EC4C5A" w:rsidRPr="00CC76D1" w:rsidRDefault="00642EFB" w:rsidP="00642EFB">
      <w:pPr>
        <w:pStyle w:val="SingleTxtG"/>
        <w:ind w:left="1701" w:firstLine="567"/>
        <w:rPr>
          <w:lang w:val="fr-FR"/>
        </w:rPr>
      </w:pPr>
      <w:r>
        <w:rPr>
          <w:lang w:val="fr-FR"/>
        </w:rPr>
        <w:t>« </w:t>
      </w:r>
      <w:r w:rsidR="00EC4C5A" w:rsidRPr="008C203F">
        <w:rPr>
          <w:lang w:val="fr-FR"/>
        </w:rPr>
        <w:t>Nul ne peut faire arbitrairement l</w:t>
      </w:r>
      <w:r w:rsidR="00474653" w:rsidRPr="008C203F">
        <w:rPr>
          <w:lang w:val="fr-FR"/>
        </w:rPr>
        <w:t>’</w:t>
      </w:r>
      <w:r w:rsidR="00EC4C5A" w:rsidRPr="008C203F">
        <w:rPr>
          <w:lang w:val="fr-FR"/>
        </w:rPr>
        <w:t>objet d</w:t>
      </w:r>
      <w:r w:rsidR="00474653" w:rsidRPr="008C203F">
        <w:rPr>
          <w:lang w:val="fr-FR"/>
        </w:rPr>
        <w:t>’</w:t>
      </w:r>
      <w:r w:rsidR="00EC4C5A" w:rsidRPr="008C203F">
        <w:rPr>
          <w:lang w:val="fr-FR"/>
        </w:rPr>
        <w:t>une discrimination fondée sur quelque motif que ce soit, y compris la race, le genre, le sexe, l</w:t>
      </w:r>
      <w:r w:rsidR="00474653" w:rsidRPr="008C203F">
        <w:rPr>
          <w:lang w:val="fr-FR"/>
        </w:rPr>
        <w:t>’</w:t>
      </w:r>
      <w:r w:rsidR="00EC4C5A" w:rsidRPr="008C203F">
        <w:rPr>
          <w:lang w:val="fr-FR"/>
        </w:rPr>
        <w:t>orientation sexuelle, l</w:t>
      </w:r>
      <w:r w:rsidR="00474653" w:rsidRPr="008C203F">
        <w:rPr>
          <w:lang w:val="fr-FR"/>
        </w:rPr>
        <w:t>’</w:t>
      </w:r>
      <w:r w:rsidR="00EC4C5A" w:rsidRPr="008C203F">
        <w:rPr>
          <w:lang w:val="fr-FR"/>
        </w:rPr>
        <w:t>identité de genre, la maternité, la situation matrimoniale ou familiale, la caste, l</w:t>
      </w:r>
      <w:r w:rsidR="00474653" w:rsidRPr="008C203F">
        <w:rPr>
          <w:lang w:val="fr-FR"/>
        </w:rPr>
        <w:t>’</w:t>
      </w:r>
      <w:r w:rsidR="00EC4C5A" w:rsidRPr="008C203F">
        <w:rPr>
          <w:lang w:val="fr-FR"/>
        </w:rPr>
        <w:t>origine ethnique ou sociale, l</w:t>
      </w:r>
      <w:r w:rsidR="00474653" w:rsidRPr="008C203F">
        <w:rPr>
          <w:lang w:val="fr-FR"/>
        </w:rPr>
        <w:t>’</w:t>
      </w:r>
      <w:r w:rsidR="00EC4C5A" w:rsidRPr="008C203F">
        <w:rPr>
          <w:lang w:val="fr-FR"/>
        </w:rPr>
        <w:t>âge, le handicap, la religion, les valeurs ou les croyances, les opinions politiques ou autres, la culture, la langue, le lieu de naissance ou de résidence</w:t>
      </w:r>
      <w:r w:rsidRPr="008C203F">
        <w:rPr>
          <w:lang w:val="fr-FR"/>
        </w:rPr>
        <w:t>. </w:t>
      </w:r>
      <w:r>
        <w:rPr>
          <w:lang w:val="fr-FR"/>
        </w:rPr>
        <w:t>».</w:t>
      </w:r>
    </w:p>
    <w:p w:rsidR="00EC4C5A" w:rsidRPr="00CC76D1" w:rsidRDefault="00EC4C5A" w:rsidP="00642EFB">
      <w:pPr>
        <w:pStyle w:val="SingleTxtG"/>
        <w:rPr>
          <w:lang w:val="fr-FR"/>
        </w:rPr>
      </w:pPr>
      <w:r w:rsidRPr="00CC76D1">
        <w:rPr>
          <w:lang w:val="fr-FR"/>
        </w:rPr>
        <w:t>54.</w:t>
      </w:r>
      <w:r w:rsidRPr="00CC76D1">
        <w:rPr>
          <w:lang w:val="fr-FR"/>
        </w:rPr>
        <w:tab/>
        <w:t>Il convient de noter qu</w:t>
      </w:r>
      <w:r w:rsidR="00474653">
        <w:rPr>
          <w:lang w:val="fr-FR"/>
        </w:rPr>
        <w:t>’</w:t>
      </w:r>
      <w:r w:rsidRPr="00CC76D1">
        <w:rPr>
          <w:lang w:val="fr-FR"/>
        </w:rPr>
        <w:t>une telle disposition en faveur de l</w:t>
      </w:r>
      <w:r w:rsidR="00474653">
        <w:rPr>
          <w:lang w:val="fr-FR"/>
        </w:rPr>
        <w:t>’</w:t>
      </w:r>
      <w:r w:rsidRPr="00CC76D1">
        <w:rPr>
          <w:lang w:val="fr-FR"/>
        </w:rPr>
        <w:t>égalité des droits rendrait inopérantes les dispositions discriminatoires du droit pénal qui touchent les lesbiennes, les gays, les bisexuels, les transgenres et les intersexués, dès lors que le contrôle judiciaire des lois après leur promulgation serait prévu dans la nouvelle Constitution, ainsi qu</w:t>
      </w:r>
      <w:r w:rsidR="00474653">
        <w:rPr>
          <w:lang w:val="fr-FR"/>
        </w:rPr>
        <w:t>’</w:t>
      </w:r>
      <w:r w:rsidRPr="00CC76D1">
        <w:rPr>
          <w:lang w:val="fr-FR"/>
        </w:rPr>
        <w:t xml:space="preserve">il est envisagé de le faire. </w:t>
      </w:r>
    </w:p>
    <w:p w:rsidR="00EC4C5A" w:rsidRPr="00CC76D1" w:rsidRDefault="00EC4C5A" w:rsidP="00642EFB">
      <w:pPr>
        <w:pStyle w:val="SingleTxtG"/>
        <w:rPr>
          <w:lang w:val="fr-FR"/>
        </w:rPr>
      </w:pPr>
      <w:r w:rsidRPr="00CC76D1">
        <w:rPr>
          <w:lang w:val="fr-FR"/>
        </w:rPr>
        <w:t>55.</w:t>
      </w:r>
      <w:r w:rsidRPr="00CC76D1">
        <w:rPr>
          <w:lang w:val="fr-FR"/>
        </w:rPr>
        <w:tab/>
        <w:t>Il convient également de noter que le Plan d</w:t>
      </w:r>
      <w:r w:rsidR="00474653">
        <w:rPr>
          <w:lang w:val="fr-FR"/>
        </w:rPr>
        <w:t>’</w:t>
      </w:r>
      <w:r w:rsidRPr="00CC76D1">
        <w:rPr>
          <w:lang w:val="fr-FR"/>
        </w:rPr>
        <w:t>action national en faveur des droits de l</w:t>
      </w:r>
      <w:r w:rsidR="00474653">
        <w:rPr>
          <w:lang w:val="fr-FR"/>
        </w:rPr>
        <w:t>’</w:t>
      </w:r>
      <w:r w:rsidRPr="00CC76D1">
        <w:rPr>
          <w:lang w:val="fr-FR"/>
        </w:rPr>
        <w:t>homme pour la période 2017-2021 que le Gouvernement a adopté en jan</w:t>
      </w:r>
      <w:r w:rsidR="00EA541E">
        <w:rPr>
          <w:lang w:val="fr-FR"/>
        </w:rPr>
        <w:t>vier 2017 recommande également « </w:t>
      </w:r>
      <w:r w:rsidRPr="00CC76D1">
        <w:rPr>
          <w:lang w:val="fr-FR"/>
        </w:rPr>
        <w:t>de revoir les infractions prévues par le Code pénal pour s</w:t>
      </w:r>
      <w:r w:rsidR="00474653">
        <w:rPr>
          <w:lang w:val="fr-FR"/>
        </w:rPr>
        <w:t>’</w:t>
      </w:r>
      <w:r w:rsidRPr="00CC76D1">
        <w:rPr>
          <w:lang w:val="fr-FR"/>
        </w:rPr>
        <w:t xml:space="preserve">assurer </w:t>
      </w:r>
      <w:r w:rsidRPr="00CC76D1">
        <w:rPr>
          <w:lang w:val="fr-FR"/>
        </w:rPr>
        <w:lastRenderedPageBreak/>
        <w:t>qu</w:t>
      </w:r>
      <w:r w:rsidR="00474653">
        <w:rPr>
          <w:lang w:val="fr-FR"/>
        </w:rPr>
        <w:t>’</w:t>
      </w:r>
      <w:r w:rsidRPr="00CC76D1">
        <w:rPr>
          <w:lang w:val="fr-FR"/>
        </w:rPr>
        <w:t>elles sont conformes aux normes internationales des droits de l</w:t>
      </w:r>
      <w:r w:rsidR="00474653">
        <w:rPr>
          <w:lang w:val="fr-FR"/>
        </w:rPr>
        <w:t>’</w:t>
      </w:r>
      <w:r w:rsidRPr="00CC76D1">
        <w:rPr>
          <w:lang w:val="fr-FR"/>
        </w:rPr>
        <w:t>homme et de mettre la législatio</w:t>
      </w:r>
      <w:r w:rsidR="00EA541E">
        <w:rPr>
          <w:lang w:val="fr-FR"/>
        </w:rPr>
        <w:t>n en conformité, le cas échéant »</w:t>
      </w:r>
      <w:r w:rsidRPr="00CC76D1">
        <w:rPr>
          <w:lang w:val="fr-FR"/>
        </w:rPr>
        <w:t>.</w:t>
      </w:r>
    </w:p>
    <w:p w:rsidR="00EC4C5A" w:rsidRPr="00CC76D1" w:rsidRDefault="00EC4C5A" w:rsidP="00885CA3">
      <w:pPr>
        <w:pStyle w:val="H1G"/>
        <w:rPr>
          <w:lang w:val="fr-FR"/>
        </w:rPr>
      </w:pPr>
      <w:r w:rsidRPr="00CC76D1">
        <w:rPr>
          <w:lang w:val="fr-FR"/>
        </w:rPr>
        <w:tab/>
        <w:t>5.</w:t>
      </w:r>
      <w:r w:rsidRPr="00CC76D1">
        <w:rPr>
          <w:lang w:val="fr-FR"/>
        </w:rPr>
        <w:tab/>
        <w:t>Participation de la communaut</w:t>
      </w:r>
      <w:r w:rsidR="00885CA3">
        <w:rPr>
          <w:lang w:val="fr-FR"/>
        </w:rPr>
        <w:t>é adivasi au processus de prise</w:t>
      </w:r>
      <w:r w:rsidR="00885CA3">
        <w:rPr>
          <w:lang w:val="fr-FR"/>
        </w:rPr>
        <w:br/>
      </w:r>
      <w:r w:rsidRPr="00CC76D1">
        <w:rPr>
          <w:lang w:val="fr-FR"/>
        </w:rPr>
        <w:t xml:space="preserve">de décisions qui la concerne </w:t>
      </w:r>
      <w:r w:rsidR="00885CA3">
        <w:rPr>
          <w:lang w:val="fr-FR"/>
        </w:rPr>
        <w:t>et mesures prises pour protéger</w:t>
      </w:r>
      <w:r w:rsidR="00885CA3">
        <w:rPr>
          <w:lang w:val="fr-FR"/>
        </w:rPr>
        <w:br/>
      </w:r>
      <w:r w:rsidRPr="00CC76D1">
        <w:rPr>
          <w:lang w:val="fr-FR"/>
        </w:rPr>
        <w:t>et renforcer cette communauté</w:t>
      </w:r>
    </w:p>
    <w:p w:rsidR="00EC4C5A" w:rsidRPr="00CC76D1" w:rsidRDefault="00EC4C5A" w:rsidP="00885CA3">
      <w:pPr>
        <w:pStyle w:val="SingleTxtG"/>
        <w:rPr>
          <w:lang w:val="fr-FR"/>
        </w:rPr>
      </w:pPr>
      <w:r w:rsidRPr="00CC76D1">
        <w:rPr>
          <w:lang w:val="fr-FR"/>
        </w:rPr>
        <w:t>56.</w:t>
      </w:r>
      <w:r w:rsidRPr="00CC76D1">
        <w:rPr>
          <w:lang w:val="fr-FR"/>
        </w:rPr>
        <w:tab/>
        <w:t>Bien que des populations autochtones vivent dans plusieurs régions différentes du pays, la majorité d</w:t>
      </w:r>
      <w:r w:rsidR="00474653">
        <w:rPr>
          <w:lang w:val="fr-FR"/>
        </w:rPr>
        <w:t>’</w:t>
      </w:r>
      <w:r w:rsidRPr="00CC76D1">
        <w:rPr>
          <w:lang w:val="fr-FR"/>
        </w:rPr>
        <w:t>entre elles sont établies dans les régions de Dambana et de Maduru-Oya. Les institutions gouvernementales font participer la communauté adivasi au processus de prise de décisions qui la concerne et sollicitent son avis pour la mise en œuvre des programmes qui lui sont destinés. Les activités de développement et administratives concernant la communauté adivasi sont menées au niveau des divisions et coordonnées par les comités de coordination divisionnaires qui se réunisse</w:t>
      </w:r>
      <w:r w:rsidR="0064554A">
        <w:rPr>
          <w:lang w:val="fr-FR"/>
        </w:rPr>
        <w:t xml:space="preserve">nt tous les mois. Ces réunions </w:t>
      </w:r>
      <w:r w:rsidRPr="00CC76D1">
        <w:rPr>
          <w:lang w:val="fr-FR"/>
        </w:rPr>
        <w:t xml:space="preserve">ont lieu avec la participation de représentants de la communauté. Les Grama Niladaris (chefs de villages) et les agents de développement, nommés par le secrétariat divisionnaire, assurent également la coordination directe avec la communauté adivasi. Le Ministère des affaires culturelles continue de prendre un certain nombre de mesures pour protéger la culture de tous les groupes religieux et ethniques, ainsi que leurs traditions, conformément aux dispositions relatives à la protection du patrimoine populaire énoncées dans la politique culturelle nationale. </w:t>
      </w:r>
    </w:p>
    <w:p w:rsidR="00EC4C5A" w:rsidRPr="00CC76D1" w:rsidRDefault="00EC4C5A" w:rsidP="00885CA3">
      <w:pPr>
        <w:pStyle w:val="SingleTxtG"/>
        <w:rPr>
          <w:lang w:val="fr-FR"/>
        </w:rPr>
      </w:pPr>
      <w:r w:rsidRPr="00CC76D1">
        <w:rPr>
          <w:lang w:val="fr-FR"/>
        </w:rPr>
        <w:t>57.</w:t>
      </w:r>
      <w:r w:rsidRPr="00CC76D1">
        <w:rPr>
          <w:lang w:val="fr-FR"/>
        </w:rPr>
        <w:tab/>
        <w:t>Quelques-unes des initiatives lancées par le Ministère à la demande de la communauté adivasi afin d</w:t>
      </w:r>
      <w:r w:rsidR="00474653">
        <w:rPr>
          <w:lang w:val="fr-FR"/>
        </w:rPr>
        <w:t>’</w:t>
      </w:r>
      <w:r w:rsidRPr="00CC76D1">
        <w:rPr>
          <w:lang w:val="fr-FR"/>
        </w:rPr>
        <w:t>assurer la protection de son patrimoine sont énumérées ci-après.</w:t>
      </w:r>
    </w:p>
    <w:p w:rsidR="00EC4C5A" w:rsidRPr="00CC76D1" w:rsidRDefault="00EC4C5A" w:rsidP="00885CA3">
      <w:pPr>
        <w:pStyle w:val="Bullet1G"/>
        <w:rPr>
          <w:lang w:val="fr-FR"/>
        </w:rPr>
      </w:pPr>
      <w:r w:rsidRPr="00CC76D1">
        <w:rPr>
          <w:lang w:val="fr-FR"/>
        </w:rPr>
        <w:t>Un centre du patrimoine populaire, où la communauté adivasi peut présenter et faire connaître ses valeurs culturelles traditionnelles</w:t>
      </w:r>
      <w:r w:rsidR="00682BD7">
        <w:rPr>
          <w:lang w:val="fr-FR"/>
        </w:rPr>
        <w:t>, a ouvert ses portes à Dambana ;</w:t>
      </w:r>
    </w:p>
    <w:p w:rsidR="00EC4C5A" w:rsidRPr="00CC76D1" w:rsidRDefault="00EC4C5A" w:rsidP="00885CA3">
      <w:pPr>
        <w:pStyle w:val="Bullet1G"/>
        <w:rPr>
          <w:lang w:val="fr-FR"/>
        </w:rPr>
      </w:pPr>
      <w:r w:rsidRPr="00CC76D1">
        <w:rPr>
          <w:lang w:val="fr-FR"/>
        </w:rPr>
        <w:t>Les bénéfices que dégage le centre sont réinvestis dans la communauté adivasi</w:t>
      </w:r>
      <w:r w:rsidR="00682BD7">
        <w:rPr>
          <w:lang w:val="fr-FR"/>
        </w:rPr>
        <w:t xml:space="preserve"> afin de renforcer son économie ;</w:t>
      </w:r>
    </w:p>
    <w:p w:rsidR="00EC4C5A" w:rsidRPr="00CC76D1" w:rsidRDefault="00EC4C5A" w:rsidP="00885CA3">
      <w:pPr>
        <w:pStyle w:val="Bullet1G"/>
        <w:rPr>
          <w:lang w:val="fr-FR"/>
        </w:rPr>
      </w:pPr>
      <w:r w:rsidRPr="00CC76D1">
        <w:rPr>
          <w:lang w:val="fr-FR"/>
        </w:rPr>
        <w:t>Un nouveau centre du patrimoine populaire est en cours de construction à Henanigala, une région où vivent un grand nombre d</w:t>
      </w:r>
      <w:r w:rsidR="00474653">
        <w:rPr>
          <w:lang w:val="fr-FR"/>
        </w:rPr>
        <w:t>’</w:t>
      </w:r>
      <w:r w:rsidR="00682BD7">
        <w:rPr>
          <w:lang w:val="fr-FR"/>
        </w:rPr>
        <w:t>Adivasis ;</w:t>
      </w:r>
    </w:p>
    <w:p w:rsidR="00EC4C5A" w:rsidRPr="00CC76D1" w:rsidRDefault="00EC4C5A" w:rsidP="00885CA3">
      <w:pPr>
        <w:pStyle w:val="Bullet1G"/>
        <w:rPr>
          <w:lang w:val="fr-FR"/>
        </w:rPr>
      </w:pPr>
      <w:r w:rsidRPr="00CC76D1">
        <w:rPr>
          <w:lang w:val="fr-FR"/>
        </w:rPr>
        <w:t>Des moyens matériels et financiers sont fournis à la communauté adivasi pour la célébration de la Journée interna</w:t>
      </w:r>
      <w:r w:rsidR="00682BD7">
        <w:rPr>
          <w:lang w:val="fr-FR"/>
        </w:rPr>
        <w:t>tionale des peuples autochtones ;</w:t>
      </w:r>
    </w:p>
    <w:p w:rsidR="00EC4C5A" w:rsidRPr="00CC76D1" w:rsidRDefault="00EC4C5A" w:rsidP="00885CA3">
      <w:pPr>
        <w:pStyle w:val="Bullet1G"/>
        <w:rPr>
          <w:lang w:val="fr-FR"/>
        </w:rPr>
      </w:pPr>
      <w:r w:rsidRPr="00CC76D1">
        <w:rPr>
          <w:lang w:val="fr-FR"/>
        </w:rPr>
        <w:t>Différentes initiatives ont été mises en place pour encourager la communauté adivasi à diversifier, si elle le souhaitait, ses sources de subsistance, en plus de ses activités de subsistance traditionnelles. Le Gouvernement lui fournit une aide financière et matérielle pour qu</w:t>
      </w:r>
      <w:r w:rsidR="00474653">
        <w:rPr>
          <w:lang w:val="fr-FR"/>
        </w:rPr>
        <w:t>’</w:t>
      </w:r>
      <w:r w:rsidRPr="00CC76D1">
        <w:rPr>
          <w:lang w:val="fr-FR"/>
        </w:rPr>
        <w:t xml:space="preserve">elle puisse se livrer à des activités </w:t>
      </w:r>
      <w:r w:rsidR="00682BD7">
        <w:rPr>
          <w:lang w:val="fr-FR"/>
        </w:rPr>
        <w:t>agricoles, à la pêche, etc. Les </w:t>
      </w:r>
      <w:r w:rsidRPr="00CC76D1">
        <w:rPr>
          <w:lang w:val="fr-FR"/>
        </w:rPr>
        <w:t>membres de la communauté adivasi sont également encouragés à cultiver des plantes médicinales qui leur sont ensuite achetées par le Départem</w:t>
      </w:r>
      <w:r w:rsidR="00682BD7">
        <w:rPr>
          <w:lang w:val="fr-FR"/>
        </w:rPr>
        <w:t>ent de la médecine ayurvédique ;</w:t>
      </w:r>
    </w:p>
    <w:p w:rsidR="00EC4C5A" w:rsidRPr="00CC76D1" w:rsidRDefault="00EC4C5A" w:rsidP="00885CA3">
      <w:pPr>
        <w:pStyle w:val="Bullet1G"/>
        <w:rPr>
          <w:lang w:val="fr-FR"/>
        </w:rPr>
      </w:pPr>
      <w:r w:rsidRPr="00CC76D1">
        <w:rPr>
          <w:lang w:val="fr-FR"/>
        </w:rPr>
        <w:t>Des aides ont été fournies pour la construction de maisons conformes aux traditions et aspirations de la communauté. Dans le cadre de ce programme, 125 ma</w:t>
      </w:r>
      <w:r w:rsidR="00682BD7">
        <w:rPr>
          <w:lang w:val="fr-FR"/>
        </w:rPr>
        <w:t>isons ont déjà été construites ;</w:t>
      </w:r>
    </w:p>
    <w:p w:rsidR="00EC4C5A" w:rsidRPr="00CC76D1" w:rsidRDefault="00EC4C5A" w:rsidP="00885CA3">
      <w:pPr>
        <w:pStyle w:val="Bullet1G"/>
        <w:rPr>
          <w:lang w:val="fr-FR"/>
        </w:rPr>
      </w:pPr>
      <w:r w:rsidRPr="00CC76D1">
        <w:rPr>
          <w:lang w:val="fr-FR"/>
        </w:rPr>
        <w:t>Le Gouvernement aide les Adivasis à préserver leur patrimoine culturel immatériel et leurs rites traditionnels, en fournissant par exemple l</w:t>
      </w:r>
      <w:r w:rsidR="00474653">
        <w:rPr>
          <w:lang w:val="fr-FR"/>
        </w:rPr>
        <w:t>’</w:t>
      </w:r>
      <w:r w:rsidRPr="00CC76D1">
        <w:rPr>
          <w:lang w:val="fr-FR"/>
        </w:rPr>
        <w:t xml:space="preserve">équipement et les infrastructures nécessaires au rite </w:t>
      </w:r>
      <w:r w:rsidR="00682BD7">
        <w:rPr>
          <w:lang w:val="fr-FR"/>
        </w:rPr>
        <w:t>« </w:t>
      </w:r>
      <w:r w:rsidRPr="00CC76D1">
        <w:rPr>
          <w:lang w:val="fr-FR"/>
        </w:rPr>
        <w:t>HETHMA</w:t>
      </w:r>
      <w:r w:rsidR="00682BD7">
        <w:rPr>
          <w:lang w:val="fr-FR"/>
        </w:rPr>
        <w:t> »</w:t>
      </w:r>
      <w:r w:rsidRPr="00CC76D1">
        <w:rPr>
          <w:lang w:val="fr-FR"/>
        </w:rPr>
        <w:t xml:space="preserve"> afin que cett</w:t>
      </w:r>
      <w:r w:rsidR="00682BD7">
        <w:rPr>
          <w:lang w:val="fr-FR"/>
        </w:rPr>
        <w:t>e tradition puisse se perpétuer ;</w:t>
      </w:r>
    </w:p>
    <w:p w:rsidR="00EC4C5A" w:rsidRPr="00CC76D1" w:rsidRDefault="00EC4C5A" w:rsidP="00543006">
      <w:pPr>
        <w:pStyle w:val="Bullet1G"/>
        <w:keepLines/>
        <w:rPr>
          <w:lang w:val="fr-FR"/>
        </w:rPr>
      </w:pPr>
      <w:r w:rsidRPr="00CC76D1">
        <w:rPr>
          <w:lang w:val="fr-FR"/>
        </w:rPr>
        <w:t>Des mesures ont été prises pour fournir à la communauté adivasi les moyens nécessaires pour protéger ses sources de subsistance. Le Département des forêts et le Département de la faune ont reçu pour instructions de les autoriser à se livrer aux activités qui concourent à leur subsistance.</w:t>
      </w:r>
    </w:p>
    <w:p w:rsidR="00EC4C5A" w:rsidRPr="00CC76D1" w:rsidRDefault="00EC4C5A" w:rsidP="00885CA3">
      <w:pPr>
        <w:pStyle w:val="HChG"/>
        <w:rPr>
          <w:lang w:val="fr-FR"/>
        </w:rPr>
      </w:pPr>
      <w:r w:rsidRPr="00CC76D1">
        <w:rPr>
          <w:lang w:val="fr-FR"/>
        </w:rPr>
        <w:lastRenderedPageBreak/>
        <w:tab/>
      </w:r>
      <w:r w:rsidRPr="00CC76D1">
        <w:rPr>
          <w:lang w:val="fr-FR"/>
        </w:rPr>
        <w:tab/>
        <w:t>Égalité des droits des hommes et des femmes</w:t>
      </w:r>
    </w:p>
    <w:p w:rsidR="00EC4C5A" w:rsidRPr="00CC76D1" w:rsidRDefault="00EC4C5A" w:rsidP="00885CA3">
      <w:pPr>
        <w:pStyle w:val="H1G"/>
        <w:rPr>
          <w:lang w:val="fr-FR"/>
        </w:rPr>
      </w:pPr>
      <w:r w:rsidRPr="00CC76D1">
        <w:rPr>
          <w:lang w:val="fr-FR"/>
        </w:rPr>
        <w:tab/>
        <w:t>6.</w:t>
      </w:r>
      <w:r w:rsidRPr="00CC76D1">
        <w:rPr>
          <w:lang w:val="fr-FR"/>
        </w:rPr>
        <w:tab/>
        <w:t xml:space="preserve">Informations sur la mise en œuvre des </w:t>
      </w:r>
      <w:r w:rsidR="00885CA3">
        <w:rPr>
          <w:lang w:val="fr-FR"/>
        </w:rPr>
        <w:t>activités relatives à l</w:t>
      </w:r>
      <w:r w:rsidR="00474653">
        <w:rPr>
          <w:lang w:val="fr-FR"/>
        </w:rPr>
        <w:t>’</w:t>
      </w:r>
      <w:r w:rsidR="00885CA3">
        <w:rPr>
          <w:lang w:val="fr-FR"/>
        </w:rPr>
        <w:t>égalité</w:t>
      </w:r>
      <w:r w:rsidR="00885CA3">
        <w:rPr>
          <w:lang w:val="fr-FR"/>
        </w:rPr>
        <w:br/>
      </w:r>
      <w:r w:rsidRPr="00CC76D1">
        <w:rPr>
          <w:lang w:val="fr-FR"/>
        </w:rPr>
        <w:t>des droits des hommes et des femmes dans le cadre du Plan d</w:t>
      </w:r>
      <w:r w:rsidR="00474653">
        <w:rPr>
          <w:lang w:val="fr-FR"/>
        </w:rPr>
        <w:t>’</w:t>
      </w:r>
      <w:r w:rsidRPr="00CC76D1">
        <w:rPr>
          <w:lang w:val="fr-FR"/>
        </w:rPr>
        <w:t>action national en faveur des droits de l</w:t>
      </w:r>
      <w:r w:rsidR="00474653">
        <w:rPr>
          <w:lang w:val="fr-FR"/>
        </w:rPr>
        <w:t>’</w:t>
      </w:r>
      <w:r w:rsidRPr="00CC76D1">
        <w:rPr>
          <w:lang w:val="fr-FR"/>
        </w:rPr>
        <w:t xml:space="preserve">homme 2011-2016 </w:t>
      </w:r>
    </w:p>
    <w:p w:rsidR="00EC4C5A" w:rsidRPr="00CC76D1" w:rsidRDefault="00EC4C5A" w:rsidP="00885CA3">
      <w:pPr>
        <w:pStyle w:val="SingleTxtG"/>
        <w:rPr>
          <w:lang w:val="fr-FR"/>
        </w:rPr>
      </w:pPr>
      <w:r w:rsidRPr="00CC76D1">
        <w:rPr>
          <w:lang w:val="fr-FR"/>
        </w:rPr>
        <w:t>58.</w:t>
      </w:r>
      <w:r w:rsidRPr="00CC76D1">
        <w:rPr>
          <w:lang w:val="fr-FR"/>
        </w:rPr>
        <w:tab/>
        <w:t>Un tableau complet fournissant des renseignements à jour sur la mise en œuvre des principales activités relatives à l</w:t>
      </w:r>
      <w:r w:rsidR="00474653">
        <w:rPr>
          <w:lang w:val="fr-FR"/>
        </w:rPr>
        <w:t>’</w:t>
      </w:r>
      <w:r w:rsidRPr="00CC76D1">
        <w:rPr>
          <w:lang w:val="fr-FR"/>
        </w:rPr>
        <w:t>égalité des droits des hommes et des femmes prévues dans le Plan d</w:t>
      </w:r>
      <w:r w:rsidR="00474653">
        <w:rPr>
          <w:lang w:val="fr-FR"/>
        </w:rPr>
        <w:t>’</w:t>
      </w:r>
      <w:r w:rsidRPr="00CC76D1">
        <w:rPr>
          <w:lang w:val="fr-FR"/>
        </w:rPr>
        <w:t>action national en faveur des droits de l</w:t>
      </w:r>
      <w:r w:rsidR="00474653">
        <w:rPr>
          <w:lang w:val="fr-FR"/>
        </w:rPr>
        <w:t>’</w:t>
      </w:r>
      <w:r w:rsidRPr="00CC76D1">
        <w:rPr>
          <w:lang w:val="fr-FR"/>
        </w:rPr>
        <w:t>homme pour la période 2011-2016 figure à l</w:t>
      </w:r>
      <w:r w:rsidR="00474653">
        <w:rPr>
          <w:lang w:val="fr-FR"/>
        </w:rPr>
        <w:t>’</w:t>
      </w:r>
      <w:r w:rsidRPr="00481040">
        <w:rPr>
          <w:b/>
          <w:lang w:val="fr-FR"/>
        </w:rPr>
        <w:t>annexe III</w:t>
      </w:r>
      <w:r w:rsidRPr="00CC76D1">
        <w:rPr>
          <w:lang w:val="fr-FR"/>
        </w:rPr>
        <w:t>.</w:t>
      </w:r>
    </w:p>
    <w:p w:rsidR="00EC4C5A" w:rsidRPr="00CC76D1" w:rsidRDefault="00EC4C5A" w:rsidP="00885CA3">
      <w:pPr>
        <w:pStyle w:val="HChG"/>
        <w:rPr>
          <w:lang w:val="fr-FR"/>
        </w:rPr>
      </w:pPr>
      <w:r w:rsidRPr="00CC76D1">
        <w:rPr>
          <w:lang w:val="fr-FR"/>
        </w:rPr>
        <w:tab/>
        <w:t>III.</w:t>
      </w:r>
      <w:r w:rsidRPr="00CC76D1">
        <w:rPr>
          <w:lang w:val="fr-FR"/>
        </w:rPr>
        <w:tab/>
        <w:t>Points relatifs aux dispositions spécifiques du Pacte</w:t>
      </w:r>
    </w:p>
    <w:p w:rsidR="00EC4C5A" w:rsidRPr="00CC76D1" w:rsidRDefault="00EC4C5A" w:rsidP="00885CA3">
      <w:pPr>
        <w:pStyle w:val="HChG"/>
        <w:rPr>
          <w:lang w:val="fr-FR"/>
        </w:rPr>
      </w:pPr>
      <w:r w:rsidRPr="00CC76D1">
        <w:rPr>
          <w:lang w:val="fr-FR"/>
        </w:rPr>
        <w:tab/>
      </w:r>
      <w:r w:rsidRPr="00CC76D1">
        <w:rPr>
          <w:lang w:val="fr-FR"/>
        </w:rPr>
        <w:tab/>
        <w:t>Droit au travail</w:t>
      </w:r>
    </w:p>
    <w:p w:rsidR="00EC4C5A" w:rsidRPr="00CC76D1" w:rsidRDefault="00EC4C5A" w:rsidP="00885CA3">
      <w:pPr>
        <w:pStyle w:val="H1G"/>
        <w:rPr>
          <w:lang w:val="fr-FR"/>
        </w:rPr>
      </w:pPr>
      <w:r w:rsidRPr="00CC76D1">
        <w:rPr>
          <w:lang w:val="fr-FR"/>
        </w:rPr>
        <w:tab/>
        <w:t>1.</w:t>
      </w:r>
      <w:r w:rsidRPr="00CC76D1">
        <w:rPr>
          <w:lang w:val="fr-FR"/>
        </w:rPr>
        <w:tab/>
        <w:t>Effets des mesures prises pour</w:t>
      </w:r>
      <w:r w:rsidR="00885CA3">
        <w:rPr>
          <w:lang w:val="fr-FR"/>
        </w:rPr>
        <w:t xml:space="preserve"> promouvoir des emplois stables</w:t>
      </w:r>
      <w:r w:rsidR="00885CA3">
        <w:rPr>
          <w:lang w:val="fr-FR"/>
        </w:rPr>
        <w:br/>
      </w:r>
      <w:r w:rsidRPr="00CC76D1">
        <w:rPr>
          <w:lang w:val="fr-FR"/>
        </w:rPr>
        <w:t>et le travail décent (mise</w:t>
      </w:r>
      <w:r w:rsidR="00885CA3">
        <w:rPr>
          <w:lang w:val="fr-FR"/>
        </w:rPr>
        <w:t xml:space="preserve"> à jour des paragraphes 61 à 68</w:t>
      </w:r>
      <w:r w:rsidR="00885CA3">
        <w:rPr>
          <w:lang w:val="fr-FR"/>
        </w:rPr>
        <w:br/>
      </w:r>
      <w:r w:rsidRPr="00CC76D1">
        <w:rPr>
          <w:lang w:val="fr-FR"/>
        </w:rPr>
        <w:t>du rapport)</w:t>
      </w:r>
    </w:p>
    <w:p w:rsidR="00EC4C5A" w:rsidRPr="00CC76D1" w:rsidRDefault="00EC4C5A" w:rsidP="00885CA3">
      <w:pPr>
        <w:pStyle w:val="SingleTxtG"/>
        <w:rPr>
          <w:lang w:val="fr-FR"/>
        </w:rPr>
      </w:pPr>
      <w:r w:rsidRPr="00CC76D1">
        <w:rPr>
          <w:lang w:val="fr-FR"/>
        </w:rPr>
        <w:t>59.</w:t>
      </w:r>
      <w:r w:rsidRPr="00CC76D1">
        <w:rPr>
          <w:lang w:val="fr-FR"/>
        </w:rPr>
        <w:tab/>
        <w:t>La Politique nationale sur les ressources humaines et l</w:t>
      </w:r>
      <w:r w:rsidR="00474653">
        <w:rPr>
          <w:lang w:val="fr-FR"/>
        </w:rPr>
        <w:t>’</w:t>
      </w:r>
      <w:r w:rsidRPr="00CC76D1">
        <w:rPr>
          <w:lang w:val="fr-FR"/>
        </w:rPr>
        <w:t>emploi lancée en 2012 (telle que révisée) définit la politique générale du Gouvernement en matière de développement des ressources humaines et d</w:t>
      </w:r>
      <w:r w:rsidR="00474653">
        <w:rPr>
          <w:lang w:val="fr-FR"/>
        </w:rPr>
        <w:t>’</w:t>
      </w:r>
      <w:r w:rsidRPr="00CC76D1">
        <w:rPr>
          <w:lang w:val="fr-FR"/>
        </w:rPr>
        <w:t xml:space="preserve">emploi et vise à donner accès à un emploi à temps plein, productif et décent à chaque homme et femme à Sri Lanka. </w:t>
      </w:r>
    </w:p>
    <w:p w:rsidR="00EC4C5A" w:rsidRPr="00CC76D1" w:rsidRDefault="00EC4C5A" w:rsidP="00885CA3">
      <w:pPr>
        <w:pStyle w:val="SingleTxtG"/>
        <w:rPr>
          <w:lang w:val="fr-FR"/>
        </w:rPr>
      </w:pPr>
      <w:r w:rsidRPr="00CC76D1">
        <w:rPr>
          <w:lang w:val="fr-FR"/>
        </w:rPr>
        <w:t>60.</w:t>
      </w:r>
      <w:r w:rsidRPr="00CC76D1">
        <w:rPr>
          <w:lang w:val="fr-FR"/>
        </w:rPr>
        <w:tab/>
        <w:t>Le suivi de la mise en œuvre de cette politique est assuré par le Département de la main-d</w:t>
      </w:r>
      <w:r w:rsidR="00474653">
        <w:rPr>
          <w:lang w:val="fr-FR"/>
        </w:rPr>
        <w:t>’</w:t>
      </w:r>
      <w:r w:rsidRPr="00CC76D1">
        <w:rPr>
          <w:lang w:val="fr-FR"/>
        </w:rPr>
        <w:t>œuvre et de l</w:t>
      </w:r>
      <w:r w:rsidR="00474653">
        <w:rPr>
          <w:lang w:val="fr-FR"/>
        </w:rPr>
        <w:t>’</w:t>
      </w:r>
      <w:r w:rsidRPr="00CC76D1">
        <w:rPr>
          <w:lang w:val="fr-FR"/>
        </w:rPr>
        <w:t>emploi, sous la direction du Ministère du travail et des relations syndicales. En tant que principale institution gouvernementale responsable, ce département a pris des mesures pour améliorer l</w:t>
      </w:r>
      <w:r w:rsidR="00474653">
        <w:rPr>
          <w:lang w:val="fr-FR"/>
        </w:rPr>
        <w:t>’</w:t>
      </w:r>
      <w:r w:rsidRPr="00CC76D1">
        <w:rPr>
          <w:lang w:val="fr-FR"/>
        </w:rPr>
        <w:t>emploi des jeunes grâce à la création d</w:t>
      </w:r>
      <w:r w:rsidR="00474653">
        <w:rPr>
          <w:lang w:val="fr-FR"/>
        </w:rPr>
        <w:t>’</w:t>
      </w:r>
      <w:r w:rsidRPr="00CC76D1">
        <w:rPr>
          <w:lang w:val="fr-FR"/>
        </w:rPr>
        <w:t>emplois, ainsi qu</w:t>
      </w:r>
      <w:r w:rsidR="00474653">
        <w:rPr>
          <w:lang w:val="fr-FR"/>
        </w:rPr>
        <w:t>’</w:t>
      </w:r>
      <w:r w:rsidRPr="00CC76D1">
        <w:rPr>
          <w:lang w:val="fr-FR"/>
        </w:rPr>
        <w:t>à des services d</w:t>
      </w:r>
      <w:r w:rsidR="00474653">
        <w:rPr>
          <w:lang w:val="fr-FR"/>
        </w:rPr>
        <w:t>’</w:t>
      </w:r>
      <w:r w:rsidRPr="00CC76D1">
        <w:rPr>
          <w:lang w:val="fr-FR"/>
        </w:rPr>
        <w:t>orientation professionnelle et de recherche d</w:t>
      </w:r>
      <w:r w:rsidR="00474653">
        <w:rPr>
          <w:lang w:val="fr-FR"/>
        </w:rPr>
        <w:t>’</w:t>
      </w:r>
      <w:r w:rsidR="00682BD7">
        <w:rPr>
          <w:lang w:val="fr-FR"/>
        </w:rPr>
        <w:t>emploi. Des </w:t>
      </w:r>
      <w:r w:rsidRPr="00CC76D1">
        <w:rPr>
          <w:lang w:val="fr-FR"/>
        </w:rPr>
        <w:t>renseignements détaillés sur ces programmes sont fournis ci-après</w:t>
      </w:r>
      <w:r w:rsidR="00112F55">
        <w:rPr>
          <w:lang w:val="fr-FR"/>
        </w:rPr>
        <w:t xml:space="preserve"> :</w:t>
      </w:r>
    </w:p>
    <w:tbl>
      <w:tblPr>
        <w:tblW w:w="7370" w:type="dxa"/>
        <w:tblInd w:w="1134" w:type="dxa"/>
        <w:tblLayout w:type="fixed"/>
        <w:tblCellMar>
          <w:left w:w="0" w:type="dxa"/>
          <w:right w:w="0" w:type="dxa"/>
        </w:tblCellMar>
        <w:tblLook w:val="00A0" w:firstRow="1" w:lastRow="0" w:firstColumn="1" w:lastColumn="0" w:noHBand="0" w:noVBand="0"/>
      </w:tblPr>
      <w:tblGrid>
        <w:gridCol w:w="3146"/>
        <w:gridCol w:w="2666"/>
        <w:gridCol w:w="1558"/>
      </w:tblGrid>
      <w:tr w:rsidR="00885CA3" w:rsidRPr="00885CA3" w:rsidTr="00885CA3">
        <w:trPr>
          <w:tblHeader/>
        </w:trPr>
        <w:tc>
          <w:tcPr>
            <w:tcW w:w="3146" w:type="dxa"/>
            <w:tcBorders>
              <w:top w:val="single" w:sz="4" w:space="0" w:color="auto"/>
              <w:bottom w:val="single" w:sz="12" w:space="0" w:color="auto"/>
            </w:tcBorders>
            <w:shd w:val="clear" w:color="auto" w:fill="auto"/>
            <w:vAlign w:val="bottom"/>
          </w:tcPr>
          <w:p w:rsidR="00EC4C5A" w:rsidRPr="00885CA3" w:rsidRDefault="00EC4C5A" w:rsidP="00885CA3">
            <w:pPr>
              <w:suppressAutoHyphens w:val="0"/>
              <w:spacing w:before="80" w:after="80" w:line="200" w:lineRule="exact"/>
              <w:rPr>
                <w:i/>
                <w:sz w:val="16"/>
                <w:lang w:val="fr-FR"/>
              </w:rPr>
            </w:pPr>
            <w:r w:rsidRPr="00885CA3">
              <w:rPr>
                <w:i/>
                <w:sz w:val="16"/>
                <w:lang w:val="fr-FR"/>
              </w:rPr>
              <w:t>Intitulé du programme</w:t>
            </w:r>
          </w:p>
        </w:tc>
        <w:tc>
          <w:tcPr>
            <w:tcW w:w="2666" w:type="dxa"/>
            <w:tcBorders>
              <w:top w:val="single" w:sz="4" w:space="0" w:color="auto"/>
              <w:bottom w:val="single" w:sz="12" w:space="0" w:color="auto"/>
            </w:tcBorders>
            <w:shd w:val="clear" w:color="auto" w:fill="auto"/>
            <w:vAlign w:val="bottom"/>
          </w:tcPr>
          <w:p w:rsidR="00EC4C5A" w:rsidRPr="00885CA3" w:rsidRDefault="00EC4C5A" w:rsidP="00885CA3">
            <w:pPr>
              <w:suppressAutoHyphens w:val="0"/>
              <w:spacing w:before="80" w:after="80" w:line="200" w:lineRule="exact"/>
              <w:jc w:val="right"/>
              <w:rPr>
                <w:i/>
                <w:sz w:val="16"/>
                <w:lang w:val="fr-FR"/>
              </w:rPr>
            </w:pPr>
            <w:r w:rsidRPr="00885CA3">
              <w:rPr>
                <w:i/>
                <w:sz w:val="16"/>
                <w:lang w:val="fr-FR"/>
              </w:rPr>
              <w:t>Nombre de programmes menés en 2015</w:t>
            </w:r>
          </w:p>
        </w:tc>
        <w:tc>
          <w:tcPr>
            <w:tcW w:w="1558" w:type="dxa"/>
            <w:tcBorders>
              <w:top w:val="single" w:sz="4" w:space="0" w:color="auto"/>
              <w:bottom w:val="single" w:sz="12" w:space="0" w:color="auto"/>
            </w:tcBorders>
            <w:shd w:val="clear" w:color="auto" w:fill="auto"/>
            <w:vAlign w:val="bottom"/>
          </w:tcPr>
          <w:p w:rsidR="00EC4C5A" w:rsidRPr="00885CA3" w:rsidRDefault="00EC4C5A" w:rsidP="00885CA3">
            <w:pPr>
              <w:suppressAutoHyphens w:val="0"/>
              <w:spacing w:before="80" w:after="80" w:line="200" w:lineRule="exact"/>
              <w:jc w:val="right"/>
              <w:rPr>
                <w:i/>
                <w:sz w:val="16"/>
                <w:lang w:val="fr-FR"/>
              </w:rPr>
            </w:pPr>
            <w:r w:rsidRPr="00885CA3">
              <w:rPr>
                <w:i/>
                <w:sz w:val="16"/>
                <w:lang w:val="fr-FR"/>
              </w:rPr>
              <w:t>Nombre de bénéficiaires</w:t>
            </w:r>
          </w:p>
        </w:tc>
      </w:tr>
      <w:tr w:rsidR="00885CA3" w:rsidRPr="00885CA3" w:rsidTr="00885CA3">
        <w:tc>
          <w:tcPr>
            <w:tcW w:w="3146" w:type="dxa"/>
            <w:tcBorders>
              <w:top w:val="single" w:sz="12" w:space="0" w:color="auto"/>
            </w:tcBorders>
            <w:shd w:val="clear" w:color="auto" w:fill="auto"/>
          </w:tcPr>
          <w:p w:rsidR="00EC4C5A" w:rsidRPr="00885CA3" w:rsidRDefault="00EC4C5A" w:rsidP="00885CA3">
            <w:pPr>
              <w:suppressAutoHyphens w:val="0"/>
              <w:spacing w:before="40" w:after="40" w:line="220" w:lineRule="exact"/>
              <w:rPr>
                <w:sz w:val="18"/>
                <w:szCs w:val="18"/>
                <w:lang w:val="fr-FR"/>
              </w:rPr>
            </w:pPr>
            <w:r w:rsidRPr="00885CA3">
              <w:rPr>
                <w:sz w:val="18"/>
                <w:szCs w:val="18"/>
                <w:lang w:val="fr-FR"/>
              </w:rPr>
              <w:t>Programmes d</w:t>
            </w:r>
            <w:r w:rsidR="00474653">
              <w:rPr>
                <w:sz w:val="18"/>
                <w:szCs w:val="18"/>
                <w:lang w:val="fr-FR"/>
              </w:rPr>
              <w:t>’</w:t>
            </w:r>
            <w:r w:rsidRPr="00885CA3">
              <w:rPr>
                <w:sz w:val="18"/>
                <w:szCs w:val="18"/>
                <w:lang w:val="fr-FR"/>
              </w:rPr>
              <w:t>orientation professionnelle</w:t>
            </w:r>
          </w:p>
        </w:tc>
        <w:tc>
          <w:tcPr>
            <w:tcW w:w="2666" w:type="dxa"/>
            <w:tcBorders>
              <w:top w:val="single" w:sz="12" w:space="0" w:color="auto"/>
            </w:tcBorders>
            <w:shd w:val="clear" w:color="auto" w:fill="auto"/>
            <w:vAlign w:val="bottom"/>
          </w:tcPr>
          <w:p w:rsidR="00EC4C5A" w:rsidRPr="00885CA3" w:rsidRDefault="00EC4C5A" w:rsidP="00885CA3">
            <w:pPr>
              <w:suppressAutoHyphens w:val="0"/>
              <w:spacing w:before="40" w:after="40" w:line="220" w:lineRule="exact"/>
              <w:jc w:val="right"/>
              <w:rPr>
                <w:sz w:val="18"/>
                <w:szCs w:val="18"/>
                <w:lang w:val="fr-FR"/>
              </w:rPr>
            </w:pPr>
            <w:r w:rsidRPr="00885CA3">
              <w:rPr>
                <w:sz w:val="18"/>
                <w:szCs w:val="18"/>
                <w:lang w:val="fr-FR"/>
              </w:rPr>
              <w:t>6 444</w:t>
            </w:r>
          </w:p>
        </w:tc>
        <w:tc>
          <w:tcPr>
            <w:tcW w:w="1558" w:type="dxa"/>
            <w:tcBorders>
              <w:top w:val="single" w:sz="12" w:space="0" w:color="auto"/>
            </w:tcBorders>
            <w:shd w:val="clear" w:color="auto" w:fill="auto"/>
            <w:vAlign w:val="bottom"/>
          </w:tcPr>
          <w:p w:rsidR="00EC4C5A" w:rsidRPr="00885CA3" w:rsidRDefault="00EC4C5A" w:rsidP="00885CA3">
            <w:pPr>
              <w:suppressAutoHyphens w:val="0"/>
              <w:spacing w:before="40" w:after="40" w:line="220" w:lineRule="exact"/>
              <w:jc w:val="right"/>
              <w:rPr>
                <w:sz w:val="18"/>
                <w:szCs w:val="18"/>
                <w:lang w:val="fr-FR"/>
              </w:rPr>
            </w:pPr>
            <w:r w:rsidRPr="00885CA3">
              <w:rPr>
                <w:sz w:val="18"/>
                <w:szCs w:val="18"/>
                <w:lang w:val="fr-FR"/>
              </w:rPr>
              <w:t>184 681</w:t>
            </w:r>
          </w:p>
        </w:tc>
      </w:tr>
      <w:tr w:rsidR="00885CA3" w:rsidRPr="00885CA3" w:rsidTr="00885CA3">
        <w:tc>
          <w:tcPr>
            <w:tcW w:w="3146" w:type="dxa"/>
            <w:shd w:val="clear" w:color="auto" w:fill="auto"/>
          </w:tcPr>
          <w:p w:rsidR="00EC4C5A" w:rsidRPr="00885CA3" w:rsidRDefault="00EC4C5A" w:rsidP="00885CA3">
            <w:pPr>
              <w:suppressAutoHyphens w:val="0"/>
              <w:spacing w:before="40" w:after="40" w:line="220" w:lineRule="exact"/>
              <w:rPr>
                <w:sz w:val="18"/>
                <w:szCs w:val="18"/>
                <w:lang w:val="fr-FR"/>
              </w:rPr>
            </w:pPr>
            <w:r w:rsidRPr="00885CA3">
              <w:rPr>
                <w:sz w:val="18"/>
                <w:szCs w:val="18"/>
                <w:lang w:val="fr-FR"/>
              </w:rPr>
              <w:t>Création d</w:t>
            </w:r>
            <w:r w:rsidR="00474653">
              <w:rPr>
                <w:sz w:val="18"/>
                <w:szCs w:val="18"/>
                <w:lang w:val="fr-FR"/>
              </w:rPr>
              <w:t>’</w:t>
            </w:r>
            <w:r w:rsidRPr="00885CA3">
              <w:rPr>
                <w:sz w:val="18"/>
                <w:szCs w:val="18"/>
                <w:lang w:val="fr-FR"/>
              </w:rPr>
              <w:t xml:space="preserve">emplois </w:t>
            </w:r>
            <w:r w:rsidR="00885CA3">
              <w:rPr>
                <w:sz w:val="18"/>
                <w:szCs w:val="18"/>
                <w:lang w:val="fr-FR"/>
              </w:rPr>
              <w:br/>
            </w:r>
            <w:r w:rsidRPr="00885CA3">
              <w:rPr>
                <w:sz w:val="18"/>
                <w:szCs w:val="18"/>
                <w:lang w:val="fr-FR"/>
              </w:rPr>
              <w:t>Programmes de promotion de l</w:t>
            </w:r>
            <w:r w:rsidR="00474653">
              <w:rPr>
                <w:sz w:val="18"/>
                <w:szCs w:val="18"/>
                <w:lang w:val="fr-FR"/>
              </w:rPr>
              <w:t>’</w:t>
            </w:r>
            <w:r w:rsidRPr="00885CA3">
              <w:rPr>
                <w:sz w:val="18"/>
                <w:szCs w:val="18"/>
                <w:lang w:val="fr-FR"/>
              </w:rPr>
              <w:t>emploi</w:t>
            </w:r>
          </w:p>
        </w:tc>
        <w:tc>
          <w:tcPr>
            <w:tcW w:w="2666" w:type="dxa"/>
            <w:shd w:val="clear" w:color="auto" w:fill="auto"/>
            <w:vAlign w:val="bottom"/>
          </w:tcPr>
          <w:p w:rsidR="00EC4C5A" w:rsidRPr="00885CA3" w:rsidRDefault="00EC4C5A" w:rsidP="00885CA3">
            <w:pPr>
              <w:suppressAutoHyphens w:val="0"/>
              <w:spacing w:before="40" w:after="40" w:line="220" w:lineRule="exact"/>
              <w:jc w:val="right"/>
              <w:rPr>
                <w:sz w:val="18"/>
                <w:szCs w:val="18"/>
                <w:lang w:val="fr-FR"/>
              </w:rPr>
            </w:pPr>
            <w:r w:rsidRPr="00885CA3">
              <w:rPr>
                <w:sz w:val="18"/>
                <w:szCs w:val="18"/>
                <w:lang w:val="fr-FR"/>
              </w:rPr>
              <w:t>529</w:t>
            </w:r>
          </w:p>
        </w:tc>
        <w:tc>
          <w:tcPr>
            <w:tcW w:w="1558" w:type="dxa"/>
            <w:shd w:val="clear" w:color="auto" w:fill="auto"/>
            <w:vAlign w:val="bottom"/>
          </w:tcPr>
          <w:p w:rsidR="00EC4C5A" w:rsidRPr="00885CA3" w:rsidRDefault="00EC4C5A" w:rsidP="00885CA3">
            <w:pPr>
              <w:suppressAutoHyphens w:val="0"/>
              <w:spacing w:before="40" w:after="40" w:line="220" w:lineRule="exact"/>
              <w:jc w:val="right"/>
              <w:rPr>
                <w:sz w:val="18"/>
                <w:szCs w:val="18"/>
                <w:lang w:val="fr-FR"/>
              </w:rPr>
            </w:pPr>
            <w:r w:rsidRPr="00885CA3">
              <w:rPr>
                <w:sz w:val="18"/>
                <w:szCs w:val="18"/>
                <w:lang w:val="fr-FR"/>
              </w:rPr>
              <w:t>19 219</w:t>
            </w:r>
          </w:p>
        </w:tc>
      </w:tr>
      <w:tr w:rsidR="00885CA3" w:rsidRPr="00885CA3" w:rsidTr="00885CA3">
        <w:tc>
          <w:tcPr>
            <w:tcW w:w="3146" w:type="dxa"/>
            <w:tcBorders>
              <w:bottom w:val="single" w:sz="12" w:space="0" w:color="auto"/>
            </w:tcBorders>
            <w:shd w:val="clear" w:color="auto" w:fill="auto"/>
          </w:tcPr>
          <w:p w:rsidR="00EC4C5A" w:rsidRPr="00885CA3" w:rsidRDefault="00EC4C5A" w:rsidP="00885CA3">
            <w:pPr>
              <w:suppressAutoHyphens w:val="0"/>
              <w:spacing w:before="40" w:after="40" w:line="220" w:lineRule="exact"/>
              <w:rPr>
                <w:sz w:val="18"/>
                <w:szCs w:val="18"/>
                <w:lang w:val="fr-FR"/>
              </w:rPr>
            </w:pPr>
            <w:r w:rsidRPr="00885CA3">
              <w:rPr>
                <w:sz w:val="18"/>
                <w:szCs w:val="18"/>
                <w:lang w:val="fr-FR"/>
              </w:rPr>
              <w:t>Organisation de salons de l</w:t>
            </w:r>
            <w:r w:rsidR="00474653">
              <w:rPr>
                <w:sz w:val="18"/>
                <w:szCs w:val="18"/>
                <w:lang w:val="fr-FR"/>
              </w:rPr>
              <w:t>’</w:t>
            </w:r>
            <w:r w:rsidRPr="00885CA3">
              <w:rPr>
                <w:sz w:val="18"/>
                <w:szCs w:val="18"/>
                <w:lang w:val="fr-FR"/>
              </w:rPr>
              <w:t>emploi</w:t>
            </w:r>
            <w:r w:rsidR="00885CA3">
              <w:rPr>
                <w:sz w:val="18"/>
                <w:szCs w:val="18"/>
                <w:lang w:val="fr-FR"/>
              </w:rPr>
              <w:br/>
            </w:r>
            <w:r w:rsidRPr="00885CA3">
              <w:rPr>
                <w:sz w:val="18"/>
                <w:szCs w:val="18"/>
                <w:lang w:val="fr-FR"/>
              </w:rPr>
              <w:t>dans les districts</w:t>
            </w:r>
          </w:p>
        </w:tc>
        <w:tc>
          <w:tcPr>
            <w:tcW w:w="2666" w:type="dxa"/>
            <w:tcBorders>
              <w:bottom w:val="single" w:sz="12" w:space="0" w:color="auto"/>
            </w:tcBorders>
            <w:shd w:val="clear" w:color="auto" w:fill="auto"/>
            <w:vAlign w:val="bottom"/>
          </w:tcPr>
          <w:p w:rsidR="00EC4C5A" w:rsidRPr="00885CA3" w:rsidRDefault="00EC4C5A" w:rsidP="00885CA3">
            <w:pPr>
              <w:suppressAutoHyphens w:val="0"/>
              <w:spacing w:before="40" w:after="40" w:line="220" w:lineRule="exact"/>
              <w:jc w:val="right"/>
              <w:rPr>
                <w:sz w:val="18"/>
                <w:szCs w:val="18"/>
                <w:lang w:val="fr-FR"/>
              </w:rPr>
            </w:pPr>
            <w:r w:rsidRPr="00885CA3">
              <w:rPr>
                <w:sz w:val="18"/>
                <w:szCs w:val="18"/>
                <w:lang w:val="fr-FR"/>
              </w:rPr>
              <w:t>6</w:t>
            </w:r>
          </w:p>
        </w:tc>
        <w:tc>
          <w:tcPr>
            <w:tcW w:w="1558" w:type="dxa"/>
            <w:tcBorders>
              <w:bottom w:val="single" w:sz="12" w:space="0" w:color="auto"/>
            </w:tcBorders>
            <w:shd w:val="clear" w:color="auto" w:fill="auto"/>
            <w:vAlign w:val="bottom"/>
          </w:tcPr>
          <w:p w:rsidR="00EC4C5A" w:rsidRPr="00885CA3" w:rsidRDefault="00EC4C5A" w:rsidP="00885CA3">
            <w:pPr>
              <w:suppressAutoHyphens w:val="0"/>
              <w:spacing w:before="40" w:after="40" w:line="220" w:lineRule="exact"/>
              <w:jc w:val="right"/>
              <w:rPr>
                <w:sz w:val="18"/>
                <w:szCs w:val="18"/>
                <w:lang w:val="fr-FR"/>
              </w:rPr>
            </w:pPr>
            <w:r w:rsidRPr="00885CA3">
              <w:rPr>
                <w:sz w:val="18"/>
                <w:szCs w:val="18"/>
                <w:lang w:val="fr-FR"/>
              </w:rPr>
              <w:t>10 396</w:t>
            </w:r>
          </w:p>
        </w:tc>
      </w:tr>
    </w:tbl>
    <w:p w:rsidR="00EC4C5A" w:rsidRPr="00885CA3" w:rsidRDefault="00EC4C5A" w:rsidP="00885CA3">
      <w:pPr>
        <w:spacing w:before="120" w:after="240"/>
        <w:ind w:left="1134" w:firstLine="170"/>
        <w:rPr>
          <w:sz w:val="18"/>
          <w:szCs w:val="18"/>
          <w:lang w:val="fr-FR"/>
        </w:rPr>
      </w:pPr>
      <w:r w:rsidRPr="00885CA3">
        <w:rPr>
          <w:i/>
          <w:sz w:val="18"/>
          <w:szCs w:val="18"/>
          <w:lang w:val="fr-FR"/>
        </w:rPr>
        <w:t>Source</w:t>
      </w:r>
      <w:r w:rsidRPr="00885CA3">
        <w:rPr>
          <w:sz w:val="18"/>
          <w:szCs w:val="18"/>
          <w:lang w:val="fr-FR"/>
        </w:rPr>
        <w:t xml:space="preserve"> : Rapport d</w:t>
      </w:r>
      <w:r w:rsidR="00474653">
        <w:rPr>
          <w:sz w:val="18"/>
          <w:szCs w:val="18"/>
          <w:lang w:val="fr-FR"/>
        </w:rPr>
        <w:t>’</w:t>
      </w:r>
      <w:r w:rsidRPr="00885CA3">
        <w:rPr>
          <w:sz w:val="18"/>
          <w:szCs w:val="18"/>
          <w:lang w:val="fr-FR"/>
        </w:rPr>
        <w:t>activité annuel 2015, Ministère du travail et des relations syndicales.</w:t>
      </w:r>
    </w:p>
    <w:p w:rsidR="00EC4C5A" w:rsidRPr="00CC76D1" w:rsidRDefault="00EC4C5A" w:rsidP="00885CA3">
      <w:pPr>
        <w:pStyle w:val="SingleTxtG"/>
        <w:rPr>
          <w:lang w:val="fr-FR"/>
        </w:rPr>
      </w:pPr>
      <w:r w:rsidRPr="00CC76D1">
        <w:rPr>
          <w:lang w:val="fr-FR"/>
        </w:rPr>
        <w:t>61.</w:t>
      </w:r>
      <w:r w:rsidRPr="00CC76D1">
        <w:rPr>
          <w:lang w:val="fr-FR"/>
        </w:rPr>
        <w:tab/>
        <w:t>Les programmes d</w:t>
      </w:r>
      <w:r w:rsidR="00474653">
        <w:rPr>
          <w:lang w:val="fr-FR"/>
        </w:rPr>
        <w:t>’</w:t>
      </w:r>
      <w:r w:rsidRPr="00CC76D1">
        <w:rPr>
          <w:lang w:val="fr-FR"/>
        </w:rPr>
        <w:t>orientation professionnelle proposés ont pour but d</w:t>
      </w:r>
      <w:r w:rsidR="00474653">
        <w:rPr>
          <w:lang w:val="fr-FR"/>
        </w:rPr>
        <w:t>’</w:t>
      </w:r>
      <w:r w:rsidRPr="00CC76D1">
        <w:rPr>
          <w:lang w:val="fr-FR"/>
        </w:rPr>
        <w:t>inculquer aux employeurs des attitudes positives, de motiver les demandeurs d</w:t>
      </w:r>
      <w:r w:rsidR="00474653">
        <w:rPr>
          <w:lang w:val="fr-FR"/>
        </w:rPr>
        <w:t>’</w:t>
      </w:r>
      <w:r w:rsidRPr="00CC76D1">
        <w:rPr>
          <w:lang w:val="fr-FR"/>
        </w:rPr>
        <w:t>emploi et de les rendre plus aptes à l</w:t>
      </w:r>
      <w:r w:rsidR="00474653">
        <w:rPr>
          <w:lang w:val="fr-FR"/>
        </w:rPr>
        <w:t>’</w:t>
      </w:r>
      <w:r w:rsidRPr="00CC76D1">
        <w:rPr>
          <w:lang w:val="fr-FR"/>
        </w:rPr>
        <w:t>emploi. Les programmes de création d</w:t>
      </w:r>
      <w:r w:rsidR="00474653">
        <w:rPr>
          <w:lang w:val="fr-FR"/>
        </w:rPr>
        <w:t>’</w:t>
      </w:r>
      <w:r w:rsidRPr="00CC76D1">
        <w:rPr>
          <w:lang w:val="fr-FR"/>
        </w:rPr>
        <w:t xml:space="preserve">emplois ont pour objectif de promouvoir la mise en place de conditions de travail décentes et de mécanismes de protection sociale pour les employés des petites et moyennes entreprises, afin que celles-ci puissent recruter des travailleurs possédant des compétences et comportements appropriés. </w:t>
      </w:r>
    </w:p>
    <w:p w:rsidR="005A2430" w:rsidRDefault="00EC4C5A" w:rsidP="00885CA3">
      <w:pPr>
        <w:pStyle w:val="SingleTxtG"/>
        <w:rPr>
          <w:lang w:val="fr-FR"/>
        </w:rPr>
      </w:pPr>
      <w:r w:rsidRPr="00CC76D1">
        <w:rPr>
          <w:lang w:val="fr-FR"/>
        </w:rPr>
        <w:t>62.</w:t>
      </w:r>
      <w:r w:rsidRPr="00CC76D1">
        <w:rPr>
          <w:lang w:val="fr-FR"/>
        </w:rPr>
        <w:tab/>
        <w:t>À l</w:t>
      </w:r>
      <w:r w:rsidR="00474653">
        <w:rPr>
          <w:lang w:val="fr-FR"/>
        </w:rPr>
        <w:t>’</w:t>
      </w:r>
      <w:r w:rsidRPr="00CC76D1">
        <w:rPr>
          <w:lang w:val="fr-FR"/>
        </w:rPr>
        <w:t>heure actuelle, le Département exploite 24 centres de services publics de l</w:t>
      </w:r>
      <w:r w:rsidR="00474653">
        <w:rPr>
          <w:lang w:val="fr-FR"/>
        </w:rPr>
        <w:t>’</w:t>
      </w:r>
      <w:r w:rsidRPr="00CC76D1">
        <w:rPr>
          <w:lang w:val="fr-FR"/>
        </w:rPr>
        <w:t>emploi dans 24 districts, en collaboration avec l</w:t>
      </w:r>
      <w:r w:rsidR="00474653">
        <w:rPr>
          <w:lang w:val="fr-FR"/>
        </w:rPr>
        <w:t>’</w:t>
      </w:r>
      <w:r w:rsidRPr="00CC76D1">
        <w:rPr>
          <w:lang w:val="fr-FR"/>
        </w:rPr>
        <w:t xml:space="preserve">Organisation internationale du </w:t>
      </w:r>
      <w:r w:rsidR="00114283" w:rsidRPr="00CC76D1">
        <w:rPr>
          <w:lang w:val="fr-FR"/>
        </w:rPr>
        <w:t>T</w:t>
      </w:r>
      <w:r w:rsidRPr="00CC76D1">
        <w:rPr>
          <w:lang w:val="fr-FR"/>
        </w:rPr>
        <w:t>ravail (OIT) et avec le soutien financier de l</w:t>
      </w:r>
      <w:r w:rsidR="00474653">
        <w:rPr>
          <w:lang w:val="fr-FR"/>
        </w:rPr>
        <w:t>’</w:t>
      </w:r>
      <w:r w:rsidRPr="00CC76D1">
        <w:rPr>
          <w:lang w:val="fr-FR"/>
        </w:rPr>
        <w:t>Union européenne.</w:t>
      </w:r>
    </w:p>
    <w:p w:rsidR="00EC4C5A" w:rsidRPr="00CC76D1" w:rsidRDefault="005A2430" w:rsidP="00885CA3">
      <w:pPr>
        <w:pStyle w:val="SingleTxtG"/>
        <w:rPr>
          <w:lang w:val="fr-FR"/>
        </w:rPr>
      </w:pPr>
      <w:r>
        <w:rPr>
          <w:lang w:val="fr-FR"/>
        </w:rPr>
        <w:br w:type="page"/>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A0" w:firstRow="1" w:lastRow="0" w:firstColumn="1" w:lastColumn="0" w:noHBand="0" w:noVBand="0"/>
      </w:tblPr>
      <w:tblGrid>
        <w:gridCol w:w="1409"/>
        <w:gridCol w:w="1500"/>
        <w:gridCol w:w="1490"/>
        <w:gridCol w:w="1467"/>
        <w:gridCol w:w="1504"/>
      </w:tblGrid>
      <w:tr w:rsidR="00885CA3" w:rsidRPr="00885CA3" w:rsidTr="00885CA3">
        <w:trPr>
          <w:tblHeader/>
        </w:trPr>
        <w:tc>
          <w:tcPr>
            <w:tcW w:w="1795" w:type="dxa"/>
            <w:shd w:val="clear" w:color="auto" w:fill="auto"/>
            <w:vAlign w:val="bottom"/>
          </w:tcPr>
          <w:p w:rsidR="00EC4C5A" w:rsidRPr="00885CA3" w:rsidRDefault="00EC4C5A" w:rsidP="00885CA3">
            <w:pPr>
              <w:suppressAutoHyphens w:val="0"/>
              <w:spacing w:before="80" w:after="80" w:line="200" w:lineRule="exact"/>
              <w:rPr>
                <w:i/>
                <w:sz w:val="16"/>
                <w:lang w:val="fr-FR"/>
              </w:rPr>
            </w:pPr>
            <w:r w:rsidRPr="00885CA3">
              <w:rPr>
                <w:i/>
                <w:sz w:val="16"/>
                <w:lang w:val="fr-FR"/>
              </w:rPr>
              <w:t>Nombre de centres de services publics de l</w:t>
            </w:r>
            <w:r w:rsidR="00474653">
              <w:rPr>
                <w:i/>
                <w:sz w:val="16"/>
                <w:lang w:val="fr-FR"/>
              </w:rPr>
              <w:t>’</w:t>
            </w:r>
            <w:r w:rsidRPr="00885CA3">
              <w:rPr>
                <w:i/>
                <w:sz w:val="16"/>
                <w:lang w:val="fr-FR"/>
              </w:rPr>
              <w:t>emploi</w:t>
            </w:r>
          </w:p>
        </w:tc>
        <w:tc>
          <w:tcPr>
            <w:tcW w:w="1910" w:type="dxa"/>
            <w:shd w:val="clear" w:color="auto" w:fill="auto"/>
            <w:vAlign w:val="bottom"/>
          </w:tcPr>
          <w:p w:rsidR="00EC4C5A" w:rsidRPr="00885CA3" w:rsidRDefault="00EC4C5A" w:rsidP="00885CA3">
            <w:pPr>
              <w:suppressAutoHyphens w:val="0"/>
              <w:spacing w:before="80" w:after="80" w:line="200" w:lineRule="exact"/>
              <w:jc w:val="right"/>
              <w:rPr>
                <w:i/>
                <w:sz w:val="16"/>
                <w:lang w:val="fr-FR"/>
              </w:rPr>
            </w:pPr>
            <w:r w:rsidRPr="00885CA3">
              <w:rPr>
                <w:i/>
                <w:sz w:val="16"/>
                <w:lang w:val="fr-FR"/>
              </w:rPr>
              <w:t>Nombre de demandeurs d</w:t>
            </w:r>
            <w:r w:rsidR="00474653">
              <w:rPr>
                <w:i/>
                <w:sz w:val="16"/>
                <w:lang w:val="fr-FR"/>
              </w:rPr>
              <w:t>’</w:t>
            </w:r>
            <w:r w:rsidRPr="00885CA3">
              <w:rPr>
                <w:i/>
                <w:sz w:val="16"/>
                <w:lang w:val="fr-FR"/>
              </w:rPr>
              <w:t>emploi enregistrés</w:t>
            </w:r>
          </w:p>
        </w:tc>
        <w:tc>
          <w:tcPr>
            <w:tcW w:w="1898" w:type="dxa"/>
            <w:shd w:val="clear" w:color="auto" w:fill="auto"/>
            <w:vAlign w:val="bottom"/>
          </w:tcPr>
          <w:p w:rsidR="00EC4C5A" w:rsidRPr="00885CA3" w:rsidRDefault="00EC4C5A" w:rsidP="00885CA3">
            <w:pPr>
              <w:suppressAutoHyphens w:val="0"/>
              <w:spacing w:before="80" w:after="80" w:line="200" w:lineRule="exact"/>
              <w:jc w:val="right"/>
              <w:rPr>
                <w:i/>
                <w:sz w:val="16"/>
                <w:lang w:val="fr-FR"/>
              </w:rPr>
            </w:pPr>
            <w:r w:rsidRPr="00885CA3">
              <w:rPr>
                <w:i/>
                <w:sz w:val="16"/>
                <w:lang w:val="fr-FR"/>
              </w:rPr>
              <w:t>Nombre d</w:t>
            </w:r>
            <w:r w:rsidR="00474653">
              <w:rPr>
                <w:i/>
                <w:sz w:val="16"/>
                <w:lang w:val="fr-FR"/>
              </w:rPr>
              <w:t>’</w:t>
            </w:r>
            <w:r w:rsidRPr="00885CA3">
              <w:rPr>
                <w:i/>
                <w:sz w:val="16"/>
                <w:lang w:val="fr-FR"/>
              </w:rPr>
              <w:t>offres d</w:t>
            </w:r>
            <w:r w:rsidR="00474653">
              <w:rPr>
                <w:i/>
                <w:sz w:val="16"/>
                <w:lang w:val="fr-FR"/>
              </w:rPr>
              <w:t>’</w:t>
            </w:r>
            <w:r w:rsidRPr="00885CA3">
              <w:rPr>
                <w:i/>
                <w:sz w:val="16"/>
                <w:lang w:val="fr-FR"/>
              </w:rPr>
              <w:t>emploi enregistrées</w:t>
            </w:r>
          </w:p>
        </w:tc>
        <w:tc>
          <w:tcPr>
            <w:tcW w:w="1868" w:type="dxa"/>
            <w:shd w:val="clear" w:color="auto" w:fill="auto"/>
            <w:vAlign w:val="bottom"/>
          </w:tcPr>
          <w:p w:rsidR="00EC4C5A" w:rsidRPr="00885CA3" w:rsidRDefault="00EC4C5A" w:rsidP="00885CA3">
            <w:pPr>
              <w:suppressAutoHyphens w:val="0"/>
              <w:spacing w:before="80" w:after="80" w:line="200" w:lineRule="exact"/>
              <w:jc w:val="right"/>
              <w:rPr>
                <w:i/>
                <w:sz w:val="16"/>
                <w:lang w:val="fr-FR"/>
              </w:rPr>
            </w:pPr>
            <w:r w:rsidRPr="00885CA3">
              <w:rPr>
                <w:i/>
                <w:sz w:val="16"/>
                <w:lang w:val="fr-FR"/>
              </w:rPr>
              <w:t>Mise en correspondance des offres et demandes d</w:t>
            </w:r>
            <w:r w:rsidR="00474653">
              <w:rPr>
                <w:i/>
                <w:sz w:val="16"/>
                <w:lang w:val="fr-FR"/>
              </w:rPr>
              <w:t>’</w:t>
            </w:r>
            <w:r w:rsidRPr="00885CA3">
              <w:rPr>
                <w:i/>
                <w:sz w:val="16"/>
                <w:lang w:val="fr-FR"/>
              </w:rPr>
              <w:t>emplois</w:t>
            </w:r>
          </w:p>
        </w:tc>
        <w:tc>
          <w:tcPr>
            <w:tcW w:w="1916" w:type="dxa"/>
            <w:shd w:val="clear" w:color="auto" w:fill="auto"/>
            <w:noWrap/>
            <w:vAlign w:val="bottom"/>
          </w:tcPr>
          <w:p w:rsidR="00EC4C5A" w:rsidRPr="00885CA3" w:rsidRDefault="00EC4C5A" w:rsidP="00885CA3">
            <w:pPr>
              <w:suppressAutoHyphens w:val="0"/>
              <w:spacing w:before="80" w:after="80" w:line="200" w:lineRule="exact"/>
              <w:jc w:val="right"/>
              <w:rPr>
                <w:i/>
                <w:sz w:val="16"/>
                <w:lang w:val="fr-FR"/>
              </w:rPr>
            </w:pPr>
            <w:r w:rsidRPr="00885CA3">
              <w:rPr>
                <w:i/>
                <w:sz w:val="16"/>
                <w:lang w:val="fr-FR"/>
              </w:rPr>
              <w:t>Nombre d</w:t>
            </w:r>
            <w:r w:rsidR="00474653">
              <w:rPr>
                <w:i/>
                <w:sz w:val="16"/>
                <w:lang w:val="fr-FR"/>
              </w:rPr>
              <w:t>’</w:t>
            </w:r>
            <w:r w:rsidRPr="00885CA3">
              <w:rPr>
                <w:i/>
                <w:sz w:val="16"/>
                <w:lang w:val="fr-FR"/>
              </w:rPr>
              <w:t>embauches</w:t>
            </w:r>
          </w:p>
        </w:tc>
      </w:tr>
      <w:tr w:rsidR="00885CA3" w:rsidRPr="00885CA3" w:rsidTr="00885CA3">
        <w:tc>
          <w:tcPr>
            <w:tcW w:w="1795" w:type="dxa"/>
            <w:shd w:val="clear" w:color="auto" w:fill="auto"/>
            <w:noWrap/>
          </w:tcPr>
          <w:p w:rsidR="00EC4C5A" w:rsidRPr="00885CA3" w:rsidRDefault="00EC4C5A" w:rsidP="00885CA3">
            <w:pPr>
              <w:suppressAutoHyphens w:val="0"/>
              <w:spacing w:before="40" w:after="40" w:line="220" w:lineRule="exact"/>
              <w:rPr>
                <w:sz w:val="18"/>
                <w:szCs w:val="18"/>
                <w:lang w:val="fr-FR"/>
              </w:rPr>
            </w:pPr>
            <w:r w:rsidRPr="00885CA3">
              <w:rPr>
                <w:sz w:val="18"/>
                <w:szCs w:val="18"/>
                <w:lang w:val="fr-FR"/>
              </w:rPr>
              <w:t>24</w:t>
            </w:r>
          </w:p>
        </w:tc>
        <w:tc>
          <w:tcPr>
            <w:tcW w:w="1910" w:type="dxa"/>
            <w:shd w:val="clear" w:color="auto" w:fill="auto"/>
            <w:noWrap/>
            <w:vAlign w:val="bottom"/>
          </w:tcPr>
          <w:p w:rsidR="00EC4C5A" w:rsidRPr="00885CA3" w:rsidRDefault="00EC4C5A" w:rsidP="00885CA3">
            <w:pPr>
              <w:suppressAutoHyphens w:val="0"/>
              <w:spacing w:before="40" w:after="40" w:line="220" w:lineRule="exact"/>
              <w:jc w:val="right"/>
              <w:rPr>
                <w:sz w:val="18"/>
                <w:szCs w:val="18"/>
                <w:lang w:val="fr-FR"/>
              </w:rPr>
            </w:pPr>
            <w:r w:rsidRPr="00885CA3">
              <w:rPr>
                <w:sz w:val="18"/>
                <w:szCs w:val="18"/>
                <w:lang w:val="fr-FR"/>
              </w:rPr>
              <w:t>43 390</w:t>
            </w:r>
          </w:p>
        </w:tc>
        <w:tc>
          <w:tcPr>
            <w:tcW w:w="1898" w:type="dxa"/>
            <w:shd w:val="clear" w:color="auto" w:fill="auto"/>
            <w:noWrap/>
            <w:vAlign w:val="bottom"/>
          </w:tcPr>
          <w:p w:rsidR="00EC4C5A" w:rsidRPr="00885CA3" w:rsidRDefault="00EC4C5A" w:rsidP="00885CA3">
            <w:pPr>
              <w:suppressAutoHyphens w:val="0"/>
              <w:spacing w:before="40" w:after="40" w:line="220" w:lineRule="exact"/>
              <w:jc w:val="right"/>
              <w:rPr>
                <w:sz w:val="18"/>
                <w:szCs w:val="18"/>
                <w:lang w:val="fr-FR"/>
              </w:rPr>
            </w:pPr>
            <w:r w:rsidRPr="00885CA3">
              <w:rPr>
                <w:sz w:val="18"/>
                <w:szCs w:val="18"/>
                <w:lang w:val="fr-FR"/>
              </w:rPr>
              <w:t>18 518</w:t>
            </w:r>
          </w:p>
        </w:tc>
        <w:tc>
          <w:tcPr>
            <w:tcW w:w="1868" w:type="dxa"/>
            <w:shd w:val="clear" w:color="auto" w:fill="auto"/>
            <w:noWrap/>
            <w:vAlign w:val="bottom"/>
          </w:tcPr>
          <w:p w:rsidR="00EC4C5A" w:rsidRPr="00885CA3" w:rsidRDefault="00EC4C5A" w:rsidP="00885CA3">
            <w:pPr>
              <w:suppressAutoHyphens w:val="0"/>
              <w:spacing w:before="40" w:after="40" w:line="220" w:lineRule="exact"/>
              <w:jc w:val="right"/>
              <w:rPr>
                <w:sz w:val="18"/>
                <w:szCs w:val="18"/>
                <w:lang w:val="fr-FR"/>
              </w:rPr>
            </w:pPr>
            <w:r w:rsidRPr="00885CA3">
              <w:rPr>
                <w:sz w:val="18"/>
                <w:szCs w:val="18"/>
                <w:lang w:val="fr-FR"/>
              </w:rPr>
              <w:t>20 946</w:t>
            </w:r>
          </w:p>
        </w:tc>
        <w:tc>
          <w:tcPr>
            <w:tcW w:w="1916" w:type="dxa"/>
            <w:shd w:val="clear" w:color="auto" w:fill="auto"/>
            <w:noWrap/>
            <w:vAlign w:val="bottom"/>
          </w:tcPr>
          <w:p w:rsidR="00EC4C5A" w:rsidRPr="00885CA3" w:rsidRDefault="00EC4C5A" w:rsidP="00885CA3">
            <w:pPr>
              <w:suppressAutoHyphens w:val="0"/>
              <w:spacing w:before="40" w:after="40" w:line="220" w:lineRule="exact"/>
              <w:jc w:val="right"/>
              <w:rPr>
                <w:sz w:val="18"/>
                <w:szCs w:val="18"/>
                <w:lang w:val="fr-FR"/>
              </w:rPr>
            </w:pPr>
            <w:r w:rsidRPr="00885CA3">
              <w:rPr>
                <w:sz w:val="18"/>
                <w:szCs w:val="18"/>
                <w:lang w:val="fr-FR"/>
              </w:rPr>
              <w:t>4 437</w:t>
            </w:r>
          </w:p>
        </w:tc>
      </w:tr>
    </w:tbl>
    <w:p w:rsidR="00EC4C5A" w:rsidRPr="00CC76D1" w:rsidRDefault="00EC4C5A" w:rsidP="00885CA3">
      <w:pPr>
        <w:spacing w:before="120" w:after="240"/>
        <w:ind w:left="1134" w:firstLine="170"/>
        <w:rPr>
          <w:sz w:val="18"/>
          <w:szCs w:val="18"/>
          <w:lang w:val="fr-FR"/>
        </w:rPr>
      </w:pPr>
      <w:r w:rsidRPr="00885CA3">
        <w:rPr>
          <w:i/>
          <w:sz w:val="18"/>
          <w:szCs w:val="18"/>
          <w:lang w:val="fr-FR"/>
        </w:rPr>
        <w:t>Source</w:t>
      </w:r>
      <w:r w:rsidR="00885CA3">
        <w:rPr>
          <w:sz w:val="18"/>
          <w:szCs w:val="18"/>
          <w:lang w:val="fr-FR"/>
        </w:rPr>
        <w:t xml:space="preserve"> : Rapport d</w:t>
      </w:r>
      <w:r w:rsidR="00474653">
        <w:rPr>
          <w:sz w:val="18"/>
          <w:szCs w:val="18"/>
          <w:lang w:val="fr-FR"/>
        </w:rPr>
        <w:t>’</w:t>
      </w:r>
      <w:r w:rsidR="005A2430">
        <w:rPr>
          <w:sz w:val="18"/>
          <w:szCs w:val="18"/>
          <w:lang w:val="fr-FR"/>
        </w:rPr>
        <w:t xml:space="preserve">activité annuel </w:t>
      </w:r>
      <w:r w:rsidRPr="00CC76D1">
        <w:rPr>
          <w:sz w:val="18"/>
          <w:szCs w:val="18"/>
          <w:lang w:val="fr-FR"/>
        </w:rPr>
        <w:t>2015, Ministère du travail et des relations syndicales.</w:t>
      </w:r>
    </w:p>
    <w:p w:rsidR="00EC4C5A" w:rsidRPr="00CC76D1" w:rsidRDefault="00EC4C5A" w:rsidP="00885CA3">
      <w:pPr>
        <w:pStyle w:val="SingleTxtG"/>
        <w:rPr>
          <w:lang w:val="fr-FR"/>
        </w:rPr>
      </w:pPr>
      <w:r w:rsidRPr="00CC76D1">
        <w:rPr>
          <w:lang w:val="fr-FR"/>
        </w:rPr>
        <w:t>63.</w:t>
      </w:r>
      <w:r w:rsidRPr="00CC76D1">
        <w:rPr>
          <w:lang w:val="fr-FR"/>
        </w:rPr>
        <w:tab/>
        <w:t>Le projet pour le développement économique et la création d</w:t>
      </w:r>
      <w:r w:rsidR="00474653">
        <w:rPr>
          <w:lang w:val="fr-FR"/>
        </w:rPr>
        <w:t>’</w:t>
      </w:r>
      <w:r w:rsidRPr="00CC76D1">
        <w:rPr>
          <w:lang w:val="fr-FR"/>
        </w:rPr>
        <w:t>emploi</w:t>
      </w:r>
      <w:r w:rsidR="002F0919">
        <w:rPr>
          <w:lang w:val="fr-FR"/>
        </w:rPr>
        <w:t>s</w:t>
      </w:r>
      <w:r w:rsidRPr="00CC76D1">
        <w:rPr>
          <w:lang w:val="fr-FR"/>
        </w:rPr>
        <w:t xml:space="preserve"> à l</w:t>
      </w:r>
      <w:r w:rsidR="00474653">
        <w:rPr>
          <w:lang w:val="fr-FR"/>
        </w:rPr>
        <w:t>’</w:t>
      </w:r>
      <w:r w:rsidRPr="00CC76D1">
        <w:rPr>
          <w:lang w:val="fr-FR"/>
        </w:rPr>
        <w:t>échelle locale (projet LEED) financé par le Gouvernement australien a été mis en œuvre avec la collaboration de l</w:t>
      </w:r>
      <w:r w:rsidR="00474653">
        <w:rPr>
          <w:lang w:val="fr-FR"/>
        </w:rPr>
        <w:t>’</w:t>
      </w:r>
      <w:r w:rsidRPr="00CC76D1">
        <w:rPr>
          <w:lang w:val="fr-FR"/>
        </w:rPr>
        <w:t xml:space="preserve">OIT dans les districts de Vavunia, Mulativu et Kilinochchi, les principales régions de la province du Nord touchées par le conflit, afin de créer des emplois décents pour les populations pauvres et vulnérables de ces régions. </w:t>
      </w:r>
    </w:p>
    <w:p w:rsidR="00EC4C5A" w:rsidRPr="00CC76D1" w:rsidRDefault="00EC4C5A" w:rsidP="00885CA3">
      <w:pPr>
        <w:pStyle w:val="H23G"/>
        <w:rPr>
          <w:lang w:val="fr-FR"/>
        </w:rPr>
      </w:pPr>
      <w:r w:rsidRPr="00CC76D1">
        <w:rPr>
          <w:lang w:val="fr-FR"/>
        </w:rPr>
        <w:tab/>
      </w:r>
      <w:r w:rsidRPr="00CC76D1">
        <w:rPr>
          <w:lang w:val="fr-FR"/>
        </w:rPr>
        <w:tab/>
        <w:t>Principaux domaines visés par le projet LEED</w:t>
      </w:r>
    </w:p>
    <w:p w:rsidR="00EC4C5A" w:rsidRPr="00CC76D1" w:rsidRDefault="00EC4C5A" w:rsidP="00885CA3">
      <w:pPr>
        <w:pStyle w:val="Bullet1G"/>
        <w:rPr>
          <w:lang w:val="fr-FR"/>
        </w:rPr>
      </w:pPr>
      <w:r w:rsidRPr="00CC76D1">
        <w:rPr>
          <w:lang w:val="fr-FR"/>
        </w:rPr>
        <w:t>Aide à la construction de b</w:t>
      </w:r>
      <w:r w:rsidR="00885CA3">
        <w:rPr>
          <w:lang w:val="fr-FR"/>
        </w:rPr>
        <w:t>ateaux de pêche au niveau local ;</w:t>
      </w:r>
    </w:p>
    <w:p w:rsidR="00EC4C5A" w:rsidRPr="00CC76D1" w:rsidRDefault="00EC4C5A" w:rsidP="00885CA3">
      <w:pPr>
        <w:pStyle w:val="Bullet1G"/>
        <w:rPr>
          <w:lang w:val="fr-FR"/>
        </w:rPr>
      </w:pPr>
      <w:r w:rsidRPr="00CC76D1">
        <w:rPr>
          <w:lang w:val="fr-FR"/>
        </w:rPr>
        <w:t>Recherche de débouchés c</w:t>
      </w:r>
      <w:r w:rsidR="00885CA3">
        <w:rPr>
          <w:lang w:val="fr-FR"/>
        </w:rPr>
        <w:t>ommerciaux pour l</w:t>
      </w:r>
      <w:r w:rsidR="00474653">
        <w:rPr>
          <w:lang w:val="fr-FR"/>
        </w:rPr>
        <w:t>’</w:t>
      </w:r>
      <w:r w:rsidR="00885CA3">
        <w:rPr>
          <w:lang w:val="fr-FR"/>
        </w:rPr>
        <w:t>étrille bleue ;</w:t>
      </w:r>
    </w:p>
    <w:p w:rsidR="00EC4C5A" w:rsidRPr="00CC76D1" w:rsidRDefault="00EC4C5A" w:rsidP="00885CA3">
      <w:pPr>
        <w:pStyle w:val="Bullet1G"/>
        <w:rPr>
          <w:lang w:val="fr-FR"/>
        </w:rPr>
      </w:pPr>
      <w:r w:rsidRPr="00CC76D1">
        <w:rPr>
          <w:lang w:val="fr-FR"/>
        </w:rPr>
        <w:t>Soutien au lancement d</w:t>
      </w:r>
      <w:r w:rsidR="00474653">
        <w:rPr>
          <w:lang w:val="fr-FR"/>
        </w:rPr>
        <w:t>’</w:t>
      </w:r>
      <w:r w:rsidRPr="00CC76D1">
        <w:rPr>
          <w:lang w:val="fr-FR"/>
        </w:rPr>
        <w:t>activités d</w:t>
      </w:r>
      <w:r w:rsidR="00474653">
        <w:rPr>
          <w:lang w:val="fr-FR"/>
        </w:rPr>
        <w:t>’</w:t>
      </w:r>
      <w:r w:rsidRPr="00CC76D1">
        <w:rPr>
          <w:lang w:val="fr-FR"/>
        </w:rPr>
        <w:t>aquaculture comme nouveau moyen de subsistance pour les femmes et les hommes vivant dans les ancienne</w:t>
      </w:r>
      <w:r w:rsidR="00885CA3">
        <w:rPr>
          <w:lang w:val="fr-FR"/>
        </w:rPr>
        <w:t>s zones touchées par le conflit ;</w:t>
      </w:r>
    </w:p>
    <w:p w:rsidR="00EC4C5A" w:rsidRPr="00CC76D1" w:rsidRDefault="00EC4C5A" w:rsidP="00885CA3">
      <w:pPr>
        <w:pStyle w:val="Bullet1G"/>
        <w:rPr>
          <w:lang w:val="fr-FR"/>
        </w:rPr>
      </w:pPr>
      <w:r w:rsidRPr="00CC76D1">
        <w:rPr>
          <w:lang w:val="fr-FR"/>
        </w:rPr>
        <w:t>Aide au renforcement de la chaîne d</w:t>
      </w:r>
      <w:r w:rsidR="00474653">
        <w:rPr>
          <w:lang w:val="fr-FR"/>
        </w:rPr>
        <w:t>’</w:t>
      </w:r>
      <w:r w:rsidRPr="00CC76D1">
        <w:rPr>
          <w:lang w:val="fr-FR"/>
        </w:rPr>
        <w:t>approvisionnement pour le</w:t>
      </w:r>
      <w:r w:rsidR="00885CA3">
        <w:rPr>
          <w:lang w:val="fr-FR"/>
        </w:rPr>
        <w:t xml:space="preserve"> développement de l</w:t>
      </w:r>
      <w:r w:rsidR="00474653">
        <w:rPr>
          <w:lang w:val="fr-FR"/>
        </w:rPr>
        <w:t>’</w:t>
      </w:r>
      <w:r w:rsidR="00885CA3">
        <w:rPr>
          <w:lang w:val="fr-FR"/>
        </w:rPr>
        <w:t>aquaculture ;</w:t>
      </w:r>
    </w:p>
    <w:p w:rsidR="00EC4C5A" w:rsidRPr="00CC76D1" w:rsidRDefault="00885CA3" w:rsidP="00885CA3">
      <w:pPr>
        <w:pStyle w:val="Bullet1G"/>
        <w:rPr>
          <w:lang w:val="fr-FR"/>
        </w:rPr>
      </w:pPr>
      <w:r>
        <w:rPr>
          <w:lang w:val="fr-FR"/>
        </w:rPr>
        <w:t>Développement du maraîchage ;</w:t>
      </w:r>
    </w:p>
    <w:p w:rsidR="00EC4C5A" w:rsidRPr="00CC76D1" w:rsidRDefault="00EC4C5A" w:rsidP="00885CA3">
      <w:pPr>
        <w:pStyle w:val="Bullet1G"/>
        <w:rPr>
          <w:lang w:val="fr-FR"/>
        </w:rPr>
      </w:pPr>
      <w:r w:rsidRPr="00CC76D1">
        <w:rPr>
          <w:lang w:val="fr-FR"/>
        </w:rPr>
        <w:t>Aide à la transformation e</w:t>
      </w:r>
      <w:r w:rsidR="00885CA3">
        <w:rPr>
          <w:lang w:val="fr-FR"/>
        </w:rPr>
        <w:t>t à la commercialisation du riz ;</w:t>
      </w:r>
    </w:p>
    <w:p w:rsidR="00EC4C5A" w:rsidRPr="00CC76D1" w:rsidRDefault="00EC4C5A" w:rsidP="00885CA3">
      <w:pPr>
        <w:pStyle w:val="Bullet1G"/>
        <w:rPr>
          <w:lang w:val="fr-FR"/>
        </w:rPr>
      </w:pPr>
      <w:r w:rsidRPr="00CC76D1">
        <w:rPr>
          <w:lang w:val="fr-FR"/>
        </w:rPr>
        <w:t>Projet WEDGE pour la promotion de l</w:t>
      </w:r>
      <w:r w:rsidR="00474653">
        <w:rPr>
          <w:lang w:val="fr-FR"/>
        </w:rPr>
        <w:t>’</w:t>
      </w:r>
      <w:r w:rsidRPr="00CC76D1">
        <w:rPr>
          <w:lang w:val="fr-FR"/>
        </w:rPr>
        <w:t>entrepreneuriat féminin et de l</w:t>
      </w:r>
      <w:r w:rsidR="00474653">
        <w:rPr>
          <w:lang w:val="fr-FR"/>
        </w:rPr>
        <w:t>’</w:t>
      </w:r>
      <w:r w:rsidRPr="00CC76D1">
        <w:rPr>
          <w:lang w:val="fr-FR"/>
        </w:rPr>
        <w:t>égalité entre femmes et hommes</w:t>
      </w:r>
      <w:r w:rsidR="00885CA3">
        <w:rPr>
          <w:lang w:val="fr-FR"/>
        </w:rPr>
        <w:t>.</w:t>
      </w:r>
    </w:p>
    <w:p w:rsidR="00EC4C5A" w:rsidRPr="00CC76D1" w:rsidRDefault="00EC4C5A" w:rsidP="00885CA3">
      <w:pPr>
        <w:pStyle w:val="SingleTxtG"/>
        <w:rPr>
          <w:lang w:val="fr-FR"/>
        </w:rPr>
      </w:pPr>
      <w:r w:rsidRPr="00CC76D1">
        <w:rPr>
          <w:lang w:val="fr-FR"/>
        </w:rPr>
        <w:t>64.</w:t>
      </w:r>
      <w:r w:rsidRPr="00CC76D1">
        <w:rPr>
          <w:lang w:val="fr-FR"/>
        </w:rPr>
        <w:tab/>
        <w:t>Les résultats du projet LEED (au 28/02/2016) fi</w:t>
      </w:r>
      <w:r w:rsidR="00885CA3">
        <w:rPr>
          <w:lang w:val="fr-FR"/>
        </w:rPr>
        <w:t>gurent dans le tableau ci-après :</w:t>
      </w:r>
    </w:p>
    <w:tbl>
      <w:tblPr>
        <w:tblW w:w="7370" w:type="dxa"/>
        <w:tblInd w:w="1134" w:type="dxa"/>
        <w:tblLayout w:type="fixed"/>
        <w:tblCellMar>
          <w:left w:w="0" w:type="dxa"/>
          <w:right w:w="0" w:type="dxa"/>
        </w:tblCellMar>
        <w:tblLook w:val="00A0" w:firstRow="1" w:lastRow="0" w:firstColumn="1" w:lastColumn="0" w:noHBand="0" w:noVBand="0"/>
      </w:tblPr>
      <w:tblGrid>
        <w:gridCol w:w="1927"/>
        <w:gridCol w:w="1171"/>
        <w:gridCol w:w="1097"/>
        <w:gridCol w:w="1167"/>
        <w:gridCol w:w="1167"/>
        <w:gridCol w:w="841"/>
      </w:tblGrid>
      <w:tr w:rsidR="00885CA3" w:rsidRPr="00885CA3" w:rsidTr="00885CA3">
        <w:trPr>
          <w:tblHeader/>
        </w:trPr>
        <w:tc>
          <w:tcPr>
            <w:tcW w:w="1927" w:type="dxa"/>
            <w:tcBorders>
              <w:top w:val="single" w:sz="4" w:space="0" w:color="auto"/>
              <w:bottom w:val="single" w:sz="12" w:space="0" w:color="auto"/>
            </w:tcBorders>
            <w:shd w:val="clear" w:color="auto" w:fill="auto"/>
            <w:vAlign w:val="bottom"/>
          </w:tcPr>
          <w:p w:rsidR="00EC4C5A" w:rsidRPr="00885CA3" w:rsidRDefault="00EC4C5A" w:rsidP="00885CA3">
            <w:pPr>
              <w:suppressAutoHyphens w:val="0"/>
              <w:spacing w:before="80" w:after="80" w:line="200" w:lineRule="exact"/>
              <w:rPr>
                <w:i/>
                <w:sz w:val="16"/>
                <w:lang w:val="fr-FR"/>
              </w:rPr>
            </w:pPr>
            <w:r w:rsidRPr="00885CA3">
              <w:rPr>
                <w:i/>
                <w:sz w:val="16"/>
                <w:lang w:val="fr-FR"/>
              </w:rPr>
              <w:t>Secteur</w:t>
            </w:r>
          </w:p>
        </w:tc>
        <w:tc>
          <w:tcPr>
            <w:tcW w:w="1171" w:type="dxa"/>
            <w:tcBorders>
              <w:top w:val="single" w:sz="4" w:space="0" w:color="auto"/>
              <w:bottom w:val="single" w:sz="12" w:space="0" w:color="auto"/>
            </w:tcBorders>
            <w:shd w:val="clear" w:color="auto" w:fill="auto"/>
            <w:vAlign w:val="bottom"/>
          </w:tcPr>
          <w:p w:rsidR="00EC4C5A" w:rsidRPr="00885CA3" w:rsidRDefault="00EC4C5A" w:rsidP="00885CA3">
            <w:pPr>
              <w:suppressAutoHyphens w:val="0"/>
              <w:spacing w:before="80" w:after="80" w:line="200" w:lineRule="exact"/>
              <w:jc w:val="right"/>
              <w:rPr>
                <w:i/>
                <w:sz w:val="16"/>
                <w:lang w:val="fr-FR"/>
              </w:rPr>
            </w:pPr>
            <w:r w:rsidRPr="00885CA3">
              <w:rPr>
                <w:i/>
                <w:sz w:val="16"/>
                <w:lang w:val="fr-FR"/>
              </w:rPr>
              <w:t>Nombre d</w:t>
            </w:r>
            <w:r w:rsidR="00474653">
              <w:rPr>
                <w:i/>
                <w:sz w:val="16"/>
                <w:lang w:val="fr-FR"/>
              </w:rPr>
              <w:t>’</w:t>
            </w:r>
            <w:r w:rsidRPr="00885CA3">
              <w:rPr>
                <w:i/>
                <w:sz w:val="16"/>
                <w:lang w:val="fr-FR"/>
              </w:rPr>
              <w:t>emplois indépendants créés</w:t>
            </w:r>
          </w:p>
        </w:tc>
        <w:tc>
          <w:tcPr>
            <w:tcW w:w="1097" w:type="dxa"/>
            <w:tcBorders>
              <w:top w:val="single" w:sz="4" w:space="0" w:color="auto"/>
              <w:bottom w:val="single" w:sz="12" w:space="0" w:color="auto"/>
            </w:tcBorders>
            <w:shd w:val="clear" w:color="auto" w:fill="auto"/>
            <w:vAlign w:val="bottom"/>
          </w:tcPr>
          <w:p w:rsidR="00EC4C5A" w:rsidRPr="00885CA3" w:rsidRDefault="00EC4C5A" w:rsidP="00885CA3">
            <w:pPr>
              <w:suppressAutoHyphens w:val="0"/>
              <w:spacing w:before="80" w:after="80" w:line="200" w:lineRule="exact"/>
              <w:jc w:val="right"/>
              <w:rPr>
                <w:i/>
                <w:sz w:val="16"/>
                <w:lang w:val="fr-FR"/>
              </w:rPr>
            </w:pPr>
            <w:r w:rsidRPr="00885CA3">
              <w:rPr>
                <w:i/>
                <w:sz w:val="16"/>
                <w:lang w:val="fr-FR"/>
              </w:rPr>
              <w:t>Nombre d</w:t>
            </w:r>
            <w:r w:rsidR="00474653">
              <w:rPr>
                <w:i/>
                <w:sz w:val="16"/>
                <w:lang w:val="fr-FR"/>
              </w:rPr>
              <w:t>’</w:t>
            </w:r>
            <w:r w:rsidRPr="00885CA3">
              <w:rPr>
                <w:i/>
                <w:sz w:val="16"/>
                <w:lang w:val="fr-FR"/>
              </w:rPr>
              <w:t>emplois directs créés</w:t>
            </w:r>
          </w:p>
        </w:tc>
        <w:tc>
          <w:tcPr>
            <w:tcW w:w="1167" w:type="dxa"/>
            <w:tcBorders>
              <w:top w:val="single" w:sz="4" w:space="0" w:color="auto"/>
              <w:bottom w:val="single" w:sz="12" w:space="0" w:color="auto"/>
            </w:tcBorders>
            <w:shd w:val="clear" w:color="auto" w:fill="auto"/>
            <w:vAlign w:val="bottom"/>
          </w:tcPr>
          <w:p w:rsidR="00EC4C5A" w:rsidRPr="00885CA3" w:rsidRDefault="00EC4C5A" w:rsidP="00885CA3">
            <w:pPr>
              <w:suppressAutoHyphens w:val="0"/>
              <w:spacing w:before="80" w:after="80" w:line="200" w:lineRule="exact"/>
              <w:jc w:val="right"/>
              <w:rPr>
                <w:i/>
                <w:sz w:val="16"/>
                <w:lang w:val="fr-FR"/>
              </w:rPr>
            </w:pPr>
            <w:r w:rsidRPr="00885CA3">
              <w:rPr>
                <w:i/>
                <w:sz w:val="16"/>
                <w:lang w:val="fr-FR"/>
              </w:rPr>
              <w:t>Nombre de personnes ayant accès à de meilleurs débouchés commerciaux</w:t>
            </w:r>
          </w:p>
        </w:tc>
        <w:tc>
          <w:tcPr>
            <w:tcW w:w="1167" w:type="dxa"/>
            <w:tcBorders>
              <w:top w:val="single" w:sz="4" w:space="0" w:color="auto"/>
              <w:bottom w:val="single" w:sz="12" w:space="0" w:color="auto"/>
            </w:tcBorders>
            <w:shd w:val="clear" w:color="auto" w:fill="auto"/>
            <w:vAlign w:val="bottom"/>
          </w:tcPr>
          <w:p w:rsidR="00EC4C5A" w:rsidRPr="00885CA3" w:rsidRDefault="00EC4C5A" w:rsidP="00885CA3">
            <w:pPr>
              <w:suppressAutoHyphens w:val="0"/>
              <w:spacing w:before="80" w:after="80" w:line="200" w:lineRule="exact"/>
              <w:jc w:val="right"/>
              <w:rPr>
                <w:i/>
                <w:sz w:val="16"/>
                <w:lang w:val="fr-FR"/>
              </w:rPr>
            </w:pPr>
            <w:r w:rsidRPr="00885CA3">
              <w:rPr>
                <w:i/>
                <w:sz w:val="16"/>
                <w:lang w:val="fr-FR"/>
              </w:rPr>
              <w:t>Revenu mensuel moyen par personne</w:t>
            </w:r>
          </w:p>
        </w:tc>
        <w:tc>
          <w:tcPr>
            <w:tcW w:w="841" w:type="dxa"/>
            <w:tcBorders>
              <w:top w:val="single" w:sz="4" w:space="0" w:color="auto"/>
              <w:bottom w:val="single" w:sz="12" w:space="0" w:color="auto"/>
            </w:tcBorders>
            <w:shd w:val="clear" w:color="auto" w:fill="auto"/>
            <w:vAlign w:val="bottom"/>
          </w:tcPr>
          <w:p w:rsidR="00EC4C5A" w:rsidRPr="00885CA3" w:rsidRDefault="00EC4C5A" w:rsidP="00885CA3">
            <w:pPr>
              <w:suppressAutoHyphens w:val="0"/>
              <w:spacing w:before="80" w:after="80" w:line="200" w:lineRule="exact"/>
              <w:jc w:val="right"/>
              <w:rPr>
                <w:i/>
                <w:sz w:val="16"/>
                <w:lang w:val="fr-FR"/>
              </w:rPr>
            </w:pPr>
            <w:r w:rsidRPr="00885CA3">
              <w:rPr>
                <w:i/>
                <w:sz w:val="16"/>
                <w:lang w:val="fr-FR"/>
              </w:rPr>
              <w:t xml:space="preserve">Revenu total gagné (en millions de roupies) </w:t>
            </w:r>
          </w:p>
        </w:tc>
      </w:tr>
      <w:tr w:rsidR="00885CA3" w:rsidRPr="00885CA3" w:rsidTr="00885CA3">
        <w:tc>
          <w:tcPr>
            <w:tcW w:w="1927" w:type="dxa"/>
            <w:shd w:val="clear" w:color="auto" w:fill="auto"/>
          </w:tcPr>
          <w:p w:rsidR="00EC4C5A" w:rsidRPr="00885CA3" w:rsidRDefault="00EC4C5A" w:rsidP="00885CA3">
            <w:pPr>
              <w:suppressAutoHyphens w:val="0"/>
              <w:spacing w:before="40" w:after="40" w:line="220" w:lineRule="exact"/>
              <w:rPr>
                <w:sz w:val="18"/>
                <w:szCs w:val="18"/>
                <w:lang w:val="fr-FR"/>
              </w:rPr>
            </w:pPr>
            <w:r w:rsidRPr="00885CA3">
              <w:rPr>
                <w:sz w:val="18"/>
                <w:szCs w:val="18"/>
                <w:lang w:val="fr-FR"/>
              </w:rPr>
              <w:t xml:space="preserve">Rizières </w:t>
            </w:r>
          </w:p>
        </w:tc>
        <w:tc>
          <w:tcPr>
            <w:tcW w:w="1171" w:type="dxa"/>
            <w:shd w:val="clear" w:color="auto" w:fill="auto"/>
            <w:vAlign w:val="bottom"/>
          </w:tcPr>
          <w:p w:rsidR="00EC4C5A" w:rsidRPr="00885CA3" w:rsidRDefault="00EC4C5A" w:rsidP="00885CA3">
            <w:pPr>
              <w:suppressAutoHyphens w:val="0"/>
              <w:spacing w:before="40" w:after="40" w:line="220" w:lineRule="exact"/>
              <w:jc w:val="right"/>
              <w:rPr>
                <w:sz w:val="18"/>
                <w:szCs w:val="18"/>
                <w:lang w:val="fr-FR"/>
              </w:rPr>
            </w:pPr>
            <w:r w:rsidRPr="00885CA3">
              <w:rPr>
                <w:sz w:val="18"/>
                <w:szCs w:val="18"/>
                <w:lang w:val="fr-FR"/>
              </w:rPr>
              <w:t>30</w:t>
            </w:r>
          </w:p>
        </w:tc>
        <w:tc>
          <w:tcPr>
            <w:tcW w:w="1097" w:type="dxa"/>
            <w:shd w:val="clear" w:color="auto" w:fill="auto"/>
            <w:vAlign w:val="bottom"/>
          </w:tcPr>
          <w:p w:rsidR="00EC4C5A" w:rsidRPr="00885CA3" w:rsidRDefault="00EC4C5A" w:rsidP="00885CA3">
            <w:pPr>
              <w:suppressAutoHyphens w:val="0"/>
              <w:spacing w:before="40" w:after="40" w:line="220" w:lineRule="exact"/>
              <w:jc w:val="right"/>
              <w:rPr>
                <w:sz w:val="18"/>
                <w:szCs w:val="18"/>
                <w:lang w:val="fr-FR"/>
              </w:rPr>
            </w:pPr>
            <w:r w:rsidRPr="00885CA3">
              <w:rPr>
                <w:sz w:val="18"/>
                <w:szCs w:val="18"/>
                <w:lang w:val="fr-FR"/>
              </w:rPr>
              <w:t>150</w:t>
            </w:r>
          </w:p>
        </w:tc>
        <w:tc>
          <w:tcPr>
            <w:tcW w:w="1167" w:type="dxa"/>
            <w:shd w:val="clear" w:color="auto" w:fill="auto"/>
            <w:vAlign w:val="bottom"/>
          </w:tcPr>
          <w:p w:rsidR="00EC4C5A" w:rsidRPr="00885CA3" w:rsidRDefault="00EC4C5A" w:rsidP="00885CA3">
            <w:pPr>
              <w:suppressAutoHyphens w:val="0"/>
              <w:spacing w:before="40" w:after="40" w:line="220" w:lineRule="exact"/>
              <w:jc w:val="right"/>
              <w:rPr>
                <w:sz w:val="18"/>
                <w:szCs w:val="18"/>
                <w:lang w:val="fr-FR"/>
              </w:rPr>
            </w:pPr>
            <w:r w:rsidRPr="00885CA3">
              <w:rPr>
                <w:sz w:val="18"/>
                <w:szCs w:val="18"/>
                <w:lang w:val="fr-FR"/>
              </w:rPr>
              <w:t>8 000</w:t>
            </w:r>
          </w:p>
        </w:tc>
        <w:tc>
          <w:tcPr>
            <w:tcW w:w="1167" w:type="dxa"/>
            <w:shd w:val="clear" w:color="auto" w:fill="auto"/>
            <w:vAlign w:val="bottom"/>
          </w:tcPr>
          <w:p w:rsidR="00EC4C5A" w:rsidRPr="00885CA3" w:rsidRDefault="0012688C" w:rsidP="00885CA3">
            <w:pPr>
              <w:suppressAutoHyphens w:val="0"/>
              <w:spacing w:before="40" w:after="40" w:line="220" w:lineRule="exact"/>
              <w:jc w:val="right"/>
              <w:rPr>
                <w:sz w:val="18"/>
                <w:szCs w:val="18"/>
                <w:lang w:val="fr-FR"/>
              </w:rPr>
            </w:pPr>
            <w:r>
              <w:rPr>
                <w:sz w:val="18"/>
                <w:szCs w:val="18"/>
                <w:lang w:val="fr-FR"/>
              </w:rPr>
              <w:t>12 000,</w:t>
            </w:r>
            <w:r w:rsidR="00EC4C5A" w:rsidRPr="00885CA3">
              <w:rPr>
                <w:sz w:val="18"/>
                <w:szCs w:val="18"/>
                <w:lang w:val="fr-FR"/>
              </w:rPr>
              <w:t>00</w:t>
            </w:r>
          </w:p>
        </w:tc>
        <w:tc>
          <w:tcPr>
            <w:tcW w:w="841" w:type="dxa"/>
            <w:shd w:val="clear" w:color="auto" w:fill="auto"/>
            <w:vAlign w:val="bottom"/>
          </w:tcPr>
          <w:p w:rsidR="00EC4C5A" w:rsidRPr="00885CA3" w:rsidRDefault="00EC4C5A" w:rsidP="00885CA3">
            <w:pPr>
              <w:suppressAutoHyphens w:val="0"/>
              <w:spacing w:before="40" w:after="40" w:line="220" w:lineRule="exact"/>
              <w:jc w:val="right"/>
              <w:rPr>
                <w:sz w:val="18"/>
                <w:szCs w:val="18"/>
                <w:lang w:val="fr-FR"/>
              </w:rPr>
            </w:pPr>
            <w:r w:rsidRPr="00885CA3">
              <w:rPr>
                <w:sz w:val="18"/>
                <w:szCs w:val="18"/>
                <w:lang w:val="fr-FR"/>
              </w:rPr>
              <w:t>90</w:t>
            </w:r>
          </w:p>
        </w:tc>
      </w:tr>
      <w:tr w:rsidR="00885CA3" w:rsidRPr="00885CA3" w:rsidTr="00885CA3">
        <w:tc>
          <w:tcPr>
            <w:tcW w:w="1927" w:type="dxa"/>
            <w:shd w:val="clear" w:color="auto" w:fill="auto"/>
          </w:tcPr>
          <w:p w:rsidR="00EC4C5A" w:rsidRPr="00885CA3" w:rsidRDefault="00EC4C5A" w:rsidP="00885CA3">
            <w:pPr>
              <w:suppressAutoHyphens w:val="0"/>
              <w:spacing w:before="40" w:after="40" w:line="220" w:lineRule="exact"/>
              <w:rPr>
                <w:sz w:val="18"/>
                <w:szCs w:val="18"/>
                <w:lang w:val="fr-FR"/>
              </w:rPr>
            </w:pPr>
            <w:r w:rsidRPr="00885CA3">
              <w:rPr>
                <w:sz w:val="18"/>
                <w:szCs w:val="18"/>
                <w:lang w:val="fr-FR"/>
              </w:rPr>
              <w:t xml:space="preserve">Pêche </w:t>
            </w:r>
          </w:p>
        </w:tc>
        <w:tc>
          <w:tcPr>
            <w:tcW w:w="1171" w:type="dxa"/>
            <w:shd w:val="clear" w:color="auto" w:fill="auto"/>
            <w:vAlign w:val="bottom"/>
          </w:tcPr>
          <w:p w:rsidR="00EC4C5A" w:rsidRPr="00885CA3" w:rsidRDefault="00EC4C5A" w:rsidP="00885CA3">
            <w:pPr>
              <w:suppressAutoHyphens w:val="0"/>
              <w:spacing w:before="40" w:after="40" w:line="220" w:lineRule="exact"/>
              <w:jc w:val="right"/>
              <w:rPr>
                <w:sz w:val="18"/>
                <w:szCs w:val="18"/>
                <w:lang w:val="fr-FR"/>
              </w:rPr>
            </w:pPr>
            <w:r w:rsidRPr="00885CA3">
              <w:rPr>
                <w:sz w:val="18"/>
                <w:szCs w:val="18"/>
                <w:lang w:val="fr-FR"/>
              </w:rPr>
              <w:t>750</w:t>
            </w:r>
          </w:p>
        </w:tc>
        <w:tc>
          <w:tcPr>
            <w:tcW w:w="1097" w:type="dxa"/>
            <w:shd w:val="clear" w:color="auto" w:fill="auto"/>
            <w:vAlign w:val="bottom"/>
          </w:tcPr>
          <w:p w:rsidR="00EC4C5A" w:rsidRPr="00885CA3" w:rsidRDefault="00EC4C5A" w:rsidP="00885CA3">
            <w:pPr>
              <w:suppressAutoHyphens w:val="0"/>
              <w:spacing w:before="40" w:after="40" w:line="220" w:lineRule="exact"/>
              <w:jc w:val="right"/>
              <w:rPr>
                <w:sz w:val="18"/>
                <w:szCs w:val="18"/>
                <w:lang w:val="fr-FR"/>
              </w:rPr>
            </w:pPr>
            <w:r w:rsidRPr="00885CA3">
              <w:rPr>
                <w:sz w:val="18"/>
                <w:szCs w:val="18"/>
                <w:lang w:val="fr-FR"/>
              </w:rPr>
              <w:t>150</w:t>
            </w:r>
          </w:p>
        </w:tc>
        <w:tc>
          <w:tcPr>
            <w:tcW w:w="1167" w:type="dxa"/>
            <w:shd w:val="clear" w:color="auto" w:fill="auto"/>
            <w:vAlign w:val="bottom"/>
          </w:tcPr>
          <w:p w:rsidR="00EC4C5A" w:rsidRPr="00885CA3" w:rsidRDefault="00EC4C5A" w:rsidP="00885CA3">
            <w:pPr>
              <w:suppressAutoHyphens w:val="0"/>
              <w:spacing w:before="40" w:after="40" w:line="220" w:lineRule="exact"/>
              <w:jc w:val="right"/>
              <w:rPr>
                <w:sz w:val="18"/>
                <w:szCs w:val="18"/>
                <w:lang w:val="fr-FR"/>
              </w:rPr>
            </w:pPr>
            <w:r w:rsidRPr="00885CA3">
              <w:rPr>
                <w:sz w:val="18"/>
                <w:szCs w:val="18"/>
                <w:lang w:val="fr-FR"/>
              </w:rPr>
              <w:t>920</w:t>
            </w:r>
          </w:p>
        </w:tc>
        <w:tc>
          <w:tcPr>
            <w:tcW w:w="1167" w:type="dxa"/>
            <w:shd w:val="clear" w:color="auto" w:fill="auto"/>
            <w:vAlign w:val="bottom"/>
          </w:tcPr>
          <w:p w:rsidR="00EC4C5A" w:rsidRPr="00885CA3" w:rsidRDefault="00EC4C5A" w:rsidP="00885CA3">
            <w:pPr>
              <w:suppressAutoHyphens w:val="0"/>
              <w:spacing w:before="40" w:after="40" w:line="220" w:lineRule="exact"/>
              <w:jc w:val="right"/>
              <w:rPr>
                <w:sz w:val="18"/>
                <w:szCs w:val="18"/>
                <w:lang w:val="fr-FR"/>
              </w:rPr>
            </w:pPr>
            <w:r w:rsidRPr="00885CA3">
              <w:rPr>
                <w:sz w:val="18"/>
                <w:szCs w:val="18"/>
                <w:lang w:val="fr-FR"/>
              </w:rPr>
              <w:t>23</w:t>
            </w:r>
            <w:r w:rsidR="0012688C">
              <w:rPr>
                <w:sz w:val="18"/>
                <w:szCs w:val="18"/>
                <w:lang w:val="fr-FR"/>
              </w:rPr>
              <w:t> 500,</w:t>
            </w:r>
            <w:r w:rsidRPr="00885CA3">
              <w:rPr>
                <w:sz w:val="18"/>
                <w:szCs w:val="18"/>
                <w:lang w:val="fr-FR"/>
              </w:rPr>
              <w:t>00</w:t>
            </w:r>
          </w:p>
        </w:tc>
        <w:tc>
          <w:tcPr>
            <w:tcW w:w="841" w:type="dxa"/>
            <w:shd w:val="clear" w:color="auto" w:fill="auto"/>
            <w:vAlign w:val="bottom"/>
          </w:tcPr>
          <w:p w:rsidR="00EC4C5A" w:rsidRPr="00885CA3" w:rsidRDefault="00EC4C5A" w:rsidP="00885CA3">
            <w:pPr>
              <w:suppressAutoHyphens w:val="0"/>
              <w:spacing w:before="40" w:after="40" w:line="220" w:lineRule="exact"/>
              <w:jc w:val="right"/>
              <w:rPr>
                <w:sz w:val="18"/>
                <w:szCs w:val="18"/>
                <w:lang w:val="fr-FR"/>
              </w:rPr>
            </w:pPr>
            <w:r w:rsidRPr="00885CA3">
              <w:rPr>
                <w:sz w:val="18"/>
                <w:szCs w:val="18"/>
                <w:lang w:val="fr-FR"/>
              </w:rPr>
              <w:t>80</w:t>
            </w:r>
          </w:p>
        </w:tc>
      </w:tr>
      <w:tr w:rsidR="00885CA3" w:rsidRPr="00885CA3" w:rsidTr="00885CA3">
        <w:tc>
          <w:tcPr>
            <w:tcW w:w="1927" w:type="dxa"/>
            <w:shd w:val="clear" w:color="auto" w:fill="auto"/>
          </w:tcPr>
          <w:p w:rsidR="00EC4C5A" w:rsidRPr="00885CA3" w:rsidRDefault="00EC4C5A" w:rsidP="00885CA3">
            <w:pPr>
              <w:suppressAutoHyphens w:val="0"/>
              <w:spacing w:before="40" w:after="40" w:line="220" w:lineRule="exact"/>
              <w:rPr>
                <w:sz w:val="18"/>
                <w:szCs w:val="18"/>
                <w:lang w:val="fr-FR"/>
              </w:rPr>
            </w:pPr>
            <w:r w:rsidRPr="00885CA3">
              <w:rPr>
                <w:sz w:val="18"/>
                <w:szCs w:val="18"/>
                <w:lang w:val="fr-FR"/>
              </w:rPr>
              <w:t xml:space="preserve">Maraîchage </w:t>
            </w:r>
          </w:p>
        </w:tc>
        <w:tc>
          <w:tcPr>
            <w:tcW w:w="1171" w:type="dxa"/>
            <w:shd w:val="clear" w:color="auto" w:fill="auto"/>
            <w:vAlign w:val="bottom"/>
          </w:tcPr>
          <w:p w:rsidR="00EC4C5A" w:rsidRPr="00885CA3" w:rsidRDefault="00EC4C5A" w:rsidP="00885CA3">
            <w:pPr>
              <w:suppressAutoHyphens w:val="0"/>
              <w:spacing w:before="40" w:after="40" w:line="220" w:lineRule="exact"/>
              <w:jc w:val="right"/>
              <w:rPr>
                <w:sz w:val="18"/>
                <w:szCs w:val="18"/>
                <w:lang w:val="fr-FR"/>
              </w:rPr>
            </w:pPr>
            <w:r w:rsidRPr="00885CA3">
              <w:rPr>
                <w:sz w:val="18"/>
                <w:szCs w:val="18"/>
                <w:lang w:val="fr-FR"/>
              </w:rPr>
              <w:t>2 000</w:t>
            </w:r>
          </w:p>
        </w:tc>
        <w:tc>
          <w:tcPr>
            <w:tcW w:w="1097" w:type="dxa"/>
            <w:shd w:val="clear" w:color="auto" w:fill="auto"/>
            <w:vAlign w:val="bottom"/>
          </w:tcPr>
          <w:p w:rsidR="00EC4C5A" w:rsidRPr="00885CA3" w:rsidRDefault="00EC4C5A" w:rsidP="00885CA3">
            <w:pPr>
              <w:suppressAutoHyphens w:val="0"/>
              <w:spacing w:before="40" w:after="40" w:line="220" w:lineRule="exact"/>
              <w:jc w:val="right"/>
              <w:rPr>
                <w:sz w:val="18"/>
                <w:szCs w:val="18"/>
                <w:lang w:val="fr-FR"/>
              </w:rPr>
            </w:pPr>
            <w:r w:rsidRPr="00885CA3">
              <w:rPr>
                <w:sz w:val="18"/>
                <w:szCs w:val="18"/>
                <w:lang w:val="fr-FR"/>
              </w:rPr>
              <w:t>50</w:t>
            </w:r>
          </w:p>
        </w:tc>
        <w:tc>
          <w:tcPr>
            <w:tcW w:w="1167" w:type="dxa"/>
            <w:shd w:val="clear" w:color="auto" w:fill="auto"/>
            <w:vAlign w:val="bottom"/>
          </w:tcPr>
          <w:p w:rsidR="00EC4C5A" w:rsidRPr="00885CA3" w:rsidRDefault="00EC4C5A" w:rsidP="00885CA3">
            <w:pPr>
              <w:suppressAutoHyphens w:val="0"/>
              <w:spacing w:before="40" w:after="40" w:line="220" w:lineRule="exact"/>
              <w:jc w:val="right"/>
              <w:rPr>
                <w:sz w:val="18"/>
                <w:szCs w:val="18"/>
                <w:lang w:val="fr-FR"/>
              </w:rPr>
            </w:pPr>
            <w:r w:rsidRPr="00885CA3">
              <w:rPr>
                <w:sz w:val="18"/>
                <w:szCs w:val="18"/>
                <w:lang w:val="fr-FR"/>
              </w:rPr>
              <w:t>1 950</w:t>
            </w:r>
          </w:p>
        </w:tc>
        <w:tc>
          <w:tcPr>
            <w:tcW w:w="1167" w:type="dxa"/>
            <w:shd w:val="clear" w:color="auto" w:fill="auto"/>
            <w:vAlign w:val="bottom"/>
          </w:tcPr>
          <w:p w:rsidR="00EC4C5A" w:rsidRPr="00885CA3" w:rsidRDefault="0012688C" w:rsidP="00885CA3">
            <w:pPr>
              <w:suppressAutoHyphens w:val="0"/>
              <w:spacing w:before="40" w:after="40" w:line="220" w:lineRule="exact"/>
              <w:jc w:val="right"/>
              <w:rPr>
                <w:sz w:val="18"/>
                <w:szCs w:val="18"/>
                <w:lang w:val="fr-FR"/>
              </w:rPr>
            </w:pPr>
            <w:r>
              <w:rPr>
                <w:sz w:val="18"/>
                <w:szCs w:val="18"/>
                <w:lang w:val="fr-FR"/>
              </w:rPr>
              <w:t>30 000,</w:t>
            </w:r>
            <w:r w:rsidR="00EC4C5A" w:rsidRPr="00885CA3">
              <w:rPr>
                <w:sz w:val="18"/>
                <w:szCs w:val="18"/>
                <w:lang w:val="fr-FR"/>
              </w:rPr>
              <w:t>00</w:t>
            </w:r>
          </w:p>
        </w:tc>
        <w:tc>
          <w:tcPr>
            <w:tcW w:w="841" w:type="dxa"/>
            <w:shd w:val="clear" w:color="auto" w:fill="auto"/>
            <w:vAlign w:val="bottom"/>
          </w:tcPr>
          <w:p w:rsidR="00EC4C5A" w:rsidRPr="00885CA3" w:rsidRDefault="00EC4C5A" w:rsidP="00885CA3">
            <w:pPr>
              <w:suppressAutoHyphens w:val="0"/>
              <w:spacing w:before="40" w:after="40" w:line="220" w:lineRule="exact"/>
              <w:jc w:val="right"/>
              <w:rPr>
                <w:sz w:val="18"/>
                <w:szCs w:val="18"/>
                <w:lang w:val="fr-FR"/>
              </w:rPr>
            </w:pPr>
            <w:r w:rsidRPr="00885CA3">
              <w:rPr>
                <w:sz w:val="18"/>
                <w:szCs w:val="18"/>
                <w:lang w:val="fr-FR"/>
              </w:rPr>
              <w:t>210</w:t>
            </w:r>
          </w:p>
        </w:tc>
      </w:tr>
      <w:tr w:rsidR="00885CA3" w:rsidRPr="00885CA3" w:rsidTr="00885CA3">
        <w:tc>
          <w:tcPr>
            <w:tcW w:w="1927" w:type="dxa"/>
            <w:shd w:val="clear" w:color="auto" w:fill="auto"/>
          </w:tcPr>
          <w:p w:rsidR="00EC4C5A" w:rsidRPr="00885CA3" w:rsidRDefault="00EC4C5A" w:rsidP="00885CA3">
            <w:pPr>
              <w:suppressAutoHyphens w:val="0"/>
              <w:spacing w:before="40" w:after="40" w:line="220" w:lineRule="exact"/>
              <w:rPr>
                <w:sz w:val="18"/>
                <w:szCs w:val="18"/>
                <w:lang w:val="fr-FR"/>
              </w:rPr>
            </w:pPr>
            <w:r w:rsidRPr="00885CA3">
              <w:rPr>
                <w:sz w:val="18"/>
                <w:szCs w:val="18"/>
                <w:lang w:val="fr-FR"/>
              </w:rPr>
              <w:t xml:space="preserve">Microentreprises et petites et moyennes entreprises </w:t>
            </w:r>
          </w:p>
        </w:tc>
        <w:tc>
          <w:tcPr>
            <w:tcW w:w="1171" w:type="dxa"/>
            <w:shd w:val="clear" w:color="auto" w:fill="auto"/>
            <w:vAlign w:val="bottom"/>
          </w:tcPr>
          <w:p w:rsidR="00EC4C5A" w:rsidRPr="00885CA3" w:rsidRDefault="00EC4C5A" w:rsidP="00885CA3">
            <w:pPr>
              <w:suppressAutoHyphens w:val="0"/>
              <w:spacing w:before="40" w:after="40" w:line="220" w:lineRule="exact"/>
              <w:jc w:val="right"/>
              <w:rPr>
                <w:sz w:val="18"/>
                <w:szCs w:val="18"/>
                <w:lang w:val="fr-FR"/>
              </w:rPr>
            </w:pPr>
            <w:r w:rsidRPr="00885CA3">
              <w:rPr>
                <w:sz w:val="18"/>
                <w:szCs w:val="18"/>
                <w:lang w:val="fr-FR"/>
              </w:rPr>
              <w:t>225</w:t>
            </w:r>
          </w:p>
        </w:tc>
        <w:tc>
          <w:tcPr>
            <w:tcW w:w="1097" w:type="dxa"/>
            <w:shd w:val="clear" w:color="auto" w:fill="auto"/>
            <w:vAlign w:val="bottom"/>
          </w:tcPr>
          <w:p w:rsidR="00EC4C5A" w:rsidRPr="00885CA3" w:rsidRDefault="0012688C" w:rsidP="00885CA3">
            <w:pPr>
              <w:suppressAutoHyphens w:val="0"/>
              <w:spacing w:before="40" w:after="40" w:line="220" w:lineRule="exact"/>
              <w:jc w:val="right"/>
              <w:rPr>
                <w:sz w:val="18"/>
                <w:szCs w:val="18"/>
                <w:lang w:val="fr-FR"/>
              </w:rPr>
            </w:pPr>
            <w:r>
              <w:rPr>
                <w:sz w:val="18"/>
                <w:szCs w:val="18"/>
                <w:lang w:val="fr-FR"/>
              </w:rPr>
              <w:t>-</w:t>
            </w:r>
          </w:p>
        </w:tc>
        <w:tc>
          <w:tcPr>
            <w:tcW w:w="1167" w:type="dxa"/>
            <w:shd w:val="clear" w:color="auto" w:fill="auto"/>
            <w:vAlign w:val="bottom"/>
          </w:tcPr>
          <w:p w:rsidR="00EC4C5A" w:rsidRPr="00885CA3" w:rsidRDefault="00EC4C5A" w:rsidP="00885CA3">
            <w:pPr>
              <w:suppressAutoHyphens w:val="0"/>
              <w:spacing w:before="40" w:after="40" w:line="220" w:lineRule="exact"/>
              <w:jc w:val="right"/>
              <w:rPr>
                <w:sz w:val="18"/>
                <w:szCs w:val="18"/>
                <w:lang w:val="fr-FR"/>
              </w:rPr>
            </w:pPr>
            <w:r w:rsidRPr="00885CA3">
              <w:rPr>
                <w:sz w:val="18"/>
                <w:szCs w:val="18"/>
                <w:lang w:val="fr-FR"/>
              </w:rPr>
              <w:t>300</w:t>
            </w:r>
          </w:p>
        </w:tc>
        <w:tc>
          <w:tcPr>
            <w:tcW w:w="1167" w:type="dxa"/>
            <w:shd w:val="clear" w:color="auto" w:fill="auto"/>
            <w:vAlign w:val="bottom"/>
          </w:tcPr>
          <w:p w:rsidR="00EC4C5A" w:rsidRPr="00885CA3" w:rsidRDefault="0012688C" w:rsidP="00885CA3">
            <w:pPr>
              <w:suppressAutoHyphens w:val="0"/>
              <w:spacing w:before="40" w:after="40" w:line="220" w:lineRule="exact"/>
              <w:jc w:val="right"/>
              <w:rPr>
                <w:sz w:val="18"/>
                <w:szCs w:val="18"/>
                <w:lang w:val="fr-FR"/>
              </w:rPr>
            </w:pPr>
            <w:r>
              <w:rPr>
                <w:sz w:val="18"/>
                <w:szCs w:val="18"/>
                <w:lang w:val="fr-FR"/>
              </w:rPr>
              <w:t>25 000,</w:t>
            </w:r>
            <w:r w:rsidR="00EC4C5A" w:rsidRPr="00885CA3">
              <w:rPr>
                <w:sz w:val="18"/>
                <w:szCs w:val="18"/>
                <w:lang w:val="fr-FR"/>
              </w:rPr>
              <w:t>00</w:t>
            </w:r>
          </w:p>
        </w:tc>
        <w:tc>
          <w:tcPr>
            <w:tcW w:w="841" w:type="dxa"/>
            <w:shd w:val="clear" w:color="auto" w:fill="auto"/>
            <w:vAlign w:val="bottom"/>
          </w:tcPr>
          <w:p w:rsidR="00EC4C5A" w:rsidRPr="00885CA3" w:rsidRDefault="00EC4C5A" w:rsidP="00885CA3">
            <w:pPr>
              <w:suppressAutoHyphens w:val="0"/>
              <w:spacing w:before="40" w:after="40" w:line="220" w:lineRule="exact"/>
              <w:jc w:val="right"/>
              <w:rPr>
                <w:sz w:val="18"/>
                <w:szCs w:val="18"/>
                <w:lang w:val="fr-FR"/>
              </w:rPr>
            </w:pPr>
            <w:r w:rsidRPr="00885CA3">
              <w:rPr>
                <w:sz w:val="18"/>
                <w:szCs w:val="18"/>
                <w:lang w:val="fr-FR"/>
              </w:rPr>
              <w:t>9</w:t>
            </w:r>
          </w:p>
        </w:tc>
      </w:tr>
      <w:tr w:rsidR="00885CA3" w:rsidRPr="00885CA3" w:rsidTr="00885CA3">
        <w:tc>
          <w:tcPr>
            <w:tcW w:w="1927" w:type="dxa"/>
            <w:tcBorders>
              <w:bottom w:val="single" w:sz="12" w:space="0" w:color="auto"/>
            </w:tcBorders>
            <w:shd w:val="clear" w:color="auto" w:fill="auto"/>
          </w:tcPr>
          <w:p w:rsidR="00EC4C5A" w:rsidRPr="00885CA3" w:rsidRDefault="00EC4C5A" w:rsidP="00885CA3">
            <w:pPr>
              <w:suppressAutoHyphens w:val="0"/>
              <w:spacing w:before="40" w:after="40" w:line="220" w:lineRule="exact"/>
              <w:rPr>
                <w:sz w:val="18"/>
                <w:szCs w:val="18"/>
                <w:lang w:val="fr-FR"/>
              </w:rPr>
            </w:pPr>
            <w:r w:rsidRPr="00885CA3">
              <w:rPr>
                <w:sz w:val="18"/>
                <w:szCs w:val="18"/>
                <w:lang w:val="fr-FR"/>
              </w:rPr>
              <w:t xml:space="preserve">Autres cultures de plein champ </w:t>
            </w:r>
          </w:p>
        </w:tc>
        <w:tc>
          <w:tcPr>
            <w:tcW w:w="1171" w:type="dxa"/>
            <w:tcBorders>
              <w:bottom w:val="single" w:sz="12" w:space="0" w:color="auto"/>
            </w:tcBorders>
            <w:shd w:val="clear" w:color="auto" w:fill="auto"/>
            <w:vAlign w:val="bottom"/>
          </w:tcPr>
          <w:p w:rsidR="00EC4C5A" w:rsidRPr="00885CA3" w:rsidRDefault="00EC4C5A" w:rsidP="00885CA3">
            <w:pPr>
              <w:suppressAutoHyphens w:val="0"/>
              <w:spacing w:before="40" w:after="40" w:line="220" w:lineRule="exact"/>
              <w:jc w:val="right"/>
              <w:rPr>
                <w:sz w:val="18"/>
                <w:szCs w:val="18"/>
                <w:lang w:val="fr-FR"/>
              </w:rPr>
            </w:pPr>
            <w:r w:rsidRPr="00885CA3">
              <w:rPr>
                <w:sz w:val="18"/>
                <w:szCs w:val="18"/>
                <w:lang w:val="fr-FR"/>
              </w:rPr>
              <w:t>500</w:t>
            </w:r>
          </w:p>
        </w:tc>
        <w:tc>
          <w:tcPr>
            <w:tcW w:w="1097" w:type="dxa"/>
            <w:tcBorders>
              <w:bottom w:val="single" w:sz="12" w:space="0" w:color="auto"/>
            </w:tcBorders>
            <w:shd w:val="clear" w:color="auto" w:fill="auto"/>
            <w:vAlign w:val="bottom"/>
          </w:tcPr>
          <w:p w:rsidR="00EC4C5A" w:rsidRPr="00885CA3" w:rsidRDefault="0012688C" w:rsidP="00885CA3">
            <w:pPr>
              <w:suppressAutoHyphens w:val="0"/>
              <w:spacing w:before="40" w:after="40" w:line="220" w:lineRule="exact"/>
              <w:jc w:val="right"/>
              <w:rPr>
                <w:sz w:val="18"/>
                <w:szCs w:val="18"/>
                <w:lang w:val="fr-FR"/>
              </w:rPr>
            </w:pPr>
            <w:r>
              <w:rPr>
                <w:sz w:val="18"/>
                <w:szCs w:val="18"/>
                <w:lang w:val="fr-FR"/>
              </w:rPr>
              <w:t>-</w:t>
            </w:r>
          </w:p>
        </w:tc>
        <w:tc>
          <w:tcPr>
            <w:tcW w:w="1167" w:type="dxa"/>
            <w:tcBorders>
              <w:bottom w:val="single" w:sz="12" w:space="0" w:color="auto"/>
            </w:tcBorders>
            <w:shd w:val="clear" w:color="auto" w:fill="auto"/>
            <w:vAlign w:val="bottom"/>
          </w:tcPr>
          <w:p w:rsidR="00EC4C5A" w:rsidRPr="00885CA3" w:rsidRDefault="00EC4C5A" w:rsidP="00885CA3">
            <w:pPr>
              <w:suppressAutoHyphens w:val="0"/>
              <w:spacing w:before="40" w:after="40" w:line="220" w:lineRule="exact"/>
              <w:jc w:val="right"/>
              <w:rPr>
                <w:sz w:val="18"/>
                <w:szCs w:val="18"/>
                <w:lang w:val="fr-FR"/>
              </w:rPr>
            </w:pPr>
            <w:r w:rsidRPr="00885CA3">
              <w:rPr>
                <w:sz w:val="18"/>
                <w:szCs w:val="18"/>
                <w:lang w:val="fr-FR"/>
              </w:rPr>
              <w:t>800</w:t>
            </w:r>
          </w:p>
        </w:tc>
        <w:tc>
          <w:tcPr>
            <w:tcW w:w="1167" w:type="dxa"/>
            <w:tcBorders>
              <w:bottom w:val="single" w:sz="12" w:space="0" w:color="auto"/>
            </w:tcBorders>
            <w:shd w:val="clear" w:color="auto" w:fill="auto"/>
            <w:vAlign w:val="bottom"/>
          </w:tcPr>
          <w:p w:rsidR="00EC4C5A" w:rsidRPr="00885CA3" w:rsidRDefault="0012688C" w:rsidP="00885CA3">
            <w:pPr>
              <w:suppressAutoHyphens w:val="0"/>
              <w:spacing w:before="40" w:after="40" w:line="220" w:lineRule="exact"/>
              <w:jc w:val="right"/>
              <w:rPr>
                <w:sz w:val="18"/>
                <w:szCs w:val="18"/>
                <w:lang w:val="fr-FR"/>
              </w:rPr>
            </w:pPr>
            <w:r>
              <w:rPr>
                <w:sz w:val="18"/>
                <w:szCs w:val="18"/>
                <w:lang w:val="fr-FR"/>
              </w:rPr>
              <w:t>15 000,</w:t>
            </w:r>
            <w:r w:rsidR="00EC4C5A" w:rsidRPr="00885CA3">
              <w:rPr>
                <w:sz w:val="18"/>
                <w:szCs w:val="18"/>
                <w:lang w:val="fr-FR"/>
              </w:rPr>
              <w:t>00</w:t>
            </w:r>
          </w:p>
        </w:tc>
        <w:tc>
          <w:tcPr>
            <w:tcW w:w="841" w:type="dxa"/>
            <w:tcBorders>
              <w:bottom w:val="single" w:sz="12" w:space="0" w:color="auto"/>
            </w:tcBorders>
            <w:shd w:val="clear" w:color="auto" w:fill="auto"/>
            <w:vAlign w:val="bottom"/>
          </w:tcPr>
          <w:p w:rsidR="00EC4C5A" w:rsidRPr="00885CA3" w:rsidRDefault="00EC4C5A" w:rsidP="00885CA3">
            <w:pPr>
              <w:suppressAutoHyphens w:val="0"/>
              <w:spacing w:before="40" w:after="40" w:line="220" w:lineRule="exact"/>
              <w:jc w:val="right"/>
              <w:rPr>
                <w:sz w:val="18"/>
                <w:szCs w:val="18"/>
                <w:lang w:val="fr-FR"/>
              </w:rPr>
            </w:pPr>
            <w:r w:rsidRPr="00885CA3">
              <w:rPr>
                <w:sz w:val="18"/>
                <w:szCs w:val="18"/>
                <w:lang w:val="fr-FR"/>
              </w:rPr>
              <w:t>70</w:t>
            </w:r>
          </w:p>
        </w:tc>
      </w:tr>
    </w:tbl>
    <w:p w:rsidR="00EC4C5A" w:rsidRPr="00CC76D1" w:rsidRDefault="00EC4C5A" w:rsidP="00885CA3">
      <w:pPr>
        <w:pStyle w:val="SingleTxtG"/>
        <w:spacing w:before="240"/>
        <w:rPr>
          <w:lang w:val="fr-FR"/>
        </w:rPr>
      </w:pPr>
      <w:r w:rsidRPr="00CC76D1">
        <w:rPr>
          <w:lang w:val="fr-FR"/>
        </w:rPr>
        <w:t>65.</w:t>
      </w:r>
      <w:r w:rsidRPr="00CC76D1">
        <w:rPr>
          <w:lang w:val="fr-FR"/>
        </w:rPr>
        <w:tab/>
        <w:t>Des données statistiques détaillées sur l</w:t>
      </w:r>
      <w:r w:rsidR="00474653">
        <w:rPr>
          <w:lang w:val="fr-FR"/>
        </w:rPr>
        <w:t>’</w:t>
      </w:r>
      <w:r w:rsidRPr="00CC76D1">
        <w:rPr>
          <w:lang w:val="fr-FR"/>
        </w:rPr>
        <w:t>emploi, ventilées par sexe, groupe d</w:t>
      </w:r>
      <w:r w:rsidR="00474653">
        <w:rPr>
          <w:lang w:val="fr-FR"/>
        </w:rPr>
        <w:t>’</w:t>
      </w:r>
      <w:r w:rsidRPr="00CC76D1">
        <w:rPr>
          <w:lang w:val="fr-FR"/>
        </w:rPr>
        <w:t>âge, zone urbaine/rurale et autres facteurs pertinents figurent à l</w:t>
      </w:r>
      <w:r w:rsidR="00474653">
        <w:rPr>
          <w:lang w:val="fr-FR"/>
        </w:rPr>
        <w:t>’</w:t>
      </w:r>
      <w:r w:rsidRPr="00CC76D1">
        <w:rPr>
          <w:b/>
          <w:lang w:val="fr-FR"/>
        </w:rPr>
        <w:t>annexe IV</w:t>
      </w:r>
      <w:r w:rsidRPr="00CC76D1">
        <w:rPr>
          <w:lang w:val="fr-FR"/>
        </w:rPr>
        <w:t>.</w:t>
      </w:r>
    </w:p>
    <w:p w:rsidR="00EC4C5A" w:rsidRPr="00CC76D1" w:rsidRDefault="00EC4C5A" w:rsidP="00885CA3">
      <w:pPr>
        <w:pStyle w:val="HChG"/>
        <w:rPr>
          <w:lang w:val="fr-FR"/>
        </w:rPr>
      </w:pPr>
      <w:r w:rsidRPr="00CC76D1">
        <w:rPr>
          <w:lang w:val="fr-FR"/>
        </w:rPr>
        <w:lastRenderedPageBreak/>
        <w:tab/>
      </w:r>
      <w:r w:rsidRPr="00CC76D1">
        <w:rPr>
          <w:lang w:val="fr-FR"/>
        </w:rPr>
        <w:tab/>
        <w:t>Droit à des conditions de travail justes et favorables (art. 7)</w:t>
      </w:r>
    </w:p>
    <w:p w:rsidR="00EC4C5A" w:rsidRPr="00CC76D1" w:rsidRDefault="00EC4C5A" w:rsidP="00885CA3">
      <w:pPr>
        <w:pStyle w:val="H1G"/>
        <w:rPr>
          <w:lang w:val="fr-FR"/>
        </w:rPr>
      </w:pPr>
      <w:r w:rsidRPr="00CC76D1">
        <w:rPr>
          <w:lang w:val="fr-FR"/>
        </w:rPr>
        <w:tab/>
        <w:t>2.</w:t>
      </w:r>
      <w:r w:rsidRPr="00CC76D1">
        <w:rPr>
          <w:lang w:val="fr-FR"/>
        </w:rPr>
        <w:tab/>
        <w:t xml:space="preserve">Salaire minimum, niveau de vie </w:t>
      </w:r>
      <w:r w:rsidR="00885CA3">
        <w:rPr>
          <w:lang w:val="fr-FR"/>
        </w:rPr>
        <w:t>suffisant pour les travailleurs</w:t>
      </w:r>
      <w:r w:rsidR="00885CA3">
        <w:rPr>
          <w:lang w:val="fr-FR"/>
        </w:rPr>
        <w:br/>
      </w:r>
      <w:r w:rsidRPr="00CC76D1">
        <w:rPr>
          <w:lang w:val="fr-FR"/>
        </w:rPr>
        <w:t>et leur famille et rém</w:t>
      </w:r>
      <w:r w:rsidR="00885CA3">
        <w:rPr>
          <w:lang w:val="fr-FR"/>
        </w:rPr>
        <w:t>unération égale pour un travail</w:t>
      </w:r>
      <w:r w:rsidR="00885CA3">
        <w:rPr>
          <w:lang w:val="fr-FR"/>
        </w:rPr>
        <w:br/>
      </w:r>
      <w:r w:rsidRPr="00CC76D1">
        <w:rPr>
          <w:lang w:val="fr-FR"/>
        </w:rPr>
        <w:t>de valeur égale</w:t>
      </w:r>
    </w:p>
    <w:p w:rsidR="00EC4C5A" w:rsidRPr="00CC76D1" w:rsidRDefault="00EC4C5A" w:rsidP="00885CA3">
      <w:pPr>
        <w:pStyle w:val="H23G"/>
        <w:rPr>
          <w:lang w:val="fr-FR"/>
        </w:rPr>
      </w:pPr>
      <w:r w:rsidRPr="00CC76D1">
        <w:rPr>
          <w:lang w:val="fr-FR"/>
        </w:rPr>
        <w:tab/>
      </w:r>
      <w:r w:rsidRPr="00CC76D1">
        <w:rPr>
          <w:lang w:val="fr-FR"/>
        </w:rPr>
        <w:tab/>
        <w:t>Existence d</w:t>
      </w:r>
      <w:r w:rsidR="00474653">
        <w:rPr>
          <w:lang w:val="fr-FR"/>
        </w:rPr>
        <w:t>’</w:t>
      </w:r>
      <w:r w:rsidRPr="00CC76D1">
        <w:rPr>
          <w:lang w:val="fr-FR"/>
        </w:rPr>
        <w:t>un salaire minimum dans tous les secteurs d</w:t>
      </w:r>
      <w:r w:rsidR="00474653">
        <w:rPr>
          <w:lang w:val="fr-FR"/>
        </w:rPr>
        <w:t>’</w:t>
      </w:r>
      <w:r w:rsidRPr="00CC76D1">
        <w:rPr>
          <w:lang w:val="fr-FR"/>
        </w:rPr>
        <w:t>activité</w:t>
      </w:r>
    </w:p>
    <w:p w:rsidR="00EC4C5A" w:rsidRPr="00CC76D1" w:rsidRDefault="00EC4C5A" w:rsidP="00885CA3">
      <w:pPr>
        <w:pStyle w:val="SingleTxtG"/>
        <w:rPr>
          <w:lang w:val="fr-FR"/>
        </w:rPr>
      </w:pPr>
      <w:r w:rsidRPr="00CC76D1">
        <w:rPr>
          <w:lang w:val="fr-FR"/>
        </w:rPr>
        <w:t>66.</w:t>
      </w:r>
      <w:r w:rsidRPr="00CC76D1">
        <w:rPr>
          <w:lang w:val="fr-FR"/>
        </w:rPr>
        <w:tab/>
        <w:t>La loi n</w:t>
      </w:r>
      <w:r w:rsidRPr="00CC76D1">
        <w:rPr>
          <w:vertAlign w:val="superscript"/>
          <w:lang w:val="fr-FR"/>
        </w:rPr>
        <w:t>o</w:t>
      </w:r>
      <w:r w:rsidRPr="00CC76D1">
        <w:rPr>
          <w:lang w:val="fr-FR"/>
        </w:rPr>
        <w:t xml:space="preserve"> 3 de 2016 sur le salaire minimum national des travailleurs a été promulguée pour instaurer un salaire minimum national pour tous les travailleurs, dans tous les secteurs d</w:t>
      </w:r>
      <w:r w:rsidR="00474653">
        <w:rPr>
          <w:lang w:val="fr-FR"/>
        </w:rPr>
        <w:t>’</w:t>
      </w:r>
      <w:r w:rsidRPr="00CC76D1">
        <w:rPr>
          <w:lang w:val="fr-FR"/>
        </w:rPr>
        <w:t>activité ou services du secteur privé. En vertu de cette loi, le salaire minimum national mensuel s</w:t>
      </w:r>
      <w:r w:rsidR="00474653">
        <w:rPr>
          <w:lang w:val="fr-FR"/>
        </w:rPr>
        <w:t>’</w:t>
      </w:r>
      <w:r w:rsidRPr="00CC76D1">
        <w:rPr>
          <w:lang w:val="fr-FR"/>
        </w:rPr>
        <w:t xml:space="preserve">établit à 10 000 roupies et le salaire minimum national journalier à 400 roupies. </w:t>
      </w:r>
    </w:p>
    <w:p w:rsidR="00EC4C5A" w:rsidRPr="00CC76D1" w:rsidRDefault="00EC4C5A" w:rsidP="00885CA3">
      <w:pPr>
        <w:pStyle w:val="SingleTxtG"/>
        <w:rPr>
          <w:lang w:val="fr-FR"/>
        </w:rPr>
      </w:pPr>
      <w:r w:rsidRPr="00CC76D1">
        <w:rPr>
          <w:lang w:val="fr-FR"/>
        </w:rPr>
        <w:t>67.</w:t>
      </w:r>
      <w:r w:rsidRPr="00CC76D1">
        <w:rPr>
          <w:lang w:val="fr-FR"/>
        </w:rPr>
        <w:tab/>
        <w:t>En outre, il existe 44 commissions salariales enregistrés en vertu de l</w:t>
      </w:r>
      <w:r w:rsidR="00474653">
        <w:rPr>
          <w:lang w:val="fr-FR"/>
        </w:rPr>
        <w:t>’</w:t>
      </w:r>
      <w:r w:rsidRPr="00CC76D1">
        <w:rPr>
          <w:lang w:val="fr-FR"/>
        </w:rPr>
        <w:t>ordonnance n</w:t>
      </w:r>
      <w:r w:rsidRPr="00CC76D1">
        <w:rPr>
          <w:vertAlign w:val="superscript"/>
          <w:lang w:val="fr-FR"/>
        </w:rPr>
        <w:t>o</w:t>
      </w:r>
      <w:r w:rsidR="00682BD7">
        <w:rPr>
          <w:lang w:val="fr-FR"/>
        </w:rPr>
        <w:t> </w:t>
      </w:r>
      <w:r w:rsidRPr="00CC76D1">
        <w:rPr>
          <w:lang w:val="fr-FR"/>
        </w:rPr>
        <w:t>27 de 1941 portant création de ces organes. Celles-ci sont chargées de fixer le salaire minimum dans leur branche d</w:t>
      </w:r>
      <w:r w:rsidR="00474653">
        <w:rPr>
          <w:lang w:val="fr-FR"/>
        </w:rPr>
        <w:t>’</w:t>
      </w:r>
      <w:r w:rsidRPr="00CC76D1">
        <w:rPr>
          <w:lang w:val="fr-FR"/>
        </w:rPr>
        <w:t>activité, qui est supérieur au salaire minimum national.</w:t>
      </w:r>
    </w:p>
    <w:p w:rsidR="00EC4C5A" w:rsidRPr="00CC76D1" w:rsidRDefault="00EC4C5A" w:rsidP="00885CA3">
      <w:pPr>
        <w:pStyle w:val="H23G"/>
        <w:rPr>
          <w:lang w:val="fr-FR"/>
        </w:rPr>
      </w:pPr>
      <w:r w:rsidRPr="00CC76D1">
        <w:rPr>
          <w:lang w:val="fr-FR"/>
        </w:rPr>
        <w:tab/>
      </w:r>
      <w:r w:rsidRPr="00CC76D1">
        <w:rPr>
          <w:lang w:val="fr-FR"/>
        </w:rPr>
        <w:tab/>
        <w:t>Indiquer si le salaire minimum garantit un niveau de vie suffisant aux trava</w:t>
      </w:r>
      <w:r w:rsidR="00885CA3">
        <w:rPr>
          <w:lang w:val="fr-FR"/>
        </w:rPr>
        <w:t>illeurs</w:t>
      </w:r>
      <w:r w:rsidR="00885CA3">
        <w:rPr>
          <w:lang w:val="fr-FR"/>
        </w:rPr>
        <w:br/>
      </w:r>
      <w:r w:rsidRPr="00CC76D1">
        <w:rPr>
          <w:lang w:val="fr-FR"/>
        </w:rPr>
        <w:t>et à leur famille.</w:t>
      </w:r>
    </w:p>
    <w:p w:rsidR="00EC4C5A" w:rsidRPr="00CC76D1" w:rsidRDefault="00EC4C5A" w:rsidP="00885CA3">
      <w:pPr>
        <w:pStyle w:val="SingleTxtG"/>
        <w:rPr>
          <w:lang w:val="fr-FR"/>
        </w:rPr>
      </w:pPr>
      <w:r w:rsidRPr="00CC76D1">
        <w:rPr>
          <w:lang w:val="fr-FR"/>
        </w:rPr>
        <w:t>68.</w:t>
      </w:r>
      <w:r w:rsidRPr="00CC76D1">
        <w:rPr>
          <w:lang w:val="fr-FR"/>
        </w:rPr>
        <w:tab/>
        <w:t xml:space="preserve">La loi </w:t>
      </w:r>
      <w:r w:rsidR="00682BD7" w:rsidRPr="00682BD7">
        <w:rPr>
          <w:rFonts w:eastAsia="MS Mincho"/>
          <w:lang w:val="fr-FR"/>
        </w:rPr>
        <w:t>n</w:t>
      </w:r>
      <w:r w:rsidR="00682BD7" w:rsidRPr="00682BD7">
        <w:rPr>
          <w:rFonts w:eastAsia="MS Mincho"/>
          <w:vertAlign w:val="superscript"/>
          <w:lang w:val="fr-FR"/>
        </w:rPr>
        <w:t>o</w:t>
      </w:r>
      <w:r w:rsidR="00682BD7" w:rsidRPr="00682BD7">
        <w:rPr>
          <w:rFonts w:eastAsia="MS Mincho"/>
          <w:lang w:val="fr-FR"/>
        </w:rPr>
        <w:t> </w:t>
      </w:r>
      <w:r w:rsidRPr="00CC76D1">
        <w:rPr>
          <w:lang w:val="fr-FR"/>
        </w:rPr>
        <w:t>3 de 2016 sur le salaire minimum national s</w:t>
      </w:r>
      <w:r w:rsidR="00474653">
        <w:rPr>
          <w:lang w:val="fr-FR"/>
        </w:rPr>
        <w:t>’</w:t>
      </w:r>
      <w:r w:rsidRPr="00CC76D1">
        <w:rPr>
          <w:lang w:val="fr-FR"/>
        </w:rPr>
        <w:t>applique à tous les travailleurs. Avant sa promulgation, il n</w:t>
      </w:r>
      <w:r w:rsidR="00474653">
        <w:rPr>
          <w:lang w:val="fr-FR"/>
        </w:rPr>
        <w:t>’</w:t>
      </w:r>
      <w:r w:rsidRPr="00CC76D1">
        <w:rPr>
          <w:lang w:val="fr-FR"/>
        </w:rPr>
        <w:t>existait pas de salaire minimum applicable à l</w:t>
      </w:r>
      <w:r w:rsidR="00474653">
        <w:rPr>
          <w:lang w:val="fr-FR"/>
        </w:rPr>
        <w:t>’</w:t>
      </w:r>
      <w:r w:rsidRPr="00CC76D1">
        <w:rPr>
          <w:lang w:val="fr-FR"/>
        </w:rPr>
        <w:t>ensemble des travailleurs. Les commissions salariales fixent le salaire des travailleurs industriels ou des ouvriers, mais pas celui des employés de magasins et de bureaux. Par conséquent, le salaire minimum national devrait permettre d</w:t>
      </w:r>
      <w:r w:rsidR="00474653">
        <w:rPr>
          <w:lang w:val="fr-FR"/>
        </w:rPr>
        <w:t>’</w:t>
      </w:r>
      <w:r w:rsidRPr="00CC76D1">
        <w:rPr>
          <w:lang w:val="fr-FR"/>
        </w:rPr>
        <w:t>assurer un niveau de vie suffisant aux travailleurs et à leur famille. Cependant, comme la loi sur le salaire minimum a été introduite en 2016, il est encore trop tôt pour savoir si elle a eu une incidence positive sur le niveau de vie.</w:t>
      </w:r>
    </w:p>
    <w:p w:rsidR="00EC4C5A" w:rsidRPr="00CC76D1" w:rsidRDefault="00EC4C5A" w:rsidP="00885CA3">
      <w:pPr>
        <w:pStyle w:val="SingleTxtG"/>
        <w:rPr>
          <w:lang w:val="fr-FR"/>
        </w:rPr>
      </w:pPr>
      <w:r w:rsidRPr="00CC76D1">
        <w:rPr>
          <w:lang w:val="fr-FR"/>
        </w:rPr>
        <w:t>69.</w:t>
      </w:r>
      <w:r w:rsidRPr="00CC76D1">
        <w:rPr>
          <w:lang w:val="fr-FR"/>
        </w:rPr>
        <w:tab/>
        <w:t>Les commissions salariales se réunissent périodiquement avec la participation de l</w:t>
      </w:r>
      <w:r w:rsidR="00474653">
        <w:rPr>
          <w:lang w:val="fr-FR"/>
        </w:rPr>
        <w:t>’</w:t>
      </w:r>
      <w:r w:rsidRPr="00CC76D1">
        <w:rPr>
          <w:lang w:val="fr-FR"/>
        </w:rPr>
        <w:t>ensemble des parties prenantes afin de fixer et d</w:t>
      </w:r>
      <w:r w:rsidR="00474653">
        <w:rPr>
          <w:lang w:val="fr-FR"/>
        </w:rPr>
        <w:t>’</w:t>
      </w:r>
      <w:r w:rsidRPr="00CC76D1">
        <w:rPr>
          <w:lang w:val="fr-FR"/>
        </w:rPr>
        <w:t>ajuster les salaires minimums. En vertu de ce mécanisme, c</w:t>
      </w:r>
      <w:r w:rsidR="00474653">
        <w:rPr>
          <w:lang w:val="fr-FR"/>
        </w:rPr>
        <w:t>’</w:t>
      </w:r>
      <w:r w:rsidRPr="00CC76D1">
        <w:rPr>
          <w:lang w:val="fr-FR"/>
        </w:rPr>
        <w:t>est un organisme tripartite relevant de ces commissions qui détermine le niveau du salaire minimum pour les professions exercées dans les différents secteurs. L</w:t>
      </w:r>
      <w:r w:rsidR="00885CA3">
        <w:rPr>
          <w:lang w:val="fr-FR"/>
        </w:rPr>
        <w:t>e </w:t>
      </w:r>
      <w:r w:rsidRPr="00CC76D1">
        <w:rPr>
          <w:lang w:val="fr-FR"/>
        </w:rPr>
        <w:t>principe de base est celui d</w:t>
      </w:r>
      <w:r w:rsidR="00474653">
        <w:rPr>
          <w:lang w:val="fr-FR"/>
        </w:rPr>
        <w:t>’</w:t>
      </w:r>
      <w:r w:rsidRPr="00CC76D1">
        <w:rPr>
          <w:lang w:val="fr-FR"/>
        </w:rPr>
        <w:t>une rémunération égale pour un travail de valeur égale. Toutefois, dans la mesure où la viabilité de l</w:t>
      </w:r>
      <w:r w:rsidR="00474653">
        <w:rPr>
          <w:lang w:val="fr-FR"/>
        </w:rPr>
        <w:t>’</w:t>
      </w:r>
      <w:r w:rsidRPr="00CC76D1">
        <w:rPr>
          <w:lang w:val="fr-FR"/>
        </w:rPr>
        <w:t>entreprise joue un rôle important dans le processus de détermination ou d</w:t>
      </w:r>
      <w:r w:rsidR="00474653">
        <w:rPr>
          <w:lang w:val="fr-FR"/>
        </w:rPr>
        <w:t>’</w:t>
      </w:r>
      <w:r w:rsidRPr="00CC76D1">
        <w:rPr>
          <w:lang w:val="fr-FR"/>
        </w:rPr>
        <w:t>ajustement des salaires, il est possible que les salaires correspondant à une profession spécifique varient d</w:t>
      </w:r>
      <w:r w:rsidR="00474653">
        <w:rPr>
          <w:lang w:val="fr-FR"/>
        </w:rPr>
        <w:t>’</w:t>
      </w:r>
      <w:r w:rsidRPr="00CC76D1">
        <w:rPr>
          <w:lang w:val="fr-FR"/>
        </w:rPr>
        <w:t>une entreprise à l</w:t>
      </w:r>
      <w:r w:rsidR="00474653">
        <w:rPr>
          <w:lang w:val="fr-FR"/>
        </w:rPr>
        <w:t>’</w:t>
      </w:r>
      <w:r w:rsidRPr="00CC76D1">
        <w:rPr>
          <w:lang w:val="fr-FR"/>
        </w:rPr>
        <w:t>autre en fonction de la viabilité. Il existe 44 commissions salariales créées en vertu de l</w:t>
      </w:r>
      <w:r w:rsidR="00474653">
        <w:rPr>
          <w:lang w:val="fr-FR"/>
        </w:rPr>
        <w:t>’</w:t>
      </w:r>
      <w:r w:rsidRPr="00CC76D1">
        <w:rPr>
          <w:lang w:val="fr-FR"/>
        </w:rPr>
        <w:t xml:space="preserve">ordonnance sur les commissions salariales. </w:t>
      </w:r>
    </w:p>
    <w:p w:rsidR="00EC4C5A" w:rsidRPr="00CC76D1" w:rsidRDefault="00EC4C5A" w:rsidP="00885CA3">
      <w:pPr>
        <w:pStyle w:val="H23G"/>
        <w:rPr>
          <w:lang w:val="fr-FR"/>
        </w:rPr>
      </w:pPr>
      <w:r w:rsidRPr="00CC76D1">
        <w:rPr>
          <w:lang w:val="fr-FR"/>
        </w:rPr>
        <w:tab/>
      </w:r>
      <w:r w:rsidRPr="00CC76D1">
        <w:rPr>
          <w:lang w:val="fr-FR"/>
        </w:rPr>
        <w:tab/>
        <w:t>Indiquer comment le droit à une rémunération égale pour un travail de valeur égale est mis en œuvre dans l</w:t>
      </w:r>
      <w:r w:rsidR="00474653">
        <w:rPr>
          <w:lang w:val="fr-FR"/>
        </w:rPr>
        <w:t>’</w:t>
      </w:r>
      <w:r w:rsidRPr="00CC76D1">
        <w:rPr>
          <w:lang w:val="fr-FR"/>
        </w:rPr>
        <w:t>ensemble des secteurs</w:t>
      </w:r>
    </w:p>
    <w:p w:rsidR="00EC4C5A" w:rsidRPr="00CC76D1" w:rsidRDefault="00EC4C5A" w:rsidP="00885CA3">
      <w:pPr>
        <w:pStyle w:val="SingleTxtG"/>
        <w:rPr>
          <w:lang w:val="fr-FR"/>
        </w:rPr>
      </w:pPr>
      <w:r w:rsidRPr="00CC76D1">
        <w:rPr>
          <w:lang w:val="fr-FR"/>
        </w:rPr>
        <w:t>70.</w:t>
      </w:r>
      <w:r w:rsidRPr="00CC76D1">
        <w:rPr>
          <w:lang w:val="fr-FR"/>
        </w:rPr>
        <w:tab/>
        <w:t>Le droit du travail à Sri Lanka s</w:t>
      </w:r>
      <w:r w:rsidR="00474653">
        <w:rPr>
          <w:lang w:val="fr-FR"/>
        </w:rPr>
        <w:t>’</w:t>
      </w:r>
      <w:r w:rsidRPr="00CC76D1">
        <w:rPr>
          <w:lang w:val="fr-FR"/>
        </w:rPr>
        <w:t>applique de la même manière aux hommes et aux femmes employés dans les entreprises du secteur privé. Implicitement, les employeurs et la société au sens large s</w:t>
      </w:r>
      <w:r w:rsidR="00474653">
        <w:rPr>
          <w:lang w:val="fr-FR"/>
        </w:rPr>
        <w:t>’</w:t>
      </w:r>
      <w:r w:rsidRPr="00CC76D1">
        <w:rPr>
          <w:lang w:val="fr-FR"/>
        </w:rPr>
        <w:t>engagent à garantir le traitement équitable des femmes dans le domaine de l</w:t>
      </w:r>
      <w:r w:rsidR="00474653">
        <w:rPr>
          <w:lang w:val="fr-FR"/>
        </w:rPr>
        <w:t>’</w:t>
      </w:r>
      <w:r w:rsidRPr="00CC76D1">
        <w:rPr>
          <w:lang w:val="fr-FR"/>
        </w:rPr>
        <w:t>emploi. Bien que, dans la législation du travail, il n</w:t>
      </w:r>
      <w:r w:rsidR="00474653">
        <w:rPr>
          <w:lang w:val="fr-FR"/>
        </w:rPr>
        <w:t>’</w:t>
      </w:r>
      <w:r w:rsidRPr="00CC76D1">
        <w:rPr>
          <w:lang w:val="fr-FR"/>
        </w:rPr>
        <w:t>existe pas de disposition spécifique portant sur la discrimination à l</w:t>
      </w:r>
      <w:r w:rsidR="00474653">
        <w:rPr>
          <w:lang w:val="fr-FR"/>
        </w:rPr>
        <w:t>’</w:t>
      </w:r>
      <w:r w:rsidRPr="00CC76D1">
        <w:rPr>
          <w:lang w:val="fr-FR"/>
        </w:rPr>
        <w:t>égard des femmes, celles-ci bénéficient d</w:t>
      </w:r>
      <w:r w:rsidR="00474653">
        <w:rPr>
          <w:lang w:val="fr-FR"/>
        </w:rPr>
        <w:t>’</w:t>
      </w:r>
      <w:r w:rsidRPr="00CC76D1">
        <w:rPr>
          <w:lang w:val="fr-FR"/>
        </w:rPr>
        <w:t>une protection spéciale eu égard à leurs conditions de travail, leur sécurité et leur santé. L</w:t>
      </w:r>
      <w:r w:rsidR="00474653">
        <w:rPr>
          <w:lang w:val="fr-FR"/>
        </w:rPr>
        <w:t>’</w:t>
      </w:r>
      <w:r w:rsidRPr="00CC76D1">
        <w:rPr>
          <w:lang w:val="fr-FR"/>
        </w:rPr>
        <w:t>ordonnance n</w:t>
      </w:r>
      <w:r w:rsidRPr="00CC76D1">
        <w:rPr>
          <w:vertAlign w:val="superscript"/>
          <w:lang w:val="fr-FR"/>
        </w:rPr>
        <w:t>o</w:t>
      </w:r>
      <w:r w:rsidR="00885CA3">
        <w:rPr>
          <w:lang w:val="fr-FR"/>
        </w:rPr>
        <w:t> </w:t>
      </w:r>
      <w:r w:rsidRPr="00CC76D1">
        <w:rPr>
          <w:lang w:val="fr-FR"/>
        </w:rPr>
        <w:t>13 de 1937 relative au travail des femmes dans les mines interdit d</w:t>
      </w:r>
      <w:r w:rsidR="00474653">
        <w:rPr>
          <w:lang w:val="fr-FR"/>
        </w:rPr>
        <w:t>’</w:t>
      </w:r>
      <w:r w:rsidRPr="00CC76D1">
        <w:rPr>
          <w:lang w:val="fr-FR"/>
        </w:rPr>
        <w:t>employer des femmes pour des travaux souterrains</w:t>
      </w:r>
      <w:r w:rsidR="00112F55">
        <w:rPr>
          <w:lang w:val="fr-FR"/>
        </w:rPr>
        <w:t xml:space="preserve"> ;</w:t>
      </w:r>
      <w:r w:rsidRPr="00CC76D1">
        <w:rPr>
          <w:lang w:val="fr-FR"/>
        </w:rPr>
        <w:t xml:space="preserve"> l</w:t>
      </w:r>
      <w:r w:rsidR="00474653">
        <w:rPr>
          <w:lang w:val="fr-FR"/>
        </w:rPr>
        <w:t>’</w:t>
      </w:r>
      <w:r w:rsidRPr="00CC76D1">
        <w:rPr>
          <w:lang w:val="fr-FR"/>
        </w:rPr>
        <w:t>ordonnance n</w:t>
      </w:r>
      <w:r w:rsidRPr="00CC76D1">
        <w:rPr>
          <w:vertAlign w:val="superscript"/>
          <w:lang w:val="fr-FR"/>
        </w:rPr>
        <w:t>o</w:t>
      </w:r>
      <w:r w:rsidR="00885CA3">
        <w:rPr>
          <w:lang w:val="fr-FR"/>
        </w:rPr>
        <w:t> </w:t>
      </w:r>
      <w:r w:rsidRPr="00CC76D1">
        <w:rPr>
          <w:lang w:val="fr-FR"/>
        </w:rPr>
        <w:t>45 de 1942 relative au travail en usine, la loi n</w:t>
      </w:r>
      <w:r w:rsidRPr="00CC76D1">
        <w:rPr>
          <w:vertAlign w:val="superscript"/>
          <w:lang w:val="fr-FR"/>
        </w:rPr>
        <w:t>o</w:t>
      </w:r>
      <w:r w:rsidR="00885CA3">
        <w:rPr>
          <w:lang w:val="fr-FR"/>
        </w:rPr>
        <w:t> </w:t>
      </w:r>
      <w:r w:rsidRPr="00CC76D1">
        <w:rPr>
          <w:lang w:val="fr-FR"/>
        </w:rPr>
        <w:t>47 de 1956 sur l</w:t>
      </w:r>
      <w:r w:rsidR="00474653">
        <w:rPr>
          <w:lang w:val="fr-FR"/>
        </w:rPr>
        <w:t>’</w:t>
      </w:r>
      <w:r w:rsidRPr="00CC76D1">
        <w:rPr>
          <w:lang w:val="fr-FR"/>
        </w:rPr>
        <w:t>emploi des femmes, des jeunes et des enfants, et la loi n</w:t>
      </w:r>
      <w:r w:rsidRPr="00CC76D1">
        <w:rPr>
          <w:vertAlign w:val="superscript"/>
          <w:lang w:val="fr-FR"/>
        </w:rPr>
        <w:t>o</w:t>
      </w:r>
      <w:r w:rsidR="00885CA3">
        <w:rPr>
          <w:lang w:val="fr-FR"/>
        </w:rPr>
        <w:t> </w:t>
      </w:r>
      <w:r w:rsidRPr="00CC76D1">
        <w:rPr>
          <w:lang w:val="fr-FR"/>
        </w:rPr>
        <w:t>19 de 1954 relative aux employés de bureau (emploi et rémunération des employés de magasin et de bureau) restreignent le nombre d</w:t>
      </w:r>
      <w:r w:rsidR="00474653">
        <w:rPr>
          <w:lang w:val="fr-FR"/>
        </w:rPr>
        <w:t>’</w:t>
      </w:r>
      <w:r w:rsidRPr="00CC76D1">
        <w:rPr>
          <w:lang w:val="fr-FR"/>
        </w:rPr>
        <w:t>heures supplémentaires et le travail de nuit pour les femmes. L</w:t>
      </w:r>
      <w:r w:rsidR="00474653">
        <w:rPr>
          <w:lang w:val="fr-FR"/>
        </w:rPr>
        <w:t>’</w:t>
      </w:r>
      <w:r w:rsidRPr="00CC76D1">
        <w:rPr>
          <w:lang w:val="fr-FR"/>
        </w:rPr>
        <w:t xml:space="preserve">ordonnance </w:t>
      </w:r>
      <w:r w:rsidR="00682BD7" w:rsidRPr="00682BD7">
        <w:rPr>
          <w:rFonts w:eastAsia="MS Mincho"/>
          <w:lang w:val="fr-FR"/>
        </w:rPr>
        <w:t>n</w:t>
      </w:r>
      <w:r w:rsidR="00682BD7" w:rsidRPr="00682BD7">
        <w:rPr>
          <w:rFonts w:eastAsia="MS Mincho"/>
          <w:vertAlign w:val="superscript"/>
          <w:lang w:val="fr-FR"/>
        </w:rPr>
        <w:t>o</w:t>
      </w:r>
      <w:r w:rsidR="00682BD7">
        <w:rPr>
          <w:vertAlign w:val="superscript"/>
          <w:lang w:val="fr-FR"/>
        </w:rPr>
        <w:t xml:space="preserve"> </w:t>
      </w:r>
      <w:r w:rsidRPr="00CC76D1">
        <w:rPr>
          <w:lang w:val="fr-FR"/>
        </w:rPr>
        <w:t>32 de 1939 relative aux prestations de maternité prévoit pour les femmes qui travaillent le versement d</w:t>
      </w:r>
      <w:r w:rsidR="00474653">
        <w:rPr>
          <w:lang w:val="fr-FR"/>
        </w:rPr>
        <w:t>’</w:t>
      </w:r>
      <w:r w:rsidRPr="00CC76D1">
        <w:rPr>
          <w:lang w:val="fr-FR"/>
        </w:rPr>
        <w:t>indemnités et la protection de la santé et de la sécurité de la mère avant et après l</w:t>
      </w:r>
      <w:r w:rsidR="00474653">
        <w:rPr>
          <w:lang w:val="fr-FR"/>
        </w:rPr>
        <w:t>’</w:t>
      </w:r>
      <w:r w:rsidRPr="00CC76D1">
        <w:rPr>
          <w:lang w:val="fr-FR"/>
        </w:rPr>
        <w:t>accouchement. Tout litige en rapport avec la discrimination peut être porté à l</w:t>
      </w:r>
      <w:r w:rsidR="00474653">
        <w:rPr>
          <w:lang w:val="fr-FR"/>
        </w:rPr>
        <w:t>’</w:t>
      </w:r>
      <w:r w:rsidRPr="00CC76D1">
        <w:rPr>
          <w:lang w:val="fr-FR"/>
        </w:rPr>
        <w:t>attention du Directeur de la Division du travail en vue d</w:t>
      </w:r>
      <w:r w:rsidR="00474653">
        <w:rPr>
          <w:lang w:val="fr-FR"/>
        </w:rPr>
        <w:t>’</w:t>
      </w:r>
      <w:r w:rsidRPr="00CC76D1">
        <w:rPr>
          <w:lang w:val="fr-FR"/>
        </w:rPr>
        <w:t>un règlement par voie de conciliation ou d</w:t>
      </w:r>
      <w:r w:rsidR="00474653">
        <w:rPr>
          <w:lang w:val="fr-FR"/>
        </w:rPr>
        <w:t>’</w:t>
      </w:r>
      <w:r w:rsidRPr="00CC76D1">
        <w:rPr>
          <w:lang w:val="fr-FR"/>
        </w:rPr>
        <w:t>arbitrage dans le cadre de la loi n</w:t>
      </w:r>
      <w:r w:rsidRPr="00CC76D1">
        <w:rPr>
          <w:vertAlign w:val="superscript"/>
          <w:lang w:val="fr-FR"/>
        </w:rPr>
        <w:t>o</w:t>
      </w:r>
      <w:r w:rsidRPr="00CC76D1">
        <w:rPr>
          <w:lang w:val="fr-FR"/>
        </w:rPr>
        <w:t xml:space="preserve"> 43 de 1950 sur les différends d</w:t>
      </w:r>
      <w:r w:rsidR="00474653">
        <w:rPr>
          <w:lang w:val="fr-FR"/>
        </w:rPr>
        <w:t>’</w:t>
      </w:r>
      <w:r w:rsidRPr="00CC76D1">
        <w:rPr>
          <w:lang w:val="fr-FR"/>
        </w:rPr>
        <w:t>ordre professionnel.</w:t>
      </w:r>
    </w:p>
    <w:p w:rsidR="00EC4C5A" w:rsidRPr="00CC76D1" w:rsidRDefault="00EC4C5A" w:rsidP="00F95DFE">
      <w:pPr>
        <w:pStyle w:val="SingleTxtG"/>
        <w:spacing w:after="100"/>
        <w:rPr>
          <w:lang w:val="fr-FR"/>
        </w:rPr>
      </w:pPr>
      <w:r w:rsidRPr="00CC76D1">
        <w:rPr>
          <w:lang w:val="fr-FR"/>
        </w:rPr>
        <w:lastRenderedPageBreak/>
        <w:t>71.</w:t>
      </w:r>
      <w:r w:rsidRPr="00CC76D1">
        <w:rPr>
          <w:lang w:val="fr-FR"/>
        </w:rPr>
        <w:tab/>
        <w:t xml:space="preserve">Dans le secteur privé, les salaires de la majorité des travailleurs sont déterminés par la loi sur le salaire minimum et les commissions salariales. </w:t>
      </w:r>
    </w:p>
    <w:p w:rsidR="00EC4C5A" w:rsidRPr="00CC76D1" w:rsidRDefault="00EC4C5A" w:rsidP="00F95DFE">
      <w:pPr>
        <w:pStyle w:val="SingleTxtG"/>
        <w:spacing w:after="100"/>
        <w:rPr>
          <w:lang w:val="fr-FR"/>
        </w:rPr>
      </w:pPr>
      <w:r w:rsidRPr="00CC76D1">
        <w:rPr>
          <w:lang w:val="fr-FR"/>
        </w:rPr>
        <w:t>72.</w:t>
      </w:r>
      <w:r w:rsidRPr="00CC76D1">
        <w:rPr>
          <w:lang w:val="fr-FR"/>
        </w:rPr>
        <w:tab/>
        <w:t>Les conventions collectives conclues entre les employeurs et les organisations de travailleurs ne prévoient pas non plus de différences de salaires. Lors de ses inspections, le Département du travail cherche, entre autres, à déterminer si les femmes font l</w:t>
      </w:r>
      <w:r w:rsidR="00474653">
        <w:rPr>
          <w:lang w:val="fr-FR"/>
        </w:rPr>
        <w:t>’</w:t>
      </w:r>
      <w:r w:rsidRPr="00CC76D1">
        <w:rPr>
          <w:lang w:val="fr-FR"/>
        </w:rPr>
        <w:t>objet de discrimination salariale et, le cas échéant, prend les mesures correctives appropriées pour y remédier.</w:t>
      </w:r>
    </w:p>
    <w:p w:rsidR="00EC4C5A" w:rsidRPr="00CC76D1" w:rsidRDefault="00EC4C5A" w:rsidP="00885CA3">
      <w:pPr>
        <w:pStyle w:val="H1G"/>
        <w:rPr>
          <w:lang w:val="fr-FR"/>
        </w:rPr>
      </w:pPr>
      <w:r w:rsidRPr="00CC76D1">
        <w:rPr>
          <w:lang w:val="fr-FR"/>
        </w:rPr>
        <w:tab/>
        <w:t>3.</w:t>
      </w:r>
      <w:r w:rsidRPr="00CC76D1">
        <w:rPr>
          <w:lang w:val="fr-FR"/>
        </w:rPr>
        <w:tab/>
        <w:t>Mesures prises pour protéger les travailleurs migrants contre la traite, l</w:t>
      </w:r>
      <w:r w:rsidR="00474653">
        <w:rPr>
          <w:lang w:val="fr-FR"/>
        </w:rPr>
        <w:t>’</w:t>
      </w:r>
      <w:r w:rsidRPr="00CC76D1">
        <w:rPr>
          <w:lang w:val="fr-FR"/>
        </w:rPr>
        <w:t>exploitation et la violence et pour fournir une assistance aux victimes</w:t>
      </w:r>
    </w:p>
    <w:p w:rsidR="00EC4C5A" w:rsidRPr="00CC76D1" w:rsidRDefault="00EC4C5A" w:rsidP="00491A7B">
      <w:pPr>
        <w:pStyle w:val="SingleTxtG"/>
        <w:spacing w:after="100"/>
        <w:rPr>
          <w:lang w:val="fr-FR"/>
        </w:rPr>
      </w:pPr>
      <w:r w:rsidRPr="00CC76D1">
        <w:rPr>
          <w:lang w:val="fr-FR"/>
        </w:rPr>
        <w:t>73.</w:t>
      </w:r>
      <w:r w:rsidRPr="00CC76D1">
        <w:rPr>
          <w:lang w:val="fr-FR"/>
        </w:rPr>
        <w:tab/>
        <w:t>Le Ministère chargé de l</w:t>
      </w:r>
      <w:r w:rsidR="00474653">
        <w:rPr>
          <w:lang w:val="fr-FR"/>
        </w:rPr>
        <w:t>’</w:t>
      </w:r>
      <w:r w:rsidRPr="00CC76D1">
        <w:rPr>
          <w:lang w:val="fr-FR"/>
        </w:rPr>
        <w:t>emploi à l</w:t>
      </w:r>
      <w:r w:rsidR="00474653">
        <w:rPr>
          <w:lang w:val="fr-FR"/>
        </w:rPr>
        <w:t>’</w:t>
      </w:r>
      <w:r w:rsidRPr="00CC76D1">
        <w:rPr>
          <w:lang w:val="fr-FR"/>
        </w:rPr>
        <w:t>étranger a mis en pl</w:t>
      </w:r>
      <w:r w:rsidR="00885CA3">
        <w:rPr>
          <w:lang w:val="fr-FR"/>
        </w:rPr>
        <w:t>ace deux mécanismes de recours :</w:t>
      </w:r>
    </w:p>
    <w:p w:rsidR="00EC4C5A" w:rsidRPr="00CC76D1" w:rsidRDefault="00EC4C5A" w:rsidP="00491A7B">
      <w:pPr>
        <w:pStyle w:val="SingleTxtG"/>
        <w:spacing w:after="100"/>
        <w:ind w:left="1701"/>
        <w:rPr>
          <w:lang w:val="fr-FR"/>
        </w:rPr>
      </w:pPr>
      <w:r w:rsidRPr="00CC76D1">
        <w:rPr>
          <w:lang w:val="fr-FR"/>
        </w:rPr>
        <w:t>i)</w:t>
      </w:r>
      <w:r w:rsidRPr="00CC76D1">
        <w:rPr>
          <w:lang w:val="fr-FR"/>
        </w:rPr>
        <w:tab/>
      </w:r>
      <w:r w:rsidR="007A13BB" w:rsidRPr="00CC76D1">
        <w:rPr>
          <w:lang w:val="fr-FR"/>
        </w:rPr>
        <w:t>U</w:t>
      </w:r>
      <w:r w:rsidRPr="00CC76D1">
        <w:rPr>
          <w:lang w:val="fr-FR"/>
        </w:rPr>
        <w:t>n mécanisme permettant à tout travailleur migrant qui estime que ses droits ont été bafoués de porter plainte auprès des re</w:t>
      </w:r>
      <w:r w:rsidR="00885CA3">
        <w:rPr>
          <w:lang w:val="fr-FR"/>
        </w:rPr>
        <w:t>présentations diplomatiques sri</w:t>
      </w:r>
      <w:r w:rsidR="00885CA3">
        <w:rPr>
          <w:lang w:val="fr-FR"/>
        </w:rPr>
        <w:noBreakHyphen/>
      </w:r>
      <w:r w:rsidRPr="00CC76D1">
        <w:rPr>
          <w:lang w:val="fr-FR"/>
        </w:rPr>
        <w:t>lankaises dans le pays où il travaille, à la suite de quoi il est orienté vers le Ministère du travail ou toute autre autorité compétente du pays d</w:t>
      </w:r>
      <w:r w:rsidR="00474653">
        <w:rPr>
          <w:lang w:val="fr-FR"/>
        </w:rPr>
        <w:t>’</w:t>
      </w:r>
      <w:r w:rsidRPr="00CC76D1">
        <w:rPr>
          <w:lang w:val="fr-FR"/>
        </w:rPr>
        <w:t>a</w:t>
      </w:r>
      <w:r w:rsidR="00885CA3">
        <w:rPr>
          <w:lang w:val="fr-FR"/>
        </w:rPr>
        <w:t>ccueil pour demander réparation ;</w:t>
      </w:r>
    </w:p>
    <w:p w:rsidR="00EC4C5A" w:rsidRPr="00CC76D1" w:rsidRDefault="00EC4C5A" w:rsidP="00491A7B">
      <w:pPr>
        <w:pStyle w:val="SingleTxtG"/>
        <w:spacing w:after="100"/>
        <w:ind w:left="1701"/>
        <w:rPr>
          <w:lang w:val="fr-FR"/>
        </w:rPr>
      </w:pPr>
      <w:r w:rsidRPr="00CC76D1">
        <w:rPr>
          <w:lang w:val="fr-FR"/>
        </w:rPr>
        <w:t>ii)</w:t>
      </w:r>
      <w:r w:rsidRPr="00CC76D1">
        <w:rPr>
          <w:lang w:val="fr-FR"/>
        </w:rPr>
        <w:tab/>
      </w:r>
      <w:r w:rsidR="007A13BB" w:rsidRPr="00CC76D1">
        <w:rPr>
          <w:lang w:val="fr-FR"/>
        </w:rPr>
        <w:t>U</w:t>
      </w:r>
      <w:r w:rsidRPr="00CC76D1">
        <w:rPr>
          <w:lang w:val="fr-FR"/>
        </w:rPr>
        <w:t>n mécanisme permettant de signaler au Bureau sri-lankais pour l</w:t>
      </w:r>
      <w:r w:rsidR="00474653">
        <w:rPr>
          <w:lang w:val="fr-FR"/>
        </w:rPr>
        <w:t>’</w:t>
      </w:r>
      <w:r w:rsidRPr="00CC76D1">
        <w:rPr>
          <w:lang w:val="fr-FR"/>
        </w:rPr>
        <w:t>emploi à l</w:t>
      </w:r>
      <w:r w:rsidR="00474653">
        <w:rPr>
          <w:lang w:val="fr-FR"/>
        </w:rPr>
        <w:t>’</w:t>
      </w:r>
      <w:r w:rsidRPr="00CC76D1">
        <w:rPr>
          <w:lang w:val="fr-FR"/>
        </w:rPr>
        <w:t>étranger tout manquement aux obligations du contrat de travail ou échec, de la part de l</w:t>
      </w:r>
      <w:r w:rsidR="00474653">
        <w:rPr>
          <w:lang w:val="fr-FR"/>
        </w:rPr>
        <w:t>’</w:t>
      </w:r>
      <w:r w:rsidRPr="00CC76D1">
        <w:rPr>
          <w:lang w:val="fr-FR"/>
        </w:rPr>
        <w:t>agence de recrutement titulaire de la licence, à</w:t>
      </w:r>
      <w:r w:rsidR="00885CA3">
        <w:rPr>
          <w:lang w:val="fr-FR"/>
        </w:rPr>
        <w:t xml:space="preserve"> prévenir un tel manquement. Ce </w:t>
      </w:r>
      <w:r w:rsidRPr="00CC76D1">
        <w:rPr>
          <w:lang w:val="fr-FR"/>
        </w:rPr>
        <w:t>signalement donne lieu à l</w:t>
      </w:r>
      <w:r w:rsidR="00474653">
        <w:rPr>
          <w:lang w:val="fr-FR"/>
        </w:rPr>
        <w:t>’</w:t>
      </w:r>
      <w:r w:rsidRPr="00CC76D1">
        <w:rPr>
          <w:lang w:val="fr-FR"/>
        </w:rPr>
        <w:t>ouverture d</w:t>
      </w:r>
      <w:r w:rsidR="00474653">
        <w:rPr>
          <w:lang w:val="fr-FR"/>
        </w:rPr>
        <w:t>’</w:t>
      </w:r>
      <w:r w:rsidRPr="00CC76D1">
        <w:rPr>
          <w:lang w:val="fr-FR"/>
        </w:rPr>
        <w:t>une enquête au terme de laquelle le titulaire de la licence peut être contraint d</w:t>
      </w:r>
      <w:r w:rsidR="00474653">
        <w:rPr>
          <w:lang w:val="fr-FR"/>
        </w:rPr>
        <w:t>’</w:t>
      </w:r>
      <w:r w:rsidRPr="00CC76D1">
        <w:rPr>
          <w:lang w:val="fr-FR"/>
        </w:rPr>
        <w:t xml:space="preserve">indemniser le travailleur migrant. </w:t>
      </w:r>
    </w:p>
    <w:p w:rsidR="00EC4C5A" w:rsidRPr="00CC76D1" w:rsidRDefault="00EC4C5A" w:rsidP="00491A7B">
      <w:pPr>
        <w:pStyle w:val="SingleTxtG"/>
        <w:spacing w:after="100"/>
        <w:rPr>
          <w:lang w:val="fr-FR"/>
        </w:rPr>
      </w:pPr>
      <w:r w:rsidRPr="00CC76D1">
        <w:rPr>
          <w:lang w:val="fr-FR"/>
        </w:rPr>
        <w:t>74.</w:t>
      </w:r>
      <w:r w:rsidRPr="00CC76D1">
        <w:rPr>
          <w:lang w:val="fr-FR"/>
        </w:rPr>
        <w:tab/>
        <w:t>Le Bureau sri-lankais pour l</w:t>
      </w:r>
      <w:r w:rsidR="00474653">
        <w:rPr>
          <w:lang w:val="fr-FR"/>
        </w:rPr>
        <w:t>’</w:t>
      </w:r>
      <w:r w:rsidRPr="00CC76D1">
        <w:rPr>
          <w:lang w:val="fr-FR"/>
        </w:rPr>
        <w:t>emploi à l</w:t>
      </w:r>
      <w:r w:rsidR="00474653">
        <w:rPr>
          <w:lang w:val="fr-FR"/>
        </w:rPr>
        <w:t>’</w:t>
      </w:r>
      <w:r w:rsidRPr="00CC76D1">
        <w:rPr>
          <w:lang w:val="fr-FR"/>
        </w:rPr>
        <w:t>étranger fournit aux travailleurs migrants qui lui sont adressés par l</w:t>
      </w:r>
      <w:r w:rsidR="00474653">
        <w:rPr>
          <w:lang w:val="fr-FR"/>
        </w:rPr>
        <w:t>’</w:t>
      </w:r>
      <w:r w:rsidRPr="00CC76D1">
        <w:rPr>
          <w:lang w:val="fr-FR"/>
        </w:rPr>
        <w:t>Autorité sri-lankaise des migrations de travail des services d</w:t>
      </w:r>
      <w:r w:rsidR="00474653">
        <w:rPr>
          <w:lang w:val="fr-FR"/>
        </w:rPr>
        <w:t>’</w:t>
      </w:r>
      <w:r w:rsidRPr="00CC76D1">
        <w:rPr>
          <w:lang w:val="fr-FR"/>
        </w:rPr>
        <w:t>accompagnement psychologique et des programmes de réinsertion, ainsi que des services de protect</w:t>
      </w:r>
      <w:r w:rsidR="007649DD">
        <w:rPr>
          <w:lang w:val="fr-FR"/>
        </w:rPr>
        <w:t>ion dans un centre de transit (« </w:t>
      </w:r>
      <w:r w:rsidRPr="00CC76D1">
        <w:rPr>
          <w:lang w:val="fr-FR"/>
        </w:rPr>
        <w:t>Sahana Piyasa</w:t>
      </w:r>
      <w:r w:rsidR="007649DD">
        <w:rPr>
          <w:lang w:val="fr-FR"/>
        </w:rPr>
        <w:t> »</w:t>
      </w:r>
      <w:r w:rsidRPr="00CC76D1">
        <w:rPr>
          <w:lang w:val="fr-FR"/>
        </w:rPr>
        <w:t>) situé à proximité de l</w:t>
      </w:r>
      <w:r w:rsidR="00474653">
        <w:rPr>
          <w:lang w:val="fr-FR"/>
        </w:rPr>
        <w:t>’</w:t>
      </w:r>
      <w:r w:rsidRPr="00CC76D1">
        <w:rPr>
          <w:lang w:val="fr-FR"/>
        </w:rPr>
        <w:t>aéroport international Bandaranaike, où ils bénéficient de soins médicaux et psychologiques et d</w:t>
      </w:r>
      <w:r w:rsidR="00474653">
        <w:rPr>
          <w:lang w:val="fr-FR"/>
        </w:rPr>
        <w:t>’</w:t>
      </w:r>
      <w:r w:rsidRPr="00CC76D1">
        <w:rPr>
          <w:lang w:val="fr-FR"/>
        </w:rPr>
        <w:t>autres services d</w:t>
      </w:r>
      <w:r w:rsidR="00474653">
        <w:rPr>
          <w:lang w:val="fr-FR"/>
        </w:rPr>
        <w:t>’</w:t>
      </w:r>
      <w:r w:rsidRPr="00CC76D1">
        <w:rPr>
          <w:lang w:val="fr-FR"/>
        </w:rPr>
        <w:t>assistance. Le Gouvernement sri-lankais leur permet également d</w:t>
      </w:r>
      <w:r w:rsidR="00474653">
        <w:rPr>
          <w:lang w:val="fr-FR"/>
        </w:rPr>
        <w:t>’</w:t>
      </w:r>
      <w:r w:rsidRPr="00CC76D1">
        <w:rPr>
          <w:lang w:val="fr-FR"/>
        </w:rPr>
        <w:t>avoir accès gratuitement à des soins médicaux, y compris à des soins et à un accompagnement psychologiques, dans les hôpitaux publics. Le Bureau fournit aussi des services d</w:t>
      </w:r>
      <w:r w:rsidR="00474653">
        <w:rPr>
          <w:lang w:val="fr-FR"/>
        </w:rPr>
        <w:t>’</w:t>
      </w:r>
      <w:r w:rsidRPr="00CC76D1">
        <w:rPr>
          <w:lang w:val="fr-FR"/>
        </w:rPr>
        <w:t>aide juridictionnelle et d</w:t>
      </w:r>
      <w:r w:rsidR="00474653">
        <w:rPr>
          <w:lang w:val="fr-FR"/>
        </w:rPr>
        <w:t>’</w:t>
      </w:r>
      <w:r w:rsidRPr="00CC76D1">
        <w:rPr>
          <w:lang w:val="fr-FR"/>
        </w:rPr>
        <w:t>accès à des mécanismes de recours,</w:t>
      </w:r>
      <w:r w:rsidR="007649DD">
        <w:rPr>
          <w:lang w:val="fr-FR"/>
        </w:rPr>
        <w:t xml:space="preserve"> le cas échéant. L</w:t>
      </w:r>
      <w:r w:rsidR="00474653">
        <w:rPr>
          <w:lang w:val="fr-FR"/>
        </w:rPr>
        <w:t>’</w:t>
      </w:r>
      <w:r w:rsidR="007649DD">
        <w:rPr>
          <w:lang w:val="fr-FR"/>
        </w:rPr>
        <w:t>Autorité sri</w:t>
      </w:r>
      <w:r w:rsidR="007649DD">
        <w:rPr>
          <w:lang w:val="fr-FR"/>
        </w:rPr>
        <w:noBreakHyphen/>
      </w:r>
      <w:r w:rsidRPr="00CC76D1">
        <w:rPr>
          <w:lang w:val="fr-FR"/>
        </w:rPr>
        <w:t xml:space="preserve">lankaise des migrations de travail administre </w:t>
      </w:r>
      <w:r w:rsidR="003A6FFC">
        <w:rPr>
          <w:lang w:val="fr-FR"/>
        </w:rPr>
        <w:t>12 résidences protégées dans 10</w:t>
      </w:r>
      <w:r w:rsidRPr="00CC76D1">
        <w:rPr>
          <w:lang w:val="fr-FR"/>
        </w:rPr>
        <w:t xml:space="preserve"> pays pour les travailleuses migrantes où celle-ci peuvent trouver refuge et recevoir des fonds pour se procurer de la nourriture, un logement, des soins médicaux, une aide pour les frais de rapatriement, etc., jusqu</w:t>
      </w:r>
      <w:r w:rsidR="00474653">
        <w:rPr>
          <w:lang w:val="fr-FR"/>
        </w:rPr>
        <w:t>’</w:t>
      </w:r>
      <w:r w:rsidRPr="00CC76D1">
        <w:rPr>
          <w:lang w:val="fr-FR"/>
        </w:rPr>
        <w:t>à leur retour à Sri Lanka.</w:t>
      </w:r>
    </w:p>
    <w:p w:rsidR="00EC4C5A" w:rsidRPr="00CC76D1" w:rsidRDefault="00972120" w:rsidP="00972120">
      <w:pPr>
        <w:pStyle w:val="H23G"/>
        <w:rPr>
          <w:lang w:val="fr-FR"/>
        </w:rPr>
      </w:pPr>
      <w:r>
        <w:rPr>
          <w:lang w:val="fr-FR"/>
        </w:rPr>
        <w:tab/>
      </w:r>
      <w:r>
        <w:rPr>
          <w:lang w:val="fr-FR"/>
        </w:rPr>
        <w:tab/>
        <w:t>Résidences protégées :</w:t>
      </w:r>
    </w:p>
    <w:tbl>
      <w:tblPr>
        <w:tblW w:w="7370" w:type="dxa"/>
        <w:tblInd w:w="1134" w:type="dxa"/>
        <w:tblLayout w:type="fixed"/>
        <w:tblCellMar>
          <w:left w:w="0" w:type="dxa"/>
          <w:right w:w="0" w:type="dxa"/>
        </w:tblCellMar>
        <w:tblLook w:val="00A0" w:firstRow="1" w:lastRow="0" w:firstColumn="1" w:lastColumn="0" w:noHBand="0" w:noVBand="0"/>
      </w:tblPr>
      <w:tblGrid>
        <w:gridCol w:w="3571"/>
        <w:gridCol w:w="3799"/>
      </w:tblGrid>
      <w:tr w:rsidR="00885CA3" w:rsidRPr="00885CA3" w:rsidTr="00885CA3">
        <w:trPr>
          <w:tblHeader/>
        </w:trPr>
        <w:tc>
          <w:tcPr>
            <w:tcW w:w="3571" w:type="dxa"/>
            <w:tcBorders>
              <w:top w:val="single" w:sz="4" w:space="0" w:color="auto"/>
              <w:bottom w:val="single" w:sz="12" w:space="0" w:color="auto"/>
            </w:tcBorders>
            <w:shd w:val="clear" w:color="auto" w:fill="auto"/>
            <w:vAlign w:val="bottom"/>
          </w:tcPr>
          <w:p w:rsidR="00EC4C5A" w:rsidRPr="00885CA3" w:rsidRDefault="00EC4C5A" w:rsidP="00885CA3">
            <w:pPr>
              <w:suppressAutoHyphens w:val="0"/>
              <w:spacing w:before="80" w:after="80" w:line="200" w:lineRule="exact"/>
              <w:rPr>
                <w:i/>
                <w:sz w:val="16"/>
                <w:lang w:val="fr-FR"/>
              </w:rPr>
            </w:pPr>
            <w:r w:rsidRPr="00885CA3">
              <w:rPr>
                <w:i/>
                <w:sz w:val="16"/>
                <w:lang w:val="fr-FR"/>
              </w:rPr>
              <w:t>Pays</w:t>
            </w:r>
          </w:p>
        </w:tc>
        <w:tc>
          <w:tcPr>
            <w:tcW w:w="3799" w:type="dxa"/>
            <w:tcBorders>
              <w:top w:val="single" w:sz="4" w:space="0" w:color="auto"/>
              <w:bottom w:val="single" w:sz="12" w:space="0" w:color="auto"/>
            </w:tcBorders>
            <w:shd w:val="clear" w:color="auto" w:fill="auto"/>
            <w:vAlign w:val="bottom"/>
          </w:tcPr>
          <w:p w:rsidR="00EC4C5A" w:rsidRPr="00885CA3" w:rsidRDefault="00EC4C5A" w:rsidP="00885CA3">
            <w:pPr>
              <w:suppressAutoHyphens w:val="0"/>
              <w:spacing w:before="80" w:after="80" w:line="200" w:lineRule="exact"/>
              <w:jc w:val="right"/>
              <w:rPr>
                <w:i/>
                <w:sz w:val="16"/>
                <w:lang w:val="fr-FR"/>
              </w:rPr>
            </w:pPr>
            <w:r w:rsidRPr="00885CA3">
              <w:rPr>
                <w:i/>
                <w:sz w:val="16"/>
                <w:lang w:val="fr-FR"/>
              </w:rPr>
              <w:t>Nombre de bénéficiaires</w:t>
            </w:r>
          </w:p>
        </w:tc>
      </w:tr>
      <w:tr w:rsidR="00885CA3" w:rsidRPr="00885CA3" w:rsidTr="00885CA3">
        <w:tc>
          <w:tcPr>
            <w:tcW w:w="3571" w:type="dxa"/>
            <w:shd w:val="clear" w:color="auto" w:fill="auto"/>
          </w:tcPr>
          <w:p w:rsidR="00EC4C5A" w:rsidRPr="00885CA3" w:rsidRDefault="00EC4C5A" w:rsidP="00491A7B">
            <w:pPr>
              <w:suppressAutoHyphens w:val="0"/>
              <w:spacing w:before="40" w:after="40" w:line="200" w:lineRule="exact"/>
              <w:rPr>
                <w:sz w:val="18"/>
                <w:szCs w:val="18"/>
                <w:lang w:val="fr-FR"/>
              </w:rPr>
            </w:pPr>
            <w:r w:rsidRPr="00885CA3">
              <w:rPr>
                <w:sz w:val="18"/>
                <w:szCs w:val="18"/>
                <w:lang w:val="fr-FR"/>
              </w:rPr>
              <w:t>Abou Dhabi</w:t>
            </w:r>
          </w:p>
        </w:tc>
        <w:tc>
          <w:tcPr>
            <w:tcW w:w="3799" w:type="dxa"/>
            <w:shd w:val="clear" w:color="auto" w:fill="auto"/>
            <w:vAlign w:val="bottom"/>
          </w:tcPr>
          <w:p w:rsidR="00EC4C5A" w:rsidRPr="00885CA3" w:rsidRDefault="00EC4C5A" w:rsidP="00491A7B">
            <w:pPr>
              <w:suppressAutoHyphens w:val="0"/>
              <w:spacing w:before="40" w:after="40" w:line="200" w:lineRule="exact"/>
              <w:jc w:val="right"/>
              <w:rPr>
                <w:sz w:val="18"/>
                <w:szCs w:val="18"/>
                <w:lang w:val="fr-FR"/>
              </w:rPr>
            </w:pPr>
            <w:r w:rsidRPr="00885CA3">
              <w:rPr>
                <w:sz w:val="18"/>
                <w:szCs w:val="18"/>
                <w:lang w:val="fr-FR"/>
              </w:rPr>
              <w:t>136</w:t>
            </w:r>
          </w:p>
        </w:tc>
      </w:tr>
      <w:tr w:rsidR="00885CA3" w:rsidRPr="00885CA3" w:rsidTr="00885CA3">
        <w:tc>
          <w:tcPr>
            <w:tcW w:w="3571" w:type="dxa"/>
            <w:shd w:val="clear" w:color="auto" w:fill="auto"/>
          </w:tcPr>
          <w:p w:rsidR="00EC4C5A" w:rsidRPr="00885CA3" w:rsidRDefault="00EC4C5A" w:rsidP="00491A7B">
            <w:pPr>
              <w:suppressAutoHyphens w:val="0"/>
              <w:spacing w:before="40" w:after="40" w:line="200" w:lineRule="exact"/>
              <w:rPr>
                <w:sz w:val="18"/>
                <w:szCs w:val="18"/>
                <w:lang w:val="fr-FR"/>
              </w:rPr>
            </w:pPr>
            <w:r w:rsidRPr="00885CA3">
              <w:rPr>
                <w:sz w:val="18"/>
                <w:szCs w:val="18"/>
                <w:lang w:val="fr-FR"/>
              </w:rPr>
              <w:t>Dubaï</w:t>
            </w:r>
          </w:p>
        </w:tc>
        <w:tc>
          <w:tcPr>
            <w:tcW w:w="3799" w:type="dxa"/>
            <w:shd w:val="clear" w:color="auto" w:fill="auto"/>
            <w:vAlign w:val="bottom"/>
          </w:tcPr>
          <w:p w:rsidR="00EC4C5A" w:rsidRPr="00885CA3" w:rsidRDefault="00EC4C5A" w:rsidP="00491A7B">
            <w:pPr>
              <w:suppressAutoHyphens w:val="0"/>
              <w:spacing w:before="40" w:after="40" w:line="200" w:lineRule="exact"/>
              <w:jc w:val="right"/>
              <w:rPr>
                <w:sz w:val="18"/>
                <w:szCs w:val="18"/>
                <w:lang w:val="fr-FR"/>
              </w:rPr>
            </w:pPr>
            <w:r w:rsidRPr="00885CA3">
              <w:rPr>
                <w:sz w:val="18"/>
                <w:szCs w:val="18"/>
                <w:lang w:val="fr-FR"/>
              </w:rPr>
              <w:t>194</w:t>
            </w:r>
          </w:p>
        </w:tc>
      </w:tr>
      <w:tr w:rsidR="00885CA3" w:rsidRPr="00885CA3" w:rsidTr="00885CA3">
        <w:tc>
          <w:tcPr>
            <w:tcW w:w="3571" w:type="dxa"/>
            <w:shd w:val="clear" w:color="auto" w:fill="auto"/>
          </w:tcPr>
          <w:p w:rsidR="00EC4C5A" w:rsidRPr="00885CA3" w:rsidRDefault="00EC4C5A" w:rsidP="00491A7B">
            <w:pPr>
              <w:suppressAutoHyphens w:val="0"/>
              <w:spacing w:before="40" w:after="40" w:line="200" w:lineRule="exact"/>
              <w:rPr>
                <w:sz w:val="18"/>
                <w:szCs w:val="18"/>
                <w:lang w:val="fr-FR"/>
              </w:rPr>
            </w:pPr>
            <w:r w:rsidRPr="00885CA3">
              <w:rPr>
                <w:sz w:val="18"/>
                <w:szCs w:val="18"/>
                <w:lang w:val="fr-FR"/>
              </w:rPr>
              <w:t>Djeddah</w:t>
            </w:r>
          </w:p>
        </w:tc>
        <w:tc>
          <w:tcPr>
            <w:tcW w:w="3799" w:type="dxa"/>
            <w:shd w:val="clear" w:color="auto" w:fill="auto"/>
            <w:vAlign w:val="bottom"/>
          </w:tcPr>
          <w:p w:rsidR="00EC4C5A" w:rsidRPr="00885CA3" w:rsidRDefault="00EC4C5A" w:rsidP="00491A7B">
            <w:pPr>
              <w:suppressAutoHyphens w:val="0"/>
              <w:spacing w:before="40" w:after="40" w:line="200" w:lineRule="exact"/>
              <w:jc w:val="right"/>
              <w:rPr>
                <w:sz w:val="18"/>
                <w:szCs w:val="18"/>
                <w:lang w:val="fr-FR"/>
              </w:rPr>
            </w:pPr>
            <w:r w:rsidRPr="00885CA3">
              <w:rPr>
                <w:sz w:val="18"/>
                <w:szCs w:val="18"/>
                <w:lang w:val="fr-FR"/>
              </w:rPr>
              <w:t>81</w:t>
            </w:r>
          </w:p>
        </w:tc>
      </w:tr>
      <w:tr w:rsidR="00885CA3" w:rsidRPr="00885CA3" w:rsidTr="00885CA3">
        <w:tc>
          <w:tcPr>
            <w:tcW w:w="3571" w:type="dxa"/>
            <w:shd w:val="clear" w:color="auto" w:fill="auto"/>
          </w:tcPr>
          <w:p w:rsidR="00EC4C5A" w:rsidRPr="00885CA3" w:rsidRDefault="00EC4C5A" w:rsidP="00491A7B">
            <w:pPr>
              <w:suppressAutoHyphens w:val="0"/>
              <w:spacing w:before="40" w:after="40" w:line="200" w:lineRule="exact"/>
              <w:rPr>
                <w:sz w:val="18"/>
                <w:szCs w:val="18"/>
                <w:lang w:val="fr-FR"/>
              </w:rPr>
            </w:pPr>
            <w:r w:rsidRPr="00885CA3">
              <w:rPr>
                <w:sz w:val="18"/>
                <w:szCs w:val="18"/>
                <w:lang w:val="fr-FR"/>
              </w:rPr>
              <w:t>Jordanie</w:t>
            </w:r>
          </w:p>
        </w:tc>
        <w:tc>
          <w:tcPr>
            <w:tcW w:w="3799" w:type="dxa"/>
            <w:shd w:val="clear" w:color="auto" w:fill="auto"/>
            <w:vAlign w:val="bottom"/>
          </w:tcPr>
          <w:p w:rsidR="00EC4C5A" w:rsidRPr="00885CA3" w:rsidRDefault="00EC4C5A" w:rsidP="00491A7B">
            <w:pPr>
              <w:suppressAutoHyphens w:val="0"/>
              <w:spacing w:before="40" w:after="40" w:line="200" w:lineRule="exact"/>
              <w:jc w:val="right"/>
              <w:rPr>
                <w:sz w:val="18"/>
                <w:szCs w:val="18"/>
                <w:lang w:val="fr-FR"/>
              </w:rPr>
            </w:pPr>
            <w:r w:rsidRPr="00885CA3">
              <w:rPr>
                <w:sz w:val="18"/>
                <w:szCs w:val="18"/>
                <w:lang w:val="fr-FR"/>
              </w:rPr>
              <w:t>57</w:t>
            </w:r>
          </w:p>
        </w:tc>
      </w:tr>
      <w:tr w:rsidR="00885CA3" w:rsidRPr="00885CA3" w:rsidTr="00885CA3">
        <w:tc>
          <w:tcPr>
            <w:tcW w:w="3571" w:type="dxa"/>
            <w:shd w:val="clear" w:color="auto" w:fill="auto"/>
          </w:tcPr>
          <w:p w:rsidR="00EC4C5A" w:rsidRPr="00885CA3" w:rsidRDefault="00EC4C5A" w:rsidP="00491A7B">
            <w:pPr>
              <w:suppressAutoHyphens w:val="0"/>
              <w:spacing w:before="40" w:after="40" w:line="200" w:lineRule="exact"/>
              <w:rPr>
                <w:sz w:val="18"/>
                <w:szCs w:val="18"/>
                <w:lang w:val="fr-FR"/>
              </w:rPr>
            </w:pPr>
            <w:r w:rsidRPr="00885CA3">
              <w:rPr>
                <w:sz w:val="18"/>
                <w:szCs w:val="18"/>
                <w:lang w:val="fr-FR"/>
              </w:rPr>
              <w:t>Koweït</w:t>
            </w:r>
          </w:p>
        </w:tc>
        <w:tc>
          <w:tcPr>
            <w:tcW w:w="3799" w:type="dxa"/>
            <w:shd w:val="clear" w:color="auto" w:fill="auto"/>
            <w:vAlign w:val="bottom"/>
          </w:tcPr>
          <w:p w:rsidR="00EC4C5A" w:rsidRPr="00885CA3" w:rsidRDefault="00EC4C5A" w:rsidP="00491A7B">
            <w:pPr>
              <w:suppressAutoHyphens w:val="0"/>
              <w:spacing w:before="40" w:after="40" w:line="200" w:lineRule="exact"/>
              <w:jc w:val="right"/>
              <w:rPr>
                <w:sz w:val="18"/>
                <w:szCs w:val="18"/>
                <w:lang w:val="fr-FR"/>
              </w:rPr>
            </w:pPr>
            <w:r w:rsidRPr="00885CA3">
              <w:rPr>
                <w:sz w:val="18"/>
                <w:szCs w:val="18"/>
                <w:lang w:val="fr-FR"/>
              </w:rPr>
              <w:t>1 318</w:t>
            </w:r>
          </w:p>
        </w:tc>
      </w:tr>
      <w:tr w:rsidR="00885CA3" w:rsidRPr="00885CA3" w:rsidTr="00885CA3">
        <w:tc>
          <w:tcPr>
            <w:tcW w:w="3571" w:type="dxa"/>
            <w:shd w:val="clear" w:color="auto" w:fill="auto"/>
          </w:tcPr>
          <w:p w:rsidR="00EC4C5A" w:rsidRPr="00885CA3" w:rsidRDefault="00EC4C5A" w:rsidP="00491A7B">
            <w:pPr>
              <w:suppressAutoHyphens w:val="0"/>
              <w:spacing w:before="40" w:after="40" w:line="200" w:lineRule="exact"/>
              <w:rPr>
                <w:sz w:val="18"/>
                <w:szCs w:val="18"/>
                <w:lang w:val="fr-FR"/>
              </w:rPr>
            </w:pPr>
            <w:r w:rsidRPr="00885CA3">
              <w:rPr>
                <w:sz w:val="18"/>
                <w:szCs w:val="18"/>
                <w:lang w:val="fr-FR"/>
              </w:rPr>
              <w:t>Liban</w:t>
            </w:r>
          </w:p>
        </w:tc>
        <w:tc>
          <w:tcPr>
            <w:tcW w:w="3799" w:type="dxa"/>
            <w:shd w:val="clear" w:color="auto" w:fill="auto"/>
            <w:vAlign w:val="bottom"/>
          </w:tcPr>
          <w:p w:rsidR="00EC4C5A" w:rsidRPr="00885CA3" w:rsidRDefault="00EC4C5A" w:rsidP="00491A7B">
            <w:pPr>
              <w:suppressAutoHyphens w:val="0"/>
              <w:spacing w:before="40" w:after="40" w:line="200" w:lineRule="exact"/>
              <w:jc w:val="right"/>
              <w:rPr>
                <w:sz w:val="18"/>
                <w:szCs w:val="18"/>
                <w:lang w:val="fr-FR"/>
              </w:rPr>
            </w:pPr>
            <w:r w:rsidRPr="00885CA3">
              <w:rPr>
                <w:sz w:val="18"/>
                <w:szCs w:val="18"/>
                <w:lang w:val="fr-FR"/>
              </w:rPr>
              <w:t>13</w:t>
            </w:r>
          </w:p>
        </w:tc>
      </w:tr>
      <w:tr w:rsidR="00885CA3" w:rsidRPr="00885CA3" w:rsidTr="00885CA3">
        <w:tc>
          <w:tcPr>
            <w:tcW w:w="3571" w:type="dxa"/>
            <w:shd w:val="clear" w:color="auto" w:fill="auto"/>
          </w:tcPr>
          <w:p w:rsidR="00EC4C5A" w:rsidRPr="00885CA3" w:rsidRDefault="00EC4C5A" w:rsidP="00491A7B">
            <w:pPr>
              <w:suppressAutoHyphens w:val="0"/>
              <w:spacing w:before="40" w:after="40" w:line="200" w:lineRule="exact"/>
              <w:rPr>
                <w:sz w:val="18"/>
                <w:szCs w:val="18"/>
                <w:lang w:val="fr-FR"/>
              </w:rPr>
            </w:pPr>
            <w:r w:rsidRPr="00885CA3">
              <w:rPr>
                <w:sz w:val="18"/>
                <w:szCs w:val="18"/>
                <w:lang w:val="fr-FR"/>
              </w:rPr>
              <w:t xml:space="preserve">Malaisie </w:t>
            </w:r>
          </w:p>
        </w:tc>
        <w:tc>
          <w:tcPr>
            <w:tcW w:w="3799" w:type="dxa"/>
            <w:shd w:val="clear" w:color="auto" w:fill="auto"/>
            <w:vAlign w:val="bottom"/>
          </w:tcPr>
          <w:p w:rsidR="00EC4C5A" w:rsidRPr="00885CA3" w:rsidRDefault="00EC4C5A" w:rsidP="00491A7B">
            <w:pPr>
              <w:suppressAutoHyphens w:val="0"/>
              <w:spacing w:before="40" w:after="40" w:line="200" w:lineRule="exact"/>
              <w:jc w:val="right"/>
              <w:rPr>
                <w:sz w:val="18"/>
                <w:szCs w:val="18"/>
                <w:lang w:val="fr-FR"/>
              </w:rPr>
            </w:pPr>
            <w:r w:rsidRPr="00885CA3">
              <w:rPr>
                <w:sz w:val="18"/>
                <w:szCs w:val="18"/>
                <w:lang w:val="fr-FR"/>
              </w:rPr>
              <w:t>11</w:t>
            </w:r>
          </w:p>
        </w:tc>
      </w:tr>
      <w:tr w:rsidR="00885CA3" w:rsidRPr="00885CA3" w:rsidTr="00885CA3">
        <w:tc>
          <w:tcPr>
            <w:tcW w:w="3571" w:type="dxa"/>
            <w:shd w:val="clear" w:color="auto" w:fill="auto"/>
          </w:tcPr>
          <w:p w:rsidR="00EC4C5A" w:rsidRPr="00885CA3" w:rsidRDefault="00EC4C5A" w:rsidP="00491A7B">
            <w:pPr>
              <w:suppressAutoHyphens w:val="0"/>
              <w:spacing w:before="40" w:after="40" w:line="200" w:lineRule="exact"/>
              <w:rPr>
                <w:sz w:val="18"/>
                <w:szCs w:val="18"/>
                <w:lang w:val="fr-FR"/>
              </w:rPr>
            </w:pPr>
            <w:r w:rsidRPr="00885CA3">
              <w:rPr>
                <w:sz w:val="18"/>
                <w:szCs w:val="18"/>
                <w:lang w:val="fr-FR"/>
              </w:rPr>
              <w:t>Oman</w:t>
            </w:r>
          </w:p>
        </w:tc>
        <w:tc>
          <w:tcPr>
            <w:tcW w:w="3799" w:type="dxa"/>
            <w:shd w:val="clear" w:color="auto" w:fill="auto"/>
            <w:vAlign w:val="bottom"/>
          </w:tcPr>
          <w:p w:rsidR="00EC4C5A" w:rsidRPr="00885CA3" w:rsidRDefault="00EC4C5A" w:rsidP="00491A7B">
            <w:pPr>
              <w:suppressAutoHyphens w:val="0"/>
              <w:spacing w:before="40" w:after="40" w:line="200" w:lineRule="exact"/>
              <w:jc w:val="right"/>
              <w:rPr>
                <w:sz w:val="18"/>
                <w:szCs w:val="18"/>
                <w:lang w:val="fr-FR"/>
              </w:rPr>
            </w:pPr>
            <w:r w:rsidRPr="00885CA3">
              <w:rPr>
                <w:sz w:val="18"/>
                <w:szCs w:val="18"/>
                <w:lang w:val="fr-FR"/>
              </w:rPr>
              <w:t>294</w:t>
            </w:r>
          </w:p>
        </w:tc>
      </w:tr>
      <w:tr w:rsidR="00885CA3" w:rsidRPr="00885CA3" w:rsidTr="00885CA3">
        <w:tc>
          <w:tcPr>
            <w:tcW w:w="3571" w:type="dxa"/>
            <w:shd w:val="clear" w:color="auto" w:fill="auto"/>
          </w:tcPr>
          <w:p w:rsidR="00EC4C5A" w:rsidRPr="00885CA3" w:rsidRDefault="00EC4C5A" w:rsidP="00491A7B">
            <w:pPr>
              <w:suppressAutoHyphens w:val="0"/>
              <w:spacing w:before="40" w:after="40" w:line="200" w:lineRule="exact"/>
              <w:rPr>
                <w:sz w:val="18"/>
                <w:szCs w:val="18"/>
                <w:lang w:val="fr-FR"/>
              </w:rPr>
            </w:pPr>
            <w:r w:rsidRPr="00885CA3">
              <w:rPr>
                <w:sz w:val="18"/>
                <w:szCs w:val="18"/>
                <w:lang w:val="fr-FR"/>
              </w:rPr>
              <w:t xml:space="preserve">Qatar </w:t>
            </w:r>
          </w:p>
        </w:tc>
        <w:tc>
          <w:tcPr>
            <w:tcW w:w="3799" w:type="dxa"/>
            <w:shd w:val="clear" w:color="auto" w:fill="auto"/>
            <w:vAlign w:val="bottom"/>
          </w:tcPr>
          <w:p w:rsidR="00EC4C5A" w:rsidRPr="00885CA3" w:rsidRDefault="00EC4C5A" w:rsidP="00491A7B">
            <w:pPr>
              <w:suppressAutoHyphens w:val="0"/>
              <w:spacing w:before="40" w:after="40" w:line="200" w:lineRule="exact"/>
              <w:jc w:val="right"/>
              <w:rPr>
                <w:sz w:val="18"/>
                <w:szCs w:val="18"/>
                <w:lang w:val="fr-FR"/>
              </w:rPr>
            </w:pPr>
            <w:r w:rsidRPr="00885CA3">
              <w:rPr>
                <w:sz w:val="18"/>
                <w:szCs w:val="18"/>
                <w:lang w:val="fr-FR"/>
              </w:rPr>
              <w:t>433</w:t>
            </w:r>
          </w:p>
        </w:tc>
      </w:tr>
      <w:tr w:rsidR="00885CA3" w:rsidRPr="00885CA3" w:rsidTr="00885CA3">
        <w:tc>
          <w:tcPr>
            <w:tcW w:w="3571" w:type="dxa"/>
            <w:shd w:val="clear" w:color="auto" w:fill="auto"/>
          </w:tcPr>
          <w:p w:rsidR="00EC4C5A" w:rsidRPr="00885CA3" w:rsidRDefault="00EC4C5A" w:rsidP="00491A7B">
            <w:pPr>
              <w:suppressAutoHyphens w:val="0"/>
              <w:spacing w:before="40" w:after="40" w:line="200" w:lineRule="exact"/>
              <w:rPr>
                <w:sz w:val="18"/>
                <w:szCs w:val="18"/>
                <w:lang w:val="fr-FR"/>
              </w:rPr>
            </w:pPr>
            <w:r w:rsidRPr="00885CA3">
              <w:rPr>
                <w:sz w:val="18"/>
                <w:szCs w:val="18"/>
                <w:lang w:val="fr-FR"/>
              </w:rPr>
              <w:t>Riyad</w:t>
            </w:r>
          </w:p>
        </w:tc>
        <w:tc>
          <w:tcPr>
            <w:tcW w:w="3799" w:type="dxa"/>
            <w:shd w:val="clear" w:color="auto" w:fill="auto"/>
            <w:vAlign w:val="bottom"/>
          </w:tcPr>
          <w:p w:rsidR="00EC4C5A" w:rsidRPr="00885CA3" w:rsidRDefault="00EC4C5A" w:rsidP="00491A7B">
            <w:pPr>
              <w:suppressAutoHyphens w:val="0"/>
              <w:spacing w:before="40" w:after="40" w:line="200" w:lineRule="exact"/>
              <w:jc w:val="right"/>
              <w:rPr>
                <w:sz w:val="18"/>
                <w:szCs w:val="18"/>
                <w:lang w:val="fr-FR"/>
              </w:rPr>
            </w:pPr>
            <w:r w:rsidRPr="00885CA3">
              <w:rPr>
                <w:sz w:val="18"/>
                <w:szCs w:val="18"/>
                <w:lang w:val="fr-FR"/>
              </w:rPr>
              <w:t>904</w:t>
            </w:r>
          </w:p>
        </w:tc>
      </w:tr>
      <w:tr w:rsidR="00885CA3" w:rsidRPr="00885CA3" w:rsidTr="00885CA3">
        <w:tc>
          <w:tcPr>
            <w:tcW w:w="3571" w:type="dxa"/>
            <w:shd w:val="clear" w:color="auto" w:fill="auto"/>
          </w:tcPr>
          <w:p w:rsidR="00EC4C5A" w:rsidRPr="00885CA3" w:rsidRDefault="00EC4C5A" w:rsidP="00491A7B">
            <w:pPr>
              <w:suppressAutoHyphens w:val="0"/>
              <w:spacing w:before="40" w:after="40" w:line="200" w:lineRule="exact"/>
              <w:rPr>
                <w:sz w:val="18"/>
                <w:szCs w:val="18"/>
                <w:lang w:val="fr-FR"/>
              </w:rPr>
            </w:pPr>
            <w:r w:rsidRPr="00885CA3">
              <w:rPr>
                <w:sz w:val="18"/>
                <w:szCs w:val="18"/>
                <w:lang w:val="fr-FR"/>
              </w:rPr>
              <w:t>Singapour</w:t>
            </w:r>
          </w:p>
        </w:tc>
        <w:tc>
          <w:tcPr>
            <w:tcW w:w="3799" w:type="dxa"/>
            <w:shd w:val="clear" w:color="auto" w:fill="auto"/>
            <w:vAlign w:val="bottom"/>
          </w:tcPr>
          <w:p w:rsidR="00EC4C5A" w:rsidRPr="00885CA3" w:rsidRDefault="00EC4C5A" w:rsidP="00491A7B">
            <w:pPr>
              <w:suppressAutoHyphens w:val="0"/>
              <w:spacing w:before="40" w:after="40" w:line="200" w:lineRule="exact"/>
              <w:jc w:val="right"/>
              <w:rPr>
                <w:sz w:val="18"/>
                <w:szCs w:val="18"/>
                <w:lang w:val="fr-FR"/>
              </w:rPr>
            </w:pPr>
            <w:r w:rsidRPr="00885CA3">
              <w:rPr>
                <w:sz w:val="18"/>
                <w:szCs w:val="18"/>
                <w:lang w:val="fr-FR"/>
              </w:rPr>
              <w:t>0</w:t>
            </w:r>
          </w:p>
        </w:tc>
      </w:tr>
      <w:tr w:rsidR="00885CA3" w:rsidRPr="00885CA3" w:rsidTr="00885CA3">
        <w:tc>
          <w:tcPr>
            <w:tcW w:w="3571" w:type="dxa"/>
            <w:shd w:val="clear" w:color="auto" w:fill="auto"/>
          </w:tcPr>
          <w:p w:rsidR="00EC4C5A" w:rsidRPr="00885CA3" w:rsidRDefault="00EC4C5A" w:rsidP="00491A7B">
            <w:pPr>
              <w:suppressAutoHyphens w:val="0"/>
              <w:spacing w:before="40" w:after="40" w:line="200" w:lineRule="exact"/>
              <w:rPr>
                <w:sz w:val="18"/>
                <w:szCs w:val="18"/>
                <w:lang w:val="fr-FR"/>
              </w:rPr>
            </w:pPr>
            <w:r w:rsidRPr="00885CA3">
              <w:rPr>
                <w:sz w:val="18"/>
                <w:szCs w:val="18"/>
                <w:lang w:val="fr-FR"/>
              </w:rPr>
              <w:t>Chypre</w:t>
            </w:r>
          </w:p>
        </w:tc>
        <w:tc>
          <w:tcPr>
            <w:tcW w:w="3799" w:type="dxa"/>
            <w:shd w:val="clear" w:color="auto" w:fill="auto"/>
            <w:vAlign w:val="bottom"/>
          </w:tcPr>
          <w:p w:rsidR="00EC4C5A" w:rsidRPr="00885CA3" w:rsidRDefault="00EC4C5A" w:rsidP="00491A7B">
            <w:pPr>
              <w:suppressAutoHyphens w:val="0"/>
              <w:spacing w:before="40" w:after="40" w:line="200" w:lineRule="exact"/>
              <w:jc w:val="right"/>
              <w:rPr>
                <w:sz w:val="18"/>
                <w:szCs w:val="18"/>
                <w:lang w:val="fr-FR"/>
              </w:rPr>
            </w:pPr>
            <w:r w:rsidRPr="00885CA3">
              <w:rPr>
                <w:sz w:val="18"/>
                <w:szCs w:val="18"/>
                <w:lang w:val="fr-FR"/>
              </w:rPr>
              <w:t>111</w:t>
            </w:r>
          </w:p>
        </w:tc>
      </w:tr>
      <w:tr w:rsidR="00885CA3" w:rsidRPr="00885CA3" w:rsidTr="00F95DFE">
        <w:tc>
          <w:tcPr>
            <w:tcW w:w="3571" w:type="dxa"/>
            <w:tcBorders>
              <w:bottom w:val="single" w:sz="12" w:space="0" w:color="auto"/>
            </w:tcBorders>
            <w:shd w:val="clear" w:color="auto" w:fill="auto"/>
          </w:tcPr>
          <w:p w:rsidR="00EC4C5A" w:rsidRPr="00885CA3" w:rsidRDefault="00EC4C5A" w:rsidP="00491A7B">
            <w:pPr>
              <w:suppressAutoHyphens w:val="0"/>
              <w:spacing w:before="40" w:after="40" w:line="200" w:lineRule="exact"/>
              <w:rPr>
                <w:sz w:val="18"/>
                <w:szCs w:val="18"/>
                <w:lang w:val="fr-FR"/>
              </w:rPr>
            </w:pPr>
            <w:r w:rsidRPr="00885CA3">
              <w:rPr>
                <w:sz w:val="18"/>
                <w:szCs w:val="18"/>
                <w:lang w:val="fr-FR"/>
              </w:rPr>
              <w:t>Bahreïn</w:t>
            </w:r>
          </w:p>
        </w:tc>
        <w:tc>
          <w:tcPr>
            <w:tcW w:w="3799" w:type="dxa"/>
            <w:tcBorders>
              <w:bottom w:val="single" w:sz="12" w:space="0" w:color="auto"/>
            </w:tcBorders>
            <w:shd w:val="clear" w:color="auto" w:fill="auto"/>
            <w:vAlign w:val="bottom"/>
          </w:tcPr>
          <w:p w:rsidR="00EC4C5A" w:rsidRPr="00885CA3" w:rsidRDefault="00EC4C5A" w:rsidP="00491A7B">
            <w:pPr>
              <w:suppressAutoHyphens w:val="0"/>
              <w:spacing w:before="40" w:after="40" w:line="200" w:lineRule="exact"/>
              <w:jc w:val="right"/>
              <w:rPr>
                <w:sz w:val="18"/>
                <w:szCs w:val="18"/>
                <w:lang w:val="fr-FR"/>
              </w:rPr>
            </w:pPr>
            <w:r w:rsidRPr="00885CA3">
              <w:rPr>
                <w:sz w:val="18"/>
                <w:szCs w:val="18"/>
                <w:lang w:val="fr-FR"/>
              </w:rPr>
              <w:t>0</w:t>
            </w:r>
          </w:p>
        </w:tc>
      </w:tr>
      <w:tr w:rsidR="00885CA3" w:rsidRPr="00885CA3" w:rsidTr="00F95DFE">
        <w:tc>
          <w:tcPr>
            <w:tcW w:w="3571" w:type="dxa"/>
            <w:tcBorders>
              <w:top w:val="single" w:sz="12" w:space="0" w:color="auto"/>
              <w:bottom w:val="single" w:sz="12" w:space="0" w:color="auto"/>
            </w:tcBorders>
            <w:shd w:val="clear" w:color="auto" w:fill="auto"/>
          </w:tcPr>
          <w:p w:rsidR="00EC4C5A" w:rsidRPr="00972120" w:rsidRDefault="00EC4C5A" w:rsidP="00491A7B">
            <w:pPr>
              <w:suppressAutoHyphens w:val="0"/>
              <w:spacing w:before="80" w:after="80" w:line="200" w:lineRule="exact"/>
              <w:ind w:left="284"/>
              <w:rPr>
                <w:b/>
                <w:sz w:val="18"/>
                <w:szCs w:val="18"/>
                <w:lang w:val="fr-FR"/>
              </w:rPr>
            </w:pPr>
            <w:r w:rsidRPr="00972120">
              <w:rPr>
                <w:b/>
                <w:sz w:val="18"/>
                <w:szCs w:val="18"/>
                <w:lang w:val="fr-FR"/>
              </w:rPr>
              <w:t xml:space="preserve">Total </w:t>
            </w:r>
          </w:p>
        </w:tc>
        <w:tc>
          <w:tcPr>
            <w:tcW w:w="3799" w:type="dxa"/>
            <w:tcBorders>
              <w:top w:val="single" w:sz="12" w:space="0" w:color="auto"/>
              <w:bottom w:val="single" w:sz="12" w:space="0" w:color="auto"/>
            </w:tcBorders>
            <w:shd w:val="clear" w:color="auto" w:fill="auto"/>
            <w:vAlign w:val="bottom"/>
          </w:tcPr>
          <w:p w:rsidR="00EC4C5A" w:rsidRPr="00972120" w:rsidRDefault="00EC4C5A" w:rsidP="00491A7B">
            <w:pPr>
              <w:suppressAutoHyphens w:val="0"/>
              <w:spacing w:before="80" w:after="80" w:line="200" w:lineRule="exact"/>
              <w:jc w:val="right"/>
              <w:rPr>
                <w:b/>
                <w:sz w:val="18"/>
                <w:szCs w:val="18"/>
                <w:lang w:val="fr-FR"/>
              </w:rPr>
            </w:pPr>
            <w:r w:rsidRPr="00972120">
              <w:rPr>
                <w:b/>
                <w:sz w:val="18"/>
                <w:szCs w:val="18"/>
                <w:lang w:val="fr-FR"/>
              </w:rPr>
              <w:t>3 552</w:t>
            </w:r>
          </w:p>
        </w:tc>
      </w:tr>
    </w:tbl>
    <w:p w:rsidR="00EC4C5A" w:rsidRPr="00CC76D1" w:rsidRDefault="00EC4C5A" w:rsidP="00885CA3">
      <w:pPr>
        <w:pStyle w:val="H23G"/>
        <w:rPr>
          <w:lang w:val="fr-FR"/>
        </w:rPr>
      </w:pPr>
      <w:r w:rsidRPr="00CC76D1">
        <w:rPr>
          <w:lang w:val="fr-FR"/>
        </w:rPr>
        <w:lastRenderedPageBreak/>
        <w:tab/>
      </w:r>
      <w:r w:rsidRPr="00CC76D1">
        <w:rPr>
          <w:lang w:val="fr-FR"/>
        </w:rPr>
        <w:tab/>
        <w:t>Prestations fournies par le Bureau sri-lankais pour l</w:t>
      </w:r>
      <w:r w:rsidR="00474653">
        <w:rPr>
          <w:lang w:val="fr-FR"/>
        </w:rPr>
        <w:t>’</w:t>
      </w:r>
      <w:r w:rsidRPr="00CC76D1">
        <w:rPr>
          <w:lang w:val="fr-FR"/>
        </w:rPr>
        <w:t>emploi à l</w:t>
      </w:r>
      <w:r w:rsidR="00474653">
        <w:rPr>
          <w:lang w:val="fr-FR"/>
        </w:rPr>
        <w:t>’</w:t>
      </w:r>
      <w:r w:rsidRPr="00CC76D1">
        <w:rPr>
          <w:lang w:val="fr-FR"/>
        </w:rPr>
        <w:t>étranger à l</w:t>
      </w:r>
      <w:r w:rsidR="00474653">
        <w:rPr>
          <w:lang w:val="fr-FR"/>
        </w:rPr>
        <w:t>’</w:t>
      </w:r>
      <w:r w:rsidRPr="00CC76D1">
        <w:rPr>
          <w:lang w:val="fr-FR"/>
        </w:rPr>
        <w:t>aéroport international Bandaranaike au</w:t>
      </w:r>
      <w:r w:rsidR="00885CA3">
        <w:rPr>
          <w:lang w:val="fr-FR"/>
        </w:rPr>
        <w:t xml:space="preserve"> cours de la période considérée :</w:t>
      </w:r>
    </w:p>
    <w:tbl>
      <w:tblPr>
        <w:tblW w:w="7370" w:type="dxa"/>
        <w:tblInd w:w="1134" w:type="dxa"/>
        <w:tblLayout w:type="fixed"/>
        <w:tblCellMar>
          <w:left w:w="0" w:type="dxa"/>
          <w:right w:w="0" w:type="dxa"/>
        </w:tblCellMar>
        <w:tblLook w:val="00A0" w:firstRow="1" w:lastRow="0" w:firstColumn="1" w:lastColumn="0" w:noHBand="0" w:noVBand="0"/>
      </w:tblPr>
      <w:tblGrid>
        <w:gridCol w:w="5529"/>
        <w:gridCol w:w="1841"/>
      </w:tblGrid>
      <w:tr w:rsidR="00885CA3" w:rsidRPr="00885CA3" w:rsidTr="00885CA3">
        <w:trPr>
          <w:tblHeader/>
        </w:trPr>
        <w:tc>
          <w:tcPr>
            <w:tcW w:w="5529" w:type="dxa"/>
            <w:tcBorders>
              <w:top w:val="single" w:sz="4" w:space="0" w:color="auto"/>
              <w:bottom w:val="single" w:sz="12" w:space="0" w:color="auto"/>
            </w:tcBorders>
            <w:shd w:val="clear" w:color="auto" w:fill="auto"/>
            <w:vAlign w:val="bottom"/>
          </w:tcPr>
          <w:p w:rsidR="00EC4C5A" w:rsidRPr="00885CA3" w:rsidRDefault="00EC4C5A" w:rsidP="00885CA3">
            <w:pPr>
              <w:suppressAutoHyphens w:val="0"/>
              <w:spacing w:before="80" w:after="80" w:line="200" w:lineRule="exact"/>
              <w:rPr>
                <w:i/>
                <w:sz w:val="16"/>
                <w:lang w:val="fr-FR"/>
              </w:rPr>
            </w:pPr>
            <w:r w:rsidRPr="00885CA3">
              <w:rPr>
                <w:i/>
                <w:sz w:val="16"/>
                <w:lang w:val="fr-FR"/>
              </w:rPr>
              <w:t>Prestation</w:t>
            </w:r>
          </w:p>
        </w:tc>
        <w:tc>
          <w:tcPr>
            <w:tcW w:w="1841" w:type="dxa"/>
            <w:tcBorders>
              <w:top w:val="single" w:sz="4" w:space="0" w:color="auto"/>
              <w:bottom w:val="single" w:sz="12" w:space="0" w:color="auto"/>
            </w:tcBorders>
            <w:shd w:val="clear" w:color="auto" w:fill="auto"/>
            <w:vAlign w:val="bottom"/>
          </w:tcPr>
          <w:p w:rsidR="00EC4C5A" w:rsidRPr="00885CA3" w:rsidRDefault="00EC4C5A" w:rsidP="00885CA3">
            <w:pPr>
              <w:suppressAutoHyphens w:val="0"/>
              <w:spacing w:before="80" w:after="80" w:line="200" w:lineRule="exact"/>
              <w:jc w:val="right"/>
              <w:rPr>
                <w:i/>
                <w:sz w:val="16"/>
                <w:lang w:val="fr-FR"/>
              </w:rPr>
            </w:pPr>
            <w:r w:rsidRPr="00885CA3">
              <w:rPr>
                <w:i/>
                <w:sz w:val="16"/>
                <w:lang w:val="fr-FR"/>
              </w:rPr>
              <w:t>Nombre de bénéficiaires</w:t>
            </w:r>
          </w:p>
        </w:tc>
      </w:tr>
      <w:tr w:rsidR="00885CA3" w:rsidRPr="00885CA3" w:rsidTr="00885CA3">
        <w:tc>
          <w:tcPr>
            <w:tcW w:w="5529" w:type="dxa"/>
            <w:tcBorders>
              <w:top w:val="single" w:sz="12" w:space="0" w:color="auto"/>
            </w:tcBorders>
            <w:shd w:val="clear" w:color="auto" w:fill="auto"/>
          </w:tcPr>
          <w:p w:rsidR="00EC4C5A" w:rsidRPr="00885CA3" w:rsidRDefault="00EC4C5A" w:rsidP="00885CA3">
            <w:pPr>
              <w:suppressAutoHyphens w:val="0"/>
              <w:spacing w:before="40" w:after="40" w:line="220" w:lineRule="exact"/>
              <w:rPr>
                <w:sz w:val="18"/>
                <w:szCs w:val="18"/>
                <w:lang w:val="fr-FR"/>
              </w:rPr>
            </w:pPr>
            <w:r w:rsidRPr="00885CA3">
              <w:rPr>
                <w:sz w:val="18"/>
                <w:szCs w:val="18"/>
                <w:lang w:val="fr-FR"/>
              </w:rPr>
              <w:t>Rapatriement en avion</w:t>
            </w:r>
          </w:p>
        </w:tc>
        <w:tc>
          <w:tcPr>
            <w:tcW w:w="1841" w:type="dxa"/>
            <w:tcBorders>
              <w:top w:val="single" w:sz="12" w:space="0" w:color="auto"/>
            </w:tcBorders>
            <w:shd w:val="clear" w:color="auto" w:fill="auto"/>
            <w:vAlign w:val="bottom"/>
          </w:tcPr>
          <w:p w:rsidR="00EC4C5A" w:rsidRPr="00885CA3" w:rsidRDefault="00EC4C5A" w:rsidP="00885CA3">
            <w:pPr>
              <w:suppressAutoHyphens w:val="0"/>
              <w:spacing w:before="40" w:after="40" w:line="220" w:lineRule="exact"/>
              <w:jc w:val="right"/>
              <w:rPr>
                <w:sz w:val="18"/>
                <w:szCs w:val="18"/>
                <w:lang w:val="fr-FR"/>
              </w:rPr>
            </w:pPr>
            <w:r w:rsidRPr="00885CA3">
              <w:rPr>
                <w:sz w:val="18"/>
                <w:szCs w:val="18"/>
                <w:lang w:val="fr-FR"/>
              </w:rPr>
              <w:t>3 540</w:t>
            </w:r>
          </w:p>
        </w:tc>
      </w:tr>
      <w:tr w:rsidR="00885CA3" w:rsidRPr="00885CA3" w:rsidTr="00885CA3">
        <w:tc>
          <w:tcPr>
            <w:tcW w:w="5529" w:type="dxa"/>
            <w:shd w:val="clear" w:color="auto" w:fill="auto"/>
          </w:tcPr>
          <w:p w:rsidR="00EC4C5A" w:rsidRPr="00885CA3" w:rsidRDefault="00EC4C5A" w:rsidP="00885CA3">
            <w:pPr>
              <w:suppressAutoHyphens w:val="0"/>
              <w:spacing w:before="40" w:after="40" w:line="220" w:lineRule="exact"/>
              <w:rPr>
                <w:sz w:val="18"/>
                <w:szCs w:val="18"/>
                <w:lang w:val="fr-FR"/>
              </w:rPr>
            </w:pPr>
            <w:r w:rsidRPr="00885CA3">
              <w:rPr>
                <w:sz w:val="18"/>
                <w:szCs w:val="18"/>
                <w:lang w:val="fr-FR"/>
              </w:rPr>
              <w:t xml:space="preserve">Prise en charge des frais de transport </w:t>
            </w:r>
          </w:p>
        </w:tc>
        <w:tc>
          <w:tcPr>
            <w:tcW w:w="1841" w:type="dxa"/>
            <w:shd w:val="clear" w:color="auto" w:fill="auto"/>
            <w:vAlign w:val="bottom"/>
          </w:tcPr>
          <w:p w:rsidR="00EC4C5A" w:rsidRPr="00885CA3" w:rsidRDefault="00EC4C5A" w:rsidP="00885CA3">
            <w:pPr>
              <w:suppressAutoHyphens w:val="0"/>
              <w:spacing w:before="40" w:after="40" w:line="220" w:lineRule="exact"/>
              <w:jc w:val="right"/>
              <w:rPr>
                <w:sz w:val="18"/>
                <w:szCs w:val="18"/>
                <w:lang w:val="fr-FR"/>
              </w:rPr>
            </w:pPr>
            <w:r w:rsidRPr="00885CA3">
              <w:rPr>
                <w:sz w:val="18"/>
                <w:szCs w:val="18"/>
                <w:lang w:val="fr-FR"/>
              </w:rPr>
              <w:t>167</w:t>
            </w:r>
          </w:p>
        </w:tc>
      </w:tr>
      <w:tr w:rsidR="00885CA3" w:rsidRPr="00885CA3" w:rsidTr="00885CA3">
        <w:tc>
          <w:tcPr>
            <w:tcW w:w="5529" w:type="dxa"/>
            <w:shd w:val="clear" w:color="auto" w:fill="auto"/>
          </w:tcPr>
          <w:p w:rsidR="00EC4C5A" w:rsidRPr="00885CA3" w:rsidRDefault="00EC4C5A" w:rsidP="00885CA3">
            <w:pPr>
              <w:suppressAutoHyphens w:val="0"/>
              <w:spacing w:before="40" w:after="40" w:line="220" w:lineRule="exact"/>
              <w:rPr>
                <w:sz w:val="18"/>
                <w:szCs w:val="18"/>
                <w:lang w:val="fr-FR"/>
              </w:rPr>
            </w:pPr>
            <w:r w:rsidRPr="00885CA3">
              <w:rPr>
                <w:sz w:val="18"/>
                <w:szCs w:val="18"/>
                <w:lang w:val="fr-FR"/>
              </w:rPr>
              <w:t>Orientation des travailleuses migrantes enceintes vers un agent de probation</w:t>
            </w:r>
          </w:p>
        </w:tc>
        <w:tc>
          <w:tcPr>
            <w:tcW w:w="1841" w:type="dxa"/>
            <w:shd w:val="clear" w:color="auto" w:fill="auto"/>
            <w:vAlign w:val="bottom"/>
          </w:tcPr>
          <w:p w:rsidR="00EC4C5A" w:rsidRPr="00885CA3" w:rsidRDefault="00EC4C5A" w:rsidP="00885CA3">
            <w:pPr>
              <w:suppressAutoHyphens w:val="0"/>
              <w:spacing w:before="40" w:after="40" w:line="220" w:lineRule="exact"/>
              <w:jc w:val="right"/>
              <w:rPr>
                <w:sz w:val="18"/>
                <w:szCs w:val="18"/>
                <w:lang w:val="fr-FR"/>
              </w:rPr>
            </w:pPr>
            <w:r w:rsidRPr="00885CA3">
              <w:rPr>
                <w:sz w:val="18"/>
                <w:szCs w:val="18"/>
                <w:lang w:val="fr-FR"/>
              </w:rPr>
              <w:t>16</w:t>
            </w:r>
          </w:p>
        </w:tc>
      </w:tr>
      <w:tr w:rsidR="00885CA3" w:rsidRPr="00885CA3" w:rsidTr="00885CA3">
        <w:tc>
          <w:tcPr>
            <w:tcW w:w="5529" w:type="dxa"/>
            <w:shd w:val="clear" w:color="auto" w:fill="auto"/>
          </w:tcPr>
          <w:p w:rsidR="00EC4C5A" w:rsidRPr="00885CA3" w:rsidRDefault="00EC4C5A" w:rsidP="00885CA3">
            <w:pPr>
              <w:suppressAutoHyphens w:val="0"/>
              <w:spacing w:before="40" w:after="40" w:line="220" w:lineRule="exact"/>
              <w:rPr>
                <w:sz w:val="18"/>
                <w:szCs w:val="18"/>
                <w:lang w:val="fr-FR"/>
              </w:rPr>
            </w:pPr>
            <w:r w:rsidRPr="00885CA3">
              <w:rPr>
                <w:sz w:val="18"/>
                <w:szCs w:val="18"/>
                <w:lang w:val="fr-FR"/>
              </w:rPr>
              <w:t>Orientation des travailleuses migrantes et leurs enfants vers un agent de probation</w:t>
            </w:r>
          </w:p>
        </w:tc>
        <w:tc>
          <w:tcPr>
            <w:tcW w:w="1841" w:type="dxa"/>
            <w:shd w:val="clear" w:color="auto" w:fill="auto"/>
            <w:vAlign w:val="bottom"/>
          </w:tcPr>
          <w:p w:rsidR="00EC4C5A" w:rsidRPr="00885CA3" w:rsidRDefault="00EC4C5A" w:rsidP="00885CA3">
            <w:pPr>
              <w:suppressAutoHyphens w:val="0"/>
              <w:spacing w:before="40" w:after="40" w:line="220" w:lineRule="exact"/>
              <w:jc w:val="right"/>
              <w:rPr>
                <w:sz w:val="18"/>
                <w:szCs w:val="18"/>
                <w:lang w:val="fr-FR"/>
              </w:rPr>
            </w:pPr>
            <w:r w:rsidRPr="00885CA3">
              <w:rPr>
                <w:sz w:val="18"/>
                <w:szCs w:val="18"/>
                <w:lang w:val="fr-FR"/>
              </w:rPr>
              <w:t>31</w:t>
            </w:r>
          </w:p>
        </w:tc>
      </w:tr>
      <w:tr w:rsidR="00885CA3" w:rsidRPr="00885CA3" w:rsidTr="00885CA3">
        <w:tc>
          <w:tcPr>
            <w:tcW w:w="5529" w:type="dxa"/>
            <w:shd w:val="clear" w:color="auto" w:fill="auto"/>
          </w:tcPr>
          <w:p w:rsidR="00EC4C5A" w:rsidRPr="00885CA3" w:rsidRDefault="00EC4C5A" w:rsidP="00885CA3">
            <w:pPr>
              <w:suppressAutoHyphens w:val="0"/>
              <w:spacing w:before="40" w:after="40" w:line="220" w:lineRule="exact"/>
              <w:rPr>
                <w:sz w:val="18"/>
                <w:szCs w:val="18"/>
                <w:lang w:val="fr-FR"/>
              </w:rPr>
            </w:pPr>
            <w:r w:rsidRPr="00885CA3">
              <w:rPr>
                <w:sz w:val="18"/>
                <w:szCs w:val="18"/>
                <w:lang w:val="fr-FR"/>
              </w:rPr>
              <w:t>Retour des travailleurs migrants médicalement inaptes dans leur famille</w:t>
            </w:r>
          </w:p>
        </w:tc>
        <w:tc>
          <w:tcPr>
            <w:tcW w:w="1841" w:type="dxa"/>
            <w:shd w:val="clear" w:color="auto" w:fill="auto"/>
            <w:vAlign w:val="bottom"/>
          </w:tcPr>
          <w:p w:rsidR="00EC4C5A" w:rsidRPr="00885CA3" w:rsidRDefault="00EC4C5A" w:rsidP="00885CA3">
            <w:pPr>
              <w:suppressAutoHyphens w:val="0"/>
              <w:spacing w:before="40" w:after="40" w:line="220" w:lineRule="exact"/>
              <w:jc w:val="right"/>
              <w:rPr>
                <w:sz w:val="18"/>
                <w:szCs w:val="18"/>
                <w:lang w:val="fr-FR"/>
              </w:rPr>
            </w:pPr>
            <w:r w:rsidRPr="00885CA3">
              <w:rPr>
                <w:sz w:val="18"/>
                <w:szCs w:val="18"/>
                <w:lang w:val="fr-FR"/>
              </w:rPr>
              <w:t>1 327</w:t>
            </w:r>
          </w:p>
        </w:tc>
      </w:tr>
      <w:tr w:rsidR="00885CA3" w:rsidRPr="00885CA3" w:rsidTr="00885CA3">
        <w:tc>
          <w:tcPr>
            <w:tcW w:w="5529" w:type="dxa"/>
            <w:shd w:val="clear" w:color="auto" w:fill="auto"/>
          </w:tcPr>
          <w:p w:rsidR="00EC4C5A" w:rsidRPr="00885CA3" w:rsidRDefault="00EC4C5A" w:rsidP="00885CA3">
            <w:pPr>
              <w:suppressAutoHyphens w:val="0"/>
              <w:spacing w:before="40" w:after="40" w:line="220" w:lineRule="exact"/>
              <w:rPr>
                <w:sz w:val="18"/>
                <w:szCs w:val="18"/>
                <w:lang w:val="fr-FR"/>
              </w:rPr>
            </w:pPr>
            <w:r w:rsidRPr="00885CA3">
              <w:rPr>
                <w:sz w:val="18"/>
                <w:szCs w:val="18"/>
                <w:lang w:val="fr-FR"/>
              </w:rPr>
              <w:t xml:space="preserve">Hospitalisation </w:t>
            </w:r>
          </w:p>
        </w:tc>
        <w:tc>
          <w:tcPr>
            <w:tcW w:w="1841" w:type="dxa"/>
            <w:shd w:val="clear" w:color="auto" w:fill="auto"/>
            <w:vAlign w:val="bottom"/>
          </w:tcPr>
          <w:p w:rsidR="00EC4C5A" w:rsidRPr="00885CA3" w:rsidRDefault="00EC4C5A" w:rsidP="00885CA3">
            <w:pPr>
              <w:suppressAutoHyphens w:val="0"/>
              <w:spacing w:before="40" w:after="40" w:line="220" w:lineRule="exact"/>
              <w:jc w:val="right"/>
              <w:rPr>
                <w:sz w:val="18"/>
                <w:szCs w:val="18"/>
                <w:lang w:val="fr-FR"/>
              </w:rPr>
            </w:pPr>
            <w:r w:rsidRPr="00885CA3">
              <w:rPr>
                <w:sz w:val="18"/>
                <w:szCs w:val="18"/>
                <w:lang w:val="fr-FR"/>
              </w:rPr>
              <w:t>92</w:t>
            </w:r>
          </w:p>
        </w:tc>
      </w:tr>
      <w:tr w:rsidR="00885CA3" w:rsidRPr="00885CA3" w:rsidTr="00885CA3">
        <w:tc>
          <w:tcPr>
            <w:tcW w:w="5529" w:type="dxa"/>
            <w:tcBorders>
              <w:bottom w:val="single" w:sz="12" w:space="0" w:color="auto"/>
            </w:tcBorders>
            <w:shd w:val="clear" w:color="auto" w:fill="auto"/>
          </w:tcPr>
          <w:p w:rsidR="00EC4C5A" w:rsidRPr="00885CA3" w:rsidRDefault="00885CA3" w:rsidP="00885CA3">
            <w:pPr>
              <w:suppressAutoHyphens w:val="0"/>
              <w:spacing w:before="40" w:after="40" w:line="220" w:lineRule="exact"/>
              <w:rPr>
                <w:sz w:val="18"/>
                <w:szCs w:val="18"/>
                <w:lang w:val="fr-FR"/>
              </w:rPr>
            </w:pPr>
            <w:r>
              <w:rPr>
                <w:sz w:val="18"/>
                <w:szCs w:val="18"/>
                <w:lang w:val="fr-FR"/>
              </w:rPr>
              <w:t>Services (par exemple</w:t>
            </w:r>
            <w:r w:rsidR="00EC4C5A" w:rsidRPr="00885CA3">
              <w:rPr>
                <w:sz w:val="18"/>
                <w:szCs w:val="18"/>
                <w:lang w:val="fr-FR"/>
              </w:rPr>
              <w:t>, nourriture)</w:t>
            </w:r>
          </w:p>
        </w:tc>
        <w:tc>
          <w:tcPr>
            <w:tcW w:w="1841" w:type="dxa"/>
            <w:tcBorders>
              <w:bottom w:val="single" w:sz="12" w:space="0" w:color="auto"/>
            </w:tcBorders>
            <w:shd w:val="clear" w:color="auto" w:fill="auto"/>
            <w:vAlign w:val="bottom"/>
          </w:tcPr>
          <w:p w:rsidR="00EC4C5A" w:rsidRPr="00885CA3" w:rsidRDefault="00EC4C5A" w:rsidP="00885CA3">
            <w:pPr>
              <w:suppressAutoHyphens w:val="0"/>
              <w:spacing w:before="40" w:after="40" w:line="220" w:lineRule="exact"/>
              <w:jc w:val="right"/>
              <w:rPr>
                <w:sz w:val="18"/>
                <w:szCs w:val="18"/>
                <w:lang w:val="fr-FR"/>
              </w:rPr>
            </w:pPr>
            <w:r w:rsidRPr="00885CA3">
              <w:rPr>
                <w:sz w:val="18"/>
                <w:szCs w:val="18"/>
                <w:lang w:val="fr-FR"/>
              </w:rPr>
              <w:t xml:space="preserve">2 563 </w:t>
            </w:r>
          </w:p>
        </w:tc>
      </w:tr>
    </w:tbl>
    <w:p w:rsidR="00EC4C5A" w:rsidRPr="00CC76D1" w:rsidRDefault="00EC4C5A" w:rsidP="00885CA3">
      <w:pPr>
        <w:pStyle w:val="HChG"/>
        <w:rPr>
          <w:lang w:val="fr-FR"/>
        </w:rPr>
      </w:pPr>
      <w:r w:rsidRPr="00CC76D1">
        <w:rPr>
          <w:lang w:val="fr-FR"/>
        </w:rPr>
        <w:tab/>
      </w:r>
      <w:r w:rsidRPr="00CC76D1">
        <w:rPr>
          <w:lang w:val="fr-FR"/>
        </w:rPr>
        <w:tab/>
        <w:t>Droits syndicaux (art. 8)</w:t>
      </w:r>
    </w:p>
    <w:p w:rsidR="00EC4C5A" w:rsidRPr="00CC76D1" w:rsidRDefault="00EC4C5A" w:rsidP="00885CA3">
      <w:pPr>
        <w:pStyle w:val="H1G"/>
        <w:rPr>
          <w:lang w:val="fr-FR"/>
        </w:rPr>
      </w:pPr>
      <w:r w:rsidRPr="00CC76D1">
        <w:rPr>
          <w:lang w:val="fr-FR"/>
        </w:rPr>
        <w:tab/>
        <w:t>4.</w:t>
      </w:r>
      <w:r w:rsidRPr="00CC76D1">
        <w:rPr>
          <w:lang w:val="fr-FR"/>
        </w:rPr>
        <w:tab/>
        <w:t>Mesures prises pour assurer la protection des droits des travailleurs dans le secteur non structuré de l</w:t>
      </w:r>
      <w:r w:rsidR="00474653">
        <w:rPr>
          <w:lang w:val="fr-FR"/>
        </w:rPr>
        <w:t>’</w:t>
      </w:r>
      <w:r w:rsidRPr="00CC76D1">
        <w:rPr>
          <w:lang w:val="fr-FR"/>
        </w:rPr>
        <w:t>économie et réglementer progressivement ce secteur ainsi que les entreprises informelles</w:t>
      </w:r>
    </w:p>
    <w:p w:rsidR="00EC4C5A" w:rsidRPr="00CC76D1" w:rsidRDefault="00EC4C5A" w:rsidP="00885CA3">
      <w:pPr>
        <w:pStyle w:val="SingleTxtG"/>
        <w:rPr>
          <w:lang w:val="fr-FR"/>
        </w:rPr>
      </w:pPr>
      <w:r w:rsidRPr="00CC76D1">
        <w:rPr>
          <w:lang w:val="fr-FR"/>
        </w:rPr>
        <w:t>75.</w:t>
      </w:r>
      <w:r w:rsidRPr="00CC76D1">
        <w:rPr>
          <w:lang w:val="fr-FR"/>
        </w:rPr>
        <w:tab/>
        <w:t>Le droit du travail s</w:t>
      </w:r>
      <w:r w:rsidR="00474653">
        <w:rPr>
          <w:lang w:val="fr-FR"/>
        </w:rPr>
        <w:t>’</w:t>
      </w:r>
      <w:r w:rsidRPr="00CC76D1">
        <w:rPr>
          <w:lang w:val="fr-FR"/>
        </w:rPr>
        <w:t>applique au secteur non structuré et réglemente les relations employeurs-employés.</w:t>
      </w:r>
    </w:p>
    <w:p w:rsidR="00EC4C5A" w:rsidRPr="00CC76D1" w:rsidRDefault="00EC4C5A" w:rsidP="00885CA3">
      <w:pPr>
        <w:pStyle w:val="SingleTxtG"/>
        <w:rPr>
          <w:lang w:val="fr-FR"/>
        </w:rPr>
      </w:pPr>
      <w:r w:rsidRPr="00CC76D1">
        <w:rPr>
          <w:lang w:val="fr-FR"/>
        </w:rPr>
        <w:t>76.</w:t>
      </w:r>
      <w:r w:rsidRPr="00CC76D1">
        <w:rPr>
          <w:lang w:val="fr-FR"/>
        </w:rPr>
        <w:tab/>
        <w:t>Le Gouvernement sri-lankais s</w:t>
      </w:r>
      <w:r w:rsidR="00474653">
        <w:rPr>
          <w:lang w:val="fr-FR"/>
        </w:rPr>
        <w:t>’</w:t>
      </w:r>
      <w:r w:rsidRPr="00CC76D1">
        <w:rPr>
          <w:lang w:val="fr-FR"/>
        </w:rPr>
        <w:t>est particulièrement attaché à garantir la liberté d</w:t>
      </w:r>
      <w:r w:rsidR="00474653">
        <w:rPr>
          <w:lang w:val="fr-FR"/>
        </w:rPr>
        <w:t>’</w:t>
      </w:r>
      <w:r w:rsidRPr="00CC76D1">
        <w:rPr>
          <w:lang w:val="fr-FR"/>
        </w:rPr>
        <w:t>association des travailleurs des zones franches industrielles. Le Ministère du travail et des relations syndicales, en collaboration avec le Conseil des investissements, a pris des mesures pour mettre en place des centres dans lesquels les responsables ou représentants syndicaux peuvent organiser des réunions avec les travailleurs. Cinq centres ont été créés dans les régions de Katunayake, Biyagama, Koggala, Wathupitiwela et Kandy et mis à la disposition des syndicats. Les données sur l</w:t>
      </w:r>
      <w:r w:rsidR="00474653">
        <w:rPr>
          <w:lang w:val="fr-FR"/>
        </w:rPr>
        <w:t>’</w:t>
      </w:r>
      <w:r w:rsidRPr="00CC76D1">
        <w:rPr>
          <w:lang w:val="fr-FR"/>
        </w:rPr>
        <w:t>utilisation de ces centres par les syndicats depuis 2011 figurent à l</w:t>
      </w:r>
      <w:r w:rsidR="00474653">
        <w:rPr>
          <w:lang w:val="fr-FR"/>
        </w:rPr>
        <w:t>’</w:t>
      </w:r>
      <w:r w:rsidRPr="003634DA">
        <w:rPr>
          <w:b/>
          <w:lang w:val="fr-FR"/>
        </w:rPr>
        <w:t>annexe V</w:t>
      </w:r>
      <w:r w:rsidRPr="00CC76D1">
        <w:rPr>
          <w:lang w:val="fr-FR"/>
        </w:rPr>
        <w:t>. Par ailleurs, dans les z</w:t>
      </w:r>
      <w:r w:rsidR="00C51CCF">
        <w:rPr>
          <w:lang w:val="fr-FR"/>
        </w:rPr>
        <w:t>ones franches industrielles (au </w:t>
      </w:r>
      <w:r w:rsidRPr="00CC76D1">
        <w:rPr>
          <w:lang w:val="fr-FR"/>
        </w:rPr>
        <w:t>nombre de 14), 18 des 31 syndicats en activité bénéficient d</w:t>
      </w:r>
      <w:r w:rsidR="00474653">
        <w:rPr>
          <w:lang w:val="fr-FR"/>
        </w:rPr>
        <w:t>’</w:t>
      </w:r>
      <w:r w:rsidRPr="00CC76D1">
        <w:rPr>
          <w:lang w:val="fr-FR"/>
        </w:rPr>
        <w:t>un système de retenue des cotisations syndicales à la source, et sept conventions collectives sont en vigueur. Il semble que les conseils d</w:t>
      </w:r>
      <w:r w:rsidR="00474653">
        <w:rPr>
          <w:lang w:val="fr-FR"/>
        </w:rPr>
        <w:t>’</w:t>
      </w:r>
      <w:r w:rsidRPr="00CC76D1">
        <w:rPr>
          <w:lang w:val="fr-FR"/>
        </w:rPr>
        <w:t xml:space="preserve">employés se transforment de plus en </w:t>
      </w:r>
      <w:r w:rsidR="00C51CCF">
        <w:rPr>
          <w:lang w:val="fr-FR"/>
        </w:rPr>
        <w:t>plus en syndicats. De fait, 109 </w:t>
      </w:r>
      <w:r w:rsidRPr="00CC76D1">
        <w:rPr>
          <w:lang w:val="fr-FR"/>
        </w:rPr>
        <w:t>conseils d</w:t>
      </w:r>
      <w:r w:rsidR="00474653">
        <w:rPr>
          <w:lang w:val="fr-FR"/>
        </w:rPr>
        <w:t>’</w:t>
      </w:r>
      <w:r w:rsidRPr="00CC76D1">
        <w:rPr>
          <w:lang w:val="fr-FR"/>
        </w:rPr>
        <w:t>employés dans les zones franches industrielles ont déjà été convertis en syndicats et inscrits dans le registre des syndicats.</w:t>
      </w:r>
    </w:p>
    <w:p w:rsidR="00EC4C5A" w:rsidRPr="00CC76D1" w:rsidRDefault="00EC4C5A" w:rsidP="00C51CCF">
      <w:pPr>
        <w:pStyle w:val="H23G"/>
        <w:rPr>
          <w:lang w:val="fr-FR"/>
        </w:rPr>
      </w:pPr>
      <w:r w:rsidRPr="00CC76D1">
        <w:rPr>
          <w:lang w:val="fr-FR"/>
        </w:rPr>
        <w:tab/>
      </w:r>
      <w:r w:rsidRPr="00CC76D1">
        <w:rPr>
          <w:lang w:val="fr-FR"/>
        </w:rPr>
        <w:tab/>
        <w:t>Pratiques déloyales de travail (jusqu</w:t>
      </w:r>
      <w:r w:rsidR="00474653">
        <w:rPr>
          <w:lang w:val="fr-FR"/>
        </w:rPr>
        <w:t>’</w:t>
      </w:r>
      <w:r w:rsidR="00FA0623">
        <w:rPr>
          <w:lang w:val="fr-FR"/>
        </w:rPr>
        <w:t xml:space="preserve">au 28 février </w:t>
      </w:r>
      <w:r w:rsidRPr="00CC76D1">
        <w:rPr>
          <w:lang w:val="fr-FR"/>
        </w:rPr>
        <w:t>2017)</w:t>
      </w:r>
    </w:p>
    <w:p w:rsidR="00EC4C5A" w:rsidRPr="00CC76D1" w:rsidRDefault="00EC4C5A" w:rsidP="00C51CCF">
      <w:pPr>
        <w:pStyle w:val="SingleTxtG"/>
        <w:ind w:left="1701"/>
        <w:rPr>
          <w:lang w:val="fr-FR"/>
        </w:rPr>
      </w:pPr>
      <w:r w:rsidRPr="00CC76D1">
        <w:rPr>
          <w:lang w:val="fr-FR"/>
        </w:rPr>
        <w:t>i)</w:t>
      </w:r>
      <w:r w:rsidR="00293F4C">
        <w:rPr>
          <w:lang w:val="fr-FR"/>
        </w:rPr>
        <w:tab/>
        <w:t xml:space="preserve">Nombre de signalements : </w:t>
      </w:r>
      <w:r w:rsidRPr="00CC76D1">
        <w:rPr>
          <w:lang w:val="fr-FR"/>
        </w:rPr>
        <w:t>12</w:t>
      </w:r>
    </w:p>
    <w:p w:rsidR="00EC4C5A" w:rsidRPr="00CC76D1" w:rsidRDefault="00EC4C5A" w:rsidP="00C51CCF">
      <w:pPr>
        <w:pStyle w:val="SingleTxtG"/>
        <w:ind w:left="1701"/>
        <w:rPr>
          <w:lang w:val="fr-FR"/>
        </w:rPr>
      </w:pPr>
      <w:r w:rsidRPr="00CC76D1">
        <w:rPr>
          <w:lang w:val="fr-FR"/>
        </w:rPr>
        <w:t>ii)</w:t>
      </w:r>
      <w:r w:rsidRPr="00CC76D1">
        <w:rPr>
          <w:lang w:val="fr-FR"/>
        </w:rPr>
        <w:tab/>
        <w:t>Nombre d</w:t>
      </w:r>
      <w:r w:rsidR="00474653">
        <w:rPr>
          <w:lang w:val="fr-FR"/>
        </w:rPr>
        <w:t>’</w:t>
      </w:r>
      <w:r w:rsidRPr="00CC76D1">
        <w:rPr>
          <w:lang w:val="fr-FR"/>
        </w:rPr>
        <w:t>affaires portées</w:t>
      </w:r>
      <w:r w:rsidR="00293F4C">
        <w:rPr>
          <w:lang w:val="fr-FR"/>
        </w:rPr>
        <w:t xml:space="preserve"> devant une Magistrate Court : </w:t>
      </w:r>
      <w:r w:rsidRPr="00CC76D1">
        <w:rPr>
          <w:lang w:val="fr-FR"/>
        </w:rPr>
        <w:t>9</w:t>
      </w:r>
    </w:p>
    <w:p w:rsidR="00EC4C5A" w:rsidRPr="00CC76D1" w:rsidRDefault="00EC4C5A" w:rsidP="00C51CCF">
      <w:pPr>
        <w:pStyle w:val="SingleTxtG"/>
        <w:ind w:left="1701"/>
        <w:rPr>
          <w:lang w:val="fr-FR"/>
        </w:rPr>
      </w:pPr>
      <w:r w:rsidRPr="00CC76D1">
        <w:rPr>
          <w:lang w:val="fr-FR"/>
        </w:rPr>
        <w:t>iii)</w:t>
      </w:r>
      <w:r w:rsidRPr="00CC76D1">
        <w:rPr>
          <w:lang w:val="fr-FR"/>
        </w:rPr>
        <w:tab/>
        <w:t>Nombre d</w:t>
      </w:r>
      <w:r w:rsidR="00474653">
        <w:rPr>
          <w:lang w:val="fr-FR"/>
        </w:rPr>
        <w:t>’</w:t>
      </w:r>
      <w:r w:rsidR="00293F4C">
        <w:rPr>
          <w:lang w:val="fr-FR"/>
        </w:rPr>
        <w:t xml:space="preserve">affaires conclues : </w:t>
      </w:r>
      <w:r w:rsidRPr="00CC76D1">
        <w:rPr>
          <w:lang w:val="fr-FR"/>
        </w:rPr>
        <w:t>2</w:t>
      </w:r>
    </w:p>
    <w:p w:rsidR="00EC4C5A" w:rsidRPr="00CC76D1" w:rsidRDefault="00EC4C5A" w:rsidP="00C51CCF">
      <w:pPr>
        <w:pStyle w:val="SingleTxtG"/>
        <w:ind w:left="1701"/>
        <w:rPr>
          <w:lang w:val="fr-FR"/>
        </w:rPr>
      </w:pPr>
      <w:r w:rsidRPr="00CC76D1">
        <w:rPr>
          <w:lang w:val="fr-FR"/>
        </w:rPr>
        <w:t>iv)</w:t>
      </w:r>
      <w:r w:rsidRPr="00CC76D1">
        <w:rPr>
          <w:lang w:val="fr-FR"/>
        </w:rPr>
        <w:tab/>
        <w:t>Nombre d</w:t>
      </w:r>
      <w:r w:rsidR="00474653">
        <w:rPr>
          <w:lang w:val="fr-FR"/>
        </w:rPr>
        <w:t>’</w:t>
      </w:r>
      <w:r w:rsidR="00293F4C">
        <w:rPr>
          <w:lang w:val="fr-FR"/>
        </w:rPr>
        <w:t xml:space="preserve">affaires pendantes : </w:t>
      </w:r>
      <w:r w:rsidRPr="00CC76D1">
        <w:rPr>
          <w:lang w:val="fr-FR"/>
        </w:rPr>
        <w:t xml:space="preserve">7 </w:t>
      </w:r>
    </w:p>
    <w:p w:rsidR="00EC4C5A" w:rsidRPr="00CC76D1" w:rsidRDefault="00EC4C5A" w:rsidP="00C51CCF">
      <w:pPr>
        <w:spacing w:before="120" w:after="240"/>
        <w:ind w:left="1134" w:firstLine="170"/>
        <w:rPr>
          <w:sz w:val="18"/>
          <w:szCs w:val="18"/>
          <w:lang w:val="fr-FR"/>
        </w:rPr>
      </w:pPr>
      <w:r w:rsidRPr="0089011E">
        <w:rPr>
          <w:i/>
          <w:sz w:val="18"/>
          <w:szCs w:val="18"/>
          <w:lang w:val="fr-FR"/>
        </w:rPr>
        <w:t>Nota</w:t>
      </w:r>
      <w:r w:rsidR="0089011E">
        <w:rPr>
          <w:i/>
          <w:sz w:val="18"/>
          <w:szCs w:val="18"/>
          <w:lang w:val="fr-FR"/>
        </w:rPr>
        <w:t> </w:t>
      </w:r>
      <w:r w:rsidR="0089011E" w:rsidRPr="0089011E">
        <w:rPr>
          <w:sz w:val="18"/>
          <w:szCs w:val="18"/>
          <w:lang w:val="fr-FR"/>
        </w:rPr>
        <w:t>:</w:t>
      </w:r>
      <w:r w:rsidRPr="00CC76D1">
        <w:rPr>
          <w:sz w:val="18"/>
          <w:szCs w:val="18"/>
          <w:lang w:val="fr-FR"/>
        </w:rPr>
        <w:t xml:space="preserve"> Dans une affaire, aucune poursuite n</w:t>
      </w:r>
      <w:r w:rsidR="00474653">
        <w:rPr>
          <w:sz w:val="18"/>
          <w:szCs w:val="18"/>
          <w:lang w:val="fr-FR"/>
        </w:rPr>
        <w:t>’</w:t>
      </w:r>
      <w:r w:rsidRPr="00CC76D1">
        <w:rPr>
          <w:sz w:val="18"/>
          <w:szCs w:val="18"/>
          <w:lang w:val="fr-FR"/>
        </w:rPr>
        <w:t>a été engagée faute de témoignages des travailleurs</w:t>
      </w:r>
      <w:r w:rsidRPr="00CC76D1">
        <w:rPr>
          <w:lang w:val="fr-FR"/>
        </w:rPr>
        <w:t xml:space="preserve">. </w:t>
      </w:r>
    </w:p>
    <w:p w:rsidR="00EC4C5A" w:rsidRPr="00CC76D1" w:rsidRDefault="00EC4C5A" w:rsidP="0089011E">
      <w:pPr>
        <w:pStyle w:val="H23G"/>
        <w:rPr>
          <w:lang w:val="fr-FR"/>
        </w:rPr>
      </w:pPr>
      <w:r w:rsidRPr="00CC76D1">
        <w:rPr>
          <w:lang w:val="fr-FR"/>
        </w:rPr>
        <w:tab/>
      </w:r>
      <w:r w:rsidRPr="00CC76D1">
        <w:rPr>
          <w:lang w:val="fr-FR"/>
        </w:rPr>
        <w:tab/>
        <w:t>Référendums</w:t>
      </w:r>
    </w:p>
    <w:tbl>
      <w:tblPr>
        <w:tblW w:w="7370" w:type="dxa"/>
        <w:tblInd w:w="1134" w:type="dxa"/>
        <w:tblLayout w:type="fixed"/>
        <w:tblCellMar>
          <w:left w:w="0" w:type="dxa"/>
          <w:right w:w="0" w:type="dxa"/>
        </w:tblCellMar>
        <w:tblLook w:val="00A0" w:firstRow="1" w:lastRow="0" w:firstColumn="1" w:lastColumn="0" w:noHBand="0" w:noVBand="0"/>
      </w:tblPr>
      <w:tblGrid>
        <w:gridCol w:w="4536"/>
        <w:gridCol w:w="1701"/>
        <w:gridCol w:w="1133"/>
      </w:tblGrid>
      <w:tr w:rsidR="0089011E" w:rsidRPr="0089011E" w:rsidTr="0089011E">
        <w:trPr>
          <w:tblHeader/>
        </w:trPr>
        <w:tc>
          <w:tcPr>
            <w:tcW w:w="4536" w:type="dxa"/>
            <w:tcBorders>
              <w:top w:val="single" w:sz="4" w:space="0" w:color="auto"/>
              <w:bottom w:val="single" w:sz="12" w:space="0" w:color="auto"/>
            </w:tcBorders>
            <w:shd w:val="clear" w:color="auto" w:fill="auto"/>
            <w:vAlign w:val="bottom"/>
          </w:tcPr>
          <w:p w:rsidR="00EC4C5A" w:rsidRPr="0089011E" w:rsidRDefault="00EC4C5A" w:rsidP="0089011E">
            <w:pPr>
              <w:suppressAutoHyphens w:val="0"/>
              <w:spacing w:before="80" w:after="80" w:line="200" w:lineRule="exact"/>
              <w:rPr>
                <w:i/>
                <w:sz w:val="16"/>
                <w:lang w:val="fr-FR"/>
              </w:rPr>
            </w:pPr>
            <w:r w:rsidRPr="0089011E">
              <w:rPr>
                <w:i/>
                <w:sz w:val="16"/>
                <w:lang w:val="fr-FR"/>
              </w:rPr>
              <w:t>Syndicat, entreprise et date de la demande de tenue d</w:t>
            </w:r>
            <w:r w:rsidR="00474653">
              <w:rPr>
                <w:i/>
                <w:sz w:val="16"/>
                <w:lang w:val="fr-FR"/>
              </w:rPr>
              <w:t>’</w:t>
            </w:r>
            <w:r w:rsidRPr="0089011E">
              <w:rPr>
                <w:i/>
                <w:sz w:val="16"/>
                <w:lang w:val="fr-FR"/>
              </w:rPr>
              <w:t>un référendum</w:t>
            </w:r>
          </w:p>
        </w:tc>
        <w:tc>
          <w:tcPr>
            <w:tcW w:w="1701" w:type="dxa"/>
            <w:tcBorders>
              <w:top w:val="single" w:sz="4" w:space="0" w:color="auto"/>
              <w:bottom w:val="single" w:sz="12" w:space="0" w:color="auto"/>
            </w:tcBorders>
            <w:shd w:val="clear" w:color="auto" w:fill="auto"/>
            <w:vAlign w:val="bottom"/>
          </w:tcPr>
          <w:p w:rsidR="00EC4C5A" w:rsidRPr="0089011E" w:rsidRDefault="00EC4C5A" w:rsidP="0089011E">
            <w:pPr>
              <w:suppressAutoHyphens w:val="0"/>
              <w:spacing w:before="80" w:after="80" w:line="200" w:lineRule="exact"/>
              <w:jc w:val="right"/>
              <w:rPr>
                <w:i/>
                <w:sz w:val="16"/>
                <w:lang w:val="fr-FR"/>
              </w:rPr>
            </w:pPr>
            <w:r w:rsidRPr="0089011E">
              <w:rPr>
                <w:i/>
                <w:sz w:val="16"/>
                <w:lang w:val="fr-FR"/>
              </w:rPr>
              <w:t>Date du référendum</w:t>
            </w:r>
          </w:p>
        </w:tc>
        <w:tc>
          <w:tcPr>
            <w:tcW w:w="1133" w:type="dxa"/>
            <w:tcBorders>
              <w:top w:val="single" w:sz="4" w:space="0" w:color="auto"/>
              <w:bottom w:val="single" w:sz="12" w:space="0" w:color="auto"/>
            </w:tcBorders>
            <w:shd w:val="clear" w:color="auto" w:fill="auto"/>
            <w:vAlign w:val="bottom"/>
          </w:tcPr>
          <w:p w:rsidR="00EC4C5A" w:rsidRPr="0089011E" w:rsidRDefault="00EC4C5A" w:rsidP="0089011E">
            <w:pPr>
              <w:suppressAutoHyphens w:val="0"/>
              <w:spacing w:before="80" w:after="80" w:line="200" w:lineRule="exact"/>
              <w:jc w:val="right"/>
              <w:rPr>
                <w:i/>
                <w:sz w:val="16"/>
                <w:lang w:val="fr-FR"/>
              </w:rPr>
            </w:pPr>
            <w:r w:rsidRPr="0089011E">
              <w:rPr>
                <w:i/>
                <w:sz w:val="16"/>
                <w:lang w:val="fr-FR"/>
              </w:rPr>
              <w:t>Résultat (en %)</w:t>
            </w:r>
          </w:p>
        </w:tc>
      </w:tr>
      <w:tr w:rsidR="0089011E" w:rsidRPr="0089011E" w:rsidTr="0089011E">
        <w:tc>
          <w:tcPr>
            <w:tcW w:w="4536" w:type="dxa"/>
            <w:tcBorders>
              <w:top w:val="single" w:sz="12" w:space="0" w:color="auto"/>
            </w:tcBorders>
            <w:shd w:val="clear" w:color="auto" w:fill="auto"/>
          </w:tcPr>
          <w:p w:rsidR="00EC4C5A" w:rsidRPr="0089011E" w:rsidRDefault="00EC4C5A" w:rsidP="0089011E">
            <w:pPr>
              <w:suppressAutoHyphens w:val="0"/>
              <w:spacing w:before="40" w:after="40" w:line="220" w:lineRule="exact"/>
              <w:rPr>
                <w:sz w:val="18"/>
                <w:szCs w:val="18"/>
                <w:lang w:val="fr-FR"/>
              </w:rPr>
            </w:pPr>
            <w:r w:rsidRPr="0089011E">
              <w:rPr>
                <w:sz w:val="18"/>
                <w:szCs w:val="18"/>
                <w:lang w:val="fr-FR"/>
              </w:rPr>
              <w:t xml:space="preserve">FTZ &amp; GSEU, Mirai Pvt Ltd, 17/12/2011 </w:t>
            </w:r>
          </w:p>
        </w:tc>
        <w:tc>
          <w:tcPr>
            <w:tcW w:w="1701" w:type="dxa"/>
            <w:tcBorders>
              <w:top w:val="single" w:sz="12" w:space="0" w:color="auto"/>
            </w:tcBorders>
            <w:shd w:val="clear" w:color="auto" w:fill="auto"/>
            <w:vAlign w:val="bottom"/>
          </w:tcPr>
          <w:p w:rsidR="00EC4C5A" w:rsidRPr="0089011E" w:rsidRDefault="00EC4C5A" w:rsidP="0089011E">
            <w:pPr>
              <w:suppressAutoHyphens w:val="0"/>
              <w:spacing w:before="40" w:after="40" w:line="220" w:lineRule="exact"/>
              <w:jc w:val="right"/>
              <w:rPr>
                <w:sz w:val="18"/>
                <w:szCs w:val="18"/>
                <w:lang w:val="fr-FR"/>
              </w:rPr>
            </w:pPr>
            <w:r w:rsidRPr="0089011E">
              <w:rPr>
                <w:sz w:val="18"/>
                <w:szCs w:val="18"/>
                <w:lang w:val="fr-FR"/>
              </w:rPr>
              <w:t>26/01/2012</w:t>
            </w:r>
          </w:p>
        </w:tc>
        <w:tc>
          <w:tcPr>
            <w:tcW w:w="1133" w:type="dxa"/>
            <w:tcBorders>
              <w:top w:val="single" w:sz="12" w:space="0" w:color="auto"/>
            </w:tcBorders>
            <w:shd w:val="clear" w:color="auto" w:fill="auto"/>
            <w:vAlign w:val="bottom"/>
          </w:tcPr>
          <w:p w:rsidR="00EC4C5A" w:rsidRPr="0089011E" w:rsidRDefault="00EC4C5A" w:rsidP="0089011E">
            <w:pPr>
              <w:suppressAutoHyphens w:val="0"/>
              <w:spacing w:before="40" w:after="40" w:line="220" w:lineRule="exact"/>
              <w:jc w:val="right"/>
              <w:rPr>
                <w:sz w:val="18"/>
                <w:szCs w:val="18"/>
                <w:lang w:val="fr-FR"/>
              </w:rPr>
            </w:pPr>
            <w:r w:rsidRPr="0089011E">
              <w:rPr>
                <w:sz w:val="18"/>
                <w:szCs w:val="18"/>
                <w:lang w:val="fr-FR"/>
              </w:rPr>
              <w:t>37</w:t>
            </w:r>
          </w:p>
        </w:tc>
      </w:tr>
      <w:tr w:rsidR="0089011E" w:rsidRPr="0089011E" w:rsidTr="0089011E">
        <w:tc>
          <w:tcPr>
            <w:tcW w:w="4536" w:type="dxa"/>
            <w:shd w:val="clear" w:color="auto" w:fill="auto"/>
          </w:tcPr>
          <w:p w:rsidR="00EC4C5A" w:rsidRPr="0089011E" w:rsidRDefault="00005226" w:rsidP="0089011E">
            <w:pPr>
              <w:suppressAutoHyphens w:val="0"/>
              <w:spacing w:before="40" w:after="40" w:line="220" w:lineRule="exact"/>
              <w:rPr>
                <w:sz w:val="18"/>
                <w:szCs w:val="18"/>
                <w:lang w:val="en-US"/>
              </w:rPr>
            </w:pPr>
            <w:r>
              <w:rPr>
                <w:sz w:val="18"/>
                <w:szCs w:val="18"/>
                <w:lang w:val="en-US"/>
              </w:rPr>
              <w:t>Ceylo</w:t>
            </w:r>
            <w:r w:rsidR="00EC4C5A" w:rsidRPr="0089011E">
              <w:rPr>
                <w:sz w:val="18"/>
                <w:szCs w:val="18"/>
                <w:lang w:val="en-US"/>
              </w:rPr>
              <w:t>n Mercantile Indus</w:t>
            </w:r>
            <w:r w:rsidR="008C4AEF">
              <w:rPr>
                <w:sz w:val="18"/>
                <w:szCs w:val="18"/>
                <w:lang w:val="en-US"/>
              </w:rPr>
              <w:t>tr</w:t>
            </w:r>
            <w:r w:rsidR="00FA6E64">
              <w:rPr>
                <w:sz w:val="18"/>
                <w:szCs w:val="18"/>
                <w:lang w:val="en-US"/>
              </w:rPr>
              <w:t>ial and General Workers Union,</w:t>
            </w:r>
            <w:r w:rsidR="00EC4C5A" w:rsidRPr="0089011E">
              <w:rPr>
                <w:sz w:val="18"/>
                <w:szCs w:val="18"/>
                <w:lang w:val="en-US"/>
              </w:rPr>
              <w:t xml:space="preserve"> Dole Lanka Pvt. Ltd. 12/09/2012 </w:t>
            </w:r>
          </w:p>
        </w:tc>
        <w:tc>
          <w:tcPr>
            <w:tcW w:w="1701" w:type="dxa"/>
            <w:shd w:val="clear" w:color="auto" w:fill="auto"/>
            <w:vAlign w:val="bottom"/>
          </w:tcPr>
          <w:p w:rsidR="00EC4C5A" w:rsidRPr="0089011E" w:rsidRDefault="00EC4C5A" w:rsidP="0089011E">
            <w:pPr>
              <w:suppressAutoHyphens w:val="0"/>
              <w:spacing w:before="40" w:after="40" w:line="220" w:lineRule="exact"/>
              <w:jc w:val="right"/>
              <w:rPr>
                <w:sz w:val="18"/>
                <w:szCs w:val="18"/>
                <w:lang w:val="fr-FR"/>
              </w:rPr>
            </w:pPr>
            <w:r w:rsidRPr="0089011E">
              <w:rPr>
                <w:sz w:val="18"/>
                <w:szCs w:val="18"/>
                <w:lang w:val="fr-FR"/>
              </w:rPr>
              <w:t>29/11/2012</w:t>
            </w:r>
          </w:p>
        </w:tc>
        <w:tc>
          <w:tcPr>
            <w:tcW w:w="1133" w:type="dxa"/>
            <w:shd w:val="clear" w:color="auto" w:fill="auto"/>
            <w:vAlign w:val="bottom"/>
          </w:tcPr>
          <w:p w:rsidR="00EC4C5A" w:rsidRPr="0089011E" w:rsidRDefault="00EC4C5A" w:rsidP="0089011E">
            <w:pPr>
              <w:suppressAutoHyphens w:val="0"/>
              <w:spacing w:before="40" w:after="40" w:line="220" w:lineRule="exact"/>
              <w:jc w:val="right"/>
              <w:rPr>
                <w:sz w:val="18"/>
                <w:szCs w:val="18"/>
                <w:lang w:val="fr-FR"/>
              </w:rPr>
            </w:pPr>
            <w:r w:rsidRPr="0089011E">
              <w:rPr>
                <w:sz w:val="18"/>
                <w:szCs w:val="18"/>
                <w:lang w:val="fr-FR"/>
              </w:rPr>
              <w:t>66,35</w:t>
            </w:r>
          </w:p>
        </w:tc>
      </w:tr>
      <w:tr w:rsidR="0089011E" w:rsidRPr="0089011E" w:rsidTr="0089011E">
        <w:tc>
          <w:tcPr>
            <w:tcW w:w="4536" w:type="dxa"/>
            <w:shd w:val="clear" w:color="auto" w:fill="auto"/>
          </w:tcPr>
          <w:p w:rsidR="00EC4C5A" w:rsidRPr="0089011E" w:rsidRDefault="00EC4C5A" w:rsidP="0089011E">
            <w:pPr>
              <w:suppressAutoHyphens w:val="0"/>
              <w:spacing w:before="40" w:after="40" w:line="220" w:lineRule="exact"/>
              <w:rPr>
                <w:sz w:val="18"/>
                <w:szCs w:val="18"/>
                <w:lang w:val="fr-FR"/>
              </w:rPr>
            </w:pPr>
            <w:r w:rsidRPr="0089011E">
              <w:rPr>
                <w:sz w:val="18"/>
                <w:szCs w:val="18"/>
                <w:lang w:val="fr-FR"/>
              </w:rPr>
              <w:t>ICEU, Hôtel Taj Smudra, 22/02/2012</w:t>
            </w:r>
          </w:p>
        </w:tc>
        <w:tc>
          <w:tcPr>
            <w:tcW w:w="1701" w:type="dxa"/>
            <w:shd w:val="clear" w:color="auto" w:fill="auto"/>
            <w:vAlign w:val="bottom"/>
          </w:tcPr>
          <w:p w:rsidR="00EC4C5A" w:rsidRPr="0089011E" w:rsidRDefault="00EC4C5A" w:rsidP="0089011E">
            <w:pPr>
              <w:suppressAutoHyphens w:val="0"/>
              <w:spacing w:before="40" w:after="40" w:line="220" w:lineRule="exact"/>
              <w:jc w:val="right"/>
              <w:rPr>
                <w:sz w:val="18"/>
                <w:szCs w:val="18"/>
                <w:lang w:val="fr-FR"/>
              </w:rPr>
            </w:pPr>
            <w:r w:rsidRPr="0089011E">
              <w:rPr>
                <w:sz w:val="18"/>
                <w:szCs w:val="18"/>
                <w:lang w:val="fr-FR"/>
              </w:rPr>
              <w:t>28/03/2012</w:t>
            </w:r>
          </w:p>
        </w:tc>
        <w:tc>
          <w:tcPr>
            <w:tcW w:w="1133" w:type="dxa"/>
            <w:shd w:val="clear" w:color="auto" w:fill="auto"/>
            <w:vAlign w:val="bottom"/>
          </w:tcPr>
          <w:p w:rsidR="00EC4C5A" w:rsidRPr="0089011E" w:rsidRDefault="00EC4C5A" w:rsidP="0089011E">
            <w:pPr>
              <w:suppressAutoHyphens w:val="0"/>
              <w:spacing w:before="40" w:after="40" w:line="220" w:lineRule="exact"/>
              <w:jc w:val="right"/>
              <w:rPr>
                <w:sz w:val="18"/>
                <w:szCs w:val="18"/>
                <w:lang w:val="fr-FR"/>
              </w:rPr>
            </w:pPr>
            <w:r w:rsidRPr="0089011E">
              <w:rPr>
                <w:sz w:val="18"/>
                <w:szCs w:val="18"/>
                <w:lang w:val="fr-FR"/>
              </w:rPr>
              <w:t>25,12</w:t>
            </w:r>
          </w:p>
        </w:tc>
      </w:tr>
      <w:tr w:rsidR="0089011E" w:rsidRPr="0089011E" w:rsidTr="0089011E">
        <w:tc>
          <w:tcPr>
            <w:tcW w:w="4536" w:type="dxa"/>
            <w:shd w:val="clear" w:color="auto" w:fill="auto"/>
          </w:tcPr>
          <w:p w:rsidR="00EC4C5A" w:rsidRPr="0089011E" w:rsidRDefault="00EC4C5A" w:rsidP="0089011E">
            <w:pPr>
              <w:suppressAutoHyphens w:val="0"/>
              <w:spacing w:before="40" w:after="40" w:line="220" w:lineRule="exact"/>
              <w:rPr>
                <w:sz w:val="18"/>
                <w:szCs w:val="18"/>
                <w:lang w:val="fr-FR"/>
              </w:rPr>
            </w:pPr>
            <w:r w:rsidRPr="0089011E">
              <w:rPr>
                <w:sz w:val="18"/>
                <w:szCs w:val="18"/>
                <w:lang w:val="fr-FR"/>
              </w:rPr>
              <w:t xml:space="preserve">FTZ&amp;GSEU, New Lathif Lecher Pvt. Ltd. </w:t>
            </w:r>
          </w:p>
        </w:tc>
        <w:tc>
          <w:tcPr>
            <w:tcW w:w="1701" w:type="dxa"/>
            <w:shd w:val="clear" w:color="auto" w:fill="auto"/>
            <w:vAlign w:val="bottom"/>
          </w:tcPr>
          <w:p w:rsidR="00EC4C5A" w:rsidRPr="0089011E" w:rsidRDefault="00EC4C5A" w:rsidP="0089011E">
            <w:pPr>
              <w:suppressAutoHyphens w:val="0"/>
              <w:spacing w:before="40" w:after="40" w:line="220" w:lineRule="exact"/>
              <w:jc w:val="right"/>
              <w:rPr>
                <w:sz w:val="18"/>
                <w:szCs w:val="18"/>
                <w:lang w:val="fr-FR"/>
              </w:rPr>
            </w:pPr>
            <w:r w:rsidRPr="0089011E">
              <w:rPr>
                <w:sz w:val="18"/>
                <w:szCs w:val="18"/>
                <w:lang w:val="fr-FR"/>
              </w:rPr>
              <w:t>21/06/2013</w:t>
            </w:r>
          </w:p>
        </w:tc>
        <w:tc>
          <w:tcPr>
            <w:tcW w:w="1133" w:type="dxa"/>
            <w:shd w:val="clear" w:color="auto" w:fill="auto"/>
            <w:vAlign w:val="bottom"/>
          </w:tcPr>
          <w:p w:rsidR="00EC4C5A" w:rsidRPr="0089011E" w:rsidRDefault="00EC4C5A" w:rsidP="0089011E">
            <w:pPr>
              <w:suppressAutoHyphens w:val="0"/>
              <w:spacing w:before="40" w:after="40" w:line="220" w:lineRule="exact"/>
              <w:jc w:val="right"/>
              <w:rPr>
                <w:sz w:val="18"/>
                <w:szCs w:val="18"/>
                <w:lang w:val="fr-FR"/>
              </w:rPr>
            </w:pPr>
            <w:r w:rsidRPr="0089011E">
              <w:rPr>
                <w:sz w:val="18"/>
                <w:szCs w:val="18"/>
                <w:lang w:val="fr-FR"/>
              </w:rPr>
              <w:t>72,5</w:t>
            </w:r>
          </w:p>
        </w:tc>
      </w:tr>
      <w:tr w:rsidR="0089011E" w:rsidRPr="0089011E" w:rsidTr="0089011E">
        <w:tc>
          <w:tcPr>
            <w:tcW w:w="4536" w:type="dxa"/>
            <w:shd w:val="clear" w:color="auto" w:fill="auto"/>
          </w:tcPr>
          <w:p w:rsidR="00EC4C5A" w:rsidRPr="0089011E" w:rsidRDefault="00EC4C5A" w:rsidP="0089011E">
            <w:pPr>
              <w:suppressAutoHyphens w:val="0"/>
              <w:spacing w:before="40" w:after="40" w:line="220" w:lineRule="exact"/>
              <w:rPr>
                <w:sz w:val="18"/>
                <w:szCs w:val="18"/>
                <w:lang w:val="fr-FR"/>
              </w:rPr>
            </w:pPr>
            <w:r w:rsidRPr="0089011E">
              <w:rPr>
                <w:sz w:val="18"/>
                <w:szCs w:val="18"/>
                <w:lang w:val="fr-FR"/>
              </w:rPr>
              <w:t>ICEU, Trico Maritime Pvt. Ltd., 23/01/2013</w:t>
            </w:r>
          </w:p>
        </w:tc>
        <w:tc>
          <w:tcPr>
            <w:tcW w:w="1701" w:type="dxa"/>
            <w:shd w:val="clear" w:color="auto" w:fill="auto"/>
            <w:vAlign w:val="bottom"/>
          </w:tcPr>
          <w:p w:rsidR="00EC4C5A" w:rsidRPr="0089011E" w:rsidRDefault="00EC4C5A" w:rsidP="0089011E">
            <w:pPr>
              <w:suppressAutoHyphens w:val="0"/>
              <w:spacing w:before="40" w:after="40" w:line="220" w:lineRule="exact"/>
              <w:jc w:val="right"/>
              <w:rPr>
                <w:sz w:val="18"/>
                <w:szCs w:val="18"/>
                <w:lang w:val="fr-FR"/>
              </w:rPr>
            </w:pPr>
            <w:r w:rsidRPr="0089011E">
              <w:rPr>
                <w:sz w:val="18"/>
                <w:szCs w:val="18"/>
                <w:lang w:val="fr-FR"/>
              </w:rPr>
              <w:t>05/12/2013</w:t>
            </w:r>
          </w:p>
        </w:tc>
        <w:tc>
          <w:tcPr>
            <w:tcW w:w="1133" w:type="dxa"/>
            <w:shd w:val="clear" w:color="auto" w:fill="auto"/>
            <w:vAlign w:val="bottom"/>
          </w:tcPr>
          <w:p w:rsidR="00EC4C5A" w:rsidRPr="0089011E" w:rsidRDefault="00EC4C5A" w:rsidP="0089011E">
            <w:pPr>
              <w:suppressAutoHyphens w:val="0"/>
              <w:spacing w:before="40" w:after="40" w:line="220" w:lineRule="exact"/>
              <w:jc w:val="right"/>
              <w:rPr>
                <w:sz w:val="18"/>
                <w:szCs w:val="18"/>
                <w:lang w:val="fr-FR"/>
              </w:rPr>
            </w:pPr>
            <w:r w:rsidRPr="0089011E">
              <w:rPr>
                <w:sz w:val="18"/>
                <w:szCs w:val="18"/>
                <w:lang w:val="fr-FR"/>
              </w:rPr>
              <w:t>Plus de 85</w:t>
            </w:r>
          </w:p>
        </w:tc>
      </w:tr>
      <w:tr w:rsidR="0089011E" w:rsidRPr="0089011E" w:rsidTr="0089011E">
        <w:tc>
          <w:tcPr>
            <w:tcW w:w="4536" w:type="dxa"/>
            <w:shd w:val="clear" w:color="auto" w:fill="auto"/>
          </w:tcPr>
          <w:p w:rsidR="00EC4C5A" w:rsidRPr="0089011E" w:rsidRDefault="00EC4C5A" w:rsidP="0089011E">
            <w:pPr>
              <w:suppressAutoHyphens w:val="0"/>
              <w:spacing w:before="40" w:after="40" w:line="220" w:lineRule="exact"/>
              <w:rPr>
                <w:sz w:val="18"/>
                <w:szCs w:val="18"/>
                <w:lang w:val="fr-FR"/>
              </w:rPr>
            </w:pPr>
            <w:r w:rsidRPr="0089011E">
              <w:rPr>
                <w:sz w:val="18"/>
                <w:szCs w:val="18"/>
                <w:lang w:val="fr-FR"/>
              </w:rPr>
              <w:lastRenderedPageBreak/>
              <w:t>ICEU, Ambilipitiya ELS Construction</w:t>
            </w:r>
          </w:p>
        </w:tc>
        <w:tc>
          <w:tcPr>
            <w:tcW w:w="1701" w:type="dxa"/>
            <w:shd w:val="clear" w:color="auto" w:fill="auto"/>
            <w:vAlign w:val="bottom"/>
          </w:tcPr>
          <w:p w:rsidR="00EC4C5A" w:rsidRPr="0089011E" w:rsidRDefault="00EC4C5A" w:rsidP="0089011E">
            <w:pPr>
              <w:suppressAutoHyphens w:val="0"/>
              <w:spacing w:before="40" w:after="40" w:line="220" w:lineRule="exact"/>
              <w:jc w:val="right"/>
              <w:rPr>
                <w:sz w:val="18"/>
                <w:szCs w:val="18"/>
                <w:lang w:val="fr-FR"/>
              </w:rPr>
            </w:pPr>
            <w:r w:rsidRPr="0089011E">
              <w:rPr>
                <w:sz w:val="18"/>
                <w:szCs w:val="18"/>
                <w:lang w:val="fr-FR"/>
              </w:rPr>
              <w:t>21/02/2014</w:t>
            </w:r>
          </w:p>
        </w:tc>
        <w:tc>
          <w:tcPr>
            <w:tcW w:w="1133" w:type="dxa"/>
            <w:shd w:val="clear" w:color="auto" w:fill="auto"/>
            <w:vAlign w:val="bottom"/>
          </w:tcPr>
          <w:p w:rsidR="00EC4C5A" w:rsidRPr="0089011E" w:rsidRDefault="00EC4C5A" w:rsidP="0089011E">
            <w:pPr>
              <w:suppressAutoHyphens w:val="0"/>
              <w:spacing w:before="40" w:after="40" w:line="220" w:lineRule="exact"/>
              <w:jc w:val="right"/>
              <w:rPr>
                <w:sz w:val="18"/>
                <w:szCs w:val="18"/>
                <w:lang w:val="fr-FR"/>
              </w:rPr>
            </w:pPr>
            <w:r w:rsidRPr="0089011E">
              <w:rPr>
                <w:sz w:val="18"/>
                <w:szCs w:val="18"/>
                <w:lang w:val="fr-FR"/>
              </w:rPr>
              <w:t>13,76</w:t>
            </w:r>
          </w:p>
        </w:tc>
      </w:tr>
      <w:tr w:rsidR="0089011E" w:rsidRPr="0089011E" w:rsidTr="0089011E">
        <w:tc>
          <w:tcPr>
            <w:tcW w:w="4536" w:type="dxa"/>
            <w:shd w:val="clear" w:color="auto" w:fill="auto"/>
          </w:tcPr>
          <w:p w:rsidR="00EC4C5A" w:rsidRPr="0089011E" w:rsidRDefault="00EC4C5A" w:rsidP="0089011E">
            <w:pPr>
              <w:suppressAutoHyphens w:val="0"/>
              <w:spacing w:before="40" w:after="40" w:line="220" w:lineRule="exact"/>
              <w:rPr>
                <w:sz w:val="18"/>
                <w:szCs w:val="18"/>
                <w:lang w:val="fr-FR"/>
              </w:rPr>
            </w:pPr>
            <w:r w:rsidRPr="0089011E">
              <w:rPr>
                <w:sz w:val="18"/>
                <w:szCs w:val="18"/>
                <w:lang w:val="fr-FR"/>
              </w:rPr>
              <w:t>ATG Ceylon Pvt Ltd</w:t>
            </w:r>
          </w:p>
        </w:tc>
        <w:tc>
          <w:tcPr>
            <w:tcW w:w="1701" w:type="dxa"/>
            <w:shd w:val="clear" w:color="auto" w:fill="auto"/>
            <w:vAlign w:val="bottom"/>
          </w:tcPr>
          <w:p w:rsidR="00EC4C5A" w:rsidRPr="0089011E" w:rsidRDefault="00EC4C5A" w:rsidP="0089011E">
            <w:pPr>
              <w:suppressAutoHyphens w:val="0"/>
              <w:spacing w:before="40" w:after="40" w:line="220" w:lineRule="exact"/>
              <w:jc w:val="right"/>
              <w:rPr>
                <w:sz w:val="18"/>
                <w:szCs w:val="18"/>
                <w:lang w:val="fr-FR"/>
              </w:rPr>
            </w:pPr>
            <w:r w:rsidRPr="0089011E">
              <w:rPr>
                <w:sz w:val="18"/>
                <w:szCs w:val="18"/>
                <w:lang w:val="fr-FR"/>
              </w:rPr>
              <w:t>07/02/2017</w:t>
            </w:r>
          </w:p>
        </w:tc>
        <w:tc>
          <w:tcPr>
            <w:tcW w:w="1133" w:type="dxa"/>
            <w:shd w:val="clear" w:color="auto" w:fill="auto"/>
            <w:vAlign w:val="bottom"/>
          </w:tcPr>
          <w:p w:rsidR="00EC4C5A" w:rsidRPr="0089011E" w:rsidRDefault="00EC4C5A" w:rsidP="0089011E">
            <w:pPr>
              <w:suppressAutoHyphens w:val="0"/>
              <w:spacing w:before="40" w:after="40" w:line="220" w:lineRule="exact"/>
              <w:jc w:val="right"/>
              <w:rPr>
                <w:sz w:val="18"/>
                <w:szCs w:val="18"/>
                <w:lang w:val="fr-FR"/>
              </w:rPr>
            </w:pPr>
            <w:r w:rsidRPr="0089011E">
              <w:rPr>
                <w:sz w:val="18"/>
                <w:szCs w:val="18"/>
                <w:lang w:val="fr-FR"/>
              </w:rPr>
              <w:t>40,72</w:t>
            </w:r>
          </w:p>
        </w:tc>
      </w:tr>
      <w:tr w:rsidR="0089011E" w:rsidRPr="0089011E" w:rsidTr="0089011E">
        <w:tc>
          <w:tcPr>
            <w:tcW w:w="4536" w:type="dxa"/>
            <w:tcBorders>
              <w:bottom w:val="single" w:sz="12" w:space="0" w:color="auto"/>
            </w:tcBorders>
            <w:shd w:val="clear" w:color="auto" w:fill="auto"/>
          </w:tcPr>
          <w:p w:rsidR="00EC4C5A" w:rsidRPr="0089011E" w:rsidRDefault="00EC4C5A" w:rsidP="0089011E">
            <w:pPr>
              <w:suppressAutoHyphens w:val="0"/>
              <w:spacing w:before="40" w:after="40" w:line="220" w:lineRule="exact"/>
              <w:rPr>
                <w:sz w:val="18"/>
                <w:szCs w:val="18"/>
                <w:lang w:val="fr-FR"/>
              </w:rPr>
            </w:pPr>
            <w:r w:rsidRPr="0089011E">
              <w:rPr>
                <w:sz w:val="18"/>
                <w:szCs w:val="18"/>
                <w:lang w:val="fr-FR"/>
              </w:rPr>
              <w:t>ATG Occupational Pvt Ltd</w:t>
            </w:r>
          </w:p>
        </w:tc>
        <w:tc>
          <w:tcPr>
            <w:tcW w:w="1701" w:type="dxa"/>
            <w:tcBorders>
              <w:bottom w:val="single" w:sz="12" w:space="0" w:color="auto"/>
            </w:tcBorders>
            <w:shd w:val="clear" w:color="auto" w:fill="auto"/>
            <w:vAlign w:val="bottom"/>
          </w:tcPr>
          <w:p w:rsidR="00EC4C5A" w:rsidRPr="0089011E" w:rsidRDefault="00EC4C5A" w:rsidP="0089011E">
            <w:pPr>
              <w:suppressAutoHyphens w:val="0"/>
              <w:spacing w:before="40" w:after="40" w:line="220" w:lineRule="exact"/>
              <w:jc w:val="right"/>
              <w:rPr>
                <w:sz w:val="18"/>
                <w:szCs w:val="18"/>
                <w:lang w:val="fr-FR"/>
              </w:rPr>
            </w:pPr>
            <w:r w:rsidRPr="0089011E">
              <w:rPr>
                <w:sz w:val="18"/>
                <w:szCs w:val="18"/>
                <w:lang w:val="fr-FR"/>
              </w:rPr>
              <w:t>07/02/2017</w:t>
            </w:r>
          </w:p>
        </w:tc>
        <w:tc>
          <w:tcPr>
            <w:tcW w:w="1133" w:type="dxa"/>
            <w:tcBorders>
              <w:bottom w:val="single" w:sz="12" w:space="0" w:color="auto"/>
            </w:tcBorders>
            <w:shd w:val="clear" w:color="auto" w:fill="auto"/>
            <w:vAlign w:val="bottom"/>
          </w:tcPr>
          <w:p w:rsidR="00EC4C5A" w:rsidRPr="0089011E" w:rsidRDefault="00EC4C5A" w:rsidP="0089011E">
            <w:pPr>
              <w:suppressAutoHyphens w:val="0"/>
              <w:spacing w:before="40" w:after="40" w:line="220" w:lineRule="exact"/>
              <w:jc w:val="right"/>
              <w:rPr>
                <w:sz w:val="18"/>
                <w:szCs w:val="18"/>
                <w:lang w:val="fr-FR"/>
              </w:rPr>
            </w:pPr>
            <w:r w:rsidRPr="0089011E">
              <w:rPr>
                <w:sz w:val="18"/>
                <w:szCs w:val="18"/>
                <w:lang w:val="fr-FR"/>
              </w:rPr>
              <w:t>47</w:t>
            </w:r>
          </w:p>
        </w:tc>
      </w:tr>
    </w:tbl>
    <w:p w:rsidR="00EC4C5A" w:rsidRPr="00CC76D1" w:rsidRDefault="00EC4C5A" w:rsidP="0089011E">
      <w:pPr>
        <w:pStyle w:val="H23G"/>
        <w:rPr>
          <w:lang w:val="fr-FR"/>
        </w:rPr>
      </w:pPr>
      <w:r w:rsidRPr="00CC76D1">
        <w:rPr>
          <w:lang w:val="fr-FR"/>
        </w:rPr>
        <w:tab/>
      </w:r>
      <w:r w:rsidRPr="00CC76D1">
        <w:rPr>
          <w:lang w:val="fr-FR"/>
        </w:rPr>
        <w:tab/>
        <w:t>Nombre de conventions collectives publiées au Journal officiel (au 28 février 2017)</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A0" w:firstRow="1" w:lastRow="0" w:firstColumn="1" w:lastColumn="0" w:noHBand="0" w:noVBand="0"/>
      </w:tblPr>
      <w:tblGrid>
        <w:gridCol w:w="2456"/>
        <w:gridCol w:w="2457"/>
        <w:gridCol w:w="2457"/>
      </w:tblGrid>
      <w:tr w:rsidR="0089011E" w:rsidRPr="0089011E" w:rsidTr="0089011E">
        <w:trPr>
          <w:tblHeader/>
        </w:trPr>
        <w:tc>
          <w:tcPr>
            <w:tcW w:w="2884" w:type="dxa"/>
            <w:shd w:val="clear" w:color="auto" w:fill="auto"/>
            <w:vAlign w:val="bottom"/>
          </w:tcPr>
          <w:p w:rsidR="00EC4C5A" w:rsidRPr="0089011E" w:rsidRDefault="00EC4C5A" w:rsidP="0089011E">
            <w:pPr>
              <w:suppressAutoHyphens w:val="0"/>
              <w:spacing w:before="80" w:after="80" w:line="200" w:lineRule="exact"/>
              <w:rPr>
                <w:i/>
                <w:sz w:val="16"/>
                <w:lang w:val="fr-FR"/>
              </w:rPr>
            </w:pPr>
            <w:r w:rsidRPr="0089011E">
              <w:rPr>
                <w:i/>
                <w:sz w:val="16"/>
                <w:lang w:val="fr-FR"/>
              </w:rPr>
              <w:t>2015</w:t>
            </w:r>
          </w:p>
        </w:tc>
        <w:tc>
          <w:tcPr>
            <w:tcW w:w="2884" w:type="dxa"/>
            <w:shd w:val="clear" w:color="auto" w:fill="auto"/>
            <w:vAlign w:val="bottom"/>
          </w:tcPr>
          <w:p w:rsidR="00EC4C5A" w:rsidRPr="0089011E" w:rsidRDefault="00EC4C5A" w:rsidP="0089011E">
            <w:pPr>
              <w:suppressAutoHyphens w:val="0"/>
              <w:spacing w:before="80" w:after="80" w:line="200" w:lineRule="exact"/>
              <w:jc w:val="right"/>
              <w:rPr>
                <w:i/>
                <w:sz w:val="16"/>
                <w:lang w:val="fr-FR"/>
              </w:rPr>
            </w:pPr>
            <w:r w:rsidRPr="0089011E">
              <w:rPr>
                <w:i/>
                <w:sz w:val="16"/>
                <w:lang w:val="fr-FR"/>
              </w:rPr>
              <w:t>2016</w:t>
            </w:r>
          </w:p>
        </w:tc>
        <w:tc>
          <w:tcPr>
            <w:tcW w:w="2884" w:type="dxa"/>
            <w:shd w:val="clear" w:color="auto" w:fill="auto"/>
            <w:vAlign w:val="bottom"/>
          </w:tcPr>
          <w:p w:rsidR="00EC4C5A" w:rsidRPr="0089011E" w:rsidRDefault="00EC4C5A" w:rsidP="0089011E">
            <w:pPr>
              <w:suppressAutoHyphens w:val="0"/>
              <w:spacing w:before="80" w:after="80" w:line="200" w:lineRule="exact"/>
              <w:jc w:val="right"/>
              <w:rPr>
                <w:i/>
                <w:sz w:val="16"/>
                <w:lang w:val="fr-FR"/>
              </w:rPr>
            </w:pPr>
            <w:r w:rsidRPr="0089011E">
              <w:rPr>
                <w:i/>
                <w:sz w:val="16"/>
                <w:lang w:val="fr-FR"/>
              </w:rPr>
              <w:t>2017</w:t>
            </w:r>
          </w:p>
        </w:tc>
      </w:tr>
      <w:tr w:rsidR="0089011E" w:rsidRPr="0089011E" w:rsidTr="0089011E">
        <w:tc>
          <w:tcPr>
            <w:tcW w:w="2884" w:type="dxa"/>
            <w:shd w:val="clear" w:color="auto" w:fill="auto"/>
          </w:tcPr>
          <w:p w:rsidR="00EC4C5A" w:rsidRPr="0089011E" w:rsidRDefault="00EC4C5A" w:rsidP="0089011E">
            <w:pPr>
              <w:suppressAutoHyphens w:val="0"/>
              <w:spacing w:before="40" w:after="40" w:line="220" w:lineRule="exact"/>
              <w:rPr>
                <w:sz w:val="18"/>
                <w:szCs w:val="18"/>
                <w:lang w:val="fr-FR"/>
              </w:rPr>
            </w:pPr>
            <w:r w:rsidRPr="0089011E">
              <w:rPr>
                <w:sz w:val="18"/>
                <w:szCs w:val="18"/>
                <w:lang w:val="fr-FR"/>
              </w:rPr>
              <w:t>40</w:t>
            </w:r>
          </w:p>
        </w:tc>
        <w:tc>
          <w:tcPr>
            <w:tcW w:w="2884" w:type="dxa"/>
            <w:shd w:val="clear" w:color="auto" w:fill="auto"/>
            <w:vAlign w:val="bottom"/>
          </w:tcPr>
          <w:p w:rsidR="00EC4C5A" w:rsidRPr="0089011E" w:rsidRDefault="00EC4C5A" w:rsidP="0089011E">
            <w:pPr>
              <w:suppressAutoHyphens w:val="0"/>
              <w:spacing w:before="40" w:after="40" w:line="220" w:lineRule="exact"/>
              <w:jc w:val="right"/>
              <w:rPr>
                <w:sz w:val="18"/>
                <w:szCs w:val="18"/>
                <w:lang w:val="fr-FR"/>
              </w:rPr>
            </w:pPr>
            <w:r w:rsidRPr="0089011E">
              <w:rPr>
                <w:sz w:val="18"/>
                <w:szCs w:val="18"/>
                <w:lang w:val="fr-FR"/>
              </w:rPr>
              <w:t>31</w:t>
            </w:r>
          </w:p>
        </w:tc>
        <w:tc>
          <w:tcPr>
            <w:tcW w:w="2884" w:type="dxa"/>
            <w:shd w:val="clear" w:color="auto" w:fill="auto"/>
            <w:vAlign w:val="bottom"/>
          </w:tcPr>
          <w:p w:rsidR="00EC4C5A" w:rsidRPr="0089011E" w:rsidRDefault="00EC4C5A" w:rsidP="0089011E">
            <w:pPr>
              <w:suppressAutoHyphens w:val="0"/>
              <w:spacing w:before="40" w:after="40" w:line="220" w:lineRule="exact"/>
              <w:jc w:val="right"/>
              <w:rPr>
                <w:sz w:val="18"/>
                <w:szCs w:val="18"/>
                <w:lang w:val="fr-FR"/>
              </w:rPr>
            </w:pPr>
            <w:r w:rsidRPr="0089011E">
              <w:rPr>
                <w:sz w:val="18"/>
                <w:szCs w:val="18"/>
                <w:lang w:val="fr-FR"/>
              </w:rPr>
              <w:t>04</w:t>
            </w:r>
          </w:p>
        </w:tc>
      </w:tr>
    </w:tbl>
    <w:p w:rsidR="00EC4C5A" w:rsidRPr="00CC76D1" w:rsidRDefault="00EC4C5A" w:rsidP="0089011E">
      <w:pPr>
        <w:pStyle w:val="HChG"/>
        <w:rPr>
          <w:lang w:val="fr-FR"/>
        </w:rPr>
      </w:pPr>
      <w:r w:rsidRPr="00CC76D1">
        <w:rPr>
          <w:lang w:val="fr-FR"/>
        </w:rPr>
        <w:tab/>
      </w:r>
      <w:r w:rsidRPr="00CC76D1">
        <w:rPr>
          <w:lang w:val="fr-FR"/>
        </w:rPr>
        <w:tab/>
        <w:t xml:space="preserve">Droit à la sécurité sociale (art. 9) </w:t>
      </w:r>
    </w:p>
    <w:p w:rsidR="00EC4C5A" w:rsidRPr="00CC76D1" w:rsidRDefault="00EC4C5A" w:rsidP="0089011E">
      <w:pPr>
        <w:pStyle w:val="H1G"/>
        <w:rPr>
          <w:lang w:val="fr-FR"/>
        </w:rPr>
      </w:pPr>
      <w:r w:rsidRPr="00CC76D1">
        <w:rPr>
          <w:lang w:val="fr-FR"/>
        </w:rPr>
        <w:tab/>
        <w:t>5.</w:t>
      </w:r>
      <w:r w:rsidRPr="00CC76D1">
        <w:rPr>
          <w:lang w:val="fr-FR"/>
        </w:rPr>
        <w:tab/>
        <w:t>Données statistiques sur la</w:t>
      </w:r>
      <w:r w:rsidR="0089011E">
        <w:rPr>
          <w:lang w:val="fr-FR"/>
        </w:rPr>
        <w:t xml:space="preserve"> part de la population couverte</w:t>
      </w:r>
      <w:r w:rsidR="0089011E">
        <w:rPr>
          <w:lang w:val="fr-FR"/>
        </w:rPr>
        <w:br/>
      </w:r>
      <w:r w:rsidRPr="00CC76D1">
        <w:rPr>
          <w:lang w:val="fr-FR"/>
        </w:rPr>
        <w:t>par les différents régimes de sécurité sociale</w:t>
      </w:r>
    </w:p>
    <w:p w:rsidR="00EC4C5A" w:rsidRPr="00CC76D1" w:rsidRDefault="00EC4C5A" w:rsidP="0089011E">
      <w:pPr>
        <w:pStyle w:val="SingleTxtG"/>
        <w:rPr>
          <w:lang w:val="fr-FR"/>
        </w:rPr>
      </w:pPr>
      <w:r w:rsidRPr="00CC76D1">
        <w:rPr>
          <w:lang w:val="fr-FR"/>
        </w:rPr>
        <w:t>77.</w:t>
      </w:r>
      <w:r w:rsidRPr="00CC76D1">
        <w:rPr>
          <w:lang w:val="fr-FR"/>
        </w:rPr>
        <w:tab/>
        <w:t>Les données statistiques actualisées indiquant la part de la population couverte par les différents régimes de sécurité sociale, ventilées par sexe et tranches d</w:t>
      </w:r>
      <w:r w:rsidR="00474653">
        <w:rPr>
          <w:lang w:val="fr-FR"/>
        </w:rPr>
        <w:t>’</w:t>
      </w:r>
      <w:r w:rsidRPr="00CC76D1">
        <w:rPr>
          <w:lang w:val="fr-FR"/>
        </w:rPr>
        <w:t>âge, sont des estimations tirées de l</w:t>
      </w:r>
      <w:r w:rsidR="00474653">
        <w:rPr>
          <w:lang w:val="fr-FR"/>
        </w:rPr>
        <w:t>’</w:t>
      </w:r>
      <w:r w:rsidRPr="00CC76D1">
        <w:rPr>
          <w:lang w:val="fr-FR"/>
        </w:rPr>
        <w:t>Enquête sur les revenus et les dépenses des ménages 2012-2013 conduite par le Département du recensement et des statistiques. Cette enquête est menée tous les trois ans et le Département du recensement et des statistiques est actuellement en train de compiler les données de l</w:t>
      </w:r>
      <w:r w:rsidR="00474653">
        <w:rPr>
          <w:lang w:val="fr-FR"/>
        </w:rPr>
        <w:t>’</w:t>
      </w:r>
      <w:r w:rsidRPr="00CC76D1">
        <w:rPr>
          <w:lang w:val="fr-FR"/>
        </w:rPr>
        <w:t>enquête réalisée en 2016.</w:t>
      </w:r>
    </w:p>
    <w:p w:rsidR="00EC4C5A" w:rsidRPr="00CC76D1" w:rsidRDefault="00EC4C5A" w:rsidP="0089011E">
      <w:pPr>
        <w:pStyle w:val="SingleTxtG"/>
        <w:rPr>
          <w:lang w:val="fr-FR"/>
        </w:rPr>
      </w:pPr>
      <w:r w:rsidRPr="00CC76D1">
        <w:rPr>
          <w:lang w:val="fr-FR"/>
        </w:rPr>
        <w:t>78.</w:t>
      </w:r>
      <w:r w:rsidRPr="00CC76D1">
        <w:rPr>
          <w:lang w:val="fr-FR"/>
        </w:rPr>
        <w:tab/>
        <w:t>Le tableau ci-après indique la part, en pourcentage, de la population admissible aux programmes d</w:t>
      </w:r>
      <w:r w:rsidR="00474653">
        <w:rPr>
          <w:lang w:val="fr-FR"/>
        </w:rPr>
        <w:t>’</w:t>
      </w:r>
      <w:r w:rsidRPr="00CC76D1">
        <w:rPr>
          <w:lang w:val="fr-FR"/>
        </w:rPr>
        <w:t>aide sociale et aux régimes de sécurité soc</w:t>
      </w:r>
      <w:r w:rsidR="00682BD7">
        <w:rPr>
          <w:lang w:val="fr-FR"/>
        </w:rPr>
        <w:t>iale (bénéficiaires directs), y </w:t>
      </w:r>
      <w:r w:rsidRPr="00CC76D1">
        <w:rPr>
          <w:lang w:val="fr-FR"/>
        </w:rPr>
        <w:t>compris les autres membres de leur famille (bénéficiaires indirects), rapportée à la population totale du groupe considéré.</w:t>
      </w:r>
    </w:p>
    <w:tbl>
      <w:tblPr>
        <w:tblW w:w="7370" w:type="dxa"/>
        <w:tblInd w:w="1134" w:type="dxa"/>
        <w:tblLayout w:type="fixed"/>
        <w:tblCellMar>
          <w:left w:w="0" w:type="dxa"/>
          <w:right w:w="0" w:type="dxa"/>
        </w:tblCellMar>
        <w:tblLook w:val="00A0" w:firstRow="1" w:lastRow="0" w:firstColumn="1" w:lastColumn="0" w:noHBand="0" w:noVBand="0"/>
      </w:tblPr>
      <w:tblGrid>
        <w:gridCol w:w="4008"/>
        <w:gridCol w:w="3362"/>
      </w:tblGrid>
      <w:tr w:rsidR="0089011E" w:rsidRPr="0089011E" w:rsidTr="00F16F7E">
        <w:trPr>
          <w:tblHeader/>
        </w:trPr>
        <w:tc>
          <w:tcPr>
            <w:tcW w:w="4008" w:type="dxa"/>
            <w:tcBorders>
              <w:top w:val="single" w:sz="4" w:space="0" w:color="auto"/>
              <w:bottom w:val="single" w:sz="12" w:space="0" w:color="auto"/>
            </w:tcBorders>
            <w:shd w:val="clear" w:color="auto" w:fill="auto"/>
            <w:vAlign w:val="bottom"/>
          </w:tcPr>
          <w:p w:rsidR="00EC4C5A" w:rsidRPr="0089011E" w:rsidRDefault="00EC4C5A" w:rsidP="0089011E">
            <w:pPr>
              <w:suppressAutoHyphens w:val="0"/>
              <w:spacing w:before="80" w:after="80" w:line="200" w:lineRule="exact"/>
              <w:rPr>
                <w:i/>
                <w:sz w:val="16"/>
                <w:lang w:val="fr-FR"/>
              </w:rPr>
            </w:pPr>
            <w:r w:rsidRPr="0089011E">
              <w:rPr>
                <w:i/>
                <w:sz w:val="16"/>
                <w:lang w:val="fr-FR"/>
              </w:rPr>
              <w:t>Ventilation</w:t>
            </w:r>
          </w:p>
        </w:tc>
        <w:tc>
          <w:tcPr>
            <w:tcW w:w="3362" w:type="dxa"/>
            <w:tcBorders>
              <w:top w:val="single" w:sz="4" w:space="0" w:color="auto"/>
              <w:bottom w:val="single" w:sz="12" w:space="0" w:color="auto"/>
            </w:tcBorders>
            <w:shd w:val="clear" w:color="auto" w:fill="auto"/>
            <w:vAlign w:val="bottom"/>
          </w:tcPr>
          <w:p w:rsidR="00EC4C5A" w:rsidRPr="0089011E" w:rsidRDefault="00EC4C5A" w:rsidP="0089011E">
            <w:pPr>
              <w:suppressAutoHyphens w:val="0"/>
              <w:spacing w:before="80" w:after="80" w:line="200" w:lineRule="exact"/>
              <w:jc w:val="right"/>
              <w:rPr>
                <w:i/>
                <w:sz w:val="16"/>
                <w:lang w:val="fr-FR"/>
              </w:rPr>
            </w:pPr>
            <w:r w:rsidRPr="0089011E">
              <w:rPr>
                <w:i/>
                <w:sz w:val="16"/>
                <w:lang w:val="fr-FR"/>
              </w:rPr>
              <w:t>Pourcentage %</w:t>
            </w:r>
          </w:p>
        </w:tc>
      </w:tr>
      <w:tr w:rsidR="0089011E" w:rsidRPr="0089011E" w:rsidTr="00F16F7E">
        <w:tc>
          <w:tcPr>
            <w:tcW w:w="4008" w:type="dxa"/>
            <w:tcBorders>
              <w:top w:val="single" w:sz="12" w:space="0" w:color="auto"/>
              <w:bottom w:val="single" w:sz="12" w:space="0" w:color="auto"/>
            </w:tcBorders>
            <w:shd w:val="clear" w:color="auto" w:fill="auto"/>
          </w:tcPr>
          <w:p w:rsidR="00EC4C5A" w:rsidRPr="0089011E" w:rsidRDefault="00EC4C5A" w:rsidP="0033386F">
            <w:pPr>
              <w:suppressAutoHyphens w:val="0"/>
              <w:spacing w:before="80" w:after="80" w:line="220" w:lineRule="exact"/>
              <w:ind w:left="284"/>
              <w:rPr>
                <w:b/>
                <w:sz w:val="18"/>
                <w:szCs w:val="18"/>
                <w:lang w:val="fr-FR"/>
              </w:rPr>
            </w:pPr>
            <w:r w:rsidRPr="0089011E">
              <w:rPr>
                <w:b/>
                <w:sz w:val="18"/>
                <w:szCs w:val="18"/>
                <w:lang w:val="fr-FR"/>
              </w:rPr>
              <w:t xml:space="preserve">Nombre total de bénéficiaires </w:t>
            </w:r>
          </w:p>
        </w:tc>
        <w:tc>
          <w:tcPr>
            <w:tcW w:w="3362" w:type="dxa"/>
            <w:tcBorders>
              <w:top w:val="single" w:sz="12" w:space="0" w:color="auto"/>
              <w:bottom w:val="single" w:sz="12" w:space="0" w:color="auto"/>
            </w:tcBorders>
            <w:shd w:val="clear" w:color="auto" w:fill="auto"/>
            <w:vAlign w:val="bottom"/>
          </w:tcPr>
          <w:p w:rsidR="00EC4C5A" w:rsidRPr="0089011E" w:rsidRDefault="00EC4C5A" w:rsidP="0089011E">
            <w:pPr>
              <w:suppressAutoHyphens w:val="0"/>
              <w:spacing w:before="40" w:after="40" w:line="220" w:lineRule="exact"/>
              <w:jc w:val="right"/>
              <w:rPr>
                <w:b/>
                <w:sz w:val="18"/>
                <w:szCs w:val="18"/>
                <w:lang w:val="fr-FR"/>
              </w:rPr>
            </w:pPr>
            <w:r w:rsidRPr="0089011E">
              <w:rPr>
                <w:b/>
                <w:sz w:val="18"/>
                <w:szCs w:val="18"/>
                <w:lang w:val="fr-FR"/>
              </w:rPr>
              <w:t>35,2</w:t>
            </w:r>
          </w:p>
        </w:tc>
      </w:tr>
      <w:tr w:rsidR="0089011E" w:rsidRPr="0089011E" w:rsidTr="00F16F7E">
        <w:tc>
          <w:tcPr>
            <w:tcW w:w="4008" w:type="dxa"/>
            <w:tcBorders>
              <w:top w:val="single" w:sz="12" w:space="0" w:color="auto"/>
            </w:tcBorders>
            <w:shd w:val="clear" w:color="auto" w:fill="auto"/>
          </w:tcPr>
          <w:p w:rsidR="00EC4C5A" w:rsidRPr="0089011E" w:rsidRDefault="00EC4C5A" w:rsidP="0089011E">
            <w:pPr>
              <w:suppressAutoHyphens w:val="0"/>
              <w:spacing w:before="40" w:after="40" w:line="220" w:lineRule="exact"/>
              <w:rPr>
                <w:sz w:val="18"/>
                <w:szCs w:val="18"/>
                <w:lang w:val="fr-FR"/>
              </w:rPr>
            </w:pPr>
            <w:r w:rsidRPr="0089011E">
              <w:rPr>
                <w:sz w:val="18"/>
                <w:szCs w:val="18"/>
                <w:lang w:val="fr-FR"/>
              </w:rPr>
              <w:t>Par sexe</w:t>
            </w:r>
          </w:p>
        </w:tc>
        <w:tc>
          <w:tcPr>
            <w:tcW w:w="3362" w:type="dxa"/>
            <w:tcBorders>
              <w:top w:val="single" w:sz="12" w:space="0" w:color="auto"/>
            </w:tcBorders>
            <w:shd w:val="clear" w:color="auto" w:fill="auto"/>
            <w:vAlign w:val="bottom"/>
          </w:tcPr>
          <w:p w:rsidR="00EC4C5A" w:rsidRPr="0089011E" w:rsidRDefault="00EC4C5A" w:rsidP="0089011E">
            <w:pPr>
              <w:suppressAutoHyphens w:val="0"/>
              <w:spacing w:before="40" w:after="40" w:line="220" w:lineRule="exact"/>
              <w:jc w:val="right"/>
              <w:rPr>
                <w:sz w:val="18"/>
                <w:szCs w:val="18"/>
                <w:lang w:val="fr-FR"/>
              </w:rPr>
            </w:pPr>
          </w:p>
        </w:tc>
      </w:tr>
      <w:tr w:rsidR="0089011E" w:rsidRPr="0089011E" w:rsidTr="0089011E">
        <w:tc>
          <w:tcPr>
            <w:tcW w:w="4008" w:type="dxa"/>
            <w:shd w:val="clear" w:color="auto" w:fill="auto"/>
          </w:tcPr>
          <w:p w:rsidR="00EC4C5A" w:rsidRPr="0089011E" w:rsidRDefault="00EC4C5A" w:rsidP="0089011E">
            <w:pPr>
              <w:suppressAutoHyphens w:val="0"/>
              <w:spacing w:before="40" w:after="40" w:line="220" w:lineRule="exact"/>
              <w:rPr>
                <w:sz w:val="18"/>
                <w:szCs w:val="18"/>
                <w:lang w:val="fr-FR"/>
              </w:rPr>
            </w:pPr>
            <w:r w:rsidRPr="0089011E">
              <w:rPr>
                <w:sz w:val="18"/>
                <w:szCs w:val="18"/>
                <w:lang w:val="fr-FR"/>
              </w:rPr>
              <w:t>Hommes</w:t>
            </w:r>
          </w:p>
        </w:tc>
        <w:tc>
          <w:tcPr>
            <w:tcW w:w="3362" w:type="dxa"/>
            <w:shd w:val="clear" w:color="auto" w:fill="auto"/>
            <w:vAlign w:val="bottom"/>
          </w:tcPr>
          <w:p w:rsidR="00EC4C5A" w:rsidRPr="0089011E" w:rsidRDefault="00EC4C5A" w:rsidP="0089011E">
            <w:pPr>
              <w:suppressAutoHyphens w:val="0"/>
              <w:spacing w:before="40" w:after="40" w:line="220" w:lineRule="exact"/>
              <w:jc w:val="right"/>
              <w:rPr>
                <w:sz w:val="18"/>
                <w:szCs w:val="18"/>
                <w:lang w:val="fr-FR"/>
              </w:rPr>
            </w:pPr>
            <w:r w:rsidRPr="0089011E">
              <w:rPr>
                <w:sz w:val="18"/>
                <w:szCs w:val="18"/>
                <w:lang w:val="fr-FR"/>
              </w:rPr>
              <w:t>33,5</w:t>
            </w:r>
          </w:p>
        </w:tc>
      </w:tr>
      <w:tr w:rsidR="0089011E" w:rsidRPr="0089011E" w:rsidTr="0089011E">
        <w:tc>
          <w:tcPr>
            <w:tcW w:w="4008" w:type="dxa"/>
            <w:shd w:val="clear" w:color="auto" w:fill="auto"/>
          </w:tcPr>
          <w:p w:rsidR="00EC4C5A" w:rsidRPr="0089011E" w:rsidRDefault="00EC4C5A" w:rsidP="0089011E">
            <w:pPr>
              <w:suppressAutoHyphens w:val="0"/>
              <w:spacing w:before="40" w:after="40" w:line="220" w:lineRule="exact"/>
              <w:rPr>
                <w:sz w:val="18"/>
                <w:szCs w:val="18"/>
                <w:lang w:val="fr-FR"/>
              </w:rPr>
            </w:pPr>
            <w:r w:rsidRPr="0089011E">
              <w:rPr>
                <w:sz w:val="18"/>
                <w:szCs w:val="18"/>
                <w:lang w:val="fr-FR"/>
              </w:rPr>
              <w:t>Femmes</w:t>
            </w:r>
          </w:p>
        </w:tc>
        <w:tc>
          <w:tcPr>
            <w:tcW w:w="3362" w:type="dxa"/>
            <w:shd w:val="clear" w:color="auto" w:fill="auto"/>
            <w:vAlign w:val="bottom"/>
          </w:tcPr>
          <w:p w:rsidR="00EC4C5A" w:rsidRPr="0089011E" w:rsidRDefault="00EC4C5A" w:rsidP="0089011E">
            <w:pPr>
              <w:suppressAutoHyphens w:val="0"/>
              <w:spacing w:before="40" w:after="40" w:line="220" w:lineRule="exact"/>
              <w:jc w:val="right"/>
              <w:rPr>
                <w:sz w:val="18"/>
                <w:szCs w:val="18"/>
                <w:lang w:val="fr-FR"/>
              </w:rPr>
            </w:pPr>
            <w:r w:rsidRPr="0089011E">
              <w:rPr>
                <w:sz w:val="18"/>
                <w:szCs w:val="18"/>
                <w:lang w:val="fr-FR"/>
              </w:rPr>
              <w:t>34,9</w:t>
            </w:r>
          </w:p>
        </w:tc>
      </w:tr>
      <w:tr w:rsidR="0089011E" w:rsidRPr="0089011E" w:rsidTr="0089011E">
        <w:tc>
          <w:tcPr>
            <w:tcW w:w="4008" w:type="dxa"/>
            <w:shd w:val="clear" w:color="auto" w:fill="auto"/>
          </w:tcPr>
          <w:p w:rsidR="00EC4C5A" w:rsidRPr="0089011E" w:rsidRDefault="00EC4C5A" w:rsidP="0089011E">
            <w:pPr>
              <w:suppressAutoHyphens w:val="0"/>
              <w:spacing w:before="40" w:after="40" w:line="220" w:lineRule="exact"/>
              <w:rPr>
                <w:sz w:val="18"/>
                <w:szCs w:val="18"/>
                <w:lang w:val="fr-FR"/>
              </w:rPr>
            </w:pPr>
            <w:r w:rsidRPr="0089011E">
              <w:rPr>
                <w:sz w:val="18"/>
                <w:szCs w:val="18"/>
                <w:lang w:val="fr-FR"/>
              </w:rPr>
              <w:t>Enfants (de moins de 14 ans)</w:t>
            </w:r>
          </w:p>
        </w:tc>
        <w:tc>
          <w:tcPr>
            <w:tcW w:w="3362" w:type="dxa"/>
            <w:shd w:val="clear" w:color="auto" w:fill="auto"/>
            <w:vAlign w:val="bottom"/>
          </w:tcPr>
          <w:p w:rsidR="00EC4C5A" w:rsidRPr="0089011E" w:rsidRDefault="00EC4C5A" w:rsidP="0089011E">
            <w:pPr>
              <w:suppressAutoHyphens w:val="0"/>
              <w:spacing w:before="40" w:after="40" w:line="220" w:lineRule="exact"/>
              <w:jc w:val="right"/>
              <w:rPr>
                <w:sz w:val="18"/>
                <w:szCs w:val="18"/>
                <w:lang w:val="fr-FR"/>
              </w:rPr>
            </w:pPr>
            <w:r w:rsidRPr="0089011E">
              <w:rPr>
                <w:sz w:val="18"/>
                <w:szCs w:val="18"/>
                <w:lang w:val="fr-FR"/>
              </w:rPr>
              <w:t>33,6</w:t>
            </w:r>
          </w:p>
        </w:tc>
      </w:tr>
      <w:tr w:rsidR="0089011E" w:rsidRPr="0089011E" w:rsidTr="0089011E">
        <w:tc>
          <w:tcPr>
            <w:tcW w:w="4008" w:type="dxa"/>
            <w:tcBorders>
              <w:bottom w:val="single" w:sz="12" w:space="0" w:color="auto"/>
            </w:tcBorders>
            <w:shd w:val="clear" w:color="auto" w:fill="auto"/>
          </w:tcPr>
          <w:p w:rsidR="00EC4C5A" w:rsidRPr="0089011E" w:rsidRDefault="00EC4C5A" w:rsidP="0089011E">
            <w:pPr>
              <w:suppressAutoHyphens w:val="0"/>
              <w:spacing w:before="40" w:after="40" w:line="220" w:lineRule="exact"/>
              <w:rPr>
                <w:sz w:val="18"/>
                <w:szCs w:val="18"/>
                <w:lang w:val="fr-FR"/>
              </w:rPr>
            </w:pPr>
            <w:r w:rsidRPr="0089011E">
              <w:rPr>
                <w:sz w:val="18"/>
                <w:szCs w:val="18"/>
                <w:lang w:val="fr-FR"/>
              </w:rPr>
              <w:t xml:space="preserve">Personnes âgées (de plus de 60 ans) </w:t>
            </w:r>
          </w:p>
        </w:tc>
        <w:tc>
          <w:tcPr>
            <w:tcW w:w="3362" w:type="dxa"/>
            <w:tcBorders>
              <w:bottom w:val="single" w:sz="12" w:space="0" w:color="auto"/>
            </w:tcBorders>
            <w:shd w:val="clear" w:color="auto" w:fill="auto"/>
            <w:vAlign w:val="bottom"/>
          </w:tcPr>
          <w:p w:rsidR="00EC4C5A" w:rsidRPr="0089011E" w:rsidRDefault="00EC4C5A" w:rsidP="0089011E">
            <w:pPr>
              <w:suppressAutoHyphens w:val="0"/>
              <w:spacing w:before="40" w:after="40" w:line="220" w:lineRule="exact"/>
              <w:jc w:val="right"/>
              <w:rPr>
                <w:sz w:val="18"/>
                <w:szCs w:val="18"/>
                <w:lang w:val="fr-FR"/>
              </w:rPr>
            </w:pPr>
          </w:p>
        </w:tc>
      </w:tr>
      <w:tr w:rsidR="0089011E" w:rsidRPr="0089011E" w:rsidTr="0089011E">
        <w:tc>
          <w:tcPr>
            <w:tcW w:w="4008" w:type="dxa"/>
            <w:tcBorders>
              <w:top w:val="single" w:sz="12" w:space="0" w:color="auto"/>
              <w:bottom w:val="single" w:sz="12" w:space="0" w:color="auto"/>
            </w:tcBorders>
            <w:shd w:val="clear" w:color="auto" w:fill="auto"/>
          </w:tcPr>
          <w:p w:rsidR="00EC4C5A" w:rsidRPr="0089011E" w:rsidRDefault="00EC4C5A" w:rsidP="0089011E">
            <w:pPr>
              <w:suppressAutoHyphens w:val="0"/>
              <w:spacing w:before="80" w:after="80" w:line="220" w:lineRule="exact"/>
              <w:ind w:left="284"/>
              <w:rPr>
                <w:b/>
                <w:sz w:val="18"/>
                <w:szCs w:val="18"/>
                <w:lang w:val="fr-FR"/>
              </w:rPr>
            </w:pPr>
            <w:r w:rsidRPr="0089011E">
              <w:rPr>
                <w:b/>
                <w:sz w:val="18"/>
                <w:szCs w:val="18"/>
                <w:lang w:val="fr-FR"/>
              </w:rPr>
              <w:t>Total</w:t>
            </w:r>
          </w:p>
        </w:tc>
        <w:tc>
          <w:tcPr>
            <w:tcW w:w="3362" w:type="dxa"/>
            <w:tcBorders>
              <w:top w:val="single" w:sz="12" w:space="0" w:color="auto"/>
              <w:bottom w:val="single" w:sz="12" w:space="0" w:color="auto"/>
            </w:tcBorders>
            <w:shd w:val="clear" w:color="auto" w:fill="auto"/>
            <w:vAlign w:val="bottom"/>
          </w:tcPr>
          <w:p w:rsidR="00EC4C5A" w:rsidRPr="0089011E" w:rsidRDefault="00EC4C5A" w:rsidP="0089011E">
            <w:pPr>
              <w:suppressAutoHyphens w:val="0"/>
              <w:spacing w:before="80" w:after="80" w:line="220" w:lineRule="exact"/>
              <w:ind w:left="284"/>
              <w:jc w:val="right"/>
              <w:rPr>
                <w:b/>
                <w:sz w:val="18"/>
                <w:szCs w:val="18"/>
                <w:lang w:val="fr-FR"/>
              </w:rPr>
            </w:pPr>
            <w:r w:rsidRPr="0089011E">
              <w:rPr>
                <w:b/>
                <w:sz w:val="18"/>
                <w:szCs w:val="18"/>
                <w:lang w:val="fr-FR"/>
              </w:rPr>
              <w:t>44,7</w:t>
            </w:r>
          </w:p>
        </w:tc>
      </w:tr>
      <w:tr w:rsidR="0089011E" w:rsidRPr="0089011E" w:rsidTr="0089011E">
        <w:tc>
          <w:tcPr>
            <w:tcW w:w="4008" w:type="dxa"/>
            <w:tcBorders>
              <w:top w:val="single" w:sz="12" w:space="0" w:color="auto"/>
            </w:tcBorders>
            <w:shd w:val="clear" w:color="auto" w:fill="auto"/>
          </w:tcPr>
          <w:p w:rsidR="00EC4C5A" w:rsidRPr="0089011E" w:rsidRDefault="00EC4C5A" w:rsidP="0089011E">
            <w:pPr>
              <w:suppressAutoHyphens w:val="0"/>
              <w:spacing w:before="40" w:after="40" w:line="220" w:lineRule="exact"/>
              <w:rPr>
                <w:sz w:val="18"/>
                <w:szCs w:val="18"/>
                <w:lang w:val="fr-FR"/>
              </w:rPr>
            </w:pPr>
            <w:r w:rsidRPr="0089011E">
              <w:rPr>
                <w:sz w:val="18"/>
                <w:szCs w:val="18"/>
                <w:lang w:val="fr-FR"/>
              </w:rPr>
              <w:t>Hommes</w:t>
            </w:r>
          </w:p>
        </w:tc>
        <w:tc>
          <w:tcPr>
            <w:tcW w:w="3362" w:type="dxa"/>
            <w:tcBorders>
              <w:top w:val="single" w:sz="12" w:space="0" w:color="auto"/>
            </w:tcBorders>
            <w:shd w:val="clear" w:color="auto" w:fill="auto"/>
            <w:vAlign w:val="bottom"/>
          </w:tcPr>
          <w:p w:rsidR="00EC4C5A" w:rsidRPr="0089011E" w:rsidRDefault="00EC4C5A" w:rsidP="0089011E">
            <w:pPr>
              <w:suppressAutoHyphens w:val="0"/>
              <w:spacing w:before="40" w:after="40" w:line="220" w:lineRule="exact"/>
              <w:jc w:val="right"/>
              <w:rPr>
                <w:sz w:val="18"/>
                <w:szCs w:val="18"/>
                <w:lang w:val="fr-FR"/>
              </w:rPr>
            </w:pPr>
            <w:r w:rsidRPr="0089011E">
              <w:rPr>
                <w:sz w:val="18"/>
                <w:szCs w:val="18"/>
                <w:lang w:val="fr-FR"/>
              </w:rPr>
              <w:t>41,9</w:t>
            </w:r>
          </w:p>
        </w:tc>
      </w:tr>
      <w:tr w:rsidR="0089011E" w:rsidRPr="0089011E" w:rsidTr="0089011E">
        <w:tc>
          <w:tcPr>
            <w:tcW w:w="4008" w:type="dxa"/>
            <w:shd w:val="clear" w:color="auto" w:fill="auto"/>
          </w:tcPr>
          <w:p w:rsidR="00EC4C5A" w:rsidRPr="0089011E" w:rsidRDefault="00EC4C5A" w:rsidP="0089011E">
            <w:pPr>
              <w:suppressAutoHyphens w:val="0"/>
              <w:spacing w:before="40" w:after="40" w:line="220" w:lineRule="exact"/>
              <w:rPr>
                <w:sz w:val="18"/>
                <w:szCs w:val="18"/>
                <w:lang w:val="fr-FR"/>
              </w:rPr>
            </w:pPr>
            <w:r w:rsidRPr="0089011E">
              <w:rPr>
                <w:sz w:val="18"/>
                <w:szCs w:val="18"/>
                <w:lang w:val="fr-FR"/>
              </w:rPr>
              <w:t>Femmes</w:t>
            </w:r>
          </w:p>
        </w:tc>
        <w:tc>
          <w:tcPr>
            <w:tcW w:w="3362" w:type="dxa"/>
            <w:shd w:val="clear" w:color="auto" w:fill="auto"/>
            <w:vAlign w:val="bottom"/>
          </w:tcPr>
          <w:p w:rsidR="00EC4C5A" w:rsidRPr="0089011E" w:rsidRDefault="00EC4C5A" w:rsidP="0089011E">
            <w:pPr>
              <w:suppressAutoHyphens w:val="0"/>
              <w:spacing w:before="40" w:after="40" w:line="220" w:lineRule="exact"/>
              <w:jc w:val="right"/>
              <w:rPr>
                <w:sz w:val="18"/>
                <w:szCs w:val="18"/>
                <w:lang w:val="fr-FR"/>
              </w:rPr>
            </w:pPr>
            <w:r w:rsidRPr="0089011E">
              <w:rPr>
                <w:sz w:val="18"/>
                <w:szCs w:val="18"/>
                <w:lang w:val="fr-FR"/>
              </w:rPr>
              <w:t>46,4</w:t>
            </w:r>
          </w:p>
        </w:tc>
      </w:tr>
      <w:tr w:rsidR="0089011E" w:rsidRPr="0089011E" w:rsidTr="0089011E">
        <w:tc>
          <w:tcPr>
            <w:tcW w:w="4008" w:type="dxa"/>
            <w:tcBorders>
              <w:bottom w:val="single" w:sz="12" w:space="0" w:color="auto"/>
            </w:tcBorders>
            <w:shd w:val="clear" w:color="auto" w:fill="auto"/>
          </w:tcPr>
          <w:p w:rsidR="00EC4C5A" w:rsidRPr="0089011E" w:rsidRDefault="00EC4C5A" w:rsidP="0089011E">
            <w:pPr>
              <w:suppressAutoHyphens w:val="0"/>
              <w:spacing w:before="40" w:after="40" w:line="220" w:lineRule="exact"/>
              <w:rPr>
                <w:sz w:val="18"/>
                <w:szCs w:val="18"/>
                <w:lang w:val="fr-FR"/>
              </w:rPr>
            </w:pPr>
            <w:r w:rsidRPr="0089011E">
              <w:rPr>
                <w:sz w:val="18"/>
                <w:szCs w:val="18"/>
                <w:lang w:val="fr-FR"/>
              </w:rPr>
              <w:t>Nouveau-nés (de moins de 1 an)</w:t>
            </w:r>
          </w:p>
        </w:tc>
        <w:tc>
          <w:tcPr>
            <w:tcW w:w="3362" w:type="dxa"/>
            <w:tcBorders>
              <w:bottom w:val="single" w:sz="12" w:space="0" w:color="auto"/>
            </w:tcBorders>
            <w:shd w:val="clear" w:color="auto" w:fill="auto"/>
            <w:vAlign w:val="bottom"/>
          </w:tcPr>
          <w:p w:rsidR="00EC4C5A" w:rsidRPr="0089011E" w:rsidRDefault="00EC4C5A" w:rsidP="0089011E">
            <w:pPr>
              <w:suppressAutoHyphens w:val="0"/>
              <w:spacing w:before="40" w:after="40" w:line="220" w:lineRule="exact"/>
              <w:jc w:val="right"/>
              <w:rPr>
                <w:sz w:val="18"/>
                <w:szCs w:val="18"/>
                <w:lang w:val="fr-FR"/>
              </w:rPr>
            </w:pPr>
          </w:p>
        </w:tc>
      </w:tr>
      <w:tr w:rsidR="0089011E" w:rsidRPr="0089011E" w:rsidTr="0089011E">
        <w:tc>
          <w:tcPr>
            <w:tcW w:w="4008" w:type="dxa"/>
            <w:tcBorders>
              <w:top w:val="single" w:sz="12" w:space="0" w:color="auto"/>
              <w:bottom w:val="single" w:sz="12" w:space="0" w:color="auto"/>
            </w:tcBorders>
            <w:shd w:val="clear" w:color="auto" w:fill="auto"/>
          </w:tcPr>
          <w:p w:rsidR="00EC4C5A" w:rsidRPr="0089011E" w:rsidRDefault="00EC4C5A" w:rsidP="0089011E">
            <w:pPr>
              <w:suppressAutoHyphens w:val="0"/>
              <w:spacing w:before="80" w:after="80" w:line="220" w:lineRule="exact"/>
              <w:ind w:left="284"/>
              <w:rPr>
                <w:b/>
                <w:sz w:val="18"/>
                <w:szCs w:val="18"/>
                <w:lang w:val="fr-FR"/>
              </w:rPr>
            </w:pPr>
            <w:r w:rsidRPr="0089011E">
              <w:rPr>
                <w:b/>
                <w:sz w:val="18"/>
                <w:szCs w:val="18"/>
                <w:lang w:val="fr-FR"/>
              </w:rPr>
              <w:t>Total</w:t>
            </w:r>
          </w:p>
        </w:tc>
        <w:tc>
          <w:tcPr>
            <w:tcW w:w="3362" w:type="dxa"/>
            <w:tcBorders>
              <w:top w:val="single" w:sz="12" w:space="0" w:color="auto"/>
              <w:bottom w:val="single" w:sz="12" w:space="0" w:color="auto"/>
            </w:tcBorders>
            <w:shd w:val="clear" w:color="auto" w:fill="auto"/>
            <w:vAlign w:val="bottom"/>
          </w:tcPr>
          <w:p w:rsidR="00EC4C5A" w:rsidRPr="0089011E" w:rsidRDefault="00EC4C5A" w:rsidP="0089011E">
            <w:pPr>
              <w:suppressAutoHyphens w:val="0"/>
              <w:spacing w:before="80" w:after="80" w:line="220" w:lineRule="exact"/>
              <w:ind w:left="284"/>
              <w:jc w:val="right"/>
              <w:rPr>
                <w:b/>
                <w:sz w:val="18"/>
                <w:szCs w:val="18"/>
                <w:lang w:val="fr-FR"/>
              </w:rPr>
            </w:pPr>
            <w:r w:rsidRPr="0089011E">
              <w:rPr>
                <w:b/>
                <w:sz w:val="18"/>
                <w:szCs w:val="18"/>
                <w:lang w:val="fr-FR"/>
              </w:rPr>
              <w:t>34,8</w:t>
            </w:r>
          </w:p>
        </w:tc>
      </w:tr>
      <w:tr w:rsidR="0089011E" w:rsidRPr="0089011E" w:rsidTr="0089011E">
        <w:tc>
          <w:tcPr>
            <w:tcW w:w="4008" w:type="dxa"/>
            <w:tcBorders>
              <w:top w:val="single" w:sz="12" w:space="0" w:color="auto"/>
            </w:tcBorders>
            <w:shd w:val="clear" w:color="auto" w:fill="auto"/>
          </w:tcPr>
          <w:p w:rsidR="00EC4C5A" w:rsidRPr="0089011E" w:rsidRDefault="00EC4C5A" w:rsidP="0089011E">
            <w:pPr>
              <w:suppressAutoHyphens w:val="0"/>
              <w:spacing w:before="40" w:after="40" w:line="220" w:lineRule="exact"/>
              <w:rPr>
                <w:sz w:val="18"/>
                <w:szCs w:val="18"/>
                <w:lang w:val="fr-FR"/>
              </w:rPr>
            </w:pPr>
            <w:r w:rsidRPr="0089011E">
              <w:rPr>
                <w:sz w:val="18"/>
                <w:szCs w:val="18"/>
                <w:lang w:val="fr-FR"/>
              </w:rPr>
              <w:t>Hommes</w:t>
            </w:r>
          </w:p>
        </w:tc>
        <w:tc>
          <w:tcPr>
            <w:tcW w:w="3362" w:type="dxa"/>
            <w:tcBorders>
              <w:top w:val="single" w:sz="12" w:space="0" w:color="auto"/>
            </w:tcBorders>
            <w:shd w:val="clear" w:color="auto" w:fill="auto"/>
            <w:vAlign w:val="bottom"/>
          </w:tcPr>
          <w:p w:rsidR="00EC4C5A" w:rsidRPr="0089011E" w:rsidRDefault="00EC4C5A" w:rsidP="0089011E">
            <w:pPr>
              <w:suppressAutoHyphens w:val="0"/>
              <w:spacing w:before="40" w:after="40" w:line="220" w:lineRule="exact"/>
              <w:jc w:val="right"/>
              <w:rPr>
                <w:sz w:val="18"/>
                <w:szCs w:val="18"/>
                <w:lang w:val="fr-FR"/>
              </w:rPr>
            </w:pPr>
            <w:r w:rsidRPr="0089011E">
              <w:rPr>
                <w:sz w:val="18"/>
                <w:szCs w:val="18"/>
                <w:lang w:val="fr-FR"/>
              </w:rPr>
              <w:t>34,1</w:t>
            </w:r>
          </w:p>
        </w:tc>
      </w:tr>
      <w:tr w:rsidR="0089011E" w:rsidRPr="0089011E" w:rsidTr="0089011E">
        <w:tc>
          <w:tcPr>
            <w:tcW w:w="4008" w:type="dxa"/>
            <w:tcBorders>
              <w:bottom w:val="single" w:sz="12" w:space="0" w:color="auto"/>
            </w:tcBorders>
            <w:shd w:val="clear" w:color="auto" w:fill="auto"/>
          </w:tcPr>
          <w:p w:rsidR="00EC4C5A" w:rsidRPr="0089011E" w:rsidRDefault="00EC4C5A" w:rsidP="0089011E">
            <w:pPr>
              <w:suppressAutoHyphens w:val="0"/>
              <w:spacing w:before="40" w:after="40" w:line="220" w:lineRule="exact"/>
              <w:rPr>
                <w:sz w:val="18"/>
                <w:szCs w:val="18"/>
                <w:lang w:val="fr-FR"/>
              </w:rPr>
            </w:pPr>
            <w:r w:rsidRPr="0089011E">
              <w:rPr>
                <w:sz w:val="18"/>
                <w:szCs w:val="18"/>
                <w:lang w:val="fr-FR"/>
              </w:rPr>
              <w:t>Femmes</w:t>
            </w:r>
          </w:p>
        </w:tc>
        <w:tc>
          <w:tcPr>
            <w:tcW w:w="3362" w:type="dxa"/>
            <w:tcBorders>
              <w:bottom w:val="single" w:sz="12" w:space="0" w:color="auto"/>
            </w:tcBorders>
            <w:shd w:val="clear" w:color="auto" w:fill="auto"/>
            <w:vAlign w:val="bottom"/>
          </w:tcPr>
          <w:p w:rsidR="00EC4C5A" w:rsidRPr="0089011E" w:rsidRDefault="00EC4C5A" w:rsidP="0089011E">
            <w:pPr>
              <w:suppressAutoHyphens w:val="0"/>
              <w:spacing w:before="40" w:after="40" w:line="220" w:lineRule="exact"/>
              <w:jc w:val="right"/>
              <w:rPr>
                <w:sz w:val="18"/>
                <w:szCs w:val="18"/>
                <w:lang w:val="fr-FR"/>
              </w:rPr>
            </w:pPr>
            <w:r w:rsidRPr="0089011E">
              <w:rPr>
                <w:sz w:val="18"/>
                <w:szCs w:val="18"/>
                <w:lang w:val="fr-FR"/>
              </w:rPr>
              <w:t>35,4</w:t>
            </w:r>
          </w:p>
        </w:tc>
      </w:tr>
    </w:tbl>
    <w:p w:rsidR="00EC4C5A" w:rsidRPr="00CC76D1" w:rsidRDefault="00EC4C5A" w:rsidP="00F16F7E">
      <w:pPr>
        <w:pStyle w:val="SingleTxtG"/>
        <w:spacing w:before="240"/>
        <w:rPr>
          <w:lang w:val="fr-FR"/>
        </w:rPr>
      </w:pPr>
      <w:r w:rsidRPr="00CC76D1">
        <w:rPr>
          <w:lang w:val="fr-FR"/>
        </w:rPr>
        <w:t>79.</w:t>
      </w:r>
      <w:r w:rsidRPr="00CC76D1">
        <w:rPr>
          <w:lang w:val="fr-FR"/>
        </w:rPr>
        <w:tab/>
        <w:t>Les progrès accomplis entre 2012-2013 et 2016 en vue de l</w:t>
      </w:r>
      <w:r w:rsidR="00474653">
        <w:rPr>
          <w:lang w:val="fr-FR"/>
        </w:rPr>
        <w:t>’</w:t>
      </w:r>
      <w:r w:rsidRPr="00CC76D1">
        <w:rPr>
          <w:lang w:val="fr-FR"/>
        </w:rPr>
        <w:t>établissement d</w:t>
      </w:r>
      <w:r w:rsidR="00474653">
        <w:rPr>
          <w:lang w:val="fr-FR"/>
        </w:rPr>
        <w:t>’</w:t>
      </w:r>
      <w:r w:rsidRPr="00CC76D1">
        <w:rPr>
          <w:lang w:val="fr-FR"/>
        </w:rPr>
        <w:t>un régime de protection sociale universelle seront évalués lorsque les résultats de l</w:t>
      </w:r>
      <w:r w:rsidR="00474653">
        <w:rPr>
          <w:lang w:val="fr-FR"/>
        </w:rPr>
        <w:t>’</w:t>
      </w:r>
      <w:r w:rsidRPr="00CC76D1">
        <w:rPr>
          <w:lang w:val="fr-FR"/>
        </w:rPr>
        <w:t xml:space="preserve">Enquête sur les revenus et les dépenses des ménages de 2016 seront publiés. </w:t>
      </w:r>
    </w:p>
    <w:p w:rsidR="00EC4C5A" w:rsidRPr="00CC76D1" w:rsidRDefault="00EC4C5A" w:rsidP="002949A7">
      <w:pPr>
        <w:pStyle w:val="HChG"/>
        <w:rPr>
          <w:lang w:val="fr-FR"/>
        </w:rPr>
      </w:pPr>
      <w:r w:rsidRPr="00CC76D1">
        <w:rPr>
          <w:lang w:val="fr-FR"/>
        </w:rPr>
        <w:lastRenderedPageBreak/>
        <w:tab/>
      </w:r>
      <w:r w:rsidRPr="00CC76D1">
        <w:rPr>
          <w:lang w:val="fr-FR"/>
        </w:rPr>
        <w:tab/>
        <w:t>Protection de la famille et de l</w:t>
      </w:r>
      <w:r w:rsidR="00474653">
        <w:rPr>
          <w:lang w:val="fr-FR"/>
        </w:rPr>
        <w:t>’</w:t>
      </w:r>
      <w:r w:rsidRPr="00CC76D1">
        <w:rPr>
          <w:lang w:val="fr-FR"/>
        </w:rPr>
        <w:t>enfant</w:t>
      </w:r>
    </w:p>
    <w:p w:rsidR="00EC4C5A" w:rsidRPr="00CC76D1" w:rsidRDefault="00EC4C5A" w:rsidP="002949A7">
      <w:pPr>
        <w:pStyle w:val="H1G"/>
        <w:rPr>
          <w:lang w:val="fr-FR"/>
        </w:rPr>
      </w:pPr>
      <w:r w:rsidRPr="00CC76D1">
        <w:rPr>
          <w:lang w:val="fr-FR"/>
        </w:rPr>
        <w:tab/>
        <w:t>6.</w:t>
      </w:r>
      <w:r w:rsidRPr="00CC76D1">
        <w:rPr>
          <w:lang w:val="fr-FR"/>
        </w:rPr>
        <w:tab/>
        <w:t>Élimination du travail et de l</w:t>
      </w:r>
      <w:r w:rsidR="00474653">
        <w:rPr>
          <w:lang w:val="fr-FR"/>
        </w:rPr>
        <w:t>’</w:t>
      </w:r>
      <w:r w:rsidRPr="00CC76D1">
        <w:rPr>
          <w:lang w:val="fr-FR"/>
        </w:rPr>
        <w:t>exploitation des enfants</w:t>
      </w:r>
    </w:p>
    <w:p w:rsidR="00EC4C5A" w:rsidRPr="00CC76D1" w:rsidRDefault="00EC4C5A" w:rsidP="002949A7">
      <w:pPr>
        <w:pStyle w:val="SingleTxtG"/>
        <w:rPr>
          <w:lang w:val="fr-FR"/>
        </w:rPr>
      </w:pPr>
      <w:r w:rsidRPr="00CC76D1">
        <w:rPr>
          <w:lang w:val="fr-FR"/>
        </w:rPr>
        <w:t>80.</w:t>
      </w:r>
      <w:r w:rsidRPr="00CC76D1">
        <w:rPr>
          <w:lang w:val="fr-FR"/>
        </w:rPr>
        <w:tab/>
        <w:t>Résultats de la mise en œuvre de la feuille de route de 2016 sur les pire</w:t>
      </w:r>
      <w:r w:rsidR="002949A7">
        <w:rPr>
          <w:lang w:val="fr-FR"/>
        </w:rPr>
        <w:t>s formes de travail des enfants :</w:t>
      </w:r>
    </w:p>
    <w:p w:rsidR="00EC4C5A" w:rsidRPr="00CC76D1" w:rsidRDefault="00EC4C5A" w:rsidP="002949A7">
      <w:pPr>
        <w:pStyle w:val="SingleTxtG"/>
        <w:rPr>
          <w:lang w:val="fr-FR"/>
        </w:rPr>
      </w:pPr>
      <w:r w:rsidRPr="00CC76D1">
        <w:rPr>
          <w:lang w:val="fr-FR"/>
        </w:rPr>
        <w:t>81.</w:t>
      </w:r>
      <w:r w:rsidRPr="00CC76D1">
        <w:rPr>
          <w:lang w:val="fr-FR"/>
        </w:rPr>
        <w:tab/>
        <w:t>Grâce aux mesures qu</w:t>
      </w:r>
      <w:r w:rsidR="00474653">
        <w:rPr>
          <w:lang w:val="fr-FR"/>
        </w:rPr>
        <w:t>’</w:t>
      </w:r>
      <w:r w:rsidRPr="00CC76D1">
        <w:rPr>
          <w:lang w:val="fr-FR"/>
        </w:rPr>
        <w:t>il a mises en œuvre, le Département du travail est parvenu à faire appliquer une politique de tolérance zéro à l</w:t>
      </w:r>
      <w:r w:rsidR="00474653">
        <w:rPr>
          <w:lang w:val="fr-FR"/>
        </w:rPr>
        <w:t>’</w:t>
      </w:r>
      <w:r w:rsidRPr="00CC76D1">
        <w:rPr>
          <w:lang w:val="fr-FR"/>
        </w:rPr>
        <w:t>égard du travail des enfants dans le pays. Des mesures ont déjà été prises pour éliminer complètement les pires formes de travail des en</w:t>
      </w:r>
      <w:r w:rsidR="00D30D02">
        <w:rPr>
          <w:lang w:val="fr-FR"/>
        </w:rPr>
        <w:t>fants dans les districts de Rat</w:t>
      </w:r>
      <w:r w:rsidRPr="00CC76D1">
        <w:rPr>
          <w:lang w:val="fr-FR"/>
        </w:rPr>
        <w:t>napura, Kegalle et Ampara. Un solide mécanisme permet d</w:t>
      </w:r>
      <w:r w:rsidR="00474653">
        <w:rPr>
          <w:lang w:val="fr-FR"/>
        </w:rPr>
        <w:t>’</w:t>
      </w:r>
      <w:r w:rsidRPr="00CC76D1">
        <w:rPr>
          <w:lang w:val="fr-FR"/>
        </w:rPr>
        <w:t xml:space="preserve">identifier les enfants vulnérables qui risquent </w:t>
      </w:r>
      <w:r w:rsidR="000F0C10">
        <w:rPr>
          <w:lang w:val="fr-FR"/>
        </w:rPr>
        <w:t>d</w:t>
      </w:r>
      <w:r w:rsidR="00474653">
        <w:rPr>
          <w:lang w:val="fr-FR"/>
        </w:rPr>
        <w:t>’</w:t>
      </w:r>
      <w:r w:rsidR="000F0C10">
        <w:rPr>
          <w:lang w:val="fr-FR"/>
        </w:rPr>
        <w:t>être contraints de travailler ;</w:t>
      </w:r>
      <w:r w:rsidRPr="00CC76D1">
        <w:rPr>
          <w:lang w:val="fr-FR"/>
        </w:rPr>
        <w:t xml:space="preserve"> ce dispositif d</w:t>
      </w:r>
      <w:r w:rsidR="00474653">
        <w:rPr>
          <w:lang w:val="fr-FR"/>
        </w:rPr>
        <w:t>’</w:t>
      </w:r>
      <w:r w:rsidRPr="00CC76D1">
        <w:rPr>
          <w:lang w:val="fr-FR"/>
        </w:rPr>
        <w:t>identification précoce permet ainsi de les protéger. Dans le district de Ratnapura, par exe</w:t>
      </w:r>
      <w:r w:rsidR="000F0C10">
        <w:rPr>
          <w:lang w:val="fr-FR"/>
        </w:rPr>
        <w:t>mple, premier district déclaré « </w:t>
      </w:r>
      <w:r w:rsidRPr="00CC76D1">
        <w:rPr>
          <w:lang w:val="fr-FR"/>
        </w:rPr>
        <w:t>zone libre de travail des enfants</w:t>
      </w:r>
      <w:r w:rsidR="000F0C10">
        <w:rPr>
          <w:lang w:val="fr-FR"/>
        </w:rPr>
        <w:t> »</w:t>
      </w:r>
      <w:r w:rsidRPr="00CC76D1">
        <w:rPr>
          <w:lang w:val="fr-FR"/>
        </w:rPr>
        <w:t xml:space="preserve">, les enfants ne sont plus astreints au travail. Ce programme est actuellement déployé dans tous les autres districts du pays en se fondant sur les enseignements et bonnes pratiques tirés de sa mise en œuvre dans le district de Ratnapura. </w:t>
      </w:r>
    </w:p>
    <w:p w:rsidR="00EC4C5A" w:rsidRPr="00CC76D1" w:rsidRDefault="00EC4C5A" w:rsidP="002949A7">
      <w:pPr>
        <w:pStyle w:val="SingleTxtG"/>
        <w:rPr>
          <w:lang w:val="fr-FR"/>
        </w:rPr>
      </w:pPr>
      <w:r w:rsidRPr="00CC76D1">
        <w:rPr>
          <w:lang w:val="fr-FR"/>
        </w:rPr>
        <w:t>82.</w:t>
      </w:r>
      <w:r w:rsidRPr="00CC76D1">
        <w:rPr>
          <w:lang w:val="fr-FR"/>
        </w:rPr>
        <w:tab/>
        <w:t>Un atelier de sensibilisation à la politique de tolérance zéro à l</w:t>
      </w:r>
      <w:r w:rsidR="00474653">
        <w:rPr>
          <w:lang w:val="fr-FR"/>
        </w:rPr>
        <w:t>’</w:t>
      </w:r>
      <w:r w:rsidRPr="00CC76D1">
        <w:rPr>
          <w:lang w:val="fr-FR"/>
        </w:rPr>
        <w:t>égard du travail des enfants a été organisé pour les professionnels des médias avec l</w:t>
      </w:r>
      <w:r w:rsidR="00474653">
        <w:rPr>
          <w:lang w:val="fr-FR"/>
        </w:rPr>
        <w:t>’</w:t>
      </w:r>
      <w:r w:rsidRPr="00CC76D1">
        <w:rPr>
          <w:lang w:val="fr-FR"/>
        </w:rPr>
        <w:t>aide de l</w:t>
      </w:r>
      <w:r w:rsidR="00474653">
        <w:rPr>
          <w:lang w:val="fr-FR"/>
        </w:rPr>
        <w:t>’</w:t>
      </w:r>
      <w:r w:rsidRPr="00CC76D1">
        <w:rPr>
          <w:lang w:val="fr-FR"/>
        </w:rPr>
        <w:t>OIT. Un autre atelier a été organisé pour les policiers rattachés aux bureaux des femmes et des enfants de la police, afin de les sensibiliser également à cette politique.</w:t>
      </w:r>
    </w:p>
    <w:p w:rsidR="00EC4C5A" w:rsidRPr="00CC76D1" w:rsidRDefault="00EC4C5A" w:rsidP="002949A7">
      <w:pPr>
        <w:pStyle w:val="SingleTxtG"/>
        <w:rPr>
          <w:lang w:val="fr-FR"/>
        </w:rPr>
      </w:pPr>
      <w:r w:rsidRPr="00CC76D1">
        <w:rPr>
          <w:lang w:val="fr-FR"/>
        </w:rPr>
        <w:t>83.</w:t>
      </w:r>
      <w:r w:rsidRPr="00CC76D1">
        <w:rPr>
          <w:lang w:val="fr-FR"/>
        </w:rPr>
        <w:tab/>
        <w:t>Les autorités administratives des districts et les autorités locales ont recensé les entreprises où sont réalisés des travaux dangereux. Ces entreprises ont été inspectées par les agents du Département du travail afin de s</w:t>
      </w:r>
      <w:r w:rsidR="000F0C10">
        <w:rPr>
          <w:lang w:val="fr-FR"/>
        </w:rPr>
        <w:t>ensibiliser les employeurs aux « </w:t>
      </w:r>
      <w:r w:rsidRPr="00CC76D1">
        <w:rPr>
          <w:lang w:val="fr-FR"/>
        </w:rPr>
        <w:t>formes dan</w:t>
      </w:r>
      <w:r w:rsidR="000F0C10">
        <w:rPr>
          <w:lang w:val="fr-FR"/>
        </w:rPr>
        <w:t>gereuses de travail des enfants »</w:t>
      </w:r>
      <w:r w:rsidRPr="00CC76D1">
        <w:rPr>
          <w:lang w:val="fr-FR"/>
        </w:rPr>
        <w:t xml:space="preserve"> et de prendre des mesures contre ceux qui emploient des enfants à des travaux dangereux. Seulement 388 inspections ont été menées pendant la période considérée et aucune n</w:t>
      </w:r>
      <w:r w:rsidR="00474653">
        <w:rPr>
          <w:lang w:val="fr-FR"/>
        </w:rPr>
        <w:t>’</w:t>
      </w:r>
      <w:r w:rsidRPr="00CC76D1">
        <w:rPr>
          <w:lang w:val="fr-FR"/>
        </w:rPr>
        <w:t>a permis de constater que des enfants étaient affectés à des travaux dangereux. Il se peut cependant que des mineurs soient employés à ce type de travaux. Davantage d</w:t>
      </w:r>
      <w:r w:rsidR="00474653">
        <w:rPr>
          <w:lang w:val="fr-FR"/>
        </w:rPr>
        <w:t>’</w:t>
      </w:r>
      <w:r w:rsidRPr="00CC76D1">
        <w:rPr>
          <w:lang w:val="fr-FR"/>
        </w:rPr>
        <w:t>inspections ont donc été prévues.</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A0" w:firstRow="1" w:lastRow="0" w:firstColumn="1" w:lastColumn="0" w:noHBand="0" w:noVBand="0"/>
      </w:tblPr>
      <w:tblGrid>
        <w:gridCol w:w="5954"/>
        <w:gridCol w:w="708"/>
        <w:gridCol w:w="708"/>
      </w:tblGrid>
      <w:tr w:rsidR="002949A7" w:rsidRPr="002949A7" w:rsidTr="003F5D0D">
        <w:trPr>
          <w:tblHeader/>
        </w:trPr>
        <w:tc>
          <w:tcPr>
            <w:tcW w:w="5954" w:type="dxa"/>
            <w:shd w:val="clear" w:color="auto" w:fill="auto"/>
            <w:vAlign w:val="bottom"/>
          </w:tcPr>
          <w:p w:rsidR="00EC4C5A" w:rsidRPr="002949A7" w:rsidRDefault="00EC4C5A" w:rsidP="002949A7">
            <w:pPr>
              <w:suppressAutoHyphens w:val="0"/>
              <w:spacing w:before="80" w:after="80" w:line="200" w:lineRule="exact"/>
              <w:rPr>
                <w:i/>
                <w:sz w:val="16"/>
                <w:lang w:val="fr-FR"/>
              </w:rPr>
            </w:pPr>
          </w:p>
        </w:tc>
        <w:tc>
          <w:tcPr>
            <w:tcW w:w="708" w:type="dxa"/>
            <w:shd w:val="clear" w:color="auto" w:fill="auto"/>
            <w:vAlign w:val="bottom"/>
          </w:tcPr>
          <w:p w:rsidR="00EC4C5A" w:rsidRPr="002949A7" w:rsidRDefault="00EC4C5A" w:rsidP="002949A7">
            <w:pPr>
              <w:suppressAutoHyphens w:val="0"/>
              <w:spacing w:before="80" w:after="80" w:line="200" w:lineRule="exact"/>
              <w:jc w:val="right"/>
              <w:rPr>
                <w:i/>
                <w:sz w:val="16"/>
                <w:szCs w:val="16"/>
                <w:lang w:val="fr-FR"/>
              </w:rPr>
            </w:pPr>
            <w:r w:rsidRPr="002949A7">
              <w:rPr>
                <w:i/>
                <w:sz w:val="16"/>
                <w:szCs w:val="16"/>
                <w:lang w:val="fr-FR"/>
              </w:rPr>
              <w:t>Objectif</w:t>
            </w:r>
          </w:p>
        </w:tc>
        <w:tc>
          <w:tcPr>
            <w:tcW w:w="708" w:type="dxa"/>
            <w:shd w:val="clear" w:color="auto" w:fill="auto"/>
            <w:vAlign w:val="bottom"/>
          </w:tcPr>
          <w:p w:rsidR="00EC4C5A" w:rsidRPr="002949A7" w:rsidRDefault="00EC4C5A" w:rsidP="002949A7">
            <w:pPr>
              <w:suppressAutoHyphens w:val="0"/>
              <w:spacing w:before="80" w:after="80" w:line="200" w:lineRule="exact"/>
              <w:jc w:val="right"/>
              <w:rPr>
                <w:i/>
                <w:sz w:val="16"/>
                <w:szCs w:val="16"/>
                <w:lang w:val="fr-FR"/>
              </w:rPr>
            </w:pPr>
            <w:r w:rsidRPr="002949A7">
              <w:rPr>
                <w:i/>
                <w:sz w:val="16"/>
                <w:szCs w:val="16"/>
                <w:lang w:val="fr-FR"/>
              </w:rPr>
              <w:t>Réalisé</w:t>
            </w:r>
          </w:p>
        </w:tc>
      </w:tr>
      <w:tr w:rsidR="002949A7" w:rsidRPr="002949A7" w:rsidTr="003F5D0D">
        <w:tc>
          <w:tcPr>
            <w:tcW w:w="5954" w:type="dxa"/>
            <w:shd w:val="clear" w:color="auto" w:fill="auto"/>
          </w:tcPr>
          <w:p w:rsidR="00EC4C5A" w:rsidRPr="002949A7" w:rsidRDefault="00EC4C5A" w:rsidP="003F5D0D">
            <w:pPr>
              <w:suppressAutoHyphens w:val="0"/>
              <w:spacing w:before="40" w:after="40" w:line="220" w:lineRule="exact"/>
              <w:rPr>
                <w:sz w:val="18"/>
                <w:szCs w:val="18"/>
                <w:lang w:val="fr-FR"/>
              </w:rPr>
            </w:pPr>
            <w:r w:rsidRPr="002949A7">
              <w:rPr>
                <w:sz w:val="18"/>
                <w:szCs w:val="18"/>
                <w:lang w:val="fr-FR"/>
              </w:rPr>
              <w:t>Nombre d</w:t>
            </w:r>
            <w:r w:rsidR="00474653">
              <w:rPr>
                <w:sz w:val="18"/>
                <w:szCs w:val="18"/>
                <w:lang w:val="fr-FR"/>
              </w:rPr>
              <w:t>’</w:t>
            </w:r>
            <w:r w:rsidRPr="002949A7">
              <w:rPr>
                <w:sz w:val="18"/>
                <w:szCs w:val="18"/>
                <w:lang w:val="fr-FR"/>
              </w:rPr>
              <w:t>inspections dans des entreprises où sont réalisés des travaux dangereux</w:t>
            </w:r>
          </w:p>
        </w:tc>
        <w:tc>
          <w:tcPr>
            <w:tcW w:w="708" w:type="dxa"/>
            <w:shd w:val="clear" w:color="auto" w:fill="auto"/>
            <w:vAlign w:val="bottom"/>
          </w:tcPr>
          <w:p w:rsidR="00EC4C5A" w:rsidRPr="002949A7" w:rsidRDefault="00EC4C5A" w:rsidP="002949A7">
            <w:pPr>
              <w:suppressAutoHyphens w:val="0"/>
              <w:spacing w:before="40" w:after="40" w:line="220" w:lineRule="exact"/>
              <w:jc w:val="right"/>
              <w:rPr>
                <w:sz w:val="18"/>
                <w:szCs w:val="18"/>
                <w:lang w:val="fr-FR"/>
              </w:rPr>
            </w:pPr>
            <w:r w:rsidRPr="002949A7">
              <w:rPr>
                <w:sz w:val="18"/>
                <w:szCs w:val="18"/>
                <w:lang w:val="fr-FR"/>
              </w:rPr>
              <w:t>450</w:t>
            </w:r>
          </w:p>
        </w:tc>
        <w:tc>
          <w:tcPr>
            <w:tcW w:w="708" w:type="dxa"/>
            <w:shd w:val="clear" w:color="auto" w:fill="auto"/>
            <w:vAlign w:val="bottom"/>
          </w:tcPr>
          <w:p w:rsidR="00EC4C5A" w:rsidRPr="002949A7" w:rsidRDefault="00EC4C5A" w:rsidP="002949A7">
            <w:pPr>
              <w:suppressAutoHyphens w:val="0"/>
              <w:spacing w:before="40" w:after="40" w:line="220" w:lineRule="exact"/>
              <w:jc w:val="right"/>
              <w:rPr>
                <w:sz w:val="18"/>
                <w:szCs w:val="18"/>
                <w:lang w:val="fr-FR"/>
              </w:rPr>
            </w:pPr>
            <w:r w:rsidRPr="002949A7">
              <w:rPr>
                <w:sz w:val="18"/>
                <w:szCs w:val="18"/>
                <w:lang w:val="fr-FR"/>
              </w:rPr>
              <w:t>380</w:t>
            </w:r>
          </w:p>
        </w:tc>
      </w:tr>
    </w:tbl>
    <w:p w:rsidR="00EC4C5A" w:rsidRPr="00CC76D1" w:rsidRDefault="00EC4C5A" w:rsidP="000F0C10">
      <w:pPr>
        <w:pStyle w:val="SingleTxtG"/>
        <w:spacing w:before="240"/>
        <w:rPr>
          <w:lang w:val="fr-FR"/>
        </w:rPr>
      </w:pPr>
      <w:r w:rsidRPr="00CC76D1">
        <w:rPr>
          <w:lang w:val="fr-FR"/>
        </w:rPr>
        <w:t>84.</w:t>
      </w:r>
      <w:r w:rsidRPr="00CC76D1">
        <w:rPr>
          <w:lang w:val="fr-FR"/>
        </w:rPr>
        <w:tab/>
        <w:t>Entre janvier et septembre 2016, 24 778 inspections de routine (y compris des inspections concernant le travail des enfants) ont été effectuées par des inspecteurs du travail dans les différents districts.</w:t>
      </w:r>
    </w:p>
    <w:p w:rsidR="00EC4C5A" w:rsidRPr="00CC76D1" w:rsidRDefault="00EC4C5A" w:rsidP="002949A7">
      <w:pPr>
        <w:pStyle w:val="SingleTxtG"/>
        <w:rPr>
          <w:lang w:val="fr-FR"/>
        </w:rPr>
      </w:pPr>
      <w:r w:rsidRPr="00CC76D1">
        <w:rPr>
          <w:lang w:val="fr-FR"/>
        </w:rPr>
        <w:t>85.</w:t>
      </w:r>
      <w:r w:rsidRPr="00CC76D1">
        <w:rPr>
          <w:lang w:val="fr-FR"/>
        </w:rPr>
        <w:tab/>
        <w:t>La Division des affaires féminines et de l</w:t>
      </w:r>
      <w:r w:rsidR="00474653">
        <w:rPr>
          <w:lang w:val="fr-FR"/>
        </w:rPr>
        <w:t>’</w:t>
      </w:r>
      <w:r w:rsidRPr="00CC76D1">
        <w:rPr>
          <w:lang w:val="fr-FR"/>
        </w:rPr>
        <w:t>enfance du Département du travail a collaboré étroitement avec l</w:t>
      </w:r>
      <w:r w:rsidR="00474653">
        <w:rPr>
          <w:lang w:val="fr-FR"/>
        </w:rPr>
        <w:t>’</w:t>
      </w:r>
      <w:r w:rsidRPr="00CC76D1">
        <w:rPr>
          <w:lang w:val="fr-FR"/>
        </w:rPr>
        <w:t>OIT pour mettre en œuvre le projet CLEAR de mobilisation et d</w:t>
      </w:r>
      <w:r w:rsidR="00474653">
        <w:rPr>
          <w:lang w:val="fr-FR"/>
        </w:rPr>
        <w:t>’</w:t>
      </w:r>
      <w:r w:rsidRPr="00CC76D1">
        <w:rPr>
          <w:lang w:val="fr-FR"/>
        </w:rPr>
        <w:t>assistance, mené à l</w:t>
      </w:r>
      <w:r w:rsidR="00474653">
        <w:rPr>
          <w:lang w:val="fr-FR"/>
        </w:rPr>
        <w:t>’</w:t>
      </w:r>
      <w:r w:rsidRPr="00CC76D1">
        <w:rPr>
          <w:lang w:val="fr-FR"/>
        </w:rPr>
        <w:t>échelle de plusieurs pays, pour réduire le travail des enfants.</w:t>
      </w:r>
    </w:p>
    <w:p w:rsidR="00EC4C5A" w:rsidRPr="00CC76D1" w:rsidRDefault="00EC4C5A" w:rsidP="002949A7">
      <w:pPr>
        <w:pStyle w:val="SingleTxtG"/>
        <w:rPr>
          <w:lang w:val="fr-FR"/>
        </w:rPr>
      </w:pPr>
      <w:r w:rsidRPr="00CC76D1">
        <w:rPr>
          <w:lang w:val="fr-FR"/>
        </w:rPr>
        <w:t>86.</w:t>
      </w:r>
      <w:r w:rsidRPr="00CC76D1">
        <w:rPr>
          <w:lang w:val="fr-FR"/>
        </w:rPr>
        <w:tab/>
        <w:t>Le pourcentage d</w:t>
      </w:r>
      <w:r w:rsidR="00474653">
        <w:rPr>
          <w:lang w:val="fr-FR"/>
        </w:rPr>
        <w:t>’</w:t>
      </w:r>
      <w:r w:rsidRPr="00CC76D1">
        <w:rPr>
          <w:lang w:val="fr-FR"/>
        </w:rPr>
        <w:t>enfants affectés à des travaux dangereux a considérablement diminué, passant de 1,5</w:t>
      </w:r>
      <w:r w:rsidR="004F53AE">
        <w:rPr>
          <w:lang w:val="fr-FR"/>
        </w:rPr>
        <w:t> </w:t>
      </w:r>
      <w:r w:rsidRPr="00CC76D1">
        <w:rPr>
          <w:lang w:val="fr-FR"/>
        </w:rPr>
        <w:t>% en 2009 à 0,9</w:t>
      </w:r>
      <w:r w:rsidR="004F53AE">
        <w:rPr>
          <w:lang w:val="fr-FR"/>
        </w:rPr>
        <w:t> </w:t>
      </w:r>
      <w:r w:rsidRPr="00CC76D1">
        <w:rPr>
          <w:lang w:val="fr-FR"/>
        </w:rPr>
        <w:t>% en 2016, selon les estimations de la population infantile (enfants âgés de 5 à 17 ans)</w:t>
      </w:r>
      <w:r w:rsidRPr="00903796">
        <w:rPr>
          <w:rStyle w:val="Appelnotedebasdep"/>
        </w:rPr>
        <w:footnoteReference w:id="12"/>
      </w:r>
      <w:r w:rsidR="004F53AE">
        <w:t>.</w:t>
      </w:r>
      <w:r w:rsidRPr="00CC76D1">
        <w:rPr>
          <w:lang w:val="fr-FR"/>
        </w:rPr>
        <w:t xml:space="preserve"> D</w:t>
      </w:r>
      <w:r w:rsidR="00474653">
        <w:rPr>
          <w:lang w:val="fr-FR"/>
        </w:rPr>
        <w:t>’</w:t>
      </w:r>
      <w:r w:rsidRPr="00CC76D1">
        <w:rPr>
          <w:lang w:val="fr-FR"/>
        </w:rPr>
        <w:t>après le rapport en question, aucun enfant âgé entre 5 et 11 ans n</w:t>
      </w:r>
      <w:r w:rsidR="00474653">
        <w:rPr>
          <w:lang w:val="fr-FR"/>
        </w:rPr>
        <w:t>’</w:t>
      </w:r>
      <w:r w:rsidRPr="00CC76D1">
        <w:rPr>
          <w:lang w:val="fr-FR"/>
        </w:rPr>
        <w:t>est employé à des travaux dangereux et sur les 0,9</w:t>
      </w:r>
      <w:r w:rsidR="004F53AE">
        <w:rPr>
          <w:lang w:val="fr-FR"/>
        </w:rPr>
        <w:t> </w:t>
      </w:r>
      <w:r w:rsidRPr="00CC76D1">
        <w:rPr>
          <w:lang w:val="fr-FR"/>
        </w:rPr>
        <w:t xml:space="preserve">% qui le sont, la majorité est âgée entre 15 et 17 ans. </w:t>
      </w:r>
    </w:p>
    <w:p w:rsidR="00EC4C5A" w:rsidRPr="00CC76D1" w:rsidRDefault="00EC4C5A" w:rsidP="002949A7">
      <w:pPr>
        <w:pStyle w:val="SingleTxtG"/>
        <w:rPr>
          <w:lang w:val="fr-FR"/>
        </w:rPr>
      </w:pPr>
      <w:r w:rsidRPr="00CC76D1">
        <w:rPr>
          <w:lang w:val="fr-FR"/>
        </w:rPr>
        <w:t>87.</w:t>
      </w:r>
      <w:r w:rsidRPr="00CC76D1">
        <w:rPr>
          <w:lang w:val="fr-FR"/>
        </w:rPr>
        <w:tab/>
        <w:t>La Politique nationale sur l</w:t>
      </w:r>
      <w:r w:rsidR="00474653">
        <w:rPr>
          <w:lang w:val="fr-FR"/>
        </w:rPr>
        <w:t>’</w:t>
      </w:r>
      <w:r w:rsidRPr="00CC76D1">
        <w:rPr>
          <w:lang w:val="fr-FR"/>
        </w:rPr>
        <w:t>élimination du travail des enfants a été approuvée par le Conseil des ministres. Un plan d</w:t>
      </w:r>
      <w:r w:rsidR="00474653">
        <w:rPr>
          <w:lang w:val="fr-FR"/>
        </w:rPr>
        <w:t>’</w:t>
      </w:r>
      <w:r w:rsidRPr="00CC76D1">
        <w:rPr>
          <w:lang w:val="fr-FR"/>
        </w:rPr>
        <w:t>action sera établi très prochainement pour mettre en œuvre cette politique. L</w:t>
      </w:r>
      <w:r w:rsidR="00474653">
        <w:rPr>
          <w:lang w:val="fr-FR"/>
        </w:rPr>
        <w:t>’</w:t>
      </w:r>
      <w:r w:rsidRPr="00CC76D1">
        <w:rPr>
          <w:lang w:val="fr-FR"/>
        </w:rPr>
        <w:t>ordonnance sur le règlement relatif à la scolarité obligatoire du Ministère de l</w:t>
      </w:r>
      <w:r w:rsidR="00474653">
        <w:rPr>
          <w:lang w:val="fr-FR"/>
        </w:rPr>
        <w:t>’</w:t>
      </w:r>
      <w:r w:rsidRPr="00CC76D1">
        <w:rPr>
          <w:lang w:val="fr-FR"/>
        </w:rPr>
        <w:t>éducation ayant fait passer l</w:t>
      </w:r>
      <w:r w:rsidR="00474653">
        <w:rPr>
          <w:lang w:val="fr-FR"/>
        </w:rPr>
        <w:t>’</w:t>
      </w:r>
      <w:r w:rsidRPr="00CC76D1">
        <w:rPr>
          <w:lang w:val="fr-FR"/>
        </w:rPr>
        <w:t>âge limite de la scolarité obligatoire de 14 à 16 ans, le Ministère du travail prévoit également de relever dans les mêmes proportions l</w:t>
      </w:r>
      <w:r w:rsidR="00474653">
        <w:rPr>
          <w:lang w:val="fr-FR"/>
        </w:rPr>
        <w:t>’</w:t>
      </w:r>
      <w:r w:rsidRPr="00CC76D1">
        <w:rPr>
          <w:lang w:val="fr-FR"/>
        </w:rPr>
        <w:t>âge minimum d</w:t>
      </w:r>
      <w:r w:rsidR="00474653">
        <w:rPr>
          <w:lang w:val="fr-FR"/>
        </w:rPr>
        <w:t>’</w:t>
      </w:r>
      <w:r w:rsidRPr="00CC76D1">
        <w:rPr>
          <w:lang w:val="fr-FR"/>
        </w:rPr>
        <w:t>admission à l</w:t>
      </w:r>
      <w:r w:rsidR="00474653">
        <w:rPr>
          <w:lang w:val="fr-FR"/>
        </w:rPr>
        <w:t>’</w:t>
      </w:r>
      <w:r w:rsidRPr="00CC76D1">
        <w:rPr>
          <w:lang w:val="fr-FR"/>
        </w:rPr>
        <w:t xml:space="preserve">emploi. </w:t>
      </w:r>
    </w:p>
    <w:p w:rsidR="00EC4C5A" w:rsidRPr="00CC76D1" w:rsidRDefault="00EC4C5A" w:rsidP="002949A7">
      <w:pPr>
        <w:pStyle w:val="SingleTxtG"/>
        <w:keepNext/>
        <w:keepLines/>
        <w:rPr>
          <w:lang w:val="fr-FR"/>
        </w:rPr>
      </w:pPr>
      <w:r w:rsidRPr="00CC76D1">
        <w:rPr>
          <w:lang w:val="fr-FR"/>
        </w:rPr>
        <w:lastRenderedPageBreak/>
        <w:t>88.</w:t>
      </w:r>
      <w:r w:rsidRPr="00CC76D1">
        <w:rPr>
          <w:lang w:val="fr-FR"/>
        </w:rPr>
        <w:tab/>
        <w:t>Le Département du travail a collaboré avec le Département du recensement et des statistiques sur certains aspects de l</w:t>
      </w:r>
      <w:r w:rsidR="00474653">
        <w:rPr>
          <w:lang w:val="fr-FR"/>
        </w:rPr>
        <w:t>’</w:t>
      </w:r>
      <w:r w:rsidRPr="00CC76D1">
        <w:rPr>
          <w:lang w:val="fr-FR"/>
        </w:rPr>
        <w:t>enquête de 2016 sur le travail des enfants, dont les résultats ont fait l</w:t>
      </w:r>
      <w:r w:rsidR="00474653">
        <w:rPr>
          <w:lang w:val="fr-FR"/>
        </w:rPr>
        <w:t>’</w:t>
      </w:r>
      <w:r w:rsidRPr="00CC76D1">
        <w:rPr>
          <w:lang w:val="fr-FR"/>
        </w:rPr>
        <w:t>objet d</w:t>
      </w:r>
      <w:r w:rsidR="00474653">
        <w:rPr>
          <w:lang w:val="fr-FR"/>
        </w:rPr>
        <w:t>’</w:t>
      </w:r>
      <w:r w:rsidRPr="00CC76D1">
        <w:rPr>
          <w:lang w:val="fr-FR"/>
        </w:rPr>
        <w:t>une publication officielle. La situation en matière de travail des enfants s</w:t>
      </w:r>
      <w:r w:rsidR="00474653">
        <w:rPr>
          <w:lang w:val="fr-FR"/>
        </w:rPr>
        <w:t>’</w:t>
      </w:r>
      <w:r w:rsidRPr="00CC76D1">
        <w:rPr>
          <w:lang w:val="fr-FR"/>
        </w:rPr>
        <w:t>est améliorée et seulement 1</w:t>
      </w:r>
      <w:r w:rsidR="004F53AE">
        <w:rPr>
          <w:lang w:val="fr-FR"/>
        </w:rPr>
        <w:t> </w:t>
      </w:r>
      <w:r w:rsidRPr="00CC76D1">
        <w:rPr>
          <w:lang w:val="fr-FR"/>
        </w:rPr>
        <w:t>% de la population infantile estimée (de 5 à 17 ans) travaille.</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108"/>
        <w:gridCol w:w="1016"/>
        <w:gridCol w:w="707"/>
        <w:gridCol w:w="1085"/>
        <w:gridCol w:w="669"/>
        <w:gridCol w:w="1168"/>
        <w:gridCol w:w="752"/>
      </w:tblGrid>
      <w:tr w:rsidR="00EC4C5A" w:rsidRPr="00CC76D1" w:rsidTr="00416528">
        <w:trPr>
          <w:tblHeader/>
        </w:trPr>
        <w:tc>
          <w:tcPr>
            <w:tcW w:w="2693" w:type="dxa"/>
            <w:vMerge w:val="restart"/>
            <w:tcBorders>
              <w:top w:val="single" w:sz="4" w:space="0" w:color="auto"/>
              <w:bottom w:val="single" w:sz="12" w:space="0" w:color="auto"/>
            </w:tcBorders>
            <w:vAlign w:val="bottom"/>
          </w:tcPr>
          <w:p w:rsidR="00EC4C5A" w:rsidRPr="00416528" w:rsidRDefault="00EC4C5A" w:rsidP="00416528">
            <w:pPr>
              <w:spacing w:before="80" w:after="80" w:line="200" w:lineRule="exact"/>
              <w:rPr>
                <w:i/>
                <w:sz w:val="16"/>
                <w:szCs w:val="16"/>
                <w:lang w:val="fr-FR"/>
              </w:rPr>
            </w:pPr>
            <w:r w:rsidRPr="00416528">
              <w:rPr>
                <w:i/>
                <w:sz w:val="16"/>
                <w:szCs w:val="16"/>
                <w:lang w:val="fr-FR"/>
              </w:rPr>
              <w:t>Principaux indicateurs</w:t>
            </w:r>
          </w:p>
        </w:tc>
        <w:tc>
          <w:tcPr>
            <w:tcW w:w="4677" w:type="dxa"/>
            <w:gridSpan w:val="6"/>
            <w:tcBorders>
              <w:top w:val="single" w:sz="4" w:space="0" w:color="auto"/>
              <w:bottom w:val="single" w:sz="4" w:space="0" w:color="auto"/>
            </w:tcBorders>
            <w:vAlign w:val="bottom"/>
          </w:tcPr>
          <w:p w:rsidR="00EC4C5A" w:rsidRPr="00416528" w:rsidRDefault="00EC4C5A" w:rsidP="00416528">
            <w:pPr>
              <w:spacing w:before="80" w:after="80" w:line="200" w:lineRule="exact"/>
              <w:jc w:val="right"/>
              <w:rPr>
                <w:i/>
                <w:sz w:val="16"/>
                <w:szCs w:val="16"/>
                <w:lang w:val="fr-FR"/>
              </w:rPr>
            </w:pPr>
            <w:r w:rsidRPr="00416528">
              <w:rPr>
                <w:i/>
                <w:sz w:val="16"/>
                <w:szCs w:val="16"/>
                <w:lang w:val="fr-FR"/>
              </w:rPr>
              <w:t>Année de l</w:t>
            </w:r>
            <w:r w:rsidR="00474653" w:rsidRPr="00416528">
              <w:rPr>
                <w:i/>
                <w:sz w:val="16"/>
                <w:szCs w:val="16"/>
                <w:lang w:val="fr-FR"/>
              </w:rPr>
              <w:t>’</w:t>
            </w:r>
            <w:r w:rsidRPr="00416528">
              <w:rPr>
                <w:i/>
                <w:sz w:val="16"/>
                <w:szCs w:val="16"/>
                <w:lang w:val="fr-FR"/>
              </w:rPr>
              <w:t>enquête</w:t>
            </w:r>
          </w:p>
        </w:tc>
      </w:tr>
      <w:tr w:rsidR="00EC4C5A" w:rsidRPr="00CC76D1" w:rsidTr="00416528">
        <w:trPr>
          <w:tblHeader/>
        </w:trPr>
        <w:tc>
          <w:tcPr>
            <w:tcW w:w="2693" w:type="dxa"/>
            <w:vMerge/>
            <w:tcBorders>
              <w:top w:val="single" w:sz="12" w:space="0" w:color="auto"/>
              <w:bottom w:val="single" w:sz="12" w:space="0" w:color="auto"/>
            </w:tcBorders>
            <w:vAlign w:val="bottom"/>
          </w:tcPr>
          <w:p w:rsidR="00EC4C5A" w:rsidRPr="00416528" w:rsidRDefault="00EC4C5A" w:rsidP="00416528">
            <w:pPr>
              <w:spacing w:before="80" w:after="80" w:line="200" w:lineRule="exact"/>
              <w:rPr>
                <w:i/>
                <w:sz w:val="16"/>
                <w:szCs w:val="16"/>
                <w:lang w:val="fr-FR"/>
              </w:rPr>
            </w:pPr>
          </w:p>
        </w:tc>
        <w:tc>
          <w:tcPr>
            <w:tcW w:w="1493" w:type="dxa"/>
            <w:gridSpan w:val="2"/>
            <w:tcBorders>
              <w:top w:val="single" w:sz="4" w:space="0" w:color="auto"/>
              <w:bottom w:val="single" w:sz="4" w:space="0" w:color="auto"/>
            </w:tcBorders>
            <w:vAlign w:val="bottom"/>
          </w:tcPr>
          <w:p w:rsidR="00EC4C5A" w:rsidRPr="00416528" w:rsidRDefault="00EC4C5A" w:rsidP="00DF5790">
            <w:pPr>
              <w:spacing w:before="80" w:after="80" w:line="200" w:lineRule="exact"/>
              <w:jc w:val="center"/>
              <w:rPr>
                <w:i/>
                <w:sz w:val="16"/>
                <w:szCs w:val="16"/>
                <w:lang w:val="fr-FR"/>
              </w:rPr>
            </w:pPr>
            <w:r w:rsidRPr="00416528">
              <w:rPr>
                <w:i/>
                <w:sz w:val="16"/>
                <w:szCs w:val="16"/>
                <w:lang w:val="fr-FR"/>
              </w:rPr>
              <w:t>1999*</w:t>
            </w:r>
          </w:p>
        </w:tc>
        <w:tc>
          <w:tcPr>
            <w:tcW w:w="1520" w:type="dxa"/>
            <w:gridSpan w:val="2"/>
            <w:tcBorders>
              <w:top w:val="single" w:sz="4" w:space="0" w:color="auto"/>
              <w:bottom w:val="single" w:sz="4" w:space="0" w:color="auto"/>
            </w:tcBorders>
            <w:vAlign w:val="bottom"/>
          </w:tcPr>
          <w:p w:rsidR="00EC4C5A" w:rsidRPr="00416528" w:rsidRDefault="00EC4C5A" w:rsidP="00DF5790">
            <w:pPr>
              <w:spacing w:before="80" w:after="80" w:line="200" w:lineRule="exact"/>
              <w:jc w:val="center"/>
              <w:rPr>
                <w:i/>
                <w:sz w:val="16"/>
                <w:szCs w:val="16"/>
                <w:lang w:val="fr-FR"/>
              </w:rPr>
            </w:pPr>
            <w:r w:rsidRPr="00416528">
              <w:rPr>
                <w:i/>
                <w:sz w:val="16"/>
                <w:szCs w:val="16"/>
                <w:lang w:val="fr-FR"/>
              </w:rPr>
              <w:t>2008-2009**</w:t>
            </w:r>
          </w:p>
        </w:tc>
        <w:tc>
          <w:tcPr>
            <w:tcW w:w="1664" w:type="dxa"/>
            <w:gridSpan w:val="2"/>
            <w:tcBorders>
              <w:top w:val="single" w:sz="4" w:space="0" w:color="auto"/>
              <w:bottom w:val="single" w:sz="4" w:space="0" w:color="auto"/>
            </w:tcBorders>
            <w:vAlign w:val="bottom"/>
          </w:tcPr>
          <w:p w:rsidR="00EC4C5A" w:rsidRPr="00416528" w:rsidRDefault="00EC4C5A" w:rsidP="00DF5790">
            <w:pPr>
              <w:spacing w:before="80" w:after="80" w:line="200" w:lineRule="exact"/>
              <w:jc w:val="center"/>
              <w:rPr>
                <w:i/>
                <w:sz w:val="16"/>
                <w:szCs w:val="16"/>
                <w:lang w:val="fr-FR"/>
              </w:rPr>
            </w:pPr>
            <w:r w:rsidRPr="00416528">
              <w:rPr>
                <w:i/>
                <w:sz w:val="16"/>
                <w:szCs w:val="16"/>
                <w:lang w:val="fr-FR"/>
              </w:rPr>
              <w:t>2016#</w:t>
            </w:r>
          </w:p>
        </w:tc>
      </w:tr>
      <w:tr w:rsidR="00EC4C5A" w:rsidRPr="00CC76D1" w:rsidTr="00416528">
        <w:trPr>
          <w:tblHeader/>
        </w:trPr>
        <w:tc>
          <w:tcPr>
            <w:tcW w:w="2693" w:type="dxa"/>
            <w:vMerge/>
            <w:tcBorders>
              <w:bottom w:val="single" w:sz="12" w:space="0" w:color="auto"/>
            </w:tcBorders>
            <w:vAlign w:val="bottom"/>
          </w:tcPr>
          <w:p w:rsidR="00EC4C5A" w:rsidRPr="00416528" w:rsidRDefault="00EC4C5A" w:rsidP="00416528">
            <w:pPr>
              <w:spacing w:before="80" w:after="80" w:line="200" w:lineRule="exact"/>
              <w:rPr>
                <w:i/>
                <w:sz w:val="16"/>
                <w:szCs w:val="16"/>
                <w:lang w:val="fr-FR"/>
              </w:rPr>
            </w:pPr>
          </w:p>
        </w:tc>
        <w:tc>
          <w:tcPr>
            <w:tcW w:w="880" w:type="dxa"/>
            <w:tcBorders>
              <w:top w:val="single" w:sz="4" w:space="0" w:color="auto"/>
              <w:bottom w:val="single" w:sz="12" w:space="0" w:color="auto"/>
            </w:tcBorders>
            <w:vAlign w:val="bottom"/>
          </w:tcPr>
          <w:p w:rsidR="00EC4C5A" w:rsidRPr="00416528" w:rsidRDefault="00EC4C5A" w:rsidP="00416528">
            <w:pPr>
              <w:spacing w:before="80" w:after="80" w:line="200" w:lineRule="exact"/>
              <w:jc w:val="right"/>
              <w:rPr>
                <w:i/>
                <w:sz w:val="16"/>
                <w:szCs w:val="16"/>
                <w:lang w:val="fr-FR"/>
              </w:rPr>
            </w:pPr>
            <w:r w:rsidRPr="00416528">
              <w:rPr>
                <w:i/>
                <w:sz w:val="16"/>
                <w:szCs w:val="16"/>
                <w:lang w:val="fr-FR"/>
              </w:rPr>
              <w:t>Nombre</w:t>
            </w:r>
          </w:p>
        </w:tc>
        <w:tc>
          <w:tcPr>
            <w:tcW w:w="613" w:type="dxa"/>
            <w:tcBorders>
              <w:top w:val="single" w:sz="4" w:space="0" w:color="auto"/>
              <w:bottom w:val="single" w:sz="12" w:space="0" w:color="auto"/>
            </w:tcBorders>
            <w:vAlign w:val="bottom"/>
          </w:tcPr>
          <w:p w:rsidR="00EC4C5A" w:rsidRPr="00416528" w:rsidRDefault="00EC4C5A" w:rsidP="00416528">
            <w:pPr>
              <w:spacing w:before="80" w:after="80" w:line="200" w:lineRule="exact"/>
              <w:jc w:val="right"/>
              <w:rPr>
                <w:i/>
                <w:sz w:val="16"/>
                <w:szCs w:val="16"/>
                <w:lang w:val="fr-FR"/>
              </w:rPr>
            </w:pPr>
            <w:r w:rsidRPr="00416528">
              <w:rPr>
                <w:i/>
                <w:sz w:val="16"/>
                <w:szCs w:val="16"/>
                <w:lang w:val="fr-FR"/>
              </w:rPr>
              <w:t>%</w:t>
            </w:r>
          </w:p>
        </w:tc>
        <w:tc>
          <w:tcPr>
            <w:tcW w:w="940" w:type="dxa"/>
            <w:tcBorders>
              <w:top w:val="single" w:sz="4" w:space="0" w:color="auto"/>
              <w:bottom w:val="single" w:sz="12" w:space="0" w:color="auto"/>
            </w:tcBorders>
            <w:vAlign w:val="bottom"/>
          </w:tcPr>
          <w:p w:rsidR="00EC4C5A" w:rsidRPr="00416528" w:rsidRDefault="00EC4C5A" w:rsidP="00416528">
            <w:pPr>
              <w:spacing w:before="80" w:after="80" w:line="200" w:lineRule="exact"/>
              <w:jc w:val="right"/>
              <w:rPr>
                <w:i/>
                <w:sz w:val="16"/>
                <w:szCs w:val="16"/>
                <w:lang w:val="fr-FR"/>
              </w:rPr>
            </w:pPr>
            <w:r w:rsidRPr="00416528">
              <w:rPr>
                <w:i/>
                <w:sz w:val="16"/>
                <w:szCs w:val="16"/>
                <w:lang w:val="fr-FR"/>
              </w:rPr>
              <w:t>Nombre</w:t>
            </w:r>
          </w:p>
        </w:tc>
        <w:tc>
          <w:tcPr>
            <w:tcW w:w="580" w:type="dxa"/>
            <w:tcBorders>
              <w:top w:val="single" w:sz="4" w:space="0" w:color="auto"/>
              <w:bottom w:val="single" w:sz="12" w:space="0" w:color="auto"/>
            </w:tcBorders>
            <w:vAlign w:val="bottom"/>
          </w:tcPr>
          <w:p w:rsidR="00EC4C5A" w:rsidRPr="00416528" w:rsidRDefault="00EC4C5A" w:rsidP="00416528">
            <w:pPr>
              <w:spacing w:before="80" w:after="80" w:line="200" w:lineRule="exact"/>
              <w:jc w:val="right"/>
              <w:rPr>
                <w:i/>
                <w:sz w:val="16"/>
                <w:szCs w:val="16"/>
                <w:lang w:val="fr-FR"/>
              </w:rPr>
            </w:pPr>
            <w:r w:rsidRPr="00416528">
              <w:rPr>
                <w:i/>
                <w:sz w:val="16"/>
                <w:szCs w:val="16"/>
                <w:lang w:val="fr-FR"/>
              </w:rPr>
              <w:t>%</w:t>
            </w:r>
          </w:p>
        </w:tc>
        <w:tc>
          <w:tcPr>
            <w:tcW w:w="1012" w:type="dxa"/>
            <w:tcBorders>
              <w:top w:val="single" w:sz="4" w:space="0" w:color="auto"/>
              <w:bottom w:val="single" w:sz="12" w:space="0" w:color="auto"/>
            </w:tcBorders>
            <w:vAlign w:val="bottom"/>
          </w:tcPr>
          <w:p w:rsidR="00EC4C5A" w:rsidRPr="00416528" w:rsidRDefault="00EC4C5A" w:rsidP="00416528">
            <w:pPr>
              <w:spacing w:before="80" w:after="80" w:line="200" w:lineRule="exact"/>
              <w:jc w:val="right"/>
              <w:rPr>
                <w:i/>
                <w:sz w:val="16"/>
                <w:szCs w:val="16"/>
                <w:lang w:val="fr-FR"/>
              </w:rPr>
            </w:pPr>
            <w:r w:rsidRPr="00416528">
              <w:rPr>
                <w:i/>
                <w:sz w:val="16"/>
                <w:szCs w:val="16"/>
                <w:lang w:val="fr-FR"/>
              </w:rPr>
              <w:t>Nombre</w:t>
            </w:r>
          </w:p>
        </w:tc>
        <w:tc>
          <w:tcPr>
            <w:tcW w:w="652" w:type="dxa"/>
            <w:tcBorders>
              <w:top w:val="single" w:sz="4" w:space="0" w:color="auto"/>
              <w:bottom w:val="single" w:sz="12" w:space="0" w:color="auto"/>
            </w:tcBorders>
            <w:vAlign w:val="bottom"/>
          </w:tcPr>
          <w:p w:rsidR="00EC4C5A" w:rsidRPr="00416528" w:rsidRDefault="00EC4C5A" w:rsidP="00416528">
            <w:pPr>
              <w:spacing w:before="80" w:after="80" w:line="200" w:lineRule="exact"/>
              <w:jc w:val="right"/>
              <w:rPr>
                <w:i/>
                <w:sz w:val="16"/>
                <w:szCs w:val="16"/>
                <w:lang w:val="fr-FR"/>
              </w:rPr>
            </w:pPr>
            <w:r w:rsidRPr="00416528">
              <w:rPr>
                <w:sz w:val="16"/>
                <w:szCs w:val="16"/>
                <w:lang w:val="fr-FR"/>
              </w:rPr>
              <w:t>%</w:t>
            </w:r>
          </w:p>
        </w:tc>
      </w:tr>
      <w:tr w:rsidR="00EC4C5A" w:rsidRPr="00CC76D1" w:rsidTr="00416528">
        <w:tc>
          <w:tcPr>
            <w:tcW w:w="2693" w:type="dxa"/>
            <w:tcBorders>
              <w:top w:val="single" w:sz="12" w:space="0" w:color="auto"/>
            </w:tcBorders>
          </w:tcPr>
          <w:p w:rsidR="00EC4C5A" w:rsidRPr="00CC76D1" w:rsidRDefault="00EC4C5A" w:rsidP="00416528">
            <w:pPr>
              <w:spacing w:before="40" w:after="40" w:line="220" w:lineRule="exact"/>
              <w:rPr>
                <w:sz w:val="18"/>
                <w:szCs w:val="18"/>
                <w:lang w:val="fr-FR"/>
              </w:rPr>
            </w:pPr>
            <w:r w:rsidRPr="00CC76D1">
              <w:rPr>
                <w:sz w:val="18"/>
                <w:szCs w:val="18"/>
                <w:lang w:val="fr-FR"/>
              </w:rPr>
              <w:t>Population infantile</w:t>
            </w:r>
          </w:p>
        </w:tc>
        <w:tc>
          <w:tcPr>
            <w:tcW w:w="880" w:type="dxa"/>
            <w:tcBorders>
              <w:top w:val="single" w:sz="12" w:space="0" w:color="auto"/>
            </w:tcBorders>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 xml:space="preserve"> </w:t>
            </w:r>
          </w:p>
        </w:tc>
        <w:tc>
          <w:tcPr>
            <w:tcW w:w="613" w:type="dxa"/>
            <w:tcBorders>
              <w:top w:val="single" w:sz="12" w:space="0" w:color="auto"/>
            </w:tcBorders>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 xml:space="preserve"> </w:t>
            </w:r>
          </w:p>
        </w:tc>
        <w:tc>
          <w:tcPr>
            <w:tcW w:w="940" w:type="dxa"/>
            <w:tcBorders>
              <w:top w:val="single" w:sz="12" w:space="0" w:color="auto"/>
            </w:tcBorders>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 xml:space="preserve"> </w:t>
            </w:r>
          </w:p>
        </w:tc>
        <w:tc>
          <w:tcPr>
            <w:tcW w:w="580" w:type="dxa"/>
            <w:tcBorders>
              <w:top w:val="single" w:sz="12" w:space="0" w:color="auto"/>
            </w:tcBorders>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 xml:space="preserve"> </w:t>
            </w:r>
          </w:p>
        </w:tc>
        <w:tc>
          <w:tcPr>
            <w:tcW w:w="1012" w:type="dxa"/>
            <w:tcBorders>
              <w:top w:val="single" w:sz="12" w:space="0" w:color="auto"/>
            </w:tcBorders>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 xml:space="preserve"> </w:t>
            </w:r>
          </w:p>
        </w:tc>
        <w:tc>
          <w:tcPr>
            <w:tcW w:w="652" w:type="dxa"/>
            <w:tcBorders>
              <w:top w:val="single" w:sz="12" w:space="0" w:color="auto"/>
            </w:tcBorders>
            <w:vAlign w:val="bottom"/>
          </w:tcPr>
          <w:p w:rsidR="00EC4C5A" w:rsidRPr="00CC76D1" w:rsidRDefault="00EC4C5A" w:rsidP="00416528">
            <w:pPr>
              <w:spacing w:before="40" w:after="40" w:line="220" w:lineRule="exact"/>
              <w:jc w:val="right"/>
              <w:rPr>
                <w:sz w:val="18"/>
                <w:lang w:val="fr-FR"/>
              </w:rPr>
            </w:pPr>
            <w:r w:rsidRPr="00CC76D1">
              <w:rPr>
                <w:sz w:val="18"/>
                <w:lang w:val="fr-FR"/>
              </w:rPr>
              <w:t xml:space="preserve"> </w:t>
            </w:r>
          </w:p>
        </w:tc>
      </w:tr>
      <w:tr w:rsidR="00EC4C5A" w:rsidRPr="00CC76D1" w:rsidTr="00416528">
        <w:tc>
          <w:tcPr>
            <w:tcW w:w="2693" w:type="dxa"/>
          </w:tcPr>
          <w:p w:rsidR="00EC4C5A" w:rsidRPr="00CC76D1" w:rsidRDefault="00EC4C5A" w:rsidP="00416528">
            <w:pPr>
              <w:spacing w:before="40" w:after="40" w:line="220" w:lineRule="exact"/>
              <w:rPr>
                <w:sz w:val="18"/>
                <w:szCs w:val="18"/>
                <w:lang w:val="fr-FR"/>
              </w:rPr>
            </w:pPr>
            <w:r w:rsidRPr="00CC76D1">
              <w:rPr>
                <w:sz w:val="18"/>
                <w:szCs w:val="18"/>
                <w:lang w:val="fr-FR"/>
              </w:rPr>
              <w:t>Estimation du nombre d</w:t>
            </w:r>
            <w:r w:rsidR="00474653">
              <w:rPr>
                <w:sz w:val="18"/>
                <w:szCs w:val="18"/>
                <w:lang w:val="fr-FR"/>
              </w:rPr>
              <w:t>’</w:t>
            </w:r>
            <w:r w:rsidRPr="00CC76D1">
              <w:rPr>
                <w:sz w:val="18"/>
                <w:szCs w:val="18"/>
                <w:lang w:val="fr-FR"/>
              </w:rPr>
              <w:t>enfants âgés de 5 à 17 ans</w:t>
            </w:r>
          </w:p>
        </w:tc>
        <w:tc>
          <w:tcPr>
            <w:tcW w:w="880"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4 344 770</w:t>
            </w:r>
          </w:p>
        </w:tc>
        <w:tc>
          <w:tcPr>
            <w:tcW w:w="613"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100</w:t>
            </w:r>
          </w:p>
        </w:tc>
        <w:tc>
          <w:tcPr>
            <w:tcW w:w="940"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4 338 709</w:t>
            </w:r>
          </w:p>
        </w:tc>
        <w:tc>
          <w:tcPr>
            <w:tcW w:w="580"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100</w:t>
            </w:r>
          </w:p>
        </w:tc>
        <w:tc>
          <w:tcPr>
            <w:tcW w:w="1012"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4 571 442</w:t>
            </w:r>
          </w:p>
        </w:tc>
        <w:tc>
          <w:tcPr>
            <w:tcW w:w="652" w:type="dxa"/>
            <w:vAlign w:val="bottom"/>
          </w:tcPr>
          <w:p w:rsidR="00EC4C5A" w:rsidRPr="00CC76D1" w:rsidRDefault="00EC4C5A" w:rsidP="00416528">
            <w:pPr>
              <w:spacing w:before="40" w:after="40" w:line="220" w:lineRule="exact"/>
              <w:jc w:val="right"/>
              <w:rPr>
                <w:sz w:val="18"/>
                <w:lang w:val="fr-FR"/>
              </w:rPr>
            </w:pPr>
            <w:r w:rsidRPr="00CC76D1">
              <w:rPr>
                <w:lang w:val="fr-FR"/>
              </w:rPr>
              <w:t>100</w:t>
            </w:r>
          </w:p>
        </w:tc>
      </w:tr>
      <w:tr w:rsidR="00EC4C5A" w:rsidRPr="00CC76D1" w:rsidTr="00416528">
        <w:tc>
          <w:tcPr>
            <w:tcW w:w="2693" w:type="dxa"/>
          </w:tcPr>
          <w:p w:rsidR="00EC4C5A" w:rsidRPr="00CC76D1" w:rsidRDefault="00EC4C5A" w:rsidP="00416528">
            <w:pPr>
              <w:spacing w:before="40" w:after="40" w:line="220" w:lineRule="exact"/>
              <w:rPr>
                <w:sz w:val="18"/>
                <w:szCs w:val="18"/>
                <w:lang w:val="fr-FR"/>
              </w:rPr>
            </w:pPr>
            <w:r w:rsidRPr="00CC76D1">
              <w:rPr>
                <w:sz w:val="18"/>
                <w:szCs w:val="18"/>
                <w:lang w:val="fr-FR"/>
              </w:rPr>
              <w:t>Enfants non occupés économiquement</w:t>
            </w:r>
          </w:p>
        </w:tc>
        <w:tc>
          <w:tcPr>
            <w:tcW w:w="880"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3 418 733</w:t>
            </w:r>
          </w:p>
        </w:tc>
        <w:tc>
          <w:tcPr>
            <w:tcW w:w="613"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78,7</w:t>
            </w:r>
          </w:p>
        </w:tc>
        <w:tc>
          <w:tcPr>
            <w:tcW w:w="940"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3 781 111</w:t>
            </w:r>
          </w:p>
        </w:tc>
        <w:tc>
          <w:tcPr>
            <w:tcW w:w="580"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87,1</w:t>
            </w:r>
          </w:p>
        </w:tc>
        <w:tc>
          <w:tcPr>
            <w:tcW w:w="1012"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4 467 738</w:t>
            </w:r>
          </w:p>
        </w:tc>
        <w:tc>
          <w:tcPr>
            <w:tcW w:w="652" w:type="dxa"/>
            <w:vAlign w:val="bottom"/>
          </w:tcPr>
          <w:p w:rsidR="00EC4C5A" w:rsidRPr="00CC76D1" w:rsidRDefault="00EC4C5A" w:rsidP="00416528">
            <w:pPr>
              <w:spacing w:before="40" w:after="40" w:line="220" w:lineRule="exact"/>
              <w:jc w:val="right"/>
              <w:rPr>
                <w:sz w:val="18"/>
                <w:lang w:val="fr-FR"/>
              </w:rPr>
            </w:pPr>
            <w:r w:rsidRPr="00CC76D1">
              <w:rPr>
                <w:lang w:val="fr-FR"/>
              </w:rPr>
              <w:t>97,7</w:t>
            </w:r>
          </w:p>
        </w:tc>
      </w:tr>
      <w:tr w:rsidR="00EC4C5A" w:rsidRPr="00CC76D1" w:rsidTr="00416528">
        <w:tc>
          <w:tcPr>
            <w:tcW w:w="2693" w:type="dxa"/>
          </w:tcPr>
          <w:p w:rsidR="00EC4C5A" w:rsidRPr="00CC76D1" w:rsidRDefault="00EC4C5A" w:rsidP="00416528">
            <w:pPr>
              <w:spacing w:before="40" w:after="40" w:line="220" w:lineRule="exact"/>
              <w:rPr>
                <w:sz w:val="18"/>
                <w:szCs w:val="18"/>
                <w:lang w:val="fr-FR"/>
              </w:rPr>
            </w:pPr>
            <w:r w:rsidRPr="00CC76D1">
              <w:rPr>
                <w:sz w:val="18"/>
                <w:szCs w:val="18"/>
                <w:lang w:val="fr-FR"/>
              </w:rPr>
              <w:t>Enfants occupés économiquement (enfants qui travaillent)</w:t>
            </w:r>
          </w:p>
        </w:tc>
        <w:tc>
          <w:tcPr>
            <w:tcW w:w="880"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926 037</w:t>
            </w:r>
          </w:p>
        </w:tc>
        <w:tc>
          <w:tcPr>
            <w:tcW w:w="613"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21,3</w:t>
            </w:r>
          </w:p>
        </w:tc>
        <w:tc>
          <w:tcPr>
            <w:tcW w:w="940"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557 599</w:t>
            </w:r>
          </w:p>
        </w:tc>
        <w:tc>
          <w:tcPr>
            <w:tcW w:w="580"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12,9</w:t>
            </w:r>
          </w:p>
        </w:tc>
        <w:tc>
          <w:tcPr>
            <w:tcW w:w="1012"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103 704</w:t>
            </w:r>
          </w:p>
        </w:tc>
        <w:tc>
          <w:tcPr>
            <w:tcW w:w="652" w:type="dxa"/>
            <w:vAlign w:val="bottom"/>
          </w:tcPr>
          <w:p w:rsidR="00EC4C5A" w:rsidRPr="00CC76D1" w:rsidRDefault="00EC4C5A" w:rsidP="00416528">
            <w:pPr>
              <w:spacing w:before="40" w:after="40" w:line="220" w:lineRule="exact"/>
              <w:jc w:val="right"/>
              <w:rPr>
                <w:sz w:val="18"/>
                <w:lang w:val="fr-FR"/>
              </w:rPr>
            </w:pPr>
            <w:r w:rsidRPr="00CC76D1">
              <w:rPr>
                <w:lang w:val="fr-FR"/>
              </w:rPr>
              <w:t>2,3</w:t>
            </w:r>
          </w:p>
        </w:tc>
      </w:tr>
      <w:tr w:rsidR="00EC4C5A" w:rsidRPr="00CC76D1" w:rsidTr="00416528">
        <w:tc>
          <w:tcPr>
            <w:tcW w:w="2693" w:type="dxa"/>
          </w:tcPr>
          <w:p w:rsidR="00EC4C5A" w:rsidRPr="00CC76D1" w:rsidRDefault="00EC4C5A" w:rsidP="00416528">
            <w:pPr>
              <w:spacing w:before="40" w:after="40" w:line="220" w:lineRule="exact"/>
              <w:rPr>
                <w:sz w:val="18"/>
                <w:szCs w:val="18"/>
                <w:lang w:val="fr-FR"/>
              </w:rPr>
            </w:pPr>
            <w:r w:rsidRPr="00CC76D1">
              <w:rPr>
                <w:sz w:val="18"/>
                <w:szCs w:val="18"/>
                <w:lang w:val="fr-FR"/>
              </w:rPr>
              <w:t>Enfants astreints à un travail ne relevant pas du travail des enfants</w:t>
            </w:r>
          </w:p>
        </w:tc>
        <w:tc>
          <w:tcPr>
            <w:tcW w:w="880"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N.C.</w:t>
            </w:r>
          </w:p>
        </w:tc>
        <w:tc>
          <w:tcPr>
            <w:tcW w:w="613"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N.C.</w:t>
            </w:r>
          </w:p>
        </w:tc>
        <w:tc>
          <w:tcPr>
            <w:tcW w:w="940"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450 340</w:t>
            </w:r>
          </w:p>
        </w:tc>
        <w:tc>
          <w:tcPr>
            <w:tcW w:w="580"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10,4</w:t>
            </w:r>
          </w:p>
        </w:tc>
        <w:tc>
          <w:tcPr>
            <w:tcW w:w="1012"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59 990</w:t>
            </w:r>
          </w:p>
        </w:tc>
        <w:tc>
          <w:tcPr>
            <w:tcW w:w="652" w:type="dxa"/>
            <w:vAlign w:val="bottom"/>
          </w:tcPr>
          <w:p w:rsidR="00EC4C5A" w:rsidRPr="00CC76D1" w:rsidRDefault="00EC4C5A" w:rsidP="00416528">
            <w:pPr>
              <w:spacing w:before="40" w:after="40" w:line="220" w:lineRule="exact"/>
              <w:jc w:val="right"/>
              <w:rPr>
                <w:sz w:val="18"/>
                <w:lang w:val="fr-FR"/>
              </w:rPr>
            </w:pPr>
            <w:r w:rsidRPr="00CC76D1">
              <w:rPr>
                <w:lang w:val="fr-FR"/>
              </w:rPr>
              <w:t>1,3</w:t>
            </w:r>
          </w:p>
        </w:tc>
      </w:tr>
      <w:tr w:rsidR="00EC4C5A" w:rsidRPr="00CC76D1" w:rsidTr="00416528">
        <w:tc>
          <w:tcPr>
            <w:tcW w:w="2693" w:type="dxa"/>
          </w:tcPr>
          <w:p w:rsidR="00EC4C5A" w:rsidRPr="00CC76D1" w:rsidRDefault="00EC4C5A" w:rsidP="00416528">
            <w:pPr>
              <w:spacing w:before="40" w:after="40" w:line="220" w:lineRule="exact"/>
              <w:rPr>
                <w:sz w:val="18"/>
                <w:szCs w:val="18"/>
                <w:lang w:val="fr-FR"/>
              </w:rPr>
            </w:pPr>
            <w:r w:rsidRPr="00CC76D1">
              <w:rPr>
                <w:sz w:val="18"/>
                <w:szCs w:val="18"/>
                <w:lang w:val="fr-FR"/>
              </w:rPr>
              <w:t>Enfants astreints à un travail non dangereux</w:t>
            </w:r>
          </w:p>
        </w:tc>
        <w:tc>
          <w:tcPr>
            <w:tcW w:w="880"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N.C.</w:t>
            </w:r>
          </w:p>
        </w:tc>
        <w:tc>
          <w:tcPr>
            <w:tcW w:w="613"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N.C.</w:t>
            </w:r>
          </w:p>
        </w:tc>
        <w:tc>
          <w:tcPr>
            <w:tcW w:w="940"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43 343</w:t>
            </w:r>
          </w:p>
        </w:tc>
        <w:tc>
          <w:tcPr>
            <w:tcW w:w="580"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1</w:t>
            </w:r>
          </w:p>
        </w:tc>
        <w:tc>
          <w:tcPr>
            <w:tcW w:w="1012"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4 707</w:t>
            </w:r>
          </w:p>
        </w:tc>
        <w:tc>
          <w:tcPr>
            <w:tcW w:w="652" w:type="dxa"/>
            <w:vAlign w:val="bottom"/>
          </w:tcPr>
          <w:p w:rsidR="00EC4C5A" w:rsidRPr="00CC76D1" w:rsidRDefault="00EC4C5A" w:rsidP="00416528">
            <w:pPr>
              <w:spacing w:before="40" w:after="40" w:line="220" w:lineRule="exact"/>
              <w:jc w:val="right"/>
              <w:rPr>
                <w:sz w:val="18"/>
                <w:lang w:val="fr-FR"/>
              </w:rPr>
            </w:pPr>
            <w:r w:rsidRPr="00CC76D1">
              <w:rPr>
                <w:lang w:val="fr-FR"/>
              </w:rPr>
              <w:t>0,1</w:t>
            </w:r>
          </w:p>
        </w:tc>
      </w:tr>
      <w:tr w:rsidR="00EC4C5A" w:rsidRPr="00CC76D1" w:rsidTr="00416528">
        <w:tc>
          <w:tcPr>
            <w:tcW w:w="2693" w:type="dxa"/>
          </w:tcPr>
          <w:p w:rsidR="00EC4C5A" w:rsidRPr="00CC76D1" w:rsidRDefault="00EC4C5A" w:rsidP="00416528">
            <w:pPr>
              <w:spacing w:before="40" w:after="40" w:line="220" w:lineRule="exact"/>
              <w:rPr>
                <w:sz w:val="18"/>
                <w:szCs w:val="18"/>
                <w:lang w:val="fr-FR"/>
              </w:rPr>
            </w:pPr>
            <w:r w:rsidRPr="00CC76D1">
              <w:rPr>
                <w:sz w:val="18"/>
                <w:szCs w:val="18"/>
                <w:lang w:val="fr-FR"/>
              </w:rPr>
              <w:t>Enfants astreints à un travail dangereux</w:t>
            </w:r>
          </w:p>
        </w:tc>
        <w:tc>
          <w:tcPr>
            <w:tcW w:w="880"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N.C.</w:t>
            </w:r>
          </w:p>
        </w:tc>
        <w:tc>
          <w:tcPr>
            <w:tcW w:w="613"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N.C.</w:t>
            </w:r>
          </w:p>
        </w:tc>
        <w:tc>
          <w:tcPr>
            <w:tcW w:w="940"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63 916</w:t>
            </w:r>
          </w:p>
        </w:tc>
        <w:tc>
          <w:tcPr>
            <w:tcW w:w="580"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1,5</w:t>
            </w:r>
          </w:p>
        </w:tc>
        <w:tc>
          <w:tcPr>
            <w:tcW w:w="1012"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39 007</w:t>
            </w:r>
          </w:p>
        </w:tc>
        <w:tc>
          <w:tcPr>
            <w:tcW w:w="652" w:type="dxa"/>
            <w:vAlign w:val="bottom"/>
          </w:tcPr>
          <w:p w:rsidR="00EC4C5A" w:rsidRPr="00CC76D1" w:rsidRDefault="00EC4C5A" w:rsidP="00416528">
            <w:pPr>
              <w:spacing w:before="40" w:after="40" w:line="220" w:lineRule="exact"/>
              <w:jc w:val="right"/>
              <w:rPr>
                <w:sz w:val="18"/>
                <w:lang w:val="fr-FR"/>
              </w:rPr>
            </w:pPr>
            <w:r w:rsidRPr="00CC76D1">
              <w:rPr>
                <w:lang w:val="fr-FR"/>
              </w:rPr>
              <w:t>0,9</w:t>
            </w:r>
          </w:p>
        </w:tc>
      </w:tr>
      <w:tr w:rsidR="00EC4C5A" w:rsidRPr="00CC76D1" w:rsidTr="00416528">
        <w:tc>
          <w:tcPr>
            <w:tcW w:w="2693" w:type="dxa"/>
          </w:tcPr>
          <w:p w:rsidR="00EC4C5A" w:rsidRPr="00CC76D1" w:rsidRDefault="00EC4C5A" w:rsidP="00416528">
            <w:pPr>
              <w:spacing w:before="40" w:after="40" w:line="220" w:lineRule="exact"/>
              <w:rPr>
                <w:sz w:val="18"/>
                <w:szCs w:val="18"/>
                <w:lang w:val="fr-FR"/>
              </w:rPr>
            </w:pPr>
            <w:r w:rsidRPr="00CC76D1">
              <w:rPr>
                <w:sz w:val="18"/>
                <w:szCs w:val="18"/>
                <w:lang w:val="fr-FR"/>
              </w:rPr>
              <w:t>Fréquentation scolaire</w:t>
            </w:r>
          </w:p>
        </w:tc>
        <w:tc>
          <w:tcPr>
            <w:tcW w:w="880" w:type="dxa"/>
            <w:vAlign w:val="bottom"/>
          </w:tcPr>
          <w:p w:rsidR="00EC4C5A" w:rsidRPr="00CC76D1" w:rsidRDefault="00EC4C5A" w:rsidP="00416528">
            <w:pPr>
              <w:spacing w:before="40" w:after="40" w:line="220" w:lineRule="exact"/>
              <w:jc w:val="right"/>
              <w:rPr>
                <w:sz w:val="18"/>
                <w:szCs w:val="18"/>
                <w:lang w:val="fr-FR"/>
              </w:rPr>
            </w:pPr>
          </w:p>
        </w:tc>
        <w:tc>
          <w:tcPr>
            <w:tcW w:w="613" w:type="dxa"/>
            <w:vAlign w:val="bottom"/>
          </w:tcPr>
          <w:p w:rsidR="00EC4C5A" w:rsidRPr="00CC76D1" w:rsidRDefault="00EC4C5A" w:rsidP="00416528">
            <w:pPr>
              <w:spacing w:before="40" w:after="40" w:line="220" w:lineRule="exact"/>
              <w:jc w:val="right"/>
              <w:rPr>
                <w:sz w:val="18"/>
                <w:szCs w:val="18"/>
                <w:lang w:val="fr-FR"/>
              </w:rPr>
            </w:pPr>
          </w:p>
        </w:tc>
        <w:tc>
          <w:tcPr>
            <w:tcW w:w="940" w:type="dxa"/>
            <w:vAlign w:val="bottom"/>
          </w:tcPr>
          <w:p w:rsidR="00EC4C5A" w:rsidRPr="00CC76D1" w:rsidRDefault="00EC4C5A" w:rsidP="00416528">
            <w:pPr>
              <w:spacing w:before="40" w:after="40" w:line="220" w:lineRule="exact"/>
              <w:jc w:val="right"/>
              <w:rPr>
                <w:sz w:val="18"/>
                <w:szCs w:val="18"/>
                <w:lang w:val="fr-FR"/>
              </w:rPr>
            </w:pPr>
          </w:p>
        </w:tc>
        <w:tc>
          <w:tcPr>
            <w:tcW w:w="580" w:type="dxa"/>
            <w:vAlign w:val="bottom"/>
          </w:tcPr>
          <w:p w:rsidR="00EC4C5A" w:rsidRPr="00CC76D1" w:rsidRDefault="00EC4C5A" w:rsidP="00416528">
            <w:pPr>
              <w:spacing w:before="40" w:after="40" w:line="220" w:lineRule="exact"/>
              <w:jc w:val="right"/>
              <w:rPr>
                <w:sz w:val="18"/>
                <w:szCs w:val="18"/>
                <w:lang w:val="fr-FR"/>
              </w:rPr>
            </w:pPr>
          </w:p>
        </w:tc>
        <w:tc>
          <w:tcPr>
            <w:tcW w:w="1012" w:type="dxa"/>
            <w:vAlign w:val="bottom"/>
          </w:tcPr>
          <w:p w:rsidR="00EC4C5A" w:rsidRPr="00CC76D1" w:rsidRDefault="00EC4C5A" w:rsidP="00416528">
            <w:pPr>
              <w:spacing w:before="40" w:after="40" w:line="220" w:lineRule="exact"/>
              <w:jc w:val="right"/>
              <w:rPr>
                <w:sz w:val="18"/>
                <w:szCs w:val="18"/>
                <w:lang w:val="fr-FR"/>
              </w:rPr>
            </w:pPr>
          </w:p>
        </w:tc>
        <w:tc>
          <w:tcPr>
            <w:tcW w:w="652" w:type="dxa"/>
            <w:vAlign w:val="bottom"/>
          </w:tcPr>
          <w:p w:rsidR="00EC4C5A" w:rsidRPr="00CC76D1" w:rsidRDefault="00EC4C5A" w:rsidP="00416528">
            <w:pPr>
              <w:spacing w:before="40" w:after="40" w:line="220" w:lineRule="exact"/>
              <w:jc w:val="right"/>
              <w:rPr>
                <w:sz w:val="18"/>
                <w:lang w:val="fr-FR"/>
              </w:rPr>
            </w:pPr>
          </w:p>
        </w:tc>
      </w:tr>
      <w:tr w:rsidR="00EC4C5A" w:rsidRPr="00CC76D1" w:rsidTr="00416528">
        <w:tc>
          <w:tcPr>
            <w:tcW w:w="2693" w:type="dxa"/>
          </w:tcPr>
          <w:p w:rsidR="00EC4C5A" w:rsidRPr="00CC76D1" w:rsidRDefault="00EC4C5A" w:rsidP="00416528">
            <w:pPr>
              <w:spacing w:before="40" w:after="40" w:line="220" w:lineRule="exact"/>
              <w:rPr>
                <w:sz w:val="18"/>
                <w:szCs w:val="18"/>
                <w:lang w:val="fr-FR"/>
              </w:rPr>
            </w:pPr>
            <w:r w:rsidRPr="00CC76D1">
              <w:rPr>
                <w:sz w:val="18"/>
                <w:szCs w:val="18"/>
                <w:lang w:val="fr-FR"/>
              </w:rPr>
              <w:t>Sur le nombre total d</w:t>
            </w:r>
            <w:r w:rsidR="00474653">
              <w:rPr>
                <w:sz w:val="18"/>
                <w:szCs w:val="18"/>
                <w:lang w:val="fr-FR"/>
              </w:rPr>
              <w:t>’</w:t>
            </w:r>
            <w:r w:rsidRPr="00CC76D1">
              <w:rPr>
                <w:sz w:val="18"/>
                <w:szCs w:val="18"/>
                <w:lang w:val="fr-FR"/>
              </w:rPr>
              <w:t>enfants</w:t>
            </w:r>
          </w:p>
        </w:tc>
        <w:tc>
          <w:tcPr>
            <w:tcW w:w="880"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3 913 102</w:t>
            </w:r>
          </w:p>
        </w:tc>
        <w:tc>
          <w:tcPr>
            <w:tcW w:w="613"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90,1</w:t>
            </w:r>
          </w:p>
        </w:tc>
        <w:tc>
          <w:tcPr>
            <w:tcW w:w="940"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4 076 731</w:t>
            </w:r>
          </w:p>
        </w:tc>
        <w:tc>
          <w:tcPr>
            <w:tcW w:w="580"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94</w:t>
            </w:r>
          </w:p>
        </w:tc>
        <w:tc>
          <w:tcPr>
            <w:tcW w:w="1012"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4 118 781</w:t>
            </w:r>
          </w:p>
        </w:tc>
        <w:tc>
          <w:tcPr>
            <w:tcW w:w="652" w:type="dxa"/>
            <w:vAlign w:val="bottom"/>
          </w:tcPr>
          <w:p w:rsidR="00EC4C5A" w:rsidRPr="00CC76D1" w:rsidRDefault="00EC4C5A" w:rsidP="00416528">
            <w:pPr>
              <w:spacing w:before="40" w:after="40" w:line="220" w:lineRule="exact"/>
              <w:jc w:val="right"/>
              <w:rPr>
                <w:sz w:val="18"/>
                <w:lang w:val="fr-FR"/>
              </w:rPr>
            </w:pPr>
            <w:r w:rsidRPr="00CC76D1">
              <w:rPr>
                <w:lang w:val="fr-FR"/>
              </w:rPr>
              <w:t>90,1</w:t>
            </w:r>
          </w:p>
        </w:tc>
      </w:tr>
      <w:tr w:rsidR="00EC4C5A" w:rsidRPr="00CC76D1" w:rsidTr="00416528">
        <w:tc>
          <w:tcPr>
            <w:tcW w:w="2693" w:type="dxa"/>
          </w:tcPr>
          <w:p w:rsidR="00EC4C5A" w:rsidRPr="00CC76D1" w:rsidRDefault="00EC4C5A" w:rsidP="00416528">
            <w:pPr>
              <w:spacing w:before="40" w:after="40" w:line="220" w:lineRule="exact"/>
              <w:rPr>
                <w:sz w:val="18"/>
                <w:szCs w:val="18"/>
                <w:lang w:val="fr-FR"/>
              </w:rPr>
            </w:pPr>
            <w:r w:rsidRPr="00CC76D1">
              <w:rPr>
                <w:sz w:val="18"/>
                <w:szCs w:val="18"/>
                <w:lang w:val="fr-FR"/>
              </w:rPr>
              <w:t>Sur le nombre d</w:t>
            </w:r>
            <w:r w:rsidR="00474653">
              <w:rPr>
                <w:sz w:val="18"/>
                <w:szCs w:val="18"/>
                <w:lang w:val="fr-FR"/>
              </w:rPr>
              <w:t>’</w:t>
            </w:r>
            <w:r w:rsidRPr="00CC76D1">
              <w:rPr>
                <w:sz w:val="18"/>
                <w:szCs w:val="18"/>
                <w:lang w:val="fr-FR"/>
              </w:rPr>
              <w:t>enfants qui travaillent</w:t>
            </w:r>
          </w:p>
        </w:tc>
        <w:tc>
          <w:tcPr>
            <w:tcW w:w="880"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691 420</w:t>
            </w:r>
          </w:p>
        </w:tc>
        <w:tc>
          <w:tcPr>
            <w:tcW w:w="613"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74,7</w:t>
            </w:r>
          </w:p>
        </w:tc>
        <w:tc>
          <w:tcPr>
            <w:tcW w:w="940"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448 161</w:t>
            </w:r>
          </w:p>
        </w:tc>
        <w:tc>
          <w:tcPr>
            <w:tcW w:w="580"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80,4</w:t>
            </w:r>
          </w:p>
        </w:tc>
        <w:tc>
          <w:tcPr>
            <w:tcW w:w="1012"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40 290</w:t>
            </w:r>
          </w:p>
        </w:tc>
        <w:tc>
          <w:tcPr>
            <w:tcW w:w="652" w:type="dxa"/>
            <w:vAlign w:val="bottom"/>
          </w:tcPr>
          <w:p w:rsidR="00EC4C5A" w:rsidRPr="00CC76D1" w:rsidRDefault="00EC4C5A" w:rsidP="00416528">
            <w:pPr>
              <w:spacing w:before="40" w:after="40" w:line="220" w:lineRule="exact"/>
              <w:jc w:val="right"/>
              <w:rPr>
                <w:sz w:val="18"/>
                <w:lang w:val="fr-FR"/>
              </w:rPr>
            </w:pPr>
            <w:r w:rsidRPr="00CC76D1">
              <w:rPr>
                <w:lang w:val="fr-FR"/>
              </w:rPr>
              <w:t>38,9</w:t>
            </w:r>
          </w:p>
        </w:tc>
      </w:tr>
      <w:tr w:rsidR="00EC4C5A" w:rsidRPr="00CC76D1" w:rsidTr="00416528">
        <w:tc>
          <w:tcPr>
            <w:tcW w:w="2693" w:type="dxa"/>
          </w:tcPr>
          <w:p w:rsidR="00EC4C5A" w:rsidRPr="00CC76D1" w:rsidRDefault="00EC4C5A" w:rsidP="00416528">
            <w:pPr>
              <w:spacing w:before="40" w:after="40" w:line="220" w:lineRule="exact"/>
              <w:rPr>
                <w:sz w:val="18"/>
                <w:szCs w:val="18"/>
                <w:lang w:val="fr-FR"/>
              </w:rPr>
            </w:pPr>
            <w:r w:rsidRPr="00CC76D1">
              <w:rPr>
                <w:sz w:val="18"/>
                <w:szCs w:val="18"/>
                <w:lang w:val="fr-FR"/>
              </w:rPr>
              <w:t>Sur le nombre total d</w:t>
            </w:r>
            <w:r w:rsidR="00474653">
              <w:rPr>
                <w:sz w:val="18"/>
                <w:szCs w:val="18"/>
                <w:lang w:val="fr-FR"/>
              </w:rPr>
              <w:t>’</w:t>
            </w:r>
            <w:r w:rsidRPr="00CC76D1">
              <w:rPr>
                <w:sz w:val="18"/>
                <w:szCs w:val="18"/>
                <w:lang w:val="fr-FR"/>
              </w:rPr>
              <w:t>enfants en situation de travail des enfants</w:t>
            </w:r>
          </w:p>
        </w:tc>
        <w:tc>
          <w:tcPr>
            <w:tcW w:w="880"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N.C.</w:t>
            </w:r>
          </w:p>
        </w:tc>
        <w:tc>
          <w:tcPr>
            <w:tcW w:w="613"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N.C.</w:t>
            </w:r>
          </w:p>
        </w:tc>
        <w:tc>
          <w:tcPr>
            <w:tcW w:w="940"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57 315</w:t>
            </w:r>
          </w:p>
        </w:tc>
        <w:tc>
          <w:tcPr>
            <w:tcW w:w="580"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53,4</w:t>
            </w:r>
          </w:p>
        </w:tc>
        <w:tc>
          <w:tcPr>
            <w:tcW w:w="1012"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8 713</w:t>
            </w:r>
          </w:p>
        </w:tc>
        <w:tc>
          <w:tcPr>
            <w:tcW w:w="652" w:type="dxa"/>
            <w:vAlign w:val="bottom"/>
          </w:tcPr>
          <w:p w:rsidR="00EC4C5A" w:rsidRPr="00CC76D1" w:rsidRDefault="00EC4C5A" w:rsidP="00416528">
            <w:pPr>
              <w:spacing w:before="40" w:after="40" w:line="220" w:lineRule="exact"/>
              <w:jc w:val="right"/>
              <w:rPr>
                <w:sz w:val="18"/>
                <w:lang w:val="fr-FR"/>
              </w:rPr>
            </w:pPr>
            <w:r w:rsidRPr="00CC76D1">
              <w:rPr>
                <w:lang w:val="fr-FR"/>
              </w:rPr>
              <w:t>19,9</w:t>
            </w:r>
          </w:p>
        </w:tc>
      </w:tr>
      <w:tr w:rsidR="00EC4C5A" w:rsidRPr="00CC76D1" w:rsidTr="00416528">
        <w:tc>
          <w:tcPr>
            <w:tcW w:w="2693" w:type="dxa"/>
          </w:tcPr>
          <w:p w:rsidR="00EC4C5A" w:rsidRPr="00CC76D1" w:rsidRDefault="00EC4C5A" w:rsidP="00416528">
            <w:pPr>
              <w:spacing w:before="40" w:after="40" w:line="220" w:lineRule="exact"/>
              <w:rPr>
                <w:sz w:val="18"/>
                <w:szCs w:val="18"/>
                <w:lang w:val="fr-FR"/>
              </w:rPr>
            </w:pPr>
            <w:r w:rsidRPr="00CC76D1">
              <w:rPr>
                <w:sz w:val="18"/>
                <w:szCs w:val="18"/>
                <w:lang w:val="fr-FR"/>
              </w:rPr>
              <w:t>Sur le nombre d</w:t>
            </w:r>
            <w:r w:rsidR="00474653">
              <w:rPr>
                <w:sz w:val="18"/>
                <w:szCs w:val="18"/>
                <w:lang w:val="fr-FR"/>
              </w:rPr>
              <w:t>’</w:t>
            </w:r>
            <w:r w:rsidRPr="00CC76D1">
              <w:rPr>
                <w:sz w:val="18"/>
                <w:szCs w:val="18"/>
                <w:lang w:val="fr-FR"/>
              </w:rPr>
              <w:t>enfants astreints à un travail dangereux</w:t>
            </w:r>
          </w:p>
        </w:tc>
        <w:tc>
          <w:tcPr>
            <w:tcW w:w="880"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N.C.</w:t>
            </w:r>
          </w:p>
        </w:tc>
        <w:tc>
          <w:tcPr>
            <w:tcW w:w="613"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N.C.</w:t>
            </w:r>
          </w:p>
        </w:tc>
        <w:tc>
          <w:tcPr>
            <w:tcW w:w="940"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19 111</w:t>
            </w:r>
          </w:p>
        </w:tc>
        <w:tc>
          <w:tcPr>
            <w:tcW w:w="580"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29,9</w:t>
            </w:r>
          </w:p>
        </w:tc>
        <w:tc>
          <w:tcPr>
            <w:tcW w:w="1012"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4 612</w:t>
            </w:r>
          </w:p>
        </w:tc>
        <w:tc>
          <w:tcPr>
            <w:tcW w:w="652" w:type="dxa"/>
            <w:vAlign w:val="bottom"/>
          </w:tcPr>
          <w:p w:rsidR="00EC4C5A" w:rsidRPr="00CC76D1" w:rsidRDefault="00EC4C5A" w:rsidP="00416528">
            <w:pPr>
              <w:spacing w:before="40" w:after="40" w:line="220" w:lineRule="exact"/>
              <w:jc w:val="right"/>
              <w:rPr>
                <w:sz w:val="18"/>
                <w:lang w:val="fr-FR"/>
              </w:rPr>
            </w:pPr>
            <w:r w:rsidRPr="00CC76D1">
              <w:rPr>
                <w:lang w:val="fr-FR"/>
              </w:rPr>
              <w:t>11,8</w:t>
            </w:r>
          </w:p>
        </w:tc>
      </w:tr>
      <w:tr w:rsidR="00EC4C5A" w:rsidRPr="00CC76D1" w:rsidTr="00416528">
        <w:tc>
          <w:tcPr>
            <w:tcW w:w="2693" w:type="dxa"/>
          </w:tcPr>
          <w:p w:rsidR="00EC4C5A" w:rsidRPr="00CC76D1" w:rsidRDefault="00EC4C5A" w:rsidP="00416528">
            <w:pPr>
              <w:spacing w:before="40" w:after="40" w:line="220" w:lineRule="exact"/>
              <w:rPr>
                <w:sz w:val="18"/>
                <w:szCs w:val="18"/>
                <w:lang w:val="fr-FR"/>
              </w:rPr>
            </w:pPr>
            <w:r w:rsidRPr="00CC76D1">
              <w:rPr>
                <w:sz w:val="18"/>
                <w:szCs w:val="18"/>
                <w:lang w:val="fr-FR"/>
              </w:rPr>
              <w:t>Enfants astreints à un travail, par catégorie professionnelle</w:t>
            </w:r>
          </w:p>
        </w:tc>
        <w:tc>
          <w:tcPr>
            <w:tcW w:w="880" w:type="dxa"/>
            <w:vAlign w:val="bottom"/>
          </w:tcPr>
          <w:p w:rsidR="00EC4C5A" w:rsidRPr="00CC76D1" w:rsidRDefault="00EC4C5A" w:rsidP="00416528">
            <w:pPr>
              <w:spacing w:before="40" w:after="40" w:line="220" w:lineRule="exact"/>
              <w:jc w:val="right"/>
              <w:rPr>
                <w:sz w:val="18"/>
                <w:szCs w:val="18"/>
                <w:lang w:val="fr-FR"/>
              </w:rPr>
            </w:pPr>
          </w:p>
        </w:tc>
        <w:tc>
          <w:tcPr>
            <w:tcW w:w="613" w:type="dxa"/>
            <w:vAlign w:val="bottom"/>
          </w:tcPr>
          <w:p w:rsidR="00EC4C5A" w:rsidRPr="00CC76D1" w:rsidRDefault="00EC4C5A" w:rsidP="00416528">
            <w:pPr>
              <w:spacing w:before="40" w:after="40" w:line="220" w:lineRule="exact"/>
              <w:jc w:val="right"/>
              <w:rPr>
                <w:sz w:val="18"/>
                <w:szCs w:val="18"/>
                <w:lang w:val="fr-FR"/>
              </w:rPr>
            </w:pPr>
          </w:p>
        </w:tc>
        <w:tc>
          <w:tcPr>
            <w:tcW w:w="940" w:type="dxa"/>
            <w:vAlign w:val="bottom"/>
          </w:tcPr>
          <w:p w:rsidR="00EC4C5A" w:rsidRPr="00CC76D1" w:rsidRDefault="00EC4C5A" w:rsidP="00416528">
            <w:pPr>
              <w:spacing w:before="40" w:after="40" w:line="220" w:lineRule="exact"/>
              <w:jc w:val="right"/>
              <w:rPr>
                <w:sz w:val="18"/>
                <w:szCs w:val="18"/>
                <w:lang w:val="fr-FR"/>
              </w:rPr>
            </w:pPr>
          </w:p>
        </w:tc>
        <w:tc>
          <w:tcPr>
            <w:tcW w:w="580" w:type="dxa"/>
            <w:vAlign w:val="bottom"/>
          </w:tcPr>
          <w:p w:rsidR="00EC4C5A" w:rsidRPr="00CC76D1" w:rsidRDefault="00EC4C5A" w:rsidP="00416528">
            <w:pPr>
              <w:spacing w:before="40" w:after="40" w:line="220" w:lineRule="exact"/>
              <w:jc w:val="right"/>
              <w:rPr>
                <w:sz w:val="18"/>
                <w:szCs w:val="18"/>
                <w:lang w:val="fr-FR"/>
              </w:rPr>
            </w:pPr>
          </w:p>
        </w:tc>
        <w:tc>
          <w:tcPr>
            <w:tcW w:w="1012" w:type="dxa"/>
            <w:vAlign w:val="bottom"/>
          </w:tcPr>
          <w:p w:rsidR="00EC4C5A" w:rsidRPr="00CC76D1" w:rsidRDefault="00EC4C5A" w:rsidP="00416528">
            <w:pPr>
              <w:spacing w:before="40" w:after="40" w:line="220" w:lineRule="exact"/>
              <w:jc w:val="right"/>
              <w:rPr>
                <w:sz w:val="18"/>
                <w:szCs w:val="18"/>
                <w:lang w:val="fr-FR"/>
              </w:rPr>
            </w:pPr>
          </w:p>
        </w:tc>
        <w:tc>
          <w:tcPr>
            <w:tcW w:w="652" w:type="dxa"/>
            <w:vAlign w:val="bottom"/>
          </w:tcPr>
          <w:p w:rsidR="00EC4C5A" w:rsidRPr="00CC76D1" w:rsidRDefault="00EC4C5A" w:rsidP="00416528">
            <w:pPr>
              <w:spacing w:before="40" w:after="40" w:line="220" w:lineRule="exact"/>
              <w:jc w:val="right"/>
              <w:rPr>
                <w:sz w:val="18"/>
                <w:lang w:val="fr-FR"/>
              </w:rPr>
            </w:pPr>
          </w:p>
        </w:tc>
      </w:tr>
      <w:tr w:rsidR="00EC4C5A" w:rsidRPr="00CC76D1" w:rsidTr="00416528">
        <w:tc>
          <w:tcPr>
            <w:tcW w:w="2693" w:type="dxa"/>
          </w:tcPr>
          <w:p w:rsidR="00EC4C5A" w:rsidRPr="00CC76D1" w:rsidRDefault="00EC4C5A" w:rsidP="00416528">
            <w:pPr>
              <w:spacing w:before="40" w:after="40" w:line="220" w:lineRule="exact"/>
              <w:rPr>
                <w:sz w:val="18"/>
                <w:szCs w:val="18"/>
                <w:lang w:val="fr-FR"/>
              </w:rPr>
            </w:pPr>
            <w:r w:rsidRPr="00CC76D1">
              <w:rPr>
                <w:sz w:val="18"/>
                <w:szCs w:val="18"/>
                <w:lang w:val="fr-FR"/>
              </w:rPr>
              <w:t>Employé</w:t>
            </w:r>
          </w:p>
        </w:tc>
        <w:tc>
          <w:tcPr>
            <w:tcW w:w="880"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172 938</w:t>
            </w:r>
          </w:p>
        </w:tc>
        <w:tc>
          <w:tcPr>
            <w:tcW w:w="613"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18,7</w:t>
            </w:r>
          </w:p>
        </w:tc>
        <w:tc>
          <w:tcPr>
            <w:tcW w:w="940"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86 425</w:t>
            </w:r>
          </w:p>
        </w:tc>
        <w:tc>
          <w:tcPr>
            <w:tcW w:w="580"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15,5</w:t>
            </w:r>
          </w:p>
        </w:tc>
        <w:tc>
          <w:tcPr>
            <w:tcW w:w="1012"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37 500</w:t>
            </w:r>
          </w:p>
        </w:tc>
        <w:tc>
          <w:tcPr>
            <w:tcW w:w="652" w:type="dxa"/>
            <w:vAlign w:val="bottom"/>
          </w:tcPr>
          <w:p w:rsidR="00EC4C5A" w:rsidRPr="00CC76D1" w:rsidRDefault="00EC4C5A" w:rsidP="00416528">
            <w:pPr>
              <w:spacing w:before="40" w:after="40" w:line="220" w:lineRule="exact"/>
              <w:jc w:val="right"/>
              <w:rPr>
                <w:sz w:val="18"/>
                <w:lang w:val="fr-FR"/>
              </w:rPr>
            </w:pPr>
            <w:r w:rsidRPr="00CC76D1">
              <w:rPr>
                <w:lang w:val="fr-FR"/>
              </w:rPr>
              <w:t>36,2</w:t>
            </w:r>
          </w:p>
        </w:tc>
      </w:tr>
      <w:tr w:rsidR="00EC4C5A" w:rsidRPr="00CC76D1" w:rsidTr="00416528">
        <w:tc>
          <w:tcPr>
            <w:tcW w:w="2693" w:type="dxa"/>
          </w:tcPr>
          <w:p w:rsidR="00EC4C5A" w:rsidRPr="00CC76D1" w:rsidRDefault="00EC4C5A" w:rsidP="00416528">
            <w:pPr>
              <w:spacing w:before="40" w:after="40" w:line="220" w:lineRule="exact"/>
              <w:rPr>
                <w:sz w:val="18"/>
                <w:szCs w:val="18"/>
                <w:lang w:val="fr-FR"/>
              </w:rPr>
            </w:pPr>
            <w:r w:rsidRPr="00CC76D1">
              <w:rPr>
                <w:sz w:val="18"/>
                <w:szCs w:val="18"/>
                <w:lang w:val="fr-FR"/>
              </w:rPr>
              <w:t>Employeur</w:t>
            </w:r>
          </w:p>
        </w:tc>
        <w:tc>
          <w:tcPr>
            <w:tcW w:w="880"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520</w:t>
            </w:r>
          </w:p>
        </w:tc>
        <w:tc>
          <w:tcPr>
            <w:tcW w:w="613"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0,1</w:t>
            </w:r>
          </w:p>
        </w:tc>
        <w:tc>
          <w:tcPr>
            <w:tcW w:w="940"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0</w:t>
            </w:r>
          </w:p>
        </w:tc>
        <w:tc>
          <w:tcPr>
            <w:tcW w:w="580"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0</w:t>
            </w:r>
          </w:p>
        </w:tc>
        <w:tc>
          <w:tcPr>
            <w:tcW w:w="1012"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0</w:t>
            </w:r>
          </w:p>
        </w:tc>
        <w:tc>
          <w:tcPr>
            <w:tcW w:w="652" w:type="dxa"/>
            <w:vAlign w:val="bottom"/>
          </w:tcPr>
          <w:p w:rsidR="00EC4C5A" w:rsidRPr="00CC76D1" w:rsidRDefault="00EC4C5A" w:rsidP="00416528">
            <w:pPr>
              <w:spacing w:before="40" w:after="40" w:line="220" w:lineRule="exact"/>
              <w:jc w:val="right"/>
              <w:rPr>
                <w:sz w:val="18"/>
                <w:lang w:val="fr-FR"/>
              </w:rPr>
            </w:pPr>
            <w:r w:rsidRPr="00CC76D1">
              <w:rPr>
                <w:lang w:val="fr-FR"/>
              </w:rPr>
              <w:t>0</w:t>
            </w:r>
          </w:p>
        </w:tc>
      </w:tr>
      <w:tr w:rsidR="00EC4C5A" w:rsidRPr="00CC76D1" w:rsidTr="00416528">
        <w:tc>
          <w:tcPr>
            <w:tcW w:w="2693" w:type="dxa"/>
          </w:tcPr>
          <w:p w:rsidR="00EC4C5A" w:rsidRPr="00CC76D1" w:rsidRDefault="00EC4C5A" w:rsidP="00416528">
            <w:pPr>
              <w:spacing w:before="40" w:after="40" w:line="220" w:lineRule="exact"/>
              <w:rPr>
                <w:sz w:val="18"/>
                <w:szCs w:val="18"/>
                <w:lang w:val="fr-FR"/>
              </w:rPr>
            </w:pPr>
            <w:r w:rsidRPr="00CC76D1">
              <w:rPr>
                <w:sz w:val="18"/>
                <w:szCs w:val="18"/>
                <w:lang w:val="fr-FR"/>
              </w:rPr>
              <w:t>Travailleur indépendant</w:t>
            </w:r>
          </w:p>
        </w:tc>
        <w:tc>
          <w:tcPr>
            <w:tcW w:w="880"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33 682</w:t>
            </w:r>
          </w:p>
        </w:tc>
        <w:tc>
          <w:tcPr>
            <w:tcW w:w="613"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3,6</w:t>
            </w:r>
          </w:p>
        </w:tc>
        <w:tc>
          <w:tcPr>
            <w:tcW w:w="940"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20 631</w:t>
            </w:r>
          </w:p>
        </w:tc>
        <w:tc>
          <w:tcPr>
            <w:tcW w:w="580"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3,7</w:t>
            </w:r>
          </w:p>
        </w:tc>
        <w:tc>
          <w:tcPr>
            <w:tcW w:w="1012" w:type="dxa"/>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4,741</w:t>
            </w:r>
          </w:p>
        </w:tc>
        <w:tc>
          <w:tcPr>
            <w:tcW w:w="652" w:type="dxa"/>
            <w:vAlign w:val="bottom"/>
          </w:tcPr>
          <w:p w:rsidR="00EC4C5A" w:rsidRPr="00CC76D1" w:rsidRDefault="00EC4C5A" w:rsidP="00416528">
            <w:pPr>
              <w:spacing w:before="40" w:after="40" w:line="220" w:lineRule="exact"/>
              <w:jc w:val="right"/>
              <w:rPr>
                <w:sz w:val="18"/>
                <w:lang w:val="fr-FR"/>
              </w:rPr>
            </w:pPr>
            <w:r w:rsidRPr="00CC76D1">
              <w:rPr>
                <w:lang w:val="fr-FR"/>
              </w:rPr>
              <w:t>4,6</w:t>
            </w:r>
          </w:p>
        </w:tc>
      </w:tr>
      <w:tr w:rsidR="00EC4C5A" w:rsidRPr="00CC76D1" w:rsidTr="00416528">
        <w:tc>
          <w:tcPr>
            <w:tcW w:w="2693" w:type="dxa"/>
          </w:tcPr>
          <w:p w:rsidR="00EC4C5A" w:rsidRPr="00CC76D1" w:rsidRDefault="00EC4C5A" w:rsidP="00416528">
            <w:pPr>
              <w:spacing w:before="40" w:after="40" w:line="220" w:lineRule="exact"/>
              <w:rPr>
                <w:sz w:val="18"/>
                <w:szCs w:val="18"/>
                <w:lang w:val="fr-FR"/>
              </w:rPr>
            </w:pPr>
            <w:r w:rsidRPr="00CC76D1">
              <w:rPr>
                <w:sz w:val="18"/>
                <w:szCs w:val="18"/>
                <w:lang w:val="fr-FR"/>
              </w:rPr>
              <w:t>Travailleur familial collaborant à l</w:t>
            </w:r>
            <w:r w:rsidR="00474653">
              <w:rPr>
                <w:sz w:val="18"/>
                <w:szCs w:val="18"/>
                <w:lang w:val="fr-FR"/>
              </w:rPr>
              <w:t>’</w:t>
            </w:r>
            <w:r w:rsidRPr="00CC76D1">
              <w:rPr>
                <w:sz w:val="18"/>
                <w:szCs w:val="18"/>
                <w:lang w:val="fr-FR"/>
              </w:rPr>
              <w:t>entreprise familiale</w:t>
            </w:r>
          </w:p>
        </w:tc>
        <w:tc>
          <w:tcPr>
            <w:tcW w:w="880" w:type="dxa"/>
            <w:vAlign w:val="bottom"/>
          </w:tcPr>
          <w:p w:rsidR="00EC4C5A" w:rsidRPr="00946B85" w:rsidRDefault="00EC4C5A" w:rsidP="00416528">
            <w:pPr>
              <w:spacing w:before="40" w:after="40" w:line="220" w:lineRule="exact"/>
              <w:jc w:val="right"/>
              <w:rPr>
                <w:sz w:val="18"/>
                <w:szCs w:val="18"/>
                <w:lang w:val="fr-FR"/>
              </w:rPr>
            </w:pPr>
            <w:r w:rsidRPr="00946B85">
              <w:rPr>
                <w:sz w:val="18"/>
                <w:szCs w:val="18"/>
                <w:lang w:val="fr-FR"/>
              </w:rPr>
              <w:t>710 184</w:t>
            </w:r>
          </w:p>
        </w:tc>
        <w:tc>
          <w:tcPr>
            <w:tcW w:w="613" w:type="dxa"/>
            <w:vAlign w:val="bottom"/>
          </w:tcPr>
          <w:p w:rsidR="00EC4C5A" w:rsidRPr="00946B85" w:rsidRDefault="00EC4C5A" w:rsidP="00416528">
            <w:pPr>
              <w:spacing w:before="40" w:after="40" w:line="220" w:lineRule="exact"/>
              <w:jc w:val="right"/>
              <w:rPr>
                <w:sz w:val="18"/>
                <w:szCs w:val="18"/>
                <w:lang w:val="fr-FR"/>
              </w:rPr>
            </w:pPr>
            <w:r w:rsidRPr="00946B85">
              <w:rPr>
                <w:sz w:val="18"/>
                <w:szCs w:val="18"/>
                <w:lang w:val="fr-FR"/>
              </w:rPr>
              <w:t>76,7</w:t>
            </w:r>
          </w:p>
        </w:tc>
        <w:tc>
          <w:tcPr>
            <w:tcW w:w="940" w:type="dxa"/>
            <w:vAlign w:val="bottom"/>
          </w:tcPr>
          <w:p w:rsidR="00EC4C5A" w:rsidRPr="00946B85" w:rsidRDefault="00EC4C5A" w:rsidP="00416528">
            <w:pPr>
              <w:spacing w:before="40" w:after="40" w:line="220" w:lineRule="exact"/>
              <w:jc w:val="right"/>
              <w:rPr>
                <w:sz w:val="18"/>
                <w:szCs w:val="18"/>
                <w:lang w:val="fr-FR"/>
              </w:rPr>
            </w:pPr>
            <w:r w:rsidRPr="00946B85">
              <w:rPr>
                <w:sz w:val="18"/>
                <w:szCs w:val="18"/>
                <w:lang w:val="fr-FR"/>
              </w:rPr>
              <w:t>450 543</w:t>
            </w:r>
          </w:p>
        </w:tc>
        <w:tc>
          <w:tcPr>
            <w:tcW w:w="580" w:type="dxa"/>
            <w:vAlign w:val="bottom"/>
          </w:tcPr>
          <w:p w:rsidR="00EC4C5A" w:rsidRPr="00946B85" w:rsidRDefault="00EC4C5A" w:rsidP="00416528">
            <w:pPr>
              <w:spacing w:before="40" w:after="40" w:line="220" w:lineRule="exact"/>
              <w:jc w:val="right"/>
              <w:rPr>
                <w:sz w:val="18"/>
                <w:szCs w:val="18"/>
                <w:lang w:val="fr-FR"/>
              </w:rPr>
            </w:pPr>
            <w:r w:rsidRPr="00946B85">
              <w:rPr>
                <w:sz w:val="18"/>
                <w:szCs w:val="18"/>
                <w:lang w:val="fr-FR"/>
              </w:rPr>
              <w:t>80,8</w:t>
            </w:r>
          </w:p>
        </w:tc>
        <w:tc>
          <w:tcPr>
            <w:tcW w:w="1012" w:type="dxa"/>
            <w:vAlign w:val="bottom"/>
          </w:tcPr>
          <w:p w:rsidR="00EC4C5A" w:rsidRPr="00946B85" w:rsidRDefault="00EC4C5A" w:rsidP="00416528">
            <w:pPr>
              <w:spacing w:before="40" w:after="40" w:line="220" w:lineRule="exact"/>
              <w:jc w:val="right"/>
              <w:rPr>
                <w:sz w:val="18"/>
                <w:szCs w:val="18"/>
                <w:lang w:val="fr-FR"/>
              </w:rPr>
            </w:pPr>
            <w:r w:rsidRPr="00946B85">
              <w:rPr>
                <w:sz w:val="18"/>
                <w:szCs w:val="18"/>
                <w:lang w:val="fr-FR"/>
              </w:rPr>
              <w:t>61 463</w:t>
            </w:r>
          </w:p>
        </w:tc>
        <w:tc>
          <w:tcPr>
            <w:tcW w:w="652" w:type="dxa"/>
            <w:vAlign w:val="bottom"/>
          </w:tcPr>
          <w:p w:rsidR="00EC4C5A" w:rsidRPr="00946B85" w:rsidRDefault="00EC4C5A" w:rsidP="00416528">
            <w:pPr>
              <w:spacing w:before="40" w:after="40" w:line="220" w:lineRule="exact"/>
              <w:jc w:val="right"/>
              <w:rPr>
                <w:sz w:val="18"/>
                <w:szCs w:val="18"/>
                <w:lang w:val="fr-FR"/>
              </w:rPr>
            </w:pPr>
            <w:r w:rsidRPr="00946B85">
              <w:rPr>
                <w:sz w:val="18"/>
                <w:szCs w:val="18"/>
                <w:lang w:val="fr-FR"/>
              </w:rPr>
              <w:t>59,3</w:t>
            </w:r>
          </w:p>
        </w:tc>
      </w:tr>
      <w:tr w:rsidR="00EC4C5A" w:rsidRPr="00CC76D1" w:rsidTr="00416528">
        <w:tc>
          <w:tcPr>
            <w:tcW w:w="2693" w:type="dxa"/>
            <w:tcBorders>
              <w:bottom w:val="single" w:sz="12" w:space="0" w:color="auto"/>
            </w:tcBorders>
          </w:tcPr>
          <w:p w:rsidR="00EC4C5A" w:rsidRPr="00CC76D1" w:rsidRDefault="00EC4C5A" w:rsidP="00416528">
            <w:pPr>
              <w:spacing w:before="40" w:after="40" w:line="220" w:lineRule="exact"/>
              <w:rPr>
                <w:sz w:val="18"/>
                <w:szCs w:val="18"/>
                <w:lang w:val="fr-FR"/>
              </w:rPr>
            </w:pPr>
            <w:r w:rsidRPr="00CC76D1">
              <w:rPr>
                <w:sz w:val="18"/>
                <w:szCs w:val="18"/>
                <w:lang w:val="fr-FR"/>
              </w:rPr>
              <w:t>Autre</w:t>
            </w:r>
          </w:p>
        </w:tc>
        <w:tc>
          <w:tcPr>
            <w:tcW w:w="880" w:type="dxa"/>
            <w:tcBorders>
              <w:bottom w:val="single" w:sz="12" w:space="0" w:color="auto"/>
            </w:tcBorders>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8 713</w:t>
            </w:r>
          </w:p>
        </w:tc>
        <w:tc>
          <w:tcPr>
            <w:tcW w:w="613" w:type="dxa"/>
            <w:tcBorders>
              <w:bottom w:val="single" w:sz="12" w:space="0" w:color="auto"/>
            </w:tcBorders>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0,9</w:t>
            </w:r>
          </w:p>
        </w:tc>
        <w:tc>
          <w:tcPr>
            <w:tcW w:w="940" w:type="dxa"/>
            <w:tcBorders>
              <w:bottom w:val="single" w:sz="12" w:space="0" w:color="auto"/>
            </w:tcBorders>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N.C.</w:t>
            </w:r>
          </w:p>
        </w:tc>
        <w:tc>
          <w:tcPr>
            <w:tcW w:w="580" w:type="dxa"/>
            <w:tcBorders>
              <w:bottom w:val="single" w:sz="12" w:space="0" w:color="auto"/>
            </w:tcBorders>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N.C.</w:t>
            </w:r>
          </w:p>
        </w:tc>
        <w:tc>
          <w:tcPr>
            <w:tcW w:w="1012" w:type="dxa"/>
            <w:tcBorders>
              <w:bottom w:val="single" w:sz="12" w:space="0" w:color="auto"/>
            </w:tcBorders>
            <w:vAlign w:val="bottom"/>
          </w:tcPr>
          <w:p w:rsidR="00EC4C5A" w:rsidRPr="00CC76D1" w:rsidRDefault="00EC4C5A" w:rsidP="00416528">
            <w:pPr>
              <w:spacing w:before="40" w:after="40" w:line="220" w:lineRule="exact"/>
              <w:jc w:val="right"/>
              <w:rPr>
                <w:sz w:val="18"/>
                <w:szCs w:val="18"/>
                <w:lang w:val="fr-FR"/>
              </w:rPr>
            </w:pPr>
            <w:r w:rsidRPr="00CC76D1">
              <w:rPr>
                <w:sz w:val="18"/>
                <w:szCs w:val="18"/>
                <w:lang w:val="fr-FR"/>
              </w:rPr>
              <w:t>N.C.</w:t>
            </w:r>
          </w:p>
        </w:tc>
        <w:tc>
          <w:tcPr>
            <w:tcW w:w="652" w:type="dxa"/>
            <w:tcBorders>
              <w:bottom w:val="single" w:sz="12" w:space="0" w:color="auto"/>
            </w:tcBorders>
            <w:vAlign w:val="bottom"/>
          </w:tcPr>
          <w:p w:rsidR="00EC4C5A" w:rsidRPr="00CC76D1" w:rsidRDefault="00EC4C5A" w:rsidP="00416528">
            <w:pPr>
              <w:spacing w:before="40" w:after="40" w:line="220" w:lineRule="exact"/>
              <w:jc w:val="right"/>
              <w:rPr>
                <w:sz w:val="18"/>
                <w:lang w:val="fr-FR"/>
              </w:rPr>
            </w:pPr>
            <w:r w:rsidRPr="00CC76D1">
              <w:rPr>
                <w:lang w:val="fr-FR"/>
              </w:rPr>
              <w:t>N.C.</w:t>
            </w:r>
          </w:p>
        </w:tc>
      </w:tr>
    </w:tbl>
    <w:p w:rsidR="00EC4C5A" w:rsidRPr="00CC76D1" w:rsidRDefault="00EC4C5A" w:rsidP="007D0434">
      <w:pPr>
        <w:spacing w:before="120"/>
        <w:ind w:left="1134" w:firstLine="170"/>
        <w:rPr>
          <w:sz w:val="18"/>
          <w:szCs w:val="18"/>
          <w:lang w:val="fr-FR"/>
        </w:rPr>
      </w:pPr>
      <w:r w:rsidRPr="006E70B9">
        <w:rPr>
          <w:i/>
          <w:sz w:val="18"/>
          <w:szCs w:val="18"/>
          <w:lang w:val="fr-FR"/>
        </w:rPr>
        <w:t>Source</w:t>
      </w:r>
      <w:r w:rsidR="006E70B9">
        <w:rPr>
          <w:sz w:val="18"/>
          <w:szCs w:val="18"/>
          <w:lang w:val="fr-FR"/>
        </w:rPr>
        <w:t> :</w:t>
      </w:r>
      <w:r w:rsidRPr="00CC76D1">
        <w:rPr>
          <w:sz w:val="18"/>
          <w:szCs w:val="18"/>
          <w:lang w:val="fr-FR"/>
        </w:rPr>
        <w:t xml:space="preserve"> Enquête 2016 sur le travail des enfants à Sri Lanka, Département du recensement et des statistiques</w:t>
      </w:r>
      <w:r w:rsidR="006E70B9">
        <w:rPr>
          <w:sz w:val="18"/>
          <w:szCs w:val="18"/>
          <w:lang w:val="fr-FR"/>
        </w:rPr>
        <w:t>.</w:t>
      </w:r>
    </w:p>
    <w:p w:rsidR="00EC4C5A" w:rsidRPr="00CC76D1" w:rsidRDefault="006E70B9" w:rsidP="006E70B9">
      <w:pPr>
        <w:ind w:left="1134" w:firstLine="170"/>
        <w:rPr>
          <w:sz w:val="18"/>
          <w:szCs w:val="18"/>
          <w:lang w:val="fr-FR"/>
        </w:rPr>
      </w:pPr>
      <w:r>
        <w:rPr>
          <w:sz w:val="18"/>
          <w:szCs w:val="18"/>
          <w:lang w:val="fr-FR"/>
        </w:rPr>
        <w:t xml:space="preserve">*  </w:t>
      </w:r>
      <w:r w:rsidR="00EC4C5A" w:rsidRPr="00CC76D1">
        <w:rPr>
          <w:sz w:val="18"/>
          <w:szCs w:val="18"/>
          <w:lang w:val="fr-FR"/>
        </w:rPr>
        <w:t>À l</w:t>
      </w:r>
      <w:r w:rsidR="00474653">
        <w:rPr>
          <w:sz w:val="18"/>
          <w:szCs w:val="18"/>
          <w:lang w:val="fr-FR"/>
        </w:rPr>
        <w:t>’</w:t>
      </w:r>
      <w:r w:rsidR="00EC4C5A" w:rsidRPr="00CC76D1">
        <w:rPr>
          <w:sz w:val="18"/>
          <w:szCs w:val="18"/>
          <w:lang w:val="fr-FR"/>
        </w:rPr>
        <w:t>exclusion des provinces du Nord et de l</w:t>
      </w:r>
      <w:r w:rsidR="00474653">
        <w:rPr>
          <w:sz w:val="18"/>
          <w:szCs w:val="18"/>
          <w:lang w:val="fr-FR"/>
        </w:rPr>
        <w:t>’</w:t>
      </w:r>
      <w:r w:rsidR="00EC4C5A" w:rsidRPr="00CC76D1">
        <w:rPr>
          <w:sz w:val="18"/>
          <w:szCs w:val="18"/>
          <w:lang w:val="fr-FR"/>
        </w:rPr>
        <w:t>Est</w:t>
      </w:r>
      <w:r>
        <w:rPr>
          <w:sz w:val="18"/>
          <w:szCs w:val="18"/>
          <w:lang w:val="fr-FR"/>
        </w:rPr>
        <w:t>.</w:t>
      </w:r>
    </w:p>
    <w:p w:rsidR="00EC4C5A" w:rsidRPr="00CC76D1" w:rsidRDefault="006E70B9" w:rsidP="006E70B9">
      <w:pPr>
        <w:ind w:left="1134" w:firstLine="170"/>
        <w:rPr>
          <w:sz w:val="18"/>
          <w:szCs w:val="18"/>
          <w:lang w:val="fr-FR"/>
        </w:rPr>
      </w:pPr>
      <w:r>
        <w:rPr>
          <w:sz w:val="18"/>
          <w:szCs w:val="18"/>
          <w:lang w:val="fr-FR"/>
        </w:rPr>
        <w:t xml:space="preserve">**  </w:t>
      </w:r>
      <w:r w:rsidR="00EC4C5A" w:rsidRPr="00CC76D1">
        <w:rPr>
          <w:sz w:val="18"/>
          <w:szCs w:val="18"/>
          <w:lang w:val="fr-FR"/>
        </w:rPr>
        <w:t>À l</w:t>
      </w:r>
      <w:r w:rsidR="00474653">
        <w:rPr>
          <w:sz w:val="18"/>
          <w:szCs w:val="18"/>
          <w:lang w:val="fr-FR"/>
        </w:rPr>
        <w:t>’</w:t>
      </w:r>
      <w:r w:rsidR="00EC4C5A" w:rsidRPr="00CC76D1">
        <w:rPr>
          <w:sz w:val="18"/>
          <w:szCs w:val="18"/>
          <w:lang w:val="fr-FR"/>
        </w:rPr>
        <w:t>exclusion de la province du Nord.</w:t>
      </w:r>
    </w:p>
    <w:p w:rsidR="00EC4C5A" w:rsidRPr="00CC76D1" w:rsidRDefault="00EC4C5A" w:rsidP="006E70B9">
      <w:pPr>
        <w:spacing w:after="240"/>
        <w:ind w:left="1134" w:firstLine="170"/>
        <w:rPr>
          <w:sz w:val="18"/>
          <w:szCs w:val="18"/>
          <w:lang w:val="fr-FR"/>
        </w:rPr>
      </w:pPr>
      <w:r w:rsidRPr="00CC76D1">
        <w:rPr>
          <w:sz w:val="18"/>
          <w:szCs w:val="18"/>
          <w:lang w:val="fr-FR"/>
        </w:rPr>
        <w:t>N.C. = non connu.</w:t>
      </w:r>
    </w:p>
    <w:p w:rsidR="00EC4C5A" w:rsidRPr="00CC76D1" w:rsidRDefault="00EC4C5A" w:rsidP="007D0434">
      <w:pPr>
        <w:pStyle w:val="SingleTxtG"/>
        <w:rPr>
          <w:lang w:val="fr-FR"/>
        </w:rPr>
      </w:pPr>
      <w:r w:rsidRPr="00CC76D1">
        <w:rPr>
          <w:lang w:val="fr-FR"/>
        </w:rPr>
        <w:t>89.</w:t>
      </w:r>
      <w:r w:rsidRPr="00CC76D1">
        <w:rPr>
          <w:lang w:val="fr-FR"/>
        </w:rPr>
        <w:tab/>
        <w:t>L</w:t>
      </w:r>
      <w:r w:rsidR="00474653">
        <w:rPr>
          <w:lang w:val="fr-FR"/>
        </w:rPr>
        <w:t>’</w:t>
      </w:r>
      <w:r w:rsidRPr="00CC76D1">
        <w:rPr>
          <w:lang w:val="fr-FR"/>
        </w:rPr>
        <w:t>enquête de terrain s</w:t>
      </w:r>
      <w:r w:rsidR="00474653">
        <w:rPr>
          <w:lang w:val="fr-FR"/>
        </w:rPr>
        <w:t>’</w:t>
      </w:r>
      <w:r w:rsidRPr="00CC76D1">
        <w:rPr>
          <w:lang w:val="fr-FR"/>
        </w:rPr>
        <w:t>est déroulée de janvier à mai. P</w:t>
      </w:r>
      <w:r w:rsidR="007D0434">
        <w:rPr>
          <w:lang w:val="fr-FR"/>
        </w:rPr>
        <w:t>lusieurs élèves âgés de 15 à 17 </w:t>
      </w:r>
      <w:r w:rsidRPr="00CC76D1">
        <w:rPr>
          <w:lang w:val="fr-FR"/>
        </w:rPr>
        <w:t xml:space="preserve">ans ne fréquentaient par leur établissement scolaire car ils attendaient les résultats des examens du niveau </w:t>
      </w:r>
      <w:r w:rsidR="007D0434">
        <w:rPr>
          <w:lang w:val="fr-FR"/>
        </w:rPr>
        <w:t>« </w:t>
      </w:r>
      <w:r w:rsidRPr="00CC76D1">
        <w:rPr>
          <w:lang w:val="fr-FR"/>
        </w:rPr>
        <w:t>ordinaire</w:t>
      </w:r>
      <w:r w:rsidR="007D0434">
        <w:rPr>
          <w:lang w:val="fr-FR"/>
        </w:rPr>
        <w:t> »</w:t>
      </w:r>
      <w:r w:rsidRPr="00CC76D1">
        <w:rPr>
          <w:lang w:val="fr-FR"/>
        </w:rPr>
        <w:t xml:space="preserve"> du Certi</w:t>
      </w:r>
      <w:r w:rsidR="007D0434">
        <w:rPr>
          <w:lang w:val="fr-FR"/>
        </w:rPr>
        <w:t>ficat général d</w:t>
      </w:r>
      <w:r w:rsidR="00474653">
        <w:rPr>
          <w:lang w:val="fr-FR"/>
        </w:rPr>
        <w:t>’</w:t>
      </w:r>
      <w:r w:rsidR="007D0434">
        <w:rPr>
          <w:lang w:val="fr-FR"/>
        </w:rPr>
        <w:t>éducation (GCE « </w:t>
      </w:r>
      <w:r w:rsidRPr="00CC76D1">
        <w:rPr>
          <w:lang w:val="fr-FR"/>
        </w:rPr>
        <w:t>O</w:t>
      </w:r>
      <w:r w:rsidR="007D0434">
        <w:rPr>
          <w:lang w:val="fr-FR"/>
        </w:rPr>
        <w:t> »</w:t>
      </w:r>
      <w:r w:rsidRPr="00CC76D1">
        <w:rPr>
          <w:lang w:val="fr-FR"/>
        </w:rPr>
        <w:t xml:space="preserve"> Level).</w:t>
      </w:r>
    </w:p>
    <w:p w:rsidR="00EC4C5A" w:rsidRPr="00CC76D1" w:rsidRDefault="00EC4C5A" w:rsidP="007D0434">
      <w:pPr>
        <w:pStyle w:val="SingleTxtG"/>
        <w:rPr>
          <w:lang w:val="fr-FR"/>
        </w:rPr>
      </w:pPr>
      <w:r w:rsidRPr="00CC76D1">
        <w:rPr>
          <w:lang w:val="fr-FR"/>
        </w:rPr>
        <w:t>90.</w:t>
      </w:r>
      <w:r w:rsidRPr="00CC76D1">
        <w:rPr>
          <w:lang w:val="fr-FR"/>
        </w:rPr>
        <w:tab/>
        <w:t>Le travail des enfants dans le secteur manufacturier est très rare à Sri Lanka. Dans la mesure où 90,1</w:t>
      </w:r>
      <w:r w:rsidR="007D0434">
        <w:rPr>
          <w:lang w:val="fr-FR"/>
        </w:rPr>
        <w:t> </w:t>
      </w:r>
      <w:r w:rsidRPr="00CC76D1">
        <w:rPr>
          <w:lang w:val="fr-FR"/>
        </w:rPr>
        <w:t>% des enfants sont scolarisés, les enfants employés comme domestiques sont également rares. Comme il est difficile cependant d</w:t>
      </w:r>
      <w:r w:rsidR="00474653">
        <w:rPr>
          <w:lang w:val="fr-FR"/>
        </w:rPr>
        <w:t>’</w:t>
      </w:r>
      <w:r w:rsidRPr="00CC76D1">
        <w:rPr>
          <w:lang w:val="fr-FR"/>
        </w:rPr>
        <w:t>enquêter dans chaque domicile pour s</w:t>
      </w:r>
      <w:r w:rsidR="00474653">
        <w:rPr>
          <w:lang w:val="fr-FR"/>
        </w:rPr>
        <w:t>’</w:t>
      </w:r>
      <w:r w:rsidRPr="00CC76D1">
        <w:rPr>
          <w:lang w:val="fr-FR"/>
        </w:rPr>
        <w:t>assurer qu</w:t>
      </w:r>
      <w:r w:rsidR="00474653">
        <w:rPr>
          <w:lang w:val="fr-FR"/>
        </w:rPr>
        <w:t>’</w:t>
      </w:r>
      <w:r w:rsidRPr="00CC76D1">
        <w:rPr>
          <w:lang w:val="fr-FR"/>
        </w:rPr>
        <w:t>aucun enfant n</w:t>
      </w:r>
      <w:r w:rsidR="00474653">
        <w:rPr>
          <w:lang w:val="fr-FR"/>
        </w:rPr>
        <w:t>’</w:t>
      </w:r>
      <w:r w:rsidRPr="00CC76D1">
        <w:rPr>
          <w:lang w:val="fr-FR"/>
        </w:rPr>
        <w:t>y est employé comme domestique, il importe de mieux sensibiliser à cette question.</w:t>
      </w:r>
    </w:p>
    <w:p w:rsidR="00EC4C5A" w:rsidRPr="00CC76D1" w:rsidRDefault="00EC4C5A" w:rsidP="007D0434">
      <w:pPr>
        <w:pStyle w:val="SingleTxtG"/>
        <w:rPr>
          <w:lang w:val="fr-FR"/>
        </w:rPr>
      </w:pPr>
      <w:r w:rsidRPr="00CC76D1">
        <w:rPr>
          <w:lang w:val="fr-FR"/>
        </w:rPr>
        <w:t>91.</w:t>
      </w:r>
      <w:r w:rsidRPr="00CC76D1">
        <w:rPr>
          <w:lang w:val="fr-FR"/>
        </w:rPr>
        <w:tab/>
        <w:t>Plusieurs obstacles entravent l</w:t>
      </w:r>
      <w:r w:rsidR="00474653">
        <w:rPr>
          <w:lang w:val="fr-FR"/>
        </w:rPr>
        <w:t>’</w:t>
      </w:r>
      <w:r w:rsidRPr="00CC76D1">
        <w:rPr>
          <w:lang w:val="fr-FR"/>
        </w:rPr>
        <w:t>élimination de l</w:t>
      </w:r>
      <w:r w:rsidR="00474653">
        <w:rPr>
          <w:lang w:val="fr-FR"/>
        </w:rPr>
        <w:t>’</w:t>
      </w:r>
      <w:r w:rsidRPr="00CC76D1">
        <w:rPr>
          <w:lang w:val="fr-FR"/>
        </w:rPr>
        <w:t>exploitation des enfants dans les secteurs des travaux domestiques et de l</w:t>
      </w:r>
      <w:r w:rsidR="00474653">
        <w:rPr>
          <w:lang w:val="fr-FR"/>
        </w:rPr>
        <w:t>’</w:t>
      </w:r>
      <w:r w:rsidRPr="00CC76D1">
        <w:rPr>
          <w:lang w:val="fr-FR"/>
        </w:rPr>
        <w:t xml:space="preserve">agriculture et dans le secteur manufacturier. </w:t>
      </w:r>
    </w:p>
    <w:p w:rsidR="00EC4C5A" w:rsidRPr="00CC76D1" w:rsidRDefault="00EC4C5A" w:rsidP="00206CD6">
      <w:pPr>
        <w:pStyle w:val="SingleTxtG"/>
        <w:keepNext/>
        <w:keepLines/>
        <w:rPr>
          <w:lang w:val="fr-FR"/>
        </w:rPr>
      </w:pPr>
      <w:r w:rsidRPr="00CC76D1">
        <w:rPr>
          <w:lang w:val="fr-FR"/>
        </w:rPr>
        <w:lastRenderedPageBreak/>
        <w:t>92.</w:t>
      </w:r>
      <w:r w:rsidRPr="00CC76D1">
        <w:rPr>
          <w:lang w:val="fr-FR"/>
        </w:rPr>
        <w:tab/>
        <w:t>La pauvreté qui sévit dans les communautés rurales est un obstacle de taille à l</w:t>
      </w:r>
      <w:r w:rsidR="00474653">
        <w:rPr>
          <w:lang w:val="fr-FR"/>
        </w:rPr>
        <w:t>’</w:t>
      </w:r>
      <w:r w:rsidRPr="00CC76D1">
        <w:rPr>
          <w:lang w:val="fr-FR"/>
        </w:rPr>
        <w:t>éradication de l</w:t>
      </w:r>
      <w:r w:rsidR="00474653">
        <w:rPr>
          <w:lang w:val="fr-FR"/>
        </w:rPr>
        <w:t>’</w:t>
      </w:r>
      <w:r w:rsidRPr="00CC76D1">
        <w:rPr>
          <w:lang w:val="fr-FR"/>
        </w:rPr>
        <w:t xml:space="preserve">exploitation des enfants dans le secteur des travaux domestiques et dans le secteur informel, de même que la relative faiblesse des syndicats dans le secteur informel, pour diverses raisons. </w:t>
      </w:r>
    </w:p>
    <w:p w:rsidR="00EC4C5A" w:rsidRPr="00CC76D1" w:rsidRDefault="00EC4C5A" w:rsidP="007D0434">
      <w:pPr>
        <w:pStyle w:val="HChG"/>
        <w:rPr>
          <w:lang w:val="fr-FR"/>
        </w:rPr>
      </w:pPr>
      <w:r w:rsidRPr="00CC76D1">
        <w:rPr>
          <w:lang w:val="fr-FR"/>
        </w:rPr>
        <w:tab/>
      </w:r>
      <w:r w:rsidRPr="00CC76D1">
        <w:rPr>
          <w:lang w:val="fr-FR"/>
        </w:rPr>
        <w:tab/>
        <w:t>Droit à un niveau de vie adéquat (art. 11)</w:t>
      </w:r>
    </w:p>
    <w:p w:rsidR="00EC4C5A" w:rsidRPr="00CC76D1" w:rsidRDefault="00EC4C5A" w:rsidP="007D0434">
      <w:pPr>
        <w:pStyle w:val="H1G"/>
        <w:rPr>
          <w:lang w:val="fr-FR"/>
        </w:rPr>
      </w:pPr>
      <w:r w:rsidRPr="00CC76D1">
        <w:rPr>
          <w:lang w:val="fr-FR"/>
        </w:rPr>
        <w:tab/>
        <w:t>7.</w:t>
      </w:r>
      <w:r w:rsidRPr="00CC76D1">
        <w:rPr>
          <w:lang w:val="fr-FR"/>
        </w:rPr>
        <w:tab/>
        <w:t xml:space="preserve">Effets des programmes de lutte contre la pauvreté </w:t>
      </w:r>
    </w:p>
    <w:p w:rsidR="00EC4C5A" w:rsidRPr="00CC76D1" w:rsidRDefault="00EC4C5A" w:rsidP="007D0434">
      <w:pPr>
        <w:pStyle w:val="SingleTxtG"/>
        <w:rPr>
          <w:lang w:val="fr-FR"/>
        </w:rPr>
      </w:pPr>
      <w:r w:rsidRPr="00CC76D1">
        <w:rPr>
          <w:lang w:val="fr-FR"/>
        </w:rPr>
        <w:t>93.</w:t>
      </w:r>
      <w:r w:rsidRPr="00CC76D1">
        <w:rPr>
          <w:lang w:val="fr-FR"/>
        </w:rPr>
        <w:tab/>
        <w:t>Selon l</w:t>
      </w:r>
      <w:r w:rsidR="00474653">
        <w:rPr>
          <w:lang w:val="fr-FR"/>
        </w:rPr>
        <w:t>’</w:t>
      </w:r>
      <w:r w:rsidRPr="00CC76D1">
        <w:rPr>
          <w:lang w:val="fr-FR"/>
        </w:rPr>
        <w:t>enquête sur les revenus et les dépenses des ménages 2012-2013, 6,7</w:t>
      </w:r>
      <w:r w:rsidR="007D0434">
        <w:rPr>
          <w:lang w:val="fr-FR"/>
        </w:rPr>
        <w:t> </w:t>
      </w:r>
      <w:r w:rsidRPr="00CC76D1">
        <w:rPr>
          <w:lang w:val="fr-FR"/>
        </w:rPr>
        <w:t xml:space="preserve">% de la population vit en dessous du seuil </w:t>
      </w:r>
      <w:r w:rsidR="007D0434">
        <w:rPr>
          <w:lang w:val="fr-FR"/>
        </w:rPr>
        <w:t>de pauvreté. Le rapport sur la « </w:t>
      </w:r>
      <w:r w:rsidRPr="00CC76D1">
        <w:rPr>
          <w:lang w:val="fr-FR"/>
        </w:rPr>
        <w:t>répartition spatiale de la pauvreté à Sri Lanka 2012-2013</w:t>
      </w:r>
      <w:r w:rsidR="007D0434">
        <w:rPr>
          <w:lang w:val="fr-FR"/>
        </w:rPr>
        <w:t> »</w:t>
      </w:r>
      <w:r w:rsidRPr="00CC76D1">
        <w:rPr>
          <w:lang w:val="fr-FR"/>
        </w:rPr>
        <w:t xml:space="preserve"> a permis de recueillir des données sur l</w:t>
      </w:r>
      <w:r w:rsidR="00474653">
        <w:rPr>
          <w:lang w:val="fr-FR"/>
        </w:rPr>
        <w:t>’</w:t>
      </w:r>
      <w:r w:rsidRPr="00CC76D1">
        <w:rPr>
          <w:lang w:val="fr-FR"/>
        </w:rPr>
        <w:t>incidence de la pauvreté jusqu</w:t>
      </w:r>
      <w:r w:rsidR="00474653">
        <w:rPr>
          <w:lang w:val="fr-FR"/>
        </w:rPr>
        <w:t>’</w:t>
      </w:r>
      <w:r w:rsidRPr="00CC76D1">
        <w:rPr>
          <w:lang w:val="fr-FR"/>
        </w:rPr>
        <w:t>au niveau des secrétariats de division. Ce rapport est disponible à l</w:t>
      </w:r>
      <w:r w:rsidR="00474653">
        <w:rPr>
          <w:lang w:val="fr-FR"/>
        </w:rPr>
        <w:t>’</w:t>
      </w:r>
      <w:r w:rsidRPr="00CC76D1">
        <w:rPr>
          <w:lang w:val="fr-FR"/>
        </w:rPr>
        <w:t xml:space="preserve">adresse http://www.statistics.gov.lk/poverty/SpatialDistributionOfPoverty2012_13.pdf. </w:t>
      </w:r>
    </w:p>
    <w:p w:rsidR="00EC4C5A" w:rsidRPr="00CC76D1" w:rsidRDefault="00EC4C5A" w:rsidP="007D0434">
      <w:pPr>
        <w:pStyle w:val="SingleTxtG"/>
        <w:rPr>
          <w:lang w:val="fr-FR"/>
        </w:rPr>
      </w:pPr>
      <w:r w:rsidRPr="00CC76D1">
        <w:rPr>
          <w:lang w:val="fr-FR"/>
        </w:rPr>
        <w:t>94.</w:t>
      </w:r>
      <w:r w:rsidRPr="00CC76D1">
        <w:rPr>
          <w:lang w:val="fr-FR"/>
        </w:rPr>
        <w:tab/>
        <w:t>D</w:t>
      </w:r>
      <w:r w:rsidR="00474653">
        <w:rPr>
          <w:lang w:val="fr-FR"/>
        </w:rPr>
        <w:t>’</w:t>
      </w:r>
      <w:r w:rsidRPr="00CC76D1">
        <w:rPr>
          <w:lang w:val="fr-FR"/>
        </w:rPr>
        <w:t>après le recensement de la population et de l</w:t>
      </w:r>
      <w:r w:rsidR="00474653">
        <w:rPr>
          <w:lang w:val="fr-FR"/>
        </w:rPr>
        <w:t>’</w:t>
      </w:r>
      <w:r w:rsidRPr="00CC76D1">
        <w:rPr>
          <w:lang w:val="fr-FR"/>
        </w:rPr>
        <w:t>habitat de 2012, 24,3</w:t>
      </w:r>
      <w:r w:rsidR="007D0434">
        <w:rPr>
          <w:lang w:val="fr-FR"/>
        </w:rPr>
        <w:t> </w:t>
      </w:r>
      <w:r w:rsidRPr="00CC76D1">
        <w:rPr>
          <w:lang w:val="fr-FR"/>
        </w:rPr>
        <w:t>% des ménages sri-lankais sont dirigés par une femme, 77</w:t>
      </w:r>
      <w:r w:rsidR="007D0434">
        <w:rPr>
          <w:lang w:val="fr-FR"/>
        </w:rPr>
        <w:t> </w:t>
      </w:r>
      <w:r w:rsidRPr="00CC76D1">
        <w:rPr>
          <w:lang w:val="fr-FR"/>
        </w:rPr>
        <w:t>% de la population féminine vit dans des régions rurales et 4</w:t>
      </w:r>
      <w:r w:rsidR="007D0434">
        <w:rPr>
          <w:lang w:val="fr-FR"/>
        </w:rPr>
        <w:t> </w:t>
      </w:r>
      <w:r w:rsidRPr="00CC76D1">
        <w:rPr>
          <w:lang w:val="fr-FR"/>
        </w:rPr>
        <w:t xml:space="preserve">% dans le secteur des plantations. </w:t>
      </w:r>
    </w:p>
    <w:p w:rsidR="00EC4C5A" w:rsidRPr="00CC76D1" w:rsidRDefault="00EC4C5A" w:rsidP="007D0434">
      <w:pPr>
        <w:pStyle w:val="SingleTxtG"/>
        <w:rPr>
          <w:lang w:val="fr-FR"/>
        </w:rPr>
      </w:pPr>
      <w:r w:rsidRPr="00CC76D1">
        <w:rPr>
          <w:lang w:val="fr-FR"/>
        </w:rPr>
        <w:t>95.</w:t>
      </w:r>
      <w:r w:rsidRPr="00CC76D1">
        <w:rPr>
          <w:lang w:val="fr-FR"/>
        </w:rPr>
        <w:tab/>
        <w:t>Selon l</w:t>
      </w:r>
      <w:r w:rsidR="00474653">
        <w:rPr>
          <w:lang w:val="fr-FR"/>
        </w:rPr>
        <w:t>’</w:t>
      </w:r>
      <w:r w:rsidRPr="00CC76D1">
        <w:rPr>
          <w:lang w:val="fr-FR"/>
        </w:rPr>
        <w:t>enquête sur la population active à Sri Lanka, 44,92</w:t>
      </w:r>
      <w:r w:rsidR="007D0434">
        <w:rPr>
          <w:lang w:val="fr-FR"/>
        </w:rPr>
        <w:t> </w:t>
      </w:r>
      <w:r w:rsidRPr="00CC76D1">
        <w:rPr>
          <w:lang w:val="fr-FR"/>
        </w:rPr>
        <w:t>% de la population féminine économiquement active (15 ans et plus) travaillent dans le secteur des plantations et 36,1</w:t>
      </w:r>
      <w:r w:rsidR="007D0434">
        <w:rPr>
          <w:lang w:val="fr-FR"/>
        </w:rPr>
        <w:t> </w:t>
      </w:r>
      <w:r w:rsidRPr="00CC76D1">
        <w:rPr>
          <w:lang w:val="fr-FR"/>
        </w:rPr>
        <w:t>% dans le secteur agricole. Le rapport de cette enquête est disponible à l</w:t>
      </w:r>
      <w:r w:rsidR="00474653">
        <w:rPr>
          <w:lang w:val="fr-FR"/>
        </w:rPr>
        <w:t>’</w:t>
      </w:r>
      <w:r w:rsidRPr="00CC76D1">
        <w:rPr>
          <w:lang w:val="fr-FR"/>
        </w:rPr>
        <w:t>adresse http://www.statistics.gov.lk/samplesurvey/LFS_ Annual% 20Report_2015.pdf.</w:t>
      </w:r>
    </w:p>
    <w:p w:rsidR="00EC4C5A" w:rsidRPr="00CC76D1" w:rsidRDefault="00EC4C5A" w:rsidP="007D0434">
      <w:pPr>
        <w:pStyle w:val="SingleTxtG"/>
        <w:rPr>
          <w:lang w:val="fr-FR"/>
        </w:rPr>
      </w:pPr>
      <w:r w:rsidRPr="00CC76D1">
        <w:rPr>
          <w:lang w:val="fr-FR"/>
        </w:rPr>
        <w:t>96.</w:t>
      </w:r>
      <w:r w:rsidRPr="00CC76D1">
        <w:rPr>
          <w:lang w:val="fr-FR"/>
        </w:rPr>
        <w:tab/>
        <w:t>Pour le Gouvernement sri-lankais, les femmes chefs de famille sont considérées comme un groupe social vulnérable représentant environ 24,3</w:t>
      </w:r>
      <w:r w:rsidR="007D0434">
        <w:rPr>
          <w:lang w:val="fr-FR"/>
        </w:rPr>
        <w:t> </w:t>
      </w:r>
      <w:r w:rsidRPr="00CC76D1">
        <w:rPr>
          <w:lang w:val="fr-FR"/>
        </w:rPr>
        <w:t>% de la population féminine du pays. Différentes équipes spéciales et commissions successives, dont la Commission des enseignements et de la réconciliation et l</w:t>
      </w:r>
      <w:r w:rsidR="00474653">
        <w:rPr>
          <w:lang w:val="fr-FR"/>
        </w:rPr>
        <w:t>’</w:t>
      </w:r>
      <w:r w:rsidRPr="00CC76D1">
        <w:rPr>
          <w:lang w:val="fr-FR"/>
        </w:rPr>
        <w:t>équipe spéciale chargée de tenir des consultations sur les mécanismes de réconciliation, ont souligné l</w:t>
      </w:r>
      <w:r w:rsidR="00474653">
        <w:rPr>
          <w:lang w:val="fr-FR"/>
        </w:rPr>
        <w:t>’</w:t>
      </w:r>
      <w:r w:rsidRPr="00CC76D1">
        <w:rPr>
          <w:lang w:val="fr-FR"/>
        </w:rPr>
        <w:t>importance d</w:t>
      </w:r>
      <w:r w:rsidR="00474653">
        <w:rPr>
          <w:lang w:val="fr-FR"/>
        </w:rPr>
        <w:t>’</w:t>
      </w:r>
      <w:r w:rsidRPr="00CC76D1">
        <w:rPr>
          <w:lang w:val="fr-FR"/>
        </w:rPr>
        <w:t>accorder une protection et d</w:t>
      </w:r>
      <w:r w:rsidR="00474653">
        <w:rPr>
          <w:lang w:val="fr-FR"/>
        </w:rPr>
        <w:t>’</w:t>
      </w:r>
      <w:r w:rsidRPr="00CC76D1">
        <w:rPr>
          <w:lang w:val="fr-FR"/>
        </w:rPr>
        <w:t>apporter un soutien à ce groupe, ainsi que d</w:t>
      </w:r>
      <w:r w:rsidR="00474653">
        <w:rPr>
          <w:lang w:val="fr-FR"/>
        </w:rPr>
        <w:t>’</w:t>
      </w:r>
      <w:r w:rsidRPr="00CC76D1">
        <w:rPr>
          <w:lang w:val="fr-FR"/>
        </w:rPr>
        <w:t>e</w:t>
      </w:r>
      <w:r w:rsidR="007D0434">
        <w:rPr>
          <w:lang w:val="fr-FR"/>
        </w:rPr>
        <w:t>ntendre ses revendications. Par </w:t>
      </w:r>
      <w:r w:rsidRPr="00CC76D1">
        <w:rPr>
          <w:lang w:val="fr-FR"/>
        </w:rPr>
        <w:t>conséquent, le Ministère des affaires féminines et de l</w:t>
      </w:r>
      <w:r w:rsidR="00474653">
        <w:rPr>
          <w:lang w:val="fr-FR"/>
        </w:rPr>
        <w:t>’</w:t>
      </w:r>
      <w:r w:rsidRPr="00CC76D1">
        <w:rPr>
          <w:lang w:val="fr-FR"/>
        </w:rPr>
        <w:t>enfance, en consultation avec les parties prenantes concernées, notamment la société civile, a élaboré une politique nationale relative aux femmes chefs de famille.</w:t>
      </w:r>
    </w:p>
    <w:p w:rsidR="00EC4C5A" w:rsidRPr="00CC76D1" w:rsidRDefault="00EC4C5A" w:rsidP="007D0434">
      <w:pPr>
        <w:pStyle w:val="SingleTxtG"/>
        <w:rPr>
          <w:lang w:val="fr-FR"/>
        </w:rPr>
      </w:pPr>
      <w:r w:rsidRPr="00CC76D1">
        <w:rPr>
          <w:lang w:val="fr-FR"/>
        </w:rPr>
        <w:t>97.</w:t>
      </w:r>
      <w:r w:rsidRPr="00CC76D1">
        <w:rPr>
          <w:lang w:val="fr-FR"/>
        </w:rPr>
        <w:tab/>
        <w:t xml:space="preserve">La </w:t>
      </w:r>
      <w:r w:rsidR="006A3D31" w:rsidRPr="00CC76D1">
        <w:rPr>
          <w:lang w:val="fr-FR"/>
        </w:rPr>
        <w:t>P</w:t>
      </w:r>
      <w:r w:rsidRPr="00CC76D1">
        <w:rPr>
          <w:lang w:val="fr-FR"/>
        </w:rPr>
        <w:t>olitique nationale susmentionnée met l</w:t>
      </w:r>
      <w:r w:rsidR="00474653">
        <w:rPr>
          <w:lang w:val="fr-FR"/>
        </w:rPr>
        <w:t>’</w:t>
      </w:r>
      <w:r w:rsidRPr="00CC76D1">
        <w:rPr>
          <w:lang w:val="fr-FR"/>
        </w:rPr>
        <w:t>accent sur la santé et le soutien psychosocial, le développement des moyens de subsistance, les systèmes de services d</w:t>
      </w:r>
      <w:r w:rsidR="00474653">
        <w:rPr>
          <w:lang w:val="fr-FR"/>
        </w:rPr>
        <w:t>’</w:t>
      </w:r>
      <w:r w:rsidRPr="00CC76D1">
        <w:rPr>
          <w:lang w:val="fr-FR"/>
        </w:rPr>
        <w:t>appui, la protection, la sécurité sociale, l</w:t>
      </w:r>
      <w:r w:rsidR="00474653">
        <w:rPr>
          <w:lang w:val="fr-FR"/>
        </w:rPr>
        <w:t>’</w:t>
      </w:r>
      <w:r w:rsidRPr="00CC76D1">
        <w:rPr>
          <w:lang w:val="fr-FR"/>
        </w:rPr>
        <w:t>élaboration des politiques nationales et la sensibilisation. Dix-sept ministères ont endossé la responsabilité directe de la mise en œuvre du Plan d</w:t>
      </w:r>
      <w:r w:rsidR="00474653">
        <w:rPr>
          <w:lang w:val="fr-FR"/>
        </w:rPr>
        <w:t>’</w:t>
      </w:r>
      <w:r w:rsidRPr="00CC76D1">
        <w:rPr>
          <w:lang w:val="fr-FR"/>
        </w:rPr>
        <w:t>action national élaboré par le Ministère des affaires féminines et de l</w:t>
      </w:r>
      <w:r w:rsidR="00474653">
        <w:rPr>
          <w:lang w:val="fr-FR"/>
        </w:rPr>
        <w:t>’</w:t>
      </w:r>
      <w:r w:rsidRPr="00CC76D1">
        <w:rPr>
          <w:lang w:val="fr-FR"/>
        </w:rPr>
        <w:t>enfance. La politique et le plan d</w:t>
      </w:r>
      <w:r w:rsidR="00474653">
        <w:rPr>
          <w:lang w:val="fr-FR"/>
        </w:rPr>
        <w:t>’</w:t>
      </w:r>
      <w:r w:rsidRPr="00CC76D1">
        <w:rPr>
          <w:lang w:val="fr-FR"/>
        </w:rPr>
        <w:t>action ont été élaborés sur la base d</w:t>
      </w:r>
      <w:r w:rsidR="00474653">
        <w:rPr>
          <w:lang w:val="fr-FR"/>
        </w:rPr>
        <w:t>’</w:t>
      </w:r>
      <w:r w:rsidRPr="00CC76D1">
        <w:rPr>
          <w:lang w:val="fr-FR"/>
        </w:rPr>
        <w:t>une analyse des écarts entre les besoins immédiats et les services disponibles pour les femmes chefs de famille, menée en collaboration avec le Bureau pour l</w:t>
      </w:r>
      <w:r w:rsidR="00474653">
        <w:rPr>
          <w:lang w:val="fr-FR"/>
        </w:rPr>
        <w:t>’</w:t>
      </w:r>
      <w:r w:rsidRPr="00CC76D1">
        <w:rPr>
          <w:lang w:val="fr-FR"/>
        </w:rPr>
        <w:t>unité et de la réconciliation nationales.</w:t>
      </w:r>
    </w:p>
    <w:p w:rsidR="00EC4C5A" w:rsidRPr="00CC76D1" w:rsidRDefault="00EC4C5A" w:rsidP="007D0434">
      <w:pPr>
        <w:pStyle w:val="SingleTxtG"/>
        <w:rPr>
          <w:lang w:val="fr-FR"/>
        </w:rPr>
      </w:pPr>
      <w:r w:rsidRPr="00CC76D1">
        <w:rPr>
          <w:lang w:val="fr-FR"/>
        </w:rPr>
        <w:t>98.</w:t>
      </w:r>
      <w:r w:rsidRPr="00CC76D1">
        <w:rPr>
          <w:lang w:val="fr-FR"/>
        </w:rPr>
        <w:tab/>
        <w:t>Un Centre national pour les femmes chefs de famille a été mis sur pied, doté de bureaux dans les régions touchées par la guerre, pour répondre aux besoins urgents des femmes directement affectées, notamment en prodiguant des conseils et une aide juridique, en menant des activités de sensibilisation et en apportant une assistance aux programmes de développement des moyens de subsistance.</w:t>
      </w:r>
    </w:p>
    <w:p w:rsidR="00EC4C5A" w:rsidRPr="00CC76D1" w:rsidRDefault="00EC4C5A" w:rsidP="007D0434">
      <w:pPr>
        <w:pStyle w:val="SingleTxtG"/>
        <w:rPr>
          <w:lang w:val="fr-FR"/>
        </w:rPr>
      </w:pPr>
      <w:r w:rsidRPr="00CC76D1">
        <w:rPr>
          <w:lang w:val="fr-FR"/>
        </w:rPr>
        <w:t>99.</w:t>
      </w:r>
      <w:r w:rsidRPr="00CC76D1">
        <w:rPr>
          <w:lang w:val="fr-FR"/>
        </w:rPr>
        <w:tab/>
        <w:t>Le Conseil des ministres a approuvé l</w:t>
      </w:r>
      <w:r w:rsidR="00474653">
        <w:rPr>
          <w:lang w:val="fr-FR"/>
        </w:rPr>
        <w:t>’</w:t>
      </w:r>
      <w:r w:rsidRPr="00CC76D1">
        <w:rPr>
          <w:lang w:val="fr-FR"/>
        </w:rPr>
        <w:t>allocation de 50 millions de roupies pour soutenir l</w:t>
      </w:r>
      <w:r w:rsidR="00474653">
        <w:rPr>
          <w:lang w:val="fr-FR"/>
        </w:rPr>
        <w:t>’</w:t>
      </w:r>
      <w:r w:rsidRPr="00CC76D1">
        <w:rPr>
          <w:lang w:val="fr-FR"/>
        </w:rPr>
        <w:t>émancipation économique des femmes chefs de famille. L</w:t>
      </w:r>
      <w:r w:rsidR="00474653">
        <w:rPr>
          <w:lang w:val="fr-FR"/>
        </w:rPr>
        <w:t>’</w:t>
      </w:r>
      <w:r w:rsidRPr="00CC76D1">
        <w:rPr>
          <w:lang w:val="fr-FR"/>
        </w:rPr>
        <w:t>assistance financière pour le travail indépendant est une activité primordiale menée dans le cadre du programme du Gouvernement d</w:t>
      </w:r>
      <w:r w:rsidR="00474653">
        <w:rPr>
          <w:lang w:val="fr-FR"/>
        </w:rPr>
        <w:t>’</w:t>
      </w:r>
      <w:r w:rsidRPr="00CC76D1">
        <w:rPr>
          <w:lang w:val="fr-FR"/>
        </w:rPr>
        <w:t>atténuation de la pauvreté. Un projet de création d</w:t>
      </w:r>
      <w:r w:rsidR="00474653">
        <w:rPr>
          <w:lang w:val="fr-FR"/>
        </w:rPr>
        <w:t>’</w:t>
      </w:r>
      <w:r w:rsidRPr="00CC76D1">
        <w:rPr>
          <w:lang w:val="fr-FR"/>
        </w:rPr>
        <w:t>emplois indépendants mis en œuvre dans la province de l</w:t>
      </w:r>
      <w:r w:rsidR="00474653">
        <w:rPr>
          <w:lang w:val="fr-FR"/>
        </w:rPr>
        <w:t>’</w:t>
      </w:r>
      <w:r w:rsidRPr="00CC76D1">
        <w:rPr>
          <w:lang w:val="fr-FR"/>
        </w:rPr>
        <w:t xml:space="preserve">Est avec le concours du Gouvernement indien fait partie des différents programmes lancés à cet effet. </w:t>
      </w:r>
    </w:p>
    <w:p w:rsidR="00EC4C5A" w:rsidRPr="00CC76D1" w:rsidRDefault="00EC4C5A" w:rsidP="007D0434">
      <w:pPr>
        <w:pStyle w:val="SingleTxtG"/>
        <w:rPr>
          <w:lang w:val="fr-FR"/>
        </w:rPr>
      </w:pPr>
      <w:r w:rsidRPr="00CC76D1">
        <w:rPr>
          <w:lang w:val="fr-FR"/>
        </w:rPr>
        <w:t>100.</w:t>
      </w:r>
      <w:r w:rsidRPr="00CC76D1">
        <w:rPr>
          <w:lang w:val="fr-FR"/>
        </w:rPr>
        <w:tab/>
        <w:t>Au cours de la période 2012-2015, le Ministère des affaires féminines et de l</w:t>
      </w:r>
      <w:r w:rsidR="00474653">
        <w:rPr>
          <w:lang w:val="fr-FR"/>
        </w:rPr>
        <w:t>’</w:t>
      </w:r>
      <w:r w:rsidRPr="00CC76D1">
        <w:rPr>
          <w:lang w:val="fr-FR"/>
        </w:rPr>
        <w:t>enfance a octroyé des subventions s</w:t>
      </w:r>
      <w:r w:rsidR="00474653">
        <w:rPr>
          <w:lang w:val="fr-FR"/>
        </w:rPr>
        <w:t>’</w:t>
      </w:r>
      <w:r w:rsidRPr="00CC76D1">
        <w:rPr>
          <w:lang w:val="fr-FR"/>
        </w:rPr>
        <w:t>élevant à 75 millions de roupies pour des programmes visant à promouvoir l</w:t>
      </w:r>
      <w:r w:rsidR="00474653">
        <w:rPr>
          <w:lang w:val="fr-FR"/>
        </w:rPr>
        <w:t>’</w:t>
      </w:r>
      <w:r w:rsidRPr="00CC76D1">
        <w:rPr>
          <w:lang w:val="fr-FR"/>
        </w:rPr>
        <w:t>émancipation économique des femmes</w:t>
      </w:r>
      <w:r w:rsidR="00C72EE8">
        <w:rPr>
          <w:lang w:val="fr-FR"/>
        </w:rPr>
        <w:t> ; 2 521 </w:t>
      </w:r>
      <w:r w:rsidRPr="00CC76D1">
        <w:rPr>
          <w:lang w:val="fr-FR"/>
        </w:rPr>
        <w:t xml:space="preserve">personnes en ont bénéficié, dont un grand nombre de femmes chefs de famille. </w:t>
      </w:r>
      <w:r w:rsidRPr="00CC76D1">
        <w:rPr>
          <w:lang w:val="fr-FR"/>
        </w:rPr>
        <w:lastRenderedPageBreak/>
        <w:t>Il</w:t>
      </w:r>
      <w:r w:rsidR="00B707F2">
        <w:rPr>
          <w:lang w:val="fr-FR"/>
        </w:rPr>
        <w:t> </w:t>
      </w:r>
      <w:r w:rsidRPr="00CC76D1">
        <w:rPr>
          <w:lang w:val="fr-FR"/>
        </w:rPr>
        <w:t>existe, depuis 2011, un programme de crédit renou</w:t>
      </w:r>
      <w:r w:rsidR="00B707F2">
        <w:rPr>
          <w:lang w:val="fr-FR"/>
        </w:rPr>
        <w:t>velable grâce auquel environ 11 </w:t>
      </w:r>
      <w:r w:rsidRPr="00CC76D1">
        <w:rPr>
          <w:lang w:val="fr-FR"/>
        </w:rPr>
        <w:t>millions de roupies ont été octroyés à environ 518 bénéficiaires pour financer des activités relevant du travail indépendant. Les femmes chefs de famille ont également bénéficié des prêts au logement proposés par le Ministère du logement et de la construction. Des programmes spéciaux de formation professionnelle et informelle sont offerts aux femmes qui n</w:t>
      </w:r>
      <w:r w:rsidR="00474653">
        <w:rPr>
          <w:lang w:val="fr-FR"/>
        </w:rPr>
        <w:t>’</w:t>
      </w:r>
      <w:r w:rsidRPr="00CC76D1">
        <w:rPr>
          <w:lang w:val="fr-FR"/>
        </w:rPr>
        <w:t>ont pas pu poursuivre leur scolarité en raison du conflit. Dans le cadre de mesures immédiates pour venir en aide aux femmes touchées, des dispensaires mobile</w:t>
      </w:r>
      <w:r w:rsidR="007D0434">
        <w:rPr>
          <w:lang w:val="fr-FR"/>
        </w:rPr>
        <w:t>s (« </w:t>
      </w:r>
      <w:r w:rsidRPr="00CC76D1">
        <w:rPr>
          <w:lang w:val="fr-FR"/>
        </w:rPr>
        <w:t>Liya Shakthi</w:t>
      </w:r>
      <w:r w:rsidR="007D0434">
        <w:rPr>
          <w:lang w:val="fr-FR"/>
        </w:rPr>
        <w:t> »</w:t>
      </w:r>
      <w:r w:rsidRPr="00CC76D1">
        <w:rPr>
          <w:lang w:val="fr-FR"/>
        </w:rPr>
        <w:t>) leur ont fourni des soins dans le district de Killinochchi et les organismes compétents ont délivré des documents d</w:t>
      </w:r>
      <w:r w:rsidR="00474653">
        <w:rPr>
          <w:lang w:val="fr-FR"/>
        </w:rPr>
        <w:t>’</w:t>
      </w:r>
      <w:r w:rsidRPr="00CC76D1">
        <w:rPr>
          <w:lang w:val="fr-FR"/>
        </w:rPr>
        <w:t>état civil à plus de 3 000 femmes qui n</w:t>
      </w:r>
      <w:r w:rsidR="00474653">
        <w:rPr>
          <w:lang w:val="fr-FR"/>
        </w:rPr>
        <w:t>’</w:t>
      </w:r>
      <w:r w:rsidRPr="00CC76D1">
        <w:rPr>
          <w:lang w:val="fr-FR"/>
        </w:rPr>
        <w:t xml:space="preserve">avaient pas pu les obtenir en raison du conflit. </w:t>
      </w:r>
    </w:p>
    <w:p w:rsidR="00EC4C5A" w:rsidRPr="00CC76D1" w:rsidRDefault="00EC4C5A" w:rsidP="007D0434">
      <w:pPr>
        <w:pStyle w:val="H1G"/>
        <w:rPr>
          <w:lang w:val="fr-FR"/>
        </w:rPr>
      </w:pPr>
      <w:r w:rsidRPr="00CC76D1">
        <w:rPr>
          <w:lang w:val="fr-FR"/>
        </w:rPr>
        <w:tab/>
        <w:t>8.</w:t>
      </w:r>
      <w:r w:rsidRPr="00CC76D1">
        <w:rPr>
          <w:lang w:val="fr-FR"/>
        </w:rPr>
        <w:tab/>
        <w:t>Protection des droits des propriétaire</w:t>
      </w:r>
      <w:r w:rsidR="007D0434">
        <w:rPr>
          <w:lang w:val="fr-FR"/>
        </w:rPr>
        <w:t>s et des utilisateurs de terres</w:t>
      </w:r>
      <w:r w:rsidR="007D0434">
        <w:rPr>
          <w:lang w:val="fr-FR"/>
        </w:rPr>
        <w:br/>
      </w:r>
      <w:r w:rsidRPr="00CC76D1">
        <w:rPr>
          <w:lang w:val="fr-FR"/>
        </w:rPr>
        <w:t>en cas d</w:t>
      </w:r>
      <w:r w:rsidR="00474653">
        <w:rPr>
          <w:lang w:val="fr-FR"/>
        </w:rPr>
        <w:t>’</w:t>
      </w:r>
      <w:r w:rsidRPr="00CC76D1">
        <w:rPr>
          <w:lang w:val="fr-FR"/>
        </w:rPr>
        <w:t>acquisition</w:t>
      </w:r>
      <w:r w:rsidR="00B707F2">
        <w:rPr>
          <w:lang w:val="fr-FR"/>
        </w:rPr>
        <w:t xml:space="preserve"> de terres à des fins publiques</w:t>
      </w:r>
    </w:p>
    <w:p w:rsidR="00EC4C5A" w:rsidRPr="00CC76D1" w:rsidRDefault="00EC4C5A" w:rsidP="007D0434">
      <w:pPr>
        <w:pStyle w:val="SingleTxtG"/>
        <w:rPr>
          <w:lang w:val="fr-FR"/>
        </w:rPr>
      </w:pPr>
      <w:r w:rsidRPr="00CC76D1">
        <w:rPr>
          <w:lang w:val="fr-FR"/>
        </w:rPr>
        <w:t>101.</w:t>
      </w:r>
      <w:r w:rsidRPr="00CC76D1">
        <w:rPr>
          <w:lang w:val="fr-FR"/>
        </w:rPr>
        <w:tab/>
        <w:t>Le cadre juridique qui a été mis en place pour assurer la protection des droits des propriétaires fonciers et des utilisateurs de terres en cas d</w:t>
      </w:r>
      <w:r w:rsidR="00474653">
        <w:rPr>
          <w:lang w:val="fr-FR"/>
        </w:rPr>
        <w:t>’</w:t>
      </w:r>
      <w:r w:rsidRPr="00CC76D1">
        <w:rPr>
          <w:lang w:val="fr-FR"/>
        </w:rPr>
        <w:t>acquisition de terres par une institution de l</w:t>
      </w:r>
      <w:r w:rsidR="00474653">
        <w:rPr>
          <w:lang w:val="fr-FR"/>
        </w:rPr>
        <w:t>’</w:t>
      </w:r>
      <w:r w:rsidRPr="00CC76D1">
        <w:rPr>
          <w:lang w:val="fr-FR"/>
        </w:rPr>
        <w:t xml:space="preserve">État est décrit en détail aux paragraphes 5.1 à 5.5. </w:t>
      </w:r>
    </w:p>
    <w:p w:rsidR="00EC4C5A" w:rsidRPr="00CC76D1" w:rsidRDefault="00EC4C5A" w:rsidP="007D0434">
      <w:pPr>
        <w:pStyle w:val="SingleTxtG"/>
        <w:rPr>
          <w:lang w:val="fr-FR"/>
        </w:rPr>
      </w:pPr>
      <w:r w:rsidRPr="00CC76D1">
        <w:rPr>
          <w:lang w:val="fr-FR"/>
        </w:rPr>
        <w:t>102.</w:t>
      </w:r>
      <w:r w:rsidRPr="00CC76D1">
        <w:rPr>
          <w:lang w:val="fr-FR"/>
        </w:rPr>
        <w:tab/>
        <w:t>En ce qui concerne les résultats des travaux de la commission établie pour enquêter sur les expulsions et les réinstallations effectuées par l</w:t>
      </w:r>
      <w:r w:rsidR="00474653">
        <w:rPr>
          <w:lang w:val="fr-FR"/>
        </w:rPr>
        <w:t>’</w:t>
      </w:r>
      <w:r w:rsidRPr="00CC76D1">
        <w:rPr>
          <w:lang w:val="fr-FR"/>
        </w:rPr>
        <w:t>Autorité de développement urbain, il convient de noter que ladite autorité a publié un avis dans la presse afin de recueillir les plaintes des familles réinstallées par l</w:t>
      </w:r>
      <w:r w:rsidR="00474653">
        <w:rPr>
          <w:lang w:val="fr-FR"/>
        </w:rPr>
        <w:t>’</w:t>
      </w:r>
      <w:r w:rsidRPr="00CC76D1">
        <w:rPr>
          <w:lang w:val="fr-FR"/>
        </w:rPr>
        <w:t>Autorité de l</w:t>
      </w:r>
      <w:r w:rsidR="00474653">
        <w:rPr>
          <w:lang w:val="fr-FR"/>
        </w:rPr>
        <w:t>’</w:t>
      </w:r>
      <w:r w:rsidRPr="00CC76D1">
        <w:rPr>
          <w:lang w:val="fr-FR"/>
        </w:rPr>
        <w:t>aménagement urbain dans le cadre du projet de rénovation urbaine. La commission a examiné les plaintes reçues suite à la parution de cet avis, à la suite de quoi, il a été établi qu</w:t>
      </w:r>
      <w:r w:rsidR="00474653">
        <w:rPr>
          <w:lang w:val="fr-FR"/>
        </w:rPr>
        <w:t>’</w:t>
      </w:r>
      <w:r w:rsidRPr="00CC76D1">
        <w:rPr>
          <w:lang w:val="fr-FR"/>
        </w:rPr>
        <w:t>aucune plainte pour expulsion forcée de la part de l</w:t>
      </w:r>
      <w:r w:rsidR="00474653">
        <w:rPr>
          <w:lang w:val="fr-FR"/>
        </w:rPr>
        <w:t>’</w:t>
      </w:r>
      <w:r w:rsidRPr="00CC76D1">
        <w:rPr>
          <w:lang w:val="fr-FR"/>
        </w:rPr>
        <w:t>Autorité d</w:t>
      </w:r>
      <w:r w:rsidR="00474653">
        <w:rPr>
          <w:lang w:val="fr-FR"/>
        </w:rPr>
        <w:t>’</w:t>
      </w:r>
      <w:r w:rsidRPr="00CC76D1">
        <w:rPr>
          <w:lang w:val="fr-FR"/>
        </w:rPr>
        <w:t>aménagement urbain n</w:t>
      </w:r>
      <w:r w:rsidR="00474653">
        <w:rPr>
          <w:lang w:val="fr-FR"/>
        </w:rPr>
        <w:t>’</w:t>
      </w:r>
      <w:r w:rsidRPr="00CC76D1">
        <w:rPr>
          <w:lang w:val="fr-FR"/>
        </w:rPr>
        <w:t>avait été déposée. Les détails et la nature des communications reçues suite à la parution de l</w:t>
      </w:r>
      <w:r w:rsidR="00474653">
        <w:rPr>
          <w:lang w:val="fr-FR"/>
        </w:rPr>
        <w:t>’</w:t>
      </w:r>
      <w:r w:rsidRPr="00CC76D1">
        <w:rPr>
          <w:lang w:val="fr-FR"/>
        </w:rPr>
        <w:t>avis par voie de presse sont les suivants</w:t>
      </w:r>
      <w:r w:rsidR="00112F55">
        <w:rPr>
          <w:lang w:val="fr-FR"/>
        </w:rPr>
        <w:t xml:space="preserve"> :</w:t>
      </w:r>
      <w:r w:rsidRPr="00CC76D1">
        <w:rPr>
          <w:lang w:val="fr-FR"/>
        </w:rPr>
        <w:t xml:space="preserve"> </w:t>
      </w:r>
    </w:p>
    <w:p w:rsidR="00EC4C5A" w:rsidRPr="00CC76D1" w:rsidRDefault="00EC4C5A" w:rsidP="007D0434">
      <w:pPr>
        <w:pStyle w:val="SingleTxtG"/>
        <w:kinsoku/>
        <w:overflowPunct/>
        <w:autoSpaceDE/>
        <w:autoSpaceDN/>
        <w:adjustRightInd/>
        <w:snapToGrid/>
        <w:ind w:left="1701"/>
        <w:rPr>
          <w:lang w:val="fr-FR"/>
        </w:rPr>
      </w:pPr>
      <w:r w:rsidRPr="00CC76D1">
        <w:rPr>
          <w:lang w:val="fr-FR"/>
        </w:rPr>
        <w:t>1.</w:t>
      </w:r>
      <w:r w:rsidRPr="00CC76D1">
        <w:rPr>
          <w:lang w:val="fr-FR"/>
        </w:rPr>
        <w:tab/>
        <w:t>Demandes d</w:t>
      </w:r>
      <w:r w:rsidR="00474653">
        <w:rPr>
          <w:lang w:val="fr-FR"/>
        </w:rPr>
        <w:t>’</w:t>
      </w:r>
      <w:r w:rsidRPr="00CC76D1">
        <w:rPr>
          <w:lang w:val="fr-FR"/>
        </w:rPr>
        <w:t>unités supplémentaires eu égard à la</w:t>
      </w:r>
      <w:r w:rsidR="007D0434">
        <w:rPr>
          <w:lang w:val="fr-FR"/>
        </w:rPr>
        <w:t xml:space="preserve"> surface habitable de la maison ;</w:t>
      </w:r>
    </w:p>
    <w:p w:rsidR="00EC4C5A" w:rsidRPr="00474653" w:rsidRDefault="00EC4C5A" w:rsidP="007D0434">
      <w:pPr>
        <w:pStyle w:val="SingleTxtG"/>
        <w:kinsoku/>
        <w:overflowPunct/>
        <w:autoSpaceDE/>
        <w:autoSpaceDN/>
        <w:adjustRightInd/>
        <w:snapToGrid/>
        <w:ind w:left="1701"/>
        <w:rPr>
          <w:rFonts w:eastAsia="SimSun"/>
          <w:lang w:eastAsia="zh-CN"/>
        </w:rPr>
      </w:pPr>
      <w:r w:rsidRPr="00CC76D1">
        <w:rPr>
          <w:lang w:val="fr-FR"/>
        </w:rPr>
        <w:t>2.</w:t>
      </w:r>
      <w:r w:rsidRPr="00CC76D1">
        <w:rPr>
          <w:lang w:val="fr-FR"/>
        </w:rPr>
        <w:tab/>
        <w:t xml:space="preserve">Demandes de logements </w:t>
      </w:r>
      <w:r w:rsidRPr="00474653">
        <w:rPr>
          <w:rFonts w:eastAsia="SimSun"/>
          <w:lang w:eastAsia="zh-CN"/>
        </w:rPr>
        <w:t>supplémentaires eu égard au nombre de familles</w:t>
      </w:r>
      <w:r w:rsidR="00112F55">
        <w:rPr>
          <w:rFonts w:eastAsia="SimSun"/>
          <w:lang w:eastAsia="zh-CN"/>
        </w:rPr>
        <w:t xml:space="preserve"> ;</w:t>
      </w:r>
    </w:p>
    <w:p w:rsidR="00EC4C5A" w:rsidRPr="00474653" w:rsidRDefault="00EC4C5A" w:rsidP="007D0434">
      <w:pPr>
        <w:pStyle w:val="SingleTxtG"/>
        <w:kinsoku/>
        <w:overflowPunct/>
        <w:autoSpaceDE/>
        <w:autoSpaceDN/>
        <w:adjustRightInd/>
        <w:snapToGrid/>
        <w:ind w:left="1701"/>
        <w:rPr>
          <w:rFonts w:eastAsia="SimSun"/>
          <w:lang w:eastAsia="zh-CN"/>
        </w:rPr>
      </w:pPr>
      <w:r w:rsidRPr="00474653">
        <w:rPr>
          <w:rFonts w:eastAsia="SimSun"/>
          <w:lang w:eastAsia="zh-CN"/>
        </w:rPr>
        <w:t>3.</w:t>
      </w:r>
      <w:r w:rsidRPr="00474653">
        <w:rPr>
          <w:rFonts w:eastAsia="SimSun"/>
          <w:lang w:eastAsia="zh-CN"/>
        </w:rPr>
        <w:tab/>
        <w:t>Perte de revenus en raison du manque de disponibilité de locaux adaptés à un usage commercial</w:t>
      </w:r>
      <w:r w:rsidR="00112F55">
        <w:rPr>
          <w:rFonts w:eastAsia="SimSun"/>
          <w:lang w:eastAsia="zh-CN"/>
        </w:rPr>
        <w:t xml:space="preserve"> ;</w:t>
      </w:r>
    </w:p>
    <w:p w:rsidR="00EC4C5A" w:rsidRPr="00474653" w:rsidRDefault="00EC4C5A" w:rsidP="007D0434">
      <w:pPr>
        <w:pStyle w:val="SingleTxtG"/>
        <w:kinsoku/>
        <w:overflowPunct/>
        <w:autoSpaceDE/>
        <w:autoSpaceDN/>
        <w:adjustRightInd/>
        <w:snapToGrid/>
        <w:ind w:left="1701"/>
        <w:rPr>
          <w:rFonts w:eastAsia="SimSun"/>
          <w:lang w:eastAsia="zh-CN"/>
        </w:rPr>
      </w:pPr>
      <w:r w:rsidRPr="00474653">
        <w:rPr>
          <w:rFonts w:eastAsia="SimSun"/>
          <w:lang w:eastAsia="zh-CN"/>
        </w:rPr>
        <w:t>4.</w:t>
      </w:r>
      <w:r w:rsidRPr="00474653">
        <w:rPr>
          <w:rFonts w:eastAsia="SimSun"/>
          <w:lang w:eastAsia="zh-CN"/>
        </w:rPr>
        <w:tab/>
        <w:t>Demande de logements par des locataires</w:t>
      </w:r>
      <w:r w:rsidR="00112F55">
        <w:rPr>
          <w:rFonts w:eastAsia="SimSun"/>
          <w:lang w:eastAsia="zh-CN"/>
        </w:rPr>
        <w:t xml:space="preserve"> ;</w:t>
      </w:r>
    </w:p>
    <w:p w:rsidR="00EC4C5A" w:rsidRPr="00CC76D1" w:rsidRDefault="00EC4C5A" w:rsidP="007D0434">
      <w:pPr>
        <w:pStyle w:val="SingleTxtG"/>
        <w:kinsoku/>
        <w:overflowPunct/>
        <w:autoSpaceDE/>
        <w:autoSpaceDN/>
        <w:adjustRightInd/>
        <w:snapToGrid/>
        <w:ind w:left="1701"/>
        <w:rPr>
          <w:lang w:val="fr-FR"/>
        </w:rPr>
      </w:pPr>
      <w:r w:rsidRPr="007D0434">
        <w:rPr>
          <w:rFonts w:eastAsia="SimSun"/>
          <w:lang w:eastAsia="zh-CN"/>
        </w:rPr>
        <w:t>5.</w:t>
      </w:r>
      <w:r w:rsidRPr="007D0434">
        <w:rPr>
          <w:rFonts w:eastAsia="SimSun"/>
          <w:lang w:eastAsia="zh-CN"/>
        </w:rPr>
        <w:tab/>
        <w:t>Demandes de logements par des</w:t>
      </w:r>
      <w:r w:rsidRPr="00CC76D1">
        <w:rPr>
          <w:lang w:val="fr-FR"/>
        </w:rPr>
        <w:t xml:space="preserve"> personnes v</w:t>
      </w:r>
      <w:r w:rsidR="007D0434">
        <w:rPr>
          <w:lang w:val="fr-FR"/>
        </w:rPr>
        <w:t>ivant dans d</w:t>
      </w:r>
      <w:r w:rsidR="00474653">
        <w:rPr>
          <w:lang w:val="fr-FR"/>
        </w:rPr>
        <w:t>’</w:t>
      </w:r>
      <w:r w:rsidR="007D0434">
        <w:rPr>
          <w:lang w:val="fr-FR"/>
        </w:rPr>
        <w:t>autres régions (ne </w:t>
      </w:r>
      <w:r w:rsidRPr="00CC76D1">
        <w:rPr>
          <w:lang w:val="fr-FR"/>
        </w:rPr>
        <w:t>concernent pas le projet de rénovation urbaine)</w:t>
      </w:r>
      <w:r w:rsidR="00AB3951">
        <w:rPr>
          <w:lang w:val="fr-FR"/>
        </w:rPr>
        <w:t>.</w:t>
      </w:r>
    </w:p>
    <w:p w:rsidR="00EC4C5A" w:rsidRPr="00CC76D1" w:rsidRDefault="00EC4C5A" w:rsidP="007D0434">
      <w:pPr>
        <w:pStyle w:val="SingleTxtG"/>
        <w:rPr>
          <w:lang w:val="fr-FR"/>
        </w:rPr>
      </w:pPr>
      <w:r w:rsidRPr="00CC76D1">
        <w:rPr>
          <w:lang w:val="fr-FR"/>
        </w:rPr>
        <w:t>103.</w:t>
      </w:r>
      <w:r w:rsidRPr="00CC76D1">
        <w:rPr>
          <w:lang w:val="fr-FR"/>
        </w:rPr>
        <w:tab/>
        <w:t>Après avoir examiné les plaintes, la commission a recommandé les mesures ci-après dont la mise en œuvre est en cours</w:t>
      </w:r>
      <w:r w:rsidR="00112F55">
        <w:rPr>
          <w:lang w:val="fr-FR"/>
        </w:rPr>
        <w:t xml:space="preserve"> :</w:t>
      </w:r>
    </w:p>
    <w:p w:rsidR="00EC4C5A" w:rsidRPr="00CC76D1" w:rsidRDefault="00EC4C5A" w:rsidP="007D0434">
      <w:pPr>
        <w:pStyle w:val="SingleTxtG"/>
        <w:kinsoku/>
        <w:overflowPunct/>
        <w:autoSpaceDE/>
        <w:autoSpaceDN/>
        <w:adjustRightInd/>
        <w:snapToGrid/>
        <w:ind w:left="1701"/>
        <w:rPr>
          <w:lang w:val="fr-FR"/>
        </w:rPr>
      </w:pPr>
      <w:r w:rsidRPr="00CC76D1">
        <w:rPr>
          <w:lang w:val="fr-FR"/>
        </w:rPr>
        <w:t>1.</w:t>
      </w:r>
      <w:r w:rsidRPr="00CC76D1">
        <w:rPr>
          <w:lang w:val="fr-FR"/>
        </w:rPr>
        <w:tab/>
        <w:t>Allocation de logements supplémentaires en fonction de la surface de la maison/du terrain</w:t>
      </w:r>
      <w:r w:rsidR="00112F55">
        <w:rPr>
          <w:lang w:val="fr-FR"/>
        </w:rPr>
        <w:t xml:space="preserve"> ;</w:t>
      </w:r>
    </w:p>
    <w:p w:rsidR="00EC4C5A" w:rsidRPr="00CC76D1" w:rsidRDefault="00EC4C5A" w:rsidP="007D0434">
      <w:pPr>
        <w:pStyle w:val="SingleTxtG"/>
        <w:kinsoku/>
        <w:overflowPunct/>
        <w:autoSpaceDE/>
        <w:autoSpaceDN/>
        <w:adjustRightInd/>
        <w:snapToGrid/>
        <w:ind w:left="1701"/>
        <w:rPr>
          <w:lang w:val="fr-FR"/>
        </w:rPr>
      </w:pPr>
      <w:r w:rsidRPr="00CC76D1">
        <w:rPr>
          <w:lang w:val="fr-FR"/>
        </w:rPr>
        <w:t>2.</w:t>
      </w:r>
      <w:r w:rsidRPr="00CC76D1">
        <w:rPr>
          <w:lang w:val="fr-FR"/>
        </w:rPr>
        <w:tab/>
        <w:t>Allocation d</w:t>
      </w:r>
      <w:r w:rsidR="00474653">
        <w:rPr>
          <w:lang w:val="fr-FR"/>
        </w:rPr>
        <w:t>’</w:t>
      </w:r>
      <w:r w:rsidRPr="00CC76D1">
        <w:rPr>
          <w:lang w:val="fr-FR"/>
        </w:rPr>
        <w:t>unités commerciales en location afin d</w:t>
      </w:r>
      <w:r w:rsidR="00474653">
        <w:rPr>
          <w:lang w:val="fr-FR"/>
        </w:rPr>
        <w:t>’</w:t>
      </w:r>
      <w:r w:rsidRPr="00CC76D1">
        <w:rPr>
          <w:lang w:val="fr-FR"/>
        </w:rPr>
        <w:t>atténuer les difficultés économiques</w:t>
      </w:r>
      <w:r w:rsidR="00112F55">
        <w:rPr>
          <w:lang w:val="fr-FR"/>
        </w:rPr>
        <w:t xml:space="preserve"> ;</w:t>
      </w:r>
    </w:p>
    <w:p w:rsidR="00EC4C5A" w:rsidRPr="00CC76D1" w:rsidRDefault="00EC4C5A" w:rsidP="007D0434">
      <w:pPr>
        <w:pStyle w:val="SingleTxtG"/>
        <w:kinsoku/>
        <w:overflowPunct/>
        <w:autoSpaceDE/>
        <w:autoSpaceDN/>
        <w:adjustRightInd/>
        <w:snapToGrid/>
        <w:ind w:left="1701"/>
        <w:rPr>
          <w:lang w:val="fr-FR"/>
        </w:rPr>
      </w:pPr>
      <w:r w:rsidRPr="00CC76D1">
        <w:rPr>
          <w:lang w:val="fr-FR"/>
        </w:rPr>
        <w:t>3.</w:t>
      </w:r>
      <w:r w:rsidRPr="00CC76D1">
        <w:rPr>
          <w:lang w:val="fr-FR"/>
        </w:rPr>
        <w:tab/>
        <w:t>Indemnisation des propriétaires de terrains privés.</w:t>
      </w:r>
    </w:p>
    <w:p w:rsidR="00EC4C5A" w:rsidRPr="00CC76D1" w:rsidRDefault="00EC4C5A" w:rsidP="007607C0">
      <w:pPr>
        <w:pStyle w:val="H1G"/>
        <w:rPr>
          <w:lang w:val="fr-FR"/>
        </w:rPr>
      </w:pPr>
      <w:r w:rsidRPr="00CC76D1">
        <w:rPr>
          <w:lang w:val="fr-FR"/>
        </w:rPr>
        <w:tab/>
        <w:t>9.</w:t>
      </w:r>
      <w:r w:rsidRPr="00CC76D1">
        <w:rPr>
          <w:lang w:val="fr-FR"/>
        </w:rPr>
        <w:tab/>
        <w:t xml:space="preserve">Renforcement du cadre politique, </w:t>
      </w:r>
      <w:r w:rsidR="007607C0">
        <w:rPr>
          <w:lang w:val="fr-FR"/>
        </w:rPr>
        <w:t>juridique et procédural relatif</w:t>
      </w:r>
      <w:r w:rsidR="007607C0">
        <w:rPr>
          <w:lang w:val="fr-FR"/>
        </w:rPr>
        <w:br/>
      </w:r>
      <w:r w:rsidRPr="00CC76D1">
        <w:rPr>
          <w:lang w:val="fr-FR"/>
        </w:rPr>
        <w:t>à la protection des droits des personnes déplacées</w:t>
      </w:r>
    </w:p>
    <w:p w:rsidR="00EC4C5A" w:rsidRPr="00CC76D1" w:rsidRDefault="00EC4C5A" w:rsidP="007607C0">
      <w:pPr>
        <w:pStyle w:val="SingleTxtG"/>
        <w:rPr>
          <w:lang w:val="fr-FR"/>
        </w:rPr>
      </w:pPr>
      <w:r w:rsidRPr="00CC76D1">
        <w:rPr>
          <w:lang w:val="fr-FR"/>
        </w:rPr>
        <w:t>104.</w:t>
      </w:r>
      <w:r w:rsidRPr="00CC76D1">
        <w:rPr>
          <w:lang w:val="fr-FR"/>
        </w:rPr>
        <w:tab/>
        <w:t>Le Ministère de la réforme pénitentiaire, de la réinsertion, de la réinstallation et des affaires religieuses hindoues a élaboré, avec l</w:t>
      </w:r>
      <w:r w:rsidR="00474653">
        <w:rPr>
          <w:lang w:val="fr-FR"/>
        </w:rPr>
        <w:t>’</w:t>
      </w:r>
      <w:r w:rsidRPr="00CC76D1">
        <w:rPr>
          <w:lang w:val="fr-FR"/>
        </w:rPr>
        <w:t xml:space="preserve">assistance technique du Haut-Commissariat des Nations Unies pour les réfugiés, une politique visant à répondre de façon durable aux besoins des personnes déplacées, notamment à la suite du conflit. </w:t>
      </w:r>
    </w:p>
    <w:p w:rsidR="00EC4C5A" w:rsidRPr="00CC76D1" w:rsidRDefault="00EC4C5A" w:rsidP="007607C0">
      <w:pPr>
        <w:pStyle w:val="SingleTxtG"/>
        <w:rPr>
          <w:lang w:val="fr-FR"/>
        </w:rPr>
      </w:pPr>
      <w:r w:rsidRPr="00CC76D1">
        <w:rPr>
          <w:lang w:val="fr-FR"/>
        </w:rPr>
        <w:t>105.</w:t>
      </w:r>
      <w:r w:rsidRPr="00CC76D1">
        <w:rPr>
          <w:lang w:val="fr-FR"/>
        </w:rPr>
        <w:tab/>
        <w:t xml:space="preserve">Cette politique, fondée, entre autres, sur des projets de textes rédigés au cours des années précédentes et sur des documents clefs comme le rapport de la Commission des enseignements et de la réconciliation, conformément aux principes fondamentaux consacrés </w:t>
      </w:r>
      <w:r w:rsidRPr="00CC76D1">
        <w:rPr>
          <w:lang w:val="fr-FR"/>
        </w:rPr>
        <w:lastRenderedPageBreak/>
        <w:t>dans la législation interne et le droit international, s</w:t>
      </w:r>
      <w:r w:rsidR="00474653">
        <w:rPr>
          <w:lang w:val="fr-FR"/>
        </w:rPr>
        <w:t>’</w:t>
      </w:r>
      <w:r w:rsidRPr="00CC76D1">
        <w:rPr>
          <w:lang w:val="fr-FR"/>
        </w:rPr>
        <w:t>adresse à tous. Elle mettra l</w:t>
      </w:r>
      <w:r w:rsidR="00474653">
        <w:rPr>
          <w:lang w:val="fr-FR"/>
        </w:rPr>
        <w:t>’</w:t>
      </w:r>
      <w:r w:rsidRPr="00CC76D1">
        <w:rPr>
          <w:lang w:val="fr-FR"/>
        </w:rPr>
        <w:t>accent sur des solutions durables à l</w:t>
      </w:r>
      <w:r w:rsidR="00474653">
        <w:rPr>
          <w:lang w:val="fr-FR"/>
        </w:rPr>
        <w:t>’</w:t>
      </w:r>
      <w:r w:rsidRPr="00CC76D1">
        <w:rPr>
          <w:lang w:val="fr-FR"/>
        </w:rPr>
        <w:t xml:space="preserve">intention des personnes déplacées, notamment à la suite du conflit. </w:t>
      </w:r>
    </w:p>
    <w:p w:rsidR="00EC4C5A" w:rsidRPr="00CC76D1" w:rsidRDefault="00EC4C5A" w:rsidP="007607C0">
      <w:pPr>
        <w:pStyle w:val="SingleTxtG"/>
        <w:rPr>
          <w:lang w:val="fr-FR"/>
        </w:rPr>
      </w:pPr>
      <w:r w:rsidRPr="00CC76D1">
        <w:rPr>
          <w:lang w:val="fr-FR"/>
        </w:rPr>
        <w:t>106.</w:t>
      </w:r>
      <w:r w:rsidRPr="00CC76D1">
        <w:rPr>
          <w:lang w:val="fr-FR"/>
        </w:rPr>
        <w:tab/>
        <w:t>Le Gouvernement sri-lankais s</w:t>
      </w:r>
      <w:r w:rsidR="00474653">
        <w:rPr>
          <w:lang w:val="fr-FR"/>
        </w:rPr>
        <w:t>’</w:t>
      </w:r>
      <w:r w:rsidRPr="00CC76D1">
        <w:rPr>
          <w:lang w:val="fr-FR"/>
        </w:rPr>
        <w:t>est engagé à adopter, dans le cadre de cette politique, une approche globale du développement et de l</w:t>
      </w:r>
      <w:r w:rsidR="00474653">
        <w:rPr>
          <w:lang w:val="fr-FR"/>
        </w:rPr>
        <w:t>’</w:t>
      </w:r>
      <w:r w:rsidRPr="00CC76D1">
        <w:rPr>
          <w:lang w:val="fr-FR"/>
        </w:rPr>
        <w:t>aide aux personnes déplacées, aux réfugiés, aux rapatriés et aux autres personnes touchées par les déplacements qui tienne compte des questions liées à l</w:t>
      </w:r>
      <w:r w:rsidR="00474653">
        <w:rPr>
          <w:lang w:val="fr-FR"/>
        </w:rPr>
        <w:t>’</w:t>
      </w:r>
      <w:r w:rsidRPr="00CC76D1">
        <w:rPr>
          <w:lang w:val="fr-FR"/>
        </w:rPr>
        <w:t>âge, au sexe et à la diversité. En conséquence, le Gouvernement s</w:t>
      </w:r>
      <w:r w:rsidR="00474653">
        <w:rPr>
          <w:lang w:val="fr-FR"/>
        </w:rPr>
        <w:t>’</w:t>
      </w:r>
      <w:r w:rsidRPr="00CC76D1">
        <w:rPr>
          <w:lang w:val="fr-FR"/>
        </w:rPr>
        <w:t xml:space="preserve">est engagé à mettre en place des solutions ciblées et adaptées aux besoins spécifiques de certains groupes, notamment les femmes. </w:t>
      </w:r>
    </w:p>
    <w:p w:rsidR="00EC4C5A" w:rsidRPr="00CC76D1" w:rsidRDefault="00EC4C5A" w:rsidP="007607C0">
      <w:pPr>
        <w:pStyle w:val="SingleTxtG"/>
        <w:rPr>
          <w:lang w:val="fr-FR"/>
        </w:rPr>
      </w:pPr>
      <w:r w:rsidRPr="00CC76D1">
        <w:rPr>
          <w:lang w:val="fr-FR"/>
        </w:rPr>
        <w:t>107.</w:t>
      </w:r>
      <w:r w:rsidRPr="00CC76D1">
        <w:rPr>
          <w:lang w:val="fr-FR"/>
        </w:rPr>
        <w:tab/>
        <w:t>Le Conseil des ministres a approuvé cette politique le 27 août 2016 puis l</w:t>
      </w:r>
      <w:r w:rsidR="00474653">
        <w:rPr>
          <w:lang w:val="fr-FR"/>
        </w:rPr>
        <w:t>’</w:t>
      </w:r>
      <w:r w:rsidRPr="00CC76D1">
        <w:rPr>
          <w:lang w:val="fr-FR"/>
        </w:rPr>
        <w:t>a transmise aux organismes compétents en vue de son intégration dans leurs programmes de travail respectifs. Le Ministère de la réforme pénitentiaire, de la réinsertion, de la réinstallation et des affaires religieuses hindoues a tenu compte, dans son budget pour l</w:t>
      </w:r>
      <w:r w:rsidR="00474653">
        <w:rPr>
          <w:lang w:val="fr-FR"/>
        </w:rPr>
        <w:t>’</w:t>
      </w:r>
      <w:r w:rsidRPr="00CC76D1">
        <w:rPr>
          <w:lang w:val="fr-FR"/>
        </w:rPr>
        <w:t xml:space="preserve">année 2017, des mesures prévues dans cette politique. </w:t>
      </w:r>
    </w:p>
    <w:p w:rsidR="00EC4C5A" w:rsidRPr="00CC76D1" w:rsidRDefault="00EC4C5A" w:rsidP="002C2D68">
      <w:pPr>
        <w:pStyle w:val="SingleTxtG"/>
        <w:rPr>
          <w:lang w:val="fr-FR"/>
        </w:rPr>
      </w:pPr>
      <w:r w:rsidRPr="00CC76D1">
        <w:rPr>
          <w:lang w:val="fr-FR"/>
        </w:rPr>
        <w:t>108.</w:t>
      </w:r>
      <w:r w:rsidRPr="00CC76D1">
        <w:rPr>
          <w:lang w:val="fr-FR"/>
        </w:rPr>
        <w:tab/>
        <w:t>Le plan d</w:t>
      </w:r>
      <w:r w:rsidR="00474653">
        <w:rPr>
          <w:lang w:val="fr-FR"/>
        </w:rPr>
        <w:t>’</w:t>
      </w:r>
      <w:r w:rsidRPr="00CC76D1">
        <w:rPr>
          <w:lang w:val="fr-FR"/>
        </w:rPr>
        <w:t xml:space="preserve">action national en faveur des droits </w:t>
      </w:r>
      <w:r w:rsidR="002C2D68">
        <w:rPr>
          <w:lang w:val="fr-FR"/>
        </w:rPr>
        <w:t>de l</w:t>
      </w:r>
      <w:r w:rsidR="00474653">
        <w:rPr>
          <w:lang w:val="fr-FR"/>
        </w:rPr>
        <w:t>’</w:t>
      </w:r>
      <w:r w:rsidR="002C2D68">
        <w:rPr>
          <w:lang w:val="fr-FR"/>
        </w:rPr>
        <w:t>homme pour la période 2017</w:t>
      </w:r>
      <w:r w:rsidR="002C2D68">
        <w:rPr>
          <w:lang w:val="fr-FR"/>
        </w:rPr>
        <w:noBreakHyphen/>
      </w:r>
      <w:r w:rsidRPr="00CC76D1">
        <w:rPr>
          <w:lang w:val="fr-FR"/>
        </w:rPr>
        <w:t>2021 adopté par le Gouvernement en janvier 2017 contient un chapitre distinct sur les droits des personnes déplacées et précise les politiques et mesures concrètes à mettre en œuvre pour leur donner effet.</w:t>
      </w:r>
    </w:p>
    <w:p w:rsidR="00EC4C5A" w:rsidRDefault="00EC4C5A" w:rsidP="002C2D68">
      <w:pPr>
        <w:pStyle w:val="SingleTxtG"/>
        <w:rPr>
          <w:lang w:val="fr-FR"/>
        </w:rPr>
      </w:pPr>
      <w:r w:rsidRPr="00CC76D1">
        <w:rPr>
          <w:lang w:val="fr-FR"/>
        </w:rPr>
        <w:t>109.</w:t>
      </w:r>
      <w:r w:rsidRPr="00CC76D1">
        <w:rPr>
          <w:lang w:val="fr-FR"/>
        </w:rPr>
        <w:tab/>
        <w:t>À la fin du mois d</w:t>
      </w:r>
      <w:r w:rsidR="00474653">
        <w:rPr>
          <w:lang w:val="fr-FR"/>
        </w:rPr>
        <w:t>’</w:t>
      </w:r>
      <w:r w:rsidRPr="00CC76D1">
        <w:rPr>
          <w:lang w:val="fr-FR"/>
        </w:rPr>
        <w:t>août 2016, le Gouvernement avait réinstallé 253 231 familles, soit 882 392 personnes au total. Le nombre de familles devant encore être réinstallées s</w:t>
      </w:r>
      <w:r w:rsidR="00474653">
        <w:rPr>
          <w:lang w:val="fr-FR"/>
        </w:rPr>
        <w:t>’</w:t>
      </w:r>
      <w:r w:rsidRPr="00CC76D1">
        <w:rPr>
          <w:lang w:val="fr-FR"/>
        </w:rPr>
        <w:t>élève à 13 670 (soit 43 607 personnes).</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44"/>
        <w:gridCol w:w="1247"/>
        <w:gridCol w:w="856"/>
        <w:gridCol w:w="1062"/>
        <w:gridCol w:w="894"/>
        <w:gridCol w:w="1244"/>
        <w:gridCol w:w="1062"/>
        <w:gridCol w:w="1096"/>
      </w:tblGrid>
      <w:tr w:rsidR="002C2D68" w:rsidRPr="005E60F1" w:rsidTr="00474653">
        <w:trPr>
          <w:tblHeader/>
        </w:trPr>
        <w:tc>
          <w:tcPr>
            <w:tcW w:w="5103" w:type="dxa"/>
            <w:gridSpan w:val="5"/>
            <w:tcBorders>
              <w:top w:val="single" w:sz="4" w:space="0" w:color="auto"/>
              <w:bottom w:val="single" w:sz="4" w:space="0" w:color="auto"/>
              <w:right w:val="single" w:sz="24" w:space="0" w:color="FFFFFF" w:themeColor="background1"/>
            </w:tcBorders>
            <w:shd w:val="clear" w:color="auto" w:fill="auto"/>
            <w:tcMar>
              <w:top w:w="0" w:type="dxa"/>
              <w:left w:w="0" w:type="dxa"/>
              <w:bottom w:w="0" w:type="dxa"/>
              <w:right w:w="0" w:type="dxa"/>
            </w:tcMar>
            <w:vAlign w:val="bottom"/>
            <w:hideMark/>
          </w:tcPr>
          <w:p w:rsidR="002C2D68" w:rsidRPr="005E60F1" w:rsidRDefault="002C2D68" w:rsidP="008E3EFB">
            <w:pPr>
              <w:keepNext/>
              <w:keepLines/>
              <w:suppressAutoHyphens w:val="0"/>
              <w:spacing w:before="80" w:after="80" w:line="200" w:lineRule="exact"/>
              <w:ind w:right="113"/>
              <w:jc w:val="center"/>
              <w:rPr>
                <w:i/>
                <w:sz w:val="16"/>
              </w:rPr>
            </w:pPr>
            <w:r w:rsidRPr="00CC76D1">
              <w:rPr>
                <w:i/>
                <w:sz w:val="16"/>
                <w:szCs w:val="16"/>
                <w:lang w:val="fr-FR"/>
              </w:rPr>
              <w:t>De 2009 au 31 décembre 2016</w:t>
            </w:r>
          </w:p>
        </w:tc>
        <w:tc>
          <w:tcPr>
            <w:tcW w:w="3402" w:type="dxa"/>
            <w:gridSpan w:val="3"/>
            <w:tcBorders>
              <w:top w:val="single" w:sz="4" w:space="0" w:color="auto"/>
              <w:left w:val="single" w:sz="24" w:space="0" w:color="FFFFFF" w:themeColor="background1"/>
              <w:bottom w:val="single" w:sz="4" w:space="0" w:color="auto"/>
            </w:tcBorders>
            <w:shd w:val="clear" w:color="auto" w:fill="auto"/>
            <w:tcMar>
              <w:top w:w="0" w:type="dxa"/>
              <w:left w:w="0" w:type="dxa"/>
              <w:bottom w:w="0" w:type="dxa"/>
              <w:right w:w="0" w:type="dxa"/>
            </w:tcMar>
            <w:vAlign w:val="bottom"/>
            <w:hideMark/>
          </w:tcPr>
          <w:p w:rsidR="002C2D68" w:rsidRPr="005E60F1" w:rsidRDefault="002C2D68" w:rsidP="00F644C7">
            <w:pPr>
              <w:keepNext/>
              <w:keepLines/>
              <w:suppressAutoHyphens w:val="0"/>
              <w:spacing w:before="80" w:after="80" w:line="200" w:lineRule="exact"/>
              <w:ind w:right="113"/>
              <w:jc w:val="center"/>
              <w:rPr>
                <w:i/>
                <w:sz w:val="16"/>
              </w:rPr>
            </w:pPr>
            <w:r w:rsidRPr="00CC76D1">
              <w:rPr>
                <w:i/>
                <w:sz w:val="16"/>
                <w:szCs w:val="16"/>
                <w:lang w:val="fr-FR"/>
              </w:rPr>
              <w:t>Au 31-12-2016</w:t>
            </w:r>
          </w:p>
        </w:tc>
      </w:tr>
      <w:tr w:rsidR="002C2D68" w:rsidRPr="002C2D68" w:rsidTr="002C2D68">
        <w:tc>
          <w:tcPr>
            <w:tcW w:w="2291" w:type="dxa"/>
            <w:gridSpan w:val="2"/>
            <w:tcBorders>
              <w:top w:val="single" w:sz="4" w:space="0" w:color="auto"/>
              <w:bottom w:val="single" w:sz="4" w:space="0" w:color="auto"/>
              <w:right w:val="single" w:sz="24" w:space="0" w:color="FFFFFF" w:themeColor="background1"/>
            </w:tcBorders>
            <w:shd w:val="clear" w:color="auto" w:fill="auto"/>
            <w:tcMar>
              <w:top w:w="0" w:type="dxa"/>
              <w:left w:w="0" w:type="dxa"/>
              <w:bottom w:w="0" w:type="dxa"/>
              <w:right w:w="0" w:type="dxa"/>
            </w:tcMar>
          </w:tcPr>
          <w:p w:rsidR="002C2D68" w:rsidRPr="00CC76D1" w:rsidRDefault="002C2D68" w:rsidP="00577F4E">
            <w:pPr>
              <w:spacing w:before="80" w:after="80"/>
              <w:jc w:val="center"/>
              <w:rPr>
                <w:i/>
                <w:sz w:val="16"/>
                <w:szCs w:val="16"/>
                <w:lang w:val="fr-FR"/>
              </w:rPr>
            </w:pPr>
            <w:r w:rsidRPr="00CC76D1">
              <w:rPr>
                <w:i/>
                <w:sz w:val="16"/>
                <w:szCs w:val="16"/>
                <w:lang w:val="fr-FR"/>
              </w:rPr>
              <w:t>Nombre de personnes déplacées enregistrées</w:t>
            </w:r>
          </w:p>
        </w:tc>
        <w:tc>
          <w:tcPr>
            <w:tcW w:w="2812"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0" w:type="dxa"/>
              <w:left w:w="0" w:type="dxa"/>
              <w:bottom w:w="0" w:type="dxa"/>
              <w:right w:w="0" w:type="dxa"/>
            </w:tcMar>
          </w:tcPr>
          <w:p w:rsidR="002C2D68" w:rsidRPr="00CC76D1" w:rsidRDefault="002C2D68" w:rsidP="00F644C7">
            <w:pPr>
              <w:spacing w:before="80" w:after="80"/>
              <w:jc w:val="center"/>
              <w:rPr>
                <w:i/>
                <w:sz w:val="16"/>
                <w:szCs w:val="16"/>
                <w:lang w:val="fr-FR"/>
              </w:rPr>
            </w:pPr>
            <w:r w:rsidRPr="00CC76D1">
              <w:rPr>
                <w:i/>
                <w:sz w:val="16"/>
                <w:szCs w:val="16"/>
                <w:lang w:val="fr-FR"/>
              </w:rPr>
              <w:t>Nombre de personnes déplacées réinstallées</w:t>
            </w:r>
          </w:p>
        </w:tc>
        <w:tc>
          <w:tcPr>
            <w:tcW w:w="3402" w:type="dxa"/>
            <w:gridSpan w:val="3"/>
            <w:tcBorders>
              <w:top w:val="single" w:sz="4" w:space="0" w:color="auto"/>
              <w:left w:val="single" w:sz="24" w:space="0" w:color="FFFFFF" w:themeColor="background1"/>
              <w:bottom w:val="single" w:sz="4" w:space="0" w:color="auto"/>
            </w:tcBorders>
            <w:shd w:val="clear" w:color="auto" w:fill="auto"/>
            <w:tcMar>
              <w:top w:w="0" w:type="dxa"/>
              <w:left w:w="0" w:type="dxa"/>
              <w:bottom w:w="0" w:type="dxa"/>
              <w:right w:w="0" w:type="dxa"/>
            </w:tcMar>
            <w:vAlign w:val="bottom"/>
          </w:tcPr>
          <w:p w:rsidR="002C2D68" w:rsidRPr="00CC76D1" w:rsidRDefault="00F644C7" w:rsidP="00F644C7">
            <w:pPr>
              <w:spacing w:before="80" w:after="80"/>
              <w:jc w:val="center"/>
              <w:rPr>
                <w:i/>
                <w:sz w:val="16"/>
                <w:szCs w:val="16"/>
                <w:lang w:val="fr-FR"/>
              </w:rPr>
            </w:pPr>
            <w:r>
              <w:rPr>
                <w:i/>
                <w:sz w:val="16"/>
                <w:szCs w:val="16"/>
                <w:lang w:val="fr-FR"/>
              </w:rPr>
              <w:t>Nombre de personnes déplacées</w:t>
            </w:r>
            <w:r>
              <w:rPr>
                <w:i/>
                <w:sz w:val="16"/>
                <w:szCs w:val="16"/>
                <w:lang w:val="fr-FR"/>
              </w:rPr>
              <w:br/>
            </w:r>
            <w:r w:rsidR="002C2D68" w:rsidRPr="00CC76D1">
              <w:rPr>
                <w:i/>
                <w:sz w:val="16"/>
                <w:szCs w:val="16"/>
                <w:lang w:val="fr-FR"/>
              </w:rPr>
              <w:t>en attente de réinstallation</w:t>
            </w:r>
          </w:p>
        </w:tc>
      </w:tr>
      <w:tr w:rsidR="002C2D68" w:rsidRPr="005E60F1" w:rsidTr="002C2D68">
        <w:tc>
          <w:tcPr>
            <w:tcW w:w="1044" w:type="dxa"/>
            <w:tcBorders>
              <w:top w:val="single" w:sz="4" w:space="0" w:color="auto"/>
              <w:bottom w:val="single" w:sz="12" w:space="0" w:color="auto"/>
            </w:tcBorders>
            <w:shd w:val="clear" w:color="auto" w:fill="auto"/>
            <w:tcMar>
              <w:top w:w="0" w:type="dxa"/>
              <w:left w:w="0" w:type="dxa"/>
              <w:bottom w:w="0" w:type="dxa"/>
              <w:right w:w="0" w:type="dxa"/>
            </w:tcMar>
            <w:hideMark/>
          </w:tcPr>
          <w:p w:rsidR="002C2D68" w:rsidRPr="005E60F1" w:rsidRDefault="002C2D68" w:rsidP="00577F4E">
            <w:pPr>
              <w:keepNext/>
              <w:keepLines/>
              <w:suppressAutoHyphens w:val="0"/>
              <w:spacing w:before="80" w:after="80" w:line="200" w:lineRule="exact"/>
              <w:ind w:right="113"/>
              <w:jc w:val="right"/>
              <w:rPr>
                <w:i/>
                <w:sz w:val="16"/>
              </w:rPr>
            </w:pPr>
            <w:r>
              <w:rPr>
                <w:i/>
                <w:sz w:val="16"/>
              </w:rPr>
              <w:t>Familles</w:t>
            </w:r>
          </w:p>
        </w:tc>
        <w:tc>
          <w:tcPr>
            <w:tcW w:w="1247"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hideMark/>
          </w:tcPr>
          <w:p w:rsidR="002C2D68" w:rsidRPr="005E60F1" w:rsidRDefault="002C2D68" w:rsidP="008E3EFB">
            <w:pPr>
              <w:keepNext/>
              <w:keepLines/>
              <w:suppressAutoHyphens w:val="0"/>
              <w:spacing w:before="80" w:after="80" w:line="200" w:lineRule="exact"/>
              <w:ind w:right="113"/>
              <w:jc w:val="right"/>
              <w:rPr>
                <w:i/>
                <w:sz w:val="16"/>
              </w:rPr>
            </w:pPr>
            <w:r>
              <w:rPr>
                <w:i/>
                <w:sz w:val="16"/>
              </w:rPr>
              <w:t>Personnes</w:t>
            </w:r>
          </w:p>
        </w:tc>
        <w:tc>
          <w:tcPr>
            <w:tcW w:w="856"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tcPr>
          <w:p w:rsidR="002C2D68" w:rsidRPr="005E60F1" w:rsidRDefault="002C2D68" w:rsidP="008E3EFB">
            <w:pPr>
              <w:keepNext/>
              <w:keepLines/>
              <w:suppressAutoHyphens w:val="0"/>
              <w:spacing w:before="80" w:after="80" w:line="200" w:lineRule="exact"/>
              <w:ind w:right="113"/>
              <w:jc w:val="right"/>
              <w:rPr>
                <w:i/>
                <w:sz w:val="16"/>
              </w:rPr>
            </w:pPr>
            <w:r>
              <w:rPr>
                <w:i/>
                <w:sz w:val="16"/>
              </w:rPr>
              <w:t>Familles</w:t>
            </w:r>
          </w:p>
        </w:tc>
        <w:tc>
          <w:tcPr>
            <w:tcW w:w="1062" w:type="dxa"/>
            <w:tcBorders>
              <w:top w:val="single" w:sz="4" w:space="0" w:color="auto"/>
              <w:bottom w:val="single" w:sz="12" w:space="0" w:color="auto"/>
            </w:tcBorders>
            <w:shd w:val="clear" w:color="auto" w:fill="auto"/>
            <w:tcMar>
              <w:top w:w="0" w:type="dxa"/>
              <w:left w:w="0" w:type="dxa"/>
              <w:bottom w:w="0" w:type="dxa"/>
              <w:right w:w="0" w:type="dxa"/>
            </w:tcMar>
          </w:tcPr>
          <w:p w:rsidR="002C2D68" w:rsidRPr="005E60F1" w:rsidRDefault="002C2D68" w:rsidP="008E3EFB">
            <w:pPr>
              <w:keepNext/>
              <w:keepLines/>
              <w:suppressAutoHyphens w:val="0"/>
              <w:spacing w:before="80" w:after="80" w:line="200" w:lineRule="exact"/>
              <w:ind w:right="113"/>
              <w:jc w:val="right"/>
              <w:rPr>
                <w:i/>
                <w:sz w:val="16"/>
              </w:rPr>
            </w:pPr>
            <w:r>
              <w:rPr>
                <w:i/>
                <w:sz w:val="16"/>
              </w:rPr>
              <w:t>Personnes</w:t>
            </w:r>
          </w:p>
        </w:tc>
        <w:tc>
          <w:tcPr>
            <w:tcW w:w="894"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tcPr>
          <w:p w:rsidR="002C2D68" w:rsidRPr="003A3D6E" w:rsidRDefault="003A3D6E" w:rsidP="008E3EFB">
            <w:pPr>
              <w:keepNext/>
              <w:keepLines/>
              <w:suppressAutoHyphens w:val="0"/>
              <w:spacing w:before="80" w:after="80" w:line="200" w:lineRule="exact"/>
              <w:ind w:right="113"/>
              <w:jc w:val="right"/>
              <w:rPr>
                <w:i/>
                <w:spacing w:val="-8"/>
                <w:sz w:val="16"/>
              </w:rPr>
            </w:pPr>
            <w:r w:rsidRPr="003A3D6E">
              <w:rPr>
                <w:i/>
                <w:spacing w:val="-8"/>
                <w:sz w:val="16"/>
              </w:rPr>
              <w:t>Pourcentage</w:t>
            </w:r>
          </w:p>
        </w:tc>
        <w:tc>
          <w:tcPr>
            <w:tcW w:w="1244"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bottom"/>
          </w:tcPr>
          <w:p w:rsidR="002C2D68" w:rsidRPr="005E60F1" w:rsidRDefault="002C2D68" w:rsidP="008E3EFB">
            <w:pPr>
              <w:keepNext/>
              <w:keepLines/>
              <w:suppressAutoHyphens w:val="0"/>
              <w:spacing w:before="80" w:after="80" w:line="200" w:lineRule="exact"/>
              <w:ind w:right="113"/>
              <w:jc w:val="right"/>
              <w:rPr>
                <w:i/>
                <w:sz w:val="16"/>
              </w:rPr>
            </w:pPr>
            <w:r>
              <w:rPr>
                <w:i/>
                <w:sz w:val="16"/>
              </w:rPr>
              <w:t>Familles</w:t>
            </w:r>
          </w:p>
        </w:tc>
        <w:tc>
          <w:tcPr>
            <w:tcW w:w="1062"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C2D68" w:rsidRPr="005E60F1" w:rsidRDefault="002C2D68" w:rsidP="008E3EFB">
            <w:pPr>
              <w:keepNext/>
              <w:keepLines/>
              <w:suppressAutoHyphens w:val="0"/>
              <w:spacing w:before="80" w:after="80" w:line="200" w:lineRule="exact"/>
              <w:ind w:right="113"/>
              <w:jc w:val="right"/>
              <w:rPr>
                <w:i/>
                <w:sz w:val="16"/>
              </w:rPr>
            </w:pPr>
            <w:r>
              <w:rPr>
                <w:i/>
                <w:sz w:val="16"/>
              </w:rPr>
              <w:t>Personnes</w:t>
            </w:r>
          </w:p>
        </w:tc>
        <w:tc>
          <w:tcPr>
            <w:tcW w:w="1096"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C2D68" w:rsidRPr="005E60F1" w:rsidRDefault="003A3D6E" w:rsidP="008E3EFB">
            <w:pPr>
              <w:keepNext/>
              <w:keepLines/>
              <w:suppressAutoHyphens w:val="0"/>
              <w:spacing w:before="80" w:after="80" w:line="200" w:lineRule="exact"/>
              <w:ind w:right="113"/>
              <w:jc w:val="right"/>
              <w:rPr>
                <w:i/>
                <w:sz w:val="16"/>
              </w:rPr>
            </w:pPr>
            <w:r w:rsidRPr="003A3D6E">
              <w:rPr>
                <w:i/>
                <w:spacing w:val="-8"/>
                <w:sz w:val="16"/>
              </w:rPr>
              <w:t>Pourcentage</w:t>
            </w:r>
          </w:p>
        </w:tc>
      </w:tr>
      <w:tr w:rsidR="002C2D68" w:rsidRPr="005E60F1" w:rsidTr="00474653">
        <w:tc>
          <w:tcPr>
            <w:tcW w:w="1044" w:type="dxa"/>
            <w:tcBorders>
              <w:top w:val="single" w:sz="12" w:space="0" w:color="auto"/>
            </w:tcBorders>
            <w:shd w:val="clear" w:color="auto" w:fill="auto"/>
            <w:tcMar>
              <w:top w:w="0" w:type="dxa"/>
              <w:left w:w="0" w:type="dxa"/>
              <w:bottom w:w="0" w:type="dxa"/>
              <w:right w:w="0" w:type="dxa"/>
            </w:tcMar>
            <w:hideMark/>
          </w:tcPr>
          <w:p w:rsidR="002C2D68" w:rsidRPr="005E60F1" w:rsidRDefault="002C2D68" w:rsidP="00474653">
            <w:pPr>
              <w:keepNext/>
              <w:keepLines/>
              <w:suppressAutoHyphens w:val="0"/>
              <w:spacing w:before="40" w:after="40" w:line="220" w:lineRule="exact"/>
              <w:ind w:right="113"/>
              <w:rPr>
                <w:sz w:val="18"/>
              </w:rPr>
            </w:pPr>
            <w:r w:rsidRPr="005E60F1">
              <w:rPr>
                <w:sz w:val="18"/>
              </w:rPr>
              <w:t>267</w:t>
            </w:r>
            <w:r>
              <w:rPr>
                <w:sz w:val="18"/>
              </w:rPr>
              <w:t xml:space="preserve"> </w:t>
            </w:r>
            <w:r w:rsidRPr="005E60F1">
              <w:rPr>
                <w:sz w:val="18"/>
              </w:rPr>
              <w:t>897</w:t>
            </w:r>
          </w:p>
        </w:tc>
        <w:tc>
          <w:tcPr>
            <w:tcW w:w="1247" w:type="dxa"/>
            <w:tcBorders>
              <w:top w:val="single" w:sz="12" w:space="0" w:color="auto"/>
            </w:tcBorders>
            <w:shd w:val="clear" w:color="auto" w:fill="auto"/>
            <w:tcMar>
              <w:top w:w="0" w:type="dxa"/>
              <w:left w:w="0" w:type="dxa"/>
              <w:bottom w:w="0" w:type="dxa"/>
              <w:right w:w="0" w:type="dxa"/>
            </w:tcMar>
            <w:hideMark/>
          </w:tcPr>
          <w:p w:rsidR="002C2D68" w:rsidRPr="005E60F1" w:rsidRDefault="002C2D68" w:rsidP="00474653">
            <w:pPr>
              <w:keepNext/>
              <w:keepLines/>
              <w:suppressAutoHyphens w:val="0"/>
              <w:spacing w:before="40" w:after="40" w:line="220" w:lineRule="exact"/>
              <w:ind w:right="113"/>
              <w:jc w:val="right"/>
              <w:rPr>
                <w:sz w:val="18"/>
              </w:rPr>
            </w:pPr>
            <w:r w:rsidRPr="005E60F1">
              <w:rPr>
                <w:sz w:val="18"/>
              </w:rPr>
              <w:t>929 438</w:t>
            </w:r>
          </w:p>
        </w:tc>
        <w:tc>
          <w:tcPr>
            <w:tcW w:w="856" w:type="dxa"/>
            <w:tcBorders>
              <w:top w:val="single" w:sz="12" w:space="0" w:color="auto"/>
            </w:tcBorders>
            <w:shd w:val="clear" w:color="auto" w:fill="auto"/>
            <w:tcMar>
              <w:top w:w="0" w:type="dxa"/>
              <w:left w:w="0" w:type="dxa"/>
              <w:bottom w:w="0" w:type="dxa"/>
              <w:right w:w="0" w:type="dxa"/>
            </w:tcMar>
            <w:hideMark/>
          </w:tcPr>
          <w:p w:rsidR="002C2D68" w:rsidRPr="005E60F1" w:rsidRDefault="002C2D68" w:rsidP="00474653">
            <w:pPr>
              <w:keepNext/>
              <w:keepLines/>
              <w:suppressAutoHyphens w:val="0"/>
              <w:spacing w:before="40" w:after="40" w:line="220" w:lineRule="exact"/>
              <w:ind w:right="113"/>
              <w:jc w:val="right"/>
              <w:rPr>
                <w:sz w:val="18"/>
              </w:rPr>
            </w:pPr>
            <w:r w:rsidRPr="005E60F1">
              <w:rPr>
                <w:sz w:val="18"/>
              </w:rPr>
              <w:t>254 736</w:t>
            </w:r>
          </w:p>
        </w:tc>
        <w:tc>
          <w:tcPr>
            <w:tcW w:w="1062" w:type="dxa"/>
            <w:tcBorders>
              <w:top w:val="single" w:sz="12" w:space="0" w:color="auto"/>
            </w:tcBorders>
            <w:shd w:val="clear" w:color="auto" w:fill="auto"/>
            <w:tcMar>
              <w:top w:w="0" w:type="dxa"/>
              <w:left w:w="0" w:type="dxa"/>
              <w:bottom w:w="0" w:type="dxa"/>
              <w:right w:w="0" w:type="dxa"/>
            </w:tcMar>
            <w:hideMark/>
          </w:tcPr>
          <w:p w:rsidR="002C2D68" w:rsidRPr="005E60F1" w:rsidRDefault="002C2D68" w:rsidP="00474653">
            <w:pPr>
              <w:keepNext/>
              <w:keepLines/>
              <w:suppressAutoHyphens w:val="0"/>
              <w:spacing w:before="40" w:after="40" w:line="220" w:lineRule="exact"/>
              <w:ind w:right="113"/>
              <w:jc w:val="right"/>
              <w:rPr>
                <w:sz w:val="18"/>
              </w:rPr>
            </w:pPr>
            <w:r w:rsidRPr="005E60F1">
              <w:rPr>
                <w:sz w:val="18"/>
              </w:rPr>
              <w:t>887 400</w:t>
            </w:r>
          </w:p>
        </w:tc>
        <w:tc>
          <w:tcPr>
            <w:tcW w:w="894" w:type="dxa"/>
            <w:tcBorders>
              <w:top w:val="single" w:sz="12" w:space="0" w:color="auto"/>
            </w:tcBorders>
            <w:shd w:val="clear" w:color="auto" w:fill="auto"/>
            <w:tcMar>
              <w:top w:w="0" w:type="dxa"/>
              <w:left w:w="0" w:type="dxa"/>
              <w:bottom w:w="0" w:type="dxa"/>
              <w:right w:w="0" w:type="dxa"/>
            </w:tcMar>
            <w:hideMark/>
          </w:tcPr>
          <w:p w:rsidR="002C2D68" w:rsidRPr="005E60F1" w:rsidRDefault="002C2D68" w:rsidP="00474653">
            <w:pPr>
              <w:keepNext/>
              <w:keepLines/>
              <w:suppressAutoHyphens w:val="0"/>
              <w:spacing w:before="40" w:after="40" w:line="220" w:lineRule="exact"/>
              <w:ind w:right="113"/>
              <w:jc w:val="right"/>
              <w:rPr>
                <w:sz w:val="18"/>
              </w:rPr>
            </w:pPr>
            <w:r w:rsidRPr="005E60F1">
              <w:rPr>
                <w:sz w:val="18"/>
              </w:rPr>
              <w:t>95</w:t>
            </w:r>
            <w:r>
              <w:rPr>
                <w:sz w:val="18"/>
              </w:rPr>
              <w:t> </w:t>
            </w:r>
            <w:r w:rsidRPr="005E60F1">
              <w:rPr>
                <w:sz w:val="18"/>
              </w:rPr>
              <w:t>%</w:t>
            </w:r>
          </w:p>
        </w:tc>
        <w:tc>
          <w:tcPr>
            <w:tcW w:w="1244" w:type="dxa"/>
            <w:tcBorders>
              <w:top w:val="single" w:sz="12" w:space="0" w:color="auto"/>
            </w:tcBorders>
            <w:shd w:val="clear" w:color="auto" w:fill="auto"/>
            <w:tcMar>
              <w:top w:w="0" w:type="dxa"/>
              <w:left w:w="0" w:type="dxa"/>
              <w:bottom w:w="0" w:type="dxa"/>
              <w:right w:w="0" w:type="dxa"/>
            </w:tcMar>
            <w:vAlign w:val="bottom"/>
            <w:hideMark/>
          </w:tcPr>
          <w:p w:rsidR="002C2D68" w:rsidRPr="005E60F1" w:rsidRDefault="002C2D68" w:rsidP="00474653">
            <w:pPr>
              <w:keepNext/>
              <w:keepLines/>
              <w:suppressAutoHyphens w:val="0"/>
              <w:spacing w:before="40" w:after="40" w:line="220" w:lineRule="exact"/>
              <w:ind w:right="113"/>
              <w:jc w:val="right"/>
              <w:rPr>
                <w:sz w:val="18"/>
              </w:rPr>
            </w:pPr>
            <w:r w:rsidRPr="005E60F1">
              <w:rPr>
                <w:sz w:val="18"/>
              </w:rPr>
              <w:t>13 161</w:t>
            </w:r>
          </w:p>
        </w:tc>
        <w:tc>
          <w:tcPr>
            <w:tcW w:w="1062" w:type="dxa"/>
            <w:tcBorders>
              <w:top w:val="single" w:sz="12" w:space="0" w:color="auto"/>
            </w:tcBorders>
            <w:shd w:val="clear" w:color="auto" w:fill="auto"/>
            <w:tcMar>
              <w:top w:w="0" w:type="dxa"/>
              <w:left w:w="0" w:type="dxa"/>
              <w:bottom w:w="0" w:type="dxa"/>
              <w:right w:w="0" w:type="dxa"/>
            </w:tcMar>
            <w:vAlign w:val="bottom"/>
            <w:hideMark/>
          </w:tcPr>
          <w:p w:rsidR="002C2D68" w:rsidRPr="005E60F1" w:rsidRDefault="002C2D68" w:rsidP="00474653">
            <w:pPr>
              <w:keepNext/>
              <w:keepLines/>
              <w:suppressAutoHyphens w:val="0"/>
              <w:spacing w:before="40" w:after="40" w:line="220" w:lineRule="exact"/>
              <w:ind w:right="113"/>
              <w:jc w:val="right"/>
              <w:rPr>
                <w:sz w:val="18"/>
              </w:rPr>
            </w:pPr>
            <w:r w:rsidRPr="005E60F1">
              <w:rPr>
                <w:sz w:val="18"/>
              </w:rPr>
              <w:t>42 038</w:t>
            </w:r>
          </w:p>
        </w:tc>
        <w:tc>
          <w:tcPr>
            <w:tcW w:w="1096" w:type="dxa"/>
            <w:tcBorders>
              <w:top w:val="single" w:sz="12" w:space="0" w:color="auto"/>
            </w:tcBorders>
            <w:shd w:val="clear" w:color="auto" w:fill="auto"/>
            <w:tcMar>
              <w:top w:w="0" w:type="dxa"/>
              <w:left w:w="0" w:type="dxa"/>
              <w:bottom w:w="0" w:type="dxa"/>
              <w:right w:w="0" w:type="dxa"/>
            </w:tcMar>
            <w:vAlign w:val="bottom"/>
            <w:hideMark/>
          </w:tcPr>
          <w:p w:rsidR="002C2D68" w:rsidRPr="005E60F1" w:rsidRDefault="002C2D68" w:rsidP="00474653">
            <w:pPr>
              <w:keepNext/>
              <w:keepLines/>
              <w:suppressAutoHyphens w:val="0"/>
              <w:spacing w:before="40" w:after="40" w:line="220" w:lineRule="exact"/>
              <w:ind w:right="113"/>
              <w:jc w:val="right"/>
              <w:rPr>
                <w:sz w:val="18"/>
              </w:rPr>
            </w:pPr>
            <w:r w:rsidRPr="005E60F1">
              <w:rPr>
                <w:sz w:val="18"/>
              </w:rPr>
              <w:t>5</w:t>
            </w:r>
            <w:r>
              <w:rPr>
                <w:sz w:val="18"/>
              </w:rPr>
              <w:t> </w:t>
            </w:r>
            <w:r w:rsidRPr="005E60F1">
              <w:rPr>
                <w:sz w:val="18"/>
              </w:rPr>
              <w:t>%</w:t>
            </w:r>
          </w:p>
        </w:tc>
      </w:tr>
    </w:tbl>
    <w:p w:rsidR="00EC4C5A" w:rsidRPr="00CC76D1" w:rsidRDefault="00EC4C5A" w:rsidP="002C2D68">
      <w:pPr>
        <w:pStyle w:val="HChG"/>
        <w:rPr>
          <w:lang w:val="fr-FR"/>
        </w:rPr>
      </w:pPr>
      <w:r>
        <w:rPr>
          <w:noProof/>
          <w:lang w:eastAsia="fr-CH"/>
        </w:rPr>
        <w:drawing>
          <wp:inline distT="0" distB="0" distL="0" distR="0" wp14:anchorId="3E545FCF" wp14:editId="45EC55FA">
            <wp:extent cx="6985" cy="6985"/>
            <wp:effectExtent l="0" t="0" r="0" b="0"/>
            <wp:docPr id="4" name="Picture 7"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eard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C76D1">
        <w:rPr>
          <w:lang w:val="fr-FR"/>
        </w:rPr>
        <w:tab/>
      </w:r>
      <w:r w:rsidRPr="00CC76D1">
        <w:rPr>
          <w:lang w:val="fr-FR"/>
        </w:rPr>
        <w:tab/>
        <w:t>Droit à la santé physique et mentale (art. 12)</w:t>
      </w:r>
    </w:p>
    <w:p w:rsidR="00EC4C5A" w:rsidRPr="00CC76D1" w:rsidRDefault="00EC4C5A" w:rsidP="002C2D68">
      <w:pPr>
        <w:pStyle w:val="H1G"/>
        <w:rPr>
          <w:lang w:val="fr-FR"/>
        </w:rPr>
      </w:pPr>
      <w:r w:rsidRPr="00CC76D1">
        <w:rPr>
          <w:lang w:val="fr-FR"/>
        </w:rPr>
        <w:tab/>
        <w:t>10.</w:t>
      </w:r>
      <w:r w:rsidRPr="00CC76D1">
        <w:rPr>
          <w:lang w:val="fr-FR"/>
        </w:rPr>
        <w:tab/>
        <w:t>Disponibilité et accessibilité des services de santé mentale</w:t>
      </w:r>
    </w:p>
    <w:p w:rsidR="00EC4C5A" w:rsidRPr="00CC76D1" w:rsidRDefault="00EC4C5A" w:rsidP="00DD493E">
      <w:pPr>
        <w:pStyle w:val="SingleTxtG"/>
        <w:rPr>
          <w:lang w:val="fr-FR"/>
        </w:rPr>
      </w:pPr>
      <w:r w:rsidRPr="00CC76D1">
        <w:rPr>
          <w:lang w:val="fr-FR"/>
        </w:rPr>
        <w:t>110.</w:t>
      </w:r>
      <w:r w:rsidRPr="00CC76D1">
        <w:rPr>
          <w:lang w:val="fr-FR"/>
        </w:rPr>
        <w:tab/>
        <w:t xml:space="preserve">Disponibilité et accessibilité des services de santé mentale pour la prise en charge des cas extrêmement répandus de troubles mentaux liés au conflit </w:t>
      </w:r>
      <w:r w:rsidR="00DD493E">
        <w:rPr>
          <w:lang w:val="fr-FR"/>
        </w:rPr>
        <w:t>−</w:t>
      </w:r>
      <w:r w:rsidRPr="00CC76D1">
        <w:rPr>
          <w:lang w:val="fr-FR"/>
        </w:rPr>
        <w:t xml:space="preserve"> en particulier pour les personnes provenant d</w:t>
      </w:r>
      <w:r w:rsidR="00474653">
        <w:rPr>
          <w:lang w:val="fr-FR"/>
        </w:rPr>
        <w:t>’</w:t>
      </w:r>
      <w:r w:rsidRPr="00CC76D1">
        <w:rPr>
          <w:lang w:val="fr-FR"/>
        </w:rPr>
        <w:t>anciennes zones touchées par le conflit, y compris les familles des personnes disparues.</w:t>
      </w:r>
    </w:p>
    <w:p w:rsidR="00EC4C5A" w:rsidRPr="00CC76D1" w:rsidRDefault="00EC4C5A" w:rsidP="00DD493E">
      <w:pPr>
        <w:pStyle w:val="SingleTxtG"/>
        <w:rPr>
          <w:lang w:val="fr-FR"/>
        </w:rPr>
      </w:pPr>
      <w:r w:rsidRPr="00CC76D1">
        <w:rPr>
          <w:lang w:val="fr-FR"/>
        </w:rPr>
        <w:t>111.</w:t>
      </w:r>
      <w:r w:rsidRPr="00CC76D1">
        <w:rPr>
          <w:lang w:val="fr-FR"/>
        </w:rPr>
        <w:tab/>
        <w:t xml:space="preserve">Les besoins de la population, les services de santé mentale et la promotion de la santé mentale ont connu des changements importants à Sri </w:t>
      </w:r>
      <w:r w:rsidR="00DD493E">
        <w:rPr>
          <w:lang w:val="fr-FR"/>
        </w:rPr>
        <w:t>Lanka ces dernières années. Des </w:t>
      </w:r>
      <w:r w:rsidRPr="00CC76D1">
        <w:rPr>
          <w:lang w:val="fr-FR"/>
        </w:rPr>
        <w:t>services de santé mentale ont été déployés dans tout le pays afin de fournir des soins de santé mentale adéquats à la population, dans tous les district</w:t>
      </w:r>
      <w:r w:rsidR="00DD493E">
        <w:rPr>
          <w:lang w:val="fr-FR"/>
        </w:rPr>
        <w:t>s. À l</w:t>
      </w:r>
      <w:r w:rsidR="00474653">
        <w:rPr>
          <w:lang w:val="fr-FR"/>
        </w:rPr>
        <w:t>’</w:t>
      </w:r>
      <w:r w:rsidR="00DD493E">
        <w:rPr>
          <w:lang w:val="fr-FR"/>
        </w:rPr>
        <w:t>heure actuelle 22 des 25 </w:t>
      </w:r>
      <w:r w:rsidRPr="00CC76D1">
        <w:rPr>
          <w:lang w:val="fr-FR"/>
        </w:rPr>
        <w:t>districts du pays disposent de structures pour l</w:t>
      </w:r>
      <w:r w:rsidR="00474653">
        <w:rPr>
          <w:lang w:val="fr-FR"/>
        </w:rPr>
        <w:t>’</w:t>
      </w:r>
      <w:r w:rsidRPr="00CC76D1">
        <w:rPr>
          <w:lang w:val="fr-FR"/>
        </w:rPr>
        <w:t>accueil des patients en phase a</w:t>
      </w:r>
      <w:r w:rsidR="00DD493E">
        <w:rPr>
          <w:lang w:val="fr-FR"/>
        </w:rPr>
        <w:t>iguë. Il </w:t>
      </w:r>
      <w:r w:rsidRPr="00CC76D1">
        <w:rPr>
          <w:lang w:val="fr-FR"/>
        </w:rPr>
        <w:t>existe également des centres de réadaptation de moyenne et longue durée dans certains districts, dont six unités d</w:t>
      </w:r>
      <w:r w:rsidR="00474653">
        <w:rPr>
          <w:lang w:val="fr-FR"/>
        </w:rPr>
        <w:t>’</w:t>
      </w:r>
      <w:r w:rsidRPr="00CC76D1">
        <w:rPr>
          <w:lang w:val="fr-FR"/>
        </w:rPr>
        <w:t>hospitalisation de moyenne durée dans les provinces du Nord et de l</w:t>
      </w:r>
      <w:r w:rsidR="00474653">
        <w:rPr>
          <w:lang w:val="fr-FR"/>
        </w:rPr>
        <w:t>’</w:t>
      </w:r>
      <w:r w:rsidRPr="00CC76D1">
        <w:rPr>
          <w:lang w:val="fr-FR"/>
        </w:rPr>
        <w:t>Est (Thellipalai, Chettikulam, Senarathpura, Kalmunai Nord, Palamunai et Mawadiwembu). Des services de santé mentale ambulatoires et communautaires sont offerts dans 250 cliniques couvrant la plupart des régions du pays.</w:t>
      </w:r>
    </w:p>
    <w:p w:rsidR="00EC4C5A" w:rsidRPr="00CC76D1" w:rsidRDefault="00EC4C5A" w:rsidP="00DD493E">
      <w:pPr>
        <w:pStyle w:val="SingleTxtG"/>
        <w:rPr>
          <w:lang w:val="fr-FR"/>
        </w:rPr>
      </w:pPr>
      <w:r w:rsidRPr="00CC76D1">
        <w:rPr>
          <w:lang w:val="fr-FR"/>
        </w:rPr>
        <w:t>112.</w:t>
      </w:r>
      <w:r w:rsidRPr="00CC76D1">
        <w:rPr>
          <w:lang w:val="fr-FR"/>
        </w:rPr>
        <w:tab/>
        <w:t>Des centres d</w:t>
      </w:r>
      <w:r w:rsidR="00474653">
        <w:rPr>
          <w:lang w:val="fr-FR"/>
        </w:rPr>
        <w:t>’</w:t>
      </w:r>
      <w:r w:rsidRPr="00CC76D1">
        <w:rPr>
          <w:lang w:val="fr-FR"/>
        </w:rPr>
        <w:t>aide pour les personnes atteintes de troubles mentaux ont été mis en place. À l</w:t>
      </w:r>
      <w:r w:rsidR="00474653">
        <w:rPr>
          <w:lang w:val="fr-FR"/>
        </w:rPr>
        <w:t>’</w:t>
      </w:r>
      <w:r w:rsidRPr="00CC76D1">
        <w:rPr>
          <w:lang w:val="fr-FR"/>
        </w:rPr>
        <w:t>heure actuelle, il en existe huit dans les provinces du Nord et de l</w:t>
      </w:r>
      <w:r w:rsidR="00474653">
        <w:rPr>
          <w:lang w:val="fr-FR"/>
        </w:rPr>
        <w:t>’</w:t>
      </w:r>
      <w:r w:rsidRPr="00CC76D1">
        <w:rPr>
          <w:lang w:val="fr-FR"/>
        </w:rPr>
        <w:t>Est. On a pu observer une augmentation des problèmes de santé mentale liés à l</w:t>
      </w:r>
      <w:r w:rsidR="00474653">
        <w:rPr>
          <w:lang w:val="fr-FR"/>
        </w:rPr>
        <w:t>’</w:t>
      </w:r>
      <w:r w:rsidRPr="00CC76D1">
        <w:rPr>
          <w:lang w:val="fr-FR"/>
        </w:rPr>
        <w:t>alcool. En conséquence, le Ministère de la santé a lancé l</w:t>
      </w:r>
      <w:r w:rsidR="00474653">
        <w:rPr>
          <w:lang w:val="fr-FR"/>
        </w:rPr>
        <w:t>’</w:t>
      </w:r>
      <w:r w:rsidRPr="00CC76D1">
        <w:rPr>
          <w:lang w:val="fr-FR"/>
        </w:rPr>
        <w:t>année dernière une politique nationale de lutte contre l</w:t>
      </w:r>
      <w:r w:rsidR="00474653">
        <w:rPr>
          <w:lang w:val="fr-FR"/>
        </w:rPr>
        <w:t>’</w:t>
      </w:r>
      <w:r w:rsidRPr="00CC76D1">
        <w:rPr>
          <w:lang w:val="fr-FR"/>
        </w:rPr>
        <w:t>alcool</w:t>
      </w:r>
      <w:r w:rsidR="00112F55">
        <w:rPr>
          <w:lang w:val="fr-FR"/>
        </w:rPr>
        <w:t xml:space="preserve"> ;</w:t>
      </w:r>
      <w:r w:rsidRPr="00CC76D1">
        <w:rPr>
          <w:lang w:val="fr-FR"/>
        </w:rPr>
        <w:t xml:space="preserve"> la création de centres de désintoxication dans les districts est en cours. À ce jour, huit centres de réadaptation sont opérationnels, dont trois dans le nord et l</w:t>
      </w:r>
      <w:r w:rsidR="00474653">
        <w:rPr>
          <w:lang w:val="fr-FR"/>
        </w:rPr>
        <w:t>’</w:t>
      </w:r>
      <w:r w:rsidRPr="00CC76D1">
        <w:rPr>
          <w:lang w:val="fr-FR"/>
        </w:rPr>
        <w:t xml:space="preserve">est. </w:t>
      </w:r>
    </w:p>
    <w:p w:rsidR="00EC4C5A" w:rsidRPr="00CC76D1" w:rsidRDefault="00EC4C5A" w:rsidP="00DD493E">
      <w:pPr>
        <w:pStyle w:val="SingleTxtG"/>
        <w:rPr>
          <w:lang w:val="fr-FR"/>
        </w:rPr>
      </w:pPr>
      <w:r w:rsidRPr="00CC76D1">
        <w:rPr>
          <w:lang w:val="fr-FR"/>
        </w:rPr>
        <w:lastRenderedPageBreak/>
        <w:t>113.</w:t>
      </w:r>
      <w:r w:rsidRPr="00CC76D1">
        <w:rPr>
          <w:lang w:val="fr-FR"/>
        </w:rPr>
        <w:tab/>
        <w:t>La Direction générale de la santé mentale, qui relève du Ministère de la santé, a pris un certain nombre de mesures pour améliorer la qualité des services de santé mentale et renforcer les connaissances du personnel de santé en la matière. Des programmes visant à atténuer le stress au travail et à améliorer l</w:t>
      </w:r>
      <w:r w:rsidR="00474653">
        <w:rPr>
          <w:lang w:val="fr-FR"/>
        </w:rPr>
        <w:t>’</w:t>
      </w:r>
      <w:r w:rsidRPr="00CC76D1">
        <w:rPr>
          <w:lang w:val="fr-FR"/>
        </w:rPr>
        <w:t>efficacité des travailleurs ont également été déployés.</w:t>
      </w:r>
    </w:p>
    <w:p w:rsidR="00EC4C5A" w:rsidRPr="00CC76D1" w:rsidRDefault="00EC4C5A" w:rsidP="00DD493E">
      <w:pPr>
        <w:pStyle w:val="SingleTxtG"/>
        <w:rPr>
          <w:lang w:val="fr-FR"/>
        </w:rPr>
      </w:pPr>
      <w:r w:rsidRPr="00CC76D1">
        <w:rPr>
          <w:lang w:val="fr-FR"/>
        </w:rPr>
        <w:t>114.</w:t>
      </w:r>
      <w:r w:rsidRPr="00CC76D1">
        <w:rPr>
          <w:lang w:val="fr-FR"/>
        </w:rPr>
        <w:tab/>
        <w:t>L</w:t>
      </w:r>
      <w:r w:rsidR="00474653">
        <w:rPr>
          <w:lang w:val="fr-FR"/>
        </w:rPr>
        <w:t>’</w:t>
      </w:r>
      <w:r w:rsidRPr="00CC76D1">
        <w:rPr>
          <w:lang w:val="fr-FR"/>
        </w:rPr>
        <w:t>aide psychosociale joue un rôle essentiel dans la réponse aux besoins des personnes traumatisées. La Direction générale de la santé mentale a donc déployé, à l</w:t>
      </w:r>
      <w:r w:rsidR="00474653">
        <w:rPr>
          <w:lang w:val="fr-FR"/>
        </w:rPr>
        <w:t>’</w:t>
      </w:r>
      <w:r w:rsidRPr="00CC76D1">
        <w:rPr>
          <w:lang w:val="fr-FR"/>
        </w:rPr>
        <w:t>échelle du pays, des programmes de formation sur les premiers soins psychologiques pour des équipes pluridisciplinaires intervenant en santé mentale, en collaboration avec les professionnels de la santé mentale. Une équipe de formateurs a reçu une formation à cet égard. La Direction générale coordonne également les services de soutien et de premiers soins psychologiques déployés à l</w:t>
      </w:r>
      <w:r w:rsidR="00474653">
        <w:rPr>
          <w:lang w:val="fr-FR"/>
        </w:rPr>
        <w:t>’</w:t>
      </w:r>
      <w:r w:rsidRPr="00CC76D1">
        <w:rPr>
          <w:lang w:val="fr-FR"/>
        </w:rPr>
        <w:t>échelle du territoire national en cas d</w:t>
      </w:r>
      <w:r w:rsidR="00474653">
        <w:rPr>
          <w:lang w:val="fr-FR"/>
        </w:rPr>
        <w:t>’</w:t>
      </w:r>
      <w:r w:rsidRPr="00CC76D1">
        <w:rPr>
          <w:lang w:val="fr-FR"/>
        </w:rPr>
        <w:t>urgence et de catastrophe.</w:t>
      </w:r>
    </w:p>
    <w:p w:rsidR="00EC4C5A" w:rsidRPr="00CC76D1" w:rsidRDefault="00EC4C5A" w:rsidP="00DD493E">
      <w:pPr>
        <w:pStyle w:val="HChG"/>
        <w:rPr>
          <w:lang w:val="fr-FR"/>
        </w:rPr>
      </w:pPr>
      <w:r w:rsidRPr="00CC76D1">
        <w:rPr>
          <w:lang w:val="fr-FR"/>
        </w:rPr>
        <w:tab/>
      </w:r>
      <w:r w:rsidRPr="00CC76D1">
        <w:rPr>
          <w:lang w:val="fr-FR"/>
        </w:rPr>
        <w:tab/>
        <w:t>Droit à l</w:t>
      </w:r>
      <w:r w:rsidR="00474653">
        <w:rPr>
          <w:lang w:val="fr-FR"/>
        </w:rPr>
        <w:t>’</w:t>
      </w:r>
      <w:r w:rsidRPr="00CC76D1">
        <w:rPr>
          <w:lang w:val="fr-FR"/>
        </w:rPr>
        <w:t>éducation</w:t>
      </w:r>
    </w:p>
    <w:p w:rsidR="00EC4C5A" w:rsidRPr="00CC76D1" w:rsidRDefault="00EC4C5A" w:rsidP="00DD493E">
      <w:pPr>
        <w:pStyle w:val="H1G"/>
        <w:rPr>
          <w:lang w:val="fr-FR"/>
        </w:rPr>
      </w:pPr>
      <w:r w:rsidRPr="00CC76D1">
        <w:rPr>
          <w:lang w:val="fr-FR"/>
        </w:rPr>
        <w:tab/>
        <w:t>11.</w:t>
      </w:r>
      <w:r w:rsidRPr="00CC76D1">
        <w:rPr>
          <w:lang w:val="fr-FR"/>
        </w:rPr>
        <w:tab/>
        <w:t>Inégalités dans l</w:t>
      </w:r>
      <w:r w:rsidR="00474653">
        <w:rPr>
          <w:lang w:val="fr-FR"/>
        </w:rPr>
        <w:t>’</w:t>
      </w:r>
      <w:r w:rsidRPr="00CC76D1">
        <w:rPr>
          <w:lang w:val="fr-FR"/>
        </w:rPr>
        <w:t>exercice du droit à l</w:t>
      </w:r>
      <w:r w:rsidR="00474653">
        <w:rPr>
          <w:lang w:val="fr-FR"/>
        </w:rPr>
        <w:t>’</w:t>
      </w:r>
      <w:r w:rsidRPr="00CC76D1">
        <w:rPr>
          <w:lang w:val="fr-FR"/>
        </w:rPr>
        <w:t xml:space="preserve">éducation </w:t>
      </w:r>
    </w:p>
    <w:p w:rsidR="00EC4C5A" w:rsidRPr="00CC76D1" w:rsidRDefault="00EC4C5A" w:rsidP="00DD493E">
      <w:pPr>
        <w:pStyle w:val="SingleTxtG"/>
        <w:rPr>
          <w:lang w:val="fr-FR"/>
        </w:rPr>
      </w:pPr>
      <w:r w:rsidRPr="00CC76D1">
        <w:rPr>
          <w:lang w:val="fr-FR"/>
        </w:rPr>
        <w:t>115.</w:t>
      </w:r>
      <w:r w:rsidRPr="00CC76D1">
        <w:rPr>
          <w:lang w:val="fr-FR"/>
        </w:rPr>
        <w:tab/>
        <w:t>Le Ministère de l</w:t>
      </w:r>
      <w:r w:rsidR="00474653">
        <w:rPr>
          <w:lang w:val="fr-FR"/>
        </w:rPr>
        <w:t>’</w:t>
      </w:r>
      <w:r w:rsidRPr="00CC76D1">
        <w:rPr>
          <w:lang w:val="fr-FR"/>
        </w:rPr>
        <w:t>éducation a pris de nombreuses mesures pour faire en sorte que chaque enfant ait accès à l</w:t>
      </w:r>
      <w:r w:rsidR="00474653">
        <w:rPr>
          <w:lang w:val="fr-FR"/>
        </w:rPr>
        <w:t>’</w:t>
      </w:r>
      <w:r w:rsidRPr="00CC76D1">
        <w:rPr>
          <w:lang w:val="fr-FR"/>
        </w:rPr>
        <w:t>éducation, notamment en mettant en place des établissements d</w:t>
      </w:r>
      <w:r w:rsidR="00474653">
        <w:rPr>
          <w:lang w:val="fr-FR"/>
        </w:rPr>
        <w:t>’</w:t>
      </w:r>
      <w:r w:rsidRPr="00CC76D1">
        <w:rPr>
          <w:lang w:val="fr-FR"/>
        </w:rPr>
        <w:t>enseignement primaire et secondaire, respectivement tous les deux et quatre kilomètres. De plus, 10</w:t>
      </w:r>
      <w:r w:rsidR="00DD493E">
        <w:rPr>
          <w:lang w:val="fr-FR"/>
        </w:rPr>
        <w:t> </w:t>
      </w:r>
      <w:r w:rsidRPr="00CC76D1">
        <w:rPr>
          <w:lang w:val="fr-FR"/>
        </w:rPr>
        <w:t>% du budget de l</w:t>
      </w:r>
      <w:r w:rsidR="00474653">
        <w:rPr>
          <w:lang w:val="fr-FR"/>
        </w:rPr>
        <w:t>’</w:t>
      </w:r>
      <w:r w:rsidRPr="00CC76D1">
        <w:rPr>
          <w:lang w:val="fr-FR"/>
        </w:rPr>
        <w:t>éducation est affecté à la distribution de manuels et d</w:t>
      </w:r>
      <w:r w:rsidR="00474653">
        <w:rPr>
          <w:lang w:val="fr-FR"/>
        </w:rPr>
        <w:t>’</w:t>
      </w:r>
      <w:r w:rsidRPr="00CC76D1">
        <w:rPr>
          <w:lang w:val="fr-FR"/>
        </w:rPr>
        <w:t>uniformes gratuits à tous les élèves, ainsi qu</w:t>
      </w:r>
      <w:r w:rsidR="00474653">
        <w:rPr>
          <w:lang w:val="fr-FR"/>
        </w:rPr>
        <w:t>’</w:t>
      </w:r>
      <w:r w:rsidRPr="00CC76D1">
        <w:rPr>
          <w:lang w:val="fr-FR"/>
        </w:rPr>
        <w:t>à des programmes de nutrition, des bourses et d</w:t>
      </w:r>
      <w:r w:rsidR="00474653">
        <w:rPr>
          <w:lang w:val="fr-FR"/>
        </w:rPr>
        <w:t>’</w:t>
      </w:r>
      <w:r w:rsidRPr="00CC76D1">
        <w:rPr>
          <w:lang w:val="fr-FR"/>
        </w:rPr>
        <w:t xml:space="preserve">autres subventions. </w:t>
      </w:r>
    </w:p>
    <w:p w:rsidR="00EC4C5A" w:rsidRPr="00CC76D1" w:rsidRDefault="00DD493E" w:rsidP="00DD493E">
      <w:pPr>
        <w:pStyle w:val="SingleTxtG"/>
        <w:rPr>
          <w:lang w:val="fr-FR"/>
        </w:rPr>
      </w:pPr>
      <w:r>
        <w:rPr>
          <w:lang w:val="fr-FR"/>
        </w:rPr>
        <w:t>116.</w:t>
      </w:r>
      <w:r>
        <w:rPr>
          <w:lang w:val="fr-FR"/>
        </w:rPr>
        <w:tab/>
        <w:t>Le concept des « écoles amies des enfants »</w:t>
      </w:r>
      <w:r w:rsidR="00EC4C5A" w:rsidRPr="00CC76D1">
        <w:rPr>
          <w:lang w:val="fr-FR"/>
        </w:rPr>
        <w:t>, mis en place par le Ministère, contribue à améliorer la qualité des écoles primaires dans les zones rurales. Les élèves, les enseignants et les directeurs d</w:t>
      </w:r>
      <w:r w:rsidR="00474653">
        <w:rPr>
          <w:lang w:val="fr-FR"/>
        </w:rPr>
        <w:t>’</w:t>
      </w:r>
      <w:r w:rsidR="00EC4C5A" w:rsidRPr="00CC76D1">
        <w:rPr>
          <w:lang w:val="fr-FR"/>
        </w:rPr>
        <w:t>établissement évaluent l</w:t>
      </w:r>
      <w:r w:rsidR="00474653">
        <w:rPr>
          <w:lang w:val="fr-FR"/>
        </w:rPr>
        <w:t>’</w:t>
      </w:r>
      <w:r w:rsidR="00EC4C5A" w:rsidRPr="00CC76D1">
        <w:rPr>
          <w:lang w:val="fr-FR"/>
        </w:rPr>
        <w:t>état de l</w:t>
      </w:r>
      <w:r w:rsidR="00474653">
        <w:rPr>
          <w:lang w:val="fr-FR"/>
        </w:rPr>
        <w:t>’</w:t>
      </w:r>
      <w:r w:rsidR="00EC4C5A" w:rsidRPr="00CC76D1">
        <w:rPr>
          <w:lang w:val="fr-FR"/>
        </w:rPr>
        <w:t>école à l</w:t>
      </w:r>
      <w:r w:rsidR="00474653">
        <w:rPr>
          <w:lang w:val="fr-FR"/>
        </w:rPr>
        <w:t>’</w:t>
      </w:r>
      <w:r w:rsidR="00EC4C5A" w:rsidRPr="00CC76D1">
        <w:rPr>
          <w:lang w:val="fr-FR"/>
        </w:rPr>
        <w:t>aune de critères spécifiques. Pour aller plus loin encore, la réduction des risques de catastrophe, l</w:t>
      </w:r>
      <w:r w:rsidR="00474653">
        <w:rPr>
          <w:lang w:val="fr-FR"/>
        </w:rPr>
        <w:t>’</w:t>
      </w:r>
      <w:r w:rsidR="00EC4C5A" w:rsidRPr="00CC76D1">
        <w:rPr>
          <w:lang w:val="fr-FR"/>
        </w:rPr>
        <w:t xml:space="preserve">éducation à la sécurité, etc., ont été intégrées au programme scolaire. </w:t>
      </w:r>
    </w:p>
    <w:p w:rsidR="00EC4C5A" w:rsidRPr="00CC76D1" w:rsidRDefault="00EC4C5A" w:rsidP="00DD493E">
      <w:pPr>
        <w:pStyle w:val="SingleTxtG"/>
        <w:rPr>
          <w:lang w:val="fr-FR"/>
        </w:rPr>
      </w:pPr>
      <w:r w:rsidRPr="00CC76D1">
        <w:rPr>
          <w:lang w:val="fr-FR"/>
        </w:rPr>
        <w:t>117.</w:t>
      </w:r>
      <w:r w:rsidRPr="00CC76D1">
        <w:rPr>
          <w:lang w:val="fr-FR"/>
        </w:rPr>
        <w:tab/>
        <w:t>Les enfants de groupes vulnérables ont également été intégrés dans le système scolaire grâce à la création d</w:t>
      </w:r>
      <w:r w:rsidR="00474653">
        <w:rPr>
          <w:lang w:val="fr-FR"/>
        </w:rPr>
        <w:t>’</w:t>
      </w:r>
      <w:r w:rsidRPr="00CC76D1">
        <w:rPr>
          <w:lang w:val="fr-FR"/>
        </w:rPr>
        <w:t>écoles dans les régions de plantations. Celles-ci comportent des unités d</w:t>
      </w:r>
      <w:r w:rsidR="00474653">
        <w:rPr>
          <w:lang w:val="fr-FR"/>
        </w:rPr>
        <w:t>’</w:t>
      </w:r>
      <w:r w:rsidRPr="00CC76D1">
        <w:rPr>
          <w:lang w:val="fr-FR"/>
        </w:rPr>
        <w:t>éducation spécialisée pour les enfants ayant des besoins spéciaux. Les enfants présentant des capacités différentes sont scolarisés dans des écoles ordinaires et un programme de centre d</w:t>
      </w:r>
      <w:r w:rsidR="00474653">
        <w:rPr>
          <w:lang w:val="fr-FR"/>
        </w:rPr>
        <w:t>’</w:t>
      </w:r>
      <w:r w:rsidRPr="00CC76D1">
        <w:rPr>
          <w:lang w:val="fr-FR"/>
        </w:rPr>
        <w:t>apprentissage communautaire a été créé pour l</w:t>
      </w:r>
      <w:r w:rsidR="00474653">
        <w:rPr>
          <w:lang w:val="fr-FR"/>
        </w:rPr>
        <w:t>’</w:t>
      </w:r>
      <w:r w:rsidRPr="00CC76D1">
        <w:rPr>
          <w:lang w:val="fr-FR"/>
        </w:rPr>
        <w:t xml:space="preserve">alphabétisation de base des enfants des rues. </w:t>
      </w:r>
    </w:p>
    <w:p w:rsidR="00EC4C5A" w:rsidRPr="00CC76D1" w:rsidRDefault="00EC4C5A" w:rsidP="00DD493E">
      <w:pPr>
        <w:pStyle w:val="SingleTxtG"/>
        <w:rPr>
          <w:lang w:val="fr-FR"/>
        </w:rPr>
      </w:pPr>
      <w:r w:rsidRPr="00CC76D1">
        <w:rPr>
          <w:lang w:val="fr-FR"/>
        </w:rPr>
        <w:t>118.</w:t>
      </w:r>
      <w:r w:rsidRPr="00CC76D1">
        <w:rPr>
          <w:lang w:val="fr-FR"/>
        </w:rPr>
        <w:tab/>
        <w:t>Les mesures suivantes ont été prises pour faire en sorte que les enfants touchés par les conflits aient</w:t>
      </w:r>
      <w:r w:rsidR="00DD493E">
        <w:rPr>
          <w:lang w:val="fr-FR"/>
        </w:rPr>
        <w:t xml:space="preserve"> également accès à l</w:t>
      </w:r>
      <w:r w:rsidR="00474653">
        <w:rPr>
          <w:lang w:val="fr-FR"/>
        </w:rPr>
        <w:t>’</w:t>
      </w:r>
      <w:r w:rsidR="00DD493E">
        <w:rPr>
          <w:lang w:val="fr-FR"/>
        </w:rPr>
        <w:t>éducation :</w:t>
      </w:r>
    </w:p>
    <w:p w:rsidR="00EC4C5A" w:rsidRPr="00CC76D1" w:rsidRDefault="00EC4C5A" w:rsidP="00DD493E">
      <w:pPr>
        <w:pStyle w:val="Bullet1G"/>
        <w:rPr>
          <w:lang w:val="fr-FR"/>
        </w:rPr>
      </w:pPr>
      <w:r w:rsidRPr="00CC76D1">
        <w:rPr>
          <w:lang w:val="fr-FR"/>
        </w:rPr>
        <w:t>Construction et remise en état des établissements scolaires</w:t>
      </w:r>
      <w:r w:rsidR="00112F55">
        <w:rPr>
          <w:lang w:val="fr-FR"/>
        </w:rPr>
        <w:t xml:space="preserve"> ;</w:t>
      </w:r>
    </w:p>
    <w:p w:rsidR="00EC4C5A" w:rsidRPr="00CC76D1" w:rsidRDefault="00EC4C5A" w:rsidP="00DD493E">
      <w:pPr>
        <w:pStyle w:val="Bullet1G"/>
        <w:rPr>
          <w:lang w:val="fr-FR"/>
        </w:rPr>
      </w:pPr>
      <w:r w:rsidRPr="00CC76D1">
        <w:rPr>
          <w:lang w:val="fr-FR"/>
        </w:rPr>
        <w:t>Plans de préparation et de réponse aux situations d</w:t>
      </w:r>
      <w:r w:rsidR="00474653">
        <w:rPr>
          <w:lang w:val="fr-FR"/>
        </w:rPr>
        <w:t>’</w:t>
      </w:r>
      <w:r w:rsidRPr="00CC76D1">
        <w:rPr>
          <w:lang w:val="fr-FR"/>
        </w:rPr>
        <w:t>urgence</w:t>
      </w:r>
      <w:r w:rsidR="00112F55">
        <w:rPr>
          <w:lang w:val="fr-FR"/>
        </w:rPr>
        <w:t xml:space="preserve"> ;</w:t>
      </w:r>
    </w:p>
    <w:p w:rsidR="00EC4C5A" w:rsidRPr="00CC76D1" w:rsidRDefault="00EC4C5A" w:rsidP="00DD493E">
      <w:pPr>
        <w:pStyle w:val="Bullet1G"/>
        <w:rPr>
          <w:lang w:val="fr-FR"/>
        </w:rPr>
      </w:pPr>
      <w:r w:rsidRPr="00CC76D1">
        <w:rPr>
          <w:lang w:val="fr-FR"/>
        </w:rPr>
        <w:t>Développement des capacités des enseignants en matière d</w:t>
      </w:r>
      <w:r w:rsidR="00474653">
        <w:rPr>
          <w:lang w:val="fr-FR"/>
        </w:rPr>
        <w:t>’</w:t>
      </w:r>
      <w:r w:rsidRPr="00CC76D1">
        <w:rPr>
          <w:lang w:val="fr-FR"/>
        </w:rPr>
        <w:t>intervention psychosociale</w:t>
      </w:r>
      <w:r w:rsidR="00112F55">
        <w:rPr>
          <w:lang w:val="fr-FR"/>
        </w:rPr>
        <w:t xml:space="preserve"> ;</w:t>
      </w:r>
    </w:p>
    <w:p w:rsidR="00EC4C5A" w:rsidRPr="00CC76D1" w:rsidRDefault="00EC4C5A" w:rsidP="00DD493E">
      <w:pPr>
        <w:pStyle w:val="Bullet1G"/>
        <w:rPr>
          <w:lang w:val="fr-FR"/>
        </w:rPr>
      </w:pPr>
      <w:r w:rsidRPr="00CC76D1">
        <w:rPr>
          <w:lang w:val="fr-FR"/>
        </w:rPr>
        <w:t>Modules d</w:t>
      </w:r>
      <w:r w:rsidR="00474653">
        <w:rPr>
          <w:lang w:val="fr-FR"/>
        </w:rPr>
        <w:t>’</w:t>
      </w:r>
      <w:r w:rsidRPr="00CC76D1">
        <w:rPr>
          <w:lang w:val="fr-FR"/>
        </w:rPr>
        <w:t>enseignement à domicile</w:t>
      </w:r>
      <w:r w:rsidR="00112F55">
        <w:rPr>
          <w:lang w:val="fr-FR"/>
        </w:rPr>
        <w:t xml:space="preserve"> ;</w:t>
      </w:r>
    </w:p>
    <w:p w:rsidR="00EC4C5A" w:rsidRPr="00CC76D1" w:rsidRDefault="00EC4C5A" w:rsidP="00DD493E">
      <w:pPr>
        <w:pStyle w:val="Bullet1G"/>
        <w:rPr>
          <w:lang w:val="fr-FR"/>
        </w:rPr>
      </w:pPr>
      <w:r w:rsidRPr="00CC76D1">
        <w:rPr>
          <w:lang w:val="fr-FR"/>
        </w:rPr>
        <w:t>Cours de rattrapage</w:t>
      </w:r>
      <w:r w:rsidR="00112F55">
        <w:rPr>
          <w:lang w:val="fr-FR"/>
        </w:rPr>
        <w:t xml:space="preserve"> ;</w:t>
      </w:r>
    </w:p>
    <w:p w:rsidR="00EC4C5A" w:rsidRPr="00CC76D1" w:rsidRDefault="00EC4C5A" w:rsidP="00DD493E">
      <w:pPr>
        <w:pStyle w:val="Bullet1G"/>
        <w:rPr>
          <w:lang w:val="fr-FR"/>
        </w:rPr>
      </w:pPr>
      <w:r w:rsidRPr="00CC76D1">
        <w:rPr>
          <w:lang w:val="fr-FR"/>
        </w:rPr>
        <w:t>Programme d</w:t>
      </w:r>
      <w:r w:rsidR="00474653">
        <w:rPr>
          <w:lang w:val="fr-FR"/>
        </w:rPr>
        <w:t>’</w:t>
      </w:r>
      <w:r w:rsidRPr="00CC76D1">
        <w:rPr>
          <w:lang w:val="fr-FR"/>
        </w:rPr>
        <w:t>apprentissage accéléré</w:t>
      </w:r>
      <w:r w:rsidR="00112F55">
        <w:rPr>
          <w:lang w:val="fr-FR"/>
        </w:rPr>
        <w:t xml:space="preserve"> ;</w:t>
      </w:r>
    </w:p>
    <w:p w:rsidR="00EC4C5A" w:rsidRPr="00CC76D1" w:rsidRDefault="00EC4C5A" w:rsidP="00DD493E">
      <w:pPr>
        <w:pStyle w:val="Bullet1G"/>
        <w:rPr>
          <w:lang w:val="fr-FR"/>
        </w:rPr>
      </w:pPr>
      <w:r w:rsidRPr="00CC76D1">
        <w:rPr>
          <w:lang w:val="fr-FR"/>
        </w:rPr>
        <w:t>Sensibilisation aux dangers des mines.</w:t>
      </w:r>
    </w:p>
    <w:p w:rsidR="00EC4C5A" w:rsidRPr="00CC76D1" w:rsidRDefault="00EC4C5A" w:rsidP="00DD493E">
      <w:pPr>
        <w:pStyle w:val="SingleTxtG"/>
        <w:rPr>
          <w:lang w:val="fr-FR"/>
        </w:rPr>
      </w:pPr>
      <w:r w:rsidRPr="00CC76D1">
        <w:rPr>
          <w:lang w:val="fr-FR"/>
        </w:rPr>
        <w:t>119.</w:t>
      </w:r>
      <w:r w:rsidRPr="00CC76D1">
        <w:rPr>
          <w:lang w:val="fr-FR"/>
        </w:rPr>
        <w:tab/>
        <w:t>Le Gouvernement sri-lankais a pris des mesures pour mettre en place une inspection académique afin d</w:t>
      </w:r>
      <w:r w:rsidR="00474653">
        <w:rPr>
          <w:lang w:val="fr-FR"/>
        </w:rPr>
        <w:t>’</w:t>
      </w:r>
      <w:r w:rsidRPr="00CC76D1">
        <w:rPr>
          <w:lang w:val="fr-FR"/>
        </w:rPr>
        <w:t>améliorer la qualité de l</w:t>
      </w:r>
      <w:r w:rsidR="00474653">
        <w:rPr>
          <w:lang w:val="fr-FR"/>
        </w:rPr>
        <w:t>’</w:t>
      </w:r>
      <w:r w:rsidRPr="00CC76D1">
        <w:rPr>
          <w:lang w:val="fr-FR"/>
        </w:rPr>
        <w:t>enseignement, pour accroître le budget alloué à l</w:t>
      </w:r>
      <w:r w:rsidR="00474653">
        <w:rPr>
          <w:lang w:val="fr-FR"/>
        </w:rPr>
        <w:t>’</w:t>
      </w:r>
      <w:r w:rsidRPr="00CC76D1">
        <w:rPr>
          <w:lang w:val="fr-FR"/>
        </w:rPr>
        <w:t>éducation de manière à répartir équitablement les ressources humaines et matérielles, pour améliorer l</w:t>
      </w:r>
      <w:r w:rsidR="00474653">
        <w:rPr>
          <w:lang w:val="fr-FR"/>
        </w:rPr>
        <w:t>’</w:t>
      </w:r>
      <w:r w:rsidRPr="00CC76D1">
        <w:rPr>
          <w:lang w:val="fr-FR"/>
        </w:rPr>
        <w:t>éducation de la petite enfance, généraliser l</w:t>
      </w:r>
      <w:r w:rsidR="00474653">
        <w:rPr>
          <w:lang w:val="fr-FR"/>
        </w:rPr>
        <w:t>’</w:t>
      </w:r>
      <w:r w:rsidRPr="00CC76D1">
        <w:rPr>
          <w:lang w:val="fr-FR"/>
        </w:rPr>
        <w:t>approche inclusive de l</w:t>
      </w:r>
      <w:r w:rsidR="00474653">
        <w:rPr>
          <w:lang w:val="fr-FR"/>
        </w:rPr>
        <w:t>’</w:t>
      </w:r>
      <w:r w:rsidRPr="00CC76D1">
        <w:rPr>
          <w:lang w:val="fr-FR"/>
        </w:rPr>
        <w:t>éducation et recruter des enseignants spécialisés aptes à intervenir auprès de différents groupes d</w:t>
      </w:r>
      <w:r w:rsidR="00474653">
        <w:rPr>
          <w:lang w:val="fr-FR"/>
        </w:rPr>
        <w:t>’</w:t>
      </w:r>
      <w:r w:rsidRPr="00CC76D1">
        <w:rPr>
          <w:lang w:val="fr-FR"/>
        </w:rPr>
        <w:t xml:space="preserve">élèves. </w:t>
      </w:r>
    </w:p>
    <w:p w:rsidR="00EC4C5A" w:rsidRPr="00CC76D1" w:rsidRDefault="00EC4C5A" w:rsidP="00DD493E">
      <w:pPr>
        <w:pStyle w:val="H1G"/>
        <w:rPr>
          <w:lang w:val="fr-FR"/>
        </w:rPr>
      </w:pPr>
      <w:r w:rsidRPr="00CC76D1">
        <w:rPr>
          <w:lang w:val="fr-FR"/>
        </w:rPr>
        <w:lastRenderedPageBreak/>
        <w:tab/>
        <w:t>12.</w:t>
      </w:r>
      <w:r w:rsidRPr="00CC76D1">
        <w:rPr>
          <w:lang w:val="fr-FR"/>
        </w:rPr>
        <w:tab/>
        <w:t>Assurer la qualité de l</w:t>
      </w:r>
      <w:r w:rsidR="00474653">
        <w:rPr>
          <w:lang w:val="fr-FR"/>
        </w:rPr>
        <w:t>’</w:t>
      </w:r>
      <w:r w:rsidRPr="00CC76D1">
        <w:rPr>
          <w:lang w:val="fr-FR"/>
        </w:rPr>
        <w:t xml:space="preserve">enseignement au niveau du secondaire </w:t>
      </w:r>
    </w:p>
    <w:p w:rsidR="00EC4C5A" w:rsidRPr="00CC76D1" w:rsidRDefault="00EC4C5A" w:rsidP="00CE79F8">
      <w:pPr>
        <w:pStyle w:val="SingleTxtG"/>
        <w:rPr>
          <w:lang w:val="fr-FR"/>
        </w:rPr>
      </w:pPr>
      <w:r w:rsidRPr="00CC76D1">
        <w:rPr>
          <w:lang w:val="fr-FR"/>
        </w:rPr>
        <w:t>120.</w:t>
      </w:r>
      <w:r w:rsidRPr="00CC76D1">
        <w:rPr>
          <w:lang w:val="fr-FR"/>
        </w:rPr>
        <w:tab/>
        <w:t>La mise en œuvre du cadre et du programme de développement du secteur éducatif du Ministère de l</w:t>
      </w:r>
      <w:r w:rsidR="00474653">
        <w:rPr>
          <w:lang w:val="fr-FR"/>
        </w:rPr>
        <w:t>’</w:t>
      </w:r>
      <w:r w:rsidRPr="00CC76D1">
        <w:rPr>
          <w:lang w:val="fr-FR"/>
        </w:rPr>
        <w:t>éducation est en cours depuis 2006. Les principaux axes de</w:t>
      </w:r>
      <w:r w:rsidR="00CE79F8">
        <w:rPr>
          <w:lang w:val="fr-FR"/>
        </w:rPr>
        <w:t xml:space="preserve"> ce programme sont les suivants :</w:t>
      </w:r>
    </w:p>
    <w:p w:rsidR="00EC4C5A" w:rsidRPr="00CC76D1" w:rsidRDefault="00EC4C5A" w:rsidP="00DD493E">
      <w:pPr>
        <w:pStyle w:val="SingleTxtG"/>
        <w:ind w:firstLine="567"/>
        <w:rPr>
          <w:lang w:val="fr-FR"/>
        </w:rPr>
      </w:pPr>
      <w:r w:rsidRPr="00CC76D1">
        <w:rPr>
          <w:lang w:val="fr-FR"/>
        </w:rPr>
        <w:t>a)</w:t>
      </w:r>
      <w:r w:rsidRPr="00CC76D1">
        <w:rPr>
          <w:lang w:val="fr-FR"/>
        </w:rPr>
        <w:tab/>
        <w:t>Rendre plus équitable l</w:t>
      </w:r>
      <w:r w:rsidR="00474653">
        <w:rPr>
          <w:lang w:val="fr-FR"/>
        </w:rPr>
        <w:t>’</w:t>
      </w:r>
      <w:r w:rsidRPr="00CC76D1">
        <w:rPr>
          <w:lang w:val="fr-FR"/>
        </w:rPr>
        <w:t>accès à l</w:t>
      </w:r>
      <w:r w:rsidR="00474653">
        <w:rPr>
          <w:lang w:val="fr-FR"/>
        </w:rPr>
        <w:t>’</w:t>
      </w:r>
      <w:r w:rsidRPr="00CC76D1">
        <w:rPr>
          <w:lang w:val="fr-FR"/>
        </w:rPr>
        <w:t>ens</w:t>
      </w:r>
      <w:r w:rsidR="00DD493E">
        <w:rPr>
          <w:lang w:val="fr-FR"/>
        </w:rPr>
        <w:t>eignement de base et secondaire ;</w:t>
      </w:r>
    </w:p>
    <w:p w:rsidR="00EC4C5A" w:rsidRPr="00CC76D1" w:rsidRDefault="00EC4C5A" w:rsidP="00DD493E">
      <w:pPr>
        <w:pStyle w:val="SingleTxtG"/>
        <w:ind w:firstLine="567"/>
        <w:rPr>
          <w:lang w:val="fr-FR"/>
        </w:rPr>
      </w:pPr>
      <w:r w:rsidRPr="00CC76D1">
        <w:rPr>
          <w:lang w:val="fr-FR"/>
        </w:rPr>
        <w:t>b)</w:t>
      </w:r>
      <w:r w:rsidRPr="00CC76D1">
        <w:rPr>
          <w:lang w:val="fr-FR"/>
        </w:rPr>
        <w:tab/>
        <w:t>Améliorer la qualité de l</w:t>
      </w:r>
      <w:r w:rsidR="00474653">
        <w:rPr>
          <w:lang w:val="fr-FR"/>
        </w:rPr>
        <w:t>’</w:t>
      </w:r>
      <w:r w:rsidRPr="00CC76D1">
        <w:rPr>
          <w:lang w:val="fr-FR"/>
        </w:rPr>
        <w:t>ens</w:t>
      </w:r>
      <w:r w:rsidR="00DD493E">
        <w:rPr>
          <w:lang w:val="fr-FR"/>
        </w:rPr>
        <w:t>eignement de base et secondaire ;</w:t>
      </w:r>
    </w:p>
    <w:p w:rsidR="00EC4C5A" w:rsidRPr="00CC76D1" w:rsidRDefault="00EC4C5A" w:rsidP="00DD493E">
      <w:pPr>
        <w:pStyle w:val="SingleTxtG"/>
        <w:ind w:firstLine="567"/>
        <w:rPr>
          <w:lang w:val="fr-FR"/>
        </w:rPr>
      </w:pPr>
      <w:r w:rsidRPr="00CC76D1">
        <w:rPr>
          <w:lang w:val="fr-FR"/>
        </w:rPr>
        <w:t>c)</w:t>
      </w:r>
      <w:r w:rsidRPr="00CC76D1">
        <w:rPr>
          <w:lang w:val="fr-FR"/>
        </w:rPr>
        <w:tab/>
        <w:t>Renforcer l</w:t>
      </w:r>
      <w:r w:rsidR="00474653">
        <w:rPr>
          <w:lang w:val="fr-FR"/>
        </w:rPr>
        <w:t>’</w:t>
      </w:r>
      <w:r w:rsidRPr="00CC76D1">
        <w:rPr>
          <w:lang w:val="fr-FR"/>
        </w:rPr>
        <w:t>efficacité et l</w:t>
      </w:r>
      <w:r w:rsidR="00474653">
        <w:rPr>
          <w:lang w:val="fr-FR"/>
        </w:rPr>
        <w:t>’</w:t>
      </w:r>
      <w:r w:rsidRPr="00CC76D1">
        <w:rPr>
          <w:lang w:val="fr-FR"/>
        </w:rPr>
        <w:t>équité d</w:t>
      </w:r>
      <w:r w:rsidR="00DD493E">
        <w:rPr>
          <w:lang w:val="fr-FR"/>
        </w:rPr>
        <w:t>e la répartition des ressources ;</w:t>
      </w:r>
    </w:p>
    <w:p w:rsidR="00EC4C5A" w:rsidRPr="00CC76D1" w:rsidRDefault="00EC4C5A" w:rsidP="00DD493E">
      <w:pPr>
        <w:pStyle w:val="SingleTxtG"/>
        <w:ind w:firstLine="567"/>
        <w:rPr>
          <w:lang w:val="fr-FR"/>
        </w:rPr>
      </w:pPr>
      <w:r w:rsidRPr="00CC76D1">
        <w:rPr>
          <w:lang w:val="fr-FR"/>
        </w:rPr>
        <w:t>d)</w:t>
      </w:r>
      <w:r w:rsidRPr="00CC76D1">
        <w:rPr>
          <w:lang w:val="fr-FR"/>
        </w:rPr>
        <w:tab/>
        <w:t>Renforcer la gouvernance et la fourniture des services d</w:t>
      </w:r>
      <w:r w:rsidR="00474653">
        <w:rPr>
          <w:lang w:val="fr-FR"/>
        </w:rPr>
        <w:t>’</w:t>
      </w:r>
      <w:r w:rsidRPr="00CC76D1">
        <w:rPr>
          <w:lang w:val="fr-FR"/>
        </w:rPr>
        <w:t>éducation.</w:t>
      </w:r>
    </w:p>
    <w:p w:rsidR="00EC4C5A" w:rsidRPr="00CC76D1" w:rsidRDefault="00EC4C5A" w:rsidP="00DD493E">
      <w:pPr>
        <w:pStyle w:val="SingleTxtG"/>
        <w:rPr>
          <w:lang w:val="fr-FR"/>
        </w:rPr>
      </w:pPr>
      <w:r w:rsidRPr="00CC76D1">
        <w:rPr>
          <w:lang w:val="fr-FR"/>
        </w:rPr>
        <w:t>121.</w:t>
      </w:r>
      <w:r w:rsidRPr="00CC76D1">
        <w:rPr>
          <w:lang w:val="fr-FR"/>
        </w:rPr>
        <w:tab/>
        <w:t>Afin de rendre plus équitable l</w:t>
      </w:r>
      <w:r w:rsidR="00474653">
        <w:rPr>
          <w:lang w:val="fr-FR"/>
        </w:rPr>
        <w:t>’</w:t>
      </w:r>
      <w:r w:rsidRPr="00CC76D1">
        <w:rPr>
          <w:lang w:val="fr-FR"/>
        </w:rPr>
        <w:t xml:space="preserve">accès aux établissements scolaires, les programmes ci-après sont actuellement mis en œuvre de manière à offrir davantage de </w:t>
      </w:r>
      <w:r w:rsidR="00DA0A47">
        <w:rPr>
          <w:lang w:val="fr-FR"/>
        </w:rPr>
        <w:t>possibilités à tous les enfants :</w:t>
      </w:r>
    </w:p>
    <w:p w:rsidR="00EC4C5A" w:rsidRPr="00CC76D1" w:rsidRDefault="00EC4C5A" w:rsidP="00DD493E">
      <w:pPr>
        <w:pStyle w:val="Bullet1G"/>
        <w:rPr>
          <w:lang w:val="fr-FR"/>
        </w:rPr>
      </w:pPr>
      <w:r w:rsidRPr="00CC76D1">
        <w:rPr>
          <w:lang w:val="fr-FR"/>
        </w:rPr>
        <w:t>Construction de 1 000 écoles secondaires dotées de laboratoires équipés pour l</w:t>
      </w:r>
      <w:r w:rsidR="00474653">
        <w:rPr>
          <w:lang w:val="fr-FR"/>
        </w:rPr>
        <w:t>’</w:t>
      </w:r>
      <w:r w:rsidRPr="00CC76D1">
        <w:rPr>
          <w:lang w:val="fr-FR"/>
        </w:rPr>
        <w:t>enseignement des sciences, de la technologie et des langues, à raison d</w:t>
      </w:r>
      <w:r w:rsidR="00474653">
        <w:rPr>
          <w:lang w:val="fr-FR"/>
        </w:rPr>
        <w:t>’</w:t>
      </w:r>
      <w:r w:rsidRPr="00CC76D1">
        <w:rPr>
          <w:lang w:val="fr-FR"/>
        </w:rPr>
        <w:t>au moins une école par secrétariat divisionnaire. Cette initiative permettra de réduire les inégalités géographiques ou régionales dans la répartition des ressou</w:t>
      </w:r>
      <w:r w:rsidR="00DD493E">
        <w:rPr>
          <w:lang w:val="fr-FR"/>
        </w:rPr>
        <w:t>rces ;</w:t>
      </w:r>
    </w:p>
    <w:p w:rsidR="00EC4C5A" w:rsidRPr="00CC76D1" w:rsidRDefault="00DD493E" w:rsidP="00DD493E">
      <w:pPr>
        <w:pStyle w:val="Bullet1G"/>
        <w:rPr>
          <w:lang w:val="fr-FR"/>
        </w:rPr>
      </w:pPr>
      <w:r>
        <w:rPr>
          <w:lang w:val="fr-FR"/>
        </w:rPr>
        <w:t>Déploiement du concept « </w:t>
      </w:r>
      <w:r w:rsidR="00EC4C5A" w:rsidRPr="00CC76D1">
        <w:rPr>
          <w:lang w:val="fr-FR"/>
        </w:rPr>
        <w:t>l</w:t>
      </w:r>
      <w:r w:rsidR="00474653">
        <w:rPr>
          <w:lang w:val="fr-FR"/>
        </w:rPr>
        <w:t>’</w:t>
      </w:r>
      <w:r w:rsidR="00EC4C5A" w:rsidRPr="00CC76D1">
        <w:rPr>
          <w:lang w:val="fr-FR"/>
        </w:rPr>
        <w:t>école de p</w:t>
      </w:r>
      <w:r>
        <w:rPr>
          <w:lang w:val="fr-FR"/>
        </w:rPr>
        <w:t>roximité est la meilleure école »</w:t>
      </w:r>
      <w:r w:rsidR="00EC4C5A" w:rsidRPr="00CC76D1">
        <w:rPr>
          <w:lang w:val="fr-FR"/>
        </w:rPr>
        <w:t xml:space="preserve"> pour améliorer la qualité de l</w:t>
      </w:r>
      <w:r w:rsidR="00474653">
        <w:rPr>
          <w:lang w:val="fr-FR"/>
        </w:rPr>
        <w:t>’</w:t>
      </w:r>
      <w:r w:rsidR="00EC4C5A" w:rsidRPr="00CC76D1">
        <w:rPr>
          <w:lang w:val="fr-FR"/>
        </w:rPr>
        <w:t>enseignement primaire grâce au développement des infrastructures et des services d</w:t>
      </w:r>
      <w:r w:rsidR="00474653">
        <w:rPr>
          <w:lang w:val="fr-FR"/>
        </w:rPr>
        <w:t>’</w:t>
      </w:r>
      <w:r w:rsidR="00EC4C5A" w:rsidRPr="00CC76D1">
        <w:rPr>
          <w:lang w:val="fr-FR"/>
        </w:rPr>
        <w:t>eau potable et d</w:t>
      </w:r>
      <w:r w:rsidR="00474653">
        <w:rPr>
          <w:lang w:val="fr-FR"/>
        </w:rPr>
        <w:t>’</w:t>
      </w:r>
      <w:r w:rsidR="00EC4C5A" w:rsidRPr="00CC76D1">
        <w:rPr>
          <w:lang w:val="fr-FR"/>
        </w:rPr>
        <w:t>assainissement, en particulier dans les zones rura</w:t>
      </w:r>
      <w:r>
        <w:rPr>
          <w:lang w:val="fr-FR"/>
        </w:rPr>
        <w:t>les ;</w:t>
      </w:r>
    </w:p>
    <w:p w:rsidR="00EC4C5A" w:rsidRPr="00CC76D1" w:rsidRDefault="00EC4C5A" w:rsidP="00DD493E">
      <w:pPr>
        <w:pStyle w:val="Bullet1G"/>
        <w:rPr>
          <w:lang w:val="fr-FR"/>
        </w:rPr>
      </w:pPr>
      <w:r w:rsidRPr="00CC76D1">
        <w:rPr>
          <w:lang w:val="fr-FR"/>
        </w:rPr>
        <w:t>Initiatives publiques en faveur du développement des anciennes zones touchées par le conflit par la construction d</w:t>
      </w:r>
      <w:r w:rsidR="00474653">
        <w:rPr>
          <w:lang w:val="fr-FR"/>
        </w:rPr>
        <w:t>’</w:t>
      </w:r>
      <w:r w:rsidRPr="00CC76D1">
        <w:rPr>
          <w:lang w:val="fr-FR"/>
        </w:rPr>
        <w:t>in</w:t>
      </w:r>
      <w:r w:rsidR="00DD493E">
        <w:rPr>
          <w:lang w:val="fr-FR"/>
        </w:rPr>
        <w:t>frastructures, dont des écoles ;</w:t>
      </w:r>
    </w:p>
    <w:p w:rsidR="00EC4C5A" w:rsidRPr="00CC76D1" w:rsidRDefault="00EC4C5A" w:rsidP="00DD493E">
      <w:pPr>
        <w:pStyle w:val="Bullet1G"/>
        <w:rPr>
          <w:lang w:val="fr-FR"/>
        </w:rPr>
      </w:pPr>
      <w:r w:rsidRPr="00CC76D1">
        <w:rPr>
          <w:lang w:val="fr-FR"/>
        </w:rPr>
        <w:t>Introduction du concept d</w:t>
      </w:r>
      <w:r w:rsidR="00474653">
        <w:rPr>
          <w:lang w:val="fr-FR"/>
        </w:rPr>
        <w:t>’</w:t>
      </w:r>
      <w:r w:rsidRPr="00CC76D1">
        <w:rPr>
          <w:lang w:val="fr-FR"/>
        </w:rPr>
        <w:t>éducation adaptée aux besoins des enfants dans les écoles primaires afin d</w:t>
      </w:r>
      <w:r w:rsidR="00474653">
        <w:rPr>
          <w:lang w:val="fr-FR"/>
        </w:rPr>
        <w:t>’</w:t>
      </w:r>
      <w:r w:rsidRPr="00CC76D1">
        <w:rPr>
          <w:lang w:val="fr-FR"/>
        </w:rPr>
        <w:t>améliorer</w:t>
      </w:r>
      <w:r w:rsidR="00DD493E">
        <w:rPr>
          <w:lang w:val="fr-FR"/>
        </w:rPr>
        <w:t xml:space="preserve"> les conditions d</w:t>
      </w:r>
      <w:r w:rsidR="00474653">
        <w:rPr>
          <w:lang w:val="fr-FR"/>
        </w:rPr>
        <w:t>’</w:t>
      </w:r>
      <w:r w:rsidR="00DD493E">
        <w:rPr>
          <w:lang w:val="fr-FR"/>
        </w:rPr>
        <w:t>apprentissage ;</w:t>
      </w:r>
    </w:p>
    <w:p w:rsidR="00EC4C5A" w:rsidRPr="00CC76D1" w:rsidRDefault="00EC4C5A" w:rsidP="00DD493E">
      <w:pPr>
        <w:pStyle w:val="Bullet1G"/>
        <w:rPr>
          <w:lang w:val="fr-FR"/>
        </w:rPr>
      </w:pPr>
      <w:r w:rsidRPr="00CC76D1">
        <w:rPr>
          <w:lang w:val="fr-FR"/>
        </w:rPr>
        <w:t>Distribution, en 2015, d</w:t>
      </w:r>
      <w:r w:rsidR="00474653">
        <w:rPr>
          <w:lang w:val="fr-FR"/>
        </w:rPr>
        <w:t>’</w:t>
      </w:r>
      <w:r w:rsidRPr="00CC76D1">
        <w:rPr>
          <w:lang w:val="fr-FR"/>
        </w:rPr>
        <w:t>une boîte à outils pour l</w:t>
      </w:r>
      <w:r w:rsidR="00474653">
        <w:rPr>
          <w:lang w:val="fr-FR"/>
        </w:rPr>
        <w:t>’</w:t>
      </w:r>
      <w:r w:rsidRPr="00CC76D1">
        <w:rPr>
          <w:lang w:val="fr-FR"/>
        </w:rPr>
        <w:t>éducation inclusive aux enseignants du primaire afin qu</w:t>
      </w:r>
      <w:r w:rsidR="00474653">
        <w:rPr>
          <w:lang w:val="fr-FR"/>
        </w:rPr>
        <w:t>’</w:t>
      </w:r>
      <w:r w:rsidRPr="00CC76D1">
        <w:rPr>
          <w:lang w:val="fr-FR"/>
        </w:rPr>
        <w:t>ils puissent identifier les enfants à risque et lutter contre les abandons scolaires.</w:t>
      </w:r>
    </w:p>
    <w:p w:rsidR="00EC4C5A" w:rsidRPr="00CC76D1" w:rsidRDefault="00EC4C5A" w:rsidP="00DD493E">
      <w:pPr>
        <w:pStyle w:val="SingleTxtG"/>
        <w:rPr>
          <w:lang w:val="fr-FR"/>
        </w:rPr>
      </w:pPr>
      <w:r w:rsidRPr="00CC76D1">
        <w:rPr>
          <w:lang w:val="fr-FR"/>
        </w:rPr>
        <w:t>122.</w:t>
      </w:r>
      <w:r w:rsidRPr="00CC76D1">
        <w:rPr>
          <w:lang w:val="fr-FR"/>
        </w:rPr>
        <w:tab/>
        <w:t>Nouvelles réformes de l</w:t>
      </w:r>
      <w:r w:rsidR="00474653">
        <w:rPr>
          <w:lang w:val="fr-FR"/>
        </w:rPr>
        <w:t>’</w:t>
      </w:r>
      <w:r w:rsidRPr="00CC76D1">
        <w:rPr>
          <w:lang w:val="fr-FR"/>
        </w:rPr>
        <w:t>éducation</w:t>
      </w:r>
      <w:r w:rsidR="00112F55">
        <w:rPr>
          <w:lang w:val="fr-FR"/>
        </w:rPr>
        <w:t xml:space="preserve"> :</w:t>
      </w:r>
    </w:p>
    <w:p w:rsidR="00EC4C5A" w:rsidRPr="00CC76D1" w:rsidRDefault="00EC4C5A" w:rsidP="00DD493E">
      <w:pPr>
        <w:pStyle w:val="Bullet1G"/>
        <w:rPr>
          <w:lang w:val="fr-FR"/>
        </w:rPr>
      </w:pPr>
      <w:r w:rsidRPr="00CC76D1">
        <w:rPr>
          <w:lang w:val="fr-FR"/>
        </w:rPr>
        <w:t>Plusieurs grandes réformes de l</w:t>
      </w:r>
      <w:r w:rsidR="00474653">
        <w:rPr>
          <w:lang w:val="fr-FR"/>
        </w:rPr>
        <w:t>’</w:t>
      </w:r>
      <w:r w:rsidRPr="00CC76D1">
        <w:rPr>
          <w:lang w:val="fr-FR"/>
        </w:rPr>
        <w:t>éducation ont été proposées afin de remédier aux questions susmentionnées. Ces projets de réforme sont élaborés sur la base des recommandations de politique g</w:t>
      </w:r>
      <w:r w:rsidR="00283F4E">
        <w:rPr>
          <w:lang w:val="fr-FR"/>
        </w:rPr>
        <w:t>énérale qui visent à porter à treize</w:t>
      </w:r>
      <w:r w:rsidRPr="00CC76D1">
        <w:rPr>
          <w:lang w:val="fr-FR"/>
        </w:rPr>
        <w:t xml:space="preserve"> ans la durée de la scolarité obligatoire afin de permettre au pays d</w:t>
      </w:r>
      <w:r w:rsidR="00474653">
        <w:rPr>
          <w:lang w:val="fr-FR"/>
        </w:rPr>
        <w:t>’</w:t>
      </w:r>
      <w:r w:rsidRPr="00CC76D1">
        <w:rPr>
          <w:lang w:val="fr-FR"/>
        </w:rPr>
        <w:t>atteindre les Objectifs de développement durable (ODD) d</w:t>
      </w:r>
      <w:r w:rsidR="00474653">
        <w:rPr>
          <w:lang w:val="fr-FR"/>
        </w:rPr>
        <w:t>’</w:t>
      </w:r>
      <w:r w:rsidRPr="00CC76D1">
        <w:rPr>
          <w:lang w:val="fr-FR"/>
        </w:rPr>
        <w:t xml:space="preserve">ici à 2030. </w:t>
      </w:r>
    </w:p>
    <w:p w:rsidR="00EC4C5A" w:rsidRPr="00CC76D1" w:rsidRDefault="00EC4C5A" w:rsidP="00DD493E">
      <w:pPr>
        <w:pStyle w:val="SingleTxtG"/>
        <w:ind w:firstLine="567"/>
        <w:rPr>
          <w:lang w:val="fr-FR"/>
        </w:rPr>
      </w:pPr>
      <w:r w:rsidRPr="00CC76D1">
        <w:rPr>
          <w:lang w:val="fr-FR"/>
        </w:rPr>
        <w:t>Les trois principaux projets de réforme ci-après, étroitement reliés les uns aux autres, ont pour but de modifier le système d</w:t>
      </w:r>
      <w:r w:rsidR="00474653">
        <w:rPr>
          <w:lang w:val="fr-FR"/>
        </w:rPr>
        <w:t>’</w:t>
      </w:r>
      <w:r w:rsidRPr="00CC76D1">
        <w:rPr>
          <w:lang w:val="fr-FR"/>
        </w:rPr>
        <w:t>ense</w:t>
      </w:r>
      <w:r w:rsidR="00DD493E">
        <w:rPr>
          <w:lang w:val="fr-FR"/>
        </w:rPr>
        <w:t>ignement général :</w:t>
      </w:r>
    </w:p>
    <w:p w:rsidR="00EC4C5A" w:rsidRPr="00CC76D1" w:rsidRDefault="00EC4C5A" w:rsidP="00DD493E">
      <w:pPr>
        <w:pStyle w:val="Bullet1G"/>
        <w:rPr>
          <w:lang w:val="fr-FR"/>
        </w:rPr>
      </w:pPr>
      <w:r w:rsidRPr="00CC76D1">
        <w:rPr>
          <w:lang w:val="fr-FR"/>
        </w:rPr>
        <w:t>Allongement de la durée de la</w:t>
      </w:r>
      <w:r w:rsidR="00453EA2">
        <w:rPr>
          <w:lang w:val="fr-FR"/>
        </w:rPr>
        <w:t xml:space="preserve"> scolarité obligatoire à treize</w:t>
      </w:r>
      <w:r w:rsidR="00DD493E">
        <w:rPr>
          <w:lang w:val="fr-FR"/>
        </w:rPr>
        <w:t xml:space="preserve"> ans ;</w:t>
      </w:r>
    </w:p>
    <w:p w:rsidR="00EC4C5A" w:rsidRPr="00CC76D1" w:rsidRDefault="00EC4C5A" w:rsidP="00DD493E">
      <w:pPr>
        <w:pStyle w:val="Bullet1G"/>
        <w:rPr>
          <w:lang w:val="fr-FR"/>
        </w:rPr>
      </w:pPr>
      <w:r w:rsidRPr="00CC76D1">
        <w:rPr>
          <w:lang w:val="fr-FR"/>
        </w:rPr>
        <w:t>Cr</w:t>
      </w:r>
      <w:r w:rsidR="00DD493E">
        <w:rPr>
          <w:lang w:val="fr-FR"/>
        </w:rPr>
        <w:t>éation de commissions scolaires ;</w:t>
      </w:r>
    </w:p>
    <w:p w:rsidR="00EC4C5A" w:rsidRPr="00CC76D1" w:rsidRDefault="00EC4C5A" w:rsidP="00DD493E">
      <w:pPr>
        <w:pStyle w:val="Bullet1G"/>
        <w:rPr>
          <w:lang w:val="fr-FR"/>
        </w:rPr>
      </w:pPr>
      <w:r w:rsidRPr="00CC76D1">
        <w:rPr>
          <w:lang w:val="fr-FR"/>
        </w:rPr>
        <w:t>Création de l</w:t>
      </w:r>
      <w:r w:rsidR="00474653">
        <w:rPr>
          <w:lang w:val="fr-FR"/>
        </w:rPr>
        <w:t>’</w:t>
      </w:r>
      <w:r w:rsidRPr="00CC76D1">
        <w:rPr>
          <w:lang w:val="fr-FR"/>
        </w:rPr>
        <w:t>ins</w:t>
      </w:r>
      <w:r w:rsidR="00DD493E">
        <w:rPr>
          <w:lang w:val="fr-FR"/>
        </w:rPr>
        <w:t>pection académique de Sri Lanka.</w:t>
      </w:r>
    </w:p>
    <w:p w:rsidR="00EC4C5A" w:rsidRPr="00CC76D1" w:rsidRDefault="00EC4C5A" w:rsidP="00DD493E">
      <w:pPr>
        <w:pStyle w:val="H23G"/>
        <w:rPr>
          <w:lang w:val="fr-FR"/>
        </w:rPr>
      </w:pPr>
      <w:r w:rsidRPr="00CC76D1">
        <w:rPr>
          <w:lang w:val="fr-FR"/>
        </w:rPr>
        <w:tab/>
      </w:r>
      <w:r w:rsidRPr="00CC76D1">
        <w:rPr>
          <w:lang w:val="fr-FR"/>
        </w:rPr>
        <w:tab/>
        <w:t>Objectifs généraux des réformes</w:t>
      </w:r>
    </w:p>
    <w:p w:rsidR="00EC4C5A" w:rsidRPr="00CC76D1" w:rsidRDefault="00EC4C5A" w:rsidP="00DD493E">
      <w:pPr>
        <w:pStyle w:val="Bullet1G"/>
        <w:rPr>
          <w:lang w:val="fr-FR"/>
        </w:rPr>
      </w:pPr>
      <w:r w:rsidRPr="00CC76D1">
        <w:rPr>
          <w:lang w:val="fr-FR"/>
        </w:rPr>
        <w:t>Permettre à tous les enfants d</w:t>
      </w:r>
      <w:r w:rsidR="00474653">
        <w:rPr>
          <w:lang w:val="fr-FR"/>
        </w:rPr>
        <w:t>’</w:t>
      </w:r>
      <w:r w:rsidRPr="00CC76D1">
        <w:rPr>
          <w:lang w:val="fr-FR"/>
        </w:rPr>
        <w:t>évoluer au sein du système d</w:t>
      </w:r>
      <w:r w:rsidR="00474653">
        <w:rPr>
          <w:lang w:val="fr-FR"/>
        </w:rPr>
        <w:t>’</w:t>
      </w:r>
      <w:r w:rsidRPr="00CC76D1">
        <w:rPr>
          <w:lang w:val="fr-FR"/>
        </w:rPr>
        <w:t>enseignement général jusqu</w:t>
      </w:r>
      <w:r w:rsidR="00474653">
        <w:rPr>
          <w:lang w:val="fr-FR"/>
        </w:rPr>
        <w:t>’</w:t>
      </w:r>
      <w:r w:rsidRPr="00CC76D1">
        <w:rPr>
          <w:lang w:val="fr-FR"/>
        </w:rPr>
        <w:t>au second degré de l</w:t>
      </w:r>
      <w:r w:rsidR="00474653">
        <w:rPr>
          <w:lang w:val="fr-FR"/>
        </w:rPr>
        <w:t>’</w:t>
      </w:r>
      <w:r w:rsidRPr="00CC76D1">
        <w:rPr>
          <w:lang w:val="fr-FR"/>
        </w:rPr>
        <w:t>enseignement secondaire, de satisfaire leurs intérêts et de donner la pleine mesure de leur potentiel, et leur donner des bases solides pour accéder à l</w:t>
      </w:r>
      <w:r w:rsidR="00474653">
        <w:rPr>
          <w:lang w:val="fr-FR"/>
        </w:rPr>
        <w:t>’</w:t>
      </w:r>
      <w:r w:rsidRPr="00CC76D1">
        <w:rPr>
          <w:lang w:val="fr-FR"/>
        </w:rPr>
        <w:t>enseignement supérieur, à l</w:t>
      </w:r>
      <w:r w:rsidR="00474653">
        <w:rPr>
          <w:lang w:val="fr-FR"/>
        </w:rPr>
        <w:t>’</w:t>
      </w:r>
      <w:r w:rsidRPr="00CC76D1">
        <w:rPr>
          <w:lang w:val="fr-FR"/>
        </w:rPr>
        <w:t>enseignement et à la formation techniques et profes</w:t>
      </w:r>
      <w:r w:rsidR="00C23B70">
        <w:rPr>
          <w:lang w:val="fr-FR"/>
        </w:rPr>
        <w:t>sionnels et au monde du travail ;</w:t>
      </w:r>
    </w:p>
    <w:p w:rsidR="00EC4C5A" w:rsidRPr="00CC76D1" w:rsidRDefault="00EC4C5A" w:rsidP="00DD493E">
      <w:pPr>
        <w:pStyle w:val="Bullet1G"/>
        <w:rPr>
          <w:lang w:val="fr-FR"/>
        </w:rPr>
      </w:pPr>
      <w:r w:rsidRPr="00CC76D1">
        <w:rPr>
          <w:lang w:val="fr-FR"/>
        </w:rPr>
        <w:t>Donner à tous les enfants les moyens d</w:t>
      </w:r>
      <w:r w:rsidR="00474653">
        <w:rPr>
          <w:lang w:val="fr-FR"/>
        </w:rPr>
        <w:t>’</w:t>
      </w:r>
      <w:r w:rsidRPr="00CC76D1">
        <w:rPr>
          <w:lang w:val="fr-FR"/>
        </w:rPr>
        <w:t xml:space="preserve">acquérir des connaissances et compétences et de devenir des citoyens instruits, qualifiés </w:t>
      </w:r>
      <w:r w:rsidR="00C23B70">
        <w:rPr>
          <w:lang w:val="fr-FR"/>
        </w:rPr>
        <w:t>et porteurs de valeurs éthiques ;</w:t>
      </w:r>
    </w:p>
    <w:p w:rsidR="00EC4C5A" w:rsidRPr="00CC76D1" w:rsidRDefault="00EC4C5A" w:rsidP="00DD493E">
      <w:pPr>
        <w:pStyle w:val="Bullet1G"/>
        <w:rPr>
          <w:lang w:val="fr-FR"/>
        </w:rPr>
      </w:pPr>
      <w:r w:rsidRPr="00CC76D1">
        <w:rPr>
          <w:lang w:val="fr-FR"/>
        </w:rPr>
        <w:t>Renforcer les capacités des jeunes pour qu</w:t>
      </w:r>
      <w:r w:rsidR="00474653">
        <w:rPr>
          <w:lang w:val="fr-FR"/>
        </w:rPr>
        <w:t>’</w:t>
      </w:r>
      <w:r w:rsidRPr="00CC76D1">
        <w:rPr>
          <w:lang w:val="fr-FR"/>
        </w:rPr>
        <w:t>ils puissent contribuer activement et de manière créative à l</w:t>
      </w:r>
      <w:r w:rsidR="00474653">
        <w:rPr>
          <w:lang w:val="fr-FR"/>
        </w:rPr>
        <w:t>’</w:t>
      </w:r>
      <w:r w:rsidRPr="00CC76D1">
        <w:rPr>
          <w:lang w:val="fr-FR"/>
        </w:rPr>
        <w:t>économie du sav</w:t>
      </w:r>
      <w:r w:rsidR="00C23B70">
        <w:rPr>
          <w:lang w:val="fr-FR"/>
        </w:rPr>
        <w:t>oir grâce à un emploi productif ;</w:t>
      </w:r>
    </w:p>
    <w:p w:rsidR="00EC4C5A" w:rsidRPr="00CC76D1" w:rsidRDefault="00EC4C5A" w:rsidP="00DD493E">
      <w:pPr>
        <w:pStyle w:val="Bullet1G"/>
        <w:rPr>
          <w:lang w:val="fr-FR"/>
        </w:rPr>
      </w:pPr>
      <w:r w:rsidRPr="00CC76D1">
        <w:rPr>
          <w:lang w:val="fr-FR"/>
        </w:rPr>
        <w:lastRenderedPageBreak/>
        <w:t>L</w:t>
      </w:r>
      <w:r w:rsidR="00474653">
        <w:rPr>
          <w:lang w:val="fr-FR"/>
        </w:rPr>
        <w:t>’</w:t>
      </w:r>
      <w:r w:rsidR="00050ED7">
        <w:rPr>
          <w:lang w:val="fr-FR"/>
        </w:rPr>
        <w:t>allongement à treize</w:t>
      </w:r>
      <w:r w:rsidRPr="00CC76D1">
        <w:rPr>
          <w:lang w:val="fr-FR"/>
        </w:rPr>
        <w:t xml:space="preserve"> ans de la durée de la scolarité obligatoire a pour but de permettre à tous les enfants de bénéficier d</w:t>
      </w:r>
      <w:r w:rsidR="00474653">
        <w:rPr>
          <w:lang w:val="fr-FR"/>
        </w:rPr>
        <w:t>’</w:t>
      </w:r>
      <w:r w:rsidRPr="00CC76D1">
        <w:rPr>
          <w:lang w:val="fr-FR"/>
        </w:rPr>
        <w:t>une éducation, allant du primaire jusqu</w:t>
      </w:r>
      <w:r w:rsidR="00474653">
        <w:rPr>
          <w:lang w:val="fr-FR"/>
        </w:rPr>
        <w:t>’</w:t>
      </w:r>
      <w:r w:rsidRPr="00CC76D1">
        <w:rPr>
          <w:lang w:val="fr-FR"/>
        </w:rPr>
        <w:t>au second degré de l</w:t>
      </w:r>
      <w:r w:rsidR="00474653">
        <w:rPr>
          <w:lang w:val="fr-FR"/>
        </w:rPr>
        <w:t>’</w:t>
      </w:r>
      <w:r w:rsidRPr="00CC76D1">
        <w:rPr>
          <w:lang w:val="fr-FR"/>
        </w:rPr>
        <w:t>enseignement secondaire, et d</w:t>
      </w:r>
      <w:r w:rsidR="00474653">
        <w:rPr>
          <w:lang w:val="fr-FR"/>
        </w:rPr>
        <w:t>’</w:t>
      </w:r>
      <w:r w:rsidRPr="00CC76D1">
        <w:rPr>
          <w:lang w:val="fr-FR"/>
        </w:rPr>
        <w:t>élargir l</w:t>
      </w:r>
      <w:r w:rsidR="00474653">
        <w:rPr>
          <w:lang w:val="fr-FR"/>
        </w:rPr>
        <w:t>’</w:t>
      </w:r>
      <w:r w:rsidRPr="00CC76D1">
        <w:rPr>
          <w:lang w:val="fr-FR"/>
        </w:rPr>
        <w:t>offre éducative grâce à un programme scolaire souple et diversifié et un système d</w:t>
      </w:r>
      <w:r w:rsidR="00474653">
        <w:rPr>
          <w:lang w:val="fr-FR"/>
        </w:rPr>
        <w:t>’</w:t>
      </w:r>
      <w:r w:rsidRPr="00CC76D1">
        <w:rPr>
          <w:lang w:val="fr-FR"/>
        </w:rPr>
        <w:t xml:space="preserve">évaluation fondé sur les résultats. </w:t>
      </w:r>
    </w:p>
    <w:p w:rsidR="00EC4C5A" w:rsidRPr="00CC76D1" w:rsidRDefault="00EC4C5A" w:rsidP="00DD493E">
      <w:pPr>
        <w:pStyle w:val="HChG"/>
        <w:rPr>
          <w:lang w:val="fr-FR"/>
        </w:rPr>
      </w:pPr>
      <w:r w:rsidRPr="00CC76D1">
        <w:rPr>
          <w:lang w:val="fr-FR"/>
        </w:rPr>
        <w:tab/>
      </w:r>
      <w:r w:rsidRPr="00CC76D1">
        <w:rPr>
          <w:lang w:val="fr-FR"/>
        </w:rPr>
        <w:tab/>
        <w:t>Droits culturels (art. 15)</w:t>
      </w:r>
    </w:p>
    <w:p w:rsidR="00EC4C5A" w:rsidRPr="00CC76D1" w:rsidRDefault="00EC4C5A" w:rsidP="00DD493E">
      <w:pPr>
        <w:pStyle w:val="H1G"/>
        <w:rPr>
          <w:lang w:val="fr-FR"/>
        </w:rPr>
      </w:pPr>
      <w:r w:rsidRPr="00CC76D1">
        <w:rPr>
          <w:lang w:val="fr-FR"/>
        </w:rPr>
        <w:tab/>
        <w:t>13.</w:t>
      </w:r>
      <w:r w:rsidRPr="00CC76D1">
        <w:rPr>
          <w:lang w:val="fr-FR"/>
        </w:rPr>
        <w:tab/>
        <w:t>Mise en œuvre de la politique linguistique officielle</w:t>
      </w:r>
    </w:p>
    <w:p w:rsidR="00EC4C5A" w:rsidRPr="00CC76D1" w:rsidRDefault="00EC4C5A" w:rsidP="00DD493E">
      <w:pPr>
        <w:pStyle w:val="H23G"/>
        <w:rPr>
          <w:lang w:val="fr-FR"/>
        </w:rPr>
      </w:pPr>
      <w:r w:rsidRPr="00CC76D1">
        <w:rPr>
          <w:lang w:val="fr-FR"/>
        </w:rPr>
        <w:tab/>
      </w:r>
      <w:r w:rsidRPr="00CC76D1">
        <w:rPr>
          <w:lang w:val="fr-FR"/>
        </w:rPr>
        <w:tab/>
        <w:t>Obstacles à la mise en œuvre de la pol</w:t>
      </w:r>
      <w:r w:rsidR="00E57FAA">
        <w:rPr>
          <w:lang w:val="fr-FR"/>
        </w:rPr>
        <w:t>itique linguistique officielle</w:t>
      </w:r>
    </w:p>
    <w:p w:rsidR="00EC4C5A" w:rsidRPr="00CC76D1" w:rsidRDefault="00EC4C5A" w:rsidP="00DD493E">
      <w:pPr>
        <w:pStyle w:val="SingleTxtG"/>
        <w:rPr>
          <w:lang w:val="fr-FR"/>
        </w:rPr>
      </w:pPr>
      <w:r w:rsidRPr="00CC76D1">
        <w:rPr>
          <w:lang w:val="fr-FR"/>
        </w:rPr>
        <w:t>123.</w:t>
      </w:r>
      <w:r w:rsidRPr="00CC76D1">
        <w:rPr>
          <w:lang w:val="fr-FR"/>
        </w:rPr>
        <w:tab/>
        <w:t>Pénurie de traducteurs, en particulier dans la combinaison cinghalais-tamoul.</w:t>
      </w:r>
    </w:p>
    <w:p w:rsidR="00EC4C5A" w:rsidRPr="00CC76D1" w:rsidRDefault="00EC4C5A" w:rsidP="00DD493E">
      <w:pPr>
        <w:pStyle w:val="Bullet1G"/>
        <w:rPr>
          <w:lang w:val="fr-FR"/>
        </w:rPr>
      </w:pPr>
      <w:r w:rsidRPr="00CC76D1">
        <w:rPr>
          <w:lang w:val="fr-FR"/>
        </w:rPr>
        <w:t>Il s</w:t>
      </w:r>
      <w:r w:rsidR="00474653">
        <w:rPr>
          <w:lang w:val="fr-FR"/>
        </w:rPr>
        <w:t>’</w:t>
      </w:r>
      <w:r w:rsidRPr="00CC76D1">
        <w:rPr>
          <w:lang w:val="fr-FR"/>
        </w:rPr>
        <w:t>agit là d</w:t>
      </w:r>
      <w:r w:rsidR="00474653">
        <w:rPr>
          <w:lang w:val="fr-FR"/>
        </w:rPr>
        <w:t>’</w:t>
      </w:r>
      <w:r w:rsidRPr="00CC76D1">
        <w:rPr>
          <w:lang w:val="fr-FR"/>
        </w:rPr>
        <w:t>un problème central responsable de la non-application des recommandations formulées par la Commission des langues officielles aux institutions publiques concernant la mise à disposition des informations sur leurs activités, des formulaires destinés au public, etc.</w:t>
      </w:r>
      <w:r w:rsidR="00251C8C">
        <w:rPr>
          <w:lang w:val="fr-FR"/>
        </w:rPr>
        <w:t>,</w:t>
      </w:r>
      <w:r w:rsidRPr="00CC76D1">
        <w:rPr>
          <w:lang w:val="fr-FR"/>
        </w:rPr>
        <w:t xml:space="preserve"> dans les trois langues. Cela a également donné lieu à des difficultés de communication pour les institutions concernées dans le cadre de leur correspondance écrite et de leurs échanges avec le public.</w:t>
      </w:r>
    </w:p>
    <w:p w:rsidR="00EC4C5A" w:rsidRPr="00CC76D1" w:rsidRDefault="00EC4C5A" w:rsidP="00DD493E">
      <w:pPr>
        <w:pStyle w:val="SingleTxtG"/>
        <w:rPr>
          <w:lang w:val="fr-FR"/>
        </w:rPr>
      </w:pPr>
      <w:r w:rsidRPr="00CC76D1">
        <w:rPr>
          <w:lang w:val="fr-FR"/>
        </w:rPr>
        <w:t>124.</w:t>
      </w:r>
      <w:r w:rsidRPr="00CC76D1">
        <w:rPr>
          <w:lang w:val="fr-FR"/>
        </w:rPr>
        <w:tab/>
        <w:t>Pénurie d</w:t>
      </w:r>
      <w:r w:rsidR="00474653">
        <w:rPr>
          <w:lang w:val="fr-FR"/>
        </w:rPr>
        <w:t>’</w:t>
      </w:r>
      <w:r w:rsidRPr="00CC76D1">
        <w:rPr>
          <w:lang w:val="fr-FR"/>
        </w:rPr>
        <w:t>agents bilingues et trilingues au sein des institutions publiques.</w:t>
      </w:r>
    </w:p>
    <w:p w:rsidR="00EC4C5A" w:rsidRPr="00CC76D1" w:rsidRDefault="00EC4C5A" w:rsidP="00DD493E">
      <w:pPr>
        <w:pStyle w:val="Bullet1G"/>
        <w:rPr>
          <w:lang w:val="fr-FR"/>
        </w:rPr>
      </w:pPr>
      <w:r w:rsidRPr="00CC76D1">
        <w:rPr>
          <w:lang w:val="fr-FR"/>
        </w:rPr>
        <w:t>Du fait</w:t>
      </w:r>
      <w:r w:rsidR="00940EE3">
        <w:rPr>
          <w:lang w:val="fr-FR"/>
        </w:rPr>
        <w:t xml:space="preserve"> de</w:t>
      </w:r>
      <w:r w:rsidRPr="00CC76D1">
        <w:rPr>
          <w:lang w:val="fr-FR"/>
        </w:rPr>
        <w:t xml:space="preserve"> cette pénurie, la plupart des institutions publiques ne sont pas en mesure de fournir des services à la hauteur de la demande. Le Gouvernement donne aux fonctionnaires la possibilité d</w:t>
      </w:r>
      <w:r w:rsidR="00474653">
        <w:rPr>
          <w:lang w:val="fr-FR"/>
        </w:rPr>
        <w:t>’</w:t>
      </w:r>
      <w:r w:rsidRPr="00CC76D1">
        <w:rPr>
          <w:lang w:val="fr-FR"/>
        </w:rPr>
        <w:t xml:space="preserve">apprendre une deuxième langue et a inscrit le bilinguisme au rang des critères obligatoires de leur évolution professionnelle. Toutefois, dans la pratique, les fonctionnaires ne fournissent pas de services dans une autre langue que la leur. </w:t>
      </w:r>
    </w:p>
    <w:p w:rsidR="00EC4C5A" w:rsidRPr="00CC76D1" w:rsidRDefault="00EC4C5A" w:rsidP="00DD493E">
      <w:pPr>
        <w:pStyle w:val="SingleTxtG"/>
        <w:rPr>
          <w:lang w:val="fr-FR"/>
        </w:rPr>
      </w:pPr>
      <w:r w:rsidRPr="00CC76D1">
        <w:rPr>
          <w:lang w:val="fr-FR"/>
        </w:rPr>
        <w:t>125.</w:t>
      </w:r>
      <w:r w:rsidRPr="00CC76D1">
        <w:rPr>
          <w:lang w:val="fr-FR"/>
        </w:rPr>
        <w:tab/>
        <w:t>L</w:t>
      </w:r>
      <w:r w:rsidR="00474653">
        <w:rPr>
          <w:lang w:val="fr-FR"/>
        </w:rPr>
        <w:t>’</w:t>
      </w:r>
      <w:r w:rsidRPr="00CC76D1">
        <w:rPr>
          <w:lang w:val="fr-FR"/>
        </w:rPr>
        <w:t>insuffisance des ressources matérielles dans certaines institutions publiques, comme par exemple, le manque d</w:t>
      </w:r>
      <w:r w:rsidR="00474653">
        <w:rPr>
          <w:lang w:val="fr-FR"/>
        </w:rPr>
        <w:t>’</w:t>
      </w:r>
      <w:r w:rsidRPr="00CC76D1">
        <w:rPr>
          <w:lang w:val="fr-FR"/>
        </w:rPr>
        <w:t>ordinateurs, de logiciels, de glossaires, etc., constitue également un obstacle important.</w:t>
      </w:r>
    </w:p>
    <w:p w:rsidR="00EC4C5A" w:rsidRPr="00CC76D1" w:rsidRDefault="00EC4C5A" w:rsidP="00DD493E">
      <w:pPr>
        <w:pStyle w:val="SingleTxtG"/>
        <w:rPr>
          <w:lang w:val="fr-FR"/>
        </w:rPr>
      </w:pPr>
      <w:r w:rsidRPr="00CC76D1">
        <w:rPr>
          <w:lang w:val="fr-FR"/>
        </w:rPr>
        <w:t>126.</w:t>
      </w:r>
      <w:r w:rsidRPr="00CC76D1">
        <w:rPr>
          <w:lang w:val="fr-FR"/>
        </w:rPr>
        <w:tab/>
        <w:t>Le nombre d</w:t>
      </w:r>
      <w:r w:rsidR="00474653">
        <w:rPr>
          <w:lang w:val="fr-FR"/>
        </w:rPr>
        <w:t>’</w:t>
      </w:r>
      <w:r w:rsidRPr="00CC76D1">
        <w:rPr>
          <w:lang w:val="fr-FR"/>
        </w:rPr>
        <w:t xml:space="preserve">enseignants qualifiés capables de dispenser un enseignement du cinghalais et du tamoul </w:t>
      </w:r>
      <w:r w:rsidR="00994DB1">
        <w:rPr>
          <w:lang w:val="fr-FR"/>
        </w:rPr>
        <w:t xml:space="preserve">comme </w:t>
      </w:r>
      <w:r w:rsidRPr="00CC76D1">
        <w:rPr>
          <w:lang w:val="fr-FR"/>
        </w:rPr>
        <w:t xml:space="preserve">seconde </w:t>
      </w:r>
      <w:r w:rsidR="00994DB1" w:rsidRPr="00CC76D1">
        <w:rPr>
          <w:lang w:val="fr-FR"/>
        </w:rPr>
        <w:t xml:space="preserve">langue </w:t>
      </w:r>
      <w:r w:rsidRPr="00CC76D1">
        <w:rPr>
          <w:lang w:val="fr-FR"/>
        </w:rPr>
        <w:t>aux élèves et aux fonctionnaires est insuffisant.</w:t>
      </w:r>
    </w:p>
    <w:p w:rsidR="00EC4C5A" w:rsidRPr="00CC76D1" w:rsidRDefault="00EC4C5A" w:rsidP="00DD493E">
      <w:pPr>
        <w:pStyle w:val="SingleTxtG"/>
        <w:rPr>
          <w:lang w:val="fr-FR"/>
        </w:rPr>
      </w:pPr>
      <w:r w:rsidRPr="00CC76D1">
        <w:rPr>
          <w:lang w:val="fr-FR"/>
        </w:rPr>
        <w:t>127.</w:t>
      </w:r>
      <w:r w:rsidRPr="00CC76D1">
        <w:rPr>
          <w:lang w:val="fr-FR"/>
        </w:rPr>
        <w:tab/>
        <w:t>Certains fonctionnaires rechignent à apprendre et à</w:t>
      </w:r>
      <w:r w:rsidR="00CE79F8">
        <w:rPr>
          <w:lang w:val="fr-FR"/>
        </w:rPr>
        <w:t xml:space="preserve"> parler une deuxième langue. Le </w:t>
      </w:r>
      <w:r w:rsidRPr="00CC76D1">
        <w:rPr>
          <w:lang w:val="fr-FR"/>
        </w:rPr>
        <w:t>contexte social, le niveau de scolarité, etc., influent sur la volonté et la capacité d</w:t>
      </w:r>
      <w:r w:rsidR="00474653">
        <w:rPr>
          <w:lang w:val="fr-FR"/>
        </w:rPr>
        <w:t>’</w:t>
      </w:r>
      <w:r w:rsidRPr="00CC76D1">
        <w:rPr>
          <w:lang w:val="fr-FR"/>
        </w:rPr>
        <w:t>apprendre une deuxième langue et ni les crédits financiers, ni les règles et règlements n</w:t>
      </w:r>
      <w:r w:rsidR="00474653">
        <w:rPr>
          <w:lang w:val="fr-FR"/>
        </w:rPr>
        <w:t>’</w:t>
      </w:r>
      <w:r w:rsidRPr="00CC76D1">
        <w:rPr>
          <w:lang w:val="fr-FR"/>
        </w:rPr>
        <w:t xml:space="preserve">ont été suffisants pour encourager les fonctionnaires à fournir efficacement des services dans une autre langue que la leur. </w:t>
      </w:r>
    </w:p>
    <w:p w:rsidR="00EC4C5A" w:rsidRPr="00CC76D1" w:rsidRDefault="00EC4C5A" w:rsidP="00DD493E">
      <w:pPr>
        <w:pStyle w:val="SingleTxtG"/>
        <w:rPr>
          <w:lang w:val="fr-FR"/>
        </w:rPr>
      </w:pPr>
      <w:r w:rsidRPr="00CC76D1">
        <w:rPr>
          <w:lang w:val="fr-FR"/>
        </w:rPr>
        <w:t>128.</w:t>
      </w:r>
      <w:r w:rsidRPr="00CC76D1">
        <w:rPr>
          <w:lang w:val="fr-FR"/>
        </w:rPr>
        <w:tab/>
        <w:t>Faute de moyens, certaines institutions ne parviennent pas à faire appliquer les dispositions de la politique en matière de langues officielles, comme la mise en place de panneaux trilingues, les services de traduction, etc.</w:t>
      </w:r>
    </w:p>
    <w:p w:rsidR="00EC4C5A" w:rsidRPr="00CC76D1" w:rsidRDefault="00EC4C5A" w:rsidP="00DD493E">
      <w:pPr>
        <w:pStyle w:val="SingleTxtG"/>
        <w:rPr>
          <w:lang w:val="fr-FR"/>
        </w:rPr>
      </w:pPr>
      <w:r w:rsidRPr="00CC76D1">
        <w:rPr>
          <w:lang w:val="fr-FR"/>
        </w:rPr>
        <w:t>129.</w:t>
      </w:r>
      <w:r w:rsidRPr="00CC76D1">
        <w:rPr>
          <w:lang w:val="fr-FR"/>
        </w:rPr>
        <w:tab/>
        <w:t>Au niveau provincial, les institutions publiques sont impuissantes à mettre en œuvre la politique en matière de langues officielles. Il s</w:t>
      </w:r>
      <w:r w:rsidR="00474653">
        <w:rPr>
          <w:lang w:val="fr-FR"/>
        </w:rPr>
        <w:t>’</w:t>
      </w:r>
      <w:r w:rsidRPr="00CC76D1">
        <w:rPr>
          <w:lang w:val="fr-FR"/>
        </w:rPr>
        <w:t>agit d</w:t>
      </w:r>
      <w:r w:rsidR="00474653">
        <w:rPr>
          <w:lang w:val="fr-FR"/>
        </w:rPr>
        <w:t>’</w:t>
      </w:r>
      <w:r w:rsidRPr="00CC76D1">
        <w:rPr>
          <w:lang w:val="fr-FR"/>
        </w:rPr>
        <w:t xml:space="preserve">un obstacle important à sa diffusion au public. </w:t>
      </w:r>
    </w:p>
    <w:p w:rsidR="00EC4C5A" w:rsidRPr="00CC76D1" w:rsidRDefault="00EC4C5A" w:rsidP="00DD493E">
      <w:pPr>
        <w:pStyle w:val="H23G"/>
        <w:rPr>
          <w:lang w:val="fr-FR"/>
        </w:rPr>
      </w:pPr>
      <w:r w:rsidRPr="00CC76D1">
        <w:rPr>
          <w:lang w:val="fr-FR"/>
        </w:rPr>
        <w:tab/>
      </w:r>
      <w:r w:rsidRPr="00CC76D1">
        <w:rPr>
          <w:lang w:val="fr-FR"/>
        </w:rPr>
        <w:tab/>
        <w:t>Mandat de la Commission des langues officielles</w:t>
      </w:r>
    </w:p>
    <w:p w:rsidR="00EC4C5A" w:rsidRPr="00CC76D1" w:rsidRDefault="00EC4C5A" w:rsidP="00DD493E">
      <w:pPr>
        <w:pStyle w:val="SingleTxtG"/>
        <w:rPr>
          <w:lang w:val="fr-FR"/>
        </w:rPr>
      </w:pPr>
      <w:r w:rsidRPr="00CC76D1">
        <w:rPr>
          <w:lang w:val="fr-FR"/>
        </w:rPr>
        <w:t>130.</w:t>
      </w:r>
      <w:r w:rsidRPr="00CC76D1">
        <w:rPr>
          <w:lang w:val="fr-FR"/>
        </w:rPr>
        <w:tab/>
        <w:t xml:space="preserve">En vertu de la loi </w:t>
      </w:r>
      <w:r w:rsidR="00DD493E" w:rsidRPr="00DD493E">
        <w:rPr>
          <w:rFonts w:eastAsia="MS Mincho"/>
          <w:lang w:val="fr-FR"/>
        </w:rPr>
        <w:t>n</w:t>
      </w:r>
      <w:r w:rsidR="00DD493E" w:rsidRPr="00DD493E">
        <w:rPr>
          <w:rFonts w:eastAsia="MS Mincho"/>
          <w:vertAlign w:val="superscript"/>
          <w:lang w:val="fr-FR"/>
        </w:rPr>
        <w:t>o</w:t>
      </w:r>
      <w:r w:rsidR="00DD493E">
        <w:rPr>
          <w:vertAlign w:val="superscript"/>
          <w:lang w:val="fr-FR"/>
        </w:rPr>
        <w:t xml:space="preserve"> </w:t>
      </w:r>
      <w:r w:rsidRPr="00CC76D1">
        <w:rPr>
          <w:lang w:val="fr-FR"/>
        </w:rPr>
        <w:t>18 de 1991 portant création de la Commission des langues officielles, le mandat de la Commiss</w:t>
      </w:r>
      <w:r w:rsidR="00DD493E">
        <w:rPr>
          <w:lang w:val="fr-FR"/>
        </w:rPr>
        <w:t>ion est le suivant :</w:t>
      </w:r>
    </w:p>
    <w:p w:rsidR="00EC4C5A" w:rsidRPr="00CC76D1" w:rsidRDefault="00EC4C5A" w:rsidP="00DD493E">
      <w:pPr>
        <w:pStyle w:val="SingleTxtG"/>
        <w:ind w:firstLine="567"/>
        <w:rPr>
          <w:lang w:val="fr-FR"/>
        </w:rPr>
      </w:pPr>
      <w:r w:rsidRPr="00CC76D1">
        <w:rPr>
          <w:lang w:val="fr-FR"/>
        </w:rPr>
        <w:t>a)</w:t>
      </w:r>
      <w:r w:rsidRPr="00CC76D1">
        <w:rPr>
          <w:lang w:val="fr-FR"/>
        </w:rPr>
        <w:tab/>
        <w:t>Recommander les principes de la politique concernant l</w:t>
      </w:r>
      <w:r w:rsidR="00474653">
        <w:rPr>
          <w:lang w:val="fr-FR"/>
        </w:rPr>
        <w:t>’</w:t>
      </w:r>
      <w:r w:rsidRPr="00CC76D1">
        <w:rPr>
          <w:lang w:val="fr-FR"/>
        </w:rPr>
        <w:t>emploi des langues officielles, et suivre et contrôler l</w:t>
      </w:r>
      <w:r w:rsidR="00474653">
        <w:rPr>
          <w:lang w:val="fr-FR"/>
        </w:rPr>
        <w:t>’</w:t>
      </w:r>
      <w:r w:rsidRPr="00CC76D1">
        <w:rPr>
          <w:lang w:val="fr-FR"/>
        </w:rPr>
        <w:t xml:space="preserve">application des dispositions énoncées au </w:t>
      </w:r>
      <w:r w:rsidR="00DD493E">
        <w:rPr>
          <w:lang w:val="fr-FR"/>
        </w:rPr>
        <w:t>chapitre IV de la Constitution ;</w:t>
      </w:r>
    </w:p>
    <w:p w:rsidR="00EC4C5A" w:rsidRPr="00CC76D1" w:rsidRDefault="00EC4C5A" w:rsidP="00DD493E">
      <w:pPr>
        <w:pStyle w:val="SingleTxtG"/>
        <w:ind w:firstLine="567"/>
        <w:rPr>
          <w:lang w:val="fr-FR"/>
        </w:rPr>
      </w:pPr>
      <w:r w:rsidRPr="00CC76D1">
        <w:rPr>
          <w:lang w:val="fr-FR"/>
        </w:rPr>
        <w:lastRenderedPageBreak/>
        <w:t>b)</w:t>
      </w:r>
      <w:r w:rsidRPr="00CC76D1">
        <w:rPr>
          <w:lang w:val="fr-FR"/>
        </w:rPr>
        <w:tab/>
        <w:t>Prendre toutes les mesures et dispositions nécessaires pour garantir l</w:t>
      </w:r>
      <w:r w:rsidR="00474653">
        <w:rPr>
          <w:lang w:val="fr-FR"/>
        </w:rPr>
        <w:t>’</w:t>
      </w:r>
      <w:r w:rsidRPr="00CC76D1">
        <w:rPr>
          <w:lang w:val="fr-FR"/>
        </w:rPr>
        <w:t>emploi des langues mentionnées à l</w:t>
      </w:r>
      <w:r w:rsidR="00474653">
        <w:rPr>
          <w:lang w:val="fr-FR"/>
        </w:rPr>
        <w:t>’</w:t>
      </w:r>
      <w:r w:rsidRPr="00CC76D1">
        <w:rPr>
          <w:lang w:val="fr-FR"/>
        </w:rPr>
        <w:t>article 18 de la Constitution, conformément à l</w:t>
      </w:r>
      <w:r w:rsidR="00474653">
        <w:rPr>
          <w:lang w:val="fr-FR"/>
        </w:rPr>
        <w:t>’</w:t>
      </w:r>
      <w:r w:rsidRPr="00CC76D1">
        <w:rPr>
          <w:lang w:val="fr-FR"/>
        </w:rPr>
        <w:t xml:space="preserve">esprit et à la lettre du </w:t>
      </w:r>
      <w:r w:rsidR="00DD493E">
        <w:rPr>
          <w:lang w:val="fr-FR"/>
        </w:rPr>
        <w:t>chapitre IV de la Constitution ;</w:t>
      </w:r>
    </w:p>
    <w:p w:rsidR="00EC4C5A" w:rsidRPr="00CC76D1" w:rsidRDefault="00EC4C5A" w:rsidP="00DD493E">
      <w:pPr>
        <w:pStyle w:val="SingleTxtG"/>
        <w:ind w:firstLine="567"/>
        <w:rPr>
          <w:lang w:val="fr-FR"/>
        </w:rPr>
      </w:pPr>
      <w:r w:rsidRPr="00CC76D1">
        <w:rPr>
          <w:lang w:val="fr-FR"/>
        </w:rPr>
        <w:t>c)</w:t>
      </w:r>
      <w:r w:rsidRPr="00CC76D1">
        <w:rPr>
          <w:lang w:val="fr-FR"/>
        </w:rPr>
        <w:tab/>
        <w:t>Promouvoir l</w:t>
      </w:r>
      <w:r w:rsidR="00474653">
        <w:rPr>
          <w:lang w:val="fr-FR"/>
        </w:rPr>
        <w:t>’</w:t>
      </w:r>
      <w:r w:rsidRPr="00CC76D1">
        <w:rPr>
          <w:lang w:val="fr-FR"/>
        </w:rPr>
        <w:t>appréciation des langues officielles ainsi que l</w:t>
      </w:r>
      <w:r w:rsidR="00474653">
        <w:rPr>
          <w:lang w:val="fr-FR"/>
        </w:rPr>
        <w:t>’</w:t>
      </w:r>
      <w:r w:rsidRPr="00CC76D1">
        <w:rPr>
          <w:lang w:val="fr-FR"/>
        </w:rPr>
        <w:t>acceptation, le maintien et la continuité de leur statut, leur égal</w:t>
      </w:r>
      <w:r w:rsidR="00DD493E">
        <w:rPr>
          <w:lang w:val="fr-FR"/>
        </w:rPr>
        <w:t>ité et le droit de les employer ;</w:t>
      </w:r>
    </w:p>
    <w:p w:rsidR="00EC4C5A" w:rsidRPr="00CC76D1" w:rsidRDefault="00EC4C5A" w:rsidP="00DD493E">
      <w:pPr>
        <w:pStyle w:val="SingleTxtG"/>
        <w:ind w:firstLine="567"/>
        <w:rPr>
          <w:lang w:val="fr-FR"/>
        </w:rPr>
      </w:pPr>
      <w:r w:rsidRPr="00CC76D1">
        <w:rPr>
          <w:lang w:val="fr-FR"/>
        </w:rPr>
        <w:t>d)</w:t>
      </w:r>
      <w:r w:rsidRPr="00CC76D1">
        <w:rPr>
          <w:lang w:val="fr-FR"/>
        </w:rPr>
        <w:tab/>
        <w:t>Mener des enquêtes, de sa propre initiative et en réponse à toute plainte reçue, et prendre les mesures correctives prévues par la loi.</w:t>
      </w:r>
    </w:p>
    <w:p w:rsidR="00EC4C5A" w:rsidRPr="00CC76D1" w:rsidRDefault="00EC4C5A" w:rsidP="00DD493E">
      <w:pPr>
        <w:pStyle w:val="SingleTxtG"/>
        <w:rPr>
          <w:lang w:val="fr-FR"/>
        </w:rPr>
      </w:pPr>
      <w:r w:rsidRPr="00CC76D1">
        <w:rPr>
          <w:lang w:val="fr-FR"/>
        </w:rPr>
        <w:t>131.</w:t>
      </w:r>
      <w:r w:rsidRPr="00CC76D1">
        <w:rPr>
          <w:lang w:val="fr-FR"/>
        </w:rPr>
        <w:tab/>
        <w:t>Des informations sur les plaintes déposées auprès de la Commission des langues officielles par des particuliers qui n</w:t>
      </w:r>
      <w:r w:rsidR="00474653">
        <w:rPr>
          <w:lang w:val="fr-FR"/>
        </w:rPr>
        <w:t>’</w:t>
      </w:r>
      <w:r w:rsidRPr="00CC76D1">
        <w:rPr>
          <w:lang w:val="fr-FR"/>
        </w:rPr>
        <w:t>avaient pas pu obtenir ou avoir accès à des services publics dans leur langue, ainsi que des renseignements sur les mesures réglementaires et organisationnelles prises à la suite des décisions rendues par la Commission figurent à l</w:t>
      </w:r>
      <w:r w:rsidR="00474653">
        <w:rPr>
          <w:lang w:val="fr-FR"/>
        </w:rPr>
        <w:t>’</w:t>
      </w:r>
      <w:r w:rsidRPr="00972536">
        <w:rPr>
          <w:b/>
          <w:lang w:val="fr-FR"/>
        </w:rPr>
        <w:t>annexe VI</w:t>
      </w:r>
      <w:r w:rsidRPr="00CC76D1">
        <w:rPr>
          <w:lang w:val="fr-FR"/>
        </w:rPr>
        <w:t>.</w:t>
      </w:r>
    </w:p>
    <w:p w:rsidR="00EC4C5A" w:rsidRPr="00CC76D1" w:rsidRDefault="00EC4C5A" w:rsidP="00DD493E">
      <w:pPr>
        <w:pStyle w:val="H1G"/>
        <w:rPr>
          <w:lang w:val="fr-FR"/>
        </w:rPr>
      </w:pPr>
      <w:r w:rsidRPr="00CC76D1">
        <w:rPr>
          <w:lang w:val="fr-FR"/>
        </w:rPr>
        <w:tab/>
        <w:t>14.</w:t>
      </w:r>
      <w:r w:rsidRPr="00CC76D1">
        <w:rPr>
          <w:lang w:val="fr-FR"/>
        </w:rPr>
        <w:tab/>
        <w:t>Accès à Internet et à</w:t>
      </w:r>
      <w:r w:rsidR="00DD493E">
        <w:rPr>
          <w:lang w:val="fr-FR"/>
        </w:rPr>
        <w:t xml:space="preserve"> des connexions Wi-Fi gratuites</w:t>
      </w:r>
      <w:r w:rsidR="00DD493E">
        <w:rPr>
          <w:lang w:val="fr-FR"/>
        </w:rPr>
        <w:br/>
      </w:r>
      <w:r w:rsidRPr="00CC76D1">
        <w:rPr>
          <w:lang w:val="fr-FR"/>
        </w:rPr>
        <w:t>dans les régions reculées</w:t>
      </w:r>
    </w:p>
    <w:p w:rsidR="00EC4C5A" w:rsidRPr="00CC76D1" w:rsidRDefault="00EC4C5A" w:rsidP="00DD493E">
      <w:pPr>
        <w:pStyle w:val="SingleTxtG"/>
        <w:rPr>
          <w:lang w:val="fr-FR"/>
        </w:rPr>
      </w:pPr>
      <w:r w:rsidRPr="00CC76D1">
        <w:rPr>
          <w:lang w:val="fr-FR"/>
        </w:rPr>
        <w:t>132.</w:t>
      </w:r>
      <w:r w:rsidRPr="00CC76D1">
        <w:rPr>
          <w:lang w:val="fr-FR"/>
        </w:rPr>
        <w:tab/>
        <w:t>Informations sur les possibilités d</w:t>
      </w:r>
      <w:r w:rsidR="00474653">
        <w:rPr>
          <w:lang w:val="fr-FR"/>
        </w:rPr>
        <w:t>’</w:t>
      </w:r>
      <w:r w:rsidRPr="00CC76D1">
        <w:rPr>
          <w:lang w:val="fr-FR"/>
        </w:rPr>
        <w:t>accès à Internet et à des connexions Wi-Fi gratuites dans les régions reculées (pour les groupes et les individus défavorisés et marginalisés), ainsi que sur les effets des mesures prises pour reméd</w:t>
      </w:r>
      <w:r w:rsidR="00EF0984">
        <w:rPr>
          <w:lang w:val="fr-FR"/>
        </w:rPr>
        <w:t>ier aux lacunes correspondantes.</w:t>
      </w:r>
      <w:bookmarkStart w:id="0" w:name="_GoBack"/>
      <w:bookmarkEnd w:id="0"/>
    </w:p>
    <w:p w:rsidR="00EC4C5A" w:rsidRPr="00CC76D1" w:rsidRDefault="00EC4C5A" w:rsidP="00DD493E">
      <w:pPr>
        <w:pStyle w:val="SingleTxtG"/>
        <w:rPr>
          <w:lang w:val="fr-FR"/>
        </w:rPr>
      </w:pPr>
      <w:r w:rsidRPr="00CC76D1">
        <w:rPr>
          <w:lang w:val="fr-FR"/>
        </w:rPr>
        <w:t>133.</w:t>
      </w:r>
      <w:r w:rsidRPr="00CC76D1">
        <w:rPr>
          <w:lang w:val="fr-FR"/>
        </w:rPr>
        <w:tab/>
        <w:t>Les mesures visant à fournir l</w:t>
      </w:r>
      <w:r w:rsidR="00474653">
        <w:rPr>
          <w:lang w:val="fr-FR"/>
        </w:rPr>
        <w:t>’</w:t>
      </w:r>
      <w:r w:rsidRPr="00CC76D1">
        <w:rPr>
          <w:lang w:val="fr-FR"/>
        </w:rPr>
        <w:t>accès à Internet et à des connexions Wi-Fi gratuites sur l</w:t>
      </w:r>
      <w:r w:rsidR="00474653">
        <w:rPr>
          <w:lang w:val="fr-FR"/>
        </w:rPr>
        <w:t>’</w:t>
      </w:r>
      <w:r w:rsidRPr="00CC76D1">
        <w:rPr>
          <w:lang w:val="fr-FR"/>
        </w:rPr>
        <w:t>ensemble du territoire national sont en cours. Malgré certaines difficultés liées au déploiement du projet Loon de Google, le Gouvernement entend bien respecter son engagement et fournir des connexions Wi-Fi gratuites dans tout le pays. Grâce à la mise en œuvre du projet de réseau du Gouvernement sri-lankais, il est prévu que chaque administration publique dispose d</w:t>
      </w:r>
      <w:r w:rsidR="00474653">
        <w:rPr>
          <w:lang w:val="fr-FR"/>
        </w:rPr>
        <w:t>’</w:t>
      </w:r>
      <w:r w:rsidRPr="00CC76D1">
        <w:rPr>
          <w:lang w:val="fr-FR"/>
        </w:rPr>
        <w:t>une zone Wi-Fi gratuite. Pour l</w:t>
      </w:r>
      <w:r w:rsidR="00474653">
        <w:rPr>
          <w:lang w:val="fr-FR"/>
        </w:rPr>
        <w:t>’</w:t>
      </w:r>
      <w:r w:rsidRPr="00CC76D1">
        <w:rPr>
          <w:lang w:val="fr-FR"/>
        </w:rPr>
        <w:t xml:space="preserve">heure, 512 sites dans les neuf provinces du pays sont équipés de connexions Wi-Fi gratuites. Il convient de noter que la majorité de ces sites (soit 298 sur 512) sont situés dans des régions reculées. </w:t>
      </w:r>
    </w:p>
    <w:p w:rsidR="00446FE5" w:rsidRDefault="00EC4C5A" w:rsidP="00DD493E">
      <w:pPr>
        <w:pStyle w:val="SingleTxtG"/>
        <w:rPr>
          <w:lang w:val="fr-FR"/>
        </w:rPr>
      </w:pPr>
      <w:r w:rsidRPr="00CC76D1">
        <w:rPr>
          <w:lang w:val="fr-FR"/>
        </w:rPr>
        <w:t>134.</w:t>
      </w:r>
      <w:r w:rsidRPr="00CC76D1">
        <w:rPr>
          <w:lang w:val="fr-FR"/>
        </w:rPr>
        <w:tab/>
        <w:t>Les programmes qui devraient être mis en œuvre en 2017 pour assurer une répartition équitable des infrastructures numériques figurent à l</w:t>
      </w:r>
      <w:r w:rsidR="00474653">
        <w:rPr>
          <w:lang w:val="fr-FR"/>
        </w:rPr>
        <w:t>’</w:t>
      </w:r>
      <w:r w:rsidRPr="00CC76D1">
        <w:rPr>
          <w:lang w:val="fr-FR"/>
        </w:rPr>
        <w:t>annexe VII.</w:t>
      </w:r>
    </w:p>
    <w:p w:rsidR="00DD493E" w:rsidRPr="00DD493E" w:rsidRDefault="00DD493E" w:rsidP="00DD493E">
      <w:pPr>
        <w:pStyle w:val="SingleTxtG"/>
        <w:spacing w:before="240" w:after="0"/>
        <w:jc w:val="center"/>
        <w:rPr>
          <w:u w:val="single"/>
        </w:rPr>
      </w:pPr>
      <w:r>
        <w:rPr>
          <w:u w:val="single"/>
        </w:rPr>
        <w:tab/>
      </w:r>
      <w:r>
        <w:rPr>
          <w:u w:val="single"/>
        </w:rPr>
        <w:tab/>
      </w:r>
      <w:r>
        <w:rPr>
          <w:u w:val="single"/>
        </w:rPr>
        <w:tab/>
      </w:r>
    </w:p>
    <w:sectPr w:rsidR="00DD493E" w:rsidRPr="00DD493E" w:rsidSect="00EE3B24">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653" w:rsidRDefault="00474653" w:rsidP="00F95C08">
      <w:pPr>
        <w:spacing w:line="240" w:lineRule="auto"/>
      </w:pPr>
    </w:p>
  </w:endnote>
  <w:endnote w:type="continuationSeparator" w:id="0">
    <w:p w:rsidR="00474653" w:rsidRPr="00AC3823" w:rsidRDefault="00474653" w:rsidP="00AC3823">
      <w:pPr>
        <w:pStyle w:val="Pieddepage"/>
      </w:pPr>
    </w:p>
  </w:endnote>
  <w:endnote w:type="continuationNotice" w:id="1">
    <w:p w:rsidR="00474653" w:rsidRDefault="004746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653" w:rsidRPr="00EE3B24" w:rsidRDefault="00474653" w:rsidP="00EE3B24">
    <w:pPr>
      <w:pStyle w:val="Pieddepage"/>
      <w:tabs>
        <w:tab w:val="right" w:pos="9638"/>
      </w:tabs>
    </w:pPr>
    <w:r w:rsidRPr="00EE3B24">
      <w:rPr>
        <w:b/>
        <w:sz w:val="18"/>
      </w:rPr>
      <w:fldChar w:fldCharType="begin"/>
    </w:r>
    <w:r w:rsidRPr="00EE3B24">
      <w:rPr>
        <w:b/>
        <w:sz w:val="18"/>
      </w:rPr>
      <w:instrText xml:space="preserve"> PAGE  \* MERGEFORMAT </w:instrText>
    </w:r>
    <w:r w:rsidRPr="00EE3B24">
      <w:rPr>
        <w:b/>
        <w:sz w:val="18"/>
      </w:rPr>
      <w:fldChar w:fldCharType="separate"/>
    </w:r>
    <w:r w:rsidR="0018346C">
      <w:rPr>
        <w:b/>
        <w:noProof/>
        <w:sz w:val="18"/>
      </w:rPr>
      <w:t>30</w:t>
    </w:r>
    <w:r w:rsidRPr="00EE3B24">
      <w:rPr>
        <w:b/>
        <w:sz w:val="18"/>
      </w:rPr>
      <w:fldChar w:fldCharType="end"/>
    </w:r>
    <w:r>
      <w:rPr>
        <w:b/>
        <w:sz w:val="18"/>
      </w:rPr>
      <w:tab/>
    </w:r>
    <w:r>
      <w:t>GE.17-13863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653" w:rsidRPr="00EE3B24" w:rsidRDefault="00474653" w:rsidP="00EE3B24">
    <w:pPr>
      <w:pStyle w:val="Pieddepage"/>
      <w:tabs>
        <w:tab w:val="right" w:pos="9638"/>
      </w:tabs>
      <w:rPr>
        <w:b/>
        <w:sz w:val="18"/>
      </w:rPr>
    </w:pPr>
    <w:r>
      <w:t>GE.17-13863</w:t>
    </w:r>
    <w:r>
      <w:tab/>
    </w:r>
    <w:r w:rsidRPr="00EE3B24">
      <w:rPr>
        <w:b/>
        <w:sz w:val="18"/>
      </w:rPr>
      <w:fldChar w:fldCharType="begin"/>
    </w:r>
    <w:r w:rsidRPr="00EE3B24">
      <w:rPr>
        <w:b/>
        <w:sz w:val="18"/>
      </w:rPr>
      <w:instrText xml:space="preserve"> PAGE  \* MERGEFORMAT </w:instrText>
    </w:r>
    <w:r w:rsidRPr="00EE3B24">
      <w:rPr>
        <w:b/>
        <w:sz w:val="18"/>
      </w:rPr>
      <w:fldChar w:fldCharType="separate"/>
    </w:r>
    <w:r w:rsidR="0018346C">
      <w:rPr>
        <w:b/>
        <w:noProof/>
        <w:sz w:val="18"/>
      </w:rPr>
      <w:t>31</w:t>
    </w:r>
    <w:r w:rsidRPr="00EE3B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653" w:rsidRPr="00EE3B24" w:rsidRDefault="00474653" w:rsidP="00EE3B24">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5496">
      <w:rPr>
        <w:sz w:val="20"/>
      </w:rPr>
      <w:t>17-13863  (F)    061117    08</w:t>
    </w:r>
    <w:r>
      <w:rPr>
        <w:sz w:val="20"/>
      </w:rPr>
      <w:t>1117</w:t>
    </w:r>
    <w:r>
      <w:rPr>
        <w:sz w:val="20"/>
      </w:rPr>
      <w:br/>
    </w:r>
    <w:r w:rsidRPr="00EE3B24">
      <w:rPr>
        <w:rFonts w:ascii="C39T30Lfz" w:hAnsi="C39T30Lfz"/>
        <w:sz w:val="56"/>
      </w:rPr>
      <w:t></w:t>
    </w:r>
    <w:r w:rsidRPr="00EE3B24">
      <w:rPr>
        <w:rFonts w:ascii="C39T30Lfz" w:hAnsi="C39T30Lfz"/>
        <w:sz w:val="56"/>
      </w:rPr>
      <w:t></w:t>
    </w:r>
    <w:r w:rsidRPr="00EE3B24">
      <w:rPr>
        <w:rFonts w:ascii="C39T30Lfz" w:hAnsi="C39T30Lfz"/>
        <w:sz w:val="56"/>
      </w:rPr>
      <w:t></w:t>
    </w:r>
    <w:r w:rsidRPr="00EE3B24">
      <w:rPr>
        <w:rFonts w:ascii="C39T30Lfz" w:hAnsi="C39T30Lfz"/>
        <w:sz w:val="56"/>
      </w:rPr>
      <w:t></w:t>
    </w:r>
    <w:r w:rsidRPr="00EE3B24">
      <w:rPr>
        <w:rFonts w:ascii="C39T30Lfz" w:hAnsi="C39T30Lfz"/>
        <w:sz w:val="56"/>
      </w:rPr>
      <w:t></w:t>
    </w:r>
    <w:r w:rsidRPr="00EE3B24">
      <w:rPr>
        <w:rFonts w:ascii="C39T30Lfz" w:hAnsi="C39T30Lfz"/>
        <w:sz w:val="56"/>
      </w:rPr>
      <w:t></w:t>
    </w:r>
    <w:r w:rsidRPr="00EE3B24">
      <w:rPr>
        <w:rFonts w:ascii="C39T30Lfz" w:hAnsi="C39T30Lfz"/>
        <w:sz w:val="56"/>
      </w:rPr>
      <w:t></w:t>
    </w:r>
    <w:r w:rsidRPr="00EE3B24">
      <w:rPr>
        <w:rFonts w:ascii="C39T30Lfz" w:hAnsi="C39T30Lfz"/>
        <w:sz w:val="56"/>
      </w:rPr>
      <w:t></w:t>
    </w:r>
    <w:r w:rsidRPr="00EE3B24">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12/LKA/Q/5/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LKA/Q/5/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653" w:rsidRPr="00AC3823" w:rsidRDefault="00474653" w:rsidP="00AC3823">
      <w:pPr>
        <w:pStyle w:val="Pieddepage"/>
        <w:tabs>
          <w:tab w:val="right" w:pos="2155"/>
        </w:tabs>
        <w:spacing w:after="80" w:line="240" w:lineRule="atLeast"/>
        <w:ind w:left="680"/>
        <w:rPr>
          <w:u w:val="single"/>
        </w:rPr>
      </w:pPr>
      <w:r>
        <w:rPr>
          <w:u w:val="single"/>
        </w:rPr>
        <w:tab/>
      </w:r>
    </w:p>
  </w:footnote>
  <w:footnote w:type="continuationSeparator" w:id="0">
    <w:p w:rsidR="00474653" w:rsidRPr="00AC3823" w:rsidRDefault="00474653" w:rsidP="00AC3823">
      <w:pPr>
        <w:pStyle w:val="Pieddepage"/>
        <w:tabs>
          <w:tab w:val="right" w:pos="2155"/>
        </w:tabs>
        <w:spacing w:after="80" w:line="240" w:lineRule="atLeast"/>
        <w:ind w:left="680"/>
        <w:rPr>
          <w:u w:val="single"/>
        </w:rPr>
      </w:pPr>
      <w:r>
        <w:rPr>
          <w:u w:val="single"/>
        </w:rPr>
        <w:tab/>
      </w:r>
    </w:p>
  </w:footnote>
  <w:footnote w:type="continuationNotice" w:id="1">
    <w:p w:rsidR="00474653" w:rsidRPr="00AC3823" w:rsidRDefault="00474653">
      <w:pPr>
        <w:spacing w:line="240" w:lineRule="auto"/>
        <w:rPr>
          <w:sz w:val="2"/>
          <w:szCs w:val="2"/>
        </w:rPr>
      </w:pPr>
    </w:p>
  </w:footnote>
  <w:footnote w:id="2">
    <w:p w:rsidR="00474653" w:rsidRPr="00EE417E" w:rsidRDefault="00474653">
      <w:pPr>
        <w:pStyle w:val="Notedebasdepage"/>
      </w:pPr>
      <w:r>
        <w:rPr>
          <w:rStyle w:val="Appelnotedebasdep"/>
        </w:rPr>
        <w:tab/>
      </w:r>
      <w:r w:rsidRPr="00EE417E">
        <w:rPr>
          <w:rStyle w:val="Appelnotedebasdep"/>
          <w:sz w:val="20"/>
          <w:vertAlign w:val="baseline"/>
        </w:rPr>
        <w:t>*</w:t>
      </w:r>
      <w:r>
        <w:rPr>
          <w:rStyle w:val="Appelnotedebasdep"/>
          <w:sz w:val="20"/>
          <w:vertAlign w:val="baseline"/>
        </w:rPr>
        <w:tab/>
      </w:r>
      <w:r w:rsidRPr="00CC76D1">
        <w:rPr>
          <w:lang w:val="fr-FR"/>
        </w:rPr>
        <w:t>La version originale anglaise du présent document n</w:t>
      </w:r>
      <w:r>
        <w:rPr>
          <w:lang w:val="fr-FR"/>
        </w:rPr>
        <w:t>’</w:t>
      </w:r>
      <w:r w:rsidRPr="00CC76D1">
        <w:rPr>
          <w:lang w:val="fr-FR"/>
        </w:rPr>
        <w:t>a pas été revue par les services d</w:t>
      </w:r>
      <w:r>
        <w:rPr>
          <w:lang w:val="fr-FR"/>
        </w:rPr>
        <w:t>’</w:t>
      </w:r>
      <w:r w:rsidRPr="00CC76D1">
        <w:rPr>
          <w:lang w:val="fr-FR"/>
        </w:rPr>
        <w:t>édition.</w:t>
      </w:r>
    </w:p>
  </w:footnote>
  <w:footnote w:id="3">
    <w:p w:rsidR="00474653" w:rsidRPr="00CC76D1" w:rsidRDefault="00474653" w:rsidP="00EC4C5A">
      <w:pPr>
        <w:pStyle w:val="Notedebasdepage"/>
      </w:pPr>
      <w:r w:rsidRPr="00CC76D1">
        <w:rPr>
          <w:lang w:val="fr-FR"/>
        </w:rPr>
        <w:tab/>
      </w:r>
      <w:r w:rsidRPr="00903796">
        <w:rPr>
          <w:rStyle w:val="Appelnotedebasdep"/>
        </w:rPr>
        <w:footnoteRef/>
      </w:r>
      <w:r w:rsidRPr="00CC76D1">
        <w:rPr>
          <w:lang w:val="fr-FR"/>
        </w:rPr>
        <w:tab/>
        <w:t>Les rapports des sous-comités sont disponibles à l</w:t>
      </w:r>
      <w:r>
        <w:rPr>
          <w:lang w:val="fr-FR"/>
        </w:rPr>
        <w:t>’</w:t>
      </w:r>
      <w:r w:rsidRPr="00CC76D1">
        <w:rPr>
          <w:lang w:val="fr-FR"/>
        </w:rPr>
        <w:t>adresse http://english.constitutionalassembly.lk/ index.php?option=com_content&amp;view=article&amp;id=126:interim-report&amp;catid=9:uncategorised&amp; Itemid=437.</w:t>
      </w:r>
    </w:p>
  </w:footnote>
  <w:footnote w:id="4">
    <w:p w:rsidR="00474653" w:rsidRPr="00CC76D1" w:rsidRDefault="00474653" w:rsidP="00EC4C5A">
      <w:pPr>
        <w:pStyle w:val="Notedebasdepage"/>
      </w:pPr>
      <w:r w:rsidRPr="00CC76D1">
        <w:rPr>
          <w:lang w:val="fr-FR"/>
        </w:rPr>
        <w:tab/>
      </w:r>
      <w:r w:rsidRPr="00903796">
        <w:rPr>
          <w:rStyle w:val="Appelnotedebasdep"/>
        </w:rPr>
        <w:footnoteRef/>
      </w:r>
      <w:r w:rsidRPr="00CC76D1">
        <w:rPr>
          <w:lang w:val="fr-FR"/>
        </w:rPr>
        <w:t xml:space="preserve"> </w:t>
      </w:r>
      <w:r w:rsidRPr="00CC76D1">
        <w:rPr>
          <w:lang w:val="fr-FR"/>
        </w:rPr>
        <w:tab/>
        <w:t>SC.FR.No. 77/2016.</w:t>
      </w:r>
    </w:p>
  </w:footnote>
  <w:footnote w:id="5">
    <w:p w:rsidR="00474653" w:rsidRPr="00CC76D1" w:rsidRDefault="00474653" w:rsidP="00EC4C5A">
      <w:pPr>
        <w:pStyle w:val="Notedebasdepage"/>
      </w:pPr>
      <w:r w:rsidRPr="00CC76D1">
        <w:rPr>
          <w:lang w:val="fr-FR"/>
        </w:rPr>
        <w:tab/>
      </w:r>
      <w:r w:rsidRPr="00903796">
        <w:rPr>
          <w:rStyle w:val="Appelnotedebasdep"/>
        </w:rPr>
        <w:footnoteRef/>
      </w:r>
      <w:r w:rsidRPr="00CC76D1">
        <w:rPr>
          <w:lang w:val="fr-FR"/>
        </w:rPr>
        <w:t xml:space="preserve"> </w:t>
      </w:r>
      <w:r w:rsidRPr="00CC76D1">
        <w:rPr>
          <w:lang w:val="fr-FR"/>
        </w:rPr>
        <w:tab/>
        <w:t>Le tribunal n</w:t>
      </w:r>
      <w:r>
        <w:rPr>
          <w:lang w:val="fr-FR"/>
        </w:rPr>
        <w:t>’</w:t>
      </w:r>
      <w:r w:rsidRPr="00CC76D1">
        <w:rPr>
          <w:lang w:val="fr-FR"/>
        </w:rPr>
        <w:t>a pas donné suite à la requête car des mesures ont été prises par la suite en vue d</w:t>
      </w:r>
      <w:r>
        <w:rPr>
          <w:lang w:val="fr-FR"/>
        </w:rPr>
        <w:t>’</w:t>
      </w:r>
      <w:r w:rsidRPr="00CC76D1">
        <w:rPr>
          <w:lang w:val="fr-FR"/>
        </w:rPr>
        <w:t>admettre l</w:t>
      </w:r>
      <w:r>
        <w:rPr>
          <w:lang w:val="fr-FR"/>
        </w:rPr>
        <w:t>’</w:t>
      </w:r>
      <w:r w:rsidRPr="00CC76D1">
        <w:rPr>
          <w:lang w:val="fr-FR"/>
        </w:rPr>
        <w:t xml:space="preserve">enfant dans un autre établissement. </w:t>
      </w:r>
    </w:p>
  </w:footnote>
  <w:footnote w:id="6">
    <w:p w:rsidR="00474653" w:rsidRPr="00CC76D1" w:rsidRDefault="00474653" w:rsidP="00EC4C5A">
      <w:pPr>
        <w:pStyle w:val="Notedebasdepage"/>
      </w:pPr>
      <w:r w:rsidRPr="00CC76D1">
        <w:rPr>
          <w:lang w:val="fr-FR"/>
        </w:rPr>
        <w:tab/>
      </w:r>
      <w:r w:rsidRPr="00903796">
        <w:rPr>
          <w:rStyle w:val="Appelnotedebasdep"/>
        </w:rPr>
        <w:footnoteRef/>
      </w:r>
      <w:r w:rsidRPr="00CC76D1">
        <w:rPr>
          <w:lang w:val="fr-FR"/>
        </w:rPr>
        <w:t xml:space="preserve"> </w:t>
      </w:r>
      <w:r w:rsidRPr="00CC76D1">
        <w:rPr>
          <w:lang w:val="fr-FR"/>
        </w:rPr>
        <w:tab/>
        <w:t xml:space="preserve">Voir </w:t>
      </w:r>
      <w:r w:rsidRPr="00CC76D1">
        <w:rPr>
          <w:i/>
          <w:lang w:val="fr-FR"/>
        </w:rPr>
        <w:t>Kavirathne v. Pushpakumara</w:t>
      </w:r>
      <w:r w:rsidRPr="00CC76D1">
        <w:rPr>
          <w:lang w:val="fr-FR"/>
        </w:rPr>
        <w:t xml:space="preserve"> (</w:t>
      </w:r>
      <w:r w:rsidRPr="00CC76D1">
        <w:rPr>
          <w:i/>
          <w:lang w:val="fr-FR"/>
        </w:rPr>
        <w:t xml:space="preserve">The Z </w:t>
      </w:r>
      <w:r w:rsidR="00162272" w:rsidRPr="00CC76D1">
        <w:rPr>
          <w:i/>
          <w:lang w:val="fr-FR"/>
        </w:rPr>
        <w:t>S</w:t>
      </w:r>
      <w:r w:rsidRPr="00CC76D1">
        <w:rPr>
          <w:i/>
          <w:lang w:val="fr-FR"/>
        </w:rPr>
        <w:t>core case</w:t>
      </w:r>
      <w:r w:rsidRPr="00CC76D1">
        <w:rPr>
          <w:lang w:val="fr-FR"/>
        </w:rPr>
        <w:t>) SC (FR) 29/2012 SC Minutes, 25 juin 2012.</w:t>
      </w:r>
    </w:p>
  </w:footnote>
  <w:footnote w:id="7">
    <w:p w:rsidR="00474653" w:rsidRPr="00CC76D1" w:rsidRDefault="00474653" w:rsidP="00EC4C5A">
      <w:pPr>
        <w:pStyle w:val="Notedebasdepage"/>
      </w:pPr>
      <w:r w:rsidRPr="00CC76D1">
        <w:rPr>
          <w:lang w:val="fr-FR"/>
        </w:rPr>
        <w:tab/>
      </w:r>
      <w:r w:rsidRPr="00903796">
        <w:rPr>
          <w:rStyle w:val="Appelnotedebasdep"/>
        </w:rPr>
        <w:footnoteRef/>
      </w:r>
      <w:r w:rsidRPr="00CC76D1">
        <w:rPr>
          <w:lang w:val="fr-FR"/>
        </w:rPr>
        <w:t xml:space="preserve"> </w:t>
      </w:r>
      <w:r w:rsidRPr="00CC76D1">
        <w:rPr>
          <w:lang w:val="fr-FR"/>
        </w:rPr>
        <w:tab/>
        <w:t>SC (FR) 29/2012 SC Minutes, 25 juin 2012.</w:t>
      </w:r>
    </w:p>
  </w:footnote>
  <w:footnote w:id="8">
    <w:p w:rsidR="00474653" w:rsidRPr="00CC76D1" w:rsidRDefault="00474653" w:rsidP="00EC4C5A">
      <w:pPr>
        <w:pStyle w:val="Notedebasdepage"/>
      </w:pPr>
      <w:r w:rsidRPr="00CC76D1">
        <w:rPr>
          <w:lang w:val="fr-FR"/>
        </w:rPr>
        <w:tab/>
      </w:r>
      <w:r w:rsidRPr="00903796">
        <w:rPr>
          <w:rStyle w:val="Appelnotedebasdep"/>
        </w:rPr>
        <w:footnoteRef/>
      </w:r>
      <w:r w:rsidRPr="00CC76D1">
        <w:rPr>
          <w:lang w:val="fr-FR"/>
        </w:rPr>
        <w:t xml:space="preserve"> </w:t>
      </w:r>
      <w:r w:rsidRPr="00CC76D1">
        <w:rPr>
          <w:lang w:val="fr-FR"/>
        </w:rPr>
        <w:tab/>
        <w:t>La Commission d</w:t>
      </w:r>
      <w:r>
        <w:rPr>
          <w:lang w:val="fr-FR"/>
        </w:rPr>
        <w:t>’</w:t>
      </w:r>
      <w:r w:rsidRPr="00CC76D1">
        <w:rPr>
          <w:lang w:val="fr-FR"/>
        </w:rPr>
        <w:t>enquête sur les allégations de corruption ou d</w:t>
      </w:r>
      <w:r>
        <w:rPr>
          <w:lang w:val="fr-FR"/>
        </w:rPr>
        <w:t>’</w:t>
      </w:r>
      <w:r w:rsidRPr="00CC76D1">
        <w:rPr>
          <w:lang w:val="fr-FR"/>
        </w:rPr>
        <w:t xml:space="preserve">actes de corruption mène des enquêtes sur les plaintes qui sont de son ressort et transmet les autres aux institutions compétentes, comme la police. </w:t>
      </w:r>
    </w:p>
  </w:footnote>
  <w:footnote w:id="9">
    <w:p w:rsidR="00474653" w:rsidRPr="00CC76D1" w:rsidRDefault="00474653" w:rsidP="00EC4C5A">
      <w:pPr>
        <w:pStyle w:val="Notedebasdepage"/>
      </w:pPr>
      <w:r w:rsidRPr="00CC76D1">
        <w:rPr>
          <w:lang w:val="fr-FR"/>
        </w:rPr>
        <w:tab/>
      </w:r>
      <w:r w:rsidRPr="00CC76D1">
        <w:rPr>
          <w:lang w:val="fr-FR"/>
        </w:rPr>
        <w:tab/>
        <w:t>Soixante pour cent des plaintes reçues par la Commission sont anonymes. Chaque plainte reçue donne lieu à l</w:t>
      </w:r>
      <w:r>
        <w:rPr>
          <w:lang w:val="fr-FR"/>
        </w:rPr>
        <w:t>’</w:t>
      </w:r>
      <w:r w:rsidRPr="00CC76D1">
        <w:rPr>
          <w:lang w:val="fr-FR"/>
        </w:rPr>
        <w:t>ouverture d</w:t>
      </w:r>
      <w:r>
        <w:rPr>
          <w:lang w:val="fr-FR"/>
        </w:rPr>
        <w:t>’</w:t>
      </w:r>
      <w:r w:rsidRPr="00CC76D1">
        <w:rPr>
          <w:lang w:val="fr-FR"/>
        </w:rPr>
        <w:t>une enquête préliminaire. Si les éléments fournis ne permettent pas de justifier l</w:t>
      </w:r>
      <w:r>
        <w:rPr>
          <w:lang w:val="fr-FR"/>
        </w:rPr>
        <w:t>’</w:t>
      </w:r>
      <w:r w:rsidRPr="00CC76D1">
        <w:rPr>
          <w:lang w:val="fr-FR"/>
        </w:rPr>
        <w:t>ouverture d</w:t>
      </w:r>
      <w:r>
        <w:rPr>
          <w:lang w:val="fr-FR"/>
        </w:rPr>
        <w:t>’</w:t>
      </w:r>
      <w:r w:rsidRPr="00CC76D1">
        <w:rPr>
          <w:lang w:val="fr-FR"/>
        </w:rPr>
        <w:t>une instruction pénale, l</w:t>
      </w:r>
      <w:r>
        <w:rPr>
          <w:lang w:val="fr-FR"/>
        </w:rPr>
        <w:t>’</w:t>
      </w:r>
      <w:r w:rsidRPr="00CC76D1">
        <w:rPr>
          <w:lang w:val="fr-FR"/>
        </w:rPr>
        <w:t>affaire est close. Si la plainte n</w:t>
      </w:r>
      <w:r>
        <w:rPr>
          <w:lang w:val="fr-FR"/>
        </w:rPr>
        <w:t>’</w:t>
      </w:r>
      <w:r w:rsidRPr="00CC76D1">
        <w:rPr>
          <w:lang w:val="fr-FR"/>
        </w:rPr>
        <w:t>est pas du ressort de la Commission, celle-ci est transmise aux institutions compétentes. Enfin, si l</w:t>
      </w:r>
      <w:r>
        <w:rPr>
          <w:lang w:val="fr-FR"/>
        </w:rPr>
        <w:t>’</w:t>
      </w:r>
      <w:r w:rsidRPr="00CC76D1">
        <w:rPr>
          <w:lang w:val="fr-FR"/>
        </w:rPr>
        <w:t>enquête approfondie permet de recueillir des éléments de preuve suffisants, une procédure pénale est alors engagée contre le suspect.</w:t>
      </w:r>
    </w:p>
  </w:footnote>
  <w:footnote w:id="10">
    <w:p w:rsidR="00474653" w:rsidRPr="00CC76D1" w:rsidRDefault="00474653" w:rsidP="00EC4C5A">
      <w:pPr>
        <w:pStyle w:val="Notedebasdepage"/>
      </w:pPr>
      <w:r w:rsidRPr="00CC76D1">
        <w:rPr>
          <w:lang w:val="fr-FR"/>
        </w:rPr>
        <w:tab/>
      </w:r>
      <w:r w:rsidRPr="00903796">
        <w:rPr>
          <w:rStyle w:val="Appelnotedebasdep"/>
        </w:rPr>
        <w:footnoteRef/>
      </w:r>
      <w:r w:rsidRPr="00CC76D1">
        <w:rPr>
          <w:lang w:val="fr-FR"/>
        </w:rPr>
        <w:tab/>
        <w:t>Le rapport est disponible à l</w:t>
      </w:r>
      <w:r>
        <w:rPr>
          <w:lang w:val="fr-FR"/>
        </w:rPr>
        <w:t>’</w:t>
      </w:r>
      <w:r w:rsidRPr="00CC76D1">
        <w:rPr>
          <w:lang w:val="fr-FR"/>
        </w:rPr>
        <w:t>adre</w:t>
      </w:r>
      <w:r w:rsidR="00EA541E">
        <w:rPr>
          <w:lang w:val="fr-FR"/>
        </w:rPr>
        <w:t xml:space="preserve">sse suivante : </w:t>
      </w:r>
      <w:r w:rsidRPr="00CC76D1">
        <w:rPr>
          <w:lang w:val="fr-FR"/>
        </w:rPr>
        <w:t>https://openknowledge.worldbank.org/handle/10986/23228.</w:t>
      </w:r>
    </w:p>
  </w:footnote>
  <w:footnote w:id="11">
    <w:p w:rsidR="00474653" w:rsidRPr="00CC76D1" w:rsidRDefault="00474653" w:rsidP="00EC4C5A">
      <w:pPr>
        <w:pStyle w:val="Notedebasdepage"/>
      </w:pPr>
      <w:r w:rsidRPr="00CC76D1">
        <w:rPr>
          <w:lang w:val="fr-FR"/>
        </w:rPr>
        <w:tab/>
      </w:r>
      <w:r w:rsidRPr="00903796">
        <w:rPr>
          <w:rStyle w:val="Appelnotedebasdep"/>
        </w:rPr>
        <w:footnoteRef/>
      </w:r>
      <w:r w:rsidRPr="00CC76D1">
        <w:rPr>
          <w:lang w:val="fr-FR"/>
        </w:rPr>
        <w:t xml:space="preserve"> </w:t>
      </w:r>
      <w:r w:rsidRPr="00CC76D1">
        <w:rPr>
          <w:lang w:val="fr-FR"/>
        </w:rPr>
        <w:tab/>
        <w:t>Guide des bonnes pratiques du HCR pour mettre fin à l</w:t>
      </w:r>
      <w:r>
        <w:rPr>
          <w:lang w:val="fr-FR"/>
        </w:rPr>
        <w:t>’</w:t>
      </w:r>
      <w:r w:rsidRPr="00CC76D1">
        <w:rPr>
          <w:lang w:val="fr-FR"/>
        </w:rPr>
        <w:t>apatridie, 2015.</w:t>
      </w:r>
    </w:p>
  </w:footnote>
  <w:footnote w:id="12">
    <w:p w:rsidR="00474653" w:rsidRDefault="00474653" w:rsidP="00EC4C5A">
      <w:pPr>
        <w:pStyle w:val="Notedebasdepage"/>
      </w:pPr>
      <w:r w:rsidRPr="00CC76D1">
        <w:rPr>
          <w:lang w:val="fr-FR"/>
        </w:rPr>
        <w:tab/>
      </w:r>
      <w:r w:rsidRPr="00903796">
        <w:rPr>
          <w:rStyle w:val="Appelnotedebasdep"/>
        </w:rPr>
        <w:footnoteRef/>
      </w:r>
      <w:r w:rsidRPr="00CC76D1">
        <w:rPr>
          <w:lang w:val="fr-FR"/>
        </w:rPr>
        <w:tab/>
        <w:t>Rapport de l</w:t>
      </w:r>
      <w:r>
        <w:rPr>
          <w:lang w:val="fr-FR"/>
        </w:rPr>
        <w:t>’</w:t>
      </w:r>
      <w:r w:rsidRPr="00CC76D1">
        <w:rPr>
          <w:lang w:val="fr-FR"/>
        </w:rPr>
        <w:t>enquête s</w:t>
      </w:r>
      <w:r>
        <w:rPr>
          <w:lang w:val="fr-FR"/>
        </w:rPr>
        <w:t>ur le travail des enfants 2016 −</w:t>
      </w:r>
      <w:r w:rsidRPr="00CC76D1">
        <w:rPr>
          <w:lang w:val="fr-FR"/>
        </w:rPr>
        <w:t xml:space="preserve"> http://www.statistics.gov.lk/samplesurvey/Child%20 Activity%20%20Survey%202016.pdf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653" w:rsidRPr="00EE3B24" w:rsidRDefault="0018346C">
    <w:pPr>
      <w:pStyle w:val="En-tte"/>
    </w:pPr>
    <w:r>
      <w:fldChar w:fldCharType="begin"/>
    </w:r>
    <w:r>
      <w:instrText xml:space="preserve"> TITLE  \* MERGEFORMAT </w:instrText>
    </w:r>
    <w:r>
      <w:fldChar w:fldCharType="separate"/>
    </w:r>
    <w:r>
      <w:t>E/C.12/LKA/Q/5/Add.1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653" w:rsidRPr="00EE3B24" w:rsidRDefault="0018346C" w:rsidP="00EE3B24">
    <w:pPr>
      <w:pStyle w:val="En-tte"/>
      <w:jc w:val="right"/>
    </w:pPr>
    <w:r>
      <w:fldChar w:fldCharType="begin"/>
    </w:r>
    <w:r>
      <w:instrText xml:space="preserve"> TITLE  \* MERGEFORMAT </w:instrText>
    </w:r>
    <w:r>
      <w:fldChar w:fldCharType="separate"/>
    </w:r>
    <w:r>
      <w:t>E/C.12/LKA/Q/5/Add.1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8EE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F712B"/>
    <w:multiLevelType w:val="hybridMultilevel"/>
    <w:tmpl w:val="9DF65EF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9BF1B90"/>
    <w:multiLevelType w:val="hybridMultilevel"/>
    <w:tmpl w:val="04DA6180"/>
    <w:lvl w:ilvl="0" w:tplc="BC26736A">
      <w:start w:val="4"/>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BC285A"/>
    <w:multiLevelType w:val="hybridMultilevel"/>
    <w:tmpl w:val="AE604662"/>
    <w:lvl w:ilvl="0" w:tplc="95149F7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2EC117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4C20311"/>
    <w:multiLevelType w:val="hybridMultilevel"/>
    <w:tmpl w:val="A7AE27D2"/>
    <w:lvl w:ilvl="0" w:tplc="6E681BEA">
      <w:start w:val="1"/>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DD657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A9A2F22"/>
    <w:multiLevelType w:val="hybridMultilevel"/>
    <w:tmpl w:val="BBC0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7A7655"/>
    <w:multiLevelType w:val="hybridMultilevel"/>
    <w:tmpl w:val="C27EF354"/>
    <w:lvl w:ilvl="0" w:tplc="6E681BEA">
      <w:start w:val="1"/>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A004FD"/>
    <w:multiLevelType w:val="multilevel"/>
    <w:tmpl w:val="0C0C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01869BF"/>
    <w:multiLevelType w:val="hybridMultilevel"/>
    <w:tmpl w:val="3F76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6A1E04"/>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15:restartNumberingAfterBreak="0">
    <w:nsid w:val="281858A3"/>
    <w:multiLevelType w:val="hybridMultilevel"/>
    <w:tmpl w:val="5D18E23C"/>
    <w:lvl w:ilvl="0" w:tplc="0409001B">
      <w:start w:val="1"/>
      <w:numFmt w:val="lowerRoman"/>
      <w:lvlText w:val="%1."/>
      <w:lvlJc w:val="righ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85B58B7"/>
    <w:multiLevelType w:val="hybridMultilevel"/>
    <w:tmpl w:val="54B6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DA408B"/>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2BEE7BB4"/>
    <w:multiLevelType w:val="hybridMultilevel"/>
    <w:tmpl w:val="F5A421E8"/>
    <w:lvl w:ilvl="0" w:tplc="5FA806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0" w15:restartNumberingAfterBreak="0">
    <w:nsid w:val="47DD2E28"/>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82A3EF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6163F83"/>
    <w:multiLevelType w:val="hybridMultilevel"/>
    <w:tmpl w:val="6B32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6F3426"/>
    <w:multiLevelType w:val="hybridMultilevel"/>
    <w:tmpl w:val="979A912E"/>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4" w15:restartNumberingAfterBreak="0">
    <w:nsid w:val="5E41230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628E2517"/>
    <w:multiLevelType w:val="multilevel"/>
    <w:tmpl w:val="0C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AEC2DBC"/>
    <w:multiLevelType w:val="hybridMultilevel"/>
    <w:tmpl w:val="6326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13547F"/>
    <w:multiLevelType w:val="hybridMultilevel"/>
    <w:tmpl w:val="63DE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0F24D2"/>
    <w:multiLevelType w:val="hybridMultilevel"/>
    <w:tmpl w:val="FB8CAF96"/>
    <w:lvl w:ilvl="0" w:tplc="AB50A38C">
      <w:start w:val="1"/>
      <w:numFmt w:val="decimal"/>
      <w:lvlText w:val="%1."/>
      <w:lvlJc w:val="left"/>
      <w:pPr>
        <w:ind w:left="1854" w:hanging="360"/>
      </w:pPr>
      <w:rPr>
        <w:rFonts w:cs="Times New Roman"/>
        <w:b w:val="0"/>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41" w15:restartNumberingAfterBreak="0">
    <w:nsid w:val="6FD500ED"/>
    <w:multiLevelType w:val="hybridMultilevel"/>
    <w:tmpl w:val="8E92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984419"/>
    <w:multiLevelType w:val="hybridMultilevel"/>
    <w:tmpl w:val="64C0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A0561C"/>
    <w:multiLevelType w:val="hybridMultilevel"/>
    <w:tmpl w:val="4A62DE52"/>
    <w:lvl w:ilvl="0" w:tplc="5FA806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9"/>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7"/>
  </w:num>
  <w:num w:numId="15">
    <w:abstractNumId w:val="29"/>
  </w:num>
  <w:num w:numId="16">
    <w:abstractNumId w:val="14"/>
  </w:num>
  <w:num w:numId="17">
    <w:abstractNumId w:val="28"/>
    <w:lvlOverride w:ilvl="0">
      <w:lvl w:ilvl="0" w:tplc="6D5E22D8">
        <w:start w:val="1"/>
        <w:numFmt w:val="bullet"/>
        <w:lvlText w:val="•"/>
        <w:lvlJc w:val="left"/>
        <w:pPr>
          <w:tabs>
            <w:tab w:val="num" w:pos="1701"/>
          </w:tabs>
          <w:ind w:left="1701" w:hanging="170"/>
        </w:pPr>
        <w:rPr>
          <w:rFonts w:ascii="Times New Roman" w:hAnsi="Times New Roman" w:hint="default"/>
          <w:b w:val="0"/>
          <w:i w:val="0"/>
          <w:sz w:val="20"/>
        </w:rPr>
      </w:lvl>
    </w:lvlOverride>
  </w:num>
  <w:num w:numId="18">
    <w:abstractNumId w:val="19"/>
  </w:num>
  <w:num w:numId="19">
    <w:abstractNumId w:val="11"/>
  </w:num>
  <w:num w:numId="20">
    <w:abstractNumId w:val="34"/>
  </w:num>
  <w:num w:numId="21">
    <w:abstractNumId w:val="23"/>
  </w:num>
  <w:num w:numId="22">
    <w:abstractNumId w:val="26"/>
  </w:num>
  <w:num w:numId="23">
    <w:abstractNumId w:val="17"/>
  </w:num>
  <w:num w:numId="24">
    <w:abstractNumId w:val="30"/>
  </w:num>
  <w:num w:numId="25">
    <w:abstractNumId w:val="36"/>
  </w:num>
  <w:num w:numId="26">
    <w:abstractNumId w:val="42"/>
  </w:num>
  <w:num w:numId="27">
    <w:abstractNumId w:val="33"/>
  </w:num>
  <w:num w:numId="28">
    <w:abstractNumId w:val="24"/>
  </w:num>
  <w:num w:numId="29">
    <w:abstractNumId w:val="25"/>
  </w:num>
  <w:num w:numId="30">
    <w:abstractNumId w:val="13"/>
  </w:num>
  <w:num w:numId="31">
    <w:abstractNumId w:val="39"/>
  </w:num>
  <w:num w:numId="32">
    <w:abstractNumId w:val="18"/>
  </w:num>
  <w:num w:numId="33">
    <w:abstractNumId w:val="43"/>
  </w:num>
  <w:num w:numId="34">
    <w:abstractNumId w:val="10"/>
  </w:num>
  <w:num w:numId="35">
    <w:abstractNumId w:val="12"/>
  </w:num>
  <w:num w:numId="36">
    <w:abstractNumId w:val="16"/>
  </w:num>
  <w:num w:numId="37">
    <w:abstractNumId w:val="32"/>
  </w:num>
  <w:num w:numId="38">
    <w:abstractNumId w:val="38"/>
  </w:num>
  <w:num w:numId="39">
    <w:abstractNumId w:val="41"/>
  </w:num>
  <w:num w:numId="40">
    <w:abstractNumId w:val="20"/>
  </w:num>
  <w:num w:numId="41">
    <w:abstractNumId w:val="27"/>
  </w:num>
  <w:num w:numId="42">
    <w:abstractNumId w:val="44"/>
  </w:num>
  <w:num w:numId="43">
    <w:abstractNumId w:val="22"/>
  </w:num>
  <w:num w:numId="44">
    <w:abstractNumId w:val="40"/>
  </w:num>
  <w:num w:numId="45">
    <w:abstractNumId w:val="28"/>
  </w:num>
  <w:num w:numId="46">
    <w:abstractNumId w:val="35"/>
  </w:num>
  <w:num w:numId="47">
    <w:abstractNumId w:val="21"/>
  </w:num>
  <w:num w:numId="48">
    <w:abstractNumId w:val="15"/>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FE"/>
    <w:rsid w:val="00005226"/>
    <w:rsid w:val="00017F94"/>
    <w:rsid w:val="00023842"/>
    <w:rsid w:val="0002432E"/>
    <w:rsid w:val="000334F9"/>
    <w:rsid w:val="00050ED7"/>
    <w:rsid w:val="00061A08"/>
    <w:rsid w:val="00066DFE"/>
    <w:rsid w:val="0007796D"/>
    <w:rsid w:val="000841EB"/>
    <w:rsid w:val="000910B0"/>
    <w:rsid w:val="0009460C"/>
    <w:rsid w:val="000B7790"/>
    <w:rsid w:val="000D20D1"/>
    <w:rsid w:val="000F0C10"/>
    <w:rsid w:val="000F4228"/>
    <w:rsid w:val="00111F2F"/>
    <w:rsid w:val="00112F55"/>
    <w:rsid w:val="00114283"/>
    <w:rsid w:val="0012688C"/>
    <w:rsid w:val="0014365E"/>
    <w:rsid w:val="00157435"/>
    <w:rsid w:val="00162272"/>
    <w:rsid w:val="0017521C"/>
    <w:rsid w:val="00176178"/>
    <w:rsid w:val="00180C9C"/>
    <w:rsid w:val="0018346C"/>
    <w:rsid w:val="00197EA7"/>
    <w:rsid w:val="001B4C73"/>
    <w:rsid w:val="001C3868"/>
    <w:rsid w:val="001F4AED"/>
    <w:rsid w:val="001F525A"/>
    <w:rsid w:val="00206CD6"/>
    <w:rsid w:val="00220B9A"/>
    <w:rsid w:val="00223272"/>
    <w:rsid w:val="0024779E"/>
    <w:rsid w:val="00250D48"/>
    <w:rsid w:val="00251C8C"/>
    <w:rsid w:val="00266ACE"/>
    <w:rsid w:val="002832AC"/>
    <w:rsid w:val="00283F4E"/>
    <w:rsid w:val="00293F4C"/>
    <w:rsid w:val="002949A7"/>
    <w:rsid w:val="00295758"/>
    <w:rsid w:val="002B39FE"/>
    <w:rsid w:val="002B60A5"/>
    <w:rsid w:val="002C0E15"/>
    <w:rsid w:val="002C2D68"/>
    <w:rsid w:val="002C7123"/>
    <w:rsid w:val="002D7C93"/>
    <w:rsid w:val="002E5A4A"/>
    <w:rsid w:val="002F0919"/>
    <w:rsid w:val="00310857"/>
    <w:rsid w:val="003309D0"/>
    <w:rsid w:val="0033386F"/>
    <w:rsid w:val="00334F5C"/>
    <w:rsid w:val="003634DA"/>
    <w:rsid w:val="00380C06"/>
    <w:rsid w:val="003A3D6E"/>
    <w:rsid w:val="003A6FFC"/>
    <w:rsid w:val="003F099F"/>
    <w:rsid w:val="003F5D0D"/>
    <w:rsid w:val="00416528"/>
    <w:rsid w:val="004172CA"/>
    <w:rsid w:val="00437FB8"/>
    <w:rsid w:val="00441C3B"/>
    <w:rsid w:val="00444179"/>
    <w:rsid w:val="00446FE5"/>
    <w:rsid w:val="00452396"/>
    <w:rsid w:val="00453EA2"/>
    <w:rsid w:val="00474653"/>
    <w:rsid w:val="00481040"/>
    <w:rsid w:val="00491A7B"/>
    <w:rsid w:val="0049763B"/>
    <w:rsid w:val="004E468C"/>
    <w:rsid w:val="004F53AE"/>
    <w:rsid w:val="00505A4A"/>
    <w:rsid w:val="00505EB6"/>
    <w:rsid w:val="00522470"/>
    <w:rsid w:val="00543006"/>
    <w:rsid w:val="005505B7"/>
    <w:rsid w:val="00553AE2"/>
    <w:rsid w:val="005667B7"/>
    <w:rsid w:val="00573BE5"/>
    <w:rsid w:val="00577F4E"/>
    <w:rsid w:val="00582EC2"/>
    <w:rsid w:val="00583597"/>
    <w:rsid w:val="00586ED3"/>
    <w:rsid w:val="00590608"/>
    <w:rsid w:val="00596AA9"/>
    <w:rsid w:val="005A2430"/>
    <w:rsid w:val="005A7A44"/>
    <w:rsid w:val="006179A8"/>
    <w:rsid w:val="006338A0"/>
    <w:rsid w:val="00642EFB"/>
    <w:rsid w:val="0064554A"/>
    <w:rsid w:val="00665543"/>
    <w:rsid w:val="00681E5D"/>
    <w:rsid w:val="00682BD7"/>
    <w:rsid w:val="006A3D31"/>
    <w:rsid w:val="006E70B9"/>
    <w:rsid w:val="006F5FE8"/>
    <w:rsid w:val="007004AB"/>
    <w:rsid w:val="0071601D"/>
    <w:rsid w:val="007607C0"/>
    <w:rsid w:val="007649DD"/>
    <w:rsid w:val="00764A67"/>
    <w:rsid w:val="00766BC3"/>
    <w:rsid w:val="00774AF7"/>
    <w:rsid w:val="007A13BB"/>
    <w:rsid w:val="007A62E6"/>
    <w:rsid w:val="007D0434"/>
    <w:rsid w:val="0080236C"/>
    <w:rsid w:val="0080684C"/>
    <w:rsid w:val="008218E7"/>
    <w:rsid w:val="008232EC"/>
    <w:rsid w:val="00871C75"/>
    <w:rsid w:val="008776DC"/>
    <w:rsid w:val="00885CA3"/>
    <w:rsid w:val="0089011E"/>
    <w:rsid w:val="008C203F"/>
    <w:rsid w:val="008C4AEF"/>
    <w:rsid w:val="008E3A22"/>
    <w:rsid w:val="008E3EFB"/>
    <w:rsid w:val="008E5667"/>
    <w:rsid w:val="00901D48"/>
    <w:rsid w:val="00902198"/>
    <w:rsid w:val="00940EE3"/>
    <w:rsid w:val="009467B7"/>
    <w:rsid w:val="00946B85"/>
    <w:rsid w:val="00960558"/>
    <w:rsid w:val="00967489"/>
    <w:rsid w:val="009705C8"/>
    <w:rsid w:val="00972120"/>
    <w:rsid w:val="00972536"/>
    <w:rsid w:val="00994DB1"/>
    <w:rsid w:val="009C1CF4"/>
    <w:rsid w:val="009D4926"/>
    <w:rsid w:val="00A01E05"/>
    <w:rsid w:val="00A30353"/>
    <w:rsid w:val="00A71A36"/>
    <w:rsid w:val="00A754D7"/>
    <w:rsid w:val="00A92A49"/>
    <w:rsid w:val="00AA42FA"/>
    <w:rsid w:val="00AB162F"/>
    <w:rsid w:val="00AB3951"/>
    <w:rsid w:val="00AC3823"/>
    <w:rsid w:val="00AC64E3"/>
    <w:rsid w:val="00AE323C"/>
    <w:rsid w:val="00AF290F"/>
    <w:rsid w:val="00B00181"/>
    <w:rsid w:val="00B00B0D"/>
    <w:rsid w:val="00B10509"/>
    <w:rsid w:val="00B15742"/>
    <w:rsid w:val="00B40A06"/>
    <w:rsid w:val="00B53D7E"/>
    <w:rsid w:val="00B707F2"/>
    <w:rsid w:val="00B765F7"/>
    <w:rsid w:val="00B9209A"/>
    <w:rsid w:val="00BA0CA9"/>
    <w:rsid w:val="00BE4797"/>
    <w:rsid w:val="00BF7940"/>
    <w:rsid w:val="00C0168F"/>
    <w:rsid w:val="00C02897"/>
    <w:rsid w:val="00C073E9"/>
    <w:rsid w:val="00C23B70"/>
    <w:rsid w:val="00C25010"/>
    <w:rsid w:val="00C25DAF"/>
    <w:rsid w:val="00C47B9C"/>
    <w:rsid w:val="00C51CCF"/>
    <w:rsid w:val="00C61765"/>
    <w:rsid w:val="00C72EE8"/>
    <w:rsid w:val="00C7377D"/>
    <w:rsid w:val="00CB1ACC"/>
    <w:rsid w:val="00CB391E"/>
    <w:rsid w:val="00CC5807"/>
    <w:rsid w:val="00CD5DB7"/>
    <w:rsid w:val="00CE79F8"/>
    <w:rsid w:val="00D14B51"/>
    <w:rsid w:val="00D30D02"/>
    <w:rsid w:val="00D3439C"/>
    <w:rsid w:val="00D42B51"/>
    <w:rsid w:val="00D75300"/>
    <w:rsid w:val="00DA0A47"/>
    <w:rsid w:val="00DB1831"/>
    <w:rsid w:val="00DB1E4A"/>
    <w:rsid w:val="00DB555D"/>
    <w:rsid w:val="00DD3BFD"/>
    <w:rsid w:val="00DD493E"/>
    <w:rsid w:val="00DE46DE"/>
    <w:rsid w:val="00DF5790"/>
    <w:rsid w:val="00DF6678"/>
    <w:rsid w:val="00E13052"/>
    <w:rsid w:val="00E41453"/>
    <w:rsid w:val="00E43420"/>
    <w:rsid w:val="00E44D44"/>
    <w:rsid w:val="00E454D0"/>
    <w:rsid w:val="00E57FAA"/>
    <w:rsid w:val="00EA541E"/>
    <w:rsid w:val="00EC1658"/>
    <w:rsid w:val="00EC4C5A"/>
    <w:rsid w:val="00ED1050"/>
    <w:rsid w:val="00EE3B24"/>
    <w:rsid w:val="00EE417E"/>
    <w:rsid w:val="00EE584D"/>
    <w:rsid w:val="00EF0984"/>
    <w:rsid w:val="00EF2E22"/>
    <w:rsid w:val="00F13B77"/>
    <w:rsid w:val="00F15496"/>
    <w:rsid w:val="00F16E9C"/>
    <w:rsid w:val="00F16F7E"/>
    <w:rsid w:val="00F17A40"/>
    <w:rsid w:val="00F60DC8"/>
    <w:rsid w:val="00F644C7"/>
    <w:rsid w:val="00F660DF"/>
    <w:rsid w:val="00F85464"/>
    <w:rsid w:val="00F94665"/>
    <w:rsid w:val="00F95C08"/>
    <w:rsid w:val="00F95DFE"/>
    <w:rsid w:val="00FA0623"/>
    <w:rsid w:val="00FA6E64"/>
    <w:rsid w:val="00FD611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EF1AAA"/>
  <w15:docId w15:val="{90E3A180-DB57-4610-8391-D4D111CD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table" w:customStyle="1" w:styleId="LightGrid1">
    <w:name w:val="Light Grid1"/>
    <w:uiPriority w:val="99"/>
    <w:rsid w:val="00EC4C5A"/>
    <w:pPr>
      <w:spacing w:after="0" w:line="240" w:lineRule="auto"/>
    </w:pPr>
    <w:rPr>
      <w:rFonts w:ascii="Calibri" w:eastAsia="SimSun" w:hAnsi="Calibri" w:cs="Times New Roman"/>
      <w:sz w:val="20"/>
      <w:szCs w:val="20"/>
      <w:lang w:val="fr-FR" w:eastAsia="en-GB" w:bidi="ta-I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TableGrid1">
    <w:name w:val="Table Grid1"/>
    <w:uiPriority w:val="99"/>
    <w:rsid w:val="00EC4C5A"/>
    <w:pPr>
      <w:spacing w:after="0" w:line="240" w:lineRule="auto"/>
    </w:pPr>
    <w:rPr>
      <w:rFonts w:ascii="Calibri" w:eastAsia="SimSun" w:hAnsi="Calibri" w:cs="Times New Roman"/>
      <w:sz w:val="20"/>
      <w:szCs w:val="20"/>
      <w:lang w:val="fr-CA"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har">
    <w:name w:val="_ Single Txt_G Char"/>
    <w:basedOn w:val="Policepardfaut"/>
    <w:link w:val="SingleTxtG"/>
    <w:rsid w:val="007D0434"/>
    <w:rPr>
      <w:rFonts w:ascii="Times New Roman" w:eastAsiaTheme="minorHAnsi" w:hAnsi="Times New Roman" w:cs="Times New Roman"/>
      <w:sz w:val="20"/>
      <w:szCs w:val="20"/>
      <w:lang w:eastAsia="en-US"/>
    </w:rPr>
  </w:style>
  <w:style w:type="paragraph" w:styleId="Listepuces4">
    <w:name w:val="List Bullet 4"/>
    <w:basedOn w:val="Normal"/>
    <w:semiHidden/>
    <w:rsid w:val="009D4926"/>
    <w:pPr>
      <w:tabs>
        <w:tab w:val="num" w:pos="1209"/>
      </w:tabs>
      <w:suppressAutoHyphens w:val="0"/>
      <w:kinsoku/>
      <w:overflowPunct/>
      <w:autoSpaceDE/>
      <w:autoSpaceDN/>
      <w:adjustRightInd/>
      <w:snapToGrid/>
      <w:ind w:left="1209" w:hanging="360"/>
    </w:pPr>
    <w:rPr>
      <w:rFonts w:eastAsia="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4C374-B40D-49FA-BF0D-26771A27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3</TotalTime>
  <Pages>31</Pages>
  <Words>15213</Words>
  <Characters>83672</Characters>
  <Application>Microsoft Office Word</Application>
  <DocSecurity>0</DocSecurity>
  <Lines>697</Lines>
  <Paragraphs>197</Paragraphs>
  <ScaleCrop>false</ScaleCrop>
  <HeadingPairs>
    <vt:vector size="2" baseType="variant">
      <vt:variant>
        <vt:lpstr>Titre</vt:lpstr>
      </vt:variant>
      <vt:variant>
        <vt:i4>1</vt:i4>
      </vt:variant>
    </vt:vector>
  </HeadingPairs>
  <TitlesOfParts>
    <vt:vector size="1" baseType="lpstr">
      <vt:lpstr>E/C.12/LKA/Q/5/Add.1</vt:lpstr>
    </vt:vector>
  </TitlesOfParts>
  <Company>DCM</Company>
  <LinksUpToDate>false</LinksUpToDate>
  <CharactersWithSpaces>98688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E/C.12/LKA/Q/5/Add.1</dc:title>
  <dc:subject/>
  <dc:creator>Sylvie LAMY</dc:creator>
  <cp:keywords/>
  <cp:lastModifiedBy>Sylvie LAMY</cp:lastModifiedBy>
  <cp:revision>3</cp:revision>
  <cp:lastPrinted>2017-11-08T07:38:00Z</cp:lastPrinted>
  <dcterms:created xsi:type="dcterms:W3CDTF">2017-11-08T07:38:00Z</dcterms:created>
  <dcterms:modified xsi:type="dcterms:W3CDTF">2017-11-08T07:41:00Z</dcterms:modified>
</cp:coreProperties>
</file>