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824FE" w14:paraId="41BDAB63" w14:textId="77777777" w:rsidTr="00DD1051">
        <w:trPr>
          <w:trHeight w:val="851"/>
        </w:trPr>
        <w:tc>
          <w:tcPr>
            <w:tcW w:w="1259" w:type="dxa"/>
            <w:tcBorders>
              <w:top w:val="nil"/>
              <w:left w:val="nil"/>
              <w:bottom w:val="single" w:sz="4" w:space="0" w:color="auto"/>
              <w:right w:val="nil"/>
            </w:tcBorders>
            <w:shd w:val="clear" w:color="auto" w:fill="auto"/>
          </w:tcPr>
          <w:p w14:paraId="49F6D55E" w14:textId="77777777" w:rsidR="00446DE4" w:rsidRPr="002824FE" w:rsidRDefault="00446DE4" w:rsidP="00DD1051"/>
        </w:tc>
        <w:tc>
          <w:tcPr>
            <w:tcW w:w="2236" w:type="dxa"/>
            <w:tcBorders>
              <w:top w:val="nil"/>
              <w:left w:val="nil"/>
              <w:bottom w:val="single" w:sz="4" w:space="0" w:color="auto"/>
              <w:right w:val="nil"/>
            </w:tcBorders>
            <w:shd w:val="clear" w:color="auto" w:fill="auto"/>
            <w:vAlign w:val="bottom"/>
          </w:tcPr>
          <w:p w14:paraId="1D6446CD" w14:textId="77777777" w:rsidR="00446DE4" w:rsidRPr="002824FE" w:rsidRDefault="00BC0578" w:rsidP="00DD1051">
            <w:pPr>
              <w:spacing w:after="80" w:line="300" w:lineRule="exact"/>
              <w:rPr>
                <w:sz w:val="28"/>
                <w:szCs w:val="28"/>
              </w:rPr>
            </w:pPr>
            <w:r w:rsidRPr="002824FE">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2AFCDD2C" w14:textId="6A9D0CA7" w:rsidR="00446DE4" w:rsidRPr="002824FE" w:rsidRDefault="00087903" w:rsidP="006837FE">
            <w:pPr>
              <w:suppressAutoHyphens w:val="0"/>
              <w:jc w:val="right"/>
            </w:pPr>
            <w:r w:rsidRPr="002824FE">
              <w:rPr>
                <w:sz w:val="40"/>
                <w:szCs w:val="40"/>
              </w:rPr>
              <w:t>E</w:t>
            </w:r>
            <w:r w:rsidRPr="002824FE">
              <w:t>/C.12/</w:t>
            </w:r>
            <w:r w:rsidR="006837FE" w:rsidRPr="002824FE">
              <w:t>AGO/CO/4-5</w:t>
            </w:r>
            <w:r w:rsidR="00EB6FDC" w:rsidRPr="00EB6FDC">
              <w:rPr>
                <w:rStyle w:val="FootnoteReference"/>
                <w:sz w:val="20"/>
                <w:vertAlign w:val="baseline"/>
              </w:rPr>
              <w:footnoteReference w:customMarkFollows="1" w:id="2"/>
              <w:t>*</w:t>
            </w:r>
          </w:p>
        </w:tc>
      </w:tr>
      <w:tr w:rsidR="003107FA" w:rsidRPr="002824FE" w14:paraId="419960C5" w14:textId="77777777" w:rsidTr="00DD1051">
        <w:trPr>
          <w:trHeight w:val="2835"/>
        </w:trPr>
        <w:tc>
          <w:tcPr>
            <w:tcW w:w="1259" w:type="dxa"/>
            <w:tcBorders>
              <w:top w:val="single" w:sz="4" w:space="0" w:color="auto"/>
              <w:left w:val="nil"/>
              <w:bottom w:val="single" w:sz="12" w:space="0" w:color="auto"/>
              <w:right w:val="nil"/>
            </w:tcBorders>
            <w:shd w:val="clear" w:color="auto" w:fill="auto"/>
          </w:tcPr>
          <w:p w14:paraId="2464DCF8" w14:textId="77777777" w:rsidR="003107FA" w:rsidRPr="002824FE" w:rsidRDefault="00B63A9C" w:rsidP="00DD1051">
            <w:pPr>
              <w:spacing w:before="120"/>
            </w:pPr>
            <w:r>
              <w:rPr>
                <w:noProof/>
                <w:lang w:val="en-US" w:eastAsia="zh-CN"/>
              </w:rPr>
              <w:drawing>
                <wp:inline distT="0" distB="0" distL="0" distR="0" wp14:anchorId="5E5746A9" wp14:editId="553EB455">
                  <wp:extent cx="715010" cy="59245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262CC112" w14:textId="77777777" w:rsidR="00FC06C8" w:rsidRDefault="00DB0F0D" w:rsidP="00D27530">
            <w:pPr>
              <w:spacing w:before="240" w:line="260" w:lineRule="exact"/>
              <w:rPr>
                <w:b/>
                <w:sz w:val="36"/>
                <w:szCs w:val="36"/>
              </w:rPr>
            </w:pPr>
            <w:r w:rsidRPr="002824FE">
              <w:rPr>
                <w:b/>
                <w:sz w:val="36"/>
                <w:szCs w:val="36"/>
              </w:rPr>
              <w:t>Economic and Social Council</w:t>
            </w:r>
          </w:p>
          <w:p w14:paraId="4C7DCE11" w14:textId="05A9DA51" w:rsidR="00E332E4" w:rsidRPr="0066595A" w:rsidRDefault="00E332E4" w:rsidP="00D27530">
            <w:pPr>
              <w:spacing w:before="240" w:line="260" w:lineRule="exact"/>
              <w:rPr>
                <w:b/>
                <w:sz w:val="28"/>
                <w:szCs w:val="28"/>
              </w:rPr>
            </w:pPr>
          </w:p>
        </w:tc>
        <w:tc>
          <w:tcPr>
            <w:tcW w:w="2930" w:type="dxa"/>
            <w:tcBorders>
              <w:top w:val="single" w:sz="4" w:space="0" w:color="auto"/>
              <w:left w:val="nil"/>
              <w:bottom w:val="single" w:sz="12" w:space="0" w:color="auto"/>
              <w:right w:val="nil"/>
            </w:tcBorders>
            <w:shd w:val="clear" w:color="auto" w:fill="auto"/>
          </w:tcPr>
          <w:p w14:paraId="11572FF4" w14:textId="199F8E70" w:rsidR="009702DE" w:rsidRPr="002824FE" w:rsidRDefault="00087903" w:rsidP="00087903">
            <w:pPr>
              <w:suppressAutoHyphens w:val="0"/>
              <w:spacing w:before="240" w:line="240" w:lineRule="exact"/>
            </w:pPr>
            <w:r w:rsidRPr="002824FE">
              <w:t xml:space="preserve">Distr.: </w:t>
            </w:r>
            <w:r w:rsidR="001514B0">
              <w:t>General</w:t>
            </w:r>
          </w:p>
          <w:p w14:paraId="58D76BF2" w14:textId="3287BEF7" w:rsidR="00087903" w:rsidRPr="002824FE" w:rsidRDefault="003B5235" w:rsidP="00087903">
            <w:pPr>
              <w:suppressAutoHyphens w:val="0"/>
              <w:spacing w:line="240" w:lineRule="exact"/>
            </w:pPr>
            <w:r>
              <w:t>1</w:t>
            </w:r>
            <w:r w:rsidR="006D0000">
              <w:t>5</w:t>
            </w:r>
            <w:r>
              <w:t xml:space="preserve"> </w:t>
            </w:r>
            <w:r w:rsidR="00831484">
              <w:t>July</w:t>
            </w:r>
            <w:r w:rsidR="00087903" w:rsidRPr="002824FE">
              <w:t xml:space="preserve"> 2016</w:t>
            </w:r>
          </w:p>
          <w:p w14:paraId="5B55079E" w14:textId="77777777" w:rsidR="00087903" w:rsidRPr="002824FE" w:rsidRDefault="00087903" w:rsidP="00087903">
            <w:pPr>
              <w:suppressAutoHyphens w:val="0"/>
              <w:spacing w:line="240" w:lineRule="exact"/>
            </w:pPr>
          </w:p>
          <w:p w14:paraId="68121708" w14:textId="77777777" w:rsidR="00087903" w:rsidRPr="002824FE" w:rsidRDefault="00087903" w:rsidP="00087903">
            <w:pPr>
              <w:suppressAutoHyphens w:val="0"/>
              <w:spacing w:line="240" w:lineRule="exact"/>
            </w:pPr>
            <w:r w:rsidRPr="002824FE">
              <w:t>Original: English</w:t>
            </w:r>
          </w:p>
          <w:p w14:paraId="190A778F" w14:textId="453196C7" w:rsidR="00087903" w:rsidRPr="002824FE" w:rsidRDefault="00087903" w:rsidP="00087903">
            <w:pPr>
              <w:suppressAutoHyphens w:val="0"/>
              <w:spacing w:line="240" w:lineRule="exact"/>
            </w:pPr>
          </w:p>
        </w:tc>
      </w:tr>
    </w:tbl>
    <w:p w14:paraId="34224BC5" w14:textId="77777777" w:rsidR="00E62C9D" w:rsidRPr="002824FE" w:rsidRDefault="00DB0F0D" w:rsidP="00DB0F0D">
      <w:pPr>
        <w:spacing w:before="120"/>
      </w:pPr>
      <w:r w:rsidRPr="002824FE">
        <w:rPr>
          <w:b/>
          <w:sz w:val="24"/>
          <w:szCs w:val="24"/>
        </w:rPr>
        <w:t>Committee on Economic, Social and Cultural Rights</w:t>
      </w:r>
    </w:p>
    <w:p w14:paraId="723D07B7" w14:textId="6C5ECC06" w:rsidR="00747D37" w:rsidRPr="002824FE" w:rsidRDefault="001F3FDF" w:rsidP="0018694B">
      <w:pPr>
        <w:pStyle w:val="HChG"/>
      </w:pPr>
      <w:r w:rsidRPr="002824FE">
        <w:tab/>
      </w:r>
      <w:r w:rsidR="00A609FF" w:rsidRPr="002824FE">
        <w:tab/>
      </w:r>
      <w:r w:rsidR="006837FE" w:rsidRPr="002824FE">
        <w:t xml:space="preserve">Concluding observations on the </w:t>
      </w:r>
      <w:r w:rsidR="009432BA" w:rsidRPr="002824FE">
        <w:t>fourth</w:t>
      </w:r>
      <w:r w:rsidR="006837FE" w:rsidRPr="002824FE">
        <w:t xml:space="preserve"> and </w:t>
      </w:r>
      <w:r w:rsidR="009432BA" w:rsidRPr="002824FE">
        <w:t>fifth</w:t>
      </w:r>
      <w:r w:rsidR="006837FE" w:rsidRPr="002824FE">
        <w:t xml:space="preserve"> </w:t>
      </w:r>
      <w:r w:rsidR="00AD3B5F">
        <w:br/>
      </w:r>
      <w:r w:rsidR="00087903" w:rsidRPr="002824FE">
        <w:t xml:space="preserve">periodic report </w:t>
      </w:r>
      <w:r w:rsidR="006837FE" w:rsidRPr="002824FE">
        <w:t>of Angola</w:t>
      </w:r>
      <w:r w:rsidR="0018694B" w:rsidRPr="00B15056">
        <w:footnoteReference w:customMarkFollows="1" w:id="3"/>
        <w:t>*</w:t>
      </w:r>
      <w:r w:rsidR="00EB6FDC">
        <w:t>*</w:t>
      </w:r>
      <w:r w:rsidR="0018694B" w:rsidRPr="002824FE">
        <w:t xml:space="preserve"> </w:t>
      </w:r>
    </w:p>
    <w:p w14:paraId="72B73D86" w14:textId="298CE8C9" w:rsidR="00BD5687" w:rsidRPr="002824FE" w:rsidRDefault="00556A05" w:rsidP="00B15056">
      <w:pPr>
        <w:pStyle w:val="SingleTxtG"/>
        <w:tabs>
          <w:tab w:val="left" w:pos="1701"/>
        </w:tabs>
      </w:pPr>
      <w:proofErr w:type="gramStart"/>
      <w:r w:rsidRPr="002824FE">
        <w:t>1.</w:t>
      </w:r>
      <w:r w:rsidRPr="002824FE">
        <w:tab/>
      </w:r>
      <w:r w:rsidR="00BD5687" w:rsidRPr="002824FE">
        <w:t xml:space="preserve">The Committee on Economic, Social and Cultural Rights considered </w:t>
      </w:r>
      <w:r w:rsidR="006837FE" w:rsidRPr="002824FE">
        <w:t xml:space="preserve">the fourth and </w:t>
      </w:r>
      <w:bookmarkStart w:id="0" w:name="_GoBack"/>
      <w:r w:rsidR="006837FE" w:rsidRPr="002824FE">
        <w:t>f</w:t>
      </w:r>
      <w:bookmarkEnd w:id="0"/>
      <w:r w:rsidR="006837FE" w:rsidRPr="002824FE">
        <w:t>ifth</w:t>
      </w:r>
      <w:r w:rsidR="00087903" w:rsidRPr="002824FE">
        <w:t xml:space="preserve"> periodic report</w:t>
      </w:r>
      <w:r w:rsidR="00446F00">
        <w:t>s</w:t>
      </w:r>
      <w:r w:rsidR="006837FE" w:rsidRPr="002824FE">
        <w:t xml:space="preserve"> of Angola </w:t>
      </w:r>
      <w:r w:rsidR="00BD5687" w:rsidRPr="002824FE">
        <w:t>on the implementation of the International Covenant on Economic, Social and Cultural Rights (E/C.12/</w:t>
      </w:r>
      <w:r w:rsidR="006837FE" w:rsidRPr="002824FE">
        <w:t>AGO</w:t>
      </w:r>
      <w:r w:rsidR="00BD5687" w:rsidRPr="002824FE">
        <w:t>/</w:t>
      </w:r>
      <w:r w:rsidR="006837FE" w:rsidRPr="002824FE">
        <w:t>4-5</w:t>
      </w:r>
      <w:r w:rsidR="00BD5687" w:rsidRPr="002824FE">
        <w:t xml:space="preserve">) at its </w:t>
      </w:r>
      <w:r w:rsidR="006837FE" w:rsidRPr="002824FE">
        <w:t>34</w:t>
      </w:r>
      <w:r w:rsidR="00BD5687" w:rsidRPr="002824FE">
        <w:t xml:space="preserve">th and </w:t>
      </w:r>
      <w:r w:rsidR="006837FE" w:rsidRPr="002824FE">
        <w:t>35</w:t>
      </w:r>
      <w:r w:rsidR="00BD5687" w:rsidRPr="002824FE">
        <w:t>th meetings (E/C.12/2016/SR.</w:t>
      </w:r>
      <w:r w:rsidR="009432BA" w:rsidRPr="002824FE">
        <w:t>34</w:t>
      </w:r>
      <w:r w:rsidR="008B016B">
        <w:t xml:space="preserve"> and </w:t>
      </w:r>
      <w:r w:rsidR="006837FE" w:rsidRPr="002824FE">
        <w:t>35</w:t>
      </w:r>
      <w:r w:rsidR="00BD5687" w:rsidRPr="002824FE">
        <w:t>)</w:t>
      </w:r>
      <w:r w:rsidR="00446F00">
        <w:t>,</w:t>
      </w:r>
      <w:r w:rsidR="00BD5687" w:rsidRPr="002824FE">
        <w:t xml:space="preserve"> held on </w:t>
      </w:r>
      <w:r w:rsidR="006837FE" w:rsidRPr="002824FE">
        <w:t>14</w:t>
      </w:r>
      <w:r w:rsidR="00BD5687" w:rsidRPr="002824FE">
        <w:t xml:space="preserve"> and </w:t>
      </w:r>
      <w:r w:rsidR="006837FE" w:rsidRPr="002824FE">
        <w:t>15</w:t>
      </w:r>
      <w:r w:rsidR="00BD5687" w:rsidRPr="002824FE">
        <w:t xml:space="preserve"> June 2016, and adopted the following concluding observations at its </w:t>
      </w:r>
      <w:r w:rsidR="00851904">
        <w:t>49</w:t>
      </w:r>
      <w:r w:rsidR="00851904" w:rsidRPr="002824FE">
        <w:t xml:space="preserve">th </w:t>
      </w:r>
      <w:r w:rsidR="00BD5687" w:rsidRPr="002824FE">
        <w:t>meeting, held on 24 June 2016.</w:t>
      </w:r>
      <w:proofErr w:type="gramEnd"/>
    </w:p>
    <w:p w14:paraId="7AC038B5" w14:textId="77777777" w:rsidR="00C82F62" w:rsidRPr="002824FE" w:rsidRDefault="00C82F62" w:rsidP="00C82F62">
      <w:pPr>
        <w:pStyle w:val="H1G"/>
      </w:pPr>
      <w:r w:rsidRPr="002824FE">
        <w:tab/>
        <w:t>A.</w:t>
      </w:r>
      <w:r w:rsidRPr="002824FE">
        <w:tab/>
        <w:t>Introduction</w:t>
      </w:r>
    </w:p>
    <w:p w14:paraId="3B4C81D9" w14:textId="063E92A8" w:rsidR="0039527A" w:rsidRPr="00AB7138" w:rsidRDefault="00556A05" w:rsidP="00B15056">
      <w:pPr>
        <w:pStyle w:val="SingleTxtG"/>
        <w:tabs>
          <w:tab w:val="left" w:pos="1701"/>
        </w:tabs>
      </w:pPr>
      <w:r w:rsidRPr="00AB7138">
        <w:t>2.</w:t>
      </w:r>
      <w:r w:rsidRPr="00AB7138">
        <w:tab/>
      </w:r>
      <w:r w:rsidR="009432BA" w:rsidRPr="002824FE">
        <w:t>The Committee welcomes the fourth and fifth periodic report</w:t>
      </w:r>
      <w:r w:rsidR="00446F00">
        <w:t>s</w:t>
      </w:r>
      <w:r w:rsidR="009432BA" w:rsidRPr="002824FE">
        <w:t xml:space="preserve"> submitted by the State party and the supplementary information provided in the written replies to the list of issues (E/C.12/AGO/Q/4-5/Add.1). The Committee also appreciates the opportunity to engage with the State party’s</w:t>
      </w:r>
      <w:r w:rsidR="007841D1" w:rsidRPr="002824FE">
        <w:t xml:space="preserve"> </w:t>
      </w:r>
      <w:r w:rsidR="009432BA" w:rsidRPr="002824FE">
        <w:t>interministerial delegation.</w:t>
      </w:r>
      <w:r w:rsidR="00207096" w:rsidRPr="00AB7138">
        <w:t xml:space="preserve"> </w:t>
      </w:r>
    </w:p>
    <w:p w14:paraId="011E32AF" w14:textId="77777777" w:rsidR="00654E1E" w:rsidRPr="00AB7138" w:rsidRDefault="00C82F62" w:rsidP="00654E1E">
      <w:pPr>
        <w:pStyle w:val="H1G"/>
      </w:pPr>
      <w:r w:rsidRPr="00AB7138">
        <w:tab/>
        <w:t>B.</w:t>
      </w:r>
      <w:r w:rsidRPr="00AB7138">
        <w:tab/>
        <w:t>Positive aspects</w:t>
      </w:r>
    </w:p>
    <w:p w14:paraId="38F1C00B" w14:textId="3C88A727" w:rsidR="00654E1E" w:rsidRPr="002F2936" w:rsidRDefault="00556A05" w:rsidP="00E74760">
      <w:pPr>
        <w:pStyle w:val="SingleTxtG"/>
        <w:tabs>
          <w:tab w:val="left" w:pos="1701"/>
        </w:tabs>
      </w:pPr>
      <w:r w:rsidRPr="00AB7138">
        <w:t>3.</w:t>
      </w:r>
      <w:r w:rsidRPr="00AB7138">
        <w:tab/>
      </w:r>
      <w:r w:rsidR="00654E1E" w:rsidRPr="00AB7138">
        <w:t xml:space="preserve">The Committee welcomes the State party’s ratification </w:t>
      </w:r>
      <w:r w:rsidR="00B02D02">
        <w:t xml:space="preserve">in 2014 </w:t>
      </w:r>
      <w:r w:rsidR="00654E1E" w:rsidRPr="00AB7138">
        <w:t>of</w:t>
      </w:r>
      <w:r w:rsidR="00B02D02">
        <w:t xml:space="preserve"> </w:t>
      </w:r>
      <w:r w:rsidR="00E74760">
        <w:t xml:space="preserve">the </w:t>
      </w:r>
      <w:r w:rsidR="00654E1E" w:rsidRPr="002F2936">
        <w:t>Convention on the Rights of Persons with Disabil</w:t>
      </w:r>
      <w:r w:rsidR="00CF1B8E">
        <w:t>ities and its Optional Protocol.</w:t>
      </w:r>
    </w:p>
    <w:p w14:paraId="05DDD1CC" w14:textId="79FB2005" w:rsidR="00654E1E" w:rsidRPr="00AB7138" w:rsidRDefault="00556A05" w:rsidP="00B15056">
      <w:pPr>
        <w:pStyle w:val="SingleTxtG"/>
        <w:tabs>
          <w:tab w:val="left" w:pos="1701"/>
        </w:tabs>
        <w:rPr>
          <w:b/>
        </w:rPr>
      </w:pPr>
      <w:r w:rsidRPr="00AB7138">
        <w:t>4.</w:t>
      </w:r>
      <w:r w:rsidRPr="00AB7138">
        <w:tab/>
      </w:r>
      <w:r w:rsidR="00654E1E" w:rsidRPr="002824FE">
        <w:t>The Committee notes with appreciation the</w:t>
      </w:r>
      <w:r w:rsidR="00251C39" w:rsidRPr="002824FE">
        <w:t xml:space="preserve"> </w:t>
      </w:r>
      <w:r w:rsidR="00006396" w:rsidRPr="00AB7138">
        <w:t xml:space="preserve">adoption </w:t>
      </w:r>
      <w:r w:rsidR="00251C39" w:rsidRPr="00AB7138">
        <w:t xml:space="preserve">of the following </w:t>
      </w:r>
      <w:r w:rsidR="00892ECF" w:rsidRPr="00AB7138">
        <w:t xml:space="preserve">legislative and </w:t>
      </w:r>
      <w:r w:rsidR="00006396" w:rsidRPr="00AB7138">
        <w:t>policy</w:t>
      </w:r>
      <w:r w:rsidR="00892ECF" w:rsidRPr="00AB7138">
        <w:t xml:space="preserve"> measures</w:t>
      </w:r>
      <w:r w:rsidR="00251C39" w:rsidRPr="00AB7138">
        <w:t xml:space="preserve"> </w:t>
      </w:r>
      <w:r w:rsidR="00654E1E" w:rsidRPr="00AB7138">
        <w:t>by the State party to enhance the promotion and protection of economic, social and cultural rights:</w:t>
      </w:r>
    </w:p>
    <w:p w14:paraId="361918F0" w14:textId="42CCB13D" w:rsidR="00136105" w:rsidRPr="0053239B" w:rsidRDefault="0053239B" w:rsidP="00B15056">
      <w:pPr>
        <w:pStyle w:val="SingleTxtG"/>
        <w:ind w:firstLine="567"/>
      </w:pPr>
      <w:r>
        <w:t>(a)</w:t>
      </w:r>
      <w:r>
        <w:tab/>
      </w:r>
      <w:r w:rsidR="001A73BC" w:rsidRPr="0053239B">
        <w:t xml:space="preserve">Presidential </w:t>
      </w:r>
      <w:r w:rsidR="00892ECF" w:rsidRPr="0053239B">
        <w:t xml:space="preserve">Decree </w:t>
      </w:r>
      <w:r w:rsidR="001A73BC" w:rsidRPr="0053239B">
        <w:t>No</w:t>
      </w:r>
      <w:r w:rsidR="00892ECF" w:rsidRPr="0053239B">
        <w:t>.</w:t>
      </w:r>
      <w:r>
        <w:t> </w:t>
      </w:r>
      <w:r w:rsidR="00892ECF" w:rsidRPr="0053239B">
        <w:t>36/15</w:t>
      </w:r>
      <w:r w:rsidR="00446F00" w:rsidRPr="0053239B">
        <w:t>,</w:t>
      </w:r>
      <w:r w:rsidR="00892ECF" w:rsidRPr="0053239B">
        <w:t xml:space="preserve"> which approves the Legal Regime for the Recognition of De Facto Unions by Mutual Consent and the Dissolution o</w:t>
      </w:r>
      <w:r w:rsidR="00136105" w:rsidRPr="0053239B">
        <w:t>f Recognized De Facto Unions;</w:t>
      </w:r>
    </w:p>
    <w:p w14:paraId="7BDE7DEF" w14:textId="01E8EDD2" w:rsidR="00136105" w:rsidRPr="0053239B" w:rsidRDefault="0053239B" w:rsidP="00B15056">
      <w:pPr>
        <w:pStyle w:val="SingleTxtG"/>
        <w:ind w:firstLine="567"/>
      </w:pPr>
      <w:r>
        <w:t>(b)</w:t>
      </w:r>
      <w:r>
        <w:tab/>
      </w:r>
      <w:r w:rsidR="00892ECF" w:rsidRPr="0053239B">
        <w:t>Law No. 13/01 on the Education Sys</w:t>
      </w:r>
      <w:r w:rsidR="00360D28" w:rsidRPr="0053239B">
        <w:t>tem</w:t>
      </w:r>
      <w:proofErr w:type="gramStart"/>
      <w:r w:rsidR="00360D28" w:rsidRPr="0053239B">
        <w:t>;</w:t>
      </w:r>
      <w:proofErr w:type="gramEnd"/>
    </w:p>
    <w:p w14:paraId="2192365B" w14:textId="2B175582" w:rsidR="00136105" w:rsidRPr="0053239B" w:rsidRDefault="0053239B" w:rsidP="00B15056">
      <w:pPr>
        <w:pStyle w:val="SingleTxtG"/>
        <w:ind w:firstLine="567"/>
      </w:pPr>
      <w:r>
        <w:t>(c)</w:t>
      </w:r>
      <w:r>
        <w:tab/>
      </w:r>
      <w:r w:rsidR="00892ECF" w:rsidRPr="0053239B">
        <w:t>National Development Plan, 2013-2017</w:t>
      </w:r>
      <w:r w:rsidR="00136105" w:rsidRPr="0053239B">
        <w:t>;</w:t>
      </w:r>
    </w:p>
    <w:p w14:paraId="013C16B5" w14:textId="393815FF" w:rsidR="00496D5E" w:rsidRPr="0053239B" w:rsidRDefault="0053239B" w:rsidP="00B15056">
      <w:pPr>
        <w:pStyle w:val="SingleTxtG"/>
        <w:ind w:firstLine="567"/>
      </w:pPr>
      <w:r>
        <w:t>(d)</w:t>
      </w:r>
      <w:r>
        <w:tab/>
      </w:r>
      <w:r w:rsidR="00496D5E" w:rsidRPr="0053239B">
        <w:t>National Strategic Program</w:t>
      </w:r>
      <w:r w:rsidR="00446F00" w:rsidRPr="0053239B">
        <w:t>me</w:t>
      </w:r>
      <w:r w:rsidR="00496D5E" w:rsidRPr="0053239B">
        <w:t xml:space="preserve"> for Water, 2013-2017;</w:t>
      </w:r>
    </w:p>
    <w:p w14:paraId="793FC277" w14:textId="779BEBA4" w:rsidR="00136105" w:rsidRPr="0053239B" w:rsidRDefault="0053239B" w:rsidP="00B15056">
      <w:pPr>
        <w:pStyle w:val="SingleTxtG"/>
        <w:ind w:firstLine="567"/>
      </w:pPr>
      <w:r>
        <w:t>(e)</w:t>
      </w:r>
      <w:r>
        <w:tab/>
      </w:r>
      <w:r w:rsidR="00892ECF" w:rsidRPr="0053239B">
        <w:t>National Policy for Gender Equality and Equity</w:t>
      </w:r>
      <w:r w:rsidR="00360D28" w:rsidRPr="0053239B">
        <w:t>, 2013</w:t>
      </w:r>
      <w:r w:rsidR="00136105" w:rsidRPr="0053239B">
        <w:t>;</w:t>
      </w:r>
    </w:p>
    <w:p w14:paraId="1E144F96" w14:textId="206BC179" w:rsidR="00136105" w:rsidRPr="0053239B" w:rsidRDefault="0053239B" w:rsidP="00B15056">
      <w:pPr>
        <w:pStyle w:val="SingleTxtG"/>
        <w:ind w:firstLine="567"/>
      </w:pPr>
      <w:proofErr w:type="gramStart"/>
      <w:r>
        <w:lastRenderedPageBreak/>
        <w:t>(f)</w:t>
      </w:r>
      <w:r>
        <w:tab/>
      </w:r>
      <w:r w:rsidR="00892ECF" w:rsidRPr="0053239B">
        <w:t>National Strategy for Food and Nutrition Security</w:t>
      </w:r>
      <w:r w:rsidR="00360D28" w:rsidRPr="0053239B">
        <w:t>, 2009</w:t>
      </w:r>
      <w:r w:rsidR="007538CA" w:rsidRPr="0053239B">
        <w:t>.</w:t>
      </w:r>
      <w:proofErr w:type="gramEnd"/>
    </w:p>
    <w:p w14:paraId="0C3DF25B" w14:textId="77777777" w:rsidR="00C82F62" w:rsidRPr="002824FE" w:rsidRDefault="00C82F62" w:rsidP="00C82F62">
      <w:pPr>
        <w:pStyle w:val="H1G"/>
      </w:pPr>
      <w:r w:rsidRPr="002824FE">
        <w:tab/>
        <w:t>C.</w:t>
      </w:r>
      <w:r w:rsidRPr="002824FE">
        <w:tab/>
        <w:t>Principal subjects of concern and recommendations</w:t>
      </w:r>
    </w:p>
    <w:p w14:paraId="3F873DC3" w14:textId="398B1A91" w:rsidR="00F96B49" w:rsidRPr="00AB7138" w:rsidRDefault="002C7840" w:rsidP="00FC6FBC">
      <w:pPr>
        <w:pStyle w:val="H23G"/>
        <w:ind w:firstLine="0"/>
        <w:rPr>
          <w:lang w:eastAsia="en-GB"/>
        </w:rPr>
      </w:pPr>
      <w:r w:rsidRPr="00AB7138">
        <w:rPr>
          <w:lang w:eastAsia="en-GB"/>
        </w:rPr>
        <w:t xml:space="preserve">Justiciability of </w:t>
      </w:r>
      <w:r w:rsidR="00446F00">
        <w:rPr>
          <w:lang w:eastAsia="en-GB"/>
        </w:rPr>
        <w:t>economic, social and cultural</w:t>
      </w:r>
      <w:r w:rsidR="00446F00" w:rsidRPr="00AB7138">
        <w:rPr>
          <w:lang w:eastAsia="en-GB"/>
        </w:rPr>
        <w:t xml:space="preserve"> </w:t>
      </w:r>
      <w:r w:rsidRPr="00AB7138">
        <w:rPr>
          <w:lang w:eastAsia="en-GB"/>
        </w:rPr>
        <w:t>rights</w:t>
      </w:r>
    </w:p>
    <w:p w14:paraId="42593E3A" w14:textId="41B8509E" w:rsidR="00AF5B80" w:rsidRPr="00AB7138" w:rsidRDefault="00556A05" w:rsidP="00B15056">
      <w:pPr>
        <w:pStyle w:val="SingleTxtG"/>
        <w:tabs>
          <w:tab w:val="left" w:pos="1701"/>
        </w:tabs>
        <w:rPr>
          <w:lang w:eastAsia="en-GB"/>
        </w:rPr>
      </w:pPr>
      <w:r w:rsidRPr="00AB7138">
        <w:rPr>
          <w:lang w:eastAsia="en-GB"/>
        </w:rPr>
        <w:t>5.</w:t>
      </w:r>
      <w:r w:rsidRPr="00AB7138">
        <w:rPr>
          <w:lang w:eastAsia="en-GB"/>
        </w:rPr>
        <w:tab/>
      </w:r>
      <w:r w:rsidR="00AF5B80" w:rsidRPr="00AB7138">
        <w:rPr>
          <w:lang w:eastAsia="en-GB"/>
        </w:rPr>
        <w:t xml:space="preserve">The Committee regrets the lack </w:t>
      </w:r>
      <w:r w:rsidR="00CC2E45" w:rsidRPr="00AB7138">
        <w:rPr>
          <w:lang w:eastAsia="en-GB"/>
        </w:rPr>
        <w:t xml:space="preserve">of </w:t>
      </w:r>
      <w:r w:rsidR="00496D5E" w:rsidRPr="00AB7138">
        <w:rPr>
          <w:lang w:eastAsia="en-GB"/>
        </w:rPr>
        <w:t>information on</w:t>
      </w:r>
      <w:r w:rsidR="00AF5B80" w:rsidRPr="00AB7138">
        <w:rPr>
          <w:lang w:eastAsia="en-GB"/>
        </w:rPr>
        <w:t xml:space="preserve"> </w:t>
      </w:r>
      <w:r w:rsidR="00496D5E" w:rsidRPr="00AB7138">
        <w:rPr>
          <w:lang w:eastAsia="en-GB"/>
        </w:rPr>
        <w:t xml:space="preserve">judicial </w:t>
      </w:r>
      <w:r w:rsidR="00AF5B80" w:rsidRPr="00AB7138">
        <w:rPr>
          <w:lang w:eastAsia="en-GB"/>
        </w:rPr>
        <w:t xml:space="preserve">cases in which the </w:t>
      </w:r>
      <w:r w:rsidR="007B5A46">
        <w:rPr>
          <w:lang w:eastAsia="en-GB"/>
        </w:rPr>
        <w:t xml:space="preserve">provisions of the </w:t>
      </w:r>
      <w:r w:rsidR="00AF5B80" w:rsidRPr="00AB7138">
        <w:rPr>
          <w:lang w:eastAsia="en-GB"/>
        </w:rPr>
        <w:t xml:space="preserve">Covenant </w:t>
      </w:r>
      <w:r w:rsidR="002A61B9" w:rsidRPr="00AB7138">
        <w:rPr>
          <w:lang w:eastAsia="en-GB"/>
        </w:rPr>
        <w:t>have been</w:t>
      </w:r>
      <w:r w:rsidR="00AF5B80" w:rsidRPr="00AB7138">
        <w:rPr>
          <w:lang w:eastAsia="en-GB"/>
        </w:rPr>
        <w:t xml:space="preserve"> invoked before, or applied by, domestic courts, despite article</w:t>
      </w:r>
      <w:r w:rsidR="0053239B">
        <w:rPr>
          <w:lang w:eastAsia="en-GB"/>
        </w:rPr>
        <w:t> </w:t>
      </w:r>
      <w:r w:rsidR="00496D5E" w:rsidRPr="00AB7138">
        <w:rPr>
          <w:lang w:eastAsia="en-GB"/>
        </w:rPr>
        <w:t xml:space="preserve">26 </w:t>
      </w:r>
      <w:r w:rsidR="00AF5B80" w:rsidRPr="00AB7138">
        <w:rPr>
          <w:lang w:eastAsia="en-GB"/>
        </w:rPr>
        <w:t xml:space="preserve">of the </w:t>
      </w:r>
      <w:proofErr w:type="gramStart"/>
      <w:r w:rsidR="00AF5B80" w:rsidRPr="00AB7138">
        <w:rPr>
          <w:lang w:eastAsia="en-GB"/>
        </w:rPr>
        <w:t xml:space="preserve">Constitution </w:t>
      </w:r>
      <w:r w:rsidR="007B5A46">
        <w:rPr>
          <w:lang w:eastAsia="en-GB"/>
        </w:rPr>
        <w:t>which</w:t>
      </w:r>
      <w:proofErr w:type="gramEnd"/>
      <w:r w:rsidR="007B5A46" w:rsidRPr="00AB7138">
        <w:rPr>
          <w:lang w:eastAsia="en-GB"/>
        </w:rPr>
        <w:t xml:space="preserve"> </w:t>
      </w:r>
      <w:r w:rsidR="00AF5B80" w:rsidRPr="00AB7138">
        <w:rPr>
          <w:lang w:eastAsia="en-GB"/>
        </w:rPr>
        <w:t>enable</w:t>
      </w:r>
      <w:r w:rsidR="007841D1" w:rsidRPr="00AB7138">
        <w:rPr>
          <w:lang w:eastAsia="en-GB"/>
        </w:rPr>
        <w:t>s</w:t>
      </w:r>
      <w:r w:rsidR="00AF5B80" w:rsidRPr="00AB7138">
        <w:rPr>
          <w:lang w:eastAsia="en-GB"/>
        </w:rPr>
        <w:t xml:space="preserve"> the Covenant to be directly appli</w:t>
      </w:r>
      <w:r w:rsidR="00006396" w:rsidRPr="00AB7138">
        <w:rPr>
          <w:lang w:eastAsia="en-GB"/>
        </w:rPr>
        <w:t>ed</w:t>
      </w:r>
      <w:r w:rsidR="00AF5B80" w:rsidRPr="00AB7138">
        <w:rPr>
          <w:lang w:eastAsia="en-GB"/>
        </w:rPr>
        <w:t xml:space="preserve"> in domestic courts.</w:t>
      </w:r>
    </w:p>
    <w:p w14:paraId="74B50F7C" w14:textId="0A854265" w:rsidR="003A30DF" w:rsidRPr="00AB7138" w:rsidRDefault="00556A05" w:rsidP="00B15056">
      <w:pPr>
        <w:pStyle w:val="SingleTxtG"/>
        <w:tabs>
          <w:tab w:val="left" w:pos="1701"/>
        </w:tabs>
        <w:rPr>
          <w:b/>
          <w:lang w:eastAsia="en-GB"/>
        </w:rPr>
      </w:pPr>
      <w:r w:rsidRPr="00AB7138">
        <w:rPr>
          <w:lang w:eastAsia="en-GB"/>
        </w:rPr>
        <w:t>6.</w:t>
      </w:r>
      <w:r w:rsidRPr="00AB7138">
        <w:rPr>
          <w:lang w:eastAsia="en-GB"/>
        </w:rPr>
        <w:tab/>
      </w:r>
      <w:r w:rsidR="00AF5B80" w:rsidRPr="00AB7138">
        <w:rPr>
          <w:b/>
          <w:lang w:eastAsia="en-GB"/>
        </w:rPr>
        <w:t xml:space="preserve">The </w:t>
      </w:r>
      <w:r w:rsidR="002A61B9" w:rsidRPr="00AB7138">
        <w:rPr>
          <w:b/>
          <w:lang w:eastAsia="en-GB"/>
        </w:rPr>
        <w:t>Committee recommends that the State party undertake to raise awareness of the Covenant</w:t>
      </w:r>
      <w:r w:rsidR="00006396" w:rsidRPr="00AB7138">
        <w:rPr>
          <w:b/>
          <w:lang w:eastAsia="en-GB"/>
        </w:rPr>
        <w:t xml:space="preserve"> rights</w:t>
      </w:r>
      <w:r w:rsidR="002A61B9" w:rsidRPr="00AB7138">
        <w:rPr>
          <w:b/>
          <w:lang w:eastAsia="en-GB"/>
        </w:rPr>
        <w:t xml:space="preserve"> and their justiciability, in particular among the judiciary,</w:t>
      </w:r>
      <w:r w:rsidR="00851904">
        <w:rPr>
          <w:b/>
          <w:lang w:eastAsia="en-GB"/>
        </w:rPr>
        <w:t xml:space="preserve"> parliament,</w:t>
      </w:r>
      <w:r w:rsidR="002A61B9" w:rsidRPr="00AB7138">
        <w:rPr>
          <w:b/>
          <w:lang w:eastAsia="en-GB"/>
        </w:rPr>
        <w:t xml:space="preserve"> lawyers</w:t>
      </w:r>
      <w:r w:rsidR="007B5A46">
        <w:rPr>
          <w:b/>
          <w:lang w:eastAsia="en-GB"/>
        </w:rPr>
        <w:t xml:space="preserve"> and</w:t>
      </w:r>
      <w:r w:rsidR="002A61B9" w:rsidRPr="00AB7138">
        <w:rPr>
          <w:b/>
          <w:lang w:eastAsia="en-GB"/>
        </w:rPr>
        <w:t xml:space="preserve"> law enforcement officials,</w:t>
      </w:r>
      <w:r w:rsidR="002A61B9" w:rsidRPr="002824FE">
        <w:rPr>
          <w:b/>
          <w:lang w:eastAsia="en-GB"/>
        </w:rPr>
        <w:t xml:space="preserve"> </w:t>
      </w:r>
      <w:r w:rsidR="00200B44" w:rsidRPr="00AB7138">
        <w:rPr>
          <w:b/>
          <w:lang w:eastAsia="en-GB"/>
        </w:rPr>
        <w:t>as well as</w:t>
      </w:r>
      <w:r w:rsidR="00200B44" w:rsidRPr="002824FE">
        <w:rPr>
          <w:b/>
          <w:lang w:eastAsia="en-GB"/>
        </w:rPr>
        <w:t xml:space="preserve"> </w:t>
      </w:r>
      <w:r w:rsidR="002A61B9" w:rsidRPr="002824FE">
        <w:rPr>
          <w:b/>
          <w:lang w:eastAsia="en-GB"/>
        </w:rPr>
        <w:t xml:space="preserve">among rights holders. The Committee requests the State party to submit </w:t>
      </w:r>
      <w:r w:rsidR="002A61B9" w:rsidRPr="00AB7138">
        <w:rPr>
          <w:b/>
          <w:lang w:eastAsia="en-GB"/>
        </w:rPr>
        <w:t xml:space="preserve">information </w:t>
      </w:r>
      <w:r w:rsidR="007B5A46" w:rsidRPr="00AB7138">
        <w:rPr>
          <w:b/>
          <w:lang w:eastAsia="en-GB"/>
        </w:rPr>
        <w:t xml:space="preserve">in its next periodic report </w:t>
      </w:r>
      <w:r w:rsidR="002A61B9" w:rsidRPr="00AB7138">
        <w:rPr>
          <w:b/>
          <w:lang w:eastAsia="en-GB"/>
        </w:rPr>
        <w:t xml:space="preserve">on cases before the courts in which the provisions of the Covenant </w:t>
      </w:r>
      <w:proofErr w:type="gramStart"/>
      <w:r w:rsidR="002A61B9" w:rsidRPr="00AB7138">
        <w:rPr>
          <w:b/>
          <w:lang w:eastAsia="en-GB"/>
        </w:rPr>
        <w:t>have been invoked</w:t>
      </w:r>
      <w:proofErr w:type="gramEnd"/>
      <w:r w:rsidR="002A61B9" w:rsidRPr="00AB7138">
        <w:rPr>
          <w:b/>
          <w:lang w:eastAsia="en-GB"/>
        </w:rPr>
        <w:t xml:space="preserve">. The Committee draws the State party’s attention to its general comment </w:t>
      </w:r>
      <w:r w:rsidR="007B5A46">
        <w:rPr>
          <w:b/>
          <w:lang w:eastAsia="en-GB"/>
        </w:rPr>
        <w:t>N</w:t>
      </w:r>
      <w:r w:rsidR="002A61B9" w:rsidRPr="00AB7138">
        <w:rPr>
          <w:b/>
          <w:lang w:eastAsia="en-GB"/>
        </w:rPr>
        <w:t>o. 9 (1998) on the domestic application of the Covenant.</w:t>
      </w:r>
    </w:p>
    <w:p w14:paraId="611FEEC6" w14:textId="77777777" w:rsidR="009D253E" w:rsidRPr="00AB7138" w:rsidRDefault="009D253E" w:rsidP="00FC6FBC">
      <w:pPr>
        <w:pStyle w:val="H23G"/>
        <w:ind w:firstLine="0"/>
        <w:rPr>
          <w:lang w:eastAsia="en-GB"/>
        </w:rPr>
      </w:pPr>
      <w:r w:rsidRPr="002F2936">
        <w:rPr>
          <w:lang w:eastAsia="en-GB"/>
        </w:rPr>
        <w:t>Maximum</w:t>
      </w:r>
      <w:r w:rsidRPr="00AB7138">
        <w:rPr>
          <w:lang w:eastAsia="en-GB"/>
        </w:rPr>
        <w:t xml:space="preserve"> available resources</w:t>
      </w:r>
    </w:p>
    <w:p w14:paraId="2117FCF8" w14:textId="2BAF98CA" w:rsidR="00892982" w:rsidRPr="00AB7138" w:rsidRDefault="00556A05" w:rsidP="00B15056">
      <w:pPr>
        <w:pStyle w:val="SingleTxtG"/>
        <w:tabs>
          <w:tab w:val="left" w:pos="1701"/>
        </w:tabs>
        <w:rPr>
          <w:lang w:eastAsia="en-GB"/>
        </w:rPr>
      </w:pPr>
      <w:r w:rsidRPr="00AB7138">
        <w:rPr>
          <w:lang w:eastAsia="en-GB"/>
        </w:rPr>
        <w:t>7.</w:t>
      </w:r>
      <w:r w:rsidRPr="00AB7138">
        <w:rPr>
          <w:lang w:eastAsia="en-GB"/>
        </w:rPr>
        <w:tab/>
      </w:r>
      <w:r w:rsidR="009D253E" w:rsidRPr="00AB7138">
        <w:rPr>
          <w:lang w:eastAsia="en-GB"/>
        </w:rPr>
        <w:t xml:space="preserve">The Committee is concerned </w:t>
      </w:r>
      <w:r w:rsidR="00892982" w:rsidRPr="00AB7138">
        <w:rPr>
          <w:lang w:eastAsia="en-GB"/>
        </w:rPr>
        <w:t xml:space="preserve">about the </w:t>
      </w:r>
      <w:r w:rsidR="00D3125E" w:rsidRPr="00AB7138">
        <w:rPr>
          <w:lang w:eastAsia="en-GB"/>
        </w:rPr>
        <w:t>insufficient</w:t>
      </w:r>
      <w:r w:rsidR="00892982" w:rsidRPr="00AB7138">
        <w:rPr>
          <w:lang w:eastAsia="en-GB"/>
        </w:rPr>
        <w:t xml:space="preserve"> resources allocated </w:t>
      </w:r>
      <w:r w:rsidR="00D3125E" w:rsidRPr="00AB7138">
        <w:rPr>
          <w:lang w:eastAsia="en-GB"/>
        </w:rPr>
        <w:t xml:space="preserve">to areas covered by </w:t>
      </w:r>
      <w:r w:rsidR="00892982" w:rsidRPr="00AB7138">
        <w:rPr>
          <w:lang w:eastAsia="en-GB"/>
        </w:rPr>
        <w:t>the Covenant</w:t>
      </w:r>
      <w:r w:rsidR="00D3125E" w:rsidRPr="00AB7138">
        <w:rPr>
          <w:lang w:eastAsia="en-GB"/>
        </w:rPr>
        <w:t xml:space="preserve">, </w:t>
      </w:r>
      <w:r w:rsidR="00496D5E" w:rsidRPr="00AB7138">
        <w:rPr>
          <w:lang w:eastAsia="en-GB"/>
        </w:rPr>
        <w:t xml:space="preserve">which </w:t>
      </w:r>
      <w:proofErr w:type="gramStart"/>
      <w:r w:rsidR="00496D5E" w:rsidRPr="00AB7138">
        <w:rPr>
          <w:lang w:eastAsia="en-GB"/>
        </w:rPr>
        <w:t xml:space="preserve">have been </w:t>
      </w:r>
      <w:r w:rsidR="008C60D8" w:rsidRPr="00AB7138">
        <w:rPr>
          <w:lang w:eastAsia="en-GB"/>
        </w:rPr>
        <w:t>subject</w:t>
      </w:r>
      <w:r w:rsidR="00E74400">
        <w:rPr>
          <w:lang w:eastAsia="en-GB"/>
        </w:rPr>
        <w:t>ed</w:t>
      </w:r>
      <w:proofErr w:type="gramEnd"/>
      <w:r w:rsidR="008C60D8" w:rsidRPr="00AB7138">
        <w:rPr>
          <w:lang w:eastAsia="en-GB"/>
        </w:rPr>
        <w:t xml:space="preserve"> to </w:t>
      </w:r>
      <w:r w:rsidR="002F2936">
        <w:rPr>
          <w:lang w:eastAsia="en-GB"/>
        </w:rPr>
        <w:t>further</w:t>
      </w:r>
      <w:r w:rsidR="002F2936" w:rsidRPr="00AB7138">
        <w:rPr>
          <w:lang w:eastAsia="en-GB"/>
        </w:rPr>
        <w:t xml:space="preserve"> </w:t>
      </w:r>
      <w:r w:rsidR="008C60D8" w:rsidRPr="00AB7138">
        <w:rPr>
          <w:lang w:eastAsia="en-GB"/>
        </w:rPr>
        <w:t xml:space="preserve">cuts in 2015, </w:t>
      </w:r>
      <w:r w:rsidR="008C60D8" w:rsidRPr="002824FE">
        <w:rPr>
          <w:lang w:eastAsia="en-GB"/>
        </w:rPr>
        <w:t>negative</w:t>
      </w:r>
      <w:r w:rsidR="00DF34FB" w:rsidRPr="002824FE">
        <w:rPr>
          <w:lang w:eastAsia="en-GB"/>
        </w:rPr>
        <w:t>ly</w:t>
      </w:r>
      <w:r w:rsidR="008C60D8" w:rsidRPr="002824FE">
        <w:rPr>
          <w:lang w:eastAsia="en-GB"/>
        </w:rPr>
        <w:t xml:space="preserve"> </w:t>
      </w:r>
      <w:r w:rsidR="00DF34FB" w:rsidRPr="00AB7138">
        <w:rPr>
          <w:lang w:eastAsia="en-GB"/>
        </w:rPr>
        <w:t>affecting</w:t>
      </w:r>
      <w:r w:rsidR="008C60D8" w:rsidRPr="00AB7138">
        <w:rPr>
          <w:lang w:eastAsia="en-GB"/>
        </w:rPr>
        <w:t xml:space="preserve"> the enjoyment of </w:t>
      </w:r>
      <w:r w:rsidR="00F11F8B" w:rsidRPr="00AB7138">
        <w:rPr>
          <w:lang w:eastAsia="en-GB"/>
        </w:rPr>
        <w:t>economic</w:t>
      </w:r>
      <w:r w:rsidR="00F11F8B">
        <w:rPr>
          <w:lang w:eastAsia="en-GB"/>
        </w:rPr>
        <w:t>,</w:t>
      </w:r>
      <w:r w:rsidR="00F11F8B" w:rsidRPr="00AB7138">
        <w:rPr>
          <w:lang w:eastAsia="en-GB"/>
        </w:rPr>
        <w:t xml:space="preserve"> </w:t>
      </w:r>
      <w:r w:rsidR="008C60D8" w:rsidRPr="00AB7138">
        <w:rPr>
          <w:lang w:eastAsia="en-GB"/>
        </w:rPr>
        <w:t>social, and cultural rights in the State party</w:t>
      </w:r>
      <w:r w:rsidR="00892982" w:rsidRPr="00AB7138">
        <w:rPr>
          <w:lang w:eastAsia="en-GB"/>
        </w:rPr>
        <w:t>.</w:t>
      </w:r>
      <w:r w:rsidR="002F2936">
        <w:rPr>
          <w:lang w:eastAsia="en-GB"/>
        </w:rPr>
        <w:t xml:space="preserve"> </w:t>
      </w:r>
    </w:p>
    <w:p w14:paraId="3050842C" w14:textId="3F15A25F" w:rsidR="00CC2E45" w:rsidRPr="00AB7138" w:rsidRDefault="00556A05" w:rsidP="00B15056">
      <w:pPr>
        <w:pStyle w:val="SingleTxtG"/>
        <w:tabs>
          <w:tab w:val="left" w:pos="1701"/>
        </w:tabs>
        <w:rPr>
          <w:b/>
          <w:lang w:eastAsia="en-GB"/>
        </w:rPr>
      </w:pPr>
      <w:r w:rsidRPr="00AB7138">
        <w:rPr>
          <w:lang w:eastAsia="en-GB"/>
        </w:rPr>
        <w:t>8.</w:t>
      </w:r>
      <w:r w:rsidRPr="00AB7138">
        <w:rPr>
          <w:lang w:eastAsia="en-GB"/>
        </w:rPr>
        <w:tab/>
      </w:r>
      <w:r w:rsidR="00666EFA" w:rsidRPr="00AB7138">
        <w:rPr>
          <w:b/>
          <w:lang w:eastAsia="en-GB"/>
        </w:rPr>
        <w:t xml:space="preserve">The Committee recommends that the State party increase the </w:t>
      </w:r>
      <w:r w:rsidR="00810FE6" w:rsidRPr="00AB7138">
        <w:rPr>
          <w:b/>
          <w:lang w:eastAsia="en-GB"/>
        </w:rPr>
        <w:t>resource</w:t>
      </w:r>
      <w:r w:rsidR="00200B44" w:rsidRPr="00AB7138">
        <w:rPr>
          <w:b/>
          <w:lang w:eastAsia="en-GB"/>
        </w:rPr>
        <w:t>s</w:t>
      </w:r>
      <w:r w:rsidR="00810FE6" w:rsidRPr="00AB7138">
        <w:rPr>
          <w:b/>
          <w:lang w:eastAsia="en-GB"/>
        </w:rPr>
        <w:t xml:space="preserve"> </w:t>
      </w:r>
      <w:r w:rsidR="00200B44" w:rsidRPr="00AB7138">
        <w:rPr>
          <w:b/>
          <w:lang w:eastAsia="en-GB"/>
        </w:rPr>
        <w:t>allocated to the realization of Covenant rights</w:t>
      </w:r>
      <w:r w:rsidR="002F2936">
        <w:rPr>
          <w:b/>
          <w:lang w:eastAsia="en-GB"/>
        </w:rPr>
        <w:t>,</w:t>
      </w:r>
      <w:r w:rsidR="00200B44" w:rsidRPr="00AB7138">
        <w:rPr>
          <w:b/>
          <w:lang w:eastAsia="en-GB"/>
        </w:rPr>
        <w:t xml:space="preserve"> including</w:t>
      </w:r>
      <w:r w:rsidR="00200B44" w:rsidRPr="002824FE">
        <w:rPr>
          <w:b/>
          <w:lang w:eastAsia="en-GB"/>
        </w:rPr>
        <w:t xml:space="preserve"> </w:t>
      </w:r>
      <w:r w:rsidR="00666EFA" w:rsidRPr="002824FE">
        <w:rPr>
          <w:b/>
          <w:lang w:eastAsia="en-GB"/>
        </w:rPr>
        <w:t>social protection</w:t>
      </w:r>
      <w:r w:rsidR="00200B44" w:rsidRPr="002824FE">
        <w:rPr>
          <w:b/>
          <w:lang w:eastAsia="en-GB"/>
        </w:rPr>
        <w:t>,</w:t>
      </w:r>
      <w:r w:rsidR="00666EFA" w:rsidRPr="002824FE">
        <w:rPr>
          <w:b/>
          <w:lang w:eastAsia="en-GB"/>
        </w:rPr>
        <w:t xml:space="preserve"> housing,</w:t>
      </w:r>
      <w:r w:rsidR="00666EFA" w:rsidRPr="00AB7138">
        <w:rPr>
          <w:b/>
          <w:lang w:eastAsia="en-GB"/>
        </w:rPr>
        <w:t xml:space="preserve"> healt</w:t>
      </w:r>
      <w:r w:rsidR="00DE671F" w:rsidRPr="00AB7138">
        <w:rPr>
          <w:b/>
          <w:lang w:eastAsia="en-GB"/>
        </w:rPr>
        <w:t>h and education</w:t>
      </w:r>
      <w:r w:rsidR="00666EFA" w:rsidRPr="00AB7138">
        <w:rPr>
          <w:b/>
          <w:lang w:eastAsia="en-GB"/>
        </w:rPr>
        <w:t>, in accordance w</w:t>
      </w:r>
      <w:r w:rsidR="00DE671F" w:rsidRPr="00AB7138">
        <w:rPr>
          <w:b/>
          <w:lang w:eastAsia="en-GB"/>
        </w:rPr>
        <w:t>ith article 2</w:t>
      </w:r>
      <w:r w:rsidR="002F2936">
        <w:rPr>
          <w:b/>
          <w:lang w:eastAsia="en-GB"/>
        </w:rPr>
        <w:t xml:space="preserve"> (</w:t>
      </w:r>
      <w:r w:rsidR="00DE671F" w:rsidRPr="00AB7138">
        <w:rPr>
          <w:b/>
          <w:lang w:eastAsia="en-GB"/>
        </w:rPr>
        <w:t>1</w:t>
      </w:r>
      <w:r w:rsidR="002F2936">
        <w:rPr>
          <w:b/>
          <w:lang w:eastAsia="en-GB"/>
        </w:rPr>
        <w:t>)</w:t>
      </w:r>
      <w:r w:rsidR="00200B44" w:rsidRPr="00AB7138">
        <w:rPr>
          <w:b/>
          <w:lang w:eastAsia="en-GB"/>
        </w:rPr>
        <w:t xml:space="preserve"> of the Covenant</w:t>
      </w:r>
      <w:r w:rsidR="008C60D8" w:rsidRPr="002824FE">
        <w:rPr>
          <w:b/>
        </w:rPr>
        <w:t>. While acknowledging that certain adjustments are at times inevitable, the C</w:t>
      </w:r>
      <w:r w:rsidR="008C60D8" w:rsidRPr="00AB7138">
        <w:rPr>
          <w:b/>
        </w:rPr>
        <w:t>ommittee draws the State party’s attention to its open letter on</w:t>
      </w:r>
      <w:r w:rsidR="00200B44" w:rsidRPr="00AB7138">
        <w:rPr>
          <w:b/>
        </w:rPr>
        <w:t xml:space="preserve"> </w:t>
      </w:r>
      <w:r w:rsidR="008C60D8" w:rsidRPr="00AB7138">
        <w:rPr>
          <w:b/>
        </w:rPr>
        <w:t>economic, social and cultural rights and austerity measures</w:t>
      </w:r>
      <w:r w:rsidR="008C60D8" w:rsidRPr="002824FE">
        <w:rPr>
          <w:b/>
        </w:rPr>
        <w:t xml:space="preserve"> dated 16 May 2012, which outlines the requirements that </w:t>
      </w:r>
      <w:proofErr w:type="gramStart"/>
      <w:r w:rsidR="008C60D8" w:rsidRPr="002824FE">
        <w:rPr>
          <w:b/>
        </w:rPr>
        <w:t>must be met</w:t>
      </w:r>
      <w:proofErr w:type="gramEnd"/>
      <w:r w:rsidR="008C60D8" w:rsidRPr="002824FE">
        <w:rPr>
          <w:b/>
        </w:rPr>
        <w:t xml:space="preserve"> by any proposed </w:t>
      </w:r>
      <w:r w:rsidR="00DE671F" w:rsidRPr="002824FE">
        <w:rPr>
          <w:b/>
        </w:rPr>
        <w:t>polic</w:t>
      </w:r>
      <w:r w:rsidR="00DE671F" w:rsidRPr="00AB7138">
        <w:rPr>
          <w:b/>
        </w:rPr>
        <w:t>y change or adjustment by S</w:t>
      </w:r>
      <w:r w:rsidR="008C60D8" w:rsidRPr="00AB7138">
        <w:rPr>
          <w:b/>
        </w:rPr>
        <w:t xml:space="preserve">tates parties in </w:t>
      </w:r>
      <w:r w:rsidR="003913DB" w:rsidRPr="00AB7138">
        <w:rPr>
          <w:b/>
        </w:rPr>
        <w:t>response</w:t>
      </w:r>
      <w:r w:rsidR="003913DB" w:rsidRPr="002824FE">
        <w:rPr>
          <w:b/>
        </w:rPr>
        <w:t xml:space="preserve"> </w:t>
      </w:r>
      <w:r w:rsidR="008C60D8" w:rsidRPr="002824FE">
        <w:rPr>
          <w:b/>
        </w:rPr>
        <w:t>to the</w:t>
      </w:r>
      <w:r w:rsidR="0053239B">
        <w:rPr>
          <w:b/>
        </w:rPr>
        <w:t xml:space="preserve"> </w:t>
      </w:r>
      <w:r w:rsidR="008C60D8" w:rsidRPr="002824FE">
        <w:rPr>
          <w:b/>
        </w:rPr>
        <w:t>economic</w:t>
      </w:r>
      <w:r w:rsidR="0053239B">
        <w:rPr>
          <w:b/>
        </w:rPr>
        <w:t xml:space="preserve"> </w:t>
      </w:r>
      <w:r w:rsidR="008C60D8" w:rsidRPr="002824FE">
        <w:rPr>
          <w:b/>
        </w:rPr>
        <w:t>crisis. The State party should also ensure that any measures adopted with a view to stabilizing the current economic</w:t>
      </w:r>
      <w:r w:rsidR="0053239B">
        <w:rPr>
          <w:b/>
        </w:rPr>
        <w:t xml:space="preserve"> </w:t>
      </w:r>
      <w:r w:rsidR="008C60D8" w:rsidRPr="002824FE">
        <w:rPr>
          <w:b/>
        </w:rPr>
        <w:t>situation do not disproportionately affect the most disadvant</w:t>
      </w:r>
      <w:r w:rsidR="008C60D8" w:rsidRPr="00AB7138">
        <w:rPr>
          <w:b/>
        </w:rPr>
        <w:t>aged and marginalized individuals and groups</w:t>
      </w:r>
      <w:r w:rsidR="00F11F8B">
        <w:rPr>
          <w:b/>
        </w:rPr>
        <w:t xml:space="preserve"> and</w:t>
      </w:r>
      <w:r w:rsidR="008C60D8" w:rsidRPr="00AB7138">
        <w:rPr>
          <w:b/>
        </w:rPr>
        <w:t xml:space="preserve"> </w:t>
      </w:r>
      <w:r w:rsidR="00200B44" w:rsidRPr="00AB7138">
        <w:rPr>
          <w:b/>
        </w:rPr>
        <w:t xml:space="preserve">ensure, at all times, the protection of the </w:t>
      </w:r>
      <w:r w:rsidR="008C60D8" w:rsidRPr="00AB7138">
        <w:rPr>
          <w:b/>
        </w:rPr>
        <w:t>core</w:t>
      </w:r>
      <w:r w:rsidR="0053239B">
        <w:rPr>
          <w:b/>
        </w:rPr>
        <w:t xml:space="preserve"> </w:t>
      </w:r>
      <w:r w:rsidR="008C60D8" w:rsidRPr="00AB7138">
        <w:rPr>
          <w:b/>
        </w:rPr>
        <w:t>content</w:t>
      </w:r>
      <w:r w:rsidR="00200B44" w:rsidRPr="00AB7138">
        <w:rPr>
          <w:b/>
        </w:rPr>
        <w:t xml:space="preserve"> of the rights</w:t>
      </w:r>
      <w:r w:rsidR="008C60D8" w:rsidRPr="002824FE">
        <w:rPr>
          <w:b/>
        </w:rPr>
        <w:t>.</w:t>
      </w:r>
      <w:r w:rsidR="006B069D" w:rsidRPr="002824FE">
        <w:rPr>
          <w:b/>
          <w:lang w:eastAsia="en-GB"/>
        </w:rPr>
        <w:t xml:space="preserve"> </w:t>
      </w:r>
    </w:p>
    <w:p w14:paraId="1BEB49CE" w14:textId="59D6A6D4" w:rsidR="00CC2E45" w:rsidRPr="00AB7138" w:rsidRDefault="00556A05" w:rsidP="00B15056">
      <w:pPr>
        <w:pStyle w:val="SingleTxtG"/>
        <w:tabs>
          <w:tab w:val="left" w:pos="1701"/>
        </w:tabs>
        <w:rPr>
          <w:b/>
          <w:lang w:eastAsia="en-GB"/>
        </w:rPr>
      </w:pPr>
      <w:r w:rsidRPr="00AB7138">
        <w:rPr>
          <w:lang w:eastAsia="en-GB"/>
        </w:rPr>
        <w:t>9.</w:t>
      </w:r>
      <w:r w:rsidRPr="00AB7138">
        <w:rPr>
          <w:lang w:eastAsia="en-GB"/>
        </w:rPr>
        <w:tab/>
      </w:r>
      <w:r w:rsidR="00CC2E45" w:rsidRPr="00AB7138">
        <w:rPr>
          <w:lang w:eastAsia="en-GB"/>
        </w:rPr>
        <w:t xml:space="preserve">The Committee is </w:t>
      </w:r>
      <w:r w:rsidR="00CC2E45" w:rsidRPr="00AB7138">
        <w:rPr>
          <w:rFonts w:hint="eastAsia"/>
          <w:lang w:eastAsia="ko-KR"/>
        </w:rPr>
        <w:t xml:space="preserve">concerned about </w:t>
      </w:r>
      <w:r w:rsidR="00F11F8B">
        <w:rPr>
          <w:lang w:eastAsia="ko-KR"/>
        </w:rPr>
        <w:t xml:space="preserve">the </w:t>
      </w:r>
      <w:r w:rsidR="00CC2E45" w:rsidRPr="00AB7138">
        <w:rPr>
          <w:rFonts w:hint="eastAsia"/>
          <w:lang w:eastAsia="ko-KR"/>
        </w:rPr>
        <w:t xml:space="preserve">persistence of </w:t>
      </w:r>
      <w:r w:rsidR="00CC2E45" w:rsidRPr="00AB7138">
        <w:rPr>
          <w:lang w:eastAsia="en-GB"/>
        </w:rPr>
        <w:t>corruption and illicit financial flows</w:t>
      </w:r>
      <w:r w:rsidR="002F2936">
        <w:rPr>
          <w:lang w:eastAsia="en-GB"/>
        </w:rPr>
        <w:t xml:space="preserve"> in the State party</w:t>
      </w:r>
      <w:r w:rsidR="00CC2E45" w:rsidRPr="00AB7138">
        <w:rPr>
          <w:lang w:eastAsia="en-GB"/>
        </w:rPr>
        <w:t xml:space="preserve">, leading </w:t>
      </w:r>
      <w:r w:rsidR="002F2936">
        <w:rPr>
          <w:lang w:eastAsia="en-GB"/>
        </w:rPr>
        <w:t xml:space="preserve">to the </w:t>
      </w:r>
      <w:r w:rsidR="00CC2E45" w:rsidRPr="00AB7138">
        <w:rPr>
          <w:rFonts w:hint="eastAsia"/>
          <w:lang w:eastAsia="ko-KR"/>
        </w:rPr>
        <w:t xml:space="preserve">draining of resources and </w:t>
      </w:r>
      <w:r w:rsidR="00CC2E45" w:rsidRPr="00AB7138">
        <w:rPr>
          <w:lang w:eastAsia="en-GB"/>
        </w:rPr>
        <w:t xml:space="preserve">increasing </w:t>
      </w:r>
      <w:r w:rsidR="00084898">
        <w:rPr>
          <w:lang w:eastAsia="en-GB"/>
        </w:rPr>
        <w:t>inequalities</w:t>
      </w:r>
      <w:r w:rsidR="00CC2E45" w:rsidRPr="00AB7138">
        <w:rPr>
          <w:lang w:eastAsia="en-GB"/>
        </w:rPr>
        <w:t xml:space="preserve"> between </w:t>
      </w:r>
      <w:r w:rsidR="00E74400" w:rsidRPr="00A07E02">
        <w:rPr>
          <w:lang w:eastAsia="en-GB"/>
        </w:rPr>
        <w:t>geographic regions</w:t>
      </w:r>
      <w:r w:rsidR="00E74400" w:rsidRPr="002824FE">
        <w:rPr>
          <w:lang w:eastAsia="en-GB"/>
        </w:rPr>
        <w:t xml:space="preserve"> and social groups</w:t>
      </w:r>
      <w:r w:rsidR="00E74400">
        <w:rPr>
          <w:lang w:eastAsia="en-GB"/>
        </w:rPr>
        <w:t xml:space="preserve"> (art.</w:t>
      </w:r>
      <w:r w:rsidR="0053239B">
        <w:rPr>
          <w:lang w:eastAsia="en-GB"/>
        </w:rPr>
        <w:t> </w:t>
      </w:r>
      <w:r w:rsidR="00E74400">
        <w:rPr>
          <w:lang w:eastAsia="en-GB"/>
        </w:rPr>
        <w:t>2</w:t>
      </w:r>
      <w:r w:rsidR="0053239B">
        <w:rPr>
          <w:lang w:eastAsia="en-GB"/>
        </w:rPr>
        <w:t> </w:t>
      </w:r>
      <w:r w:rsidR="008B016B">
        <w:rPr>
          <w:lang w:eastAsia="en-GB"/>
        </w:rPr>
        <w:t>(</w:t>
      </w:r>
      <w:r w:rsidR="00E74400">
        <w:rPr>
          <w:lang w:eastAsia="en-GB"/>
        </w:rPr>
        <w:t>1</w:t>
      </w:r>
      <w:r w:rsidR="008B016B">
        <w:rPr>
          <w:lang w:eastAsia="en-GB"/>
        </w:rPr>
        <w:t>)</w:t>
      </w:r>
      <w:r w:rsidR="00E74400">
        <w:rPr>
          <w:lang w:eastAsia="en-GB"/>
        </w:rPr>
        <w:t>).</w:t>
      </w:r>
    </w:p>
    <w:p w14:paraId="2C7B11B2" w14:textId="6C35CFD7" w:rsidR="006B069D" w:rsidRPr="00AB7138" w:rsidRDefault="00556A05" w:rsidP="00B15056">
      <w:pPr>
        <w:pStyle w:val="SingleTxtG"/>
        <w:tabs>
          <w:tab w:val="left" w:pos="1701"/>
        </w:tabs>
        <w:rPr>
          <w:b/>
          <w:lang w:eastAsia="en-GB"/>
        </w:rPr>
      </w:pPr>
      <w:r w:rsidRPr="00AB7138">
        <w:rPr>
          <w:lang w:eastAsia="en-GB"/>
        </w:rPr>
        <w:t>10.</w:t>
      </w:r>
      <w:r w:rsidRPr="00AB7138">
        <w:rPr>
          <w:lang w:eastAsia="en-GB"/>
        </w:rPr>
        <w:tab/>
      </w:r>
      <w:r w:rsidR="00DE671F" w:rsidRPr="00AB7138">
        <w:rPr>
          <w:b/>
          <w:lang w:eastAsia="en-GB"/>
        </w:rPr>
        <w:t>T</w:t>
      </w:r>
      <w:r w:rsidR="006B069D" w:rsidRPr="00AB7138">
        <w:rPr>
          <w:b/>
          <w:lang w:eastAsia="en-GB"/>
        </w:rPr>
        <w:t>he Committee</w:t>
      </w:r>
      <w:r w:rsidR="00CC2E45" w:rsidRPr="00AB7138">
        <w:rPr>
          <w:b/>
          <w:lang w:eastAsia="en-GB"/>
        </w:rPr>
        <w:t xml:space="preserve"> </w:t>
      </w:r>
      <w:r w:rsidR="00546C52" w:rsidRPr="00AB7138">
        <w:rPr>
          <w:b/>
          <w:lang w:eastAsia="en-GB"/>
        </w:rPr>
        <w:t>urges the State party to</w:t>
      </w:r>
      <w:r w:rsidR="006B069D" w:rsidRPr="00AB7138">
        <w:rPr>
          <w:b/>
          <w:lang w:eastAsia="en-GB"/>
        </w:rPr>
        <w:t>:</w:t>
      </w:r>
    </w:p>
    <w:p w14:paraId="08629370" w14:textId="3FFC3595" w:rsidR="006B069D" w:rsidRPr="00B15056" w:rsidRDefault="0053239B" w:rsidP="00B15056">
      <w:pPr>
        <w:pStyle w:val="SingleTxtG"/>
        <w:ind w:firstLine="567"/>
        <w:rPr>
          <w:b/>
        </w:rPr>
      </w:pPr>
      <w:r>
        <w:t>(a)</w:t>
      </w:r>
      <w:r>
        <w:tab/>
      </w:r>
      <w:r w:rsidR="006B069D" w:rsidRPr="00B15056">
        <w:rPr>
          <w:b/>
        </w:rPr>
        <w:t xml:space="preserve">Intensify its efforts to combat corruption </w:t>
      </w:r>
      <w:r w:rsidR="00496D5E" w:rsidRPr="00B15056">
        <w:rPr>
          <w:b/>
        </w:rPr>
        <w:t>and illicit financial flows, as well as</w:t>
      </w:r>
      <w:r w:rsidR="006B069D" w:rsidRPr="00B15056">
        <w:rPr>
          <w:b/>
        </w:rPr>
        <w:t xml:space="preserve"> </w:t>
      </w:r>
      <w:r w:rsidR="002F2936" w:rsidRPr="00B15056">
        <w:rPr>
          <w:b/>
        </w:rPr>
        <w:t xml:space="preserve">to </w:t>
      </w:r>
      <w:r w:rsidR="006B069D" w:rsidRPr="00B15056">
        <w:rPr>
          <w:b/>
        </w:rPr>
        <w:t xml:space="preserve">reinforce good governance, by ensuring that public affairs, in law and in practice, </w:t>
      </w:r>
      <w:proofErr w:type="gramStart"/>
      <w:r w:rsidR="006B069D" w:rsidRPr="00B15056">
        <w:rPr>
          <w:b/>
        </w:rPr>
        <w:t>are conducted</w:t>
      </w:r>
      <w:proofErr w:type="gramEnd"/>
      <w:r w:rsidR="006B069D" w:rsidRPr="00B15056">
        <w:rPr>
          <w:b/>
        </w:rPr>
        <w:t xml:space="preserve"> in a transparent and accountable manner; </w:t>
      </w:r>
    </w:p>
    <w:p w14:paraId="48BEE4E3" w14:textId="49A06407" w:rsidR="006B069D" w:rsidRPr="00B15056" w:rsidRDefault="0053239B" w:rsidP="00B15056">
      <w:pPr>
        <w:pStyle w:val="SingleTxtG"/>
        <w:ind w:firstLine="567"/>
        <w:rPr>
          <w:b/>
        </w:rPr>
      </w:pPr>
      <w:r>
        <w:t>(b)</w:t>
      </w:r>
      <w:r>
        <w:tab/>
      </w:r>
      <w:r w:rsidR="006B069D" w:rsidRPr="00B15056">
        <w:rPr>
          <w:b/>
        </w:rPr>
        <w:t>Carry out awareness-raising campaigns on the economic and social costs of corruption among politicians, members of parliament, national and local government officials and the population in general</w:t>
      </w:r>
      <w:proofErr w:type="gramStart"/>
      <w:r w:rsidR="006B069D" w:rsidRPr="00B15056">
        <w:rPr>
          <w:b/>
        </w:rPr>
        <w:t>;</w:t>
      </w:r>
      <w:proofErr w:type="gramEnd"/>
    </w:p>
    <w:p w14:paraId="5E5FB0F4" w14:textId="14EB9041" w:rsidR="00892982" w:rsidRPr="00B15056" w:rsidRDefault="0053239B" w:rsidP="00B15056">
      <w:pPr>
        <w:pStyle w:val="SingleTxtG"/>
        <w:ind w:firstLine="567"/>
        <w:rPr>
          <w:b/>
        </w:rPr>
      </w:pPr>
      <w:r>
        <w:t>(c)</w:t>
      </w:r>
      <w:r>
        <w:tab/>
      </w:r>
      <w:r w:rsidR="00851904" w:rsidRPr="00B15056">
        <w:rPr>
          <w:b/>
        </w:rPr>
        <w:t xml:space="preserve">Ensure strict enforcement of its anti-corruption legislation, including the </w:t>
      </w:r>
      <w:r w:rsidR="002F2936" w:rsidRPr="00B15056">
        <w:rPr>
          <w:b/>
        </w:rPr>
        <w:t>L</w:t>
      </w:r>
      <w:r w:rsidR="00851904" w:rsidRPr="00B15056">
        <w:rPr>
          <w:b/>
        </w:rPr>
        <w:t xml:space="preserve">aw on Public Probity and the </w:t>
      </w:r>
      <w:r w:rsidR="002F2936" w:rsidRPr="00B15056">
        <w:rPr>
          <w:b/>
        </w:rPr>
        <w:t>Public</w:t>
      </w:r>
      <w:r w:rsidR="00851904" w:rsidRPr="00B15056">
        <w:rPr>
          <w:b/>
        </w:rPr>
        <w:t xml:space="preserve"> Procurement </w:t>
      </w:r>
      <w:r w:rsidR="002F2936" w:rsidRPr="00B15056">
        <w:rPr>
          <w:b/>
        </w:rPr>
        <w:t>L</w:t>
      </w:r>
      <w:r w:rsidR="00851904" w:rsidRPr="00B15056">
        <w:rPr>
          <w:b/>
        </w:rPr>
        <w:t>aw, and s</w:t>
      </w:r>
      <w:r w:rsidR="006B069D" w:rsidRPr="00B15056">
        <w:rPr>
          <w:b/>
        </w:rPr>
        <w:t xml:space="preserve">ensitize and train judges, prosecutors and the police on the need </w:t>
      </w:r>
      <w:r w:rsidR="0014419C" w:rsidRPr="00B15056">
        <w:rPr>
          <w:b/>
        </w:rPr>
        <w:t xml:space="preserve">to </w:t>
      </w:r>
      <w:r w:rsidR="00851904" w:rsidRPr="00B15056">
        <w:rPr>
          <w:b/>
        </w:rPr>
        <w:t>combat corruption</w:t>
      </w:r>
      <w:r w:rsidR="00666EFA" w:rsidRPr="00B15056">
        <w:rPr>
          <w:b/>
        </w:rPr>
        <w:t>.</w:t>
      </w:r>
    </w:p>
    <w:p w14:paraId="18146E57" w14:textId="77777777" w:rsidR="007538CA" w:rsidRPr="00AB7138" w:rsidRDefault="00666EFA" w:rsidP="00FC6FBC">
      <w:pPr>
        <w:pStyle w:val="H23G"/>
        <w:ind w:firstLine="0"/>
        <w:rPr>
          <w:lang w:eastAsia="en-GB"/>
        </w:rPr>
      </w:pPr>
      <w:r w:rsidRPr="00AB7138">
        <w:rPr>
          <w:lang w:eastAsia="en-GB"/>
        </w:rPr>
        <w:lastRenderedPageBreak/>
        <w:t>Administration of justice</w:t>
      </w:r>
    </w:p>
    <w:p w14:paraId="62D9B015" w14:textId="78714242" w:rsidR="00666EFA" w:rsidRPr="00AB7138" w:rsidRDefault="00556A05" w:rsidP="00B15056">
      <w:pPr>
        <w:pStyle w:val="SingleTxtG"/>
        <w:tabs>
          <w:tab w:val="left" w:pos="1701"/>
        </w:tabs>
      </w:pPr>
      <w:r w:rsidRPr="00AB7138">
        <w:t>11.</w:t>
      </w:r>
      <w:r w:rsidRPr="00AB7138">
        <w:tab/>
      </w:r>
      <w:r w:rsidR="00666EFA" w:rsidRPr="00AB7138">
        <w:rPr>
          <w:lang w:eastAsia="en-GB"/>
        </w:rPr>
        <w:t>While noting measures</w:t>
      </w:r>
      <w:r w:rsidR="00527569" w:rsidRPr="00AB7138">
        <w:rPr>
          <w:lang w:eastAsia="en-GB"/>
        </w:rPr>
        <w:t xml:space="preserve"> underta</w:t>
      </w:r>
      <w:r w:rsidR="007538CA" w:rsidRPr="00AB7138">
        <w:rPr>
          <w:lang w:eastAsia="en-GB"/>
        </w:rPr>
        <w:t>k</w:t>
      </w:r>
      <w:r w:rsidR="00527569" w:rsidRPr="00AB7138">
        <w:rPr>
          <w:lang w:eastAsia="en-GB"/>
        </w:rPr>
        <w:t>en</w:t>
      </w:r>
      <w:r w:rsidR="007538CA" w:rsidRPr="00AB7138">
        <w:rPr>
          <w:lang w:eastAsia="en-GB"/>
        </w:rPr>
        <w:t xml:space="preserve"> </w:t>
      </w:r>
      <w:r w:rsidR="00666EFA" w:rsidRPr="00AB7138">
        <w:rPr>
          <w:lang w:eastAsia="en-GB"/>
        </w:rPr>
        <w:t xml:space="preserve">to reform </w:t>
      </w:r>
      <w:r w:rsidR="007538CA" w:rsidRPr="00AB7138">
        <w:rPr>
          <w:lang w:eastAsia="en-GB"/>
        </w:rPr>
        <w:t xml:space="preserve">the </w:t>
      </w:r>
      <w:r w:rsidR="00666EFA" w:rsidRPr="00AB7138">
        <w:rPr>
          <w:lang w:eastAsia="en-GB"/>
        </w:rPr>
        <w:t>ju</w:t>
      </w:r>
      <w:r w:rsidR="007538CA" w:rsidRPr="00AB7138">
        <w:rPr>
          <w:lang w:eastAsia="en-GB"/>
        </w:rPr>
        <w:t>diciary</w:t>
      </w:r>
      <w:r w:rsidR="00013524" w:rsidRPr="00AB7138">
        <w:rPr>
          <w:lang w:eastAsia="en-GB"/>
        </w:rPr>
        <w:t>, the Committee remains concerned</w:t>
      </w:r>
      <w:r w:rsidR="00666EFA" w:rsidRPr="00AB7138">
        <w:rPr>
          <w:lang w:eastAsia="en-GB"/>
        </w:rPr>
        <w:t xml:space="preserve"> about persisting shortcomings in the administration of jus</w:t>
      </w:r>
      <w:r w:rsidR="00810FE6" w:rsidRPr="00AB7138">
        <w:rPr>
          <w:lang w:eastAsia="en-GB"/>
        </w:rPr>
        <w:t>tice</w:t>
      </w:r>
      <w:r w:rsidR="00CA4F8D">
        <w:rPr>
          <w:lang w:eastAsia="en-GB"/>
        </w:rPr>
        <w:t>, particularly with regard to the independence of the judiciary</w:t>
      </w:r>
      <w:r w:rsidR="002F2936">
        <w:rPr>
          <w:lang w:eastAsia="en-GB"/>
        </w:rPr>
        <w:t xml:space="preserve"> and</w:t>
      </w:r>
      <w:r w:rsidR="00CA4F8D">
        <w:rPr>
          <w:lang w:eastAsia="en-GB"/>
        </w:rPr>
        <w:t xml:space="preserve"> </w:t>
      </w:r>
      <w:r w:rsidR="002F2936">
        <w:rPr>
          <w:lang w:eastAsia="en-GB"/>
        </w:rPr>
        <w:t xml:space="preserve">the </w:t>
      </w:r>
      <w:r w:rsidR="00CA4F8D">
        <w:rPr>
          <w:lang w:eastAsia="en-GB"/>
        </w:rPr>
        <w:t>availability of adequate resources</w:t>
      </w:r>
      <w:r w:rsidR="002F2936">
        <w:rPr>
          <w:lang w:eastAsia="en-GB"/>
        </w:rPr>
        <w:t>,</w:t>
      </w:r>
      <w:r w:rsidR="00851904">
        <w:rPr>
          <w:lang w:eastAsia="en-GB"/>
        </w:rPr>
        <w:t xml:space="preserve"> as well as </w:t>
      </w:r>
      <w:r w:rsidR="00CA4F8D">
        <w:rPr>
          <w:lang w:eastAsia="en-GB"/>
        </w:rPr>
        <w:t>legal aid and capacity</w:t>
      </w:r>
      <w:r w:rsidR="002F2936">
        <w:rPr>
          <w:lang w:eastAsia="en-GB"/>
        </w:rPr>
        <w:t>-</w:t>
      </w:r>
      <w:r w:rsidR="00CA4F8D">
        <w:rPr>
          <w:lang w:eastAsia="en-GB"/>
        </w:rPr>
        <w:t>building</w:t>
      </w:r>
      <w:r w:rsidR="00666EFA" w:rsidRPr="00AB7138">
        <w:rPr>
          <w:lang w:eastAsia="en-GB"/>
        </w:rPr>
        <w:t>.</w:t>
      </w:r>
      <w:r w:rsidR="007538CA" w:rsidRPr="00AB7138">
        <w:rPr>
          <w:lang w:eastAsia="en-GB"/>
        </w:rPr>
        <w:t xml:space="preserve"> </w:t>
      </w:r>
      <w:r w:rsidR="0073354E" w:rsidRPr="00AB7138">
        <w:t>The Committee is also concerned that the State party, together with the other members of th</w:t>
      </w:r>
      <w:r w:rsidR="00851904">
        <w:t>e</w:t>
      </w:r>
      <w:r w:rsidR="0073354E" w:rsidRPr="00AB7138">
        <w:t xml:space="preserve"> </w:t>
      </w:r>
      <w:r w:rsidR="00851904">
        <w:t xml:space="preserve">Southern African </w:t>
      </w:r>
      <w:r w:rsidR="002F2936">
        <w:t xml:space="preserve">Development </w:t>
      </w:r>
      <w:r w:rsidR="0073354E" w:rsidRPr="00AB7138">
        <w:t xml:space="preserve">Community, </w:t>
      </w:r>
      <w:r w:rsidR="002F2936">
        <w:t xml:space="preserve">has </w:t>
      </w:r>
      <w:r w:rsidR="0073354E" w:rsidRPr="00AB7138">
        <w:t>removed the right of access of natural and legal person</w:t>
      </w:r>
      <w:r w:rsidR="002908D5" w:rsidRPr="00AB7138">
        <w:t xml:space="preserve">s to the </w:t>
      </w:r>
      <w:r w:rsidR="00851904" w:rsidRPr="00AB7138">
        <w:t xml:space="preserve">Southern African Development Community </w:t>
      </w:r>
      <w:r w:rsidR="002908D5" w:rsidRPr="00AB7138">
        <w:t>Tribunal (art.</w:t>
      </w:r>
      <w:r w:rsidR="0053239B">
        <w:t> </w:t>
      </w:r>
      <w:r w:rsidR="002908D5" w:rsidRPr="00AB7138">
        <w:t>2</w:t>
      </w:r>
      <w:r w:rsidR="0053239B">
        <w:t> </w:t>
      </w:r>
      <w:r w:rsidR="002908D5" w:rsidRPr="00AB7138">
        <w:t>(1)).</w:t>
      </w:r>
    </w:p>
    <w:p w14:paraId="54450379" w14:textId="7DC8C026" w:rsidR="00666EFA" w:rsidRPr="00AB7138" w:rsidRDefault="00556A05" w:rsidP="00B15056">
      <w:pPr>
        <w:pStyle w:val="SingleTxtG"/>
        <w:tabs>
          <w:tab w:val="left" w:pos="1701"/>
        </w:tabs>
        <w:rPr>
          <w:b/>
          <w:lang w:eastAsia="en-GB"/>
        </w:rPr>
      </w:pPr>
      <w:r w:rsidRPr="00AB7138">
        <w:rPr>
          <w:lang w:eastAsia="en-GB"/>
        </w:rPr>
        <w:t>12.</w:t>
      </w:r>
      <w:r w:rsidRPr="00AB7138">
        <w:rPr>
          <w:lang w:eastAsia="en-GB"/>
        </w:rPr>
        <w:tab/>
      </w:r>
      <w:r w:rsidR="00666EFA" w:rsidRPr="00AB7138">
        <w:rPr>
          <w:b/>
          <w:lang w:eastAsia="en-GB"/>
        </w:rPr>
        <w:t xml:space="preserve">The Committee </w:t>
      </w:r>
      <w:r w:rsidR="00C54BEF" w:rsidRPr="00AB7138">
        <w:rPr>
          <w:b/>
          <w:lang w:eastAsia="en-GB"/>
        </w:rPr>
        <w:t>r</w:t>
      </w:r>
      <w:r w:rsidR="00C54BEF">
        <w:rPr>
          <w:b/>
          <w:lang w:eastAsia="en-GB"/>
        </w:rPr>
        <w:t>eiterates</w:t>
      </w:r>
      <w:r w:rsidR="00CA4F8D">
        <w:rPr>
          <w:b/>
          <w:lang w:eastAsia="en-GB"/>
        </w:rPr>
        <w:t xml:space="preserve"> its recommendation</w:t>
      </w:r>
      <w:r w:rsidR="00666EFA" w:rsidRPr="00AB7138">
        <w:rPr>
          <w:b/>
          <w:lang w:eastAsia="en-GB"/>
        </w:rPr>
        <w:t xml:space="preserve"> that the State party intensi</w:t>
      </w:r>
      <w:r w:rsidR="008C60D8" w:rsidRPr="00AB7138">
        <w:rPr>
          <w:b/>
          <w:lang w:eastAsia="en-GB"/>
        </w:rPr>
        <w:t xml:space="preserve">fy its efforts </w:t>
      </w:r>
      <w:r w:rsidR="00E41090" w:rsidRPr="00AB7138">
        <w:rPr>
          <w:b/>
          <w:lang w:eastAsia="en-GB"/>
        </w:rPr>
        <w:t>to improve</w:t>
      </w:r>
      <w:r w:rsidR="008C60D8" w:rsidRPr="00AB7138">
        <w:rPr>
          <w:b/>
          <w:lang w:eastAsia="en-GB"/>
        </w:rPr>
        <w:t xml:space="preserve"> the administration of justice</w:t>
      </w:r>
      <w:r w:rsidR="00810FE6" w:rsidRPr="00AB7138">
        <w:rPr>
          <w:b/>
          <w:lang w:eastAsia="en-GB"/>
        </w:rPr>
        <w:t xml:space="preserve">, in particular regarding access to justice, independence of the judiciary, availability of legal aid, resources </w:t>
      </w:r>
      <w:r w:rsidR="00E41090" w:rsidRPr="00AB7138">
        <w:rPr>
          <w:b/>
          <w:lang w:eastAsia="en-GB"/>
        </w:rPr>
        <w:t xml:space="preserve">allocated </w:t>
      </w:r>
      <w:r w:rsidR="00810FE6" w:rsidRPr="00AB7138">
        <w:rPr>
          <w:b/>
          <w:lang w:eastAsia="en-GB"/>
        </w:rPr>
        <w:t>to the justice system</w:t>
      </w:r>
      <w:r w:rsidR="00851904">
        <w:rPr>
          <w:b/>
          <w:lang w:eastAsia="en-GB"/>
        </w:rPr>
        <w:t xml:space="preserve"> and capacity</w:t>
      </w:r>
      <w:r w:rsidR="00053ABF">
        <w:rPr>
          <w:b/>
          <w:lang w:eastAsia="en-GB"/>
        </w:rPr>
        <w:t>-</w:t>
      </w:r>
      <w:r w:rsidR="00851904">
        <w:rPr>
          <w:b/>
          <w:lang w:eastAsia="en-GB"/>
        </w:rPr>
        <w:t>building</w:t>
      </w:r>
      <w:r w:rsidR="008C60D8" w:rsidRPr="00AB7138">
        <w:rPr>
          <w:b/>
          <w:lang w:eastAsia="en-GB"/>
        </w:rPr>
        <w:t xml:space="preserve">. </w:t>
      </w:r>
      <w:proofErr w:type="gramStart"/>
      <w:r w:rsidR="0073354E" w:rsidRPr="00AB7138">
        <w:rPr>
          <w:b/>
          <w:lang w:eastAsia="en-GB"/>
        </w:rPr>
        <w:t>The Committee also recommends that</w:t>
      </w:r>
      <w:r w:rsidR="0073354E" w:rsidRPr="00AB7138">
        <w:rPr>
          <w:b/>
          <w:bCs/>
        </w:rPr>
        <w:t xml:space="preserve"> the State party reconsider its position and take the initiative </w:t>
      </w:r>
      <w:r w:rsidR="00E41090" w:rsidRPr="00AB7138">
        <w:rPr>
          <w:b/>
          <w:bCs/>
        </w:rPr>
        <w:t xml:space="preserve">of </w:t>
      </w:r>
      <w:r w:rsidR="0073354E" w:rsidRPr="00AB7138">
        <w:rPr>
          <w:b/>
          <w:bCs/>
        </w:rPr>
        <w:t xml:space="preserve">promoting the reinstatement of the right of access of natural and legal persons to the </w:t>
      </w:r>
      <w:r w:rsidR="00053ABF" w:rsidRPr="00AB7138">
        <w:rPr>
          <w:b/>
          <w:bCs/>
        </w:rPr>
        <w:t xml:space="preserve">Southern African Development Community </w:t>
      </w:r>
      <w:r w:rsidR="0073354E" w:rsidRPr="00AB7138">
        <w:rPr>
          <w:b/>
          <w:bCs/>
        </w:rPr>
        <w:t>Tribunal</w:t>
      </w:r>
      <w:r w:rsidR="00901FE3" w:rsidRPr="00AB7138">
        <w:rPr>
          <w:b/>
        </w:rPr>
        <w:t>,</w:t>
      </w:r>
      <w:r w:rsidR="0073354E" w:rsidRPr="00AB7138">
        <w:rPr>
          <w:b/>
          <w:bCs/>
        </w:rPr>
        <w:t xml:space="preserve"> with a view to providing the citizens of the member States of the Community </w:t>
      </w:r>
      <w:r w:rsidR="008B016B">
        <w:rPr>
          <w:b/>
          <w:bCs/>
        </w:rPr>
        <w:t xml:space="preserve">with </w:t>
      </w:r>
      <w:r w:rsidR="0073354E" w:rsidRPr="00AB7138">
        <w:rPr>
          <w:b/>
          <w:bCs/>
        </w:rPr>
        <w:t xml:space="preserve">the right </w:t>
      </w:r>
      <w:r w:rsidR="00E74400">
        <w:rPr>
          <w:b/>
          <w:bCs/>
        </w:rPr>
        <w:t xml:space="preserve">to </w:t>
      </w:r>
      <w:r w:rsidR="00CA4F8D">
        <w:rPr>
          <w:b/>
          <w:bCs/>
        </w:rPr>
        <w:t>assert</w:t>
      </w:r>
      <w:r w:rsidR="0073354E" w:rsidRPr="00AB7138">
        <w:rPr>
          <w:b/>
          <w:bCs/>
        </w:rPr>
        <w:t xml:space="preserve"> their human rights, including economic, social and cultural rights.</w:t>
      </w:r>
      <w:proofErr w:type="gramEnd"/>
    </w:p>
    <w:p w14:paraId="76A31DBC" w14:textId="77777777" w:rsidR="00442080" w:rsidRPr="00AB7138" w:rsidRDefault="00442080" w:rsidP="00FC6FBC">
      <w:pPr>
        <w:pStyle w:val="H23G"/>
        <w:ind w:firstLine="0"/>
        <w:rPr>
          <w:lang w:eastAsia="en-GB"/>
        </w:rPr>
      </w:pPr>
      <w:r w:rsidRPr="00AB7138">
        <w:rPr>
          <w:lang w:eastAsia="en-GB"/>
        </w:rPr>
        <w:t>National human rights institution</w:t>
      </w:r>
    </w:p>
    <w:p w14:paraId="6AB89AE6" w14:textId="23DA0399" w:rsidR="00C02DDE" w:rsidRPr="00AB7138" w:rsidRDefault="00556A05" w:rsidP="00B15056">
      <w:pPr>
        <w:pStyle w:val="SingleTxtG"/>
        <w:tabs>
          <w:tab w:val="left" w:pos="1701"/>
        </w:tabs>
        <w:rPr>
          <w:lang w:eastAsia="en-GB"/>
        </w:rPr>
      </w:pPr>
      <w:r w:rsidRPr="00AB7138">
        <w:rPr>
          <w:lang w:eastAsia="en-GB"/>
        </w:rPr>
        <w:t>13.</w:t>
      </w:r>
      <w:r w:rsidRPr="00AB7138">
        <w:rPr>
          <w:lang w:eastAsia="en-GB"/>
        </w:rPr>
        <w:tab/>
      </w:r>
      <w:r w:rsidR="002A61B9" w:rsidRPr="00AB7138">
        <w:rPr>
          <w:lang w:eastAsia="en-GB"/>
        </w:rPr>
        <w:t xml:space="preserve">The Committee </w:t>
      </w:r>
      <w:r w:rsidR="00C02DDE" w:rsidRPr="00AB7138">
        <w:rPr>
          <w:lang w:eastAsia="en-GB"/>
        </w:rPr>
        <w:t xml:space="preserve">is concerned </w:t>
      </w:r>
      <w:r w:rsidR="00B72C36" w:rsidRPr="00AB7138">
        <w:rPr>
          <w:lang w:eastAsia="en-GB"/>
        </w:rPr>
        <w:t>that there is still no</w:t>
      </w:r>
      <w:r w:rsidR="00B72C36" w:rsidRPr="002824FE">
        <w:rPr>
          <w:lang w:eastAsia="en-GB"/>
        </w:rPr>
        <w:t xml:space="preserve"> </w:t>
      </w:r>
      <w:r w:rsidR="00C02DDE" w:rsidRPr="00AB7138">
        <w:rPr>
          <w:lang w:eastAsia="en-GB"/>
        </w:rPr>
        <w:t xml:space="preserve">national human rights institution </w:t>
      </w:r>
      <w:r w:rsidR="005107DB" w:rsidRPr="00AB7138">
        <w:rPr>
          <w:lang w:eastAsia="en-GB"/>
        </w:rPr>
        <w:t xml:space="preserve">in the State party </w:t>
      </w:r>
      <w:r w:rsidR="00C02DDE" w:rsidRPr="00AB7138">
        <w:rPr>
          <w:lang w:eastAsia="en-GB"/>
        </w:rPr>
        <w:t xml:space="preserve">that is compliant with the </w:t>
      </w:r>
      <w:r w:rsidR="00053ABF">
        <w:rPr>
          <w:lang w:eastAsia="en-GB"/>
        </w:rPr>
        <w:t>principles relating to the status of national institutions for the promotion and protection of human rights (</w:t>
      </w:r>
      <w:r w:rsidR="00831484">
        <w:rPr>
          <w:lang w:eastAsia="en-GB"/>
        </w:rPr>
        <w:t xml:space="preserve">the </w:t>
      </w:r>
      <w:r w:rsidR="00C02DDE" w:rsidRPr="00AB7138">
        <w:rPr>
          <w:lang w:eastAsia="en-GB"/>
        </w:rPr>
        <w:t>Paris Principles</w:t>
      </w:r>
      <w:r w:rsidR="00053ABF">
        <w:rPr>
          <w:lang w:eastAsia="en-GB"/>
        </w:rPr>
        <w:t>)</w:t>
      </w:r>
      <w:r w:rsidR="00C02DDE" w:rsidRPr="00AB7138">
        <w:rPr>
          <w:lang w:eastAsia="en-GB"/>
        </w:rPr>
        <w:t xml:space="preserve">, </w:t>
      </w:r>
      <w:r w:rsidR="00B72C36" w:rsidRPr="00AB7138">
        <w:rPr>
          <w:lang w:eastAsia="en-GB"/>
        </w:rPr>
        <w:t>as well as</w:t>
      </w:r>
      <w:r w:rsidR="00B72C36" w:rsidRPr="002824FE">
        <w:rPr>
          <w:lang w:eastAsia="en-GB"/>
        </w:rPr>
        <w:t xml:space="preserve"> </w:t>
      </w:r>
      <w:r w:rsidR="00C02DDE" w:rsidRPr="002824FE">
        <w:rPr>
          <w:lang w:eastAsia="en-GB"/>
        </w:rPr>
        <w:t xml:space="preserve">about the </w:t>
      </w:r>
      <w:r w:rsidR="005107DB" w:rsidRPr="00AB7138">
        <w:rPr>
          <w:lang w:eastAsia="en-GB"/>
        </w:rPr>
        <w:t>limited independence</w:t>
      </w:r>
      <w:r w:rsidR="00C02DDE" w:rsidRPr="00AB7138">
        <w:rPr>
          <w:lang w:eastAsia="en-GB"/>
        </w:rPr>
        <w:t xml:space="preserve"> of, and </w:t>
      </w:r>
      <w:r w:rsidR="005107DB" w:rsidRPr="00AB7138">
        <w:rPr>
          <w:lang w:eastAsia="en-GB"/>
        </w:rPr>
        <w:t xml:space="preserve">inadequate </w:t>
      </w:r>
      <w:r w:rsidR="00C02DDE" w:rsidRPr="00AB7138">
        <w:rPr>
          <w:lang w:eastAsia="en-GB"/>
        </w:rPr>
        <w:t>financial resources allocated to, the Ombudsman</w:t>
      </w:r>
      <w:r w:rsidR="00053ABF">
        <w:rPr>
          <w:lang w:eastAsia="en-GB"/>
        </w:rPr>
        <w:t>’s</w:t>
      </w:r>
      <w:r w:rsidR="00C02DDE" w:rsidRPr="00AB7138">
        <w:rPr>
          <w:lang w:eastAsia="en-GB"/>
        </w:rPr>
        <w:t xml:space="preserve"> Office.</w:t>
      </w:r>
    </w:p>
    <w:p w14:paraId="471B4F15" w14:textId="1D92CD48" w:rsidR="002A61B9" w:rsidRPr="00AB7138" w:rsidRDefault="00556A05" w:rsidP="00B15056">
      <w:pPr>
        <w:pStyle w:val="SingleTxtG"/>
        <w:tabs>
          <w:tab w:val="left" w:pos="1701"/>
        </w:tabs>
        <w:rPr>
          <w:b/>
          <w:lang w:eastAsia="en-GB"/>
        </w:rPr>
      </w:pPr>
      <w:r w:rsidRPr="00AB7138">
        <w:rPr>
          <w:lang w:eastAsia="en-GB"/>
        </w:rPr>
        <w:t>14.</w:t>
      </w:r>
      <w:r w:rsidRPr="00AB7138">
        <w:rPr>
          <w:lang w:eastAsia="en-GB"/>
        </w:rPr>
        <w:tab/>
      </w:r>
      <w:r w:rsidR="00C02DDE" w:rsidRPr="00AB7138">
        <w:rPr>
          <w:b/>
          <w:lang w:eastAsia="en-GB"/>
        </w:rPr>
        <w:t>The Committ</w:t>
      </w:r>
      <w:r w:rsidR="002C7840" w:rsidRPr="00AB7138">
        <w:rPr>
          <w:b/>
          <w:lang w:eastAsia="en-GB"/>
        </w:rPr>
        <w:t>ee recommend</w:t>
      </w:r>
      <w:r w:rsidR="00333F2B" w:rsidRPr="00AB7138">
        <w:rPr>
          <w:b/>
          <w:lang w:eastAsia="en-GB"/>
        </w:rPr>
        <w:t>s that the State party</w:t>
      </w:r>
      <w:r w:rsidR="002C7840" w:rsidRPr="00AB7138">
        <w:rPr>
          <w:b/>
          <w:lang w:eastAsia="en-GB"/>
        </w:rPr>
        <w:t xml:space="preserve"> pursue its intention</w:t>
      </w:r>
      <w:r w:rsidR="00CC5963" w:rsidRPr="00AB7138">
        <w:rPr>
          <w:b/>
          <w:lang w:eastAsia="en-GB"/>
        </w:rPr>
        <w:t>,</w:t>
      </w:r>
      <w:r w:rsidR="002C7840" w:rsidRPr="00AB7138">
        <w:rPr>
          <w:b/>
          <w:lang w:eastAsia="en-GB"/>
        </w:rPr>
        <w:t xml:space="preserve"> as </w:t>
      </w:r>
      <w:r w:rsidR="00053ABF">
        <w:rPr>
          <w:b/>
          <w:lang w:eastAsia="en-GB"/>
        </w:rPr>
        <w:t>expressed</w:t>
      </w:r>
      <w:r w:rsidR="00053ABF" w:rsidRPr="00AB7138">
        <w:rPr>
          <w:b/>
          <w:lang w:eastAsia="en-GB"/>
        </w:rPr>
        <w:t xml:space="preserve"> </w:t>
      </w:r>
      <w:r w:rsidR="002C7840" w:rsidRPr="00AB7138">
        <w:rPr>
          <w:b/>
          <w:lang w:eastAsia="en-GB"/>
        </w:rPr>
        <w:t>during the dialogue</w:t>
      </w:r>
      <w:r w:rsidR="00CC5963" w:rsidRPr="00AB7138">
        <w:rPr>
          <w:b/>
          <w:lang w:eastAsia="en-GB"/>
        </w:rPr>
        <w:t>,</w:t>
      </w:r>
      <w:r w:rsidR="002C7840" w:rsidRPr="00AB7138">
        <w:rPr>
          <w:b/>
          <w:lang w:eastAsia="en-GB"/>
        </w:rPr>
        <w:t xml:space="preserve"> </w:t>
      </w:r>
      <w:r w:rsidR="005107DB" w:rsidRPr="002824FE">
        <w:rPr>
          <w:b/>
          <w:lang w:eastAsia="en-GB"/>
        </w:rPr>
        <w:t>to bring the Ombudsman</w:t>
      </w:r>
      <w:r w:rsidR="008B016B">
        <w:rPr>
          <w:b/>
          <w:lang w:eastAsia="en-GB"/>
        </w:rPr>
        <w:t>’s</w:t>
      </w:r>
      <w:r w:rsidR="005107DB" w:rsidRPr="002824FE">
        <w:rPr>
          <w:b/>
          <w:lang w:eastAsia="en-GB"/>
        </w:rPr>
        <w:t xml:space="preserve"> Office in</w:t>
      </w:r>
      <w:r w:rsidR="00053ABF">
        <w:rPr>
          <w:b/>
          <w:lang w:eastAsia="en-GB"/>
        </w:rPr>
        <w:t>to</w:t>
      </w:r>
      <w:r w:rsidR="005107DB" w:rsidRPr="002824FE">
        <w:rPr>
          <w:b/>
          <w:lang w:eastAsia="en-GB"/>
        </w:rPr>
        <w:t xml:space="preserve"> line with</w:t>
      </w:r>
      <w:r w:rsidR="00333F2B" w:rsidRPr="00AB7138">
        <w:rPr>
          <w:b/>
          <w:lang w:eastAsia="en-GB"/>
        </w:rPr>
        <w:t xml:space="preserve"> the Paris Principles</w:t>
      </w:r>
      <w:r w:rsidR="00496D5E" w:rsidRPr="00AB7138">
        <w:rPr>
          <w:b/>
          <w:lang w:eastAsia="en-GB"/>
        </w:rPr>
        <w:t>,</w:t>
      </w:r>
      <w:r w:rsidR="00EA255D" w:rsidRPr="00AB7138">
        <w:rPr>
          <w:b/>
          <w:lang w:eastAsia="en-GB"/>
        </w:rPr>
        <w:t xml:space="preserve"> </w:t>
      </w:r>
      <w:r w:rsidR="00333F2B" w:rsidRPr="00AB7138">
        <w:rPr>
          <w:b/>
          <w:lang w:eastAsia="en-GB"/>
        </w:rPr>
        <w:t>ensur</w:t>
      </w:r>
      <w:r w:rsidR="00EA255D" w:rsidRPr="00AB7138">
        <w:rPr>
          <w:b/>
          <w:lang w:eastAsia="en-GB"/>
        </w:rPr>
        <w:t>ing</w:t>
      </w:r>
      <w:r w:rsidR="00333F2B" w:rsidRPr="00AB7138">
        <w:rPr>
          <w:b/>
          <w:lang w:eastAsia="en-GB"/>
        </w:rPr>
        <w:t xml:space="preserve"> that due attention is given to economic, social and cultural rights in its mandate</w:t>
      </w:r>
      <w:r w:rsidR="00042C5C">
        <w:rPr>
          <w:b/>
          <w:lang w:eastAsia="en-GB"/>
        </w:rPr>
        <w:t>, and</w:t>
      </w:r>
      <w:r w:rsidR="00333F2B" w:rsidRPr="00AB7138">
        <w:rPr>
          <w:b/>
          <w:lang w:eastAsia="en-GB"/>
        </w:rPr>
        <w:t xml:space="preserve"> that the Ombudsman</w:t>
      </w:r>
      <w:r w:rsidR="008B016B">
        <w:rPr>
          <w:b/>
          <w:lang w:eastAsia="en-GB"/>
        </w:rPr>
        <w:t>’s</w:t>
      </w:r>
      <w:r w:rsidR="00333F2B" w:rsidRPr="00AB7138">
        <w:rPr>
          <w:b/>
          <w:lang w:eastAsia="en-GB"/>
        </w:rPr>
        <w:t xml:space="preserve"> Office </w:t>
      </w:r>
      <w:r w:rsidR="00042C5C">
        <w:rPr>
          <w:b/>
          <w:lang w:eastAsia="en-GB"/>
        </w:rPr>
        <w:t>be given</w:t>
      </w:r>
      <w:r w:rsidR="00042C5C" w:rsidRPr="00AB7138">
        <w:rPr>
          <w:b/>
          <w:lang w:eastAsia="en-GB"/>
        </w:rPr>
        <w:t xml:space="preserve"> </w:t>
      </w:r>
      <w:r w:rsidR="00333F2B" w:rsidRPr="00AB7138">
        <w:rPr>
          <w:b/>
          <w:lang w:eastAsia="en-GB"/>
        </w:rPr>
        <w:t xml:space="preserve">the necessary </w:t>
      </w:r>
      <w:r w:rsidR="00496D5E" w:rsidRPr="00AB7138">
        <w:rPr>
          <w:b/>
          <w:lang w:eastAsia="en-GB"/>
        </w:rPr>
        <w:t xml:space="preserve">human and technical </w:t>
      </w:r>
      <w:r w:rsidR="00333F2B" w:rsidRPr="00AB7138">
        <w:rPr>
          <w:b/>
          <w:lang w:eastAsia="en-GB"/>
        </w:rPr>
        <w:t xml:space="preserve">resources to fulfil its mandate. The Committee invites the State party to continue seeking the support of the Office of the United Nations High Commissioner for Human Rights in this </w:t>
      </w:r>
      <w:r w:rsidR="0056033A" w:rsidRPr="00AB7138">
        <w:rPr>
          <w:b/>
          <w:lang w:eastAsia="en-GB"/>
        </w:rPr>
        <w:t>regard</w:t>
      </w:r>
      <w:r w:rsidR="00333F2B" w:rsidRPr="00AB7138">
        <w:rPr>
          <w:b/>
          <w:lang w:eastAsia="en-GB"/>
        </w:rPr>
        <w:t>.</w:t>
      </w:r>
    </w:p>
    <w:p w14:paraId="7DB5B72F" w14:textId="77777777" w:rsidR="007841D1" w:rsidRPr="00AB7138" w:rsidRDefault="007841D1" w:rsidP="00FC6FBC">
      <w:pPr>
        <w:pStyle w:val="H23G"/>
        <w:ind w:firstLine="0"/>
        <w:rPr>
          <w:lang w:eastAsia="en-GB"/>
        </w:rPr>
      </w:pPr>
      <w:r w:rsidRPr="00AB7138">
        <w:rPr>
          <w:lang w:eastAsia="en-GB"/>
        </w:rPr>
        <w:t>Data collection</w:t>
      </w:r>
    </w:p>
    <w:p w14:paraId="3F418F1E" w14:textId="0EFD1171" w:rsidR="00AE7000" w:rsidRPr="002824FE" w:rsidRDefault="00556A05" w:rsidP="00B15056">
      <w:pPr>
        <w:pStyle w:val="SingleTxtG"/>
        <w:tabs>
          <w:tab w:val="left" w:pos="1701"/>
        </w:tabs>
        <w:rPr>
          <w:lang w:eastAsia="en-GB"/>
        </w:rPr>
      </w:pPr>
      <w:r w:rsidRPr="002824FE">
        <w:rPr>
          <w:lang w:eastAsia="en-GB"/>
        </w:rPr>
        <w:t>15.</w:t>
      </w:r>
      <w:r w:rsidRPr="002824FE">
        <w:rPr>
          <w:lang w:eastAsia="en-GB"/>
        </w:rPr>
        <w:tab/>
      </w:r>
      <w:r w:rsidR="00770282" w:rsidRPr="00AB7138">
        <w:rPr>
          <w:lang w:eastAsia="en-GB"/>
        </w:rPr>
        <w:t>The Committee welcomes</w:t>
      </w:r>
      <w:r w:rsidR="007841D1" w:rsidRPr="00AB7138">
        <w:rPr>
          <w:lang w:eastAsia="en-GB"/>
        </w:rPr>
        <w:t xml:space="preserve"> the fact that a </w:t>
      </w:r>
      <w:r w:rsidR="00810FE6" w:rsidRPr="00AB7138">
        <w:rPr>
          <w:lang w:eastAsia="en-GB"/>
        </w:rPr>
        <w:t xml:space="preserve">population </w:t>
      </w:r>
      <w:r w:rsidR="007841D1" w:rsidRPr="00AB7138">
        <w:rPr>
          <w:lang w:eastAsia="en-GB"/>
        </w:rPr>
        <w:t xml:space="preserve">census was carried out in 2014 as well as </w:t>
      </w:r>
      <w:r w:rsidR="0056033A" w:rsidRPr="00AB7138">
        <w:rPr>
          <w:lang w:eastAsia="en-GB"/>
        </w:rPr>
        <w:t xml:space="preserve">State party’s </w:t>
      </w:r>
      <w:r w:rsidR="007841D1" w:rsidRPr="00AB7138">
        <w:rPr>
          <w:lang w:eastAsia="en-GB"/>
        </w:rPr>
        <w:t>efforts to collect disa</w:t>
      </w:r>
      <w:r w:rsidR="00770282" w:rsidRPr="00AB7138">
        <w:rPr>
          <w:lang w:eastAsia="en-GB"/>
        </w:rPr>
        <w:t>ggregated data</w:t>
      </w:r>
      <w:r w:rsidR="00042C5C">
        <w:rPr>
          <w:lang w:eastAsia="en-GB"/>
        </w:rPr>
        <w:t>,</w:t>
      </w:r>
      <w:r w:rsidR="00770282" w:rsidRPr="00AB7138">
        <w:rPr>
          <w:lang w:eastAsia="en-GB"/>
        </w:rPr>
        <w:t xml:space="preserve"> </w:t>
      </w:r>
      <w:r w:rsidR="0056033A" w:rsidRPr="00AB7138">
        <w:rPr>
          <w:lang w:eastAsia="en-GB"/>
        </w:rPr>
        <w:t>among others</w:t>
      </w:r>
      <w:r w:rsidR="00042C5C">
        <w:rPr>
          <w:lang w:eastAsia="en-GB"/>
        </w:rPr>
        <w:t>,</w:t>
      </w:r>
      <w:r w:rsidR="0056033A" w:rsidRPr="00AB7138">
        <w:rPr>
          <w:lang w:eastAsia="en-GB"/>
        </w:rPr>
        <w:t xml:space="preserve"> </w:t>
      </w:r>
      <w:proofErr w:type="gramStart"/>
      <w:r w:rsidR="00770282" w:rsidRPr="00AB7138">
        <w:rPr>
          <w:lang w:eastAsia="en-GB"/>
        </w:rPr>
        <w:t xml:space="preserve">on </w:t>
      </w:r>
      <w:r w:rsidR="000C3218">
        <w:rPr>
          <w:lang w:eastAsia="en-GB"/>
        </w:rPr>
        <w:t>the basis of</w:t>
      </w:r>
      <w:proofErr w:type="gramEnd"/>
      <w:r w:rsidR="000C3218">
        <w:rPr>
          <w:lang w:eastAsia="en-GB"/>
        </w:rPr>
        <w:t xml:space="preserve"> </w:t>
      </w:r>
      <w:r w:rsidR="00770282" w:rsidRPr="00AB7138">
        <w:rPr>
          <w:lang w:eastAsia="en-GB"/>
        </w:rPr>
        <w:t xml:space="preserve">household surveys. It </w:t>
      </w:r>
      <w:r w:rsidR="00EB4B9C" w:rsidRPr="00AB7138">
        <w:rPr>
          <w:lang w:eastAsia="en-GB"/>
        </w:rPr>
        <w:t>is</w:t>
      </w:r>
      <w:r w:rsidR="00496D5E" w:rsidRPr="00AB7138">
        <w:rPr>
          <w:lang w:eastAsia="en-GB"/>
        </w:rPr>
        <w:t xml:space="preserve"> concern</w:t>
      </w:r>
      <w:r w:rsidR="00EB4B9C" w:rsidRPr="00AB7138">
        <w:rPr>
          <w:lang w:eastAsia="en-GB"/>
        </w:rPr>
        <w:t>ed, however,</w:t>
      </w:r>
      <w:r w:rsidR="00496D5E" w:rsidRPr="00AB7138">
        <w:rPr>
          <w:lang w:eastAsia="en-GB"/>
        </w:rPr>
        <w:t xml:space="preserve"> that the S</w:t>
      </w:r>
      <w:r w:rsidR="00AE7000" w:rsidRPr="00AB7138">
        <w:rPr>
          <w:lang w:eastAsia="en-GB"/>
        </w:rPr>
        <w:t>tate party has not provided sufficient</w:t>
      </w:r>
      <w:r w:rsidR="00496D5E" w:rsidRPr="00AB7138">
        <w:rPr>
          <w:lang w:eastAsia="en-GB"/>
        </w:rPr>
        <w:t>ly</w:t>
      </w:r>
      <w:r w:rsidR="00AE7000" w:rsidRPr="00AB7138">
        <w:rPr>
          <w:lang w:eastAsia="en-GB"/>
        </w:rPr>
        <w:t xml:space="preserve"> disaggregated and detailed data in its report or its </w:t>
      </w:r>
      <w:r w:rsidR="00770282" w:rsidRPr="00AB7138">
        <w:rPr>
          <w:lang w:eastAsia="en-GB"/>
        </w:rPr>
        <w:t>written r</w:t>
      </w:r>
      <w:r w:rsidR="00AE7000" w:rsidRPr="00AB7138">
        <w:rPr>
          <w:lang w:eastAsia="en-GB"/>
        </w:rPr>
        <w:t>eplies to t</w:t>
      </w:r>
      <w:r w:rsidR="00770282" w:rsidRPr="00AB7138">
        <w:rPr>
          <w:lang w:eastAsia="en-GB"/>
        </w:rPr>
        <w:t xml:space="preserve">he list of </w:t>
      </w:r>
      <w:proofErr w:type="gramStart"/>
      <w:r w:rsidR="00770282" w:rsidRPr="00AB7138">
        <w:rPr>
          <w:lang w:eastAsia="en-GB"/>
        </w:rPr>
        <w:t>issues</w:t>
      </w:r>
      <w:proofErr w:type="gramEnd"/>
      <w:r w:rsidR="00770282" w:rsidRPr="00AB7138">
        <w:rPr>
          <w:lang w:eastAsia="en-GB"/>
        </w:rPr>
        <w:t xml:space="preserve"> to allow the C</w:t>
      </w:r>
      <w:r w:rsidR="00AE7000" w:rsidRPr="00AB7138">
        <w:rPr>
          <w:lang w:eastAsia="en-GB"/>
        </w:rPr>
        <w:t>ommittee to assess the impac</w:t>
      </w:r>
      <w:r w:rsidR="00770282" w:rsidRPr="00AB7138">
        <w:rPr>
          <w:lang w:eastAsia="en-GB"/>
        </w:rPr>
        <w:t>t of the measures taken by the S</w:t>
      </w:r>
      <w:r w:rsidR="00AE7000" w:rsidRPr="00AB7138">
        <w:rPr>
          <w:lang w:eastAsia="en-GB"/>
        </w:rPr>
        <w:t xml:space="preserve">tate party to give full effect to the </w:t>
      </w:r>
      <w:r w:rsidR="00770282" w:rsidRPr="00AB7138">
        <w:rPr>
          <w:lang w:eastAsia="en-GB"/>
        </w:rPr>
        <w:t>provisions of the C</w:t>
      </w:r>
      <w:r w:rsidR="00AE7000" w:rsidRPr="00AB7138">
        <w:rPr>
          <w:lang w:eastAsia="en-GB"/>
        </w:rPr>
        <w:t xml:space="preserve">ovenant </w:t>
      </w:r>
      <w:r w:rsidR="00AE7000" w:rsidRPr="002824FE">
        <w:rPr>
          <w:lang w:eastAsia="en-GB"/>
        </w:rPr>
        <w:t>(art. 2).</w:t>
      </w:r>
    </w:p>
    <w:p w14:paraId="511C5447" w14:textId="274EA42D" w:rsidR="00AE7000" w:rsidRPr="00AB7138" w:rsidRDefault="00556A05" w:rsidP="00B15056">
      <w:pPr>
        <w:pStyle w:val="SingleTxtG"/>
        <w:tabs>
          <w:tab w:val="left" w:pos="1701"/>
        </w:tabs>
        <w:rPr>
          <w:b/>
          <w:lang w:eastAsia="en-GB"/>
        </w:rPr>
      </w:pPr>
      <w:r w:rsidRPr="00AB7138">
        <w:rPr>
          <w:lang w:eastAsia="en-GB"/>
        </w:rPr>
        <w:t>16.</w:t>
      </w:r>
      <w:r w:rsidRPr="00AB7138">
        <w:rPr>
          <w:lang w:eastAsia="en-GB"/>
        </w:rPr>
        <w:tab/>
      </w:r>
      <w:r w:rsidR="00AE7000" w:rsidRPr="00AB7138">
        <w:rPr>
          <w:b/>
          <w:lang w:eastAsia="en-GB"/>
        </w:rPr>
        <w:t>The Committee recommends that the State party establish a statistical data collection system to assess the level of enjoyment of economic, social and cultural rights</w:t>
      </w:r>
      <w:r w:rsidR="0056033A" w:rsidRPr="00AB7138">
        <w:rPr>
          <w:b/>
          <w:lang w:eastAsia="en-GB"/>
        </w:rPr>
        <w:t>, in particular</w:t>
      </w:r>
      <w:r w:rsidR="00AE7000" w:rsidRPr="00AB7138">
        <w:rPr>
          <w:b/>
          <w:lang w:eastAsia="en-GB"/>
        </w:rPr>
        <w:t xml:space="preserve"> by disadvantaged and marginalized individuals and groups, including persons living in rural areas, internally displaced persons, indigenous peoples and ethnic minorities and </w:t>
      </w:r>
      <w:r w:rsidR="00810FE6" w:rsidRPr="00AB7138">
        <w:rPr>
          <w:b/>
          <w:lang w:eastAsia="en-GB"/>
        </w:rPr>
        <w:t>persons with disabilities</w:t>
      </w:r>
      <w:r w:rsidR="00AE7000" w:rsidRPr="00AB7138">
        <w:rPr>
          <w:b/>
          <w:lang w:eastAsia="en-GB"/>
        </w:rPr>
        <w:t>.</w:t>
      </w:r>
    </w:p>
    <w:p w14:paraId="46DA1497" w14:textId="77777777" w:rsidR="007841D1" w:rsidRPr="00AB7138" w:rsidRDefault="00AE7000" w:rsidP="00FC6FBC">
      <w:pPr>
        <w:pStyle w:val="H23G"/>
        <w:ind w:firstLine="0"/>
        <w:rPr>
          <w:lang w:eastAsia="en-GB"/>
        </w:rPr>
      </w:pPr>
      <w:r w:rsidRPr="00AB7138">
        <w:rPr>
          <w:lang w:eastAsia="en-GB"/>
        </w:rPr>
        <w:t>Civil society</w:t>
      </w:r>
      <w:r w:rsidR="007841D1" w:rsidRPr="00AB7138">
        <w:rPr>
          <w:lang w:eastAsia="en-GB"/>
        </w:rPr>
        <w:t xml:space="preserve"> </w:t>
      </w:r>
    </w:p>
    <w:p w14:paraId="3754B4CE" w14:textId="2D977ACC" w:rsidR="00F1387D" w:rsidRPr="00AB7138" w:rsidRDefault="00556A05" w:rsidP="00B15056">
      <w:pPr>
        <w:pStyle w:val="SingleTxtG"/>
        <w:tabs>
          <w:tab w:val="left" w:pos="1701"/>
        </w:tabs>
        <w:rPr>
          <w:lang w:eastAsia="en-GB"/>
        </w:rPr>
      </w:pPr>
      <w:r w:rsidRPr="00AB7138">
        <w:rPr>
          <w:lang w:eastAsia="en-GB"/>
        </w:rPr>
        <w:t>17.</w:t>
      </w:r>
      <w:r w:rsidRPr="00AB7138">
        <w:rPr>
          <w:lang w:eastAsia="en-GB"/>
        </w:rPr>
        <w:tab/>
      </w:r>
      <w:r w:rsidR="00F1387D" w:rsidRPr="00AB7138">
        <w:rPr>
          <w:lang w:eastAsia="en-GB"/>
        </w:rPr>
        <w:t xml:space="preserve">The Committee is concerned that human rights defenders, including those working on economic, social and cultural rights, as well as journalists operate under restrictive conditions in the State party and face police and judicial harassment, including arbitrary detention. The Committee is also concerned that the </w:t>
      </w:r>
      <w:r w:rsidR="00F1387D" w:rsidRPr="00AB7138">
        <w:t xml:space="preserve">Presidential Decree </w:t>
      </w:r>
      <w:r w:rsidR="000C3218">
        <w:t xml:space="preserve">on Non-Governmental Organizations (NGOs) of </w:t>
      </w:r>
      <w:r w:rsidR="00F1387D" w:rsidRPr="00AB7138">
        <w:t xml:space="preserve">2015 imposed further and </w:t>
      </w:r>
      <w:r w:rsidR="00810FE6" w:rsidRPr="00AB7138">
        <w:t>excessive</w:t>
      </w:r>
      <w:r w:rsidR="00F1387D" w:rsidRPr="00AB7138">
        <w:t xml:space="preserve"> restrictions on the activities of NGOs in the State party.</w:t>
      </w:r>
    </w:p>
    <w:p w14:paraId="47A91568" w14:textId="0A74601A" w:rsidR="00F1387D" w:rsidRPr="00AB7138" w:rsidRDefault="00556A05" w:rsidP="00B15056">
      <w:pPr>
        <w:pStyle w:val="SingleTxtG"/>
        <w:tabs>
          <w:tab w:val="left" w:pos="1701"/>
        </w:tabs>
        <w:rPr>
          <w:rFonts w:ascii="Verdana" w:hAnsi="Verdana"/>
          <w:b/>
          <w:bCs/>
          <w:sz w:val="18"/>
          <w:szCs w:val="18"/>
          <w:lang w:eastAsia="en-GB"/>
        </w:rPr>
      </w:pPr>
      <w:r w:rsidRPr="00AB7138">
        <w:rPr>
          <w:bCs/>
          <w:lang w:eastAsia="en-GB"/>
        </w:rPr>
        <w:t>18.</w:t>
      </w:r>
      <w:r w:rsidRPr="00AB7138">
        <w:rPr>
          <w:bCs/>
          <w:lang w:eastAsia="en-GB"/>
        </w:rPr>
        <w:tab/>
      </w:r>
      <w:r w:rsidR="00770282" w:rsidRPr="00AB7138">
        <w:rPr>
          <w:b/>
        </w:rPr>
        <w:t xml:space="preserve">The Committee urges the State party to adopt all measures necessary to protect human rights defenders and activists, </w:t>
      </w:r>
      <w:r w:rsidR="00B72C36" w:rsidRPr="00AB7138">
        <w:rPr>
          <w:b/>
        </w:rPr>
        <w:t>including</w:t>
      </w:r>
      <w:r w:rsidR="00B72C36" w:rsidRPr="002824FE">
        <w:rPr>
          <w:b/>
        </w:rPr>
        <w:t xml:space="preserve"> </w:t>
      </w:r>
      <w:r w:rsidR="00770282" w:rsidRPr="002824FE">
        <w:rPr>
          <w:b/>
        </w:rPr>
        <w:t>those working in the area of economic, social and cultural rights</w:t>
      </w:r>
      <w:r w:rsidR="00770282" w:rsidRPr="00AB7138">
        <w:rPr>
          <w:b/>
        </w:rPr>
        <w:t xml:space="preserve">, from any act of intimidation and harassment and to ensure that perpetrators of such acts </w:t>
      </w:r>
      <w:proofErr w:type="gramStart"/>
      <w:r w:rsidR="00770282" w:rsidRPr="00AB7138">
        <w:rPr>
          <w:b/>
        </w:rPr>
        <w:t>are brought</w:t>
      </w:r>
      <w:proofErr w:type="gramEnd"/>
      <w:r w:rsidR="00770282" w:rsidRPr="00AB7138">
        <w:rPr>
          <w:b/>
        </w:rPr>
        <w:t xml:space="preserve"> to justice. </w:t>
      </w:r>
      <w:r w:rsidR="00F1387D" w:rsidRPr="00AB7138">
        <w:rPr>
          <w:b/>
        </w:rPr>
        <w:t>The Committee reiterates its p</w:t>
      </w:r>
      <w:r w:rsidR="00770282" w:rsidRPr="00AB7138">
        <w:rPr>
          <w:b/>
        </w:rPr>
        <w:t xml:space="preserve">revious recommendation </w:t>
      </w:r>
      <w:r w:rsidR="00770282" w:rsidRPr="002824FE">
        <w:rPr>
          <w:b/>
        </w:rPr>
        <w:t>that</w:t>
      </w:r>
      <w:r w:rsidR="00F1387D" w:rsidRPr="002824FE">
        <w:rPr>
          <w:b/>
        </w:rPr>
        <w:t xml:space="preserve"> the State party take immediate steps to ensure that civil society organizations</w:t>
      </w:r>
      <w:r w:rsidR="00851904">
        <w:rPr>
          <w:b/>
        </w:rPr>
        <w:t>, including those</w:t>
      </w:r>
      <w:r w:rsidR="00F1387D" w:rsidRPr="002824FE">
        <w:rPr>
          <w:b/>
        </w:rPr>
        <w:t xml:space="preserve"> </w:t>
      </w:r>
      <w:r w:rsidR="0056033A" w:rsidRPr="00AB7138">
        <w:rPr>
          <w:b/>
        </w:rPr>
        <w:t xml:space="preserve">working on </w:t>
      </w:r>
      <w:r w:rsidR="00F1387D" w:rsidRPr="00AB7138">
        <w:rPr>
          <w:b/>
        </w:rPr>
        <w:t>economic, social and cultural rights</w:t>
      </w:r>
      <w:r w:rsidR="000C3218">
        <w:rPr>
          <w:b/>
        </w:rPr>
        <w:t>,</w:t>
      </w:r>
      <w:r w:rsidR="00F1387D" w:rsidRPr="00AB7138">
        <w:rPr>
          <w:b/>
        </w:rPr>
        <w:t xml:space="preserve"> enjoy the right to register and function</w:t>
      </w:r>
      <w:r w:rsidR="00770282" w:rsidRPr="00AB7138">
        <w:rPr>
          <w:b/>
        </w:rPr>
        <w:t xml:space="preserve"> freely</w:t>
      </w:r>
      <w:r w:rsidR="00F1387D" w:rsidRPr="00AB7138">
        <w:rPr>
          <w:b/>
        </w:rPr>
        <w:t xml:space="preserve">. To </w:t>
      </w:r>
      <w:r w:rsidR="008B016B">
        <w:rPr>
          <w:b/>
        </w:rPr>
        <w:t>that</w:t>
      </w:r>
      <w:r w:rsidR="008B016B" w:rsidRPr="00AB7138">
        <w:rPr>
          <w:b/>
        </w:rPr>
        <w:t xml:space="preserve"> </w:t>
      </w:r>
      <w:r w:rsidR="00F1387D" w:rsidRPr="00AB7138">
        <w:rPr>
          <w:b/>
        </w:rPr>
        <w:t>end</w:t>
      </w:r>
      <w:r w:rsidR="002B5E1C" w:rsidRPr="00AB7138">
        <w:rPr>
          <w:b/>
        </w:rPr>
        <w:t>,</w:t>
      </w:r>
      <w:r w:rsidR="00F1387D" w:rsidRPr="00AB7138">
        <w:rPr>
          <w:b/>
        </w:rPr>
        <w:t xml:space="preserve"> the State party </w:t>
      </w:r>
      <w:proofErr w:type="gramStart"/>
      <w:r w:rsidR="00F1387D" w:rsidRPr="00AB7138">
        <w:rPr>
          <w:b/>
        </w:rPr>
        <w:t>is requested</w:t>
      </w:r>
      <w:proofErr w:type="gramEnd"/>
      <w:r w:rsidR="00F1387D" w:rsidRPr="00AB7138">
        <w:rPr>
          <w:b/>
        </w:rPr>
        <w:t xml:space="preserve"> to review </w:t>
      </w:r>
      <w:r w:rsidR="0009754B" w:rsidRPr="00AB7138">
        <w:rPr>
          <w:b/>
        </w:rPr>
        <w:t>the Presidential</w:t>
      </w:r>
      <w:r w:rsidR="00F1387D" w:rsidRPr="00AB7138">
        <w:rPr>
          <w:b/>
        </w:rPr>
        <w:t xml:space="preserve"> </w:t>
      </w:r>
      <w:r w:rsidR="00F11F8B">
        <w:rPr>
          <w:b/>
        </w:rPr>
        <w:t>D</w:t>
      </w:r>
      <w:r w:rsidR="00F1387D" w:rsidRPr="00AB7138">
        <w:rPr>
          <w:b/>
        </w:rPr>
        <w:t xml:space="preserve">ecree </w:t>
      </w:r>
      <w:r w:rsidR="000C3218">
        <w:rPr>
          <w:b/>
        </w:rPr>
        <w:t xml:space="preserve">on </w:t>
      </w:r>
      <w:r w:rsidR="000C3218">
        <w:rPr>
          <w:b/>
          <w:lang w:eastAsia="en-GB"/>
        </w:rPr>
        <w:t>Non-Governmental Organizations</w:t>
      </w:r>
      <w:r w:rsidR="000C3218" w:rsidRPr="0066595A">
        <w:rPr>
          <w:b/>
          <w:lang w:eastAsia="en-GB"/>
        </w:rPr>
        <w:t xml:space="preserve"> of</w:t>
      </w:r>
      <w:r w:rsidR="000C3218">
        <w:rPr>
          <w:b/>
        </w:rPr>
        <w:t xml:space="preserve"> </w:t>
      </w:r>
      <w:r w:rsidR="00F11F8B" w:rsidRPr="00AB7138">
        <w:rPr>
          <w:b/>
        </w:rPr>
        <w:t>2015</w:t>
      </w:r>
      <w:r w:rsidR="00F11F8B">
        <w:rPr>
          <w:b/>
        </w:rPr>
        <w:t xml:space="preserve"> </w:t>
      </w:r>
      <w:r w:rsidR="00F1387D" w:rsidRPr="00AB7138">
        <w:rPr>
          <w:b/>
        </w:rPr>
        <w:t xml:space="preserve">with a view to fostering an </w:t>
      </w:r>
      <w:r w:rsidR="002B5E1C" w:rsidRPr="00AB7138">
        <w:rPr>
          <w:b/>
        </w:rPr>
        <w:t>environment</w:t>
      </w:r>
      <w:r w:rsidR="00F1387D" w:rsidRPr="00AB7138">
        <w:rPr>
          <w:b/>
        </w:rPr>
        <w:t xml:space="preserve"> in</w:t>
      </w:r>
      <w:r w:rsidR="002B5E1C" w:rsidRPr="00AB7138">
        <w:rPr>
          <w:b/>
        </w:rPr>
        <w:t xml:space="preserve"> </w:t>
      </w:r>
      <w:r w:rsidR="00F1387D" w:rsidRPr="00AB7138">
        <w:rPr>
          <w:b/>
        </w:rPr>
        <w:t xml:space="preserve">which NGOs can </w:t>
      </w:r>
      <w:r w:rsidR="002B5E1C" w:rsidRPr="00AB7138">
        <w:rPr>
          <w:b/>
        </w:rPr>
        <w:t xml:space="preserve">carry out their activities without </w:t>
      </w:r>
      <w:r w:rsidR="00CC2E45" w:rsidRPr="00AB7138">
        <w:rPr>
          <w:b/>
        </w:rPr>
        <w:t xml:space="preserve">any </w:t>
      </w:r>
      <w:r w:rsidR="002B5E1C" w:rsidRPr="00AB7138">
        <w:rPr>
          <w:b/>
        </w:rPr>
        <w:t>interference.</w:t>
      </w:r>
    </w:p>
    <w:p w14:paraId="3CA71711" w14:textId="77777777" w:rsidR="00061941" w:rsidRPr="002824FE" w:rsidRDefault="00061941" w:rsidP="00FC6FBC">
      <w:pPr>
        <w:pStyle w:val="H23G"/>
        <w:ind w:firstLine="0"/>
        <w:rPr>
          <w:lang w:eastAsia="en-GB"/>
        </w:rPr>
      </w:pPr>
      <w:r w:rsidRPr="002824FE">
        <w:rPr>
          <w:lang w:eastAsia="en-GB"/>
        </w:rPr>
        <w:t>Indigenous peoples</w:t>
      </w:r>
    </w:p>
    <w:p w14:paraId="712CAA4F" w14:textId="4476215F" w:rsidR="0090566D" w:rsidRPr="00AB7138" w:rsidRDefault="00556A05" w:rsidP="00B15056">
      <w:pPr>
        <w:pStyle w:val="SingleTxtG"/>
        <w:tabs>
          <w:tab w:val="left" w:pos="1701"/>
        </w:tabs>
        <w:rPr>
          <w:lang w:eastAsia="en-GB"/>
        </w:rPr>
      </w:pPr>
      <w:r w:rsidRPr="00AB7138">
        <w:rPr>
          <w:lang w:eastAsia="en-GB"/>
        </w:rPr>
        <w:t>19.</w:t>
      </w:r>
      <w:r w:rsidRPr="00AB7138">
        <w:rPr>
          <w:lang w:eastAsia="en-GB"/>
        </w:rPr>
        <w:tab/>
      </w:r>
      <w:r w:rsidR="00061941" w:rsidRPr="00AB7138">
        <w:rPr>
          <w:lang w:eastAsia="en-GB"/>
        </w:rPr>
        <w:t>The Committee is concerned that the State party does not recognize indigenous peoples living in its territo</w:t>
      </w:r>
      <w:r w:rsidR="00D06AA8" w:rsidRPr="00AB7138">
        <w:rPr>
          <w:lang w:eastAsia="en-GB"/>
        </w:rPr>
        <w:t>ry</w:t>
      </w:r>
      <w:r w:rsidR="00061941" w:rsidRPr="00AB7138">
        <w:rPr>
          <w:lang w:eastAsia="en-GB"/>
        </w:rPr>
        <w:t>. The Committee is also concerned about reported discrimination in access to food, water, health and education experienced by indigenous peoples</w:t>
      </w:r>
      <w:r w:rsidR="000C3218">
        <w:rPr>
          <w:lang w:eastAsia="en-GB"/>
        </w:rPr>
        <w:t>,</w:t>
      </w:r>
      <w:r w:rsidR="00061941" w:rsidRPr="00AB7138">
        <w:rPr>
          <w:lang w:eastAsia="en-GB"/>
        </w:rPr>
        <w:t xml:space="preserve"> combined with </w:t>
      </w:r>
      <w:r w:rsidR="00810FE6" w:rsidRPr="00AB7138">
        <w:rPr>
          <w:lang w:eastAsia="en-GB"/>
        </w:rPr>
        <w:t xml:space="preserve">an </w:t>
      </w:r>
      <w:r w:rsidR="00061941" w:rsidRPr="00AB7138">
        <w:rPr>
          <w:lang w:eastAsia="en-GB"/>
        </w:rPr>
        <w:t xml:space="preserve">inadequate </w:t>
      </w:r>
      <w:r w:rsidR="00810FE6" w:rsidRPr="00AB7138">
        <w:rPr>
          <w:lang w:eastAsia="en-GB"/>
        </w:rPr>
        <w:t xml:space="preserve">response from the </w:t>
      </w:r>
      <w:r w:rsidR="00061941" w:rsidRPr="00AB7138">
        <w:rPr>
          <w:lang w:eastAsia="en-GB"/>
        </w:rPr>
        <w:t>State party.</w:t>
      </w:r>
      <w:r w:rsidR="001D574B" w:rsidRPr="00AB7138">
        <w:rPr>
          <w:lang w:eastAsia="en-GB"/>
        </w:rPr>
        <w:t xml:space="preserve"> The Committee is further concerned that development activities are </w:t>
      </w:r>
      <w:r w:rsidR="0090566D" w:rsidRPr="00AB7138">
        <w:rPr>
          <w:lang w:eastAsia="en-GB"/>
        </w:rPr>
        <w:t>impeding</w:t>
      </w:r>
      <w:r w:rsidR="001D574B" w:rsidRPr="00AB7138">
        <w:rPr>
          <w:lang w:eastAsia="en-GB"/>
        </w:rPr>
        <w:t xml:space="preserve"> indigenous peoples</w:t>
      </w:r>
      <w:r w:rsidR="0090566D" w:rsidRPr="00AB7138">
        <w:rPr>
          <w:lang w:eastAsia="en-GB"/>
        </w:rPr>
        <w:t xml:space="preserve"> from</w:t>
      </w:r>
      <w:r w:rsidR="001D574B" w:rsidRPr="00AB7138">
        <w:rPr>
          <w:lang w:eastAsia="en-GB"/>
        </w:rPr>
        <w:t xml:space="preserve"> access</w:t>
      </w:r>
      <w:r w:rsidR="0090566D" w:rsidRPr="00AB7138">
        <w:rPr>
          <w:lang w:eastAsia="en-GB"/>
        </w:rPr>
        <w:t>ing</w:t>
      </w:r>
      <w:r w:rsidR="001D574B" w:rsidRPr="00AB7138">
        <w:rPr>
          <w:lang w:eastAsia="en-GB"/>
        </w:rPr>
        <w:t xml:space="preserve"> their lands</w:t>
      </w:r>
      <w:r w:rsidR="0090566D" w:rsidRPr="00AB7138">
        <w:rPr>
          <w:lang w:eastAsia="en-GB"/>
        </w:rPr>
        <w:t>,</w:t>
      </w:r>
      <w:r w:rsidR="001D574B" w:rsidRPr="00AB7138">
        <w:rPr>
          <w:lang w:eastAsia="en-GB"/>
        </w:rPr>
        <w:t xml:space="preserve"> and about the lack of a legal framework for consultation with the affected communities prior to embarking on such activities (arts.</w:t>
      </w:r>
      <w:r w:rsidR="0053239B">
        <w:rPr>
          <w:lang w:eastAsia="en-GB"/>
        </w:rPr>
        <w:t> </w:t>
      </w:r>
      <w:r w:rsidR="001D574B" w:rsidRPr="00AB7138">
        <w:rPr>
          <w:lang w:eastAsia="en-GB"/>
        </w:rPr>
        <w:t>1 and</w:t>
      </w:r>
      <w:r w:rsidR="0053239B">
        <w:rPr>
          <w:lang w:eastAsia="en-GB"/>
        </w:rPr>
        <w:t> </w:t>
      </w:r>
      <w:r w:rsidR="001D574B" w:rsidRPr="00AB7138">
        <w:rPr>
          <w:lang w:eastAsia="en-GB"/>
        </w:rPr>
        <w:t>2).</w:t>
      </w:r>
    </w:p>
    <w:p w14:paraId="598E8F4F" w14:textId="1F0CD914" w:rsidR="001D574B" w:rsidRPr="00AB7138" w:rsidRDefault="00556A05" w:rsidP="00B15056">
      <w:pPr>
        <w:pStyle w:val="SingleTxtG"/>
        <w:tabs>
          <w:tab w:val="left" w:pos="1701"/>
        </w:tabs>
        <w:rPr>
          <w:b/>
        </w:rPr>
      </w:pPr>
      <w:r w:rsidRPr="00AB7138">
        <w:t>20.</w:t>
      </w:r>
      <w:r w:rsidRPr="00AB7138">
        <w:tab/>
      </w:r>
      <w:r w:rsidR="001D574B" w:rsidRPr="00AB7138">
        <w:rPr>
          <w:b/>
        </w:rPr>
        <w:t>The Committee recommends that the State party:</w:t>
      </w:r>
    </w:p>
    <w:p w14:paraId="4D1CB838" w14:textId="549C5935" w:rsidR="0090566D" w:rsidRPr="0053239B" w:rsidRDefault="0053239B" w:rsidP="00B15056">
      <w:pPr>
        <w:pStyle w:val="SingleTxtG"/>
        <w:ind w:firstLine="567"/>
        <w:rPr>
          <w:b/>
        </w:rPr>
      </w:pPr>
      <w:r>
        <w:t>(a)</w:t>
      </w:r>
      <w:r>
        <w:tab/>
      </w:r>
      <w:r w:rsidR="001D574B" w:rsidRPr="0053239B">
        <w:rPr>
          <w:b/>
        </w:rPr>
        <w:t>Adopt legislation and measures to recognize the status of indigenous peoples living in the State party</w:t>
      </w:r>
      <w:r w:rsidR="00E74400" w:rsidRPr="0053239B">
        <w:rPr>
          <w:b/>
        </w:rPr>
        <w:t xml:space="preserve"> and strengthen legislative and administrative measures </w:t>
      </w:r>
      <w:r w:rsidR="008B016B" w:rsidRPr="0053239B">
        <w:rPr>
          <w:b/>
        </w:rPr>
        <w:t xml:space="preserve">in order </w:t>
      </w:r>
      <w:r w:rsidR="00E74400" w:rsidRPr="0053239B">
        <w:rPr>
          <w:b/>
        </w:rPr>
        <w:t xml:space="preserve">to guarantee the </w:t>
      </w:r>
      <w:r w:rsidR="00851904" w:rsidRPr="0053239B">
        <w:rPr>
          <w:b/>
        </w:rPr>
        <w:t xml:space="preserve">rights of </w:t>
      </w:r>
      <w:r w:rsidR="00E74400" w:rsidRPr="0053239B">
        <w:rPr>
          <w:b/>
        </w:rPr>
        <w:t>indigenous peoples to their land and to freely dispose of their natural wealth and resources</w:t>
      </w:r>
      <w:r w:rsidR="00F11F8B" w:rsidRPr="0053239B">
        <w:rPr>
          <w:b/>
        </w:rPr>
        <w:t>;</w:t>
      </w:r>
    </w:p>
    <w:p w14:paraId="61D4131C" w14:textId="0D171B73" w:rsidR="0090566D" w:rsidRPr="0053239B" w:rsidRDefault="0053239B" w:rsidP="00B15056">
      <w:pPr>
        <w:pStyle w:val="SingleTxtG"/>
        <w:ind w:firstLine="567"/>
        <w:rPr>
          <w:b/>
        </w:rPr>
      </w:pPr>
      <w:r w:rsidRPr="00B15056">
        <w:t>(b)</w:t>
      </w:r>
      <w:r w:rsidRPr="00B15056">
        <w:tab/>
      </w:r>
      <w:r w:rsidR="00F37D8E" w:rsidRPr="0053239B">
        <w:rPr>
          <w:b/>
        </w:rPr>
        <w:t xml:space="preserve">Adopt specific measures targeted at improving </w:t>
      </w:r>
      <w:r w:rsidR="00851904" w:rsidRPr="0053239B">
        <w:rPr>
          <w:b/>
        </w:rPr>
        <w:t xml:space="preserve">access to social services by </w:t>
      </w:r>
      <w:r w:rsidR="00F37D8E" w:rsidRPr="0053239B">
        <w:rPr>
          <w:b/>
        </w:rPr>
        <w:t>indigenous peoples</w:t>
      </w:r>
      <w:proofErr w:type="gramStart"/>
      <w:r w:rsidR="00F37D8E" w:rsidRPr="0053239B">
        <w:rPr>
          <w:b/>
        </w:rPr>
        <w:t>;</w:t>
      </w:r>
      <w:proofErr w:type="gramEnd"/>
    </w:p>
    <w:p w14:paraId="1FEE000D" w14:textId="6FE49249" w:rsidR="0090566D" w:rsidRPr="0053239B" w:rsidRDefault="0053239B" w:rsidP="00B15056">
      <w:pPr>
        <w:pStyle w:val="SingleTxtG"/>
        <w:ind w:firstLine="567"/>
        <w:rPr>
          <w:b/>
        </w:rPr>
      </w:pPr>
      <w:r>
        <w:t>(c)</w:t>
      </w:r>
      <w:r>
        <w:tab/>
      </w:r>
      <w:r w:rsidR="00F37D8E" w:rsidRPr="0053239B">
        <w:rPr>
          <w:b/>
        </w:rPr>
        <w:t>S</w:t>
      </w:r>
      <w:r w:rsidR="0090566D" w:rsidRPr="0053239B">
        <w:rPr>
          <w:b/>
        </w:rPr>
        <w:t>eek the free</w:t>
      </w:r>
      <w:r w:rsidR="00810FE6" w:rsidRPr="0053239B">
        <w:rPr>
          <w:b/>
        </w:rPr>
        <w:t>,</w:t>
      </w:r>
      <w:r w:rsidR="0090566D" w:rsidRPr="0053239B">
        <w:rPr>
          <w:b/>
        </w:rPr>
        <w:t xml:space="preserve"> </w:t>
      </w:r>
      <w:r w:rsidR="00810FE6" w:rsidRPr="0053239B">
        <w:rPr>
          <w:b/>
        </w:rPr>
        <w:t xml:space="preserve">prior </w:t>
      </w:r>
      <w:r w:rsidR="0090566D" w:rsidRPr="0053239B">
        <w:rPr>
          <w:b/>
        </w:rPr>
        <w:t xml:space="preserve">and informed consent of indigenous peoples before granting licences to </w:t>
      </w:r>
      <w:r w:rsidR="00810FE6" w:rsidRPr="0053239B">
        <w:rPr>
          <w:b/>
        </w:rPr>
        <w:t>businesses</w:t>
      </w:r>
      <w:r w:rsidR="0090566D" w:rsidRPr="0053239B">
        <w:rPr>
          <w:b/>
        </w:rPr>
        <w:t xml:space="preserve"> for economic activities on territories traditionally </w:t>
      </w:r>
      <w:r w:rsidR="00810FE6" w:rsidRPr="0053239B">
        <w:rPr>
          <w:b/>
        </w:rPr>
        <w:t xml:space="preserve">owned, </w:t>
      </w:r>
      <w:r w:rsidR="0090566D" w:rsidRPr="0053239B">
        <w:rPr>
          <w:b/>
        </w:rPr>
        <w:t xml:space="preserve">occupied or </w:t>
      </w:r>
      <w:r w:rsidR="00810FE6" w:rsidRPr="0053239B">
        <w:rPr>
          <w:b/>
        </w:rPr>
        <w:t xml:space="preserve">otherwise </w:t>
      </w:r>
      <w:r w:rsidR="0090566D" w:rsidRPr="0053239B">
        <w:rPr>
          <w:b/>
        </w:rPr>
        <w:t>used by indigenous peoples;</w:t>
      </w:r>
    </w:p>
    <w:p w14:paraId="0884B543" w14:textId="2ECCF135" w:rsidR="0090566D" w:rsidRPr="0053239B" w:rsidRDefault="0053239B" w:rsidP="00B15056">
      <w:pPr>
        <w:pStyle w:val="SingleTxtG"/>
        <w:ind w:firstLine="567"/>
        <w:rPr>
          <w:b/>
        </w:rPr>
      </w:pPr>
      <w:r>
        <w:t>(d)</w:t>
      </w:r>
      <w:r>
        <w:tab/>
      </w:r>
      <w:r w:rsidR="00F37D8E" w:rsidRPr="0053239B">
        <w:rPr>
          <w:b/>
        </w:rPr>
        <w:t>E</w:t>
      </w:r>
      <w:r w:rsidR="0090566D" w:rsidRPr="0053239B">
        <w:rPr>
          <w:b/>
        </w:rPr>
        <w:t xml:space="preserve">nsure that licensing agreements with </w:t>
      </w:r>
      <w:r w:rsidR="00810FE6" w:rsidRPr="0053239B">
        <w:rPr>
          <w:b/>
        </w:rPr>
        <w:t>businesses</w:t>
      </w:r>
      <w:r w:rsidR="0090566D" w:rsidRPr="0053239B">
        <w:rPr>
          <w:b/>
        </w:rPr>
        <w:t xml:space="preserve"> provide for adequate compensation of the affected communities</w:t>
      </w:r>
      <w:proofErr w:type="gramStart"/>
      <w:r w:rsidR="0090566D" w:rsidRPr="0053239B">
        <w:rPr>
          <w:b/>
        </w:rPr>
        <w:t>;</w:t>
      </w:r>
      <w:proofErr w:type="gramEnd"/>
    </w:p>
    <w:p w14:paraId="662A8A34" w14:textId="02EB1D05" w:rsidR="00F37D8E" w:rsidRPr="00B15056" w:rsidRDefault="0053239B" w:rsidP="00B15056">
      <w:pPr>
        <w:pStyle w:val="SingleTxtG"/>
        <w:ind w:firstLine="567"/>
        <w:rPr>
          <w:b/>
        </w:rPr>
      </w:pPr>
      <w:r>
        <w:t>(e)</w:t>
      </w:r>
      <w:r>
        <w:tab/>
      </w:r>
      <w:r w:rsidR="00F37D8E" w:rsidRPr="0053239B">
        <w:rPr>
          <w:b/>
        </w:rPr>
        <w:t xml:space="preserve">Consider adopting the </w:t>
      </w:r>
      <w:r w:rsidR="000C3218" w:rsidRPr="0053239B">
        <w:rPr>
          <w:b/>
        </w:rPr>
        <w:t>Indigenous and Tribal Peoples</w:t>
      </w:r>
      <w:r w:rsidR="000C3218" w:rsidRPr="0053239B" w:rsidDel="000C3218">
        <w:rPr>
          <w:b/>
        </w:rPr>
        <w:t xml:space="preserve"> </w:t>
      </w:r>
      <w:r w:rsidR="00851904" w:rsidRPr="0053239B">
        <w:rPr>
          <w:b/>
        </w:rPr>
        <w:t>Convention</w:t>
      </w:r>
      <w:r w:rsidR="000C3218" w:rsidRPr="0053239B">
        <w:rPr>
          <w:b/>
        </w:rPr>
        <w:t>, 1989</w:t>
      </w:r>
      <w:r w:rsidR="00851904" w:rsidRPr="0053239B">
        <w:rPr>
          <w:b/>
        </w:rPr>
        <w:t xml:space="preserve"> </w:t>
      </w:r>
      <w:r w:rsidR="000C3218" w:rsidRPr="0053239B">
        <w:rPr>
          <w:b/>
        </w:rPr>
        <w:t>(</w:t>
      </w:r>
      <w:r w:rsidR="00851904" w:rsidRPr="0053239B">
        <w:rPr>
          <w:b/>
        </w:rPr>
        <w:t>No.</w:t>
      </w:r>
      <w:r>
        <w:rPr>
          <w:b/>
        </w:rPr>
        <w:t> </w:t>
      </w:r>
      <w:r w:rsidR="00851904" w:rsidRPr="0053239B">
        <w:rPr>
          <w:b/>
        </w:rPr>
        <w:t>16</w:t>
      </w:r>
      <w:r w:rsidR="00943D60" w:rsidRPr="0053239B">
        <w:rPr>
          <w:b/>
        </w:rPr>
        <w:t>9</w:t>
      </w:r>
      <w:r w:rsidR="000C3218" w:rsidRPr="0053239B">
        <w:rPr>
          <w:b/>
        </w:rPr>
        <w:t>)</w:t>
      </w:r>
      <w:r w:rsidR="00943D60" w:rsidRPr="0053239B">
        <w:rPr>
          <w:b/>
        </w:rPr>
        <w:t xml:space="preserve"> </w:t>
      </w:r>
      <w:r w:rsidR="000C3218" w:rsidRPr="0053239B">
        <w:rPr>
          <w:b/>
        </w:rPr>
        <w:t>of the International Labour Organization</w:t>
      </w:r>
      <w:r w:rsidR="00F37D8E" w:rsidRPr="0053239B">
        <w:rPr>
          <w:b/>
        </w:rPr>
        <w:t>.</w:t>
      </w:r>
    </w:p>
    <w:p w14:paraId="0904D5F2" w14:textId="77777777" w:rsidR="00442080" w:rsidRPr="00AB7138" w:rsidRDefault="00BC0C0E" w:rsidP="00FC6FBC">
      <w:pPr>
        <w:pStyle w:val="H23G"/>
        <w:ind w:firstLine="0"/>
        <w:rPr>
          <w:lang w:eastAsia="en-GB"/>
        </w:rPr>
      </w:pPr>
      <w:r w:rsidRPr="00AB7138">
        <w:rPr>
          <w:lang w:eastAsia="en-GB"/>
        </w:rPr>
        <w:t>Anti-discrimination</w:t>
      </w:r>
      <w:r w:rsidR="00F37D8E" w:rsidRPr="00AB7138">
        <w:rPr>
          <w:lang w:eastAsia="en-GB"/>
        </w:rPr>
        <w:t xml:space="preserve"> legislation</w:t>
      </w:r>
    </w:p>
    <w:p w14:paraId="19904B5B" w14:textId="10C504B0" w:rsidR="00CE523C" w:rsidRPr="00AB7138" w:rsidRDefault="00556A05" w:rsidP="00B15056">
      <w:pPr>
        <w:pStyle w:val="SingleTxtG"/>
        <w:tabs>
          <w:tab w:val="left" w:pos="1701"/>
        </w:tabs>
        <w:rPr>
          <w:b/>
          <w:lang w:eastAsia="en-GB"/>
        </w:rPr>
      </w:pPr>
      <w:r w:rsidRPr="00AB7138">
        <w:rPr>
          <w:lang w:eastAsia="en-GB"/>
        </w:rPr>
        <w:t>21.</w:t>
      </w:r>
      <w:r w:rsidRPr="00AB7138">
        <w:rPr>
          <w:lang w:eastAsia="en-GB"/>
        </w:rPr>
        <w:tab/>
      </w:r>
      <w:r w:rsidR="00F37D8E" w:rsidRPr="00AB7138">
        <w:rPr>
          <w:bCs/>
          <w:lang w:eastAsia="en-GB"/>
        </w:rPr>
        <w:t xml:space="preserve">The Committee </w:t>
      </w:r>
      <w:r w:rsidR="00F37D8E" w:rsidRPr="002824FE">
        <w:rPr>
          <w:bCs/>
          <w:lang w:eastAsia="en-GB"/>
        </w:rPr>
        <w:t>expresses concern</w:t>
      </w:r>
      <w:r w:rsidR="00936C7B" w:rsidRPr="002824FE">
        <w:rPr>
          <w:bCs/>
          <w:lang w:eastAsia="en-GB"/>
        </w:rPr>
        <w:t xml:space="preserve"> </w:t>
      </w:r>
      <w:r w:rsidR="001B7BE5" w:rsidRPr="00AB7138">
        <w:rPr>
          <w:bCs/>
          <w:lang w:eastAsia="en-GB"/>
        </w:rPr>
        <w:t xml:space="preserve">at </w:t>
      </w:r>
      <w:r w:rsidR="00936C7B" w:rsidRPr="002824FE">
        <w:rPr>
          <w:bCs/>
          <w:lang w:eastAsia="en-GB"/>
        </w:rPr>
        <w:t>the lack of comprehensive anti-discrimination legislation</w:t>
      </w:r>
      <w:r w:rsidR="00490D36" w:rsidRPr="002824FE">
        <w:rPr>
          <w:bCs/>
          <w:lang w:eastAsia="en-GB"/>
        </w:rPr>
        <w:t xml:space="preserve"> </w:t>
      </w:r>
      <w:r w:rsidR="001B7BE5" w:rsidRPr="00AB7138">
        <w:rPr>
          <w:bCs/>
          <w:lang w:eastAsia="en-GB"/>
        </w:rPr>
        <w:t xml:space="preserve">in the State party </w:t>
      </w:r>
      <w:r w:rsidR="00490D36" w:rsidRPr="00AB7138">
        <w:rPr>
          <w:bCs/>
          <w:lang w:eastAsia="en-GB"/>
        </w:rPr>
        <w:t>(art.</w:t>
      </w:r>
      <w:r w:rsidR="0053239B">
        <w:rPr>
          <w:bCs/>
          <w:lang w:eastAsia="en-GB"/>
        </w:rPr>
        <w:t> </w:t>
      </w:r>
      <w:r w:rsidR="00490D36" w:rsidRPr="00AB7138">
        <w:rPr>
          <w:bCs/>
          <w:lang w:eastAsia="en-GB"/>
        </w:rPr>
        <w:t>2)</w:t>
      </w:r>
      <w:r w:rsidR="004A6A9F" w:rsidRPr="00AB7138">
        <w:rPr>
          <w:bCs/>
          <w:lang w:eastAsia="en-GB"/>
        </w:rPr>
        <w:t>.</w:t>
      </w:r>
    </w:p>
    <w:p w14:paraId="4FA79C81" w14:textId="71518C6F" w:rsidR="00936C7B" w:rsidRPr="00AB7138" w:rsidRDefault="00556A05" w:rsidP="00B15056">
      <w:pPr>
        <w:pStyle w:val="SingleTxtG"/>
        <w:tabs>
          <w:tab w:val="left" w:pos="1701"/>
        </w:tabs>
        <w:rPr>
          <w:b/>
          <w:lang w:eastAsia="en-GB"/>
        </w:rPr>
      </w:pPr>
      <w:r w:rsidRPr="00AB7138">
        <w:rPr>
          <w:lang w:eastAsia="en-GB"/>
        </w:rPr>
        <w:t>22.</w:t>
      </w:r>
      <w:r w:rsidRPr="00AB7138">
        <w:rPr>
          <w:lang w:eastAsia="en-GB"/>
        </w:rPr>
        <w:tab/>
      </w:r>
      <w:r w:rsidR="00D06AA8" w:rsidRPr="00AB7138">
        <w:rPr>
          <w:b/>
          <w:lang w:eastAsia="en-GB"/>
        </w:rPr>
        <w:t>T</w:t>
      </w:r>
      <w:r w:rsidR="00B42C86" w:rsidRPr="00AB7138">
        <w:rPr>
          <w:b/>
          <w:lang w:eastAsia="en-GB"/>
        </w:rPr>
        <w:t xml:space="preserve">he Committee recommends that the State party take steps to adopt comprehensive anti-discrimination legislation </w:t>
      </w:r>
      <w:r w:rsidR="001B7BE5" w:rsidRPr="00AB7138">
        <w:rPr>
          <w:b/>
          <w:lang w:eastAsia="en-GB"/>
        </w:rPr>
        <w:t xml:space="preserve">that </w:t>
      </w:r>
      <w:r w:rsidR="00943D60">
        <w:rPr>
          <w:b/>
          <w:lang w:eastAsia="en-GB"/>
        </w:rPr>
        <w:t>covers</w:t>
      </w:r>
      <w:r w:rsidR="00943D60" w:rsidRPr="00AB7138">
        <w:rPr>
          <w:b/>
          <w:lang w:eastAsia="en-GB"/>
        </w:rPr>
        <w:t xml:space="preserve"> </w:t>
      </w:r>
      <w:r w:rsidR="001B7BE5" w:rsidRPr="00AB7138">
        <w:rPr>
          <w:b/>
          <w:lang w:eastAsia="en-GB"/>
        </w:rPr>
        <w:t xml:space="preserve">all </w:t>
      </w:r>
      <w:r w:rsidR="00943D60">
        <w:rPr>
          <w:b/>
          <w:lang w:eastAsia="en-GB"/>
        </w:rPr>
        <w:t>prohibited</w:t>
      </w:r>
      <w:r w:rsidR="00943D60" w:rsidRPr="00AB7138">
        <w:rPr>
          <w:b/>
          <w:lang w:eastAsia="en-GB"/>
        </w:rPr>
        <w:t xml:space="preserve"> </w:t>
      </w:r>
      <w:r w:rsidR="001B7BE5" w:rsidRPr="00AB7138">
        <w:rPr>
          <w:b/>
          <w:lang w:eastAsia="en-GB"/>
        </w:rPr>
        <w:t xml:space="preserve">grounds </w:t>
      </w:r>
      <w:r w:rsidR="00943D60">
        <w:rPr>
          <w:b/>
          <w:lang w:eastAsia="en-GB"/>
        </w:rPr>
        <w:t>of</w:t>
      </w:r>
      <w:r w:rsidR="00943D60" w:rsidRPr="00AB7138">
        <w:rPr>
          <w:b/>
          <w:lang w:eastAsia="en-GB"/>
        </w:rPr>
        <w:t xml:space="preserve"> </w:t>
      </w:r>
      <w:r w:rsidR="001B7BE5" w:rsidRPr="00AB7138">
        <w:rPr>
          <w:b/>
          <w:lang w:eastAsia="en-GB"/>
        </w:rPr>
        <w:t>discrimination</w:t>
      </w:r>
      <w:r w:rsidR="001B7BE5" w:rsidRPr="002824FE">
        <w:rPr>
          <w:b/>
          <w:lang w:eastAsia="en-GB"/>
        </w:rPr>
        <w:t xml:space="preserve"> </w:t>
      </w:r>
      <w:r w:rsidR="00913622">
        <w:rPr>
          <w:b/>
          <w:lang w:eastAsia="en-GB"/>
        </w:rPr>
        <w:t>set out</w:t>
      </w:r>
      <w:r w:rsidR="00913622" w:rsidRPr="002824FE">
        <w:rPr>
          <w:b/>
          <w:lang w:eastAsia="en-GB"/>
        </w:rPr>
        <w:t xml:space="preserve"> </w:t>
      </w:r>
      <w:r w:rsidR="00B42C86" w:rsidRPr="002824FE">
        <w:rPr>
          <w:b/>
          <w:lang w:eastAsia="en-GB"/>
        </w:rPr>
        <w:t>in article 2</w:t>
      </w:r>
      <w:r w:rsidR="00B42C86" w:rsidRPr="00AB7138">
        <w:rPr>
          <w:b/>
          <w:lang w:eastAsia="en-GB"/>
        </w:rPr>
        <w:t xml:space="preserve"> of the Covenant</w:t>
      </w:r>
      <w:r w:rsidR="00E74400">
        <w:rPr>
          <w:b/>
          <w:lang w:eastAsia="en-GB"/>
        </w:rPr>
        <w:t>,</w:t>
      </w:r>
      <w:r w:rsidR="00A674B8" w:rsidRPr="00AB7138">
        <w:rPr>
          <w:b/>
          <w:lang w:eastAsia="en-GB"/>
        </w:rPr>
        <w:t xml:space="preserve"> </w:t>
      </w:r>
      <w:r w:rsidR="00943D60">
        <w:rPr>
          <w:b/>
          <w:lang w:eastAsia="en-GB"/>
        </w:rPr>
        <w:t>including</w:t>
      </w:r>
      <w:r w:rsidR="00A674B8" w:rsidRPr="00AB7138">
        <w:rPr>
          <w:b/>
          <w:lang w:eastAsia="en-GB"/>
        </w:rPr>
        <w:t xml:space="preserve"> discrimination on </w:t>
      </w:r>
      <w:r w:rsidR="00913622">
        <w:rPr>
          <w:b/>
          <w:lang w:eastAsia="en-GB"/>
        </w:rPr>
        <w:t>the basis of “</w:t>
      </w:r>
      <w:r w:rsidR="00A674B8" w:rsidRPr="00AB7138">
        <w:rPr>
          <w:b/>
          <w:lang w:eastAsia="en-GB"/>
        </w:rPr>
        <w:t>any other status</w:t>
      </w:r>
      <w:r w:rsidR="00913622">
        <w:rPr>
          <w:b/>
          <w:lang w:eastAsia="en-GB"/>
        </w:rPr>
        <w:t>”</w:t>
      </w:r>
      <w:r w:rsidR="001B7BE5" w:rsidRPr="00AB7138">
        <w:rPr>
          <w:b/>
          <w:lang w:eastAsia="en-GB"/>
        </w:rPr>
        <w:t xml:space="preserve">, taking also into account the </w:t>
      </w:r>
      <w:r w:rsidR="00490D36" w:rsidRPr="00AB7138">
        <w:rPr>
          <w:b/>
          <w:lang w:eastAsia="en-GB"/>
        </w:rPr>
        <w:t>Committee</w:t>
      </w:r>
      <w:r w:rsidR="001B7BE5" w:rsidRPr="00AB7138">
        <w:rPr>
          <w:b/>
          <w:lang w:eastAsia="en-GB"/>
        </w:rPr>
        <w:t>’s</w:t>
      </w:r>
      <w:r w:rsidR="001B7BE5" w:rsidRPr="002824FE">
        <w:rPr>
          <w:b/>
          <w:lang w:eastAsia="en-GB"/>
        </w:rPr>
        <w:t xml:space="preserve"> </w:t>
      </w:r>
      <w:r w:rsidR="00490D36" w:rsidRPr="002824FE">
        <w:rPr>
          <w:b/>
          <w:lang w:eastAsia="en-GB"/>
        </w:rPr>
        <w:t xml:space="preserve">general comment </w:t>
      </w:r>
      <w:r w:rsidR="00913622">
        <w:rPr>
          <w:b/>
          <w:lang w:eastAsia="en-GB"/>
        </w:rPr>
        <w:t>N</w:t>
      </w:r>
      <w:r w:rsidR="00490D36" w:rsidRPr="002824FE">
        <w:rPr>
          <w:b/>
          <w:lang w:eastAsia="en-GB"/>
        </w:rPr>
        <w:t>o.</w:t>
      </w:r>
      <w:r w:rsidR="0053239B">
        <w:rPr>
          <w:b/>
          <w:lang w:eastAsia="en-GB"/>
        </w:rPr>
        <w:t> </w:t>
      </w:r>
      <w:r w:rsidR="00490D36" w:rsidRPr="002824FE">
        <w:rPr>
          <w:b/>
          <w:lang w:eastAsia="en-GB"/>
        </w:rPr>
        <w:t>20 (2009) on non-di</w:t>
      </w:r>
      <w:r w:rsidR="00490D36" w:rsidRPr="00AB7138">
        <w:rPr>
          <w:b/>
          <w:lang w:eastAsia="en-GB"/>
        </w:rPr>
        <w:t>scrimination in economic, social and cultural rights.</w:t>
      </w:r>
    </w:p>
    <w:p w14:paraId="6C2BCE69" w14:textId="77777777" w:rsidR="005C3701" w:rsidRPr="00AB7138" w:rsidRDefault="00490D36" w:rsidP="00FC6FBC">
      <w:pPr>
        <w:pStyle w:val="H23G"/>
        <w:ind w:firstLine="0"/>
        <w:rPr>
          <w:lang w:eastAsia="en-GB"/>
        </w:rPr>
      </w:pPr>
      <w:r w:rsidRPr="00AB7138">
        <w:rPr>
          <w:lang w:eastAsia="en-GB"/>
        </w:rPr>
        <w:t>A</w:t>
      </w:r>
      <w:r w:rsidR="005C3701" w:rsidRPr="00AB7138">
        <w:rPr>
          <w:lang w:eastAsia="en-GB"/>
        </w:rPr>
        <w:t>sylum seekers</w:t>
      </w:r>
      <w:r w:rsidR="00BB700A" w:rsidRPr="00AB7138">
        <w:rPr>
          <w:lang w:eastAsia="en-GB"/>
        </w:rPr>
        <w:t xml:space="preserve"> and refugees</w:t>
      </w:r>
    </w:p>
    <w:p w14:paraId="679A9245" w14:textId="289257D9" w:rsidR="00A14FB9" w:rsidRPr="00AB7138" w:rsidRDefault="00556A05" w:rsidP="00B15056">
      <w:pPr>
        <w:pStyle w:val="SingleTxtG"/>
        <w:tabs>
          <w:tab w:val="left" w:pos="1701"/>
        </w:tabs>
        <w:rPr>
          <w:bCs/>
          <w:lang w:eastAsia="en-GB"/>
        </w:rPr>
      </w:pPr>
      <w:r w:rsidRPr="00AB7138">
        <w:rPr>
          <w:bCs/>
          <w:lang w:eastAsia="en-GB"/>
        </w:rPr>
        <w:t>23.</w:t>
      </w:r>
      <w:r w:rsidRPr="00AB7138">
        <w:rPr>
          <w:bCs/>
          <w:lang w:eastAsia="en-GB"/>
        </w:rPr>
        <w:tab/>
      </w:r>
      <w:r w:rsidR="00061941" w:rsidRPr="00AB7138">
        <w:rPr>
          <w:bCs/>
          <w:lang w:eastAsia="en-GB"/>
        </w:rPr>
        <w:t>While</w:t>
      </w:r>
      <w:r w:rsidR="00622BAE" w:rsidRPr="00AB7138">
        <w:rPr>
          <w:bCs/>
          <w:lang w:eastAsia="en-GB"/>
        </w:rPr>
        <w:t xml:space="preserve"> welcoming the new </w:t>
      </w:r>
      <w:r w:rsidR="007F52E3">
        <w:rPr>
          <w:bCs/>
          <w:lang w:eastAsia="en-GB"/>
        </w:rPr>
        <w:t>l</w:t>
      </w:r>
      <w:r w:rsidR="00622BAE" w:rsidRPr="00AB7138">
        <w:rPr>
          <w:bCs/>
          <w:lang w:eastAsia="en-GB"/>
        </w:rPr>
        <w:t xml:space="preserve">aw on the </w:t>
      </w:r>
      <w:r w:rsidR="00E74400">
        <w:rPr>
          <w:bCs/>
          <w:lang w:eastAsia="en-GB"/>
        </w:rPr>
        <w:t>r</w:t>
      </w:r>
      <w:r w:rsidR="00622BAE" w:rsidRPr="00AB7138">
        <w:rPr>
          <w:bCs/>
          <w:lang w:eastAsia="en-GB"/>
        </w:rPr>
        <w:t xml:space="preserve">ight of </w:t>
      </w:r>
      <w:r w:rsidR="00E74400">
        <w:rPr>
          <w:bCs/>
          <w:lang w:eastAsia="en-GB"/>
        </w:rPr>
        <w:t>a</w:t>
      </w:r>
      <w:r w:rsidR="00622BAE" w:rsidRPr="00AB7138">
        <w:rPr>
          <w:bCs/>
          <w:lang w:eastAsia="en-GB"/>
        </w:rPr>
        <w:t xml:space="preserve">sylum and </w:t>
      </w:r>
      <w:r w:rsidR="00E74400">
        <w:rPr>
          <w:bCs/>
          <w:lang w:eastAsia="en-GB"/>
        </w:rPr>
        <w:t>r</w:t>
      </w:r>
      <w:r w:rsidR="00622BAE" w:rsidRPr="00AB7138">
        <w:rPr>
          <w:bCs/>
          <w:lang w:eastAsia="en-GB"/>
        </w:rPr>
        <w:t xml:space="preserve">efugee </w:t>
      </w:r>
      <w:r w:rsidR="00943D60">
        <w:rPr>
          <w:bCs/>
          <w:lang w:eastAsia="en-GB"/>
        </w:rPr>
        <w:t>s</w:t>
      </w:r>
      <w:r w:rsidR="00622BAE" w:rsidRPr="00AB7138">
        <w:rPr>
          <w:bCs/>
          <w:lang w:eastAsia="en-GB"/>
        </w:rPr>
        <w:t>tatus</w:t>
      </w:r>
      <w:r w:rsidR="00061941" w:rsidRPr="00AB7138">
        <w:rPr>
          <w:bCs/>
          <w:lang w:eastAsia="en-GB"/>
        </w:rPr>
        <w:t xml:space="preserve"> adopted in 2015, the Committee regret</w:t>
      </w:r>
      <w:r w:rsidR="00630999" w:rsidRPr="00AB7138">
        <w:rPr>
          <w:bCs/>
          <w:lang w:eastAsia="en-GB"/>
        </w:rPr>
        <w:t>s</w:t>
      </w:r>
      <w:r w:rsidR="00061941" w:rsidRPr="00AB7138">
        <w:rPr>
          <w:bCs/>
          <w:lang w:eastAsia="en-GB"/>
        </w:rPr>
        <w:t xml:space="preserve"> the lack of implementation mechanisms, including asylum procedures. It</w:t>
      </w:r>
      <w:r w:rsidR="005C3701" w:rsidRPr="00AB7138">
        <w:rPr>
          <w:bCs/>
          <w:lang w:eastAsia="en-GB"/>
        </w:rPr>
        <w:t xml:space="preserve"> is </w:t>
      </w:r>
      <w:r w:rsidR="00061941" w:rsidRPr="00AB7138">
        <w:rPr>
          <w:bCs/>
          <w:lang w:eastAsia="en-GB"/>
        </w:rPr>
        <w:t xml:space="preserve">also </w:t>
      </w:r>
      <w:r w:rsidR="005C3701" w:rsidRPr="00AB7138">
        <w:rPr>
          <w:bCs/>
          <w:lang w:eastAsia="en-GB"/>
        </w:rPr>
        <w:t>concerned about</w:t>
      </w:r>
      <w:r w:rsidR="00A14FB9" w:rsidRPr="00AB7138">
        <w:rPr>
          <w:bCs/>
          <w:lang w:eastAsia="en-GB"/>
        </w:rPr>
        <w:t>:</w:t>
      </w:r>
    </w:p>
    <w:p w14:paraId="2FEA5249" w14:textId="25A506E5" w:rsidR="00A14FB9" w:rsidRPr="00B15056" w:rsidRDefault="0053239B" w:rsidP="00B15056">
      <w:pPr>
        <w:pStyle w:val="SingleTxtG"/>
        <w:ind w:firstLine="567"/>
      </w:pPr>
      <w:r>
        <w:t>(a)</w:t>
      </w:r>
      <w:r>
        <w:tab/>
      </w:r>
      <w:r w:rsidR="00A14FB9" w:rsidRPr="00B15056">
        <w:t>Reports of m</w:t>
      </w:r>
      <w:r w:rsidR="005C3701" w:rsidRPr="00B15056">
        <w:t>ass expulsions of migrants</w:t>
      </w:r>
      <w:r w:rsidR="00061941" w:rsidRPr="00B15056">
        <w:t xml:space="preserve"> and asylum seekers</w:t>
      </w:r>
      <w:r w:rsidR="005C3701" w:rsidRPr="00B15056">
        <w:t>, including those in need of international protection, without carrying out the necessary individual assessment</w:t>
      </w:r>
      <w:r w:rsidR="007F52E3" w:rsidRPr="00B15056">
        <w:t>s</w:t>
      </w:r>
      <w:proofErr w:type="gramStart"/>
      <w:r w:rsidR="00A14FB9" w:rsidRPr="00B15056">
        <w:t>;</w:t>
      </w:r>
      <w:proofErr w:type="gramEnd"/>
    </w:p>
    <w:p w14:paraId="4B637F9A" w14:textId="470634FD" w:rsidR="00A14FB9" w:rsidRPr="00B15056" w:rsidRDefault="0053239B" w:rsidP="00B15056">
      <w:pPr>
        <w:pStyle w:val="SingleTxtG"/>
        <w:ind w:firstLine="567"/>
      </w:pPr>
      <w:r>
        <w:t>(b)</w:t>
      </w:r>
      <w:r>
        <w:tab/>
      </w:r>
      <w:r w:rsidR="00516326" w:rsidRPr="00B15056">
        <w:t xml:space="preserve">The large number of undocumented asylum seekers and refugees </w:t>
      </w:r>
      <w:r w:rsidR="007F52E3" w:rsidRPr="00B15056">
        <w:t xml:space="preserve">owing </w:t>
      </w:r>
      <w:r w:rsidR="00516326" w:rsidRPr="00B15056">
        <w:t>to the s</w:t>
      </w:r>
      <w:r w:rsidR="00CA0EB7" w:rsidRPr="00B15056">
        <w:t xml:space="preserve">uspension </w:t>
      </w:r>
      <w:r w:rsidR="00516326" w:rsidRPr="00B15056">
        <w:t xml:space="preserve">of registration procedures, subjecting many </w:t>
      </w:r>
      <w:r w:rsidR="00180E15" w:rsidRPr="00B15056">
        <w:t xml:space="preserve">of them </w:t>
      </w:r>
      <w:r w:rsidR="00516326" w:rsidRPr="00B15056">
        <w:t xml:space="preserve">to automatic detention </w:t>
      </w:r>
      <w:r w:rsidR="00180E15" w:rsidRPr="00B15056">
        <w:t xml:space="preserve">for allegedly </w:t>
      </w:r>
      <w:r w:rsidR="00516326" w:rsidRPr="00B15056">
        <w:t>illegal stay in the State party</w:t>
      </w:r>
      <w:r w:rsidR="00A14FB9" w:rsidRPr="00B15056">
        <w:t>;</w:t>
      </w:r>
    </w:p>
    <w:p w14:paraId="432322EB" w14:textId="22715CE9" w:rsidR="00BB700A" w:rsidRPr="00B15056" w:rsidRDefault="0053239B" w:rsidP="00B15056">
      <w:pPr>
        <w:pStyle w:val="SingleTxtG"/>
        <w:ind w:firstLine="567"/>
      </w:pPr>
      <w:r>
        <w:t>(c)</w:t>
      </w:r>
      <w:r>
        <w:tab/>
      </w:r>
      <w:r w:rsidR="00061941" w:rsidRPr="00B15056">
        <w:t xml:space="preserve">The </w:t>
      </w:r>
      <w:r w:rsidR="00BB700A" w:rsidRPr="00B15056">
        <w:t xml:space="preserve">limited access to basic </w:t>
      </w:r>
      <w:r w:rsidR="00C47837" w:rsidRPr="00B15056">
        <w:t xml:space="preserve">social </w:t>
      </w:r>
      <w:r w:rsidR="00BB700A" w:rsidRPr="00B15056">
        <w:t>services</w:t>
      </w:r>
      <w:r w:rsidR="00061941" w:rsidRPr="00B15056">
        <w:t xml:space="preserve"> by asylum seekers staying in reception cent</w:t>
      </w:r>
      <w:r w:rsidR="00180E15" w:rsidRPr="00B15056">
        <w:t>re</w:t>
      </w:r>
      <w:r w:rsidR="00061941" w:rsidRPr="00B15056">
        <w:t>s</w:t>
      </w:r>
      <w:r w:rsidR="00BB700A" w:rsidRPr="00B15056">
        <w:t xml:space="preserve"> and that </w:t>
      </w:r>
      <w:r w:rsidR="00C47837" w:rsidRPr="00B15056">
        <w:t>they</w:t>
      </w:r>
      <w:r w:rsidR="00BB700A" w:rsidRPr="00B15056">
        <w:t xml:space="preserve"> are obliged to stay in immigration cent</w:t>
      </w:r>
      <w:r w:rsidR="00180E15" w:rsidRPr="00B15056">
        <w:t>re</w:t>
      </w:r>
      <w:r w:rsidR="00BB700A" w:rsidRPr="00B15056">
        <w:t>s</w:t>
      </w:r>
      <w:r w:rsidR="00943D60" w:rsidRPr="00B15056">
        <w:t xml:space="preserve">, </w:t>
      </w:r>
      <w:r w:rsidR="00180E15" w:rsidRPr="00B15056">
        <w:t xml:space="preserve">which </w:t>
      </w:r>
      <w:r w:rsidR="00943D60" w:rsidRPr="00B15056">
        <w:t xml:space="preserve">are </w:t>
      </w:r>
      <w:r w:rsidR="00180E15" w:rsidRPr="00B15056">
        <w:t>in</w:t>
      </w:r>
      <w:r w:rsidR="00943D60" w:rsidRPr="00B15056">
        <w:t xml:space="preserve"> poor condition,</w:t>
      </w:r>
      <w:r w:rsidR="00BB700A" w:rsidRPr="00B15056">
        <w:t xml:space="preserve"> throughout the adjudication process.</w:t>
      </w:r>
    </w:p>
    <w:p w14:paraId="35FF6165" w14:textId="54ED2431" w:rsidR="00020FDF" w:rsidRPr="00AB7138" w:rsidRDefault="00556A05" w:rsidP="00B15056">
      <w:pPr>
        <w:pStyle w:val="SingleTxtG"/>
        <w:tabs>
          <w:tab w:val="left" w:pos="1701"/>
        </w:tabs>
        <w:rPr>
          <w:b/>
          <w:bCs/>
          <w:lang w:eastAsia="en-GB"/>
        </w:rPr>
      </w:pPr>
      <w:r w:rsidRPr="00AB7138">
        <w:rPr>
          <w:bCs/>
          <w:lang w:eastAsia="en-GB"/>
        </w:rPr>
        <w:t>24.</w:t>
      </w:r>
      <w:r w:rsidRPr="00AB7138">
        <w:rPr>
          <w:bCs/>
          <w:lang w:eastAsia="en-GB"/>
        </w:rPr>
        <w:tab/>
      </w:r>
      <w:r w:rsidR="00630999" w:rsidRPr="00AB7138">
        <w:rPr>
          <w:b/>
          <w:bCs/>
          <w:lang w:eastAsia="en-GB"/>
        </w:rPr>
        <w:t>The Committee urges the State party to</w:t>
      </w:r>
      <w:r w:rsidR="00020FDF" w:rsidRPr="00AB7138">
        <w:rPr>
          <w:b/>
          <w:bCs/>
          <w:lang w:eastAsia="en-GB"/>
        </w:rPr>
        <w:t>:</w:t>
      </w:r>
    </w:p>
    <w:p w14:paraId="2148393C" w14:textId="72062B29" w:rsidR="00630999" w:rsidRPr="00B15056" w:rsidRDefault="0053239B" w:rsidP="00B15056">
      <w:pPr>
        <w:pStyle w:val="SingleTxtG"/>
        <w:ind w:firstLine="567"/>
        <w:rPr>
          <w:b/>
        </w:rPr>
      </w:pPr>
      <w:r>
        <w:t>(a)</w:t>
      </w:r>
      <w:r>
        <w:tab/>
      </w:r>
      <w:r w:rsidR="001B7BE5" w:rsidRPr="00B15056">
        <w:rPr>
          <w:b/>
        </w:rPr>
        <w:t xml:space="preserve">Ensure the </w:t>
      </w:r>
      <w:r w:rsidR="00630999" w:rsidRPr="00B15056">
        <w:rPr>
          <w:b/>
        </w:rPr>
        <w:t>implementat</w:t>
      </w:r>
      <w:r w:rsidR="00622BAE" w:rsidRPr="00B15056">
        <w:rPr>
          <w:b/>
        </w:rPr>
        <w:t xml:space="preserve">ion </w:t>
      </w:r>
      <w:r w:rsidR="001B7BE5" w:rsidRPr="00B15056">
        <w:rPr>
          <w:b/>
        </w:rPr>
        <w:t xml:space="preserve">of </w:t>
      </w:r>
      <w:r w:rsidR="00622BAE" w:rsidRPr="00B15056">
        <w:rPr>
          <w:b/>
        </w:rPr>
        <w:t xml:space="preserve">the law on the </w:t>
      </w:r>
      <w:r w:rsidR="00A97DAE" w:rsidRPr="00B15056">
        <w:rPr>
          <w:b/>
        </w:rPr>
        <w:t>r</w:t>
      </w:r>
      <w:r w:rsidR="00622BAE" w:rsidRPr="00B15056">
        <w:rPr>
          <w:b/>
        </w:rPr>
        <w:t xml:space="preserve">ight of </w:t>
      </w:r>
      <w:r w:rsidR="00A97DAE" w:rsidRPr="00B15056">
        <w:rPr>
          <w:b/>
        </w:rPr>
        <w:t>a</w:t>
      </w:r>
      <w:r w:rsidR="00622BAE" w:rsidRPr="00B15056">
        <w:rPr>
          <w:b/>
        </w:rPr>
        <w:t xml:space="preserve">sylum and </w:t>
      </w:r>
      <w:r w:rsidR="00A97DAE" w:rsidRPr="00B15056">
        <w:rPr>
          <w:b/>
        </w:rPr>
        <w:t>r</w:t>
      </w:r>
      <w:r w:rsidR="00622BAE" w:rsidRPr="00B15056">
        <w:rPr>
          <w:b/>
        </w:rPr>
        <w:t xml:space="preserve">efugee </w:t>
      </w:r>
      <w:r w:rsidR="00A97DAE" w:rsidRPr="00B15056">
        <w:rPr>
          <w:b/>
        </w:rPr>
        <w:t>s</w:t>
      </w:r>
      <w:r w:rsidR="00622BAE" w:rsidRPr="00B15056">
        <w:rPr>
          <w:b/>
        </w:rPr>
        <w:t>tatus</w:t>
      </w:r>
      <w:r w:rsidR="00630999" w:rsidRPr="00B15056">
        <w:rPr>
          <w:b/>
        </w:rPr>
        <w:t xml:space="preserve"> and put in place </w:t>
      </w:r>
      <w:r w:rsidR="00C47837" w:rsidRPr="00B15056">
        <w:rPr>
          <w:b/>
        </w:rPr>
        <w:t xml:space="preserve">fair and </w:t>
      </w:r>
      <w:r w:rsidR="00630999" w:rsidRPr="00B15056">
        <w:rPr>
          <w:b/>
        </w:rPr>
        <w:t xml:space="preserve">effective </w:t>
      </w:r>
      <w:r w:rsidR="00C47837" w:rsidRPr="00B15056">
        <w:rPr>
          <w:b/>
        </w:rPr>
        <w:t xml:space="preserve">asylum </w:t>
      </w:r>
      <w:r w:rsidR="00020FDF" w:rsidRPr="00B15056">
        <w:rPr>
          <w:b/>
        </w:rPr>
        <w:t>procedures</w:t>
      </w:r>
      <w:r w:rsidR="00F72E6B" w:rsidRPr="00B15056">
        <w:rPr>
          <w:b/>
        </w:rPr>
        <w:t>,</w:t>
      </w:r>
      <w:r w:rsidR="00020FDF" w:rsidRPr="00B15056">
        <w:rPr>
          <w:b/>
        </w:rPr>
        <w:t xml:space="preserve"> </w:t>
      </w:r>
      <w:r w:rsidR="00C47837" w:rsidRPr="00B15056">
        <w:rPr>
          <w:b/>
        </w:rPr>
        <w:t xml:space="preserve">embracing </w:t>
      </w:r>
      <w:r w:rsidR="00490D36" w:rsidRPr="00B15056">
        <w:rPr>
          <w:b/>
        </w:rPr>
        <w:t xml:space="preserve">protection against </w:t>
      </w:r>
      <w:proofErr w:type="spellStart"/>
      <w:r w:rsidR="00490D36" w:rsidRPr="00B15056">
        <w:rPr>
          <w:b/>
        </w:rPr>
        <w:t>refoulement</w:t>
      </w:r>
      <w:proofErr w:type="spellEnd"/>
      <w:r w:rsidR="00020FDF" w:rsidRPr="00B15056">
        <w:rPr>
          <w:b/>
        </w:rPr>
        <w:t>;</w:t>
      </w:r>
    </w:p>
    <w:p w14:paraId="6AC86898" w14:textId="71B2BFE6" w:rsidR="00AC3713" w:rsidRPr="00B15056" w:rsidRDefault="0053239B" w:rsidP="00B15056">
      <w:pPr>
        <w:pStyle w:val="SingleTxtG"/>
        <w:ind w:firstLine="567"/>
        <w:rPr>
          <w:b/>
        </w:rPr>
      </w:pPr>
      <w:r>
        <w:t>(b)</w:t>
      </w:r>
      <w:r>
        <w:tab/>
      </w:r>
      <w:r w:rsidR="006A645E" w:rsidRPr="00B15056">
        <w:rPr>
          <w:b/>
        </w:rPr>
        <w:t xml:space="preserve">Ensure that detention of asylum seekers and refugees is used </w:t>
      </w:r>
      <w:r w:rsidR="00020FDF" w:rsidRPr="00B15056">
        <w:rPr>
          <w:b/>
        </w:rPr>
        <w:t xml:space="preserve">only </w:t>
      </w:r>
      <w:r w:rsidR="006A645E" w:rsidRPr="00B15056">
        <w:rPr>
          <w:b/>
        </w:rPr>
        <w:t xml:space="preserve">as a last resort and that those detained </w:t>
      </w:r>
      <w:r w:rsidR="00516326" w:rsidRPr="00B15056">
        <w:rPr>
          <w:b/>
        </w:rPr>
        <w:t>in reception cent</w:t>
      </w:r>
      <w:r w:rsidR="001E3B3E" w:rsidRPr="00B15056">
        <w:rPr>
          <w:b/>
        </w:rPr>
        <w:t>re</w:t>
      </w:r>
      <w:r w:rsidR="00516326" w:rsidRPr="00B15056">
        <w:rPr>
          <w:b/>
        </w:rPr>
        <w:t xml:space="preserve">s </w:t>
      </w:r>
      <w:r w:rsidR="006A645E" w:rsidRPr="00B15056">
        <w:rPr>
          <w:b/>
        </w:rPr>
        <w:t xml:space="preserve">are </w:t>
      </w:r>
      <w:r w:rsidR="00125523" w:rsidRPr="00B15056">
        <w:rPr>
          <w:b/>
        </w:rPr>
        <w:t xml:space="preserve">provided with legal safeguards </w:t>
      </w:r>
      <w:r w:rsidR="00943D60" w:rsidRPr="00B15056">
        <w:rPr>
          <w:b/>
        </w:rPr>
        <w:t xml:space="preserve">and have </w:t>
      </w:r>
      <w:r w:rsidR="00125523" w:rsidRPr="00B15056">
        <w:rPr>
          <w:b/>
        </w:rPr>
        <w:t>access to legal counsel a</w:t>
      </w:r>
      <w:r w:rsidR="00943D60" w:rsidRPr="00B15056">
        <w:rPr>
          <w:b/>
        </w:rPr>
        <w:t>s well as</w:t>
      </w:r>
      <w:r w:rsidR="00125523" w:rsidRPr="00B15056">
        <w:rPr>
          <w:b/>
        </w:rPr>
        <w:t xml:space="preserve"> interpretation services</w:t>
      </w:r>
      <w:r w:rsidR="00AC3713" w:rsidRPr="00B15056">
        <w:rPr>
          <w:b/>
        </w:rPr>
        <w:t>;</w:t>
      </w:r>
    </w:p>
    <w:p w14:paraId="25617918" w14:textId="6E168522" w:rsidR="00125523" w:rsidRPr="00B15056" w:rsidRDefault="0053239B" w:rsidP="00B15056">
      <w:pPr>
        <w:pStyle w:val="SingleTxtG"/>
        <w:ind w:firstLine="567"/>
        <w:rPr>
          <w:b/>
        </w:rPr>
      </w:pPr>
      <w:r>
        <w:t>(c)</w:t>
      </w:r>
      <w:r>
        <w:tab/>
      </w:r>
      <w:r w:rsidR="00AC3713" w:rsidRPr="00B15056">
        <w:rPr>
          <w:b/>
        </w:rPr>
        <w:t>Establish alternatives to the detention of children and families with children</w:t>
      </w:r>
      <w:proofErr w:type="gramStart"/>
      <w:r w:rsidR="00AC3713" w:rsidRPr="00B15056">
        <w:rPr>
          <w:b/>
        </w:rPr>
        <w:t>;</w:t>
      </w:r>
      <w:proofErr w:type="gramEnd"/>
    </w:p>
    <w:p w14:paraId="276F5A86" w14:textId="70FE5AF1" w:rsidR="00943D60" w:rsidRPr="00B15056" w:rsidRDefault="0053239B" w:rsidP="00B15056">
      <w:pPr>
        <w:pStyle w:val="SingleTxtG"/>
        <w:ind w:firstLine="567"/>
        <w:rPr>
          <w:b/>
        </w:rPr>
      </w:pPr>
      <w:r>
        <w:t>(d)</w:t>
      </w:r>
      <w:r>
        <w:tab/>
      </w:r>
      <w:r w:rsidR="00943D60" w:rsidRPr="00B15056">
        <w:rPr>
          <w:b/>
        </w:rPr>
        <w:t xml:space="preserve">Issue and renew identification documents </w:t>
      </w:r>
      <w:r w:rsidR="001E3B3E" w:rsidRPr="00B15056">
        <w:rPr>
          <w:b/>
        </w:rPr>
        <w:t>for</w:t>
      </w:r>
      <w:r w:rsidR="00943D60" w:rsidRPr="00B15056">
        <w:rPr>
          <w:b/>
        </w:rPr>
        <w:t xml:space="preserve"> asylum seekers and refugees in a timely manner </w:t>
      </w:r>
      <w:proofErr w:type="gramStart"/>
      <w:r w:rsidR="00943D60" w:rsidRPr="00B15056">
        <w:rPr>
          <w:b/>
        </w:rPr>
        <w:t>so as to</w:t>
      </w:r>
      <w:proofErr w:type="gramEnd"/>
      <w:r w:rsidR="00943D60" w:rsidRPr="00B15056">
        <w:rPr>
          <w:b/>
        </w:rPr>
        <w:t xml:space="preserve"> facilitate their access to basic social services, and prevent their arbitrary detention;</w:t>
      </w:r>
    </w:p>
    <w:p w14:paraId="75F0811F" w14:textId="3BE1F299" w:rsidR="006A645E" w:rsidRPr="00B15056" w:rsidRDefault="0053239B" w:rsidP="00B15056">
      <w:pPr>
        <w:pStyle w:val="SingleTxtG"/>
        <w:ind w:firstLine="567"/>
        <w:rPr>
          <w:b/>
        </w:rPr>
      </w:pPr>
      <w:r>
        <w:t>(e)</w:t>
      </w:r>
      <w:r>
        <w:tab/>
      </w:r>
      <w:r w:rsidR="00125523" w:rsidRPr="00B15056">
        <w:rPr>
          <w:b/>
        </w:rPr>
        <w:t xml:space="preserve">Improve </w:t>
      </w:r>
      <w:r w:rsidR="001E3B3E" w:rsidRPr="00B15056">
        <w:rPr>
          <w:b/>
        </w:rPr>
        <w:t xml:space="preserve">the </w:t>
      </w:r>
      <w:r w:rsidR="00125523" w:rsidRPr="00B15056">
        <w:rPr>
          <w:b/>
        </w:rPr>
        <w:t>material conditions of reception cent</w:t>
      </w:r>
      <w:r w:rsidR="001E3B3E" w:rsidRPr="00B15056">
        <w:rPr>
          <w:b/>
        </w:rPr>
        <w:t>re</w:t>
      </w:r>
      <w:r w:rsidR="00125523" w:rsidRPr="00B15056">
        <w:rPr>
          <w:b/>
        </w:rPr>
        <w:t xml:space="preserve">s and ensure that asylum seekers </w:t>
      </w:r>
      <w:r w:rsidR="00BF0E88" w:rsidRPr="00B15056">
        <w:rPr>
          <w:b/>
        </w:rPr>
        <w:t>staying in these cent</w:t>
      </w:r>
      <w:r w:rsidR="001E3B3E" w:rsidRPr="00B15056">
        <w:rPr>
          <w:b/>
        </w:rPr>
        <w:t>re</w:t>
      </w:r>
      <w:r w:rsidR="00BF0E88" w:rsidRPr="00B15056">
        <w:rPr>
          <w:b/>
        </w:rPr>
        <w:t xml:space="preserve">s </w:t>
      </w:r>
      <w:proofErr w:type="gramStart"/>
      <w:r w:rsidR="00C50031" w:rsidRPr="00B15056">
        <w:rPr>
          <w:b/>
        </w:rPr>
        <w:t>are guaranteed</w:t>
      </w:r>
      <w:proofErr w:type="gramEnd"/>
      <w:r w:rsidR="006A645E" w:rsidRPr="00B15056">
        <w:rPr>
          <w:b/>
        </w:rPr>
        <w:t xml:space="preserve"> </w:t>
      </w:r>
      <w:r w:rsidR="001B7BE5" w:rsidRPr="00B15056">
        <w:rPr>
          <w:b/>
        </w:rPr>
        <w:t xml:space="preserve">an </w:t>
      </w:r>
      <w:r w:rsidR="006A645E" w:rsidRPr="00B15056">
        <w:rPr>
          <w:b/>
        </w:rPr>
        <w:t>adequate standard of living and enjoy access to basic social services</w:t>
      </w:r>
      <w:r w:rsidR="00A97DAE" w:rsidRPr="00B15056">
        <w:rPr>
          <w:b/>
        </w:rPr>
        <w:t>;</w:t>
      </w:r>
    </w:p>
    <w:p w14:paraId="7540762F" w14:textId="6624BCA9" w:rsidR="00A14FB9" w:rsidRPr="00B15056" w:rsidRDefault="0053239B" w:rsidP="00B15056">
      <w:pPr>
        <w:pStyle w:val="SingleTxtG"/>
        <w:ind w:firstLine="567"/>
        <w:rPr>
          <w:b/>
        </w:rPr>
      </w:pPr>
      <w:r>
        <w:t>(f)</w:t>
      </w:r>
      <w:r>
        <w:tab/>
      </w:r>
      <w:r w:rsidR="00622BAE" w:rsidRPr="00B15056">
        <w:rPr>
          <w:b/>
        </w:rPr>
        <w:t>Introduce the necessary legislative and policy amendments to</w:t>
      </w:r>
      <w:r w:rsidR="006A645E" w:rsidRPr="00B15056">
        <w:rPr>
          <w:b/>
        </w:rPr>
        <w:t xml:space="preserve"> remove the </w:t>
      </w:r>
      <w:r w:rsidR="001E3B3E" w:rsidRPr="00B15056">
        <w:rPr>
          <w:b/>
        </w:rPr>
        <w:t>requirement that</w:t>
      </w:r>
      <w:r w:rsidR="006A645E" w:rsidRPr="00B15056">
        <w:rPr>
          <w:b/>
        </w:rPr>
        <w:t xml:space="preserve"> asylum seekers </w:t>
      </w:r>
      <w:r w:rsidR="001E3B3E" w:rsidRPr="00B15056">
        <w:rPr>
          <w:b/>
        </w:rPr>
        <w:t xml:space="preserve">must </w:t>
      </w:r>
      <w:r w:rsidR="006A645E" w:rsidRPr="00B15056">
        <w:rPr>
          <w:b/>
        </w:rPr>
        <w:t>reside in closed reception cent</w:t>
      </w:r>
      <w:r w:rsidR="001E3B3E" w:rsidRPr="00B15056">
        <w:rPr>
          <w:b/>
        </w:rPr>
        <w:t>re</w:t>
      </w:r>
      <w:r w:rsidR="006A645E" w:rsidRPr="00B15056">
        <w:rPr>
          <w:b/>
        </w:rPr>
        <w:t>s</w:t>
      </w:r>
      <w:r w:rsidR="00AC3713" w:rsidRPr="00B15056">
        <w:rPr>
          <w:b/>
        </w:rPr>
        <w:t>.</w:t>
      </w:r>
    </w:p>
    <w:p w14:paraId="4502E11C" w14:textId="77777777" w:rsidR="008806E7" w:rsidRPr="00AB7138" w:rsidRDefault="00442080" w:rsidP="00FC6FBC">
      <w:pPr>
        <w:pStyle w:val="H23G"/>
        <w:ind w:firstLine="0"/>
        <w:rPr>
          <w:lang w:eastAsia="en-GB"/>
        </w:rPr>
      </w:pPr>
      <w:r w:rsidRPr="00AB7138">
        <w:rPr>
          <w:lang w:eastAsia="en-GB"/>
        </w:rPr>
        <w:t>Equality between women and men</w:t>
      </w:r>
    </w:p>
    <w:p w14:paraId="1A82C8B7" w14:textId="60856D84" w:rsidR="003244CA" w:rsidRPr="00AB7138" w:rsidRDefault="00556A05" w:rsidP="00B15056">
      <w:pPr>
        <w:pStyle w:val="SingleTxtG"/>
        <w:tabs>
          <w:tab w:val="left" w:pos="1701"/>
        </w:tabs>
        <w:rPr>
          <w:bCs/>
          <w:lang w:eastAsia="en-GB"/>
        </w:rPr>
      </w:pPr>
      <w:r w:rsidRPr="00AB7138">
        <w:rPr>
          <w:bCs/>
          <w:lang w:eastAsia="en-GB"/>
        </w:rPr>
        <w:t>25.</w:t>
      </w:r>
      <w:r w:rsidRPr="00AB7138">
        <w:rPr>
          <w:bCs/>
          <w:lang w:eastAsia="en-GB"/>
        </w:rPr>
        <w:tab/>
      </w:r>
      <w:r w:rsidR="008806E7" w:rsidRPr="00AB7138">
        <w:rPr>
          <w:bCs/>
          <w:lang w:eastAsia="en-GB"/>
        </w:rPr>
        <w:t>T</w:t>
      </w:r>
      <w:r w:rsidR="00796142" w:rsidRPr="00AB7138">
        <w:rPr>
          <w:bCs/>
          <w:lang w:eastAsia="en-GB"/>
        </w:rPr>
        <w:t>he Committee is concer</w:t>
      </w:r>
      <w:r w:rsidR="008806E7" w:rsidRPr="00AB7138">
        <w:rPr>
          <w:bCs/>
          <w:lang w:eastAsia="en-GB"/>
        </w:rPr>
        <w:t>n</w:t>
      </w:r>
      <w:r w:rsidR="00810FE6" w:rsidRPr="00AB7138">
        <w:rPr>
          <w:bCs/>
          <w:lang w:eastAsia="en-GB"/>
        </w:rPr>
        <w:t xml:space="preserve">ed about the persistence of traditional stereotypes </w:t>
      </w:r>
      <w:r w:rsidR="007457A3" w:rsidRPr="00AB7138">
        <w:rPr>
          <w:bCs/>
          <w:lang w:eastAsia="en-GB"/>
        </w:rPr>
        <w:t>regarding the role</w:t>
      </w:r>
      <w:r w:rsidR="00943D60">
        <w:rPr>
          <w:bCs/>
          <w:lang w:eastAsia="en-GB"/>
        </w:rPr>
        <w:t>s</w:t>
      </w:r>
      <w:r w:rsidR="007457A3" w:rsidRPr="00AB7138">
        <w:rPr>
          <w:bCs/>
          <w:lang w:eastAsia="en-GB"/>
        </w:rPr>
        <w:t xml:space="preserve"> of women and men in the family and in society</w:t>
      </w:r>
      <w:r w:rsidR="00F11F8B">
        <w:rPr>
          <w:bCs/>
          <w:lang w:eastAsia="en-GB"/>
        </w:rPr>
        <w:t>,</w:t>
      </w:r>
      <w:r w:rsidR="00C47837" w:rsidRPr="00AB7138">
        <w:rPr>
          <w:bCs/>
          <w:lang w:eastAsia="en-GB"/>
        </w:rPr>
        <w:t xml:space="preserve"> which have an adverse impact o</w:t>
      </w:r>
      <w:r w:rsidR="00C0057D">
        <w:rPr>
          <w:bCs/>
          <w:lang w:eastAsia="en-GB"/>
        </w:rPr>
        <w:t>n</w:t>
      </w:r>
      <w:r w:rsidR="00C47837" w:rsidRPr="00AB7138">
        <w:rPr>
          <w:bCs/>
          <w:lang w:eastAsia="en-GB"/>
        </w:rPr>
        <w:t xml:space="preserve"> the enjoyment by women of their economic, social and cultural rights as well as on their</w:t>
      </w:r>
      <w:r w:rsidR="008806E7" w:rsidRPr="00AB7138">
        <w:rPr>
          <w:bCs/>
          <w:lang w:eastAsia="en-GB"/>
        </w:rPr>
        <w:t xml:space="preserve"> </w:t>
      </w:r>
      <w:r w:rsidR="00B97301" w:rsidRPr="00AB7138">
        <w:rPr>
          <w:bCs/>
          <w:lang w:eastAsia="en-GB"/>
        </w:rPr>
        <w:t>presence and i</w:t>
      </w:r>
      <w:r w:rsidR="00C47837" w:rsidRPr="00AB7138">
        <w:rPr>
          <w:bCs/>
          <w:lang w:eastAsia="en-GB"/>
        </w:rPr>
        <w:t>nfluence</w:t>
      </w:r>
      <w:r w:rsidR="008806E7" w:rsidRPr="00AB7138">
        <w:rPr>
          <w:bCs/>
          <w:lang w:eastAsia="en-GB"/>
        </w:rPr>
        <w:t xml:space="preserve"> in the public and political domains.</w:t>
      </w:r>
      <w:r w:rsidR="00D06AA8" w:rsidRPr="00AB7138">
        <w:rPr>
          <w:bCs/>
          <w:lang w:eastAsia="en-GB"/>
        </w:rPr>
        <w:t xml:space="preserve"> </w:t>
      </w:r>
      <w:r w:rsidR="003244CA" w:rsidRPr="00AB7138">
        <w:rPr>
          <w:bCs/>
          <w:lang w:eastAsia="en-GB"/>
        </w:rPr>
        <w:t>While noting the information provided by the delegation on the existence of</w:t>
      </w:r>
      <w:r w:rsidR="002C7840" w:rsidRPr="00AB7138">
        <w:rPr>
          <w:bCs/>
          <w:lang w:eastAsia="en-GB"/>
        </w:rPr>
        <w:t xml:space="preserve"> </w:t>
      </w:r>
      <w:r w:rsidR="00020FDF" w:rsidRPr="00AB7138">
        <w:rPr>
          <w:bCs/>
          <w:lang w:eastAsia="en-GB"/>
        </w:rPr>
        <w:t xml:space="preserve">a </w:t>
      </w:r>
      <w:r w:rsidR="00C0057D">
        <w:rPr>
          <w:bCs/>
          <w:lang w:eastAsia="en-GB"/>
        </w:rPr>
        <w:t>c</w:t>
      </w:r>
      <w:r w:rsidR="002C7840" w:rsidRPr="00AB7138">
        <w:rPr>
          <w:bCs/>
          <w:lang w:eastAsia="en-GB"/>
        </w:rPr>
        <w:t>onstitutional provision on equality before the law</w:t>
      </w:r>
      <w:r w:rsidR="003244CA" w:rsidRPr="00AB7138">
        <w:rPr>
          <w:bCs/>
          <w:lang w:eastAsia="en-GB"/>
        </w:rPr>
        <w:t xml:space="preserve">, </w:t>
      </w:r>
      <w:r w:rsidR="00A23D41" w:rsidRPr="00AB7138">
        <w:rPr>
          <w:bCs/>
          <w:lang w:eastAsia="en-GB"/>
        </w:rPr>
        <w:t xml:space="preserve">the Committee remains concerned that </w:t>
      </w:r>
      <w:r w:rsidR="003244CA" w:rsidRPr="00AB7138">
        <w:rPr>
          <w:bCs/>
          <w:lang w:eastAsia="en-GB"/>
        </w:rPr>
        <w:t xml:space="preserve">in reality customary law </w:t>
      </w:r>
      <w:r w:rsidR="00C0057D">
        <w:rPr>
          <w:bCs/>
          <w:lang w:eastAsia="en-GB"/>
        </w:rPr>
        <w:t xml:space="preserve">that </w:t>
      </w:r>
      <w:r w:rsidR="001B7BE5" w:rsidRPr="00AB7138">
        <w:rPr>
          <w:bCs/>
          <w:lang w:eastAsia="en-GB"/>
        </w:rPr>
        <w:t>perpetuat</w:t>
      </w:r>
      <w:r w:rsidR="00C0057D">
        <w:rPr>
          <w:bCs/>
          <w:lang w:eastAsia="en-GB"/>
        </w:rPr>
        <w:t>es</w:t>
      </w:r>
      <w:r w:rsidR="001B7BE5" w:rsidRPr="002824FE">
        <w:rPr>
          <w:bCs/>
          <w:lang w:eastAsia="en-GB"/>
        </w:rPr>
        <w:t xml:space="preserve"> </w:t>
      </w:r>
      <w:r w:rsidR="003244CA" w:rsidRPr="002824FE">
        <w:rPr>
          <w:bCs/>
          <w:lang w:eastAsia="en-GB"/>
        </w:rPr>
        <w:t xml:space="preserve">discrimination against women and girls in property and inheritance rights prevails. The Committee </w:t>
      </w:r>
      <w:r w:rsidR="003244CA" w:rsidRPr="00AB7138">
        <w:rPr>
          <w:bCs/>
          <w:lang w:eastAsia="en-GB"/>
        </w:rPr>
        <w:t xml:space="preserve">is also concerned about limited access to justice by women and </w:t>
      </w:r>
      <w:r w:rsidR="00C50031" w:rsidRPr="00AB7138">
        <w:rPr>
          <w:bCs/>
          <w:lang w:eastAsia="en-GB"/>
        </w:rPr>
        <w:t xml:space="preserve">girls </w:t>
      </w:r>
      <w:r w:rsidR="00C50031">
        <w:rPr>
          <w:bCs/>
          <w:lang w:eastAsia="en-GB"/>
        </w:rPr>
        <w:t>who</w:t>
      </w:r>
      <w:r w:rsidR="00C0057D">
        <w:rPr>
          <w:bCs/>
          <w:lang w:eastAsia="en-GB"/>
        </w:rPr>
        <w:t xml:space="preserve"> are </w:t>
      </w:r>
      <w:r w:rsidR="003244CA" w:rsidRPr="00AB7138">
        <w:rPr>
          <w:bCs/>
          <w:lang w:eastAsia="en-GB"/>
        </w:rPr>
        <w:t>victims of discrimination, especially in rural areas</w:t>
      </w:r>
      <w:r w:rsidR="005F6225" w:rsidRPr="00AB7138">
        <w:rPr>
          <w:bCs/>
          <w:lang w:eastAsia="en-GB"/>
        </w:rPr>
        <w:t xml:space="preserve"> (art.</w:t>
      </w:r>
      <w:r w:rsidR="0053239B">
        <w:rPr>
          <w:bCs/>
          <w:lang w:eastAsia="en-GB"/>
        </w:rPr>
        <w:t> </w:t>
      </w:r>
      <w:r w:rsidR="005F6225" w:rsidRPr="00AB7138">
        <w:rPr>
          <w:bCs/>
          <w:lang w:eastAsia="en-GB"/>
        </w:rPr>
        <w:t>3)</w:t>
      </w:r>
      <w:r w:rsidR="003244CA" w:rsidRPr="00AB7138">
        <w:rPr>
          <w:bCs/>
          <w:lang w:eastAsia="en-GB"/>
        </w:rPr>
        <w:t>.</w:t>
      </w:r>
    </w:p>
    <w:p w14:paraId="265ACA48" w14:textId="7E1E1F1A" w:rsidR="003244CA" w:rsidRPr="00AB7138" w:rsidRDefault="00556A05" w:rsidP="00B15056">
      <w:pPr>
        <w:pStyle w:val="SingleTxtG"/>
        <w:keepNext/>
        <w:tabs>
          <w:tab w:val="left" w:pos="1701"/>
        </w:tabs>
        <w:rPr>
          <w:b/>
          <w:bCs/>
          <w:lang w:eastAsia="en-GB"/>
        </w:rPr>
      </w:pPr>
      <w:r w:rsidRPr="00AB7138">
        <w:rPr>
          <w:bCs/>
          <w:lang w:eastAsia="en-GB"/>
        </w:rPr>
        <w:t>26.</w:t>
      </w:r>
      <w:r w:rsidRPr="00AB7138">
        <w:rPr>
          <w:bCs/>
          <w:lang w:eastAsia="en-GB"/>
        </w:rPr>
        <w:tab/>
      </w:r>
      <w:r w:rsidR="003244CA" w:rsidRPr="00AB7138">
        <w:rPr>
          <w:b/>
          <w:bCs/>
          <w:lang w:eastAsia="en-GB"/>
        </w:rPr>
        <w:t>The Committee recomme</w:t>
      </w:r>
      <w:r w:rsidR="00D85E6A" w:rsidRPr="00AB7138">
        <w:rPr>
          <w:b/>
          <w:bCs/>
          <w:lang w:eastAsia="en-GB"/>
        </w:rPr>
        <w:t>nds that the State party step u</w:t>
      </w:r>
      <w:r w:rsidR="003244CA" w:rsidRPr="00AB7138">
        <w:rPr>
          <w:b/>
          <w:bCs/>
          <w:lang w:eastAsia="en-GB"/>
        </w:rPr>
        <w:t>p its efforts to achieve substantive equality between men and women. It recommends that the State party:</w:t>
      </w:r>
    </w:p>
    <w:p w14:paraId="040EEFAC" w14:textId="50D4B2F6" w:rsidR="00A23D41" w:rsidRPr="00B15056" w:rsidRDefault="0053239B" w:rsidP="00B15056">
      <w:pPr>
        <w:pStyle w:val="SingleTxtG"/>
        <w:ind w:firstLine="567"/>
        <w:rPr>
          <w:b/>
        </w:rPr>
      </w:pPr>
      <w:r>
        <w:t>(a)</w:t>
      </w:r>
      <w:r>
        <w:tab/>
      </w:r>
      <w:r w:rsidR="009A44AB" w:rsidRPr="00B15056">
        <w:rPr>
          <w:b/>
        </w:rPr>
        <w:t>Take measure</w:t>
      </w:r>
      <w:r w:rsidR="00A23D41" w:rsidRPr="00B15056">
        <w:rPr>
          <w:b/>
        </w:rPr>
        <w:t xml:space="preserve">s </w:t>
      </w:r>
      <w:proofErr w:type="gramStart"/>
      <w:r w:rsidR="00A23D41" w:rsidRPr="00B15056">
        <w:rPr>
          <w:b/>
        </w:rPr>
        <w:t>to effectively prevent</w:t>
      </w:r>
      <w:proofErr w:type="gramEnd"/>
      <w:r w:rsidR="00A23D41" w:rsidRPr="00B15056">
        <w:rPr>
          <w:b/>
        </w:rPr>
        <w:t xml:space="preserve"> all forms of discrimination against women and girls, including in inheritance, and address customary practices as well as patriarchal attitudes</w:t>
      </w:r>
      <w:r w:rsidR="008B016B" w:rsidRPr="00B15056">
        <w:rPr>
          <w:b/>
        </w:rPr>
        <w:t xml:space="preserve"> and attitudes based on stereotypes</w:t>
      </w:r>
      <w:r w:rsidR="00A23D41" w:rsidRPr="00B15056">
        <w:rPr>
          <w:b/>
        </w:rPr>
        <w:t>;</w:t>
      </w:r>
    </w:p>
    <w:p w14:paraId="4C0D3FD9" w14:textId="0AE261BC" w:rsidR="00CC2E45" w:rsidRPr="00B15056" w:rsidRDefault="0053239B" w:rsidP="00B15056">
      <w:pPr>
        <w:pStyle w:val="SingleTxtG"/>
        <w:ind w:firstLine="567"/>
        <w:rPr>
          <w:b/>
        </w:rPr>
      </w:pPr>
      <w:r>
        <w:t>(b)</w:t>
      </w:r>
      <w:r>
        <w:tab/>
      </w:r>
      <w:r w:rsidR="00D73009" w:rsidRPr="00B15056">
        <w:rPr>
          <w:b/>
        </w:rPr>
        <w:t xml:space="preserve">Facilitate access by women, especially </w:t>
      </w:r>
      <w:r w:rsidR="008B016B" w:rsidRPr="00B15056">
        <w:rPr>
          <w:b/>
        </w:rPr>
        <w:t xml:space="preserve">women in </w:t>
      </w:r>
      <w:r w:rsidR="00D73009" w:rsidRPr="00B15056">
        <w:rPr>
          <w:b/>
        </w:rPr>
        <w:t xml:space="preserve">rural areas, to justice by removing </w:t>
      </w:r>
      <w:r w:rsidR="00C0057D" w:rsidRPr="00B15056">
        <w:rPr>
          <w:b/>
        </w:rPr>
        <w:t xml:space="preserve">all </w:t>
      </w:r>
      <w:r w:rsidR="00D73009" w:rsidRPr="00B15056">
        <w:rPr>
          <w:b/>
        </w:rPr>
        <w:t xml:space="preserve">impediments </w:t>
      </w:r>
      <w:r w:rsidR="001B7BE5" w:rsidRPr="00B15056">
        <w:rPr>
          <w:b/>
        </w:rPr>
        <w:t xml:space="preserve">to </w:t>
      </w:r>
      <w:r w:rsidR="00D73009" w:rsidRPr="00B15056">
        <w:rPr>
          <w:b/>
        </w:rPr>
        <w:t xml:space="preserve">such access, including by providing free legal aid and raising awareness among women and the society in </w:t>
      </w:r>
      <w:r w:rsidR="00AF7AA6" w:rsidRPr="00B15056">
        <w:rPr>
          <w:b/>
        </w:rPr>
        <w:t>general</w:t>
      </w:r>
      <w:r w:rsidR="00C0057D" w:rsidRPr="00B15056">
        <w:rPr>
          <w:b/>
        </w:rPr>
        <w:t>,</w:t>
      </w:r>
      <w:r w:rsidR="00AF7AA6" w:rsidRPr="00B15056">
        <w:rPr>
          <w:b/>
        </w:rPr>
        <w:t xml:space="preserve"> with a view to eliminating stigmatization faced</w:t>
      </w:r>
      <w:r w:rsidR="00D73009" w:rsidRPr="00B15056">
        <w:rPr>
          <w:b/>
        </w:rPr>
        <w:t xml:space="preserve"> by women </w:t>
      </w:r>
      <w:r w:rsidR="008B016B" w:rsidRPr="00B15056">
        <w:rPr>
          <w:b/>
        </w:rPr>
        <w:t xml:space="preserve">who </w:t>
      </w:r>
      <w:r w:rsidR="00D73009" w:rsidRPr="00B15056">
        <w:rPr>
          <w:b/>
        </w:rPr>
        <w:t>claim their rights</w:t>
      </w:r>
      <w:r w:rsidR="00CC2E45" w:rsidRPr="00B15056">
        <w:rPr>
          <w:b/>
        </w:rPr>
        <w:t xml:space="preserve">; </w:t>
      </w:r>
    </w:p>
    <w:p w14:paraId="335741AC" w14:textId="48B52B16" w:rsidR="00A14FB9" w:rsidRPr="00B15056" w:rsidRDefault="0053239B" w:rsidP="00B15056">
      <w:pPr>
        <w:pStyle w:val="SingleTxtG"/>
        <w:ind w:firstLine="567"/>
        <w:rPr>
          <w:b/>
        </w:rPr>
      </w:pPr>
      <w:r>
        <w:t>(c)</w:t>
      </w:r>
      <w:r>
        <w:tab/>
      </w:r>
      <w:r w:rsidR="00CC2E45" w:rsidRPr="00B15056">
        <w:rPr>
          <w:b/>
        </w:rPr>
        <w:t xml:space="preserve">Take measures to change society’s perception of gender roles, including through awareness-raising campaigns on shared family responsibilities of men and women and on equal career opportunities, </w:t>
      </w:r>
      <w:r w:rsidR="00C0057D" w:rsidRPr="00B15056">
        <w:rPr>
          <w:b/>
        </w:rPr>
        <w:t>and</w:t>
      </w:r>
      <w:r w:rsidR="00CC2E45" w:rsidRPr="00B15056">
        <w:rPr>
          <w:b/>
        </w:rPr>
        <w:t xml:space="preserve"> ensure that women and men have equal access to all areas of political and public life</w:t>
      </w:r>
      <w:r w:rsidR="00A97DAE" w:rsidRPr="00B15056">
        <w:rPr>
          <w:b/>
        </w:rPr>
        <w:t>.</w:t>
      </w:r>
    </w:p>
    <w:p w14:paraId="357F3528" w14:textId="77777777" w:rsidR="00AB2E60" w:rsidRPr="00AB7138" w:rsidRDefault="005920C3" w:rsidP="00FC6FBC">
      <w:pPr>
        <w:pStyle w:val="H23G"/>
        <w:ind w:firstLine="0"/>
        <w:rPr>
          <w:lang w:eastAsia="en-GB"/>
        </w:rPr>
      </w:pPr>
      <w:r w:rsidRPr="00AB7138">
        <w:rPr>
          <w:lang w:eastAsia="en-GB"/>
        </w:rPr>
        <w:t>Right to work</w:t>
      </w:r>
    </w:p>
    <w:p w14:paraId="6C2718EB" w14:textId="79C75012" w:rsidR="00A14FB9" w:rsidRPr="00AB7138" w:rsidRDefault="00556A05" w:rsidP="00B15056">
      <w:pPr>
        <w:pStyle w:val="SingleTxtG"/>
        <w:tabs>
          <w:tab w:val="left" w:pos="1701"/>
        </w:tabs>
        <w:rPr>
          <w:lang w:eastAsia="en-GB"/>
        </w:rPr>
      </w:pPr>
      <w:r w:rsidRPr="00AB7138">
        <w:rPr>
          <w:lang w:eastAsia="en-GB"/>
        </w:rPr>
        <w:t>27.</w:t>
      </w:r>
      <w:r w:rsidRPr="00AB7138">
        <w:rPr>
          <w:lang w:eastAsia="en-GB"/>
        </w:rPr>
        <w:tab/>
      </w:r>
      <w:r w:rsidR="005920C3" w:rsidRPr="00AB7138">
        <w:rPr>
          <w:lang w:eastAsia="en-GB"/>
        </w:rPr>
        <w:t>The Committee is concerned about the</w:t>
      </w:r>
      <w:r w:rsidR="0006461C" w:rsidRPr="00AB7138">
        <w:rPr>
          <w:lang w:eastAsia="en-GB"/>
        </w:rPr>
        <w:t xml:space="preserve"> high unemployment rate, especially among yo</w:t>
      </w:r>
      <w:r w:rsidR="009D4D01" w:rsidRPr="00AB7138">
        <w:rPr>
          <w:lang w:eastAsia="en-GB"/>
        </w:rPr>
        <w:t>uth and in rural areas. The Committee is also concerned that</w:t>
      </w:r>
      <w:r w:rsidR="0006461C" w:rsidRPr="00AB7138">
        <w:rPr>
          <w:lang w:eastAsia="en-GB"/>
        </w:rPr>
        <w:t xml:space="preserve"> </w:t>
      </w:r>
      <w:r w:rsidR="008A6BF2">
        <w:rPr>
          <w:lang w:eastAsia="en-GB"/>
        </w:rPr>
        <w:t xml:space="preserve">the </w:t>
      </w:r>
      <w:r w:rsidR="0006461C" w:rsidRPr="00AB7138">
        <w:rPr>
          <w:lang w:eastAsia="en-GB"/>
        </w:rPr>
        <w:t>economic growth witnessed in recent years did not generate sufficient</w:t>
      </w:r>
      <w:r w:rsidR="0006461C" w:rsidRPr="002824FE">
        <w:rPr>
          <w:lang w:eastAsia="en-GB"/>
        </w:rPr>
        <w:t xml:space="preserve"> </w:t>
      </w:r>
      <w:r w:rsidR="00FE6E0A" w:rsidRPr="00AB7138">
        <w:rPr>
          <w:lang w:eastAsia="en-GB"/>
        </w:rPr>
        <w:t>employment</w:t>
      </w:r>
      <w:r w:rsidR="00FE6E0A" w:rsidRPr="002824FE">
        <w:rPr>
          <w:lang w:eastAsia="en-GB"/>
        </w:rPr>
        <w:t xml:space="preserve"> </w:t>
      </w:r>
      <w:r w:rsidR="0006461C" w:rsidRPr="002824FE">
        <w:rPr>
          <w:lang w:eastAsia="en-GB"/>
        </w:rPr>
        <w:t>opp</w:t>
      </w:r>
      <w:r w:rsidR="009A44AB" w:rsidRPr="002824FE">
        <w:rPr>
          <w:lang w:eastAsia="en-GB"/>
        </w:rPr>
        <w:t>ortunities</w:t>
      </w:r>
      <w:r w:rsidR="007457A3" w:rsidRPr="002824FE">
        <w:rPr>
          <w:lang w:eastAsia="en-GB"/>
        </w:rPr>
        <w:t xml:space="preserve"> (art.</w:t>
      </w:r>
      <w:r w:rsidR="0053239B">
        <w:rPr>
          <w:lang w:eastAsia="en-GB"/>
        </w:rPr>
        <w:t> </w:t>
      </w:r>
      <w:r w:rsidR="007457A3" w:rsidRPr="002824FE">
        <w:rPr>
          <w:lang w:eastAsia="en-GB"/>
        </w:rPr>
        <w:t>6)</w:t>
      </w:r>
      <w:r w:rsidR="0006461C" w:rsidRPr="00AB7138">
        <w:rPr>
          <w:lang w:eastAsia="en-GB"/>
        </w:rPr>
        <w:t>.</w:t>
      </w:r>
    </w:p>
    <w:p w14:paraId="32F3E3F6" w14:textId="522080FD" w:rsidR="00943D60" w:rsidRDefault="00556A05" w:rsidP="00B15056">
      <w:pPr>
        <w:pStyle w:val="SingleTxtG"/>
        <w:tabs>
          <w:tab w:val="left" w:pos="1701"/>
        </w:tabs>
        <w:rPr>
          <w:b/>
          <w:lang w:eastAsia="en-GB"/>
        </w:rPr>
      </w:pPr>
      <w:r>
        <w:rPr>
          <w:lang w:eastAsia="en-GB"/>
        </w:rPr>
        <w:t>28.</w:t>
      </w:r>
      <w:r>
        <w:rPr>
          <w:lang w:eastAsia="en-GB"/>
        </w:rPr>
        <w:tab/>
      </w:r>
      <w:r w:rsidR="00AD6A4D" w:rsidRPr="00AB7138">
        <w:rPr>
          <w:b/>
          <w:lang w:eastAsia="en-GB"/>
        </w:rPr>
        <w:t>The Committee recommends that the State party address unemployment more effectively</w:t>
      </w:r>
      <w:r w:rsidR="00FE6E0A" w:rsidRPr="00AB7138">
        <w:rPr>
          <w:b/>
          <w:lang w:eastAsia="en-GB"/>
        </w:rPr>
        <w:t>, especially among youth and in the rural areas</w:t>
      </w:r>
      <w:r w:rsidR="00FE6E0A" w:rsidRPr="002824FE">
        <w:rPr>
          <w:b/>
          <w:lang w:eastAsia="en-GB"/>
        </w:rPr>
        <w:t>.</w:t>
      </w:r>
      <w:r w:rsidR="00E747CF" w:rsidRPr="002824FE">
        <w:rPr>
          <w:b/>
          <w:lang w:eastAsia="en-GB"/>
        </w:rPr>
        <w:t xml:space="preserve"> </w:t>
      </w:r>
      <w:r w:rsidR="00FE6E0A" w:rsidRPr="002824FE">
        <w:rPr>
          <w:b/>
          <w:lang w:eastAsia="en-GB"/>
        </w:rPr>
        <w:t>T</w:t>
      </w:r>
      <w:r w:rsidR="00E747CF" w:rsidRPr="002824FE">
        <w:rPr>
          <w:b/>
          <w:lang w:eastAsia="en-GB"/>
        </w:rPr>
        <w:t>he Committee recommends that the State party:</w:t>
      </w:r>
    </w:p>
    <w:p w14:paraId="517D201E" w14:textId="0E19CA1B" w:rsidR="00943D60" w:rsidRDefault="00943D60" w:rsidP="0066595A">
      <w:pPr>
        <w:pStyle w:val="SingleTxtG"/>
        <w:tabs>
          <w:tab w:val="left" w:pos="1701"/>
        </w:tabs>
        <w:ind w:firstLine="567"/>
        <w:rPr>
          <w:b/>
          <w:lang w:eastAsia="en-GB"/>
        </w:rPr>
      </w:pPr>
      <w:r w:rsidRPr="00B15056">
        <w:rPr>
          <w:lang w:eastAsia="en-GB"/>
        </w:rPr>
        <w:t>(a)</w:t>
      </w:r>
      <w:r w:rsidRPr="00B15056">
        <w:rPr>
          <w:lang w:eastAsia="en-GB"/>
        </w:rPr>
        <w:tab/>
      </w:r>
      <w:r>
        <w:rPr>
          <w:b/>
          <w:lang w:eastAsia="en-GB"/>
        </w:rPr>
        <w:t>S</w:t>
      </w:r>
      <w:r w:rsidR="009E2C7F" w:rsidRPr="002824FE">
        <w:rPr>
          <w:b/>
          <w:lang w:eastAsia="en-GB"/>
        </w:rPr>
        <w:t xml:space="preserve">tep up its efforts to </w:t>
      </w:r>
      <w:r w:rsidR="00E747CF" w:rsidRPr="002824FE">
        <w:rPr>
          <w:b/>
          <w:lang w:eastAsia="en-GB"/>
        </w:rPr>
        <w:t>ensure</w:t>
      </w:r>
      <w:r w:rsidR="009D4D01" w:rsidRPr="002824FE">
        <w:rPr>
          <w:b/>
          <w:lang w:eastAsia="en-GB"/>
        </w:rPr>
        <w:t xml:space="preserve"> that economic grow</w:t>
      </w:r>
      <w:r w:rsidR="00E747CF" w:rsidRPr="00AB7138">
        <w:rPr>
          <w:b/>
          <w:lang w:eastAsia="en-GB"/>
        </w:rPr>
        <w:t>th translate</w:t>
      </w:r>
      <w:r w:rsidR="009E2C7F" w:rsidRPr="00AB7138">
        <w:rPr>
          <w:b/>
          <w:lang w:eastAsia="en-GB"/>
        </w:rPr>
        <w:t>s</w:t>
      </w:r>
      <w:r w:rsidR="00E747CF" w:rsidRPr="00AB7138">
        <w:rPr>
          <w:b/>
          <w:lang w:eastAsia="en-GB"/>
        </w:rPr>
        <w:t xml:space="preserve"> into </w:t>
      </w:r>
      <w:r w:rsidR="00A97DAE">
        <w:rPr>
          <w:b/>
          <w:lang w:eastAsia="en-GB"/>
        </w:rPr>
        <w:t xml:space="preserve">increased </w:t>
      </w:r>
      <w:r w:rsidR="00E747CF" w:rsidRPr="00AB7138">
        <w:rPr>
          <w:b/>
          <w:lang w:eastAsia="en-GB"/>
        </w:rPr>
        <w:t>employment</w:t>
      </w:r>
      <w:r w:rsidR="00A97DAE">
        <w:rPr>
          <w:b/>
          <w:lang w:eastAsia="en-GB"/>
        </w:rPr>
        <w:t xml:space="preserve"> opportunities</w:t>
      </w:r>
      <w:proofErr w:type="gramStart"/>
      <w:r>
        <w:rPr>
          <w:b/>
          <w:lang w:eastAsia="en-GB"/>
        </w:rPr>
        <w:t>;</w:t>
      </w:r>
      <w:proofErr w:type="gramEnd"/>
    </w:p>
    <w:p w14:paraId="4846113D" w14:textId="0E6B330C" w:rsidR="00943D60" w:rsidRDefault="00943D60" w:rsidP="0066595A">
      <w:pPr>
        <w:pStyle w:val="SingleTxtG"/>
        <w:tabs>
          <w:tab w:val="left" w:pos="1701"/>
        </w:tabs>
        <w:ind w:firstLine="567"/>
        <w:rPr>
          <w:b/>
          <w:lang w:eastAsia="en-GB"/>
        </w:rPr>
      </w:pPr>
      <w:r w:rsidRPr="00B15056">
        <w:rPr>
          <w:lang w:eastAsia="en-GB"/>
        </w:rPr>
        <w:t>(b)</w:t>
      </w:r>
      <w:r w:rsidRPr="00B15056">
        <w:rPr>
          <w:lang w:eastAsia="en-GB"/>
        </w:rPr>
        <w:tab/>
      </w:r>
      <w:r>
        <w:rPr>
          <w:b/>
          <w:lang w:eastAsia="en-GB"/>
        </w:rPr>
        <w:t>I</w:t>
      </w:r>
      <w:r w:rsidR="00E747CF" w:rsidRPr="002824FE">
        <w:rPr>
          <w:b/>
          <w:lang w:eastAsia="en-GB"/>
        </w:rPr>
        <w:t>ntensify</w:t>
      </w:r>
      <w:r w:rsidR="00552763" w:rsidRPr="002824FE">
        <w:rPr>
          <w:b/>
          <w:lang w:eastAsia="en-GB"/>
        </w:rPr>
        <w:t xml:space="preserve"> its efforts towards diversification of the e</w:t>
      </w:r>
      <w:r w:rsidR="009D4D01" w:rsidRPr="002824FE">
        <w:rPr>
          <w:b/>
          <w:lang w:eastAsia="en-GB"/>
        </w:rPr>
        <w:t>conomy, with a view to creating a sustainable economy that is resilient to shock</w:t>
      </w:r>
      <w:r w:rsidR="00A97DAE">
        <w:rPr>
          <w:b/>
          <w:lang w:eastAsia="en-GB"/>
        </w:rPr>
        <w:t>s</w:t>
      </w:r>
      <w:proofErr w:type="gramStart"/>
      <w:r>
        <w:rPr>
          <w:b/>
          <w:lang w:eastAsia="en-GB"/>
        </w:rPr>
        <w:t>;</w:t>
      </w:r>
      <w:proofErr w:type="gramEnd"/>
    </w:p>
    <w:p w14:paraId="4310320B" w14:textId="0A3C0619" w:rsidR="00943D60" w:rsidRDefault="00943D60" w:rsidP="0066595A">
      <w:pPr>
        <w:pStyle w:val="SingleTxtG"/>
        <w:tabs>
          <w:tab w:val="left" w:pos="1701"/>
        </w:tabs>
        <w:ind w:firstLine="567"/>
        <w:rPr>
          <w:b/>
          <w:lang w:eastAsia="en-GB"/>
        </w:rPr>
      </w:pPr>
      <w:r w:rsidRPr="00B15056">
        <w:rPr>
          <w:lang w:eastAsia="en-GB"/>
        </w:rPr>
        <w:t>(c)</w:t>
      </w:r>
      <w:r w:rsidRPr="00B15056">
        <w:rPr>
          <w:lang w:eastAsia="en-GB"/>
        </w:rPr>
        <w:tab/>
      </w:r>
      <w:r>
        <w:rPr>
          <w:b/>
          <w:lang w:eastAsia="en-GB"/>
        </w:rPr>
        <w:t>P</w:t>
      </w:r>
      <w:r w:rsidR="00552763" w:rsidRPr="00AB7138">
        <w:rPr>
          <w:b/>
          <w:lang w:eastAsia="en-GB"/>
        </w:rPr>
        <w:t>ay due consideration to those groups and individuals that are more vulnerable to unemployment</w:t>
      </w:r>
      <w:r>
        <w:rPr>
          <w:b/>
          <w:lang w:eastAsia="en-GB"/>
        </w:rPr>
        <w:t>;</w:t>
      </w:r>
    </w:p>
    <w:p w14:paraId="5F5CA483" w14:textId="09F56A94" w:rsidR="00943D60" w:rsidRDefault="00943D60" w:rsidP="0066595A">
      <w:pPr>
        <w:pStyle w:val="SingleTxtG"/>
        <w:tabs>
          <w:tab w:val="left" w:pos="1701"/>
        </w:tabs>
        <w:ind w:firstLine="567"/>
        <w:rPr>
          <w:b/>
          <w:lang w:eastAsia="en-GB"/>
        </w:rPr>
      </w:pPr>
      <w:r w:rsidRPr="00B15056">
        <w:rPr>
          <w:lang w:eastAsia="en-GB"/>
        </w:rPr>
        <w:t>(d)</w:t>
      </w:r>
      <w:r w:rsidRPr="00B15056">
        <w:rPr>
          <w:lang w:eastAsia="en-GB"/>
        </w:rPr>
        <w:tab/>
      </w:r>
      <w:r>
        <w:rPr>
          <w:b/>
          <w:lang w:eastAsia="en-GB"/>
        </w:rPr>
        <w:t>A</w:t>
      </w:r>
      <w:r w:rsidR="00AD6A4D" w:rsidRPr="00AB7138">
        <w:rPr>
          <w:b/>
          <w:lang w:eastAsia="en-GB"/>
        </w:rPr>
        <w:t xml:space="preserve">ssess the </w:t>
      </w:r>
      <w:r w:rsidR="00552763" w:rsidRPr="00AB7138">
        <w:rPr>
          <w:b/>
          <w:lang w:eastAsia="en-GB"/>
        </w:rPr>
        <w:t>effectiveness of policies implemented to increase employment opportunities</w:t>
      </w:r>
      <w:r w:rsidR="00020FDF" w:rsidRPr="00AB7138">
        <w:rPr>
          <w:b/>
          <w:lang w:eastAsia="en-GB"/>
        </w:rPr>
        <w:t xml:space="preserve"> and</w:t>
      </w:r>
      <w:r w:rsidR="00552763" w:rsidRPr="00AB7138">
        <w:rPr>
          <w:b/>
          <w:lang w:eastAsia="en-GB"/>
        </w:rPr>
        <w:t xml:space="preserve"> adopt oth</w:t>
      </w:r>
      <w:r w:rsidR="007457A3" w:rsidRPr="00AB7138">
        <w:rPr>
          <w:b/>
          <w:lang w:eastAsia="en-GB"/>
        </w:rPr>
        <w:t>er</w:t>
      </w:r>
      <w:r w:rsidR="007457A3" w:rsidRPr="002824FE">
        <w:rPr>
          <w:b/>
          <w:lang w:eastAsia="en-GB"/>
        </w:rPr>
        <w:t xml:space="preserve"> measures as necessary</w:t>
      </w:r>
      <w:proofErr w:type="gramStart"/>
      <w:r>
        <w:rPr>
          <w:b/>
          <w:lang w:eastAsia="en-GB"/>
        </w:rPr>
        <w:t>;</w:t>
      </w:r>
      <w:proofErr w:type="gramEnd"/>
    </w:p>
    <w:p w14:paraId="0020319A" w14:textId="6E57AAB0" w:rsidR="005920C3" w:rsidRPr="002824FE" w:rsidRDefault="00943D60" w:rsidP="0066595A">
      <w:pPr>
        <w:pStyle w:val="SingleTxtG"/>
        <w:tabs>
          <w:tab w:val="left" w:pos="1701"/>
        </w:tabs>
        <w:ind w:firstLine="567"/>
        <w:rPr>
          <w:b/>
          <w:lang w:eastAsia="en-GB"/>
        </w:rPr>
      </w:pPr>
      <w:r w:rsidRPr="00B15056">
        <w:rPr>
          <w:lang w:eastAsia="en-GB"/>
        </w:rPr>
        <w:t>(e)</w:t>
      </w:r>
      <w:r w:rsidRPr="00B15056">
        <w:rPr>
          <w:lang w:eastAsia="en-GB"/>
        </w:rPr>
        <w:tab/>
      </w:r>
      <w:r>
        <w:rPr>
          <w:b/>
          <w:lang w:eastAsia="en-GB"/>
        </w:rPr>
        <w:t>Take into account t</w:t>
      </w:r>
      <w:r w:rsidR="00FE6E0A" w:rsidRPr="002824FE">
        <w:rPr>
          <w:b/>
          <w:lang w:eastAsia="en-GB"/>
        </w:rPr>
        <w:t>he Committee</w:t>
      </w:r>
      <w:r>
        <w:rPr>
          <w:b/>
          <w:lang w:eastAsia="en-GB"/>
        </w:rPr>
        <w:t>’s</w:t>
      </w:r>
      <w:r w:rsidR="0009754B">
        <w:rPr>
          <w:b/>
          <w:lang w:eastAsia="en-GB"/>
        </w:rPr>
        <w:t xml:space="preserve"> </w:t>
      </w:r>
      <w:r w:rsidR="00FE6E0A" w:rsidRPr="002824FE">
        <w:rPr>
          <w:b/>
          <w:lang w:eastAsia="en-GB"/>
        </w:rPr>
        <w:t xml:space="preserve">general comment </w:t>
      </w:r>
      <w:r w:rsidR="008A6BF2">
        <w:rPr>
          <w:b/>
          <w:lang w:eastAsia="en-GB"/>
        </w:rPr>
        <w:t>N</w:t>
      </w:r>
      <w:r w:rsidR="00472A50" w:rsidRPr="002824FE">
        <w:rPr>
          <w:b/>
          <w:lang w:eastAsia="en-GB"/>
        </w:rPr>
        <w:t>o.</w:t>
      </w:r>
      <w:r w:rsidR="0053239B">
        <w:rPr>
          <w:b/>
          <w:lang w:eastAsia="en-GB"/>
        </w:rPr>
        <w:t> </w:t>
      </w:r>
      <w:r w:rsidR="00FE6E0A" w:rsidRPr="002824FE">
        <w:rPr>
          <w:b/>
          <w:lang w:eastAsia="en-GB"/>
        </w:rPr>
        <w:t>18</w:t>
      </w:r>
      <w:r w:rsidR="00472A50" w:rsidRPr="002824FE">
        <w:rPr>
          <w:b/>
          <w:lang w:eastAsia="en-GB"/>
        </w:rPr>
        <w:t xml:space="preserve"> (2005)</w:t>
      </w:r>
      <w:r w:rsidR="00FE6E0A" w:rsidRPr="002824FE">
        <w:rPr>
          <w:b/>
          <w:lang w:eastAsia="en-GB"/>
        </w:rPr>
        <w:t xml:space="preserve"> on the right to work.</w:t>
      </w:r>
    </w:p>
    <w:p w14:paraId="6E1B85A8" w14:textId="77777777" w:rsidR="00AB2E60" w:rsidRPr="002824FE" w:rsidRDefault="00AB2E60" w:rsidP="00FC6FBC">
      <w:pPr>
        <w:pStyle w:val="H23G"/>
        <w:ind w:firstLine="0"/>
        <w:rPr>
          <w:lang w:eastAsia="en-GB"/>
        </w:rPr>
      </w:pPr>
      <w:r w:rsidRPr="002824FE">
        <w:rPr>
          <w:lang w:eastAsia="en-GB"/>
        </w:rPr>
        <w:t>Minimum wage</w:t>
      </w:r>
    </w:p>
    <w:p w14:paraId="30E37E63" w14:textId="343C0E36" w:rsidR="00B007CD" w:rsidRPr="00AB7138" w:rsidRDefault="00556A05" w:rsidP="00B15056">
      <w:pPr>
        <w:pStyle w:val="SingleTxtG"/>
        <w:tabs>
          <w:tab w:val="left" w:pos="1701"/>
        </w:tabs>
        <w:rPr>
          <w:bCs/>
          <w:lang w:eastAsia="en-GB"/>
        </w:rPr>
      </w:pPr>
      <w:r w:rsidRPr="00AB7138">
        <w:rPr>
          <w:bCs/>
          <w:lang w:eastAsia="en-GB"/>
        </w:rPr>
        <w:t>29.</w:t>
      </w:r>
      <w:r w:rsidRPr="00AB7138">
        <w:rPr>
          <w:bCs/>
          <w:lang w:eastAsia="en-GB"/>
        </w:rPr>
        <w:tab/>
      </w:r>
      <w:r w:rsidR="00B007CD" w:rsidRPr="00AB7138">
        <w:rPr>
          <w:lang w:eastAsia="en-GB"/>
        </w:rPr>
        <w:t>The</w:t>
      </w:r>
      <w:r w:rsidR="00B007CD" w:rsidRPr="00AB7138">
        <w:rPr>
          <w:b/>
          <w:lang w:eastAsia="en-GB"/>
        </w:rPr>
        <w:t xml:space="preserve"> </w:t>
      </w:r>
      <w:r w:rsidR="00B007CD" w:rsidRPr="00AB7138">
        <w:rPr>
          <w:bCs/>
          <w:lang w:eastAsia="en-GB"/>
        </w:rPr>
        <w:t xml:space="preserve">Committee </w:t>
      </w:r>
      <w:r w:rsidR="00E747CF" w:rsidRPr="00AB7138">
        <w:rPr>
          <w:bCs/>
          <w:lang w:eastAsia="en-GB"/>
        </w:rPr>
        <w:t>notes the information provided on the amounts of minimum wag</w:t>
      </w:r>
      <w:r w:rsidR="008A6BF2">
        <w:rPr>
          <w:bCs/>
          <w:lang w:eastAsia="en-GB"/>
        </w:rPr>
        <w:t>e.</w:t>
      </w:r>
      <w:r w:rsidR="00E747CF" w:rsidRPr="00AB7138">
        <w:rPr>
          <w:bCs/>
          <w:lang w:eastAsia="en-GB"/>
        </w:rPr>
        <w:t xml:space="preserve"> </w:t>
      </w:r>
      <w:r w:rsidR="008A6BF2">
        <w:rPr>
          <w:bCs/>
          <w:lang w:eastAsia="en-GB"/>
        </w:rPr>
        <w:t>H</w:t>
      </w:r>
      <w:r w:rsidR="00E747CF" w:rsidRPr="00AB7138">
        <w:rPr>
          <w:bCs/>
          <w:lang w:eastAsia="en-GB"/>
        </w:rPr>
        <w:t>owever</w:t>
      </w:r>
      <w:r w:rsidR="008A6BF2">
        <w:rPr>
          <w:bCs/>
          <w:lang w:eastAsia="en-GB"/>
        </w:rPr>
        <w:t>,</w:t>
      </w:r>
      <w:r w:rsidR="00E747CF" w:rsidRPr="00AB7138">
        <w:rPr>
          <w:bCs/>
          <w:lang w:eastAsia="en-GB"/>
        </w:rPr>
        <w:t xml:space="preserve"> it is concerned abou</w:t>
      </w:r>
      <w:r w:rsidR="009123CC" w:rsidRPr="00AB7138">
        <w:rPr>
          <w:bCs/>
          <w:lang w:eastAsia="en-GB"/>
        </w:rPr>
        <w:t>t the significant differences between</w:t>
      </w:r>
      <w:r w:rsidR="006A17DC" w:rsidRPr="00AB7138">
        <w:rPr>
          <w:bCs/>
          <w:lang w:eastAsia="en-GB"/>
        </w:rPr>
        <w:t xml:space="preserve"> sectors as regards the level of the</w:t>
      </w:r>
      <w:r w:rsidR="00E747CF" w:rsidRPr="00AB7138">
        <w:rPr>
          <w:bCs/>
          <w:lang w:eastAsia="en-GB"/>
        </w:rPr>
        <w:t xml:space="preserve"> minimum </w:t>
      </w:r>
      <w:r w:rsidR="00C50031" w:rsidRPr="00AB7138">
        <w:rPr>
          <w:bCs/>
          <w:lang w:eastAsia="en-GB"/>
        </w:rPr>
        <w:t>wage</w:t>
      </w:r>
      <w:r w:rsidR="00C50031">
        <w:rPr>
          <w:bCs/>
          <w:lang w:eastAsia="en-GB"/>
        </w:rPr>
        <w:t xml:space="preserve"> </w:t>
      </w:r>
      <w:r w:rsidR="00C50031" w:rsidRPr="00AB7138">
        <w:rPr>
          <w:bCs/>
          <w:lang w:eastAsia="en-GB"/>
        </w:rPr>
        <w:t>and</w:t>
      </w:r>
      <w:r w:rsidR="007E344F" w:rsidRPr="00AB7138">
        <w:rPr>
          <w:bCs/>
          <w:lang w:eastAsia="en-GB"/>
        </w:rPr>
        <w:t xml:space="preserve"> about </w:t>
      </w:r>
      <w:r w:rsidR="00FE6E0A" w:rsidRPr="002824FE">
        <w:rPr>
          <w:bCs/>
          <w:lang w:eastAsia="en-GB"/>
        </w:rPr>
        <w:t xml:space="preserve">the </w:t>
      </w:r>
      <w:r w:rsidR="007E344F" w:rsidRPr="002824FE">
        <w:rPr>
          <w:bCs/>
          <w:lang w:eastAsia="en-GB"/>
        </w:rPr>
        <w:t xml:space="preserve">lack of information available to assess whether </w:t>
      </w:r>
      <w:r w:rsidR="00020FDF" w:rsidRPr="002824FE">
        <w:rPr>
          <w:bCs/>
          <w:lang w:eastAsia="en-GB"/>
        </w:rPr>
        <w:t xml:space="preserve">the minimum wage </w:t>
      </w:r>
      <w:r w:rsidR="00A97DAE">
        <w:rPr>
          <w:bCs/>
          <w:lang w:eastAsia="en-GB"/>
        </w:rPr>
        <w:t>is</w:t>
      </w:r>
      <w:r w:rsidR="00FE6E0A" w:rsidRPr="002824FE">
        <w:rPr>
          <w:bCs/>
          <w:lang w:eastAsia="en-GB"/>
        </w:rPr>
        <w:t xml:space="preserve"> </w:t>
      </w:r>
      <w:r w:rsidR="007E344F" w:rsidRPr="002824FE">
        <w:rPr>
          <w:bCs/>
          <w:lang w:eastAsia="en-GB"/>
        </w:rPr>
        <w:t xml:space="preserve">sufficient </w:t>
      </w:r>
      <w:r w:rsidR="006A17DC" w:rsidRPr="002824FE">
        <w:rPr>
          <w:bCs/>
          <w:lang w:eastAsia="en-GB"/>
        </w:rPr>
        <w:t xml:space="preserve">to ensure </w:t>
      </w:r>
      <w:r w:rsidR="00FE6E0A" w:rsidRPr="002824FE">
        <w:rPr>
          <w:bCs/>
          <w:lang w:eastAsia="en-GB"/>
        </w:rPr>
        <w:t xml:space="preserve">a </w:t>
      </w:r>
      <w:r w:rsidR="00B007CD" w:rsidRPr="002824FE">
        <w:rPr>
          <w:bCs/>
          <w:lang w:eastAsia="en-GB"/>
        </w:rPr>
        <w:t>decent living for workers and their families</w:t>
      </w:r>
      <w:r w:rsidR="00B007CD" w:rsidRPr="00AB7138">
        <w:rPr>
          <w:bCs/>
          <w:lang w:eastAsia="en-GB"/>
        </w:rPr>
        <w:t xml:space="preserve"> (art.</w:t>
      </w:r>
      <w:r w:rsidR="0053239B">
        <w:rPr>
          <w:bCs/>
          <w:lang w:eastAsia="en-GB"/>
        </w:rPr>
        <w:t> </w:t>
      </w:r>
      <w:r w:rsidR="00B007CD" w:rsidRPr="00AB7138">
        <w:rPr>
          <w:bCs/>
          <w:lang w:eastAsia="en-GB"/>
        </w:rPr>
        <w:t>7).</w:t>
      </w:r>
    </w:p>
    <w:p w14:paraId="227463AC" w14:textId="71D58AC7" w:rsidR="00B007CD" w:rsidRPr="00AB7138" w:rsidRDefault="00556A05" w:rsidP="00B15056">
      <w:pPr>
        <w:pStyle w:val="SingleTxtG"/>
        <w:tabs>
          <w:tab w:val="left" w:pos="1701"/>
        </w:tabs>
        <w:rPr>
          <w:b/>
          <w:lang w:eastAsia="en-GB"/>
        </w:rPr>
      </w:pPr>
      <w:r w:rsidRPr="00AB7138">
        <w:rPr>
          <w:lang w:eastAsia="en-GB"/>
        </w:rPr>
        <w:t>30.</w:t>
      </w:r>
      <w:r w:rsidRPr="00AB7138">
        <w:rPr>
          <w:lang w:eastAsia="en-GB"/>
        </w:rPr>
        <w:tab/>
      </w:r>
      <w:r w:rsidR="00B007CD" w:rsidRPr="00AB7138">
        <w:rPr>
          <w:b/>
          <w:lang w:eastAsia="en-GB"/>
        </w:rPr>
        <w:t xml:space="preserve">The Committee recommends that the State party regularly revise the level of minimum wage </w:t>
      </w:r>
      <w:r w:rsidR="00943D60">
        <w:rPr>
          <w:b/>
          <w:lang w:eastAsia="en-GB"/>
        </w:rPr>
        <w:t xml:space="preserve">in all sectors </w:t>
      </w:r>
      <w:r w:rsidR="00B007CD" w:rsidRPr="00AB7138">
        <w:rPr>
          <w:b/>
          <w:lang w:eastAsia="en-GB"/>
        </w:rPr>
        <w:t xml:space="preserve">and ensure </w:t>
      </w:r>
      <w:r w:rsidR="008B016B">
        <w:rPr>
          <w:b/>
          <w:lang w:eastAsia="en-GB"/>
        </w:rPr>
        <w:t xml:space="preserve">that </w:t>
      </w:r>
      <w:r w:rsidR="00B007CD" w:rsidRPr="00AB7138">
        <w:rPr>
          <w:b/>
          <w:lang w:eastAsia="en-GB"/>
        </w:rPr>
        <w:t xml:space="preserve">it is indexed to the </w:t>
      </w:r>
      <w:r w:rsidR="00FE6E0A" w:rsidRPr="002824FE">
        <w:rPr>
          <w:b/>
          <w:lang w:eastAsia="en-GB"/>
        </w:rPr>
        <w:t xml:space="preserve">cost </w:t>
      </w:r>
      <w:r w:rsidR="00B007CD" w:rsidRPr="002824FE">
        <w:rPr>
          <w:b/>
          <w:lang w:eastAsia="en-GB"/>
        </w:rPr>
        <w:t xml:space="preserve">of living </w:t>
      </w:r>
      <w:proofErr w:type="gramStart"/>
      <w:r w:rsidR="00B007CD" w:rsidRPr="002824FE">
        <w:rPr>
          <w:b/>
          <w:lang w:eastAsia="en-GB"/>
        </w:rPr>
        <w:t>so as to</w:t>
      </w:r>
      <w:proofErr w:type="gramEnd"/>
      <w:r w:rsidR="00B007CD" w:rsidRPr="002824FE">
        <w:rPr>
          <w:b/>
          <w:lang w:eastAsia="en-GB"/>
        </w:rPr>
        <w:t xml:space="preserve"> allow </w:t>
      </w:r>
      <w:r w:rsidR="00FE6E0A" w:rsidRPr="002824FE">
        <w:rPr>
          <w:b/>
          <w:lang w:eastAsia="en-GB"/>
        </w:rPr>
        <w:t xml:space="preserve">for </w:t>
      </w:r>
      <w:r w:rsidR="00B007CD" w:rsidRPr="002824FE">
        <w:rPr>
          <w:b/>
          <w:lang w:eastAsia="en-GB"/>
        </w:rPr>
        <w:t>a decent living f</w:t>
      </w:r>
      <w:r w:rsidR="00B007CD" w:rsidRPr="00AB7138">
        <w:rPr>
          <w:b/>
          <w:lang w:eastAsia="en-GB"/>
        </w:rPr>
        <w:t xml:space="preserve">or </w:t>
      </w:r>
      <w:r w:rsidR="00E747CF" w:rsidRPr="00AB7138">
        <w:rPr>
          <w:b/>
          <w:lang w:eastAsia="en-GB"/>
        </w:rPr>
        <w:t xml:space="preserve">all </w:t>
      </w:r>
      <w:r w:rsidR="00B007CD" w:rsidRPr="00AB7138">
        <w:rPr>
          <w:b/>
          <w:lang w:eastAsia="en-GB"/>
        </w:rPr>
        <w:t>workers and their families.</w:t>
      </w:r>
    </w:p>
    <w:p w14:paraId="662090CD" w14:textId="2D420444" w:rsidR="00442080" w:rsidRPr="00AB7138" w:rsidRDefault="00AB2E60" w:rsidP="00FC6FBC">
      <w:pPr>
        <w:pStyle w:val="H23G"/>
        <w:ind w:firstLine="0"/>
        <w:rPr>
          <w:lang w:eastAsia="en-GB"/>
        </w:rPr>
      </w:pPr>
      <w:r w:rsidRPr="00AB7138">
        <w:rPr>
          <w:lang w:eastAsia="en-GB"/>
        </w:rPr>
        <w:t>Informal economy</w:t>
      </w:r>
    </w:p>
    <w:p w14:paraId="0A600814" w14:textId="7EF9F339" w:rsidR="00EC0B7D" w:rsidRPr="00AB7138" w:rsidRDefault="00556A05" w:rsidP="00B15056">
      <w:pPr>
        <w:pStyle w:val="SingleTxtG"/>
        <w:tabs>
          <w:tab w:val="left" w:pos="1701"/>
        </w:tabs>
        <w:rPr>
          <w:bCs/>
          <w:lang w:eastAsia="en-GB"/>
        </w:rPr>
      </w:pPr>
      <w:proofErr w:type="gramStart"/>
      <w:r w:rsidRPr="00AB7138">
        <w:rPr>
          <w:bCs/>
          <w:lang w:eastAsia="en-GB"/>
        </w:rPr>
        <w:t>31.</w:t>
      </w:r>
      <w:r w:rsidRPr="00AB7138">
        <w:rPr>
          <w:bCs/>
          <w:lang w:eastAsia="en-GB"/>
        </w:rPr>
        <w:tab/>
      </w:r>
      <w:r w:rsidR="007457A3" w:rsidRPr="00AB7138">
        <w:rPr>
          <w:bCs/>
          <w:lang w:eastAsia="en-GB"/>
        </w:rPr>
        <w:t xml:space="preserve">While noting the information provided by the delegation </w:t>
      </w:r>
      <w:r w:rsidR="007457A3" w:rsidRPr="002824FE">
        <w:rPr>
          <w:bCs/>
          <w:lang w:eastAsia="en-GB"/>
        </w:rPr>
        <w:t xml:space="preserve">that </w:t>
      </w:r>
      <w:r w:rsidR="00FE6E0A" w:rsidRPr="002824FE">
        <w:rPr>
          <w:bCs/>
          <w:lang w:eastAsia="en-GB"/>
        </w:rPr>
        <w:t xml:space="preserve">one of </w:t>
      </w:r>
      <w:r w:rsidR="007457A3" w:rsidRPr="002824FE">
        <w:rPr>
          <w:bCs/>
          <w:lang w:eastAsia="en-GB"/>
        </w:rPr>
        <w:t xml:space="preserve">the </w:t>
      </w:r>
      <w:r w:rsidR="00FE6E0A" w:rsidRPr="002824FE">
        <w:rPr>
          <w:bCs/>
          <w:lang w:eastAsia="en-GB"/>
        </w:rPr>
        <w:t xml:space="preserve">objectives of the </w:t>
      </w:r>
      <w:r w:rsidR="008E4452">
        <w:rPr>
          <w:bCs/>
          <w:lang w:eastAsia="en-GB"/>
        </w:rPr>
        <w:t>National Development Plan</w:t>
      </w:r>
      <w:r w:rsidR="007457A3" w:rsidRPr="002824FE">
        <w:rPr>
          <w:bCs/>
          <w:lang w:eastAsia="en-GB"/>
        </w:rPr>
        <w:t xml:space="preserve"> </w:t>
      </w:r>
      <w:r w:rsidR="00B91B0C" w:rsidRPr="002824FE">
        <w:rPr>
          <w:bCs/>
          <w:lang w:eastAsia="en-GB"/>
        </w:rPr>
        <w:t xml:space="preserve">is </w:t>
      </w:r>
      <w:r w:rsidR="007457A3" w:rsidRPr="002824FE">
        <w:rPr>
          <w:bCs/>
          <w:lang w:eastAsia="en-GB"/>
        </w:rPr>
        <w:t>to gradually regulari</w:t>
      </w:r>
      <w:r w:rsidR="008A6BF2">
        <w:rPr>
          <w:bCs/>
          <w:lang w:eastAsia="en-GB"/>
        </w:rPr>
        <w:t>z</w:t>
      </w:r>
      <w:r w:rsidR="007457A3" w:rsidRPr="002824FE">
        <w:rPr>
          <w:bCs/>
          <w:lang w:eastAsia="en-GB"/>
        </w:rPr>
        <w:t>e the status of workers in the informal economy, the Committee remains</w:t>
      </w:r>
      <w:r w:rsidR="0006461C" w:rsidRPr="002824FE">
        <w:rPr>
          <w:bCs/>
          <w:lang w:eastAsia="en-GB"/>
        </w:rPr>
        <w:t xml:space="preserve"> concerned </w:t>
      </w:r>
      <w:r w:rsidR="0096657F" w:rsidRPr="002824FE">
        <w:rPr>
          <w:bCs/>
          <w:lang w:eastAsia="en-GB"/>
        </w:rPr>
        <w:t>about the concentration</w:t>
      </w:r>
      <w:r w:rsidR="0006461C" w:rsidRPr="002824FE">
        <w:rPr>
          <w:bCs/>
          <w:lang w:eastAsia="en-GB"/>
        </w:rPr>
        <w:t xml:space="preserve"> </w:t>
      </w:r>
      <w:r w:rsidR="0096657F" w:rsidRPr="002824FE">
        <w:rPr>
          <w:bCs/>
          <w:lang w:eastAsia="en-GB"/>
        </w:rPr>
        <w:t xml:space="preserve">of </w:t>
      </w:r>
      <w:r w:rsidR="0006461C" w:rsidRPr="002824FE">
        <w:rPr>
          <w:bCs/>
          <w:lang w:eastAsia="en-GB"/>
        </w:rPr>
        <w:t>the labour force, notably women,</w:t>
      </w:r>
      <w:r w:rsidR="0096657F" w:rsidRPr="002824FE">
        <w:rPr>
          <w:bCs/>
          <w:lang w:eastAsia="en-GB"/>
        </w:rPr>
        <w:t xml:space="preserve"> </w:t>
      </w:r>
      <w:r w:rsidR="0006461C" w:rsidRPr="002824FE">
        <w:rPr>
          <w:bCs/>
          <w:lang w:eastAsia="en-GB"/>
        </w:rPr>
        <w:t>in the informal economy</w:t>
      </w:r>
      <w:r w:rsidR="0096657F" w:rsidRPr="002824FE">
        <w:rPr>
          <w:bCs/>
          <w:lang w:eastAsia="en-GB"/>
        </w:rPr>
        <w:t xml:space="preserve">, </w:t>
      </w:r>
      <w:r w:rsidR="008A6BF2">
        <w:rPr>
          <w:bCs/>
          <w:lang w:eastAsia="en-GB"/>
        </w:rPr>
        <w:t>which</w:t>
      </w:r>
      <w:r w:rsidR="008A6BF2" w:rsidRPr="002824FE">
        <w:rPr>
          <w:bCs/>
          <w:lang w:eastAsia="en-GB"/>
        </w:rPr>
        <w:t xml:space="preserve"> </w:t>
      </w:r>
      <w:r w:rsidR="0096657F" w:rsidRPr="002824FE">
        <w:rPr>
          <w:bCs/>
          <w:lang w:eastAsia="en-GB"/>
        </w:rPr>
        <w:t>i</w:t>
      </w:r>
      <w:r w:rsidR="00943D60">
        <w:rPr>
          <w:bCs/>
          <w:lang w:eastAsia="en-GB"/>
        </w:rPr>
        <w:t>s</w:t>
      </w:r>
      <w:r w:rsidR="0096657F" w:rsidRPr="002824FE">
        <w:rPr>
          <w:bCs/>
          <w:lang w:eastAsia="en-GB"/>
        </w:rPr>
        <w:t xml:space="preserve"> characterized by</w:t>
      </w:r>
      <w:r w:rsidR="0006461C" w:rsidRPr="00AB7138">
        <w:rPr>
          <w:bCs/>
          <w:lang w:eastAsia="en-GB"/>
        </w:rPr>
        <w:t xml:space="preserve"> poor working conditions, including low sal</w:t>
      </w:r>
      <w:r w:rsidR="0096657F" w:rsidRPr="00AB7138">
        <w:rPr>
          <w:bCs/>
          <w:lang w:eastAsia="en-GB"/>
        </w:rPr>
        <w:t>aries and</w:t>
      </w:r>
      <w:r w:rsidR="0006461C" w:rsidRPr="00AB7138">
        <w:rPr>
          <w:bCs/>
          <w:lang w:eastAsia="en-GB"/>
        </w:rPr>
        <w:t xml:space="preserve"> </w:t>
      </w:r>
      <w:r w:rsidR="008A6BF2">
        <w:rPr>
          <w:bCs/>
          <w:lang w:eastAsia="en-GB"/>
        </w:rPr>
        <w:t xml:space="preserve">a </w:t>
      </w:r>
      <w:r w:rsidR="0006461C" w:rsidRPr="00AB7138">
        <w:rPr>
          <w:bCs/>
          <w:lang w:eastAsia="en-GB"/>
        </w:rPr>
        <w:t xml:space="preserve">lack of </w:t>
      </w:r>
      <w:r w:rsidR="0096657F" w:rsidRPr="00AB7138">
        <w:rPr>
          <w:bCs/>
          <w:lang w:eastAsia="en-GB"/>
        </w:rPr>
        <w:t xml:space="preserve">labour rights and </w:t>
      </w:r>
      <w:r w:rsidR="0006461C" w:rsidRPr="00AB7138">
        <w:rPr>
          <w:bCs/>
          <w:lang w:eastAsia="en-GB"/>
        </w:rPr>
        <w:t>social protection coverage</w:t>
      </w:r>
      <w:r w:rsidR="00D06AA8" w:rsidRPr="00AB7138">
        <w:rPr>
          <w:bCs/>
          <w:lang w:eastAsia="en-GB"/>
        </w:rPr>
        <w:t xml:space="preserve"> (art.</w:t>
      </w:r>
      <w:r w:rsidR="0053239B">
        <w:rPr>
          <w:bCs/>
          <w:lang w:eastAsia="en-GB"/>
        </w:rPr>
        <w:t> </w:t>
      </w:r>
      <w:r w:rsidR="00D06AA8" w:rsidRPr="00AB7138">
        <w:rPr>
          <w:bCs/>
          <w:lang w:eastAsia="en-GB"/>
        </w:rPr>
        <w:t>7)</w:t>
      </w:r>
      <w:r w:rsidR="0096657F" w:rsidRPr="00AB7138">
        <w:rPr>
          <w:bCs/>
          <w:lang w:eastAsia="en-GB"/>
        </w:rPr>
        <w:t>.</w:t>
      </w:r>
      <w:proofErr w:type="gramEnd"/>
    </w:p>
    <w:p w14:paraId="2122A78E" w14:textId="06D8BA68" w:rsidR="0006461C" w:rsidRPr="00AB7138" w:rsidRDefault="00556A05" w:rsidP="00B15056">
      <w:pPr>
        <w:pStyle w:val="SingleTxtG"/>
        <w:tabs>
          <w:tab w:val="left" w:pos="1701"/>
        </w:tabs>
        <w:rPr>
          <w:b/>
          <w:lang w:eastAsia="en-GB"/>
        </w:rPr>
      </w:pPr>
      <w:r w:rsidRPr="00AB7138">
        <w:rPr>
          <w:lang w:eastAsia="en-GB"/>
        </w:rPr>
        <w:t>32.</w:t>
      </w:r>
      <w:r w:rsidRPr="00AB7138">
        <w:rPr>
          <w:lang w:eastAsia="en-GB"/>
        </w:rPr>
        <w:tab/>
      </w:r>
      <w:r w:rsidR="00B007CD" w:rsidRPr="00AB7138">
        <w:rPr>
          <w:b/>
          <w:lang w:eastAsia="en-GB"/>
        </w:rPr>
        <w:t xml:space="preserve">The Committee recommends that the State party redouble its efforts </w:t>
      </w:r>
      <w:proofErr w:type="gramStart"/>
      <w:r w:rsidR="00B007CD" w:rsidRPr="00AB7138">
        <w:rPr>
          <w:b/>
          <w:lang w:eastAsia="en-GB"/>
        </w:rPr>
        <w:t>to gradually decrease</w:t>
      </w:r>
      <w:proofErr w:type="gramEnd"/>
      <w:r w:rsidR="00B007CD" w:rsidRPr="00AB7138">
        <w:rPr>
          <w:b/>
          <w:lang w:eastAsia="en-GB"/>
        </w:rPr>
        <w:t xml:space="preserve"> the number of workers in the informal economy by integrating them in the formal labour force</w:t>
      </w:r>
      <w:r w:rsidR="007457A3" w:rsidRPr="00AB7138">
        <w:rPr>
          <w:b/>
          <w:lang w:eastAsia="en-GB"/>
        </w:rPr>
        <w:t xml:space="preserve">, including by effectively implementing the </w:t>
      </w:r>
      <w:r w:rsidR="008E4452">
        <w:rPr>
          <w:b/>
          <w:lang w:eastAsia="en-GB"/>
        </w:rPr>
        <w:t>National Development Plan</w:t>
      </w:r>
      <w:r w:rsidR="007457A3" w:rsidRPr="00AB7138">
        <w:rPr>
          <w:b/>
          <w:lang w:eastAsia="en-GB"/>
        </w:rPr>
        <w:t xml:space="preserve"> and related policies</w:t>
      </w:r>
      <w:r w:rsidR="00B007CD" w:rsidRPr="00AB7138">
        <w:rPr>
          <w:b/>
          <w:lang w:eastAsia="en-GB"/>
        </w:rPr>
        <w:t xml:space="preserve">. It also </w:t>
      </w:r>
      <w:r w:rsidR="00072EAC" w:rsidRPr="00AB7138">
        <w:rPr>
          <w:b/>
          <w:lang w:eastAsia="en-GB"/>
        </w:rPr>
        <w:t>urges the State party to give priority to the extension of</w:t>
      </w:r>
      <w:r w:rsidR="00B007CD" w:rsidRPr="00AB7138">
        <w:rPr>
          <w:b/>
          <w:lang w:eastAsia="en-GB"/>
        </w:rPr>
        <w:t xml:space="preserve"> social protection coverage to workers in the informal economy.</w:t>
      </w:r>
      <w:r w:rsidR="00013524" w:rsidRPr="00AB7138">
        <w:rPr>
          <w:b/>
          <w:lang w:eastAsia="en-GB"/>
        </w:rPr>
        <w:t xml:space="preserve"> The Committee refers the State party to </w:t>
      </w:r>
      <w:r w:rsidR="00AA0C6E">
        <w:rPr>
          <w:b/>
          <w:lang w:eastAsia="en-GB"/>
        </w:rPr>
        <w:t>the T</w:t>
      </w:r>
      <w:r w:rsidR="00AA0C6E" w:rsidRPr="00AB7138">
        <w:rPr>
          <w:b/>
          <w:lang w:eastAsia="en-GB"/>
        </w:rPr>
        <w:t xml:space="preserve">ransition from the </w:t>
      </w:r>
      <w:r w:rsidR="00AA0C6E">
        <w:rPr>
          <w:b/>
          <w:lang w:eastAsia="en-GB"/>
        </w:rPr>
        <w:t>I</w:t>
      </w:r>
      <w:r w:rsidR="00AA0C6E" w:rsidRPr="00AB7138">
        <w:rPr>
          <w:b/>
          <w:lang w:eastAsia="en-GB"/>
        </w:rPr>
        <w:t xml:space="preserve">nformal to the </w:t>
      </w:r>
      <w:r w:rsidR="00AA0C6E">
        <w:rPr>
          <w:b/>
          <w:lang w:eastAsia="en-GB"/>
        </w:rPr>
        <w:t>F</w:t>
      </w:r>
      <w:r w:rsidR="00AA0C6E" w:rsidRPr="00AB7138">
        <w:rPr>
          <w:b/>
          <w:lang w:eastAsia="en-GB"/>
        </w:rPr>
        <w:t xml:space="preserve">ormal </w:t>
      </w:r>
      <w:r w:rsidR="00AA0C6E">
        <w:rPr>
          <w:b/>
          <w:lang w:eastAsia="en-GB"/>
        </w:rPr>
        <w:t>E</w:t>
      </w:r>
      <w:r w:rsidR="00AA0C6E" w:rsidRPr="00AB7138">
        <w:rPr>
          <w:b/>
          <w:lang w:eastAsia="en-GB"/>
        </w:rPr>
        <w:t>conomy</w:t>
      </w:r>
      <w:r w:rsidR="00AA0C6E" w:rsidRPr="00AB7138" w:rsidDel="008A6BF2">
        <w:rPr>
          <w:b/>
          <w:lang w:eastAsia="en-GB"/>
        </w:rPr>
        <w:t xml:space="preserve"> </w:t>
      </w:r>
      <w:r w:rsidR="00013524" w:rsidRPr="00AB7138">
        <w:rPr>
          <w:b/>
          <w:lang w:eastAsia="en-GB"/>
        </w:rPr>
        <w:t>Recommendation</w:t>
      </w:r>
      <w:r w:rsidR="00AA0C6E">
        <w:rPr>
          <w:b/>
          <w:lang w:eastAsia="en-GB"/>
        </w:rPr>
        <w:t>, 2015</w:t>
      </w:r>
      <w:r w:rsidR="00013524" w:rsidRPr="00AB7138">
        <w:rPr>
          <w:b/>
          <w:lang w:eastAsia="en-GB"/>
        </w:rPr>
        <w:t xml:space="preserve"> </w:t>
      </w:r>
      <w:r w:rsidR="00AA0C6E">
        <w:rPr>
          <w:b/>
          <w:lang w:eastAsia="en-GB"/>
        </w:rPr>
        <w:t>(</w:t>
      </w:r>
      <w:r w:rsidR="00013524" w:rsidRPr="00AB7138">
        <w:rPr>
          <w:b/>
          <w:lang w:eastAsia="en-GB"/>
        </w:rPr>
        <w:t>No.</w:t>
      </w:r>
      <w:r w:rsidR="0053239B">
        <w:rPr>
          <w:b/>
          <w:lang w:eastAsia="en-GB"/>
        </w:rPr>
        <w:t> </w:t>
      </w:r>
      <w:r w:rsidR="00AA0C6E" w:rsidRPr="00AB7138">
        <w:rPr>
          <w:b/>
          <w:lang w:eastAsia="en-GB"/>
        </w:rPr>
        <w:t>20</w:t>
      </w:r>
      <w:r w:rsidR="00514775">
        <w:rPr>
          <w:b/>
          <w:lang w:eastAsia="en-GB"/>
        </w:rPr>
        <w:t>4</w:t>
      </w:r>
      <w:r w:rsidR="00AA0C6E">
        <w:rPr>
          <w:b/>
          <w:lang w:eastAsia="en-GB"/>
        </w:rPr>
        <w:t>)</w:t>
      </w:r>
      <w:r w:rsidR="00AA0C6E" w:rsidRPr="00AB7138">
        <w:rPr>
          <w:b/>
          <w:lang w:eastAsia="en-GB"/>
        </w:rPr>
        <w:t xml:space="preserve"> </w:t>
      </w:r>
      <w:r w:rsidR="008A6BF2">
        <w:rPr>
          <w:b/>
          <w:lang w:eastAsia="en-GB"/>
        </w:rPr>
        <w:t>of the International Labour Organization (ILO)</w:t>
      </w:r>
      <w:r w:rsidR="00013524" w:rsidRPr="00AB7138">
        <w:rPr>
          <w:b/>
          <w:lang w:eastAsia="en-GB"/>
        </w:rPr>
        <w:t>.</w:t>
      </w:r>
    </w:p>
    <w:p w14:paraId="4982C695" w14:textId="77777777" w:rsidR="00442080" w:rsidRPr="00AB7138" w:rsidRDefault="007457A3" w:rsidP="00FC6FBC">
      <w:pPr>
        <w:pStyle w:val="H23G"/>
        <w:ind w:firstLine="0"/>
        <w:rPr>
          <w:lang w:eastAsia="en-GB"/>
        </w:rPr>
      </w:pPr>
      <w:r w:rsidRPr="00AB7138">
        <w:rPr>
          <w:lang w:eastAsia="en-GB"/>
        </w:rPr>
        <w:t>Just and favourable conditions of work</w:t>
      </w:r>
    </w:p>
    <w:p w14:paraId="39090D5C" w14:textId="53B38FFD" w:rsidR="00F11F8B" w:rsidRDefault="00556A05" w:rsidP="00B15056">
      <w:pPr>
        <w:pStyle w:val="SingleTxtG"/>
        <w:tabs>
          <w:tab w:val="left" w:pos="1701"/>
        </w:tabs>
        <w:rPr>
          <w:bCs/>
          <w:lang w:eastAsia="en-GB"/>
        </w:rPr>
      </w:pPr>
      <w:r>
        <w:rPr>
          <w:bCs/>
          <w:lang w:eastAsia="en-GB"/>
        </w:rPr>
        <w:t>33.</w:t>
      </w:r>
      <w:r>
        <w:rPr>
          <w:bCs/>
          <w:lang w:eastAsia="en-GB"/>
        </w:rPr>
        <w:tab/>
      </w:r>
      <w:r w:rsidR="002D3BEB" w:rsidRPr="00AB7138">
        <w:rPr>
          <w:bCs/>
          <w:lang w:eastAsia="en-GB"/>
        </w:rPr>
        <w:t>The Committee notes</w:t>
      </w:r>
      <w:r w:rsidR="00B007CD" w:rsidRPr="00AB7138">
        <w:rPr>
          <w:bCs/>
          <w:lang w:eastAsia="en-GB"/>
        </w:rPr>
        <w:t xml:space="preserve"> the adoption </w:t>
      </w:r>
      <w:r w:rsidR="008B016B" w:rsidRPr="00AB7138">
        <w:rPr>
          <w:bCs/>
          <w:lang w:eastAsia="en-GB"/>
        </w:rPr>
        <w:t>in 2015</w:t>
      </w:r>
      <w:r w:rsidR="008B016B">
        <w:rPr>
          <w:bCs/>
          <w:lang w:eastAsia="en-GB"/>
        </w:rPr>
        <w:t xml:space="preserve"> </w:t>
      </w:r>
      <w:r w:rsidR="00B007CD" w:rsidRPr="00AB7138">
        <w:rPr>
          <w:bCs/>
          <w:lang w:eastAsia="en-GB"/>
        </w:rPr>
        <w:t xml:space="preserve">of the </w:t>
      </w:r>
      <w:r w:rsidR="002D3BEB" w:rsidRPr="00AB7138">
        <w:rPr>
          <w:bCs/>
          <w:lang w:eastAsia="en-GB"/>
        </w:rPr>
        <w:t>new Labour L</w:t>
      </w:r>
      <w:r w:rsidR="00B007CD" w:rsidRPr="00AB7138">
        <w:rPr>
          <w:bCs/>
          <w:lang w:eastAsia="en-GB"/>
        </w:rPr>
        <w:t>aw,</w:t>
      </w:r>
      <w:r w:rsidR="00A97DAE">
        <w:rPr>
          <w:bCs/>
          <w:lang w:eastAsia="en-GB"/>
        </w:rPr>
        <w:t xml:space="preserve"> </w:t>
      </w:r>
      <w:r w:rsidR="00826002" w:rsidRPr="002824FE">
        <w:rPr>
          <w:bCs/>
          <w:lang w:eastAsia="en-GB"/>
        </w:rPr>
        <w:t xml:space="preserve">which regulates the </w:t>
      </w:r>
      <w:r w:rsidR="008B016B">
        <w:rPr>
          <w:bCs/>
          <w:lang w:eastAsia="en-GB"/>
        </w:rPr>
        <w:t>participation</w:t>
      </w:r>
      <w:r w:rsidR="008B016B" w:rsidRPr="002824FE">
        <w:rPr>
          <w:bCs/>
          <w:lang w:eastAsia="en-GB"/>
        </w:rPr>
        <w:t xml:space="preserve"> </w:t>
      </w:r>
      <w:r w:rsidR="00826002" w:rsidRPr="002824FE">
        <w:rPr>
          <w:bCs/>
          <w:lang w:eastAsia="en-GB"/>
        </w:rPr>
        <w:t xml:space="preserve">of </w:t>
      </w:r>
      <w:proofErr w:type="gramStart"/>
      <w:r w:rsidR="00826002" w:rsidRPr="002824FE">
        <w:rPr>
          <w:bCs/>
          <w:lang w:eastAsia="en-GB"/>
        </w:rPr>
        <w:t>children</w:t>
      </w:r>
      <w:proofErr w:type="gramEnd"/>
      <w:r w:rsidR="00B007CD" w:rsidRPr="002824FE">
        <w:rPr>
          <w:bCs/>
          <w:lang w:eastAsia="en-GB"/>
        </w:rPr>
        <w:t xml:space="preserve"> aged</w:t>
      </w:r>
      <w:r w:rsidR="002D3BEB" w:rsidRPr="002824FE">
        <w:rPr>
          <w:bCs/>
          <w:lang w:eastAsia="en-GB"/>
        </w:rPr>
        <w:t xml:space="preserve"> 14-16 years in light work and establishe</w:t>
      </w:r>
      <w:r w:rsidR="005751F1" w:rsidRPr="00AB7138">
        <w:rPr>
          <w:bCs/>
          <w:lang w:eastAsia="en-GB"/>
        </w:rPr>
        <w:t>s</w:t>
      </w:r>
      <w:r w:rsidR="002D3BEB" w:rsidRPr="00AB7138">
        <w:rPr>
          <w:bCs/>
          <w:lang w:eastAsia="en-GB"/>
        </w:rPr>
        <w:t xml:space="preserve"> the Office of the Labour Inspector General. However</w:t>
      </w:r>
      <w:r w:rsidR="00D1183A" w:rsidRPr="00AB7138">
        <w:rPr>
          <w:bCs/>
          <w:lang w:eastAsia="en-GB"/>
        </w:rPr>
        <w:t>,</w:t>
      </w:r>
      <w:r w:rsidR="002D3BEB" w:rsidRPr="00AB7138">
        <w:rPr>
          <w:bCs/>
          <w:lang w:eastAsia="en-GB"/>
        </w:rPr>
        <w:t xml:space="preserve"> the Committee is concerned that</w:t>
      </w:r>
      <w:r w:rsidR="00D1183A" w:rsidRPr="00AB7138">
        <w:rPr>
          <w:bCs/>
          <w:lang w:eastAsia="en-GB"/>
        </w:rPr>
        <w:t>:</w:t>
      </w:r>
    </w:p>
    <w:p w14:paraId="2B5243FC" w14:textId="2AAD1A42" w:rsidR="00F11F8B" w:rsidRDefault="002D3BEB" w:rsidP="0053239B">
      <w:pPr>
        <w:pStyle w:val="SingleTxtG"/>
        <w:ind w:firstLine="567"/>
        <w:rPr>
          <w:bCs/>
          <w:lang w:eastAsia="en-GB"/>
        </w:rPr>
      </w:pPr>
      <w:r w:rsidRPr="00AB7138">
        <w:rPr>
          <w:bCs/>
          <w:lang w:eastAsia="en-GB"/>
        </w:rPr>
        <w:t>(</w:t>
      </w:r>
      <w:r w:rsidR="00F11F8B">
        <w:rPr>
          <w:bCs/>
          <w:lang w:eastAsia="en-GB"/>
        </w:rPr>
        <w:t>a</w:t>
      </w:r>
      <w:r w:rsidRPr="00AB7138">
        <w:rPr>
          <w:bCs/>
          <w:lang w:eastAsia="en-GB"/>
        </w:rPr>
        <w:t>)</w:t>
      </w:r>
      <w:r w:rsidR="00F11F8B">
        <w:rPr>
          <w:bCs/>
          <w:lang w:eastAsia="en-GB"/>
        </w:rPr>
        <w:tab/>
        <w:t>T</w:t>
      </w:r>
      <w:r w:rsidRPr="00AB7138">
        <w:rPr>
          <w:bCs/>
          <w:lang w:eastAsia="en-GB"/>
        </w:rPr>
        <w:t xml:space="preserve">he </w:t>
      </w:r>
      <w:r w:rsidR="00D1183A" w:rsidRPr="00AB7138">
        <w:rPr>
          <w:bCs/>
          <w:lang w:eastAsia="en-GB"/>
        </w:rPr>
        <w:t>new L</w:t>
      </w:r>
      <w:r w:rsidRPr="00AB7138">
        <w:rPr>
          <w:bCs/>
          <w:lang w:eastAsia="en-GB"/>
        </w:rPr>
        <w:t xml:space="preserve">abour </w:t>
      </w:r>
      <w:r w:rsidR="00D1183A" w:rsidRPr="00AB7138">
        <w:rPr>
          <w:bCs/>
          <w:lang w:eastAsia="en-GB"/>
        </w:rPr>
        <w:t xml:space="preserve">Law </w:t>
      </w:r>
      <w:r w:rsidRPr="00AB7138">
        <w:rPr>
          <w:bCs/>
          <w:lang w:eastAsia="en-GB"/>
        </w:rPr>
        <w:t xml:space="preserve">lacks implementation </w:t>
      </w:r>
      <w:r w:rsidR="00D1183A" w:rsidRPr="00AB7138">
        <w:rPr>
          <w:bCs/>
          <w:lang w:eastAsia="en-GB"/>
        </w:rPr>
        <w:t>mechanisms</w:t>
      </w:r>
      <w:proofErr w:type="gramStart"/>
      <w:r w:rsidR="00D1183A" w:rsidRPr="00AB7138">
        <w:rPr>
          <w:bCs/>
          <w:lang w:eastAsia="en-GB"/>
        </w:rPr>
        <w:t>;</w:t>
      </w:r>
      <w:proofErr w:type="gramEnd"/>
    </w:p>
    <w:p w14:paraId="0E06F1EB" w14:textId="4DD53223" w:rsidR="00F11F8B" w:rsidRDefault="002D3BEB" w:rsidP="0053239B">
      <w:pPr>
        <w:pStyle w:val="SingleTxtG"/>
        <w:ind w:firstLine="567"/>
        <w:rPr>
          <w:bCs/>
          <w:lang w:eastAsia="en-GB"/>
        </w:rPr>
      </w:pPr>
      <w:r w:rsidRPr="00AB7138">
        <w:rPr>
          <w:bCs/>
          <w:lang w:eastAsia="en-GB"/>
        </w:rPr>
        <w:t>(</w:t>
      </w:r>
      <w:r w:rsidR="00F11F8B">
        <w:rPr>
          <w:bCs/>
          <w:lang w:eastAsia="en-GB"/>
        </w:rPr>
        <w:t>b</w:t>
      </w:r>
      <w:r w:rsidRPr="00AB7138">
        <w:rPr>
          <w:bCs/>
          <w:lang w:eastAsia="en-GB"/>
        </w:rPr>
        <w:t>)</w:t>
      </w:r>
      <w:r w:rsidR="00F11F8B">
        <w:rPr>
          <w:bCs/>
          <w:lang w:eastAsia="en-GB"/>
        </w:rPr>
        <w:tab/>
        <w:t>C</w:t>
      </w:r>
      <w:r w:rsidRPr="00AB7138">
        <w:rPr>
          <w:bCs/>
          <w:lang w:eastAsia="en-GB"/>
        </w:rPr>
        <w:t>hild labour</w:t>
      </w:r>
      <w:r w:rsidR="00667EED" w:rsidRPr="00AB7138">
        <w:rPr>
          <w:bCs/>
          <w:lang w:eastAsia="en-GB"/>
        </w:rPr>
        <w:t xml:space="preserve">, </w:t>
      </w:r>
      <w:r w:rsidR="00667EED" w:rsidRPr="002824FE">
        <w:rPr>
          <w:bCs/>
          <w:lang w:eastAsia="en-GB"/>
        </w:rPr>
        <w:t xml:space="preserve">including in its worst forms, </w:t>
      </w:r>
      <w:r w:rsidRPr="002824FE">
        <w:rPr>
          <w:bCs/>
          <w:lang w:eastAsia="en-GB"/>
        </w:rPr>
        <w:t xml:space="preserve">is still </w:t>
      </w:r>
      <w:r w:rsidR="00D1183A" w:rsidRPr="002824FE">
        <w:rPr>
          <w:bCs/>
          <w:lang w:eastAsia="en-GB"/>
        </w:rPr>
        <w:t>prevalent</w:t>
      </w:r>
      <w:r w:rsidR="008A6BF2">
        <w:rPr>
          <w:bCs/>
          <w:lang w:eastAsia="en-GB"/>
        </w:rPr>
        <w:t>,</w:t>
      </w:r>
      <w:r w:rsidR="00D1183A" w:rsidRPr="002824FE">
        <w:rPr>
          <w:bCs/>
          <w:lang w:eastAsia="en-GB"/>
        </w:rPr>
        <w:t xml:space="preserve"> especially in the informal economy</w:t>
      </w:r>
      <w:proofErr w:type="gramStart"/>
      <w:r w:rsidR="002824FE">
        <w:rPr>
          <w:bCs/>
          <w:lang w:eastAsia="en-GB"/>
        </w:rPr>
        <w:t>;</w:t>
      </w:r>
      <w:proofErr w:type="gramEnd"/>
    </w:p>
    <w:p w14:paraId="3B7B6FE8" w14:textId="043328F9" w:rsidR="0049100B" w:rsidRPr="00AB7138" w:rsidRDefault="00020FDF" w:rsidP="0053239B">
      <w:pPr>
        <w:pStyle w:val="SingleTxtG"/>
        <w:ind w:firstLine="567"/>
        <w:rPr>
          <w:bCs/>
          <w:lang w:eastAsia="en-GB"/>
        </w:rPr>
      </w:pPr>
      <w:r w:rsidRPr="002824FE">
        <w:rPr>
          <w:bCs/>
          <w:lang w:eastAsia="en-GB"/>
        </w:rPr>
        <w:t>(</w:t>
      </w:r>
      <w:r w:rsidR="00F11F8B">
        <w:rPr>
          <w:bCs/>
          <w:lang w:eastAsia="en-GB"/>
        </w:rPr>
        <w:t>c</w:t>
      </w:r>
      <w:r w:rsidRPr="002824FE">
        <w:rPr>
          <w:bCs/>
          <w:lang w:eastAsia="en-GB"/>
        </w:rPr>
        <w:t>)</w:t>
      </w:r>
      <w:r w:rsidR="00F11F8B">
        <w:rPr>
          <w:bCs/>
          <w:lang w:eastAsia="en-GB"/>
        </w:rPr>
        <w:tab/>
        <w:t>L</w:t>
      </w:r>
      <w:r w:rsidR="002D3BEB" w:rsidRPr="002824FE">
        <w:rPr>
          <w:bCs/>
          <w:lang w:eastAsia="en-GB"/>
        </w:rPr>
        <w:t>abour inspections are insufficient</w:t>
      </w:r>
      <w:r w:rsidR="00D1183A" w:rsidRPr="002824FE">
        <w:rPr>
          <w:bCs/>
          <w:lang w:eastAsia="en-GB"/>
        </w:rPr>
        <w:t xml:space="preserve"> in the formal labour sector</w:t>
      </w:r>
      <w:r w:rsidR="002D3BEB" w:rsidRPr="00AB7138">
        <w:rPr>
          <w:bCs/>
          <w:lang w:eastAsia="en-GB"/>
        </w:rPr>
        <w:t xml:space="preserve"> and absent in the informal </w:t>
      </w:r>
      <w:r w:rsidR="00A97DAE">
        <w:rPr>
          <w:bCs/>
          <w:lang w:eastAsia="en-GB"/>
        </w:rPr>
        <w:t>economy</w:t>
      </w:r>
      <w:r w:rsidR="00A97DAE" w:rsidRPr="00AB7138">
        <w:rPr>
          <w:bCs/>
          <w:lang w:eastAsia="en-GB"/>
        </w:rPr>
        <w:t xml:space="preserve"> </w:t>
      </w:r>
      <w:r w:rsidR="00013524" w:rsidRPr="00AB7138">
        <w:rPr>
          <w:bCs/>
          <w:lang w:eastAsia="en-GB"/>
        </w:rPr>
        <w:t>(art.</w:t>
      </w:r>
      <w:r w:rsidR="0053239B">
        <w:rPr>
          <w:bCs/>
          <w:lang w:eastAsia="en-GB"/>
        </w:rPr>
        <w:t> </w:t>
      </w:r>
      <w:r w:rsidR="00013524" w:rsidRPr="00AB7138">
        <w:rPr>
          <w:bCs/>
          <w:lang w:eastAsia="en-GB"/>
        </w:rPr>
        <w:t>7)</w:t>
      </w:r>
      <w:r w:rsidR="0049100B" w:rsidRPr="00AB7138">
        <w:rPr>
          <w:bCs/>
          <w:lang w:eastAsia="en-GB"/>
        </w:rPr>
        <w:t>.</w:t>
      </w:r>
    </w:p>
    <w:p w14:paraId="0980DF37" w14:textId="39B783D7" w:rsidR="00B007CD" w:rsidRPr="00AB7138" w:rsidRDefault="00556A05" w:rsidP="00B15056">
      <w:pPr>
        <w:pStyle w:val="SingleTxtG"/>
        <w:tabs>
          <w:tab w:val="left" w:pos="1701"/>
        </w:tabs>
        <w:rPr>
          <w:b/>
          <w:bCs/>
          <w:lang w:eastAsia="en-GB"/>
        </w:rPr>
      </w:pPr>
      <w:r w:rsidRPr="00AB7138">
        <w:rPr>
          <w:bCs/>
          <w:lang w:eastAsia="en-GB"/>
        </w:rPr>
        <w:t>34.</w:t>
      </w:r>
      <w:r w:rsidRPr="00AB7138">
        <w:rPr>
          <w:bCs/>
          <w:lang w:eastAsia="en-GB"/>
        </w:rPr>
        <w:tab/>
      </w:r>
      <w:r w:rsidR="00943D60">
        <w:rPr>
          <w:b/>
          <w:bCs/>
          <w:lang w:eastAsia="en-GB"/>
        </w:rPr>
        <w:t>T</w:t>
      </w:r>
      <w:r w:rsidR="005E670D" w:rsidRPr="00AB7138">
        <w:rPr>
          <w:b/>
          <w:bCs/>
          <w:lang w:eastAsia="en-GB"/>
        </w:rPr>
        <w:t>he Committee recommends that the State party take immediate measures to adopt implementation mechanism</w:t>
      </w:r>
      <w:r w:rsidR="0049100B" w:rsidRPr="00AB7138">
        <w:rPr>
          <w:b/>
          <w:bCs/>
          <w:lang w:eastAsia="en-GB"/>
        </w:rPr>
        <w:t>s</w:t>
      </w:r>
      <w:r w:rsidR="005E670D" w:rsidRPr="00AB7138">
        <w:rPr>
          <w:b/>
          <w:bCs/>
          <w:lang w:eastAsia="en-GB"/>
        </w:rPr>
        <w:t xml:space="preserve"> </w:t>
      </w:r>
      <w:r w:rsidR="0049100B" w:rsidRPr="00AB7138">
        <w:rPr>
          <w:b/>
          <w:bCs/>
          <w:lang w:eastAsia="en-GB"/>
        </w:rPr>
        <w:t>for</w:t>
      </w:r>
      <w:r w:rsidR="005E670D" w:rsidRPr="00AB7138">
        <w:rPr>
          <w:b/>
          <w:bCs/>
          <w:lang w:eastAsia="en-GB"/>
        </w:rPr>
        <w:t xml:space="preserve"> the new </w:t>
      </w:r>
      <w:r w:rsidR="005278FD" w:rsidRPr="00AB7138">
        <w:rPr>
          <w:b/>
          <w:bCs/>
          <w:lang w:eastAsia="en-GB"/>
        </w:rPr>
        <w:t>L</w:t>
      </w:r>
      <w:r w:rsidR="005E670D" w:rsidRPr="00AB7138">
        <w:rPr>
          <w:b/>
          <w:bCs/>
          <w:lang w:eastAsia="en-GB"/>
        </w:rPr>
        <w:t xml:space="preserve">abour </w:t>
      </w:r>
      <w:r w:rsidR="005278FD" w:rsidRPr="00AB7138">
        <w:rPr>
          <w:b/>
          <w:bCs/>
          <w:lang w:eastAsia="en-GB"/>
        </w:rPr>
        <w:t>L</w:t>
      </w:r>
      <w:r w:rsidR="005E670D" w:rsidRPr="00AB7138">
        <w:rPr>
          <w:b/>
          <w:bCs/>
          <w:lang w:eastAsia="en-GB"/>
        </w:rPr>
        <w:t xml:space="preserve">aw. The Committee also recommends that </w:t>
      </w:r>
      <w:r w:rsidR="007E344F" w:rsidRPr="00AB7138">
        <w:rPr>
          <w:b/>
          <w:bCs/>
          <w:lang w:eastAsia="en-GB"/>
        </w:rPr>
        <w:t xml:space="preserve">the State party ensure </w:t>
      </w:r>
      <w:r w:rsidR="008A6BF2">
        <w:rPr>
          <w:b/>
          <w:bCs/>
          <w:lang w:eastAsia="en-GB"/>
        </w:rPr>
        <w:t>that the labour rights of</w:t>
      </w:r>
      <w:r w:rsidR="005278FD" w:rsidRPr="00AB7138">
        <w:rPr>
          <w:b/>
          <w:bCs/>
          <w:lang w:eastAsia="en-GB"/>
        </w:rPr>
        <w:t xml:space="preserve"> all workers, including those in </w:t>
      </w:r>
      <w:r w:rsidR="00943D60">
        <w:rPr>
          <w:b/>
          <w:bCs/>
          <w:lang w:eastAsia="en-GB"/>
        </w:rPr>
        <w:t xml:space="preserve">the </w:t>
      </w:r>
      <w:r w:rsidR="005278FD" w:rsidRPr="00AB7138">
        <w:rPr>
          <w:b/>
          <w:bCs/>
          <w:lang w:eastAsia="en-GB"/>
        </w:rPr>
        <w:t>informal economy</w:t>
      </w:r>
      <w:r w:rsidR="008A6BF2">
        <w:rPr>
          <w:b/>
          <w:bCs/>
          <w:lang w:eastAsia="en-GB"/>
        </w:rPr>
        <w:t xml:space="preserve">, </w:t>
      </w:r>
      <w:proofErr w:type="gramStart"/>
      <w:r w:rsidR="008A6BF2">
        <w:rPr>
          <w:b/>
          <w:bCs/>
          <w:lang w:eastAsia="en-GB"/>
        </w:rPr>
        <w:t>are protected</w:t>
      </w:r>
      <w:proofErr w:type="gramEnd"/>
      <w:r w:rsidR="005278FD" w:rsidRPr="00AB7138">
        <w:rPr>
          <w:b/>
          <w:bCs/>
          <w:lang w:eastAsia="en-GB"/>
        </w:rPr>
        <w:t>. To th</w:t>
      </w:r>
      <w:r w:rsidR="00AA0C6E">
        <w:rPr>
          <w:b/>
          <w:bCs/>
          <w:lang w:eastAsia="en-GB"/>
        </w:rPr>
        <w:t>at</w:t>
      </w:r>
      <w:r w:rsidR="005278FD" w:rsidRPr="00AB7138">
        <w:rPr>
          <w:b/>
          <w:bCs/>
          <w:lang w:eastAsia="en-GB"/>
        </w:rPr>
        <w:t xml:space="preserve"> end, the Committee recommends </w:t>
      </w:r>
      <w:r w:rsidR="008A6BF2">
        <w:rPr>
          <w:b/>
          <w:bCs/>
          <w:lang w:eastAsia="en-GB"/>
        </w:rPr>
        <w:t>that</w:t>
      </w:r>
      <w:r w:rsidR="005278FD" w:rsidRPr="00AB7138">
        <w:rPr>
          <w:b/>
          <w:bCs/>
          <w:lang w:eastAsia="en-GB"/>
        </w:rPr>
        <w:t xml:space="preserve"> </w:t>
      </w:r>
      <w:proofErr w:type="gramStart"/>
      <w:r w:rsidR="007E344F" w:rsidRPr="00AB7138">
        <w:rPr>
          <w:b/>
          <w:bCs/>
          <w:lang w:eastAsia="en-GB"/>
        </w:rPr>
        <w:t>provisions regulating</w:t>
      </w:r>
      <w:proofErr w:type="gramEnd"/>
      <w:r w:rsidR="007E344F" w:rsidRPr="00AB7138">
        <w:rPr>
          <w:b/>
          <w:bCs/>
          <w:lang w:eastAsia="en-GB"/>
        </w:rPr>
        <w:t xml:space="preserve"> </w:t>
      </w:r>
      <w:r w:rsidR="008A6BF2">
        <w:rPr>
          <w:b/>
          <w:bCs/>
          <w:lang w:eastAsia="en-GB"/>
        </w:rPr>
        <w:t xml:space="preserve">the </w:t>
      </w:r>
      <w:r w:rsidR="007E344F" w:rsidRPr="00AB7138">
        <w:rPr>
          <w:b/>
          <w:bCs/>
          <w:lang w:eastAsia="en-GB"/>
        </w:rPr>
        <w:t>minimum age for admission to work and the various categories of hazardous work</w:t>
      </w:r>
      <w:r w:rsidR="008A6BF2">
        <w:rPr>
          <w:b/>
          <w:bCs/>
          <w:lang w:eastAsia="en-GB"/>
        </w:rPr>
        <w:t xml:space="preserve"> </w:t>
      </w:r>
      <w:r w:rsidR="00584DF7">
        <w:rPr>
          <w:b/>
          <w:bCs/>
          <w:lang w:eastAsia="en-GB"/>
        </w:rPr>
        <w:t>be</w:t>
      </w:r>
      <w:r w:rsidR="008A6BF2">
        <w:rPr>
          <w:b/>
          <w:bCs/>
          <w:lang w:eastAsia="en-GB"/>
        </w:rPr>
        <w:t xml:space="preserve"> strictly implemented and the number of </w:t>
      </w:r>
      <w:r w:rsidR="0049100B" w:rsidRPr="00AB7138">
        <w:rPr>
          <w:b/>
          <w:bCs/>
          <w:lang w:eastAsia="en-GB"/>
        </w:rPr>
        <w:t xml:space="preserve">visits by labour inspectors </w:t>
      </w:r>
      <w:r w:rsidR="008A6BF2">
        <w:rPr>
          <w:b/>
          <w:bCs/>
          <w:lang w:eastAsia="en-GB"/>
        </w:rPr>
        <w:t xml:space="preserve">significantly increased, </w:t>
      </w:r>
      <w:r w:rsidR="00584DF7">
        <w:rPr>
          <w:b/>
          <w:bCs/>
          <w:lang w:eastAsia="en-GB"/>
        </w:rPr>
        <w:t>at the same time extending</w:t>
      </w:r>
      <w:r w:rsidR="0049100B" w:rsidRPr="00AB7138">
        <w:rPr>
          <w:b/>
          <w:bCs/>
          <w:lang w:eastAsia="en-GB"/>
        </w:rPr>
        <w:t xml:space="preserve"> </w:t>
      </w:r>
      <w:r w:rsidR="00584DF7">
        <w:rPr>
          <w:b/>
          <w:bCs/>
          <w:lang w:eastAsia="en-GB"/>
        </w:rPr>
        <w:t xml:space="preserve">these </w:t>
      </w:r>
      <w:r w:rsidR="0049100B" w:rsidRPr="00AB7138">
        <w:rPr>
          <w:b/>
          <w:bCs/>
          <w:lang w:eastAsia="en-GB"/>
        </w:rPr>
        <w:t>visits to workplace</w:t>
      </w:r>
      <w:r w:rsidR="00667EED" w:rsidRPr="002824FE">
        <w:rPr>
          <w:b/>
          <w:bCs/>
          <w:lang w:eastAsia="en-GB"/>
        </w:rPr>
        <w:t>s</w:t>
      </w:r>
      <w:r w:rsidR="0049100B" w:rsidRPr="002824FE">
        <w:rPr>
          <w:b/>
          <w:bCs/>
          <w:lang w:eastAsia="en-GB"/>
        </w:rPr>
        <w:t xml:space="preserve"> </w:t>
      </w:r>
      <w:r w:rsidR="00584DF7">
        <w:rPr>
          <w:b/>
          <w:bCs/>
          <w:lang w:eastAsia="en-GB"/>
        </w:rPr>
        <w:t>in</w:t>
      </w:r>
      <w:r w:rsidR="00584DF7" w:rsidRPr="002824FE">
        <w:rPr>
          <w:b/>
          <w:bCs/>
          <w:lang w:eastAsia="en-GB"/>
        </w:rPr>
        <w:t xml:space="preserve"> </w:t>
      </w:r>
      <w:r w:rsidR="0049100B" w:rsidRPr="002824FE">
        <w:rPr>
          <w:b/>
          <w:bCs/>
          <w:lang w:eastAsia="en-GB"/>
        </w:rPr>
        <w:t xml:space="preserve">the informal </w:t>
      </w:r>
      <w:r w:rsidR="00584DF7">
        <w:rPr>
          <w:b/>
          <w:bCs/>
          <w:lang w:eastAsia="en-GB"/>
        </w:rPr>
        <w:t>economy. The Committee also recommends that the State party</w:t>
      </w:r>
      <w:r w:rsidR="007E344F" w:rsidRPr="002824FE">
        <w:rPr>
          <w:b/>
          <w:bCs/>
          <w:lang w:eastAsia="en-GB"/>
        </w:rPr>
        <w:t xml:space="preserve"> </w:t>
      </w:r>
      <w:r w:rsidR="0049100B" w:rsidRPr="002824FE">
        <w:rPr>
          <w:b/>
          <w:bCs/>
          <w:lang w:eastAsia="en-GB"/>
        </w:rPr>
        <w:t>ensur</w:t>
      </w:r>
      <w:r w:rsidR="00584DF7">
        <w:rPr>
          <w:b/>
          <w:bCs/>
          <w:lang w:eastAsia="en-GB"/>
        </w:rPr>
        <w:t>e</w:t>
      </w:r>
      <w:r w:rsidR="007E344F" w:rsidRPr="002824FE">
        <w:rPr>
          <w:b/>
          <w:bCs/>
          <w:lang w:eastAsia="en-GB"/>
        </w:rPr>
        <w:t xml:space="preserve"> that </w:t>
      </w:r>
      <w:r w:rsidR="00667EED" w:rsidRPr="002824FE">
        <w:rPr>
          <w:b/>
          <w:bCs/>
          <w:lang w:eastAsia="en-GB"/>
        </w:rPr>
        <w:t xml:space="preserve">employers </w:t>
      </w:r>
      <w:r w:rsidR="007E344F" w:rsidRPr="002824FE">
        <w:rPr>
          <w:b/>
          <w:bCs/>
          <w:lang w:eastAsia="en-GB"/>
        </w:rPr>
        <w:t xml:space="preserve">who </w:t>
      </w:r>
      <w:r w:rsidR="00667EED" w:rsidRPr="002824FE">
        <w:rPr>
          <w:b/>
          <w:bCs/>
          <w:lang w:eastAsia="en-GB"/>
        </w:rPr>
        <w:t xml:space="preserve">benefit from </w:t>
      </w:r>
      <w:r w:rsidR="007E344F" w:rsidRPr="002824FE">
        <w:rPr>
          <w:b/>
          <w:bCs/>
          <w:lang w:eastAsia="en-GB"/>
        </w:rPr>
        <w:t>illegal child labour are prosecuted</w:t>
      </w:r>
      <w:r w:rsidR="0049100B" w:rsidRPr="002824FE">
        <w:rPr>
          <w:b/>
          <w:bCs/>
          <w:lang w:eastAsia="en-GB"/>
        </w:rPr>
        <w:t xml:space="preserve"> and punished</w:t>
      </w:r>
      <w:r w:rsidR="007E344F" w:rsidRPr="00AB7138">
        <w:rPr>
          <w:b/>
          <w:bCs/>
          <w:lang w:eastAsia="en-GB"/>
        </w:rPr>
        <w:t>.</w:t>
      </w:r>
      <w:r w:rsidR="00943D60" w:rsidRPr="00943D60">
        <w:rPr>
          <w:b/>
          <w:bCs/>
          <w:lang w:eastAsia="en-GB"/>
        </w:rPr>
        <w:t xml:space="preserve"> </w:t>
      </w:r>
      <w:r w:rsidR="00943D60">
        <w:rPr>
          <w:b/>
          <w:bCs/>
          <w:lang w:eastAsia="en-GB"/>
        </w:rPr>
        <w:t xml:space="preserve">In this connection, the Committee refers to </w:t>
      </w:r>
      <w:r w:rsidR="00943D60" w:rsidRPr="00AB7138">
        <w:rPr>
          <w:b/>
          <w:bCs/>
          <w:lang w:eastAsia="en-GB"/>
        </w:rPr>
        <w:t xml:space="preserve">its general comment </w:t>
      </w:r>
      <w:r w:rsidR="00584DF7">
        <w:rPr>
          <w:b/>
          <w:bCs/>
          <w:lang w:eastAsia="en-GB"/>
        </w:rPr>
        <w:t>N</w:t>
      </w:r>
      <w:r w:rsidR="00943D60" w:rsidRPr="00AB7138">
        <w:rPr>
          <w:b/>
          <w:bCs/>
          <w:lang w:eastAsia="en-GB"/>
        </w:rPr>
        <w:t>o.</w:t>
      </w:r>
      <w:r w:rsidR="00D144F2">
        <w:rPr>
          <w:b/>
          <w:bCs/>
          <w:lang w:eastAsia="en-GB"/>
        </w:rPr>
        <w:t> </w:t>
      </w:r>
      <w:r w:rsidR="00943D60" w:rsidRPr="00AB7138">
        <w:rPr>
          <w:b/>
          <w:bCs/>
          <w:lang w:eastAsia="en-GB"/>
        </w:rPr>
        <w:t>23 (2016) on the right to just and favourable conditions of work</w:t>
      </w:r>
      <w:r w:rsidR="00943D60">
        <w:rPr>
          <w:b/>
          <w:bCs/>
          <w:lang w:eastAsia="en-GB"/>
        </w:rPr>
        <w:t>.</w:t>
      </w:r>
    </w:p>
    <w:p w14:paraId="300002D8" w14:textId="77777777" w:rsidR="00AB2E60" w:rsidRPr="00AB7138" w:rsidRDefault="00AB2E60" w:rsidP="00FC6FBC">
      <w:pPr>
        <w:pStyle w:val="H23G"/>
        <w:ind w:firstLine="0"/>
        <w:rPr>
          <w:lang w:eastAsia="en-GB"/>
        </w:rPr>
      </w:pPr>
      <w:r w:rsidRPr="00AB7138">
        <w:rPr>
          <w:lang w:eastAsia="en-GB"/>
        </w:rPr>
        <w:t>Trade union rights</w:t>
      </w:r>
    </w:p>
    <w:p w14:paraId="0B79E559" w14:textId="5049AF76" w:rsidR="00B97301" w:rsidRPr="002824FE" w:rsidRDefault="00556A05" w:rsidP="00B15056">
      <w:pPr>
        <w:pStyle w:val="SingleTxtG"/>
        <w:tabs>
          <w:tab w:val="left" w:pos="1701"/>
        </w:tabs>
        <w:rPr>
          <w:bCs/>
          <w:lang w:eastAsia="en-GB"/>
        </w:rPr>
      </w:pPr>
      <w:r w:rsidRPr="002824FE">
        <w:rPr>
          <w:bCs/>
          <w:lang w:eastAsia="en-GB"/>
        </w:rPr>
        <w:t>35.</w:t>
      </w:r>
      <w:r w:rsidRPr="002824FE">
        <w:rPr>
          <w:bCs/>
          <w:lang w:eastAsia="en-GB"/>
        </w:rPr>
        <w:tab/>
      </w:r>
      <w:r w:rsidR="00B97301" w:rsidRPr="00AB7138">
        <w:rPr>
          <w:bCs/>
          <w:lang w:eastAsia="en-GB"/>
        </w:rPr>
        <w:t xml:space="preserve">The Committee notes with regret the lack of information on the </w:t>
      </w:r>
      <w:r w:rsidR="00B97301" w:rsidRPr="002824FE">
        <w:rPr>
          <w:bCs/>
          <w:lang w:eastAsia="en-GB"/>
        </w:rPr>
        <w:t>enjoyment of trade union</w:t>
      </w:r>
      <w:r w:rsidR="00221C1D" w:rsidRPr="00AB7138">
        <w:rPr>
          <w:bCs/>
          <w:lang w:eastAsia="en-GB"/>
        </w:rPr>
        <w:t xml:space="preserve"> rights and </w:t>
      </w:r>
      <w:r w:rsidR="005278FD" w:rsidRPr="00AB7138">
        <w:rPr>
          <w:bCs/>
          <w:lang w:eastAsia="en-GB"/>
        </w:rPr>
        <w:t xml:space="preserve">on the enjoyment of the </w:t>
      </w:r>
      <w:r w:rsidR="00221C1D" w:rsidRPr="00AB7138">
        <w:rPr>
          <w:bCs/>
          <w:lang w:eastAsia="en-GB"/>
        </w:rPr>
        <w:t>right to strike (art.</w:t>
      </w:r>
      <w:r w:rsidR="00D144F2">
        <w:rPr>
          <w:bCs/>
          <w:lang w:eastAsia="en-GB"/>
        </w:rPr>
        <w:t> </w:t>
      </w:r>
      <w:r w:rsidR="00221C1D" w:rsidRPr="00AB7138">
        <w:rPr>
          <w:bCs/>
          <w:lang w:eastAsia="en-GB"/>
        </w:rPr>
        <w:t>8)</w:t>
      </w:r>
      <w:r w:rsidR="00B97301" w:rsidRPr="00AB7138">
        <w:rPr>
          <w:bCs/>
          <w:lang w:eastAsia="en-GB"/>
        </w:rPr>
        <w:t>.</w:t>
      </w:r>
    </w:p>
    <w:p w14:paraId="5E6048BE" w14:textId="0D0E2E31" w:rsidR="00B97301" w:rsidRPr="00AB7138" w:rsidRDefault="00556A05" w:rsidP="00B15056">
      <w:pPr>
        <w:pStyle w:val="SingleTxtG"/>
        <w:tabs>
          <w:tab w:val="left" w:pos="1701"/>
        </w:tabs>
        <w:rPr>
          <w:b/>
          <w:lang w:eastAsia="en-GB"/>
        </w:rPr>
      </w:pPr>
      <w:r w:rsidRPr="00AB7138">
        <w:rPr>
          <w:lang w:eastAsia="en-GB"/>
        </w:rPr>
        <w:t>36.</w:t>
      </w:r>
      <w:r w:rsidRPr="00AB7138">
        <w:rPr>
          <w:lang w:eastAsia="en-GB"/>
        </w:rPr>
        <w:tab/>
      </w:r>
      <w:r w:rsidR="00EC0B7D" w:rsidRPr="00AB7138">
        <w:rPr>
          <w:b/>
          <w:lang w:eastAsia="en-GB"/>
        </w:rPr>
        <w:t>T</w:t>
      </w:r>
      <w:r w:rsidR="00B97301" w:rsidRPr="00AB7138">
        <w:rPr>
          <w:b/>
          <w:lang w:eastAsia="en-GB"/>
        </w:rPr>
        <w:t>he Committee recommen</w:t>
      </w:r>
      <w:r w:rsidR="00221C1D" w:rsidRPr="00AB7138">
        <w:rPr>
          <w:b/>
          <w:lang w:eastAsia="en-GB"/>
        </w:rPr>
        <w:t>ds that the State party provide</w:t>
      </w:r>
      <w:r w:rsidR="00B97301" w:rsidRPr="00AB7138">
        <w:rPr>
          <w:b/>
          <w:lang w:eastAsia="en-GB"/>
        </w:rPr>
        <w:t xml:space="preserve"> detailed information in its next periodic report on th</w:t>
      </w:r>
      <w:r w:rsidR="00EC0B7D" w:rsidRPr="00AB7138">
        <w:rPr>
          <w:b/>
          <w:lang w:eastAsia="en-GB"/>
        </w:rPr>
        <w:t>e</w:t>
      </w:r>
      <w:r w:rsidR="00B97301" w:rsidRPr="00AB7138">
        <w:rPr>
          <w:b/>
          <w:lang w:eastAsia="en-GB"/>
        </w:rPr>
        <w:t xml:space="preserve"> </w:t>
      </w:r>
      <w:r w:rsidR="00221C1D" w:rsidRPr="002824FE">
        <w:rPr>
          <w:b/>
          <w:lang w:eastAsia="en-GB"/>
        </w:rPr>
        <w:t>enjoyment of trade union rights and the right to strike</w:t>
      </w:r>
      <w:r w:rsidR="00EC0B7D" w:rsidRPr="00AB7138">
        <w:rPr>
          <w:b/>
          <w:lang w:eastAsia="en-GB"/>
        </w:rPr>
        <w:t>. I</w:t>
      </w:r>
      <w:r w:rsidR="00B97301" w:rsidRPr="00AB7138">
        <w:rPr>
          <w:b/>
          <w:lang w:eastAsia="en-GB"/>
        </w:rPr>
        <w:t>t also en</w:t>
      </w:r>
      <w:r w:rsidR="00EC0B7D" w:rsidRPr="00AB7138">
        <w:rPr>
          <w:b/>
          <w:lang w:eastAsia="en-GB"/>
        </w:rPr>
        <w:t>courages the State party to take effective measures to</w:t>
      </w:r>
      <w:r w:rsidR="00B97301" w:rsidRPr="00AB7138">
        <w:rPr>
          <w:b/>
          <w:lang w:eastAsia="en-GB"/>
        </w:rPr>
        <w:t xml:space="preserve"> raise awareness among worker</w:t>
      </w:r>
      <w:r w:rsidR="00D1183A" w:rsidRPr="00AB7138">
        <w:rPr>
          <w:b/>
          <w:lang w:eastAsia="en-GB"/>
        </w:rPr>
        <w:t xml:space="preserve">s </w:t>
      </w:r>
      <w:r w:rsidR="005278FD" w:rsidRPr="00AB7138">
        <w:rPr>
          <w:b/>
          <w:lang w:eastAsia="en-GB"/>
        </w:rPr>
        <w:t xml:space="preserve">and employers </w:t>
      </w:r>
      <w:r w:rsidR="00D1183A" w:rsidRPr="00AB7138">
        <w:rPr>
          <w:b/>
          <w:lang w:eastAsia="en-GB"/>
        </w:rPr>
        <w:t>about these rights</w:t>
      </w:r>
      <w:r w:rsidR="00B97301" w:rsidRPr="00AB7138">
        <w:rPr>
          <w:b/>
          <w:lang w:eastAsia="en-GB"/>
        </w:rPr>
        <w:t>.</w:t>
      </w:r>
    </w:p>
    <w:p w14:paraId="2ED390D1" w14:textId="77777777" w:rsidR="00AB2E60" w:rsidRPr="00AB7138" w:rsidRDefault="00AB2E60" w:rsidP="00FC6FBC">
      <w:pPr>
        <w:pStyle w:val="H23G"/>
        <w:ind w:firstLine="0"/>
        <w:rPr>
          <w:lang w:eastAsia="en-GB"/>
        </w:rPr>
      </w:pPr>
      <w:r w:rsidRPr="00AB7138">
        <w:rPr>
          <w:lang w:eastAsia="en-GB"/>
        </w:rPr>
        <w:t>Social security</w:t>
      </w:r>
    </w:p>
    <w:p w14:paraId="05677C12" w14:textId="35DD3256" w:rsidR="00C44D3F" w:rsidRPr="002824FE" w:rsidRDefault="00556A05" w:rsidP="00B15056">
      <w:pPr>
        <w:pStyle w:val="SingleTxtG"/>
        <w:tabs>
          <w:tab w:val="left" w:pos="1701"/>
        </w:tabs>
        <w:rPr>
          <w:bCs/>
          <w:lang w:eastAsia="en-GB"/>
        </w:rPr>
      </w:pPr>
      <w:r w:rsidRPr="002824FE">
        <w:rPr>
          <w:bCs/>
          <w:lang w:eastAsia="en-GB"/>
        </w:rPr>
        <w:t>37.</w:t>
      </w:r>
      <w:r w:rsidRPr="002824FE">
        <w:rPr>
          <w:bCs/>
          <w:lang w:eastAsia="en-GB"/>
        </w:rPr>
        <w:tab/>
      </w:r>
      <w:r w:rsidR="00C44D3F" w:rsidRPr="00AB7138">
        <w:t>The Committee takes note of the existence of conditional cash transfer programmes in the State party. However, the Committee is concerned that</w:t>
      </w:r>
      <w:r w:rsidR="00C44D3F" w:rsidRPr="00AB7138">
        <w:rPr>
          <w:bCs/>
          <w:lang w:eastAsia="en-GB"/>
        </w:rPr>
        <w:t xml:space="preserve"> </w:t>
      </w:r>
      <w:r w:rsidR="00C44D3F" w:rsidRPr="00AB7138">
        <w:t>the State party still lacks a universal social protection system and that a high percentage of the population</w:t>
      </w:r>
      <w:r w:rsidR="007765DB" w:rsidRPr="00AB7138">
        <w:t>,</w:t>
      </w:r>
      <w:r w:rsidR="00C44D3F" w:rsidRPr="00AB7138">
        <w:t xml:space="preserve"> </w:t>
      </w:r>
      <w:r w:rsidR="00C44D3F" w:rsidRPr="002824FE">
        <w:t xml:space="preserve">in particular workers </w:t>
      </w:r>
      <w:r w:rsidR="00667EED" w:rsidRPr="002824FE">
        <w:t xml:space="preserve">in </w:t>
      </w:r>
      <w:r w:rsidR="00C44D3F" w:rsidRPr="002824FE">
        <w:t xml:space="preserve">the </w:t>
      </w:r>
      <w:r w:rsidR="00C44D3F" w:rsidRPr="002824FE">
        <w:rPr>
          <w:bCs/>
          <w:lang w:eastAsia="en-GB"/>
        </w:rPr>
        <w:t xml:space="preserve">informal economy </w:t>
      </w:r>
      <w:r w:rsidR="00557658" w:rsidRPr="002824FE">
        <w:rPr>
          <w:bCs/>
          <w:lang w:eastAsia="en-GB"/>
        </w:rPr>
        <w:t xml:space="preserve">and </w:t>
      </w:r>
      <w:r w:rsidR="00C44D3F" w:rsidRPr="002824FE">
        <w:rPr>
          <w:bCs/>
          <w:lang w:eastAsia="en-GB"/>
        </w:rPr>
        <w:t>economically disadvantaged individuals</w:t>
      </w:r>
      <w:r w:rsidR="00221C1D" w:rsidRPr="002824FE">
        <w:rPr>
          <w:bCs/>
          <w:lang w:eastAsia="en-GB"/>
        </w:rPr>
        <w:t xml:space="preserve"> </w:t>
      </w:r>
      <w:r w:rsidR="00E861BE" w:rsidRPr="002824FE">
        <w:rPr>
          <w:bCs/>
          <w:lang w:eastAsia="en-GB"/>
        </w:rPr>
        <w:t>and families</w:t>
      </w:r>
      <w:r w:rsidR="007765DB" w:rsidRPr="002824FE">
        <w:rPr>
          <w:bCs/>
          <w:lang w:eastAsia="en-GB"/>
        </w:rPr>
        <w:t>,</w:t>
      </w:r>
      <w:r w:rsidR="00E861BE" w:rsidRPr="002824FE">
        <w:rPr>
          <w:bCs/>
          <w:lang w:eastAsia="en-GB"/>
        </w:rPr>
        <w:t xml:space="preserve"> are not adequately covered by the public social security system (</w:t>
      </w:r>
      <w:r w:rsidR="00221C1D" w:rsidRPr="002824FE">
        <w:rPr>
          <w:bCs/>
          <w:lang w:eastAsia="en-GB"/>
        </w:rPr>
        <w:t>art.</w:t>
      </w:r>
      <w:r w:rsidR="00D144F2">
        <w:rPr>
          <w:bCs/>
          <w:lang w:eastAsia="en-GB"/>
        </w:rPr>
        <w:t> </w:t>
      </w:r>
      <w:r w:rsidR="00221C1D" w:rsidRPr="002824FE">
        <w:rPr>
          <w:bCs/>
          <w:lang w:eastAsia="en-GB"/>
        </w:rPr>
        <w:t>9)</w:t>
      </w:r>
      <w:r w:rsidR="00C44D3F" w:rsidRPr="002824FE">
        <w:rPr>
          <w:bCs/>
          <w:lang w:eastAsia="en-GB"/>
        </w:rPr>
        <w:t>.</w:t>
      </w:r>
    </w:p>
    <w:p w14:paraId="6E0F5F5B" w14:textId="244614A6" w:rsidR="00EC0B7D" w:rsidRPr="00AB7138" w:rsidRDefault="00556A05" w:rsidP="00B15056">
      <w:pPr>
        <w:pStyle w:val="SingleTxtG"/>
        <w:tabs>
          <w:tab w:val="left" w:pos="1701"/>
        </w:tabs>
        <w:rPr>
          <w:b/>
        </w:rPr>
      </w:pPr>
      <w:r w:rsidRPr="00AB7138">
        <w:t>38.</w:t>
      </w:r>
      <w:r w:rsidRPr="00AB7138">
        <w:tab/>
      </w:r>
      <w:r w:rsidR="00C44D3F" w:rsidRPr="00AB7138">
        <w:rPr>
          <w:b/>
        </w:rPr>
        <w:t xml:space="preserve">The Committee recommends that the State party </w:t>
      </w:r>
      <w:r w:rsidR="0075099D" w:rsidRPr="00AB7138">
        <w:rPr>
          <w:b/>
        </w:rPr>
        <w:t xml:space="preserve">step up </w:t>
      </w:r>
      <w:r w:rsidR="00C44D3F" w:rsidRPr="00AB7138">
        <w:rPr>
          <w:b/>
        </w:rPr>
        <w:t xml:space="preserve">its efforts to develop a social security system that will guarantee </w:t>
      </w:r>
      <w:r w:rsidR="00C44D3F" w:rsidRPr="002824FE">
        <w:rPr>
          <w:b/>
        </w:rPr>
        <w:t xml:space="preserve">coverage and appropriate benefits for all workers and </w:t>
      </w:r>
      <w:r w:rsidR="00E861BE" w:rsidRPr="002824FE">
        <w:rPr>
          <w:b/>
        </w:rPr>
        <w:t xml:space="preserve">non-contributory benefits to </w:t>
      </w:r>
      <w:r w:rsidR="00C44D3F" w:rsidRPr="002824FE">
        <w:rPr>
          <w:b/>
        </w:rPr>
        <w:t xml:space="preserve">all </w:t>
      </w:r>
      <w:r w:rsidR="007457A3" w:rsidRPr="002824FE">
        <w:rPr>
          <w:b/>
        </w:rPr>
        <w:t>disadvantaged</w:t>
      </w:r>
      <w:r w:rsidR="00C44D3F" w:rsidRPr="002824FE">
        <w:rPr>
          <w:b/>
        </w:rPr>
        <w:t xml:space="preserve"> persons and families so that they may enjoy </w:t>
      </w:r>
      <w:r w:rsidR="00E861BE" w:rsidRPr="002824FE">
        <w:rPr>
          <w:b/>
        </w:rPr>
        <w:t>an adequate standard of living</w:t>
      </w:r>
      <w:r w:rsidR="00C44D3F" w:rsidRPr="002824FE">
        <w:rPr>
          <w:b/>
        </w:rPr>
        <w:t xml:space="preserve">. </w:t>
      </w:r>
      <w:proofErr w:type="gramStart"/>
      <w:r w:rsidR="00C44D3F" w:rsidRPr="002824FE">
        <w:rPr>
          <w:b/>
        </w:rPr>
        <w:t>I</w:t>
      </w:r>
      <w:r w:rsidR="007140A6" w:rsidRPr="002824FE">
        <w:rPr>
          <w:b/>
        </w:rPr>
        <w:t xml:space="preserve">n that connection, the Committee refers the State party to its general comment </w:t>
      </w:r>
      <w:r w:rsidR="00AA0C6E">
        <w:rPr>
          <w:b/>
        </w:rPr>
        <w:t>N</w:t>
      </w:r>
      <w:r w:rsidR="007140A6" w:rsidRPr="002824FE">
        <w:rPr>
          <w:b/>
        </w:rPr>
        <w:t>o.</w:t>
      </w:r>
      <w:r w:rsidR="00D144F2">
        <w:rPr>
          <w:b/>
        </w:rPr>
        <w:t> </w:t>
      </w:r>
      <w:r w:rsidR="007140A6" w:rsidRPr="002824FE">
        <w:rPr>
          <w:b/>
        </w:rPr>
        <w:t>19 (2</w:t>
      </w:r>
      <w:r w:rsidR="007140A6" w:rsidRPr="00AB7138">
        <w:rPr>
          <w:b/>
        </w:rPr>
        <w:t xml:space="preserve">007) on the right to social security and recommends that the State party </w:t>
      </w:r>
      <w:r w:rsidR="0075099D" w:rsidRPr="002824FE">
        <w:rPr>
          <w:b/>
        </w:rPr>
        <w:t>work towards the establishment of</w:t>
      </w:r>
      <w:r w:rsidR="007140A6" w:rsidRPr="002824FE">
        <w:rPr>
          <w:b/>
        </w:rPr>
        <w:t xml:space="preserve"> a social protection floor, in line with </w:t>
      </w:r>
      <w:r w:rsidR="00AA0C6E">
        <w:rPr>
          <w:b/>
        </w:rPr>
        <w:t xml:space="preserve">the </w:t>
      </w:r>
      <w:r w:rsidR="00D3119B">
        <w:rPr>
          <w:b/>
        </w:rPr>
        <w:t xml:space="preserve">ILO </w:t>
      </w:r>
      <w:r w:rsidR="00AA0C6E">
        <w:rPr>
          <w:b/>
        </w:rPr>
        <w:t>Social Protection Floors</w:t>
      </w:r>
      <w:r w:rsidR="00AA0C6E" w:rsidRPr="002824FE">
        <w:rPr>
          <w:b/>
        </w:rPr>
        <w:t xml:space="preserve"> </w:t>
      </w:r>
      <w:r w:rsidR="00584DF7">
        <w:rPr>
          <w:b/>
        </w:rPr>
        <w:t>R</w:t>
      </w:r>
      <w:r w:rsidR="007140A6" w:rsidRPr="002824FE">
        <w:rPr>
          <w:b/>
        </w:rPr>
        <w:t>ecommendation</w:t>
      </w:r>
      <w:r w:rsidR="00AA0C6E">
        <w:rPr>
          <w:b/>
        </w:rPr>
        <w:t>, 2012</w:t>
      </w:r>
      <w:r w:rsidR="007140A6" w:rsidRPr="002824FE">
        <w:rPr>
          <w:b/>
        </w:rPr>
        <w:t xml:space="preserve"> </w:t>
      </w:r>
      <w:r w:rsidR="00AA0C6E">
        <w:rPr>
          <w:b/>
        </w:rPr>
        <w:t>(N</w:t>
      </w:r>
      <w:r w:rsidR="007140A6" w:rsidRPr="002824FE">
        <w:rPr>
          <w:b/>
        </w:rPr>
        <w:t>o.</w:t>
      </w:r>
      <w:r w:rsidR="00D144F2">
        <w:rPr>
          <w:b/>
        </w:rPr>
        <w:t> </w:t>
      </w:r>
      <w:r w:rsidR="007140A6" w:rsidRPr="002824FE">
        <w:rPr>
          <w:b/>
        </w:rPr>
        <w:t>202</w:t>
      </w:r>
      <w:r w:rsidR="00AA0C6E">
        <w:rPr>
          <w:b/>
        </w:rPr>
        <w:t>)</w:t>
      </w:r>
      <w:r w:rsidR="007140A6" w:rsidRPr="002824FE">
        <w:rPr>
          <w:b/>
        </w:rPr>
        <w:t xml:space="preserve"> </w:t>
      </w:r>
      <w:r w:rsidR="00C44D3F" w:rsidRPr="00AB7138">
        <w:rPr>
          <w:b/>
        </w:rPr>
        <w:t xml:space="preserve">and the Committee’s statement on </w:t>
      </w:r>
      <w:r w:rsidR="00D3119B">
        <w:rPr>
          <w:b/>
        </w:rPr>
        <w:t>s</w:t>
      </w:r>
      <w:r w:rsidR="00C44D3F" w:rsidRPr="00AB7138">
        <w:rPr>
          <w:b/>
        </w:rPr>
        <w:t>ocial protection floors: an essential element of the right to social security and of the sustainable development goals</w:t>
      </w:r>
      <w:r w:rsidR="00D3119B">
        <w:rPr>
          <w:b/>
        </w:rPr>
        <w:t xml:space="preserve"> (E/C.12</w:t>
      </w:r>
      <w:r w:rsidR="00F257BD">
        <w:rPr>
          <w:b/>
        </w:rPr>
        <w:t>/</w:t>
      </w:r>
      <w:r w:rsidR="00514775">
        <w:rPr>
          <w:b/>
        </w:rPr>
        <w:t>2015/1</w:t>
      </w:r>
      <w:r w:rsidR="00D3119B">
        <w:rPr>
          <w:b/>
        </w:rPr>
        <w:t>)</w:t>
      </w:r>
      <w:r w:rsidR="007140A6" w:rsidRPr="00AB7138">
        <w:rPr>
          <w:b/>
        </w:rPr>
        <w:t xml:space="preserve">, </w:t>
      </w:r>
      <w:r w:rsidR="007140A6" w:rsidRPr="002824FE">
        <w:rPr>
          <w:b/>
        </w:rPr>
        <w:t xml:space="preserve">seeking, if necessary, technical assistance from </w:t>
      </w:r>
      <w:r w:rsidR="007140A6" w:rsidRPr="00AB7138">
        <w:rPr>
          <w:b/>
        </w:rPr>
        <w:t>ILO.</w:t>
      </w:r>
      <w:proofErr w:type="gramEnd"/>
    </w:p>
    <w:p w14:paraId="5ECA1553" w14:textId="77777777" w:rsidR="007422A8" w:rsidRPr="00AB7138" w:rsidRDefault="007422A8" w:rsidP="00FC6FBC">
      <w:pPr>
        <w:pStyle w:val="H23G"/>
        <w:ind w:firstLine="0"/>
        <w:rPr>
          <w:lang w:eastAsia="en-GB"/>
        </w:rPr>
      </w:pPr>
      <w:r w:rsidRPr="00AB7138">
        <w:rPr>
          <w:lang w:eastAsia="en-GB"/>
        </w:rPr>
        <w:t>Harmful practices</w:t>
      </w:r>
    </w:p>
    <w:p w14:paraId="09A10751" w14:textId="5759CB5F" w:rsidR="007422A8" w:rsidRPr="002824FE" w:rsidRDefault="00556A05" w:rsidP="00B15056">
      <w:pPr>
        <w:pStyle w:val="SingleTxtG"/>
        <w:tabs>
          <w:tab w:val="left" w:pos="1701"/>
        </w:tabs>
        <w:rPr>
          <w:bCs/>
          <w:lang w:eastAsia="en-GB"/>
        </w:rPr>
      </w:pPr>
      <w:r w:rsidRPr="002824FE">
        <w:rPr>
          <w:bCs/>
          <w:lang w:eastAsia="en-GB"/>
        </w:rPr>
        <w:t>39.</w:t>
      </w:r>
      <w:r w:rsidRPr="002824FE">
        <w:rPr>
          <w:bCs/>
          <w:lang w:eastAsia="en-GB"/>
        </w:rPr>
        <w:tab/>
      </w:r>
      <w:r w:rsidR="007422A8" w:rsidRPr="00AB7138">
        <w:rPr>
          <w:bCs/>
          <w:lang w:eastAsia="en-GB"/>
        </w:rPr>
        <w:t xml:space="preserve">The Committee is concerned that polygamy, despite </w:t>
      </w:r>
      <w:proofErr w:type="gramStart"/>
      <w:r w:rsidR="007422A8" w:rsidRPr="00AB7138">
        <w:rPr>
          <w:bCs/>
          <w:lang w:eastAsia="en-GB"/>
        </w:rPr>
        <w:t>being outlawed</w:t>
      </w:r>
      <w:proofErr w:type="gramEnd"/>
      <w:r w:rsidR="007422A8" w:rsidRPr="00AB7138">
        <w:rPr>
          <w:bCs/>
          <w:lang w:eastAsia="en-GB"/>
        </w:rPr>
        <w:t xml:space="preserve"> in the State </w:t>
      </w:r>
      <w:r w:rsidR="007422A8" w:rsidRPr="002824FE">
        <w:rPr>
          <w:bCs/>
          <w:lang w:eastAsia="en-GB"/>
        </w:rPr>
        <w:t>party, is still widely practi</w:t>
      </w:r>
      <w:r w:rsidR="00D3119B">
        <w:rPr>
          <w:bCs/>
          <w:lang w:eastAsia="en-GB"/>
        </w:rPr>
        <w:t>s</w:t>
      </w:r>
      <w:r w:rsidR="007422A8" w:rsidRPr="002824FE">
        <w:rPr>
          <w:bCs/>
          <w:lang w:eastAsia="en-GB"/>
        </w:rPr>
        <w:t xml:space="preserve">ed and that </w:t>
      </w:r>
      <w:r w:rsidR="00CC2E45" w:rsidRPr="002824FE">
        <w:rPr>
          <w:bCs/>
          <w:lang w:eastAsia="en-GB"/>
        </w:rPr>
        <w:t xml:space="preserve">child </w:t>
      </w:r>
      <w:r w:rsidR="007422A8" w:rsidRPr="002824FE">
        <w:rPr>
          <w:bCs/>
          <w:lang w:eastAsia="en-GB"/>
        </w:rPr>
        <w:t>marriage</w:t>
      </w:r>
      <w:r w:rsidR="00E861BE" w:rsidRPr="002824FE">
        <w:rPr>
          <w:bCs/>
          <w:lang w:eastAsia="en-GB"/>
        </w:rPr>
        <w:t xml:space="preserve">, though </w:t>
      </w:r>
      <w:r w:rsidR="007422A8" w:rsidRPr="002824FE">
        <w:rPr>
          <w:bCs/>
          <w:lang w:eastAsia="en-GB"/>
        </w:rPr>
        <w:t xml:space="preserve">permitted </w:t>
      </w:r>
      <w:r w:rsidR="00D3119B" w:rsidRPr="002824FE">
        <w:rPr>
          <w:bCs/>
          <w:lang w:eastAsia="en-GB"/>
        </w:rPr>
        <w:t xml:space="preserve">only </w:t>
      </w:r>
      <w:r w:rsidR="007422A8" w:rsidRPr="002824FE">
        <w:rPr>
          <w:bCs/>
          <w:lang w:eastAsia="en-GB"/>
        </w:rPr>
        <w:t>in exceptional cases</w:t>
      </w:r>
      <w:r w:rsidR="00E861BE" w:rsidRPr="002824FE">
        <w:rPr>
          <w:bCs/>
          <w:lang w:eastAsia="en-GB"/>
        </w:rPr>
        <w:t>,</w:t>
      </w:r>
      <w:r w:rsidR="007422A8" w:rsidRPr="002824FE">
        <w:rPr>
          <w:bCs/>
          <w:lang w:eastAsia="en-GB"/>
        </w:rPr>
        <w:t xml:space="preserve"> in reality rem</w:t>
      </w:r>
      <w:r w:rsidR="00557658" w:rsidRPr="002824FE">
        <w:rPr>
          <w:bCs/>
          <w:lang w:eastAsia="en-GB"/>
        </w:rPr>
        <w:t>ains widespread</w:t>
      </w:r>
      <w:r w:rsidR="00943D60">
        <w:rPr>
          <w:bCs/>
          <w:lang w:eastAsia="en-GB"/>
        </w:rPr>
        <w:t>. The Committee is also concerned about the persistence of domestic violence in the State party</w:t>
      </w:r>
      <w:r w:rsidR="00221C1D" w:rsidRPr="002824FE">
        <w:rPr>
          <w:bCs/>
          <w:lang w:eastAsia="en-GB"/>
        </w:rPr>
        <w:t xml:space="preserve"> (art.</w:t>
      </w:r>
      <w:r w:rsidR="00D144F2">
        <w:rPr>
          <w:bCs/>
          <w:lang w:eastAsia="en-GB"/>
        </w:rPr>
        <w:t> </w:t>
      </w:r>
      <w:r w:rsidR="00221C1D" w:rsidRPr="002824FE">
        <w:rPr>
          <w:bCs/>
          <w:lang w:eastAsia="en-GB"/>
        </w:rPr>
        <w:t>10)</w:t>
      </w:r>
      <w:r w:rsidR="002908D5" w:rsidRPr="002824FE">
        <w:rPr>
          <w:bCs/>
          <w:lang w:eastAsia="en-GB"/>
        </w:rPr>
        <w:t>.</w:t>
      </w:r>
      <w:r w:rsidR="00D3119B">
        <w:rPr>
          <w:bCs/>
          <w:lang w:eastAsia="en-GB"/>
        </w:rPr>
        <w:t xml:space="preserve"> </w:t>
      </w:r>
    </w:p>
    <w:p w14:paraId="01A27310" w14:textId="1CF3F9C9" w:rsidR="007422A8" w:rsidRPr="00AB7138" w:rsidRDefault="00556A05" w:rsidP="00B15056">
      <w:pPr>
        <w:pStyle w:val="SingleTxtG"/>
        <w:tabs>
          <w:tab w:val="left" w:pos="1701"/>
        </w:tabs>
        <w:rPr>
          <w:b/>
          <w:lang w:eastAsia="en-GB"/>
        </w:rPr>
      </w:pPr>
      <w:r w:rsidRPr="00AB7138">
        <w:rPr>
          <w:lang w:eastAsia="en-GB"/>
        </w:rPr>
        <w:t>40.</w:t>
      </w:r>
      <w:r w:rsidRPr="00AB7138">
        <w:rPr>
          <w:lang w:eastAsia="en-GB"/>
        </w:rPr>
        <w:tab/>
      </w:r>
      <w:r w:rsidR="007422A8" w:rsidRPr="00AB7138">
        <w:rPr>
          <w:b/>
          <w:lang w:eastAsia="en-GB"/>
        </w:rPr>
        <w:t xml:space="preserve">The Committee recommends </w:t>
      </w:r>
      <w:r w:rsidR="00EB710F" w:rsidRPr="00AB7138">
        <w:rPr>
          <w:b/>
          <w:lang w:eastAsia="en-GB"/>
        </w:rPr>
        <w:t>that the State party</w:t>
      </w:r>
      <w:r w:rsidR="007422A8" w:rsidRPr="00AB7138">
        <w:rPr>
          <w:b/>
          <w:lang w:eastAsia="en-GB"/>
        </w:rPr>
        <w:t xml:space="preserve"> tak</w:t>
      </w:r>
      <w:r w:rsidR="00557658" w:rsidRPr="00AB7138">
        <w:rPr>
          <w:b/>
          <w:lang w:eastAsia="en-GB"/>
        </w:rPr>
        <w:t xml:space="preserve">e the necessary legislative and </w:t>
      </w:r>
      <w:r w:rsidR="00207096" w:rsidRPr="00AB7138">
        <w:rPr>
          <w:b/>
          <w:lang w:eastAsia="en-GB"/>
        </w:rPr>
        <w:t>awareness</w:t>
      </w:r>
      <w:r w:rsidR="00D3119B">
        <w:rPr>
          <w:b/>
          <w:lang w:eastAsia="en-GB"/>
        </w:rPr>
        <w:t>-</w:t>
      </w:r>
      <w:r w:rsidR="00EB710F" w:rsidRPr="00AB7138">
        <w:rPr>
          <w:b/>
          <w:lang w:eastAsia="en-GB"/>
        </w:rPr>
        <w:t xml:space="preserve">raising </w:t>
      </w:r>
      <w:r w:rsidR="007422A8" w:rsidRPr="00AB7138">
        <w:rPr>
          <w:b/>
          <w:lang w:eastAsia="en-GB"/>
        </w:rPr>
        <w:t xml:space="preserve">measures to </w:t>
      </w:r>
      <w:r w:rsidR="00EB710F" w:rsidRPr="00AB7138">
        <w:rPr>
          <w:b/>
          <w:lang w:eastAsia="en-GB"/>
        </w:rPr>
        <w:t xml:space="preserve">effectively </w:t>
      </w:r>
      <w:r w:rsidR="007422A8" w:rsidRPr="00AB7138">
        <w:rPr>
          <w:b/>
          <w:lang w:eastAsia="en-GB"/>
        </w:rPr>
        <w:t>put an end to all harmful practices, incl</w:t>
      </w:r>
      <w:r w:rsidR="00557658" w:rsidRPr="00AB7138">
        <w:rPr>
          <w:b/>
          <w:lang w:eastAsia="en-GB"/>
        </w:rPr>
        <w:t xml:space="preserve">uding polygamy and </w:t>
      </w:r>
      <w:r w:rsidR="00CC2E45" w:rsidRPr="00AB7138">
        <w:rPr>
          <w:b/>
          <w:lang w:eastAsia="en-GB"/>
        </w:rPr>
        <w:t>child</w:t>
      </w:r>
      <w:r w:rsidR="00557658" w:rsidRPr="00AB7138">
        <w:rPr>
          <w:b/>
          <w:lang w:eastAsia="en-GB"/>
        </w:rPr>
        <w:t xml:space="preserve"> marriage</w:t>
      </w:r>
      <w:r w:rsidR="00D3119B">
        <w:rPr>
          <w:b/>
          <w:lang w:eastAsia="en-GB"/>
        </w:rPr>
        <w:t>,</w:t>
      </w:r>
      <w:r w:rsidR="00943D60">
        <w:rPr>
          <w:b/>
          <w:lang w:eastAsia="en-GB"/>
        </w:rPr>
        <w:t xml:space="preserve"> as well as domestic violence</w:t>
      </w:r>
      <w:r w:rsidR="00557658" w:rsidRPr="00AB7138">
        <w:rPr>
          <w:b/>
          <w:lang w:eastAsia="en-GB"/>
        </w:rPr>
        <w:t>.</w:t>
      </w:r>
    </w:p>
    <w:p w14:paraId="5024EEF9" w14:textId="77777777" w:rsidR="0073354E" w:rsidRPr="00AB7138" w:rsidRDefault="0073354E" w:rsidP="00FC6FBC">
      <w:pPr>
        <w:pStyle w:val="H23G"/>
        <w:ind w:firstLine="0"/>
        <w:rPr>
          <w:lang w:eastAsia="en-GB"/>
        </w:rPr>
      </w:pPr>
      <w:r w:rsidRPr="00AB7138">
        <w:rPr>
          <w:lang w:eastAsia="en-GB"/>
        </w:rPr>
        <w:t>Birth registration</w:t>
      </w:r>
    </w:p>
    <w:p w14:paraId="33F0AF36" w14:textId="5182ED9D" w:rsidR="0073354E" w:rsidRPr="00AB7138" w:rsidRDefault="00556A05" w:rsidP="00B15056">
      <w:pPr>
        <w:pStyle w:val="SingleTxtG"/>
        <w:tabs>
          <w:tab w:val="left" w:pos="1701"/>
        </w:tabs>
        <w:rPr>
          <w:lang w:eastAsia="en-GB"/>
        </w:rPr>
      </w:pPr>
      <w:r w:rsidRPr="00AB7138">
        <w:rPr>
          <w:lang w:eastAsia="en-GB"/>
        </w:rPr>
        <w:t>41.</w:t>
      </w:r>
      <w:r w:rsidRPr="00AB7138">
        <w:rPr>
          <w:lang w:eastAsia="en-GB"/>
        </w:rPr>
        <w:tab/>
      </w:r>
      <w:r w:rsidR="0073354E" w:rsidRPr="00AB7138">
        <w:rPr>
          <w:lang w:eastAsia="en-GB"/>
        </w:rPr>
        <w:t xml:space="preserve">The Committee is concerned at the </w:t>
      </w:r>
      <w:r w:rsidR="005278FD" w:rsidRPr="00AB7138">
        <w:rPr>
          <w:lang w:eastAsia="en-GB"/>
        </w:rPr>
        <w:t xml:space="preserve">persistence of </w:t>
      </w:r>
      <w:r w:rsidR="00D3119B">
        <w:rPr>
          <w:lang w:eastAsia="en-GB"/>
        </w:rPr>
        <w:t>a</w:t>
      </w:r>
      <w:r w:rsidR="00D3119B" w:rsidRPr="00AB7138">
        <w:rPr>
          <w:lang w:eastAsia="en-GB"/>
        </w:rPr>
        <w:t xml:space="preserve"> </w:t>
      </w:r>
      <w:r w:rsidR="0073354E" w:rsidRPr="00AB7138">
        <w:rPr>
          <w:lang w:eastAsia="en-GB"/>
        </w:rPr>
        <w:t>low rate of birth registration despite measures taken</w:t>
      </w:r>
      <w:r w:rsidR="00D3119B">
        <w:rPr>
          <w:lang w:eastAsia="en-GB"/>
        </w:rPr>
        <w:t>,</w:t>
      </w:r>
      <w:r w:rsidR="0073354E" w:rsidRPr="00AB7138">
        <w:rPr>
          <w:lang w:eastAsia="en-GB"/>
        </w:rPr>
        <w:t xml:space="preserve"> such as abolishing related fees. The Committee is particularly concerned that foreigners, including asylum seekers and refuge</w:t>
      </w:r>
      <w:r w:rsidR="00221C1D" w:rsidRPr="00AB7138">
        <w:rPr>
          <w:lang w:eastAsia="en-GB"/>
        </w:rPr>
        <w:t>e</w:t>
      </w:r>
      <w:r w:rsidR="0073354E" w:rsidRPr="00AB7138">
        <w:rPr>
          <w:lang w:eastAsia="en-GB"/>
        </w:rPr>
        <w:t>s</w:t>
      </w:r>
      <w:r w:rsidR="00D3119B">
        <w:rPr>
          <w:lang w:eastAsia="en-GB"/>
        </w:rPr>
        <w:t>,</w:t>
      </w:r>
      <w:r w:rsidR="0073354E" w:rsidRPr="00AB7138">
        <w:rPr>
          <w:lang w:eastAsia="en-GB"/>
        </w:rPr>
        <w:t xml:space="preserve"> </w:t>
      </w:r>
      <w:proofErr w:type="gramStart"/>
      <w:r w:rsidR="0073354E" w:rsidRPr="00AB7138">
        <w:rPr>
          <w:lang w:eastAsia="en-GB"/>
        </w:rPr>
        <w:t>are excluded</w:t>
      </w:r>
      <w:proofErr w:type="gramEnd"/>
      <w:r w:rsidR="0073354E" w:rsidRPr="00AB7138">
        <w:rPr>
          <w:lang w:eastAsia="en-GB"/>
        </w:rPr>
        <w:t xml:space="preserve"> from registering their children born in Angola, thus depriving them from accessing a range of social services (arts.</w:t>
      </w:r>
      <w:r w:rsidR="00D144F2">
        <w:rPr>
          <w:lang w:eastAsia="en-GB"/>
        </w:rPr>
        <w:t> </w:t>
      </w:r>
      <w:r w:rsidR="0073354E" w:rsidRPr="00AB7138">
        <w:rPr>
          <w:lang w:eastAsia="en-GB"/>
        </w:rPr>
        <w:t>2 and</w:t>
      </w:r>
      <w:r w:rsidR="00D144F2">
        <w:rPr>
          <w:lang w:eastAsia="en-GB"/>
        </w:rPr>
        <w:t> </w:t>
      </w:r>
      <w:r w:rsidR="0073354E" w:rsidRPr="00AB7138">
        <w:rPr>
          <w:lang w:eastAsia="en-GB"/>
        </w:rPr>
        <w:t>10).</w:t>
      </w:r>
    </w:p>
    <w:p w14:paraId="337E6703" w14:textId="31411FC4" w:rsidR="0073354E" w:rsidRPr="002824FE" w:rsidRDefault="00556A05" w:rsidP="00B15056">
      <w:pPr>
        <w:pStyle w:val="SingleTxtG"/>
        <w:tabs>
          <w:tab w:val="left" w:pos="1701"/>
        </w:tabs>
        <w:rPr>
          <w:b/>
          <w:lang w:eastAsia="en-GB"/>
        </w:rPr>
      </w:pPr>
      <w:r w:rsidRPr="002824FE">
        <w:rPr>
          <w:lang w:eastAsia="en-GB"/>
        </w:rPr>
        <w:t>42.</w:t>
      </w:r>
      <w:r w:rsidRPr="002824FE">
        <w:rPr>
          <w:lang w:eastAsia="en-GB"/>
        </w:rPr>
        <w:tab/>
      </w:r>
      <w:r w:rsidR="0073354E" w:rsidRPr="00AB7138">
        <w:rPr>
          <w:b/>
          <w:lang w:eastAsia="en-GB"/>
        </w:rPr>
        <w:t xml:space="preserve">The Committee urges the State party to intensify its efforts to increase birth registration, including by conducting </w:t>
      </w:r>
      <w:r w:rsidR="00B21CAD" w:rsidRPr="00AB7138">
        <w:rPr>
          <w:b/>
          <w:lang w:eastAsia="en-GB"/>
        </w:rPr>
        <w:t>awareness-</w:t>
      </w:r>
      <w:r w:rsidR="00EB710F" w:rsidRPr="00AB7138">
        <w:rPr>
          <w:b/>
          <w:lang w:eastAsia="en-GB"/>
        </w:rPr>
        <w:t xml:space="preserve">raising </w:t>
      </w:r>
      <w:r w:rsidR="0073354E" w:rsidRPr="00AB7138">
        <w:rPr>
          <w:b/>
          <w:lang w:eastAsia="en-GB"/>
        </w:rPr>
        <w:t xml:space="preserve">campaigns on birth registration procedures within </w:t>
      </w:r>
      <w:r w:rsidR="0082362F">
        <w:rPr>
          <w:b/>
          <w:lang w:eastAsia="en-GB"/>
        </w:rPr>
        <w:t xml:space="preserve">the </w:t>
      </w:r>
      <w:r w:rsidR="0073354E" w:rsidRPr="00AB7138">
        <w:rPr>
          <w:b/>
          <w:lang w:eastAsia="en-GB"/>
        </w:rPr>
        <w:t>communities</w:t>
      </w:r>
      <w:r w:rsidR="005278FD" w:rsidRPr="00AB7138">
        <w:rPr>
          <w:b/>
          <w:lang w:eastAsia="en-GB"/>
        </w:rPr>
        <w:t xml:space="preserve"> concerned</w:t>
      </w:r>
      <w:r w:rsidR="0073354E" w:rsidRPr="00AB7138">
        <w:rPr>
          <w:b/>
          <w:lang w:eastAsia="en-GB"/>
        </w:rPr>
        <w:t xml:space="preserve">, in particular in rural areas. The State party should </w:t>
      </w:r>
      <w:r w:rsidR="00221C1D" w:rsidRPr="00AB7138">
        <w:rPr>
          <w:b/>
          <w:lang w:eastAsia="en-GB"/>
        </w:rPr>
        <w:t xml:space="preserve">also </w:t>
      </w:r>
      <w:r w:rsidR="0073354E" w:rsidRPr="00AB7138">
        <w:rPr>
          <w:b/>
          <w:lang w:eastAsia="en-GB"/>
        </w:rPr>
        <w:t xml:space="preserve">extend the free registration campaign to cover all foreigners, including asylum seekers and refugees, with a view to ensuring </w:t>
      </w:r>
      <w:r w:rsidR="00E861BE" w:rsidRPr="002824FE">
        <w:rPr>
          <w:b/>
          <w:lang w:eastAsia="en-GB"/>
        </w:rPr>
        <w:t xml:space="preserve">their </w:t>
      </w:r>
      <w:r w:rsidR="0073354E" w:rsidRPr="002824FE">
        <w:rPr>
          <w:b/>
          <w:lang w:eastAsia="en-GB"/>
        </w:rPr>
        <w:t>access to social services without discrimination.</w:t>
      </w:r>
    </w:p>
    <w:p w14:paraId="1342A101" w14:textId="77777777" w:rsidR="00AB2E60" w:rsidRPr="00AB7138" w:rsidRDefault="00AB2E60" w:rsidP="00FC6FBC">
      <w:pPr>
        <w:pStyle w:val="H23G"/>
        <w:ind w:firstLine="0"/>
        <w:rPr>
          <w:lang w:eastAsia="en-GB"/>
        </w:rPr>
      </w:pPr>
      <w:r w:rsidRPr="00AB7138">
        <w:rPr>
          <w:lang w:eastAsia="en-GB"/>
        </w:rPr>
        <w:t>Poverty</w:t>
      </w:r>
      <w:r w:rsidR="00605909" w:rsidRPr="00AB7138">
        <w:rPr>
          <w:lang w:eastAsia="en-GB"/>
        </w:rPr>
        <w:t xml:space="preserve"> and inequality</w:t>
      </w:r>
    </w:p>
    <w:p w14:paraId="7E275EB4" w14:textId="26E27801" w:rsidR="00D1183A" w:rsidRPr="00AB7138" w:rsidRDefault="00556A05" w:rsidP="00B15056">
      <w:pPr>
        <w:pStyle w:val="SingleTxtG"/>
        <w:tabs>
          <w:tab w:val="left" w:pos="1701"/>
        </w:tabs>
        <w:rPr>
          <w:bCs/>
          <w:lang w:eastAsia="en-GB"/>
        </w:rPr>
      </w:pPr>
      <w:r w:rsidRPr="00AB7138">
        <w:rPr>
          <w:bCs/>
          <w:lang w:eastAsia="en-GB"/>
        </w:rPr>
        <w:t>43.</w:t>
      </w:r>
      <w:r w:rsidRPr="00AB7138">
        <w:rPr>
          <w:bCs/>
          <w:lang w:eastAsia="en-GB"/>
        </w:rPr>
        <w:tab/>
      </w:r>
      <w:r w:rsidR="00D1183A" w:rsidRPr="00AB7138">
        <w:rPr>
          <w:bCs/>
          <w:lang w:eastAsia="en-GB"/>
        </w:rPr>
        <w:t xml:space="preserve">The Committee </w:t>
      </w:r>
      <w:r w:rsidR="00E861BE" w:rsidRPr="002824FE">
        <w:rPr>
          <w:bCs/>
          <w:lang w:eastAsia="en-GB"/>
        </w:rPr>
        <w:t xml:space="preserve">takes note of </w:t>
      </w:r>
      <w:r w:rsidR="00D1183A" w:rsidRPr="002824FE">
        <w:rPr>
          <w:bCs/>
          <w:lang w:eastAsia="en-GB"/>
        </w:rPr>
        <w:t>the information on the decrease in poverty in the State party</w:t>
      </w:r>
      <w:r w:rsidR="005B6948" w:rsidRPr="002824FE">
        <w:rPr>
          <w:bCs/>
          <w:lang w:eastAsia="en-GB"/>
        </w:rPr>
        <w:t xml:space="preserve"> during the reporting period</w:t>
      </w:r>
      <w:r w:rsidR="00D1183A" w:rsidRPr="002824FE">
        <w:rPr>
          <w:bCs/>
          <w:lang w:eastAsia="en-GB"/>
        </w:rPr>
        <w:t>. It remains concerned</w:t>
      </w:r>
      <w:r w:rsidR="009D3C7A" w:rsidRPr="002824FE">
        <w:rPr>
          <w:bCs/>
          <w:lang w:eastAsia="en-GB"/>
        </w:rPr>
        <w:t>, however,</w:t>
      </w:r>
      <w:r w:rsidR="00D1183A" w:rsidRPr="002824FE">
        <w:rPr>
          <w:bCs/>
          <w:lang w:eastAsia="en-GB"/>
        </w:rPr>
        <w:t xml:space="preserve"> that a large proportion of the State party’s population </w:t>
      </w:r>
      <w:r w:rsidR="00E861BE" w:rsidRPr="002824FE">
        <w:rPr>
          <w:bCs/>
          <w:lang w:eastAsia="en-GB"/>
        </w:rPr>
        <w:t xml:space="preserve">still lives in </w:t>
      </w:r>
      <w:r w:rsidR="00EB710F" w:rsidRPr="002824FE">
        <w:rPr>
          <w:bCs/>
          <w:lang w:eastAsia="en-GB"/>
        </w:rPr>
        <w:t>poverty</w:t>
      </w:r>
      <w:r w:rsidR="0082362F">
        <w:rPr>
          <w:bCs/>
          <w:lang w:eastAsia="en-GB"/>
        </w:rPr>
        <w:t>, including</w:t>
      </w:r>
      <w:r w:rsidR="00EB710F" w:rsidRPr="002824FE">
        <w:rPr>
          <w:bCs/>
          <w:lang w:eastAsia="en-GB"/>
        </w:rPr>
        <w:t xml:space="preserve"> extreme poverty</w:t>
      </w:r>
      <w:r w:rsidR="00D1183A" w:rsidRPr="002824FE">
        <w:rPr>
          <w:bCs/>
          <w:lang w:eastAsia="en-GB"/>
        </w:rPr>
        <w:t xml:space="preserve">. The Committee is also concerned </w:t>
      </w:r>
      <w:r w:rsidR="00605909" w:rsidRPr="002824FE">
        <w:rPr>
          <w:bCs/>
          <w:lang w:eastAsia="en-GB"/>
        </w:rPr>
        <w:t>about the persistence of high social inequalit</w:t>
      </w:r>
      <w:r w:rsidR="0082362F">
        <w:rPr>
          <w:bCs/>
          <w:lang w:eastAsia="en-GB"/>
        </w:rPr>
        <w:t>ies and that p</w:t>
      </w:r>
      <w:r w:rsidR="00553D6C" w:rsidRPr="002824FE">
        <w:rPr>
          <w:bCs/>
          <w:lang w:eastAsia="en-GB"/>
        </w:rPr>
        <w:t xml:space="preserve">overty-reduction </w:t>
      </w:r>
      <w:r w:rsidR="00006396" w:rsidRPr="002824FE">
        <w:rPr>
          <w:bCs/>
          <w:lang w:eastAsia="en-GB"/>
        </w:rPr>
        <w:t>p</w:t>
      </w:r>
      <w:r w:rsidR="00D1183A" w:rsidRPr="002824FE">
        <w:rPr>
          <w:bCs/>
          <w:lang w:eastAsia="en-GB"/>
        </w:rPr>
        <w:t xml:space="preserve">rogrammes </w:t>
      </w:r>
      <w:r w:rsidR="00E861BE" w:rsidRPr="002824FE">
        <w:rPr>
          <w:bCs/>
          <w:lang w:eastAsia="en-GB"/>
        </w:rPr>
        <w:t xml:space="preserve">have had </w:t>
      </w:r>
      <w:r w:rsidR="00D1183A" w:rsidRPr="002824FE">
        <w:rPr>
          <w:bCs/>
          <w:lang w:eastAsia="en-GB"/>
        </w:rPr>
        <w:t xml:space="preserve">limited impact, especially among the most </w:t>
      </w:r>
      <w:r w:rsidR="00CA4F8D">
        <w:rPr>
          <w:bCs/>
          <w:lang w:eastAsia="en-GB"/>
        </w:rPr>
        <w:t>disadvantaged and marginali</w:t>
      </w:r>
      <w:r w:rsidR="00643068">
        <w:rPr>
          <w:bCs/>
          <w:lang w:eastAsia="en-GB"/>
        </w:rPr>
        <w:t>z</w:t>
      </w:r>
      <w:r w:rsidR="00CA4F8D">
        <w:rPr>
          <w:bCs/>
          <w:lang w:eastAsia="en-GB"/>
        </w:rPr>
        <w:t>ed</w:t>
      </w:r>
      <w:r w:rsidR="00CA4F8D" w:rsidRPr="002824FE">
        <w:rPr>
          <w:bCs/>
          <w:lang w:eastAsia="en-GB"/>
        </w:rPr>
        <w:t xml:space="preserve"> </w:t>
      </w:r>
      <w:r w:rsidR="00D1183A" w:rsidRPr="002824FE">
        <w:rPr>
          <w:bCs/>
          <w:lang w:eastAsia="en-GB"/>
        </w:rPr>
        <w:t>groups and individuals</w:t>
      </w:r>
      <w:r w:rsidR="00221C1D" w:rsidRPr="00AB7138">
        <w:rPr>
          <w:bCs/>
          <w:lang w:eastAsia="en-GB"/>
        </w:rPr>
        <w:t xml:space="preserve"> (art.</w:t>
      </w:r>
      <w:r w:rsidR="00D144F2">
        <w:rPr>
          <w:bCs/>
          <w:lang w:eastAsia="en-GB"/>
        </w:rPr>
        <w:t> </w:t>
      </w:r>
      <w:r w:rsidR="00221C1D" w:rsidRPr="00AB7138">
        <w:rPr>
          <w:bCs/>
          <w:lang w:eastAsia="en-GB"/>
        </w:rPr>
        <w:t>11)</w:t>
      </w:r>
      <w:r w:rsidR="00D1183A" w:rsidRPr="00AB7138">
        <w:rPr>
          <w:bCs/>
          <w:lang w:eastAsia="en-GB"/>
        </w:rPr>
        <w:t>.</w:t>
      </w:r>
    </w:p>
    <w:p w14:paraId="47691A33" w14:textId="1AE0467C" w:rsidR="00073BE9" w:rsidRPr="002824FE" w:rsidRDefault="00556A05" w:rsidP="00B15056">
      <w:pPr>
        <w:pStyle w:val="SingleTxtG"/>
        <w:tabs>
          <w:tab w:val="left" w:pos="1701"/>
        </w:tabs>
        <w:rPr>
          <w:b/>
          <w:lang w:eastAsia="en-GB"/>
        </w:rPr>
      </w:pPr>
      <w:r w:rsidRPr="002824FE">
        <w:rPr>
          <w:lang w:eastAsia="en-GB"/>
        </w:rPr>
        <w:t>44.</w:t>
      </w:r>
      <w:r w:rsidRPr="002824FE">
        <w:rPr>
          <w:lang w:eastAsia="en-GB"/>
        </w:rPr>
        <w:tab/>
      </w:r>
      <w:r w:rsidR="00073BE9" w:rsidRPr="00AB7138">
        <w:rPr>
          <w:b/>
          <w:lang w:eastAsia="en-GB"/>
        </w:rPr>
        <w:t xml:space="preserve">The Committee urges the State party to </w:t>
      </w:r>
      <w:r w:rsidR="00073BE9" w:rsidRPr="002824FE">
        <w:rPr>
          <w:b/>
          <w:lang w:eastAsia="en-GB"/>
        </w:rPr>
        <w:t xml:space="preserve">ensure that economic growth </w:t>
      </w:r>
      <w:proofErr w:type="gramStart"/>
      <w:r w:rsidR="00073BE9" w:rsidRPr="002824FE">
        <w:rPr>
          <w:b/>
          <w:lang w:eastAsia="en-GB"/>
        </w:rPr>
        <w:t>is prioriti</w:t>
      </w:r>
      <w:r w:rsidR="00643068">
        <w:rPr>
          <w:b/>
          <w:lang w:eastAsia="en-GB"/>
        </w:rPr>
        <w:t>z</w:t>
      </w:r>
      <w:r w:rsidR="00073BE9" w:rsidRPr="002824FE">
        <w:rPr>
          <w:b/>
          <w:lang w:eastAsia="en-GB"/>
        </w:rPr>
        <w:t>ed</w:t>
      </w:r>
      <w:proofErr w:type="gramEnd"/>
      <w:r w:rsidR="00073BE9" w:rsidRPr="002824FE">
        <w:rPr>
          <w:b/>
          <w:lang w:eastAsia="en-GB"/>
        </w:rPr>
        <w:t xml:space="preserve"> to decrease poverty</w:t>
      </w:r>
      <w:r w:rsidR="00643068">
        <w:rPr>
          <w:b/>
          <w:lang w:eastAsia="en-GB"/>
        </w:rPr>
        <w:t>,</w:t>
      </w:r>
      <w:r w:rsidR="00073BE9" w:rsidRPr="002824FE">
        <w:rPr>
          <w:b/>
          <w:lang w:eastAsia="en-GB"/>
        </w:rPr>
        <w:t xml:space="preserve"> especially among </w:t>
      </w:r>
      <w:r w:rsidR="00CA4F8D">
        <w:rPr>
          <w:b/>
          <w:lang w:eastAsia="en-GB"/>
        </w:rPr>
        <w:t>disadvantaged</w:t>
      </w:r>
      <w:r w:rsidR="00073BE9" w:rsidRPr="002824FE">
        <w:rPr>
          <w:b/>
          <w:lang w:eastAsia="en-GB"/>
        </w:rPr>
        <w:t xml:space="preserve"> and </w:t>
      </w:r>
      <w:r w:rsidR="00CA4F8D">
        <w:rPr>
          <w:b/>
          <w:lang w:eastAsia="en-GB"/>
        </w:rPr>
        <w:t>marginali</w:t>
      </w:r>
      <w:r w:rsidR="00643068">
        <w:rPr>
          <w:b/>
          <w:lang w:eastAsia="en-GB"/>
        </w:rPr>
        <w:t>z</w:t>
      </w:r>
      <w:r w:rsidR="00CA4F8D">
        <w:rPr>
          <w:b/>
          <w:lang w:eastAsia="en-GB"/>
        </w:rPr>
        <w:t>ed</w:t>
      </w:r>
      <w:r w:rsidR="00073BE9" w:rsidRPr="002824FE">
        <w:rPr>
          <w:b/>
          <w:lang w:eastAsia="en-GB"/>
        </w:rPr>
        <w:t xml:space="preserve"> groups and individuals.</w:t>
      </w:r>
      <w:r w:rsidR="0082362F">
        <w:rPr>
          <w:b/>
          <w:lang w:eastAsia="en-GB"/>
        </w:rPr>
        <w:t xml:space="preserve"> </w:t>
      </w:r>
      <w:r w:rsidR="001F6511" w:rsidRPr="002824FE">
        <w:rPr>
          <w:b/>
          <w:lang w:eastAsia="en-GB"/>
        </w:rPr>
        <w:t>T</w:t>
      </w:r>
      <w:r w:rsidR="005B6948" w:rsidRPr="002824FE">
        <w:rPr>
          <w:b/>
          <w:lang w:eastAsia="en-GB"/>
        </w:rPr>
        <w:t xml:space="preserve">he Committee </w:t>
      </w:r>
      <w:r w:rsidR="00D24FF7" w:rsidRPr="002824FE">
        <w:rPr>
          <w:b/>
          <w:lang w:eastAsia="en-GB"/>
        </w:rPr>
        <w:t xml:space="preserve">also recommends </w:t>
      </w:r>
      <w:r w:rsidR="00221C1D" w:rsidRPr="002824FE">
        <w:rPr>
          <w:b/>
          <w:lang w:eastAsia="en-GB"/>
        </w:rPr>
        <w:t xml:space="preserve">that </w:t>
      </w:r>
      <w:r w:rsidR="00D24FF7" w:rsidRPr="002824FE">
        <w:rPr>
          <w:b/>
          <w:lang w:eastAsia="en-GB"/>
        </w:rPr>
        <w:t xml:space="preserve">the </w:t>
      </w:r>
      <w:r w:rsidR="001F6511" w:rsidRPr="002824FE">
        <w:rPr>
          <w:b/>
          <w:lang w:eastAsia="en-GB"/>
        </w:rPr>
        <w:t xml:space="preserve">State party </w:t>
      </w:r>
      <w:r w:rsidR="00221C1D" w:rsidRPr="002824FE">
        <w:rPr>
          <w:b/>
          <w:lang w:eastAsia="en-GB"/>
        </w:rPr>
        <w:t>effectively implement</w:t>
      </w:r>
      <w:r w:rsidR="001F6511" w:rsidRPr="002824FE">
        <w:rPr>
          <w:b/>
          <w:lang w:eastAsia="en-GB"/>
        </w:rPr>
        <w:t xml:space="preserve"> </w:t>
      </w:r>
      <w:r w:rsidR="00E861BE" w:rsidRPr="002824FE">
        <w:rPr>
          <w:b/>
          <w:lang w:eastAsia="en-GB"/>
        </w:rPr>
        <w:t xml:space="preserve">the </w:t>
      </w:r>
      <w:r w:rsidR="00943D60">
        <w:rPr>
          <w:b/>
          <w:lang w:eastAsia="en-GB"/>
        </w:rPr>
        <w:t>n</w:t>
      </w:r>
      <w:r w:rsidR="00E861BE" w:rsidRPr="002824FE">
        <w:rPr>
          <w:b/>
          <w:lang w:eastAsia="en-GB"/>
        </w:rPr>
        <w:t xml:space="preserve">ational </w:t>
      </w:r>
      <w:r w:rsidR="00943D60">
        <w:rPr>
          <w:b/>
          <w:lang w:eastAsia="en-GB"/>
        </w:rPr>
        <w:t>s</w:t>
      </w:r>
      <w:r w:rsidR="00E861BE" w:rsidRPr="002824FE">
        <w:rPr>
          <w:b/>
          <w:lang w:eastAsia="en-GB"/>
        </w:rPr>
        <w:t xml:space="preserve">trategy for </w:t>
      </w:r>
      <w:r w:rsidR="00943D60">
        <w:rPr>
          <w:b/>
          <w:lang w:eastAsia="en-GB"/>
        </w:rPr>
        <w:t>c</w:t>
      </w:r>
      <w:r w:rsidR="00E861BE" w:rsidRPr="002824FE">
        <w:rPr>
          <w:b/>
          <w:lang w:eastAsia="en-GB"/>
        </w:rPr>
        <w:t xml:space="preserve">ombating </w:t>
      </w:r>
      <w:r w:rsidR="00943D60">
        <w:rPr>
          <w:b/>
          <w:lang w:eastAsia="en-GB"/>
        </w:rPr>
        <w:t>p</w:t>
      </w:r>
      <w:r w:rsidR="00E861BE" w:rsidRPr="002824FE">
        <w:rPr>
          <w:b/>
          <w:lang w:eastAsia="en-GB"/>
        </w:rPr>
        <w:t>overty and t</w:t>
      </w:r>
      <w:r w:rsidR="001F6511" w:rsidRPr="002824FE">
        <w:rPr>
          <w:b/>
          <w:lang w:eastAsia="en-GB"/>
        </w:rPr>
        <w:t>he 2012 national programme to support rural women</w:t>
      </w:r>
      <w:r w:rsidR="00E861BE" w:rsidRPr="002824FE">
        <w:rPr>
          <w:b/>
          <w:lang w:eastAsia="en-GB"/>
        </w:rPr>
        <w:t>.</w:t>
      </w:r>
      <w:r w:rsidR="00862C0A">
        <w:rPr>
          <w:b/>
          <w:lang w:eastAsia="en-GB"/>
        </w:rPr>
        <w:t xml:space="preserve"> </w:t>
      </w:r>
      <w:proofErr w:type="gramStart"/>
      <w:r w:rsidR="005E3815" w:rsidRPr="002824FE">
        <w:rPr>
          <w:b/>
          <w:lang w:eastAsia="en-GB"/>
        </w:rPr>
        <w:t xml:space="preserve">The Committee </w:t>
      </w:r>
      <w:r w:rsidR="0082362F">
        <w:rPr>
          <w:b/>
          <w:lang w:eastAsia="en-GB"/>
        </w:rPr>
        <w:t>further</w:t>
      </w:r>
      <w:r w:rsidR="005E3815" w:rsidRPr="002824FE">
        <w:rPr>
          <w:b/>
          <w:lang w:eastAsia="en-GB"/>
        </w:rPr>
        <w:t xml:space="preserve"> </w:t>
      </w:r>
      <w:r w:rsidR="00943D60">
        <w:rPr>
          <w:b/>
          <w:lang w:eastAsia="en-GB"/>
        </w:rPr>
        <w:t>recommends that</w:t>
      </w:r>
      <w:r w:rsidR="005E3815" w:rsidRPr="002824FE">
        <w:rPr>
          <w:b/>
          <w:lang w:eastAsia="en-GB"/>
        </w:rPr>
        <w:t xml:space="preserve"> the State party </w:t>
      </w:r>
      <w:r w:rsidR="00605909" w:rsidRPr="002824FE">
        <w:rPr>
          <w:b/>
          <w:lang w:eastAsia="en-GB"/>
        </w:rPr>
        <w:t>develop specific strategies to address social inequalit</w:t>
      </w:r>
      <w:r w:rsidR="00943D60">
        <w:rPr>
          <w:b/>
          <w:lang w:eastAsia="en-GB"/>
        </w:rPr>
        <w:t>ies</w:t>
      </w:r>
      <w:r w:rsidR="00605909" w:rsidRPr="002824FE">
        <w:rPr>
          <w:b/>
          <w:lang w:eastAsia="en-GB"/>
        </w:rPr>
        <w:t xml:space="preserve"> and </w:t>
      </w:r>
      <w:r w:rsidR="00643068">
        <w:rPr>
          <w:b/>
          <w:lang w:eastAsia="en-GB"/>
        </w:rPr>
        <w:t xml:space="preserve">that, as a matter of priority, it </w:t>
      </w:r>
      <w:r w:rsidR="005E3815" w:rsidRPr="002824FE">
        <w:rPr>
          <w:b/>
          <w:lang w:eastAsia="en-GB"/>
        </w:rPr>
        <w:t>increase its efforts and take targeted measures</w:t>
      </w:r>
      <w:r w:rsidR="00643068">
        <w:rPr>
          <w:b/>
          <w:lang w:eastAsia="en-GB"/>
        </w:rPr>
        <w:t>,</w:t>
      </w:r>
      <w:r w:rsidR="005E3815" w:rsidRPr="002824FE">
        <w:rPr>
          <w:b/>
          <w:lang w:eastAsia="en-GB"/>
        </w:rPr>
        <w:t xml:space="preserve"> </w:t>
      </w:r>
      <w:r w:rsidR="00643068">
        <w:rPr>
          <w:b/>
          <w:lang w:eastAsia="en-GB"/>
        </w:rPr>
        <w:t>using</w:t>
      </w:r>
      <w:r w:rsidR="00643068" w:rsidRPr="002824FE">
        <w:rPr>
          <w:b/>
          <w:lang w:eastAsia="en-GB"/>
        </w:rPr>
        <w:t xml:space="preserve"> </w:t>
      </w:r>
      <w:r w:rsidR="005E3815" w:rsidRPr="002824FE">
        <w:rPr>
          <w:b/>
          <w:lang w:eastAsia="en-GB"/>
        </w:rPr>
        <w:t>a rights</w:t>
      </w:r>
      <w:r w:rsidR="0082362F">
        <w:rPr>
          <w:b/>
          <w:lang w:eastAsia="en-GB"/>
        </w:rPr>
        <w:t>-</w:t>
      </w:r>
      <w:r w:rsidR="005E3815" w:rsidRPr="002824FE">
        <w:rPr>
          <w:b/>
          <w:lang w:eastAsia="en-GB"/>
        </w:rPr>
        <w:t>based approach</w:t>
      </w:r>
      <w:r w:rsidR="00643068">
        <w:rPr>
          <w:b/>
          <w:lang w:eastAsia="en-GB"/>
        </w:rPr>
        <w:t>,</w:t>
      </w:r>
      <w:r w:rsidR="005E3815" w:rsidRPr="002824FE">
        <w:rPr>
          <w:b/>
          <w:lang w:eastAsia="en-GB"/>
        </w:rPr>
        <w:t xml:space="preserve"> to combat poverty among marginali</w:t>
      </w:r>
      <w:r w:rsidR="00643068">
        <w:rPr>
          <w:b/>
          <w:lang w:eastAsia="en-GB"/>
        </w:rPr>
        <w:t>z</w:t>
      </w:r>
      <w:r w:rsidR="005E3815" w:rsidRPr="002824FE">
        <w:rPr>
          <w:b/>
          <w:lang w:eastAsia="en-GB"/>
        </w:rPr>
        <w:t xml:space="preserve">ed and </w:t>
      </w:r>
      <w:r w:rsidR="0082362F">
        <w:rPr>
          <w:b/>
          <w:lang w:eastAsia="en-GB"/>
        </w:rPr>
        <w:t>disadvantaged</w:t>
      </w:r>
      <w:r w:rsidR="005E3815" w:rsidRPr="002824FE">
        <w:rPr>
          <w:b/>
          <w:lang w:eastAsia="en-GB"/>
        </w:rPr>
        <w:t xml:space="preserve"> groups and individuals, especially persons with disabilities, internally displaced persons, </w:t>
      </w:r>
      <w:r w:rsidR="00643068">
        <w:rPr>
          <w:b/>
          <w:lang w:eastAsia="en-GB"/>
        </w:rPr>
        <w:t xml:space="preserve">persons with a </w:t>
      </w:r>
      <w:r w:rsidR="00605909" w:rsidRPr="002824FE">
        <w:rPr>
          <w:b/>
          <w:lang w:eastAsia="en-GB"/>
        </w:rPr>
        <w:t>lo</w:t>
      </w:r>
      <w:r w:rsidR="00553D6C" w:rsidRPr="002824FE">
        <w:rPr>
          <w:b/>
          <w:lang w:eastAsia="en-GB"/>
        </w:rPr>
        <w:t>w</w:t>
      </w:r>
      <w:r w:rsidR="00605909" w:rsidRPr="002824FE">
        <w:rPr>
          <w:b/>
          <w:lang w:eastAsia="en-GB"/>
        </w:rPr>
        <w:t xml:space="preserve"> income </w:t>
      </w:r>
      <w:r w:rsidR="005E3815" w:rsidRPr="002824FE">
        <w:rPr>
          <w:b/>
          <w:lang w:eastAsia="en-GB"/>
        </w:rPr>
        <w:t>and persons living in rural areas.</w:t>
      </w:r>
      <w:proofErr w:type="gramEnd"/>
      <w:r w:rsidR="005E3815" w:rsidRPr="002824FE">
        <w:rPr>
          <w:b/>
          <w:lang w:eastAsia="en-GB"/>
        </w:rPr>
        <w:t xml:space="preserve"> </w:t>
      </w:r>
      <w:r w:rsidR="00CA4F8D">
        <w:rPr>
          <w:b/>
          <w:lang w:eastAsia="en-GB"/>
        </w:rPr>
        <w:t>In this regard, the Committee refers to its statement on</w:t>
      </w:r>
      <w:r w:rsidR="00943D60">
        <w:rPr>
          <w:b/>
          <w:lang w:eastAsia="en-GB"/>
        </w:rPr>
        <w:t xml:space="preserve"> </w:t>
      </w:r>
      <w:r w:rsidR="00CA4F8D" w:rsidRPr="00CA4F8D">
        <w:rPr>
          <w:b/>
          <w:lang w:eastAsia="en-GB"/>
        </w:rPr>
        <w:t>poverty</w:t>
      </w:r>
      <w:r w:rsidR="00CA4F8D">
        <w:rPr>
          <w:b/>
          <w:lang w:eastAsia="en-GB"/>
        </w:rPr>
        <w:t xml:space="preserve"> and the </w:t>
      </w:r>
      <w:r w:rsidR="00643068">
        <w:rPr>
          <w:b/>
          <w:lang w:eastAsia="en-GB"/>
        </w:rPr>
        <w:t>I</w:t>
      </w:r>
      <w:r w:rsidR="00CA4F8D">
        <w:rPr>
          <w:b/>
          <w:lang w:eastAsia="en-GB"/>
        </w:rPr>
        <w:t>nternational C</w:t>
      </w:r>
      <w:r w:rsidR="00CA4F8D" w:rsidRPr="00CA4F8D">
        <w:rPr>
          <w:b/>
          <w:lang w:eastAsia="en-GB"/>
        </w:rPr>
        <w:t xml:space="preserve">ovenant on </w:t>
      </w:r>
      <w:r w:rsidR="00643068">
        <w:rPr>
          <w:b/>
          <w:lang w:eastAsia="en-GB"/>
        </w:rPr>
        <w:t>E</w:t>
      </w:r>
      <w:r w:rsidR="00CA4F8D" w:rsidRPr="00CA4F8D">
        <w:rPr>
          <w:b/>
          <w:lang w:eastAsia="en-GB"/>
        </w:rPr>
        <w:t xml:space="preserve">conomic, </w:t>
      </w:r>
      <w:r w:rsidR="00643068">
        <w:rPr>
          <w:b/>
          <w:lang w:eastAsia="en-GB"/>
        </w:rPr>
        <w:t>S</w:t>
      </w:r>
      <w:r w:rsidR="00CA4F8D" w:rsidRPr="00CA4F8D">
        <w:rPr>
          <w:b/>
          <w:lang w:eastAsia="en-GB"/>
        </w:rPr>
        <w:t xml:space="preserve">ocial and </w:t>
      </w:r>
      <w:r w:rsidR="00643068">
        <w:rPr>
          <w:b/>
          <w:lang w:eastAsia="en-GB"/>
        </w:rPr>
        <w:t>C</w:t>
      </w:r>
      <w:r w:rsidR="00943D60">
        <w:rPr>
          <w:b/>
          <w:lang w:eastAsia="en-GB"/>
        </w:rPr>
        <w:t xml:space="preserve">ultural </w:t>
      </w:r>
      <w:r w:rsidR="00643068">
        <w:rPr>
          <w:b/>
          <w:lang w:eastAsia="en-GB"/>
        </w:rPr>
        <w:t>R</w:t>
      </w:r>
      <w:r w:rsidR="00943D60">
        <w:rPr>
          <w:b/>
          <w:lang w:eastAsia="en-GB"/>
        </w:rPr>
        <w:t>ights</w:t>
      </w:r>
      <w:r w:rsidR="00643068">
        <w:rPr>
          <w:b/>
          <w:lang w:eastAsia="en-GB"/>
        </w:rPr>
        <w:t xml:space="preserve"> (E/C.12/2001/10)</w:t>
      </w:r>
      <w:r w:rsidR="00CA4F8D">
        <w:rPr>
          <w:b/>
          <w:lang w:eastAsia="en-GB"/>
        </w:rPr>
        <w:t>.</w:t>
      </w:r>
      <w:r w:rsidR="0053239B">
        <w:rPr>
          <w:b/>
          <w:lang w:eastAsia="en-GB"/>
        </w:rPr>
        <w:t xml:space="preserve"> </w:t>
      </w:r>
    </w:p>
    <w:p w14:paraId="261EE547" w14:textId="77777777" w:rsidR="00AB2E60" w:rsidRPr="002824FE" w:rsidRDefault="00AB2E60" w:rsidP="00FC6FBC">
      <w:pPr>
        <w:pStyle w:val="H23G"/>
        <w:ind w:firstLine="0"/>
        <w:rPr>
          <w:lang w:eastAsia="en-GB"/>
        </w:rPr>
      </w:pPr>
      <w:r w:rsidRPr="002824FE">
        <w:rPr>
          <w:lang w:eastAsia="en-GB"/>
        </w:rPr>
        <w:t xml:space="preserve">Right to </w:t>
      </w:r>
      <w:r w:rsidR="00B35DE8" w:rsidRPr="002824FE">
        <w:rPr>
          <w:lang w:eastAsia="en-GB"/>
        </w:rPr>
        <w:t xml:space="preserve">adequate </w:t>
      </w:r>
      <w:r w:rsidRPr="002824FE">
        <w:rPr>
          <w:lang w:eastAsia="en-GB"/>
        </w:rPr>
        <w:t>housing</w:t>
      </w:r>
    </w:p>
    <w:p w14:paraId="0A4EAAF7" w14:textId="28FCC7E8" w:rsidR="006A4B2D" w:rsidRPr="00AB7138" w:rsidRDefault="00556A05" w:rsidP="00B15056">
      <w:pPr>
        <w:pStyle w:val="SingleTxtG"/>
        <w:tabs>
          <w:tab w:val="left" w:pos="1701"/>
        </w:tabs>
        <w:rPr>
          <w:lang w:eastAsia="en-GB"/>
        </w:rPr>
      </w:pPr>
      <w:r w:rsidRPr="00AB7138">
        <w:rPr>
          <w:lang w:eastAsia="en-GB"/>
        </w:rPr>
        <w:t>45.</w:t>
      </w:r>
      <w:r w:rsidRPr="00AB7138">
        <w:rPr>
          <w:lang w:eastAsia="en-GB"/>
        </w:rPr>
        <w:tab/>
      </w:r>
      <w:r w:rsidR="00B35DE8" w:rsidRPr="00AB7138">
        <w:rPr>
          <w:lang w:eastAsia="en-GB"/>
        </w:rPr>
        <w:t>The Committee is concerned that</w:t>
      </w:r>
      <w:r w:rsidR="006A4B2D" w:rsidRPr="00AB7138">
        <w:rPr>
          <w:lang w:eastAsia="en-GB"/>
        </w:rPr>
        <w:t xml:space="preserve"> a large proportion</w:t>
      </w:r>
      <w:r w:rsidR="00B35DE8" w:rsidRPr="00AB7138">
        <w:rPr>
          <w:lang w:eastAsia="en-GB"/>
        </w:rPr>
        <w:t xml:space="preserve"> of the State party’s population does not enjoy the right to adequate housing</w:t>
      </w:r>
      <w:r w:rsidR="00A67892" w:rsidRPr="00AB7138">
        <w:rPr>
          <w:lang w:eastAsia="en-GB"/>
        </w:rPr>
        <w:t xml:space="preserve">. The Committee is also concerned </w:t>
      </w:r>
      <w:r w:rsidR="003F194B" w:rsidRPr="00AB7138">
        <w:rPr>
          <w:lang w:eastAsia="en-GB"/>
        </w:rPr>
        <w:t>that the majority</w:t>
      </w:r>
      <w:r w:rsidR="00A67892" w:rsidRPr="00AB7138">
        <w:rPr>
          <w:lang w:eastAsia="en-GB"/>
        </w:rPr>
        <w:t xml:space="preserve"> </w:t>
      </w:r>
      <w:r w:rsidR="00511565" w:rsidRPr="00AB7138">
        <w:rPr>
          <w:lang w:eastAsia="en-GB"/>
        </w:rPr>
        <w:t xml:space="preserve">of the State party’s urban population lives in </w:t>
      </w:r>
      <w:r w:rsidR="00A67892" w:rsidRPr="00AB7138">
        <w:rPr>
          <w:lang w:eastAsia="en-GB"/>
        </w:rPr>
        <w:t xml:space="preserve">informal </w:t>
      </w:r>
      <w:r w:rsidR="00511565" w:rsidRPr="00AB7138">
        <w:rPr>
          <w:lang w:eastAsia="en-GB"/>
        </w:rPr>
        <w:t xml:space="preserve">settlements without </w:t>
      </w:r>
      <w:r w:rsidR="00565AAC" w:rsidRPr="00AB7138">
        <w:rPr>
          <w:lang w:eastAsia="en-GB"/>
        </w:rPr>
        <w:t>security of tenure</w:t>
      </w:r>
      <w:r w:rsidR="00221C1D" w:rsidRPr="00AB7138">
        <w:rPr>
          <w:lang w:eastAsia="en-GB"/>
        </w:rPr>
        <w:t xml:space="preserve"> </w:t>
      </w:r>
      <w:r w:rsidR="005E3815" w:rsidRPr="002824FE">
        <w:rPr>
          <w:lang w:eastAsia="en-GB"/>
        </w:rPr>
        <w:t xml:space="preserve">and </w:t>
      </w:r>
      <w:r w:rsidR="00221C1D" w:rsidRPr="002824FE">
        <w:rPr>
          <w:lang w:eastAsia="en-GB"/>
        </w:rPr>
        <w:t>in</w:t>
      </w:r>
      <w:r w:rsidR="00511565" w:rsidRPr="002824FE">
        <w:rPr>
          <w:lang w:eastAsia="en-GB"/>
        </w:rPr>
        <w:t xml:space="preserve"> </w:t>
      </w:r>
      <w:r w:rsidR="00A67892" w:rsidRPr="002824FE">
        <w:rPr>
          <w:lang w:eastAsia="en-GB"/>
        </w:rPr>
        <w:t xml:space="preserve">poor </w:t>
      </w:r>
      <w:r w:rsidR="00C54BEF">
        <w:rPr>
          <w:lang w:eastAsia="en-GB"/>
        </w:rPr>
        <w:t xml:space="preserve">housing </w:t>
      </w:r>
      <w:r w:rsidR="00A67892" w:rsidRPr="002824FE">
        <w:rPr>
          <w:lang w:eastAsia="en-GB"/>
        </w:rPr>
        <w:t>conditions.</w:t>
      </w:r>
      <w:r w:rsidR="004E0474" w:rsidRPr="002824FE">
        <w:rPr>
          <w:lang w:eastAsia="en-GB"/>
        </w:rPr>
        <w:t xml:space="preserve"> The Committee is </w:t>
      </w:r>
      <w:r w:rsidR="00FA4581" w:rsidRPr="002824FE">
        <w:rPr>
          <w:lang w:eastAsia="en-GB"/>
        </w:rPr>
        <w:t>further</w:t>
      </w:r>
      <w:r w:rsidR="004E0474" w:rsidRPr="002824FE">
        <w:rPr>
          <w:lang w:eastAsia="en-GB"/>
        </w:rPr>
        <w:t xml:space="preserve"> </w:t>
      </w:r>
      <w:r w:rsidR="004E0474" w:rsidRPr="00AB7138">
        <w:rPr>
          <w:lang w:eastAsia="en-GB"/>
        </w:rPr>
        <w:t>concerned about the persistence of forced evictions in the State party, including from informal settlements and in the context of development projects</w:t>
      </w:r>
      <w:r w:rsidR="00221C1D" w:rsidRPr="00AB7138">
        <w:rPr>
          <w:lang w:eastAsia="en-GB"/>
        </w:rPr>
        <w:t>, without</w:t>
      </w:r>
      <w:r w:rsidR="004E0474" w:rsidRPr="00AB7138">
        <w:rPr>
          <w:lang w:eastAsia="en-GB"/>
        </w:rPr>
        <w:t xml:space="preserve"> the necessary pr</w:t>
      </w:r>
      <w:r w:rsidR="00221C1D" w:rsidRPr="00AB7138">
        <w:rPr>
          <w:lang w:eastAsia="en-GB"/>
        </w:rPr>
        <w:t>ocedural guarantees or the provision of</w:t>
      </w:r>
      <w:r w:rsidR="004E0474" w:rsidRPr="00AB7138">
        <w:rPr>
          <w:lang w:eastAsia="en-GB"/>
        </w:rPr>
        <w:t xml:space="preserve"> </w:t>
      </w:r>
      <w:r w:rsidR="00221C1D" w:rsidRPr="00AB7138">
        <w:rPr>
          <w:lang w:eastAsia="en-GB"/>
        </w:rPr>
        <w:t xml:space="preserve">alternative housing </w:t>
      </w:r>
      <w:r w:rsidR="00DD0DCE" w:rsidRPr="00AB7138">
        <w:rPr>
          <w:lang w:eastAsia="en-GB"/>
        </w:rPr>
        <w:t>or</w:t>
      </w:r>
      <w:r w:rsidR="00221C1D" w:rsidRPr="00AB7138">
        <w:rPr>
          <w:lang w:eastAsia="en-GB"/>
        </w:rPr>
        <w:t xml:space="preserve"> </w:t>
      </w:r>
      <w:r w:rsidR="00C54BEF">
        <w:rPr>
          <w:lang w:eastAsia="en-GB"/>
        </w:rPr>
        <w:t xml:space="preserve">adequate </w:t>
      </w:r>
      <w:r w:rsidR="00221C1D" w:rsidRPr="00AB7138">
        <w:rPr>
          <w:lang w:eastAsia="en-GB"/>
        </w:rPr>
        <w:t>compensation to the affected individuals</w:t>
      </w:r>
      <w:r w:rsidR="004E0474" w:rsidRPr="00AB7138">
        <w:rPr>
          <w:lang w:eastAsia="en-GB"/>
        </w:rPr>
        <w:t xml:space="preserve"> </w:t>
      </w:r>
      <w:r w:rsidR="00C54BEF">
        <w:rPr>
          <w:lang w:eastAsia="en-GB"/>
        </w:rPr>
        <w:t xml:space="preserve">and groups </w:t>
      </w:r>
      <w:r w:rsidR="004E0474" w:rsidRPr="00AB7138">
        <w:rPr>
          <w:lang w:eastAsia="en-GB"/>
        </w:rPr>
        <w:t>(art</w:t>
      </w:r>
      <w:r w:rsidR="008B016B">
        <w:rPr>
          <w:lang w:eastAsia="en-GB"/>
        </w:rPr>
        <w:t>.</w:t>
      </w:r>
      <w:r w:rsidR="00D144F2">
        <w:rPr>
          <w:lang w:eastAsia="en-GB"/>
        </w:rPr>
        <w:t> </w:t>
      </w:r>
      <w:r w:rsidR="004E0474" w:rsidRPr="00AB7138">
        <w:rPr>
          <w:lang w:eastAsia="en-GB"/>
        </w:rPr>
        <w:t>11).</w:t>
      </w:r>
    </w:p>
    <w:p w14:paraId="070174DD" w14:textId="1EB47C7A" w:rsidR="006F48BD" w:rsidRPr="00AB7138" w:rsidRDefault="00556A05" w:rsidP="00B15056">
      <w:pPr>
        <w:pStyle w:val="SingleTxtG"/>
        <w:tabs>
          <w:tab w:val="left" w:pos="1701"/>
        </w:tabs>
        <w:rPr>
          <w:b/>
          <w:lang w:eastAsia="en-GB"/>
        </w:rPr>
      </w:pPr>
      <w:r w:rsidRPr="00AB7138">
        <w:rPr>
          <w:lang w:eastAsia="en-GB"/>
        </w:rPr>
        <w:t>46.</w:t>
      </w:r>
      <w:r w:rsidRPr="00AB7138">
        <w:rPr>
          <w:lang w:eastAsia="en-GB"/>
        </w:rPr>
        <w:tab/>
      </w:r>
      <w:r w:rsidR="007522C3" w:rsidRPr="00AB7138">
        <w:rPr>
          <w:b/>
          <w:lang w:eastAsia="en-GB"/>
        </w:rPr>
        <w:t xml:space="preserve">The Committee recommends that the State party increase the availability of adequate </w:t>
      </w:r>
      <w:r w:rsidR="00C54BEF">
        <w:rPr>
          <w:b/>
          <w:lang w:eastAsia="en-GB"/>
        </w:rPr>
        <w:t xml:space="preserve">and affordable </w:t>
      </w:r>
      <w:r w:rsidR="007522C3" w:rsidRPr="00AB7138">
        <w:rPr>
          <w:b/>
          <w:lang w:eastAsia="en-GB"/>
        </w:rPr>
        <w:t>housing units by effectively implementing existing housin</w:t>
      </w:r>
      <w:r w:rsidR="004E0474" w:rsidRPr="00AB7138">
        <w:rPr>
          <w:b/>
          <w:lang w:eastAsia="en-GB"/>
        </w:rPr>
        <w:t>g programmes. The Committee also calls on the State party to</w:t>
      </w:r>
      <w:r w:rsidR="006F48BD" w:rsidRPr="00AB7138">
        <w:rPr>
          <w:b/>
          <w:lang w:eastAsia="en-GB"/>
        </w:rPr>
        <w:t>:</w:t>
      </w:r>
    </w:p>
    <w:p w14:paraId="5DECFF6D" w14:textId="49E2F159" w:rsidR="00FA4581" w:rsidRPr="00B15056" w:rsidRDefault="00D144F2" w:rsidP="00B15056">
      <w:pPr>
        <w:pStyle w:val="SingleTxtG"/>
        <w:ind w:firstLine="567"/>
        <w:rPr>
          <w:b/>
        </w:rPr>
      </w:pPr>
      <w:r>
        <w:t>(a)</w:t>
      </w:r>
      <w:r>
        <w:tab/>
      </w:r>
      <w:r w:rsidR="006F48BD" w:rsidRPr="00B15056">
        <w:rPr>
          <w:b/>
        </w:rPr>
        <w:t>A</w:t>
      </w:r>
      <w:r w:rsidR="004E0474" w:rsidRPr="00B15056">
        <w:rPr>
          <w:b/>
        </w:rPr>
        <w:t xml:space="preserve">dopt and implement a rights-based housing policy aimed at enabling disadvantaged </w:t>
      </w:r>
      <w:r w:rsidR="00C54BEF" w:rsidRPr="00B15056">
        <w:rPr>
          <w:b/>
        </w:rPr>
        <w:t>and marginali</w:t>
      </w:r>
      <w:r w:rsidR="00643068" w:rsidRPr="00B15056">
        <w:rPr>
          <w:b/>
        </w:rPr>
        <w:t>z</w:t>
      </w:r>
      <w:r w:rsidR="00C54BEF" w:rsidRPr="00B15056">
        <w:rPr>
          <w:b/>
        </w:rPr>
        <w:t xml:space="preserve">ed </w:t>
      </w:r>
      <w:r w:rsidR="004E0474" w:rsidRPr="00B15056">
        <w:rPr>
          <w:b/>
        </w:rPr>
        <w:t>groups and individuals to access housing</w:t>
      </w:r>
      <w:r w:rsidR="006F48BD" w:rsidRPr="00B15056">
        <w:rPr>
          <w:b/>
        </w:rPr>
        <w:t>, including affordable housing</w:t>
      </w:r>
      <w:r w:rsidR="00C54BEF" w:rsidRPr="00B15056">
        <w:rPr>
          <w:b/>
        </w:rPr>
        <w:t xml:space="preserve"> </w:t>
      </w:r>
      <w:r w:rsidR="0014419C" w:rsidRPr="00B15056">
        <w:rPr>
          <w:b/>
        </w:rPr>
        <w:t xml:space="preserve">units </w:t>
      </w:r>
      <w:r w:rsidR="00643068" w:rsidRPr="00B15056">
        <w:rPr>
          <w:b/>
        </w:rPr>
        <w:t>and</w:t>
      </w:r>
      <w:r w:rsidR="00C54BEF" w:rsidRPr="00B15056">
        <w:rPr>
          <w:b/>
        </w:rPr>
        <w:t xml:space="preserve"> social housing</w:t>
      </w:r>
      <w:r w:rsidR="0014419C" w:rsidRPr="00B15056">
        <w:rPr>
          <w:b/>
        </w:rPr>
        <w:t xml:space="preserve"> units</w:t>
      </w:r>
      <w:r w:rsidR="00FA4581" w:rsidRPr="00B15056">
        <w:rPr>
          <w:b/>
        </w:rPr>
        <w:t>;</w:t>
      </w:r>
    </w:p>
    <w:p w14:paraId="680FDAD4" w14:textId="2251C80A" w:rsidR="006F48BD" w:rsidRPr="00B15056" w:rsidRDefault="00D144F2" w:rsidP="00B15056">
      <w:pPr>
        <w:pStyle w:val="SingleTxtG"/>
        <w:ind w:firstLine="567"/>
        <w:rPr>
          <w:b/>
        </w:rPr>
      </w:pPr>
      <w:r>
        <w:t>(b)</w:t>
      </w:r>
      <w:r>
        <w:tab/>
      </w:r>
      <w:r w:rsidR="005E3815" w:rsidRPr="00B15056">
        <w:rPr>
          <w:b/>
        </w:rPr>
        <w:t>E</w:t>
      </w:r>
      <w:r w:rsidR="00FA4581" w:rsidRPr="00B15056">
        <w:rPr>
          <w:b/>
        </w:rPr>
        <w:t>nsure that persons living in informal settlements enjoy access to basic services</w:t>
      </w:r>
      <w:proofErr w:type="gramStart"/>
      <w:r w:rsidR="006F48BD" w:rsidRPr="00B15056">
        <w:rPr>
          <w:b/>
        </w:rPr>
        <w:t>;</w:t>
      </w:r>
      <w:proofErr w:type="gramEnd"/>
    </w:p>
    <w:p w14:paraId="434AD5E0" w14:textId="15BF83F8" w:rsidR="006F48BD" w:rsidRPr="00B15056" w:rsidRDefault="00D144F2" w:rsidP="00B15056">
      <w:pPr>
        <w:pStyle w:val="SingleTxtG"/>
        <w:ind w:firstLine="567"/>
        <w:rPr>
          <w:b/>
        </w:rPr>
      </w:pPr>
      <w:r>
        <w:t>(c)</w:t>
      </w:r>
      <w:r>
        <w:tab/>
      </w:r>
      <w:r w:rsidR="006F48BD" w:rsidRPr="00B15056">
        <w:rPr>
          <w:b/>
        </w:rPr>
        <w:t xml:space="preserve">Enact legislation to determine the circumstances and safeguards under which evictions can take place and ensure that evictions </w:t>
      </w:r>
      <w:proofErr w:type="gramStart"/>
      <w:r w:rsidR="006F48BD" w:rsidRPr="00B15056">
        <w:rPr>
          <w:b/>
        </w:rPr>
        <w:t>are used</w:t>
      </w:r>
      <w:proofErr w:type="gramEnd"/>
      <w:r w:rsidR="006F48BD" w:rsidRPr="00B15056">
        <w:rPr>
          <w:b/>
        </w:rPr>
        <w:t xml:space="preserve"> </w:t>
      </w:r>
      <w:r w:rsidR="00643068" w:rsidRPr="00B15056">
        <w:rPr>
          <w:b/>
        </w:rPr>
        <w:t xml:space="preserve">only </w:t>
      </w:r>
      <w:r w:rsidR="006F48BD" w:rsidRPr="00B15056">
        <w:rPr>
          <w:b/>
        </w:rPr>
        <w:t xml:space="preserve">as a last resort; </w:t>
      </w:r>
    </w:p>
    <w:p w14:paraId="28FBCA91" w14:textId="6F3679A9" w:rsidR="006F48BD" w:rsidRPr="00B15056" w:rsidRDefault="00D144F2" w:rsidP="00B15056">
      <w:pPr>
        <w:pStyle w:val="SingleTxtG"/>
        <w:ind w:firstLine="567"/>
        <w:rPr>
          <w:b/>
        </w:rPr>
      </w:pPr>
      <w:r>
        <w:t>(d)</w:t>
      </w:r>
      <w:r>
        <w:tab/>
      </w:r>
      <w:r w:rsidR="006F48BD" w:rsidRPr="00B15056">
        <w:rPr>
          <w:b/>
        </w:rPr>
        <w:t xml:space="preserve">Ensure that victims of forced evictions </w:t>
      </w:r>
      <w:proofErr w:type="gramStart"/>
      <w:r w:rsidR="006F48BD" w:rsidRPr="00B15056">
        <w:rPr>
          <w:b/>
        </w:rPr>
        <w:t>are provided</w:t>
      </w:r>
      <w:proofErr w:type="gramEnd"/>
      <w:r w:rsidR="006F48BD" w:rsidRPr="00B15056">
        <w:rPr>
          <w:b/>
        </w:rPr>
        <w:t xml:space="preserve"> with alternative housing </w:t>
      </w:r>
      <w:r w:rsidR="0019410B" w:rsidRPr="00B15056">
        <w:rPr>
          <w:b/>
        </w:rPr>
        <w:t>and/</w:t>
      </w:r>
      <w:r w:rsidR="006F48BD" w:rsidRPr="00B15056">
        <w:rPr>
          <w:b/>
        </w:rPr>
        <w:t>or adequate compensation;</w:t>
      </w:r>
    </w:p>
    <w:p w14:paraId="5E96EE7F" w14:textId="7F144E7E" w:rsidR="00FA4581" w:rsidRPr="00B15056" w:rsidRDefault="00D144F2" w:rsidP="00B15056">
      <w:pPr>
        <w:pStyle w:val="SingleTxtG"/>
        <w:ind w:firstLine="567"/>
        <w:rPr>
          <w:b/>
        </w:rPr>
      </w:pPr>
      <w:r>
        <w:t>(e)</w:t>
      </w:r>
      <w:r>
        <w:tab/>
      </w:r>
      <w:r w:rsidR="00FA4581" w:rsidRPr="00B15056">
        <w:rPr>
          <w:b/>
        </w:rPr>
        <w:t xml:space="preserve">Provide information </w:t>
      </w:r>
      <w:r w:rsidR="00643068" w:rsidRPr="00B15056">
        <w:rPr>
          <w:b/>
        </w:rPr>
        <w:t xml:space="preserve">in its next periodic report </w:t>
      </w:r>
      <w:r w:rsidR="00FA4581" w:rsidRPr="00B15056">
        <w:rPr>
          <w:b/>
        </w:rPr>
        <w:t>on the num</w:t>
      </w:r>
      <w:r w:rsidR="00221C1D" w:rsidRPr="00B15056">
        <w:rPr>
          <w:b/>
        </w:rPr>
        <w:t>ber of homeless persons in the S</w:t>
      </w:r>
      <w:r w:rsidR="00FA4581" w:rsidRPr="00B15056">
        <w:rPr>
          <w:b/>
        </w:rPr>
        <w:t>tate party</w:t>
      </w:r>
      <w:proofErr w:type="gramStart"/>
      <w:r w:rsidR="00FA4581" w:rsidRPr="00B15056">
        <w:rPr>
          <w:b/>
        </w:rPr>
        <w:t>;</w:t>
      </w:r>
      <w:proofErr w:type="gramEnd"/>
    </w:p>
    <w:p w14:paraId="5F486576" w14:textId="52CAC0B8" w:rsidR="008D4E69" w:rsidRPr="00B15056" w:rsidRDefault="00D144F2" w:rsidP="00B15056">
      <w:pPr>
        <w:pStyle w:val="SingleTxtG"/>
        <w:ind w:firstLine="567"/>
        <w:rPr>
          <w:b/>
        </w:rPr>
      </w:pPr>
      <w:r>
        <w:t>(f)</w:t>
      </w:r>
      <w:r>
        <w:tab/>
      </w:r>
      <w:r w:rsidR="00FA4581" w:rsidRPr="00B15056">
        <w:rPr>
          <w:b/>
        </w:rPr>
        <w:t>Take into account</w:t>
      </w:r>
      <w:r w:rsidR="006F48BD" w:rsidRPr="00B15056" w:rsidDel="00C54BEF">
        <w:rPr>
          <w:b/>
        </w:rPr>
        <w:t xml:space="preserve"> the Committee’s</w:t>
      </w:r>
      <w:r w:rsidR="00FA4581" w:rsidRPr="00B15056" w:rsidDel="00C54BEF">
        <w:rPr>
          <w:b/>
        </w:rPr>
        <w:t xml:space="preserve"> general comment</w:t>
      </w:r>
      <w:r w:rsidR="00643068" w:rsidRPr="00B15056">
        <w:rPr>
          <w:b/>
        </w:rPr>
        <w:t>s</w:t>
      </w:r>
      <w:r w:rsidR="00FA4581" w:rsidRPr="00B15056" w:rsidDel="00C54BEF">
        <w:rPr>
          <w:b/>
        </w:rPr>
        <w:t xml:space="preserve"> </w:t>
      </w:r>
      <w:r w:rsidR="00643068" w:rsidRPr="00B15056">
        <w:rPr>
          <w:b/>
        </w:rPr>
        <w:t>N</w:t>
      </w:r>
      <w:r w:rsidR="00B7443F" w:rsidRPr="00B15056" w:rsidDel="00C54BEF">
        <w:rPr>
          <w:b/>
        </w:rPr>
        <w:t xml:space="preserve">o. 4 (1991) on the right to adequate housing </w:t>
      </w:r>
      <w:r w:rsidR="0051291C" w:rsidRPr="00B15056" w:rsidDel="00C54BEF">
        <w:rPr>
          <w:b/>
        </w:rPr>
        <w:t xml:space="preserve">and </w:t>
      </w:r>
      <w:r w:rsidR="00643068" w:rsidRPr="00B15056">
        <w:rPr>
          <w:b/>
        </w:rPr>
        <w:t>N</w:t>
      </w:r>
      <w:r w:rsidR="00FA4581" w:rsidRPr="00B15056" w:rsidDel="00C54BEF">
        <w:rPr>
          <w:b/>
        </w:rPr>
        <w:t>o.</w:t>
      </w:r>
      <w:r>
        <w:rPr>
          <w:b/>
        </w:rPr>
        <w:t> </w:t>
      </w:r>
      <w:r w:rsidR="00FA4581" w:rsidRPr="00B15056" w:rsidDel="00C54BEF">
        <w:rPr>
          <w:b/>
        </w:rPr>
        <w:t>7 (1997) on</w:t>
      </w:r>
      <w:r w:rsidR="006F48BD" w:rsidRPr="00B15056" w:rsidDel="00C54BEF">
        <w:rPr>
          <w:b/>
        </w:rPr>
        <w:t xml:space="preserve"> forced evictions</w:t>
      </w:r>
      <w:r w:rsidR="00FA4581" w:rsidRPr="00B15056" w:rsidDel="00C54BEF">
        <w:rPr>
          <w:b/>
        </w:rPr>
        <w:t xml:space="preserve">, as well as </w:t>
      </w:r>
      <w:r w:rsidR="006F48BD" w:rsidRPr="00B15056" w:rsidDel="00C54BEF">
        <w:rPr>
          <w:b/>
        </w:rPr>
        <w:t>the basic principles and guidelines on development-based e</w:t>
      </w:r>
      <w:r w:rsidR="00FA4581" w:rsidRPr="00B15056" w:rsidDel="00C54BEF">
        <w:rPr>
          <w:b/>
        </w:rPr>
        <w:t xml:space="preserve">victions and displacement (A/HRC/4/18, </w:t>
      </w:r>
      <w:r w:rsidR="00F6345B" w:rsidRPr="00B15056">
        <w:rPr>
          <w:b/>
        </w:rPr>
        <w:t>a</w:t>
      </w:r>
      <w:r w:rsidR="00FA4581" w:rsidRPr="00B15056" w:rsidDel="00C54BEF">
        <w:rPr>
          <w:b/>
        </w:rPr>
        <w:t>nnex</w:t>
      </w:r>
      <w:r>
        <w:rPr>
          <w:b/>
        </w:rPr>
        <w:t> </w:t>
      </w:r>
      <w:r w:rsidR="00FA4581" w:rsidRPr="00B15056">
        <w:rPr>
          <w:b/>
        </w:rPr>
        <w:t>I</w:t>
      </w:r>
      <w:r w:rsidR="006F48BD" w:rsidRPr="00B15056">
        <w:rPr>
          <w:b/>
        </w:rPr>
        <w:t>).</w:t>
      </w:r>
    </w:p>
    <w:p w14:paraId="77694C36" w14:textId="77777777" w:rsidR="007422A8" w:rsidRPr="00AB7138" w:rsidRDefault="002D6402" w:rsidP="00FC6FBC">
      <w:pPr>
        <w:pStyle w:val="H23G"/>
        <w:ind w:firstLine="0"/>
        <w:rPr>
          <w:lang w:eastAsia="en-GB"/>
        </w:rPr>
      </w:pPr>
      <w:r w:rsidRPr="00AB7138">
        <w:rPr>
          <w:lang w:eastAsia="en-GB"/>
        </w:rPr>
        <w:t>Right to food</w:t>
      </w:r>
    </w:p>
    <w:p w14:paraId="1D9DA67C" w14:textId="47502B42" w:rsidR="007422A8" w:rsidRPr="00AB7138" w:rsidRDefault="00556A05" w:rsidP="00B15056">
      <w:pPr>
        <w:pStyle w:val="SingleTxtG"/>
        <w:tabs>
          <w:tab w:val="left" w:pos="1701"/>
        </w:tabs>
        <w:rPr>
          <w:bCs/>
          <w:lang w:eastAsia="en-GB"/>
        </w:rPr>
      </w:pPr>
      <w:r w:rsidRPr="00AB7138">
        <w:rPr>
          <w:bCs/>
          <w:lang w:eastAsia="en-GB"/>
        </w:rPr>
        <w:t>47.</w:t>
      </w:r>
      <w:r w:rsidRPr="00AB7138">
        <w:rPr>
          <w:bCs/>
          <w:lang w:eastAsia="en-GB"/>
        </w:rPr>
        <w:tab/>
      </w:r>
      <w:r w:rsidR="002D6402" w:rsidRPr="00AB7138">
        <w:rPr>
          <w:bCs/>
          <w:lang w:eastAsia="en-GB"/>
        </w:rPr>
        <w:t xml:space="preserve">The Committee commends the State party </w:t>
      </w:r>
      <w:r w:rsidR="008B016B">
        <w:rPr>
          <w:bCs/>
          <w:lang w:eastAsia="en-GB"/>
        </w:rPr>
        <w:t>for having halved</w:t>
      </w:r>
      <w:r w:rsidR="002D6402" w:rsidRPr="00AB7138">
        <w:rPr>
          <w:bCs/>
          <w:lang w:eastAsia="en-GB"/>
        </w:rPr>
        <w:t xml:space="preserve"> the number of persons living in hunger</w:t>
      </w:r>
      <w:r w:rsidR="0082362F">
        <w:rPr>
          <w:bCs/>
          <w:lang w:eastAsia="en-GB"/>
        </w:rPr>
        <w:t xml:space="preserve"> in 2013</w:t>
      </w:r>
      <w:r w:rsidR="002D6402" w:rsidRPr="00AB7138">
        <w:rPr>
          <w:bCs/>
          <w:lang w:eastAsia="en-GB"/>
        </w:rPr>
        <w:t>. It remains</w:t>
      </w:r>
      <w:r w:rsidR="007422A8" w:rsidRPr="00AB7138">
        <w:rPr>
          <w:bCs/>
          <w:lang w:eastAsia="en-GB"/>
        </w:rPr>
        <w:t xml:space="preserve"> concerned</w:t>
      </w:r>
      <w:r w:rsidR="00F6345B">
        <w:rPr>
          <w:bCs/>
          <w:lang w:eastAsia="en-GB"/>
        </w:rPr>
        <w:t xml:space="preserve">, </w:t>
      </w:r>
      <w:r w:rsidR="00F6345B" w:rsidRPr="00AB7138">
        <w:rPr>
          <w:bCs/>
          <w:lang w:eastAsia="en-GB"/>
        </w:rPr>
        <w:t>however</w:t>
      </w:r>
      <w:r w:rsidR="00F6345B">
        <w:rPr>
          <w:bCs/>
          <w:lang w:eastAsia="en-GB"/>
        </w:rPr>
        <w:t>,</w:t>
      </w:r>
      <w:r w:rsidR="007422A8" w:rsidRPr="00AB7138">
        <w:rPr>
          <w:bCs/>
          <w:lang w:eastAsia="en-GB"/>
        </w:rPr>
        <w:t xml:space="preserve"> about the prevalence of </w:t>
      </w:r>
      <w:r w:rsidR="002D6402" w:rsidRPr="00AB7138">
        <w:rPr>
          <w:bCs/>
          <w:lang w:eastAsia="en-GB"/>
        </w:rPr>
        <w:t>under- and malnutrition</w:t>
      </w:r>
      <w:r w:rsidR="007422A8" w:rsidRPr="00AB7138">
        <w:rPr>
          <w:bCs/>
          <w:lang w:eastAsia="en-GB"/>
        </w:rPr>
        <w:t xml:space="preserve"> in the State party.</w:t>
      </w:r>
      <w:r w:rsidR="002D6402" w:rsidRPr="00AB7138">
        <w:rPr>
          <w:bCs/>
          <w:lang w:eastAsia="en-GB"/>
        </w:rPr>
        <w:t xml:space="preserve"> The Committee is also </w:t>
      </w:r>
      <w:r w:rsidR="009123CC" w:rsidRPr="00AB7138">
        <w:rPr>
          <w:bCs/>
          <w:lang w:eastAsia="en-GB"/>
        </w:rPr>
        <w:t xml:space="preserve">concerned </w:t>
      </w:r>
      <w:r w:rsidR="002D6402" w:rsidRPr="00AB7138">
        <w:rPr>
          <w:bCs/>
          <w:lang w:eastAsia="en-GB"/>
        </w:rPr>
        <w:t>about the lack of related disaggregated data</w:t>
      </w:r>
      <w:r w:rsidR="0073354E" w:rsidRPr="00AB7138">
        <w:rPr>
          <w:bCs/>
          <w:lang w:eastAsia="en-GB"/>
        </w:rPr>
        <w:t xml:space="preserve"> (art.</w:t>
      </w:r>
      <w:r w:rsidR="00D144F2">
        <w:rPr>
          <w:bCs/>
          <w:lang w:eastAsia="en-GB"/>
        </w:rPr>
        <w:t> </w:t>
      </w:r>
      <w:r w:rsidR="0073354E" w:rsidRPr="00AB7138">
        <w:rPr>
          <w:bCs/>
          <w:lang w:eastAsia="en-GB"/>
        </w:rPr>
        <w:t>11)</w:t>
      </w:r>
      <w:r w:rsidR="00FD64FF" w:rsidRPr="00AB7138">
        <w:rPr>
          <w:bCs/>
          <w:lang w:eastAsia="en-GB"/>
        </w:rPr>
        <w:t>.</w:t>
      </w:r>
    </w:p>
    <w:p w14:paraId="4408A80E" w14:textId="699869B3" w:rsidR="007422A8" w:rsidRPr="00AB7138" w:rsidRDefault="00556A05" w:rsidP="00B15056">
      <w:pPr>
        <w:pStyle w:val="SingleTxtG"/>
        <w:tabs>
          <w:tab w:val="left" w:pos="1701"/>
        </w:tabs>
        <w:rPr>
          <w:b/>
          <w:bCs/>
          <w:lang w:eastAsia="en-GB"/>
        </w:rPr>
      </w:pPr>
      <w:r w:rsidRPr="00AB7138">
        <w:rPr>
          <w:bCs/>
          <w:lang w:eastAsia="en-GB"/>
        </w:rPr>
        <w:t>48.</w:t>
      </w:r>
      <w:r w:rsidRPr="00AB7138">
        <w:rPr>
          <w:bCs/>
          <w:lang w:eastAsia="en-GB"/>
        </w:rPr>
        <w:tab/>
      </w:r>
      <w:r w:rsidR="0019410B" w:rsidRPr="00AB7138">
        <w:rPr>
          <w:b/>
          <w:bCs/>
          <w:lang w:eastAsia="en-GB"/>
        </w:rPr>
        <w:t>T</w:t>
      </w:r>
      <w:r w:rsidR="00FD64FF" w:rsidRPr="00AB7138">
        <w:rPr>
          <w:b/>
          <w:bCs/>
          <w:lang w:eastAsia="en-GB"/>
        </w:rPr>
        <w:t xml:space="preserve">he Committee recommends that the State party adopt a framework </w:t>
      </w:r>
      <w:r w:rsidR="00B64C09" w:rsidRPr="00AB7138">
        <w:rPr>
          <w:b/>
          <w:bCs/>
          <w:lang w:eastAsia="en-GB"/>
        </w:rPr>
        <w:t xml:space="preserve">law </w:t>
      </w:r>
      <w:r w:rsidR="00FD64FF" w:rsidRPr="00AB7138">
        <w:rPr>
          <w:b/>
          <w:bCs/>
          <w:lang w:eastAsia="en-GB"/>
        </w:rPr>
        <w:t xml:space="preserve">on the right to food. It also recommends that the State party address effectively the remaining challenges </w:t>
      </w:r>
      <w:r w:rsidR="00F6345B">
        <w:rPr>
          <w:b/>
          <w:bCs/>
          <w:lang w:eastAsia="en-GB"/>
        </w:rPr>
        <w:t>to</w:t>
      </w:r>
      <w:r w:rsidR="00F6345B" w:rsidRPr="00AB7138">
        <w:rPr>
          <w:b/>
          <w:bCs/>
          <w:lang w:eastAsia="en-GB"/>
        </w:rPr>
        <w:t xml:space="preserve"> </w:t>
      </w:r>
      <w:r w:rsidR="00FD64FF" w:rsidRPr="00AB7138">
        <w:rPr>
          <w:b/>
          <w:bCs/>
          <w:lang w:eastAsia="en-GB"/>
        </w:rPr>
        <w:t xml:space="preserve">the enjoyment of the right to food, including by </w:t>
      </w:r>
      <w:r w:rsidR="00CB2883" w:rsidRPr="00AB7138">
        <w:rPr>
          <w:b/>
          <w:bCs/>
          <w:lang w:eastAsia="en-GB"/>
        </w:rPr>
        <w:t xml:space="preserve">fully </w:t>
      </w:r>
      <w:r w:rsidR="00FD64FF" w:rsidRPr="00AB7138">
        <w:rPr>
          <w:b/>
          <w:bCs/>
          <w:lang w:eastAsia="en-GB"/>
        </w:rPr>
        <w:t xml:space="preserve">implementing the 2009 </w:t>
      </w:r>
      <w:r w:rsidR="00AF393D" w:rsidRPr="00AB7138">
        <w:rPr>
          <w:b/>
          <w:bCs/>
          <w:lang w:eastAsia="en-GB"/>
        </w:rPr>
        <w:t xml:space="preserve">National Strategy </w:t>
      </w:r>
      <w:r w:rsidR="00FD64FF" w:rsidRPr="00AB7138">
        <w:rPr>
          <w:b/>
          <w:bCs/>
          <w:lang w:eastAsia="en-GB"/>
        </w:rPr>
        <w:t xml:space="preserve">for </w:t>
      </w:r>
      <w:r w:rsidR="00AF393D" w:rsidRPr="00AB7138">
        <w:rPr>
          <w:b/>
          <w:bCs/>
          <w:lang w:eastAsia="en-GB"/>
        </w:rPr>
        <w:t xml:space="preserve">Food </w:t>
      </w:r>
      <w:r w:rsidR="00FD64FF" w:rsidRPr="00AB7138">
        <w:rPr>
          <w:b/>
          <w:bCs/>
          <w:lang w:eastAsia="en-GB"/>
        </w:rPr>
        <w:t xml:space="preserve">and </w:t>
      </w:r>
      <w:r w:rsidR="00AF393D" w:rsidRPr="00AB7138">
        <w:rPr>
          <w:b/>
          <w:bCs/>
          <w:lang w:eastAsia="en-GB"/>
        </w:rPr>
        <w:t xml:space="preserve">Nutrition Security </w:t>
      </w:r>
      <w:r w:rsidR="00CB2883" w:rsidRPr="00AB7138">
        <w:rPr>
          <w:b/>
          <w:bCs/>
          <w:lang w:eastAsia="en-GB"/>
        </w:rPr>
        <w:t xml:space="preserve">and </w:t>
      </w:r>
      <w:r w:rsidR="00FD64FF" w:rsidRPr="00AB7138">
        <w:rPr>
          <w:b/>
          <w:bCs/>
          <w:lang w:eastAsia="en-GB"/>
        </w:rPr>
        <w:t>ensuring adequate represe</w:t>
      </w:r>
      <w:r w:rsidR="009123CC" w:rsidRPr="00AB7138">
        <w:rPr>
          <w:b/>
          <w:bCs/>
          <w:lang w:eastAsia="en-GB"/>
        </w:rPr>
        <w:t>ntation</w:t>
      </w:r>
      <w:r w:rsidR="00FD64FF" w:rsidRPr="00AB7138">
        <w:rPr>
          <w:b/>
          <w:bCs/>
          <w:lang w:eastAsia="en-GB"/>
        </w:rPr>
        <w:t xml:space="preserve"> of civil society actors in the bodies</w:t>
      </w:r>
      <w:r w:rsidR="00CB2883" w:rsidRPr="00AB7138">
        <w:rPr>
          <w:b/>
          <w:bCs/>
          <w:lang w:eastAsia="en-GB"/>
        </w:rPr>
        <w:t xml:space="preserve"> established to guide and monitor the </w:t>
      </w:r>
      <w:r w:rsidR="008E4452">
        <w:rPr>
          <w:b/>
          <w:bCs/>
          <w:lang w:eastAsia="en-GB"/>
        </w:rPr>
        <w:t>S</w:t>
      </w:r>
      <w:r w:rsidR="00CB2883" w:rsidRPr="00AB7138">
        <w:rPr>
          <w:b/>
          <w:bCs/>
          <w:lang w:eastAsia="en-GB"/>
        </w:rPr>
        <w:t>trategy</w:t>
      </w:r>
      <w:r w:rsidR="00FD64FF" w:rsidRPr="00AB7138">
        <w:rPr>
          <w:b/>
          <w:bCs/>
          <w:lang w:eastAsia="en-GB"/>
        </w:rPr>
        <w:t xml:space="preserve">. The Committee </w:t>
      </w:r>
      <w:r w:rsidR="00F6345B">
        <w:rPr>
          <w:b/>
          <w:bCs/>
          <w:lang w:eastAsia="en-GB"/>
        </w:rPr>
        <w:t>also</w:t>
      </w:r>
      <w:r w:rsidR="00F6345B" w:rsidRPr="00AB7138">
        <w:rPr>
          <w:b/>
          <w:bCs/>
          <w:lang w:eastAsia="en-GB"/>
        </w:rPr>
        <w:t xml:space="preserve"> </w:t>
      </w:r>
      <w:r w:rsidR="00FD64FF" w:rsidRPr="00AB7138">
        <w:rPr>
          <w:b/>
          <w:bCs/>
          <w:lang w:eastAsia="en-GB"/>
        </w:rPr>
        <w:t xml:space="preserve">recommends that the State party collect </w:t>
      </w:r>
      <w:r w:rsidR="00FD64FF" w:rsidRPr="002824FE">
        <w:rPr>
          <w:b/>
          <w:bCs/>
          <w:lang w:eastAsia="en-GB"/>
        </w:rPr>
        <w:t>disaggregated data on the prevalence of hunger</w:t>
      </w:r>
      <w:r w:rsidR="008B016B">
        <w:rPr>
          <w:b/>
          <w:bCs/>
          <w:lang w:eastAsia="en-GB"/>
        </w:rPr>
        <w:t xml:space="preserve"> and</w:t>
      </w:r>
      <w:r w:rsidR="00FD64FF" w:rsidRPr="002824FE">
        <w:rPr>
          <w:b/>
          <w:bCs/>
          <w:lang w:eastAsia="en-GB"/>
        </w:rPr>
        <w:t xml:space="preserve"> </w:t>
      </w:r>
      <w:r w:rsidR="00F6345B">
        <w:rPr>
          <w:b/>
          <w:bCs/>
          <w:lang w:eastAsia="en-GB"/>
        </w:rPr>
        <w:t>under</w:t>
      </w:r>
      <w:r w:rsidR="00FD64FF" w:rsidRPr="002824FE">
        <w:rPr>
          <w:b/>
          <w:bCs/>
          <w:lang w:eastAsia="en-GB"/>
        </w:rPr>
        <w:t xml:space="preserve">- and </w:t>
      </w:r>
      <w:r w:rsidR="00F6345B">
        <w:rPr>
          <w:b/>
          <w:bCs/>
          <w:lang w:eastAsia="en-GB"/>
        </w:rPr>
        <w:t>mal</w:t>
      </w:r>
      <w:r w:rsidR="00FD64FF" w:rsidRPr="002824FE">
        <w:rPr>
          <w:b/>
          <w:bCs/>
          <w:lang w:eastAsia="en-GB"/>
        </w:rPr>
        <w:t>nutrition, including by sex, age, urban/rural area and origin.</w:t>
      </w:r>
      <w:r w:rsidR="0019410B" w:rsidRPr="00AB7138">
        <w:rPr>
          <w:b/>
          <w:bCs/>
          <w:lang w:eastAsia="en-GB"/>
        </w:rPr>
        <w:t xml:space="preserve"> </w:t>
      </w:r>
      <w:r w:rsidR="0019410B" w:rsidRPr="00AB7138">
        <w:rPr>
          <w:b/>
        </w:rPr>
        <w:t>T</w:t>
      </w:r>
      <w:r w:rsidR="0082362F" w:rsidRPr="00AB7138">
        <w:rPr>
          <w:b/>
        </w:rPr>
        <w:t>he Committee</w:t>
      </w:r>
      <w:r w:rsidR="0019410B" w:rsidRPr="00AB7138">
        <w:rPr>
          <w:b/>
        </w:rPr>
        <w:t xml:space="preserve"> refers the State party to its general comment </w:t>
      </w:r>
      <w:r w:rsidR="00F6345B">
        <w:rPr>
          <w:b/>
          <w:bCs/>
          <w:lang w:eastAsia="en-GB"/>
        </w:rPr>
        <w:t>N</w:t>
      </w:r>
      <w:r w:rsidR="0019410B" w:rsidRPr="00AB7138">
        <w:rPr>
          <w:b/>
          <w:bCs/>
          <w:lang w:eastAsia="en-GB"/>
        </w:rPr>
        <w:t>o.</w:t>
      </w:r>
      <w:r w:rsidR="00D144F2">
        <w:rPr>
          <w:b/>
          <w:bCs/>
          <w:lang w:eastAsia="en-GB"/>
        </w:rPr>
        <w:t> </w:t>
      </w:r>
      <w:r w:rsidR="0019410B" w:rsidRPr="00AB7138">
        <w:rPr>
          <w:b/>
          <w:bCs/>
          <w:lang w:eastAsia="en-GB"/>
        </w:rPr>
        <w:t xml:space="preserve">12 (1999) on the right to adequate </w:t>
      </w:r>
      <w:r w:rsidR="0019410B" w:rsidRPr="00AB7138">
        <w:rPr>
          <w:b/>
          <w:lang w:eastAsia="en-GB"/>
        </w:rPr>
        <w:t>food</w:t>
      </w:r>
      <w:r w:rsidR="0019410B" w:rsidRPr="00AB7138">
        <w:rPr>
          <w:b/>
          <w:bCs/>
          <w:lang w:eastAsia="en-GB"/>
        </w:rPr>
        <w:t xml:space="preserve"> and to the </w:t>
      </w:r>
      <w:r w:rsidR="00F6345B">
        <w:rPr>
          <w:b/>
          <w:bCs/>
          <w:lang w:eastAsia="en-GB"/>
        </w:rPr>
        <w:t>V</w:t>
      </w:r>
      <w:r w:rsidR="0019410B" w:rsidRPr="00AB7138">
        <w:rPr>
          <w:b/>
          <w:bCs/>
          <w:lang w:eastAsia="en-GB"/>
        </w:rPr>
        <w:t xml:space="preserve">oluntary </w:t>
      </w:r>
      <w:r w:rsidR="00F6345B">
        <w:rPr>
          <w:b/>
          <w:lang w:eastAsia="en-GB"/>
        </w:rPr>
        <w:t>G</w:t>
      </w:r>
      <w:r w:rsidR="0019410B" w:rsidRPr="00AB7138">
        <w:rPr>
          <w:b/>
          <w:lang w:eastAsia="en-GB"/>
        </w:rPr>
        <w:t>uidelines</w:t>
      </w:r>
      <w:r w:rsidR="0019410B" w:rsidRPr="00AB7138">
        <w:rPr>
          <w:b/>
          <w:bCs/>
          <w:lang w:eastAsia="en-GB"/>
        </w:rPr>
        <w:t xml:space="preserve"> to support the progressive realization of the right to adequate </w:t>
      </w:r>
      <w:r w:rsidR="0019410B" w:rsidRPr="00AB7138">
        <w:rPr>
          <w:b/>
          <w:lang w:eastAsia="en-GB"/>
        </w:rPr>
        <w:t>food</w:t>
      </w:r>
      <w:r w:rsidR="0019410B" w:rsidRPr="00AB7138">
        <w:rPr>
          <w:b/>
          <w:bCs/>
          <w:lang w:eastAsia="en-GB"/>
        </w:rPr>
        <w:t xml:space="preserve"> in the context of national </w:t>
      </w:r>
      <w:r w:rsidR="0019410B" w:rsidRPr="00AB7138">
        <w:rPr>
          <w:b/>
          <w:lang w:eastAsia="en-GB"/>
        </w:rPr>
        <w:t>food</w:t>
      </w:r>
      <w:r w:rsidR="0019410B" w:rsidRPr="00AB7138">
        <w:rPr>
          <w:b/>
          <w:bCs/>
          <w:lang w:eastAsia="en-GB"/>
        </w:rPr>
        <w:t xml:space="preserve"> security adopted by the </w:t>
      </w:r>
      <w:r w:rsidR="0019410B" w:rsidRPr="00AB7138">
        <w:rPr>
          <w:b/>
          <w:lang w:eastAsia="en-GB"/>
        </w:rPr>
        <w:t>Food</w:t>
      </w:r>
      <w:r w:rsidR="0019410B" w:rsidRPr="00AB7138">
        <w:rPr>
          <w:b/>
          <w:bCs/>
          <w:lang w:eastAsia="en-GB"/>
        </w:rPr>
        <w:t xml:space="preserve"> and Agriculture Organization</w:t>
      </w:r>
      <w:r w:rsidR="00F6345B">
        <w:rPr>
          <w:b/>
          <w:bCs/>
          <w:lang w:eastAsia="en-GB"/>
        </w:rPr>
        <w:t xml:space="preserve"> of the United Nations</w:t>
      </w:r>
      <w:r w:rsidR="0082362F">
        <w:rPr>
          <w:b/>
          <w:bCs/>
          <w:lang w:eastAsia="en-GB"/>
        </w:rPr>
        <w:t>.</w:t>
      </w:r>
    </w:p>
    <w:p w14:paraId="1B240618" w14:textId="77777777" w:rsidR="00527872" w:rsidRPr="00AB7138" w:rsidRDefault="00DA06B8" w:rsidP="00FC6FBC">
      <w:pPr>
        <w:pStyle w:val="H23G"/>
        <w:ind w:firstLine="0"/>
        <w:rPr>
          <w:lang w:eastAsia="en-GB"/>
        </w:rPr>
      </w:pPr>
      <w:r w:rsidRPr="00AB7138">
        <w:rPr>
          <w:lang w:eastAsia="en-GB"/>
        </w:rPr>
        <w:t>Access to health</w:t>
      </w:r>
    </w:p>
    <w:p w14:paraId="500A7480" w14:textId="171BF95B" w:rsidR="00634E15" w:rsidRPr="00AB7138" w:rsidRDefault="00556A05" w:rsidP="00B15056">
      <w:pPr>
        <w:pStyle w:val="SingleTxtG"/>
        <w:tabs>
          <w:tab w:val="left" w:pos="1701"/>
        </w:tabs>
        <w:rPr>
          <w:lang w:eastAsia="en-GB"/>
        </w:rPr>
      </w:pPr>
      <w:r w:rsidRPr="00AB7138">
        <w:rPr>
          <w:lang w:eastAsia="en-GB"/>
        </w:rPr>
        <w:t>49.</w:t>
      </w:r>
      <w:r w:rsidRPr="00AB7138">
        <w:rPr>
          <w:lang w:eastAsia="en-GB"/>
        </w:rPr>
        <w:tab/>
      </w:r>
      <w:r w:rsidR="00EF4F68" w:rsidRPr="00AB7138">
        <w:rPr>
          <w:lang w:eastAsia="en-GB"/>
        </w:rPr>
        <w:t xml:space="preserve">The Committee </w:t>
      </w:r>
      <w:r w:rsidR="00DD0DCE" w:rsidRPr="00AB7138">
        <w:rPr>
          <w:lang w:eastAsia="en-GB"/>
        </w:rPr>
        <w:t>welcomes</w:t>
      </w:r>
      <w:r w:rsidR="00EF4F68" w:rsidRPr="00AB7138">
        <w:rPr>
          <w:lang w:eastAsia="en-GB"/>
        </w:rPr>
        <w:t xml:space="preserve"> the significant efforts made </w:t>
      </w:r>
      <w:r w:rsidR="00DD0DCE" w:rsidRPr="00AB7138">
        <w:rPr>
          <w:lang w:eastAsia="en-GB"/>
        </w:rPr>
        <w:t xml:space="preserve">by the State party </w:t>
      </w:r>
      <w:r w:rsidR="00EF4F68" w:rsidRPr="00AB7138">
        <w:rPr>
          <w:lang w:eastAsia="en-GB"/>
        </w:rPr>
        <w:t>to facilitate access to health</w:t>
      </w:r>
      <w:r w:rsidR="00DD0DCE" w:rsidRPr="00AB7138">
        <w:rPr>
          <w:lang w:eastAsia="en-GB"/>
        </w:rPr>
        <w:t>-care</w:t>
      </w:r>
      <w:r w:rsidR="00890E27" w:rsidRPr="00AB7138">
        <w:rPr>
          <w:lang w:eastAsia="en-GB"/>
        </w:rPr>
        <w:t xml:space="preserve"> </w:t>
      </w:r>
      <w:r w:rsidR="00EF4F68" w:rsidRPr="00AB7138">
        <w:rPr>
          <w:lang w:eastAsia="en-GB"/>
        </w:rPr>
        <w:t>services, including the construction and reconstruction of infrastructure</w:t>
      </w:r>
      <w:r w:rsidR="00F6345B">
        <w:rPr>
          <w:lang w:eastAsia="en-GB"/>
        </w:rPr>
        <w:t>,</w:t>
      </w:r>
      <w:r w:rsidR="00EF4F68" w:rsidRPr="00AB7138">
        <w:rPr>
          <w:lang w:eastAsia="en-GB"/>
        </w:rPr>
        <w:t xml:space="preserve"> as well as the decentralization of the national health system. </w:t>
      </w:r>
      <w:r w:rsidR="00A14FB9" w:rsidRPr="00AB7138">
        <w:rPr>
          <w:lang w:eastAsia="en-GB"/>
        </w:rPr>
        <w:t>T</w:t>
      </w:r>
      <w:r w:rsidR="0036002E" w:rsidRPr="00AB7138">
        <w:rPr>
          <w:lang w:eastAsia="en-GB"/>
        </w:rPr>
        <w:t>he Committee is</w:t>
      </w:r>
      <w:r w:rsidR="00F6345B" w:rsidRPr="00F6345B">
        <w:rPr>
          <w:lang w:eastAsia="en-GB"/>
        </w:rPr>
        <w:t xml:space="preserve"> </w:t>
      </w:r>
      <w:proofErr w:type="gramStart"/>
      <w:r w:rsidR="00F6345B" w:rsidRPr="00AB7138">
        <w:rPr>
          <w:lang w:eastAsia="en-GB"/>
        </w:rPr>
        <w:t>concerned</w:t>
      </w:r>
      <w:r w:rsidR="00F6345B">
        <w:rPr>
          <w:lang w:eastAsia="en-GB"/>
        </w:rPr>
        <w:t>,</w:t>
      </w:r>
      <w:proofErr w:type="gramEnd"/>
      <w:r w:rsidR="0036002E" w:rsidRPr="00AB7138">
        <w:rPr>
          <w:lang w:eastAsia="en-GB"/>
        </w:rPr>
        <w:t xml:space="preserve"> </w:t>
      </w:r>
      <w:r w:rsidR="00EF4F68" w:rsidRPr="00AB7138">
        <w:rPr>
          <w:lang w:eastAsia="en-GB"/>
        </w:rPr>
        <w:t>however</w:t>
      </w:r>
      <w:r w:rsidR="00F6345B">
        <w:rPr>
          <w:lang w:eastAsia="en-GB"/>
        </w:rPr>
        <w:t>,</w:t>
      </w:r>
      <w:r w:rsidR="00EF4F68" w:rsidRPr="00AB7138">
        <w:rPr>
          <w:lang w:eastAsia="en-GB"/>
        </w:rPr>
        <w:t xml:space="preserve"> that</w:t>
      </w:r>
      <w:r w:rsidR="0036002E" w:rsidRPr="00AB7138">
        <w:rPr>
          <w:lang w:eastAsia="en-GB"/>
        </w:rPr>
        <w:t xml:space="preserve"> access to basic health services, es</w:t>
      </w:r>
      <w:r w:rsidR="00EF4F68" w:rsidRPr="00AB7138">
        <w:rPr>
          <w:lang w:eastAsia="en-GB"/>
        </w:rPr>
        <w:t>pecially in rural areas, remains inadequate,</w:t>
      </w:r>
      <w:r w:rsidR="0036002E" w:rsidRPr="00AB7138">
        <w:rPr>
          <w:lang w:eastAsia="en-GB"/>
        </w:rPr>
        <w:t xml:space="preserve"> </w:t>
      </w:r>
      <w:r w:rsidR="00F6345B">
        <w:rPr>
          <w:lang w:eastAsia="en-GB"/>
        </w:rPr>
        <w:t>owing in</w:t>
      </w:r>
      <w:r w:rsidR="005E3815" w:rsidRPr="00AB7138">
        <w:rPr>
          <w:lang w:eastAsia="en-GB"/>
        </w:rPr>
        <w:t xml:space="preserve"> </w:t>
      </w:r>
      <w:r w:rsidR="005E3815" w:rsidRPr="002824FE">
        <w:rPr>
          <w:lang w:eastAsia="en-GB"/>
        </w:rPr>
        <w:t xml:space="preserve">part to </w:t>
      </w:r>
      <w:r w:rsidR="00EF4F68" w:rsidRPr="002824FE">
        <w:rPr>
          <w:lang w:eastAsia="en-GB"/>
        </w:rPr>
        <w:t>the</w:t>
      </w:r>
      <w:r w:rsidR="0036002E" w:rsidRPr="002824FE">
        <w:rPr>
          <w:lang w:eastAsia="en-GB"/>
        </w:rPr>
        <w:t xml:space="preserve"> insufficient resources</w:t>
      </w:r>
      <w:r w:rsidR="00DD0DCE" w:rsidRPr="002824FE">
        <w:rPr>
          <w:lang w:eastAsia="en-GB"/>
        </w:rPr>
        <w:t xml:space="preserve"> allocated</w:t>
      </w:r>
      <w:r w:rsidR="0036002E" w:rsidRPr="002824FE">
        <w:rPr>
          <w:lang w:eastAsia="en-GB"/>
        </w:rPr>
        <w:t xml:space="preserve"> to </w:t>
      </w:r>
      <w:r w:rsidR="00DD0DCE" w:rsidRPr="002824FE">
        <w:rPr>
          <w:lang w:eastAsia="en-GB"/>
        </w:rPr>
        <w:t xml:space="preserve">the </w:t>
      </w:r>
      <w:r w:rsidR="0036002E" w:rsidRPr="00AB7138">
        <w:rPr>
          <w:lang w:eastAsia="en-GB"/>
        </w:rPr>
        <w:t>health sector</w:t>
      </w:r>
      <w:r w:rsidR="00EF4F68" w:rsidRPr="00AB7138">
        <w:rPr>
          <w:lang w:eastAsia="en-GB"/>
        </w:rPr>
        <w:t xml:space="preserve"> (art.</w:t>
      </w:r>
      <w:r w:rsidR="00D144F2">
        <w:rPr>
          <w:lang w:eastAsia="en-GB"/>
        </w:rPr>
        <w:t> </w:t>
      </w:r>
      <w:r w:rsidR="00EF4F68" w:rsidRPr="00AB7138">
        <w:rPr>
          <w:lang w:eastAsia="en-GB"/>
        </w:rPr>
        <w:t>12)</w:t>
      </w:r>
      <w:r w:rsidR="0036002E" w:rsidRPr="00AB7138">
        <w:rPr>
          <w:lang w:eastAsia="en-GB"/>
        </w:rPr>
        <w:t>.</w:t>
      </w:r>
    </w:p>
    <w:p w14:paraId="3C242BAA" w14:textId="65C6E6A8" w:rsidR="007422A8" w:rsidRPr="00AB7138" w:rsidRDefault="00556A05" w:rsidP="00B15056">
      <w:pPr>
        <w:pStyle w:val="SingleTxtG"/>
        <w:tabs>
          <w:tab w:val="left" w:pos="1701"/>
        </w:tabs>
        <w:rPr>
          <w:b/>
          <w:lang w:eastAsia="en-GB"/>
        </w:rPr>
      </w:pPr>
      <w:r w:rsidRPr="00AB7138">
        <w:rPr>
          <w:lang w:eastAsia="en-GB"/>
        </w:rPr>
        <w:t>50.</w:t>
      </w:r>
      <w:r w:rsidRPr="00AB7138">
        <w:rPr>
          <w:lang w:eastAsia="en-GB"/>
        </w:rPr>
        <w:tab/>
      </w:r>
      <w:r w:rsidR="00DD0DCE" w:rsidRPr="00AB7138">
        <w:rPr>
          <w:b/>
          <w:lang w:eastAsia="en-GB"/>
        </w:rPr>
        <w:t>T</w:t>
      </w:r>
      <w:r w:rsidR="00EF4F68" w:rsidRPr="00AB7138">
        <w:rPr>
          <w:b/>
          <w:lang w:eastAsia="en-GB"/>
        </w:rPr>
        <w:t>he Committee recommends that the State party strengthen its efforts to</w:t>
      </w:r>
      <w:r w:rsidR="00C0388A" w:rsidRPr="00AB7138">
        <w:rPr>
          <w:b/>
          <w:lang w:eastAsia="en-GB"/>
        </w:rPr>
        <w:t xml:space="preserve"> ensure </w:t>
      </w:r>
      <w:r w:rsidR="00654857" w:rsidRPr="00AB7138">
        <w:rPr>
          <w:b/>
          <w:lang w:eastAsia="en-GB"/>
        </w:rPr>
        <w:t xml:space="preserve">universal </w:t>
      </w:r>
      <w:r w:rsidR="00C0388A" w:rsidRPr="00AB7138">
        <w:rPr>
          <w:b/>
          <w:lang w:eastAsia="en-GB"/>
        </w:rPr>
        <w:t>acce</w:t>
      </w:r>
      <w:r w:rsidR="00654857" w:rsidRPr="00AB7138">
        <w:rPr>
          <w:b/>
          <w:lang w:eastAsia="en-GB"/>
        </w:rPr>
        <w:t>ss to basic health</w:t>
      </w:r>
      <w:r w:rsidR="00811836">
        <w:rPr>
          <w:b/>
          <w:lang w:eastAsia="en-GB"/>
        </w:rPr>
        <w:t>-</w:t>
      </w:r>
      <w:r w:rsidR="00634E15" w:rsidRPr="00AB7138">
        <w:rPr>
          <w:b/>
          <w:lang w:eastAsia="en-GB"/>
        </w:rPr>
        <w:t>care services,</w:t>
      </w:r>
      <w:r w:rsidR="00654857" w:rsidRPr="00AB7138">
        <w:rPr>
          <w:b/>
          <w:lang w:eastAsia="en-GB"/>
        </w:rPr>
        <w:t xml:space="preserve"> </w:t>
      </w:r>
      <w:r w:rsidR="00634E15" w:rsidRPr="00AB7138">
        <w:rPr>
          <w:b/>
          <w:lang w:eastAsia="en-GB"/>
        </w:rPr>
        <w:t xml:space="preserve">including </w:t>
      </w:r>
      <w:r w:rsidR="00811836">
        <w:rPr>
          <w:b/>
          <w:lang w:eastAsia="en-GB"/>
        </w:rPr>
        <w:t>by</w:t>
      </w:r>
      <w:r w:rsidR="00811836" w:rsidRPr="00AB7138">
        <w:rPr>
          <w:b/>
          <w:lang w:eastAsia="en-GB"/>
        </w:rPr>
        <w:t xml:space="preserve"> </w:t>
      </w:r>
      <w:r w:rsidR="007538CA" w:rsidRPr="00AB7138">
        <w:rPr>
          <w:b/>
          <w:lang w:eastAsia="en-GB"/>
        </w:rPr>
        <w:t xml:space="preserve">effectively implementing the 2010 National Health </w:t>
      </w:r>
      <w:r w:rsidR="005E3815" w:rsidRPr="002824FE">
        <w:rPr>
          <w:b/>
          <w:lang w:eastAsia="en-GB"/>
        </w:rPr>
        <w:t>P</w:t>
      </w:r>
      <w:r w:rsidR="007538CA" w:rsidRPr="002824FE">
        <w:rPr>
          <w:b/>
          <w:lang w:eastAsia="en-GB"/>
        </w:rPr>
        <w:t xml:space="preserve">olicy, </w:t>
      </w:r>
      <w:r w:rsidR="00634E15" w:rsidRPr="002824FE">
        <w:rPr>
          <w:b/>
          <w:lang w:eastAsia="en-GB"/>
        </w:rPr>
        <w:t xml:space="preserve">allocating increased resources to the health sector </w:t>
      </w:r>
      <w:r w:rsidR="00654857" w:rsidRPr="00AB7138">
        <w:rPr>
          <w:b/>
          <w:lang w:eastAsia="en-GB"/>
        </w:rPr>
        <w:t>while paying particular attention to improvi</w:t>
      </w:r>
      <w:r w:rsidR="00634E15" w:rsidRPr="00AB7138">
        <w:rPr>
          <w:b/>
          <w:lang w:eastAsia="en-GB"/>
        </w:rPr>
        <w:t>ng infrastructure and increasing</w:t>
      </w:r>
      <w:r w:rsidR="00654857" w:rsidRPr="00AB7138">
        <w:rPr>
          <w:b/>
          <w:lang w:eastAsia="en-GB"/>
        </w:rPr>
        <w:t xml:space="preserve"> health</w:t>
      </w:r>
      <w:r w:rsidR="00811836">
        <w:rPr>
          <w:b/>
          <w:lang w:eastAsia="en-GB"/>
        </w:rPr>
        <w:t>-</w:t>
      </w:r>
      <w:r w:rsidR="00654857" w:rsidRPr="00AB7138">
        <w:rPr>
          <w:b/>
          <w:lang w:eastAsia="en-GB"/>
        </w:rPr>
        <w:t xml:space="preserve">care </w:t>
      </w:r>
      <w:r w:rsidR="00634E15" w:rsidRPr="00AB7138">
        <w:rPr>
          <w:b/>
          <w:lang w:eastAsia="en-GB"/>
        </w:rPr>
        <w:t xml:space="preserve">facilities supported by qualified medical </w:t>
      </w:r>
      <w:r w:rsidR="00654857" w:rsidRPr="00AB7138">
        <w:rPr>
          <w:b/>
          <w:lang w:eastAsia="en-GB"/>
        </w:rPr>
        <w:t>personnel in rural areas</w:t>
      </w:r>
      <w:r w:rsidR="00C0388A" w:rsidRPr="00AB7138">
        <w:rPr>
          <w:b/>
          <w:lang w:eastAsia="en-GB"/>
        </w:rPr>
        <w:t>.</w:t>
      </w:r>
      <w:r w:rsidR="00DD0DCE" w:rsidRPr="00AB7138">
        <w:rPr>
          <w:b/>
          <w:lang w:eastAsia="en-GB"/>
        </w:rPr>
        <w:t xml:space="preserve"> In this regard</w:t>
      </w:r>
      <w:r w:rsidR="00B21CAD" w:rsidRPr="00AB7138">
        <w:rPr>
          <w:b/>
          <w:lang w:eastAsia="en-GB"/>
        </w:rPr>
        <w:t>,</w:t>
      </w:r>
      <w:r w:rsidR="00DD0DCE" w:rsidRPr="00AB7138">
        <w:rPr>
          <w:b/>
          <w:lang w:eastAsia="en-GB"/>
        </w:rPr>
        <w:t xml:space="preserve"> the Committee refers to its </w:t>
      </w:r>
      <w:r w:rsidR="00B21CAD" w:rsidRPr="00AB7138">
        <w:rPr>
          <w:b/>
          <w:lang w:eastAsia="en-GB"/>
        </w:rPr>
        <w:t xml:space="preserve">general comment </w:t>
      </w:r>
      <w:r w:rsidR="00811836">
        <w:rPr>
          <w:b/>
          <w:lang w:eastAsia="en-GB"/>
        </w:rPr>
        <w:t>N</w:t>
      </w:r>
      <w:r w:rsidR="00B21CAD" w:rsidRPr="00AB7138">
        <w:rPr>
          <w:b/>
          <w:lang w:eastAsia="en-GB"/>
        </w:rPr>
        <w:t>o. </w:t>
      </w:r>
      <w:r w:rsidR="00DD0DCE" w:rsidRPr="00AB7138">
        <w:rPr>
          <w:b/>
          <w:lang w:eastAsia="en-GB"/>
        </w:rPr>
        <w:t>14 (2000) on the right to the highest attainable standard of health.</w:t>
      </w:r>
    </w:p>
    <w:p w14:paraId="52ABF871" w14:textId="77777777" w:rsidR="00AB2E60" w:rsidRPr="00AB7138" w:rsidRDefault="00286478" w:rsidP="00FC6FBC">
      <w:pPr>
        <w:pStyle w:val="H23G"/>
        <w:ind w:firstLine="0"/>
        <w:rPr>
          <w:lang w:eastAsia="en-GB"/>
        </w:rPr>
      </w:pPr>
      <w:r w:rsidRPr="00AB7138">
        <w:rPr>
          <w:lang w:eastAsia="en-GB"/>
        </w:rPr>
        <w:t>Right to sexual and reproductive health</w:t>
      </w:r>
    </w:p>
    <w:p w14:paraId="2A66DF2B" w14:textId="2739DF2B" w:rsidR="005107DB" w:rsidRPr="00AB7138" w:rsidRDefault="00556A05" w:rsidP="00B15056">
      <w:pPr>
        <w:pStyle w:val="SingleTxtG"/>
        <w:tabs>
          <w:tab w:val="left" w:pos="1701"/>
        </w:tabs>
        <w:rPr>
          <w:lang w:eastAsia="en-GB"/>
        </w:rPr>
      </w:pPr>
      <w:r w:rsidRPr="00AB7138">
        <w:rPr>
          <w:lang w:eastAsia="en-GB"/>
        </w:rPr>
        <w:t>51.</w:t>
      </w:r>
      <w:r w:rsidRPr="00AB7138">
        <w:rPr>
          <w:lang w:eastAsia="en-GB"/>
        </w:rPr>
        <w:tab/>
      </w:r>
      <w:r w:rsidR="005107DB" w:rsidRPr="00AB7138">
        <w:rPr>
          <w:lang w:eastAsia="en-GB"/>
        </w:rPr>
        <w:t xml:space="preserve">The Committee, while aware of progress made, is concerned about the </w:t>
      </w:r>
      <w:r w:rsidR="00811836">
        <w:rPr>
          <w:lang w:eastAsia="en-GB"/>
        </w:rPr>
        <w:t>persistently</w:t>
      </w:r>
      <w:r w:rsidR="00811836" w:rsidRPr="00AB7138">
        <w:rPr>
          <w:lang w:eastAsia="en-GB"/>
        </w:rPr>
        <w:t xml:space="preserve"> </w:t>
      </w:r>
      <w:r w:rsidR="005107DB" w:rsidRPr="00AB7138">
        <w:rPr>
          <w:lang w:eastAsia="en-GB"/>
        </w:rPr>
        <w:t xml:space="preserve">high rates of </w:t>
      </w:r>
      <w:proofErr w:type="gramStart"/>
      <w:r w:rsidR="005107DB" w:rsidRPr="00AB7138">
        <w:rPr>
          <w:lang w:eastAsia="en-GB"/>
        </w:rPr>
        <w:t>maternal and under-five mortality</w:t>
      </w:r>
      <w:proofErr w:type="gramEnd"/>
      <w:r w:rsidR="007538CA" w:rsidRPr="00AB7138">
        <w:rPr>
          <w:lang w:eastAsia="en-GB"/>
        </w:rPr>
        <w:t xml:space="preserve"> and the </w:t>
      </w:r>
      <w:r w:rsidR="00DD0DCE" w:rsidRPr="00AB7138">
        <w:rPr>
          <w:lang w:eastAsia="en-GB"/>
        </w:rPr>
        <w:t>inconsistent</w:t>
      </w:r>
      <w:r w:rsidR="00286478" w:rsidRPr="00AB7138">
        <w:rPr>
          <w:lang w:eastAsia="en-GB"/>
        </w:rPr>
        <w:t xml:space="preserve"> data provided </w:t>
      </w:r>
      <w:r w:rsidR="0082362F" w:rsidRPr="00C24B8E">
        <w:rPr>
          <w:lang w:eastAsia="en-GB"/>
        </w:rPr>
        <w:t>by the State party</w:t>
      </w:r>
      <w:r w:rsidR="0082362F" w:rsidRPr="00AB7138">
        <w:rPr>
          <w:lang w:eastAsia="en-GB"/>
        </w:rPr>
        <w:t xml:space="preserve"> </w:t>
      </w:r>
      <w:r w:rsidR="00286478" w:rsidRPr="00AB7138">
        <w:rPr>
          <w:lang w:eastAsia="en-GB"/>
        </w:rPr>
        <w:t>on their prevalence</w:t>
      </w:r>
      <w:r w:rsidR="005107DB" w:rsidRPr="00AB7138">
        <w:rPr>
          <w:lang w:eastAsia="en-GB"/>
        </w:rPr>
        <w:t xml:space="preserve">. </w:t>
      </w:r>
      <w:r w:rsidR="0056626A" w:rsidRPr="00AB7138">
        <w:rPr>
          <w:lang w:eastAsia="en-GB"/>
        </w:rPr>
        <w:t xml:space="preserve">The Committee is also concerned that teenage pregnancy remains prevalent, especially in rural </w:t>
      </w:r>
      <w:r w:rsidR="0056626A" w:rsidRPr="002824FE">
        <w:rPr>
          <w:lang w:eastAsia="en-GB"/>
        </w:rPr>
        <w:t>area</w:t>
      </w:r>
      <w:r w:rsidR="005E13C0" w:rsidRPr="002824FE">
        <w:rPr>
          <w:lang w:eastAsia="en-GB"/>
        </w:rPr>
        <w:t>s</w:t>
      </w:r>
      <w:r w:rsidR="0056626A" w:rsidRPr="002824FE">
        <w:rPr>
          <w:lang w:eastAsia="en-GB"/>
        </w:rPr>
        <w:t xml:space="preserve">, </w:t>
      </w:r>
      <w:r w:rsidR="00811836">
        <w:rPr>
          <w:lang w:eastAsia="en-GB"/>
        </w:rPr>
        <w:t xml:space="preserve">owing </w:t>
      </w:r>
      <w:r w:rsidR="0056626A" w:rsidRPr="002824FE">
        <w:rPr>
          <w:lang w:eastAsia="en-GB"/>
        </w:rPr>
        <w:t>among other</w:t>
      </w:r>
      <w:r w:rsidR="00811836">
        <w:rPr>
          <w:lang w:eastAsia="en-GB"/>
        </w:rPr>
        <w:t xml:space="preserve"> reasons</w:t>
      </w:r>
      <w:r w:rsidR="0056626A" w:rsidRPr="002824FE">
        <w:rPr>
          <w:lang w:eastAsia="en-GB"/>
        </w:rPr>
        <w:t xml:space="preserve"> to limited access to sexual and reproductive health services</w:t>
      </w:r>
      <w:r w:rsidR="007538CA" w:rsidRPr="00AB7138">
        <w:rPr>
          <w:lang w:eastAsia="en-GB"/>
        </w:rPr>
        <w:t xml:space="preserve"> </w:t>
      </w:r>
      <w:r w:rsidR="00CC2E45" w:rsidRPr="00AB7138">
        <w:rPr>
          <w:lang w:eastAsia="en-GB"/>
        </w:rPr>
        <w:t xml:space="preserve">and information </w:t>
      </w:r>
      <w:r w:rsidR="007538CA" w:rsidRPr="00AB7138">
        <w:rPr>
          <w:lang w:eastAsia="en-GB"/>
        </w:rPr>
        <w:t>(art.</w:t>
      </w:r>
      <w:r w:rsidR="00D144F2">
        <w:rPr>
          <w:lang w:eastAsia="en-GB"/>
        </w:rPr>
        <w:t> </w:t>
      </w:r>
      <w:r w:rsidR="007538CA" w:rsidRPr="00AB7138">
        <w:rPr>
          <w:lang w:eastAsia="en-GB"/>
        </w:rPr>
        <w:t>12)</w:t>
      </w:r>
      <w:r w:rsidR="0056626A" w:rsidRPr="00AB7138">
        <w:rPr>
          <w:lang w:eastAsia="en-GB"/>
        </w:rPr>
        <w:t>.</w:t>
      </w:r>
    </w:p>
    <w:p w14:paraId="478C3F79" w14:textId="74BC528D" w:rsidR="00CF6C0A" w:rsidRPr="002824FE" w:rsidRDefault="00556A05" w:rsidP="00B15056">
      <w:pPr>
        <w:pStyle w:val="SingleTxtG"/>
        <w:tabs>
          <w:tab w:val="left" w:pos="1701"/>
        </w:tabs>
        <w:rPr>
          <w:b/>
          <w:lang w:eastAsia="en-GB"/>
        </w:rPr>
      </w:pPr>
      <w:r w:rsidRPr="002824FE">
        <w:rPr>
          <w:lang w:eastAsia="en-GB"/>
        </w:rPr>
        <w:t>52.</w:t>
      </w:r>
      <w:r w:rsidRPr="002824FE">
        <w:rPr>
          <w:lang w:eastAsia="en-GB"/>
        </w:rPr>
        <w:tab/>
      </w:r>
      <w:r w:rsidR="0056626A" w:rsidRPr="00AB7138">
        <w:rPr>
          <w:b/>
          <w:lang w:eastAsia="en-GB"/>
        </w:rPr>
        <w:t xml:space="preserve">The Committee recommends that the State party step up its efforts to address </w:t>
      </w:r>
      <w:r w:rsidR="0056626A" w:rsidRPr="002824FE">
        <w:rPr>
          <w:b/>
          <w:lang w:eastAsia="en-GB"/>
        </w:rPr>
        <w:t>ma</w:t>
      </w:r>
      <w:r w:rsidR="00634E15" w:rsidRPr="002824FE">
        <w:rPr>
          <w:b/>
          <w:lang w:eastAsia="en-GB"/>
        </w:rPr>
        <w:t>ternal and under-five mortality</w:t>
      </w:r>
      <w:r w:rsidR="00811836">
        <w:rPr>
          <w:b/>
          <w:lang w:eastAsia="en-GB"/>
        </w:rPr>
        <w:t>,</w:t>
      </w:r>
      <w:r w:rsidR="00CF6C0A" w:rsidRPr="002824FE">
        <w:rPr>
          <w:b/>
          <w:lang w:eastAsia="en-GB"/>
        </w:rPr>
        <w:t xml:space="preserve"> as well as teenage pregnancy</w:t>
      </w:r>
      <w:r w:rsidR="00811836">
        <w:rPr>
          <w:b/>
          <w:lang w:eastAsia="en-GB"/>
        </w:rPr>
        <w:t>,</w:t>
      </w:r>
      <w:r w:rsidR="00CF6C0A" w:rsidRPr="00AB7138">
        <w:rPr>
          <w:b/>
          <w:lang w:eastAsia="en-GB"/>
        </w:rPr>
        <w:t xml:space="preserve"> </w:t>
      </w:r>
      <w:r w:rsidR="00CC5963" w:rsidRPr="002824FE">
        <w:rPr>
          <w:b/>
          <w:lang w:eastAsia="en-GB"/>
        </w:rPr>
        <w:t>by taking the following measures:</w:t>
      </w:r>
    </w:p>
    <w:p w14:paraId="6A6BF067" w14:textId="7233368E" w:rsidR="00DD0DCE" w:rsidRPr="00B15056" w:rsidRDefault="00D144F2" w:rsidP="00B15056">
      <w:pPr>
        <w:pStyle w:val="SingleTxtG"/>
        <w:ind w:firstLine="567"/>
        <w:rPr>
          <w:b/>
        </w:rPr>
      </w:pPr>
      <w:proofErr w:type="gramStart"/>
      <w:r>
        <w:t>(a)</w:t>
      </w:r>
      <w:r>
        <w:tab/>
      </w:r>
      <w:r w:rsidR="001D1F66" w:rsidRPr="00B15056">
        <w:rPr>
          <w:b/>
        </w:rPr>
        <w:t>E</w:t>
      </w:r>
      <w:r w:rsidR="00634E15" w:rsidRPr="00B15056">
        <w:rPr>
          <w:b/>
        </w:rPr>
        <w:t>ffectively</w:t>
      </w:r>
      <w:proofErr w:type="gramEnd"/>
      <w:r w:rsidR="00634E15" w:rsidRPr="00B15056">
        <w:rPr>
          <w:b/>
        </w:rPr>
        <w:t xml:space="preserve"> </w:t>
      </w:r>
      <w:r w:rsidR="00CF6C0A" w:rsidRPr="00B15056">
        <w:rPr>
          <w:b/>
        </w:rPr>
        <w:t>implement existing programmes</w:t>
      </w:r>
      <w:r w:rsidR="001042FB" w:rsidRPr="00B15056">
        <w:rPr>
          <w:b/>
        </w:rPr>
        <w:t xml:space="preserve"> </w:t>
      </w:r>
      <w:r w:rsidR="0051291C" w:rsidRPr="00B15056">
        <w:rPr>
          <w:b/>
        </w:rPr>
        <w:t>aimed at reducing mortality rates</w:t>
      </w:r>
      <w:r w:rsidR="00DD0DCE" w:rsidRPr="00B15056">
        <w:rPr>
          <w:b/>
        </w:rPr>
        <w:t xml:space="preserve">. </w:t>
      </w:r>
      <w:proofErr w:type="gramStart"/>
      <w:r w:rsidR="00DD0DCE" w:rsidRPr="00B15056">
        <w:rPr>
          <w:b/>
        </w:rPr>
        <w:t xml:space="preserve">In doing so, </w:t>
      </w:r>
      <w:r w:rsidR="005E13C0" w:rsidRPr="00B15056">
        <w:rPr>
          <w:b/>
        </w:rPr>
        <w:t xml:space="preserve">the State party is encouraged to </w:t>
      </w:r>
      <w:r w:rsidR="00DD0DCE" w:rsidRPr="00B15056">
        <w:rPr>
          <w:b/>
        </w:rPr>
        <w:t>take into consideration technical guidance on the application of a human rights-based approach to the implementation of policies and programmes to reduce preventable maternal morbidity and mortality (</w:t>
      </w:r>
      <w:r w:rsidR="00604C52" w:rsidRPr="00B15056">
        <w:rPr>
          <w:b/>
        </w:rPr>
        <w:t>A</w:t>
      </w:r>
      <w:r w:rsidR="00DD0DCE" w:rsidRPr="00B15056">
        <w:rPr>
          <w:b/>
        </w:rPr>
        <w:t>/HRC/21/22</w:t>
      </w:r>
      <w:r w:rsidR="00811836" w:rsidRPr="00B15056">
        <w:rPr>
          <w:b/>
        </w:rPr>
        <w:t xml:space="preserve"> and Corr.1 and 2</w:t>
      </w:r>
      <w:r w:rsidR="00DD0DCE" w:rsidRPr="00B15056">
        <w:rPr>
          <w:b/>
        </w:rPr>
        <w:t>)</w:t>
      </w:r>
      <w:r w:rsidR="003D2CBF" w:rsidRPr="00B15056">
        <w:rPr>
          <w:b/>
        </w:rPr>
        <w:t xml:space="preserve"> and, i</w:t>
      </w:r>
      <w:r w:rsidR="00DD0DCE" w:rsidRPr="00B15056">
        <w:rPr>
          <w:b/>
        </w:rPr>
        <w:t xml:space="preserve">n particular, </w:t>
      </w:r>
      <w:r w:rsidR="003D2CBF" w:rsidRPr="00B15056">
        <w:rPr>
          <w:b/>
        </w:rPr>
        <w:t xml:space="preserve">to </w:t>
      </w:r>
      <w:r w:rsidR="00DD0DCE" w:rsidRPr="00B15056">
        <w:rPr>
          <w:b/>
        </w:rPr>
        <w:t xml:space="preserve">ensure that births are assisted by a skilled attendant and that </w:t>
      </w:r>
      <w:r w:rsidR="005E13C0" w:rsidRPr="00B15056">
        <w:rPr>
          <w:b/>
        </w:rPr>
        <w:t xml:space="preserve">all </w:t>
      </w:r>
      <w:r w:rsidR="00DD0DCE" w:rsidRPr="00B15056">
        <w:rPr>
          <w:b/>
        </w:rPr>
        <w:t>women have access to basic obstetric and neonatal care;</w:t>
      </w:r>
      <w:proofErr w:type="gramEnd"/>
    </w:p>
    <w:p w14:paraId="49F28B64" w14:textId="1CF41770" w:rsidR="002824FE" w:rsidRPr="00B15056" w:rsidRDefault="00D144F2" w:rsidP="00B15056">
      <w:pPr>
        <w:pStyle w:val="SingleTxtG"/>
        <w:ind w:firstLine="567"/>
        <w:rPr>
          <w:b/>
        </w:rPr>
      </w:pPr>
      <w:r>
        <w:t>(b)</w:t>
      </w:r>
      <w:r>
        <w:tab/>
      </w:r>
      <w:r w:rsidR="001042FB" w:rsidRPr="00B15056">
        <w:rPr>
          <w:b/>
        </w:rPr>
        <w:t>E</w:t>
      </w:r>
      <w:r w:rsidR="00EF4F68" w:rsidRPr="00B15056">
        <w:rPr>
          <w:b/>
        </w:rPr>
        <w:t xml:space="preserve">nsure </w:t>
      </w:r>
      <w:r w:rsidR="008B016B" w:rsidRPr="00B15056">
        <w:rPr>
          <w:b/>
        </w:rPr>
        <w:t xml:space="preserve">the </w:t>
      </w:r>
      <w:r w:rsidR="00EF4F68" w:rsidRPr="00B15056">
        <w:rPr>
          <w:b/>
        </w:rPr>
        <w:t>accessibility and availability of sexual and reprodu</w:t>
      </w:r>
      <w:r w:rsidR="0051291C" w:rsidRPr="00B15056">
        <w:rPr>
          <w:b/>
        </w:rPr>
        <w:t>ctive health services,</w:t>
      </w:r>
      <w:r w:rsidR="00EF4F68" w:rsidRPr="00B15056">
        <w:rPr>
          <w:b/>
        </w:rPr>
        <w:t xml:space="preserve"> </w:t>
      </w:r>
      <w:r w:rsidR="00EC4FBC" w:rsidRPr="00B15056">
        <w:rPr>
          <w:b/>
        </w:rPr>
        <w:t xml:space="preserve">including </w:t>
      </w:r>
      <w:r w:rsidR="000147D1" w:rsidRPr="00D144F2">
        <w:rPr>
          <w:b/>
        </w:rPr>
        <w:t xml:space="preserve">access to affordable, safe and effective contraceptives </w:t>
      </w:r>
      <w:r w:rsidR="00EF4F68" w:rsidRPr="00B15056">
        <w:rPr>
          <w:b/>
        </w:rPr>
        <w:t>and emergency contraceptiv</w:t>
      </w:r>
      <w:r w:rsidR="00CF6C0A" w:rsidRPr="00B15056">
        <w:rPr>
          <w:b/>
        </w:rPr>
        <w:t xml:space="preserve">es, </w:t>
      </w:r>
      <w:r w:rsidR="0051291C" w:rsidRPr="00B15056">
        <w:rPr>
          <w:b/>
        </w:rPr>
        <w:t xml:space="preserve">including for adolescents and </w:t>
      </w:r>
      <w:r w:rsidR="00CF6C0A" w:rsidRPr="00B15056">
        <w:rPr>
          <w:b/>
        </w:rPr>
        <w:t>particularly in rural areas;</w:t>
      </w:r>
    </w:p>
    <w:p w14:paraId="78DA4B59" w14:textId="2C5C1853" w:rsidR="002824FE" w:rsidRPr="00B15056" w:rsidRDefault="00D144F2" w:rsidP="00B15056">
      <w:pPr>
        <w:pStyle w:val="SingleTxtG"/>
        <w:ind w:firstLine="567"/>
        <w:rPr>
          <w:b/>
        </w:rPr>
      </w:pPr>
      <w:r>
        <w:t>(c)</w:t>
      </w:r>
      <w:r>
        <w:tab/>
      </w:r>
      <w:r w:rsidR="002824FE" w:rsidRPr="00B15056">
        <w:rPr>
          <w:b/>
        </w:rPr>
        <w:t>Provide comprehensive, human</w:t>
      </w:r>
      <w:r w:rsidR="003D2CBF" w:rsidRPr="00B15056">
        <w:rPr>
          <w:b/>
        </w:rPr>
        <w:t xml:space="preserve"> </w:t>
      </w:r>
      <w:r w:rsidR="002824FE" w:rsidRPr="00B15056">
        <w:rPr>
          <w:b/>
        </w:rPr>
        <w:t>rights</w:t>
      </w:r>
      <w:r w:rsidR="003D2CBF" w:rsidRPr="00B15056">
        <w:rPr>
          <w:b/>
        </w:rPr>
        <w:t>-</w:t>
      </w:r>
      <w:r w:rsidR="002824FE" w:rsidRPr="00B15056">
        <w:rPr>
          <w:b/>
        </w:rPr>
        <w:t>based and age</w:t>
      </w:r>
      <w:r w:rsidR="003D2CBF" w:rsidRPr="00B15056">
        <w:rPr>
          <w:b/>
        </w:rPr>
        <w:t>-</w:t>
      </w:r>
      <w:r w:rsidR="002824FE" w:rsidRPr="00B15056">
        <w:rPr>
          <w:b/>
        </w:rPr>
        <w:t>appropriate education and information on sexual and reproductive health to all, includ</w:t>
      </w:r>
      <w:r w:rsidR="00550699" w:rsidRPr="00B15056">
        <w:rPr>
          <w:b/>
        </w:rPr>
        <w:t>ing men and adolescent boys</w:t>
      </w:r>
      <w:proofErr w:type="gramStart"/>
      <w:r w:rsidR="00550699" w:rsidRPr="00B15056">
        <w:rPr>
          <w:b/>
        </w:rPr>
        <w:t>;</w:t>
      </w:r>
      <w:proofErr w:type="gramEnd"/>
    </w:p>
    <w:p w14:paraId="6989953B" w14:textId="641E000B" w:rsidR="00CF6C0A" w:rsidRPr="00B15056" w:rsidRDefault="00D144F2" w:rsidP="00B15056">
      <w:pPr>
        <w:pStyle w:val="SingleTxtG"/>
        <w:ind w:firstLine="567"/>
        <w:rPr>
          <w:b/>
        </w:rPr>
      </w:pPr>
      <w:r>
        <w:t>(d)</w:t>
      </w:r>
      <w:r>
        <w:tab/>
      </w:r>
      <w:r w:rsidR="00CF6C0A" w:rsidRPr="00B15056">
        <w:rPr>
          <w:b/>
        </w:rPr>
        <w:t>E</w:t>
      </w:r>
      <w:r w:rsidR="00286478" w:rsidRPr="00B15056">
        <w:rPr>
          <w:b/>
        </w:rPr>
        <w:t xml:space="preserve">xpedite the adoption of the integrated teenage and </w:t>
      </w:r>
      <w:proofErr w:type="gramStart"/>
      <w:r w:rsidR="00286478" w:rsidRPr="00B15056">
        <w:rPr>
          <w:b/>
        </w:rPr>
        <w:t>youth health action strategy</w:t>
      </w:r>
      <w:proofErr w:type="gramEnd"/>
      <w:r w:rsidR="00CF6C0A" w:rsidRPr="00B15056">
        <w:rPr>
          <w:b/>
        </w:rPr>
        <w:t>;</w:t>
      </w:r>
    </w:p>
    <w:p w14:paraId="5E2EFB08" w14:textId="31C0DFCC" w:rsidR="007422A8" w:rsidRPr="00B15056" w:rsidRDefault="00D144F2" w:rsidP="00B15056">
      <w:pPr>
        <w:pStyle w:val="SingleTxtG"/>
        <w:ind w:firstLine="567"/>
        <w:rPr>
          <w:b/>
        </w:rPr>
      </w:pPr>
      <w:r>
        <w:t>(e)</w:t>
      </w:r>
      <w:r>
        <w:tab/>
      </w:r>
      <w:r w:rsidR="00DD0DCE" w:rsidRPr="00B15056">
        <w:rPr>
          <w:b/>
        </w:rPr>
        <w:t>Take into consideration</w:t>
      </w:r>
      <w:r w:rsidR="00CF6C0A" w:rsidRPr="00B15056">
        <w:rPr>
          <w:b/>
        </w:rPr>
        <w:t xml:space="preserve"> the</w:t>
      </w:r>
      <w:r w:rsidR="00286478" w:rsidRPr="00B15056">
        <w:rPr>
          <w:b/>
        </w:rPr>
        <w:t xml:space="preserve"> Committ</w:t>
      </w:r>
      <w:r w:rsidR="00CF6C0A" w:rsidRPr="00B15056">
        <w:rPr>
          <w:b/>
        </w:rPr>
        <w:t xml:space="preserve">ee’s </w:t>
      </w:r>
      <w:r w:rsidR="00286478" w:rsidRPr="00B15056">
        <w:rPr>
          <w:b/>
        </w:rPr>
        <w:t xml:space="preserve">general comment </w:t>
      </w:r>
      <w:r w:rsidR="003D2CBF" w:rsidRPr="00B15056">
        <w:rPr>
          <w:b/>
        </w:rPr>
        <w:t>N</w:t>
      </w:r>
      <w:r w:rsidR="00286478" w:rsidRPr="00B15056">
        <w:rPr>
          <w:b/>
        </w:rPr>
        <w:t>o.</w:t>
      </w:r>
      <w:r>
        <w:rPr>
          <w:b/>
        </w:rPr>
        <w:t> </w:t>
      </w:r>
      <w:r w:rsidR="00286478" w:rsidRPr="00B15056">
        <w:rPr>
          <w:b/>
        </w:rPr>
        <w:t>22 (2016) on the right to sexual and reproductive health</w:t>
      </w:r>
      <w:r w:rsidR="00EE38F5" w:rsidRPr="00B15056">
        <w:rPr>
          <w:b/>
        </w:rPr>
        <w:t>.</w:t>
      </w:r>
    </w:p>
    <w:p w14:paraId="4B6152BF" w14:textId="05632D57" w:rsidR="00AB2E60" w:rsidRPr="00AB7138" w:rsidRDefault="0014419C" w:rsidP="00FC6FBC">
      <w:pPr>
        <w:pStyle w:val="H23G"/>
        <w:ind w:firstLine="0"/>
        <w:rPr>
          <w:lang w:eastAsia="en-GB"/>
        </w:rPr>
      </w:pPr>
      <w:r>
        <w:rPr>
          <w:lang w:eastAsia="en-GB"/>
        </w:rPr>
        <w:t>Right to education</w:t>
      </w:r>
    </w:p>
    <w:p w14:paraId="6FB0585A" w14:textId="3DA6E318" w:rsidR="006104E7" w:rsidRPr="00AB7138" w:rsidRDefault="00556A05" w:rsidP="00B15056">
      <w:pPr>
        <w:pStyle w:val="SingleTxtG"/>
        <w:tabs>
          <w:tab w:val="left" w:pos="1701"/>
        </w:tabs>
        <w:rPr>
          <w:bCs/>
          <w:lang w:eastAsia="en-GB"/>
        </w:rPr>
      </w:pPr>
      <w:r w:rsidRPr="00AB7138">
        <w:rPr>
          <w:bCs/>
          <w:lang w:eastAsia="en-GB"/>
        </w:rPr>
        <w:t>53.</w:t>
      </w:r>
      <w:r w:rsidRPr="00AB7138">
        <w:rPr>
          <w:bCs/>
          <w:lang w:eastAsia="en-GB"/>
        </w:rPr>
        <w:tab/>
      </w:r>
      <w:r w:rsidR="004F57F0" w:rsidRPr="00AB7138">
        <w:rPr>
          <w:bCs/>
          <w:lang w:eastAsia="en-GB"/>
        </w:rPr>
        <w:t>The Committee is concerned about the low enrolment rates at all school levels. It is also concerned at the high dropout rates</w:t>
      </w:r>
      <w:r w:rsidR="003D2CBF">
        <w:rPr>
          <w:bCs/>
          <w:lang w:eastAsia="en-GB"/>
        </w:rPr>
        <w:t>,</w:t>
      </w:r>
      <w:r w:rsidR="004F57F0" w:rsidRPr="00AB7138">
        <w:rPr>
          <w:bCs/>
          <w:lang w:eastAsia="en-GB"/>
        </w:rPr>
        <w:t xml:space="preserve"> even at the primary</w:t>
      </w:r>
      <w:r w:rsidR="006104E7" w:rsidRPr="00AB7138">
        <w:rPr>
          <w:bCs/>
          <w:lang w:eastAsia="en-GB"/>
        </w:rPr>
        <w:t xml:space="preserve"> school level</w:t>
      </w:r>
      <w:r w:rsidR="003D2CBF">
        <w:rPr>
          <w:bCs/>
          <w:lang w:eastAsia="en-GB"/>
        </w:rPr>
        <w:t xml:space="preserve"> and</w:t>
      </w:r>
      <w:r w:rsidR="006104E7" w:rsidRPr="00AB7138">
        <w:rPr>
          <w:bCs/>
          <w:lang w:eastAsia="en-GB"/>
        </w:rPr>
        <w:t xml:space="preserve"> </w:t>
      </w:r>
      <w:r w:rsidR="00CC5963" w:rsidRPr="002824FE">
        <w:rPr>
          <w:bCs/>
          <w:lang w:eastAsia="en-GB"/>
        </w:rPr>
        <w:t xml:space="preserve">particularly </w:t>
      </w:r>
      <w:r w:rsidR="004F57F0" w:rsidRPr="002824FE">
        <w:rPr>
          <w:bCs/>
          <w:lang w:eastAsia="en-GB"/>
        </w:rPr>
        <w:t>among girls, leading to low attendance at secondary</w:t>
      </w:r>
      <w:r w:rsidR="003D2CBF">
        <w:rPr>
          <w:bCs/>
          <w:lang w:eastAsia="en-GB"/>
        </w:rPr>
        <w:t>-</w:t>
      </w:r>
      <w:r w:rsidR="004F57F0" w:rsidRPr="002824FE">
        <w:rPr>
          <w:bCs/>
          <w:lang w:eastAsia="en-GB"/>
        </w:rPr>
        <w:t>level school</w:t>
      </w:r>
      <w:r w:rsidR="005E13C0" w:rsidRPr="002824FE">
        <w:rPr>
          <w:bCs/>
          <w:lang w:eastAsia="en-GB"/>
        </w:rPr>
        <w:t>s</w:t>
      </w:r>
      <w:r w:rsidR="004F57F0" w:rsidRPr="002824FE">
        <w:rPr>
          <w:bCs/>
          <w:lang w:eastAsia="en-GB"/>
        </w:rPr>
        <w:t xml:space="preserve">. The Committee is </w:t>
      </w:r>
      <w:r w:rsidR="003D2CBF">
        <w:rPr>
          <w:bCs/>
          <w:lang w:eastAsia="en-GB"/>
        </w:rPr>
        <w:t>also</w:t>
      </w:r>
      <w:r w:rsidR="003D2CBF" w:rsidRPr="002824FE">
        <w:rPr>
          <w:bCs/>
          <w:lang w:eastAsia="en-GB"/>
        </w:rPr>
        <w:t xml:space="preserve"> </w:t>
      </w:r>
      <w:r w:rsidR="004F57F0" w:rsidRPr="002824FE">
        <w:rPr>
          <w:bCs/>
          <w:lang w:eastAsia="en-GB"/>
        </w:rPr>
        <w:t xml:space="preserve">concerned about </w:t>
      </w:r>
      <w:r w:rsidR="00DD0DCE" w:rsidRPr="002824FE">
        <w:rPr>
          <w:bCs/>
          <w:lang w:eastAsia="en-GB"/>
        </w:rPr>
        <w:t>the limited</w:t>
      </w:r>
      <w:r w:rsidR="004F57F0" w:rsidRPr="002824FE">
        <w:rPr>
          <w:bCs/>
          <w:lang w:eastAsia="en-GB"/>
        </w:rPr>
        <w:t xml:space="preserve"> acce</w:t>
      </w:r>
      <w:r w:rsidR="00DD0DCE" w:rsidRPr="002824FE">
        <w:rPr>
          <w:bCs/>
          <w:lang w:eastAsia="en-GB"/>
        </w:rPr>
        <w:t>ss to quality education in rural</w:t>
      </w:r>
      <w:r w:rsidR="004F57F0" w:rsidRPr="00AB7138">
        <w:rPr>
          <w:bCs/>
          <w:lang w:eastAsia="en-GB"/>
        </w:rPr>
        <w:t xml:space="preserve"> areas</w:t>
      </w:r>
      <w:r w:rsidR="007538CA" w:rsidRPr="00AB7138">
        <w:rPr>
          <w:bCs/>
          <w:lang w:eastAsia="en-GB"/>
        </w:rPr>
        <w:t xml:space="preserve"> (arts</w:t>
      </w:r>
      <w:r w:rsidR="003D2CBF">
        <w:rPr>
          <w:bCs/>
          <w:lang w:eastAsia="en-GB"/>
        </w:rPr>
        <w:t>.</w:t>
      </w:r>
      <w:r w:rsidR="00D144F2">
        <w:rPr>
          <w:bCs/>
          <w:lang w:eastAsia="en-GB"/>
        </w:rPr>
        <w:t> </w:t>
      </w:r>
      <w:r w:rsidR="007538CA" w:rsidRPr="00AB7138">
        <w:rPr>
          <w:bCs/>
          <w:lang w:eastAsia="en-GB"/>
        </w:rPr>
        <w:t>13 and</w:t>
      </w:r>
      <w:r w:rsidR="00D144F2">
        <w:rPr>
          <w:bCs/>
          <w:lang w:eastAsia="en-GB"/>
        </w:rPr>
        <w:t> </w:t>
      </w:r>
      <w:r w:rsidR="007538CA" w:rsidRPr="00AB7138">
        <w:rPr>
          <w:bCs/>
          <w:lang w:eastAsia="en-GB"/>
        </w:rPr>
        <w:t>14)</w:t>
      </w:r>
      <w:r w:rsidR="004F57F0" w:rsidRPr="00AB7138">
        <w:rPr>
          <w:bCs/>
          <w:lang w:eastAsia="en-GB"/>
        </w:rPr>
        <w:t>.</w:t>
      </w:r>
    </w:p>
    <w:p w14:paraId="5B3A7545" w14:textId="1690D572" w:rsidR="009123CC" w:rsidRPr="00AB7138" w:rsidRDefault="00556A05" w:rsidP="00B15056">
      <w:pPr>
        <w:pStyle w:val="SingleTxtG"/>
        <w:tabs>
          <w:tab w:val="left" w:pos="1701"/>
        </w:tabs>
        <w:rPr>
          <w:b/>
          <w:bCs/>
          <w:lang w:eastAsia="en-GB"/>
        </w:rPr>
      </w:pPr>
      <w:r w:rsidRPr="00AB7138">
        <w:rPr>
          <w:bCs/>
          <w:lang w:eastAsia="en-GB"/>
        </w:rPr>
        <w:t>54.</w:t>
      </w:r>
      <w:r w:rsidRPr="00AB7138">
        <w:rPr>
          <w:bCs/>
          <w:lang w:eastAsia="en-GB"/>
        </w:rPr>
        <w:tab/>
      </w:r>
      <w:r w:rsidR="009123CC" w:rsidRPr="00AB7138">
        <w:rPr>
          <w:b/>
          <w:bCs/>
          <w:lang w:eastAsia="en-GB"/>
        </w:rPr>
        <w:t xml:space="preserve">The Committee recommends </w:t>
      </w:r>
      <w:r w:rsidR="00DD0DCE" w:rsidRPr="00AB7138">
        <w:rPr>
          <w:b/>
          <w:bCs/>
          <w:lang w:eastAsia="en-GB"/>
        </w:rPr>
        <w:t>that the State party</w:t>
      </w:r>
      <w:r w:rsidR="009123CC" w:rsidRPr="00AB7138">
        <w:rPr>
          <w:b/>
          <w:bCs/>
          <w:lang w:eastAsia="en-GB"/>
        </w:rPr>
        <w:t xml:space="preserve"> continue prioriti</w:t>
      </w:r>
      <w:r w:rsidR="003D2CBF">
        <w:rPr>
          <w:b/>
          <w:bCs/>
          <w:lang w:eastAsia="en-GB"/>
        </w:rPr>
        <w:t>z</w:t>
      </w:r>
      <w:r w:rsidR="009123CC" w:rsidRPr="00AB7138">
        <w:rPr>
          <w:b/>
          <w:bCs/>
          <w:lang w:eastAsia="en-GB"/>
        </w:rPr>
        <w:t>ing education and</w:t>
      </w:r>
      <w:r w:rsidR="0051291C" w:rsidRPr="00AB7138">
        <w:rPr>
          <w:b/>
          <w:bCs/>
          <w:lang w:eastAsia="en-GB"/>
        </w:rPr>
        <w:t xml:space="preserve"> intensify its efforts to ensur</w:t>
      </w:r>
      <w:r w:rsidR="003D2CBF">
        <w:rPr>
          <w:b/>
          <w:bCs/>
          <w:lang w:eastAsia="en-GB"/>
        </w:rPr>
        <w:t>e</w:t>
      </w:r>
      <w:r w:rsidR="009123CC" w:rsidRPr="00AB7138">
        <w:rPr>
          <w:b/>
          <w:bCs/>
          <w:lang w:eastAsia="en-GB"/>
        </w:rPr>
        <w:t xml:space="preserve"> universal access to </w:t>
      </w:r>
      <w:r w:rsidR="00CC5963" w:rsidRPr="002824FE">
        <w:rPr>
          <w:b/>
          <w:bCs/>
          <w:lang w:eastAsia="en-GB"/>
        </w:rPr>
        <w:t xml:space="preserve">free </w:t>
      </w:r>
      <w:r w:rsidR="009123CC" w:rsidRPr="002824FE">
        <w:rPr>
          <w:b/>
          <w:bCs/>
          <w:lang w:eastAsia="en-GB"/>
        </w:rPr>
        <w:t>compulsory educatio</w:t>
      </w:r>
      <w:r w:rsidR="009123CC" w:rsidRPr="00AB7138">
        <w:rPr>
          <w:b/>
          <w:bCs/>
          <w:lang w:eastAsia="en-GB"/>
        </w:rPr>
        <w:t xml:space="preserve">n, while paying particular attention to children living in rural areas and girls. </w:t>
      </w:r>
      <w:r w:rsidR="006104E7" w:rsidRPr="00AB7138">
        <w:rPr>
          <w:b/>
          <w:bCs/>
          <w:lang w:eastAsia="en-GB"/>
        </w:rPr>
        <w:t xml:space="preserve">The Committee </w:t>
      </w:r>
      <w:r w:rsidR="009123CC" w:rsidRPr="00AB7138">
        <w:rPr>
          <w:b/>
          <w:bCs/>
          <w:lang w:eastAsia="en-GB"/>
        </w:rPr>
        <w:t xml:space="preserve">also </w:t>
      </w:r>
      <w:r w:rsidR="006104E7" w:rsidRPr="00AB7138">
        <w:rPr>
          <w:b/>
          <w:bCs/>
          <w:lang w:eastAsia="en-GB"/>
        </w:rPr>
        <w:t>recommends that the State party</w:t>
      </w:r>
      <w:r w:rsidR="009123CC" w:rsidRPr="00AB7138">
        <w:rPr>
          <w:b/>
          <w:bCs/>
          <w:lang w:eastAsia="en-GB"/>
        </w:rPr>
        <w:t>:</w:t>
      </w:r>
    </w:p>
    <w:p w14:paraId="6CB1CC94" w14:textId="4662E237" w:rsidR="009123CC" w:rsidRPr="00B15056" w:rsidRDefault="00D144F2" w:rsidP="00B15056">
      <w:pPr>
        <w:pStyle w:val="SingleTxtG"/>
        <w:ind w:firstLine="567"/>
        <w:rPr>
          <w:b/>
        </w:rPr>
      </w:pPr>
      <w:r>
        <w:t>(a)</w:t>
      </w:r>
      <w:r>
        <w:tab/>
      </w:r>
      <w:r w:rsidR="009123CC" w:rsidRPr="00B15056">
        <w:rPr>
          <w:b/>
        </w:rPr>
        <w:t>C</w:t>
      </w:r>
      <w:r w:rsidR="006104E7" w:rsidRPr="00B15056">
        <w:rPr>
          <w:b/>
        </w:rPr>
        <w:t xml:space="preserve">ontinue implementing the </w:t>
      </w:r>
      <w:r w:rsidR="008E4452" w:rsidRPr="00B15056">
        <w:rPr>
          <w:b/>
        </w:rPr>
        <w:t>National Development Plan</w:t>
      </w:r>
      <w:r w:rsidR="003D2CBF" w:rsidRPr="00B15056">
        <w:rPr>
          <w:b/>
        </w:rPr>
        <w:t>,</w:t>
      </w:r>
      <w:r w:rsidR="006104E7" w:rsidRPr="00B15056">
        <w:rPr>
          <w:b/>
        </w:rPr>
        <w:t xml:space="preserve"> </w:t>
      </w:r>
      <w:r w:rsidR="003D2CBF" w:rsidRPr="00B15056">
        <w:rPr>
          <w:b/>
        </w:rPr>
        <w:t xml:space="preserve">which </w:t>
      </w:r>
      <w:r w:rsidR="005E13C0" w:rsidRPr="00B15056">
        <w:rPr>
          <w:b/>
        </w:rPr>
        <w:t xml:space="preserve">identifies </w:t>
      </w:r>
      <w:r w:rsidR="006104E7" w:rsidRPr="00B15056">
        <w:rPr>
          <w:b/>
        </w:rPr>
        <w:t>education as one of the main priority areas, as well as the national integrated strategy for improving the education system and the ma</w:t>
      </w:r>
      <w:r w:rsidR="009123CC" w:rsidRPr="00B15056">
        <w:rPr>
          <w:b/>
        </w:rPr>
        <w:t>ster plan for teacher education</w:t>
      </w:r>
      <w:proofErr w:type="gramStart"/>
      <w:r w:rsidR="009123CC" w:rsidRPr="00B15056">
        <w:rPr>
          <w:b/>
        </w:rPr>
        <w:t>;</w:t>
      </w:r>
      <w:proofErr w:type="gramEnd"/>
      <w:r w:rsidR="0053239B" w:rsidRPr="00B15056">
        <w:rPr>
          <w:b/>
        </w:rPr>
        <w:t xml:space="preserve"> </w:t>
      </w:r>
    </w:p>
    <w:p w14:paraId="7C0234E9" w14:textId="5D49EC83" w:rsidR="00605909" w:rsidRPr="00B15056" w:rsidRDefault="00D144F2" w:rsidP="00B15056">
      <w:pPr>
        <w:pStyle w:val="SingleTxtG"/>
        <w:ind w:firstLine="567"/>
        <w:rPr>
          <w:b/>
        </w:rPr>
      </w:pPr>
      <w:r>
        <w:t>(b)</w:t>
      </w:r>
      <w:r>
        <w:tab/>
      </w:r>
      <w:r w:rsidR="00605909" w:rsidRPr="00B15056">
        <w:rPr>
          <w:b/>
        </w:rPr>
        <w:t>Develop specific strategies to address the high dropout rates, especially of girls</w:t>
      </w:r>
      <w:proofErr w:type="gramStart"/>
      <w:r w:rsidR="000147D1" w:rsidRPr="00B15056">
        <w:rPr>
          <w:b/>
        </w:rPr>
        <w:t>;</w:t>
      </w:r>
      <w:proofErr w:type="gramEnd"/>
    </w:p>
    <w:p w14:paraId="7BB4C541" w14:textId="3BA1778E" w:rsidR="009123CC" w:rsidRPr="00B15056" w:rsidRDefault="00D144F2" w:rsidP="00B15056">
      <w:pPr>
        <w:pStyle w:val="SingleTxtG"/>
        <w:ind w:firstLine="567"/>
        <w:rPr>
          <w:b/>
        </w:rPr>
      </w:pPr>
      <w:r>
        <w:t>(c)</w:t>
      </w:r>
      <w:r>
        <w:tab/>
      </w:r>
      <w:r w:rsidR="009123CC" w:rsidRPr="00B15056">
        <w:rPr>
          <w:b/>
        </w:rPr>
        <w:t>I</w:t>
      </w:r>
      <w:r w:rsidR="006104E7" w:rsidRPr="00B15056">
        <w:rPr>
          <w:b/>
        </w:rPr>
        <w:t xml:space="preserve">ncrease </w:t>
      </w:r>
      <w:r w:rsidR="00CE523C" w:rsidRPr="00B15056">
        <w:rPr>
          <w:b/>
        </w:rPr>
        <w:t>significantly</w:t>
      </w:r>
      <w:r w:rsidR="006104E7" w:rsidRPr="00B15056">
        <w:rPr>
          <w:b/>
        </w:rPr>
        <w:t xml:space="preserve"> its </w:t>
      </w:r>
      <w:r w:rsidR="000147D1" w:rsidRPr="00B15056">
        <w:rPr>
          <w:b/>
        </w:rPr>
        <w:t>investments in</w:t>
      </w:r>
      <w:r w:rsidR="005E13C0" w:rsidRPr="00B15056">
        <w:rPr>
          <w:b/>
        </w:rPr>
        <w:t xml:space="preserve"> </w:t>
      </w:r>
      <w:r w:rsidR="006104E7" w:rsidRPr="00B15056">
        <w:rPr>
          <w:b/>
        </w:rPr>
        <w:t>the education sector</w:t>
      </w:r>
      <w:r w:rsidR="00CE523C" w:rsidRPr="00B15056">
        <w:rPr>
          <w:b/>
        </w:rPr>
        <w:t xml:space="preserve">, improve </w:t>
      </w:r>
      <w:r w:rsidR="003D2CBF" w:rsidRPr="00B15056">
        <w:rPr>
          <w:b/>
        </w:rPr>
        <w:t xml:space="preserve">the </w:t>
      </w:r>
      <w:r w:rsidR="00CE523C" w:rsidRPr="00B15056">
        <w:rPr>
          <w:b/>
        </w:rPr>
        <w:t>quality of education and expand investment</w:t>
      </w:r>
      <w:r w:rsidR="009123CC" w:rsidRPr="00B15056">
        <w:rPr>
          <w:b/>
        </w:rPr>
        <w:t xml:space="preserve"> in teacher training</w:t>
      </w:r>
      <w:proofErr w:type="gramStart"/>
      <w:r w:rsidR="009123CC" w:rsidRPr="00B15056">
        <w:rPr>
          <w:b/>
        </w:rPr>
        <w:t>;</w:t>
      </w:r>
      <w:proofErr w:type="gramEnd"/>
    </w:p>
    <w:p w14:paraId="61003D21" w14:textId="5A8D314B" w:rsidR="00C215A0" w:rsidRPr="00B15056" w:rsidRDefault="00D144F2" w:rsidP="00B15056">
      <w:pPr>
        <w:pStyle w:val="SingleTxtG"/>
        <w:ind w:firstLine="567"/>
        <w:rPr>
          <w:b/>
        </w:rPr>
      </w:pPr>
      <w:r>
        <w:t>(d)</w:t>
      </w:r>
      <w:r>
        <w:tab/>
      </w:r>
      <w:r w:rsidR="009123CC" w:rsidRPr="00B15056">
        <w:rPr>
          <w:b/>
        </w:rPr>
        <w:t xml:space="preserve">Take into account the Committee’s </w:t>
      </w:r>
      <w:r w:rsidR="00CE523C" w:rsidRPr="00B15056">
        <w:rPr>
          <w:b/>
        </w:rPr>
        <w:t>general comment</w:t>
      </w:r>
      <w:r w:rsidR="009123CC" w:rsidRPr="00B15056">
        <w:rPr>
          <w:b/>
        </w:rPr>
        <w:t xml:space="preserve"> </w:t>
      </w:r>
      <w:r w:rsidR="003D2CBF" w:rsidRPr="00B15056">
        <w:rPr>
          <w:b/>
        </w:rPr>
        <w:t>N</w:t>
      </w:r>
      <w:r w:rsidR="009123CC" w:rsidRPr="00B15056">
        <w:rPr>
          <w:b/>
        </w:rPr>
        <w:t>o.</w:t>
      </w:r>
      <w:r>
        <w:rPr>
          <w:b/>
        </w:rPr>
        <w:t> </w:t>
      </w:r>
      <w:r w:rsidR="009123CC" w:rsidRPr="00B15056">
        <w:rPr>
          <w:b/>
        </w:rPr>
        <w:t>13 (1999) on the right to education.</w:t>
      </w:r>
    </w:p>
    <w:p w14:paraId="61361831" w14:textId="77777777" w:rsidR="00442080" w:rsidRPr="00AB7138" w:rsidRDefault="00EE38F5" w:rsidP="00FC6FBC">
      <w:pPr>
        <w:pStyle w:val="H23G"/>
        <w:ind w:firstLine="0"/>
        <w:rPr>
          <w:lang w:eastAsia="en-GB"/>
        </w:rPr>
      </w:pPr>
      <w:r w:rsidRPr="00AB7138">
        <w:rPr>
          <w:lang w:eastAsia="en-GB"/>
        </w:rPr>
        <w:t>M</w:t>
      </w:r>
      <w:r w:rsidR="009542A7" w:rsidRPr="00AB7138">
        <w:rPr>
          <w:lang w:eastAsia="en-GB"/>
        </w:rPr>
        <w:t>inority l</w:t>
      </w:r>
      <w:r w:rsidR="00207096" w:rsidRPr="00AB7138">
        <w:rPr>
          <w:lang w:eastAsia="en-GB"/>
        </w:rPr>
        <w:t>anguages</w:t>
      </w:r>
    </w:p>
    <w:p w14:paraId="734AFDA5" w14:textId="75A8F7DD" w:rsidR="009123CC" w:rsidRPr="002824FE" w:rsidRDefault="00556A05" w:rsidP="00B15056">
      <w:pPr>
        <w:pStyle w:val="SingleTxtG"/>
        <w:tabs>
          <w:tab w:val="left" w:pos="1701"/>
        </w:tabs>
        <w:rPr>
          <w:bCs/>
          <w:lang w:eastAsia="en-GB"/>
        </w:rPr>
      </w:pPr>
      <w:r w:rsidRPr="002824FE">
        <w:rPr>
          <w:bCs/>
          <w:lang w:eastAsia="en-GB"/>
        </w:rPr>
        <w:t>55.</w:t>
      </w:r>
      <w:r w:rsidRPr="002824FE">
        <w:rPr>
          <w:bCs/>
          <w:lang w:eastAsia="en-GB"/>
        </w:rPr>
        <w:tab/>
      </w:r>
      <w:r w:rsidR="009123CC" w:rsidRPr="00AB7138">
        <w:rPr>
          <w:bCs/>
          <w:lang w:eastAsia="en-GB"/>
        </w:rPr>
        <w:t>The</w:t>
      </w:r>
      <w:r w:rsidR="0051291C" w:rsidRPr="00AB7138">
        <w:rPr>
          <w:bCs/>
          <w:lang w:eastAsia="en-GB"/>
        </w:rPr>
        <w:t xml:space="preserve"> C</w:t>
      </w:r>
      <w:r w:rsidR="009123CC" w:rsidRPr="00AB7138">
        <w:rPr>
          <w:bCs/>
          <w:lang w:eastAsia="en-GB"/>
        </w:rPr>
        <w:t>ommittee is concerned</w:t>
      </w:r>
      <w:r w:rsidR="001F1148" w:rsidRPr="00AB7138">
        <w:rPr>
          <w:bCs/>
          <w:lang w:eastAsia="en-GB"/>
        </w:rPr>
        <w:t xml:space="preserve"> about the limited measures taken by the State party to promote minority languages, which could lead </w:t>
      </w:r>
      <w:r w:rsidR="001F1148" w:rsidRPr="002824FE">
        <w:rPr>
          <w:bCs/>
          <w:lang w:eastAsia="en-GB"/>
        </w:rPr>
        <w:t xml:space="preserve">to </w:t>
      </w:r>
      <w:r w:rsidR="005E13C0" w:rsidRPr="002824FE">
        <w:rPr>
          <w:bCs/>
          <w:lang w:eastAsia="en-GB"/>
        </w:rPr>
        <w:t xml:space="preserve">the risk of extinction of a </w:t>
      </w:r>
      <w:r w:rsidR="009123CC" w:rsidRPr="002824FE">
        <w:rPr>
          <w:bCs/>
          <w:lang w:eastAsia="en-GB"/>
        </w:rPr>
        <w:t xml:space="preserve">number of </w:t>
      </w:r>
      <w:r w:rsidR="00510919" w:rsidRPr="002824FE">
        <w:rPr>
          <w:bCs/>
          <w:lang w:eastAsia="en-GB"/>
        </w:rPr>
        <w:t xml:space="preserve">them </w:t>
      </w:r>
      <w:r w:rsidR="009123CC" w:rsidRPr="002824FE">
        <w:rPr>
          <w:bCs/>
          <w:lang w:eastAsia="en-GB"/>
        </w:rPr>
        <w:t>(art.</w:t>
      </w:r>
      <w:r w:rsidR="00D144F2">
        <w:rPr>
          <w:bCs/>
          <w:lang w:eastAsia="en-GB"/>
        </w:rPr>
        <w:t> </w:t>
      </w:r>
      <w:r w:rsidR="009123CC" w:rsidRPr="002824FE">
        <w:rPr>
          <w:bCs/>
          <w:lang w:eastAsia="en-GB"/>
        </w:rPr>
        <w:t>15)</w:t>
      </w:r>
      <w:r w:rsidR="00EB0D16" w:rsidRPr="002824FE">
        <w:rPr>
          <w:bCs/>
          <w:lang w:eastAsia="en-GB"/>
        </w:rPr>
        <w:t>.</w:t>
      </w:r>
    </w:p>
    <w:p w14:paraId="1EF187B9" w14:textId="77E444D7" w:rsidR="00EB0D16" w:rsidRDefault="00556A05" w:rsidP="00B15056">
      <w:pPr>
        <w:pStyle w:val="SingleTxtG"/>
        <w:tabs>
          <w:tab w:val="left" w:pos="1701"/>
        </w:tabs>
        <w:rPr>
          <w:b/>
          <w:bCs/>
          <w:lang w:eastAsia="en-GB"/>
        </w:rPr>
      </w:pPr>
      <w:r>
        <w:rPr>
          <w:bCs/>
          <w:lang w:eastAsia="en-GB"/>
        </w:rPr>
        <w:t>56.</w:t>
      </w:r>
      <w:r>
        <w:rPr>
          <w:bCs/>
          <w:lang w:eastAsia="en-GB"/>
        </w:rPr>
        <w:tab/>
      </w:r>
      <w:r w:rsidR="00EB0D16" w:rsidRPr="002824FE">
        <w:rPr>
          <w:b/>
          <w:bCs/>
          <w:lang w:eastAsia="en-GB"/>
        </w:rPr>
        <w:t xml:space="preserve">The Committee recommends that the State party step up its measures to preserve </w:t>
      </w:r>
      <w:r w:rsidR="00B21CAD" w:rsidRPr="00AB7138">
        <w:rPr>
          <w:b/>
          <w:bCs/>
          <w:lang w:eastAsia="en-GB"/>
        </w:rPr>
        <w:t>minority</w:t>
      </w:r>
      <w:r w:rsidR="00EB0D16" w:rsidRPr="00AB7138">
        <w:rPr>
          <w:b/>
          <w:bCs/>
          <w:lang w:eastAsia="en-GB"/>
        </w:rPr>
        <w:t xml:space="preserve"> languages</w:t>
      </w:r>
      <w:r w:rsidR="0051291C" w:rsidRPr="00AB7138">
        <w:rPr>
          <w:b/>
          <w:bCs/>
          <w:lang w:eastAsia="en-GB"/>
        </w:rPr>
        <w:t>. To th</w:t>
      </w:r>
      <w:r w:rsidR="00A20C6B">
        <w:rPr>
          <w:b/>
          <w:bCs/>
          <w:lang w:eastAsia="en-GB"/>
        </w:rPr>
        <w:t>at</w:t>
      </w:r>
      <w:r w:rsidR="0051291C" w:rsidRPr="00AB7138">
        <w:rPr>
          <w:b/>
          <w:bCs/>
          <w:lang w:eastAsia="en-GB"/>
        </w:rPr>
        <w:t xml:space="preserve"> end,</w:t>
      </w:r>
      <w:r w:rsidR="00EB0D16" w:rsidRPr="00AB7138">
        <w:rPr>
          <w:b/>
          <w:bCs/>
          <w:lang w:eastAsia="en-GB"/>
        </w:rPr>
        <w:t xml:space="preserve"> the State party is encouraged to take measures aimed at ensuring that ethnic </w:t>
      </w:r>
      <w:r w:rsidR="00B21CAD" w:rsidRPr="00AB7138">
        <w:rPr>
          <w:b/>
          <w:bCs/>
          <w:lang w:eastAsia="en-GB"/>
        </w:rPr>
        <w:t xml:space="preserve">minority </w:t>
      </w:r>
      <w:r w:rsidR="00EB0D16" w:rsidRPr="00AB7138">
        <w:rPr>
          <w:b/>
          <w:bCs/>
          <w:lang w:eastAsia="en-GB"/>
        </w:rPr>
        <w:t xml:space="preserve">groups </w:t>
      </w:r>
      <w:r w:rsidR="00B21CAD" w:rsidRPr="00AB7138">
        <w:rPr>
          <w:b/>
          <w:bCs/>
          <w:lang w:eastAsia="en-GB"/>
        </w:rPr>
        <w:t>and indigenous peoples</w:t>
      </w:r>
      <w:r w:rsidR="00EB0D16" w:rsidRPr="00AB7138">
        <w:rPr>
          <w:b/>
          <w:bCs/>
          <w:lang w:eastAsia="en-GB"/>
        </w:rPr>
        <w:t xml:space="preserve"> have </w:t>
      </w:r>
      <w:proofErr w:type="gramStart"/>
      <w:r w:rsidR="00EB0D16" w:rsidRPr="00AB7138">
        <w:rPr>
          <w:b/>
          <w:bCs/>
          <w:lang w:eastAsia="en-GB"/>
        </w:rPr>
        <w:t>ample</w:t>
      </w:r>
      <w:proofErr w:type="gramEnd"/>
      <w:r w:rsidR="00EB0D16" w:rsidRPr="00AB7138">
        <w:rPr>
          <w:b/>
          <w:bCs/>
          <w:lang w:eastAsia="en-GB"/>
        </w:rPr>
        <w:t xml:space="preserve"> opportunities</w:t>
      </w:r>
      <w:r w:rsidR="00B21CAD" w:rsidRPr="00AB7138">
        <w:rPr>
          <w:b/>
          <w:bCs/>
          <w:lang w:eastAsia="en-GB"/>
        </w:rPr>
        <w:t xml:space="preserve"> to learn </w:t>
      </w:r>
      <w:r w:rsidR="00B21CAD" w:rsidRPr="002824FE">
        <w:rPr>
          <w:b/>
          <w:bCs/>
          <w:lang w:eastAsia="en-GB"/>
        </w:rPr>
        <w:t>their languages</w:t>
      </w:r>
      <w:r w:rsidR="00EB0D16" w:rsidRPr="002824FE">
        <w:rPr>
          <w:b/>
          <w:bCs/>
          <w:lang w:eastAsia="en-GB"/>
        </w:rPr>
        <w:t>, as well as to use these languages in public life.</w:t>
      </w:r>
    </w:p>
    <w:p w14:paraId="32F08386" w14:textId="05479086" w:rsidR="0014419C" w:rsidRDefault="0014419C" w:rsidP="0014419C">
      <w:pPr>
        <w:pStyle w:val="SingleTxtG"/>
        <w:tabs>
          <w:tab w:val="left" w:pos="1701"/>
        </w:tabs>
        <w:rPr>
          <w:b/>
          <w:bCs/>
          <w:lang w:eastAsia="en-GB"/>
        </w:rPr>
      </w:pPr>
      <w:r>
        <w:rPr>
          <w:b/>
          <w:bCs/>
          <w:lang w:eastAsia="en-GB"/>
        </w:rPr>
        <w:t xml:space="preserve">Access to the </w:t>
      </w:r>
      <w:r w:rsidR="00A20C6B">
        <w:rPr>
          <w:b/>
          <w:bCs/>
          <w:lang w:eastAsia="en-GB"/>
        </w:rPr>
        <w:t>I</w:t>
      </w:r>
      <w:r>
        <w:rPr>
          <w:b/>
          <w:bCs/>
          <w:lang w:eastAsia="en-GB"/>
        </w:rPr>
        <w:t>nternet</w:t>
      </w:r>
    </w:p>
    <w:p w14:paraId="4FF271D0" w14:textId="6E39CF85" w:rsidR="0014419C" w:rsidRDefault="00556A05" w:rsidP="00B15056">
      <w:pPr>
        <w:pStyle w:val="SingleTxtG"/>
        <w:tabs>
          <w:tab w:val="left" w:pos="1701"/>
        </w:tabs>
        <w:rPr>
          <w:bCs/>
          <w:lang w:eastAsia="en-GB"/>
        </w:rPr>
      </w:pPr>
      <w:r>
        <w:rPr>
          <w:bCs/>
          <w:lang w:eastAsia="en-GB"/>
        </w:rPr>
        <w:t>57.</w:t>
      </w:r>
      <w:r>
        <w:rPr>
          <w:bCs/>
          <w:lang w:eastAsia="en-GB"/>
        </w:rPr>
        <w:tab/>
      </w:r>
      <w:r w:rsidR="0014419C">
        <w:rPr>
          <w:bCs/>
          <w:lang w:eastAsia="en-GB"/>
        </w:rPr>
        <w:t>T</w:t>
      </w:r>
      <w:r w:rsidR="0014419C" w:rsidRPr="0014419C">
        <w:rPr>
          <w:bCs/>
          <w:lang w:eastAsia="en-GB"/>
        </w:rPr>
        <w:t xml:space="preserve">he Committee is </w:t>
      </w:r>
      <w:r w:rsidR="0014419C">
        <w:rPr>
          <w:bCs/>
          <w:lang w:eastAsia="en-GB"/>
        </w:rPr>
        <w:t xml:space="preserve">concerned about the limited access to the </w:t>
      </w:r>
      <w:r w:rsidR="00A20C6B">
        <w:rPr>
          <w:bCs/>
          <w:lang w:eastAsia="en-GB"/>
        </w:rPr>
        <w:t>I</w:t>
      </w:r>
      <w:r w:rsidR="0014419C">
        <w:rPr>
          <w:bCs/>
          <w:lang w:eastAsia="en-GB"/>
        </w:rPr>
        <w:t>nternet in the State party, particularly by disadvantaged and marginali</w:t>
      </w:r>
      <w:r w:rsidR="00A20C6B">
        <w:rPr>
          <w:bCs/>
          <w:lang w:eastAsia="en-GB"/>
        </w:rPr>
        <w:t>z</w:t>
      </w:r>
      <w:r w:rsidR="0014419C">
        <w:rPr>
          <w:bCs/>
          <w:lang w:eastAsia="en-GB"/>
        </w:rPr>
        <w:t>ed groups and individuals (art.</w:t>
      </w:r>
      <w:r>
        <w:rPr>
          <w:bCs/>
          <w:lang w:eastAsia="en-GB"/>
        </w:rPr>
        <w:t> </w:t>
      </w:r>
      <w:r w:rsidR="0014419C">
        <w:rPr>
          <w:bCs/>
          <w:lang w:eastAsia="en-GB"/>
        </w:rPr>
        <w:t>15).</w:t>
      </w:r>
    </w:p>
    <w:p w14:paraId="23051301" w14:textId="5F995461" w:rsidR="0014419C" w:rsidRPr="0014419C" w:rsidRDefault="00556A05" w:rsidP="00B15056">
      <w:pPr>
        <w:pStyle w:val="SingleTxtG"/>
        <w:tabs>
          <w:tab w:val="left" w:pos="1701"/>
        </w:tabs>
        <w:rPr>
          <w:b/>
          <w:bCs/>
          <w:lang w:eastAsia="en-GB"/>
        </w:rPr>
      </w:pPr>
      <w:r w:rsidRPr="0014419C">
        <w:rPr>
          <w:bCs/>
          <w:lang w:eastAsia="en-GB"/>
        </w:rPr>
        <w:t>58.</w:t>
      </w:r>
      <w:r w:rsidRPr="0014419C">
        <w:rPr>
          <w:bCs/>
          <w:lang w:eastAsia="en-GB"/>
        </w:rPr>
        <w:tab/>
      </w:r>
      <w:r w:rsidR="0014419C" w:rsidRPr="0014419C">
        <w:rPr>
          <w:b/>
          <w:bCs/>
          <w:lang w:eastAsia="en-GB"/>
        </w:rPr>
        <w:t xml:space="preserve">The Committee recommends that the State party redouble its efforts to increase access to the </w:t>
      </w:r>
      <w:r w:rsidR="00A20C6B">
        <w:rPr>
          <w:b/>
          <w:bCs/>
          <w:lang w:eastAsia="en-GB"/>
        </w:rPr>
        <w:t>I</w:t>
      </w:r>
      <w:r w:rsidR="0014419C" w:rsidRPr="0014419C">
        <w:rPr>
          <w:b/>
          <w:bCs/>
          <w:lang w:eastAsia="en-GB"/>
        </w:rPr>
        <w:t>nternet</w:t>
      </w:r>
      <w:r w:rsidR="00A20C6B">
        <w:rPr>
          <w:b/>
          <w:bCs/>
          <w:lang w:eastAsia="en-GB"/>
        </w:rPr>
        <w:t>,</w:t>
      </w:r>
      <w:r w:rsidR="0014419C" w:rsidRPr="0014419C">
        <w:rPr>
          <w:b/>
          <w:bCs/>
          <w:lang w:eastAsia="en-GB"/>
        </w:rPr>
        <w:t xml:space="preserve"> especially by disadvantaged and marginali</w:t>
      </w:r>
      <w:r w:rsidR="00A20C6B">
        <w:rPr>
          <w:b/>
          <w:bCs/>
          <w:lang w:eastAsia="en-GB"/>
        </w:rPr>
        <w:t>z</w:t>
      </w:r>
      <w:r w:rsidR="0014419C" w:rsidRPr="0014419C">
        <w:rPr>
          <w:b/>
          <w:bCs/>
          <w:lang w:eastAsia="en-GB"/>
        </w:rPr>
        <w:t xml:space="preserve">ed groups and individuals and in rural areas. </w:t>
      </w:r>
    </w:p>
    <w:p w14:paraId="437259DF" w14:textId="77777777" w:rsidR="00C82F62" w:rsidRPr="00AB7138" w:rsidRDefault="005E02F0" w:rsidP="005E02F0">
      <w:pPr>
        <w:pStyle w:val="H1G"/>
      </w:pPr>
      <w:r w:rsidRPr="00AB7138">
        <w:tab/>
      </w:r>
      <w:r w:rsidR="00C82F62" w:rsidRPr="00AB7138">
        <w:t>D.</w:t>
      </w:r>
      <w:r w:rsidR="00C82F62" w:rsidRPr="00AB7138">
        <w:tab/>
        <w:t>Other recommendations</w:t>
      </w:r>
    </w:p>
    <w:p w14:paraId="14EE913D" w14:textId="4E2AEB7F" w:rsidR="00136105" w:rsidRPr="00AB7138" w:rsidRDefault="00556A05" w:rsidP="00B15056">
      <w:pPr>
        <w:pStyle w:val="SingleTxtG"/>
        <w:tabs>
          <w:tab w:val="left" w:pos="1701"/>
        </w:tabs>
        <w:rPr>
          <w:b/>
        </w:rPr>
      </w:pPr>
      <w:r w:rsidRPr="00AB7138">
        <w:t>59.</w:t>
      </w:r>
      <w:r w:rsidRPr="00AB7138">
        <w:tab/>
      </w:r>
      <w:r w:rsidR="00136105" w:rsidRPr="00AB7138">
        <w:rPr>
          <w:b/>
        </w:rPr>
        <w:t>The Committee encourages the State party to ratify the Optional Protocol to the International Covenant on Econom</w:t>
      </w:r>
      <w:r w:rsidR="002908D5" w:rsidRPr="00AB7138">
        <w:rPr>
          <w:b/>
        </w:rPr>
        <w:t>ic, Social and Cultural Rights.</w:t>
      </w:r>
    </w:p>
    <w:p w14:paraId="1F4680BE" w14:textId="69F74550" w:rsidR="0017714E" w:rsidRPr="00AB7138" w:rsidRDefault="00556A05" w:rsidP="00B15056">
      <w:pPr>
        <w:pStyle w:val="SingleTxtG"/>
        <w:tabs>
          <w:tab w:val="left" w:pos="1701"/>
        </w:tabs>
        <w:rPr>
          <w:b/>
        </w:rPr>
      </w:pPr>
      <w:proofErr w:type="gramStart"/>
      <w:r w:rsidRPr="00AB7138">
        <w:t>60.</w:t>
      </w:r>
      <w:r w:rsidRPr="00AB7138">
        <w:tab/>
      </w:r>
      <w:r w:rsidR="0017714E" w:rsidRPr="00AB7138">
        <w:rPr>
          <w:b/>
          <w:bCs/>
        </w:rPr>
        <w:t xml:space="preserve">The Committee invites the State party to consider </w:t>
      </w:r>
      <w:r w:rsidR="00DD0DCE" w:rsidRPr="00AB7138">
        <w:rPr>
          <w:b/>
          <w:bCs/>
        </w:rPr>
        <w:t xml:space="preserve">ratification of the </w:t>
      </w:r>
      <w:r w:rsidR="0017714E" w:rsidRPr="00AB7138">
        <w:rPr>
          <w:b/>
          <w:lang w:val="en-US"/>
        </w:rPr>
        <w:t>International Convention on the Elimination of All Forms of Racial Discrimination, the Convention against Torture and Other Cruel, Inhuman or Degrading Treatment or Punishment, the International Convention on the Protection of the Rights of All Migrant Workers and Members of Their Families and the International Convention for the Protection of All Persons from Enforced Disappearance.</w:t>
      </w:r>
      <w:proofErr w:type="gramEnd"/>
    </w:p>
    <w:p w14:paraId="6EC5B99C" w14:textId="2632125D" w:rsidR="00136105" w:rsidRPr="00AB7138" w:rsidRDefault="00556A05" w:rsidP="00B15056">
      <w:pPr>
        <w:pStyle w:val="SingleTxtG"/>
        <w:tabs>
          <w:tab w:val="left" w:pos="1701"/>
        </w:tabs>
        <w:rPr>
          <w:b/>
        </w:rPr>
      </w:pPr>
      <w:r w:rsidRPr="00AB7138">
        <w:t>61.</w:t>
      </w:r>
      <w:r w:rsidRPr="00AB7138">
        <w:tab/>
      </w:r>
      <w:r w:rsidR="00136105" w:rsidRPr="00AB7138">
        <w:rPr>
          <w:b/>
        </w:rPr>
        <w:t xml:space="preserve">The Committee recommends that the State party take steps to progressively develop and apply appropriate indicators on the implementation of economic, social and cultural rights in order to facilitate the assessment of progress achieved by the State party in </w:t>
      </w:r>
      <w:r w:rsidR="00EA660A">
        <w:rPr>
          <w:b/>
        </w:rPr>
        <w:t>complying</w:t>
      </w:r>
      <w:r w:rsidR="00136105" w:rsidRPr="00AB7138">
        <w:rPr>
          <w:b/>
        </w:rPr>
        <w:t xml:space="preserve"> </w:t>
      </w:r>
      <w:r w:rsidR="00A20C6B">
        <w:rPr>
          <w:b/>
        </w:rPr>
        <w:t>with</w:t>
      </w:r>
      <w:r w:rsidR="00A20C6B" w:rsidRPr="00AB7138">
        <w:rPr>
          <w:b/>
        </w:rPr>
        <w:t xml:space="preserve"> </w:t>
      </w:r>
      <w:r w:rsidR="00136105" w:rsidRPr="00AB7138">
        <w:rPr>
          <w:b/>
        </w:rPr>
        <w:t xml:space="preserve">its obligations under the Covenant for various segments of the population. In that context, the Committee refers the State party </w:t>
      </w:r>
      <w:proofErr w:type="gramStart"/>
      <w:r w:rsidR="00136105" w:rsidRPr="00AB7138">
        <w:rPr>
          <w:b/>
        </w:rPr>
        <w:t>to,</w:t>
      </w:r>
      <w:proofErr w:type="gramEnd"/>
      <w:r w:rsidR="00136105" w:rsidRPr="00AB7138">
        <w:rPr>
          <w:b/>
        </w:rPr>
        <w:t xml:space="preserve"> inter alia, the conceptual and methodological framework on human rights indicators developed by the Office of the United Nations High Commissioner for Hu</w:t>
      </w:r>
      <w:r w:rsidR="002908D5" w:rsidRPr="00AB7138">
        <w:rPr>
          <w:b/>
        </w:rPr>
        <w:t>man Rights (see HRI/MC/2008/3).</w:t>
      </w:r>
    </w:p>
    <w:p w14:paraId="326E858A" w14:textId="28C199B2" w:rsidR="00136105" w:rsidRPr="00AB7138" w:rsidRDefault="00556A05" w:rsidP="00B15056">
      <w:pPr>
        <w:pStyle w:val="SingleTxtG"/>
        <w:tabs>
          <w:tab w:val="left" w:pos="1701"/>
        </w:tabs>
        <w:rPr>
          <w:b/>
        </w:rPr>
      </w:pPr>
      <w:r w:rsidRPr="00AB7138">
        <w:t>62.</w:t>
      </w:r>
      <w:r w:rsidRPr="00AB7138">
        <w:tab/>
      </w:r>
      <w:r w:rsidR="00136105" w:rsidRPr="00AB7138">
        <w:rPr>
          <w:b/>
        </w:rPr>
        <w:t xml:space="preserve">The Committee requests the State party </w:t>
      </w:r>
      <w:r w:rsidR="004F1B9B">
        <w:rPr>
          <w:b/>
        </w:rPr>
        <w:t xml:space="preserve">to </w:t>
      </w:r>
      <w:r w:rsidR="00136105" w:rsidRPr="00AB7138">
        <w:rPr>
          <w:b/>
        </w:rPr>
        <w:t xml:space="preserve">disseminate the present concluding observations widely </w:t>
      </w:r>
      <w:r w:rsidR="004F1B9B">
        <w:rPr>
          <w:b/>
        </w:rPr>
        <w:t>among</w:t>
      </w:r>
      <w:r w:rsidR="00136105" w:rsidRPr="00AB7138">
        <w:rPr>
          <w:b/>
        </w:rPr>
        <w:t xml:space="preserve"> all levels of society at national, provincial and territorial levels, particularly among parliamentarians, public officials and judicial authorities, and that it inform the Committee</w:t>
      </w:r>
      <w:r w:rsidR="004F1B9B">
        <w:rPr>
          <w:b/>
        </w:rPr>
        <w:t>,</w:t>
      </w:r>
      <w:r w:rsidR="00136105" w:rsidRPr="00AB7138">
        <w:rPr>
          <w:b/>
        </w:rPr>
        <w:t xml:space="preserve"> in its next periodic report</w:t>
      </w:r>
      <w:r w:rsidR="004F1B9B">
        <w:rPr>
          <w:b/>
        </w:rPr>
        <w:t>,</w:t>
      </w:r>
      <w:r w:rsidR="00136105" w:rsidRPr="00AB7138">
        <w:rPr>
          <w:b/>
        </w:rPr>
        <w:t xml:space="preserve"> about the steps taken to implement the</w:t>
      </w:r>
      <w:r w:rsidR="004F1B9B">
        <w:rPr>
          <w:b/>
        </w:rPr>
        <w:t xml:space="preserve"> recommendations herein</w:t>
      </w:r>
      <w:r w:rsidR="00136105" w:rsidRPr="00AB7138">
        <w:rPr>
          <w:b/>
        </w:rPr>
        <w:t xml:space="preserve">. The Committee also encourages the State party to engage non-governmental organizations and other members of civil society </w:t>
      </w:r>
      <w:r w:rsidR="00136105" w:rsidRPr="002824FE">
        <w:rPr>
          <w:b/>
        </w:rPr>
        <w:t xml:space="preserve">in the </w:t>
      </w:r>
      <w:r w:rsidR="005E13C0" w:rsidRPr="002824FE">
        <w:rPr>
          <w:b/>
        </w:rPr>
        <w:t>follow-up to the</w:t>
      </w:r>
      <w:r w:rsidR="004F1B9B">
        <w:rPr>
          <w:b/>
        </w:rPr>
        <w:t xml:space="preserve"> present</w:t>
      </w:r>
      <w:r w:rsidR="005E13C0" w:rsidRPr="002824FE">
        <w:rPr>
          <w:b/>
        </w:rPr>
        <w:t xml:space="preserve"> </w:t>
      </w:r>
      <w:r w:rsidR="00A20C6B">
        <w:rPr>
          <w:b/>
        </w:rPr>
        <w:t>c</w:t>
      </w:r>
      <w:r w:rsidR="005E13C0" w:rsidRPr="002824FE">
        <w:rPr>
          <w:b/>
        </w:rPr>
        <w:t xml:space="preserve">oncluding </w:t>
      </w:r>
      <w:r w:rsidR="00A20C6B">
        <w:rPr>
          <w:b/>
        </w:rPr>
        <w:t>o</w:t>
      </w:r>
      <w:r w:rsidR="005E13C0" w:rsidRPr="002824FE">
        <w:rPr>
          <w:b/>
        </w:rPr>
        <w:t xml:space="preserve">bservations </w:t>
      </w:r>
      <w:r w:rsidR="004F1B9B">
        <w:rPr>
          <w:b/>
        </w:rPr>
        <w:t>and</w:t>
      </w:r>
      <w:r w:rsidR="005E13C0" w:rsidRPr="002824FE">
        <w:rPr>
          <w:b/>
        </w:rPr>
        <w:t xml:space="preserve"> in the </w:t>
      </w:r>
      <w:r w:rsidR="00136105" w:rsidRPr="002824FE">
        <w:rPr>
          <w:b/>
        </w:rPr>
        <w:t>process of consultation at the national level prior to the submissio</w:t>
      </w:r>
      <w:r w:rsidR="002908D5" w:rsidRPr="00AB7138">
        <w:rPr>
          <w:b/>
        </w:rPr>
        <w:t>n of its next periodic report.</w:t>
      </w:r>
    </w:p>
    <w:p w14:paraId="5505E050" w14:textId="3ADB1348" w:rsidR="00C82F62" w:rsidRPr="00B15056" w:rsidRDefault="00556A05" w:rsidP="00B15056">
      <w:pPr>
        <w:pStyle w:val="SingleTxtG"/>
        <w:tabs>
          <w:tab w:val="left" w:pos="1701"/>
        </w:tabs>
      </w:pPr>
      <w:r w:rsidRPr="00D144F2">
        <w:t>63.</w:t>
      </w:r>
      <w:r w:rsidRPr="00D144F2">
        <w:tab/>
      </w:r>
      <w:r w:rsidR="00136105" w:rsidRPr="00AB7138">
        <w:rPr>
          <w:b/>
        </w:rPr>
        <w:t>The Committee requests the State party to submit its sixth periodic report, to be prepared in accordance with the reporting guidelines adopted by the Committee in 2</w:t>
      </w:r>
      <w:r w:rsidR="005B53D2" w:rsidRPr="00AB7138">
        <w:rPr>
          <w:b/>
        </w:rPr>
        <w:t>008 (E/C.12/2008/2), by 30 June</w:t>
      </w:r>
      <w:r w:rsidR="00136105" w:rsidRPr="00AB7138">
        <w:rPr>
          <w:b/>
        </w:rPr>
        <w:t xml:space="preserve"> 2021. It also invites the State party to update its common</w:t>
      </w:r>
      <w:r w:rsidR="005B53D2" w:rsidRPr="00AB7138">
        <w:rPr>
          <w:b/>
        </w:rPr>
        <w:t xml:space="preserve"> core document</w:t>
      </w:r>
      <w:r w:rsidR="00136105" w:rsidRPr="00AB7138">
        <w:rPr>
          <w:b/>
        </w:rPr>
        <w:t xml:space="preserve"> in accordance with the harmonized guidelines on reporting under the international human rights treaties (HRI/GEN/2/Rev.6, chap.</w:t>
      </w:r>
      <w:r w:rsidR="00D144F2">
        <w:rPr>
          <w:b/>
        </w:rPr>
        <w:t> </w:t>
      </w:r>
      <w:r w:rsidR="00136105" w:rsidRPr="00AB7138">
        <w:rPr>
          <w:b/>
        </w:rPr>
        <w:t>I).</w:t>
      </w:r>
    </w:p>
    <w:p w14:paraId="5D7B4D74" w14:textId="77777777" w:rsidR="002908D5" w:rsidRPr="00B15056" w:rsidRDefault="002908D5" w:rsidP="002908D5">
      <w:pPr>
        <w:pStyle w:val="SingleTxtG"/>
        <w:tabs>
          <w:tab w:val="left" w:pos="1701"/>
        </w:tabs>
        <w:spacing w:before="240" w:after="0"/>
        <w:jc w:val="center"/>
        <w:rPr>
          <w:u w:val="single"/>
        </w:rPr>
      </w:pPr>
      <w:r w:rsidRPr="00B15056">
        <w:rPr>
          <w:u w:val="single"/>
        </w:rPr>
        <w:tab/>
      </w:r>
      <w:r w:rsidRPr="00B15056">
        <w:rPr>
          <w:u w:val="single"/>
        </w:rPr>
        <w:tab/>
      </w:r>
      <w:r w:rsidRPr="00B15056">
        <w:rPr>
          <w:u w:val="single"/>
        </w:rPr>
        <w:tab/>
      </w:r>
    </w:p>
    <w:sectPr w:rsidR="002908D5" w:rsidRPr="00B15056" w:rsidSect="00AD3B5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073DD" w14:textId="77777777" w:rsidR="00C54481" w:rsidRDefault="00C54481"/>
  </w:endnote>
  <w:endnote w:type="continuationSeparator" w:id="0">
    <w:p w14:paraId="24AE7ECE" w14:textId="77777777" w:rsidR="00C54481" w:rsidRDefault="00C54481"/>
  </w:endnote>
  <w:endnote w:type="continuationNotice" w:id="1">
    <w:p w14:paraId="14941BBF" w14:textId="77777777" w:rsidR="00C54481" w:rsidRDefault="00C54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07F70" w14:textId="388AD487" w:rsidR="00AA0C6E" w:rsidRPr="00AD3B5F" w:rsidRDefault="00AA0C6E" w:rsidP="007949E7">
    <w:pPr>
      <w:pStyle w:val="Footer"/>
      <w:tabs>
        <w:tab w:val="right" w:pos="9598"/>
        <w:tab w:val="right" w:pos="9638"/>
      </w:tabs>
      <w:rPr>
        <w:b/>
        <w:sz w:val="18"/>
      </w:rPr>
    </w:pPr>
    <w:r w:rsidRPr="00B15056">
      <w:rPr>
        <w:b/>
        <w:sz w:val="18"/>
      </w:rPr>
      <w:fldChar w:fldCharType="begin"/>
    </w:r>
    <w:r w:rsidRPr="00B15056">
      <w:rPr>
        <w:b/>
        <w:sz w:val="18"/>
      </w:rPr>
      <w:instrText xml:space="preserve"> PAGE  \* MERGEFORMAT </w:instrText>
    </w:r>
    <w:r w:rsidRPr="00B15056">
      <w:rPr>
        <w:b/>
        <w:sz w:val="18"/>
      </w:rPr>
      <w:fldChar w:fldCharType="separate"/>
    </w:r>
    <w:r w:rsidR="008770AA">
      <w:rPr>
        <w:b/>
        <w:noProof/>
        <w:sz w:val="18"/>
      </w:rPr>
      <w:t>12</w:t>
    </w:r>
    <w:r w:rsidRPr="00B1505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2A0D1" w14:textId="4EE53908" w:rsidR="00AA0C6E" w:rsidRPr="00B15056" w:rsidRDefault="00AA0C6E" w:rsidP="0010210D">
    <w:pPr>
      <w:pStyle w:val="Footer"/>
      <w:tabs>
        <w:tab w:val="right" w:pos="9598"/>
        <w:tab w:val="right" w:pos="9638"/>
      </w:tabs>
      <w:jc w:val="right"/>
      <w:rPr>
        <w:b/>
        <w:sz w:val="18"/>
      </w:rPr>
    </w:pPr>
    <w:r>
      <w:rPr>
        <w:sz w:val="18"/>
      </w:rPr>
      <w:tab/>
    </w:r>
    <w:r w:rsidRPr="00B15056">
      <w:rPr>
        <w:b/>
        <w:sz w:val="18"/>
      </w:rPr>
      <w:fldChar w:fldCharType="begin"/>
    </w:r>
    <w:r w:rsidRPr="00B15056">
      <w:rPr>
        <w:b/>
        <w:sz w:val="18"/>
      </w:rPr>
      <w:instrText xml:space="preserve"> PAGE  \* MERGEFORMAT </w:instrText>
    </w:r>
    <w:r w:rsidRPr="00B15056">
      <w:rPr>
        <w:b/>
        <w:sz w:val="18"/>
      </w:rPr>
      <w:fldChar w:fldCharType="separate"/>
    </w:r>
    <w:r w:rsidR="008770AA">
      <w:rPr>
        <w:b/>
        <w:noProof/>
        <w:sz w:val="18"/>
      </w:rPr>
      <w:t>11</w:t>
    </w:r>
    <w:r w:rsidRPr="00B1505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62393" w14:textId="2C30CAD7" w:rsidR="008770AA" w:rsidRDefault="008770AA" w:rsidP="008770AA">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1A5D4EF8" wp14:editId="08AB3C31">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66E265EE" w14:textId="47F30469" w:rsidR="008770AA" w:rsidRDefault="008770AA" w:rsidP="008770AA">
    <w:pPr>
      <w:pStyle w:val="Footer"/>
      <w:ind w:right="1134"/>
      <w:rPr>
        <w:sz w:val="20"/>
      </w:rPr>
    </w:pPr>
    <w:r>
      <w:rPr>
        <w:sz w:val="20"/>
      </w:rPr>
      <w:t>GE.16-12207(E)</w:t>
    </w:r>
  </w:p>
  <w:p w14:paraId="50FD07E3" w14:textId="0CE8DB07" w:rsidR="008770AA" w:rsidRPr="008770AA" w:rsidRDefault="008770AA" w:rsidP="008770A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050BF1ED" wp14:editId="0C2D0BE2">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E/C.12/AGO/CO/4-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AGO/CO/4-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472A4" w14:textId="77777777" w:rsidR="00C54481" w:rsidRPr="000B175B" w:rsidRDefault="00C54481" w:rsidP="000B175B">
      <w:pPr>
        <w:tabs>
          <w:tab w:val="right" w:pos="2155"/>
        </w:tabs>
        <w:spacing w:after="80"/>
        <w:ind w:left="680"/>
        <w:rPr>
          <w:u w:val="single"/>
        </w:rPr>
      </w:pPr>
      <w:r>
        <w:rPr>
          <w:u w:val="single"/>
        </w:rPr>
        <w:tab/>
      </w:r>
    </w:p>
  </w:footnote>
  <w:footnote w:type="continuationSeparator" w:id="0">
    <w:p w14:paraId="4F844772" w14:textId="77777777" w:rsidR="00C54481" w:rsidRPr="00FC68B7" w:rsidRDefault="00C54481" w:rsidP="00FC68B7">
      <w:pPr>
        <w:tabs>
          <w:tab w:val="left" w:pos="2155"/>
        </w:tabs>
        <w:spacing w:after="80"/>
        <w:ind w:left="680"/>
        <w:rPr>
          <w:u w:val="single"/>
        </w:rPr>
      </w:pPr>
      <w:r>
        <w:rPr>
          <w:u w:val="single"/>
        </w:rPr>
        <w:tab/>
      </w:r>
    </w:p>
  </w:footnote>
  <w:footnote w:type="continuationNotice" w:id="1">
    <w:p w14:paraId="78522ECA" w14:textId="77777777" w:rsidR="00C54481" w:rsidRDefault="00C54481"/>
  </w:footnote>
  <w:footnote w:id="2">
    <w:p w14:paraId="25FB456D" w14:textId="65895033" w:rsidR="00EB6FDC" w:rsidRPr="00EB6FDC" w:rsidRDefault="00EB6FDC">
      <w:pPr>
        <w:pStyle w:val="FootnoteText"/>
        <w:rPr>
          <w:lang w:val="fr-CH"/>
        </w:rPr>
      </w:pPr>
      <w:r>
        <w:rPr>
          <w:rStyle w:val="FootnoteReference"/>
        </w:rPr>
        <w:tab/>
      </w:r>
      <w:r w:rsidRPr="00EB6FDC">
        <w:rPr>
          <w:rStyle w:val="FootnoteReference"/>
          <w:sz w:val="20"/>
          <w:vertAlign w:val="baseline"/>
        </w:rPr>
        <w:t>*</w:t>
      </w:r>
      <w:r>
        <w:rPr>
          <w:rStyle w:val="FootnoteReference"/>
          <w:sz w:val="20"/>
          <w:vertAlign w:val="baseline"/>
        </w:rPr>
        <w:tab/>
      </w:r>
      <w:proofErr w:type="gramStart"/>
      <w:r w:rsidRPr="00EB6FDC">
        <w:rPr>
          <w:szCs w:val="18"/>
        </w:rPr>
        <w:t xml:space="preserve">Reissued for technical reasons on </w:t>
      </w:r>
      <w:r w:rsidR="00D0587E">
        <w:rPr>
          <w:szCs w:val="18"/>
        </w:rPr>
        <w:t>18</w:t>
      </w:r>
      <w:r w:rsidRPr="00EB6FDC">
        <w:rPr>
          <w:szCs w:val="18"/>
        </w:rPr>
        <w:t xml:space="preserve"> November 2016.</w:t>
      </w:r>
      <w:proofErr w:type="gramEnd"/>
    </w:p>
  </w:footnote>
  <w:footnote w:id="3">
    <w:p w14:paraId="46B09D34" w14:textId="0BC5E35D" w:rsidR="00AA0C6E" w:rsidRPr="002C5E82" w:rsidRDefault="00AA0C6E" w:rsidP="0093394F">
      <w:pPr>
        <w:pStyle w:val="FootnoteText"/>
        <w:rPr>
          <w:lang w:eastAsia="fr-FR"/>
        </w:rPr>
      </w:pPr>
      <w:r>
        <w:tab/>
      </w:r>
      <w:proofErr w:type="gramStart"/>
      <w:r w:rsidR="00EB6FDC" w:rsidRPr="00EB6FDC">
        <w:rPr>
          <w:sz w:val="20"/>
        </w:rPr>
        <w:t>*</w:t>
      </w:r>
      <w:r w:rsidRPr="008F0D36">
        <w:rPr>
          <w:rStyle w:val="FootnoteReference"/>
          <w:sz w:val="20"/>
          <w:vertAlign w:val="baseline"/>
        </w:rPr>
        <w:t>*</w:t>
      </w:r>
      <w:r>
        <w:tab/>
        <w:t>Adopted by the Committee at its fifty-eighth session (6-24 June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8A8E4" w14:textId="4AA4526E" w:rsidR="00AA0C6E" w:rsidRPr="003D2931" w:rsidRDefault="00AA0C6E" w:rsidP="00087903">
    <w:pPr>
      <w:pStyle w:val="Header"/>
      <w:rPr>
        <w:lang w:val="fr-CH"/>
      </w:rPr>
    </w:pPr>
    <w:r>
      <w:rPr>
        <w:lang w:val="fr-CH"/>
      </w:rPr>
      <w:t>E/C.12/AGO/CO/4-5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CAEA4" w14:textId="1CFB2F63" w:rsidR="00AA0C6E" w:rsidRPr="003D2931" w:rsidRDefault="00AA0C6E" w:rsidP="007949E7">
    <w:pPr>
      <w:pStyle w:val="Header"/>
      <w:jc w:val="right"/>
      <w:rPr>
        <w:lang w:val="fr-CH"/>
      </w:rPr>
    </w:pPr>
    <w:r>
      <w:rPr>
        <w:lang w:val="fr-CH"/>
      </w:rPr>
      <w:t>E/C.12/AGO/CO/4-5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3AF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1BD5E87"/>
    <w:multiLevelType w:val="hybridMultilevel"/>
    <w:tmpl w:val="9F76F3FE"/>
    <w:lvl w:ilvl="0" w:tplc="5578373E">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B0D2EEF"/>
    <w:multiLevelType w:val="hybridMultilevel"/>
    <w:tmpl w:val="ABC08178"/>
    <w:lvl w:ilvl="0" w:tplc="FAC89670">
      <w:start w:val="1"/>
      <w:numFmt w:val="lowerLetter"/>
      <w:lvlText w:val="(%1)"/>
      <w:lvlJc w:val="left"/>
      <w:pPr>
        <w:ind w:left="4188" w:hanging="360"/>
      </w:pPr>
      <w:rPr>
        <w:rFonts w:hint="default"/>
      </w:r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15">
    <w:nsid w:val="13986316"/>
    <w:multiLevelType w:val="hybridMultilevel"/>
    <w:tmpl w:val="91447BC6"/>
    <w:lvl w:ilvl="0" w:tplc="F7262D6A">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761699"/>
    <w:multiLevelType w:val="hybridMultilevel"/>
    <w:tmpl w:val="E2F8D574"/>
    <w:lvl w:ilvl="0" w:tplc="5578373E">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9">
    <w:nsid w:val="2AB05A92"/>
    <w:multiLevelType w:val="hybridMultilevel"/>
    <w:tmpl w:val="E3CEEAE8"/>
    <w:lvl w:ilvl="0" w:tplc="3F7CCA5C">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3B7B15"/>
    <w:multiLevelType w:val="hybridMultilevel"/>
    <w:tmpl w:val="4712D53C"/>
    <w:lvl w:ilvl="0" w:tplc="9EA6D704">
      <w:start w:val="1"/>
      <w:numFmt w:val="lowerLetter"/>
      <w:lvlText w:val="(%1)"/>
      <w:lvlJc w:val="left"/>
      <w:pPr>
        <w:ind w:left="3465" w:hanging="1200"/>
      </w:pPr>
      <w:rPr>
        <w:rFonts w:hint="default"/>
      </w:r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abstractNum w:abstractNumId="22">
    <w:nsid w:val="3B991499"/>
    <w:multiLevelType w:val="hybridMultilevel"/>
    <w:tmpl w:val="F1526DAE"/>
    <w:lvl w:ilvl="0" w:tplc="46883F40">
      <w:start w:val="1"/>
      <w:numFmt w:val="decimal"/>
      <w:lvlText w:val="%1."/>
      <w:lvlJc w:val="left"/>
      <w:pPr>
        <w:ind w:left="1353" w:hanging="360"/>
      </w:pPr>
      <w:rPr>
        <w:rFonts w:ascii="Times New Roman" w:hAnsi="Times New Roman" w:cs="Times New Roman" w:hint="default"/>
        <w:b w:val="0"/>
        <w:color w:val="auto"/>
        <w:sz w:val="20"/>
        <w:szCs w:val="2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3">
    <w:nsid w:val="3D42591E"/>
    <w:multiLevelType w:val="hybridMultilevel"/>
    <w:tmpl w:val="5B228976"/>
    <w:lvl w:ilvl="0" w:tplc="DA88174E">
      <w:start w:val="1"/>
      <w:numFmt w:val="decimal"/>
      <w:lvlText w:val="(%1)"/>
      <w:lvlJc w:val="left"/>
      <w:pPr>
        <w:ind w:left="1920" w:hanging="360"/>
      </w:pPr>
      <w:rPr>
        <w:rFonts w:ascii="Verdana" w:hAnsi="Verdana" w:hint="default"/>
        <w:color w:val="333333"/>
        <w:sz w:val="18"/>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4">
    <w:nsid w:val="3F346B4A"/>
    <w:multiLevelType w:val="hybridMultilevel"/>
    <w:tmpl w:val="D94CDAC6"/>
    <w:lvl w:ilvl="0" w:tplc="217E2618">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5">
    <w:nsid w:val="45127451"/>
    <w:multiLevelType w:val="hybridMultilevel"/>
    <w:tmpl w:val="EF7CEE74"/>
    <w:lvl w:ilvl="0" w:tplc="01CEA12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nsid w:val="4EBF3756"/>
    <w:multiLevelType w:val="hybridMultilevel"/>
    <w:tmpl w:val="EDE2775C"/>
    <w:lvl w:ilvl="0" w:tplc="0CAEEEC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4F0255FA"/>
    <w:multiLevelType w:val="hybridMultilevel"/>
    <w:tmpl w:val="9F76F3FE"/>
    <w:lvl w:ilvl="0" w:tplc="5578373E">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8">
    <w:nsid w:val="51A72D8A"/>
    <w:multiLevelType w:val="hybridMultilevel"/>
    <w:tmpl w:val="944CADB6"/>
    <w:lvl w:ilvl="0" w:tplc="093EE94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088100D"/>
    <w:multiLevelType w:val="hybridMultilevel"/>
    <w:tmpl w:val="B4DE3832"/>
    <w:lvl w:ilvl="0" w:tplc="2DCA2690">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1">
    <w:nsid w:val="657C0C5F"/>
    <w:multiLevelType w:val="hybridMultilevel"/>
    <w:tmpl w:val="4712D53C"/>
    <w:lvl w:ilvl="0" w:tplc="9EA6D704">
      <w:start w:val="1"/>
      <w:numFmt w:val="lowerLetter"/>
      <w:lvlText w:val="(%1)"/>
      <w:lvlJc w:val="left"/>
      <w:pPr>
        <w:ind w:left="3465" w:hanging="1200"/>
      </w:pPr>
      <w:rPr>
        <w:rFonts w:hint="default"/>
      </w:r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abstractNum w:abstractNumId="32">
    <w:nsid w:val="6C8C0622"/>
    <w:multiLevelType w:val="hybridMultilevel"/>
    <w:tmpl w:val="E3C6D296"/>
    <w:lvl w:ilvl="0" w:tplc="9EA6D70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nsid w:val="7B570BF1"/>
    <w:multiLevelType w:val="hybridMultilevel"/>
    <w:tmpl w:val="516A9F00"/>
    <w:lvl w:ilvl="0" w:tplc="5EB4936C">
      <w:start w:val="1"/>
      <w:numFmt w:val="decimal"/>
      <w:lvlText w:val="%1."/>
      <w:lvlJc w:val="left"/>
      <w:pPr>
        <w:ind w:left="2278" w:hanging="576"/>
      </w:pPr>
      <w:rPr>
        <w:b w:val="0"/>
        <w:bCs w:val="0"/>
        <w:i w:val="0"/>
        <w:color w:val="auto"/>
        <w:sz w:val="20"/>
        <w:szCs w:val="20"/>
        <w:lang w:val="en-U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0"/>
  </w:num>
  <w:num w:numId="12">
    <w:abstractNumId w:val="17"/>
  </w:num>
  <w:num w:numId="13">
    <w:abstractNumId w:val="11"/>
  </w:num>
  <w:num w:numId="14">
    <w:abstractNumId w:val="29"/>
  </w:num>
  <w:num w:numId="15">
    <w:abstractNumId w:val="16"/>
  </w:num>
  <w:num w:numId="16">
    <w:abstractNumId w:val="13"/>
  </w:num>
  <w:num w:numId="17">
    <w:abstractNumId w:val="22"/>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1"/>
  </w:num>
  <w:num w:numId="21">
    <w:abstractNumId w:val="24"/>
  </w:num>
  <w:num w:numId="22">
    <w:abstractNumId w:val="28"/>
  </w:num>
  <w:num w:numId="23">
    <w:abstractNumId w:val="23"/>
  </w:num>
  <w:num w:numId="24">
    <w:abstractNumId w:val="26"/>
  </w:num>
  <w:num w:numId="25">
    <w:abstractNumId w:val="15"/>
  </w:num>
  <w:num w:numId="26">
    <w:abstractNumId w:val="14"/>
  </w:num>
  <w:num w:numId="27">
    <w:abstractNumId w:val="22"/>
  </w:num>
  <w:num w:numId="28">
    <w:abstractNumId w:val="18"/>
  </w:num>
  <w:num w:numId="29">
    <w:abstractNumId w:val="12"/>
  </w:num>
  <w:num w:numId="30">
    <w:abstractNumId w:val="19"/>
  </w:num>
  <w:num w:numId="31">
    <w:abstractNumId w:val="25"/>
  </w:num>
  <w:num w:numId="32">
    <w:abstractNumId w:val="30"/>
  </w:num>
  <w:num w:numId="33">
    <w:abstractNumId w:val="27"/>
  </w:num>
  <w:num w:numId="34">
    <w:abstractNumId w:val="0"/>
  </w:num>
  <w:num w:numId="35">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1"/>
  <w:activeWritingStyle w:appName="MSWord" w:lang="es-ES_tradnl"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93"/>
    <w:rsid w:val="00003796"/>
    <w:rsid w:val="00006396"/>
    <w:rsid w:val="0001150F"/>
    <w:rsid w:val="00013524"/>
    <w:rsid w:val="00013DE0"/>
    <w:rsid w:val="00014165"/>
    <w:rsid w:val="000147D1"/>
    <w:rsid w:val="00016AA6"/>
    <w:rsid w:val="00020FDF"/>
    <w:rsid w:val="00030B99"/>
    <w:rsid w:val="00040DB0"/>
    <w:rsid w:val="000411BC"/>
    <w:rsid w:val="00042C5C"/>
    <w:rsid w:val="00050F6B"/>
    <w:rsid w:val="00051CD4"/>
    <w:rsid w:val="00053ABF"/>
    <w:rsid w:val="00054995"/>
    <w:rsid w:val="00060C27"/>
    <w:rsid w:val="00061941"/>
    <w:rsid w:val="0006461C"/>
    <w:rsid w:val="000726E8"/>
    <w:rsid w:val="00072C8C"/>
    <w:rsid w:val="00072EAC"/>
    <w:rsid w:val="00073BE9"/>
    <w:rsid w:val="00084898"/>
    <w:rsid w:val="00087903"/>
    <w:rsid w:val="00087C3C"/>
    <w:rsid w:val="000931C0"/>
    <w:rsid w:val="0009754B"/>
    <w:rsid w:val="000A2266"/>
    <w:rsid w:val="000B175B"/>
    <w:rsid w:val="000B3A0F"/>
    <w:rsid w:val="000B7C86"/>
    <w:rsid w:val="000C0395"/>
    <w:rsid w:val="000C3162"/>
    <w:rsid w:val="000C3218"/>
    <w:rsid w:val="000C4C55"/>
    <w:rsid w:val="000E0415"/>
    <w:rsid w:val="0010210D"/>
    <w:rsid w:val="001042FB"/>
    <w:rsid w:val="00125523"/>
    <w:rsid w:val="00131A36"/>
    <w:rsid w:val="00136105"/>
    <w:rsid w:val="0014419C"/>
    <w:rsid w:val="001514B0"/>
    <w:rsid w:val="00165DF1"/>
    <w:rsid w:val="00173234"/>
    <w:rsid w:val="0017714E"/>
    <w:rsid w:val="00180E15"/>
    <w:rsid w:val="00183058"/>
    <w:rsid w:val="0018694B"/>
    <w:rsid w:val="00192722"/>
    <w:rsid w:val="001937A7"/>
    <w:rsid w:val="0019410B"/>
    <w:rsid w:val="001A5F06"/>
    <w:rsid w:val="001A73BC"/>
    <w:rsid w:val="001B02DA"/>
    <w:rsid w:val="001B14DC"/>
    <w:rsid w:val="001B4B04"/>
    <w:rsid w:val="001B4BE0"/>
    <w:rsid w:val="001B5A25"/>
    <w:rsid w:val="001B7BE5"/>
    <w:rsid w:val="001C18D6"/>
    <w:rsid w:val="001C4542"/>
    <w:rsid w:val="001C5291"/>
    <w:rsid w:val="001C6663"/>
    <w:rsid w:val="001C7895"/>
    <w:rsid w:val="001D063D"/>
    <w:rsid w:val="001D1861"/>
    <w:rsid w:val="001D1F66"/>
    <w:rsid w:val="001D26DF"/>
    <w:rsid w:val="001D3443"/>
    <w:rsid w:val="001D35AC"/>
    <w:rsid w:val="001D574B"/>
    <w:rsid w:val="001E3B3E"/>
    <w:rsid w:val="001F1148"/>
    <w:rsid w:val="001F3FDF"/>
    <w:rsid w:val="001F6511"/>
    <w:rsid w:val="001F74B2"/>
    <w:rsid w:val="00200B44"/>
    <w:rsid w:val="00202AF1"/>
    <w:rsid w:val="00204081"/>
    <w:rsid w:val="00205E77"/>
    <w:rsid w:val="00207096"/>
    <w:rsid w:val="00211E0B"/>
    <w:rsid w:val="0021346B"/>
    <w:rsid w:val="00216511"/>
    <w:rsid w:val="00221C1D"/>
    <w:rsid w:val="00227AFC"/>
    <w:rsid w:val="0024138E"/>
    <w:rsid w:val="0024165B"/>
    <w:rsid w:val="00242A93"/>
    <w:rsid w:val="00246FD4"/>
    <w:rsid w:val="00251C39"/>
    <w:rsid w:val="002824FE"/>
    <w:rsid w:val="00286478"/>
    <w:rsid w:val="002908D5"/>
    <w:rsid w:val="002A61B9"/>
    <w:rsid w:val="002A66E8"/>
    <w:rsid w:val="002B5E1C"/>
    <w:rsid w:val="002C1690"/>
    <w:rsid w:val="002C5E82"/>
    <w:rsid w:val="002C7840"/>
    <w:rsid w:val="002D3BEB"/>
    <w:rsid w:val="002D6402"/>
    <w:rsid w:val="002E0825"/>
    <w:rsid w:val="002E0856"/>
    <w:rsid w:val="002E0EBC"/>
    <w:rsid w:val="002E1967"/>
    <w:rsid w:val="002E1C31"/>
    <w:rsid w:val="002E416E"/>
    <w:rsid w:val="002E4711"/>
    <w:rsid w:val="002F2936"/>
    <w:rsid w:val="002F3320"/>
    <w:rsid w:val="002F6E5E"/>
    <w:rsid w:val="003066C7"/>
    <w:rsid w:val="003107FA"/>
    <w:rsid w:val="00313BB7"/>
    <w:rsid w:val="00315D28"/>
    <w:rsid w:val="003229D8"/>
    <w:rsid w:val="003244CA"/>
    <w:rsid w:val="00330A0D"/>
    <w:rsid w:val="00331F0B"/>
    <w:rsid w:val="0033262B"/>
    <w:rsid w:val="003335E1"/>
    <w:rsid w:val="00333F2B"/>
    <w:rsid w:val="00351568"/>
    <w:rsid w:val="0036002E"/>
    <w:rsid w:val="00360D28"/>
    <w:rsid w:val="003710F6"/>
    <w:rsid w:val="00371B04"/>
    <w:rsid w:val="003913DB"/>
    <w:rsid w:val="0039277A"/>
    <w:rsid w:val="0039527A"/>
    <w:rsid w:val="003965C6"/>
    <w:rsid w:val="00396D66"/>
    <w:rsid w:val="003972E0"/>
    <w:rsid w:val="003A2B19"/>
    <w:rsid w:val="003A30DF"/>
    <w:rsid w:val="003A3758"/>
    <w:rsid w:val="003A565B"/>
    <w:rsid w:val="003B3AF5"/>
    <w:rsid w:val="003B5235"/>
    <w:rsid w:val="003C2CC4"/>
    <w:rsid w:val="003D2931"/>
    <w:rsid w:val="003D2CBF"/>
    <w:rsid w:val="003D4B23"/>
    <w:rsid w:val="003F111F"/>
    <w:rsid w:val="003F194B"/>
    <w:rsid w:val="0041099C"/>
    <w:rsid w:val="004146E3"/>
    <w:rsid w:val="004170E9"/>
    <w:rsid w:val="004243E2"/>
    <w:rsid w:val="00425E4F"/>
    <w:rsid w:val="004325CB"/>
    <w:rsid w:val="00432DBE"/>
    <w:rsid w:val="00437ED2"/>
    <w:rsid w:val="00442080"/>
    <w:rsid w:val="004464E0"/>
    <w:rsid w:val="00446DE4"/>
    <w:rsid w:val="00446F00"/>
    <w:rsid w:val="004474BB"/>
    <w:rsid w:val="004478B2"/>
    <w:rsid w:val="00452E3C"/>
    <w:rsid w:val="00457830"/>
    <w:rsid w:val="0046292F"/>
    <w:rsid w:val="00472A50"/>
    <w:rsid w:val="004769AE"/>
    <w:rsid w:val="00476BD2"/>
    <w:rsid w:val="00477CE1"/>
    <w:rsid w:val="00477F15"/>
    <w:rsid w:val="00480DD8"/>
    <w:rsid w:val="00486835"/>
    <w:rsid w:val="00490D36"/>
    <w:rsid w:val="0049100B"/>
    <w:rsid w:val="00496D5E"/>
    <w:rsid w:val="004A41CA"/>
    <w:rsid w:val="004A6A9F"/>
    <w:rsid w:val="004B6C5C"/>
    <w:rsid w:val="004B7FC9"/>
    <w:rsid w:val="004D6867"/>
    <w:rsid w:val="004E0474"/>
    <w:rsid w:val="004E3827"/>
    <w:rsid w:val="004F1B9B"/>
    <w:rsid w:val="004F49FC"/>
    <w:rsid w:val="004F57F0"/>
    <w:rsid w:val="0050370D"/>
    <w:rsid w:val="005107DB"/>
    <w:rsid w:val="00510919"/>
    <w:rsid w:val="00511565"/>
    <w:rsid w:val="0051291C"/>
    <w:rsid w:val="005136AF"/>
    <w:rsid w:val="00514775"/>
    <w:rsid w:val="00516326"/>
    <w:rsid w:val="0051635F"/>
    <w:rsid w:val="00526205"/>
    <w:rsid w:val="00527569"/>
    <w:rsid w:val="00527872"/>
    <w:rsid w:val="005278FD"/>
    <w:rsid w:val="0053239B"/>
    <w:rsid w:val="00534A1D"/>
    <w:rsid w:val="00540E79"/>
    <w:rsid w:val="005420F2"/>
    <w:rsid w:val="00542D8C"/>
    <w:rsid w:val="00546C52"/>
    <w:rsid w:val="00550699"/>
    <w:rsid w:val="00552763"/>
    <w:rsid w:val="00553D6C"/>
    <w:rsid w:val="00556A05"/>
    <w:rsid w:val="005574C4"/>
    <w:rsid w:val="00557658"/>
    <w:rsid w:val="0056033A"/>
    <w:rsid w:val="00565AAC"/>
    <w:rsid w:val="0056626A"/>
    <w:rsid w:val="00572D8B"/>
    <w:rsid w:val="005751F1"/>
    <w:rsid w:val="00584DF7"/>
    <w:rsid w:val="00585D84"/>
    <w:rsid w:val="005920C3"/>
    <w:rsid w:val="0059667B"/>
    <w:rsid w:val="00597B2E"/>
    <w:rsid w:val="005A1ED0"/>
    <w:rsid w:val="005B3DB3"/>
    <w:rsid w:val="005B53D2"/>
    <w:rsid w:val="005B5BF5"/>
    <w:rsid w:val="005B6948"/>
    <w:rsid w:val="005C3701"/>
    <w:rsid w:val="005D7A78"/>
    <w:rsid w:val="005E02F0"/>
    <w:rsid w:val="005E13C0"/>
    <w:rsid w:val="005E3815"/>
    <w:rsid w:val="005E670D"/>
    <w:rsid w:val="005E6DD3"/>
    <w:rsid w:val="005E74C7"/>
    <w:rsid w:val="005F0D1D"/>
    <w:rsid w:val="005F2886"/>
    <w:rsid w:val="005F4C7C"/>
    <w:rsid w:val="005F599D"/>
    <w:rsid w:val="005F6225"/>
    <w:rsid w:val="00604C52"/>
    <w:rsid w:val="00605909"/>
    <w:rsid w:val="006104E7"/>
    <w:rsid w:val="00611EB3"/>
    <w:rsid w:val="00611FC4"/>
    <w:rsid w:val="0061628C"/>
    <w:rsid w:val="006176FB"/>
    <w:rsid w:val="00622BAE"/>
    <w:rsid w:val="00627ED0"/>
    <w:rsid w:val="00630999"/>
    <w:rsid w:val="00630BA0"/>
    <w:rsid w:val="00631901"/>
    <w:rsid w:val="00634E15"/>
    <w:rsid w:val="00637580"/>
    <w:rsid w:val="00640B26"/>
    <w:rsid w:val="00643068"/>
    <w:rsid w:val="00650483"/>
    <w:rsid w:val="00650E27"/>
    <w:rsid w:val="00652599"/>
    <w:rsid w:val="00654857"/>
    <w:rsid w:val="00654E1E"/>
    <w:rsid w:val="00662121"/>
    <w:rsid w:val="00665595"/>
    <w:rsid w:val="0066595A"/>
    <w:rsid w:val="00666EFA"/>
    <w:rsid w:val="00667EED"/>
    <w:rsid w:val="00671C9C"/>
    <w:rsid w:val="00676769"/>
    <w:rsid w:val="006837FE"/>
    <w:rsid w:val="006A0307"/>
    <w:rsid w:val="006A17DC"/>
    <w:rsid w:val="006A4B2D"/>
    <w:rsid w:val="006A645E"/>
    <w:rsid w:val="006A7392"/>
    <w:rsid w:val="006B069D"/>
    <w:rsid w:val="006B4710"/>
    <w:rsid w:val="006D0000"/>
    <w:rsid w:val="006D41C7"/>
    <w:rsid w:val="006E0A73"/>
    <w:rsid w:val="006E2762"/>
    <w:rsid w:val="006E564B"/>
    <w:rsid w:val="006F2455"/>
    <w:rsid w:val="006F48BD"/>
    <w:rsid w:val="007005CE"/>
    <w:rsid w:val="007008CD"/>
    <w:rsid w:val="007063BC"/>
    <w:rsid w:val="007140A6"/>
    <w:rsid w:val="007232A9"/>
    <w:rsid w:val="0072332E"/>
    <w:rsid w:val="0072534B"/>
    <w:rsid w:val="0072597D"/>
    <w:rsid w:val="0072632A"/>
    <w:rsid w:val="0073354E"/>
    <w:rsid w:val="00736F80"/>
    <w:rsid w:val="007422A8"/>
    <w:rsid w:val="007457A3"/>
    <w:rsid w:val="00747D37"/>
    <w:rsid w:val="0075099D"/>
    <w:rsid w:val="00751737"/>
    <w:rsid w:val="007522C3"/>
    <w:rsid w:val="007538CA"/>
    <w:rsid w:val="00765ADB"/>
    <w:rsid w:val="00770282"/>
    <w:rsid w:val="0077156C"/>
    <w:rsid w:val="007765DB"/>
    <w:rsid w:val="00780955"/>
    <w:rsid w:val="00781D9E"/>
    <w:rsid w:val="007841D1"/>
    <w:rsid w:val="00784C0B"/>
    <w:rsid w:val="007949E7"/>
    <w:rsid w:val="00796142"/>
    <w:rsid w:val="007A1923"/>
    <w:rsid w:val="007A2854"/>
    <w:rsid w:val="007A690C"/>
    <w:rsid w:val="007B5A46"/>
    <w:rsid w:val="007B6BA5"/>
    <w:rsid w:val="007C1FBF"/>
    <w:rsid w:val="007C3390"/>
    <w:rsid w:val="007C4F4B"/>
    <w:rsid w:val="007D68FB"/>
    <w:rsid w:val="007E06A1"/>
    <w:rsid w:val="007E2C6D"/>
    <w:rsid w:val="007E344F"/>
    <w:rsid w:val="007F0B83"/>
    <w:rsid w:val="007F1E0C"/>
    <w:rsid w:val="007F4381"/>
    <w:rsid w:val="007F52E3"/>
    <w:rsid w:val="007F6611"/>
    <w:rsid w:val="00803C67"/>
    <w:rsid w:val="008049F7"/>
    <w:rsid w:val="00810755"/>
    <w:rsid w:val="00810FE6"/>
    <w:rsid w:val="00811836"/>
    <w:rsid w:val="008175E9"/>
    <w:rsid w:val="00817876"/>
    <w:rsid w:val="0082362F"/>
    <w:rsid w:val="00823EA9"/>
    <w:rsid w:val="008242D7"/>
    <w:rsid w:val="00824D2C"/>
    <w:rsid w:val="00826002"/>
    <w:rsid w:val="008311A3"/>
    <w:rsid w:val="00831484"/>
    <w:rsid w:val="00840224"/>
    <w:rsid w:val="00851904"/>
    <w:rsid w:val="00862C0A"/>
    <w:rsid w:val="00871FD5"/>
    <w:rsid w:val="008770AA"/>
    <w:rsid w:val="008806E7"/>
    <w:rsid w:val="008825D3"/>
    <w:rsid w:val="00890E27"/>
    <w:rsid w:val="00892982"/>
    <w:rsid w:val="00892ECF"/>
    <w:rsid w:val="008979B1"/>
    <w:rsid w:val="008A6B25"/>
    <w:rsid w:val="008A6BF2"/>
    <w:rsid w:val="008A6C4F"/>
    <w:rsid w:val="008B016B"/>
    <w:rsid w:val="008B4BA4"/>
    <w:rsid w:val="008B7A3C"/>
    <w:rsid w:val="008B7B02"/>
    <w:rsid w:val="008C112D"/>
    <w:rsid w:val="008C60D8"/>
    <w:rsid w:val="008D4E69"/>
    <w:rsid w:val="008D74FE"/>
    <w:rsid w:val="008E0E46"/>
    <w:rsid w:val="008E0FD0"/>
    <w:rsid w:val="008E4452"/>
    <w:rsid w:val="008E4FCB"/>
    <w:rsid w:val="008E653C"/>
    <w:rsid w:val="008F0D36"/>
    <w:rsid w:val="008F1555"/>
    <w:rsid w:val="008F25BD"/>
    <w:rsid w:val="008F5143"/>
    <w:rsid w:val="008F78EE"/>
    <w:rsid w:val="008F79B2"/>
    <w:rsid w:val="00900474"/>
    <w:rsid w:val="00901FE3"/>
    <w:rsid w:val="00903522"/>
    <w:rsid w:val="00903C64"/>
    <w:rsid w:val="0090566D"/>
    <w:rsid w:val="009074B7"/>
    <w:rsid w:val="00907AD2"/>
    <w:rsid w:val="009123CC"/>
    <w:rsid w:val="00912AF3"/>
    <w:rsid w:val="00913622"/>
    <w:rsid w:val="009154FE"/>
    <w:rsid w:val="00922B52"/>
    <w:rsid w:val="00925E4E"/>
    <w:rsid w:val="0093394F"/>
    <w:rsid w:val="00936C7B"/>
    <w:rsid w:val="00942AF7"/>
    <w:rsid w:val="009432BA"/>
    <w:rsid w:val="00943979"/>
    <w:rsid w:val="00943D60"/>
    <w:rsid w:val="009542A7"/>
    <w:rsid w:val="009559BE"/>
    <w:rsid w:val="00963CBA"/>
    <w:rsid w:val="0096657F"/>
    <w:rsid w:val="00967060"/>
    <w:rsid w:val="009702DE"/>
    <w:rsid w:val="00973D8F"/>
    <w:rsid w:val="00974A8D"/>
    <w:rsid w:val="00984DD9"/>
    <w:rsid w:val="00986F7D"/>
    <w:rsid w:val="00991261"/>
    <w:rsid w:val="00995DB7"/>
    <w:rsid w:val="009A44AB"/>
    <w:rsid w:val="009A60AE"/>
    <w:rsid w:val="009A6E6C"/>
    <w:rsid w:val="009B0D87"/>
    <w:rsid w:val="009C01F9"/>
    <w:rsid w:val="009C43CE"/>
    <w:rsid w:val="009D253E"/>
    <w:rsid w:val="009D3C7A"/>
    <w:rsid w:val="009D4D01"/>
    <w:rsid w:val="009E2C7F"/>
    <w:rsid w:val="009E4FED"/>
    <w:rsid w:val="009E7C2A"/>
    <w:rsid w:val="009F22A1"/>
    <w:rsid w:val="009F3A17"/>
    <w:rsid w:val="00A11821"/>
    <w:rsid w:val="00A1427D"/>
    <w:rsid w:val="00A14809"/>
    <w:rsid w:val="00A14FB9"/>
    <w:rsid w:val="00A200CB"/>
    <w:rsid w:val="00A20C6B"/>
    <w:rsid w:val="00A21ADA"/>
    <w:rsid w:val="00A23D41"/>
    <w:rsid w:val="00A37D88"/>
    <w:rsid w:val="00A42E0F"/>
    <w:rsid w:val="00A4594D"/>
    <w:rsid w:val="00A50F86"/>
    <w:rsid w:val="00A609FF"/>
    <w:rsid w:val="00A6542E"/>
    <w:rsid w:val="00A674B8"/>
    <w:rsid w:val="00A67892"/>
    <w:rsid w:val="00A7150E"/>
    <w:rsid w:val="00A72F22"/>
    <w:rsid w:val="00A73266"/>
    <w:rsid w:val="00A73315"/>
    <w:rsid w:val="00A748A6"/>
    <w:rsid w:val="00A77059"/>
    <w:rsid w:val="00A879A4"/>
    <w:rsid w:val="00A91A6B"/>
    <w:rsid w:val="00A9232E"/>
    <w:rsid w:val="00A97DAE"/>
    <w:rsid w:val="00AA0C6E"/>
    <w:rsid w:val="00AA39FD"/>
    <w:rsid w:val="00AB2E60"/>
    <w:rsid w:val="00AB388B"/>
    <w:rsid w:val="00AB3955"/>
    <w:rsid w:val="00AB7138"/>
    <w:rsid w:val="00AC3713"/>
    <w:rsid w:val="00AC4581"/>
    <w:rsid w:val="00AC4B2A"/>
    <w:rsid w:val="00AD3B5F"/>
    <w:rsid w:val="00AD4202"/>
    <w:rsid w:val="00AD4C72"/>
    <w:rsid w:val="00AD6A4D"/>
    <w:rsid w:val="00AE3ADD"/>
    <w:rsid w:val="00AE7000"/>
    <w:rsid w:val="00AF393D"/>
    <w:rsid w:val="00AF3998"/>
    <w:rsid w:val="00AF5B80"/>
    <w:rsid w:val="00AF7AA6"/>
    <w:rsid w:val="00B007CD"/>
    <w:rsid w:val="00B02D02"/>
    <w:rsid w:val="00B056AC"/>
    <w:rsid w:val="00B06459"/>
    <w:rsid w:val="00B07384"/>
    <w:rsid w:val="00B10F56"/>
    <w:rsid w:val="00B15056"/>
    <w:rsid w:val="00B20D2F"/>
    <w:rsid w:val="00B21CAD"/>
    <w:rsid w:val="00B222CE"/>
    <w:rsid w:val="00B2719C"/>
    <w:rsid w:val="00B27AF8"/>
    <w:rsid w:val="00B30179"/>
    <w:rsid w:val="00B33EC0"/>
    <w:rsid w:val="00B35DE8"/>
    <w:rsid w:val="00B42C86"/>
    <w:rsid w:val="00B44C3B"/>
    <w:rsid w:val="00B45D82"/>
    <w:rsid w:val="00B63A9C"/>
    <w:rsid w:val="00B64C09"/>
    <w:rsid w:val="00B72C36"/>
    <w:rsid w:val="00B7443F"/>
    <w:rsid w:val="00B76F11"/>
    <w:rsid w:val="00B81E12"/>
    <w:rsid w:val="00B87488"/>
    <w:rsid w:val="00B91B0C"/>
    <w:rsid w:val="00B92736"/>
    <w:rsid w:val="00B92FAD"/>
    <w:rsid w:val="00B97301"/>
    <w:rsid w:val="00BA0659"/>
    <w:rsid w:val="00BA3A0E"/>
    <w:rsid w:val="00BB476A"/>
    <w:rsid w:val="00BB700A"/>
    <w:rsid w:val="00BC0578"/>
    <w:rsid w:val="00BC0C0E"/>
    <w:rsid w:val="00BC1969"/>
    <w:rsid w:val="00BC74E9"/>
    <w:rsid w:val="00BD07EF"/>
    <w:rsid w:val="00BD5687"/>
    <w:rsid w:val="00BE4E39"/>
    <w:rsid w:val="00BE4F74"/>
    <w:rsid w:val="00BE5A5B"/>
    <w:rsid w:val="00BE618E"/>
    <w:rsid w:val="00BF0E88"/>
    <w:rsid w:val="00C0057D"/>
    <w:rsid w:val="00C02DDE"/>
    <w:rsid w:val="00C0388A"/>
    <w:rsid w:val="00C043D8"/>
    <w:rsid w:val="00C11B6B"/>
    <w:rsid w:val="00C215A0"/>
    <w:rsid w:val="00C26859"/>
    <w:rsid w:val="00C43863"/>
    <w:rsid w:val="00C44D3F"/>
    <w:rsid w:val="00C463DD"/>
    <w:rsid w:val="00C47837"/>
    <w:rsid w:val="00C50031"/>
    <w:rsid w:val="00C50271"/>
    <w:rsid w:val="00C54481"/>
    <w:rsid w:val="00C54BEF"/>
    <w:rsid w:val="00C6315A"/>
    <w:rsid w:val="00C64F4A"/>
    <w:rsid w:val="00C67CEE"/>
    <w:rsid w:val="00C728BC"/>
    <w:rsid w:val="00C745C3"/>
    <w:rsid w:val="00C7649E"/>
    <w:rsid w:val="00C7767A"/>
    <w:rsid w:val="00C82F62"/>
    <w:rsid w:val="00C84722"/>
    <w:rsid w:val="00C85A4D"/>
    <w:rsid w:val="00C91256"/>
    <w:rsid w:val="00C97AA3"/>
    <w:rsid w:val="00CA0EB7"/>
    <w:rsid w:val="00CA1777"/>
    <w:rsid w:val="00CA4F8D"/>
    <w:rsid w:val="00CA5648"/>
    <w:rsid w:val="00CA6EE6"/>
    <w:rsid w:val="00CB2883"/>
    <w:rsid w:val="00CB6A76"/>
    <w:rsid w:val="00CC0BB1"/>
    <w:rsid w:val="00CC2CB6"/>
    <w:rsid w:val="00CC2E45"/>
    <w:rsid w:val="00CC54DF"/>
    <w:rsid w:val="00CC5963"/>
    <w:rsid w:val="00CD5DEC"/>
    <w:rsid w:val="00CE2683"/>
    <w:rsid w:val="00CE351F"/>
    <w:rsid w:val="00CE4A8F"/>
    <w:rsid w:val="00CE523C"/>
    <w:rsid w:val="00CE55A0"/>
    <w:rsid w:val="00CE6C07"/>
    <w:rsid w:val="00CF1B8E"/>
    <w:rsid w:val="00CF6C0A"/>
    <w:rsid w:val="00CF6FBF"/>
    <w:rsid w:val="00CF7747"/>
    <w:rsid w:val="00D03E69"/>
    <w:rsid w:val="00D0587E"/>
    <w:rsid w:val="00D06AA8"/>
    <w:rsid w:val="00D1183A"/>
    <w:rsid w:val="00D13424"/>
    <w:rsid w:val="00D144F2"/>
    <w:rsid w:val="00D2031B"/>
    <w:rsid w:val="00D24FF7"/>
    <w:rsid w:val="00D25FE2"/>
    <w:rsid w:val="00D27530"/>
    <w:rsid w:val="00D3119B"/>
    <w:rsid w:val="00D3125E"/>
    <w:rsid w:val="00D317BB"/>
    <w:rsid w:val="00D43252"/>
    <w:rsid w:val="00D44E93"/>
    <w:rsid w:val="00D46FD2"/>
    <w:rsid w:val="00D73009"/>
    <w:rsid w:val="00D80302"/>
    <w:rsid w:val="00D85E6A"/>
    <w:rsid w:val="00D878E8"/>
    <w:rsid w:val="00D968F0"/>
    <w:rsid w:val="00D96ADE"/>
    <w:rsid w:val="00D978C6"/>
    <w:rsid w:val="00D97D35"/>
    <w:rsid w:val="00DA06B8"/>
    <w:rsid w:val="00DA67AD"/>
    <w:rsid w:val="00DB0F0D"/>
    <w:rsid w:val="00DC1FA9"/>
    <w:rsid w:val="00DC242D"/>
    <w:rsid w:val="00DD0DCE"/>
    <w:rsid w:val="00DD1051"/>
    <w:rsid w:val="00DE2505"/>
    <w:rsid w:val="00DE671F"/>
    <w:rsid w:val="00DE7B9F"/>
    <w:rsid w:val="00DF12F7"/>
    <w:rsid w:val="00DF34FB"/>
    <w:rsid w:val="00E01163"/>
    <w:rsid w:val="00E02C81"/>
    <w:rsid w:val="00E04FFD"/>
    <w:rsid w:val="00E0678D"/>
    <w:rsid w:val="00E11495"/>
    <w:rsid w:val="00E12FB1"/>
    <w:rsid w:val="00E130AB"/>
    <w:rsid w:val="00E134E2"/>
    <w:rsid w:val="00E208C8"/>
    <w:rsid w:val="00E23842"/>
    <w:rsid w:val="00E2785E"/>
    <w:rsid w:val="00E332E4"/>
    <w:rsid w:val="00E4080E"/>
    <w:rsid w:val="00E40E00"/>
    <w:rsid w:val="00E40F25"/>
    <w:rsid w:val="00E41090"/>
    <w:rsid w:val="00E436B1"/>
    <w:rsid w:val="00E437FD"/>
    <w:rsid w:val="00E5105E"/>
    <w:rsid w:val="00E5203C"/>
    <w:rsid w:val="00E55FE5"/>
    <w:rsid w:val="00E57021"/>
    <w:rsid w:val="00E5703E"/>
    <w:rsid w:val="00E62C9D"/>
    <w:rsid w:val="00E7260F"/>
    <w:rsid w:val="00E72A10"/>
    <w:rsid w:val="00E73015"/>
    <w:rsid w:val="00E7325B"/>
    <w:rsid w:val="00E74400"/>
    <w:rsid w:val="00E74760"/>
    <w:rsid w:val="00E747CF"/>
    <w:rsid w:val="00E76B60"/>
    <w:rsid w:val="00E76ED5"/>
    <w:rsid w:val="00E82F77"/>
    <w:rsid w:val="00E8454F"/>
    <w:rsid w:val="00E861BE"/>
    <w:rsid w:val="00E87921"/>
    <w:rsid w:val="00E905FF"/>
    <w:rsid w:val="00E91D69"/>
    <w:rsid w:val="00E96630"/>
    <w:rsid w:val="00EA255D"/>
    <w:rsid w:val="00EA660A"/>
    <w:rsid w:val="00EB0D16"/>
    <w:rsid w:val="00EB4B9C"/>
    <w:rsid w:val="00EB6FDC"/>
    <w:rsid w:val="00EB710F"/>
    <w:rsid w:val="00EC0B7D"/>
    <w:rsid w:val="00EC4FBC"/>
    <w:rsid w:val="00ED7A2A"/>
    <w:rsid w:val="00EE38F5"/>
    <w:rsid w:val="00EE7280"/>
    <w:rsid w:val="00EF1D7F"/>
    <w:rsid w:val="00EF215B"/>
    <w:rsid w:val="00EF49A8"/>
    <w:rsid w:val="00EF4F68"/>
    <w:rsid w:val="00F10C13"/>
    <w:rsid w:val="00F11F8B"/>
    <w:rsid w:val="00F126D8"/>
    <w:rsid w:val="00F1387D"/>
    <w:rsid w:val="00F1616A"/>
    <w:rsid w:val="00F257BD"/>
    <w:rsid w:val="00F34F8C"/>
    <w:rsid w:val="00F37D8E"/>
    <w:rsid w:val="00F410F5"/>
    <w:rsid w:val="00F436DE"/>
    <w:rsid w:val="00F53EDA"/>
    <w:rsid w:val="00F61A5F"/>
    <w:rsid w:val="00F622DB"/>
    <w:rsid w:val="00F6345B"/>
    <w:rsid w:val="00F66DA1"/>
    <w:rsid w:val="00F72E6B"/>
    <w:rsid w:val="00F74518"/>
    <w:rsid w:val="00F7753D"/>
    <w:rsid w:val="00F85F34"/>
    <w:rsid w:val="00F9054F"/>
    <w:rsid w:val="00F96B49"/>
    <w:rsid w:val="00FA06F7"/>
    <w:rsid w:val="00FA4581"/>
    <w:rsid w:val="00FA5B2A"/>
    <w:rsid w:val="00FB1138"/>
    <w:rsid w:val="00FB171A"/>
    <w:rsid w:val="00FB2C1E"/>
    <w:rsid w:val="00FB6EFF"/>
    <w:rsid w:val="00FB7C21"/>
    <w:rsid w:val="00FC06C8"/>
    <w:rsid w:val="00FC0DB9"/>
    <w:rsid w:val="00FC68B7"/>
    <w:rsid w:val="00FC6FBC"/>
    <w:rsid w:val="00FD2B55"/>
    <w:rsid w:val="00FD64FF"/>
    <w:rsid w:val="00FD7BF6"/>
    <w:rsid w:val="00FE6E0A"/>
    <w:rsid w:val="00FF1B15"/>
    <w:rsid w:val="00FF4530"/>
    <w:rsid w:val="00FF4F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14:docId w14:val="008A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character" w:customStyle="1" w:styleId="HChGChar">
    <w:name w:val="_ H _Ch_G Char"/>
    <w:link w:val="HChG"/>
    <w:rsid w:val="00371B04"/>
    <w:rPr>
      <w:b/>
      <w:sz w:val="28"/>
      <w:lang w:val="en-GB" w:eastAsia="en-US" w:bidi="ar-SA"/>
    </w:rPr>
  </w:style>
  <w:style w:type="character" w:customStyle="1" w:styleId="H1GChar">
    <w:name w:val="_ H_1_G Char"/>
    <w:link w:val="H1G"/>
    <w:locked/>
    <w:rsid w:val="00C82F62"/>
    <w:rPr>
      <w:b/>
      <w:sz w:val="24"/>
      <w:lang w:eastAsia="en-US"/>
    </w:rPr>
  </w:style>
  <w:style w:type="paragraph" w:customStyle="1" w:styleId="Default">
    <w:name w:val="Default"/>
    <w:rsid w:val="00654E1E"/>
    <w:pPr>
      <w:autoSpaceDE w:val="0"/>
      <w:autoSpaceDN w:val="0"/>
      <w:adjustRightInd w:val="0"/>
    </w:pPr>
    <w:rPr>
      <w:color w:val="000000"/>
      <w:sz w:val="24"/>
      <w:szCs w:val="24"/>
      <w:lang w:val="en-GB" w:eastAsia="en-GB"/>
    </w:rPr>
  </w:style>
  <w:style w:type="character" w:customStyle="1" w:styleId="highlight1">
    <w:name w:val="highlight1"/>
    <w:rsid w:val="002A61B9"/>
    <w:rPr>
      <w:shd w:val="clear" w:color="auto" w:fill="FFCC33"/>
    </w:rPr>
  </w:style>
  <w:style w:type="character" w:customStyle="1" w:styleId="apple-converted-space">
    <w:name w:val="apple-converted-space"/>
    <w:rsid w:val="00FA5B2A"/>
  </w:style>
  <w:style w:type="character" w:customStyle="1" w:styleId="highlight">
    <w:name w:val="highlight"/>
    <w:rsid w:val="00FA5B2A"/>
  </w:style>
  <w:style w:type="paragraph" w:customStyle="1" w:styleId="ColorfulList-Accent11">
    <w:name w:val="Colorful List - Accent 11"/>
    <w:basedOn w:val="Normal"/>
    <w:uiPriority w:val="34"/>
    <w:qFormat/>
    <w:rsid w:val="001D574B"/>
    <w:pPr>
      <w:ind w:left="720"/>
    </w:pPr>
  </w:style>
  <w:style w:type="paragraph" w:styleId="CommentSubject">
    <w:name w:val="annotation subject"/>
    <w:basedOn w:val="CommentText"/>
    <w:next w:val="CommentText"/>
    <w:link w:val="CommentSubjectChar"/>
    <w:rsid w:val="00AF3998"/>
    <w:rPr>
      <w:b/>
      <w:bCs/>
    </w:rPr>
  </w:style>
  <w:style w:type="character" w:customStyle="1" w:styleId="CommentTextChar">
    <w:name w:val="Comment Text Char"/>
    <w:link w:val="CommentText"/>
    <w:semiHidden/>
    <w:rsid w:val="00AF3998"/>
    <w:rPr>
      <w:lang w:val="en-GB" w:eastAsia="en-US"/>
    </w:rPr>
  </w:style>
  <w:style w:type="character" w:customStyle="1" w:styleId="CommentSubjectChar">
    <w:name w:val="Comment Subject Char"/>
    <w:link w:val="CommentSubject"/>
    <w:rsid w:val="00AF3998"/>
    <w:rPr>
      <w:b/>
      <w:bCs/>
      <w:lang w:val="en-GB" w:eastAsia="en-US"/>
    </w:rPr>
  </w:style>
  <w:style w:type="paragraph" w:styleId="Revision">
    <w:name w:val="Revision"/>
    <w:hidden/>
    <w:uiPriority w:val="99"/>
    <w:semiHidden/>
    <w:rsid w:val="002F2936"/>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character" w:customStyle="1" w:styleId="HChGChar">
    <w:name w:val="_ H _Ch_G Char"/>
    <w:link w:val="HChG"/>
    <w:rsid w:val="00371B04"/>
    <w:rPr>
      <w:b/>
      <w:sz w:val="28"/>
      <w:lang w:val="en-GB" w:eastAsia="en-US" w:bidi="ar-SA"/>
    </w:rPr>
  </w:style>
  <w:style w:type="character" w:customStyle="1" w:styleId="H1GChar">
    <w:name w:val="_ H_1_G Char"/>
    <w:link w:val="H1G"/>
    <w:locked/>
    <w:rsid w:val="00C82F62"/>
    <w:rPr>
      <w:b/>
      <w:sz w:val="24"/>
      <w:lang w:eastAsia="en-US"/>
    </w:rPr>
  </w:style>
  <w:style w:type="paragraph" w:customStyle="1" w:styleId="Default">
    <w:name w:val="Default"/>
    <w:rsid w:val="00654E1E"/>
    <w:pPr>
      <w:autoSpaceDE w:val="0"/>
      <w:autoSpaceDN w:val="0"/>
      <w:adjustRightInd w:val="0"/>
    </w:pPr>
    <w:rPr>
      <w:color w:val="000000"/>
      <w:sz w:val="24"/>
      <w:szCs w:val="24"/>
      <w:lang w:val="en-GB" w:eastAsia="en-GB"/>
    </w:rPr>
  </w:style>
  <w:style w:type="character" w:customStyle="1" w:styleId="highlight1">
    <w:name w:val="highlight1"/>
    <w:rsid w:val="002A61B9"/>
    <w:rPr>
      <w:shd w:val="clear" w:color="auto" w:fill="FFCC33"/>
    </w:rPr>
  </w:style>
  <w:style w:type="character" w:customStyle="1" w:styleId="apple-converted-space">
    <w:name w:val="apple-converted-space"/>
    <w:rsid w:val="00FA5B2A"/>
  </w:style>
  <w:style w:type="character" w:customStyle="1" w:styleId="highlight">
    <w:name w:val="highlight"/>
    <w:rsid w:val="00FA5B2A"/>
  </w:style>
  <w:style w:type="paragraph" w:customStyle="1" w:styleId="ColorfulList-Accent11">
    <w:name w:val="Colorful List - Accent 11"/>
    <w:basedOn w:val="Normal"/>
    <w:uiPriority w:val="34"/>
    <w:qFormat/>
    <w:rsid w:val="001D574B"/>
    <w:pPr>
      <w:ind w:left="720"/>
    </w:pPr>
  </w:style>
  <w:style w:type="paragraph" w:styleId="CommentSubject">
    <w:name w:val="annotation subject"/>
    <w:basedOn w:val="CommentText"/>
    <w:next w:val="CommentText"/>
    <w:link w:val="CommentSubjectChar"/>
    <w:rsid w:val="00AF3998"/>
    <w:rPr>
      <w:b/>
      <w:bCs/>
    </w:rPr>
  </w:style>
  <w:style w:type="character" w:customStyle="1" w:styleId="CommentTextChar">
    <w:name w:val="Comment Text Char"/>
    <w:link w:val="CommentText"/>
    <w:semiHidden/>
    <w:rsid w:val="00AF3998"/>
    <w:rPr>
      <w:lang w:val="en-GB" w:eastAsia="en-US"/>
    </w:rPr>
  </w:style>
  <w:style w:type="character" w:customStyle="1" w:styleId="CommentSubjectChar">
    <w:name w:val="Comment Subject Char"/>
    <w:link w:val="CommentSubject"/>
    <w:rsid w:val="00AF3998"/>
    <w:rPr>
      <w:b/>
      <w:bCs/>
      <w:lang w:val="en-GB" w:eastAsia="en-US"/>
    </w:rPr>
  </w:style>
  <w:style w:type="paragraph" w:styleId="Revision">
    <w:name w:val="Revision"/>
    <w:hidden/>
    <w:uiPriority w:val="99"/>
    <w:semiHidden/>
    <w:rsid w:val="002F293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1274">
      <w:bodyDiv w:val="1"/>
      <w:marLeft w:val="0"/>
      <w:marRight w:val="0"/>
      <w:marTop w:val="0"/>
      <w:marBottom w:val="0"/>
      <w:divBdr>
        <w:top w:val="none" w:sz="0" w:space="0" w:color="auto"/>
        <w:left w:val="none" w:sz="0" w:space="0" w:color="auto"/>
        <w:bottom w:val="none" w:sz="0" w:space="0" w:color="auto"/>
        <w:right w:val="none" w:sz="0" w:space="0" w:color="auto"/>
      </w:divBdr>
      <w:divsChild>
        <w:div w:id="425620430">
          <w:marLeft w:val="0"/>
          <w:marRight w:val="0"/>
          <w:marTop w:val="0"/>
          <w:marBottom w:val="0"/>
          <w:divBdr>
            <w:top w:val="none" w:sz="0" w:space="0" w:color="auto"/>
            <w:left w:val="none" w:sz="0" w:space="0" w:color="auto"/>
            <w:bottom w:val="none" w:sz="0" w:space="0" w:color="auto"/>
            <w:right w:val="none" w:sz="0" w:space="0" w:color="auto"/>
          </w:divBdr>
        </w:div>
        <w:div w:id="720863115">
          <w:marLeft w:val="0"/>
          <w:marRight w:val="0"/>
          <w:marTop w:val="0"/>
          <w:marBottom w:val="0"/>
          <w:divBdr>
            <w:top w:val="none" w:sz="0" w:space="0" w:color="auto"/>
            <w:left w:val="none" w:sz="0" w:space="0" w:color="auto"/>
            <w:bottom w:val="none" w:sz="0" w:space="0" w:color="auto"/>
            <w:right w:val="none" w:sz="0" w:space="0" w:color="auto"/>
          </w:divBdr>
        </w:div>
        <w:div w:id="826166084">
          <w:marLeft w:val="0"/>
          <w:marRight w:val="0"/>
          <w:marTop w:val="0"/>
          <w:marBottom w:val="0"/>
          <w:divBdr>
            <w:top w:val="none" w:sz="0" w:space="0" w:color="auto"/>
            <w:left w:val="none" w:sz="0" w:space="0" w:color="auto"/>
            <w:bottom w:val="none" w:sz="0" w:space="0" w:color="auto"/>
            <w:right w:val="none" w:sz="0" w:space="0" w:color="auto"/>
          </w:divBdr>
        </w:div>
        <w:div w:id="1402362449">
          <w:marLeft w:val="0"/>
          <w:marRight w:val="0"/>
          <w:marTop w:val="0"/>
          <w:marBottom w:val="0"/>
          <w:divBdr>
            <w:top w:val="none" w:sz="0" w:space="0" w:color="auto"/>
            <w:left w:val="none" w:sz="0" w:space="0" w:color="auto"/>
            <w:bottom w:val="none" w:sz="0" w:space="0" w:color="auto"/>
            <w:right w:val="none" w:sz="0" w:space="0" w:color="auto"/>
          </w:divBdr>
        </w:div>
        <w:div w:id="2081948662">
          <w:marLeft w:val="0"/>
          <w:marRight w:val="0"/>
          <w:marTop w:val="0"/>
          <w:marBottom w:val="0"/>
          <w:divBdr>
            <w:top w:val="none" w:sz="0" w:space="0" w:color="auto"/>
            <w:left w:val="none" w:sz="0" w:space="0" w:color="auto"/>
            <w:bottom w:val="none" w:sz="0" w:space="0" w:color="auto"/>
            <w:right w:val="none" w:sz="0" w:space="0" w:color="auto"/>
          </w:divBdr>
        </w:div>
        <w:div w:id="2089812916">
          <w:marLeft w:val="0"/>
          <w:marRight w:val="0"/>
          <w:marTop w:val="0"/>
          <w:marBottom w:val="0"/>
          <w:divBdr>
            <w:top w:val="none" w:sz="0" w:space="0" w:color="auto"/>
            <w:left w:val="none" w:sz="0" w:space="0" w:color="auto"/>
            <w:bottom w:val="none" w:sz="0" w:space="0" w:color="auto"/>
            <w:right w:val="none" w:sz="0" w:space="0" w:color="auto"/>
          </w:divBdr>
        </w:div>
      </w:divsChild>
    </w:div>
    <w:div w:id="1017266440">
      <w:bodyDiv w:val="1"/>
      <w:marLeft w:val="0"/>
      <w:marRight w:val="0"/>
      <w:marTop w:val="0"/>
      <w:marBottom w:val="0"/>
      <w:divBdr>
        <w:top w:val="none" w:sz="0" w:space="0" w:color="auto"/>
        <w:left w:val="none" w:sz="0" w:space="0" w:color="auto"/>
        <w:bottom w:val="none" w:sz="0" w:space="0" w:color="auto"/>
        <w:right w:val="none" w:sz="0" w:space="0" w:color="auto"/>
      </w:divBdr>
      <w:divsChild>
        <w:div w:id="248775573">
          <w:marLeft w:val="0"/>
          <w:marRight w:val="0"/>
          <w:marTop w:val="0"/>
          <w:marBottom w:val="0"/>
          <w:divBdr>
            <w:top w:val="none" w:sz="0" w:space="0" w:color="auto"/>
            <w:left w:val="none" w:sz="0" w:space="0" w:color="auto"/>
            <w:bottom w:val="none" w:sz="0" w:space="0" w:color="auto"/>
            <w:right w:val="none" w:sz="0" w:space="0" w:color="auto"/>
          </w:divBdr>
        </w:div>
        <w:div w:id="706182965">
          <w:marLeft w:val="0"/>
          <w:marRight w:val="0"/>
          <w:marTop w:val="0"/>
          <w:marBottom w:val="0"/>
          <w:divBdr>
            <w:top w:val="none" w:sz="0" w:space="0" w:color="auto"/>
            <w:left w:val="none" w:sz="0" w:space="0" w:color="auto"/>
            <w:bottom w:val="none" w:sz="0" w:space="0" w:color="auto"/>
            <w:right w:val="none" w:sz="0" w:space="0" w:color="auto"/>
          </w:divBdr>
        </w:div>
        <w:div w:id="1005402093">
          <w:marLeft w:val="0"/>
          <w:marRight w:val="0"/>
          <w:marTop w:val="0"/>
          <w:marBottom w:val="0"/>
          <w:divBdr>
            <w:top w:val="none" w:sz="0" w:space="0" w:color="auto"/>
            <w:left w:val="none" w:sz="0" w:space="0" w:color="auto"/>
            <w:bottom w:val="none" w:sz="0" w:space="0" w:color="auto"/>
            <w:right w:val="none" w:sz="0" w:space="0" w:color="auto"/>
          </w:divBdr>
        </w:div>
        <w:div w:id="1125929705">
          <w:marLeft w:val="0"/>
          <w:marRight w:val="0"/>
          <w:marTop w:val="0"/>
          <w:marBottom w:val="0"/>
          <w:divBdr>
            <w:top w:val="none" w:sz="0" w:space="0" w:color="auto"/>
            <w:left w:val="none" w:sz="0" w:space="0" w:color="auto"/>
            <w:bottom w:val="none" w:sz="0" w:space="0" w:color="auto"/>
            <w:right w:val="none" w:sz="0" w:space="0" w:color="auto"/>
          </w:divBdr>
        </w:div>
        <w:div w:id="1234777490">
          <w:marLeft w:val="0"/>
          <w:marRight w:val="0"/>
          <w:marTop w:val="0"/>
          <w:marBottom w:val="0"/>
          <w:divBdr>
            <w:top w:val="none" w:sz="0" w:space="0" w:color="auto"/>
            <w:left w:val="none" w:sz="0" w:space="0" w:color="auto"/>
            <w:bottom w:val="none" w:sz="0" w:space="0" w:color="auto"/>
            <w:right w:val="none" w:sz="0" w:space="0" w:color="auto"/>
          </w:divBdr>
        </w:div>
        <w:div w:id="1809783027">
          <w:marLeft w:val="0"/>
          <w:marRight w:val="0"/>
          <w:marTop w:val="0"/>
          <w:marBottom w:val="0"/>
          <w:divBdr>
            <w:top w:val="none" w:sz="0" w:space="0" w:color="auto"/>
            <w:left w:val="none" w:sz="0" w:space="0" w:color="auto"/>
            <w:bottom w:val="none" w:sz="0" w:space="0" w:color="auto"/>
            <w:right w:val="none" w:sz="0" w:space="0" w:color="auto"/>
          </w:divBdr>
        </w:div>
      </w:divsChild>
    </w:div>
    <w:div w:id="1169371634">
      <w:bodyDiv w:val="1"/>
      <w:marLeft w:val="0"/>
      <w:marRight w:val="0"/>
      <w:marTop w:val="0"/>
      <w:marBottom w:val="0"/>
      <w:divBdr>
        <w:top w:val="none" w:sz="0" w:space="0" w:color="auto"/>
        <w:left w:val="none" w:sz="0" w:space="0" w:color="auto"/>
        <w:bottom w:val="none" w:sz="0" w:space="0" w:color="auto"/>
        <w:right w:val="none" w:sz="0" w:space="0" w:color="auto"/>
      </w:divBdr>
    </w:div>
    <w:div w:id="1757942687">
      <w:bodyDiv w:val="1"/>
      <w:marLeft w:val="0"/>
      <w:marRight w:val="0"/>
      <w:marTop w:val="0"/>
      <w:marBottom w:val="0"/>
      <w:divBdr>
        <w:top w:val="none" w:sz="0" w:space="0" w:color="auto"/>
        <w:left w:val="none" w:sz="0" w:space="0" w:color="auto"/>
        <w:bottom w:val="none" w:sz="0" w:space="0" w:color="auto"/>
        <w:right w:val="none" w:sz="0" w:space="0" w:color="auto"/>
      </w:divBdr>
    </w:div>
    <w:div w:id="17791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6303-60B3-4F5A-81B1-C55E6EF2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5163</Words>
  <Characters>28977</Characters>
  <Application>Microsoft Office Word</Application>
  <DocSecurity>0</DocSecurity>
  <Lines>492</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1612207</vt:lpstr>
      <vt:lpstr>1043830</vt:lpstr>
    </vt:vector>
  </TitlesOfParts>
  <Company>CSD</Company>
  <LinksUpToDate>false</LinksUpToDate>
  <CharactersWithSpaces>34012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1612207</dc:title>
  <dc:subject>E/C.12/AGO/CO/4-5</dc:subject>
  <dc:creator>mtw</dc:creator>
  <cp:keywords/>
  <dc:description>final</dc:description>
  <cp:lastModifiedBy>PDF ENG</cp:lastModifiedBy>
  <cp:revision>2</cp:revision>
  <cp:lastPrinted>2016-07-10T17:15:00Z</cp:lastPrinted>
  <dcterms:created xsi:type="dcterms:W3CDTF">2016-11-21T08:37:00Z</dcterms:created>
  <dcterms:modified xsi:type="dcterms:W3CDTF">2016-11-21T08:37:00Z</dcterms:modified>
</cp:coreProperties>
</file>