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B07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B0715" w:rsidP="009B0715">
            <w:pPr>
              <w:jc w:val="right"/>
            </w:pPr>
            <w:r w:rsidRPr="009B0715">
              <w:rPr>
                <w:sz w:val="40"/>
              </w:rPr>
              <w:t>E</w:t>
            </w:r>
            <w:r>
              <w:t>/C.12/</w:t>
            </w:r>
            <w:proofErr w:type="spellStart"/>
            <w:r>
              <w:t>MEX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/5-6</w:t>
            </w:r>
          </w:p>
        </w:tc>
      </w:tr>
      <w:tr w:rsidR="002D5AAC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B0715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B0715" w:rsidRDefault="009B0715" w:rsidP="009B07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April 2018</w:t>
            </w:r>
          </w:p>
          <w:p w:rsidR="009B0715" w:rsidRDefault="009B0715" w:rsidP="009B07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B0715" w:rsidRPr="00D62A45" w:rsidRDefault="009B0715" w:rsidP="009B07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9B0715" w:rsidRPr="009B0715" w:rsidRDefault="009B0715" w:rsidP="009B0715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9B0715">
        <w:rPr>
          <w:b/>
          <w:spacing w:val="0"/>
          <w:w w:val="100"/>
          <w:kern w:val="0"/>
          <w:sz w:val="24"/>
          <w:szCs w:val="24"/>
        </w:rPr>
        <w:t xml:space="preserve">Комитет по экономическим, социальным </w:t>
      </w:r>
      <w:r w:rsidRPr="009B0715">
        <w:rPr>
          <w:b/>
          <w:spacing w:val="0"/>
          <w:w w:val="100"/>
          <w:kern w:val="0"/>
          <w:sz w:val="24"/>
          <w:szCs w:val="24"/>
        </w:rPr>
        <w:br/>
        <w:t>и культурным правам</w:t>
      </w:r>
    </w:p>
    <w:p w:rsidR="009B0715" w:rsidRPr="009B0715" w:rsidRDefault="009B0715" w:rsidP="009B0715">
      <w:pPr>
        <w:pStyle w:val="HChG"/>
      </w:pPr>
      <w:r w:rsidRPr="009B0715">
        <w:tab/>
      </w:r>
      <w:r w:rsidRPr="009B0715">
        <w:tab/>
      </w:r>
      <w:proofErr w:type="spellStart"/>
      <w:r w:rsidRPr="009B0715">
        <w:t>Заключительные</w:t>
      </w:r>
      <w:proofErr w:type="spellEnd"/>
      <w:r w:rsidRPr="009B0715">
        <w:t xml:space="preserve"> </w:t>
      </w:r>
      <w:proofErr w:type="spellStart"/>
      <w:r w:rsidRPr="009B0715">
        <w:t>замечания</w:t>
      </w:r>
      <w:proofErr w:type="spellEnd"/>
      <w:r w:rsidRPr="009B0715">
        <w:t xml:space="preserve"> </w:t>
      </w:r>
      <w:proofErr w:type="spellStart"/>
      <w:r w:rsidRPr="009B0715">
        <w:t>по</w:t>
      </w:r>
      <w:proofErr w:type="spellEnd"/>
      <w:r w:rsidRPr="009B0715">
        <w:t xml:space="preserve"> </w:t>
      </w:r>
      <w:proofErr w:type="spellStart"/>
      <w:r w:rsidRPr="009B0715">
        <w:t>объединенным</w:t>
      </w:r>
      <w:proofErr w:type="spellEnd"/>
      <w:r w:rsidRPr="009B0715">
        <w:t xml:space="preserve"> </w:t>
      </w:r>
      <w:proofErr w:type="spellStart"/>
      <w:r w:rsidRPr="009B0715">
        <w:t>пятому</w:t>
      </w:r>
      <w:proofErr w:type="spellEnd"/>
      <w:r w:rsidRPr="009B0715">
        <w:t xml:space="preserve"> и </w:t>
      </w:r>
      <w:proofErr w:type="spellStart"/>
      <w:r w:rsidRPr="009B0715">
        <w:t>шестому</w:t>
      </w:r>
      <w:proofErr w:type="spellEnd"/>
      <w:r w:rsidRPr="009B0715">
        <w:t xml:space="preserve"> </w:t>
      </w:r>
      <w:proofErr w:type="spellStart"/>
      <w:r w:rsidRPr="009B0715">
        <w:t>периодическим</w:t>
      </w:r>
      <w:proofErr w:type="spellEnd"/>
      <w:r w:rsidRPr="009B0715">
        <w:t xml:space="preserve"> </w:t>
      </w:r>
      <w:proofErr w:type="spellStart"/>
      <w:r w:rsidRPr="009B0715">
        <w:t>докладам</w:t>
      </w:r>
      <w:proofErr w:type="spellEnd"/>
      <w:r w:rsidRPr="009B0715">
        <w:t xml:space="preserve"> </w:t>
      </w:r>
      <w:proofErr w:type="spellStart"/>
      <w:r w:rsidRPr="009B0715">
        <w:t>Мексики</w:t>
      </w:r>
      <w:proofErr w:type="spellEnd"/>
      <w:r w:rsidRPr="009B0715">
        <w:rPr>
          <w:b w:val="0"/>
          <w:spacing w:val="5"/>
          <w:w w:val="104"/>
          <w:kern w:val="14"/>
          <w:sz w:val="18"/>
          <w:lang w:val="ru-RU" w:eastAsia="ru-RU"/>
        </w:rPr>
        <w:footnoteReference w:customMarkFollows="1" w:id="1"/>
        <w:t>*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1.</w:t>
      </w:r>
      <w:r w:rsidRPr="009B0715">
        <w:rPr>
          <w:lang w:val="ru-RU"/>
        </w:rPr>
        <w:tab/>
        <w:t>Комитет рассмотрел объединенные пятый и шестой периодические доклады Мексики (E/C.12/</w:t>
      </w:r>
      <w:proofErr w:type="spellStart"/>
      <w:r w:rsidRPr="009B0715">
        <w:rPr>
          <w:lang w:val="ru-RU"/>
        </w:rPr>
        <w:t>MEX</w:t>
      </w:r>
      <w:proofErr w:type="spellEnd"/>
      <w:r w:rsidRPr="009B0715">
        <w:rPr>
          <w:lang w:val="ru-RU"/>
        </w:rPr>
        <w:t xml:space="preserve">/5-6) на своих 2-м и 3-м заседаниях (см. E/C.12/2018/SR.2 </w:t>
      </w:r>
      <w:r>
        <w:rPr>
          <w:lang w:val="ru-RU"/>
        </w:rPr>
        <w:t>и</w:t>
      </w:r>
      <w:r w:rsidRPr="009B0715">
        <w:rPr>
          <w:lang w:val="ru-RU"/>
        </w:rPr>
        <w:t xml:space="preserve"> 3), состоявшихся 12 и 13 марта 2018 года. На своем 28-м заседании, состоявшемся 29</w:t>
      </w:r>
      <w:r>
        <w:rPr>
          <w:lang w:val="ru-RU"/>
        </w:rPr>
        <w:t> </w:t>
      </w:r>
      <w:r w:rsidRPr="009B0715">
        <w:rPr>
          <w:lang w:val="ru-RU"/>
        </w:rPr>
        <w:t>марта 2018 года, он принял следующие заключительные замечания.</w:t>
      </w:r>
    </w:p>
    <w:p w:rsidR="009B0715" w:rsidRPr="009B0715" w:rsidRDefault="009B0715" w:rsidP="009B0715">
      <w:pPr>
        <w:pStyle w:val="H1G"/>
        <w:rPr>
          <w:lang w:val="ru-RU"/>
        </w:rPr>
      </w:pPr>
      <w:r w:rsidRPr="009B0715">
        <w:rPr>
          <w:lang w:val="ru-RU"/>
        </w:rPr>
        <w:tab/>
        <w:t>A.</w:t>
      </w:r>
      <w:r w:rsidRPr="009B0715">
        <w:rPr>
          <w:lang w:val="ru-RU"/>
        </w:rPr>
        <w:tab/>
        <w:t>Введение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2.</w:t>
      </w:r>
      <w:r w:rsidRPr="009B0715">
        <w:rPr>
          <w:lang w:val="ru-RU"/>
        </w:rPr>
        <w:tab/>
        <w:t>Комитет с удовлетворением отмечает представление объединенных пятого и шестого периодических докладов Мексики и письменных ответов на перечень вопросов (E/C.12/</w:t>
      </w:r>
      <w:proofErr w:type="spellStart"/>
      <w:r w:rsidRPr="009B0715">
        <w:rPr>
          <w:lang w:val="ru-RU"/>
        </w:rPr>
        <w:t>MEX</w:t>
      </w:r>
      <w:proofErr w:type="spellEnd"/>
      <w:r w:rsidRPr="009B0715">
        <w:rPr>
          <w:lang w:val="ru-RU"/>
        </w:rPr>
        <w:t>/Q/5-6/Add.1), которые были дополнены устными ответами делегации. Комитет выражает признательность за открытый и конструктивный диалог, который состоялся с высокопоставленной делегацией государства-участника. Комитет выражает благодарность за дополнительную информацию, представленную в ходе диалога.</w:t>
      </w:r>
    </w:p>
    <w:p w:rsidR="009B0715" w:rsidRPr="009B0715" w:rsidRDefault="009B0715" w:rsidP="009B0715">
      <w:pPr>
        <w:pStyle w:val="H1G"/>
        <w:rPr>
          <w:lang w:val="ru-RU"/>
        </w:rPr>
      </w:pPr>
      <w:r w:rsidRPr="009B0715">
        <w:rPr>
          <w:lang w:val="ru-RU"/>
        </w:rPr>
        <w:tab/>
        <w:t>B.</w:t>
      </w:r>
      <w:r w:rsidRPr="009B0715">
        <w:rPr>
          <w:lang w:val="ru-RU"/>
        </w:rPr>
        <w:tab/>
        <w:t>Позитивные аспекты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3.</w:t>
      </w:r>
      <w:r w:rsidRPr="009B0715">
        <w:rPr>
          <w:lang w:val="ru-RU"/>
        </w:rPr>
        <w:tab/>
        <w:t>Комитет приветствует меры, принятые в целях поощрения осуществления экономических, социальных и культурных прав, особенно конституционную поправку 2011 года, благодаря которой эти права теперь имеют конституционный статус. Комитет также приветствует осуществление с 2013 года Национальной кампании по борьбе с голодом, Национального плана развития на период 2013–2018 годов и Национальной программы в области прав человека на период 2014−2018 годов.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4.</w:t>
      </w:r>
      <w:r w:rsidRPr="009B0715">
        <w:rPr>
          <w:lang w:val="ru-RU"/>
        </w:rPr>
        <w:tab/>
        <w:t>Комитет приветствует активное участие Национальной комиссии по правам человека и мексиканских организаций гражданского общества в процессе рассмотрения докладов посредством представления Комитету письменной и устной информации.</w:t>
      </w:r>
    </w:p>
    <w:p w:rsidR="009B0715" w:rsidRPr="009B0715" w:rsidRDefault="009B0715" w:rsidP="009B0715">
      <w:pPr>
        <w:pStyle w:val="H1G"/>
        <w:rPr>
          <w:lang w:val="ru-RU"/>
        </w:rPr>
      </w:pPr>
      <w:r w:rsidRPr="009B0715">
        <w:rPr>
          <w:lang w:val="ru-RU"/>
        </w:rPr>
        <w:tab/>
        <w:t>C.</w:t>
      </w:r>
      <w:r w:rsidRPr="009B0715">
        <w:rPr>
          <w:lang w:val="ru-RU"/>
        </w:rPr>
        <w:tab/>
        <w:t>Основные вопросы, вызывающие озабоченность, и рекомендации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Возможность защиты экономических, социальных и культурных прав</w:t>
      </w:r>
      <w:r w:rsidR="00157102">
        <w:rPr>
          <w:lang w:val="ru-RU"/>
        </w:rPr>
        <w:t xml:space="preserve"> </w:t>
      </w:r>
      <w:r w:rsidRPr="009B0715">
        <w:rPr>
          <w:lang w:val="ru-RU"/>
        </w:rPr>
        <w:t>в судебном порядке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5.</w:t>
      </w:r>
      <w:r w:rsidRPr="009B0715">
        <w:rPr>
          <w:lang w:val="ru-RU"/>
        </w:rPr>
        <w:tab/>
        <w:t xml:space="preserve">Комитет отмечает, что на закрепленные в Пакте права можно ссылаться в судах и что они применяются при вынесении судебных решений, но выражает </w:t>
      </w:r>
      <w:r w:rsidRPr="009B0715">
        <w:rPr>
          <w:lang w:val="ru-RU"/>
        </w:rPr>
        <w:lastRenderedPageBreak/>
        <w:t xml:space="preserve">обеспокоенность по поводу того, что на практике жертвы нарушений экономических, социальных и культурных прав сталкиваются с трудностями в получении доступа к эффективным средствам правовой защиты, включая процедуру </w:t>
      </w:r>
      <w:proofErr w:type="spellStart"/>
      <w:r w:rsidRPr="009B0715">
        <w:rPr>
          <w:lang w:val="ru-RU"/>
        </w:rPr>
        <w:t>ампаро</w:t>
      </w:r>
      <w:proofErr w:type="spellEnd"/>
      <w:r w:rsidRPr="009B0715">
        <w:rPr>
          <w:lang w:val="ru-RU"/>
        </w:rPr>
        <w:t xml:space="preserve">. Он также обеспокоен неэффективным исполнением приговоров, вынесенных в порядке процедуры </w:t>
      </w:r>
      <w:proofErr w:type="spellStart"/>
      <w:r w:rsidRPr="009B0715">
        <w:rPr>
          <w:lang w:val="ru-RU"/>
        </w:rPr>
        <w:t>ампаро</w:t>
      </w:r>
      <w:proofErr w:type="spellEnd"/>
      <w:r w:rsidRPr="009B0715">
        <w:rPr>
          <w:lang w:val="ru-RU"/>
        </w:rPr>
        <w:t xml:space="preserve"> в связи с установлением факта нарушения экономических, социальных и культурных прав.</w:t>
      </w:r>
    </w:p>
    <w:p w:rsidR="009B0715" w:rsidRPr="009B0715" w:rsidRDefault="009B0715" w:rsidP="009B0715">
      <w:pPr>
        <w:pStyle w:val="SingleTxtG"/>
        <w:rPr>
          <w:rFonts w:ascii="Times" w:hAnsi="Times"/>
          <w:b/>
          <w:lang w:val="ru-RU"/>
        </w:rPr>
      </w:pPr>
      <w:r w:rsidRPr="009B0715">
        <w:rPr>
          <w:lang w:val="ru-RU"/>
        </w:rPr>
        <w:t>6.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 xml:space="preserve">Комитет рекомендует государству-участнику принять необходимые меры для обеспечения того, чтобы экономические, социальные и культурные права можно было отстаивать на всех уровнях судебной системы, а также для облегчения доступа жертв нарушения таких прав к эффективным средствам правовой защиты, включая процедуру </w:t>
      </w:r>
      <w:proofErr w:type="spellStart"/>
      <w:r w:rsidRPr="009B0715">
        <w:rPr>
          <w:b/>
          <w:lang w:val="ru-RU"/>
        </w:rPr>
        <w:t>ампаро</w:t>
      </w:r>
      <w:proofErr w:type="spellEnd"/>
      <w:r w:rsidRPr="009B0715">
        <w:rPr>
          <w:b/>
          <w:lang w:val="ru-RU"/>
        </w:rPr>
        <w:t>. Кроме того, он призывает организовывать подготовку, особенно судей, адвокатов, сотрудников правоохранительных органов, членов Конгресса и других субъектов, с тем чтобы они знали о содержании прав, закрепленных в Пакте, и о возможности ссылаться на них в судах, а также проводить информационно-разъяснительные кампании среди правообладателей. Он настоятельно призывает обеспечить эффективное выполнение решений, вынесенных в пользу жертв нарушений экономических, социальных и культурных правах, и обращает внимание на свое замечание общего порядка № 9 (1998 год) о применении Пакта во внутреннем праве.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Положение правозащитников, отстаивающих экономические, социальные и</w:t>
      </w:r>
      <w:r>
        <w:rPr>
          <w:lang w:val="ru-RU"/>
        </w:rPr>
        <w:t> </w:t>
      </w:r>
      <w:r w:rsidRPr="009B0715">
        <w:rPr>
          <w:lang w:val="ru-RU"/>
        </w:rPr>
        <w:t>культурные права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7.</w:t>
      </w:r>
      <w:r w:rsidRPr="009B0715">
        <w:rPr>
          <w:lang w:val="ru-RU"/>
        </w:rPr>
        <w:tab/>
        <w:t>Комитет глубоко обеспокоен серьезными актами насилия, совершаемыми в отношении защитников прав человека, в частности экономических, социальных и культурных прав, а также высоким уровнем безнаказанности за такие акты. Кроме того, он обеспокоен недостаточной эффективностью мер, принимаемых для их защиты, что отчасти обусловлено отсутствием координации между органами федерального правительства, органами власти штатов и муниципальными органами, а</w:t>
      </w:r>
      <w:r w:rsidR="00962C3E">
        <w:rPr>
          <w:lang w:val="en-US"/>
        </w:rPr>
        <w:t> </w:t>
      </w:r>
      <w:r w:rsidRPr="009B0715">
        <w:rPr>
          <w:lang w:val="ru-RU"/>
        </w:rPr>
        <w:t>также выделением ненадлежащих ресурсов на эти цели.</w:t>
      </w:r>
    </w:p>
    <w:p w:rsidR="009B0715" w:rsidRPr="009B0715" w:rsidRDefault="009B0715" w:rsidP="009B0715">
      <w:pPr>
        <w:pStyle w:val="SingleTxtG"/>
        <w:rPr>
          <w:b/>
          <w:snapToGrid w:val="0"/>
          <w:lang w:val="ru-RU"/>
        </w:rPr>
      </w:pPr>
      <w:r w:rsidRPr="009B0715">
        <w:rPr>
          <w:lang w:val="ru-RU"/>
        </w:rPr>
        <w:t>8.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государству-участнику:</w:t>
      </w:r>
    </w:p>
    <w:p w:rsidR="009B0715" w:rsidRPr="009B0715" w:rsidRDefault="009B0715" w:rsidP="009B0715">
      <w:pPr>
        <w:pStyle w:val="SingleTxtG"/>
        <w:ind w:firstLine="567"/>
        <w:rPr>
          <w:rFonts w:eastAsia="SimSun"/>
          <w:b/>
          <w:lang w:val="ru-RU"/>
        </w:rPr>
      </w:pPr>
      <w:r w:rsidRPr="009B0715">
        <w:rPr>
          <w:b/>
          <w:lang w:val="ru-RU"/>
        </w:rPr>
        <w:tab/>
        <w:t>a)</w:t>
      </w:r>
      <w:r w:rsidRPr="009B0715">
        <w:rPr>
          <w:b/>
          <w:lang w:val="ru-RU"/>
        </w:rPr>
        <w:tab/>
        <w:t>принимать своевременные и эффективные меры в целях предотвращения актов насилия в отношении всех правозащитников и эффективной защиты их жизни и личной неприкосновенности, обеспечивая при этом действенную координацию между органами федерального правительства, органами власти штатов и муниципальными органами;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b)</w:t>
      </w:r>
      <w:r w:rsidRPr="009B0715">
        <w:rPr>
          <w:b/>
          <w:lang w:val="ru-RU"/>
        </w:rPr>
        <w:tab/>
        <w:t>тщательно, беспристрастно и эффективно расследовать все заявления о посягательствах на жизнь, физическую неприкосновенность и свободу, а также все акты насилия, угроз, преследования, запугивания, притеснения и клеветы, совершаемые в отношении правозащитников;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с)</w:t>
      </w:r>
      <w:r w:rsidRPr="009B0715">
        <w:rPr>
          <w:b/>
          <w:lang w:val="ru-RU"/>
        </w:rPr>
        <w:tab/>
        <w:t>гарантировать осуществление Закона о защите правозащитников и журналистов;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d)</w:t>
      </w:r>
      <w:r w:rsidRPr="009B0715">
        <w:rPr>
          <w:b/>
          <w:lang w:val="ru-RU"/>
        </w:rPr>
        <w:tab/>
        <w:t>обеспечить эффективное функционирование национального механизма защиты, в частности путем пересмотра и совершенствования существующих стратегий защиты с учетом культурных, региональных и гендерных различий, а также путем выделения надлежащих людских, финансовых и технических ресурсов;</w:t>
      </w:r>
    </w:p>
    <w:p w:rsidR="009B0715" w:rsidRPr="009B0715" w:rsidRDefault="009B0715" w:rsidP="009B0715">
      <w:pPr>
        <w:pStyle w:val="SingleTxtG"/>
        <w:ind w:firstLine="567"/>
        <w:rPr>
          <w:rFonts w:eastAsia="SimSun"/>
          <w:b/>
          <w:lang w:val="ru-RU"/>
        </w:rPr>
      </w:pPr>
      <w:r w:rsidRPr="009B0715">
        <w:rPr>
          <w:b/>
          <w:lang w:val="ru-RU"/>
        </w:rPr>
        <w:tab/>
        <w:t>e)</w:t>
      </w:r>
      <w:r w:rsidRPr="009B0715">
        <w:rPr>
          <w:b/>
          <w:lang w:val="ru-RU"/>
        </w:rPr>
        <w:tab/>
        <w:t>проводить кампании по повышению уровня информированности и осведомленности о важности работы правозащитников с целью создания атмосферы терпимости, в условиях которой они могли бы заниматься своей деятельностью, не опасаясь запугивания, угроз и преследования.</w:t>
      </w:r>
    </w:p>
    <w:p w:rsidR="009B0715" w:rsidRPr="009B0715" w:rsidRDefault="009B0715" w:rsidP="009B0715">
      <w:pPr>
        <w:pStyle w:val="SingleTxtG"/>
        <w:rPr>
          <w:rFonts w:eastAsia="SimSun"/>
          <w:b/>
          <w:lang w:val="ru-RU"/>
        </w:rPr>
      </w:pPr>
      <w:r w:rsidRPr="009B0715">
        <w:rPr>
          <w:lang w:val="ru-RU"/>
        </w:rPr>
        <w:t>9.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обращает внимание государства-участника на свое заявление о правозащитниках и экономических, социальных и культурных правах (E/C.12/2016/2).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Предпринимательская деятельность и экономические, социальные и</w:t>
      </w:r>
      <w:r w:rsidR="00157102">
        <w:rPr>
          <w:lang w:val="ru-RU"/>
        </w:rPr>
        <w:t> </w:t>
      </w:r>
      <w:r w:rsidRPr="009B0715">
        <w:rPr>
          <w:lang w:val="ru-RU"/>
        </w:rPr>
        <w:t>культурные права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10.</w:t>
      </w:r>
      <w:r w:rsidRPr="009B0715">
        <w:rPr>
          <w:lang w:val="ru-RU"/>
        </w:rPr>
        <w:tab/>
        <w:t>Комитет принимает к сведению представленную государством-участником информацию о процессе подготовке национального плана действий, посвященного предпринимательской деятельности и правам человека, но выражает обеспокоенность по поводу необязательного характера принципов должной осмотрительности в вопросах прав человека для компаний, осуществляющих свою деятельность в государстве-участнике.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8C33D6">
        <w:rPr>
          <w:lang w:val="ru-RU"/>
        </w:rPr>
        <w:t>11.</w:t>
      </w:r>
      <w:r w:rsidRPr="008C33D6">
        <w:rPr>
          <w:lang w:val="ru-RU"/>
        </w:rPr>
        <w:tab/>
      </w:r>
      <w:r w:rsidRPr="009B0715">
        <w:rPr>
          <w:b/>
          <w:lang w:val="ru-RU"/>
        </w:rPr>
        <w:t xml:space="preserve">Комитет рекомендует государству-участнику активизировать усилия с целью скорейшего принятия национального плана действий по вопросам предпринимательской деятельности и прав человека, обеспечив надлежащее участие всех заинтересованных сторон в процессе его разработки и осуществления. Он также настоятельно призывает принять надлежащие законодательные и административные меры для обеспечения того, чтобы компании, осуществляющие свою деятельность в государстве-участнике, проявляли должную осмотрительность в вопросах прав человека, с тем чтобы их деятельности не сказывалась негативным образом на осуществлении экономических, социальных и культурных прав. Комитет рекомендует государству-участнику положительно рассмотреть вопрос о выполнении рекомендаций, содержащихся в докладе Рабочей группой по вопросу о правах человека и </w:t>
      </w:r>
      <w:proofErr w:type="gramStart"/>
      <w:r w:rsidRPr="009B0715">
        <w:rPr>
          <w:b/>
          <w:lang w:val="ru-RU"/>
        </w:rPr>
        <w:t>транснациональных корпорациях</w:t>
      </w:r>
      <w:proofErr w:type="gramEnd"/>
      <w:r w:rsidRPr="009B0715">
        <w:rPr>
          <w:b/>
          <w:lang w:val="ru-RU"/>
        </w:rPr>
        <w:t xml:space="preserve"> и других предприятиях (см.</w:t>
      </w:r>
      <w:r>
        <w:rPr>
          <w:b/>
          <w:lang w:val="ru-RU"/>
        </w:rPr>
        <w:t> </w:t>
      </w:r>
      <w:r w:rsidRPr="009B0715">
        <w:rPr>
          <w:b/>
          <w:lang w:val="ru-RU"/>
        </w:rPr>
        <w:t>A/</w:t>
      </w:r>
      <w:proofErr w:type="spellStart"/>
      <w:r w:rsidRPr="009B0715">
        <w:rPr>
          <w:b/>
          <w:lang w:val="ru-RU"/>
        </w:rPr>
        <w:t>HRC</w:t>
      </w:r>
      <w:proofErr w:type="spellEnd"/>
      <w:r w:rsidRPr="009B0715">
        <w:rPr>
          <w:b/>
          <w:lang w:val="ru-RU"/>
        </w:rPr>
        <w:t>/35/32/Add.2), и обращает внимание на свое замечание общего порядка</w:t>
      </w:r>
      <w:r>
        <w:rPr>
          <w:b/>
          <w:lang w:val="ru-RU"/>
        </w:rPr>
        <w:t> </w:t>
      </w:r>
      <w:r w:rsidRPr="009B0715">
        <w:rPr>
          <w:b/>
          <w:lang w:val="ru-RU"/>
        </w:rPr>
        <w:t>№ 24 (2017) в отношении обязательств государств в соответствии с Международным пактом об экономических, социальных и культурных правах в контексте предпринимательской деятельности.</w:t>
      </w:r>
    </w:p>
    <w:p w:rsidR="009B0715" w:rsidRPr="009B0715" w:rsidRDefault="009B0715" w:rsidP="009B0715">
      <w:pPr>
        <w:pStyle w:val="H23G"/>
        <w:rPr>
          <w:b w:val="0"/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 xml:space="preserve">Права коренных народов 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12.</w:t>
      </w:r>
      <w:r w:rsidRPr="009B0715">
        <w:rPr>
          <w:lang w:val="ru-RU"/>
        </w:rPr>
        <w:tab/>
        <w:t>Несмотря на наличие протоколов о процедурах проведения предварительных консультаций, Комитет обеспокоен тем, что по причине, отчасти, их необязательного характера они не применяются на систематической основе, что ограничивает осуществление в полном объеме права коренных народов на проведение предварительных консультаций с целью получения их свободного, предварительного и осознанного согласия на реализацию экономических проектов и проектов в области освоения природных ресурсов. Он также обеспокоен негативным воздействием таких проектов на эффективное осуществление экономических, социальных и культурных прав затрагиваемых коренных народов (статья 1).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13.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государству-участнику: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a)</w:t>
      </w:r>
      <w:r w:rsidRPr="009B0715">
        <w:rPr>
          <w:b/>
          <w:lang w:val="ru-RU"/>
        </w:rPr>
        <w:tab/>
        <w:t xml:space="preserve">гарантировать проведение предварительных, систематических и </w:t>
      </w:r>
      <w:proofErr w:type="spellStart"/>
      <w:r w:rsidRPr="009B0715">
        <w:rPr>
          <w:b/>
          <w:lang w:val="ru-RU"/>
        </w:rPr>
        <w:t>транспарентных</w:t>
      </w:r>
      <w:proofErr w:type="spellEnd"/>
      <w:r w:rsidRPr="009B0715">
        <w:rPr>
          <w:b/>
          <w:lang w:val="ru-RU"/>
        </w:rPr>
        <w:t xml:space="preserve"> консультаций с коренными народами с целью получения их свободного, предварительного и осознанного согласия на принятие решений, которые могут затрагивать их интересы, особенно перед выдачей лицензий на осуществление экономической деятельности на территориях, традиционно находящихся в их владении, занимаемых или используемых ими. В этой связи он призывает разработать в консультации с коренными народами эффективные, надлежащие и имеющие обязательную юридическую силу протоколы, которые бы в полной мере гарантировали соблюдение этого права, или, в</w:t>
      </w:r>
      <w:r w:rsidR="00CA3B22">
        <w:rPr>
          <w:b/>
          <w:lang w:val="en-US"/>
        </w:rPr>
        <w:t> </w:t>
      </w:r>
      <w:r w:rsidRPr="009B0715">
        <w:rPr>
          <w:b/>
          <w:lang w:val="ru-RU"/>
        </w:rPr>
        <w:t>соответствующих случаях, применять уже существующие протоколы, принимая при этом во внимание культурные особенности, традиции и обычаи каждого народа и руководствуясь положениями Конвенции № 169 (1989 год) Международной организации труда (МОТ) о коренных народах и народах, ведущих племенной образ жизни и Декларации Организации Объединенных Наций о правах коренных народов;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b)</w:t>
      </w:r>
      <w:r w:rsidRPr="009B0715">
        <w:rPr>
          <w:b/>
          <w:lang w:val="ru-RU"/>
        </w:rPr>
        <w:tab/>
        <w:t>провести независимые исследования по вопросу о социальных и экологических последствиях, которые могут иметь проекты в области разведки и освоения природных ресурсов для затрагиваемых коренных народов, опубликовать их результаты и обеспечить, чтобы соглашения об осуществлении таких проектов предусматривали принятие мер по смягчению их воздействия на экономические, социальные и культурные права затрагиваемых коренных народов, а также предоставление им надлежащей компенсации.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 xml:space="preserve">Максимальные пределы имеющихся ресурсов 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14.</w:t>
      </w:r>
      <w:r w:rsidRPr="009B0715">
        <w:rPr>
          <w:lang w:val="ru-RU"/>
        </w:rPr>
        <w:tab/>
        <w:t>Комитет отмечает, что государство-участник применило новаторский подход и интегрировало Цели в области устойчивого развития в свой бюджет, а также прилагает усилия по наращиванию своих ресурсов и созданию более справедливой системы налогообложения посредством реформы финансово-бюджетной политики, принятой в 2013 году. Вместе с тем Комитет обеспокоен недостаточной эффективностью этих мер и по-прежнему низким показателем взыскания задолженности по налогам, что сказывается на способности государства-участника выполнять свои обязательства по мобилизации максимального объема имеющихся ресурсов для целей осуществления экономических, социальных и культурных прав (статья 2, пункт 1).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15.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государству-участнику: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a)</w:t>
      </w:r>
      <w:r w:rsidRPr="009B0715">
        <w:rPr>
          <w:b/>
          <w:lang w:val="ru-RU"/>
        </w:rPr>
        <w:tab/>
        <w:t>удвоить свои усилия в целях проведения более справедливой с социальной точки зрения финансово-бюджетной политики, которая бы гарантировала достаточные ресурсы для последовательной деятельности по обеспечению полного осуществления экономических, социальных и культурных прав;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b)</w:t>
      </w:r>
      <w:r w:rsidRPr="009B0715">
        <w:rPr>
          <w:b/>
          <w:lang w:val="ru-RU"/>
        </w:rPr>
        <w:tab/>
        <w:t>принять надлежащие меры для улучшения положения в области взыскания задолженности по налогам;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с)</w:t>
      </w:r>
      <w:r w:rsidRPr="009B0715">
        <w:rPr>
          <w:b/>
          <w:lang w:val="ru-RU"/>
        </w:rPr>
        <w:tab/>
        <w:t xml:space="preserve">обеспечить, чтобы процесс разработки и исполнения бюджета гарантировал осуществление экономических, социальных и культурных прав всех слоев населения, особенно наиболее </w:t>
      </w:r>
      <w:proofErr w:type="spellStart"/>
      <w:r w:rsidRPr="009B0715">
        <w:rPr>
          <w:b/>
          <w:lang w:val="ru-RU"/>
        </w:rPr>
        <w:t>маргинализованных</w:t>
      </w:r>
      <w:proofErr w:type="spellEnd"/>
      <w:r w:rsidRPr="009B0715">
        <w:rPr>
          <w:b/>
          <w:lang w:val="ru-RU"/>
        </w:rPr>
        <w:t xml:space="preserve"> и обездоленных групп и лиц.</w:t>
      </w:r>
    </w:p>
    <w:p w:rsidR="009B0715" w:rsidRPr="009B0715" w:rsidRDefault="009B0715" w:rsidP="009B0715">
      <w:pPr>
        <w:pStyle w:val="H23G"/>
        <w:rPr>
          <w:b w:val="0"/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Коррупция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16.</w:t>
      </w:r>
      <w:r w:rsidRPr="009B0715">
        <w:rPr>
          <w:lang w:val="ru-RU"/>
        </w:rPr>
        <w:tab/>
        <w:t>Комитет обеспокоен сохраняющимся в государстве-участнике высоким уровнем коррупции и безнаказанности. Он также обеспокоен отсутствием механизмов для надлежащей защиты лиц, которые сообщают о случаях коррупции или расследуют их (статья 2, пункт 1).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17.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государству-участнику: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a)</w:t>
      </w:r>
      <w:r w:rsidRPr="009B0715">
        <w:rPr>
          <w:b/>
          <w:lang w:val="ru-RU"/>
        </w:rPr>
        <w:tab/>
        <w:t xml:space="preserve">гарантировать надлежащую </w:t>
      </w:r>
      <w:proofErr w:type="spellStart"/>
      <w:r w:rsidRPr="009B0715">
        <w:rPr>
          <w:b/>
          <w:lang w:val="ru-RU"/>
        </w:rPr>
        <w:t>транспарентность</w:t>
      </w:r>
      <w:proofErr w:type="spellEnd"/>
      <w:r w:rsidRPr="009B0715">
        <w:rPr>
          <w:b/>
          <w:lang w:val="ru-RU"/>
        </w:rPr>
        <w:t xml:space="preserve"> и подотчетность в области государственного управления;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b)</w:t>
      </w:r>
      <w:r w:rsidRPr="009B0715">
        <w:rPr>
          <w:b/>
          <w:lang w:val="ru-RU"/>
        </w:rPr>
        <w:tab/>
        <w:t>обеспечить эффективное осуществление мер, принимаемых для борьбы с коррупцией, с целью действенного противодействия безнаказанности в этой области, причем как административных, так и уголовных мер, если это необходимо;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с)</w:t>
      </w:r>
      <w:r w:rsidRPr="009B0715">
        <w:rPr>
          <w:b/>
          <w:lang w:val="ru-RU"/>
        </w:rPr>
        <w:tab/>
        <w:t>принять меры для обеспечения эффективной защиты жертв коррупции, их адвокатов, общественных деятелей, занимающихся борьбой с этим явлением, лиц, сообщающих о противоправных действиях, и свидетелей.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Дискриминация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18.</w:t>
      </w:r>
      <w:r w:rsidRPr="009B0715">
        <w:rPr>
          <w:lang w:val="ru-RU"/>
        </w:rPr>
        <w:tab/>
        <w:t xml:space="preserve">Комитет отмечает существование федерального закона о предупреждении дискриминации и наличие в 32 федеративных образованиях законов о борьбе с дискриминацией, но обеспокоен тем, что из-за несогласованности законодательства предоставление надлежащей и равной защиты от дискриминации по признакам, указанным в Пакте, невозможно. Он также обеспокоен дискриминацией, с которой продолжают сталкиваться определенные группы, а также отсутствием надлежащих стратегий в целях борьбы с множественной дискриминацией в отношении некоторых групп, </w:t>
      </w:r>
      <w:proofErr w:type="gramStart"/>
      <w:r w:rsidRPr="009B0715">
        <w:rPr>
          <w:lang w:val="ru-RU"/>
        </w:rPr>
        <w:t>например</w:t>
      </w:r>
      <w:proofErr w:type="gramEnd"/>
      <w:r w:rsidRPr="009B0715">
        <w:rPr>
          <w:lang w:val="ru-RU"/>
        </w:rPr>
        <w:t xml:space="preserve"> женщин-инвалидов из числа коренного населения (статья 2).</w:t>
      </w:r>
    </w:p>
    <w:p w:rsidR="009B0715" w:rsidRPr="009B0715" w:rsidRDefault="009B0715" w:rsidP="009B0715">
      <w:pPr>
        <w:pStyle w:val="SingleTxtG"/>
        <w:keepNext/>
        <w:keepLines/>
        <w:rPr>
          <w:b/>
          <w:lang w:val="ru-RU"/>
        </w:rPr>
      </w:pPr>
      <w:r w:rsidRPr="009B0715">
        <w:rPr>
          <w:lang w:val="ru-RU"/>
        </w:rPr>
        <w:t>19.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государству-участнику:</w:t>
      </w:r>
    </w:p>
    <w:p w:rsidR="009B0715" w:rsidRPr="009B0715" w:rsidRDefault="009B0715" w:rsidP="009B0715">
      <w:pPr>
        <w:pStyle w:val="SingleTxtG"/>
        <w:keepNext/>
        <w:keepLines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a)</w:t>
      </w:r>
      <w:r w:rsidRPr="009B0715">
        <w:rPr>
          <w:b/>
          <w:lang w:val="ru-RU"/>
        </w:rPr>
        <w:tab/>
        <w:t>пересмотреть и согласовать свое законодательство с целью создания всеобъемлющей нормативно-правовой базы, гарантирующей всем лицам в государстве-участнике одинаковый уровень защиты от дискриминации по любому признаку, указанному в пункте 2 статьи 2 Пакта;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b)</w:t>
      </w:r>
      <w:r w:rsidRPr="009B0715">
        <w:rPr>
          <w:b/>
          <w:lang w:val="ru-RU"/>
        </w:rPr>
        <w:tab/>
        <w:t>активизировать усилия по предупреждению и пресечению сохраняющейся дискриминации, особенно в отношении представителей коренных народов, лиц африканского происхождения, мигрантов, просителей убежища и беженцев, лесбиянок, гомосексуалистов, бисексуалов, трансгендеров и транссексуалов, в том числе путем проведения информационно-просветительских кампаний, с тем чтобы гарантировать им полное осуществление прав, признанных в Пакте, в частности доступ к занятости, социальному обеспечению, здравоохранению и образованию;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с)</w:t>
      </w:r>
      <w:r w:rsidRPr="009B0715">
        <w:rPr>
          <w:b/>
          <w:lang w:val="ru-RU"/>
        </w:rPr>
        <w:tab/>
        <w:t>принимать в консультации с затрагиваемыми группами конкретные меры по борьбе с множественной дискриминацией, с которой могут сталкиваться некоторые лица.</w:t>
      </w:r>
    </w:p>
    <w:p w:rsidR="009B0715" w:rsidRPr="009B0715" w:rsidRDefault="009B0715" w:rsidP="009B0715">
      <w:pPr>
        <w:pStyle w:val="SingleTxtG"/>
        <w:rPr>
          <w:b/>
          <w:bCs/>
          <w:lang w:val="ru-RU"/>
        </w:rPr>
      </w:pPr>
      <w:r w:rsidRPr="009B0715">
        <w:rPr>
          <w:lang w:val="ru-RU"/>
        </w:rPr>
        <w:t>20.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 xml:space="preserve">Комитет обращает внимание государства-участника на свое замечание общего порядка № 20 (2009 год) о </w:t>
      </w:r>
      <w:proofErr w:type="spellStart"/>
      <w:r w:rsidRPr="009B0715">
        <w:rPr>
          <w:b/>
          <w:lang w:val="ru-RU"/>
        </w:rPr>
        <w:t>недискриминации</w:t>
      </w:r>
      <w:proofErr w:type="spellEnd"/>
      <w:r w:rsidRPr="009B0715">
        <w:rPr>
          <w:b/>
          <w:lang w:val="ru-RU"/>
        </w:rPr>
        <w:t xml:space="preserve"> экономических, социальных и культурных прав.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Равенство мужчин и женщин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21.</w:t>
      </w:r>
      <w:r w:rsidRPr="009B0715">
        <w:rPr>
          <w:lang w:val="ru-RU"/>
        </w:rPr>
        <w:tab/>
        <w:t xml:space="preserve">Комитет отмечает усилия, предпринятые государством-участником в целях поощрения равенства мужчин и </w:t>
      </w:r>
      <w:r w:rsidR="00726D15">
        <w:rPr>
          <w:lang w:val="ru-RU"/>
        </w:rPr>
        <w:t>женщин посредством, в частности</w:t>
      </w:r>
      <w:r w:rsidRPr="009B0715">
        <w:rPr>
          <w:lang w:val="ru-RU"/>
        </w:rPr>
        <w:t xml:space="preserve"> осуществления Национальной программы в области обеспечения равенства возможностей и предотвращения дискриминации в отношении женщин на 2013</w:t>
      </w:r>
      <w:r w:rsidR="00726D15">
        <w:rPr>
          <w:lang w:val="en-US"/>
        </w:rPr>
        <w:t>–</w:t>
      </w:r>
      <w:r w:rsidRPr="009B0715">
        <w:rPr>
          <w:lang w:val="ru-RU"/>
        </w:rPr>
        <w:t>2018 годы. Однако он обеспокоен тем, что гендерные стереотипы по-прежнему имеют в обществе глубокие корни, что препятствует полному осуществлению экономических, социальных и культурных прав женщин и ограничивает их представленность на руководящих должностях как в государственном, так и в частных секторах (статья 3).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22.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призывает государство-участник продолжать предпринимать усилия в целях достижения реального равенства мужчин и женщин во всех областях. В частности, он рекомендует государству-участнику: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a)</w:t>
      </w:r>
      <w:r w:rsidRPr="009B0715">
        <w:rPr>
          <w:b/>
          <w:lang w:val="ru-RU"/>
        </w:rPr>
        <w:tab/>
        <w:t>принять эффективные меры в целях борьбы с гендерными стереотипами в семье и обществе, в частности, посредством проведения информационно-просветительских кампаний, посвященных необходимости справедливого распределения семейных обязанностей между мужчинами и женщинами и наличию благодаря образованию и подготовке равных возможностей для профессионального роста в областях, отличных от тех, где традиционно доминируют или мужчины, или женщины;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b)</w:t>
      </w:r>
      <w:r w:rsidRPr="009B0715">
        <w:rPr>
          <w:b/>
          <w:lang w:val="ru-RU"/>
        </w:rPr>
        <w:tab/>
        <w:t>продолжать поощрять более высокий уровень представленности женщин на всех уровнях государственного управления и, в частности, на</w:t>
      </w:r>
      <w:r w:rsidR="00471DD1">
        <w:rPr>
          <w:b/>
          <w:lang w:val="en-US"/>
        </w:rPr>
        <w:t> </w:t>
      </w:r>
      <w:r w:rsidRPr="009B0715">
        <w:rPr>
          <w:b/>
          <w:lang w:val="ru-RU"/>
        </w:rPr>
        <w:t>руководящих постах, а также их представленности на руководящих должностях в частном секторе.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23.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обращает внимания государства-участника на свое замечание общего порядка № 16 (2005) о равном для мужчин и женщин праве пользования экономическими, социальными и культурными правами.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Право на труд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24.</w:t>
      </w:r>
      <w:r w:rsidRPr="009B0715">
        <w:rPr>
          <w:lang w:val="ru-RU"/>
        </w:rPr>
        <w:tab/>
        <w:t>Комитет обеспокоен тем, что, несмотря на усилия, предпринимаемые государством-участником, безработица и неполная занятость продолжают в несоразмерно большей степени затрагивать молодежь, инвалидов, представителей коренных народов, мигрантов, просителей убежища и беженцев. Он также обеспокоен большим числом трудящихся, занятых в неформальном секторе экономики (статья 6).</w:t>
      </w:r>
    </w:p>
    <w:p w:rsidR="009B0715" w:rsidRPr="009B0715" w:rsidRDefault="009B0715" w:rsidP="009B0715">
      <w:pPr>
        <w:pStyle w:val="SingleTxtG"/>
        <w:keepNext/>
        <w:keepLines/>
        <w:rPr>
          <w:b/>
          <w:bCs/>
          <w:lang w:val="ru-RU"/>
        </w:rPr>
      </w:pPr>
      <w:r w:rsidRPr="009B0715">
        <w:rPr>
          <w:lang w:val="ru-RU"/>
        </w:rPr>
        <w:t>25.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государству-участнику:</w:t>
      </w:r>
    </w:p>
    <w:p w:rsidR="009B0715" w:rsidRPr="009B0715" w:rsidRDefault="009B0715" w:rsidP="009B0715">
      <w:pPr>
        <w:pStyle w:val="SingleTxtG"/>
        <w:keepNext/>
        <w:keepLines/>
        <w:ind w:firstLine="567"/>
        <w:rPr>
          <w:b/>
          <w:bCs/>
          <w:lang w:val="ru-RU"/>
        </w:rPr>
      </w:pPr>
      <w:r w:rsidRPr="009B0715">
        <w:rPr>
          <w:b/>
          <w:lang w:val="ru-RU"/>
        </w:rPr>
        <w:tab/>
        <w:t>a)</w:t>
      </w:r>
      <w:r w:rsidRPr="009B0715">
        <w:rPr>
          <w:b/>
          <w:lang w:val="ru-RU"/>
        </w:rPr>
        <w:tab/>
        <w:t>активизировать усилия в целях снижения уровня безработицы и неполной занятости посредством, помимо прочего, принятия комплексной стратегии в области занятости, которая бы была направлена на устранение основных причин безработицы, предусматривала осуществление план действий с конкретными целями и была в приоритетном порядке ориентирована на группы, в несоразмерно большей степени подверженные риску безработицы;</w:t>
      </w:r>
    </w:p>
    <w:p w:rsidR="009B0715" w:rsidRPr="009B0715" w:rsidRDefault="009B0715" w:rsidP="009B0715">
      <w:pPr>
        <w:pStyle w:val="SingleTxtG"/>
        <w:ind w:firstLine="567"/>
        <w:rPr>
          <w:b/>
          <w:bCs/>
          <w:lang w:val="ru-RU"/>
        </w:rPr>
      </w:pPr>
      <w:r w:rsidRPr="009B0715">
        <w:rPr>
          <w:b/>
          <w:lang w:val="ru-RU"/>
        </w:rPr>
        <w:tab/>
        <w:t>b)</w:t>
      </w:r>
      <w:r w:rsidRPr="009B0715">
        <w:rPr>
          <w:b/>
          <w:lang w:val="ru-RU"/>
        </w:rPr>
        <w:tab/>
        <w:t xml:space="preserve">продолжать уделять приоритетное внимание организации программ качественной профессиональной и технической подготовки и повышения квалификации, соответствующих запросам рынка труда и учитывающих потребности наиболее обездоленных и </w:t>
      </w:r>
      <w:proofErr w:type="spellStart"/>
      <w:r w:rsidRPr="009B0715">
        <w:rPr>
          <w:b/>
          <w:lang w:val="ru-RU"/>
        </w:rPr>
        <w:t>маргинализованных</w:t>
      </w:r>
      <w:proofErr w:type="spellEnd"/>
      <w:r w:rsidRPr="009B0715">
        <w:rPr>
          <w:b/>
          <w:lang w:val="ru-RU"/>
        </w:rPr>
        <w:t xml:space="preserve"> лиц и групп населения.</w:t>
      </w:r>
    </w:p>
    <w:p w:rsidR="009B0715" w:rsidRPr="009B0715" w:rsidRDefault="009B0715" w:rsidP="009B0715">
      <w:pPr>
        <w:pStyle w:val="H23G"/>
        <w:rPr>
          <w:b w:val="0"/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Условия труда женщин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26.</w:t>
      </w:r>
      <w:r w:rsidRPr="009B0715">
        <w:rPr>
          <w:lang w:val="ru-RU"/>
        </w:rPr>
        <w:tab/>
        <w:t>Комитет обеспокоен трудностями, с которыми сталкиваются женщины в плане трудоустройства, и их значительно более низкой, по сравнению с мужчинами, долей среди занятых. Он также обеспокоен сообщениями о дискриминационной практике, с</w:t>
      </w:r>
      <w:r w:rsidR="00A41AAE">
        <w:rPr>
          <w:lang w:val="en-US"/>
        </w:rPr>
        <w:t> </w:t>
      </w:r>
      <w:r w:rsidRPr="009B0715">
        <w:rPr>
          <w:lang w:val="ru-RU"/>
        </w:rPr>
        <w:t xml:space="preserve">которой сталкиваются женщины в сфере трудовых отношений, в частности требованием представлять при найме на работу справку о </w:t>
      </w:r>
      <w:proofErr w:type="spellStart"/>
      <w:r w:rsidRPr="009B0715">
        <w:rPr>
          <w:lang w:val="ru-RU"/>
        </w:rPr>
        <w:t>небеременности</w:t>
      </w:r>
      <w:proofErr w:type="spellEnd"/>
      <w:r w:rsidRPr="009B0715">
        <w:rPr>
          <w:lang w:val="ru-RU"/>
        </w:rPr>
        <w:t xml:space="preserve"> и сохраняющимся разрывом в заработной плате мужчин и женщин (статьи 6 и 7).</w:t>
      </w:r>
    </w:p>
    <w:p w:rsidR="009B0715" w:rsidRPr="009B0715" w:rsidRDefault="009B0715" w:rsidP="009B0715">
      <w:pPr>
        <w:pStyle w:val="SingleTxtG"/>
        <w:rPr>
          <w:b/>
          <w:bCs/>
          <w:lang w:val="ru-RU"/>
        </w:rPr>
      </w:pPr>
      <w:r w:rsidRPr="009B0715">
        <w:rPr>
          <w:lang w:val="ru-RU"/>
        </w:rPr>
        <w:t>27.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 принять эффективные меры в целях:</w:t>
      </w:r>
    </w:p>
    <w:p w:rsidR="009B0715" w:rsidRPr="009B0715" w:rsidRDefault="009B0715" w:rsidP="009B0715">
      <w:pPr>
        <w:pStyle w:val="SingleTxtG"/>
        <w:ind w:firstLine="567"/>
        <w:rPr>
          <w:b/>
          <w:bCs/>
          <w:lang w:val="ru-RU"/>
        </w:rPr>
      </w:pPr>
      <w:r w:rsidRPr="009B0715">
        <w:rPr>
          <w:b/>
          <w:lang w:val="ru-RU"/>
        </w:rPr>
        <w:tab/>
        <w:t>a)</w:t>
      </w:r>
      <w:r w:rsidRPr="009B0715">
        <w:rPr>
          <w:b/>
          <w:lang w:val="ru-RU"/>
        </w:rPr>
        <w:tab/>
        <w:t>увеличения доли женщин в численности занятого населения, в том числе путем возможного принятия политики в отношении семейных обязанностей для обеспечения их более справедливого распределения между мужчинами и женщинами;</w:t>
      </w:r>
    </w:p>
    <w:p w:rsidR="009B0715" w:rsidRPr="009B0715" w:rsidRDefault="009B0715" w:rsidP="009B0715">
      <w:pPr>
        <w:pStyle w:val="SingleTxtG"/>
        <w:ind w:firstLine="567"/>
        <w:rPr>
          <w:b/>
          <w:bCs/>
          <w:lang w:val="ru-RU"/>
        </w:rPr>
      </w:pPr>
      <w:r w:rsidRPr="009B0715">
        <w:rPr>
          <w:b/>
          <w:lang w:val="ru-RU"/>
        </w:rPr>
        <w:tab/>
        <w:t>b)</w:t>
      </w:r>
      <w:r w:rsidRPr="009B0715">
        <w:rPr>
          <w:b/>
          <w:lang w:val="ru-RU"/>
        </w:rPr>
        <w:tab/>
        <w:t>устранения сохраняющегося разрыва в оплате труда мужчин и женщин путем противодействия вертикальной и горизонтальной сегрегации в сфере занятости;</w:t>
      </w:r>
    </w:p>
    <w:p w:rsidR="009B0715" w:rsidRPr="009B0715" w:rsidRDefault="009B0715" w:rsidP="009B0715">
      <w:pPr>
        <w:pStyle w:val="SingleTxtG"/>
        <w:ind w:firstLine="567"/>
        <w:rPr>
          <w:b/>
          <w:bCs/>
          <w:lang w:val="ru-RU"/>
        </w:rPr>
      </w:pPr>
      <w:r w:rsidRPr="009B0715">
        <w:rPr>
          <w:b/>
          <w:lang w:val="ru-RU"/>
        </w:rPr>
        <w:tab/>
        <w:t>с)</w:t>
      </w:r>
      <w:r w:rsidRPr="009B0715">
        <w:rPr>
          <w:b/>
          <w:lang w:val="ru-RU"/>
        </w:rPr>
        <w:tab/>
        <w:t xml:space="preserve">искоренения на практике всего, что является причиной дискриминации женщин в сфере трудовых отношений, включая требование представлять при найме на работу справку о </w:t>
      </w:r>
      <w:proofErr w:type="spellStart"/>
      <w:r w:rsidRPr="009B0715">
        <w:rPr>
          <w:b/>
          <w:lang w:val="ru-RU"/>
        </w:rPr>
        <w:t>небеременности</w:t>
      </w:r>
      <w:proofErr w:type="spellEnd"/>
      <w:r w:rsidRPr="009B0715">
        <w:rPr>
          <w:b/>
          <w:lang w:val="ru-RU"/>
        </w:rPr>
        <w:t>, незаконные увольнения беременных женщин и любые положения, в силу которых женщины выполняют низкооплачиваемую работу и сталкиваются с препятствиями в получении получения доступа к возможностям карьерного роста на равной основе с мужчинами.</w:t>
      </w:r>
    </w:p>
    <w:p w:rsidR="009B0715" w:rsidRPr="009B0715" w:rsidRDefault="009B0715" w:rsidP="009B0715">
      <w:pPr>
        <w:pStyle w:val="H23G"/>
        <w:rPr>
          <w:b w:val="0"/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Минимальная заработная плата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28.</w:t>
      </w:r>
      <w:r w:rsidRPr="009B0715">
        <w:rPr>
          <w:lang w:val="ru-RU"/>
        </w:rPr>
        <w:tab/>
        <w:t>Комитет обеспокоен тем, что минимальная заработная плата не является достаточной для обеспечения трудящимся и членам их семей достойных условий жизни (статья 7).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29.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 продолжать повышать минимальную заработную плату с помощью надлежащего механизма индексации</w:t>
      </w:r>
      <w:r w:rsidR="00340707" w:rsidRPr="009B0715">
        <w:rPr>
          <w:b/>
          <w:lang w:val="ru-RU"/>
        </w:rPr>
        <w:t>,</w:t>
      </w:r>
      <w:r w:rsidRPr="009B0715">
        <w:rPr>
          <w:b/>
          <w:lang w:val="ru-RU"/>
        </w:rPr>
        <w:t xml:space="preserve"> для того чтобы она обеспечивала трудящимся и их семьям достойные условия жизни, и принять необходимые меры, с тем чтобы гарантировать соблюдение нормативных положений, касающихся минимальной заработной платы, и применение соответствующих санкций в случае их несоблюдения работодателем. Комитет обращает внимание государства-участника на свое замечание общего порядка № 23 (2016) о праве на справедливые и благоприятные условия труда, в частности на его пункты 18</w:t>
      </w:r>
      <w:r>
        <w:rPr>
          <w:b/>
          <w:lang w:val="ru-RU"/>
        </w:rPr>
        <w:t>–</w:t>
      </w:r>
      <w:r w:rsidRPr="009B0715">
        <w:rPr>
          <w:b/>
          <w:lang w:val="ru-RU"/>
        </w:rPr>
        <w:t>24.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Неформальный сектор экономики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30.</w:t>
      </w:r>
      <w:r w:rsidRPr="009B0715">
        <w:rPr>
          <w:lang w:val="ru-RU"/>
        </w:rPr>
        <w:tab/>
        <w:t xml:space="preserve">Комитет обеспокоен тем, что приблизительно </w:t>
      </w:r>
      <w:r w:rsidR="00934077">
        <w:rPr>
          <w:lang w:val="en-US"/>
        </w:rPr>
        <w:t>57</w:t>
      </w:r>
      <w:r w:rsidRPr="009B0715">
        <w:rPr>
          <w:lang w:val="ru-RU"/>
        </w:rPr>
        <w:t>% трудящихся заняты в неформальном секторе экономики и поэтому не защищены должным образом трудовым законодательством и системой социального обеспечения (статьи 6, 7 и 9).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31.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 активизировать усилия в целях постепенного снижения числа трудящихся, занятых в неформальном секторе экономики, их интеграции в формальный сектор и обеспечения им доступа к трудовому законодательству и системе социальной защиты. Он также рекомендует на систематической основе проводить в неформальном секторе экономики проверки условий, гигиены и безопасности труда и обращает</w:t>
      </w:r>
      <w:r w:rsidR="00157102">
        <w:rPr>
          <w:b/>
          <w:lang w:val="ru-RU"/>
        </w:rPr>
        <w:t> </w:t>
      </w:r>
      <w:r w:rsidRPr="009B0715">
        <w:rPr>
          <w:b/>
          <w:lang w:val="ru-RU"/>
        </w:rPr>
        <w:t>внимание на свои замечания общего порядка № 18 (2005) о праве на труд, № 19 (2009) о праве на социальное обеспечение и № 23 (2016) о праве на справедливые и благоприятные условия труда, а также на свое заявление о минимальных уровнях социальной защиты как важнейшей составляющей права на социальное обеспечение и целей в области устойчивого развития (2015 год) (E/C.12/2015/1).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Условия труда сельскохозяйственных рабочих и домашних работников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32.</w:t>
      </w:r>
      <w:r w:rsidRPr="009B0715">
        <w:rPr>
          <w:lang w:val="ru-RU"/>
        </w:rPr>
        <w:tab/>
        <w:t>Комитет обеспокоен тем, что, несмотря на предпринятые усилия, условия труда сельскохозяйственных рабочих и домашних работников остаются неудовлетворительными, при этом многие из них по-прежнему получают низкую зарплату, не имеют надежных гарантий занятости, трудятся в небезопасных и вредных условиях и подвергаются риску эксплуатации и злоупотреблений (статья 7).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33.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государству-участнику: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a)</w:t>
      </w:r>
      <w:r w:rsidRPr="009B0715">
        <w:rPr>
          <w:b/>
          <w:lang w:val="ru-RU"/>
        </w:rPr>
        <w:tab/>
        <w:t>активизировать усилия, с тем чтобы в законодательном порядке и на практике гарантировать всем сельскохозяйственным рабочим и домашним работникам справедливые и удовлетворительные условия труда, включая оплату труда в размере, обеспечивающем им и их семьям достойный уровень жизни;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ab/>
        <w:t>b)</w:t>
      </w:r>
      <w:r w:rsidRPr="009B0715">
        <w:rPr>
          <w:b/>
          <w:lang w:val="ru-RU"/>
        </w:rPr>
        <w:tab/>
        <w:t>обеспечить, чтобы механизм инспекции труда располагал достаточными полномочиями и необходимыми людскими, техническими и финансовыми ресурсами для осуществления эффективных проверок условий труда во всех секторах, в том числе в секторе домашнего труда, и предусматривал применение надлежащих процедур для эффективного осуществления назначаемых мер и санкций;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>с)</w:t>
      </w:r>
      <w:r w:rsidRPr="009B0715">
        <w:rPr>
          <w:b/>
          <w:lang w:val="ru-RU"/>
        </w:rPr>
        <w:tab/>
        <w:t>создать эффективные механизмы для сообщения о злоупотреблениях и случаях эксплуатации, приняв при этом во внимание положение, в котором находятся многие домашние работники и сельскохозяйственные рабочие;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b/>
          <w:lang w:val="ru-RU"/>
        </w:rPr>
        <w:t>d)</w:t>
      </w:r>
      <w:r w:rsidRPr="009B0715">
        <w:rPr>
          <w:b/>
          <w:lang w:val="ru-RU"/>
        </w:rPr>
        <w:tab/>
        <w:t>рассмотреть вопрос о ратификации Конвенции МОТ 2011 года о достойном труде домашних работников (№ 189).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34.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вновь обращает внимание государства-участника на свое замечание общего порядка № 23 (2016) о праве на справедливые и благоприятные условия труда.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Профсоюзные права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35.</w:t>
      </w:r>
      <w:r w:rsidRPr="009B0715">
        <w:rPr>
          <w:lang w:val="ru-RU"/>
        </w:rPr>
        <w:tab/>
        <w:t>Комитет отмечает поправки, внесенные в феврале 2017 года в трудовое законодательство и Конституцию с целью улучшения защиты профсоюзных прав, но</w:t>
      </w:r>
      <w:r w:rsidR="00E13898">
        <w:rPr>
          <w:lang w:val="en-US"/>
        </w:rPr>
        <w:t> </w:t>
      </w:r>
      <w:r w:rsidRPr="009B0715">
        <w:rPr>
          <w:lang w:val="ru-RU"/>
        </w:rPr>
        <w:t>обеспокоен сообщениями об ограничениях, которые на практике могут сказываться на осуществлении профсоюзных прав, включая право на забастовку и право на ведение коллективных переговоров. Он также обеспокоен сообщениями об актах насилия в отношении профсоюзных руководителей и лидеров (статья 8).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36.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>Комитет рекомендует государству-участнику принять действенные меры с целью устранения ограничений, которые на практике препятствуют эффективному осуществлению профсоюзных прав всех трудящихся, как это предусмотрено статьей 8 Пакта и положениями таких конвенций МОТ, как Конвенция 1948 года (№ 87) о свободе объединений и защите права объединяться в профсоюзы и Конвенция 1949 года (№ 98) о применении принципов права на объединение в профсоюзы и на ведение коллективных переговоров. Кроме того, он призывает создать эффективные механизмы защиты профсоюзных прав, в</w:t>
      </w:r>
      <w:r w:rsidR="00E13898">
        <w:rPr>
          <w:b/>
          <w:lang w:val="en-US"/>
        </w:rPr>
        <w:t> </w:t>
      </w:r>
      <w:r w:rsidRPr="009B0715">
        <w:rPr>
          <w:b/>
          <w:lang w:val="ru-RU"/>
        </w:rPr>
        <w:t>том числе посредством проведения эффективного расследования всех жалоб, доводимых до сведения государства-участника, и определения размера надлежащей компенсации для пострадавших трудящихся.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 xml:space="preserve">Социальное обеспечение 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37.</w:t>
      </w:r>
      <w:r w:rsidRPr="009B0715">
        <w:rPr>
          <w:lang w:val="ru-RU"/>
        </w:rPr>
        <w:tab/>
        <w:t xml:space="preserve">Комитет обеспокоен тем, что система социального обеспечения государства-участника не охватывает все сектора и распространяется лишь на формально занятых, в результате чего значительное число лиц, </w:t>
      </w:r>
      <w:proofErr w:type="gramStart"/>
      <w:r w:rsidRPr="009B0715">
        <w:rPr>
          <w:lang w:val="ru-RU"/>
        </w:rPr>
        <w:t>например</w:t>
      </w:r>
      <w:proofErr w:type="gramEnd"/>
      <w:r w:rsidRPr="009B0715">
        <w:rPr>
          <w:lang w:val="ru-RU"/>
        </w:rPr>
        <w:t xml:space="preserve"> лица, занятые в неформальном секторе экономики, </w:t>
      </w:r>
      <w:proofErr w:type="spellStart"/>
      <w:r w:rsidRPr="009B0715">
        <w:rPr>
          <w:lang w:val="ru-RU"/>
        </w:rPr>
        <w:t>самозанятые</w:t>
      </w:r>
      <w:proofErr w:type="spellEnd"/>
      <w:r w:rsidRPr="009B0715">
        <w:rPr>
          <w:lang w:val="ru-RU"/>
        </w:rPr>
        <w:t xml:space="preserve"> работники и лица, особенно женщины, работающих в качестве домашней прислуги и предоставляющие неоплачиваемые услуги по уходу, остаются вне системы социальной защиты (статья 9).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38.</w:t>
      </w:r>
      <w:r w:rsidRPr="009B0715">
        <w:rPr>
          <w:lang w:val="ru-RU"/>
        </w:rPr>
        <w:tab/>
      </w:r>
      <w:r w:rsidRPr="009B0715">
        <w:rPr>
          <w:b/>
          <w:lang w:val="ru-RU"/>
        </w:rPr>
        <w:t xml:space="preserve">Комитет рекомендует государству-участнику продолжать прилагать усилия в целях создания системы социального обеспечения, которая бы гарантировала социальную защиту всего населения и предоставление надлежащих услуг всем лицам, в частности наиболее обездоленным и </w:t>
      </w:r>
      <w:proofErr w:type="spellStart"/>
      <w:r w:rsidRPr="009B0715">
        <w:rPr>
          <w:b/>
          <w:lang w:val="ru-RU"/>
        </w:rPr>
        <w:t>маргинализованным</w:t>
      </w:r>
      <w:proofErr w:type="spellEnd"/>
      <w:r w:rsidRPr="009B0715">
        <w:rPr>
          <w:b/>
          <w:lang w:val="ru-RU"/>
        </w:rPr>
        <w:t xml:space="preserve"> группам, с тем чтобы обеспечить им достойные условия жизни. Кроме того, он призывает активизировать усилия по достижению уровня социальной защиты, обеспечивающего всему населению базовые социальные гарантии, и обращает внимание государства-участника на свое замечание общего порядка № 19 (2008) о праве на социальное обеспечение и свое Заявление 2015</w:t>
      </w:r>
      <w:r>
        <w:rPr>
          <w:b/>
          <w:lang w:val="ru-RU"/>
        </w:rPr>
        <w:t> </w:t>
      </w:r>
      <w:r w:rsidRPr="009B0715">
        <w:rPr>
          <w:b/>
          <w:lang w:val="ru-RU"/>
        </w:rPr>
        <w:t>года «Минимальные уровни социальной защиты: важнейшая составляющая права на социальное обеспечение и целей в области устойчивого развития».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Насилие в отношении женщин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39.</w:t>
      </w:r>
      <w:r w:rsidRPr="009B0715">
        <w:rPr>
          <w:lang w:val="ru-RU"/>
        </w:rPr>
        <w:tab/>
        <w:t xml:space="preserve">Комитет обеспокоен сохраняющимся насилием в отношении женщин во всех сферах, в том числе в быту. Он особенно обеспокоен большим количеством случаев </w:t>
      </w:r>
      <w:proofErr w:type="spellStart"/>
      <w:r w:rsidRPr="009B0715">
        <w:rPr>
          <w:lang w:val="ru-RU"/>
        </w:rPr>
        <w:t>фемицида</w:t>
      </w:r>
      <w:proofErr w:type="spellEnd"/>
      <w:r w:rsidRPr="009B0715">
        <w:rPr>
          <w:lang w:val="ru-RU"/>
        </w:rPr>
        <w:t xml:space="preserve"> и высоким уровнем безнаказанности (статьи 3 и 10).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40.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настоятельно призывает государство-участник: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a)</w:t>
      </w:r>
      <w:r w:rsidRPr="00157102">
        <w:rPr>
          <w:b/>
          <w:lang w:val="ru-RU"/>
        </w:rPr>
        <w:tab/>
        <w:t xml:space="preserve">проводить тщательные расследования случаев </w:t>
      </w:r>
      <w:proofErr w:type="spellStart"/>
      <w:r w:rsidRPr="00157102">
        <w:rPr>
          <w:b/>
          <w:lang w:val="ru-RU"/>
        </w:rPr>
        <w:t>фемицида</w:t>
      </w:r>
      <w:proofErr w:type="spellEnd"/>
      <w:r w:rsidRPr="00157102">
        <w:rPr>
          <w:b/>
          <w:lang w:val="ru-RU"/>
        </w:rPr>
        <w:t xml:space="preserve"> и всех случаев насилия в отношении женщин и обеспечивать судебное преследование и надлежащее наказание виновных;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b)</w:t>
      </w:r>
      <w:r w:rsidRPr="00157102">
        <w:rPr>
          <w:b/>
          <w:lang w:val="ru-RU"/>
        </w:rPr>
        <w:tab/>
        <w:t>укреплять существующие механизмы в целях предотвращения случаев насилия в отношении женщин, в том числе посредством проведения информационных кампаний для повышения уровня осведомленности населения о тяжести и негативных последствиях таких актов;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с)</w:t>
      </w:r>
      <w:r w:rsidRPr="00157102">
        <w:rPr>
          <w:b/>
          <w:lang w:val="ru-RU"/>
        </w:rPr>
        <w:tab/>
        <w:t>проводить подготовку сотрудников правоохранительных органов и судей, с тем чтобы они лучше понимали, что насилие в отношении женщин во всех сферах, в том числе в быту, представляет собой тяжкое уголовное преступление;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d)</w:t>
      </w:r>
      <w:r w:rsidRPr="00157102">
        <w:rPr>
          <w:b/>
          <w:lang w:val="ru-RU"/>
        </w:rPr>
        <w:tab/>
        <w:t>удвоить усилия в целях обеспечения всем женщинам-жертвам насилия надлежащей защиты и гарантировать им доступ к правосудию посредством предоставления эффективных средств правовой защиты, в том числе возмещения и компенсации, а также обеспечить им доступ к центрам оказания помощи для их немедленной физической защиты и оказания им правовой, медиц</w:t>
      </w:r>
      <w:r w:rsidR="00157102">
        <w:rPr>
          <w:b/>
          <w:lang w:val="ru-RU"/>
        </w:rPr>
        <w:t>инской и психологической помощи.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 xml:space="preserve">Дети и подростки, находящиеся в уязвимом положении 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41.</w:t>
      </w:r>
      <w:r w:rsidRPr="009B0715">
        <w:rPr>
          <w:lang w:val="ru-RU"/>
        </w:rPr>
        <w:tab/>
        <w:t>Комитет с обеспокоенностью отмечает сообщения об уязвимом положении многих детей и подростков в государстве-участнике, в особенности беспризорных детей. Кроме того, он обеспокоен значительным числом детей в возрасте м</w:t>
      </w:r>
      <w:r w:rsidR="00571039">
        <w:rPr>
          <w:lang w:val="ru-RU"/>
        </w:rPr>
        <w:t>оложе</w:t>
      </w:r>
      <w:r w:rsidRPr="009B0715">
        <w:rPr>
          <w:lang w:val="ru-RU"/>
        </w:rPr>
        <w:t xml:space="preserve"> 14</w:t>
      </w:r>
      <w:r w:rsidR="00571039">
        <w:rPr>
          <w:lang w:val="ru-RU"/>
        </w:rPr>
        <w:t> </w:t>
      </w:r>
      <w:r w:rsidRPr="009B0715">
        <w:rPr>
          <w:lang w:val="ru-RU"/>
        </w:rPr>
        <w:t>лет, занятых детским трудом (статья 10).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42.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рекомендует государству-участнику: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a)</w:t>
      </w:r>
      <w:r w:rsidRPr="00157102">
        <w:rPr>
          <w:b/>
          <w:lang w:val="ru-RU"/>
        </w:rPr>
        <w:tab/>
        <w:t>создать систему всесторонней защиты детей и подростков, находящихся в особо уязвимом положении, в том числе беспризорных детей, в</w:t>
      </w:r>
      <w:r w:rsidR="00571039">
        <w:rPr>
          <w:b/>
          <w:lang w:val="ru-RU"/>
        </w:rPr>
        <w:t> </w:t>
      </w:r>
      <w:r w:rsidRPr="00157102">
        <w:rPr>
          <w:b/>
          <w:lang w:val="ru-RU"/>
        </w:rPr>
        <w:t xml:space="preserve">целях обеспечения их </w:t>
      </w:r>
      <w:proofErr w:type="spellStart"/>
      <w:r w:rsidRPr="00157102">
        <w:rPr>
          <w:b/>
          <w:lang w:val="ru-RU"/>
        </w:rPr>
        <w:t>реинтеграции</w:t>
      </w:r>
      <w:proofErr w:type="spellEnd"/>
      <w:r w:rsidRPr="00157102">
        <w:rPr>
          <w:b/>
          <w:lang w:val="ru-RU"/>
        </w:rPr>
        <w:t xml:space="preserve"> в общество и предоставления семьям надлежащей помощи в воспитании и образовании детей;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b)</w:t>
      </w:r>
      <w:r w:rsidRPr="00157102">
        <w:rPr>
          <w:b/>
          <w:lang w:val="ru-RU"/>
        </w:rPr>
        <w:tab/>
        <w:t>активизировать усилия в целях предотвращения и пресечения экономической эксплуатации детей, обеспечения неукоснительного соблюдения правовых положений, касающихся детского труда, и укрепления механизмов инспекции детского труда;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с)</w:t>
      </w:r>
      <w:r w:rsidRPr="00157102">
        <w:rPr>
          <w:b/>
          <w:lang w:val="ru-RU"/>
        </w:rPr>
        <w:tab/>
        <w:t>обеспечить тщательное расследование всех случаев любой эксплуатации детей, включая экономическую и сексуальную, и должное наказание виновных.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Семьи исчезнувших лиц</w:t>
      </w:r>
    </w:p>
    <w:p w:rsidR="009B0715" w:rsidRPr="009B0715" w:rsidRDefault="009B0715" w:rsidP="009B0715">
      <w:pPr>
        <w:pStyle w:val="SingleTxtG"/>
        <w:rPr>
          <w:b/>
          <w:bCs/>
          <w:lang w:val="ru-RU"/>
        </w:rPr>
      </w:pPr>
      <w:r w:rsidRPr="009B0715">
        <w:rPr>
          <w:lang w:val="ru-RU"/>
        </w:rPr>
        <w:t>43.</w:t>
      </w:r>
      <w:r w:rsidRPr="009B0715">
        <w:rPr>
          <w:lang w:val="ru-RU"/>
        </w:rPr>
        <w:tab/>
        <w:t>Комитет принимает к сведению представленную государством-участником информацию о мерах, принятых в целях обеспечения защиты и поддержки жертв насильственных исчезновений, но обеспокоен трудностями, с которыми ежедневно сталкиваются семьи и родственники исчезнувших лиц в деле осуществления своих экономических, социальных и культурных прав (статьи 10 и 11).</w:t>
      </w:r>
    </w:p>
    <w:p w:rsidR="009B0715" w:rsidRPr="00157102" w:rsidRDefault="009B0715" w:rsidP="009B0715">
      <w:pPr>
        <w:pStyle w:val="SingleTxtG"/>
        <w:rPr>
          <w:b/>
          <w:bCs/>
          <w:lang w:val="ru-RU"/>
        </w:rPr>
      </w:pPr>
      <w:r w:rsidRPr="009B0715">
        <w:rPr>
          <w:lang w:val="ru-RU"/>
        </w:rPr>
        <w:t>44.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 xml:space="preserve">Комитет рекомендует государству-участнику обеспечить, чтобы предоставление семьям и родственникам исчезнувших лиц доступа к соответствующим услугам и осуществление программ по оказанию им поддержки не приводили к повторной </w:t>
      </w:r>
      <w:proofErr w:type="spellStart"/>
      <w:r w:rsidRPr="00157102">
        <w:rPr>
          <w:b/>
          <w:lang w:val="ru-RU"/>
        </w:rPr>
        <w:t>виктимизации</w:t>
      </w:r>
      <w:proofErr w:type="spellEnd"/>
      <w:r w:rsidRPr="00157102">
        <w:rPr>
          <w:b/>
          <w:lang w:val="ru-RU"/>
        </w:rPr>
        <w:t xml:space="preserve"> бенефициаров. Он также рекомендует, чтобы меры поддержки и защиты определялись и осуществлялись в консультации с бенефициарами, что необходимо для обеспечения удовлетворения их потребностей и эффективной реализации их экономических, социальных и культурных прав, в том числе прав на достаточный жизненный уровень, здоровье и образование.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Нищета и неравенство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45.</w:t>
      </w:r>
      <w:r w:rsidRPr="009B0715">
        <w:rPr>
          <w:lang w:val="ru-RU"/>
        </w:rPr>
        <w:tab/>
        <w:t xml:space="preserve">Комитет обеспокоен тем, что, несмотря на меры по борьбе с нищетой, уровень нищеты и крайней нищеты, а также неравенства по-прежнему является очень высоким, что затрагивает наиболее обездоленные и </w:t>
      </w:r>
      <w:proofErr w:type="spellStart"/>
      <w:r w:rsidRPr="009B0715">
        <w:rPr>
          <w:lang w:val="ru-RU"/>
        </w:rPr>
        <w:t>маргинализованные</w:t>
      </w:r>
      <w:proofErr w:type="spellEnd"/>
      <w:r w:rsidRPr="009B0715">
        <w:rPr>
          <w:lang w:val="ru-RU"/>
        </w:rPr>
        <w:t xml:space="preserve"> группы населения, особенно коренные народы (статья 11).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46.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 xml:space="preserve">Комитет рекомендует государству-участнику, принимая во внимание потребности наиболее обездоленных и </w:t>
      </w:r>
      <w:proofErr w:type="spellStart"/>
      <w:r w:rsidRPr="00157102">
        <w:rPr>
          <w:b/>
          <w:lang w:val="ru-RU"/>
        </w:rPr>
        <w:t>маргинализованных</w:t>
      </w:r>
      <w:proofErr w:type="spellEnd"/>
      <w:r w:rsidRPr="00157102">
        <w:rPr>
          <w:b/>
          <w:lang w:val="ru-RU"/>
        </w:rPr>
        <w:t xml:space="preserve"> социальных групп как в сельских, так и в городских районах, в частности коренных народов: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a)</w:t>
      </w:r>
      <w:r w:rsidRPr="00157102">
        <w:rPr>
          <w:b/>
          <w:lang w:val="ru-RU"/>
        </w:rPr>
        <w:tab/>
        <w:t>принять всеобъемлющий план по борьбе с нищетой и крайней нищетой, который бы предусматривал установление конкретных целевых показателей и создание эффективных механизмов координации между различными секторами, а также между органами федерального уровня и федеративными образованиями, и, кроме того, был ориентирован на существенное сокращение неравенства;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b)</w:t>
      </w:r>
      <w:r w:rsidRPr="00157102">
        <w:rPr>
          <w:b/>
          <w:lang w:val="ru-RU"/>
        </w:rPr>
        <w:tab/>
        <w:t>обеспечить, чтобы социальные программы в области борьбы с нищетой и крайней нищетой осуществлялись в соответствии с нормами и принципами прав человека, чтобы на их реализацию</w:t>
      </w:r>
      <w:r w:rsidR="00454A14">
        <w:rPr>
          <w:b/>
          <w:lang w:val="ru-RU"/>
        </w:rPr>
        <w:t xml:space="preserve"> выделялись достаточные </w:t>
      </w:r>
      <w:proofErr w:type="gramStart"/>
      <w:r w:rsidR="00454A14">
        <w:rPr>
          <w:b/>
          <w:lang w:val="ru-RU"/>
        </w:rPr>
        <w:t>ресурсы</w:t>
      </w:r>
      <w:proofErr w:type="gramEnd"/>
      <w:r w:rsidRPr="00157102">
        <w:rPr>
          <w:b/>
          <w:lang w:val="ru-RU"/>
        </w:rPr>
        <w:t xml:space="preserve"> и чтобы в них уделялось должное внимание специфике и особенно</w:t>
      </w:r>
      <w:r w:rsidR="00157102">
        <w:rPr>
          <w:b/>
          <w:lang w:val="ru-RU"/>
        </w:rPr>
        <w:t>стям различных социальных групп.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47.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обращает внимание государства-участника на свое Заявление 2001 года по вопросу о нищете и Международном пакте об экономических, социальных и культурных правах.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Право на п</w:t>
      </w:r>
      <w:r w:rsidR="00157102">
        <w:rPr>
          <w:lang w:val="ru-RU"/>
        </w:rPr>
        <w:t>итание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48.</w:t>
      </w:r>
      <w:r w:rsidRPr="009B0715">
        <w:rPr>
          <w:lang w:val="ru-RU"/>
        </w:rPr>
        <w:tab/>
        <w:t>Комитет обеспокоен, с одной стороны, сохранением высоких показателей недоедания и отсутствием</w:t>
      </w:r>
      <w:r w:rsidR="00F055DC">
        <w:rPr>
          <w:lang w:val="ru-RU"/>
        </w:rPr>
        <w:t xml:space="preserve"> продовольственной безопасности</w:t>
      </w:r>
      <w:r w:rsidRPr="009B0715">
        <w:rPr>
          <w:lang w:val="ru-RU"/>
        </w:rPr>
        <w:t xml:space="preserve"> и, с другой стороны, увеличением числа людей, страдающих от избыточного веса и ожирения, что сказывается на реализации права на достаточное питание (статья 11).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49.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 xml:space="preserve">Комитет рекомендует государству-участнику разработать всеобъемлющую национальную стратегию в области защиты и поощрения права на достаточное питание в целях повышения продовольственной безопасности в различных регионах государства-участника и пропаганды более здорового питания для ослабления проблем избыточного веса и ожирения. Он также рекомендует, чтобы на цели Национальной кампании по борьбе с голодом и программы </w:t>
      </w:r>
      <w:r w:rsidR="00157102">
        <w:rPr>
          <w:b/>
          <w:lang w:val="ru-RU"/>
        </w:rPr>
        <w:t>«</w:t>
      </w:r>
      <w:r w:rsidRPr="00157102">
        <w:rPr>
          <w:b/>
          <w:lang w:val="ru-RU"/>
        </w:rPr>
        <w:t>Процветание</w:t>
      </w:r>
      <w:r w:rsidR="00157102">
        <w:rPr>
          <w:b/>
          <w:lang w:val="ru-RU"/>
        </w:rPr>
        <w:t>»</w:t>
      </w:r>
      <w:r w:rsidRPr="00157102">
        <w:rPr>
          <w:b/>
          <w:lang w:val="ru-RU"/>
        </w:rPr>
        <w:t xml:space="preserve"> выделялись достаточные </w:t>
      </w:r>
      <w:proofErr w:type="gramStart"/>
      <w:r w:rsidRPr="00157102">
        <w:rPr>
          <w:b/>
          <w:lang w:val="ru-RU"/>
        </w:rPr>
        <w:t>ресурсы</w:t>
      </w:r>
      <w:proofErr w:type="gramEnd"/>
      <w:r w:rsidRPr="00157102">
        <w:rPr>
          <w:b/>
          <w:lang w:val="ru-RU"/>
        </w:rPr>
        <w:t xml:space="preserve"> и чтобы в рамках их реализации уделялось должное внимание потребностям наиболее </w:t>
      </w:r>
      <w:proofErr w:type="spellStart"/>
      <w:r w:rsidRPr="00157102">
        <w:rPr>
          <w:b/>
          <w:lang w:val="ru-RU"/>
        </w:rPr>
        <w:t>маргинализованных</w:t>
      </w:r>
      <w:proofErr w:type="spellEnd"/>
      <w:r w:rsidRPr="00157102">
        <w:rPr>
          <w:b/>
          <w:lang w:val="ru-RU"/>
        </w:rPr>
        <w:t xml:space="preserve"> и обездоленных групп населения. Комитет обращает внимание государства-участника на свое замечание общего порядка № 12 (1999) о праве на достаточное питание и на добровольные руководящие принципы поддержки постепенной реализации права на достаточное питание в контексте национальной продовольственной безопасности, принятые Продовольственной и сельскохозяйственной организацией Объединенных Наций (</w:t>
      </w:r>
      <w:proofErr w:type="spellStart"/>
      <w:r w:rsidRPr="00157102">
        <w:rPr>
          <w:b/>
          <w:lang w:val="ru-RU"/>
        </w:rPr>
        <w:t>ФАО</w:t>
      </w:r>
      <w:proofErr w:type="spellEnd"/>
      <w:r w:rsidRPr="00157102">
        <w:rPr>
          <w:b/>
          <w:lang w:val="ru-RU"/>
        </w:rPr>
        <w:t>).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Право на достаточное жилище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50.</w:t>
      </w:r>
      <w:r w:rsidRPr="009B0715">
        <w:rPr>
          <w:lang w:val="ru-RU"/>
        </w:rPr>
        <w:tab/>
        <w:t xml:space="preserve">Комитет с обеспокоенностью отмечает, что принятые государством-участником меры не были достаточно эффективными для надлежащего решения проблемы нехватки жилья, в частности социального жилья и жилья, доступного для наиболее обездоленных и </w:t>
      </w:r>
      <w:proofErr w:type="spellStart"/>
      <w:r w:rsidRPr="009B0715">
        <w:rPr>
          <w:lang w:val="ru-RU"/>
        </w:rPr>
        <w:t>маргинализованных</w:t>
      </w:r>
      <w:proofErr w:type="spellEnd"/>
      <w:r w:rsidRPr="009B0715">
        <w:rPr>
          <w:lang w:val="ru-RU"/>
        </w:rPr>
        <w:t xml:space="preserve"> групп. Комитет также обеспокоен тем, что такие меры ведут к сегрегации в сфере жилья и социальной изоляции (статья 11).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51.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рекомендует государству-участнику провести обзор мер, принятых в сфере жилищной политики, с целью принятия комплексной стратегии в области социального жилья, которая бы: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a)</w:t>
      </w:r>
      <w:r w:rsidRPr="00157102">
        <w:rPr>
          <w:b/>
          <w:lang w:val="ru-RU"/>
        </w:rPr>
        <w:tab/>
        <w:t>основывалась на праве каждого человека на достаточное и доступное по цене жилье, а также на четких нормах, касающихся качества и пригодности для проживания;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b)</w:t>
      </w:r>
      <w:r w:rsidRPr="00157102">
        <w:rPr>
          <w:b/>
          <w:lang w:val="ru-RU"/>
        </w:rPr>
        <w:tab/>
        <w:t xml:space="preserve">предусматривала </w:t>
      </w:r>
      <w:proofErr w:type="spellStart"/>
      <w:r w:rsidRPr="00157102">
        <w:rPr>
          <w:b/>
          <w:lang w:val="ru-RU"/>
        </w:rPr>
        <w:t>уделение</w:t>
      </w:r>
      <w:proofErr w:type="spellEnd"/>
      <w:r w:rsidRPr="00157102">
        <w:rPr>
          <w:b/>
          <w:lang w:val="ru-RU"/>
        </w:rPr>
        <w:t xml:space="preserve"> должного первоочередного внимания обездоленным и </w:t>
      </w:r>
      <w:proofErr w:type="spellStart"/>
      <w:r w:rsidRPr="00157102">
        <w:rPr>
          <w:b/>
          <w:lang w:val="ru-RU"/>
        </w:rPr>
        <w:t>маргинализованных</w:t>
      </w:r>
      <w:proofErr w:type="spellEnd"/>
      <w:r w:rsidRPr="00157102">
        <w:rPr>
          <w:b/>
          <w:lang w:val="ru-RU"/>
        </w:rPr>
        <w:t xml:space="preserve"> лицам и группам, проживающим в лагерях, в неформальных поселениях или в неопределенных и неблагоприятных условиях;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с)</w:t>
      </w:r>
      <w:r w:rsidRPr="00157102">
        <w:rPr>
          <w:b/>
          <w:lang w:val="ru-RU"/>
        </w:rPr>
        <w:tab/>
        <w:t xml:space="preserve">исключала возможность сегрегации и социальной изоляции по причине экономических или социальных </w:t>
      </w:r>
      <w:proofErr w:type="gramStart"/>
      <w:r w:rsidRPr="00157102">
        <w:rPr>
          <w:b/>
          <w:lang w:val="ru-RU"/>
        </w:rPr>
        <w:t>условий</w:t>
      </w:r>
      <w:proofErr w:type="gramEnd"/>
      <w:r w:rsidRPr="00157102">
        <w:rPr>
          <w:b/>
          <w:lang w:val="ru-RU"/>
        </w:rPr>
        <w:t xml:space="preserve"> или по любым другим признакам дискриминации, запрещенным в Пакте;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d)</w:t>
      </w:r>
      <w:r w:rsidRPr="00157102">
        <w:rPr>
          <w:b/>
          <w:lang w:val="ru-RU"/>
        </w:rPr>
        <w:tab/>
        <w:t xml:space="preserve">предусматривала выделение ресурсов, соизмеримых с еще не удовлетворенной потребностью в социальном жилье, а также эффективные меры по контролю жилищного вопроса в государстве-участнике и рамки подотчетности для осуществления планов и стратегий. 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52.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обращает внимание государства-участника на свое замечание общего порядка № 4 (1991) о праве на достаточное жилище.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Принудительные выселения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53.</w:t>
      </w:r>
      <w:r w:rsidRPr="009B0715">
        <w:rPr>
          <w:lang w:val="ru-RU"/>
        </w:rPr>
        <w:tab/>
        <w:t>Комитет обеспокоен полученной информацией о принудительных выселениях, которые производятся в государстве-участнике без предоставления выселяемым лицам, семьям и общинам каких-либо гарантий надлежащей правовой процедуры и правовой защиты (статья 11).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54.</w:t>
      </w:r>
      <w:r w:rsidRPr="009B0715">
        <w:rPr>
          <w:lang w:val="ru-RU"/>
        </w:rPr>
        <w:tab/>
      </w:r>
      <w:r w:rsidRPr="00DE1905">
        <w:rPr>
          <w:b/>
          <w:lang w:val="ru-RU"/>
        </w:rPr>
        <w:t>Комитет настоятельно призывает государство-участник обеспечить отдельным лицам, семьям и общинам надлежащую защиту от принудительного выселения, в том числе путем принятия и осуществления соответствующих нормативно-правовых положений, гарантирующих лицам, которые подверглись принудительному выселению, компенсацию или возможность получения надлежащего альтернативного жилья, а также доступ к эффективным средствам судебной защиты в случае нарушения их прав. Он также обращает внимание государства-участника на свое замечание общего порядка № 7 (1997) о</w:t>
      </w:r>
      <w:r w:rsidR="00947EFA">
        <w:rPr>
          <w:b/>
          <w:lang w:val="ru-RU"/>
        </w:rPr>
        <w:t> </w:t>
      </w:r>
      <w:r w:rsidRPr="00DE1905">
        <w:rPr>
          <w:b/>
          <w:lang w:val="ru-RU"/>
        </w:rPr>
        <w:t>принудительных выселениях.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Внутренне перемещенные лица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55.</w:t>
      </w:r>
      <w:r w:rsidRPr="009B0715">
        <w:rPr>
          <w:lang w:val="ru-RU"/>
        </w:rPr>
        <w:tab/>
        <w:t>Комитет обеспокоен значительным числом внутренне перемещенных лиц в результате общей обстановки насилия и земельных конфликтов в государстве-участнике, которые отрицательно сказываются на осуществлении права на достаточный уровень жизни, в частности в том, что касается доступа к достаточному жилищу, таким базовым услугам, как водоснабжение и санитария, и образованию (статья 11).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56.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рекомендует государству-участнику устранить причины, которыми обусловлена общая обстановка насилия и земельные конфликты, с</w:t>
      </w:r>
      <w:r w:rsidR="00947EFA">
        <w:rPr>
          <w:b/>
          <w:lang w:val="ru-RU"/>
        </w:rPr>
        <w:t> </w:t>
      </w:r>
      <w:r w:rsidRPr="00157102">
        <w:rPr>
          <w:b/>
          <w:lang w:val="ru-RU"/>
        </w:rPr>
        <w:t>целью предотвращения внутреннего перемещения. Он также рекомендует государству-участнику разработать с использованием надлежащей информации, выделением достаточных ресурсов и установлением четких целевых показателей всеобъемлющую и конкретную политику, которая бы обеспечивала эффективную защиту внутренне перемещенных лиц, с тем чтобы они имели доступ к достаточному жилищу и таким базовым услугам, как водоснабжение и санитария, медицинское обслуживание, образование и социальная помощь, и в тех случаях, когда это возможно, способствовала их достойному и безопасному возвращению в места происхождения.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Права на воду и санитарные услуги</w:t>
      </w:r>
    </w:p>
    <w:p w:rsidR="009B0715" w:rsidRPr="009B0715" w:rsidRDefault="009B0715" w:rsidP="009B0715">
      <w:pPr>
        <w:pStyle w:val="SingleTxtG"/>
        <w:rPr>
          <w:color w:val="000000"/>
          <w:lang w:val="ru-RU"/>
        </w:rPr>
      </w:pPr>
      <w:r w:rsidRPr="009B0715">
        <w:rPr>
          <w:lang w:val="ru-RU"/>
        </w:rPr>
        <w:t>57.</w:t>
      </w:r>
      <w:r w:rsidRPr="009B0715">
        <w:rPr>
          <w:lang w:val="ru-RU"/>
        </w:rPr>
        <w:tab/>
        <w:t xml:space="preserve">Комитет обеспокоен тем, что отсутствие эффективной координации между органами федерального правительства, органами власти штатов и муниципальными органами, недостаточное финансирование и отсутствие надлежащей и качественной инфраструктуры затрудняют доступ к качественной питьевой воде и надлежащим санитарным услугам, особенно в случае наиболее обездоленных и </w:t>
      </w:r>
      <w:proofErr w:type="spellStart"/>
      <w:r w:rsidRPr="009B0715">
        <w:rPr>
          <w:lang w:val="ru-RU"/>
        </w:rPr>
        <w:t>маргинализованных</w:t>
      </w:r>
      <w:proofErr w:type="spellEnd"/>
      <w:r w:rsidRPr="009B0715">
        <w:rPr>
          <w:lang w:val="ru-RU"/>
        </w:rPr>
        <w:t xml:space="preserve"> групп населения. Он также обеспокоен отсутствием надлежащей защиты водных ресурсов от загрязнения и непринятием соответствующих мер по очистке сточных вод (статья 11).</w:t>
      </w:r>
    </w:p>
    <w:p w:rsidR="009B0715" w:rsidRPr="00157102" w:rsidRDefault="009B0715" w:rsidP="009B0715">
      <w:pPr>
        <w:pStyle w:val="SingleTxtG"/>
        <w:rPr>
          <w:b/>
          <w:color w:val="000000"/>
          <w:lang w:val="ru-RU"/>
        </w:rPr>
      </w:pPr>
      <w:r w:rsidRPr="009B0715">
        <w:rPr>
          <w:lang w:val="ru-RU"/>
        </w:rPr>
        <w:t>58.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 xml:space="preserve">Комитет настоятельно призывает государство-участник активизировать усилия по обеспечению доступа к питьевой воде и санитарным услугам для всего населения, в частности для наиболее обездоленных и </w:t>
      </w:r>
      <w:proofErr w:type="spellStart"/>
      <w:r w:rsidRPr="00157102">
        <w:rPr>
          <w:b/>
          <w:lang w:val="ru-RU"/>
        </w:rPr>
        <w:t>маргинализованных</w:t>
      </w:r>
      <w:proofErr w:type="spellEnd"/>
      <w:r w:rsidRPr="00157102">
        <w:rPr>
          <w:b/>
          <w:lang w:val="ru-RU"/>
        </w:rPr>
        <w:t xml:space="preserve"> групп и лиц, проживающих в сельских и отдаленных районах, путем, помимо прочего, обеспечения эффективной координации между административными инстанциями различного уровня и выделения достаточных ресурсов для надлежащего предоставления этих услуг. Кроме того, он рекомендует государству-участнику обеспечить надлежащую защиту водных ресурсов, в том числе от негативных последствий экономической деятельности и эксплуатации природных ресурсов, определить санкции и штрафы для компаний, которые в рамках своей деятельности загрязняют водные ресурсы, и создать надлежащую и устойчивую систему обработки и очистки сточных вод. Комитет рекомендует государству-участнику положительно рассмотреть вопрос о выполнении рекомендаций Специального докладчика по вопросу о праве человека на безопасную питьевую воду и санитарные услуги, содержащиеся в его докладе</w:t>
      </w:r>
      <w:r w:rsidR="00157102">
        <w:rPr>
          <w:b/>
          <w:lang w:val="ru-RU"/>
        </w:rPr>
        <w:t> </w:t>
      </w:r>
      <w:r w:rsidRPr="00157102">
        <w:rPr>
          <w:b/>
          <w:lang w:val="ru-RU"/>
        </w:rPr>
        <w:t>(A/</w:t>
      </w:r>
      <w:proofErr w:type="spellStart"/>
      <w:r w:rsidRPr="00157102">
        <w:rPr>
          <w:b/>
          <w:lang w:val="ru-RU"/>
        </w:rPr>
        <w:t>HRC</w:t>
      </w:r>
      <w:proofErr w:type="spellEnd"/>
      <w:r w:rsidRPr="00157102">
        <w:rPr>
          <w:b/>
          <w:lang w:val="ru-RU"/>
        </w:rPr>
        <w:t>/36/45/Add.2), и обращает внимание на свое замечание общего порядка № 15 (2002) о праве на воду.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Право на здоровье</w:t>
      </w:r>
    </w:p>
    <w:p w:rsidR="009B0715" w:rsidRPr="009B0715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59.</w:t>
      </w:r>
      <w:r w:rsidRPr="009B0715">
        <w:rPr>
          <w:lang w:val="ru-RU"/>
        </w:rPr>
        <w:tab/>
        <w:t>Комитет принимает к сведению разъяснения, представленные делегацией в отношении прогресса, достигнутого в области обеспечения доступа к праву на здоровье, но выражает обеспокоенность по поводу:</w:t>
      </w:r>
    </w:p>
    <w:p w:rsidR="009B0715" w:rsidRPr="009B0715" w:rsidRDefault="009B0715" w:rsidP="009B0715">
      <w:pPr>
        <w:pStyle w:val="SingleTxtG"/>
        <w:ind w:firstLine="567"/>
        <w:rPr>
          <w:lang w:val="ru-RU"/>
        </w:rPr>
      </w:pPr>
      <w:r w:rsidRPr="009B0715">
        <w:rPr>
          <w:lang w:val="ru-RU"/>
        </w:rPr>
        <w:tab/>
        <w:t>a)</w:t>
      </w:r>
      <w:r w:rsidRPr="009B0715">
        <w:rPr>
          <w:lang w:val="ru-RU"/>
        </w:rPr>
        <w:tab/>
        <w:t>значительного числа лиц, которые не имеют доступа к надлежащим и качественным медицинским услугам;</w:t>
      </w:r>
    </w:p>
    <w:p w:rsidR="009B0715" w:rsidRPr="009B0715" w:rsidRDefault="009B0715" w:rsidP="009B0715">
      <w:pPr>
        <w:pStyle w:val="SingleTxtG"/>
        <w:ind w:firstLine="567"/>
        <w:rPr>
          <w:lang w:val="ru-RU"/>
        </w:rPr>
      </w:pPr>
      <w:r w:rsidRPr="009B0715">
        <w:rPr>
          <w:lang w:val="ru-RU"/>
        </w:rPr>
        <w:tab/>
        <w:t>b)</w:t>
      </w:r>
      <w:r w:rsidRPr="009B0715">
        <w:rPr>
          <w:lang w:val="ru-RU"/>
        </w:rPr>
        <w:tab/>
        <w:t xml:space="preserve">существенных различий, которые существуют между регионами в том, что касается доступности, наличия и качества медицинских услуг, и которые отчасти обусловлены отсутствием надлежащей медицинской инфраструктуры и оборудования, нехваткой лекарств и медицинского персонала; </w:t>
      </w:r>
    </w:p>
    <w:p w:rsidR="009B0715" w:rsidRPr="009B0715" w:rsidRDefault="009B0715" w:rsidP="009B0715">
      <w:pPr>
        <w:pStyle w:val="SingleTxtG"/>
        <w:ind w:firstLine="567"/>
        <w:rPr>
          <w:lang w:val="ru-RU"/>
        </w:rPr>
      </w:pPr>
      <w:r w:rsidRPr="009B0715">
        <w:rPr>
          <w:lang w:val="ru-RU"/>
        </w:rPr>
        <w:tab/>
        <w:t>с)</w:t>
      </w:r>
      <w:r w:rsidRPr="009B0715">
        <w:rPr>
          <w:lang w:val="ru-RU"/>
        </w:rPr>
        <w:tab/>
        <w:t>возможности принятия на основании Общего закона о здравоохранении решения о помещении инвалидов в специализированные учреждения для прохождения лечении без их согласия;</w:t>
      </w:r>
    </w:p>
    <w:p w:rsidR="009B0715" w:rsidRPr="009B0715" w:rsidRDefault="009B0715" w:rsidP="009B0715">
      <w:pPr>
        <w:pStyle w:val="SingleTxtG"/>
        <w:ind w:firstLine="567"/>
        <w:rPr>
          <w:b/>
          <w:lang w:val="ru-RU"/>
        </w:rPr>
      </w:pPr>
      <w:r w:rsidRPr="009B0715">
        <w:rPr>
          <w:lang w:val="ru-RU"/>
        </w:rPr>
        <w:tab/>
        <w:t>d)</w:t>
      </w:r>
      <w:r w:rsidRPr="009B0715">
        <w:rPr>
          <w:lang w:val="ru-RU"/>
        </w:rPr>
        <w:tab/>
        <w:t>отсутствия надлежащих программ и центров для лечения и снижения вреда, связанного со злоупотреблением наркотиками, что приводит к расширению масштабов передачи вируса гепатита С (статья 12).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60.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рекомендует государству-участнику: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a)</w:t>
      </w:r>
      <w:r w:rsidRPr="00157102">
        <w:rPr>
          <w:b/>
          <w:lang w:val="ru-RU"/>
        </w:rPr>
        <w:tab/>
        <w:t>активизировать усилия по обеспечению доступа к надлежащим, приемлемым по цене и качественным медицинским услугам для всего население, особенно для лиц с низким уровнем дохода;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b)</w:t>
      </w:r>
      <w:r w:rsidRPr="00157102">
        <w:rPr>
          <w:b/>
          <w:lang w:val="ru-RU"/>
        </w:rPr>
        <w:tab/>
        <w:t>выделить достаточные ресурсы для системы здравоохранения и продолжить предпринимать усилия в целях обеспечения доступности, наличия и качества медицинского обслуживания во всех регионах, в частности в сельских и отдаленных районах, в том числе посредством улучшения инфраструктуры системы первичной медико-санитарной помощи, и обеспечить, чтобы больницы располагали надлежащим и достаточным медицинским персоналом, инфраструктурой и препаратами, а также медикаментами для оказания неотложной помощи;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с)</w:t>
      </w:r>
      <w:r w:rsidRPr="00157102">
        <w:rPr>
          <w:b/>
          <w:lang w:val="ru-RU"/>
        </w:rPr>
        <w:tab/>
        <w:t>провести необходимые реформы для обеспечения того, чтобы обращение с инвалидами соответствовало наилучшим стандартам с целью получения их добровольного и осознанного согласия;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d)</w:t>
      </w:r>
      <w:r w:rsidRPr="00157102">
        <w:rPr>
          <w:b/>
          <w:lang w:val="ru-RU"/>
        </w:rPr>
        <w:tab/>
        <w:t>укреплять программы по профилактике наркомании и снижению вреда, связанного со злоупотреблением наркотиками, а также принять необходимые меры для обеспечения наличия достаточного количества надлежащих центров лечения зависимости от наркотических средств на основе уважения прав лиц, употребляющих наркотики.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61.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обращает внимание государства-участника на свое замечание общего порядка № 14 (2000) о праве на наивысший достижимый уровень здоровья.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Сексуальное и репродуктивное здоровье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62.</w:t>
      </w:r>
      <w:r w:rsidRPr="009B0715">
        <w:rPr>
          <w:lang w:val="ru-RU"/>
        </w:rPr>
        <w:tab/>
        <w:t>Комитет обеспокоен тем, что законодательство о добровольном прерывании беременности не является одинаковым во всех федеративных образованиях, что обусл</w:t>
      </w:r>
      <w:r w:rsidR="00B30589">
        <w:rPr>
          <w:lang w:val="ru-RU"/>
        </w:rPr>
        <w:t>о</w:t>
      </w:r>
      <w:r w:rsidRPr="009B0715">
        <w:rPr>
          <w:lang w:val="ru-RU"/>
        </w:rPr>
        <w:t xml:space="preserve">вливает серьезные различия в получении доступа к этим услугам и непропорционально затрагивает женщин с низким уровнем дохода и женщин из наиболее обездоленных и </w:t>
      </w:r>
      <w:proofErr w:type="spellStart"/>
      <w:r w:rsidRPr="009B0715">
        <w:rPr>
          <w:lang w:val="ru-RU"/>
        </w:rPr>
        <w:t>маргинализованных</w:t>
      </w:r>
      <w:proofErr w:type="spellEnd"/>
      <w:r w:rsidRPr="009B0715">
        <w:rPr>
          <w:lang w:val="ru-RU"/>
        </w:rPr>
        <w:t xml:space="preserve"> групп населения. Кроме того, он обеспокоен трудностями в получении действенного доступа к добровольному прерыванию беременности несмотря на то, что оно разрешено при определенных обстоятельствах в некоторых федеративных образованиях. Комитет также с обеспокоенностью отмечает отсутствие информации и надлежащих и качественных услуг в области охраны сексуального и репродуктивного здоровья и сохраняющиеся высокие показатели подростковой беременности (статья 12).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63.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рекомендует государству-участнику: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a)</w:t>
      </w:r>
      <w:r w:rsidRPr="00157102">
        <w:rPr>
          <w:b/>
          <w:lang w:val="ru-RU"/>
        </w:rPr>
        <w:tab/>
        <w:t>принять меры для согласования законодательства федеративных образований о добровольном прерывании беременности и отмены уголовной ответственности женщин в этих случаях в целях его приведения в соответствие с другими правами женщин, включая право на здоровье, и обеспечения всем женщинам равного доступа к услугам в области сексуального и репродуктивного здоровья, особенно к услугам, связанным с добровольным прерыванием беременности;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b)</w:t>
      </w:r>
      <w:r w:rsidRPr="00157102">
        <w:rPr>
          <w:b/>
          <w:lang w:val="ru-RU"/>
        </w:rPr>
        <w:tab/>
        <w:t>принять необходимые меры, гарантирующие доступ к добровольному прерыванию беременности при допустимых обстоятельствах, в</w:t>
      </w:r>
      <w:r w:rsidR="005159C9">
        <w:rPr>
          <w:b/>
          <w:lang w:val="ru-RU"/>
        </w:rPr>
        <w:t> </w:t>
      </w:r>
      <w:r w:rsidRPr="00157102">
        <w:rPr>
          <w:b/>
          <w:lang w:val="ru-RU"/>
        </w:rPr>
        <w:t>том числе посредством принятия надлежащих медицинских протоколов;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с)</w:t>
      </w:r>
      <w:r w:rsidRPr="00157102">
        <w:rPr>
          <w:b/>
          <w:lang w:val="ru-RU"/>
        </w:rPr>
        <w:tab/>
        <w:t>активизировать усилия по обеспечению наличия и доступности информации и надлежащих и качественных услуг в области сексуального и репродуктивного здоровья, включая доступ к услугам по планированию семьи, для всех женщин и подростков во всех федеративных образованиях и особенно в сельских и отдаленных районах;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d)</w:t>
      </w:r>
      <w:r w:rsidRPr="00157102">
        <w:rPr>
          <w:b/>
          <w:lang w:val="ru-RU"/>
        </w:rPr>
        <w:tab/>
        <w:t>активизировать усилия в целях предотвращения подростковой беременности и, в частности, обеспечить, чтобы школьные программы по вопросам сексуального и репродуктивного здоровья являлись подходящими для каждой возрастной категории и реализовывались надлежащим образом, а также проводить кампании по повышению уровня информированности широкой общественности о негативных последствиях беременности в подростковом возрасте.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64.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обращает внимание государства-участника на свое замечание общего порядка № 22 (2016) о праве на сексуальное и репродуктивное здоровье.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Право на образование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65.</w:t>
      </w:r>
      <w:r w:rsidRPr="009B0715">
        <w:rPr>
          <w:lang w:val="ru-RU"/>
        </w:rPr>
        <w:tab/>
        <w:t>Комитет признает, что в государстве-участнике существуют в целом надлежащие нормативно-правовые рамки, касающиеся права на образование, но</w:t>
      </w:r>
      <w:r w:rsidR="005159C9">
        <w:rPr>
          <w:lang w:val="ru-RU"/>
        </w:rPr>
        <w:t> </w:t>
      </w:r>
      <w:r w:rsidRPr="009B0715">
        <w:rPr>
          <w:lang w:val="ru-RU"/>
        </w:rPr>
        <w:t>обеспокоен:</w:t>
      </w:r>
    </w:p>
    <w:p w:rsidR="009B0715" w:rsidRPr="009B0715" w:rsidRDefault="009B0715" w:rsidP="009B0715">
      <w:pPr>
        <w:pStyle w:val="SingleTxtG"/>
        <w:ind w:firstLine="567"/>
        <w:rPr>
          <w:lang w:val="ru-RU"/>
        </w:rPr>
      </w:pPr>
      <w:r w:rsidRPr="009B0715">
        <w:rPr>
          <w:lang w:val="ru-RU"/>
        </w:rPr>
        <w:tab/>
        <w:t>a)</w:t>
      </w:r>
      <w:r w:rsidRPr="009B0715">
        <w:rPr>
          <w:lang w:val="ru-RU"/>
        </w:rPr>
        <w:tab/>
        <w:t>недостаточным и неодинаковым качеством образования в государстве-участнике, в частности различиями, существующими в этой области между сельскими и городскими районами, что существенным образом затрагивает детей из числа коренных народов;</w:t>
      </w:r>
    </w:p>
    <w:p w:rsidR="009B0715" w:rsidRPr="009B0715" w:rsidRDefault="009B0715" w:rsidP="009B0715">
      <w:pPr>
        <w:pStyle w:val="SingleTxtG"/>
        <w:ind w:firstLine="567"/>
        <w:rPr>
          <w:lang w:val="ru-RU"/>
        </w:rPr>
      </w:pPr>
      <w:r w:rsidRPr="009B0715">
        <w:rPr>
          <w:lang w:val="ru-RU"/>
        </w:rPr>
        <w:t>b)</w:t>
      </w:r>
      <w:r w:rsidRPr="009B0715">
        <w:rPr>
          <w:lang w:val="ru-RU"/>
        </w:rPr>
        <w:tab/>
        <w:t xml:space="preserve">сохраняющимися трудности в плане получения доступа к образованию и непрерывного обучения в системе обязательного образования, которые непропорционально затрагивают обездоленные и </w:t>
      </w:r>
      <w:proofErr w:type="spellStart"/>
      <w:r w:rsidRPr="009B0715">
        <w:rPr>
          <w:lang w:val="ru-RU"/>
        </w:rPr>
        <w:t>маргинализованные</w:t>
      </w:r>
      <w:proofErr w:type="spellEnd"/>
      <w:r w:rsidRPr="009B0715">
        <w:rPr>
          <w:lang w:val="ru-RU"/>
        </w:rPr>
        <w:t xml:space="preserve"> группы населения;</w:t>
      </w:r>
    </w:p>
    <w:p w:rsidR="009B0715" w:rsidRPr="009B0715" w:rsidRDefault="009B0715" w:rsidP="009B0715">
      <w:pPr>
        <w:pStyle w:val="SingleTxtG"/>
        <w:ind w:firstLine="567"/>
        <w:rPr>
          <w:lang w:val="ru-RU"/>
        </w:rPr>
      </w:pPr>
      <w:r w:rsidRPr="009B0715">
        <w:rPr>
          <w:lang w:val="ru-RU"/>
        </w:rPr>
        <w:tab/>
        <w:t>с)</w:t>
      </w:r>
      <w:r w:rsidRPr="009B0715">
        <w:rPr>
          <w:lang w:val="ru-RU"/>
        </w:rPr>
        <w:tab/>
        <w:t>ограниченным доступом к дошкольному образованию, особенно в случае детей, которые принадлежат к семьям, находящимся в неблагоприятных социально-экономических условиях;</w:t>
      </w:r>
    </w:p>
    <w:p w:rsidR="009B0715" w:rsidRPr="009B0715" w:rsidRDefault="009B0715" w:rsidP="009B0715">
      <w:pPr>
        <w:pStyle w:val="SingleTxtG"/>
        <w:ind w:firstLine="567"/>
        <w:rPr>
          <w:lang w:val="ru-RU"/>
        </w:rPr>
      </w:pPr>
      <w:r w:rsidRPr="009B0715">
        <w:rPr>
          <w:lang w:val="ru-RU"/>
        </w:rPr>
        <w:tab/>
        <w:t>d)</w:t>
      </w:r>
      <w:r w:rsidRPr="009B0715">
        <w:rPr>
          <w:lang w:val="ru-RU"/>
        </w:rPr>
        <w:tab/>
        <w:t>трудностями в плане получения доступа к образованию, с которыми сталкиваются дети из числа мигрантов, просителей убежища и беженцев;</w:t>
      </w:r>
    </w:p>
    <w:p w:rsidR="009B0715" w:rsidRPr="009B0715" w:rsidRDefault="009B0715" w:rsidP="009B0715">
      <w:pPr>
        <w:pStyle w:val="SingleTxtG"/>
        <w:ind w:firstLine="567"/>
        <w:rPr>
          <w:lang w:val="ru-RU"/>
        </w:rPr>
      </w:pPr>
      <w:r w:rsidRPr="009B0715">
        <w:rPr>
          <w:lang w:val="ru-RU"/>
        </w:rPr>
        <w:tab/>
        <w:t>e)</w:t>
      </w:r>
      <w:r w:rsidRPr="009B0715">
        <w:rPr>
          <w:lang w:val="ru-RU"/>
        </w:rPr>
        <w:tab/>
        <w:t>проблемами в области получения доступа к образованию, с которыми сталкиваются дети-инвалиды, а также сохранением положений, допускающих раздельное обучение таких детей (статьи 13 и 14).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66.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рекомендует государству-участнику: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a)</w:t>
      </w:r>
      <w:r w:rsidRPr="00157102">
        <w:rPr>
          <w:b/>
          <w:lang w:val="ru-RU"/>
        </w:rPr>
        <w:tab/>
        <w:t>принять все необходимые меры для повышения качества образования посредством увеличения числа квалифицированных преподавателей, включая их охват программами непрерывной профессиональной подготовки и повышения квалификации, улучшения инфраструктуры и учебных материалов, а также укрепления программ обучения на языках коренных народов, имеющихся для детей из числа коренных народов;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b)</w:t>
      </w:r>
      <w:r w:rsidRPr="00157102">
        <w:rPr>
          <w:b/>
          <w:lang w:val="ru-RU"/>
        </w:rPr>
        <w:tab/>
        <w:t xml:space="preserve">принять надлежащие меры для устранения трудностей в области получения доступа к образованию и сокращения показателей отсева из школ и второгодничества среди детей, принадлежащих к обездоленным и </w:t>
      </w:r>
      <w:proofErr w:type="spellStart"/>
      <w:r w:rsidRPr="00157102">
        <w:rPr>
          <w:b/>
          <w:lang w:val="ru-RU"/>
        </w:rPr>
        <w:t>маргинализованным</w:t>
      </w:r>
      <w:proofErr w:type="spellEnd"/>
      <w:r w:rsidRPr="00157102">
        <w:rPr>
          <w:b/>
          <w:lang w:val="ru-RU"/>
        </w:rPr>
        <w:t xml:space="preserve"> группам, особенно в системе среднего образования;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с)</w:t>
      </w:r>
      <w:r w:rsidRPr="00157102">
        <w:rPr>
          <w:b/>
          <w:lang w:val="ru-RU"/>
        </w:rPr>
        <w:tab/>
        <w:t xml:space="preserve">активизировать усилия по расширению охвата дошкольным образованием всех детей, особенно детей, принадлежащих к наиболее обездоленным и </w:t>
      </w:r>
      <w:proofErr w:type="spellStart"/>
      <w:r w:rsidRPr="00157102">
        <w:rPr>
          <w:b/>
          <w:lang w:val="ru-RU"/>
        </w:rPr>
        <w:t>маргинализованным</w:t>
      </w:r>
      <w:proofErr w:type="spellEnd"/>
      <w:r w:rsidRPr="00157102">
        <w:rPr>
          <w:b/>
          <w:lang w:val="ru-RU"/>
        </w:rPr>
        <w:t xml:space="preserve"> группам населения;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d)</w:t>
      </w:r>
      <w:r w:rsidRPr="00157102">
        <w:rPr>
          <w:b/>
          <w:lang w:val="ru-RU"/>
        </w:rPr>
        <w:tab/>
        <w:t xml:space="preserve">активизировать усилия с целью обеспечения действенного доступа к образованию для детей из числа мигрантов, беженцев и просителей убежища; </w:t>
      </w:r>
    </w:p>
    <w:p w:rsidR="009B0715" w:rsidRPr="00157102" w:rsidRDefault="009B0715" w:rsidP="009B0715">
      <w:pPr>
        <w:pStyle w:val="SingleTxtG"/>
        <w:ind w:firstLine="567"/>
        <w:rPr>
          <w:b/>
          <w:lang w:val="ru-RU"/>
        </w:rPr>
      </w:pPr>
      <w:r w:rsidRPr="00157102">
        <w:rPr>
          <w:b/>
          <w:lang w:val="ru-RU"/>
        </w:rPr>
        <w:tab/>
        <w:t>e)</w:t>
      </w:r>
      <w:r w:rsidRPr="00157102">
        <w:rPr>
          <w:b/>
          <w:lang w:val="ru-RU"/>
        </w:rPr>
        <w:tab/>
        <w:t>обеспечить инклюзивное образование для детей-инвалидов и изменить положения, допускающие раздельное обучение таких детей.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Культурное многообразие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67.</w:t>
      </w:r>
      <w:r w:rsidRPr="009B0715">
        <w:rPr>
          <w:lang w:val="ru-RU"/>
        </w:rPr>
        <w:tab/>
        <w:t>Комитет с обеспокоенностью отмечает, что меры, принимаемые для сохранения культурного разнообразия коренных народов, являются недостаточными для поощрения их традиций, культуры и языков. Кроме того, Комитет обеспокоен негативными последствиями, которые имеет отсутствие мер по охране и демаркации исконных земель и территорий коренных народов для осуществления их культурных прав (статья 15).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68.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рекомендует государству-участнику принять необходимые меры в целях укрепления системы защиты культурных прав и уважения культурного разнообразия, а также создать условия, благоприятствующие сохранению, развитию, выражению и распространению идентичности, исторического наследия, культуры, языков, традиций и обычаев коренными народами. Он</w:t>
      </w:r>
      <w:r w:rsidR="00157102">
        <w:rPr>
          <w:b/>
          <w:lang w:val="ru-RU"/>
        </w:rPr>
        <w:t> </w:t>
      </w:r>
      <w:r w:rsidRPr="00157102">
        <w:rPr>
          <w:b/>
          <w:lang w:val="ru-RU"/>
        </w:rPr>
        <w:t>также настоятельно призывает провести демаркацию земель коренных народов и обеспечить защиту их прав иметь в собственности, использовать, осваивать или контролировать свои земли, территории и природные ресурсы в условиях полной безопасности, в том числе посредством их юридического признания, обеспечения необходимой правовой защиты и реституции в тех случаях, когда их занимают лица, не принадлежащие к коренным народам.</w:t>
      </w:r>
    </w:p>
    <w:p w:rsidR="009B0715" w:rsidRPr="009B0715" w:rsidRDefault="009B0715" w:rsidP="009B0715">
      <w:pPr>
        <w:pStyle w:val="H23G"/>
        <w:rPr>
          <w:lang w:val="ru-RU"/>
        </w:rPr>
      </w:pPr>
      <w:r w:rsidRPr="009B0715">
        <w:rPr>
          <w:lang w:val="ru-RU"/>
        </w:rPr>
        <w:tab/>
      </w:r>
      <w:r w:rsidRPr="009B0715">
        <w:rPr>
          <w:lang w:val="ru-RU"/>
        </w:rPr>
        <w:tab/>
        <w:t>Участие в культурной и научной деятельности</w:t>
      </w:r>
    </w:p>
    <w:p w:rsidR="009B0715" w:rsidRPr="009B0715" w:rsidRDefault="009B0715" w:rsidP="009B0715">
      <w:pPr>
        <w:pStyle w:val="SingleTxtG"/>
        <w:rPr>
          <w:lang w:val="ru-RU"/>
        </w:rPr>
      </w:pPr>
      <w:r w:rsidRPr="009B0715">
        <w:rPr>
          <w:lang w:val="ru-RU"/>
        </w:rPr>
        <w:t>69.</w:t>
      </w:r>
      <w:r w:rsidRPr="009B0715">
        <w:rPr>
          <w:lang w:val="ru-RU"/>
        </w:rPr>
        <w:tab/>
        <w:t xml:space="preserve">Комитет обеспокоен тем, что наиболее обездоленные и </w:t>
      </w:r>
      <w:proofErr w:type="spellStart"/>
      <w:r w:rsidRPr="009B0715">
        <w:rPr>
          <w:lang w:val="ru-RU"/>
        </w:rPr>
        <w:t>маргинализованные</w:t>
      </w:r>
      <w:proofErr w:type="spellEnd"/>
      <w:r w:rsidRPr="009B0715">
        <w:rPr>
          <w:lang w:val="ru-RU"/>
        </w:rPr>
        <w:t xml:space="preserve"> группы населения, особенно группы с низкими доходами, имеют ограниченный доступ к культурным мероприятиям. Кроме того, он обеспокоен тем, что государство-участник не выделяет достаточных ресурсов для проведения научных исследований, и</w:t>
      </w:r>
      <w:r w:rsidR="005159C9">
        <w:rPr>
          <w:lang w:val="ru-RU"/>
        </w:rPr>
        <w:t> </w:t>
      </w:r>
      <w:r w:rsidRPr="009B0715">
        <w:rPr>
          <w:lang w:val="ru-RU"/>
        </w:rPr>
        <w:t>сожалеет, что участие женщин в научной деятельности в государстве-участнике по</w:t>
      </w:r>
      <w:r w:rsidR="005159C9">
        <w:rPr>
          <w:lang w:val="ru-RU"/>
        </w:rPr>
        <w:noBreakHyphen/>
      </w:r>
      <w:bookmarkStart w:id="0" w:name="_GoBack"/>
      <w:bookmarkEnd w:id="0"/>
      <w:r w:rsidRPr="009B0715">
        <w:rPr>
          <w:lang w:val="ru-RU"/>
        </w:rPr>
        <w:t>прежнему носит ограниченный характер (статья 15).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70.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 xml:space="preserve">Комитет рекомендует государству-участнику принять надлежащие меры в целях обеспечения доступности и ценовой приемлемости культурных мероприятий и Интернета для наиболее обездоленных и </w:t>
      </w:r>
      <w:proofErr w:type="spellStart"/>
      <w:r w:rsidRPr="00157102">
        <w:rPr>
          <w:b/>
          <w:lang w:val="ru-RU"/>
        </w:rPr>
        <w:t>маргинализованных</w:t>
      </w:r>
      <w:proofErr w:type="spellEnd"/>
      <w:r w:rsidRPr="00157102">
        <w:rPr>
          <w:b/>
          <w:lang w:val="ru-RU"/>
        </w:rPr>
        <w:t xml:space="preserve"> групп населения, особенно для групп населения с низким уровнем дохода. Кроме того, он рекомендует увеличить объем бюджетных ассигнований на научные исследования, а также принять надлежащие меры для облегчения и обеспечения доступа и участия женщин в научной деятельности.</w:t>
      </w:r>
    </w:p>
    <w:p w:rsidR="009B0715" w:rsidRPr="009B0715" w:rsidRDefault="009B0715" w:rsidP="009B0715">
      <w:pPr>
        <w:pStyle w:val="H1G"/>
        <w:rPr>
          <w:lang w:val="ru-RU"/>
        </w:rPr>
      </w:pPr>
      <w:r w:rsidRPr="009B0715">
        <w:rPr>
          <w:lang w:val="ru-RU"/>
        </w:rPr>
        <w:tab/>
        <w:t>D.</w:t>
      </w:r>
      <w:r w:rsidRPr="009B0715">
        <w:rPr>
          <w:lang w:val="ru-RU"/>
        </w:rPr>
        <w:tab/>
        <w:t>Прочие рекомендации</w:t>
      </w:r>
    </w:p>
    <w:p w:rsidR="009B0715" w:rsidRPr="00157102" w:rsidRDefault="009B0715" w:rsidP="009B0715">
      <w:pPr>
        <w:pStyle w:val="SingleTxtG"/>
        <w:rPr>
          <w:b/>
          <w:bCs/>
          <w:lang w:val="ru-RU"/>
        </w:rPr>
      </w:pPr>
      <w:r w:rsidRPr="009B0715">
        <w:rPr>
          <w:lang w:val="ru-RU"/>
        </w:rPr>
        <w:t>71.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72.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 xml:space="preserve">Комитет призывает государство-участник ратифицировать Факультативный протокол к Конвенции о правах ребенка, касающийся процедуры сообщений. 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73.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 xml:space="preserve">Комитет рекомендует государству-участнику полностью учитывать свои обязательства, вытекающие из Пакта, и обеспечить полное осуществление провозглашенных в нем прав в рамках реализации на национальном уровне Повестки дня в области устойчивого развития на период до 2030 года, опираясь, в случае необходимости, на помощь и сотрудничество со стороны международного сообщества и инкорпорировав ее положения в работу Национального совета. Государству-участнику следует действенным образом содействовать выполнению Целей в области устойчивого развития посредством создания независимых механизмов контроля за ходом их реализации и рассмотрения бенефициаров государственных программ в качестве обладателей прав, подлежащих осуществлению. Достижение этих Целей на основе принципов участия, подотчетности и </w:t>
      </w:r>
      <w:proofErr w:type="spellStart"/>
      <w:r w:rsidRPr="00157102">
        <w:rPr>
          <w:b/>
          <w:lang w:val="ru-RU"/>
        </w:rPr>
        <w:t>недискриминации</w:t>
      </w:r>
      <w:proofErr w:type="spellEnd"/>
      <w:r w:rsidRPr="00157102">
        <w:rPr>
          <w:b/>
          <w:lang w:val="ru-RU"/>
        </w:rPr>
        <w:t xml:space="preserve"> будет гарантировать, что никто не останется без внимания.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74.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 xml:space="preserve"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 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 </w:t>
      </w:r>
      <w:proofErr w:type="spellStart"/>
      <w:r w:rsidRPr="00157102">
        <w:rPr>
          <w:b/>
          <w:lang w:val="ru-RU"/>
        </w:rPr>
        <w:t>HRI</w:t>
      </w:r>
      <w:proofErr w:type="spellEnd"/>
      <w:r w:rsidRPr="00157102">
        <w:rPr>
          <w:b/>
          <w:lang w:val="ru-RU"/>
        </w:rPr>
        <w:t>/</w:t>
      </w:r>
      <w:proofErr w:type="spellStart"/>
      <w:r w:rsidRPr="00157102">
        <w:rPr>
          <w:b/>
          <w:lang w:val="ru-RU"/>
        </w:rPr>
        <w:t>MC</w:t>
      </w:r>
      <w:proofErr w:type="spellEnd"/>
      <w:r w:rsidRPr="00157102">
        <w:rPr>
          <w:b/>
          <w:lang w:val="ru-RU"/>
        </w:rPr>
        <w:t>/2008/3).</w:t>
      </w:r>
    </w:p>
    <w:p w:rsidR="009B0715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75.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>Комитет просит государство-участник широко распространить настоящие заключительные замечания среди всех слоев общества, а также среди государственных служащих, судебных органов, законодателей, юристов, национальных учреждений по правам человека, существующих на федеральном уровне и в федеративных образованиях, и организаций гражданского общества, и в своем следующем периодическом докладе проинформировать Комитет о мерах, принятых с целью их осуществления. Он также призывает государство-участник привлечь организации гражданского общества к обсуждениям, которые будут проводиться на национальном уровне для осуществления настоящих заключительных замечаний и перед представлением его следующего периодического доклада.</w:t>
      </w:r>
    </w:p>
    <w:p w:rsidR="009B0715" w:rsidRPr="00157102" w:rsidRDefault="009B0715" w:rsidP="009B0715">
      <w:pPr>
        <w:pStyle w:val="SingleTxtG"/>
        <w:rPr>
          <w:b/>
          <w:bCs/>
          <w:color w:val="000000"/>
          <w:lang w:val="ru-RU"/>
        </w:rPr>
      </w:pPr>
      <w:r w:rsidRPr="009B0715">
        <w:rPr>
          <w:lang w:val="ru-RU"/>
        </w:rPr>
        <w:t>76.</w:t>
      </w:r>
      <w:r w:rsidRPr="009B0715">
        <w:rPr>
          <w:lang w:val="ru-RU"/>
        </w:rPr>
        <w:tab/>
      </w:r>
      <w:proofErr w:type="gramStart"/>
      <w:r w:rsidRPr="00157102">
        <w:rPr>
          <w:b/>
          <w:lang w:val="ru-RU"/>
        </w:rPr>
        <w:t>В</w:t>
      </w:r>
      <w:proofErr w:type="gramEnd"/>
      <w:r w:rsidRPr="00157102">
        <w:rPr>
          <w:b/>
          <w:lang w:val="ru-RU"/>
        </w:rPr>
        <w:t xml:space="preserve"> свете принятой Комитетом процедуры последующей деятельности в связи с заключительными замечаниями государству-участнику предлагается представить в течение 18 месяцев с момента принятия настоящих заключительных замечаний информацию об осуществлении рекомендаций, вынесенных Комитетом в пунктах 8 (Положение правозащитников, отстаивающих экономические, социальные и культурные права), 13 (Права коренных народов) и 44 (Семьи исчезнувших лиц). </w:t>
      </w:r>
    </w:p>
    <w:p w:rsidR="00381C24" w:rsidRPr="00157102" w:rsidRDefault="009B0715" w:rsidP="009B0715">
      <w:pPr>
        <w:pStyle w:val="SingleTxtG"/>
        <w:rPr>
          <w:b/>
          <w:lang w:val="ru-RU"/>
        </w:rPr>
      </w:pPr>
      <w:r w:rsidRPr="009B0715">
        <w:rPr>
          <w:lang w:val="ru-RU"/>
        </w:rPr>
        <w:t>77.</w:t>
      </w:r>
      <w:r w:rsidRPr="009B0715">
        <w:rPr>
          <w:lang w:val="ru-RU"/>
        </w:rPr>
        <w:tab/>
      </w:r>
      <w:r w:rsidRPr="00157102">
        <w:rPr>
          <w:b/>
          <w:lang w:val="ru-RU"/>
        </w:rPr>
        <w:t xml:space="preserve">Комитет просит государство-участник представить свой седьмой периодический доклад, который должен быть подготовлен в соответствии с руководящими принципами составления докладов, принятыми Комитетом в 2008 году (E/C.12/2008/2), не позднее 31 марта 2023 года. Кроме того, он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(см. </w:t>
      </w:r>
      <w:proofErr w:type="spellStart"/>
      <w:r w:rsidRPr="00157102">
        <w:rPr>
          <w:b/>
          <w:lang w:val="ru-RU"/>
        </w:rPr>
        <w:t>HRI</w:t>
      </w:r>
      <w:proofErr w:type="spellEnd"/>
      <w:r w:rsidRPr="00157102">
        <w:rPr>
          <w:b/>
          <w:lang w:val="ru-RU"/>
        </w:rPr>
        <w:t>/</w:t>
      </w:r>
      <w:proofErr w:type="spellStart"/>
      <w:r w:rsidRPr="00157102">
        <w:rPr>
          <w:b/>
          <w:lang w:val="ru-RU"/>
        </w:rPr>
        <w:t>GEN</w:t>
      </w:r>
      <w:proofErr w:type="spellEnd"/>
      <w:r w:rsidRPr="00157102">
        <w:rPr>
          <w:b/>
          <w:lang w:val="ru-RU"/>
        </w:rPr>
        <w:t>/2/Rev.6, глава I).</w:t>
      </w:r>
    </w:p>
    <w:p w:rsidR="009B0715" w:rsidRPr="009B0715" w:rsidRDefault="009B0715" w:rsidP="009B0715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9B0715">
        <w:rPr>
          <w:spacing w:val="0"/>
          <w:w w:val="100"/>
          <w:kern w:val="0"/>
          <w:u w:val="single"/>
        </w:rPr>
        <w:tab/>
      </w:r>
      <w:r w:rsidRPr="009B0715">
        <w:rPr>
          <w:spacing w:val="0"/>
          <w:w w:val="100"/>
          <w:kern w:val="0"/>
          <w:u w:val="single"/>
        </w:rPr>
        <w:tab/>
      </w:r>
      <w:r w:rsidRPr="009B0715">
        <w:rPr>
          <w:spacing w:val="0"/>
          <w:w w:val="100"/>
          <w:kern w:val="0"/>
          <w:u w:val="single"/>
        </w:rPr>
        <w:tab/>
      </w:r>
    </w:p>
    <w:sectPr w:rsidR="009B0715" w:rsidRPr="009B0715" w:rsidSect="009B0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7B" w:rsidRPr="00A312BC" w:rsidRDefault="005E1E7B" w:rsidP="00A312BC"/>
  </w:endnote>
  <w:endnote w:type="continuationSeparator" w:id="0">
    <w:p w:rsidR="005E1E7B" w:rsidRPr="00A312BC" w:rsidRDefault="005E1E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5" w:rsidRPr="009B0715" w:rsidRDefault="009B0715">
    <w:pPr>
      <w:pStyle w:val="aa"/>
    </w:pPr>
    <w:r w:rsidRPr="009B0715">
      <w:rPr>
        <w:b/>
        <w:sz w:val="18"/>
      </w:rPr>
      <w:fldChar w:fldCharType="begin"/>
    </w:r>
    <w:r w:rsidRPr="009B0715">
      <w:rPr>
        <w:b/>
        <w:sz w:val="18"/>
      </w:rPr>
      <w:instrText xml:space="preserve"> PAGE  \* MERGEFORMAT </w:instrText>
    </w:r>
    <w:r w:rsidRPr="009B0715">
      <w:rPr>
        <w:b/>
        <w:sz w:val="18"/>
      </w:rPr>
      <w:fldChar w:fldCharType="separate"/>
    </w:r>
    <w:r w:rsidR="000B3C97">
      <w:rPr>
        <w:b/>
        <w:noProof/>
        <w:sz w:val="18"/>
      </w:rPr>
      <w:t>14</w:t>
    </w:r>
    <w:r w:rsidRPr="009B0715">
      <w:rPr>
        <w:b/>
        <w:sz w:val="18"/>
      </w:rPr>
      <w:fldChar w:fldCharType="end"/>
    </w:r>
    <w:r>
      <w:rPr>
        <w:b/>
        <w:sz w:val="18"/>
      </w:rPr>
      <w:tab/>
    </w:r>
    <w:r>
      <w:t>GE.18-06120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5" w:rsidRPr="009B0715" w:rsidRDefault="009B0715" w:rsidP="009B0715">
    <w:pPr>
      <w:pStyle w:val="aa"/>
      <w:tabs>
        <w:tab w:val="clear" w:pos="9639"/>
        <w:tab w:val="right" w:pos="9638"/>
      </w:tabs>
      <w:rPr>
        <w:b/>
        <w:sz w:val="18"/>
      </w:rPr>
    </w:pPr>
    <w:r>
      <w:t>GE.18-06120</w:t>
    </w:r>
    <w:r>
      <w:tab/>
    </w:r>
    <w:r w:rsidRPr="009B0715">
      <w:rPr>
        <w:b/>
        <w:sz w:val="18"/>
      </w:rPr>
      <w:fldChar w:fldCharType="begin"/>
    </w:r>
    <w:r w:rsidRPr="009B0715">
      <w:rPr>
        <w:b/>
        <w:sz w:val="18"/>
      </w:rPr>
      <w:instrText xml:space="preserve"> PAGE  \* MERGEFORMAT </w:instrText>
    </w:r>
    <w:r w:rsidRPr="009B0715">
      <w:rPr>
        <w:b/>
        <w:sz w:val="18"/>
      </w:rPr>
      <w:fldChar w:fldCharType="separate"/>
    </w:r>
    <w:r w:rsidR="000B3C97">
      <w:rPr>
        <w:b/>
        <w:noProof/>
        <w:sz w:val="18"/>
      </w:rPr>
      <w:t>15</w:t>
    </w:r>
    <w:r w:rsidRPr="009B07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B0715" w:rsidRDefault="009B0715" w:rsidP="009B071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18-06120  (R)</w:t>
    </w:r>
    <w:r>
      <w:rPr>
        <w:lang w:val="en-US"/>
      </w:rPr>
      <w:t xml:space="preserve">  230418  250418</w:t>
    </w:r>
    <w:r>
      <w:br/>
    </w:r>
    <w:r w:rsidRPr="009B0715">
      <w:rPr>
        <w:rFonts w:ascii="C39T30Lfz" w:hAnsi="C39T30Lfz"/>
        <w:spacing w:val="0"/>
        <w:w w:val="100"/>
        <w:sz w:val="56"/>
      </w:rPr>
      <w:t></w:t>
    </w:r>
    <w:r w:rsidRPr="009B0715">
      <w:rPr>
        <w:rFonts w:ascii="C39T30Lfz" w:hAnsi="C39T30Lfz"/>
        <w:spacing w:val="0"/>
        <w:w w:val="100"/>
        <w:sz w:val="56"/>
      </w:rPr>
      <w:t></w:t>
    </w:r>
    <w:r w:rsidRPr="009B0715">
      <w:rPr>
        <w:rFonts w:ascii="C39T30Lfz" w:hAnsi="C39T30Lfz"/>
        <w:spacing w:val="0"/>
        <w:w w:val="100"/>
        <w:sz w:val="56"/>
      </w:rPr>
      <w:t></w:t>
    </w:r>
    <w:r w:rsidRPr="009B0715">
      <w:rPr>
        <w:rFonts w:ascii="C39T30Lfz" w:hAnsi="C39T30Lfz"/>
        <w:spacing w:val="0"/>
        <w:w w:val="100"/>
        <w:sz w:val="56"/>
      </w:rPr>
      <w:t></w:t>
    </w:r>
    <w:r w:rsidRPr="009B0715">
      <w:rPr>
        <w:rFonts w:ascii="C39T30Lfz" w:hAnsi="C39T30Lfz"/>
        <w:spacing w:val="0"/>
        <w:w w:val="100"/>
        <w:sz w:val="56"/>
      </w:rPr>
      <w:t></w:t>
    </w:r>
    <w:r w:rsidRPr="009B0715">
      <w:rPr>
        <w:rFonts w:ascii="C39T30Lfz" w:hAnsi="C39T30Lfz"/>
        <w:spacing w:val="0"/>
        <w:w w:val="100"/>
        <w:sz w:val="56"/>
      </w:rPr>
      <w:t></w:t>
    </w:r>
    <w:r w:rsidRPr="009B0715">
      <w:rPr>
        <w:rFonts w:ascii="C39T30Lfz" w:hAnsi="C39T30Lfz"/>
        <w:spacing w:val="0"/>
        <w:w w:val="100"/>
        <w:sz w:val="56"/>
      </w:rPr>
      <w:t></w:t>
    </w:r>
    <w:r w:rsidRPr="009B0715">
      <w:rPr>
        <w:rFonts w:ascii="C39T30Lfz" w:hAnsi="C39T30Lfz"/>
        <w:spacing w:val="0"/>
        <w:w w:val="100"/>
        <w:sz w:val="56"/>
      </w:rPr>
      <w:t></w:t>
    </w:r>
    <w:r w:rsidRPr="009B071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MEX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MEX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7B" w:rsidRPr="001075E9" w:rsidRDefault="005E1E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1E7B" w:rsidRDefault="005E1E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B0715" w:rsidRPr="00917574" w:rsidRDefault="009B0715" w:rsidP="009B0715">
      <w:pPr>
        <w:pStyle w:val="af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</w:r>
      <w:r>
        <w:rPr>
          <w:lang w:val="ru-RU"/>
        </w:rPr>
        <w:tab/>
        <w:t>Приняты Комитетом на его шестьдесят третьей сессии (12–29 марта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5" w:rsidRPr="009B0715" w:rsidRDefault="000B3C9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E/C.12/MEX/CO/5-6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5" w:rsidRPr="009B0715" w:rsidRDefault="000B3C97" w:rsidP="009B0715">
    <w:pPr>
      <w:pStyle w:val="a5"/>
      <w:jc w:val="right"/>
    </w:pPr>
    <w:r>
      <w:fldChar w:fldCharType="begin"/>
    </w:r>
    <w:r>
      <w:instrText xml:space="preserve"> TI</w:instrText>
    </w:r>
    <w:r>
      <w:instrText xml:space="preserve">TLE  \* MERGEFORMAT </w:instrText>
    </w:r>
    <w:r>
      <w:fldChar w:fldCharType="separate"/>
    </w:r>
    <w:r>
      <w:t>E/C.12/MEX/CO/5-6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5" w:rsidRDefault="009B0715" w:rsidP="009B071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B"/>
    <w:rsid w:val="00033EE1"/>
    <w:rsid w:val="00042B72"/>
    <w:rsid w:val="00043B08"/>
    <w:rsid w:val="000558BD"/>
    <w:rsid w:val="000857D2"/>
    <w:rsid w:val="000B3C97"/>
    <w:rsid w:val="000B57E7"/>
    <w:rsid w:val="000B6373"/>
    <w:rsid w:val="000F09DF"/>
    <w:rsid w:val="000F411E"/>
    <w:rsid w:val="000F61B2"/>
    <w:rsid w:val="001075E9"/>
    <w:rsid w:val="0014152F"/>
    <w:rsid w:val="00142F5E"/>
    <w:rsid w:val="00157102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32F8C"/>
    <w:rsid w:val="003402C2"/>
    <w:rsid w:val="00340707"/>
    <w:rsid w:val="00381C24"/>
    <w:rsid w:val="00383C80"/>
    <w:rsid w:val="003958D0"/>
    <w:rsid w:val="003A0D43"/>
    <w:rsid w:val="003B00E5"/>
    <w:rsid w:val="003C22B9"/>
    <w:rsid w:val="00407B78"/>
    <w:rsid w:val="00424203"/>
    <w:rsid w:val="0042551A"/>
    <w:rsid w:val="00452493"/>
    <w:rsid w:val="00453318"/>
    <w:rsid w:val="00454A14"/>
    <w:rsid w:val="00454E07"/>
    <w:rsid w:val="00471DD1"/>
    <w:rsid w:val="00472C5C"/>
    <w:rsid w:val="004A40CE"/>
    <w:rsid w:val="0050108D"/>
    <w:rsid w:val="00513081"/>
    <w:rsid w:val="005159C9"/>
    <w:rsid w:val="00517901"/>
    <w:rsid w:val="00526683"/>
    <w:rsid w:val="005709E0"/>
    <w:rsid w:val="00571039"/>
    <w:rsid w:val="00572E19"/>
    <w:rsid w:val="005961C8"/>
    <w:rsid w:val="005966F1"/>
    <w:rsid w:val="005B2F86"/>
    <w:rsid w:val="005D7914"/>
    <w:rsid w:val="005E1E7B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26D1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8C33D6"/>
    <w:rsid w:val="00906890"/>
    <w:rsid w:val="00911BE4"/>
    <w:rsid w:val="00934077"/>
    <w:rsid w:val="00947EFA"/>
    <w:rsid w:val="00951972"/>
    <w:rsid w:val="009608F3"/>
    <w:rsid w:val="00962C3E"/>
    <w:rsid w:val="009A24AC"/>
    <w:rsid w:val="009B0715"/>
    <w:rsid w:val="00A14DA8"/>
    <w:rsid w:val="00A21F00"/>
    <w:rsid w:val="00A312BC"/>
    <w:rsid w:val="00A41AAE"/>
    <w:rsid w:val="00A84021"/>
    <w:rsid w:val="00A84D35"/>
    <w:rsid w:val="00A917B3"/>
    <w:rsid w:val="00AB4B51"/>
    <w:rsid w:val="00AC3430"/>
    <w:rsid w:val="00B10CC7"/>
    <w:rsid w:val="00B17DE5"/>
    <w:rsid w:val="00B30589"/>
    <w:rsid w:val="00B31C8E"/>
    <w:rsid w:val="00B36DF7"/>
    <w:rsid w:val="00B539E7"/>
    <w:rsid w:val="00B62458"/>
    <w:rsid w:val="00BC18B2"/>
    <w:rsid w:val="00BC1A89"/>
    <w:rsid w:val="00BD2E81"/>
    <w:rsid w:val="00BD33EE"/>
    <w:rsid w:val="00BF21E1"/>
    <w:rsid w:val="00C106D6"/>
    <w:rsid w:val="00C60F0C"/>
    <w:rsid w:val="00C805C9"/>
    <w:rsid w:val="00C92939"/>
    <w:rsid w:val="00CA1679"/>
    <w:rsid w:val="00CA3B22"/>
    <w:rsid w:val="00CB151C"/>
    <w:rsid w:val="00CE5A1A"/>
    <w:rsid w:val="00CF55F6"/>
    <w:rsid w:val="00D226A4"/>
    <w:rsid w:val="00D33D63"/>
    <w:rsid w:val="00D5253A"/>
    <w:rsid w:val="00D62A45"/>
    <w:rsid w:val="00D90028"/>
    <w:rsid w:val="00D90138"/>
    <w:rsid w:val="00DD44B1"/>
    <w:rsid w:val="00DD78D1"/>
    <w:rsid w:val="00DE1905"/>
    <w:rsid w:val="00DE32CD"/>
    <w:rsid w:val="00DF71B9"/>
    <w:rsid w:val="00E13898"/>
    <w:rsid w:val="00E73F76"/>
    <w:rsid w:val="00E83DD0"/>
    <w:rsid w:val="00E90403"/>
    <w:rsid w:val="00EA2C9F"/>
    <w:rsid w:val="00EA420E"/>
    <w:rsid w:val="00ED0BDA"/>
    <w:rsid w:val="00EE142A"/>
    <w:rsid w:val="00EF1360"/>
    <w:rsid w:val="00EF3220"/>
    <w:rsid w:val="00F055DC"/>
    <w:rsid w:val="00F43903"/>
    <w:rsid w:val="00F94155"/>
    <w:rsid w:val="00F9783F"/>
    <w:rsid w:val="00FD162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CE1CD"/>
  <w15:docId w15:val="{38A8AFBB-2B8A-4141-8B5B-425D9844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,5_G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,5_G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  <w:style w:type="paragraph" w:customStyle="1" w:styleId="HChG">
    <w:name w:val="_ H _Ch_G"/>
    <w:basedOn w:val="a"/>
    <w:next w:val="a"/>
    <w:qFormat/>
    <w:rsid w:val="009B071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a"/>
    <w:next w:val="a"/>
    <w:qFormat/>
    <w:rsid w:val="009B071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fr-CH"/>
    </w:rPr>
  </w:style>
  <w:style w:type="paragraph" w:customStyle="1" w:styleId="H23G">
    <w:name w:val="_ H_2/3_G"/>
    <w:basedOn w:val="a"/>
    <w:next w:val="a"/>
    <w:qFormat/>
    <w:rsid w:val="009B07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fr-CH"/>
    </w:rPr>
  </w:style>
  <w:style w:type="paragraph" w:customStyle="1" w:styleId="SingleTxtG">
    <w:name w:val="_ Single Txt_G"/>
    <w:basedOn w:val="a"/>
    <w:link w:val="SingleTxtGChar"/>
    <w:qFormat/>
    <w:rsid w:val="009B071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character" w:customStyle="1" w:styleId="SingleTxtGChar">
    <w:name w:val="_ Single Txt_G Char"/>
    <w:link w:val="SingleTxtG"/>
    <w:locked/>
    <w:rsid w:val="009B0715"/>
    <w:rPr>
      <w:lang w:val="fr-CH" w:eastAsia="en-US"/>
    </w:rPr>
  </w:style>
  <w:style w:type="character" w:styleId="af3">
    <w:name w:val="annotation reference"/>
    <w:basedOn w:val="a0"/>
    <w:semiHidden/>
    <w:unhideWhenUsed/>
    <w:rsid w:val="009B0715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B0715"/>
    <w:pPr>
      <w:spacing w:line="240" w:lineRule="auto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5">
    <w:name w:val="Текст примечания Знак"/>
    <w:basedOn w:val="a0"/>
    <w:link w:val="af4"/>
    <w:semiHidden/>
    <w:rsid w:val="009B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B5A3-E9F9-4DE9-B469-322ACE9F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15</Pages>
  <Words>5801</Words>
  <Characters>41427</Characters>
  <Application>Microsoft Office Word</Application>
  <DocSecurity>0</DocSecurity>
  <Lines>767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E/C.12/MEX/CO/5-6</vt:lpstr>
      <vt:lpstr>A/</vt:lpstr>
    </vt:vector>
  </TitlesOfParts>
  <Company>DCM</Company>
  <LinksUpToDate>false</LinksUpToDate>
  <CharactersWithSpaces>47022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E/C.12/MEX/CO/5-6</dc:title>
  <dc:subject/>
  <dc:creator>SHUVALOVA Natalia</dc:creator>
  <cp:keywords/>
  <cp:lastModifiedBy>Natalia Shuvalova</cp:lastModifiedBy>
  <cp:revision>3</cp:revision>
  <cp:lastPrinted>2018-04-25T07:51:00Z</cp:lastPrinted>
  <dcterms:created xsi:type="dcterms:W3CDTF">2018-04-25T07:51:00Z</dcterms:created>
  <dcterms:modified xsi:type="dcterms:W3CDTF">2018-04-25T07:53:00Z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