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3274C" w:rsidRPr="00B3274C" w:rsidTr="004C055A">
        <w:trPr>
          <w:trHeight w:hRule="exact" w:val="851"/>
        </w:trPr>
        <w:tc>
          <w:tcPr>
            <w:tcW w:w="1277" w:type="dxa"/>
            <w:tcBorders>
              <w:bottom w:val="single" w:sz="4" w:space="0" w:color="auto"/>
            </w:tcBorders>
          </w:tcPr>
          <w:p w:rsidR="00B3274C" w:rsidRPr="00B3274C" w:rsidRDefault="00B3274C" w:rsidP="004C055A">
            <w:pPr>
              <w:rPr>
                <w:lang w:val="fr-CA"/>
              </w:rPr>
            </w:pPr>
          </w:p>
        </w:tc>
        <w:tc>
          <w:tcPr>
            <w:tcW w:w="2268" w:type="dxa"/>
            <w:tcBorders>
              <w:bottom w:val="single" w:sz="4" w:space="0" w:color="auto"/>
            </w:tcBorders>
            <w:vAlign w:val="bottom"/>
          </w:tcPr>
          <w:p w:rsidR="00B3274C" w:rsidRPr="00B3274C" w:rsidRDefault="00B3274C" w:rsidP="004C055A">
            <w:pPr>
              <w:spacing w:after="80" w:line="300" w:lineRule="exact"/>
              <w:rPr>
                <w:sz w:val="28"/>
                <w:lang w:val="fr-CA"/>
              </w:rPr>
            </w:pPr>
            <w:r w:rsidRPr="00B3274C">
              <w:rPr>
                <w:sz w:val="28"/>
                <w:lang w:val="fr-CA"/>
              </w:rPr>
              <w:t>Nations Unies</w:t>
            </w:r>
          </w:p>
        </w:tc>
        <w:tc>
          <w:tcPr>
            <w:tcW w:w="6094" w:type="dxa"/>
            <w:gridSpan w:val="2"/>
            <w:tcBorders>
              <w:bottom w:val="single" w:sz="4" w:space="0" w:color="auto"/>
            </w:tcBorders>
            <w:vAlign w:val="bottom"/>
          </w:tcPr>
          <w:p w:rsidR="00B3274C" w:rsidRPr="00B3274C" w:rsidRDefault="00B3274C" w:rsidP="004C055A">
            <w:pPr>
              <w:jc w:val="right"/>
              <w:rPr>
                <w:lang w:val="fr-CA"/>
              </w:rPr>
            </w:pPr>
            <w:r w:rsidRPr="00B3274C">
              <w:rPr>
                <w:sz w:val="40"/>
                <w:lang w:val="fr-CA"/>
              </w:rPr>
              <w:t>E</w:t>
            </w:r>
            <w:r w:rsidRPr="00B3274C">
              <w:rPr>
                <w:lang w:val="fr-CA"/>
              </w:rPr>
              <w:t>/C.12/GRC/2</w:t>
            </w:r>
          </w:p>
        </w:tc>
      </w:tr>
      <w:tr w:rsidR="00B3274C" w:rsidRPr="00B3274C" w:rsidTr="004C055A">
        <w:trPr>
          <w:trHeight w:hRule="exact" w:val="2835"/>
        </w:trPr>
        <w:tc>
          <w:tcPr>
            <w:tcW w:w="1276" w:type="dxa"/>
            <w:tcBorders>
              <w:top w:val="single" w:sz="4" w:space="0" w:color="auto"/>
              <w:bottom w:val="single" w:sz="12" w:space="0" w:color="auto"/>
            </w:tcBorders>
          </w:tcPr>
          <w:p w:rsidR="00B3274C" w:rsidRPr="00B3274C" w:rsidRDefault="00B3274C" w:rsidP="004C055A">
            <w:pPr>
              <w:spacing w:before="120"/>
              <w:jc w:val="center"/>
              <w:rPr>
                <w:lang w:val="fr-CA"/>
              </w:rPr>
            </w:pPr>
            <w:r w:rsidRPr="00B3274C">
              <w:rPr>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3274C" w:rsidRPr="00B3274C" w:rsidRDefault="00B3274C" w:rsidP="004C055A">
            <w:pPr>
              <w:spacing w:before="120" w:line="420" w:lineRule="exact"/>
              <w:rPr>
                <w:b/>
                <w:sz w:val="40"/>
                <w:szCs w:val="40"/>
                <w:lang w:val="fr-CA"/>
              </w:rPr>
            </w:pPr>
            <w:r w:rsidRPr="00B3274C">
              <w:rPr>
                <w:b/>
                <w:sz w:val="40"/>
                <w:szCs w:val="40"/>
                <w:lang w:val="fr-CA"/>
              </w:rPr>
              <w:t>Conseil économique et social</w:t>
            </w:r>
          </w:p>
        </w:tc>
        <w:tc>
          <w:tcPr>
            <w:tcW w:w="2835" w:type="dxa"/>
            <w:tcBorders>
              <w:top w:val="single" w:sz="4" w:space="0" w:color="auto"/>
              <w:bottom w:val="single" w:sz="12" w:space="0" w:color="auto"/>
            </w:tcBorders>
          </w:tcPr>
          <w:p w:rsidR="00B3274C" w:rsidRPr="00DE688B" w:rsidRDefault="00B3274C" w:rsidP="004C055A">
            <w:pPr>
              <w:spacing w:before="240" w:line="240" w:lineRule="exact"/>
              <w:rPr>
                <w:lang w:val="fr-CA"/>
              </w:rPr>
            </w:pPr>
            <w:r w:rsidRPr="00DE688B">
              <w:rPr>
                <w:lang w:val="fr-CA"/>
              </w:rPr>
              <w:t>Distr. générale</w:t>
            </w:r>
          </w:p>
          <w:p w:rsidR="00B3274C" w:rsidRPr="00DE688B" w:rsidRDefault="00B3274C" w:rsidP="004C055A">
            <w:pPr>
              <w:spacing w:line="240" w:lineRule="exact"/>
              <w:rPr>
                <w:lang w:val="fr-CA"/>
              </w:rPr>
            </w:pPr>
            <w:r w:rsidRPr="00DE688B">
              <w:rPr>
                <w:lang w:val="fr-CA"/>
              </w:rPr>
              <w:t>16 décembre 2013</w:t>
            </w:r>
          </w:p>
          <w:p w:rsidR="00B3274C" w:rsidRPr="00B3274C" w:rsidRDefault="00B3274C" w:rsidP="004C055A">
            <w:pPr>
              <w:spacing w:line="240" w:lineRule="exact"/>
              <w:rPr>
                <w:lang w:val="fr-CA"/>
              </w:rPr>
            </w:pPr>
            <w:r w:rsidRPr="00DE688B">
              <w:rPr>
                <w:lang w:val="fr-CA"/>
              </w:rPr>
              <w:t>Français</w:t>
            </w:r>
            <w:r w:rsidRPr="00DE688B">
              <w:rPr>
                <w:lang w:val="fr-CA"/>
              </w:rPr>
              <w:br/>
              <w:t>Original: anglais</w:t>
            </w:r>
          </w:p>
        </w:tc>
      </w:tr>
    </w:tbl>
    <w:p w:rsidR="00B3274C" w:rsidRPr="00B3274C" w:rsidRDefault="00B3274C" w:rsidP="00B3274C">
      <w:pPr>
        <w:spacing w:before="120"/>
        <w:rPr>
          <w:b/>
          <w:sz w:val="24"/>
          <w:szCs w:val="24"/>
          <w:lang w:val="fr-CA"/>
        </w:rPr>
      </w:pPr>
      <w:r w:rsidRPr="00B3274C">
        <w:rPr>
          <w:b/>
          <w:sz w:val="24"/>
          <w:szCs w:val="24"/>
          <w:lang w:val="fr-CA"/>
        </w:rPr>
        <w:t>Comité des droits économiques</w:t>
      </w:r>
      <w:r w:rsidR="0080611A">
        <w:rPr>
          <w:b/>
          <w:sz w:val="24"/>
          <w:szCs w:val="24"/>
          <w:lang w:val="fr-CA"/>
        </w:rPr>
        <w:t>,</w:t>
      </w:r>
      <w:r w:rsidRPr="00B3274C">
        <w:rPr>
          <w:b/>
          <w:sz w:val="24"/>
          <w:szCs w:val="24"/>
          <w:lang w:val="fr-CA"/>
        </w:rPr>
        <w:t xml:space="preserve"> sociaux et culturels</w:t>
      </w:r>
    </w:p>
    <w:p w:rsidR="00404D10" w:rsidRPr="00B3274C" w:rsidRDefault="00055317" w:rsidP="003619E3">
      <w:pPr>
        <w:pStyle w:val="HMG"/>
        <w:rPr>
          <w:lang w:val="fr-CA"/>
        </w:rPr>
      </w:pPr>
      <w:r w:rsidRPr="00B3274C">
        <w:rPr>
          <w:lang w:val="fr-CA"/>
        </w:rPr>
        <w:tab/>
      </w:r>
      <w:r w:rsidRPr="00B3274C">
        <w:rPr>
          <w:lang w:val="fr-CA"/>
        </w:rPr>
        <w:tab/>
      </w:r>
      <w:r w:rsidR="00A64152" w:rsidRPr="00B3274C">
        <w:rPr>
          <w:lang w:val="fr-CA"/>
        </w:rPr>
        <w:t xml:space="preserve">Examen des rapports </w:t>
      </w:r>
      <w:r w:rsidR="00EC7D35" w:rsidRPr="00B3274C">
        <w:rPr>
          <w:lang w:val="fr-CA"/>
        </w:rPr>
        <w:t xml:space="preserve">soumis </w:t>
      </w:r>
      <w:r w:rsidR="00A64152" w:rsidRPr="00B3274C">
        <w:rPr>
          <w:lang w:val="fr-CA"/>
        </w:rPr>
        <w:t xml:space="preserve">par les États </w:t>
      </w:r>
      <w:r w:rsidR="009E5E6F">
        <w:rPr>
          <w:lang w:val="fr-CA"/>
        </w:rPr>
        <w:br/>
      </w:r>
      <w:r w:rsidR="00A64152" w:rsidRPr="00B3274C">
        <w:rPr>
          <w:lang w:val="fr-CA"/>
        </w:rPr>
        <w:t xml:space="preserve">parties </w:t>
      </w:r>
      <w:r w:rsidR="00EC7D35" w:rsidRPr="00B3274C">
        <w:rPr>
          <w:lang w:val="fr-CA"/>
        </w:rPr>
        <w:t>en application des</w:t>
      </w:r>
      <w:r w:rsidR="00A64152" w:rsidRPr="00B3274C">
        <w:rPr>
          <w:lang w:val="fr-CA"/>
        </w:rPr>
        <w:t xml:space="preserve"> </w:t>
      </w:r>
      <w:r w:rsidR="00143356">
        <w:rPr>
          <w:lang w:val="fr-CA"/>
        </w:rPr>
        <w:t>articles </w:t>
      </w:r>
      <w:r w:rsidR="00A64152" w:rsidRPr="00B3274C">
        <w:rPr>
          <w:lang w:val="fr-CA"/>
        </w:rPr>
        <w:t>16 et 17 du Pacte international relatif aux droits économiques</w:t>
      </w:r>
      <w:r w:rsidR="0080611A">
        <w:rPr>
          <w:lang w:val="fr-CA"/>
        </w:rPr>
        <w:t>,</w:t>
      </w:r>
      <w:r w:rsidR="00A64152" w:rsidRPr="00B3274C">
        <w:rPr>
          <w:lang w:val="fr-CA"/>
        </w:rPr>
        <w:t xml:space="preserve"> sociaux et culturels</w:t>
      </w:r>
    </w:p>
    <w:p w:rsidR="00404D10" w:rsidRPr="00B3274C" w:rsidRDefault="00055317" w:rsidP="003619E3">
      <w:pPr>
        <w:pStyle w:val="HChG"/>
        <w:rPr>
          <w:lang w:val="fr-CA"/>
        </w:rPr>
      </w:pPr>
      <w:r w:rsidRPr="00B3274C">
        <w:rPr>
          <w:lang w:val="fr-CA"/>
        </w:rPr>
        <w:tab/>
      </w:r>
      <w:r w:rsidRPr="00B3274C">
        <w:rPr>
          <w:lang w:val="fr-CA"/>
        </w:rPr>
        <w:tab/>
      </w:r>
      <w:r w:rsidR="00800E17" w:rsidRPr="00B3274C">
        <w:rPr>
          <w:lang w:val="fr-CA"/>
        </w:rPr>
        <w:t xml:space="preserve">Deuxièmes rapports périodiques des États parties </w:t>
      </w:r>
      <w:r w:rsidR="00EC7D35" w:rsidRPr="00B3274C">
        <w:rPr>
          <w:lang w:val="fr-CA"/>
        </w:rPr>
        <w:t>attendus</w:t>
      </w:r>
      <w:r w:rsidR="00800E17" w:rsidRPr="00B3274C">
        <w:rPr>
          <w:lang w:val="fr-CA"/>
        </w:rPr>
        <w:t xml:space="preserve"> en</w:t>
      </w:r>
      <w:r w:rsidR="00E24CB6" w:rsidRPr="00B3274C">
        <w:rPr>
          <w:lang w:val="fr-CA"/>
        </w:rPr>
        <w:t> </w:t>
      </w:r>
      <w:r w:rsidR="00362F3C" w:rsidRPr="00B3274C">
        <w:rPr>
          <w:lang w:val="fr-CA"/>
        </w:rPr>
        <w:t>2009</w:t>
      </w:r>
    </w:p>
    <w:p w:rsidR="00404D10" w:rsidRPr="00B3274C" w:rsidRDefault="00055317" w:rsidP="003619E3">
      <w:pPr>
        <w:pStyle w:val="HMG"/>
        <w:rPr>
          <w:b w:val="0"/>
          <w:sz w:val="20"/>
          <w:lang w:val="fr-CA"/>
        </w:rPr>
      </w:pPr>
      <w:r w:rsidRPr="00B3274C">
        <w:rPr>
          <w:lang w:val="fr-CA"/>
        </w:rPr>
        <w:tab/>
      </w:r>
      <w:r w:rsidRPr="00B3274C">
        <w:rPr>
          <w:lang w:val="fr-CA"/>
        </w:rPr>
        <w:tab/>
      </w:r>
      <w:r w:rsidR="00800E17" w:rsidRPr="00B3274C">
        <w:rPr>
          <w:lang w:val="fr-CA"/>
        </w:rPr>
        <w:t>Grèce</w:t>
      </w:r>
      <w:r w:rsidR="00A60917" w:rsidRPr="0099272B">
        <w:rPr>
          <w:rStyle w:val="FootnoteReference"/>
          <w:b w:val="0"/>
          <w:sz w:val="20"/>
          <w:vertAlign w:val="baseline"/>
          <w:lang w:val="fr-CA"/>
        </w:rPr>
        <w:footnoteReference w:customMarkFollows="1" w:id="2"/>
        <w:t>*</w:t>
      </w:r>
    </w:p>
    <w:p w:rsidR="003619E3" w:rsidRPr="00B3274C" w:rsidRDefault="003619E3" w:rsidP="003619E3">
      <w:pPr>
        <w:pStyle w:val="SingleTxtG"/>
        <w:jc w:val="right"/>
        <w:rPr>
          <w:lang w:val="fr-CA"/>
        </w:rPr>
      </w:pPr>
      <w:r w:rsidRPr="00B3274C">
        <w:rPr>
          <w:lang w:val="fr-CA"/>
        </w:rPr>
        <w:t xml:space="preserve">[31 </w:t>
      </w:r>
      <w:r w:rsidR="00800E17" w:rsidRPr="00B3274C">
        <w:rPr>
          <w:lang w:val="fr-CA"/>
        </w:rPr>
        <w:t>août</w:t>
      </w:r>
      <w:r w:rsidRPr="00B3274C">
        <w:rPr>
          <w:lang w:val="fr-CA"/>
        </w:rPr>
        <w:t xml:space="preserve"> 2012]</w:t>
      </w:r>
    </w:p>
    <w:p w:rsidR="003619E3" w:rsidRPr="00B3274C" w:rsidRDefault="003619E3" w:rsidP="003619E3">
      <w:pPr>
        <w:jc w:val="right"/>
        <w:rPr>
          <w:lang w:val="fr-CA"/>
        </w:rPr>
      </w:pPr>
    </w:p>
    <w:p w:rsidR="00DD3E3C" w:rsidRPr="00B3274C" w:rsidRDefault="00761012" w:rsidP="00DD3E3C">
      <w:pPr>
        <w:spacing w:after="120"/>
        <w:rPr>
          <w:sz w:val="28"/>
          <w:lang w:val="fr-CA"/>
        </w:rPr>
      </w:pPr>
      <w:r w:rsidRPr="00B3274C">
        <w:rPr>
          <w:lang w:val="fr-CA"/>
        </w:rPr>
        <w:br w:type="page"/>
      </w:r>
      <w:r w:rsidR="005A2AB2" w:rsidRPr="00B3274C">
        <w:rPr>
          <w:sz w:val="28"/>
          <w:lang w:val="fr-CA"/>
        </w:rPr>
        <w:t>Table des matières</w:t>
      </w:r>
    </w:p>
    <w:p w:rsidR="00DD3E3C" w:rsidRPr="00B3274C" w:rsidRDefault="00DD3E3C" w:rsidP="00DD3E3C">
      <w:pPr>
        <w:tabs>
          <w:tab w:val="right" w:pos="8929"/>
          <w:tab w:val="right" w:pos="9638"/>
        </w:tabs>
        <w:spacing w:after="120"/>
        <w:ind w:left="283"/>
        <w:rPr>
          <w:lang w:val="fr-CA"/>
        </w:rPr>
      </w:pPr>
      <w:r w:rsidRPr="00B3274C">
        <w:rPr>
          <w:i/>
          <w:sz w:val="18"/>
          <w:lang w:val="fr-CA"/>
        </w:rPr>
        <w:tab/>
        <w:t>Paragraph</w:t>
      </w:r>
      <w:r w:rsidR="005A2AB2" w:rsidRPr="00B3274C">
        <w:rPr>
          <w:i/>
          <w:sz w:val="18"/>
          <w:lang w:val="fr-CA"/>
        </w:rPr>
        <w:t>e</w:t>
      </w:r>
      <w:r w:rsidRPr="00B3274C">
        <w:rPr>
          <w:i/>
          <w:sz w:val="18"/>
          <w:lang w:val="fr-CA"/>
        </w:rPr>
        <w:t>s</w:t>
      </w:r>
      <w:r w:rsidRPr="00B3274C">
        <w:rPr>
          <w:i/>
          <w:sz w:val="18"/>
          <w:lang w:val="fr-CA"/>
        </w:rPr>
        <w:tab/>
        <w:t>Page</w:t>
      </w:r>
    </w:p>
    <w:p w:rsidR="00DD3E3C" w:rsidRPr="00DE688B" w:rsidRDefault="00DE688B" w:rsidP="00DE688B">
      <w:pPr>
        <w:tabs>
          <w:tab w:val="right" w:pos="850"/>
          <w:tab w:val="left" w:pos="1134"/>
          <w:tab w:val="left" w:pos="1559"/>
          <w:tab w:val="left" w:pos="1984"/>
          <w:tab w:val="left" w:leader="dot" w:pos="7654"/>
          <w:tab w:val="right" w:pos="8929"/>
          <w:tab w:val="right" w:pos="9638"/>
        </w:tabs>
        <w:spacing w:after="120"/>
        <w:rPr>
          <w:lang w:val="fr-CH"/>
        </w:rPr>
      </w:pPr>
      <w:r>
        <w:rPr>
          <w:lang w:val="fr-CH"/>
        </w:rPr>
        <w:tab/>
      </w:r>
      <w:r w:rsidR="00107A47" w:rsidRPr="00DE688B">
        <w:rPr>
          <w:lang w:val="fr-CH"/>
        </w:rPr>
        <w:t>I.</w:t>
      </w:r>
      <w:r w:rsidR="00107A47" w:rsidRPr="00DE688B">
        <w:rPr>
          <w:lang w:val="fr-CH"/>
        </w:rPr>
        <w:tab/>
      </w:r>
      <w:r w:rsidR="00DD3E3C" w:rsidRPr="00DE688B">
        <w:rPr>
          <w:lang w:val="fr-CH"/>
        </w:rPr>
        <w:t>Introduction</w:t>
      </w:r>
      <w:r w:rsidR="00DD3E3C" w:rsidRPr="00DE688B">
        <w:rPr>
          <w:lang w:val="fr-CH"/>
        </w:rPr>
        <w:tab/>
      </w:r>
      <w:r w:rsidR="00DD3E3C" w:rsidRPr="00DE688B">
        <w:rPr>
          <w:lang w:val="fr-CH"/>
        </w:rPr>
        <w:tab/>
        <w:t>1</w:t>
      </w:r>
      <w:r w:rsidR="00684F14" w:rsidRPr="00DE688B">
        <w:rPr>
          <w:lang w:val="fr-CH"/>
        </w:rPr>
        <w:t>–</w:t>
      </w:r>
      <w:r w:rsidR="00DD3E3C" w:rsidRPr="00DE688B">
        <w:rPr>
          <w:lang w:val="fr-CH"/>
        </w:rPr>
        <w:t>3</w:t>
      </w:r>
      <w:r w:rsidR="00DD3E3C" w:rsidRPr="00DE688B">
        <w:rPr>
          <w:lang w:val="fr-CH"/>
        </w:rPr>
        <w:tab/>
      </w:r>
      <w:r>
        <w:rPr>
          <w:lang w:val="fr-CH"/>
        </w:rPr>
        <w:t>3</w:t>
      </w:r>
    </w:p>
    <w:p w:rsidR="00DD3E3C" w:rsidRPr="00DE688B" w:rsidRDefault="00DE688B" w:rsidP="00DE688B">
      <w:pPr>
        <w:tabs>
          <w:tab w:val="right" w:pos="850"/>
          <w:tab w:val="left" w:pos="1134"/>
          <w:tab w:val="left" w:pos="1559"/>
          <w:tab w:val="left" w:pos="1984"/>
          <w:tab w:val="left" w:leader="dot" w:pos="7654"/>
          <w:tab w:val="right" w:pos="8929"/>
          <w:tab w:val="right" w:pos="9638"/>
        </w:tabs>
        <w:spacing w:after="120"/>
        <w:rPr>
          <w:lang w:val="fr-CH"/>
        </w:rPr>
      </w:pPr>
      <w:r>
        <w:rPr>
          <w:lang w:val="fr-CH"/>
        </w:rPr>
        <w:tab/>
      </w:r>
      <w:r w:rsidR="00107A47" w:rsidRPr="00DE688B">
        <w:rPr>
          <w:lang w:val="fr-CH"/>
        </w:rPr>
        <w:t>II.</w:t>
      </w:r>
      <w:r w:rsidR="00107A47" w:rsidRPr="00DE688B">
        <w:rPr>
          <w:lang w:val="fr-CH"/>
        </w:rPr>
        <w:tab/>
      </w:r>
      <w:r w:rsidR="005A2AB2" w:rsidRPr="00DE688B">
        <w:rPr>
          <w:lang w:val="fr-CH"/>
        </w:rPr>
        <w:t>Informations relatives aux dispositions générales du Pacte</w:t>
      </w:r>
      <w:r w:rsidR="00DD3E3C" w:rsidRPr="00DE688B">
        <w:rPr>
          <w:lang w:val="fr-CH"/>
        </w:rPr>
        <w:tab/>
      </w:r>
      <w:r w:rsidR="00DD3E3C" w:rsidRPr="00DE688B">
        <w:rPr>
          <w:lang w:val="fr-CH"/>
        </w:rPr>
        <w:tab/>
        <w:t>4</w:t>
      </w:r>
      <w:r w:rsidR="00684F14" w:rsidRPr="00DE688B">
        <w:rPr>
          <w:lang w:val="fr-CH"/>
        </w:rPr>
        <w:t>–</w:t>
      </w:r>
      <w:r w:rsidR="00DD3E3C" w:rsidRPr="00DE688B">
        <w:rPr>
          <w:lang w:val="fr-CH"/>
        </w:rPr>
        <w:t>3</w:t>
      </w:r>
      <w:r w:rsidR="00CB1FDD" w:rsidRPr="00DE688B">
        <w:rPr>
          <w:lang w:val="fr-CH"/>
        </w:rPr>
        <w:t>44</w:t>
      </w:r>
      <w:r w:rsidR="00DD3E3C" w:rsidRPr="00DE688B">
        <w:rPr>
          <w:lang w:val="fr-CH"/>
        </w:rPr>
        <w:tab/>
      </w:r>
      <w:r>
        <w:rPr>
          <w:lang w:val="fr-CH"/>
        </w:rPr>
        <w:t>3</w:t>
      </w:r>
    </w:p>
    <w:p w:rsidR="00761012" w:rsidRPr="00DE688B" w:rsidRDefault="00DE688B" w:rsidP="00DE688B">
      <w:pPr>
        <w:tabs>
          <w:tab w:val="right" w:pos="850"/>
          <w:tab w:val="left" w:pos="1134"/>
          <w:tab w:val="left" w:pos="1559"/>
          <w:tab w:val="left" w:pos="2552"/>
          <w:tab w:val="left" w:leader="dot" w:pos="7654"/>
          <w:tab w:val="right" w:pos="8929"/>
          <w:tab w:val="right" w:pos="9638"/>
        </w:tabs>
        <w:spacing w:after="120"/>
        <w:ind w:left="2302" w:hanging="2302"/>
        <w:rPr>
          <w:lang w:val="fr-CH"/>
        </w:rPr>
      </w:pPr>
      <w:r>
        <w:rPr>
          <w:lang w:val="fr-CH"/>
        </w:rPr>
        <w:tab/>
      </w:r>
      <w:r>
        <w:rPr>
          <w:lang w:val="fr-CH"/>
        </w:rPr>
        <w:tab/>
      </w:r>
      <w:r w:rsidR="00597DC4" w:rsidRPr="00DE688B">
        <w:rPr>
          <w:lang w:val="fr-CH"/>
        </w:rPr>
        <w:t>Article </w:t>
      </w:r>
      <w:r w:rsidR="00761012" w:rsidRPr="00DE688B">
        <w:rPr>
          <w:lang w:val="fr-CH"/>
        </w:rPr>
        <w:t>2</w:t>
      </w:r>
      <w:r w:rsidR="00473085" w:rsidRPr="00DE688B">
        <w:rPr>
          <w:lang w:val="fr-CH"/>
        </w:rPr>
        <w:t xml:space="preserve"> – </w:t>
      </w:r>
      <w:r w:rsidR="005A2AB2" w:rsidRPr="00DE688B">
        <w:rPr>
          <w:lang w:val="fr-CH"/>
        </w:rPr>
        <w:t>Réalisation progressive des droits</w:t>
      </w:r>
      <w:r w:rsidR="00761012" w:rsidRPr="00DE688B">
        <w:rPr>
          <w:lang w:val="fr-CH"/>
        </w:rPr>
        <w:tab/>
      </w:r>
      <w:r w:rsidR="00761012" w:rsidRPr="00DE688B">
        <w:rPr>
          <w:lang w:val="fr-CH"/>
        </w:rPr>
        <w:tab/>
      </w:r>
      <w:r w:rsidR="00415C61" w:rsidRPr="00DE688B">
        <w:rPr>
          <w:lang w:val="fr-CH"/>
        </w:rPr>
        <w:t>4</w:t>
      </w:r>
      <w:r w:rsidR="00684F14" w:rsidRPr="00DE688B">
        <w:rPr>
          <w:lang w:val="fr-CH"/>
        </w:rPr>
        <w:t>–</w:t>
      </w:r>
      <w:r w:rsidR="00415C61" w:rsidRPr="00DE688B">
        <w:rPr>
          <w:lang w:val="fr-CH"/>
        </w:rPr>
        <w:t>31</w:t>
      </w:r>
      <w:r w:rsidR="00761012" w:rsidRPr="00DE688B">
        <w:rPr>
          <w:lang w:val="fr-CH"/>
        </w:rPr>
        <w:tab/>
      </w:r>
      <w:r>
        <w:rPr>
          <w:lang w:val="fr-CH"/>
        </w:rPr>
        <w:t>3</w:t>
      </w:r>
    </w:p>
    <w:p w:rsidR="00415C61" w:rsidRPr="00DE688B" w:rsidRDefault="00DE688B" w:rsidP="00DE688B">
      <w:pPr>
        <w:tabs>
          <w:tab w:val="right" w:pos="850"/>
          <w:tab w:val="left" w:pos="1134"/>
          <w:tab w:val="left" w:pos="1559"/>
          <w:tab w:val="left" w:pos="2552"/>
          <w:tab w:val="left" w:leader="dot" w:pos="7654"/>
          <w:tab w:val="right" w:pos="8929"/>
          <w:tab w:val="right" w:pos="9638"/>
        </w:tabs>
        <w:spacing w:after="120"/>
        <w:ind w:left="2302" w:hanging="2302"/>
        <w:rPr>
          <w:lang w:val="fr-CH"/>
        </w:rPr>
      </w:pPr>
      <w:r>
        <w:rPr>
          <w:lang w:val="fr-CH"/>
        </w:rPr>
        <w:tab/>
      </w:r>
      <w:r>
        <w:rPr>
          <w:lang w:val="fr-CH"/>
        </w:rPr>
        <w:tab/>
      </w:r>
      <w:r w:rsidR="00597DC4" w:rsidRPr="00DE688B">
        <w:rPr>
          <w:lang w:val="fr-CH"/>
        </w:rPr>
        <w:t>Article </w:t>
      </w:r>
      <w:r w:rsidR="00415C61" w:rsidRPr="00DE688B">
        <w:rPr>
          <w:lang w:val="fr-CH"/>
        </w:rPr>
        <w:t>3</w:t>
      </w:r>
      <w:r w:rsidR="00473085" w:rsidRPr="00DE688B">
        <w:rPr>
          <w:lang w:val="fr-CH"/>
        </w:rPr>
        <w:t xml:space="preserve"> – Non-discrimination </w:t>
      </w:r>
      <w:r w:rsidR="005A2AB2" w:rsidRPr="00DE688B">
        <w:rPr>
          <w:lang w:val="fr-CH"/>
        </w:rPr>
        <w:t>et égalité</w:t>
      </w:r>
      <w:r w:rsidR="00415C61" w:rsidRPr="00DE688B">
        <w:rPr>
          <w:lang w:val="fr-CH"/>
        </w:rPr>
        <w:tab/>
      </w:r>
      <w:r w:rsidR="00415C61" w:rsidRPr="00DE688B">
        <w:rPr>
          <w:lang w:val="fr-CH"/>
        </w:rPr>
        <w:tab/>
        <w:t>32</w:t>
      </w:r>
      <w:r w:rsidR="00684F14" w:rsidRPr="00DE688B">
        <w:rPr>
          <w:lang w:val="fr-CH"/>
        </w:rPr>
        <w:t>–</w:t>
      </w:r>
      <w:r w:rsidR="00A72FCF" w:rsidRPr="00DE688B">
        <w:rPr>
          <w:lang w:val="fr-CH"/>
        </w:rPr>
        <w:t>3</w:t>
      </w:r>
      <w:r w:rsidR="00415C61" w:rsidRPr="00DE688B">
        <w:rPr>
          <w:lang w:val="fr-CH"/>
        </w:rPr>
        <w:t>5</w:t>
      </w:r>
      <w:r w:rsidR="00415C61" w:rsidRPr="00DE688B">
        <w:rPr>
          <w:lang w:val="fr-CH"/>
        </w:rPr>
        <w:tab/>
      </w:r>
      <w:r>
        <w:rPr>
          <w:lang w:val="fr-CH"/>
        </w:rPr>
        <w:t>9</w:t>
      </w:r>
    </w:p>
    <w:p w:rsidR="00A72FCF" w:rsidRPr="00DE688B" w:rsidRDefault="00DE688B" w:rsidP="00DE688B">
      <w:pPr>
        <w:tabs>
          <w:tab w:val="right" w:pos="850"/>
          <w:tab w:val="left" w:pos="1134"/>
          <w:tab w:val="left" w:pos="1559"/>
          <w:tab w:val="left" w:pos="2552"/>
          <w:tab w:val="left" w:leader="dot" w:pos="7654"/>
          <w:tab w:val="right" w:pos="8929"/>
          <w:tab w:val="right" w:pos="9638"/>
        </w:tabs>
        <w:spacing w:after="120"/>
        <w:ind w:left="2302" w:hanging="2302"/>
        <w:rPr>
          <w:lang w:val="fr-CH"/>
        </w:rPr>
      </w:pPr>
      <w:r>
        <w:rPr>
          <w:lang w:val="fr-CH"/>
        </w:rPr>
        <w:tab/>
      </w:r>
      <w:r>
        <w:rPr>
          <w:lang w:val="fr-CH"/>
        </w:rPr>
        <w:tab/>
      </w:r>
      <w:r w:rsidR="00597DC4" w:rsidRPr="00DE688B">
        <w:rPr>
          <w:lang w:val="fr-CH"/>
        </w:rPr>
        <w:t>Article </w:t>
      </w:r>
      <w:r w:rsidR="00A72FCF" w:rsidRPr="00DE688B">
        <w:rPr>
          <w:lang w:val="fr-CH"/>
        </w:rPr>
        <w:t>6</w:t>
      </w:r>
      <w:r w:rsidR="00473085" w:rsidRPr="00DE688B">
        <w:rPr>
          <w:lang w:val="fr-CH"/>
        </w:rPr>
        <w:t xml:space="preserve"> – </w:t>
      </w:r>
      <w:r w:rsidR="005A2AB2" w:rsidRPr="00DE688B">
        <w:rPr>
          <w:lang w:val="fr-CH"/>
        </w:rPr>
        <w:t>Droit au travail</w:t>
      </w:r>
      <w:r w:rsidR="00A72FCF" w:rsidRPr="00DE688B">
        <w:rPr>
          <w:lang w:val="fr-CH"/>
        </w:rPr>
        <w:tab/>
      </w:r>
      <w:r w:rsidR="00A72FCF" w:rsidRPr="00DE688B">
        <w:rPr>
          <w:lang w:val="fr-CH"/>
        </w:rPr>
        <w:tab/>
        <w:t>36</w:t>
      </w:r>
      <w:r w:rsidR="00684F14" w:rsidRPr="00DE688B">
        <w:rPr>
          <w:lang w:val="fr-CH"/>
        </w:rPr>
        <w:t>–</w:t>
      </w:r>
      <w:r w:rsidR="00A72FCF" w:rsidRPr="00DE688B">
        <w:rPr>
          <w:lang w:val="fr-CH"/>
        </w:rPr>
        <w:t>8</w:t>
      </w:r>
      <w:r w:rsidR="0053601C" w:rsidRPr="00DE688B">
        <w:rPr>
          <w:lang w:val="fr-CH"/>
        </w:rPr>
        <w:t>4</w:t>
      </w:r>
      <w:r w:rsidR="00A72FCF" w:rsidRPr="00DE688B">
        <w:rPr>
          <w:lang w:val="fr-CH"/>
        </w:rPr>
        <w:tab/>
      </w:r>
      <w:r>
        <w:rPr>
          <w:lang w:val="fr-CH"/>
        </w:rPr>
        <w:t>11</w:t>
      </w:r>
    </w:p>
    <w:p w:rsidR="00415C61" w:rsidRPr="00DE688B" w:rsidRDefault="00DE688B" w:rsidP="00DE688B">
      <w:pPr>
        <w:tabs>
          <w:tab w:val="right" w:pos="850"/>
          <w:tab w:val="left" w:pos="1134"/>
          <w:tab w:val="left" w:pos="1559"/>
          <w:tab w:val="left" w:pos="2552"/>
          <w:tab w:val="left" w:leader="dot" w:pos="7654"/>
          <w:tab w:val="right" w:pos="8929"/>
          <w:tab w:val="right" w:pos="9638"/>
        </w:tabs>
        <w:spacing w:after="120"/>
        <w:ind w:left="2302" w:hanging="2302"/>
        <w:rPr>
          <w:lang w:val="fr-CH"/>
        </w:rPr>
      </w:pPr>
      <w:r>
        <w:rPr>
          <w:lang w:val="fr-CH"/>
        </w:rPr>
        <w:tab/>
      </w:r>
      <w:r>
        <w:rPr>
          <w:lang w:val="fr-CH"/>
        </w:rPr>
        <w:tab/>
      </w:r>
      <w:r w:rsidR="00597DC4" w:rsidRPr="00DE688B">
        <w:rPr>
          <w:lang w:val="fr-CH"/>
        </w:rPr>
        <w:t>Article </w:t>
      </w:r>
      <w:r w:rsidR="00415C61" w:rsidRPr="00DE688B">
        <w:rPr>
          <w:lang w:val="fr-CH"/>
        </w:rPr>
        <w:t>7</w:t>
      </w:r>
      <w:r w:rsidR="00473085" w:rsidRPr="00DE688B">
        <w:rPr>
          <w:lang w:val="fr-CH"/>
        </w:rPr>
        <w:t xml:space="preserve"> – </w:t>
      </w:r>
      <w:r w:rsidR="005A2AB2" w:rsidRPr="00DE688B">
        <w:rPr>
          <w:lang w:val="fr-CH"/>
        </w:rPr>
        <w:t>Droit de jouir de conditions de travail justes et favorables</w:t>
      </w:r>
      <w:r w:rsidR="00415C61" w:rsidRPr="00DE688B">
        <w:rPr>
          <w:lang w:val="fr-CH"/>
        </w:rPr>
        <w:tab/>
      </w:r>
      <w:r w:rsidR="00415C61" w:rsidRPr="00DE688B">
        <w:rPr>
          <w:lang w:val="fr-CH"/>
        </w:rPr>
        <w:tab/>
        <w:t>8</w:t>
      </w:r>
      <w:r w:rsidR="0053601C" w:rsidRPr="00DE688B">
        <w:rPr>
          <w:lang w:val="fr-CH"/>
        </w:rPr>
        <w:t>5</w:t>
      </w:r>
      <w:r w:rsidR="00684F14" w:rsidRPr="00DE688B">
        <w:rPr>
          <w:lang w:val="fr-CH"/>
        </w:rPr>
        <w:t>–</w:t>
      </w:r>
      <w:r w:rsidR="00415C61" w:rsidRPr="00DE688B">
        <w:rPr>
          <w:lang w:val="fr-CH"/>
        </w:rPr>
        <w:t>9</w:t>
      </w:r>
      <w:r w:rsidR="0053601C" w:rsidRPr="00DE688B">
        <w:rPr>
          <w:lang w:val="fr-CH"/>
        </w:rPr>
        <w:t>6</w:t>
      </w:r>
      <w:r w:rsidR="00415C61" w:rsidRPr="00DE688B">
        <w:rPr>
          <w:lang w:val="fr-CH"/>
        </w:rPr>
        <w:tab/>
      </w:r>
      <w:r>
        <w:rPr>
          <w:lang w:val="fr-CH"/>
        </w:rPr>
        <w:t>19</w:t>
      </w:r>
    </w:p>
    <w:p w:rsidR="00415C61" w:rsidRPr="00DE688B" w:rsidRDefault="00DE688B" w:rsidP="00DE688B">
      <w:pPr>
        <w:tabs>
          <w:tab w:val="right" w:pos="850"/>
          <w:tab w:val="left" w:pos="1134"/>
          <w:tab w:val="left" w:pos="1559"/>
          <w:tab w:val="left" w:pos="2552"/>
          <w:tab w:val="left" w:leader="dot" w:pos="7654"/>
          <w:tab w:val="right" w:pos="8929"/>
          <w:tab w:val="right" w:pos="9638"/>
        </w:tabs>
        <w:spacing w:after="120"/>
        <w:ind w:left="2302" w:hanging="2302"/>
        <w:rPr>
          <w:lang w:val="fr-CH"/>
        </w:rPr>
      </w:pPr>
      <w:r>
        <w:rPr>
          <w:lang w:val="fr-CH"/>
        </w:rPr>
        <w:tab/>
      </w:r>
      <w:r>
        <w:rPr>
          <w:lang w:val="fr-CH"/>
        </w:rPr>
        <w:tab/>
      </w:r>
      <w:r w:rsidR="00597DC4" w:rsidRPr="00DE688B">
        <w:rPr>
          <w:lang w:val="fr-CH"/>
        </w:rPr>
        <w:t>Article </w:t>
      </w:r>
      <w:r w:rsidR="00415C61" w:rsidRPr="00DE688B">
        <w:rPr>
          <w:lang w:val="fr-CH"/>
        </w:rPr>
        <w:t>8</w:t>
      </w:r>
      <w:r w:rsidR="00473085" w:rsidRPr="00DE688B">
        <w:rPr>
          <w:lang w:val="fr-CH"/>
        </w:rPr>
        <w:t xml:space="preserve"> – </w:t>
      </w:r>
      <w:r w:rsidR="005A2AB2" w:rsidRPr="00DE688B">
        <w:rPr>
          <w:lang w:val="fr-CH"/>
        </w:rPr>
        <w:t>Droit de former des syndicats</w:t>
      </w:r>
      <w:r w:rsidR="003A2C23" w:rsidRPr="00DE688B">
        <w:rPr>
          <w:lang w:val="fr-CH"/>
        </w:rPr>
        <w:t xml:space="preserve"> et de s</w:t>
      </w:r>
      <w:r w:rsidR="0080611A" w:rsidRPr="00DE688B">
        <w:rPr>
          <w:lang w:val="fr-CH"/>
        </w:rPr>
        <w:t>’</w:t>
      </w:r>
      <w:r w:rsidR="003A2C23" w:rsidRPr="00DE688B">
        <w:rPr>
          <w:lang w:val="fr-CH"/>
        </w:rPr>
        <w:t>y affilier</w:t>
      </w:r>
      <w:r w:rsidR="00415C61" w:rsidRPr="00DE688B">
        <w:rPr>
          <w:lang w:val="fr-CH"/>
        </w:rPr>
        <w:tab/>
      </w:r>
      <w:r w:rsidR="00415C61" w:rsidRPr="00DE688B">
        <w:rPr>
          <w:lang w:val="fr-CH"/>
        </w:rPr>
        <w:tab/>
        <w:t>9</w:t>
      </w:r>
      <w:r w:rsidR="0053601C" w:rsidRPr="00DE688B">
        <w:rPr>
          <w:lang w:val="fr-CH"/>
        </w:rPr>
        <w:t>7</w:t>
      </w:r>
      <w:r w:rsidR="00684F14" w:rsidRPr="00DE688B">
        <w:rPr>
          <w:lang w:val="fr-CH"/>
        </w:rPr>
        <w:t>–</w:t>
      </w:r>
      <w:r w:rsidR="00415C61" w:rsidRPr="00DE688B">
        <w:rPr>
          <w:lang w:val="fr-CH"/>
        </w:rPr>
        <w:t>10</w:t>
      </w:r>
      <w:r w:rsidR="0053601C" w:rsidRPr="00DE688B">
        <w:rPr>
          <w:lang w:val="fr-CH"/>
        </w:rPr>
        <w:t>1</w:t>
      </w:r>
      <w:r w:rsidR="00415C61" w:rsidRPr="00DE688B">
        <w:rPr>
          <w:lang w:val="fr-CH"/>
        </w:rPr>
        <w:tab/>
      </w:r>
      <w:r>
        <w:rPr>
          <w:lang w:val="fr-CH"/>
        </w:rPr>
        <w:t>22</w:t>
      </w:r>
    </w:p>
    <w:p w:rsidR="00415C61" w:rsidRPr="00DE688B" w:rsidRDefault="00DE688B" w:rsidP="00DE688B">
      <w:pPr>
        <w:tabs>
          <w:tab w:val="right" w:pos="850"/>
          <w:tab w:val="left" w:pos="1134"/>
          <w:tab w:val="left" w:pos="1559"/>
          <w:tab w:val="left" w:pos="2552"/>
          <w:tab w:val="left" w:leader="dot" w:pos="7654"/>
          <w:tab w:val="right" w:pos="8929"/>
          <w:tab w:val="right" w:pos="9638"/>
        </w:tabs>
        <w:spacing w:after="120"/>
        <w:ind w:left="2302" w:hanging="2302"/>
        <w:rPr>
          <w:lang w:val="fr-CH"/>
        </w:rPr>
      </w:pPr>
      <w:r>
        <w:rPr>
          <w:lang w:val="fr-CH"/>
        </w:rPr>
        <w:tab/>
      </w:r>
      <w:r>
        <w:rPr>
          <w:lang w:val="fr-CH"/>
        </w:rPr>
        <w:tab/>
      </w:r>
      <w:r w:rsidR="00597DC4" w:rsidRPr="00DE688B">
        <w:rPr>
          <w:lang w:val="fr-CH"/>
        </w:rPr>
        <w:t>Article </w:t>
      </w:r>
      <w:r w:rsidR="00415C61" w:rsidRPr="00DE688B">
        <w:rPr>
          <w:lang w:val="fr-CH"/>
        </w:rPr>
        <w:t>9</w:t>
      </w:r>
      <w:r w:rsidR="00473085" w:rsidRPr="00DE688B">
        <w:rPr>
          <w:lang w:val="fr-CH"/>
        </w:rPr>
        <w:t xml:space="preserve"> – </w:t>
      </w:r>
      <w:r w:rsidR="003A2C23" w:rsidRPr="00DE688B">
        <w:rPr>
          <w:lang w:val="fr-CH"/>
        </w:rPr>
        <w:t>Droit à la sécurité sociale</w:t>
      </w:r>
      <w:r w:rsidR="00415C61" w:rsidRPr="00DE688B">
        <w:rPr>
          <w:lang w:val="fr-CH"/>
        </w:rPr>
        <w:tab/>
      </w:r>
      <w:r w:rsidR="00415C61" w:rsidRPr="00DE688B">
        <w:rPr>
          <w:lang w:val="fr-CH"/>
        </w:rPr>
        <w:tab/>
        <w:t>10</w:t>
      </w:r>
      <w:r w:rsidR="0053601C" w:rsidRPr="00DE688B">
        <w:rPr>
          <w:lang w:val="fr-CH"/>
        </w:rPr>
        <w:t>2</w:t>
      </w:r>
      <w:r w:rsidR="00684F14" w:rsidRPr="00DE688B">
        <w:rPr>
          <w:lang w:val="fr-CH"/>
        </w:rPr>
        <w:t>–</w:t>
      </w:r>
      <w:r w:rsidR="00415C61" w:rsidRPr="00DE688B">
        <w:rPr>
          <w:lang w:val="fr-CH"/>
        </w:rPr>
        <w:t>11</w:t>
      </w:r>
      <w:r w:rsidR="0053601C" w:rsidRPr="00DE688B">
        <w:rPr>
          <w:lang w:val="fr-CH"/>
        </w:rPr>
        <w:t>1</w:t>
      </w:r>
      <w:r w:rsidR="00415C61" w:rsidRPr="00DE688B">
        <w:rPr>
          <w:lang w:val="fr-CH"/>
        </w:rPr>
        <w:tab/>
      </w:r>
      <w:r>
        <w:rPr>
          <w:lang w:val="fr-CH"/>
        </w:rPr>
        <w:t>23</w:t>
      </w:r>
    </w:p>
    <w:p w:rsidR="00415C61" w:rsidRPr="00DE688B" w:rsidRDefault="00DE688B" w:rsidP="00DE688B">
      <w:pPr>
        <w:tabs>
          <w:tab w:val="right" w:pos="850"/>
          <w:tab w:val="left" w:pos="1134"/>
          <w:tab w:val="left" w:pos="1559"/>
          <w:tab w:val="left" w:pos="2552"/>
          <w:tab w:val="left" w:leader="dot" w:pos="7654"/>
          <w:tab w:val="right" w:pos="8929"/>
          <w:tab w:val="right" w:pos="9638"/>
        </w:tabs>
        <w:spacing w:after="120"/>
        <w:ind w:left="2302" w:hanging="2302"/>
        <w:rPr>
          <w:lang w:val="fr-CH"/>
        </w:rPr>
      </w:pPr>
      <w:r>
        <w:rPr>
          <w:lang w:val="fr-CH"/>
        </w:rPr>
        <w:tab/>
      </w:r>
      <w:r>
        <w:rPr>
          <w:lang w:val="fr-CH"/>
        </w:rPr>
        <w:tab/>
      </w:r>
      <w:r w:rsidR="00597DC4" w:rsidRPr="00DE688B">
        <w:rPr>
          <w:lang w:val="fr-CH"/>
        </w:rPr>
        <w:t>Article </w:t>
      </w:r>
      <w:r w:rsidR="00415C61" w:rsidRPr="00DE688B">
        <w:rPr>
          <w:lang w:val="fr-CH"/>
        </w:rPr>
        <w:t>10</w:t>
      </w:r>
      <w:r w:rsidR="00473085" w:rsidRPr="00DE688B">
        <w:rPr>
          <w:lang w:val="fr-CH"/>
        </w:rPr>
        <w:t xml:space="preserve"> – </w:t>
      </w:r>
      <w:r w:rsidR="003A2C23" w:rsidRPr="00DE688B">
        <w:rPr>
          <w:lang w:val="fr-CH"/>
        </w:rPr>
        <w:t>Protection de la famille</w:t>
      </w:r>
      <w:r w:rsidR="00415C61" w:rsidRPr="00DE688B">
        <w:rPr>
          <w:lang w:val="fr-CH"/>
        </w:rPr>
        <w:tab/>
      </w:r>
      <w:r w:rsidR="00415C61" w:rsidRPr="00DE688B">
        <w:rPr>
          <w:lang w:val="fr-CH"/>
        </w:rPr>
        <w:tab/>
        <w:t>11</w:t>
      </w:r>
      <w:r w:rsidR="0053601C" w:rsidRPr="00DE688B">
        <w:rPr>
          <w:lang w:val="fr-CH"/>
        </w:rPr>
        <w:t>2</w:t>
      </w:r>
      <w:r w:rsidR="00684F14" w:rsidRPr="00DE688B">
        <w:rPr>
          <w:lang w:val="fr-CH"/>
        </w:rPr>
        <w:t>–</w:t>
      </w:r>
      <w:r w:rsidR="00415C61" w:rsidRPr="00DE688B">
        <w:rPr>
          <w:lang w:val="fr-CH"/>
        </w:rPr>
        <w:t>16</w:t>
      </w:r>
      <w:r w:rsidR="00073A6B" w:rsidRPr="00DE688B">
        <w:rPr>
          <w:lang w:val="fr-CH"/>
        </w:rPr>
        <w:t>6</w:t>
      </w:r>
      <w:r w:rsidR="00415C61" w:rsidRPr="00DE688B">
        <w:rPr>
          <w:lang w:val="fr-CH"/>
        </w:rPr>
        <w:tab/>
      </w:r>
      <w:r>
        <w:rPr>
          <w:lang w:val="fr-CH"/>
        </w:rPr>
        <w:t>25</w:t>
      </w:r>
    </w:p>
    <w:p w:rsidR="00415C61" w:rsidRPr="00DE688B" w:rsidRDefault="00DE688B" w:rsidP="00DE688B">
      <w:pPr>
        <w:tabs>
          <w:tab w:val="right" w:pos="850"/>
          <w:tab w:val="left" w:pos="1134"/>
          <w:tab w:val="left" w:pos="1559"/>
          <w:tab w:val="left" w:pos="2552"/>
          <w:tab w:val="left" w:leader="dot" w:pos="7654"/>
          <w:tab w:val="right" w:pos="8929"/>
          <w:tab w:val="right" w:pos="9638"/>
        </w:tabs>
        <w:spacing w:after="120"/>
        <w:ind w:left="2302" w:hanging="2302"/>
        <w:rPr>
          <w:lang w:val="fr-CH"/>
        </w:rPr>
      </w:pPr>
      <w:r>
        <w:rPr>
          <w:lang w:val="fr-CH"/>
        </w:rPr>
        <w:tab/>
      </w:r>
      <w:r>
        <w:rPr>
          <w:lang w:val="fr-CH"/>
        </w:rPr>
        <w:tab/>
      </w:r>
      <w:r w:rsidR="00597DC4" w:rsidRPr="00DE688B">
        <w:rPr>
          <w:lang w:val="fr-CH"/>
        </w:rPr>
        <w:t>Article </w:t>
      </w:r>
      <w:r w:rsidR="00415C61" w:rsidRPr="00DE688B">
        <w:rPr>
          <w:lang w:val="fr-CH"/>
        </w:rPr>
        <w:t>11</w:t>
      </w:r>
      <w:r w:rsidR="00473085" w:rsidRPr="00DE688B">
        <w:rPr>
          <w:lang w:val="fr-CH"/>
        </w:rPr>
        <w:t xml:space="preserve"> – </w:t>
      </w:r>
      <w:r w:rsidR="003A2C23" w:rsidRPr="00DE688B">
        <w:rPr>
          <w:lang w:val="fr-CH"/>
        </w:rPr>
        <w:t>Droit à un logement suffisant</w:t>
      </w:r>
      <w:r w:rsidR="00415C61" w:rsidRPr="00DE688B">
        <w:rPr>
          <w:lang w:val="fr-CH"/>
        </w:rPr>
        <w:tab/>
      </w:r>
      <w:r w:rsidR="00415C61" w:rsidRPr="00DE688B">
        <w:rPr>
          <w:lang w:val="fr-CH"/>
        </w:rPr>
        <w:tab/>
        <w:t>16</w:t>
      </w:r>
      <w:r w:rsidR="00073A6B" w:rsidRPr="00DE688B">
        <w:rPr>
          <w:lang w:val="fr-CH"/>
        </w:rPr>
        <w:t>7</w:t>
      </w:r>
      <w:r w:rsidR="00684F14" w:rsidRPr="00DE688B">
        <w:rPr>
          <w:lang w:val="fr-CH"/>
        </w:rPr>
        <w:t>–</w:t>
      </w:r>
      <w:r w:rsidR="00415C61" w:rsidRPr="00DE688B">
        <w:rPr>
          <w:lang w:val="fr-CH"/>
        </w:rPr>
        <w:t>2</w:t>
      </w:r>
      <w:r w:rsidR="00073A6B" w:rsidRPr="00DE688B">
        <w:rPr>
          <w:lang w:val="fr-CH"/>
        </w:rPr>
        <w:t>45</w:t>
      </w:r>
      <w:r w:rsidR="00415C61" w:rsidRPr="00DE688B">
        <w:rPr>
          <w:lang w:val="fr-CH"/>
        </w:rPr>
        <w:tab/>
      </w:r>
      <w:r>
        <w:rPr>
          <w:lang w:val="fr-CH"/>
        </w:rPr>
        <w:t>33</w:t>
      </w:r>
    </w:p>
    <w:p w:rsidR="00415C61" w:rsidRPr="00DE688B" w:rsidRDefault="00DE688B" w:rsidP="00DE688B">
      <w:pPr>
        <w:tabs>
          <w:tab w:val="right" w:pos="850"/>
          <w:tab w:val="left" w:pos="1134"/>
          <w:tab w:val="left" w:pos="1559"/>
          <w:tab w:val="left" w:pos="2552"/>
          <w:tab w:val="left" w:leader="dot" w:pos="7654"/>
          <w:tab w:val="right" w:pos="8929"/>
          <w:tab w:val="right" w:pos="9638"/>
        </w:tabs>
        <w:spacing w:after="120"/>
        <w:ind w:left="2302" w:hanging="2302"/>
        <w:rPr>
          <w:lang w:val="fr-CH"/>
        </w:rPr>
      </w:pPr>
      <w:r>
        <w:rPr>
          <w:lang w:val="fr-CH"/>
        </w:rPr>
        <w:tab/>
      </w:r>
      <w:r>
        <w:rPr>
          <w:lang w:val="fr-CH"/>
        </w:rPr>
        <w:tab/>
      </w:r>
      <w:r w:rsidR="00597DC4" w:rsidRPr="00DE688B">
        <w:rPr>
          <w:lang w:val="fr-CH"/>
        </w:rPr>
        <w:t>Article </w:t>
      </w:r>
      <w:r w:rsidR="00415C61" w:rsidRPr="00DE688B">
        <w:rPr>
          <w:lang w:val="fr-CH"/>
        </w:rPr>
        <w:t>12</w:t>
      </w:r>
      <w:r w:rsidR="00473085" w:rsidRPr="00DE688B">
        <w:rPr>
          <w:lang w:val="fr-CH"/>
        </w:rPr>
        <w:t xml:space="preserve"> – </w:t>
      </w:r>
      <w:r w:rsidR="003A2C23" w:rsidRPr="00DE688B">
        <w:rPr>
          <w:lang w:val="fr-CH"/>
        </w:rPr>
        <w:t>Droit à la santé</w:t>
      </w:r>
      <w:r w:rsidR="00415C61" w:rsidRPr="00DE688B">
        <w:rPr>
          <w:lang w:val="fr-CH"/>
        </w:rPr>
        <w:tab/>
      </w:r>
      <w:r w:rsidR="00415C61" w:rsidRPr="00DE688B">
        <w:rPr>
          <w:lang w:val="fr-CH"/>
        </w:rPr>
        <w:tab/>
      </w:r>
      <w:r w:rsidR="00C2070C" w:rsidRPr="00DE688B">
        <w:rPr>
          <w:lang w:val="fr-CH"/>
        </w:rPr>
        <w:t>246</w:t>
      </w:r>
      <w:r w:rsidR="00684F14" w:rsidRPr="00DE688B">
        <w:rPr>
          <w:lang w:val="fr-CH"/>
        </w:rPr>
        <w:t>–</w:t>
      </w:r>
      <w:r w:rsidR="00C2070C" w:rsidRPr="00DE688B">
        <w:rPr>
          <w:lang w:val="fr-CH"/>
        </w:rPr>
        <w:t>294</w:t>
      </w:r>
      <w:r w:rsidR="00415C61" w:rsidRPr="00DE688B">
        <w:rPr>
          <w:lang w:val="fr-CH"/>
        </w:rPr>
        <w:tab/>
      </w:r>
      <w:r w:rsidR="00CC63AA">
        <w:rPr>
          <w:lang w:val="fr-CH"/>
        </w:rPr>
        <w:t>48</w:t>
      </w:r>
    </w:p>
    <w:p w:rsidR="00415C61" w:rsidRPr="00DE688B" w:rsidRDefault="00DE688B" w:rsidP="00DE688B">
      <w:pPr>
        <w:tabs>
          <w:tab w:val="right" w:pos="850"/>
          <w:tab w:val="left" w:pos="1134"/>
          <w:tab w:val="left" w:pos="1559"/>
          <w:tab w:val="left" w:pos="2552"/>
          <w:tab w:val="left" w:leader="dot" w:pos="7654"/>
          <w:tab w:val="right" w:pos="8929"/>
          <w:tab w:val="right" w:pos="9638"/>
        </w:tabs>
        <w:spacing w:after="120"/>
        <w:ind w:left="2302" w:hanging="2302"/>
        <w:rPr>
          <w:lang w:val="fr-CH"/>
        </w:rPr>
      </w:pPr>
      <w:r>
        <w:rPr>
          <w:lang w:val="fr-CH"/>
        </w:rPr>
        <w:tab/>
      </w:r>
      <w:r>
        <w:rPr>
          <w:lang w:val="fr-CH"/>
        </w:rPr>
        <w:tab/>
      </w:r>
      <w:r w:rsidR="00143356" w:rsidRPr="00DE688B">
        <w:rPr>
          <w:lang w:val="fr-CH"/>
        </w:rPr>
        <w:t>Articles </w:t>
      </w:r>
      <w:r w:rsidR="00415C61" w:rsidRPr="00DE688B">
        <w:rPr>
          <w:lang w:val="fr-CH"/>
        </w:rPr>
        <w:t xml:space="preserve">13 </w:t>
      </w:r>
      <w:r w:rsidR="003A2C23" w:rsidRPr="00DE688B">
        <w:rPr>
          <w:lang w:val="fr-CH"/>
        </w:rPr>
        <w:t>et</w:t>
      </w:r>
      <w:r w:rsidR="00415C61" w:rsidRPr="00DE688B">
        <w:rPr>
          <w:lang w:val="fr-CH"/>
        </w:rPr>
        <w:t xml:space="preserve"> 14</w:t>
      </w:r>
      <w:r w:rsidR="00473085" w:rsidRPr="00DE688B">
        <w:rPr>
          <w:lang w:val="fr-CH"/>
        </w:rPr>
        <w:t xml:space="preserve"> – </w:t>
      </w:r>
      <w:r w:rsidR="003A2C23" w:rsidRPr="00DE688B">
        <w:rPr>
          <w:lang w:val="fr-CH"/>
        </w:rPr>
        <w:t>Droit à l</w:t>
      </w:r>
      <w:r w:rsidR="0080611A" w:rsidRPr="00DE688B">
        <w:rPr>
          <w:lang w:val="fr-CH"/>
        </w:rPr>
        <w:t>’</w:t>
      </w:r>
      <w:r w:rsidR="003A2C23" w:rsidRPr="00DE688B">
        <w:rPr>
          <w:lang w:val="fr-CH"/>
        </w:rPr>
        <w:t>éducation</w:t>
      </w:r>
      <w:r w:rsidR="00415C61" w:rsidRPr="00DE688B">
        <w:rPr>
          <w:lang w:val="fr-CH"/>
        </w:rPr>
        <w:tab/>
      </w:r>
      <w:r w:rsidR="00415C61" w:rsidRPr="00DE688B">
        <w:rPr>
          <w:lang w:val="fr-CH"/>
        </w:rPr>
        <w:tab/>
      </w:r>
      <w:r w:rsidR="00C2070C" w:rsidRPr="00DE688B">
        <w:rPr>
          <w:lang w:val="fr-CH"/>
        </w:rPr>
        <w:t>295</w:t>
      </w:r>
      <w:r w:rsidR="00684F14" w:rsidRPr="00DE688B">
        <w:rPr>
          <w:lang w:val="fr-CH"/>
        </w:rPr>
        <w:t>–</w:t>
      </w:r>
      <w:r w:rsidR="00415C61" w:rsidRPr="00DE688B">
        <w:rPr>
          <w:lang w:val="fr-CH"/>
        </w:rPr>
        <w:t>3</w:t>
      </w:r>
      <w:r w:rsidR="00C2070C" w:rsidRPr="00DE688B">
        <w:rPr>
          <w:lang w:val="fr-CH"/>
        </w:rPr>
        <w:t>16</w:t>
      </w:r>
      <w:r w:rsidR="00415C61" w:rsidRPr="00DE688B">
        <w:rPr>
          <w:lang w:val="fr-CH"/>
        </w:rPr>
        <w:tab/>
      </w:r>
      <w:r w:rsidR="00CC63AA">
        <w:rPr>
          <w:lang w:val="fr-CH"/>
        </w:rPr>
        <w:t>56</w:t>
      </w:r>
    </w:p>
    <w:p w:rsidR="00415C61" w:rsidRPr="00DE688B" w:rsidRDefault="00DE688B" w:rsidP="00DE688B">
      <w:pPr>
        <w:tabs>
          <w:tab w:val="right" w:pos="850"/>
          <w:tab w:val="left" w:pos="1134"/>
          <w:tab w:val="left" w:pos="1559"/>
          <w:tab w:val="left" w:pos="2552"/>
          <w:tab w:val="left" w:leader="dot" w:pos="7654"/>
          <w:tab w:val="right" w:pos="8929"/>
          <w:tab w:val="right" w:pos="9638"/>
        </w:tabs>
        <w:spacing w:after="120"/>
        <w:ind w:left="2302" w:hanging="2302"/>
        <w:rPr>
          <w:lang w:val="fr-CH"/>
        </w:rPr>
      </w:pPr>
      <w:r>
        <w:rPr>
          <w:lang w:val="fr-CH"/>
        </w:rPr>
        <w:tab/>
      </w:r>
      <w:r>
        <w:rPr>
          <w:lang w:val="fr-CH"/>
        </w:rPr>
        <w:tab/>
      </w:r>
      <w:r w:rsidR="00597DC4" w:rsidRPr="00DE688B">
        <w:rPr>
          <w:lang w:val="fr-CH"/>
        </w:rPr>
        <w:t>Article </w:t>
      </w:r>
      <w:r w:rsidR="00415C61" w:rsidRPr="00DE688B">
        <w:rPr>
          <w:lang w:val="fr-CH"/>
        </w:rPr>
        <w:t>15</w:t>
      </w:r>
      <w:r w:rsidR="00473085" w:rsidRPr="00DE688B">
        <w:rPr>
          <w:lang w:val="fr-CH"/>
        </w:rPr>
        <w:t xml:space="preserve"> – </w:t>
      </w:r>
      <w:r w:rsidR="003A2C23" w:rsidRPr="00DE688B">
        <w:rPr>
          <w:lang w:val="fr-CH"/>
        </w:rPr>
        <w:t>Droit de participer à la vie culturelle</w:t>
      </w:r>
      <w:r w:rsidR="00415C61" w:rsidRPr="00DE688B">
        <w:rPr>
          <w:lang w:val="fr-CH"/>
        </w:rPr>
        <w:tab/>
      </w:r>
      <w:r w:rsidR="00415C61" w:rsidRPr="00DE688B">
        <w:rPr>
          <w:lang w:val="fr-CH"/>
        </w:rPr>
        <w:tab/>
      </w:r>
      <w:r w:rsidR="00047D7A" w:rsidRPr="00DE688B">
        <w:rPr>
          <w:lang w:val="fr-CH"/>
        </w:rPr>
        <w:t>3</w:t>
      </w:r>
      <w:r w:rsidR="00C2070C" w:rsidRPr="00DE688B">
        <w:rPr>
          <w:lang w:val="fr-CH"/>
        </w:rPr>
        <w:t>17</w:t>
      </w:r>
      <w:r w:rsidR="00684F14" w:rsidRPr="00DE688B">
        <w:rPr>
          <w:lang w:val="fr-CH"/>
        </w:rPr>
        <w:t>–</w:t>
      </w:r>
      <w:r w:rsidR="00047D7A" w:rsidRPr="00DE688B">
        <w:rPr>
          <w:lang w:val="fr-CH"/>
        </w:rPr>
        <w:t>3</w:t>
      </w:r>
      <w:r w:rsidR="00C2070C" w:rsidRPr="00DE688B">
        <w:rPr>
          <w:lang w:val="fr-CH"/>
        </w:rPr>
        <w:t>44</w:t>
      </w:r>
      <w:r w:rsidR="00047D7A" w:rsidRPr="00DE688B">
        <w:rPr>
          <w:lang w:val="fr-CH"/>
        </w:rPr>
        <w:tab/>
      </w:r>
      <w:r w:rsidR="00CC63AA">
        <w:rPr>
          <w:lang w:val="fr-CH"/>
        </w:rPr>
        <w:t>59</w:t>
      </w:r>
    </w:p>
    <w:p w:rsidR="008F45C1" w:rsidRPr="00DE688B" w:rsidRDefault="00DE688B" w:rsidP="00DE688B">
      <w:pPr>
        <w:pStyle w:val="H56G"/>
        <w:keepNext w:val="0"/>
        <w:keepLines w:val="0"/>
        <w:rPr>
          <w:lang w:eastAsia="es-ES"/>
        </w:rPr>
      </w:pPr>
      <w:r>
        <w:rPr>
          <w:lang w:eastAsia="es-ES"/>
        </w:rPr>
        <w:tab/>
      </w:r>
      <w:r w:rsidR="008F45C1" w:rsidRPr="00DE688B">
        <w:rPr>
          <w:lang w:eastAsia="es-ES"/>
        </w:rPr>
        <w:t>Annexes</w:t>
      </w:r>
      <w:r w:rsidR="008F45C1" w:rsidRPr="00DE688B">
        <w:rPr>
          <w:lang w:eastAsia="es-ES"/>
        </w:rPr>
        <w:footnoteReference w:customMarkFollows="1" w:id="3"/>
        <w:t>**</w:t>
      </w:r>
    </w:p>
    <w:p w:rsidR="00FB23D3" w:rsidRPr="00B3274C" w:rsidRDefault="00761012" w:rsidP="00A0021C">
      <w:pPr>
        <w:pStyle w:val="HChG"/>
        <w:keepNext w:val="0"/>
        <w:keepLines w:val="0"/>
        <w:rPr>
          <w:lang w:val="fr-CA"/>
        </w:rPr>
      </w:pPr>
      <w:r w:rsidRPr="00B3274C">
        <w:rPr>
          <w:lang w:val="fr-CA"/>
        </w:rPr>
        <w:br w:type="page"/>
      </w:r>
      <w:r w:rsidR="00FB23D3" w:rsidRPr="00B3274C">
        <w:rPr>
          <w:lang w:val="fr-CA"/>
        </w:rPr>
        <w:tab/>
      </w:r>
      <w:r w:rsidR="00BC6085" w:rsidRPr="00B3274C">
        <w:rPr>
          <w:lang w:val="fr-CA"/>
        </w:rPr>
        <w:t>I.</w:t>
      </w:r>
      <w:r w:rsidR="00FB23D3" w:rsidRPr="00B3274C">
        <w:rPr>
          <w:lang w:val="fr-CA"/>
        </w:rPr>
        <w:tab/>
        <w:t>Introduction</w:t>
      </w:r>
    </w:p>
    <w:p w:rsidR="00FB23D3" w:rsidRPr="00B3274C" w:rsidRDefault="00107A47" w:rsidP="00107A47">
      <w:pPr>
        <w:pStyle w:val="SingleTxtG"/>
        <w:rPr>
          <w:lang w:val="fr-CA"/>
        </w:rPr>
      </w:pPr>
      <w:r w:rsidRPr="00B3274C">
        <w:rPr>
          <w:lang w:val="fr-CA"/>
        </w:rPr>
        <w:t>1.</w:t>
      </w:r>
      <w:r w:rsidRPr="00B3274C">
        <w:rPr>
          <w:lang w:val="fr-CA"/>
        </w:rPr>
        <w:tab/>
      </w:r>
      <w:r w:rsidR="00C6675A" w:rsidRPr="00B3274C">
        <w:rPr>
          <w:lang w:val="fr-CA"/>
        </w:rPr>
        <w:t>Le présent rapport périodique porte principalement sur les observations finales adoptées par le Comité des droits économiques</w:t>
      </w:r>
      <w:r w:rsidR="0080611A">
        <w:rPr>
          <w:lang w:val="fr-CA"/>
        </w:rPr>
        <w:t>,</w:t>
      </w:r>
      <w:r w:rsidR="00C6675A" w:rsidRPr="00B3274C">
        <w:rPr>
          <w:lang w:val="fr-CA"/>
        </w:rPr>
        <w:t xml:space="preserve"> sociaux et culturels le 14 mai 2004 et publiées le 7 juin 2004 </w:t>
      </w:r>
      <w:r w:rsidR="00FB23D3" w:rsidRPr="00B3274C">
        <w:rPr>
          <w:lang w:val="fr-CA"/>
        </w:rPr>
        <w:t>(</w:t>
      </w:r>
      <w:fldSimple w:instr=" FILLIN &quot;Symbol&quot; \* MERGEFORMAT ">
        <w:r w:rsidR="00FB23D3" w:rsidRPr="00B3274C">
          <w:rPr>
            <w:lang w:val="fr-CA"/>
          </w:rPr>
          <w:t>E/C.12/1/Add.97</w:t>
        </w:r>
      </w:fldSimple>
      <w:r w:rsidR="00FB23D3" w:rsidRPr="00B3274C">
        <w:rPr>
          <w:lang w:val="fr-CA"/>
        </w:rPr>
        <w:t xml:space="preserve">) </w:t>
      </w:r>
      <w:r w:rsidR="00C6675A" w:rsidRPr="00B3274C">
        <w:rPr>
          <w:lang w:val="fr-CA"/>
        </w:rPr>
        <w:t xml:space="preserve">et passe en revue un vaste ensemble de faits nouveaux </w:t>
      </w:r>
      <w:r w:rsidR="00D1607A" w:rsidRPr="00B3274C">
        <w:rPr>
          <w:lang w:val="fr-CA"/>
        </w:rPr>
        <w:t xml:space="preserve">supplémentaires </w:t>
      </w:r>
      <w:r w:rsidR="00C6675A" w:rsidRPr="00B3274C">
        <w:rPr>
          <w:lang w:val="fr-CA"/>
        </w:rPr>
        <w:t>intervenus dans le domaine des droits économiques</w:t>
      </w:r>
      <w:r w:rsidR="0080611A">
        <w:rPr>
          <w:lang w:val="fr-CA"/>
        </w:rPr>
        <w:t>,</w:t>
      </w:r>
      <w:r w:rsidR="00C6675A" w:rsidRPr="00B3274C">
        <w:rPr>
          <w:lang w:val="fr-CA"/>
        </w:rPr>
        <w:t xml:space="preserve"> sociaux et culturels </w:t>
      </w:r>
      <w:r w:rsidR="002F0D9D" w:rsidRPr="00B3274C">
        <w:rPr>
          <w:lang w:val="fr-CA"/>
        </w:rPr>
        <w:t>ces</w:t>
      </w:r>
      <w:r w:rsidR="00C6675A" w:rsidRPr="00B3274C">
        <w:rPr>
          <w:lang w:val="fr-CA"/>
        </w:rPr>
        <w:t xml:space="preserve"> dernières années. Il convient de rappeler que le Gouvernement grec a </w:t>
      </w:r>
      <w:r w:rsidR="0080201B" w:rsidRPr="00B3274C">
        <w:rPr>
          <w:lang w:val="fr-CA"/>
        </w:rPr>
        <w:t>communiqué</w:t>
      </w:r>
      <w:r w:rsidR="0080611A">
        <w:rPr>
          <w:lang w:val="fr-CA"/>
        </w:rPr>
        <w:t>,</w:t>
      </w:r>
      <w:r w:rsidR="00C6675A" w:rsidRPr="00B3274C">
        <w:rPr>
          <w:lang w:val="fr-CA"/>
        </w:rPr>
        <w:t xml:space="preserve"> le 21 juillet 2004</w:t>
      </w:r>
      <w:r w:rsidR="0080611A">
        <w:rPr>
          <w:lang w:val="fr-CA"/>
        </w:rPr>
        <w:t>,</w:t>
      </w:r>
      <w:r w:rsidR="00C6675A" w:rsidRPr="00B3274C">
        <w:rPr>
          <w:lang w:val="fr-CA"/>
        </w:rPr>
        <w:t xml:space="preserve"> un certain nombre de commentaires sur les observations finales susmentionnées</w:t>
      </w:r>
      <w:r w:rsidR="0080611A">
        <w:rPr>
          <w:lang w:val="fr-CA"/>
        </w:rPr>
        <w:t>,</w:t>
      </w:r>
      <w:r w:rsidR="00C6675A" w:rsidRPr="00B3274C">
        <w:rPr>
          <w:lang w:val="fr-CA"/>
        </w:rPr>
        <w:t xml:space="preserve"> dont certains étaient de caractère général et d</w:t>
      </w:r>
      <w:r w:rsidR="0080611A">
        <w:rPr>
          <w:lang w:val="fr-CA"/>
        </w:rPr>
        <w:t>’</w:t>
      </w:r>
      <w:r w:rsidR="00C6675A" w:rsidRPr="00B3274C">
        <w:rPr>
          <w:lang w:val="fr-CA"/>
        </w:rPr>
        <w:t xml:space="preserve">autres concernaient des </w:t>
      </w:r>
      <w:r w:rsidR="007C5218">
        <w:rPr>
          <w:lang w:val="fr-CA"/>
        </w:rPr>
        <w:t>paragraphes</w:t>
      </w:r>
      <w:r w:rsidR="00A0021C">
        <w:rPr>
          <w:lang w:val="fr-CA"/>
        </w:rPr>
        <w:t xml:space="preserve"> </w:t>
      </w:r>
      <w:r w:rsidR="00C6675A" w:rsidRPr="00B3274C">
        <w:rPr>
          <w:lang w:val="fr-CA"/>
        </w:rPr>
        <w:t xml:space="preserve">particuliers desdites observations </w:t>
      </w:r>
      <w:r w:rsidR="00FB23D3" w:rsidRPr="00B3274C">
        <w:rPr>
          <w:lang w:val="fr-CA"/>
        </w:rPr>
        <w:t>(</w:t>
      </w:r>
      <w:fldSimple w:instr=" FILLIN &quot;Symbol&quot; \* MERGEFORMAT ">
        <w:r w:rsidR="00FB23D3" w:rsidRPr="00B3274C">
          <w:rPr>
            <w:lang w:val="fr-CA"/>
          </w:rPr>
          <w:t>E/C.12/2004/</w:t>
        </w:r>
      </w:fldSimple>
      <w:r w:rsidR="00FB23D3" w:rsidRPr="00B3274C">
        <w:rPr>
          <w:lang w:val="fr-CA"/>
        </w:rPr>
        <w:t xml:space="preserve">8). </w:t>
      </w:r>
    </w:p>
    <w:p w:rsidR="00FB23D3" w:rsidRPr="00B3274C" w:rsidRDefault="00107A47" w:rsidP="00107A47">
      <w:pPr>
        <w:pStyle w:val="SingleTxtG"/>
        <w:rPr>
          <w:lang w:val="fr-CA"/>
        </w:rPr>
      </w:pPr>
      <w:r w:rsidRPr="00B3274C">
        <w:rPr>
          <w:lang w:val="fr-CA"/>
        </w:rPr>
        <w:t>2.</w:t>
      </w:r>
      <w:r w:rsidRPr="00B3274C">
        <w:rPr>
          <w:lang w:val="fr-CA"/>
        </w:rPr>
        <w:tab/>
      </w:r>
      <w:r w:rsidR="002F654B" w:rsidRPr="00B3274C">
        <w:rPr>
          <w:lang w:val="fr-CA"/>
        </w:rPr>
        <w:t>La rédaction du rapport a été coordonnée par le Ministère des affaires étrangères</w:t>
      </w:r>
      <w:r w:rsidR="0080611A">
        <w:rPr>
          <w:lang w:val="fr-CA"/>
        </w:rPr>
        <w:t>,</w:t>
      </w:r>
      <w:r w:rsidR="002F654B" w:rsidRPr="00B3274C">
        <w:rPr>
          <w:lang w:val="fr-CA"/>
        </w:rPr>
        <w:t xml:space="preserve"> en étroite coopération avec tous les ministères concernés par la promotion et la protection des droits économiques</w:t>
      </w:r>
      <w:r w:rsidR="0080611A">
        <w:rPr>
          <w:lang w:val="fr-CA"/>
        </w:rPr>
        <w:t>,</w:t>
      </w:r>
      <w:r w:rsidR="002F654B" w:rsidRPr="00B3274C">
        <w:rPr>
          <w:lang w:val="fr-CA"/>
        </w:rPr>
        <w:t xml:space="preserve"> sociaux et culturels. Le projet de rapport a été soumis à la Commission nationale des droits de l</w:t>
      </w:r>
      <w:r w:rsidR="0080611A">
        <w:rPr>
          <w:lang w:val="fr-CA"/>
        </w:rPr>
        <w:t>’</w:t>
      </w:r>
      <w:r w:rsidR="002F654B" w:rsidRPr="00B3274C">
        <w:rPr>
          <w:lang w:val="fr-CA"/>
        </w:rPr>
        <w:t>homme</w:t>
      </w:r>
      <w:r w:rsidR="0080611A">
        <w:rPr>
          <w:lang w:val="fr-CA"/>
        </w:rPr>
        <w:t>,</w:t>
      </w:r>
      <w:r w:rsidR="002F654B" w:rsidRPr="00B3274C">
        <w:rPr>
          <w:lang w:val="fr-CA"/>
        </w:rPr>
        <w:t xml:space="preserve"> aux travaux de laquelle participent six grandes ONG</w:t>
      </w:r>
      <w:r w:rsidR="00EC5892" w:rsidRPr="00B3274C">
        <w:rPr>
          <w:lang w:val="fr-CA"/>
        </w:rPr>
        <w:t>;</w:t>
      </w:r>
      <w:r w:rsidR="002F654B" w:rsidRPr="00B3274C">
        <w:rPr>
          <w:lang w:val="fr-CA"/>
        </w:rPr>
        <w:t xml:space="preserve"> il a été tenu dûment compte des avis de la Commission pour établir la version finale du rapport. </w:t>
      </w:r>
    </w:p>
    <w:p w:rsidR="00FB23D3" w:rsidRPr="00B3274C" w:rsidRDefault="00107A47" w:rsidP="00107A47">
      <w:pPr>
        <w:pStyle w:val="SingleTxtG"/>
        <w:rPr>
          <w:lang w:val="fr-CA"/>
        </w:rPr>
      </w:pPr>
      <w:r w:rsidRPr="00B3274C">
        <w:rPr>
          <w:lang w:val="fr-CA"/>
        </w:rPr>
        <w:t>3.</w:t>
      </w:r>
      <w:r w:rsidRPr="00B3274C">
        <w:rPr>
          <w:lang w:val="fr-CA"/>
        </w:rPr>
        <w:tab/>
      </w:r>
      <w:r w:rsidR="002F654B" w:rsidRPr="00B3274C">
        <w:rPr>
          <w:lang w:val="fr-CA"/>
        </w:rPr>
        <w:t xml:space="preserve">La Grèce se trouve dans une situation économique et financière difficile. </w:t>
      </w:r>
      <w:r w:rsidR="00EC5892" w:rsidRPr="00B3274C">
        <w:rPr>
          <w:lang w:val="fr-CA"/>
        </w:rPr>
        <w:t>Depuis </w:t>
      </w:r>
      <w:r w:rsidR="00D1472A" w:rsidRPr="00B3274C">
        <w:rPr>
          <w:lang w:val="fr-CA"/>
        </w:rPr>
        <w:t>2010</w:t>
      </w:r>
      <w:r w:rsidR="0080611A">
        <w:rPr>
          <w:lang w:val="fr-CA"/>
        </w:rPr>
        <w:t>,</w:t>
      </w:r>
      <w:r w:rsidR="00D1472A" w:rsidRPr="00B3274C">
        <w:rPr>
          <w:lang w:val="fr-CA"/>
        </w:rPr>
        <w:t xml:space="preserve"> les États membres de la zone euro </w:t>
      </w:r>
      <w:r w:rsidR="00F64DA4" w:rsidRPr="00B3274C">
        <w:rPr>
          <w:lang w:val="fr-CA"/>
        </w:rPr>
        <w:t>de l</w:t>
      </w:r>
      <w:r w:rsidR="0080611A">
        <w:rPr>
          <w:lang w:val="fr-CA"/>
        </w:rPr>
        <w:t>’</w:t>
      </w:r>
      <w:r w:rsidR="00F64DA4" w:rsidRPr="00B3274C">
        <w:rPr>
          <w:lang w:val="fr-CA"/>
        </w:rPr>
        <w:t xml:space="preserve">Union européenne </w:t>
      </w:r>
      <w:r w:rsidR="00D1472A" w:rsidRPr="00B3274C">
        <w:rPr>
          <w:lang w:val="fr-CA"/>
        </w:rPr>
        <w:t>contribuent par leur soutien à la stabilité du pays</w:t>
      </w:r>
      <w:r w:rsidR="0080611A">
        <w:rPr>
          <w:lang w:val="fr-CA"/>
        </w:rPr>
        <w:t>,</w:t>
      </w:r>
      <w:r w:rsidR="00D1472A" w:rsidRPr="00B3274C">
        <w:rPr>
          <w:lang w:val="fr-CA"/>
        </w:rPr>
        <w:t xml:space="preserve"> qui bénéficie également d</w:t>
      </w:r>
      <w:r w:rsidR="0080611A">
        <w:rPr>
          <w:lang w:val="fr-CA"/>
        </w:rPr>
        <w:t>’</w:t>
      </w:r>
      <w:r w:rsidR="00D1472A" w:rsidRPr="00B3274C">
        <w:rPr>
          <w:lang w:val="fr-CA"/>
        </w:rPr>
        <w:t xml:space="preserve">une aide multilatérale fournie par le Fonds monétaire international. </w:t>
      </w:r>
      <w:r w:rsidR="00D1472A" w:rsidRPr="00B3274C">
        <w:rPr>
          <w:color w:val="000000"/>
          <w:lang w:val="fr-CA"/>
        </w:rPr>
        <w:t>Dans ce cadre</w:t>
      </w:r>
      <w:r w:rsidR="0080611A">
        <w:rPr>
          <w:color w:val="000000"/>
          <w:lang w:val="fr-CA"/>
        </w:rPr>
        <w:t>,</w:t>
      </w:r>
      <w:r w:rsidR="00D1472A" w:rsidRPr="00B3274C">
        <w:rPr>
          <w:color w:val="000000"/>
          <w:lang w:val="fr-CA"/>
        </w:rPr>
        <w:t xml:space="preserve"> le Gouvernement applique actuellement des mesures d</w:t>
      </w:r>
      <w:r w:rsidR="0080611A">
        <w:rPr>
          <w:color w:val="000000"/>
          <w:lang w:val="fr-CA"/>
        </w:rPr>
        <w:t>’</w:t>
      </w:r>
      <w:r w:rsidR="00D1472A" w:rsidRPr="00B3274C">
        <w:rPr>
          <w:color w:val="000000"/>
          <w:lang w:val="fr-CA"/>
        </w:rPr>
        <w:t>ajustement budgétaire couvrant de larges pans de la vie économique et sociale</w:t>
      </w:r>
      <w:r w:rsidR="0080611A">
        <w:rPr>
          <w:color w:val="000000"/>
          <w:lang w:val="fr-CA"/>
        </w:rPr>
        <w:t>,</w:t>
      </w:r>
      <w:r w:rsidR="00D1472A" w:rsidRPr="00B3274C">
        <w:rPr>
          <w:color w:val="000000"/>
          <w:lang w:val="fr-CA"/>
        </w:rPr>
        <w:t xml:space="preserve"> tels que</w:t>
      </w:r>
      <w:r w:rsidR="0080611A">
        <w:rPr>
          <w:color w:val="000000"/>
          <w:lang w:val="fr-CA"/>
        </w:rPr>
        <w:t>,</w:t>
      </w:r>
      <w:r w:rsidR="008457C7" w:rsidRPr="00B3274C">
        <w:rPr>
          <w:color w:val="000000"/>
          <w:lang w:val="fr-CA"/>
        </w:rPr>
        <w:t xml:space="preserve"> notamment</w:t>
      </w:r>
      <w:r w:rsidR="0080611A">
        <w:rPr>
          <w:color w:val="000000"/>
          <w:lang w:val="fr-CA"/>
        </w:rPr>
        <w:t>,</w:t>
      </w:r>
      <w:r w:rsidR="00D1472A" w:rsidRPr="00B3274C">
        <w:rPr>
          <w:color w:val="000000"/>
          <w:lang w:val="fr-CA"/>
        </w:rPr>
        <w:t xml:space="preserve"> l</w:t>
      </w:r>
      <w:r w:rsidR="0080611A">
        <w:rPr>
          <w:color w:val="000000"/>
          <w:lang w:val="fr-CA"/>
        </w:rPr>
        <w:t>’</w:t>
      </w:r>
      <w:r w:rsidR="00D1472A" w:rsidRPr="00B3274C">
        <w:rPr>
          <w:color w:val="000000"/>
          <w:lang w:val="fr-CA"/>
        </w:rPr>
        <w:t>emploi</w:t>
      </w:r>
      <w:r w:rsidR="0080611A">
        <w:rPr>
          <w:color w:val="000000"/>
          <w:lang w:val="fr-CA"/>
        </w:rPr>
        <w:t>,</w:t>
      </w:r>
      <w:r w:rsidR="00D1472A" w:rsidRPr="00B3274C">
        <w:rPr>
          <w:color w:val="000000"/>
          <w:lang w:val="fr-CA"/>
        </w:rPr>
        <w:t xml:space="preserve"> la santé</w:t>
      </w:r>
      <w:r w:rsidR="00F64DA4" w:rsidRPr="00B3274C">
        <w:rPr>
          <w:color w:val="000000"/>
          <w:lang w:val="fr-CA"/>
        </w:rPr>
        <w:t xml:space="preserve"> et</w:t>
      </w:r>
      <w:r w:rsidR="00D1472A" w:rsidRPr="00B3274C">
        <w:rPr>
          <w:color w:val="000000"/>
          <w:lang w:val="fr-CA"/>
        </w:rPr>
        <w:t xml:space="preserve"> la sécurité sociale.</w:t>
      </w:r>
      <w:r w:rsidR="00A51C1E" w:rsidRPr="00A0021C">
        <w:rPr>
          <w:color w:val="000000"/>
          <w:lang w:val="fr-CA"/>
        </w:rPr>
        <w:t xml:space="preserve"> </w:t>
      </w:r>
      <w:r w:rsidR="00D1472A" w:rsidRPr="00B3274C">
        <w:rPr>
          <w:color w:val="000000"/>
          <w:lang w:val="fr-CA"/>
        </w:rPr>
        <w:t xml:space="preserve">Ces mesures ont inévitablement </w:t>
      </w:r>
      <w:r w:rsidR="00B949EB" w:rsidRPr="00B3274C">
        <w:rPr>
          <w:color w:val="000000"/>
          <w:lang w:val="fr-CA"/>
        </w:rPr>
        <w:t>des répercussions importantes</w:t>
      </w:r>
      <w:r w:rsidR="00486EF1" w:rsidRPr="00B3274C">
        <w:rPr>
          <w:color w:val="000000"/>
          <w:lang w:val="fr-CA"/>
        </w:rPr>
        <w:t xml:space="preserve"> </w:t>
      </w:r>
      <w:r w:rsidR="00D1472A" w:rsidRPr="00B3274C">
        <w:rPr>
          <w:color w:val="000000"/>
          <w:lang w:val="fr-CA"/>
        </w:rPr>
        <w:t xml:space="preserve">sur </w:t>
      </w:r>
      <w:r w:rsidR="00F64DA4" w:rsidRPr="00B3274C">
        <w:rPr>
          <w:color w:val="000000"/>
          <w:lang w:val="fr-CA"/>
        </w:rPr>
        <w:t>l</w:t>
      </w:r>
      <w:r w:rsidR="0080611A">
        <w:rPr>
          <w:color w:val="000000"/>
          <w:lang w:val="fr-CA"/>
        </w:rPr>
        <w:t>’</w:t>
      </w:r>
      <w:r w:rsidR="00F64DA4" w:rsidRPr="00B3274C">
        <w:rPr>
          <w:color w:val="000000"/>
          <w:lang w:val="fr-CA"/>
        </w:rPr>
        <w:t>exercice d</w:t>
      </w:r>
      <w:r w:rsidR="0080611A">
        <w:rPr>
          <w:color w:val="000000"/>
          <w:lang w:val="fr-CA"/>
        </w:rPr>
        <w:t>’</w:t>
      </w:r>
      <w:r w:rsidR="00F64DA4" w:rsidRPr="00B3274C">
        <w:rPr>
          <w:color w:val="000000"/>
          <w:lang w:val="fr-CA"/>
        </w:rPr>
        <w:t>un certain nombre de droits économiques et sociaux</w:t>
      </w:r>
      <w:r w:rsidR="00D1472A" w:rsidRPr="00B3274C">
        <w:rPr>
          <w:color w:val="000000"/>
          <w:lang w:val="fr-CA"/>
        </w:rPr>
        <w:t>. Mais les politiques ainsi menées par le Gouvernement sont nécessaires pour préserver «l</w:t>
      </w:r>
      <w:r w:rsidR="0080611A">
        <w:rPr>
          <w:color w:val="000000"/>
          <w:lang w:val="fr-CA"/>
        </w:rPr>
        <w:t>’</w:t>
      </w:r>
      <w:r w:rsidR="00D1472A" w:rsidRPr="00B3274C">
        <w:rPr>
          <w:color w:val="000000"/>
          <w:lang w:val="fr-CA"/>
        </w:rPr>
        <w:t>état de droit social»</w:t>
      </w:r>
      <w:r w:rsidR="0080611A">
        <w:rPr>
          <w:color w:val="000000"/>
          <w:lang w:val="fr-CA"/>
        </w:rPr>
        <w:t>,</w:t>
      </w:r>
      <w:r w:rsidR="00D1472A" w:rsidRPr="00B3274C">
        <w:rPr>
          <w:color w:val="000000"/>
          <w:lang w:val="fr-CA"/>
        </w:rPr>
        <w:t xml:space="preserve"> menacé par la situation </w:t>
      </w:r>
      <w:r w:rsidR="004F378A" w:rsidRPr="00B3274C">
        <w:rPr>
          <w:color w:val="000000"/>
          <w:lang w:val="fr-CA"/>
        </w:rPr>
        <w:t>critique</w:t>
      </w:r>
      <w:r w:rsidR="00D1472A" w:rsidRPr="00B3274C">
        <w:rPr>
          <w:color w:val="000000"/>
          <w:lang w:val="fr-CA"/>
        </w:rPr>
        <w:t xml:space="preserve"> </w:t>
      </w:r>
      <w:r w:rsidR="001A3EFF" w:rsidRPr="00B3274C">
        <w:rPr>
          <w:color w:val="000000"/>
          <w:lang w:val="fr-CA"/>
        </w:rPr>
        <w:t>dans laquelle se trouvent les</w:t>
      </w:r>
      <w:r w:rsidR="00D1472A" w:rsidRPr="00B3274C">
        <w:rPr>
          <w:color w:val="000000"/>
          <w:lang w:val="fr-CA"/>
        </w:rPr>
        <w:t xml:space="preserve"> finances publiques.</w:t>
      </w:r>
      <w:r w:rsidR="0055418C" w:rsidRPr="00B3274C">
        <w:rPr>
          <w:color w:val="000000"/>
          <w:sz w:val="27"/>
          <w:szCs w:val="27"/>
          <w:lang w:val="fr-CA"/>
        </w:rPr>
        <w:t xml:space="preserve"> </w:t>
      </w:r>
      <w:r w:rsidR="008457C7" w:rsidRPr="00B3274C">
        <w:rPr>
          <w:lang w:val="fr-CA"/>
        </w:rPr>
        <w:t>Le problème majeur consiste à mettre en place un filet de sécurité suffisant contre la pauvreté et l</w:t>
      </w:r>
      <w:r w:rsidR="0080611A">
        <w:rPr>
          <w:lang w:val="fr-CA"/>
        </w:rPr>
        <w:t>’</w:t>
      </w:r>
      <w:r w:rsidR="008457C7" w:rsidRPr="00B3274C">
        <w:rPr>
          <w:lang w:val="fr-CA"/>
        </w:rPr>
        <w:t>exclusion sociale</w:t>
      </w:r>
      <w:r w:rsidR="0080611A">
        <w:rPr>
          <w:lang w:val="fr-CA"/>
        </w:rPr>
        <w:t>,</w:t>
      </w:r>
      <w:r w:rsidR="008457C7" w:rsidRPr="00B3274C">
        <w:rPr>
          <w:lang w:val="fr-CA"/>
        </w:rPr>
        <w:t xml:space="preserve"> en particulier pour les quelques prochaines années</w:t>
      </w:r>
      <w:r w:rsidR="0080611A">
        <w:rPr>
          <w:lang w:val="fr-CA"/>
        </w:rPr>
        <w:t>,</w:t>
      </w:r>
      <w:r w:rsidR="008457C7" w:rsidRPr="00B3274C">
        <w:rPr>
          <w:lang w:val="fr-CA"/>
        </w:rPr>
        <w:t xml:space="preserve"> en adoptant des mesures ciblées</w:t>
      </w:r>
      <w:r w:rsidR="0080611A">
        <w:rPr>
          <w:lang w:val="fr-CA"/>
        </w:rPr>
        <w:t>,</w:t>
      </w:r>
      <w:r w:rsidR="008457C7" w:rsidRPr="00B3274C">
        <w:rPr>
          <w:lang w:val="fr-CA"/>
        </w:rPr>
        <w:t xml:space="preserve"> à l</w:t>
      </w:r>
      <w:r w:rsidR="0080611A">
        <w:rPr>
          <w:lang w:val="fr-CA"/>
        </w:rPr>
        <w:t>’</w:t>
      </w:r>
      <w:r w:rsidR="008457C7" w:rsidRPr="00B3274C">
        <w:rPr>
          <w:lang w:val="fr-CA"/>
        </w:rPr>
        <w:t xml:space="preserve">intention </w:t>
      </w:r>
      <w:r w:rsidR="00614BAC">
        <w:rPr>
          <w:lang w:val="fr-CA"/>
        </w:rPr>
        <w:t>des personnes</w:t>
      </w:r>
      <w:r w:rsidR="008457C7" w:rsidRPr="00B3274C">
        <w:rPr>
          <w:lang w:val="fr-CA"/>
        </w:rPr>
        <w:t xml:space="preserve"> </w:t>
      </w:r>
      <w:r w:rsidR="00B6283C" w:rsidRPr="00B3274C">
        <w:rPr>
          <w:lang w:val="fr-CA"/>
        </w:rPr>
        <w:t>qui risquent d</w:t>
      </w:r>
      <w:r w:rsidR="0080611A">
        <w:rPr>
          <w:lang w:val="fr-CA"/>
        </w:rPr>
        <w:t>’</w:t>
      </w:r>
      <w:r w:rsidR="00B6283C" w:rsidRPr="00B3274C">
        <w:rPr>
          <w:lang w:val="fr-CA"/>
        </w:rPr>
        <w:t>être frappées par la pauvreté</w:t>
      </w:r>
      <w:r w:rsidR="0080611A">
        <w:rPr>
          <w:lang w:val="fr-CA"/>
        </w:rPr>
        <w:t>,</w:t>
      </w:r>
      <w:r w:rsidR="00B6283C" w:rsidRPr="00B3274C">
        <w:rPr>
          <w:lang w:val="fr-CA"/>
        </w:rPr>
        <w:t xml:space="preserve"> afin de limiter l</w:t>
      </w:r>
      <w:r w:rsidR="0080611A">
        <w:rPr>
          <w:lang w:val="fr-CA"/>
        </w:rPr>
        <w:t>’</w:t>
      </w:r>
      <w:r w:rsidR="00B6283C" w:rsidRPr="00B3274C">
        <w:rPr>
          <w:lang w:val="fr-CA"/>
        </w:rPr>
        <w:t>impact de la crise. Le filet de sécurité sociale contre l</w:t>
      </w:r>
      <w:r w:rsidR="0080611A">
        <w:rPr>
          <w:lang w:val="fr-CA"/>
        </w:rPr>
        <w:t>’</w:t>
      </w:r>
      <w:r w:rsidR="00E27975" w:rsidRPr="00B3274C">
        <w:rPr>
          <w:lang w:val="fr-CA"/>
        </w:rPr>
        <w:t xml:space="preserve">exclusion sociale </w:t>
      </w:r>
      <w:r w:rsidR="00B6283C" w:rsidRPr="00B3274C">
        <w:rPr>
          <w:lang w:val="fr-CA"/>
        </w:rPr>
        <w:t>comprend des programmes d</w:t>
      </w:r>
      <w:r w:rsidR="0080611A">
        <w:rPr>
          <w:lang w:val="fr-CA"/>
        </w:rPr>
        <w:t>’</w:t>
      </w:r>
      <w:r w:rsidR="00B6283C" w:rsidRPr="00B3274C">
        <w:rPr>
          <w:lang w:val="fr-CA"/>
        </w:rPr>
        <w:t>accès aux services de base</w:t>
      </w:r>
      <w:r w:rsidR="0080611A">
        <w:rPr>
          <w:lang w:val="fr-CA"/>
        </w:rPr>
        <w:t>,</w:t>
      </w:r>
      <w:r w:rsidR="00E57CC5" w:rsidRPr="00B3274C">
        <w:rPr>
          <w:lang w:val="fr-CA"/>
        </w:rPr>
        <w:t xml:space="preserve"> dans le</w:t>
      </w:r>
      <w:r w:rsidR="00510F00" w:rsidRPr="00B3274C">
        <w:rPr>
          <w:lang w:val="fr-CA"/>
        </w:rPr>
        <w:t>s</w:t>
      </w:r>
      <w:r w:rsidR="00E57CC5" w:rsidRPr="00B3274C">
        <w:rPr>
          <w:lang w:val="fr-CA"/>
        </w:rPr>
        <w:t xml:space="preserve"> domaine</w:t>
      </w:r>
      <w:r w:rsidR="00510F00" w:rsidRPr="00B3274C">
        <w:rPr>
          <w:lang w:val="fr-CA"/>
        </w:rPr>
        <w:t>s</w:t>
      </w:r>
      <w:r w:rsidR="00E57CC5" w:rsidRPr="00B3274C">
        <w:rPr>
          <w:lang w:val="fr-CA"/>
        </w:rPr>
        <w:t xml:space="preserve"> notamment des</w:t>
      </w:r>
      <w:r w:rsidR="00B6283C" w:rsidRPr="00B3274C">
        <w:rPr>
          <w:lang w:val="fr-CA"/>
        </w:rPr>
        <w:t xml:space="preserve"> soins médicaux</w:t>
      </w:r>
      <w:r w:rsidR="0080611A">
        <w:rPr>
          <w:lang w:val="fr-CA"/>
        </w:rPr>
        <w:t>,</w:t>
      </w:r>
      <w:r w:rsidR="00B6283C" w:rsidRPr="00B3274C">
        <w:rPr>
          <w:lang w:val="fr-CA"/>
        </w:rPr>
        <w:t xml:space="preserve"> </w:t>
      </w:r>
      <w:r w:rsidR="00E57CC5" w:rsidRPr="00B3274C">
        <w:rPr>
          <w:lang w:val="fr-CA"/>
        </w:rPr>
        <w:t>du</w:t>
      </w:r>
      <w:r w:rsidR="00B6283C" w:rsidRPr="00B3274C">
        <w:rPr>
          <w:lang w:val="fr-CA"/>
        </w:rPr>
        <w:t xml:space="preserve"> logement et </w:t>
      </w:r>
      <w:r w:rsidR="00E57CC5" w:rsidRPr="00B3274C">
        <w:rPr>
          <w:lang w:val="fr-CA"/>
        </w:rPr>
        <w:t xml:space="preserve">de </w:t>
      </w:r>
      <w:r w:rsidR="00B6283C" w:rsidRPr="00B3274C">
        <w:rPr>
          <w:lang w:val="fr-CA"/>
        </w:rPr>
        <w:t>l</w:t>
      </w:r>
      <w:r w:rsidR="0080611A">
        <w:rPr>
          <w:lang w:val="fr-CA"/>
        </w:rPr>
        <w:t>’</w:t>
      </w:r>
      <w:r w:rsidR="00B6283C" w:rsidRPr="00B3274C">
        <w:rPr>
          <w:lang w:val="fr-CA"/>
        </w:rPr>
        <w:t>éducation. Les mesures prises par le Gouvernement visent à remettre le pays sur la voie d</w:t>
      </w:r>
      <w:r w:rsidR="0080611A">
        <w:rPr>
          <w:lang w:val="fr-CA"/>
        </w:rPr>
        <w:t>’</w:t>
      </w:r>
      <w:r w:rsidR="00B6283C" w:rsidRPr="00B3274C">
        <w:rPr>
          <w:lang w:val="fr-CA"/>
        </w:rPr>
        <w:t>une croissance économique durable</w:t>
      </w:r>
      <w:r w:rsidR="00011E14" w:rsidRPr="00B3274C">
        <w:rPr>
          <w:lang w:val="fr-CA"/>
        </w:rPr>
        <w:t xml:space="preserve"> et à promouvoir </w:t>
      </w:r>
      <w:r w:rsidR="00B6283C" w:rsidRPr="00B3274C">
        <w:rPr>
          <w:lang w:val="fr-CA"/>
        </w:rPr>
        <w:t>la jouissance des droits économiques et sociaux p</w:t>
      </w:r>
      <w:r w:rsidR="00E6076F" w:rsidRPr="00B3274C">
        <w:rPr>
          <w:lang w:val="fr-CA"/>
        </w:rPr>
        <w:t>our</w:t>
      </w:r>
      <w:r w:rsidR="00B6283C" w:rsidRPr="00B3274C">
        <w:rPr>
          <w:lang w:val="fr-CA"/>
        </w:rPr>
        <w:t xml:space="preserve"> tous. </w:t>
      </w:r>
    </w:p>
    <w:p w:rsidR="00DD3E3C" w:rsidRPr="00B3274C" w:rsidRDefault="00DD3E3C" w:rsidP="00DD3E3C">
      <w:pPr>
        <w:pStyle w:val="HChG"/>
        <w:rPr>
          <w:lang w:val="fr-CA"/>
        </w:rPr>
      </w:pPr>
      <w:r w:rsidRPr="00B3274C">
        <w:rPr>
          <w:lang w:val="fr-CA"/>
        </w:rPr>
        <w:tab/>
        <w:t>II.</w:t>
      </w:r>
      <w:r w:rsidRPr="00B3274C">
        <w:rPr>
          <w:lang w:val="fr-CA"/>
        </w:rPr>
        <w:tab/>
      </w:r>
      <w:r w:rsidR="00011E14" w:rsidRPr="00B3274C">
        <w:rPr>
          <w:color w:val="000000"/>
          <w:lang w:val="fr-CA"/>
        </w:rPr>
        <w:t>Informations relatives aux dispositions générales du Pacte</w:t>
      </w:r>
    </w:p>
    <w:p w:rsidR="00FB23D3" w:rsidRPr="00B3274C" w:rsidRDefault="006D6B3F" w:rsidP="00DD3E3C">
      <w:pPr>
        <w:pStyle w:val="H1G"/>
        <w:rPr>
          <w:lang w:val="fr-CA"/>
        </w:rPr>
      </w:pPr>
      <w:r w:rsidRPr="00B3274C">
        <w:rPr>
          <w:lang w:val="fr-CA"/>
        </w:rPr>
        <w:tab/>
      </w:r>
      <w:r w:rsidRPr="00B3274C">
        <w:rPr>
          <w:lang w:val="fr-CA"/>
        </w:rPr>
        <w:tab/>
      </w:r>
      <w:r w:rsidR="00597DC4">
        <w:rPr>
          <w:lang w:val="fr-CA"/>
        </w:rPr>
        <w:t>Article </w:t>
      </w:r>
      <w:r w:rsidR="00FB23D3" w:rsidRPr="00B3274C">
        <w:rPr>
          <w:lang w:val="fr-CA"/>
        </w:rPr>
        <w:t>2</w:t>
      </w:r>
      <w:r w:rsidR="00476198" w:rsidRPr="00B3274C">
        <w:rPr>
          <w:lang w:val="fr-CA"/>
        </w:rPr>
        <w:br/>
      </w:r>
      <w:r w:rsidR="00011E14" w:rsidRPr="00B3274C">
        <w:rPr>
          <w:lang w:val="fr-CA"/>
        </w:rPr>
        <w:t>Réalisation progressive des droits</w:t>
      </w:r>
    </w:p>
    <w:p w:rsidR="00FB23D3" w:rsidRPr="00B3274C" w:rsidRDefault="006D6B3F" w:rsidP="00DD0141">
      <w:pPr>
        <w:pStyle w:val="H23G"/>
        <w:rPr>
          <w:lang w:val="fr-CA"/>
        </w:rPr>
      </w:pPr>
      <w:r w:rsidRPr="00B3274C">
        <w:rPr>
          <w:lang w:val="fr-CA"/>
        </w:rPr>
        <w:tab/>
      </w:r>
      <w:r w:rsidR="00DD0141" w:rsidRPr="00B3274C">
        <w:rPr>
          <w:lang w:val="fr-CA"/>
        </w:rPr>
        <w:t>1.</w:t>
      </w:r>
      <w:r w:rsidRPr="00B3274C">
        <w:rPr>
          <w:lang w:val="fr-CA"/>
        </w:rPr>
        <w:tab/>
      </w:r>
      <w:r w:rsidR="00011E14" w:rsidRPr="00B3274C">
        <w:rPr>
          <w:lang w:val="fr-CA"/>
        </w:rPr>
        <w:t>Législation antidiscrimination</w:t>
      </w:r>
    </w:p>
    <w:p w:rsidR="00FB23D3" w:rsidRPr="00B3274C" w:rsidRDefault="00107A47" w:rsidP="00107A47">
      <w:pPr>
        <w:pStyle w:val="SingleTxtG"/>
        <w:rPr>
          <w:lang w:val="fr-CA"/>
        </w:rPr>
      </w:pPr>
      <w:r w:rsidRPr="00B3274C">
        <w:rPr>
          <w:lang w:val="fr-CA"/>
        </w:rPr>
        <w:t>4.</w:t>
      </w:r>
      <w:r w:rsidRPr="00B3274C">
        <w:rPr>
          <w:lang w:val="fr-CA"/>
        </w:rPr>
        <w:tab/>
      </w:r>
      <w:r w:rsidR="00011E14" w:rsidRPr="00B3274C">
        <w:rPr>
          <w:lang w:val="fr-CA"/>
        </w:rPr>
        <w:t>En 2005</w:t>
      </w:r>
      <w:r w:rsidR="0080611A">
        <w:rPr>
          <w:lang w:val="fr-CA"/>
        </w:rPr>
        <w:t>,</w:t>
      </w:r>
      <w:r w:rsidR="00011E14" w:rsidRPr="00B3274C">
        <w:rPr>
          <w:lang w:val="fr-CA"/>
        </w:rPr>
        <w:t xml:space="preserve"> le Parlement a adopté la loi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lang w:val="fr-CA"/>
        </w:rPr>
        <w:t xml:space="preserve">3304/2005 </w:t>
      </w:r>
      <w:r w:rsidR="00011E14" w:rsidRPr="00B3274C">
        <w:rPr>
          <w:lang w:val="fr-CA"/>
        </w:rPr>
        <w:t xml:space="preserve">intitulée </w:t>
      </w:r>
      <w:r w:rsidR="00011E14" w:rsidRPr="00B3274C">
        <w:rPr>
          <w:color w:val="000000"/>
          <w:lang w:val="fr-CA"/>
        </w:rPr>
        <w:t>«Application du principe de l</w:t>
      </w:r>
      <w:r w:rsidR="0080611A">
        <w:rPr>
          <w:color w:val="000000"/>
          <w:lang w:val="fr-CA"/>
        </w:rPr>
        <w:t>’</w:t>
      </w:r>
      <w:r w:rsidR="00011E14" w:rsidRPr="00B3274C">
        <w:rPr>
          <w:color w:val="000000"/>
          <w:lang w:val="fr-CA"/>
        </w:rPr>
        <w:t>égalité de traitement indépendamment de l</w:t>
      </w:r>
      <w:r w:rsidR="0080611A">
        <w:rPr>
          <w:color w:val="000000"/>
          <w:lang w:val="fr-CA"/>
        </w:rPr>
        <w:t>’</w:t>
      </w:r>
      <w:r w:rsidR="00011E14" w:rsidRPr="00B3274C">
        <w:rPr>
          <w:color w:val="000000"/>
          <w:lang w:val="fr-CA"/>
        </w:rPr>
        <w:t>origine raciale ou ethnique</w:t>
      </w:r>
      <w:r w:rsidR="0080611A">
        <w:rPr>
          <w:color w:val="000000"/>
          <w:lang w:val="fr-CA"/>
        </w:rPr>
        <w:t>,</w:t>
      </w:r>
      <w:r w:rsidR="00011E14" w:rsidRPr="00B3274C">
        <w:rPr>
          <w:color w:val="000000"/>
          <w:lang w:val="fr-CA"/>
        </w:rPr>
        <w:t xml:space="preserve"> des convictions religieuses ou autres croyances</w:t>
      </w:r>
      <w:r w:rsidR="0080611A">
        <w:rPr>
          <w:color w:val="000000"/>
          <w:lang w:val="fr-CA"/>
        </w:rPr>
        <w:t>,</w:t>
      </w:r>
      <w:r w:rsidR="00011E14" w:rsidRPr="00B3274C">
        <w:rPr>
          <w:color w:val="000000"/>
          <w:lang w:val="fr-CA"/>
        </w:rPr>
        <w:t xml:space="preserve"> du handicap</w:t>
      </w:r>
      <w:r w:rsidR="0080611A">
        <w:rPr>
          <w:color w:val="000000"/>
          <w:lang w:val="fr-CA"/>
        </w:rPr>
        <w:t>,</w:t>
      </w:r>
      <w:r w:rsidR="00011E14" w:rsidRPr="00B3274C">
        <w:rPr>
          <w:color w:val="000000"/>
          <w:lang w:val="fr-CA"/>
        </w:rPr>
        <w:t xml:space="preserve"> de l</w:t>
      </w:r>
      <w:r w:rsidR="0080611A">
        <w:rPr>
          <w:color w:val="000000"/>
          <w:lang w:val="fr-CA"/>
        </w:rPr>
        <w:t>’</w:t>
      </w:r>
      <w:r w:rsidR="00011E14" w:rsidRPr="00B3274C">
        <w:rPr>
          <w:color w:val="000000"/>
          <w:lang w:val="fr-CA"/>
        </w:rPr>
        <w:t>âge ou de l</w:t>
      </w:r>
      <w:r w:rsidR="0080611A">
        <w:rPr>
          <w:color w:val="000000"/>
          <w:lang w:val="fr-CA"/>
        </w:rPr>
        <w:t>’</w:t>
      </w:r>
      <w:r w:rsidR="00011E14" w:rsidRPr="00B3274C">
        <w:rPr>
          <w:color w:val="000000"/>
          <w:lang w:val="fr-CA"/>
        </w:rPr>
        <w:t>orientation sexuelle»</w:t>
      </w:r>
      <w:r w:rsidR="0080611A">
        <w:rPr>
          <w:color w:val="000000"/>
          <w:lang w:val="fr-CA"/>
        </w:rPr>
        <w:t>,</w:t>
      </w:r>
      <w:r w:rsidR="00011E14" w:rsidRPr="00B3274C">
        <w:rPr>
          <w:color w:val="000000"/>
          <w:lang w:val="fr-CA"/>
        </w:rPr>
        <w:t xml:space="preserve"> qui reprend deux directives pertinentes de l</w:t>
      </w:r>
      <w:r w:rsidR="0080611A">
        <w:rPr>
          <w:color w:val="000000"/>
          <w:lang w:val="fr-CA"/>
        </w:rPr>
        <w:t>’</w:t>
      </w:r>
      <w:r w:rsidR="00011E14" w:rsidRPr="00B3274C">
        <w:rPr>
          <w:color w:val="000000"/>
          <w:lang w:val="fr-CA"/>
        </w:rPr>
        <w:t>Union européenne</w:t>
      </w:r>
      <w:r w:rsidR="00011E14" w:rsidRPr="00B3274C">
        <w:rPr>
          <w:lang w:val="fr-CA"/>
        </w:rPr>
        <w:t xml:space="preserve"> </w:t>
      </w:r>
      <w:r w:rsidR="00FB23D3" w:rsidRPr="00B3274C">
        <w:rPr>
          <w:lang w:val="fr-CA"/>
        </w:rPr>
        <w:t>(</w:t>
      </w:r>
      <w:r w:rsidR="00136426" w:rsidRPr="00B3274C">
        <w:rPr>
          <w:lang w:val="fr-CA"/>
        </w:rPr>
        <w:t>la directive n</w:t>
      </w:r>
      <w:r w:rsidR="00136426" w:rsidRPr="00B3274C">
        <w:rPr>
          <w:vertAlign w:val="superscript"/>
          <w:lang w:val="fr-CA"/>
        </w:rPr>
        <w:t>o</w:t>
      </w:r>
      <w:r w:rsidR="00136426" w:rsidRPr="00B3274C">
        <w:rPr>
          <w:lang w:val="fr-CA"/>
        </w:rPr>
        <w:t> </w:t>
      </w:r>
      <w:r w:rsidR="00FB23D3" w:rsidRPr="00B3274C">
        <w:rPr>
          <w:lang w:val="fr-CA"/>
        </w:rPr>
        <w:t>2000/43/</w:t>
      </w:r>
      <w:r w:rsidR="00ED5A25" w:rsidRPr="00B3274C">
        <w:rPr>
          <w:lang w:val="fr-CA"/>
        </w:rPr>
        <w:t>CE</w:t>
      </w:r>
      <w:r w:rsidR="0080611A">
        <w:rPr>
          <w:lang w:val="fr-CA"/>
        </w:rPr>
        <w:t>,</w:t>
      </w:r>
      <w:r w:rsidR="00011E14" w:rsidRPr="00B3274C">
        <w:rPr>
          <w:lang w:val="fr-CA"/>
        </w:rPr>
        <w:t xml:space="preserve"> du 29 juin</w:t>
      </w:r>
      <w:r w:rsidR="00FB23D3" w:rsidRPr="00B3274C">
        <w:rPr>
          <w:lang w:val="fr-CA"/>
        </w:rPr>
        <w:t xml:space="preserve"> 2000</w:t>
      </w:r>
      <w:r w:rsidR="0080611A">
        <w:rPr>
          <w:lang w:val="fr-CA"/>
        </w:rPr>
        <w:t>,</w:t>
      </w:r>
      <w:r w:rsidR="00011E14" w:rsidRPr="00B3274C">
        <w:rPr>
          <w:lang w:val="fr-CA"/>
        </w:rPr>
        <w:t xml:space="preserve"> et la directive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2000/78/</w:t>
      </w:r>
      <w:r w:rsidR="00ED5A25" w:rsidRPr="00B3274C">
        <w:rPr>
          <w:lang w:val="fr-CA"/>
        </w:rPr>
        <w:t>CE</w:t>
      </w:r>
      <w:r w:rsidR="0080611A">
        <w:rPr>
          <w:lang w:val="fr-CA"/>
        </w:rPr>
        <w:t>,</w:t>
      </w:r>
      <w:r w:rsidR="00011E14" w:rsidRPr="00B3274C">
        <w:rPr>
          <w:lang w:val="fr-CA"/>
        </w:rPr>
        <w:t xml:space="preserve"> du 27 novembre </w:t>
      </w:r>
      <w:r w:rsidR="00FB23D3" w:rsidRPr="00B3274C">
        <w:rPr>
          <w:lang w:val="fr-CA"/>
        </w:rPr>
        <w:t xml:space="preserve">2000). </w:t>
      </w:r>
      <w:r w:rsidR="00011E14" w:rsidRPr="00B3274C">
        <w:rPr>
          <w:color w:val="000000"/>
          <w:lang w:val="fr-CA"/>
        </w:rPr>
        <w:t>L</w:t>
      </w:r>
      <w:r w:rsidR="0080611A">
        <w:rPr>
          <w:color w:val="000000"/>
          <w:lang w:val="fr-CA"/>
        </w:rPr>
        <w:t>’</w:t>
      </w:r>
      <w:r w:rsidR="00011E14" w:rsidRPr="00B3274C">
        <w:rPr>
          <w:color w:val="000000"/>
          <w:lang w:val="fr-CA"/>
        </w:rPr>
        <w:t>objet de la loi est d</w:t>
      </w:r>
      <w:r w:rsidR="0080611A">
        <w:rPr>
          <w:color w:val="000000"/>
          <w:lang w:val="fr-CA"/>
        </w:rPr>
        <w:t>’</w:t>
      </w:r>
      <w:r w:rsidR="00011E14" w:rsidRPr="00B3274C">
        <w:rPr>
          <w:color w:val="000000"/>
          <w:lang w:val="fr-CA"/>
        </w:rPr>
        <w:t>établir un cadre réglementaire général pour lutter contre la discrimination dans un la</w:t>
      </w:r>
      <w:r w:rsidR="00C15950" w:rsidRPr="00B3274C">
        <w:rPr>
          <w:color w:val="000000"/>
          <w:lang w:val="fr-CA"/>
        </w:rPr>
        <w:t xml:space="preserve">rge éventail de domaines et </w:t>
      </w:r>
      <w:r w:rsidR="00011E14" w:rsidRPr="00B3274C">
        <w:rPr>
          <w:color w:val="000000"/>
          <w:lang w:val="fr-CA"/>
        </w:rPr>
        <w:t>de désigner ou d</w:t>
      </w:r>
      <w:r w:rsidR="0080611A">
        <w:rPr>
          <w:color w:val="000000"/>
          <w:lang w:val="fr-CA"/>
        </w:rPr>
        <w:t>’</w:t>
      </w:r>
      <w:r w:rsidR="00011E14" w:rsidRPr="00B3274C">
        <w:rPr>
          <w:color w:val="000000"/>
          <w:lang w:val="fr-CA"/>
        </w:rPr>
        <w:t>établir des organes chargés de protéger et de promouvoir le principe de la non-discrimination et de veiller à son respect.</w:t>
      </w:r>
      <w:r w:rsidR="00011E14" w:rsidRPr="00B3274C">
        <w:rPr>
          <w:lang w:val="fr-CA"/>
        </w:rPr>
        <w:t xml:space="preserve"> </w:t>
      </w:r>
    </w:p>
    <w:p w:rsidR="00FB23D3" w:rsidRPr="00B3274C" w:rsidRDefault="00107A47" w:rsidP="00107A47">
      <w:pPr>
        <w:pStyle w:val="SingleTxtG"/>
        <w:rPr>
          <w:lang w:val="fr-CA"/>
        </w:rPr>
      </w:pPr>
      <w:r w:rsidRPr="00B3274C">
        <w:rPr>
          <w:lang w:val="fr-CA"/>
        </w:rPr>
        <w:t>5.</w:t>
      </w:r>
      <w:r w:rsidR="00A51C1E" w:rsidRPr="00B3274C">
        <w:rPr>
          <w:lang w:val="fr-CA"/>
        </w:rPr>
        <w:tab/>
      </w:r>
      <w:r w:rsidR="00102234" w:rsidRPr="00B3274C">
        <w:rPr>
          <w:color w:val="000000"/>
          <w:lang w:val="fr-CA"/>
        </w:rPr>
        <w:t>La loi interdit la discrimination directe et indirecte ainsi que le «harcèlement» et confirme que les «mesures spéciales» et l</w:t>
      </w:r>
      <w:r w:rsidR="0080611A">
        <w:rPr>
          <w:color w:val="000000"/>
          <w:lang w:val="fr-CA"/>
        </w:rPr>
        <w:t>’</w:t>
      </w:r>
      <w:r w:rsidR="00102234" w:rsidRPr="00B3274C">
        <w:rPr>
          <w:color w:val="000000"/>
          <w:lang w:val="fr-CA"/>
        </w:rPr>
        <w:t>«action positive» sont compatibles avec le principe de l</w:t>
      </w:r>
      <w:r w:rsidR="0080611A">
        <w:rPr>
          <w:color w:val="000000"/>
          <w:lang w:val="fr-CA"/>
        </w:rPr>
        <w:t>’</w:t>
      </w:r>
      <w:r w:rsidR="00102234" w:rsidRPr="00B3274C">
        <w:rPr>
          <w:color w:val="000000"/>
          <w:lang w:val="fr-CA"/>
        </w:rPr>
        <w:t>égalité de traitement.</w:t>
      </w:r>
      <w:r w:rsidR="00102234" w:rsidRPr="00B3274C">
        <w:rPr>
          <w:lang w:val="fr-CA"/>
        </w:rPr>
        <w:t xml:space="preserve"> </w:t>
      </w:r>
      <w:r w:rsidR="00102234" w:rsidRPr="00B3274C">
        <w:rPr>
          <w:color w:val="000000"/>
          <w:lang w:val="fr-CA"/>
        </w:rPr>
        <w:t>D</w:t>
      </w:r>
      <w:r w:rsidR="0080611A">
        <w:rPr>
          <w:color w:val="000000"/>
          <w:lang w:val="fr-CA"/>
        </w:rPr>
        <w:t>’</w:t>
      </w:r>
      <w:r w:rsidR="00102234" w:rsidRPr="00B3274C">
        <w:rPr>
          <w:color w:val="000000"/>
          <w:lang w:val="fr-CA"/>
        </w:rPr>
        <w:t xml:space="preserve">autres dispositions </w:t>
      </w:r>
      <w:r w:rsidR="00E5242E" w:rsidRPr="00B3274C">
        <w:rPr>
          <w:color w:val="000000"/>
          <w:lang w:val="fr-CA"/>
        </w:rPr>
        <w:t>portent sur</w:t>
      </w:r>
      <w:r w:rsidR="00102234" w:rsidRPr="00B3274C">
        <w:rPr>
          <w:color w:val="000000"/>
          <w:lang w:val="fr-CA"/>
        </w:rPr>
        <w:t xml:space="preserve"> la protection des victimes de discrimination </w:t>
      </w:r>
      <w:r w:rsidR="00E5242E" w:rsidRPr="00B3274C">
        <w:rPr>
          <w:color w:val="000000"/>
          <w:lang w:val="fr-CA"/>
        </w:rPr>
        <w:t xml:space="preserve">et </w:t>
      </w:r>
      <w:r w:rsidR="00102234" w:rsidRPr="00B3274C">
        <w:rPr>
          <w:color w:val="000000"/>
          <w:lang w:val="fr-CA"/>
        </w:rPr>
        <w:t>prévoient</w:t>
      </w:r>
      <w:r w:rsidR="0080611A">
        <w:rPr>
          <w:color w:val="000000"/>
          <w:lang w:val="fr-CA"/>
        </w:rPr>
        <w:t>,</w:t>
      </w:r>
      <w:r w:rsidR="00102234" w:rsidRPr="00B3274C">
        <w:rPr>
          <w:color w:val="000000"/>
          <w:lang w:val="fr-CA"/>
        </w:rPr>
        <w:t xml:space="preserve"> entre autres</w:t>
      </w:r>
      <w:r w:rsidR="0080611A">
        <w:rPr>
          <w:color w:val="000000"/>
          <w:lang w:val="fr-CA"/>
        </w:rPr>
        <w:t>,</w:t>
      </w:r>
      <w:r w:rsidR="00102234" w:rsidRPr="00B3274C">
        <w:rPr>
          <w:color w:val="000000"/>
          <w:lang w:val="fr-CA"/>
        </w:rPr>
        <w:t xml:space="preserve"> le renversement de la charge de la preuve (sauf dans les procédures pénales) et la protection des plaignants contre toute victimisation supplémentaire.</w:t>
      </w:r>
      <w:r w:rsidR="0055418C" w:rsidRPr="00B3274C">
        <w:rPr>
          <w:color w:val="000000"/>
          <w:lang w:val="fr-CA"/>
        </w:rPr>
        <w:t xml:space="preserve"> </w:t>
      </w:r>
    </w:p>
    <w:p w:rsidR="00FB23D3" w:rsidRPr="00B3274C" w:rsidRDefault="00107A47" w:rsidP="00107A47">
      <w:pPr>
        <w:pStyle w:val="SingleTxtG"/>
        <w:rPr>
          <w:lang w:val="fr-CA"/>
        </w:rPr>
      </w:pPr>
      <w:r w:rsidRPr="00B3274C">
        <w:rPr>
          <w:lang w:val="fr-CA"/>
        </w:rPr>
        <w:t>6.</w:t>
      </w:r>
      <w:r w:rsidRPr="00B3274C">
        <w:rPr>
          <w:lang w:val="fr-CA"/>
        </w:rPr>
        <w:tab/>
      </w:r>
      <w:r w:rsidR="008802A1" w:rsidRPr="00B3274C">
        <w:rPr>
          <w:lang w:val="fr-CA"/>
        </w:rPr>
        <w:t>En ce qui concerne</w:t>
      </w:r>
      <w:r w:rsidR="00972730" w:rsidRPr="00B3274C">
        <w:rPr>
          <w:lang w:val="fr-CA"/>
        </w:rPr>
        <w:t xml:space="preserve"> notamment</w:t>
      </w:r>
      <w:r w:rsidR="008802A1" w:rsidRPr="00B3274C">
        <w:rPr>
          <w:lang w:val="fr-CA"/>
        </w:rPr>
        <w:t xml:space="preserve"> le </w:t>
      </w:r>
      <w:r w:rsidR="006E7A74" w:rsidRPr="00B3274C">
        <w:rPr>
          <w:color w:val="000000"/>
          <w:lang w:val="fr-CA"/>
        </w:rPr>
        <w:t>principe de l</w:t>
      </w:r>
      <w:r w:rsidR="0080611A">
        <w:rPr>
          <w:color w:val="000000"/>
          <w:lang w:val="fr-CA"/>
        </w:rPr>
        <w:t>’</w:t>
      </w:r>
      <w:r w:rsidR="006E7A74" w:rsidRPr="00B3274C">
        <w:rPr>
          <w:color w:val="000000"/>
          <w:lang w:val="fr-CA"/>
        </w:rPr>
        <w:t>égalité de traitement</w:t>
      </w:r>
      <w:r w:rsidR="0080611A">
        <w:rPr>
          <w:color w:val="000000"/>
          <w:lang w:val="fr-CA"/>
        </w:rPr>
        <w:t>,</w:t>
      </w:r>
      <w:r w:rsidR="006E7A74" w:rsidRPr="00B3274C">
        <w:rPr>
          <w:color w:val="000000"/>
          <w:lang w:val="fr-CA"/>
        </w:rPr>
        <w:t xml:space="preserve"> indépendamment de l</w:t>
      </w:r>
      <w:r w:rsidR="0080611A">
        <w:rPr>
          <w:color w:val="000000"/>
          <w:lang w:val="fr-CA"/>
        </w:rPr>
        <w:t>’</w:t>
      </w:r>
      <w:r w:rsidR="006E7A74" w:rsidRPr="00B3274C">
        <w:rPr>
          <w:color w:val="000000"/>
          <w:lang w:val="fr-CA"/>
        </w:rPr>
        <w:t>origine raciale ou ethnique</w:t>
      </w:r>
      <w:r w:rsidR="0080611A">
        <w:rPr>
          <w:color w:val="000000"/>
          <w:lang w:val="fr-CA"/>
        </w:rPr>
        <w:t>,</w:t>
      </w:r>
      <w:r w:rsidR="006E7A74" w:rsidRPr="00B3274C">
        <w:rPr>
          <w:lang w:val="fr-CA"/>
        </w:rPr>
        <w:t xml:space="preserve"> </w:t>
      </w:r>
      <w:r w:rsidR="00972A7A" w:rsidRPr="00B3274C">
        <w:rPr>
          <w:lang w:val="fr-CA"/>
        </w:rPr>
        <w:t>le champ d</w:t>
      </w:r>
      <w:r w:rsidR="0080611A">
        <w:rPr>
          <w:lang w:val="fr-CA"/>
        </w:rPr>
        <w:t>’</w:t>
      </w:r>
      <w:r w:rsidR="00972A7A" w:rsidRPr="00B3274C">
        <w:rPr>
          <w:lang w:val="fr-CA"/>
        </w:rPr>
        <w:t>application du chapitre II de la loi</w:t>
      </w:r>
      <w:r w:rsidR="0080611A">
        <w:rPr>
          <w:lang w:val="fr-CA"/>
        </w:rPr>
        <w:t>,</w:t>
      </w:r>
      <w:r w:rsidR="00972A7A" w:rsidRPr="00B3274C">
        <w:rPr>
          <w:lang w:val="fr-CA"/>
        </w:rPr>
        <w:t xml:space="preserve"> qui </w:t>
      </w:r>
      <w:r w:rsidR="00815EBA" w:rsidRPr="00B3274C">
        <w:rPr>
          <w:lang w:val="fr-CA"/>
        </w:rPr>
        <w:t>traite de</w:t>
      </w:r>
      <w:r w:rsidR="00972A7A" w:rsidRPr="00B3274C">
        <w:rPr>
          <w:lang w:val="fr-CA"/>
        </w:rPr>
        <w:t xml:space="preserve"> cette question</w:t>
      </w:r>
      <w:r w:rsidR="0080611A">
        <w:rPr>
          <w:lang w:val="fr-CA"/>
        </w:rPr>
        <w:t>,</w:t>
      </w:r>
      <w:r w:rsidR="00815EBA" w:rsidRPr="00B3274C">
        <w:rPr>
          <w:lang w:val="fr-CA"/>
        </w:rPr>
        <w:t xml:space="preserve"> </w:t>
      </w:r>
      <w:r w:rsidR="00972A7A" w:rsidRPr="00B3274C">
        <w:rPr>
          <w:lang w:val="fr-CA"/>
        </w:rPr>
        <w:t>est très étendu</w:t>
      </w:r>
      <w:r w:rsidR="00815EBA" w:rsidRPr="00B3274C">
        <w:rPr>
          <w:lang w:val="fr-CA"/>
        </w:rPr>
        <w:t>.</w:t>
      </w:r>
      <w:r w:rsidR="0055418C" w:rsidRPr="00B3274C">
        <w:rPr>
          <w:lang w:val="fr-CA"/>
        </w:rPr>
        <w:t xml:space="preserve"> </w:t>
      </w:r>
      <w:r w:rsidR="00EC6A8D" w:rsidRPr="00B3274C">
        <w:rPr>
          <w:lang w:val="fr-CA"/>
        </w:rPr>
        <w:t>Ses dispositions s</w:t>
      </w:r>
      <w:r w:rsidR="0080611A">
        <w:rPr>
          <w:lang w:val="fr-CA"/>
        </w:rPr>
        <w:t>’</w:t>
      </w:r>
      <w:r w:rsidR="00EC6A8D" w:rsidRPr="00B3274C">
        <w:rPr>
          <w:lang w:val="fr-CA"/>
        </w:rPr>
        <w:t xml:space="preserve">appliquent à toutes </w:t>
      </w:r>
      <w:r w:rsidR="00614BAC">
        <w:rPr>
          <w:lang w:val="fr-CA"/>
        </w:rPr>
        <w:t>les personnes</w:t>
      </w:r>
      <w:r w:rsidR="0080611A">
        <w:rPr>
          <w:lang w:val="fr-CA"/>
        </w:rPr>
        <w:t>,</w:t>
      </w:r>
      <w:r w:rsidR="00EC6A8D" w:rsidRPr="00B3274C">
        <w:rPr>
          <w:lang w:val="fr-CA"/>
        </w:rPr>
        <w:t xml:space="preserve"> tant dans le secteur public que dans le secteur privé</w:t>
      </w:r>
      <w:r w:rsidR="0080611A">
        <w:rPr>
          <w:lang w:val="fr-CA"/>
        </w:rPr>
        <w:t>,</w:t>
      </w:r>
      <w:r w:rsidR="00EC6A8D" w:rsidRPr="00B3274C">
        <w:rPr>
          <w:lang w:val="fr-CA"/>
        </w:rPr>
        <w:t xml:space="preserve"> </w:t>
      </w:r>
      <w:r w:rsidR="00972730" w:rsidRPr="00B3274C">
        <w:rPr>
          <w:lang w:val="fr-CA"/>
        </w:rPr>
        <w:t>s</w:t>
      </w:r>
      <w:r w:rsidR="0080611A">
        <w:rPr>
          <w:lang w:val="fr-CA"/>
        </w:rPr>
        <w:t>’</w:t>
      </w:r>
      <w:r w:rsidR="00972730" w:rsidRPr="00B3274C">
        <w:rPr>
          <w:lang w:val="fr-CA"/>
        </w:rPr>
        <w:t>agissant</w:t>
      </w:r>
      <w:r w:rsidR="00EC5892" w:rsidRPr="00B3274C">
        <w:rPr>
          <w:lang w:val="fr-CA"/>
        </w:rPr>
        <w:t>:</w:t>
      </w:r>
      <w:r w:rsidR="00972730" w:rsidRPr="00B3274C">
        <w:rPr>
          <w:lang w:val="fr-CA"/>
        </w:rPr>
        <w:t xml:space="preserve"> </w:t>
      </w:r>
      <w:r w:rsidR="003F42B4">
        <w:rPr>
          <w:lang w:val="fr-CA"/>
        </w:rPr>
        <w:t>a) </w:t>
      </w:r>
      <w:r w:rsidR="00972730" w:rsidRPr="00B3274C">
        <w:rPr>
          <w:lang w:val="fr-CA"/>
        </w:rPr>
        <w:t>d</w:t>
      </w:r>
      <w:r w:rsidR="00EC6A8D" w:rsidRPr="00B3274C">
        <w:rPr>
          <w:lang w:val="fr-CA"/>
        </w:rPr>
        <w:t>es conditions d</w:t>
      </w:r>
      <w:r w:rsidR="0080611A">
        <w:rPr>
          <w:lang w:val="fr-CA"/>
        </w:rPr>
        <w:t>’</w:t>
      </w:r>
      <w:r w:rsidR="00EC6A8D" w:rsidRPr="00B3274C">
        <w:rPr>
          <w:lang w:val="fr-CA"/>
        </w:rPr>
        <w:t>accès à l</w:t>
      </w:r>
      <w:r w:rsidR="0080611A">
        <w:rPr>
          <w:lang w:val="fr-CA"/>
        </w:rPr>
        <w:t>’</w:t>
      </w:r>
      <w:r w:rsidR="00EC6A8D" w:rsidRPr="00B3274C">
        <w:rPr>
          <w:lang w:val="fr-CA"/>
        </w:rPr>
        <w:t>emploi et à l</w:t>
      </w:r>
      <w:r w:rsidR="0080611A">
        <w:rPr>
          <w:lang w:val="fr-CA"/>
        </w:rPr>
        <w:t>’</w:t>
      </w:r>
      <w:r w:rsidR="00EC6A8D" w:rsidRPr="00B3274C">
        <w:rPr>
          <w:lang w:val="fr-CA"/>
        </w:rPr>
        <w:t>activité professionnelle en général</w:t>
      </w:r>
      <w:r w:rsidR="0080611A">
        <w:rPr>
          <w:lang w:val="fr-CA"/>
        </w:rPr>
        <w:t>,</w:t>
      </w:r>
      <w:r w:rsidR="00EC6A8D" w:rsidRPr="00B3274C">
        <w:rPr>
          <w:lang w:val="fr-CA"/>
        </w:rPr>
        <w:t xml:space="preserve"> y compris les critères de sélection et les conditions de recrutement</w:t>
      </w:r>
      <w:r w:rsidR="00614BAC">
        <w:rPr>
          <w:lang w:val="fr-CA"/>
        </w:rPr>
        <w:t>;</w:t>
      </w:r>
      <w:r w:rsidR="00EC6A8D" w:rsidRPr="00B3274C">
        <w:rPr>
          <w:lang w:val="fr-CA"/>
        </w:rPr>
        <w:t xml:space="preserve"> </w:t>
      </w:r>
      <w:r w:rsidR="003F42B4">
        <w:rPr>
          <w:lang w:val="fr-CA"/>
        </w:rPr>
        <w:t>b) </w:t>
      </w:r>
      <w:r w:rsidR="00972730" w:rsidRPr="00B3274C">
        <w:rPr>
          <w:lang w:val="fr-CA"/>
        </w:rPr>
        <w:t>de l</w:t>
      </w:r>
      <w:r w:rsidR="0080611A">
        <w:rPr>
          <w:lang w:val="fr-CA"/>
        </w:rPr>
        <w:t>’</w:t>
      </w:r>
      <w:r w:rsidR="00972730" w:rsidRPr="00B3274C">
        <w:rPr>
          <w:lang w:val="fr-CA"/>
        </w:rPr>
        <w:t>accès à tous les types d</w:t>
      </w:r>
      <w:r w:rsidR="0080611A">
        <w:rPr>
          <w:lang w:val="fr-CA"/>
        </w:rPr>
        <w:t>’</w:t>
      </w:r>
      <w:r w:rsidR="00972730" w:rsidRPr="00B3274C">
        <w:rPr>
          <w:lang w:val="fr-CA"/>
        </w:rPr>
        <w:t>orientation professionnelle</w:t>
      </w:r>
      <w:r w:rsidR="0080611A">
        <w:rPr>
          <w:lang w:val="fr-CA"/>
        </w:rPr>
        <w:t>,</w:t>
      </w:r>
      <w:r w:rsidR="00972730" w:rsidRPr="00B3274C">
        <w:rPr>
          <w:lang w:val="fr-CA"/>
        </w:rPr>
        <w:t xml:space="preserve"> de formation</w:t>
      </w:r>
      <w:r w:rsidR="0080611A">
        <w:rPr>
          <w:lang w:val="fr-CA"/>
        </w:rPr>
        <w:t>,</w:t>
      </w:r>
      <w:r w:rsidR="00972730" w:rsidRPr="00B3274C">
        <w:rPr>
          <w:lang w:val="fr-CA"/>
        </w:rPr>
        <w:t xml:space="preserve"> de recyclage et d</w:t>
      </w:r>
      <w:r w:rsidR="0080611A">
        <w:rPr>
          <w:lang w:val="fr-CA"/>
        </w:rPr>
        <w:t>’</w:t>
      </w:r>
      <w:r w:rsidR="00972730" w:rsidRPr="00B3274C">
        <w:rPr>
          <w:lang w:val="fr-CA"/>
        </w:rPr>
        <w:t>exp</w:t>
      </w:r>
      <w:r w:rsidR="00673640" w:rsidRPr="00B3274C">
        <w:rPr>
          <w:lang w:val="fr-CA"/>
        </w:rPr>
        <w:t>érience professionnelle</w:t>
      </w:r>
      <w:r w:rsidR="00614BAC">
        <w:rPr>
          <w:lang w:val="fr-CA"/>
        </w:rPr>
        <w:t>;</w:t>
      </w:r>
      <w:r w:rsidR="00673640" w:rsidRPr="00B3274C">
        <w:rPr>
          <w:lang w:val="fr-CA"/>
        </w:rPr>
        <w:t xml:space="preserve"> </w:t>
      </w:r>
      <w:r w:rsidR="003F42B4">
        <w:rPr>
          <w:lang w:val="fr-CA"/>
        </w:rPr>
        <w:t>c) </w:t>
      </w:r>
      <w:r w:rsidR="00673640" w:rsidRPr="00B3274C">
        <w:rPr>
          <w:lang w:val="fr-CA"/>
        </w:rPr>
        <w:t>des conditions d</w:t>
      </w:r>
      <w:r w:rsidR="0080611A">
        <w:rPr>
          <w:lang w:val="fr-CA"/>
        </w:rPr>
        <w:t>’</w:t>
      </w:r>
      <w:r w:rsidR="00673640" w:rsidRPr="00B3274C">
        <w:rPr>
          <w:lang w:val="fr-CA"/>
        </w:rPr>
        <w:t>emploi et de travail</w:t>
      </w:r>
      <w:r w:rsidR="0080611A">
        <w:rPr>
          <w:lang w:val="fr-CA"/>
        </w:rPr>
        <w:t>,</w:t>
      </w:r>
      <w:r w:rsidR="00673640" w:rsidRPr="00B3274C">
        <w:rPr>
          <w:lang w:val="fr-CA"/>
        </w:rPr>
        <w:t xml:space="preserve"> y compris les licenciements et la rémunération</w:t>
      </w:r>
      <w:r w:rsidR="00614BAC">
        <w:rPr>
          <w:lang w:val="fr-CA"/>
        </w:rPr>
        <w:t>;</w:t>
      </w:r>
      <w:r w:rsidR="00673640" w:rsidRPr="00B3274C">
        <w:rPr>
          <w:lang w:val="fr-CA"/>
        </w:rPr>
        <w:t xml:space="preserve"> </w:t>
      </w:r>
      <w:r w:rsidR="003F42B4">
        <w:rPr>
          <w:lang w:val="fr-CA"/>
        </w:rPr>
        <w:t>d) </w:t>
      </w:r>
      <w:r w:rsidR="00673640" w:rsidRPr="00B3274C">
        <w:rPr>
          <w:lang w:val="fr-CA"/>
        </w:rPr>
        <w:t>de la participation à un syndicat de travailleurs ou d</w:t>
      </w:r>
      <w:r w:rsidR="0080611A">
        <w:rPr>
          <w:lang w:val="fr-CA"/>
        </w:rPr>
        <w:t>’</w:t>
      </w:r>
      <w:r w:rsidR="00673640" w:rsidRPr="00B3274C">
        <w:rPr>
          <w:lang w:val="fr-CA"/>
        </w:rPr>
        <w:t>employeurs ou à toute autre organisation professionnelle</w:t>
      </w:r>
      <w:r w:rsidR="00614BAC">
        <w:rPr>
          <w:lang w:val="fr-CA"/>
        </w:rPr>
        <w:t>;</w:t>
      </w:r>
      <w:r w:rsidR="00673640" w:rsidRPr="00B3274C">
        <w:rPr>
          <w:lang w:val="fr-CA"/>
        </w:rPr>
        <w:t xml:space="preserve"> e) de la protection sociale</w:t>
      </w:r>
      <w:r w:rsidR="0080611A">
        <w:rPr>
          <w:lang w:val="fr-CA"/>
        </w:rPr>
        <w:t>,</w:t>
      </w:r>
      <w:r w:rsidR="00673640" w:rsidRPr="00B3274C">
        <w:rPr>
          <w:lang w:val="fr-CA"/>
        </w:rPr>
        <w:t xml:space="preserve"> y compris la sécurité sociale et les soins de santé</w:t>
      </w:r>
      <w:r w:rsidR="00614BAC">
        <w:rPr>
          <w:lang w:val="fr-CA"/>
        </w:rPr>
        <w:t>;</w:t>
      </w:r>
      <w:r w:rsidR="00673640" w:rsidRPr="00B3274C">
        <w:rPr>
          <w:lang w:val="fr-CA"/>
        </w:rPr>
        <w:t xml:space="preserve"> f) des avantages sociaux</w:t>
      </w:r>
      <w:r w:rsidR="00614BAC">
        <w:rPr>
          <w:lang w:val="fr-CA"/>
        </w:rPr>
        <w:t>;</w:t>
      </w:r>
      <w:r w:rsidR="00673640" w:rsidRPr="00B3274C">
        <w:rPr>
          <w:lang w:val="fr-CA"/>
        </w:rPr>
        <w:t xml:space="preserve"> g) de l</w:t>
      </w:r>
      <w:r w:rsidR="0080611A">
        <w:rPr>
          <w:lang w:val="fr-CA"/>
        </w:rPr>
        <w:t>’</w:t>
      </w:r>
      <w:r w:rsidR="00673640" w:rsidRPr="00B3274C">
        <w:rPr>
          <w:lang w:val="fr-CA"/>
        </w:rPr>
        <w:t>éducation</w:t>
      </w:r>
      <w:r w:rsidR="00614BAC">
        <w:rPr>
          <w:lang w:val="fr-CA"/>
        </w:rPr>
        <w:t xml:space="preserve"> et </w:t>
      </w:r>
      <w:r w:rsidR="00673640" w:rsidRPr="00B3274C">
        <w:rPr>
          <w:lang w:val="fr-CA"/>
        </w:rPr>
        <w:t>h)</w:t>
      </w:r>
      <w:r w:rsidR="00614BAC">
        <w:rPr>
          <w:lang w:val="fr-CA"/>
        </w:rPr>
        <w:t> </w:t>
      </w:r>
      <w:r w:rsidR="00673640" w:rsidRPr="00B3274C">
        <w:rPr>
          <w:lang w:val="fr-CA"/>
        </w:rPr>
        <w:t>de l</w:t>
      </w:r>
      <w:r w:rsidR="0080611A">
        <w:rPr>
          <w:lang w:val="fr-CA"/>
        </w:rPr>
        <w:t>’</w:t>
      </w:r>
      <w:r w:rsidR="00673640" w:rsidRPr="00B3274C">
        <w:rPr>
          <w:lang w:val="fr-CA"/>
        </w:rPr>
        <w:t>accès aux biens et aux services</w:t>
      </w:r>
      <w:r w:rsidR="006005FA" w:rsidRPr="00B3274C">
        <w:rPr>
          <w:lang w:val="fr-CA"/>
        </w:rPr>
        <w:t xml:space="preserve"> auxquels l</w:t>
      </w:r>
      <w:r w:rsidR="0080611A">
        <w:rPr>
          <w:lang w:val="fr-CA"/>
        </w:rPr>
        <w:t>’</w:t>
      </w:r>
      <w:r w:rsidR="006005FA" w:rsidRPr="00B3274C">
        <w:rPr>
          <w:lang w:val="fr-CA"/>
        </w:rPr>
        <w:t xml:space="preserve">ensemble de </w:t>
      </w:r>
      <w:r w:rsidR="00673640" w:rsidRPr="00B3274C">
        <w:rPr>
          <w:lang w:val="fr-CA"/>
        </w:rPr>
        <w:t>la population</w:t>
      </w:r>
      <w:r w:rsidR="006005FA" w:rsidRPr="00B3274C">
        <w:rPr>
          <w:lang w:val="fr-CA"/>
        </w:rPr>
        <w:t xml:space="preserve"> a accès</w:t>
      </w:r>
      <w:r w:rsidR="0080611A">
        <w:rPr>
          <w:lang w:val="fr-CA"/>
        </w:rPr>
        <w:t>,</w:t>
      </w:r>
      <w:r w:rsidR="00673640" w:rsidRPr="00B3274C">
        <w:rPr>
          <w:lang w:val="fr-CA"/>
        </w:rPr>
        <w:t xml:space="preserve"> y compris le logement. </w:t>
      </w:r>
    </w:p>
    <w:p w:rsidR="00FB23D3" w:rsidRPr="00B3274C" w:rsidRDefault="00107A47" w:rsidP="00107A47">
      <w:pPr>
        <w:pStyle w:val="SingleTxtG"/>
        <w:rPr>
          <w:lang w:val="fr-CA"/>
        </w:rPr>
      </w:pPr>
      <w:r w:rsidRPr="00B3274C">
        <w:rPr>
          <w:lang w:val="fr-CA"/>
        </w:rPr>
        <w:t>7.</w:t>
      </w:r>
      <w:r w:rsidRPr="00B3274C">
        <w:rPr>
          <w:lang w:val="fr-CA"/>
        </w:rPr>
        <w:tab/>
      </w:r>
      <w:r w:rsidR="006005FA" w:rsidRPr="00B3274C">
        <w:rPr>
          <w:lang w:val="fr-CA"/>
        </w:rPr>
        <w:t>Le chapitre III de la loi sur le principe de l</w:t>
      </w:r>
      <w:r w:rsidR="0080611A">
        <w:rPr>
          <w:lang w:val="fr-CA"/>
        </w:rPr>
        <w:t>’</w:t>
      </w:r>
      <w:r w:rsidR="006005FA" w:rsidRPr="00B3274C">
        <w:rPr>
          <w:lang w:val="fr-CA"/>
        </w:rPr>
        <w:t>égalité de traitement indépendamment des convictions religieuses ou autres croyances</w:t>
      </w:r>
      <w:r w:rsidR="0080611A">
        <w:rPr>
          <w:lang w:val="fr-CA"/>
        </w:rPr>
        <w:t>,</w:t>
      </w:r>
      <w:r w:rsidR="006005FA" w:rsidRPr="00B3274C">
        <w:rPr>
          <w:lang w:val="fr-CA"/>
        </w:rPr>
        <w:t xml:space="preserve"> du handicap</w:t>
      </w:r>
      <w:r w:rsidR="0080611A">
        <w:rPr>
          <w:lang w:val="fr-CA"/>
        </w:rPr>
        <w:t>,</w:t>
      </w:r>
      <w:r w:rsidR="006005FA" w:rsidRPr="00B3274C">
        <w:rPr>
          <w:lang w:val="fr-CA"/>
        </w:rPr>
        <w:t xml:space="preserve"> de l</w:t>
      </w:r>
      <w:r w:rsidR="0080611A">
        <w:rPr>
          <w:lang w:val="fr-CA"/>
        </w:rPr>
        <w:t>’</w:t>
      </w:r>
      <w:r w:rsidR="006005FA" w:rsidRPr="00B3274C">
        <w:rPr>
          <w:lang w:val="fr-CA"/>
        </w:rPr>
        <w:t>âge ou de l</w:t>
      </w:r>
      <w:r w:rsidR="0080611A">
        <w:rPr>
          <w:lang w:val="fr-CA"/>
        </w:rPr>
        <w:t>’</w:t>
      </w:r>
      <w:r w:rsidR="006005FA" w:rsidRPr="00B3274C">
        <w:rPr>
          <w:lang w:val="fr-CA"/>
        </w:rPr>
        <w:t xml:space="preserve">orientation sexuelle </w:t>
      </w:r>
      <w:r w:rsidR="00836437" w:rsidRPr="00B3274C">
        <w:rPr>
          <w:lang w:val="fr-CA"/>
        </w:rPr>
        <w:t>suit</w:t>
      </w:r>
      <w:r w:rsidR="006005FA" w:rsidRPr="00B3274C">
        <w:rPr>
          <w:lang w:val="fr-CA"/>
        </w:rPr>
        <w:t xml:space="preserve"> les </w:t>
      </w:r>
      <w:r w:rsidR="00836437" w:rsidRPr="00B3274C">
        <w:rPr>
          <w:lang w:val="fr-CA"/>
        </w:rPr>
        <w:t xml:space="preserve">mêmes </w:t>
      </w:r>
      <w:r w:rsidR="006005FA" w:rsidRPr="00B3274C">
        <w:rPr>
          <w:lang w:val="fr-CA"/>
        </w:rPr>
        <w:t xml:space="preserve">principes </w:t>
      </w:r>
      <w:r w:rsidR="00836437" w:rsidRPr="00B3274C">
        <w:rPr>
          <w:lang w:val="fr-CA"/>
        </w:rPr>
        <w:t>généraux que le</w:t>
      </w:r>
      <w:r w:rsidR="006005FA" w:rsidRPr="00B3274C">
        <w:rPr>
          <w:lang w:val="fr-CA"/>
        </w:rPr>
        <w:t xml:space="preserve"> chapitre II</w:t>
      </w:r>
      <w:r w:rsidR="0080611A">
        <w:rPr>
          <w:lang w:val="fr-CA"/>
        </w:rPr>
        <w:t>,</w:t>
      </w:r>
      <w:r w:rsidR="006005FA" w:rsidRPr="00B3274C">
        <w:rPr>
          <w:lang w:val="fr-CA"/>
        </w:rPr>
        <w:t xml:space="preserve"> sur le modèle duquel il est établi</w:t>
      </w:r>
      <w:r w:rsidR="0080611A">
        <w:rPr>
          <w:lang w:val="fr-CA"/>
        </w:rPr>
        <w:t>,</w:t>
      </w:r>
      <w:r w:rsidR="006005FA" w:rsidRPr="00B3274C">
        <w:rPr>
          <w:lang w:val="fr-CA"/>
        </w:rPr>
        <w:t xml:space="preserve"> mais son champ d</w:t>
      </w:r>
      <w:r w:rsidR="0080611A">
        <w:rPr>
          <w:lang w:val="fr-CA"/>
        </w:rPr>
        <w:t>’</w:t>
      </w:r>
      <w:r w:rsidR="006005FA" w:rsidRPr="00B3274C">
        <w:rPr>
          <w:lang w:val="fr-CA"/>
        </w:rPr>
        <w:t>application est plus limité car il</w:t>
      </w:r>
      <w:r w:rsidR="00A65679" w:rsidRPr="00B3274C">
        <w:rPr>
          <w:lang w:val="fr-CA"/>
        </w:rPr>
        <w:t xml:space="preserve"> traite de l</w:t>
      </w:r>
      <w:r w:rsidR="0080611A">
        <w:rPr>
          <w:lang w:val="fr-CA"/>
        </w:rPr>
        <w:t>’</w:t>
      </w:r>
      <w:r w:rsidR="00A65679" w:rsidRPr="00B3274C">
        <w:rPr>
          <w:lang w:val="fr-CA"/>
        </w:rPr>
        <w:t>emploi et de l</w:t>
      </w:r>
      <w:r w:rsidR="0080611A">
        <w:rPr>
          <w:lang w:val="fr-CA"/>
        </w:rPr>
        <w:t>’</w:t>
      </w:r>
      <w:r w:rsidR="00A65679" w:rsidRPr="00B3274C">
        <w:rPr>
          <w:lang w:val="fr-CA"/>
        </w:rPr>
        <w:t>activité professionnelle</w:t>
      </w:r>
      <w:r w:rsidR="00836437" w:rsidRPr="00B3274C">
        <w:rPr>
          <w:lang w:val="fr-CA"/>
        </w:rPr>
        <w:t xml:space="preserve"> </w:t>
      </w:r>
      <w:r w:rsidR="00A65679" w:rsidRPr="00B3274C">
        <w:rPr>
          <w:lang w:val="fr-CA"/>
        </w:rPr>
        <w:t xml:space="preserve">et des points </w:t>
      </w:r>
      <w:r w:rsidR="003F42B4">
        <w:rPr>
          <w:lang w:val="fr-CA"/>
        </w:rPr>
        <w:t>a) </w:t>
      </w:r>
      <w:r w:rsidR="00A65679" w:rsidRPr="00B3274C">
        <w:rPr>
          <w:lang w:val="fr-CA"/>
        </w:rPr>
        <w:t xml:space="preserve">à </w:t>
      </w:r>
      <w:r w:rsidR="003F42B4">
        <w:rPr>
          <w:lang w:val="fr-CA"/>
        </w:rPr>
        <w:t xml:space="preserve">d) </w:t>
      </w:r>
      <w:r w:rsidR="00A65679" w:rsidRPr="00B3274C">
        <w:rPr>
          <w:lang w:val="fr-CA"/>
        </w:rPr>
        <w:t xml:space="preserve">mentionnés ci-dessus. Il contient en outre des dispositions particulières sur les exigences professionnelles </w:t>
      </w:r>
      <w:r w:rsidR="008C4A42" w:rsidRPr="00B3274C">
        <w:rPr>
          <w:lang w:val="fr-CA"/>
        </w:rPr>
        <w:t>(art. </w:t>
      </w:r>
      <w:r w:rsidR="00A65679" w:rsidRPr="00B3274C">
        <w:rPr>
          <w:lang w:val="fr-CA"/>
        </w:rPr>
        <w:t>9)</w:t>
      </w:r>
      <w:r w:rsidR="0080611A">
        <w:rPr>
          <w:lang w:val="fr-CA"/>
        </w:rPr>
        <w:t>,</w:t>
      </w:r>
      <w:r w:rsidR="00A65679" w:rsidRPr="00B3274C">
        <w:rPr>
          <w:lang w:val="fr-CA"/>
        </w:rPr>
        <w:t xml:space="preserve"> les aménagements raisonnables pour </w:t>
      </w:r>
      <w:r w:rsidR="00614BAC">
        <w:rPr>
          <w:lang w:val="fr-CA"/>
        </w:rPr>
        <w:t>les personnes</w:t>
      </w:r>
      <w:r w:rsidR="00A65679" w:rsidRPr="00B3274C">
        <w:rPr>
          <w:lang w:val="fr-CA"/>
        </w:rPr>
        <w:t xml:space="preserve"> handicapées </w:t>
      </w:r>
      <w:r w:rsidR="008C4A42" w:rsidRPr="00B3274C">
        <w:rPr>
          <w:lang w:val="fr-CA"/>
        </w:rPr>
        <w:t>(art. </w:t>
      </w:r>
      <w:r w:rsidR="00A65679" w:rsidRPr="00B3274C">
        <w:rPr>
          <w:lang w:val="fr-CA"/>
        </w:rPr>
        <w:t>10) et la justification des différences de traitement fondées sur l</w:t>
      </w:r>
      <w:r w:rsidR="0080611A">
        <w:rPr>
          <w:lang w:val="fr-CA"/>
        </w:rPr>
        <w:t>’</w:t>
      </w:r>
      <w:r w:rsidR="00A65679" w:rsidRPr="00B3274C">
        <w:rPr>
          <w:lang w:val="fr-CA"/>
        </w:rPr>
        <w:t xml:space="preserve">âge </w:t>
      </w:r>
      <w:r w:rsidR="008C4A42" w:rsidRPr="00B3274C">
        <w:rPr>
          <w:lang w:val="fr-CA"/>
        </w:rPr>
        <w:t>(art. </w:t>
      </w:r>
      <w:r w:rsidR="00A65679" w:rsidRPr="00B3274C">
        <w:rPr>
          <w:lang w:val="fr-CA"/>
        </w:rPr>
        <w:t xml:space="preserve">11). </w:t>
      </w:r>
    </w:p>
    <w:p w:rsidR="00FB23D3" w:rsidRPr="00B3274C" w:rsidRDefault="00107A47" w:rsidP="00107A47">
      <w:pPr>
        <w:pStyle w:val="SingleTxtG"/>
        <w:rPr>
          <w:lang w:val="fr-CA"/>
        </w:rPr>
      </w:pPr>
      <w:r w:rsidRPr="00B3274C">
        <w:rPr>
          <w:lang w:val="fr-CA"/>
        </w:rPr>
        <w:t>8.</w:t>
      </w:r>
      <w:r w:rsidRPr="00B3274C">
        <w:rPr>
          <w:lang w:val="fr-CA"/>
        </w:rPr>
        <w:tab/>
      </w:r>
      <w:r w:rsidR="00B65226" w:rsidRPr="00B3274C">
        <w:rPr>
          <w:lang w:val="fr-CA"/>
        </w:rPr>
        <w:t xml:space="preserve">Il convient toutefois de noter que la protection contre la discrimination </w:t>
      </w:r>
      <w:r w:rsidR="00840E3B" w:rsidRPr="00B3274C">
        <w:rPr>
          <w:lang w:val="fr-CA"/>
        </w:rPr>
        <w:t>fondée sur les convictions religieuses ou d</w:t>
      </w:r>
      <w:r w:rsidR="0080611A">
        <w:rPr>
          <w:lang w:val="fr-CA"/>
        </w:rPr>
        <w:t>’</w:t>
      </w:r>
      <w:r w:rsidR="00840E3B" w:rsidRPr="00B3274C">
        <w:rPr>
          <w:lang w:val="fr-CA"/>
        </w:rPr>
        <w:t>autres croyances</w:t>
      </w:r>
      <w:r w:rsidR="0080611A">
        <w:rPr>
          <w:lang w:val="fr-CA"/>
        </w:rPr>
        <w:t>,</w:t>
      </w:r>
      <w:r w:rsidR="00840E3B" w:rsidRPr="00B3274C">
        <w:rPr>
          <w:lang w:val="fr-CA"/>
        </w:rPr>
        <w:t xml:space="preserve"> le handicap</w:t>
      </w:r>
      <w:r w:rsidR="0080611A">
        <w:rPr>
          <w:lang w:val="fr-CA"/>
        </w:rPr>
        <w:t>,</w:t>
      </w:r>
      <w:r w:rsidR="00840E3B" w:rsidRPr="00B3274C">
        <w:rPr>
          <w:lang w:val="fr-CA"/>
        </w:rPr>
        <w:t xml:space="preserve"> l</w:t>
      </w:r>
      <w:r w:rsidR="0080611A">
        <w:rPr>
          <w:lang w:val="fr-CA"/>
        </w:rPr>
        <w:t>’</w:t>
      </w:r>
      <w:r w:rsidR="00840E3B" w:rsidRPr="00B3274C">
        <w:rPr>
          <w:lang w:val="fr-CA"/>
        </w:rPr>
        <w:t>âge ou l</w:t>
      </w:r>
      <w:r w:rsidR="0080611A">
        <w:rPr>
          <w:lang w:val="fr-CA"/>
        </w:rPr>
        <w:t>’</w:t>
      </w:r>
      <w:r w:rsidR="00840E3B" w:rsidRPr="00B3274C">
        <w:rPr>
          <w:lang w:val="fr-CA"/>
        </w:rPr>
        <w:t>orientation sexuelle peut être étendue</w:t>
      </w:r>
      <w:r w:rsidR="0080611A">
        <w:rPr>
          <w:lang w:val="fr-CA"/>
        </w:rPr>
        <w:t>,</w:t>
      </w:r>
      <w:r w:rsidR="00840E3B" w:rsidRPr="00B3274C">
        <w:rPr>
          <w:lang w:val="fr-CA"/>
        </w:rPr>
        <w:t xml:space="preserve"> par décret présidentiel</w:t>
      </w:r>
      <w:r w:rsidR="0080611A">
        <w:rPr>
          <w:lang w:val="fr-CA"/>
        </w:rPr>
        <w:t>,</w:t>
      </w:r>
      <w:r w:rsidR="00840E3B" w:rsidRPr="00B3274C">
        <w:rPr>
          <w:lang w:val="fr-CA"/>
        </w:rPr>
        <w:t xml:space="preserve"> à des secteurs autres que l</w:t>
      </w:r>
      <w:r w:rsidR="0080611A">
        <w:rPr>
          <w:lang w:val="fr-CA"/>
        </w:rPr>
        <w:t>’</w:t>
      </w:r>
      <w:r w:rsidR="00840E3B" w:rsidRPr="00B3274C">
        <w:rPr>
          <w:lang w:val="fr-CA"/>
        </w:rPr>
        <w:t>emploi et l</w:t>
      </w:r>
      <w:r w:rsidR="0080611A">
        <w:rPr>
          <w:lang w:val="fr-CA"/>
        </w:rPr>
        <w:t>’</w:t>
      </w:r>
      <w:r w:rsidR="00840E3B" w:rsidRPr="00B3274C">
        <w:rPr>
          <w:lang w:val="fr-CA"/>
        </w:rPr>
        <w:t>activité professionnelle (art</w:t>
      </w:r>
      <w:r w:rsidR="00270643" w:rsidRPr="00B3274C">
        <w:rPr>
          <w:lang w:val="fr-CA"/>
        </w:rPr>
        <w:t>. </w:t>
      </w:r>
      <w:r w:rsidR="00840E3B" w:rsidRPr="00B3274C">
        <w:rPr>
          <w:lang w:val="fr-CA"/>
        </w:rPr>
        <w:t xml:space="preserve">27). </w:t>
      </w:r>
    </w:p>
    <w:p w:rsidR="00FB23D3" w:rsidRPr="00B3274C" w:rsidRDefault="00107A47" w:rsidP="00107A47">
      <w:pPr>
        <w:pStyle w:val="SingleTxtG"/>
        <w:rPr>
          <w:lang w:val="fr-CA"/>
        </w:rPr>
      </w:pPr>
      <w:r w:rsidRPr="00B3274C">
        <w:rPr>
          <w:lang w:val="fr-CA"/>
        </w:rPr>
        <w:t>9.</w:t>
      </w:r>
      <w:r w:rsidRPr="00B3274C">
        <w:rPr>
          <w:lang w:val="fr-CA"/>
        </w:rPr>
        <w:tab/>
      </w:r>
      <w:r w:rsidR="00840E3B" w:rsidRPr="00B3274C">
        <w:rPr>
          <w:lang w:val="fr-CA"/>
        </w:rPr>
        <w:t xml:space="preserve">Un aspect très important de la loi </w:t>
      </w:r>
      <w:r w:rsidR="00FB23D3" w:rsidRPr="00B3274C">
        <w:rPr>
          <w:lang w:val="fr-CA"/>
        </w:rPr>
        <w:t xml:space="preserve">3304/2005 </w:t>
      </w:r>
      <w:r w:rsidR="00840E3B" w:rsidRPr="00B3274C">
        <w:rPr>
          <w:lang w:val="fr-CA"/>
        </w:rPr>
        <w:t>est la création ou la</w:t>
      </w:r>
      <w:r w:rsidR="00FF6B40" w:rsidRPr="00B3274C">
        <w:rPr>
          <w:lang w:val="fr-CA"/>
        </w:rPr>
        <w:t xml:space="preserve"> désignation des organes suivants chargés de la promotion de l</w:t>
      </w:r>
      <w:r w:rsidR="0080611A">
        <w:rPr>
          <w:lang w:val="fr-CA"/>
        </w:rPr>
        <w:t>’</w:t>
      </w:r>
      <w:r w:rsidR="00FF6B40" w:rsidRPr="00B3274C">
        <w:rPr>
          <w:lang w:val="fr-CA"/>
        </w:rPr>
        <w:t xml:space="preserve">égalité de traitement. </w:t>
      </w:r>
    </w:p>
    <w:p w:rsidR="00FB23D3" w:rsidRPr="00B3274C" w:rsidRDefault="00107A47" w:rsidP="00107A47">
      <w:pPr>
        <w:pStyle w:val="SingleTxtG"/>
        <w:rPr>
          <w:lang w:val="fr-CA"/>
        </w:rPr>
      </w:pPr>
      <w:r w:rsidRPr="00B3274C">
        <w:rPr>
          <w:lang w:val="fr-CA"/>
        </w:rPr>
        <w:t>10.</w:t>
      </w:r>
      <w:r w:rsidRPr="00B3274C">
        <w:rPr>
          <w:lang w:val="fr-CA"/>
        </w:rPr>
        <w:tab/>
      </w:r>
      <w:r w:rsidR="00E70A16" w:rsidRPr="00B3274C">
        <w:rPr>
          <w:lang w:val="fr-CA"/>
        </w:rPr>
        <w:t>Le Bureau du Médiateur examine les allégations de violation du principe de l</w:t>
      </w:r>
      <w:r w:rsidR="0080611A">
        <w:rPr>
          <w:lang w:val="fr-CA"/>
        </w:rPr>
        <w:t>’</w:t>
      </w:r>
      <w:r w:rsidR="00E70A16" w:rsidRPr="00B3274C">
        <w:rPr>
          <w:lang w:val="fr-CA"/>
        </w:rPr>
        <w:t>égalité de traitement par les services</w:t>
      </w:r>
      <w:r w:rsidR="00EC5892" w:rsidRPr="00B3274C">
        <w:rPr>
          <w:lang w:val="fr-CA"/>
        </w:rPr>
        <w:t>:</w:t>
      </w:r>
      <w:r w:rsidR="00E70A16" w:rsidRPr="00B3274C">
        <w:rPr>
          <w:lang w:val="fr-CA"/>
        </w:rPr>
        <w:t xml:space="preserve"> </w:t>
      </w:r>
      <w:r w:rsidR="003F42B4">
        <w:rPr>
          <w:lang w:val="fr-CA"/>
        </w:rPr>
        <w:t>a) </w:t>
      </w:r>
      <w:r w:rsidR="00E70A16" w:rsidRPr="00B3274C">
        <w:rPr>
          <w:lang w:val="fr-CA"/>
        </w:rPr>
        <w:t>du secteur public</w:t>
      </w:r>
      <w:r w:rsidR="0080611A">
        <w:rPr>
          <w:lang w:val="fr-CA"/>
        </w:rPr>
        <w:t>,</w:t>
      </w:r>
      <w:r w:rsidR="00E70A16" w:rsidRPr="00B3274C">
        <w:rPr>
          <w:lang w:val="fr-CA"/>
        </w:rPr>
        <w:t xml:space="preserve"> </w:t>
      </w:r>
      <w:r w:rsidR="003F42B4">
        <w:rPr>
          <w:lang w:val="fr-CA"/>
        </w:rPr>
        <w:t>b) </w:t>
      </w:r>
      <w:r w:rsidR="00E70A16" w:rsidRPr="00B3274C">
        <w:rPr>
          <w:lang w:val="fr-CA"/>
        </w:rPr>
        <w:t xml:space="preserve">des autorités locales et </w:t>
      </w:r>
      <w:r w:rsidR="00080009" w:rsidRPr="00B3274C">
        <w:rPr>
          <w:lang w:val="fr-CA"/>
        </w:rPr>
        <w:t>régionales</w:t>
      </w:r>
      <w:r w:rsidR="0030724A">
        <w:rPr>
          <w:lang w:val="fr-CA"/>
        </w:rPr>
        <w:t xml:space="preserve"> et </w:t>
      </w:r>
      <w:r w:rsidR="003F42B4">
        <w:rPr>
          <w:lang w:val="fr-CA"/>
        </w:rPr>
        <w:t>c) </w:t>
      </w:r>
      <w:r w:rsidR="00E70A16" w:rsidRPr="00B3274C">
        <w:rPr>
          <w:lang w:val="fr-CA"/>
        </w:rPr>
        <w:t>des autres</w:t>
      </w:r>
      <w:r w:rsidR="00080009" w:rsidRPr="00B3274C">
        <w:rPr>
          <w:lang w:val="fr-CA"/>
        </w:rPr>
        <w:t xml:space="preserve"> organismes publics</w:t>
      </w:r>
      <w:r w:rsidR="0080611A">
        <w:rPr>
          <w:lang w:val="fr-CA"/>
        </w:rPr>
        <w:t>,</w:t>
      </w:r>
      <w:r w:rsidR="00080009" w:rsidRPr="00B3274C">
        <w:rPr>
          <w:lang w:val="fr-CA"/>
        </w:rPr>
        <w:t xml:space="preserve"> entités publiques de droit privé</w:t>
      </w:r>
      <w:r w:rsidR="0080611A">
        <w:rPr>
          <w:lang w:val="fr-CA"/>
        </w:rPr>
        <w:t>,</w:t>
      </w:r>
      <w:r w:rsidR="00080009" w:rsidRPr="00B3274C">
        <w:rPr>
          <w:lang w:val="fr-CA"/>
        </w:rPr>
        <w:t xml:space="preserve"> </w:t>
      </w:r>
      <w:r w:rsidR="00B11E1B" w:rsidRPr="00B3274C">
        <w:rPr>
          <w:lang w:val="fr-CA"/>
        </w:rPr>
        <w:t>sociétés publiques</w:t>
      </w:r>
      <w:r w:rsidR="0080611A">
        <w:rPr>
          <w:lang w:val="fr-CA"/>
        </w:rPr>
        <w:t>,</w:t>
      </w:r>
      <w:r w:rsidR="00B11E1B" w:rsidRPr="00B3274C">
        <w:rPr>
          <w:lang w:val="fr-CA"/>
        </w:rPr>
        <w:t xml:space="preserve"> entreprises publiques locales et entreprises</w:t>
      </w:r>
      <w:r w:rsidR="008C57F0" w:rsidRPr="00B3274C">
        <w:rPr>
          <w:lang w:val="fr-CA"/>
        </w:rPr>
        <w:t xml:space="preserve"> que l</w:t>
      </w:r>
      <w:r w:rsidR="0080611A">
        <w:rPr>
          <w:lang w:val="fr-CA"/>
        </w:rPr>
        <w:t>’</w:t>
      </w:r>
      <w:r w:rsidR="008C57F0" w:rsidRPr="00B3274C">
        <w:rPr>
          <w:lang w:val="fr-CA"/>
        </w:rPr>
        <w:t xml:space="preserve">État gère </w:t>
      </w:r>
      <w:r w:rsidR="00B11E1B" w:rsidRPr="00B3274C">
        <w:rPr>
          <w:lang w:val="fr-CA"/>
        </w:rPr>
        <w:t>directement ou indirectement</w:t>
      </w:r>
      <w:r w:rsidR="008C57F0" w:rsidRPr="00B3274C">
        <w:rPr>
          <w:lang w:val="fr-CA"/>
        </w:rPr>
        <w:t xml:space="preserve"> par des </w:t>
      </w:r>
      <w:r w:rsidR="00B11E1B" w:rsidRPr="00B3274C">
        <w:rPr>
          <w:lang w:val="fr-CA"/>
        </w:rPr>
        <w:t>décisions administratives ou en tant qu</w:t>
      </w:r>
      <w:r w:rsidR="0080611A">
        <w:rPr>
          <w:lang w:val="fr-CA"/>
        </w:rPr>
        <w:t>’</w:t>
      </w:r>
      <w:r w:rsidR="00B11E1B" w:rsidRPr="00B3274C">
        <w:rPr>
          <w:lang w:val="fr-CA"/>
        </w:rPr>
        <w:t xml:space="preserve">actionnaire. </w:t>
      </w:r>
      <w:r w:rsidR="008C57F0" w:rsidRPr="00B3274C">
        <w:rPr>
          <w:lang w:val="fr-CA"/>
        </w:rPr>
        <w:t>Il dispose pour ce faire d</w:t>
      </w:r>
      <w:r w:rsidR="0080611A">
        <w:rPr>
          <w:lang w:val="fr-CA"/>
        </w:rPr>
        <w:t>’</w:t>
      </w:r>
      <w:r w:rsidR="008C57F0" w:rsidRPr="00B3274C">
        <w:rPr>
          <w:lang w:val="fr-CA"/>
        </w:rPr>
        <w:t>un champ d</w:t>
      </w:r>
      <w:r w:rsidR="0080611A">
        <w:rPr>
          <w:lang w:val="fr-CA"/>
        </w:rPr>
        <w:t>’</w:t>
      </w:r>
      <w:r w:rsidR="008C57F0" w:rsidRPr="00B3274C">
        <w:rPr>
          <w:lang w:val="fr-CA"/>
        </w:rPr>
        <w:t xml:space="preserve">action élargi. </w:t>
      </w:r>
    </w:p>
    <w:p w:rsidR="00FB23D3" w:rsidRPr="00B3274C" w:rsidRDefault="00107A47" w:rsidP="00107A47">
      <w:pPr>
        <w:pStyle w:val="SingleTxtG"/>
        <w:rPr>
          <w:lang w:val="fr-CA"/>
        </w:rPr>
      </w:pPr>
      <w:r w:rsidRPr="00B3274C">
        <w:rPr>
          <w:lang w:val="fr-CA"/>
        </w:rPr>
        <w:t>11.</w:t>
      </w:r>
      <w:r w:rsidRPr="00B3274C">
        <w:rPr>
          <w:lang w:val="fr-CA"/>
        </w:rPr>
        <w:tab/>
      </w:r>
      <w:r w:rsidR="007F0B74" w:rsidRPr="00B3274C">
        <w:rPr>
          <w:lang w:val="fr-CA"/>
        </w:rPr>
        <w:t>La Commission pour l</w:t>
      </w:r>
      <w:r w:rsidR="0080611A">
        <w:rPr>
          <w:lang w:val="fr-CA"/>
        </w:rPr>
        <w:t>’</w:t>
      </w:r>
      <w:r w:rsidR="007F0B74" w:rsidRPr="00B3274C">
        <w:rPr>
          <w:lang w:val="fr-CA"/>
        </w:rPr>
        <w:t>égalité de traitement</w:t>
      </w:r>
      <w:r w:rsidR="0080611A">
        <w:rPr>
          <w:lang w:val="fr-CA"/>
        </w:rPr>
        <w:t>,</w:t>
      </w:r>
      <w:r w:rsidR="007F0B74" w:rsidRPr="00B3274C">
        <w:rPr>
          <w:lang w:val="fr-CA"/>
        </w:rPr>
        <w:t xml:space="preserve"> un organe créé au sein du Ministère de la justice</w:t>
      </w:r>
      <w:r w:rsidR="0080611A">
        <w:rPr>
          <w:lang w:val="fr-CA"/>
        </w:rPr>
        <w:t>,</w:t>
      </w:r>
      <w:r w:rsidR="007F0B74" w:rsidRPr="00B3274C">
        <w:rPr>
          <w:lang w:val="fr-CA"/>
        </w:rPr>
        <w:t xml:space="preserve"> de la transparence et des droits de l</w:t>
      </w:r>
      <w:r w:rsidR="0080611A">
        <w:rPr>
          <w:lang w:val="fr-CA"/>
        </w:rPr>
        <w:t>’</w:t>
      </w:r>
      <w:r w:rsidR="007F0B74" w:rsidRPr="00B3274C">
        <w:rPr>
          <w:lang w:val="fr-CA"/>
        </w:rPr>
        <w:t>homme qui relève directement du Ministre</w:t>
      </w:r>
      <w:r w:rsidR="0080611A">
        <w:rPr>
          <w:lang w:val="fr-CA"/>
        </w:rPr>
        <w:t>,</w:t>
      </w:r>
      <w:r w:rsidR="007F0B74" w:rsidRPr="00B3274C">
        <w:rPr>
          <w:lang w:val="fr-CA"/>
        </w:rPr>
        <w:t xml:space="preserve"> examine les violations du principe d</w:t>
      </w:r>
      <w:r w:rsidR="0080611A">
        <w:rPr>
          <w:lang w:val="fr-CA"/>
        </w:rPr>
        <w:t>’</w:t>
      </w:r>
      <w:r w:rsidR="007F0B74" w:rsidRPr="00B3274C">
        <w:rPr>
          <w:lang w:val="fr-CA"/>
        </w:rPr>
        <w:t xml:space="preserve">égalité de traitement par </w:t>
      </w:r>
      <w:r w:rsidR="00614BAC">
        <w:rPr>
          <w:lang w:val="fr-CA"/>
        </w:rPr>
        <w:t>des personnes</w:t>
      </w:r>
      <w:r w:rsidR="007F0B74" w:rsidRPr="00B3274C">
        <w:rPr>
          <w:lang w:val="fr-CA"/>
        </w:rPr>
        <w:t xml:space="preserve"> physiques ou juridiques</w:t>
      </w:r>
      <w:r w:rsidR="0080611A">
        <w:rPr>
          <w:lang w:val="fr-CA"/>
        </w:rPr>
        <w:t>,</w:t>
      </w:r>
      <w:r w:rsidR="007F0B74" w:rsidRPr="00B3274C">
        <w:rPr>
          <w:lang w:val="fr-CA"/>
        </w:rPr>
        <w:t xml:space="preserve"> autres que celles qui relèvent de la compétence du Bureau du Médiateur ou de l</w:t>
      </w:r>
      <w:r w:rsidR="0080611A">
        <w:rPr>
          <w:lang w:val="fr-CA"/>
        </w:rPr>
        <w:t>’</w:t>
      </w:r>
      <w:r w:rsidR="007F0B74" w:rsidRPr="00B3274C">
        <w:rPr>
          <w:lang w:val="fr-CA"/>
        </w:rPr>
        <w:t xml:space="preserve">Inspection du travail. </w:t>
      </w:r>
    </w:p>
    <w:p w:rsidR="00FB23D3" w:rsidRPr="00B3274C" w:rsidRDefault="00107A47" w:rsidP="005D0E92">
      <w:pPr>
        <w:pStyle w:val="SingleTxtG"/>
        <w:rPr>
          <w:lang w:val="fr-CA"/>
        </w:rPr>
      </w:pPr>
      <w:r w:rsidRPr="00B3274C">
        <w:rPr>
          <w:lang w:val="fr-CA"/>
        </w:rPr>
        <w:t>12.</w:t>
      </w:r>
      <w:r w:rsidRPr="00B3274C">
        <w:rPr>
          <w:lang w:val="fr-CA"/>
        </w:rPr>
        <w:tab/>
      </w:r>
      <w:r w:rsidR="00920213" w:rsidRPr="00B3274C">
        <w:rPr>
          <w:lang w:val="fr-CA"/>
        </w:rPr>
        <w:t>L</w:t>
      </w:r>
      <w:r w:rsidR="0080611A">
        <w:rPr>
          <w:lang w:val="fr-CA"/>
        </w:rPr>
        <w:t>’</w:t>
      </w:r>
      <w:r w:rsidR="00920213" w:rsidRPr="00B3274C">
        <w:rPr>
          <w:lang w:val="fr-CA"/>
        </w:rPr>
        <w:t xml:space="preserve">Inspection du travail examine les </w:t>
      </w:r>
      <w:r w:rsidR="00B24F88" w:rsidRPr="00B3274C">
        <w:rPr>
          <w:lang w:val="fr-CA"/>
        </w:rPr>
        <w:t>allégations de discrimination dans les domaines du travail et de l</w:t>
      </w:r>
      <w:r w:rsidR="0080611A">
        <w:rPr>
          <w:lang w:val="fr-CA"/>
        </w:rPr>
        <w:t>’</w:t>
      </w:r>
      <w:r w:rsidR="00B24F88" w:rsidRPr="00B3274C">
        <w:rPr>
          <w:lang w:val="fr-CA"/>
        </w:rPr>
        <w:t xml:space="preserve">emploi autres que ceux qui relèvent de la compétence du Bureau du Médiateur. </w:t>
      </w:r>
      <w:r w:rsidR="0063394A" w:rsidRPr="00B3274C">
        <w:rPr>
          <w:lang w:val="fr-CA"/>
        </w:rPr>
        <w:t xml:space="preserve">Elle peut mener des enquêtes ou </w:t>
      </w:r>
      <w:r w:rsidR="001802EE" w:rsidRPr="00B3274C">
        <w:rPr>
          <w:lang w:val="fr-CA"/>
        </w:rPr>
        <w:t>procéder à</w:t>
      </w:r>
      <w:r w:rsidR="0063394A" w:rsidRPr="00B3274C">
        <w:rPr>
          <w:lang w:val="fr-CA"/>
        </w:rPr>
        <w:t xml:space="preserve"> des contrôles et aussi imposer des sanctions administratives et déposer plainte en cas de violation de dispositions du droit pénal. L</w:t>
      </w:r>
      <w:r w:rsidR="0080611A">
        <w:rPr>
          <w:lang w:val="fr-CA"/>
        </w:rPr>
        <w:t>’</w:t>
      </w:r>
      <w:r w:rsidR="00597DC4">
        <w:rPr>
          <w:lang w:val="fr-CA"/>
        </w:rPr>
        <w:t>article </w:t>
      </w:r>
      <w:r w:rsidR="0063394A" w:rsidRPr="00B3274C">
        <w:rPr>
          <w:lang w:val="fr-CA"/>
        </w:rPr>
        <w:t xml:space="preserve">2 de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3996</w:t>
      </w:r>
      <w:r w:rsidR="00AA55E7" w:rsidRPr="00B3274C">
        <w:rPr>
          <w:lang w:val="fr-CA"/>
        </w:rPr>
        <w:t xml:space="preserve"> du 5 août </w:t>
      </w:r>
      <w:r w:rsidR="00FB23D3" w:rsidRPr="00B3274C">
        <w:rPr>
          <w:lang w:val="fr-CA"/>
        </w:rPr>
        <w:t xml:space="preserve">2011 </w:t>
      </w:r>
      <w:r w:rsidR="0063394A" w:rsidRPr="00B3274C">
        <w:rPr>
          <w:lang w:val="fr-CA"/>
        </w:rPr>
        <w:t xml:space="preserve">intitulée </w:t>
      </w:r>
      <w:r w:rsidR="0055418C" w:rsidRPr="00B3274C">
        <w:rPr>
          <w:lang w:val="fr-CA"/>
        </w:rPr>
        <w:t>«</w:t>
      </w:r>
      <w:r w:rsidR="0063394A" w:rsidRPr="00B3274C">
        <w:rPr>
          <w:lang w:val="fr-CA"/>
        </w:rPr>
        <w:t>Réforme de l</w:t>
      </w:r>
      <w:r w:rsidR="0080611A">
        <w:rPr>
          <w:lang w:val="fr-CA"/>
        </w:rPr>
        <w:t>’</w:t>
      </w:r>
      <w:r w:rsidR="0063394A" w:rsidRPr="00B3274C">
        <w:rPr>
          <w:lang w:val="fr-CA"/>
        </w:rPr>
        <w:t>Inspection du travail</w:t>
      </w:r>
      <w:r w:rsidR="0080611A">
        <w:rPr>
          <w:lang w:val="fr-CA"/>
        </w:rPr>
        <w:t>,</w:t>
      </w:r>
      <w:r w:rsidR="0063394A" w:rsidRPr="00B3274C">
        <w:rPr>
          <w:lang w:val="fr-CA"/>
        </w:rPr>
        <w:t xml:space="preserve"> de la réglementation </w:t>
      </w:r>
      <w:r w:rsidR="007151FA" w:rsidRPr="00B3274C">
        <w:rPr>
          <w:lang w:val="fr-CA"/>
        </w:rPr>
        <w:t>relative aux</w:t>
      </w:r>
      <w:r w:rsidR="0063394A" w:rsidRPr="00B3274C">
        <w:rPr>
          <w:lang w:val="fr-CA"/>
        </w:rPr>
        <w:t xml:space="preserve"> questions de sécurité sociale et </w:t>
      </w:r>
      <w:r w:rsidR="005D0E92" w:rsidRPr="00B3274C">
        <w:rPr>
          <w:lang w:val="fr-CA"/>
        </w:rPr>
        <w:t>d</w:t>
      </w:r>
      <w:r w:rsidR="0080611A">
        <w:rPr>
          <w:lang w:val="fr-CA"/>
        </w:rPr>
        <w:t>’</w:t>
      </w:r>
      <w:r w:rsidR="0063394A" w:rsidRPr="00B3274C">
        <w:rPr>
          <w:lang w:val="fr-CA"/>
        </w:rPr>
        <w:t>autres dispositions</w:t>
      </w:r>
      <w:r w:rsidR="0055418C" w:rsidRPr="00B3274C">
        <w:rPr>
          <w:lang w:val="fr-CA"/>
        </w:rPr>
        <w:t>»</w:t>
      </w:r>
      <w:r w:rsidR="007151FA" w:rsidRPr="00B3274C">
        <w:rPr>
          <w:lang w:val="fr-CA"/>
        </w:rPr>
        <w:t xml:space="preserve"> dispose que l</w:t>
      </w:r>
      <w:r w:rsidR="0080611A">
        <w:rPr>
          <w:lang w:val="fr-CA"/>
        </w:rPr>
        <w:t>’</w:t>
      </w:r>
      <w:r w:rsidR="007151FA" w:rsidRPr="00B3274C">
        <w:rPr>
          <w:lang w:val="fr-CA"/>
        </w:rPr>
        <w:t>Inspection du travail</w:t>
      </w:r>
      <w:r w:rsidR="0055418C" w:rsidRPr="00B3274C">
        <w:rPr>
          <w:lang w:val="fr-CA"/>
        </w:rPr>
        <w:t xml:space="preserve"> </w:t>
      </w:r>
      <w:r w:rsidR="007151FA" w:rsidRPr="00B3274C">
        <w:rPr>
          <w:lang w:val="fr-CA"/>
        </w:rPr>
        <w:t>examine les violations du principe d</w:t>
      </w:r>
      <w:r w:rsidR="0080611A">
        <w:rPr>
          <w:lang w:val="fr-CA"/>
        </w:rPr>
        <w:t>’</w:t>
      </w:r>
      <w:r w:rsidR="007151FA" w:rsidRPr="00B3274C">
        <w:rPr>
          <w:lang w:val="fr-CA"/>
        </w:rPr>
        <w:t>égalité de traitement entre hom</w:t>
      </w:r>
      <w:r w:rsidR="005D0E92" w:rsidRPr="00B3274C">
        <w:rPr>
          <w:lang w:val="fr-CA"/>
        </w:rPr>
        <w:t>m</w:t>
      </w:r>
      <w:r w:rsidR="007151FA" w:rsidRPr="00B3274C">
        <w:rPr>
          <w:lang w:val="fr-CA"/>
        </w:rPr>
        <w:t xml:space="preserve">es et femmes </w:t>
      </w:r>
      <w:r w:rsidR="005D0E92" w:rsidRPr="00B3274C">
        <w:rPr>
          <w:lang w:val="fr-CA"/>
        </w:rPr>
        <w:t>dans les domaines du travail et de l</w:t>
      </w:r>
      <w:r w:rsidR="0080611A">
        <w:rPr>
          <w:lang w:val="fr-CA"/>
        </w:rPr>
        <w:t>’</w:t>
      </w:r>
      <w:r w:rsidR="005D0E92" w:rsidRPr="00B3274C">
        <w:rPr>
          <w:lang w:val="fr-CA"/>
        </w:rPr>
        <w:t>emploi</w:t>
      </w:r>
      <w:r w:rsidR="0080611A">
        <w:rPr>
          <w:lang w:val="fr-CA"/>
        </w:rPr>
        <w:t>,</w:t>
      </w:r>
      <w:r w:rsidR="005D0E92" w:rsidRPr="00B3274C">
        <w:rPr>
          <w:lang w:val="fr-CA"/>
        </w:rPr>
        <w:t xml:space="preserve"> indépendamment de l</w:t>
      </w:r>
      <w:r w:rsidR="0080611A">
        <w:rPr>
          <w:lang w:val="fr-CA"/>
        </w:rPr>
        <w:t>’</w:t>
      </w:r>
      <w:r w:rsidR="005D0E92" w:rsidRPr="00B3274C">
        <w:rPr>
          <w:lang w:val="fr-CA"/>
        </w:rPr>
        <w:t>origine raciale ou ethnique</w:t>
      </w:r>
      <w:r w:rsidR="0080611A">
        <w:rPr>
          <w:lang w:val="fr-CA"/>
        </w:rPr>
        <w:t>,</w:t>
      </w:r>
      <w:r w:rsidR="005D0E92" w:rsidRPr="00B3274C">
        <w:rPr>
          <w:lang w:val="fr-CA"/>
        </w:rPr>
        <w:t xml:space="preserve"> des convictions religieuses ou autres croyances</w:t>
      </w:r>
      <w:r w:rsidR="0080611A">
        <w:rPr>
          <w:lang w:val="fr-CA"/>
        </w:rPr>
        <w:t>,</w:t>
      </w:r>
      <w:r w:rsidR="005D0E92" w:rsidRPr="00B3274C">
        <w:rPr>
          <w:lang w:val="fr-CA"/>
        </w:rPr>
        <w:t xml:space="preserve"> du handicap</w:t>
      </w:r>
      <w:r w:rsidR="0080611A">
        <w:rPr>
          <w:lang w:val="fr-CA"/>
        </w:rPr>
        <w:t>,</w:t>
      </w:r>
      <w:r w:rsidR="005D0E92" w:rsidRPr="00B3274C">
        <w:rPr>
          <w:lang w:val="fr-CA"/>
        </w:rPr>
        <w:t xml:space="preserve"> de l</w:t>
      </w:r>
      <w:r w:rsidR="0080611A">
        <w:rPr>
          <w:lang w:val="fr-CA"/>
        </w:rPr>
        <w:t>’</w:t>
      </w:r>
      <w:r w:rsidR="005D0E92" w:rsidRPr="00B3274C">
        <w:rPr>
          <w:lang w:val="fr-CA"/>
        </w:rPr>
        <w:t>âge ou de l</w:t>
      </w:r>
      <w:r w:rsidR="0080611A">
        <w:rPr>
          <w:lang w:val="fr-CA"/>
        </w:rPr>
        <w:t>’</w:t>
      </w:r>
      <w:r w:rsidR="005D0E92" w:rsidRPr="00B3274C">
        <w:rPr>
          <w:lang w:val="fr-CA"/>
        </w:rPr>
        <w:t>orientation sexuelle</w:t>
      </w:r>
      <w:r w:rsidR="0080611A">
        <w:rPr>
          <w:lang w:val="fr-CA"/>
        </w:rPr>
        <w:t>,</w:t>
      </w:r>
      <w:r w:rsidR="005D0E92" w:rsidRPr="00B3274C">
        <w:rPr>
          <w:lang w:val="fr-CA"/>
        </w:rPr>
        <w:t xml:space="preserve"> en prenant en considération également les cas de discrimination multiple. En application de l</w:t>
      </w:r>
      <w:r w:rsidR="0080611A">
        <w:rPr>
          <w:lang w:val="fr-CA"/>
        </w:rPr>
        <w:t>’</w:t>
      </w:r>
      <w:r w:rsidR="00597DC4">
        <w:rPr>
          <w:lang w:val="fr-CA"/>
        </w:rPr>
        <w:t>article </w:t>
      </w:r>
      <w:r w:rsidR="00AA55E7" w:rsidRPr="00B3274C">
        <w:rPr>
          <w:lang w:val="fr-CA"/>
        </w:rPr>
        <w:t xml:space="preserve">10 </w:t>
      </w:r>
      <w:r w:rsidR="005D0E92" w:rsidRPr="00B3274C">
        <w:rPr>
          <w:lang w:val="fr-CA"/>
        </w:rPr>
        <w:t xml:space="preserve">de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3304/2005</w:t>
      </w:r>
      <w:r w:rsidR="0080611A">
        <w:rPr>
          <w:lang w:val="fr-CA"/>
        </w:rPr>
        <w:t>,</w:t>
      </w:r>
      <w:r w:rsidR="00FB23D3" w:rsidRPr="00B3274C">
        <w:rPr>
          <w:lang w:val="fr-CA"/>
        </w:rPr>
        <w:t xml:space="preserve"> </w:t>
      </w:r>
      <w:r w:rsidR="005D0E92" w:rsidRPr="00B3274C">
        <w:rPr>
          <w:lang w:val="fr-CA"/>
        </w:rPr>
        <w:t>l</w:t>
      </w:r>
      <w:r w:rsidR="0080611A">
        <w:rPr>
          <w:lang w:val="fr-CA"/>
        </w:rPr>
        <w:t>’</w:t>
      </w:r>
      <w:r w:rsidR="005D0E92" w:rsidRPr="00B3274C">
        <w:rPr>
          <w:lang w:val="fr-CA"/>
        </w:rPr>
        <w:t>Inspection du travail examine aussi les cas de discrimination à l</w:t>
      </w:r>
      <w:r w:rsidR="0080611A">
        <w:rPr>
          <w:lang w:val="fr-CA"/>
        </w:rPr>
        <w:t>’</w:t>
      </w:r>
      <w:r w:rsidR="005D0E92" w:rsidRPr="00B3274C">
        <w:rPr>
          <w:lang w:val="fr-CA"/>
        </w:rPr>
        <w:t xml:space="preserve">égard </w:t>
      </w:r>
      <w:r w:rsidR="00614BAC">
        <w:rPr>
          <w:lang w:val="fr-CA"/>
        </w:rPr>
        <w:t>des personnes</w:t>
      </w:r>
      <w:r w:rsidR="005D0E92" w:rsidRPr="00B3274C">
        <w:rPr>
          <w:lang w:val="fr-CA"/>
        </w:rPr>
        <w:t xml:space="preserve"> handicapées</w:t>
      </w:r>
      <w:r w:rsidR="006F7E09" w:rsidRPr="00B3274C">
        <w:rPr>
          <w:lang w:val="fr-CA"/>
        </w:rPr>
        <w:t xml:space="preserve"> et également </w:t>
      </w:r>
      <w:r w:rsidR="00614BAC">
        <w:rPr>
          <w:lang w:val="fr-CA"/>
        </w:rPr>
        <w:t>des personnes</w:t>
      </w:r>
      <w:r w:rsidR="005D0E92" w:rsidRPr="00B3274C">
        <w:rPr>
          <w:lang w:val="fr-CA"/>
        </w:rPr>
        <w:t xml:space="preserve"> infectées par le VIH. </w:t>
      </w:r>
    </w:p>
    <w:p w:rsidR="00FB23D3" w:rsidRPr="00B3274C" w:rsidRDefault="00107A47" w:rsidP="00107A47">
      <w:pPr>
        <w:pStyle w:val="SingleTxtG"/>
        <w:rPr>
          <w:lang w:val="fr-CA"/>
        </w:rPr>
      </w:pPr>
      <w:r w:rsidRPr="00B3274C">
        <w:rPr>
          <w:lang w:val="fr-CA"/>
        </w:rPr>
        <w:t>13.</w:t>
      </w:r>
      <w:r w:rsidRPr="00B3274C">
        <w:rPr>
          <w:lang w:val="fr-CA"/>
        </w:rPr>
        <w:tab/>
      </w:r>
      <w:r w:rsidR="004F3D66" w:rsidRPr="00B3274C">
        <w:rPr>
          <w:lang w:val="fr-CA"/>
        </w:rPr>
        <w:t>La Commission nationale des droits de l</w:t>
      </w:r>
      <w:r w:rsidR="0080611A">
        <w:rPr>
          <w:lang w:val="fr-CA"/>
        </w:rPr>
        <w:t>’</w:t>
      </w:r>
      <w:r w:rsidR="004F3D66" w:rsidRPr="00B3274C">
        <w:rPr>
          <w:lang w:val="fr-CA"/>
        </w:rPr>
        <w:t xml:space="preserve">homme a relevé des insuffisances dans le cadre législatif en vigueur. </w:t>
      </w:r>
      <w:r w:rsidR="005200D5" w:rsidRPr="00B3274C">
        <w:rPr>
          <w:lang w:val="fr-CA"/>
        </w:rPr>
        <w:t xml:space="preserve">Il est vrai que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 xml:space="preserve">3304/2005 </w:t>
      </w:r>
      <w:r w:rsidR="005200D5" w:rsidRPr="00B3274C">
        <w:rPr>
          <w:lang w:val="fr-CA"/>
        </w:rPr>
        <w:t>n</w:t>
      </w:r>
      <w:r w:rsidR="0080611A">
        <w:rPr>
          <w:lang w:val="fr-CA"/>
        </w:rPr>
        <w:t>’</w:t>
      </w:r>
      <w:r w:rsidR="005200D5" w:rsidRPr="00B3274C">
        <w:rPr>
          <w:lang w:val="fr-CA"/>
        </w:rPr>
        <w:t xml:space="preserve">a pas encore </w:t>
      </w:r>
      <w:r w:rsidR="008004B1" w:rsidRPr="00B3274C">
        <w:rPr>
          <w:lang w:val="fr-CA"/>
        </w:rPr>
        <w:t>atteint</w:t>
      </w:r>
      <w:r w:rsidR="005200D5" w:rsidRPr="00B3274C">
        <w:rPr>
          <w:lang w:val="fr-CA"/>
        </w:rPr>
        <w:t xml:space="preserve"> son plein potentiel</w:t>
      </w:r>
      <w:r w:rsidR="0080611A">
        <w:rPr>
          <w:lang w:val="fr-CA"/>
        </w:rPr>
        <w:t>,</w:t>
      </w:r>
      <w:r w:rsidR="005200D5" w:rsidRPr="00B3274C">
        <w:rPr>
          <w:lang w:val="fr-CA"/>
        </w:rPr>
        <w:t xml:space="preserve"> </w:t>
      </w:r>
      <w:r w:rsidR="008004B1" w:rsidRPr="00B3274C">
        <w:rPr>
          <w:lang w:val="fr-CA"/>
        </w:rPr>
        <w:t>s</w:t>
      </w:r>
      <w:r w:rsidR="0080611A">
        <w:rPr>
          <w:lang w:val="fr-CA"/>
        </w:rPr>
        <w:t>’</w:t>
      </w:r>
      <w:r w:rsidR="008004B1" w:rsidRPr="00B3274C">
        <w:rPr>
          <w:lang w:val="fr-CA"/>
        </w:rPr>
        <w:t>agissant du</w:t>
      </w:r>
      <w:r w:rsidR="005200D5" w:rsidRPr="00B3274C">
        <w:rPr>
          <w:lang w:val="fr-CA"/>
        </w:rPr>
        <w:t xml:space="preserve"> suivi de son application. Les plaintes sont peu nombreuses et ne concernent que le secteur public</w:t>
      </w:r>
      <w:r w:rsidR="00EC5892" w:rsidRPr="00B3274C">
        <w:rPr>
          <w:lang w:val="fr-CA"/>
        </w:rPr>
        <w:t>;</w:t>
      </w:r>
      <w:r w:rsidR="005200D5" w:rsidRPr="00B3274C">
        <w:rPr>
          <w:lang w:val="fr-CA"/>
        </w:rPr>
        <w:t xml:space="preserve"> elles relèvent de la compétence du Bureau du Médiateur. Il convient toutefois de souligner que tant le Médiateur grec</w:t>
      </w:r>
      <w:r w:rsidR="0080611A">
        <w:rPr>
          <w:lang w:val="fr-CA"/>
        </w:rPr>
        <w:t>,</w:t>
      </w:r>
      <w:r w:rsidR="005200D5" w:rsidRPr="00B3274C">
        <w:rPr>
          <w:lang w:val="fr-CA"/>
        </w:rPr>
        <w:t xml:space="preserve"> en tant qu</w:t>
      </w:r>
      <w:r w:rsidR="0080611A">
        <w:rPr>
          <w:lang w:val="fr-CA"/>
        </w:rPr>
        <w:t>’</w:t>
      </w:r>
      <w:r w:rsidR="005200D5" w:rsidRPr="00B3274C">
        <w:rPr>
          <w:lang w:val="fr-CA"/>
        </w:rPr>
        <w:t>autorité indépendante</w:t>
      </w:r>
      <w:r w:rsidR="0080611A">
        <w:rPr>
          <w:lang w:val="fr-CA"/>
        </w:rPr>
        <w:t>,</w:t>
      </w:r>
      <w:r w:rsidR="005200D5" w:rsidRPr="00B3274C">
        <w:rPr>
          <w:lang w:val="fr-CA"/>
        </w:rPr>
        <w:t xml:space="preserve"> que l</w:t>
      </w:r>
      <w:r w:rsidR="0080611A">
        <w:rPr>
          <w:lang w:val="fr-CA"/>
        </w:rPr>
        <w:t>’</w:t>
      </w:r>
      <w:r w:rsidR="005200D5" w:rsidRPr="00B3274C">
        <w:rPr>
          <w:lang w:val="fr-CA"/>
        </w:rPr>
        <w:t>Inspection du travail traitent efficacement un nombre important d</w:t>
      </w:r>
      <w:r w:rsidR="0080611A">
        <w:rPr>
          <w:lang w:val="fr-CA"/>
        </w:rPr>
        <w:t>’</w:t>
      </w:r>
      <w:r w:rsidR="005200D5" w:rsidRPr="00B3274C">
        <w:rPr>
          <w:lang w:val="fr-CA"/>
        </w:rPr>
        <w:t>affaires</w:t>
      </w:r>
      <w:r w:rsidR="00384A4E" w:rsidRPr="00B3274C">
        <w:rPr>
          <w:lang w:val="fr-CA"/>
        </w:rPr>
        <w:t xml:space="preserve"> </w:t>
      </w:r>
      <w:r w:rsidR="005200D5" w:rsidRPr="00B3274C">
        <w:rPr>
          <w:lang w:val="fr-CA"/>
        </w:rPr>
        <w:t>relevant de leur cadre législatif général respectif</w:t>
      </w:r>
      <w:r w:rsidR="0080611A">
        <w:rPr>
          <w:lang w:val="fr-CA"/>
        </w:rPr>
        <w:t>,</w:t>
      </w:r>
      <w:r w:rsidR="005200D5" w:rsidRPr="00B3274C">
        <w:rPr>
          <w:lang w:val="fr-CA"/>
        </w:rPr>
        <w:t xml:space="preserve"> qui sont étroitement liées à la lutte contre toutes les formes de discrimination. </w:t>
      </w:r>
    </w:p>
    <w:p w:rsidR="005E59A4" w:rsidRPr="00121C40" w:rsidRDefault="00121C40" w:rsidP="00121C40">
      <w:pPr>
        <w:pStyle w:val="H23G"/>
        <w:rPr>
          <w:b w:val="0"/>
        </w:rPr>
      </w:pPr>
      <w:r>
        <w:tab/>
      </w:r>
      <w:r>
        <w:tab/>
      </w:r>
      <w:r w:rsidR="005E59A4" w:rsidRPr="00121C40">
        <w:rPr>
          <w:b w:val="0"/>
        </w:rPr>
        <w:t>Table</w:t>
      </w:r>
      <w:r w:rsidR="005200D5" w:rsidRPr="00121C40">
        <w:rPr>
          <w:b w:val="0"/>
        </w:rPr>
        <w:t>au</w:t>
      </w:r>
      <w:r w:rsidR="005E59A4" w:rsidRPr="00121C40">
        <w:rPr>
          <w:b w:val="0"/>
        </w:rPr>
        <w:t xml:space="preserve"> 1</w:t>
      </w:r>
    </w:p>
    <w:tbl>
      <w:tblPr>
        <w:tblW w:w="8516" w:type="dxa"/>
        <w:tblInd w:w="1134" w:type="dxa"/>
        <w:tblBorders>
          <w:top w:val="single" w:sz="4" w:space="0" w:color="auto"/>
        </w:tblBorders>
        <w:tblLayout w:type="fixed"/>
        <w:tblCellMar>
          <w:left w:w="0" w:type="dxa"/>
          <w:right w:w="0" w:type="dxa"/>
        </w:tblCellMar>
        <w:tblLook w:val="0000"/>
      </w:tblPr>
      <w:tblGrid>
        <w:gridCol w:w="724"/>
        <w:gridCol w:w="992"/>
        <w:gridCol w:w="1026"/>
        <w:gridCol w:w="1134"/>
        <w:gridCol w:w="1134"/>
        <w:gridCol w:w="1149"/>
        <w:gridCol w:w="1119"/>
        <w:gridCol w:w="1238"/>
      </w:tblGrid>
      <w:tr w:rsidR="00FF68FA" w:rsidRPr="00B3274C" w:rsidTr="006102C4">
        <w:trPr>
          <w:tblHeader/>
        </w:trPr>
        <w:tc>
          <w:tcPr>
            <w:tcW w:w="724"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FF68FA" w:rsidRPr="00B3274C" w:rsidRDefault="005200D5" w:rsidP="004E18D0">
            <w:pPr>
              <w:spacing w:before="80" w:after="80" w:line="200" w:lineRule="exact"/>
              <w:rPr>
                <w:i/>
                <w:sz w:val="16"/>
                <w:lang w:val="fr-CA"/>
              </w:rPr>
            </w:pPr>
            <w:r w:rsidRPr="00B3274C">
              <w:rPr>
                <w:bCs/>
                <w:i/>
                <w:sz w:val="16"/>
                <w:lang w:val="fr-CA"/>
              </w:rPr>
              <w:t>Année</w:t>
            </w:r>
          </w:p>
        </w:tc>
        <w:tc>
          <w:tcPr>
            <w:tcW w:w="992"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FF68FA" w:rsidRPr="00B3274C" w:rsidRDefault="00FF68FA" w:rsidP="005200D5">
            <w:pPr>
              <w:spacing w:before="80" w:after="80" w:line="200" w:lineRule="exact"/>
              <w:jc w:val="right"/>
              <w:rPr>
                <w:bCs/>
                <w:i/>
                <w:sz w:val="16"/>
                <w:lang w:val="fr-CA"/>
              </w:rPr>
            </w:pPr>
            <w:r w:rsidRPr="00B3274C">
              <w:rPr>
                <w:bCs/>
                <w:i/>
                <w:sz w:val="16"/>
                <w:lang w:val="fr-CA"/>
              </w:rPr>
              <w:t xml:space="preserve">Inspections </w:t>
            </w:r>
            <w:r w:rsidR="005200D5" w:rsidRPr="00B3274C">
              <w:rPr>
                <w:bCs/>
                <w:i/>
                <w:sz w:val="16"/>
                <w:lang w:val="fr-CA"/>
              </w:rPr>
              <w:t>et</w:t>
            </w:r>
            <w:r w:rsidRPr="00B3274C">
              <w:rPr>
                <w:bCs/>
                <w:i/>
                <w:sz w:val="16"/>
                <w:lang w:val="fr-CA"/>
              </w:rPr>
              <w:t xml:space="preserve"> r</w:t>
            </w:r>
            <w:r w:rsidR="005200D5" w:rsidRPr="00B3274C">
              <w:rPr>
                <w:bCs/>
                <w:i/>
                <w:sz w:val="16"/>
                <w:lang w:val="fr-CA"/>
              </w:rPr>
              <w:t>é</w:t>
            </w:r>
            <w:r w:rsidRPr="00B3274C">
              <w:rPr>
                <w:bCs/>
                <w:i/>
                <w:sz w:val="16"/>
                <w:lang w:val="fr-CA"/>
              </w:rPr>
              <w:t xml:space="preserve">inspections </w:t>
            </w:r>
          </w:p>
        </w:tc>
        <w:tc>
          <w:tcPr>
            <w:tcW w:w="3294" w:type="dxa"/>
            <w:gridSpan w:val="3"/>
            <w:tcBorders>
              <w:top w:val="single" w:sz="4" w:space="0" w:color="auto"/>
              <w:bottom w:val="single" w:sz="4" w:space="0" w:color="auto"/>
            </w:tcBorders>
            <w:shd w:val="clear" w:color="auto" w:fill="auto"/>
            <w:tcMar>
              <w:top w:w="15" w:type="dxa"/>
              <w:left w:w="15" w:type="dxa"/>
              <w:bottom w:w="0" w:type="dxa"/>
              <w:right w:w="15" w:type="dxa"/>
            </w:tcMar>
            <w:vAlign w:val="bottom"/>
          </w:tcPr>
          <w:p w:rsidR="00FF68FA" w:rsidRPr="00B3274C" w:rsidRDefault="00FF68FA" w:rsidP="006102C4">
            <w:pPr>
              <w:spacing w:before="80" w:after="80" w:line="200" w:lineRule="exact"/>
              <w:jc w:val="center"/>
              <w:rPr>
                <w:bCs/>
                <w:i/>
                <w:sz w:val="16"/>
                <w:lang w:val="fr-CA"/>
              </w:rPr>
            </w:pPr>
            <w:r w:rsidRPr="00B3274C">
              <w:rPr>
                <w:bCs/>
                <w:i/>
                <w:sz w:val="16"/>
                <w:lang w:val="fr-CA"/>
              </w:rPr>
              <w:t>Sanctions</w:t>
            </w:r>
          </w:p>
        </w:tc>
        <w:tc>
          <w:tcPr>
            <w:tcW w:w="3506" w:type="dxa"/>
            <w:gridSpan w:val="3"/>
            <w:tcBorders>
              <w:top w:val="single" w:sz="4" w:space="0" w:color="auto"/>
              <w:bottom w:val="single" w:sz="4" w:space="0" w:color="auto"/>
            </w:tcBorders>
            <w:shd w:val="clear" w:color="auto" w:fill="auto"/>
            <w:tcMar>
              <w:top w:w="15" w:type="dxa"/>
              <w:left w:w="15" w:type="dxa"/>
              <w:bottom w:w="0" w:type="dxa"/>
              <w:right w:w="15" w:type="dxa"/>
            </w:tcMar>
            <w:vAlign w:val="bottom"/>
          </w:tcPr>
          <w:p w:rsidR="00A428FB" w:rsidRPr="00B3274C" w:rsidRDefault="00A428FB" w:rsidP="006102C4">
            <w:pPr>
              <w:spacing w:before="80" w:after="80" w:line="200" w:lineRule="exact"/>
              <w:jc w:val="center"/>
              <w:rPr>
                <w:bCs/>
                <w:i/>
                <w:sz w:val="16"/>
                <w:lang w:val="fr-CA"/>
              </w:rPr>
            </w:pPr>
            <w:r w:rsidRPr="00B3274C">
              <w:rPr>
                <w:bCs/>
                <w:i/>
                <w:sz w:val="16"/>
                <w:lang w:val="fr-CA"/>
              </w:rPr>
              <w:t>Conflits du travail</w:t>
            </w:r>
            <w:r w:rsidR="00597DC4">
              <w:rPr>
                <w:bCs/>
                <w:i/>
                <w:sz w:val="16"/>
                <w:lang w:val="fr-CA"/>
              </w:rPr>
              <w:br/>
            </w:r>
            <w:r w:rsidRPr="00B3274C">
              <w:rPr>
                <w:bCs/>
                <w:i/>
                <w:sz w:val="16"/>
                <w:lang w:val="fr-CA"/>
              </w:rPr>
              <w:t>(procédure de conciliation)</w:t>
            </w:r>
          </w:p>
        </w:tc>
      </w:tr>
      <w:tr w:rsidR="00FF68FA" w:rsidRPr="00B3274C" w:rsidTr="0002074D">
        <w:trPr>
          <w:trHeight w:val="372"/>
          <w:tblHeader/>
        </w:trPr>
        <w:tc>
          <w:tcPr>
            <w:tcW w:w="724" w:type="dxa"/>
            <w:vMerge/>
            <w:tcBorders>
              <w:top w:val="nil"/>
              <w:bottom w:val="single" w:sz="12" w:space="0" w:color="auto"/>
            </w:tcBorders>
            <w:shd w:val="clear" w:color="auto" w:fill="auto"/>
            <w:vAlign w:val="bottom"/>
          </w:tcPr>
          <w:p w:rsidR="00FF68FA" w:rsidRPr="00B3274C" w:rsidRDefault="00FF68FA" w:rsidP="004E18D0">
            <w:pPr>
              <w:spacing w:before="80" w:after="80" w:line="200" w:lineRule="exact"/>
              <w:rPr>
                <w:bCs/>
                <w:sz w:val="18"/>
                <w:lang w:val="fr-CA"/>
              </w:rPr>
            </w:pPr>
          </w:p>
        </w:tc>
        <w:tc>
          <w:tcPr>
            <w:tcW w:w="992" w:type="dxa"/>
            <w:vMerge/>
            <w:tcBorders>
              <w:top w:val="nil"/>
              <w:bottom w:val="single" w:sz="12" w:space="0" w:color="auto"/>
            </w:tcBorders>
            <w:shd w:val="clear" w:color="auto" w:fill="auto"/>
            <w:vAlign w:val="bottom"/>
          </w:tcPr>
          <w:p w:rsidR="00FF68FA" w:rsidRPr="00B3274C" w:rsidRDefault="00FF68FA" w:rsidP="004E18D0">
            <w:pPr>
              <w:spacing w:before="80" w:after="80" w:line="200" w:lineRule="exact"/>
              <w:jc w:val="right"/>
              <w:rPr>
                <w:bCs/>
                <w:sz w:val="18"/>
                <w:lang w:val="fr-CA"/>
              </w:rPr>
            </w:pPr>
          </w:p>
        </w:tc>
        <w:tc>
          <w:tcPr>
            <w:tcW w:w="1026" w:type="dxa"/>
            <w:vMerge w:val="restart"/>
            <w:tcBorders>
              <w:top w:val="single" w:sz="4" w:space="0" w:color="auto"/>
            </w:tcBorders>
            <w:shd w:val="clear" w:color="auto" w:fill="auto"/>
            <w:tcMar>
              <w:bottom w:w="0" w:type="dxa"/>
            </w:tcMar>
            <w:vAlign w:val="bottom"/>
          </w:tcPr>
          <w:p w:rsidR="00FF68FA" w:rsidRPr="00B3274C" w:rsidRDefault="005200D5" w:rsidP="00597DC4">
            <w:pPr>
              <w:spacing w:before="80" w:after="80" w:line="200" w:lineRule="exact"/>
              <w:jc w:val="right"/>
              <w:rPr>
                <w:bCs/>
                <w:i/>
                <w:sz w:val="16"/>
                <w:szCs w:val="16"/>
                <w:lang w:val="fr-CA"/>
              </w:rPr>
            </w:pPr>
            <w:r w:rsidRPr="00B3274C">
              <w:rPr>
                <w:bCs/>
                <w:i/>
                <w:sz w:val="16"/>
                <w:szCs w:val="16"/>
                <w:lang w:val="fr-CA"/>
              </w:rPr>
              <w:t>Plaintes</w:t>
            </w:r>
          </w:p>
        </w:tc>
        <w:tc>
          <w:tcPr>
            <w:tcW w:w="1134" w:type="dxa"/>
            <w:vMerge w:val="restart"/>
            <w:tcBorders>
              <w:top w:val="single" w:sz="4" w:space="0" w:color="auto"/>
            </w:tcBorders>
            <w:shd w:val="clear" w:color="auto" w:fill="auto"/>
            <w:tcMar>
              <w:top w:w="0" w:type="dxa"/>
              <w:left w:w="0" w:type="dxa"/>
              <w:bottom w:w="0" w:type="dxa"/>
              <w:right w:w="0" w:type="dxa"/>
            </w:tcMar>
            <w:vAlign w:val="bottom"/>
          </w:tcPr>
          <w:p w:rsidR="00FF68FA" w:rsidRPr="00B3274C" w:rsidRDefault="00A428FB" w:rsidP="00597DC4">
            <w:pPr>
              <w:spacing w:before="80" w:after="80" w:line="200" w:lineRule="exact"/>
              <w:jc w:val="right"/>
              <w:rPr>
                <w:bCs/>
                <w:i/>
                <w:sz w:val="16"/>
                <w:szCs w:val="16"/>
                <w:lang w:val="fr-CA"/>
              </w:rPr>
            </w:pPr>
            <w:r w:rsidRPr="00B3274C">
              <w:rPr>
                <w:bCs/>
                <w:i/>
                <w:sz w:val="16"/>
                <w:szCs w:val="16"/>
                <w:lang w:val="fr-CA"/>
              </w:rPr>
              <w:t>Amendes imposées</w:t>
            </w:r>
          </w:p>
        </w:tc>
        <w:tc>
          <w:tcPr>
            <w:tcW w:w="1134" w:type="dxa"/>
            <w:vMerge w:val="restart"/>
            <w:tcBorders>
              <w:top w:val="single" w:sz="4" w:space="0" w:color="auto"/>
            </w:tcBorders>
            <w:shd w:val="clear" w:color="auto" w:fill="auto"/>
            <w:tcMar>
              <w:top w:w="15" w:type="dxa"/>
              <w:left w:w="15" w:type="dxa"/>
              <w:right w:w="15" w:type="dxa"/>
            </w:tcMar>
            <w:vAlign w:val="bottom"/>
          </w:tcPr>
          <w:p w:rsidR="00FF68FA" w:rsidRPr="00B3274C" w:rsidRDefault="00A428FB" w:rsidP="00177B75">
            <w:pPr>
              <w:spacing w:before="80" w:after="80" w:line="200" w:lineRule="exact"/>
              <w:jc w:val="right"/>
              <w:rPr>
                <w:bCs/>
                <w:i/>
                <w:sz w:val="16"/>
                <w:szCs w:val="16"/>
                <w:lang w:val="fr-CA"/>
              </w:rPr>
            </w:pPr>
            <w:r w:rsidRPr="00B3274C">
              <w:rPr>
                <w:bCs/>
                <w:i/>
                <w:sz w:val="16"/>
                <w:szCs w:val="16"/>
                <w:lang w:val="fr-CA"/>
              </w:rPr>
              <w:t>Montant des amendes imposées (en</w:t>
            </w:r>
            <w:r w:rsidR="0099272B">
              <w:rPr>
                <w:bCs/>
                <w:i/>
                <w:sz w:val="16"/>
                <w:szCs w:val="16"/>
                <w:lang w:val="fr-CA"/>
              </w:rPr>
              <w:t> euros</w:t>
            </w:r>
            <w:r w:rsidRPr="00B3274C">
              <w:rPr>
                <w:bCs/>
                <w:i/>
                <w:sz w:val="16"/>
                <w:szCs w:val="16"/>
                <w:lang w:val="fr-CA"/>
              </w:rPr>
              <w:t>)</w:t>
            </w:r>
          </w:p>
        </w:tc>
        <w:tc>
          <w:tcPr>
            <w:tcW w:w="1149" w:type="dxa"/>
            <w:vMerge w:val="restart"/>
            <w:tcBorders>
              <w:top w:val="single" w:sz="4" w:space="0" w:color="auto"/>
            </w:tcBorders>
            <w:shd w:val="clear" w:color="auto" w:fill="auto"/>
            <w:tcMar>
              <w:top w:w="15" w:type="dxa"/>
              <w:left w:w="15" w:type="dxa"/>
              <w:bottom w:w="0" w:type="dxa"/>
              <w:right w:w="15" w:type="dxa"/>
            </w:tcMar>
            <w:vAlign w:val="bottom"/>
          </w:tcPr>
          <w:p w:rsidR="00FF68FA" w:rsidRPr="00B3274C" w:rsidRDefault="00A428FB" w:rsidP="00E31FA6">
            <w:pPr>
              <w:spacing w:before="80" w:after="80" w:line="200" w:lineRule="exact"/>
              <w:jc w:val="right"/>
              <w:rPr>
                <w:bCs/>
                <w:i/>
                <w:sz w:val="16"/>
                <w:szCs w:val="16"/>
                <w:lang w:val="fr-CA"/>
              </w:rPr>
            </w:pPr>
            <w:r w:rsidRPr="00B3274C">
              <w:rPr>
                <w:bCs/>
                <w:i/>
                <w:sz w:val="16"/>
                <w:szCs w:val="16"/>
                <w:lang w:val="fr-CA"/>
              </w:rPr>
              <w:t>Conflits du travail</w:t>
            </w:r>
          </w:p>
        </w:tc>
        <w:tc>
          <w:tcPr>
            <w:tcW w:w="1119" w:type="dxa"/>
            <w:vMerge w:val="restart"/>
            <w:tcBorders>
              <w:top w:val="single" w:sz="4" w:space="0" w:color="auto"/>
            </w:tcBorders>
            <w:shd w:val="clear" w:color="auto" w:fill="auto"/>
            <w:tcMar>
              <w:top w:w="15" w:type="dxa"/>
              <w:left w:w="15" w:type="dxa"/>
              <w:bottom w:w="0" w:type="dxa"/>
              <w:right w:w="15" w:type="dxa"/>
            </w:tcMar>
            <w:vAlign w:val="bottom"/>
          </w:tcPr>
          <w:p w:rsidR="00FF68FA" w:rsidRPr="00B3274C" w:rsidRDefault="00A428FB" w:rsidP="004E18D0">
            <w:pPr>
              <w:spacing w:before="80" w:after="80" w:line="200" w:lineRule="exact"/>
              <w:jc w:val="right"/>
              <w:rPr>
                <w:bCs/>
                <w:i/>
                <w:sz w:val="16"/>
                <w:szCs w:val="16"/>
                <w:lang w:val="fr-CA"/>
              </w:rPr>
            </w:pPr>
            <w:r w:rsidRPr="00B3274C">
              <w:rPr>
                <w:bCs/>
                <w:i/>
                <w:sz w:val="16"/>
                <w:szCs w:val="16"/>
                <w:lang w:val="fr-CA"/>
              </w:rPr>
              <w:t>Conflits du travail réglés</w:t>
            </w:r>
          </w:p>
        </w:tc>
        <w:tc>
          <w:tcPr>
            <w:tcW w:w="1238" w:type="dxa"/>
            <w:vMerge w:val="restart"/>
            <w:tcBorders>
              <w:top w:val="single" w:sz="4" w:space="0" w:color="auto"/>
            </w:tcBorders>
            <w:shd w:val="clear" w:color="auto" w:fill="auto"/>
            <w:tcMar>
              <w:top w:w="15" w:type="dxa"/>
              <w:left w:w="15" w:type="dxa"/>
              <w:bottom w:w="0" w:type="dxa"/>
              <w:right w:w="15" w:type="dxa"/>
            </w:tcMar>
            <w:vAlign w:val="bottom"/>
          </w:tcPr>
          <w:p w:rsidR="00FF68FA" w:rsidRPr="00B3274C" w:rsidRDefault="00A428FB" w:rsidP="00597DC4">
            <w:pPr>
              <w:spacing w:before="80" w:after="80" w:line="200" w:lineRule="exact"/>
              <w:jc w:val="right"/>
              <w:rPr>
                <w:bCs/>
                <w:i/>
                <w:sz w:val="16"/>
                <w:szCs w:val="16"/>
                <w:lang w:val="fr-CA"/>
              </w:rPr>
            </w:pPr>
            <w:r w:rsidRPr="00B3274C">
              <w:rPr>
                <w:bCs/>
                <w:i/>
                <w:sz w:val="16"/>
                <w:szCs w:val="16"/>
                <w:lang w:val="fr-CA"/>
              </w:rPr>
              <w:t>Montants versés</w:t>
            </w:r>
            <w:r w:rsidR="00597DC4">
              <w:rPr>
                <w:bCs/>
                <w:i/>
                <w:sz w:val="16"/>
                <w:szCs w:val="16"/>
                <w:lang w:val="fr-CA"/>
              </w:rPr>
              <w:br/>
            </w:r>
            <w:r w:rsidRPr="00B3274C">
              <w:rPr>
                <w:bCs/>
                <w:i/>
                <w:sz w:val="16"/>
                <w:szCs w:val="16"/>
                <w:lang w:val="fr-CA"/>
              </w:rPr>
              <w:t>(en</w:t>
            </w:r>
            <w:r w:rsidR="0099272B">
              <w:rPr>
                <w:bCs/>
                <w:i/>
                <w:sz w:val="16"/>
                <w:szCs w:val="16"/>
                <w:lang w:val="fr-CA"/>
              </w:rPr>
              <w:t> euros</w:t>
            </w:r>
            <w:r w:rsidRPr="00B3274C">
              <w:rPr>
                <w:bCs/>
                <w:i/>
                <w:sz w:val="16"/>
                <w:szCs w:val="16"/>
                <w:lang w:val="fr-CA"/>
              </w:rPr>
              <w:t>)</w:t>
            </w:r>
          </w:p>
        </w:tc>
      </w:tr>
      <w:tr w:rsidR="00FF68FA" w:rsidRPr="00B3274C" w:rsidTr="0002074D">
        <w:trPr>
          <w:trHeight w:val="300"/>
          <w:tblHeader/>
        </w:trPr>
        <w:tc>
          <w:tcPr>
            <w:tcW w:w="724" w:type="dxa"/>
            <w:vMerge/>
            <w:tcBorders>
              <w:top w:val="nil"/>
              <w:bottom w:val="single" w:sz="12" w:space="0" w:color="auto"/>
            </w:tcBorders>
            <w:shd w:val="clear" w:color="auto" w:fill="auto"/>
            <w:vAlign w:val="bottom"/>
          </w:tcPr>
          <w:p w:rsidR="00FF68FA" w:rsidRPr="00B3274C" w:rsidRDefault="00FF68FA" w:rsidP="00200E78">
            <w:pPr>
              <w:spacing w:before="40" w:after="40" w:line="220" w:lineRule="exact"/>
              <w:rPr>
                <w:bCs/>
                <w:sz w:val="18"/>
                <w:lang w:val="fr-CA"/>
              </w:rPr>
            </w:pPr>
          </w:p>
        </w:tc>
        <w:tc>
          <w:tcPr>
            <w:tcW w:w="992" w:type="dxa"/>
            <w:vMerge/>
            <w:tcBorders>
              <w:top w:val="nil"/>
              <w:bottom w:val="single" w:sz="12" w:space="0" w:color="auto"/>
            </w:tcBorders>
            <w:shd w:val="clear" w:color="auto" w:fill="auto"/>
            <w:vAlign w:val="bottom"/>
          </w:tcPr>
          <w:p w:rsidR="00FF68FA" w:rsidRPr="00B3274C" w:rsidRDefault="00FF68FA" w:rsidP="00200E78">
            <w:pPr>
              <w:spacing w:before="40" w:after="40" w:line="220" w:lineRule="exact"/>
              <w:ind w:left="113"/>
              <w:jc w:val="right"/>
              <w:rPr>
                <w:bCs/>
                <w:sz w:val="18"/>
                <w:lang w:val="fr-CA"/>
              </w:rPr>
            </w:pPr>
          </w:p>
        </w:tc>
        <w:tc>
          <w:tcPr>
            <w:tcW w:w="1026" w:type="dxa"/>
            <w:vMerge/>
            <w:tcBorders>
              <w:bottom w:val="single" w:sz="12" w:space="0" w:color="auto"/>
            </w:tcBorders>
            <w:shd w:val="clear" w:color="auto" w:fill="auto"/>
            <w:vAlign w:val="bottom"/>
          </w:tcPr>
          <w:p w:rsidR="00FF68FA" w:rsidRPr="00B3274C" w:rsidRDefault="00FF68FA" w:rsidP="00597DC4">
            <w:pPr>
              <w:spacing w:before="40" w:after="40" w:line="220" w:lineRule="exact"/>
              <w:ind w:left="113"/>
              <w:jc w:val="right"/>
              <w:rPr>
                <w:bCs/>
                <w:sz w:val="18"/>
                <w:lang w:val="fr-CA"/>
              </w:rPr>
            </w:pPr>
          </w:p>
        </w:tc>
        <w:tc>
          <w:tcPr>
            <w:tcW w:w="1134" w:type="dxa"/>
            <w:vMerge/>
            <w:tcBorders>
              <w:bottom w:val="single" w:sz="12" w:space="0" w:color="auto"/>
            </w:tcBorders>
            <w:shd w:val="clear" w:color="auto" w:fill="auto"/>
            <w:vAlign w:val="bottom"/>
          </w:tcPr>
          <w:p w:rsidR="00FF68FA" w:rsidRPr="00B3274C" w:rsidRDefault="00FF68FA" w:rsidP="00597DC4">
            <w:pPr>
              <w:spacing w:before="40" w:after="40" w:line="220" w:lineRule="exact"/>
              <w:ind w:left="113"/>
              <w:jc w:val="right"/>
              <w:rPr>
                <w:bCs/>
                <w:sz w:val="18"/>
                <w:lang w:val="fr-CA"/>
              </w:rPr>
            </w:pPr>
          </w:p>
        </w:tc>
        <w:tc>
          <w:tcPr>
            <w:tcW w:w="1134" w:type="dxa"/>
            <w:vMerge/>
            <w:tcBorders>
              <w:bottom w:val="single" w:sz="12" w:space="0" w:color="auto"/>
            </w:tcBorders>
            <w:shd w:val="clear" w:color="auto" w:fill="auto"/>
            <w:vAlign w:val="bottom"/>
          </w:tcPr>
          <w:p w:rsidR="00FF68FA" w:rsidRPr="00B3274C" w:rsidRDefault="00FF68FA" w:rsidP="00200E78">
            <w:pPr>
              <w:spacing w:before="40" w:after="40" w:line="220" w:lineRule="exact"/>
              <w:ind w:left="113"/>
              <w:jc w:val="right"/>
              <w:rPr>
                <w:bCs/>
                <w:sz w:val="18"/>
                <w:lang w:val="fr-CA"/>
              </w:rPr>
            </w:pPr>
          </w:p>
        </w:tc>
        <w:tc>
          <w:tcPr>
            <w:tcW w:w="1149" w:type="dxa"/>
            <w:vMerge/>
            <w:tcBorders>
              <w:bottom w:val="single" w:sz="12" w:space="0" w:color="auto"/>
            </w:tcBorders>
            <w:shd w:val="clear" w:color="auto" w:fill="auto"/>
            <w:vAlign w:val="bottom"/>
          </w:tcPr>
          <w:p w:rsidR="00FF68FA" w:rsidRPr="00B3274C" w:rsidRDefault="00FF68FA" w:rsidP="00E31FA6">
            <w:pPr>
              <w:spacing w:before="40" w:after="40" w:line="220" w:lineRule="exact"/>
              <w:ind w:left="113"/>
              <w:jc w:val="right"/>
              <w:rPr>
                <w:bCs/>
                <w:sz w:val="18"/>
                <w:lang w:val="fr-CA"/>
              </w:rPr>
            </w:pPr>
          </w:p>
        </w:tc>
        <w:tc>
          <w:tcPr>
            <w:tcW w:w="1119" w:type="dxa"/>
            <w:vMerge/>
            <w:tcBorders>
              <w:bottom w:val="single" w:sz="12" w:space="0" w:color="auto"/>
            </w:tcBorders>
            <w:shd w:val="clear" w:color="auto" w:fill="auto"/>
            <w:vAlign w:val="bottom"/>
          </w:tcPr>
          <w:p w:rsidR="00FF68FA" w:rsidRPr="00B3274C" w:rsidRDefault="00FF68FA" w:rsidP="00200E78">
            <w:pPr>
              <w:spacing w:before="40" w:after="40" w:line="220" w:lineRule="exact"/>
              <w:ind w:left="113"/>
              <w:jc w:val="right"/>
              <w:rPr>
                <w:bCs/>
                <w:sz w:val="18"/>
                <w:lang w:val="fr-CA"/>
              </w:rPr>
            </w:pPr>
          </w:p>
        </w:tc>
        <w:tc>
          <w:tcPr>
            <w:tcW w:w="1238" w:type="dxa"/>
            <w:vMerge/>
            <w:tcBorders>
              <w:bottom w:val="single" w:sz="12" w:space="0" w:color="auto"/>
            </w:tcBorders>
            <w:shd w:val="clear" w:color="auto" w:fill="auto"/>
            <w:vAlign w:val="bottom"/>
          </w:tcPr>
          <w:p w:rsidR="00FF68FA" w:rsidRPr="00B3274C" w:rsidRDefault="00FF68FA" w:rsidP="00200E78">
            <w:pPr>
              <w:spacing w:before="40" w:after="40" w:line="220" w:lineRule="exact"/>
              <w:ind w:left="113"/>
              <w:jc w:val="right"/>
              <w:rPr>
                <w:bCs/>
                <w:sz w:val="18"/>
                <w:lang w:val="fr-CA"/>
              </w:rPr>
            </w:pPr>
          </w:p>
        </w:tc>
      </w:tr>
      <w:tr w:rsidR="00FF68FA" w:rsidRPr="00B3274C" w:rsidTr="003A123E">
        <w:tc>
          <w:tcPr>
            <w:tcW w:w="724" w:type="dxa"/>
            <w:tcBorders>
              <w:top w:val="single" w:sz="12" w:space="0" w:color="auto"/>
            </w:tcBorders>
            <w:shd w:val="clear" w:color="auto" w:fill="auto"/>
            <w:tcMar>
              <w:top w:w="15" w:type="dxa"/>
              <w:left w:w="15" w:type="dxa"/>
              <w:bottom w:w="0" w:type="dxa"/>
              <w:right w:w="15" w:type="dxa"/>
            </w:tcMar>
            <w:vAlign w:val="bottom"/>
          </w:tcPr>
          <w:p w:rsidR="00FF68FA" w:rsidRPr="00B3274C" w:rsidRDefault="00FF68FA" w:rsidP="003A123E">
            <w:pPr>
              <w:spacing w:before="40" w:after="40" w:line="220" w:lineRule="exact"/>
              <w:rPr>
                <w:bCs/>
                <w:sz w:val="18"/>
                <w:lang w:val="fr-CA"/>
              </w:rPr>
            </w:pPr>
            <w:r w:rsidRPr="00B3274C">
              <w:rPr>
                <w:bCs/>
                <w:sz w:val="18"/>
                <w:lang w:val="fr-CA"/>
              </w:rPr>
              <w:t>2005</w:t>
            </w:r>
          </w:p>
        </w:tc>
        <w:tc>
          <w:tcPr>
            <w:tcW w:w="992" w:type="dxa"/>
            <w:tcBorders>
              <w:top w:val="single" w:sz="12" w:space="0" w:color="auto"/>
            </w:tcBorders>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29</w:t>
            </w:r>
            <w:r w:rsidR="000E67F8" w:rsidRPr="00B3274C">
              <w:rPr>
                <w:sz w:val="18"/>
                <w:lang w:val="fr-CA"/>
              </w:rPr>
              <w:t> </w:t>
            </w:r>
            <w:r w:rsidRPr="00B3274C">
              <w:rPr>
                <w:sz w:val="18"/>
                <w:lang w:val="fr-CA"/>
              </w:rPr>
              <w:t>646</w:t>
            </w:r>
          </w:p>
        </w:tc>
        <w:tc>
          <w:tcPr>
            <w:tcW w:w="1026" w:type="dxa"/>
            <w:tcBorders>
              <w:top w:val="single" w:sz="12" w:space="0" w:color="auto"/>
            </w:tcBorders>
            <w:shd w:val="clear" w:color="auto" w:fill="auto"/>
            <w:noWrap/>
            <w:tcMar>
              <w:top w:w="15" w:type="dxa"/>
              <w:left w:w="15" w:type="dxa"/>
              <w:bottom w:w="0" w:type="dxa"/>
              <w:right w:w="15" w:type="dxa"/>
            </w:tcMar>
            <w:vAlign w:val="bottom"/>
          </w:tcPr>
          <w:p w:rsidR="00FF68FA" w:rsidRPr="00B3274C" w:rsidRDefault="00FF68FA" w:rsidP="00614BAC">
            <w:pPr>
              <w:spacing w:before="40" w:after="40" w:line="220" w:lineRule="exact"/>
              <w:ind w:left="113"/>
              <w:jc w:val="right"/>
              <w:rPr>
                <w:sz w:val="18"/>
                <w:lang w:val="fr-CA"/>
              </w:rPr>
            </w:pPr>
            <w:r w:rsidRPr="00B3274C">
              <w:rPr>
                <w:sz w:val="18"/>
                <w:lang w:val="fr-CA"/>
              </w:rPr>
              <w:t>2</w:t>
            </w:r>
            <w:r w:rsidR="000E67F8" w:rsidRPr="00B3274C">
              <w:rPr>
                <w:sz w:val="18"/>
                <w:lang w:val="fr-CA"/>
              </w:rPr>
              <w:t> </w:t>
            </w:r>
            <w:r w:rsidRPr="00B3274C">
              <w:rPr>
                <w:sz w:val="18"/>
                <w:lang w:val="fr-CA"/>
              </w:rPr>
              <w:t>390</w:t>
            </w:r>
          </w:p>
        </w:tc>
        <w:tc>
          <w:tcPr>
            <w:tcW w:w="1134" w:type="dxa"/>
            <w:tcBorders>
              <w:top w:val="single" w:sz="12" w:space="0" w:color="auto"/>
            </w:tcBorders>
            <w:shd w:val="clear" w:color="auto" w:fill="auto"/>
            <w:noWrap/>
            <w:tcMar>
              <w:top w:w="15" w:type="dxa"/>
              <w:left w:w="15" w:type="dxa"/>
              <w:bottom w:w="0" w:type="dxa"/>
              <w:right w:w="15" w:type="dxa"/>
            </w:tcMar>
            <w:vAlign w:val="bottom"/>
          </w:tcPr>
          <w:p w:rsidR="00FF68FA" w:rsidRPr="00B3274C" w:rsidRDefault="00FF68FA" w:rsidP="00597DC4">
            <w:pPr>
              <w:spacing w:before="40" w:after="40" w:line="220" w:lineRule="exact"/>
              <w:ind w:left="113"/>
              <w:jc w:val="right"/>
              <w:rPr>
                <w:sz w:val="18"/>
                <w:lang w:val="fr-CA"/>
              </w:rPr>
            </w:pPr>
            <w:r w:rsidRPr="00B3274C">
              <w:rPr>
                <w:sz w:val="18"/>
                <w:lang w:val="fr-CA"/>
              </w:rPr>
              <w:t>5</w:t>
            </w:r>
            <w:r w:rsidR="000E67F8" w:rsidRPr="00B3274C">
              <w:rPr>
                <w:sz w:val="18"/>
                <w:lang w:val="fr-CA"/>
              </w:rPr>
              <w:t> </w:t>
            </w:r>
            <w:r w:rsidRPr="00B3274C">
              <w:rPr>
                <w:sz w:val="18"/>
                <w:lang w:val="fr-CA"/>
              </w:rPr>
              <w:t>161</w:t>
            </w:r>
          </w:p>
        </w:tc>
        <w:tc>
          <w:tcPr>
            <w:tcW w:w="1134" w:type="dxa"/>
            <w:tcBorders>
              <w:top w:val="single" w:sz="12" w:space="0" w:color="auto"/>
            </w:tcBorders>
            <w:shd w:val="clear" w:color="auto" w:fill="auto"/>
            <w:noWrap/>
            <w:tcMar>
              <w:top w:w="15" w:type="dxa"/>
              <w:left w:w="15" w:type="dxa"/>
              <w:bottom w:w="0" w:type="dxa"/>
              <w:right w:w="15" w:type="dxa"/>
            </w:tcMar>
            <w:vAlign w:val="bottom"/>
          </w:tcPr>
          <w:p w:rsidR="00FF68FA" w:rsidRPr="00B3274C" w:rsidRDefault="00FF68FA" w:rsidP="00586C0B">
            <w:pPr>
              <w:spacing w:before="40" w:after="40" w:line="220" w:lineRule="exact"/>
              <w:ind w:left="113"/>
              <w:jc w:val="right"/>
              <w:rPr>
                <w:sz w:val="18"/>
                <w:lang w:val="fr-CA"/>
              </w:rPr>
            </w:pPr>
            <w:r w:rsidRPr="00B3274C">
              <w:rPr>
                <w:sz w:val="18"/>
                <w:lang w:val="fr-CA"/>
              </w:rPr>
              <w:t>5</w:t>
            </w:r>
            <w:r w:rsidR="000E67F8" w:rsidRPr="00B3274C">
              <w:rPr>
                <w:sz w:val="18"/>
                <w:lang w:val="fr-CA"/>
              </w:rPr>
              <w:t> </w:t>
            </w:r>
            <w:r w:rsidRPr="00B3274C">
              <w:rPr>
                <w:sz w:val="18"/>
                <w:lang w:val="fr-CA"/>
              </w:rPr>
              <w:t>346</w:t>
            </w:r>
            <w:r w:rsidR="000E67F8" w:rsidRPr="00B3274C">
              <w:rPr>
                <w:sz w:val="18"/>
                <w:lang w:val="fr-CA"/>
              </w:rPr>
              <w:t> </w:t>
            </w:r>
            <w:r w:rsidRPr="00B3274C">
              <w:rPr>
                <w:sz w:val="18"/>
                <w:lang w:val="fr-CA"/>
              </w:rPr>
              <w:t>170</w:t>
            </w:r>
          </w:p>
        </w:tc>
        <w:tc>
          <w:tcPr>
            <w:tcW w:w="1149" w:type="dxa"/>
            <w:tcBorders>
              <w:top w:val="single" w:sz="12" w:space="0" w:color="auto"/>
            </w:tcBorders>
            <w:shd w:val="clear" w:color="auto" w:fill="auto"/>
            <w:noWrap/>
            <w:tcMar>
              <w:top w:w="15" w:type="dxa"/>
              <w:left w:w="15" w:type="dxa"/>
              <w:bottom w:w="0" w:type="dxa"/>
              <w:right w:w="15" w:type="dxa"/>
            </w:tcMar>
            <w:vAlign w:val="bottom"/>
          </w:tcPr>
          <w:p w:rsidR="00FF68FA" w:rsidRPr="00B3274C" w:rsidRDefault="00FF68FA" w:rsidP="00E31FA6">
            <w:pPr>
              <w:spacing w:before="40" w:after="40" w:line="220" w:lineRule="exact"/>
              <w:ind w:left="113"/>
              <w:jc w:val="right"/>
              <w:rPr>
                <w:sz w:val="18"/>
                <w:lang w:val="fr-CA"/>
              </w:rPr>
            </w:pPr>
            <w:r w:rsidRPr="00B3274C">
              <w:rPr>
                <w:sz w:val="18"/>
                <w:lang w:val="fr-CA"/>
              </w:rPr>
              <w:t>16</w:t>
            </w:r>
            <w:r w:rsidR="000E67F8" w:rsidRPr="00B3274C">
              <w:rPr>
                <w:sz w:val="18"/>
                <w:lang w:val="fr-CA"/>
              </w:rPr>
              <w:t> </w:t>
            </w:r>
            <w:r w:rsidRPr="00B3274C">
              <w:rPr>
                <w:sz w:val="18"/>
                <w:lang w:val="fr-CA"/>
              </w:rPr>
              <w:t>378</w:t>
            </w:r>
          </w:p>
        </w:tc>
        <w:tc>
          <w:tcPr>
            <w:tcW w:w="1119" w:type="dxa"/>
            <w:tcBorders>
              <w:top w:val="single" w:sz="12" w:space="0" w:color="auto"/>
            </w:tcBorders>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7</w:t>
            </w:r>
            <w:r w:rsidR="000E67F8" w:rsidRPr="00B3274C">
              <w:rPr>
                <w:sz w:val="18"/>
                <w:lang w:val="fr-CA"/>
              </w:rPr>
              <w:t> </w:t>
            </w:r>
            <w:r w:rsidRPr="00B3274C">
              <w:rPr>
                <w:sz w:val="18"/>
                <w:lang w:val="fr-CA"/>
              </w:rPr>
              <w:t>974</w:t>
            </w:r>
          </w:p>
        </w:tc>
        <w:tc>
          <w:tcPr>
            <w:tcW w:w="1238" w:type="dxa"/>
            <w:tcBorders>
              <w:top w:val="single" w:sz="12" w:space="0" w:color="auto"/>
            </w:tcBorders>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9</w:t>
            </w:r>
            <w:r w:rsidR="000E67F8" w:rsidRPr="00B3274C">
              <w:rPr>
                <w:sz w:val="18"/>
                <w:lang w:val="fr-CA"/>
              </w:rPr>
              <w:t> </w:t>
            </w:r>
            <w:r w:rsidRPr="00B3274C">
              <w:rPr>
                <w:sz w:val="18"/>
                <w:lang w:val="fr-CA"/>
              </w:rPr>
              <w:t>492</w:t>
            </w:r>
            <w:r w:rsidR="000E67F8" w:rsidRPr="00B3274C">
              <w:rPr>
                <w:sz w:val="18"/>
                <w:lang w:val="fr-CA"/>
              </w:rPr>
              <w:t> </w:t>
            </w:r>
            <w:r w:rsidRPr="00B3274C">
              <w:rPr>
                <w:sz w:val="18"/>
                <w:lang w:val="fr-CA"/>
              </w:rPr>
              <w:t>008</w:t>
            </w:r>
          </w:p>
        </w:tc>
      </w:tr>
      <w:tr w:rsidR="00FF68FA" w:rsidRPr="00B3274C" w:rsidTr="003A123E">
        <w:tc>
          <w:tcPr>
            <w:tcW w:w="724" w:type="dxa"/>
            <w:shd w:val="clear" w:color="auto" w:fill="auto"/>
            <w:tcMar>
              <w:top w:w="15" w:type="dxa"/>
              <w:left w:w="15" w:type="dxa"/>
              <w:bottom w:w="0" w:type="dxa"/>
              <w:right w:w="15" w:type="dxa"/>
            </w:tcMar>
            <w:vAlign w:val="bottom"/>
          </w:tcPr>
          <w:p w:rsidR="00FF68FA" w:rsidRPr="00B3274C" w:rsidRDefault="00FF68FA" w:rsidP="003A123E">
            <w:pPr>
              <w:spacing w:before="40" w:after="40" w:line="220" w:lineRule="exact"/>
              <w:rPr>
                <w:bCs/>
                <w:sz w:val="18"/>
                <w:lang w:val="fr-CA"/>
              </w:rPr>
            </w:pPr>
            <w:r w:rsidRPr="00B3274C">
              <w:rPr>
                <w:bCs/>
                <w:sz w:val="18"/>
                <w:lang w:val="fr-CA"/>
              </w:rPr>
              <w:t>2006</w:t>
            </w:r>
          </w:p>
        </w:tc>
        <w:tc>
          <w:tcPr>
            <w:tcW w:w="992" w:type="dxa"/>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31</w:t>
            </w:r>
            <w:r w:rsidR="000E67F8" w:rsidRPr="00B3274C">
              <w:rPr>
                <w:sz w:val="18"/>
                <w:lang w:val="fr-CA"/>
              </w:rPr>
              <w:t> </w:t>
            </w:r>
            <w:r w:rsidRPr="00B3274C">
              <w:rPr>
                <w:sz w:val="18"/>
                <w:lang w:val="fr-CA"/>
              </w:rPr>
              <w:t>630</w:t>
            </w:r>
          </w:p>
        </w:tc>
        <w:tc>
          <w:tcPr>
            <w:tcW w:w="1026" w:type="dxa"/>
            <w:shd w:val="clear" w:color="auto" w:fill="auto"/>
            <w:noWrap/>
            <w:tcMar>
              <w:top w:w="15" w:type="dxa"/>
              <w:left w:w="15" w:type="dxa"/>
              <w:bottom w:w="0" w:type="dxa"/>
              <w:right w:w="15" w:type="dxa"/>
            </w:tcMar>
            <w:vAlign w:val="bottom"/>
          </w:tcPr>
          <w:p w:rsidR="00FF68FA" w:rsidRPr="00B3274C" w:rsidRDefault="00FF68FA" w:rsidP="00597DC4">
            <w:pPr>
              <w:spacing w:before="40" w:after="40" w:line="220" w:lineRule="exact"/>
              <w:ind w:left="113"/>
              <w:jc w:val="right"/>
              <w:rPr>
                <w:sz w:val="18"/>
                <w:lang w:val="fr-CA"/>
              </w:rPr>
            </w:pPr>
            <w:r w:rsidRPr="00B3274C">
              <w:rPr>
                <w:sz w:val="18"/>
                <w:lang w:val="fr-CA"/>
              </w:rPr>
              <w:t>2</w:t>
            </w:r>
            <w:r w:rsidR="000E67F8" w:rsidRPr="00B3274C">
              <w:rPr>
                <w:sz w:val="18"/>
                <w:lang w:val="fr-CA"/>
              </w:rPr>
              <w:t> </w:t>
            </w:r>
            <w:r w:rsidRPr="00B3274C">
              <w:rPr>
                <w:sz w:val="18"/>
                <w:lang w:val="fr-CA"/>
              </w:rPr>
              <w:t>311</w:t>
            </w:r>
          </w:p>
        </w:tc>
        <w:tc>
          <w:tcPr>
            <w:tcW w:w="1134" w:type="dxa"/>
            <w:shd w:val="clear" w:color="auto" w:fill="auto"/>
            <w:noWrap/>
            <w:tcMar>
              <w:top w:w="15" w:type="dxa"/>
              <w:left w:w="15" w:type="dxa"/>
              <w:bottom w:w="0" w:type="dxa"/>
              <w:right w:w="15" w:type="dxa"/>
            </w:tcMar>
            <w:vAlign w:val="bottom"/>
          </w:tcPr>
          <w:p w:rsidR="00FF68FA" w:rsidRPr="00B3274C" w:rsidRDefault="00FF68FA" w:rsidP="00597DC4">
            <w:pPr>
              <w:spacing w:before="40" w:after="40" w:line="220" w:lineRule="exact"/>
              <w:ind w:left="113"/>
              <w:jc w:val="right"/>
              <w:rPr>
                <w:sz w:val="18"/>
                <w:lang w:val="fr-CA"/>
              </w:rPr>
            </w:pPr>
            <w:r w:rsidRPr="00B3274C">
              <w:rPr>
                <w:sz w:val="18"/>
                <w:lang w:val="fr-CA"/>
              </w:rPr>
              <w:t>5</w:t>
            </w:r>
            <w:r w:rsidR="000E67F8" w:rsidRPr="00B3274C">
              <w:rPr>
                <w:sz w:val="18"/>
                <w:lang w:val="fr-CA"/>
              </w:rPr>
              <w:t> </w:t>
            </w:r>
            <w:r w:rsidRPr="00B3274C">
              <w:rPr>
                <w:sz w:val="18"/>
                <w:lang w:val="fr-CA"/>
              </w:rPr>
              <w:t>133</w:t>
            </w:r>
          </w:p>
        </w:tc>
        <w:tc>
          <w:tcPr>
            <w:tcW w:w="1134" w:type="dxa"/>
            <w:shd w:val="clear" w:color="auto" w:fill="auto"/>
            <w:noWrap/>
            <w:tcMar>
              <w:top w:w="15" w:type="dxa"/>
              <w:left w:w="15" w:type="dxa"/>
              <w:bottom w:w="0" w:type="dxa"/>
              <w:right w:w="15" w:type="dxa"/>
            </w:tcMar>
            <w:vAlign w:val="bottom"/>
          </w:tcPr>
          <w:p w:rsidR="00FF68FA" w:rsidRPr="00B3274C" w:rsidRDefault="00FF68FA" w:rsidP="00586C0B">
            <w:pPr>
              <w:spacing w:before="40" w:after="40" w:line="220" w:lineRule="exact"/>
              <w:ind w:left="113"/>
              <w:jc w:val="right"/>
              <w:rPr>
                <w:sz w:val="18"/>
                <w:lang w:val="fr-CA"/>
              </w:rPr>
            </w:pPr>
            <w:r w:rsidRPr="00B3274C">
              <w:rPr>
                <w:sz w:val="18"/>
                <w:lang w:val="fr-CA"/>
              </w:rPr>
              <w:t>10</w:t>
            </w:r>
            <w:r w:rsidR="000E67F8" w:rsidRPr="00B3274C">
              <w:rPr>
                <w:sz w:val="18"/>
                <w:lang w:val="fr-CA"/>
              </w:rPr>
              <w:t> </w:t>
            </w:r>
            <w:r w:rsidRPr="00B3274C">
              <w:rPr>
                <w:sz w:val="18"/>
                <w:lang w:val="fr-CA"/>
              </w:rPr>
              <w:t>639</w:t>
            </w:r>
            <w:r w:rsidR="000E67F8" w:rsidRPr="00B3274C">
              <w:rPr>
                <w:sz w:val="18"/>
                <w:lang w:val="fr-CA"/>
              </w:rPr>
              <w:t> </w:t>
            </w:r>
            <w:r w:rsidRPr="00B3274C">
              <w:rPr>
                <w:sz w:val="18"/>
                <w:lang w:val="fr-CA"/>
              </w:rPr>
              <w:t>176</w:t>
            </w:r>
          </w:p>
        </w:tc>
        <w:tc>
          <w:tcPr>
            <w:tcW w:w="1149" w:type="dxa"/>
            <w:shd w:val="clear" w:color="auto" w:fill="auto"/>
            <w:noWrap/>
            <w:tcMar>
              <w:top w:w="15" w:type="dxa"/>
              <w:left w:w="15" w:type="dxa"/>
              <w:bottom w:w="0" w:type="dxa"/>
              <w:right w:w="15" w:type="dxa"/>
            </w:tcMar>
            <w:vAlign w:val="bottom"/>
          </w:tcPr>
          <w:p w:rsidR="00FF68FA" w:rsidRPr="00B3274C" w:rsidRDefault="00FF68FA" w:rsidP="00E31FA6">
            <w:pPr>
              <w:spacing w:before="40" w:after="40" w:line="220" w:lineRule="exact"/>
              <w:ind w:left="113"/>
              <w:jc w:val="right"/>
              <w:rPr>
                <w:sz w:val="18"/>
                <w:lang w:val="fr-CA"/>
              </w:rPr>
            </w:pPr>
            <w:r w:rsidRPr="00B3274C">
              <w:rPr>
                <w:sz w:val="18"/>
                <w:lang w:val="fr-CA"/>
              </w:rPr>
              <w:t>15</w:t>
            </w:r>
            <w:r w:rsidR="000E67F8" w:rsidRPr="00B3274C">
              <w:rPr>
                <w:sz w:val="18"/>
                <w:lang w:val="fr-CA"/>
              </w:rPr>
              <w:t> </w:t>
            </w:r>
            <w:r w:rsidRPr="00B3274C">
              <w:rPr>
                <w:sz w:val="18"/>
                <w:lang w:val="fr-CA"/>
              </w:rPr>
              <w:t>510</w:t>
            </w:r>
          </w:p>
        </w:tc>
        <w:tc>
          <w:tcPr>
            <w:tcW w:w="1119" w:type="dxa"/>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7</w:t>
            </w:r>
            <w:r w:rsidR="000E67F8" w:rsidRPr="00B3274C">
              <w:rPr>
                <w:sz w:val="18"/>
                <w:lang w:val="fr-CA"/>
              </w:rPr>
              <w:t> </w:t>
            </w:r>
            <w:r w:rsidRPr="00B3274C">
              <w:rPr>
                <w:sz w:val="18"/>
                <w:lang w:val="fr-CA"/>
              </w:rPr>
              <w:t>586</w:t>
            </w:r>
          </w:p>
        </w:tc>
        <w:tc>
          <w:tcPr>
            <w:tcW w:w="1238" w:type="dxa"/>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9</w:t>
            </w:r>
            <w:r w:rsidR="000E67F8" w:rsidRPr="00B3274C">
              <w:rPr>
                <w:sz w:val="18"/>
                <w:lang w:val="fr-CA"/>
              </w:rPr>
              <w:t> </w:t>
            </w:r>
            <w:r w:rsidRPr="00B3274C">
              <w:rPr>
                <w:sz w:val="18"/>
                <w:lang w:val="fr-CA"/>
              </w:rPr>
              <w:t>473</w:t>
            </w:r>
            <w:r w:rsidR="000E67F8" w:rsidRPr="00B3274C">
              <w:rPr>
                <w:sz w:val="18"/>
                <w:lang w:val="fr-CA"/>
              </w:rPr>
              <w:t> </w:t>
            </w:r>
            <w:r w:rsidRPr="00B3274C">
              <w:rPr>
                <w:sz w:val="18"/>
                <w:lang w:val="fr-CA"/>
              </w:rPr>
              <w:t>760</w:t>
            </w:r>
          </w:p>
        </w:tc>
      </w:tr>
      <w:tr w:rsidR="00FF68FA" w:rsidRPr="00B3274C" w:rsidTr="003A123E">
        <w:tc>
          <w:tcPr>
            <w:tcW w:w="724" w:type="dxa"/>
            <w:shd w:val="clear" w:color="auto" w:fill="auto"/>
            <w:tcMar>
              <w:top w:w="15" w:type="dxa"/>
              <w:left w:w="15" w:type="dxa"/>
              <w:bottom w:w="0" w:type="dxa"/>
              <w:right w:w="15" w:type="dxa"/>
            </w:tcMar>
            <w:vAlign w:val="bottom"/>
          </w:tcPr>
          <w:p w:rsidR="00FF68FA" w:rsidRPr="00B3274C" w:rsidRDefault="00FF68FA" w:rsidP="003A123E">
            <w:pPr>
              <w:spacing w:before="40" w:after="40" w:line="220" w:lineRule="exact"/>
              <w:rPr>
                <w:bCs/>
                <w:sz w:val="18"/>
                <w:lang w:val="fr-CA"/>
              </w:rPr>
            </w:pPr>
            <w:r w:rsidRPr="00B3274C">
              <w:rPr>
                <w:bCs/>
                <w:sz w:val="18"/>
                <w:lang w:val="fr-CA"/>
              </w:rPr>
              <w:t>2007</w:t>
            </w:r>
          </w:p>
        </w:tc>
        <w:tc>
          <w:tcPr>
            <w:tcW w:w="992" w:type="dxa"/>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35</w:t>
            </w:r>
            <w:r w:rsidR="000E67F8" w:rsidRPr="00B3274C">
              <w:rPr>
                <w:sz w:val="18"/>
                <w:lang w:val="fr-CA"/>
              </w:rPr>
              <w:t> </w:t>
            </w:r>
            <w:r w:rsidRPr="00B3274C">
              <w:rPr>
                <w:sz w:val="18"/>
                <w:lang w:val="fr-CA"/>
              </w:rPr>
              <w:t>805</w:t>
            </w:r>
          </w:p>
        </w:tc>
        <w:tc>
          <w:tcPr>
            <w:tcW w:w="1026" w:type="dxa"/>
            <w:shd w:val="clear" w:color="auto" w:fill="auto"/>
            <w:noWrap/>
            <w:tcMar>
              <w:top w:w="15" w:type="dxa"/>
              <w:left w:w="15" w:type="dxa"/>
              <w:bottom w:w="0" w:type="dxa"/>
              <w:right w:w="15" w:type="dxa"/>
            </w:tcMar>
            <w:vAlign w:val="bottom"/>
          </w:tcPr>
          <w:p w:rsidR="00FF68FA" w:rsidRPr="00B3274C" w:rsidRDefault="00FF68FA" w:rsidP="00597DC4">
            <w:pPr>
              <w:spacing w:before="40" w:after="40" w:line="220" w:lineRule="exact"/>
              <w:ind w:left="113"/>
              <w:jc w:val="right"/>
              <w:rPr>
                <w:sz w:val="18"/>
                <w:lang w:val="fr-CA"/>
              </w:rPr>
            </w:pPr>
            <w:r w:rsidRPr="00B3274C">
              <w:rPr>
                <w:sz w:val="18"/>
                <w:lang w:val="fr-CA"/>
              </w:rPr>
              <w:t>2</w:t>
            </w:r>
            <w:r w:rsidR="000E67F8" w:rsidRPr="00B3274C">
              <w:rPr>
                <w:sz w:val="18"/>
                <w:lang w:val="fr-CA"/>
              </w:rPr>
              <w:t> </w:t>
            </w:r>
            <w:r w:rsidRPr="00B3274C">
              <w:rPr>
                <w:sz w:val="18"/>
                <w:lang w:val="fr-CA"/>
              </w:rPr>
              <w:t>126</w:t>
            </w:r>
          </w:p>
        </w:tc>
        <w:tc>
          <w:tcPr>
            <w:tcW w:w="1134" w:type="dxa"/>
            <w:shd w:val="clear" w:color="auto" w:fill="auto"/>
            <w:noWrap/>
            <w:tcMar>
              <w:top w:w="15" w:type="dxa"/>
              <w:left w:w="15" w:type="dxa"/>
              <w:bottom w:w="0" w:type="dxa"/>
              <w:right w:w="15" w:type="dxa"/>
            </w:tcMar>
            <w:vAlign w:val="bottom"/>
          </w:tcPr>
          <w:p w:rsidR="00FF68FA" w:rsidRPr="00B3274C" w:rsidRDefault="00FF68FA" w:rsidP="00597DC4">
            <w:pPr>
              <w:spacing w:before="40" w:after="40" w:line="220" w:lineRule="exact"/>
              <w:ind w:left="113"/>
              <w:jc w:val="right"/>
              <w:rPr>
                <w:sz w:val="18"/>
                <w:lang w:val="fr-CA"/>
              </w:rPr>
            </w:pPr>
            <w:r w:rsidRPr="00B3274C">
              <w:rPr>
                <w:sz w:val="18"/>
                <w:lang w:val="fr-CA"/>
              </w:rPr>
              <w:t>5</w:t>
            </w:r>
            <w:r w:rsidR="000E67F8" w:rsidRPr="00B3274C">
              <w:rPr>
                <w:sz w:val="18"/>
                <w:lang w:val="fr-CA"/>
              </w:rPr>
              <w:t> </w:t>
            </w:r>
            <w:r w:rsidRPr="00B3274C">
              <w:rPr>
                <w:sz w:val="18"/>
                <w:lang w:val="fr-CA"/>
              </w:rPr>
              <w:t>724</w:t>
            </w:r>
          </w:p>
        </w:tc>
        <w:tc>
          <w:tcPr>
            <w:tcW w:w="1134" w:type="dxa"/>
            <w:shd w:val="clear" w:color="auto" w:fill="auto"/>
            <w:noWrap/>
            <w:tcMar>
              <w:top w:w="15" w:type="dxa"/>
              <w:left w:w="15" w:type="dxa"/>
              <w:bottom w:w="0" w:type="dxa"/>
              <w:right w:w="15" w:type="dxa"/>
            </w:tcMar>
            <w:vAlign w:val="bottom"/>
          </w:tcPr>
          <w:p w:rsidR="00FF68FA" w:rsidRPr="00B3274C" w:rsidRDefault="00FF68FA" w:rsidP="00586C0B">
            <w:pPr>
              <w:spacing w:before="40" w:after="40" w:line="220" w:lineRule="exact"/>
              <w:ind w:left="113"/>
              <w:jc w:val="right"/>
              <w:rPr>
                <w:sz w:val="18"/>
                <w:lang w:val="fr-CA"/>
              </w:rPr>
            </w:pPr>
            <w:r w:rsidRPr="00B3274C">
              <w:rPr>
                <w:sz w:val="18"/>
                <w:lang w:val="fr-CA"/>
              </w:rPr>
              <w:t>11</w:t>
            </w:r>
            <w:r w:rsidR="000E67F8" w:rsidRPr="00B3274C">
              <w:rPr>
                <w:sz w:val="18"/>
                <w:lang w:val="fr-CA"/>
              </w:rPr>
              <w:t> </w:t>
            </w:r>
            <w:r w:rsidRPr="00B3274C">
              <w:rPr>
                <w:sz w:val="18"/>
                <w:lang w:val="fr-CA"/>
              </w:rPr>
              <w:t>803</w:t>
            </w:r>
            <w:r w:rsidR="000E67F8" w:rsidRPr="00B3274C">
              <w:rPr>
                <w:sz w:val="18"/>
                <w:lang w:val="fr-CA"/>
              </w:rPr>
              <w:t> </w:t>
            </w:r>
            <w:r w:rsidRPr="00B3274C">
              <w:rPr>
                <w:sz w:val="18"/>
                <w:lang w:val="fr-CA"/>
              </w:rPr>
              <w:t>786</w:t>
            </w:r>
          </w:p>
        </w:tc>
        <w:tc>
          <w:tcPr>
            <w:tcW w:w="1149" w:type="dxa"/>
            <w:shd w:val="clear" w:color="auto" w:fill="auto"/>
            <w:noWrap/>
            <w:tcMar>
              <w:top w:w="15" w:type="dxa"/>
              <w:left w:w="15" w:type="dxa"/>
              <w:bottom w:w="0" w:type="dxa"/>
              <w:right w:w="15" w:type="dxa"/>
            </w:tcMar>
            <w:vAlign w:val="bottom"/>
          </w:tcPr>
          <w:p w:rsidR="00FF68FA" w:rsidRPr="00B3274C" w:rsidRDefault="00FF68FA" w:rsidP="00E31FA6">
            <w:pPr>
              <w:spacing w:before="40" w:after="40" w:line="220" w:lineRule="exact"/>
              <w:ind w:left="113"/>
              <w:jc w:val="right"/>
              <w:rPr>
                <w:sz w:val="18"/>
                <w:lang w:val="fr-CA"/>
              </w:rPr>
            </w:pPr>
            <w:r w:rsidRPr="00B3274C">
              <w:rPr>
                <w:sz w:val="18"/>
                <w:lang w:val="fr-CA"/>
              </w:rPr>
              <w:t>15</w:t>
            </w:r>
            <w:r w:rsidR="000E67F8" w:rsidRPr="00B3274C">
              <w:rPr>
                <w:sz w:val="18"/>
                <w:lang w:val="fr-CA"/>
              </w:rPr>
              <w:t> </w:t>
            </w:r>
            <w:r w:rsidRPr="00B3274C">
              <w:rPr>
                <w:sz w:val="18"/>
                <w:lang w:val="fr-CA"/>
              </w:rPr>
              <w:t>123</w:t>
            </w:r>
          </w:p>
        </w:tc>
        <w:tc>
          <w:tcPr>
            <w:tcW w:w="1119" w:type="dxa"/>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7</w:t>
            </w:r>
            <w:r w:rsidR="000E67F8" w:rsidRPr="00B3274C">
              <w:rPr>
                <w:sz w:val="18"/>
                <w:lang w:val="fr-CA"/>
              </w:rPr>
              <w:t> </w:t>
            </w:r>
            <w:r w:rsidRPr="00B3274C">
              <w:rPr>
                <w:sz w:val="18"/>
                <w:lang w:val="fr-CA"/>
              </w:rPr>
              <w:t>102</w:t>
            </w:r>
          </w:p>
        </w:tc>
        <w:tc>
          <w:tcPr>
            <w:tcW w:w="1238" w:type="dxa"/>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10</w:t>
            </w:r>
            <w:r w:rsidR="000E67F8" w:rsidRPr="00B3274C">
              <w:rPr>
                <w:sz w:val="18"/>
                <w:lang w:val="fr-CA"/>
              </w:rPr>
              <w:t> </w:t>
            </w:r>
            <w:r w:rsidRPr="00B3274C">
              <w:rPr>
                <w:sz w:val="18"/>
                <w:lang w:val="fr-CA"/>
              </w:rPr>
              <w:t>453</w:t>
            </w:r>
            <w:r w:rsidR="000E67F8" w:rsidRPr="00B3274C">
              <w:rPr>
                <w:sz w:val="18"/>
                <w:lang w:val="fr-CA"/>
              </w:rPr>
              <w:t> </w:t>
            </w:r>
            <w:r w:rsidRPr="00B3274C">
              <w:rPr>
                <w:sz w:val="18"/>
                <w:lang w:val="fr-CA"/>
              </w:rPr>
              <w:t>543</w:t>
            </w:r>
          </w:p>
        </w:tc>
      </w:tr>
      <w:tr w:rsidR="00FF68FA" w:rsidRPr="00B3274C" w:rsidTr="003A123E">
        <w:tc>
          <w:tcPr>
            <w:tcW w:w="724" w:type="dxa"/>
            <w:shd w:val="clear" w:color="auto" w:fill="auto"/>
            <w:tcMar>
              <w:top w:w="15" w:type="dxa"/>
              <w:left w:w="15" w:type="dxa"/>
              <w:bottom w:w="0" w:type="dxa"/>
              <w:right w:w="15" w:type="dxa"/>
            </w:tcMar>
            <w:vAlign w:val="bottom"/>
          </w:tcPr>
          <w:p w:rsidR="00FF68FA" w:rsidRPr="00B3274C" w:rsidRDefault="00FF68FA" w:rsidP="003A123E">
            <w:pPr>
              <w:spacing w:before="40" w:after="40" w:line="220" w:lineRule="exact"/>
              <w:rPr>
                <w:bCs/>
                <w:sz w:val="18"/>
                <w:lang w:val="fr-CA"/>
              </w:rPr>
            </w:pPr>
            <w:r w:rsidRPr="00B3274C">
              <w:rPr>
                <w:bCs/>
                <w:sz w:val="18"/>
                <w:lang w:val="fr-CA"/>
              </w:rPr>
              <w:t>2008</w:t>
            </w:r>
          </w:p>
        </w:tc>
        <w:tc>
          <w:tcPr>
            <w:tcW w:w="992" w:type="dxa"/>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28</w:t>
            </w:r>
            <w:r w:rsidR="000E67F8" w:rsidRPr="00B3274C">
              <w:rPr>
                <w:sz w:val="18"/>
                <w:lang w:val="fr-CA"/>
              </w:rPr>
              <w:t> </w:t>
            </w:r>
            <w:r w:rsidRPr="00B3274C">
              <w:rPr>
                <w:sz w:val="18"/>
                <w:lang w:val="fr-CA"/>
              </w:rPr>
              <w:t>538</w:t>
            </w:r>
          </w:p>
        </w:tc>
        <w:tc>
          <w:tcPr>
            <w:tcW w:w="1026" w:type="dxa"/>
            <w:shd w:val="clear" w:color="auto" w:fill="auto"/>
            <w:noWrap/>
            <w:tcMar>
              <w:top w:w="15" w:type="dxa"/>
              <w:left w:w="15" w:type="dxa"/>
              <w:bottom w:w="0" w:type="dxa"/>
              <w:right w:w="15" w:type="dxa"/>
            </w:tcMar>
            <w:vAlign w:val="bottom"/>
          </w:tcPr>
          <w:p w:rsidR="00FF68FA" w:rsidRPr="00B3274C" w:rsidRDefault="00FF68FA" w:rsidP="00597DC4">
            <w:pPr>
              <w:spacing w:before="40" w:after="40" w:line="220" w:lineRule="exact"/>
              <w:ind w:left="113"/>
              <w:jc w:val="right"/>
              <w:rPr>
                <w:sz w:val="18"/>
                <w:lang w:val="fr-CA"/>
              </w:rPr>
            </w:pPr>
            <w:r w:rsidRPr="00B3274C">
              <w:rPr>
                <w:sz w:val="18"/>
                <w:lang w:val="fr-CA"/>
              </w:rPr>
              <w:t>2</w:t>
            </w:r>
            <w:r w:rsidR="000E67F8" w:rsidRPr="00B3274C">
              <w:rPr>
                <w:sz w:val="18"/>
                <w:lang w:val="fr-CA"/>
              </w:rPr>
              <w:t> </w:t>
            </w:r>
            <w:r w:rsidRPr="00B3274C">
              <w:rPr>
                <w:sz w:val="18"/>
                <w:lang w:val="fr-CA"/>
              </w:rPr>
              <w:t>280</w:t>
            </w:r>
          </w:p>
        </w:tc>
        <w:tc>
          <w:tcPr>
            <w:tcW w:w="1134" w:type="dxa"/>
            <w:shd w:val="clear" w:color="auto" w:fill="auto"/>
            <w:noWrap/>
            <w:tcMar>
              <w:top w:w="15" w:type="dxa"/>
              <w:left w:w="15" w:type="dxa"/>
              <w:bottom w:w="0" w:type="dxa"/>
              <w:right w:w="15" w:type="dxa"/>
            </w:tcMar>
            <w:vAlign w:val="bottom"/>
          </w:tcPr>
          <w:p w:rsidR="00FF68FA" w:rsidRPr="00B3274C" w:rsidRDefault="00FF68FA" w:rsidP="00597DC4">
            <w:pPr>
              <w:spacing w:before="40" w:after="40" w:line="220" w:lineRule="exact"/>
              <w:ind w:left="113"/>
              <w:jc w:val="right"/>
              <w:rPr>
                <w:sz w:val="18"/>
                <w:lang w:val="fr-CA"/>
              </w:rPr>
            </w:pPr>
            <w:r w:rsidRPr="00B3274C">
              <w:rPr>
                <w:sz w:val="18"/>
                <w:lang w:val="fr-CA"/>
              </w:rPr>
              <w:t>5</w:t>
            </w:r>
            <w:r w:rsidR="000E67F8" w:rsidRPr="00B3274C">
              <w:rPr>
                <w:sz w:val="18"/>
                <w:lang w:val="fr-CA"/>
              </w:rPr>
              <w:t> </w:t>
            </w:r>
            <w:r w:rsidRPr="00B3274C">
              <w:rPr>
                <w:sz w:val="18"/>
                <w:lang w:val="fr-CA"/>
              </w:rPr>
              <w:t>440</w:t>
            </w:r>
          </w:p>
        </w:tc>
        <w:tc>
          <w:tcPr>
            <w:tcW w:w="1134" w:type="dxa"/>
            <w:shd w:val="clear" w:color="auto" w:fill="auto"/>
            <w:noWrap/>
            <w:tcMar>
              <w:top w:w="15" w:type="dxa"/>
              <w:left w:w="15" w:type="dxa"/>
              <w:bottom w:w="0" w:type="dxa"/>
              <w:right w:w="15" w:type="dxa"/>
            </w:tcMar>
            <w:vAlign w:val="bottom"/>
          </w:tcPr>
          <w:p w:rsidR="00FF68FA" w:rsidRPr="00B3274C" w:rsidRDefault="00FF68FA" w:rsidP="00586C0B">
            <w:pPr>
              <w:spacing w:before="40" w:after="40" w:line="220" w:lineRule="exact"/>
              <w:ind w:left="113"/>
              <w:jc w:val="right"/>
              <w:rPr>
                <w:sz w:val="18"/>
                <w:lang w:val="fr-CA"/>
              </w:rPr>
            </w:pPr>
            <w:r w:rsidRPr="00B3274C">
              <w:rPr>
                <w:sz w:val="18"/>
                <w:lang w:val="fr-CA"/>
              </w:rPr>
              <w:t>9</w:t>
            </w:r>
            <w:r w:rsidR="000E67F8" w:rsidRPr="00B3274C">
              <w:rPr>
                <w:sz w:val="18"/>
                <w:lang w:val="fr-CA"/>
              </w:rPr>
              <w:t> </w:t>
            </w:r>
            <w:r w:rsidRPr="00B3274C">
              <w:rPr>
                <w:sz w:val="18"/>
                <w:lang w:val="fr-CA"/>
              </w:rPr>
              <w:t>814</w:t>
            </w:r>
            <w:r w:rsidR="000E67F8" w:rsidRPr="00B3274C">
              <w:rPr>
                <w:sz w:val="18"/>
                <w:lang w:val="fr-CA"/>
              </w:rPr>
              <w:t> </w:t>
            </w:r>
            <w:r w:rsidRPr="00B3274C">
              <w:rPr>
                <w:sz w:val="18"/>
                <w:lang w:val="fr-CA"/>
              </w:rPr>
              <w:t>500</w:t>
            </w:r>
          </w:p>
        </w:tc>
        <w:tc>
          <w:tcPr>
            <w:tcW w:w="1149" w:type="dxa"/>
            <w:shd w:val="clear" w:color="auto" w:fill="auto"/>
            <w:noWrap/>
            <w:tcMar>
              <w:top w:w="15" w:type="dxa"/>
              <w:left w:w="15" w:type="dxa"/>
              <w:bottom w:w="0" w:type="dxa"/>
              <w:right w:w="15" w:type="dxa"/>
            </w:tcMar>
            <w:vAlign w:val="bottom"/>
          </w:tcPr>
          <w:p w:rsidR="00FF68FA" w:rsidRPr="00B3274C" w:rsidRDefault="00FF68FA" w:rsidP="00E31FA6">
            <w:pPr>
              <w:spacing w:before="40" w:after="40" w:line="220" w:lineRule="exact"/>
              <w:ind w:left="113"/>
              <w:jc w:val="right"/>
              <w:rPr>
                <w:sz w:val="18"/>
                <w:lang w:val="fr-CA"/>
              </w:rPr>
            </w:pPr>
            <w:r w:rsidRPr="00B3274C">
              <w:rPr>
                <w:sz w:val="18"/>
                <w:lang w:val="fr-CA"/>
              </w:rPr>
              <w:t>15</w:t>
            </w:r>
            <w:r w:rsidR="000E67F8" w:rsidRPr="00B3274C">
              <w:rPr>
                <w:sz w:val="18"/>
                <w:lang w:val="fr-CA"/>
              </w:rPr>
              <w:t> </w:t>
            </w:r>
            <w:r w:rsidRPr="00B3274C">
              <w:rPr>
                <w:sz w:val="18"/>
                <w:lang w:val="fr-CA"/>
              </w:rPr>
              <w:t>898</w:t>
            </w:r>
          </w:p>
        </w:tc>
        <w:tc>
          <w:tcPr>
            <w:tcW w:w="1119" w:type="dxa"/>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7</w:t>
            </w:r>
            <w:r w:rsidR="000E67F8" w:rsidRPr="00B3274C">
              <w:rPr>
                <w:sz w:val="18"/>
                <w:lang w:val="fr-CA"/>
              </w:rPr>
              <w:t> </w:t>
            </w:r>
            <w:r w:rsidRPr="00B3274C">
              <w:rPr>
                <w:sz w:val="18"/>
                <w:lang w:val="fr-CA"/>
              </w:rPr>
              <w:t>698</w:t>
            </w:r>
          </w:p>
        </w:tc>
        <w:tc>
          <w:tcPr>
            <w:tcW w:w="1238" w:type="dxa"/>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11</w:t>
            </w:r>
            <w:r w:rsidR="000E67F8" w:rsidRPr="00B3274C">
              <w:rPr>
                <w:sz w:val="18"/>
                <w:lang w:val="fr-CA"/>
              </w:rPr>
              <w:t> </w:t>
            </w:r>
            <w:r w:rsidRPr="00B3274C">
              <w:rPr>
                <w:sz w:val="18"/>
                <w:lang w:val="fr-CA"/>
              </w:rPr>
              <w:t>188</w:t>
            </w:r>
            <w:r w:rsidR="000E67F8" w:rsidRPr="00B3274C">
              <w:rPr>
                <w:sz w:val="18"/>
                <w:lang w:val="fr-CA"/>
              </w:rPr>
              <w:t> </w:t>
            </w:r>
            <w:r w:rsidRPr="00B3274C">
              <w:rPr>
                <w:sz w:val="18"/>
                <w:lang w:val="fr-CA"/>
              </w:rPr>
              <w:t>804</w:t>
            </w:r>
          </w:p>
        </w:tc>
      </w:tr>
      <w:tr w:rsidR="00FF68FA" w:rsidRPr="00B3274C" w:rsidTr="003A123E">
        <w:tc>
          <w:tcPr>
            <w:tcW w:w="724" w:type="dxa"/>
            <w:shd w:val="clear" w:color="auto" w:fill="auto"/>
            <w:tcMar>
              <w:top w:w="15" w:type="dxa"/>
              <w:left w:w="15" w:type="dxa"/>
              <w:bottom w:w="0" w:type="dxa"/>
              <w:right w:w="15" w:type="dxa"/>
            </w:tcMar>
            <w:vAlign w:val="bottom"/>
          </w:tcPr>
          <w:p w:rsidR="00FF68FA" w:rsidRPr="00B3274C" w:rsidRDefault="00FF68FA" w:rsidP="003A123E">
            <w:pPr>
              <w:spacing w:before="40" w:after="40" w:line="220" w:lineRule="exact"/>
              <w:rPr>
                <w:bCs/>
                <w:sz w:val="18"/>
                <w:lang w:val="fr-CA"/>
              </w:rPr>
            </w:pPr>
            <w:r w:rsidRPr="00B3274C">
              <w:rPr>
                <w:bCs/>
                <w:sz w:val="18"/>
                <w:lang w:val="fr-CA"/>
              </w:rPr>
              <w:t>2009</w:t>
            </w:r>
          </w:p>
        </w:tc>
        <w:tc>
          <w:tcPr>
            <w:tcW w:w="992" w:type="dxa"/>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28</w:t>
            </w:r>
            <w:r w:rsidR="000E67F8" w:rsidRPr="00B3274C">
              <w:rPr>
                <w:sz w:val="18"/>
                <w:lang w:val="fr-CA"/>
              </w:rPr>
              <w:t> </w:t>
            </w:r>
            <w:r w:rsidRPr="00B3274C">
              <w:rPr>
                <w:sz w:val="18"/>
                <w:lang w:val="fr-CA"/>
              </w:rPr>
              <w:t>082</w:t>
            </w:r>
          </w:p>
        </w:tc>
        <w:tc>
          <w:tcPr>
            <w:tcW w:w="1026" w:type="dxa"/>
            <w:shd w:val="clear" w:color="auto" w:fill="auto"/>
            <w:noWrap/>
            <w:tcMar>
              <w:top w:w="15" w:type="dxa"/>
              <w:left w:w="15" w:type="dxa"/>
              <w:bottom w:w="0" w:type="dxa"/>
              <w:right w:w="15" w:type="dxa"/>
            </w:tcMar>
            <w:vAlign w:val="bottom"/>
          </w:tcPr>
          <w:p w:rsidR="00FF68FA" w:rsidRPr="00B3274C" w:rsidRDefault="00FF68FA" w:rsidP="00597DC4">
            <w:pPr>
              <w:spacing w:before="40" w:after="40" w:line="220" w:lineRule="exact"/>
              <w:ind w:left="113"/>
              <w:jc w:val="right"/>
              <w:rPr>
                <w:sz w:val="18"/>
                <w:lang w:val="fr-CA"/>
              </w:rPr>
            </w:pPr>
            <w:r w:rsidRPr="00B3274C">
              <w:rPr>
                <w:sz w:val="18"/>
                <w:lang w:val="fr-CA"/>
              </w:rPr>
              <w:t>3</w:t>
            </w:r>
            <w:r w:rsidR="000E67F8" w:rsidRPr="00B3274C">
              <w:rPr>
                <w:sz w:val="18"/>
                <w:lang w:val="fr-CA"/>
              </w:rPr>
              <w:t> </w:t>
            </w:r>
            <w:r w:rsidRPr="00B3274C">
              <w:rPr>
                <w:sz w:val="18"/>
                <w:lang w:val="fr-CA"/>
              </w:rPr>
              <w:t>475</w:t>
            </w:r>
          </w:p>
        </w:tc>
        <w:tc>
          <w:tcPr>
            <w:tcW w:w="1134" w:type="dxa"/>
            <w:shd w:val="clear" w:color="auto" w:fill="auto"/>
            <w:noWrap/>
            <w:tcMar>
              <w:top w:w="15" w:type="dxa"/>
              <w:left w:w="15" w:type="dxa"/>
              <w:bottom w:w="0" w:type="dxa"/>
              <w:right w:w="15" w:type="dxa"/>
            </w:tcMar>
            <w:vAlign w:val="bottom"/>
          </w:tcPr>
          <w:p w:rsidR="00FF68FA" w:rsidRPr="00B3274C" w:rsidRDefault="00FF68FA" w:rsidP="00597DC4">
            <w:pPr>
              <w:spacing w:before="40" w:after="40" w:line="220" w:lineRule="exact"/>
              <w:ind w:left="113"/>
              <w:jc w:val="right"/>
              <w:rPr>
                <w:sz w:val="18"/>
                <w:lang w:val="fr-CA"/>
              </w:rPr>
            </w:pPr>
            <w:r w:rsidRPr="00B3274C">
              <w:rPr>
                <w:sz w:val="18"/>
                <w:lang w:val="fr-CA"/>
              </w:rPr>
              <w:t>5</w:t>
            </w:r>
            <w:r w:rsidR="000E67F8" w:rsidRPr="00B3274C">
              <w:rPr>
                <w:sz w:val="18"/>
                <w:lang w:val="fr-CA"/>
              </w:rPr>
              <w:t> </w:t>
            </w:r>
            <w:r w:rsidRPr="00B3274C">
              <w:rPr>
                <w:sz w:val="18"/>
                <w:lang w:val="fr-CA"/>
              </w:rPr>
              <w:t>679</w:t>
            </w:r>
          </w:p>
        </w:tc>
        <w:tc>
          <w:tcPr>
            <w:tcW w:w="1134" w:type="dxa"/>
            <w:shd w:val="clear" w:color="auto" w:fill="auto"/>
            <w:noWrap/>
            <w:tcMar>
              <w:top w:w="15" w:type="dxa"/>
              <w:left w:w="15" w:type="dxa"/>
              <w:bottom w:w="0" w:type="dxa"/>
              <w:right w:w="15" w:type="dxa"/>
            </w:tcMar>
            <w:vAlign w:val="bottom"/>
          </w:tcPr>
          <w:p w:rsidR="00FF68FA" w:rsidRPr="00B3274C" w:rsidRDefault="00FF68FA" w:rsidP="00586C0B">
            <w:pPr>
              <w:spacing w:before="40" w:after="40" w:line="220" w:lineRule="exact"/>
              <w:ind w:left="113"/>
              <w:jc w:val="right"/>
              <w:rPr>
                <w:sz w:val="18"/>
                <w:lang w:val="fr-CA"/>
              </w:rPr>
            </w:pPr>
            <w:r w:rsidRPr="00B3274C">
              <w:rPr>
                <w:sz w:val="18"/>
                <w:lang w:val="fr-CA"/>
              </w:rPr>
              <w:t>10</w:t>
            </w:r>
            <w:r w:rsidR="000E67F8" w:rsidRPr="00B3274C">
              <w:rPr>
                <w:sz w:val="18"/>
                <w:lang w:val="fr-CA"/>
              </w:rPr>
              <w:t> </w:t>
            </w:r>
            <w:r w:rsidRPr="00B3274C">
              <w:rPr>
                <w:sz w:val="18"/>
                <w:lang w:val="fr-CA"/>
              </w:rPr>
              <w:t>885</w:t>
            </w:r>
            <w:r w:rsidR="000E67F8" w:rsidRPr="00B3274C">
              <w:rPr>
                <w:sz w:val="18"/>
                <w:lang w:val="fr-CA"/>
              </w:rPr>
              <w:t> </w:t>
            </w:r>
            <w:r w:rsidRPr="00B3274C">
              <w:rPr>
                <w:sz w:val="18"/>
                <w:lang w:val="fr-CA"/>
              </w:rPr>
              <w:t>952</w:t>
            </w:r>
          </w:p>
        </w:tc>
        <w:tc>
          <w:tcPr>
            <w:tcW w:w="1149" w:type="dxa"/>
            <w:shd w:val="clear" w:color="auto" w:fill="auto"/>
            <w:noWrap/>
            <w:tcMar>
              <w:top w:w="15" w:type="dxa"/>
              <w:left w:w="15" w:type="dxa"/>
              <w:bottom w:w="0" w:type="dxa"/>
              <w:right w:w="15" w:type="dxa"/>
            </w:tcMar>
            <w:vAlign w:val="bottom"/>
          </w:tcPr>
          <w:p w:rsidR="00FF68FA" w:rsidRPr="00B3274C" w:rsidRDefault="00FF68FA" w:rsidP="00E31FA6">
            <w:pPr>
              <w:spacing w:before="40" w:after="40" w:line="220" w:lineRule="exact"/>
              <w:ind w:left="113"/>
              <w:jc w:val="right"/>
              <w:rPr>
                <w:sz w:val="18"/>
                <w:lang w:val="fr-CA"/>
              </w:rPr>
            </w:pPr>
            <w:r w:rsidRPr="00B3274C">
              <w:rPr>
                <w:sz w:val="18"/>
                <w:lang w:val="fr-CA"/>
              </w:rPr>
              <w:t>20</w:t>
            </w:r>
            <w:r w:rsidR="000E67F8" w:rsidRPr="00B3274C">
              <w:rPr>
                <w:sz w:val="18"/>
                <w:lang w:val="fr-CA"/>
              </w:rPr>
              <w:t> </w:t>
            </w:r>
            <w:r w:rsidRPr="00B3274C">
              <w:rPr>
                <w:sz w:val="18"/>
                <w:lang w:val="fr-CA"/>
              </w:rPr>
              <w:t>550</w:t>
            </w:r>
          </w:p>
        </w:tc>
        <w:tc>
          <w:tcPr>
            <w:tcW w:w="1119" w:type="dxa"/>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10</w:t>
            </w:r>
            <w:r w:rsidR="000E67F8" w:rsidRPr="00B3274C">
              <w:rPr>
                <w:sz w:val="18"/>
                <w:lang w:val="fr-CA"/>
              </w:rPr>
              <w:t> </w:t>
            </w:r>
            <w:r w:rsidRPr="00B3274C">
              <w:rPr>
                <w:sz w:val="18"/>
                <w:lang w:val="fr-CA"/>
              </w:rPr>
              <w:t>039</w:t>
            </w:r>
          </w:p>
        </w:tc>
        <w:tc>
          <w:tcPr>
            <w:tcW w:w="1238" w:type="dxa"/>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17</w:t>
            </w:r>
            <w:r w:rsidR="000E67F8" w:rsidRPr="00B3274C">
              <w:rPr>
                <w:sz w:val="18"/>
                <w:lang w:val="fr-CA"/>
              </w:rPr>
              <w:t> </w:t>
            </w:r>
            <w:r w:rsidRPr="00B3274C">
              <w:rPr>
                <w:sz w:val="18"/>
                <w:lang w:val="fr-CA"/>
              </w:rPr>
              <w:t>524</w:t>
            </w:r>
            <w:r w:rsidR="000E67F8" w:rsidRPr="00B3274C">
              <w:rPr>
                <w:sz w:val="18"/>
                <w:lang w:val="fr-CA"/>
              </w:rPr>
              <w:t> </w:t>
            </w:r>
            <w:r w:rsidRPr="00B3274C">
              <w:rPr>
                <w:sz w:val="18"/>
                <w:lang w:val="fr-CA"/>
              </w:rPr>
              <w:t>702</w:t>
            </w:r>
          </w:p>
        </w:tc>
      </w:tr>
      <w:tr w:rsidR="00FF68FA" w:rsidRPr="00B3274C" w:rsidTr="003A123E">
        <w:tc>
          <w:tcPr>
            <w:tcW w:w="724" w:type="dxa"/>
            <w:shd w:val="clear" w:color="auto" w:fill="auto"/>
            <w:tcMar>
              <w:top w:w="15" w:type="dxa"/>
              <w:left w:w="15" w:type="dxa"/>
              <w:bottom w:w="0" w:type="dxa"/>
              <w:right w:w="15" w:type="dxa"/>
            </w:tcMar>
            <w:vAlign w:val="bottom"/>
          </w:tcPr>
          <w:p w:rsidR="00FF68FA" w:rsidRPr="00B3274C" w:rsidRDefault="00FF68FA" w:rsidP="003A123E">
            <w:pPr>
              <w:spacing w:before="40" w:after="40" w:line="220" w:lineRule="exact"/>
              <w:rPr>
                <w:bCs/>
                <w:sz w:val="18"/>
                <w:lang w:val="fr-CA"/>
              </w:rPr>
            </w:pPr>
            <w:r w:rsidRPr="00B3274C">
              <w:rPr>
                <w:bCs/>
                <w:sz w:val="18"/>
                <w:lang w:val="fr-CA"/>
              </w:rPr>
              <w:t>2010</w:t>
            </w:r>
          </w:p>
        </w:tc>
        <w:tc>
          <w:tcPr>
            <w:tcW w:w="992" w:type="dxa"/>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30</w:t>
            </w:r>
            <w:r w:rsidR="000E67F8" w:rsidRPr="00B3274C">
              <w:rPr>
                <w:sz w:val="18"/>
                <w:lang w:val="fr-CA"/>
              </w:rPr>
              <w:t> </w:t>
            </w:r>
            <w:r w:rsidRPr="00B3274C">
              <w:rPr>
                <w:sz w:val="18"/>
                <w:lang w:val="fr-CA"/>
              </w:rPr>
              <w:t>965</w:t>
            </w:r>
          </w:p>
        </w:tc>
        <w:tc>
          <w:tcPr>
            <w:tcW w:w="1026" w:type="dxa"/>
            <w:shd w:val="clear" w:color="auto" w:fill="auto"/>
            <w:noWrap/>
            <w:tcMar>
              <w:top w:w="15" w:type="dxa"/>
              <w:left w:w="15" w:type="dxa"/>
              <w:bottom w:w="0" w:type="dxa"/>
              <w:right w:w="15" w:type="dxa"/>
            </w:tcMar>
            <w:vAlign w:val="bottom"/>
          </w:tcPr>
          <w:p w:rsidR="00FF68FA" w:rsidRPr="00B3274C" w:rsidRDefault="00FF68FA" w:rsidP="00597DC4">
            <w:pPr>
              <w:spacing w:before="40" w:after="40" w:line="220" w:lineRule="exact"/>
              <w:ind w:left="113"/>
              <w:jc w:val="right"/>
              <w:rPr>
                <w:sz w:val="18"/>
                <w:lang w:val="fr-CA"/>
              </w:rPr>
            </w:pPr>
            <w:r w:rsidRPr="00B3274C">
              <w:rPr>
                <w:sz w:val="18"/>
                <w:lang w:val="fr-CA"/>
              </w:rPr>
              <w:t>3</w:t>
            </w:r>
            <w:r w:rsidR="000E67F8" w:rsidRPr="00B3274C">
              <w:rPr>
                <w:sz w:val="18"/>
                <w:lang w:val="fr-CA"/>
              </w:rPr>
              <w:t> </w:t>
            </w:r>
            <w:r w:rsidRPr="00B3274C">
              <w:rPr>
                <w:sz w:val="18"/>
                <w:lang w:val="fr-CA"/>
              </w:rPr>
              <w:t>585</w:t>
            </w:r>
          </w:p>
        </w:tc>
        <w:tc>
          <w:tcPr>
            <w:tcW w:w="1134" w:type="dxa"/>
            <w:shd w:val="clear" w:color="auto" w:fill="auto"/>
            <w:noWrap/>
            <w:tcMar>
              <w:top w:w="15" w:type="dxa"/>
              <w:left w:w="15" w:type="dxa"/>
              <w:bottom w:w="0" w:type="dxa"/>
              <w:right w:w="15" w:type="dxa"/>
            </w:tcMar>
            <w:vAlign w:val="bottom"/>
          </w:tcPr>
          <w:p w:rsidR="00FF68FA" w:rsidRPr="00B3274C" w:rsidRDefault="00FF68FA" w:rsidP="00597DC4">
            <w:pPr>
              <w:spacing w:before="40" w:after="40" w:line="220" w:lineRule="exact"/>
              <w:ind w:left="113"/>
              <w:jc w:val="right"/>
              <w:rPr>
                <w:sz w:val="18"/>
                <w:lang w:val="fr-CA"/>
              </w:rPr>
            </w:pPr>
            <w:r w:rsidRPr="00B3274C">
              <w:rPr>
                <w:sz w:val="18"/>
                <w:lang w:val="fr-CA"/>
              </w:rPr>
              <w:t>7</w:t>
            </w:r>
            <w:r w:rsidR="000E67F8" w:rsidRPr="00B3274C">
              <w:rPr>
                <w:sz w:val="18"/>
                <w:lang w:val="fr-CA"/>
              </w:rPr>
              <w:t> </w:t>
            </w:r>
            <w:r w:rsidRPr="00B3274C">
              <w:rPr>
                <w:sz w:val="18"/>
                <w:lang w:val="fr-CA"/>
              </w:rPr>
              <w:t>165</w:t>
            </w:r>
          </w:p>
        </w:tc>
        <w:tc>
          <w:tcPr>
            <w:tcW w:w="1134" w:type="dxa"/>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13</w:t>
            </w:r>
            <w:r w:rsidR="000E67F8" w:rsidRPr="00B3274C">
              <w:rPr>
                <w:sz w:val="18"/>
                <w:lang w:val="fr-CA"/>
              </w:rPr>
              <w:t> </w:t>
            </w:r>
            <w:r w:rsidRPr="00B3274C">
              <w:rPr>
                <w:sz w:val="18"/>
                <w:lang w:val="fr-CA"/>
              </w:rPr>
              <w:t>144</w:t>
            </w:r>
            <w:r w:rsidR="000E67F8" w:rsidRPr="00B3274C">
              <w:rPr>
                <w:sz w:val="18"/>
                <w:lang w:val="fr-CA"/>
              </w:rPr>
              <w:t> </w:t>
            </w:r>
            <w:r w:rsidRPr="00B3274C">
              <w:rPr>
                <w:sz w:val="18"/>
                <w:lang w:val="fr-CA"/>
              </w:rPr>
              <w:t>900</w:t>
            </w:r>
          </w:p>
        </w:tc>
        <w:tc>
          <w:tcPr>
            <w:tcW w:w="1149" w:type="dxa"/>
            <w:shd w:val="clear" w:color="auto" w:fill="auto"/>
            <w:noWrap/>
            <w:tcMar>
              <w:top w:w="15" w:type="dxa"/>
              <w:left w:w="15" w:type="dxa"/>
              <w:bottom w:w="0" w:type="dxa"/>
              <w:right w:w="15" w:type="dxa"/>
            </w:tcMar>
            <w:vAlign w:val="bottom"/>
          </w:tcPr>
          <w:p w:rsidR="00FF68FA" w:rsidRPr="00B3274C" w:rsidRDefault="00FF68FA" w:rsidP="00E31FA6">
            <w:pPr>
              <w:spacing w:before="40" w:after="40" w:line="220" w:lineRule="exact"/>
              <w:ind w:left="113"/>
              <w:jc w:val="right"/>
              <w:rPr>
                <w:sz w:val="18"/>
                <w:lang w:val="fr-CA"/>
              </w:rPr>
            </w:pPr>
            <w:r w:rsidRPr="00B3274C">
              <w:rPr>
                <w:sz w:val="18"/>
                <w:lang w:val="fr-CA"/>
              </w:rPr>
              <w:t>20</w:t>
            </w:r>
            <w:r w:rsidR="000E67F8" w:rsidRPr="00B3274C">
              <w:rPr>
                <w:sz w:val="18"/>
                <w:lang w:val="fr-CA"/>
              </w:rPr>
              <w:t> </w:t>
            </w:r>
            <w:r w:rsidRPr="00B3274C">
              <w:rPr>
                <w:sz w:val="18"/>
                <w:lang w:val="fr-CA"/>
              </w:rPr>
              <w:t>555</w:t>
            </w:r>
          </w:p>
        </w:tc>
        <w:tc>
          <w:tcPr>
            <w:tcW w:w="1119" w:type="dxa"/>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9</w:t>
            </w:r>
            <w:r w:rsidR="000E67F8" w:rsidRPr="00B3274C">
              <w:rPr>
                <w:sz w:val="18"/>
                <w:lang w:val="fr-CA"/>
              </w:rPr>
              <w:t> </w:t>
            </w:r>
            <w:r w:rsidRPr="00B3274C">
              <w:rPr>
                <w:sz w:val="18"/>
                <w:lang w:val="fr-CA"/>
              </w:rPr>
              <w:t>435</w:t>
            </w:r>
          </w:p>
        </w:tc>
        <w:tc>
          <w:tcPr>
            <w:tcW w:w="1238" w:type="dxa"/>
            <w:shd w:val="clear" w:color="auto" w:fill="auto"/>
            <w:noWrap/>
            <w:tcMar>
              <w:top w:w="15" w:type="dxa"/>
              <w:left w:w="15" w:type="dxa"/>
              <w:bottom w:w="0" w:type="dxa"/>
              <w:right w:w="15" w:type="dxa"/>
            </w:tcMar>
            <w:vAlign w:val="bottom"/>
          </w:tcPr>
          <w:p w:rsidR="00FF68FA" w:rsidRPr="00B3274C" w:rsidRDefault="00FF68FA" w:rsidP="00200E78">
            <w:pPr>
              <w:spacing w:before="40" w:after="40" w:line="220" w:lineRule="exact"/>
              <w:ind w:left="113"/>
              <w:jc w:val="right"/>
              <w:rPr>
                <w:sz w:val="18"/>
                <w:lang w:val="fr-CA"/>
              </w:rPr>
            </w:pPr>
            <w:r w:rsidRPr="00B3274C">
              <w:rPr>
                <w:sz w:val="18"/>
                <w:lang w:val="fr-CA"/>
              </w:rPr>
              <w:t>20</w:t>
            </w:r>
            <w:r w:rsidR="000E67F8" w:rsidRPr="00B3274C">
              <w:rPr>
                <w:sz w:val="18"/>
                <w:lang w:val="fr-CA"/>
              </w:rPr>
              <w:t> </w:t>
            </w:r>
            <w:r w:rsidRPr="00B3274C">
              <w:rPr>
                <w:sz w:val="18"/>
                <w:lang w:val="fr-CA"/>
              </w:rPr>
              <w:t>699</w:t>
            </w:r>
            <w:r w:rsidR="000E67F8" w:rsidRPr="00B3274C">
              <w:rPr>
                <w:sz w:val="18"/>
                <w:lang w:val="fr-CA"/>
              </w:rPr>
              <w:t> </w:t>
            </w:r>
            <w:r w:rsidRPr="00B3274C">
              <w:rPr>
                <w:sz w:val="18"/>
                <w:lang w:val="fr-CA"/>
              </w:rPr>
              <w:t>232</w:t>
            </w:r>
          </w:p>
        </w:tc>
      </w:tr>
      <w:tr w:rsidR="00117C94" w:rsidRPr="00B3274C" w:rsidTr="003A123E">
        <w:tc>
          <w:tcPr>
            <w:tcW w:w="724" w:type="dxa"/>
            <w:tcBorders>
              <w:bottom w:val="single" w:sz="4" w:space="0" w:color="auto"/>
            </w:tcBorders>
            <w:shd w:val="clear" w:color="auto" w:fill="auto"/>
            <w:tcMar>
              <w:top w:w="15" w:type="dxa"/>
              <w:left w:w="15" w:type="dxa"/>
              <w:bottom w:w="0" w:type="dxa"/>
              <w:right w:w="15" w:type="dxa"/>
            </w:tcMar>
            <w:vAlign w:val="bottom"/>
          </w:tcPr>
          <w:p w:rsidR="00117C94" w:rsidRPr="00B3274C" w:rsidRDefault="00117C94" w:rsidP="003A123E">
            <w:pPr>
              <w:spacing w:before="40" w:after="40" w:line="220" w:lineRule="exact"/>
              <w:rPr>
                <w:bCs/>
                <w:sz w:val="18"/>
                <w:lang w:val="fr-CA"/>
              </w:rPr>
            </w:pPr>
            <w:r w:rsidRPr="00B3274C">
              <w:rPr>
                <w:bCs/>
                <w:sz w:val="18"/>
                <w:lang w:val="fr-CA"/>
              </w:rPr>
              <w:t>2011</w:t>
            </w:r>
          </w:p>
        </w:tc>
        <w:tc>
          <w:tcPr>
            <w:tcW w:w="992" w:type="dxa"/>
            <w:tcBorders>
              <w:bottom w:val="single" w:sz="4" w:space="0" w:color="auto"/>
            </w:tcBorders>
            <w:shd w:val="clear" w:color="auto" w:fill="auto"/>
            <w:noWrap/>
            <w:tcMar>
              <w:top w:w="15" w:type="dxa"/>
              <w:left w:w="15" w:type="dxa"/>
              <w:bottom w:w="0" w:type="dxa"/>
              <w:right w:w="15" w:type="dxa"/>
            </w:tcMar>
            <w:vAlign w:val="bottom"/>
          </w:tcPr>
          <w:p w:rsidR="00117C94" w:rsidRPr="00B3274C" w:rsidRDefault="00117C94" w:rsidP="00432CF5">
            <w:pPr>
              <w:spacing w:before="40" w:after="40" w:line="220" w:lineRule="exact"/>
              <w:ind w:left="113"/>
              <w:jc w:val="right"/>
              <w:rPr>
                <w:sz w:val="18"/>
                <w:lang w:val="fr-CA"/>
              </w:rPr>
            </w:pPr>
            <w:r w:rsidRPr="00B3274C">
              <w:rPr>
                <w:sz w:val="18"/>
                <w:lang w:val="fr-CA"/>
              </w:rPr>
              <w:t>31</w:t>
            </w:r>
            <w:r w:rsidR="000E67F8" w:rsidRPr="00B3274C">
              <w:rPr>
                <w:sz w:val="18"/>
                <w:lang w:val="fr-CA"/>
              </w:rPr>
              <w:t> </w:t>
            </w:r>
            <w:r w:rsidRPr="00B3274C">
              <w:rPr>
                <w:sz w:val="18"/>
                <w:lang w:val="fr-CA"/>
              </w:rPr>
              <w:t>515</w:t>
            </w:r>
          </w:p>
        </w:tc>
        <w:tc>
          <w:tcPr>
            <w:tcW w:w="1026" w:type="dxa"/>
            <w:tcBorders>
              <w:bottom w:val="single" w:sz="4" w:space="0" w:color="auto"/>
            </w:tcBorders>
            <w:shd w:val="clear" w:color="auto" w:fill="auto"/>
            <w:noWrap/>
            <w:tcMar>
              <w:top w:w="15" w:type="dxa"/>
              <w:left w:w="15" w:type="dxa"/>
              <w:bottom w:w="0" w:type="dxa"/>
              <w:right w:w="15" w:type="dxa"/>
            </w:tcMar>
            <w:vAlign w:val="bottom"/>
          </w:tcPr>
          <w:p w:rsidR="00117C94" w:rsidRPr="00B3274C" w:rsidRDefault="00117C94" w:rsidP="00597DC4">
            <w:pPr>
              <w:spacing w:before="40" w:after="40" w:line="220" w:lineRule="exact"/>
              <w:ind w:left="113"/>
              <w:jc w:val="right"/>
              <w:rPr>
                <w:sz w:val="18"/>
                <w:lang w:val="fr-CA"/>
              </w:rPr>
            </w:pPr>
            <w:r w:rsidRPr="00B3274C">
              <w:rPr>
                <w:sz w:val="18"/>
                <w:lang w:val="fr-CA"/>
              </w:rPr>
              <w:t>4</w:t>
            </w:r>
            <w:r w:rsidR="000E67F8" w:rsidRPr="00B3274C">
              <w:rPr>
                <w:sz w:val="18"/>
                <w:lang w:val="fr-CA"/>
              </w:rPr>
              <w:t> </w:t>
            </w:r>
            <w:r w:rsidRPr="00B3274C">
              <w:rPr>
                <w:sz w:val="18"/>
                <w:lang w:val="fr-CA"/>
              </w:rPr>
              <w:t>003</w:t>
            </w:r>
          </w:p>
        </w:tc>
        <w:tc>
          <w:tcPr>
            <w:tcW w:w="1134" w:type="dxa"/>
            <w:tcBorders>
              <w:bottom w:val="single" w:sz="4" w:space="0" w:color="auto"/>
            </w:tcBorders>
            <w:shd w:val="clear" w:color="auto" w:fill="auto"/>
            <w:noWrap/>
            <w:tcMar>
              <w:top w:w="15" w:type="dxa"/>
              <w:left w:w="15" w:type="dxa"/>
              <w:bottom w:w="0" w:type="dxa"/>
              <w:right w:w="15" w:type="dxa"/>
            </w:tcMar>
            <w:vAlign w:val="bottom"/>
          </w:tcPr>
          <w:p w:rsidR="00117C94" w:rsidRPr="00B3274C" w:rsidRDefault="00117C94" w:rsidP="00597DC4">
            <w:pPr>
              <w:spacing w:before="40" w:after="40" w:line="220" w:lineRule="exact"/>
              <w:ind w:left="113"/>
              <w:jc w:val="right"/>
              <w:rPr>
                <w:sz w:val="18"/>
                <w:lang w:val="fr-CA"/>
              </w:rPr>
            </w:pPr>
            <w:r w:rsidRPr="00B3274C">
              <w:rPr>
                <w:sz w:val="18"/>
                <w:lang w:val="fr-CA"/>
              </w:rPr>
              <w:t>3</w:t>
            </w:r>
            <w:r w:rsidR="000E67F8" w:rsidRPr="00B3274C">
              <w:rPr>
                <w:sz w:val="18"/>
                <w:lang w:val="fr-CA"/>
              </w:rPr>
              <w:t> </w:t>
            </w:r>
            <w:r w:rsidRPr="00B3274C">
              <w:rPr>
                <w:sz w:val="18"/>
                <w:lang w:val="fr-CA"/>
              </w:rPr>
              <w:t>738</w:t>
            </w:r>
          </w:p>
        </w:tc>
        <w:tc>
          <w:tcPr>
            <w:tcW w:w="1134" w:type="dxa"/>
            <w:tcBorders>
              <w:bottom w:val="single" w:sz="4" w:space="0" w:color="auto"/>
            </w:tcBorders>
            <w:shd w:val="clear" w:color="auto" w:fill="auto"/>
            <w:noWrap/>
            <w:tcMar>
              <w:top w:w="15" w:type="dxa"/>
              <w:left w:w="15" w:type="dxa"/>
              <w:bottom w:w="0" w:type="dxa"/>
              <w:right w:w="15" w:type="dxa"/>
            </w:tcMar>
            <w:vAlign w:val="bottom"/>
          </w:tcPr>
          <w:p w:rsidR="00117C94" w:rsidRPr="00B3274C" w:rsidRDefault="00117C94" w:rsidP="00432CF5">
            <w:pPr>
              <w:spacing w:before="40" w:after="40" w:line="220" w:lineRule="exact"/>
              <w:ind w:left="113"/>
              <w:jc w:val="right"/>
              <w:rPr>
                <w:sz w:val="18"/>
                <w:lang w:val="fr-CA"/>
              </w:rPr>
            </w:pPr>
            <w:r w:rsidRPr="00B3274C">
              <w:rPr>
                <w:sz w:val="18"/>
                <w:lang w:val="fr-CA"/>
              </w:rPr>
              <w:t>10</w:t>
            </w:r>
            <w:r w:rsidR="000E67F8" w:rsidRPr="00B3274C">
              <w:rPr>
                <w:sz w:val="18"/>
                <w:lang w:val="fr-CA"/>
              </w:rPr>
              <w:t> </w:t>
            </w:r>
            <w:r w:rsidRPr="00B3274C">
              <w:rPr>
                <w:sz w:val="18"/>
                <w:lang w:val="fr-CA"/>
              </w:rPr>
              <w:t>937</w:t>
            </w:r>
            <w:r w:rsidR="000E67F8" w:rsidRPr="00B3274C">
              <w:rPr>
                <w:sz w:val="18"/>
                <w:lang w:val="fr-CA"/>
              </w:rPr>
              <w:t> </w:t>
            </w:r>
            <w:r w:rsidRPr="00B3274C">
              <w:rPr>
                <w:sz w:val="18"/>
                <w:lang w:val="fr-CA"/>
              </w:rPr>
              <w:t>438</w:t>
            </w:r>
          </w:p>
        </w:tc>
        <w:tc>
          <w:tcPr>
            <w:tcW w:w="1149" w:type="dxa"/>
            <w:tcBorders>
              <w:bottom w:val="single" w:sz="4" w:space="0" w:color="auto"/>
            </w:tcBorders>
            <w:shd w:val="clear" w:color="auto" w:fill="auto"/>
            <w:noWrap/>
            <w:tcMar>
              <w:top w:w="15" w:type="dxa"/>
              <w:left w:w="15" w:type="dxa"/>
              <w:bottom w:w="0" w:type="dxa"/>
              <w:right w:w="15" w:type="dxa"/>
            </w:tcMar>
            <w:vAlign w:val="bottom"/>
          </w:tcPr>
          <w:p w:rsidR="00117C94" w:rsidRPr="00B3274C" w:rsidRDefault="00117C94" w:rsidP="00E31FA6">
            <w:pPr>
              <w:spacing w:before="40" w:after="40" w:line="220" w:lineRule="exact"/>
              <w:ind w:left="113"/>
              <w:jc w:val="right"/>
              <w:rPr>
                <w:sz w:val="18"/>
                <w:lang w:val="fr-CA"/>
              </w:rPr>
            </w:pPr>
            <w:r w:rsidRPr="00B3274C">
              <w:rPr>
                <w:sz w:val="18"/>
                <w:lang w:val="fr-CA"/>
              </w:rPr>
              <w:t>21</w:t>
            </w:r>
            <w:r w:rsidR="000E67F8" w:rsidRPr="00B3274C">
              <w:rPr>
                <w:sz w:val="18"/>
                <w:lang w:val="fr-CA"/>
              </w:rPr>
              <w:t> </w:t>
            </w:r>
            <w:r w:rsidRPr="00B3274C">
              <w:rPr>
                <w:sz w:val="18"/>
                <w:lang w:val="fr-CA"/>
              </w:rPr>
              <w:t>345</w:t>
            </w:r>
          </w:p>
        </w:tc>
        <w:tc>
          <w:tcPr>
            <w:tcW w:w="1119" w:type="dxa"/>
            <w:tcBorders>
              <w:bottom w:val="single" w:sz="4" w:space="0" w:color="auto"/>
            </w:tcBorders>
            <w:shd w:val="clear" w:color="auto" w:fill="auto"/>
            <w:noWrap/>
            <w:tcMar>
              <w:top w:w="15" w:type="dxa"/>
              <w:left w:w="15" w:type="dxa"/>
              <w:bottom w:w="0" w:type="dxa"/>
              <w:right w:w="15" w:type="dxa"/>
            </w:tcMar>
            <w:vAlign w:val="bottom"/>
          </w:tcPr>
          <w:p w:rsidR="00117C94" w:rsidRPr="00B3274C" w:rsidRDefault="00117C94" w:rsidP="00432CF5">
            <w:pPr>
              <w:spacing w:before="40" w:after="40" w:line="220" w:lineRule="exact"/>
              <w:ind w:left="113"/>
              <w:jc w:val="right"/>
              <w:rPr>
                <w:sz w:val="18"/>
                <w:lang w:val="fr-CA"/>
              </w:rPr>
            </w:pPr>
            <w:r w:rsidRPr="00B3274C">
              <w:rPr>
                <w:sz w:val="18"/>
                <w:lang w:val="fr-CA"/>
              </w:rPr>
              <w:t>9</w:t>
            </w:r>
            <w:r w:rsidR="000E67F8" w:rsidRPr="00B3274C">
              <w:rPr>
                <w:sz w:val="18"/>
                <w:lang w:val="fr-CA"/>
              </w:rPr>
              <w:t> </w:t>
            </w:r>
            <w:r w:rsidRPr="00B3274C">
              <w:rPr>
                <w:sz w:val="18"/>
                <w:lang w:val="fr-CA"/>
              </w:rPr>
              <w:t>843</w:t>
            </w:r>
          </w:p>
        </w:tc>
        <w:tc>
          <w:tcPr>
            <w:tcW w:w="1238" w:type="dxa"/>
            <w:tcBorders>
              <w:bottom w:val="single" w:sz="4" w:space="0" w:color="auto"/>
            </w:tcBorders>
            <w:shd w:val="clear" w:color="auto" w:fill="auto"/>
            <w:noWrap/>
            <w:tcMar>
              <w:top w:w="15" w:type="dxa"/>
              <w:left w:w="15" w:type="dxa"/>
              <w:bottom w:w="0" w:type="dxa"/>
              <w:right w:w="15" w:type="dxa"/>
            </w:tcMar>
            <w:vAlign w:val="bottom"/>
          </w:tcPr>
          <w:p w:rsidR="00117C94" w:rsidRPr="00B3274C" w:rsidRDefault="00117C94" w:rsidP="00432CF5">
            <w:pPr>
              <w:spacing w:before="40" w:after="40" w:line="220" w:lineRule="exact"/>
              <w:ind w:left="113"/>
              <w:jc w:val="right"/>
              <w:rPr>
                <w:sz w:val="18"/>
                <w:lang w:val="fr-CA"/>
              </w:rPr>
            </w:pPr>
            <w:r w:rsidRPr="00B3274C">
              <w:rPr>
                <w:sz w:val="18"/>
                <w:lang w:val="fr-CA"/>
              </w:rPr>
              <w:t>19</w:t>
            </w:r>
            <w:r w:rsidR="000E67F8" w:rsidRPr="00B3274C">
              <w:rPr>
                <w:sz w:val="18"/>
                <w:lang w:val="fr-CA"/>
              </w:rPr>
              <w:t> </w:t>
            </w:r>
            <w:r w:rsidRPr="00B3274C">
              <w:rPr>
                <w:sz w:val="18"/>
                <w:lang w:val="fr-CA"/>
              </w:rPr>
              <w:t>875</w:t>
            </w:r>
            <w:r w:rsidR="000E67F8" w:rsidRPr="00B3274C">
              <w:rPr>
                <w:sz w:val="18"/>
                <w:lang w:val="fr-CA"/>
              </w:rPr>
              <w:t> </w:t>
            </w:r>
            <w:r w:rsidRPr="00B3274C">
              <w:rPr>
                <w:sz w:val="18"/>
                <w:lang w:val="fr-CA"/>
              </w:rPr>
              <w:t>037</w:t>
            </w:r>
          </w:p>
        </w:tc>
      </w:tr>
      <w:tr w:rsidR="00117C94" w:rsidRPr="00B3274C" w:rsidTr="003A123E">
        <w:trPr>
          <w:trHeight w:val="20"/>
        </w:trPr>
        <w:tc>
          <w:tcPr>
            <w:tcW w:w="724" w:type="dxa"/>
            <w:tcBorders>
              <w:top w:val="single" w:sz="4" w:space="0" w:color="auto"/>
              <w:bottom w:val="single" w:sz="12" w:space="0" w:color="auto"/>
            </w:tcBorders>
            <w:shd w:val="clear" w:color="auto" w:fill="auto"/>
            <w:tcMar>
              <w:top w:w="15" w:type="dxa"/>
              <w:left w:w="15" w:type="dxa"/>
              <w:bottom w:w="0" w:type="dxa"/>
              <w:right w:w="15" w:type="dxa"/>
            </w:tcMar>
            <w:vAlign w:val="bottom"/>
          </w:tcPr>
          <w:p w:rsidR="00117C94" w:rsidRPr="00B3274C" w:rsidRDefault="00117C94" w:rsidP="003A123E">
            <w:pPr>
              <w:spacing w:before="80" w:after="80" w:line="220" w:lineRule="exact"/>
              <w:ind w:left="283"/>
              <w:rPr>
                <w:b/>
                <w:bCs/>
                <w:sz w:val="18"/>
                <w:lang w:val="fr-CA"/>
              </w:rPr>
            </w:pPr>
            <w:r w:rsidRPr="00B3274C">
              <w:rPr>
                <w:b/>
                <w:bCs/>
                <w:sz w:val="18"/>
                <w:lang w:val="fr-CA"/>
              </w:rPr>
              <w:t>Total</w:t>
            </w:r>
          </w:p>
        </w:tc>
        <w:tc>
          <w:tcPr>
            <w:tcW w:w="992"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17C94" w:rsidRPr="00B3274C" w:rsidRDefault="00117C94" w:rsidP="0002370A">
            <w:pPr>
              <w:spacing w:before="80" w:after="80" w:line="220" w:lineRule="exact"/>
              <w:ind w:left="113"/>
              <w:jc w:val="right"/>
              <w:rPr>
                <w:b/>
                <w:bCs/>
                <w:sz w:val="18"/>
                <w:lang w:val="fr-CA"/>
              </w:rPr>
            </w:pPr>
            <w:r w:rsidRPr="00B3274C">
              <w:rPr>
                <w:b/>
                <w:bCs/>
                <w:sz w:val="18"/>
                <w:lang w:val="fr-CA"/>
              </w:rPr>
              <w:t>216</w:t>
            </w:r>
            <w:r w:rsidR="000E67F8" w:rsidRPr="00B3274C">
              <w:rPr>
                <w:b/>
                <w:bCs/>
                <w:sz w:val="18"/>
                <w:lang w:val="fr-CA"/>
              </w:rPr>
              <w:t> </w:t>
            </w:r>
            <w:r w:rsidRPr="00B3274C">
              <w:rPr>
                <w:b/>
                <w:bCs/>
                <w:sz w:val="18"/>
                <w:lang w:val="fr-CA"/>
              </w:rPr>
              <w:t>181</w:t>
            </w:r>
          </w:p>
        </w:tc>
        <w:tc>
          <w:tcPr>
            <w:tcW w:w="1026"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17C94" w:rsidRPr="00B3274C" w:rsidRDefault="00117C94" w:rsidP="00597DC4">
            <w:pPr>
              <w:spacing w:before="80" w:after="80" w:line="220" w:lineRule="exact"/>
              <w:ind w:left="113"/>
              <w:jc w:val="right"/>
              <w:rPr>
                <w:b/>
                <w:bCs/>
                <w:sz w:val="18"/>
                <w:lang w:val="fr-CA"/>
              </w:rPr>
            </w:pPr>
            <w:r w:rsidRPr="00B3274C">
              <w:rPr>
                <w:b/>
                <w:bCs/>
                <w:sz w:val="18"/>
                <w:lang w:val="fr-CA"/>
              </w:rPr>
              <w:t>20</w:t>
            </w:r>
            <w:r w:rsidR="000E67F8" w:rsidRPr="00B3274C">
              <w:rPr>
                <w:b/>
                <w:bCs/>
                <w:sz w:val="18"/>
                <w:lang w:val="fr-CA"/>
              </w:rPr>
              <w:t> </w:t>
            </w:r>
            <w:r w:rsidRPr="00B3274C">
              <w:rPr>
                <w:b/>
                <w:bCs/>
                <w:sz w:val="18"/>
                <w:lang w:val="fr-CA"/>
              </w:rPr>
              <w:t>170</w:t>
            </w:r>
          </w:p>
        </w:tc>
        <w:tc>
          <w:tcPr>
            <w:tcW w:w="113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17C94" w:rsidRPr="00B3274C" w:rsidRDefault="00117C94" w:rsidP="00597DC4">
            <w:pPr>
              <w:spacing w:before="80" w:after="80" w:line="220" w:lineRule="exact"/>
              <w:ind w:left="113"/>
              <w:jc w:val="right"/>
              <w:rPr>
                <w:b/>
                <w:bCs/>
                <w:sz w:val="18"/>
                <w:lang w:val="fr-CA"/>
              </w:rPr>
            </w:pPr>
            <w:r w:rsidRPr="00B3274C">
              <w:rPr>
                <w:b/>
                <w:bCs/>
                <w:sz w:val="18"/>
                <w:lang w:val="fr-CA"/>
              </w:rPr>
              <w:t>38</w:t>
            </w:r>
            <w:r w:rsidR="000E67F8" w:rsidRPr="00B3274C">
              <w:rPr>
                <w:b/>
                <w:bCs/>
                <w:sz w:val="18"/>
                <w:lang w:val="fr-CA"/>
              </w:rPr>
              <w:t> </w:t>
            </w:r>
            <w:r w:rsidRPr="00B3274C">
              <w:rPr>
                <w:b/>
                <w:bCs/>
                <w:sz w:val="18"/>
                <w:lang w:val="fr-CA"/>
              </w:rPr>
              <w:t>040</w:t>
            </w:r>
          </w:p>
        </w:tc>
        <w:tc>
          <w:tcPr>
            <w:tcW w:w="1134"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17C94" w:rsidRPr="00B3274C" w:rsidRDefault="00117C94" w:rsidP="0002370A">
            <w:pPr>
              <w:spacing w:before="80" w:after="80" w:line="220" w:lineRule="exact"/>
              <w:ind w:left="113"/>
              <w:jc w:val="right"/>
              <w:rPr>
                <w:b/>
                <w:bCs/>
                <w:sz w:val="18"/>
                <w:lang w:val="fr-CA"/>
              </w:rPr>
            </w:pPr>
            <w:r w:rsidRPr="00B3274C">
              <w:rPr>
                <w:b/>
                <w:bCs/>
                <w:sz w:val="18"/>
                <w:lang w:val="fr-CA"/>
              </w:rPr>
              <w:t>72</w:t>
            </w:r>
            <w:r w:rsidR="000E67F8" w:rsidRPr="00B3274C">
              <w:rPr>
                <w:b/>
                <w:bCs/>
                <w:sz w:val="18"/>
                <w:lang w:val="fr-CA"/>
              </w:rPr>
              <w:t> </w:t>
            </w:r>
            <w:r w:rsidRPr="00B3274C">
              <w:rPr>
                <w:b/>
                <w:bCs/>
                <w:sz w:val="18"/>
                <w:lang w:val="fr-CA"/>
              </w:rPr>
              <w:t>571</w:t>
            </w:r>
            <w:r w:rsidR="000E67F8" w:rsidRPr="00B3274C">
              <w:rPr>
                <w:b/>
                <w:bCs/>
                <w:sz w:val="18"/>
                <w:lang w:val="fr-CA"/>
              </w:rPr>
              <w:t> </w:t>
            </w:r>
            <w:r w:rsidRPr="00B3274C">
              <w:rPr>
                <w:b/>
                <w:bCs/>
                <w:sz w:val="18"/>
                <w:lang w:val="fr-CA"/>
              </w:rPr>
              <w:t>922</w:t>
            </w:r>
          </w:p>
        </w:tc>
        <w:tc>
          <w:tcPr>
            <w:tcW w:w="114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17C94" w:rsidRPr="00B3274C" w:rsidRDefault="00117C94" w:rsidP="00614BAC">
            <w:pPr>
              <w:spacing w:before="80" w:after="80" w:line="220" w:lineRule="exact"/>
              <w:ind w:left="113"/>
              <w:jc w:val="right"/>
              <w:rPr>
                <w:b/>
                <w:bCs/>
                <w:sz w:val="18"/>
                <w:lang w:val="fr-CA"/>
              </w:rPr>
            </w:pPr>
            <w:r w:rsidRPr="00B3274C">
              <w:rPr>
                <w:b/>
                <w:bCs/>
                <w:sz w:val="18"/>
                <w:lang w:val="fr-CA"/>
              </w:rPr>
              <w:t>125</w:t>
            </w:r>
            <w:r w:rsidR="000E67F8" w:rsidRPr="00B3274C">
              <w:rPr>
                <w:b/>
                <w:bCs/>
                <w:sz w:val="18"/>
                <w:lang w:val="fr-CA"/>
              </w:rPr>
              <w:t> </w:t>
            </w:r>
            <w:r w:rsidRPr="00B3274C">
              <w:rPr>
                <w:b/>
                <w:bCs/>
                <w:sz w:val="18"/>
                <w:lang w:val="fr-CA"/>
              </w:rPr>
              <w:t>359</w:t>
            </w:r>
          </w:p>
        </w:tc>
        <w:tc>
          <w:tcPr>
            <w:tcW w:w="111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17C94" w:rsidRPr="00B3274C" w:rsidRDefault="00117C94" w:rsidP="0002370A">
            <w:pPr>
              <w:spacing w:before="80" w:after="80" w:line="220" w:lineRule="exact"/>
              <w:ind w:left="113"/>
              <w:jc w:val="right"/>
              <w:rPr>
                <w:sz w:val="18"/>
                <w:lang w:val="fr-CA"/>
              </w:rPr>
            </w:pPr>
            <w:r w:rsidRPr="00B3274C">
              <w:rPr>
                <w:b/>
                <w:bCs/>
                <w:sz w:val="18"/>
                <w:lang w:val="fr-CA"/>
              </w:rPr>
              <w:t>59</w:t>
            </w:r>
            <w:r w:rsidR="000E67F8" w:rsidRPr="00B3274C">
              <w:rPr>
                <w:b/>
                <w:bCs/>
                <w:sz w:val="18"/>
                <w:lang w:val="fr-CA"/>
              </w:rPr>
              <w:t> </w:t>
            </w:r>
            <w:r w:rsidRPr="00B3274C">
              <w:rPr>
                <w:b/>
                <w:bCs/>
                <w:sz w:val="18"/>
                <w:lang w:val="fr-CA"/>
              </w:rPr>
              <w:t>677</w:t>
            </w:r>
          </w:p>
        </w:tc>
        <w:tc>
          <w:tcPr>
            <w:tcW w:w="1238"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117C94" w:rsidRPr="00B3274C" w:rsidRDefault="00117C94" w:rsidP="0002370A">
            <w:pPr>
              <w:spacing w:before="80" w:after="80" w:line="220" w:lineRule="exact"/>
              <w:ind w:left="113"/>
              <w:jc w:val="right"/>
              <w:rPr>
                <w:sz w:val="18"/>
                <w:lang w:val="fr-CA"/>
              </w:rPr>
            </w:pPr>
            <w:r w:rsidRPr="00B3274C">
              <w:rPr>
                <w:b/>
                <w:bCs/>
                <w:sz w:val="18"/>
                <w:lang w:val="fr-CA"/>
              </w:rPr>
              <w:t>98</w:t>
            </w:r>
            <w:r w:rsidR="000E67F8" w:rsidRPr="00B3274C">
              <w:rPr>
                <w:b/>
                <w:bCs/>
                <w:sz w:val="18"/>
                <w:lang w:val="fr-CA"/>
              </w:rPr>
              <w:t> </w:t>
            </w:r>
            <w:r w:rsidRPr="00B3274C">
              <w:rPr>
                <w:b/>
                <w:bCs/>
                <w:sz w:val="18"/>
                <w:lang w:val="fr-CA"/>
              </w:rPr>
              <w:t>707</w:t>
            </w:r>
            <w:r w:rsidR="000E67F8" w:rsidRPr="00B3274C">
              <w:rPr>
                <w:b/>
                <w:bCs/>
                <w:sz w:val="18"/>
                <w:lang w:val="fr-CA"/>
              </w:rPr>
              <w:t> </w:t>
            </w:r>
            <w:r w:rsidRPr="00B3274C">
              <w:rPr>
                <w:b/>
                <w:bCs/>
                <w:sz w:val="18"/>
                <w:lang w:val="fr-CA"/>
              </w:rPr>
              <w:t>086</w:t>
            </w:r>
          </w:p>
        </w:tc>
      </w:tr>
    </w:tbl>
    <w:p w:rsidR="00FB23D3" w:rsidRPr="00B3274C" w:rsidRDefault="00107A47" w:rsidP="00107A47">
      <w:pPr>
        <w:pStyle w:val="SingleTxtG"/>
        <w:spacing w:before="240"/>
        <w:rPr>
          <w:szCs w:val="25"/>
          <w:lang w:val="fr-CA"/>
        </w:rPr>
      </w:pPr>
      <w:r w:rsidRPr="00B3274C">
        <w:rPr>
          <w:lang w:val="fr-CA"/>
        </w:rPr>
        <w:t>14.</w:t>
      </w:r>
      <w:r w:rsidR="00A428FB" w:rsidRPr="00B3274C">
        <w:rPr>
          <w:lang w:val="fr-CA"/>
        </w:rPr>
        <w:tab/>
        <w:t>Il convient également de noter que l</w:t>
      </w:r>
      <w:r w:rsidR="0080611A">
        <w:rPr>
          <w:lang w:val="fr-CA"/>
        </w:rPr>
        <w:t>’</w:t>
      </w:r>
      <w:r w:rsidR="00A428FB" w:rsidRPr="00B3274C">
        <w:rPr>
          <w:lang w:val="fr-CA"/>
        </w:rPr>
        <w:t>Initiative EQUAL de l</w:t>
      </w:r>
      <w:r w:rsidR="0080611A">
        <w:rPr>
          <w:lang w:val="fr-CA"/>
        </w:rPr>
        <w:t>’</w:t>
      </w:r>
      <w:r w:rsidR="00A428FB" w:rsidRPr="00B3274C">
        <w:rPr>
          <w:lang w:val="fr-CA"/>
        </w:rPr>
        <w:t xml:space="preserve">Union européenne </w:t>
      </w:r>
      <w:r w:rsidR="00AC2D14" w:rsidRPr="00B3274C">
        <w:rPr>
          <w:lang w:val="fr-CA"/>
        </w:rPr>
        <w:t>a consacré une mesure à la lutte contre les phénomènes de racisme et de xénophobie et à la promotion d</w:t>
      </w:r>
      <w:r w:rsidR="0080611A">
        <w:rPr>
          <w:lang w:val="fr-CA"/>
        </w:rPr>
        <w:t>’</w:t>
      </w:r>
      <w:r w:rsidR="00AC2D14" w:rsidRPr="00B3274C">
        <w:rPr>
          <w:lang w:val="fr-CA"/>
        </w:rPr>
        <w:t>une société diversifiée</w:t>
      </w:r>
      <w:r w:rsidR="00597DC4">
        <w:rPr>
          <w:lang w:val="fr-CA"/>
        </w:rPr>
        <w:t>. À </w:t>
      </w:r>
      <w:r w:rsidR="00AC2D14" w:rsidRPr="00B3274C">
        <w:rPr>
          <w:lang w:val="fr-CA"/>
        </w:rPr>
        <w:t>cette fin</w:t>
      </w:r>
      <w:r w:rsidR="0080611A">
        <w:rPr>
          <w:lang w:val="fr-CA"/>
        </w:rPr>
        <w:t>,</w:t>
      </w:r>
      <w:r w:rsidR="00AC2D14" w:rsidRPr="00B3274C">
        <w:rPr>
          <w:lang w:val="fr-CA"/>
        </w:rPr>
        <w:t xml:space="preserve"> les programmes d</w:t>
      </w:r>
      <w:r w:rsidR="0080611A">
        <w:rPr>
          <w:lang w:val="fr-CA"/>
        </w:rPr>
        <w:t>’</w:t>
      </w:r>
      <w:r w:rsidR="00AC2D14" w:rsidRPr="00B3274C">
        <w:rPr>
          <w:lang w:val="fr-CA"/>
        </w:rPr>
        <w:t xml:space="preserve">assistance juridique et de soutien </w:t>
      </w:r>
      <w:r w:rsidR="00A40A08">
        <w:rPr>
          <w:lang w:val="fr-CA"/>
        </w:rPr>
        <w:t>aux personnes</w:t>
      </w:r>
      <w:r w:rsidR="00AC2D14" w:rsidRPr="00B3274C">
        <w:rPr>
          <w:lang w:val="fr-CA"/>
        </w:rPr>
        <w:t xml:space="preserve"> vi</w:t>
      </w:r>
      <w:r w:rsidR="00810962" w:rsidRPr="00B3274C">
        <w:rPr>
          <w:lang w:val="fr-CA"/>
        </w:rPr>
        <w:t>ctimes de racisme sont renforcé</w:t>
      </w:r>
      <w:r w:rsidR="00AC2D14" w:rsidRPr="00B3274C">
        <w:rPr>
          <w:lang w:val="fr-CA"/>
        </w:rPr>
        <w:t>s</w:t>
      </w:r>
      <w:r w:rsidR="0080611A">
        <w:rPr>
          <w:lang w:val="fr-CA"/>
        </w:rPr>
        <w:t>,</w:t>
      </w:r>
      <w:r w:rsidR="00AC2D14" w:rsidRPr="00B3274C">
        <w:rPr>
          <w:lang w:val="fr-CA"/>
        </w:rPr>
        <w:t xml:space="preserve"> afin qu</w:t>
      </w:r>
      <w:r w:rsidR="0080611A">
        <w:rPr>
          <w:lang w:val="fr-CA"/>
        </w:rPr>
        <w:t>’</w:t>
      </w:r>
      <w:r w:rsidR="00AC2D14" w:rsidRPr="00B3274C">
        <w:rPr>
          <w:lang w:val="fr-CA"/>
        </w:rPr>
        <w:t>elles puissent faire valoir leurs droits</w:t>
      </w:r>
      <w:r w:rsidR="0055418C" w:rsidRPr="00B3274C">
        <w:rPr>
          <w:lang w:val="fr-CA"/>
        </w:rPr>
        <w:t xml:space="preserve"> </w:t>
      </w:r>
      <w:r w:rsidR="00810962" w:rsidRPr="00B3274C">
        <w:rPr>
          <w:lang w:val="fr-CA"/>
        </w:rPr>
        <w:t>en matière de rémunération</w:t>
      </w:r>
      <w:r w:rsidR="0080611A">
        <w:rPr>
          <w:lang w:val="fr-CA"/>
        </w:rPr>
        <w:t>,</w:t>
      </w:r>
      <w:r w:rsidR="00810962" w:rsidRPr="00B3274C">
        <w:rPr>
          <w:lang w:val="fr-CA"/>
        </w:rPr>
        <w:t xml:space="preserve"> de conditions de travail</w:t>
      </w:r>
      <w:r w:rsidR="0080611A">
        <w:rPr>
          <w:lang w:val="fr-CA"/>
        </w:rPr>
        <w:t>,</w:t>
      </w:r>
      <w:r w:rsidR="00810962" w:rsidRPr="00B3274C">
        <w:rPr>
          <w:lang w:val="fr-CA"/>
        </w:rPr>
        <w:t xml:space="preserve"> de sécurité sociale et de reconnaissance de qualifications professionnelles. </w:t>
      </w:r>
      <w:r w:rsidR="00810962" w:rsidRPr="00B3274C">
        <w:rPr>
          <w:szCs w:val="25"/>
          <w:lang w:val="fr-CA"/>
        </w:rPr>
        <w:t>Une part importante des actions de l</w:t>
      </w:r>
      <w:r w:rsidR="0080611A">
        <w:rPr>
          <w:szCs w:val="25"/>
          <w:lang w:val="fr-CA"/>
        </w:rPr>
        <w:t>’</w:t>
      </w:r>
      <w:r w:rsidR="00810962" w:rsidRPr="00B3274C">
        <w:rPr>
          <w:szCs w:val="25"/>
          <w:lang w:val="fr-CA"/>
        </w:rPr>
        <w:t>Initiative EQUAL visent à sensibiliser le grand public et les leaders d</w:t>
      </w:r>
      <w:r w:rsidR="0080611A">
        <w:rPr>
          <w:szCs w:val="25"/>
          <w:lang w:val="fr-CA"/>
        </w:rPr>
        <w:t>’</w:t>
      </w:r>
      <w:r w:rsidR="00810962" w:rsidRPr="00B3274C">
        <w:rPr>
          <w:szCs w:val="25"/>
          <w:lang w:val="fr-CA"/>
        </w:rPr>
        <w:t>opinion</w:t>
      </w:r>
      <w:r w:rsidR="0080611A">
        <w:rPr>
          <w:szCs w:val="25"/>
          <w:lang w:val="fr-CA"/>
        </w:rPr>
        <w:t>,</w:t>
      </w:r>
      <w:r w:rsidR="00810962" w:rsidRPr="00B3274C">
        <w:rPr>
          <w:szCs w:val="25"/>
          <w:lang w:val="fr-CA"/>
        </w:rPr>
        <w:t xml:space="preserve"> les partenaires et les organismes sociaux. Le budget de cette mesure s</w:t>
      </w:r>
      <w:r w:rsidR="0080611A">
        <w:rPr>
          <w:szCs w:val="25"/>
          <w:lang w:val="fr-CA"/>
        </w:rPr>
        <w:t>’</w:t>
      </w:r>
      <w:r w:rsidR="00810962" w:rsidRPr="00B3274C">
        <w:rPr>
          <w:szCs w:val="25"/>
          <w:lang w:val="fr-CA"/>
        </w:rPr>
        <w:t xml:space="preserve">élève au total à </w:t>
      </w:r>
      <w:r w:rsidR="00384A4E" w:rsidRPr="00B3274C">
        <w:rPr>
          <w:szCs w:val="25"/>
          <w:lang w:val="fr-CA"/>
        </w:rPr>
        <w:t>12</w:t>
      </w:r>
      <w:r w:rsidR="008C4A42" w:rsidRPr="00B3274C">
        <w:rPr>
          <w:szCs w:val="25"/>
          <w:lang w:val="fr-CA"/>
        </w:rPr>
        <w:t> </w:t>
      </w:r>
      <w:r w:rsidR="00384A4E" w:rsidRPr="00B3274C">
        <w:rPr>
          <w:szCs w:val="25"/>
          <w:lang w:val="fr-CA"/>
        </w:rPr>
        <w:t>42</w:t>
      </w:r>
      <w:r w:rsidR="008C4A42" w:rsidRPr="00B3274C">
        <w:rPr>
          <w:szCs w:val="25"/>
          <w:lang w:val="fr-CA"/>
        </w:rPr>
        <w:t>9 </w:t>
      </w:r>
      <w:r w:rsidR="00FB23D3" w:rsidRPr="00B3274C">
        <w:rPr>
          <w:szCs w:val="25"/>
          <w:lang w:val="fr-CA"/>
        </w:rPr>
        <w:t>206</w:t>
      </w:r>
      <w:r w:rsidR="00597DC4">
        <w:rPr>
          <w:szCs w:val="25"/>
          <w:lang w:val="fr-CA"/>
        </w:rPr>
        <w:t> </w:t>
      </w:r>
      <w:r w:rsidR="00E562FA">
        <w:rPr>
          <w:szCs w:val="25"/>
          <w:lang w:val="fr-CA"/>
        </w:rPr>
        <w:t>euros</w:t>
      </w:r>
      <w:r w:rsidR="00FB23D3" w:rsidRPr="00B3274C">
        <w:rPr>
          <w:szCs w:val="25"/>
          <w:lang w:val="fr-CA"/>
        </w:rPr>
        <w:t xml:space="preserve"> (</w:t>
      </w:r>
      <w:r w:rsidR="00810962" w:rsidRPr="00B3274C">
        <w:rPr>
          <w:szCs w:val="25"/>
          <w:lang w:val="fr-CA"/>
        </w:rPr>
        <w:t>dépenses publiques</w:t>
      </w:r>
      <w:r w:rsidR="00FB23D3" w:rsidRPr="00B3274C">
        <w:rPr>
          <w:szCs w:val="25"/>
          <w:lang w:val="fr-CA"/>
        </w:rPr>
        <w:t xml:space="preserve">). </w:t>
      </w:r>
      <w:r w:rsidR="00810962" w:rsidRPr="00B3274C">
        <w:rPr>
          <w:szCs w:val="25"/>
          <w:lang w:val="fr-CA"/>
        </w:rPr>
        <w:t xml:space="preserve">Les versements effectués au 15 août 2008 </w:t>
      </w:r>
      <w:r w:rsidR="00917C2C" w:rsidRPr="00B3274C">
        <w:rPr>
          <w:szCs w:val="25"/>
          <w:lang w:val="fr-CA"/>
        </w:rPr>
        <w:t>représentaient</w:t>
      </w:r>
      <w:r w:rsidR="00810962" w:rsidRPr="00B3274C">
        <w:rPr>
          <w:szCs w:val="25"/>
          <w:lang w:val="fr-CA"/>
        </w:rPr>
        <w:t xml:space="preserve"> </w:t>
      </w:r>
      <w:r w:rsidR="00384A4E" w:rsidRPr="00B3274C">
        <w:rPr>
          <w:szCs w:val="25"/>
          <w:lang w:val="fr-CA"/>
        </w:rPr>
        <w:t>11 224 </w:t>
      </w:r>
      <w:r w:rsidR="00FB23D3" w:rsidRPr="00B3274C">
        <w:rPr>
          <w:szCs w:val="25"/>
          <w:lang w:val="fr-CA"/>
        </w:rPr>
        <w:t>028</w:t>
      </w:r>
      <w:r w:rsidR="0080611A">
        <w:rPr>
          <w:szCs w:val="25"/>
          <w:lang w:val="fr-CA"/>
        </w:rPr>
        <w:t>,</w:t>
      </w:r>
      <w:r w:rsidR="00FB23D3" w:rsidRPr="00B3274C">
        <w:rPr>
          <w:szCs w:val="25"/>
          <w:lang w:val="fr-CA"/>
        </w:rPr>
        <w:t>18</w:t>
      </w:r>
      <w:r w:rsidR="00597DC4">
        <w:rPr>
          <w:szCs w:val="25"/>
          <w:lang w:val="fr-CA"/>
        </w:rPr>
        <w:t> </w:t>
      </w:r>
      <w:r w:rsidR="00E562FA">
        <w:rPr>
          <w:szCs w:val="25"/>
          <w:lang w:val="fr-CA"/>
        </w:rPr>
        <w:t>euros</w:t>
      </w:r>
      <w:r w:rsidR="0080611A">
        <w:rPr>
          <w:szCs w:val="25"/>
          <w:lang w:val="fr-CA"/>
        </w:rPr>
        <w:t>,</w:t>
      </w:r>
      <w:r w:rsidR="00F9418F" w:rsidRPr="00B3274C">
        <w:rPr>
          <w:szCs w:val="25"/>
          <w:lang w:val="fr-CA"/>
        </w:rPr>
        <w:t xml:space="preserve"> soit un taux d</w:t>
      </w:r>
      <w:r w:rsidR="0080611A">
        <w:rPr>
          <w:szCs w:val="25"/>
          <w:lang w:val="fr-CA"/>
        </w:rPr>
        <w:t>’</w:t>
      </w:r>
      <w:r w:rsidR="00F9418F" w:rsidRPr="00B3274C">
        <w:rPr>
          <w:szCs w:val="25"/>
          <w:lang w:val="fr-CA"/>
        </w:rPr>
        <w:t xml:space="preserve">absorption de </w:t>
      </w:r>
      <w:r w:rsidR="00810962" w:rsidRPr="00B3274C">
        <w:rPr>
          <w:szCs w:val="25"/>
          <w:lang w:val="fr-CA"/>
        </w:rPr>
        <w:t>90</w:t>
      </w:r>
      <w:r w:rsidR="0050285B">
        <w:rPr>
          <w:szCs w:val="25"/>
          <w:lang w:val="fr-CA"/>
        </w:rPr>
        <w:t> </w:t>
      </w:r>
      <w:r w:rsidR="00810962" w:rsidRPr="00B3274C">
        <w:rPr>
          <w:szCs w:val="25"/>
          <w:lang w:val="fr-CA"/>
        </w:rPr>
        <w:t>%</w:t>
      </w:r>
      <w:r w:rsidR="0080611A">
        <w:rPr>
          <w:szCs w:val="25"/>
          <w:lang w:val="fr-CA"/>
        </w:rPr>
        <w:t>,</w:t>
      </w:r>
      <w:r w:rsidR="00FE799A" w:rsidRPr="00B3274C">
        <w:rPr>
          <w:szCs w:val="25"/>
          <w:lang w:val="fr-CA"/>
        </w:rPr>
        <w:t xml:space="preserve"> et les </w:t>
      </w:r>
      <w:r w:rsidR="00810962" w:rsidRPr="00B3274C">
        <w:rPr>
          <w:szCs w:val="25"/>
          <w:lang w:val="fr-CA"/>
        </w:rPr>
        <w:t xml:space="preserve">bénéficiaires était </w:t>
      </w:r>
      <w:r w:rsidR="00FE799A" w:rsidRPr="00B3274C">
        <w:rPr>
          <w:szCs w:val="25"/>
          <w:lang w:val="fr-CA"/>
        </w:rPr>
        <w:t xml:space="preserve">au nombre </w:t>
      </w:r>
      <w:r w:rsidR="00810962" w:rsidRPr="00B3274C">
        <w:rPr>
          <w:szCs w:val="25"/>
          <w:lang w:val="fr-CA"/>
        </w:rPr>
        <w:t xml:space="preserve">de </w:t>
      </w:r>
      <w:r w:rsidR="008C4A42" w:rsidRPr="00B3274C">
        <w:rPr>
          <w:szCs w:val="25"/>
          <w:lang w:val="fr-CA"/>
        </w:rPr>
        <w:t>11 </w:t>
      </w:r>
      <w:r w:rsidR="00FB23D3" w:rsidRPr="00B3274C">
        <w:rPr>
          <w:szCs w:val="25"/>
          <w:lang w:val="fr-CA"/>
        </w:rPr>
        <w:t>309</w:t>
      </w:r>
      <w:r w:rsidR="00614BAC">
        <w:rPr>
          <w:szCs w:val="25"/>
          <w:lang w:val="fr-CA"/>
        </w:rPr>
        <w:t> personnes</w:t>
      </w:r>
      <w:r w:rsidR="00FB23D3" w:rsidRPr="00B3274C">
        <w:rPr>
          <w:szCs w:val="25"/>
          <w:lang w:val="fr-CA"/>
        </w:rPr>
        <w:t xml:space="preserve">. </w:t>
      </w:r>
    </w:p>
    <w:p w:rsidR="00FB23D3" w:rsidRPr="00B3274C" w:rsidRDefault="003151A1" w:rsidP="0011045B">
      <w:pPr>
        <w:pStyle w:val="H23G"/>
        <w:rPr>
          <w:lang w:val="fr-CA"/>
        </w:rPr>
      </w:pPr>
      <w:r w:rsidRPr="00B3274C">
        <w:rPr>
          <w:lang w:val="fr-CA"/>
        </w:rPr>
        <w:tab/>
      </w:r>
      <w:r w:rsidR="0011045B" w:rsidRPr="00B3274C">
        <w:rPr>
          <w:lang w:val="fr-CA"/>
        </w:rPr>
        <w:t>2.</w:t>
      </w:r>
      <w:r w:rsidRPr="00B3274C">
        <w:rPr>
          <w:lang w:val="fr-CA"/>
        </w:rPr>
        <w:tab/>
      </w:r>
      <w:r w:rsidR="00997BF9" w:rsidRPr="00B3274C">
        <w:rPr>
          <w:lang w:val="fr-CA"/>
        </w:rPr>
        <w:t>Garantie des droits économiques</w:t>
      </w:r>
      <w:r w:rsidR="0080611A">
        <w:rPr>
          <w:lang w:val="fr-CA"/>
        </w:rPr>
        <w:t>,</w:t>
      </w:r>
      <w:r w:rsidR="00997BF9" w:rsidRPr="00B3274C">
        <w:rPr>
          <w:lang w:val="fr-CA"/>
        </w:rPr>
        <w:t xml:space="preserve"> sociaux et culturels aux non-citoyens </w:t>
      </w:r>
      <w:r w:rsidR="00FF291E" w:rsidRPr="00B3274C">
        <w:rPr>
          <w:lang w:val="fr-CA"/>
        </w:rPr>
        <w:t>(</w:t>
      </w:r>
      <w:r w:rsidR="00DA5885" w:rsidRPr="00B3274C">
        <w:rPr>
          <w:lang w:val="fr-CA"/>
        </w:rPr>
        <w:t>par.</w:t>
      </w:r>
      <w:r w:rsidR="00E31FA6">
        <w:rPr>
          <w:lang w:val="fr-CA"/>
        </w:rPr>
        <w:t> </w:t>
      </w:r>
      <w:r w:rsidR="0056721C" w:rsidRPr="00B3274C">
        <w:rPr>
          <w:lang w:val="fr-CA"/>
        </w:rPr>
        <w:t xml:space="preserve">12 </w:t>
      </w:r>
      <w:r w:rsidR="00FF291E" w:rsidRPr="00B3274C">
        <w:rPr>
          <w:lang w:val="fr-CA"/>
        </w:rPr>
        <w:t>et</w:t>
      </w:r>
      <w:r w:rsidR="00DA5885" w:rsidRPr="00B3274C">
        <w:rPr>
          <w:lang w:val="fr-CA"/>
        </w:rPr>
        <w:t xml:space="preserve"> 33 </w:t>
      </w:r>
      <w:r w:rsidR="00FF291E" w:rsidRPr="00B3274C">
        <w:rPr>
          <w:lang w:val="fr-CA"/>
        </w:rPr>
        <w:t>des observations finales du Comité</w:t>
      </w:r>
      <w:r w:rsidR="00FB23D3" w:rsidRPr="00B3274C">
        <w:rPr>
          <w:lang w:val="fr-CA"/>
        </w:rPr>
        <w:t>)</w:t>
      </w:r>
    </w:p>
    <w:p w:rsidR="00FB23D3" w:rsidRPr="00B3274C" w:rsidRDefault="00107A47" w:rsidP="00107A47">
      <w:pPr>
        <w:pStyle w:val="SingleTxtG"/>
        <w:rPr>
          <w:lang w:val="fr-CA"/>
        </w:rPr>
      </w:pPr>
      <w:r w:rsidRPr="00B3274C">
        <w:rPr>
          <w:lang w:val="fr-CA"/>
        </w:rPr>
        <w:t>15.</w:t>
      </w:r>
      <w:r w:rsidRPr="00B3274C">
        <w:rPr>
          <w:lang w:val="fr-CA"/>
        </w:rPr>
        <w:tab/>
      </w:r>
      <w:r w:rsidR="00FF291E" w:rsidRPr="00B3274C">
        <w:rPr>
          <w:lang w:val="fr-CA"/>
        </w:rPr>
        <w:t>Ainsi que la Grèce l</w:t>
      </w:r>
      <w:r w:rsidR="0080611A">
        <w:rPr>
          <w:lang w:val="fr-CA"/>
        </w:rPr>
        <w:t>’</w:t>
      </w:r>
      <w:r w:rsidR="00FF291E" w:rsidRPr="00B3274C">
        <w:rPr>
          <w:lang w:val="fr-CA"/>
        </w:rPr>
        <w:t xml:space="preserve">a déjà expliqué dans ses commentaires </w:t>
      </w:r>
      <w:r w:rsidR="00443194" w:rsidRPr="00B3274C">
        <w:rPr>
          <w:lang w:val="fr-CA"/>
        </w:rPr>
        <w:t>sur</w:t>
      </w:r>
      <w:r w:rsidR="00FF291E" w:rsidRPr="00B3274C">
        <w:rPr>
          <w:lang w:val="fr-CA"/>
        </w:rPr>
        <w:t xml:space="preserve"> les observations finales du Comité</w:t>
      </w:r>
      <w:r w:rsidR="0080611A">
        <w:rPr>
          <w:lang w:val="fr-CA"/>
        </w:rPr>
        <w:t>,</w:t>
      </w:r>
      <w:r w:rsidR="00FF291E" w:rsidRPr="00B3274C">
        <w:rPr>
          <w:lang w:val="fr-CA"/>
        </w:rPr>
        <w:t xml:space="preserve"> la Constitution grecque</w:t>
      </w:r>
      <w:r w:rsidR="0080611A">
        <w:rPr>
          <w:lang w:val="fr-CA"/>
        </w:rPr>
        <w:t>,</w:t>
      </w:r>
      <w:r w:rsidR="00FF291E" w:rsidRPr="00B3274C">
        <w:rPr>
          <w:lang w:val="fr-CA"/>
        </w:rPr>
        <w:t xml:space="preserve"> </w:t>
      </w:r>
      <w:r w:rsidR="005E63FC" w:rsidRPr="00B3274C">
        <w:rPr>
          <w:lang w:val="fr-CA"/>
        </w:rPr>
        <w:t>concernant</w:t>
      </w:r>
      <w:r w:rsidR="00FF291E" w:rsidRPr="00B3274C">
        <w:rPr>
          <w:lang w:val="fr-CA"/>
        </w:rPr>
        <w:t xml:space="preserve"> l</w:t>
      </w:r>
      <w:r w:rsidR="0080611A">
        <w:rPr>
          <w:lang w:val="fr-CA"/>
        </w:rPr>
        <w:t>’</w:t>
      </w:r>
      <w:r w:rsidR="00FF291E" w:rsidRPr="00B3274C">
        <w:rPr>
          <w:lang w:val="fr-CA"/>
        </w:rPr>
        <w:t>exercice de certains droits économiques</w:t>
      </w:r>
      <w:r w:rsidR="0080611A">
        <w:rPr>
          <w:lang w:val="fr-CA"/>
        </w:rPr>
        <w:t>,</w:t>
      </w:r>
      <w:r w:rsidR="00FF291E" w:rsidRPr="00B3274C">
        <w:rPr>
          <w:lang w:val="fr-CA"/>
        </w:rPr>
        <w:t xml:space="preserve"> sociaux et culturels réservé aux citoyens grecs</w:t>
      </w:r>
      <w:r w:rsidR="0080611A">
        <w:rPr>
          <w:lang w:val="fr-CA"/>
        </w:rPr>
        <w:t>,</w:t>
      </w:r>
      <w:r w:rsidR="00FF291E" w:rsidRPr="00B3274C">
        <w:rPr>
          <w:lang w:val="fr-CA"/>
        </w:rPr>
        <w:t xml:space="preserve"> n</w:t>
      </w:r>
      <w:r w:rsidR="0080611A">
        <w:rPr>
          <w:lang w:val="fr-CA"/>
        </w:rPr>
        <w:t>’</w:t>
      </w:r>
      <w:r w:rsidR="00FF291E" w:rsidRPr="00B3274C">
        <w:rPr>
          <w:lang w:val="fr-CA"/>
        </w:rPr>
        <w:t>interdit pas aux étrangers d</w:t>
      </w:r>
      <w:r w:rsidR="0080611A">
        <w:rPr>
          <w:lang w:val="fr-CA"/>
        </w:rPr>
        <w:t>’</w:t>
      </w:r>
      <w:r w:rsidR="00FF291E" w:rsidRPr="00B3274C">
        <w:rPr>
          <w:lang w:val="fr-CA"/>
        </w:rPr>
        <w:t xml:space="preserve">exercer lesdits droits mais confie au législateur le soin de régler les questions pertinentes. </w:t>
      </w:r>
      <w:r w:rsidR="00C316D2" w:rsidRPr="00B3274C">
        <w:rPr>
          <w:lang w:val="fr-CA"/>
        </w:rPr>
        <w:t>En tout état de cause</w:t>
      </w:r>
      <w:r w:rsidR="0080611A">
        <w:rPr>
          <w:lang w:val="fr-CA"/>
        </w:rPr>
        <w:t>,</w:t>
      </w:r>
      <w:r w:rsidR="00C316D2" w:rsidRPr="00B3274C">
        <w:rPr>
          <w:lang w:val="fr-CA"/>
        </w:rPr>
        <w:t xml:space="preserve"> le législateur </w:t>
      </w:r>
      <w:r w:rsidR="00FC650C" w:rsidRPr="00B3274C">
        <w:rPr>
          <w:lang w:val="fr-CA"/>
        </w:rPr>
        <w:t>doit</w:t>
      </w:r>
      <w:r w:rsidR="00C316D2" w:rsidRPr="00B3274C">
        <w:rPr>
          <w:lang w:val="fr-CA"/>
        </w:rPr>
        <w:t xml:space="preserve"> </w:t>
      </w:r>
      <w:r w:rsidR="009F7096" w:rsidRPr="00B3274C">
        <w:rPr>
          <w:lang w:val="fr-CA"/>
        </w:rPr>
        <w:t>prendre en considération</w:t>
      </w:r>
      <w:r w:rsidR="0080611A">
        <w:rPr>
          <w:lang w:val="fr-CA"/>
        </w:rPr>
        <w:t>,</w:t>
      </w:r>
      <w:r w:rsidR="0055418C" w:rsidRPr="00B3274C">
        <w:rPr>
          <w:lang w:val="fr-CA"/>
        </w:rPr>
        <w:t xml:space="preserve"> </w:t>
      </w:r>
      <w:r w:rsidR="009F7096" w:rsidRPr="00B3274C">
        <w:rPr>
          <w:lang w:val="fr-CA"/>
        </w:rPr>
        <w:t xml:space="preserve">respecter et appliquer pleinement les </w:t>
      </w:r>
      <w:r w:rsidR="00C316D2" w:rsidRPr="00B3274C">
        <w:rPr>
          <w:lang w:val="fr-CA"/>
        </w:rPr>
        <w:t>dispositions constitutionnelles relatives à la protection de la dignité humaine</w:t>
      </w:r>
      <w:r w:rsidR="0002074D">
        <w:rPr>
          <w:lang w:val="fr-CA"/>
        </w:rPr>
        <w:t> </w:t>
      </w:r>
      <w:r w:rsidR="008C4A42" w:rsidRPr="00B3274C">
        <w:rPr>
          <w:lang w:val="fr-CA"/>
        </w:rPr>
        <w:t>(art. </w:t>
      </w:r>
      <w:r w:rsidR="00FB23D3" w:rsidRPr="00B3274C">
        <w:rPr>
          <w:lang w:val="fr-CA"/>
        </w:rPr>
        <w:t xml:space="preserve">2) </w:t>
      </w:r>
      <w:r w:rsidR="009F7096" w:rsidRPr="00B3274C">
        <w:rPr>
          <w:lang w:val="fr-CA"/>
        </w:rPr>
        <w:t>ainsi que</w:t>
      </w:r>
      <w:r w:rsidR="00FC650C" w:rsidRPr="00B3274C">
        <w:rPr>
          <w:lang w:val="fr-CA"/>
        </w:rPr>
        <w:t xml:space="preserve"> celles qui concernent la protection de la vie</w:t>
      </w:r>
      <w:r w:rsidR="0080611A">
        <w:rPr>
          <w:lang w:val="fr-CA"/>
        </w:rPr>
        <w:t>,</w:t>
      </w:r>
      <w:r w:rsidR="00FC650C" w:rsidRPr="00B3274C">
        <w:rPr>
          <w:lang w:val="fr-CA"/>
        </w:rPr>
        <w:t xml:space="preserve"> de l</w:t>
      </w:r>
      <w:r w:rsidR="0080611A">
        <w:rPr>
          <w:lang w:val="fr-CA"/>
        </w:rPr>
        <w:t>’</w:t>
      </w:r>
      <w:r w:rsidR="00FC650C" w:rsidRPr="00B3274C">
        <w:rPr>
          <w:lang w:val="fr-CA"/>
        </w:rPr>
        <w:t xml:space="preserve">honneur et de la liberté de toutes </w:t>
      </w:r>
      <w:r w:rsidR="00614BAC">
        <w:rPr>
          <w:lang w:val="fr-CA"/>
        </w:rPr>
        <w:t>les personnes</w:t>
      </w:r>
      <w:r w:rsidR="00FC650C" w:rsidRPr="00B3274C">
        <w:rPr>
          <w:lang w:val="fr-CA"/>
        </w:rPr>
        <w:t xml:space="preserve"> vivant sur le territoire grec</w:t>
      </w:r>
      <w:r w:rsidR="0080611A">
        <w:rPr>
          <w:lang w:val="fr-CA"/>
        </w:rPr>
        <w:t>,</w:t>
      </w:r>
      <w:r w:rsidR="00FC650C" w:rsidRPr="00B3274C">
        <w:rPr>
          <w:lang w:val="fr-CA"/>
        </w:rPr>
        <w:t xml:space="preserve"> sans </w:t>
      </w:r>
      <w:r w:rsidR="009F7096" w:rsidRPr="00B3274C">
        <w:rPr>
          <w:lang w:val="fr-CA"/>
        </w:rPr>
        <w:t>établir de</w:t>
      </w:r>
      <w:r w:rsidR="00FC650C" w:rsidRPr="00B3274C">
        <w:rPr>
          <w:lang w:val="fr-CA"/>
        </w:rPr>
        <w:t xml:space="preserve"> distinction fondée sur la citoyenneté </w:t>
      </w:r>
      <w:r w:rsidR="008C4A42" w:rsidRPr="00B3274C">
        <w:rPr>
          <w:lang w:val="fr-CA"/>
        </w:rPr>
        <w:t>(art. </w:t>
      </w:r>
      <w:r w:rsidR="00FC650C" w:rsidRPr="00B3274C">
        <w:rPr>
          <w:lang w:val="fr-CA"/>
        </w:rPr>
        <w:t>5</w:t>
      </w:r>
      <w:r w:rsidR="0080611A">
        <w:rPr>
          <w:lang w:val="fr-CA"/>
        </w:rPr>
        <w:t>,</w:t>
      </w:r>
      <w:r w:rsidR="00FC650C" w:rsidRPr="00B3274C">
        <w:rPr>
          <w:lang w:val="fr-CA"/>
        </w:rPr>
        <w:t xml:space="preserve"> par</w:t>
      </w:r>
      <w:r w:rsidR="003151A1" w:rsidRPr="00B3274C">
        <w:rPr>
          <w:lang w:val="fr-CA"/>
        </w:rPr>
        <w:t>. </w:t>
      </w:r>
      <w:r w:rsidR="00FB23D3" w:rsidRPr="00B3274C">
        <w:rPr>
          <w:lang w:val="fr-CA"/>
        </w:rPr>
        <w:t>2)</w:t>
      </w:r>
      <w:r w:rsidR="0080611A">
        <w:rPr>
          <w:lang w:val="fr-CA"/>
        </w:rPr>
        <w:t>,</w:t>
      </w:r>
      <w:r w:rsidR="00FB23D3" w:rsidRPr="00B3274C">
        <w:rPr>
          <w:lang w:val="fr-CA"/>
        </w:rPr>
        <w:t xml:space="preserve"> </w:t>
      </w:r>
      <w:r w:rsidR="009F7096" w:rsidRPr="00B3274C">
        <w:rPr>
          <w:lang w:val="fr-CA"/>
        </w:rPr>
        <w:t>ainsi que les instruments internationaux relatifs à la protection des droits de l</w:t>
      </w:r>
      <w:r w:rsidR="0080611A">
        <w:rPr>
          <w:lang w:val="fr-CA"/>
        </w:rPr>
        <w:t>’</w:t>
      </w:r>
      <w:r w:rsidR="009F7096" w:rsidRPr="00B3274C">
        <w:rPr>
          <w:lang w:val="fr-CA"/>
        </w:rPr>
        <w:t xml:space="preserve">homme dans la mesure où ces instruments ne font aucune distinction entre les nationaux et les étrangers. </w:t>
      </w:r>
    </w:p>
    <w:p w:rsidR="00FB23D3" w:rsidRPr="00B3274C" w:rsidRDefault="00107A47" w:rsidP="00107A47">
      <w:pPr>
        <w:pStyle w:val="SingleTxtG"/>
        <w:rPr>
          <w:lang w:val="fr-CA"/>
        </w:rPr>
      </w:pPr>
      <w:r w:rsidRPr="00B3274C">
        <w:rPr>
          <w:lang w:val="fr-CA"/>
        </w:rPr>
        <w:t>16.</w:t>
      </w:r>
      <w:r w:rsidRPr="00B3274C">
        <w:rPr>
          <w:lang w:val="fr-CA"/>
        </w:rPr>
        <w:tab/>
      </w:r>
      <w:r w:rsidR="00ED0D3B" w:rsidRPr="00B3274C">
        <w:rPr>
          <w:lang w:val="fr-CA"/>
        </w:rPr>
        <w:t>D</w:t>
      </w:r>
      <w:r w:rsidR="0080611A">
        <w:rPr>
          <w:lang w:val="fr-CA"/>
        </w:rPr>
        <w:t>’</w:t>
      </w:r>
      <w:r w:rsidR="00ED0D3B" w:rsidRPr="00B3274C">
        <w:rPr>
          <w:lang w:val="fr-CA"/>
        </w:rPr>
        <w:t>autre part</w:t>
      </w:r>
      <w:r w:rsidR="0080611A">
        <w:rPr>
          <w:lang w:val="fr-CA"/>
        </w:rPr>
        <w:t>,</w:t>
      </w:r>
      <w:r w:rsidR="00ED0D3B" w:rsidRPr="00B3274C">
        <w:rPr>
          <w:lang w:val="fr-CA"/>
        </w:rPr>
        <w:t xml:space="preserve"> conformément à l</w:t>
      </w:r>
      <w:r w:rsidR="0080611A">
        <w:rPr>
          <w:lang w:val="fr-CA"/>
        </w:rPr>
        <w:t>’</w:t>
      </w:r>
      <w:r w:rsidR="00597DC4">
        <w:rPr>
          <w:lang w:val="fr-CA"/>
        </w:rPr>
        <w:t>article </w:t>
      </w:r>
      <w:r w:rsidR="00ED0D3B" w:rsidRPr="00B3274C">
        <w:rPr>
          <w:lang w:val="fr-CA"/>
        </w:rPr>
        <w:t>4 du Code civil</w:t>
      </w:r>
      <w:r w:rsidR="0080611A">
        <w:rPr>
          <w:lang w:val="fr-CA"/>
        </w:rPr>
        <w:t>,</w:t>
      </w:r>
      <w:r w:rsidR="00ED0D3B" w:rsidRPr="00B3274C">
        <w:rPr>
          <w:lang w:val="fr-CA"/>
        </w:rPr>
        <w:t xml:space="preserve"> un ressortissant étranger jouit des mêmes droits civils qu</w:t>
      </w:r>
      <w:r w:rsidR="0080611A">
        <w:rPr>
          <w:lang w:val="fr-CA"/>
        </w:rPr>
        <w:t>’</w:t>
      </w:r>
      <w:r w:rsidR="00ED0D3B" w:rsidRPr="00B3274C">
        <w:rPr>
          <w:lang w:val="fr-CA"/>
        </w:rPr>
        <w:t xml:space="preserve">un citoyen grec. </w:t>
      </w:r>
      <w:r w:rsidR="00782140" w:rsidRPr="00B3274C">
        <w:rPr>
          <w:lang w:val="fr-CA"/>
        </w:rPr>
        <w:t>En outre</w:t>
      </w:r>
      <w:r w:rsidR="0080611A">
        <w:rPr>
          <w:lang w:val="fr-CA"/>
        </w:rPr>
        <w:t>,</w:t>
      </w:r>
      <w:r w:rsidR="00ED0D3B" w:rsidRPr="00B3274C">
        <w:rPr>
          <w:lang w:val="fr-CA"/>
        </w:rPr>
        <w:t xml:space="preserve"> un ressortissant étranger détenteur d</w:t>
      </w:r>
      <w:r w:rsidR="0080611A">
        <w:rPr>
          <w:lang w:val="fr-CA"/>
        </w:rPr>
        <w:t>’</w:t>
      </w:r>
      <w:r w:rsidR="00ED0D3B" w:rsidRPr="00B3274C">
        <w:rPr>
          <w:lang w:val="fr-CA"/>
        </w:rPr>
        <w:t xml:space="preserve">un permis de résidence jouit des mêmes droits </w:t>
      </w:r>
      <w:r w:rsidR="00B435DC" w:rsidRPr="00B3274C">
        <w:rPr>
          <w:lang w:val="fr-CA"/>
        </w:rPr>
        <w:t>en matière de</w:t>
      </w:r>
      <w:r w:rsidR="00A02971" w:rsidRPr="00B3274C">
        <w:rPr>
          <w:lang w:val="fr-CA"/>
        </w:rPr>
        <w:t xml:space="preserve"> travail que les travailleurs grecs en ce qui concerne la rémunération</w:t>
      </w:r>
      <w:r w:rsidR="0080611A">
        <w:rPr>
          <w:lang w:val="fr-CA"/>
        </w:rPr>
        <w:t>,</w:t>
      </w:r>
      <w:r w:rsidR="00A02971" w:rsidRPr="00B3274C">
        <w:rPr>
          <w:lang w:val="fr-CA"/>
        </w:rPr>
        <w:t xml:space="preserve"> les conditions de travail</w:t>
      </w:r>
      <w:r w:rsidR="0080611A">
        <w:rPr>
          <w:lang w:val="fr-CA"/>
        </w:rPr>
        <w:t>,</w:t>
      </w:r>
      <w:r w:rsidR="00A02971" w:rsidRPr="00B3274C">
        <w:rPr>
          <w:lang w:val="fr-CA"/>
        </w:rPr>
        <w:t xml:space="preserve"> les droits à la sécurité sociale et autres obligations financières prescrites par la législation en vigueur. </w:t>
      </w:r>
    </w:p>
    <w:p w:rsidR="00FB23D3" w:rsidRPr="00B3274C" w:rsidRDefault="00107A47" w:rsidP="00107A47">
      <w:pPr>
        <w:pStyle w:val="SingleTxtG"/>
        <w:rPr>
          <w:lang w:val="fr-CA"/>
        </w:rPr>
      </w:pPr>
      <w:r w:rsidRPr="00B3274C">
        <w:rPr>
          <w:lang w:val="fr-CA"/>
        </w:rPr>
        <w:t>17.</w:t>
      </w:r>
      <w:r w:rsidRPr="00B3274C">
        <w:rPr>
          <w:lang w:val="fr-CA"/>
        </w:rPr>
        <w:tab/>
      </w:r>
      <w:r w:rsidR="00B435DC" w:rsidRPr="00B3274C">
        <w:rPr>
          <w:lang w:val="fr-CA"/>
        </w:rPr>
        <w:t>Il est significatif que</w:t>
      </w:r>
      <w:r w:rsidR="0080611A">
        <w:rPr>
          <w:lang w:val="fr-CA"/>
        </w:rPr>
        <w:t>,</w:t>
      </w:r>
      <w:r w:rsidR="00B435DC" w:rsidRPr="00B3274C">
        <w:rPr>
          <w:lang w:val="fr-CA"/>
        </w:rPr>
        <w:t xml:space="preserve"> dans le cadre de la révision de la Constitution grecque</w:t>
      </w:r>
      <w:r w:rsidR="0080611A">
        <w:rPr>
          <w:lang w:val="fr-CA"/>
        </w:rPr>
        <w:t>,</w:t>
      </w:r>
      <w:r w:rsidR="00B435DC" w:rsidRPr="00B3274C">
        <w:rPr>
          <w:lang w:val="fr-CA"/>
        </w:rPr>
        <w:t xml:space="preserve"> ni la communauté des ONG ni les avocats constitutionn</w:t>
      </w:r>
      <w:r w:rsidR="00490F0B" w:rsidRPr="00B3274C">
        <w:rPr>
          <w:lang w:val="fr-CA"/>
        </w:rPr>
        <w:t>alistes</w:t>
      </w:r>
      <w:r w:rsidR="00B435DC" w:rsidRPr="00B3274C">
        <w:rPr>
          <w:lang w:val="fr-CA"/>
        </w:rPr>
        <w:t xml:space="preserve"> ni d</w:t>
      </w:r>
      <w:r w:rsidR="0080611A">
        <w:rPr>
          <w:lang w:val="fr-CA"/>
        </w:rPr>
        <w:t>’</w:t>
      </w:r>
      <w:r w:rsidR="00B435DC" w:rsidRPr="00B3274C">
        <w:rPr>
          <w:lang w:val="fr-CA"/>
        </w:rPr>
        <w:t>autres acteurs de la société civile n</w:t>
      </w:r>
      <w:r w:rsidR="0080611A">
        <w:rPr>
          <w:lang w:val="fr-CA"/>
        </w:rPr>
        <w:t>’</w:t>
      </w:r>
      <w:r w:rsidR="00B435DC" w:rsidRPr="00B3274C">
        <w:rPr>
          <w:lang w:val="fr-CA"/>
        </w:rPr>
        <w:t xml:space="preserve">aient soulevé la question susmentionnée. </w:t>
      </w:r>
    </w:p>
    <w:p w:rsidR="00FB23D3" w:rsidRPr="00B3274C" w:rsidRDefault="00107A47" w:rsidP="00107A47">
      <w:pPr>
        <w:pStyle w:val="SingleTxtG"/>
        <w:rPr>
          <w:lang w:val="fr-CA"/>
        </w:rPr>
      </w:pPr>
      <w:r w:rsidRPr="00B3274C">
        <w:rPr>
          <w:lang w:val="fr-CA"/>
        </w:rPr>
        <w:t>18.</w:t>
      </w:r>
      <w:r w:rsidRPr="00B3274C">
        <w:rPr>
          <w:lang w:val="fr-CA"/>
        </w:rPr>
        <w:tab/>
      </w:r>
      <w:r w:rsidR="00B435DC" w:rsidRPr="00B3274C">
        <w:rPr>
          <w:lang w:val="fr-CA"/>
        </w:rPr>
        <w:t xml:space="preserve">En ce qui concerne le droit à </w:t>
      </w:r>
      <w:r w:rsidR="00490F0B" w:rsidRPr="00B3274C">
        <w:rPr>
          <w:lang w:val="fr-CA"/>
        </w:rPr>
        <w:t>la gratuité de l</w:t>
      </w:r>
      <w:r w:rsidR="0080611A">
        <w:rPr>
          <w:lang w:val="fr-CA"/>
        </w:rPr>
        <w:t>’</w:t>
      </w:r>
      <w:r w:rsidR="00490F0B" w:rsidRPr="00B3274C">
        <w:rPr>
          <w:lang w:val="fr-CA"/>
        </w:rPr>
        <w:t>enseignement</w:t>
      </w:r>
      <w:r w:rsidR="00B435DC" w:rsidRPr="00B3274C">
        <w:rPr>
          <w:lang w:val="fr-CA"/>
        </w:rPr>
        <w:t xml:space="preserve"> mentionné par le Comité</w:t>
      </w:r>
      <w:r w:rsidR="0080611A">
        <w:rPr>
          <w:lang w:val="fr-CA"/>
        </w:rPr>
        <w:t>,</w:t>
      </w:r>
      <w:r w:rsidR="00B435DC" w:rsidRPr="00B3274C">
        <w:rPr>
          <w:lang w:val="fr-CA"/>
        </w:rPr>
        <w:t xml:space="preserve"> il </w:t>
      </w:r>
      <w:r w:rsidR="005C20E4" w:rsidRPr="00B3274C">
        <w:rPr>
          <w:lang w:val="fr-CA"/>
        </w:rPr>
        <w:t>est à</w:t>
      </w:r>
      <w:r w:rsidR="00B435DC" w:rsidRPr="00B3274C">
        <w:rPr>
          <w:lang w:val="fr-CA"/>
        </w:rPr>
        <w:t xml:space="preserve"> noter que les étudiants étrangers jouissent du droit à l</w:t>
      </w:r>
      <w:r w:rsidR="0080611A">
        <w:rPr>
          <w:lang w:val="fr-CA"/>
        </w:rPr>
        <w:t>’</w:t>
      </w:r>
      <w:r w:rsidR="00490F0B" w:rsidRPr="00B3274C">
        <w:rPr>
          <w:lang w:val="fr-CA"/>
        </w:rPr>
        <w:t>enseignement gratuit</w:t>
      </w:r>
      <w:r w:rsidR="00B435DC" w:rsidRPr="00B3274C">
        <w:rPr>
          <w:lang w:val="fr-CA"/>
        </w:rPr>
        <w:t xml:space="preserve"> comme les Grecs. En outre</w:t>
      </w:r>
      <w:r w:rsidR="0080611A">
        <w:rPr>
          <w:lang w:val="fr-CA"/>
        </w:rPr>
        <w:t>,</w:t>
      </w:r>
      <w:r w:rsidR="00B435DC" w:rsidRPr="00B3274C">
        <w:rPr>
          <w:lang w:val="fr-CA"/>
        </w:rPr>
        <w:t xml:space="preserve"> tout enfant vivant en Grèce</w:t>
      </w:r>
      <w:r w:rsidR="005C20E4" w:rsidRPr="00B3274C">
        <w:rPr>
          <w:lang w:val="fr-CA"/>
        </w:rPr>
        <w:t xml:space="preserve"> jouit du</w:t>
      </w:r>
      <w:r w:rsidR="0055418C" w:rsidRPr="00B3274C">
        <w:rPr>
          <w:lang w:val="fr-CA"/>
        </w:rPr>
        <w:t xml:space="preserve"> </w:t>
      </w:r>
      <w:r w:rsidR="00B435DC" w:rsidRPr="00B3274C">
        <w:rPr>
          <w:lang w:val="fr-CA"/>
        </w:rPr>
        <w:t>droit à l</w:t>
      </w:r>
      <w:r w:rsidR="0080611A">
        <w:rPr>
          <w:lang w:val="fr-CA"/>
        </w:rPr>
        <w:t>’</w:t>
      </w:r>
      <w:r w:rsidR="00B435DC" w:rsidRPr="00B3274C">
        <w:rPr>
          <w:lang w:val="fr-CA"/>
        </w:rPr>
        <w:t xml:space="preserve">éducation quel que soit le statut juridique de ses parents ou de son tuteur dans le pays. </w:t>
      </w:r>
      <w:r w:rsidR="00490F0B" w:rsidRPr="00B3274C">
        <w:rPr>
          <w:lang w:val="fr-CA"/>
        </w:rPr>
        <w:t>Au vu de ce qui précède</w:t>
      </w:r>
      <w:r w:rsidR="0080611A">
        <w:rPr>
          <w:lang w:val="fr-CA"/>
        </w:rPr>
        <w:t>,</w:t>
      </w:r>
      <w:r w:rsidR="00490F0B" w:rsidRPr="00B3274C">
        <w:rPr>
          <w:lang w:val="fr-CA"/>
        </w:rPr>
        <w:t xml:space="preserve"> la question de la garantie des droits économiques</w:t>
      </w:r>
      <w:r w:rsidR="0080611A">
        <w:rPr>
          <w:lang w:val="fr-CA"/>
        </w:rPr>
        <w:t>,</w:t>
      </w:r>
      <w:r w:rsidR="00490F0B" w:rsidRPr="00B3274C">
        <w:rPr>
          <w:lang w:val="fr-CA"/>
        </w:rPr>
        <w:t xml:space="preserve"> sociaux et culturels aux non-ressortissants devrait être examinée à la lumière non seulement des dispositions constitutionnelles pertinentes mais aussi de la loi </w:t>
      </w:r>
      <w:r w:rsidR="002F7250" w:rsidRPr="00B3274C">
        <w:rPr>
          <w:lang w:val="fr-CA"/>
        </w:rPr>
        <w:t xml:space="preserve">et de la pratique </w:t>
      </w:r>
      <w:r w:rsidR="00490F0B" w:rsidRPr="00B3274C">
        <w:rPr>
          <w:lang w:val="fr-CA"/>
        </w:rPr>
        <w:t>grecque</w:t>
      </w:r>
      <w:r w:rsidR="002F7250" w:rsidRPr="00B3274C">
        <w:rPr>
          <w:lang w:val="fr-CA"/>
        </w:rPr>
        <w:t>s</w:t>
      </w:r>
      <w:r w:rsidR="00490F0B" w:rsidRPr="00B3274C">
        <w:rPr>
          <w:lang w:val="fr-CA"/>
        </w:rPr>
        <w:t xml:space="preserve"> fermement </w:t>
      </w:r>
      <w:r w:rsidR="002F7250" w:rsidRPr="00B3274C">
        <w:rPr>
          <w:lang w:val="fr-CA"/>
        </w:rPr>
        <w:t>établies dans ce domaine</w:t>
      </w:r>
      <w:r w:rsidR="0080611A">
        <w:rPr>
          <w:lang w:val="fr-CA"/>
        </w:rPr>
        <w:t>,</w:t>
      </w:r>
      <w:r w:rsidR="002F7250" w:rsidRPr="00B3274C">
        <w:rPr>
          <w:lang w:val="fr-CA"/>
        </w:rPr>
        <w:t xml:space="preserve"> conformément aux instruments internationaux relatifs aux droits de l</w:t>
      </w:r>
      <w:r w:rsidR="0080611A">
        <w:rPr>
          <w:lang w:val="fr-CA"/>
        </w:rPr>
        <w:t>’</w:t>
      </w:r>
      <w:r w:rsidR="002F7250" w:rsidRPr="00B3274C">
        <w:rPr>
          <w:lang w:val="fr-CA"/>
        </w:rPr>
        <w:t xml:space="preserve">homme en vigueur. </w:t>
      </w:r>
    </w:p>
    <w:p w:rsidR="00FB23D3" w:rsidRPr="00B3274C" w:rsidRDefault="003151A1" w:rsidP="00DD3AA1">
      <w:pPr>
        <w:pStyle w:val="H23G"/>
        <w:rPr>
          <w:lang w:val="fr-CA"/>
        </w:rPr>
      </w:pPr>
      <w:r w:rsidRPr="00B3274C">
        <w:rPr>
          <w:lang w:val="fr-CA"/>
        </w:rPr>
        <w:tab/>
      </w:r>
      <w:r w:rsidR="00DD3AA1" w:rsidRPr="00B3274C">
        <w:rPr>
          <w:lang w:val="fr-CA"/>
        </w:rPr>
        <w:t>3.</w:t>
      </w:r>
      <w:r w:rsidRPr="00B3274C">
        <w:rPr>
          <w:lang w:val="fr-CA"/>
        </w:rPr>
        <w:tab/>
      </w:r>
      <w:r w:rsidR="005C20E4" w:rsidRPr="00B3274C">
        <w:rPr>
          <w:lang w:val="fr-CA"/>
        </w:rPr>
        <w:t>Droits des</w:t>
      </w:r>
      <w:r w:rsidR="00FB23D3" w:rsidRPr="00B3274C">
        <w:rPr>
          <w:lang w:val="fr-CA"/>
        </w:rPr>
        <w:t xml:space="preserve"> </w:t>
      </w:r>
      <w:r w:rsidR="00DD3AA1" w:rsidRPr="00B3274C">
        <w:rPr>
          <w:lang w:val="fr-CA"/>
        </w:rPr>
        <w:t>m</w:t>
      </w:r>
      <w:r w:rsidR="00FB23D3" w:rsidRPr="00B3274C">
        <w:rPr>
          <w:lang w:val="fr-CA"/>
        </w:rPr>
        <w:t>igrants</w:t>
      </w:r>
    </w:p>
    <w:p w:rsidR="00FB23D3" w:rsidRPr="00B3274C" w:rsidRDefault="00107A47" w:rsidP="00A27157">
      <w:pPr>
        <w:pStyle w:val="SingleTxtG"/>
        <w:rPr>
          <w:lang w:val="fr-CA"/>
        </w:rPr>
      </w:pPr>
      <w:r w:rsidRPr="00B3274C">
        <w:rPr>
          <w:lang w:val="fr-CA"/>
        </w:rPr>
        <w:t>19.</w:t>
      </w:r>
      <w:r w:rsidRPr="00B3274C">
        <w:rPr>
          <w:lang w:val="fr-CA"/>
        </w:rPr>
        <w:tab/>
      </w:r>
      <w:r w:rsidR="00A27157" w:rsidRPr="00B3274C">
        <w:rPr>
          <w:lang w:val="fr-CA"/>
        </w:rPr>
        <w:t xml:space="preserve">Toute personne résidant régulièrement en Grèce jouit des mêmes droits à la sécurité sociale que les </w:t>
      </w:r>
      <w:r w:rsidR="00746F7E" w:rsidRPr="00B3274C">
        <w:rPr>
          <w:lang w:val="fr-CA"/>
        </w:rPr>
        <w:t>citoyen</w:t>
      </w:r>
      <w:r w:rsidR="00A27157" w:rsidRPr="00B3274C">
        <w:rPr>
          <w:lang w:val="fr-CA"/>
        </w:rPr>
        <w:t>s grecs</w:t>
      </w:r>
      <w:r w:rsidR="0080611A">
        <w:rPr>
          <w:lang w:val="fr-CA"/>
        </w:rPr>
        <w:t>,</w:t>
      </w:r>
      <w:r w:rsidR="00A27157" w:rsidRPr="00B3274C">
        <w:rPr>
          <w:lang w:val="fr-CA"/>
        </w:rPr>
        <w:t xml:space="preserve"> du droit à une protection sociale</w:t>
      </w:r>
      <w:r w:rsidR="0080611A">
        <w:rPr>
          <w:lang w:val="fr-CA"/>
        </w:rPr>
        <w:t>,</w:t>
      </w:r>
      <w:r w:rsidR="00A27157" w:rsidRPr="00B3274C">
        <w:rPr>
          <w:lang w:val="fr-CA"/>
        </w:rPr>
        <w:t xml:space="preserve"> de l</w:t>
      </w:r>
      <w:r w:rsidR="0080611A">
        <w:rPr>
          <w:lang w:val="fr-CA"/>
        </w:rPr>
        <w:t>’</w:t>
      </w:r>
      <w:r w:rsidR="00A27157" w:rsidRPr="00B3274C">
        <w:rPr>
          <w:lang w:val="fr-CA"/>
        </w:rPr>
        <w:t>égalité d</w:t>
      </w:r>
      <w:r w:rsidR="0080611A">
        <w:rPr>
          <w:lang w:val="fr-CA"/>
        </w:rPr>
        <w:t>’</w:t>
      </w:r>
      <w:r w:rsidR="00A27157" w:rsidRPr="00B3274C">
        <w:rPr>
          <w:lang w:val="fr-CA"/>
        </w:rPr>
        <w:t>accès aux services fournis par les organismes ou entités publics</w:t>
      </w:r>
      <w:r w:rsidR="0080611A">
        <w:rPr>
          <w:lang w:val="fr-CA"/>
        </w:rPr>
        <w:t>,</w:t>
      </w:r>
      <w:r w:rsidR="00A27157" w:rsidRPr="00B3274C">
        <w:rPr>
          <w:lang w:val="fr-CA"/>
        </w:rPr>
        <w:t xml:space="preserve"> les organisations des collectivités locales et les entreprises de services publics</w:t>
      </w:r>
      <w:r w:rsidR="0080611A">
        <w:rPr>
          <w:lang w:val="fr-CA"/>
        </w:rPr>
        <w:t>,</w:t>
      </w:r>
      <w:r w:rsidR="00A27157" w:rsidRPr="00B3274C">
        <w:rPr>
          <w:lang w:val="fr-CA"/>
        </w:rPr>
        <w:t xml:space="preserve"> et du droit d</w:t>
      </w:r>
      <w:r w:rsidR="0080611A">
        <w:rPr>
          <w:lang w:val="fr-CA"/>
        </w:rPr>
        <w:t>’</w:t>
      </w:r>
      <w:r w:rsidR="00A27157" w:rsidRPr="00B3274C">
        <w:rPr>
          <w:lang w:val="fr-CA"/>
        </w:rPr>
        <w:t xml:space="preserve">être admise dans les hôpitaux et </w:t>
      </w:r>
      <w:r w:rsidR="00746F7E" w:rsidRPr="00B3274C">
        <w:rPr>
          <w:lang w:val="fr-CA"/>
        </w:rPr>
        <w:t>centres de santé</w:t>
      </w:r>
      <w:r w:rsidR="00A27157" w:rsidRPr="00B3274C">
        <w:rPr>
          <w:lang w:val="fr-CA"/>
        </w:rPr>
        <w:t xml:space="preserve"> publics. </w:t>
      </w:r>
      <w:r w:rsidR="00746F7E" w:rsidRPr="00B3274C">
        <w:rPr>
          <w:lang w:val="fr-CA"/>
        </w:rPr>
        <w:t>En outre</w:t>
      </w:r>
      <w:r w:rsidR="0080611A">
        <w:rPr>
          <w:lang w:val="fr-CA"/>
        </w:rPr>
        <w:t>,</w:t>
      </w:r>
      <w:r w:rsidR="00746F7E" w:rsidRPr="00B3274C">
        <w:rPr>
          <w:lang w:val="fr-CA"/>
        </w:rPr>
        <w:t xml:space="preserve"> la législation grecque énonce les conditions à remplir pour obtenir le statut de résident de longue durée</w:t>
      </w:r>
      <w:r w:rsidR="0080611A">
        <w:rPr>
          <w:lang w:val="fr-CA"/>
        </w:rPr>
        <w:t>,</w:t>
      </w:r>
      <w:r w:rsidR="00746F7E" w:rsidRPr="00B3274C">
        <w:rPr>
          <w:lang w:val="fr-CA"/>
        </w:rPr>
        <w:t xml:space="preserve"> qui renforce encore l</w:t>
      </w:r>
      <w:r w:rsidR="0080611A">
        <w:rPr>
          <w:lang w:val="fr-CA"/>
        </w:rPr>
        <w:t>’</w:t>
      </w:r>
      <w:r w:rsidR="00746F7E" w:rsidRPr="00B3274C">
        <w:rPr>
          <w:lang w:val="fr-CA"/>
        </w:rPr>
        <w:t>égalité de traitement avec les citoyens grecs.</w:t>
      </w:r>
      <w:r w:rsidR="0055418C" w:rsidRPr="00B3274C">
        <w:rPr>
          <w:lang w:val="fr-CA"/>
        </w:rPr>
        <w:t xml:space="preserve"> </w:t>
      </w:r>
      <w:r w:rsidR="004327B1" w:rsidRPr="00B3274C">
        <w:rPr>
          <w:lang w:val="fr-CA"/>
        </w:rPr>
        <w:t>D</w:t>
      </w:r>
      <w:r w:rsidR="0080611A">
        <w:rPr>
          <w:lang w:val="fr-CA"/>
        </w:rPr>
        <w:t>’</w:t>
      </w:r>
      <w:r w:rsidR="004327B1" w:rsidRPr="00B3274C">
        <w:rPr>
          <w:lang w:val="fr-CA"/>
        </w:rPr>
        <w:t>autre part</w:t>
      </w:r>
      <w:r w:rsidR="0080611A">
        <w:rPr>
          <w:lang w:val="fr-CA"/>
        </w:rPr>
        <w:t>,</w:t>
      </w:r>
      <w:r w:rsidR="004327B1" w:rsidRPr="00B3274C">
        <w:rPr>
          <w:lang w:val="fr-CA"/>
        </w:rPr>
        <w:t xml:space="preserve"> l</w:t>
      </w:r>
      <w:r w:rsidR="0080611A">
        <w:rPr>
          <w:lang w:val="fr-CA"/>
        </w:rPr>
        <w:t>’</w:t>
      </w:r>
      <w:r w:rsidR="004327B1" w:rsidRPr="00B3274C">
        <w:rPr>
          <w:lang w:val="fr-CA"/>
        </w:rPr>
        <w:t>accès aux soins d</w:t>
      </w:r>
      <w:r w:rsidR="0080611A">
        <w:rPr>
          <w:lang w:val="fr-CA"/>
        </w:rPr>
        <w:t>’</w:t>
      </w:r>
      <w:r w:rsidR="004327B1" w:rsidRPr="00B3274C">
        <w:rPr>
          <w:lang w:val="fr-CA"/>
        </w:rPr>
        <w:t>urgence dans les hôpitaux est garanti aux ressortissants de pays tiers quel que soit leur statut en matière de résidence. Les enfants non-ressortissants ont ac</w:t>
      </w:r>
      <w:r w:rsidR="00312FF0" w:rsidRPr="00B3274C">
        <w:rPr>
          <w:lang w:val="fr-CA"/>
        </w:rPr>
        <w:t xml:space="preserve">cès aux établissements </w:t>
      </w:r>
      <w:r w:rsidR="004327B1" w:rsidRPr="00B3274C">
        <w:rPr>
          <w:lang w:val="fr-CA"/>
        </w:rPr>
        <w:t>de santé</w:t>
      </w:r>
      <w:r w:rsidR="0080611A">
        <w:rPr>
          <w:lang w:val="fr-CA"/>
        </w:rPr>
        <w:t>,</w:t>
      </w:r>
      <w:r w:rsidR="004327B1" w:rsidRPr="00B3274C">
        <w:rPr>
          <w:lang w:val="fr-CA"/>
        </w:rPr>
        <w:t xml:space="preserve"> quel que soit leur statut en matière de résidence ou celui de leurs parents.</w:t>
      </w:r>
      <w:r w:rsidR="0055418C" w:rsidRPr="00B3274C">
        <w:rPr>
          <w:lang w:val="fr-CA"/>
        </w:rPr>
        <w:t xml:space="preserve"> </w:t>
      </w:r>
      <w:r w:rsidR="004327B1" w:rsidRPr="00B3274C">
        <w:rPr>
          <w:color w:val="000000"/>
          <w:lang w:val="fr-CA"/>
        </w:rPr>
        <w:t>Les enfants des réfugiés</w:t>
      </w:r>
      <w:r w:rsidR="0080611A">
        <w:rPr>
          <w:color w:val="000000"/>
          <w:lang w:val="fr-CA"/>
        </w:rPr>
        <w:t>,</w:t>
      </w:r>
      <w:r w:rsidR="004327B1" w:rsidRPr="00B3274C">
        <w:rPr>
          <w:color w:val="000000"/>
          <w:lang w:val="fr-CA"/>
        </w:rPr>
        <w:t xml:space="preserve"> des demandeurs d</w:t>
      </w:r>
      <w:r w:rsidR="0080611A">
        <w:rPr>
          <w:color w:val="000000"/>
          <w:lang w:val="fr-CA"/>
        </w:rPr>
        <w:t>’</w:t>
      </w:r>
      <w:r w:rsidR="004327B1" w:rsidRPr="00B3274C">
        <w:rPr>
          <w:color w:val="000000"/>
          <w:lang w:val="fr-CA"/>
        </w:rPr>
        <w:t>asile et des étrangers dont le statut en matière de résidence n</w:t>
      </w:r>
      <w:r w:rsidR="0080611A">
        <w:rPr>
          <w:color w:val="000000"/>
          <w:lang w:val="fr-CA"/>
        </w:rPr>
        <w:t>’</w:t>
      </w:r>
      <w:r w:rsidR="004327B1" w:rsidRPr="00B3274C">
        <w:rPr>
          <w:color w:val="000000"/>
          <w:lang w:val="fr-CA"/>
        </w:rPr>
        <w:t>a pas encore fait l</w:t>
      </w:r>
      <w:r w:rsidR="0080611A">
        <w:rPr>
          <w:color w:val="000000"/>
          <w:lang w:val="fr-CA"/>
        </w:rPr>
        <w:t>’</w:t>
      </w:r>
      <w:r w:rsidR="004327B1" w:rsidRPr="00B3274C">
        <w:rPr>
          <w:color w:val="000000"/>
          <w:lang w:val="fr-CA"/>
        </w:rPr>
        <w:t>objet d</w:t>
      </w:r>
      <w:r w:rsidR="0080611A">
        <w:rPr>
          <w:color w:val="000000"/>
          <w:lang w:val="fr-CA"/>
        </w:rPr>
        <w:t>’</w:t>
      </w:r>
      <w:r w:rsidR="004327B1" w:rsidRPr="00B3274C">
        <w:rPr>
          <w:color w:val="000000"/>
          <w:lang w:val="fr-CA"/>
        </w:rPr>
        <w:t>une décision peuvent être scolarisés dans les écoles publiques</w:t>
      </w:r>
      <w:r w:rsidR="0080611A">
        <w:rPr>
          <w:color w:val="000000"/>
          <w:lang w:val="fr-CA"/>
        </w:rPr>
        <w:t>,</w:t>
      </w:r>
      <w:r w:rsidR="004327B1" w:rsidRPr="00B3274C">
        <w:rPr>
          <w:color w:val="000000"/>
          <w:lang w:val="fr-CA"/>
        </w:rPr>
        <w:t xml:space="preserve"> même si leur dossier est incomplet.</w:t>
      </w:r>
      <w:r w:rsidR="004327B1" w:rsidRPr="00B3274C">
        <w:rPr>
          <w:lang w:val="fr-CA"/>
        </w:rPr>
        <w:t xml:space="preserve"> </w:t>
      </w:r>
    </w:p>
    <w:p w:rsidR="00FB23D3" w:rsidRPr="00B3274C" w:rsidRDefault="00107A47" w:rsidP="00107A47">
      <w:pPr>
        <w:pStyle w:val="SingleTxtG"/>
        <w:rPr>
          <w:lang w:val="fr-CA"/>
        </w:rPr>
      </w:pPr>
      <w:r w:rsidRPr="00B3274C">
        <w:rPr>
          <w:lang w:val="fr-CA"/>
        </w:rPr>
        <w:t>20.</w:t>
      </w:r>
      <w:r w:rsidRPr="00B3274C">
        <w:rPr>
          <w:lang w:val="fr-CA"/>
        </w:rPr>
        <w:tab/>
      </w:r>
      <w:r w:rsidR="007E07CE" w:rsidRPr="00B3274C">
        <w:rPr>
          <w:lang w:val="fr-CA"/>
        </w:rPr>
        <w:t>Suite à la</w:t>
      </w:r>
      <w:r w:rsidR="003F1385" w:rsidRPr="00B3274C">
        <w:rPr>
          <w:lang w:val="fr-CA"/>
        </w:rPr>
        <w:t xml:space="preserve"> réforme administrative </w:t>
      </w:r>
      <w:r w:rsidR="007E07CE" w:rsidRPr="00B3274C">
        <w:rPr>
          <w:lang w:val="fr-CA"/>
        </w:rPr>
        <w:t>introduite</w:t>
      </w:r>
      <w:r w:rsidR="00785F47" w:rsidRPr="00B3274C">
        <w:rPr>
          <w:lang w:val="fr-CA"/>
        </w:rPr>
        <w:t xml:space="preserve"> </w:t>
      </w:r>
      <w:r w:rsidR="007E07CE" w:rsidRPr="00B3274C">
        <w:rPr>
          <w:lang w:val="fr-CA"/>
        </w:rPr>
        <w:t>par le</w:t>
      </w:r>
      <w:r w:rsidR="00785F47" w:rsidRPr="00B3274C">
        <w:rPr>
          <w:lang w:val="fr-CA"/>
        </w:rPr>
        <w:t xml:space="preserve"> Programme </w:t>
      </w:r>
      <w:r w:rsidR="00FB23D3" w:rsidRPr="00B3274C">
        <w:rPr>
          <w:lang w:val="fr-CA"/>
        </w:rPr>
        <w:t>Kallikratis (</w:t>
      </w:r>
      <w:r w:rsidR="00785F47" w:rsidRPr="00B3274C">
        <w:rPr>
          <w:lang w:val="fr-CA"/>
        </w:rPr>
        <w:t xml:space="preserve">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3852/2010</w:t>
      </w:r>
      <w:r w:rsidR="0080611A">
        <w:rPr>
          <w:lang w:val="fr-CA"/>
        </w:rPr>
        <w:t>,</w:t>
      </w:r>
      <w:r w:rsidR="00FB23D3" w:rsidRPr="00B3274C">
        <w:rPr>
          <w:lang w:val="fr-CA"/>
        </w:rPr>
        <w:t xml:space="preserve"> art</w:t>
      </w:r>
      <w:r w:rsidR="008C4A42" w:rsidRPr="00B3274C">
        <w:rPr>
          <w:lang w:val="fr-CA"/>
        </w:rPr>
        <w:t>. </w:t>
      </w:r>
      <w:r w:rsidR="00FB23D3" w:rsidRPr="00B3274C">
        <w:rPr>
          <w:lang w:val="fr-CA"/>
        </w:rPr>
        <w:t>78)</w:t>
      </w:r>
      <w:r w:rsidR="0080611A">
        <w:rPr>
          <w:lang w:val="fr-CA"/>
        </w:rPr>
        <w:t>,</w:t>
      </w:r>
      <w:r w:rsidR="007E07CE" w:rsidRPr="00B3274C">
        <w:rPr>
          <w:lang w:val="fr-CA"/>
        </w:rPr>
        <w:t xml:space="preserve"> des conseils d</w:t>
      </w:r>
      <w:r w:rsidR="0080611A">
        <w:rPr>
          <w:lang w:val="fr-CA"/>
        </w:rPr>
        <w:t>’</w:t>
      </w:r>
      <w:r w:rsidR="007E07CE" w:rsidRPr="00B3274C">
        <w:rPr>
          <w:lang w:val="fr-CA"/>
        </w:rPr>
        <w:t xml:space="preserve">intégration des migrants ont été créés dans les limites territoriales des municipalités. Leur rôle consiste à </w:t>
      </w:r>
      <w:r w:rsidR="00236443" w:rsidRPr="00B3274C">
        <w:rPr>
          <w:lang w:val="fr-CA"/>
        </w:rPr>
        <w:t>identifier les problèmes d</w:t>
      </w:r>
      <w:r w:rsidR="0080611A">
        <w:rPr>
          <w:lang w:val="fr-CA"/>
        </w:rPr>
        <w:t>’</w:t>
      </w:r>
      <w:r w:rsidR="00236443" w:rsidRPr="00B3274C">
        <w:rPr>
          <w:lang w:val="fr-CA"/>
        </w:rPr>
        <w:t>intégration rencontrés par les ressortissants de pays tiers et à proposer des mesures de nature à faciliter l</w:t>
      </w:r>
      <w:r w:rsidR="0080611A">
        <w:rPr>
          <w:lang w:val="fr-CA"/>
        </w:rPr>
        <w:t>’</w:t>
      </w:r>
      <w:r w:rsidR="00236443" w:rsidRPr="00B3274C">
        <w:rPr>
          <w:lang w:val="fr-CA"/>
        </w:rPr>
        <w:t>intégration des populations migrantes locales.</w:t>
      </w:r>
      <w:r w:rsidR="0055418C" w:rsidRPr="00B3274C">
        <w:rPr>
          <w:lang w:val="fr-CA"/>
        </w:rPr>
        <w:t xml:space="preserve"> </w:t>
      </w:r>
      <w:r w:rsidR="00236443" w:rsidRPr="00B3274C">
        <w:rPr>
          <w:lang w:val="fr-CA"/>
        </w:rPr>
        <w:t>Ces conseils sont composés de conseillers municipaux</w:t>
      </w:r>
      <w:r w:rsidR="0080611A">
        <w:rPr>
          <w:lang w:val="fr-CA"/>
        </w:rPr>
        <w:t>,</w:t>
      </w:r>
      <w:r w:rsidR="00236443" w:rsidRPr="00B3274C">
        <w:rPr>
          <w:lang w:val="fr-CA"/>
        </w:rPr>
        <w:t xml:space="preserve"> de représentants des communautés </w:t>
      </w:r>
      <w:r w:rsidR="00434AEF" w:rsidRPr="00B3274C">
        <w:rPr>
          <w:lang w:val="fr-CA"/>
        </w:rPr>
        <w:t xml:space="preserve">locales </w:t>
      </w:r>
      <w:r w:rsidR="00236443" w:rsidRPr="00B3274C">
        <w:rPr>
          <w:lang w:val="fr-CA"/>
        </w:rPr>
        <w:t>de migrants et de membres d</w:t>
      </w:r>
      <w:r w:rsidR="0080611A">
        <w:rPr>
          <w:lang w:val="fr-CA"/>
        </w:rPr>
        <w:t>’</w:t>
      </w:r>
      <w:r w:rsidR="00236443" w:rsidRPr="00B3274C">
        <w:rPr>
          <w:lang w:val="fr-CA"/>
        </w:rPr>
        <w:t xml:space="preserve">autres entités sociales. </w:t>
      </w:r>
      <w:r w:rsidR="00434AEF" w:rsidRPr="00B3274C">
        <w:rPr>
          <w:lang w:val="fr-CA"/>
        </w:rPr>
        <w:t>Au cours des derniers mois</w:t>
      </w:r>
      <w:r w:rsidR="0080611A">
        <w:rPr>
          <w:lang w:val="fr-CA"/>
        </w:rPr>
        <w:t>,</w:t>
      </w:r>
      <w:r w:rsidR="00434AEF" w:rsidRPr="00B3274C">
        <w:rPr>
          <w:lang w:val="fr-CA"/>
        </w:rPr>
        <w:t xml:space="preserve"> 136 conseils d</w:t>
      </w:r>
      <w:r w:rsidR="0080611A">
        <w:rPr>
          <w:lang w:val="fr-CA"/>
        </w:rPr>
        <w:t>’</w:t>
      </w:r>
      <w:r w:rsidR="00434AEF" w:rsidRPr="00B3274C">
        <w:rPr>
          <w:lang w:val="fr-CA"/>
        </w:rPr>
        <w:t xml:space="preserve">intégration de migrants ont été créés </w:t>
      </w:r>
      <w:r w:rsidR="0012085C" w:rsidRPr="00B3274C">
        <w:rPr>
          <w:lang w:val="fr-CA"/>
        </w:rPr>
        <w:t>dans l</w:t>
      </w:r>
      <w:r w:rsidR="0080611A">
        <w:rPr>
          <w:lang w:val="fr-CA"/>
        </w:rPr>
        <w:t>’</w:t>
      </w:r>
      <w:r w:rsidR="0012085C" w:rsidRPr="00B3274C">
        <w:rPr>
          <w:lang w:val="fr-CA"/>
        </w:rPr>
        <w:t>ensemble du pays</w:t>
      </w:r>
      <w:r w:rsidR="0080611A">
        <w:rPr>
          <w:lang w:val="fr-CA"/>
        </w:rPr>
        <w:t>,</w:t>
      </w:r>
      <w:r w:rsidR="00434AEF" w:rsidRPr="00B3274C">
        <w:rPr>
          <w:lang w:val="fr-CA"/>
        </w:rPr>
        <w:t xml:space="preserve"> y compris dans les grands centres urbains</w:t>
      </w:r>
      <w:r w:rsidR="0080611A">
        <w:rPr>
          <w:lang w:val="fr-CA"/>
        </w:rPr>
        <w:t>,</w:t>
      </w:r>
      <w:r w:rsidR="00434AEF" w:rsidRPr="00B3274C">
        <w:rPr>
          <w:lang w:val="fr-CA"/>
        </w:rPr>
        <w:t xml:space="preserve"> comme Athènes et Thessalonique. </w:t>
      </w:r>
      <w:r w:rsidR="0012085C" w:rsidRPr="00B3274C">
        <w:rPr>
          <w:lang w:val="fr-CA"/>
        </w:rPr>
        <w:t>Leur création et leur fonctionnement quotidien ont été soutenus par des actions organisées dans le cadre du Fonds européen d</w:t>
      </w:r>
      <w:r w:rsidR="0080611A">
        <w:rPr>
          <w:lang w:val="fr-CA"/>
        </w:rPr>
        <w:t>’</w:t>
      </w:r>
      <w:r w:rsidR="0012085C" w:rsidRPr="00B3274C">
        <w:rPr>
          <w:lang w:val="fr-CA"/>
        </w:rPr>
        <w:t>intégration</w:t>
      </w:r>
      <w:r w:rsidR="0055418C" w:rsidRPr="00B3274C">
        <w:rPr>
          <w:lang w:val="fr-CA"/>
        </w:rPr>
        <w:t xml:space="preserve"> </w:t>
      </w:r>
      <w:r w:rsidR="0012085C" w:rsidRPr="00B3274C">
        <w:rPr>
          <w:lang w:val="fr-CA"/>
        </w:rPr>
        <w:t xml:space="preserve">des ressortissants de pays tiers. </w:t>
      </w:r>
    </w:p>
    <w:p w:rsidR="00FB23D3" w:rsidRPr="00B3274C" w:rsidRDefault="00107A47" w:rsidP="00107A47">
      <w:pPr>
        <w:pStyle w:val="SingleTxtG"/>
        <w:rPr>
          <w:lang w:val="fr-CA"/>
        </w:rPr>
      </w:pPr>
      <w:r w:rsidRPr="00B3274C">
        <w:rPr>
          <w:lang w:val="fr-CA"/>
        </w:rPr>
        <w:t>21.</w:t>
      </w:r>
      <w:r w:rsidRPr="00B3274C">
        <w:rPr>
          <w:lang w:val="fr-CA"/>
        </w:rPr>
        <w:tab/>
      </w:r>
      <w:r w:rsidR="00FB23D3" w:rsidRPr="00B3274C">
        <w:rPr>
          <w:lang w:val="fr-CA"/>
        </w:rPr>
        <w:t>La</w:t>
      </w:r>
      <w:r w:rsidR="00BC4EB4" w:rsidRPr="00B3274C">
        <w:rPr>
          <w:lang w:val="fr-CA"/>
        </w:rPr>
        <w:t xml:space="preserve">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 xml:space="preserve">3838/2010 </w:t>
      </w:r>
      <w:r w:rsidR="00F0522F" w:rsidRPr="00B3274C">
        <w:rPr>
          <w:lang w:val="fr-CA"/>
        </w:rPr>
        <w:t xml:space="preserve">accorde pour </w:t>
      </w:r>
      <w:r w:rsidR="00BC4EB4" w:rsidRPr="00B3274C">
        <w:rPr>
          <w:lang w:val="fr-CA"/>
        </w:rPr>
        <w:t>la première fois aux migrants résidant régulièrement</w:t>
      </w:r>
      <w:r w:rsidR="0055418C" w:rsidRPr="00B3274C">
        <w:rPr>
          <w:lang w:val="fr-CA"/>
        </w:rPr>
        <w:t xml:space="preserve"> </w:t>
      </w:r>
      <w:r w:rsidR="00BC4EB4" w:rsidRPr="00B3274C">
        <w:rPr>
          <w:lang w:val="fr-CA"/>
        </w:rPr>
        <w:t>sur le territoire ainsi qu</w:t>
      </w:r>
      <w:r w:rsidR="0080611A">
        <w:rPr>
          <w:lang w:val="fr-CA"/>
        </w:rPr>
        <w:t>’</w:t>
      </w:r>
      <w:r w:rsidR="00BC4EB4" w:rsidRPr="00B3274C">
        <w:rPr>
          <w:lang w:val="fr-CA"/>
        </w:rPr>
        <w:t>aux citoyens étrangers d</w:t>
      </w:r>
      <w:r w:rsidR="0080611A">
        <w:rPr>
          <w:lang w:val="fr-CA"/>
        </w:rPr>
        <w:t>’</w:t>
      </w:r>
      <w:r w:rsidR="00BC4EB4" w:rsidRPr="00B3274C">
        <w:rPr>
          <w:lang w:val="fr-CA"/>
        </w:rPr>
        <w:t xml:space="preserve">origine grecque le droit de voter et de se présenter aux élections locales. </w:t>
      </w:r>
      <w:r w:rsidR="004C5A2F" w:rsidRPr="00B3274C">
        <w:rPr>
          <w:lang w:val="fr-CA"/>
        </w:rPr>
        <w:t>En outre</w:t>
      </w:r>
      <w:r w:rsidR="0080611A">
        <w:rPr>
          <w:lang w:val="fr-CA"/>
        </w:rPr>
        <w:t>,</w:t>
      </w:r>
      <w:r w:rsidR="004C5A2F" w:rsidRPr="00B3274C">
        <w:rPr>
          <w:lang w:val="fr-CA"/>
        </w:rPr>
        <w:t xml:space="preserve"> elle introduit</w:t>
      </w:r>
      <w:r w:rsidR="0080611A">
        <w:rPr>
          <w:lang w:val="fr-CA"/>
        </w:rPr>
        <w:t>,</w:t>
      </w:r>
      <w:r w:rsidR="004C5A2F" w:rsidRPr="00B3274C">
        <w:rPr>
          <w:lang w:val="fr-CA"/>
        </w:rPr>
        <w:t xml:space="preserve"> entre autres</w:t>
      </w:r>
      <w:r w:rsidR="0080611A">
        <w:rPr>
          <w:lang w:val="fr-CA"/>
        </w:rPr>
        <w:t>,</w:t>
      </w:r>
      <w:r w:rsidR="004C5A2F" w:rsidRPr="00B3274C">
        <w:rPr>
          <w:lang w:val="fr-CA"/>
        </w:rPr>
        <w:t xml:space="preserve"> de nouvelles dispositions concernant l</w:t>
      </w:r>
      <w:r w:rsidR="0080611A">
        <w:rPr>
          <w:lang w:val="fr-CA"/>
        </w:rPr>
        <w:t>’</w:t>
      </w:r>
      <w:r w:rsidR="004C5A2F" w:rsidRPr="00B3274C">
        <w:rPr>
          <w:lang w:val="fr-CA"/>
        </w:rPr>
        <w:t xml:space="preserve">acquisition de la </w:t>
      </w:r>
      <w:r w:rsidR="00A16A48" w:rsidRPr="00B3274C">
        <w:rPr>
          <w:lang w:val="fr-CA"/>
        </w:rPr>
        <w:t>citoyenneté</w:t>
      </w:r>
      <w:r w:rsidR="004C5A2F" w:rsidRPr="00B3274C">
        <w:rPr>
          <w:lang w:val="fr-CA"/>
        </w:rPr>
        <w:t xml:space="preserve"> grecque. </w:t>
      </w:r>
      <w:r w:rsidR="00A16A48" w:rsidRPr="00B3274C">
        <w:rPr>
          <w:lang w:val="fr-CA"/>
        </w:rPr>
        <w:t xml:space="preserve">Les innovations les plus importantes sont notamment: </w:t>
      </w:r>
      <w:r w:rsidR="003F42B4">
        <w:rPr>
          <w:lang w:val="fr-CA"/>
        </w:rPr>
        <w:t>a) </w:t>
      </w:r>
      <w:r w:rsidR="00A16A48" w:rsidRPr="00B3274C">
        <w:rPr>
          <w:lang w:val="fr-CA"/>
        </w:rPr>
        <w:t>l</w:t>
      </w:r>
      <w:r w:rsidR="0080611A">
        <w:rPr>
          <w:lang w:val="fr-CA"/>
        </w:rPr>
        <w:t>’</w:t>
      </w:r>
      <w:r w:rsidR="00A16A48" w:rsidRPr="00B3274C">
        <w:rPr>
          <w:lang w:val="fr-CA"/>
        </w:rPr>
        <w:t>acquisition de la citoyenneté grecque par la naissance pour les migrants de la troisième génération</w:t>
      </w:r>
      <w:r w:rsidR="0080611A">
        <w:rPr>
          <w:lang w:val="fr-CA"/>
        </w:rPr>
        <w:t>,</w:t>
      </w:r>
      <w:r w:rsidR="00A5317F" w:rsidRPr="00B3274C">
        <w:rPr>
          <w:lang w:val="fr-CA"/>
        </w:rPr>
        <w:t xml:space="preserve"> </w:t>
      </w:r>
      <w:r w:rsidR="003F42B4">
        <w:rPr>
          <w:lang w:val="fr-CA"/>
        </w:rPr>
        <w:t>b) </w:t>
      </w:r>
      <w:r w:rsidR="00A5317F" w:rsidRPr="00B3274C">
        <w:rPr>
          <w:lang w:val="fr-CA"/>
        </w:rPr>
        <w:t>le droit pour les migrants de la deuxième génération d</w:t>
      </w:r>
      <w:r w:rsidR="0080611A">
        <w:rPr>
          <w:lang w:val="fr-CA"/>
        </w:rPr>
        <w:t>’</w:t>
      </w:r>
      <w:r w:rsidR="00A5317F" w:rsidRPr="00B3274C">
        <w:rPr>
          <w:lang w:val="fr-CA"/>
        </w:rPr>
        <w:t xml:space="preserve">acquérir la citoyenneté soit par la naissance soit après avoir </w:t>
      </w:r>
      <w:r w:rsidR="00D13487" w:rsidRPr="00B3274C">
        <w:rPr>
          <w:lang w:val="fr-CA"/>
        </w:rPr>
        <w:t>passé</w:t>
      </w:r>
      <w:r w:rsidR="00A5317F" w:rsidRPr="00B3274C">
        <w:rPr>
          <w:lang w:val="fr-CA"/>
        </w:rPr>
        <w:t xml:space="preserve"> </w:t>
      </w:r>
      <w:r w:rsidR="00D13487" w:rsidRPr="00B3274C">
        <w:rPr>
          <w:lang w:val="fr-CA"/>
        </w:rPr>
        <w:t>six</w:t>
      </w:r>
      <w:r w:rsidR="004C055A">
        <w:rPr>
          <w:lang w:val="fr-CA"/>
        </w:rPr>
        <w:t> ans</w:t>
      </w:r>
      <w:r w:rsidR="00D13487" w:rsidRPr="00B3274C">
        <w:rPr>
          <w:lang w:val="fr-CA"/>
        </w:rPr>
        <w:t xml:space="preserve"> </w:t>
      </w:r>
      <w:r w:rsidR="00A5317F" w:rsidRPr="00B3274C">
        <w:rPr>
          <w:lang w:val="fr-CA"/>
        </w:rPr>
        <w:t>avec succès</w:t>
      </w:r>
      <w:r w:rsidR="0055418C" w:rsidRPr="00B3274C">
        <w:rPr>
          <w:lang w:val="fr-CA"/>
        </w:rPr>
        <w:t xml:space="preserve"> </w:t>
      </w:r>
      <w:r w:rsidR="00D13487" w:rsidRPr="00B3274C">
        <w:rPr>
          <w:lang w:val="fr-CA"/>
        </w:rPr>
        <w:t>dans le système éducatif grec. L</w:t>
      </w:r>
      <w:r w:rsidR="0080611A">
        <w:rPr>
          <w:lang w:val="fr-CA"/>
        </w:rPr>
        <w:t>’</w:t>
      </w:r>
      <w:r w:rsidR="00D13487" w:rsidRPr="00B3274C">
        <w:rPr>
          <w:lang w:val="fr-CA"/>
        </w:rPr>
        <w:t>année dernière</w:t>
      </w:r>
      <w:r w:rsidR="0080611A">
        <w:rPr>
          <w:lang w:val="fr-CA"/>
        </w:rPr>
        <w:t>,</w:t>
      </w:r>
      <w:r w:rsidR="00D13487" w:rsidRPr="00B3274C">
        <w:rPr>
          <w:lang w:val="fr-CA"/>
        </w:rPr>
        <w:t xml:space="preserve"> des commissions spéciales pour l</w:t>
      </w:r>
      <w:r w:rsidR="0080611A">
        <w:rPr>
          <w:lang w:val="fr-CA"/>
        </w:rPr>
        <w:t>’</w:t>
      </w:r>
      <w:r w:rsidR="00D13487" w:rsidRPr="00B3274C">
        <w:rPr>
          <w:lang w:val="fr-CA"/>
        </w:rPr>
        <w:t>acquisition de la citoyenneté grecque ont été créées pour examiner l</w:t>
      </w:r>
      <w:r w:rsidR="0080611A">
        <w:rPr>
          <w:lang w:val="fr-CA"/>
        </w:rPr>
        <w:t>’</w:t>
      </w:r>
      <w:r w:rsidR="00D13487" w:rsidRPr="00B3274C">
        <w:rPr>
          <w:lang w:val="fr-CA"/>
        </w:rPr>
        <w:t>important volume de demandes et déjà plus de mille migrants de la deuxième et de la troisième</w:t>
      </w:r>
      <w:r w:rsidR="0055418C" w:rsidRPr="00B3274C">
        <w:rPr>
          <w:lang w:val="fr-CA"/>
        </w:rPr>
        <w:t xml:space="preserve"> </w:t>
      </w:r>
      <w:r w:rsidR="004D0406" w:rsidRPr="00B3274C">
        <w:rPr>
          <w:lang w:val="fr-CA"/>
        </w:rPr>
        <w:t>génération</w:t>
      </w:r>
      <w:r w:rsidR="00582B62" w:rsidRPr="00B3274C">
        <w:rPr>
          <w:lang w:val="fr-CA"/>
        </w:rPr>
        <w:t>s</w:t>
      </w:r>
      <w:r w:rsidR="00D13487" w:rsidRPr="00B3274C">
        <w:rPr>
          <w:lang w:val="fr-CA"/>
        </w:rPr>
        <w:t xml:space="preserve"> sont devenus des citoyens grecs. Toutefois</w:t>
      </w:r>
      <w:r w:rsidR="0080611A">
        <w:rPr>
          <w:lang w:val="fr-CA"/>
        </w:rPr>
        <w:t>,</w:t>
      </w:r>
      <w:r w:rsidR="00D13487" w:rsidRPr="00B3274C">
        <w:rPr>
          <w:lang w:val="fr-CA"/>
        </w:rPr>
        <w:t xml:space="preserve"> il convient de noter que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 xml:space="preserve">3838/2012 </w:t>
      </w:r>
      <w:r w:rsidR="00D13487" w:rsidRPr="00B3274C">
        <w:rPr>
          <w:lang w:val="fr-CA"/>
        </w:rPr>
        <w:t xml:space="preserve">a été jugée inconstitutionnelle par la Quatrième </w:t>
      </w:r>
      <w:r w:rsidR="00EE619F" w:rsidRPr="00B3274C">
        <w:rPr>
          <w:lang w:val="fr-CA"/>
        </w:rPr>
        <w:t>Section</w:t>
      </w:r>
      <w:r w:rsidR="00D13487" w:rsidRPr="00B3274C">
        <w:rPr>
          <w:lang w:val="fr-CA"/>
        </w:rPr>
        <w:t xml:space="preserve"> du Conseil d</w:t>
      </w:r>
      <w:r w:rsidR="0080611A">
        <w:rPr>
          <w:lang w:val="fr-CA"/>
        </w:rPr>
        <w:t>’</w:t>
      </w:r>
      <w:r w:rsidR="00D13487" w:rsidRPr="00B3274C">
        <w:rPr>
          <w:lang w:val="fr-CA"/>
        </w:rPr>
        <w:t xml:space="preserve">État; une </w:t>
      </w:r>
      <w:r w:rsidR="00EE619F" w:rsidRPr="00B3274C">
        <w:rPr>
          <w:lang w:val="fr-CA"/>
        </w:rPr>
        <w:t>décision</w:t>
      </w:r>
      <w:r w:rsidR="00D13487" w:rsidRPr="00B3274C">
        <w:rPr>
          <w:lang w:val="fr-CA"/>
        </w:rPr>
        <w:t xml:space="preserve"> </w:t>
      </w:r>
      <w:r w:rsidR="00EE619F" w:rsidRPr="00B3274C">
        <w:rPr>
          <w:lang w:val="fr-CA"/>
        </w:rPr>
        <w:t>définitive</w:t>
      </w:r>
      <w:r w:rsidR="0055418C" w:rsidRPr="00B3274C">
        <w:rPr>
          <w:lang w:val="fr-CA"/>
        </w:rPr>
        <w:t xml:space="preserve"> </w:t>
      </w:r>
      <w:r w:rsidR="00D13487" w:rsidRPr="00B3274C">
        <w:rPr>
          <w:lang w:val="fr-CA"/>
        </w:rPr>
        <w:t xml:space="preserve">sera rendue </w:t>
      </w:r>
      <w:r w:rsidR="00EE619F" w:rsidRPr="00B3274C">
        <w:rPr>
          <w:lang w:val="fr-CA"/>
        </w:rPr>
        <w:t xml:space="preserve">à cet égard </w:t>
      </w:r>
      <w:r w:rsidR="00D13487" w:rsidRPr="00B3274C">
        <w:rPr>
          <w:lang w:val="fr-CA"/>
        </w:rPr>
        <w:t xml:space="preserve">par la Grande Chambre du Conseil. </w:t>
      </w:r>
    </w:p>
    <w:p w:rsidR="00FB23D3" w:rsidRPr="00B3274C" w:rsidRDefault="00107A47" w:rsidP="003F6F87">
      <w:pPr>
        <w:pStyle w:val="SingleTxtG"/>
        <w:rPr>
          <w:lang w:val="fr-CA"/>
        </w:rPr>
      </w:pPr>
      <w:r w:rsidRPr="00B3274C">
        <w:rPr>
          <w:lang w:val="fr-CA"/>
        </w:rPr>
        <w:t>22.</w:t>
      </w:r>
      <w:r w:rsidRPr="00B3274C">
        <w:rPr>
          <w:lang w:val="fr-CA"/>
        </w:rPr>
        <w:tab/>
      </w:r>
      <w:r w:rsidR="00060E8D" w:rsidRPr="00B3274C">
        <w:rPr>
          <w:lang w:val="fr-CA"/>
        </w:rPr>
        <w:t>Conformément aux dispositions du Règlement du Conseil de l</w:t>
      </w:r>
      <w:r w:rsidR="0080611A">
        <w:rPr>
          <w:lang w:val="fr-CA"/>
        </w:rPr>
        <w:t>’</w:t>
      </w:r>
      <w:r w:rsidR="00060E8D" w:rsidRPr="00B3274C">
        <w:rPr>
          <w:lang w:val="fr-CA"/>
        </w:rPr>
        <w:t xml:space="preserve">Union européenne </w:t>
      </w:r>
      <w:r w:rsidR="00136426" w:rsidRPr="00B3274C">
        <w:rPr>
          <w:lang w:val="fr-CA"/>
        </w:rPr>
        <w:t>n</w:t>
      </w:r>
      <w:r w:rsidR="00136426" w:rsidRPr="00B3274C">
        <w:rPr>
          <w:vertAlign w:val="superscript"/>
          <w:lang w:val="fr-CA"/>
        </w:rPr>
        <w:t>o</w:t>
      </w:r>
      <w:r w:rsidR="00136426" w:rsidRPr="00B3274C">
        <w:rPr>
          <w:lang w:val="fr-CA"/>
        </w:rPr>
        <w:t> </w:t>
      </w:r>
      <w:r w:rsidR="00060E8D" w:rsidRPr="00B3274C">
        <w:rPr>
          <w:lang w:val="fr-CA"/>
        </w:rPr>
        <w:t>1030/2002</w:t>
      </w:r>
      <w:r w:rsidR="0080611A">
        <w:rPr>
          <w:lang w:val="fr-CA"/>
        </w:rPr>
        <w:t>,</w:t>
      </w:r>
      <w:r w:rsidR="00FB23D3" w:rsidRPr="00B3274C">
        <w:rPr>
          <w:lang w:val="fr-CA"/>
        </w:rPr>
        <w:t xml:space="preserve"> </w:t>
      </w:r>
      <w:r w:rsidR="00060E8D" w:rsidRPr="00B3274C">
        <w:rPr>
          <w:lang w:val="fr-CA"/>
        </w:rPr>
        <w:t xml:space="preserve">tel que modifié par le Règlement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380/2008</w:t>
      </w:r>
      <w:r w:rsidR="00060E8D" w:rsidRPr="00B3274C">
        <w:rPr>
          <w:lang w:val="fr-CA"/>
        </w:rPr>
        <w:t xml:space="preserve"> du Conseil</w:t>
      </w:r>
      <w:r w:rsidR="0080611A">
        <w:rPr>
          <w:lang w:val="fr-CA"/>
        </w:rPr>
        <w:t>,</w:t>
      </w:r>
      <w:r w:rsidR="00FB23D3" w:rsidRPr="00B3274C">
        <w:rPr>
          <w:lang w:val="fr-CA"/>
        </w:rPr>
        <w:t xml:space="preserve"> </w:t>
      </w:r>
      <w:r w:rsidR="002B793F" w:rsidRPr="00B3274C">
        <w:rPr>
          <w:lang w:val="fr-CA"/>
        </w:rPr>
        <w:t>l</w:t>
      </w:r>
      <w:r w:rsidR="00060E8D" w:rsidRPr="00B3274C">
        <w:rPr>
          <w:lang w:val="fr-CA"/>
        </w:rPr>
        <w:t>es autorités grecques ont l</w:t>
      </w:r>
      <w:r w:rsidR="0080611A">
        <w:rPr>
          <w:lang w:val="fr-CA"/>
        </w:rPr>
        <w:t>’</w:t>
      </w:r>
      <w:r w:rsidR="00060E8D" w:rsidRPr="00B3274C">
        <w:rPr>
          <w:lang w:val="fr-CA"/>
        </w:rPr>
        <w:t>obligation d</w:t>
      </w:r>
      <w:r w:rsidR="0080611A">
        <w:rPr>
          <w:lang w:val="fr-CA"/>
        </w:rPr>
        <w:t>’</w:t>
      </w:r>
      <w:r w:rsidR="00060E8D" w:rsidRPr="00B3274C">
        <w:rPr>
          <w:lang w:val="fr-CA"/>
        </w:rPr>
        <w:t xml:space="preserve">émettre des titres de séjour </w:t>
      </w:r>
      <w:r w:rsidR="00A5007A" w:rsidRPr="00B3274C">
        <w:rPr>
          <w:lang w:val="fr-CA"/>
        </w:rPr>
        <w:t>sous la forme de documents séparés</w:t>
      </w:r>
      <w:r w:rsidR="00060E8D" w:rsidRPr="00B3274C">
        <w:rPr>
          <w:lang w:val="fr-CA"/>
        </w:rPr>
        <w:t xml:space="preserve"> (cartes électroniques). </w:t>
      </w:r>
      <w:r w:rsidR="00F83876" w:rsidRPr="00B3274C">
        <w:rPr>
          <w:lang w:val="fr-CA"/>
        </w:rPr>
        <w:t>En application de ces dispositions</w:t>
      </w:r>
      <w:r w:rsidR="0055055A" w:rsidRPr="00B3274C">
        <w:rPr>
          <w:lang w:val="fr-CA"/>
        </w:rPr>
        <w:t xml:space="preserve"> et dans le cadre des efforts de grande ampleur déployés récemment par le Gouvernement de la République hellénique pour réformer sa structure administrative afin d</w:t>
      </w:r>
      <w:r w:rsidR="0080611A">
        <w:rPr>
          <w:lang w:val="fr-CA"/>
        </w:rPr>
        <w:t>’</w:t>
      </w:r>
      <w:r w:rsidR="0055055A" w:rsidRPr="00B3274C">
        <w:rPr>
          <w:lang w:val="fr-CA"/>
        </w:rPr>
        <w:t>offrir aux citoyens des services de qualité optimale</w:t>
      </w:r>
      <w:r w:rsidR="0080611A">
        <w:rPr>
          <w:lang w:val="fr-CA"/>
        </w:rPr>
        <w:t>,</w:t>
      </w:r>
      <w:r w:rsidR="0055055A" w:rsidRPr="00B3274C">
        <w:rPr>
          <w:lang w:val="fr-CA"/>
        </w:rPr>
        <w:t xml:space="preserve"> </w:t>
      </w:r>
      <w:r w:rsidR="00071203" w:rsidRPr="00B3274C">
        <w:rPr>
          <w:lang w:val="fr-CA"/>
        </w:rPr>
        <w:t xml:space="preserve">la loi </w:t>
      </w:r>
      <w:r w:rsidR="00136426" w:rsidRPr="00B3274C">
        <w:rPr>
          <w:lang w:val="fr-CA"/>
        </w:rPr>
        <w:t>n</w:t>
      </w:r>
      <w:r w:rsidR="00136426" w:rsidRPr="00B3274C">
        <w:rPr>
          <w:vertAlign w:val="superscript"/>
          <w:lang w:val="fr-CA"/>
        </w:rPr>
        <w:t>o</w:t>
      </w:r>
      <w:r w:rsidR="00136426" w:rsidRPr="00B3274C">
        <w:rPr>
          <w:lang w:val="fr-CA"/>
        </w:rPr>
        <w:t> </w:t>
      </w:r>
      <w:r w:rsidR="00071203" w:rsidRPr="00B3274C">
        <w:rPr>
          <w:lang w:val="fr-CA"/>
        </w:rPr>
        <w:t>4018/2011</w:t>
      </w:r>
      <w:r w:rsidR="0080611A">
        <w:rPr>
          <w:lang w:val="fr-CA"/>
        </w:rPr>
        <w:t>,</w:t>
      </w:r>
      <w:r w:rsidR="00071203" w:rsidRPr="00B3274C">
        <w:rPr>
          <w:lang w:val="fr-CA"/>
        </w:rPr>
        <w:t xml:space="preserve"> intitulée </w:t>
      </w:r>
      <w:r w:rsidR="0055418C" w:rsidRPr="00B3274C">
        <w:rPr>
          <w:lang w:val="fr-CA"/>
        </w:rPr>
        <w:t>«</w:t>
      </w:r>
      <w:r w:rsidR="00162E84" w:rsidRPr="00B3274C">
        <w:rPr>
          <w:lang w:val="fr-CA"/>
        </w:rPr>
        <w:t>Réorganisation du système de délivrance des titres de séjour aux étrangers en vertu des dispositions de sécurité renforcée et autres dispositions relevant de la compétence du Ministère de l</w:t>
      </w:r>
      <w:r w:rsidR="0080611A">
        <w:rPr>
          <w:lang w:val="fr-CA"/>
        </w:rPr>
        <w:t>’</w:t>
      </w:r>
      <w:r w:rsidR="00162E84" w:rsidRPr="00B3274C">
        <w:rPr>
          <w:lang w:val="fr-CA"/>
        </w:rPr>
        <w:t>Intérieur</w:t>
      </w:r>
      <w:r w:rsidR="0055418C" w:rsidRPr="00B3274C">
        <w:rPr>
          <w:lang w:val="fr-CA"/>
        </w:rPr>
        <w:t>»</w:t>
      </w:r>
      <w:r w:rsidR="0080611A">
        <w:rPr>
          <w:lang w:val="fr-CA"/>
        </w:rPr>
        <w:t>,</w:t>
      </w:r>
      <w:r w:rsidR="00162E84" w:rsidRPr="00B3274C">
        <w:rPr>
          <w:lang w:val="fr-CA"/>
        </w:rPr>
        <w:t xml:space="preserve"> a été adoptée.</w:t>
      </w:r>
      <w:r w:rsidR="0055418C" w:rsidRPr="00B3274C">
        <w:rPr>
          <w:lang w:val="fr-CA"/>
        </w:rPr>
        <w:t xml:space="preserve"> </w:t>
      </w:r>
      <w:r w:rsidR="00971B1D" w:rsidRPr="00B3274C">
        <w:rPr>
          <w:lang w:val="fr-CA"/>
        </w:rPr>
        <w:t>La nouvelle loi renferme des dispositions qui</w:t>
      </w:r>
      <w:r w:rsidR="0080611A">
        <w:rPr>
          <w:lang w:val="fr-CA"/>
        </w:rPr>
        <w:t>,</w:t>
      </w:r>
      <w:r w:rsidR="00971B1D" w:rsidRPr="00B3274C">
        <w:rPr>
          <w:lang w:val="fr-CA"/>
        </w:rPr>
        <w:t xml:space="preserve"> notamment</w:t>
      </w:r>
      <w:r w:rsidR="0080611A">
        <w:rPr>
          <w:lang w:val="fr-CA"/>
        </w:rPr>
        <w:t>,</w:t>
      </w:r>
      <w:r w:rsidR="00971B1D" w:rsidRPr="00B3274C">
        <w:rPr>
          <w:lang w:val="fr-CA"/>
        </w:rPr>
        <w:t xml:space="preserve"> simplifient le cadre juridique relatif à l</w:t>
      </w:r>
      <w:r w:rsidR="0080611A">
        <w:rPr>
          <w:lang w:val="fr-CA"/>
        </w:rPr>
        <w:t>’</w:t>
      </w:r>
      <w:r w:rsidR="00971B1D" w:rsidRPr="00B3274C">
        <w:rPr>
          <w:lang w:val="fr-CA"/>
        </w:rPr>
        <w:t>entrée sur le territoire et au séjour des ressortissants de pays tiers et</w:t>
      </w:r>
      <w:r w:rsidR="0080611A">
        <w:rPr>
          <w:lang w:val="fr-CA"/>
        </w:rPr>
        <w:t>,</w:t>
      </w:r>
      <w:r w:rsidR="00971B1D" w:rsidRPr="00B3274C">
        <w:rPr>
          <w:lang w:val="fr-CA"/>
        </w:rPr>
        <w:t xml:space="preserve"> d</w:t>
      </w:r>
      <w:r w:rsidR="0080611A">
        <w:rPr>
          <w:lang w:val="fr-CA"/>
        </w:rPr>
        <w:t>’</w:t>
      </w:r>
      <w:r w:rsidR="00971B1D" w:rsidRPr="00B3274C">
        <w:rPr>
          <w:lang w:val="fr-CA"/>
        </w:rPr>
        <w:t>une part</w:t>
      </w:r>
      <w:r w:rsidR="0080611A">
        <w:rPr>
          <w:lang w:val="fr-CA"/>
        </w:rPr>
        <w:t>,</w:t>
      </w:r>
      <w:r w:rsidR="00971B1D" w:rsidRPr="00B3274C">
        <w:rPr>
          <w:lang w:val="fr-CA"/>
        </w:rPr>
        <w:t xml:space="preserve"> accélèrent les procédures et</w:t>
      </w:r>
      <w:r w:rsidR="0080611A">
        <w:rPr>
          <w:lang w:val="fr-CA"/>
        </w:rPr>
        <w:t>,</w:t>
      </w:r>
      <w:r w:rsidR="00971B1D" w:rsidRPr="00B3274C">
        <w:rPr>
          <w:lang w:val="fr-CA"/>
        </w:rPr>
        <w:t xml:space="preserve"> d</w:t>
      </w:r>
      <w:r w:rsidR="0080611A">
        <w:rPr>
          <w:lang w:val="fr-CA"/>
        </w:rPr>
        <w:t>’</w:t>
      </w:r>
      <w:r w:rsidR="00971B1D" w:rsidRPr="00B3274C">
        <w:rPr>
          <w:lang w:val="fr-CA"/>
        </w:rPr>
        <w:t>autre part</w:t>
      </w:r>
      <w:r w:rsidR="0080611A">
        <w:rPr>
          <w:lang w:val="fr-CA"/>
        </w:rPr>
        <w:t>,</w:t>
      </w:r>
      <w:r w:rsidR="00971B1D" w:rsidRPr="00B3274C">
        <w:rPr>
          <w:lang w:val="fr-CA"/>
        </w:rPr>
        <w:t xml:space="preserve"> favorisent la transformation progressive des autorités de l</w:t>
      </w:r>
      <w:r w:rsidR="0080611A">
        <w:rPr>
          <w:lang w:val="fr-CA"/>
        </w:rPr>
        <w:t>’</w:t>
      </w:r>
      <w:r w:rsidR="00971B1D" w:rsidRPr="00B3274C">
        <w:rPr>
          <w:lang w:val="fr-CA"/>
        </w:rPr>
        <w:t xml:space="preserve">immigration en </w:t>
      </w:r>
      <w:r w:rsidR="0055418C" w:rsidRPr="00B3274C">
        <w:rPr>
          <w:lang w:val="fr-CA"/>
        </w:rPr>
        <w:t>«</w:t>
      </w:r>
      <w:r w:rsidR="00971B1D" w:rsidRPr="00B3274C">
        <w:rPr>
          <w:lang w:val="fr-CA"/>
        </w:rPr>
        <w:t>guichets uniques</w:t>
      </w:r>
      <w:r w:rsidR="0055418C" w:rsidRPr="00B3274C">
        <w:rPr>
          <w:lang w:val="fr-CA"/>
        </w:rPr>
        <w:t>»</w:t>
      </w:r>
      <w:r w:rsidR="00971B1D" w:rsidRPr="00B3274C">
        <w:rPr>
          <w:lang w:val="fr-CA"/>
        </w:rPr>
        <w:t xml:space="preserve"> </w:t>
      </w:r>
      <w:r w:rsidR="00605788" w:rsidRPr="00B3274C">
        <w:rPr>
          <w:lang w:val="fr-CA"/>
        </w:rPr>
        <w:t>(ceci est lié à la mise en circulation d</w:t>
      </w:r>
      <w:r w:rsidR="007C2F1A" w:rsidRPr="00B3274C">
        <w:rPr>
          <w:lang w:val="fr-CA"/>
        </w:rPr>
        <w:t>es</w:t>
      </w:r>
      <w:r w:rsidR="00605788" w:rsidRPr="00B3274C">
        <w:rPr>
          <w:lang w:val="fr-CA"/>
        </w:rPr>
        <w:t xml:space="preserve"> titre</w:t>
      </w:r>
      <w:r w:rsidR="0062517E" w:rsidRPr="00B3274C">
        <w:rPr>
          <w:lang w:val="fr-CA"/>
        </w:rPr>
        <w:t>s</w:t>
      </w:r>
      <w:r w:rsidR="00605788" w:rsidRPr="00B3274C">
        <w:rPr>
          <w:lang w:val="fr-CA"/>
        </w:rPr>
        <w:t xml:space="preserve"> de séjour sous forme de carte</w:t>
      </w:r>
      <w:r w:rsidR="007C2F1A" w:rsidRPr="00B3274C">
        <w:rPr>
          <w:lang w:val="fr-CA"/>
        </w:rPr>
        <w:t>s</w:t>
      </w:r>
      <w:r w:rsidR="00605788" w:rsidRPr="00B3274C">
        <w:rPr>
          <w:lang w:val="fr-CA"/>
        </w:rPr>
        <w:t xml:space="preserve"> électronique</w:t>
      </w:r>
      <w:r w:rsidR="007C2F1A" w:rsidRPr="00B3274C">
        <w:rPr>
          <w:lang w:val="fr-CA"/>
        </w:rPr>
        <w:t>s</w:t>
      </w:r>
      <w:r w:rsidR="00605788" w:rsidRPr="00B3274C">
        <w:rPr>
          <w:lang w:val="fr-CA"/>
        </w:rPr>
        <w:t xml:space="preserve">) </w:t>
      </w:r>
      <w:r w:rsidR="007C2F1A" w:rsidRPr="00B3274C">
        <w:rPr>
          <w:lang w:val="fr-CA"/>
        </w:rPr>
        <w:t>pour les migrants</w:t>
      </w:r>
      <w:r w:rsidR="0080611A">
        <w:rPr>
          <w:lang w:val="fr-CA"/>
        </w:rPr>
        <w:t>,</w:t>
      </w:r>
      <w:r w:rsidR="007C2F1A" w:rsidRPr="00B3274C">
        <w:rPr>
          <w:lang w:val="fr-CA"/>
        </w:rPr>
        <w:t xml:space="preserve"> au siège de chaque autorité décentralisée (ex-préfecture)</w:t>
      </w:r>
      <w:r w:rsidR="0080611A">
        <w:rPr>
          <w:lang w:val="fr-CA"/>
        </w:rPr>
        <w:t>,</w:t>
      </w:r>
      <w:r w:rsidR="007C2F1A" w:rsidRPr="00B3274C">
        <w:rPr>
          <w:lang w:val="fr-CA"/>
        </w:rPr>
        <w:t xml:space="preserve"> qui délivrent des services efficaces selon des procédures accélérées.</w:t>
      </w:r>
      <w:r w:rsidR="00FB23D3" w:rsidRPr="00B3274C">
        <w:rPr>
          <w:lang w:val="fr-CA"/>
        </w:rPr>
        <w:t xml:space="preserve"> </w:t>
      </w:r>
      <w:r w:rsidR="00F1265D" w:rsidRPr="00B3274C">
        <w:rPr>
          <w:lang w:val="fr-CA"/>
        </w:rPr>
        <w:t>On s</w:t>
      </w:r>
      <w:r w:rsidR="0080611A">
        <w:rPr>
          <w:lang w:val="fr-CA"/>
        </w:rPr>
        <w:t>’</w:t>
      </w:r>
      <w:r w:rsidR="00F1265D" w:rsidRPr="00B3274C">
        <w:rPr>
          <w:lang w:val="fr-CA"/>
        </w:rPr>
        <w:t xml:space="preserve">attend que </w:t>
      </w:r>
      <w:r w:rsidR="00897003" w:rsidRPr="00B3274C">
        <w:rPr>
          <w:lang w:val="fr-CA"/>
        </w:rPr>
        <w:t>cela</w:t>
      </w:r>
      <w:r w:rsidR="00F1265D" w:rsidRPr="00B3274C">
        <w:rPr>
          <w:lang w:val="fr-CA"/>
        </w:rPr>
        <w:t xml:space="preserve"> </w:t>
      </w:r>
      <w:r w:rsidR="000F4581">
        <w:rPr>
          <w:lang w:val="fr-CA"/>
        </w:rPr>
        <w:t>permettra</w:t>
      </w:r>
      <w:r w:rsidR="00F1265D" w:rsidRPr="00B3274C">
        <w:rPr>
          <w:lang w:val="fr-CA"/>
        </w:rPr>
        <w:t xml:space="preserve"> de réduire considérablement le temps nécessaire à la délivrance des titres de séjour</w:t>
      </w:r>
      <w:r w:rsidR="00597DC4">
        <w:rPr>
          <w:lang w:val="fr-CA"/>
        </w:rPr>
        <w:t>. À </w:t>
      </w:r>
      <w:r w:rsidR="00F1265D" w:rsidRPr="00B3274C">
        <w:rPr>
          <w:lang w:val="fr-CA"/>
        </w:rPr>
        <w:t>ce stade</w:t>
      </w:r>
      <w:r w:rsidR="0080611A">
        <w:rPr>
          <w:lang w:val="fr-CA"/>
        </w:rPr>
        <w:t>,</w:t>
      </w:r>
      <w:r w:rsidR="00F1265D" w:rsidRPr="00B3274C">
        <w:rPr>
          <w:lang w:val="fr-CA"/>
        </w:rPr>
        <w:t xml:space="preserve"> un certain nombre de </w:t>
      </w:r>
      <w:r w:rsidR="0055418C" w:rsidRPr="00B3274C">
        <w:rPr>
          <w:lang w:val="fr-CA"/>
        </w:rPr>
        <w:t>«</w:t>
      </w:r>
      <w:r w:rsidR="00F1265D" w:rsidRPr="00B3274C">
        <w:rPr>
          <w:lang w:val="fr-CA"/>
        </w:rPr>
        <w:t>guichets uniques</w:t>
      </w:r>
      <w:r w:rsidR="0055418C" w:rsidRPr="00B3274C">
        <w:rPr>
          <w:lang w:val="fr-CA"/>
        </w:rPr>
        <w:t>»</w:t>
      </w:r>
      <w:r w:rsidR="00F1265D" w:rsidRPr="00B3274C">
        <w:rPr>
          <w:lang w:val="fr-CA"/>
        </w:rPr>
        <w:t xml:space="preserve"> sont opérationnels. </w:t>
      </w:r>
    </w:p>
    <w:p w:rsidR="00FB23D3" w:rsidRPr="00B3274C" w:rsidRDefault="00107A47" w:rsidP="00107A47">
      <w:pPr>
        <w:pStyle w:val="SingleTxtG"/>
        <w:rPr>
          <w:lang w:val="fr-CA"/>
        </w:rPr>
      </w:pPr>
      <w:r w:rsidRPr="00B3274C">
        <w:rPr>
          <w:lang w:val="fr-CA"/>
        </w:rPr>
        <w:t>23.</w:t>
      </w:r>
      <w:r w:rsidRPr="00B3274C">
        <w:rPr>
          <w:lang w:val="fr-CA"/>
        </w:rPr>
        <w:tab/>
      </w:r>
      <w:r w:rsidR="002F2BAF" w:rsidRPr="00B3274C">
        <w:rPr>
          <w:lang w:val="fr-CA"/>
        </w:rPr>
        <w:t>Par ailleurs</w:t>
      </w:r>
      <w:r w:rsidR="0080611A">
        <w:rPr>
          <w:lang w:val="fr-CA"/>
        </w:rPr>
        <w:t>,</w:t>
      </w:r>
      <w:r w:rsidR="002F2BAF" w:rsidRPr="00B3274C">
        <w:rPr>
          <w:lang w:val="fr-CA"/>
        </w:rPr>
        <w:t xml:space="preserve"> dans le cadre de la loi susmentionnée</w:t>
      </w:r>
      <w:r w:rsidR="0080611A">
        <w:rPr>
          <w:lang w:val="fr-CA"/>
        </w:rPr>
        <w:t>,</w:t>
      </w:r>
      <w:r w:rsidR="002F2BAF" w:rsidRPr="00B3274C">
        <w:rPr>
          <w:lang w:val="fr-CA"/>
        </w:rPr>
        <w:t xml:space="preserve"> le Parlement grec a adopté des dispositions sur la simplification de la procédure d</w:t>
      </w:r>
      <w:r w:rsidR="0080611A">
        <w:rPr>
          <w:lang w:val="fr-CA"/>
        </w:rPr>
        <w:t>’</w:t>
      </w:r>
      <w:r w:rsidR="002F2BAF" w:rsidRPr="00B3274C">
        <w:rPr>
          <w:lang w:val="fr-CA"/>
        </w:rPr>
        <w:t xml:space="preserve">entrée et de séjour </w:t>
      </w:r>
      <w:r w:rsidR="00A31CD1" w:rsidRPr="00B3274C">
        <w:rPr>
          <w:lang w:val="fr-CA"/>
        </w:rPr>
        <w:t>temporaire de</w:t>
      </w:r>
      <w:r w:rsidR="002F2BAF" w:rsidRPr="00B3274C">
        <w:rPr>
          <w:lang w:val="fr-CA"/>
        </w:rPr>
        <w:t xml:space="preserve"> ressortissants de pays tiers</w:t>
      </w:r>
      <w:r w:rsidR="0080611A">
        <w:rPr>
          <w:lang w:val="fr-CA"/>
        </w:rPr>
        <w:t>,</w:t>
      </w:r>
      <w:r w:rsidR="002F2BAF" w:rsidRPr="00B3274C">
        <w:rPr>
          <w:lang w:val="fr-CA"/>
        </w:rPr>
        <w:t xml:space="preserve"> comme les travailleurs saisonniers. </w:t>
      </w:r>
    </w:p>
    <w:p w:rsidR="00FB23D3" w:rsidRPr="00B3274C" w:rsidRDefault="00107A47" w:rsidP="004F374F">
      <w:pPr>
        <w:pStyle w:val="SingleTxtG"/>
        <w:rPr>
          <w:lang w:val="fr-CA"/>
        </w:rPr>
      </w:pPr>
      <w:r w:rsidRPr="00B3274C">
        <w:rPr>
          <w:lang w:val="fr-CA"/>
        </w:rPr>
        <w:t>24.</w:t>
      </w:r>
      <w:r w:rsidRPr="00B3274C">
        <w:rPr>
          <w:lang w:val="fr-CA"/>
        </w:rPr>
        <w:tab/>
      </w:r>
      <w:r w:rsidR="004F374F" w:rsidRPr="00B3274C">
        <w:rPr>
          <w:lang w:val="fr-CA"/>
        </w:rPr>
        <w:t>En vertu de la déc</w:t>
      </w:r>
      <w:r w:rsidR="00614BAC">
        <w:rPr>
          <w:lang w:val="fr-CA"/>
        </w:rPr>
        <w:t>ision ministérielle conjointe n</w:t>
      </w:r>
      <w:r w:rsidR="00614BAC" w:rsidRPr="00614BAC">
        <w:rPr>
          <w:vertAlign w:val="superscript"/>
          <w:lang w:val="fr-CA"/>
        </w:rPr>
        <w:t>o</w:t>
      </w:r>
      <w:r w:rsidR="00614BAC">
        <w:rPr>
          <w:lang w:val="fr-CA"/>
        </w:rPr>
        <w:t> </w:t>
      </w:r>
      <w:r w:rsidR="00FB23D3" w:rsidRPr="00B3274C">
        <w:rPr>
          <w:lang w:val="fr-CA"/>
        </w:rPr>
        <w:t>15055/546/2011</w:t>
      </w:r>
      <w:r w:rsidR="0080611A">
        <w:rPr>
          <w:lang w:val="fr-CA"/>
        </w:rPr>
        <w:t>,</w:t>
      </w:r>
      <w:r w:rsidR="004F374F" w:rsidRPr="00B3274C">
        <w:rPr>
          <w:lang w:val="fr-CA"/>
        </w:rPr>
        <w:t xml:space="preserve"> le nombre minimum de</w:t>
      </w:r>
      <w:r w:rsidR="00125E65">
        <w:rPr>
          <w:lang w:val="fr-CA"/>
        </w:rPr>
        <w:t xml:space="preserve"> </w:t>
      </w:r>
      <w:r w:rsidR="000F4581">
        <w:rPr>
          <w:lang w:val="fr-CA"/>
        </w:rPr>
        <w:t>jours</w:t>
      </w:r>
      <w:r w:rsidR="004F374F" w:rsidRPr="00B3274C">
        <w:rPr>
          <w:lang w:val="fr-CA"/>
        </w:rPr>
        <w:t xml:space="preserve"> de travail et de</w:t>
      </w:r>
      <w:r w:rsidR="000F4581">
        <w:rPr>
          <w:lang w:val="fr-CA"/>
        </w:rPr>
        <w:t xml:space="preserve"> jours</w:t>
      </w:r>
      <w:r w:rsidR="004F374F" w:rsidRPr="00B3274C">
        <w:rPr>
          <w:lang w:val="fr-CA"/>
        </w:rPr>
        <w:t xml:space="preserve"> d</w:t>
      </w:r>
      <w:r w:rsidR="0080611A">
        <w:rPr>
          <w:lang w:val="fr-CA"/>
        </w:rPr>
        <w:t>’</w:t>
      </w:r>
      <w:r w:rsidR="004F374F" w:rsidRPr="00B3274C">
        <w:rPr>
          <w:lang w:val="fr-CA"/>
        </w:rPr>
        <w:t>assurance nécessaires pour que les ressortissants de pays tiers obtiennent le renouvellement du titre de séjour</w:t>
      </w:r>
      <w:r w:rsidR="00FB23D3" w:rsidRPr="00B3274C">
        <w:rPr>
          <w:lang w:val="fr-CA"/>
        </w:rPr>
        <w:t xml:space="preserve"> </w:t>
      </w:r>
      <w:r w:rsidR="004F374F" w:rsidRPr="00B3274C">
        <w:rPr>
          <w:lang w:val="fr-CA"/>
        </w:rPr>
        <w:t>les autorisant à travailler a été réduit. Ainsi</w:t>
      </w:r>
      <w:r w:rsidR="0080611A">
        <w:rPr>
          <w:lang w:val="fr-CA"/>
        </w:rPr>
        <w:t>,</w:t>
      </w:r>
      <w:r w:rsidR="004F374F" w:rsidRPr="00B3274C">
        <w:rPr>
          <w:lang w:val="fr-CA"/>
        </w:rPr>
        <w:t xml:space="preserve"> les ressortissants de pays tiers peuvent renouveler leur permis de séjour dans des conditions plus favorables</w:t>
      </w:r>
      <w:r w:rsidR="0080611A">
        <w:rPr>
          <w:lang w:val="fr-CA"/>
        </w:rPr>
        <w:t>,</w:t>
      </w:r>
      <w:r w:rsidR="004F374F" w:rsidRPr="00B3274C">
        <w:rPr>
          <w:lang w:val="fr-CA"/>
        </w:rPr>
        <w:t xml:space="preserve"> ce qui leur permet</w:t>
      </w:r>
      <w:r w:rsidR="0094406A" w:rsidRPr="00B3274C">
        <w:rPr>
          <w:lang w:val="fr-CA"/>
        </w:rPr>
        <w:t xml:space="preserve"> une intégration plus facile </w:t>
      </w:r>
      <w:r w:rsidR="004F374F" w:rsidRPr="00B3274C">
        <w:rPr>
          <w:lang w:val="fr-CA"/>
        </w:rPr>
        <w:t>sur le marché du travail grec et</w:t>
      </w:r>
      <w:r w:rsidR="0094406A" w:rsidRPr="00B3274C">
        <w:rPr>
          <w:lang w:val="fr-CA"/>
        </w:rPr>
        <w:t xml:space="preserve"> garantit </w:t>
      </w:r>
      <w:r w:rsidR="004F374F" w:rsidRPr="00B3274C">
        <w:rPr>
          <w:lang w:val="fr-CA"/>
        </w:rPr>
        <w:t>leurs droits en matière de travail et d</w:t>
      </w:r>
      <w:r w:rsidR="0080611A">
        <w:rPr>
          <w:lang w:val="fr-CA"/>
        </w:rPr>
        <w:t>’</w:t>
      </w:r>
      <w:r w:rsidR="004F374F" w:rsidRPr="00B3274C">
        <w:rPr>
          <w:lang w:val="fr-CA"/>
        </w:rPr>
        <w:t xml:space="preserve">assurance. </w:t>
      </w:r>
      <w:r w:rsidR="0094406A" w:rsidRPr="00B3274C">
        <w:rPr>
          <w:lang w:val="fr-CA"/>
        </w:rPr>
        <w:t>Plus précisément</w:t>
      </w:r>
      <w:r w:rsidR="0080611A">
        <w:rPr>
          <w:lang w:val="fr-CA"/>
        </w:rPr>
        <w:t>,</w:t>
      </w:r>
      <w:r w:rsidR="0094406A" w:rsidRPr="00B3274C">
        <w:rPr>
          <w:lang w:val="fr-CA"/>
        </w:rPr>
        <w:t xml:space="preserve"> la décision ministérielle conjointe réduit les</w:t>
      </w:r>
      <w:r w:rsidR="000F4581">
        <w:rPr>
          <w:lang w:val="fr-CA"/>
        </w:rPr>
        <w:t> jours</w:t>
      </w:r>
      <w:r w:rsidR="0094406A" w:rsidRPr="00B3274C">
        <w:rPr>
          <w:lang w:val="fr-CA"/>
        </w:rPr>
        <w:t xml:space="preserve"> d</w:t>
      </w:r>
      <w:r w:rsidR="0080611A">
        <w:rPr>
          <w:lang w:val="fr-CA"/>
        </w:rPr>
        <w:t>’</w:t>
      </w:r>
      <w:r w:rsidR="0094406A" w:rsidRPr="00B3274C">
        <w:rPr>
          <w:lang w:val="fr-CA"/>
        </w:rPr>
        <w:t>assurance nécessaires au renouvellement du titre de séjour de 200 à 120</w:t>
      </w:r>
      <w:r w:rsidR="000F4581">
        <w:rPr>
          <w:lang w:val="fr-CA"/>
        </w:rPr>
        <w:t> jours</w:t>
      </w:r>
      <w:r w:rsidR="0094406A" w:rsidRPr="00B3274C">
        <w:rPr>
          <w:lang w:val="fr-CA"/>
        </w:rPr>
        <w:t xml:space="preserve"> par an</w:t>
      </w:r>
      <w:r w:rsidR="0080611A">
        <w:rPr>
          <w:lang w:val="fr-CA"/>
        </w:rPr>
        <w:t>,</w:t>
      </w:r>
      <w:r w:rsidR="0094406A" w:rsidRPr="00B3274C">
        <w:rPr>
          <w:lang w:val="fr-CA"/>
        </w:rPr>
        <w:t xml:space="preserve"> soit 240</w:t>
      </w:r>
      <w:r w:rsidR="000F4581">
        <w:rPr>
          <w:lang w:val="fr-CA"/>
        </w:rPr>
        <w:t> jours</w:t>
      </w:r>
      <w:r w:rsidR="0094406A" w:rsidRPr="00B3274C">
        <w:rPr>
          <w:lang w:val="fr-CA"/>
        </w:rPr>
        <w:t xml:space="preserve"> pour une période de deux</w:t>
      </w:r>
      <w:r w:rsidR="004C055A">
        <w:rPr>
          <w:lang w:val="fr-CA"/>
        </w:rPr>
        <w:t> ans</w:t>
      </w:r>
      <w:r w:rsidR="0094406A" w:rsidRPr="00B3274C">
        <w:rPr>
          <w:lang w:val="fr-CA"/>
        </w:rPr>
        <w:t xml:space="preserve">. </w:t>
      </w:r>
    </w:p>
    <w:p w:rsidR="00FB23D3" w:rsidRPr="00B3274C" w:rsidRDefault="00107A47" w:rsidP="00107A47">
      <w:pPr>
        <w:pStyle w:val="SingleTxtG"/>
        <w:rPr>
          <w:lang w:val="fr-CA"/>
        </w:rPr>
      </w:pPr>
      <w:r w:rsidRPr="00B3274C">
        <w:rPr>
          <w:lang w:val="fr-CA"/>
        </w:rPr>
        <w:t>25.</w:t>
      </w:r>
      <w:r w:rsidRPr="00B3274C">
        <w:rPr>
          <w:lang w:val="fr-CA"/>
        </w:rPr>
        <w:tab/>
      </w:r>
      <w:r w:rsidR="0094406A" w:rsidRPr="00B3274C">
        <w:rPr>
          <w:lang w:val="fr-CA"/>
        </w:rPr>
        <w:t>En ce qui concerne l</w:t>
      </w:r>
      <w:r w:rsidR="0080611A">
        <w:rPr>
          <w:lang w:val="fr-CA"/>
        </w:rPr>
        <w:t>’</w:t>
      </w:r>
      <w:r w:rsidR="0094406A" w:rsidRPr="00B3274C">
        <w:rPr>
          <w:lang w:val="fr-CA"/>
        </w:rPr>
        <w:t>intégration des migrants</w:t>
      </w:r>
      <w:r w:rsidR="0080611A">
        <w:rPr>
          <w:lang w:val="fr-CA"/>
        </w:rPr>
        <w:t>,</w:t>
      </w:r>
      <w:r w:rsidR="0094406A" w:rsidRPr="00B3274C">
        <w:rPr>
          <w:lang w:val="fr-CA"/>
        </w:rPr>
        <w:t xml:space="preserve"> le Gouvernement grec a rédigé une Stratégie nationale pour l</w:t>
      </w:r>
      <w:r w:rsidR="0080611A">
        <w:rPr>
          <w:lang w:val="fr-CA"/>
        </w:rPr>
        <w:t>’</w:t>
      </w:r>
      <w:r w:rsidR="0094406A" w:rsidRPr="00B3274C">
        <w:rPr>
          <w:lang w:val="fr-CA"/>
        </w:rPr>
        <w:t>intégration de</w:t>
      </w:r>
      <w:r w:rsidR="00E72582" w:rsidRPr="00B3274C">
        <w:rPr>
          <w:lang w:val="fr-CA"/>
        </w:rPr>
        <w:t xml:space="preserve">s ressortissants de pays tiers </w:t>
      </w:r>
      <w:r w:rsidR="00FC5AB0" w:rsidRPr="00B3274C">
        <w:rPr>
          <w:lang w:val="fr-CA"/>
        </w:rPr>
        <w:t>portant sur les</w:t>
      </w:r>
      <w:r w:rsidR="00E72582" w:rsidRPr="00B3274C">
        <w:rPr>
          <w:lang w:val="fr-CA"/>
        </w:rPr>
        <w:t xml:space="preserve"> domaines suivants</w:t>
      </w:r>
      <w:r w:rsidR="00EC5892" w:rsidRPr="00B3274C">
        <w:rPr>
          <w:lang w:val="fr-CA"/>
        </w:rPr>
        <w:t>:</w:t>
      </w:r>
      <w:r w:rsidR="00E72582" w:rsidRPr="00B3274C">
        <w:rPr>
          <w:lang w:val="fr-CA"/>
        </w:rPr>
        <w:t xml:space="preserve"> les services d</w:t>
      </w:r>
      <w:r w:rsidR="0080611A">
        <w:rPr>
          <w:lang w:val="fr-CA"/>
        </w:rPr>
        <w:t>’</w:t>
      </w:r>
      <w:r w:rsidR="00E72582" w:rsidRPr="00B3274C">
        <w:rPr>
          <w:lang w:val="fr-CA"/>
        </w:rPr>
        <w:t>information</w:t>
      </w:r>
      <w:r w:rsidR="0080611A">
        <w:rPr>
          <w:lang w:val="fr-CA"/>
        </w:rPr>
        <w:t>,</w:t>
      </w:r>
      <w:r w:rsidR="00E72582" w:rsidRPr="00B3274C">
        <w:rPr>
          <w:lang w:val="fr-CA"/>
        </w:rPr>
        <w:t xml:space="preserve"> l</w:t>
      </w:r>
      <w:r w:rsidR="0080611A">
        <w:rPr>
          <w:lang w:val="fr-CA"/>
        </w:rPr>
        <w:t>’</w:t>
      </w:r>
      <w:r w:rsidR="00E72582" w:rsidRPr="00B3274C">
        <w:rPr>
          <w:lang w:val="fr-CA"/>
        </w:rPr>
        <w:t>éducation et les cours de langue grecque</w:t>
      </w:r>
      <w:r w:rsidR="0080611A">
        <w:rPr>
          <w:lang w:val="fr-CA"/>
        </w:rPr>
        <w:t>,</w:t>
      </w:r>
      <w:r w:rsidR="00E72582" w:rsidRPr="00B3274C">
        <w:rPr>
          <w:lang w:val="fr-CA"/>
        </w:rPr>
        <w:t xml:space="preserve"> l</w:t>
      </w:r>
      <w:r w:rsidR="0080611A">
        <w:rPr>
          <w:lang w:val="fr-CA"/>
        </w:rPr>
        <w:t>’</w:t>
      </w:r>
      <w:r w:rsidR="00E72582" w:rsidRPr="00B3274C">
        <w:rPr>
          <w:lang w:val="fr-CA"/>
        </w:rPr>
        <w:t>emploi et la formation professionnelle</w:t>
      </w:r>
      <w:r w:rsidR="0080611A">
        <w:rPr>
          <w:lang w:val="fr-CA"/>
        </w:rPr>
        <w:t>,</w:t>
      </w:r>
      <w:r w:rsidR="00FC5AB0" w:rsidRPr="00B3274C">
        <w:rPr>
          <w:lang w:val="fr-CA"/>
        </w:rPr>
        <w:t xml:space="preserve"> la santé</w:t>
      </w:r>
      <w:r w:rsidR="0080611A">
        <w:rPr>
          <w:lang w:val="fr-CA"/>
        </w:rPr>
        <w:t>,</w:t>
      </w:r>
      <w:r w:rsidR="00FC5AB0" w:rsidRPr="00B3274C">
        <w:rPr>
          <w:lang w:val="fr-CA"/>
        </w:rPr>
        <w:t xml:space="preserve"> le logement et la qualité de vie</w:t>
      </w:r>
      <w:r w:rsidR="0080611A">
        <w:rPr>
          <w:lang w:val="fr-CA"/>
        </w:rPr>
        <w:t>,</w:t>
      </w:r>
      <w:r w:rsidR="00FC5AB0" w:rsidRPr="00B3274C">
        <w:rPr>
          <w:lang w:val="fr-CA"/>
        </w:rPr>
        <w:t xml:space="preserve"> la participation citoyenne</w:t>
      </w:r>
      <w:r w:rsidR="0080611A">
        <w:rPr>
          <w:lang w:val="fr-CA"/>
        </w:rPr>
        <w:t>,</w:t>
      </w:r>
      <w:r w:rsidR="00FC5AB0" w:rsidRPr="00B3274C">
        <w:rPr>
          <w:lang w:val="fr-CA"/>
        </w:rPr>
        <w:t xml:space="preserve"> l</w:t>
      </w:r>
      <w:r w:rsidR="0080611A">
        <w:rPr>
          <w:lang w:val="fr-CA"/>
        </w:rPr>
        <w:t>’</w:t>
      </w:r>
      <w:r w:rsidR="00FC5AB0" w:rsidRPr="00B3274C">
        <w:rPr>
          <w:lang w:val="fr-CA"/>
        </w:rPr>
        <w:t>égalité de traitement</w:t>
      </w:r>
      <w:r w:rsidR="0080611A">
        <w:rPr>
          <w:lang w:val="fr-CA"/>
        </w:rPr>
        <w:t>,</w:t>
      </w:r>
      <w:r w:rsidR="00FC5AB0" w:rsidRPr="00B3274C">
        <w:rPr>
          <w:lang w:val="fr-CA"/>
        </w:rPr>
        <w:t xml:space="preserve"> la coexistence interculturelle</w:t>
      </w:r>
      <w:r w:rsidR="0080611A">
        <w:rPr>
          <w:lang w:val="fr-CA"/>
        </w:rPr>
        <w:t>,</w:t>
      </w:r>
      <w:r w:rsidR="00FC5AB0" w:rsidRPr="00B3274C">
        <w:rPr>
          <w:lang w:val="fr-CA"/>
        </w:rPr>
        <w:t xml:space="preserve"> les groupes sociaux ciblés et la planification et l</w:t>
      </w:r>
      <w:r w:rsidR="0080611A">
        <w:rPr>
          <w:lang w:val="fr-CA"/>
        </w:rPr>
        <w:t>’</w:t>
      </w:r>
      <w:r w:rsidR="00FC5AB0" w:rsidRPr="00B3274C">
        <w:rPr>
          <w:lang w:val="fr-CA"/>
        </w:rPr>
        <w:t>évaluation des programmes d</w:t>
      </w:r>
      <w:r w:rsidR="0080611A">
        <w:rPr>
          <w:lang w:val="fr-CA"/>
        </w:rPr>
        <w:t>’</w:t>
      </w:r>
      <w:r w:rsidR="00FC5AB0" w:rsidRPr="00B3274C">
        <w:rPr>
          <w:lang w:val="fr-CA"/>
        </w:rPr>
        <w:t xml:space="preserve">intégration sociale. </w:t>
      </w:r>
      <w:r w:rsidR="008E1C05" w:rsidRPr="00B3274C">
        <w:rPr>
          <w:lang w:val="fr-CA"/>
        </w:rPr>
        <w:t xml:space="preserve">Le </w:t>
      </w:r>
      <w:r w:rsidR="009D6D83" w:rsidRPr="00B3274C">
        <w:rPr>
          <w:lang w:val="fr-CA"/>
        </w:rPr>
        <w:t>texte</w:t>
      </w:r>
      <w:r w:rsidR="008E1C05" w:rsidRPr="00B3274C">
        <w:rPr>
          <w:lang w:val="fr-CA"/>
        </w:rPr>
        <w:t xml:space="preserve"> vise à rassembler et à coordonner tous les organismes qui s</w:t>
      </w:r>
      <w:r w:rsidR="0080611A">
        <w:rPr>
          <w:lang w:val="fr-CA"/>
        </w:rPr>
        <w:t>’</w:t>
      </w:r>
      <w:r w:rsidR="008E1C05" w:rsidRPr="00B3274C">
        <w:rPr>
          <w:lang w:val="fr-CA"/>
        </w:rPr>
        <w:t>occupent de l</w:t>
      </w:r>
      <w:r w:rsidR="0080611A">
        <w:rPr>
          <w:lang w:val="fr-CA"/>
        </w:rPr>
        <w:t>’</w:t>
      </w:r>
      <w:r w:rsidR="008E1C05" w:rsidRPr="00B3274C">
        <w:rPr>
          <w:lang w:val="fr-CA"/>
        </w:rPr>
        <w:t xml:space="preserve">intégration des migrants. </w:t>
      </w:r>
      <w:r w:rsidR="002953B9" w:rsidRPr="00B3274C">
        <w:rPr>
          <w:lang w:val="fr-CA"/>
        </w:rPr>
        <w:t>Il constituera la base d</w:t>
      </w:r>
      <w:r w:rsidR="0080611A">
        <w:rPr>
          <w:lang w:val="fr-CA"/>
        </w:rPr>
        <w:t>’</w:t>
      </w:r>
      <w:r w:rsidR="002953B9" w:rsidRPr="00B3274C">
        <w:rPr>
          <w:lang w:val="fr-CA"/>
        </w:rPr>
        <w:t>un vaste processus de consultations avec des organisations gouvernementales et non gouvernementales</w:t>
      </w:r>
      <w:r w:rsidR="0080611A">
        <w:rPr>
          <w:lang w:val="fr-CA"/>
        </w:rPr>
        <w:t>,</w:t>
      </w:r>
      <w:r w:rsidR="009B3D21" w:rsidRPr="00B3274C">
        <w:rPr>
          <w:lang w:val="fr-CA"/>
        </w:rPr>
        <w:t xml:space="preserve"> à l</w:t>
      </w:r>
      <w:r w:rsidR="0080611A">
        <w:rPr>
          <w:lang w:val="fr-CA"/>
        </w:rPr>
        <w:t>’</w:t>
      </w:r>
      <w:r w:rsidR="009B3D21" w:rsidRPr="00B3274C">
        <w:rPr>
          <w:lang w:val="fr-CA"/>
        </w:rPr>
        <w:t xml:space="preserve">issue desquelles </w:t>
      </w:r>
      <w:r w:rsidR="006477D4" w:rsidRPr="00B3274C">
        <w:rPr>
          <w:lang w:val="fr-CA"/>
        </w:rPr>
        <w:t>seront intégrés dans la Stratégie</w:t>
      </w:r>
      <w:r w:rsidR="009B3D21" w:rsidRPr="00B3274C">
        <w:rPr>
          <w:lang w:val="fr-CA"/>
        </w:rPr>
        <w:t xml:space="preserve"> </w:t>
      </w:r>
      <w:r w:rsidR="009D6D83" w:rsidRPr="00B3274C">
        <w:rPr>
          <w:lang w:val="fr-CA"/>
        </w:rPr>
        <w:t xml:space="preserve">les principales directions et les principaux objectifs </w:t>
      </w:r>
      <w:r w:rsidR="0060147F" w:rsidRPr="00B3274C">
        <w:rPr>
          <w:lang w:val="fr-CA"/>
        </w:rPr>
        <w:t>en matière d</w:t>
      </w:r>
      <w:r w:rsidR="0080611A">
        <w:rPr>
          <w:lang w:val="fr-CA"/>
        </w:rPr>
        <w:t>’</w:t>
      </w:r>
      <w:r w:rsidR="0060147F" w:rsidRPr="00B3274C">
        <w:rPr>
          <w:lang w:val="fr-CA"/>
        </w:rPr>
        <w:t xml:space="preserve">intégration des migrants. </w:t>
      </w:r>
    </w:p>
    <w:p w:rsidR="00FB23D3" w:rsidRPr="00B3274C" w:rsidRDefault="00107A47" w:rsidP="00107A47">
      <w:pPr>
        <w:pStyle w:val="SingleTxtG"/>
        <w:rPr>
          <w:lang w:val="fr-CA"/>
        </w:rPr>
      </w:pPr>
      <w:r w:rsidRPr="00B3274C">
        <w:rPr>
          <w:lang w:val="fr-CA"/>
        </w:rPr>
        <w:t>26.</w:t>
      </w:r>
      <w:r w:rsidRPr="00B3274C">
        <w:rPr>
          <w:lang w:val="fr-CA"/>
        </w:rPr>
        <w:tab/>
      </w:r>
      <w:r w:rsidR="00E928F8" w:rsidRPr="00B3274C">
        <w:rPr>
          <w:lang w:val="fr-CA"/>
        </w:rPr>
        <w:t>Enfin</w:t>
      </w:r>
      <w:r w:rsidR="0080611A">
        <w:rPr>
          <w:lang w:val="fr-CA"/>
        </w:rPr>
        <w:t>,</w:t>
      </w:r>
      <w:r w:rsidR="00E928F8" w:rsidRPr="00B3274C">
        <w:rPr>
          <w:lang w:val="fr-CA"/>
        </w:rPr>
        <w:t xml:space="preserve"> un certain nombre de mesures ont été récemment mises en œuvre dans le cadre du Programme annuel du Fonds européen d</w:t>
      </w:r>
      <w:r w:rsidR="0080611A">
        <w:rPr>
          <w:lang w:val="fr-CA"/>
        </w:rPr>
        <w:t>’</w:t>
      </w:r>
      <w:r w:rsidR="00E928F8" w:rsidRPr="00B3274C">
        <w:rPr>
          <w:lang w:val="fr-CA"/>
        </w:rPr>
        <w:t xml:space="preserve">intégration pour 2009. </w:t>
      </w:r>
    </w:p>
    <w:p w:rsidR="00FB23D3" w:rsidRPr="00B3274C" w:rsidRDefault="003151A1" w:rsidP="00171CDE">
      <w:pPr>
        <w:pStyle w:val="H23G"/>
        <w:rPr>
          <w:lang w:val="fr-CA"/>
        </w:rPr>
      </w:pPr>
      <w:r w:rsidRPr="00B3274C">
        <w:rPr>
          <w:lang w:val="fr-CA"/>
        </w:rPr>
        <w:tab/>
      </w:r>
      <w:r w:rsidR="00171CDE" w:rsidRPr="00B3274C">
        <w:rPr>
          <w:lang w:val="fr-CA"/>
        </w:rPr>
        <w:t>4.</w:t>
      </w:r>
      <w:r w:rsidRPr="00B3274C">
        <w:rPr>
          <w:lang w:val="fr-CA"/>
        </w:rPr>
        <w:tab/>
      </w:r>
      <w:r w:rsidR="000866F7" w:rsidRPr="00B3274C">
        <w:rPr>
          <w:lang w:val="fr-CA"/>
        </w:rPr>
        <w:t xml:space="preserve">Droits </w:t>
      </w:r>
      <w:r w:rsidR="00614BAC">
        <w:rPr>
          <w:lang w:val="fr-CA"/>
        </w:rPr>
        <w:t>des personnes</w:t>
      </w:r>
      <w:r w:rsidR="000866F7" w:rsidRPr="00B3274C">
        <w:rPr>
          <w:lang w:val="fr-CA"/>
        </w:rPr>
        <w:t xml:space="preserve"> appartenant à des minorités</w:t>
      </w:r>
      <w:r w:rsidR="0055418C" w:rsidRPr="00B3274C">
        <w:rPr>
          <w:lang w:val="fr-CA"/>
        </w:rPr>
        <w:t xml:space="preserve"> </w:t>
      </w:r>
      <w:r w:rsidR="000866F7" w:rsidRPr="00B3274C">
        <w:rPr>
          <w:lang w:val="fr-CA"/>
        </w:rPr>
        <w:t>(par</w:t>
      </w:r>
      <w:r w:rsidRPr="00B3274C">
        <w:rPr>
          <w:lang w:val="fr-CA"/>
        </w:rPr>
        <w:t>. </w:t>
      </w:r>
      <w:r w:rsidR="000866F7" w:rsidRPr="00B3274C">
        <w:rPr>
          <w:lang w:val="fr-CA"/>
        </w:rPr>
        <w:t>10</w:t>
      </w:r>
      <w:r w:rsidR="0080611A">
        <w:rPr>
          <w:lang w:val="fr-CA"/>
        </w:rPr>
        <w:t>,</w:t>
      </w:r>
      <w:r w:rsidR="000866F7" w:rsidRPr="00B3274C">
        <w:rPr>
          <w:lang w:val="fr-CA"/>
        </w:rPr>
        <w:t xml:space="preserve"> 29</w:t>
      </w:r>
      <w:r w:rsidR="0080611A">
        <w:rPr>
          <w:lang w:val="fr-CA"/>
        </w:rPr>
        <w:t>,</w:t>
      </w:r>
      <w:r w:rsidR="000866F7" w:rsidRPr="00B3274C">
        <w:rPr>
          <w:lang w:val="fr-CA"/>
        </w:rPr>
        <w:t xml:space="preserve"> 31 et</w:t>
      </w:r>
      <w:r w:rsidR="00FB23D3" w:rsidRPr="00B3274C">
        <w:rPr>
          <w:lang w:val="fr-CA"/>
        </w:rPr>
        <w:t xml:space="preserve"> 51 </w:t>
      </w:r>
      <w:r w:rsidR="000866F7" w:rsidRPr="00B3274C">
        <w:rPr>
          <w:lang w:val="fr-CA"/>
        </w:rPr>
        <w:t>des observations finales du Comité</w:t>
      </w:r>
      <w:r w:rsidR="00FB23D3" w:rsidRPr="00B3274C">
        <w:rPr>
          <w:lang w:val="fr-CA"/>
        </w:rPr>
        <w:t>)</w:t>
      </w:r>
    </w:p>
    <w:p w:rsidR="00FB23D3" w:rsidRPr="00B3274C" w:rsidRDefault="00107A47" w:rsidP="00107A47">
      <w:pPr>
        <w:pStyle w:val="SingleTxtG"/>
        <w:rPr>
          <w:lang w:val="fr-CA"/>
        </w:rPr>
      </w:pPr>
      <w:r w:rsidRPr="00B3274C">
        <w:rPr>
          <w:lang w:val="fr-CA"/>
        </w:rPr>
        <w:t>27.</w:t>
      </w:r>
      <w:r w:rsidRPr="00B3274C">
        <w:rPr>
          <w:lang w:val="fr-CA"/>
        </w:rPr>
        <w:tab/>
      </w:r>
      <w:r w:rsidR="00783C5B" w:rsidRPr="00B3274C">
        <w:rPr>
          <w:lang w:val="fr-CA"/>
        </w:rPr>
        <w:t xml:space="preserve">La protection des droits </w:t>
      </w:r>
      <w:r w:rsidR="00614BAC">
        <w:rPr>
          <w:lang w:val="fr-CA"/>
        </w:rPr>
        <w:t>des personnes</w:t>
      </w:r>
      <w:r w:rsidR="00783C5B" w:rsidRPr="00B3274C">
        <w:rPr>
          <w:lang w:val="fr-CA"/>
        </w:rPr>
        <w:t xml:space="preserve"> appartenant à des minorités fait partie intégrante de la protection international</w:t>
      </w:r>
      <w:r w:rsidR="0076609F" w:rsidRPr="00B3274C">
        <w:rPr>
          <w:lang w:val="fr-CA"/>
        </w:rPr>
        <w:t>e</w:t>
      </w:r>
      <w:r w:rsidR="00783C5B" w:rsidRPr="00B3274C">
        <w:rPr>
          <w:lang w:val="fr-CA"/>
        </w:rPr>
        <w:t xml:space="preserve"> des droits de l</w:t>
      </w:r>
      <w:r w:rsidR="0080611A">
        <w:rPr>
          <w:lang w:val="fr-CA"/>
        </w:rPr>
        <w:t>’</w:t>
      </w:r>
      <w:r w:rsidR="00783C5B" w:rsidRPr="00B3274C">
        <w:rPr>
          <w:lang w:val="fr-CA"/>
        </w:rPr>
        <w:t>homme.</w:t>
      </w:r>
      <w:r w:rsidR="0055418C" w:rsidRPr="00B3274C">
        <w:rPr>
          <w:lang w:val="fr-CA"/>
        </w:rPr>
        <w:t xml:space="preserve"> </w:t>
      </w:r>
      <w:r w:rsidR="0076609F" w:rsidRPr="00B3274C">
        <w:rPr>
          <w:lang w:val="fr-CA"/>
        </w:rPr>
        <w:t>C</w:t>
      </w:r>
      <w:r w:rsidR="0080611A">
        <w:rPr>
          <w:lang w:val="fr-CA"/>
        </w:rPr>
        <w:t>’</w:t>
      </w:r>
      <w:r w:rsidR="0076609F" w:rsidRPr="00B3274C">
        <w:rPr>
          <w:lang w:val="fr-CA"/>
        </w:rPr>
        <w:t>est pourquoi la législation</w:t>
      </w:r>
      <w:r w:rsidR="0080611A">
        <w:rPr>
          <w:lang w:val="fr-CA"/>
        </w:rPr>
        <w:t>,</w:t>
      </w:r>
      <w:r w:rsidR="0076609F" w:rsidRPr="00B3274C">
        <w:rPr>
          <w:lang w:val="fr-CA"/>
        </w:rPr>
        <w:t xml:space="preserve"> les politiques et la pratique grecques concernant les minorités sont orientées vers l</w:t>
      </w:r>
      <w:r w:rsidR="0080611A">
        <w:rPr>
          <w:lang w:val="fr-CA"/>
        </w:rPr>
        <w:t>’</w:t>
      </w:r>
      <w:r w:rsidR="0076609F" w:rsidRPr="00B3274C">
        <w:rPr>
          <w:lang w:val="fr-CA"/>
        </w:rPr>
        <w:t>application stricte des normes modernes en matière de droits de l</w:t>
      </w:r>
      <w:r w:rsidR="0080611A">
        <w:rPr>
          <w:lang w:val="fr-CA"/>
        </w:rPr>
        <w:t>’</w:t>
      </w:r>
      <w:r w:rsidR="0076609F" w:rsidRPr="00B3274C">
        <w:rPr>
          <w:lang w:val="fr-CA"/>
        </w:rPr>
        <w:t>homme au bénéfice des membres de ces groupes.</w:t>
      </w:r>
      <w:r w:rsidR="00FB23D3" w:rsidRPr="00B3274C">
        <w:rPr>
          <w:lang w:val="fr-CA"/>
        </w:rPr>
        <w:t xml:space="preserve"> </w:t>
      </w:r>
    </w:p>
    <w:p w:rsidR="00FB23D3" w:rsidRPr="00B3274C" w:rsidRDefault="00107A47" w:rsidP="00107A47">
      <w:pPr>
        <w:pStyle w:val="SingleTxtG"/>
        <w:rPr>
          <w:lang w:val="fr-CA"/>
        </w:rPr>
      </w:pPr>
      <w:r w:rsidRPr="00B3274C">
        <w:rPr>
          <w:lang w:val="fr-CA"/>
        </w:rPr>
        <w:t>28.</w:t>
      </w:r>
      <w:r w:rsidRPr="00B3274C">
        <w:rPr>
          <w:lang w:val="fr-CA"/>
        </w:rPr>
        <w:tab/>
      </w:r>
      <w:r w:rsidR="007D6806" w:rsidRPr="00B3274C">
        <w:rPr>
          <w:lang w:val="fr-CA"/>
        </w:rPr>
        <w:t>Dans ce cadre</w:t>
      </w:r>
      <w:r w:rsidR="0080611A">
        <w:rPr>
          <w:lang w:val="fr-CA"/>
        </w:rPr>
        <w:t>,</w:t>
      </w:r>
      <w:r w:rsidR="007D6806" w:rsidRPr="00B3274C">
        <w:rPr>
          <w:lang w:val="fr-CA"/>
        </w:rPr>
        <w:t xml:space="preserve"> toute personne qui revendique l</w:t>
      </w:r>
      <w:r w:rsidR="0080611A">
        <w:rPr>
          <w:lang w:val="fr-CA"/>
        </w:rPr>
        <w:t>’</w:t>
      </w:r>
      <w:r w:rsidR="007D6806" w:rsidRPr="00B3274C">
        <w:rPr>
          <w:lang w:val="fr-CA"/>
        </w:rPr>
        <w:t>appartenance à un groupe ethnique ou culturel donné est libre d</w:t>
      </w:r>
      <w:r w:rsidR="0080611A">
        <w:rPr>
          <w:lang w:val="fr-CA"/>
        </w:rPr>
        <w:t>’</w:t>
      </w:r>
      <w:r w:rsidR="007D6806" w:rsidRPr="00B3274C">
        <w:rPr>
          <w:lang w:val="fr-CA"/>
        </w:rPr>
        <w:t>en faire partie</w:t>
      </w:r>
      <w:r w:rsidR="0080611A">
        <w:rPr>
          <w:lang w:val="fr-CA"/>
        </w:rPr>
        <w:t>,</w:t>
      </w:r>
      <w:r w:rsidR="007D6806" w:rsidRPr="00B3274C">
        <w:rPr>
          <w:lang w:val="fr-CA"/>
        </w:rPr>
        <w:t xml:space="preserve"> sans que ce choix ait pour elle des conséquences négatives.</w:t>
      </w:r>
      <w:r w:rsidR="0055418C" w:rsidRPr="00B3274C">
        <w:rPr>
          <w:lang w:val="fr-CA"/>
        </w:rPr>
        <w:t xml:space="preserve"> </w:t>
      </w:r>
      <w:r w:rsidR="007D6806" w:rsidRPr="00B3274C">
        <w:rPr>
          <w:lang w:val="fr-CA"/>
        </w:rPr>
        <w:t>Toutefois</w:t>
      </w:r>
      <w:r w:rsidR="0080611A">
        <w:rPr>
          <w:lang w:val="fr-CA"/>
        </w:rPr>
        <w:t>,</w:t>
      </w:r>
      <w:r w:rsidR="007D6806" w:rsidRPr="00B3274C">
        <w:rPr>
          <w:lang w:val="fr-CA"/>
        </w:rPr>
        <w:t xml:space="preserve"> de telles re</w:t>
      </w:r>
      <w:r w:rsidR="00FE695C" w:rsidRPr="00B3274C">
        <w:rPr>
          <w:lang w:val="fr-CA"/>
        </w:rPr>
        <w:t>vendications ou façons de voir d</w:t>
      </w:r>
      <w:r w:rsidR="0080611A">
        <w:rPr>
          <w:lang w:val="fr-CA"/>
        </w:rPr>
        <w:t>’</w:t>
      </w:r>
      <w:r w:rsidR="00FE695C" w:rsidRPr="00B3274C">
        <w:rPr>
          <w:lang w:val="fr-CA"/>
        </w:rPr>
        <w:t xml:space="preserve">un petit nombre </w:t>
      </w:r>
      <w:r w:rsidR="00614BAC">
        <w:rPr>
          <w:lang w:val="fr-CA"/>
        </w:rPr>
        <w:t>de personnes</w:t>
      </w:r>
      <w:r w:rsidR="0080611A">
        <w:rPr>
          <w:lang w:val="fr-CA"/>
        </w:rPr>
        <w:t>,</w:t>
      </w:r>
      <w:r w:rsidR="00FE695C" w:rsidRPr="00B3274C">
        <w:rPr>
          <w:lang w:val="fr-CA"/>
        </w:rPr>
        <w:t xml:space="preserve"> qui ne sont pas fondées sur des faits et critères objectifs</w:t>
      </w:r>
      <w:r w:rsidR="0080611A">
        <w:rPr>
          <w:lang w:val="fr-CA"/>
        </w:rPr>
        <w:t>,</w:t>
      </w:r>
      <w:r w:rsidR="00FE695C" w:rsidRPr="00B3274C">
        <w:rPr>
          <w:lang w:val="fr-CA"/>
        </w:rPr>
        <w:t xml:space="preserve"> ne sont pas suffisantes en soi pour qu</w:t>
      </w:r>
      <w:r w:rsidR="0080611A">
        <w:rPr>
          <w:lang w:val="fr-CA"/>
        </w:rPr>
        <w:t>’</w:t>
      </w:r>
      <w:r w:rsidR="00FE695C" w:rsidRPr="00B3274C">
        <w:rPr>
          <w:lang w:val="fr-CA"/>
        </w:rPr>
        <w:t>un État ait l</w:t>
      </w:r>
      <w:r w:rsidR="0080611A">
        <w:rPr>
          <w:lang w:val="fr-CA"/>
        </w:rPr>
        <w:t>’</w:t>
      </w:r>
      <w:r w:rsidR="00FE695C" w:rsidRPr="00B3274C">
        <w:rPr>
          <w:lang w:val="fr-CA"/>
        </w:rPr>
        <w:t>obligation de reconnaître officiellement un groupe en tant que minorité et accorde à ses membres des droits</w:t>
      </w:r>
      <w:r w:rsidR="0055418C" w:rsidRPr="00B3274C">
        <w:rPr>
          <w:lang w:val="fr-CA"/>
        </w:rPr>
        <w:t xml:space="preserve"> </w:t>
      </w:r>
      <w:r w:rsidR="00FE695C" w:rsidRPr="00B3274C">
        <w:rPr>
          <w:lang w:val="fr-CA"/>
        </w:rPr>
        <w:t>particuliers autres que ceux qui sont garantis par les instruments relatifs aux droits de l</w:t>
      </w:r>
      <w:r w:rsidR="0080611A">
        <w:rPr>
          <w:lang w:val="fr-CA"/>
        </w:rPr>
        <w:t>’</w:t>
      </w:r>
      <w:r w:rsidR="00FE695C" w:rsidRPr="00B3274C">
        <w:rPr>
          <w:lang w:val="fr-CA"/>
        </w:rPr>
        <w:t xml:space="preserve">homme. Cette position est pleinement </w:t>
      </w:r>
      <w:r w:rsidR="00E51F00" w:rsidRPr="00B3274C">
        <w:rPr>
          <w:lang w:val="fr-CA"/>
        </w:rPr>
        <w:t>conforme à l</w:t>
      </w:r>
      <w:r w:rsidR="0080611A">
        <w:rPr>
          <w:lang w:val="fr-CA"/>
        </w:rPr>
        <w:t>’</w:t>
      </w:r>
      <w:r w:rsidR="00E51F00" w:rsidRPr="00B3274C">
        <w:rPr>
          <w:lang w:val="fr-CA"/>
        </w:rPr>
        <w:t>approche adoptée dans les instruments modernes relatifs à la protection des minorités</w:t>
      </w:r>
      <w:r w:rsidR="0080611A">
        <w:rPr>
          <w:lang w:val="fr-CA"/>
        </w:rPr>
        <w:t>,</w:t>
      </w:r>
      <w:r w:rsidR="00E51F00" w:rsidRPr="00B3274C">
        <w:rPr>
          <w:lang w:val="fr-CA"/>
        </w:rPr>
        <w:t xml:space="preserve"> selon laquelle le choix subjectif d</w:t>
      </w:r>
      <w:r w:rsidR="0080611A">
        <w:rPr>
          <w:lang w:val="fr-CA"/>
        </w:rPr>
        <w:t>’</w:t>
      </w:r>
      <w:r w:rsidR="00E51F00" w:rsidRPr="00B3274C">
        <w:rPr>
          <w:lang w:val="fr-CA"/>
        </w:rPr>
        <w:t>une personne est inséparablement lié à des critères objectifs se rapportant à l</w:t>
      </w:r>
      <w:r w:rsidR="0080611A">
        <w:rPr>
          <w:lang w:val="fr-CA"/>
        </w:rPr>
        <w:t>’</w:t>
      </w:r>
      <w:r w:rsidR="00E51F00" w:rsidRPr="00B3274C">
        <w:rPr>
          <w:lang w:val="fr-CA"/>
        </w:rPr>
        <w:t xml:space="preserve">identité de </w:t>
      </w:r>
      <w:r w:rsidR="00721C3D" w:rsidRPr="00B3274C">
        <w:rPr>
          <w:lang w:val="fr-CA"/>
        </w:rPr>
        <w:t>celle-ci</w:t>
      </w:r>
      <w:r w:rsidR="00E51F00" w:rsidRPr="00B3274C">
        <w:rPr>
          <w:lang w:val="fr-CA"/>
        </w:rPr>
        <w:t>.</w:t>
      </w:r>
      <w:r w:rsidR="005F4F62" w:rsidRPr="00B3274C">
        <w:rPr>
          <w:lang w:val="fr-CA"/>
        </w:rPr>
        <w:t xml:space="preserve"> Par ailleurs</w:t>
      </w:r>
      <w:r w:rsidR="0080611A">
        <w:rPr>
          <w:lang w:val="fr-CA"/>
        </w:rPr>
        <w:t>,</w:t>
      </w:r>
      <w:r w:rsidR="005F4F62" w:rsidRPr="00B3274C">
        <w:rPr>
          <w:lang w:val="fr-CA"/>
        </w:rPr>
        <w:t xml:space="preserve"> selon ces mêmes textes</w:t>
      </w:r>
      <w:r w:rsidR="0080611A">
        <w:rPr>
          <w:lang w:val="fr-CA"/>
        </w:rPr>
        <w:t>,</w:t>
      </w:r>
      <w:r w:rsidR="005F4F62" w:rsidRPr="00B3274C">
        <w:rPr>
          <w:lang w:val="fr-CA"/>
        </w:rPr>
        <w:t xml:space="preserve"> toutes les différences ethniques</w:t>
      </w:r>
      <w:r w:rsidR="0080611A">
        <w:rPr>
          <w:lang w:val="fr-CA"/>
        </w:rPr>
        <w:t>,</w:t>
      </w:r>
      <w:r w:rsidR="005F4F62" w:rsidRPr="00B3274C">
        <w:rPr>
          <w:lang w:val="fr-CA"/>
        </w:rPr>
        <w:t xml:space="preserve"> culturelles</w:t>
      </w:r>
      <w:r w:rsidR="0080611A">
        <w:rPr>
          <w:lang w:val="fr-CA"/>
        </w:rPr>
        <w:t>,</w:t>
      </w:r>
      <w:r w:rsidR="005F4F62" w:rsidRPr="00B3274C">
        <w:rPr>
          <w:lang w:val="fr-CA"/>
        </w:rPr>
        <w:t xml:space="preserve"> linguistiques ou religieuses ne conduisent pas </w:t>
      </w:r>
      <w:r w:rsidR="00A1664C" w:rsidRPr="00B3274C">
        <w:rPr>
          <w:lang w:val="fr-CA"/>
        </w:rPr>
        <w:t xml:space="preserve">nécessairement </w:t>
      </w:r>
      <w:r w:rsidR="005F4F62" w:rsidRPr="00B3274C">
        <w:rPr>
          <w:lang w:val="fr-CA"/>
        </w:rPr>
        <w:t xml:space="preserve">à la création de minorités nationales </w:t>
      </w:r>
      <w:r w:rsidR="009A57CE" w:rsidRPr="00B3274C">
        <w:rPr>
          <w:lang w:val="fr-CA"/>
        </w:rPr>
        <w:t xml:space="preserve">ou </w:t>
      </w:r>
      <w:r w:rsidR="005F4F62" w:rsidRPr="00B3274C">
        <w:rPr>
          <w:lang w:val="fr-CA"/>
        </w:rPr>
        <w:t xml:space="preserve">ethniques (ces principes </w:t>
      </w:r>
      <w:r w:rsidR="00A8462B" w:rsidRPr="00B3274C">
        <w:rPr>
          <w:lang w:val="fr-CA"/>
        </w:rPr>
        <w:t>transparaissent clairement</w:t>
      </w:r>
      <w:r w:rsidR="005F4F62" w:rsidRPr="00B3274C">
        <w:rPr>
          <w:lang w:val="fr-CA"/>
        </w:rPr>
        <w:t xml:space="preserve"> dans la </w:t>
      </w:r>
      <w:r w:rsidR="005F4F62" w:rsidRPr="00B3274C">
        <w:rPr>
          <w:color w:val="000000"/>
          <w:lang w:val="fr-CA"/>
        </w:rPr>
        <w:t>Convention-cadre pour la protection des minorités nationales du Conseil de l</w:t>
      </w:r>
      <w:r w:rsidR="0080611A">
        <w:rPr>
          <w:color w:val="000000"/>
          <w:lang w:val="fr-CA"/>
        </w:rPr>
        <w:t>’</w:t>
      </w:r>
      <w:r w:rsidR="005F4F62" w:rsidRPr="00B3274C">
        <w:rPr>
          <w:color w:val="000000"/>
          <w:lang w:val="fr-CA"/>
        </w:rPr>
        <w:t>Europe</w:t>
      </w:r>
      <w:r w:rsidR="00A8462B" w:rsidRPr="00B3274C">
        <w:rPr>
          <w:lang w:val="fr-CA"/>
        </w:rPr>
        <w:t>)</w:t>
      </w:r>
      <w:r w:rsidR="00FB23D3" w:rsidRPr="00B3274C">
        <w:rPr>
          <w:lang w:val="fr-CA"/>
        </w:rPr>
        <w:t>.</w:t>
      </w:r>
    </w:p>
    <w:p w:rsidR="00FB23D3" w:rsidRPr="00B3274C" w:rsidRDefault="00107A47" w:rsidP="00107A47">
      <w:pPr>
        <w:pStyle w:val="SingleTxtG"/>
        <w:rPr>
          <w:lang w:val="fr-CA"/>
        </w:rPr>
      </w:pPr>
      <w:r w:rsidRPr="00B3274C">
        <w:rPr>
          <w:lang w:val="fr-CA"/>
        </w:rPr>
        <w:t>29.</w:t>
      </w:r>
      <w:r w:rsidRPr="00B3274C">
        <w:rPr>
          <w:lang w:val="fr-CA"/>
        </w:rPr>
        <w:tab/>
      </w:r>
      <w:r w:rsidR="00A8462B" w:rsidRPr="00B3274C">
        <w:rPr>
          <w:lang w:val="fr-CA"/>
        </w:rPr>
        <w:t>La Grèce a déclaré à plusieurs reprises qu</w:t>
      </w:r>
      <w:r w:rsidR="0080611A">
        <w:rPr>
          <w:lang w:val="fr-CA"/>
        </w:rPr>
        <w:t>’</w:t>
      </w:r>
      <w:r w:rsidR="00A8462B" w:rsidRPr="00B3274C">
        <w:rPr>
          <w:lang w:val="fr-CA"/>
        </w:rPr>
        <w:t>elle ne reconnaissait officiellement l</w:t>
      </w:r>
      <w:r w:rsidR="0080611A">
        <w:rPr>
          <w:lang w:val="fr-CA"/>
        </w:rPr>
        <w:t>’</w:t>
      </w:r>
      <w:r w:rsidR="00A8462B" w:rsidRPr="00B3274C">
        <w:rPr>
          <w:lang w:val="fr-CA"/>
        </w:rPr>
        <w:t>existence que d</w:t>
      </w:r>
      <w:r w:rsidR="0080611A">
        <w:rPr>
          <w:lang w:val="fr-CA"/>
        </w:rPr>
        <w:t>’</w:t>
      </w:r>
      <w:r w:rsidR="00A8462B" w:rsidRPr="00B3274C">
        <w:rPr>
          <w:lang w:val="fr-CA"/>
        </w:rPr>
        <w:t>une seule minorité</w:t>
      </w:r>
      <w:r w:rsidR="0080611A">
        <w:rPr>
          <w:lang w:val="fr-CA"/>
        </w:rPr>
        <w:t>,</w:t>
      </w:r>
      <w:r w:rsidR="00A8462B" w:rsidRPr="00B3274C">
        <w:rPr>
          <w:lang w:val="fr-CA"/>
        </w:rPr>
        <w:t xml:space="preserve"> la minorité musulmane en Thrace. </w:t>
      </w:r>
      <w:r w:rsidR="007012CE" w:rsidRPr="00B3274C">
        <w:rPr>
          <w:color w:val="000000"/>
          <w:lang w:val="fr-CA"/>
        </w:rPr>
        <w:t>Outre qu</w:t>
      </w:r>
      <w:r w:rsidR="0080611A">
        <w:rPr>
          <w:color w:val="000000"/>
          <w:lang w:val="fr-CA"/>
        </w:rPr>
        <w:t>’</w:t>
      </w:r>
      <w:r w:rsidR="007012CE" w:rsidRPr="00B3274C">
        <w:rPr>
          <w:color w:val="000000"/>
          <w:lang w:val="fr-CA"/>
        </w:rPr>
        <w:t>elles sont en parfaite conformité avec les dispositions pertinentes du Traité de Lausanne de 1923</w:t>
      </w:r>
      <w:r w:rsidR="0080611A">
        <w:rPr>
          <w:color w:val="000000"/>
          <w:lang w:val="fr-CA"/>
        </w:rPr>
        <w:t>,</w:t>
      </w:r>
      <w:r w:rsidR="007012CE" w:rsidRPr="00B3274C">
        <w:rPr>
          <w:color w:val="000000"/>
          <w:lang w:val="fr-CA"/>
        </w:rPr>
        <w:t xml:space="preserve"> la politique et la législation grecques reprennent et appliquent les normes et principes actuels en matière de droits de l</w:t>
      </w:r>
      <w:r w:rsidR="0080611A">
        <w:rPr>
          <w:color w:val="000000"/>
          <w:lang w:val="fr-CA"/>
        </w:rPr>
        <w:t>’</w:t>
      </w:r>
      <w:r w:rsidR="007012CE" w:rsidRPr="00B3274C">
        <w:rPr>
          <w:color w:val="000000"/>
          <w:lang w:val="fr-CA"/>
        </w:rPr>
        <w:t>homme ainsi que l</w:t>
      </w:r>
      <w:r w:rsidR="0080611A">
        <w:rPr>
          <w:color w:val="000000"/>
          <w:lang w:val="fr-CA"/>
        </w:rPr>
        <w:t>’</w:t>
      </w:r>
      <w:r w:rsidR="007012CE" w:rsidRPr="00B3274C">
        <w:rPr>
          <w:color w:val="000000"/>
          <w:lang w:val="fr-CA"/>
        </w:rPr>
        <w:t>acquis communautaire</w:t>
      </w:r>
      <w:r w:rsidR="0080611A">
        <w:rPr>
          <w:color w:val="000000"/>
          <w:lang w:val="fr-CA"/>
        </w:rPr>
        <w:t>,</w:t>
      </w:r>
      <w:r w:rsidR="007012CE" w:rsidRPr="00B3274C">
        <w:rPr>
          <w:color w:val="000000"/>
          <w:lang w:val="fr-CA"/>
        </w:rPr>
        <w:t xml:space="preserve"> afin d</w:t>
      </w:r>
      <w:r w:rsidR="0080611A">
        <w:rPr>
          <w:color w:val="000000"/>
          <w:lang w:val="fr-CA"/>
        </w:rPr>
        <w:t>’</w:t>
      </w:r>
      <w:r w:rsidR="007012CE" w:rsidRPr="00B3274C">
        <w:rPr>
          <w:color w:val="000000"/>
          <w:lang w:val="fr-CA"/>
        </w:rPr>
        <w:t>améliorer les conditions de vie des membres de cette minorité et de faciliter leur intégration sans heurt</w:t>
      </w:r>
      <w:r w:rsidR="005E7F5B" w:rsidRPr="00B3274C">
        <w:rPr>
          <w:color w:val="000000"/>
          <w:lang w:val="fr-CA"/>
        </w:rPr>
        <w:t>s</w:t>
      </w:r>
      <w:r w:rsidR="007012CE" w:rsidRPr="00B3274C">
        <w:rPr>
          <w:color w:val="000000"/>
          <w:lang w:val="fr-CA"/>
        </w:rPr>
        <w:t xml:space="preserve"> dans tous les aspects de la vie de la société</w:t>
      </w:r>
      <w:r w:rsidR="0080611A">
        <w:rPr>
          <w:color w:val="000000"/>
          <w:lang w:val="fr-CA"/>
        </w:rPr>
        <w:t>,</w:t>
      </w:r>
      <w:r w:rsidR="007012CE" w:rsidRPr="00B3274C">
        <w:rPr>
          <w:color w:val="000000"/>
          <w:lang w:val="fr-CA"/>
        </w:rPr>
        <w:t xml:space="preserve"> au niveau tant local que national.</w:t>
      </w:r>
      <w:r w:rsidR="007012CE" w:rsidRPr="00B3274C">
        <w:rPr>
          <w:lang w:val="fr-CA"/>
        </w:rPr>
        <w:t xml:space="preserve"> D</w:t>
      </w:r>
      <w:r w:rsidR="0080611A">
        <w:rPr>
          <w:lang w:val="fr-CA"/>
        </w:rPr>
        <w:t>’</w:t>
      </w:r>
      <w:r w:rsidR="007012CE" w:rsidRPr="00B3274C">
        <w:rPr>
          <w:lang w:val="fr-CA"/>
        </w:rPr>
        <w:t>autres groupes vivant sur le territoire grec n</w:t>
      </w:r>
      <w:r w:rsidR="0080611A">
        <w:rPr>
          <w:lang w:val="fr-CA"/>
        </w:rPr>
        <w:t>’</w:t>
      </w:r>
      <w:r w:rsidR="007012CE" w:rsidRPr="00B3274C">
        <w:rPr>
          <w:lang w:val="fr-CA"/>
        </w:rPr>
        <w:t xml:space="preserve">ont pas été identifiés comme étant des </w:t>
      </w:r>
      <w:r w:rsidR="0055418C" w:rsidRPr="00B3274C">
        <w:rPr>
          <w:lang w:val="fr-CA"/>
        </w:rPr>
        <w:t>«</w:t>
      </w:r>
      <w:r w:rsidR="007012CE" w:rsidRPr="00B3274C">
        <w:rPr>
          <w:lang w:val="fr-CA"/>
        </w:rPr>
        <w:t>minorités</w:t>
      </w:r>
      <w:r w:rsidR="0055418C" w:rsidRPr="00B3274C">
        <w:rPr>
          <w:lang w:val="fr-CA"/>
        </w:rPr>
        <w:t>»</w:t>
      </w:r>
      <w:r w:rsidR="007012CE" w:rsidRPr="00B3274C">
        <w:rPr>
          <w:lang w:val="fr-CA"/>
        </w:rPr>
        <w:t xml:space="preserve"> car ils ne </w:t>
      </w:r>
      <w:r w:rsidR="00C6153C" w:rsidRPr="00B3274C">
        <w:rPr>
          <w:lang w:val="fr-CA"/>
        </w:rPr>
        <w:t>remplissent</w:t>
      </w:r>
      <w:r w:rsidR="007012CE" w:rsidRPr="00B3274C">
        <w:rPr>
          <w:lang w:val="fr-CA"/>
        </w:rPr>
        <w:t xml:space="preserve"> pas </w:t>
      </w:r>
      <w:r w:rsidR="00C6153C" w:rsidRPr="00B3274C">
        <w:rPr>
          <w:lang w:val="fr-CA"/>
        </w:rPr>
        <w:t>les</w:t>
      </w:r>
      <w:r w:rsidR="007012CE" w:rsidRPr="00B3274C">
        <w:rPr>
          <w:lang w:val="fr-CA"/>
        </w:rPr>
        <w:t xml:space="preserve"> critères objectifs </w:t>
      </w:r>
      <w:r w:rsidR="00790005" w:rsidRPr="00B3274C">
        <w:rPr>
          <w:lang w:val="fr-CA"/>
        </w:rPr>
        <w:t>définis</w:t>
      </w:r>
      <w:r w:rsidR="007012CE" w:rsidRPr="00B3274C">
        <w:rPr>
          <w:lang w:val="fr-CA"/>
        </w:rPr>
        <w:t xml:space="preserve"> </w:t>
      </w:r>
      <w:r w:rsidR="00790005" w:rsidRPr="00B3274C">
        <w:rPr>
          <w:lang w:val="fr-CA"/>
        </w:rPr>
        <w:t xml:space="preserve">par </w:t>
      </w:r>
      <w:r w:rsidR="007012CE" w:rsidRPr="00B3274C">
        <w:rPr>
          <w:lang w:val="fr-CA"/>
        </w:rPr>
        <w:t xml:space="preserve">le droit international </w:t>
      </w:r>
      <w:r w:rsidR="000B45F9" w:rsidRPr="00B3274C">
        <w:rPr>
          <w:lang w:val="fr-CA"/>
        </w:rPr>
        <w:t>à cet égard</w:t>
      </w:r>
      <w:r w:rsidR="007012CE" w:rsidRPr="00B3274C">
        <w:rPr>
          <w:lang w:val="fr-CA"/>
        </w:rPr>
        <w:t xml:space="preserve">. </w:t>
      </w:r>
      <w:r w:rsidR="00C6153C" w:rsidRPr="00B3274C">
        <w:rPr>
          <w:lang w:val="fr-CA"/>
        </w:rPr>
        <w:t>Toutefois</w:t>
      </w:r>
      <w:r w:rsidR="0080611A">
        <w:rPr>
          <w:lang w:val="fr-CA"/>
        </w:rPr>
        <w:t>,</w:t>
      </w:r>
      <w:r w:rsidR="00C6153C" w:rsidRPr="00B3274C">
        <w:rPr>
          <w:lang w:val="fr-CA"/>
        </w:rPr>
        <w:t xml:space="preserve"> </w:t>
      </w:r>
      <w:r w:rsidR="00614BAC">
        <w:rPr>
          <w:lang w:val="fr-CA"/>
        </w:rPr>
        <w:t>les personnes</w:t>
      </w:r>
      <w:r w:rsidR="00C6153C" w:rsidRPr="00B3274C">
        <w:rPr>
          <w:lang w:val="fr-CA"/>
        </w:rPr>
        <w:t xml:space="preserve"> appartenant à ces groupes jouissent pleinement des droits économiques</w:t>
      </w:r>
      <w:r w:rsidR="0080611A">
        <w:rPr>
          <w:lang w:val="fr-CA"/>
        </w:rPr>
        <w:t>,</w:t>
      </w:r>
      <w:r w:rsidR="00C6153C" w:rsidRPr="00B3274C">
        <w:rPr>
          <w:lang w:val="fr-CA"/>
        </w:rPr>
        <w:t xml:space="preserve"> sociaux et culturels reconnus à</w:t>
      </w:r>
      <w:r w:rsidR="00605B50" w:rsidRPr="00B3274C">
        <w:rPr>
          <w:lang w:val="fr-CA"/>
        </w:rPr>
        <w:t xml:space="preserve"> tous ceux qui vivent </w:t>
      </w:r>
      <w:r w:rsidR="00C6153C" w:rsidRPr="00B3274C">
        <w:rPr>
          <w:lang w:val="fr-CA"/>
        </w:rPr>
        <w:t>dans le pays</w:t>
      </w:r>
      <w:r w:rsidR="0080611A">
        <w:rPr>
          <w:lang w:val="fr-CA"/>
        </w:rPr>
        <w:t>,</w:t>
      </w:r>
      <w:r w:rsidR="00C6153C" w:rsidRPr="00B3274C">
        <w:rPr>
          <w:lang w:val="fr-CA"/>
        </w:rPr>
        <w:t xml:space="preserve"> que le statut de </w:t>
      </w:r>
      <w:r w:rsidR="0055418C" w:rsidRPr="00B3274C">
        <w:rPr>
          <w:lang w:val="fr-CA"/>
        </w:rPr>
        <w:t>«</w:t>
      </w:r>
      <w:r w:rsidR="00C6153C" w:rsidRPr="00B3274C">
        <w:rPr>
          <w:lang w:val="fr-CA"/>
        </w:rPr>
        <w:t>minorité</w:t>
      </w:r>
      <w:r w:rsidR="0055418C" w:rsidRPr="00B3274C">
        <w:rPr>
          <w:lang w:val="fr-CA"/>
        </w:rPr>
        <w:t>»</w:t>
      </w:r>
      <w:r w:rsidR="00C6153C" w:rsidRPr="00B3274C">
        <w:rPr>
          <w:lang w:val="fr-CA"/>
        </w:rPr>
        <w:t xml:space="preserve"> ait été ou non accordé</w:t>
      </w:r>
      <w:r w:rsidR="00605B50" w:rsidRPr="00B3274C">
        <w:rPr>
          <w:lang w:val="fr-CA"/>
        </w:rPr>
        <w:t xml:space="preserve"> au groupe dont elles font partie</w:t>
      </w:r>
      <w:r w:rsidR="00C6153C" w:rsidRPr="00B3274C">
        <w:rPr>
          <w:lang w:val="fr-CA"/>
        </w:rPr>
        <w:t xml:space="preserve">. </w:t>
      </w:r>
    </w:p>
    <w:p w:rsidR="00FB23D3" w:rsidRPr="00B3274C" w:rsidRDefault="00107A47" w:rsidP="00107A47">
      <w:pPr>
        <w:pStyle w:val="SingleTxtG"/>
        <w:rPr>
          <w:lang w:val="fr-CA"/>
        </w:rPr>
      </w:pPr>
      <w:r w:rsidRPr="00B3274C">
        <w:rPr>
          <w:lang w:val="fr-CA"/>
        </w:rPr>
        <w:t>30.</w:t>
      </w:r>
      <w:r w:rsidRPr="00B3274C">
        <w:rPr>
          <w:lang w:val="fr-CA"/>
        </w:rPr>
        <w:tab/>
      </w:r>
      <w:r w:rsidR="00605B50" w:rsidRPr="00B3274C">
        <w:rPr>
          <w:lang w:val="fr-CA"/>
        </w:rPr>
        <w:t>La Grèce reconnaît que la Convention-cadre pour la protection des minorités nationales du Conseil de l</w:t>
      </w:r>
      <w:r w:rsidR="0080611A">
        <w:rPr>
          <w:lang w:val="fr-CA"/>
        </w:rPr>
        <w:t>’</w:t>
      </w:r>
      <w:r w:rsidR="00605B50" w:rsidRPr="00B3274C">
        <w:rPr>
          <w:lang w:val="fr-CA"/>
        </w:rPr>
        <w:t>Europe s</w:t>
      </w:r>
      <w:r w:rsidR="0080611A">
        <w:rPr>
          <w:lang w:val="fr-CA"/>
        </w:rPr>
        <w:t>’</w:t>
      </w:r>
      <w:r w:rsidR="00605B50" w:rsidRPr="00B3274C">
        <w:rPr>
          <w:lang w:val="fr-CA"/>
        </w:rPr>
        <w:t>est révélé</w:t>
      </w:r>
      <w:r w:rsidR="00192599" w:rsidRPr="00B3274C">
        <w:rPr>
          <w:lang w:val="fr-CA"/>
        </w:rPr>
        <w:t>e</w:t>
      </w:r>
      <w:r w:rsidR="00605B50" w:rsidRPr="00B3274C">
        <w:rPr>
          <w:lang w:val="fr-CA"/>
        </w:rPr>
        <w:t xml:space="preserve"> être un outil extrêmement utile</w:t>
      </w:r>
      <w:r w:rsidR="00812FA6" w:rsidRPr="00B3274C">
        <w:rPr>
          <w:lang w:val="fr-CA"/>
        </w:rPr>
        <w:t xml:space="preserve"> pour les États membres du Conseil de l</w:t>
      </w:r>
      <w:r w:rsidR="0080611A">
        <w:rPr>
          <w:lang w:val="fr-CA"/>
        </w:rPr>
        <w:t>’</w:t>
      </w:r>
      <w:r w:rsidR="00812FA6" w:rsidRPr="00B3274C">
        <w:rPr>
          <w:lang w:val="fr-CA"/>
        </w:rPr>
        <w:t>Europe dans les efforts qu</w:t>
      </w:r>
      <w:r w:rsidR="0080611A">
        <w:rPr>
          <w:lang w:val="fr-CA"/>
        </w:rPr>
        <w:t>’</w:t>
      </w:r>
      <w:r w:rsidR="00812FA6" w:rsidRPr="00B3274C">
        <w:rPr>
          <w:lang w:val="fr-CA"/>
        </w:rPr>
        <w:t xml:space="preserve">ils déploient pour garantir la protection et la promotion des droits </w:t>
      </w:r>
      <w:r w:rsidR="00614BAC">
        <w:rPr>
          <w:lang w:val="fr-CA"/>
        </w:rPr>
        <w:t>des personnes</w:t>
      </w:r>
      <w:r w:rsidR="00812FA6" w:rsidRPr="00B3274C">
        <w:rPr>
          <w:lang w:val="fr-CA"/>
        </w:rPr>
        <w:t xml:space="preserve"> appartenant à des minorités. Elle a été ratifiée par la grande majorité des États membres du Conseil de l</w:t>
      </w:r>
      <w:r w:rsidR="0080611A">
        <w:rPr>
          <w:lang w:val="fr-CA"/>
        </w:rPr>
        <w:t>’</w:t>
      </w:r>
      <w:r w:rsidR="00812FA6" w:rsidRPr="00B3274C">
        <w:rPr>
          <w:lang w:val="fr-CA"/>
        </w:rPr>
        <w:t xml:space="preserve">Europe (39 sur 47). </w:t>
      </w:r>
      <w:r w:rsidR="00614BAC">
        <w:rPr>
          <w:lang w:val="fr-CA"/>
        </w:rPr>
        <w:t>Il </w:t>
      </w:r>
      <w:r w:rsidR="00812FA6" w:rsidRPr="00B3274C">
        <w:rPr>
          <w:lang w:val="fr-CA"/>
        </w:rPr>
        <w:t>convient</w:t>
      </w:r>
      <w:r w:rsidR="0080611A">
        <w:rPr>
          <w:lang w:val="fr-CA"/>
        </w:rPr>
        <w:t>,</w:t>
      </w:r>
      <w:r w:rsidR="00812FA6" w:rsidRPr="00B3274C">
        <w:rPr>
          <w:lang w:val="fr-CA"/>
        </w:rPr>
        <w:t xml:space="preserve"> toutefois</w:t>
      </w:r>
      <w:r w:rsidR="0080611A">
        <w:rPr>
          <w:lang w:val="fr-CA"/>
        </w:rPr>
        <w:t>,</w:t>
      </w:r>
      <w:r w:rsidR="00812FA6" w:rsidRPr="00B3274C">
        <w:rPr>
          <w:lang w:val="fr-CA"/>
        </w:rPr>
        <w:t xml:space="preserve"> de noter que les États ont à leur disposition un large éventail de moyens pour garantir la protection des droits </w:t>
      </w:r>
      <w:r w:rsidR="00614BAC">
        <w:rPr>
          <w:lang w:val="fr-CA"/>
        </w:rPr>
        <w:t>des personnes</w:t>
      </w:r>
      <w:r w:rsidR="00812FA6" w:rsidRPr="00B3274C">
        <w:rPr>
          <w:lang w:val="fr-CA"/>
        </w:rPr>
        <w:t xml:space="preserve"> appartenant à des groupes minoritaires. L</w:t>
      </w:r>
      <w:r w:rsidR="0080611A">
        <w:rPr>
          <w:lang w:val="fr-CA"/>
        </w:rPr>
        <w:t>’</w:t>
      </w:r>
      <w:r w:rsidR="00812FA6" w:rsidRPr="00B3274C">
        <w:rPr>
          <w:lang w:val="fr-CA"/>
        </w:rPr>
        <w:t>application des instruments relatifs aux droits des minorités nécessite des évaluations et des choix juridiques et politiques quant aux formes et modalités que cette application devrait prendre</w:t>
      </w:r>
      <w:r w:rsidR="0080611A">
        <w:rPr>
          <w:lang w:val="fr-CA"/>
        </w:rPr>
        <w:t>,</w:t>
      </w:r>
      <w:r w:rsidR="00812FA6" w:rsidRPr="00B3274C">
        <w:rPr>
          <w:lang w:val="fr-CA"/>
        </w:rPr>
        <w:t xml:space="preserve"> suivant les circonstances particulières propres à chaque pays. </w:t>
      </w:r>
      <w:r w:rsidR="00BA0FAE" w:rsidRPr="00B3274C">
        <w:rPr>
          <w:lang w:val="fr-CA"/>
        </w:rPr>
        <w:t>La Grèce estime que la non-ratification de la Convention-cadre n</w:t>
      </w:r>
      <w:r w:rsidR="0080611A">
        <w:rPr>
          <w:lang w:val="fr-CA"/>
        </w:rPr>
        <w:t>’</w:t>
      </w:r>
      <w:r w:rsidR="00BA0FAE" w:rsidRPr="00B3274C">
        <w:rPr>
          <w:lang w:val="fr-CA"/>
        </w:rPr>
        <w:t xml:space="preserve">a pas entraîné de </w:t>
      </w:r>
      <w:r w:rsidR="0055418C" w:rsidRPr="00B3274C">
        <w:rPr>
          <w:lang w:val="fr-CA"/>
        </w:rPr>
        <w:t>«</w:t>
      </w:r>
      <w:r w:rsidR="00BA0FAE" w:rsidRPr="00B3274C">
        <w:rPr>
          <w:lang w:val="fr-CA"/>
        </w:rPr>
        <w:t>faille de protection</w:t>
      </w:r>
      <w:r w:rsidR="0055418C" w:rsidRPr="00B3274C">
        <w:rPr>
          <w:lang w:val="fr-CA"/>
        </w:rPr>
        <w:t>»</w:t>
      </w:r>
      <w:r w:rsidR="00BA0FAE" w:rsidRPr="00B3274C">
        <w:rPr>
          <w:lang w:val="fr-CA"/>
        </w:rPr>
        <w:t xml:space="preserve"> dans le domaine de l</w:t>
      </w:r>
      <w:r w:rsidR="0080611A">
        <w:rPr>
          <w:lang w:val="fr-CA"/>
        </w:rPr>
        <w:t>’</w:t>
      </w:r>
      <w:r w:rsidR="00BA0FAE" w:rsidRPr="00B3274C">
        <w:rPr>
          <w:lang w:val="fr-CA"/>
        </w:rPr>
        <w:t>application du Pacte international relatif aux droits économiques</w:t>
      </w:r>
      <w:r w:rsidR="0080611A">
        <w:rPr>
          <w:lang w:val="fr-CA"/>
        </w:rPr>
        <w:t>,</w:t>
      </w:r>
      <w:r w:rsidR="00BA0FAE" w:rsidRPr="00B3274C">
        <w:rPr>
          <w:lang w:val="fr-CA"/>
        </w:rPr>
        <w:t xml:space="preserve"> sociaux et culturels et n</w:t>
      </w:r>
      <w:r w:rsidR="0080611A">
        <w:rPr>
          <w:lang w:val="fr-CA"/>
        </w:rPr>
        <w:t>’</w:t>
      </w:r>
      <w:r w:rsidR="00BA0FAE" w:rsidRPr="00B3274C">
        <w:rPr>
          <w:lang w:val="fr-CA"/>
        </w:rPr>
        <w:t xml:space="preserve">a pas non plus empêché les citoyens Grecs de jouir pleinement de tous les droits consacrés par le Pacte. </w:t>
      </w:r>
    </w:p>
    <w:p w:rsidR="00FB23D3" w:rsidRPr="00B3274C" w:rsidRDefault="003151A1" w:rsidP="00B603CF">
      <w:pPr>
        <w:pStyle w:val="H23G"/>
        <w:rPr>
          <w:lang w:val="fr-CA"/>
        </w:rPr>
      </w:pPr>
      <w:r w:rsidRPr="00B3274C">
        <w:rPr>
          <w:lang w:val="fr-CA"/>
        </w:rPr>
        <w:tab/>
      </w:r>
      <w:r w:rsidR="00B603CF" w:rsidRPr="00B3274C">
        <w:rPr>
          <w:lang w:val="fr-CA"/>
        </w:rPr>
        <w:t>5.</w:t>
      </w:r>
      <w:r w:rsidRPr="00B3274C">
        <w:rPr>
          <w:lang w:val="fr-CA"/>
        </w:rPr>
        <w:tab/>
      </w:r>
      <w:r w:rsidR="00520369" w:rsidRPr="00B3274C">
        <w:rPr>
          <w:lang w:val="fr-CA"/>
        </w:rPr>
        <w:t>Coopération en faveur du développement</w:t>
      </w:r>
    </w:p>
    <w:p w:rsidR="00FB23D3" w:rsidRPr="00B3274C" w:rsidRDefault="00107A47" w:rsidP="00107A47">
      <w:pPr>
        <w:pStyle w:val="SingleTxtG"/>
        <w:rPr>
          <w:lang w:val="fr-CA"/>
        </w:rPr>
      </w:pPr>
      <w:r w:rsidRPr="00B3274C">
        <w:rPr>
          <w:lang w:val="fr-CA"/>
        </w:rPr>
        <w:t>31.</w:t>
      </w:r>
      <w:r w:rsidRPr="00B3274C">
        <w:rPr>
          <w:lang w:val="fr-CA"/>
        </w:rPr>
        <w:tab/>
      </w:r>
      <w:r w:rsidR="00520369" w:rsidRPr="00B3274C">
        <w:rPr>
          <w:lang w:val="fr-CA"/>
        </w:rPr>
        <w:t>En 2009</w:t>
      </w:r>
      <w:r w:rsidR="0080611A">
        <w:rPr>
          <w:lang w:val="fr-CA"/>
        </w:rPr>
        <w:t>,</w:t>
      </w:r>
      <w:r w:rsidR="00520369" w:rsidRPr="00B3274C">
        <w:rPr>
          <w:lang w:val="fr-CA"/>
        </w:rPr>
        <w:t xml:space="preserve"> la Grèce a </w:t>
      </w:r>
      <w:r w:rsidR="00FC4083" w:rsidRPr="00B3274C">
        <w:rPr>
          <w:lang w:val="fr-CA"/>
        </w:rPr>
        <w:t>alloué</w:t>
      </w:r>
      <w:r w:rsidR="00520369" w:rsidRPr="00B3274C">
        <w:rPr>
          <w:lang w:val="fr-CA"/>
        </w:rPr>
        <w:t xml:space="preserve"> 0</w:t>
      </w:r>
      <w:r w:rsidR="0080611A">
        <w:rPr>
          <w:lang w:val="fr-CA"/>
        </w:rPr>
        <w:t>,</w:t>
      </w:r>
      <w:r w:rsidR="00520369" w:rsidRPr="00B3274C">
        <w:rPr>
          <w:lang w:val="fr-CA"/>
        </w:rPr>
        <w:t>19</w:t>
      </w:r>
      <w:r w:rsidR="0050285B">
        <w:rPr>
          <w:lang w:val="fr-CA"/>
        </w:rPr>
        <w:t> %</w:t>
      </w:r>
      <w:r w:rsidR="00520369" w:rsidRPr="00B3274C">
        <w:rPr>
          <w:lang w:val="fr-CA"/>
        </w:rPr>
        <w:t xml:space="preserve"> de son produit intérieur brut à l</w:t>
      </w:r>
      <w:r w:rsidR="0080611A">
        <w:rPr>
          <w:lang w:val="fr-CA"/>
        </w:rPr>
        <w:t>’</w:t>
      </w:r>
      <w:r w:rsidR="00520369" w:rsidRPr="00B3274C">
        <w:rPr>
          <w:lang w:val="fr-CA"/>
        </w:rPr>
        <w:t xml:space="preserve">aide publique au développement en faveur des pays en développement. </w:t>
      </w:r>
      <w:r w:rsidR="00D66A8C" w:rsidRPr="00B3274C">
        <w:rPr>
          <w:lang w:val="fr-CA"/>
        </w:rPr>
        <w:t>Le montant de l</w:t>
      </w:r>
      <w:r w:rsidR="0080611A">
        <w:rPr>
          <w:lang w:val="fr-CA"/>
        </w:rPr>
        <w:t>’</w:t>
      </w:r>
      <w:r w:rsidR="00D66A8C" w:rsidRPr="00B3274C">
        <w:rPr>
          <w:lang w:val="fr-CA"/>
        </w:rPr>
        <w:t>aide au développement est consacré à des activités d</w:t>
      </w:r>
      <w:r w:rsidR="0080611A">
        <w:rPr>
          <w:lang w:val="fr-CA"/>
        </w:rPr>
        <w:t>’</w:t>
      </w:r>
      <w:r w:rsidR="00D66A8C" w:rsidRPr="00B3274C">
        <w:rPr>
          <w:lang w:val="fr-CA"/>
        </w:rPr>
        <w:t>assistance bilatérale en faveur du développement</w:t>
      </w:r>
      <w:r w:rsidR="0080611A">
        <w:rPr>
          <w:lang w:val="fr-CA"/>
        </w:rPr>
        <w:t>,</w:t>
      </w:r>
      <w:r w:rsidR="00D66A8C" w:rsidRPr="00B3274C">
        <w:rPr>
          <w:lang w:val="fr-CA"/>
        </w:rPr>
        <w:t xml:space="preserve"> à l</w:t>
      </w:r>
      <w:r w:rsidR="0080611A">
        <w:rPr>
          <w:lang w:val="fr-CA"/>
        </w:rPr>
        <w:t>’</w:t>
      </w:r>
      <w:r w:rsidR="00D66A8C" w:rsidRPr="00B3274C">
        <w:rPr>
          <w:lang w:val="fr-CA"/>
        </w:rPr>
        <w:t xml:space="preserve">aide multilatérale </w:t>
      </w:r>
      <w:r w:rsidR="00FC4083" w:rsidRPr="00B3274C">
        <w:rPr>
          <w:lang w:val="fr-CA"/>
        </w:rPr>
        <w:t>au</w:t>
      </w:r>
      <w:r w:rsidR="00D66A8C" w:rsidRPr="00B3274C">
        <w:rPr>
          <w:lang w:val="fr-CA"/>
        </w:rPr>
        <w:t xml:space="preserve"> développement et à des programmes en faveur du développement conçus et mis en œuvre par des ONG grecques dans des pays en développement. La Grèce est intervenue lors de nombreuses catastrophes naturelles ou anthropiques</w:t>
      </w:r>
      <w:r w:rsidR="0080611A">
        <w:rPr>
          <w:lang w:val="fr-CA"/>
        </w:rPr>
        <w:t>,</w:t>
      </w:r>
      <w:r w:rsidR="00D621BC" w:rsidRPr="00B3274C">
        <w:rPr>
          <w:lang w:val="fr-CA"/>
        </w:rPr>
        <w:t xml:space="preserve"> non seulement pour fournir des secours d</w:t>
      </w:r>
      <w:r w:rsidR="0080611A">
        <w:rPr>
          <w:lang w:val="fr-CA"/>
        </w:rPr>
        <w:t>’</w:t>
      </w:r>
      <w:r w:rsidR="00D621BC" w:rsidRPr="00B3274C">
        <w:rPr>
          <w:lang w:val="fr-CA"/>
        </w:rPr>
        <w:t xml:space="preserve">urgence mais aussi pour contribuer à garantir </w:t>
      </w:r>
      <w:r w:rsidR="00A40A08">
        <w:rPr>
          <w:lang w:val="fr-CA"/>
        </w:rPr>
        <w:t>aux personnes</w:t>
      </w:r>
      <w:r w:rsidR="00D621BC" w:rsidRPr="00B3274C">
        <w:rPr>
          <w:lang w:val="fr-CA"/>
        </w:rPr>
        <w:t xml:space="preserve"> touchées l</w:t>
      </w:r>
      <w:r w:rsidR="0080611A">
        <w:rPr>
          <w:lang w:val="fr-CA"/>
        </w:rPr>
        <w:t>’</w:t>
      </w:r>
      <w:r w:rsidR="00D621BC" w:rsidRPr="00B3274C">
        <w:rPr>
          <w:lang w:val="fr-CA"/>
        </w:rPr>
        <w:t>exercice de leurs droits à la vie</w:t>
      </w:r>
      <w:r w:rsidR="0080611A">
        <w:rPr>
          <w:lang w:val="fr-CA"/>
        </w:rPr>
        <w:t>,</w:t>
      </w:r>
      <w:r w:rsidR="00D621BC" w:rsidRPr="00B3274C">
        <w:rPr>
          <w:lang w:val="fr-CA"/>
        </w:rPr>
        <w:t xml:space="preserve"> à une alimentation adéquate</w:t>
      </w:r>
      <w:r w:rsidR="0080611A">
        <w:rPr>
          <w:lang w:val="fr-CA"/>
        </w:rPr>
        <w:t>,</w:t>
      </w:r>
      <w:r w:rsidR="00D621BC" w:rsidRPr="00B3274C">
        <w:rPr>
          <w:lang w:val="fr-CA"/>
        </w:rPr>
        <w:t xml:space="preserve"> au logement</w:t>
      </w:r>
      <w:r w:rsidR="0080611A">
        <w:rPr>
          <w:lang w:val="fr-CA"/>
        </w:rPr>
        <w:t>,</w:t>
      </w:r>
      <w:r w:rsidR="00D621BC" w:rsidRPr="00B3274C">
        <w:rPr>
          <w:lang w:val="fr-CA"/>
        </w:rPr>
        <w:t xml:space="preserve"> à l</w:t>
      </w:r>
      <w:r w:rsidR="0080611A">
        <w:rPr>
          <w:lang w:val="fr-CA"/>
        </w:rPr>
        <w:t>’</w:t>
      </w:r>
      <w:r w:rsidR="00D621BC" w:rsidRPr="00B3274C">
        <w:rPr>
          <w:lang w:val="fr-CA"/>
        </w:rPr>
        <w:t>eau et à la santé.</w:t>
      </w:r>
      <w:r w:rsidR="00D66A8C" w:rsidRPr="00B3274C">
        <w:rPr>
          <w:lang w:val="fr-CA"/>
        </w:rPr>
        <w:t xml:space="preserve"> </w:t>
      </w:r>
      <w:r w:rsidR="00E91221" w:rsidRPr="00B3274C">
        <w:rPr>
          <w:lang w:val="fr-CA"/>
        </w:rPr>
        <w:t>Elle est</w:t>
      </w:r>
      <w:r w:rsidR="0056415C" w:rsidRPr="00B3274C">
        <w:rPr>
          <w:lang w:val="fr-CA"/>
        </w:rPr>
        <w:t xml:space="preserve"> </w:t>
      </w:r>
      <w:r w:rsidR="00E91221" w:rsidRPr="00B3274C">
        <w:rPr>
          <w:lang w:val="fr-CA"/>
        </w:rPr>
        <w:t xml:space="preserve">en particulier </w:t>
      </w:r>
      <w:r w:rsidR="000A0022" w:rsidRPr="00B3274C">
        <w:rPr>
          <w:lang w:val="fr-CA"/>
        </w:rPr>
        <w:t xml:space="preserve">très engagée </w:t>
      </w:r>
      <w:r w:rsidR="0056415C" w:rsidRPr="00B3274C">
        <w:rPr>
          <w:lang w:val="fr-CA"/>
        </w:rPr>
        <w:t>dans la lutte contre les effets des changements climatiques</w:t>
      </w:r>
      <w:r w:rsidR="0080611A">
        <w:rPr>
          <w:lang w:val="fr-CA"/>
        </w:rPr>
        <w:t>,</w:t>
      </w:r>
      <w:r w:rsidR="00283325" w:rsidRPr="00B3274C">
        <w:rPr>
          <w:lang w:val="fr-CA"/>
        </w:rPr>
        <w:t xml:space="preserve"> </w:t>
      </w:r>
      <w:r w:rsidR="00E91221" w:rsidRPr="00B3274C">
        <w:rPr>
          <w:lang w:val="fr-CA"/>
        </w:rPr>
        <w:t>dans le cadre de laquelle elle applique notamment</w:t>
      </w:r>
      <w:r w:rsidR="00283325" w:rsidRPr="00B3274C">
        <w:rPr>
          <w:lang w:val="fr-CA"/>
        </w:rPr>
        <w:t xml:space="preserve"> une </w:t>
      </w:r>
      <w:r w:rsidR="00E91221" w:rsidRPr="00B3274C">
        <w:rPr>
          <w:lang w:val="fr-CA"/>
        </w:rPr>
        <w:t>démarche axée sur les</w:t>
      </w:r>
      <w:r w:rsidR="00283325" w:rsidRPr="00B3274C">
        <w:rPr>
          <w:lang w:val="fr-CA"/>
        </w:rPr>
        <w:t xml:space="preserve"> droits de l</w:t>
      </w:r>
      <w:r w:rsidR="0080611A">
        <w:rPr>
          <w:lang w:val="fr-CA"/>
        </w:rPr>
        <w:t>’</w:t>
      </w:r>
      <w:r w:rsidR="00283325" w:rsidRPr="00B3274C">
        <w:rPr>
          <w:lang w:val="fr-CA"/>
        </w:rPr>
        <w:t>homme</w:t>
      </w:r>
      <w:r w:rsidR="0056415C" w:rsidRPr="00B3274C">
        <w:rPr>
          <w:lang w:val="fr-CA"/>
        </w:rPr>
        <w:t>.</w:t>
      </w:r>
      <w:r w:rsidR="000A0022" w:rsidRPr="00B3274C">
        <w:rPr>
          <w:lang w:val="fr-CA"/>
        </w:rPr>
        <w:t xml:space="preserve"> Durant sa présidence du Réseau sécurité humaine</w:t>
      </w:r>
      <w:r w:rsidR="0080611A">
        <w:rPr>
          <w:lang w:val="fr-CA"/>
        </w:rPr>
        <w:t>,</w:t>
      </w:r>
      <w:r w:rsidR="000A0022" w:rsidRPr="00B3274C">
        <w:rPr>
          <w:lang w:val="fr-CA"/>
        </w:rPr>
        <w:t xml:space="preserve"> de mai 2007 à mai 2008</w:t>
      </w:r>
      <w:r w:rsidR="0080611A">
        <w:rPr>
          <w:lang w:val="fr-CA"/>
        </w:rPr>
        <w:t>,</w:t>
      </w:r>
      <w:r w:rsidR="000A0022" w:rsidRPr="00B3274C">
        <w:rPr>
          <w:lang w:val="fr-CA"/>
        </w:rPr>
        <w:t xml:space="preserve"> la Grèce </w:t>
      </w:r>
      <w:r w:rsidR="000A0022" w:rsidRPr="00B3274C">
        <w:rPr>
          <w:color w:val="000000"/>
          <w:lang w:val="fr-CA"/>
        </w:rPr>
        <w:t>a été à l</w:t>
      </w:r>
      <w:r w:rsidR="0080611A">
        <w:rPr>
          <w:color w:val="000000"/>
          <w:lang w:val="fr-CA"/>
        </w:rPr>
        <w:t>’</w:t>
      </w:r>
      <w:r w:rsidR="000A0022" w:rsidRPr="00B3274C">
        <w:rPr>
          <w:color w:val="000000"/>
          <w:lang w:val="fr-CA"/>
        </w:rPr>
        <w:t>origine de plusieurs initiatives visant à mettre en relief les conséquences des changements climatiques sur les droits des groupes de population vulnérables</w:t>
      </w:r>
      <w:r w:rsidR="00FB23D3" w:rsidRPr="00B3274C">
        <w:rPr>
          <w:lang w:val="fr-CA"/>
        </w:rPr>
        <w:t xml:space="preserve">. </w:t>
      </w:r>
    </w:p>
    <w:p w:rsidR="00FB23D3" w:rsidRPr="00B3274C" w:rsidRDefault="003151A1" w:rsidP="00B60C69">
      <w:pPr>
        <w:pStyle w:val="H1G"/>
        <w:rPr>
          <w:lang w:val="fr-CA"/>
        </w:rPr>
      </w:pPr>
      <w:r w:rsidRPr="00B3274C">
        <w:rPr>
          <w:lang w:val="fr-CA"/>
        </w:rPr>
        <w:tab/>
      </w:r>
      <w:r w:rsidRPr="00B3274C">
        <w:rPr>
          <w:lang w:val="fr-CA"/>
        </w:rPr>
        <w:tab/>
      </w:r>
      <w:r w:rsidR="00597DC4">
        <w:rPr>
          <w:lang w:val="fr-CA"/>
        </w:rPr>
        <w:t>Article </w:t>
      </w:r>
      <w:r w:rsidR="00FB23D3" w:rsidRPr="00B3274C">
        <w:rPr>
          <w:lang w:val="fr-CA"/>
        </w:rPr>
        <w:t>3</w:t>
      </w:r>
      <w:r w:rsidR="002C0856" w:rsidRPr="00B3274C">
        <w:rPr>
          <w:lang w:val="fr-CA"/>
        </w:rPr>
        <w:br/>
      </w:r>
      <w:r w:rsidR="000A0022" w:rsidRPr="00B3274C">
        <w:rPr>
          <w:lang w:val="fr-CA"/>
        </w:rPr>
        <w:t>Non-discrimination et égalité</w:t>
      </w:r>
    </w:p>
    <w:p w:rsidR="00FB23D3" w:rsidRPr="00B3274C" w:rsidRDefault="000213C1" w:rsidP="00B603CF">
      <w:pPr>
        <w:pStyle w:val="H23G"/>
        <w:rPr>
          <w:lang w:val="fr-CA"/>
        </w:rPr>
      </w:pPr>
      <w:r w:rsidRPr="00B3274C">
        <w:rPr>
          <w:lang w:val="fr-CA"/>
        </w:rPr>
        <w:tab/>
      </w:r>
      <w:r w:rsidR="00B603CF" w:rsidRPr="00B3274C">
        <w:rPr>
          <w:lang w:val="fr-CA"/>
        </w:rPr>
        <w:t>1.</w:t>
      </w:r>
      <w:r w:rsidRPr="00B3274C">
        <w:rPr>
          <w:lang w:val="fr-CA"/>
        </w:rPr>
        <w:tab/>
      </w:r>
      <w:r w:rsidR="000A0022" w:rsidRPr="00B3274C">
        <w:rPr>
          <w:lang w:val="fr-CA"/>
        </w:rPr>
        <w:t>Représentation des femmes</w:t>
      </w:r>
      <w:r w:rsidR="00EF7E31" w:rsidRPr="00B3274C">
        <w:rPr>
          <w:lang w:val="fr-CA"/>
        </w:rPr>
        <w:t xml:space="preserve"> au niveau de la prise des </w:t>
      </w:r>
      <w:r w:rsidR="000A0022" w:rsidRPr="00B3274C">
        <w:rPr>
          <w:lang w:val="fr-CA"/>
        </w:rPr>
        <w:t>décision</w:t>
      </w:r>
      <w:r w:rsidR="00EF7E31" w:rsidRPr="00B3274C">
        <w:rPr>
          <w:lang w:val="fr-CA"/>
        </w:rPr>
        <w:t>s</w:t>
      </w:r>
      <w:r w:rsidR="000A0022" w:rsidRPr="00B3274C">
        <w:rPr>
          <w:lang w:val="fr-CA"/>
        </w:rPr>
        <w:t xml:space="preserve"> (par</w:t>
      </w:r>
      <w:r w:rsidR="00FB23D3" w:rsidRPr="00B3274C">
        <w:rPr>
          <w:lang w:val="fr-CA"/>
        </w:rPr>
        <w:t>.</w:t>
      </w:r>
      <w:r w:rsidRPr="00B3274C">
        <w:rPr>
          <w:lang w:val="fr-CA"/>
        </w:rPr>
        <w:t> </w:t>
      </w:r>
      <w:r w:rsidR="00FB23D3" w:rsidRPr="00B3274C">
        <w:rPr>
          <w:lang w:val="fr-CA"/>
        </w:rPr>
        <w:t xml:space="preserve">13 </w:t>
      </w:r>
      <w:r w:rsidR="000A0022" w:rsidRPr="00B3274C">
        <w:rPr>
          <w:lang w:val="fr-CA"/>
        </w:rPr>
        <w:t>et</w:t>
      </w:r>
      <w:r w:rsidR="00FB23D3" w:rsidRPr="00B3274C">
        <w:rPr>
          <w:lang w:val="fr-CA"/>
        </w:rPr>
        <w:t xml:space="preserve"> 34</w:t>
      </w:r>
      <w:r w:rsidR="001E742B" w:rsidRPr="00B3274C">
        <w:rPr>
          <w:lang w:val="fr-CA"/>
        </w:rPr>
        <w:t xml:space="preserve"> </w:t>
      </w:r>
      <w:r w:rsidR="000A0022" w:rsidRPr="00B3274C">
        <w:rPr>
          <w:lang w:val="fr-CA"/>
        </w:rPr>
        <w:t>des observations finales du Comité</w:t>
      </w:r>
      <w:r w:rsidR="00FB23D3" w:rsidRPr="00B3274C">
        <w:rPr>
          <w:lang w:val="fr-CA"/>
        </w:rPr>
        <w:t>)</w:t>
      </w:r>
    </w:p>
    <w:p w:rsidR="00FB23D3" w:rsidRPr="00B3274C" w:rsidRDefault="00107A47" w:rsidP="00107A47">
      <w:pPr>
        <w:pStyle w:val="SingleTxtG"/>
        <w:rPr>
          <w:lang w:val="fr-CA"/>
        </w:rPr>
      </w:pPr>
      <w:r w:rsidRPr="00B3274C">
        <w:rPr>
          <w:lang w:val="fr-CA"/>
        </w:rPr>
        <w:t>32.</w:t>
      </w:r>
      <w:r w:rsidRPr="00B3274C">
        <w:rPr>
          <w:lang w:val="fr-CA"/>
        </w:rPr>
        <w:tab/>
      </w:r>
      <w:r w:rsidR="000A0022" w:rsidRPr="00B3274C">
        <w:rPr>
          <w:lang w:val="fr-CA"/>
        </w:rPr>
        <w:t>Les données pertinentes sont les suivantes</w:t>
      </w:r>
      <w:r w:rsidR="00EC5892" w:rsidRPr="00B3274C">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0A0022" w:rsidRPr="00B3274C">
        <w:rPr>
          <w:lang w:val="fr-CA"/>
        </w:rPr>
        <w:t xml:space="preserve">Parlement grec </w:t>
      </w:r>
      <w:r w:rsidR="00FB23D3" w:rsidRPr="00B3274C">
        <w:rPr>
          <w:lang w:val="fr-CA"/>
        </w:rPr>
        <w:t>(</w:t>
      </w:r>
      <w:r w:rsidR="000A0022" w:rsidRPr="00B3274C">
        <w:rPr>
          <w:lang w:val="fr-CA"/>
        </w:rPr>
        <w:t xml:space="preserve">données de </w:t>
      </w:r>
      <w:r w:rsidR="00FB23D3" w:rsidRPr="00B3274C">
        <w:rPr>
          <w:lang w:val="fr-CA"/>
        </w:rPr>
        <w:t xml:space="preserve">2012) </w:t>
      </w:r>
    </w:p>
    <w:p w:rsidR="00FB23D3" w:rsidRPr="00B3274C" w:rsidRDefault="00EF7E31" w:rsidP="00404D10">
      <w:pPr>
        <w:pStyle w:val="SingleTxtG"/>
        <w:ind w:left="1701"/>
        <w:rPr>
          <w:lang w:val="fr-CA"/>
        </w:rPr>
      </w:pPr>
      <w:r w:rsidRPr="00B3274C">
        <w:rPr>
          <w:lang w:val="fr-CA"/>
        </w:rPr>
        <w:t>Sur un total de 300 sièges</w:t>
      </w:r>
      <w:r w:rsidR="0080611A">
        <w:rPr>
          <w:lang w:val="fr-CA"/>
        </w:rPr>
        <w:t>,</w:t>
      </w:r>
      <w:r w:rsidRPr="00B3274C">
        <w:rPr>
          <w:lang w:val="fr-CA"/>
        </w:rPr>
        <w:t xml:space="preserve"> </w:t>
      </w:r>
      <w:r w:rsidR="000A0022" w:rsidRPr="00B3274C">
        <w:rPr>
          <w:lang w:val="fr-CA"/>
        </w:rPr>
        <w:t xml:space="preserve">58 sont occupés par des femmes </w:t>
      </w:r>
      <w:r w:rsidR="00FB23D3" w:rsidRPr="00B3274C">
        <w:rPr>
          <w:lang w:val="fr-CA"/>
        </w:rPr>
        <w:t>(</w:t>
      </w:r>
      <w:r w:rsidR="000A0022" w:rsidRPr="00B3274C">
        <w:rPr>
          <w:lang w:val="fr-CA"/>
        </w:rPr>
        <w:t>soit 19</w:t>
      </w:r>
      <w:r w:rsidR="0080611A">
        <w:rPr>
          <w:lang w:val="fr-CA"/>
        </w:rPr>
        <w:t>,</w:t>
      </w:r>
      <w:r w:rsidR="00FB23D3" w:rsidRPr="00B3274C">
        <w:rPr>
          <w:lang w:val="fr-CA"/>
        </w:rPr>
        <w:t>3</w:t>
      </w:r>
      <w:r w:rsidR="0050285B">
        <w:rPr>
          <w:lang w:val="fr-CA"/>
        </w:rPr>
        <w:t> %</w:t>
      </w:r>
      <w:r w:rsidR="00FB23D3" w:rsidRPr="00B3274C">
        <w:rPr>
          <w:lang w:val="fr-CA"/>
        </w:rPr>
        <w:t>)</w:t>
      </w:r>
      <w:r w:rsidRPr="00B3274C">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FB23D3" w:rsidRPr="00B3274C">
        <w:rPr>
          <w:lang w:val="fr-CA"/>
        </w:rPr>
        <w:t>Go</w:t>
      </w:r>
      <w:r w:rsidR="000A0022" w:rsidRPr="00B3274C">
        <w:rPr>
          <w:lang w:val="fr-CA"/>
        </w:rPr>
        <w:t>u</w:t>
      </w:r>
      <w:r w:rsidR="00FB23D3" w:rsidRPr="00B3274C">
        <w:rPr>
          <w:lang w:val="fr-CA"/>
        </w:rPr>
        <w:t>vern</w:t>
      </w:r>
      <w:r w:rsidR="000A0022" w:rsidRPr="00B3274C">
        <w:rPr>
          <w:lang w:val="fr-CA"/>
        </w:rPr>
        <w:t>e</w:t>
      </w:r>
      <w:r w:rsidR="00FB23D3" w:rsidRPr="00B3274C">
        <w:rPr>
          <w:lang w:val="fr-CA"/>
        </w:rPr>
        <w:t>ment (</w:t>
      </w:r>
      <w:r w:rsidR="000A0022" w:rsidRPr="00B3274C">
        <w:rPr>
          <w:lang w:val="fr-CA"/>
        </w:rPr>
        <w:t xml:space="preserve">données de </w:t>
      </w:r>
      <w:r w:rsidR="00FB23D3" w:rsidRPr="00B3274C">
        <w:rPr>
          <w:lang w:val="fr-CA"/>
        </w:rPr>
        <w:t>2010)</w:t>
      </w:r>
    </w:p>
    <w:p w:rsidR="00FB23D3" w:rsidRPr="00B3274C" w:rsidRDefault="000A0022" w:rsidP="00404D10">
      <w:pPr>
        <w:pStyle w:val="SingleTxtG"/>
        <w:ind w:left="1701"/>
        <w:rPr>
          <w:lang w:val="fr-CA"/>
        </w:rPr>
      </w:pPr>
      <w:r w:rsidRPr="00B3274C">
        <w:rPr>
          <w:lang w:val="fr-CA"/>
        </w:rPr>
        <w:t xml:space="preserve">Sur les 49 membres du cabinet </w:t>
      </w:r>
      <w:r w:rsidR="00FB23D3" w:rsidRPr="00B3274C">
        <w:rPr>
          <w:lang w:val="fr-CA"/>
        </w:rPr>
        <w:t>(</w:t>
      </w:r>
      <w:r w:rsidR="00EF7E31" w:rsidRPr="00B3274C">
        <w:rPr>
          <w:lang w:val="fr-CA"/>
        </w:rPr>
        <w:t>y compris le premier ministre</w:t>
      </w:r>
      <w:r w:rsidR="00FB23D3" w:rsidRPr="00B3274C">
        <w:rPr>
          <w:lang w:val="fr-CA"/>
        </w:rPr>
        <w:t>)</w:t>
      </w:r>
      <w:r w:rsidR="0080611A">
        <w:rPr>
          <w:lang w:val="fr-CA"/>
        </w:rPr>
        <w:t>,</w:t>
      </w:r>
      <w:r w:rsidR="00FB23D3" w:rsidRPr="00B3274C">
        <w:rPr>
          <w:lang w:val="fr-CA"/>
        </w:rPr>
        <w:t xml:space="preserve"> </w:t>
      </w:r>
      <w:r w:rsidR="009E0678" w:rsidRPr="00B3274C">
        <w:rPr>
          <w:lang w:val="fr-CA"/>
        </w:rPr>
        <w:t xml:space="preserve">il y a </w:t>
      </w:r>
      <w:r w:rsidR="00EF7E31" w:rsidRPr="00B3274C">
        <w:rPr>
          <w:lang w:val="fr-CA"/>
        </w:rPr>
        <w:t xml:space="preserve">3 femmes ministres et 7 </w:t>
      </w:r>
      <w:r w:rsidR="009E0678" w:rsidRPr="00B3274C">
        <w:rPr>
          <w:lang w:val="fr-CA"/>
        </w:rPr>
        <w:t>femmes</w:t>
      </w:r>
      <w:r w:rsidR="00EF7E31" w:rsidRPr="00B3274C">
        <w:rPr>
          <w:lang w:val="fr-CA"/>
        </w:rPr>
        <w:t xml:space="preserve"> vice-ministres</w:t>
      </w:r>
      <w:r w:rsidR="00FB23D3" w:rsidRPr="00B3274C">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EF7E31" w:rsidRPr="00B3274C">
        <w:rPr>
          <w:lang w:val="fr-CA"/>
        </w:rPr>
        <w:t xml:space="preserve">Gouvernement local </w:t>
      </w:r>
      <w:r w:rsidR="00FB23D3" w:rsidRPr="00B3274C">
        <w:rPr>
          <w:lang w:val="fr-CA"/>
        </w:rPr>
        <w:t>(</w:t>
      </w:r>
      <w:r w:rsidR="00EF7E31" w:rsidRPr="00B3274C">
        <w:rPr>
          <w:lang w:val="fr-CA"/>
        </w:rPr>
        <w:t xml:space="preserve">données de </w:t>
      </w:r>
      <w:r w:rsidR="00FB23D3" w:rsidRPr="00B3274C">
        <w:rPr>
          <w:lang w:val="fr-CA"/>
        </w:rPr>
        <w:t>2011)</w:t>
      </w:r>
    </w:p>
    <w:p w:rsidR="00FB23D3" w:rsidRPr="00B3274C" w:rsidRDefault="00EF7E31" w:rsidP="00404D10">
      <w:pPr>
        <w:pStyle w:val="SingleTxtG"/>
        <w:ind w:left="1701"/>
        <w:rPr>
          <w:lang w:val="fr-CA"/>
        </w:rPr>
      </w:pPr>
      <w:r w:rsidRPr="00B3274C">
        <w:rPr>
          <w:lang w:val="fr-CA"/>
        </w:rPr>
        <w:t>Dans les conseils régionaux</w:t>
      </w:r>
      <w:r w:rsidR="0080611A">
        <w:rPr>
          <w:lang w:val="fr-CA"/>
        </w:rPr>
        <w:t>,</w:t>
      </w:r>
      <w:r w:rsidRPr="00B3274C">
        <w:rPr>
          <w:lang w:val="fr-CA"/>
        </w:rPr>
        <w:t xml:space="preserve"> 115 femmes ont été élues sur un total de 713 sièges </w:t>
      </w:r>
      <w:r w:rsidR="00FB23D3" w:rsidRPr="00B3274C">
        <w:rPr>
          <w:lang w:val="fr-CA"/>
        </w:rPr>
        <w:t>(</w:t>
      </w:r>
      <w:r w:rsidR="009E0678" w:rsidRPr="00B3274C">
        <w:rPr>
          <w:lang w:val="fr-CA"/>
        </w:rPr>
        <w:t>soit un pourcentage de 16</w:t>
      </w:r>
      <w:r w:rsidR="0080611A">
        <w:rPr>
          <w:lang w:val="fr-CA"/>
        </w:rPr>
        <w:t>,</w:t>
      </w:r>
      <w:r w:rsidR="00FB23D3" w:rsidRPr="00B3274C">
        <w:rPr>
          <w:lang w:val="fr-CA"/>
        </w:rPr>
        <w:t>13</w:t>
      </w:r>
      <w:r w:rsidR="0050285B">
        <w:rPr>
          <w:lang w:val="fr-CA"/>
        </w:rPr>
        <w:t> %</w:t>
      </w:r>
      <w:r w:rsidR="00FB23D3" w:rsidRPr="00B3274C">
        <w:rPr>
          <w:lang w:val="fr-CA"/>
        </w:rPr>
        <w:t>)</w:t>
      </w:r>
      <w:r w:rsidR="009E0678" w:rsidRPr="00B3274C">
        <w:rPr>
          <w:lang w:val="fr-CA"/>
        </w:rPr>
        <w:t xml:space="preserve"> et 11 femmes sont directrices adjointes de régions</w:t>
      </w:r>
      <w:r w:rsidR="00FB23D3" w:rsidRPr="00B3274C">
        <w:rPr>
          <w:lang w:val="fr-CA"/>
        </w:rPr>
        <w:t>.</w:t>
      </w:r>
    </w:p>
    <w:p w:rsidR="00FB23D3" w:rsidRPr="00B3274C" w:rsidRDefault="009E0678" w:rsidP="00B603CF">
      <w:pPr>
        <w:pStyle w:val="Bullet1G"/>
        <w:numPr>
          <w:ilvl w:val="0"/>
          <w:numId w:val="0"/>
        </w:numPr>
        <w:ind w:left="1531" w:firstLine="170"/>
        <w:rPr>
          <w:lang w:val="fr-CA"/>
        </w:rPr>
      </w:pPr>
      <w:r w:rsidRPr="00B3274C">
        <w:rPr>
          <w:lang w:val="fr-CA"/>
        </w:rPr>
        <w:t>Sur un total de 325 maires</w:t>
      </w:r>
      <w:r w:rsidR="0080611A">
        <w:rPr>
          <w:lang w:val="fr-CA"/>
        </w:rPr>
        <w:t>,</w:t>
      </w:r>
      <w:r w:rsidRPr="00B3274C">
        <w:rPr>
          <w:lang w:val="fr-CA"/>
        </w:rPr>
        <w:t xml:space="preserve"> 8 sont des femmes. </w:t>
      </w:r>
    </w:p>
    <w:p w:rsidR="00FB23D3" w:rsidRPr="00B3274C" w:rsidRDefault="009E0678" w:rsidP="00404D10">
      <w:pPr>
        <w:pStyle w:val="SingleTxtG"/>
        <w:ind w:left="1701"/>
        <w:rPr>
          <w:lang w:val="fr-CA"/>
        </w:rPr>
      </w:pPr>
      <w:r w:rsidRPr="00B3274C">
        <w:rPr>
          <w:lang w:val="fr-CA"/>
        </w:rPr>
        <w:t xml:space="preserve">Conseils municipaux: </w:t>
      </w:r>
      <w:r w:rsidR="00FB23D3" w:rsidRPr="00B3274C">
        <w:rPr>
          <w:lang w:val="fr-CA"/>
        </w:rPr>
        <w:t>1</w:t>
      </w:r>
      <w:r w:rsidR="000076EC">
        <w:rPr>
          <w:lang w:val="fr-CA"/>
        </w:rPr>
        <w:t> </w:t>
      </w:r>
      <w:r w:rsidR="00FB23D3" w:rsidRPr="00B3274C">
        <w:rPr>
          <w:lang w:val="fr-CA"/>
        </w:rPr>
        <w:t xml:space="preserve">558 </w:t>
      </w:r>
      <w:r w:rsidRPr="00B3274C">
        <w:rPr>
          <w:lang w:val="fr-CA"/>
        </w:rPr>
        <w:t xml:space="preserve">femmes ont été élues sur un total de </w:t>
      </w:r>
      <w:r w:rsidR="00FB23D3" w:rsidRPr="00B3274C">
        <w:rPr>
          <w:lang w:val="fr-CA"/>
        </w:rPr>
        <w:t>9</w:t>
      </w:r>
      <w:r w:rsidR="000076EC">
        <w:rPr>
          <w:lang w:val="fr-CA"/>
        </w:rPr>
        <w:t> </w:t>
      </w:r>
      <w:r w:rsidR="00FB23D3" w:rsidRPr="00B3274C">
        <w:rPr>
          <w:lang w:val="fr-CA"/>
        </w:rPr>
        <w:t>694</w:t>
      </w:r>
      <w:r w:rsidRPr="00B3274C">
        <w:rPr>
          <w:lang w:val="fr-CA"/>
        </w:rPr>
        <w:t xml:space="preserve"> sièges </w:t>
      </w:r>
      <w:r w:rsidR="00FB23D3" w:rsidRPr="00B3274C">
        <w:rPr>
          <w:lang w:val="fr-CA"/>
        </w:rPr>
        <w:t>(</w:t>
      </w:r>
      <w:r w:rsidRPr="00B3274C">
        <w:rPr>
          <w:lang w:val="fr-CA"/>
        </w:rPr>
        <w:t>soit un pourcentage de 16</w:t>
      </w:r>
      <w:r w:rsidR="0080611A">
        <w:rPr>
          <w:lang w:val="fr-CA"/>
        </w:rPr>
        <w:t>,</w:t>
      </w:r>
      <w:r w:rsidR="00FB23D3" w:rsidRPr="00B3274C">
        <w:rPr>
          <w:lang w:val="fr-CA"/>
        </w:rPr>
        <w:t>07</w:t>
      </w:r>
      <w:r w:rsidR="0050285B">
        <w:rPr>
          <w:lang w:val="fr-CA"/>
        </w:rPr>
        <w:t> %</w:t>
      </w:r>
      <w:r w:rsidR="00FB23D3" w:rsidRPr="00B3274C">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9E0678" w:rsidRPr="00B3274C">
        <w:rPr>
          <w:lang w:val="fr-CA"/>
        </w:rPr>
        <w:t xml:space="preserve">Corps judiciaire </w:t>
      </w:r>
      <w:r w:rsidR="00FB23D3" w:rsidRPr="00B3274C">
        <w:rPr>
          <w:lang w:val="fr-CA"/>
        </w:rPr>
        <w:t>(</w:t>
      </w:r>
      <w:r w:rsidR="009E0678" w:rsidRPr="00B3274C">
        <w:rPr>
          <w:lang w:val="fr-CA"/>
        </w:rPr>
        <w:t xml:space="preserve">données de </w:t>
      </w:r>
      <w:r w:rsidR="00FB23D3" w:rsidRPr="00B3274C">
        <w:rPr>
          <w:lang w:val="fr-CA"/>
        </w:rPr>
        <w:t>2010)</w:t>
      </w:r>
    </w:p>
    <w:p w:rsidR="00FB23D3" w:rsidRPr="00B3274C" w:rsidRDefault="009E0678" w:rsidP="00404D10">
      <w:pPr>
        <w:pStyle w:val="SingleTxtG"/>
        <w:spacing w:after="0"/>
        <w:ind w:left="1701"/>
        <w:rPr>
          <w:lang w:val="fr-CA"/>
        </w:rPr>
      </w:pPr>
      <w:r w:rsidRPr="00B3274C">
        <w:rPr>
          <w:lang w:val="fr-CA"/>
        </w:rPr>
        <w:t>Nombre total de</w:t>
      </w:r>
      <w:r w:rsidR="006F5A2B" w:rsidRPr="00B3274C">
        <w:rPr>
          <w:lang w:val="fr-CA"/>
        </w:rPr>
        <w:t xml:space="preserve"> magistrats</w:t>
      </w:r>
      <w:r w:rsidR="0080611A">
        <w:rPr>
          <w:lang w:val="fr-CA"/>
        </w:rPr>
        <w:t>,</w:t>
      </w:r>
      <w:r w:rsidR="006F5A2B" w:rsidRPr="00B3274C">
        <w:rPr>
          <w:lang w:val="fr-CA"/>
        </w:rPr>
        <w:t xml:space="preserve"> à tous les niveaux de la hiérarchie de l</w:t>
      </w:r>
      <w:r w:rsidR="0080611A">
        <w:rPr>
          <w:lang w:val="fr-CA"/>
        </w:rPr>
        <w:t>’</w:t>
      </w:r>
      <w:r w:rsidR="006F5A2B" w:rsidRPr="00B3274C">
        <w:rPr>
          <w:lang w:val="fr-CA"/>
        </w:rPr>
        <w:t>ordre judiciaire</w:t>
      </w:r>
      <w:r w:rsidR="0080611A">
        <w:rPr>
          <w:lang w:val="fr-CA"/>
        </w:rPr>
        <w:t>,</w:t>
      </w:r>
      <w:r w:rsidR="006F5A2B" w:rsidRPr="00B3274C">
        <w:rPr>
          <w:lang w:val="fr-CA"/>
        </w:rPr>
        <w:t xml:space="preserve"> par sexe</w:t>
      </w:r>
      <w:r w:rsidR="00EC5892" w:rsidRPr="00B3274C">
        <w:rPr>
          <w:lang w:val="fr-CA"/>
        </w:rPr>
        <w:t>:</w:t>
      </w:r>
      <w:r w:rsidR="006F5A2B" w:rsidRPr="00B3274C">
        <w:rPr>
          <w:lang w:val="fr-CA"/>
        </w:rPr>
        <w:t xml:space="preserve"> 2</w:t>
      </w:r>
      <w:r w:rsidR="0066567B">
        <w:rPr>
          <w:lang w:val="fr-CA"/>
        </w:rPr>
        <w:t> </w:t>
      </w:r>
      <w:r w:rsidR="00FB23D3" w:rsidRPr="00B3274C">
        <w:rPr>
          <w:lang w:val="fr-CA"/>
        </w:rPr>
        <w:t xml:space="preserve">428 </w:t>
      </w:r>
      <w:r w:rsidR="006F5A2B" w:rsidRPr="00B3274C">
        <w:rPr>
          <w:lang w:val="fr-CA"/>
        </w:rPr>
        <w:t>femmes</w:t>
      </w:r>
      <w:r w:rsidR="0080611A">
        <w:rPr>
          <w:lang w:val="fr-CA"/>
        </w:rPr>
        <w:t>,</w:t>
      </w:r>
      <w:r w:rsidR="006F5A2B" w:rsidRPr="00B3274C">
        <w:rPr>
          <w:lang w:val="fr-CA"/>
        </w:rPr>
        <w:t xml:space="preserve"> 1</w:t>
      </w:r>
      <w:r w:rsidR="0066567B">
        <w:rPr>
          <w:lang w:val="fr-CA"/>
        </w:rPr>
        <w:t> </w:t>
      </w:r>
      <w:r w:rsidR="00FB23D3" w:rsidRPr="00B3274C">
        <w:rPr>
          <w:lang w:val="fr-CA"/>
        </w:rPr>
        <w:t xml:space="preserve">245 </w:t>
      </w:r>
      <w:r w:rsidR="006F5A2B" w:rsidRPr="00B3274C">
        <w:rPr>
          <w:lang w:val="fr-CA"/>
        </w:rPr>
        <w:t>hommes</w:t>
      </w:r>
    </w:p>
    <w:p w:rsidR="00FB23D3" w:rsidRPr="00B3274C" w:rsidRDefault="006F5A2B" w:rsidP="00404D10">
      <w:pPr>
        <w:pStyle w:val="SingleTxtG"/>
        <w:ind w:left="1701"/>
        <w:rPr>
          <w:lang w:val="fr-CA"/>
        </w:rPr>
      </w:pPr>
      <w:r w:rsidRPr="00B3274C">
        <w:rPr>
          <w:lang w:val="fr-CA"/>
        </w:rPr>
        <w:t>En outre</w:t>
      </w:r>
      <w:r w:rsidR="0080611A">
        <w:rPr>
          <w:lang w:val="fr-CA"/>
        </w:rPr>
        <w:t>,</w:t>
      </w:r>
      <w:r w:rsidRPr="00B3274C">
        <w:rPr>
          <w:lang w:val="fr-CA"/>
        </w:rPr>
        <w:t xml:space="preserve"> trois vice-présidents du Conseil d</w:t>
      </w:r>
      <w:r w:rsidR="0080611A">
        <w:rPr>
          <w:lang w:val="fr-CA"/>
        </w:rPr>
        <w:t>’</w:t>
      </w:r>
      <w:r w:rsidRPr="00B3274C">
        <w:rPr>
          <w:lang w:val="fr-CA"/>
        </w:rPr>
        <w:t>État (plus haute juridiction administrative du pays) sont des femmes. Depuis juillet 2011</w:t>
      </w:r>
      <w:r w:rsidR="0080611A">
        <w:rPr>
          <w:lang w:val="fr-CA"/>
        </w:rPr>
        <w:t>,</w:t>
      </w:r>
      <w:r w:rsidRPr="00B3274C">
        <w:rPr>
          <w:lang w:val="fr-CA"/>
        </w:rPr>
        <w:t xml:space="preserve"> la Cour suprême est présidée par une femme.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6F5A2B" w:rsidRPr="00B3274C">
        <w:rPr>
          <w:lang w:val="fr-CA"/>
        </w:rPr>
        <w:t xml:space="preserve">Communauté universitaire </w:t>
      </w:r>
      <w:r w:rsidR="00FB23D3" w:rsidRPr="00B3274C">
        <w:rPr>
          <w:lang w:val="fr-CA"/>
        </w:rPr>
        <w:t>(</w:t>
      </w:r>
      <w:r w:rsidR="006F5A2B" w:rsidRPr="00B3274C">
        <w:rPr>
          <w:lang w:val="fr-CA"/>
        </w:rPr>
        <w:t>personnel</w:t>
      </w:r>
      <w:r w:rsidR="00FB23D3" w:rsidRPr="00B3274C">
        <w:rPr>
          <w:lang w:val="fr-CA"/>
        </w:rPr>
        <w:t>) –</w:t>
      </w:r>
      <w:r w:rsidR="006F5A2B" w:rsidRPr="00B3274C">
        <w:rPr>
          <w:lang w:val="fr-CA"/>
        </w:rPr>
        <w:t xml:space="preserve"> Données de </w:t>
      </w:r>
      <w:r w:rsidR="00FB23D3" w:rsidRPr="00B3274C">
        <w:rPr>
          <w:lang w:val="fr-CA"/>
        </w:rPr>
        <w:t>2008</w:t>
      </w:r>
      <w:r w:rsidR="006102C4">
        <w:rPr>
          <w:lang w:val="fr-CA"/>
        </w:rPr>
        <w:t>/</w:t>
      </w:r>
      <w:r w:rsidR="006F5A2B" w:rsidRPr="00B3274C">
        <w:rPr>
          <w:lang w:val="fr-CA"/>
        </w:rPr>
        <w:t>09</w:t>
      </w:r>
    </w:p>
    <w:p w:rsidR="00FB23D3" w:rsidRPr="00B3274C" w:rsidRDefault="006F5A2B" w:rsidP="00404D10">
      <w:pPr>
        <w:pStyle w:val="SingleTxtG"/>
        <w:spacing w:after="0"/>
        <w:ind w:left="1701"/>
        <w:rPr>
          <w:lang w:val="fr-CA"/>
        </w:rPr>
      </w:pPr>
      <w:r w:rsidRPr="00B3274C">
        <w:rPr>
          <w:lang w:val="fr-CA"/>
        </w:rPr>
        <w:t>Établissements de l</w:t>
      </w:r>
      <w:r w:rsidR="0080611A">
        <w:rPr>
          <w:lang w:val="fr-CA"/>
        </w:rPr>
        <w:t>’</w:t>
      </w:r>
      <w:r w:rsidRPr="00B3274C">
        <w:rPr>
          <w:lang w:val="fr-CA"/>
        </w:rPr>
        <w:t>enseignement</w:t>
      </w:r>
      <w:r w:rsidR="00411CD3" w:rsidRPr="00B3274C">
        <w:rPr>
          <w:lang w:val="fr-CA"/>
        </w:rPr>
        <w:t xml:space="preserve"> supérieur</w:t>
      </w:r>
      <w:r w:rsidR="00EC5892" w:rsidRPr="00B3274C">
        <w:rPr>
          <w:lang w:val="fr-CA"/>
        </w:rPr>
        <w:t>:</w:t>
      </w:r>
      <w:r w:rsidR="00411CD3" w:rsidRPr="00B3274C">
        <w:rPr>
          <w:lang w:val="fr-CA"/>
        </w:rPr>
        <w:t xml:space="preserve"> 4</w:t>
      </w:r>
      <w:r w:rsidR="0066567B">
        <w:rPr>
          <w:lang w:val="fr-CA"/>
        </w:rPr>
        <w:t> </w:t>
      </w:r>
      <w:r w:rsidR="00FB23D3" w:rsidRPr="00B3274C">
        <w:rPr>
          <w:lang w:val="fr-CA"/>
        </w:rPr>
        <w:t xml:space="preserve">232 </w:t>
      </w:r>
      <w:r w:rsidR="00411CD3" w:rsidRPr="00B3274C">
        <w:rPr>
          <w:lang w:val="fr-CA"/>
        </w:rPr>
        <w:t>femmes</w:t>
      </w:r>
      <w:r w:rsidR="0080611A">
        <w:rPr>
          <w:lang w:val="fr-CA"/>
        </w:rPr>
        <w:t>,</w:t>
      </w:r>
      <w:r w:rsidR="00411CD3" w:rsidRPr="00B3274C">
        <w:rPr>
          <w:lang w:val="fr-CA"/>
        </w:rPr>
        <w:t xml:space="preserve"> 8</w:t>
      </w:r>
      <w:r w:rsidR="0066567B">
        <w:rPr>
          <w:lang w:val="fr-CA"/>
        </w:rPr>
        <w:t> </w:t>
      </w:r>
      <w:r w:rsidR="00FB23D3" w:rsidRPr="00B3274C">
        <w:rPr>
          <w:lang w:val="fr-CA"/>
        </w:rPr>
        <w:t xml:space="preserve">826 </w:t>
      </w:r>
      <w:r w:rsidR="00411CD3" w:rsidRPr="00B3274C">
        <w:rPr>
          <w:lang w:val="fr-CA"/>
        </w:rPr>
        <w:t>hommes</w:t>
      </w:r>
    </w:p>
    <w:p w:rsidR="00FB23D3" w:rsidRPr="00B3274C" w:rsidRDefault="00411CD3" w:rsidP="00404D10">
      <w:pPr>
        <w:pStyle w:val="SingleTxtG"/>
        <w:ind w:left="1701"/>
        <w:rPr>
          <w:lang w:val="fr-CA"/>
        </w:rPr>
      </w:pPr>
      <w:r w:rsidRPr="00B3274C">
        <w:rPr>
          <w:lang w:val="fr-CA"/>
        </w:rPr>
        <w:t>Établissements de l</w:t>
      </w:r>
      <w:r w:rsidR="0080611A">
        <w:rPr>
          <w:lang w:val="fr-CA"/>
        </w:rPr>
        <w:t>’</w:t>
      </w:r>
      <w:r w:rsidRPr="00B3274C">
        <w:rPr>
          <w:lang w:val="fr-CA"/>
        </w:rPr>
        <w:t>enseignement technologique supérieur</w:t>
      </w:r>
      <w:r w:rsidR="00EC5892" w:rsidRPr="00B3274C">
        <w:rPr>
          <w:lang w:val="fr-CA"/>
        </w:rPr>
        <w:t>:</w:t>
      </w:r>
      <w:r w:rsidRPr="00B3274C">
        <w:rPr>
          <w:lang w:val="fr-CA"/>
        </w:rPr>
        <w:t xml:space="preserve"> 4</w:t>
      </w:r>
      <w:r w:rsidR="0066567B">
        <w:rPr>
          <w:lang w:val="fr-CA"/>
        </w:rPr>
        <w:t> </w:t>
      </w:r>
      <w:r w:rsidR="00FB23D3" w:rsidRPr="00B3274C">
        <w:rPr>
          <w:lang w:val="fr-CA"/>
        </w:rPr>
        <w:t>143</w:t>
      </w:r>
      <w:r w:rsidR="00A40A08">
        <w:rPr>
          <w:lang w:val="fr-CA"/>
        </w:rPr>
        <w:t> </w:t>
      </w:r>
      <w:r w:rsidRPr="00B3274C">
        <w:rPr>
          <w:lang w:val="fr-CA"/>
        </w:rPr>
        <w:t>femmes</w:t>
      </w:r>
      <w:r w:rsidR="0080611A">
        <w:rPr>
          <w:lang w:val="fr-CA"/>
        </w:rPr>
        <w:t>,</w:t>
      </w:r>
      <w:r w:rsidRPr="00B3274C">
        <w:rPr>
          <w:lang w:val="fr-CA"/>
        </w:rPr>
        <w:t xml:space="preserve"> 6</w:t>
      </w:r>
      <w:r w:rsidR="0066567B">
        <w:rPr>
          <w:lang w:val="fr-CA"/>
        </w:rPr>
        <w:t> </w:t>
      </w:r>
      <w:r w:rsidR="002C0856" w:rsidRPr="00B3274C">
        <w:rPr>
          <w:lang w:val="fr-CA"/>
        </w:rPr>
        <w:t>739 </w:t>
      </w:r>
      <w:r w:rsidRPr="00B3274C">
        <w:rPr>
          <w:lang w:val="fr-CA"/>
        </w:rPr>
        <w:t>hommes</w:t>
      </w:r>
      <w:r w:rsidR="004C055A">
        <w:rPr>
          <w:lang w:val="fr-CA"/>
        </w:rPr>
        <w:t>.</w:t>
      </w:r>
    </w:p>
    <w:p w:rsidR="00FB23D3" w:rsidRPr="00B3274C" w:rsidRDefault="000213C1" w:rsidP="00B603CF">
      <w:pPr>
        <w:pStyle w:val="H23G"/>
        <w:rPr>
          <w:lang w:val="fr-CA"/>
        </w:rPr>
      </w:pPr>
      <w:r w:rsidRPr="00B3274C">
        <w:rPr>
          <w:lang w:val="fr-CA"/>
        </w:rPr>
        <w:tab/>
      </w:r>
      <w:r w:rsidR="00353FC6" w:rsidRPr="00B3274C">
        <w:rPr>
          <w:lang w:val="fr-CA"/>
        </w:rPr>
        <w:t>2.</w:t>
      </w:r>
      <w:r w:rsidRPr="00B3274C">
        <w:rPr>
          <w:lang w:val="fr-CA"/>
        </w:rPr>
        <w:tab/>
      </w:r>
      <w:r w:rsidR="00F33EA4" w:rsidRPr="00B3274C">
        <w:rPr>
          <w:lang w:val="fr-CA"/>
        </w:rPr>
        <w:t>Mesures visant à accroître la proportion de femmes occupant des postes de décision à tous les échelons</w:t>
      </w:r>
      <w:r w:rsidR="00111523" w:rsidRPr="00B3274C">
        <w:rPr>
          <w:lang w:val="fr-CA"/>
        </w:rPr>
        <w:t xml:space="preserve"> </w:t>
      </w:r>
      <w:r w:rsidR="00F33EA4" w:rsidRPr="00B3274C">
        <w:rPr>
          <w:lang w:val="fr-CA"/>
        </w:rPr>
        <w:t>(par</w:t>
      </w:r>
      <w:r w:rsidRPr="00B3274C">
        <w:rPr>
          <w:lang w:val="fr-CA"/>
        </w:rPr>
        <w:t>. </w:t>
      </w:r>
      <w:r w:rsidR="00FB23D3" w:rsidRPr="00B3274C">
        <w:rPr>
          <w:lang w:val="fr-CA"/>
        </w:rPr>
        <w:t xml:space="preserve">34 </w:t>
      </w:r>
      <w:r w:rsidR="00F33EA4" w:rsidRPr="00B3274C">
        <w:rPr>
          <w:lang w:val="fr-CA"/>
        </w:rPr>
        <w:t>des observations finales du Comité</w:t>
      </w:r>
      <w:r w:rsidR="00FB23D3" w:rsidRPr="00B3274C">
        <w:rPr>
          <w:lang w:val="fr-CA"/>
        </w:rPr>
        <w:t>)</w:t>
      </w:r>
    </w:p>
    <w:p w:rsidR="00FB23D3" w:rsidRPr="00B3274C" w:rsidRDefault="00107A47" w:rsidP="00107A47">
      <w:pPr>
        <w:pStyle w:val="SingleTxtG"/>
        <w:rPr>
          <w:szCs w:val="22"/>
          <w:lang w:val="fr-CA"/>
        </w:rPr>
      </w:pPr>
      <w:r w:rsidRPr="00B3274C">
        <w:rPr>
          <w:lang w:val="fr-CA"/>
        </w:rPr>
        <w:t>33.</w:t>
      </w:r>
      <w:r w:rsidRPr="00B3274C">
        <w:rPr>
          <w:lang w:val="fr-CA"/>
        </w:rPr>
        <w:tab/>
      </w:r>
      <w:r w:rsidR="00F33EA4" w:rsidRPr="00B3274C">
        <w:rPr>
          <w:color w:val="000000"/>
          <w:lang w:val="fr-CA"/>
        </w:rPr>
        <w:t>Des textes législatifs ont été promulgués pour accroître la représentation des femmes à tous les niveaux décisionnels</w:t>
      </w:r>
      <w:r w:rsidR="0080611A">
        <w:rPr>
          <w:color w:val="000000"/>
          <w:lang w:val="fr-CA"/>
        </w:rPr>
        <w:t>,</w:t>
      </w:r>
      <w:r w:rsidR="00F33EA4" w:rsidRPr="00B3274C">
        <w:rPr>
          <w:color w:val="000000"/>
          <w:lang w:val="fr-CA"/>
        </w:rPr>
        <w:t xml:space="preserve"> notamment en établissant un quota obligatoire d</w:t>
      </w:r>
      <w:r w:rsidR="0080611A">
        <w:rPr>
          <w:color w:val="000000"/>
          <w:lang w:val="fr-CA"/>
        </w:rPr>
        <w:t>’</w:t>
      </w:r>
      <w:r w:rsidR="00F33EA4" w:rsidRPr="00B3274C">
        <w:rPr>
          <w:color w:val="000000"/>
          <w:lang w:val="fr-CA"/>
        </w:rPr>
        <w:t>un tiers au minimum de femmes sur les listes électorales des gouvernements locaux et régionaux</w:t>
      </w:r>
      <w:r w:rsidR="0080611A">
        <w:rPr>
          <w:color w:val="000000"/>
          <w:lang w:val="fr-CA"/>
        </w:rPr>
        <w:t>,</w:t>
      </w:r>
      <w:r w:rsidR="00F33EA4" w:rsidRPr="00B3274C">
        <w:rPr>
          <w:color w:val="000000"/>
          <w:lang w:val="fr-CA"/>
        </w:rPr>
        <w:t xml:space="preserve"> dans les organes collectifs et les conseils de l</w:t>
      </w:r>
      <w:r w:rsidR="0080611A">
        <w:rPr>
          <w:color w:val="000000"/>
          <w:lang w:val="fr-CA"/>
        </w:rPr>
        <w:t>’</w:t>
      </w:r>
      <w:r w:rsidR="00F33EA4" w:rsidRPr="00B3274C">
        <w:rPr>
          <w:color w:val="000000"/>
          <w:lang w:val="fr-CA"/>
        </w:rPr>
        <w:t>administration publique</w:t>
      </w:r>
      <w:r w:rsidR="0080611A">
        <w:rPr>
          <w:color w:val="000000"/>
          <w:lang w:val="fr-CA"/>
        </w:rPr>
        <w:t>,</w:t>
      </w:r>
      <w:r w:rsidR="00F33EA4" w:rsidRPr="00B3274C">
        <w:rPr>
          <w:color w:val="000000"/>
          <w:lang w:val="fr-CA"/>
        </w:rPr>
        <w:t xml:space="preserve"> des entités de droit public et des autorités locales</w:t>
      </w:r>
      <w:r w:rsidR="0080611A">
        <w:rPr>
          <w:color w:val="000000"/>
          <w:lang w:val="fr-CA"/>
        </w:rPr>
        <w:t>,</w:t>
      </w:r>
      <w:r w:rsidR="00F33EA4" w:rsidRPr="00B3274C">
        <w:rPr>
          <w:color w:val="000000"/>
          <w:lang w:val="fr-CA"/>
        </w:rPr>
        <w:t xml:space="preserve"> ainsi que dans la composition des organes nationaux et des comités pour la recherche et la technologie.</w:t>
      </w:r>
      <w:r w:rsidR="00F33EA4" w:rsidRPr="00B3274C">
        <w:rPr>
          <w:lang w:val="fr-CA"/>
        </w:rPr>
        <w:t xml:space="preserve"> </w:t>
      </w:r>
      <w:r w:rsidR="00F33EA4" w:rsidRPr="00B3274C">
        <w:rPr>
          <w:color w:val="000000"/>
          <w:lang w:val="fr-CA"/>
        </w:rPr>
        <w:t>Dans le même temps</w:t>
      </w:r>
      <w:r w:rsidR="0080611A">
        <w:rPr>
          <w:color w:val="000000"/>
          <w:lang w:val="fr-CA"/>
        </w:rPr>
        <w:t>,</w:t>
      </w:r>
      <w:r w:rsidR="00F33EA4" w:rsidRPr="00B3274C">
        <w:rPr>
          <w:color w:val="000000"/>
          <w:lang w:val="fr-CA"/>
        </w:rPr>
        <w:t xml:space="preserve"> les quotas défavorables aux femmes pour l</w:t>
      </w:r>
      <w:r w:rsidR="0080611A">
        <w:rPr>
          <w:color w:val="000000"/>
          <w:lang w:val="fr-CA"/>
        </w:rPr>
        <w:t>’</w:t>
      </w:r>
      <w:r w:rsidR="00F33EA4" w:rsidRPr="00B3274C">
        <w:rPr>
          <w:color w:val="000000"/>
          <w:lang w:val="fr-CA"/>
        </w:rPr>
        <w:t>admission dans les écoles de formation des policiers et des sapeurs-pompiers ont été abolis.</w:t>
      </w:r>
      <w:r w:rsidR="00FB23D3" w:rsidRPr="00B3274C">
        <w:rPr>
          <w:szCs w:val="22"/>
          <w:lang w:val="fr-CA"/>
        </w:rPr>
        <w:t xml:space="preserve"> </w:t>
      </w:r>
    </w:p>
    <w:p w:rsidR="00FB23D3" w:rsidRPr="00B3274C" w:rsidRDefault="00107A47" w:rsidP="00107A47">
      <w:pPr>
        <w:pStyle w:val="SingleTxtG"/>
        <w:rPr>
          <w:bCs/>
          <w:szCs w:val="22"/>
          <w:lang w:val="fr-CA"/>
        </w:rPr>
      </w:pPr>
      <w:r w:rsidRPr="00B3274C">
        <w:rPr>
          <w:bCs/>
          <w:lang w:val="fr-CA"/>
        </w:rPr>
        <w:t>34.</w:t>
      </w:r>
      <w:r w:rsidRPr="00B3274C">
        <w:rPr>
          <w:bCs/>
          <w:lang w:val="fr-CA"/>
        </w:rPr>
        <w:tab/>
      </w:r>
      <w:r w:rsidR="00F33EA4" w:rsidRPr="00B3274C">
        <w:rPr>
          <w:bCs/>
          <w:lang w:val="fr-CA"/>
        </w:rPr>
        <w:t xml:space="preserve">Plusieurs mesures ont été appliquées ou sont envisagées dans le </w:t>
      </w:r>
      <w:r w:rsidR="00F33EA4" w:rsidRPr="00B3274C">
        <w:rPr>
          <w:color w:val="000000"/>
          <w:lang w:val="fr-CA"/>
        </w:rPr>
        <w:t>Plan national d</w:t>
      </w:r>
      <w:r w:rsidR="0080611A">
        <w:rPr>
          <w:color w:val="000000"/>
          <w:lang w:val="fr-CA"/>
        </w:rPr>
        <w:t>’</w:t>
      </w:r>
      <w:r w:rsidR="00F33EA4" w:rsidRPr="00B3274C">
        <w:rPr>
          <w:color w:val="000000"/>
          <w:lang w:val="fr-CA"/>
        </w:rPr>
        <w:t>action pour l</w:t>
      </w:r>
      <w:r w:rsidR="0080611A">
        <w:rPr>
          <w:color w:val="000000"/>
          <w:lang w:val="fr-CA"/>
        </w:rPr>
        <w:t>’</w:t>
      </w:r>
      <w:r w:rsidR="00F33EA4" w:rsidRPr="00B3274C">
        <w:rPr>
          <w:color w:val="000000"/>
          <w:lang w:val="fr-CA"/>
        </w:rPr>
        <w:t>égalité réelle des sexes (2010-2013)</w:t>
      </w:r>
      <w:r w:rsidR="00F33EA4" w:rsidRPr="00B3274C">
        <w:rPr>
          <w:bCs/>
          <w:szCs w:val="22"/>
          <w:lang w:val="fr-CA"/>
        </w:rPr>
        <w:t xml:space="preserve"> </w:t>
      </w:r>
      <w:r w:rsidR="00AD4DA0" w:rsidRPr="00B3274C">
        <w:rPr>
          <w:bCs/>
          <w:szCs w:val="22"/>
          <w:lang w:val="fr-CA"/>
        </w:rPr>
        <w:t>dans le but de renforcer la participation des femmes à la prise des décisions. Plus précisément</w:t>
      </w:r>
      <w:r w:rsidR="0080611A">
        <w:rPr>
          <w:bCs/>
          <w:szCs w:val="22"/>
          <w:lang w:val="fr-CA"/>
        </w:rPr>
        <w:t>,</w:t>
      </w:r>
      <w:r w:rsidR="00AD4DA0" w:rsidRPr="00B3274C">
        <w:rPr>
          <w:bCs/>
          <w:szCs w:val="22"/>
          <w:lang w:val="fr-CA"/>
        </w:rPr>
        <w:t xml:space="preserve"> depuis 2005</w:t>
      </w:r>
      <w:r w:rsidR="0080611A">
        <w:rPr>
          <w:bCs/>
          <w:szCs w:val="22"/>
          <w:lang w:val="fr-CA"/>
        </w:rPr>
        <w:t>,</w:t>
      </w:r>
      <w:r w:rsidR="00AD4DA0" w:rsidRPr="00B3274C">
        <w:rPr>
          <w:bCs/>
          <w:szCs w:val="22"/>
          <w:lang w:val="fr-CA"/>
        </w:rPr>
        <w:t xml:space="preserve"> un certain nombre de campagnes d</w:t>
      </w:r>
      <w:r w:rsidR="0080611A">
        <w:rPr>
          <w:bCs/>
          <w:szCs w:val="22"/>
          <w:lang w:val="fr-CA"/>
        </w:rPr>
        <w:t>’</w:t>
      </w:r>
      <w:r w:rsidR="00AD4DA0" w:rsidRPr="00B3274C">
        <w:rPr>
          <w:bCs/>
          <w:szCs w:val="22"/>
          <w:lang w:val="fr-CA"/>
        </w:rPr>
        <w:t xml:space="preserve">information et de sensibilisation ont été organisées. </w:t>
      </w:r>
      <w:r w:rsidR="00AD4DA0" w:rsidRPr="00B3274C">
        <w:rPr>
          <w:color w:val="000000"/>
          <w:lang w:val="fr-CA"/>
        </w:rPr>
        <w:t>En 2010</w:t>
      </w:r>
      <w:r w:rsidR="0080611A">
        <w:rPr>
          <w:color w:val="000000"/>
          <w:lang w:val="fr-CA"/>
        </w:rPr>
        <w:t>,</w:t>
      </w:r>
      <w:r w:rsidR="00AD4DA0" w:rsidRPr="00B3274C">
        <w:rPr>
          <w:color w:val="000000"/>
          <w:lang w:val="fr-CA"/>
        </w:rPr>
        <w:t xml:space="preserve"> l</w:t>
      </w:r>
      <w:r w:rsidR="0080611A">
        <w:rPr>
          <w:color w:val="000000"/>
          <w:lang w:val="fr-CA"/>
        </w:rPr>
        <w:t>’</w:t>
      </w:r>
      <w:r w:rsidR="00AD4DA0" w:rsidRPr="00B3274C">
        <w:rPr>
          <w:color w:val="000000"/>
          <w:lang w:val="fr-CA"/>
        </w:rPr>
        <w:t>accent a été mis tout particulièrement sur la promotion des femmes aux élections régionales et municipales et l</w:t>
      </w:r>
      <w:r w:rsidR="0080611A">
        <w:rPr>
          <w:color w:val="000000"/>
          <w:lang w:val="fr-CA"/>
        </w:rPr>
        <w:t>’</w:t>
      </w:r>
      <w:r w:rsidR="00AD4DA0" w:rsidRPr="00B3274C">
        <w:rPr>
          <w:color w:val="000000"/>
          <w:lang w:val="fr-CA"/>
        </w:rPr>
        <w:t>intégration de la parité des sexes dans les politiques de l</w:t>
      </w:r>
      <w:r w:rsidR="0080611A">
        <w:rPr>
          <w:color w:val="000000"/>
          <w:lang w:val="fr-CA"/>
        </w:rPr>
        <w:t>’</w:t>
      </w:r>
      <w:r w:rsidR="00AD4DA0" w:rsidRPr="00B3274C">
        <w:rPr>
          <w:color w:val="000000"/>
          <w:lang w:val="fr-CA"/>
        </w:rPr>
        <w:t>administration locale</w:t>
      </w:r>
      <w:r w:rsidR="0080611A">
        <w:rPr>
          <w:color w:val="000000"/>
          <w:lang w:val="fr-CA"/>
        </w:rPr>
        <w:t>,</w:t>
      </w:r>
      <w:r w:rsidR="00AD4DA0" w:rsidRPr="00B3274C">
        <w:rPr>
          <w:color w:val="000000"/>
          <w:lang w:val="fr-CA"/>
        </w:rPr>
        <w:t xml:space="preserve"> dans le nouveau contexte du Programme «Kallikrates».</w:t>
      </w:r>
      <w:r w:rsidR="00AD4DA0" w:rsidRPr="00B3274C">
        <w:rPr>
          <w:bCs/>
          <w:szCs w:val="22"/>
          <w:lang w:val="fr-CA"/>
        </w:rPr>
        <w:t xml:space="preserve"> </w:t>
      </w:r>
      <w:r w:rsidR="00C13683" w:rsidRPr="00B3274C">
        <w:rPr>
          <w:bCs/>
          <w:szCs w:val="22"/>
          <w:lang w:val="fr-CA"/>
        </w:rPr>
        <w:t>La promotion des femmes dans la prise de</w:t>
      </w:r>
      <w:r w:rsidR="00F602CA" w:rsidRPr="00B3274C">
        <w:rPr>
          <w:bCs/>
          <w:szCs w:val="22"/>
          <w:lang w:val="fr-CA"/>
        </w:rPr>
        <w:t>s</w:t>
      </w:r>
      <w:r w:rsidR="00C13683" w:rsidRPr="00B3274C">
        <w:rPr>
          <w:bCs/>
          <w:szCs w:val="22"/>
          <w:lang w:val="fr-CA"/>
        </w:rPr>
        <w:t xml:space="preserve"> décisions et la société civile est l</w:t>
      </w:r>
      <w:r w:rsidR="0080611A">
        <w:rPr>
          <w:bCs/>
          <w:szCs w:val="22"/>
          <w:lang w:val="fr-CA"/>
        </w:rPr>
        <w:t>’</w:t>
      </w:r>
      <w:r w:rsidR="00C13683" w:rsidRPr="00B3274C">
        <w:rPr>
          <w:bCs/>
          <w:szCs w:val="22"/>
          <w:lang w:val="fr-CA"/>
        </w:rPr>
        <w:t xml:space="preserve">un des domaines thématiques des politiques publiques </w:t>
      </w:r>
      <w:r w:rsidR="0069664C" w:rsidRPr="00B3274C">
        <w:rPr>
          <w:bCs/>
          <w:szCs w:val="22"/>
          <w:lang w:val="fr-CA"/>
        </w:rPr>
        <w:t>figurant</w:t>
      </w:r>
      <w:r w:rsidR="00C13683" w:rsidRPr="00B3274C">
        <w:rPr>
          <w:bCs/>
          <w:szCs w:val="22"/>
          <w:lang w:val="fr-CA"/>
        </w:rPr>
        <w:t xml:space="preserve"> dans le Plan national d</w:t>
      </w:r>
      <w:r w:rsidR="0080611A">
        <w:rPr>
          <w:bCs/>
          <w:szCs w:val="22"/>
          <w:lang w:val="fr-CA"/>
        </w:rPr>
        <w:t>’</w:t>
      </w:r>
      <w:r w:rsidR="00C13683" w:rsidRPr="00B3274C">
        <w:rPr>
          <w:bCs/>
          <w:szCs w:val="22"/>
          <w:lang w:val="fr-CA"/>
        </w:rPr>
        <w:t>action pour l</w:t>
      </w:r>
      <w:r w:rsidR="0080611A">
        <w:rPr>
          <w:bCs/>
          <w:szCs w:val="22"/>
          <w:lang w:val="fr-CA"/>
        </w:rPr>
        <w:t>’</w:t>
      </w:r>
      <w:r w:rsidR="00C13683" w:rsidRPr="00B3274C">
        <w:rPr>
          <w:bCs/>
          <w:szCs w:val="22"/>
          <w:lang w:val="fr-CA"/>
        </w:rPr>
        <w:t xml:space="preserve">égalité réelle des sexes pour la période 2010-2013. </w:t>
      </w:r>
      <w:r w:rsidR="008A5B17" w:rsidRPr="00B3274C">
        <w:rPr>
          <w:bCs/>
          <w:szCs w:val="22"/>
          <w:lang w:val="fr-CA"/>
        </w:rPr>
        <w:t>Parmi les mesures</w:t>
      </w:r>
      <w:r w:rsidR="006E68B3" w:rsidRPr="00B3274C">
        <w:rPr>
          <w:bCs/>
          <w:szCs w:val="22"/>
          <w:lang w:val="fr-CA"/>
        </w:rPr>
        <w:t xml:space="preserve"> concernées</w:t>
      </w:r>
      <w:r w:rsidR="0055418C" w:rsidRPr="00B3274C">
        <w:rPr>
          <w:bCs/>
          <w:szCs w:val="22"/>
          <w:lang w:val="fr-CA"/>
        </w:rPr>
        <w:t xml:space="preserve"> </w:t>
      </w:r>
      <w:r w:rsidR="008A5B17" w:rsidRPr="00B3274C">
        <w:rPr>
          <w:bCs/>
          <w:szCs w:val="22"/>
          <w:lang w:val="fr-CA"/>
        </w:rPr>
        <w:t>on peut notamment citer le soutien apporté aux femmes candidates et élues à des fonctions publiques</w:t>
      </w:r>
      <w:r w:rsidR="0080611A">
        <w:rPr>
          <w:bCs/>
          <w:szCs w:val="22"/>
          <w:lang w:val="fr-CA"/>
        </w:rPr>
        <w:t>,</w:t>
      </w:r>
      <w:r w:rsidR="008A5B17" w:rsidRPr="00B3274C">
        <w:rPr>
          <w:bCs/>
          <w:szCs w:val="22"/>
          <w:lang w:val="fr-CA"/>
        </w:rPr>
        <w:t xml:space="preserve"> le soutien </w:t>
      </w:r>
      <w:r w:rsidR="00B40091" w:rsidRPr="00B3274C">
        <w:rPr>
          <w:bCs/>
          <w:szCs w:val="22"/>
          <w:lang w:val="fr-CA"/>
        </w:rPr>
        <w:t xml:space="preserve">qui leur est </w:t>
      </w:r>
      <w:r w:rsidR="008A5B17" w:rsidRPr="00B3274C">
        <w:rPr>
          <w:bCs/>
          <w:szCs w:val="22"/>
          <w:lang w:val="fr-CA"/>
        </w:rPr>
        <w:t>apporté dans le cadre des campagnes électorales</w:t>
      </w:r>
      <w:r w:rsidR="0080611A">
        <w:rPr>
          <w:bCs/>
          <w:szCs w:val="22"/>
          <w:lang w:val="fr-CA"/>
        </w:rPr>
        <w:t>,</w:t>
      </w:r>
      <w:r w:rsidR="00446DF4" w:rsidRPr="00B3274C">
        <w:rPr>
          <w:bCs/>
          <w:szCs w:val="22"/>
          <w:lang w:val="fr-CA"/>
        </w:rPr>
        <w:t xml:space="preserve"> l</w:t>
      </w:r>
      <w:r w:rsidR="0080611A">
        <w:rPr>
          <w:bCs/>
          <w:szCs w:val="22"/>
          <w:lang w:val="fr-CA"/>
        </w:rPr>
        <w:t>’</w:t>
      </w:r>
      <w:r w:rsidR="00446DF4" w:rsidRPr="00B3274C">
        <w:rPr>
          <w:bCs/>
          <w:szCs w:val="22"/>
          <w:lang w:val="fr-CA"/>
        </w:rPr>
        <w:t xml:space="preserve">appui à </w:t>
      </w:r>
      <w:r w:rsidR="008A5B17" w:rsidRPr="00B3274C">
        <w:rPr>
          <w:bCs/>
          <w:szCs w:val="22"/>
          <w:lang w:val="fr-CA"/>
        </w:rPr>
        <w:t>la création de bureaux ou de commissions en faveur des femmes ou de l</w:t>
      </w:r>
      <w:r w:rsidR="0080611A">
        <w:rPr>
          <w:bCs/>
          <w:szCs w:val="22"/>
          <w:lang w:val="fr-CA"/>
        </w:rPr>
        <w:t>’</w:t>
      </w:r>
      <w:r w:rsidR="008A5B17" w:rsidRPr="00B3274C">
        <w:rPr>
          <w:bCs/>
          <w:szCs w:val="22"/>
          <w:lang w:val="fr-CA"/>
        </w:rPr>
        <w:t>égalité des sexes</w:t>
      </w:r>
      <w:r w:rsidR="0080611A">
        <w:rPr>
          <w:bCs/>
          <w:szCs w:val="22"/>
          <w:lang w:val="fr-CA"/>
        </w:rPr>
        <w:t>,</w:t>
      </w:r>
      <w:r w:rsidR="008A5B17" w:rsidRPr="00B3274C">
        <w:rPr>
          <w:bCs/>
          <w:szCs w:val="22"/>
          <w:lang w:val="fr-CA"/>
        </w:rPr>
        <w:t xml:space="preserve"> le renforcement des réseaux de femmes dans les organisations d</w:t>
      </w:r>
      <w:r w:rsidR="0080611A">
        <w:rPr>
          <w:bCs/>
          <w:szCs w:val="22"/>
          <w:lang w:val="fr-CA"/>
        </w:rPr>
        <w:t>’</w:t>
      </w:r>
      <w:r w:rsidR="008A5B17" w:rsidRPr="00B3274C">
        <w:rPr>
          <w:bCs/>
          <w:szCs w:val="22"/>
          <w:lang w:val="fr-CA"/>
        </w:rPr>
        <w:t>enseignement secondaire et supérieur et de partenaires sociaux</w:t>
      </w:r>
      <w:r w:rsidR="0080611A">
        <w:rPr>
          <w:bCs/>
          <w:szCs w:val="22"/>
          <w:lang w:val="fr-CA"/>
        </w:rPr>
        <w:t>,</w:t>
      </w:r>
      <w:r w:rsidR="00B40091" w:rsidRPr="00B3274C">
        <w:rPr>
          <w:bCs/>
          <w:szCs w:val="22"/>
          <w:lang w:val="fr-CA"/>
        </w:rPr>
        <w:t xml:space="preserve"> l</w:t>
      </w:r>
      <w:r w:rsidR="0080611A">
        <w:rPr>
          <w:bCs/>
          <w:szCs w:val="22"/>
          <w:lang w:val="fr-CA"/>
        </w:rPr>
        <w:t>’</w:t>
      </w:r>
      <w:r w:rsidR="00B40091" w:rsidRPr="00B3274C">
        <w:rPr>
          <w:bCs/>
          <w:szCs w:val="22"/>
          <w:lang w:val="fr-CA"/>
        </w:rPr>
        <w:t>étroite coopération avec des ONG de femmes</w:t>
      </w:r>
      <w:r w:rsidR="0080611A">
        <w:rPr>
          <w:bCs/>
          <w:szCs w:val="22"/>
          <w:lang w:val="fr-CA"/>
        </w:rPr>
        <w:t>,</w:t>
      </w:r>
      <w:r w:rsidR="00B40091" w:rsidRPr="00B3274C">
        <w:rPr>
          <w:bCs/>
          <w:szCs w:val="22"/>
          <w:lang w:val="fr-CA"/>
        </w:rPr>
        <w:t xml:space="preserve"> etc. En outre</w:t>
      </w:r>
      <w:r w:rsidR="0080611A">
        <w:rPr>
          <w:bCs/>
          <w:szCs w:val="22"/>
          <w:lang w:val="fr-CA"/>
        </w:rPr>
        <w:t>,</w:t>
      </w:r>
      <w:r w:rsidR="00B40091" w:rsidRPr="00B3274C">
        <w:rPr>
          <w:bCs/>
          <w:szCs w:val="22"/>
          <w:lang w:val="fr-CA"/>
        </w:rPr>
        <w:t xml:space="preserve"> dans chacune des 13 régions de Grèce</w:t>
      </w:r>
      <w:r w:rsidR="0080611A">
        <w:rPr>
          <w:bCs/>
          <w:szCs w:val="22"/>
          <w:lang w:val="fr-CA"/>
        </w:rPr>
        <w:t>,</w:t>
      </w:r>
      <w:r w:rsidR="00B40091" w:rsidRPr="00B3274C">
        <w:rPr>
          <w:bCs/>
          <w:szCs w:val="22"/>
          <w:lang w:val="fr-CA"/>
        </w:rPr>
        <w:t xml:space="preserve"> une commission régionale pour l</w:t>
      </w:r>
      <w:r w:rsidR="0080611A">
        <w:rPr>
          <w:bCs/>
          <w:szCs w:val="22"/>
          <w:lang w:val="fr-CA"/>
        </w:rPr>
        <w:t>’</w:t>
      </w:r>
      <w:r w:rsidR="00B40091" w:rsidRPr="00B3274C">
        <w:rPr>
          <w:bCs/>
          <w:szCs w:val="22"/>
          <w:lang w:val="fr-CA"/>
        </w:rPr>
        <w:t>égalité</w:t>
      </w:r>
      <w:r w:rsidR="0080611A">
        <w:rPr>
          <w:bCs/>
          <w:szCs w:val="22"/>
          <w:lang w:val="fr-CA"/>
        </w:rPr>
        <w:t>,</w:t>
      </w:r>
      <w:r w:rsidR="00B40091" w:rsidRPr="00B3274C">
        <w:rPr>
          <w:bCs/>
          <w:szCs w:val="22"/>
          <w:lang w:val="fr-CA"/>
        </w:rPr>
        <w:t xml:space="preserve"> dotée d</w:t>
      </w:r>
      <w:r w:rsidR="0080611A">
        <w:rPr>
          <w:bCs/>
          <w:szCs w:val="22"/>
          <w:lang w:val="fr-CA"/>
        </w:rPr>
        <w:t>’</w:t>
      </w:r>
      <w:r w:rsidR="00B40091" w:rsidRPr="00B3274C">
        <w:rPr>
          <w:bCs/>
          <w:szCs w:val="22"/>
          <w:lang w:val="fr-CA"/>
        </w:rPr>
        <w:t>un statut consultatif</w:t>
      </w:r>
      <w:r w:rsidR="0080611A">
        <w:rPr>
          <w:bCs/>
          <w:szCs w:val="22"/>
          <w:lang w:val="fr-CA"/>
        </w:rPr>
        <w:t>,</w:t>
      </w:r>
      <w:r w:rsidR="00B40091" w:rsidRPr="00B3274C">
        <w:rPr>
          <w:bCs/>
          <w:szCs w:val="22"/>
          <w:lang w:val="fr-CA"/>
        </w:rPr>
        <w:t xml:space="preserve"> a été créée au sein de la nouvelle structure</w:t>
      </w:r>
      <w:r w:rsidR="008A5B17" w:rsidRPr="00B3274C">
        <w:rPr>
          <w:bCs/>
          <w:szCs w:val="22"/>
          <w:lang w:val="fr-CA"/>
        </w:rPr>
        <w:t xml:space="preserve"> </w:t>
      </w:r>
      <w:r w:rsidR="001B638D" w:rsidRPr="00B3274C">
        <w:rPr>
          <w:bCs/>
          <w:szCs w:val="22"/>
          <w:lang w:val="fr-CA"/>
        </w:rPr>
        <w:t>des services administratifs décentralisés et des collectivités locales</w:t>
      </w:r>
      <w:r w:rsidR="00B40091" w:rsidRPr="00B3274C">
        <w:rPr>
          <w:bCs/>
          <w:szCs w:val="22"/>
          <w:lang w:val="fr-CA"/>
        </w:rPr>
        <w:t xml:space="preserve">. </w:t>
      </w:r>
    </w:p>
    <w:p w:rsidR="00FB23D3" w:rsidRPr="00B3274C" w:rsidRDefault="000213C1" w:rsidP="005954F0">
      <w:pPr>
        <w:pStyle w:val="H23G"/>
        <w:rPr>
          <w:lang w:val="fr-CA"/>
        </w:rPr>
      </w:pPr>
      <w:r w:rsidRPr="00B3274C">
        <w:rPr>
          <w:lang w:val="fr-CA"/>
        </w:rPr>
        <w:tab/>
      </w:r>
      <w:r w:rsidR="005954F0" w:rsidRPr="00B3274C">
        <w:rPr>
          <w:lang w:val="fr-CA"/>
        </w:rPr>
        <w:t>3.</w:t>
      </w:r>
      <w:r w:rsidRPr="00B3274C">
        <w:rPr>
          <w:lang w:val="fr-CA"/>
        </w:rPr>
        <w:tab/>
      </w:r>
      <w:r w:rsidR="00562488" w:rsidRPr="00B3274C">
        <w:rPr>
          <w:lang w:val="fr-CA"/>
        </w:rPr>
        <w:t xml:space="preserve">Égalité des sexes en général </w:t>
      </w:r>
    </w:p>
    <w:p w:rsidR="00FB23D3" w:rsidRPr="00B3274C" w:rsidRDefault="00107A47" w:rsidP="00107A47">
      <w:pPr>
        <w:pStyle w:val="SingleTxtG"/>
        <w:rPr>
          <w:lang w:val="fr-CA"/>
        </w:rPr>
      </w:pPr>
      <w:r w:rsidRPr="00B3274C">
        <w:rPr>
          <w:lang w:val="fr-CA"/>
        </w:rPr>
        <w:t>35.</w:t>
      </w:r>
      <w:r w:rsidRPr="00B3274C">
        <w:rPr>
          <w:lang w:val="fr-CA"/>
        </w:rPr>
        <w:tab/>
      </w:r>
      <w:r w:rsidR="00562488" w:rsidRPr="00B3274C">
        <w:rPr>
          <w:lang w:val="fr-CA"/>
        </w:rPr>
        <w:t>Le Plan national d</w:t>
      </w:r>
      <w:r w:rsidR="0080611A">
        <w:rPr>
          <w:lang w:val="fr-CA"/>
        </w:rPr>
        <w:t>’</w:t>
      </w:r>
      <w:r w:rsidR="00562488" w:rsidRPr="00B3274C">
        <w:rPr>
          <w:lang w:val="fr-CA"/>
        </w:rPr>
        <w:t>action pour l</w:t>
      </w:r>
      <w:r w:rsidR="0080611A">
        <w:rPr>
          <w:lang w:val="fr-CA"/>
        </w:rPr>
        <w:t>’</w:t>
      </w:r>
      <w:r w:rsidR="00562488" w:rsidRPr="00B3274C">
        <w:rPr>
          <w:lang w:val="fr-CA"/>
        </w:rPr>
        <w:t>égalité réelle des sexes de la Grèce repose sur trois</w:t>
      </w:r>
      <w:r w:rsidR="00EF48BE" w:rsidRPr="00B3274C">
        <w:rPr>
          <w:lang w:val="fr-CA"/>
        </w:rPr>
        <w:t xml:space="preserve"> principes </w:t>
      </w:r>
      <w:r w:rsidR="00562488" w:rsidRPr="00B3274C">
        <w:rPr>
          <w:lang w:val="fr-CA"/>
        </w:rPr>
        <w:t>fondamentaux</w:t>
      </w:r>
      <w:r w:rsidR="00EC5892" w:rsidRPr="00B3274C">
        <w:rPr>
          <w:lang w:val="fr-CA"/>
        </w:rPr>
        <w:t>:</w:t>
      </w:r>
      <w:r w:rsidR="00562488" w:rsidRPr="00B3274C">
        <w:rPr>
          <w:lang w:val="fr-CA"/>
        </w:rPr>
        <w:t xml:space="preserve"> l</w:t>
      </w:r>
      <w:r w:rsidR="0080611A">
        <w:rPr>
          <w:lang w:val="fr-CA"/>
        </w:rPr>
        <w:t>’</w:t>
      </w:r>
      <w:r w:rsidR="00562488" w:rsidRPr="00B3274C">
        <w:rPr>
          <w:lang w:val="fr-CA"/>
        </w:rPr>
        <w:t>amélioration</w:t>
      </w:r>
      <w:r w:rsidR="0080611A">
        <w:rPr>
          <w:lang w:val="fr-CA"/>
        </w:rPr>
        <w:t>,</w:t>
      </w:r>
      <w:r w:rsidR="00562488" w:rsidRPr="00B3274C">
        <w:rPr>
          <w:lang w:val="fr-CA"/>
        </w:rPr>
        <w:t xml:space="preserve"> le </w:t>
      </w:r>
      <w:r w:rsidR="007057CA" w:rsidRPr="00B3274C">
        <w:rPr>
          <w:lang w:val="fr-CA"/>
        </w:rPr>
        <w:t>développement</w:t>
      </w:r>
      <w:r w:rsidR="00562488" w:rsidRPr="00B3274C">
        <w:rPr>
          <w:lang w:val="fr-CA"/>
        </w:rPr>
        <w:t xml:space="preserve"> et l</w:t>
      </w:r>
      <w:r w:rsidR="0080611A">
        <w:rPr>
          <w:lang w:val="fr-CA"/>
        </w:rPr>
        <w:t>’</w:t>
      </w:r>
      <w:r w:rsidR="00562488" w:rsidRPr="00B3274C">
        <w:rPr>
          <w:lang w:val="fr-CA"/>
        </w:rPr>
        <w:t>application de la législation</w:t>
      </w:r>
      <w:r w:rsidR="0080611A">
        <w:rPr>
          <w:lang w:val="fr-CA"/>
        </w:rPr>
        <w:t>,</w:t>
      </w:r>
      <w:r w:rsidR="00562488" w:rsidRPr="00B3274C">
        <w:rPr>
          <w:lang w:val="fr-CA"/>
        </w:rPr>
        <w:t xml:space="preserve"> des politiques spéciales pour l</w:t>
      </w:r>
      <w:r w:rsidR="0080611A">
        <w:rPr>
          <w:lang w:val="fr-CA"/>
        </w:rPr>
        <w:t>’</w:t>
      </w:r>
      <w:r w:rsidR="00562488" w:rsidRPr="00B3274C">
        <w:rPr>
          <w:lang w:val="fr-CA"/>
        </w:rPr>
        <w:t xml:space="preserve">égalité des sexes et </w:t>
      </w:r>
      <w:r w:rsidR="00EF48BE" w:rsidRPr="00B3274C">
        <w:rPr>
          <w:lang w:val="fr-CA"/>
        </w:rPr>
        <w:t>la promotion de l</w:t>
      </w:r>
      <w:r w:rsidR="0080611A">
        <w:rPr>
          <w:lang w:val="fr-CA"/>
        </w:rPr>
        <w:t>’</w:t>
      </w:r>
      <w:r w:rsidR="00EF48BE" w:rsidRPr="00B3274C">
        <w:rPr>
          <w:lang w:val="fr-CA"/>
        </w:rPr>
        <w:t>égalité entre hommes et femmes</w:t>
      </w:r>
      <w:r w:rsidR="00562488" w:rsidRPr="00B3274C">
        <w:rPr>
          <w:lang w:val="fr-CA"/>
        </w:rPr>
        <w:t xml:space="preserve">. </w:t>
      </w:r>
      <w:r w:rsidR="00EF48BE" w:rsidRPr="00B3274C">
        <w:rPr>
          <w:lang w:val="fr-CA"/>
        </w:rPr>
        <w:t>Dans le cadre du Programme susmentionné</w:t>
      </w:r>
      <w:r w:rsidR="0080611A">
        <w:rPr>
          <w:lang w:val="fr-CA"/>
        </w:rPr>
        <w:t>,</w:t>
      </w:r>
      <w:r w:rsidR="00EF48BE" w:rsidRPr="00B3274C">
        <w:rPr>
          <w:lang w:val="fr-CA"/>
        </w:rPr>
        <w:t xml:space="preserve"> les mesures</w:t>
      </w:r>
      <w:r w:rsidR="00AE0BF6" w:rsidRPr="00B3274C">
        <w:rPr>
          <w:lang w:val="fr-CA"/>
        </w:rPr>
        <w:t xml:space="preserve"> décrites brièvement </w:t>
      </w:r>
      <w:r w:rsidR="00EF48BE" w:rsidRPr="00B3274C">
        <w:rPr>
          <w:lang w:val="fr-CA"/>
        </w:rPr>
        <w:t>ci-après</w:t>
      </w:r>
      <w:r w:rsidR="00AA0178" w:rsidRPr="00B3274C">
        <w:rPr>
          <w:lang w:val="fr-CA"/>
        </w:rPr>
        <w:t xml:space="preserve"> (à titre indicatif)</w:t>
      </w:r>
      <w:r w:rsidR="0055418C" w:rsidRPr="00B3274C">
        <w:rPr>
          <w:lang w:val="fr-CA"/>
        </w:rPr>
        <w:t xml:space="preserve"> </w:t>
      </w:r>
      <w:r w:rsidR="00EF48BE" w:rsidRPr="00B3274C">
        <w:rPr>
          <w:lang w:val="fr-CA"/>
        </w:rPr>
        <w:t>ont été mises en œuvre</w:t>
      </w:r>
      <w:r w:rsidR="00EC5892" w:rsidRPr="00B3274C">
        <w:rPr>
          <w:lang w:val="fr-CA"/>
        </w:rPr>
        <w:t>:</w:t>
      </w:r>
      <w:r w:rsidR="00FB23D3" w:rsidRPr="00B3274C">
        <w:rPr>
          <w:lang w:val="fr-CA"/>
        </w:rPr>
        <w:t xml:space="preserve"> </w:t>
      </w:r>
    </w:p>
    <w:p w:rsidR="00FB23D3" w:rsidRPr="00B3274C" w:rsidRDefault="00403056" w:rsidP="005954F0">
      <w:pPr>
        <w:pStyle w:val="SingleTxtG"/>
        <w:rPr>
          <w:lang w:val="fr-CA"/>
        </w:rPr>
      </w:pPr>
      <w:r w:rsidRPr="00B3274C">
        <w:rPr>
          <w:lang w:val="fr-CA"/>
        </w:rPr>
        <w:tab/>
      </w:r>
      <w:r w:rsidR="005954F0" w:rsidRPr="00B3274C">
        <w:rPr>
          <w:lang w:val="fr-CA"/>
        </w:rPr>
        <w:t>a)</w:t>
      </w:r>
      <w:r w:rsidR="005954F0" w:rsidRPr="00B3274C">
        <w:rPr>
          <w:lang w:val="fr-CA"/>
        </w:rPr>
        <w:tab/>
      </w:r>
      <w:r w:rsidR="00EF48BE" w:rsidRPr="00B3274C">
        <w:rPr>
          <w:i/>
          <w:lang w:val="fr-CA"/>
        </w:rPr>
        <w:t>Politiques relatives à l</w:t>
      </w:r>
      <w:r w:rsidR="0080611A">
        <w:rPr>
          <w:i/>
          <w:lang w:val="fr-CA"/>
        </w:rPr>
        <w:t>’</w:t>
      </w:r>
      <w:r w:rsidR="00EF48BE" w:rsidRPr="00B3274C">
        <w:rPr>
          <w:i/>
          <w:lang w:val="fr-CA"/>
        </w:rPr>
        <w:t>égalité des sexes</w:t>
      </w:r>
    </w:p>
    <w:p w:rsidR="00FB23D3" w:rsidRPr="00B3274C" w:rsidRDefault="005954F0" w:rsidP="005954F0">
      <w:pPr>
        <w:pStyle w:val="SingleTxtG"/>
        <w:ind w:left="1702" w:hanging="1"/>
        <w:rPr>
          <w:lang w:val="fr-CA"/>
        </w:rPr>
      </w:pPr>
      <w:r w:rsidRPr="00B3274C">
        <w:rPr>
          <w:lang w:val="fr-CA"/>
        </w:rPr>
        <w:t>i)</w:t>
      </w:r>
      <w:r w:rsidRPr="00B3274C">
        <w:rPr>
          <w:lang w:val="fr-CA"/>
        </w:rPr>
        <w:tab/>
      </w:r>
      <w:r w:rsidR="00D15F1C" w:rsidRPr="00B3274C">
        <w:rPr>
          <w:lang w:val="fr-CA"/>
        </w:rPr>
        <w:t>Création et fonctionnement d</w:t>
      </w:r>
      <w:r w:rsidR="0080611A">
        <w:rPr>
          <w:lang w:val="fr-CA"/>
        </w:rPr>
        <w:t>’</w:t>
      </w:r>
      <w:r w:rsidR="00D15F1C" w:rsidRPr="00B3274C">
        <w:rPr>
          <w:lang w:val="fr-CA"/>
        </w:rPr>
        <w:t>une structure globale de prévention</w:t>
      </w:r>
      <w:r w:rsidR="0080611A">
        <w:rPr>
          <w:lang w:val="fr-CA"/>
        </w:rPr>
        <w:t>,</w:t>
      </w:r>
      <w:r w:rsidR="00D15F1C" w:rsidRPr="00B3274C">
        <w:rPr>
          <w:lang w:val="fr-CA"/>
        </w:rPr>
        <w:t xml:space="preserve"> de lutte et de soutien aux victimes de la violence sexiste dans l</w:t>
      </w:r>
      <w:r w:rsidR="0080611A">
        <w:rPr>
          <w:lang w:val="fr-CA"/>
        </w:rPr>
        <w:t>’</w:t>
      </w:r>
      <w:r w:rsidR="00D15F1C" w:rsidRPr="00B3274C">
        <w:rPr>
          <w:lang w:val="fr-CA"/>
        </w:rPr>
        <w:t xml:space="preserve">ensemble du pays </w:t>
      </w:r>
      <w:r w:rsidR="009820C4" w:rsidRPr="00B3274C">
        <w:rPr>
          <w:lang w:val="fr-CA"/>
        </w:rPr>
        <w:t>(centres de conseil familial et foyers d</w:t>
      </w:r>
      <w:r w:rsidR="0080611A">
        <w:rPr>
          <w:lang w:val="fr-CA"/>
        </w:rPr>
        <w:t>’</w:t>
      </w:r>
      <w:r w:rsidR="009820C4" w:rsidRPr="00B3274C">
        <w:rPr>
          <w:lang w:val="fr-CA"/>
        </w:rPr>
        <w:t xml:space="preserve">hébergement </w:t>
      </w:r>
      <w:r w:rsidR="008518F0" w:rsidRPr="00B3274C">
        <w:rPr>
          <w:lang w:val="fr-CA"/>
        </w:rPr>
        <w:t>inclus)</w:t>
      </w:r>
      <w:r w:rsidR="0080611A">
        <w:rPr>
          <w:lang w:val="fr-CA"/>
        </w:rPr>
        <w:t>,</w:t>
      </w:r>
      <w:r w:rsidR="008518F0" w:rsidRPr="00B3274C">
        <w:rPr>
          <w:lang w:val="fr-CA"/>
        </w:rPr>
        <w:t xml:space="preserve"> </w:t>
      </w:r>
      <w:r w:rsidR="009820C4" w:rsidRPr="00B3274C">
        <w:rPr>
          <w:lang w:val="fr-CA"/>
        </w:rPr>
        <w:t>décrit</w:t>
      </w:r>
      <w:r w:rsidR="008518F0" w:rsidRPr="00B3274C">
        <w:rPr>
          <w:lang w:val="fr-CA"/>
        </w:rPr>
        <w:t>e</w:t>
      </w:r>
      <w:r w:rsidR="009820C4" w:rsidRPr="00B3274C">
        <w:rPr>
          <w:lang w:val="fr-CA"/>
        </w:rPr>
        <w:t xml:space="preserve"> clairement dans le Plan national d</w:t>
      </w:r>
      <w:r w:rsidR="0080611A">
        <w:rPr>
          <w:lang w:val="fr-CA"/>
        </w:rPr>
        <w:t>’</w:t>
      </w:r>
      <w:r w:rsidR="009820C4" w:rsidRPr="00B3274C">
        <w:rPr>
          <w:lang w:val="fr-CA"/>
        </w:rPr>
        <w:t>action contre la violence à l</w:t>
      </w:r>
      <w:r w:rsidR="0080611A">
        <w:rPr>
          <w:lang w:val="fr-CA"/>
        </w:rPr>
        <w:t>’</w:t>
      </w:r>
      <w:r w:rsidR="009820C4" w:rsidRPr="00B3274C">
        <w:rPr>
          <w:lang w:val="fr-CA"/>
        </w:rPr>
        <w:t xml:space="preserve">égard des femmes </w:t>
      </w:r>
      <w:r w:rsidR="00FB23D3" w:rsidRPr="00B3274C">
        <w:rPr>
          <w:lang w:val="fr-CA"/>
        </w:rPr>
        <w:t>2009-2013</w:t>
      </w:r>
      <w:r w:rsidR="009820C4" w:rsidRPr="00B3274C">
        <w:rPr>
          <w:lang w:val="fr-CA"/>
        </w:rPr>
        <w:t xml:space="preserve"> </w:t>
      </w:r>
      <w:r w:rsidR="008518F0" w:rsidRPr="00B3274C">
        <w:rPr>
          <w:lang w:val="fr-CA"/>
        </w:rPr>
        <w:t>intégré au</w:t>
      </w:r>
      <w:r w:rsidR="009820C4" w:rsidRPr="00B3274C">
        <w:rPr>
          <w:lang w:val="fr-CA"/>
        </w:rPr>
        <w:t xml:space="preserve"> Plan national d</w:t>
      </w:r>
      <w:r w:rsidR="0080611A">
        <w:rPr>
          <w:lang w:val="fr-CA"/>
        </w:rPr>
        <w:t>’</w:t>
      </w:r>
      <w:r w:rsidR="009820C4" w:rsidRPr="00B3274C">
        <w:rPr>
          <w:lang w:val="fr-CA"/>
        </w:rPr>
        <w:t>action pour l</w:t>
      </w:r>
      <w:r w:rsidR="0080611A">
        <w:rPr>
          <w:lang w:val="fr-CA"/>
        </w:rPr>
        <w:t>’</w:t>
      </w:r>
      <w:r w:rsidR="009820C4" w:rsidRPr="00B3274C">
        <w:rPr>
          <w:lang w:val="fr-CA"/>
        </w:rPr>
        <w:t>égalité r</w:t>
      </w:r>
      <w:r w:rsidR="008518F0" w:rsidRPr="00B3274C">
        <w:rPr>
          <w:lang w:val="fr-CA"/>
        </w:rPr>
        <w:t xml:space="preserve">éelle des sexes </w:t>
      </w:r>
      <w:r w:rsidR="009820C4" w:rsidRPr="00B3274C">
        <w:rPr>
          <w:lang w:val="fr-CA"/>
        </w:rPr>
        <w:t>2010-2013</w:t>
      </w:r>
      <w:r w:rsidRPr="00B3274C">
        <w:rPr>
          <w:lang w:val="fr-CA"/>
        </w:rPr>
        <w:t>;</w:t>
      </w:r>
    </w:p>
    <w:p w:rsidR="00FB23D3" w:rsidRPr="00B3274C" w:rsidRDefault="005954F0" w:rsidP="005954F0">
      <w:pPr>
        <w:pStyle w:val="SingleTxtG"/>
        <w:ind w:left="1702" w:hanging="1"/>
        <w:rPr>
          <w:lang w:val="fr-CA"/>
        </w:rPr>
      </w:pPr>
      <w:r w:rsidRPr="00B3274C">
        <w:rPr>
          <w:lang w:val="fr-CA"/>
        </w:rPr>
        <w:t>ii)</w:t>
      </w:r>
      <w:r w:rsidRPr="00B3274C">
        <w:rPr>
          <w:lang w:val="fr-CA"/>
        </w:rPr>
        <w:tab/>
      </w:r>
      <w:bookmarkStart w:id="0" w:name="OLE_LINK5"/>
      <w:bookmarkStart w:id="1" w:name="OLE_LINK6"/>
      <w:r w:rsidR="00AE0BF6" w:rsidRPr="00B3274C">
        <w:rPr>
          <w:lang w:val="fr-CA"/>
        </w:rPr>
        <w:t xml:space="preserve">Mise en service de la ligne téléphonique bilingue (grec et anglais) </w:t>
      </w:r>
      <w:bookmarkEnd w:id="0"/>
      <w:bookmarkEnd w:id="1"/>
      <w:r w:rsidR="00FB23D3" w:rsidRPr="00B3274C">
        <w:rPr>
          <w:lang w:val="fr-CA"/>
        </w:rPr>
        <w:t xml:space="preserve">SOS 15900 </w:t>
      </w:r>
      <w:r w:rsidR="00AE0BF6" w:rsidRPr="00B3274C">
        <w:rPr>
          <w:lang w:val="fr-CA"/>
        </w:rPr>
        <w:t>pour le soutien aux victimes de la violence sexiste. La ligne fonctionne 24 heures sur</w:t>
      </w:r>
      <w:r w:rsidR="0066567B">
        <w:rPr>
          <w:lang w:val="fr-CA"/>
        </w:rPr>
        <w:t> </w:t>
      </w:r>
      <w:r w:rsidR="00AE0BF6" w:rsidRPr="00B3274C">
        <w:rPr>
          <w:lang w:val="fr-CA"/>
        </w:rPr>
        <w:t>24 et 365</w:t>
      </w:r>
      <w:r w:rsidR="000F4581">
        <w:rPr>
          <w:lang w:val="fr-CA"/>
        </w:rPr>
        <w:t> jours</w:t>
      </w:r>
      <w:r w:rsidR="00AE0BF6" w:rsidRPr="00B3274C">
        <w:rPr>
          <w:lang w:val="fr-CA"/>
        </w:rPr>
        <w:t xml:space="preserve"> par an et offre des services d</w:t>
      </w:r>
      <w:r w:rsidR="0080611A">
        <w:rPr>
          <w:lang w:val="fr-CA"/>
        </w:rPr>
        <w:t>’</w:t>
      </w:r>
      <w:r w:rsidR="00AE0BF6" w:rsidRPr="00B3274C">
        <w:rPr>
          <w:lang w:val="fr-CA"/>
        </w:rPr>
        <w:t>information spécialisée et de conseils aux femmes victimes de toute forme de violence (violence familiale</w:t>
      </w:r>
      <w:r w:rsidR="0080611A">
        <w:rPr>
          <w:lang w:val="fr-CA"/>
        </w:rPr>
        <w:t>,</w:t>
      </w:r>
      <w:r w:rsidR="00AE0BF6" w:rsidRPr="00B3274C">
        <w:rPr>
          <w:lang w:val="fr-CA"/>
        </w:rPr>
        <w:t xml:space="preserve"> viol</w:t>
      </w:r>
      <w:r w:rsidR="0080611A">
        <w:rPr>
          <w:lang w:val="fr-CA"/>
        </w:rPr>
        <w:t>,</w:t>
      </w:r>
      <w:r w:rsidR="00AE0BF6" w:rsidRPr="00B3274C">
        <w:rPr>
          <w:lang w:val="fr-CA"/>
        </w:rPr>
        <w:t xml:space="preserve"> harcèlement sexuel</w:t>
      </w:r>
      <w:r w:rsidR="0080611A">
        <w:rPr>
          <w:lang w:val="fr-CA"/>
        </w:rPr>
        <w:t>,</w:t>
      </w:r>
      <w:r w:rsidR="00AE0BF6" w:rsidRPr="00B3274C">
        <w:rPr>
          <w:lang w:val="fr-CA"/>
        </w:rPr>
        <w:t xml:space="preserve"> traite)</w:t>
      </w:r>
      <w:r w:rsidRPr="00B3274C">
        <w:rPr>
          <w:lang w:val="fr-CA"/>
        </w:rPr>
        <w:t>;</w:t>
      </w:r>
      <w:r w:rsidR="00047D7A" w:rsidRPr="00B3274C">
        <w:rPr>
          <w:lang w:val="fr-CA"/>
        </w:rPr>
        <w:t xml:space="preserve"> </w:t>
      </w:r>
    </w:p>
    <w:p w:rsidR="00FB23D3" w:rsidRPr="00B3274C" w:rsidRDefault="005954F0" w:rsidP="005954F0">
      <w:pPr>
        <w:pStyle w:val="SingleTxtG"/>
        <w:ind w:left="1702" w:hanging="1"/>
        <w:rPr>
          <w:lang w:val="fr-CA"/>
        </w:rPr>
      </w:pPr>
      <w:r w:rsidRPr="00B3274C">
        <w:rPr>
          <w:lang w:val="fr-CA"/>
        </w:rPr>
        <w:t>iii)</w:t>
      </w:r>
      <w:r w:rsidR="000213C1" w:rsidRPr="00B3274C">
        <w:rPr>
          <w:lang w:val="fr-CA"/>
        </w:rPr>
        <w:tab/>
      </w:r>
      <w:r w:rsidR="00AE0BF6" w:rsidRPr="00B3274C">
        <w:rPr>
          <w:lang w:val="fr-CA"/>
        </w:rPr>
        <w:t>Création d</w:t>
      </w:r>
      <w:r w:rsidR="0080611A">
        <w:rPr>
          <w:lang w:val="fr-CA"/>
        </w:rPr>
        <w:t>’</w:t>
      </w:r>
      <w:r w:rsidR="00AE0BF6" w:rsidRPr="00B3274C">
        <w:rPr>
          <w:lang w:val="fr-CA"/>
        </w:rPr>
        <w:t>une structure de contrôle des politiques relatives à l</w:t>
      </w:r>
      <w:r w:rsidR="0080611A">
        <w:rPr>
          <w:lang w:val="fr-CA"/>
        </w:rPr>
        <w:t>’</w:t>
      </w:r>
      <w:r w:rsidR="00AE0BF6" w:rsidRPr="00B3274C">
        <w:rPr>
          <w:lang w:val="fr-CA"/>
        </w:rPr>
        <w:t>égalité des sexes par la mise en place d</w:t>
      </w:r>
      <w:r w:rsidR="0080611A">
        <w:rPr>
          <w:lang w:val="fr-CA"/>
        </w:rPr>
        <w:t>’</w:t>
      </w:r>
      <w:r w:rsidR="00AE0BF6" w:rsidRPr="00B3274C">
        <w:rPr>
          <w:lang w:val="fr-CA"/>
        </w:rPr>
        <w:t>un mécanisme/observatoire spécialisé</w:t>
      </w:r>
      <w:r w:rsidR="0080611A">
        <w:rPr>
          <w:lang w:val="fr-CA"/>
        </w:rPr>
        <w:t>,</w:t>
      </w:r>
      <w:r w:rsidR="00AE0BF6" w:rsidRPr="00B3274C">
        <w:rPr>
          <w:lang w:val="fr-CA"/>
        </w:rPr>
        <w:t xml:space="preserve"> chargé de la surveillance et du suivi de l</w:t>
      </w:r>
      <w:r w:rsidR="0080611A">
        <w:rPr>
          <w:lang w:val="fr-CA"/>
        </w:rPr>
        <w:t>’</w:t>
      </w:r>
      <w:r w:rsidR="00AE0BF6" w:rsidRPr="00B3274C">
        <w:rPr>
          <w:lang w:val="fr-CA"/>
        </w:rPr>
        <w:t>égalité entre les sexes dans l</w:t>
      </w:r>
      <w:r w:rsidR="0080611A">
        <w:rPr>
          <w:lang w:val="fr-CA"/>
        </w:rPr>
        <w:t>’</w:t>
      </w:r>
      <w:r w:rsidR="00AE0BF6" w:rsidRPr="00B3274C">
        <w:rPr>
          <w:lang w:val="fr-CA"/>
        </w:rPr>
        <w:t>ensemble des politiques d</w:t>
      </w:r>
      <w:r w:rsidR="0030117C" w:rsidRPr="00B3274C">
        <w:rPr>
          <w:lang w:val="fr-CA"/>
        </w:rPr>
        <w:t>e l</w:t>
      </w:r>
      <w:r w:rsidR="0080611A">
        <w:rPr>
          <w:lang w:val="fr-CA"/>
        </w:rPr>
        <w:t>’</w:t>
      </w:r>
      <w:r w:rsidR="00AE0BF6" w:rsidRPr="00B3274C">
        <w:rPr>
          <w:lang w:val="fr-CA"/>
        </w:rPr>
        <w:t>État</w:t>
      </w:r>
      <w:r w:rsidR="0080611A">
        <w:rPr>
          <w:lang w:val="fr-CA"/>
        </w:rPr>
        <w:t>,</w:t>
      </w:r>
      <w:r w:rsidR="0030117C" w:rsidRPr="00B3274C">
        <w:rPr>
          <w:lang w:val="fr-CA"/>
        </w:rPr>
        <w:t xml:space="preserve"> de l</w:t>
      </w:r>
      <w:r w:rsidR="0080611A">
        <w:rPr>
          <w:lang w:val="fr-CA"/>
        </w:rPr>
        <w:t>’</w:t>
      </w:r>
      <w:r w:rsidR="0030117C" w:rsidRPr="00B3274C">
        <w:rPr>
          <w:lang w:val="fr-CA"/>
        </w:rPr>
        <w:t>évaluation des effets de l</w:t>
      </w:r>
      <w:r w:rsidR="0080611A">
        <w:rPr>
          <w:lang w:val="fr-CA"/>
        </w:rPr>
        <w:t>’</w:t>
      </w:r>
      <w:r w:rsidR="0030117C" w:rsidRPr="00B3274C">
        <w:rPr>
          <w:lang w:val="fr-CA"/>
        </w:rPr>
        <w:t>égalité entre les sexes</w:t>
      </w:r>
      <w:r w:rsidR="00AE0BF6" w:rsidRPr="00B3274C">
        <w:rPr>
          <w:lang w:val="fr-CA"/>
        </w:rPr>
        <w:t xml:space="preserve"> </w:t>
      </w:r>
      <w:r w:rsidR="0030117C" w:rsidRPr="00B3274C">
        <w:rPr>
          <w:lang w:val="fr-CA"/>
        </w:rPr>
        <w:t>et de l</w:t>
      </w:r>
      <w:r w:rsidR="0080611A">
        <w:rPr>
          <w:lang w:val="fr-CA"/>
        </w:rPr>
        <w:t>’</w:t>
      </w:r>
      <w:r w:rsidR="0030117C" w:rsidRPr="00B3274C">
        <w:rPr>
          <w:lang w:val="fr-CA"/>
        </w:rPr>
        <w:t>intégration de la perspective hommes-femmes dans la gestion des affaires publiques et les administrations locales</w:t>
      </w:r>
      <w:r w:rsidRPr="00B3274C">
        <w:rPr>
          <w:lang w:val="fr-CA"/>
        </w:rPr>
        <w:t>;</w:t>
      </w:r>
    </w:p>
    <w:p w:rsidR="00FB23D3" w:rsidRPr="00B3274C" w:rsidRDefault="005954F0" w:rsidP="005954F0">
      <w:pPr>
        <w:pStyle w:val="SingleTxtG"/>
        <w:ind w:left="1702" w:hanging="1"/>
        <w:rPr>
          <w:lang w:val="fr-CA"/>
        </w:rPr>
      </w:pPr>
      <w:r w:rsidRPr="00B3274C">
        <w:rPr>
          <w:lang w:val="fr-CA"/>
        </w:rPr>
        <w:t>iv)</w:t>
      </w:r>
      <w:r w:rsidR="000213C1" w:rsidRPr="00B3274C">
        <w:rPr>
          <w:lang w:val="fr-CA"/>
        </w:rPr>
        <w:tab/>
      </w:r>
      <w:r w:rsidR="004272D2" w:rsidRPr="00B3274C">
        <w:rPr>
          <w:lang w:val="fr-CA"/>
        </w:rPr>
        <w:t>Soutien aux organisations de femmes et aux ONG spécialisées dans l</w:t>
      </w:r>
      <w:r w:rsidR="0080611A">
        <w:rPr>
          <w:lang w:val="fr-CA"/>
        </w:rPr>
        <w:t>’</w:t>
      </w:r>
      <w:r w:rsidR="004272D2" w:rsidRPr="00B3274C">
        <w:rPr>
          <w:lang w:val="fr-CA"/>
        </w:rPr>
        <w:t>égalité des sexes et la protection des droits fondamentaux pour élaborer et mettre en œuvre des plans d</w:t>
      </w:r>
      <w:r w:rsidR="0080611A">
        <w:rPr>
          <w:lang w:val="fr-CA"/>
        </w:rPr>
        <w:t>’</w:t>
      </w:r>
      <w:r w:rsidR="004272D2" w:rsidRPr="00B3274C">
        <w:rPr>
          <w:lang w:val="fr-CA"/>
        </w:rPr>
        <w:t>action en faveur de l</w:t>
      </w:r>
      <w:r w:rsidR="0080611A">
        <w:rPr>
          <w:lang w:val="fr-CA"/>
        </w:rPr>
        <w:t>’</w:t>
      </w:r>
      <w:r w:rsidR="004272D2" w:rsidRPr="00B3274C">
        <w:rPr>
          <w:lang w:val="fr-CA"/>
        </w:rPr>
        <w:t>égalité des sexes d</w:t>
      </w:r>
      <w:r w:rsidR="0080611A">
        <w:rPr>
          <w:lang w:val="fr-CA"/>
        </w:rPr>
        <w:t>’</w:t>
      </w:r>
      <w:r w:rsidR="004272D2" w:rsidRPr="00B3274C">
        <w:rPr>
          <w:lang w:val="fr-CA"/>
        </w:rPr>
        <w:t>une durée de deux</w:t>
      </w:r>
      <w:r w:rsidR="004C055A">
        <w:rPr>
          <w:lang w:val="fr-CA"/>
        </w:rPr>
        <w:t> ans</w:t>
      </w:r>
      <w:r w:rsidR="00505C13" w:rsidRPr="00B3274C">
        <w:rPr>
          <w:lang w:val="fr-CA"/>
        </w:rPr>
        <w:t>;</w:t>
      </w:r>
      <w:r w:rsidR="00FB23D3" w:rsidRPr="00B3274C">
        <w:rPr>
          <w:lang w:val="fr-CA"/>
        </w:rPr>
        <w:t xml:space="preserve"> </w:t>
      </w:r>
    </w:p>
    <w:p w:rsidR="00FB23D3" w:rsidRPr="00B3274C" w:rsidRDefault="005954F0" w:rsidP="005954F0">
      <w:pPr>
        <w:pStyle w:val="SingleTxtG"/>
        <w:ind w:left="1702" w:hanging="1"/>
        <w:rPr>
          <w:lang w:val="fr-CA"/>
        </w:rPr>
      </w:pPr>
      <w:r w:rsidRPr="00B3274C">
        <w:rPr>
          <w:lang w:val="fr-CA"/>
        </w:rPr>
        <w:t>v)</w:t>
      </w:r>
      <w:r w:rsidR="000213C1" w:rsidRPr="00B3274C">
        <w:rPr>
          <w:lang w:val="fr-CA"/>
        </w:rPr>
        <w:tab/>
      </w:r>
      <w:r w:rsidR="004272D2" w:rsidRPr="00B3274C">
        <w:rPr>
          <w:lang w:val="fr-CA"/>
        </w:rPr>
        <w:t>Élaboration d</w:t>
      </w:r>
      <w:r w:rsidR="0080611A">
        <w:rPr>
          <w:lang w:val="fr-CA"/>
        </w:rPr>
        <w:t>’</w:t>
      </w:r>
      <w:r w:rsidR="004272D2" w:rsidRPr="00B3274C">
        <w:rPr>
          <w:lang w:val="fr-CA"/>
        </w:rPr>
        <w:t>un manuel à l</w:t>
      </w:r>
      <w:r w:rsidR="0080611A">
        <w:rPr>
          <w:lang w:val="fr-CA"/>
        </w:rPr>
        <w:t>’</w:t>
      </w:r>
      <w:r w:rsidR="004272D2" w:rsidRPr="00B3274C">
        <w:rPr>
          <w:lang w:val="fr-CA"/>
        </w:rPr>
        <w:t>intention des professionnels qui s</w:t>
      </w:r>
      <w:r w:rsidR="0080611A">
        <w:rPr>
          <w:lang w:val="fr-CA"/>
        </w:rPr>
        <w:t>’</w:t>
      </w:r>
      <w:r w:rsidR="004272D2" w:rsidRPr="00B3274C">
        <w:rPr>
          <w:lang w:val="fr-CA"/>
        </w:rPr>
        <w:t>occupent des réfugiés</w:t>
      </w:r>
      <w:r w:rsidR="0080611A">
        <w:rPr>
          <w:lang w:val="fr-CA"/>
        </w:rPr>
        <w:t>,</w:t>
      </w:r>
      <w:r w:rsidR="004272D2" w:rsidRPr="00B3274C">
        <w:rPr>
          <w:lang w:val="fr-CA"/>
        </w:rPr>
        <w:t xml:space="preserve"> axé sur la protection des femmes réfugiées. Ce manuel a été établi par le Secrétariat général </w:t>
      </w:r>
      <w:r w:rsidR="00843BEC" w:rsidRPr="00B3274C">
        <w:rPr>
          <w:lang w:val="fr-CA"/>
        </w:rPr>
        <w:t>à</w:t>
      </w:r>
      <w:r w:rsidR="004272D2" w:rsidRPr="00B3274C">
        <w:rPr>
          <w:lang w:val="fr-CA"/>
        </w:rPr>
        <w:t xml:space="preserve"> l</w:t>
      </w:r>
      <w:r w:rsidR="0080611A">
        <w:rPr>
          <w:lang w:val="fr-CA"/>
        </w:rPr>
        <w:t>’</w:t>
      </w:r>
      <w:r w:rsidR="004272D2" w:rsidRPr="00B3274C">
        <w:rPr>
          <w:lang w:val="fr-CA"/>
        </w:rPr>
        <w:t>égalité des sexes en coopération avec le Haut</w:t>
      </w:r>
      <w:r w:rsidR="00653725" w:rsidRPr="00B3274C">
        <w:rPr>
          <w:lang w:val="fr-CA"/>
        </w:rPr>
        <w:t>-</w:t>
      </w:r>
      <w:r w:rsidR="004272D2" w:rsidRPr="00B3274C">
        <w:rPr>
          <w:lang w:val="fr-CA"/>
        </w:rPr>
        <w:t>Commissariat des Nations Unies pour les réfugiés</w:t>
      </w:r>
      <w:r w:rsidR="00505C13" w:rsidRPr="00B3274C">
        <w:rPr>
          <w:lang w:val="fr-CA"/>
        </w:rPr>
        <w:t>;</w:t>
      </w:r>
    </w:p>
    <w:p w:rsidR="00FB23D3" w:rsidRPr="00B3274C" w:rsidRDefault="005954F0" w:rsidP="005954F0">
      <w:pPr>
        <w:pStyle w:val="SingleTxtG"/>
        <w:ind w:left="1702" w:hanging="1"/>
        <w:rPr>
          <w:lang w:val="fr-CA"/>
        </w:rPr>
      </w:pPr>
      <w:r w:rsidRPr="00B3274C">
        <w:rPr>
          <w:lang w:val="fr-CA"/>
        </w:rPr>
        <w:t>vi)</w:t>
      </w:r>
      <w:r w:rsidR="000213C1" w:rsidRPr="00B3274C">
        <w:rPr>
          <w:lang w:val="fr-CA"/>
        </w:rPr>
        <w:tab/>
      </w:r>
      <w:r w:rsidR="00C346DE" w:rsidRPr="00B3274C">
        <w:rPr>
          <w:lang w:val="fr-CA"/>
        </w:rPr>
        <w:t>Amélioration des services offerts par la Bibliothèque</w:t>
      </w:r>
      <w:r w:rsidR="00D365E5" w:rsidRPr="00B3274C">
        <w:rPr>
          <w:lang w:val="fr-CA"/>
        </w:rPr>
        <w:t xml:space="preserve"> spécialisée dans les questions d</w:t>
      </w:r>
      <w:r w:rsidR="0080611A">
        <w:rPr>
          <w:lang w:val="fr-CA"/>
        </w:rPr>
        <w:t>’</w:t>
      </w:r>
      <w:r w:rsidR="00D365E5" w:rsidRPr="00B3274C">
        <w:rPr>
          <w:lang w:val="fr-CA"/>
        </w:rPr>
        <w:t>égalité et en particulier d</w:t>
      </w:r>
      <w:r w:rsidR="0080611A">
        <w:rPr>
          <w:lang w:val="fr-CA"/>
        </w:rPr>
        <w:t>’</w:t>
      </w:r>
      <w:r w:rsidR="00D365E5" w:rsidRPr="00B3274C">
        <w:rPr>
          <w:lang w:val="fr-CA"/>
        </w:rPr>
        <w:t xml:space="preserve">égalité entre hommes et femmes et le Secrétariat général </w:t>
      </w:r>
      <w:r w:rsidR="00843BEC" w:rsidRPr="00B3274C">
        <w:rPr>
          <w:lang w:val="fr-CA"/>
        </w:rPr>
        <w:t>à</w:t>
      </w:r>
      <w:r w:rsidR="00D365E5" w:rsidRPr="00B3274C">
        <w:rPr>
          <w:lang w:val="fr-CA"/>
        </w:rPr>
        <w:t xml:space="preserve"> l</w:t>
      </w:r>
      <w:r w:rsidR="0080611A">
        <w:rPr>
          <w:lang w:val="fr-CA"/>
        </w:rPr>
        <w:t>’</w:t>
      </w:r>
      <w:r w:rsidR="00D365E5" w:rsidRPr="00B3274C">
        <w:rPr>
          <w:lang w:val="fr-CA"/>
        </w:rPr>
        <w:t>égalité des sexes par la numérisation et l</w:t>
      </w:r>
      <w:r w:rsidR="0080611A">
        <w:rPr>
          <w:lang w:val="fr-CA"/>
        </w:rPr>
        <w:t>’</w:t>
      </w:r>
      <w:r w:rsidR="00D365E5" w:rsidRPr="00B3274C">
        <w:rPr>
          <w:lang w:val="fr-CA"/>
        </w:rPr>
        <w:t>adoption de systèmes informatiques de pointe</w:t>
      </w:r>
      <w:r w:rsidR="00505C13" w:rsidRPr="00B3274C">
        <w:rPr>
          <w:lang w:val="fr-CA"/>
        </w:rPr>
        <w:t>;</w:t>
      </w:r>
    </w:p>
    <w:p w:rsidR="00FB23D3" w:rsidRPr="00B3274C" w:rsidRDefault="005954F0" w:rsidP="005954F0">
      <w:pPr>
        <w:pStyle w:val="SingleTxtG"/>
        <w:ind w:left="1702" w:hanging="1"/>
        <w:rPr>
          <w:lang w:val="fr-CA"/>
        </w:rPr>
      </w:pPr>
      <w:r w:rsidRPr="00B3274C">
        <w:rPr>
          <w:lang w:val="fr-CA"/>
        </w:rPr>
        <w:t>vii)</w:t>
      </w:r>
      <w:r w:rsidR="000213C1" w:rsidRPr="00B3274C">
        <w:rPr>
          <w:lang w:val="fr-CA"/>
        </w:rPr>
        <w:tab/>
      </w:r>
      <w:r w:rsidR="003C26AA" w:rsidRPr="00B3274C">
        <w:rPr>
          <w:lang w:val="fr-CA"/>
        </w:rPr>
        <w:t>Mise en œuvre d</w:t>
      </w:r>
      <w:r w:rsidR="0080611A">
        <w:rPr>
          <w:lang w:val="fr-CA"/>
        </w:rPr>
        <w:t>’</w:t>
      </w:r>
      <w:r w:rsidR="003C26AA" w:rsidRPr="00B3274C">
        <w:rPr>
          <w:lang w:val="fr-CA"/>
        </w:rPr>
        <w:t>un projet spécifique par l</w:t>
      </w:r>
      <w:r w:rsidR="0080611A">
        <w:rPr>
          <w:lang w:val="fr-CA"/>
        </w:rPr>
        <w:t>’</w:t>
      </w:r>
      <w:r w:rsidR="00467AEA" w:rsidRPr="00B3274C">
        <w:rPr>
          <w:lang w:val="fr-CA"/>
        </w:rPr>
        <w:t>A</w:t>
      </w:r>
      <w:r w:rsidR="003C26AA" w:rsidRPr="00B3274C">
        <w:rPr>
          <w:lang w:val="fr-CA"/>
        </w:rPr>
        <w:t>gence grecque pour l</w:t>
      </w:r>
      <w:r w:rsidR="0080611A">
        <w:rPr>
          <w:lang w:val="fr-CA"/>
        </w:rPr>
        <w:t>’</w:t>
      </w:r>
      <w:r w:rsidR="003C26AA" w:rsidRPr="00B3274C">
        <w:rPr>
          <w:lang w:val="fr-CA"/>
        </w:rPr>
        <w:t>emploi (</w:t>
      </w:r>
      <w:r w:rsidR="00FB23D3" w:rsidRPr="00B3274C">
        <w:rPr>
          <w:lang w:val="fr-CA"/>
        </w:rPr>
        <w:t>OAED</w:t>
      </w:r>
      <w:r w:rsidR="003C26AA" w:rsidRPr="00B3274C">
        <w:rPr>
          <w:lang w:val="fr-CA"/>
        </w:rPr>
        <w:t>)</w:t>
      </w:r>
      <w:r w:rsidR="00FB23D3" w:rsidRPr="00B3274C">
        <w:rPr>
          <w:lang w:val="fr-CA"/>
        </w:rPr>
        <w:t xml:space="preserve"> </w:t>
      </w:r>
      <w:r w:rsidR="003C26AA" w:rsidRPr="00B3274C">
        <w:rPr>
          <w:lang w:val="fr-CA"/>
        </w:rPr>
        <w:t>visant à promouvoir l</w:t>
      </w:r>
      <w:r w:rsidR="0080611A">
        <w:rPr>
          <w:lang w:val="fr-CA"/>
        </w:rPr>
        <w:t>’</w:t>
      </w:r>
      <w:r w:rsidR="003C26AA" w:rsidRPr="00B3274C">
        <w:rPr>
          <w:lang w:val="fr-CA"/>
        </w:rPr>
        <w:t>esprit d</w:t>
      </w:r>
      <w:r w:rsidR="0080611A">
        <w:rPr>
          <w:lang w:val="fr-CA"/>
        </w:rPr>
        <w:t>’</w:t>
      </w:r>
      <w:r w:rsidR="003C26AA" w:rsidRPr="00B3274C">
        <w:rPr>
          <w:lang w:val="fr-CA"/>
        </w:rPr>
        <w:t>entreprise parmi les femmes</w:t>
      </w:r>
      <w:r w:rsidR="0080611A">
        <w:rPr>
          <w:lang w:val="fr-CA"/>
        </w:rPr>
        <w:t>,</w:t>
      </w:r>
      <w:r w:rsidR="000F4581">
        <w:rPr>
          <w:lang w:val="fr-CA"/>
        </w:rPr>
        <w:t xml:space="preserve"> pour 4 000 </w:t>
      </w:r>
      <w:r w:rsidR="003C26AA" w:rsidRPr="00B3274C">
        <w:rPr>
          <w:lang w:val="fr-CA"/>
        </w:rPr>
        <w:t>femmes au chômage âgées de 22 à 64</w:t>
      </w:r>
      <w:r w:rsidR="004C055A">
        <w:rPr>
          <w:lang w:val="fr-CA"/>
        </w:rPr>
        <w:t> ans</w:t>
      </w:r>
      <w:r w:rsidR="003C26AA" w:rsidRPr="00B3274C">
        <w:rPr>
          <w:lang w:val="fr-CA"/>
        </w:rPr>
        <w:t>. Le coût public</w:t>
      </w:r>
      <w:r w:rsidR="0055418C" w:rsidRPr="00B3274C">
        <w:rPr>
          <w:lang w:val="fr-CA"/>
        </w:rPr>
        <w:t xml:space="preserve"> </w:t>
      </w:r>
      <w:r w:rsidR="003C26AA" w:rsidRPr="00B3274C">
        <w:rPr>
          <w:lang w:val="fr-CA"/>
        </w:rPr>
        <w:t>maximum du projet</w:t>
      </w:r>
      <w:r w:rsidR="0080611A">
        <w:rPr>
          <w:lang w:val="fr-CA"/>
        </w:rPr>
        <w:t>,</w:t>
      </w:r>
      <w:r w:rsidR="003C26AA" w:rsidRPr="00B3274C">
        <w:rPr>
          <w:lang w:val="fr-CA"/>
        </w:rPr>
        <w:t xml:space="preserve"> lancé par </w:t>
      </w:r>
      <w:r w:rsidR="0027390B" w:rsidRPr="00B3274C">
        <w:rPr>
          <w:lang w:val="fr-CA"/>
        </w:rPr>
        <w:t>le ministère compétent</w:t>
      </w:r>
      <w:r w:rsidR="0080611A">
        <w:rPr>
          <w:lang w:val="fr-CA"/>
        </w:rPr>
        <w:t>,</w:t>
      </w:r>
      <w:r w:rsidR="0027390B" w:rsidRPr="00B3274C">
        <w:rPr>
          <w:lang w:val="fr-CA"/>
        </w:rPr>
        <w:t xml:space="preserve"> à savoir </w:t>
      </w:r>
      <w:r w:rsidR="003C26AA" w:rsidRPr="00B3274C">
        <w:rPr>
          <w:lang w:val="fr-CA"/>
        </w:rPr>
        <w:t>le Ministère du travail et de la protection sociale</w:t>
      </w:r>
      <w:r w:rsidR="0080611A">
        <w:rPr>
          <w:lang w:val="fr-CA"/>
        </w:rPr>
        <w:t>,</w:t>
      </w:r>
      <w:r w:rsidR="003C26AA" w:rsidRPr="00B3274C">
        <w:rPr>
          <w:lang w:val="fr-CA"/>
        </w:rPr>
        <w:t xml:space="preserve"> a été estimé à 96</w:t>
      </w:r>
      <w:r w:rsidR="00B53F6A">
        <w:rPr>
          <w:lang w:val="fr-CA"/>
        </w:rPr>
        <w:t> </w:t>
      </w:r>
      <w:r w:rsidR="00E96E1C">
        <w:rPr>
          <w:lang w:val="fr-CA"/>
        </w:rPr>
        <w:t>millions</w:t>
      </w:r>
      <w:r w:rsidR="003C26AA" w:rsidRPr="00B3274C">
        <w:rPr>
          <w:lang w:val="fr-CA"/>
        </w:rPr>
        <w:t xml:space="preserve"> d</w:t>
      </w:r>
      <w:r w:rsidR="0080611A">
        <w:rPr>
          <w:lang w:val="fr-CA"/>
        </w:rPr>
        <w:t>’</w:t>
      </w:r>
      <w:r w:rsidR="003C26AA" w:rsidRPr="00B3274C">
        <w:rPr>
          <w:lang w:val="fr-CA"/>
        </w:rPr>
        <w:t>euros</w:t>
      </w:r>
      <w:r w:rsidR="00505C13" w:rsidRPr="00B3274C">
        <w:rPr>
          <w:lang w:val="fr-CA"/>
        </w:rPr>
        <w:t>;</w:t>
      </w:r>
    </w:p>
    <w:p w:rsidR="00FB23D3" w:rsidRPr="00B3274C" w:rsidRDefault="005954F0" w:rsidP="005954F0">
      <w:pPr>
        <w:pStyle w:val="SingleTxtG"/>
        <w:ind w:left="1702" w:hanging="1"/>
        <w:rPr>
          <w:lang w:val="fr-CA"/>
        </w:rPr>
      </w:pPr>
      <w:r w:rsidRPr="00B3274C">
        <w:rPr>
          <w:lang w:val="fr-CA"/>
        </w:rPr>
        <w:t>viii)</w:t>
      </w:r>
      <w:r w:rsidR="000213C1" w:rsidRPr="00B3274C">
        <w:rPr>
          <w:lang w:val="fr-CA"/>
        </w:rPr>
        <w:tab/>
      </w:r>
      <w:r w:rsidR="0027390B" w:rsidRPr="00B3274C">
        <w:rPr>
          <w:lang w:val="fr-CA"/>
        </w:rPr>
        <w:t>Un appui financier aux mères qui travaillent et dont les enfants fréquentent l</w:t>
      </w:r>
      <w:r w:rsidR="0080611A">
        <w:rPr>
          <w:lang w:val="fr-CA"/>
        </w:rPr>
        <w:t>’</w:t>
      </w:r>
      <w:r w:rsidR="0027390B" w:rsidRPr="00B3274C">
        <w:rPr>
          <w:lang w:val="fr-CA"/>
        </w:rPr>
        <w:t>école maternelle</w:t>
      </w:r>
      <w:r w:rsidR="0080611A">
        <w:rPr>
          <w:lang w:val="fr-CA"/>
        </w:rPr>
        <w:t>,</w:t>
      </w:r>
      <w:r w:rsidR="0027390B" w:rsidRPr="00B3274C">
        <w:rPr>
          <w:lang w:val="fr-CA"/>
        </w:rPr>
        <w:t xml:space="preserve"> calculé en fonction de leurs revenus</w:t>
      </w:r>
      <w:r w:rsidR="0080611A">
        <w:rPr>
          <w:lang w:val="fr-CA"/>
        </w:rPr>
        <w:t>,</w:t>
      </w:r>
      <w:r w:rsidR="0027390B" w:rsidRPr="00B3274C">
        <w:rPr>
          <w:lang w:val="fr-CA"/>
        </w:rPr>
        <w:t xml:space="preserve"> sous forme de bons spéciaux émis par le Ministère du travail et de la protection sociale</w:t>
      </w:r>
      <w:r w:rsidR="00505C13" w:rsidRPr="00B3274C">
        <w:rPr>
          <w:lang w:val="fr-CA"/>
        </w:rPr>
        <w:t>;</w:t>
      </w:r>
    </w:p>
    <w:p w:rsidR="00FB23D3" w:rsidRPr="00B3274C" w:rsidRDefault="005954F0" w:rsidP="005954F0">
      <w:pPr>
        <w:pStyle w:val="SingleTxtG"/>
        <w:ind w:left="1702" w:hanging="1"/>
        <w:rPr>
          <w:lang w:val="fr-CA"/>
        </w:rPr>
      </w:pPr>
      <w:r w:rsidRPr="00B3274C">
        <w:rPr>
          <w:lang w:val="fr-CA"/>
        </w:rPr>
        <w:t>ix)</w:t>
      </w:r>
      <w:r w:rsidR="000213C1" w:rsidRPr="00B3274C">
        <w:rPr>
          <w:lang w:val="fr-CA"/>
        </w:rPr>
        <w:tab/>
      </w:r>
      <w:r w:rsidR="00AE403A" w:rsidRPr="00B3274C">
        <w:rPr>
          <w:lang w:val="fr-CA"/>
        </w:rPr>
        <w:t>Une campagne nationale d</w:t>
      </w:r>
      <w:r w:rsidR="0080611A">
        <w:rPr>
          <w:lang w:val="fr-CA"/>
        </w:rPr>
        <w:t>’</w:t>
      </w:r>
      <w:r w:rsidR="00AE403A" w:rsidRPr="00B3274C">
        <w:rPr>
          <w:lang w:val="fr-CA"/>
        </w:rPr>
        <w:t>information et de sensibilisation de la population sur la violence à l</w:t>
      </w:r>
      <w:r w:rsidR="0080611A">
        <w:rPr>
          <w:lang w:val="fr-CA"/>
        </w:rPr>
        <w:t>’</w:t>
      </w:r>
      <w:r w:rsidR="00AE403A" w:rsidRPr="00B3274C">
        <w:rPr>
          <w:lang w:val="fr-CA"/>
        </w:rPr>
        <w:t>égard des femmes. L</w:t>
      </w:r>
      <w:r w:rsidR="0080611A">
        <w:rPr>
          <w:lang w:val="fr-CA"/>
        </w:rPr>
        <w:t>’</w:t>
      </w:r>
      <w:r w:rsidR="00AE403A" w:rsidRPr="00B3274C">
        <w:rPr>
          <w:lang w:val="fr-CA"/>
        </w:rPr>
        <w:t xml:space="preserve">accent a été mis sur la mise en service de la ligne téléphonique </w:t>
      </w:r>
      <w:r w:rsidR="00FB23D3" w:rsidRPr="00B3274C">
        <w:rPr>
          <w:lang w:val="fr-CA"/>
        </w:rPr>
        <w:t>SOS 15900</w:t>
      </w:r>
      <w:r w:rsidR="0080611A">
        <w:rPr>
          <w:lang w:val="fr-CA"/>
        </w:rPr>
        <w:t>,</w:t>
      </w:r>
      <w:r w:rsidR="00AE403A" w:rsidRPr="00B3274C">
        <w:rPr>
          <w:lang w:val="fr-CA"/>
        </w:rPr>
        <w:t xml:space="preserve"> avec le message suivant</w:t>
      </w:r>
      <w:r w:rsidR="00EC5892" w:rsidRPr="00B3274C">
        <w:rPr>
          <w:lang w:val="fr-CA"/>
        </w:rPr>
        <w:t>:</w:t>
      </w:r>
      <w:r w:rsidR="00AE403A" w:rsidRPr="00B3274C">
        <w:rPr>
          <w:lang w:val="fr-CA"/>
        </w:rPr>
        <w:t xml:space="preserve"> </w:t>
      </w:r>
      <w:r w:rsidR="0055418C" w:rsidRPr="00B3274C">
        <w:rPr>
          <w:lang w:val="fr-CA"/>
        </w:rPr>
        <w:t>«</w:t>
      </w:r>
      <w:r w:rsidR="00AE403A" w:rsidRPr="00B3274C">
        <w:rPr>
          <w:lang w:val="fr-CA"/>
        </w:rPr>
        <w:t>Vous n</w:t>
      </w:r>
      <w:r w:rsidR="0080611A">
        <w:rPr>
          <w:lang w:val="fr-CA"/>
        </w:rPr>
        <w:t>’</w:t>
      </w:r>
      <w:r w:rsidR="008E065A" w:rsidRPr="00B3274C">
        <w:rPr>
          <w:lang w:val="fr-CA"/>
        </w:rPr>
        <w:t>êtes pas la</w:t>
      </w:r>
      <w:r w:rsidR="00AE403A" w:rsidRPr="00B3274C">
        <w:rPr>
          <w:lang w:val="fr-CA"/>
        </w:rPr>
        <w:t xml:space="preserve"> seul</w:t>
      </w:r>
      <w:r w:rsidR="008E065A" w:rsidRPr="00B3274C">
        <w:rPr>
          <w:lang w:val="fr-CA"/>
        </w:rPr>
        <w:t>e</w:t>
      </w:r>
      <w:r w:rsidR="00EC5892" w:rsidRPr="00B3274C">
        <w:rPr>
          <w:lang w:val="fr-CA"/>
        </w:rPr>
        <w:t>;</w:t>
      </w:r>
      <w:r w:rsidR="00AE403A" w:rsidRPr="00B3274C">
        <w:rPr>
          <w:lang w:val="fr-CA"/>
        </w:rPr>
        <w:t xml:space="preserve"> vous n</w:t>
      </w:r>
      <w:r w:rsidR="0080611A">
        <w:rPr>
          <w:lang w:val="fr-CA"/>
        </w:rPr>
        <w:t>’</w:t>
      </w:r>
      <w:r w:rsidR="00AE403A" w:rsidRPr="00B3274C">
        <w:rPr>
          <w:lang w:val="fr-CA"/>
        </w:rPr>
        <w:t>êtes pas seul</w:t>
      </w:r>
      <w:r w:rsidR="008E065A" w:rsidRPr="00B3274C">
        <w:rPr>
          <w:lang w:val="fr-CA"/>
        </w:rPr>
        <w:t>e</w:t>
      </w:r>
      <w:r w:rsidR="0055418C" w:rsidRPr="00B3274C">
        <w:rPr>
          <w:lang w:val="fr-CA"/>
        </w:rPr>
        <w:t>»</w:t>
      </w:r>
      <w:r w:rsidR="00505C13" w:rsidRPr="00B3274C">
        <w:rPr>
          <w:lang w:val="fr-CA"/>
        </w:rPr>
        <w:t>;</w:t>
      </w:r>
    </w:p>
    <w:p w:rsidR="00FB23D3" w:rsidRPr="00B3274C" w:rsidRDefault="000213C1" w:rsidP="005954F0">
      <w:pPr>
        <w:pStyle w:val="SingleTxtG"/>
        <w:rPr>
          <w:lang w:val="fr-CA"/>
        </w:rPr>
      </w:pPr>
      <w:r w:rsidRPr="00B3274C">
        <w:rPr>
          <w:lang w:val="fr-CA"/>
        </w:rPr>
        <w:tab/>
      </w:r>
      <w:r w:rsidR="005954F0" w:rsidRPr="00B3274C">
        <w:rPr>
          <w:lang w:val="fr-CA"/>
        </w:rPr>
        <w:t>b)</w:t>
      </w:r>
      <w:r w:rsidR="005954F0" w:rsidRPr="00B3274C">
        <w:rPr>
          <w:lang w:val="fr-CA"/>
        </w:rPr>
        <w:tab/>
      </w:r>
      <w:r w:rsidR="002F014D" w:rsidRPr="00B3274C">
        <w:rPr>
          <w:i/>
          <w:lang w:val="fr-CA"/>
        </w:rPr>
        <w:t>Promotion de l</w:t>
      </w:r>
      <w:r w:rsidR="0080611A">
        <w:rPr>
          <w:i/>
          <w:lang w:val="fr-CA"/>
        </w:rPr>
        <w:t>’</w:t>
      </w:r>
      <w:r w:rsidR="002F014D" w:rsidRPr="00B3274C">
        <w:rPr>
          <w:i/>
          <w:lang w:val="fr-CA"/>
        </w:rPr>
        <w:t>égalité entre hommes et femmes</w:t>
      </w:r>
    </w:p>
    <w:p w:rsidR="00FB23D3" w:rsidRPr="00B3274C" w:rsidRDefault="005954F0" w:rsidP="005954F0">
      <w:pPr>
        <w:pStyle w:val="SingleTxtG"/>
        <w:ind w:left="1702" w:hanging="1"/>
        <w:rPr>
          <w:spacing w:val="-2"/>
          <w:lang w:val="fr-CA"/>
        </w:rPr>
      </w:pPr>
      <w:r w:rsidRPr="00B3274C">
        <w:rPr>
          <w:spacing w:val="-2"/>
          <w:lang w:val="fr-CA"/>
        </w:rPr>
        <w:t>i)</w:t>
      </w:r>
      <w:r w:rsidR="000213C1" w:rsidRPr="00B3274C">
        <w:rPr>
          <w:spacing w:val="-2"/>
          <w:lang w:val="fr-CA"/>
        </w:rPr>
        <w:tab/>
      </w:r>
      <w:r w:rsidR="008A3266" w:rsidRPr="00B3274C">
        <w:rPr>
          <w:spacing w:val="-2"/>
          <w:lang w:val="fr-CA"/>
        </w:rPr>
        <w:t>Formation et sensibilisation des fonctionnaires aux questions d</w:t>
      </w:r>
      <w:r w:rsidR="0080611A">
        <w:rPr>
          <w:spacing w:val="-2"/>
          <w:lang w:val="fr-CA"/>
        </w:rPr>
        <w:t>’</w:t>
      </w:r>
      <w:r w:rsidR="008A3266" w:rsidRPr="00B3274C">
        <w:rPr>
          <w:spacing w:val="-2"/>
          <w:lang w:val="fr-CA"/>
        </w:rPr>
        <w:t>égalité des sexes: le Centre national de l</w:t>
      </w:r>
      <w:r w:rsidR="0080611A">
        <w:rPr>
          <w:spacing w:val="-2"/>
          <w:lang w:val="fr-CA"/>
        </w:rPr>
        <w:t>’</w:t>
      </w:r>
      <w:r w:rsidR="008A3266" w:rsidRPr="00B3274C">
        <w:rPr>
          <w:spacing w:val="-2"/>
          <w:lang w:val="fr-CA"/>
        </w:rPr>
        <w:t>administration publique et des collectivités locales organise des séminaires sur ces questions à l</w:t>
      </w:r>
      <w:r w:rsidR="0080611A">
        <w:rPr>
          <w:spacing w:val="-2"/>
          <w:lang w:val="fr-CA"/>
        </w:rPr>
        <w:t>’</w:t>
      </w:r>
      <w:r w:rsidR="008A3266" w:rsidRPr="00B3274C">
        <w:rPr>
          <w:spacing w:val="-2"/>
          <w:lang w:val="fr-CA"/>
        </w:rPr>
        <w:t>intention des fonctionnaires. Des séminaires analogues sont organisés pour les magistrats</w:t>
      </w:r>
      <w:r w:rsidR="0080611A">
        <w:rPr>
          <w:spacing w:val="-2"/>
          <w:lang w:val="fr-CA"/>
        </w:rPr>
        <w:t>,</w:t>
      </w:r>
      <w:r w:rsidR="008A3266" w:rsidRPr="00B3274C">
        <w:rPr>
          <w:spacing w:val="-2"/>
          <w:lang w:val="fr-CA"/>
        </w:rPr>
        <w:t xml:space="preserve"> le corps diplomatique</w:t>
      </w:r>
      <w:r w:rsidR="0080611A">
        <w:rPr>
          <w:spacing w:val="-2"/>
          <w:lang w:val="fr-CA"/>
        </w:rPr>
        <w:t>,</w:t>
      </w:r>
      <w:r w:rsidR="008A3266" w:rsidRPr="00B3274C">
        <w:rPr>
          <w:spacing w:val="-2"/>
          <w:lang w:val="fr-CA"/>
        </w:rPr>
        <w:t xml:space="preserve"> la police et les administrateurs des collectivités locales.</w:t>
      </w:r>
    </w:p>
    <w:p w:rsidR="00FB23D3" w:rsidRPr="00B3274C" w:rsidRDefault="005954F0" w:rsidP="005954F0">
      <w:pPr>
        <w:pStyle w:val="SingleTxtG"/>
        <w:ind w:left="1702" w:hanging="1"/>
        <w:rPr>
          <w:lang w:val="fr-CA"/>
        </w:rPr>
      </w:pPr>
      <w:r w:rsidRPr="00B3274C">
        <w:rPr>
          <w:lang w:val="fr-CA"/>
        </w:rPr>
        <w:t>ii)</w:t>
      </w:r>
      <w:r w:rsidR="0011177E" w:rsidRPr="00B3274C">
        <w:rPr>
          <w:lang w:val="fr-CA"/>
        </w:rPr>
        <w:tab/>
      </w:r>
      <w:r w:rsidR="00EE4327" w:rsidRPr="00B3274C">
        <w:rPr>
          <w:lang w:val="fr-CA"/>
        </w:rPr>
        <w:t>Promotion de l</w:t>
      </w:r>
      <w:r w:rsidR="0080611A">
        <w:rPr>
          <w:lang w:val="fr-CA"/>
        </w:rPr>
        <w:t>’</w:t>
      </w:r>
      <w:r w:rsidR="00EE4327" w:rsidRPr="00B3274C">
        <w:rPr>
          <w:lang w:val="fr-CA"/>
        </w:rPr>
        <w:t>égalité entre hommes et femmes dans les politiques publiques</w:t>
      </w:r>
      <w:r w:rsidR="00FB23D3" w:rsidRPr="00B3274C">
        <w:rPr>
          <w:lang w:val="fr-CA"/>
        </w:rPr>
        <w:t xml:space="preserve">: </w:t>
      </w:r>
      <w:r w:rsidR="00EE4327" w:rsidRPr="00B3274C">
        <w:rPr>
          <w:lang w:val="fr-CA"/>
        </w:rPr>
        <w:t>mise au point et normalisation d</w:t>
      </w:r>
      <w:r w:rsidR="0080611A">
        <w:rPr>
          <w:lang w:val="fr-CA"/>
        </w:rPr>
        <w:t>’</w:t>
      </w:r>
      <w:r w:rsidR="00EE4327" w:rsidRPr="00B3274C">
        <w:rPr>
          <w:lang w:val="fr-CA"/>
        </w:rPr>
        <w:t>un système de promotion de l</w:t>
      </w:r>
      <w:r w:rsidR="0080611A">
        <w:rPr>
          <w:lang w:val="fr-CA"/>
        </w:rPr>
        <w:t>’</w:t>
      </w:r>
      <w:r w:rsidR="00EE4327" w:rsidRPr="00B3274C">
        <w:rPr>
          <w:lang w:val="fr-CA"/>
        </w:rPr>
        <w:t xml:space="preserve">égalité </w:t>
      </w:r>
      <w:r w:rsidR="001972A8" w:rsidRPr="00B3274C">
        <w:rPr>
          <w:lang w:val="fr-CA"/>
        </w:rPr>
        <w:t>des sexes</w:t>
      </w:r>
      <w:r w:rsidR="00EE4327" w:rsidRPr="00B3274C">
        <w:rPr>
          <w:lang w:val="fr-CA"/>
        </w:rPr>
        <w:t xml:space="preserve"> dans les politiques publiques (nationales</w:t>
      </w:r>
      <w:r w:rsidR="0080611A">
        <w:rPr>
          <w:lang w:val="fr-CA"/>
        </w:rPr>
        <w:t>,</w:t>
      </w:r>
      <w:r w:rsidR="00EE4327" w:rsidRPr="00B3274C">
        <w:rPr>
          <w:lang w:val="fr-CA"/>
        </w:rPr>
        <w:t xml:space="preserve"> régionales</w:t>
      </w:r>
      <w:r w:rsidR="0080611A">
        <w:rPr>
          <w:lang w:val="fr-CA"/>
        </w:rPr>
        <w:t>,</w:t>
      </w:r>
      <w:r w:rsidR="00EE4327" w:rsidRPr="00B3274C">
        <w:rPr>
          <w:lang w:val="fr-CA"/>
        </w:rPr>
        <w:t xml:space="preserve"> locales)</w:t>
      </w:r>
      <w:r w:rsidR="00EC5892" w:rsidRPr="00B3274C">
        <w:rPr>
          <w:lang w:val="fr-CA"/>
        </w:rPr>
        <w:t>;</w:t>
      </w:r>
    </w:p>
    <w:p w:rsidR="00FB23D3" w:rsidRPr="00B3274C" w:rsidRDefault="005954F0" w:rsidP="002A774F">
      <w:pPr>
        <w:pStyle w:val="SingleTxtG"/>
        <w:keepLines/>
        <w:ind w:left="1702"/>
        <w:rPr>
          <w:lang w:val="fr-CA"/>
        </w:rPr>
      </w:pPr>
      <w:r w:rsidRPr="00B3274C">
        <w:rPr>
          <w:lang w:val="fr-CA"/>
        </w:rPr>
        <w:t>iii)</w:t>
      </w:r>
      <w:r w:rsidR="000213C1" w:rsidRPr="00B3274C">
        <w:rPr>
          <w:lang w:val="fr-CA"/>
        </w:rPr>
        <w:tab/>
      </w:r>
      <w:r w:rsidR="00657C10" w:rsidRPr="00B3274C">
        <w:rPr>
          <w:lang w:val="fr-CA"/>
        </w:rPr>
        <w:t>Promotion de l</w:t>
      </w:r>
      <w:r w:rsidR="0080611A">
        <w:rPr>
          <w:lang w:val="fr-CA"/>
        </w:rPr>
        <w:t>’</w:t>
      </w:r>
      <w:r w:rsidR="00657C10" w:rsidRPr="00B3274C">
        <w:rPr>
          <w:lang w:val="fr-CA"/>
        </w:rPr>
        <w:t>égalité entre hommes et femmes dans la structure de su</w:t>
      </w:r>
      <w:r w:rsidR="002F00B2" w:rsidRPr="00B3274C">
        <w:rPr>
          <w:lang w:val="fr-CA"/>
        </w:rPr>
        <w:t xml:space="preserve">rveillance </w:t>
      </w:r>
      <w:r w:rsidR="00657C10" w:rsidRPr="00B3274C">
        <w:rPr>
          <w:lang w:val="fr-CA"/>
        </w:rPr>
        <w:t xml:space="preserve">des politiques publiques: </w:t>
      </w:r>
      <w:r w:rsidR="00B84403" w:rsidRPr="00B3274C">
        <w:rPr>
          <w:lang w:val="fr-CA"/>
        </w:rPr>
        <w:t>la mise en place et le développement des éléments fondamentaux de la structure de su</w:t>
      </w:r>
      <w:r w:rsidR="002F00B2" w:rsidRPr="00B3274C">
        <w:rPr>
          <w:lang w:val="fr-CA"/>
        </w:rPr>
        <w:t>rveillance</w:t>
      </w:r>
      <w:r w:rsidR="00B84403" w:rsidRPr="00B3274C">
        <w:rPr>
          <w:lang w:val="fr-CA"/>
        </w:rPr>
        <w:t xml:space="preserve"> de l</w:t>
      </w:r>
      <w:r w:rsidR="0080611A">
        <w:rPr>
          <w:lang w:val="fr-CA"/>
        </w:rPr>
        <w:t>’</w:t>
      </w:r>
      <w:r w:rsidR="00B84403" w:rsidRPr="00B3274C">
        <w:rPr>
          <w:lang w:val="fr-CA"/>
        </w:rPr>
        <w:t>égalité des sexes ainsi que l</w:t>
      </w:r>
      <w:r w:rsidR="00F76E15" w:rsidRPr="00B3274C">
        <w:rPr>
          <w:lang w:val="fr-CA"/>
        </w:rPr>
        <w:t>a constitution</w:t>
      </w:r>
      <w:r w:rsidR="00B84403" w:rsidRPr="00B3274C">
        <w:rPr>
          <w:lang w:val="fr-CA"/>
        </w:rPr>
        <w:t xml:space="preserve"> et la mise en œuvre des infrastructures et des systèmes d</w:t>
      </w:r>
      <w:r w:rsidR="0080611A">
        <w:rPr>
          <w:lang w:val="fr-CA"/>
        </w:rPr>
        <w:t>’</w:t>
      </w:r>
      <w:r w:rsidR="00B84403" w:rsidRPr="00B3274C">
        <w:rPr>
          <w:lang w:val="fr-CA"/>
        </w:rPr>
        <w:t xml:space="preserve">information nécessaires sont en cours. </w:t>
      </w:r>
      <w:r w:rsidR="002A774F" w:rsidRPr="00B3274C">
        <w:rPr>
          <w:lang w:val="fr-CA"/>
        </w:rPr>
        <w:t xml:space="preserve">Elle </w:t>
      </w:r>
      <w:r w:rsidR="00F76E15" w:rsidRPr="00B3274C">
        <w:rPr>
          <w:lang w:val="fr-CA"/>
        </w:rPr>
        <w:t>servira</w:t>
      </w:r>
      <w:r w:rsidR="0080611A">
        <w:rPr>
          <w:lang w:val="fr-CA"/>
        </w:rPr>
        <w:t>,</w:t>
      </w:r>
      <w:r w:rsidR="002A774F" w:rsidRPr="00B3274C">
        <w:rPr>
          <w:lang w:val="fr-CA"/>
        </w:rPr>
        <w:t xml:space="preserve"> une fois établie</w:t>
      </w:r>
      <w:r w:rsidR="0080611A">
        <w:rPr>
          <w:lang w:val="fr-CA"/>
        </w:rPr>
        <w:t>,</w:t>
      </w:r>
      <w:r w:rsidR="00B84403" w:rsidRPr="00B3274C">
        <w:rPr>
          <w:lang w:val="fr-CA"/>
        </w:rPr>
        <w:t xml:space="preserve"> </w:t>
      </w:r>
      <w:r w:rsidR="00F76E15" w:rsidRPr="00B3274C">
        <w:rPr>
          <w:lang w:val="fr-CA"/>
        </w:rPr>
        <w:t>à</w:t>
      </w:r>
      <w:r w:rsidR="00B84403" w:rsidRPr="00B3274C">
        <w:rPr>
          <w:lang w:val="fr-CA"/>
        </w:rPr>
        <w:t xml:space="preserve"> contrôler toutes les politiques publiques </w:t>
      </w:r>
      <w:r w:rsidR="00F76E15" w:rsidRPr="00B3274C">
        <w:rPr>
          <w:lang w:val="fr-CA"/>
        </w:rPr>
        <w:t>au moyen</w:t>
      </w:r>
      <w:r w:rsidR="00B84403" w:rsidRPr="00B3274C">
        <w:rPr>
          <w:lang w:val="fr-CA"/>
        </w:rPr>
        <w:t xml:space="preserve"> d</w:t>
      </w:r>
      <w:r w:rsidR="0080611A">
        <w:rPr>
          <w:lang w:val="fr-CA"/>
        </w:rPr>
        <w:t>’</w:t>
      </w:r>
      <w:r w:rsidR="00B84403" w:rsidRPr="00B3274C">
        <w:rPr>
          <w:lang w:val="fr-CA"/>
        </w:rPr>
        <w:t>ind</w:t>
      </w:r>
      <w:r w:rsidR="002A774F" w:rsidRPr="00B3274C">
        <w:rPr>
          <w:lang w:val="fr-CA"/>
        </w:rPr>
        <w:t>icateurs</w:t>
      </w:r>
      <w:r w:rsidR="00B84403" w:rsidRPr="00B3274C">
        <w:rPr>
          <w:lang w:val="fr-CA"/>
        </w:rPr>
        <w:t xml:space="preserve"> et sur la base du Programme d</w:t>
      </w:r>
      <w:r w:rsidR="0080611A">
        <w:rPr>
          <w:lang w:val="fr-CA"/>
        </w:rPr>
        <w:t>’</w:t>
      </w:r>
      <w:r w:rsidR="00B84403" w:rsidRPr="00B3274C">
        <w:rPr>
          <w:lang w:val="fr-CA"/>
        </w:rPr>
        <w:t xml:space="preserve">action de Beijing. </w:t>
      </w:r>
    </w:p>
    <w:p w:rsidR="00FB23D3" w:rsidRPr="00B3274C" w:rsidRDefault="000213C1" w:rsidP="00B60C69">
      <w:pPr>
        <w:pStyle w:val="H1G"/>
        <w:rPr>
          <w:lang w:val="fr-CA"/>
        </w:rPr>
      </w:pPr>
      <w:r w:rsidRPr="00B3274C">
        <w:rPr>
          <w:lang w:val="fr-CA"/>
        </w:rPr>
        <w:tab/>
      </w:r>
      <w:r w:rsidRPr="00B3274C">
        <w:rPr>
          <w:lang w:val="fr-CA"/>
        </w:rPr>
        <w:tab/>
      </w:r>
      <w:r w:rsidR="00597DC4">
        <w:rPr>
          <w:lang w:val="fr-CA"/>
        </w:rPr>
        <w:t>Article </w:t>
      </w:r>
      <w:r w:rsidR="00FB23D3" w:rsidRPr="00B3274C">
        <w:rPr>
          <w:lang w:val="fr-CA"/>
        </w:rPr>
        <w:t>6</w:t>
      </w:r>
      <w:r w:rsidR="002C0856" w:rsidRPr="00B3274C">
        <w:rPr>
          <w:lang w:val="fr-CA"/>
        </w:rPr>
        <w:br/>
      </w:r>
      <w:r w:rsidR="00F76E15" w:rsidRPr="00B3274C">
        <w:rPr>
          <w:lang w:val="fr-CA"/>
        </w:rPr>
        <w:t>Droit au travail</w:t>
      </w:r>
    </w:p>
    <w:p w:rsidR="00FB23D3" w:rsidRPr="00B3274C" w:rsidRDefault="000213C1" w:rsidP="009D39D5">
      <w:pPr>
        <w:pStyle w:val="H23G"/>
        <w:rPr>
          <w:lang w:val="fr-CA"/>
        </w:rPr>
      </w:pPr>
      <w:r w:rsidRPr="00B3274C">
        <w:rPr>
          <w:lang w:val="fr-CA"/>
        </w:rPr>
        <w:tab/>
      </w:r>
      <w:r w:rsidR="009D39D5" w:rsidRPr="00B3274C">
        <w:rPr>
          <w:lang w:val="fr-CA"/>
        </w:rPr>
        <w:t>1.</w:t>
      </w:r>
      <w:r w:rsidRPr="00B3274C">
        <w:rPr>
          <w:lang w:val="fr-CA"/>
        </w:rPr>
        <w:tab/>
      </w:r>
      <w:r w:rsidR="00FB23D3" w:rsidRPr="00B3274C">
        <w:rPr>
          <w:lang w:val="fr-CA"/>
        </w:rPr>
        <w:t>Emplo</w:t>
      </w:r>
      <w:r w:rsidR="00F76E15" w:rsidRPr="00B3274C">
        <w:rPr>
          <w:lang w:val="fr-CA"/>
        </w:rPr>
        <w:t xml:space="preserve">i dans les zones rurales </w:t>
      </w:r>
      <w:r w:rsidR="00FB23D3" w:rsidRPr="00B3274C">
        <w:rPr>
          <w:lang w:val="fr-CA"/>
        </w:rPr>
        <w:t>(pa</w:t>
      </w:r>
      <w:r w:rsidR="00F76E15" w:rsidRPr="00B3274C">
        <w:rPr>
          <w:lang w:val="fr-CA"/>
        </w:rPr>
        <w:t>r</w:t>
      </w:r>
      <w:r w:rsidRPr="00B3274C">
        <w:rPr>
          <w:lang w:val="fr-CA"/>
        </w:rPr>
        <w:t>. </w:t>
      </w:r>
      <w:r w:rsidR="00FB23D3" w:rsidRPr="00B3274C">
        <w:rPr>
          <w:lang w:val="fr-CA"/>
        </w:rPr>
        <w:t xml:space="preserve">14 </w:t>
      </w:r>
      <w:r w:rsidR="00F76E15" w:rsidRPr="00B3274C">
        <w:rPr>
          <w:lang w:val="fr-CA"/>
        </w:rPr>
        <w:t>des observations finales du Comité</w:t>
      </w:r>
      <w:r w:rsidR="00FB23D3" w:rsidRPr="00B3274C">
        <w:rPr>
          <w:lang w:val="fr-CA"/>
        </w:rPr>
        <w:t>)</w:t>
      </w:r>
    </w:p>
    <w:p w:rsidR="00FB23D3" w:rsidRPr="00B3274C" w:rsidRDefault="00107A47" w:rsidP="005A4B12">
      <w:pPr>
        <w:pStyle w:val="SingleTxtG"/>
        <w:rPr>
          <w:lang w:val="fr-CA"/>
        </w:rPr>
      </w:pPr>
      <w:r w:rsidRPr="00B3274C">
        <w:rPr>
          <w:lang w:val="fr-CA"/>
        </w:rPr>
        <w:t>36.</w:t>
      </w:r>
      <w:r w:rsidRPr="00B3274C">
        <w:rPr>
          <w:lang w:val="fr-CA"/>
        </w:rPr>
        <w:tab/>
      </w:r>
      <w:r w:rsidR="00F76E15" w:rsidRPr="00B3274C">
        <w:rPr>
          <w:lang w:val="fr-CA"/>
        </w:rPr>
        <w:t>Le Gouvernement grec considère l</w:t>
      </w:r>
      <w:r w:rsidR="0080611A">
        <w:rPr>
          <w:lang w:val="fr-CA"/>
        </w:rPr>
        <w:t>’</w:t>
      </w:r>
      <w:r w:rsidR="00F76E15" w:rsidRPr="00B3274C">
        <w:rPr>
          <w:lang w:val="fr-CA"/>
        </w:rPr>
        <w:t>économie rurale comme un levier pour l</w:t>
      </w:r>
      <w:r w:rsidR="0080611A">
        <w:rPr>
          <w:lang w:val="fr-CA"/>
        </w:rPr>
        <w:t>’</w:t>
      </w:r>
      <w:r w:rsidR="00F76E15" w:rsidRPr="00B3274C">
        <w:rPr>
          <w:lang w:val="fr-CA"/>
        </w:rPr>
        <w:t>économie nationale</w:t>
      </w:r>
      <w:r w:rsidR="005A4B12" w:rsidRPr="00B3274C">
        <w:rPr>
          <w:lang w:val="fr-CA"/>
        </w:rPr>
        <w:t xml:space="preserve"> et prend des mesures pour prévenir les migrations internes vers les villes en entretenant la vie culturelle</w:t>
      </w:r>
      <w:r w:rsidR="0080611A">
        <w:rPr>
          <w:lang w:val="fr-CA"/>
        </w:rPr>
        <w:t>,</w:t>
      </w:r>
      <w:r w:rsidR="005A4B12" w:rsidRPr="00B3274C">
        <w:rPr>
          <w:lang w:val="fr-CA"/>
        </w:rPr>
        <w:t xml:space="preserve"> en assurant l</w:t>
      </w:r>
      <w:r w:rsidR="0080611A">
        <w:rPr>
          <w:lang w:val="fr-CA"/>
        </w:rPr>
        <w:t>’</w:t>
      </w:r>
      <w:r w:rsidR="005A4B12" w:rsidRPr="00B3274C">
        <w:rPr>
          <w:lang w:val="fr-CA"/>
        </w:rPr>
        <w:t>accès aux services de base tels que les services sanitaires et éducatifs et en organisant des activités de loisir à la campagne.</w:t>
      </w:r>
      <w:r w:rsidR="0055418C" w:rsidRPr="00B3274C">
        <w:rPr>
          <w:lang w:val="fr-CA"/>
        </w:rPr>
        <w:t xml:space="preserve"> </w:t>
      </w:r>
      <w:r w:rsidR="00327C46" w:rsidRPr="00B3274C">
        <w:rPr>
          <w:lang w:val="fr-CA"/>
        </w:rPr>
        <w:t>Ces dernières années</w:t>
      </w:r>
      <w:r w:rsidR="0080611A">
        <w:rPr>
          <w:lang w:val="fr-CA"/>
        </w:rPr>
        <w:t>,</w:t>
      </w:r>
      <w:r w:rsidR="005A4B12" w:rsidRPr="00B3274C">
        <w:rPr>
          <w:lang w:val="fr-CA"/>
        </w:rPr>
        <w:t xml:space="preserve"> </w:t>
      </w:r>
      <w:r w:rsidR="00327C46" w:rsidRPr="00B3274C">
        <w:rPr>
          <w:lang w:val="fr-CA"/>
        </w:rPr>
        <w:t>l</w:t>
      </w:r>
      <w:r w:rsidR="005A4B12" w:rsidRPr="00B3274C">
        <w:rPr>
          <w:lang w:val="fr-CA"/>
        </w:rPr>
        <w:t>e Ministère du développement rural et de l</w:t>
      </w:r>
      <w:r w:rsidR="0080611A">
        <w:rPr>
          <w:lang w:val="fr-CA"/>
        </w:rPr>
        <w:t>’</w:t>
      </w:r>
      <w:r w:rsidR="005A4B12" w:rsidRPr="00B3274C">
        <w:rPr>
          <w:lang w:val="fr-CA"/>
        </w:rPr>
        <w:t>alimentation a adopté des textes sur la c</w:t>
      </w:r>
      <w:r w:rsidR="00327C46" w:rsidRPr="00B3274C">
        <w:rPr>
          <w:lang w:val="fr-CA"/>
        </w:rPr>
        <w:t>réation</w:t>
      </w:r>
      <w:r w:rsidR="005A4B12" w:rsidRPr="00B3274C">
        <w:rPr>
          <w:lang w:val="fr-CA"/>
        </w:rPr>
        <w:t xml:space="preserve"> de coopératives agricoles</w:t>
      </w:r>
      <w:r w:rsidR="00327C46" w:rsidRPr="00B3274C">
        <w:rPr>
          <w:lang w:val="fr-CA"/>
        </w:rPr>
        <w:t xml:space="preserve"> de taille variable suivant</w:t>
      </w:r>
      <w:r w:rsidR="0055418C" w:rsidRPr="00B3274C">
        <w:rPr>
          <w:lang w:val="fr-CA"/>
        </w:rPr>
        <w:t xml:space="preserve"> </w:t>
      </w:r>
      <w:r w:rsidR="00327C46" w:rsidRPr="00B3274C">
        <w:rPr>
          <w:lang w:val="fr-CA"/>
        </w:rPr>
        <w:t>l</w:t>
      </w:r>
      <w:r w:rsidR="0080611A">
        <w:rPr>
          <w:lang w:val="fr-CA"/>
        </w:rPr>
        <w:t>’</w:t>
      </w:r>
      <w:r w:rsidR="00327C46" w:rsidRPr="00B3274C">
        <w:rPr>
          <w:lang w:val="fr-CA"/>
        </w:rPr>
        <w:t xml:space="preserve">importance de la population. </w:t>
      </w:r>
      <w:r w:rsidR="00516F51" w:rsidRPr="00B3274C">
        <w:rPr>
          <w:lang w:val="fr-CA"/>
        </w:rPr>
        <w:t>La possibilité est aussi donnée aux femmes de gérer certaines coopératives</w:t>
      </w:r>
      <w:r w:rsidR="0055418C" w:rsidRPr="00B3274C">
        <w:rPr>
          <w:lang w:val="fr-CA"/>
        </w:rPr>
        <w:t xml:space="preserve"> </w:t>
      </w:r>
      <w:r w:rsidR="00516F51" w:rsidRPr="00B3274C">
        <w:rPr>
          <w:lang w:val="fr-CA"/>
        </w:rPr>
        <w:t>ou de développer des activités économiques</w:t>
      </w:r>
      <w:r w:rsidR="0080611A">
        <w:rPr>
          <w:lang w:val="fr-CA"/>
        </w:rPr>
        <w:t>,</w:t>
      </w:r>
      <w:r w:rsidR="00516F51" w:rsidRPr="00B3274C">
        <w:rPr>
          <w:lang w:val="fr-CA"/>
        </w:rPr>
        <w:t xml:space="preserve"> dans le secteur de l</w:t>
      </w:r>
      <w:r w:rsidR="0080611A">
        <w:rPr>
          <w:lang w:val="fr-CA"/>
        </w:rPr>
        <w:t>’</w:t>
      </w:r>
      <w:r w:rsidR="00516F51" w:rsidRPr="00B3274C">
        <w:rPr>
          <w:lang w:val="fr-CA"/>
        </w:rPr>
        <w:t>industrie alimentaire</w:t>
      </w:r>
      <w:r w:rsidR="0080611A">
        <w:rPr>
          <w:lang w:val="fr-CA"/>
        </w:rPr>
        <w:t>,</w:t>
      </w:r>
      <w:r w:rsidR="00516F51" w:rsidRPr="00B3274C">
        <w:rPr>
          <w:lang w:val="fr-CA"/>
        </w:rPr>
        <w:t xml:space="preserve"> par exemple</w:t>
      </w:r>
      <w:r w:rsidR="0080611A">
        <w:rPr>
          <w:lang w:val="fr-CA"/>
        </w:rPr>
        <w:t>,</w:t>
      </w:r>
      <w:r w:rsidR="00516F51" w:rsidRPr="00B3274C">
        <w:rPr>
          <w:lang w:val="fr-CA"/>
        </w:rPr>
        <w:t xml:space="preserve"> ou de l</w:t>
      </w:r>
      <w:r w:rsidR="0080611A">
        <w:rPr>
          <w:lang w:val="fr-CA"/>
        </w:rPr>
        <w:t>’</w:t>
      </w:r>
      <w:r w:rsidR="00516F51" w:rsidRPr="00B3274C">
        <w:rPr>
          <w:lang w:val="fr-CA"/>
        </w:rPr>
        <w:t>artisanat traditionnel</w:t>
      </w:r>
      <w:r w:rsidR="0080611A">
        <w:rPr>
          <w:lang w:val="fr-CA"/>
        </w:rPr>
        <w:t>,</w:t>
      </w:r>
      <w:r w:rsidR="00516F51" w:rsidRPr="00B3274C">
        <w:rPr>
          <w:lang w:val="fr-CA"/>
        </w:rPr>
        <w:t xml:space="preserve"> etc. et de contribuer ainsi de manière essentielle à l</w:t>
      </w:r>
      <w:r w:rsidR="0080611A">
        <w:rPr>
          <w:lang w:val="fr-CA"/>
        </w:rPr>
        <w:t>’</w:t>
      </w:r>
      <w:r w:rsidR="00516F51" w:rsidRPr="00B3274C">
        <w:rPr>
          <w:lang w:val="fr-CA"/>
        </w:rPr>
        <w:t xml:space="preserve">économie locale. </w:t>
      </w:r>
    </w:p>
    <w:p w:rsidR="00FB23D3" w:rsidRPr="00B3274C" w:rsidRDefault="000213C1" w:rsidP="009D39D5">
      <w:pPr>
        <w:pStyle w:val="H23G"/>
        <w:rPr>
          <w:lang w:val="fr-CA"/>
        </w:rPr>
      </w:pPr>
      <w:r w:rsidRPr="00B3274C">
        <w:rPr>
          <w:lang w:val="fr-CA"/>
        </w:rPr>
        <w:tab/>
      </w:r>
      <w:r w:rsidR="009D39D5" w:rsidRPr="00B3274C">
        <w:rPr>
          <w:lang w:val="fr-CA"/>
        </w:rPr>
        <w:t>2.</w:t>
      </w:r>
      <w:r w:rsidRPr="00B3274C">
        <w:rPr>
          <w:lang w:val="fr-CA"/>
        </w:rPr>
        <w:tab/>
      </w:r>
      <w:r w:rsidR="00FB23D3" w:rsidRPr="00B3274C">
        <w:rPr>
          <w:lang w:val="fr-CA"/>
        </w:rPr>
        <w:t>Statis</w:t>
      </w:r>
      <w:r w:rsidRPr="00B3274C">
        <w:rPr>
          <w:lang w:val="fr-CA"/>
        </w:rPr>
        <w:t>ti</w:t>
      </w:r>
      <w:r w:rsidR="00DE1B02" w:rsidRPr="00B3274C">
        <w:rPr>
          <w:lang w:val="fr-CA"/>
        </w:rPr>
        <w:t>ques sur l</w:t>
      </w:r>
      <w:r w:rsidR="0080611A">
        <w:rPr>
          <w:lang w:val="fr-CA"/>
        </w:rPr>
        <w:t>’</w:t>
      </w:r>
      <w:r w:rsidR="00DE1B02" w:rsidRPr="00B3274C">
        <w:rPr>
          <w:lang w:val="fr-CA"/>
        </w:rPr>
        <w:t>emploi (par</w:t>
      </w:r>
      <w:r w:rsidRPr="00B3274C">
        <w:rPr>
          <w:lang w:val="fr-CA"/>
        </w:rPr>
        <w:t>. </w:t>
      </w:r>
      <w:r w:rsidR="00FB23D3" w:rsidRPr="00B3274C">
        <w:rPr>
          <w:lang w:val="fr-CA"/>
        </w:rPr>
        <w:t xml:space="preserve">35 </w:t>
      </w:r>
      <w:r w:rsidR="00DE1B02" w:rsidRPr="00B3274C">
        <w:rPr>
          <w:lang w:val="fr-CA"/>
        </w:rPr>
        <w:t>des observations finales du Comité</w:t>
      </w:r>
      <w:r w:rsidR="00FB23D3" w:rsidRPr="00B3274C">
        <w:rPr>
          <w:lang w:val="fr-CA"/>
        </w:rPr>
        <w:t>)</w:t>
      </w:r>
    </w:p>
    <w:p w:rsidR="00FB23D3" w:rsidRPr="00B3274C" w:rsidRDefault="000213C1" w:rsidP="00D8027F">
      <w:pPr>
        <w:pStyle w:val="H23G"/>
        <w:rPr>
          <w:lang w:val="fr-CA"/>
        </w:rPr>
      </w:pPr>
      <w:r w:rsidRPr="00B3274C">
        <w:rPr>
          <w:lang w:val="fr-CA"/>
        </w:rPr>
        <w:tab/>
      </w:r>
      <w:r w:rsidR="009D39D5" w:rsidRPr="00B3274C">
        <w:rPr>
          <w:lang w:val="fr-CA"/>
        </w:rPr>
        <w:t>a)</w:t>
      </w:r>
      <w:r w:rsidRPr="00B3274C">
        <w:rPr>
          <w:lang w:val="fr-CA"/>
        </w:rPr>
        <w:tab/>
      </w:r>
      <w:r w:rsidR="00DE1B02" w:rsidRPr="00B3274C">
        <w:rPr>
          <w:lang w:val="fr-CA"/>
        </w:rPr>
        <w:t>Population active</w:t>
      </w:r>
    </w:p>
    <w:p w:rsidR="00FB23D3" w:rsidRPr="00B3274C" w:rsidRDefault="00107A47" w:rsidP="00107A47">
      <w:pPr>
        <w:pStyle w:val="SingleTxtG"/>
        <w:rPr>
          <w:lang w:val="fr-CA"/>
        </w:rPr>
      </w:pPr>
      <w:r w:rsidRPr="00B3274C">
        <w:rPr>
          <w:lang w:val="fr-CA"/>
        </w:rPr>
        <w:t>37.</w:t>
      </w:r>
      <w:r w:rsidRPr="00B3274C">
        <w:rPr>
          <w:lang w:val="fr-CA"/>
        </w:rPr>
        <w:tab/>
      </w:r>
      <w:r w:rsidR="00DE1B02" w:rsidRPr="00B3274C">
        <w:rPr>
          <w:lang w:val="fr-CA"/>
        </w:rPr>
        <w:t>D</w:t>
      </w:r>
      <w:r w:rsidR="0080611A">
        <w:rPr>
          <w:lang w:val="fr-CA"/>
        </w:rPr>
        <w:t>’</w:t>
      </w:r>
      <w:r w:rsidR="00DE1B02" w:rsidRPr="00B3274C">
        <w:rPr>
          <w:lang w:val="fr-CA"/>
        </w:rPr>
        <w:t>après l</w:t>
      </w:r>
      <w:r w:rsidR="0080611A">
        <w:rPr>
          <w:lang w:val="fr-CA"/>
        </w:rPr>
        <w:t>’</w:t>
      </w:r>
      <w:r w:rsidR="00DE1B02" w:rsidRPr="00B3274C">
        <w:rPr>
          <w:color w:val="000000"/>
          <w:lang w:val="fr-CA"/>
        </w:rPr>
        <w:t>Office hellénique de la statistique</w:t>
      </w:r>
      <w:r w:rsidR="00DE1B02" w:rsidRPr="00B3274C">
        <w:rPr>
          <w:lang w:val="fr-CA"/>
        </w:rPr>
        <w:t xml:space="preserve"> </w:t>
      </w:r>
      <w:r w:rsidR="00FB23D3" w:rsidRPr="00B3274C">
        <w:rPr>
          <w:lang w:val="fr-CA"/>
        </w:rPr>
        <w:t>(EL.STAT.)</w:t>
      </w:r>
      <w:r w:rsidR="0080611A">
        <w:rPr>
          <w:lang w:val="fr-CA"/>
        </w:rPr>
        <w:t>,</w:t>
      </w:r>
      <w:r w:rsidR="00FB23D3" w:rsidRPr="00B3274C">
        <w:rPr>
          <w:lang w:val="fr-CA"/>
        </w:rPr>
        <w:t xml:space="preserve"> </w:t>
      </w:r>
      <w:r w:rsidR="00DE1B02" w:rsidRPr="00B3274C">
        <w:rPr>
          <w:lang w:val="fr-CA"/>
        </w:rPr>
        <w:t>la population active (âgée de 15</w:t>
      </w:r>
      <w:r w:rsidR="004C055A">
        <w:rPr>
          <w:lang w:val="fr-CA"/>
        </w:rPr>
        <w:t> ans</w:t>
      </w:r>
      <w:r w:rsidR="00DE1B02" w:rsidRPr="00B3274C">
        <w:rPr>
          <w:lang w:val="fr-CA"/>
        </w:rPr>
        <w:t xml:space="preserve"> et plus) en Grèce comptait 4 967</w:t>
      </w:r>
      <w:r w:rsidR="00D14132">
        <w:rPr>
          <w:lang w:val="fr-CA"/>
        </w:rPr>
        <w:t> </w:t>
      </w:r>
      <w:r w:rsidR="00FB23D3" w:rsidRPr="00B3274C">
        <w:rPr>
          <w:lang w:val="fr-CA"/>
        </w:rPr>
        <w:t>625</w:t>
      </w:r>
      <w:r w:rsidR="00614BAC">
        <w:rPr>
          <w:lang w:val="fr-CA"/>
        </w:rPr>
        <w:t> personnes</w:t>
      </w:r>
      <w:r w:rsidR="00FB23D3" w:rsidRPr="00B3274C">
        <w:rPr>
          <w:lang w:val="fr-CA"/>
        </w:rPr>
        <w:t xml:space="preserve"> </w:t>
      </w:r>
      <w:r w:rsidR="00DE1B02" w:rsidRPr="00B3274C">
        <w:rPr>
          <w:lang w:val="fr-CA"/>
        </w:rPr>
        <w:t>en</w:t>
      </w:r>
      <w:r w:rsidR="00FB23D3" w:rsidRPr="00B3274C">
        <w:rPr>
          <w:lang w:val="fr-CA"/>
        </w:rPr>
        <w:t xml:space="preserve"> </w:t>
      </w:r>
      <w:r w:rsidR="0086364C" w:rsidRPr="00B3274C">
        <w:rPr>
          <w:lang w:val="fr-CA"/>
        </w:rPr>
        <w:t>2011 [</w:t>
      </w:r>
      <w:r w:rsidR="00DE1B02" w:rsidRPr="00B3274C">
        <w:rPr>
          <w:lang w:val="fr-CA"/>
        </w:rPr>
        <w:t>2 870</w:t>
      </w:r>
      <w:r w:rsidR="00D14132">
        <w:rPr>
          <w:lang w:val="fr-CA"/>
        </w:rPr>
        <w:t> </w:t>
      </w:r>
      <w:r w:rsidR="00FB23D3" w:rsidRPr="00B3274C">
        <w:rPr>
          <w:lang w:val="fr-CA"/>
        </w:rPr>
        <w:t xml:space="preserve">375 </w:t>
      </w:r>
      <w:r w:rsidR="00DE1B02" w:rsidRPr="00B3274C">
        <w:rPr>
          <w:lang w:val="fr-CA"/>
        </w:rPr>
        <w:t>hommes</w:t>
      </w:r>
      <w:r w:rsidR="0086364C" w:rsidRPr="00B3274C">
        <w:rPr>
          <w:lang w:val="fr-CA"/>
        </w:rPr>
        <w:t xml:space="preserve"> (</w:t>
      </w:r>
      <w:r w:rsidR="00417F22" w:rsidRPr="00B3274C">
        <w:rPr>
          <w:lang w:val="fr-CA"/>
        </w:rPr>
        <w:t>57</w:t>
      </w:r>
      <w:r w:rsidR="0080611A">
        <w:rPr>
          <w:lang w:val="fr-CA"/>
        </w:rPr>
        <w:t>,</w:t>
      </w:r>
      <w:r w:rsidR="006E3C04" w:rsidRPr="00B3274C">
        <w:rPr>
          <w:lang w:val="fr-CA"/>
        </w:rPr>
        <w:t>8</w:t>
      </w:r>
      <w:r w:rsidR="0050285B">
        <w:rPr>
          <w:lang w:val="fr-CA"/>
        </w:rPr>
        <w:t> %</w:t>
      </w:r>
      <w:r w:rsidR="0086364C" w:rsidRPr="00B3274C">
        <w:rPr>
          <w:lang w:val="fr-CA"/>
        </w:rPr>
        <w:t xml:space="preserve">) </w:t>
      </w:r>
      <w:r w:rsidR="00DE1B02" w:rsidRPr="00B3274C">
        <w:rPr>
          <w:lang w:val="fr-CA"/>
        </w:rPr>
        <w:t>et 2 097</w:t>
      </w:r>
      <w:r w:rsidR="00A73662">
        <w:rPr>
          <w:lang w:val="fr-CA"/>
        </w:rPr>
        <w:t> </w:t>
      </w:r>
      <w:r w:rsidR="00FB23D3" w:rsidRPr="00B3274C">
        <w:rPr>
          <w:lang w:val="fr-CA"/>
        </w:rPr>
        <w:t>250</w:t>
      </w:r>
      <w:r w:rsidR="00A73662">
        <w:rPr>
          <w:lang w:val="fr-CA"/>
        </w:rPr>
        <w:t> </w:t>
      </w:r>
      <w:r w:rsidR="00DE1B02" w:rsidRPr="00B3274C">
        <w:rPr>
          <w:lang w:val="fr-CA"/>
        </w:rPr>
        <w:t>femmes</w:t>
      </w:r>
      <w:r w:rsidR="0086364C" w:rsidRPr="00B3274C">
        <w:rPr>
          <w:lang w:val="fr-CA"/>
        </w:rPr>
        <w:t xml:space="preserve"> (</w:t>
      </w:r>
      <w:r w:rsidR="00417F22" w:rsidRPr="00B3274C">
        <w:rPr>
          <w:lang w:val="fr-CA"/>
        </w:rPr>
        <w:t>42</w:t>
      </w:r>
      <w:r w:rsidR="0080611A">
        <w:rPr>
          <w:lang w:val="fr-CA"/>
        </w:rPr>
        <w:t>,</w:t>
      </w:r>
      <w:r w:rsidR="006E3C04" w:rsidRPr="00B3274C">
        <w:rPr>
          <w:lang w:val="fr-CA"/>
        </w:rPr>
        <w:t>2</w:t>
      </w:r>
      <w:r w:rsidR="0050285B">
        <w:rPr>
          <w:lang w:val="fr-CA"/>
        </w:rPr>
        <w:t> %</w:t>
      </w:r>
      <w:r w:rsidR="00DE1B02" w:rsidRPr="00B3274C">
        <w:rPr>
          <w:lang w:val="fr-CA"/>
        </w:rPr>
        <w:t>)</w:t>
      </w:r>
      <w:r w:rsidR="0086364C" w:rsidRPr="00B3274C">
        <w:rPr>
          <w:lang w:val="fr-CA"/>
        </w:rPr>
        <w:t>]</w:t>
      </w:r>
      <w:r w:rsidR="0080611A">
        <w:rPr>
          <w:lang w:val="fr-CA"/>
        </w:rPr>
        <w:t>,</w:t>
      </w:r>
      <w:r w:rsidR="00FB23D3" w:rsidRPr="00B3274C">
        <w:rPr>
          <w:lang w:val="fr-CA"/>
        </w:rPr>
        <w:t xml:space="preserve"> </w:t>
      </w:r>
      <w:r w:rsidR="0086364C" w:rsidRPr="00B3274C">
        <w:rPr>
          <w:lang w:val="fr-CA"/>
        </w:rPr>
        <w:t xml:space="preserve">soit un recul de </w:t>
      </w:r>
      <w:r w:rsidR="00FB23D3" w:rsidRPr="00B3274C">
        <w:rPr>
          <w:lang w:val="fr-CA"/>
        </w:rPr>
        <w:t>1</w:t>
      </w:r>
      <w:r w:rsidR="0050285B">
        <w:rPr>
          <w:lang w:val="fr-CA"/>
        </w:rPr>
        <w:t> %</w:t>
      </w:r>
      <w:r w:rsidR="00FB23D3" w:rsidRPr="00B3274C">
        <w:rPr>
          <w:lang w:val="fr-CA"/>
        </w:rPr>
        <w:t xml:space="preserve"> </w:t>
      </w:r>
      <w:r w:rsidR="0086364C" w:rsidRPr="00B3274C">
        <w:rPr>
          <w:lang w:val="fr-CA"/>
        </w:rPr>
        <w:t xml:space="preserve">par rapport à </w:t>
      </w:r>
      <w:r w:rsidR="00FB23D3" w:rsidRPr="00B3274C">
        <w:rPr>
          <w:lang w:val="fr-CA"/>
        </w:rPr>
        <w:t>2010 (</w:t>
      </w:r>
      <w:r w:rsidR="0086364C" w:rsidRPr="00B3274C">
        <w:rPr>
          <w:lang w:val="fr-CA"/>
        </w:rPr>
        <w:t>voir l</w:t>
      </w:r>
      <w:r w:rsidR="0080611A">
        <w:rPr>
          <w:lang w:val="fr-CA"/>
        </w:rPr>
        <w:t>’</w:t>
      </w:r>
      <w:r w:rsidR="0086364C" w:rsidRPr="00B3274C">
        <w:rPr>
          <w:lang w:val="fr-CA"/>
        </w:rPr>
        <w:t xml:space="preserve">annexe statistique </w:t>
      </w:r>
      <w:r w:rsidR="00376FF3" w:rsidRPr="00B3274C">
        <w:rPr>
          <w:lang w:val="fr-CA"/>
        </w:rPr>
        <w:t>correspondant à</w:t>
      </w:r>
      <w:r w:rsidR="0086364C" w:rsidRPr="00B3274C">
        <w:rPr>
          <w:lang w:val="fr-CA"/>
        </w:rPr>
        <w:t xml:space="preserve"> l</w:t>
      </w:r>
      <w:r w:rsidR="0080611A">
        <w:rPr>
          <w:lang w:val="fr-CA"/>
        </w:rPr>
        <w:t>’</w:t>
      </w:r>
      <w:r w:rsidR="00597DC4">
        <w:rPr>
          <w:lang w:val="fr-CA"/>
        </w:rPr>
        <w:t>article </w:t>
      </w:r>
      <w:r w:rsidR="00955E2D" w:rsidRPr="00B3274C">
        <w:rPr>
          <w:lang w:val="fr-CA"/>
        </w:rPr>
        <w:t>6 – Annex</w:t>
      </w:r>
      <w:r w:rsidR="0086364C" w:rsidRPr="00B3274C">
        <w:rPr>
          <w:lang w:val="fr-CA"/>
        </w:rPr>
        <w:t>e</w:t>
      </w:r>
      <w:r w:rsidR="00955E2D" w:rsidRPr="00B3274C">
        <w:rPr>
          <w:lang w:val="fr-CA"/>
        </w:rPr>
        <w:t xml:space="preserve"> 1</w:t>
      </w:r>
      <w:r w:rsidR="0080611A">
        <w:rPr>
          <w:lang w:val="fr-CA"/>
        </w:rPr>
        <w:t>,</w:t>
      </w:r>
      <w:r w:rsidR="00955E2D" w:rsidRPr="00B3274C">
        <w:rPr>
          <w:lang w:val="fr-CA"/>
        </w:rPr>
        <w:t xml:space="preserve"> table</w:t>
      </w:r>
      <w:r w:rsidR="0086364C" w:rsidRPr="00B3274C">
        <w:rPr>
          <w:lang w:val="fr-CA"/>
        </w:rPr>
        <w:t>au</w:t>
      </w:r>
      <w:r w:rsidR="00955E2D" w:rsidRPr="00B3274C">
        <w:rPr>
          <w:lang w:val="fr-CA"/>
        </w:rPr>
        <w:t> </w:t>
      </w:r>
      <w:r w:rsidR="00FB23D3" w:rsidRPr="00B3274C">
        <w:rPr>
          <w:lang w:val="fr-CA"/>
        </w:rPr>
        <w:t>1A).</w:t>
      </w:r>
    </w:p>
    <w:p w:rsidR="00FB23D3" w:rsidRPr="00B3274C" w:rsidRDefault="00107A47" w:rsidP="00107A47">
      <w:pPr>
        <w:pStyle w:val="SingleTxtG"/>
        <w:rPr>
          <w:lang w:val="fr-CA"/>
        </w:rPr>
      </w:pPr>
      <w:r w:rsidRPr="00B3274C">
        <w:rPr>
          <w:lang w:val="fr-CA"/>
        </w:rPr>
        <w:t>38.</w:t>
      </w:r>
      <w:r w:rsidRPr="00B3274C">
        <w:rPr>
          <w:lang w:val="fr-CA"/>
        </w:rPr>
        <w:tab/>
      </w:r>
      <w:r w:rsidR="00417F22" w:rsidRPr="00B3274C">
        <w:rPr>
          <w:lang w:val="fr-CA"/>
        </w:rPr>
        <w:t>Si l</w:t>
      </w:r>
      <w:r w:rsidR="0080611A">
        <w:rPr>
          <w:lang w:val="fr-CA"/>
        </w:rPr>
        <w:t>’</w:t>
      </w:r>
      <w:r w:rsidR="00417F22" w:rsidRPr="00B3274C">
        <w:rPr>
          <w:lang w:val="fr-CA"/>
        </w:rPr>
        <w:t>on considère le taux d</w:t>
      </w:r>
      <w:r w:rsidR="0080611A">
        <w:rPr>
          <w:lang w:val="fr-CA"/>
        </w:rPr>
        <w:t>’</w:t>
      </w:r>
      <w:r w:rsidR="00417F22" w:rsidRPr="00B3274C">
        <w:rPr>
          <w:lang w:val="fr-CA"/>
        </w:rPr>
        <w:t xml:space="preserve">activité </w:t>
      </w:r>
      <w:r w:rsidR="00614BAC">
        <w:rPr>
          <w:lang w:val="fr-CA"/>
        </w:rPr>
        <w:t>des personnes</w:t>
      </w:r>
      <w:r w:rsidR="00417F22" w:rsidRPr="00B3274C">
        <w:rPr>
          <w:lang w:val="fr-CA"/>
        </w:rPr>
        <w:t xml:space="preserve"> appartenant au groupe d</w:t>
      </w:r>
      <w:r w:rsidR="0080611A">
        <w:rPr>
          <w:lang w:val="fr-CA"/>
        </w:rPr>
        <w:t>’</w:t>
      </w:r>
      <w:r w:rsidR="00417F22" w:rsidRPr="00B3274C">
        <w:rPr>
          <w:lang w:val="fr-CA"/>
        </w:rPr>
        <w:t>âge des</w:t>
      </w:r>
      <w:r w:rsidR="0055418C" w:rsidRPr="00B3274C">
        <w:rPr>
          <w:lang w:val="fr-CA"/>
        </w:rPr>
        <w:t xml:space="preserve"> </w:t>
      </w:r>
      <w:r w:rsidR="00417F22" w:rsidRPr="00B3274C">
        <w:rPr>
          <w:lang w:val="fr-CA"/>
        </w:rPr>
        <w:t>15-64</w:t>
      </w:r>
      <w:r w:rsidR="004C055A">
        <w:rPr>
          <w:lang w:val="fr-CA"/>
        </w:rPr>
        <w:t> ans</w:t>
      </w:r>
      <w:r w:rsidR="00417F22" w:rsidRPr="00B3274C">
        <w:rPr>
          <w:lang w:val="fr-CA"/>
        </w:rPr>
        <w:t xml:space="preserve"> (c</w:t>
      </w:r>
      <w:r w:rsidR="0080611A">
        <w:rPr>
          <w:lang w:val="fr-CA"/>
        </w:rPr>
        <w:t>’</w:t>
      </w:r>
      <w:r w:rsidR="00417F22" w:rsidRPr="00B3274C">
        <w:rPr>
          <w:lang w:val="fr-CA"/>
        </w:rPr>
        <w:t xml:space="preserve">est-à-dire la part des actifs et des chômeurs par rapport au nombre total </w:t>
      </w:r>
      <w:r w:rsidR="00614BAC">
        <w:rPr>
          <w:lang w:val="fr-CA"/>
        </w:rPr>
        <w:t>de personnes</w:t>
      </w:r>
      <w:r w:rsidR="00417F22" w:rsidRPr="00B3274C">
        <w:rPr>
          <w:lang w:val="fr-CA"/>
        </w:rPr>
        <w:t xml:space="preserve"> du même groupe d</w:t>
      </w:r>
      <w:r w:rsidR="0080611A">
        <w:rPr>
          <w:lang w:val="fr-CA"/>
        </w:rPr>
        <w:t>’</w:t>
      </w:r>
      <w:r w:rsidR="00417F22" w:rsidRPr="00B3274C">
        <w:rPr>
          <w:lang w:val="fr-CA"/>
        </w:rPr>
        <w:t>âge)</w:t>
      </w:r>
      <w:r w:rsidR="0080611A">
        <w:rPr>
          <w:lang w:val="fr-CA"/>
        </w:rPr>
        <w:t>,</w:t>
      </w:r>
      <w:r w:rsidR="00417F22" w:rsidRPr="00B3274C">
        <w:rPr>
          <w:lang w:val="fr-CA"/>
        </w:rPr>
        <w:t xml:space="preserve"> nous constatons qu</w:t>
      </w:r>
      <w:r w:rsidR="0080611A">
        <w:rPr>
          <w:lang w:val="fr-CA"/>
        </w:rPr>
        <w:t>’</w:t>
      </w:r>
      <w:r w:rsidR="00417F22" w:rsidRPr="00B3274C">
        <w:rPr>
          <w:lang w:val="fr-CA"/>
        </w:rPr>
        <w:t>il était de</w:t>
      </w:r>
      <w:r w:rsidR="0055418C" w:rsidRPr="00B3274C">
        <w:rPr>
          <w:lang w:val="fr-CA"/>
        </w:rPr>
        <w:t xml:space="preserve"> </w:t>
      </w:r>
      <w:r w:rsidR="00417F22" w:rsidRPr="00B3274C">
        <w:rPr>
          <w:lang w:val="fr-CA"/>
        </w:rPr>
        <w:t>67</w:t>
      </w:r>
      <w:r w:rsidR="0080611A">
        <w:rPr>
          <w:lang w:val="fr-CA"/>
        </w:rPr>
        <w:t>,</w:t>
      </w:r>
      <w:r w:rsidR="00FB23D3" w:rsidRPr="00B3274C">
        <w:rPr>
          <w:lang w:val="fr-CA"/>
        </w:rPr>
        <w:t>7</w:t>
      </w:r>
      <w:r w:rsidR="0050285B">
        <w:rPr>
          <w:lang w:val="fr-CA"/>
        </w:rPr>
        <w:t> %</w:t>
      </w:r>
      <w:r w:rsidR="00FB23D3" w:rsidRPr="00B3274C">
        <w:rPr>
          <w:lang w:val="fr-CA"/>
        </w:rPr>
        <w:t xml:space="preserve"> </w:t>
      </w:r>
      <w:r w:rsidR="00417F22" w:rsidRPr="00B3274C">
        <w:rPr>
          <w:lang w:val="fr-CA"/>
        </w:rPr>
        <w:t>en</w:t>
      </w:r>
      <w:r w:rsidR="00FB23D3" w:rsidRPr="00B3274C">
        <w:rPr>
          <w:lang w:val="fr-CA"/>
        </w:rPr>
        <w:t xml:space="preserve"> 2011</w:t>
      </w:r>
      <w:r w:rsidR="0080611A">
        <w:rPr>
          <w:lang w:val="fr-CA"/>
        </w:rPr>
        <w:t>,</w:t>
      </w:r>
      <w:r w:rsidR="00FB23D3" w:rsidRPr="00B3274C">
        <w:rPr>
          <w:lang w:val="fr-CA"/>
        </w:rPr>
        <w:t xml:space="preserve"> </w:t>
      </w:r>
      <w:r w:rsidR="00417F22" w:rsidRPr="00B3274C">
        <w:rPr>
          <w:lang w:val="fr-CA"/>
        </w:rPr>
        <w:t>soit inférieur à celui de 2010 (68</w:t>
      </w:r>
      <w:r w:rsidR="0080611A">
        <w:rPr>
          <w:lang w:val="fr-CA"/>
        </w:rPr>
        <w:t>,</w:t>
      </w:r>
      <w:r w:rsidR="00FB23D3" w:rsidRPr="00B3274C">
        <w:rPr>
          <w:lang w:val="fr-CA"/>
        </w:rPr>
        <w:t>2</w:t>
      </w:r>
      <w:r w:rsidR="0050285B">
        <w:rPr>
          <w:lang w:val="fr-CA"/>
        </w:rPr>
        <w:t> %</w:t>
      </w:r>
      <w:r w:rsidR="00417F22" w:rsidRPr="00B3274C">
        <w:rPr>
          <w:lang w:val="fr-CA"/>
        </w:rPr>
        <w:t>)</w:t>
      </w:r>
      <w:r w:rsidR="0080611A">
        <w:rPr>
          <w:lang w:val="fr-CA"/>
        </w:rPr>
        <w:t>,</w:t>
      </w:r>
      <w:r w:rsidR="00FB23D3" w:rsidRPr="00B3274C">
        <w:rPr>
          <w:lang w:val="fr-CA"/>
        </w:rPr>
        <w:t xml:space="preserve"> </w:t>
      </w:r>
      <w:r w:rsidR="00F245A8" w:rsidRPr="00B3274C">
        <w:rPr>
          <w:lang w:val="fr-CA"/>
        </w:rPr>
        <w:t>et inversait la tendance à la hausse de la période</w:t>
      </w:r>
      <w:r w:rsidR="0055418C" w:rsidRPr="00B3274C">
        <w:rPr>
          <w:lang w:val="fr-CA"/>
        </w:rPr>
        <w:t xml:space="preserve"> </w:t>
      </w:r>
      <w:r w:rsidR="00F245A8" w:rsidRPr="00B3274C">
        <w:rPr>
          <w:lang w:val="fr-CA"/>
        </w:rPr>
        <w:t>2001-2010</w:t>
      </w:r>
      <w:r w:rsidR="00955E2D" w:rsidRPr="00B3274C">
        <w:rPr>
          <w:lang w:val="fr-CA"/>
        </w:rPr>
        <w:t xml:space="preserve">. </w:t>
      </w:r>
      <w:r w:rsidR="00F245A8" w:rsidRPr="00B3274C">
        <w:rPr>
          <w:lang w:val="fr-CA"/>
        </w:rPr>
        <w:t>En outre</w:t>
      </w:r>
      <w:r w:rsidR="0080611A">
        <w:rPr>
          <w:lang w:val="fr-CA"/>
        </w:rPr>
        <w:t>,</w:t>
      </w:r>
      <w:r w:rsidR="00F245A8" w:rsidRPr="00B3274C">
        <w:rPr>
          <w:lang w:val="fr-CA"/>
        </w:rPr>
        <w:t xml:space="preserve"> le taux d</w:t>
      </w:r>
      <w:r w:rsidR="0080611A">
        <w:rPr>
          <w:lang w:val="fr-CA"/>
        </w:rPr>
        <w:t>’</w:t>
      </w:r>
      <w:r w:rsidR="00F245A8" w:rsidRPr="00B3274C">
        <w:rPr>
          <w:lang w:val="fr-CA"/>
        </w:rPr>
        <w:t>activité des femmes (âgées de 15 à 64</w:t>
      </w:r>
      <w:r w:rsidR="004C055A">
        <w:rPr>
          <w:lang w:val="fr-CA"/>
        </w:rPr>
        <w:t> ans</w:t>
      </w:r>
      <w:r w:rsidR="00F245A8" w:rsidRPr="00B3274C">
        <w:rPr>
          <w:lang w:val="fr-CA"/>
        </w:rPr>
        <w:t>) en 2011 était bien inférieur à celui des hommes la même année (voir l</w:t>
      </w:r>
      <w:r w:rsidR="0080611A">
        <w:rPr>
          <w:lang w:val="fr-CA"/>
        </w:rPr>
        <w:t>’</w:t>
      </w:r>
      <w:r w:rsidR="00F245A8" w:rsidRPr="00B3274C">
        <w:rPr>
          <w:lang w:val="fr-CA"/>
        </w:rPr>
        <w:t xml:space="preserve">annexe statistique </w:t>
      </w:r>
      <w:r w:rsidR="008F2C75">
        <w:rPr>
          <w:lang w:val="fr-CA"/>
        </w:rPr>
        <w:t xml:space="preserve">pour </w:t>
      </w:r>
      <w:r w:rsidR="00F245A8" w:rsidRPr="00B3274C">
        <w:rPr>
          <w:lang w:val="fr-CA"/>
        </w:rPr>
        <w:t>l</w:t>
      </w:r>
      <w:r w:rsidR="0080611A">
        <w:rPr>
          <w:lang w:val="fr-CA"/>
        </w:rPr>
        <w:t>’</w:t>
      </w:r>
      <w:r w:rsidR="00597DC4">
        <w:rPr>
          <w:lang w:val="fr-CA"/>
        </w:rPr>
        <w:t>article </w:t>
      </w:r>
      <w:r w:rsidR="00F245A8" w:rsidRPr="00B3274C">
        <w:rPr>
          <w:lang w:val="fr-CA"/>
        </w:rPr>
        <w:t>6 – annexe 1</w:t>
      </w:r>
      <w:r w:rsidR="0080611A">
        <w:rPr>
          <w:lang w:val="fr-CA"/>
        </w:rPr>
        <w:t>,</w:t>
      </w:r>
      <w:r w:rsidR="00F245A8" w:rsidRPr="00B3274C">
        <w:rPr>
          <w:lang w:val="fr-CA"/>
        </w:rPr>
        <w:t xml:space="preserve"> tableau 1B). </w:t>
      </w:r>
    </w:p>
    <w:p w:rsidR="00FB23D3" w:rsidRPr="00B3274C" w:rsidRDefault="000213C1" w:rsidP="00D8027F">
      <w:pPr>
        <w:pStyle w:val="H23G"/>
        <w:rPr>
          <w:lang w:val="fr-CA"/>
        </w:rPr>
      </w:pPr>
      <w:r w:rsidRPr="00B3274C">
        <w:rPr>
          <w:lang w:val="fr-CA"/>
        </w:rPr>
        <w:tab/>
      </w:r>
      <w:r w:rsidR="009D39D5" w:rsidRPr="00B3274C">
        <w:rPr>
          <w:lang w:val="fr-CA"/>
        </w:rPr>
        <w:t>b)</w:t>
      </w:r>
      <w:r w:rsidRPr="00B3274C">
        <w:rPr>
          <w:lang w:val="fr-CA"/>
        </w:rPr>
        <w:tab/>
      </w:r>
      <w:r w:rsidR="00FB23D3" w:rsidRPr="00B3274C">
        <w:rPr>
          <w:lang w:val="fr-CA"/>
        </w:rPr>
        <w:t>Emplo</w:t>
      </w:r>
      <w:r w:rsidR="00F245A8" w:rsidRPr="00B3274C">
        <w:rPr>
          <w:lang w:val="fr-CA"/>
        </w:rPr>
        <w:t>i</w:t>
      </w:r>
      <w:r w:rsidR="0055418C" w:rsidRPr="00B3274C">
        <w:rPr>
          <w:lang w:val="fr-CA"/>
        </w:rPr>
        <w:t xml:space="preserve"> </w:t>
      </w:r>
    </w:p>
    <w:p w:rsidR="00FB23D3" w:rsidRPr="00B3274C" w:rsidRDefault="00107A47" w:rsidP="000F44F9">
      <w:pPr>
        <w:pStyle w:val="SingleTxtG"/>
        <w:rPr>
          <w:lang w:val="fr-CA"/>
        </w:rPr>
      </w:pPr>
      <w:r w:rsidRPr="00B3274C">
        <w:rPr>
          <w:lang w:val="fr-CA"/>
        </w:rPr>
        <w:t>39.</w:t>
      </w:r>
      <w:r w:rsidRPr="00B3274C">
        <w:rPr>
          <w:lang w:val="fr-CA"/>
        </w:rPr>
        <w:tab/>
      </w:r>
      <w:r w:rsidR="001E4331" w:rsidRPr="00B3274C">
        <w:rPr>
          <w:lang w:val="fr-CA"/>
        </w:rPr>
        <w:t>En ce qui concerne l</w:t>
      </w:r>
      <w:r w:rsidR="0080611A">
        <w:rPr>
          <w:lang w:val="fr-CA"/>
        </w:rPr>
        <w:t>’</w:t>
      </w:r>
      <w:r w:rsidR="001E4331" w:rsidRPr="00B3274C">
        <w:rPr>
          <w:lang w:val="fr-CA"/>
        </w:rPr>
        <w:t>emploi</w:t>
      </w:r>
      <w:r w:rsidR="0080611A">
        <w:rPr>
          <w:lang w:val="fr-CA"/>
        </w:rPr>
        <w:t>,</w:t>
      </w:r>
      <w:r w:rsidR="009F525E" w:rsidRPr="00B3274C">
        <w:rPr>
          <w:lang w:val="fr-CA"/>
        </w:rPr>
        <w:t xml:space="preserve"> en 2011</w:t>
      </w:r>
      <w:r w:rsidR="0080611A">
        <w:rPr>
          <w:lang w:val="fr-CA"/>
        </w:rPr>
        <w:t>,</w:t>
      </w:r>
      <w:r w:rsidR="001E4331" w:rsidRPr="00B3274C">
        <w:rPr>
          <w:lang w:val="fr-CA"/>
        </w:rPr>
        <w:t xml:space="preserve"> 4 090</w:t>
      </w:r>
      <w:r w:rsidR="00D727D8">
        <w:rPr>
          <w:lang w:val="fr-CA"/>
        </w:rPr>
        <w:t> </w:t>
      </w:r>
      <w:r w:rsidR="00FB23D3" w:rsidRPr="00B3274C">
        <w:rPr>
          <w:lang w:val="fr-CA"/>
        </w:rPr>
        <w:t>700</w:t>
      </w:r>
      <w:r w:rsidR="00614BAC">
        <w:rPr>
          <w:lang w:val="fr-CA"/>
        </w:rPr>
        <w:t> personnes</w:t>
      </w:r>
      <w:r w:rsidR="00FB23D3" w:rsidRPr="00B3274C">
        <w:rPr>
          <w:lang w:val="fr-CA"/>
        </w:rPr>
        <w:t xml:space="preserve"> </w:t>
      </w:r>
      <w:r w:rsidR="001E4331" w:rsidRPr="00B3274C">
        <w:rPr>
          <w:lang w:val="fr-CA"/>
        </w:rPr>
        <w:t xml:space="preserve">âgées de plus de </w:t>
      </w:r>
      <w:r w:rsidR="00FB23D3" w:rsidRPr="00B3274C">
        <w:rPr>
          <w:lang w:val="fr-CA"/>
        </w:rPr>
        <w:t>15</w:t>
      </w:r>
      <w:r w:rsidR="004C055A">
        <w:rPr>
          <w:lang w:val="fr-CA"/>
        </w:rPr>
        <w:t> ans</w:t>
      </w:r>
      <w:r w:rsidR="00FB23D3" w:rsidRPr="00B3274C">
        <w:rPr>
          <w:lang w:val="fr-CA"/>
        </w:rPr>
        <w:t xml:space="preserve"> </w:t>
      </w:r>
      <w:r w:rsidR="009F525E" w:rsidRPr="00B3274C">
        <w:rPr>
          <w:lang w:val="fr-CA"/>
        </w:rPr>
        <w:t>exerçaient un emploi</w:t>
      </w:r>
      <w:r w:rsidR="0080611A">
        <w:rPr>
          <w:lang w:val="fr-CA"/>
        </w:rPr>
        <w:t>,</w:t>
      </w:r>
      <w:r w:rsidR="00FB23D3" w:rsidRPr="00B3274C">
        <w:rPr>
          <w:lang w:val="fr-CA"/>
        </w:rPr>
        <w:t xml:space="preserve"> </w:t>
      </w:r>
      <w:r w:rsidR="009F525E" w:rsidRPr="00B3274C">
        <w:rPr>
          <w:lang w:val="fr-CA"/>
        </w:rPr>
        <w:t>(</w:t>
      </w:r>
      <w:r w:rsidR="006E3C04" w:rsidRPr="00B3274C">
        <w:rPr>
          <w:lang w:val="fr-CA"/>
        </w:rPr>
        <w:t>2 441</w:t>
      </w:r>
      <w:r w:rsidR="00D727D8">
        <w:rPr>
          <w:lang w:val="fr-CA"/>
        </w:rPr>
        <w:t> </w:t>
      </w:r>
      <w:r w:rsidR="00FB23D3" w:rsidRPr="00B3274C">
        <w:rPr>
          <w:lang w:val="fr-CA"/>
        </w:rPr>
        <w:t>475</w:t>
      </w:r>
      <w:r w:rsidR="00D727D8">
        <w:rPr>
          <w:lang w:val="fr-CA"/>
        </w:rPr>
        <w:t> </w:t>
      </w:r>
      <w:r w:rsidR="006E3C04" w:rsidRPr="00B3274C">
        <w:rPr>
          <w:lang w:val="fr-CA"/>
        </w:rPr>
        <w:t>ho</w:t>
      </w:r>
      <w:r w:rsidR="009F525E" w:rsidRPr="00B3274C">
        <w:rPr>
          <w:lang w:val="fr-CA"/>
        </w:rPr>
        <w:t>mmes</w:t>
      </w:r>
      <w:r w:rsidR="0080611A">
        <w:rPr>
          <w:lang w:val="fr-CA"/>
        </w:rPr>
        <w:t>,</w:t>
      </w:r>
      <w:r w:rsidR="009F525E" w:rsidRPr="00B3274C">
        <w:rPr>
          <w:lang w:val="fr-CA"/>
        </w:rPr>
        <w:t xml:space="preserve"> soit </w:t>
      </w:r>
      <w:r w:rsidR="00FB23D3" w:rsidRPr="00B3274C">
        <w:rPr>
          <w:lang w:val="fr-CA"/>
        </w:rPr>
        <w:t>59</w:t>
      </w:r>
      <w:r w:rsidR="0080611A">
        <w:rPr>
          <w:lang w:val="fr-CA"/>
        </w:rPr>
        <w:t>,</w:t>
      </w:r>
      <w:r w:rsidR="00FB23D3" w:rsidRPr="00B3274C">
        <w:rPr>
          <w:lang w:val="fr-CA"/>
        </w:rPr>
        <w:t>7</w:t>
      </w:r>
      <w:r w:rsidR="0050285B">
        <w:rPr>
          <w:lang w:val="fr-CA"/>
        </w:rPr>
        <w:t> %</w:t>
      </w:r>
      <w:r w:rsidR="009F525E" w:rsidRPr="00B3274C">
        <w:rPr>
          <w:lang w:val="fr-CA"/>
        </w:rPr>
        <w:t xml:space="preserve"> du total</w:t>
      </w:r>
      <w:r w:rsidR="0080611A">
        <w:rPr>
          <w:lang w:val="fr-CA"/>
        </w:rPr>
        <w:t>,</w:t>
      </w:r>
      <w:r w:rsidR="00FB23D3" w:rsidRPr="00B3274C">
        <w:rPr>
          <w:lang w:val="fr-CA"/>
        </w:rPr>
        <w:t xml:space="preserve"> </w:t>
      </w:r>
      <w:r w:rsidR="009F525E" w:rsidRPr="00B3274C">
        <w:rPr>
          <w:lang w:val="fr-CA"/>
        </w:rPr>
        <w:t>et 1 649</w:t>
      </w:r>
      <w:r w:rsidR="00D727D8">
        <w:rPr>
          <w:lang w:val="fr-CA"/>
        </w:rPr>
        <w:t> </w:t>
      </w:r>
      <w:r w:rsidR="00FB23D3" w:rsidRPr="00B3274C">
        <w:rPr>
          <w:lang w:val="fr-CA"/>
        </w:rPr>
        <w:t>250</w:t>
      </w:r>
      <w:r w:rsidR="00D727D8">
        <w:rPr>
          <w:lang w:val="fr-CA"/>
        </w:rPr>
        <w:t> </w:t>
      </w:r>
      <w:r w:rsidR="009F525E" w:rsidRPr="00B3274C">
        <w:rPr>
          <w:lang w:val="fr-CA"/>
        </w:rPr>
        <w:t>femmes</w:t>
      </w:r>
      <w:r w:rsidR="0080611A">
        <w:rPr>
          <w:lang w:val="fr-CA"/>
        </w:rPr>
        <w:t>,</w:t>
      </w:r>
      <w:r w:rsidR="009F525E" w:rsidRPr="00B3274C">
        <w:rPr>
          <w:lang w:val="fr-CA"/>
        </w:rPr>
        <w:t xml:space="preserve"> soit</w:t>
      </w:r>
      <w:r w:rsidR="00FB23D3" w:rsidRPr="00B3274C">
        <w:rPr>
          <w:lang w:val="fr-CA"/>
        </w:rPr>
        <w:t xml:space="preserve"> 40</w:t>
      </w:r>
      <w:r w:rsidR="0080611A">
        <w:rPr>
          <w:lang w:val="fr-CA"/>
        </w:rPr>
        <w:t>,</w:t>
      </w:r>
      <w:r w:rsidR="00FB23D3" w:rsidRPr="00B3274C">
        <w:rPr>
          <w:lang w:val="fr-CA"/>
        </w:rPr>
        <w:t>3</w:t>
      </w:r>
      <w:r w:rsidR="0050285B">
        <w:rPr>
          <w:lang w:val="fr-CA"/>
        </w:rPr>
        <w:t> %</w:t>
      </w:r>
      <w:r w:rsidR="00E71282" w:rsidRPr="00B3274C">
        <w:rPr>
          <w:lang w:val="fr-CA"/>
        </w:rPr>
        <w:t xml:space="preserve"> du total</w:t>
      </w:r>
      <w:r w:rsidR="009F525E" w:rsidRPr="00B3274C">
        <w:rPr>
          <w:lang w:val="fr-CA"/>
        </w:rPr>
        <w:t>)</w:t>
      </w:r>
      <w:r w:rsidR="00FB23D3" w:rsidRPr="00B3274C">
        <w:rPr>
          <w:lang w:val="fr-CA"/>
        </w:rPr>
        <w:t xml:space="preserve">. </w:t>
      </w:r>
      <w:r w:rsidR="00E71282" w:rsidRPr="00B3274C">
        <w:rPr>
          <w:lang w:val="fr-CA"/>
        </w:rPr>
        <w:t xml:space="preserve">Le nombre moyen </w:t>
      </w:r>
      <w:r w:rsidR="00614BAC">
        <w:rPr>
          <w:lang w:val="fr-CA"/>
        </w:rPr>
        <w:t>de personnes</w:t>
      </w:r>
      <w:r w:rsidR="00E71282" w:rsidRPr="00B3274C">
        <w:rPr>
          <w:lang w:val="fr-CA"/>
        </w:rPr>
        <w:t xml:space="preserve"> exerçant un emploi (âgées de 15</w:t>
      </w:r>
      <w:r w:rsidR="004C055A">
        <w:rPr>
          <w:lang w:val="fr-CA"/>
        </w:rPr>
        <w:t> ans</w:t>
      </w:r>
      <w:r w:rsidR="00E71282" w:rsidRPr="00B3274C">
        <w:rPr>
          <w:lang w:val="fr-CA"/>
        </w:rPr>
        <w:t xml:space="preserve"> ou plus) a baissé de 6</w:t>
      </w:r>
      <w:r w:rsidR="0080611A">
        <w:rPr>
          <w:lang w:val="fr-CA"/>
        </w:rPr>
        <w:t>,</w:t>
      </w:r>
      <w:r w:rsidR="00E71282" w:rsidRPr="00B3274C">
        <w:rPr>
          <w:lang w:val="fr-CA"/>
        </w:rPr>
        <w:t>8</w:t>
      </w:r>
      <w:r w:rsidR="0050285B">
        <w:rPr>
          <w:lang w:val="fr-CA"/>
        </w:rPr>
        <w:t> %</w:t>
      </w:r>
      <w:r w:rsidR="00E71282" w:rsidRPr="00B3274C">
        <w:rPr>
          <w:lang w:val="fr-CA"/>
        </w:rPr>
        <w:t xml:space="preserve"> à partir de 2011</w:t>
      </w:r>
      <w:r w:rsidR="0080611A">
        <w:rPr>
          <w:lang w:val="fr-CA"/>
        </w:rPr>
        <w:t>,</w:t>
      </w:r>
      <w:r w:rsidR="00E71282" w:rsidRPr="00B3274C">
        <w:rPr>
          <w:lang w:val="fr-CA"/>
        </w:rPr>
        <w:t xml:space="preserve"> année après année</w:t>
      </w:r>
      <w:r w:rsidR="0080611A">
        <w:rPr>
          <w:lang w:val="fr-CA"/>
        </w:rPr>
        <w:t>,</w:t>
      </w:r>
      <w:r w:rsidR="00E71282" w:rsidRPr="00B3274C">
        <w:rPr>
          <w:lang w:val="fr-CA"/>
        </w:rPr>
        <w:t xml:space="preserve"> alors qu</w:t>
      </w:r>
      <w:r w:rsidR="0080611A">
        <w:rPr>
          <w:lang w:val="fr-CA"/>
        </w:rPr>
        <w:t>’</w:t>
      </w:r>
      <w:r w:rsidR="00E71282" w:rsidRPr="00B3274C">
        <w:rPr>
          <w:lang w:val="fr-CA"/>
        </w:rPr>
        <w:t>en 2010</w:t>
      </w:r>
      <w:r w:rsidR="0080611A">
        <w:rPr>
          <w:lang w:val="fr-CA"/>
        </w:rPr>
        <w:t>,</w:t>
      </w:r>
      <w:r w:rsidR="00E71282" w:rsidRPr="00B3274C">
        <w:rPr>
          <w:lang w:val="fr-CA"/>
        </w:rPr>
        <w:t xml:space="preserve"> la baisse avait été de 2</w:t>
      </w:r>
      <w:r w:rsidR="0080611A">
        <w:rPr>
          <w:lang w:val="fr-CA"/>
        </w:rPr>
        <w:t>,</w:t>
      </w:r>
      <w:r w:rsidR="00E71282" w:rsidRPr="00B3274C">
        <w:rPr>
          <w:lang w:val="fr-CA"/>
        </w:rPr>
        <w:t>7</w:t>
      </w:r>
      <w:r w:rsidR="0050285B">
        <w:rPr>
          <w:lang w:val="fr-CA"/>
        </w:rPr>
        <w:t> %</w:t>
      </w:r>
      <w:r w:rsidR="00E71282" w:rsidRPr="00B3274C">
        <w:rPr>
          <w:lang w:val="fr-CA"/>
        </w:rPr>
        <w:t xml:space="preserve">. </w:t>
      </w:r>
      <w:r w:rsidR="000F44F9" w:rsidRPr="00B3274C">
        <w:rPr>
          <w:lang w:val="fr-CA"/>
        </w:rPr>
        <w:t>On constate qu</w:t>
      </w:r>
      <w:r w:rsidR="0080611A">
        <w:rPr>
          <w:lang w:val="fr-CA"/>
        </w:rPr>
        <w:t>’</w:t>
      </w:r>
      <w:r w:rsidR="000F44F9" w:rsidRPr="00B3274C">
        <w:rPr>
          <w:lang w:val="fr-CA"/>
        </w:rPr>
        <w:t>au quatrième trimestre de 2011</w:t>
      </w:r>
      <w:r w:rsidR="0080611A">
        <w:rPr>
          <w:lang w:val="fr-CA"/>
        </w:rPr>
        <w:t>,</w:t>
      </w:r>
      <w:r w:rsidR="00E71282" w:rsidRPr="00B3274C">
        <w:rPr>
          <w:lang w:val="fr-CA"/>
        </w:rPr>
        <w:t xml:space="preserve"> pour la première fois depuis le deuxième trimestre de 1998</w:t>
      </w:r>
      <w:r w:rsidR="0080611A">
        <w:rPr>
          <w:lang w:val="fr-CA"/>
        </w:rPr>
        <w:t>,</w:t>
      </w:r>
      <w:r w:rsidR="00E71282" w:rsidRPr="00B3274C">
        <w:rPr>
          <w:lang w:val="fr-CA"/>
        </w:rPr>
        <w:t xml:space="preserve"> le nombre total </w:t>
      </w:r>
      <w:r w:rsidR="00614BAC">
        <w:rPr>
          <w:lang w:val="fr-CA"/>
        </w:rPr>
        <w:t>de personnes</w:t>
      </w:r>
      <w:r w:rsidR="00E71282" w:rsidRPr="00B3274C">
        <w:rPr>
          <w:lang w:val="fr-CA"/>
        </w:rPr>
        <w:t xml:space="preserve"> (âgé</w:t>
      </w:r>
      <w:r w:rsidR="001C60E7" w:rsidRPr="00B3274C">
        <w:rPr>
          <w:lang w:val="fr-CA"/>
        </w:rPr>
        <w:t>e</w:t>
      </w:r>
      <w:r w:rsidR="00E71282" w:rsidRPr="00B3274C">
        <w:rPr>
          <w:lang w:val="fr-CA"/>
        </w:rPr>
        <w:t>s de 15</w:t>
      </w:r>
      <w:r w:rsidR="004C055A">
        <w:rPr>
          <w:lang w:val="fr-CA"/>
        </w:rPr>
        <w:t> ans</w:t>
      </w:r>
      <w:r w:rsidR="00E71282" w:rsidRPr="00B3274C">
        <w:rPr>
          <w:lang w:val="fr-CA"/>
        </w:rPr>
        <w:t xml:space="preserve"> ou plus) exerçant un emploi est </w:t>
      </w:r>
      <w:r w:rsidR="000F44F9" w:rsidRPr="00B3274C">
        <w:rPr>
          <w:lang w:val="fr-CA"/>
        </w:rPr>
        <w:t>tombé</w:t>
      </w:r>
      <w:r w:rsidR="00E71282" w:rsidRPr="00B3274C">
        <w:rPr>
          <w:lang w:val="fr-CA"/>
        </w:rPr>
        <w:t xml:space="preserve"> en dessous des 4</w:t>
      </w:r>
      <w:r w:rsidR="00B53F6A">
        <w:rPr>
          <w:lang w:val="fr-CA"/>
        </w:rPr>
        <w:t> millions</w:t>
      </w:r>
      <w:r w:rsidR="0080611A">
        <w:rPr>
          <w:lang w:val="fr-CA"/>
        </w:rPr>
        <w:t>,</w:t>
      </w:r>
      <w:r w:rsidR="00E71282" w:rsidRPr="00B3274C">
        <w:rPr>
          <w:lang w:val="fr-CA"/>
        </w:rPr>
        <w:t xml:space="preserve"> à 3</w:t>
      </w:r>
      <w:r w:rsidR="00E96E1C">
        <w:rPr>
          <w:lang w:val="fr-CA"/>
        </w:rPr>
        <w:t> </w:t>
      </w:r>
      <w:r w:rsidR="00E71282" w:rsidRPr="00B3274C">
        <w:rPr>
          <w:lang w:val="fr-CA"/>
        </w:rPr>
        <w:t>93</w:t>
      </w:r>
      <w:r w:rsidR="00E96E1C">
        <w:rPr>
          <w:lang w:val="fr-CA"/>
        </w:rPr>
        <w:t>0 000</w:t>
      </w:r>
      <w:r w:rsidR="000F44F9" w:rsidRPr="00B3274C">
        <w:rPr>
          <w:lang w:val="fr-CA"/>
        </w:rPr>
        <w:t>.</w:t>
      </w:r>
      <w:r w:rsidR="00E71282" w:rsidRPr="00B3274C">
        <w:rPr>
          <w:lang w:val="fr-CA"/>
        </w:rPr>
        <w:t xml:space="preserve"> </w:t>
      </w:r>
      <w:r w:rsidR="000F44F9" w:rsidRPr="00B3274C">
        <w:rPr>
          <w:lang w:val="fr-CA"/>
        </w:rPr>
        <w:t>En 2011</w:t>
      </w:r>
      <w:r w:rsidR="0080611A">
        <w:rPr>
          <w:lang w:val="fr-CA"/>
        </w:rPr>
        <w:t>,</w:t>
      </w:r>
      <w:r w:rsidR="000F44F9" w:rsidRPr="00B3274C">
        <w:rPr>
          <w:lang w:val="fr-CA"/>
        </w:rPr>
        <w:t xml:space="preserve"> l</w:t>
      </w:r>
      <w:r w:rsidR="0080611A">
        <w:rPr>
          <w:lang w:val="fr-CA"/>
        </w:rPr>
        <w:t>’</w:t>
      </w:r>
      <w:r w:rsidR="000F44F9" w:rsidRPr="00B3274C">
        <w:rPr>
          <w:lang w:val="fr-CA"/>
        </w:rPr>
        <w:t>emploi a baissé dans presque tous les secteurs de l</w:t>
      </w:r>
      <w:r w:rsidR="0080611A">
        <w:rPr>
          <w:lang w:val="fr-CA"/>
        </w:rPr>
        <w:t>’</w:t>
      </w:r>
      <w:r w:rsidR="000F44F9" w:rsidRPr="00B3274C">
        <w:rPr>
          <w:lang w:val="fr-CA"/>
        </w:rPr>
        <w:t>économie mais la récession a particulièrement touché les secteurs cycliques</w:t>
      </w:r>
      <w:r w:rsidR="0080611A">
        <w:rPr>
          <w:lang w:val="fr-CA"/>
        </w:rPr>
        <w:t>,</w:t>
      </w:r>
      <w:r w:rsidR="000F44F9" w:rsidRPr="00B3274C">
        <w:rPr>
          <w:lang w:val="fr-CA"/>
        </w:rPr>
        <w:t xml:space="preserve"> comme le bâtiment</w:t>
      </w:r>
      <w:r w:rsidR="0080611A">
        <w:rPr>
          <w:lang w:val="fr-CA"/>
        </w:rPr>
        <w:t>,</w:t>
      </w:r>
      <w:r w:rsidR="000F44F9" w:rsidRPr="00B3274C">
        <w:rPr>
          <w:lang w:val="fr-CA"/>
        </w:rPr>
        <w:t xml:space="preserve"> l</w:t>
      </w:r>
      <w:r w:rsidR="0080611A">
        <w:rPr>
          <w:lang w:val="fr-CA"/>
        </w:rPr>
        <w:t>’</w:t>
      </w:r>
      <w:r w:rsidR="000F44F9" w:rsidRPr="00B3274C">
        <w:rPr>
          <w:lang w:val="fr-CA"/>
        </w:rPr>
        <w:t xml:space="preserve">industrie manufacturière et le commerce. </w:t>
      </w:r>
      <w:r w:rsidR="00614BAC">
        <w:rPr>
          <w:lang w:val="fr-CA"/>
        </w:rPr>
        <w:t>Les personnes</w:t>
      </w:r>
      <w:r w:rsidR="000F44F9" w:rsidRPr="00B3274C">
        <w:rPr>
          <w:lang w:val="fr-CA"/>
        </w:rPr>
        <w:t xml:space="preserve"> employées (</w:t>
      </w:r>
      <w:r w:rsidR="001C6B25" w:rsidRPr="00B3274C">
        <w:rPr>
          <w:lang w:val="fr-CA"/>
        </w:rPr>
        <w:t xml:space="preserve">de la tranche </w:t>
      </w:r>
      <w:r w:rsidR="000F44F9" w:rsidRPr="00B3274C">
        <w:rPr>
          <w:lang w:val="fr-CA"/>
        </w:rPr>
        <w:t>d</w:t>
      </w:r>
      <w:r w:rsidR="0080611A">
        <w:rPr>
          <w:lang w:val="fr-CA"/>
        </w:rPr>
        <w:t>’</w:t>
      </w:r>
      <w:r w:rsidR="000F44F9" w:rsidRPr="00B3274C">
        <w:rPr>
          <w:lang w:val="fr-CA"/>
        </w:rPr>
        <w:t>âges des 15-74</w:t>
      </w:r>
      <w:r w:rsidR="004C055A">
        <w:rPr>
          <w:lang w:val="fr-CA"/>
        </w:rPr>
        <w:t> ans</w:t>
      </w:r>
      <w:r w:rsidR="000F44F9" w:rsidRPr="00B3274C">
        <w:rPr>
          <w:lang w:val="fr-CA"/>
        </w:rPr>
        <w:t xml:space="preserve">) </w:t>
      </w:r>
      <w:r w:rsidR="001C6B25" w:rsidRPr="00B3274C">
        <w:rPr>
          <w:lang w:val="fr-CA"/>
        </w:rPr>
        <w:t>sont passé</w:t>
      </w:r>
      <w:r w:rsidR="001C60E7" w:rsidRPr="00B3274C">
        <w:rPr>
          <w:lang w:val="fr-CA"/>
        </w:rPr>
        <w:t>e</w:t>
      </w:r>
      <w:r w:rsidR="001C6B25" w:rsidRPr="00B3274C">
        <w:rPr>
          <w:lang w:val="fr-CA"/>
        </w:rPr>
        <w:t>s à</w:t>
      </w:r>
      <w:r w:rsidR="00D727D8">
        <w:rPr>
          <w:lang w:val="fr-CA"/>
        </w:rPr>
        <w:t> </w:t>
      </w:r>
      <w:r w:rsidR="001C6B25" w:rsidRPr="00B3274C">
        <w:rPr>
          <w:lang w:val="fr-CA"/>
        </w:rPr>
        <w:t>3 892 000 en janvier 2012 puis à 3 872 </w:t>
      </w:r>
      <w:r w:rsidR="001C60E7" w:rsidRPr="00B3274C">
        <w:rPr>
          <w:lang w:val="fr-CA"/>
        </w:rPr>
        <w:t>2</w:t>
      </w:r>
      <w:r w:rsidR="001C6B25" w:rsidRPr="00B3274C">
        <w:rPr>
          <w:lang w:val="fr-CA"/>
        </w:rPr>
        <w:t>00 en février 2012 (données corrigées des variations saisonnières)</w:t>
      </w:r>
      <w:r w:rsidR="00FB23D3" w:rsidRPr="00B3274C">
        <w:rPr>
          <w:lang w:val="fr-CA"/>
        </w:rPr>
        <w:t xml:space="preserve"> (</w:t>
      </w:r>
      <w:r w:rsidR="001C6B25" w:rsidRPr="00B3274C">
        <w:rPr>
          <w:lang w:val="fr-CA"/>
        </w:rPr>
        <w:t>voir l</w:t>
      </w:r>
      <w:r w:rsidR="0080611A">
        <w:rPr>
          <w:lang w:val="fr-CA"/>
        </w:rPr>
        <w:t>’</w:t>
      </w:r>
      <w:r w:rsidR="001C6B25" w:rsidRPr="00B3274C">
        <w:rPr>
          <w:lang w:val="fr-CA"/>
        </w:rPr>
        <w:t>annexe statistique pour l</w:t>
      </w:r>
      <w:r w:rsidR="0080611A">
        <w:rPr>
          <w:lang w:val="fr-CA"/>
        </w:rPr>
        <w:t>’</w:t>
      </w:r>
      <w:r w:rsidR="00597DC4">
        <w:rPr>
          <w:lang w:val="fr-CA"/>
        </w:rPr>
        <w:t>article </w:t>
      </w:r>
      <w:r w:rsidR="001C6B25" w:rsidRPr="00B3274C">
        <w:rPr>
          <w:lang w:val="fr-CA"/>
        </w:rPr>
        <w:t>6 – annexe 1</w:t>
      </w:r>
      <w:r w:rsidR="0080611A">
        <w:rPr>
          <w:lang w:val="fr-CA"/>
        </w:rPr>
        <w:t>,</w:t>
      </w:r>
      <w:r w:rsidR="001C6B25" w:rsidRPr="00B3274C">
        <w:rPr>
          <w:lang w:val="fr-CA"/>
        </w:rPr>
        <w:t xml:space="preserve"> tableau </w:t>
      </w:r>
      <w:r w:rsidR="00FB23D3" w:rsidRPr="00B3274C">
        <w:rPr>
          <w:lang w:val="fr-CA"/>
        </w:rPr>
        <w:t xml:space="preserve">2A). </w:t>
      </w:r>
    </w:p>
    <w:p w:rsidR="00FB23D3" w:rsidRPr="00B3274C" w:rsidRDefault="00107A47" w:rsidP="00107A47">
      <w:pPr>
        <w:pStyle w:val="SingleTxtG"/>
        <w:rPr>
          <w:lang w:val="fr-CA"/>
        </w:rPr>
      </w:pPr>
      <w:r w:rsidRPr="00B3274C">
        <w:rPr>
          <w:lang w:val="fr-CA"/>
        </w:rPr>
        <w:t>40.</w:t>
      </w:r>
      <w:r w:rsidRPr="00B3274C">
        <w:rPr>
          <w:lang w:val="fr-CA"/>
        </w:rPr>
        <w:tab/>
      </w:r>
      <w:r w:rsidR="001E507D" w:rsidRPr="00B3274C">
        <w:rPr>
          <w:lang w:val="fr-CA"/>
        </w:rPr>
        <w:t>Conséquence de ce qui est décrit ci-dessus</w:t>
      </w:r>
      <w:r w:rsidR="0080611A">
        <w:rPr>
          <w:lang w:val="fr-CA"/>
        </w:rPr>
        <w:t>,</w:t>
      </w:r>
      <w:r w:rsidR="001E507D" w:rsidRPr="00B3274C">
        <w:rPr>
          <w:lang w:val="fr-CA"/>
        </w:rPr>
        <w:t xml:space="preserve"> le taux d</w:t>
      </w:r>
      <w:r w:rsidR="0080611A">
        <w:rPr>
          <w:lang w:val="fr-CA"/>
        </w:rPr>
        <w:t>’</w:t>
      </w:r>
      <w:r w:rsidR="001E507D" w:rsidRPr="00B3274C">
        <w:rPr>
          <w:lang w:val="fr-CA"/>
        </w:rPr>
        <w:t>emploi pour la tranche d</w:t>
      </w:r>
      <w:r w:rsidR="0080611A">
        <w:rPr>
          <w:lang w:val="fr-CA"/>
        </w:rPr>
        <w:t>’</w:t>
      </w:r>
      <w:r w:rsidR="001E507D" w:rsidRPr="00B3274C">
        <w:rPr>
          <w:lang w:val="fr-CA"/>
        </w:rPr>
        <w:t>âge des 15</w:t>
      </w:r>
      <w:r w:rsidR="008F2C75">
        <w:rPr>
          <w:lang w:val="fr-CA"/>
        </w:rPr>
        <w:t>-</w:t>
      </w:r>
      <w:r w:rsidR="001E507D" w:rsidRPr="00B3274C">
        <w:rPr>
          <w:lang w:val="fr-CA"/>
        </w:rPr>
        <w:t>64</w:t>
      </w:r>
      <w:r w:rsidR="004C055A">
        <w:rPr>
          <w:lang w:val="fr-CA"/>
        </w:rPr>
        <w:t> ans</w:t>
      </w:r>
      <w:r w:rsidR="001E507D" w:rsidRPr="00B3274C">
        <w:rPr>
          <w:lang w:val="fr-CA"/>
        </w:rPr>
        <w:t xml:space="preserve"> s</w:t>
      </w:r>
      <w:r w:rsidR="0080611A">
        <w:rPr>
          <w:lang w:val="fr-CA"/>
        </w:rPr>
        <w:t>’</w:t>
      </w:r>
      <w:r w:rsidR="001E507D" w:rsidRPr="00B3274C">
        <w:rPr>
          <w:lang w:val="fr-CA"/>
        </w:rPr>
        <w:t>est établi à 55</w:t>
      </w:r>
      <w:r w:rsidR="0080611A">
        <w:rPr>
          <w:lang w:val="fr-CA"/>
        </w:rPr>
        <w:t>,</w:t>
      </w:r>
      <w:r w:rsidR="001E507D" w:rsidRPr="00B3274C">
        <w:rPr>
          <w:lang w:val="fr-CA"/>
        </w:rPr>
        <w:t>6</w:t>
      </w:r>
      <w:r w:rsidR="0050285B">
        <w:rPr>
          <w:lang w:val="fr-CA"/>
        </w:rPr>
        <w:t> %</w:t>
      </w:r>
      <w:r w:rsidR="001E507D" w:rsidRPr="00B3274C">
        <w:rPr>
          <w:lang w:val="fr-CA"/>
        </w:rPr>
        <w:t xml:space="preserve"> en 2011 contre 59</w:t>
      </w:r>
      <w:r w:rsidR="0080611A">
        <w:rPr>
          <w:lang w:val="fr-CA"/>
        </w:rPr>
        <w:t>,</w:t>
      </w:r>
      <w:r w:rsidR="001E507D" w:rsidRPr="00B3274C">
        <w:rPr>
          <w:lang w:val="fr-CA"/>
        </w:rPr>
        <w:t>6</w:t>
      </w:r>
      <w:r w:rsidR="0050285B">
        <w:rPr>
          <w:lang w:val="fr-CA"/>
        </w:rPr>
        <w:t> %</w:t>
      </w:r>
      <w:r w:rsidR="001E507D" w:rsidRPr="00B3274C">
        <w:rPr>
          <w:lang w:val="fr-CA"/>
        </w:rPr>
        <w:t xml:space="preserve"> en 2010. Le taux d</w:t>
      </w:r>
      <w:r w:rsidR="0080611A">
        <w:rPr>
          <w:lang w:val="fr-CA"/>
        </w:rPr>
        <w:t>’</w:t>
      </w:r>
      <w:r w:rsidR="001E507D" w:rsidRPr="00B3274C">
        <w:rPr>
          <w:lang w:val="fr-CA"/>
        </w:rPr>
        <w:t>emploi des femmes (pour la tranche d</w:t>
      </w:r>
      <w:r w:rsidR="0080611A">
        <w:rPr>
          <w:lang w:val="fr-CA"/>
        </w:rPr>
        <w:t>’</w:t>
      </w:r>
      <w:r w:rsidR="001E507D" w:rsidRPr="00B3274C">
        <w:rPr>
          <w:lang w:val="fr-CA"/>
        </w:rPr>
        <w:t>âge des 15</w:t>
      </w:r>
      <w:r w:rsidR="004C055A">
        <w:rPr>
          <w:lang w:val="fr-CA"/>
        </w:rPr>
        <w:t>-</w:t>
      </w:r>
      <w:r w:rsidR="001E507D" w:rsidRPr="00B3274C">
        <w:rPr>
          <w:lang w:val="fr-CA"/>
        </w:rPr>
        <w:t>64</w:t>
      </w:r>
      <w:r w:rsidR="004C055A">
        <w:rPr>
          <w:lang w:val="fr-CA"/>
        </w:rPr>
        <w:t> ans</w:t>
      </w:r>
      <w:r w:rsidR="001E507D" w:rsidRPr="00B3274C">
        <w:rPr>
          <w:lang w:val="fr-CA"/>
        </w:rPr>
        <w:t>) s</w:t>
      </w:r>
      <w:r w:rsidR="0080611A">
        <w:rPr>
          <w:lang w:val="fr-CA"/>
        </w:rPr>
        <w:t>’</w:t>
      </w:r>
      <w:r w:rsidR="001E507D" w:rsidRPr="00B3274C">
        <w:rPr>
          <w:lang w:val="fr-CA"/>
        </w:rPr>
        <w:t>est établi à 45</w:t>
      </w:r>
      <w:r w:rsidR="0080611A">
        <w:rPr>
          <w:lang w:val="fr-CA"/>
        </w:rPr>
        <w:t>,</w:t>
      </w:r>
      <w:r w:rsidR="001E507D" w:rsidRPr="00B3274C">
        <w:rPr>
          <w:lang w:val="fr-CA"/>
        </w:rPr>
        <w:t>1</w:t>
      </w:r>
      <w:r w:rsidR="0050285B">
        <w:rPr>
          <w:lang w:val="fr-CA"/>
        </w:rPr>
        <w:t> %</w:t>
      </w:r>
      <w:r w:rsidR="001E507D" w:rsidRPr="00B3274C">
        <w:rPr>
          <w:lang w:val="fr-CA"/>
        </w:rPr>
        <w:t xml:space="preserve"> en 2011</w:t>
      </w:r>
      <w:r w:rsidR="0080611A">
        <w:rPr>
          <w:lang w:val="fr-CA"/>
        </w:rPr>
        <w:t>,</w:t>
      </w:r>
      <w:r w:rsidR="001E507D" w:rsidRPr="00B3274C">
        <w:rPr>
          <w:lang w:val="fr-CA"/>
        </w:rPr>
        <w:t xml:space="preserve"> soit bien en dessous du taux correspondant pour les hommes la même année </w:t>
      </w:r>
      <w:r w:rsidR="00FB23D3" w:rsidRPr="00B3274C">
        <w:rPr>
          <w:lang w:val="fr-CA"/>
        </w:rPr>
        <w:t>(65</w:t>
      </w:r>
      <w:r w:rsidR="0080611A">
        <w:rPr>
          <w:lang w:val="fr-CA"/>
        </w:rPr>
        <w:t>,</w:t>
      </w:r>
      <w:r w:rsidR="00FB23D3" w:rsidRPr="00B3274C">
        <w:rPr>
          <w:lang w:val="fr-CA"/>
        </w:rPr>
        <w:t>9</w:t>
      </w:r>
      <w:r w:rsidR="0050285B">
        <w:rPr>
          <w:lang w:val="fr-CA"/>
        </w:rPr>
        <w:t> %</w:t>
      </w:r>
      <w:r w:rsidR="00FB23D3" w:rsidRPr="00B3274C">
        <w:rPr>
          <w:lang w:val="fr-CA"/>
        </w:rPr>
        <w:t xml:space="preserve">) </w:t>
      </w:r>
      <w:r w:rsidR="0060540D" w:rsidRPr="00B3274C">
        <w:rPr>
          <w:lang w:val="fr-CA"/>
        </w:rPr>
        <w:t>(</w:t>
      </w:r>
      <w:r w:rsidR="001E507D" w:rsidRPr="00B3274C">
        <w:rPr>
          <w:lang w:val="fr-CA"/>
        </w:rPr>
        <w:t>voir l</w:t>
      </w:r>
      <w:r w:rsidR="0080611A">
        <w:rPr>
          <w:lang w:val="fr-CA"/>
        </w:rPr>
        <w:t>’</w:t>
      </w:r>
      <w:r w:rsidR="001E507D" w:rsidRPr="00B3274C">
        <w:rPr>
          <w:lang w:val="fr-CA"/>
        </w:rPr>
        <w:t>annexe statistique pour l</w:t>
      </w:r>
      <w:r w:rsidR="0080611A">
        <w:rPr>
          <w:lang w:val="fr-CA"/>
        </w:rPr>
        <w:t>’</w:t>
      </w:r>
      <w:r w:rsidR="00597DC4">
        <w:rPr>
          <w:lang w:val="fr-CA"/>
        </w:rPr>
        <w:t>article </w:t>
      </w:r>
      <w:r w:rsidR="001E507D" w:rsidRPr="00B3274C">
        <w:rPr>
          <w:lang w:val="fr-CA"/>
        </w:rPr>
        <w:t xml:space="preserve">6 </w:t>
      </w:r>
      <w:r w:rsidR="00195837" w:rsidRPr="00B3274C">
        <w:rPr>
          <w:lang w:val="fr-CA"/>
        </w:rPr>
        <w:t>–</w:t>
      </w:r>
      <w:r w:rsidR="001E507D" w:rsidRPr="00B3274C">
        <w:rPr>
          <w:lang w:val="fr-CA"/>
        </w:rPr>
        <w:t xml:space="preserve"> annexe </w:t>
      </w:r>
      <w:r w:rsidR="00195837" w:rsidRPr="00B3274C">
        <w:rPr>
          <w:lang w:val="fr-CA"/>
        </w:rPr>
        <w:t>1</w:t>
      </w:r>
      <w:r w:rsidR="0080611A">
        <w:rPr>
          <w:lang w:val="fr-CA"/>
        </w:rPr>
        <w:t>,</w:t>
      </w:r>
      <w:r w:rsidR="00195837" w:rsidRPr="00B3274C">
        <w:rPr>
          <w:lang w:val="fr-CA"/>
        </w:rPr>
        <w:t xml:space="preserve"> table</w:t>
      </w:r>
      <w:r w:rsidR="001E507D" w:rsidRPr="00B3274C">
        <w:rPr>
          <w:lang w:val="fr-CA"/>
        </w:rPr>
        <w:t>au</w:t>
      </w:r>
      <w:r w:rsidR="00195837" w:rsidRPr="00B3274C">
        <w:rPr>
          <w:lang w:val="fr-CA"/>
        </w:rPr>
        <w:t> </w:t>
      </w:r>
      <w:r w:rsidR="00FB23D3" w:rsidRPr="00B3274C">
        <w:rPr>
          <w:lang w:val="fr-CA"/>
        </w:rPr>
        <w:t>2B</w:t>
      </w:r>
      <w:r w:rsidR="0060540D" w:rsidRPr="00B3274C">
        <w:rPr>
          <w:lang w:val="fr-CA"/>
        </w:rPr>
        <w:t>)</w:t>
      </w:r>
      <w:r w:rsidR="00FB23D3" w:rsidRPr="00B3274C">
        <w:rPr>
          <w:lang w:val="fr-CA"/>
        </w:rPr>
        <w:t>.</w:t>
      </w:r>
    </w:p>
    <w:p w:rsidR="00FB23D3" w:rsidRPr="00B3274C" w:rsidRDefault="00107A47" w:rsidP="00107A47">
      <w:pPr>
        <w:pStyle w:val="SingleTxtG"/>
        <w:rPr>
          <w:lang w:val="fr-CA"/>
        </w:rPr>
      </w:pPr>
      <w:r w:rsidRPr="00B3274C">
        <w:rPr>
          <w:lang w:val="fr-CA"/>
        </w:rPr>
        <w:t>41.</w:t>
      </w:r>
      <w:r w:rsidRPr="00B3274C">
        <w:rPr>
          <w:lang w:val="fr-CA"/>
        </w:rPr>
        <w:tab/>
      </w:r>
      <w:r w:rsidR="001E507D" w:rsidRPr="00B3274C">
        <w:rPr>
          <w:lang w:val="fr-CA"/>
        </w:rPr>
        <w:t>Le taux d</w:t>
      </w:r>
      <w:r w:rsidR="0080611A">
        <w:rPr>
          <w:lang w:val="fr-CA"/>
        </w:rPr>
        <w:t>’</w:t>
      </w:r>
      <w:r w:rsidR="001E507D" w:rsidRPr="00B3274C">
        <w:rPr>
          <w:lang w:val="fr-CA"/>
        </w:rPr>
        <w:t>emploi pour la tranche d</w:t>
      </w:r>
      <w:r w:rsidR="0080611A">
        <w:rPr>
          <w:lang w:val="fr-CA"/>
        </w:rPr>
        <w:t>’</w:t>
      </w:r>
      <w:r w:rsidR="001E507D" w:rsidRPr="00B3274C">
        <w:rPr>
          <w:lang w:val="fr-CA"/>
        </w:rPr>
        <w:t>âge des 20</w:t>
      </w:r>
      <w:r w:rsidR="008F2C75">
        <w:rPr>
          <w:lang w:val="fr-CA"/>
        </w:rPr>
        <w:t>-</w:t>
      </w:r>
      <w:r w:rsidR="001E507D" w:rsidRPr="00B3274C">
        <w:rPr>
          <w:lang w:val="fr-CA"/>
        </w:rPr>
        <w:t>64</w:t>
      </w:r>
      <w:r w:rsidR="004C055A">
        <w:rPr>
          <w:lang w:val="fr-CA"/>
        </w:rPr>
        <w:t> ans</w:t>
      </w:r>
      <w:r w:rsidR="001E507D" w:rsidRPr="00B3274C">
        <w:rPr>
          <w:lang w:val="fr-CA"/>
        </w:rPr>
        <w:t xml:space="preserve"> a baissé de 4</w:t>
      </w:r>
      <w:r w:rsidR="0080611A">
        <w:rPr>
          <w:lang w:val="fr-CA"/>
        </w:rPr>
        <w:t>,</w:t>
      </w:r>
      <w:r w:rsidR="001E507D" w:rsidRPr="00B3274C">
        <w:rPr>
          <w:lang w:val="fr-CA"/>
        </w:rPr>
        <w:t>1 point</w:t>
      </w:r>
      <w:r w:rsidR="008F2C75">
        <w:rPr>
          <w:lang w:val="fr-CA"/>
        </w:rPr>
        <w:t>s</w:t>
      </w:r>
      <w:r w:rsidR="001E507D" w:rsidRPr="00B3274C">
        <w:rPr>
          <w:lang w:val="fr-CA"/>
        </w:rPr>
        <w:t xml:space="preserve"> de pourcentage en 2011</w:t>
      </w:r>
      <w:r w:rsidR="0080611A">
        <w:rPr>
          <w:lang w:val="fr-CA"/>
        </w:rPr>
        <w:t>,</w:t>
      </w:r>
      <w:r w:rsidR="001E507D" w:rsidRPr="00B3274C">
        <w:rPr>
          <w:lang w:val="fr-CA"/>
        </w:rPr>
        <w:t xml:space="preserve"> passant de 64</w:t>
      </w:r>
      <w:r w:rsidR="0050285B">
        <w:rPr>
          <w:lang w:val="fr-CA"/>
        </w:rPr>
        <w:t> %</w:t>
      </w:r>
      <w:r w:rsidR="001E507D" w:rsidRPr="00B3274C">
        <w:rPr>
          <w:lang w:val="fr-CA"/>
        </w:rPr>
        <w:t xml:space="preserve"> en 2010 à 59</w:t>
      </w:r>
      <w:r w:rsidR="0080611A">
        <w:rPr>
          <w:lang w:val="fr-CA"/>
        </w:rPr>
        <w:t>,</w:t>
      </w:r>
      <w:r w:rsidR="001E507D" w:rsidRPr="00B3274C">
        <w:rPr>
          <w:lang w:val="fr-CA"/>
        </w:rPr>
        <w:t>9</w:t>
      </w:r>
      <w:r w:rsidR="0050285B">
        <w:rPr>
          <w:lang w:val="fr-CA"/>
        </w:rPr>
        <w:t> %</w:t>
      </w:r>
      <w:r w:rsidR="001E507D" w:rsidRPr="00B3274C">
        <w:rPr>
          <w:lang w:val="fr-CA"/>
        </w:rPr>
        <w:t xml:space="preserve"> en 2011</w:t>
      </w:r>
      <w:r w:rsidR="00FB23D3" w:rsidRPr="00B3274C">
        <w:rPr>
          <w:lang w:val="fr-CA"/>
        </w:rPr>
        <w:t>.</w:t>
      </w:r>
      <w:r w:rsidR="001E507D" w:rsidRPr="00B3274C">
        <w:rPr>
          <w:lang w:val="fr-CA"/>
        </w:rPr>
        <w:t xml:space="preserve"> La chute du taux d</w:t>
      </w:r>
      <w:r w:rsidR="0080611A">
        <w:rPr>
          <w:lang w:val="fr-CA"/>
        </w:rPr>
        <w:t>’</w:t>
      </w:r>
      <w:r w:rsidR="001E507D" w:rsidRPr="00B3274C">
        <w:rPr>
          <w:lang w:val="fr-CA"/>
        </w:rPr>
        <w:t>emploi a été plus marquée pour les hommes (baisse de 5</w:t>
      </w:r>
      <w:r w:rsidR="0080611A">
        <w:rPr>
          <w:lang w:val="fr-CA"/>
        </w:rPr>
        <w:t>,</w:t>
      </w:r>
      <w:r w:rsidR="001E507D" w:rsidRPr="00B3274C">
        <w:rPr>
          <w:lang w:val="fr-CA"/>
        </w:rPr>
        <w:t>1 point</w:t>
      </w:r>
      <w:r w:rsidR="008F2C75">
        <w:rPr>
          <w:lang w:val="fr-CA"/>
        </w:rPr>
        <w:t>s</w:t>
      </w:r>
      <w:r w:rsidR="001E507D" w:rsidRPr="00B3274C">
        <w:rPr>
          <w:lang w:val="fr-CA"/>
        </w:rPr>
        <w:t xml:space="preserve"> de pourcentage au cours de la période 2010</w:t>
      </w:r>
      <w:r w:rsidR="008F2C75">
        <w:rPr>
          <w:lang w:val="fr-CA"/>
        </w:rPr>
        <w:t>-</w:t>
      </w:r>
      <w:r w:rsidR="001E507D" w:rsidRPr="00B3274C">
        <w:rPr>
          <w:lang w:val="fr-CA"/>
        </w:rPr>
        <w:t>2011) que pour les femmes (3</w:t>
      </w:r>
      <w:r w:rsidR="0080611A">
        <w:rPr>
          <w:lang w:val="fr-CA"/>
        </w:rPr>
        <w:t>,</w:t>
      </w:r>
      <w:r w:rsidR="001E507D" w:rsidRPr="00B3274C">
        <w:rPr>
          <w:lang w:val="fr-CA"/>
        </w:rPr>
        <w:t>1 point</w:t>
      </w:r>
      <w:r w:rsidR="000F52D7">
        <w:rPr>
          <w:lang w:val="fr-CA"/>
        </w:rPr>
        <w:t>s</w:t>
      </w:r>
      <w:r w:rsidR="001E507D" w:rsidRPr="00B3274C">
        <w:rPr>
          <w:lang w:val="fr-CA"/>
        </w:rPr>
        <w:t xml:space="preserve"> de pourcentage) de cette tranche d</w:t>
      </w:r>
      <w:r w:rsidR="0080611A">
        <w:rPr>
          <w:lang w:val="fr-CA"/>
        </w:rPr>
        <w:t>’</w:t>
      </w:r>
      <w:r w:rsidR="001E507D" w:rsidRPr="00B3274C">
        <w:rPr>
          <w:lang w:val="fr-CA"/>
        </w:rPr>
        <w:t xml:space="preserve">âge. </w:t>
      </w:r>
      <w:r w:rsidR="00FD1E73" w:rsidRPr="00B3274C">
        <w:rPr>
          <w:lang w:val="fr-CA"/>
        </w:rPr>
        <w:t>Plus précisément</w:t>
      </w:r>
      <w:r w:rsidR="0080611A">
        <w:rPr>
          <w:lang w:val="fr-CA"/>
        </w:rPr>
        <w:t>,</w:t>
      </w:r>
      <w:r w:rsidR="00FD1E73" w:rsidRPr="00B3274C">
        <w:rPr>
          <w:lang w:val="fr-CA"/>
        </w:rPr>
        <w:t xml:space="preserve"> le taux d</w:t>
      </w:r>
      <w:r w:rsidR="0080611A">
        <w:rPr>
          <w:lang w:val="fr-CA"/>
        </w:rPr>
        <w:t>’</w:t>
      </w:r>
      <w:r w:rsidR="00FD1E73" w:rsidRPr="00B3274C">
        <w:rPr>
          <w:lang w:val="fr-CA"/>
        </w:rPr>
        <w:t>emploi des hommes âgés de 20 à 64</w:t>
      </w:r>
      <w:r w:rsidR="004C055A">
        <w:rPr>
          <w:lang w:val="fr-CA"/>
        </w:rPr>
        <w:t> ans</w:t>
      </w:r>
      <w:r w:rsidR="00FD1E73" w:rsidRPr="00B3274C">
        <w:rPr>
          <w:lang w:val="fr-CA"/>
        </w:rPr>
        <w:t xml:space="preserve"> est passé de 76</w:t>
      </w:r>
      <w:r w:rsidR="0080611A">
        <w:rPr>
          <w:lang w:val="fr-CA"/>
        </w:rPr>
        <w:t>,</w:t>
      </w:r>
      <w:r w:rsidR="00FD1E73" w:rsidRPr="00B3274C">
        <w:rPr>
          <w:lang w:val="fr-CA"/>
        </w:rPr>
        <w:t>2</w:t>
      </w:r>
      <w:r w:rsidR="0050285B">
        <w:rPr>
          <w:lang w:val="fr-CA"/>
        </w:rPr>
        <w:t> %</w:t>
      </w:r>
      <w:r w:rsidR="00473378">
        <w:rPr>
          <w:lang w:val="fr-CA"/>
        </w:rPr>
        <w:t xml:space="preserve"> en </w:t>
      </w:r>
      <w:r w:rsidR="00FD1E73" w:rsidRPr="00B3274C">
        <w:rPr>
          <w:lang w:val="fr-CA"/>
        </w:rPr>
        <w:t>2010 à 71</w:t>
      </w:r>
      <w:r w:rsidR="0080611A">
        <w:rPr>
          <w:lang w:val="fr-CA"/>
        </w:rPr>
        <w:t>,</w:t>
      </w:r>
      <w:r w:rsidR="00FD1E73" w:rsidRPr="00B3274C">
        <w:rPr>
          <w:lang w:val="fr-CA"/>
        </w:rPr>
        <w:t>1</w:t>
      </w:r>
      <w:r w:rsidR="0050285B">
        <w:rPr>
          <w:lang w:val="fr-CA"/>
        </w:rPr>
        <w:t> %</w:t>
      </w:r>
      <w:r w:rsidR="00FD1E73" w:rsidRPr="00B3274C">
        <w:rPr>
          <w:lang w:val="fr-CA"/>
        </w:rPr>
        <w:t xml:space="preserve"> en 2011 alors que pour les femmes de la même tranche d</w:t>
      </w:r>
      <w:r w:rsidR="0080611A">
        <w:rPr>
          <w:lang w:val="fr-CA"/>
        </w:rPr>
        <w:t>’</w:t>
      </w:r>
      <w:r w:rsidR="00FD1E73" w:rsidRPr="00B3274C">
        <w:rPr>
          <w:lang w:val="fr-CA"/>
        </w:rPr>
        <w:t>âge</w:t>
      </w:r>
      <w:r w:rsidR="0080611A">
        <w:rPr>
          <w:lang w:val="fr-CA"/>
        </w:rPr>
        <w:t>,</w:t>
      </w:r>
      <w:r w:rsidR="00FD1E73" w:rsidRPr="00B3274C">
        <w:rPr>
          <w:lang w:val="fr-CA"/>
        </w:rPr>
        <w:t xml:space="preserve"> il est passé de 51</w:t>
      </w:r>
      <w:r w:rsidR="0080611A">
        <w:rPr>
          <w:lang w:val="fr-CA"/>
        </w:rPr>
        <w:t>,</w:t>
      </w:r>
      <w:r w:rsidR="00FD1E73" w:rsidRPr="00B3274C">
        <w:rPr>
          <w:lang w:val="fr-CA"/>
        </w:rPr>
        <w:t>7</w:t>
      </w:r>
      <w:r w:rsidR="0050285B">
        <w:rPr>
          <w:lang w:val="fr-CA"/>
        </w:rPr>
        <w:t> %</w:t>
      </w:r>
      <w:r w:rsidR="00FD1E73" w:rsidRPr="00B3274C">
        <w:rPr>
          <w:lang w:val="fr-CA"/>
        </w:rPr>
        <w:t xml:space="preserve"> en 2010 à 48</w:t>
      </w:r>
      <w:r w:rsidR="0080611A">
        <w:rPr>
          <w:lang w:val="fr-CA"/>
        </w:rPr>
        <w:t>,</w:t>
      </w:r>
      <w:r w:rsidR="00FD1E73" w:rsidRPr="00B3274C">
        <w:rPr>
          <w:lang w:val="fr-CA"/>
        </w:rPr>
        <w:t>6</w:t>
      </w:r>
      <w:r w:rsidR="0050285B">
        <w:rPr>
          <w:lang w:val="fr-CA"/>
        </w:rPr>
        <w:t> %</w:t>
      </w:r>
      <w:r w:rsidR="00FD1E73" w:rsidRPr="00B3274C">
        <w:rPr>
          <w:lang w:val="fr-CA"/>
        </w:rPr>
        <w:t xml:space="preserve"> en 2011 </w:t>
      </w:r>
      <w:r w:rsidR="00FB23D3" w:rsidRPr="00B3274C">
        <w:rPr>
          <w:lang w:val="fr-CA"/>
        </w:rPr>
        <w:t>(</w:t>
      </w:r>
      <w:r w:rsidR="00FD1E73" w:rsidRPr="00B3274C">
        <w:rPr>
          <w:lang w:val="fr-CA"/>
        </w:rPr>
        <w:t>voir l</w:t>
      </w:r>
      <w:r w:rsidR="0080611A">
        <w:rPr>
          <w:lang w:val="fr-CA"/>
        </w:rPr>
        <w:t>’</w:t>
      </w:r>
      <w:r w:rsidR="00FD1E73" w:rsidRPr="00B3274C">
        <w:rPr>
          <w:lang w:val="fr-CA"/>
        </w:rPr>
        <w:t>annexe statistique pour l</w:t>
      </w:r>
      <w:r w:rsidR="0080611A">
        <w:rPr>
          <w:lang w:val="fr-CA"/>
        </w:rPr>
        <w:t>’</w:t>
      </w:r>
      <w:r w:rsidR="00597DC4">
        <w:rPr>
          <w:lang w:val="fr-CA"/>
        </w:rPr>
        <w:t>article </w:t>
      </w:r>
      <w:r w:rsidR="000213C1" w:rsidRPr="00B3274C">
        <w:rPr>
          <w:lang w:val="fr-CA"/>
        </w:rPr>
        <w:t>6 –</w:t>
      </w:r>
      <w:r w:rsidR="00FD1E73" w:rsidRPr="00B3274C">
        <w:rPr>
          <w:lang w:val="fr-CA"/>
        </w:rPr>
        <w:t xml:space="preserve"> annexe </w:t>
      </w:r>
      <w:r w:rsidR="000213C1" w:rsidRPr="00B3274C">
        <w:rPr>
          <w:lang w:val="fr-CA"/>
        </w:rPr>
        <w:t>1</w:t>
      </w:r>
      <w:r w:rsidR="0080611A">
        <w:rPr>
          <w:lang w:val="fr-CA"/>
        </w:rPr>
        <w:t>,</w:t>
      </w:r>
      <w:r w:rsidR="000213C1" w:rsidRPr="00B3274C">
        <w:rPr>
          <w:lang w:val="fr-CA"/>
        </w:rPr>
        <w:t xml:space="preserve"> </w:t>
      </w:r>
      <w:r w:rsidR="00FD1E73" w:rsidRPr="00B3274C">
        <w:rPr>
          <w:lang w:val="fr-CA"/>
        </w:rPr>
        <w:t>tableau</w:t>
      </w:r>
      <w:r w:rsidR="000213C1" w:rsidRPr="00B3274C">
        <w:rPr>
          <w:lang w:val="fr-CA"/>
        </w:rPr>
        <w:t> </w:t>
      </w:r>
      <w:r w:rsidR="00FB23D3" w:rsidRPr="00B3274C">
        <w:rPr>
          <w:lang w:val="fr-CA"/>
        </w:rPr>
        <w:t>2B).</w:t>
      </w:r>
    </w:p>
    <w:p w:rsidR="00FB23D3" w:rsidRPr="00B3274C" w:rsidRDefault="000213C1" w:rsidP="000213C1">
      <w:pPr>
        <w:pStyle w:val="H4G"/>
        <w:rPr>
          <w:lang w:val="fr-CA"/>
        </w:rPr>
      </w:pPr>
      <w:r w:rsidRPr="00B3274C">
        <w:rPr>
          <w:lang w:val="fr-CA"/>
        </w:rPr>
        <w:tab/>
      </w:r>
      <w:r w:rsidR="00D8027F" w:rsidRPr="00B3274C">
        <w:rPr>
          <w:lang w:val="fr-CA"/>
        </w:rPr>
        <w:t>i</w:t>
      </w:r>
      <w:r w:rsidR="0060540D" w:rsidRPr="00B3274C">
        <w:rPr>
          <w:lang w:val="fr-CA"/>
        </w:rPr>
        <w:t>)</w:t>
      </w:r>
      <w:r w:rsidRPr="00B3274C">
        <w:rPr>
          <w:lang w:val="fr-CA"/>
        </w:rPr>
        <w:tab/>
      </w:r>
      <w:r w:rsidR="00FD1E73" w:rsidRPr="00B3274C">
        <w:rPr>
          <w:lang w:val="fr-CA"/>
        </w:rPr>
        <w:t>Jeunes</w:t>
      </w:r>
    </w:p>
    <w:p w:rsidR="00FB23D3" w:rsidRPr="00B3274C" w:rsidRDefault="00107A47" w:rsidP="00107A47">
      <w:pPr>
        <w:pStyle w:val="SingleTxtG"/>
        <w:rPr>
          <w:b/>
          <w:lang w:val="fr-CA"/>
        </w:rPr>
      </w:pPr>
      <w:r w:rsidRPr="00B3274C">
        <w:rPr>
          <w:lang w:val="fr-CA"/>
        </w:rPr>
        <w:t>42.</w:t>
      </w:r>
      <w:r w:rsidRPr="00B3274C">
        <w:rPr>
          <w:lang w:val="fr-CA"/>
        </w:rPr>
        <w:tab/>
      </w:r>
      <w:r w:rsidR="007E2A52" w:rsidRPr="00B3274C">
        <w:rPr>
          <w:lang w:val="fr-CA"/>
        </w:rPr>
        <w:t>En Grèce</w:t>
      </w:r>
      <w:r w:rsidR="0080611A">
        <w:rPr>
          <w:lang w:val="fr-CA"/>
        </w:rPr>
        <w:t>,</w:t>
      </w:r>
      <w:r w:rsidR="007E2A52" w:rsidRPr="00B3274C">
        <w:rPr>
          <w:lang w:val="fr-CA"/>
        </w:rPr>
        <w:t xml:space="preserve"> les jeunes ont été fortement touchés par la baisse de l</w:t>
      </w:r>
      <w:r w:rsidR="0080611A">
        <w:rPr>
          <w:lang w:val="fr-CA"/>
        </w:rPr>
        <w:t>’</w:t>
      </w:r>
      <w:r w:rsidR="007E2A52" w:rsidRPr="00B3274C">
        <w:rPr>
          <w:lang w:val="fr-CA"/>
        </w:rPr>
        <w:t>activité économique. Le taux d</w:t>
      </w:r>
      <w:r w:rsidR="0080611A">
        <w:rPr>
          <w:lang w:val="fr-CA"/>
        </w:rPr>
        <w:t>’</w:t>
      </w:r>
      <w:r w:rsidR="007E2A52" w:rsidRPr="00B3274C">
        <w:rPr>
          <w:lang w:val="fr-CA"/>
        </w:rPr>
        <w:t>emploi des jeunes âgés de 15 à 24</w:t>
      </w:r>
      <w:r w:rsidR="004C055A">
        <w:rPr>
          <w:lang w:val="fr-CA"/>
        </w:rPr>
        <w:t> ans</w:t>
      </w:r>
      <w:r w:rsidR="007E2A52" w:rsidRPr="00B3274C">
        <w:rPr>
          <w:lang w:val="fr-CA"/>
        </w:rPr>
        <w:t xml:space="preserve"> est passé de 20</w:t>
      </w:r>
      <w:r w:rsidR="0080611A">
        <w:rPr>
          <w:lang w:val="fr-CA"/>
        </w:rPr>
        <w:t>,</w:t>
      </w:r>
      <w:r w:rsidR="007E2A52" w:rsidRPr="00B3274C">
        <w:rPr>
          <w:lang w:val="fr-CA"/>
        </w:rPr>
        <w:t>3</w:t>
      </w:r>
      <w:r w:rsidR="0050285B">
        <w:rPr>
          <w:lang w:val="fr-CA"/>
        </w:rPr>
        <w:t> %</w:t>
      </w:r>
      <w:r w:rsidR="007E2A52" w:rsidRPr="00B3274C">
        <w:rPr>
          <w:lang w:val="fr-CA"/>
        </w:rPr>
        <w:t xml:space="preserve"> en 2010 à 16</w:t>
      </w:r>
      <w:r w:rsidR="0080611A">
        <w:rPr>
          <w:lang w:val="fr-CA"/>
        </w:rPr>
        <w:t>,</w:t>
      </w:r>
      <w:r w:rsidR="007E2A52" w:rsidRPr="00B3274C">
        <w:rPr>
          <w:lang w:val="fr-CA"/>
        </w:rPr>
        <w:t>3</w:t>
      </w:r>
      <w:r w:rsidR="0050285B">
        <w:rPr>
          <w:lang w:val="fr-CA"/>
        </w:rPr>
        <w:t> %</w:t>
      </w:r>
      <w:r w:rsidR="007E2A52" w:rsidRPr="00B3274C">
        <w:rPr>
          <w:lang w:val="fr-CA"/>
        </w:rPr>
        <w:t xml:space="preserve"> en 2011</w:t>
      </w:r>
      <w:r w:rsidR="0080611A">
        <w:rPr>
          <w:lang w:val="fr-CA"/>
        </w:rPr>
        <w:t>,</w:t>
      </w:r>
      <w:r w:rsidR="007E2A52" w:rsidRPr="00B3274C">
        <w:rPr>
          <w:lang w:val="fr-CA"/>
        </w:rPr>
        <w:t xml:space="preserve"> soit une baisse de quatre points de pourcentage entre 2010 et 2011. Le taux d</w:t>
      </w:r>
      <w:r w:rsidR="0080611A">
        <w:rPr>
          <w:lang w:val="fr-CA"/>
        </w:rPr>
        <w:t>’</w:t>
      </w:r>
      <w:r w:rsidR="007E2A52" w:rsidRPr="00B3274C">
        <w:rPr>
          <w:lang w:val="fr-CA"/>
        </w:rPr>
        <w:t>emploi des jeunes est tout particulièrement faible en Grèce</w:t>
      </w:r>
      <w:r w:rsidR="0080611A">
        <w:rPr>
          <w:lang w:val="fr-CA"/>
        </w:rPr>
        <w:t>,</w:t>
      </w:r>
      <w:r w:rsidR="007E2A52" w:rsidRPr="00B3274C">
        <w:rPr>
          <w:lang w:val="fr-CA"/>
        </w:rPr>
        <w:t xml:space="preserve"> notamment parmi les jeunes femmes (en 2011</w:t>
      </w:r>
      <w:r w:rsidR="0080611A">
        <w:rPr>
          <w:lang w:val="fr-CA"/>
        </w:rPr>
        <w:t>,</w:t>
      </w:r>
      <w:r w:rsidR="007E2A52" w:rsidRPr="00B3274C">
        <w:rPr>
          <w:lang w:val="fr-CA"/>
        </w:rPr>
        <w:t xml:space="preserve"> il était de 12</w:t>
      </w:r>
      <w:r w:rsidR="0080611A">
        <w:rPr>
          <w:lang w:val="fr-CA"/>
        </w:rPr>
        <w:t>,</w:t>
      </w:r>
      <w:r w:rsidR="007E2A52" w:rsidRPr="00B3274C">
        <w:rPr>
          <w:lang w:val="fr-CA"/>
        </w:rPr>
        <w:t>9</w:t>
      </w:r>
      <w:r w:rsidR="0050285B">
        <w:rPr>
          <w:lang w:val="fr-CA"/>
        </w:rPr>
        <w:t> %</w:t>
      </w:r>
      <w:r w:rsidR="007E2A52" w:rsidRPr="00B3274C">
        <w:rPr>
          <w:lang w:val="fr-CA"/>
        </w:rPr>
        <w:t xml:space="preserve"> pour les femmes contre 19</w:t>
      </w:r>
      <w:r w:rsidR="0080611A">
        <w:rPr>
          <w:lang w:val="fr-CA"/>
        </w:rPr>
        <w:t>,</w:t>
      </w:r>
      <w:r w:rsidR="007E2A52" w:rsidRPr="00B3274C">
        <w:rPr>
          <w:lang w:val="fr-CA"/>
        </w:rPr>
        <w:t>6</w:t>
      </w:r>
      <w:r w:rsidR="0050285B">
        <w:rPr>
          <w:lang w:val="fr-CA"/>
        </w:rPr>
        <w:t> %</w:t>
      </w:r>
      <w:r w:rsidR="007E2A52" w:rsidRPr="00B3274C">
        <w:rPr>
          <w:lang w:val="fr-CA"/>
        </w:rPr>
        <w:t xml:space="preserve"> pour les hommes) </w:t>
      </w:r>
      <w:r w:rsidR="00FB23D3" w:rsidRPr="00B3274C">
        <w:rPr>
          <w:lang w:val="fr-CA"/>
        </w:rPr>
        <w:t>(</w:t>
      </w:r>
      <w:r w:rsidR="007E2A52" w:rsidRPr="00B3274C">
        <w:rPr>
          <w:lang w:val="fr-CA"/>
        </w:rPr>
        <w:t>voir l</w:t>
      </w:r>
      <w:r w:rsidR="0080611A">
        <w:rPr>
          <w:lang w:val="fr-CA"/>
        </w:rPr>
        <w:t>’</w:t>
      </w:r>
      <w:r w:rsidR="007E2A52" w:rsidRPr="00B3274C">
        <w:rPr>
          <w:lang w:val="fr-CA"/>
        </w:rPr>
        <w:t xml:space="preserve">annexe </w:t>
      </w:r>
      <w:r w:rsidR="00FB23D3" w:rsidRPr="00B3274C">
        <w:rPr>
          <w:lang w:val="fr-CA"/>
        </w:rPr>
        <w:t>1 –</w:t>
      </w:r>
      <w:r w:rsidR="007E2A52" w:rsidRPr="00B3274C">
        <w:rPr>
          <w:lang w:val="fr-CA"/>
        </w:rPr>
        <w:t xml:space="preserve"> tableau </w:t>
      </w:r>
      <w:r w:rsidR="00FB23D3" w:rsidRPr="00B3274C">
        <w:rPr>
          <w:lang w:val="fr-CA"/>
        </w:rPr>
        <w:t xml:space="preserve">2C). </w:t>
      </w:r>
    </w:p>
    <w:p w:rsidR="00FB23D3" w:rsidRPr="00B3274C" w:rsidRDefault="000213C1" w:rsidP="000213C1">
      <w:pPr>
        <w:pStyle w:val="H4G"/>
        <w:rPr>
          <w:lang w:val="fr-CA"/>
        </w:rPr>
      </w:pPr>
      <w:r w:rsidRPr="00B3274C">
        <w:rPr>
          <w:lang w:val="fr-CA"/>
        </w:rPr>
        <w:tab/>
      </w:r>
      <w:r w:rsidR="00D8027F" w:rsidRPr="00B3274C">
        <w:rPr>
          <w:lang w:val="fr-CA"/>
        </w:rPr>
        <w:t>ii</w:t>
      </w:r>
      <w:r w:rsidR="0060540D" w:rsidRPr="00B3274C">
        <w:rPr>
          <w:lang w:val="fr-CA"/>
        </w:rPr>
        <w:t>)</w:t>
      </w:r>
      <w:r w:rsidRPr="00B3274C">
        <w:rPr>
          <w:lang w:val="fr-CA"/>
        </w:rPr>
        <w:tab/>
      </w:r>
      <w:r w:rsidR="00FD1E73" w:rsidRPr="00B3274C">
        <w:rPr>
          <w:lang w:val="fr-CA"/>
        </w:rPr>
        <w:t>Personnes âgées</w:t>
      </w:r>
    </w:p>
    <w:p w:rsidR="00FB23D3" w:rsidRPr="00B3274C" w:rsidRDefault="00107A47" w:rsidP="00107A47">
      <w:pPr>
        <w:pStyle w:val="SingleTxtG"/>
        <w:rPr>
          <w:lang w:val="fr-CA"/>
        </w:rPr>
      </w:pPr>
      <w:r w:rsidRPr="00B3274C">
        <w:rPr>
          <w:lang w:val="fr-CA"/>
        </w:rPr>
        <w:t>43.</w:t>
      </w:r>
      <w:r w:rsidRPr="00B3274C">
        <w:rPr>
          <w:lang w:val="fr-CA"/>
        </w:rPr>
        <w:tab/>
      </w:r>
      <w:r w:rsidR="007E2A52" w:rsidRPr="00B3274C">
        <w:rPr>
          <w:lang w:val="fr-CA"/>
        </w:rPr>
        <w:t>La récession économique en Grèce a également eu des répercussions sur le taux d</w:t>
      </w:r>
      <w:r w:rsidR="0080611A">
        <w:rPr>
          <w:lang w:val="fr-CA"/>
        </w:rPr>
        <w:t>’</w:t>
      </w:r>
      <w:r w:rsidR="007E2A52" w:rsidRPr="00B3274C">
        <w:rPr>
          <w:lang w:val="fr-CA"/>
        </w:rPr>
        <w:t xml:space="preserve">emploi </w:t>
      </w:r>
      <w:r w:rsidR="00614BAC">
        <w:rPr>
          <w:lang w:val="fr-CA"/>
        </w:rPr>
        <w:t>des personnes</w:t>
      </w:r>
      <w:r w:rsidR="007E2A52" w:rsidRPr="00B3274C">
        <w:rPr>
          <w:lang w:val="fr-CA"/>
        </w:rPr>
        <w:t xml:space="preserve"> de la tranche d</w:t>
      </w:r>
      <w:r w:rsidR="0080611A">
        <w:rPr>
          <w:lang w:val="fr-CA"/>
        </w:rPr>
        <w:t>’</w:t>
      </w:r>
      <w:r w:rsidR="007E2A52" w:rsidRPr="00B3274C">
        <w:rPr>
          <w:lang w:val="fr-CA"/>
        </w:rPr>
        <w:t>âge des 55</w:t>
      </w:r>
      <w:r w:rsidR="00D727D8">
        <w:rPr>
          <w:lang w:val="fr-CA"/>
        </w:rPr>
        <w:t>-</w:t>
      </w:r>
      <w:r w:rsidR="007E2A52" w:rsidRPr="00B3274C">
        <w:rPr>
          <w:lang w:val="fr-CA"/>
        </w:rPr>
        <w:t>64</w:t>
      </w:r>
      <w:r w:rsidR="004C055A">
        <w:rPr>
          <w:lang w:val="fr-CA"/>
        </w:rPr>
        <w:t> ans</w:t>
      </w:r>
      <w:r w:rsidR="007E2A52" w:rsidRPr="00B3274C">
        <w:rPr>
          <w:lang w:val="fr-CA"/>
        </w:rPr>
        <w:t xml:space="preserve"> en 2011. Plus précisément</w:t>
      </w:r>
      <w:r w:rsidR="0080611A">
        <w:rPr>
          <w:lang w:val="fr-CA"/>
        </w:rPr>
        <w:t>,</w:t>
      </w:r>
      <w:r w:rsidR="007E2A52" w:rsidRPr="00B3274C">
        <w:rPr>
          <w:lang w:val="fr-CA"/>
        </w:rPr>
        <w:t xml:space="preserve"> le taux d</w:t>
      </w:r>
      <w:r w:rsidR="0080611A">
        <w:rPr>
          <w:lang w:val="fr-CA"/>
        </w:rPr>
        <w:t>’</w:t>
      </w:r>
      <w:r w:rsidR="007E2A52" w:rsidRPr="00B3274C">
        <w:rPr>
          <w:lang w:val="fr-CA"/>
        </w:rPr>
        <w:t xml:space="preserve">emploi </w:t>
      </w:r>
      <w:r w:rsidR="00614BAC">
        <w:rPr>
          <w:lang w:val="fr-CA"/>
        </w:rPr>
        <w:t>des personnes</w:t>
      </w:r>
      <w:r w:rsidR="007E2A52" w:rsidRPr="00B3274C">
        <w:rPr>
          <w:lang w:val="fr-CA"/>
        </w:rPr>
        <w:t xml:space="preserve"> de cette tranche d</w:t>
      </w:r>
      <w:r w:rsidR="0080611A">
        <w:rPr>
          <w:lang w:val="fr-CA"/>
        </w:rPr>
        <w:t>’</w:t>
      </w:r>
      <w:r w:rsidR="007E2A52" w:rsidRPr="00B3274C">
        <w:rPr>
          <w:lang w:val="fr-CA"/>
        </w:rPr>
        <w:t xml:space="preserve">âge </w:t>
      </w:r>
      <w:r w:rsidR="00770058" w:rsidRPr="00B3274C">
        <w:rPr>
          <w:lang w:val="fr-CA"/>
        </w:rPr>
        <w:t xml:space="preserve">est passé </w:t>
      </w:r>
      <w:r w:rsidR="007E2A52" w:rsidRPr="00B3274C">
        <w:rPr>
          <w:lang w:val="fr-CA"/>
        </w:rPr>
        <w:t>de 42</w:t>
      </w:r>
      <w:r w:rsidR="0080611A">
        <w:rPr>
          <w:lang w:val="fr-CA"/>
        </w:rPr>
        <w:t>,</w:t>
      </w:r>
      <w:r w:rsidR="007E2A52" w:rsidRPr="00B3274C">
        <w:rPr>
          <w:lang w:val="fr-CA"/>
        </w:rPr>
        <w:t>3</w:t>
      </w:r>
      <w:r w:rsidR="0050285B">
        <w:rPr>
          <w:lang w:val="fr-CA"/>
        </w:rPr>
        <w:t> %</w:t>
      </w:r>
      <w:r w:rsidR="007E2A52" w:rsidRPr="00B3274C">
        <w:rPr>
          <w:lang w:val="fr-CA"/>
        </w:rPr>
        <w:t xml:space="preserve"> en 2010 à 39</w:t>
      </w:r>
      <w:r w:rsidR="0080611A">
        <w:rPr>
          <w:lang w:val="fr-CA"/>
        </w:rPr>
        <w:t>,</w:t>
      </w:r>
      <w:r w:rsidR="007E2A52" w:rsidRPr="00B3274C">
        <w:rPr>
          <w:lang w:val="fr-CA"/>
        </w:rPr>
        <w:t>4</w:t>
      </w:r>
      <w:r w:rsidR="0050285B">
        <w:rPr>
          <w:lang w:val="fr-CA"/>
        </w:rPr>
        <w:t> %</w:t>
      </w:r>
      <w:r w:rsidR="00D727D8">
        <w:rPr>
          <w:lang w:val="fr-CA"/>
        </w:rPr>
        <w:t xml:space="preserve"> en </w:t>
      </w:r>
      <w:r w:rsidR="007E2A52" w:rsidRPr="00B3274C">
        <w:rPr>
          <w:lang w:val="fr-CA"/>
        </w:rPr>
        <w:t>2011. Le taux d</w:t>
      </w:r>
      <w:r w:rsidR="0080611A">
        <w:rPr>
          <w:lang w:val="fr-CA"/>
        </w:rPr>
        <w:t>’</w:t>
      </w:r>
      <w:r w:rsidR="007E2A52" w:rsidRPr="00B3274C">
        <w:rPr>
          <w:lang w:val="fr-CA"/>
        </w:rPr>
        <w:t>emploi des femmes de cette tranche d</w:t>
      </w:r>
      <w:r w:rsidR="0080611A">
        <w:rPr>
          <w:lang w:val="fr-CA"/>
        </w:rPr>
        <w:t>’</w:t>
      </w:r>
      <w:r w:rsidR="007E2A52" w:rsidRPr="00B3274C">
        <w:rPr>
          <w:lang w:val="fr-CA"/>
        </w:rPr>
        <w:t>âge est passé de 28</w:t>
      </w:r>
      <w:r w:rsidR="0080611A">
        <w:rPr>
          <w:lang w:val="fr-CA"/>
        </w:rPr>
        <w:t>,</w:t>
      </w:r>
      <w:r w:rsidR="007E2A52" w:rsidRPr="00B3274C">
        <w:rPr>
          <w:lang w:val="fr-CA"/>
        </w:rPr>
        <w:t>9</w:t>
      </w:r>
      <w:r w:rsidR="0050285B">
        <w:rPr>
          <w:lang w:val="fr-CA"/>
        </w:rPr>
        <w:t> %</w:t>
      </w:r>
      <w:r w:rsidR="007E2A52" w:rsidRPr="00B3274C">
        <w:rPr>
          <w:lang w:val="fr-CA"/>
        </w:rPr>
        <w:t xml:space="preserve"> en 2010 à 27</w:t>
      </w:r>
      <w:r w:rsidR="0080611A">
        <w:rPr>
          <w:lang w:val="fr-CA"/>
        </w:rPr>
        <w:t>,</w:t>
      </w:r>
      <w:r w:rsidR="007E2A52" w:rsidRPr="00B3274C">
        <w:rPr>
          <w:lang w:val="fr-CA"/>
        </w:rPr>
        <w:t>3</w:t>
      </w:r>
      <w:r w:rsidR="0050285B">
        <w:rPr>
          <w:lang w:val="fr-CA"/>
        </w:rPr>
        <w:t> %</w:t>
      </w:r>
      <w:r w:rsidR="007E2A52" w:rsidRPr="00B3274C">
        <w:rPr>
          <w:lang w:val="fr-CA"/>
        </w:rPr>
        <w:t xml:space="preserve"> en 2011. Il est à noter que le taux d</w:t>
      </w:r>
      <w:r w:rsidR="0080611A">
        <w:rPr>
          <w:lang w:val="fr-CA"/>
        </w:rPr>
        <w:t>’</w:t>
      </w:r>
      <w:r w:rsidR="007E2A52" w:rsidRPr="00B3274C">
        <w:rPr>
          <w:lang w:val="fr-CA"/>
        </w:rPr>
        <w:t>emploi des femmes de la tranche d</w:t>
      </w:r>
      <w:r w:rsidR="0080611A">
        <w:rPr>
          <w:lang w:val="fr-CA"/>
        </w:rPr>
        <w:t>’</w:t>
      </w:r>
      <w:r w:rsidR="007E2A52" w:rsidRPr="00B3274C">
        <w:rPr>
          <w:lang w:val="fr-CA"/>
        </w:rPr>
        <w:t>âge des 55 – 64</w:t>
      </w:r>
      <w:r w:rsidR="004C055A">
        <w:rPr>
          <w:lang w:val="fr-CA"/>
        </w:rPr>
        <w:t> ans</w:t>
      </w:r>
      <w:r w:rsidR="007E2A52" w:rsidRPr="00B3274C">
        <w:rPr>
          <w:lang w:val="fr-CA"/>
        </w:rPr>
        <w:t xml:space="preserve"> avait </w:t>
      </w:r>
      <w:r w:rsidR="007552EA" w:rsidRPr="00B3274C">
        <w:rPr>
          <w:lang w:val="fr-CA"/>
        </w:rPr>
        <w:t>été en hausse au cours de la période 2004</w:t>
      </w:r>
      <w:r w:rsidR="00C54D12">
        <w:rPr>
          <w:lang w:val="fr-CA"/>
        </w:rPr>
        <w:t>-</w:t>
      </w:r>
      <w:r w:rsidR="007552EA" w:rsidRPr="00B3274C">
        <w:rPr>
          <w:lang w:val="fr-CA"/>
        </w:rPr>
        <w:t xml:space="preserve">2010 </w:t>
      </w:r>
      <w:r w:rsidR="00FB23D3" w:rsidRPr="00B3274C">
        <w:rPr>
          <w:lang w:val="fr-CA"/>
        </w:rPr>
        <w:t>(</w:t>
      </w:r>
      <w:r w:rsidR="0061030E" w:rsidRPr="00B3274C">
        <w:rPr>
          <w:lang w:val="fr-CA"/>
        </w:rPr>
        <w:t>voir</w:t>
      </w:r>
      <w:r w:rsidR="007552EA" w:rsidRPr="00B3274C">
        <w:rPr>
          <w:lang w:val="fr-CA"/>
        </w:rPr>
        <w:t xml:space="preserve"> l</w:t>
      </w:r>
      <w:r w:rsidR="0080611A">
        <w:rPr>
          <w:lang w:val="fr-CA"/>
        </w:rPr>
        <w:t>’</w:t>
      </w:r>
      <w:r w:rsidR="007552EA" w:rsidRPr="00B3274C">
        <w:rPr>
          <w:lang w:val="fr-CA"/>
        </w:rPr>
        <w:t>annexe statistique pour l</w:t>
      </w:r>
      <w:r w:rsidR="0080611A">
        <w:rPr>
          <w:lang w:val="fr-CA"/>
        </w:rPr>
        <w:t>’</w:t>
      </w:r>
      <w:r w:rsidR="00597DC4">
        <w:rPr>
          <w:lang w:val="fr-CA"/>
        </w:rPr>
        <w:t>article </w:t>
      </w:r>
      <w:r w:rsidR="00FB23D3" w:rsidRPr="00B3274C">
        <w:rPr>
          <w:lang w:val="fr-CA"/>
        </w:rPr>
        <w:t>6 –</w:t>
      </w:r>
      <w:r w:rsidR="007552EA" w:rsidRPr="00B3274C">
        <w:rPr>
          <w:lang w:val="fr-CA"/>
        </w:rPr>
        <w:t xml:space="preserve"> annexe </w:t>
      </w:r>
      <w:r w:rsidR="00FB23D3" w:rsidRPr="00B3274C">
        <w:rPr>
          <w:lang w:val="fr-CA"/>
        </w:rPr>
        <w:t>1</w:t>
      </w:r>
      <w:r w:rsidR="0080611A">
        <w:rPr>
          <w:lang w:val="fr-CA"/>
        </w:rPr>
        <w:t>,</w:t>
      </w:r>
      <w:r w:rsidR="007552EA" w:rsidRPr="00B3274C">
        <w:rPr>
          <w:lang w:val="fr-CA"/>
        </w:rPr>
        <w:t xml:space="preserve"> tableau </w:t>
      </w:r>
      <w:r w:rsidR="00FB23D3" w:rsidRPr="00B3274C">
        <w:rPr>
          <w:lang w:val="fr-CA"/>
        </w:rPr>
        <w:t xml:space="preserve">2D). </w:t>
      </w:r>
    </w:p>
    <w:p w:rsidR="00FB23D3" w:rsidRPr="00B3274C" w:rsidRDefault="000213C1" w:rsidP="000213C1">
      <w:pPr>
        <w:pStyle w:val="H4G"/>
        <w:rPr>
          <w:lang w:val="fr-CA"/>
        </w:rPr>
      </w:pPr>
      <w:r w:rsidRPr="00B3274C">
        <w:rPr>
          <w:lang w:val="fr-CA"/>
        </w:rPr>
        <w:tab/>
      </w:r>
      <w:r w:rsidR="00D8027F" w:rsidRPr="00B3274C">
        <w:rPr>
          <w:lang w:val="fr-CA"/>
        </w:rPr>
        <w:t>iii</w:t>
      </w:r>
      <w:r w:rsidR="0060540D" w:rsidRPr="00B3274C">
        <w:rPr>
          <w:lang w:val="fr-CA"/>
        </w:rPr>
        <w:t>)</w:t>
      </w:r>
      <w:r w:rsidRPr="00B3274C">
        <w:rPr>
          <w:lang w:val="fr-CA"/>
        </w:rPr>
        <w:tab/>
      </w:r>
      <w:r w:rsidR="00FD1E73" w:rsidRPr="00B3274C">
        <w:rPr>
          <w:lang w:val="fr-CA"/>
        </w:rPr>
        <w:t>Types d</w:t>
      </w:r>
      <w:r w:rsidR="0080611A">
        <w:rPr>
          <w:lang w:val="fr-CA"/>
        </w:rPr>
        <w:t>’</w:t>
      </w:r>
      <w:r w:rsidR="00FD1E73" w:rsidRPr="00B3274C">
        <w:rPr>
          <w:lang w:val="fr-CA"/>
        </w:rPr>
        <w:t>emploi en Grèce</w:t>
      </w:r>
    </w:p>
    <w:p w:rsidR="00FB23D3" w:rsidRPr="00B3274C" w:rsidRDefault="00107A47" w:rsidP="00107A47">
      <w:pPr>
        <w:pStyle w:val="SingleTxtG"/>
        <w:rPr>
          <w:lang w:val="fr-CA"/>
        </w:rPr>
      </w:pPr>
      <w:r w:rsidRPr="00B3274C">
        <w:rPr>
          <w:lang w:val="fr-CA"/>
        </w:rPr>
        <w:t>44.</w:t>
      </w:r>
      <w:r w:rsidRPr="00B3274C">
        <w:rPr>
          <w:lang w:val="fr-CA"/>
        </w:rPr>
        <w:tab/>
      </w:r>
      <w:r w:rsidR="007552EA" w:rsidRPr="00B3274C">
        <w:rPr>
          <w:lang w:val="fr-CA"/>
        </w:rPr>
        <w:t>Le type d</w:t>
      </w:r>
      <w:r w:rsidR="0080611A">
        <w:rPr>
          <w:lang w:val="fr-CA"/>
        </w:rPr>
        <w:t>’</w:t>
      </w:r>
      <w:r w:rsidR="007552EA" w:rsidRPr="00B3274C">
        <w:rPr>
          <w:lang w:val="fr-CA"/>
        </w:rPr>
        <w:t>emploi prédominant dans le pays est toujours le modèle traditionnel de l</w:t>
      </w:r>
      <w:r w:rsidR="0080611A">
        <w:rPr>
          <w:lang w:val="fr-CA"/>
        </w:rPr>
        <w:t>’</w:t>
      </w:r>
      <w:r w:rsidR="007552EA" w:rsidRPr="00B3274C">
        <w:rPr>
          <w:lang w:val="fr-CA"/>
        </w:rPr>
        <w:t>emploi à plein temps. Le taux d</w:t>
      </w:r>
      <w:r w:rsidR="0080611A">
        <w:rPr>
          <w:lang w:val="fr-CA"/>
        </w:rPr>
        <w:t>’</w:t>
      </w:r>
      <w:r w:rsidR="007552EA" w:rsidRPr="00B3274C">
        <w:rPr>
          <w:lang w:val="fr-CA"/>
        </w:rPr>
        <w:t xml:space="preserve">emploi </w:t>
      </w:r>
      <w:r w:rsidR="00486F82" w:rsidRPr="00B3274C">
        <w:rPr>
          <w:lang w:val="fr-CA"/>
        </w:rPr>
        <w:t xml:space="preserve">à temps </w:t>
      </w:r>
      <w:r w:rsidR="007552EA" w:rsidRPr="00B3274C">
        <w:rPr>
          <w:lang w:val="fr-CA"/>
        </w:rPr>
        <w:t xml:space="preserve">partiel en Grèce est plus faible que la moyenne dans les </w:t>
      </w:r>
      <w:r w:rsidR="00403056" w:rsidRPr="00B3274C">
        <w:rPr>
          <w:lang w:val="fr-CA"/>
        </w:rPr>
        <w:t>27 pays d</w:t>
      </w:r>
      <w:r w:rsidR="0080611A">
        <w:rPr>
          <w:lang w:val="fr-CA"/>
        </w:rPr>
        <w:t>’</w:t>
      </w:r>
      <w:r w:rsidR="00403056" w:rsidRPr="00B3274C">
        <w:rPr>
          <w:lang w:val="fr-CA"/>
        </w:rPr>
        <w:t>Europe</w:t>
      </w:r>
      <w:r w:rsidR="00EC5892" w:rsidRPr="00B3274C">
        <w:rPr>
          <w:lang w:val="fr-CA"/>
        </w:rPr>
        <w:t>;</w:t>
      </w:r>
      <w:r w:rsidR="00403056" w:rsidRPr="00B3274C">
        <w:rPr>
          <w:lang w:val="fr-CA"/>
        </w:rPr>
        <w:t xml:space="preserve"> toutefois</w:t>
      </w:r>
      <w:r w:rsidR="0080611A">
        <w:rPr>
          <w:lang w:val="fr-CA"/>
        </w:rPr>
        <w:t>,</w:t>
      </w:r>
      <w:r w:rsidR="00403056" w:rsidRPr="00B3274C">
        <w:rPr>
          <w:lang w:val="fr-CA"/>
        </w:rPr>
        <w:t xml:space="preserve"> il a légèrement augmenté en 2011</w:t>
      </w:r>
      <w:r w:rsidR="0080611A">
        <w:rPr>
          <w:lang w:val="fr-CA"/>
        </w:rPr>
        <w:t>,</w:t>
      </w:r>
      <w:r w:rsidR="00403056" w:rsidRPr="00B3274C">
        <w:rPr>
          <w:lang w:val="fr-CA"/>
        </w:rPr>
        <w:t xml:space="preserve"> passant à 6</w:t>
      </w:r>
      <w:r w:rsidR="0080611A">
        <w:rPr>
          <w:lang w:val="fr-CA"/>
        </w:rPr>
        <w:t>,</w:t>
      </w:r>
      <w:r w:rsidR="00403056" w:rsidRPr="00B3274C">
        <w:rPr>
          <w:lang w:val="fr-CA"/>
        </w:rPr>
        <w:t>8</w:t>
      </w:r>
      <w:r w:rsidR="0050285B">
        <w:rPr>
          <w:lang w:val="fr-CA"/>
        </w:rPr>
        <w:t> %</w:t>
      </w:r>
      <w:r w:rsidR="00403056" w:rsidRPr="00B3274C">
        <w:rPr>
          <w:lang w:val="fr-CA"/>
        </w:rPr>
        <w:t xml:space="preserve"> après avoir été de 6</w:t>
      </w:r>
      <w:r w:rsidR="0080611A">
        <w:rPr>
          <w:lang w:val="fr-CA"/>
        </w:rPr>
        <w:t>,</w:t>
      </w:r>
      <w:r w:rsidR="00403056" w:rsidRPr="00B3274C">
        <w:rPr>
          <w:lang w:val="fr-CA"/>
        </w:rPr>
        <w:t>4</w:t>
      </w:r>
      <w:r w:rsidR="0050285B">
        <w:rPr>
          <w:lang w:val="fr-CA"/>
        </w:rPr>
        <w:t> %</w:t>
      </w:r>
      <w:r w:rsidR="00403056" w:rsidRPr="00B3274C">
        <w:rPr>
          <w:lang w:val="fr-CA"/>
        </w:rPr>
        <w:t xml:space="preserve"> en 2010 et de 5</w:t>
      </w:r>
      <w:r w:rsidR="0080611A">
        <w:rPr>
          <w:lang w:val="fr-CA"/>
        </w:rPr>
        <w:t>,</w:t>
      </w:r>
      <w:r w:rsidR="00403056" w:rsidRPr="00B3274C">
        <w:rPr>
          <w:lang w:val="fr-CA"/>
        </w:rPr>
        <w:t>6</w:t>
      </w:r>
      <w:r w:rsidR="0050285B">
        <w:rPr>
          <w:lang w:val="fr-CA"/>
        </w:rPr>
        <w:t> %</w:t>
      </w:r>
      <w:r w:rsidR="00403056" w:rsidRPr="00B3274C">
        <w:rPr>
          <w:lang w:val="fr-CA"/>
        </w:rPr>
        <w:t xml:space="preserve"> en 2008.</w:t>
      </w:r>
      <w:r w:rsidR="0055418C" w:rsidRPr="00B3274C">
        <w:rPr>
          <w:lang w:val="fr-CA"/>
        </w:rPr>
        <w:t xml:space="preserve"> </w:t>
      </w:r>
      <w:r w:rsidR="00403056" w:rsidRPr="00B3274C">
        <w:rPr>
          <w:lang w:val="fr-CA"/>
        </w:rPr>
        <w:t>Il reste qu</w:t>
      </w:r>
      <w:r w:rsidR="0080611A">
        <w:rPr>
          <w:lang w:val="fr-CA"/>
        </w:rPr>
        <w:t>’</w:t>
      </w:r>
      <w:r w:rsidR="00403056" w:rsidRPr="00B3274C">
        <w:rPr>
          <w:lang w:val="fr-CA"/>
        </w:rPr>
        <w:t xml:space="preserve">en Grèce le pourcentage </w:t>
      </w:r>
      <w:r w:rsidR="00614BAC">
        <w:rPr>
          <w:lang w:val="fr-CA"/>
        </w:rPr>
        <w:t>des personnes</w:t>
      </w:r>
      <w:r w:rsidR="00403056" w:rsidRPr="00B3274C">
        <w:rPr>
          <w:lang w:val="fr-CA"/>
        </w:rPr>
        <w:t xml:space="preserve"> qui choisissent de travailler à temps partiel parce qu</w:t>
      </w:r>
      <w:r w:rsidR="0080611A">
        <w:rPr>
          <w:lang w:val="fr-CA"/>
        </w:rPr>
        <w:t>’</w:t>
      </w:r>
      <w:r w:rsidR="00403056" w:rsidRPr="00B3274C">
        <w:rPr>
          <w:lang w:val="fr-CA"/>
        </w:rPr>
        <w:t>elles ne trouvent pas de travail à plein temps (56</w:t>
      </w:r>
      <w:r w:rsidR="0080611A">
        <w:rPr>
          <w:lang w:val="fr-CA"/>
        </w:rPr>
        <w:t>,</w:t>
      </w:r>
      <w:r w:rsidR="00403056" w:rsidRPr="00B3274C">
        <w:rPr>
          <w:lang w:val="fr-CA"/>
        </w:rPr>
        <w:t>5</w:t>
      </w:r>
      <w:r w:rsidR="0050285B">
        <w:rPr>
          <w:lang w:val="fr-CA"/>
        </w:rPr>
        <w:t> %</w:t>
      </w:r>
      <w:r w:rsidR="00403056" w:rsidRPr="00B3274C">
        <w:rPr>
          <w:lang w:val="fr-CA"/>
        </w:rPr>
        <w:t xml:space="preserve"> en 2011) est bien supérieur à la moyenne européenne (25</w:t>
      </w:r>
      <w:r w:rsidR="0080611A">
        <w:rPr>
          <w:lang w:val="fr-CA"/>
        </w:rPr>
        <w:t>,</w:t>
      </w:r>
      <w:r w:rsidR="00403056" w:rsidRPr="00B3274C">
        <w:rPr>
          <w:lang w:val="fr-CA"/>
        </w:rPr>
        <w:t>5</w:t>
      </w:r>
      <w:r w:rsidR="0050285B">
        <w:rPr>
          <w:lang w:val="fr-CA"/>
        </w:rPr>
        <w:t> %</w:t>
      </w:r>
      <w:r w:rsidR="00403056" w:rsidRPr="00B3274C">
        <w:rPr>
          <w:lang w:val="fr-CA"/>
        </w:rPr>
        <w:t xml:space="preserve"> en 2010) (voir </w:t>
      </w:r>
      <w:r w:rsidR="00587B81" w:rsidRPr="00B3274C">
        <w:rPr>
          <w:lang w:val="fr-CA"/>
        </w:rPr>
        <w:t>l</w:t>
      </w:r>
      <w:r w:rsidR="0080611A">
        <w:rPr>
          <w:lang w:val="fr-CA"/>
        </w:rPr>
        <w:t>’</w:t>
      </w:r>
      <w:r w:rsidR="00403056" w:rsidRPr="00B3274C">
        <w:rPr>
          <w:lang w:val="fr-CA"/>
        </w:rPr>
        <w:t>annexe statistique pour l</w:t>
      </w:r>
      <w:r w:rsidR="0080611A">
        <w:rPr>
          <w:lang w:val="fr-CA"/>
        </w:rPr>
        <w:t>’</w:t>
      </w:r>
      <w:r w:rsidR="00597DC4">
        <w:rPr>
          <w:lang w:val="fr-CA"/>
        </w:rPr>
        <w:t>article </w:t>
      </w:r>
      <w:r w:rsidR="00403056" w:rsidRPr="00B3274C">
        <w:rPr>
          <w:lang w:val="fr-CA"/>
        </w:rPr>
        <w:t>6 – annexe 1</w:t>
      </w:r>
      <w:r w:rsidR="0080611A">
        <w:rPr>
          <w:lang w:val="fr-CA"/>
        </w:rPr>
        <w:t>,</w:t>
      </w:r>
      <w:r w:rsidR="00403056" w:rsidRPr="00B3274C">
        <w:rPr>
          <w:lang w:val="fr-CA"/>
        </w:rPr>
        <w:t xml:space="preserve"> tableau</w:t>
      </w:r>
      <w:r w:rsidR="00403056" w:rsidRPr="00C54D12">
        <w:t xml:space="preserve"> </w:t>
      </w:r>
      <w:r w:rsidR="00FB23D3" w:rsidRPr="00B3274C">
        <w:rPr>
          <w:iCs/>
          <w:lang w:val="fr-CA"/>
        </w:rPr>
        <w:t>2E</w:t>
      </w:r>
      <w:r w:rsidR="0060540D" w:rsidRPr="00B3274C">
        <w:rPr>
          <w:iCs/>
          <w:lang w:val="fr-CA"/>
        </w:rPr>
        <w:t>)</w:t>
      </w:r>
      <w:r w:rsidR="00FB23D3" w:rsidRPr="00B3274C">
        <w:rPr>
          <w:iCs/>
          <w:lang w:val="fr-CA"/>
        </w:rPr>
        <w:t xml:space="preserve">. </w:t>
      </w:r>
      <w:r w:rsidR="00403056" w:rsidRPr="00B3274C">
        <w:rPr>
          <w:iCs/>
          <w:lang w:val="fr-CA"/>
        </w:rPr>
        <w:t>En outre</w:t>
      </w:r>
      <w:r w:rsidR="0080611A">
        <w:rPr>
          <w:iCs/>
          <w:lang w:val="fr-CA"/>
        </w:rPr>
        <w:t>,</w:t>
      </w:r>
      <w:r w:rsidR="00403056" w:rsidRPr="00B3274C">
        <w:rPr>
          <w:iCs/>
          <w:lang w:val="fr-CA"/>
        </w:rPr>
        <w:t xml:space="preserve"> l</w:t>
      </w:r>
      <w:r w:rsidR="0080611A">
        <w:rPr>
          <w:iCs/>
          <w:lang w:val="fr-CA"/>
        </w:rPr>
        <w:t>’</w:t>
      </w:r>
      <w:r w:rsidR="00403056" w:rsidRPr="00B3274C">
        <w:rPr>
          <w:iCs/>
          <w:lang w:val="fr-CA"/>
        </w:rPr>
        <w:t xml:space="preserve">emploi à temps partiel est plus répandu parmi les femmes que parmi les hommes </w:t>
      </w:r>
      <w:r w:rsidR="00FB23D3" w:rsidRPr="00B3274C">
        <w:rPr>
          <w:lang w:val="fr-CA"/>
        </w:rPr>
        <w:t>(</w:t>
      </w:r>
      <w:r w:rsidR="00486F82" w:rsidRPr="00B3274C">
        <w:rPr>
          <w:lang w:val="fr-CA"/>
        </w:rPr>
        <w:t>voir le tableau correspondant à l</w:t>
      </w:r>
      <w:r w:rsidR="0080611A">
        <w:rPr>
          <w:lang w:val="fr-CA"/>
        </w:rPr>
        <w:t>’</w:t>
      </w:r>
      <w:r w:rsidR="00486F82" w:rsidRPr="00B3274C">
        <w:rPr>
          <w:lang w:val="fr-CA"/>
        </w:rPr>
        <w:t>annexe</w:t>
      </w:r>
      <w:r w:rsidR="00FB23D3" w:rsidRPr="00B3274C">
        <w:rPr>
          <w:lang w:val="fr-CA"/>
        </w:rPr>
        <w:t xml:space="preserve"> 1). </w:t>
      </w:r>
    </w:p>
    <w:p w:rsidR="00FB23D3" w:rsidRPr="00B3274C" w:rsidRDefault="00107A47" w:rsidP="00107A47">
      <w:pPr>
        <w:pStyle w:val="SingleTxtG"/>
        <w:rPr>
          <w:bCs/>
          <w:lang w:val="fr-CA"/>
        </w:rPr>
      </w:pPr>
      <w:r w:rsidRPr="00B3274C">
        <w:rPr>
          <w:bCs/>
          <w:lang w:val="fr-CA"/>
        </w:rPr>
        <w:t>45.</w:t>
      </w:r>
      <w:r w:rsidRPr="00B3274C">
        <w:rPr>
          <w:bCs/>
          <w:lang w:val="fr-CA"/>
        </w:rPr>
        <w:tab/>
      </w:r>
      <w:r w:rsidR="00486F82" w:rsidRPr="00B3274C">
        <w:rPr>
          <w:bCs/>
          <w:lang w:val="fr-CA"/>
        </w:rPr>
        <w:t>Le pourcentage des employés temporaires en Grèce était de 11</w:t>
      </w:r>
      <w:r w:rsidR="0080611A">
        <w:rPr>
          <w:bCs/>
          <w:lang w:val="fr-CA"/>
        </w:rPr>
        <w:t>,</w:t>
      </w:r>
      <w:r w:rsidR="00486F82" w:rsidRPr="00B3274C">
        <w:rPr>
          <w:bCs/>
          <w:lang w:val="fr-CA"/>
        </w:rPr>
        <w:t>6</w:t>
      </w:r>
      <w:r w:rsidR="0050285B">
        <w:rPr>
          <w:bCs/>
          <w:lang w:val="fr-CA"/>
        </w:rPr>
        <w:t> %</w:t>
      </w:r>
      <w:r w:rsidR="00486F82" w:rsidRPr="00B3274C">
        <w:rPr>
          <w:bCs/>
          <w:lang w:val="fr-CA"/>
        </w:rPr>
        <w:t xml:space="preserve"> en 2011</w:t>
      </w:r>
      <w:r w:rsidR="0080611A">
        <w:rPr>
          <w:bCs/>
          <w:lang w:val="fr-CA"/>
        </w:rPr>
        <w:t>,</w:t>
      </w:r>
      <w:r w:rsidR="00486F82" w:rsidRPr="00B3274C">
        <w:rPr>
          <w:bCs/>
          <w:lang w:val="fr-CA"/>
        </w:rPr>
        <w:t xml:space="preserve"> contre 12</w:t>
      </w:r>
      <w:r w:rsidR="0080611A">
        <w:rPr>
          <w:bCs/>
          <w:lang w:val="fr-CA"/>
        </w:rPr>
        <w:t>,</w:t>
      </w:r>
      <w:r w:rsidR="00486F82" w:rsidRPr="00B3274C">
        <w:rPr>
          <w:bCs/>
          <w:lang w:val="fr-CA"/>
        </w:rPr>
        <w:t>4</w:t>
      </w:r>
      <w:r w:rsidR="0050285B">
        <w:rPr>
          <w:bCs/>
          <w:lang w:val="fr-CA"/>
        </w:rPr>
        <w:t> %</w:t>
      </w:r>
      <w:r w:rsidR="00486F82" w:rsidRPr="00B3274C">
        <w:rPr>
          <w:bCs/>
          <w:lang w:val="fr-CA"/>
        </w:rPr>
        <w:t xml:space="preserve"> en 2010. </w:t>
      </w:r>
      <w:r w:rsidR="00DB5925" w:rsidRPr="00B3274C">
        <w:rPr>
          <w:bCs/>
          <w:lang w:val="fr-CA"/>
        </w:rPr>
        <w:t>En 2011</w:t>
      </w:r>
      <w:r w:rsidR="0080611A">
        <w:rPr>
          <w:bCs/>
          <w:lang w:val="fr-CA"/>
        </w:rPr>
        <w:t>,</w:t>
      </w:r>
      <w:r w:rsidR="00DB5925" w:rsidRPr="00B3274C">
        <w:rPr>
          <w:bCs/>
          <w:lang w:val="fr-CA"/>
        </w:rPr>
        <w:t xml:space="preserve"> il</w:t>
      </w:r>
      <w:r w:rsidR="00486F82" w:rsidRPr="00B3274C">
        <w:rPr>
          <w:bCs/>
          <w:lang w:val="fr-CA"/>
        </w:rPr>
        <w:t xml:space="preserve"> était de 12</w:t>
      </w:r>
      <w:r w:rsidR="0080611A">
        <w:rPr>
          <w:bCs/>
          <w:lang w:val="fr-CA"/>
        </w:rPr>
        <w:t>,</w:t>
      </w:r>
      <w:r w:rsidR="00486F82" w:rsidRPr="00B3274C">
        <w:rPr>
          <w:bCs/>
          <w:lang w:val="fr-CA"/>
        </w:rPr>
        <w:t>9</w:t>
      </w:r>
      <w:r w:rsidR="0050285B">
        <w:rPr>
          <w:bCs/>
          <w:lang w:val="fr-CA"/>
        </w:rPr>
        <w:t> %</w:t>
      </w:r>
      <w:r w:rsidR="00486F82" w:rsidRPr="00B3274C">
        <w:rPr>
          <w:bCs/>
          <w:lang w:val="fr-CA"/>
        </w:rPr>
        <w:t xml:space="preserve"> chez les femmes </w:t>
      </w:r>
      <w:r w:rsidR="00DB5925" w:rsidRPr="00B3274C">
        <w:rPr>
          <w:bCs/>
          <w:lang w:val="fr-CA"/>
        </w:rPr>
        <w:t xml:space="preserve">et de </w:t>
      </w:r>
      <w:r w:rsidR="00486F82" w:rsidRPr="00B3274C">
        <w:rPr>
          <w:bCs/>
          <w:lang w:val="fr-CA"/>
        </w:rPr>
        <w:t>10</w:t>
      </w:r>
      <w:r w:rsidR="0080611A">
        <w:rPr>
          <w:bCs/>
          <w:lang w:val="fr-CA"/>
        </w:rPr>
        <w:t>,</w:t>
      </w:r>
      <w:r w:rsidR="00486F82" w:rsidRPr="00B3274C">
        <w:rPr>
          <w:bCs/>
          <w:lang w:val="fr-CA"/>
        </w:rPr>
        <w:t>5</w:t>
      </w:r>
      <w:r w:rsidR="0050285B">
        <w:rPr>
          <w:bCs/>
          <w:lang w:val="fr-CA"/>
        </w:rPr>
        <w:t> %</w:t>
      </w:r>
      <w:r w:rsidR="00486F82" w:rsidRPr="00B3274C">
        <w:rPr>
          <w:bCs/>
          <w:lang w:val="fr-CA"/>
        </w:rPr>
        <w:t xml:space="preserve"> chez les </w:t>
      </w:r>
      <w:r w:rsidR="00DB5925" w:rsidRPr="00B3274C">
        <w:rPr>
          <w:bCs/>
          <w:lang w:val="fr-CA"/>
        </w:rPr>
        <w:t>hommes</w:t>
      </w:r>
      <w:r w:rsidR="00486F82" w:rsidRPr="00B3274C">
        <w:rPr>
          <w:bCs/>
          <w:lang w:val="fr-CA"/>
        </w:rPr>
        <w:t xml:space="preserve"> </w:t>
      </w:r>
      <w:r w:rsidR="00FB23D3" w:rsidRPr="00B3274C">
        <w:rPr>
          <w:bCs/>
          <w:lang w:val="fr-CA"/>
        </w:rPr>
        <w:t>(</w:t>
      </w:r>
      <w:r w:rsidR="00DB5925" w:rsidRPr="00B3274C">
        <w:rPr>
          <w:bCs/>
          <w:lang w:val="fr-CA"/>
        </w:rPr>
        <w:t>voir l</w:t>
      </w:r>
      <w:r w:rsidR="0080611A">
        <w:rPr>
          <w:bCs/>
          <w:lang w:val="fr-CA"/>
        </w:rPr>
        <w:t>’</w:t>
      </w:r>
      <w:r w:rsidR="00DB5925" w:rsidRPr="00B3274C">
        <w:rPr>
          <w:bCs/>
          <w:lang w:val="fr-CA"/>
        </w:rPr>
        <w:t>annexe statistique pour l</w:t>
      </w:r>
      <w:r w:rsidR="0080611A">
        <w:rPr>
          <w:bCs/>
          <w:lang w:val="fr-CA"/>
        </w:rPr>
        <w:t>’</w:t>
      </w:r>
      <w:r w:rsidR="00597DC4">
        <w:rPr>
          <w:bCs/>
          <w:lang w:val="fr-CA"/>
        </w:rPr>
        <w:t>article </w:t>
      </w:r>
      <w:r w:rsidR="00DB5925" w:rsidRPr="00B3274C">
        <w:rPr>
          <w:bCs/>
          <w:lang w:val="fr-CA"/>
        </w:rPr>
        <w:t>6 – annexe 1</w:t>
      </w:r>
      <w:r w:rsidR="0080611A">
        <w:rPr>
          <w:bCs/>
          <w:lang w:val="fr-CA"/>
        </w:rPr>
        <w:t>,</w:t>
      </w:r>
      <w:r w:rsidR="00DB5925" w:rsidRPr="00B3274C">
        <w:rPr>
          <w:bCs/>
          <w:lang w:val="fr-CA"/>
        </w:rPr>
        <w:t xml:space="preserve"> tableau </w:t>
      </w:r>
      <w:r w:rsidR="00FB23D3" w:rsidRPr="00B3274C">
        <w:rPr>
          <w:bCs/>
          <w:lang w:val="fr-CA"/>
        </w:rPr>
        <w:t>2F).</w:t>
      </w:r>
    </w:p>
    <w:p w:rsidR="00FB23D3" w:rsidRPr="00B3274C" w:rsidRDefault="00107A47" w:rsidP="00107A47">
      <w:pPr>
        <w:pStyle w:val="SingleTxtG"/>
        <w:rPr>
          <w:lang w:val="fr-CA"/>
        </w:rPr>
      </w:pPr>
      <w:r w:rsidRPr="00B3274C">
        <w:rPr>
          <w:lang w:val="fr-CA"/>
        </w:rPr>
        <w:t>46.</w:t>
      </w:r>
      <w:r w:rsidRPr="00B3274C">
        <w:rPr>
          <w:lang w:val="fr-CA"/>
        </w:rPr>
        <w:tab/>
      </w:r>
      <w:r w:rsidR="00DB5925" w:rsidRPr="00B3274C">
        <w:rPr>
          <w:i/>
          <w:lang w:val="fr-CA"/>
        </w:rPr>
        <w:t>Travail indépendant en Grèce</w:t>
      </w:r>
      <w:r w:rsidR="00DB5925" w:rsidRPr="00B3274C">
        <w:rPr>
          <w:lang w:val="fr-CA"/>
        </w:rPr>
        <w:t xml:space="preserve">: </w:t>
      </w:r>
      <w:r w:rsidR="001B5E0D" w:rsidRPr="00B3274C">
        <w:rPr>
          <w:lang w:val="fr-CA"/>
        </w:rPr>
        <w:t xml:space="preserve">Il est à noter que le pourcentage de travailleurs indépendants en Grèce est élevé. </w:t>
      </w:r>
      <w:r w:rsidR="003070DE" w:rsidRPr="00B3274C">
        <w:rPr>
          <w:lang w:val="fr-CA"/>
        </w:rPr>
        <w:t xml:space="preserve">Le pourcentage </w:t>
      </w:r>
      <w:r w:rsidR="00614BAC">
        <w:rPr>
          <w:lang w:val="fr-CA"/>
        </w:rPr>
        <w:t>de personnes</w:t>
      </w:r>
      <w:r w:rsidR="003070DE" w:rsidRPr="00B3274C">
        <w:rPr>
          <w:lang w:val="fr-CA"/>
        </w:rPr>
        <w:t xml:space="preserve"> travaillant pour leur propre compte (travailleurs indépendants sans personnel) par rapport au nombre total </w:t>
      </w:r>
      <w:r w:rsidR="00614BAC">
        <w:rPr>
          <w:lang w:val="fr-CA"/>
        </w:rPr>
        <w:t>de personnes</w:t>
      </w:r>
      <w:r w:rsidR="003070DE" w:rsidRPr="00B3274C">
        <w:rPr>
          <w:lang w:val="fr-CA"/>
        </w:rPr>
        <w:t xml:space="preserve"> employées était de 23</w:t>
      </w:r>
      <w:r w:rsidR="0080611A">
        <w:rPr>
          <w:lang w:val="fr-CA"/>
        </w:rPr>
        <w:t>,</w:t>
      </w:r>
      <w:r w:rsidR="003070DE" w:rsidRPr="00B3274C">
        <w:rPr>
          <w:lang w:val="fr-CA"/>
        </w:rPr>
        <w:t>3</w:t>
      </w:r>
      <w:r w:rsidR="0050285B">
        <w:rPr>
          <w:lang w:val="fr-CA"/>
        </w:rPr>
        <w:t> %</w:t>
      </w:r>
      <w:r w:rsidR="003070DE" w:rsidRPr="00B3274C">
        <w:rPr>
          <w:lang w:val="fr-CA"/>
        </w:rPr>
        <w:t xml:space="preserve"> en 2011 contre 22</w:t>
      </w:r>
      <w:r w:rsidR="0080611A">
        <w:rPr>
          <w:lang w:val="fr-CA"/>
        </w:rPr>
        <w:t>,</w:t>
      </w:r>
      <w:r w:rsidR="003070DE" w:rsidRPr="00B3274C">
        <w:rPr>
          <w:lang w:val="fr-CA"/>
        </w:rPr>
        <w:t>3</w:t>
      </w:r>
      <w:r w:rsidR="0050285B">
        <w:rPr>
          <w:lang w:val="fr-CA"/>
        </w:rPr>
        <w:t> %</w:t>
      </w:r>
      <w:r w:rsidR="003070DE" w:rsidRPr="00B3274C">
        <w:rPr>
          <w:lang w:val="fr-CA"/>
        </w:rPr>
        <w:t xml:space="preserve"> en 2010 et le pourcentage d</w:t>
      </w:r>
      <w:r w:rsidR="0080611A">
        <w:rPr>
          <w:lang w:val="fr-CA"/>
        </w:rPr>
        <w:t>’</w:t>
      </w:r>
      <w:r w:rsidR="003070DE" w:rsidRPr="00B3274C">
        <w:rPr>
          <w:lang w:val="fr-CA"/>
        </w:rPr>
        <w:t xml:space="preserve">employeurs par rapport au nombre total </w:t>
      </w:r>
      <w:r w:rsidR="00614BAC">
        <w:rPr>
          <w:lang w:val="fr-CA"/>
        </w:rPr>
        <w:t>de personnes</w:t>
      </w:r>
      <w:r w:rsidR="003070DE" w:rsidRPr="00B3274C">
        <w:rPr>
          <w:lang w:val="fr-CA"/>
        </w:rPr>
        <w:t xml:space="preserve"> employées éta</w:t>
      </w:r>
      <w:r w:rsidR="00C54D12">
        <w:rPr>
          <w:lang w:val="fr-CA"/>
        </w:rPr>
        <w:t>it de 7</w:t>
      </w:r>
      <w:r w:rsidR="0080611A">
        <w:rPr>
          <w:lang w:val="fr-CA"/>
        </w:rPr>
        <w:t>,</w:t>
      </w:r>
      <w:r w:rsidR="00C54D12">
        <w:rPr>
          <w:lang w:val="fr-CA"/>
        </w:rPr>
        <w:t>8</w:t>
      </w:r>
      <w:r w:rsidR="0050285B">
        <w:rPr>
          <w:lang w:val="fr-CA"/>
        </w:rPr>
        <w:t> %</w:t>
      </w:r>
      <w:r w:rsidR="00C54D12">
        <w:rPr>
          <w:lang w:val="fr-CA"/>
        </w:rPr>
        <w:t xml:space="preserve"> en 2011 contre 8</w:t>
      </w:r>
      <w:r w:rsidR="0050285B">
        <w:rPr>
          <w:lang w:val="fr-CA"/>
        </w:rPr>
        <w:t> %</w:t>
      </w:r>
      <w:r w:rsidR="00C54D12">
        <w:rPr>
          <w:lang w:val="fr-CA"/>
        </w:rPr>
        <w:t xml:space="preserve"> en </w:t>
      </w:r>
      <w:r w:rsidR="003070DE" w:rsidRPr="00B3274C">
        <w:rPr>
          <w:lang w:val="fr-CA"/>
        </w:rPr>
        <w:t>2010. Le pourcentage de travailleurs salariés</w:t>
      </w:r>
      <w:r w:rsidR="00D71198" w:rsidRPr="00B3274C">
        <w:rPr>
          <w:lang w:val="fr-CA"/>
        </w:rPr>
        <w:t xml:space="preserve"> était </w:t>
      </w:r>
      <w:r w:rsidR="003070DE" w:rsidRPr="00B3274C">
        <w:rPr>
          <w:lang w:val="fr-CA"/>
        </w:rPr>
        <w:t>estimé à 63</w:t>
      </w:r>
      <w:r w:rsidR="0080611A">
        <w:rPr>
          <w:lang w:val="fr-CA"/>
        </w:rPr>
        <w:t>,</w:t>
      </w:r>
      <w:r w:rsidR="003070DE" w:rsidRPr="00B3274C">
        <w:rPr>
          <w:lang w:val="fr-CA"/>
        </w:rPr>
        <w:t>5</w:t>
      </w:r>
      <w:r w:rsidR="0050285B">
        <w:rPr>
          <w:lang w:val="fr-CA"/>
        </w:rPr>
        <w:t> %</w:t>
      </w:r>
      <w:r w:rsidR="003070DE" w:rsidRPr="00B3274C">
        <w:rPr>
          <w:lang w:val="fr-CA"/>
        </w:rPr>
        <w:t xml:space="preserve"> en 2011</w:t>
      </w:r>
      <w:r w:rsidR="0080611A">
        <w:rPr>
          <w:lang w:val="fr-CA"/>
        </w:rPr>
        <w:t>,</w:t>
      </w:r>
      <w:r w:rsidR="003070DE" w:rsidRPr="00B3274C">
        <w:rPr>
          <w:lang w:val="fr-CA"/>
        </w:rPr>
        <w:t xml:space="preserve"> </w:t>
      </w:r>
      <w:r w:rsidR="00D71198" w:rsidRPr="00B3274C">
        <w:rPr>
          <w:lang w:val="fr-CA"/>
        </w:rPr>
        <w:t>soit un pourcentage un peu inférieur à celui de 2010 (64</w:t>
      </w:r>
      <w:r w:rsidR="0050285B">
        <w:rPr>
          <w:lang w:val="fr-CA"/>
        </w:rPr>
        <w:t> %</w:t>
      </w:r>
      <w:r w:rsidR="00D71198" w:rsidRPr="00B3274C">
        <w:rPr>
          <w:lang w:val="fr-CA"/>
        </w:rPr>
        <w:t>)</w:t>
      </w:r>
      <w:r w:rsidR="0080611A">
        <w:rPr>
          <w:lang w:val="fr-CA"/>
        </w:rPr>
        <w:t>,</w:t>
      </w:r>
      <w:r w:rsidR="00D71198" w:rsidRPr="00B3274C">
        <w:rPr>
          <w:lang w:val="fr-CA"/>
        </w:rPr>
        <w:t xml:space="preserve"> mais très inférieur à la moyenne européenne (80</w:t>
      </w:r>
      <w:r w:rsidR="0050285B">
        <w:rPr>
          <w:lang w:val="fr-CA"/>
        </w:rPr>
        <w:t> %</w:t>
      </w:r>
      <w:r w:rsidR="00D71198" w:rsidRPr="00B3274C">
        <w:rPr>
          <w:lang w:val="fr-CA"/>
        </w:rPr>
        <w:t>) (voir l</w:t>
      </w:r>
      <w:r w:rsidR="0080611A">
        <w:rPr>
          <w:lang w:val="fr-CA"/>
        </w:rPr>
        <w:t>’</w:t>
      </w:r>
      <w:r w:rsidR="00D71198" w:rsidRPr="00B3274C">
        <w:rPr>
          <w:lang w:val="fr-CA"/>
        </w:rPr>
        <w:t>annexe statistique pour l</w:t>
      </w:r>
      <w:r w:rsidR="0080611A">
        <w:rPr>
          <w:lang w:val="fr-CA"/>
        </w:rPr>
        <w:t>’</w:t>
      </w:r>
      <w:r w:rsidR="00597DC4">
        <w:rPr>
          <w:lang w:val="fr-CA"/>
        </w:rPr>
        <w:t>article </w:t>
      </w:r>
      <w:r w:rsidR="00D71198" w:rsidRPr="00B3274C">
        <w:rPr>
          <w:lang w:val="fr-CA"/>
        </w:rPr>
        <w:t>6</w:t>
      </w:r>
      <w:r w:rsidR="00F47BAE">
        <w:rPr>
          <w:lang w:val="fr-CA"/>
        </w:rPr>
        <w:t xml:space="preserve"> – </w:t>
      </w:r>
      <w:r w:rsidR="00D71198" w:rsidRPr="00B3274C">
        <w:rPr>
          <w:lang w:val="fr-CA"/>
        </w:rPr>
        <w:t>annexe 1</w:t>
      </w:r>
      <w:r w:rsidR="0080611A">
        <w:rPr>
          <w:lang w:val="fr-CA"/>
        </w:rPr>
        <w:t>,</w:t>
      </w:r>
      <w:r w:rsidR="00D71198" w:rsidRPr="00B3274C">
        <w:rPr>
          <w:lang w:val="fr-CA"/>
        </w:rPr>
        <w:t xml:space="preserve"> tableau </w:t>
      </w:r>
      <w:r w:rsidR="00FB23D3" w:rsidRPr="00B3274C">
        <w:rPr>
          <w:lang w:val="fr-CA"/>
        </w:rPr>
        <w:t>2G</w:t>
      </w:r>
      <w:r w:rsidR="00D8027F" w:rsidRPr="00B3274C">
        <w:rPr>
          <w:lang w:val="fr-CA"/>
        </w:rPr>
        <w:t>)</w:t>
      </w:r>
      <w:r w:rsidR="00FB23D3" w:rsidRPr="00B3274C">
        <w:rPr>
          <w:lang w:val="fr-CA"/>
        </w:rPr>
        <w:t>.</w:t>
      </w:r>
    </w:p>
    <w:p w:rsidR="00FB23D3" w:rsidRPr="00B3274C" w:rsidRDefault="00107A47" w:rsidP="00107A47">
      <w:pPr>
        <w:pStyle w:val="SingleTxtG"/>
        <w:rPr>
          <w:lang w:val="fr-CA"/>
        </w:rPr>
      </w:pPr>
      <w:r w:rsidRPr="00B3274C">
        <w:rPr>
          <w:lang w:val="fr-CA"/>
        </w:rPr>
        <w:t>47.</w:t>
      </w:r>
      <w:r w:rsidRPr="00B3274C">
        <w:rPr>
          <w:lang w:val="fr-CA"/>
        </w:rPr>
        <w:tab/>
      </w:r>
      <w:r w:rsidR="00D71198" w:rsidRPr="00B3274C">
        <w:rPr>
          <w:i/>
          <w:lang w:val="fr-CA"/>
        </w:rPr>
        <w:t>Emploi par secteur</w:t>
      </w:r>
      <w:r w:rsidR="00FB23D3" w:rsidRPr="00B3274C">
        <w:rPr>
          <w:lang w:val="fr-CA"/>
        </w:rPr>
        <w:t>:</w:t>
      </w:r>
      <w:r w:rsidR="00FB23D3" w:rsidRPr="00B3274C">
        <w:rPr>
          <w:b/>
          <w:lang w:val="fr-CA"/>
        </w:rPr>
        <w:t xml:space="preserve"> </w:t>
      </w:r>
      <w:r w:rsidR="00D5509B" w:rsidRPr="00B3274C">
        <w:rPr>
          <w:lang w:val="fr-CA"/>
        </w:rPr>
        <w:t>d</w:t>
      </w:r>
      <w:r w:rsidR="0080611A">
        <w:rPr>
          <w:lang w:val="fr-CA"/>
        </w:rPr>
        <w:t>’</w:t>
      </w:r>
      <w:r w:rsidR="00D5509B" w:rsidRPr="00B3274C">
        <w:rPr>
          <w:lang w:val="fr-CA"/>
        </w:rPr>
        <w:t>après les chiffres de l</w:t>
      </w:r>
      <w:r w:rsidR="0080611A">
        <w:rPr>
          <w:lang w:val="fr-CA"/>
        </w:rPr>
        <w:t>’</w:t>
      </w:r>
      <w:r w:rsidR="00D5509B" w:rsidRPr="00B3274C">
        <w:rPr>
          <w:color w:val="000000"/>
          <w:lang w:val="fr-CA"/>
        </w:rPr>
        <w:t>Office hellénique de la statistique</w:t>
      </w:r>
      <w:r w:rsidR="00D5509B" w:rsidRPr="00B3274C">
        <w:rPr>
          <w:lang w:val="fr-CA"/>
        </w:rPr>
        <w:t xml:space="preserve"> (EL.STAT.) sur l</w:t>
      </w:r>
      <w:r w:rsidR="0080611A">
        <w:rPr>
          <w:lang w:val="fr-CA"/>
        </w:rPr>
        <w:t>’</w:t>
      </w:r>
      <w:r w:rsidR="00D5509B" w:rsidRPr="00B3274C">
        <w:rPr>
          <w:lang w:val="fr-CA"/>
        </w:rPr>
        <w:t>emploi par secteur économique (voir l</w:t>
      </w:r>
      <w:r w:rsidR="0080611A">
        <w:rPr>
          <w:lang w:val="fr-CA"/>
        </w:rPr>
        <w:t>’</w:t>
      </w:r>
      <w:r w:rsidR="00D5509B" w:rsidRPr="00B3274C">
        <w:rPr>
          <w:lang w:val="fr-CA"/>
        </w:rPr>
        <w:t>annexe 1 – tableau 2H)</w:t>
      </w:r>
      <w:r w:rsidR="0080611A">
        <w:rPr>
          <w:lang w:val="fr-CA"/>
        </w:rPr>
        <w:t>,</w:t>
      </w:r>
      <w:r w:rsidR="00D5509B" w:rsidRPr="00B3274C">
        <w:rPr>
          <w:lang w:val="fr-CA"/>
        </w:rPr>
        <w:t xml:space="preserve"> </w:t>
      </w:r>
      <w:r w:rsidR="00CC2013" w:rsidRPr="00B3274C">
        <w:rPr>
          <w:lang w:val="fr-CA"/>
        </w:rPr>
        <w:t>c</w:t>
      </w:r>
      <w:r w:rsidR="0080611A">
        <w:rPr>
          <w:lang w:val="fr-CA"/>
        </w:rPr>
        <w:t>’</w:t>
      </w:r>
      <w:r w:rsidR="00CC2013" w:rsidRPr="00B3274C">
        <w:rPr>
          <w:lang w:val="fr-CA"/>
        </w:rPr>
        <w:t xml:space="preserve">est </w:t>
      </w:r>
      <w:r w:rsidR="00D5509B" w:rsidRPr="00B3274C">
        <w:rPr>
          <w:lang w:val="fr-CA"/>
        </w:rPr>
        <w:t>le secteur tertiaire</w:t>
      </w:r>
      <w:r w:rsidR="00CC2013" w:rsidRPr="00B3274C">
        <w:rPr>
          <w:lang w:val="fr-CA"/>
        </w:rPr>
        <w:t xml:space="preserve"> qui emploie le plus </w:t>
      </w:r>
      <w:r w:rsidR="00614BAC">
        <w:rPr>
          <w:lang w:val="fr-CA"/>
        </w:rPr>
        <w:t>de personnes</w:t>
      </w:r>
      <w:r w:rsidR="00CC2013" w:rsidRPr="00B3274C">
        <w:rPr>
          <w:lang w:val="fr-CA"/>
        </w:rPr>
        <w:t xml:space="preserve"> (69</w:t>
      </w:r>
      <w:r w:rsidR="0080611A">
        <w:rPr>
          <w:lang w:val="fr-CA"/>
        </w:rPr>
        <w:t>,</w:t>
      </w:r>
      <w:r w:rsidR="00CC2013" w:rsidRPr="00B3274C">
        <w:rPr>
          <w:lang w:val="fr-CA"/>
        </w:rPr>
        <w:t>8</w:t>
      </w:r>
      <w:r w:rsidR="0050285B">
        <w:rPr>
          <w:lang w:val="fr-CA"/>
        </w:rPr>
        <w:t> %</w:t>
      </w:r>
      <w:r w:rsidR="00CC2013" w:rsidRPr="00B3274C">
        <w:rPr>
          <w:lang w:val="fr-CA"/>
        </w:rPr>
        <w:t xml:space="preserve"> en 2011) par rapport aux secteurs primaire et secondaire (respectivement 12</w:t>
      </w:r>
      <w:r w:rsidR="0080611A">
        <w:rPr>
          <w:lang w:val="fr-CA"/>
        </w:rPr>
        <w:t>,</w:t>
      </w:r>
      <w:r w:rsidR="00CC2013" w:rsidRPr="00B3274C">
        <w:rPr>
          <w:lang w:val="fr-CA"/>
        </w:rPr>
        <w:t>4</w:t>
      </w:r>
      <w:r w:rsidR="0050285B">
        <w:rPr>
          <w:lang w:val="fr-CA"/>
        </w:rPr>
        <w:t> %</w:t>
      </w:r>
      <w:r w:rsidR="00CC2013" w:rsidRPr="00B3274C">
        <w:rPr>
          <w:lang w:val="fr-CA"/>
        </w:rPr>
        <w:t xml:space="preserve"> et 17</w:t>
      </w:r>
      <w:r w:rsidR="0080611A">
        <w:rPr>
          <w:lang w:val="fr-CA"/>
        </w:rPr>
        <w:t>,</w:t>
      </w:r>
      <w:r w:rsidR="00CC2013" w:rsidRPr="00B3274C">
        <w:rPr>
          <w:lang w:val="fr-CA"/>
        </w:rPr>
        <w:t>8</w:t>
      </w:r>
      <w:r w:rsidR="0050285B">
        <w:rPr>
          <w:lang w:val="fr-CA"/>
        </w:rPr>
        <w:t> %</w:t>
      </w:r>
      <w:r w:rsidR="00CC2013" w:rsidRPr="00B3274C">
        <w:rPr>
          <w:lang w:val="fr-CA"/>
        </w:rPr>
        <w:t xml:space="preserve"> la même année). Il convient de mentionner que l</w:t>
      </w:r>
      <w:r w:rsidR="0080611A">
        <w:rPr>
          <w:lang w:val="fr-CA"/>
        </w:rPr>
        <w:t>’</w:t>
      </w:r>
      <w:r w:rsidR="00CC2013" w:rsidRPr="00B3274C">
        <w:rPr>
          <w:lang w:val="fr-CA"/>
        </w:rPr>
        <w:t>emploi dans le secteur secondaire a fortement baissé au cours de la période 2008-2011</w:t>
      </w:r>
      <w:r w:rsidR="00B555CB" w:rsidRPr="00B3274C">
        <w:rPr>
          <w:lang w:val="fr-CA"/>
        </w:rPr>
        <w:t xml:space="preserve"> </w:t>
      </w:r>
      <w:r w:rsidR="00CC2013" w:rsidRPr="00B3274C">
        <w:rPr>
          <w:lang w:val="fr-CA"/>
        </w:rPr>
        <w:t>dans un contexte d</w:t>
      </w:r>
      <w:r w:rsidR="0080611A">
        <w:rPr>
          <w:lang w:val="fr-CA"/>
        </w:rPr>
        <w:t>’</w:t>
      </w:r>
      <w:r w:rsidR="00CC2013" w:rsidRPr="00B3274C">
        <w:rPr>
          <w:lang w:val="fr-CA"/>
        </w:rPr>
        <w:t xml:space="preserve">activité économique faible (il est à noter que le bâtiment et le secteur manufacturier ont </w:t>
      </w:r>
      <w:r w:rsidR="00ED4F84" w:rsidRPr="00B3274C">
        <w:rPr>
          <w:lang w:val="fr-CA"/>
        </w:rPr>
        <w:t>compté parmi les</w:t>
      </w:r>
      <w:r w:rsidR="00CC2013" w:rsidRPr="00B3274C">
        <w:rPr>
          <w:lang w:val="fr-CA"/>
        </w:rPr>
        <w:t xml:space="preserve"> </w:t>
      </w:r>
      <w:r w:rsidR="00334E59" w:rsidRPr="00B3274C">
        <w:rPr>
          <w:lang w:val="fr-CA"/>
        </w:rPr>
        <w:t xml:space="preserve">secteurs </w:t>
      </w:r>
      <w:r w:rsidR="00CC2013" w:rsidRPr="00B3274C">
        <w:rPr>
          <w:lang w:val="fr-CA"/>
        </w:rPr>
        <w:t>les plus touchés par la crise</w:t>
      </w:r>
      <w:r w:rsidR="00EC5892" w:rsidRPr="00B3274C">
        <w:rPr>
          <w:lang w:val="fr-CA"/>
        </w:rPr>
        <w:t>;</w:t>
      </w:r>
      <w:r w:rsidR="00CC2013" w:rsidRPr="00B3274C">
        <w:rPr>
          <w:lang w:val="fr-CA"/>
        </w:rPr>
        <w:t xml:space="preserve"> voir l</w:t>
      </w:r>
      <w:r w:rsidR="0080611A">
        <w:rPr>
          <w:lang w:val="fr-CA"/>
        </w:rPr>
        <w:t>’</w:t>
      </w:r>
      <w:r w:rsidR="00CC2013" w:rsidRPr="00B3274C">
        <w:rPr>
          <w:lang w:val="fr-CA"/>
        </w:rPr>
        <w:t>annexe statistique pour l</w:t>
      </w:r>
      <w:r w:rsidR="0080611A">
        <w:rPr>
          <w:lang w:val="fr-CA"/>
        </w:rPr>
        <w:t>’</w:t>
      </w:r>
      <w:r w:rsidR="00597DC4">
        <w:rPr>
          <w:lang w:val="fr-CA"/>
        </w:rPr>
        <w:t>article </w:t>
      </w:r>
      <w:r w:rsidR="00CC2013" w:rsidRPr="00B3274C">
        <w:rPr>
          <w:lang w:val="fr-CA"/>
        </w:rPr>
        <w:t>6 – annexe 1</w:t>
      </w:r>
      <w:r w:rsidR="0080611A">
        <w:rPr>
          <w:lang w:val="fr-CA"/>
        </w:rPr>
        <w:t>,</w:t>
      </w:r>
      <w:r w:rsidR="00CC2013" w:rsidRPr="00B3274C">
        <w:rPr>
          <w:lang w:val="fr-CA"/>
        </w:rPr>
        <w:t xml:space="preserve"> tableau</w:t>
      </w:r>
      <w:r w:rsidR="00F47BAE">
        <w:rPr>
          <w:lang w:val="fr-CA"/>
        </w:rPr>
        <w:t> </w:t>
      </w:r>
      <w:r w:rsidR="00FB23D3" w:rsidRPr="00B3274C">
        <w:rPr>
          <w:lang w:val="fr-CA"/>
        </w:rPr>
        <w:t>2I &amp; 2I</w:t>
      </w:r>
      <w:r w:rsidR="0080611A">
        <w:rPr>
          <w:lang w:val="fr-CA"/>
        </w:rPr>
        <w:t>,</w:t>
      </w:r>
      <w:r w:rsidR="00FB23D3" w:rsidRPr="00B3274C">
        <w:rPr>
          <w:lang w:val="fr-CA"/>
        </w:rPr>
        <w:t xml:space="preserve"> part</w:t>
      </w:r>
      <w:r w:rsidR="00CC2013" w:rsidRPr="00B3274C">
        <w:rPr>
          <w:lang w:val="fr-CA"/>
        </w:rPr>
        <w:t>ie</w:t>
      </w:r>
      <w:r w:rsidR="00F47BAE">
        <w:rPr>
          <w:lang w:val="fr-CA"/>
        </w:rPr>
        <w:t> </w:t>
      </w:r>
      <w:r w:rsidR="00FB23D3" w:rsidRPr="00B3274C">
        <w:rPr>
          <w:lang w:val="fr-CA"/>
        </w:rPr>
        <w:t>II).</w:t>
      </w:r>
      <w:r w:rsidR="00047D7A" w:rsidRPr="00B3274C">
        <w:rPr>
          <w:lang w:val="fr-CA"/>
        </w:rPr>
        <w:t xml:space="preserve"> </w:t>
      </w:r>
    </w:p>
    <w:p w:rsidR="00FB23D3" w:rsidRPr="00B3274C" w:rsidRDefault="000213C1" w:rsidP="00D8027F">
      <w:pPr>
        <w:pStyle w:val="H23G"/>
        <w:rPr>
          <w:lang w:val="fr-CA"/>
        </w:rPr>
      </w:pPr>
      <w:r w:rsidRPr="00B3274C">
        <w:rPr>
          <w:lang w:val="fr-CA"/>
        </w:rPr>
        <w:tab/>
      </w:r>
      <w:r w:rsidR="00D8027F" w:rsidRPr="00B3274C">
        <w:rPr>
          <w:lang w:val="fr-CA"/>
        </w:rPr>
        <w:t>c)</w:t>
      </w:r>
      <w:r w:rsidRPr="00B3274C">
        <w:rPr>
          <w:lang w:val="fr-CA"/>
        </w:rPr>
        <w:tab/>
      </w:r>
      <w:r w:rsidR="003E2AC5" w:rsidRPr="00B3274C">
        <w:rPr>
          <w:lang w:val="fr-CA"/>
        </w:rPr>
        <w:t>Chômage</w:t>
      </w:r>
    </w:p>
    <w:p w:rsidR="00FB23D3" w:rsidRPr="00B3274C" w:rsidRDefault="00107A47" w:rsidP="00107A47">
      <w:pPr>
        <w:pStyle w:val="SingleTxtG"/>
        <w:rPr>
          <w:lang w:val="fr-CA"/>
        </w:rPr>
      </w:pPr>
      <w:r w:rsidRPr="00B3274C">
        <w:rPr>
          <w:lang w:val="fr-CA"/>
        </w:rPr>
        <w:t>48.</w:t>
      </w:r>
      <w:r w:rsidRPr="00B3274C">
        <w:rPr>
          <w:lang w:val="fr-CA"/>
        </w:rPr>
        <w:tab/>
      </w:r>
      <w:r w:rsidR="006F56ED" w:rsidRPr="00B3274C">
        <w:rPr>
          <w:lang w:val="fr-CA"/>
        </w:rPr>
        <w:t>D</w:t>
      </w:r>
      <w:r w:rsidR="0080611A">
        <w:rPr>
          <w:lang w:val="fr-CA"/>
        </w:rPr>
        <w:t>’</w:t>
      </w:r>
      <w:r w:rsidR="006F56ED" w:rsidRPr="00B3274C">
        <w:rPr>
          <w:lang w:val="fr-CA"/>
        </w:rPr>
        <w:t>après les chiffres fournis par</w:t>
      </w:r>
      <w:r w:rsidR="00FB23D3" w:rsidRPr="00B3274C">
        <w:rPr>
          <w:lang w:val="fr-CA"/>
        </w:rPr>
        <w:t xml:space="preserve"> </w:t>
      </w:r>
      <w:r w:rsidR="00006996" w:rsidRPr="00B3274C">
        <w:rPr>
          <w:lang w:val="fr-CA"/>
        </w:rPr>
        <w:t>l</w:t>
      </w:r>
      <w:r w:rsidR="0080611A">
        <w:rPr>
          <w:lang w:val="fr-CA"/>
        </w:rPr>
        <w:t>’</w:t>
      </w:r>
      <w:r w:rsidR="00006996" w:rsidRPr="00B3274C">
        <w:rPr>
          <w:color w:val="000000"/>
          <w:lang w:val="fr-CA"/>
        </w:rPr>
        <w:t>Office hellénique de la statistique</w:t>
      </w:r>
      <w:r w:rsidR="00006996" w:rsidRPr="00B3274C">
        <w:rPr>
          <w:lang w:val="fr-CA"/>
        </w:rPr>
        <w:t xml:space="preserve"> </w:t>
      </w:r>
      <w:r w:rsidR="00FB23D3" w:rsidRPr="00B3274C">
        <w:rPr>
          <w:lang w:val="fr-CA"/>
        </w:rPr>
        <w:t>(</w:t>
      </w:r>
      <w:r w:rsidR="006F56ED" w:rsidRPr="00B3274C">
        <w:rPr>
          <w:lang w:val="fr-CA"/>
        </w:rPr>
        <w:t>Enquête sur la population active</w:t>
      </w:r>
      <w:r w:rsidR="00FB23D3" w:rsidRPr="00B3274C">
        <w:rPr>
          <w:lang w:val="fr-CA"/>
        </w:rPr>
        <w:t>)</w:t>
      </w:r>
      <w:r w:rsidR="0080611A">
        <w:rPr>
          <w:lang w:val="fr-CA"/>
        </w:rPr>
        <w:t>,</w:t>
      </w:r>
      <w:r w:rsidR="00FB23D3" w:rsidRPr="00B3274C">
        <w:rPr>
          <w:lang w:val="fr-CA"/>
        </w:rPr>
        <w:t xml:space="preserve"> </w:t>
      </w:r>
      <w:r w:rsidR="006F56ED" w:rsidRPr="00B3274C">
        <w:rPr>
          <w:lang w:val="fr-CA"/>
        </w:rPr>
        <w:t xml:space="preserve">les chômeurs étaient au nombre de </w:t>
      </w:r>
      <w:r w:rsidR="00BF1B2A" w:rsidRPr="00B3274C">
        <w:rPr>
          <w:lang w:val="fr-CA"/>
        </w:rPr>
        <w:t>876</w:t>
      </w:r>
      <w:r w:rsidR="00F47BAE">
        <w:rPr>
          <w:lang w:val="fr-CA"/>
        </w:rPr>
        <w:t> </w:t>
      </w:r>
      <w:r w:rsidR="006F56ED" w:rsidRPr="00B3274C">
        <w:rPr>
          <w:lang w:val="fr-CA"/>
        </w:rPr>
        <w:t>900 e</w:t>
      </w:r>
      <w:r w:rsidR="00FB23D3" w:rsidRPr="00B3274C">
        <w:rPr>
          <w:lang w:val="fr-CA"/>
        </w:rPr>
        <w:t>n 2011</w:t>
      </w:r>
      <w:r w:rsidR="006F56ED" w:rsidRPr="00B3274C">
        <w:rPr>
          <w:lang w:val="fr-CA"/>
        </w:rPr>
        <w:t xml:space="preserve"> (moyenne sur l</w:t>
      </w:r>
      <w:r w:rsidR="0080611A">
        <w:rPr>
          <w:lang w:val="fr-CA"/>
        </w:rPr>
        <w:t>’</w:t>
      </w:r>
      <w:r w:rsidR="006F56ED" w:rsidRPr="00B3274C">
        <w:rPr>
          <w:lang w:val="fr-CA"/>
        </w:rPr>
        <w:t>année)</w:t>
      </w:r>
      <w:r w:rsidR="0080611A">
        <w:rPr>
          <w:lang w:val="fr-CA"/>
        </w:rPr>
        <w:t>,</w:t>
      </w:r>
      <w:r w:rsidR="00FB23D3" w:rsidRPr="00B3274C">
        <w:rPr>
          <w:lang w:val="fr-CA"/>
        </w:rPr>
        <w:t xml:space="preserve"> </w:t>
      </w:r>
      <w:r w:rsidR="006F56ED" w:rsidRPr="00B3274C">
        <w:rPr>
          <w:lang w:val="fr-CA"/>
        </w:rPr>
        <w:t xml:space="preserve">contre </w:t>
      </w:r>
      <w:r w:rsidR="00BF1B2A" w:rsidRPr="00B3274C">
        <w:rPr>
          <w:lang w:val="fr-CA"/>
        </w:rPr>
        <w:t>628</w:t>
      </w:r>
      <w:r w:rsidR="00F47BAE">
        <w:rPr>
          <w:lang w:val="fr-CA"/>
        </w:rPr>
        <w:t> </w:t>
      </w:r>
      <w:r w:rsidR="00FB23D3" w:rsidRPr="00B3274C">
        <w:rPr>
          <w:lang w:val="fr-CA"/>
        </w:rPr>
        <w:t>700</w:t>
      </w:r>
      <w:r w:rsidR="006F56ED" w:rsidRPr="00B3274C">
        <w:rPr>
          <w:lang w:val="fr-CA"/>
        </w:rPr>
        <w:t xml:space="preserve"> en 2010</w:t>
      </w:r>
      <w:r w:rsidR="00FB23D3" w:rsidRPr="00B3274C">
        <w:rPr>
          <w:lang w:val="fr-CA"/>
        </w:rPr>
        <w:t xml:space="preserve">. </w:t>
      </w:r>
      <w:r w:rsidR="006F56ED" w:rsidRPr="00B3274C">
        <w:rPr>
          <w:lang w:val="fr-CA"/>
        </w:rPr>
        <w:t xml:space="preserve">Le nombre </w:t>
      </w:r>
      <w:r w:rsidR="00614BAC">
        <w:rPr>
          <w:lang w:val="fr-CA"/>
        </w:rPr>
        <w:t>de personnes</w:t>
      </w:r>
      <w:r w:rsidR="006F56ED" w:rsidRPr="00B3274C">
        <w:rPr>
          <w:lang w:val="fr-CA"/>
        </w:rPr>
        <w:t xml:space="preserve"> sans emploi a dépassé le</w:t>
      </w:r>
      <w:r w:rsidR="0055418C" w:rsidRPr="00B3274C">
        <w:rPr>
          <w:lang w:val="fr-CA"/>
        </w:rPr>
        <w:t xml:space="preserve"> </w:t>
      </w:r>
      <w:r w:rsidR="006F56ED" w:rsidRPr="00B3274C">
        <w:rPr>
          <w:lang w:val="fr-CA"/>
        </w:rPr>
        <w:t>million au quatrième trimestre de 2011 (1</w:t>
      </w:r>
      <w:r w:rsidR="0080611A">
        <w:rPr>
          <w:lang w:val="fr-CA"/>
        </w:rPr>
        <w:t>,</w:t>
      </w:r>
      <w:r w:rsidR="00FB23D3" w:rsidRPr="00B3274C">
        <w:rPr>
          <w:lang w:val="fr-CA"/>
        </w:rPr>
        <w:t>03</w:t>
      </w:r>
      <w:r w:rsidR="00F47BAE">
        <w:rPr>
          <w:lang w:val="fr-CA"/>
        </w:rPr>
        <w:t> </w:t>
      </w:r>
      <w:r w:rsidR="00FB23D3" w:rsidRPr="00B3274C">
        <w:rPr>
          <w:lang w:val="fr-CA"/>
        </w:rPr>
        <w:t>million)</w:t>
      </w:r>
      <w:r w:rsidR="0080611A">
        <w:rPr>
          <w:lang w:val="fr-CA"/>
        </w:rPr>
        <w:t>,</w:t>
      </w:r>
      <w:r w:rsidR="00FB23D3" w:rsidRPr="00B3274C">
        <w:rPr>
          <w:lang w:val="fr-CA"/>
        </w:rPr>
        <w:t xml:space="preserve"> </w:t>
      </w:r>
      <w:r w:rsidR="006F56ED" w:rsidRPr="00B3274C">
        <w:rPr>
          <w:lang w:val="fr-CA"/>
        </w:rPr>
        <w:t>pour la première fois depuis que les données de l</w:t>
      </w:r>
      <w:r w:rsidR="0080611A">
        <w:rPr>
          <w:lang w:val="fr-CA"/>
        </w:rPr>
        <w:t>’</w:t>
      </w:r>
      <w:r w:rsidR="006F56ED" w:rsidRPr="00B3274C">
        <w:rPr>
          <w:lang w:val="fr-CA"/>
        </w:rPr>
        <w:t>Enquête étaient</w:t>
      </w:r>
      <w:r w:rsidR="0055418C" w:rsidRPr="00B3274C">
        <w:rPr>
          <w:lang w:val="fr-CA"/>
        </w:rPr>
        <w:t xml:space="preserve"> </w:t>
      </w:r>
      <w:r w:rsidR="006F56ED" w:rsidRPr="00B3274C">
        <w:rPr>
          <w:lang w:val="fr-CA"/>
        </w:rPr>
        <w:t xml:space="preserve">publiées trimestriellement </w:t>
      </w:r>
      <w:r w:rsidR="00FB23D3" w:rsidRPr="00B3274C">
        <w:rPr>
          <w:lang w:val="fr-CA"/>
        </w:rPr>
        <w:t xml:space="preserve">(1998). </w:t>
      </w:r>
      <w:r w:rsidR="006F56ED" w:rsidRPr="00B3274C">
        <w:rPr>
          <w:lang w:val="fr-CA"/>
        </w:rPr>
        <w:t xml:space="preserve">Le nombre </w:t>
      </w:r>
      <w:r w:rsidR="00614BAC">
        <w:rPr>
          <w:lang w:val="fr-CA"/>
        </w:rPr>
        <w:t>de personnes</w:t>
      </w:r>
      <w:r w:rsidR="00785A27" w:rsidRPr="00B3274C">
        <w:rPr>
          <w:lang w:val="fr-CA"/>
        </w:rPr>
        <w:t xml:space="preserve"> (15-74</w:t>
      </w:r>
      <w:r w:rsidR="004C055A">
        <w:rPr>
          <w:lang w:val="fr-CA"/>
        </w:rPr>
        <w:t> ans</w:t>
      </w:r>
      <w:r w:rsidR="00785A27" w:rsidRPr="00B3274C">
        <w:rPr>
          <w:lang w:val="fr-CA"/>
        </w:rPr>
        <w:t>) sans emploi a atteint</w:t>
      </w:r>
      <w:r w:rsidR="006F56ED" w:rsidRPr="00B3274C">
        <w:rPr>
          <w:lang w:val="fr-CA"/>
        </w:rPr>
        <w:t xml:space="preserve"> </w:t>
      </w:r>
      <w:r w:rsidR="00785A27" w:rsidRPr="00B3274C">
        <w:rPr>
          <w:lang w:val="fr-CA"/>
        </w:rPr>
        <w:t>1 056 </w:t>
      </w:r>
      <w:r w:rsidR="00591D8C" w:rsidRPr="00B3274C">
        <w:rPr>
          <w:lang w:val="fr-CA"/>
        </w:rPr>
        <w:t>5</w:t>
      </w:r>
      <w:r w:rsidR="00785A27" w:rsidRPr="00B3274C">
        <w:rPr>
          <w:lang w:val="fr-CA"/>
        </w:rPr>
        <w:t>00 en janvier 2012 et 1 070 700 en février de la même année – chiffres corrigés des valeurs saisonnières (voir l</w:t>
      </w:r>
      <w:r w:rsidR="0080611A">
        <w:rPr>
          <w:lang w:val="fr-CA"/>
        </w:rPr>
        <w:t>’</w:t>
      </w:r>
      <w:r w:rsidR="00785A27" w:rsidRPr="00B3274C">
        <w:rPr>
          <w:lang w:val="fr-CA"/>
        </w:rPr>
        <w:t>annexe statistique pour l</w:t>
      </w:r>
      <w:r w:rsidR="0080611A">
        <w:rPr>
          <w:lang w:val="fr-CA"/>
        </w:rPr>
        <w:t>’</w:t>
      </w:r>
      <w:r w:rsidR="00597DC4">
        <w:rPr>
          <w:lang w:val="fr-CA"/>
        </w:rPr>
        <w:t>article </w:t>
      </w:r>
      <w:r w:rsidR="00785A27" w:rsidRPr="00B3274C">
        <w:rPr>
          <w:lang w:val="fr-CA"/>
        </w:rPr>
        <w:t>6 – Annexe 1</w:t>
      </w:r>
      <w:r w:rsidR="0080611A">
        <w:rPr>
          <w:lang w:val="fr-CA"/>
        </w:rPr>
        <w:t>,</w:t>
      </w:r>
      <w:r w:rsidR="00785A27" w:rsidRPr="00B3274C">
        <w:rPr>
          <w:lang w:val="fr-CA"/>
        </w:rPr>
        <w:t xml:space="preserve"> tableau </w:t>
      </w:r>
      <w:r w:rsidR="00FB23D3" w:rsidRPr="00B3274C">
        <w:rPr>
          <w:lang w:val="fr-CA"/>
        </w:rPr>
        <w:t xml:space="preserve">3A). </w:t>
      </w:r>
    </w:p>
    <w:p w:rsidR="00664E36" w:rsidRPr="00B3274C" w:rsidRDefault="00107A47" w:rsidP="00107A47">
      <w:pPr>
        <w:pStyle w:val="SingleTxtG"/>
        <w:rPr>
          <w:lang w:val="fr-CA"/>
        </w:rPr>
      </w:pPr>
      <w:r w:rsidRPr="00B3274C">
        <w:rPr>
          <w:lang w:val="fr-CA"/>
        </w:rPr>
        <w:t>49.</w:t>
      </w:r>
      <w:r w:rsidRPr="00B3274C">
        <w:rPr>
          <w:lang w:val="fr-CA"/>
        </w:rPr>
        <w:tab/>
      </w:r>
      <w:r w:rsidR="00BF1B2A" w:rsidRPr="00B3274C">
        <w:rPr>
          <w:lang w:val="fr-CA"/>
        </w:rPr>
        <w:t>Le taux général de chômage en Grèce est passé à 17</w:t>
      </w:r>
      <w:r w:rsidR="0080611A">
        <w:rPr>
          <w:lang w:val="fr-CA"/>
        </w:rPr>
        <w:t>,</w:t>
      </w:r>
      <w:r w:rsidR="00BF1B2A" w:rsidRPr="00B3274C">
        <w:rPr>
          <w:lang w:val="fr-CA"/>
        </w:rPr>
        <w:t>7</w:t>
      </w:r>
      <w:r w:rsidR="0050285B">
        <w:rPr>
          <w:lang w:val="fr-CA"/>
        </w:rPr>
        <w:t> %</w:t>
      </w:r>
      <w:r w:rsidR="00BF1B2A" w:rsidRPr="00B3274C">
        <w:rPr>
          <w:lang w:val="fr-CA"/>
        </w:rPr>
        <w:t xml:space="preserve"> en 2011 alors qu</w:t>
      </w:r>
      <w:r w:rsidR="0080611A">
        <w:rPr>
          <w:lang w:val="fr-CA"/>
        </w:rPr>
        <w:t>’</w:t>
      </w:r>
      <w:r w:rsidR="00BF1B2A" w:rsidRPr="00B3274C">
        <w:rPr>
          <w:lang w:val="fr-CA"/>
        </w:rPr>
        <w:t>il était de 12</w:t>
      </w:r>
      <w:r w:rsidR="0080611A">
        <w:rPr>
          <w:lang w:val="fr-CA"/>
        </w:rPr>
        <w:t>,</w:t>
      </w:r>
      <w:r w:rsidR="00BF1B2A" w:rsidRPr="00B3274C">
        <w:rPr>
          <w:lang w:val="fr-CA"/>
        </w:rPr>
        <w:t>5</w:t>
      </w:r>
      <w:r w:rsidR="0050285B">
        <w:rPr>
          <w:lang w:val="fr-CA"/>
        </w:rPr>
        <w:t> %</w:t>
      </w:r>
      <w:r w:rsidR="00BF1B2A" w:rsidRPr="00B3274C">
        <w:rPr>
          <w:lang w:val="fr-CA"/>
        </w:rPr>
        <w:t xml:space="preserve"> en 2010</w:t>
      </w:r>
      <w:r w:rsidR="0080611A">
        <w:rPr>
          <w:lang w:val="fr-CA"/>
        </w:rPr>
        <w:t>,</w:t>
      </w:r>
      <w:r w:rsidR="00BF1B2A" w:rsidRPr="00B3274C">
        <w:rPr>
          <w:lang w:val="fr-CA"/>
        </w:rPr>
        <w:t xml:space="preserve"> de 9</w:t>
      </w:r>
      <w:r w:rsidR="0080611A">
        <w:rPr>
          <w:lang w:val="fr-CA"/>
        </w:rPr>
        <w:t>,</w:t>
      </w:r>
      <w:r w:rsidR="00BF1B2A" w:rsidRPr="00B3274C">
        <w:rPr>
          <w:lang w:val="fr-CA"/>
        </w:rPr>
        <w:t>5</w:t>
      </w:r>
      <w:r w:rsidR="0050285B">
        <w:rPr>
          <w:lang w:val="fr-CA"/>
        </w:rPr>
        <w:t> %</w:t>
      </w:r>
      <w:r w:rsidR="00BF1B2A" w:rsidRPr="00B3274C">
        <w:rPr>
          <w:lang w:val="fr-CA"/>
        </w:rPr>
        <w:t xml:space="preserve"> en 2009 et de 7</w:t>
      </w:r>
      <w:r w:rsidR="0080611A">
        <w:rPr>
          <w:lang w:val="fr-CA"/>
        </w:rPr>
        <w:t>,</w:t>
      </w:r>
      <w:r w:rsidR="00BF1B2A" w:rsidRPr="00B3274C">
        <w:rPr>
          <w:lang w:val="fr-CA"/>
        </w:rPr>
        <w:t>6</w:t>
      </w:r>
      <w:r w:rsidR="0050285B">
        <w:rPr>
          <w:lang w:val="fr-CA"/>
        </w:rPr>
        <w:t> %</w:t>
      </w:r>
      <w:r w:rsidR="00BF1B2A" w:rsidRPr="00B3274C">
        <w:rPr>
          <w:lang w:val="fr-CA"/>
        </w:rPr>
        <w:t xml:space="preserve"> e</w:t>
      </w:r>
      <w:r w:rsidR="00664E36" w:rsidRPr="00B3274C">
        <w:rPr>
          <w:lang w:val="fr-CA"/>
        </w:rPr>
        <w:t xml:space="preserve">n 2008. </w:t>
      </w:r>
      <w:r w:rsidR="00BF1B2A" w:rsidRPr="00B3274C">
        <w:rPr>
          <w:lang w:val="fr-CA"/>
        </w:rPr>
        <w:t>Il a dépassé les 20</w:t>
      </w:r>
      <w:r w:rsidR="0050285B">
        <w:rPr>
          <w:lang w:val="fr-CA"/>
        </w:rPr>
        <w:t> %</w:t>
      </w:r>
      <w:r w:rsidR="00BF1B2A" w:rsidRPr="00B3274C">
        <w:rPr>
          <w:lang w:val="fr-CA"/>
        </w:rPr>
        <w:t xml:space="preserve"> (pour la première fois depuis la publication trimestrielle des chiffres en 1998) au quatrième trimestre de 2011 (20</w:t>
      </w:r>
      <w:r w:rsidR="0080611A">
        <w:rPr>
          <w:lang w:val="fr-CA"/>
        </w:rPr>
        <w:t>,</w:t>
      </w:r>
      <w:r w:rsidR="00BF1B2A" w:rsidRPr="00B3274C">
        <w:rPr>
          <w:lang w:val="fr-CA"/>
        </w:rPr>
        <w:t>7</w:t>
      </w:r>
      <w:r w:rsidR="0050285B">
        <w:rPr>
          <w:lang w:val="fr-CA"/>
        </w:rPr>
        <w:t> %</w:t>
      </w:r>
      <w:r w:rsidR="00BF1B2A" w:rsidRPr="00B3274C">
        <w:rPr>
          <w:lang w:val="fr-CA"/>
        </w:rPr>
        <w:t xml:space="preserve">). </w:t>
      </w:r>
      <w:r w:rsidR="008F3BCE" w:rsidRPr="00B3274C">
        <w:rPr>
          <w:lang w:val="fr-CA"/>
        </w:rPr>
        <w:t>Le taux de chômage est resté élevé au cours des deux premiers mois de 2012 (janvier 2012: 21</w:t>
      </w:r>
      <w:r w:rsidR="0080611A">
        <w:rPr>
          <w:lang w:val="fr-CA"/>
        </w:rPr>
        <w:t>,</w:t>
      </w:r>
      <w:r w:rsidR="008F3BCE" w:rsidRPr="00B3274C">
        <w:rPr>
          <w:lang w:val="fr-CA"/>
        </w:rPr>
        <w:t>3</w:t>
      </w:r>
      <w:r w:rsidR="0050285B">
        <w:rPr>
          <w:lang w:val="fr-CA"/>
        </w:rPr>
        <w:t> %</w:t>
      </w:r>
      <w:r w:rsidR="008F3BCE" w:rsidRPr="00B3274C">
        <w:rPr>
          <w:lang w:val="fr-CA"/>
        </w:rPr>
        <w:t xml:space="preserve"> et février 2012: 21</w:t>
      </w:r>
      <w:r w:rsidR="0080611A">
        <w:rPr>
          <w:lang w:val="fr-CA"/>
        </w:rPr>
        <w:t>,</w:t>
      </w:r>
      <w:r w:rsidR="008F3BCE" w:rsidRPr="00B3274C">
        <w:rPr>
          <w:lang w:val="fr-CA"/>
        </w:rPr>
        <w:t>7</w:t>
      </w:r>
      <w:r w:rsidR="0050285B">
        <w:rPr>
          <w:lang w:val="fr-CA"/>
        </w:rPr>
        <w:t> %</w:t>
      </w:r>
      <w:r w:rsidR="00F47BAE">
        <w:rPr>
          <w:lang w:val="fr-CA"/>
        </w:rPr>
        <w:t xml:space="preserve"> – </w:t>
      </w:r>
      <w:r w:rsidR="008F3BCE" w:rsidRPr="00B3274C">
        <w:rPr>
          <w:lang w:val="fr-CA"/>
        </w:rPr>
        <w:t>chiffres corrigés des valeurs saisonnières). Le chômage en Grèce est plus élevé parmi les femmes (21</w:t>
      </w:r>
      <w:r w:rsidR="0080611A">
        <w:rPr>
          <w:lang w:val="fr-CA"/>
        </w:rPr>
        <w:t>,</w:t>
      </w:r>
      <w:r w:rsidR="008F3BCE" w:rsidRPr="00B3274C">
        <w:rPr>
          <w:lang w:val="fr-CA"/>
        </w:rPr>
        <w:t>4</w:t>
      </w:r>
      <w:r w:rsidR="0050285B">
        <w:rPr>
          <w:lang w:val="fr-CA"/>
        </w:rPr>
        <w:t> %</w:t>
      </w:r>
      <w:r w:rsidR="008F3BCE" w:rsidRPr="00B3274C">
        <w:rPr>
          <w:lang w:val="fr-CA"/>
        </w:rPr>
        <w:t xml:space="preserve"> en 2011 contre 14</w:t>
      </w:r>
      <w:r w:rsidR="0080611A">
        <w:rPr>
          <w:lang w:val="fr-CA"/>
        </w:rPr>
        <w:t>,</w:t>
      </w:r>
      <w:r w:rsidR="008F3BCE" w:rsidRPr="00B3274C">
        <w:rPr>
          <w:lang w:val="fr-CA"/>
        </w:rPr>
        <w:t>9</w:t>
      </w:r>
      <w:r w:rsidR="0050285B">
        <w:rPr>
          <w:lang w:val="fr-CA"/>
        </w:rPr>
        <w:t> %</w:t>
      </w:r>
      <w:r w:rsidR="008F3BCE" w:rsidRPr="00B3274C">
        <w:rPr>
          <w:lang w:val="fr-CA"/>
        </w:rPr>
        <w:t xml:space="preserve"> pour les hommes). </w:t>
      </w:r>
    </w:p>
    <w:p w:rsidR="00FB23D3" w:rsidRPr="00B3274C" w:rsidRDefault="00107A47" w:rsidP="00107A47">
      <w:pPr>
        <w:pStyle w:val="SingleTxtG"/>
        <w:rPr>
          <w:lang w:val="fr-CA"/>
        </w:rPr>
      </w:pPr>
      <w:r w:rsidRPr="00B3274C">
        <w:rPr>
          <w:lang w:val="fr-CA"/>
        </w:rPr>
        <w:t>50.</w:t>
      </w:r>
      <w:r w:rsidRPr="00B3274C">
        <w:rPr>
          <w:lang w:val="fr-CA"/>
        </w:rPr>
        <w:tab/>
      </w:r>
      <w:r w:rsidR="00FE6625" w:rsidRPr="00B3274C">
        <w:rPr>
          <w:lang w:val="fr-CA"/>
        </w:rPr>
        <w:t>L</w:t>
      </w:r>
      <w:r w:rsidR="0080611A">
        <w:rPr>
          <w:lang w:val="fr-CA"/>
        </w:rPr>
        <w:t>’</w:t>
      </w:r>
      <w:r w:rsidR="00FE6625" w:rsidRPr="00B3274C">
        <w:rPr>
          <w:lang w:val="fr-CA"/>
        </w:rPr>
        <w:t>analyse du chômage par groupe d</w:t>
      </w:r>
      <w:r w:rsidR="0080611A">
        <w:rPr>
          <w:lang w:val="fr-CA"/>
        </w:rPr>
        <w:t>’</w:t>
      </w:r>
      <w:r w:rsidR="00FE6625" w:rsidRPr="00B3274C">
        <w:rPr>
          <w:lang w:val="fr-CA"/>
        </w:rPr>
        <w:t>âge et par sexe confirme une fois de plus qu</w:t>
      </w:r>
      <w:r w:rsidR="0080611A">
        <w:rPr>
          <w:lang w:val="fr-CA"/>
        </w:rPr>
        <w:t>’</w:t>
      </w:r>
      <w:r w:rsidR="00FE6625" w:rsidRPr="00B3274C">
        <w:rPr>
          <w:lang w:val="fr-CA"/>
        </w:rPr>
        <w:t>en Grèce le taux de chômage est particulièrement élevé parmi les jeunes et notamment les</w:t>
      </w:r>
      <w:r w:rsidR="00E51B08" w:rsidRPr="00B3274C">
        <w:rPr>
          <w:lang w:val="fr-CA"/>
        </w:rPr>
        <w:t xml:space="preserve"> jeunes </w:t>
      </w:r>
      <w:r w:rsidR="00FE6625" w:rsidRPr="00B3274C">
        <w:rPr>
          <w:lang w:val="fr-CA"/>
        </w:rPr>
        <w:t>femmes (voir l</w:t>
      </w:r>
      <w:r w:rsidR="0080611A">
        <w:rPr>
          <w:lang w:val="fr-CA"/>
        </w:rPr>
        <w:t>’</w:t>
      </w:r>
      <w:r w:rsidR="00FE6625" w:rsidRPr="00B3274C">
        <w:rPr>
          <w:lang w:val="fr-CA"/>
        </w:rPr>
        <w:t>annexe statistique pour l</w:t>
      </w:r>
      <w:r w:rsidR="0080611A">
        <w:rPr>
          <w:lang w:val="fr-CA"/>
        </w:rPr>
        <w:t>’</w:t>
      </w:r>
      <w:r w:rsidR="00597DC4">
        <w:rPr>
          <w:lang w:val="fr-CA"/>
        </w:rPr>
        <w:t>article </w:t>
      </w:r>
      <w:r w:rsidR="00FE6625" w:rsidRPr="00B3274C">
        <w:rPr>
          <w:lang w:val="fr-CA"/>
        </w:rPr>
        <w:t>6 – Annexe 1</w:t>
      </w:r>
      <w:r w:rsidR="0080611A">
        <w:rPr>
          <w:lang w:val="fr-CA"/>
        </w:rPr>
        <w:t>,</w:t>
      </w:r>
      <w:r w:rsidR="00FE6625" w:rsidRPr="00B3274C">
        <w:rPr>
          <w:lang w:val="fr-CA"/>
        </w:rPr>
        <w:t xml:space="preserve"> tableau </w:t>
      </w:r>
      <w:r w:rsidR="00FB23D3" w:rsidRPr="00B3274C">
        <w:rPr>
          <w:rFonts w:ascii="TimesNewRoman" w:hAnsi="TimesNewRoman" w:cs="TimesNewRoman"/>
          <w:lang w:val="fr-CA"/>
        </w:rPr>
        <w:t>3B</w:t>
      </w:r>
      <w:r w:rsidR="00D8027F" w:rsidRPr="00B3274C">
        <w:rPr>
          <w:rFonts w:ascii="TimesNewRoman" w:hAnsi="TimesNewRoman" w:cs="TimesNewRoman"/>
          <w:lang w:val="fr-CA"/>
        </w:rPr>
        <w:t>)</w:t>
      </w:r>
      <w:r w:rsidR="00FB23D3" w:rsidRPr="00B3274C">
        <w:rPr>
          <w:lang w:val="fr-CA"/>
        </w:rPr>
        <w:t xml:space="preserve">. </w:t>
      </w:r>
    </w:p>
    <w:p w:rsidR="00FB23D3" w:rsidRPr="00B3274C" w:rsidRDefault="00107A47" w:rsidP="00107A47">
      <w:pPr>
        <w:pStyle w:val="SingleTxtG"/>
        <w:rPr>
          <w:lang w:val="fr-CA"/>
        </w:rPr>
      </w:pPr>
      <w:r w:rsidRPr="00B3274C">
        <w:rPr>
          <w:lang w:val="fr-CA"/>
        </w:rPr>
        <w:t>51.</w:t>
      </w:r>
      <w:r w:rsidRPr="00B3274C">
        <w:rPr>
          <w:lang w:val="fr-CA"/>
        </w:rPr>
        <w:tab/>
      </w:r>
      <w:r w:rsidR="00310C32" w:rsidRPr="00B3274C">
        <w:rPr>
          <w:lang w:val="fr-CA"/>
        </w:rPr>
        <w:t>Le taux de chômage des jeunes (15</w:t>
      </w:r>
      <w:r w:rsidR="00F47BAE">
        <w:rPr>
          <w:lang w:val="fr-CA"/>
        </w:rPr>
        <w:t>-</w:t>
      </w:r>
      <w:r w:rsidR="00310C32" w:rsidRPr="00B3274C">
        <w:rPr>
          <w:lang w:val="fr-CA"/>
        </w:rPr>
        <w:t>24</w:t>
      </w:r>
      <w:r w:rsidR="004C055A">
        <w:rPr>
          <w:lang w:val="fr-CA"/>
        </w:rPr>
        <w:t> ans</w:t>
      </w:r>
      <w:r w:rsidR="00310C32" w:rsidRPr="00B3274C">
        <w:rPr>
          <w:lang w:val="fr-CA"/>
        </w:rPr>
        <w:t>) est passé à 44</w:t>
      </w:r>
      <w:r w:rsidR="0080611A">
        <w:rPr>
          <w:lang w:val="fr-CA"/>
        </w:rPr>
        <w:t>,</w:t>
      </w:r>
      <w:r w:rsidR="00310C32" w:rsidRPr="00B3274C">
        <w:rPr>
          <w:lang w:val="fr-CA"/>
        </w:rPr>
        <w:t>4</w:t>
      </w:r>
      <w:r w:rsidR="0050285B">
        <w:rPr>
          <w:lang w:val="fr-CA"/>
        </w:rPr>
        <w:t> %</w:t>
      </w:r>
      <w:r w:rsidR="00310C32" w:rsidRPr="00B3274C">
        <w:rPr>
          <w:lang w:val="fr-CA"/>
        </w:rPr>
        <w:t xml:space="preserve"> en 2011 alors qu</w:t>
      </w:r>
      <w:r w:rsidR="0080611A">
        <w:rPr>
          <w:lang w:val="fr-CA"/>
        </w:rPr>
        <w:t>’</w:t>
      </w:r>
      <w:r w:rsidR="00310C32" w:rsidRPr="00B3274C">
        <w:rPr>
          <w:lang w:val="fr-CA"/>
        </w:rPr>
        <w:t>il était de 32</w:t>
      </w:r>
      <w:r w:rsidR="0080611A">
        <w:rPr>
          <w:lang w:val="fr-CA"/>
        </w:rPr>
        <w:t>,</w:t>
      </w:r>
      <w:r w:rsidR="00310C32" w:rsidRPr="00B3274C">
        <w:rPr>
          <w:lang w:val="fr-CA"/>
        </w:rPr>
        <w:t>9</w:t>
      </w:r>
      <w:r w:rsidR="0050285B">
        <w:rPr>
          <w:lang w:val="fr-CA"/>
        </w:rPr>
        <w:t> %</w:t>
      </w:r>
      <w:r w:rsidR="00310C32" w:rsidRPr="00B3274C">
        <w:rPr>
          <w:lang w:val="fr-CA"/>
        </w:rPr>
        <w:t xml:space="preserve"> en 2010 et de 25</w:t>
      </w:r>
      <w:r w:rsidR="0080611A">
        <w:rPr>
          <w:lang w:val="fr-CA"/>
        </w:rPr>
        <w:t>,</w:t>
      </w:r>
      <w:r w:rsidR="00310C32" w:rsidRPr="00B3274C">
        <w:rPr>
          <w:lang w:val="fr-CA"/>
        </w:rPr>
        <w:t>8</w:t>
      </w:r>
      <w:r w:rsidR="0050285B">
        <w:rPr>
          <w:lang w:val="fr-CA"/>
        </w:rPr>
        <w:t> %</w:t>
      </w:r>
      <w:r w:rsidR="00310C32" w:rsidRPr="00B3274C">
        <w:rPr>
          <w:lang w:val="fr-CA"/>
        </w:rPr>
        <w:t xml:space="preserve"> en 2009. On notera que le taux de chômage des jeunes de cette tranche d</w:t>
      </w:r>
      <w:r w:rsidR="0080611A">
        <w:rPr>
          <w:lang w:val="fr-CA"/>
        </w:rPr>
        <w:t>’</w:t>
      </w:r>
      <w:r w:rsidR="00310C32" w:rsidRPr="00B3274C">
        <w:rPr>
          <w:lang w:val="fr-CA"/>
        </w:rPr>
        <w:t>âge a atteint 53</w:t>
      </w:r>
      <w:r w:rsidR="0080611A">
        <w:rPr>
          <w:lang w:val="fr-CA"/>
        </w:rPr>
        <w:t>,</w:t>
      </w:r>
      <w:r w:rsidR="00310C32" w:rsidRPr="00B3274C">
        <w:rPr>
          <w:lang w:val="fr-CA"/>
        </w:rPr>
        <w:t>8</w:t>
      </w:r>
      <w:r w:rsidR="0050285B">
        <w:rPr>
          <w:lang w:val="fr-CA"/>
        </w:rPr>
        <w:t> %</w:t>
      </w:r>
      <w:r w:rsidR="00310C32" w:rsidRPr="00B3274C">
        <w:rPr>
          <w:lang w:val="fr-CA"/>
        </w:rPr>
        <w:t xml:space="preserve"> en février 2012 alors qu</w:t>
      </w:r>
      <w:r w:rsidR="0080611A">
        <w:rPr>
          <w:lang w:val="fr-CA"/>
        </w:rPr>
        <w:t>’</w:t>
      </w:r>
      <w:r w:rsidR="00310C32" w:rsidRPr="00B3274C">
        <w:rPr>
          <w:lang w:val="fr-CA"/>
        </w:rPr>
        <w:t>il était de 40</w:t>
      </w:r>
      <w:r w:rsidR="0080611A">
        <w:rPr>
          <w:lang w:val="fr-CA"/>
        </w:rPr>
        <w:t>,</w:t>
      </w:r>
      <w:r w:rsidR="00310C32" w:rsidRPr="00B3274C">
        <w:rPr>
          <w:lang w:val="fr-CA"/>
        </w:rPr>
        <w:t>3</w:t>
      </w:r>
      <w:r w:rsidR="0050285B">
        <w:rPr>
          <w:lang w:val="fr-CA"/>
        </w:rPr>
        <w:t> %</w:t>
      </w:r>
      <w:r w:rsidR="006102C4">
        <w:rPr>
          <w:lang w:val="fr-CA"/>
        </w:rPr>
        <w:t xml:space="preserve"> en février </w:t>
      </w:r>
      <w:r w:rsidR="00310C32" w:rsidRPr="00B3274C">
        <w:rPr>
          <w:lang w:val="fr-CA"/>
        </w:rPr>
        <w:t>2011. Il s</w:t>
      </w:r>
      <w:r w:rsidR="0080611A">
        <w:rPr>
          <w:lang w:val="fr-CA"/>
        </w:rPr>
        <w:t>’</w:t>
      </w:r>
      <w:r w:rsidR="00310C32" w:rsidRPr="00B3274C">
        <w:rPr>
          <w:lang w:val="fr-CA"/>
        </w:rPr>
        <w:t>est établi à 50</w:t>
      </w:r>
      <w:r w:rsidR="0080611A">
        <w:rPr>
          <w:lang w:val="fr-CA"/>
        </w:rPr>
        <w:t>,</w:t>
      </w:r>
      <w:r w:rsidR="00310C32" w:rsidRPr="00B3274C">
        <w:rPr>
          <w:lang w:val="fr-CA"/>
        </w:rPr>
        <w:t>8</w:t>
      </w:r>
      <w:r w:rsidR="0050285B">
        <w:rPr>
          <w:lang w:val="fr-CA"/>
        </w:rPr>
        <w:t> %</w:t>
      </w:r>
      <w:r w:rsidR="00310C32" w:rsidRPr="00B3274C">
        <w:rPr>
          <w:lang w:val="fr-CA"/>
        </w:rPr>
        <w:t xml:space="preserve"> en janvier 2012 (voir l</w:t>
      </w:r>
      <w:r w:rsidR="0080611A">
        <w:rPr>
          <w:lang w:val="fr-CA"/>
        </w:rPr>
        <w:t>’</w:t>
      </w:r>
      <w:r w:rsidR="00310C32" w:rsidRPr="00B3274C">
        <w:rPr>
          <w:lang w:val="fr-CA"/>
        </w:rPr>
        <w:t>annexe statistique pour l</w:t>
      </w:r>
      <w:r w:rsidR="0080611A">
        <w:rPr>
          <w:lang w:val="fr-CA"/>
        </w:rPr>
        <w:t>’</w:t>
      </w:r>
      <w:r w:rsidR="00597DC4">
        <w:rPr>
          <w:lang w:val="fr-CA"/>
        </w:rPr>
        <w:t>article </w:t>
      </w:r>
      <w:r w:rsidR="00310C32" w:rsidRPr="00B3274C">
        <w:rPr>
          <w:lang w:val="fr-CA"/>
        </w:rPr>
        <w:t>6 – Annexe 1</w:t>
      </w:r>
      <w:r w:rsidR="0080611A">
        <w:rPr>
          <w:lang w:val="fr-CA"/>
        </w:rPr>
        <w:t>,</w:t>
      </w:r>
      <w:r w:rsidR="00310C32" w:rsidRPr="00B3274C">
        <w:rPr>
          <w:lang w:val="fr-CA"/>
        </w:rPr>
        <w:t xml:space="preserve"> tableau </w:t>
      </w:r>
      <w:r w:rsidR="00FB23D3" w:rsidRPr="00B3274C">
        <w:rPr>
          <w:lang w:val="fr-CA"/>
        </w:rPr>
        <w:t xml:space="preserve">3C). </w:t>
      </w:r>
    </w:p>
    <w:p w:rsidR="00FB23D3" w:rsidRPr="00B3274C" w:rsidRDefault="00107A47" w:rsidP="00107A47">
      <w:pPr>
        <w:pStyle w:val="SingleTxtG"/>
        <w:rPr>
          <w:lang w:val="fr-CA"/>
        </w:rPr>
      </w:pPr>
      <w:r w:rsidRPr="00B3274C">
        <w:rPr>
          <w:lang w:val="fr-CA"/>
        </w:rPr>
        <w:t>52.</w:t>
      </w:r>
      <w:r w:rsidRPr="00B3274C">
        <w:rPr>
          <w:lang w:val="fr-CA"/>
        </w:rPr>
        <w:tab/>
      </w:r>
      <w:r w:rsidR="00310C32" w:rsidRPr="00B3274C">
        <w:rPr>
          <w:lang w:val="fr-CA"/>
        </w:rPr>
        <w:t xml:space="preserve">Le pourcentage des </w:t>
      </w:r>
      <w:r w:rsidR="0055418C" w:rsidRPr="00B3274C">
        <w:rPr>
          <w:lang w:val="fr-CA"/>
        </w:rPr>
        <w:t>«</w:t>
      </w:r>
      <w:r w:rsidR="00310C32" w:rsidRPr="00B3274C">
        <w:rPr>
          <w:lang w:val="fr-CA"/>
        </w:rPr>
        <w:t>nouveaux</w:t>
      </w:r>
      <w:r w:rsidR="0055418C" w:rsidRPr="00B3274C">
        <w:rPr>
          <w:lang w:val="fr-CA"/>
        </w:rPr>
        <w:t>»</w:t>
      </w:r>
      <w:r w:rsidR="00310C32" w:rsidRPr="00B3274C">
        <w:rPr>
          <w:lang w:val="fr-CA"/>
        </w:rPr>
        <w:t xml:space="preserve"> chômeurs</w:t>
      </w:r>
      <w:r w:rsidR="0080611A">
        <w:rPr>
          <w:lang w:val="fr-CA"/>
        </w:rPr>
        <w:t>,</w:t>
      </w:r>
      <w:r w:rsidR="00310C32" w:rsidRPr="00B3274C">
        <w:rPr>
          <w:lang w:val="fr-CA"/>
        </w:rPr>
        <w:t xml:space="preserve"> c</w:t>
      </w:r>
      <w:r w:rsidR="0080611A">
        <w:rPr>
          <w:lang w:val="fr-CA"/>
        </w:rPr>
        <w:t>’</w:t>
      </w:r>
      <w:r w:rsidR="00310C32" w:rsidRPr="00B3274C">
        <w:rPr>
          <w:lang w:val="fr-CA"/>
        </w:rPr>
        <w:t xml:space="preserve">est-à-dire le pourcentage </w:t>
      </w:r>
      <w:r w:rsidR="00614BAC">
        <w:rPr>
          <w:lang w:val="fr-CA"/>
        </w:rPr>
        <w:t>de personnes</w:t>
      </w:r>
      <w:r w:rsidR="00310C32" w:rsidRPr="00B3274C">
        <w:rPr>
          <w:lang w:val="fr-CA"/>
        </w:rPr>
        <w:t xml:space="preserve"> entrées pour la première fois sur le marché du travail</w:t>
      </w:r>
      <w:r w:rsidR="0080611A">
        <w:rPr>
          <w:lang w:val="fr-CA"/>
        </w:rPr>
        <w:t>,</w:t>
      </w:r>
      <w:r w:rsidR="00310C32" w:rsidRPr="00B3274C">
        <w:rPr>
          <w:lang w:val="fr-CA"/>
        </w:rPr>
        <w:t xml:space="preserve"> a légèrement augmenté en 2011 pour atteindre 24</w:t>
      </w:r>
      <w:r w:rsidR="0050285B">
        <w:rPr>
          <w:lang w:val="fr-CA"/>
        </w:rPr>
        <w:t> %</w:t>
      </w:r>
      <w:r w:rsidR="0080611A">
        <w:rPr>
          <w:lang w:val="fr-CA"/>
        </w:rPr>
        <w:t>,</w:t>
      </w:r>
      <w:r w:rsidR="00310C32" w:rsidRPr="00B3274C">
        <w:rPr>
          <w:lang w:val="fr-CA"/>
        </w:rPr>
        <w:t xml:space="preserve"> chiffre inférieur à ceux de 2008 et de 2009 (voir l</w:t>
      </w:r>
      <w:r w:rsidR="0080611A">
        <w:rPr>
          <w:lang w:val="fr-CA"/>
        </w:rPr>
        <w:t>’</w:t>
      </w:r>
      <w:r w:rsidR="00310C32" w:rsidRPr="00B3274C">
        <w:rPr>
          <w:lang w:val="fr-CA"/>
        </w:rPr>
        <w:t>annexe statistique pour l</w:t>
      </w:r>
      <w:r w:rsidR="0080611A">
        <w:rPr>
          <w:lang w:val="fr-CA"/>
        </w:rPr>
        <w:t>’</w:t>
      </w:r>
      <w:r w:rsidR="00597DC4">
        <w:rPr>
          <w:lang w:val="fr-CA"/>
        </w:rPr>
        <w:t>article </w:t>
      </w:r>
      <w:r w:rsidR="00310C32" w:rsidRPr="00B3274C">
        <w:rPr>
          <w:lang w:val="fr-CA"/>
        </w:rPr>
        <w:t>6 – Annexe 1</w:t>
      </w:r>
      <w:r w:rsidR="0080611A">
        <w:rPr>
          <w:lang w:val="fr-CA"/>
        </w:rPr>
        <w:t>,</w:t>
      </w:r>
      <w:r w:rsidR="00310C32" w:rsidRPr="00B3274C">
        <w:rPr>
          <w:lang w:val="fr-CA"/>
        </w:rPr>
        <w:t xml:space="preserve"> tableau </w:t>
      </w:r>
      <w:r w:rsidR="00FB23D3" w:rsidRPr="00B3274C">
        <w:rPr>
          <w:lang w:val="fr-CA"/>
        </w:rPr>
        <w:t>3D).</w:t>
      </w:r>
    </w:p>
    <w:p w:rsidR="00FB23D3" w:rsidRPr="00B3274C" w:rsidRDefault="00107A47" w:rsidP="00107A47">
      <w:pPr>
        <w:pStyle w:val="SingleTxtG"/>
        <w:rPr>
          <w:lang w:val="fr-CA"/>
        </w:rPr>
      </w:pPr>
      <w:r w:rsidRPr="00B3274C">
        <w:rPr>
          <w:lang w:val="fr-CA"/>
        </w:rPr>
        <w:t>53.</w:t>
      </w:r>
      <w:r w:rsidRPr="00B3274C">
        <w:rPr>
          <w:lang w:val="fr-CA"/>
        </w:rPr>
        <w:tab/>
      </w:r>
      <w:r w:rsidR="004D69CA" w:rsidRPr="00B3274C">
        <w:rPr>
          <w:lang w:val="fr-CA"/>
        </w:rPr>
        <w:t>Toutefois</w:t>
      </w:r>
      <w:r w:rsidR="0080611A">
        <w:rPr>
          <w:lang w:val="fr-CA"/>
        </w:rPr>
        <w:t>,</w:t>
      </w:r>
      <w:r w:rsidR="004D69CA" w:rsidRPr="00B3274C">
        <w:rPr>
          <w:lang w:val="fr-CA"/>
        </w:rPr>
        <w:t xml:space="preserve"> on notera que le pourcentage des chômeurs de longue durée</w:t>
      </w:r>
      <w:r w:rsidR="0080611A">
        <w:rPr>
          <w:lang w:val="fr-CA"/>
        </w:rPr>
        <w:t>,</w:t>
      </w:r>
      <w:r w:rsidR="004D69CA" w:rsidRPr="00B3274C">
        <w:rPr>
          <w:lang w:val="fr-CA"/>
        </w:rPr>
        <w:t xml:space="preserve"> c</w:t>
      </w:r>
      <w:r w:rsidR="0080611A">
        <w:rPr>
          <w:lang w:val="fr-CA"/>
        </w:rPr>
        <w:t>’</w:t>
      </w:r>
      <w:r w:rsidR="004D69CA" w:rsidRPr="00B3274C">
        <w:rPr>
          <w:lang w:val="fr-CA"/>
        </w:rPr>
        <w:t xml:space="preserve">est-à-dire </w:t>
      </w:r>
      <w:r w:rsidR="00614BAC">
        <w:rPr>
          <w:lang w:val="fr-CA"/>
        </w:rPr>
        <w:t>des personnes</w:t>
      </w:r>
      <w:r w:rsidR="004D69CA" w:rsidRPr="00B3274C">
        <w:rPr>
          <w:lang w:val="fr-CA"/>
        </w:rPr>
        <w:t xml:space="preserve"> qui cherchent </w:t>
      </w:r>
      <w:r w:rsidR="00070D89" w:rsidRPr="00B3274C">
        <w:rPr>
          <w:lang w:val="fr-CA"/>
        </w:rPr>
        <w:t>un emploi depuis plus d</w:t>
      </w:r>
      <w:r w:rsidR="0080611A">
        <w:rPr>
          <w:lang w:val="fr-CA"/>
        </w:rPr>
        <w:t>’</w:t>
      </w:r>
      <w:r w:rsidR="00070D89" w:rsidRPr="00B3274C">
        <w:rPr>
          <w:lang w:val="fr-CA"/>
        </w:rPr>
        <w:t>un an (</w:t>
      </w:r>
      <w:r w:rsidR="0055418C" w:rsidRPr="00B3274C">
        <w:rPr>
          <w:lang w:val="fr-CA"/>
        </w:rPr>
        <w:t>«</w:t>
      </w:r>
      <w:r w:rsidR="004D69CA" w:rsidRPr="00B3274C">
        <w:rPr>
          <w:lang w:val="fr-CA"/>
        </w:rPr>
        <w:t xml:space="preserve">nouveaux </w:t>
      </w:r>
      <w:r w:rsidR="0055418C" w:rsidRPr="00B3274C">
        <w:rPr>
          <w:lang w:val="fr-CA"/>
        </w:rPr>
        <w:t>«</w:t>
      </w:r>
      <w:r w:rsidR="006C70C1" w:rsidRPr="00B3274C">
        <w:rPr>
          <w:lang w:val="fr-CA"/>
        </w:rPr>
        <w:t>et</w:t>
      </w:r>
      <w:r w:rsidR="004D69CA" w:rsidRPr="00B3274C">
        <w:rPr>
          <w:lang w:val="fr-CA"/>
        </w:rPr>
        <w:t xml:space="preserve"> </w:t>
      </w:r>
      <w:r w:rsidR="0055418C" w:rsidRPr="00B3274C">
        <w:rPr>
          <w:lang w:val="fr-CA"/>
        </w:rPr>
        <w:t>«</w:t>
      </w:r>
      <w:r w:rsidR="004D69CA" w:rsidRPr="00B3274C">
        <w:rPr>
          <w:lang w:val="fr-CA"/>
        </w:rPr>
        <w:t xml:space="preserve"> ancien</w:t>
      </w:r>
      <w:r w:rsidR="006C70C1" w:rsidRPr="00B3274C">
        <w:rPr>
          <w:lang w:val="fr-CA"/>
        </w:rPr>
        <w:t>s</w:t>
      </w:r>
      <w:r w:rsidR="0055418C" w:rsidRPr="00B3274C">
        <w:rPr>
          <w:lang w:val="fr-CA"/>
        </w:rPr>
        <w:t>»</w:t>
      </w:r>
      <w:r w:rsidR="004D69CA" w:rsidRPr="00B3274C">
        <w:rPr>
          <w:lang w:val="fr-CA"/>
        </w:rPr>
        <w:t xml:space="preserve"> chômeur</w:t>
      </w:r>
      <w:r w:rsidR="006C70C1" w:rsidRPr="00B3274C">
        <w:rPr>
          <w:lang w:val="fr-CA"/>
        </w:rPr>
        <w:t>s confondus</w:t>
      </w:r>
      <w:r w:rsidR="004D69CA" w:rsidRPr="00B3274C">
        <w:rPr>
          <w:lang w:val="fr-CA"/>
        </w:rPr>
        <w:t>) s</w:t>
      </w:r>
      <w:r w:rsidR="0080611A">
        <w:rPr>
          <w:lang w:val="fr-CA"/>
        </w:rPr>
        <w:t>’</w:t>
      </w:r>
      <w:r w:rsidR="004D69CA" w:rsidRPr="00B3274C">
        <w:rPr>
          <w:lang w:val="fr-CA"/>
        </w:rPr>
        <w:t>est établi à 51</w:t>
      </w:r>
      <w:r w:rsidR="0080611A">
        <w:rPr>
          <w:lang w:val="fr-CA"/>
        </w:rPr>
        <w:t>,</w:t>
      </w:r>
      <w:r w:rsidR="004D69CA" w:rsidRPr="00B3274C">
        <w:rPr>
          <w:lang w:val="fr-CA"/>
        </w:rPr>
        <w:t>6</w:t>
      </w:r>
      <w:r w:rsidR="0050285B">
        <w:rPr>
          <w:lang w:val="fr-CA"/>
        </w:rPr>
        <w:t> %</w:t>
      </w:r>
      <w:r w:rsidR="004D69CA" w:rsidRPr="00B3274C">
        <w:rPr>
          <w:lang w:val="fr-CA"/>
        </w:rPr>
        <w:t xml:space="preserve"> en 2011 contre 47</w:t>
      </w:r>
      <w:r w:rsidR="0080611A">
        <w:rPr>
          <w:lang w:val="fr-CA"/>
        </w:rPr>
        <w:t>,</w:t>
      </w:r>
      <w:r w:rsidR="004D69CA" w:rsidRPr="00B3274C">
        <w:rPr>
          <w:lang w:val="fr-CA"/>
        </w:rPr>
        <w:t>1</w:t>
      </w:r>
      <w:r w:rsidR="0050285B">
        <w:rPr>
          <w:lang w:val="fr-CA"/>
        </w:rPr>
        <w:t> %</w:t>
      </w:r>
      <w:r w:rsidR="004D69CA" w:rsidRPr="00B3274C">
        <w:rPr>
          <w:lang w:val="fr-CA"/>
        </w:rPr>
        <w:t xml:space="preserve"> en 2010. </w:t>
      </w:r>
      <w:r w:rsidR="006C70C1" w:rsidRPr="00B3274C">
        <w:rPr>
          <w:lang w:val="fr-CA"/>
        </w:rPr>
        <w:t>L</w:t>
      </w:r>
      <w:r w:rsidR="0080611A">
        <w:rPr>
          <w:lang w:val="fr-CA"/>
        </w:rPr>
        <w:t>’</w:t>
      </w:r>
      <w:r w:rsidR="006C70C1" w:rsidRPr="00B3274C">
        <w:rPr>
          <w:lang w:val="fr-CA"/>
        </w:rPr>
        <w:t>augmentation du chômage de longue durée est un fait nouveau inquiétant (voir l</w:t>
      </w:r>
      <w:r w:rsidR="0080611A">
        <w:rPr>
          <w:lang w:val="fr-CA"/>
        </w:rPr>
        <w:t>’</w:t>
      </w:r>
      <w:r w:rsidR="006C70C1" w:rsidRPr="00B3274C">
        <w:rPr>
          <w:lang w:val="fr-CA"/>
        </w:rPr>
        <w:t>annexe statistique pour l</w:t>
      </w:r>
      <w:r w:rsidR="0080611A">
        <w:rPr>
          <w:lang w:val="fr-CA"/>
        </w:rPr>
        <w:t>’</w:t>
      </w:r>
      <w:r w:rsidR="00597DC4">
        <w:rPr>
          <w:lang w:val="fr-CA"/>
        </w:rPr>
        <w:t>article </w:t>
      </w:r>
      <w:r w:rsidR="006C70C1" w:rsidRPr="00B3274C">
        <w:rPr>
          <w:lang w:val="fr-CA"/>
        </w:rPr>
        <w:t>6 – Annexe 1</w:t>
      </w:r>
      <w:r w:rsidR="0080611A">
        <w:rPr>
          <w:lang w:val="fr-CA"/>
        </w:rPr>
        <w:t>,</w:t>
      </w:r>
      <w:r w:rsidR="006C70C1" w:rsidRPr="00B3274C">
        <w:rPr>
          <w:lang w:val="fr-CA"/>
        </w:rPr>
        <w:t xml:space="preserve"> tableau </w:t>
      </w:r>
      <w:r w:rsidR="00FB23D3" w:rsidRPr="00B3274C">
        <w:rPr>
          <w:lang w:val="fr-CA"/>
        </w:rPr>
        <w:t>3D).</w:t>
      </w:r>
      <w:r w:rsidR="00047D7A" w:rsidRPr="00B3274C">
        <w:rPr>
          <w:lang w:val="fr-CA"/>
        </w:rPr>
        <w:t xml:space="preserve"> </w:t>
      </w:r>
    </w:p>
    <w:p w:rsidR="00FB23D3" w:rsidRPr="00B3274C" w:rsidRDefault="000213C1" w:rsidP="00715384">
      <w:pPr>
        <w:pStyle w:val="H4G"/>
        <w:rPr>
          <w:lang w:val="fr-CA"/>
        </w:rPr>
      </w:pPr>
      <w:r w:rsidRPr="00B3274C">
        <w:rPr>
          <w:lang w:val="fr-CA"/>
        </w:rPr>
        <w:tab/>
      </w:r>
      <w:r w:rsidRPr="00B3274C">
        <w:rPr>
          <w:lang w:val="fr-CA"/>
        </w:rPr>
        <w:tab/>
      </w:r>
      <w:r w:rsidR="00B6011F" w:rsidRPr="00B3274C">
        <w:rPr>
          <w:lang w:val="fr-CA"/>
        </w:rPr>
        <w:t>Taux de chômage</w:t>
      </w:r>
      <w:r w:rsidR="0080373B" w:rsidRPr="00B3274C">
        <w:rPr>
          <w:lang w:val="fr-CA"/>
        </w:rPr>
        <w:t xml:space="preserve"> selon les régions </w:t>
      </w:r>
      <w:r w:rsidR="00F47BAE">
        <w:rPr>
          <w:lang w:val="fr-CA"/>
        </w:rPr>
        <w:t>(par. </w:t>
      </w:r>
      <w:r w:rsidR="00B6011F" w:rsidRPr="00B3274C">
        <w:rPr>
          <w:lang w:val="fr-CA"/>
        </w:rPr>
        <w:t xml:space="preserve">35 des observations finales du Comité) </w:t>
      </w:r>
    </w:p>
    <w:p w:rsidR="00FB23D3" w:rsidRPr="00B3274C" w:rsidRDefault="00107A47" w:rsidP="00107A47">
      <w:pPr>
        <w:pStyle w:val="SingleTxtG"/>
        <w:rPr>
          <w:lang w:val="fr-CA"/>
        </w:rPr>
      </w:pPr>
      <w:r w:rsidRPr="00B3274C">
        <w:rPr>
          <w:lang w:val="fr-CA"/>
        </w:rPr>
        <w:t>54.</w:t>
      </w:r>
      <w:r w:rsidRPr="00B3274C">
        <w:rPr>
          <w:lang w:val="fr-CA"/>
        </w:rPr>
        <w:tab/>
      </w:r>
      <w:r w:rsidR="0080373B" w:rsidRPr="00B3274C">
        <w:rPr>
          <w:lang w:val="fr-CA"/>
        </w:rPr>
        <w:t>Le chômage est élevé (taux à deux chiffres) dans toutes les régions de la Grèce. Les taux les plus élevés sont observés en Macédoine occidentale (25</w:t>
      </w:r>
      <w:r w:rsidR="0050285B">
        <w:rPr>
          <w:lang w:val="fr-CA"/>
        </w:rPr>
        <w:t> %</w:t>
      </w:r>
      <w:r w:rsidR="0080373B" w:rsidRPr="00B3274C">
        <w:rPr>
          <w:lang w:val="fr-CA"/>
        </w:rPr>
        <w:t>) et en Grèce centrale (23</w:t>
      </w:r>
      <w:r w:rsidR="0080611A">
        <w:rPr>
          <w:lang w:val="fr-CA"/>
        </w:rPr>
        <w:t>,</w:t>
      </w:r>
      <w:r w:rsidR="0080373B" w:rsidRPr="00B3274C">
        <w:rPr>
          <w:lang w:val="fr-CA"/>
        </w:rPr>
        <w:t>8</w:t>
      </w:r>
      <w:r w:rsidR="0050285B">
        <w:rPr>
          <w:lang w:val="fr-CA"/>
        </w:rPr>
        <w:t> %</w:t>
      </w:r>
      <w:r w:rsidR="0080373B" w:rsidRPr="00B3274C">
        <w:rPr>
          <w:lang w:val="fr-CA"/>
        </w:rPr>
        <w:t>) et les plus faibles</w:t>
      </w:r>
      <w:r w:rsidR="0080611A">
        <w:rPr>
          <w:lang w:val="fr-CA"/>
        </w:rPr>
        <w:t>,</w:t>
      </w:r>
      <w:r w:rsidR="0080373B" w:rsidRPr="00B3274C">
        <w:rPr>
          <w:lang w:val="fr-CA"/>
        </w:rPr>
        <w:t xml:space="preserve"> dans la région du sud de l</w:t>
      </w:r>
      <w:r w:rsidR="0080611A">
        <w:rPr>
          <w:lang w:val="fr-CA"/>
        </w:rPr>
        <w:t>’</w:t>
      </w:r>
      <w:r w:rsidR="0080373B" w:rsidRPr="00B3274C">
        <w:rPr>
          <w:lang w:val="fr-CA"/>
        </w:rPr>
        <w:t>Égée (11</w:t>
      </w:r>
      <w:r w:rsidR="0080611A">
        <w:rPr>
          <w:lang w:val="fr-CA"/>
        </w:rPr>
        <w:t>,</w:t>
      </w:r>
      <w:r w:rsidR="0080373B" w:rsidRPr="00B3274C">
        <w:rPr>
          <w:lang w:val="fr-CA"/>
        </w:rPr>
        <w:t>9</w:t>
      </w:r>
      <w:r w:rsidR="0050285B">
        <w:rPr>
          <w:lang w:val="fr-CA"/>
        </w:rPr>
        <w:t> %</w:t>
      </w:r>
      <w:r w:rsidR="0080373B" w:rsidRPr="00B3274C">
        <w:rPr>
          <w:lang w:val="fr-CA"/>
        </w:rPr>
        <w:t>) et dans les îles ioniennes (13</w:t>
      </w:r>
      <w:r w:rsidR="0080611A">
        <w:rPr>
          <w:lang w:val="fr-CA"/>
        </w:rPr>
        <w:t>,</w:t>
      </w:r>
      <w:r w:rsidR="0080373B" w:rsidRPr="00B3274C">
        <w:rPr>
          <w:lang w:val="fr-CA"/>
        </w:rPr>
        <w:t>9</w:t>
      </w:r>
      <w:r w:rsidR="0050285B">
        <w:rPr>
          <w:lang w:val="fr-CA"/>
        </w:rPr>
        <w:t> %</w:t>
      </w:r>
      <w:r w:rsidR="0080373B" w:rsidRPr="00B3274C">
        <w:rPr>
          <w:lang w:val="fr-CA"/>
        </w:rPr>
        <w:t>). (Voir l</w:t>
      </w:r>
      <w:r w:rsidR="0080611A">
        <w:rPr>
          <w:lang w:val="fr-CA"/>
        </w:rPr>
        <w:t>’</w:t>
      </w:r>
      <w:r w:rsidR="0080373B" w:rsidRPr="00B3274C">
        <w:rPr>
          <w:lang w:val="fr-CA"/>
        </w:rPr>
        <w:t>annexe statistique pour l</w:t>
      </w:r>
      <w:r w:rsidR="0080611A">
        <w:rPr>
          <w:lang w:val="fr-CA"/>
        </w:rPr>
        <w:t>’</w:t>
      </w:r>
      <w:r w:rsidR="00597DC4">
        <w:rPr>
          <w:lang w:val="fr-CA"/>
        </w:rPr>
        <w:t>article </w:t>
      </w:r>
      <w:r w:rsidR="0080373B" w:rsidRPr="00B3274C">
        <w:rPr>
          <w:lang w:val="fr-CA"/>
        </w:rPr>
        <w:t>6 – Annexe 1</w:t>
      </w:r>
      <w:r w:rsidR="0080611A">
        <w:rPr>
          <w:lang w:val="fr-CA"/>
        </w:rPr>
        <w:t>,</w:t>
      </w:r>
      <w:r w:rsidR="0080373B" w:rsidRPr="00B3274C">
        <w:rPr>
          <w:lang w:val="fr-CA"/>
        </w:rPr>
        <w:t xml:space="preserve"> tableau </w:t>
      </w:r>
      <w:r w:rsidR="00FB23D3" w:rsidRPr="00B3274C">
        <w:rPr>
          <w:bCs/>
          <w:lang w:val="fr-CA"/>
        </w:rPr>
        <w:t>3E</w:t>
      </w:r>
      <w:r w:rsidR="00B6724B" w:rsidRPr="00B3274C">
        <w:rPr>
          <w:bCs/>
          <w:lang w:val="fr-CA"/>
        </w:rPr>
        <w:t xml:space="preserve"> et </w:t>
      </w:r>
      <w:r w:rsidR="00FB23D3" w:rsidRPr="00B3274C">
        <w:rPr>
          <w:bCs/>
          <w:lang w:val="fr-CA"/>
        </w:rPr>
        <w:t>3F).</w:t>
      </w:r>
      <w:r w:rsidR="00047D7A" w:rsidRPr="00B3274C">
        <w:rPr>
          <w:bCs/>
          <w:lang w:val="fr-CA"/>
        </w:rPr>
        <w:t xml:space="preserve"> </w:t>
      </w:r>
      <w:r w:rsidR="004950B3" w:rsidRPr="00B3274C">
        <w:rPr>
          <w:bCs/>
          <w:lang w:val="fr-CA"/>
        </w:rPr>
        <w:t>L</w:t>
      </w:r>
      <w:r w:rsidR="0080611A">
        <w:rPr>
          <w:bCs/>
          <w:lang w:val="fr-CA"/>
        </w:rPr>
        <w:t>’</w:t>
      </w:r>
      <w:r w:rsidR="004950B3" w:rsidRPr="00B3274C">
        <w:rPr>
          <w:bCs/>
          <w:lang w:val="fr-CA"/>
        </w:rPr>
        <w:t>importance des différences de taux de chômage et de taux d</w:t>
      </w:r>
      <w:r w:rsidR="0080611A">
        <w:rPr>
          <w:bCs/>
          <w:lang w:val="fr-CA"/>
        </w:rPr>
        <w:t>’</w:t>
      </w:r>
      <w:r w:rsidR="004950B3" w:rsidRPr="00B3274C">
        <w:rPr>
          <w:bCs/>
          <w:lang w:val="fr-CA"/>
        </w:rPr>
        <w:t xml:space="preserve">emploi entre les différentes régions du pays témoigne de la faible mobilité géographique des travailleurs. Celle-ci pourrait être attribuée: </w:t>
      </w:r>
      <w:r w:rsidR="003F42B4">
        <w:rPr>
          <w:bCs/>
          <w:lang w:val="fr-CA"/>
        </w:rPr>
        <w:t>a) </w:t>
      </w:r>
      <w:r w:rsidR="004950B3" w:rsidRPr="00B3274C">
        <w:rPr>
          <w:bCs/>
          <w:lang w:val="fr-CA"/>
        </w:rPr>
        <w:t xml:space="preserve">au nombre important </w:t>
      </w:r>
      <w:r w:rsidR="00614BAC">
        <w:rPr>
          <w:bCs/>
          <w:lang w:val="fr-CA"/>
        </w:rPr>
        <w:t>de personnes</w:t>
      </w:r>
      <w:r w:rsidR="004950B3" w:rsidRPr="00B3274C">
        <w:rPr>
          <w:bCs/>
          <w:lang w:val="fr-CA"/>
        </w:rPr>
        <w:t xml:space="preserve"> qui sont propriétaires de leur logement (plus de 80</w:t>
      </w:r>
      <w:r w:rsidR="0050285B">
        <w:rPr>
          <w:bCs/>
          <w:lang w:val="fr-CA"/>
        </w:rPr>
        <w:t> %</w:t>
      </w:r>
      <w:r w:rsidR="004950B3" w:rsidRPr="00B3274C">
        <w:rPr>
          <w:bCs/>
          <w:lang w:val="fr-CA"/>
        </w:rPr>
        <w:t>)</w:t>
      </w:r>
      <w:r w:rsidR="00EC5892" w:rsidRPr="00B3274C">
        <w:rPr>
          <w:bCs/>
          <w:lang w:val="fr-CA"/>
        </w:rPr>
        <w:t>;</w:t>
      </w:r>
      <w:r w:rsidR="004950B3" w:rsidRPr="00B3274C">
        <w:rPr>
          <w:bCs/>
          <w:lang w:val="fr-CA"/>
        </w:rPr>
        <w:t xml:space="preserve"> </w:t>
      </w:r>
      <w:r w:rsidR="003F42B4">
        <w:rPr>
          <w:bCs/>
          <w:lang w:val="fr-CA"/>
        </w:rPr>
        <w:t>b) </w:t>
      </w:r>
      <w:r w:rsidR="00D0013B" w:rsidRPr="00B3274C">
        <w:rPr>
          <w:bCs/>
          <w:lang w:val="fr-CA"/>
        </w:rPr>
        <w:t>au coût relativement élevé des transports</w:t>
      </w:r>
      <w:r w:rsidR="0080611A">
        <w:rPr>
          <w:bCs/>
          <w:lang w:val="fr-CA"/>
        </w:rPr>
        <w:t>,</w:t>
      </w:r>
      <w:r w:rsidR="00D0013B" w:rsidRPr="00B3274C">
        <w:rPr>
          <w:bCs/>
          <w:lang w:val="fr-CA"/>
        </w:rPr>
        <w:t xml:space="preserve"> qui ne permet pas aux travailleurs de faire des déplacements quotidiens entre leur domicile et leur lieu de travail et </w:t>
      </w:r>
      <w:r w:rsidR="003F42B4">
        <w:rPr>
          <w:bCs/>
          <w:lang w:val="fr-CA"/>
        </w:rPr>
        <w:t>c) </w:t>
      </w:r>
      <w:r w:rsidR="00D0013B" w:rsidRPr="00B3274C">
        <w:rPr>
          <w:bCs/>
          <w:lang w:val="fr-CA"/>
        </w:rPr>
        <w:t>des considérations d</w:t>
      </w:r>
      <w:r w:rsidR="0080611A">
        <w:rPr>
          <w:bCs/>
          <w:lang w:val="fr-CA"/>
        </w:rPr>
        <w:t>’</w:t>
      </w:r>
      <w:r w:rsidR="00D0013B" w:rsidRPr="00B3274C">
        <w:rPr>
          <w:bCs/>
          <w:lang w:val="fr-CA"/>
        </w:rPr>
        <w:t>ordre culturel.</w:t>
      </w:r>
      <w:r w:rsidR="00F910D0" w:rsidRPr="00B3274C">
        <w:rPr>
          <w:bCs/>
          <w:lang w:val="fr-CA"/>
        </w:rPr>
        <w:t xml:space="preserve"> Une évaluation régionale des besoins du marché du travail est prévue dans le </w:t>
      </w:r>
      <w:r w:rsidR="003B10FC" w:rsidRPr="00B3274C">
        <w:rPr>
          <w:bCs/>
          <w:lang w:val="fr-CA"/>
        </w:rPr>
        <w:t xml:space="preserve">Programme opérationnel </w:t>
      </w:r>
      <w:r w:rsidR="00F910D0" w:rsidRPr="00B3274C">
        <w:rPr>
          <w:bCs/>
          <w:lang w:val="fr-CA"/>
        </w:rPr>
        <w:t>«Développement des ressources humaines</w:t>
      </w:r>
      <w:r w:rsidR="0055418C" w:rsidRPr="00B3274C">
        <w:rPr>
          <w:bCs/>
          <w:lang w:val="fr-CA"/>
        </w:rPr>
        <w:t>»</w:t>
      </w:r>
      <w:r w:rsidR="00F910D0" w:rsidRPr="00B3274C">
        <w:rPr>
          <w:bCs/>
          <w:lang w:val="fr-CA"/>
        </w:rPr>
        <w:t xml:space="preserve"> </w:t>
      </w:r>
      <w:r w:rsidR="002272C6" w:rsidRPr="00B3274C">
        <w:rPr>
          <w:bCs/>
          <w:lang w:val="fr-CA"/>
        </w:rPr>
        <w:t xml:space="preserve">pour </w:t>
      </w:r>
      <w:r w:rsidR="00F910D0" w:rsidRPr="00B3274C">
        <w:rPr>
          <w:bCs/>
          <w:lang w:val="fr-CA"/>
        </w:rPr>
        <w:t>2007</w:t>
      </w:r>
      <w:r w:rsidR="004268D5">
        <w:rPr>
          <w:bCs/>
          <w:lang w:val="fr-CA"/>
        </w:rPr>
        <w:t>-</w:t>
      </w:r>
      <w:r w:rsidR="00F910D0" w:rsidRPr="00B3274C">
        <w:rPr>
          <w:bCs/>
          <w:lang w:val="fr-CA"/>
        </w:rPr>
        <w:t xml:space="preserve">2013 en vue de combler les disparités régionales. </w:t>
      </w:r>
    </w:p>
    <w:p w:rsidR="00FB23D3" w:rsidRPr="00B3274C" w:rsidRDefault="00107A47" w:rsidP="00107A47">
      <w:pPr>
        <w:pStyle w:val="SingleTxtG"/>
        <w:rPr>
          <w:lang w:val="fr-CA"/>
        </w:rPr>
      </w:pPr>
      <w:r w:rsidRPr="00B3274C">
        <w:rPr>
          <w:lang w:val="fr-CA"/>
        </w:rPr>
        <w:t>55.</w:t>
      </w:r>
      <w:r w:rsidRPr="00B3274C">
        <w:rPr>
          <w:lang w:val="fr-CA"/>
        </w:rPr>
        <w:tab/>
      </w:r>
      <w:r w:rsidR="004F266F" w:rsidRPr="00B3274C">
        <w:rPr>
          <w:lang w:val="fr-CA"/>
        </w:rPr>
        <w:t xml:space="preserve">Il existe une </w:t>
      </w:r>
      <w:r w:rsidR="000C0E13" w:rsidRPr="00B3274C">
        <w:rPr>
          <w:lang w:val="fr-CA"/>
        </w:rPr>
        <w:t>catégorie très importante de mesures parmi celles qui ont été prises par le Ministère du travail</w:t>
      </w:r>
      <w:r w:rsidR="0080611A">
        <w:rPr>
          <w:lang w:val="fr-CA"/>
        </w:rPr>
        <w:t>,</w:t>
      </w:r>
      <w:r w:rsidR="000C0E13" w:rsidRPr="00B3274C">
        <w:rPr>
          <w:lang w:val="fr-CA"/>
        </w:rPr>
        <w:t xml:space="preserve"> de la sécurité sociale </w:t>
      </w:r>
      <w:r w:rsidR="004F266F" w:rsidRPr="00B3274C">
        <w:rPr>
          <w:lang w:val="fr-CA"/>
        </w:rPr>
        <w:t>et des programmes opérationnels régionaux</w:t>
      </w:r>
      <w:r w:rsidR="0080611A">
        <w:rPr>
          <w:lang w:val="fr-CA"/>
        </w:rPr>
        <w:t>,</w:t>
      </w:r>
      <w:r w:rsidR="004F266F" w:rsidRPr="00B3274C">
        <w:rPr>
          <w:lang w:val="fr-CA"/>
        </w:rPr>
        <w:t xml:space="preserve"> celle des Programmes spéciaux d</w:t>
      </w:r>
      <w:r w:rsidR="0080611A">
        <w:rPr>
          <w:lang w:val="fr-CA"/>
        </w:rPr>
        <w:t>’</w:t>
      </w:r>
      <w:r w:rsidR="004F266F" w:rsidRPr="00B3274C">
        <w:rPr>
          <w:lang w:val="fr-CA"/>
        </w:rPr>
        <w:t>intervention intégrés mis en œuvre dans les préfectures du pays particulièrement touchées par le chômage qui prévoient l</w:t>
      </w:r>
      <w:r w:rsidR="0080611A">
        <w:rPr>
          <w:lang w:val="fr-CA"/>
        </w:rPr>
        <w:t>’</w:t>
      </w:r>
      <w:r w:rsidR="004F266F" w:rsidRPr="00B3274C">
        <w:rPr>
          <w:lang w:val="fr-CA"/>
        </w:rPr>
        <w:t>organisation d</w:t>
      </w:r>
      <w:r w:rsidR="0080611A">
        <w:rPr>
          <w:lang w:val="fr-CA"/>
        </w:rPr>
        <w:t>’</w:t>
      </w:r>
      <w:r w:rsidR="004F266F" w:rsidRPr="00B3274C">
        <w:rPr>
          <w:lang w:val="fr-CA"/>
        </w:rPr>
        <w:t>actions conjointes par des services de conseil</w:t>
      </w:r>
      <w:r w:rsidR="0080611A">
        <w:rPr>
          <w:lang w:val="fr-CA"/>
        </w:rPr>
        <w:t>,</w:t>
      </w:r>
      <w:r w:rsidR="004F266F" w:rsidRPr="00B3274C">
        <w:rPr>
          <w:lang w:val="fr-CA"/>
        </w:rPr>
        <w:t xml:space="preserve"> des formations</w:t>
      </w:r>
      <w:r w:rsidR="0080611A">
        <w:rPr>
          <w:lang w:val="fr-CA"/>
        </w:rPr>
        <w:t>,</w:t>
      </w:r>
      <w:r w:rsidR="004F266F" w:rsidRPr="00B3274C">
        <w:rPr>
          <w:lang w:val="fr-CA"/>
        </w:rPr>
        <w:t xml:space="preserve"> la hausse des subventions versées aux entreprises pour la création de nouveaux emplois et le versement</w:t>
      </w:r>
      <w:r w:rsidR="005A637F" w:rsidRPr="00B3274C">
        <w:rPr>
          <w:lang w:val="fr-CA"/>
        </w:rPr>
        <w:t xml:space="preserve"> de subventions </w:t>
      </w:r>
      <w:r w:rsidR="004F266F" w:rsidRPr="00B3274C">
        <w:rPr>
          <w:lang w:val="fr-CA"/>
        </w:rPr>
        <w:t>aux chômeurs pour les aider à créer leur propre entreprise</w:t>
      </w:r>
      <w:r w:rsidR="005A637F" w:rsidRPr="00B3274C">
        <w:rPr>
          <w:lang w:val="fr-CA"/>
        </w:rPr>
        <w:t>.</w:t>
      </w:r>
      <w:r w:rsidR="004F266F" w:rsidRPr="00B3274C">
        <w:rPr>
          <w:lang w:val="fr-CA"/>
        </w:rPr>
        <w:t xml:space="preserve"> </w:t>
      </w:r>
    </w:p>
    <w:p w:rsidR="00FB23D3" w:rsidRPr="00B3274C" w:rsidRDefault="00107A47" w:rsidP="00107A47">
      <w:pPr>
        <w:pStyle w:val="SingleTxtG"/>
        <w:rPr>
          <w:lang w:val="fr-CA"/>
        </w:rPr>
      </w:pPr>
      <w:r w:rsidRPr="00B3274C">
        <w:rPr>
          <w:lang w:val="fr-CA"/>
        </w:rPr>
        <w:t>56.</w:t>
      </w:r>
      <w:r w:rsidRPr="00B3274C">
        <w:rPr>
          <w:lang w:val="fr-CA"/>
        </w:rPr>
        <w:tab/>
      </w:r>
      <w:r w:rsidR="004861DB" w:rsidRPr="00B3274C">
        <w:rPr>
          <w:lang w:val="fr-CA"/>
        </w:rPr>
        <w:t>Dans ce cadre</w:t>
      </w:r>
      <w:r w:rsidR="0080611A">
        <w:rPr>
          <w:lang w:val="fr-CA"/>
        </w:rPr>
        <w:t>,</w:t>
      </w:r>
      <w:r w:rsidR="004861DB" w:rsidRPr="00B3274C">
        <w:rPr>
          <w:lang w:val="fr-CA"/>
        </w:rPr>
        <w:t xml:space="preserve"> des programmes de réembauche de chômeurs dans l</w:t>
      </w:r>
      <w:r w:rsidR="0080611A">
        <w:rPr>
          <w:lang w:val="fr-CA"/>
        </w:rPr>
        <w:t>’</w:t>
      </w:r>
      <w:r w:rsidR="004861DB" w:rsidRPr="00B3274C">
        <w:rPr>
          <w:lang w:val="fr-CA"/>
        </w:rPr>
        <w:t>industrie hôtelière</w:t>
      </w:r>
      <w:r w:rsidR="0080611A">
        <w:rPr>
          <w:lang w:val="fr-CA"/>
        </w:rPr>
        <w:t>,</w:t>
      </w:r>
      <w:r w:rsidR="004861DB" w:rsidRPr="00B3274C">
        <w:rPr>
          <w:lang w:val="fr-CA"/>
        </w:rPr>
        <w:t xml:space="preserve"> saisonnière ou non</w:t>
      </w:r>
      <w:r w:rsidR="0080611A">
        <w:rPr>
          <w:lang w:val="fr-CA"/>
        </w:rPr>
        <w:t>,</w:t>
      </w:r>
      <w:r w:rsidR="004861DB" w:rsidRPr="00B3274C">
        <w:rPr>
          <w:lang w:val="fr-CA"/>
        </w:rPr>
        <w:t xml:space="preserve"> </w:t>
      </w:r>
      <w:r w:rsidR="002F4621" w:rsidRPr="00B3274C">
        <w:rPr>
          <w:lang w:val="fr-CA"/>
        </w:rPr>
        <w:t>grâce à</w:t>
      </w:r>
      <w:r w:rsidR="004861DB" w:rsidRPr="00B3274C">
        <w:rPr>
          <w:lang w:val="fr-CA"/>
        </w:rPr>
        <w:t xml:space="preserve"> l</w:t>
      </w:r>
      <w:r w:rsidR="0080611A">
        <w:rPr>
          <w:lang w:val="fr-CA"/>
        </w:rPr>
        <w:t>’</w:t>
      </w:r>
      <w:r w:rsidR="004861DB" w:rsidRPr="00B3274C">
        <w:rPr>
          <w:lang w:val="fr-CA"/>
        </w:rPr>
        <w:t>octroi de subventions au titre des assurances sociales</w:t>
      </w:r>
      <w:r w:rsidR="0080611A">
        <w:rPr>
          <w:lang w:val="fr-CA"/>
        </w:rPr>
        <w:t>,</w:t>
      </w:r>
      <w:r w:rsidR="004861DB" w:rsidRPr="00B3274C">
        <w:rPr>
          <w:lang w:val="fr-CA"/>
        </w:rPr>
        <w:t xml:space="preserve"> ont été conçus. Le budget total de ces programmes s</w:t>
      </w:r>
      <w:r w:rsidR="0080611A">
        <w:rPr>
          <w:lang w:val="fr-CA"/>
        </w:rPr>
        <w:t>’</w:t>
      </w:r>
      <w:r w:rsidR="004861DB" w:rsidRPr="00B3274C">
        <w:rPr>
          <w:lang w:val="fr-CA"/>
        </w:rPr>
        <w:t>élève à 95</w:t>
      </w:r>
      <w:r w:rsidR="00B53F6A">
        <w:rPr>
          <w:lang w:val="fr-CA"/>
        </w:rPr>
        <w:t> millions</w:t>
      </w:r>
      <w:r w:rsidR="004861DB" w:rsidRPr="00B3274C">
        <w:rPr>
          <w:lang w:val="fr-CA"/>
        </w:rPr>
        <w:t xml:space="preserve"> d</w:t>
      </w:r>
      <w:r w:rsidR="0080611A">
        <w:rPr>
          <w:lang w:val="fr-CA"/>
        </w:rPr>
        <w:t>’</w:t>
      </w:r>
      <w:r w:rsidR="004861DB" w:rsidRPr="00B3274C">
        <w:rPr>
          <w:lang w:val="fr-CA"/>
        </w:rPr>
        <w:t>euros</w:t>
      </w:r>
      <w:r w:rsidR="002F4621" w:rsidRPr="00B3274C">
        <w:rPr>
          <w:lang w:val="fr-CA"/>
        </w:rPr>
        <w:t xml:space="preserve"> et l</w:t>
      </w:r>
      <w:r w:rsidR="0080611A">
        <w:rPr>
          <w:lang w:val="fr-CA"/>
        </w:rPr>
        <w:t>’</w:t>
      </w:r>
      <w:r w:rsidR="002F4621" w:rsidRPr="00B3274C">
        <w:rPr>
          <w:lang w:val="fr-CA"/>
        </w:rPr>
        <w:t xml:space="preserve">on estime </w:t>
      </w:r>
      <w:r w:rsidR="004861DB" w:rsidRPr="00B3274C">
        <w:rPr>
          <w:lang w:val="fr-CA"/>
        </w:rPr>
        <w:t>que 120 000</w:t>
      </w:r>
      <w:r w:rsidR="00614BAC">
        <w:rPr>
          <w:lang w:val="fr-CA"/>
        </w:rPr>
        <w:t> personnes</w:t>
      </w:r>
      <w:r w:rsidR="004861DB" w:rsidRPr="00B3274C">
        <w:rPr>
          <w:lang w:val="fr-CA"/>
        </w:rPr>
        <w:t xml:space="preserve"> environ </w:t>
      </w:r>
      <w:r w:rsidR="002F4621" w:rsidRPr="00B3274C">
        <w:rPr>
          <w:lang w:val="fr-CA"/>
        </w:rPr>
        <w:t xml:space="preserve">en bénéficieront. </w:t>
      </w:r>
    </w:p>
    <w:p w:rsidR="00FB23D3" w:rsidRPr="00B3274C" w:rsidRDefault="000213C1" w:rsidP="003226B3">
      <w:pPr>
        <w:pStyle w:val="H23G"/>
        <w:rPr>
          <w:lang w:val="fr-CA"/>
        </w:rPr>
      </w:pPr>
      <w:r w:rsidRPr="00B3274C">
        <w:rPr>
          <w:lang w:val="fr-CA"/>
        </w:rPr>
        <w:tab/>
      </w:r>
      <w:r w:rsidR="000F7535" w:rsidRPr="00B3274C">
        <w:rPr>
          <w:lang w:val="fr-CA"/>
        </w:rPr>
        <w:t>3.</w:t>
      </w:r>
      <w:r w:rsidRPr="00B3274C">
        <w:rPr>
          <w:lang w:val="fr-CA"/>
        </w:rPr>
        <w:tab/>
      </w:r>
      <w:r w:rsidR="00307E1E" w:rsidRPr="00B3274C">
        <w:rPr>
          <w:lang w:val="fr-CA"/>
        </w:rPr>
        <w:t>Politique de l</w:t>
      </w:r>
      <w:r w:rsidR="0080611A">
        <w:rPr>
          <w:lang w:val="fr-CA"/>
        </w:rPr>
        <w:t>’</w:t>
      </w:r>
      <w:r w:rsidR="00307E1E" w:rsidRPr="00B3274C">
        <w:rPr>
          <w:lang w:val="fr-CA"/>
        </w:rPr>
        <w:t>emploi à l</w:t>
      </w:r>
      <w:r w:rsidR="0080611A">
        <w:rPr>
          <w:lang w:val="fr-CA"/>
        </w:rPr>
        <w:t>’</w:t>
      </w:r>
      <w:r w:rsidR="00307E1E" w:rsidRPr="00B3274C">
        <w:rPr>
          <w:lang w:val="fr-CA"/>
        </w:rPr>
        <w:t xml:space="preserve">égard des femmes et des jeunes </w:t>
      </w:r>
    </w:p>
    <w:p w:rsidR="00FB23D3" w:rsidRPr="00B3274C" w:rsidRDefault="00107A47" w:rsidP="004268D5">
      <w:pPr>
        <w:pStyle w:val="SingleTxtG"/>
        <w:keepNext/>
        <w:rPr>
          <w:szCs w:val="25"/>
          <w:lang w:val="fr-CA"/>
        </w:rPr>
      </w:pPr>
      <w:r w:rsidRPr="00B3274C">
        <w:rPr>
          <w:lang w:val="fr-CA"/>
        </w:rPr>
        <w:t>57.</w:t>
      </w:r>
      <w:r w:rsidRPr="00B3274C">
        <w:rPr>
          <w:lang w:val="fr-CA"/>
        </w:rPr>
        <w:tab/>
      </w:r>
      <w:r w:rsidR="00307E1E" w:rsidRPr="00B3274C">
        <w:rPr>
          <w:lang w:val="fr-CA"/>
        </w:rPr>
        <w:t>L</w:t>
      </w:r>
      <w:r w:rsidR="0080611A">
        <w:rPr>
          <w:lang w:val="fr-CA"/>
        </w:rPr>
        <w:t>’</w:t>
      </w:r>
      <w:r w:rsidR="00307E1E" w:rsidRPr="00B3274C">
        <w:rPr>
          <w:lang w:val="fr-CA"/>
        </w:rPr>
        <w:t>analyse du chôma</w:t>
      </w:r>
      <w:r w:rsidR="00B81FDA" w:rsidRPr="00B3274C">
        <w:rPr>
          <w:lang w:val="fr-CA"/>
        </w:rPr>
        <w:t>ge par sexe et par groupe d</w:t>
      </w:r>
      <w:r w:rsidR="0080611A">
        <w:rPr>
          <w:lang w:val="fr-CA"/>
        </w:rPr>
        <w:t>’</w:t>
      </w:r>
      <w:r w:rsidR="00B81FDA" w:rsidRPr="00B3274C">
        <w:rPr>
          <w:lang w:val="fr-CA"/>
        </w:rPr>
        <w:t>âge</w:t>
      </w:r>
      <w:r w:rsidR="00307E1E" w:rsidRPr="00B3274C">
        <w:rPr>
          <w:lang w:val="fr-CA"/>
        </w:rPr>
        <w:t xml:space="preserve"> confirme que </w:t>
      </w:r>
      <w:r w:rsidR="002D0953" w:rsidRPr="00B3274C">
        <w:rPr>
          <w:lang w:val="fr-CA"/>
        </w:rPr>
        <w:t>ce sont les femmes et les jeunes qui sont le</w:t>
      </w:r>
      <w:r w:rsidR="00B81FDA" w:rsidRPr="00B3274C">
        <w:rPr>
          <w:lang w:val="fr-CA"/>
        </w:rPr>
        <w:t>s</w:t>
      </w:r>
      <w:r w:rsidR="002D0953" w:rsidRPr="00B3274C">
        <w:rPr>
          <w:lang w:val="fr-CA"/>
        </w:rPr>
        <w:t xml:space="preserve"> plus touché</w:t>
      </w:r>
      <w:r w:rsidR="00B81FDA" w:rsidRPr="00B3274C">
        <w:rPr>
          <w:lang w:val="fr-CA"/>
        </w:rPr>
        <w:t>s</w:t>
      </w:r>
      <w:r w:rsidR="002D0953" w:rsidRPr="00B3274C">
        <w:rPr>
          <w:lang w:val="fr-CA"/>
        </w:rPr>
        <w:t xml:space="preserve"> par le chômage. En ce qui concerne la politique en matière d</w:t>
      </w:r>
      <w:r w:rsidR="0080611A">
        <w:rPr>
          <w:lang w:val="fr-CA"/>
        </w:rPr>
        <w:t>’</w:t>
      </w:r>
      <w:r w:rsidR="002D0953" w:rsidRPr="00B3274C">
        <w:rPr>
          <w:lang w:val="fr-CA"/>
        </w:rPr>
        <w:t>emploi appliquée à leur égard</w:t>
      </w:r>
      <w:r w:rsidR="0080611A">
        <w:rPr>
          <w:lang w:val="fr-CA"/>
        </w:rPr>
        <w:t>,</w:t>
      </w:r>
      <w:r w:rsidR="002D0953" w:rsidRPr="00B3274C">
        <w:rPr>
          <w:lang w:val="fr-CA"/>
        </w:rPr>
        <w:t xml:space="preserve"> il convient de souligner ce qui suit</w:t>
      </w:r>
      <w:r w:rsidR="00FB23D3" w:rsidRPr="00B3274C">
        <w:rPr>
          <w:szCs w:val="25"/>
          <w:lang w:val="fr-CA"/>
        </w:rPr>
        <w:t>:</w:t>
      </w:r>
    </w:p>
    <w:p w:rsidR="00FB23D3" w:rsidRPr="00B3274C" w:rsidRDefault="000213C1" w:rsidP="000F7535">
      <w:pPr>
        <w:pStyle w:val="H23G"/>
        <w:rPr>
          <w:lang w:val="fr-CA"/>
        </w:rPr>
      </w:pPr>
      <w:r w:rsidRPr="00B3274C">
        <w:rPr>
          <w:lang w:val="fr-CA"/>
        </w:rPr>
        <w:tab/>
      </w:r>
      <w:r w:rsidR="000F7535" w:rsidRPr="00B3274C">
        <w:rPr>
          <w:lang w:val="fr-CA"/>
        </w:rPr>
        <w:t>a</w:t>
      </w:r>
      <w:r w:rsidR="003226B3" w:rsidRPr="00B3274C">
        <w:rPr>
          <w:lang w:val="fr-CA"/>
        </w:rPr>
        <w:t>)</w:t>
      </w:r>
      <w:r w:rsidRPr="00B3274C">
        <w:rPr>
          <w:lang w:val="fr-CA"/>
        </w:rPr>
        <w:tab/>
      </w:r>
      <w:r w:rsidR="0089108E" w:rsidRPr="00B3274C">
        <w:rPr>
          <w:lang w:val="fr-CA"/>
        </w:rPr>
        <w:t>Mesures visant à assurer l</w:t>
      </w:r>
      <w:r w:rsidR="0080611A">
        <w:rPr>
          <w:lang w:val="fr-CA"/>
        </w:rPr>
        <w:t>’</w:t>
      </w:r>
      <w:r w:rsidR="0089108E" w:rsidRPr="00B3274C">
        <w:rPr>
          <w:lang w:val="fr-CA"/>
        </w:rPr>
        <w:t>égalité des chances ou de traitement dans l</w:t>
      </w:r>
      <w:r w:rsidR="0080611A">
        <w:rPr>
          <w:lang w:val="fr-CA"/>
        </w:rPr>
        <w:t>’</w:t>
      </w:r>
      <w:r w:rsidR="0089108E" w:rsidRPr="00B3274C">
        <w:rPr>
          <w:lang w:val="fr-CA"/>
        </w:rPr>
        <w:t xml:space="preserve">emploi ou la profession </w:t>
      </w:r>
    </w:p>
    <w:p w:rsidR="00FB23D3" w:rsidRPr="00195AA4" w:rsidRDefault="00107A47" w:rsidP="00107A47">
      <w:pPr>
        <w:pStyle w:val="SingleTxtG"/>
        <w:rPr>
          <w:lang w:val="fr-CA"/>
        </w:rPr>
      </w:pPr>
      <w:r w:rsidRPr="00B3274C">
        <w:rPr>
          <w:lang w:val="fr-CA"/>
        </w:rPr>
        <w:t>58.</w:t>
      </w:r>
      <w:r w:rsidRPr="00B3274C">
        <w:rPr>
          <w:lang w:val="fr-CA"/>
        </w:rPr>
        <w:tab/>
      </w:r>
      <w:r w:rsidR="00770C40" w:rsidRPr="00B3274C">
        <w:rPr>
          <w:lang w:val="fr-CA"/>
        </w:rPr>
        <w:t>Pour résoudre les problèmes du chômage des femmes et réduire la discrimination à leur égard sur le marché du travail</w:t>
      </w:r>
      <w:r w:rsidR="0080611A">
        <w:rPr>
          <w:lang w:val="fr-CA"/>
        </w:rPr>
        <w:t>,</w:t>
      </w:r>
      <w:r w:rsidR="00770C40" w:rsidRPr="00B3274C">
        <w:rPr>
          <w:lang w:val="fr-CA"/>
        </w:rPr>
        <w:t xml:space="preserve"> des mesures intersectorielles ainsi que des programmes spéciaux visant à renforcer l</w:t>
      </w:r>
      <w:r w:rsidR="0080611A">
        <w:rPr>
          <w:lang w:val="fr-CA"/>
        </w:rPr>
        <w:t>’</w:t>
      </w:r>
      <w:r w:rsidR="00770C40" w:rsidRPr="00B3274C">
        <w:rPr>
          <w:lang w:val="fr-CA"/>
        </w:rPr>
        <w:t>accès effectif des femmes au marché du travail et à éliminer l</w:t>
      </w:r>
      <w:r w:rsidR="0080611A">
        <w:rPr>
          <w:lang w:val="fr-CA"/>
        </w:rPr>
        <w:t>’</w:t>
      </w:r>
      <w:r w:rsidR="00770C40" w:rsidRPr="00B3274C">
        <w:rPr>
          <w:lang w:val="fr-CA"/>
        </w:rPr>
        <w:t xml:space="preserve">exclusion sociale ont été adoptés. Dans le cadre du Plan </w:t>
      </w:r>
      <w:r w:rsidR="00630379" w:rsidRPr="00B3274C">
        <w:rPr>
          <w:lang w:val="fr-CA"/>
        </w:rPr>
        <w:t>national d</w:t>
      </w:r>
      <w:r w:rsidR="0080611A">
        <w:rPr>
          <w:lang w:val="fr-CA"/>
        </w:rPr>
        <w:t>’</w:t>
      </w:r>
      <w:r w:rsidR="00630379" w:rsidRPr="00B3274C">
        <w:rPr>
          <w:lang w:val="fr-CA"/>
        </w:rPr>
        <w:t>action pour une égalité réelle entre hommes et femmes</w:t>
      </w:r>
      <w:r w:rsidR="0080611A">
        <w:rPr>
          <w:lang w:val="fr-CA"/>
        </w:rPr>
        <w:t>,</w:t>
      </w:r>
      <w:r w:rsidR="00630379" w:rsidRPr="00B3274C">
        <w:rPr>
          <w:lang w:val="fr-CA"/>
        </w:rPr>
        <w:t xml:space="preserve"> établi pour la période 2010</w:t>
      </w:r>
      <w:r w:rsidR="004268D5">
        <w:rPr>
          <w:lang w:val="fr-CA"/>
        </w:rPr>
        <w:t>-</w:t>
      </w:r>
      <w:r w:rsidR="00630379" w:rsidRPr="00B3274C">
        <w:rPr>
          <w:lang w:val="fr-CA"/>
        </w:rPr>
        <w:t xml:space="preserve">2013 par le Secrétariat général </w:t>
      </w:r>
      <w:r w:rsidR="00843BEC" w:rsidRPr="00B3274C">
        <w:rPr>
          <w:lang w:val="fr-CA"/>
        </w:rPr>
        <w:t>à</w:t>
      </w:r>
      <w:r w:rsidR="00630379" w:rsidRPr="00B3274C">
        <w:rPr>
          <w:lang w:val="fr-CA"/>
        </w:rPr>
        <w:t xml:space="preserve"> l</w:t>
      </w:r>
      <w:r w:rsidR="0080611A">
        <w:rPr>
          <w:lang w:val="fr-CA"/>
        </w:rPr>
        <w:t>’</w:t>
      </w:r>
      <w:r w:rsidR="00630379" w:rsidRPr="00B3274C">
        <w:rPr>
          <w:lang w:val="fr-CA"/>
        </w:rPr>
        <w:t>égalité des sexes</w:t>
      </w:r>
      <w:r w:rsidR="0080611A">
        <w:rPr>
          <w:lang w:val="fr-CA"/>
        </w:rPr>
        <w:t>,</w:t>
      </w:r>
      <w:r w:rsidR="00630379" w:rsidRPr="00B3274C">
        <w:rPr>
          <w:lang w:val="fr-CA"/>
        </w:rPr>
        <w:t xml:space="preserve"> </w:t>
      </w:r>
      <w:r w:rsidR="002F2158" w:rsidRPr="00B3274C">
        <w:rPr>
          <w:lang w:val="fr-CA"/>
        </w:rPr>
        <w:t>les services des centres consultatifs aideront les femmes au chômage ou travaillant à leur compte ainsi que celles qui sont à la tête d</w:t>
      </w:r>
      <w:r w:rsidR="0080611A">
        <w:rPr>
          <w:lang w:val="fr-CA"/>
        </w:rPr>
        <w:t>’</w:t>
      </w:r>
      <w:r w:rsidR="002F2158" w:rsidRPr="00B3274C">
        <w:rPr>
          <w:lang w:val="fr-CA"/>
        </w:rPr>
        <w:t xml:space="preserve">une petite entreprise à développer leurs connaissances et leurs compétences pour améliorer leur position sur le marché du travail. </w:t>
      </w:r>
    </w:p>
    <w:p w:rsidR="00FB23D3" w:rsidRPr="00B3274C" w:rsidRDefault="00107A47" w:rsidP="00107A47">
      <w:pPr>
        <w:pStyle w:val="SingleTxtG"/>
        <w:rPr>
          <w:szCs w:val="22"/>
          <w:lang w:val="fr-CA"/>
        </w:rPr>
      </w:pPr>
      <w:r w:rsidRPr="00B3274C">
        <w:rPr>
          <w:lang w:val="fr-CA"/>
        </w:rPr>
        <w:t>59.</w:t>
      </w:r>
      <w:r w:rsidRPr="00B3274C">
        <w:rPr>
          <w:lang w:val="fr-CA"/>
        </w:rPr>
        <w:tab/>
      </w:r>
      <w:r w:rsidR="002F2158" w:rsidRPr="00B3274C">
        <w:rPr>
          <w:lang w:val="fr-CA"/>
        </w:rPr>
        <w:t>Par ailleurs</w:t>
      </w:r>
      <w:r w:rsidR="0080611A">
        <w:rPr>
          <w:lang w:val="fr-CA"/>
        </w:rPr>
        <w:t>,</w:t>
      </w:r>
      <w:r w:rsidR="002F2158" w:rsidRPr="00B3274C">
        <w:rPr>
          <w:lang w:val="fr-CA"/>
        </w:rPr>
        <w:t xml:space="preserve"> le Programme opérationnel </w:t>
      </w:r>
      <w:r w:rsidR="0055418C" w:rsidRPr="00B3274C">
        <w:rPr>
          <w:lang w:val="fr-CA"/>
        </w:rPr>
        <w:t>«</w:t>
      </w:r>
      <w:r w:rsidR="00FD4BDF" w:rsidRPr="00B3274C">
        <w:rPr>
          <w:lang w:val="fr-CA"/>
        </w:rPr>
        <w:t>Réforme administrative 2007</w:t>
      </w:r>
      <w:r w:rsidR="004268D5">
        <w:rPr>
          <w:lang w:val="fr-CA"/>
        </w:rPr>
        <w:t>-</w:t>
      </w:r>
      <w:r w:rsidR="00FD4BDF" w:rsidRPr="00B3274C">
        <w:rPr>
          <w:lang w:val="fr-CA"/>
        </w:rPr>
        <w:t>2013</w:t>
      </w:r>
      <w:r w:rsidR="0055418C" w:rsidRPr="00B3274C">
        <w:rPr>
          <w:lang w:val="fr-CA"/>
        </w:rPr>
        <w:t>»</w:t>
      </w:r>
      <w:r w:rsidR="0080611A">
        <w:rPr>
          <w:lang w:val="fr-CA"/>
        </w:rPr>
        <w:t>,</w:t>
      </w:r>
      <w:r w:rsidR="00FD4BDF" w:rsidRPr="00B3274C">
        <w:rPr>
          <w:lang w:val="fr-CA"/>
        </w:rPr>
        <w:t xml:space="preserve"> qui fait partie du </w:t>
      </w:r>
      <w:r w:rsidR="002F2158" w:rsidRPr="00B3274C">
        <w:rPr>
          <w:szCs w:val="22"/>
          <w:lang w:val="fr-CA"/>
        </w:rPr>
        <w:t>Cadre national de référence stratégique</w:t>
      </w:r>
      <w:r w:rsidR="0080611A">
        <w:rPr>
          <w:szCs w:val="22"/>
          <w:lang w:val="fr-CA"/>
        </w:rPr>
        <w:t>,</w:t>
      </w:r>
      <w:r w:rsidR="00FD4BDF" w:rsidRPr="00B3274C">
        <w:rPr>
          <w:szCs w:val="22"/>
          <w:lang w:val="fr-CA"/>
        </w:rPr>
        <w:t xml:space="preserve"> prévoit </w:t>
      </w:r>
      <w:r w:rsidR="0055418C" w:rsidRPr="00B3274C">
        <w:rPr>
          <w:szCs w:val="22"/>
          <w:lang w:val="fr-CA"/>
        </w:rPr>
        <w:t>«</w:t>
      </w:r>
      <w:r w:rsidR="00FD4BDF" w:rsidRPr="00B3274C">
        <w:rPr>
          <w:szCs w:val="22"/>
          <w:lang w:val="fr-CA"/>
        </w:rPr>
        <w:t>d</w:t>
      </w:r>
      <w:r w:rsidR="0080611A">
        <w:rPr>
          <w:szCs w:val="22"/>
          <w:lang w:val="fr-CA"/>
        </w:rPr>
        <w:t>’</w:t>
      </w:r>
      <w:r w:rsidR="00FD4BDF" w:rsidRPr="00B3274C">
        <w:rPr>
          <w:szCs w:val="22"/>
          <w:lang w:val="fr-CA"/>
        </w:rPr>
        <w:t>accroître l</w:t>
      </w:r>
      <w:r w:rsidR="0080611A">
        <w:rPr>
          <w:szCs w:val="22"/>
          <w:lang w:val="fr-CA"/>
        </w:rPr>
        <w:t>’</w:t>
      </w:r>
      <w:r w:rsidR="00FD4BDF" w:rsidRPr="00B3274C">
        <w:rPr>
          <w:szCs w:val="22"/>
          <w:lang w:val="fr-CA"/>
        </w:rPr>
        <w:t>emploi des femmes dans le secteur public et dans le secteur social</w:t>
      </w:r>
      <w:r w:rsidR="0055418C" w:rsidRPr="00B3274C">
        <w:rPr>
          <w:szCs w:val="22"/>
          <w:lang w:val="fr-CA"/>
        </w:rPr>
        <w:t>»</w:t>
      </w:r>
      <w:r w:rsidR="00FD4BDF" w:rsidRPr="00B3274C">
        <w:rPr>
          <w:szCs w:val="22"/>
          <w:lang w:val="fr-CA"/>
        </w:rPr>
        <w:t>. Le programme vise à donner davantage de possibilités aux femmes d</w:t>
      </w:r>
      <w:r w:rsidR="0080611A">
        <w:rPr>
          <w:szCs w:val="22"/>
          <w:lang w:val="fr-CA"/>
        </w:rPr>
        <w:t>’</w:t>
      </w:r>
      <w:r w:rsidR="00FD4BDF" w:rsidRPr="00B3274C">
        <w:rPr>
          <w:szCs w:val="22"/>
          <w:lang w:val="fr-CA"/>
        </w:rPr>
        <w:t>accéder à des postes de responsabilité dans l</w:t>
      </w:r>
      <w:r w:rsidR="0080611A">
        <w:rPr>
          <w:szCs w:val="22"/>
          <w:lang w:val="fr-CA"/>
        </w:rPr>
        <w:t>’</w:t>
      </w:r>
      <w:r w:rsidR="00FD4BDF" w:rsidRPr="00B3274C">
        <w:rPr>
          <w:szCs w:val="22"/>
          <w:lang w:val="fr-CA"/>
        </w:rPr>
        <w:t>administration publique par le biais de plans d</w:t>
      </w:r>
      <w:r w:rsidR="0080611A">
        <w:rPr>
          <w:szCs w:val="22"/>
          <w:lang w:val="fr-CA"/>
        </w:rPr>
        <w:t>’</w:t>
      </w:r>
      <w:r w:rsidR="00FD4BDF" w:rsidRPr="00B3274C">
        <w:rPr>
          <w:szCs w:val="22"/>
          <w:lang w:val="fr-CA"/>
        </w:rPr>
        <w:t xml:space="preserve">action axés sur le développement de leur autonomie et de leurs compétences. </w:t>
      </w:r>
    </w:p>
    <w:p w:rsidR="00FB23D3" w:rsidRPr="00B3274C" w:rsidRDefault="00107A47" w:rsidP="00107A47">
      <w:pPr>
        <w:pStyle w:val="SingleTxtG"/>
        <w:rPr>
          <w:szCs w:val="22"/>
          <w:lang w:val="fr-CA"/>
        </w:rPr>
      </w:pPr>
      <w:r w:rsidRPr="00B3274C">
        <w:rPr>
          <w:lang w:val="fr-CA"/>
        </w:rPr>
        <w:t>60.</w:t>
      </w:r>
      <w:r w:rsidRPr="00B3274C">
        <w:rPr>
          <w:lang w:val="fr-CA"/>
        </w:rPr>
        <w:tab/>
      </w:r>
      <w:r w:rsidR="00FD4BDF" w:rsidRPr="00B3274C">
        <w:rPr>
          <w:lang w:val="fr-CA"/>
        </w:rPr>
        <w:t>En outre</w:t>
      </w:r>
      <w:r w:rsidR="0080611A">
        <w:rPr>
          <w:lang w:val="fr-CA"/>
        </w:rPr>
        <w:t>,</w:t>
      </w:r>
      <w:r w:rsidR="00FD4BDF" w:rsidRPr="00B3274C">
        <w:rPr>
          <w:lang w:val="fr-CA"/>
        </w:rPr>
        <w:t xml:space="preserve"> dans le cadre du troisième Cadre d</w:t>
      </w:r>
      <w:r w:rsidR="0080611A">
        <w:rPr>
          <w:lang w:val="fr-CA"/>
        </w:rPr>
        <w:t>’</w:t>
      </w:r>
      <w:r w:rsidR="00FD4BDF" w:rsidRPr="00B3274C">
        <w:rPr>
          <w:lang w:val="fr-CA"/>
        </w:rPr>
        <w:t>appui communautaire</w:t>
      </w:r>
      <w:r w:rsidR="0080611A">
        <w:rPr>
          <w:lang w:val="fr-CA"/>
        </w:rPr>
        <w:t>,</w:t>
      </w:r>
      <w:r w:rsidR="00FD4BDF" w:rsidRPr="00B3274C">
        <w:rPr>
          <w:lang w:val="fr-CA"/>
        </w:rPr>
        <w:t xml:space="preserve"> le Secrétaire général pour l</w:t>
      </w:r>
      <w:r w:rsidR="0080611A">
        <w:rPr>
          <w:lang w:val="fr-CA"/>
        </w:rPr>
        <w:t>’</w:t>
      </w:r>
      <w:r w:rsidR="00FD4BDF" w:rsidRPr="00B3274C">
        <w:rPr>
          <w:lang w:val="fr-CA"/>
        </w:rPr>
        <w:t xml:space="preserve">égalité des sexes a élaboré le projet </w:t>
      </w:r>
      <w:r w:rsidR="0055418C" w:rsidRPr="00B3274C">
        <w:rPr>
          <w:lang w:val="fr-CA"/>
        </w:rPr>
        <w:t>«</w:t>
      </w:r>
      <w:r w:rsidR="00FD4BDF" w:rsidRPr="00B3274C">
        <w:rPr>
          <w:lang w:val="fr-CA"/>
        </w:rPr>
        <w:t>Interventions intégrées en faveur des femmes</w:t>
      </w:r>
      <w:r w:rsidR="0055418C" w:rsidRPr="00B3274C">
        <w:rPr>
          <w:lang w:val="fr-CA"/>
        </w:rPr>
        <w:t>»</w:t>
      </w:r>
      <w:r w:rsidR="0080611A">
        <w:rPr>
          <w:lang w:val="fr-CA"/>
        </w:rPr>
        <w:t>,</w:t>
      </w:r>
      <w:r w:rsidR="00FD4BDF" w:rsidRPr="00B3274C">
        <w:rPr>
          <w:lang w:val="fr-CA"/>
        </w:rPr>
        <w:t xml:space="preserve"> dont 9</w:t>
      </w:r>
      <w:r w:rsidR="00125E65">
        <w:rPr>
          <w:lang w:val="fr-CA"/>
        </w:rPr>
        <w:t> </w:t>
      </w:r>
      <w:r w:rsidR="00FD4BDF" w:rsidRPr="00B3274C">
        <w:rPr>
          <w:lang w:val="fr-CA"/>
        </w:rPr>
        <w:t xml:space="preserve">018 femmes ont bénéficié. </w:t>
      </w:r>
    </w:p>
    <w:p w:rsidR="00FB23D3" w:rsidRPr="00B3274C" w:rsidRDefault="00107A47" w:rsidP="00107A47">
      <w:pPr>
        <w:pStyle w:val="SingleTxtG"/>
        <w:rPr>
          <w:szCs w:val="22"/>
          <w:lang w:val="fr-CA"/>
        </w:rPr>
      </w:pPr>
      <w:r w:rsidRPr="00B3274C">
        <w:rPr>
          <w:lang w:val="fr-CA"/>
        </w:rPr>
        <w:t>61.</w:t>
      </w:r>
      <w:r w:rsidRPr="00B3274C">
        <w:rPr>
          <w:lang w:val="fr-CA"/>
        </w:rPr>
        <w:tab/>
      </w:r>
      <w:r w:rsidR="00FD4BDF" w:rsidRPr="00B3274C">
        <w:rPr>
          <w:lang w:val="fr-CA"/>
        </w:rPr>
        <w:t>Pour ce qui est du développement régional</w:t>
      </w:r>
      <w:r w:rsidR="0080611A">
        <w:rPr>
          <w:lang w:val="fr-CA"/>
        </w:rPr>
        <w:t>,</w:t>
      </w:r>
      <w:r w:rsidR="00FD4BDF" w:rsidRPr="00B3274C">
        <w:rPr>
          <w:lang w:val="fr-CA"/>
        </w:rPr>
        <w:t xml:space="preserve"> l</w:t>
      </w:r>
      <w:r w:rsidR="0080611A">
        <w:rPr>
          <w:lang w:val="fr-CA"/>
        </w:rPr>
        <w:t>’</w:t>
      </w:r>
      <w:r w:rsidR="00FD4BDF" w:rsidRPr="00B3274C">
        <w:rPr>
          <w:lang w:val="fr-CA"/>
        </w:rPr>
        <w:t>accent a été mis sur l</w:t>
      </w:r>
      <w:r w:rsidR="0080611A">
        <w:rPr>
          <w:lang w:val="fr-CA"/>
        </w:rPr>
        <w:t>’</w:t>
      </w:r>
      <w:r w:rsidR="00FD4BDF" w:rsidRPr="00B3274C">
        <w:rPr>
          <w:lang w:val="fr-CA"/>
        </w:rPr>
        <w:t xml:space="preserve">élaboration du Cadre national de référence stratégique </w:t>
      </w:r>
      <w:r w:rsidR="00FB23D3" w:rsidRPr="00B3274C">
        <w:rPr>
          <w:szCs w:val="22"/>
          <w:lang w:val="fr-CA"/>
        </w:rPr>
        <w:t>2007-2013.</w:t>
      </w:r>
      <w:r w:rsidR="00047D7A" w:rsidRPr="00B3274C">
        <w:rPr>
          <w:szCs w:val="22"/>
          <w:lang w:val="fr-CA"/>
        </w:rPr>
        <w:t xml:space="preserve"> </w:t>
      </w:r>
      <w:r w:rsidR="00FD4BDF" w:rsidRPr="00B3274C">
        <w:rPr>
          <w:szCs w:val="22"/>
          <w:lang w:val="fr-CA"/>
        </w:rPr>
        <w:t>Cinq programmes opérationnels régionaux</w:t>
      </w:r>
      <w:r w:rsidR="0080611A">
        <w:rPr>
          <w:szCs w:val="22"/>
          <w:lang w:val="fr-CA"/>
        </w:rPr>
        <w:t>,</w:t>
      </w:r>
      <w:r w:rsidR="00FD4BDF" w:rsidRPr="00B3274C">
        <w:rPr>
          <w:szCs w:val="22"/>
          <w:lang w:val="fr-CA"/>
        </w:rPr>
        <w:t xml:space="preserve"> en sus des programmes sectoriels</w:t>
      </w:r>
      <w:r w:rsidR="0080611A">
        <w:rPr>
          <w:szCs w:val="22"/>
          <w:lang w:val="fr-CA"/>
        </w:rPr>
        <w:t>,</w:t>
      </w:r>
      <w:r w:rsidR="00FD4BDF" w:rsidRPr="00B3274C">
        <w:rPr>
          <w:szCs w:val="22"/>
          <w:lang w:val="fr-CA"/>
        </w:rPr>
        <w:t xml:space="preserve"> contribueront à atteindre les objectifs stratégiques nationaux</w:t>
      </w:r>
      <w:r w:rsidR="0080611A">
        <w:rPr>
          <w:szCs w:val="22"/>
          <w:lang w:val="fr-CA"/>
        </w:rPr>
        <w:t>,</w:t>
      </w:r>
      <w:r w:rsidR="00FD4BDF" w:rsidRPr="00B3274C">
        <w:rPr>
          <w:szCs w:val="22"/>
          <w:lang w:val="fr-CA"/>
        </w:rPr>
        <w:t xml:space="preserve"> en mettant l</w:t>
      </w:r>
      <w:r w:rsidR="0080611A">
        <w:rPr>
          <w:szCs w:val="22"/>
          <w:lang w:val="fr-CA"/>
        </w:rPr>
        <w:t>’</w:t>
      </w:r>
      <w:r w:rsidR="00FD4BDF" w:rsidRPr="00B3274C">
        <w:rPr>
          <w:szCs w:val="22"/>
          <w:lang w:val="fr-CA"/>
        </w:rPr>
        <w:t xml:space="preserve">accent sur les caractéristiques et besoins particuliers de chaque région. </w:t>
      </w:r>
    </w:p>
    <w:p w:rsidR="00FB23D3" w:rsidRPr="00B3274C" w:rsidRDefault="00107A47" w:rsidP="00664B12">
      <w:pPr>
        <w:pStyle w:val="SingleTxtG"/>
        <w:rPr>
          <w:lang w:val="fr-CA"/>
        </w:rPr>
      </w:pPr>
      <w:r w:rsidRPr="00B3274C">
        <w:rPr>
          <w:lang w:val="fr-CA"/>
        </w:rPr>
        <w:t>62.</w:t>
      </w:r>
      <w:r w:rsidRPr="00B3274C">
        <w:rPr>
          <w:lang w:val="fr-CA"/>
        </w:rPr>
        <w:tab/>
      </w:r>
      <w:r w:rsidR="00F05ABE" w:rsidRPr="00B3274C">
        <w:rPr>
          <w:lang w:val="fr-CA"/>
        </w:rPr>
        <w:t>Dans</w:t>
      </w:r>
      <w:r w:rsidR="00FD4BDF" w:rsidRPr="00B3274C">
        <w:rPr>
          <w:lang w:val="fr-CA"/>
        </w:rPr>
        <w:t xml:space="preserv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 xml:space="preserve">3896/2010 </w:t>
      </w:r>
      <w:r w:rsidR="00FD4BDF" w:rsidRPr="00B3274C">
        <w:rPr>
          <w:lang w:val="fr-CA"/>
        </w:rPr>
        <w:t xml:space="preserve">sur </w:t>
      </w:r>
      <w:bookmarkStart w:id="2" w:name="OLE_LINK15"/>
      <w:bookmarkStart w:id="3" w:name="OLE_LINK16"/>
      <w:r w:rsidR="00FD4BDF" w:rsidRPr="00B3274C">
        <w:rPr>
          <w:lang w:val="fr-CA"/>
        </w:rPr>
        <w:t>L</w:t>
      </w:r>
      <w:r w:rsidR="0080611A">
        <w:rPr>
          <w:lang w:val="fr-CA"/>
        </w:rPr>
        <w:t>’</w:t>
      </w:r>
      <w:r w:rsidR="00FD4BDF" w:rsidRPr="00B3274C">
        <w:rPr>
          <w:lang w:val="fr-CA"/>
        </w:rPr>
        <w:t>application du principe de l</w:t>
      </w:r>
      <w:r w:rsidR="0080611A">
        <w:rPr>
          <w:lang w:val="fr-CA"/>
        </w:rPr>
        <w:t>’</w:t>
      </w:r>
      <w:r w:rsidR="00FD4BDF" w:rsidRPr="00B3274C">
        <w:rPr>
          <w:lang w:val="fr-CA"/>
        </w:rPr>
        <w:t>égalité des chances et de l</w:t>
      </w:r>
      <w:r w:rsidR="0080611A">
        <w:rPr>
          <w:lang w:val="fr-CA"/>
        </w:rPr>
        <w:t>’</w:t>
      </w:r>
      <w:r w:rsidR="00FD4BDF" w:rsidRPr="00B3274C">
        <w:rPr>
          <w:lang w:val="fr-CA"/>
        </w:rPr>
        <w:t>égalité de traitement entre hommes et femmes en matière d</w:t>
      </w:r>
      <w:r w:rsidR="0080611A">
        <w:rPr>
          <w:lang w:val="fr-CA"/>
        </w:rPr>
        <w:t>’</w:t>
      </w:r>
      <w:r w:rsidR="00FD4BDF" w:rsidRPr="00B3274C">
        <w:rPr>
          <w:lang w:val="fr-CA"/>
        </w:rPr>
        <w:t>emploi et de travail</w:t>
      </w:r>
      <w:bookmarkEnd w:id="2"/>
      <w:bookmarkEnd w:id="3"/>
      <w:r w:rsidR="0080611A">
        <w:rPr>
          <w:lang w:val="fr-CA"/>
        </w:rPr>
        <w:t>,</w:t>
      </w:r>
      <w:r w:rsidR="00FD4BDF" w:rsidRPr="00B3274C">
        <w:rPr>
          <w:lang w:val="fr-CA"/>
        </w:rPr>
        <w:t xml:space="preserve"> qui incorpore la Directive </w:t>
      </w:r>
      <w:r w:rsidR="00FB23D3" w:rsidRPr="00B3274C">
        <w:rPr>
          <w:lang w:val="fr-CA"/>
        </w:rPr>
        <w:t>2006/54/</w:t>
      </w:r>
      <w:r w:rsidR="00FD4BDF" w:rsidRPr="00B3274C">
        <w:rPr>
          <w:lang w:val="fr-CA"/>
        </w:rPr>
        <w:t>CE de l</w:t>
      </w:r>
      <w:r w:rsidR="0080611A">
        <w:rPr>
          <w:lang w:val="fr-CA"/>
        </w:rPr>
        <w:t>’</w:t>
      </w:r>
      <w:r w:rsidR="00FD4BDF" w:rsidRPr="00B3274C">
        <w:rPr>
          <w:lang w:val="fr-CA"/>
        </w:rPr>
        <w:t>Union européenne</w:t>
      </w:r>
      <w:r w:rsidR="0080611A">
        <w:rPr>
          <w:lang w:val="fr-CA"/>
        </w:rPr>
        <w:t>,</w:t>
      </w:r>
      <w:r w:rsidR="00FD4BDF" w:rsidRPr="00B3274C">
        <w:rPr>
          <w:lang w:val="fr-CA"/>
        </w:rPr>
        <w:t xml:space="preserve"> </w:t>
      </w:r>
      <w:r w:rsidR="00F05ABE" w:rsidRPr="00B3274C">
        <w:rPr>
          <w:lang w:val="fr-CA"/>
        </w:rPr>
        <w:t xml:space="preserve">il est question </w:t>
      </w:r>
      <w:r w:rsidR="00FD4BDF" w:rsidRPr="00B3274C">
        <w:rPr>
          <w:lang w:val="fr-CA"/>
        </w:rPr>
        <w:t>du harcèlement sexuel</w:t>
      </w:r>
      <w:r w:rsidR="0080611A">
        <w:rPr>
          <w:lang w:val="fr-CA"/>
        </w:rPr>
        <w:t>,</w:t>
      </w:r>
      <w:r w:rsidR="00FD4BDF" w:rsidRPr="00B3274C">
        <w:rPr>
          <w:lang w:val="fr-CA"/>
        </w:rPr>
        <w:t xml:space="preserve"> considéré comme une discrimination fondée sur le sexe</w:t>
      </w:r>
      <w:r w:rsidR="00FB23D3" w:rsidRPr="00B3274C">
        <w:rPr>
          <w:lang w:val="fr-CA"/>
        </w:rPr>
        <w:t xml:space="preserve"> </w:t>
      </w:r>
      <w:r w:rsidR="00FD4BDF" w:rsidRPr="00B3274C">
        <w:rPr>
          <w:lang w:val="fr-CA"/>
        </w:rPr>
        <w:t xml:space="preserve">sur le lieu de travail. </w:t>
      </w:r>
      <w:r w:rsidR="00E64257" w:rsidRPr="00B3274C">
        <w:rPr>
          <w:lang w:val="fr-CA"/>
        </w:rPr>
        <w:t>Cette loi introduit le principe de l</w:t>
      </w:r>
      <w:r w:rsidR="0080611A">
        <w:rPr>
          <w:lang w:val="fr-CA"/>
        </w:rPr>
        <w:t>’</w:t>
      </w:r>
      <w:r w:rsidR="00E64257" w:rsidRPr="00B3274C">
        <w:rPr>
          <w:lang w:val="fr-CA"/>
        </w:rPr>
        <w:t>égalité de traitement en interdisant strictement toute forme de discrimination sexuelle directe ou indirecte. Elle interdit en particulier toute discrimination fondée sur le sexe ou l</w:t>
      </w:r>
      <w:r w:rsidR="0080611A">
        <w:rPr>
          <w:lang w:val="fr-CA"/>
        </w:rPr>
        <w:t>’</w:t>
      </w:r>
      <w:r w:rsidR="00E64257" w:rsidRPr="00B3274C">
        <w:rPr>
          <w:lang w:val="fr-CA"/>
        </w:rPr>
        <w:t>état matrimonial</w:t>
      </w:r>
      <w:r w:rsidR="0080611A">
        <w:rPr>
          <w:lang w:val="fr-CA"/>
        </w:rPr>
        <w:t>,</w:t>
      </w:r>
      <w:r w:rsidR="00FA2C87" w:rsidRPr="00B3274C">
        <w:rPr>
          <w:lang w:val="fr-CA"/>
        </w:rPr>
        <w:t xml:space="preserve"> stipule expressément que les hommes et les femmes ont droit à un salaire égal pour un travail égal et abolit toute discrimination entre hommes et femmes dans le domaine de l</w:t>
      </w:r>
      <w:r w:rsidR="0080611A">
        <w:rPr>
          <w:lang w:val="fr-CA"/>
        </w:rPr>
        <w:t>’</w:t>
      </w:r>
      <w:r w:rsidR="00FA2C87" w:rsidRPr="00B3274C">
        <w:rPr>
          <w:lang w:val="fr-CA"/>
        </w:rPr>
        <w:t>emploi.</w:t>
      </w:r>
      <w:r w:rsidR="001F0101" w:rsidRPr="00B3274C">
        <w:rPr>
          <w:lang w:val="fr-CA"/>
        </w:rPr>
        <w:t xml:space="preserve"> Elle énonce les sanctions civiles</w:t>
      </w:r>
      <w:r w:rsidR="0080611A">
        <w:rPr>
          <w:lang w:val="fr-CA"/>
        </w:rPr>
        <w:t>,</w:t>
      </w:r>
      <w:r w:rsidR="001F0101" w:rsidRPr="00B3274C">
        <w:rPr>
          <w:lang w:val="fr-CA"/>
        </w:rPr>
        <w:t xml:space="preserve"> administratives et pénales qu</w:t>
      </w:r>
      <w:r w:rsidR="0080611A">
        <w:rPr>
          <w:lang w:val="fr-CA"/>
        </w:rPr>
        <w:t>’</w:t>
      </w:r>
      <w:r w:rsidR="001F0101" w:rsidRPr="00B3274C">
        <w:rPr>
          <w:lang w:val="fr-CA"/>
        </w:rPr>
        <w:t>entraîne sa violation</w:t>
      </w:r>
      <w:r w:rsidR="0080611A">
        <w:rPr>
          <w:lang w:val="fr-CA"/>
        </w:rPr>
        <w:t>,</w:t>
      </w:r>
      <w:r w:rsidR="001F0101" w:rsidRPr="00B3274C">
        <w:rPr>
          <w:lang w:val="fr-CA"/>
        </w:rPr>
        <w:t xml:space="preserve"> tout en attribuant la charge de la preuve au </w:t>
      </w:r>
      <w:r w:rsidR="00C8037C" w:rsidRPr="00B3274C">
        <w:rPr>
          <w:lang w:val="fr-CA"/>
        </w:rPr>
        <w:t>contrevenant</w:t>
      </w:r>
      <w:r w:rsidR="001F0101" w:rsidRPr="00B3274C">
        <w:rPr>
          <w:lang w:val="fr-CA"/>
        </w:rPr>
        <w:t xml:space="preserve">. </w:t>
      </w:r>
      <w:r w:rsidR="00C8037C" w:rsidRPr="00B3274C">
        <w:rPr>
          <w:lang w:val="fr-CA"/>
        </w:rPr>
        <w:t>Le Médiateur grec est habilité à contrôler l</w:t>
      </w:r>
      <w:r w:rsidR="0080611A">
        <w:rPr>
          <w:lang w:val="fr-CA"/>
        </w:rPr>
        <w:t>’</w:t>
      </w:r>
      <w:r w:rsidR="00C8037C" w:rsidRPr="00B3274C">
        <w:rPr>
          <w:lang w:val="fr-CA"/>
        </w:rPr>
        <w:t>application du principe de l</w:t>
      </w:r>
      <w:r w:rsidR="0080611A">
        <w:rPr>
          <w:lang w:val="fr-CA"/>
        </w:rPr>
        <w:t>’</w:t>
      </w:r>
      <w:r w:rsidR="00C8037C" w:rsidRPr="00B3274C">
        <w:rPr>
          <w:lang w:val="fr-CA"/>
        </w:rPr>
        <w:t>égalité de traitement entre hommes et femmes</w:t>
      </w:r>
      <w:r w:rsidR="0080611A">
        <w:rPr>
          <w:lang w:val="fr-CA"/>
        </w:rPr>
        <w:t>,</w:t>
      </w:r>
      <w:r w:rsidR="00C8037C" w:rsidRPr="00B3274C">
        <w:rPr>
          <w:lang w:val="fr-CA"/>
        </w:rPr>
        <w:t xml:space="preserve"> en </w:t>
      </w:r>
      <w:r w:rsidR="001C0A74" w:rsidRPr="00B3274C">
        <w:rPr>
          <w:lang w:val="fr-CA"/>
        </w:rPr>
        <w:t>coopération</w:t>
      </w:r>
      <w:r w:rsidR="00C8037C" w:rsidRPr="00B3274C">
        <w:rPr>
          <w:lang w:val="fr-CA"/>
        </w:rPr>
        <w:t xml:space="preserve"> avec l</w:t>
      </w:r>
      <w:r w:rsidR="0080611A">
        <w:rPr>
          <w:lang w:val="fr-CA"/>
        </w:rPr>
        <w:t>’</w:t>
      </w:r>
      <w:r w:rsidR="00C8037C" w:rsidRPr="00B3274C">
        <w:rPr>
          <w:lang w:val="fr-CA"/>
        </w:rPr>
        <w:t xml:space="preserve">Inspection du travail </w:t>
      </w:r>
      <w:r w:rsidR="001C0A74" w:rsidRPr="00B3274C">
        <w:rPr>
          <w:lang w:val="fr-CA"/>
        </w:rPr>
        <w:t>pour</w:t>
      </w:r>
      <w:r w:rsidR="00C8037C" w:rsidRPr="00B3274C">
        <w:rPr>
          <w:lang w:val="fr-CA"/>
        </w:rPr>
        <w:t xml:space="preserve"> ce qui concerne le secteur privé. </w:t>
      </w:r>
    </w:p>
    <w:p w:rsidR="00FB23D3" w:rsidRPr="00B3274C" w:rsidRDefault="00107A47" w:rsidP="00107A47">
      <w:pPr>
        <w:pStyle w:val="SingleTxtG"/>
        <w:rPr>
          <w:bCs/>
          <w:szCs w:val="22"/>
          <w:lang w:val="fr-CA"/>
        </w:rPr>
      </w:pPr>
      <w:r w:rsidRPr="00B3274C">
        <w:rPr>
          <w:bCs/>
          <w:lang w:val="fr-CA"/>
        </w:rPr>
        <w:t>63.</w:t>
      </w:r>
      <w:r w:rsidRPr="00B3274C">
        <w:rPr>
          <w:bCs/>
          <w:lang w:val="fr-CA"/>
        </w:rPr>
        <w:tab/>
      </w:r>
      <w:r w:rsidR="005D72E6" w:rsidRPr="00B3274C">
        <w:rPr>
          <w:bCs/>
          <w:lang w:val="fr-CA"/>
        </w:rPr>
        <w:t>Un Mémorandum de coopération entre le Secrétariat général à l</w:t>
      </w:r>
      <w:r w:rsidR="0080611A">
        <w:rPr>
          <w:bCs/>
          <w:lang w:val="fr-CA"/>
        </w:rPr>
        <w:t>’</w:t>
      </w:r>
      <w:r w:rsidR="005D72E6" w:rsidRPr="00B3274C">
        <w:rPr>
          <w:bCs/>
          <w:lang w:val="fr-CA"/>
        </w:rPr>
        <w:t>égalité des sexes et le Bureau du HCR en Grèce a été signé pour une défense conjointe des droits des femmes et des filles mineures qui ont demandé l</w:t>
      </w:r>
      <w:r w:rsidR="0080611A">
        <w:rPr>
          <w:bCs/>
          <w:lang w:val="fr-CA"/>
        </w:rPr>
        <w:t>’</w:t>
      </w:r>
      <w:r w:rsidR="005D72E6" w:rsidRPr="00B3274C">
        <w:rPr>
          <w:bCs/>
          <w:lang w:val="fr-CA"/>
        </w:rPr>
        <w:t>asile ou auxquelles l</w:t>
      </w:r>
      <w:r w:rsidR="0080611A">
        <w:rPr>
          <w:bCs/>
          <w:lang w:val="fr-CA"/>
        </w:rPr>
        <w:t>’</w:t>
      </w:r>
      <w:r w:rsidR="005D72E6" w:rsidRPr="00B3274C">
        <w:rPr>
          <w:bCs/>
          <w:lang w:val="fr-CA"/>
        </w:rPr>
        <w:t xml:space="preserve">asile ou </w:t>
      </w:r>
      <w:r w:rsidR="00A7105C" w:rsidRPr="00B3274C">
        <w:rPr>
          <w:bCs/>
          <w:lang w:val="fr-CA"/>
        </w:rPr>
        <w:t>le statut de réfugié</w:t>
      </w:r>
      <w:r w:rsidR="005D72E6" w:rsidRPr="00B3274C">
        <w:rPr>
          <w:bCs/>
          <w:lang w:val="fr-CA"/>
        </w:rPr>
        <w:t xml:space="preserve"> humanitaire a été accordé en Grèce. </w:t>
      </w:r>
    </w:p>
    <w:p w:rsidR="00FB23D3" w:rsidRPr="00B3274C" w:rsidRDefault="00193187" w:rsidP="000F7535">
      <w:pPr>
        <w:pStyle w:val="H23G"/>
        <w:rPr>
          <w:lang w:val="fr-CA"/>
        </w:rPr>
      </w:pPr>
      <w:r w:rsidRPr="00B3274C">
        <w:rPr>
          <w:lang w:val="fr-CA"/>
        </w:rPr>
        <w:tab/>
      </w:r>
      <w:r w:rsidR="000F7535" w:rsidRPr="00B3274C">
        <w:rPr>
          <w:lang w:val="fr-CA"/>
        </w:rPr>
        <w:t>b</w:t>
      </w:r>
      <w:r w:rsidR="003226B3" w:rsidRPr="00B3274C">
        <w:rPr>
          <w:lang w:val="fr-CA"/>
        </w:rPr>
        <w:t>)</w:t>
      </w:r>
      <w:r w:rsidRPr="00B3274C">
        <w:rPr>
          <w:lang w:val="fr-CA"/>
        </w:rPr>
        <w:tab/>
      </w:r>
      <w:r w:rsidR="00BD4A72" w:rsidRPr="00B3274C">
        <w:rPr>
          <w:lang w:val="fr-CA"/>
        </w:rPr>
        <w:t>Mesures prises par l</w:t>
      </w:r>
      <w:r w:rsidR="0080611A">
        <w:rPr>
          <w:lang w:val="fr-CA"/>
        </w:rPr>
        <w:t>’</w:t>
      </w:r>
      <w:r w:rsidR="00BD4A72" w:rsidRPr="00B3274C">
        <w:rPr>
          <w:lang w:val="fr-CA"/>
        </w:rPr>
        <w:t>Agence pour l</w:t>
      </w:r>
      <w:r w:rsidR="0080611A">
        <w:rPr>
          <w:lang w:val="fr-CA"/>
        </w:rPr>
        <w:t>’</w:t>
      </w:r>
      <w:r w:rsidR="00BD4A72" w:rsidRPr="00B3274C">
        <w:rPr>
          <w:lang w:val="fr-CA"/>
        </w:rPr>
        <w:t>emploi</w:t>
      </w:r>
      <w:r w:rsidR="0055418C" w:rsidRPr="00B3274C">
        <w:rPr>
          <w:lang w:val="fr-CA"/>
        </w:rPr>
        <w:t xml:space="preserve"> </w:t>
      </w:r>
      <w:r w:rsidR="00FB23D3" w:rsidRPr="00B3274C">
        <w:rPr>
          <w:lang w:val="fr-CA"/>
        </w:rPr>
        <w:t>(OAED)</w:t>
      </w:r>
    </w:p>
    <w:p w:rsidR="00FB23D3" w:rsidRPr="00B3274C" w:rsidRDefault="00107A47" w:rsidP="00107A47">
      <w:pPr>
        <w:pStyle w:val="SingleTxtG"/>
        <w:rPr>
          <w:szCs w:val="25"/>
          <w:lang w:val="fr-CA"/>
        </w:rPr>
      </w:pPr>
      <w:r w:rsidRPr="00B3274C">
        <w:rPr>
          <w:lang w:val="fr-CA"/>
        </w:rPr>
        <w:t>64.</w:t>
      </w:r>
      <w:r w:rsidRPr="00B3274C">
        <w:rPr>
          <w:lang w:val="fr-CA"/>
        </w:rPr>
        <w:tab/>
      </w:r>
      <w:r w:rsidR="002D78A3" w:rsidRPr="00B3274C">
        <w:rPr>
          <w:lang w:val="fr-CA"/>
        </w:rPr>
        <w:t>L</w:t>
      </w:r>
      <w:r w:rsidR="0080611A">
        <w:rPr>
          <w:lang w:val="fr-CA"/>
        </w:rPr>
        <w:t>’</w:t>
      </w:r>
      <w:r w:rsidR="002D78A3" w:rsidRPr="00B3274C">
        <w:rPr>
          <w:lang w:val="fr-CA"/>
        </w:rPr>
        <w:t>Agence pour l</w:t>
      </w:r>
      <w:r w:rsidR="0080611A">
        <w:rPr>
          <w:lang w:val="fr-CA"/>
        </w:rPr>
        <w:t>’</w:t>
      </w:r>
      <w:r w:rsidR="002D78A3" w:rsidRPr="00B3274C">
        <w:rPr>
          <w:lang w:val="fr-CA"/>
        </w:rPr>
        <w:t>emploi s</w:t>
      </w:r>
      <w:r w:rsidR="0080611A">
        <w:rPr>
          <w:lang w:val="fr-CA"/>
        </w:rPr>
        <w:t>’</w:t>
      </w:r>
      <w:r w:rsidR="002D78A3" w:rsidRPr="00B3274C">
        <w:rPr>
          <w:lang w:val="fr-CA"/>
        </w:rPr>
        <w:t>est attaquée au problème aigu du chômage des femmes en élaborant une série de politiques dynamiques et de programmes pour l</w:t>
      </w:r>
      <w:r w:rsidR="0080611A">
        <w:rPr>
          <w:lang w:val="fr-CA"/>
        </w:rPr>
        <w:t>’</w:t>
      </w:r>
      <w:r w:rsidR="002D78A3" w:rsidRPr="00B3274C">
        <w:rPr>
          <w:lang w:val="fr-CA"/>
        </w:rPr>
        <w:t>emploi ciblés. Sa stratégie vise notamment à encourager une plus grande participation des femmes sur le marché du travail. Dans ce cadre</w:t>
      </w:r>
      <w:r w:rsidR="0080611A">
        <w:rPr>
          <w:lang w:val="fr-CA"/>
        </w:rPr>
        <w:t>,</w:t>
      </w:r>
      <w:r w:rsidR="002D78A3" w:rsidRPr="00B3274C">
        <w:rPr>
          <w:lang w:val="fr-CA"/>
        </w:rPr>
        <w:t xml:space="preserve"> un certain nombre de mesures et de programmes ciblés sont appliqués pour promouvoir l</w:t>
      </w:r>
      <w:r w:rsidR="0080611A">
        <w:rPr>
          <w:lang w:val="fr-CA"/>
        </w:rPr>
        <w:t>’</w:t>
      </w:r>
      <w:r w:rsidR="002D78A3" w:rsidRPr="00B3274C">
        <w:rPr>
          <w:lang w:val="fr-CA"/>
        </w:rPr>
        <w:t>emploi des femmes et l</w:t>
      </w:r>
      <w:r w:rsidR="0080611A">
        <w:rPr>
          <w:lang w:val="fr-CA"/>
        </w:rPr>
        <w:t>’</w:t>
      </w:r>
      <w:r w:rsidR="002D78A3" w:rsidRPr="00B3274C">
        <w:rPr>
          <w:lang w:val="fr-CA"/>
        </w:rPr>
        <w:t xml:space="preserve">entreprenariat féminin. </w:t>
      </w:r>
    </w:p>
    <w:p w:rsidR="00FB23D3" w:rsidRPr="00B3274C" w:rsidRDefault="00193187" w:rsidP="000F7535">
      <w:pPr>
        <w:pStyle w:val="H23G"/>
        <w:rPr>
          <w:lang w:val="fr-CA"/>
        </w:rPr>
      </w:pPr>
      <w:r w:rsidRPr="00B3274C">
        <w:rPr>
          <w:lang w:val="fr-CA"/>
        </w:rPr>
        <w:tab/>
      </w:r>
      <w:r w:rsidR="000F7535" w:rsidRPr="00B3274C">
        <w:rPr>
          <w:lang w:val="fr-CA"/>
        </w:rPr>
        <w:t>c</w:t>
      </w:r>
      <w:r w:rsidR="00593722" w:rsidRPr="00B3274C">
        <w:rPr>
          <w:lang w:val="fr-CA"/>
        </w:rPr>
        <w:t>)</w:t>
      </w:r>
      <w:r w:rsidRPr="00B3274C">
        <w:rPr>
          <w:lang w:val="fr-CA"/>
        </w:rPr>
        <w:tab/>
      </w:r>
      <w:r w:rsidR="002D78A3" w:rsidRPr="00B3274C">
        <w:rPr>
          <w:lang w:val="fr-CA"/>
        </w:rPr>
        <w:t xml:space="preserve">Les jeunes </w:t>
      </w:r>
    </w:p>
    <w:p w:rsidR="00FB23D3" w:rsidRPr="00B3274C" w:rsidRDefault="00107A47" w:rsidP="00107A47">
      <w:pPr>
        <w:pStyle w:val="SingleTxtG"/>
        <w:rPr>
          <w:lang w:val="fr-CA"/>
        </w:rPr>
      </w:pPr>
      <w:r w:rsidRPr="00B3274C">
        <w:rPr>
          <w:lang w:val="fr-CA"/>
        </w:rPr>
        <w:t>65.</w:t>
      </w:r>
      <w:r w:rsidRPr="00B3274C">
        <w:rPr>
          <w:lang w:val="fr-CA"/>
        </w:rPr>
        <w:tab/>
      </w:r>
      <w:r w:rsidR="002D78A3" w:rsidRPr="00B3274C">
        <w:rPr>
          <w:lang w:val="fr-CA"/>
        </w:rPr>
        <w:t>Les causes principales du chômage des jeunes sont</w:t>
      </w:r>
      <w:r w:rsidR="00EC5892" w:rsidRPr="00B3274C">
        <w:rPr>
          <w:lang w:val="fr-CA"/>
        </w:rPr>
        <w:t>:</w:t>
      </w:r>
      <w:r w:rsidR="002D78A3" w:rsidRPr="00B3274C">
        <w:rPr>
          <w:lang w:val="fr-CA"/>
        </w:rPr>
        <w:t xml:space="preserve"> </w:t>
      </w:r>
      <w:r w:rsidR="003F42B4">
        <w:rPr>
          <w:lang w:val="fr-CA"/>
        </w:rPr>
        <w:t>a) </w:t>
      </w:r>
      <w:r w:rsidR="002D78A3" w:rsidRPr="00B3274C">
        <w:rPr>
          <w:lang w:val="fr-CA"/>
        </w:rPr>
        <w:t>le décalage entre les qualifications et les compétences que possèdent les jeunes et les spécialisations demandées par les entreprises</w:t>
      </w:r>
      <w:r w:rsidR="0080611A">
        <w:rPr>
          <w:lang w:val="fr-CA"/>
        </w:rPr>
        <w:t>,</w:t>
      </w:r>
      <w:r w:rsidR="002D78A3" w:rsidRPr="00B3274C">
        <w:rPr>
          <w:lang w:val="fr-CA"/>
        </w:rPr>
        <w:t xml:space="preserve"> </w:t>
      </w:r>
      <w:r w:rsidR="003F42B4">
        <w:rPr>
          <w:lang w:val="fr-CA"/>
        </w:rPr>
        <w:t>b) </w:t>
      </w:r>
      <w:r w:rsidR="002D78A3" w:rsidRPr="00B3274C">
        <w:rPr>
          <w:lang w:val="fr-CA"/>
        </w:rPr>
        <w:t>le manque d</w:t>
      </w:r>
      <w:r w:rsidR="0080611A">
        <w:rPr>
          <w:lang w:val="fr-CA"/>
        </w:rPr>
        <w:t>’</w:t>
      </w:r>
      <w:r w:rsidR="002D78A3" w:rsidRPr="00B3274C">
        <w:rPr>
          <w:lang w:val="fr-CA"/>
        </w:rPr>
        <w:t>expérience professionnelle</w:t>
      </w:r>
      <w:r w:rsidR="0080611A">
        <w:rPr>
          <w:lang w:val="fr-CA"/>
        </w:rPr>
        <w:t>,</w:t>
      </w:r>
      <w:r w:rsidR="002D78A3" w:rsidRPr="00B3274C">
        <w:rPr>
          <w:lang w:val="fr-CA"/>
        </w:rPr>
        <w:t xml:space="preserve"> liée à la réticence des employeurs à recruter </w:t>
      </w:r>
      <w:r w:rsidR="00614BAC">
        <w:rPr>
          <w:lang w:val="fr-CA"/>
        </w:rPr>
        <w:t>des personnes</w:t>
      </w:r>
      <w:r w:rsidR="002D78A3" w:rsidRPr="00B3274C">
        <w:rPr>
          <w:lang w:val="fr-CA"/>
        </w:rPr>
        <w:t xml:space="preserve"> sans expérience et </w:t>
      </w:r>
      <w:r w:rsidR="003F42B4">
        <w:rPr>
          <w:lang w:val="fr-CA"/>
        </w:rPr>
        <w:t>c) </w:t>
      </w:r>
      <w:r w:rsidR="009C21C0" w:rsidRPr="00B3274C">
        <w:rPr>
          <w:lang w:val="fr-CA"/>
        </w:rPr>
        <w:t xml:space="preserve">le nombre relativement plus élevé de jeunes qui font des études. </w:t>
      </w:r>
    </w:p>
    <w:p w:rsidR="00FB23D3" w:rsidRPr="00B3274C" w:rsidRDefault="00107A47" w:rsidP="00107A47">
      <w:pPr>
        <w:pStyle w:val="SingleTxtG"/>
        <w:rPr>
          <w:bCs/>
          <w:lang w:val="fr-CA"/>
        </w:rPr>
      </w:pPr>
      <w:r w:rsidRPr="00B3274C">
        <w:rPr>
          <w:bCs/>
          <w:lang w:val="fr-CA"/>
        </w:rPr>
        <w:t>66.</w:t>
      </w:r>
      <w:r w:rsidRPr="00B3274C">
        <w:rPr>
          <w:bCs/>
          <w:lang w:val="fr-CA"/>
        </w:rPr>
        <w:tab/>
      </w:r>
      <w:r w:rsidR="00216A4B" w:rsidRPr="00B3274C">
        <w:rPr>
          <w:bCs/>
          <w:lang w:val="fr-CA"/>
        </w:rPr>
        <w:t>Comparaison</w:t>
      </w:r>
      <w:r w:rsidR="00EC5892" w:rsidRPr="00B3274C">
        <w:rPr>
          <w:bCs/>
          <w:lang w:val="fr-CA"/>
        </w:rPr>
        <w:t>:</w:t>
      </w:r>
      <w:r w:rsidR="00216A4B" w:rsidRPr="00B3274C">
        <w:rPr>
          <w:bCs/>
          <w:lang w:val="fr-CA"/>
        </w:rPr>
        <w:t xml:space="preserve"> les tableaux ci-dessous indiquent les taux de chômage des jeunes en Grèce et dans les 27 pays membres de l</w:t>
      </w:r>
      <w:r w:rsidR="0080611A">
        <w:rPr>
          <w:bCs/>
          <w:lang w:val="fr-CA"/>
        </w:rPr>
        <w:t>’</w:t>
      </w:r>
      <w:r w:rsidR="00216A4B" w:rsidRPr="00B3274C">
        <w:rPr>
          <w:bCs/>
          <w:lang w:val="fr-CA"/>
        </w:rPr>
        <w:t xml:space="preserve">Union européenne. </w:t>
      </w:r>
    </w:p>
    <w:p w:rsidR="00FB23D3" w:rsidRPr="00B3274C" w:rsidRDefault="00107A47" w:rsidP="00107A47">
      <w:pPr>
        <w:pStyle w:val="SingleTxtG"/>
        <w:rPr>
          <w:lang w:val="fr-CA"/>
        </w:rPr>
      </w:pPr>
      <w:r w:rsidRPr="00B3274C">
        <w:rPr>
          <w:lang w:val="fr-CA"/>
        </w:rPr>
        <w:t>67.</w:t>
      </w:r>
      <w:r w:rsidRPr="00B3274C">
        <w:rPr>
          <w:lang w:val="fr-CA"/>
        </w:rPr>
        <w:tab/>
      </w:r>
      <w:r w:rsidR="00216A4B" w:rsidRPr="00B3274C">
        <w:rPr>
          <w:lang w:val="fr-CA"/>
        </w:rPr>
        <w:t>D</w:t>
      </w:r>
      <w:r w:rsidR="0080611A">
        <w:rPr>
          <w:lang w:val="fr-CA"/>
        </w:rPr>
        <w:t>’</w:t>
      </w:r>
      <w:r w:rsidR="00216A4B" w:rsidRPr="00B3274C">
        <w:rPr>
          <w:lang w:val="fr-CA"/>
        </w:rPr>
        <w:t>après les chiffres fournis par</w:t>
      </w:r>
      <w:r w:rsidR="0099272B">
        <w:rPr>
          <w:lang w:val="fr-CA"/>
        </w:rPr>
        <w:t xml:space="preserve"> </w:t>
      </w:r>
      <w:r w:rsidR="00E96E1C">
        <w:rPr>
          <w:lang w:val="fr-CA"/>
        </w:rPr>
        <w:t>Euros</w:t>
      </w:r>
      <w:r w:rsidR="00E96E1C" w:rsidRPr="00B3274C">
        <w:rPr>
          <w:lang w:val="fr-CA"/>
        </w:rPr>
        <w:t xml:space="preserve">tat </w:t>
      </w:r>
      <w:r w:rsidR="00216A4B" w:rsidRPr="00B3274C">
        <w:rPr>
          <w:lang w:val="fr-CA"/>
        </w:rPr>
        <w:t xml:space="preserve">et </w:t>
      </w:r>
      <w:r w:rsidR="00FB23D3" w:rsidRPr="00B3274C">
        <w:rPr>
          <w:lang w:val="fr-CA"/>
        </w:rPr>
        <w:t>EL.STAT.</w:t>
      </w:r>
      <w:r w:rsidR="0080611A">
        <w:rPr>
          <w:lang w:val="fr-CA"/>
        </w:rPr>
        <w:t>,</w:t>
      </w:r>
      <w:r w:rsidR="00FB23D3" w:rsidRPr="00B3274C">
        <w:rPr>
          <w:lang w:val="fr-CA"/>
        </w:rPr>
        <w:t xml:space="preserve"> </w:t>
      </w:r>
      <w:r w:rsidR="00216A4B" w:rsidRPr="00B3274C">
        <w:rPr>
          <w:lang w:val="fr-CA"/>
        </w:rPr>
        <w:t>Les taux de chômage des jeunes en Grèce sont beaucoup plus élevés que les moyennes européennes. Le taux de chômage des jeunes femmes est supérieur à celui des jeunes gens. Il conviendrait toutefois de mentionner que le taux élevé de chômage parmi les jeunes est un problème commun à tous les États membres de l</w:t>
      </w:r>
      <w:r w:rsidR="0080611A">
        <w:rPr>
          <w:lang w:val="fr-CA"/>
        </w:rPr>
        <w:t>’</w:t>
      </w:r>
      <w:r w:rsidR="00216A4B" w:rsidRPr="00B3274C">
        <w:rPr>
          <w:lang w:val="fr-CA"/>
        </w:rPr>
        <w:t xml:space="preserve">Union européenne. </w:t>
      </w:r>
    </w:p>
    <w:p w:rsidR="004268D5" w:rsidRDefault="00223FE4" w:rsidP="00223FE4">
      <w:pPr>
        <w:pStyle w:val="H23G"/>
      </w:pPr>
      <w:r>
        <w:tab/>
      </w:r>
      <w:r>
        <w:tab/>
      </w:r>
      <w:r w:rsidR="003D4C46" w:rsidRPr="00223FE4">
        <w:rPr>
          <w:b w:val="0"/>
        </w:rPr>
        <w:t>Table</w:t>
      </w:r>
      <w:r w:rsidR="00216A4B" w:rsidRPr="00223FE4">
        <w:rPr>
          <w:b w:val="0"/>
        </w:rPr>
        <w:t>au</w:t>
      </w:r>
      <w:r w:rsidR="004E282E" w:rsidRPr="00223FE4">
        <w:rPr>
          <w:b w:val="0"/>
        </w:rPr>
        <w:t xml:space="preserve"> </w:t>
      </w:r>
      <w:r w:rsidR="005E59A4" w:rsidRPr="00223FE4">
        <w:rPr>
          <w:b w:val="0"/>
        </w:rPr>
        <w:t>2</w:t>
      </w:r>
      <w:r w:rsidR="003D4C46" w:rsidRPr="00223FE4">
        <w:rPr>
          <w:b w:val="0"/>
        </w:rPr>
        <w:br/>
      </w:r>
      <w:r w:rsidR="00216A4B" w:rsidRPr="00B3274C">
        <w:t>Taux de chômage en Grèce par groupe d</w:t>
      </w:r>
      <w:r w:rsidR="0080611A">
        <w:t>’</w:t>
      </w:r>
      <w:r w:rsidR="00216A4B" w:rsidRPr="00B3274C">
        <w:t xml:space="preserve">âge et sexe </w:t>
      </w:r>
      <w:r w:rsidR="00FB23D3" w:rsidRPr="00B3274C">
        <w:t>(</w:t>
      </w:r>
      <w:r w:rsidR="0050285B">
        <w:t>%</w:t>
      </w:r>
      <w:r w:rsidR="00FB23D3" w:rsidRPr="00B3274C">
        <w:t>)</w:t>
      </w:r>
    </w:p>
    <w:tbl>
      <w:tblPr>
        <w:tblW w:w="9639" w:type="dxa"/>
        <w:jc w:val="center"/>
        <w:tblLayout w:type="fixed"/>
        <w:tblCellMar>
          <w:left w:w="0" w:type="dxa"/>
          <w:right w:w="0" w:type="dxa"/>
        </w:tblCellMar>
        <w:tblLook w:val="01E0"/>
      </w:tblPr>
      <w:tblGrid>
        <w:gridCol w:w="925"/>
        <w:gridCol w:w="565"/>
        <w:gridCol w:w="745"/>
        <w:gridCol w:w="748"/>
        <w:gridCol w:w="748"/>
        <w:gridCol w:w="115"/>
        <w:gridCol w:w="588"/>
        <w:gridCol w:w="750"/>
        <w:gridCol w:w="750"/>
        <w:gridCol w:w="750"/>
        <w:gridCol w:w="114"/>
        <w:gridCol w:w="589"/>
        <w:gridCol w:w="750"/>
        <w:gridCol w:w="751"/>
        <w:gridCol w:w="751"/>
      </w:tblGrid>
      <w:tr w:rsidR="000F52D7" w:rsidRPr="000F52D7" w:rsidTr="000F52D7">
        <w:trPr>
          <w:jc w:val="center"/>
        </w:trPr>
        <w:tc>
          <w:tcPr>
            <w:tcW w:w="925" w:type="dxa"/>
            <w:vMerge w:val="restart"/>
            <w:tcBorders>
              <w:top w:val="single" w:sz="4" w:space="0" w:color="auto"/>
            </w:tcBorders>
            <w:shd w:val="clear" w:color="auto" w:fill="auto"/>
            <w:vAlign w:val="bottom"/>
          </w:tcPr>
          <w:p w:rsidR="000F52D7" w:rsidRPr="000F52D7" w:rsidRDefault="000F52D7" w:rsidP="000F52D7">
            <w:pPr>
              <w:spacing w:before="80" w:after="80" w:line="200" w:lineRule="exact"/>
              <w:rPr>
                <w:i/>
                <w:sz w:val="16"/>
                <w:szCs w:val="16"/>
                <w:lang w:val="fr-CA" w:eastAsia="es-ES"/>
              </w:rPr>
            </w:pPr>
            <w:r w:rsidRPr="000F52D7">
              <w:rPr>
                <w:i/>
                <w:sz w:val="16"/>
                <w:szCs w:val="16"/>
                <w:lang w:val="fr-CA" w:eastAsia="es-ES"/>
              </w:rPr>
              <w:t>Grève</w:t>
            </w:r>
          </w:p>
        </w:tc>
        <w:tc>
          <w:tcPr>
            <w:tcW w:w="2806" w:type="dxa"/>
            <w:gridSpan w:val="4"/>
            <w:tcBorders>
              <w:top w:val="single" w:sz="4" w:space="0" w:color="auto"/>
              <w:bottom w:val="single" w:sz="4" w:space="0" w:color="auto"/>
            </w:tcBorders>
            <w:shd w:val="clear" w:color="auto" w:fill="auto"/>
            <w:vAlign w:val="bottom"/>
          </w:tcPr>
          <w:p w:rsidR="000F52D7" w:rsidRPr="000F52D7" w:rsidRDefault="000F52D7" w:rsidP="000F52D7">
            <w:pPr>
              <w:spacing w:before="80" w:after="80" w:line="200" w:lineRule="exact"/>
              <w:jc w:val="center"/>
              <w:rPr>
                <w:i/>
                <w:sz w:val="16"/>
                <w:szCs w:val="16"/>
                <w:lang w:val="fr-CA" w:eastAsia="es-ES"/>
              </w:rPr>
            </w:pPr>
            <w:r w:rsidRPr="000F52D7">
              <w:rPr>
                <w:i/>
                <w:sz w:val="16"/>
                <w:szCs w:val="16"/>
                <w:lang w:val="fr-CA" w:eastAsia="es-ES"/>
              </w:rPr>
              <w:t xml:space="preserve">15 </w:t>
            </w:r>
            <w:r>
              <w:rPr>
                <w:i/>
                <w:sz w:val="16"/>
                <w:szCs w:val="16"/>
                <w:lang w:val="fr-CA" w:eastAsia="es-ES"/>
              </w:rPr>
              <w:t>à</w:t>
            </w:r>
            <w:r w:rsidRPr="000F52D7">
              <w:rPr>
                <w:i/>
                <w:sz w:val="16"/>
                <w:szCs w:val="16"/>
                <w:lang w:val="fr-CA" w:eastAsia="es-ES"/>
              </w:rPr>
              <w:t xml:space="preserve"> 19 ans</w:t>
            </w:r>
          </w:p>
        </w:tc>
        <w:tc>
          <w:tcPr>
            <w:tcW w:w="115" w:type="dxa"/>
            <w:tcBorders>
              <w:top w:val="single" w:sz="4" w:space="0" w:color="auto"/>
            </w:tcBorders>
            <w:shd w:val="clear" w:color="auto" w:fill="auto"/>
            <w:vAlign w:val="bottom"/>
          </w:tcPr>
          <w:p w:rsidR="000F52D7" w:rsidRPr="000F52D7" w:rsidRDefault="000F52D7" w:rsidP="000F52D7">
            <w:pPr>
              <w:spacing w:before="80" w:after="80" w:line="200" w:lineRule="exact"/>
              <w:jc w:val="right"/>
              <w:rPr>
                <w:i/>
                <w:sz w:val="16"/>
                <w:szCs w:val="16"/>
                <w:lang w:val="fr-CA" w:eastAsia="es-ES"/>
              </w:rPr>
            </w:pPr>
          </w:p>
        </w:tc>
        <w:tc>
          <w:tcPr>
            <w:tcW w:w="2838" w:type="dxa"/>
            <w:gridSpan w:val="4"/>
            <w:tcBorders>
              <w:top w:val="single" w:sz="4" w:space="0" w:color="auto"/>
              <w:bottom w:val="single" w:sz="4" w:space="0" w:color="auto"/>
            </w:tcBorders>
            <w:shd w:val="clear" w:color="auto" w:fill="auto"/>
            <w:vAlign w:val="bottom"/>
          </w:tcPr>
          <w:p w:rsidR="000F52D7" w:rsidRPr="000F52D7" w:rsidRDefault="000F52D7" w:rsidP="000F52D7">
            <w:pPr>
              <w:spacing w:before="80" w:after="80" w:line="200" w:lineRule="exact"/>
              <w:jc w:val="center"/>
              <w:rPr>
                <w:i/>
                <w:sz w:val="16"/>
                <w:szCs w:val="16"/>
                <w:lang w:val="fr-CA" w:eastAsia="es-ES"/>
              </w:rPr>
            </w:pPr>
            <w:r w:rsidRPr="000F52D7">
              <w:rPr>
                <w:i/>
                <w:sz w:val="16"/>
                <w:szCs w:val="16"/>
                <w:lang w:val="fr-CA" w:eastAsia="es-ES"/>
              </w:rPr>
              <w:t xml:space="preserve">20 </w:t>
            </w:r>
            <w:r>
              <w:rPr>
                <w:i/>
                <w:sz w:val="16"/>
                <w:szCs w:val="16"/>
                <w:lang w:val="fr-CA" w:eastAsia="es-ES"/>
              </w:rPr>
              <w:t>à</w:t>
            </w:r>
            <w:r w:rsidRPr="000F52D7">
              <w:rPr>
                <w:i/>
                <w:sz w:val="16"/>
                <w:szCs w:val="16"/>
                <w:lang w:val="fr-CA" w:eastAsia="es-ES"/>
              </w:rPr>
              <w:t xml:space="preserve"> 24 ans</w:t>
            </w:r>
          </w:p>
        </w:tc>
        <w:tc>
          <w:tcPr>
            <w:tcW w:w="114" w:type="dxa"/>
            <w:tcBorders>
              <w:top w:val="single" w:sz="4" w:space="0" w:color="auto"/>
            </w:tcBorders>
            <w:shd w:val="clear" w:color="auto" w:fill="auto"/>
            <w:vAlign w:val="bottom"/>
          </w:tcPr>
          <w:p w:rsidR="000F52D7" w:rsidRPr="000F52D7" w:rsidRDefault="000F52D7" w:rsidP="000F52D7">
            <w:pPr>
              <w:spacing w:before="80" w:after="80" w:line="200" w:lineRule="exact"/>
              <w:jc w:val="right"/>
              <w:rPr>
                <w:i/>
                <w:sz w:val="16"/>
                <w:szCs w:val="16"/>
                <w:lang w:val="fr-CA" w:eastAsia="es-ES"/>
              </w:rPr>
            </w:pPr>
          </w:p>
        </w:tc>
        <w:tc>
          <w:tcPr>
            <w:tcW w:w="2841" w:type="dxa"/>
            <w:gridSpan w:val="4"/>
            <w:tcBorders>
              <w:top w:val="single" w:sz="4" w:space="0" w:color="auto"/>
              <w:bottom w:val="single" w:sz="4" w:space="0" w:color="auto"/>
            </w:tcBorders>
            <w:shd w:val="clear" w:color="auto" w:fill="auto"/>
            <w:vAlign w:val="bottom"/>
          </w:tcPr>
          <w:p w:rsidR="000F52D7" w:rsidRPr="000F52D7" w:rsidRDefault="000F52D7" w:rsidP="00504022">
            <w:pPr>
              <w:spacing w:before="80" w:after="80" w:line="200" w:lineRule="exact"/>
              <w:jc w:val="center"/>
              <w:rPr>
                <w:i/>
                <w:sz w:val="16"/>
                <w:szCs w:val="16"/>
                <w:lang w:val="fr-CA" w:eastAsia="es-ES"/>
              </w:rPr>
            </w:pPr>
            <w:r w:rsidRPr="000F52D7">
              <w:rPr>
                <w:i/>
                <w:sz w:val="16"/>
                <w:szCs w:val="16"/>
                <w:lang w:val="fr-CA" w:eastAsia="es-ES"/>
              </w:rPr>
              <w:t xml:space="preserve">25 </w:t>
            </w:r>
            <w:r>
              <w:rPr>
                <w:i/>
                <w:sz w:val="16"/>
                <w:szCs w:val="16"/>
                <w:lang w:val="fr-CA" w:eastAsia="es-ES"/>
              </w:rPr>
              <w:t>à</w:t>
            </w:r>
            <w:r w:rsidRPr="000F52D7">
              <w:rPr>
                <w:i/>
                <w:sz w:val="16"/>
                <w:szCs w:val="16"/>
                <w:lang w:val="fr-CA" w:eastAsia="es-ES"/>
              </w:rPr>
              <w:t xml:space="preserve"> 29 </w:t>
            </w:r>
            <w:r>
              <w:rPr>
                <w:i/>
                <w:sz w:val="16"/>
                <w:szCs w:val="16"/>
                <w:lang w:val="fr-CA" w:eastAsia="es-ES"/>
              </w:rPr>
              <w:t>ans</w:t>
            </w:r>
          </w:p>
        </w:tc>
      </w:tr>
      <w:tr w:rsidR="000F52D7" w:rsidRPr="000F52D7" w:rsidTr="000F52D7">
        <w:trPr>
          <w:jc w:val="center"/>
        </w:trPr>
        <w:tc>
          <w:tcPr>
            <w:tcW w:w="925" w:type="dxa"/>
            <w:vMerge/>
            <w:tcBorders>
              <w:bottom w:val="single" w:sz="12" w:space="0" w:color="auto"/>
            </w:tcBorders>
            <w:shd w:val="clear" w:color="auto" w:fill="auto"/>
            <w:vAlign w:val="bottom"/>
          </w:tcPr>
          <w:p w:rsidR="000F52D7" w:rsidRPr="000F52D7" w:rsidRDefault="000F52D7" w:rsidP="000F52D7">
            <w:pPr>
              <w:suppressAutoHyphens w:val="0"/>
              <w:spacing w:before="80" w:after="80" w:line="200" w:lineRule="exact"/>
              <w:rPr>
                <w:i/>
                <w:sz w:val="16"/>
                <w:szCs w:val="16"/>
                <w:lang w:val="fr-CA" w:eastAsia="es-ES"/>
              </w:rPr>
            </w:pPr>
          </w:p>
        </w:tc>
        <w:tc>
          <w:tcPr>
            <w:tcW w:w="565" w:type="dxa"/>
            <w:tcBorders>
              <w:top w:val="single" w:sz="4" w:space="0" w:color="auto"/>
              <w:bottom w:val="single" w:sz="12" w:space="0" w:color="auto"/>
            </w:tcBorders>
            <w:shd w:val="clear" w:color="auto" w:fill="auto"/>
            <w:vAlign w:val="bottom"/>
          </w:tcPr>
          <w:p w:rsidR="000F52D7" w:rsidRPr="000F52D7" w:rsidRDefault="000F52D7" w:rsidP="000F52D7">
            <w:pPr>
              <w:suppressAutoHyphens w:val="0"/>
              <w:spacing w:before="80" w:after="80" w:line="200" w:lineRule="exact"/>
              <w:jc w:val="right"/>
              <w:rPr>
                <w:i/>
                <w:sz w:val="16"/>
                <w:szCs w:val="16"/>
                <w:lang w:val="fr-CA" w:eastAsia="es-ES"/>
              </w:rPr>
            </w:pPr>
            <w:r w:rsidRPr="000F52D7">
              <w:rPr>
                <w:i/>
                <w:sz w:val="16"/>
                <w:szCs w:val="16"/>
                <w:lang w:val="fr-CA" w:eastAsia="es-ES"/>
              </w:rPr>
              <w:t>2008</w:t>
            </w:r>
          </w:p>
        </w:tc>
        <w:tc>
          <w:tcPr>
            <w:tcW w:w="745" w:type="dxa"/>
            <w:tcBorders>
              <w:top w:val="single" w:sz="4" w:space="0" w:color="auto"/>
              <w:bottom w:val="single" w:sz="12" w:space="0" w:color="auto"/>
            </w:tcBorders>
            <w:shd w:val="clear" w:color="auto" w:fill="auto"/>
            <w:vAlign w:val="bottom"/>
          </w:tcPr>
          <w:p w:rsidR="000F52D7" w:rsidRPr="000F52D7" w:rsidRDefault="000F52D7" w:rsidP="00195AA4">
            <w:pPr>
              <w:suppressAutoHyphens w:val="0"/>
              <w:spacing w:before="80" w:after="80" w:line="200" w:lineRule="exact"/>
              <w:jc w:val="right"/>
              <w:rPr>
                <w:i/>
                <w:sz w:val="16"/>
                <w:szCs w:val="16"/>
                <w:lang w:val="fr-CA" w:eastAsia="es-ES"/>
              </w:rPr>
            </w:pPr>
            <w:r w:rsidRPr="000F52D7">
              <w:rPr>
                <w:i/>
                <w:sz w:val="16"/>
                <w:szCs w:val="16"/>
                <w:lang w:val="fr-CA" w:eastAsia="es-ES"/>
              </w:rPr>
              <w:t>2009</w:t>
            </w:r>
          </w:p>
        </w:tc>
        <w:tc>
          <w:tcPr>
            <w:tcW w:w="748" w:type="dxa"/>
            <w:tcBorders>
              <w:top w:val="single" w:sz="4" w:space="0" w:color="auto"/>
              <w:bottom w:val="single" w:sz="12" w:space="0" w:color="auto"/>
            </w:tcBorders>
            <w:shd w:val="clear" w:color="auto" w:fill="auto"/>
            <w:vAlign w:val="bottom"/>
          </w:tcPr>
          <w:p w:rsidR="000F52D7" w:rsidRPr="000F52D7" w:rsidRDefault="000F52D7" w:rsidP="000F52D7">
            <w:pPr>
              <w:suppressAutoHyphens w:val="0"/>
              <w:spacing w:before="80" w:after="80" w:line="200" w:lineRule="exact"/>
              <w:jc w:val="right"/>
              <w:rPr>
                <w:i/>
                <w:sz w:val="16"/>
                <w:szCs w:val="16"/>
                <w:lang w:val="fr-CA" w:eastAsia="es-ES"/>
              </w:rPr>
            </w:pPr>
            <w:r w:rsidRPr="000F52D7">
              <w:rPr>
                <w:i/>
                <w:sz w:val="16"/>
                <w:szCs w:val="16"/>
                <w:lang w:val="fr-CA" w:eastAsia="es-ES"/>
              </w:rPr>
              <w:t>2010</w:t>
            </w:r>
          </w:p>
        </w:tc>
        <w:tc>
          <w:tcPr>
            <w:tcW w:w="748" w:type="dxa"/>
            <w:tcBorders>
              <w:top w:val="single" w:sz="4" w:space="0" w:color="auto"/>
              <w:bottom w:val="single" w:sz="12" w:space="0" w:color="auto"/>
            </w:tcBorders>
            <w:shd w:val="clear" w:color="auto" w:fill="auto"/>
            <w:vAlign w:val="bottom"/>
          </w:tcPr>
          <w:p w:rsidR="000F52D7" w:rsidRPr="000F52D7" w:rsidRDefault="000F52D7" w:rsidP="000F52D7">
            <w:pPr>
              <w:suppressAutoHyphens w:val="0"/>
              <w:spacing w:before="80" w:after="80" w:line="200" w:lineRule="exact"/>
              <w:jc w:val="right"/>
              <w:rPr>
                <w:i/>
                <w:sz w:val="16"/>
                <w:szCs w:val="16"/>
                <w:lang w:val="fr-CA" w:eastAsia="es-ES"/>
              </w:rPr>
            </w:pPr>
            <w:r w:rsidRPr="000F52D7">
              <w:rPr>
                <w:i/>
                <w:sz w:val="16"/>
                <w:szCs w:val="16"/>
                <w:lang w:val="fr-CA" w:eastAsia="es-ES"/>
              </w:rPr>
              <w:t>2011</w:t>
            </w:r>
          </w:p>
        </w:tc>
        <w:tc>
          <w:tcPr>
            <w:tcW w:w="115" w:type="dxa"/>
            <w:tcBorders>
              <w:bottom w:val="single" w:sz="12" w:space="0" w:color="auto"/>
            </w:tcBorders>
            <w:shd w:val="clear" w:color="auto" w:fill="auto"/>
            <w:vAlign w:val="bottom"/>
          </w:tcPr>
          <w:p w:rsidR="000F52D7" w:rsidRPr="000F52D7" w:rsidRDefault="000F52D7" w:rsidP="000F52D7">
            <w:pPr>
              <w:suppressAutoHyphens w:val="0"/>
              <w:spacing w:before="80" w:after="80" w:line="200" w:lineRule="exact"/>
              <w:jc w:val="right"/>
              <w:rPr>
                <w:i/>
                <w:sz w:val="16"/>
                <w:szCs w:val="16"/>
                <w:lang w:val="fr-CA" w:eastAsia="es-ES"/>
              </w:rPr>
            </w:pPr>
          </w:p>
        </w:tc>
        <w:tc>
          <w:tcPr>
            <w:tcW w:w="588" w:type="dxa"/>
            <w:tcBorders>
              <w:top w:val="single" w:sz="4" w:space="0" w:color="auto"/>
              <w:bottom w:val="single" w:sz="12" w:space="0" w:color="auto"/>
            </w:tcBorders>
            <w:shd w:val="clear" w:color="auto" w:fill="auto"/>
            <w:vAlign w:val="bottom"/>
          </w:tcPr>
          <w:p w:rsidR="000F52D7" w:rsidRPr="000F52D7" w:rsidRDefault="000F52D7" w:rsidP="000F52D7">
            <w:pPr>
              <w:suppressAutoHyphens w:val="0"/>
              <w:spacing w:before="80" w:after="80" w:line="200" w:lineRule="exact"/>
              <w:jc w:val="right"/>
              <w:rPr>
                <w:i/>
                <w:sz w:val="16"/>
                <w:szCs w:val="16"/>
                <w:lang w:val="fr-CA" w:eastAsia="es-ES"/>
              </w:rPr>
            </w:pPr>
            <w:r w:rsidRPr="000F52D7">
              <w:rPr>
                <w:i/>
                <w:sz w:val="16"/>
                <w:szCs w:val="16"/>
                <w:lang w:val="fr-CA" w:eastAsia="es-ES"/>
              </w:rPr>
              <w:t>2008</w:t>
            </w:r>
          </w:p>
        </w:tc>
        <w:tc>
          <w:tcPr>
            <w:tcW w:w="750" w:type="dxa"/>
            <w:tcBorders>
              <w:top w:val="single" w:sz="4" w:space="0" w:color="auto"/>
              <w:bottom w:val="single" w:sz="12" w:space="0" w:color="auto"/>
            </w:tcBorders>
            <w:shd w:val="clear" w:color="auto" w:fill="auto"/>
            <w:vAlign w:val="bottom"/>
          </w:tcPr>
          <w:p w:rsidR="000F52D7" w:rsidRPr="000F52D7" w:rsidRDefault="000F52D7" w:rsidP="000F52D7">
            <w:pPr>
              <w:suppressAutoHyphens w:val="0"/>
              <w:spacing w:before="80" w:after="80" w:line="200" w:lineRule="exact"/>
              <w:jc w:val="right"/>
              <w:rPr>
                <w:i/>
                <w:sz w:val="16"/>
                <w:szCs w:val="16"/>
                <w:lang w:val="fr-CA" w:eastAsia="es-ES"/>
              </w:rPr>
            </w:pPr>
            <w:r w:rsidRPr="000F52D7">
              <w:rPr>
                <w:i/>
                <w:sz w:val="16"/>
                <w:szCs w:val="16"/>
                <w:lang w:val="fr-CA" w:eastAsia="es-ES"/>
              </w:rPr>
              <w:t>2009</w:t>
            </w:r>
          </w:p>
        </w:tc>
        <w:tc>
          <w:tcPr>
            <w:tcW w:w="750" w:type="dxa"/>
            <w:tcBorders>
              <w:top w:val="single" w:sz="4" w:space="0" w:color="auto"/>
              <w:bottom w:val="single" w:sz="12" w:space="0" w:color="auto"/>
            </w:tcBorders>
            <w:shd w:val="clear" w:color="auto" w:fill="auto"/>
            <w:vAlign w:val="bottom"/>
          </w:tcPr>
          <w:p w:rsidR="000F52D7" w:rsidRPr="000F52D7" w:rsidRDefault="000F52D7" w:rsidP="000F52D7">
            <w:pPr>
              <w:suppressAutoHyphens w:val="0"/>
              <w:spacing w:before="80" w:after="80" w:line="200" w:lineRule="exact"/>
              <w:jc w:val="right"/>
              <w:rPr>
                <w:i/>
                <w:sz w:val="16"/>
                <w:szCs w:val="16"/>
                <w:lang w:val="fr-CA" w:eastAsia="es-ES"/>
              </w:rPr>
            </w:pPr>
            <w:r w:rsidRPr="000F52D7">
              <w:rPr>
                <w:i/>
                <w:sz w:val="16"/>
                <w:szCs w:val="16"/>
                <w:lang w:val="fr-CA" w:eastAsia="es-ES"/>
              </w:rPr>
              <w:t>2010</w:t>
            </w:r>
          </w:p>
        </w:tc>
        <w:tc>
          <w:tcPr>
            <w:tcW w:w="750" w:type="dxa"/>
            <w:tcBorders>
              <w:top w:val="single" w:sz="4" w:space="0" w:color="auto"/>
              <w:bottom w:val="single" w:sz="12" w:space="0" w:color="auto"/>
            </w:tcBorders>
            <w:shd w:val="clear" w:color="auto" w:fill="auto"/>
            <w:vAlign w:val="bottom"/>
          </w:tcPr>
          <w:p w:rsidR="000F52D7" w:rsidRPr="000F52D7" w:rsidRDefault="000F52D7" w:rsidP="000F52D7">
            <w:pPr>
              <w:suppressAutoHyphens w:val="0"/>
              <w:spacing w:before="80" w:after="80" w:line="200" w:lineRule="exact"/>
              <w:jc w:val="right"/>
              <w:rPr>
                <w:i/>
                <w:sz w:val="16"/>
                <w:szCs w:val="16"/>
                <w:lang w:val="fr-CA" w:eastAsia="es-ES"/>
              </w:rPr>
            </w:pPr>
            <w:r w:rsidRPr="000F52D7">
              <w:rPr>
                <w:i/>
                <w:sz w:val="16"/>
                <w:szCs w:val="16"/>
                <w:lang w:val="fr-CA" w:eastAsia="es-ES"/>
              </w:rPr>
              <w:t>2011</w:t>
            </w:r>
          </w:p>
        </w:tc>
        <w:tc>
          <w:tcPr>
            <w:tcW w:w="114" w:type="dxa"/>
            <w:tcBorders>
              <w:bottom w:val="single" w:sz="12" w:space="0" w:color="auto"/>
            </w:tcBorders>
            <w:shd w:val="clear" w:color="auto" w:fill="auto"/>
            <w:vAlign w:val="bottom"/>
          </w:tcPr>
          <w:p w:rsidR="000F52D7" w:rsidRPr="000F52D7" w:rsidRDefault="000F52D7" w:rsidP="000F52D7">
            <w:pPr>
              <w:suppressAutoHyphens w:val="0"/>
              <w:spacing w:before="80" w:after="80" w:line="200" w:lineRule="exact"/>
              <w:jc w:val="right"/>
              <w:rPr>
                <w:i/>
                <w:sz w:val="16"/>
                <w:szCs w:val="16"/>
                <w:lang w:val="fr-CA" w:eastAsia="es-ES"/>
              </w:rPr>
            </w:pPr>
          </w:p>
        </w:tc>
        <w:tc>
          <w:tcPr>
            <w:tcW w:w="589" w:type="dxa"/>
            <w:tcBorders>
              <w:top w:val="single" w:sz="4" w:space="0" w:color="auto"/>
              <w:bottom w:val="single" w:sz="12" w:space="0" w:color="auto"/>
            </w:tcBorders>
            <w:shd w:val="clear" w:color="auto" w:fill="auto"/>
            <w:vAlign w:val="bottom"/>
          </w:tcPr>
          <w:p w:rsidR="000F52D7" w:rsidRPr="000F52D7" w:rsidRDefault="000F52D7" w:rsidP="000F52D7">
            <w:pPr>
              <w:suppressAutoHyphens w:val="0"/>
              <w:spacing w:before="80" w:after="80" w:line="200" w:lineRule="exact"/>
              <w:jc w:val="right"/>
              <w:rPr>
                <w:i/>
                <w:sz w:val="16"/>
                <w:szCs w:val="16"/>
                <w:lang w:val="fr-CA" w:eastAsia="es-ES"/>
              </w:rPr>
            </w:pPr>
            <w:r w:rsidRPr="000F52D7">
              <w:rPr>
                <w:i/>
                <w:sz w:val="16"/>
                <w:szCs w:val="16"/>
                <w:lang w:val="fr-CA" w:eastAsia="es-ES"/>
              </w:rPr>
              <w:t>2008</w:t>
            </w:r>
          </w:p>
        </w:tc>
        <w:tc>
          <w:tcPr>
            <w:tcW w:w="750" w:type="dxa"/>
            <w:tcBorders>
              <w:top w:val="single" w:sz="4" w:space="0" w:color="auto"/>
              <w:bottom w:val="single" w:sz="12" w:space="0" w:color="auto"/>
            </w:tcBorders>
            <w:shd w:val="clear" w:color="auto" w:fill="auto"/>
            <w:vAlign w:val="bottom"/>
          </w:tcPr>
          <w:p w:rsidR="000F52D7" w:rsidRPr="000F52D7" w:rsidRDefault="000F52D7" w:rsidP="000F52D7">
            <w:pPr>
              <w:suppressAutoHyphens w:val="0"/>
              <w:spacing w:before="80" w:after="80" w:line="200" w:lineRule="exact"/>
              <w:jc w:val="right"/>
              <w:rPr>
                <w:i/>
                <w:sz w:val="16"/>
                <w:szCs w:val="16"/>
                <w:lang w:val="fr-CA" w:eastAsia="es-ES"/>
              </w:rPr>
            </w:pPr>
            <w:r w:rsidRPr="000F52D7">
              <w:rPr>
                <w:i/>
                <w:sz w:val="16"/>
                <w:szCs w:val="16"/>
                <w:lang w:val="fr-CA" w:eastAsia="es-ES"/>
              </w:rPr>
              <w:t>2009</w:t>
            </w:r>
          </w:p>
        </w:tc>
        <w:tc>
          <w:tcPr>
            <w:tcW w:w="751" w:type="dxa"/>
            <w:tcBorders>
              <w:top w:val="single" w:sz="4" w:space="0" w:color="auto"/>
              <w:bottom w:val="single" w:sz="12" w:space="0" w:color="auto"/>
            </w:tcBorders>
            <w:shd w:val="clear" w:color="auto" w:fill="auto"/>
            <w:vAlign w:val="bottom"/>
          </w:tcPr>
          <w:p w:rsidR="000F52D7" w:rsidRPr="000F52D7" w:rsidRDefault="000F52D7" w:rsidP="000F52D7">
            <w:pPr>
              <w:suppressAutoHyphens w:val="0"/>
              <w:spacing w:before="80" w:after="80" w:line="200" w:lineRule="exact"/>
              <w:jc w:val="right"/>
              <w:rPr>
                <w:i/>
                <w:sz w:val="16"/>
                <w:szCs w:val="16"/>
                <w:lang w:val="fr-CA" w:eastAsia="es-ES"/>
              </w:rPr>
            </w:pPr>
            <w:r w:rsidRPr="000F52D7">
              <w:rPr>
                <w:i/>
                <w:sz w:val="16"/>
                <w:szCs w:val="16"/>
                <w:lang w:val="fr-CA" w:eastAsia="es-ES"/>
              </w:rPr>
              <w:t>2010</w:t>
            </w:r>
          </w:p>
        </w:tc>
        <w:tc>
          <w:tcPr>
            <w:tcW w:w="751" w:type="dxa"/>
            <w:tcBorders>
              <w:top w:val="single" w:sz="4" w:space="0" w:color="auto"/>
              <w:bottom w:val="single" w:sz="12" w:space="0" w:color="auto"/>
            </w:tcBorders>
            <w:shd w:val="clear" w:color="auto" w:fill="auto"/>
            <w:vAlign w:val="bottom"/>
          </w:tcPr>
          <w:p w:rsidR="000F52D7" w:rsidRPr="000F52D7" w:rsidRDefault="000F52D7" w:rsidP="000F52D7">
            <w:pPr>
              <w:suppressAutoHyphens w:val="0"/>
              <w:spacing w:before="80" w:after="80" w:line="200" w:lineRule="exact"/>
              <w:jc w:val="right"/>
              <w:rPr>
                <w:i/>
                <w:sz w:val="16"/>
                <w:szCs w:val="16"/>
                <w:lang w:val="fr-CA" w:eastAsia="es-ES"/>
              </w:rPr>
            </w:pPr>
            <w:r w:rsidRPr="000F52D7">
              <w:rPr>
                <w:i/>
                <w:sz w:val="16"/>
                <w:szCs w:val="16"/>
                <w:lang w:val="fr-CA" w:eastAsia="es-ES"/>
              </w:rPr>
              <w:t>2011</w:t>
            </w:r>
          </w:p>
        </w:tc>
      </w:tr>
      <w:tr w:rsidR="000F52D7" w:rsidRPr="000F52D7" w:rsidTr="000F52D7">
        <w:trPr>
          <w:jc w:val="center"/>
        </w:trPr>
        <w:tc>
          <w:tcPr>
            <w:tcW w:w="925" w:type="dxa"/>
            <w:tcBorders>
              <w:top w:val="single" w:sz="12" w:space="0" w:color="auto"/>
            </w:tcBorders>
            <w:shd w:val="clear" w:color="auto" w:fill="auto"/>
            <w:vAlign w:val="bottom"/>
          </w:tcPr>
          <w:p w:rsidR="000F52D7" w:rsidRPr="000F52D7" w:rsidRDefault="000F52D7" w:rsidP="00504022">
            <w:pPr>
              <w:suppressAutoHyphens w:val="0"/>
              <w:spacing w:before="40" w:after="40" w:line="220" w:lineRule="exact"/>
              <w:rPr>
                <w:sz w:val="18"/>
                <w:lang w:val="fr-CA" w:eastAsia="es-ES"/>
              </w:rPr>
            </w:pPr>
            <w:r>
              <w:rPr>
                <w:sz w:val="18"/>
                <w:lang w:val="fr-CA" w:eastAsia="es-ES"/>
              </w:rPr>
              <w:t>Hommes</w:t>
            </w:r>
          </w:p>
        </w:tc>
        <w:tc>
          <w:tcPr>
            <w:tcW w:w="565" w:type="dxa"/>
            <w:tcBorders>
              <w:top w:val="single" w:sz="12"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19</w:t>
            </w:r>
            <w:r w:rsidR="0080611A">
              <w:rPr>
                <w:sz w:val="18"/>
                <w:szCs w:val="18"/>
                <w:lang w:val="fr-CA" w:eastAsia="es-ES"/>
              </w:rPr>
              <w:t>,</w:t>
            </w:r>
            <w:r w:rsidRPr="000F52D7">
              <w:rPr>
                <w:sz w:val="18"/>
                <w:szCs w:val="18"/>
                <w:lang w:val="fr-CA" w:eastAsia="es-ES"/>
              </w:rPr>
              <w:t>0</w:t>
            </w:r>
          </w:p>
        </w:tc>
        <w:tc>
          <w:tcPr>
            <w:tcW w:w="745" w:type="dxa"/>
            <w:tcBorders>
              <w:top w:val="single" w:sz="12"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22</w:t>
            </w:r>
            <w:r w:rsidR="0080611A">
              <w:rPr>
                <w:sz w:val="18"/>
                <w:szCs w:val="18"/>
                <w:lang w:val="fr-CA" w:eastAsia="es-ES"/>
              </w:rPr>
              <w:t>,</w:t>
            </w:r>
            <w:r w:rsidRPr="000F52D7">
              <w:rPr>
                <w:sz w:val="18"/>
                <w:szCs w:val="18"/>
                <w:lang w:val="fr-CA" w:eastAsia="es-ES"/>
              </w:rPr>
              <w:t>4</w:t>
            </w:r>
          </w:p>
        </w:tc>
        <w:tc>
          <w:tcPr>
            <w:tcW w:w="748" w:type="dxa"/>
            <w:tcBorders>
              <w:top w:val="single" w:sz="12"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34</w:t>
            </w:r>
            <w:r w:rsidR="0080611A">
              <w:rPr>
                <w:sz w:val="18"/>
                <w:szCs w:val="18"/>
                <w:lang w:val="fr-CA" w:eastAsia="es-ES"/>
              </w:rPr>
              <w:t>,</w:t>
            </w:r>
            <w:r w:rsidRPr="000F52D7">
              <w:rPr>
                <w:sz w:val="18"/>
                <w:szCs w:val="18"/>
                <w:lang w:val="fr-CA" w:eastAsia="es-ES"/>
              </w:rPr>
              <w:t>7</w:t>
            </w:r>
          </w:p>
        </w:tc>
        <w:tc>
          <w:tcPr>
            <w:tcW w:w="748" w:type="dxa"/>
            <w:tcBorders>
              <w:top w:val="single" w:sz="12"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48</w:t>
            </w:r>
            <w:r w:rsidR="0080611A">
              <w:rPr>
                <w:sz w:val="18"/>
                <w:szCs w:val="18"/>
                <w:lang w:val="fr-CA" w:eastAsia="es-ES"/>
              </w:rPr>
              <w:t>,</w:t>
            </w:r>
            <w:r w:rsidRPr="000F52D7">
              <w:rPr>
                <w:sz w:val="18"/>
                <w:szCs w:val="18"/>
                <w:lang w:val="fr-CA" w:eastAsia="es-ES"/>
              </w:rPr>
              <w:t>1</w:t>
            </w:r>
          </w:p>
        </w:tc>
        <w:tc>
          <w:tcPr>
            <w:tcW w:w="703" w:type="dxa"/>
            <w:gridSpan w:val="2"/>
            <w:tcBorders>
              <w:top w:val="single" w:sz="12"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16</w:t>
            </w:r>
            <w:r w:rsidR="0080611A">
              <w:rPr>
                <w:sz w:val="18"/>
                <w:szCs w:val="18"/>
                <w:lang w:val="fr-CA" w:eastAsia="es-ES"/>
              </w:rPr>
              <w:t>,</w:t>
            </w:r>
            <w:r w:rsidRPr="000F52D7">
              <w:rPr>
                <w:sz w:val="18"/>
                <w:szCs w:val="18"/>
                <w:lang w:val="fr-CA" w:eastAsia="es-ES"/>
              </w:rPr>
              <w:t>6</w:t>
            </w:r>
          </w:p>
        </w:tc>
        <w:tc>
          <w:tcPr>
            <w:tcW w:w="750" w:type="dxa"/>
            <w:tcBorders>
              <w:top w:val="single" w:sz="12"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18</w:t>
            </w:r>
            <w:r w:rsidR="0080611A">
              <w:rPr>
                <w:sz w:val="18"/>
                <w:szCs w:val="18"/>
                <w:lang w:val="fr-CA" w:eastAsia="es-ES"/>
              </w:rPr>
              <w:t>,</w:t>
            </w:r>
            <w:r w:rsidRPr="000F52D7">
              <w:rPr>
                <w:sz w:val="18"/>
                <w:szCs w:val="18"/>
                <w:lang w:val="fr-CA" w:eastAsia="es-ES"/>
              </w:rPr>
              <w:t>8</w:t>
            </w:r>
          </w:p>
        </w:tc>
        <w:tc>
          <w:tcPr>
            <w:tcW w:w="750" w:type="dxa"/>
            <w:tcBorders>
              <w:top w:val="single" w:sz="12"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25</w:t>
            </w:r>
            <w:r w:rsidR="0080611A">
              <w:rPr>
                <w:sz w:val="18"/>
                <w:szCs w:val="18"/>
                <w:lang w:val="fr-CA" w:eastAsia="es-ES"/>
              </w:rPr>
              <w:t>,</w:t>
            </w:r>
            <w:r w:rsidRPr="000F52D7">
              <w:rPr>
                <w:sz w:val="18"/>
                <w:szCs w:val="18"/>
                <w:lang w:val="fr-CA" w:eastAsia="es-ES"/>
              </w:rPr>
              <w:t>4</w:t>
            </w:r>
          </w:p>
        </w:tc>
        <w:tc>
          <w:tcPr>
            <w:tcW w:w="750" w:type="dxa"/>
            <w:tcBorders>
              <w:top w:val="single" w:sz="12"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36</w:t>
            </w:r>
            <w:r w:rsidR="0080611A">
              <w:rPr>
                <w:sz w:val="18"/>
                <w:szCs w:val="18"/>
                <w:lang w:val="fr-CA" w:eastAsia="es-ES"/>
              </w:rPr>
              <w:t>,</w:t>
            </w:r>
            <w:r w:rsidRPr="000F52D7">
              <w:rPr>
                <w:sz w:val="18"/>
                <w:szCs w:val="18"/>
                <w:lang w:val="fr-CA" w:eastAsia="es-ES"/>
              </w:rPr>
              <w:t>9</w:t>
            </w:r>
          </w:p>
        </w:tc>
        <w:tc>
          <w:tcPr>
            <w:tcW w:w="703" w:type="dxa"/>
            <w:gridSpan w:val="2"/>
            <w:tcBorders>
              <w:top w:val="single" w:sz="12"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9</w:t>
            </w:r>
            <w:r w:rsidR="0080611A">
              <w:rPr>
                <w:sz w:val="18"/>
                <w:szCs w:val="18"/>
                <w:lang w:val="fr-CA" w:eastAsia="es-ES"/>
              </w:rPr>
              <w:t>,</w:t>
            </w:r>
            <w:r w:rsidRPr="000F52D7">
              <w:rPr>
                <w:sz w:val="18"/>
                <w:szCs w:val="18"/>
                <w:lang w:val="fr-CA" w:eastAsia="es-ES"/>
              </w:rPr>
              <w:t>9</w:t>
            </w:r>
          </w:p>
        </w:tc>
        <w:tc>
          <w:tcPr>
            <w:tcW w:w="750" w:type="dxa"/>
            <w:tcBorders>
              <w:top w:val="single" w:sz="12"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12</w:t>
            </w:r>
            <w:r w:rsidR="0080611A">
              <w:rPr>
                <w:sz w:val="18"/>
                <w:szCs w:val="18"/>
                <w:lang w:val="fr-CA" w:eastAsia="es-ES"/>
              </w:rPr>
              <w:t>,</w:t>
            </w:r>
            <w:r w:rsidRPr="000F52D7">
              <w:rPr>
                <w:sz w:val="18"/>
                <w:szCs w:val="18"/>
                <w:lang w:val="fr-CA" w:eastAsia="es-ES"/>
              </w:rPr>
              <w:t>1</w:t>
            </w:r>
          </w:p>
        </w:tc>
        <w:tc>
          <w:tcPr>
            <w:tcW w:w="751" w:type="dxa"/>
            <w:tcBorders>
              <w:top w:val="single" w:sz="12"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16</w:t>
            </w:r>
            <w:r w:rsidR="0080611A">
              <w:rPr>
                <w:sz w:val="18"/>
                <w:szCs w:val="18"/>
                <w:lang w:val="fr-CA" w:eastAsia="es-ES"/>
              </w:rPr>
              <w:t>,</w:t>
            </w:r>
            <w:r w:rsidRPr="000F52D7">
              <w:rPr>
                <w:sz w:val="18"/>
                <w:szCs w:val="18"/>
                <w:lang w:val="fr-CA" w:eastAsia="es-ES"/>
              </w:rPr>
              <w:t>4</w:t>
            </w:r>
          </w:p>
        </w:tc>
        <w:tc>
          <w:tcPr>
            <w:tcW w:w="751" w:type="dxa"/>
            <w:tcBorders>
              <w:top w:val="single" w:sz="12"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26</w:t>
            </w:r>
            <w:r w:rsidR="0080611A">
              <w:rPr>
                <w:sz w:val="18"/>
                <w:szCs w:val="18"/>
                <w:lang w:val="fr-CA" w:eastAsia="es-ES"/>
              </w:rPr>
              <w:t>,</w:t>
            </w:r>
            <w:r w:rsidRPr="000F52D7">
              <w:rPr>
                <w:sz w:val="18"/>
                <w:szCs w:val="18"/>
                <w:lang w:val="fr-CA" w:eastAsia="es-ES"/>
              </w:rPr>
              <w:t>1</w:t>
            </w:r>
          </w:p>
        </w:tc>
      </w:tr>
      <w:tr w:rsidR="000F52D7" w:rsidRPr="000F52D7" w:rsidTr="000F52D7">
        <w:trPr>
          <w:jc w:val="center"/>
        </w:trPr>
        <w:tc>
          <w:tcPr>
            <w:tcW w:w="925" w:type="dxa"/>
            <w:tcBorders>
              <w:bottom w:val="single" w:sz="4" w:space="0" w:color="auto"/>
            </w:tcBorders>
            <w:shd w:val="clear" w:color="auto" w:fill="auto"/>
            <w:vAlign w:val="bottom"/>
          </w:tcPr>
          <w:p w:rsidR="000F52D7" w:rsidRPr="000F52D7" w:rsidRDefault="000F52D7" w:rsidP="00504022">
            <w:pPr>
              <w:suppressAutoHyphens w:val="0"/>
              <w:spacing w:before="40" w:after="40" w:line="220" w:lineRule="exact"/>
              <w:rPr>
                <w:sz w:val="18"/>
                <w:lang w:val="fr-CA" w:eastAsia="es-ES"/>
              </w:rPr>
            </w:pPr>
            <w:r>
              <w:rPr>
                <w:sz w:val="18"/>
                <w:lang w:val="fr-CA" w:eastAsia="es-ES"/>
              </w:rPr>
              <w:t>Femmes</w:t>
            </w:r>
          </w:p>
        </w:tc>
        <w:tc>
          <w:tcPr>
            <w:tcW w:w="565" w:type="dxa"/>
            <w:tcBorders>
              <w:bottom w:val="single" w:sz="4"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36</w:t>
            </w:r>
            <w:r w:rsidR="0080611A">
              <w:rPr>
                <w:sz w:val="18"/>
                <w:szCs w:val="18"/>
                <w:lang w:val="fr-CA" w:eastAsia="es-ES"/>
              </w:rPr>
              <w:t>,</w:t>
            </w:r>
            <w:r w:rsidRPr="000F52D7">
              <w:rPr>
                <w:sz w:val="18"/>
                <w:szCs w:val="18"/>
                <w:lang w:val="fr-CA" w:eastAsia="es-ES"/>
              </w:rPr>
              <w:t>3</w:t>
            </w:r>
          </w:p>
        </w:tc>
        <w:tc>
          <w:tcPr>
            <w:tcW w:w="745" w:type="dxa"/>
            <w:tcBorders>
              <w:bottom w:val="single" w:sz="4"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43</w:t>
            </w:r>
            <w:r w:rsidR="0080611A">
              <w:rPr>
                <w:sz w:val="18"/>
                <w:szCs w:val="18"/>
                <w:lang w:val="fr-CA" w:eastAsia="es-ES"/>
              </w:rPr>
              <w:t>,</w:t>
            </w:r>
            <w:r w:rsidRPr="000F52D7">
              <w:rPr>
                <w:sz w:val="18"/>
                <w:szCs w:val="18"/>
                <w:lang w:val="fr-CA" w:eastAsia="es-ES"/>
              </w:rPr>
              <w:t>5</w:t>
            </w:r>
          </w:p>
        </w:tc>
        <w:tc>
          <w:tcPr>
            <w:tcW w:w="748" w:type="dxa"/>
            <w:tcBorders>
              <w:bottom w:val="single" w:sz="4"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45</w:t>
            </w:r>
            <w:r w:rsidR="0080611A">
              <w:rPr>
                <w:sz w:val="18"/>
                <w:szCs w:val="18"/>
                <w:lang w:val="fr-CA" w:eastAsia="es-ES"/>
              </w:rPr>
              <w:t>,</w:t>
            </w:r>
            <w:r w:rsidRPr="000F52D7">
              <w:rPr>
                <w:sz w:val="18"/>
                <w:szCs w:val="18"/>
                <w:lang w:val="fr-CA" w:eastAsia="es-ES"/>
              </w:rPr>
              <w:t>5</w:t>
            </w:r>
          </w:p>
        </w:tc>
        <w:tc>
          <w:tcPr>
            <w:tcW w:w="748" w:type="dxa"/>
            <w:tcBorders>
              <w:bottom w:val="single" w:sz="4"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67</w:t>
            </w:r>
            <w:r w:rsidR="0080611A">
              <w:rPr>
                <w:sz w:val="18"/>
                <w:szCs w:val="18"/>
                <w:lang w:val="fr-CA" w:eastAsia="es-ES"/>
              </w:rPr>
              <w:t>,</w:t>
            </w:r>
            <w:r w:rsidRPr="000F52D7">
              <w:rPr>
                <w:sz w:val="18"/>
                <w:szCs w:val="18"/>
                <w:lang w:val="fr-CA" w:eastAsia="es-ES"/>
              </w:rPr>
              <w:t>7</w:t>
            </w:r>
          </w:p>
        </w:tc>
        <w:tc>
          <w:tcPr>
            <w:tcW w:w="703" w:type="dxa"/>
            <w:gridSpan w:val="2"/>
            <w:tcBorders>
              <w:bottom w:val="single" w:sz="4"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27</w:t>
            </w:r>
            <w:r w:rsidR="0080611A">
              <w:rPr>
                <w:sz w:val="18"/>
                <w:szCs w:val="18"/>
                <w:lang w:val="fr-CA" w:eastAsia="es-ES"/>
              </w:rPr>
              <w:t>,</w:t>
            </w:r>
            <w:r w:rsidRPr="000F52D7">
              <w:rPr>
                <w:sz w:val="18"/>
                <w:szCs w:val="18"/>
                <w:lang w:val="fr-CA" w:eastAsia="es-ES"/>
              </w:rPr>
              <w:t>7</w:t>
            </w:r>
          </w:p>
        </w:tc>
        <w:tc>
          <w:tcPr>
            <w:tcW w:w="750" w:type="dxa"/>
            <w:tcBorders>
              <w:bottom w:val="single" w:sz="4"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32</w:t>
            </w:r>
            <w:r w:rsidR="0080611A">
              <w:rPr>
                <w:sz w:val="18"/>
                <w:szCs w:val="18"/>
                <w:lang w:val="fr-CA" w:eastAsia="es-ES"/>
              </w:rPr>
              <w:t>,</w:t>
            </w:r>
            <w:r w:rsidRPr="000F52D7">
              <w:rPr>
                <w:sz w:val="18"/>
                <w:szCs w:val="18"/>
                <w:lang w:val="fr-CA" w:eastAsia="es-ES"/>
              </w:rPr>
              <w:t>5</w:t>
            </w:r>
          </w:p>
        </w:tc>
        <w:tc>
          <w:tcPr>
            <w:tcW w:w="750" w:type="dxa"/>
            <w:tcBorders>
              <w:bottom w:val="single" w:sz="4"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40</w:t>
            </w:r>
            <w:r w:rsidR="0080611A">
              <w:rPr>
                <w:sz w:val="18"/>
                <w:szCs w:val="18"/>
                <w:lang w:val="fr-CA" w:eastAsia="es-ES"/>
              </w:rPr>
              <w:t>,</w:t>
            </w:r>
            <w:r w:rsidRPr="000F52D7">
              <w:rPr>
                <w:sz w:val="18"/>
                <w:szCs w:val="18"/>
                <w:lang w:val="fr-CA" w:eastAsia="es-ES"/>
              </w:rPr>
              <w:t>0</w:t>
            </w:r>
          </w:p>
        </w:tc>
        <w:tc>
          <w:tcPr>
            <w:tcW w:w="750" w:type="dxa"/>
            <w:tcBorders>
              <w:bottom w:val="single" w:sz="4"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49</w:t>
            </w:r>
            <w:r w:rsidR="0080611A">
              <w:rPr>
                <w:sz w:val="18"/>
                <w:szCs w:val="18"/>
                <w:lang w:val="fr-CA" w:eastAsia="es-ES"/>
              </w:rPr>
              <w:t>,</w:t>
            </w:r>
            <w:r w:rsidRPr="000F52D7">
              <w:rPr>
                <w:sz w:val="18"/>
                <w:szCs w:val="18"/>
                <w:lang w:val="fr-CA" w:eastAsia="es-ES"/>
              </w:rPr>
              <w:t>5</w:t>
            </w:r>
          </w:p>
        </w:tc>
        <w:tc>
          <w:tcPr>
            <w:tcW w:w="703" w:type="dxa"/>
            <w:gridSpan w:val="2"/>
            <w:tcBorders>
              <w:bottom w:val="single" w:sz="4"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17</w:t>
            </w:r>
            <w:r w:rsidR="0080611A">
              <w:rPr>
                <w:sz w:val="18"/>
                <w:szCs w:val="18"/>
                <w:lang w:val="fr-CA" w:eastAsia="es-ES"/>
              </w:rPr>
              <w:t>,</w:t>
            </w:r>
            <w:r w:rsidRPr="000F52D7">
              <w:rPr>
                <w:sz w:val="18"/>
                <w:szCs w:val="18"/>
                <w:lang w:val="fr-CA" w:eastAsia="es-ES"/>
              </w:rPr>
              <w:t>3</w:t>
            </w:r>
          </w:p>
        </w:tc>
        <w:tc>
          <w:tcPr>
            <w:tcW w:w="750" w:type="dxa"/>
            <w:tcBorders>
              <w:bottom w:val="single" w:sz="4"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18</w:t>
            </w:r>
            <w:r w:rsidR="0080611A">
              <w:rPr>
                <w:sz w:val="18"/>
                <w:szCs w:val="18"/>
                <w:lang w:val="fr-CA" w:eastAsia="es-ES"/>
              </w:rPr>
              <w:t>,</w:t>
            </w:r>
            <w:r w:rsidRPr="000F52D7">
              <w:rPr>
                <w:sz w:val="18"/>
                <w:szCs w:val="18"/>
                <w:lang w:val="fr-CA" w:eastAsia="es-ES"/>
              </w:rPr>
              <w:t>8</w:t>
            </w:r>
          </w:p>
        </w:tc>
        <w:tc>
          <w:tcPr>
            <w:tcW w:w="751" w:type="dxa"/>
            <w:tcBorders>
              <w:bottom w:val="single" w:sz="4"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23</w:t>
            </w:r>
            <w:r w:rsidR="0080611A">
              <w:rPr>
                <w:sz w:val="18"/>
                <w:szCs w:val="18"/>
                <w:lang w:val="fr-CA" w:eastAsia="es-ES"/>
              </w:rPr>
              <w:t>,</w:t>
            </w:r>
            <w:r w:rsidRPr="000F52D7">
              <w:rPr>
                <w:sz w:val="18"/>
                <w:szCs w:val="18"/>
                <w:lang w:val="fr-CA" w:eastAsia="es-ES"/>
              </w:rPr>
              <w:t>8</w:t>
            </w:r>
          </w:p>
        </w:tc>
        <w:tc>
          <w:tcPr>
            <w:tcW w:w="751" w:type="dxa"/>
            <w:tcBorders>
              <w:bottom w:val="single" w:sz="4" w:space="0" w:color="auto"/>
            </w:tcBorders>
            <w:shd w:val="clear" w:color="auto" w:fill="auto"/>
            <w:vAlign w:val="bottom"/>
          </w:tcPr>
          <w:p w:rsidR="000F52D7" w:rsidRPr="000F52D7" w:rsidRDefault="000F52D7" w:rsidP="00504022">
            <w:pPr>
              <w:spacing w:before="40" w:after="40" w:line="220" w:lineRule="exact"/>
              <w:jc w:val="right"/>
              <w:rPr>
                <w:sz w:val="18"/>
                <w:szCs w:val="18"/>
                <w:lang w:val="fr-CA" w:eastAsia="es-ES"/>
              </w:rPr>
            </w:pPr>
            <w:r w:rsidRPr="000F52D7">
              <w:rPr>
                <w:sz w:val="18"/>
                <w:szCs w:val="18"/>
                <w:lang w:val="fr-CA" w:eastAsia="es-ES"/>
              </w:rPr>
              <w:t>33</w:t>
            </w:r>
            <w:r w:rsidR="0080611A">
              <w:rPr>
                <w:sz w:val="18"/>
                <w:szCs w:val="18"/>
                <w:lang w:val="fr-CA" w:eastAsia="es-ES"/>
              </w:rPr>
              <w:t>,</w:t>
            </w:r>
            <w:r w:rsidRPr="000F52D7">
              <w:rPr>
                <w:sz w:val="18"/>
                <w:szCs w:val="18"/>
                <w:lang w:val="fr-CA" w:eastAsia="es-ES"/>
              </w:rPr>
              <w:t>8</w:t>
            </w:r>
          </w:p>
        </w:tc>
      </w:tr>
      <w:tr w:rsidR="000F52D7" w:rsidRPr="000F52D7" w:rsidTr="000F52D7">
        <w:trPr>
          <w:jc w:val="center"/>
        </w:trPr>
        <w:tc>
          <w:tcPr>
            <w:tcW w:w="925" w:type="dxa"/>
            <w:tcBorders>
              <w:top w:val="single" w:sz="4" w:space="0" w:color="auto"/>
              <w:bottom w:val="single" w:sz="12" w:space="0" w:color="auto"/>
            </w:tcBorders>
            <w:shd w:val="clear" w:color="auto" w:fill="auto"/>
            <w:vAlign w:val="bottom"/>
          </w:tcPr>
          <w:p w:rsidR="000F52D7" w:rsidRPr="000F52D7" w:rsidRDefault="000F52D7" w:rsidP="008A732A">
            <w:pPr>
              <w:suppressAutoHyphens w:val="0"/>
              <w:spacing w:before="80" w:after="80" w:line="220" w:lineRule="exact"/>
              <w:ind w:left="170"/>
              <w:rPr>
                <w:b/>
                <w:sz w:val="18"/>
                <w:lang w:val="fr-CA" w:eastAsia="es-ES"/>
              </w:rPr>
            </w:pPr>
            <w:r w:rsidRPr="000F52D7">
              <w:rPr>
                <w:b/>
                <w:sz w:val="18"/>
                <w:lang w:val="fr-CA" w:eastAsia="es-ES"/>
              </w:rPr>
              <w:t>Total</w:t>
            </w:r>
          </w:p>
        </w:tc>
        <w:tc>
          <w:tcPr>
            <w:tcW w:w="565" w:type="dxa"/>
            <w:tcBorders>
              <w:top w:val="single" w:sz="4" w:space="0" w:color="auto"/>
              <w:bottom w:val="single" w:sz="12" w:space="0" w:color="auto"/>
            </w:tcBorders>
            <w:shd w:val="clear" w:color="auto" w:fill="auto"/>
            <w:vAlign w:val="bottom"/>
          </w:tcPr>
          <w:p w:rsidR="000F52D7" w:rsidRPr="00B5727F" w:rsidRDefault="000F52D7" w:rsidP="008A732A">
            <w:pPr>
              <w:spacing w:before="80" w:after="80" w:line="220" w:lineRule="exact"/>
              <w:jc w:val="right"/>
              <w:rPr>
                <w:b/>
                <w:bCs/>
                <w:sz w:val="18"/>
                <w:szCs w:val="18"/>
                <w:lang w:val="fr-CA" w:eastAsia="es-ES"/>
              </w:rPr>
            </w:pPr>
            <w:r w:rsidRPr="00B5727F">
              <w:rPr>
                <w:b/>
                <w:bCs/>
                <w:sz w:val="18"/>
                <w:szCs w:val="18"/>
                <w:lang w:val="fr-CA" w:eastAsia="es-ES"/>
              </w:rPr>
              <w:t>26</w:t>
            </w:r>
            <w:r w:rsidR="0080611A" w:rsidRPr="00B5727F">
              <w:rPr>
                <w:b/>
                <w:bCs/>
                <w:sz w:val="18"/>
                <w:szCs w:val="18"/>
                <w:lang w:val="fr-CA" w:eastAsia="es-ES"/>
              </w:rPr>
              <w:t>,</w:t>
            </w:r>
            <w:r w:rsidRPr="00B5727F">
              <w:rPr>
                <w:b/>
                <w:bCs/>
                <w:sz w:val="18"/>
                <w:szCs w:val="18"/>
                <w:lang w:val="fr-CA" w:eastAsia="es-ES"/>
              </w:rPr>
              <w:t>1</w:t>
            </w:r>
          </w:p>
        </w:tc>
        <w:tc>
          <w:tcPr>
            <w:tcW w:w="745" w:type="dxa"/>
            <w:tcBorders>
              <w:top w:val="single" w:sz="4" w:space="0" w:color="auto"/>
              <w:bottom w:val="single" w:sz="12" w:space="0" w:color="auto"/>
            </w:tcBorders>
            <w:shd w:val="clear" w:color="auto" w:fill="auto"/>
            <w:vAlign w:val="bottom"/>
          </w:tcPr>
          <w:p w:rsidR="000F52D7" w:rsidRPr="00B5727F" w:rsidRDefault="000F52D7" w:rsidP="008A732A">
            <w:pPr>
              <w:spacing w:before="80" w:after="80" w:line="220" w:lineRule="exact"/>
              <w:jc w:val="right"/>
              <w:rPr>
                <w:b/>
                <w:bCs/>
                <w:sz w:val="18"/>
                <w:szCs w:val="18"/>
                <w:lang w:val="fr-CA" w:eastAsia="es-ES"/>
              </w:rPr>
            </w:pPr>
            <w:r w:rsidRPr="00B5727F">
              <w:rPr>
                <w:b/>
                <w:bCs/>
                <w:sz w:val="18"/>
                <w:szCs w:val="18"/>
                <w:lang w:val="fr-CA" w:eastAsia="es-ES"/>
              </w:rPr>
              <w:t>30</w:t>
            </w:r>
            <w:r w:rsidR="0080611A" w:rsidRPr="00B5727F">
              <w:rPr>
                <w:b/>
                <w:bCs/>
                <w:sz w:val="18"/>
                <w:szCs w:val="18"/>
                <w:lang w:val="fr-CA" w:eastAsia="es-ES"/>
              </w:rPr>
              <w:t>,</w:t>
            </w:r>
            <w:r w:rsidRPr="00B5727F">
              <w:rPr>
                <w:b/>
                <w:bCs/>
                <w:sz w:val="18"/>
                <w:szCs w:val="18"/>
                <w:lang w:val="fr-CA" w:eastAsia="es-ES"/>
              </w:rPr>
              <w:t>9</w:t>
            </w:r>
          </w:p>
        </w:tc>
        <w:tc>
          <w:tcPr>
            <w:tcW w:w="748" w:type="dxa"/>
            <w:tcBorders>
              <w:top w:val="single" w:sz="4" w:space="0" w:color="auto"/>
              <w:bottom w:val="single" w:sz="12" w:space="0" w:color="auto"/>
            </w:tcBorders>
            <w:shd w:val="clear" w:color="auto" w:fill="auto"/>
            <w:vAlign w:val="bottom"/>
          </w:tcPr>
          <w:p w:rsidR="000F52D7" w:rsidRPr="00B5727F" w:rsidRDefault="000F52D7" w:rsidP="008A732A">
            <w:pPr>
              <w:spacing w:before="80" w:after="80" w:line="220" w:lineRule="exact"/>
              <w:jc w:val="right"/>
              <w:rPr>
                <w:b/>
                <w:bCs/>
                <w:sz w:val="18"/>
                <w:szCs w:val="18"/>
                <w:lang w:val="fr-CA" w:eastAsia="es-ES"/>
              </w:rPr>
            </w:pPr>
            <w:r w:rsidRPr="00B5727F">
              <w:rPr>
                <w:b/>
                <w:bCs/>
                <w:sz w:val="18"/>
                <w:szCs w:val="18"/>
                <w:lang w:val="fr-CA" w:eastAsia="es-ES"/>
              </w:rPr>
              <w:t>39</w:t>
            </w:r>
            <w:r w:rsidR="0080611A" w:rsidRPr="00B5727F">
              <w:rPr>
                <w:b/>
                <w:bCs/>
                <w:sz w:val="18"/>
                <w:szCs w:val="18"/>
                <w:lang w:val="fr-CA" w:eastAsia="es-ES"/>
              </w:rPr>
              <w:t>,</w:t>
            </w:r>
            <w:r w:rsidRPr="00B5727F">
              <w:rPr>
                <w:b/>
                <w:bCs/>
                <w:sz w:val="18"/>
                <w:szCs w:val="18"/>
                <w:lang w:val="fr-CA" w:eastAsia="es-ES"/>
              </w:rPr>
              <w:t>0</w:t>
            </w:r>
          </w:p>
        </w:tc>
        <w:tc>
          <w:tcPr>
            <w:tcW w:w="748" w:type="dxa"/>
            <w:tcBorders>
              <w:top w:val="single" w:sz="4" w:space="0" w:color="auto"/>
              <w:bottom w:val="single" w:sz="12" w:space="0" w:color="auto"/>
            </w:tcBorders>
            <w:shd w:val="clear" w:color="auto" w:fill="auto"/>
            <w:vAlign w:val="bottom"/>
          </w:tcPr>
          <w:p w:rsidR="000F52D7" w:rsidRPr="00B5727F" w:rsidRDefault="000F52D7" w:rsidP="008A732A">
            <w:pPr>
              <w:spacing w:before="80" w:after="80" w:line="220" w:lineRule="exact"/>
              <w:jc w:val="right"/>
              <w:rPr>
                <w:b/>
                <w:bCs/>
                <w:sz w:val="18"/>
                <w:szCs w:val="18"/>
                <w:lang w:val="fr-CA" w:eastAsia="es-ES"/>
              </w:rPr>
            </w:pPr>
            <w:r w:rsidRPr="00B5727F">
              <w:rPr>
                <w:b/>
                <w:bCs/>
                <w:sz w:val="18"/>
                <w:szCs w:val="18"/>
                <w:lang w:val="fr-CA" w:eastAsia="es-ES"/>
              </w:rPr>
              <w:t>56</w:t>
            </w:r>
            <w:r w:rsidR="0080611A" w:rsidRPr="00B5727F">
              <w:rPr>
                <w:b/>
                <w:bCs/>
                <w:sz w:val="18"/>
                <w:szCs w:val="18"/>
                <w:lang w:val="fr-CA" w:eastAsia="es-ES"/>
              </w:rPr>
              <w:t>,</w:t>
            </w:r>
            <w:r w:rsidRPr="00B5727F">
              <w:rPr>
                <w:b/>
                <w:bCs/>
                <w:sz w:val="18"/>
                <w:szCs w:val="18"/>
                <w:lang w:val="fr-CA" w:eastAsia="es-ES"/>
              </w:rPr>
              <w:t>0</w:t>
            </w:r>
          </w:p>
        </w:tc>
        <w:tc>
          <w:tcPr>
            <w:tcW w:w="703" w:type="dxa"/>
            <w:gridSpan w:val="2"/>
            <w:tcBorders>
              <w:top w:val="single" w:sz="4" w:space="0" w:color="auto"/>
              <w:bottom w:val="single" w:sz="12" w:space="0" w:color="auto"/>
            </w:tcBorders>
            <w:shd w:val="clear" w:color="auto" w:fill="auto"/>
            <w:vAlign w:val="bottom"/>
          </w:tcPr>
          <w:p w:rsidR="000F52D7" w:rsidRPr="00B5727F" w:rsidRDefault="000F52D7" w:rsidP="008A732A">
            <w:pPr>
              <w:spacing w:before="80" w:after="80" w:line="220" w:lineRule="exact"/>
              <w:jc w:val="right"/>
              <w:rPr>
                <w:b/>
                <w:bCs/>
                <w:sz w:val="18"/>
                <w:szCs w:val="18"/>
                <w:lang w:val="fr-CA" w:eastAsia="es-ES"/>
              </w:rPr>
            </w:pPr>
            <w:r w:rsidRPr="00B5727F">
              <w:rPr>
                <w:b/>
                <w:bCs/>
                <w:sz w:val="18"/>
                <w:szCs w:val="18"/>
                <w:lang w:val="fr-CA" w:eastAsia="es-ES"/>
              </w:rPr>
              <w:t>21</w:t>
            </w:r>
            <w:r w:rsidR="0080611A" w:rsidRPr="00B5727F">
              <w:rPr>
                <w:b/>
                <w:bCs/>
                <w:sz w:val="18"/>
                <w:szCs w:val="18"/>
                <w:lang w:val="fr-CA" w:eastAsia="es-ES"/>
              </w:rPr>
              <w:t>,</w:t>
            </w:r>
            <w:r w:rsidRPr="00B5727F">
              <w:rPr>
                <w:b/>
                <w:bCs/>
                <w:sz w:val="18"/>
                <w:szCs w:val="18"/>
                <w:lang w:val="fr-CA" w:eastAsia="es-ES"/>
              </w:rPr>
              <w:t>4</w:t>
            </w:r>
          </w:p>
        </w:tc>
        <w:tc>
          <w:tcPr>
            <w:tcW w:w="750" w:type="dxa"/>
            <w:tcBorders>
              <w:top w:val="single" w:sz="4" w:space="0" w:color="auto"/>
              <w:bottom w:val="single" w:sz="12" w:space="0" w:color="auto"/>
            </w:tcBorders>
            <w:shd w:val="clear" w:color="auto" w:fill="auto"/>
            <w:vAlign w:val="bottom"/>
          </w:tcPr>
          <w:p w:rsidR="000F52D7" w:rsidRPr="00B5727F" w:rsidRDefault="000F52D7" w:rsidP="008A732A">
            <w:pPr>
              <w:spacing w:before="80" w:after="80" w:line="220" w:lineRule="exact"/>
              <w:jc w:val="right"/>
              <w:rPr>
                <w:b/>
                <w:bCs/>
                <w:sz w:val="18"/>
                <w:szCs w:val="18"/>
                <w:lang w:val="fr-CA" w:eastAsia="es-ES"/>
              </w:rPr>
            </w:pPr>
            <w:r w:rsidRPr="00B5727F">
              <w:rPr>
                <w:b/>
                <w:bCs/>
                <w:sz w:val="18"/>
                <w:szCs w:val="18"/>
                <w:lang w:val="fr-CA" w:eastAsia="es-ES"/>
              </w:rPr>
              <w:t>25</w:t>
            </w:r>
            <w:r w:rsidR="0080611A" w:rsidRPr="00B5727F">
              <w:rPr>
                <w:b/>
                <w:bCs/>
                <w:sz w:val="18"/>
                <w:szCs w:val="18"/>
                <w:lang w:val="fr-CA" w:eastAsia="es-ES"/>
              </w:rPr>
              <w:t>,</w:t>
            </w:r>
            <w:r w:rsidRPr="00B5727F">
              <w:rPr>
                <w:b/>
                <w:bCs/>
                <w:sz w:val="18"/>
                <w:szCs w:val="18"/>
                <w:lang w:val="fr-CA" w:eastAsia="es-ES"/>
              </w:rPr>
              <w:t>0</w:t>
            </w:r>
          </w:p>
        </w:tc>
        <w:tc>
          <w:tcPr>
            <w:tcW w:w="750" w:type="dxa"/>
            <w:tcBorders>
              <w:top w:val="single" w:sz="4" w:space="0" w:color="auto"/>
              <w:bottom w:val="single" w:sz="12" w:space="0" w:color="auto"/>
            </w:tcBorders>
            <w:shd w:val="clear" w:color="auto" w:fill="auto"/>
            <w:vAlign w:val="bottom"/>
          </w:tcPr>
          <w:p w:rsidR="000F52D7" w:rsidRPr="00B5727F" w:rsidRDefault="000F52D7" w:rsidP="008A732A">
            <w:pPr>
              <w:spacing w:before="80" w:after="80" w:line="220" w:lineRule="exact"/>
              <w:jc w:val="right"/>
              <w:rPr>
                <w:b/>
                <w:bCs/>
                <w:sz w:val="18"/>
                <w:szCs w:val="18"/>
                <w:lang w:val="fr-CA" w:eastAsia="es-ES"/>
              </w:rPr>
            </w:pPr>
            <w:r w:rsidRPr="00B5727F">
              <w:rPr>
                <w:b/>
                <w:bCs/>
                <w:sz w:val="18"/>
                <w:szCs w:val="18"/>
                <w:lang w:val="fr-CA" w:eastAsia="es-ES"/>
              </w:rPr>
              <w:t>32</w:t>
            </w:r>
            <w:r w:rsidR="0080611A" w:rsidRPr="00B5727F">
              <w:rPr>
                <w:b/>
                <w:bCs/>
                <w:sz w:val="18"/>
                <w:szCs w:val="18"/>
                <w:lang w:val="fr-CA" w:eastAsia="es-ES"/>
              </w:rPr>
              <w:t>,</w:t>
            </w:r>
            <w:r w:rsidRPr="00B5727F">
              <w:rPr>
                <w:b/>
                <w:bCs/>
                <w:sz w:val="18"/>
                <w:szCs w:val="18"/>
                <w:lang w:val="fr-CA" w:eastAsia="es-ES"/>
              </w:rPr>
              <w:t>0</w:t>
            </w:r>
          </w:p>
        </w:tc>
        <w:tc>
          <w:tcPr>
            <w:tcW w:w="750" w:type="dxa"/>
            <w:tcBorders>
              <w:top w:val="single" w:sz="4" w:space="0" w:color="auto"/>
              <w:bottom w:val="single" w:sz="12" w:space="0" w:color="auto"/>
            </w:tcBorders>
            <w:shd w:val="clear" w:color="auto" w:fill="auto"/>
            <w:vAlign w:val="bottom"/>
          </w:tcPr>
          <w:p w:rsidR="000F52D7" w:rsidRPr="00B5727F" w:rsidRDefault="000F52D7" w:rsidP="00504022">
            <w:pPr>
              <w:spacing w:before="80" w:after="80" w:line="220" w:lineRule="exact"/>
              <w:jc w:val="right"/>
              <w:rPr>
                <w:b/>
                <w:bCs/>
                <w:sz w:val="18"/>
                <w:szCs w:val="18"/>
                <w:lang w:val="fr-CA" w:eastAsia="es-ES"/>
              </w:rPr>
            </w:pPr>
            <w:r w:rsidRPr="00B5727F">
              <w:rPr>
                <w:b/>
                <w:bCs/>
                <w:sz w:val="18"/>
                <w:szCs w:val="18"/>
                <w:lang w:val="fr-CA" w:eastAsia="es-ES"/>
              </w:rPr>
              <w:t>42</w:t>
            </w:r>
            <w:r w:rsidR="0080611A" w:rsidRPr="00B5727F">
              <w:rPr>
                <w:b/>
                <w:bCs/>
                <w:sz w:val="18"/>
                <w:szCs w:val="18"/>
                <w:lang w:val="fr-CA" w:eastAsia="es-ES"/>
              </w:rPr>
              <w:t>,</w:t>
            </w:r>
            <w:r w:rsidRPr="00B5727F">
              <w:rPr>
                <w:b/>
                <w:bCs/>
                <w:sz w:val="18"/>
                <w:szCs w:val="18"/>
                <w:lang w:val="fr-CA" w:eastAsia="es-ES"/>
              </w:rPr>
              <w:t>7</w:t>
            </w:r>
          </w:p>
        </w:tc>
        <w:tc>
          <w:tcPr>
            <w:tcW w:w="703" w:type="dxa"/>
            <w:gridSpan w:val="2"/>
            <w:tcBorders>
              <w:top w:val="single" w:sz="4" w:space="0" w:color="auto"/>
              <w:bottom w:val="single" w:sz="12" w:space="0" w:color="auto"/>
            </w:tcBorders>
            <w:shd w:val="clear" w:color="auto" w:fill="auto"/>
            <w:vAlign w:val="bottom"/>
          </w:tcPr>
          <w:p w:rsidR="000F52D7" w:rsidRPr="00B5727F" w:rsidRDefault="000F52D7" w:rsidP="008A732A">
            <w:pPr>
              <w:spacing w:before="80" w:after="80" w:line="220" w:lineRule="exact"/>
              <w:jc w:val="right"/>
              <w:rPr>
                <w:b/>
                <w:bCs/>
                <w:sz w:val="18"/>
                <w:szCs w:val="18"/>
                <w:lang w:val="fr-CA" w:eastAsia="es-ES"/>
              </w:rPr>
            </w:pPr>
            <w:r w:rsidRPr="00B5727F">
              <w:rPr>
                <w:b/>
                <w:bCs/>
                <w:sz w:val="18"/>
                <w:szCs w:val="18"/>
                <w:lang w:val="fr-CA" w:eastAsia="es-ES"/>
              </w:rPr>
              <w:t>13</w:t>
            </w:r>
            <w:r w:rsidR="0080611A" w:rsidRPr="00B5727F">
              <w:rPr>
                <w:b/>
                <w:bCs/>
                <w:sz w:val="18"/>
                <w:szCs w:val="18"/>
                <w:lang w:val="fr-CA" w:eastAsia="es-ES"/>
              </w:rPr>
              <w:t>,</w:t>
            </w:r>
            <w:r w:rsidRPr="00B5727F">
              <w:rPr>
                <w:b/>
                <w:bCs/>
                <w:sz w:val="18"/>
                <w:szCs w:val="18"/>
                <w:lang w:val="fr-CA" w:eastAsia="es-ES"/>
              </w:rPr>
              <w:t>1</w:t>
            </w:r>
          </w:p>
        </w:tc>
        <w:tc>
          <w:tcPr>
            <w:tcW w:w="750" w:type="dxa"/>
            <w:tcBorders>
              <w:top w:val="single" w:sz="4" w:space="0" w:color="auto"/>
              <w:bottom w:val="single" w:sz="12" w:space="0" w:color="auto"/>
            </w:tcBorders>
            <w:shd w:val="clear" w:color="auto" w:fill="auto"/>
            <w:vAlign w:val="bottom"/>
          </w:tcPr>
          <w:p w:rsidR="000F52D7" w:rsidRPr="00B5727F" w:rsidRDefault="000F52D7" w:rsidP="008A732A">
            <w:pPr>
              <w:spacing w:before="80" w:after="80" w:line="220" w:lineRule="exact"/>
              <w:jc w:val="right"/>
              <w:rPr>
                <w:b/>
                <w:bCs/>
                <w:sz w:val="18"/>
                <w:szCs w:val="18"/>
                <w:lang w:val="fr-CA" w:eastAsia="es-ES"/>
              </w:rPr>
            </w:pPr>
            <w:r w:rsidRPr="00B5727F">
              <w:rPr>
                <w:b/>
                <w:bCs/>
                <w:sz w:val="18"/>
                <w:szCs w:val="18"/>
                <w:lang w:val="fr-CA" w:eastAsia="es-ES"/>
              </w:rPr>
              <w:t>15</w:t>
            </w:r>
            <w:r w:rsidR="0080611A" w:rsidRPr="00B5727F">
              <w:rPr>
                <w:b/>
                <w:bCs/>
                <w:sz w:val="18"/>
                <w:szCs w:val="18"/>
                <w:lang w:val="fr-CA" w:eastAsia="es-ES"/>
              </w:rPr>
              <w:t>,</w:t>
            </w:r>
            <w:r w:rsidRPr="00B5727F">
              <w:rPr>
                <w:b/>
                <w:bCs/>
                <w:sz w:val="18"/>
                <w:szCs w:val="18"/>
                <w:lang w:val="fr-CA" w:eastAsia="es-ES"/>
              </w:rPr>
              <w:t>0</w:t>
            </w:r>
          </w:p>
        </w:tc>
        <w:tc>
          <w:tcPr>
            <w:tcW w:w="751" w:type="dxa"/>
            <w:tcBorders>
              <w:top w:val="single" w:sz="4" w:space="0" w:color="auto"/>
              <w:bottom w:val="single" w:sz="12" w:space="0" w:color="auto"/>
            </w:tcBorders>
            <w:shd w:val="clear" w:color="auto" w:fill="auto"/>
            <w:vAlign w:val="bottom"/>
          </w:tcPr>
          <w:p w:rsidR="000F52D7" w:rsidRPr="00B5727F" w:rsidRDefault="000F52D7" w:rsidP="008A732A">
            <w:pPr>
              <w:spacing w:before="80" w:after="80" w:line="220" w:lineRule="exact"/>
              <w:jc w:val="right"/>
              <w:rPr>
                <w:b/>
                <w:bCs/>
                <w:sz w:val="18"/>
                <w:szCs w:val="18"/>
                <w:lang w:val="fr-CA" w:eastAsia="es-ES"/>
              </w:rPr>
            </w:pPr>
            <w:r w:rsidRPr="00B5727F">
              <w:rPr>
                <w:b/>
                <w:bCs/>
                <w:sz w:val="18"/>
                <w:szCs w:val="18"/>
                <w:lang w:val="fr-CA" w:eastAsia="es-ES"/>
              </w:rPr>
              <w:t>19</w:t>
            </w:r>
            <w:r w:rsidR="0080611A" w:rsidRPr="00B5727F">
              <w:rPr>
                <w:b/>
                <w:bCs/>
                <w:sz w:val="18"/>
                <w:szCs w:val="18"/>
                <w:lang w:val="fr-CA" w:eastAsia="es-ES"/>
              </w:rPr>
              <w:t>,</w:t>
            </w:r>
            <w:r w:rsidRPr="00B5727F">
              <w:rPr>
                <w:b/>
                <w:bCs/>
                <w:sz w:val="18"/>
                <w:szCs w:val="18"/>
                <w:lang w:val="fr-CA" w:eastAsia="es-ES"/>
              </w:rPr>
              <w:t>7</w:t>
            </w:r>
          </w:p>
        </w:tc>
        <w:tc>
          <w:tcPr>
            <w:tcW w:w="751" w:type="dxa"/>
            <w:tcBorders>
              <w:top w:val="single" w:sz="4" w:space="0" w:color="auto"/>
              <w:bottom w:val="single" w:sz="12" w:space="0" w:color="auto"/>
            </w:tcBorders>
            <w:shd w:val="clear" w:color="auto" w:fill="auto"/>
            <w:vAlign w:val="bottom"/>
          </w:tcPr>
          <w:p w:rsidR="000F52D7" w:rsidRPr="00B5727F" w:rsidRDefault="000F52D7" w:rsidP="008A732A">
            <w:pPr>
              <w:spacing w:before="80" w:after="80" w:line="220" w:lineRule="exact"/>
              <w:jc w:val="right"/>
              <w:rPr>
                <w:b/>
                <w:bCs/>
                <w:sz w:val="18"/>
                <w:szCs w:val="18"/>
                <w:lang w:val="fr-CA" w:eastAsia="es-ES"/>
              </w:rPr>
            </w:pPr>
            <w:r w:rsidRPr="00B5727F">
              <w:rPr>
                <w:b/>
                <w:bCs/>
                <w:sz w:val="18"/>
                <w:szCs w:val="18"/>
                <w:lang w:val="fr-CA" w:eastAsia="es-ES"/>
              </w:rPr>
              <w:t>29</w:t>
            </w:r>
            <w:r w:rsidR="0080611A" w:rsidRPr="00B5727F">
              <w:rPr>
                <w:b/>
                <w:bCs/>
                <w:sz w:val="18"/>
                <w:szCs w:val="18"/>
                <w:lang w:val="fr-CA" w:eastAsia="es-ES"/>
              </w:rPr>
              <w:t>,</w:t>
            </w:r>
            <w:r w:rsidRPr="00B5727F">
              <w:rPr>
                <w:b/>
                <w:bCs/>
                <w:sz w:val="18"/>
                <w:szCs w:val="18"/>
                <w:lang w:val="fr-CA" w:eastAsia="es-ES"/>
              </w:rPr>
              <w:t>6</w:t>
            </w:r>
          </w:p>
        </w:tc>
      </w:tr>
    </w:tbl>
    <w:p w:rsidR="00FB23D3" w:rsidRPr="00B3274C" w:rsidRDefault="00FB23D3" w:rsidP="000F52D7">
      <w:pPr>
        <w:pStyle w:val="Source"/>
        <w:ind w:left="0"/>
        <w:rPr>
          <w:b/>
          <w:bCs/>
          <w:lang w:val="fr-CA"/>
        </w:rPr>
      </w:pPr>
      <w:r w:rsidRPr="00B3274C">
        <w:rPr>
          <w:i/>
          <w:lang w:val="fr-CA"/>
        </w:rPr>
        <w:t>Source</w:t>
      </w:r>
      <w:r w:rsidRPr="00B3274C">
        <w:rPr>
          <w:lang w:val="fr-CA"/>
        </w:rPr>
        <w:t>:</w:t>
      </w:r>
      <w:r w:rsidR="000F52D7">
        <w:rPr>
          <w:lang w:val="fr-CA"/>
        </w:rPr>
        <w:t xml:space="preserve"> </w:t>
      </w:r>
      <w:r w:rsidR="008A732A">
        <w:rPr>
          <w:lang w:val="fr-CA"/>
        </w:rPr>
        <w:t>Euros</w:t>
      </w:r>
      <w:r w:rsidR="008A732A" w:rsidRPr="00B3274C">
        <w:rPr>
          <w:lang w:val="fr-CA"/>
        </w:rPr>
        <w:t>tat</w:t>
      </w:r>
      <w:r w:rsidR="00955508" w:rsidRPr="00B3274C">
        <w:rPr>
          <w:lang w:val="fr-CA"/>
        </w:rPr>
        <w:t>.</w:t>
      </w:r>
    </w:p>
    <w:p w:rsidR="00FB23D3" w:rsidRPr="00B3274C" w:rsidRDefault="00107A47" w:rsidP="00107A47">
      <w:pPr>
        <w:pStyle w:val="SingleTxtG"/>
        <w:rPr>
          <w:lang w:val="fr-CA"/>
        </w:rPr>
      </w:pPr>
      <w:r w:rsidRPr="00B3274C">
        <w:rPr>
          <w:lang w:val="fr-CA"/>
        </w:rPr>
        <w:t>68.</w:t>
      </w:r>
      <w:r w:rsidRPr="00B3274C">
        <w:rPr>
          <w:lang w:val="fr-CA"/>
        </w:rPr>
        <w:tab/>
      </w:r>
      <w:r w:rsidR="004A6F85" w:rsidRPr="00B3274C">
        <w:rPr>
          <w:lang w:val="fr-CA"/>
        </w:rPr>
        <w:t xml:space="preserve">Le graphique ci-dessous présente les taux de chômage en Grèce </w:t>
      </w:r>
      <w:r w:rsidR="00FB23D3" w:rsidRPr="00B3274C">
        <w:rPr>
          <w:lang w:val="fr-CA"/>
        </w:rPr>
        <w:t>(</w:t>
      </w:r>
      <w:r w:rsidR="004A6F85" w:rsidRPr="00B3274C">
        <w:rPr>
          <w:lang w:val="fr-CA"/>
        </w:rPr>
        <w:t xml:space="preserve">février </w:t>
      </w:r>
      <w:r w:rsidR="00FB23D3" w:rsidRPr="00B3274C">
        <w:rPr>
          <w:lang w:val="fr-CA"/>
        </w:rPr>
        <w:t xml:space="preserve">2012) </w:t>
      </w:r>
      <w:r w:rsidR="004A6F85" w:rsidRPr="00B3274C">
        <w:rPr>
          <w:lang w:val="fr-CA"/>
        </w:rPr>
        <w:t>par (gran</w:t>
      </w:r>
      <w:r w:rsidR="003F42B4">
        <w:rPr>
          <w:lang w:val="fr-CA"/>
        </w:rPr>
        <w:t>d)</w:t>
      </w:r>
      <w:r w:rsidR="0055323C">
        <w:rPr>
          <w:lang w:val="fr-CA"/>
        </w:rPr>
        <w:t xml:space="preserve"> </w:t>
      </w:r>
      <w:r w:rsidR="004A6F85" w:rsidRPr="00B3274C">
        <w:rPr>
          <w:lang w:val="fr-CA"/>
        </w:rPr>
        <w:t>groupe d</w:t>
      </w:r>
      <w:r w:rsidR="0080611A">
        <w:rPr>
          <w:lang w:val="fr-CA"/>
        </w:rPr>
        <w:t>’</w:t>
      </w:r>
      <w:r w:rsidR="004A6F85" w:rsidRPr="00B3274C">
        <w:rPr>
          <w:lang w:val="fr-CA"/>
        </w:rPr>
        <w:t>âge</w:t>
      </w:r>
      <w:r w:rsidR="00FB23D3" w:rsidRPr="00B3274C">
        <w:rPr>
          <w:lang w:val="fr-CA"/>
        </w:rPr>
        <w:t xml:space="preserve">. </w:t>
      </w:r>
      <w:r w:rsidR="004A6F85" w:rsidRPr="00B3274C">
        <w:rPr>
          <w:lang w:val="fr-CA"/>
        </w:rPr>
        <w:t xml:space="preserve">On note que les taux les plus élevés se retrouvent parmi les jeunes. </w:t>
      </w:r>
    </w:p>
    <w:p w:rsidR="00FB23D3" w:rsidRDefault="00252C8B" w:rsidP="00252C8B">
      <w:pPr>
        <w:pStyle w:val="H23G"/>
      </w:pPr>
      <w:r>
        <w:tab/>
      </w:r>
      <w:r>
        <w:tab/>
      </w:r>
      <w:r w:rsidR="005812E9" w:rsidRPr="00252C8B">
        <w:rPr>
          <w:b w:val="0"/>
        </w:rPr>
        <w:t>Figure</w:t>
      </w:r>
      <w:r w:rsidR="00380AEC" w:rsidRPr="00252C8B">
        <w:rPr>
          <w:b w:val="0"/>
        </w:rPr>
        <w:t xml:space="preserve"> 1</w:t>
      </w:r>
      <w:r w:rsidR="00A77670" w:rsidRPr="00252C8B">
        <w:rPr>
          <w:b w:val="0"/>
        </w:rPr>
        <w:br/>
      </w:r>
      <w:r w:rsidR="004A6F85" w:rsidRPr="00B3274C">
        <w:t>Taux de chômage en Grèce par (gran</w:t>
      </w:r>
      <w:r w:rsidR="003F42B4">
        <w:t>d)</w:t>
      </w:r>
      <w:r w:rsidR="0055323C">
        <w:t xml:space="preserve"> </w:t>
      </w:r>
      <w:r w:rsidR="004A6F85" w:rsidRPr="00B3274C">
        <w:t>groupe d</w:t>
      </w:r>
      <w:r w:rsidR="0080611A">
        <w:t>’</w:t>
      </w:r>
      <w:r w:rsidR="004A6F85" w:rsidRPr="00B3274C">
        <w:t xml:space="preserve">âge </w:t>
      </w:r>
      <w:r w:rsidR="00000D84">
        <w:t xml:space="preserve">– </w:t>
      </w:r>
      <w:r w:rsidR="003C6454" w:rsidRPr="00B3274C">
        <w:t>%</w:t>
      </w:r>
    </w:p>
    <w:p w:rsidR="008A732A" w:rsidRDefault="00950154" w:rsidP="008A732A">
      <w:pPr>
        <w:pStyle w:val="SingleTxtG"/>
        <w:jc w:val="left"/>
        <w:rPr>
          <w:b/>
          <w:lang w:val="fr-CA"/>
        </w:rPr>
      </w:pPr>
      <w:r>
        <w:rPr>
          <w:b/>
          <w:lang w:val="fr-CA"/>
        </w:rPr>
        <w:pict>
          <v:shape id="_x0000_i1026" type="#_x0000_t75" style="width:283.5pt;height:159.75pt" o:bordertopcolor="this" o:borderleftcolor="this" o:borderbottomcolor="this" o:borderrightcolor="this">
            <v:imagedata r:id="rId8" o:title=""/>
            <w10:bordertop type="single" width="4"/>
            <w10:borderleft type="single" width="4"/>
            <w10:borderbottom type="single" width="4"/>
            <w10:borderright type="single" width="4"/>
          </v:shape>
        </w:pict>
      </w:r>
    </w:p>
    <w:p w:rsidR="00FB23D3" w:rsidRPr="00B3274C" w:rsidRDefault="00FB23D3" w:rsidP="00000D84">
      <w:pPr>
        <w:pStyle w:val="Source"/>
        <w:rPr>
          <w:lang w:val="fr-CA"/>
        </w:rPr>
      </w:pPr>
      <w:r w:rsidRPr="00B3274C">
        <w:rPr>
          <w:i/>
          <w:lang w:val="fr-CA"/>
        </w:rPr>
        <w:t>Source</w:t>
      </w:r>
      <w:r w:rsidRPr="00B3274C">
        <w:rPr>
          <w:lang w:val="fr-CA"/>
        </w:rPr>
        <w:t>: EL.STAT.</w:t>
      </w:r>
    </w:p>
    <w:p w:rsidR="00FB23D3" w:rsidRPr="00B3274C" w:rsidRDefault="0093236A" w:rsidP="000F7535">
      <w:pPr>
        <w:pStyle w:val="H23G"/>
        <w:rPr>
          <w:lang w:val="fr-CA"/>
        </w:rPr>
      </w:pPr>
      <w:r w:rsidRPr="00B3274C">
        <w:rPr>
          <w:lang w:val="fr-CA"/>
        </w:rPr>
        <w:tab/>
      </w:r>
      <w:r w:rsidR="000F7535" w:rsidRPr="00B3274C">
        <w:rPr>
          <w:lang w:val="fr-CA"/>
        </w:rPr>
        <w:t>d</w:t>
      </w:r>
      <w:r w:rsidR="00E676B0" w:rsidRPr="00B3274C">
        <w:rPr>
          <w:lang w:val="fr-CA"/>
        </w:rPr>
        <w:t>)</w:t>
      </w:r>
      <w:r w:rsidRPr="00B3274C">
        <w:rPr>
          <w:lang w:val="fr-CA"/>
        </w:rPr>
        <w:tab/>
      </w:r>
      <w:r w:rsidR="0010449B" w:rsidRPr="00B3274C">
        <w:rPr>
          <w:lang w:val="fr-CA"/>
        </w:rPr>
        <w:t>Politique</w:t>
      </w:r>
      <w:r w:rsidR="00FF4A01" w:rsidRPr="00B3274C">
        <w:rPr>
          <w:lang w:val="fr-CA"/>
        </w:rPr>
        <w:t>s</w:t>
      </w:r>
      <w:r w:rsidR="0010449B" w:rsidRPr="00B3274C">
        <w:rPr>
          <w:lang w:val="fr-CA"/>
        </w:rPr>
        <w:t xml:space="preserve"> de promotion de l</w:t>
      </w:r>
      <w:r w:rsidR="0080611A">
        <w:rPr>
          <w:lang w:val="fr-CA"/>
        </w:rPr>
        <w:t>’</w:t>
      </w:r>
      <w:r w:rsidR="0010449B" w:rsidRPr="00B3274C">
        <w:rPr>
          <w:lang w:val="fr-CA"/>
        </w:rPr>
        <w:t xml:space="preserve">emploi et de réduction du chômage parmi les jeunes </w:t>
      </w:r>
    </w:p>
    <w:p w:rsidR="00FB23D3" w:rsidRPr="00B3274C" w:rsidRDefault="00107A47" w:rsidP="00107A47">
      <w:pPr>
        <w:pStyle w:val="SingleTxtG"/>
        <w:rPr>
          <w:lang w:val="fr-CA"/>
        </w:rPr>
      </w:pPr>
      <w:r w:rsidRPr="00B3274C">
        <w:rPr>
          <w:lang w:val="fr-CA"/>
        </w:rPr>
        <w:t>69.</w:t>
      </w:r>
      <w:r w:rsidRPr="00B3274C">
        <w:rPr>
          <w:lang w:val="fr-CA"/>
        </w:rPr>
        <w:tab/>
      </w:r>
      <w:r w:rsidR="0010449B" w:rsidRPr="00B3274C">
        <w:rPr>
          <w:lang w:val="fr-CA"/>
        </w:rPr>
        <w:t>Les jeunes et</w:t>
      </w:r>
      <w:r w:rsidR="0080611A">
        <w:rPr>
          <w:lang w:val="fr-CA"/>
        </w:rPr>
        <w:t>,</w:t>
      </w:r>
      <w:r w:rsidR="0010449B" w:rsidRPr="00B3274C">
        <w:rPr>
          <w:lang w:val="fr-CA"/>
        </w:rPr>
        <w:t xml:space="preserve"> en particulier</w:t>
      </w:r>
      <w:r w:rsidR="0080611A">
        <w:rPr>
          <w:lang w:val="fr-CA"/>
        </w:rPr>
        <w:t>,</w:t>
      </w:r>
      <w:r w:rsidR="0010449B" w:rsidRPr="00B3274C">
        <w:rPr>
          <w:lang w:val="fr-CA"/>
        </w:rPr>
        <w:t xml:space="preserve"> ceux qui arrivent sur le marché du travail pour la première fois ont des difficultés particulières à trouver un emploi</w:t>
      </w:r>
      <w:r w:rsidR="00FB23D3" w:rsidRPr="00B3274C">
        <w:rPr>
          <w:lang w:val="fr-CA"/>
        </w:rPr>
        <w:t xml:space="preserve">. </w:t>
      </w:r>
    </w:p>
    <w:p w:rsidR="00FB23D3" w:rsidRPr="00B3274C" w:rsidRDefault="00107A47" w:rsidP="00107A47">
      <w:pPr>
        <w:pStyle w:val="SingleTxtG"/>
        <w:rPr>
          <w:lang w:val="fr-CA"/>
        </w:rPr>
      </w:pPr>
      <w:r w:rsidRPr="00B3274C">
        <w:rPr>
          <w:lang w:val="fr-CA"/>
        </w:rPr>
        <w:t>70.</w:t>
      </w:r>
      <w:r w:rsidRPr="00B3274C">
        <w:rPr>
          <w:lang w:val="fr-CA"/>
        </w:rPr>
        <w:tab/>
      </w:r>
      <w:r w:rsidR="00FB23D3" w:rsidRPr="00B3274C">
        <w:rPr>
          <w:lang w:val="fr-CA"/>
        </w:rPr>
        <w:t>L</w:t>
      </w:r>
      <w:r w:rsidR="0010449B" w:rsidRPr="00B3274C">
        <w:rPr>
          <w:lang w:val="fr-CA"/>
        </w:rPr>
        <w:t xml:space="preserve">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 xml:space="preserve">3845/2010 </w:t>
      </w:r>
      <w:r w:rsidR="00FA304D" w:rsidRPr="00B3274C">
        <w:rPr>
          <w:lang w:val="fr-CA"/>
        </w:rPr>
        <w:t>prévoit des contrats d</w:t>
      </w:r>
      <w:r w:rsidR="0080611A">
        <w:rPr>
          <w:lang w:val="fr-CA"/>
        </w:rPr>
        <w:t>’</w:t>
      </w:r>
      <w:r w:rsidR="00FA304D" w:rsidRPr="00B3274C">
        <w:rPr>
          <w:lang w:val="fr-CA"/>
        </w:rPr>
        <w:t>acquisition d</w:t>
      </w:r>
      <w:r w:rsidR="0080611A">
        <w:rPr>
          <w:lang w:val="fr-CA"/>
        </w:rPr>
        <w:t>’</w:t>
      </w:r>
      <w:r w:rsidR="00FA304D" w:rsidRPr="00B3274C">
        <w:rPr>
          <w:lang w:val="fr-CA"/>
        </w:rPr>
        <w:t>expérience professionnelle</w:t>
      </w:r>
      <w:r w:rsidR="0080611A">
        <w:rPr>
          <w:lang w:val="fr-CA"/>
        </w:rPr>
        <w:t>,</w:t>
      </w:r>
      <w:r w:rsidR="00FA304D" w:rsidRPr="00B3274C">
        <w:rPr>
          <w:lang w:val="fr-CA"/>
        </w:rPr>
        <w:t xml:space="preserve"> dans le cadre des programmes </w:t>
      </w:r>
      <w:r w:rsidR="00954250" w:rsidRPr="00B3274C">
        <w:rPr>
          <w:lang w:val="fr-CA"/>
        </w:rPr>
        <w:t xml:space="preserve">établis </w:t>
      </w:r>
      <w:r w:rsidR="00FA304D" w:rsidRPr="00B3274C">
        <w:rPr>
          <w:lang w:val="fr-CA"/>
        </w:rPr>
        <w:t>en faveur des jeunes chômeurs âgés de 16 à 24</w:t>
      </w:r>
      <w:r w:rsidR="004C055A">
        <w:rPr>
          <w:lang w:val="fr-CA"/>
        </w:rPr>
        <w:t> ans</w:t>
      </w:r>
      <w:r w:rsidR="0080611A">
        <w:rPr>
          <w:lang w:val="fr-CA"/>
        </w:rPr>
        <w:t>,</w:t>
      </w:r>
      <w:r w:rsidR="00FA304D" w:rsidRPr="00B3274C">
        <w:rPr>
          <w:lang w:val="fr-CA"/>
        </w:rPr>
        <w:t xml:space="preserve"> </w:t>
      </w:r>
      <w:r w:rsidR="00321791" w:rsidRPr="00B3274C">
        <w:rPr>
          <w:lang w:val="fr-CA"/>
        </w:rPr>
        <w:t>leur attribuant</w:t>
      </w:r>
      <w:r w:rsidR="00954250" w:rsidRPr="00B3274C">
        <w:rPr>
          <w:lang w:val="fr-CA"/>
        </w:rPr>
        <w:t xml:space="preserve"> un</w:t>
      </w:r>
      <w:r w:rsidR="00FA304D" w:rsidRPr="00B3274C">
        <w:rPr>
          <w:lang w:val="fr-CA"/>
        </w:rPr>
        <w:t xml:space="preserve"> </w:t>
      </w:r>
      <w:r w:rsidR="00954250" w:rsidRPr="00B3274C">
        <w:rPr>
          <w:lang w:val="fr-CA"/>
        </w:rPr>
        <w:t>salaire égal</w:t>
      </w:r>
      <w:r w:rsidR="00FA304D" w:rsidRPr="00B3274C">
        <w:rPr>
          <w:lang w:val="fr-CA"/>
        </w:rPr>
        <w:t xml:space="preserve"> à 80</w:t>
      </w:r>
      <w:r w:rsidR="0050285B">
        <w:rPr>
          <w:lang w:val="fr-CA"/>
        </w:rPr>
        <w:t> %</w:t>
      </w:r>
      <w:r w:rsidR="00FA304D" w:rsidRPr="00B3274C">
        <w:rPr>
          <w:lang w:val="fr-CA"/>
        </w:rPr>
        <w:t xml:space="preserve"> du </w:t>
      </w:r>
      <w:r w:rsidR="00954250" w:rsidRPr="00B3274C">
        <w:rPr>
          <w:lang w:val="fr-CA"/>
        </w:rPr>
        <w:t>salaire</w:t>
      </w:r>
      <w:r w:rsidR="00FA304D" w:rsidRPr="00B3274C">
        <w:rPr>
          <w:lang w:val="fr-CA"/>
        </w:rPr>
        <w:t xml:space="preserve"> fixé par la convention collective générale nationale et des subventions pour les aider à couvrir leurs frais de sécurité sociale. </w:t>
      </w:r>
      <w:r w:rsidR="004364D3" w:rsidRPr="00B3274C">
        <w:rPr>
          <w:lang w:val="fr-CA"/>
        </w:rPr>
        <w:t>Parmi les mesures prises pour faciliter l</w:t>
      </w:r>
      <w:r w:rsidR="0080611A">
        <w:rPr>
          <w:lang w:val="fr-CA"/>
        </w:rPr>
        <w:t>’</w:t>
      </w:r>
      <w:r w:rsidR="004364D3" w:rsidRPr="00B3274C">
        <w:rPr>
          <w:lang w:val="fr-CA"/>
        </w:rPr>
        <w:t>accès des jeunes et des nouveaux arrivants sur le marché du travail</w:t>
      </w:r>
      <w:r w:rsidR="0080611A">
        <w:rPr>
          <w:lang w:val="fr-CA"/>
        </w:rPr>
        <w:t>,</w:t>
      </w:r>
      <w:r w:rsidR="004364D3" w:rsidRPr="00B3274C">
        <w:rPr>
          <w:lang w:val="fr-CA"/>
        </w:rPr>
        <w:t xml:space="preserve"> on notera un programme de stages d</w:t>
      </w:r>
      <w:r w:rsidR="0080611A">
        <w:rPr>
          <w:lang w:val="fr-CA"/>
        </w:rPr>
        <w:t>’</w:t>
      </w:r>
      <w:r w:rsidR="004364D3" w:rsidRPr="00B3274C">
        <w:rPr>
          <w:lang w:val="fr-CA"/>
        </w:rPr>
        <w:t>acquisition d</w:t>
      </w:r>
      <w:r w:rsidR="0080611A">
        <w:rPr>
          <w:lang w:val="fr-CA"/>
        </w:rPr>
        <w:t>’</w:t>
      </w:r>
      <w:r w:rsidR="004364D3" w:rsidRPr="00B3274C">
        <w:rPr>
          <w:lang w:val="fr-CA"/>
        </w:rPr>
        <w:t>expérience professionnelle dans le secteur privé s</w:t>
      </w:r>
      <w:r w:rsidR="0080611A">
        <w:rPr>
          <w:lang w:val="fr-CA"/>
        </w:rPr>
        <w:t>’</w:t>
      </w:r>
      <w:r w:rsidR="004364D3" w:rsidRPr="00B3274C">
        <w:rPr>
          <w:lang w:val="fr-CA"/>
        </w:rPr>
        <w:t xml:space="preserve">adressant </w:t>
      </w:r>
      <w:r w:rsidR="00A40A08">
        <w:rPr>
          <w:lang w:val="fr-CA"/>
        </w:rPr>
        <w:t>aux personnes</w:t>
      </w:r>
      <w:r w:rsidR="004364D3" w:rsidRPr="00B3274C">
        <w:rPr>
          <w:lang w:val="fr-CA"/>
        </w:rPr>
        <w:t xml:space="preserve"> âgées de 16 à 24</w:t>
      </w:r>
      <w:r w:rsidR="004C055A">
        <w:rPr>
          <w:lang w:val="fr-CA"/>
        </w:rPr>
        <w:t> ans</w:t>
      </w:r>
      <w:r w:rsidR="004364D3" w:rsidRPr="00B3274C">
        <w:rPr>
          <w:lang w:val="fr-CA"/>
        </w:rPr>
        <w:t>. Le programme concerne 5</w:t>
      </w:r>
      <w:r w:rsidR="00DE4A95">
        <w:rPr>
          <w:lang w:val="fr-CA"/>
        </w:rPr>
        <w:t> </w:t>
      </w:r>
      <w:r w:rsidR="004364D3" w:rsidRPr="00B3274C">
        <w:rPr>
          <w:lang w:val="fr-CA"/>
        </w:rPr>
        <w:t>000 bénéficiaires et les stages d</w:t>
      </w:r>
      <w:r w:rsidR="0080611A">
        <w:rPr>
          <w:lang w:val="fr-CA"/>
        </w:rPr>
        <w:t>’</w:t>
      </w:r>
      <w:r w:rsidR="004364D3" w:rsidRPr="00B3274C">
        <w:rPr>
          <w:lang w:val="fr-CA"/>
        </w:rPr>
        <w:t xml:space="preserve">expérience professionnelle peuvent être convertis en contrats de travail ordinaires. </w:t>
      </w:r>
    </w:p>
    <w:p w:rsidR="00FB23D3" w:rsidRPr="00B3274C" w:rsidRDefault="0099272B" w:rsidP="00500367">
      <w:pPr>
        <w:pStyle w:val="SingleTxtG"/>
        <w:rPr>
          <w:bCs/>
          <w:lang w:val="fr-CA"/>
        </w:rPr>
      </w:pPr>
      <w:r>
        <w:rPr>
          <w:lang w:val="fr-CA"/>
        </w:rPr>
        <w:t>71.</w:t>
      </w:r>
      <w:r>
        <w:rPr>
          <w:lang w:val="fr-CA"/>
        </w:rPr>
        <w:tab/>
      </w:r>
      <w:r w:rsidR="004364D3" w:rsidRPr="00B3274C">
        <w:rPr>
          <w:bCs/>
          <w:lang w:val="fr-CA"/>
        </w:rPr>
        <w:t xml:space="preserve">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bCs/>
          <w:lang w:val="fr-CA"/>
        </w:rPr>
        <w:t xml:space="preserve">3863/2010 </w:t>
      </w:r>
      <w:r w:rsidR="004364D3" w:rsidRPr="00B3274C">
        <w:rPr>
          <w:bCs/>
          <w:lang w:val="fr-CA"/>
        </w:rPr>
        <w:t>vise à faciliter l</w:t>
      </w:r>
      <w:r w:rsidR="0080611A">
        <w:rPr>
          <w:bCs/>
          <w:lang w:val="fr-CA"/>
        </w:rPr>
        <w:t>’</w:t>
      </w:r>
      <w:r w:rsidR="004364D3" w:rsidRPr="00B3274C">
        <w:rPr>
          <w:bCs/>
          <w:lang w:val="fr-CA"/>
        </w:rPr>
        <w:t xml:space="preserve">accès des jeunes </w:t>
      </w:r>
      <w:r w:rsidR="00652467" w:rsidRPr="00B3274C">
        <w:rPr>
          <w:bCs/>
          <w:lang w:val="fr-CA"/>
        </w:rPr>
        <w:t>au</w:t>
      </w:r>
      <w:r w:rsidR="004364D3" w:rsidRPr="00B3274C">
        <w:rPr>
          <w:bCs/>
          <w:lang w:val="fr-CA"/>
        </w:rPr>
        <w:t xml:space="preserve"> marché du travail afin qu</w:t>
      </w:r>
      <w:r w:rsidR="0080611A">
        <w:rPr>
          <w:bCs/>
          <w:lang w:val="fr-CA"/>
        </w:rPr>
        <w:t>’</w:t>
      </w:r>
      <w:r w:rsidR="004364D3" w:rsidRPr="00B3274C">
        <w:rPr>
          <w:bCs/>
          <w:lang w:val="fr-CA"/>
        </w:rPr>
        <w:t>ils puissent acquérir une expérience professionnelle. Elle dispose notamment que des contrats d</w:t>
      </w:r>
      <w:r w:rsidR="0080611A">
        <w:rPr>
          <w:bCs/>
          <w:lang w:val="fr-CA"/>
        </w:rPr>
        <w:t>’</w:t>
      </w:r>
      <w:r w:rsidR="004364D3" w:rsidRPr="00B3274C">
        <w:rPr>
          <w:bCs/>
          <w:lang w:val="fr-CA"/>
        </w:rPr>
        <w:t>apprentissage spéciaux d</w:t>
      </w:r>
      <w:r w:rsidR="0080611A">
        <w:rPr>
          <w:bCs/>
          <w:lang w:val="fr-CA"/>
        </w:rPr>
        <w:t>’</w:t>
      </w:r>
      <w:r w:rsidR="004364D3" w:rsidRPr="00B3274C">
        <w:rPr>
          <w:bCs/>
          <w:lang w:val="fr-CA"/>
        </w:rPr>
        <w:t>une durée pouvant aller jusqu</w:t>
      </w:r>
      <w:r w:rsidR="0080611A">
        <w:rPr>
          <w:bCs/>
          <w:lang w:val="fr-CA"/>
        </w:rPr>
        <w:t>’</w:t>
      </w:r>
      <w:r w:rsidR="004364D3" w:rsidRPr="00B3274C">
        <w:rPr>
          <w:bCs/>
          <w:lang w:val="fr-CA"/>
        </w:rPr>
        <w:t xml:space="preserve">à un an peuvent être conclus entre des employeurs et </w:t>
      </w:r>
      <w:r w:rsidR="00614BAC">
        <w:rPr>
          <w:bCs/>
          <w:lang w:val="fr-CA"/>
        </w:rPr>
        <w:t>des personnes</w:t>
      </w:r>
      <w:r w:rsidR="004364D3" w:rsidRPr="00B3274C">
        <w:rPr>
          <w:bCs/>
          <w:lang w:val="fr-CA"/>
        </w:rPr>
        <w:t xml:space="preserve"> âgées de 15 à 18</w:t>
      </w:r>
      <w:r w:rsidR="004C055A">
        <w:rPr>
          <w:bCs/>
          <w:lang w:val="fr-CA"/>
        </w:rPr>
        <w:t> ans</w:t>
      </w:r>
      <w:r w:rsidR="0080611A">
        <w:rPr>
          <w:bCs/>
          <w:lang w:val="fr-CA"/>
        </w:rPr>
        <w:t>,</w:t>
      </w:r>
      <w:r w:rsidR="004364D3" w:rsidRPr="00B3274C">
        <w:rPr>
          <w:bCs/>
          <w:lang w:val="fr-CA"/>
        </w:rPr>
        <w:t xml:space="preserve"> pour permettre </w:t>
      </w:r>
      <w:r w:rsidR="006F448F" w:rsidRPr="00B3274C">
        <w:rPr>
          <w:bCs/>
          <w:lang w:val="fr-CA"/>
        </w:rPr>
        <w:t xml:space="preserve">à ces dernières </w:t>
      </w:r>
      <w:r w:rsidR="004364D3" w:rsidRPr="00B3274C">
        <w:rPr>
          <w:bCs/>
          <w:lang w:val="fr-CA"/>
        </w:rPr>
        <w:t>d</w:t>
      </w:r>
      <w:r w:rsidR="0080611A">
        <w:rPr>
          <w:bCs/>
          <w:lang w:val="fr-CA"/>
        </w:rPr>
        <w:t>’</w:t>
      </w:r>
      <w:r w:rsidR="004364D3" w:rsidRPr="00B3274C">
        <w:rPr>
          <w:bCs/>
          <w:lang w:val="fr-CA"/>
        </w:rPr>
        <w:t xml:space="preserve">acquérir des compétences. </w:t>
      </w:r>
      <w:r w:rsidR="006F448F" w:rsidRPr="00B3274C">
        <w:rPr>
          <w:bCs/>
          <w:lang w:val="fr-CA"/>
        </w:rPr>
        <w:t>Les apprentis reçoivent une rémunération correspondant à 70</w:t>
      </w:r>
      <w:r w:rsidR="0050285B">
        <w:rPr>
          <w:bCs/>
          <w:lang w:val="fr-CA"/>
        </w:rPr>
        <w:t> %</w:t>
      </w:r>
      <w:r w:rsidR="006F448F" w:rsidRPr="00B3274C">
        <w:rPr>
          <w:bCs/>
          <w:lang w:val="fr-CA"/>
        </w:rPr>
        <w:t xml:space="preserve"> du salaire minimum fixé par la convention collective générale nationale. Ces</w:t>
      </w:r>
      <w:r w:rsidR="00950154">
        <w:rPr>
          <w:bCs/>
          <w:lang w:val="fr-CA"/>
        </w:rPr>
        <w:t xml:space="preserve"> </w:t>
      </w:r>
      <w:r w:rsidR="00614BAC">
        <w:rPr>
          <w:bCs/>
          <w:lang w:val="fr-CA"/>
        </w:rPr>
        <w:t>personnes</w:t>
      </w:r>
      <w:r w:rsidR="006F448F" w:rsidRPr="00B3274C">
        <w:rPr>
          <w:bCs/>
          <w:lang w:val="fr-CA"/>
        </w:rPr>
        <w:t xml:space="preserve"> ne sont pas soumises aux dispositions de la législation du travail</w:t>
      </w:r>
      <w:r w:rsidR="0080611A">
        <w:rPr>
          <w:bCs/>
          <w:lang w:val="fr-CA"/>
        </w:rPr>
        <w:t>,</w:t>
      </w:r>
      <w:r w:rsidR="006F448F" w:rsidRPr="00B3274C">
        <w:rPr>
          <w:bCs/>
          <w:lang w:val="fr-CA"/>
        </w:rPr>
        <w:t xml:space="preserve"> sauf celles qui concernent la santé et la sécurité des travailleurs. </w:t>
      </w:r>
      <w:r w:rsidR="00776453" w:rsidRPr="00B3274C">
        <w:rPr>
          <w:bCs/>
          <w:lang w:val="fr-CA"/>
        </w:rPr>
        <w:t>Ainsi</w:t>
      </w:r>
      <w:r w:rsidR="0080611A">
        <w:rPr>
          <w:bCs/>
          <w:lang w:val="fr-CA"/>
        </w:rPr>
        <w:t>,</w:t>
      </w:r>
      <w:r w:rsidR="00776453" w:rsidRPr="00B3274C">
        <w:rPr>
          <w:bCs/>
          <w:lang w:val="fr-CA"/>
        </w:rPr>
        <w:t xml:space="preserve"> une durée maximum et un salaire minimum sont fixés pour tous ces contrats. L</w:t>
      </w:r>
      <w:r w:rsidR="0012478D" w:rsidRPr="00B3274C">
        <w:rPr>
          <w:bCs/>
          <w:lang w:val="fr-CA"/>
        </w:rPr>
        <w:t xml:space="preserve">a durée maximum </w:t>
      </w:r>
      <w:r w:rsidR="00500367" w:rsidRPr="00B3274C">
        <w:rPr>
          <w:bCs/>
          <w:lang w:val="fr-CA"/>
        </w:rPr>
        <w:t xml:space="preserve">générale </w:t>
      </w:r>
      <w:r w:rsidR="00715669" w:rsidRPr="00B3274C">
        <w:rPr>
          <w:bCs/>
          <w:lang w:val="fr-CA"/>
        </w:rPr>
        <w:t>du temps de travail autorisé</w:t>
      </w:r>
      <w:r w:rsidR="00776453" w:rsidRPr="00B3274C">
        <w:rPr>
          <w:bCs/>
          <w:lang w:val="fr-CA"/>
        </w:rPr>
        <w:t xml:space="preserve"> pour les adolescents ainsi </w:t>
      </w:r>
      <w:r w:rsidR="00500367" w:rsidRPr="00B3274C">
        <w:rPr>
          <w:bCs/>
          <w:lang w:val="fr-CA"/>
        </w:rPr>
        <w:t>que l</w:t>
      </w:r>
      <w:r w:rsidR="0080611A">
        <w:rPr>
          <w:bCs/>
          <w:lang w:val="fr-CA"/>
        </w:rPr>
        <w:t>’</w:t>
      </w:r>
      <w:r w:rsidR="00500367" w:rsidRPr="00B3274C">
        <w:rPr>
          <w:bCs/>
          <w:lang w:val="fr-CA"/>
        </w:rPr>
        <w:t>âge minimum d</w:t>
      </w:r>
      <w:r w:rsidR="0080611A">
        <w:rPr>
          <w:bCs/>
          <w:lang w:val="fr-CA"/>
        </w:rPr>
        <w:t>’</w:t>
      </w:r>
      <w:r w:rsidR="00500367" w:rsidRPr="00B3274C">
        <w:rPr>
          <w:bCs/>
          <w:lang w:val="fr-CA"/>
        </w:rPr>
        <w:t xml:space="preserve">admission au travail </w:t>
      </w:r>
      <w:r w:rsidR="00776453" w:rsidRPr="00B3274C">
        <w:rPr>
          <w:bCs/>
          <w:lang w:val="fr-CA"/>
        </w:rPr>
        <w:t xml:space="preserve">sont garantis. </w:t>
      </w:r>
    </w:p>
    <w:p w:rsidR="00FB23D3" w:rsidRPr="00B3274C" w:rsidRDefault="00107A47" w:rsidP="00107A47">
      <w:pPr>
        <w:pStyle w:val="SingleTxtG"/>
        <w:rPr>
          <w:lang w:val="fr-CA"/>
        </w:rPr>
      </w:pPr>
      <w:r w:rsidRPr="00B3274C">
        <w:rPr>
          <w:lang w:val="fr-CA"/>
        </w:rPr>
        <w:t>72.</w:t>
      </w:r>
      <w:r w:rsidRPr="00B3274C">
        <w:rPr>
          <w:lang w:val="fr-CA"/>
        </w:rPr>
        <w:tab/>
      </w:r>
      <w:r w:rsidR="00D32959" w:rsidRPr="00B3274C">
        <w:rPr>
          <w:lang w:val="fr-CA"/>
        </w:rPr>
        <w:t>La promotion de l</w:t>
      </w:r>
      <w:r w:rsidR="0080611A">
        <w:rPr>
          <w:lang w:val="fr-CA"/>
        </w:rPr>
        <w:t>’</w:t>
      </w:r>
      <w:r w:rsidR="00D32959" w:rsidRPr="00B3274C">
        <w:rPr>
          <w:lang w:val="fr-CA"/>
        </w:rPr>
        <w:t>emploi et la lutte contre le chômage des jeunes sont devenues une priorité élevée et immédiate pour le Gouvernement</w:t>
      </w:r>
      <w:r w:rsidR="00597DC4">
        <w:rPr>
          <w:lang w:val="fr-CA"/>
        </w:rPr>
        <w:t>. À </w:t>
      </w:r>
      <w:r w:rsidR="00D32959" w:rsidRPr="00B3274C">
        <w:rPr>
          <w:lang w:val="fr-CA"/>
        </w:rPr>
        <w:t>cette fin</w:t>
      </w:r>
      <w:r w:rsidR="0080611A">
        <w:rPr>
          <w:lang w:val="fr-CA"/>
        </w:rPr>
        <w:t>,</w:t>
      </w:r>
      <w:r w:rsidR="00D32959" w:rsidRPr="00B3274C">
        <w:rPr>
          <w:lang w:val="fr-CA"/>
        </w:rPr>
        <w:t xml:space="preserve"> une stratégie cohérente</w:t>
      </w:r>
      <w:r w:rsidR="0080611A">
        <w:rPr>
          <w:lang w:val="fr-CA"/>
        </w:rPr>
        <w:t>,</w:t>
      </w:r>
      <w:r w:rsidR="00D32959" w:rsidRPr="00B3274C">
        <w:rPr>
          <w:lang w:val="fr-CA"/>
        </w:rPr>
        <w:t xml:space="preserve"> intégrée et efficace pour favoriser l</w:t>
      </w:r>
      <w:r w:rsidR="0080611A">
        <w:rPr>
          <w:lang w:val="fr-CA"/>
        </w:rPr>
        <w:t>’</w:t>
      </w:r>
      <w:r w:rsidR="00D32959" w:rsidRPr="00B3274C">
        <w:rPr>
          <w:lang w:val="fr-CA"/>
        </w:rPr>
        <w:t>emploi des jeunes a été adoptée</w:t>
      </w:r>
      <w:r w:rsidR="00EC5892" w:rsidRPr="00B3274C">
        <w:rPr>
          <w:lang w:val="fr-CA"/>
        </w:rPr>
        <w:t>;</w:t>
      </w:r>
      <w:r w:rsidR="00D32959" w:rsidRPr="00B3274C">
        <w:rPr>
          <w:lang w:val="fr-CA"/>
        </w:rPr>
        <w:t xml:space="preserve"> </w:t>
      </w:r>
      <w:r w:rsidR="00534795" w:rsidRPr="00B3274C">
        <w:rPr>
          <w:lang w:val="fr-CA"/>
        </w:rPr>
        <w:t>elle met</w:t>
      </w:r>
      <w:r w:rsidR="00D32959" w:rsidRPr="00B3274C">
        <w:rPr>
          <w:lang w:val="fr-CA"/>
        </w:rPr>
        <w:t xml:space="preserve"> l</w:t>
      </w:r>
      <w:r w:rsidR="0080611A">
        <w:rPr>
          <w:lang w:val="fr-CA"/>
        </w:rPr>
        <w:t>’</w:t>
      </w:r>
      <w:r w:rsidR="00D32959" w:rsidRPr="00B3274C">
        <w:rPr>
          <w:lang w:val="fr-CA"/>
        </w:rPr>
        <w:t>accent sur l</w:t>
      </w:r>
      <w:r w:rsidR="0080611A">
        <w:rPr>
          <w:lang w:val="fr-CA"/>
        </w:rPr>
        <w:t>’</w:t>
      </w:r>
      <w:r w:rsidR="00D32959" w:rsidRPr="00B3274C">
        <w:rPr>
          <w:lang w:val="fr-CA"/>
        </w:rPr>
        <w:t>harmonisation de l</w:t>
      </w:r>
      <w:r w:rsidR="0080611A">
        <w:rPr>
          <w:lang w:val="fr-CA"/>
        </w:rPr>
        <w:t>’</w:t>
      </w:r>
      <w:r w:rsidR="00D32959" w:rsidRPr="00B3274C">
        <w:rPr>
          <w:lang w:val="fr-CA"/>
        </w:rPr>
        <w:t xml:space="preserve">éducation et de la formation professionnelle avec les besoins du marché du travail. </w:t>
      </w:r>
    </w:p>
    <w:p w:rsidR="00FB23D3" w:rsidRPr="00B3274C" w:rsidRDefault="00107A47" w:rsidP="00107A47">
      <w:pPr>
        <w:pStyle w:val="SingleTxtG"/>
        <w:rPr>
          <w:lang w:val="fr-CA"/>
        </w:rPr>
      </w:pPr>
      <w:r w:rsidRPr="00B3274C">
        <w:rPr>
          <w:lang w:val="fr-CA"/>
        </w:rPr>
        <w:t>73.</w:t>
      </w:r>
      <w:r w:rsidRPr="00B3274C">
        <w:rPr>
          <w:lang w:val="fr-CA"/>
        </w:rPr>
        <w:tab/>
      </w:r>
      <w:r w:rsidR="004F6CFE" w:rsidRPr="00B3274C">
        <w:rPr>
          <w:lang w:val="fr-CA"/>
        </w:rPr>
        <w:t>L</w:t>
      </w:r>
      <w:r w:rsidR="0080611A">
        <w:rPr>
          <w:lang w:val="fr-CA"/>
        </w:rPr>
        <w:t>’</w:t>
      </w:r>
      <w:r w:rsidR="004F6CFE" w:rsidRPr="00B3274C">
        <w:rPr>
          <w:lang w:val="fr-CA"/>
        </w:rPr>
        <w:t xml:space="preserve">objectif quantitatif </w:t>
      </w:r>
      <w:r w:rsidR="00534795" w:rsidRPr="00B3274C">
        <w:rPr>
          <w:lang w:val="fr-CA"/>
        </w:rPr>
        <w:t>suivant a été fixé</w:t>
      </w:r>
      <w:r w:rsidR="00EC5892" w:rsidRPr="00B3274C">
        <w:rPr>
          <w:lang w:val="fr-CA"/>
        </w:rPr>
        <w:t>:</w:t>
      </w:r>
      <w:r w:rsidR="004A0E8E" w:rsidRPr="00B3274C">
        <w:rPr>
          <w:lang w:val="fr-CA"/>
        </w:rPr>
        <w:t xml:space="preserve"> ramener le </w:t>
      </w:r>
      <w:r w:rsidR="004F6CFE" w:rsidRPr="00B3274C">
        <w:rPr>
          <w:lang w:val="fr-CA"/>
        </w:rPr>
        <w:t>pourcentage des jeunes quittant prématurément l</w:t>
      </w:r>
      <w:r w:rsidR="0080611A">
        <w:rPr>
          <w:lang w:val="fr-CA"/>
        </w:rPr>
        <w:t>’</w:t>
      </w:r>
      <w:r w:rsidR="004F6CFE" w:rsidRPr="00B3274C">
        <w:rPr>
          <w:lang w:val="fr-CA"/>
        </w:rPr>
        <w:t xml:space="preserve">école </w:t>
      </w:r>
      <w:r w:rsidR="00C11F30" w:rsidRPr="00B3274C">
        <w:rPr>
          <w:lang w:val="fr-CA"/>
        </w:rPr>
        <w:t>à moins</w:t>
      </w:r>
      <w:r w:rsidR="004F6CFE" w:rsidRPr="00B3274C">
        <w:rPr>
          <w:lang w:val="fr-CA"/>
        </w:rPr>
        <w:t xml:space="preserve"> de 10</w:t>
      </w:r>
      <w:r w:rsidR="0050285B">
        <w:rPr>
          <w:lang w:val="fr-CA"/>
        </w:rPr>
        <w:t> %</w:t>
      </w:r>
      <w:r w:rsidR="004F6CFE" w:rsidRPr="00B3274C">
        <w:rPr>
          <w:lang w:val="fr-CA"/>
        </w:rPr>
        <w:t xml:space="preserve"> d</w:t>
      </w:r>
      <w:r w:rsidR="0080611A">
        <w:rPr>
          <w:lang w:val="fr-CA"/>
        </w:rPr>
        <w:t>’</w:t>
      </w:r>
      <w:r w:rsidR="004F6CFE" w:rsidRPr="00B3274C">
        <w:rPr>
          <w:lang w:val="fr-CA"/>
        </w:rPr>
        <w:t>ici 2013.</w:t>
      </w:r>
      <w:r w:rsidR="0055418C" w:rsidRPr="00B3274C">
        <w:rPr>
          <w:lang w:val="fr-CA"/>
        </w:rPr>
        <w:t xml:space="preserve"> </w:t>
      </w:r>
      <w:r w:rsidR="009F7F97" w:rsidRPr="00B3274C">
        <w:rPr>
          <w:lang w:val="fr-CA"/>
        </w:rPr>
        <w:t xml:space="preserve">Cet objectif fait également partie de la planification générale du </w:t>
      </w:r>
      <w:r w:rsidR="009F7F97" w:rsidRPr="00B3274C">
        <w:rPr>
          <w:color w:val="000000"/>
          <w:lang w:val="fr-CA"/>
        </w:rPr>
        <w:t>Cadre de référence stratégique national</w:t>
      </w:r>
      <w:r w:rsidR="009F7F97" w:rsidRPr="00B3274C">
        <w:rPr>
          <w:lang w:val="fr-CA"/>
        </w:rPr>
        <w:t xml:space="preserve"> </w:t>
      </w:r>
      <w:r w:rsidR="00FB23D3" w:rsidRPr="00B3274C">
        <w:rPr>
          <w:lang w:val="fr-CA"/>
        </w:rPr>
        <w:t xml:space="preserve">2007-2013. </w:t>
      </w:r>
      <w:r w:rsidR="009F7F97" w:rsidRPr="00B3274C">
        <w:rPr>
          <w:lang w:val="fr-CA"/>
        </w:rPr>
        <w:t>Abaisser le pourcentage des jeunes quittant prématurément l</w:t>
      </w:r>
      <w:r w:rsidR="0080611A">
        <w:rPr>
          <w:lang w:val="fr-CA"/>
        </w:rPr>
        <w:t>’</w:t>
      </w:r>
      <w:r w:rsidR="009F7F97" w:rsidRPr="00B3274C">
        <w:rPr>
          <w:lang w:val="fr-CA"/>
        </w:rPr>
        <w:t>école à 12</w:t>
      </w:r>
      <w:r w:rsidR="0080611A">
        <w:rPr>
          <w:lang w:val="fr-CA"/>
        </w:rPr>
        <w:t>,</w:t>
      </w:r>
      <w:r w:rsidR="009F7F97" w:rsidRPr="00B3274C">
        <w:rPr>
          <w:lang w:val="fr-CA"/>
        </w:rPr>
        <w:t>5</w:t>
      </w:r>
      <w:r w:rsidR="0050285B">
        <w:rPr>
          <w:lang w:val="fr-CA"/>
        </w:rPr>
        <w:t> %</w:t>
      </w:r>
      <w:r w:rsidR="009F7F97" w:rsidRPr="00B3274C">
        <w:rPr>
          <w:lang w:val="fr-CA"/>
        </w:rPr>
        <w:t xml:space="preserve"> d</w:t>
      </w:r>
      <w:r w:rsidR="0080611A">
        <w:rPr>
          <w:lang w:val="fr-CA"/>
        </w:rPr>
        <w:t>’</w:t>
      </w:r>
      <w:r w:rsidR="009F7F97" w:rsidRPr="00B3274C">
        <w:rPr>
          <w:lang w:val="fr-CA"/>
        </w:rPr>
        <w:t>ici 2010 est l</w:t>
      </w:r>
      <w:r w:rsidR="0080611A">
        <w:rPr>
          <w:lang w:val="fr-CA"/>
        </w:rPr>
        <w:t>’</w:t>
      </w:r>
      <w:r w:rsidR="009F7F97" w:rsidRPr="00B3274C">
        <w:rPr>
          <w:lang w:val="fr-CA"/>
        </w:rPr>
        <w:t xml:space="preserve">objectif à moyen terme. </w:t>
      </w:r>
      <w:r w:rsidR="00C11F30" w:rsidRPr="00B3274C">
        <w:rPr>
          <w:lang w:val="fr-CA"/>
        </w:rPr>
        <w:t>L</w:t>
      </w:r>
      <w:r w:rsidR="0080611A">
        <w:rPr>
          <w:lang w:val="fr-CA"/>
        </w:rPr>
        <w:t>’</w:t>
      </w:r>
      <w:r w:rsidR="00C11F30" w:rsidRPr="00B3274C">
        <w:rPr>
          <w:lang w:val="fr-CA"/>
        </w:rPr>
        <w:t>indicateur de suivi est le nombre de jeunes quittant prématurément l</w:t>
      </w:r>
      <w:r w:rsidR="0080611A">
        <w:rPr>
          <w:lang w:val="fr-CA"/>
        </w:rPr>
        <w:t>’</w:t>
      </w:r>
      <w:r w:rsidR="00C11F30" w:rsidRPr="00B3274C">
        <w:rPr>
          <w:lang w:val="fr-CA"/>
        </w:rPr>
        <w:t xml:space="preserve">école </w:t>
      </w:r>
      <w:r w:rsidR="0025180A" w:rsidRPr="00B3274C">
        <w:rPr>
          <w:lang w:val="fr-CA"/>
        </w:rPr>
        <w:t>qui ne sont</w:t>
      </w:r>
      <w:r w:rsidR="00C11F30" w:rsidRPr="00B3274C">
        <w:rPr>
          <w:lang w:val="fr-CA"/>
        </w:rPr>
        <w:t xml:space="preserve"> ni dans le système éducatif ni en formation. </w:t>
      </w:r>
    </w:p>
    <w:p w:rsidR="00FB23D3" w:rsidRPr="00B3274C" w:rsidRDefault="00107A47" w:rsidP="00107A47">
      <w:pPr>
        <w:pStyle w:val="SingleTxtG"/>
        <w:rPr>
          <w:lang w:val="fr-CA"/>
        </w:rPr>
      </w:pPr>
      <w:r w:rsidRPr="00B3274C">
        <w:rPr>
          <w:lang w:val="fr-CA"/>
        </w:rPr>
        <w:t>74.</w:t>
      </w:r>
      <w:r w:rsidRPr="00B3274C">
        <w:rPr>
          <w:lang w:val="fr-CA"/>
        </w:rPr>
        <w:tab/>
      </w:r>
      <w:r w:rsidR="0071427D" w:rsidRPr="00B3274C">
        <w:rPr>
          <w:lang w:val="fr-CA"/>
        </w:rPr>
        <w:t>D</w:t>
      </w:r>
      <w:r w:rsidR="0080611A">
        <w:rPr>
          <w:lang w:val="fr-CA"/>
        </w:rPr>
        <w:t>’</w:t>
      </w:r>
      <w:r w:rsidR="0071427D" w:rsidRPr="00B3274C">
        <w:rPr>
          <w:lang w:val="fr-CA"/>
        </w:rPr>
        <w:t>autre part</w:t>
      </w:r>
      <w:r w:rsidR="0080611A">
        <w:rPr>
          <w:lang w:val="fr-CA"/>
        </w:rPr>
        <w:t>,</w:t>
      </w:r>
      <w:r w:rsidR="00FB23D3" w:rsidRPr="00B3274C">
        <w:rPr>
          <w:lang w:val="fr-CA"/>
        </w:rPr>
        <w:t xml:space="preserve"> </w:t>
      </w:r>
      <w:r w:rsidR="0071427D" w:rsidRPr="00B3274C">
        <w:rPr>
          <w:color w:val="000000"/>
          <w:lang w:val="fr-CA"/>
        </w:rPr>
        <w:t>l</w:t>
      </w:r>
      <w:r w:rsidR="0080611A">
        <w:rPr>
          <w:color w:val="000000"/>
          <w:lang w:val="fr-CA"/>
        </w:rPr>
        <w:t>’</w:t>
      </w:r>
      <w:r w:rsidR="00213466" w:rsidRPr="00B3274C">
        <w:rPr>
          <w:color w:val="000000"/>
          <w:lang w:val="fr-CA"/>
        </w:rPr>
        <w:t>Agence</w:t>
      </w:r>
      <w:r w:rsidR="0071427D" w:rsidRPr="00B3274C">
        <w:rPr>
          <w:color w:val="000000"/>
          <w:lang w:val="fr-CA"/>
        </w:rPr>
        <w:t xml:space="preserve"> grecque pour l</w:t>
      </w:r>
      <w:r w:rsidR="0080611A">
        <w:rPr>
          <w:color w:val="000000"/>
          <w:lang w:val="fr-CA"/>
        </w:rPr>
        <w:t>’</w:t>
      </w:r>
      <w:r w:rsidR="0071427D" w:rsidRPr="00B3274C">
        <w:rPr>
          <w:color w:val="000000"/>
          <w:lang w:val="fr-CA"/>
        </w:rPr>
        <w:t>emploi</w:t>
      </w:r>
      <w:r w:rsidR="0071427D" w:rsidRPr="00B3274C">
        <w:rPr>
          <w:lang w:val="fr-CA"/>
        </w:rPr>
        <w:t xml:space="preserve"> (</w:t>
      </w:r>
      <w:r w:rsidR="00FB23D3" w:rsidRPr="00B3274C">
        <w:rPr>
          <w:lang w:val="fr-CA"/>
        </w:rPr>
        <w:t>OAED</w:t>
      </w:r>
      <w:r w:rsidR="0071427D" w:rsidRPr="00B3274C">
        <w:rPr>
          <w:lang w:val="fr-CA"/>
        </w:rPr>
        <w:t>)</w:t>
      </w:r>
      <w:r w:rsidR="00FB23D3" w:rsidRPr="00B3274C">
        <w:rPr>
          <w:lang w:val="fr-CA"/>
        </w:rPr>
        <w:t xml:space="preserve"> </w:t>
      </w:r>
      <w:r w:rsidR="00C35EE3" w:rsidRPr="00B3274C">
        <w:rPr>
          <w:lang w:val="fr-CA"/>
        </w:rPr>
        <w:t>mène</w:t>
      </w:r>
      <w:r w:rsidR="00216766" w:rsidRPr="00B3274C">
        <w:rPr>
          <w:lang w:val="fr-CA"/>
        </w:rPr>
        <w:t xml:space="preserve"> des interventions </w:t>
      </w:r>
      <w:r w:rsidR="004F4C5B" w:rsidRPr="00B3274C">
        <w:rPr>
          <w:lang w:val="fr-CA"/>
        </w:rPr>
        <w:t>personnalisées</w:t>
      </w:r>
      <w:r w:rsidR="00216766" w:rsidRPr="00B3274C">
        <w:rPr>
          <w:lang w:val="fr-CA"/>
        </w:rPr>
        <w:t xml:space="preserve"> </w:t>
      </w:r>
      <w:r w:rsidR="00534795" w:rsidRPr="00B3274C">
        <w:rPr>
          <w:lang w:val="fr-CA"/>
        </w:rPr>
        <w:t>dans le cadre de politiques dynamiques en matière d</w:t>
      </w:r>
      <w:r w:rsidR="0080611A">
        <w:rPr>
          <w:lang w:val="fr-CA"/>
        </w:rPr>
        <w:t>’</w:t>
      </w:r>
      <w:r w:rsidR="00534795" w:rsidRPr="00B3274C">
        <w:rPr>
          <w:lang w:val="fr-CA"/>
        </w:rPr>
        <w:t>emploi (axées</w:t>
      </w:r>
      <w:r w:rsidR="0080611A">
        <w:rPr>
          <w:lang w:val="fr-CA"/>
        </w:rPr>
        <w:t>,</w:t>
      </w:r>
      <w:r w:rsidR="00C35EE3" w:rsidRPr="00B3274C">
        <w:rPr>
          <w:lang w:val="fr-CA"/>
        </w:rPr>
        <w:t xml:space="preserve"> par exemple</w:t>
      </w:r>
      <w:r w:rsidR="0080611A">
        <w:rPr>
          <w:lang w:val="fr-CA"/>
        </w:rPr>
        <w:t>,</w:t>
      </w:r>
      <w:r w:rsidR="0055418C" w:rsidRPr="00B3274C">
        <w:rPr>
          <w:lang w:val="fr-CA"/>
        </w:rPr>
        <w:t xml:space="preserve"> </w:t>
      </w:r>
      <w:r w:rsidR="00534795" w:rsidRPr="00B3274C">
        <w:rPr>
          <w:lang w:val="fr-CA"/>
        </w:rPr>
        <w:t>sur l</w:t>
      </w:r>
      <w:r w:rsidR="0080611A">
        <w:rPr>
          <w:lang w:val="fr-CA"/>
        </w:rPr>
        <w:t>’</w:t>
      </w:r>
      <w:r w:rsidR="00534795" w:rsidRPr="00B3274C">
        <w:rPr>
          <w:lang w:val="fr-CA"/>
        </w:rPr>
        <w:t>orientation</w:t>
      </w:r>
      <w:r w:rsidR="0080611A">
        <w:rPr>
          <w:lang w:val="fr-CA"/>
        </w:rPr>
        <w:t>,</w:t>
      </w:r>
      <w:r w:rsidR="00534795" w:rsidRPr="00B3274C">
        <w:rPr>
          <w:lang w:val="fr-CA"/>
        </w:rPr>
        <w:t xml:space="preserve"> la préformation</w:t>
      </w:r>
      <w:r w:rsidR="0080611A">
        <w:rPr>
          <w:lang w:val="fr-CA"/>
        </w:rPr>
        <w:t>,</w:t>
      </w:r>
      <w:r w:rsidR="00534795" w:rsidRPr="00B3274C">
        <w:rPr>
          <w:lang w:val="fr-CA"/>
        </w:rPr>
        <w:t xml:space="preserve"> la formation</w:t>
      </w:r>
      <w:r w:rsidR="0080611A">
        <w:rPr>
          <w:lang w:val="fr-CA"/>
        </w:rPr>
        <w:t>,</w:t>
      </w:r>
      <w:r w:rsidR="00534795" w:rsidRPr="00B3274C">
        <w:rPr>
          <w:lang w:val="fr-CA"/>
        </w:rPr>
        <w:t xml:space="preserve"> l</w:t>
      </w:r>
      <w:r w:rsidR="0080611A">
        <w:rPr>
          <w:lang w:val="fr-CA"/>
        </w:rPr>
        <w:t>’</w:t>
      </w:r>
      <w:r w:rsidR="00534795" w:rsidRPr="00B3274C">
        <w:rPr>
          <w:lang w:val="fr-CA"/>
        </w:rPr>
        <w:t>emploi</w:t>
      </w:r>
      <w:r w:rsidR="0080611A">
        <w:rPr>
          <w:lang w:val="fr-CA"/>
        </w:rPr>
        <w:t>,</w:t>
      </w:r>
      <w:r w:rsidR="00534795" w:rsidRPr="00B3274C">
        <w:rPr>
          <w:lang w:val="fr-CA"/>
        </w:rPr>
        <w:t xml:space="preserve"> subventionné ou non</w:t>
      </w:r>
      <w:r w:rsidR="0080611A">
        <w:rPr>
          <w:lang w:val="fr-CA"/>
        </w:rPr>
        <w:t>,</w:t>
      </w:r>
      <w:r w:rsidR="00534795" w:rsidRPr="00B3274C">
        <w:rPr>
          <w:lang w:val="fr-CA"/>
        </w:rPr>
        <w:t xml:space="preserve"> les services d</w:t>
      </w:r>
      <w:r w:rsidR="0080611A">
        <w:rPr>
          <w:lang w:val="fr-CA"/>
        </w:rPr>
        <w:t>’</w:t>
      </w:r>
      <w:r w:rsidR="00534795" w:rsidRPr="00B3274C">
        <w:rPr>
          <w:lang w:val="fr-CA"/>
        </w:rPr>
        <w:t>accompagnement</w:t>
      </w:r>
      <w:r w:rsidR="0080611A">
        <w:rPr>
          <w:lang w:val="fr-CA"/>
        </w:rPr>
        <w:t>,</w:t>
      </w:r>
      <w:r w:rsidR="00534795" w:rsidRPr="00B3274C">
        <w:rPr>
          <w:lang w:val="fr-CA"/>
        </w:rPr>
        <w:t xml:space="preserve"> etc.) </w:t>
      </w:r>
      <w:r w:rsidR="00216766" w:rsidRPr="00B3274C">
        <w:rPr>
          <w:lang w:val="fr-CA"/>
        </w:rPr>
        <w:t>qui offrent aux jeunes un accès à un large éventail d</w:t>
      </w:r>
      <w:r w:rsidR="0080611A">
        <w:rPr>
          <w:lang w:val="fr-CA"/>
        </w:rPr>
        <w:t>’</w:t>
      </w:r>
      <w:r w:rsidR="00216766" w:rsidRPr="00B3274C">
        <w:rPr>
          <w:lang w:val="fr-CA"/>
        </w:rPr>
        <w:t xml:space="preserve">activités </w:t>
      </w:r>
      <w:r w:rsidR="0025180A" w:rsidRPr="00B3274C">
        <w:rPr>
          <w:lang w:val="fr-CA"/>
        </w:rPr>
        <w:t xml:space="preserve">ou </w:t>
      </w:r>
      <w:r w:rsidR="004F4C5B" w:rsidRPr="00B3274C">
        <w:rPr>
          <w:lang w:val="fr-CA"/>
        </w:rPr>
        <w:t>un placement direct dans un poste vacant.</w:t>
      </w:r>
      <w:r w:rsidR="0055418C" w:rsidRPr="00B3274C">
        <w:rPr>
          <w:lang w:val="fr-CA"/>
        </w:rPr>
        <w:t xml:space="preserve"> </w:t>
      </w:r>
    </w:p>
    <w:p w:rsidR="00FB23D3" w:rsidRPr="00B3274C" w:rsidRDefault="00107A47" w:rsidP="00107A47">
      <w:pPr>
        <w:pStyle w:val="SingleTxtG"/>
        <w:spacing w:after="100"/>
        <w:rPr>
          <w:lang w:val="fr-CA"/>
        </w:rPr>
      </w:pPr>
      <w:r w:rsidRPr="00B3274C">
        <w:rPr>
          <w:lang w:val="fr-CA"/>
        </w:rPr>
        <w:t>75.</w:t>
      </w:r>
      <w:r w:rsidRPr="00B3274C">
        <w:rPr>
          <w:lang w:val="fr-CA"/>
        </w:rPr>
        <w:tab/>
      </w:r>
      <w:r w:rsidR="00213466" w:rsidRPr="00B3274C">
        <w:rPr>
          <w:lang w:val="fr-CA"/>
        </w:rPr>
        <w:t>En outre</w:t>
      </w:r>
      <w:r w:rsidR="0080611A">
        <w:rPr>
          <w:lang w:val="fr-CA"/>
        </w:rPr>
        <w:t>,</w:t>
      </w:r>
      <w:r w:rsidR="00FB23D3" w:rsidRPr="00B3274C">
        <w:rPr>
          <w:lang w:val="fr-CA"/>
        </w:rPr>
        <w:t xml:space="preserve"> </w:t>
      </w:r>
      <w:r w:rsidR="00213466" w:rsidRPr="00B3274C">
        <w:rPr>
          <w:lang w:val="fr-CA"/>
        </w:rPr>
        <w:t>l</w:t>
      </w:r>
      <w:r w:rsidR="0080611A">
        <w:rPr>
          <w:lang w:val="fr-CA"/>
        </w:rPr>
        <w:t>’</w:t>
      </w:r>
      <w:r w:rsidR="00467AEA" w:rsidRPr="00B3274C">
        <w:rPr>
          <w:lang w:val="fr-CA"/>
        </w:rPr>
        <w:t>Agence pour l</w:t>
      </w:r>
      <w:r w:rsidR="0080611A">
        <w:rPr>
          <w:lang w:val="fr-CA"/>
        </w:rPr>
        <w:t>’</w:t>
      </w:r>
      <w:r w:rsidR="00467AEA" w:rsidRPr="00B3274C">
        <w:rPr>
          <w:lang w:val="fr-CA"/>
        </w:rPr>
        <w:t>emploi</w:t>
      </w:r>
      <w:r w:rsidR="00FB23D3" w:rsidRPr="00B3274C">
        <w:rPr>
          <w:lang w:val="fr-CA"/>
        </w:rPr>
        <w:t xml:space="preserve"> </w:t>
      </w:r>
      <w:r w:rsidR="00BB514F" w:rsidRPr="00B3274C">
        <w:rPr>
          <w:lang w:val="fr-CA"/>
        </w:rPr>
        <w:t>conclut des contrats portant sur des mesures dynamiques en matière d</w:t>
      </w:r>
      <w:r w:rsidR="0080611A">
        <w:rPr>
          <w:lang w:val="fr-CA"/>
        </w:rPr>
        <w:t>’</w:t>
      </w:r>
      <w:r w:rsidR="00BB514F" w:rsidRPr="00B3274C">
        <w:rPr>
          <w:lang w:val="fr-CA"/>
        </w:rPr>
        <w:t>emploi avec d</w:t>
      </w:r>
      <w:r w:rsidR="0080611A">
        <w:rPr>
          <w:lang w:val="fr-CA"/>
        </w:rPr>
        <w:t>’</w:t>
      </w:r>
      <w:r w:rsidR="00BB514F" w:rsidRPr="00B3274C">
        <w:rPr>
          <w:lang w:val="fr-CA"/>
        </w:rPr>
        <w:t>autres agents certifiés</w:t>
      </w:r>
      <w:r w:rsidR="0080611A">
        <w:rPr>
          <w:lang w:val="fr-CA"/>
        </w:rPr>
        <w:t>,</w:t>
      </w:r>
      <w:r w:rsidR="00BB514F" w:rsidRPr="00B3274C">
        <w:rPr>
          <w:lang w:val="fr-CA"/>
        </w:rPr>
        <w:t xml:space="preserve"> venant des secteurs public et privé de l</w:t>
      </w:r>
      <w:r w:rsidR="0080611A">
        <w:rPr>
          <w:lang w:val="fr-CA"/>
        </w:rPr>
        <w:t>’</w:t>
      </w:r>
      <w:r w:rsidR="00BB514F" w:rsidRPr="00B3274C">
        <w:rPr>
          <w:lang w:val="fr-CA"/>
        </w:rPr>
        <w:t>économie</w:t>
      </w:r>
      <w:r w:rsidR="0080611A">
        <w:rPr>
          <w:lang w:val="fr-CA"/>
        </w:rPr>
        <w:t>,</w:t>
      </w:r>
      <w:r w:rsidR="00BB514F" w:rsidRPr="00B3274C">
        <w:rPr>
          <w:lang w:val="fr-CA"/>
        </w:rPr>
        <w:t xml:space="preserve"> des </w:t>
      </w:r>
      <w:r w:rsidR="00790084" w:rsidRPr="00B3274C">
        <w:rPr>
          <w:lang w:val="fr-CA"/>
        </w:rPr>
        <w:t>administrations</w:t>
      </w:r>
      <w:r w:rsidR="00BB514F" w:rsidRPr="00B3274C">
        <w:rPr>
          <w:lang w:val="fr-CA"/>
        </w:rPr>
        <w:t xml:space="preserve"> locales</w:t>
      </w:r>
      <w:r w:rsidR="0080611A">
        <w:rPr>
          <w:lang w:val="fr-CA"/>
        </w:rPr>
        <w:t>,</w:t>
      </w:r>
      <w:r w:rsidR="00BB514F" w:rsidRPr="00B3274C">
        <w:rPr>
          <w:lang w:val="fr-CA"/>
        </w:rPr>
        <w:t xml:space="preserve"> de l</w:t>
      </w:r>
      <w:r w:rsidR="0080611A">
        <w:rPr>
          <w:lang w:val="fr-CA"/>
        </w:rPr>
        <w:t>’</w:t>
      </w:r>
      <w:r w:rsidR="00BB514F" w:rsidRPr="00B3274C">
        <w:rPr>
          <w:lang w:val="fr-CA"/>
        </w:rPr>
        <w:t>enseignement universitaire</w:t>
      </w:r>
      <w:r w:rsidR="0080611A">
        <w:rPr>
          <w:lang w:val="fr-CA"/>
        </w:rPr>
        <w:t>,</w:t>
      </w:r>
      <w:r w:rsidR="00BB514F" w:rsidRPr="00B3274C">
        <w:rPr>
          <w:lang w:val="fr-CA"/>
        </w:rPr>
        <w:t xml:space="preserve"> des organisations non gouvernementales</w:t>
      </w:r>
      <w:r w:rsidR="0080611A">
        <w:rPr>
          <w:lang w:val="fr-CA"/>
        </w:rPr>
        <w:t>,</w:t>
      </w:r>
      <w:r w:rsidR="00AF4781" w:rsidRPr="00B3274C">
        <w:rPr>
          <w:lang w:val="fr-CA"/>
        </w:rPr>
        <w:t xml:space="preserve"> entre </w:t>
      </w:r>
      <w:r w:rsidR="00BB514F" w:rsidRPr="00B3274C">
        <w:rPr>
          <w:lang w:val="fr-CA"/>
        </w:rPr>
        <w:t>autres.</w:t>
      </w:r>
      <w:r w:rsidR="0055418C" w:rsidRPr="00B3274C">
        <w:rPr>
          <w:lang w:val="fr-CA"/>
        </w:rPr>
        <w:t xml:space="preserve"> </w:t>
      </w:r>
    </w:p>
    <w:p w:rsidR="00FB23D3" w:rsidRPr="00B3274C" w:rsidRDefault="00107A47" w:rsidP="00107A47">
      <w:pPr>
        <w:pStyle w:val="SingleTxtG"/>
        <w:spacing w:after="100"/>
        <w:rPr>
          <w:bCs/>
          <w:lang w:val="fr-CA"/>
        </w:rPr>
      </w:pPr>
      <w:r w:rsidRPr="00B3274C">
        <w:rPr>
          <w:bCs/>
          <w:lang w:val="fr-CA"/>
        </w:rPr>
        <w:t>76.</w:t>
      </w:r>
      <w:r w:rsidRPr="00B3274C">
        <w:rPr>
          <w:bCs/>
          <w:lang w:val="fr-CA"/>
        </w:rPr>
        <w:tab/>
      </w:r>
      <w:r w:rsidR="000F21FC" w:rsidRPr="00B3274C">
        <w:rPr>
          <w:bCs/>
          <w:lang w:val="fr-CA"/>
        </w:rPr>
        <w:t xml:space="preserve">Dans le cadre du Programme opérationnel </w:t>
      </w:r>
      <w:r w:rsidR="0055418C" w:rsidRPr="00B3274C">
        <w:rPr>
          <w:bCs/>
          <w:lang w:val="fr-CA"/>
        </w:rPr>
        <w:t>«</w:t>
      </w:r>
      <w:r w:rsidR="000F21FC" w:rsidRPr="00B3274C">
        <w:rPr>
          <w:bCs/>
          <w:lang w:val="fr-CA"/>
        </w:rPr>
        <w:t>Développement des ressources humaines</w:t>
      </w:r>
      <w:r w:rsidR="0055418C" w:rsidRPr="00B3274C">
        <w:rPr>
          <w:bCs/>
          <w:lang w:val="fr-CA"/>
        </w:rPr>
        <w:t>»</w:t>
      </w:r>
      <w:r w:rsidR="000F21FC" w:rsidRPr="00B3274C">
        <w:rPr>
          <w:bCs/>
          <w:lang w:val="fr-CA"/>
        </w:rPr>
        <w:t xml:space="preserve"> </w:t>
      </w:r>
      <w:r w:rsidR="000F21FC" w:rsidRPr="00B3274C">
        <w:rPr>
          <w:lang w:val="fr-CA"/>
        </w:rPr>
        <w:t>2007-2013 et dans le but d</w:t>
      </w:r>
      <w:r w:rsidR="0080611A">
        <w:rPr>
          <w:lang w:val="fr-CA"/>
        </w:rPr>
        <w:t>’</w:t>
      </w:r>
      <w:r w:rsidR="000F21FC" w:rsidRPr="00B3274C">
        <w:rPr>
          <w:lang w:val="fr-CA"/>
        </w:rPr>
        <w:t>améliorer l</w:t>
      </w:r>
      <w:r w:rsidR="0080611A">
        <w:rPr>
          <w:lang w:val="fr-CA"/>
        </w:rPr>
        <w:t>’</w:t>
      </w:r>
      <w:r w:rsidR="000F21FC" w:rsidRPr="00B3274C">
        <w:rPr>
          <w:lang w:val="fr-CA"/>
        </w:rPr>
        <w:t>adéquation entre l</w:t>
      </w:r>
      <w:r w:rsidR="0080611A">
        <w:rPr>
          <w:lang w:val="fr-CA"/>
        </w:rPr>
        <w:t>’</w:t>
      </w:r>
      <w:r w:rsidR="000F21FC" w:rsidRPr="00B3274C">
        <w:rPr>
          <w:lang w:val="fr-CA"/>
        </w:rPr>
        <w:t>offre et la demande de main d</w:t>
      </w:r>
      <w:r w:rsidR="0080611A">
        <w:rPr>
          <w:lang w:val="fr-CA"/>
        </w:rPr>
        <w:t>’</w:t>
      </w:r>
      <w:r w:rsidR="00225A6C" w:rsidRPr="00B3274C">
        <w:rPr>
          <w:lang w:val="fr-CA"/>
        </w:rPr>
        <w:t>œuvre</w:t>
      </w:r>
      <w:r w:rsidR="0080611A">
        <w:rPr>
          <w:lang w:val="fr-CA"/>
        </w:rPr>
        <w:t>,</w:t>
      </w:r>
      <w:r w:rsidR="000F21FC" w:rsidRPr="00B3274C">
        <w:rPr>
          <w:lang w:val="fr-CA"/>
        </w:rPr>
        <w:t xml:space="preserve"> un certain nombre d</w:t>
      </w:r>
      <w:r w:rsidR="0080611A">
        <w:rPr>
          <w:lang w:val="fr-CA"/>
        </w:rPr>
        <w:t>’</w:t>
      </w:r>
      <w:r w:rsidR="000F21FC" w:rsidRPr="00B3274C">
        <w:rPr>
          <w:lang w:val="fr-CA"/>
        </w:rPr>
        <w:t xml:space="preserve">activités ont été organisées pour promouvoir des interventions systémiques. </w:t>
      </w:r>
    </w:p>
    <w:p w:rsidR="00FB23D3" w:rsidRPr="00B3274C" w:rsidRDefault="00107A47" w:rsidP="00107A47">
      <w:pPr>
        <w:pStyle w:val="SingleTxtG"/>
        <w:spacing w:after="100"/>
        <w:rPr>
          <w:lang w:val="fr-CA"/>
        </w:rPr>
      </w:pPr>
      <w:r w:rsidRPr="00B3274C">
        <w:rPr>
          <w:lang w:val="fr-CA"/>
        </w:rPr>
        <w:t>77.</w:t>
      </w:r>
      <w:r w:rsidRPr="00B3274C">
        <w:rPr>
          <w:lang w:val="fr-CA"/>
        </w:rPr>
        <w:tab/>
      </w:r>
      <w:r w:rsidR="00225A6C" w:rsidRPr="00B3274C">
        <w:rPr>
          <w:lang w:val="fr-CA"/>
        </w:rPr>
        <w:t xml:space="preserve">Le Secrétariat général à la jeunesse a institué des </w:t>
      </w:r>
      <w:r w:rsidR="0055418C" w:rsidRPr="00B3274C">
        <w:rPr>
          <w:lang w:val="fr-CA"/>
        </w:rPr>
        <w:t>«</w:t>
      </w:r>
      <w:r w:rsidR="00225A6C" w:rsidRPr="00B3274C">
        <w:rPr>
          <w:lang w:val="fr-CA"/>
        </w:rPr>
        <w:t>guichets jeunes entrepreneurs</w:t>
      </w:r>
      <w:r w:rsidR="0055418C" w:rsidRPr="00B3274C">
        <w:rPr>
          <w:lang w:val="fr-CA"/>
        </w:rPr>
        <w:t>»</w:t>
      </w:r>
      <w:r w:rsidR="00225A6C" w:rsidRPr="00B3274C">
        <w:rPr>
          <w:lang w:val="fr-CA"/>
        </w:rPr>
        <w:t xml:space="preserve"> pour répondre aux défis et demandes d</w:t>
      </w:r>
      <w:r w:rsidR="0080611A">
        <w:rPr>
          <w:lang w:val="fr-CA"/>
        </w:rPr>
        <w:t>’</w:t>
      </w:r>
      <w:r w:rsidR="00225A6C" w:rsidRPr="00B3274C">
        <w:rPr>
          <w:lang w:val="fr-CA"/>
        </w:rPr>
        <w:t>aujourd</w:t>
      </w:r>
      <w:r w:rsidR="0080611A">
        <w:rPr>
          <w:lang w:val="fr-CA"/>
        </w:rPr>
        <w:t>’</w:t>
      </w:r>
      <w:r w:rsidR="00225A6C" w:rsidRPr="00B3274C">
        <w:rPr>
          <w:lang w:val="fr-CA"/>
        </w:rPr>
        <w:t xml:space="preserve">hui et </w:t>
      </w:r>
      <w:r w:rsidR="008F4046" w:rsidRPr="00B3274C">
        <w:rPr>
          <w:lang w:val="fr-CA"/>
        </w:rPr>
        <w:t>soutenir les jeunes dans les efforts qu</w:t>
      </w:r>
      <w:r w:rsidR="0080611A">
        <w:rPr>
          <w:lang w:val="fr-CA"/>
        </w:rPr>
        <w:t>’</w:t>
      </w:r>
      <w:r w:rsidR="008F4046" w:rsidRPr="00B3274C">
        <w:rPr>
          <w:lang w:val="fr-CA"/>
        </w:rPr>
        <w:t>ils déploient pour participer au processus de production en créant leur propre entreprise.</w:t>
      </w:r>
      <w:r w:rsidR="0055418C" w:rsidRPr="00B3274C">
        <w:rPr>
          <w:lang w:val="fr-CA"/>
        </w:rPr>
        <w:t xml:space="preserve"> </w:t>
      </w:r>
    </w:p>
    <w:p w:rsidR="00FB23D3" w:rsidRPr="00B3274C" w:rsidRDefault="00D61DFD" w:rsidP="002A0742">
      <w:pPr>
        <w:pStyle w:val="H23G"/>
        <w:spacing w:before="200" w:after="100"/>
        <w:rPr>
          <w:lang w:val="fr-CA"/>
        </w:rPr>
      </w:pPr>
      <w:r w:rsidRPr="00B3274C">
        <w:rPr>
          <w:lang w:val="fr-CA"/>
        </w:rPr>
        <w:tab/>
      </w:r>
      <w:r w:rsidR="000F7535" w:rsidRPr="00B3274C">
        <w:rPr>
          <w:lang w:val="fr-CA"/>
        </w:rPr>
        <w:t>4.</w:t>
      </w:r>
      <w:r w:rsidRPr="00B3274C">
        <w:rPr>
          <w:lang w:val="fr-CA"/>
        </w:rPr>
        <w:tab/>
      </w:r>
      <w:r w:rsidR="007F3A77" w:rsidRPr="00B3274C">
        <w:rPr>
          <w:lang w:val="fr-CA"/>
        </w:rPr>
        <w:t>Politiques et mesures visant à garantir l</w:t>
      </w:r>
      <w:r w:rsidR="0080611A">
        <w:rPr>
          <w:lang w:val="fr-CA"/>
        </w:rPr>
        <w:t>’</w:t>
      </w:r>
      <w:r w:rsidR="007F3A77" w:rsidRPr="00B3274C">
        <w:rPr>
          <w:lang w:val="fr-CA"/>
        </w:rPr>
        <w:t xml:space="preserve">emploi à plein temps </w:t>
      </w:r>
    </w:p>
    <w:p w:rsidR="00FB23D3" w:rsidRPr="00B3274C" w:rsidRDefault="00107A47" w:rsidP="00107A47">
      <w:pPr>
        <w:pStyle w:val="SingleTxtG"/>
        <w:spacing w:after="100"/>
        <w:rPr>
          <w:szCs w:val="25"/>
          <w:lang w:val="fr-CA"/>
        </w:rPr>
      </w:pPr>
      <w:r w:rsidRPr="00B3274C">
        <w:rPr>
          <w:lang w:val="fr-CA"/>
        </w:rPr>
        <w:t>78.</w:t>
      </w:r>
      <w:r w:rsidRPr="00B3274C">
        <w:rPr>
          <w:lang w:val="fr-CA"/>
        </w:rPr>
        <w:tab/>
      </w:r>
      <w:r w:rsidR="007F3A77" w:rsidRPr="00B3274C">
        <w:rPr>
          <w:szCs w:val="25"/>
          <w:lang w:val="fr-CA"/>
        </w:rPr>
        <w:t>L</w:t>
      </w:r>
      <w:r w:rsidR="0080611A">
        <w:rPr>
          <w:szCs w:val="25"/>
          <w:lang w:val="fr-CA"/>
        </w:rPr>
        <w:t>’</w:t>
      </w:r>
      <w:r w:rsidR="007F3A77" w:rsidRPr="00B3274C">
        <w:rPr>
          <w:szCs w:val="25"/>
          <w:lang w:val="fr-CA"/>
        </w:rPr>
        <w:t>Agence pour l</w:t>
      </w:r>
      <w:r w:rsidR="0080611A">
        <w:rPr>
          <w:szCs w:val="25"/>
          <w:lang w:val="fr-CA"/>
        </w:rPr>
        <w:t>’</w:t>
      </w:r>
      <w:r w:rsidR="007F3A77" w:rsidRPr="00B3274C">
        <w:rPr>
          <w:szCs w:val="25"/>
          <w:lang w:val="fr-CA"/>
        </w:rPr>
        <w:t>emploi met en œuvre une série de programmes visant à développer l</w:t>
      </w:r>
      <w:r w:rsidR="0080611A">
        <w:rPr>
          <w:szCs w:val="25"/>
          <w:lang w:val="fr-CA"/>
        </w:rPr>
        <w:t>’</w:t>
      </w:r>
      <w:r w:rsidR="007F3A77" w:rsidRPr="00B3274C">
        <w:rPr>
          <w:szCs w:val="25"/>
          <w:lang w:val="fr-CA"/>
        </w:rPr>
        <w:t>emploi et à combattre le chômage (programmes de formation</w:t>
      </w:r>
      <w:r w:rsidR="0080611A">
        <w:rPr>
          <w:szCs w:val="25"/>
          <w:lang w:val="fr-CA"/>
        </w:rPr>
        <w:t>,</w:t>
      </w:r>
      <w:r w:rsidR="007F3A77" w:rsidRPr="00B3274C">
        <w:rPr>
          <w:szCs w:val="25"/>
          <w:lang w:val="fr-CA"/>
        </w:rPr>
        <w:t xml:space="preserve"> programmes d</w:t>
      </w:r>
      <w:r w:rsidR="0080611A">
        <w:rPr>
          <w:szCs w:val="25"/>
          <w:lang w:val="fr-CA"/>
        </w:rPr>
        <w:t>’</w:t>
      </w:r>
      <w:r w:rsidR="007F3A77" w:rsidRPr="00B3274C">
        <w:rPr>
          <w:szCs w:val="25"/>
          <w:lang w:val="fr-CA"/>
        </w:rPr>
        <w:t>acquisition d</w:t>
      </w:r>
      <w:r w:rsidR="0080611A">
        <w:rPr>
          <w:szCs w:val="25"/>
          <w:lang w:val="fr-CA"/>
        </w:rPr>
        <w:t>’</w:t>
      </w:r>
      <w:r w:rsidR="007F3A77" w:rsidRPr="00B3274C">
        <w:rPr>
          <w:szCs w:val="25"/>
          <w:lang w:val="fr-CA"/>
        </w:rPr>
        <w:t>expérience professionnelle</w:t>
      </w:r>
      <w:r w:rsidR="0080611A">
        <w:rPr>
          <w:szCs w:val="25"/>
          <w:lang w:val="fr-CA"/>
        </w:rPr>
        <w:t>,</w:t>
      </w:r>
      <w:r w:rsidR="007F3A77" w:rsidRPr="00B3274C">
        <w:rPr>
          <w:szCs w:val="25"/>
          <w:lang w:val="fr-CA"/>
        </w:rPr>
        <w:t xml:space="preserve"> programmes d</w:t>
      </w:r>
      <w:r w:rsidR="0080611A">
        <w:rPr>
          <w:szCs w:val="25"/>
          <w:lang w:val="fr-CA"/>
        </w:rPr>
        <w:t>’</w:t>
      </w:r>
      <w:r w:rsidR="007F3A77" w:rsidRPr="00B3274C">
        <w:rPr>
          <w:szCs w:val="25"/>
          <w:lang w:val="fr-CA"/>
        </w:rPr>
        <w:t>octroi de subventions aux chômeurs pour qu</w:t>
      </w:r>
      <w:r w:rsidR="0080611A">
        <w:rPr>
          <w:szCs w:val="25"/>
          <w:lang w:val="fr-CA"/>
        </w:rPr>
        <w:t>’</w:t>
      </w:r>
      <w:r w:rsidR="007F3A77" w:rsidRPr="00B3274C">
        <w:rPr>
          <w:szCs w:val="25"/>
          <w:lang w:val="fr-CA"/>
        </w:rPr>
        <w:t>ils puissent démarrer une activité</w:t>
      </w:r>
      <w:r w:rsidR="0080611A">
        <w:rPr>
          <w:szCs w:val="25"/>
          <w:lang w:val="fr-CA"/>
        </w:rPr>
        <w:t>,</w:t>
      </w:r>
      <w:r w:rsidR="007F3A77" w:rsidRPr="00B3274C">
        <w:rPr>
          <w:szCs w:val="25"/>
          <w:lang w:val="fr-CA"/>
        </w:rPr>
        <w:t xml:space="preserve"> programmes d</w:t>
      </w:r>
      <w:r w:rsidR="0080611A">
        <w:rPr>
          <w:szCs w:val="25"/>
          <w:lang w:val="fr-CA"/>
        </w:rPr>
        <w:t>’</w:t>
      </w:r>
      <w:r w:rsidR="007F3A77" w:rsidRPr="00B3274C">
        <w:rPr>
          <w:szCs w:val="25"/>
          <w:lang w:val="fr-CA"/>
        </w:rPr>
        <w:t>octroi de subventions aux entreprises pour qu</w:t>
      </w:r>
      <w:r w:rsidR="0080611A">
        <w:rPr>
          <w:szCs w:val="25"/>
          <w:lang w:val="fr-CA"/>
        </w:rPr>
        <w:t>’</w:t>
      </w:r>
      <w:r w:rsidR="007F3A77" w:rsidRPr="00B3274C">
        <w:rPr>
          <w:szCs w:val="25"/>
          <w:lang w:val="fr-CA"/>
        </w:rPr>
        <w:t>elles emploient des chômeurs).</w:t>
      </w:r>
      <w:r w:rsidR="0055418C" w:rsidRPr="00B3274C">
        <w:rPr>
          <w:szCs w:val="25"/>
          <w:lang w:val="fr-CA"/>
        </w:rPr>
        <w:t xml:space="preserve"> </w:t>
      </w:r>
    </w:p>
    <w:p w:rsidR="00FB23D3" w:rsidRPr="00B3274C" w:rsidRDefault="00D61DFD" w:rsidP="00144904">
      <w:pPr>
        <w:pStyle w:val="H23G"/>
        <w:spacing w:before="200"/>
        <w:rPr>
          <w:lang w:val="fr-CA"/>
        </w:rPr>
      </w:pPr>
      <w:r w:rsidRPr="00B3274C">
        <w:rPr>
          <w:lang w:val="fr-CA"/>
        </w:rPr>
        <w:tab/>
      </w:r>
      <w:r w:rsidR="000F7535" w:rsidRPr="00B3274C">
        <w:rPr>
          <w:lang w:val="fr-CA"/>
        </w:rPr>
        <w:t>5.</w:t>
      </w:r>
      <w:r w:rsidRPr="00B3274C">
        <w:rPr>
          <w:lang w:val="fr-CA"/>
        </w:rPr>
        <w:tab/>
      </w:r>
      <w:r w:rsidR="00FB23D3" w:rsidRPr="00B3274C">
        <w:rPr>
          <w:lang w:val="fr-CA"/>
        </w:rPr>
        <w:t xml:space="preserve">Programmes </w:t>
      </w:r>
      <w:r w:rsidR="009076DD" w:rsidRPr="00B3274C">
        <w:rPr>
          <w:lang w:val="fr-CA"/>
        </w:rPr>
        <w:t xml:space="preserve">de subventionnement des cotisations de sécurité sociale </w:t>
      </w:r>
    </w:p>
    <w:p w:rsidR="00FB23D3" w:rsidRPr="00B3274C" w:rsidRDefault="00107A47" w:rsidP="00107A47">
      <w:pPr>
        <w:pStyle w:val="SingleTxtG"/>
        <w:rPr>
          <w:szCs w:val="25"/>
          <w:lang w:val="fr-CA"/>
        </w:rPr>
      </w:pPr>
      <w:r w:rsidRPr="00B3274C">
        <w:rPr>
          <w:lang w:val="fr-CA"/>
        </w:rPr>
        <w:t>79.</w:t>
      </w:r>
      <w:r w:rsidRPr="00B3274C">
        <w:rPr>
          <w:lang w:val="fr-CA"/>
        </w:rPr>
        <w:tab/>
      </w:r>
      <w:r w:rsidR="00E86500" w:rsidRPr="00B3274C">
        <w:rPr>
          <w:lang w:val="fr-CA"/>
        </w:rPr>
        <w:t>Afin de lutter contre les effets de la crise sur l</w:t>
      </w:r>
      <w:r w:rsidR="0080611A">
        <w:rPr>
          <w:lang w:val="fr-CA"/>
        </w:rPr>
        <w:t>’</w:t>
      </w:r>
      <w:r w:rsidR="00E86500" w:rsidRPr="00B3274C">
        <w:rPr>
          <w:lang w:val="fr-CA"/>
        </w:rPr>
        <w:t>emploi</w:t>
      </w:r>
      <w:r w:rsidR="0080611A">
        <w:rPr>
          <w:lang w:val="fr-CA"/>
        </w:rPr>
        <w:t>,</w:t>
      </w:r>
      <w:r w:rsidR="00E86500" w:rsidRPr="00B3274C">
        <w:rPr>
          <w:lang w:val="fr-CA"/>
        </w:rPr>
        <w:t xml:space="preserve"> le </w:t>
      </w:r>
      <w:r w:rsidR="009076DD" w:rsidRPr="00B3274C">
        <w:rPr>
          <w:lang w:val="fr-CA"/>
        </w:rPr>
        <w:t>Ministère du travail et de la sécurité sociale applique</w:t>
      </w:r>
      <w:r w:rsidR="00E86500" w:rsidRPr="00B3274C">
        <w:rPr>
          <w:lang w:val="fr-CA"/>
        </w:rPr>
        <w:t xml:space="preserve"> </w:t>
      </w:r>
      <w:r w:rsidR="009076DD" w:rsidRPr="00B3274C">
        <w:rPr>
          <w:lang w:val="fr-CA"/>
        </w:rPr>
        <w:t>une série de programmes prévoyant le subventionnement des cotisations de sécurité sociale pour les chômeurs pour une période allant jusqu</w:t>
      </w:r>
      <w:r w:rsidR="0080611A">
        <w:rPr>
          <w:lang w:val="fr-CA"/>
        </w:rPr>
        <w:t>’</w:t>
      </w:r>
      <w:r w:rsidR="009076DD" w:rsidRPr="00B3274C">
        <w:rPr>
          <w:lang w:val="fr-CA"/>
        </w:rPr>
        <w:t>à quatre</w:t>
      </w:r>
      <w:r w:rsidR="004C055A">
        <w:rPr>
          <w:lang w:val="fr-CA"/>
        </w:rPr>
        <w:t> ans</w:t>
      </w:r>
      <w:r w:rsidR="009076DD" w:rsidRPr="00B3274C">
        <w:rPr>
          <w:lang w:val="fr-CA"/>
        </w:rPr>
        <w:t xml:space="preserve">. </w:t>
      </w:r>
      <w:r w:rsidR="00E86500" w:rsidRPr="00B3274C">
        <w:rPr>
          <w:lang w:val="fr-CA"/>
        </w:rPr>
        <w:t>En établissant ces programmes</w:t>
      </w:r>
      <w:r w:rsidR="0080611A">
        <w:rPr>
          <w:lang w:val="fr-CA"/>
        </w:rPr>
        <w:t>,</w:t>
      </w:r>
      <w:r w:rsidR="00E86500" w:rsidRPr="00B3274C">
        <w:rPr>
          <w:lang w:val="fr-CA"/>
        </w:rPr>
        <w:t xml:space="preserve"> une attention particulière a été accordée aux groupes sociaux en situation de vulnérabilité sur le marché du travail</w:t>
      </w:r>
      <w:r w:rsidR="0080611A">
        <w:rPr>
          <w:lang w:val="fr-CA"/>
        </w:rPr>
        <w:t>,</w:t>
      </w:r>
      <w:r w:rsidR="00E86500" w:rsidRPr="00B3274C">
        <w:rPr>
          <w:lang w:val="fr-CA"/>
        </w:rPr>
        <w:t xml:space="preserve"> </w:t>
      </w:r>
      <w:r w:rsidR="00A8598B" w:rsidRPr="00B3274C">
        <w:rPr>
          <w:lang w:val="fr-CA"/>
        </w:rPr>
        <w:t>tels que</w:t>
      </w:r>
      <w:r w:rsidR="00E86500" w:rsidRPr="00B3274C">
        <w:rPr>
          <w:lang w:val="fr-CA"/>
        </w:rPr>
        <w:t xml:space="preserve"> les jeunes de moins de 30</w:t>
      </w:r>
      <w:r w:rsidR="004C055A">
        <w:rPr>
          <w:lang w:val="fr-CA"/>
        </w:rPr>
        <w:t> ans</w:t>
      </w:r>
      <w:r w:rsidR="0080611A">
        <w:rPr>
          <w:lang w:val="fr-CA"/>
        </w:rPr>
        <w:t>,</w:t>
      </w:r>
      <w:r w:rsidR="00E86500" w:rsidRPr="00B3274C">
        <w:rPr>
          <w:lang w:val="fr-CA"/>
        </w:rPr>
        <w:t xml:space="preserve"> </w:t>
      </w:r>
      <w:r w:rsidR="00614BAC">
        <w:rPr>
          <w:lang w:val="fr-CA"/>
        </w:rPr>
        <w:t>les personnes</w:t>
      </w:r>
      <w:r w:rsidR="00E86500" w:rsidRPr="00B3274C">
        <w:rPr>
          <w:lang w:val="fr-CA"/>
        </w:rPr>
        <w:t xml:space="preserve"> au chômage proches de la retraite</w:t>
      </w:r>
      <w:r w:rsidR="0080611A">
        <w:rPr>
          <w:lang w:val="fr-CA"/>
        </w:rPr>
        <w:t>,</w:t>
      </w:r>
      <w:r w:rsidR="00E86500" w:rsidRPr="00B3274C">
        <w:rPr>
          <w:lang w:val="fr-CA"/>
        </w:rPr>
        <w:t xml:space="preserve"> les chômeuses de longue durée âgées de plus de 45</w:t>
      </w:r>
      <w:r w:rsidR="004C055A">
        <w:rPr>
          <w:lang w:val="fr-CA"/>
        </w:rPr>
        <w:t> ans</w:t>
      </w:r>
      <w:r w:rsidR="0080611A">
        <w:rPr>
          <w:lang w:val="fr-CA"/>
        </w:rPr>
        <w:t>,</w:t>
      </w:r>
      <w:r w:rsidR="00E86500" w:rsidRPr="00B3274C">
        <w:rPr>
          <w:lang w:val="fr-CA"/>
        </w:rPr>
        <w:t xml:space="preserve"> les chômeuses de plus de 50</w:t>
      </w:r>
      <w:r w:rsidR="004C055A">
        <w:rPr>
          <w:lang w:val="fr-CA"/>
        </w:rPr>
        <w:t> ans</w:t>
      </w:r>
      <w:r w:rsidR="0080611A">
        <w:rPr>
          <w:lang w:val="fr-CA"/>
        </w:rPr>
        <w:t>,</w:t>
      </w:r>
      <w:r w:rsidR="00E86500" w:rsidRPr="00B3274C">
        <w:rPr>
          <w:lang w:val="fr-CA"/>
        </w:rPr>
        <w:t xml:space="preserve"> etc. </w:t>
      </w:r>
    </w:p>
    <w:p w:rsidR="00FB23D3" w:rsidRPr="00B3274C" w:rsidRDefault="00D61DFD" w:rsidP="00144904">
      <w:pPr>
        <w:pStyle w:val="H23G"/>
        <w:spacing w:before="200"/>
        <w:rPr>
          <w:lang w:val="fr-CA"/>
        </w:rPr>
      </w:pPr>
      <w:r w:rsidRPr="00B3274C">
        <w:rPr>
          <w:lang w:val="fr-CA"/>
        </w:rPr>
        <w:tab/>
      </w:r>
      <w:r w:rsidR="000F7535" w:rsidRPr="00B3274C">
        <w:rPr>
          <w:lang w:val="fr-CA"/>
        </w:rPr>
        <w:t>6.</w:t>
      </w:r>
      <w:r w:rsidRPr="00B3274C">
        <w:rPr>
          <w:lang w:val="fr-CA"/>
        </w:rPr>
        <w:tab/>
      </w:r>
      <w:r w:rsidR="00CD39D3" w:rsidRPr="00B3274C">
        <w:rPr>
          <w:lang w:val="fr-CA"/>
        </w:rPr>
        <w:t xml:space="preserve">Chèque de réinsertion sur le marché du travail </w:t>
      </w:r>
    </w:p>
    <w:p w:rsidR="00FB23D3" w:rsidRPr="00B3274C" w:rsidRDefault="00107A47" w:rsidP="00107A47">
      <w:pPr>
        <w:pStyle w:val="SingleTxtG"/>
        <w:rPr>
          <w:szCs w:val="25"/>
          <w:lang w:val="fr-CA"/>
        </w:rPr>
      </w:pPr>
      <w:r w:rsidRPr="00B3274C">
        <w:rPr>
          <w:lang w:val="fr-CA"/>
        </w:rPr>
        <w:t>80.</w:t>
      </w:r>
      <w:r w:rsidRPr="00B3274C">
        <w:rPr>
          <w:lang w:val="fr-CA"/>
        </w:rPr>
        <w:tab/>
      </w:r>
      <w:r w:rsidR="00480EB6" w:rsidRPr="00B3274C">
        <w:rPr>
          <w:lang w:val="fr-CA"/>
        </w:rPr>
        <w:t xml:space="preserve">Il est stipulé au </w:t>
      </w:r>
      <w:r w:rsidR="00FC24F7">
        <w:rPr>
          <w:lang w:val="fr-CA"/>
        </w:rPr>
        <w:t>paragraphe </w:t>
      </w:r>
      <w:r w:rsidR="00480EB6" w:rsidRPr="00B3274C">
        <w:rPr>
          <w:lang w:val="fr-CA"/>
        </w:rPr>
        <w:t>2 de l</w:t>
      </w:r>
      <w:r w:rsidR="0080611A">
        <w:rPr>
          <w:lang w:val="fr-CA"/>
        </w:rPr>
        <w:t>’</w:t>
      </w:r>
      <w:r w:rsidR="00597DC4">
        <w:rPr>
          <w:lang w:val="fr-CA"/>
        </w:rPr>
        <w:t>article </w:t>
      </w:r>
      <w:r w:rsidR="00480EB6" w:rsidRPr="00B3274C">
        <w:rPr>
          <w:lang w:val="fr-CA"/>
        </w:rPr>
        <w:t xml:space="preserve">2 de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szCs w:val="25"/>
          <w:lang w:val="fr-CA"/>
        </w:rPr>
        <w:t xml:space="preserve">3845/2010 </w:t>
      </w:r>
      <w:r w:rsidR="002C4722" w:rsidRPr="00B3274C">
        <w:rPr>
          <w:szCs w:val="25"/>
          <w:lang w:val="fr-CA"/>
        </w:rPr>
        <w:t xml:space="preserve">sur les </w:t>
      </w:r>
      <w:r w:rsidR="0055418C" w:rsidRPr="00B3274C">
        <w:rPr>
          <w:lang w:val="fr-CA"/>
        </w:rPr>
        <w:t>«</w:t>
      </w:r>
      <w:r w:rsidR="00B45E48" w:rsidRPr="00B3274C">
        <w:rPr>
          <w:lang w:val="fr-CA"/>
        </w:rPr>
        <w:t>M</w:t>
      </w:r>
      <w:r w:rsidR="002C4722" w:rsidRPr="00B3274C">
        <w:rPr>
          <w:lang w:val="fr-CA"/>
        </w:rPr>
        <w:t>esures destinées à mettre en œuvre un mécanisme de soutien à l</w:t>
      </w:r>
      <w:r w:rsidR="0080611A">
        <w:rPr>
          <w:lang w:val="fr-CA"/>
        </w:rPr>
        <w:t>’</w:t>
      </w:r>
      <w:r w:rsidR="002C4722" w:rsidRPr="00B3274C">
        <w:rPr>
          <w:lang w:val="fr-CA"/>
        </w:rPr>
        <w:t xml:space="preserve">économie grecque de la part des </w:t>
      </w:r>
      <w:r w:rsidR="0099272B" w:rsidRPr="00B3274C">
        <w:rPr>
          <w:lang w:val="fr-CA"/>
        </w:rPr>
        <w:t>États</w:t>
      </w:r>
      <w:r w:rsidR="002C4722" w:rsidRPr="00B3274C">
        <w:rPr>
          <w:lang w:val="fr-CA"/>
        </w:rPr>
        <w:t xml:space="preserve"> membres de la zone euro et du Fonds monétaire international</w:t>
      </w:r>
      <w:r w:rsidR="0055418C" w:rsidRPr="00B3274C">
        <w:rPr>
          <w:lang w:val="fr-CA"/>
        </w:rPr>
        <w:t>»</w:t>
      </w:r>
      <w:r w:rsidR="002C4722" w:rsidRPr="00B3274C">
        <w:rPr>
          <w:lang w:val="fr-CA"/>
        </w:rPr>
        <w:t xml:space="preserve"> que</w:t>
      </w:r>
      <w:r w:rsidR="009E1134" w:rsidRPr="00B3274C">
        <w:rPr>
          <w:lang w:val="fr-CA"/>
        </w:rPr>
        <w:t xml:space="preserve"> tout chômeur subventionné </w:t>
      </w:r>
      <w:r w:rsidR="002C4722" w:rsidRPr="00B3274C">
        <w:rPr>
          <w:lang w:val="fr-CA"/>
        </w:rPr>
        <w:t>a droit à un chèque de réinsertion sur le marché du travail</w:t>
      </w:r>
      <w:r w:rsidR="0080611A">
        <w:rPr>
          <w:lang w:val="fr-CA"/>
        </w:rPr>
        <w:t>,</w:t>
      </w:r>
      <w:r w:rsidR="002C4722" w:rsidRPr="00B3274C">
        <w:rPr>
          <w:lang w:val="fr-CA"/>
        </w:rPr>
        <w:t xml:space="preserve"> d</w:t>
      </w:r>
      <w:r w:rsidR="0080611A">
        <w:rPr>
          <w:lang w:val="fr-CA"/>
        </w:rPr>
        <w:t>’</w:t>
      </w:r>
      <w:r w:rsidR="002C4722" w:rsidRPr="00B3274C">
        <w:rPr>
          <w:lang w:val="fr-CA"/>
        </w:rPr>
        <w:t>un montant égal au montant total qu</w:t>
      </w:r>
      <w:r w:rsidR="0080611A">
        <w:rPr>
          <w:lang w:val="fr-CA"/>
        </w:rPr>
        <w:t>’</w:t>
      </w:r>
      <w:r w:rsidR="002C4722" w:rsidRPr="00B3274C">
        <w:rPr>
          <w:lang w:val="fr-CA"/>
        </w:rPr>
        <w:t>il est autorisé à recevoir au titre de l</w:t>
      </w:r>
      <w:r w:rsidR="0080611A">
        <w:rPr>
          <w:lang w:val="fr-CA"/>
        </w:rPr>
        <w:t>’</w:t>
      </w:r>
      <w:r w:rsidR="002C4722" w:rsidRPr="00B3274C">
        <w:rPr>
          <w:lang w:val="fr-CA"/>
        </w:rPr>
        <w:t>allocation de chômage.</w:t>
      </w:r>
      <w:r w:rsidR="0055418C" w:rsidRPr="00B3274C">
        <w:rPr>
          <w:lang w:val="fr-CA"/>
        </w:rPr>
        <w:t xml:space="preserve"> </w:t>
      </w:r>
    </w:p>
    <w:p w:rsidR="00FB23D3" w:rsidRPr="00B3274C" w:rsidRDefault="00107A47" w:rsidP="00107A47">
      <w:pPr>
        <w:pStyle w:val="SingleTxtG"/>
        <w:rPr>
          <w:szCs w:val="25"/>
          <w:lang w:val="fr-CA"/>
        </w:rPr>
      </w:pPr>
      <w:r w:rsidRPr="00B3274C">
        <w:rPr>
          <w:lang w:val="fr-CA"/>
        </w:rPr>
        <w:t>81.</w:t>
      </w:r>
      <w:r w:rsidRPr="00B3274C">
        <w:rPr>
          <w:lang w:val="fr-CA"/>
        </w:rPr>
        <w:tab/>
      </w:r>
      <w:r w:rsidR="00357D52" w:rsidRPr="00B3274C">
        <w:rPr>
          <w:lang w:val="fr-CA"/>
        </w:rPr>
        <w:t>Le but de cette disposition est de convertir l</w:t>
      </w:r>
      <w:r w:rsidR="0080611A">
        <w:rPr>
          <w:lang w:val="fr-CA"/>
        </w:rPr>
        <w:t>’</w:t>
      </w:r>
      <w:r w:rsidR="00357D52" w:rsidRPr="00B3274C">
        <w:rPr>
          <w:lang w:val="fr-CA"/>
        </w:rPr>
        <w:t xml:space="preserve">allocation de chômage </w:t>
      </w:r>
      <w:r w:rsidR="0055418C" w:rsidRPr="00B3274C">
        <w:rPr>
          <w:lang w:val="fr-CA"/>
        </w:rPr>
        <w:t>«</w:t>
      </w:r>
      <w:r w:rsidR="00357D52" w:rsidRPr="00B3274C">
        <w:rPr>
          <w:lang w:val="fr-CA"/>
        </w:rPr>
        <w:t>passive</w:t>
      </w:r>
      <w:r w:rsidR="0055418C" w:rsidRPr="00B3274C">
        <w:rPr>
          <w:lang w:val="fr-CA"/>
        </w:rPr>
        <w:t>»</w:t>
      </w:r>
      <w:r w:rsidR="0099272B">
        <w:rPr>
          <w:lang w:val="fr-CA"/>
        </w:rPr>
        <w:t xml:space="preserve"> </w:t>
      </w:r>
      <w:r w:rsidR="00357D52" w:rsidRPr="00B3274C">
        <w:rPr>
          <w:lang w:val="fr-CA"/>
        </w:rPr>
        <w:t>en une politique du marché du travail active</w:t>
      </w:r>
      <w:r w:rsidR="009E1134" w:rsidRPr="00B3274C">
        <w:rPr>
          <w:lang w:val="fr-CA"/>
        </w:rPr>
        <w:t>. Conformément à cette disposition</w:t>
      </w:r>
      <w:r w:rsidR="0080611A">
        <w:rPr>
          <w:lang w:val="fr-CA"/>
        </w:rPr>
        <w:t>,</w:t>
      </w:r>
      <w:r w:rsidR="009E1134" w:rsidRPr="00B3274C">
        <w:rPr>
          <w:lang w:val="fr-CA"/>
        </w:rPr>
        <w:t xml:space="preserve"> l</w:t>
      </w:r>
      <w:r w:rsidR="0080611A">
        <w:rPr>
          <w:lang w:val="fr-CA"/>
        </w:rPr>
        <w:t>’</w:t>
      </w:r>
      <w:r w:rsidR="009E1134" w:rsidRPr="00B3274C">
        <w:rPr>
          <w:lang w:val="fr-CA"/>
        </w:rPr>
        <w:t xml:space="preserve">entreprise qui emploie le chômeur subventionné reçoit la valeur monétaire du </w:t>
      </w:r>
      <w:r w:rsidR="0055418C" w:rsidRPr="00B3274C">
        <w:rPr>
          <w:lang w:val="fr-CA"/>
        </w:rPr>
        <w:t>«</w:t>
      </w:r>
      <w:r w:rsidR="009E1134" w:rsidRPr="00B3274C">
        <w:rPr>
          <w:lang w:val="fr-CA"/>
        </w:rPr>
        <w:t>chèque</w:t>
      </w:r>
      <w:r w:rsidR="0055418C" w:rsidRPr="00B3274C">
        <w:rPr>
          <w:lang w:val="fr-CA"/>
        </w:rPr>
        <w:t>»</w:t>
      </w:r>
      <w:r w:rsidR="009E1134" w:rsidRPr="00B3274C">
        <w:rPr>
          <w:lang w:val="fr-CA"/>
        </w:rPr>
        <w:t xml:space="preserve"> sous forme de subventions mensuelles versées par l</w:t>
      </w:r>
      <w:r w:rsidR="0080611A">
        <w:rPr>
          <w:lang w:val="fr-CA"/>
        </w:rPr>
        <w:t>’</w:t>
      </w:r>
      <w:r w:rsidR="009E1134" w:rsidRPr="00B3274C">
        <w:rPr>
          <w:lang w:val="fr-CA"/>
        </w:rPr>
        <w:t>Agence pour l</w:t>
      </w:r>
      <w:r w:rsidR="0080611A">
        <w:rPr>
          <w:lang w:val="fr-CA"/>
        </w:rPr>
        <w:t>’</w:t>
      </w:r>
      <w:r w:rsidR="009E1134" w:rsidRPr="00B3274C">
        <w:rPr>
          <w:lang w:val="fr-CA"/>
        </w:rPr>
        <w:t xml:space="preserve">emploi pendant le </w:t>
      </w:r>
      <w:bookmarkStart w:id="4" w:name="OLE_LINK3"/>
      <w:bookmarkStart w:id="5" w:name="OLE_LINK4"/>
      <w:r w:rsidR="009E1134" w:rsidRPr="00B3274C">
        <w:rPr>
          <w:lang w:val="fr-CA"/>
        </w:rPr>
        <w:t>nombre de mois qui restent à courir avant la fin</w:t>
      </w:r>
      <w:bookmarkEnd w:id="4"/>
      <w:bookmarkEnd w:id="5"/>
      <w:r w:rsidR="009E1134" w:rsidRPr="00B3274C">
        <w:rPr>
          <w:lang w:val="fr-CA"/>
        </w:rPr>
        <w:t xml:space="preserve"> de la période de subventions. </w:t>
      </w:r>
    </w:p>
    <w:p w:rsidR="00FB23D3" w:rsidRPr="00B3274C" w:rsidRDefault="00D61DFD" w:rsidP="002A0742">
      <w:pPr>
        <w:pStyle w:val="H23G"/>
        <w:spacing w:before="200"/>
        <w:rPr>
          <w:rFonts w:eastAsia="Batang"/>
          <w:lang w:val="fr-CA"/>
        </w:rPr>
      </w:pPr>
      <w:r w:rsidRPr="00B3274C">
        <w:rPr>
          <w:rFonts w:eastAsia="Batang"/>
          <w:lang w:val="fr-CA"/>
        </w:rPr>
        <w:tab/>
      </w:r>
      <w:r w:rsidR="00BB1F08" w:rsidRPr="00B3274C">
        <w:rPr>
          <w:rFonts w:eastAsia="Batang"/>
          <w:lang w:val="fr-CA"/>
        </w:rPr>
        <w:t>7</w:t>
      </w:r>
      <w:r w:rsidR="000F7535" w:rsidRPr="00B3274C">
        <w:rPr>
          <w:rFonts w:eastAsia="Batang"/>
          <w:lang w:val="fr-CA"/>
        </w:rPr>
        <w:t>.</w:t>
      </w:r>
      <w:r w:rsidRPr="00B3274C">
        <w:rPr>
          <w:rFonts w:eastAsia="Batang"/>
          <w:lang w:val="fr-CA"/>
        </w:rPr>
        <w:tab/>
      </w:r>
      <w:r w:rsidR="009E1134" w:rsidRPr="00B3274C">
        <w:rPr>
          <w:rFonts w:eastAsia="Batang"/>
          <w:lang w:val="fr-CA"/>
        </w:rPr>
        <w:t>Services pour l</w:t>
      </w:r>
      <w:r w:rsidR="0080611A">
        <w:rPr>
          <w:rFonts w:eastAsia="Batang"/>
          <w:lang w:val="fr-CA"/>
        </w:rPr>
        <w:t>’</w:t>
      </w:r>
      <w:r w:rsidR="009E1134" w:rsidRPr="00B3274C">
        <w:rPr>
          <w:rFonts w:eastAsia="Batang"/>
          <w:lang w:val="fr-CA"/>
        </w:rPr>
        <w:t>emploi privés</w:t>
      </w:r>
    </w:p>
    <w:p w:rsidR="00FB23D3" w:rsidRPr="00B3274C" w:rsidRDefault="00107A47" w:rsidP="00107A47">
      <w:pPr>
        <w:pStyle w:val="SingleTxtG"/>
        <w:rPr>
          <w:lang w:val="fr-CA"/>
        </w:rPr>
      </w:pPr>
      <w:r w:rsidRPr="00B3274C">
        <w:rPr>
          <w:lang w:val="fr-CA"/>
        </w:rPr>
        <w:t>82.</w:t>
      </w:r>
      <w:r w:rsidRPr="00B3274C">
        <w:rPr>
          <w:lang w:val="fr-CA"/>
        </w:rPr>
        <w:tab/>
      </w:r>
      <w:r w:rsidR="009E1134" w:rsidRPr="00B3274C">
        <w:rPr>
          <w:lang w:val="fr-CA"/>
        </w:rPr>
        <w:t>Des services pour l</w:t>
      </w:r>
      <w:r w:rsidR="0080611A">
        <w:rPr>
          <w:lang w:val="fr-CA"/>
        </w:rPr>
        <w:t>’</w:t>
      </w:r>
      <w:r w:rsidR="009E1134" w:rsidRPr="00B3274C">
        <w:rPr>
          <w:lang w:val="fr-CA"/>
        </w:rPr>
        <w:t>emploi privé</w:t>
      </w:r>
      <w:r w:rsidR="00F86F8A" w:rsidRPr="00B3274C">
        <w:rPr>
          <w:lang w:val="fr-CA"/>
        </w:rPr>
        <w:t>s c</w:t>
      </w:r>
      <w:r w:rsidR="009E1134" w:rsidRPr="00B3274C">
        <w:rPr>
          <w:lang w:val="fr-CA"/>
        </w:rPr>
        <w:t xml:space="preserve">ontribuent également </w:t>
      </w:r>
      <w:r w:rsidR="00F86F8A" w:rsidRPr="00B3274C">
        <w:rPr>
          <w:lang w:val="fr-CA"/>
        </w:rPr>
        <w:t>à favoriser l</w:t>
      </w:r>
      <w:r w:rsidR="0080611A">
        <w:rPr>
          <w:lang w:val="fr-CA"/>
        </w:rPr>
        <w:t>’</w:t>
      </w:r>
      <w:r w:rsidR="00F86F8A" w:rsidRPr="00B3274C">
        <w:rPr>
          <w:lang w:val="fr-CA"/>
        </w:rPr>
        <w:t>emploi. En Grèce</w:t>
      </w:r>
      <w:r w:rsidR="0080611A">
        <w:rPr>
          <w:lang w:val="fr-CA"/>
        </w:rPr>
        <w:t>,</w:t>
      </w:r>
      <w:r w:rsidR="00F86F8A" w:rsidRPr="00B3274C">
        <w:rPr>
          <w:lang w:val="fr-CA"/>
        </w:rPr>
        <w:t xml:space="preserve"> il existe deux catégories de services pour l</w:t>
      </w:r>
      <w:r w:rsidR="0080611A">
        <w:rPr>
          <w:lang w:val="fr-CA"/>
        </w:rPr>
        <w:t>’</w:t>
      </w:r>
      <w:r w:rsidR="00F86F8A" w:rsidRPr="00B3274C">
        <w:rPr>
          <w:lang w:val="fr-CA"/>
        </w:rPr>
        <w:t>emploi privés</w:t>
      </w:r>
      <w:r w:rsidR="0080611A">
        <w:rPr>
          <w:lang w:val="fr-CA"/>
        </w:rPr>
        <w:t>,</w:t>
      </w:r>
      <w:r w:rsidR="00F86F8A" w:rsidRPr="00B3274C">
        <w:rPr>
          <w:lang w:val="fr-CA"/>
        </w:rPr>
        <w:t xml:space="preserve"> les Agences d</w:t>
      </w:r>
      <w:r w:rsidR="0080611A">
        <w:rPr>
          <w:lang w:val="fr-CA"/>
        </w:rPr>
        <w:t>’</w:t>
      </w:r>
      <w:r w:rsidR="00F86F8A" w:rsidRPr="00B3274C">
        <w:rPr>
          <w:lang w:val="fr-CA"/>
        </w:rPr>
        <w:t xml:space="preserve">emploi temporaire </w:t>
      </w:r>
      <w:r w:rsidR="00FB23D3" w:rsidRPr="00B3274C">
        <w:rPr>
          <w:bCs/>
          <w:lang w:val="fr-CA"/>
        </w:rPr>
        <w:t>(</w:t>
      </w:r>
      <w:r w:rsidR="00437D66" w:rsidRPr="00B3274C">
        <w:rPr>
          <w:bCs/>
          <w:lang w:val="fr-CA"/>
        </w:rPr>
        <w:t>EPA)</w:t>
      </w:r>
      <w:r w:rsidR="00FB23D3" w:rsidRPr="00B3274C">
        <w:rPr>
          <w:bCs/>
          <w:lang w:val="fr-CA"/>
        </w:rPr>
        <w:t xml:space="preserve"> </w:t>
      </w:r>
      <w:r w:rsidR="00F86F8A" w:rsidRPr="00B3274C">
        <w:rPr>
          <w:bCs/>
          <w:lang w:val="fr-CA"/>
        </w:rPr>
        <w:t>et les Bureaux de conseil pour l</w:t>
      </w:r>
      <w:r w:rsidR="0080611A">
        <w:rPr>
          <w:bCs/>
          <w:lang w:val="fr-CA"/>
        </w:rPr>
        <w:t>’</w:t>
      </w:r>
      <w:r w:rsidR="00F86F8A" w:rsidRPr="00B3274C">
        <w:rPr>
          <w:bCs/>
          <w:lang w:val="fr-CA"/>
        </w:rPr>
        <w:t xml:space="preserve">emploi privés </w:t>
      </w:r>
      <w:r w:rsidR="00FB23D3" w:rsidRPr="00B3274C">
        <w:rPr>
          <w:bCs/>
          <w:lang w:val="fr-CA"/>
        </w:rPr>
        <w:t>(I</w:t>
      </w:r>
      <w:r w:rsidR="00437D66" w:rsidRPr="00B3274C">
        <w:rPr>
          <w:bCs/>
          <w:lang w:val="fr-CA"/>
        </w:rPr>
        <w:t>GSE</w:t>
      </w:r>
      <w:r w:rsidR="00FB23D3" w:rsidRPr="00B3274C">
        <w:rPr>
          <w:bCs/>
          <w:lang w:val="fr-CA"/>
        </w:rPr>
        <w:t>)</w:t>
      </w:r>
      <w:r w:rsidR="0080611A">
        <w:rPr>
          <w:bCs/>
          <w:lang w:val="fr-CA"/>
        </w:rPr>
        <w:t>,</w:t>
      </w:r>
      <w:r w:rsidR="00FB23D3" w:rsidRPr="00B3274C">
        <w:rPr>
          <w:lang w:val="fr-CA"/>
        </w:rPr>
        <w:t xml:space="preserve"> </w:t>
      </w:r>
      <w:r w:rsidR="00F86F8A" w:rsidRPr="00B3274C">
        <w:rPr>
          <w:lang w:val="fr-CA"/>
        </w:rPr>
        <w:t>qui concernent les entreprises privées et dispensent gracieusement leurs services aux demandeurs d</w:t>
      </w:r>
      <w:r w:rsidR="0080611A">
        <w:rPr>
          <w:lang w:val="fr-CA"/>
        </w:rPr>
        <w:t>’</w:t>
      </w:r>
      <w:r w:rsidR="00F86F8A" w:rsidRPr="00B3274C">
        <w:rPr>
          <w:lang w:val="fr-CA"/>
        </w:rPr>
        <w:t xml:space="preserve">emploi. </w:t>
      </w:r>
    </w:p>
    <w:p w:rsidR="00FB23D3" w:rsidRPr="00B3274C" w:rsidRDefault="00107A47" w:rsidP="00107A47">
      <w:pPr>
        <w:pStyle w:val="SingleTxtG"/>
        <w:rPr>
          <w:lang w:val="fr-CA"/>
        </w:rPr>
      </w:pPr>
      <w:r w:rsidRPr="00B3274C">
        <w:rPr>
          <w:lang w:val="fr-CA"/>
        </w:rPr>
        <w:t>83.</w:t>
      </w:r>
      <w:r w:rsidRPr="00B3274C">
        <w:rPr>
          <w:lang w:val="fr-CA"/>
        </w:rPr>
        <w:tab/>
      </w:r>
      <w:r w:rsidR="00437D66" w:rsidRPr="00B3274C">
        <w:rPr>
          <w:lang w:val="fr-CA"/>
        </w:rPr>
        <w:t xml:space="preserve">Le </w:t>
      </w:r>
      <w:r w:rsidR="00F86F8A" w:rsidRPr="00B3274C">
        <w:rPr>
          <w:lang w:val="fr-CA"/>
        </w:rPr>
        <w:t>2 juillet 2011</w:t>
      </w:r>
      <w:r w:rsidR="0080611A">
        <w:rPr>
          <w:lang w:val="fr-CA"/>
        </w:rPr>
        <w:t>,</w:t>
      </w:r>
      <w:r w:rsidR="00F86F8A" w:rsidRPr="00B3274C">
        <w:rPr>
          <w:lang w:val="fr-CA"/>
        </w:rPr>
        <w:t xml:space="preserve"> en vertu de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bCs/>
          <w:lang w:val="fr-CA"/>
        </w:rPr>
        <w:t xml:space="preserve">3919/2011 </w:t>
      </w:r>
      <w:r w:rsidR="00F86F8A" w:rsidRPr="00B3274C">
        <w:rPr>
          <w:bCs/>
          <w:lang w:val="fr-CA"/>
        </w:rPr>
        <w:t xml:space="preserve">sur la </w:t>
      </w:r>
      <w:r w:rsidR="0055418C" w:rsidRPr="00B3274C">
        <w:rPr>
          <w:bCs/>
          <w:lang w:val="fr-CA"/>
        </w:rPr>
        <w:t>«</w:t>
      </w:r>
      <w:r w:rsidR="001C4CD6" w:rsidRPr="00B3274C">
        <w:rPr>
          <w:bCs/>
          <w:lang w:val="fr-CA"/>
        </w:rPr>
        <w:t>L</w:t>
      </w:r>
      <w:r w:rsidR="00F86F8A" w:rsidRPr="00B3274C">
        <w:rPr>
          <w:bCs/>
          <w:lang w:val="fr-CA"/>
        </w:rPr>
        <w:t>iberté d</w:t>
      </w:r>
      <w:r w:rsidR="0080611A">
        <w:rPr>
          <w:bCs/>
          <w:lang w:val="fr-CA"/>
        </w:rPr>
        <w:t>’</w:t>
      </w:r>
      <w:r w:rsidR="00F86F8A" w:rsidRPr="00B3274C">
        <w:rPr>
          <w:bCs/>
          <w:lang w:val="fr-CA"/>
        </w:rPr>
        <w:t>exercer</w:t>
      </w:r>
      <w:r w:rsidR="00437D66" w:rsidRPr="00B3274C">
        <w:rPr>
          <w:bCs/>
          <w:lang w:val="fr-CA"/>
        </w:rPr>
        <w:t xml:space="preserve"> une </w:t>
      </w:r>
      <w:r w:rsidR="00F86F8A" w:rsidRPr="00B3274C">
        <w:rPr>
          <w:bCs/>
          <w:lang w:val="fr-CA"/>
        </w:rPr>
        <w:t>profession et l</w:t>
      </w:r>
      <w:r w:rsidR="0080611A">
        <w:rPr>
          <w:bCs/>
          <w:lang w:val="fr-CA"/>
        </w:rPr>
        <w:t>’</w:t>
      </w:r>
      <w:r w:rsidR="00F86F8A" w:rsidRPr="00B3274C">
        <w:rPr>
          <w:bCs/>
          <w:lang w:val="fr-CA"/>
        </w:rPr>
        <w:t>abolition des contraintes injustifiées pesant sur l</w:t>
      </w:r>
      <w:r w:rsidR="0080611A">
        <w:rPr>
          <w:bCs/>
          <w:lang w:val="fr-CA"/>
        </w:rPr>
        <w:t>’</w:t>
      </w:r>
      <w:r w:rsidR="00F86F8A" w:rsidRPr="00B3274C">
        <w:rPr>
          <w:bCs/>
          <w:lang w:val="fr-CA"/>
        </w:rPr>
        <w:t>accès à une profession et la pratique de celle-ci</w:t>
      </w:r>
      <w:r w:rsidR="0055418C" w:rsidRPr="00B3274C">
        <w:rPr>
          <w:bCs/>
          <w:lang w:val="fr-CA"/>
        </w:rPr>
        <w:t>»</w:t>
      </w:r>
      <w:r w:rsidR="0080611A">
        <w:rPr>
          <w:bCs/>
          <w:lang w:val="fr-CA"/>
        </w:rPr>
        <w:t>,</w:t>
      </w:r>
      <w:r w:rsidR="00F86F8A" w:rsidRPr="00B3274C">
        <w:rPr>
          <w:bCs/>
          <w:lang w:val="fr-CA"/>
        </w:rPr>
        <w:t xml:space="preserve"> la licence administrative</w:t>
      </w:r>
      <w:r w:rsidR="00437D66" w:rsidRPr="00B3274C">
        <w:rPr>
          <w:bCs/>
          <w:lang w:val="fr-CA"/>
        </w:rPr>
        <w:t xml:space="preserve"> qu</w:t>
      </w:r>
      <w:r w:rsidR="0080611A">
        <w:rPr>
          <w:bCs/>
          <w:lang w:val="fr-CA"/>
        </w:rPr>
        <w:t>’</w:t>
      </w:r>
      <w:r w:rsidR="00437D66" w:rsidRPr="00B3274C">
        <w:rPr>
          <w:bCs/>
          <w:lang w:val="fr-CA"/>
        </w:rPr>
        <w:t>une agence pour l</w:t>
      </w:r>
      <w:r w:rsidR="0080611A">
        <w:rPr>
          <w:bCs/>
          <w:lang w:val="fr-CA"/>
        </w:rPr>
        <w:t>’</w:t>
      </w:r>
      <w:r w:rsidR="00437D66" w:rsidRPr="00B3274C">
        <w:rPr>
          <w:bCs/>
          <w:lang w:val="fr-CA"/>
        </w:rPr>
        <w:t>emploi privée devait obtenir pour exercer son activité a été supprimée. Toutefois</w:t>
      </w:r>
      <w:r w:rsidR="0080611A">
        <w:rPr>
          <w:bCs/>
          <w:lang w:val="fr-CA"/>
        </w:rPr>
        <w:t>,</w:t>
      </w:r>
      <w:r w:rsidR="00437D66" w:rsidRPr="00B3274C">
        <w:rPr>
          <w:bCs/>
          <w:lang w:val="fr-CA"/>
        </w:rPr>
        <w:t xml:space="preserve"> dans le cas des deux services susmentionnés (IGSE et EPA)</w:t>
      </w:r>
      <w:r w:rsidR="0080611A">
        <w:rPr>
          <w:bCs/>
          <w:lang w:val="fr-CA"/>
        </w:rPr>
        <w:t>,</w:t>
      </w:r>
      <w:r w:rsidR="00437D66" w:rsidRPr="00B3274C">
        <w:rPr>
          <w:bCs/>
          <w:lang w:val="fr-CA"/>
        </w:rPr>
        <w:t xml:space="preserve"> l</w:t>
      </w:r>
      <w:r w:rsidR="0080611A">
        <w:rPr>
          <w:bCs/>
          <w:lang w:val="fr-CA"/>
        </w:rPr>
        <w:t>’</w:t>
      </w:r>
      <w:r w:rsidR="00437D66" w:rsidRPr="00B3274C">
        <w:rPr>
          <w:bCs/>
          <w:lang w:val="fr-CA"/>
        </w:rPr>
        <w:t xml:space="preserve">administration publique examine toujours si le demandeur satisfait aux critères voulus. </w:t>
      </w:r>
    </w:p>
    <w:p w:rsidR="00FB23D3" w:rsidRPr="00B3274C" w:rsidRDefault="00107A47" w:rsidP="00107A47">
      <w:pPr>
        <w:pStyle w:val="SingleTxtG"/>
        <w:rPr>
          <w:spacing w:val="-2"/>
          <w:lang w:val="fr-CA"/>
        </w:rPr>
      </w:pPr>
      <w:r w:rsidRPr="00B3274C">
        <w:rPr>
          <w:spacing w:val="-2"/>
          <w:lang w:val="fr-CA"/>
        </w:rPr>
        <w:t>84.</w:t>
      </w:r>
      <w:r w:rsidRPr="00B3274C">
        <w:rPr>
          <w:spacing w:val="-2"/>
          <w:lang w:val="fr-CA"/>
        </w:rPr>
        <w:tab/>
      </w:r>
      <w:r w:rsidR="00885F3F" w:rsidRPr="00B3274C">
        <w:rPr>
          <w:spacing w:val="-2"/>
          <w:lang w:val="fr-CA"/>
        </w:rPr>
        <w:t>L</w:t>
      </w:r>
      <w:r w:rsidR="0080611A">
        <w:rPr>
          <w:spacing w:val="-2"/>
          <w:lang w:val="fr-CA"/>
        </w:rPr>
        <w:t>’</w:t>
      </w:r>
      <w:r w:rsidR="00597DC4">
        <w:rPr>
          <w:spacing w:val="-2"/>
          <w:lang w:val="fr-CA"/>
        </w:rPr>
        <w:t>article </w:t>
      </w:r>
      <w:r w:rsidR="00885F3F" w:rsidRPr="00B3274C">
        <w:rPr>
          <w:spacing w:val="-2"/>
          <w:lang w:val="fr-CA"/>
        </w:rPr>
        <w:t>3</w:t>
      </w:r>
      <w:r w:rsidR="00437D66" w:rsidRPr="00B3274C">
        <w:rPr>
          <w:spacing w:val="-2"/>
          <w:lang w:val="fr-CA"/>
        </w:rPr>
        <w:t xml:space="preserve"> de la loi n°</w:t>
      </w:r>
      <w:r w:rsidR="00FB23D3" w:rsidRPr="00B3274C">
        <w:rPr>
          <w:spacing w:val="-2"/>
          <w:lang w:val="fr-CA"/>
        </w:rPr>
        <w:t>3846/2010</w:t>
      </w:r>
      <w:r w:rsidR="0080611A">
        <w:rPr>
          <w:spacing w:val="-2"/>
          <w:lang w:val="fr-CA"/>
        </w:rPr>
        <w:t>,</w:t>
      </w:r>
      <w:r w:rsidR="00FB23D3" w:rsidRPr="00B3274C">
        <w:rPr>
          <w:spacing w:val="-2"/>
          <w:lang w:val="fr-CA"/>
        </w:rPr>
        <w:t xml:space="preserve"> </w:t>
      </w:r>
      <w:r w:rsidR="00437D66" w:rsidRPr="00B3274C">
        <w:rPr>
          <w:spacing w:val="-2"/>
          <w:lang w:val="fr-CA"/>
        </w:rPr>
        <w:t xml:space="preserve">intitulé </w:t>
      </w:r>
      <w:r w:rsidR="0055418C" w:rsidRPr="00B3274C">
        <w:rPr>
          <w:spacing w:val="-2"/>
          <w:lang w:val="fr-CA"/>
        </w:rPr>
        <w:t>«</w:t>
      </w:r>
      <w:r w:rsidR="00437D66" w:rsidRPr="00B3274C">
        <w:rPr>
          <w:spacing w:val="-2"/>
          <w:lang w:val="fr-CA"/>
        </w:rPr>
        <w:t>Garanties pour la sécurité au travail et autres dispositions</w:t>
      </w:r>
      <w:r w:rsidR="0055418C" w:rsidRPr="00B3274C">
        <w:rPr>
          <w:spacing w:val="-2"/>
          <w:lang w:val="fr-CA"/>
        </w:rPr>
        <w:t>»</w:t>
      </w:r>
      <w:r w:rsidR="00437D66" w:rsidRPr="00B3274C">
        <w:rPr>
          <w:spacing w:val="-2"/>
          <w:lang w:val="fr-CA"/>
        </w:rPr>
        <w:t xml:space="preserve"> stipule que l</w:t>
      </w:r>
      <w:r w:rsidR="0080611A">
        <w:rPr>
          <w:spacing w:val="-2"/>
          <w:lang w:val="fr-CA"/>
        </w:rPr>
        <w:t>’</w:t>
      </w:r>
      <w:r w:rsidR="00437D66" w:rsidRPr="00B3274C">
        <w:rPr>
          <w:spacing w:val="-2"/>
          <w:lang w:val="fr-CA"/>
        </w:rPr>
        <w:t>emploi temporaire n</w:t>
      </w:r>
      <w:r w:rsidR="0080611A">
        <w:rPr>
          <w:spacing w:val="-2"/>
          <w:lang w:val="fr-CA"/>
        </w:rPr>
        <w:t>’</w:t>
      </w:r>
      <w:r w:rsidR="00437D66" w:rsidRPr="00B3274C">
        <w:rPr>
          <w:spacing w:val="-2"/>
          <w:lang w:val="fr-CA"/>
        </w:rPr>
        <w:t>est autorisé que pour répondre à des besoins temporaires</w:t>
      </w:r>
      <w:r w:rsidR="0080611A">
        <w:rPr>
          <w:spacing w:val="-2"/>
          <w:lang w:val="fr-CA"/>
        </w:rPr>
        <w:t>,</w:t>
      </w:r>
      <w:r w:rsidR="00437D66" w:rsidRPr="00B3274C">
        <w:rPr>
          <w:spacing w:val="-2"/>
          <w:lang w:val="fr-CA"/>
        </w:rPr>
        <w:t xml:space="preserve"> spéciaux et saisonniers et que cette forme d</w:t>
      </w:r>
      <w:r w:rsidR="0080611A">
        <w:rPr>
          <w:spacing w:val="-2"/>
          <w:lang w:val="fr-CA"/>
        </w:rPr>
        <w:t>’</w:t>
      </w:r>
      <w:r w:rsidR="00437D66" w:rsidRPr="00B3274C">
        <w:rPr>
          <w:spacing w:val="-2"/>
          <w:lang w:val="fr-CA"/>
        </w:rPr>
        <w:t>emploi n</w:t>
      </w:r>
      <w:r w:rsidR="0080611A">
        <w:rPr>
          <w:spacing w:val="-2"/>
          <w:lang w:val="fr-CA"/>
        </w:rPr>
        <w:t>’</w:t>
      </w:r>
      <w:r w:rsidR="00437D66" w:rsidRPr="00B3274C">
        <w:rPr>
          <w:spacing w:val="-2"/>
          <w:lang w:val="fr-CA"/>
        </w:rPr>
        <w:t>est pas autorisée dans des circonstances ordinaires pour couvrir des besoins fixes et permanents de l</w:t>
      </w:r>
      <w:r w:rsidR="0080611A">
        <w:rPr>
          <w:spacing w:val="-2"/>
          <w:lang w:val="fr-CA"/>
        </w:rPr>
        <w:t>’</w:t>
      </w:r>
      <w:r w:rsidR="00437D66" w:rsidRPr="00B3274C">
        <w:rPr>
          <w:spacing w:val="-2"/>
          <w:lang w:val="fr-CA"/>
        </w:rPr>
        <w:t xml:space="preserve">entreprise. </w:t>
      </w:r>
      <w:r w:rsidR="00D13A0D" w:rsidRPr="00B3274C">
        <w:rPr>
          <w:spacing w:val="-2"/>
          <w:lang w:val="fr-CA"/>
        </w:rPr>
        <w:t>L</w:t>
      </w:r>
      <w:r w:rsidR="0080611A">
        <w:rPr>
          <w:spacing w:val="-2"/>
          <w:lang w:val="fr-CA"/>
        </w:rPr>
        <w:t>’</w:t>
      </w:r>
      <w:r w:rsidR="00D13A0D" w:rsidRPr="00B3274C">
        <w:rPr>
          <w:spacing w:val="-2"/>
          <w:lang w:val="fr-CA"/>
        </w:rPr>
        <w:t xml:space="preserve">égalité de traitement quant aux conditions de travail des employés est garantie. </w:t>
      </w:r>
    </w:p>
    <w:p w:rsidR="00FB23D3" w:rsidRPr="00B3274C" w:rsidRDefault="00DE688B" w:rsidP="00DE688B">
      <w:pPr>
        <w:pStyle w:val="H1G"/>
        <w:keepNext w:val="0"/>
        <w:keepLines w:val="0"/>
        <w:spacing w:before="0"/>
        <w:rPr>
          <w:lang w:val="fr-CA"/>
        </w:rPr>
      </w:pPr>
      <w:r>
        <w:rPr>
          <w:lang w:val="fr-CA"/>
        </w:rPr>
        <w:br w:type="page"/>
      </w:r>
      <w:r w:rsidR="00193187" w:rsidRPr="00B3274C">
        <w:rPr>
          <w:lang w:val="fr-CA"/>
        </w:rPr>
        <w:tab/>
      </w:r>
      <w:r w:rsidR="00193187" w:rsidRPr="00B3274C">
        <w:rPr>
          <w:lang w:val="fr-CA"/>
        </w:rPr>
        <w:tab/>
      </w:r>
      <w:r w:rsidR="00597DC4">
        <w:rPr>
          <w:lang w:val="fr-CA"/>
        </w:rPr>
        <w:t>Article </w:t>
      </w:r>
      <w:r w:rsidR="00FB23D3" w:rsidRPr="00B3274C">
        <w:rPr>
          <w:lang w:val="fr-CA"/>
        </w:rPr>
        <w:t>7</w:t>
      </w:r>
      <w:r w:rsidR="003C6454" w:rsidRPr="00B3274C">
        <w:rPr>
          <w:lang w:val="fr-CA"/>
        </w:rPr>
        <w:br/>
      </w:r>
      <w:r w:rsidR="00D13A0D" w:rsidRPr="00B3274C">
        <w:rPr>
          <w:lang w:val="fr-CA"/>
        </w:rPr>
        <w:t>Droit de jouir de conditions de travail justes et favorables</w:t>
      </w:r>
    </w:p>
    <w:p w:rsidR="00FB23D3" w:rsidRPr="00B3274C" w:rsidRDefault="00193187" w:rsidP="00604D19">
      <w:pPr>
        <w:pStyle w:val="H23G"/>
        <w:rPr>
          <w:lang w:val="fr-CA"/>
        </w:rPr>
      </w:pPr>
      <w:r w:rsidRPr="00B3274C">
        <w:rPr>
          <w:lang w:val="fr-CA"/>
        </w:rPr>
        <w:tab/>
      </w:r>
      <w:r w:rsidR="00604D19" w:rsidRPr="00B3274C">
        <w:rPr>
          <w:lang w:val="fr-CA"/>
        </w:rPr>
        <w:t>1.</w:t>
      </w:r>
      <w:r w:rsidRPr="00B3274C">
        <w:rPr>
          <w:lang w:val="fr-CA"/>
        </w:rPr>
        <w:tab/>
      </w:r>
      <w:r w:rsidR="00D13A0D" w:rsidRPr="00B3274C">
        <w:rPr>
          <w:lang w:val="fr-CA"/>
        </w:rPr>
        <w:t>Un salaire égal pour un travail de valeur égale</w:t>
      </w:r>
    </w:p>
    <w:p w:rsidR="00FB23D3" w:rsidRPr="00B3274C" w:rsidRDefault="00107A47" w:rsidP="00107A47">
      <w:pPr>
        <w:pStyle w:val="SingleTxtG"/>
        <w:rPr>
          <w:lang w:val="fr-CA"/>
        </w:rPr>
      </w:pPr>
      <w:r w:rsidRPr="00B3274C">
        <w:rPr>
          <w:lang w:val="fr-CA"/>
        </w:rPr>
        <w:t>85.</w:t>
      </w:r>
      <w:r w:rsidRPr="00B3274C">
        <w:rPr>
          <w:lang w:val="fr-CA"/>
        </w:rPr>
        <w:tab/>
      </w:r>
      <w:r w:rsidR="00D13A0D" w:rsidRPr="00B3274C">
        <w:rPr>
          <w:lang w:val="fr-CA"/>
        </w:rPr>
        <w:t>Le salaire des hommes est de 10</w:t>
      </w:r>
      <w:r w:rsidR="0050285B">
        <w:rPr>
          <w:lang w:val="fr-CA"/>
        </w:rPr>
        <w:t> %</w:t>
      </w:r>
      <w:r w:rsidR="00D13A0D" w:rsidRPr="00B3274C">
        <w:rPr>
          <w:lang w:val="fr-CA"/>
        </w:rPr>
        <w:t xml:space="preserve"> supérieur à celui des femmes. Les femmes représentent 41</w:t>
      </w:r>
      <w:r w:rsidR="0080611A">
        <w:rPr>
          <w:lang w:val="fr-CA"/>
        </w:rPr>
        <w:t>,</w:t>
      </w:r>
      <w:r w:rsidR="00D13A0D" w:rsidRPr="00B3274C">
        <w:rPr>
          <w:lang w:val="fr-CA"/>
        </w:rPr>
        <w:t>6</w:t>
      </w:r>
      <w:r w:rsidR="0050285B">
        <w:rPr>
          <w:lang w:val="fr-CA"/>
        </w:rPr>
        <w:t> %</w:t>
      </w:r>
      <w:r w:rsidR="00D13A0D" w:rsidRPr="00B3274C">
        <w:rPr>
          <w:lang w:val="fr-CA"/>
        </w:rPr>
        <w:t xml:space="preserve"> du nombre total d</w:t>
      </w:r>
      <w:r w:rsidR="0080611A">
        <w:rPr>
          <w:lang w:val="fr-CA"/>
        </w:rPr>
        <w:t>’</w:t>
      </w:r>
      <w:r w:rsidR="00D13A0D" w:rsidRPr="00B3274C">
        <w:rPr>
          <w:lang w:val="fr-CA"/>
        </w:rPr>
        <w:t>employés</w:t>
      </w:r>
      <w:r w:rsidR="0080611A">
        <w:rPr>
          <w:lang w:val="fr-CA"/>
        </w:rPr>
        <w:t>,</w:t>
      </w:r>
      <w:r w:rsidR="00D13A0D" w:rsidRPr="00B3274C">
        <w:rPr>
          <w:lang w:val="fr-CA"/>
        </w:rPr>
        <w:t xml:space="preserve"> 40</w:t>
      </w:r>
      <w:r w:rsidR="0080611A">
        <w:rPr>
          <w:lang w:val="fr-CA"/>
        </w:rPr>
        <w:t>,</w:t>
      </w:r>
      <w:r w:rsidR="00D13A0D" w:rsidRPr="00B3274C">
        <w:rPr>
          <w:lang w:val="fr-CA"/>
        </w:rPr>
        <w:t>6</w:t>
      </w:r>
      <w:r w:rsidR="0050285B">
        <w:rPr>
          <w:lang w:val="fr-CA"/>
        </w:rPr>
        <w:t> %</w:t>
      </w:r>
      <w:r w:rsidR="00D13A0D" w:rsidRPr="00B3274C">
        <w:rPr>
          <w:lang w:val="fr-CA"/>
        </w:rPr>
        <w:t xml:space="preserve"> </w:t>
      </w:r>
      <w:r w:rsidR="00614BAC">
        <w:rPr>
          <w:lang w:val="fr-CA"/>
        </w:rPr>
        <w:t>des personnes</w:t>
      </w:r>
      <w:r w:rsidR="00D13A0D" w:rsidRPr="00B3274C">
        <w:rPr>
          <w:lang w:val="fr-CA"/>
        </w:rPr>
        <w:t xml:space="preserve"> employées à titre permanent et 50</w:t>
      </w:r>
      <w:r w:rsidR="0050285B">
        <w:rPr>
          <w:lang w:val="fr-CA"/>
        </w:rPr>
        <w:t> %</w:t>
      </w:r>
      <w:r w:rsidR="00D13A0D" w:rsidRPr="00B3274C">
        <w:rPr>
          <w:lang w:val="fr-CA"/>
        </w:rPr>
        <w:t xml:space="preserve"> </w:t>
      </w:r>
      <w:r w:rsidR="00614BAC">
        <w:rPr>
          <w:lang w:val="fr-CA"/>
        </w:rPr>
        <w:t>des personnes</w:t>
      </w:r>
      <w:r w:rsidR="00D13A0D" w:rsidRPr="00B3274C">
        <w:rPr>
          <w:lang w:val="fr-CA"/>
        </w:rPr>
        <w:t xml:space="preserve"> employées à titre temporaire. En ce qui concerne les disparités de revenus en fonction du sexe</w:t>
      </w:r>
      <w:r w:rsidR="0080611A">
        <w:rPr>
          <w:lang w:val="fr-CA"/>
        </w:rPr>
        <w:t>,</w:t>
      </w:r>
      <w:r w:rsidR="00D13A0D" w:rsidRPr="00B3274C">
        <w:rPr>
          <w:lang w:val="fr-CA"/>
        </w:rPr>
        <w:t xml:space="preserve"> 60</w:t>
      </w:r>
      <w:r w:rsidR="0050285B">
        <w:rPr>
          <w:lang w:val="fr-CA"/>
        </w:rPr>
        <w:t> %</w:t>
      </w:r>
      <w:r w:rsidR="00D13A0D" w:rsidRPr="00B3274C">
        <w:rPr>
          <w:lang w:val="fr-CA"/>
        </w:rPr>
        <w:t xml:space="preserve"> des employés ayant un revenu mensuel net inférieur à 750</w:t>
      </w:r>
      <w:r w:rsidR="0099272B">
        <w:rPr>
          <w:lang w:val="fr-CA"/>
        </w:rPr>
        <w:t> euros</w:t>
      </w:r>
      <w:r w:rsidR="00D13A0D" w:rsidRPr="00B3274C">
        <w:rPr>
          <w:lang w:val="fr-CA"/>
        </w:rPr>
        <w:t xml:space="preserve"> sont des femmes</w:t>
      </w:r>
      <w:r w:rsidR="0080611A">
        <w:rPr>
          <w:lang w:val="fr-CA"/>
        </w:rPr>
        <w:t>,</w:t>
      </w:r>
      <w:r w:rsidR="00D13A0D" w:rsidRPr="00B3274C">
        <w:rPr>
          <w:lang w:val="fr-CA"/>
        </w:rPr>
        <w:t xml:space="preserve"> employées à titre permanent ou temporaire. Le</w:t>
      </w:r>
      <w:r w:rsidR="00910D31" w:rsidRPr="00B3274C">
        <w:rPr>
          <w:lang w:val="fr-CA"/>
        </w:rPr>
        <w:t xml:space="preserve"> nombre </w:t>
      </w:r>
      <w:r w:rsidR="00D13A0D" w:rsidRPr="00B3274C">
        <w:rPr>
          <w:lang w:val="fr-CA"/>
        </w:rPr>
        <w:t>de femmes ayant un revenu mensuel net inférieur à 500</w:t>
      </w:r>
      <w:r w:rsidR="0099272B">
        <w:rPr>
          <w:lang w:val="fr-CA"/>
        </w:rPr>
        <w:t> euros</w:t>
      </w:r>
      <w:r w:rsidR="00910D31" w:rsidRPr="00B3274C">
        <w:rPr>
          <w:lang w:val="fr-CA"/>
        </w:rPr>
        <w:t xml:space="preserve"> représente 75</w:t>
      </w:r>
      <w:r w:rsidR="0050285B">
        <w:rPr>
          <w:lang w:val="fr-CA"/>
        </w:rPr>
        <w:t> %</w:t>
      </w:r>
      <w:r w:rsidR="00910D31" w:rsidRPr="00B3274C">
        <w:rPr>
          <w:lang w:val="fr-CA"/>
        </w:rPr>
        <w:t xml:space="preserve"> du nombre total d</w:t>
      </w:r>
      <w:r w:rsidR="0080611A">
        <w:rPr>
          <w:lang w:val="fr-CA"/>
        </w:rPr>
        <w:t>’</w:t>
      </w:r>
      <w:r w:rsidR="00910D31" w:rsidRPr="00B3274C">
        <w:rPr>
          <w:lang w:val="fr-CA"/>
        </w:rPr>
        <w:t>employés</w:t>
      </w:r>
      <w:r w:rsidR="0080611A">
        <w:rPr>
          <w:lang w:val="fr-CA"/>
        </w:rPr>
        <w:t>,</w:t>
      </w:r>
      <w:r w:rsidR="00910D31" w:rsidRPr="00B3274C">
        <w:rPr>
          <w:lang w:val="fr-CA"/>
        </w:rPr>
        <w:t xml:space="preserve"> 70</w:t>
      </w:r>
      <w:r w:rsidR="0050285B">
        <w:rPr>
          <w:lang w:val="fr-CA"/>
        </w:rPr>
        <w:t> %</w:t>
      </w:r>
      <w:r w:rsidR="00910D31" w:rsidRPr="00B3274C">
        <w:rPr>
          <w:lang w:val="fr-CA"/>
        </w:rPr>
        <w:t xml:space="preserve"> de ceux qui sont employés à plein temps et 80</w:t>
      </w:r>
      <w:r w:rsidR="0050285B">
        <w:rPr>
          <w:lang w:val="fr-CA"/>
        </w:rPr>
        <w:t> %</w:t>
      </w:r>
      <w:r w:rsidR="00910D31" w:rsidRPr="00B3274C">
        <w:rPr>
          <w:lang w:val="fr-CA"/>
        </w:rPr>
        <w:t xml:space="preserve"> de ceux qui sont employés à temps partiel. </w:t>
      </w:r>
    </w:p>
    <w:p w:rsidR="00FB23D3" w:rsidRPr="00B3274C" w:rsidRDefault="00107A47" w:rsidP="00107A47">
      <w:pPr>
        <w:pStyle w:val="SingleTxtG"/>
        <w:rPr>
          <w:szCs w:val="22"/>
          <w:lang w:val="fr-CA"/>
        </w:rPr>
      </w:pPr>
      <w:r w:rsidRPr="00B3274C">
        <w:rPr>
          <w:lang w:val="fr-CA"/>
        </w:rPr>
        <w:t>86.</w:t>
      </w:r>
      <w:r w:rsidRPr="00B3274C">
        <w:rPr>
          <w:lang w:val="fr-CA"/>
        </w:rPr>
        <w:tab/>
      </w:r>
      <w:r w:rsidR="0020487A" w:rsidRPr="00B3274C">
        <w:rPr>
          <w:lang w:val="fr-CA"/>
        </w:rPr>
        <w:t>Trois femmes qui travaillent sur dix (33</w:t>
      </w:r>
      <w:r w:rsidR="0080611A">
        <w:rPr>
          <w:lang w:val="fr-CA"/>
        </w:rPr>
        <w:t>,</w:t>
      </w:r>
      <w:r w:rsidR="0020487A" w:rsidRPr="00B3274C">
        <w:rPr>
          <w:lang w:val="fr-CA"/>
        </w:rPr>
        <w:t>7</w:t>
      </w:r>
      <w:r w:rsidR="0050285B">
        <w:rPr>
          <w:lang w:val="fr-CA"/>
        </w:rPr>
        <w:t> %</w:t>
      </w:r>
      <w:r w:rsidR="0020487A" w:rsidRPr="00B3274C">
        <w:rPr>
          <w:lang w:val="fr-CA"/>
        </w:rPr>
        <w:t>) ont un revenu mensuel net inférieur à 750</w:t>
      </w:r>
      <w:r w:rsidR="0099272B">
        <w:rPr>
          <w:lang w:val="fr-CA"/>
        </w:rPr>
        <w:t> euros</w:t>
      </w:r>
      <w:r w:rsidR="0080611A">
        <w:rPr>
          <w:lang w:val="fr-CA"/>
        </w:rPr>
        <w:t>,</w:t>
      </w:r>
      <w:r w:rsidR="00DD322C" w:rsidRPr="00B3274C">
        <w:rPr>
          <w:lang w:val="fr-CA"/>
        </w:rPr>
        <w:t xml:space="preserve"> contre 16</w:t>
      </w:r>
      <w:r w:rsidR="0080611A">
        <w:rPr>
          <w:lang w:val="fr-CA"/>
        </w:rPr>
        <w:t>,</w:t>
      </w:r>
      <w:r w:rsidR="00DD322C" w:rsidRPr="00B3274C">
        <w:rPr>
          <w:lang w:val="fr-CA"/>
        </w:rPr>
        <w:t>9</w:t>
      </w:r>
      <w:r w:rsidR="0050285B">
        <w:rPr>
          <w:lang w:val="fr-CA"/>
        </w:rPr>
        <w:t> %</w:t>
      </w:r>
      <w:r w:rsidR="00DD322C" w:rsidRPr="00B3274C">
        <w:rPr>
          <w:lang w:val="fr-CA"/>
        </w:rPr>
        <w:t xml:space="preserve"> des hommes. Parmi les femmes qui ont un emploi à plein temps ou permanent</w:t>
      </w:r>
      <w:r w:rsidR="0080611A">
        <w:rPr>
          <w:lang w:val="fr-CA"/>
        </w:rPr>
        <w:t>,</w:t>
      </w:r>
      <w:r w:rsidR="00DD322C" w:rsidRPr="00B3274C">
        <w:rPr>
          <w:lang w:val="fr-CA"/>
        </w:rPr>
        <w:t xml:space="preserve"> la proportion de celles qui ont un revenu mensuel net inférieur à 750</w:t>
      </w:r>
      <w:r w:rsidR="0099272B">
        <w:rPr>
          <w:lang w:val="fr-CA"/>
        </w:rPr>
        <w:t> euros</w:t>
      </w:r>
      <w:r w:rsidR="00DD322C" w:rsidRPr="00B3274C">
        <w:rPr>
          <w:lang w:val="fr-CA"/>
        </w:rPr>
        <w:t xml:space="preserve"> est de 30</w:t>
      </w:r>
      <w:r w:rsidR="0050285B">
        <w:rPr>
          <w:lang w:val="fr-CA"/>
        </w:rPr>
        <w:t> %</w:t>
      </w:r>
      <w:r w:rsidR="00DD322C" w:rsidRPr="00B3274C">
        <w:rPr>
          <w:lang w:val="fr-CA"/>
        </w:rPr>
        <w:t>. Parmi celles qui sont employées à temps partiel</w:t>
      </w:r>
      <w:r w:rsidR="0080611A">
        <w:rPr>
          <w:lang w:val="fr-CA"/>
        </w:rPr>
        <w:t>,</w:t>
      </w:r>
      <w:r w:rsidR="00DD322C" w:rsidRPr="00B3274C">
        <w:rPr>
          <w:lang w:val="fr-CA"/>
        </w:rPr>
        <w:t xml:space="preserve"> 90</w:t>
      </w:r>
      <w:r w:rsidR="0050285B">
        <w:rPr>
          <w:lang w:val="fr-CA"/>
        </w:rPr>
        <w:t> %</w:t>
      </w:r>
      <w:r w:rsidR="00DD322C" w:rsidRPr="00B3274C">
        <w:rPr>
          <w:lang w:val="fr-CA"/>
        </w:rPr>
        <w:t xml:space="preserve"> ont un salaire mensuel net inférieur à 750</w:t>
      </w:r>
      <w:r w:rsidR="0099272B">
        <w:rPr>
          <w:lang w:val="fr-CA"/>
        </w:rPr>
        <w:t> euros</w:t>
      </w:r>
      <w:r w:rsidR="00DD322C" w:rsidRPr="00B3274C">
        <w:rPr>
          <w:lang w:val="fr-CA"/>
        </w:rPr>
        <w:t>. En ce qui concerne les femmes employées à titre temporaire</w:t>
      </w:r>
      <w:r w:rsidR="0080611A">
        <w:rPr>
          <w:lang w:val="fr-CA"/>
        </w:rPr>
        <w:t>,</w:t>
      </w:r>
      <w:r w:rsidR="00DD322C" w:rsidRPr="00B3274C">
        <w:rPr>
          <w:lang w:val="fr-CA"/>
        </w:rPr>
        <w:t xml:space="preserve"> la proportion de celles qui ont un revenu mensuel net inférieur à 750</w:t>
      </w:r>
      <w:r w:rsidR="0099272B">
        <w:rPr>
          <w:lang w:val="fr-CA"/>
        </w:rPr>
        <w:t> euros</w:t>
      </w:r>
      <w:r w:rsidR="00DD322C" w:rsidRPr="00B3274C">
        <w:rPr>
          <w:lang w:val="fr-CA"/>
        </w:rPr>
        <w:t xml:space="preserve"> correspond aux deux tiers du nombre total de femmes travaillant avec un contrat de travail temporaire </w:t>
      </w:r>
      <w:r w:rsidR="00FB23D3" w:rsidRPr="00B3274C">
        <w:rPr>
          <w:szCs w:val="22"/>
          <w:lang w:val="fr-CA"/>
        </w:rPr>
        <w:t>(67</w:t>
      </w:r>
      <w:r w:rsidR="0050285B">
        <w:rPr>
          <w:szCs w:val="22"/>
          <w:lang w:val="fr-CA"/>
        </w:rPr>
        <w:t> %</w:t>
      </w:r>
      <w:r w:rsidR="00FB23D3" w:rsidRPr="00B3274C">
        <w:rPr>
          <w:szCs w:val="22"/>
          <w:lang w:val="fr-CA"/>
        </w:rPr>
        <w:t>).</w:t>
      </w:r>
      <w:r w:rsidR="001759A3" w:rsidRPr="00B3274C">
        <w:rPr>
          <w:szCs w:val="22"/>
          <w:lang w:val="fr-CA"/>
        </w:rPr>
        <w:t xml:space="preserve"> </w:t>
      </w:r>
      <w:r w:rsidR="00DD322C" w:rsidRPr="00B3274C">
        <w:rPr>
          <w:szCs w:val="22"/>
          <w:lang w:val="fr-CA"/>
        </w:rPr>
        <w:t xml:space="preserve">La majorité des femmes ayant un faible revenu net travaillent dans le secteur privé </w:t>
      </w:r>
      <w:r w:rsidR="00FB23D3" w:rsidRPr="00B3274C">
        <w:rPr>
          <w:bCs/>
          <w:szCs w:val="22"/>
          <w:lang w:val="fr-CA"/>
        </w:rPr>
        <w:t>(85</w:t>
      </w:r>
      <w:r w:rsidR="0050285B">
        <w:rPr>
          <w:bCs/>
          <w:szCs w:val="22"/>
          <w:lang w:val="fr-CA"/>
        </w:rPr>
        <w:t> %</w:t>
      </w:r>
      <w:r w:rsidR="00FB23D3" w:rsidRPr="00B3274C">
        <w:rPr>
          <w:bCs/>
          <w:szCs w:val="22"/>
          <w:lang w:val="fr-CA"/>
        </w:rPr>
        <w:t>)</w:t>
      </w:r>
      <w:r w:rsidR="001759A3" w:rsidRPr="00B3274C">
        <w:rPr>
          <w:bCs/>
          <w:szCs w:val="22"/>
          <w:lang w:val="fr-CA"/>
        </w:rPr>
        <w:t>.</w:t>
      </w:r>
    </w:p>
    <w:p w:rsidR="00FB23D3" w:rsidRPr="00B3274C" w:rsidRDefault="0099272B" w:rsidP="0099272B">
      <w:pPr>
        <w:pStyle w:val="H23G"/>
      </w:pPr>
      <w:r>
        <w:tab/>
      </w:r>
      <w:r>
        <w:tab/>
      </w:r>
      <w:r w:rsidR="000E5CD0" w:rsidRPr="0099272B">
        <w:rPr>
          <w:b w:val="0"/>
        </w:rPr>
        <w:t>Table</w:t>
      </w:r>
      <w:r w:rsidR="00883A58" w:rsidRPr="0099272B">
        <w:rPr>
          <w:b w:val="0"/>
        </w:rPr>
        <w:t>au</w:t>
      </w:r>
      <w:r w:rsidR="005F65E4" w:rsidRPr="0099272B">
        <w:rPr>
          <w:b w:val="0"/>
        </w:rPr>
        <w:t xml:space="preserve"> 3</w:t>
      </w:r>
      <w:r w:rsidR="000E5CD0" w:rsidRPr="00B3274C">
        <w:br/>
      </w:r>
      <w:r w:rsidR="003C42E8" w:rsidRPr="00B3274C">
        <w:t xml:space="preserve">Différence entre le salaire horaire moyen brut des hommes et la rémunération correspondante des femmes en pourcentage du salaire horaire moyen brut des hommes (pour les travailleurs salariés) </w:t>
      </w:r>
    </w:p>
    <w:tbl>
      <w:tblPr>
        <w:tblW w:w="7371" w:type="dxa"/>
        <w:tblInd w:w="1134" w:type="dxa"/>
        <w:tblBorders>
          <w:top w:val="single" w:sz="4" w:space="0" w:color="auto"/>
        </w:tblBorders>
        <w:tblLayout w:type="fixed"/>
        <w:tblCellMar>
          <w:left w:w="0" w:type="dxa"/>
          <w:right w:w="0" w:type="dxa"/>
        </w:tblCellMar>
        <w:tblLook w:val="0000"/>
      </w:tblPr>
      <w:tblGrid>
        <w:gridCol w:w="1134"/>
        <w:gridCol w:w="891"/>
        <w:gridCol w:w="891"/>
        <w:gridCol w:w="891"/>
        <w:gridCol w:w="891"/>
        <w:gridCol w:w="891"/>
        <w:gridCol w:w="891"/>
        <w:gridCol w:w="891"/>
      </w:tblGrid>
      <w:tr w:rsidR="00FB23D3" w:rsidRPr="00B3274C" w:rsidTr="000C19FD">
        <w:trPr>
          <w:trHeight w:val="315"/>
          <w:tblHeader/>
        </w:trPr>
        <w:tc>
          <w:tcPr>
            <w:tcW w:w="1134" w:type="dxa"/>
            <w:tcBorders>
              <w:top w:val="single" w:sz="4" w:space="0" w:color="auto"/>
              <w:bottom w:val="single" w:sz="12" w:space="0" w:color="auto"/>
            </w:tcBorders>
            <w:shd w:val="clear" w:color="auto" w:fill="auto"/>
            <w:noWrap/>
            <w:vAlign w:val="bottom"/>
          </w:tcPr>
          <w:p w:rsidR="00FB23D3" w:rsidRPr="00B3274C" w:rsidRDefault="00FB23D3" w:rsidP="002C3778">
            <w:pPr>
              <w:pStyle w:val="SingleTxtG"/>
              <w:keepNext/>
              <w:suppressAutoHyphens w:val="0"/>
              <w:spacing w:before="80" w:after="80" w:line="200" w:lineRule="exact"/>
              <w:ind w:left="0" w:right="0"/>
              <w:jc w:val="left"/>
              <w:rPr>
                <w:bCs/>
                <w:i/>
                <w:sz w:val="16"/>
                <w:lang w:val="fr-CA"/>
              </w:rPr>
            </w:pPr>
          </w:p>
        </w:tc>
        <w:tc>
          <w:tcPr>
            <w:tcW w:w="891" w:type="dxa"/>
            <w:tcBorders>
              <w:top w:val="single" w:sz="4" w:space="0" w:color="auto"/>
              <w:bottom w:val="single" w:sz="12" w:space="0" w:color="auto"/>
            </w:tcBorders>
            <w:shd w:val="clear" w:color="auto" w:fill="auto"/>
            <w:noWrap/>
            <w:vAlign w:val="bottom"/>
          </w:tcPr>
          <w:p w:rsidR="00FB23D3" w:rsidRPr="00B3274C" w:rsidRDefault="00FB23D3" w:rsidP="002C3778">
            <w:pPr>
              <w:pStyle w:val="SingleTxtG"/>
              <w:keepNext/>
              <w:suppressAutoHyphens w:val="0"/>
              <w:spacing w:before="80" w:after="80" w:line="200" w:lineRule="exact"/>
              <w:ind w:left="113" w:right="0"/>
              <w:jc w:val="right"/>
              <w:rPr>
                <w:bCs/>
                <w:i/>
                <w:sz w:val="16"/>
                <w:lang w:val="fr-CA"/>
              </w:rPr>
            </w:pPr>
            <w:r w:rsidRPr="00B3274C">
              <w:rPr>
                <w:bCs/>
                <w:i/>
                <w:sz w:val="16"/>
                <w:lang w:val="fr-CA"/>
              </w:rPr>
              <w:t>2000</w:t>
            </w:r>
          </w:p>
        </w:tc>
        <w:tc>
          <w:tcPr>
            <w:tcW w:w="891" w:type="dxa"/>
            <w:tcBorders>
              <w:top w:val="single" w:sz="4" w:space="0" w:color="auto"/>
              <w:bottom w:val="single" w:sz="12" w:space="0" w:color="auto"/>
            </w:tcBorders>
            <w:shd w:val="clear" w:color="auto" w:fill="auto"/>
            <w:noWrap/>
            <w:vAlign w:val="bottom"/>
          </w:tcPr>
          <w:p w:rsidR="00FB23D3" w:rsidRPr="00B3274C" w:rsidRDefault="00FB23D3" w:rsidP="002C3778">
            <w:pPr>
              <w:pStyle w:val="SingleTxtG"/>
              <w:keepNext/>
              <w:suppressAutoHyphens w:val="0"/>
              <w:spacing w:before="80" w:after="80" w:line="200" w:lineRule="exact"/>
              <w:ind w:left="113" w:right="0"/>
              <w:jc w:val="right"/>
              <w:rPr>
                <w:bCs/>
                <w:i/>
                <w:sz w:val="16"/>
                <w:lang w:val="fr-CA"/>
              </w:rPr>
            </w:pPr>
            <w:r w:rsidRPr="00B3274C">
              <w:rPr>
                <w:bCs/>
                <w:i/>
                <w:sz w:val="16"/>
                <w:lang w:val="fr-CA"/>
              </w:rPr>
              <w:t>2001</w:t>
            </w:r>
          </w:p>
        </w:tc>
        <w:tc>
          <w:tcPr>
            <w:tcW w:w="891" w:type="dxa"/>
            <w:tcBorders>
              <w:top w:val="single" w:sz="4" w:space="0" w:color="auto"/>
              <w:bottom w:val="single" w:sz="12" w:space="0" w:color="auto"/>
            </w:tcBorders>
            <w:shd w:val="clear" w:color="auto" w:fill="auto"/>
            <w:noWrap/>
            <w:vAlign w:val="bottom"/>
          </w:tcPr>
          <w:p w:rsidR="00FB23D3" w:rsidRPr="00B3274C" w:rsidRDefault="00FB23D3" w:rsidP="002C3778">
            <w:pPr>
              <w:pStyle w:val="SingleTxtG"/>
              <w:keepNext/>
              <w:suppressAutoHyphens w:val="0"/>
              <w:spacing w:before="80" w:after="80" w:line="200" w:lineRule="exact"/>
              <w:ind w:left="113" w:right="0"/>
              <w:jc w:val="right"/>
              <w:rPr>
                <w:bCs/>
                <w:i/>
                <w:sz w:val="16"/>
                <w:lang w:val="fr-CA"/>
              </w:rPr>
            </w:pPr>
            <w:r w:rsidRPr="00B3274C">
              <w:rPr>
                <w:bCs/>
                <w:i/>
                <w:sz w:val="16"/>
                <w:lang w:val="fr-CA"/>
              </w:rPr>
              <w:t>2002</w:t>
            </w:r>
          </w:p>
        </w:tc>
        <w:tc>
          <w:tcPr>
            <w:tcW w:w="891" w:type="dxa"/>
            <w:tcBorders>
              <w:top w:val="single" w:sz="4" w:space="0" w:color="auto"/>
              <w:bottom w:val="single" w:sz="12" w:space="0" w:color="auto"/>
            </w:tcBorders>
            <w:shd w:val="clear" w:color="auto" w:fill="auto"/>
            <w:noWrap/>
            <w:vAlign w:val="bottom"/>
          </w:tcPr>
          <w:p w:rsidR="00FB23D3" w:rsidRPr="00B3274C" w:rsidRDefault="00FB23D3" w:rsidP="00504022">
            <w:pPr>
              <w:pStyle w:val="SingleTxtG"/>
              <w:keepNext/>
              <w:suppressAutoHyphens w:val="0"/>
              <w:spacing w:before="80" w:after="80" w:line="200" w:lineRule="exact"/>
              <w:ind w:left="113" w:right="0"/>
              <w:jc w:val="right"/>
              <w:rPr>
                <w:bCs/>
                <w:i/>
                <w:sz w:val="16"/>
                <w:lang w:val="fr-CA"/>
              </w:rPr>
            </w:pPr>
            <w:r w:rsidRPr="00B3274C">
              <w:rPr>
                <w:bCs/>
                <w:i/>
                <w:sz w:val="16"/>
                <w:lang w:val="fr-CA"/>
              </w:rPr>
              <w:t>2003</w:t>
            </w:r>
          </w:p>
        </w:tc>
        <w:tc>
          <w:tcPr>
            <w:tcW w:w="891" w:type="dxa"/>
            <w:tcBorders>
              <w:top w:val="single" w:sz="4" w:space="0" w:color="auto"/>
              <w:bottom w:val="single" w:sz="12" w:space="0" w:color="auto"/>
            </w:tcBorders>
            <w:shd w:val="clear" w:color="auto" w:fill="auto"/>
            <w:noWrap/>
            <w:vAlign w:val="bottom"/>
          </w:tcPr>
          <w:p w:rsidR="00FB23D3" w:rsidRPr="00B3274C" w:rsidRDefault="00FB23D3" w:rsidP="002C3778">
            <w:pPr>
              <w:pStyle w:val="SingleTxtG"/>
              <w:keepNext/>
              <w:suppressAutoHyphens w:val="0"/>
              <w:spacing w:before="80" w:after="80" w:line="200" w:lineRule="exact"/>
              <w:ind w:left="113" w:right="0"/>
              <w:jc w:val="right"/>
              <w:rPr>
                <w:bCs/>
                <w:i/>
                <w:sz w:val="16"/>
                <w:lang w:val="fr-CA"/>
              </w:rPr>
            </w:pPr>
            <w:r w:rsidRPr="00B3274C">
              <w:rPr>
                <w:bCs/>
                <w:i/>
                <w:sz w:val="16"/>
                <w:lang w:val="fr-CA"/>
              </w:rPr>
              <w:t>2004</w:t>
            </w:r>
          </w:p>
        </w:tc>
        <w:tc>
          <w:tcPr>
            <w:tcW w:w="891" w:type="dxa"/>
            <w:tcBorders>
              <w:top w:val="single" w:sz="4" w:space="0" w:color="auto"/>
              <w:bottom w:val="single" w:sz="12" w:space="0" w:color="auto"/>
            </w:tcBorders>
            <w:shd w:val="clear" w:color="auto" w:fill="auto"/>
            <w:noWrap/>
            <w:vAlign w:val="bottom"/>
          </w:tcPr>
          <w:p w:rsidR="00FB23D3" w:rsidRPr="00B3274C" w:rsidRDefault="00FB23D3" w:rsidP="002C3778">
            <w:pPr>
              <w:pStyle w:val="SingleTxtG"/>
              <w:keepNext/>
              <w:suppressAutoHyphens w:val="0"/>
              <w:spacing w:before="80" w:after="80" w:line="200" w:lineRule="exact"/>
              <w:ind w:left="113" w:right="0"/>
              <w:jc w:val="right"/>
              <w:rPr>
                <w:bCs/>
                <w:i/>
                <w:sz w:val="16"/>
                <w:lang w:val="fr-CA"/>
              </w:rPr>
            </w:pPr>
            <w:r w:rsidRPr="00B3274C">
              <w:rPr>
                <w:bCs/>
                <w:i/>
                <w:sz w:val="16"/>
                <w:lang w:val="fr-CA"/>
              </w:rPr>
              <w:t>2005</w:t>
            </w:r>
          </w:p>
        </w:tc>
        <w:tc>
          <w:tcPr>
            <w:tcW w:w="891" w:type="dxa"/>
            <w:tcBorders>
              <w:top w:val="single" w:sz="4" w:space="0" w:color="auto"/>
              <w:bottom w:val="single" w:sz="12" w:space="0" w:color="auto"/>
            </w:tcBorders>
            <w:shd w:val="clear" w:color="auto" w:fill="auto"/>
            <w:noWrap/>
            <w:vAlign w:val="bottom"/>
          </w:tcPr>
          <w:p w:rsidR="00FB23D3" w:rsidRPr="00B3274C" w:rsidRDefault="00FB23D3" w:rsidP="002C3778">
            <w:pPr>
              <w:pStyle w:val="SingleTxtG"/>
              <w:keepNext/>
              <w:suppressAutoHyphens w:val="0"/>
              <w:spacing w:before="80" w:after="80" w:line="200" w:lineRule="exact"/>
              <w:ind w:left="113" w:right="0"/>
              <w:jc w:val="right"/>
              <w:rPr>
                <w:bCs/>
                <w:i/>
                <w:sz w:val="16"/>
                <w:lang w:val="fr-CA"/>
              </w:rPr>
            </w:pPr>
            <w:r w:rsidRPr="00B3274C">
              <w:rPr>
                <w:bCs/>
                <w:i/>
                <w:sz w:val="16"/>
                <w:lang w:val="fr-CA"/>
              </w:rPr>
              <w:t>2006</w:t>
            </w:r>
          </w:p>
        </w:tc>
      </w:tr>
      <w:tr w:rsidR="00FB23D3" w:rsidRPr="00B3274C" w:rsidTr="000C19FD">
        <w:trPr>
          <w:trHeight w:val="315"/>
        </w:trPr>
        <w:tc>
          <w:tcPr>
            <w:tcW w:w="1134" w:type="dxa"/>
            <w:tcBorders>
              <w:top w:val="single" w:sz="12" w:space="0" w:color="auto"/>
            </w:tcBorders>
            <w:shd w:val="clear" w:color="auto" w:fill="auto"/>
            <w:noWrap/>
          </w:tcPr>
          <w:p w:rsidR="00FB23D3" w:rsidRPr="00B3274C" w:rsidRDefault="003C42E8" w:rsidP="002C3778">
            <w:pPr>
              <w:pStyle w:val="SingleTxtG"/>
              <w:keepNext/>
              <w:suppressAutoHyphens w:val="0"/>
              <w:spacing w:before="40" w:after="40" w:line="220" w:lineRule="exact"/>
              <w:ind w:left="0" w:right="0"/>
              <w:jc w:val="left"/>
              <w:rPr>
                <w:bCs/>
                <w:sz w:val="18"/>
                <w:lang w:val="fr-CA"/>
              </w:rPr>
            </w:pPr>
            <w:r w:rsidRPr="00B3274C">
              <w:rPr>
                <w:bCs/>
                <w:sz w:val="18"/>
                <w:lang w:val="fr-CA"/>
              </w:rPr>
              <w:t>Grèce</w:t>
            </w:r>
          </w:p>
        </w:tc>
        <w:tc>
          <w:tcPr>
            <w:tcW w:w="891" w:type="dxa"/>
            <w:tcBorders>
              <w:top w:val="single" w:sz="12" w:space="0" w:color="auto"/>
            </w:tcBorders>
            <w:shd w:val="clear" w:color="auto" w:fill="auto"/>
            <w:noWrap/>
            <w:vAlign w:val="bottom"/>
          </w:tcPr>
          <w:p w:rsidR="00FB23D3" w:rsidRPr="00B3274C" w:rsidRDefault="00FB23D3" w:rsidP="002C3778">
            <w:pPr>
              <w:pStyle w:val="SingleTxtG"/>
              <w:keepNext/>
              <w:suppressAutoHyphens w:val="0"/>
              <w:spacing w:before="40" w:after="40" w:line="220" w:lineRule="exact"/>
              <w:ind w:left="113" w:right="0"/>
              <w:jc w:val="right"/>
              <w:rPr>
                <w:sz w:val="18"/>
                <w:lang w:val="fr-CA"/>
              </w:rPr>
            </w:pPr>
            <w:r w:rsidRPr="00B3274C">
              <w:rPr>
                <w:sz w:val="18"/>
                <w:lang w:val="fr-CA"/>
              </w:rPr>
              <w:t>15</w:t>
            </w:r>
          </w:p>
        </w:tc>
        <w:tc>
          <w:tcPr>
            <w:tcW w:w="891" w:type="dxa"/>
            <w:tcBorders>
              <w:top w:val="single" w:sz="12" w:space="0" w:color="auto"/>
            </w:tcBorders>
            <w:shd w:val="clear" w:color="auto" w:fill="auto"/>
            <w:noWrap/>
            <w:vAlign w:val="bottom"/>
          </w:tcPr>
          <w:p w:rsidR="00FB23D3" w:rsidRPr="00B3274C" w:rsidRDefault="00FB23D3" w:rsidP="002C3778">
            <w:pPr>
              <w:pStyle w:val="SingleTxtG"/>
              <w:keepNext/>
              <w:suppressAutoHyphens w:val="0"/>
              <w:spacing w:before="40" w:after="40" w:line="220" w:lineRule="exact"/>
              <w:ind w:left="113" w:right="0"/>
              <w:jc w:val="right"/>
              <w:rPr>
                <w:sz w:val="18"/>
                <w:lang w:val="fr-CA"/>
              </w:rPr>
            </w:pPr>
            <w:r w:rsidRPr="00B3274C">
              <w:rPr>
                <w:sz w:val="18"/>
                <w:lang w:val="fr-CA"/>
              </w:rPr>
              <w:t>18</w:t>
            </w:r>
          </w:p>
        </w:tc>
        <w:tc>
          <w:tcPr>
            <w:tcW w:w="891" w:type="dxa"/>
            <w:tcBorders>
              <w:top w:val="single" w:sz="12" w:space="0" w:color="auto"/>
            </w:tcBorders>
            <w:shd w:val="clear" w:color="auto" w:fill="auto"/>
            <w:noWrap/>
            <w:vAlign w:val="bottom"/>
          </w:tcPr>
          <w:p w:rsidR="00FB23D3" w:rsidRPr="00B3274C" w:rsidRDefault="00FB23D3" w:rsidP="002C3778">
            <w:pPr>
              <w:pStyle w:val="SingleTxtG"/>
              <w:keepNext/>
              <w:suppressAutoHyphens w:val="0"/>
              <w:spacing w:before="40" w:after="40" w:line="220" w:lineRule="exact"/>
              <w:ind w:left="113" w:right="0"/>
              <w:jc w:val="right"/>
              <w:rPr>
                <w:sz w:val="18"/>
                <w:lang w:val="fr-CA"/>
              </w:rPr>
            </w:pPr>
            <w:r w:rsidRPr="00B3274C">
              <w:rPr>
                <w:sz w:val="18"/>
                <w:lang w:val="fr-CA"/>
              </w:rPr>
              <w:t>17</w:t>
            </w:r>
          </w:p>
        </w:tc>
        <w:tc>
          <w:tcPr>
            <w:tcW w:w="891" w:type="dxa"/>
            <w:tcBorders>
              <w:top w:val="single" w:sz="12" w:space="0" w:color="auto"/>
            </w:tcBorders>
            <w:shd w:val="clear" w:color="auto" w:fill="auto"/>
            <w:noWrap/>
            <w:vAlign w:val="bottom"/>
          </w:tcPr>
          <w:p w:rsidR="00FB23D3" w:rsidRPr="00B3274C" w:rsidRDefault="00FB23D3" w:rsidP="002C3778">
            <w:pPr>
              <w:pStyle w:val="SingleTxtG"/>
              <w:keepNext/>
              <w:suppressAutoHyphens w:val="0"/>
              <w:spacing w:before="40" w:after="40" w:line="220" w:lineRule="exact"/>
              <w:ind w:left="113" w:right="0"/>
              <w:jc w:val="right"/>
              <w:rPr>
                <w:sz w:val="18"/>
                <w:lang w:val="fr-CA"/>
              </w:rPr>
            </w:pPr>
            <w:r w:rsidRPr="00B3274C">
              <w:rPr>
                <w:sz w:val="18"/>
                <w:lang w:val="fr-CA"/>
              </w:rPr>
              <w:t>11</w:t>
            </w:r>
          </w:p>
        </w:tc>
        <w:tc>
          <w:tcPr>
            <w:tcW w:w="891" w:type="dxa"/>
            <w:tcBorders>
              <w:top w:val="single" w:sz="12" w:space="0" w:color="auto"/>
            </w:tcBorders>
            <w:shd w:val="clear" w:color="auto" w:fill="auto"/>
            <w:noWrap/>
            <w:vAlign w:val="bottom"/>
          </w:tcPr>
          <w:p w:rsidR="00FB23D3" w:rsidRPr="00B3274C" w:rsidRDefault="00FB23D3" w:rsidP="002C3778">
            <w:pPr>
              <w:pStyle w:val="SingleTxtG"/>
              <w:keepNext/>
              <w:suppressAutoHyphens w:val="0"/>
              <w:spacing w:before="40" w:after="40" w:line="220" w:lineRule="exact"/>
              <w:ind w:left="113" w:right="0"/>
              <w:jc w:val="right"/>
              <w:rPr>
                <w:sz w:val="18"/>
                <w:lang w:val="fr-CA"/>
              </w:rPr>
            </w:pPr>
            <w:r w:rsidRPr="00B3274C">
              <w:rPr>
                <w:sz w:val="18"/>
                <w:lang w:val="fr-CA"/>
              </w:rPr>
              <w:t>10</w:t>
            </w:r>
          </w:p>
        </w:tc>
        <w:tc>
          <w:tcPr>
            <w:tcW w:w="891" w:type="dxa"/>
            <w:tcBorders>
              <w:top w:val="single" w:sz="12" w:space="0" w:color="auto"/>
            </w:tcBorders>
            <w:shd w:val="clear" w:color="auto" w:fill="auto"/>
            <w:noWrap/>
            <w:vAlign w:val="bottom"/>
          </w:tcPr>
          <w:p w:rsidR="00FB23D3" w:rsidRPr="00B3274C" w:rsidRDefault="00FB23D3" w:rsidP="00180F5C">
            <w:pPr>
              <w:pStyle w:val="SingleTxtG"/>
              <w:keepNext/>
              <w:suppressAutoHyphens w:val="0"/>
              <w:spacing w:before="40" w:after="40" w:line="220" w:lineRule="exact"/>
              <w:ind w:left="113" w:right="0"/>
              <w:jc w:val="right"/>
              <w:rPr>
                <w:sz w:val="18"/>
                <w:lang w:val="fr-CA"/>
              </w:rPr>
            </w:pPr>
            <w:r w:rsidRPr="00B3274C">
              <w:rPr>
                <w:sz w:val="18"/>
                <w:lang w:val="fr-CA"/>
              </w:rPr>
              <w:t>9t</w:t>
            </w:r>
            <w:r w:rsidR="00180F5C" w:rsidRPr="00B3274C">
              <w:rPr>
                <w:sz w:val="18"/>
                <w:lang w:val="fr-CA"/>
              </w:rPr>
              <w:t>d</w:t>
            </w:r>
            <w:r w:rsidRPr="00B3274C">
              <w:rPr>
                <w:sz w:val="18"/>
                <w:lang w:val="fr-CA"/>
              </w:rPr>
              <w:t>.</w:t>
            </w:r>
          </w:p>
        </w:tc>
        <w:tc>
          <w:tcPr>
            <w:tcW w:w="891" w:type="dxa"/>
            <w:tcBorders>
              <w:top w:val="single" w:sz="12" w:space="0" w:color="auto"/>
            </w:tcBorders>
            <w:shd w:val="clear" w:color="auto" w:fill="auto"/>
            <w:noWrap/>
            <w:vAlign w:val="bottom"/>
          </w:tcPr>
          <w:p w:rsidR="00FB23D3" w:rsidRPr="00B3274C" w:rsidRDefault="00FB23D3" w:rsidP="002C3778">
            <w:pPr>
              <w:pStyle w:val="SingleTxtG"/>
              <w:keepNext/>
              <w:suppressAutoHyphens w:val="0"/>
              <w:spacing w:before="40" w:after="40" w:line="220" w:lineRule="exact"/>
              <w:ind w:left="113" w:right="0"/>
              <w:jc w:val="right"/>
              <w:rPr>
                <w:sz w:val="18"/>
                <w:lang w:val="fr-CA"/>
              </w:rPr>
            </w:pPr>
            <w:r w:rsidRPr="00B3274C">
              <w:rPr>
                <w:sz w:val="18"/>
                <w:lang w:val="fr-CA"/>
              </w:rPr>
              <w:t>10</w:t>
            </w:r>
          </w:p>
        </w:tc>
      </w:tr>
      <w:tr w:rsidR="00FB23D3" w:rsidRPr="00B3274C" w:rsidTr="000C19FD">
        <w:trPr>
          <w:trHeight w:val="315"/>
        </w:trPr>
        <w:tc>
          <w:tcPr>
            <w:tcW w:w="1134" w:type="dxa"/>
            <w:tcBorders>
              <w:bottom w:val="single" w:sz="12" w:space="0" w:color="auto"/>
            </w:tcBorders>
            <w:shd w:val="clear" w:color="auto" w:fill="auto"/>
            <w:noWrap/>
          </w:tcPr>
          <w:p w:rsidR="00FB23D3" w:rsidRPr="00B3274C" w:rsidRDefault="003C42E8" w:rsidP="00EA0A66">
            <w:pPr>
              <w:pStyle w:val="SingleTxtG"/>
              <w:suppressAutoHyphens w:val="0"/>
              <w:spacing w:before="40" w:after="40" w:line="220" w:lineRule="exact"/>
              <w:ind w:left="0" w:right="0"/>
              <w:jc w:val="left"/>
              <w:rPr>
                <w:bCs/>
                <w:sz w:val="18"/>
                <w:lang w:val="fr-CA"/>
              </w:rPr>
            </w:pPr>
            <w:r w:rsidRPr="00B3274C">
              <w:rPr>
                <w:bCs/>
                <w:sz w:val="18"/>
                <w:lang w:val="fr-CA"/>
              </w:rPr>
              <w:t>UE</w:t>
            </w:r>
            <w:r w:rsidR="00FB23D3" w:rsidRPr="00B3274C">
              <w:rPr>
                <w:bCs/>
                <w:sz w:val="18"/>
                <w:lang w:val="fr-CA"/>
              </w:rPr>
              <w:t>-27</w:t>
            </w:r>
          </w:p>
        </w:tc>
        <w:tc>
          <w:tcPr>
            <w:tcW w:w="891" w:type="dxa"/>
            <w:tcBorders>
              <w:bottom w:val="single" w:sz="12" w:space="0" w:color="auto"/>
            </w:tcBorders>
            <w:shd w:val="clear" w:color="auto" w:fill="auto"/>
            <w:noWrap/>
            <w:vAlign w:val="bottom"/>
          </w:tcPr>
          <w:p w:rsidR="00FB23D3" w:rsidRPr="00B3274C" w:rsidRDefault="007D7B62" w:rsidP="00EA0A66">
            <w:pPr>
              <w:pStyle w:val="SingleTxtG"/>
              <w:suppressAutoHyphens w:val="0"/>
              <w:spacing w:before="40" w:after="40" w:line="220" w:lineRule="exact"/>
              <w:ind w:left="113" w:right="0"/>
              <w:jc w:val="right"/>
              <w:rPr>
                <w:sz w:val="18"/>
                <w:lang w:val="fr-CA"/>
              </w:rPr>
            </w:pPr>
            <w:r w:rsidRPr="00B3274C">
              <w:rPr>
                <w:sz w:val="18"/>
                <w:lang w:val="fr-CA"/>
              </w:rPr>
              <w:t>16</w:t>
            </w:r>
            <w:r w:rsidR="00FB23D3" w:rsidRPr="0099272B">
              <w:rPr>
                <w:lang w:val="fr-CA"/>
              </w:rPr>
              <w:t>*</w:t>
            </w:r>
          </w:p>
        </w:tc>
        <w:tc>
          <w:tcPr>
            <w:tcW w:w="891" w:type="dxa"/>
            <w:tcBorders>
              <w:bottom w:val="single" w:sz="12" w:space="0" w:color="auto"/>
            </w:tcBorders>
            <w:shd w:val="clear" w:color="auto" w:fill="auto"/>
            <w:noWrap/>
            <w:vAlign w:val="bottom"/>
          </w:tcPr>
          <w:p w:rsidR="00FB23D3" w:rsidRPr="00B3274C" w:rsidRDefault="007D7B62" w:rsidP="00EA0A66">
            <w:pPr>
              <w:pStyle w:val="SingleTxtG"/>
              <w:suppressAutoHyphens w:val="0"/>
              <w:spacing w:before="40" w:after="40" w:line="220" w:lineRule="exact"/>
              <w:ind w:left="113" w:right="0"/>
              <w:jc w:val="right"/>
              <w:rPr>
                <w:sz w:val="18"/>
                <w:lang w:val="fr-CA"/>
              </w:rPr>
            </w:pPr>
            <w:r w:rsidRPr="00B3274C">
              <w:rPr>
                <w:sz w:val="18"/>
                <w:lang w:val="fr-CA"/>
              </w:rPr>
              <w:t>16</w:t>
            </w:r>
            <w:r w:rsidR="00FB23D3" w:rsidRPr="0099272B">
              <w:rPr>
                <w:lang w:val="fr-CA"/>
              </w:rPr>
              <w:t>*</w:t>
            </w:r>
          </w:p>
        </w:tc>
        <w:tc>
          <w:tcPr>
            <w:tcW w:w="891" w:type="dxa"/>
            <w:tcBorders>
              <w:bottom w:val="single" w:sz="12" w:space="0" w:color="auto"/>
            </w:tcBorders>
            <w:shd w:val="clear" w:color="auto" w:fill="auto"/>
            <w:noWrap/>
            <w:vAlign w:val="bottom"/>
          </w:tcPr>
          <w:p w:rsidR="00FB23D3" w:rsidRPr="00B3274C" w:rsidRDefault="007D7B62" w:rsidP="00504022">
            <w:pPr>
              <w:pStyle w:val="SingleTxtG"/>
              <w:suppressAutoHyphens w:val="0"/>
              <w:spacing w:before="40" w:after="40" w:line="220" w:lineRule="exact"/>
              <w:ind w:left="113" w:right="0"/>
              <w:jc w:val="right"/>
              <w:rPr>
                <w:sz w:val="18"/>
                <w:lang w:val="fr-CA"/>
              </w:rPr>
            </w:pPr>
            <w:r w:rsidRPr="00B3274C">
              <w:rPr>
                <w:sz w:val="18"/>
                <w:lang w:val="fr-CA"/>
              </w:rPr>
              <w:t>16</w:t>
            </w:r>
            <w:r w:rsidR="00FB23D3" w:rsidRPr="0099272B">
              <w:rPr>
                <w:lang w:val="fr-CA"/>
              </w:rPr>
              <w:t>*</w:t>
            </w:r>
          </w:p>
        </w:tc>
        <w:tc>
          <w:tcPr>
            <w:tcW w:w="891" w:type="dxa"/>
            <w:tcBorders>
              <w:bottom w:val="single" w:sz="12" w:space="0" w:color="auto"/>
            </w:tcBorders>
            <w:shd w:val="clear" w:color="auto" w:fill="auto"/>
            <w:noWrap/>
            <w:vAlign w:val="bottom"/>
          </w:tcPr>
          <w:p w:rsidR="00FB23D3" w:rsidRPr="00B3274C" w:rsidRDefault="007D7B62" w:rsidP="00EA0A66">
            <w:pPr>
              <w:pStyle w:val="SingleTxtG"/>
              <w:suppressAutoHyphens w:val="0"/>
              <w:spacing w:before="40" w:after="40" w:line="220" w:lineRule="exact"/>
              <w:ind w:left="113" w:right="0"/>
              <w:jc w:val="right"/>
              <w:rPr>
                <w:sz w:val="18"/>
                <w:lang w:val="fr-CA"/>
              </w:rPr>
            </w:pPr>
            <w:r w:rsidRPr="00B3274C">
              <w:rPr>
                <w:sz w:val="18"/>
                <w:lang w:val="fr-CA"/>
              </w:rPr>
              <w:t>15</w:t>
            </w:r>
            <w:r w:rsidR="00FB23D3" w:rsidRPr="0099272B">
              <w:rPr>
                <w:lang w:val="fr-CA"/>
              </w:rPr>
              <w:t>*</w:t>
            </w:r>
          </w:p>
        </w:tc>
        <w:tc>
          <w:tcPr>
            <w:tcW w:w="891" w:type="dxa"/>
            <w:tcBorders>
              <w:bottom w:val="single" w:sz="12" w:space="0" w:color="auto"/>
            </w:tcBorders>
            <w:shd w:val="clear" w:color="auto" w:fill="auto"/>
            <w:noWrap/>
            <w:vAlign w:val="bottom"/>
          </w:tcPr>
          <w:p w:rsidR="00FB23D3" w:rsidRPr="00B3274C" w:rsidRDefault="007D7B62" w:rsidP="008558C4">
            <w:pPr>
              <w:pStyle w:val="SingleTxtG"/>
              <w:suppressAutoHyphens w:val="0"/>
              <w:spacing w:before="40" w:after="40" w:line="220" w:lineRule="exact"/>
              <w:ind w:left="113" w:right="0"/>
              <w:jc w:val="right"/>
              <w:rPr>
                <w:sz w:val="18"/>
                <w:lang w:val="fr-CA"/>
              </w:rPr>
            </w:pPr>
            <w:r w:rsidRPr="00B3274C">
              <w:rPr>
                <w:sz w:val="18"/>
                <w:lang w:val="fr-CA"/>
              </w:rPr>
              <w:t>1</w:t>
            </w:r>
            <w:r w:rsidR="00FB23D3" w:rsidRPr="0099272B">
              <w:rPr>
                <w:lang w:val="fr-CA"/>
              </w:rPr>
              <w:t>*</w:t>
            </w:r>
          </w:p>
        </w:tc>
        <w:tc>
          <w:tcPr>
            <w:tcW w:w="891" w:type="dxa"/>
            <w:tcBorders>
              <w:bottom w:val="single" w:sz="12" w:space="0" w:color="auto"/>
            </w:tcBorders>
            <w:shd w:val="clear" w:color="auto" w:fill="auto"/>
            <w:noWrap/>
            <w:vAlign w:val="bottom"/>
          </w:tcPr>
          <w:p w:rsidR="00FB23D3" w:rsidRPr="00B3274C" w:rsidRDefault="007D7B62" w:rsidP="00EA0A66">
            <w:pPr>
              <w:pStyle w:val="SingleTxtG"/>
              <w:suppressAutoHyphens w:val="0"/>
              <w:spacing w:before="40" w:after="40" w:line="220" w:lineRule="exact"/>
              <w:ind w:left="113" w:right="0"/>
              <w:jc w:val="right"/>
              <w:rPr>
                <w:sz w:val="18"/>
                <w:lang w:val="fr-CA"/>
              </w:rPr>
            </w:pPr>
            <w:r w:rsidRPr="00B3274C">
              <w:rPr>
                <w:sz w:val="18"/>
                <w:lang w:val="fr-CA"/>
              </w:rPr>
              <w:t>15</w:t>
            </w:r>
            <w:r w:rsidR="00FB23D3" w:rsidRPr="0099272B">
              <w:rPr>
                <w:lang w:val="fr-CA"/>
              </w:rPr>
              <w:t>*</w:t>
            </w:r>
          </w:p>
        </w:tc>
        <w:tc>
          <w:tcPr>
            <w:tcW w:w="891" w:type="dxa"/>
            <w:tcBorders>
              <w:bottom w:val="single" w:sz="12" w:space="0" w:color="auto"/>
            </w:tcBorders>
            <w:shd w:val="clear" w:color="auto" w:fill="auto"/>
            <w:noWrap/>
            <w:vAlign w:val="bottom"/>
          </w:tcPr>
          <w:p w:rsidR="00FB23D3" w:rsidRPr="00B3274C" w:rsidRDefault="007D7B62" w:rsidP="00EA0A66">
            <w:pPr>
              <w:pStyle w:val="SingleTxtG"/>
              <w:suppressAutoHyphens w:val="0"/>
              <w:spacing w:before="40" w:after="40" w:line="220" w:lineRule="exact"/>
              <w:ind w:left="113" w:right="0"/>
              <w:jc w:val="right"/>
              <w:rPr>
                <w:sz w:val="18"/>
                <w:lang w:val="fr-CA"/>
              </w:rPr>
            </w:pPr>
            <w:r w:rsidRPr="00B3274C">
              <w:rPr>
                <w:sz w:val="18"/>
                <w:lang w:val="fr-CA"/>
              </w:rPr>
              <w:t>15</w:t>
            </w:r>
            <w:r w:rsidR="00FB23D3" w:rsidRPr="0099272B">
              <w:rPr>
                <w:lang w:val="fr-CA"/>
              </w:rPr>
              <w:t>*</w:t>
            </w:r>
          </w:p>
        </w:tc>
      </w:tr>
    </w:tbl>
    <w:p w:rsidR="00050A61" w:rsidRPr="00B3274C" w:rsidRDefault="00050A61" w:rsidP="0099272B">
      <w:pPr>
        <w:pStyle w:val="Source"/>
        <w:spacing w:after="0"/>
        <w:rPr>
          <w:lang w:val="fr-CA"/>
        </w:rPr>
      </w:pPr>
      <w:r w:rsidRPr="00B3274C">
        <w:rPr>
          <w:i/>
          <w:lang w:val="fr-CA"/>
        </w:rPr>
        <w:t>Source</w:t>
      </w:r>
      <w:r w:rsidRPr="00B3274C">
        <w:rPr>
          <w:lang w:val="fr-CA"/>
        </w:rPr>
        <w:t xml:space="preserve">: </w:t>
      </w:r>
      <w:r w:rsidR="003C42E8" w:rsidRPr="00B3274C">
        <w:rPr>
          <w:lang w:val="fr-CA"/>
        </w:rPr>
        <w:t>Union européenne</w:t>
      </w:r>
      <w:r w:rsidRPr="00B3274C">
        <w:rPr>
          <w:lang w:val="fr-CA"/>
        </w:rPr>
        <w:t>.</w:t>
      </w:r>
    </w:p>
    <w:p w:rsidR="00FB23D3" w:rsidRPr="00B3274C" w:rsidRDefault="007D7B62" w:rsidP="0099272B">
      <w:pPr>
        <w:pStyle w:val="Source"/>
        <w:spacing w:before="0"/>
        <w:rPr>
          <w:lang w:val="fr-CA"/>
        </w:rPr>
      </w:pPr>
      <w:r w:rsidRPr="0099272B">
        <w:rPr>
          <w:sz w:val="20"/>
          <w:szCs w:val="20"/>
          <w:lang w:val="fr-CA"/>
        </w:rPr>
        <w:t>*</w:t>
      </w:r>
      <w:r w:rsidR="00047D7A" w:rsidRPr="00B3274C">
        <w:rPr>
          <w:lang w:val="fr-CA"/>
        </w:rPr>
        <w:t xml:space="preserve"> </w:t>
      </w:r>
      <w:r w:rsidR="00B60E4D" w:rsidRPr="00B3274C">
        <w:rPr>
          <w:lang w:val="fr-CA"/>
        </w:rPr>
        <w:t xml:space="preserve"> </w:t>
      </w:r>
      <w:r w:rsidR="00050A61" w:rsidRPr="00B3274C">
        <w:rPr>
          <w:lang w:val="fr-CA"/>
        </w:rPr>
        <w:t>E</w:t>
      </w:r>
      <w:r w:rsidR="00FB23D3" w:rsidRPr="00B3274C">
        <w:rPr>
          <w:lang w:val="fr-CA"/>
        </w:rPr>
        <w:t>stimat</w:t>
      </w:r>
      <w:r w:rsidR="003C42E8" w:rsidRPr="00B3274C">
        <w:rPr>
          <w:lang w:val="fr-CA"/>
        </w:rPr>
        <w:t>ion</w:t>
      </w:r>
      <w:r w:rsidR="00FB23D3" w:rsidRPr="00B3274C">
        <w:rPr>
          <w:lang w:val="fr-CA"/>
        </w:rPr>
        <w:t xml:space="preserve">; </w:t>
      </w:r>
      <w:r w:rsidR="003C42E8" w:rsidRPr="00B3274C">
        <w:rPr>
          <w:lang w:val="fr-CA"/>
        </w:rPr>
        <w:t>cp</w:t>
      </w:r>
      <w:r w:rsidR="005251C4" w:rsidRPr="00B3274C">
        <w:rPr>
          <w:lang w:val="fr-CA"/>
        </w:rPr>
        <w:t xml:space="preserve"> </w:t>
      </w:r>
      <w:r w:rsidR="00FB23D3" w:rsidRPr="00B3274C">
        <w:rPr>
          <w:lang w:val="fr-CA"/>
        </w:rPr>
        <w:t xml:space="preserve">= </w:t>
      </w:r>
      <w:r w:rsidR="003C42E8" w:rsidRPr="00B3274C">
        <w:rPr>
          <w:lang w:val="fr-CA"/>
        </w:rPr>
        <w:t>chiffres provisoires</w:t>
      </w:r>
      <w:r w:rsidR="00EA0A66" w:rsidRPr="00B3274C">
        <w:rPr>
          <w:lang w:val="fr-CA"/>
        </w:rPr>
        <w:t>.</w:t>
      </w:r>
    </w:p>
    <w:p w:rsidR="00FB23D3" w:rsidRPr="00B3274C" w:rsidRDefault="00193187" w:rsidP="00CB11CF">
      <w:pPr>
        <w:pStyle w:val="H23G"/>
        <w:rPr>
          <w:sz w:val="16"/>
          <w:szCs w:val="16"/>
          <w:lang w:val="fr-CA"/>
        </w:rPr>
      </w:pPr>
      <w:r w:rsidRPr="00B3274C">
        <w:rPr>
          <w:lang w:val="fr-CA"/>
        </w:rPr>
        <w:tab/>
      </w:r>
      <w:r w:rsidR="00CB11CF" w:rsidRPr="00B3274C">
        <w:rPr>
          <w:lang w:val="fr-CA"/>
        </w:rPr>
        <w:t>2.</w:t>
      </w:r>
      <w:r w:rsidRPr="00B3274C">
        <w:rPr>
          <w:lang w:val="fr-CA"/>
        </w:rPr>
        <w:tab/>
      </w:r>
      <w:r w:rsidR="003C42E8" w:rsidRPr="00B3274C">
        <w:rPr>
          <w:lang w:val="fr-CA"/>
        </w:rPr>
        <w:t>Mesures visant à l</w:t>
      </w:r>
      <w:r w:rsidR="0080611A">
        <w:rPr>
          <w:lang w:val="fr-CA"/>
        </w:rPr>
        <w:t>’</w:t>
      </w:r>
      <w:r w:rsidR="003C42E8" w:rsidRPr="00B3274C">
        <w:rPr>
          <w:lang w:val="fr-CA"/>
        </w:rPr>
        <w:t xml:space="preserve">élimination de la discrimination </w:t>
      </w:r>
    </w:p>
    <w:p w:rsidR="00FB23D3" w:rsidRPr="00B3274C" w:rsidRDefault="00107A47" w:rsidP="00107A47">
      <w:pPr>
        <w:pStyle w:val="SingleTxtG"/>
        <w:rPr>
          <w:szCs w:val="25"/>
          <w:lang w:val="fr-CA"/>
        </w:rPr>
      </w:pPr>
      <w:r w:rsidRPr="00B3274C">
        <w:rPr>
          <w:lang w:val="fr-CA"/>
        </w:rPr>
        <w:t>87.</w:t>
      </w:r>
      <w:r w:rsidRPr="00B3274C">
        <w:rPr>
          <w:lang w:val="fr-CA"/>
        </w:rPr>
        <w:tab/>
      </w:r>
      <w:r w:rsidR="00ED5A25" w:rsidRPr="00B3274C">
        <w:rPr>
          <w:lang w:val="fr-CA"/>
        </w:rPr>
        <w:t xml:space="preserve">En vertu de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 xml:space="preserve">3896/2010 </w:t>
      </w:r>
      <w:r w:rsidR="004F3A01">
        <w:rPr>
          <w:lang w:val="fr-CA"/>
        </w:rPr>
        <w:t>sur l’</w:t>
      </w:r>
      <w:r w:rsidR="00ED5A25" w:rsidRPr="00B3274C">
        <w:rPr>
          <w:lang w:val="fr-CA"/>
        </w:rPr>
        <w:t>application du principe de l</w:t>
      </w:r>
      <w:r w:rsidR="0080611A">
        <w:rPr>
          <w:lang w:val="fr-CA"/>
        </w:rPr>
        <w:t>’</w:t>
      </w:r>
      <w:r w:rsidR="00ED5A25" w:rsidRPr="00B3274C">
        <w:rPr>
          <w:lang w:val="fr-CA"/>
        </w:rPr>
        <w:t>égalité des chances et de l</w:t>
      </w:r>
      <w:r w:rsidR="0080611A">
        <w:rPr>
          <w:lang w:val="fr-CA"/>
        </w:rPr>
        <w:t>’</w:t>
      </w:r>
      <w:r w:rsidR="00ED5A25" w:rsidRPr="00B3274C">
        <w:rPr>
          <w:lang w:val="fr-CA"/>
        </w:rPr>
        <w:t>égalité de traitement entre hommes et femmes en matière d</w:t>
      </w:r>
      <w:r w:rsidR="0080611A">
        <w:rPr>
          <w:lang w:val="fr-CA"/>
        </w:rPr>
        <w:t>’</w:t>
      </w:r>
      <w:r w:rsidR="00ED5A25" w:rsidRPr="00B3274C">
        <w:rPr>
          <w:lang w:val="fr-CA"/>
        </w:rPr>
        <w:t>emploi et de travail</w:t>
      </w:r>
      <w:r w:rsidR="0080611A">
        <w:rPr>
          <w:lang w:val="fr-CA"/>
        </w:rPr>
        <w:t>,</w:t>
      </w:r>
      <w:r w:rsidR="00FB23D3" w:rsidRPr="00B3274C">
        <w:rPr>
          <w:lang w:val="fr-CA"/>
        </w:rPr>
        <w:t xml:space="preserve"> </w:t>
      </w:r>
      <w:r w:rsidR="00ED5A25" w:rsidRPr="00B3274C">
        <w:rPr>
          <w:lang w:val="fr-CA"/>
        </w:rPr>
        <w:t>la d</w:t>
      </w:r>
      <w:r w:rsidR="00FB23D3" w:rsidRPr="00B3274C">
        <w:rPr>
          <w:lang w:val="fr-CA"/>
        </w:rPr>
        <w:t>irective 2006/54/</w:t>
      </w:r>
      <w:r w:rsidR="00ED5A25" w:rsidRPr="00B3274C">
        <w:rPr>
          <w:lang w:val="fr-CA"/>
        </w:rPr>
        <w:t>CE</w:t>
      </w:r>
      <w:r w:rsidR="00FB23D3" w:rsidRPr="00B3274C">
        <w:rPr>
          <w:lang w:val="fr-CA"/>
        </w:rPr>
        <w:t xml:space="preserve"> </w:t>
      </w:r>
      <w:r w:rsidR="00ED5A25" w:rsidRPr="00B3274C">
        <w:rPr>
          <w:lang w:val="fr-CA"/>
        </w:rPr>
        <w:t>a été incorporée dans la législation grecque</w:t>
      </w:r>
      <w:r w:rsidR="00FB23D3" w:rsidRPr="00B3274C">
        <w:rPr>
          <w:lang w:val="fr-CA"/>
        </w:rPr>
        <w:t xml:space="preserve">. </w:t>
      </w:r>
      <w:r w:rsidR="00CA6DA1" w:rsidRPr="00B3274C">
        <w:rPr>
          <w:lang w:val="fr-CA"/>
        </w:rPr>
        <w:t xml:space="preserve">La loi vise à </w:t>
      </w:r>
      <w:r w:rsidR="00D94E02" w:rsidRPr="00B3274C">
        <w:rPr>
          <w:lang w:val="fr-CA"/>
        </w:rPr>
        <w:t>établir</w:t>
      </w:r>
      <w:r w:rsidR="00CA6DA1" w:rsidRPr="00B3274C">
        <w:rPr>
          <w:lang w:val="fr-CA"/>
        </w:rPr>
        <w:t xml:space="preserve"> un cadre juridique global et clair</w:t>
      </w:r>
      <w:r w:rsidR="00653725" w:rsidRPr="00B3274C">
        <w:rPr>
          <w:lang w:val="fr-CA"/>
        </w:rPr>
        <w:t xml:space="preserve"> pour l</w:t>
      </w:r>
      <w:r w:rsidR="0080611A">
        <w:rPr>
          <w:lang w:val="fr-CA"/>
        </w:rPr>
        <w:t>’</w:t>
      </w:r>
      <w:r w:rsidR="00653725" w:rsidRPr="00B3274C">
        <w:rPr>
          <w:lang w:val="fr-CA"/>
        </w:rPr>
        <w:t>application du principe de l</w:t>
      </w:r>
      <w:r w:rsidR="0080611A">
        <w:rPr>
          <w:lang w:val="fr-CA"/>
        </w:rPr>
        <w:t>’</w:t>
      </w:r>
      <w:r w:rsidR="00653725" w:rsidRPr="00B3274C">
        <w:rPr>
          <w:lang w:val="fr-CA"/>
        </w:rPr>
        <w:t>égalité de traitement entre hommes et femmes en matière d</w:t>
      </w:r>
      <w:r w:rsidR="0080611A">
        <w:rPr>
          <w:lang w:val="fr-CA"/>
        </w:rPr>
        <w:t>’</w:t>
      </w:r>
      <w:r w:rsidR="00653725" w:rsidRPr="00B3274C">
        <w:rPr>
          <w:lang w:val="fr-CA"/>
        </w:rPr>
        <w:t>emploi et de travail</w:t>
      </w:r>
      <w:r w:rsidR="0080611A">
        <w:rPr>
          <w:lang w:val="fr-CA"/>
        </w:rPr>
        <w:t>,</w:t>
      </w:r>
      <w:r w:rsidR="00653725" w:rsidRPr="00B3274C">
        <w:rPr>
          <w:lang w:val="fr-CA"/>
        </w:rPr>
        <w:t xml:space="preserve"> dans le secteur privé et dans le secteur public. Ainsi qu</w:t>
      </w:r>
      <w:r w:rsidR="0080611A">
        <w:rPr>
          <w:lang w:val="fr-CA"/>
        </w:rPr>
        <w:t>’</w:t>
      </w:r>
      <w:r w:rsidR="00653725" w:rsidRPr="00B3274C">
        <w:rPr>
          <w:lang w:val="fr-CA"/>
        </w:rPr>
        <w:t>il a déjà été souligné</w:t>
      </w:r>
      <w:r w:rsidR="0080611A">
        <w:rPr>
          <w:lang w:val="fr-CA"/>
        </w:rPr>
        <w:t>,</w:t>
      </w:r>
      <w:r w:rsidR="00653725" w:rsidRPr="00B3274C">
        <w:rPr>
          <w:lang w:val="fr-CA"/>
        </w:rPr>
        <w:t xml:space="preserve"> l</w:t>
      </w:r>
      <w:r w:rsidR="0080611A">
        <w:rPr>
          <w:lang w:val="fr-CA"/>
        </w:rPr>
        <w:t>’</w:t>
      </w:r>
      <w:r w:rsidR="00597DC4">
        <w:rPr>
          <w:lang w:val="fr-CA"/>
        </w:rPr>
        <w:t>article </w:t>
      </w:r>
      <w:r w:rsidR="00653725" w:rsidRPr="00B3274C">
        <w:rPr>
          <w:lang w:val="fr-CA"/>
        </w:rPr>
        <w:t>12 de cette loi</w:t>
      </w:r>
      <w:r w:rsidR="00CA6DA1" w:rsidRPr="00B3274C">
        <w:rPr>
          <w:lang w:val="fr-CA"/>
        </w:rPr>
        <w:t xml:space="preserve"> </w:t>
      </w:r>
      <w:r w:rsidR="00653725" w:rsidRPr="00B3274C">
        <w:rPr>
          <w:lang w:val="fr-CA"/>
        </w:rPr>
        <w:t>stipule expressément que le principe de l</w:t>
      </w:r>
      <w:r w:rsidR="0080611A">
        <w:rPr>
          <w:lang w:val="fr-CA"/>
        </w:rPr>
        <w:t>’</w:t>
      </w:r>
      <w:r w:rsidR="00653725" w:rsidRPr="00B3274C">
        <w:rPr>
          <w:lang w:val="fr-CA"/>
        </w:rPr>
        <w:t>égalité de traitement entre hommes et femmes s</w:t>
      </w:r>
      <w:r w:rsidR="0080611A">
        <w:rPr>
          <w:lang w:val="fr-CA"/>
        </w:rPr>
        <w:t>’</w:t>
      </w:r>
      <w:r w:rsidR="00653725" w:rsidRPr="00B3274C">
        <w:rPr>
          <w:lang w:val="fr-CA"/>
        </w:rPr>
        <w:t>a</w:t>
      </w:r>
      <w:r w:rsidR="00D94E02" w:rsidRPr="00B3274C">
        <w:rPr>
          <w:lang w:val="fr-CA"/>
        </w:rPr>
        <w:t>pplique</w:t>
      </w:r>
      <w:r w:rsidR="00653725" w:rsidRPr="00B3274C">
        <w:rPr>
          <w:lang w:val="fr-CA"/>
        </w:rPr>
        <w:t xml:space="preserve"> également s</w:t>
      </w:r>
      <w:r w:rsidR="0080611A">
        <w:rPr>
          <w:lang w:val="fr-CA"/>
        </w:rPr>
        <w:t>’</w:t>
      </w:r>
      <w:r w:rsidR="00653725" w:rsidRPr="00B3274C">
        <w:rPr>
          <w:lang w:val="fr-CA"/>
        </w:rPr>
        <w:t>agissant des conditions d</w:t>
      </w:r>
      <w:r w:rsidR="0080611A">
        <w:rPr>
          <w:lang w:val="fr-CA"/>
        </w:rPr>
        <w:t>’</w:t>
      </w:r>
      <w:r w:rsidR="00653725" w:rsidRPr="00B3274C">
        <w:rPr>
          <w:lang w:val="fr-CA"/>
        </w:rPr>
        <w:t>emploi et de travail</w:t>
      </w:r>
      <w:r w:rsidR="0080611A">
        <w:rPr>
          <w:lang w:val="fr-CA"/>
        </w:rPr>
        <w:t>,</w:t>
      </w:r>
      <w:r w:rsidR="00653725" w:rsidRPr="00B3274C">
        <w:rPr>
          <w:lang w:val="fr-CA"/>
        </w:rPr>
        <w:t xml:space="preserve"> des promotions et des systèmes d</w:t>
      </w:r>
      <w:r w:rsidR="0080611A">
        <w:rPr>
          <w:lang w:val="fr-CA"/>
        </w:rPr>
        <w:t>’</w:t>
      </w:r>
      <w:r w:rsidR="00653725" w:rsidRPr="00B3274C">
        <w:rPr>
          <w:lang w:val="fr-CA"/>
        </w:rPr>
        <w:t xml:space="preserve">évaluation du personnel. </w:t>
      </w:r>
    </w:p>
    <w:p w:rsidR="00FB23D3" w:rsidRPr="00B3274C" w:rsidRDefault="00107A47" w:rsidP="00107A47">
      <w:pPr>
        <w:pStyle w:val="SingleTxtG"/>
        <w:rPr>
          <w:lang w:val="fr-CA"/>
        </w:rPr>
      </w:pPr>
      <w:r w:rsidRPr="00B3274C">
        <w:rPr>
          <w:lang w:val="fr-CA"/>
        </w:rPr>
        <w:t>88.</w:t>
      </w:r>
      <w:r w:rsidRPr="00B3274C">
        <w:rPr>
          <w:lang w:val="fr-CA"/>
        </w:rPr>
        <w:tab/>
      </w:r>
      <w:r w:rsidR="00D47535" w:rsidRPr="00B3274C">
        <w:rPr>
          <w:lang w:val="fr-CA"/>
        </w:rPr>
        <w:t>En outre</w:t>
      </w:r>
      <w:r w:rsidR="0080611A">
        <w:rPr>
          <w:lang w:val="fr-CA"/>
        </w:rPr>
        <w:t>,</w:t>
      </w:r>
      <w:r w:rsidR="00D47535" w:rsidRPr="00B3274C">
        <w:rPr>
          <w:lang w:val="fr-CA"/>
        </w:rPr>
        <w:t xml:space="preserve"> en vertu de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3250/2004</w:t>
      </w:r>
      <w:r w:rsidR="00D47535" w:rsidRPr="00B3274C">
        <w:rPr>
          <w:lang w:val="fr-CA"/>
        </w:rPr>
        <w:t xml:space="preserve"> sur </w:t>
      </w:r>
      <w:r w:rsidR="004F3A01">
        <w:rPr>
          <w:lang w:val="fr-CA"/>
        </w:rPr>
        <w:t>l</w:t>
      </w:r>
      <w:r w:rsidR="0080611A">
        <w:rPr>
          <w:lang w:val="fr-CA"/>
        </w:rPr>
        <w:t>’</w:t>
      </w:r>
      <w:r w:rsidR="00D47535" w:rsidRPr="00B3274C">
        <w:rPr>
          <w:lang w:val="fr-CA"/>
        </w:rPr>
        <w:t>emploi partiel dans le secteur public</w:t>
      </w:r>
      <w:r w:rsidR="0080611A">
        <w:rPr>
          <w:lang w:val="fr-CA"/>
        </w:rPr>
        <w:t>,</w:t>
      </w:r>
      <w:r w:rsidR="00D47535" w:rsidRPr="00B3274C">
        <w:rPr>
          <w:lang w:val="fr-CA"/>
        </w:rPr>
        <w:t xml:space="preserve"> les administrations locales et les entités juridiques</w:t>
      </w:r>
      <w:r w:rsidR="0080611A">
        <w:rPr>
          <w:lang w:val="fr-CA"/>
        </w:rPr>
        <w:t>,</w:t>
      </w:r>
      <w:r w:rsidR="00D47535" w:rsidRPr="00B3274C">
        <w:rPr>
          <w:lang w:val="fr-CA"/>
        </w:rPr>
        <w:t xml:space="preserve"> </w:t>
      </w:r>
      <w:r w:rsidR="00D24F1E" w:rsidRPr="00B3274C">
        <w:rPr>
          <w:lang w:val="fr-CA"/>
        </w:rPr>
        <w:t>parmi le personnel recruté figure</w:t>
      </w:r>
      <w:r w:rsidR="00843AC8" w:rsidRPr="00B3274C">
        <w:rPr>
          <w:lang w:val="fr-CA"/>
        </w:rPr>
        <w:t>nt</w:t>
      </w:r>
      <w:r w:rsidR="00EC5892" w:rsidRPr="00B3274C">
        <w:rPr>
          <w:lang w:val="fr-CA"/>
        </w:rPr>
        <w:t>:</w:t>
      </w:r>
      <w:r w:rsidR="00D24F1E" w:rsidRPr="00B3274C">
        <w:rPr>
          <w:lang w:val="fr-CA"/>
        </w:rPr>
        <w:t xml:space="preserve"> </w:t>
      </w:r>
      <w:r w:rsidR="003F42B4">
        <w:rPr>
          <w:lang w:val="fr-CA"/>
        </w:rPr>
        <w:t>a) </w:t>
      </w:r>
      <w:r w:rsidR="00D24F1E" w:rsidRPr="00B3274C">
        <w:rPr>
          <w:lang w:val="fr-CA"/>
        </w:rPr>
        <w:t>des mères avec des enfants mineurs (10</w:t>
      </w:r>
      <w:r w:rsidR="0050285B">
        <w:rPr>
          <w:lang w:val="fr-CA"/>
        </w:rPr>
        <w:t> %</w:t>
      </w:r>
      <w:r w:rsidR="00D24F1E" w:rsidRPr="00B3274C">
        <w:rPr>
          <w:lang w:val="fr-CA"/>
        </w:rPr>
        <w:t xml:space="preserve">) et </w:t>
      </w:r>
      <w:r w:rsidR="003F42B4">
        <w:rPr>
          <w:lang w:val="fr-CA"/>
        </w:rPr>
        <w:t>b) </w:t>
      </w:r>
      <w:r w:rsidR="00D24F1E" w:rsidRPr="00B3274C">
        <w:rPr>
          <w:lang w:val="fr-CA"/>
        </w:rPr>
        <w:t>des parents ayant trois enfants ou plus (plus de 10</w:t>
      </w:r>
      <w:r w:rsidR="0050285B">
        <w:rPr>
          <w:lang w:val="fr-CA"/>
        </w:rPr>
        <w:t> %</w:t>
      </w:r>
      <w:r w:rsidR="00D24F1E" w:rsidRPr="00B3274C">
        <w:rPr>
          <w:lang w:val="fr-CA"/>
        </w:rPr>
        <w:t>).</w:t>
      </w:r>
      <w:r w:rsidR="000826E4" w:rsidRPr="00B3274C">
        <w:rPr>
          <w:lang w:val="fr-CA"/>
        </w:rPr>
        <w:t xml:space="preserve"> Sur les différentes catégories de bénéficiaires</w:t>
      </w:r>
      <w:r w:rsidR="0080611A">
        <w:rPr>
          <w:lang w:val="fr-CA"/>
        </w:rPr>
        <w:t>,</w:t>
      </w:r>
      <w:r w:rsidR="000826E4" w:rsidRPr="00B3274C">
        <w:rPr>
          <w:lang w:val="fr-CA"/>
        </w:rPr>
        <w:t xml:space="preserve"> 60</w:t>
      </w:r>
      <w:r w:rsidR="0050285B">
        <w:rPr>
          <w:lang w:val="fr-CA"/>
        </w:rPr>
        <w:t> %</w:t>
      </w:r>
      <w:r w:rsidR="000826E4" w:rsidRPr="00B3274C">
        <w:rPr>
          <w:lang w:val="fr-CA"/>
        </w:rPr>
        <w:t xml:space="preserve"> sont des femmes</w:t>
      </w:r>
      <w:r w:rsidR="007627C6" w:rsidRPr="00B3274C">
        <w:rPr>
          <w:lang w:val="fr-CA"/>
        </w:rPr>
        <w:t xml:space="preserve"> ayant manifesté de l</w:t>
      </w:r>
      <w:r w:rsidR="0080611A">
        <w:rPr>
          <w:lang w:val="fr-CA"/>
        </w:rPr>
        <w:t>’</w:t>
      </w:r>
      <w:r w:rsidR="007627C6" w:rsidRPr="00B3274C">
        <w:rPr>
          <w:lang w:val="fr-CA"/>
        </w:rPr>
        <w:t xml:space="preserve">intérêt pour cette formule. </w:t>
      </w:r>
    </w:p>
    <w:p w:rsidR="00FB23D3" w:rsidRPr="00B3274C" w:rsidRDefault="00107A47" w:rsidP="00107A47">
      <w:pPr>
        <w:pStyle w:val="SingleTxtG"/>
        <w:rPr>
          <w:szCs w:val="22"/>
          <w:lang w:val="fr-CA"/>
        </w:rPr>
      </w:pPr>
      <w:r w:rsidRPr="00B3274C">
        <w:rPr>
          <w:lang w:val="fr-CA"/>
        </w:rPr>
        <w:t>89.</w:t>
      </w:r>
      <w:r w:rsidRPr="00B3274C">
        <w:rPr>
          <w:lang w:val="fr-CA"/>
        </w:rPr>
        <w:tab/>
      </w:r>
      <w:r w:rsidR="00843BEC" w:rsidRPr="00B3274C">
        <w:rPr>
          <w:lang w:val="fr-CA"/>
        </w:rPr>
        <w:t>Pour lutter contre la discrimination dans le domaine de l</w:t>
      </w:r>
      <w:r w:rsidR="0080611A">
        <w:rPr>
          <w:lang w:val="fr-CA"/>
        </w:rPr>
        <w:t>’</w:t>
      </w:r>
      <w:r w:rsidR="00843BEC" w:rsidRPr="00B3274C">
        <w:rPr>
          <w:lang w:val="fr-CA"/>
        </w:rPr>
        <w:t>emploi</w:t>
      </w:r>
      <w:r w:rsidR="0080611A">
        <w:rPr>
          <w:lang w:val="fr-CA"/>
        </w:rPr>
        <w:t>,</w:t>
      </w:r>
      <w:r w:rsidR="00843BEC" w:rsidRPr="00B3274C">
        <w:rPr>
          <w:lang w:val="fr-CA"/>
        </w:rPr>
        <w:t xml:space="preserve"> le Secrétariat général à l</w:t>
      </w:r>
      <w:r w:rsidR="0080611A">
        <w:rPr>
          <w:lang w:val="fr-CA"/>
        </w:rPr>
        <w:t>’</w:t>
      </w:r>
      <w:r w:rsidR="00843BEC" w:rsidRPr="00B3274C">
        <w:rPr>
          <w:lang w:val="fr-CA"/>
        </w:rPr>
        <w:t xml:space="preserve">égalité des sexes a lancé une </w:t>
      </w:r>
      <w:r w:rsidR="0055418C" w:rsidRPr="00B3274C">
        <w:rPr>
          <w:lang w:val="fr-CA"/>
        </w:rPr>
        <w:t>«</w:t>
      </w:r>
      <w:r w:rsidR="00621BFD" w:rsidRPr="00B3274C">
        <w:rPr>
          <w:lang w:val="fr-CA"/>
        </w:rPr>
        <w:t>I</w:t>
      </w:r>
      <w:r w:rsidR="00843BEC" w:rsidRPr="00B3274C">
        <w:rPr>
          <w:lang w:val="fr-CA"/>
        </w:rPr>
        <w:t>nitiative positive en faveur des femmes dans les petites</w:t>
      </w:r>
      <w:r w:rsidR="0080611A">
        <w:rPr>
          <w:lang w:val="fr-CA"/>
        </w:rPr>
        <w:t>,</w:t>
      </w:r>
      <w:r w:rsidR="00843BEC" w:rsidRPr="00B3274C">
        <w:rPr>
          <w:lang w:val="fr-CA"/>
        </w:rPr>
        <w:t xml:space="preserve"> moyennes et grandes entreprises</w:t>
      </w:r>
      <w:r w:rsidR="0055418C" w:rsidRPr="00B3274C">
        <w:rPr>
          <w:lang w:val="fr-CA"/>
        </w:rPr>
        <w:t>»</w:t>
      </w:r>
      <w:r w:rsidR="00843BEC" w:rsidRPr="00B3274C">
        <w:rPr>
          <w:lang w:val="fr-CA"/>
        </w:rPr>
        <w:t xml:space="preserve"> </w:t>
      </w:r>
      <w:r w:rsidR="00621BFD" w:rsidRPr="00B3274C">
        <w:rPr>
          <w:lang w:val="fr-CA"/>
        </w:rPr>
        <w:t>relevant</w:t>
      </w:r>
      <w:r w:rsidR="00843BEC" w:rsidRPr="00B3274C">
        <w:rPr>
          <w:lang w:val="fr-CA"/>
        </w:rPr>
        <w:t xml:space="preserve"> du projet </w:t>
      </w:r>
      <w:r w:rsidR="0055418C" w:rsidRPr="00B3274C">
        <w:rPr>
          <w:lang w:val="fr-CA"/>
        </w:rPr>
        <w:t>«</w:t>
      </w:r>
      <w:r w:rsidR="00621BFD" w:rsidRPr="00B3274C">
        <w:rPr>
          <w:lang w:val="fr-CA"/>
        </w:rPr>
        <w:t>E</w:t>
      </w:r>
      <w:r w:rsidR="00843BEC" w:rsidRPr="00B3274C">
        <w:rPr>
          <w:lang w:val="fr-CA"/>
        </w:rPr>
        <w:t>mploi et formation professionnelle</w:t>
      </w:r>
      <w:r w:rsidR="0055418C" w:rsidRPr="00B3274C">
        <w:rPr>
          <w:lang w:val="fr-CA"/>
        </w:rPr>
        <w:t>»</w:t>
      </w:r>
      <w:r w:rsidR="00843BEC" w:rsidRPr="00B3274C">
        <w:rPr>
          <w:lang w:val="fr-CA"/>
        </w:rPr>
        <w:t xml:space="preserve"> du troisième Cadre d</w:t>
      </w:r>
      <w:r w:rsidR="0080611A">
        <w:rPr>
          <w:lang w:val="fr-CA"/>
        </w:rPr>
        <w:t>’</w:t>
      </w:r>
      <w:r w:rsidR="00843BEC" w:rsidRPr="00B3274C">
        <w:rPr>
          <w:lang w:val="fr-CA"/>
        </w:rPr>
        <w:t xml:space="preserve">appui communautaire. </w:t>
      </w:r>
      <w:r w:rsidR="00621BFD" w:rsidRPr="00B3274C">
        <w:rPr>
          <w:lang w:val="fr-CA"/>
        </w:rPr>
        <w:t>Dans le cadre de cette initiative</w:t>
      </w:r>
      <w:r w:rsidR="0080611A">
        <w:rPr>
          <w:lang w:val="fr-CA"/>
        </w:rPr>
        <w:t>,</w:t>
      </w:r>
      <w:r w:rsidR="00621BFD" w:rsidRPr="00B3274C">
        <w:rPr>
          <w:lang w:val="fr-CA"/>
        </w:rPr>
        <w:t xml:space="preserve"> des</w:t>
      </w:r>
      <w:r w:rsidR="000342E5" w:rsidRPr="00B3274C">
        <w:rPr>
          <w:lang w:val="fr-CA"/>
        </w:rPr>
        <w:t xml:space="preserve"> subventions </w:t>
      </w:r>
      <w:r w:rsidR="00621BFD" w:rsidRPr="00B3274C">
        <w:rPr>
          <w:lang w:val="fr-CA"/>
        </w:rPr>
        <w:t xml:space="preserve">sont accordées aux entreprises pour les inciter </w:t>
      </w:r>
      <w:r w:rsidR="000342E5" w:rsidRPr="00B3274C">
        <w:rPr>
          <w:lang w:val="fr-CA"/>
        </w:rPr>
        <w:t>à offrir aux femmes la possibilité de suivre une formation continue et pour leur permettre de couvrir les frais de fonctionnement des crèches</w:t>
      </w:r>
      <w:r w:rsidR="0080611A">
        <w:rPr>
          <w:lang w:val="fr-CA"/>
        </w:rPr>
        <w:t>,</w:t>
      </w:r>
      <w:r w:rsidR="000342E5" w:rsidRPr="00B3274C">
        <w:rPr>
          <w:lang w:val="fr-CA"/>
        </w:rPr>
        <w:t xml:space="preserve"> de renforcer le </w:t>
      </w:r>
      <w:r w:rsidR="00561B73" w:rsidRPr="00B3274C">
        <w:rPr>
          <w:lang w:val="fr-CA"/>
        </w:rPr>
        <w:t>télétravail</w:t>
      </w:r>
      <w:r w:rsidR="0080611A">
        <w:rPr>
          <w:lang w:val="fr-CA"/>
        </w:rPr>
        <w:t>,</w:t>
      </w:r>
      <w:r w:rsidR="00561B73" w:rsidRPr="00B3274C">
        <w:rPr>
          <w:lang w:val="fr-CA"/>
        </w:rPr>
        <w:t xml:space="preserve"> d</w:t>
      </w:r>
      <w:r w:rsidR="0080611A">
        <w:rPr>
          <w:lang w:val="fr-CA"/>
        </w:rPr>
        <w:t>’</w:t>
      </w:r>
      <w:r w:rsidR="000342E5" w:rsidRPr="00B3274C">
        <w:rPr>
          <w:lang w:val="fr-CA"/>
        </w:rPr>
        <w:t>informer et de sensibiliser davantage l</w:t>
      </w:r>
      <w:r w:rsidR="0080611A">
        <w:rPr>
          <w:lang w:val="fr-CA"/>
        </w:rPr>
        <w:t>’</w:t>
      </w:r>
      <w:r w:rsidR="000342E5" w:rsidRPr="00B3274C">
        <w:rPr>
          <w:lang w:val="fr-CA"/>
        </w:rPr>
        <w:t xml:space="preserve">ensemble des employés et de développer les systèmes de certification de la qualité </w:t>
      </w:r>
      <w:r w:rsidR="00FB23D3" w:rsidRPr="00B3274C">
        <w:rPr>
          <w:lang w:val="fr-CA"/>
        </w:rPr>
        <w:t xml:space="preserve">(ISO). </w:t>
      </w:r>
    </w:p>
    <w:p w:rsidR="00FB23D3" w:rsidRPr="00B3274C" w:rsidRDefault="00193187" w:rsidP="00CB11CF">
      <w:pPr>
        <w:pStyle w:val="H23G"/>
        <w:rPr>
          <w:szCs w:val="25"/>
          <w:lang w:val="fr-CA"/>
        </w:rPr>
      </w:pPr>
      <w:r w:rsidRPr="00B3274C">
        <w:rPr>
          <w:lang w:val="fr-CA"/>
        </w:rPr>
        <w:tab/>
      </w:r>
      <w:r w:rsidR="00CB11CF" w:rsidRPr="00B3274C">
        <w:rPr>
          <w:lang w:val="fr-CA"/>
        </w:rPr>
        <w:t>3.</w:t>
      </w:r>
      <w:r w:rsidRPr="00B3274C">
        <w:rPr>
          <w:lang w:val="fr-CA"/>
        </w:rPr>
        <w:tab/>
      </w:r>
      <w:r w:rsidR="000342E5" w:rsidRPr="00B3274C">
        <w:rPr>
          <w:lang w:val="fr-CA"/>
        </w:rPr>
        <w:t>Me</w:t>
      </w:r>
      <w:r w:rsidR="00FB23D3" w:rsidRPr="00B3274C">
        <w:rPr>
          <w:lang w:val="fr-CA"/>
        </w:rPr>
        <w:t xml:space="preserve">sures </w:t>
      </w:r>
      <w:r w:rsidR="000342E5" w:rsidRPr="00B3274C">
        <w:rPr>
          <w:lang w:val="fr-CA"/>
        </w:rPr>
        <w:t>visant à garantir la sécurité et l</w:t>
      </w:r>
      <w:r w:rsidR="0080611A">
        <w:rPr>
          <w:lang w:val="fr-CA"/>
        </w:rPr>
        <w:t>’</w:t>
      </w:r>
      <w:r w:rsidR="000342E5" w:rsidRPr="00B3274C">
        <w:rPr>
          <w:lang w:val="fr-CA"/>
        </w:rPr>
        <w:t xml:space="preserve">hygiène du travail </w:t>
      </w:r>
    </w:p>
    <w:p w:rsidR="00FB23D3" w:rsidRPr="00B3274C" w:rsidRDefault="00107A47" w:rsidP="00107A47">
      <w:pPr>
        <w:pStyle w:val="SingleTxtG"/>
        <w:rPr>
          <w:szCs w:val="25"/>
          <w:lang w:val="fr-CA"/>
        </w:rPr>
      </w:pPr>
      <w:r w:rsidRPr="00B3274C">
        <w:rPr>
          <w:lang w:val="fr-CA"/>
        </w:rPr>
        <w:t>90.</w:t>
      </w:r>
      <w:r w:rsidRPr="00B3274C">
        <w:rPr>
          <w:lang w:val="fr-CA"/>
        </w:rPr>
        <w:tab/>
      </w:r>
      <w:r w:rsidR="000342E5" w:rsidRPr="00B3274C">
        <w:rPr>
          <w:lang w:val="fr-CA"/>
        </w:rPr>
        <w:t>La politique nationale concernant les questions de sécurité et d</w:t>
      </w:r>
      <w:r w:rsidR="0080611A">
        <w:rPr>
          <w:lang w:val="fr-CA"/>
        </w:rPr>
        <w:t>’</w:t>
      </w:r>
      <w:r w:rsidR="000342E5" w:rsidRPr="00B3274C">
        <w:rPr>
          <w:lang w:val="fr-CA"/>
        </w:rPr>
        <w:t>hygiène du travail est fondée sur la représentation tripartite et le dialogue social. Elle est appliquée par un système national de structures et de</w:t>
      </w:r>
      <w:r w:rsidR="00256AE0" w:rsidRPr="00B3274C">
        <w:rPr>
          <w:lang w:val="fr-CA"/>
        </w:rPr>
        <w:t xml:space="preserve"> mécanismes </w:t>
      </w:r>
      <w:r w:rsidR="000342E5" w:rsidRPr="00B3274C">
        <w:rPr>
          <w:lang w:val="fr-CA"/>
        </w:rPr>
        <w:t>approprié</w:t>
      </w:r>
      <w:r w:rsidR="00256AE0" w:rsidRPr="00B3274C">
        <w:rPr>
          <w:lang w:val="fr-CA"/>
        </w:rPr>
        <w:t>s associant des organismes publics</w:t>
      </w:r>
      <w:r w:rsidR="0080611A">
        <w:rPr>
          <w:lang w:val="fr-CA"/>
        </w:rPr>
        <w:t>,</w:t>
      </w:r>
      <w:r w:rsidR="00256AE0" w:rsidRPr="00B3274C">
        <w:rPr>
          <w:lang w:val="fr-CA"/>
        </w:rPr>
        <w:t xml:space="preserve"> des organisations d</w:t>
      </w:r>
      <w:r w:rsidR="0080611A">
        <w:rPr>
          <w:lang w:val="fr-CA"/>
        </w:rPr>
        <w:t>’</w:t>
      </w:r>
      <w:r w:rsidR="00256AE0" w:rsidRPr="00B3274C">
        <w:rPr>
          <w:lang w:val="fr-CA"/>
        </w:rPr>
        <w:t>employeurs et de travailleurs</w:t>
      </w:r>
      <w:r w:rsidR="0080611A">
        <w:rPr>
          <w:lang w:val="fr-CA"/>
        </w:rPr>
        <w:t>,</w:t>
      </w:r>
      <w:r w:rsidR="00256AE0" w:rsidRPr="00B3274C">
        <w:rPr>
          <w:lang w:val="fr-CA"/>
        </w:rPr>
        <w:t xml:space="preserve"> des organismes scientifiques et professionnels</w:t>
      </w:r>
      <w:r w:rsidR="0080611A">
        <w:rPr>
          <w:lang w:val="fr-CA"/>
        </w:rPr>
        <w:t>,</w:t>
      </w:r>
      <w:r w:rsidR="00256AE0" w:rsidRPr="00B3274C">
        <w:rPr>
          <w:lang w:val="fr-CA"/>
        </w:rPr>
        <w:t xml:space="preserve"> des établissements d</w:t>
      </w:r>
      <w:r w:rsidR="0080611A">
        <w:rPr>
          <w:lang w:val="fr-CA"/>
        </w:rPr>
        <w:t>’</w:t>
      </w:r>
      <w:r w:rsidR="00256AE0" w:rsidRPr="00B3274C">
        <w:rPr>
          <w:lang w:val="fr-CA"/>
        </w:rPr>
        <w:t xml:space="preserve">enseignement et des organismes chargés de la sécurité et de la santé. </w:t>
      </w:r>
      <w:r w:rsidR="0026590C" w:rsidRPr="00B3274C">
        <w:rPr>
          <w:lang w:val="fr-CA"/>
        </w:rPr>
        <w:t>La Grèce s</w:t>
      </w:r>
      <w:r w:rsidR="0080611A">
        <w:rPr>
          <w:lang w:val="fr-CA"/>
        </w:rPr>
        <w:t>’</w:t>
      </w:r>
      <w:r w:rsidR="0026590C" w:rsidRPr="00B3274C">
        <w:rPr>
          <w:lang w:val="fr-CA"/>
        </w:rPr>
        <w:t>emploie activement à harmoniser sa législation nationale avec les directives de l</w:t>
      </w:r>
      <w:r w:rsidR="0080611A">
        <w:rPr>
          <w:lang w:val="fr-CA"/>
        </w:rPr>
        <w:t>’</w:t>
      </w:r>
      <w:r w:rsidR="0026590C" w:rsidRPr="00B3274C">
        <w:rPr>
          <w:lang w:val="fr-CA"/>
        </w:rPr>
        <w:t>Union européenne et à ratifier les conventions internationales du travail contenant des mesures</w:t>
      </w:r>
      <w:r w:rsidR="00F56765" w:rsidRPr="00B3274C">
        <w:rPr>
          <w:lang w:val="fr-CA"/>
        </w:rPr>
        <w:t xml:space="preserve"> organisationnelles et </w:t>
      </w:r>
      <w:r w:rsidR="0026590C" w:rsidRPr="00B3274C">
        <w:rPr>
          <w:lang w:val="fr-CA"/>
        </w:rPr>
        <w:t xml:space="preserve">techniques se rapportant à la sécurité et à la santé des travailleurs. </w:t>
      </w:r>
      <w:r w:rsidR="00F56765" w:rsidRPr="00B3274C">
        <w:rPr>
          <w:lang w:val="fr-CA"/>
        </w:rPr>
        <w:t>Les lois pertinentes énoncent de nombreuses règles générales d</w:t>
      </w:r>
      <w:r w:rsidR="0080611A">
        <w:rPr>
          <w:lang w:val="fr-CA"/>
        </w:rPr>
        <w:t>’</w:t>
      </w:r>
      <w:r w:rsidR="00F56765" w:rsidRPr="00B3274C">
        <w:rPr>
          <w:lang w:val="fr-CA"/>
        </w:rPr>
        <w:t>application horizontale</w:t>
      </w:r>
      <w:r w:rsidR="00EC5892" w:rsidRPr="00B3274C">
        <w:rPr>
          <w:lang w:val="fr-CA"/>
        </w:rPr>
        <w:t>;</w:t>
      </w:r>
      <w:r w:rsidR="00F56765" w:rsidRPr="00B3274C">
        <w:rPr>
          <w:lang w:val="fr-CA"/>
        </w:rPr>
        <w:t xml:space="preserve"> il existe aussi de nombreuses lois réglementant spécifiquement les questions de sécurité et d</w:t>
      </w:r>
      <w:r w:rsidR="0080611A">
        <w:rPr>
          <w:lang w:val="fr-CA"/>
        </w:rPr>
        <w:t>’</w:t>
      </w:r>
      <w:r w:rsidR="00F56765" w:rsidRPr="00B3274C">
        <w:rPr>
          <w:lang w:val="fr-CA"/>
        </w:rPr>
        <w:t>hygiène du travail dans des secteurs particuliers de l</w:t>
      </w:r>
      <w:r w:rsidR="0080611A">
        <w:rPr>
          <w:lang w:val="fr-CA"/>
        </w:rPr>
        <w:t>’</w:t>
      </w:r>
      <w:r w:rsidR="00F56765" w:rsidRPr="00B3274C">
        <w:rPr>
          <w:lang w:val="fr-CA"/>
        </w:rPr>
        <w:t xml:space="preserve">activité économique. </w:t>
      </w:r>
    </w:p>
    <w:p w:rsidR="00FB23D3" w:rsidRPr="00B3274C" w:rsidRDefault="00107A47" w:rsidP="00107A47">
      <w:pPr>
        <w:pStyle w:val="SingleTxtG"/>
        <w:rPr>
          <w:szCs w:val="25"/>
          <w:u w:val="single"/>
          <w:lang w:val="fr-CA"/>
        </w:rPr>
      </w:pPr>
      <w:r w:rsidRPr="00B3274C">
        <w:rPr>
          <w:lang w:val="fr-CA"/>
        </w:rPr>
        <w:t>91.</w:t>
      </w:r>
      <w:r w:rsidRPr="00B3274C">
        <w:rPr>
          <w:lang w:val="fr-CA"/>
        </w:rPr>
        <w:tab/>
      </w:r>
      <w:r w:rsidR="00F56765" w:rsidRPr="00B3274C">
        <w:rPr>
          <w:lang w:val="fr-CA"/>
        </w:rPr>
        <w:t>L</w:t>
      </w:r>
      <w:r w:rsidR="0080611A">
        <w:rPr>
          <w:lang w:val="fr-CA"/>
        </w:rPr>
        <w:t>’</w:t>
      </w:r>
      <w:r w:rsidR="00F56765" w:rsidRPr="00B3274C">
        <w:rPr>
          <w:lang w:val="fr-CA"/>
        </w:rPr>
        <w:t>Inspection de la sécurité et de la santé au travail</w:t>
      </w:r>
      <w:r w:rsidR="0080611A">
        <w:rPr>
          <w:lang w:val="fr-CA"/>
        </w:rPr>
        <w:t>,</w:t>
      </w:r>
      <w:r w:rsidR="00F56765" w:rsidRPr="00B3274C">
        <w:rPr>
          <w:lang w:val="fr-CA"/>
        </w:rPr>
        <w:t xml:space="preserve"> qui relève de l</w:t>
      </w:r>
      <w:r w:rsidR="0080611A">
        <w:rPr>
          <w:lang w:val="fr-CA"/>
        </w:rPr>
        <w:t>’</w:t>
      </w:r>
      <w:r w:rsidR="00F56765" w:rsidRPr="00B3274C">
        <w:rPr>
          <w:lang w:val="fr-CA"/>
        </w:rPr>
        <w:t>Inspection du travail</w:t>
      </w:r>
      <w:r w:rsidR="0080611A">
        <w:rPr>
          <w:lang w:val="fr-CA"/>
        </w:rPr>
        <w:t>,</w:t>
      </w:r>
      <w:r w:rsidR="00F56765" w:rsidRPr="00B3274C">
        <w:rPr>
          <w:lang w:val="fr-CA"/>
        </w:rPr>
        <w:t xml:space="preserve"> mène des actions visant à améliorer les conditions de santé et de sécurité sur les lieux de travail et à prévenir les accidents du travail et les maladies professionnelles. </w:t>
      </w:r>
    </w:p>
    <w:p w:rsidR="00FB23D3" w:rsidRPr="00B3274C" w:rsidRDefault="0099272B" w:rsidP="0099272B">
      <w:pPr>
        <w:pStyle w:val="H23G"/>
        <w:rPr>
          <w:szCs w:val="25"/>
          <w:u w:val="single"/>
        </w:rPr>
      </w:pPr>
      <w:r>
        <w:rPr>
          <w:szCs w:val="25"/>
        </w:rPr>
        <w:tab/>
      </w:r>
      <w:r>
        <w:rPr>
          <w:szCs w:val="25"/>
        </w:rPr>
        <w:tab/>
      </w:r>
      <w:r w:rsidR="005B56D4" w:rsidRPr="0099272B">
        <w:rPr>
          <w:b w:val="0"/>
          <w:szCs w:val="25"/>
        </w:rPr>
        <w:t>Table</w:t>
      </w:r>
      <w:r w:rsidR="00F56765" w:rsidRPr="0099272B">
        <w:rPr>
          <w:b w:val="0"/>
          <w:szCs w:val="25"/>
        </w:rPr>
        <w:t>au</w:t>
      </w:r>
      <w:r w:rsidR="005B56D4" w:rsidRPr="0099272B">
        <w:rPr>
          <w:b w:val="0"/>
          <w:szCs w:val="25"/>
        </w:rPr>
        <w:t xml:space="preserve"> 4</w:t>
      </w:r>
      <w:r w:rsidR="005B56D4" w:rsidRPr="0099272B">
        <w:rPr>
          <w:b w:val="0"/>
          <w:szCs w:val="25"/>
        </w:rPr>
        <w:br/>
      </w:r>
      <w:r w:rsidR="00D90121" w:rsidRPr="00B3274C">
        <w:t>Données sur les activités de l</w:t>
      </w:r>
      <w:r w:rsidR="0080611A">
        <w:t>’</w:t>
      </w:r>
      <w:r w:rsidR="00D90121" w:rsidRPr="00B3274C">
        <w:t>Inspection de la sécurité et de l</w:t>
      </w:r>
      <w:r w:rsidR="0080611A">
        <w:t>’</w:t>
      </w:r>
      <w:r w:rsidR="00D90121" w:rsidRPr="00B3274C">
        <w:t>hygiène du travail au cours de la période 2004</w:t>
      </w:r>
      <w:r w:rsidR="002C031F">
        <w:t>-</w:t>
      </w:r>
      <w:r w:rsidR="00D90121" w:rsidRPr="00B3274C">
        <w:t xml:space="preserve">2011 </w:t>
      </w:r>
    </w:p>
    <w:tbl>
      <w:tblPr>
        <w:tblW w:w="8505" w:type="dxa"/>
        <w:tblInd w:w="1134" w:type="dxa"/>
        <w:tblBorders>
          <w:top w:val="single" w:sz="4" w:space="0" w:color="auto"/>
        </w:tblBorders>
        <w:tblLayout w:type="fixed"/>
        <w:tblCellMar>
          <w:left w:w="0" w:type="dxa"/>
          <w:right w:w="0" w:type="dxa"/>
        </w:tblCellMar>
        <w:tblLook w:val="01E0"/>
      </w:tblPr>
      <w:tblGrid>
        <w:gridCol w:w="1701"/>
        <w:gridCol w:w="847"/>
        <w:gridCol w:w="854"/>
        <w:gridCol w:w="850"/>
        <w:gridCol w:w="851"/>
        <w:gridCol w:w="850"/>
        <w:gridCol w:w="851"/>
        <w:gridCol w:w="850"/>
        <w:gridCol w:w="851"/>
      </w:tblGrid>
      <w:tr w:rsidR="007D7B62" w:rsidRPr="00B3274C" w:rsidTr="002744B6">
        <w:trPr>
          <w:cantSplit/>
          <w:trHeight w:val="240"/>
          <w:tblHeader/>
        </w:trPr>
        <w:tc>
          <w:tcPr>
            <w:tcW w:w="1701" w:type="dxa"/>
            <w:tcBorders>
              <w:top w:val="single" w:sz="4" w:space="0" w:color="auto"/>
              <w:bottom w:val="single" w:sz="12" w:space="0" w:color="auto"/>
            </w:tcBorders>
            <w:shd w:val="clear" w:color="auto" w:fill="auto"/>
            <w:vAlign w:val="bottom"/>
          </w:tcPr>
          <w:p w:rsidR="007D7B62" w:rsidRPr="00B3274C" w:rsidRDefault="00D90121" w:rsidP="000C19FD">
            <w:pPr>
              <w:pStyle w:val="SingleTxtG"/>
              <w:keepNext/>
              <w:suppressAutoHyphens w:val="0"/>
              <w:spacing w:before="80" w:after="80" w:line="200" w:lineRule="exact"/>
              <w:ind w:left="0" w:right="0"/>
              <w:jc w:val="left"/>
              <w:rPr>
                <w:i/>
                <w:sz w:val="16"/>
                <w:szCs w:val="16"/>
                <w:lang w:val="fr-CA"/>
              </w:rPr>
            </w:pPr>
            <w:r w:rsidRPr="00B3274C">
              <w:rPr>
                <w:bCs/>
                <w:i/>
                <w:sz w:val="16"/>
                <w:szCs w:val="16"/>
                <w:lang w:val="fr-CA"/>
              </w:rPr>
              <w:t>Activités d</w:t>
            </w:r>
            <w:r w:rsidR="0080611A">
              <w:rPr>
                <w:bCs/>
                <w:i/>
                <w:sz w:val="16"/>
                <w:szCs w:val="16"/>
                <w:lang w:val="fr-CA"/>
              </w:rPr>
              <w:t>’</w:t>
            </w:r>
            <w:r w:rsidRPr="00B3274C">
              <w:rPr>
                <w:bCs/>
                <w:i/>
                <w:sz w:val="16"/>
                <w:szCs w:val="16"/>
                <w:lang w:val="fr-CA"/>
              </w:rPr>
              <w:t>inspection</w:t>
            </w:r>
          </w:p>
        </w:tc>
        <w:tc>
          <w:tcPr>
            <w:tcW w:w="847" w:type="dxa"/>
            <w:tcBorders>
              <w:top w:val="single" w:sz="4" w:space="0" w:color="auto"/>
              <w:bottom w:val="single" w:sz="12" w:space="0" w:color="auto"/>
            </w:tcBorders>
            <w:shd w:val="clear" w:color="auto" w:fill="auto"/>
            <w:vAlign w:val="bottom"/>
          </w:tcPr>
          <w:p w:rsidR="007D7B62" w:rsidRPr="00B3274C" w:rsidRDefault="00D511DF" w:rsidP="000C19FD">
            <w:pPr>
              <w:pStyle w:val="SingleTxtG"/>
              <w:keepNext/>
              <w:suppressAutoHyphens w:val="0"/>
              <w:spacing w:before="80" w:after="80" w:line="200" w:lineRule="exact"/>
              <w:ind w:left="113" w:right="0"/>
              <w:jc w:val="right"/>
              <w:rPr>
                <w:i/>
                <w:sz w:val="16"/>
                <w:szCs w:val="16"/>
                <w:lang w:val="fr-CA"/>
              </w:rPr>
            </w:pPr>
            <w:r w:rsidRPr="00B3274C">
              <w:rPr>
                <w:i/>
                <w:sz w:val="16"/>
                <w:szCs w:val="16"/>
                <w:lang w:val="fr-CA"/>
              </w:rPr>
              <w:t>2004</w:t>
            </w:r>
          </w:p>
        </w:tc>
        <w:tc>
          <w:tcPr>
            <w:tcW w:w="854" w:type="dxa"/>
            <w:tcBorders>
              <w:top w:val="single" w:sz="4" w:space="0" w:color="auto"/>
              <w:bottom w:val="single" w:sz="12" w:space="0" w:color="auto"/>
            </w:tcBorders>
            <w:shd w:val="clear" w:color="auto" w:fill="auto"/>
            <w:vAlign w:val="bottom"/>
          </w:tcPr>
          <w:p w:rsidR="007D7B62" w:rsidRPr="00B3274C" w:rsidRDefault="00D511DF" w:rsidP="000C19FD">
            <w:pPr>
              <w:pStyle w:val="SingleTxtG"/>
              <w:keepNext/>
              <w:suppressAutoHyphens w:val="0"/>
              <w:spacing w:before="80" w:after="80" w:line="200" w:lineRule="exact"/>
              <w:ind w:left="113" w:right="0"/>
              <w:jc w:val="right"/>
              <w:rPr>
                <w:i/>
                <w:sz w:val="16"/>
                <w:szCs w:val="16"/>
                <w:lang w:val="fr-CA"/>
              </w:rPr>
            </w:pPr>
            <w:r w:rsidRPr="00B3274C">
              <w:rPr>
                <w:i/>
                <w:sz w:val="16"/>
                <w:szCs w:val="16"/>
                <w:lang w:val="fr-CA"/>
              </w:rPr>
              <w:t>2005</w:t>
            </w:r>
          </w:p>
        </w:tc>
        <w:tc>
          <w:tcPr>
            <w:tcW w:w="850" w:type="dxa"/>
            <w:tcBorders>
              <w:top w:val="single" w:sz="4" w:space="0" w:color="auto"/>
              <w:bottom w:val="single" w:sz="12" w:space="0" w:color="auto"/>
            </w:tcBorders>
            <w:shd w:val="clear" w:color="auto" w:fill="auto"/>
            <w:vAlign w:val="bottom"/>
          </w:tcPr>
          <w:p w:rsidR="007D7B62" w:rsidRPr="00B3274C" w:rsidRDefault="00D511DF" w:rsidP="000C19FD">
            <w:pPr>
              <w:pStyle w:val="SingleTxtG"/>
              <w:keepNext/>
              <w:suppressAutoHyphens w:val="0"/>
              <w:spacing w:before="80" w:after="80" w:line="200" w:lineRule="exact"/>
              <w:ind w:left="113" w:right="0"/>
              <w:jc w:val="right"/>
              <w:rPr>
                <w:i/>
                <w:sz w:val="16"/>
                <w:szCs w:val="16"/>
                <w:lang w:val="fr-CA"/>
              </w:rPr>
            </w:pPr>
            <w:r w:rsidRPr="00B3274C">
              <w:rPr>
                <w:i/>
                <w:sz w:val="16"/>
                <w:szCs w:val="16"/>
                <w:lang w:val="fr-CA"/>
              </w:rPr>
              <w:t>2006</w:t>
            </w:r>
          </w:p>
        </w:tc>
        <w:tc>
          <w:tcPr>
            <w:tcW w:w="851" w:type="dxa"/>
            <w:tcBorders>
              <w:top w:val="single" w:sz="4" w:space="0" w:color="auto"/>
              <w:bottom w:val="single" w:sz="12" w:space="0" w:color="auto"/>
            </w:tcBorders>
            <w:shd w:val="clear" w:color="auto" w:fill="auto"/>
            <w:vAlign w:val="bottom"/>
          </w:tcPr>
          <w:p w:rsidR="007D7B62" w:rsidRPr="00B3274C" w:rsidRDefault="00D511DF" w:rsidP="000C19FD">
            <w:pPr>
              <w:pStyle w:val="SingleTxtG"/>
              <w:keepNext/>
              <w:suppressAutoHyphens w:val="0"/>
              <w:spacing w:before="80" w:after="80" w:line="200" w:lineRule="exact"/>
              <w:ind w:left="113" w:right="0"/>
              <w:jc w:val="right"/>
              <w:rPr>
                <w:i/>
                <w:sz w:val="16"/>
                <w:szCs w:val="16"/>
                <w:lang w:val="fr-CA"/>
              </w:rPr>
            </w:pPr>
            <w:r w:rsidRPr="00B3274C">
              <w:rPr>
                <w:i/>
                <w:sz w:val="16"/>
                <w:szCs w:val="16"/>
                <w:lang w:val="fr-CA"/>
              </w:rPr>
              <w:t>2007</w:t>
            </w:r>
          </w:p>
        </w:tc>
        <w:tc>
          <w:tcPr>
            <w:tcW w:w="850" w:type="dxa"/>
            <w:tcBorders>
              <w:top w:val="single" w:sz="4" w:space="0" w:color="auto"/>
              <w:bottom w:val="single" w:sz="12" w:space="0" w:color="auto"/>
            </w:tcBorders>
            <w:shd w:val="clear" w:color="auto" w:fill="auto"/>
            <w:vAlign w:val="bottom"/>
          </w:tcPr>
          <w:p w:rsidR="007D7B62" w:rsidRPr="00B3274C" w:rsidRDefault="00D511DF" w:rsidP="000C19FD">
            <w:pPr>
              <w:pStyle w:val="SingleTxtG"/>
              <w:keepNext/>
              <w:suppressAutoHyphens w:val="0"/>
              <w:spacing w:before="80" w:after="80" w:line="200" w:lineRule="exact"/>
              <w:ind w:left="113" w:right="0"/>
              <w:jc w:val="right"/>
              <w:rPr>
                <w:i/>
                <w:sz w:val="16"/>
                <w:szCs w:val="16"/>
                <w:lang w:val="fr-CA"/>
              </w:rPr>
            </w:pPr>
            <w:r w:rsidRPr="00B3274C">
              <w:rPr>
                <w:i/>
                <w:sz w:val="16"/>
                <w:szCs w:val="16"/>
                <w:lang w:val="fr-CA"/>
              </w:rPr>
              <w:t>2008</w:t>
            </w:r>
          </w:p>
        </w:tc>
        <w:tc>
          <w:tcPr>
            <w:tcW w:w="851" w:type="dxa"/>
            <w:tcBorders>
              <w:top w:val="single" w:sz="4" w:space="0" w:color="auto"/>
              <w:bottom w:val="single" w:sz="12" w:space="0" w:color="auto"/>
            </w:tcBorders>
            <w:shd w:val="clear" w:color="auto" w:fill="auto"/>
            <w:vAlign w:val="bottom"/>
          </w:tcPr>
          <w:p w:rsidR="007D7B62" w:rsidRPr="00B3274C" w:rsidRDefault="00D511DF" w:rsidP="000C19FD">
            <w:pPr>
              <w:pStyle w:val="SingleTxtG"/>
              <w:keepNext/>
              <w:suppressAutoHyphens w:val="0"/>
              <w:spacing w:before="80" w:after="80" w:line="200" w:lineRule="exact"/>
              <w:ind w:left="113" w:right="0"/>
              <w:jc w:val="right"/>
              <w:rPr>
                <w:i/>
                <w:sz w:val="16"/>
                <w:szCs w:val="16"/>
                <w:lang w:val="fr-CA"/>
              </w:rPr>
            </w:pPr>
            <w:r w:rsidRPr="00B3274C">
              <w:rPr>
                <w:i/>
                <w:sz w:val="16"/>
                <w:szCs w:val="16"/>
                <w:lang w:val="fr-CA"/>
              </w:rPr>
              <w:t>2009</w:t>
            </w:r>
          </w:p>
        </w:tc>
        <w:tc>
          <w:tcPr>
            <w:tcW w:w="850" w:type="dxa"/>
            <w:tcBorders>
              <w:top w:val="single" w:sz="4" w:space="0" w:color="auto"/>
              <w:bottom w:val="single" w:sz="12" w:space="0" w:color="auto"/>
            </w:tcBorders>
            <w:shd w:val="clear" w:color="auto" w:fill="auto"/>
            <w:vAlign w:val="bottom"/>
          </w:tcPr>
          <w:p w:rsidR="007D7B62" w:rsidRPr="00B3274C" w:rsidRDefault="00D511DF" w:rsidP="000C19FD">
            <w:pPr>
              <w:pStyle w:val="SingleTxtG"/>
              <w:keepNext/>
              <w:suppressAutoHyphens w:val="0"/>
              <w:spacing w:before="80" w:after="80" w:line="200" w:lineRule="exact"/>
              <w:ind w:left="113" w:right="0"/>
              <w:jc w:val="right"/>
              <w:rPr>
                <w:i/>
                <w:sz w:val="16"/>
                <w:szCs w:val="16"/>
                <w:lang w:val="fr-CA"/>
              </w:rPr>
            </w:pPr>
            <w:r w:rsidRPr="00B3274C">
              <w:rPr>
                <w:i/>
                <w:sz w:val="16"/>
                <w:szCs w:val="16"/>
                <w:lang w:val="fr-CA"/>
              </w:rPr>
              <w:t>2010</w:t>
            </w:r>
          </w:p>
        </w:tc>
        <w:tc>
          <w:tcPr>
            <w:tcW w:w="851" w:type="dxa"/>
            <w:tcBorders>
              <w:top w:val="single" w:sz="4" w:space="0" w:color="auto"/>
              <w:bottom w:val="single" w:sz="12" w:space="0" w:color="auto"/>
            </w:tcBorders>
            <w:shd w:val="clear" w:color="auto" w:fill="auto"/>
            <w:vAlign w:val="bottom"/>
          </w:tcPr>
          <w:p w:rsidR="007D7B62" w:rsidRPr="00B3274C" w:rsidRDefault="00D511DF" w:rsidP="000C19FD">
            <w:pPr>
              <w:pStyle w:val="SingleTxtG"/>
              <w:keepNext/>
              <w:suppressAutoHyphens w:val="0"/>
              <w:spacing w:before="80" w:after="80" w:line="200" w:lineRule="exact"/>
              <w:ind w:left="113" w:right="0"/>
              <w:jc w:val="right"/>
              <w:rPr>
                <w:i/>
                <w:sz w:val="16"/>
                <w:szCs w:val="16"/>
                <w:lang w:val="fr-CA"/>
              </w:rPr>
            </w:pPr>
            <w:r w:rsidRPr="00B3274C">
              <w:rPr>
                <w:i/>
                <w:sz w:val="16"/>
                <w:szCs w:val="16"/>
                <w:lang w:val="fr-CA"/>
              </w:rPr>
              <w:t>2011</w:t>
            </w:r>
          </w:p>
        </w:tc>
      </w:tr>
      <w:tr w:rsidR="00C32CBE" w:rsidRPr="00B3274C" w:rsidTr="002744B6">
        <w:trPr>
          <w:cantSplit/>
        </w:trPr>
        <w:tc>
          <w:tcPr>
            <w:tcW w:w="1701" w:type="dxa"/>
            <w:tcBorders>
              <w:top w:val="single" w:sz="12" w:space="0" w:color="auto"/>
              <w:bottom w:val="nil"/>
            </w:tcBorders>
            <w:shd w:val="clear" w:color="auto" w:fill="auto"/>
            <w:vAlign w:val="bottom"/>
          </w:tcPr>
          <w:p w:rsidR="00C32CBE" w:rsidRPr="00B3274C" w:rsidRDefault="00D90121" w:rsidP="006102C4">
            <w:pPr>
              <w:pStyle w:val="SingleTxtG"/>
              <w:keepNext/>
              <w:suppressAutoHyphens w:val="0"/>
              <w:spacing w:before="40" w:after="40" w:line="220" w:lineRule="exact"/>
              <w:ind w:left="0" w:right="0"/>
              <w:jc w:val="left"/>
              <w:rPr>
                <w:sz w:val="18"/>
                <w:szCs w:val="16"/>
                <w:lang w:val="fr-CA"/>
              </w:rPr>
            </w:pPr>
            <w:r w:rsidRPr="00B3274C">
              <w:rPr>
                <w:sz w:val="18"/>
                <w:szCs w:val="16"/>
                <w:lang w:val="fr-CA"/>
              </w:rPr>
              <w:t>Inspection</w:t>
            </w:r>
            <w:r w:rsidR="008A563F" w:rsidRPr="00B3274C">
              <w:rPr>
                <w:sz w:val="18"/>
                <w:szCs w:val="16"/>
                <w:lang w:val="fr-CA"/>
              </w:rPr>
              <w:t>s</w:t>
            </w:r>
            <w:r w:rsidR="000C19FD">
              <w:rPr>
                <w:sz w:val="18"/>
                <w:szCs w:val="16"/>
                <w:lang w:val="fr-CA"/>
              </w:rPr>
              <w:t xml:space="preserve"> </w:t>
            </w:r>
            <w:r w:rsidR="003A41AB">
              <w:rPr>
                <w:sz w:val="18"/>
                <w:szCs w:val="16"/>
                <w:lang w:val="fr-CA"/>
              </w:rPr>
              <w:t>et r</w:t>
            </w:r>
            <w:r w:rsidR="000C19FD" w:rsidRPr="00B3274C">
              <w:rPr>
                <w:sz w:val="18"/>
                <w:szCs w:val="16"/>
                <w:lang w:val="fr-CA"/>
              </w:rPr>
              <w:t xml:space="preserve">éinspections </w:t>
            </w:r>
          </w:p>
        </w:tc>
        <w:tc>
          <w:tcPr>
            <w:tcW w:w="847" w:type="dxa"/>
            <w:tcBorders>
              <w:top w:val="single" w:sz="12" w:space="0" w:color="auto"/>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26</w:t>
            </w:r>
            <w:r w:rsidR="000C19FD" w:rsidRPr="000C19FD">
              <w:rPr>
                <w:sz w:val="18"/>
                <w:szCs w:val="18"/>
                <w:lang w:val="fr-CA"/>
              </w:rPr>
              <w:t> </w:t>
            </w:r>
            <w:r w:rsidRPr="000C19FD">
              <w:rPr>
                <w:sz w:val="18"/>
                <w:szCs w:val="18"/>
                <w:lang w:val="fr-CA"/>
              </w:rPr>
              <w:t>161</w:t>
            </w:r>
          </w:p>
        </w:tc>
        <w:tc>
          <w:tcPr>
            <w:tcW w:w="854" w:type="dxa"/>
            <w:tcBorders>
              <w:top w:val="single" w:sz="12" w:space="0" w:color="auto"/>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25</w:t>
            </w:r>
            <w:r w:rsidR="000C19FD" w:rsidRPr="000C19FD">
              <w:rPr>
                <w:sz w:val="18"/>
                <w:szCs w:val="18"/>
                <w:lang w:val="fr-CA"/>
              </w:rPr>
              <w:t> </w:t>
            </w:r>
            <w:r w:rsidRPr="000C19FD">
              <w:rPr>
                <w:sz w:val="18"/>
                <w:szCs w:val="18"/>
                <w:lang w:val="fr-CA"/>
              </w:rPr>
              <w:t>477</w:t>
            </w:r>
          </w:p>
        </w:tc>
        <w:tc>
          <w:tcPr>
            <w:tcW w:w="850" w:type="dxa"/>
            <w:tcBorders>
              <w:top w:val="single" w:sz="12" w:space="0" w:color="auto"/>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27</w:t>
            </w:r>
            <w:r w:rsidR="000C19FD" w:rsidRPr="000C19FD">
              <w:rPr>
                <w:sz w:val="18"/>
                <w:szCs w:val="18"/>
                <w:lang w:val="fr-CA"/>
              </w:rPr>
              <w:t> </w:t>
            </w:r>
            <w:r w:rsidRPr="000C19FD">
              <w:rPr>
                <w:sz w:val="18"/>
                <w:szCs w:val="18"/>
                <w:lang w:val="fr-CA"/>
              </w:rPr>
              <w:t>857</w:t>
            </w:r>
          </w:p>
        </w:tc>
        <w:tc>
          <w:tcPr>
            <w:tcW w:w="851" w:type="dxa"/>
            <w:tcBorders>
              <w:top w:val="single" w:sz="12" w:space="0" w:color="auto"/>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27</w:t>
            </w:r>
            <w:r w:rsidR="000C19FD" w:rsidRPr="000C19FD">
              <w:rPr>
                <w:sz w:val="18"/>
                <w:szCs w:val="18"/>
                <w:lang w:val="fr-CA"/>
              </w:rPr>
              <w:t> </w:t>
            </w:r>
            <w:r w:rsidRPr="000C19FD">
              <w:rPr>
                <w:sz w:val="18"/>
                <w:szCs w:val="18"/>
                <w:lang w:val="fr-CA"/>
              </w:rPr>
              <w:t>895</w:t>
            </w:r>
          </w:p>
        </w:tc>
        <w:tc>
          <w:tcPr>
            <w:tcW w:w="850" w:type="dxa"/>
            <w:tcBorders>
              <w:top w:val="single" w:sz="12" w:space="0" w:color="auto"/>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24</w:t>
            </w:r>
            <w:r w:rsidR="000C19FD" w:rsidRPr="000C19FD">
              <w:rPr>
                <w:sz w:val="18"/>
                <w:szCs w:val="18"/>
                <w:lang w:val="fr-CA"/>
              </w:rPr>
              <w:t> </w:t>
            </w:r>
            <w:r w:rsidRPr="000C19FD">
              <w:rPr>
                <w:sz w:val="18"/>
                <w:szCs w:val="18"/>
                <w:lang w:val="fr-CA"/>
              </w:rPr>
              <w:t>600</w:t>
            </w:r>
          </w:p>
        </w:tc>
        <w:tc>
          <w:tcPr>
            <w:tcW w:w="851" w:type="dxa"/>
            <w:tcBorders>
              <w:top w:val="single" w:sz="12" w:space="0" w:color="auto"/>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24</w:t>
            </w:r>
            <w:r w:rsidR="000C19FD" w:rsidRPr="000C19FD">
              <w:rPr>
                <w:sz w:val="18"/>
                <w:szCs w:val="18"/>
                <w:lang w:val="fr-CA"/>
              </w:rPr>
              <w:t> </w:t>
            </w:r>
            <w:r w:rsidRPr="000C19FD">
              <w:rPr>
                <w:sz w:val="18"/>
                <w:szCs w:val="18"/>
                <w:lang w:val="fr-CA"/>
              </w:rPr>
              <w:t>496</w:t>
            </w:r>
          </w:p>
        </w:tc>
        <w:tc>
          <w:tcPr>
            <w:tcW w:w="850" w:type="dxa"/>
            <w:tcBorders>
              <w:top w:val="single" w:sz="12" w:space="0" w:color="auto"/>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25</w:t>
            </w:r>
            <w:r w:rsidR="00504022">
              <w:rPr>
                <w:sz w:val="18"/>
                <w:szCs w:val="18"/>
                <w:lang w:val="fr-CA"/>
              </w:rPr>
              <w:t> </w:t>
            </w:r>
            <w:r w:rsidRPr="000C19FD">
              <w:rPr>
                <w:sz w:val="18"/>
                <w:szCs w:val="18"/>
                <w:lang w:val="fr-CA"/>
              </w:rPr>
              <w:t>259</w:t>
            </w:r>
          </w:p>
        </w:tc>
        <w:tc>
          <w:tcPr>
            <w:tcW w:w="851" w:type="dxa"/>
            <w:tcBorders>
              <w:top w:val="single" w:sz="12" w:space="0" w:color="auto"/>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28</w:t>
            </w:r>
            <w:r w:rsidR="000C19FD" w:rsidRPr="000C19FD">
              <w:rPr>
                <w:sz w:val="18"/>
                <w:szCs w:val="18"/>
                <w:lang w:val="fr-CA"/>
              </w:rPr>
              <w:t> </w:t>
            </w:r>
            <w:r w:rsidRPr="000C19FD">
              <w:rPr>
                <w:sz w:val="18"/>
                <w:szCs w:val="18"/>
                <w:lang w:val="fr-CA"/>
              </w:rPr>
              <w:t>150</w:t>
            </w:r>
          </w:p>
        </w:tc>
      </w:tr>
      <w:tr w:rsidR="00C32CBE" w:rsidRPr="00B3274C" w:rsidTr="002744B6">
        <w:trPr>
          <w:cantSplit/>
        </w:trPr>
        <w:tc>
          <w:tcPr>
            <w:tcW w:w="1701" w:type="dxa"/>
            <w:tcBorders>
              <w:top w:val="nil"/>
              <w:bottom w:val="nil"/>
            </w:tcBorders>
            <w:shd w:val="clear" w:color="auto" w:fill="auto"/>
            <w:vAlign w:val="bottom"/>
          </w:tcPr>
          <w:p w:rsidR="00C32CBE" w:rsidRPr="00B3274C" w:rsidRDefault="003A41AB" w:rsidP="006102C4">
            <w:pPr>
              <w:pStyle w:val="SingleTxtG"/>
              <w:keepNext/>
              <w:suppressAutoHyphens w:val="0"/>
              <w:spacing w:before="40" w:after="40" w:line="220" w:lineRule="exact"/>
              <w:ind w:left="0" w:right="0"/>
              <w:jc w:val="left"/>
              <w:rPr>
                <w:sz w:val="18"/>
                <w:szCs w:val="16"/>
                <w:lang w:val="fr-CA"/>
              </w:rPr>
            </w:pPr>
            <w:r>
              <w:rPr>
                <w:sz w:val="18"/>
                <w:szCs w:val="16"/>
                <w:lang w:val="fr-CA"/>
              </w:rPr>
              <w:t>Rapports de poursuites et m</w:t>
            </w:r>
            <w:r w:rsidR="000C19FD" w:rsidRPr="00B3274C">
              <w:rPr>
                <w:sz w:val="18"/>
                <w:szCs w:val="16"/>
                <w:lang w:val="fr-CA"/>
              </w:rPr>
              <w:t xml:space="preserve">ises </w:t>
            </w:r>
            <w:r w:rsidR="00D90121" w:rsidRPr="00B3274C">
              <w:rPr>
                <w:sz w:val="18"/>
                <w:szCs w:val="16"/>
                <w:lang w:val="fr-CA"/>
              </w:rPr>
              <w:t>en accusation</w:t>
            </w:r>
          </w:p>
        </w:tc>
        <w:tc>
          <w:tcPr>
            <w:tcW w:w="847" w:type="dxa"/>
            <w:tcBorders>
              <w:top w:val="nil"/>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1</w:t>
            </w:r>
            <w:r w:rsidR="000C19FD" w:rsidRPr="000C19FD">
              <w:rPr>
                <w:sz w:val="18"/>
                <w:szCs w:val="18"/>
                <w:lang w:val="fr-CA"/>
              </w:rPr>
              <w:t> </w:t>
            </w:r>
            <w:r w:rsidRPr="000C19FD">
              <w:rPr>
                <w:sz w:val="18"/>
                <w:szCs w:val="18"/>
                <w:lang w:val="fr-CA"/>
              </w:rPr>
              <w:t>490</w:t>
            </w:r>
          </w:p>
        </w:tc>
        <w:tc>
          <w:tcPr>
            <w:tcW w:w="854" w:type="dxa"/>
            <w:tcBorders>
              <w:top w:val="nil"/>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1</w:t>
            </w:r>
            <w:r w:rsidR="000C19FD" w:rsidRPr="000C19FD">
              <w:rPr>
                <w:sz w:val="18"/>
                <w:szCs w:val="18"/>
                <w:lang w:val="fr-CA"/>
              </w:rPr>
              <w:t> </w:t>
            </w:r>
            <w:r w:rsidRPr="000C19FD">
              <w:rPr>
                <w:sz w:val="18"/>
                <w:szCs w:val="18"/>
                <w:lang w:val="fr-CA"/>
              </w:rPr>
              <w:t>045</w:t>
            </w:r>
          </w:p>
        </w:tc>
        <w:tc>
          <w:tcPr>
            <w:tcW w:w="850" w:type="dxa"/>
            <w:tcBorders>
              <w:top w:val="nil"/>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1</w:t>
            </w:r>
            <w:r w:rsidR="000C19FD" w:rsidRPr="000C19FD">
              <w:rPr>
                <w:sz w:val="18"/>
                <w:szCs w:val="18"/>
                <w:lang w:val="fr-CA"/>
              </w:rPr>
              <w:t> </w:t>
            </w:r>
            <w:r w:rsidRPr="000C19FD">
              <w:rPr>
                <w:sz w:val="18"/>
                <w:szCs w:val="18"/>
                <w:lang w:val="fr-CA"/>
              </w:rPr>
              <w:t>303</w:t>
            </w:r>
          </w:p>
        </w:tc>
        <w:tc>
          <w:tcPr>
            <w:tcW w:w="851" w:type="dxa"/>
            <w:tcBorders>
              <w:top w:val="nil"/>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1</w:t>
            </w:r>
            <w:r w:rsidR="000C19FD" w:rsidRPr="000C19FD">
              <w:rPr>
                <w:sz w:val="18"/>
                <w:szCs w:val="18"/>
                <w:lang w:val="fr-CA"/>
              </w:rPr>
              <w:t> </w:t>
            </w:r>
            <w:r w:rsidRPr="000C19FD">
              <w:rPr>
                <w:sz w:val="18"/>
                <w:szCs w:val="18"/>
                <w:lang w:val="fr-CA"/>
              </w:rPr>
              <w:t>132</w:t>
            </w:r>
          </w:p>
        </w:tc>
        <w:tc>
          <w:tcPr>
            <w:tcW w:w="850" w:type="dxa"/>
            <w:tcBorders>
              <w:top w:val="nil"/>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1</w:t>
            </w:r>
            <w:r w:rsidR="000C19FD" w:rsidRPr="000C19FD">
              <w:rPr>
                <w:sz w:val="18"/>
                <w:szCs w:val="18"/>
                <w:lang w:val="fr-CA"/>
              </w:rPr>
              <w:t> </w:t>
            </w:r>
            <w:r w:rsidRPr="000C19FD">
              <w:rPr>
                <w:sz w:val="18"/>
                <w:szCs w:val="18"/>
                <w:lang w:val="fr-CA"/>
              </w:rPr>
              <w:t>063</w:t>
            </w:r>
          </w:p>
        </w:tc>
        <w:tc>
          <w:tcPr>
            <w:tcW w:w="851" w:type="dxa"/>
            <w:tcBorders>
              <w:top w:val="nil"/>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971</w:t>
            </w:r>
          </w:p>
        </w:tc>
        <w:tc>
          <w:tcPr>
            <w:tcW w:w="850" w:type="dxa"/>
            <w:tcBorders>
              <w:top w:val="nil"/>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839</w:t>
            </w:r>
          </w:p>
        </w:tc>
        <w:tc>
          <w:tcPr>
            <w:tcW w:w="851" w:type="dxa"/>
            <w:tcBorders>
              <w:top w:val="nil"/>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775</w:t>
            </w:r>
          </w:p>
        </w:tc>
      </w:tr>
      <w:tr w:rsidR="00C32CBE" w:rsidRPr="00B3274C" w:rsidTr="002744B6">
        <w:trPr>
          <w:cantSplit/>
        </w:trPr>
        <w:tc>
          <w:tcPr>
            <w:tcW w:w="1701" w:type="dxa"/>
            <w:tcBorders>
              <w:top w:val="nil"/>
              <w:bottom w:val="nil"/>
            </w:tcBorders>
            <w:shd w:val="clear" w:color="auto" w:fill="auto"/>
            <w:vAlign w:val="bottom"/>
          </w:tcPr>
          <w:p w:rsidR="00C32CBE" w:rsidRPr="00B3274C" w:rsidRDefault="00D90121" w:rsidP="006102C4">
            <w:pPr>
              <w:pStyle w:val="SingleTxtG"/>
              <w:keepNext/>
              <w:suppressAutoHyphens w:val="0"/>
              <w:spacing w:before="40" w:after="40" w:line="220" w:lineRule="exact"/>
              <w:ind w:left="0" w:right="0"/>
              <w:jc w:val="left"/>
              <w:rPr>
                <w:sz w:val="18"/>
                <w:szCs w:val="16"/>
                <w:lang w:val="fr-CA"/>
              </w:rPr>
            </w:pPr>
            <w:r w:rsidRPr="00B3274C">
              <w:rPr>
                <w:sz w:val="18"/>
                <w:szCs w:val="16"/>
                <w:lang w:val="fr-CA"/>
              </w:rPr>
              <w:t>Suspensions d</w:t>
            </w:r>
            <w:r w:rsidR="0080611A">
              <w:rPr>
                <w:sz w:val="18"/>
                <w:szCs w:val="16"/>
                <w:lang w:val="fr-CA"/>
              </w:rPr>
              <w:t>’</w:t>
            </w:r>
            <w:r w:rsidRPr="00B3274C">
              <w:rPr>
                <w:sz w:val="18"/>
                <w:szCs w:val="16"/>
                <w:lang w:val="fr-CA"/>
              </w:rPr>
              <w:t>activité</w:t>
            </w:r>
          </w:p>
        </w:tc>
        <w:tc>
          <w:tcPr>
            <w:tcW w:w="847" w:type="dxa"/>
            <w:tcBorders>
              <w:top w:val="nil"/>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1</w:t>
            </w:r>
            <w:r w:rsidR="000C19FD" w:rsidRPr="000C19FD">
              <w:rPr>
                <w:sz w:val="18"/>
                <w:szCs w:val="18"/>
                <w:lang w:val="fr-CA"/>
              </w:rPr>
              <w:t> </w:t>
            </w:r>
            <w:r w:rsidRPr="000C19FD">
              <w:rPr>
                <w:sz w:val="18"/>
                <w:szCs w:val="18"/>
                <w:lang w:val="fr-CA"/>
              </w:rPr>
              <w:t>991</w:t>
            </w:r>
          </w:p>
        </w:tc>
        <w:tc>
          <w:tcPr>
            <w:tcW w:w="854" w:type="dxa"/>
            <w:tcBorders>
              <w:top w:val="nil"/>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2</w:t>
            </w:r>
            <w:r w:rsidR="000C19FD" w:rsidRPr="000C19FD">
              <w:rPr>
                <w:sz w:val="18"/>
                <w:szCs w:val="18"/>
                <w:lang w:val="fr-CA"/>
              </w:rPr>
              <w:t> </w:t>
            </w:r>
            <w:r w:rsidRPr="000C19FD">
              <w:rPr>
                <w:sz w:val="18"/>
                <w:szCs w:val="18"/>
                <w:lang w:val="fr-CA"/>
              </w:rPr>
              <w:t>065</w:t>
            </w:r>
          </w:p>
        </w:tc>
        <w:tc>
          <w:tcPr>
            <w:tcW w:w="850" w:type="dxa"/>
            <w:tcBorders>
              <w:top w:val="nil"/>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2</w:t>
            </w:r>
            <w:r w:rsidR="000C19FD" w:rsidRPr="000C19FD">
              <w:rPr>
                <w:sz w:val="18"/>
                <w:szCs w:val="18"/>
                <w:lang w:val="fr-CA"/>
              </w:rPr>
              <w:t> </w:t>
            </w:r>
            <w:r w:rsidRPr="000C19FD">
              <w:rPr>
                <w:sz w:val="18"/>
                <w:szCs w:val="18"/>
                <w:lang w:val="fr-CA"/>
              </w:rPr>
              <w:t>248</w:t>
            </w:r>
          </w:p>
        </w:tc>
        <w:tc>
          <w:tcPr>
            <w:tcW w:w="851" w:type="dxa"/>
            <w:tcBorders>
              <w:top w:val="nil"/>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2</w:t>
            </w:r>
            <w:r w:rsidR="000C19FD" w:rsidRPr="000C19FD">
              <w:rPr>
                <w:sz w:val="18"/>
                <w:szCs w:val="18"/>
                <w:lang w:val="fr-CA"/>
              </w:rPr>
              <w:t> </w:t>
            </w:r>
            <w:r w:rsidRPr="000C19FD">
              <w:rPr>
                <w:sz w:val="18"/>
                <w:szCs w:val="18"/>
                <w:lang w:val="fr-CA"/>
              </w:rPr>
              <w:t>201</w:t>
            </w:r>
          </w:p>
        </w:tc>
        <w:tc>
          <w:tcPr>
            <w:tcW w:w="850" w:type="dxa"/>
            <w:tcBorders>
              <w:top w:val="nil"/>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1</w:t>
            </w:r>
            <w:r w:rsidR="000C19FD" w:rsidRPr="000C19FD">
              <w:rPr>
                <w:sz w:val="18"/>
                <w:szCs w:val="18"/>
                <w:lang w:val="fr-CA"/>
              </w:rPr>
              <w:t> </w:t>
            </w:r>
            <w:r w:rsidRPr="000C19FD">
              <w:rPr>
                <w:sz w:val="18"/>
                <w:szCs w:val="18"/>
                <w:lang w:val="fr-CA"/>
              </w:rPr>
              <w:t>738</w:t>
            </w:r>
          </w:p>
        </w:tc>
        <w:tc>
          <w:tcPr>
            <w:tcW w:w="851" w:type="dxa"/>
            <w:tcBorders>
              <w:top w:val="nil"/>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1</w:t>
            </w:r>
            <w:r w:rsidR="000C19FD" w:rsidRPr="000C19FD">
              <w:rPr>
                <w:sz w:val="18"/>
                <w:szCs w:val="18"/>
                <w:lang w:val="fr-CA"/>
              </w:rPr>
              <w:t> </w:t>
            </w:r>
            <w:r w:rsidRPr="000C19FD">
              <w:rPr>
                <w:sz w:val="18"/>
                <w:szCs w:val="18"/>
                <w:lang w:val="fr-CA"/>
              </w:rPr>
              <w:t>599</w:t>
            </w:r>
          </w:p>
        </w:tc>
        <w:tc>
          <w:tcPr>
            <w:tcW w:w="850" w:type="dxa"/>
            <w:tcBorders>
              <w:top w:val="nil"/>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1</w:t>
            </w:r>
            <w:r w:rsidR="000C19FD" w:rsidRPr="000C19FD">
              <w:rPr>
                <w:sz w:val="18"/>
                <w:szCs w:val="18"/>
                <w:lang w:val="fr-CA"/>
              </w:rPr>
              <w:t> </w:t>
            </w:r>
            <w:r w:rsidRPr="000C19FD">
              <w:rPr>
                <w:sz w:val="18"/>
                <w:szCs w:val="18"/>
                <w:lang w:val="fr-CA"/>
              </w:rPr>
              <w:t>357</w:t>
            </w:r>
          </w:p>
        </w:tc>
        <w:tc>
          <w:tcPr>
            <w:tcW w:w="851" w:type="dxa"/>
            <w:tcBorders>
              <w:top w:val="nil"/>
              <w:bottom w:val="nil"/>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806</w:t>
            </w:r>
          </w:p>
        </w:tc>
      </w:tr>
      <w:tr w:rsidR="00C32CBE" w:rsidRPr="00B3274C" w:rsidTr="002744B6">
        <w:trPr>
          <w:cantSplit/>
        </w:trPr>
        <w:tc>
          <w:tcPr>
            <w:tcW w:w="1701" w:type="dxa"/>
            <w:tcBorders>
              <w:top w:val="nil"/>
              <w:bottom w:val="single" w:sz="4" w:space="0" w:color="auto"/>
            </w:tcBorders>
            <w:shd w:val="clear" w:color="auto" w:fill="auto"/>
            <w:vAlign w:val="bottom"/>
          </w:tcPr>
          <w:p w:rsidR="00C32CBE" w:rsidRPr="00B3274C" w:rsidRDefault="00D90121" w:rsidP="006102C4">
            <w:pPr>
              <w:pStyle w:val="SingleTxtG"/>
              <w:keepNext/>
              <w:suppressAutoHyphens w:val="0"/>
              <w:spacing w:before="40" w:after="40" w:line="220" w:lineRule="exact"/>
              <w:ind w:left="0" w:right="0"/>
              <w:jc w:val="left"/>
              <w:rPr>
                <w:sz w:val="18"/>
                <w:szCs w:val="16"/>
                <w:lang w:val="fr-CA"/>
              </w:rPr>
            </w:pPr>
            <w:r w:rsidRPr="00B3274C">
              <w:rPr>
                <w:sz w:val="18"/>
                <w:szCs w:val="16"/>
                <w:lang w:val="fr-CA"/>
              </w:rPr>
              <w:t>Amendes</w:t>
            </w:r>
          </w:p>
        </w:tc>
        <w:tc>
          <w:tcPr>
            <w:tcW w:w="847" w:type="dxa"/>
            <w:tcBorders>
              <w:top w:val="nil"/>
              <w:bottom w:val="single" w:sz="4" w:space="0" w:color="auto"/>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2</w:t>
            </w:r>
            <w:r w:rsidR="000C19FD" w:rsidRPr="000C19FD">
              <w:rPr>
                <w:sz w:val="18"/>
                <w:szCs w:val="18"/>
                <w:lang w:val="fr-CA"/>
              </w:rPr>
              <w:t> </w:t>
            </w:r>
            <w:r w:rsidRPr="000C19FD">
              <w:rPr>
                <w:sz w:val="18"/>
                <w:szCs w:val="18"/>
                <w:lang w:val="fr-CA"/>
              </w:rPr>
              <w:t>238</w:t>
            </w:r>
          </w:p>
        </w:tc>
        <w:tc>
          <w:tcPr>
            <w:tcW w:w="854" w:type="dxa"/>
            <w:tcBorders>
              <w:top w:val="nil"/>
              <w:bottom w:val="single" w:sz="4" w:space="0" w:color="auto"/>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1</w:t>
            </w:r>
            <w:r w:rsidR="000C19FD" w:rsidRPr="000C19FD">
              <w:rPr>
                <w:sz w:val="18"/>
                <w:szCs w:val="18"/>
                <w:lang w:val="fr-CA"/>
              </w:rPr>
              <w:t> </w:t>
            </w:r>
            <w:r w:rsidRPr="000C19FD">
              <w:rPr>
                <w:sz w:val="18"/>
                <w:szCs w:val="18"/>
                <w:lang w:val="fr-CA"/>
              </w:rPr>
              <w:t>349</w:t>
            </w:r>
          </w:p>
        </w:tc>
        <w:tc>
          <w:tcPr>
            <w:tcW w:w="850" w:type="dxa"/>
            <w:tcBorders>
              <w:top w:val="nil"/>
              <w:bottom w:val="single" w:sz="4" w:space="0" w:color="auto"/>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1</w:t>
            </w:r>
            <w:r w:rsidR="000C19FD" w:rsidRPr="000C19FD">
              <w:rPr>
                <w:sz w:val="18"/>
                <w:szCs w:val="18"/>
                <w:lang w:val="fr-CA"/>
              </w:rPr>
              <w:t> </w:t>
            </w:r>
            <w:r w:rsidRPr="000C19FD">
              <w:rPr>
                <w:sz w:val="18"/>
                <w:szCs w:val="18"/>
                <w:lang w:val="fr-CA"/>
              </w:rPr>
              <w:t>379</w:t>
            </w:r>
          </w:p>
        </w:tc>
        <w:tc>
          <w:tcPr>
            <w:tcW w:w="851" w:type="dxa"/>
            <w:tcBorders>
              <w:top w:val="nil"/>
              <w:bottom w:val="single" w:sz="4" w:space="0" w:color="auto"/>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1</w:t>
            </w:r>
            <w:r w:rsidR="000C19FD" w:rsidRPr="000C19FD">
              <w:rPr>
                <w:sz w:val="18"/>
                <w:szCs w:val="18"/>
                <w:lang w:val="fr-CA"/>
              </w:rPr>
              <w:t> </w:t>
            </w:r>
            <w:r w:rsidRPr="000C19FD">
              <w:rPr>
                <w:sz w:val="18"/>
                <w:szCs w:val="18"/>
                <w:lang w:val="fr-CA"/>
              </w:rPr>
              <w:t>315</w:t>
            </w:r>
          </w:p>
        </w:tc>
        <w:tc>
          <w:tcPr>
            <w:tcW w:w="850" w:type="dxa"/>
            <w:tcBorders>
              <w:top w:val="nil"/>
              <w:bottom w:val="single" w:sz="4" w:space="0" w:color="auto"/>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1</w:t>
            </w:r>
            <w:r w:rsidR="000C19FD" w:rsidRPr="000C19FD">
              <w:rPr>
                <w:sz w:val="18"/>
                <w:szCs w:val="18"/>
                <w:lang w:val="fr-CA"/>
              </w:rPr>
              <w:t> </w:t>
            </w:r>
            <w:r w:rsidRPr="000C19FD">
              <w:rPr>
                <w:sz w:val="18"/>
                <w:szCs w:val="18"/>
                <w:lang w:val="fr-CA"/>
              </w:rPr>
              <w:t>246</w:t>
            </w:r>
          </w:p>
        </w:tc>
        <w:tc>
          <w:tcPr>
            <w:tcW w:w="851" w:type="dxa"/>
            <w:tcBorders>
              <w:top w:val="nil"/>
              <w:bottom w:val="single" w:sz="4" w:space="0" w:color="auto"/>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1</w:t>
            </w:r>
            <w:r w:rsidR="000C19FD" w:rsidRPr="000C19FD">
              <w:rPr>
                <w:sz w:val="18"/>
                <w:szCs w:val="18"/>
                <w:lang w:val="fr-CA"/>
              </w:rPr>
              <w:t> </w:t>
            </w:r>
            <w:r w:rsidRPr="000C19FD">
              <w:rPr>
                <w:sz w:val="18"/>
                <w:szCs w:val="18"/>
                <w:lang w:val="fr-CA"/>
              </w:rPr>
              <w:t>018</w:t>
            </w:r>
          </w:p>
        </w:tc>
        <w:tc>
          <w:tcPr>
            <w:tcW w:w="850" w:type="dxa"/>
            <w:tcBorders>
              <w:top w:val="nil"/>
              <w:bottom w:val="single" w:sz="4" w:space="0" w:color="auto"/>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1</w:t>
            </w:r>
            <w:r w:rsidR="000C19FD" w:rsidRPr="000C19FD">
              <w:rPr>
                <w:sz w:val="18"/>
                <w:szCs w:val="18"/>
                <w:lang w:val="fr-CA"/>
              </w:rPr>
              <w:t> </w:t>
            </w:r>
            <w:r w:rsidRPr="000C19FD">
              <w:rPr>
                <w:sz w:val="18"/>
                <w:szCs w:val="18"/>
                <w:lang w:val="fr-CA"/>
              </w:rPr>
              <w:t>023</w:t>
            </w:r>
          </w:p>
        </w:tc>
        <w:tc>
          <w:tcPr>
            <w:tcW w:w="851" w:type="dxa"/>
            <w:tcBorders>
              <w:top w:val="nil"/>
              <w:bottom w:val="single" w:sz="4" w:space="0" w:color="auto"/>
            </w:tcBorders>
            <w:shd w:val="clear" w:color="auto" w:fill="auto"/>
            <w:vAlign w:val="bottom"/>
          </w:tcPr>
          <w:p w:rsidR="00C32CBE" w:rsidRPr="000C19FD" w:rsidRDefault="00C32CBE" w:rsidP="006102C4">
            <w:pPr>
              <w:pStyle w:val="SingleTxtG"/>
              <w:keepNext/>
              <w:suppressAutoHyphens w:val="0"/>
              <w:spacing w:before="40" w:after="40" w:line="220" w:lineRule="exact"/>
              <w:ind w:left="113" w:right="0"/>
              <w:jc w:val="right"/>
              <w:rPr>
                <w:sz w:val="18"/>
                <w:szCs w:val="18"/>
                <w:lang w:val="fr-CA"/>
              </w:rPr>
            </w:pPr>
            <w:r w:rsidRPr="000C19FD">
              <w:rPr>
                <w:sz w:val="18"/>
                <w:szCs w:val="18"/>
                <w:lang w:val="fr-CA"/>
              </w:rPr>
              <w:t>590</w:t>
            </w:r>
          </w:p>
        </w:tc>
      </w:tr>
      <w:tr w:rsidR="00C32CBE" w:rsidRPr="00B3274C" w:rsidTr="002744B6">
        <w:trPr>
          <w:cantSplit/>
        </w:trPr>
        <w:tc>
          <w:tcPr>
            <w:tcW w:w="1701" w:type="dxa"/>
            <w:tcBorders>
              <w:top w:val="single" w:sz="4" w:space="0" w:color="auto"/>
              <w:bottom w:val="single" w:sz="12" w:space="0" w:color="auto"/>
            </w:tcBorders>
            <w:shd w:val="clear" w:color="auto" w:fill="auto"/>
            <w:vAlign w:val="bottom"/>
          </w:tcPr>
          <w:p w:rsidR="00C32CBE" w:rsidRPr="00B3274C" w:rsidRDefault="00D90121" w:rsidP="000C19FD">
            <w:pPr>
              <w:pStyle w:val="SingleTxtG"/>
              <w:suppressAutoHyphens w:val="0"/>
              <w:spacing w:before="80" w:after="80" w:line="180" w:lineRule="exact"/>
              <w:ind w:left="283" w:right="0"/>
              <w:jc w:val="left"/>
              <w:rPr>
                <w:sz w:val="18"/>
                <w:szCs w:val="16"/>
                <w:lang w:val="fr-CA"/>
              </w:rPr>
            </w:pPr>
            <w:r w:rsidRPr="00B3274C">
              <w:rPr>
                <w:b/>
                <w:sz w:val="18"/>
                <w:szCs w:val="16"/>
                <w:lang w:val="fr-CA"/>
              </w:rPr>
              <w:t xml:space="preserve">Montants </w:t>
            </w:r>
            <w:r w:rsidR="00C32CBE" w:rsidRPr="00B3274C">
              <w:rPr>
                <w:b/>
                <w:sz w:val="18"/>
                <w:szCs w:val="16"/>
                <w:lang w:val="fr-CA"/>
              </w:rPr>
              <w:t>(</w:t>
            </w:r>
            <w:r w:rsidRPr="00B3274C">
              <w:rPr>
                <w:b/>
                <w:sz w:val="18"/>
                <w:szCs w:val="16"/>
                <w:lang w:val="fr-CA"/>
              </w:rPr>
              <w:t>en</w:t>
            </w:r>
            <w:r w:rsidR="0099272B">
              <w:rPr>
                <w:b/>
                <w:sz w:val="18"/>
                <w:szCs w:val="16"/>
                <w:lang w:val="fr-CA"/>
              </w:rPr>
              <w:t> euros</w:t>
            </w:r>
            <w:r w:rsidR="00C32CBE" w:rsidRPr="00B3274C">
              <w:rPr>
                <w:b/>
                <w:sz w:val="18"/>
                <w:szCs w:val="16"/>
                <w:lang w:val="fr-CA"/>
              </w:rPr>
              <w:t>)</w:t>
            </w:r>
          </w:p>
        </w:tc>
        <w:tc>
          <w:tcPr>
            <w:tcW w:w="847" w:type="dxa"/>
            <w:tcBorders>
              <w:top w:val="single" w:sz="4" w:space="0" w:color="auto"/>
              <w:bottom w:val="single" w:sz="12" w:space="0" w:color="auto"/>
            </w:tcBorders>
            <w:shd w:val="clear" w:color="auto" w:fill="auto"/>
            <w:vAlign w:val="bottom"/>
          </w:tcPr>
          <w:p w:rsidR="00C32CBE" w:rsidRPr="000C19FD" w:rsidRDefault="00C32CBE" w:rsidP="003F23AF">
            <w:pPr>
              <w:pStyle w:val="SingleTxtG"/>
              <w:suppressAutoHyphens w:val="0"/>
              <w:spacing w:before="80" w:after="80" w:line="180" w:lineRule="exact"/>
              <w:ind w:left="113" w:right="0"/>
              <w:jc w:val="right"/>
              <w:rPr>
                <w:sz w:val="18"/>
                <w:szCs w:val="18"/>
                <w:lang w:val="fr-CA"/>
              </w:rPr>
            </w:pPr>
            <w:r w:rsidRPr="000C19FD">
              <w:rPr>
                <w:b/>
                <w:sz w:val="18"/>
                <w:szCs w:val="18"/>
                <w:lang w:val="fr-CA"/>
              </w:rPr>
              <w:t>2</w:t>
            </w:r>
            <w:r w:rsidR="000C19FD" w:rsidRPr="000C19FD">
              <w:rPr>
                <w:b/>
                <w:sz w:val="18"/>
                <w:szCs w:val="18"/>
                <w:lang w:val="fr-CA"/>
              </w:rPr>
              <w:t> </w:t>
            </w:r>
            <w:r w:rsidRPr="000C19FD">
              <w:rPr>
                <w:b/>
                <w:sz w:val="18"/>
                <w:szCs w:val="18"/>
                <w:lang w:val="fr-CA"/>
              </w:rPr>
              <w:t>721</w:t>
            </w:r>
            <w:r w:rsidR="000C19FD" w:rsidRPr="000C19FD">
              <w:rPr>
                <w:b/>
                <w:sz w:val="18"/>
                <w:szCs w:val="18"/>
                <w:lang w:val="fr-CA"/>
              </w:rPr>
              <w:t> </w:t>
            </w:r>
            <w:r w:rsidRPr="000C19FD">
              <w:rPr>
                <w:b/>
                <w:sz w:val="18"/>
                <w:szCs w:val="18"/>
                <w:lang w:val="fr-CA"/>
              </w:rPr>
              <w:t>300</w:t>
            </w:r>
          </w:p>
        </w:tc>
        <w:tc>
          <w:tcPr>
            <w:tcW w:w="854" w:type="dxa"/>
            <w:tcBorders>
              <w:top w:val="single" w:sz="4" w:space="0" w:color="auto"/>
              <w:bottom w:val="single" w:sz="12" w:space="0" w:color="auto"/>
            </w:tcBorders>
            <w:shd w:val="clear" w:color="auto" w:fill="auto"/>
            <w:vAlign w:val="bottom"/>
          </w:tcPr>
          <w:p w:rsidR="00C32CBE" w:rsidRPr="000C19FD" w:rsidRDefault="00C32CBE" w:rsidP="003F23AF">
            <w:pPr>
              <w:pStyle w:val="SingleTxtG"/>
              <w:suppressAutoHyphens w:val="0"/>
              <w:spacing w:before="80" w:after="80" w:line="180" w:lineRule="exact"/>
              <w:ind w:left="113" w:right="0"/>
              <w:jc w:val="right"/>
              <w:rPr>
                <w:sz w:val="18"/>
                <w:szCs w:val="18"/>
                <w:lang w:val="fr-CA"/>
              </w:rPr>
            </w:pPr>
            <w:r w:rsidRPr="000C19FD">
              <w:rPr>
                <w:b/>
                <w:sz w:val="18"/>
                <w:szCs w:val="18"/>
                <w:lang w:val="fr-CA"/>
              </w:rPr>
              <w:t>1</w:t>
            </w:r>
            <w:r w:rsidR="000C19FD" w:rsidRPr="000C19FD">
              <w:rPr>
                <w:b/>
                <w:sz w:val="18"/>
                <w:szCs w:val="18"/>
                <w:lang w:val="fr-CA"/>
              </w:rPr>
              <w:t> </w:t>
            </w:r>
            <w:r w:rsidRPr="000C19FD">
              <w:rPr>
                <w:b/>
                <w:sz w:val="18"/>
                <w:szCs w:val="18"/>
                <w:lang w:val="fr-CA"/>
              </w:rPr>
              <w:t>928</w:t>
            </w:r>
            <w:r w:rsidR="000C19FD" w:rsidRPr="000C19FD">
              <w:rPr>
                <w:b/>
                <w:sz w:val="18"/>
                <w:szCs w:val="18"/>
                <w:lang w:val="fr-CA"/>
              </w:rPr>
              <w:t> </w:t>
            </w:r>
            <w:r w:rsidRPr="000C19FD">
              <w:rPr>
                <w:b/>
                <w:sz w:val="18"/>
                <w:szCs w:val="18"/>
                <w:lang w:val="fr-CA"/>
              </w:rPr>
              <w:t>250</w:t>
            </w:r>
          </w:p>
        </w:tc>
        <w:tc>
          <w:tcPr>
            <w:tcW w:w="850" w:type="dxa"/>
            <w:tcBorders>
              <w:top w:val="single" w:sz="4" w:space="0" w:color="auto"/>
              <w:bottom w:val="single" w:sz="12" w:space="0" w:color="auto"/>
            </w:tcBorders>
            <w:shd w:val="clear" w:color="auto" w:fill="auto"/>
            <w:vAlign w:val="bottom"/>
          </w:tcPr>
          <w:p w:rsidR="00C32CBE" w:rsidRPr="000C19FD" w:rsidRDefault="00C32CBE" w:rsidP="003F23AF">
            <w:pPr>
              <w:pStyle w:val="SingleTxtG"/>
              <w:suppressAutoHyphens w:val="0"/>
              <w:spacing w:before="80" w:after="80" w:line="180" w:lineRule="exact"/>
              <w:ind w:left="113" w:right="0"/>
              <w:jc w:val="right"/>
              <w:rPr>
                <w:sz w:val="18"/>
                <w:szCs w:val="18"/>
                <w:lang w:val="fr-CA"/>
              </w:rPr>
            </w:pPr>
            <w:r w:rsidRPr="000C19FD">
              <w:rPr>
                <w:b/>
                <w:sz w:val="18"/>
                <w:szCs w:val="18"/>
                <w:lang w:val="fr-CA"/>
              </w:rPr>
              <w:t>2</w:t>
            </w:r>
            <w:r w:rsidR="000C19FD" w:rsidRPr="000C19FD">
              <w:rPr>
                <w:b/>
                <w:sz w:val="18"/>
                <w:szCs w:val="18"/>
                <w:lang w:val="fr-CA"/>
              </w:rPr>
              <w:t> </w:t>
            </w:r>
            <w:r w:rsidRPr="000C19FD">
              <w:rPr>
                <w:b/>
                <w:sz w:val="18"/>
                <w:szCs w:val="18"/>
                <w:lang w:val="fr-CA"/>
              </w:rPr>
              <w:t>949</w:t>
            </w:r>
            <w:r w:rsidR="000C19FD" w:rsidRPr="000C19FD">
              <w:rPr>
                <w:b/>
                <w:sz w:val="18"/>
                <w:szCs w:val="18"/>
                <w:lang w:val="fr-CA"/>
              </w:rPr>
              <w:t> </w:t>
            </w:r>
            <w:r w:rsidRPr="000C19FD">
              <w:rPr>
                <w:b/>
                <w:sz w:val="18"/>
                <w:szCs w:val="18"/>
                <w:lang w:val="fr-CA"/>
              </w:rPr>
              <w:t>100</w:t>
            </w:r>
          </w:p>
        </w:tc>
        <w:tc>
          <w:tcPr>
            <w:tcW w:w="851" w:type="dxa"/>
            <w:tcBorders>
              <w:top w:val="single" w:sz="4" w:space="0" w:color="auto"/>
              <w:bottom w:val="single" w:sz="12" w:space="0" w:color="auto"/>
            </w:tcBorders>
            <w:shd w:val="clear" w:color="auto" w:fill="auto"/>
            <w:vAlign w:val="bottom"/>
          </w:tcPr>
          <w:p w:rsidR="00C32CBE" w:rsidRPr="000C19FD" w:rsidRDefault="00C32CBE" w:rsidP="003F23AF">
            <w:pPr>
              <w:pStyle w:val="SingleTxtG"/>
              <w:suppressAutoHyphens w:val="0"/>
              <w:spacing w:before="80" w:after="80" w:line="180" w:lineRule="exact"/>
              <w:ind w:left="113" w:right="0"/>
              <w:jc w:val="right"/>
              <w:rPr>
                <w:sz w:val="18"/>
                <w:szCs w:val="18"/>
                <w:lang w:val="fr-CA"/>
              </w:rPr>
            </w:pPr>
            <w:r w:rsidRPr="000C19FD">
              <w:rPr>
                <w:b/>
                <w:sz w:val="18"/>
                <w:szCs w:val="18"/>
                <w:lang w:val="fr-CA"/>
              </w:rPr>
              <w:t>3</w:t>
            </w:r>
            <w:r w:rsidR="000C19FD" w:rsidRPr="000C19FD">
              <w:rPr>
                <w:b/>
                <w:sz w:val="18"/>
                <w:szCs w:val="18"/>
                <w:lang w:val="fr-CA"/>
              </w:rPr>
              <w:t> </w:t>
            </w:r>
            <w:r w:rsidRPr="000C19FD">
              <w:rPr>
                <w:b/>
                <w:sz w:val="18"/>
                <w:szCs w:val="18"/>
                <w:lang w:val="fr-CA"/>
              </w:rPr>
              <w:t>021</w:t>
            </w:r>
            <w:r w:rsidR="000C19FD" w:rsidRPr="000C19FD">
              <w:rPr>
                <w:b/>
                <w:sz w:val="18"/>
                <w:szCs w:val="18"/>
                <w:lang w:val="fr-CA"/>
              </w:rPr>
              <w:t> </w:t>
            </w:r>
            <w:r w:rsidRPr="000C19FD">
              <w:rPr>
                <w:b/>
                <w:sz w:val="18"/>
                <w:szCs w:val="18"/>
                <w:lang w:val="fr-CA"/>
              </w:rPr>
              <w:t>500</w:t>
            </w:r>
          </w:p>
        </w:tc>
        <w:tc>
          <w:tcPr>
            <w:tcW w:w="850" w:type="dxa"/>
            <w:tcBorders>
              <w:top w:val="single" w:sz="4" w:space="0" w:color="auto"/>
              <w:bottom w:val="single" w:sz="12" w:space="0" w:color="auto"/>
            </w:tcBorders>
            <w:shd w:val="clear" w:color="auto" w:fill="auto"/>
            <w:vAlign w:val="bottom"/>
          </w:tcPr>
          <w:p w:rsidR="00C32CBE" w:rsidRPr="000C19FD" w:rsidRDefault="00C32CBE" w:rsidP="003F23AF">
            <w:pPr>
              <w:pStyle w:val="SingleTxtG"/>
              <w:suppressAutoHyphens w:val="0"/>
              <w:spacing w:before="80" w:after="80" w:line="180" w:lineRule="exact"/>
              <w:ind w:left="113" w:right="0"/>
              <w:jc w:val="right"/>
              <w:rPr>
                <w:sz w:val="18"/>
                <w:szCs w:val="18"/>
                <w:lang w:val="fr-CA"/>
              </w:rPr>
            </w:pPr>
            <w:r w:rsidRPr="000C19FD">
              <w:rPr>
                <w:b/>
                <w:sz w:val="18"/>
                <w:szCs w:val="18"/>
                <w:lang w:val="fr-CA"/>
              </w:rPr>
              <w:t>3</w:t>
            </w:r>
            <w:r w:rsidR="000C19FD" w:rsidRPr="000C19FD">
              <w:rPr>
                <w:b/>
                <w:sz w:val="18"/>
                <w:szCs w:val="18"/>
                <w:lang w:val="fr-CA"/>
              </w:rPr>
              <w:t> </w:t>
            </w:r>
            <w:r w:rsidRPr="000C19FD">
              <w:rPr>
                <w:b/>
                <w:sz w:val="18"/>
                <w:szCs w:val="18"/>
                <w:lang w:val="fr-CA"/>
              </w:rPr>
              <w:t>354</w:t>
            </w:r>
            <w:r w:rsidR="000C19FD" w:rsidRPr="000C19FD">
              <w:rPr>
                <w:b/>
                <w:sz w:val="18"/>
                <w:szCs w:val="18"/>
                <w:lang w:val="fr-CA"/>
              </w:rPr>
              <w:t> </w:t>
            </w:r>
            <w:r w:rsidRPr="000C19FD">
              <w:rPr>
                <w:b/>
                <w:sz w:val="18"/>
                <w:szCs w:val="18"/>
                <w:lang w:val="fr-CA"/>
              </w:rPr>
              <w:t>900</w:t>
            </w:r>
          </w:p>
        </w:tc>
        <w:tc>
          <w:tcPr>
            <w:tcW w:w="851" w:type="dxa"/>
            <w:tcBorders>
              <w:top w:val="single" w:sz="4" w:space="0" w:color="auto"/>
              <w:bottom w:val="single" w:sz="12" w:space="0" w:color="auto"/>
            </w:tcBorders>
            <w:shd w:val="clear" w:color="auto" w:fill="auto"/>
            <w:vAlign w:val="bottom"/>
          </w:tcPr>
          <w:p w:rsidR="00C32CBE" w:rsidRPr="000C19FD" w:rsidRDefault="00C32CBE" w:rsidP="003F23AF">
            <w:pPr>
              <w:pStyle w:val="SingleTxtG"/>
              <w:suppressAutoHyphens w:val="0"/>
              <w:spacing w:before="80" w:after="80" w:line="180" w:lineRule="exact"/>
              <w:ind w:left="113" w:right="0"/>
              <w:jc w:val="right"/>
              <w:rPr>
                <w:sz w:val="18"/>
                <w:szCs w:val="18"/>
                <w:lang w:val="fr-CA"/>
              </w:rPr>
            </w:pPr>
            <w:r w:rsidRPr="000C19FD">
              <w:rPr>
                <w:b/>
                <w:sz w:val="18"/>
                <w:szCs w:val="18"/>
                <w:lang w:val="fr-CA"/>
              </w:rPr>
              <w:t>2</w:t>
            </w:r>
            <w:r w:rsidR="000C19FD" w:rsidRPr="000C19FD">
              <w:rPr>
                <w:b/>
                <w:sz w:val="18"/>
                <w:szCs w:val="18"/>
                <w:lang w:val="fr-CA"/>
              </w:rPr>
              <w:t> </w:t>
            </w:r>
            <w:r w:rsidRPr="000C19FD">
              <w:rPr>
                <w:b/>
                <w:sz w:val="18"/>
                <w:szCs w:val="18"/>
                <w:lang w:val="fr-CA"/>
              </w:rPr>
              <w:t>856</w:t>
            </w:r>
            <w:r w:rsidR="000C19FD" w:rsidRPr="000C19FD">
              <w:rPr>
                <w:b/>
                <w:sz w:val="18"/>
                <w:szCs w:val="18"/>
                <w:lang w:val="fr-CA"/>
              </w:rPr>
              <w:t> </w:t>
            </w:r>
            <w:r w:rsidRPr="000C19FD">
              <w:rPr>
                <w:b/>
                <w:sz w:val="18"/>
                <w:szCs w:val="18"/>
                <w:lang w:val="fr-CA"/>
              </w:rPr>
              <w:t>400</w:t>
            </w:r>
          </w:p>
        </w:tc>
        <w:tc>
          <w:tcPr>
            <w:tcW w:w="850" w:type="dxa"/>
            <w:tcBorders>
              <w:top w:val="single" w:sz="4" w:space="0" w:color="auto"/>
              <w:bottom w:val="single" w:sz="12" w:space="0" w:color="auto"/>
            </w:tcBorders>
            <w:shd w:val="clear" w:color="auto" w:fill="auto"/>
            <w:vAlign w:val="bottom"/>
          </w:tcPr>
          <w:p w:rsidR="00C32CBE" w:rsidRPr="000C19FD" w:rsidRDefault="00C32CBE" w:rsidP="003F23AF">
            <w:pPr>
              <w:pStyle w:val="SingleTxtG"/>
              <w:suppressAutoHyphens w:val="0"/>
              <w:spacing w:before="80" w:after="80" w:line="180" w:lineRule="exact"/>
              <w:ind w:left="113" w:right="0"/>
              <w:jc w:val="right"/>
              <w:rPr>
                <w:sz w:val="18"/>
                <w:szCs w:val="18"/>
                <w:lang w:val="fr-CA"/>
              </w:rPr>
            </w:pPr>
            <w:r w:rsidRPr="000C19FD">
              <w:rPr>
                <w:b/>
                <w:sz w:val="18"/>
                <w:szCs w:val="18"/>
                <w:lang w:val="fr-CA"/>
              </w:rPr>
              <w:t>2</w:t>
            </w:r>
            <w:r w:rsidR="000C19FD" w:rsidRPr="000C19FD">
              <w:rPr>
                <w:b/>
                <w:sz w:val="18"/>
                <w:szCs w:val="18"/>
                <w:lang w:val="fr-CA"/>
              </w:rPr>
              <w:t> </w:t>
            </w:r>
            <w:r w:rsidRPr="000C19FD">
              <w:rPr>
                <w:b/>
                <w:sz w:val="18"/>
                <w:szCs w:val="18"/>
                <w:lang w:val="fr-CA"/>
              </w:rPr>
              <w:t>405</w:t>
            </w:r>
            <w:r w:rsidR="000C19FD" w:rsidRPr="000C19FD">
              <w:rPr>
                <w:b/>
                <w:sz w:val="18"/>
                <w:szCs w:val="18"/>
                <w:lang w:val="fr-CA"/>
              </w:rPr>
              <w:t> </w:t>
            </w:r>
            <w:r w:rsidRPr="000C19FD">
              <w:rPr>
                <w:b/>
                <w:sz w:val="18"/>
                <w:szCs w:val="18"/>
                <w:lang w:val="fr-CA"/>
              </w:rPr>
              <w:t>900</w:t>
            </w:r>
          </w:p>
        </w:tc>
        <w:tc>
          <w:tcPr>
            <w:tcW w:w="851" w:type="dxa"/>
            <w:tcBorders>
              <w:top w:val="single" w:sz="4" w:space="0" w:color="auto"/>
              <w:bottom w:val="single" w:sz="12" w:space="0" w:color="auto"/>
            </w:tcBorders>
            <w:shd w:val="clear" w:color="auto" w:fill="auto"/>
            <w:vAlign w:val="bottom"/>
          </w:tcPr>
          <w:p w:rsidR="00C32CBE" w:rsidRPr="000C19FD" w:rsidRDefault="00C32CBE" w:rsidP="003F23AF">
            <w:pPr>
              <w:pStyle w:val="SingleTxtG"/>
              <w:suppressAutoHyphens w:val="0"/>
              <w:spacing w:before="80" w:after="80" w:line="180" w:lineRule="exact"/>
              <w:ind w:left="113" w:right="0"/>
              <w:jc w:val="right"/>
              <w:rPr>
                <w:sz w:val="18"/>
                <w:szCs w:val="18"/>
                <w:lang w:val="fr-CA"/>
              </w:rPr>
            </w:pPr>
            <w:r w:rsidRPr="000C19FD">
              <w:rPr>
                <w:b/>
                <w:sz w:val="18"/>
                <w:szCs w:val="18"/>
                <w:lang w:val="fr-CA"/>
              </w:rPr>
              <w:t>1</w:t>
            </w:r>
            <w:r w:rsidR="000C19FD" w:rsidRPr="000C19FD">
              <w:rPr>
                <w:b/>
                <w:sz w:val="18"/>
                <w:szCs w:val="18"/>
                <w:lang w:val="fr-CA"/>
              </w:rPr>
              <w:t> </w:t>
            </w:r>
            <w:r w:rsidRPr="000C19FD">
              <w:rPr>
                <w:b/>
                <w:sz w:val="18"/>
                <w:szCs w:val="18"/>
                <w:lang w:val="fr-CA"/>
              </w:rPr>
              <w:t>704</w:t>
            </w:r>
            <w:r w:rsidR="000C19FD" w:rsidRPr="000C19FD">
              <w:rPr>
                <w:b/>
                <w:sz w:val="18"/>
                <w:szCs w:val="18"/>
                <w:lang w:val="fr-CA"/>
              </w:rPr>
              <w:t> </w:t>
            </w:r>
            <w:r w:rsidRPr="000C19FD">
              <w:rPr>
                <w:b/>
                <w:sz w:val="18"/>
                <w:szCs w:val="18"/>
                <w:lang w:val="fr-CA"/>
              </w:rPr>
              <w:t>111</w:t>
            </w:r>
          </w:p>
        </w:tc>
      </w:tr>
    </w:tbl>
    <w:p w:rsidR="00FB23D3" w:rsidRPr="00B3274C" w:rsidRDefault="00107A47" w:rsidP="006102C4">
      <w:pPr>
        <w:pStyle w:val="SingleTxtG"/>
        <w:spacing w:before="240"/>
        <w:rPr>
          <w:szCs w:val="25"/>
          <w:lang w:val="fr-CA"/>
        </w:rPr>
      </w:pPr>
      <w:r w:rsidRPr="00B3274C">
        <w:rPr>
          <w:lang w:val="fr-CA"/>
        </w:rPr>
        <w:t>92.</w:t>
      </w:r>
      <w:r w:rsidRPr="00B3274C">
        <w:rPr>
          <w:lang w:val="fr-CA"/>
        </w:rPr>
        <w:tab/>
      </w:r>
      <w:r w:rsidR="00D90121" w:rsidRPr="00B3274C">
        <w:rPr>
          <w:lang w:val="fr-CA"/>
        </w:rPr>
        <w:t>En outre</w:t>
      </w:r>
      <w:r w:rsidR="0080611A">
        <w:rPr>
          <w:lang w:val="fr-CA"/>
        </w:rPr>
        <w:t>,</w:t>
      </w:r>
      <w:r w:rsidR="00D90121" w:rsidRPr="00B3274C">
        <w:rPr>
          <w:lang w:val="fr-CA"/>
        </w:rPr>
        <w:t xml:space="preserve"> </w:t>
      </w:r>
      <w:r w:rsidR="000938F2" w:rsidRPr="00B3274C">
        <w:rPr>
          <w:lang w:val="fr-CA"/>
        </w:rPr>
        <w:t>les services de l</w:t>
      </w:r>
      <w:r w:rsidR="0080611A">
        <w:rPr>
          <w:lang w:val="fr-CA"/>
        </w:rPr>
        <w:t>’</w:t>
      </w:r>
      <w:r w:rsidR="00EC6825" w:rsidRPr="00B3274C">
        <w:rPr>
          <w:lang w:val="fr-CA"/>
        </w:rPr>
        <w:t>I</w:t>
      </w:r>
      <w:r w:rsidR="000938F2" w:rsidRPr="00B3274C">
        <w:rPr>
          <w:lang w:val="fr-CA"/>
        </w:rPr>
        <w:t>nspection de la sécurité et de l</w:t>
      </w:r>
      <w:r w:rsidR="0080611A">
        <w:rPr>
          <w:lang w:val="fr-CA"/>
        </w:rPr>
        <w:t>’</w:t>
      </w:r>
      <w:r w:rsidR="00EC6825" w:rsidRPr="00B3274C">
        <w:rPr>
          <w:lang w:val="fr-CA"/>
        </w:rPr>
        <w:t>hygiène a</w:t>
      </w:r>
      <w:r w:rsidR="000938F2" w:rsidRPr="00B3274C">
        <w:rPr>
          <w:lang w:val="fr-CA"/>
        </w:rPr>
        <w:t>u travail</w:t>
      </w:r>
      <w:r w:rsidR="0080611A">
        <w:rPr>
          <w:lang w:val="fr-CA"/>
        </w:rPr>
        <w:t>,</w:t>
      </w:r>
      <w:r w:rsidR="00EC6825" w:rsidRPr="00B3274C">
        <w:rPr>
          <w:lang w:val="fr-CA"/>
        </w:rPr>
        <w:t xml:space="preserve"> relevant de l</w:t>
      </w:r>
      <w:r w:rsidR="0080611A">
        <w:rPr>
          <w:lang w:val="fr-CA"/>
        </w:rPr>
        <w:t>’</w:t>
      </w:r>
      <w:r w:rsidR="00EC6825" w:rsidRPr="00B3274C">
        <w:rPr>
          <w:lang w:val="fr-CA"/>
        </w:rPr>
        <w:t>Inspection du travail</w:t>
      </w:r>
      <w:r w:rsidR="0080611A">
        <w:rPr>
          <w:lang w:val="fr-CA"/>
        </w:rPr>
        <w:t>,</w:t>
      </w:r>
      <w:r w:rsidR="000938F2" w:rsidRPr="00B3274C">
        <w:rPr>
          <w:lang w:val="fr-CA"/>
        </w:rPr>
        <w:t xml:space="preserve"> </w:t>
      </w:r>
      <w:r w:rsidR="00EC6825" w:rsidRPr="00B3274C">
        <w:rPr>
          <w:lang w:val="fr-CA"/>
        </w:rPr>
        <w:t>a procédé à un certain nombre d</w:t>
      </w:r>
      <w:r w:rsidR="0080611A">
        <w:rPr>
          <w:lang w:val="fr-CA"/>
        </w:rPr>
        <w:t>’</w:t>
      </w:r>
      <w:r w:rsidR="00EC6825" w:rsidRPr="00B3274C">
        <w:rPr>
          <w:lang w:val="fr-CA"/>
        </w:rPr>
        <w:t>inspections et lancé des campagnes d</w:t>
      </w:r>
      <w:r w:rsidR="0080611A">
        <w:rPr>
          <w:lang w:val="fr-CA"/>
        </w:rPr>
        <w:t>’</w:t>
      </w:r>
      <w:r w:rsidR="00EC6825" w:rsidRPr="00B3274C">
        <w:rPr>
          <w:lang w:val="fr-CA"/>
        </w:rPr>
        <w:t>information</w:t>
      </w:r>
      <w:r w:rsidR="00FB23D3" w:rsidRPr="00B3274C">
        <w:rPr>
          <w:szCs w:val="25"/>
          <w:lang w:val="fr-CA"/>
        </w:rPr>
        <w:t xml:space="preserve">. </w:t>
      </w:r>
    </w:p>
    <w:p w:rsidR="00FB23D3" w:rsidRPr="00B3274C" w:rsidRDefault="00EF2CD1" w:rsidP="005B56D4">
      <w:pPr>
        <w:pStyle w:val="H23G"/>
        <w:rPr>
          <w:bCs/>
          <w:lang w:val="fr-CA"/>
        </w:rPr>
      </w:pPr>
      <w:r w:rsidRPr="00B3274C">
        <w:rPr>
          <w:lang w:val="fr-CA"/>
        </w:rPr>
        <w:tab/>
      </w:r>
      <w:r w:rsidR="005B56D4" w:rsidRPr="00B3274C">
        <w:rPr>
          <w:lang w:val="fr-CA"/>
        </w:rPr>
        <w:t>a)</w:t>
      </w:r>
      <w:r w:rsidRPr="00B3274C">
        <w:rPr>
          <w:lang w:val="fr-CA"/>
        </w:rPr>
        <w:tab/>
      </w:r>
      <w:r w:rsidR="00EC6825" w:rsidRPr="00B3274C">
        <w:rPr>
          <w:lang w:val="fr-CA"/>
        </w:rPr>
        <w:t>Amélioration des conditions de santé</w:t>
      </w:r>
      <w:r w:rsidR="0080611A">
        <w:rPr>
          <w:lang w:val="fr-CA"/>
        </w:rPr>
        <w:t>,</w:t>
      </w:r>
      <w:r w:rsidR="00EC6825" w:rsidRPr="00B3274C">
        <w:rPr>
          <w:lang w:val="fr-CA"/>
        </w:rPr>
        <w:t xml:space="preserve"> de sécurité et de travail des personnels en uniforme de la police grecque </w:t>
      </w:r>
    </w:p>
    <w:p w:rsidR="00FB23D3" w:rsidRPr="00B3274C" w:rsidRDefault="00107A47" w:rsidP="00107A47">
      <w:pPr>
        <w:pStyle w:val="SingleTxtG"/>
        <w:rPr>
          <w:szCs w:val="22"/>
          <w:lang w:val="fr-CA"/>
        </w:rPr>
      </w:pPr>
      <w:r w:rsidRPr="00B3274C">
        <w:rPr>
          <w:lang w:val="fr-CA"/>
        </w:rPr>
        <w:t>93.</w:t>
      </w:r>
      <w:r w:rsidRPr="00B3274C">
        <w:rPr>
          <w:lang w:val="fr-CA"/>
        </w:rPr>
        <w:tab/>
      </w:r>
      <w:r w:rsidR="00EC6825" w:rsidRPr="00B3274C">
        <w:rPr>
          <w:szCs w:val="22"/>
          <w:lang w:val="fr-CA"/>
        </w:rPr>
        <w:t xml:space="preserve">Le décret présidentiel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szCs w:val="22"/>
          <w:lang w:val="fr-CA"/>
        </w:rPr>
        <w:t>45/2008 (A</w:t>
      </w:r>
      <w:r w:rsidR="0080611A">
        <w:rPr>
          <w:szCs w:val="22"/>
          <w:lang w:val="fr-CA"/>
        </w:rPr>
        <w:t>’</w:t>
      </w:r>
      <w:r w:rsidR="00FB23D3" w:rsidRPr="00B3274C">
        <w:rPr>
          <w:szCs w:val="22"/>
          <w:lang w:val="fr-CA"/>
        </w:rPr>
        <w:t>–73)</w:t>
      </w:r>
      <w:r w:rsidR="0080611A">
        <w:rPr>
          <w:szCs w:val="22"/>
          <w:lang w:val="fr-CA"/>
        </w:rPr>
        <w:t>,</w:t>
      </w:r>
      <w:r w:rsidR="00EC6825" w:rsidRPr="00B3274C">
        <w:rPr>
          <w:szCs w:val="22"/>
          <w:lang w:val="fr-CA"/>
        </w:rPr>
        <w:t xml:space="preserve"> intitulé</w:t>
      </w:r>
      <w:r w:rsidR="00FB23D3" w:rsidRPr="00B3274C">
        <w:rPr>
          <w:szCs w:val="22"/>
          <w:lang w:val="fr-CA"/>
        </w:rPr>
        <w:t xml:space="preserve"> </w:t>
      </w:r>
      <w:r w:rsidR="0055418C" w:rsidRPr="00B3274C">
        <w:rPr>
          <w:i/>
          <w:szCs w:val="22"/>
          <w:lang w:val="fr-CA"/>
        </w:rPr>
        <w:t>«</w:t>
      </w:r>
      <w:r w:rsidR="00EC6825" w:rsidRPr="00B3274C">
        <w:rPr>
          <w:i/>
          <w:szCs w:val="22"/>
          <w:lang w:val="fr-CA"/>
        </w:rPr>
        <w:t>Mesures concernant la santé et la sécurité des personnels en uniforme de la police grecque</w:t>
      </w:r>
      <w:r w:rsidR="0055418C" w:rsidRPr="00B3274C">
        <w:rPr>
          <w:i/>
          <w:szCs w:val="22"/>
          <w:lang w:val="fr-CA"/>
        </w:rPr>
        <w:t>»</w:t>
      </w:r>
      <w:r w:rsidR="00FB23D3" w:rsidRPr="00B3274C">
        <w:rPr>
          <w:szCs w:val="22"/>
          <w:lang w:val="fr-CA"/>
        </w:rPr>
        <w:t xml:space="preserve"> </w:t>
      </w:r>
      <w:r w:rsidR="00EC6825" w:rsidRPr="00B3274C">
        <w:rPr>
          <w:szCs w:val="22"/>
          <w:lang w:val="fr-CA"/>
        </w:rPr>
        <w:t>porte sur l</w:t>
      </w:r>
      <w:r w:rsidR="0080611A">
        <w:rPr>
          <w:szCs w:val="22"/>
          <w:lang w:val="fr-CA"/>
        </w:rPr>
        <w:t>’</w:t>
      </w:r>
      <w:r w:rsidR="00EC6825" w:rsidRPr="00B3274C">
        <w:rPr>
          <w:szCs w:val="22"/>
          <w:lang w:val="fr-CA"/>
        </w:rPr>
        <w:t>amélioration des conditions de santé</w:t>
      </w:r>
      <w:r w:rsidR="0080611A">
        <w:rPr>
          <w:szCs w:val="22"/>
          <w:lang w:val="fr-CA"/>
        </w:rPr>
        <w:t>,</w:t>
      </w:r>
      <w:r w:rsidR="00EC6825" w:rsidRPr="00B3274C">
        <w:rPr>
          <w:szCs w:val="22"/>
          <w:lang w:val="fr-CA"/>
        </w:rPr>
        <w:t xml:space="preserve"> de sécurité et de travail des personnels en uniforme de la police grecque. Le décret</w:t>
      </w:r>
      <w:r w:rsidR="004A06D9" w:rsidRPr="00B3274C">
        <w:rPr>
          <w:szCs w:val="22"/>
          <w:lang w:val="fr-CA"/>
        </w:rPr>
        <w:t xml:space="preserve"> énonce les mesures à prendre </w:t>
      </w:r>
      <w:r w:rsidR="00EC6825" w:rsidRPr="00B3274C">
        <w:rPr>
          <w:szCs w:val="22"/>
          <w:lang w:val="fr-CA"/>
        </w:rPr>
        <w:t xml:space="preserve">pour protéger les personnels de la police grecque contre les risques en matière de santé et de sécurité </w:t>
      </w:r>
      <w:r w:rsidR="004A06D9" w:rsidRPr="00B3274C">
        <w:rPr>
          <w:szCs w:val="22"/>
          <w:lang w:val="fr-CA"/>
        </w:rPr>
        <w:t>auxquels ils</w:t>
      </w:r>
      <w:r w:rsidR="00CF3F47" w:rsidRPr="00B3274C">
        <w:rPr>
          <w:szCs w:val="22"/>
          <w:lang w:val="fr-CA"/>
        </w:rPr>
        <w:t xml:space="preserve"> sont </w:t>
      </w:r>
      <w:r w:rsidR="004A06D9" w:rsidRPr="00B3274C">
        <w:rPr>
          <w:szCs w:val="22"/>
          <w:lang w:val="fr-CA"/>
        </w:rPr>
        <w:t>exposés dans l</w:t>
      </w:r>
      <w:r w:rsidR="0080611A">
        <w:rPr>
          <w:szCs w:val="22"/>
          <w:lang w:val="fr-CA"/>
        </w:rPr>
        <w:t>’</w:t>
      </w:r>
      <w:r w:rsidR="004A06D9" w:rsidRPr="00B3274C">
        <w:rPr>
          <w:szCs w:val="22"/>
          <w:lang w:val="fr-CA"/>
        </w:rPr>
        <w:t>exercice de leurs fonctions. Elles concernent la protection de tous les personnels en uniforme de la police grecque sans exception (agent</w:t>
      </w:r>
      <w:r w:rsidR="00CF3F47" w:rsidRPr="00B3274C">
        <w:rPr>
          <w:szCs w:val="22"/>
          <w:lang w:val="fr-CA"/>
        </w:rPr>
        <w:t>s</w:t>
      </w:r>
      <w:r w:rsidR="004A06D9" w:rsidRPr="00B3274C">
        <w:rPr>
          <w:szCs w:val="22"/>
          <w:lang w:val="fr-CA"/>
        </w:rPr>
        <w:t xml:space="preserve"> de police</w:t>
      </w:r>
      <w:r w:rsidR="0080611A">
        <w:rPr>
          <w:szCs w:val="22"/>
          <w:lang w:val="fr-CA"/>
        </w:rPr>
        <w:t>,</w:t>
      </w:r>
      <w:r w:rsidR="004A06D9" w:rsidRPr="00B3274C">
        <w:rPr>
          <w:szCs w:val="22"/>
          <w:lang w:val="fr-CA"/>
        </w:rPr>
        <w:t xml:space="preserve"> gardes spéciaux</w:t>
      </w:r>
      <w:r w:rsidR="0080611A">
        <w:rPr>
          <w:szCs w:val="22"/>
          <w:lang w:val="fr-CA"/>
        </w:rPr>
        <w:t>,</w:t>
      </w:r>
      <w:r w:rsidR="004A06D9" w:rsidRPr="00B3274C">
        <w:rPr>
          <w:szCs w:val="22"/>
          <w:lang w:val="fr-CA"/>
        </w:rPr>
        <w:t xml:space="preserve"> gardes-frontières) contre les risques auxquels </w:t>
      </w:r>
      <w:r w:rsidR="00CF3F47" w:rsidRPr="00B3274C">
        <w:rPr>
          <w:szCs w:val="22"/>
          <w:lang w:val="fr-CA"/>
        </w:rPr>
        <w:t>ils sont spécifiquement exposés en matière de santé et de sécurité dans l</w:t>
      </w:r>
      <w:r w:rsidR="0080611A">
        <w:rPr>
          <w:szCs w:val="22"/>
          <w:lang w:val="fr-CA"/>
        </w:rPr>
        <w:t>’</w:t>
      </w:r>
      <w:r w:rsidR="00CF3F47" w:rsidRPr="00B3274C">
        <w:rPr>
          <w:szCs w:val="22"/>
          <w:lang w:val="fr-CA"/>
        </w:rPr>
        <w:t>exercice de leurs fonctions. Pour prévenir ou minimiser tout risque</w:t>
      </w:r>
      <w:r w:rsidR="0080611A">
        <w:rPr>
          <w:szCs w:val="22"/>
          <w:lang w:val="fr-CA"/>
        </w:rPr>
        <w:t>,</w:t>
      </w:r>
      <w:r w:rsidR="00CF3F47" w:rsidRPr="00B3274C">
        <w:rPr>
          <w:szCs w:val="22"/>
          <w:lang w:val="fr-CA"/>
        </w:rPr>
        <w:t xml:space="preserve"> l</w:t>
      </w:r>
      <w:r w:rsidR="0080611A">
        <w:rPr>
          <w:szCs w:val="22"/>
          <w:lang w:val="fr-CA"/>
        </w:rPr>
        <w:t>’</w:t>
      </w:r>
      <w:r w:rsidR="00CF3F47" w:rsidRPr="00B3274C">
        <w:rPr>
          <w:szCs w:val="22"/>
          <w:lang w:val="fr-CA"/>
        </w:rPr>
        <w:t>accent est mis tout particulièrement sur les examens médicaux</w:t>
      </w:r>
      <w:r w:rsidR="0080611A">
        <w:rPr>
          <w:szCs w:val="22"/>
          <w:lang w:val="fr-CA"/>
        </w:rPr>
        <w:t>,</w:t>
      </w:r>
      <w:r w:rsidR="00CF3F47" w:rsidRPr="00B3274C">
        <w:rPr>
          <w:szCs w:val="22"/>
          <w:lang w:val="fr-CA"/>
        </w:rPr>
        <w:t xml:space="preserve"> la fourniture de tous les équipements techniques nécessaires</w:t>
      </w:r>
      <w:r w:rsidR="0080611A">
        <w:rPr>
          <w:szCs w:val="22"/>
          <w:lang w:val="fr-CA"/>
        </w:rPr>
        <w:t>,</w:t>
      </w:r>
      <w:r w:rsidR="00CF3F47" w:rsidRPr="00B3274C">
        <w:rPr>
          <w:szCs w:val="22"/>
          <w:lang w:val="fr-CA"/>
        </w:rPr>
        <w:t xml:space="preserve"> une formation adéquate ainsi que l</w:t>
      </w:r>
      <w:r w:rsidR="0080611A">
        <w:rPr>
          <w:szCs w:val="22"/>
          <w:lang w:val="fr-CA"/>
        </w:rPr>
        <w:t>’</w:t>
      </w:r>
      <w:r w:rsidR="00CF3F47" w:rsidRPr="00B3274C">
        <w:rPr>
          <w:szCs w:val="22"/>
          <w:lang w:val="fr-CA"/>
        </w:rPr>
        <w:t xml:space="preserve">entretien et la </w:t>
      </w:r>
      <w:bookmarkStart w:id="6" w:name="OLE_LINK1"/>
      <w:bookmarkStart w:id="7" w:name="OLE_LINK2"/>
      <w:r w:rsidR="00CF3F47" w:rsidRPr="00B3274C">
        <w:rPr>
          <w:szCs w:val="22"/>
          <w:lang w:val="fr-CA"/>
        </w:rPr>
        <w:t>désinfection</w:t>
      </w:r>
      <w:bookmarkEnd w:id="6"/>
      <w:bookmarkEnd w:id="7"/>
      <w:r w:rsidR="00CF3F47" w:rsidRPr="00B3274C">
        <w:rPr>
          <w:szCs w:val="22"/>
          <w:lang w:val="fr-CA"/>
        </w:rPr>
        <w:t xml:space="preserve"> des locaux et des véhicules de police. Un soin particulier est apporté en ce qui concerne la</w:t>
      </w:r>
      <w:r w:rsidR="003E6B41" w:rsidRPr="00B3274C">
        <w:rPr>
          <w:szCs w:val="22"/>
          <w:lang w:val="fr-CA"/>
        </w:rPr>
        <w:t xml:space="preserve"> surveillance </w:t>
      </w:r>
      <w:r w:rsidR="00CF3F47" w:rsidRPr="00B3274C">
        <w:rPr>
          <w:szCs w:val="22"/>
          <w:lang w:val="fr-CA"/>
        </w:rPr>
        <w:t>et le transfert de détenus</w:t>
      </w:r>
      <w:r w:rsidR="0080611A">
        <w:rPr>
          <w:szCs w:val="22"/>
          <w:lang w:val="fr-CA"/>
        </w:rPr>
        <w:t>,</w:t>
      </w:r>
      <w:r w:rsidR="00CF3F47" w:rsidRPr="00B3274C">
        <w:rPr>
          <w:szCs w:val="22"/>
          <w:lang w:val="fr-CA"/>
        </w:rPr>
        <w:t xml:space="preserve"> les activités de patrouille</w:t>
      </w:r>
      <w:r w:rsidR="0080611A">
        <w:rPr>
          <w:szCs w:val="22"/>
          <w:lang w:val="fr-CA"/>
        </w:rPr>
        <w:t>,</w:t>
      </w:r>
      <w:r w:rsidR="00CF3F47" w:rsidRPr="00B3274C">
        <w:rPr>
          <w:szCs w:val="22"/>
          <w:lang w:val="fr-CA"/>
        </w:rPr>
        <w:t xml:space="preserve"> la régulation de la circulation routière et les patrouilles dans les décharges contrôlées</w:t>
      </w:r>
      <w:r w:rsidR="00FB23D3" w:rsidRPr="00B3274C">
        <w:rPr>
          <w:szCs w:val="22"/>
          <w:lang w:val="fr-CA"/>
        </w:rPr>
        <w:t>.</w:t>
      </w:r>
    </w:p>
    <w:p w:rsidR="00FB23D3" w:rsidRPr="00B3274C" w:rsidRDefault="00EF2CD1" w:rsidP="005B56D4">
      <w:pPr>
        <w:pStyle w:val="H23G"/>
        <w:rPr>
          <w:lang w:val="fr-CA"/>
        </w:rPr>
      </w:pPr>
      <w:r w:rsidRPr="00B3274C">
        <w:rPr>
          <w:lang w:val="fr-CA"/>
        </w:rPr>
        <w:tab/>
      </w:r>
      <w:r w:rsidR="005B56D4" w:rsidRPr="00B3274C">
        <w:rPr>
          <w:lang w:val="fr-CA"/>
        </w:rPr>
        <w:t>b)</w:t>
      </w:r>
      <w:r w:rsidRPr="00B3274C">
        <w:rPr>
          <w:lang w:val="fr-CA"/>
        </w:rPr>
        <w:tab/>
      </w:r>
      <w:r w:rsidR="003E6B41" w:rsidRPr="00B3274C">
        <w:rPr>
          <w:lang w:val="fr-CA"/>
        </w:rPr>
        <w:t>Données relatives aux accidents du travail</w:t>
      </w:r>
    </w:p>
    <w:p w:rsidR="00FB23D3" w:rsidRPr="00B3274C" w:rsidRDefault="00107A47" w:rsidP="00107A47">
      <w:pPr>
        <w:pStyle w:val="SingleTxtG"/>
        <w:rPr>
          <w:lang w:val="fr-CA"/>
        </w:rPr>
      </w:pPr>
      <w:r w:rsidRPr="00B3274C">
        <w:rPr>
          <w:lang w:val="fr-CA"/>
        </w:rPr>
        <w:t>94.</w:t>
      </w:r>
      <w:r w:rsidRPr="00B3274C">
        <w:rPr>
          <w:lang w:val="fr-CA"/>
        </w:rPr>
        <w:tab/>
      </w:r>
      <w:r w:rsidR="003E6B41" w:rsidRPr="00B3274C">
        <w:rPr>
          <w:lang w:val="fr-CA"/>
        </w:rPr>
        <w:t>Le tableau ci-après présente les données statistiques disponibles concernant les accidents du travail signalés à l</w:t>
      </w:r>
      <w:r w:rsidR="0080611A">
        <w:rPr>
          <w:lang w:val="fr-CA"/>
        </w:rPr>
        <w:t>’</w:t>
      </w:r>
      <w:r w:rsidR="003E6B41" w:rsidRPr="00B3274C">
        <w:rPr>
          <w:lang w:val="fr-CA"/>
        </w:rPr>
        <w:t xml:space="preserve">Inspection du travail </w:t>
      </w:r>
      <w:r w:rsidR="00FB23D3" w:rsidRPr="00B3274C">
        <w:rPr>
          <w:lang w:val="fr-CA"/>
        </w:rPr>
        <w:t>(S.EP.E)</w:t>
      </w:r>
      <w:r w:rsidR="003E6B41" w:rsidRPr="00B3274C">
        <w:rPr>
          <w:lang w:val="fr-CA"/>
        </w:rPr>
        <w:t xml:space="preserve"> au cours de la période </w:t>
      </w:r>
      <w:r w:rsidR="00FB23D3" w:rsidRPr="00B3274C">
        <w:rPr>
          <w:lang w:val="fr-CA"/>
        </w:rPr>
        <w:t>2004-2011</w:t>
      </w:r>
      <w:r w:rsidR="00DB7ABC" w:rsidRPr="00B3274C">
        <w:rPr>
          <w:lang w:val="fr-CA"/>
        </w:rPr>
        <w:t>.</w:t>
      </w:r>
    </w:p>
    <w:p w:rsidR="005B56D4" w:rsidRPr="00B3274C" w:rsidRDefault="000C19FD" w:rsidP="000C19FD">
      <w:pPr>
        <w:pStyle w:val="H23G"/>
      </w:pPr>
      <w:r>
        <w:tab/>
      </w:r>
      <w:r>
        <w:tab/>
      </w:r>
      <w:r w:rsidR="005B56D4" w:rsidRPr="000C19FD">
        <w:rPr>
          <w:b w:val="0"/>
        </w:rPr>
        <w:t>Table</w:t>
      </w:r>
      <w:r w:rsidR="003E6B41" w:rsidRPr="000C19FD">
        <w:rPr>
          <w:b w:val="0"/>
        </w:rPr>
        <w:t>au</w:t>
      </w:r>
      <w:r w:rsidR="005B56D4" w:rsidRPr="000C19FD">
        <w:rPr>
          <w:b w:val="0"/>
        </w:rPr>
        <w:t xml:space="preserve"> 5</w:t>
      </w:r>
      <w:r w:rsidR="005B56D4" w:rsidRPr="000C19FD">
        <w:rPr>
          <w:b w:val="0"/>
        </w:rPr>
        <w:br/>
      </w:r>
      <w:r w:rsidR="003E6B41" w:rsidRPr="00B3274C">
        <w:t>Accidents du travail signalés à l</w:t>
      </w:r>
      <w:r w:rsidR="0080611A">
        <w:t>’</w:t>
      </w:r>
      <w:r w:rsidR="003E6B41" w:rsidRPr="00B3274C">
        <w:t xml:space="preserve">Inspection du travail </w:t>
      </w:r>
      <w:r w:rsidR="005B56D4" w:rsidRPr="00B3274C">
        <w:t>(S.EP.E)</w:t>
      </w:r>
      <w:r w:rsidR="00951C1A">
        <w:t xml:space="preserve"> au cours de la période </w:t>
      </w:r>
      <w:r w:rsidR="005B56D4" w:rsidRPr="00B3274C">
        <w:t>2004-2011</w:t>
      </w:r>
    </w:p>
    <w:tbl>
      <w:tblPr>
        <w:tblW w:w="8505" w:type="dxa"/>
        <w:tblInd w:w="1134" w:type="dxa"/>
        <w:tblBorders>
          <w:top w:val="single" w:sz="4" w:space="0" w:color="auto"/>
        </w:tblBorders>
        <w:tblLayout w:type="fixed"/>
        <w:tblCellMar>
          <w:left w:w="0" w:type="dxa"/>
          <w:right w:w="0" w:type="dxa"/>
        </w:tblCellMar>
        <w:tblLook w:val="0000"/>
      </w:tblPr>
      <w:tblGrid>
        <w:gridCol w:w="2694"/>
        <w:gridCol w:w="726"/>
        <w:gridCol w:w="726"/>
        <w:gridCol w:w="727"/>
        <w:gridCol w:w="726"/>
        <w:gridCol w:w="638"/>
        <w:gridCol w:w="815"/>
        <w:gridCol w:w="726"/>
        <w:gridCol w:w="727"/>
      </w:tblGrid>
      <w:tr w:rsidR="00404D10" w:rsidRPr="00B3274C" w:rsidTr="00B5727F">
        <w:trPr>
          <w:trHeight w:val="240"/>
          <w:tblHeader/>
        </w:trPr>
        <w:tc>
          <w:tcPr>
            <w:tcW w:w="2694" w:type="dxa"/>
            <w:tcBorders>
              <w:top w:val="single" w:sz="4" w:space="0" w:color="auto"/>
              <w:bottom w:val="single" w:sz="12" w:space="0" w:color="auto"/>
            </w:tcBorders>
            <w:shd w:val="clear" w:color="auto" w:fill="auto"/>
            <w:vAlign w:val="bottom"/>
          </w:tcPr>
          <w:p w:rsidR="00FB23D3" w:rsidRPr="00B3274C" w:rsidRDefault="00FB23D3" w:rsidP="00A0774C">
            <w:pPr>
              <w:pStyle w:val="SingleTxtG"/>
              <w:keepNext/>
              <w:suppressAutoHyphens w:val="0"/>
              <w:spacing w:before="80" w:after="80" w:line="200" w:lineRule="exact"/>
              <w:ind w:left="0" w:right="0"/>
              <w:jc w:val="left"/>
              <w:rPr>
                <w:bCs/>
                <w:i/>
                <w:sz w:val="16"/>
                <w:lang w:val="fr-CA"/>
              </w:rPr>
            </w:pPr>
          </w:p>
        </w:tc>
        <w:tc>
          <w:tcPr>
            <w:tcW w:w="726" w:type="dxa"/>
            <w:tcBorders>
              <w:top w:val="single" w:sz="4" w:space="0" w:color="auto"/>
              <w:bottom w:val="single" w:sz="12" w:space="0" w:color="auto"/>
            </w:tcBorders>
            <w:shd w:val="clear" w:color="auto" w:fill="auto"/>
            <w:noWrap/>
            <w:vAlign w:val="bottom"/>
          </w:tcPr>
          <w:p w:rsidR="00FB23D3" w:rsidRPr="00B3274C" w:rsidRDefault="00FB23D3" w:rsidP="00A0774C">
            <w:pPr>
              <w:pStyle w:val="SingleTxtG"/>
              <w:keepNext/>
              <w:suppressAutoHyphens w:val="0"/>
              <w:spacing w:before="80" w:after="80" w:line="200" w:lineRule="exact"/>
              <w:ind w:left="113" w:right="0"/>
              <w:jc w:val="right"/>
              <w:rPr>
                <w:bCs/>
                <w:i/>
                <w:sz w:val="16"/>
                <w:lang w:val="fr-CA"/>
              </w:rPr>
            </w:pPr>
            <w:r w:rsidRPr="00B3274C">
              <w:rPr>
                <w:bCs/>
                <w:i/>
                <w:sz w:val="16"/>
                <w:lang w:val="fr-CA"/>
              </w:rPr>
              <w:t>2004</w:t>
            </w:r>
          </w:p>
        </w:tc>
        <w:tc>
          <w:tcPr>
            <w:tcW w:w="726" w:type="dxa"/>
            <w:tcBorders>
              <w:top w:val="single" w:sz="4" w:space="0" w:color="auto"/>
              <w:bottom w:val="single" w:sz="12" w:space="0" w:color="auto"/>
            </w:tcBorders>
            <w:shd w:val="clear" w:color="auto" w:fill="auto"/>
            <w:noWrap/>
            <w:vAlign w:val="bottom"/>
          </w:tcPr>
          <w:p w:rsidR="00FB23D3" w:rsidRPr="00B3274C" w:rsidRDefault="00FB23D3" w:rsidP="00A0774C">
            <w:pPr>
              <w:pStyle w:val="SingleTxtG"/>
              <w:keepNext/>
              <w:suppressAutoHyphens w:val="0"/>
              <w:spacing w:before="80" w:after="80" w:line="200" w:lineRule="exact"/>
              <w:ind w:left="113" w:right="0"/>
              <w:jc w:val="right"/>
              <w:rPr>
                <w:bCs/>
                <w:i/>
                <w:sz w:val="16"/>
                <w:lang w:val="fr-CA"/>
              </w:rPr>
            </w:pPr>
            <w:r w:rsidRPr="00B3274C">
              <w:rPr>
                <w:bCs/>
                <w:i/>
                <w:sz w:val="16"/>
                <w:lang w:val="fr-CA"/>
              </w:rPr>
              <w:t>2005</w:t>
            </w:r>
          </w:p>
        </w:tc>
        <w:tc>
          <w:tcPr>
            <w:tcW w:w="727" w:type="dxa"/>
            <w:tcBorders>
              <w:top w:val="single" w:sz="4" w:space="0" w:color="auto"/>
              <w:bottom w:val="single" w:sz="12" w:space="0" w:color="auto"/>
            </w:tcBorders>
            <w:shd w:val="clear" w:color="auto" w:fill="auto"/>
            <w:noWrap/>
            <w:vAlign w:val="bottom"/>
          </w:tcPr>
          <w:p w:rsidR="00FB23D3" w:rsidRPr="00B3274C" w:rsidRDefault="00FB23D3" w:rsidP="00504022">
            <w:pPr>
              <w:pStyle w:val="SingleTxtG"/>
              <w:keepNext/>
              <w:suppressAutoHyphens w:val="0"/>
              <w:spacing w:before="80" w:after="80" w:line="200" w:lineRule="exact"/>
              <w:ind w:left="113" w:right="0"/>
              <w:jc w:val="right"/>
              <w:rPr>
                <w:bCs/>
                <w:i/>
                <w:sz w:val="16"/>
                <w:lang w:val="fr-CA"/>
              </w:rPr>
            </w:pPr>
            <w:r w:rsidRPr="00B3274C">
              <w:rPr>
                <w:bCs/>
                <w:i/>
                <w:sz w:val="16"/>
                <w:lang w:val="fr-CA"/>
              </w:rPr>
              <w:t>2006</w:t>
            </w:r>
          </w:p>
        </w:tc>
        <w:tc>
          <w:tcPr>
            <w:tcW w:w="726" w:type="dxa"/>
            <w:tcBorders>
              <w:top w:val="single" w:sz="4" w:space="0" w:color="auto"/>
              <w:bottom w:val="single" w:sz="12" w:space="0" w:color="auto"/>
            </w:tcBorders>
            <w:shd w:val="clear" w:color="auto" w:fill="auto"/>
            <w:noWrap/>
            <w:vAlign w:val="bottom"/>
          </w:tcPr>
          <w:p w:rsidR="00FB23D3" w:rsidRPr="00B3274C" w:rsidRDefault="00FB23D3" w:rsidP="00A0774C">
            <w:pPr>
              <w:pStyle w:val="SingleTxtG"/>
              <w:keepNext/>
              <w:suppressAutoHyphens w:val="0"/>
              <w:spacing w:before="80" w:after="80" w:line="200" w:lineRule="exact"/>
              <w:ind w:left="113" w:right="0"/>
              <w:jc w:val="right"/>
              <w:rPr>
                <w:bCs/>
                <w:i/>
                <w:sz w:val="16"/>
                <w:lang w:val="fr-CA"/>
              </w:rPr>
            </w:pPr>
            <w:r w:rsidRPr="00B3274C">
              <w:rPr>
                <w:bCs/>
                <w:i/>
                <w:sz w:val="16"/>
                <w:lang w:val="fr-CA"/>
              </w:rPr>
              <w:t>2007</w:t>
            </w:r>
          </w:p>
        </w:tc>
        <w:tc>
          <w:tcPr>
            <w:tcW w:w="638" w:type="dxa"/>
            <w:tcBorders>
              <w:top w:val="single" w:sz="4" w:space="0" w:color="auto"/>
              <w:bottom w:val="single" w:sz="12" w:space="0" w:color="auto"/>
            </w:tcBorders>
            <w:shd w:val="clear" w:color="auto" w:fill="auto"/>
            <w:vAlign w:val="bottom"/>
          </w:tcPr>
          <w:p w:rsidR="00FB23D3" w:rsidRPr="00B3274C" w:rsidRDefault="00FB23D3" w:rsidP="00A0774C">
            <w:pPr>
              <w:pStyle w:val="SingleTxtG"/>
              <w:keepNext/>
              <w:suppressAutoHyphens w:val="0"/>
              <w:spacing w:before="80" w:after="80" w:line="200" w:lineRule="exact"/>
              <w:ind w:left="113" w:right="0"/>
              <w:jc w:val="right"/>
              <w:rPr>
                <w:bCs/>
                <w:i/>
                <w:sz w:val="16"/>
                <w:lang w:val="fr-CA"/>
              </w:rPr>
            </w:pPr>
            <w:r w:rsidRPr="00B3274C">
              <w:rPr>
                <w:bCs/>
                <w:i/>
                <w:sz w:val="16"/>
                <w:lang w:val="fr-CA"/>
              </w:rPr>
              <w:t>2008</w:t>
            </w:r>
          </w:p>
        </w:tc>
        <w:tc>
          <w:tcPr>
            <w:tcW w:w="815" w:type="dxa"/>
            <w:tcBorders>
              <w:top w:val="single" w:sz="4" w:space="0" w:color="auto"/>
              <w:bottom w:val="single" w:sz="12" w:space="0" w:color="auto"/>
            </w:tcBorders>
            <w:shd w:val="clear" w:color="auto" w:fill="auto"/>
            <w:vAlign w:val="bottom"/>
          </w:tcPr>
          <w:p w:rsidR="00FB23D3" w:rsidRPr="00B3274C" w:rsidRDefault="00FB23D3" w:rsidP="00A0774C">
            <w:pPr>
              <w:pStyle w:val="SingleTxtG"/>
              <w:keepNext/>
              <w:suppressAutoHyphens w:val="0"/>
              <w:spacing w:before="80" w:after="80" w:line="200" w:lineRule="exact"/>
              <w:ind w:left="113" w:right="0"/>
              <w:jc w:val="right"/>
              <w:rPr>
                <w:bCs/>
                <w:i/>
                <w:sz w:val="16"/>
                <w:lang w:val="fr-CA"/>
              </w:rPr>
            </w:pPr>
            <w:r w:rsidRPr="00B3274C">
              <w:rPr>
                <w:bCs/>
                <w:i/>
                <w:sz w:val="16"/>
                <w:lang w:val="fr-CA"/>
              </w:rPr>
              <w:t>2009</w:t>
            </w:r>
          </w:p>
        </w:tc>
        <w:tc>
          <w:tcPr>
            <w:tcW w:w="726" w:type="dxa"/>
            <w:tcBorders>
              <w:top w:val="single" w:sz="4" w:space="0" w:color="auto"/>
              <w:bottom w:val="single" w:sz="12" w:space="0" w:color="auto"/>
            </w:tcBorders>
            <w:shd w:val="clear" w:color="auto" w:fill="auto"/>
            <w:vAlign w:val="bottom"/>
          </w:tcPr>
          <w:p w:rsidR="00FB23D3" w:rsidRPr="00B3274C" w:rsidRDefault="00FB23D3" w:rsidP="00A0774C">
            <w:pPr>
              <w:pStyle w:val="SingleTxtG"/>
              <w:keepNext/>
              <w:suppressAutoHyphens w:val="0"/>
              <w:spacing w:before="80" w:after="80" w:line="200" w:lineRule="exact"/>
              <w:ind w:left="113" w:right="0"/>
              <w:jc w:val="right"/>
              <w:rPr>
                <w:bCs/>
                <w:i/>
                <w:sz w:val="16"/>
                <w:lang w:val="fr-CA"/>
              </w:rPr>
            </w:pPr>
            <w:r w:rsidRPr="00B3274C">
              <w:rPr>
                <w:bCs/>
                <w:i/>
                <w:sz w:val="16"/>
                <w:lang w:val="fr-CA"/>
              </w:rPr>
              <w:t>2010</w:t>
            </w:r>
          </w:p>
        </w:tc>
        <w:tc>
          <w:tcPr>
            <w:tcW w:w="727" w:type="dxa"/>
            <w:tcBorders>
              <w:top w:val="single" w:sz="4" w:space="0" w:color="auto"/>
              <w:bottom w:val="single" w:sz="12" w:space="0" w:color="auto"/>
            </w:tcBorders>
            <w:shd w:val="clear" w:color="auto" w:fill="auto"/>
            <w:vAlign w:val="bottom"/>
          </w:tcPr>
          <w:p w:rsidR="00FB23D3" w:rsidRPr="00B3274C" w:rsidRDefault="00FB23D3" w:rsidP="00A0774C">
            <w:pPr>
              <w:pStyle w:val="SingleTxtG"/>
              <w:keepNext/>
              <w:suppressAutoHyphens w:val="0"/>
              <w:spacing w:before="80" w:after="80" w:line="200" w:lineRule="exact"/>
              <w:ind w:left="113" w:right="0"/>
              <w:jc w:val="right"/>
              <w:rPr>
                <w:bCs/>
                <w:i/>
                <w:sz w:val="16"/>
                <w:lang w:val="fr-CA"/>
              </w:rPr>
            </w:pPr>
            <w:r w:rsidRPr="00B3274C">
              <w:rPr>
                <w:bCs/>
                <w:i/>
                <w:sz w:val="16"/>
                <w:lang w:val="fr-CA"/>
              </w:rPr>
              <w:t>2011</w:t>
            </w:r>
          </w:p>
        </w:tc>
      </w:tr>
      <w:tr w:rsidR="00404D10" w:rsidRPr="00B3274C" w:rsidTr="00B5727F">
        <w:trPr>
          <w:trHeight w:val="240"/>
        </w:trPr>
        <w:tc>
          <w:tcPr>
            <w:tcW w:w="2694" w:type="dxa"/>
            <w:tcBorders>
              <w:top w:val="single" w:sz="12" w:space="0" w:color="auto"/>
            </w:tcBorders>
            <w:shd w:val="clear" w:color="auto" w:fill="auto"/>
          </w:tcPr>
          <w:p w:rsidR="00FB23D3" w:rsidRPr="00B3274C" w:rsidRDefault="003E6B41" w:rsidP="00504022">
            <w:pPr>
              <w:pStyle w:val="SingleTxtG"/>
              <w:keepNext/>
              <w:suppressAutoHyphens w:val="0"/>
              <w:spacing w:before="40" w:after="40" w:line="220" w:lineRule="exact"/>
              <w:ind w:left="0" w:right="0"/>
              <w:jc w:val="left"/>
              <w:rPr>
                <w:bCs/>
                <w:sz w:val="18"/>
                <w:lang w:val="fr-CA"/>
              </w:rPr>
            </w:pPr>
            <w:r w:rsidRPr="00B3274C">
              <w:rPr>
                <w:bCs/>
                <w:sz w:val="18"/>
                <w:lang w:val="fr-CA"/>
              </w:rPr>
              <w:t>Accidents du travail signalés</w:t>
            </w:r>
          </w:p>
        </w:tc>
        <w:tc>
          <w:tcPr>
            <w:tcW w:w="726" w:type="dxa"/>
            <w:tcBorders>
              <w:top w:val="single" w:sz="12" w:space="0" w:color="auto"/>
            </w:tcBorders>
            <w:shd w:val="clear" w:color="auto" w:fill="auto"/>
            <w:noWrap/>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6</w:t>
            </w:r>
            <w:r w:rsidR="00951C1A">
              <w:rPr>
                <w:bCs/>
                <w:sz w:val="18"/>
                <w:lang w:val="fr-CA"/>
              </w:rPr>
              <w:t> </w:t>
            </w:r>
            <w:r w:rsidRPr="00B3274C">
              <w:rPr>
                <w:bCs/>
                <w:sz w:val="18"/>
                <w:lang w:val="fr-CA"/>
              </w:rPr>
              <w:t>333</w:t>
            </w:r>
          </w:p>
        </w:tc>
        <w:tc>
          <w:tcPr>
            <w:tcW w:w="726" w:type="dxa"/>
            <w:tcBorders>
              <w:top w:val="single" w:sz="12" w:space="0" w:color="auto"/>
            </w:tcBorders>
            <w:shd w:val="clear" w:color="auto" w:fill="auto"/>
            <w:noWrap/>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6</w:t>
            </w:r>
            <w:r w:rsidR="00951C1A">
              <w:rPr>
                <w:bCs/>
                <w:sz w:val="18"/>
                <w:lang w:val="fr-CA"/>
              </w:rPr>
              <w:t> </w:t>
            </w:r>
            <w:r w:rsidRPr="00B3274C">
              <w:rPr>
                <w:bCs/>
                <w:sz w:val="18"/>
                <w:lang w:val="fr-CA"/>
              </w:rPr>
              <w:t>044</w:t>
            </w:r>
          </w:p>
        </w:tc>
        <w:tc>
          <w:tcPr>
            <w:tcW w:w="727" w:type="dxa"/>
            <w:tcBorders>
              <w:top w:val="single" w:sz="12" w:space="0" w:color="auto"/>
            </w:tcBorders>
            <w:shd w:val="clear" w:color="auto" w:fill="auto"/>
            <w:noWrap/>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6</w:t>
            </w:r>
            <w:r w:rsidR="00951C1A">
              <w:rPr>
                <w:bCs/>
                <w:sz w:val="18"/>
                <w:lang w:val="fr-CA"/>
              </w:rPr>
              <w:t> </w:t>
            </w:r>
            <w:r w:rsidRPr="00B3274C">
              <w:rPr>
                <w:bCs/>
                <w:sz w:val="18"/>
                <w:lang w:val="fr-CA"/>
              </w:rPr>
              <w:t>255</w:t>
            </w:r>
          </w:p>
        </w:tc>
        <w:tc>
          <w:tcPr>
            <w:tcW w:w="726" w:type="dxa"/>
            <w:tcBorders>
              <w:top w:val="single" w:sz="12" w:space="0" w:color="auto"/>
            </w:tcBorders>
            <w:shd w:val="clear" w:color="auto" w:fill="auto"/>
            <w:noWrap/>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6</w:t>
            </w:r>
            <w:r w:rsidR="00951C1A">
              <w:rPr>
                <w:bCs/>
                <w:sz w:val="18"/>
                <w:lang w:val="fr-CA"/>
              </w:rPr>
              <w:t> </w:t>
            </w:r>
            <w:r w:rsidRPr="00B3274C">
              <w:rPr>
                <w:bCs/>
                <w:sz w:val="18"/>
                <w:lang w:val="fr-CA"/>
              </w:rPr>
              <w:t>561</w:t>
            </w:r>
          </w:p>
        </w:tc>
        <w:tc>
          <w:tcPr>
            <w:tcW w:w="638" w:type="dxa"/>
            <w:tcBorders>
              <w:top w:val="single" w:sz="12" w:space="0" w:color="auto"/>
            </w:tcBorders>
            <w:shd w:val="clear" w:color="auto" w:fill="auto"/>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6</w:t>
            </w:r>
            <w:r w:rsidR="00951C1A">
              <w:rPr>
                <w:bCs/>
                <w:sz w:val="18"/>
                <w:lang w:val="fr-CA"/>
              </w:rPr>
              <w:t> </w:t>
            </w:r>
            <w:r w:rsidRPr="00B3274C">
              <w:rPr>
                <w:bCs/>
                <w:sz w:val="18"/>
                <w:lang w:val="fr-CA"/>
              </w:rPr>
              <w:t>657</w:t>
            </w:r>
          </w:p>
        </w:tc>
        <w:tc>
          <w:tcPr>
            <w:tcW w:w="815" w:type="dxa"/>
            <w:tcBorders>
              <w:top w:val="single" w:sz="12" w:space="0" w:color="auto"/>
            </w:tcBorders>
            <w:shd w:val="clear" w:color="auto" w:fill="auto"/>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6</w:t>
            </w:r>
            <w:r w:rsidR="00951C1A">
              <w:rPr>
                <w:bCs/>
                <w:sz w:val="18"/>
                <w:lang w:val="fr-CA"/>
              </w:rPr>
              <w:t> </w:t>
            </w:r>
            <w:r w:rsidRPr="00B3274C">
              <w:rPr>
                <w:bCs/>
                <w:sz w:val="18"/>
                <w:lang w:val="fr-CA"/>
              </w:rPr>
              <w:t>381</w:t>
            </w:r>
          </w:p>
        </w:tc>
        <w:tc>
          <w:tcPr>
            <w:tcW w:w="726" w:type="dxa"/>
            <w:tcBorders>
              <w:top w:val="single" w:sz="12" w:space="0" w:color="auto"/>
            </w:tcBorders>
            <w:shd w:val="clear" w:color="auto" w:fill="auto"/>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5</w:t>
            </w:r>
            <w:r w:rsidR="00951C1A">
              <w:rPr>
                <w:bCs/>
                <w:sz w:val="18"/>
                <w:lang w:val="fr-CA"/>
              </w:rPr>
              <w:t> </w:t>
            </w:r>
            <w:r w:rsidRPr="00B3274C">
              <w:rPr>
                <w:bCs/>
                <w:sz w:val="18"/>
                <w:lang w:val="fr-CA"/>
              </w:rPr>
              <w:t>721</w:t>
            </w:r>
          </w:p>
        </w:tc>
        <w:tc>
          <w:tcPr>
            <w:tcW w:w="727" w:type="dxa"/>
            <w:tcBorders>
              <w:top w:val="single" w:sz="12" w:space="0" w:color="auto"/>
            </w:tcBorders>
            <w:shd w:val="clear" w:color="auto" w:fill="auto"/>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5</w:t>
            </w:r>
            <w:r w:rsidR="00951C1A">
              <w:rPr>
                <w:bCs/>
                <w:sz w:val="18"/>
                <w:lang w:val="fr-CA"/>
              </w:rPr>
              <w:t> </w:t>
            </w:r>
            <w:r w:rsidRPr="00B3274C">
              <w:rPr>
                <w:bCs/>
                <w:sz w:val="18"/>
                <w:lang w:val="fr-CA"/>
              </w:rPr>
              <w:t>203</w:t>
            </w:r>
          </w:p>
        </w:tc>
      </w:tr>
      <w:tr w:rsidR="00404D10" w:rsidRPr="00A0774C" w:rsidTr="00B5727F">
        <w:trPr>
          <w:trHeight w:val="240"/>
        </w:trPr>
        <w:tc>
          <w:tcPr>
            <w:tcW w:w="2694" w:type="dxa"/>
            <w:shd w:val="clear" w:color="auto" w:fill="auto"/>
          </w:tcPr>
          <w:p w:rsidR="00FB23D3" w:rsidRPr="00B5727F" w:rsidRDefault="003E6B41" w:rsidP="00504022">
            <w:pPr>
              <w:pStyle w:val="SingleTxtG"/>
              <w:keepNext/>
              <w:suppressAutoHyphens w:val="0"/>
              <w:spacing w:before="40" w:after="40" w:line="220" w:lineRule="exact"/>
              <w:ind w:left="0" w:right="0"/>
              <w:jc w:val="left"/>
              <w:rPr>
                <w:sz w:val="18"/>
                <w:lang w:val="fr-CA"/>
              </w:rPr>
            </w:pPr>
            <w:r w:rsidRPr="00B5727F">
              <w:rPr>
                <w:sz w:val="18"/>
                <w:lang w:val="fr-CA"/>
              </w:rPr>
              <w:t>Accidents du travail mortels (total)</w:t>
            </w:r>
          </w:p>
        </w:tc>
        <w:tc>
          <w:tcPr>
            <w:tcW w:w="726" w:type="dxa"/>
            <w:shd w:val="clear" w:color="auto" w:fill="auto"/>
            <w:noWrap/>
            <w:vAlign w:val="bottom"/>
          </w:tcPr>
          <w:p w:rsidR="00FB23D3" w:rsidRPr="00B5727F" w:rsidRDefault="00FB23D3" w:rsidP="00504022">
            <w:pPr>
              <w:pStyle w:val="SingleTxtG"/>
              <w:keepNext/>
              <w:suppressAutoHyphens w:val="0"/>
              <w:spacing w:before="40" w:after="40" w:line="220" w:lineRule="exact"/>
              <w:ind w:left="113" w:right="0"/>
              <w:jc w:val="right"/>
              <w:rPr>
                <w:sz w:val="18"/>
                <w:lang w:val="fr-CA"/>
              </w:rPr>
            </w:pPr>
            <w:r w:rsidRPr="00B5727F">
              <w:rPr>
                <w:sz w:val="18"/>
                <w:lang w:val="fr-CA"/>
              </w:rPr>
              <w:t>127</w:t>
            </w:r>
          </w:p>
        </w:tc>
        <w:tc>
          <w:tcPr>
            <w:tcW w:w="726" w:type="dxa"/>
            <w:shd w:val="clear" w:color="auto" w:fill="auto"/>
            <w:noWrap/>
            <w:vAlign w:val="bottom"/>
          </w:tcPr>
          <w:p w:rsidR="00FB23D3" w:rsidRPr="00B5727F" w:rsidRDefault="00FB23D3" w:rsidP="00504022">
            <w:pPr>
              <w:pStyle w:val="SingleTxtG"/>
              <w:keepNext/>
              <w:suppressAutoHyphens w:val="0"/>
              <w:spacing w:before="40" w:after="40" w:line="220" w:lineRule="exact"/>
              <w:ind w:left="113" w:right="0"/>
              <w:jc w:val="right"/>
              <w:rPr>
                <w:sz w:val="18"/>
                <w:lang w:val="fr-CA"/>
              </w:rPr>
            </w:pPr>
            <w:r w:rsidRPr="00B5727F">
              <w:rPr>
                <w:sz w:val="18"/>
                <w:lang w:val="fr-CA"/>
              </w:rPr>
              <w:t>111</w:t>
            </w:r>
          </w:p>
        </w:tc>
        <w:tc>
          <w:tcPr>
            <w:tcW w:w="727" w:type="dxa"/>
            <w:shd w:val="clear" w:color="auto" w:fill="auto"/>
            <w:noWrap/>
            <w:vAlign w:val="bottom"/>
          </w:tcPr>
          <w:p w:rsidR="00FB23D3" w:rsidRPr="00B5727F" w:rsidRDefault="00FB23D3" w:rsidP="00504022">
            <w:pPr>
              <w:pStyle w:val="SingleTxtG"/>
              <w:keepNext/>
              <w:suppressAutoHyphens w:val="0"/>
              <w:spacing w:before="40" w:after="40" w:line="220" w:lineRule="exact"/>
              <w:ind w:left="113" w:right="0"/>
              <w:jc w:val="right"/>
              <w:rPr>
                <w:sz w:val="18"/>
                <w:lang w:val="fr-CA"/>
              </w:rPr>
            </w:pPr>
            <w:r w:rsidRPr="00B5727F">
              <w:rPr>
                <w:sz w:val="18"/>
                <w:lang w:val="fr-CA"/>
              </w:rPr>
              <w:t>128</w:t>
            </w:r>
          </w:p>
        </w:tc>
        <w:tc>
          <w:tcPr>
            <w:tcW w:w="726" w:type="dxa"/>
            <w:shd w:val="clear" w:color="auto" w:fill="auto"/>
            <w:noWrap/>
            <w:vAlign w:val="bottom"/>
          </w:tcPr>
          <w:p w:rsidR="00FB23D3" w:rsidRPr="00B5727F" w:rsidRDefault="00FB23D3" w:rsidP="00504022">
            <w:pPr>
              <w:pStyle w:val="SingleTxtG"/>
              <w:keepNext/>
              <w:suppressAutoHyphens w:val="0"/>
              <w:spacing w:before="40" w:after="40" w:line="220" w:lineRule="exact"/>
              <w:ind w:left="113" w:right="0"/>
              <w:jc w:val="right"/>
              <w:rPr>
                <w:sz w:val="18"/>
                <w:lang w:val="fr-CA"/>
              </w:rPr>
            </w:pPr>
            <w:r w:rsidRPr="00B5727F">
              <w:rPr>
                <w:sz w:val="18"/>
                <w:lang w:val="fr-CA"/>
              </w:rPr>
              <w:t>115</w:t>
            </w:r>
          </w:p>
        </w:tc>
        <w:tc>
          <w:tcPr>
            <w:tcW w:w="638" w:type="dxa"/>
            <w:shd w:val="clear" w:color="auto" w:fill="auto"/>
            <w:vAlign w:val="bottom"/>
          </w:tcPr>
          <w:p w:rsidR="00FB23D3" w:rsidRPr="00B5727F" w:rsidRDefault="00FB23D3" w:rsidP="00504022">
            <w:pPr>
              <w:pStyle w:val="SingleTxtG"/>
              <w:keepNext/>
              <w:suppressAutoHyphens w:val="0"/>
              <w:spacing w:before="40" w:after="40" w:line="220" w:lineRule="exact"/>
              <w:ind w:left="113" w:right="0"/>
              <w:jc w:val="right"/>
              <w:rPr>
                <w:sz w:val="18"/>
                <w:lang w:val="fr-CA"/>
              </w:rPr>
            </w:pPr>
            <w:r w:rsidRPr="00B5727F">
              <w:rPr>
                <w:sz w:val="18"/>
                <w:lang w:val="fr-CA"/>
              </w:rPr>
              <w:t>142</w:t>
            </w:r>
          </w:p>
        </w:tc>
        <w:tc>
          <w:tcPr>
            <w:tcW w:w="815" w:type="dxa"/>
            <w:shd w:val="clear" w:color="auto" w:fill="auto"/>
            <w:vAlign w:val="bottom"/>
          </w:tcPr>
          <w:p w:rsidR="00FB23D3" w:rsidRPr="00B5727F" w:rsidRDefault="00FB23D3" w:rsidP="00504022">
            <w:pPr>
              <w:pStyle w:val="SingleTxtG"/>
              <w:keepNext/>
              <w:suppressAutoHyphens w:val="0"/>
              <w:spacing w:before="40" w:after="40" w:line="220" w:lineRule="exact"/>
              <w:ind w:left="113" w:right="0"/>
              <w:jc w:val="right"/>
              <w:rPr>
                <w:sz w:val="18"/>
                <w:lang w:val="fr-CA"/>
              </w:rPr>
            </w:pPr>
            <w:r w:rsidRPr="00B5727F">
              <w:rPr>
                <w:sz w:val="18"/>
                <w:lang w:val="fr-CA"/>
              </w:rPr>
              <w:t>113</w:t>
            </w:r>
          </w:p>
        </w:tc>
        <w:tc>
          <w:tcPr>
            <w:tcW w:w="726" w:type="dxa"/>
            <w:shd w:val="clear" w:color="auto" w:fill="auto"/>
            <w:vAlign w:val="bottom"/>
          </w:tcPr>
          <w:p w:rsidR="00FB23D3" w:rsidRPr="00B5727F" w:rsidRDefault="00FB23D3" w:rsidP="00504022">
            <w:pPr>
              <w:pStyle w:val="SingleTxtG"/>
              <w:keepNext/>
              <w:suppressAutoHyphens w:val="0"/>
              <w:spacing w:before="40" w:after="40" w:line="220" w:lineRule="exact"/>
              <w:ind w:left="113" w:right="0"/>
              <w:jc w:val="right"/>
              <w:rPr>
                <w:sz w:val="18"/>
                <w:lang w:val="fr-CA"/>
              </w:rPr>
            </w:pPr>
            <w:r w:rsidRPr="00B5727F">
              <w:rPr>
                <w:sz w:val="18"/>
                <w:lang w:val="fr-CA"/>
              </w:rPr>
              <w:t>94</w:t>
            </w:r>
          </w:p>
        </w:tc>
        <w:tc>
          <w:tcPr>
            <w:tcW w:w="727" w:type="dxa"/>
            <w:shd w:val="clear" w:color="auto" w:fill="auto"/>
            <w:vAlign w:val="bottom"/>
          </w:tcPr>
          <w:p w:rsidR="00FB23D3" w:rsidRPr="00B5727F" w:rsidRDefault="00FB23D3" w:rsidP="00504022">
            <w:pPr>
              <w:pStyle w:val="SingleTxtG"/>
              <w:keepNext/>
              <w:suppressAutoHyphens w:val="0"/>
              <w:spacing w:before="40" w:after="40" w:line="220" w:lineRule="exact"/>
              <w:ind w:left="113" w:right="0"/>
              <w:jc w:val="right"/>
              <w:rPr>
                <w:sz w:val="18"/>
                <w:lang w:val="fr-CA"/>
              </w:rPr>
            </w:pPr>
            <w:r w:rsidRPr="00B5727F">
              <w:rPr>
                <w:sz w:val="18"/>
                <w:lang w:val="fr-CA"/>
              </w:rPr>
              <w:t>70</w:t>
            </w:r>
          </w:p>
        </w:tc>
      </w:tr>
      <w:tr w:rsidR="00404D10" w:rsidRPr="00B3274C" w:rsidTr="00B5727F">
        <w:trPr>
          <w:trHeight w:val="240"/>
        </w:trPr>
        <w:tc>
          <w:tcPr>
            <w:tcW w:w="2694" w:type="dxa"/>
            <w:shd w:val="clear" w:color="auto" w:fill="auto"/>
          </w:tcPr>
          <w:p w:rsidR="00FB23D3" w:rsidRPr="00B3274C" w:rsidRDefault="003E6B41" w:rsidP="00504022">
            <w:pPr>
              <w:pStyle w:val="SingleTxtG"/>
              <w:keepNext/>
              <w:suppressAutoHyphens w:val="0"/>
              <w:spacing w:before="40" w:after="40" w:line="220" w:lineRule="exact"/>
              <w:ind w:left="0" w:right="0"/>
              <w:jc w:val="left"/>
              <w:rPr>
                <w:bCs/>
                <w:sz w:val="18"/>
                <w:lang w:val="fr-CA"/>
              </w:rPr>
            </w:pPr>
            <w:r w:rsidRPr="00B3274C">
              <w:rPr>
                <w:bCs/>
                <w:sz w:val="18"/>
                <w:lang w:val="fr-CA"/>
              </w:rPr>
              <w:t>Accidents du travail mortels (à l</w:t>
            </w:r>
            <w:r w:rsidR="0080611A">
              <w:rPr>
                <w:bCs/>
                <w:sz w:val="18"/>
                <w:lang w:val="fr-CA"/>
              </w:rPr>
              <w:t>’</w:t>
            </w:r>
            <w:r w:rsidRPr="00B3274C">
              <w:rPr>
                <w:bCs/>
                <w:sz w:val="18"/>
                <w:lang w:val="fr-CA"/>
              </w:rPr>
              <w:t>exception des accidents dus à une pathologie</w:t>
            </w:r>
            <w:r w:rsidR="00FB23D3" w:rsidRPr="00B3274C">
              <w:rPr>
                <w:bCs/>
                <w:sz w:val="18"/>
                <w:lang w:val="fr-CA"/>
              </w:rPr>
              <w:t>)</w:t>
            </w:r>
          </w:p>
        </w:tc>
        <w:tc>
          <w:tcPr>
            <w:tcW w:w="726" w:type="dxa"/>
            <w:shd w:val="clear" w:color="auto" w:fill="auto"/>
            <w:noWrap/>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97</w:t>
            </w:r>
          </w:p>
        </w:tc>
        <w:tc>
          <w:tcPr>
            <w:tcW w:w="726" w:type="dxa"/>
            <w:shd w:val="clear" w:color="auto" w:fill="auto"/>
            <w:noWrap/>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95</w:t>
            </w:r>
          </w:p>
        </w:tc>
        <w:tc>
          <w:tcPr>
            <w:tcW w:w="727" w:type="dxa"/>
            <w:shd w:val="clear" w:color="auto" w:fill="auto"/>
            <w:noWrap/>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105</w:t>
            </w:r>
          </w:p>
        </w:tc>
        <w:tc>
          <w:tcPr>
            <w:tcW w:w="726" w:type="dxa"/>
            <w:shd w:val="clear" w:color="auto" w:fill="auto"/>
            <w:noWrap/>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94</w:t>
            </w:r>
          </w:p>
        </w:tc>
        <w:tc>
          <w:tcPr>
            <w:tcW w:w="638" w:type="dxa"/>
            <w:shd w:val="clear" w:color="auto" w:fill="auto"/>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104</w:t>
            </w:r>
          </w:p>
        </w:tc>
        <w:tc>
          <w:tcPr>
            <w:tcW w:w="815" w:type="dxa"/>
            <w:shd w:val="clear" w:color="auto" w:fill="auto"/>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84</w:t>
            </w:r>
          </w:p>
        </w:tc>
        <w:tc>
          <w:tcPr>
            <w:tcW w:w="726" w:type="dxa"/>
            <w:shd w:val="clear" w:color="auto" w:fill="auto"/>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63</w:t>
            </w:r>
          </w:p>
        </w:tc>
        <w:tc>
          <w:tcPr>
            <w:tcW w:w="727" w:type="dxa"/>
            <w:shd w:val="clear" w:color="auto" w:fill="auto"/>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39</w:t>
            </w:r>
          </w:p>
        </w:tc>
      </w:tr>
      <w:tr w:rsidR="00404D10" w:rsidRPr="00B3274C" w:rsidTr="00B5727F">
        <w:trPr>
          <w:trHeight w:val="240"/>
        </w:trPr>
        <w:tc>
          <w:tcPr>
            <w:tcW w:w="2694" w:type="dxa"/>
            <w:shd w:val="clear" w:color="auto" w:fill="auto"/>
          </w:tcPr>
          <w:p w:rsidR="00FB23D3" w:rsidRPr="00B3274C" w:rsidRDefault="003E6B41" w:rsidP="00504022">
            <w:pPr>
              <w:pStyle w:val="SingleTxtG"/>
              <w:keepNext/>
              <w:suppressAutoHyphens w:val="0"/>
              <w:spacing w:before="40" w:after="40" w:line="220" w:lineRule="exact"/>
              <w:ind w:left="0" w:right="0"/>
              <w:jc w:val="left"/>
              <w:rPr>
                <w:bCs/>
                <w:sz w:val="18"/>
                <w:lang w:val="fr-CA"/>
              </w:rPr>
            </w:pPr>
            <w:r w:rsidRPr="00B3274C">
              <w:rPr>
                <w:bCs/>
                <w:sz w:val="18"/>
                <w:lang w:val="fr-CA"/>
              </w:rPr>
              <w:t xml:space="preserve">Accidents du travail mortels dans le secteur du bâtiment </w:t>
            </w:r>
            <w:r w:rsidR="00FB23D3" w:rsidRPr="00B3274C">
              <w:rPr>
                <w:bCs/>
                <w:sz w:val="18"/>
                <w:lang w:val="fr-CA"/>
              </w:rPr>
              <w:t>(</w:t>
            </w:r>
            <w:r w:rsidRPr="00B3274C">
              <w:rPr>
                <w:bCs/>
                <w:sz w:val="18"/>
                <w:lang w:val="fr-CA"/>
              </w:rPr>
              <w:t>à l</w:t>
            </w:r>
            <w:r w:rsidR="0080611A">
              <w:rPr>
                <w:bCs/>
                <w:sz w:val="18"/>
                <w:lang w:val="fr-CA"/>
              </w:rPr>
              <w:t>’</w:t>
            </w:r>
            <w:r w:rsidRPr="00B3274C">
              <w:rPr>
                <w:bCs/>
                <w:sz w:val="18"/>
                <w:lang w:val="fr-CA"/>
              </w:rPr>
              <w:t>exception des accidents dus à une pathologie</w:t>
            </w:r>
            <w:r w:rsidR="00FB23D3" w:rsidRPr="00B3274C">
              <w:rPr>
                <w:bCs/>
                <w:sz w:val="18"/>
                <w:lang w:val="fr-CA"/>
              </w:rPr>
              <w:t>)</w:t>
            </w:r>
          </w:p>
        </w:tc>
        <w:tc>
          <w:tcPr>
            <w:tcW w:w="726" w:type="dxa"/>
            <w:shd w:val="clear" w:color="auto" w:fill="auto"/>
            <w:noWrap/>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68</w:t>
            </w:r>
          </w:p>
        </w:tc>
        <w:tc>
          <w:tcPr>
            <w:tcW w:w="726" w:type="dxa"/>
            <w:shd w:val="clear" w:color="auto" w:fill="auto"/>
            <w:noWrap/>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62</w:t>
            </w:r>
          </w:p>
        </w:tc>
        <w:tc>
          <w:tcPr>
            <w:tcW w:w="727" w:type="dxa"/>
            <w:shd w:val="clear" w:color="auto" w:fill="auto"/>
            <w:noWrap/>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56</w:t>
            </w:r>
          </w:p>
        </w:tc>
        <w:tc>
          <w:tcPr>
            <w:tcW w:w="726" w:type="dxa"/>
            <w:shd w:val="clear" w:color="auto" w:fill="auto"/>
            <w:noWrap/>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59</w:t>
            </w:r>
          </w:p>
        </w:tc>
        <w:tc>
          <w:tcPr>
            <w:tcW w:w="638" w:type="dxa"/>
            <w:shd w:val="clear" w:color="auto" w:fill="auto"/>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48</w:t>
            </w:r>
          </w:p>
        </w:tc>
        <w:tc>
          <w:tcPr>
            <w:tcW w:w="815" w:type="dxa"/>
            <w:shd w:val="clear" w:color="auto" w:fill="auto"/>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43</w:t>
            </w:r>
          </w:p>
        </w:tc>
        <w:tc>
          <w:tcPr>
            <w:tcW w:w="726" w:type="dxa"/>
            <w:shd w:val="clear" w:color="auto" w:fill="auto"/>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29</w:t>
            </w:r>
          </w:p>
        </w:tc>
        <w:tc>
          <w:tcPr>
            <w:tcW w:w="727" w:type="dxa"/>
            <w:shd w:val="clear" w:color="auto" w:fill="auto"/>
            <w:vAlign w:val="bottom"/>
          </w:tcPr>
          <w:p w:rsidR="00FB23D3" w:rsidRPr="00B3274C" w:rsidRDefault="00FB23D3" w:rsidP="00504022">
            <w:pPr>
              <w:pStyle w:val="SingleTxtG"/>
              <w:keepNext/>
              <w:suppressAutoHyphens w:val="0"/>
              <w:spacing w:before="40" w:after="40" w:line="220" w:lineRule="exact"/>
              <w:ind w:left="113" w:right="0"/>
              <w:jc w:val="right"/>
              <w:rPr>
                <w:bCs/>
                <w:sz w:val="18"/>
                <w:lang w:val="fr-CA"/>
              </w:rPr>
            </w:pPr>
            <w:r w:rsidRPr="00B3274C">
              <w:rPr>
                <w:bCs/>
                <w:sz w:val="18"/>
                <w:lang w:val="fr-CA"/>
              </w:rPr>
              <w:t>18</w:t>
            </w:r>
          </w:p>
        </w:tc>
      </w:tr>
      <w:tr w:rsidR="00404D10" w:rsidRPr="00B3274C" w:rsidTr="00B5727F">
        <w:trPr>
          <w:trHeight w:val="240"/>
        </w:trPr>
        <w:tc>
          <w:tcPr>
            <w:tcW w:w="2694" w:type="dxa"/>
            <w:tcBorders>
              <w:bottom w:val="single" w:sz="12" w:space="0" w:color="auto"/>
            </w:tcBorders>
            <w:shd w:val="clear" w:color="auto" w:fill="auto"/>
          </w:tcPr>
          <w:p w:rsidR="00FB23D3" w:rsidRPr="00B3274C" w:rsidRDefault="003E6B41" w:rsidP="00504022">
            <w:pPr>
              <w:pStyle w:val="SingleTxtG"/>
              <w:suppressAutoHyphens w:val="0"/>
              <w:spacing w:before="40" w:after="40" w:line="220" w:lineRule="exact"/>
              <w:ind w:left="0" w:right="0"/>
              <w:jc w:val="left"/>
              <w:rPr>
                <w:bCs/>
                <w:sz w:val="18"/>
                <w:lang w:val="fr-CA"/>
              </w:rPr>
            </w:pPr>
            <w:r w:rsidRPr="00B3274C">
              <w:rPr>
                <w:bCs/>
                <w:sz w:val="18"/>
                <w:lang w:val="fr-CA"/>
              </w:rPr>
              <w:t>Accidents du travail mortels dans d</w:t>
            </w:r>
            <w:r w:rsidR="0080611A">
              <w:rPr>
                <w:bCs/>
                <w:sz w:val="18"/>
                <w:lang w:val="fr-CA"/>
              </w:rPr>
              <w:t>’</w:t>
            </w:r>
            <w:r w:rsidRPr="00B3274C">
              <w:rPr>
                <w:bCs/>
                <w:sz w:val="18"/>
                <w:lang w:val="fr-CA"/>
              </w:rPr>
              <w:t xml:space="preserve">autres entreprises </w:t>
            </w:r>
            <w:r w:rsidR="00FB23D3" w:rsidRPr="00B3274C">
              <w:rPr>
                <w:bCs/>
                <w:sz w:val="18"/>
                <w:lang w:val="fr-CA"/>
              </w:rPr>
              <w:t>(</w:t>
            </w:r>
            <w:r w:rsidRPr="00B3274C">
              <w:rPr>
                <w:bCs/>
                <w:sz w:val="18"/>
                <w:lang w:val="fr-CA"/>
              </w:rPr>
              <w:t>à l</w:t>
            </w:r>
            <w:r w:rsidR="0080611A">
              <w:rPr>
                <w:bCs/>
                <w:sz w:val="18"/>
                <w:lang w:val="fr-CA"/>
              </w:rPr>
              <w:t>’</w:t>
            </w:r>
            <w:r w:rsidRPr="00B3274C">
              <w:rPr>
                <w:bCs/>
                <w:sz w:val="18"/>
                <w:lang w:val="fr-CA"/>
              </w:rPr>
              <w:t>exception des accidents dus à une pathologie</w:t>
            </w:r>
            <w:r w:rsidR="00FB23D3" w:rsidRPr="00B3274C">
              <w:rPr>
                <w:bCs/>
                <w:sz w:val="18"/>
                <w:lang w:val="fr-CA"/>
              </w:rPr>
              <w:t>)</w:t>
            </w:r>
          </w:p>
        </w:tc>
        <w:tc>
          <w:tcPr>
            <w:tcW w:w="726" w:type="dxa"/>
            <w:tcBorders>
              <w:bottom w:val="single" w:sz="12" w:space="0" w:color="auto"/>
            </w:tcBorders>
            <w:shd w:val="clear" w:color="auto" w:fill="auto"/>
            <w:noWrap/>
            <w:vAlign w:val="bottom"/>
          </w:tcPr>
          <w:p w:rsidR="00FB23D3" w:rsidRPr="00B3274C" w:rsidRDefault="00FB23D3" w:rsidP="00504022">
            <w:pPr>
              <w:pStyle w:val="SingleTxtG"/>
              <w:suppressAutoHyphens w:val="0"/>
              <w:spacing w:before="40" w:after="40" w:line="220" w:lineRule="exact"/>
              <w:ind w:left="113" w:right="0"/>
              <w:jc w:val="right"/>
              <w:rPr>
                <w:bCs/>
                <w:sz w:val="18"/>
                <w:lang w:val="fr-CA"/>
              </w:rPr>
            </w:pPr>
            <w:r w:rsidRPr="00B3274C">
              <w:rPr>
                <w:bCs/>
                <w:sz w:val="18"/>
                <w:lang w:val="fr-CA"/>
              </w:rPr>
              <w:t>29</w:t>
            </w:r>
          </w:p>
        </w:tc>
        <w:tc>
          <w:tcPr>
            <w:tcW w:w="726" w:type="dxa"/>
            <w:tcBorders>
              <w:bottom w:val="single" w:sz="12" w:space="0" w:color="auto"/>
            </w:tcBorders>
            <w:shd w:val="clear" w:color="auto" w:fill="auto"/>
            <w:noWrap/>
            <w:vAlign w:val="bottom"/>
          </w:tcPr>
          <w:p w:rsidR="00FB23D3" w:rsidRPr="00B3274C" w:rsidRDefault="00FB23D3" w:rsidP="00504022">
            <w:pPr>
              <w:pStyle w:val="SingleTxtG"/>
              <w:suppressAutoHyphens w:val="0"/>
              <w:spacing w:before="40" w:after="40" w:line="220" w:lineRule="exact"/>
              <w:ind w:left="113" w:right="0"/>
              <w:jc w:val="right"/>
              <w:rPr>
                <w:bCs/>
                <w:sz w:val="18"/>
                <w:lang w:val="fr-CA"/>
              </w:rPr>
            </w:pPr>
            <w:r w:rsidRPr="00B3274C">
              <w:rPr>
                <w:bCs/>
                <w:sz w:val="18"/>
                <w:lang w:val="fr-CA"/>
              </w:rPr>
              <w:t>33</w:t>
            </w:r>
          </w:p>
        </w:tc>
        <w:tc>
          <w:tcPr>
            <w:tcW w:w="727" w:type="dxa"/>
            <w:tcBorders>
              <w:bottom w:val="single" w:sz="12" w:space="0" w:color="auto"/>
            </w:tcBorders>
            <w:shd w:val="clear" w:color="auto" w:fill="auto"/>
            <w:noWrap/>
            <w:vAlign w:val="bottom"/>
          </w:tcPr>
          <w:p w:rsidR="00FB23D3" w:rsidRPr="00B3274C" w:rsidRDefault="00FB23D3" w:rsidP="00504022">
            <w:pPr>
              <w:pStyle w:val="SingleTxtG"/>
              <w:suppressAutoHyphens w:val="0"/>
              <w:spacing w:before="40" w:after="40" w:line="220" w:lineRule="exact"/>
              <w:ind w:left="113" w:right="0"/>
              <w:jc w:val="right"/>
              <w:rPr>
                <w:bCs/>
                <w:sz w:val="18"/>
                <w:lang w:val="fr-CA"/>
              </w:rPr>
            </w:pPr>
            <w:r w:rsidRPr="00B3274C">
              <w:rPr>
                <w:bCs/>
                <w:sz w:val="18"/>
                <w:lang w:val="fr-CA"/>
              </w:rPr>
              <w:t>49</w:t>
            </w:r>
          </w:p>
        </w:tc>
        <w:tc>
          <w:tcPr>
            <w:tcW w:w="726" w:type="dxa"/>
            <w:tcBorders>
              <w:bottom w:val="single" w:sz="12" w:space="0" w:color="auto"/>
            </w:tcBorders>
            <w:shd w:val="clear" w:color="auto" w:fill="auto"/>
            <w:noWrap/>
            <w:vAlign w:val="bottom"/>
          </w:tcPr>
          <w:p w:rsidR="00FB23D3" w:rsidRPr="00B3274C" w:rsidRDefault="00FB23D3" w:rsidP="00504022">
            <w:pPr>
              <w:pStyle w:val="SingleTxtG"/>
              <w:suppressAutoHyphens w:val="0"/>
              <w:spacing w:before="40" w:after="40" w:line="220" w:lineRule="exact"/>
              <w:ind w:left="113" w:right="0"/>
              <w:jc w:val="right"/>
              <w:rPr>
                <w:bCs/>
                <w:sz w:val="18"/>
                <w:lang w:val="fr-CA"/>
              </w:rPr>
            </w:pPr>
            <w:r w:rsidRPr="00B3274C">
              <w:rPr>
                <w:bCs/>
                <w:sz w:val="18"/>
                <w:lang w:val="fr-CA"/>
              </w:rPr>
              <w:t>35</w:t>
            </w:r>
          </w:p>
        </w:tc>
        <w:tc>
          <w:tcPr>
            <w:tcW w:w="638" w:type="dxa"/>
            <w:tcBorders>
              <w:bottom w:val="single" w:sz="12" w:space="0" w:color="auto"/>
            </w:tcBorders>
            <w:shd w:val="clear" w:color="auto" w:fill="auto"/>
            <w:vAlign w:val="bottom"/>
          </w:tcPr>
          <w:p w:rsidR="00FB23D3" w:rsidRPr="00B3274C" w:rsidRDefault="00FB23D3" w:rsidP="00504022">
            <w:pPr>
              <w:pStyle w:val="SingleTxtG"/>
              <w:suppressAutoHyphens w:val="0"/>
              <w:spacing w:before="40" w:after="40" w:line="220" w:lineRule="exact"/>
              <w:ind w:left="113" w:right="0"/>
              <w:jc w:val="right"/>
              <w:rPr>
                <w:bCs/>
                <w:sz w:val="18"/>
                <w:lang w:val="fr-CA"/>
              </w:rPr>
            </w:pPr>
            <w:r w:rsidRPr="00B3274C">
              <w:rPr>
                <w:bCs/>
                <w:sz w:val="18"/>
                <w:lang w:val="fr-CA"/>
              </w:rPr>
              <w:t>56</w:t>
            </w:r>
          </w:p>
        </w:tc>
        <w:tc>
          <w:tcPr>
            <w:tcW w:w="815" w:type="dxa"/>
            <w:tcBorders>
              <w:bottom w:val="single" w:sz="12" w:space="0" w:color="auto"/>
            </w:tcBorders>
            <w:shd w:val="clear" w:color="auto" w:fill="auto"/>
            <w:vAlign w:val="bottom"/>
          </w:tcPr>
          <w:p w:rsidR="00FB23D3" w:rsidRPr="00B3274C" w:rsidRDefault="00FB23D3" w:rsidP="00504022">
            <w:pPr>
              <w:pStyle w:val="SingleTxtG"/>
              <w:suppressAutoHyphens w:val="0"/>
              <w:spacing w:before="40" w:after="40" w:line="220" w:lineRule="exact"/>
              <w:ind w:left="113" w:right="0"/>
              <w:jc w:val="right"/>
              <w:rPr>
                <w:bCs/>
                <w:sz w:val="18"/>
                <w:lang w:val="fr-CA"/>
              </w:rPr>
            </w:pPr>
            <w:r w:rsidRPr="00B3274C">
              <w:rPr>
                <w:bCs/>
                <w:sz w:val="18"/>
                <w:lang w:val="fr-CA"/>
              </w:rPr>
              <w:t>41</w:t>
            </w:r>
          </w:p>
        </w:tc>
        <w:tc>
          <w:tcPr>
            <w:tcW w:w="726" w:type="dxa"/>
            <w:tcBorders>
              <w:bottom w:val="single" w:sz="12" w:space="0" w:color="auto"/>
            </w:tcBorders>
            <w:shd w:val="clear" w:color="auto" w:fill="auto"/>
            <w:vAlign w:val="bottom"/>
          </w:tcPr>
          <w:p w:rsidR="00FB23D3" w:rsidRPr="00B3274C" w:rsidRDefault="00FB23D3" w:rsidP="00504022">
            <w:pPr>
              <w:pStyle w:val="SingleTxtG"/>
              <w:suppressAutoHyphens w:val="0"/>
              <w:spacing w:before="40" w:after="40" w:line="220" w:lineRule="exact"/>
              <w:ind w:left="113" w:right="0"/>
              <w:jc w:val="right"/>
              <w:rPr>
                <w:bCs/>
                <w:sz w:val="18"/>
                <w:lang w:val="fr-CA"/>
              </w:rPr>
            </w:pPr>
            <w:r w:rsidRPr="00B3274C">
              <w:rPr>
                <w:bCs/>
                <w:sz w:val="18"/>
                <w:lang w:val="fr-CA"/>
              </w:rPr>
              <w:t>34</w:t>
            </w:r>
          </w:p>
        </w:tc>
        <w:tc>
          <w:tcPr>
            <w:tcW w:w="727" w:type="dxa"/>
            <w:tcBorders>
              <w:bottom w:val="single" w:sz="12" w:space="0" w:color="auto"/>
            </w:tcBorders>
            <w:shd w:val="clear" w:color="auto" w:fill="auto"/>
            <w:vAlign w:val="bottom"/>
          </w:tcPr>
          <w:p w:rsidR="00FB23D3" w:rsidRPr="00B3274C" w:rsidRDefault="00FB23D3" w:rsidP="00504022">
            <w:pPr>
              <w:pStyle w:val="SingleTxtG"/>
              <w:suppressAutoHyphens w:val="0"/>
              <w:spacing w:before="40" w:after="40" w:line="220" w:lineRule="exact"/>
              <w:ind w:left="113" w:right="0"/>
              <w:jc w:val="right"/>
              <w:rPr>
                <w:bCs/>
                <w:sz w:val="18"/>
                <w:lang w:val="fr-CA"/>
              </w:rPr>
            </w:pPr>
            <w:r w:rsidRPr="00B3274C">
              <w:rPr>
                <w:bCs/>
                <w:sz w:val="18"/>
                <w:lang w:val="fr-CA"/>
              </w:rPr>
              <w:t>21</w:t>
            </w:r>
          </w:p>
        </w:tc>
      </w:tr>
    </w:tbl>
    <w:p w:rsidR="00FB23D3" w:rsidRPr="00B3274C" w:rsidRDefault="00107A47" w:rsidP="000C19FD">
      <w:pPr>
        <w:pStyle w:val="SingleTxtG"/>
        <w:spacing w:before="240"/>
        <w:rPr>
          <w:lang w:val="fr-CA"/>
        </w:rPr>
      </w:pPr>
      <w:r w:rsidRPr="00B3274C">
        <w:rPr>
          <w:lang w:val="fr-CA"/>
        </w:rPr>
        <w:t>95.</w:t>
      </w:r>
      <w:r w:rsidRPr="00B3274C">
        <w:rPr>
          <w:lang w:val="fr-CA"/>
        </w:rPr>
        <w:tab/>
      </w:r>
      <w:r w:rsidR="003E6B41" w:rsidRPr="00B3274C">
        <w:rPr>
          <w:lang w:val="fr-CA"/>
        </w:rPr>
        <w:t>Le graphique suivant illustre le nombre d</w:t>
      </w:r>
      <w:r w:rsidR="0080611A">
        <w:rPr>
          <w:lang w:val="fr-CA"/>
        </w:rPr>
        <w:t>’</w:t>
      </w:r>
      <w:r w:rsidR="003E6B41" w:rsidRPr="00B3274C">
        <w:rPr>
          <w:lang w:val="fr-CA"/>
        </w:rPr>
        <w:t>accidents du travail mortel</w:t>
      </w:r>
      <w:r w:rsidR="0068178D" w:rsidRPr="00B3274C">
        <w:rPr>
          <w:lang w:val="fr-CA"/>
        </w:rPr>
        <w:t>s</w:t>
      </w:r>
      <w:r w:rsidR="003E6B41" w:rsidRPr="00B3274C">
        <w:rPr>
          <w:lang w:val="fr-CA"/>
        </w:rPr>
        <w:t xml:space="preserve"> signalé</w:t>
      </w:r>
      <w:r w:rsidR="0068178D" w:rsidRPr="00B3274C">
        <w:rPr>
          <w:lang w:val="fr-CA"/>
        </w:rPr>
        <w:t>s</w:t>
      </w:r>
      <w:r w:rsidR="003E6B41" w:rsidRPr="00B3274C">
        <w:rPr>
          <w:lang w:val="fr-CA"/>
        </w:rPr>
        <w:t xml:space="preserve"> à l</w:t>
      </w:r>
      <w:r w:rsidR="0080611A">
        <w:rPr>
          <w:lang w:val="fr-CA"/>
        </w:rPr>
        <w:t>’</w:t>
      </w:r>
      <w:r w:rsidR="003E6B41" w:rsidRPr="00B3274C">
        <w:rPr>
          <w:lang w:val="fr-CA"/>
        </w:rPr>
        <w:t xml:space="preserve">Inspection du travail au cours de la période </w:t>
      </w:r>
      <w:r w:rsidR="00FB23D3" w:rsidRPr="00B3274C">
        <w:rPr>
          <w:lang w:val="fr-CA"/>
        </w:rPr>
        <w:t>2000-2011.</w:t>
      </w:r>
    </w:p>
    <w:p w:rsidR="003E6B41" w:rsidRDefault="009B2342" w:rsidP="009B2342">
      <w:pPr>
        <w:pStyle w:val="H23G"/>
        <w:rPr>
          <w:b w:val="0"/>
        </w:rPr>
      </w:pPr>
      <w:r>
        <w:tab/>
      </w:r>
      <w:r>
        <w:tab/>
      </w:r>
      <w:r w:rsidR="000C7459" w:rsidRPr="009B2342">
        <w:rPr>
          <w:b w:val="0"/>
        </w:rPr>
        <w:t>Figure 2</w:t>
      </w:r>
    </w:p>
    <w:p w:rsidR="003311AC" w:rsidRDefault="00296F51" w:rsidP="003311AC">
      <w:pPr>
        <w:ind w:left="1134"/>
        <w:rPr>
          <w:lang w:val="fr-CH"/>
        </w:rPr>
      </w:pPr>
      <w:r>
        <w:rPr>
          <w:lang w:val="fr-CH"/>
        </w:rPr>
        <w:pict>
          <v:shape id="_x0000_i1027" type="#_x0000_t75" style="width:368.25pt;height:165pt" o:bordertopcolor="this" o:borderleftcolor="this" o:borderbottomcolor="this" o:borderrightcolor="this">
            <v:imagedata r:id="rId9" o:title=""/>
            <w10:bordertop type="single" width="4"/>
            <w10:borderleft type="single" width="4"/>
            <w10:borderbottom type="single" width="4"/>
            <w10:borderright type="single" width="4"/>
          </v:shape>
        </w:pict>
      </w:r>
    </w:p>
    <w:p w:rsidR="00FB23D3" w:rsidRPr="00B3274C" w:rsidRDefault="00EF2CD1" w:rsidP="00464117">
      <w:pPr>
        <w:pStyle w:val="H23G"/>
        <w:rPr>
          <w:rFonts w:eastAsia="Batang"/>
          <w:lang w:val="fr-CA"/>
        </w:rPr>
      </w:pPr>
      <w:r w:rsidRPr="00B3274C">
        <w:rPr>
          <w:rFonts w:eastAsia="Batang"/>
          <w:lang w:val="fr-CA"/>
        </w:rPr>
        <w:tab/>
      </w:r>
      <w:r w:rsidR="00464117" w:rsidRPr="00B3274C">
        <w:rPr>
          <w:rFonts w:eastAsia="Batang"/>
          <w:lang w:val="fr-CA"/>
        </w:rPr>
        <w:t>4.</w:t>
      </w:r>
      <w:r w:rsidRPr="00B3274C">
        <w:rPr>
          <w:rFonts w:eastAsia="Batang"/>
          <w:lang w:val="fr-CA"/>
        </w:rPr>
        <w:tab/>
      </w:r>
      <w:r w:rsidR="003E6B41" w:rsidRPr="00B3274C">
        <w:rPr>
          <w:rFonts w:eastAsia="Batang"/>
          <w:lang w:val="fr-CA"/>
        </w:rPr>
        <w:t xml:space="preserve">Législation concernant les licenciements collectifs </w:t>
      </w:r>
    </w:p>
    <w:p w:rsidR="00FB23D3" w:rsidRPr="00B3274C" w:rsidRDefault="00107A47" w:rsidP="00107A47">
      <w:pPr>
        <w:pStyle w:val="SingleTxtG"/>
        <w:keepNext/>
        <w:rPr>
          <w:b/>
          <w:bCs/>
          <w:szCs w:val="25"/>
          <w:lang w:val="fr-CA"/>
        </w:rPr>
      </w:pPr>
      <w:r w:rsidRPr="00B3274C">
        <w:rPr>
          <w:bCs/>
          <w:lang w:val="fr-CA"/>
        </w:rPr>
        <w:t>96.</w:t>
      </w:r>
      <w:r w:rsidRPr="00B3274C">
        <w:rPr>
          <w:bCs/>
          <w:lang w:val="fr-CA"/>
        </w:rPr>
        <w:tab/>
      </w:r>
      <w:r w:rsidR="003E6B41" w:rsidRPr="00B3274C">
        <w:rPr>
          <w:bCs/>
          <w:lang w:val="fr-CA"/>
        </w:rPr>
        <w:t xml:space="preserve">Conformément aux dispositions du </w:t>
      </w:r>
      <w:r w:rsidR="00FC24F7">
        <w:rPr>
          <w:bCs/>
          <w:lang w:val="fr-CA"/>
        </w:rPr>
        <w:t>paragraphe </w:t>
      </w:r>
      <w:r w:rsidR="003E6B41" w:rsidRPr="00B3274C">
        <w:rPr>
          <w:bCs/>
          <w:lang w:val="fr-CA"/>
        </w:rPr>
        <w:t>1 de l</w:t>
      </w:r>
      <w:r w:rsidR="0080611A">
        <w:rPr>
          <w:bCs/>
          <w:lang w:val="fr-CA"/>
        </w:rPr>
        <w:t>’</w:t>
      </w:r>
      <w:r w:rsidR="00597DC4">
        <w:rPr>
          <w:bCs/>
          <w:lang w:val="fr-CA"/>
        </w:rPr>
        <w:t>article </w:t>
      </w:r>
      <w:r w:rsidR="003E6B41" w:rsidRPr="00B3274C">
        <w:rPr>
          <w:bCs/>
          <w:lang w:val="fr-CA"/>
        </w:rPr>
        <w:t>74 de la loi</w:t>
      </w:r>
      <w:r w:rsidR="00014F0F" w:rsidRPr="00B3274C">
        <w:rPr>
          <w:bCs/>
          <w:lang w:val="fr-CA"/>
        </w:rPr>
        <w:t xml:space="preserve">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szCs w:val="25"/>
          <w:lang w:val="fr-CA"/>
        </w:rPr>
        <w:t>3863/2010</w:t>
      </w:r>
      <w:r w:rsidR="00014F0F" w:rsidRPr="00B3274C">
        <w:rPr>
          <w:szCs w:val="25"/>
          <w:lang w:val="fr-CA"/>
        </w:rPr>
        <w:t xml:space="preserve"> sur le </w:t>
      </w:r>
      <w:r w:rsidR="0055418C" w:rsidRPr="00B3274C">
        <w:rPr>
          <w:szCs w:val="25"/>
          <w:lang w:val="fr-CA"/>
        </w:rPr>
        <w:t>«</w:t>
      </w:r>
      <w:r w:rsidR="00014F0F" w:rsidRPr="00B3274C">
        <w:rPr>
          <w:szCs w:val="25"/>
          <w:lang w:val="fr-CA"/>
        </w:rPr>
        <w:t xml:space="preserve">Nouveau système de sécurité sociale et autres dispositions et règles pertinentes concernant les relations </w:t>
      </w:r>
      <w:r w:rsidR="00D0455E" w:rsidRPr="00B3274C">
        <w:rPr>
          <w:szCs w:val="25"/>
          <w:lang w:val="fr-CA"/>
        </w:rPr>
        <w:t>professionnelles</w:t>
      </w:r>
      <w:r w:rsidR="0055418C" w:rsidRPr="00B3274C">
        <w:rPr>
          <w:szCs w:val="25"/>
          <w:lang w:val="fr-CA"/>
        </w:rPr>
        <w:t>»</w:t>
      </w:r>
      <w:r w:rsidR="0080611A">
        <w:rPr>
          <w:szCs w:val="25"/>
          <w:lang w:val="fr-CA"/>
        </w:rPr>
        <w:t>,</w:t>
      </w:r>
      <w:r w:rsidR="00014F0F" w:rsidRPr="00B3274C">
        <w:rPr>
          <w:szCs w:val="25"/>
          <w:lang w:val="fr-CA"/>
        </w:rPr>
        <w:t xml:space="preserve"> les </w:t>
      </w:r>
      <w:bookmarkStart w:id="8" w:name="OLE_LINK7"/>
      <w:bookmarkStart w:id="9" w:name="OLE_LINK8"/>
      <w:r w:rsidR="00014F0F" w:rsidRPr="00B3274C">
        <w:rPr>
          <w:szCs w:val="25"/>
          <w:lang w:val="fr-CA"/>
        </w:rPr>
        <w:t xml:space="preserve">limites </w:t>
      </w:r>
      <w:r w:rsidR="00D0455E" w:rsidRPr="00B3274C">
        <w:rPr>
          <w:szCs w:val="25"/>
          <w:lang w:val="fr-CA"/>
        </w:rPr>
        <w:t>aux</w:t>
      </w:r>
      <w:r w:rsidR="00014F0F" w:rsidRPr="00B3274C">
        <w:rPr>
          <w:szCs w:val="25"/>
          <w:lang w:val="fr-CA"/>
        </w:rPr>
        <w:t xml:space="preserve"> licenciements collectifs</w:t>
      </w:r>
      <w:bookmarkEnd w:id="8"/>
      <w:bookmarkEnd w:id="9"/>
      <w:r w:rsidR="00FB23D3" w:rsidRPr="00B3274C">
        <w:rPr>
          <w:szCs w:val="25"/>
          <w:lang w:val="fr-CA"/>
        </w:rPr>
        <w:t xml:space="preserve"> </w:t>
      </w:r>
      <w:r w:rsidR="00D0455E" w:rsidRPr="00B3274C">
        <w:rPr>
          <w:szCs w:val="25"/>
          <w:lang w:val="fr-CA"/>
        </w:rPr>
        <w:t>ont été modifiées comme suit</w:t>
      </w:r>
      <w:r w:rsidR="00FB23D3" w:rsidRPr="00B3274C">
        <w:rPr>
          <w:szCs w:val="25"/>
          <w:lang w:val="fr-CA"/>
        </w:rPr>
        <w:t>:</w:t>
      </w:r>
    </w:p>
    <w:p w:rsidR="00FB23D3" w:rsidRPr="00B3274C" w:rsidRDefault="00E47EFE" w:rsidP="00E47EFE">
      <w:pPr>
        <w:pStyle w:val="SingleTxtG"/>
        <w:rPr>
          <w:b/>
          <w:bCs/>
        </w:rPr>
      </w:pPr>
      <w:r>
        <w:tab/>
      </w:r>
      <w:r w:rsidR="00B60E4D" w:rsidRPr="00B3274C">
        <w:t>a)</w:t>
      </w:r>
      <w:r w:rsidR="00B60E4D" w:rsidRPr="00B3274C">
        <w:tab/>
      </w:r>
      <w:r w:rsidR="00D0455E" w:rsidRPr="00B3274C">
        <w:t>Jusqu</w:t>
      </w:r>
      <w:r w:rsidR="0080611A">
        <w:t>’</w:t>
      </w:r>
      <w:r w:rsidR="00D0455E" w:rsidRPr="00B3274C">
        <w:t>à</w:t>
      </w:r>
      <w:r>
        <w:t xml:space="preserve"> </w:t>
      </w:r>
      <w:r w:rsidR="00FB23D3" w:rsidRPr="00B3274C">
        <w:t xml:space="preserve">6 </w:t>
      </w:r>
      <w:r w:rsidR="00D0455E" w:rsidRPr="00B3274C">
        <w:t xml:space="preserve">employés pour les entreprises de 20 à </w:t>
      </w:r>
      <w:r w:rsidR="003D67CD" w:rsidRPr="00B3274C">
        <w:t xml:space="preserve">150 </w:t>
      </w:r>
      <w:r w:rsidR="00D0455E" w:rsidRPr="00B3274C">
        <w:t>employés</w:t>
      </w:r>
      <w:r w:rsidR="00B60E4D" w:rsidRPr="00B3274C">
        <w:t>;</w:t>
      </w:r>
    </w:p>
    <w:p w:rsidR="00FB23D3" w:rsidRPr="00B3274C" w:rsidRDefault="00E47EFE" w:rsidP="00E47EFE">
      <w:pPr>
        <w:pStyle w:val="SingleTxtG"/>
        <w:rPr>
          <w:b/>
          <w:bCs/>
        </w:rPr>
      </w:pPr>
      <w:r>
        <w:tab/>
      </w:r>
      <w:r w:rsidR="00B60E4D" w:rsidRPr="00B3274C">
        <w:t>b)</w:t>
      </w:r>
      <w:r w:rsidR="00B60E4D" w:rsidRPr="00B3274C">
        <w:tab/>
      </w:r>
      <w:r w:rsidR="00D0455E" w:rsidRPr="00B3274C">
        <w:t>5</w:t>
      </w:r>
      <w:r w:rsidR="0050285B">
        <w:t> %</w:t>
      </w:r>
      <w:r w:rsidR="00D0455E" w:rsidRPr="00B3274C">
        <w:t xml:space="preserve"> de la totalité du personnel et jusqu</w:t>
      </w:r>
      <w:r w:rsidR="0080611A">
        <w:t>’</w:t>
      </w:r>
      <w:r w:rsidR="00D0455E" w:rsidRPr="00B3274C">
        <w:t xml:space="preserve">à </w:t>
      </w:r>
      <w:r w:rsidR="00FB23D3" w:rsidRPr="00B3274C">
        <w:t xml:space="preserve">30 </w:t>
      </w:r>
      <w:r w:rsidR="00D0455E" w:rsidRPr="00B3274C">
        <w:t>employés pour les entreprises de plus de 150 employés</w:t>
      </w:r>
      <w:r w:rsidR="00B60E4D" w:rsidRPr="00B3274C">
        <w:t>.</w:t>
      </w:r>
    </w:p>
    <w:p w:rsidR="00FB23D3" w:rsidRPr="00B3274C" w:rsidRDefault="00193187" w:rsidP="00C21586">
      <w:pPr>
        <w:pStyle w:val="H1G"/>
        <w:rPr>
          <w:lang w:val="fr-CA"/>
        </w:rPr>
      </w:pPr>
      <w:r w:rsidRPr="00B3274C">
        <w:rPr>
          <w:lang w:val="fr-CA"/>
        </w:rPr>
        <w:tab/>
      </w:r>
      <w:r w:rsidRPr="00B3274C">
        <w:rPr>
          <w:lang w:val="fr-CA"/>
        </w:rPr>
        <w:tab/>
      </w:r>
      <w:r w:rsidR="00597DC4">
        <w:rPr>
          <w:lang w:val="fr-CA"/>
        </w:rPr>
        <w:t>Article </w:t>
      </w:r>
      <w:r w:rsidR="00FB23D3" w:rsidRPr="00B3274C">
        <w:rPr>
          <w:lang w:val="fr-CA"/>
        </w:rPr>
        <w:t>8</w:t>
      </w:r>
      <w:r w:rsidR="00E47EFE">
        <w:rPr>
          <w:lang w:val="fr-CA"/>
        </w:rPr>
        <w:br/>
      </w:r>
      <w:r w:rsidR="00D0455E" w:rsidRPr="00B3274C">
        <w:rPr>
          <w:lang w:val="fr-CA"/>
        </w:rPr>
        <w:t>Droit de former des syndicats et de s</w:t>
      </w:r>
      <w:r w:rsidR="0080611A">
        <w:rPr>
          <w:lang w:val="fr-CA"/>
        </w:rPr>
        <w:t>’</w:t>
      </w:r>
      <w:r w:rsidR="00D0455E" w:rsidRPr="00B3274C">
        <w:rPr>
          <w:lang w:val="fr-CA"/>
        </w:rPr>
        <w:t>y affilier</w:t>
      </w:r>
    </w:p>
    <w:p w:rsidR="00FB23D3" w:rsidRPr="00B3274C" w:rsidRDefault="00107A47" w:rsidP="00107A47">
      <w:pPr>
        <w:pStyle w:val="SingleTxtG"/>
        <w:keepNext/>
        <w:rPr>
          <w:szCs w:val="25"/>
          <w:lang w:val="fr-CA"/>
        </w:rPr>
      </w:pPr>
      <w:r w:rsidRPr="00B3274C">
        <w:rPr>
          <w:lang w:val="fr-CA"/>
        </w:rPr>
        <w:t>97.</w:t>
      </w:r>
      <w:r w:rsidRPr="00B3274C">
        <w:rPr>
          <w:lang w:val="fr-CA"/>
        </w:rPr>
        <w:tab/>
      </w:r>
      <w:r w:rsidR="00D0455E" w:rsidRPr="00B3274C">
        <w:rPr>
          <w:lang w:val="fr-CA"/>
        </w:rPr>
        <w:t>D</w:t>
      </w:r>
      <w:r w:rsidR="0080611A">
        <w:rPr>
          <w:lang w:val="fr-CA"/>
        </w:rPr>
        <w:t>’</w:t>
      </w:r>
      <w:r w:rsidR="00D0455E" w:rsidRPr="00B3274C">
        <w:rPr>
          <w:lang w:val="fr-CA"/>
        </w:rPr>
        <w:t xml:space="preserve">après les données communiquées par la Confédération générale des travailleurs grecs </w:t>
      </w:r>
      <w:r w:rsidR="00FB23D3" w:rsidRPr="00B3274C">
        <w:rPr>
          <w:szCs w:val="25"/>
          <w:lang w:val="fr-CA"/>
        </w:rPr>
        <w:t>(GSEE)</w:t>
      </w:r>
      <w:r w:rsidR="0080611A">
        <w:rPr>
          <w:szCs w:val="25"/>
          <w:lang w:val="fr-CA"/>
        </w:rPr>
        <w:t>,</w:t>
      </w:r>
      <w:r w:rsidR="00366F0F" w:rsidRPr="00B3274C">
        <w:rPr>
          <w:szCs w:val="25"/>
          <w:lang w:val="fr-CA"/>
        </w:rPr>
        <w:t xml:space="preserve"> ses membres se répartissent comme suit</w:t>
      </w:r>
      <w:r w:rsidR="00FB23D3" w:rsidRPr="00B3274C">
        <w:rPr>
          <w:szCs w:val="25"/>
          <w:lang w:val="fr-CA"/>
        </w:rPr>
        <w:t>:</w:t>
      </w:r>
    </w:p>
    <w:p w:rsidR="00FB23D3" w:rsidRPr="00B3274C" w:rsidRDefault="00107A47" w:rsidP="00782442">
      <w:pPr>
        <w:pStyle w:val="Bullet1G"/>
        <w:numPr>
          <w:ilvl w:val="0"/>
          <w:numId w:val="0"/>
        </w:numPr>
        <w:tabs>
          <w:tab w:val="left" w:pos="1701"/>
          <w:tab w:val="right" w:pos="7655"/>
        </w:tabs>
        <w:ind w:left="1701" w:hanging="170"/>
        <w:rPr>
          <w:lang w:val="fr-CA"/>
        </w:rPr>
      </w:pPr>
      <w:r w:rsidRPr="00B3274C">
        <w:rPr>
          <w:lang w:val="fr-CA"/>
        </w:rPr>
        <w:t>•</w:t>
      </w:r>
      <w:r w:rsidRPr="00B3274C">
        <w:rPr>
          <w:lang w:val="fr-CA"/>
        </w:rPr>
        <w:tab/>
      </w:r>
      <w:r w:rsidR="00366F0F" w:rsidRPr="00B3274C">
        <w:rPr>
          <w:lang w:val="fr-CA"/>
        </w:rPr>
        <w:t>Organisations syndicales primaires</w:t>
      </w:r>
      <w:r w:rsidR="0080611A">
        <w:rPr>
          <w:lang w:val="fr-CA"/>
        </w:rPr>
        <w:t>,</w:t>
      </w:r>
      <w:r w:rsidR="00366F0F" w:rsidRPr="00B3274C">
        <w:rPr>
          <w:lang w:val="fr-CA"/>
        </w:rPr>
        <w:t xml:space="preserve"> membres de la </w:t>
      </w:r>
      <w:r w:rsidR="00782442">
        <w:rPr>
          <w:lang w:val="fr-CA"/>
        </w:rPr>
        <w:t>GSEE</w:t>
      </w:r>
      <w:r w:rsidR="00D15DB2" w:rsidRPr="00B3274C">
        <w:rPr>
          <w:lang w:val="fr-CA"/>
        </w:rPr>
        <w:tab/>
      </w:r>
      <w:r w:rsidR="00FB23D3" w:rsidRPr="00B3274C">
        <w:rPr>
          <w:lang w:val="fr-CA"/>
        </w:rPr>
        <w:t>2587</w:t>
      </w:r>
      <w:r w:rsidR="009D08C7" w:rsidRPr="00B3274C">
        <w:rPr>
          <w:lang w:val="fr-CA"/>
        </w:rPr>
        <w:t>;</w:t>
      </w:r>
    </w:p>
    <w:p w:rsidR="00FB23D3" w:rsidRPr="00B3274C" w:rsidRDefault="00107A47" w:rsidP="00782442">
      <w:pPr>
        <w:pStyle w:val="Bullet1G"/>
        <w:numPr>
          <w:ilvl w:val="0"/>
          <w:numId w:val="0"/>
        </w:numPr>
        <w:tabs>
          <w:tab w:val="left" w:pos="1701"/>
          <w:tab w:val="right" w:pos="7655"/>
        </w:tabs>
        <w:ind w:left="1701" w:hanging="170"/>
        <w:rPr>
          <w:lang w:val="fr-CA"/>
        </w:rPr>
      </w:pPr>
      <w:r w:rsidRPr="00B3274C">
        <w:rPr>
          <w:lang w:val="fr-CA"/>
        </w:rPr>
        <w:t>•</w:t>
      </w:r>
      <w:r w:rsidRPr="00B3274C">
        <w:rPr>
          <w:lang w:val="fr-CA"/>
        </w:rPr>
        <w:tab/>
      </w:r>
      <w:r w:rsidR="00366F0F" w:rsidRPr="00B3274C">
        <w:rPr>
          <w:lang w:val="fr-CA"/>
        </w:rPr>
        <w:t>Organisations syndicales secondaires</w:t>
      </w:r>
      <w:r w:rsidR="0080611A">
        <w:rPr>
          <w:lang w:val="fr-CA"/>
        </w:rPr>
        <w:t>,</w:t>
      </w:r>
      <w:r w:rsidR="00366F0F" w:rsidRPr="00B3274C">
        <w:rPr>
          <w:lang w:val="fr-CA"/>
        </w:rPr>
        <w:t xml:space="preserve"> membres de la </w:t>
      </w:r>
      <w:r w:rsidR="00782442">
        <w:rPr>
          <w:lang w:val="fr-CA"/>
        </w:rPr>
        <w:t>GSEE</w:t>
      </w:r>
      <w:r w:rsidR="00782442">
        <w:rPr>
          <w:lang w:val="fr-CA"/>
        </w:rPr>
        <w:tab/>
      </w:r>
      <w:r w:rsidR="00FB23D3" w:rsidRPr="00B3274C">
        <w:rPr>
          <w:lang w:val="fr-CA"/>
        </w:rPr>
        <w:t>157</w:t>
      </w:r>
      <w:r w:rsidR="009D08C7" w:rsidRPr="00B3274C">
        <w:rPr>
          <w:lang w:val="fr-CA"/>
        </w:rPr>
        <w:t>;</w:t>
      </w:r>
    </w:p>
    <w:p w:rsidR="00FB23D3" w:rsidRPr="00B3274C" w:rsidRDefault="00107A47" w:rsidP="00782442">
      <w:pPr>
        <w:pStyle w:val="Bullet1G"/>
        <w:numPr>
          <w:ilvl w:val="0"/>
          <w:numId w:val="0"/>
        </w:numPr>
        <w:tabs>
          <w:tab w:val="left" w:pos="1701"/>
          <w:tab w:val="right" w:pos="7655"/>
        </w:tabs>
        <w:ind w:left="1701" w:hanging="170"/>
        <w:rPr>
          <w:lang w:val="fr-CA"/>
        </w:rPr>
      </w:pPr>
      <w:r w:rsidRPr="00B3274C">
        <w:rPr>
          <w:lang w:val="fr-CA"/>
        </w:rPr>
        <w:t>•</w:t>
      </w:r>
      <w:r w:rsidRPr="00B3274C">
        <w:rPr>
          <w:lang w:val="fr-CA"/>
        </w:rPr>
        <w:tab/>
      </w:r>
      <w:r w:rsidR="00366F0F" w:rsidRPr="00B3274C">
        <w:rPr>
          <w:lang w:val="fr-CA"/>
        </w:rPr>
        <w:t>Personnes physiques inscrites</w:t>
      </w:r>
      <w:r w:rsidR="0080611A">
        <w:rPr>
          <w:lang w:val="fr-CA"/>
        </w:rPr>
        <w:t>,</w:t>
      </w:r>
      <w:r w:rsidR="00366F0F" w:rsidRPr="00B3274C">
        <w:rPr>
          <w:lang w:val="fr-CA"/>
        </w:rPr>
        <w:t xml:space="preserve"> membres de la </w:t>
      </w:r>
      <w:r w:rsidR="00782442">
        <w:rPr>
          <w:lang w:val="fr-CA"/>
        </w:rPr>
        <w:t>GSEE</w:t>
      </w:r>
      <w:r w:rsidR="00D15DB2" w:rsidRPr="00B3274C">
        <w:rPr>
          <w:lang w:val="fr-CA"/>
        </w:rPr>
        <w:tab/>
      </w:r>
      <w:r w:rsidR="00B95FA9" w:rsidRPr="00B3274C">
        <w:rPr>
          <w:lang w:val="fr-CA"/>
        </w:rPr>
        <w:t xml:space="preserve">905 </w:t>
      </w:r>
      <w:r w:rsidR="00FB23D3" w:rsidRPr="00B3274C">
        <w:rPr>
          <w:lang w:val="fr-CA"/>
        </w:rPr>
        <w:t>375</w:t>
      </w:r>
      <w:r w:rsidR="009D08C7" w:rsidRPr="00B3274C">
        <w:rPr>
          <w:lang w:val="fr-CA"/>
        </w:rPr>
        <w:t>.</w:t>
      </w:r>
    </w:p>
    <w:p w:rsidR="00FB23D3" w:rsidRPr="00B3274C" w:rsidRDefault="00193187" w:rsidP="00464117">
      <w:pPr>
        <w:pStyle w:val="H23G"/>
        <w:rPr>
          <w:lang w:val="fr-CA"/>
        </w:rPr>
      </w:pPr>
      <w:r w:rsidRPr="00B3274C">
        <w:rPr>
          <w:lang w:val="fr-CA"/>
        </w:rPr>
        <w:tab/>
      </w:r>
      <w:r w:rsidR="00464117" w:rsidRPr="00B3274C">
        <w:rPr>
          <w:lang w:val="fr-CA"/>
        </w:rPr>
        <w:t>1.</w:t>
      </w:r>
      <w:r w:rsidRPr="00B3274C">
        <w:rPr>
          <w:lang w:val="fr-CA"/>
        </w:rPr>
        <w:tab/>
      </w:r>
      <w:r w:rsidR="00366F0F" w:rsidRPr="00B3274C">
        <w:rPr>
          <w:lang w:val="fr-CA"/>
        </w:rPr>
        <w:t xml:space="preserve">Personnels de </w:t>
      </w:r>
      <w:r w:rsidR="0068178D" w:rsidRPr="00B3274C">
        <w:rPr>
          <w:lang w:val="fr-CA"/>
        </w:rPr>
        <w:t xml:space="preserve">la </w:t>
      </w:r>
      <w:r w:rsidR="00366F0F" w:rsidRPr="00B3274C">
        <w:rPr>
          <w:lang w:val="fr-CA"/>
        </w:rPr>
        <w:t>police</w:t>
      </w:r>
    </w:p>
    <w:p w:rsidR="00FB23D3" w:rsidRPr="00B3274C" w:rsidRDefault="00107A47" w:rsidP="00107A47">
      <w:pPr>
        <w:pStyle w:val="SingleTxtG"/>
        <w:rPr>
          <w:szCs w:val="22"/>
          <w:lang w:val="fr-CA"/>
        </w:rPr>
      </w:pPr>
      <w:r w:rsidRPr="00B3274C">
        <w:rPr>
          <w:lang w:val="fr-CA"/>
        </w:rPr>
        <w:t>98.</w:t>
      </w:r>
      <w:r w:rsidRPr="00B3274C">
        <w:rPr>
          <w:lang w:val="fr-CA"/>
        </w:rPr>
        <w:tab/>
      </w:r>
      <w:r w:rsidR="00366F0F" w:rsidRPr="00B3274C">
        <w:rPr>
          <w:lang w:val="fr-CA"/>
        </w:rPr>
        <w:t>La loi n°</w:t>
      </w:r>
      <w:r w:rsidR="00FB23D3" w:rsidRPr="00B3274C">
        <w:rPr>
          <w:lang w:val="fr-CA"/>
        </w:rPr>
        <w:t xml:space="preserve">1264/1982 </w:t>
      </w:r>
      <w:r w:rsidR="0055418C" w:rsidRPr="00B3274C">
        <w:rPr>
          <w:lang w:val="fr-CA"/>
        </w:rPr>
        <w:t>«</w:t>
      </w:r>
      <w:r w:rsidR="00366F0F" w:rsidRPr="00B3274C">
        <w:rPr>
          <w:lang w:val="fr-CA"/>
        </w:rPr>
        <w:t>Pour la démocratisation du mouvement syndical et la protection des libertés syndicales</w:t>
      </w:r>
      <w:r w:rsidR="0055418C" w:rsidRPr="00B3274C">
        <w:rPr>
          <w:lang w:val="fr-CA"/>
        </w:rPr>
        <w:t>»</w:t>
      </w:r>
      <w:r w:rsidR="0080611A">
        <w:rPr>
          <w:lang w:val="fr-CA"/>
        </w:rPr>
        <w:t>,</w:t>
      </w:r>
      <w:r w:rsidR="00FB23D3" w:rsidRPr="00B3274C">
        <w:rPr>
          <w:lang w:val="fr-CA"/>
        </w:rPr>
        <w:t xml:space="preserve"> </w:t>
      </w:r>
      <w:r w:rsidR="00366F0F" w:rsidRPr="00B3274C">
        <w:rPr>
          <w:lang w:val="fr-CA"/>
        </w:rPr>
        <w:t>tel</w:t>
      </w:r>
      <w:r w:rsidR="004128F9" w:rsidRPr="00B3274C">
        <w:rPr>
          <w:lang w:val="fr-CA"/>
        </w:rPr>
        <w:t>le</w:t>
      </w:r>
      <w:r w:rsidR="00366F0F" w:rsidRPr="00B3274C">
        <w:rPr>
          <w:lang w:val="fr-CA"/>
        </w:rPr>
        <w:t xml:space="preserve"> que modifiée par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 xml:space="preserve">2783/1999 </w:t>
      </w:r>
      <w:r w:rsidR="00366F0F" w:rsidRPr="00B3274C">
        <w:rPr>
          <w:lang w:val="fr-CA"/>
        </w:rPr>
        <w:t>et l</w:t>
      </w:r>
      <w:r w:rsidR="0080611A">
        <w:rPr>
          <w:lang w:val="fr-CA"/>
        </w:rPr>
        <w:t>’</w:t>
      </w:r>
      <w:r w:rsidR="00597DC4">
        <w:rPr>
          <w:lang w:val="fr-CA"/>
        </w:rPr>
        <w:t>article </w:t>
      </w:r>
      <w:r w:rsidR="00FB23D3" w:rsidRPr="00B3274C">
        <w:rPr>
          <w:lang w:val="fr-CA"/>
        </w:rPr>
        <w:t>18</w:t>
      </w:r>
      <w:r w:rsidR="008025CE" w:rsidRPr="00B3274C">
        <w:rPr>
          <w:lang w:val="fr-CA"/>
        </w:rPr>
        <w:t xml:space="preserve"> de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3938/2011</w:t>
      </w:r>
      <w:r w:rsidR="0080611A">
        <w:rPr>
          <w:lang w:val="fr-CA"/>
        </w:rPr>
        <w:t>,</w:t>
      </w:r>
      <w:r w:rsidR="00FB23D3" w:rsidRPr="00B3274C">
        <w:rPr>
          <w:lang w:val="fr-CA"/>
        </w:rPr>
        <w:t xml:space="preserve"> </w:t>
      </w:r>
      <w:r w:rsidR="008025CE" w:rsidRPr="00B3274C">
        <w:rPr>
          <w:lang w:val="fr-CA"/>
        </w:rPr>
        <w:t>protège les droits des syndicats et réglemente la formation</w:t>
      </w:r>
      <w:r w:rsidR="0080611A">
        <w:rPr>
          <w:lang w:val="fr-CA"/>
        </w:rPr>
        <w:t>,</w:t>
      </w:r>
      <w:r w:rsidR="008025CE" w:rsidRPr="00B3274C">
        <w:rPr>
          <w:lang w:val="fr-CA"/>
        </w:rPr>
        <w:t xml:space="preserve"> l</w:t>
      </w:r>
      <w:r w:rsidR="0080611A">
        <w:rPr>
          <w:lang w:val="fr-CA"/>
        </w:rPr>
        <w:t>’</w:t>
      </w:r>
      <w:r w:rsidR="008025CE" w:rsidRPr="00B3274C">
        <w:rPr>
          <w:lang w:val="fr-CA"/>
        </w:rPr>
        <w:t>organisation</w:t>
      </w:r>
      <w:r w:rsidR="0080611A">
        <w:rPr>
          <w:lang w:val="fr-CA"/>
        </w:rPr>
        <w:t>,</w:t>
      </w:r>
      <w:r w:rsidR="008025CE" w:rsidRPr="00B3274C">
        <w:rPr>
          <w:lang w:val="fr-CA"/>
        </w:rPr>
        <w:t xml:space="preserve"> le fonctionnement et les activités des syndicats. </w:t>
      </w:r>
      <w:r w:rsidR="0068178D" w:rsidRPr="00B3274C">
        <w:rPr>
          <w:lang w:val="fr-CA"/>
        </w:rPr>
        <w:t>Dans le cadre de cette loi</w:t>
      </w:r>
      <w:r w:rsidR="0080611A">
        <w:rPr>
          <w:lang w:val="fr-CA"/>
        </w:rPr>
        <w:t>,</w:t>
      </w:r>
      <w:r w:rsidR="0068178D" w:rsidRPr="00B3274C">
        <w:rPr>
          <w:lang w:val="fr-CA"/>
        </w:rPr>
        <w:t xml:space="preserve"> </w:t>
      </w:r>
      <w:r w:rsidR="00E5057D" w:rsidRPr="00B3274C">
        <w:rPr>
          <w:lang w:val="fr-CA"/>
        </w:rPr>
        <w:t>des syndicats de fonctionnaires de police</w:t>
      </w:r>
      <w:r w:rsidR="0080611A">
        <w:rPr>
          <w:lang w:val="fr-CA"/>
        </w:rPr>
        <w:t>,</w:t>
      </w:r>
      <w:r w:rsidR="00E5057D" w:rsidRPr="00B3274C">
        <w:rPr>
          <w:lang w:val="fr-CA"/>
        </w:rPr>
        <w:t xml:space="preserve"> de gardes-frontières et de gardes spéciaux</w:t>
      </w:r>
      <w:r w:rsidR="0080611A">
        <w:rPr>
          <w:lang w:val="fr-CA"/>
        </w:rPr>
        <w:t>,</w:t>
      </w:r>
      <w:r w:rsidR="00E5057D" w:rsidRPr="00B3274C">
        <w:rPr>
          <w:lang w:val="fr-CA"/>
        </w:rPr>
        <w:t xml:space="preserve"> représentant </w:t>
      </w:r>
      <w:r w:rsidR="00614BAC">
        <w:rPr>
          <w:lang w:val="fr-CA"/>
        </w:rPr>
        <w:t>les personnes</w:t>
      </w:r>
      <w:r w:rsidR="00E5057D" w:rsidRPr="00B3274C">
        <w:rPr>
          <w:lang w:val="fr-CA"/>
        </w:rPr>
        <w:t xml:space="preserve"> employées par la police grecque dans toutes les préfectures du pays</w:t>
      </w:r>
      <w:r w:rsidR="0080611A">
        <w:rPr>
          <w:lang w:val="fr-CA"/>
        </w:rPr>
        <w:t>,</w:t>
      </w:r>
      <w:r w:rsidR="00E5057D" w:rsidRPr="00B3274C">
        <w:rPr>
          <w:lang w:val="fr-CA"/>
        </w:rPr>
        <w:t xml:space="preserve"> sont opérationnels dans l</w:t>
      </w:r>
      <w:r w:rsidR="0080611A">
        <w:rPr>
          <w:lang w:val="fr-CA"/>
        </w:rPr>
        <w:t>’</w:t>
      </w:r>
      <w:r w:rsidR="00E5057D" w:rsidRPr="00B3274C">
        <w:rPr>
          <w:lang w:val="fr-CA"/>
        </w:rPr>
        <w:t>ensemble de la Grèce. En outre</w:t>
      </w:r>
      <w:r w:rsidR="0080611A">
        <w:rPr>
          <w:lang w:val="fr-CA"/>
        </w:rPr>
        <w:t>,</w:t>
      </w:r>
      <w:r w:rsidR="00E5057D" w:rsidRPr="00B3274C">
        <w:rPr>
          <w:lang w:val="fr-CA"/>
        </w:rPr>
        <w:t xml:space="preserve"> des fonctionnaires de police de rang supérieur et inférieur et des gardes-frontières ont créé des organisations syndicales et sont devenus membres du Conseil européen des syndicats de police et de la Confédération européenne des syndicats de police</w:t>
      </w:r>
      <w:r w:rsidR="00FB23D3" w:rsidRPr="00B3274C">
        <w:rPr>
          <w:szCs w:val="22"/>
          <w:lang w:val="fr-CA"/>
        </w:rPr>
        <w:t>.</w:t>
      </w:r>
    </w:p>
    <w:p w:rsidR="00FB23D3" w:rsidRPr="00B3274C" w:rsidRDefault="00107A47" w:rsidP="00107A47">
      <w:pPr>
        <w:pStyle w:val="SingleTxtG"/>
        <w:rPr>
          <w:szCs w:val="22"/>
          <w:lang w:val="fr-CA"/>
        </w:rPr>
      </w:pPr>
      <w:r w:rsidRPr="00B3274C">
        <w:rPr>
          <w:lang w:val="fr-CA"/>
        </w:rPr>
        <w:t>99.</w:t>
      </w:r>
      <w:r w:rsidRPr="00B3274C">
        <w:rPr>
          <w:lang w:val="fr-CA"/>
        </w:rPr>
        <w:tab/>
      </w:r>
      <w:r w:rsidR="00E5057D" w:rsidRPr="00B3274C">
        <w:rPr>
          <w:lang w:val="fr-CA"/>
        </w:rPr>
        <w:t>Il n</w:t>
      </w:r>
      <w:r w:rsidR="0080611A">
        <w:rPr>
          <w:lang w:val="fr-CA"/>
        </w:rPr>
        <w:t>’</w:t>
      </w:r>
      <w:r w:rsidR="00E5057D" w:rsidRPr="00B3274C">
        <w:rPr>
          <w:lang w:val="fr-CA"/>
        </w:rPr>
        <w:t>y a pas de limites imposées par l</w:t>
      </w:r>
      <w:r w:rsidR="0080611A">
        <w:rPr>
          <w:lang w:val="fr-CA"/>
        </w:rPr>
        <w:t>’</w:t>
      </w:r>
      <w:r w:rsidR="00E5057D" w:rsidRPr="00B3274C">
        <w:rPr>
          <w:lang w:val="fr-CA"/>
        </w:rPr>
        <w:t>État grec et les règlements de police</w:t>
      </w:r>
      <w:r w:rsidR="001F7199" w:rsidRPr="00B3274C">
        <w:rPr>
          <w:lang w:val="fr-CA"/>
        </w:rPr>
        <w:t xml:space="preserve"> à </w:t>
      </w:r>
      <w:r w:rsidR="00E5057D" w:rsidRPr="00B3274C">
        <w:rPr>
          <w:lang w:val="fr-CA"/>
        </w:rPr>
        <w:t xml:space="preserve">la création de confédérations de syndicats de police et </w:t>
      </w:r>
      <w:r w:rsidR="001F7199" w:rsidRPr="00B3274C">
        <w:rPr>
          <w:lang w:val="fr-CA"/>
        </w:rPr>
        <w:t xml:space="preserve">à </w:t>
      </w:r>
      <w:r w:rsidR="00E5057D" w:rsidRPr="00B3274C">
        <w:rPr>
          <w:lang w:val="fr-CA"/>
        </w:rPr>
        <w:t>la participation desdits syndicats à des organisations internationales. Il n</w:t>
      </w:r>
      <w:r w:rsidR="0080611A">
        <w:rPr>
          <w:lang w:val="fr-CA"/>
        </w:rPr>
        <w:t>’</w:t>
      </w:r>
      <w:r w:rsidR="00E5057D" w:rsidRPr="00B3274C">
        <w:rPr>
          <w:lang w:val="fr-CA"/>
        </w:rPr>
        <w:t xml:space="preserve">y a pas non plus de limites à leur </w:t>
      </w:r>
      <w:r w:rsidR="001F7199" w:rsidRPr="00B3274C">
        <w:rPr>
          <w:lang w:val="fr-CA"/>
        </w:rPr>
        <w:t>liberté d</w:t>
      </w:r>
      <w:r w:rsidR="0080611A">
        <w:rPr>
          <w:lang w:val="fr-CA"/>
        </w:rPr>
        <w:t>’</w:t>
      </w:r>
      <w:r w:rsidR="001F7199" w:rsidRPr="00B3274C">
        <w:rPr>
          <w:lang w:val="fr-CA"/>
        </w:rPr>
        <w:t>agir</w:t>
      </w:r>
      <w:r w:rsidR="0080611A">
        <w:rPr>
          <w:lang w:val="fr-CA"/>
        </w:rPr>
        <w:t>,</w:t>
      </w:r>
      <w:r w:rsidR="00E5057D" w:rsidRPr="00B3274C">
        <w:rPr>
          <w:lang w:val="fr-CA"/>
        </w:rPr>
        <w:t xml:space="preserve"> </w:t>
      </w:r>
      <w:r w:rsidR="001F7199" w:rsidRPr="00B3274C">
        <w:rPr>
          <w:lang w:val="fr-CA"/>
        </w:rPr>
        <w:t>hormis celles qu</w:t>
      </w:r>
      <w:r w:rsidR="0080611A">
        <w:rPr>
          <w:lang w:val="fr-CA"/>
        </w:rPr>
        <w:t>’</w:t>
      </w:r>
      <w:r w:rsidR="001F7199" w:rsidRPr="00B3274C">
        <w:rPr>
          <w:lang w:val="fr-CA"/>
        </w:rPr>
        <w:t xml:space="preserve">énoncent les dispositions </w:t>
      </w:r>
      <w:r w:rsidR="00E5057D" w:rsidRPr="00B3274C">
        <w:rPr>
          <w:lang w:val="fr-CA"/>
        </w:rPr>
        <w:t xml:space="preserve">du </w:t>
      </w:r>
      <w:r w:rsidR="00FC24F7">
        <w:rPr>
          <w:lang w:val="fr-CA"/>
        </w:rPr>
        <w:t>paragraphe </w:t>
      </w:r>
      <w:r w:rsidR="00E5057D" w:rsidRPr="00B3274C">
        <w:rPr>
          <w:lang w:val="fr-CA"/>
        </w:rPr>
        <w:t>3 de l</w:t>
      </w:r>
      <w:r w:rsidR="0080611A">
        <w:rPr>
          <w:lang w:val="fr-CA"/>
        </w:rPr>
        <w:t>’</w:t>
      </w:r>
      <w:r w:rsidR="00597DC4">
        <w:rPr>
          <w:lang w:val="fr-CA"/>
        </w:rPr>
        <w:t>article </w:t>
      </w:r>
      <w:r w:rsidR="00E5057D" w:rsidRPr="00B3274C">
        <w:rPr>
          <w:lang w:val="fr-CA"/>
        </w:rPr>
        <w:t>30A</w:t>
      </w:r>
      <w:r w:rsidR="0080611A">
        <w:rPr>
          <w:lang w:val="fr-CA"/>
        </w:rPr>
        <w:t>,</w:t>
      </w:r>
      <w:r w:rsidR="00E5057D" w:rsidRPr="00B3274C">
        <w:rPr>
          <w:lang w:val="fr-CA"/>
        </w:rPr>
        <w:t xml:space="preserve"> </w:t>
      </w:r>
      <w:r w:rsidR="001F7199" w:rsidRPr="00B3274C">
        <w:rPr>
          <w:lang w:val="fr-CA"/>
        </w:rPr>
        <w:t>selon lesquelles</w:t>
      </w:r>
      <w:r w:rsidR="0080611A">
        <w:rPr>
          <w:lang w:val="fr-CA"/>
        </w:rPr>
        <w:t>,</w:t>
      </w:r>
      <w:r w:rsidR="001F7199" w:rsidRPr="00B3274C">
        <w:rPr>
          <w:lang w:val="fr-CA"/>
        </w:rPr>
        <w:t xml:space="preserve"> sans préjudice de l</w:t>
      </w:r>
      <w:r w:rsidR="0080611A">
        <w:rPr>
          <w:lang w:val="fr-CA"/>
        </w:rPr>
        <w:t>’</w:t>
      </w:r>
      <w:r w:rsidR="00597DC4">
        <w:rPr>
          <w:lang w:val="fr-CA"/>
        </w:rPr>
        <w:t>article </w:t>
      </w:r>
      <w:r w:rsidR="001F7199" w:rsidRPr="00B3274C">
        <w:rPr>
          <w:lang w:val="fr-CA"/>
        </w:rPr>
        <w:t>281 du Code civil (atteintes aux droits)</w:t>
      </w:r>
      <w:r w:rsidR="0080611A">
        <w:rPr>
          <w:lang w:val="fr-CA"/>
        </w:rPr>
        <w:t>,</w:t>
      </w:r>
      <w:r w:rsidR="001F7199" w:rsidRPr="00B3274C">
        <w:rPr>
          <w:lang w:val="fr-CA"/>
        </w:rPr>
        <w:t xml:space="preserve"> l</w:t>
      </w:r>
      <w:r w:rsidR="0080611A">
        <w:rPr>
          <w:lang w:val="fr-CA"/>
        </w:rPr>
        <w:t>’</w:t>
      </w:r>
      <w:r w:rsidR="001F7199" w:rsidRPr="00B3274C">
        <w:rPr>
          <w:lang w:val="fr-CA"/>
        </w:rPr>
        <w:t>exercice des droits syndicaux fait l</w:t>
      </w:r>
      <w:r w:rsidR="0080611A">
        <w:rPr>
          <w:lang w:val="fr-CA"/>
        </w:rPr>
        <w:t>’</w:t>
      </w:r>
      <w:r w:rsidR="001F7199" w:rsidRPr="00B3274C">
        <w:rPr>
          <w:lang w:val="fr-CA"/>
        </w:rPr>
        <w:t>objet des</w:t>
      </w:r>
      <w:r w:rsidR="008B5962" w:rsidRPr="00B3274C">
        <w:rPr>
          <w:lang w:val="fr-CA"/>
        </w:rPr>
        <w:t xml:space="preserve"> restrictions </w:t>
      </w:r>
      <w:r w:rsidR="001F7199" w:rsidRPr="00B3274C">
        <w:rPr>
          <w:lang w:val="fr-CA"/>
        </w:rPr>
        <w:t>imposées par les particularités</w:t>
      </w:r>
      <w:r w:rsidR="0080611A">
        <w:rPr>
          <w:lang w:val="fr-CA"/>
        </w:rPr>
        <w:t>,</w:t>
      </w:r>
      <w:r w:rsidR="001F7199" w:rsidRPr="00B3274C">
        <w:rPr>
          <w:lang w:val="fr-CA"/>
        </w:rPr>
        <w:t xml:space="preserve"> la mission et</w:t>
      </w:r>
      <w:r w:rsidR="0080611A">
        <w:rPr>
          <w:lang w:val="fr-CA"/>
        </w:rPr>
        <w:t>,</w:t>
      </w:r>
      <w:r w:rsidR="001F7199" w:rsidRPr="00B3274C">
        <w:rPr>
          <w:lang w:val="fr-CA"/>
        </w:rPr>
        <w:t xml:space="preserve"> surtout</w:t>
      </w:r>
      <w:r w:rsidR="0080611A">
        <w:rPr>
          <w:lang w:val="fr-CA"/>
        </w:rPr>
        <w:t>,</w:t>
      </w:r>
      <w:r w:rsidR="001F7199" w:rsidRPr="00B3274C">
        <w:rPr>
          <w:lang w:val="fr-CA"/>
        </w:rPr>
        <w:t xml:space="preserve"> le caractère national et indépendant de la police grecque. </w:t>
      </w:r>
    </w:p>
    <w:p w:rsidR="00FB23D3" w:rsidRPr="00B3274C" w:rsidRDefault="00193187" w:rsidP="009C7C3A">
      <w:pPr>
        <w:pStyle w:val="H23G"/>
        <w:rPr>
          <w:lang w:val="fr-CA"/>
        </w:rPr>
      </w:pPr>
      <w:r w:rsidRPr="00B3274C">
        <w:rPr>
          <w:lang w:val="fr-CA"/>
        </w:rPr>
        <w:tab/>
      </w:r>
      <w:r w:rsidR="009C7C3A" w:rsidRPr="00B3274C">
        <w:rPr>
          <w:lang w:val="fr-CA"/>
        </w:rPr>
        <w:t>2.</w:t>
      </w:r>
      <w:r w:rsidRPr="00B3274C">
        <w:rPr>
          <w:lang w:val="fr-CA"/>
        </w:rPr>
        <w:tab/>
      </w:r>
      <w:r w:rsidR="00DB2288" w:rsidRPr="00B3274C">
        <w:rPr>
          <w:lang w:val="fr-CA"/>
        </w:rPr>
        <w:t xml:space="preserve">Magistrats </w:t>
      </w:r>
    </w:p>
    <w:p w:rsidR="00FB23D3" w:rsidRPr="00B3274C" w:rsidRDefault="00107A47" w:rsidP="00107A47">
      <w:pPr>
        <w:pStyle w:val="SingleTxtG"/>
        <w:rPr>
          <w:u w:val="single"/>
          <w:lang w:val="fr-CA"/>
        </w:rPr>
      </w:pPr>
      <w:r w:rsidRPr="00B3274C">
        <w:rPr>
          <w:lang w:val="fr-CA"/>
        </w:rPr>
        <w:t>100.</w:t>
      </w:r>
      <w:r w:rsidRPr="00B3274C">
        <w:rPr>
          <w:lang w:val="fr-CA"/>
        </w:rPr>
        <w:tab/>
      </w:r>
      <w:r w:rsidR="00DB2288" w:rsidRPr="00B3274C">
        <w:rPr>
          <w:lang w:val="fr-CA"/>
        </w:rPr>
        <w:t>L</w:t>
      </w:r>
      <w:r w:rsidR="0080611A">
        <w:rPr>
          <w:lang w:val="fr-CA"/>
        </w:rPr>
        <w:t>’</w:t>
      </w:r>
      <w:r w:rsidR="00597DC4">
        <w:rPr>
          <w:lang w:val="fr-CA"/>
        </w:rPr>
        <w:t>article </w:t>
      </w:r>
      <w:r w:rsidR="00DB2288" w:rsidRPr="00B3274C">
        <w:rPr>
          <w:lang w:val="fr-CA"/>
        </w:rPr>
        <w:t xml:space="preserve">23 2) </w:t>
      </w:r>
      <w:r w:rsidR="003F42B4">
        <w:rPr>
          <w:lang w:val="fr-CA"/>
        </w:rPr>
        <w:t xml:space="preserve">a) </w:t>
      </w:r>
      <w:r w:rsidR="00DB2288" w:rsidRPr="00B3274C">
        <w:rPr>
          <w:lang w:val="fr-CA"/>
        </w:rPr>
        <w:t>de la Constitution grecque stipule que le droit de grève</w:t>
      </w:r>
      <w:r w:rsidR="0080611A">
        <w:rPr>
          <w:lang w:val="fr-CA"/>
        </w:rPr>
        <w:t>,</w:t>
      </w:r>
      <w:r w:rsidR="00DB2288" w:rsidRPr="00B3274C">
        <w:rPr>
          <w:lang w:val="fr-CA"/>
        </w:rPr>
        <w:t xml:space="preserve"> sous quelque forme que ce soit</w:t>
      </w:r>
      <w:r w:rsidR="0080611A">
        <w:rPr>
          <w:lang w:val="fr-CA"/>
        </w:rPr>
        <w:t>,</w:t>
      </w:r>
      <w:r w:rsidR="00DB2288" w:rsidRPr="00B3274C">
        <w:rPr>
          <w:lang w:val="fr-CA"/>
        </w:rPr>
        <w:t xml:space="preserve"> est interdit aux magistrats. Par contre</w:t>
      </w:r>
      <w:r w:rsidR="0080611A">
        <w:rPr>
          <w:lang w:val="fr-CA"/>
        </w:rPr>
        <w:t>,</w:t>
      </w:r>
      <w:r w:rsidR="00DB2288" w:rsidRPr="00B3274C">
        <w:rPr>
          <w:lang w:val="fr-CA"/>
        </w:rPr>
        <w:t xml:space="preserve"> l</w:t>
      </w:r>
      <w:r w:rsidR="0080611A">
        <w:rPr>
          <w:lang w:val="fr-CA"/>
        </w:rPr>
        <w:t>’</w:t>
      </w:r>
      <w:r w:rsidR="00597DC4">
        <w:rPr>
          <w:lang w:val="fr-CA"/>
        </w:rPr>
        <w:t>article </w:t>
      </w:r>
      <w:r w:rsidR="00DB2288" w:rsidRPr="00B3274C">
        <w:rPr>
          <w:lang w:val="fr-CA"/>
        </w:rPr>
        <w:t>89</w:t>
      </w:r>
      <w:r w:rsidR="003F42B4">
        <w:rPr>
          <w:lang w:val="fr-CA"/>
        </w:rPr>
        <w:t> </w:t>
      </w:r>
      <w:r w:rsidR="00DB2288" w:rsidRPr="00B3274C">
        <w:rPr>
          <w:lang w:val="fr-CA"/>
        </w:rPr>
        <w:t xml:space="preserve">1) de la Constitution dispose que les magistrats (juges et procureurs) peuvent </w:t>
      </w:r>
      <w:r w:rsidR="0070515F" w:rsidRPr="00B3274C">
        <w:rPr>
          <w:lang w:val="fr-CA"/>
        </w:rPr>
        <w:t xml:space="preserve">former </w:t>
      </w:r>
      <w:r w:rsidR="00DB2288" w:rsidRPr="00B3274C">
        <w:rPr>
          <w:lang w:val="fr-CA"/>
        </w:rPr>
        <w:t xml:space="preserve">des syndicats sous réserve des conditions fixées par la loi. </w:t>
      </w:r>
      <w:r w:rsidR="0070515F" w:rsidRPr="00B3274C">
        <w:rPr>
          <w:lang w:val="fr-CA"/>
        </w:rPr>
        <w:t xml:space="preserve">De tels syndicats de magistrats ont déjà été constitués et fonctionnent en Grèce. </w:t>
      </w:r>
    </w:p>
    <w:p w:rsidR="00FB23D3" w:rsidRPr="00B3274C" w:rsidRDefault="00193187" w:rsidP="009C7C3A">
      <w:pPr>
        <w:pStyle w:val="H23G"/>
        <w:rPr>
          <w:lang w:val="fr-CA"/>
        </w:rPr>
      </w:pPr>
      <w:r w:rsidRPr="00B3274C">
        <w:rPr>
          <w:lang w:val="fr-CA"/>
        </w:rPr>
        <w:tab/>
      </w:r>
      <w:r w:rsidR="009C7C3A" w:rsidRPr="00B3274C">
        <w:rPr>
          <w:lang w:val="fr-CA"/>
        </w:rPr>
        <w:t>3.</w:t>
      </w:r>
      <w:r w:rsidRPr="00B3274C">
        <w:rPr>
          <w:lang w:val="fr-CA"/>
        </w:rPr>
        <w:tab/>
      </w:r>
      <w:r w:rsidR="0070515F" w:rsidRPr="00B3274C">
        <w:rPr>
          <w:lang w:val="fr-CA"/>
        </w:rPr>
        <w:t xml:space="preserve">Personnel militaire </w:t>
      </w:r>
    </w:p>
    <w:p w:rsidR="00FB23D3" w:rsidRPr="00F413A6" w:rsidRDefault="00107A47" w:rsidP="00107A47">
      <w:pPr>
        <w:pStyle w:val="SingleTxtG"/>
        <w:rPr>
          <w:lang w:val="fr-CA"/>
        </w:rPr>
      </w:pPr>
      <w:r w:rsidRPr="00B3274C">
        <w:rPr>
          <w:lang w:val="fr-CA"/>
        </w:rPr>
        <w:t>101.</w:t>
      </w:r>
      <w:r w:rsidRPr="00B3274C">
        <w:rPr>
          <w:lang w:val="fr-CA"/>
        </w:rPr>
        <w:tab/>
      </w:r>
      <w:r w:rsidR="0070515F" w:rsidRPr="00B3274C">
        <w:rPr>
          <w:lang w:val="fr-CA"/>
        </w:rPr>
        <w:t>Les membres des Forces armées grecques ne sont autorisés ni à former des syndicats ni à s</w:t>
      </w:r>
      <w:r w:rsidR="0080611A">
        <w:rPr>
          <w:lang w:val="fr-CA"/>
        </w:rPr>
        <w:t>’</w:t>
      </w:r>
      <w:r w:rsidR="0070515F" w:rsidRPr="00B3274C">
        <w:rPr>
          <w:lang w:val="fr-CA"/>
        </w:rPr>
        <w:t>affilier à des syndicats ni à participer à des grèves</w:t>
      </w:r>
      <w:r w:rsidR="0080611A">
        <w:rPr>
          <w:lang w:val="fr-CA"/>
        </w:rPr>
        <w:t>,</w:t>
      </w:r>
      <w:r w:rsidR="0070515F" w:rsidRPr="00B3274C">
        <w:rPr>
          <w:lang w:val="fr-CA"/>
        </w:rPr>
        <w:t xml:space="preserve"> aussi longtemps qu</w:t>
      </w:r>
      <w:r w:rsidR="0080611A">
        <w:rPr>
          <w:lang w:val="fr-CA"/>
        </w:rPr>
        <w:t>’</w:t>
      </w:r>
      <w:r w:rsidR="0070515F" w:rsidRPr="00B3274C">
        <w:rPr>
          <w:lang w:val="fr-CA"/>
        </w:rPr>
        <w:t xml:space="preserve">ils servent dans les Forces armées. </w:t>
      </w:r>
    </w:p>
    <w:p w:rsidR="00FB23D3" w:rsidRPr="00B3274C" w:rsidRDefault="00193187" w:rsidP="00C21586">
      <w:pPr>
        <w:pStyle w:val="H1G"/>
        <w:rPr>
          <w:lang w:val="fr-CA"/>
        </w:rPr>
      </w:pPr>
      <w:r w:rsidRPr="00B3274C">
        <w:rPr>
          <w:lang w:val="fr-CA"/>
        </w:rPr>
        <w:tab/>
      </w:r>
      <w:r w:rsidRPr="00B3274C">
        <w:rPr>
          <w:lang w:val="fr-CA"/>
        </w:rPr>
        <w:tab/>
      </w:r>
      <w:r w:rsidR="00597DC4">
        <w:rPr>
          <w:lang w:val="fr-CA"/>
        </w:rPr>
        <w:t>Article </w:t>
      </w:r>
      <w:r w:rsidR="00FB23D3" w:rsidRPr="00B3274C">
        <w:rPr>
          <w:lang w:val="fr-CA"/>
        </w:rPr>
        <w:t>9</w:t>
      </w:r>
      <w:r w:rsidR="00CF3E20">
        <w:rPr>
          <w:lang w:val="fr-CA"/>
        </w:rPr>
        <w:br/>
      </w:r>
      <w:r w:rsidR="0070515F" w:rsidRPr="00B3274C">
        <w:rPr>
          <w:lang w:val="fr-CA"/>
        </w:rPr>
        <w:t>Droit à la sécurité sociale</w:t>
      </w:r>
    </w:p>
    <w:p w:rsidR="00FB23D3" w:rsidRPr="00B3274C" w:rsidRDefault="00193187" w:rsidP="009C7C3A">
      <w:pPr>
        <w:pStyle w:val="H23G"/>
        <w:rPr>
          <w:lang w:val="fr-CA"/>
        </w:rPr>
      </w:pPr>
      <w:r w:rsidRPr="00B3274C">
        <w:rPr>
          <w:lang w:val="fr-CA"/>
        </w:rPr>
        <w:tab/>
      </w:r>
      <w:r w:rsidR="009C7C3A" w:rsidRPr="00B3274C">
        <w:rPr>
          <w:lang w:val="fr-CA"/>
        </w:rPr>
        <w:t>1.</w:t>
      </w:r>
      <w:r w:rsidRPr="00B3274C">
        <w:rPr>
          <w:lang w:val="fr-CA"/>
        </w:rPr>
        <w:tab/>
      </w:r>
      <w:r w:rsidR="0070515F" w:rsidRPr="00B3274C">
        <w:rPr>
          <w:lang w:val="fr-CA"/>
        </w:rPr>
        <w:t>Prestations sociales</w:t>
      </w:r>
    </w:p>
    <w:p w:rsidR="00FB23D3" w:rsidRPr="00B3274C" w:rsidRDefault="00107A47" w:rsidP="00107A47">
      <w:pPr>
        <w:pStyle w:val="SingleTxtG"/>
        <w:rPr>
          <w:lang w:val="fr-CA"/>
        </w:rPr>
      </w:pPr>
      <w:r w:rsidRPr="00B3274C">
        <w:rPr>
          <w:lang w:val="fr-CA"/>
        </w:rPr>
        <w:t>102.</w:t>
      </w:r>
      <w:r w:rsidRPr="00B3274C">
        <w:rPr>
          <w:lang w:val="fr-CA"/>
        </w:rPr>
        <w:tab/>
      </w:r>
      <w:r w:rsidR="0070515F" w:rsidRPr="00B3274C">
        <w:rPr>
          <w:lang w:val="fr-CA"/>
        </w:rPr>
        <w:t>Le Ministère de la santé et de la solidarité sociale applique</w:t>
      </w:r>
      <w:r w:rsidR="0080611A">
        <w:rPr>
          <w:lang w:val="fr-CA"/>
        </w:rPr>
        <w:t>,</w:t>
      </w:r>
      <w:r w:rsidR="0070515F" w:rsidRPr="00B3274C">
        <w:rPr>
          <w:lang w:val="fr-CA"/>
        </w:rPr>
        <w:t xml:space="preserve"> par l</w:t>
      </w:r>
      <w:r w:rsidR="0080611A">
        <w:rPr>
          <w:lang w:val="fr-CA"/>
        </w:rPr>
        <w:t>’</w:t>
      </w:r>
      <w:r w:rsidR="0070515F" w:rsidRPr="00B3274C">
        <w:rPr>
          <w:lang w:val="fr-CA"/>
        </w:rPr>
        <w:t>intermédiaire des organismes compétents</w:t>
      </w:r>
      <w:r w:rsidR="0080611A">
        <w:rPr>
          <w:lang w:val="fr-CA"/>
        </w:rPr>
        <w:t>,</w:t>
      </w:r>
      <w:r w:rsidR="0070515F" w:rsidRPr="00B3274C">
        <w:rPr>
          <w:lang w:val="fr-CA"/>
        </w:rPr>
        <w:t xml:space="preserve"> </w:t>
      </w:r>
      <w:r w:rsidR="00377B61" w:rsidRPr="00B3274C">
        <w:rPr>
          <w:lang w:val="fr-CA"/>
        </w:rPr>
        <w:t>dix</w:t>
      </w:r>
      <w:r w:rsidR="0070515F" w:rsidRPr="00B3274C">
        <w:rPr>
          <w:lang w:val="fr-CA"/>
        </w:rPr>
        <w:t xml:space="preserve"> programmes d</w:t>
      </w:r>
      <w:r w:rsidR="0080611A">
        <w:rPr>
          <w:lang w:val="fr-CA"/>
        </w:rPr>
        <w:t>’</w:t>
      </w:r>
      <w:r w:rsidR="0070515F" w:rsidRPr="00B3274C">
        <w:rPr>
          <w:lang w:val="fr-CA"/>
        </w:rPr>
        <w:t xml:space="preserve">aide financière </w:t>
      </w:r>
      <w:r w:rsidR="00527E44" w:rsidRPr="00B3274C">
        <w:rPr>
          <w:lang w:val="fr-CA"/>
        </w:rPr>
        <w:t>en relation avec les prestations des fonds de sécurité sociale</w:t>
      </w:r>
      <w:r w:rsidR="0080611A">
        <w:rPr>
          <w:lang w:val="fr-CA"/>
        </w:rPr>
        <w:t>,</w:t>
      </w:r>
      <w:r w:rsidR="00527E44" w:rsidRPr="00B3274C">
        <w:rPr>
          <w:lang w:val="fr-CA"/>
        </w:rPr>
        <w:t xml:space="preserve"> suivant le type et le niveau de handicap</w:t>
      </w:r>
      <w:r w:rsidR="0080611A">
        <w:rPr>
          <w:lang w:val="fr-CA"/>
        </w:rPr>
        <w:t>,</w:t>
      </w:r>
      <w:r w:rsidR="00527E44" w:rsidRPr="00B3274C">
        <w:rPr>
          <w:lang w:val="fr-CA"/>
        </w:rPr>
        <w:t xml:space="preserve"> la situation au regard des assurances</w:t>
      </w:r>
      <w:r w:rsidR="0080611A">
        <w:rPr>
          <w:lang w:val="fr-CA"/>
        </w:rPr>
        <w:t>,</w:t>
      </w:r>
      <w:r w:rsidR="00527E44" w:rsidRPr="00B3274C">
        <w:rPr>
          <w:lang w:val="fr-CA"/>
        </w:rPr>
        <w:t xml:space="preserve"> etc. Conformément à l</w:t>
      </w:r>
      <w:r w:rsidR="0080611A">
        <w:rPr>
          <w:lang w:val="fr-CA"/>
        </w:rPr>
        <w:t>’</w:t>
      </w:r>
      <w:r w:rsidR="00597DC4">
        <w:rPr>
          <w:lang w:val="fr-CA"/>
        </w:rPr>
        <w:t>article </w:t>
      </w:r>
      <w:r w:rsidR="00527E44" w:rsidRPr="00B3274C">
        <w:rPr>
          <w:lang w:val="fr-CA"/>
        </w:rPr>
        <w:t xml:space="preserve">9 de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4052/2012</w:t>
      </w:r>
      <w:r w:rsidR="0080611A">
        <w:rPr>
          <w:lang w:val="fr-CA"/>
        </w:rPr>
        <w:t>,</w:t>
      </w:r>
      <w:r w:rsidR="00FB23D3" w:rsidRPr="00B3274C">
        <w:rPr>
          <w:lang w:val="fr-CA"/>
        </w:rPr>
        <w:t xml:space="preserve"> </w:t>
      </w:r>
      <w:r w:rsidR="00527E44" w:rsidRPr="00B3274C">
        <w:rPr>
          <w:lang w:val="fr-CA"/>
        </w:rPr>
        <w:t xml:space="preserve">le Département de la protection sociale sera transféré au Ministère du travail et de la protection sociale </w:t>
      </w:r>
      <w:r w:rsidR="00B84A57" w:rsidRPr="00B3274C">
        <w:rPr>
          <w:lang w:val="fr-CA"/>
        </w:rPr>
        <w:t>le</w:t>
      </w:r>
      <w:r w:rsidR="00527E44" w:rsidRPr="00B3274C">
        <w:rPr>
          <w:lang w:val="fr-CA"/>
        </w:rPr>
        <w:t xml:space="preserve"> 1</w:t>
      </w:r>
      <w:r w:rsidR="00527E44" w:rsidRPr="00B3274C">
        <w:rPr>
          <w:vertAlign w:val="superscript"/>
          <w:lang w:val="fr-CA"/>
        </w:rPr>
        <w:t>er</w:t>
      </w:r>
      <w:r w:rsidR="003F42B4">
        <w:rPr>
          <w:lang w:val="fr-CA"/>
        </w:rPr>
        <w:t> </w:t>
      </w:r>
      <w:r w:rsidR="00527E44" w:rsidRPr="00B3274C">
        <w:rPr>
          <w:lang w:val="fr-CA"/>
        </w:rPr>
        <w:t xml:space="preserve">juillet 2012. </w:t>
      </w:r>
    </w:p>
    <w:p w:rsidR="00FB23D3" w:rsidRPr="00B3274C" w:rsidRDefault="00107A47" w:rsidP="00107A47">
      <w:pPr>
        <w:pStyle w:val="SingleTxtG"/>
        <w:rPr>
          <w:lang w:val="fr-CA"/>
        </w:rPr>
      </w:pPr>
      <w:r w:rsidRPr="00B3274C">
        <w:rPr>
          <w:lang w:val="fr-CA"/>
        </w:rPr>
        <w:t>103.</w:t>
      </w:r>
      <w:r w:rsidRPr="00B3274C">
        <w:rPr>
          <w:lang w:val="fr-CA"/>
        </w:rPr>
        <w:tab/>
      </w:r>
      <w:r w:rsidR="00E90B54" w:rsidRPr="00B3274C">
        <w:rPr>
          <w:lang w:val="fr-CA"/>
        </w:rPr>
        <w:t>Le montant de l</w:t>
      </w:r>
      <w:r w:rsidR="0080611A">
        <w:rPr>
          <w:lang w:val="fr-CA"/>
        </w:rPr>
        <w:t>’</w:t>
      </w:r>
      <w:r w:rsidR="00E90B54" w:rsidRPr="00B3274C">
        <w:rPr>
          <w:lang w:val="fr-CA"/>
        </w:rPr>
        <w:t>aide financière n</w:t>
      </w:r>
      <w:r w:rsidR="0080611A">
        <w:rPr>
          <w:lang w:val="fr-CA"/>
        </w:rPr>
        <w:t>’</w:t>
      </w:r>
      <w:r w:rsidR="00E90B54" w:rsidRPr="00B3274C">
        <w:rPr>
          <w:lang w:val="fr-CA"/>
        </w:rPr>
        <w:t>est pas lié aux revenus du bénéficiaire de l</w:t>
      </w:r>
      <w:r w:rsidR="0080611A">
        <w:rPr>
          <w:lang w:val="fr-CA"/>
        </w:rPr>
        <w:t>’</w:t>
      </w:r>
      <w:r w:rsidR="00E90B54" w:rsidRPr="00B3274C">
        <w:rPr>
          <w:lang w:val="fr-CA"/>
        </w:rPr>
        <w:t>aide publique ni à l</w:t>
      </w:r>
      <w:r w:rsidR="0080611A">
        <w:rPr>
          <w:lang w:val="fr-CA"/>
        </w:rPr>
        <w:t>’</w:t>
      </w:r>
      <w:r w:rsidR="00E90B54" w:rsidRPr="00B3274C">
        <w:rPr>
          <w:lang w:val="fr-CA"/>
        </w:rPr>
        <w:t xml:space="preserve">exonération fiscale dont il </w:t>
      </w:r>
      <w:r w:rsidR="0095000D" w:rsidRPr="00B3274C">
        <w:rPr>
          <w:lang w:val="fr-CA"/>
        </w:rPr>
        <w:t>bénéficie</w:t>
      </w:r>
      <w:r w:rsidR="00E90B54" w:rsidRPr="00B3274C">
        <w:rPr>
          <w:lang w:val="fr-CA"/>
        </w:rPr>
        <w:t xml:space="preserve">. </w:t>
      </w:r>
    </w:p>
    <w:p w:rsidR="00FB23D3" w:rsidRPr="00B3274C" w:rsidRDefault="00107A47" w:rsidP="00107A47">
      <w:pPr>
        <w:pStyle w:val="SingleTxtG"/>
        <w:rPr>
          <w:lang w:val="fr-CA"/>
        </w:rPr>
      </w:pPr>
      <w:r w:rsidRPr="00B3274C">
        <w:rPr>
          <w:lang w:val="fr-CA"/>
        </w:rPr>
        <w:t>104.</w:t>
      </w:r>
      <w:r w:rsidRPr="00B3274C">
        <w:rPr>
          <w:lang w:val="fr-CA"/>
        </w:rPr>
        <w:tab/>
      </w:r>
      <w:r w:rsidR="00E90B54" w:rsidRPr="00B3274C">
        <w:rPr>
          <w:lang w:val="fr-CA"/>
        </w:rPr>
        <w:t>En outre</w:t>
      </w:r>
      <w:r w:rsidR="0080611A">
        <w:rPr>
          <w:lang w:val="fr-CA"/>
        </w:rPr>
        <w:t>,</w:t>
      </w:r>
      <w:r w:rsidR="00E90B54" w:rsidRPr="00B3274C">
        <w:rPr>
          <w:lang w:val="fr-CA"/>
        </w:rPr>
        <w:t xml:space="preserve"> dans le cadre de la politique de prestations sociales appliquée par le Ministère de la santé et de la solidarité sociale</w:t>
      </w:r>
      <w:r w:rsidR="0080611A">
        <w:rPr>
          <w:lang w:val="fr-CA"/>
        </w:rPr>
        <w:t>,</w:t>
      </w:r>
      <w:r w:rsidR="00E90B54" w:rsidRPr="00B3274C">
        <w:rPr>
          <w:lang w:val="fr-CA"/>
        </w:rPr>
        <w:t xml:space="preserve"> l</w:t>
      </w:r>
      <w:r w:rsidR="0080611A">
        <w:rPr>
          <w:lang w:val="fr-CA"/>
        </w:rPr>
        <w:t>’</w:t>
      </w:r>
      <w:r w:rsidR="00E90B54" w:rsidRPr="00B3274C">
        <w:rPr>
          <w:lang w:val="fr-CA"/>
        </w:rPr>
        <w:t>indemnité de transport a remplacé l</w:t>
      </w:r>
      <w:r w:rsidR="0080611A">
        <w:rPr>
          <w:lang w:val="fr-CA"/>
        </w:rPr>
        <w:t>’</w:t>
      </w:r>
      <w:r w:rsidR="00E90B54" w:rsidRPr="00B3274C">
        <w:rPr>
          <w:lang w:val="fr-CA"/>
        </w:rPr>
        <w:t>indemnité de carburant</w:t>
      </w:r>
      <w:r w:rsidR="0080611A">
        <w:rPr>
          <w:lang w:val="fr-CA"/>
        </w:rPr>
        <w:t>,</w:t>
      </w:r>
      <w:r w:rsidR="00E90B54" w:rsidRPr="00B3274C">
        <w:rPr>
          <w:lang w:val="fr-CA"/>
        </w:rPr>
        <w:t xml:space="preserve"> conformément à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3627/2007.</w:t>
      </w:r>
      <w:r w:rsidR="00372815" w:rsidRPr="00B3274C">
        <w:rPr>
          <w:lang w:val="fr-CA"/>
        </w:rPr>
        <w:t xml:space="preserve"> Au sujet des indemnités de maternité et des indemnités versées aux familles nombreuses</w:t>
      </w:r>
      <w:r w:rsidR="0080611A">
        <w:rPr>
          <w:lang w:val="fr-CA"/>
        </w:rPr>
        <w:t>,</w:t>
      </w:r>
      <w:r w:rsidR="00372815" w:rsidRPr="00B3274C">
        <w:rPr>
          <w:lang w:val="fr-CA"/>
        </w:rPr>
        <w:t xml:space="preserve"> voir</w:t>
      </w:r>
      <w:r w:rsidR="008D0D1D" w:rsidRPr="00B3274C">
        <w:rPr>
          <w:lang w:val="fr-CA"/>
        </w:rPr>
        <w:t xml:space="preserve"> la </w:t>
      </w:r>
      <w:r w:rsidR="0085013E" w:rsidRPr="00B3274C">
        <w:rPr>
          <w:lang w:val="fr-CA"/>
        </w:rPr>
        <w:t>section</w:t>
      </w:r>
      <w:r w:rsidR="008D0D1D" w:rsidRPr="00B3274C">
        <w:rPr>
          <w:lang w:val="fr-CA"/>
        </w:rPr>
        <w:t xml:space="preserve"> du </w:t>
      </w:r>
      <w:r w:rsidR="0085013E" w:rsidRPr="00B3274C">
        <w:rPr>
          <w:lang w:val="fr-CA"/>
        </w:rPr>
        <w:t xml:space="preserve">présent </w:t>
      </w:r>
      <w:r w:rsidR="008D0D1D" w:rsidRPr="00B3274C">
        <w:rPr>
          <w:lang w:val="fr-CA"/>
        </w:rPr>
        <w:t>rapport consacrée à</w:t>
      </w:r>
      <w:r w:rsidR="00372815" w:rsidRPr="00B3274C">
        <w:rPr>
          <w:lang w:val="fr-CA"/>
        </w:rPr>
        <w:t xml:space="preserve"> l</w:t>
      </w:r>
      <w:r w:rsidR="0080611A">
        <w:rPr>
          <w:lang w:val="fr-CA"/>
        </w:rPr>
        <w:t>’</w:t>
      </w:r>
      <w:r w:rsidR="00597DC4">
        <w:rPr>
          <w:lang w:val="fr-CA"/>
        </w:rPr>
        <w:t>article </w:t>
      </w:r>
      <w:r w:rsidR="00372815" w:rsidRPr="00B3274C">
        <w:rPr>
          <w:lang w:val="fr-CA"/>
        </w:rPr>
        <w:t xml:space="preserve">10 </w:t>
      </w:r>
      <w:r w:rsidR="008D0D1D" w:rsidRPr="00B3274C">
        <w:rPr>
          <w:lang w:val="fr-CA"/>
        </w:rPr>
        <w:t>du Pacte</w:t>
      </w:r>
      <w:r w:rsidR="00372815" w:rsidRPr="00B3274C">
        <w:rPr>
          <w:lang w:val="fr-CA"/>
        </w:rPr>
        <w:t xml:space="preserve">. Concernant les indemnités versées </w:t>
      </w:r>
      <w:r w:rsidR="00A40A08">
        <w:rPr>
          <w:lang w:val="fr-CA"/>
        </w:rPr>
        <w:t>aux personnes</w:t>
      </w:r>
      <w:r w:rsidR="00372815" w:rsidRPr="00B3274C">
        <w:rPr>
          <w:lang w:val="fr-CA"/>
        </w:rPr>
        <w:t xml:space="preserve"> atteintes de maladies rénales pour leur permettre de couvrir leurs besoins nutritionnels</w:t>
      </w:r>
      <w:r w:rsidR="0080611A">
        <w:rPr>
          <w:lang w:val="fr-CA"/>
        </w:rPr>
        <w:t>,</w:t>
      </w:r>
      <w:r w:rsidR="00372815" w:rsidRPr="00B3274C">
        <w:rPr>
          <w:lang w:val="fr-CA"/>
        </w:rPr>
        <w:t xml:space="preserve"> voir</w:t>
      </w:r>
      <w:r w:rsidR="00E44699" w:rsidRPr="00B3274C">
        <w:rPr>
          <w:lang w:val="fr-CA"/>
        </w:rPr>
        <w:t xml:space="preserve"> la </w:t>
      </w:r>
      <w:r w:rsidR="0085013E" w:rsidRPr="00B3274C">
        <w:rPr>
          <w:lang w:val="fr-CA"/>
        </w:rPr>
        <w:t>section</w:t>
      </w:r>
      <w:r w:rsidR="00E44699" w:rsidRPr="00B3274C">
        <w:rPr>
          <w:lang w:val="fr-CA"/>
        </w:rPr>
        <w:t xml:space="preserve"> du </w:t>
      </w:r>
      <w:r w:rsidR="0085013E" w:rsidRPr="00B3274C">
        <w:rPr>
          <w:lang w:val="fr-CA"/>
        </w:rPr>
        <w:t xml:space="preserve">présent </w:t>
      </w:r>
      <w:r w:rsidR="00E44699" w:rsidRPr="00B3274C">
        <w:rPr>
          <w:lang w:val="fr-CA"/>
        </w:rPr>
        <w:t>rapport consacrée à</w:t>
      </w:r>
      <w:r w:rsidR="00372815" w:rsidRPr="00B3274C">
        <w:rPr>
          <w:lang w:val="fr-CA"/>
        </w:rPr>
        <w:t xml:space="preserve"> l</w:t>
      </w:r>
      <w:r w:rsidR="0080611A">
        <w:rPr>
          <w:lang w:val="fr-CA"/>
        </w:rPr>
        <w:t>’</w:t>
      </w:r>
      <w:r w:rsidR="00597DC4">
        <w:rPr>
          <w:lang w:val="fr-CA"/>
        </w:rPr>
        <w:t>article </w:t>
      </w:r>
      <w:r w:rsidR="00372815" w:rsidRPr="00B3274C">
        <w:rPr>
          <w:lang w:val="fr-CA"/>
        </w:rPr>
        <w:t>12</w:t>
      </w:r>
      <w:r w:rsidR="00E44699" w:rsidRPr="00B3274C">
        <w:rPr>
          <w:lang w:val="fr-CA"/>
        </w:rPr>
        <w:t xml:space="preserve"> du Pacte</w:t>
      </w:r>
      <w:r w:rsidR="00372815" w:rsidRPr="00B3274C">
        <w:rPr>
          <w:lang w:val="fr-CA"/>
        </w:rPr>
        <w:t>. Pour les indemnités d</w:t>
      </w:r>
      <w:r w:rsidR="0080611A">
        <w:rPr>
          <w:lang w:val="fr-CA"/>
        </w:rPr>
        <w:t>’</w:t>
      </w:r>
      <w:r w:rsidR="00372815" w:rsidRPr="00B3274C">
        <w:rPr>
          <w:lang w:val="fr-CA"/>
        </w:rPr>
        <w:t>aide au logement en cas de catastrophe et celles qui sont versées aux étrangers d</w:t>
      </w:r>
      <w:r w:rsidR="0080611A">
        <w:rPr>
          <w:lang w:val="fr-CA"/>
        </w:rPr>
        <w:t>’</w:t>
      </w:r>
      <w:r w:rsidR="00372815" w:rsidRPr="00B3274C">
        <w:rPr>
          <w:lang w:val="fr-CA"/>
        </w:rPr>
        <w:t>origine grecque de retour dans le pays</w:t>
      </w:r>
      <w:r w:rsidR="0080611A">
        <w:rPr>
          <w:lang w:val="fr-CA"/>
        </w:rPr>
        <w:t>,</w:t>
      </w:r>
      <w:r w:rsidR="00372815" w:rsidRPr="00B3274C">
        <w:rPr>
          <w:lang w:val="fr-CA"/>
        </w:rPr>
        <w:t xml:space="preserve"> voir </w:t>
      </w:r>
      <w:r w:rsidR="00AC617C" w:rsidRPr="00B3274C">
        <w:rPr>
          <w:lang w:val="fr-CA"/>
        </w:rPr>
        <w:t xml:space="preserve">la </w:t>
      </w:r>
      <w:r w:rsidR="0085013E" w:rsidRPr="00B3274C">
        <w:rPr>
          <w:lang w:val="fr-CA"/>
        </w:rPr>
        <w:t>section</w:t>
      </w:r>
      <w:r w:rsidR="00AC617C" w:rsidRPr="00B3274C">
        <w:rPr>
          <w:lang w:val="fr-CA"/>
        </w:rPr>
        <w:t xml:space="preserve"> du</w:t>
      </w:r>
      <w:r w:rsidR="0085013E" w:rsidRPr="00B3274C">
        <w:rPr>
          <w:lang w:val="fr-CA"/>
        </w:rPr>
        <w:t xml:space="preserve"> présent</w:t>
      </w:r>
      <w:r w:rsidR="00AC617C" w:rsidRPr="00B3274C">
        <w:rPr>
          <w:lang w:val="fr-CA"/>
        </w:rPr>
        <w:t xml:space="preserve"> rapport consacrée à </w:t>
      </w:r>
      <w:r w:rsidR="00372815" w:rsidRPr="00B3274C">
        <w:rPr>
          <w:lang w:val="fr-CA"/>
        </w:rPr>
        <w:t>l</w:t>
      </w:r>
      <w:r w:rsidR="0080611A">
        <w:rPr>
          <w:lang w:val="fr-CA"/>
        </w:rPr>
        <w:t>’</w:t>
      </w:r>
      <w:r w:rsidR="00597DC4">
        <w:rPr>
          <w:lang w:val="fr-CA"/>
        </w:rPr>
        <w:t>article </w:t>
      </w:r>
      <w:r w:rsidR="00372815" w:rsidRPr="00B3274C">
        <w:rPr>
          <w:lang w:val="fr-CA"/>
        </w:rPr>
        <w:t xml:space="preserve">11 du </w:t>
      </w:r>
      <w:r w:rsidR="00AC617C" w:rsidRPr="00B3274C">
        <w:rPr>
          <w:lang w:val="fr-CA"/>
        </w:rPr>
        <w:t>Pacte</w:t>
      </w:r>
      <w:r w:rsidR="00372815" w:rsidRPr="00B3274C">
        <w:rPr>
          <w:lang w:val="fr-CA"/>
        </w:rPr>
        <w:t xml:space="preserve">. </w:t>
      </w:r>
      <w:r w:rsidR="00EB41FF" w:rsidRPr="00B3274C">
        <w:rPr>
          <w:lang w:val="fr-CA"/>
        </w:rPr>
        <w:t>Font partie des prestations d</w:t>
      </w:r>
      <w:r w:rsidR="0080611A">
        <w:rPr>
          <w:lang w:val="fr-CA"/>
        </w:rPr>
        <w:t>’</w:t>
      </w:r>
      <w:r w:rsidR="00EB41FF" w:rsidRPr="00B3274C">
        <w:rPr>
          <w:lang w:val="fr-CA"/>
        </w:rPr>
        <w:t xml:space="preserve">invalidité les prestations versées </w:t>
      </w:r>
      <w:r w:rsidR="00A40A08">
        <w:rPr>
          <w:lang w:val="fr-CA"/>
        </w:rPr>
        <w:t>aux personnes</w:t>
      </w:r>
      <w:r w:rsidR="00EB41FF" w:rsidRPr="00B3274C">
        <w:rPr>
          <w:lang w:val="fr-CA"/>
        </w:rPr>
        <w:t xml:space="preserve"> séropositives et aux hémophiles. </w:t>
      </w:r>
    </w:p>
    <w:p w:rsidR="00FB23D3" w:rsidRPr="00B3274C" w:rsidRDefault="00193187" w:rsidP="000445D8">
      <w:pPr>
        <w:pStyle w:val="H23G"/>
        <w:rPr>
          <w:lang w:val="fr-CA"/>
        </w:rPr>
      </w:pPr>
      <w:r w:rsidRPr="00B3274C">
        <w:rPr>
          <w:lang w:val="fr-CA"/>
        </w:rPr>
        <w:tab/>
      </w:r>
      <w:r w:rsidR="00F01A74" w:rsidRPr="00B3274C">
        <w:rPr>
          <w:lang w:val="fr-CA"/>
        </w:rPr>
        <w:t>2</w:t>
      </w:r>
      <w:r w:rsidR="000445D8" w:rsidRPr="00B3274C">
        <w:rPr>
          <w:lang w:val="fr-CA"/>
        </w:rPr>
        <w:t>.</w:t>
      </w:r>
      <w:r w:rsidRPr="00B3274C">
        <w:rPr>
          <w:lang w:val="fr-CA"/>
        </w:rPr>
        <w:tab/>
      </w:r>
      <w:r w:rsidR="00315465" w:rsidRPr="00B3274C">
        <w:rPr>
          <w:lang w:val="fr-CA"/>
        </w:rPr>
        <w:t>Prestations de sécurité sociale</w:t>
      </w:r>
    </w:p>
    <w:p w:rsidR="00FB23D3" w:rsidRPr="00B3274C" w:rsidRDefault="00107A47" w:rsidP="00107A47">
      <w:pPr>
        <w:pStyle w:val="SingleTxtG"/>
        <w:rPr>
          <w:bCs/>
          <w:lang w:val="fr-CA"/>
        </w:rPr>
      </w:pPr>
      <w:r w:rsidRPr="00B3274C">
        <w:rPr>
          <w:bCs/>
          <w:lang w:val="fr-CA"/>
        </w:rPr>
        <w:t>105.</w:t>
      </w:r>
      <w:r w:rsidRPr="00B3274C">
        <w:rPr>
          <w:bCs/>
          <w:lang w:val="fr-CA"/>
        </w:rPr>
        <w:tab/>
      </w:r>
      <w:r w:rsidR="00315465" w:rsidRPr="00B3274C">
        <w:rPr>
          <w:bCs/>
          <w:lang w:val="fr-CA"/>
        </w:rPr>
        <w:t>L</w:t>
      </w:r>
      <w:r w:rsidR="00BD7072" w:rsidRPr="00B3274C">
        <w:rPr>
          <w:bCs/>
          <w:lang w:val="fr-CA"/>
        </w:rPr>
        <w:t>a sécurité sociale est garanti</w:t>
      </w:r>
      <w:r w:rsidR="00E26D20" w:rsidRPr="00B3274C">
        <w:rPr>
          <w:bCs/>
          <w:lang w:val="fr-CA"/>
        </w:rPr>
        <w:t>e</w:t>
      </w:r>
      <w:r w:rsidR="00315465" w:rsidRPr="00B3274C">
        <w:rPr>
          <w:bCs/>
          <w:lang w:val="fr-CA"/>
        </w:rPr>
        <w:t xml:space="preserve"> par la Constitution grecque </w:t>
      </w:r>
      <w:r w:rsidR="008C4A42" w:rsidRPr="00B3274C">
        <w:rPr>
          <w:bCs/>
          <w:lang w:val="fr-CA"/>
        </w:rPr>
        <w:t>(art. </w:t>
      </w:r>
      <w:r w:rsidR="00315465" w:rsidRPr="00B3274C">
        <w:rPr>
          <w:bCs/>
          <w:lang w:val="fr-CA"/>
        </w:rPr>
        <w:t>22</w:t>
      </w:r>
      <w:r w:rsidR="0080611A">
        <w:rPr>
          <w:bCs/>
          <w:lang w:val="fr-CA"/>
        </w:rPr>
        <w:t>,</w:t>
      </w:r>
      <w:r w:rsidR="00315465" w:rsidRPr="00B3274C">
        <w:rPr>
          <w:bCs/>
          <w:lang w:val="fr-CA"/>
        </w:rPr>
        <w:t xml:space="preserve"> par.</w:t>
      </w:r>
      <w:r w:rsidR="00782442">
        <w:rPr>
          <w:bCs/>
          <w:lang w:val="fr-CA"/>
        </w:rPr>
        <w:t> </w:t>
      </w:r>
      <w:r w:rsidR="00315465" w:rsidRPr="00B3274C">
        <w:rPr>
          <w:bCs/>
          <w:lang w:val="fr-CA"/>
        </w:rPr>
        <w:t xml:space="preserve">5). </w:t>
      </w:r>
      <w:r w:rsidR="00E26D20" w:rsidRPr="00B3274C">
        <w:rPr>
          <w:bCs/>
          <w:lang w:val="fr-CA"/>
        </w:rPr>
        <w:t xml:space="preserve">Le </w:t>
      </w:r>
      <w:bookmarkStart w:id="10" w:name="OLE_LINK17"/>
      <w:bookmarkStart w:id="11" w:name="OLE_LINK18"/>
      <w:r w:rsidR="00E26D20" w:rsidRPr="00B3274C">
        <w:rPr>
          <w:bCs/>
          <w:lang w:val="fr-CA"/>
        </w:rPr>
        <w:t>système de sécurité sociale</w:t>
      </w:r>
      <w:bookmarkEnd w:id="10"/>
      <w:bookmarkEnd w:id="11"/>
      <w:r w:rsidR="0080611A">
        <w:rPr>
          <w:bCs/>
          <w:lang w:val="fr-CA"/>
        </w:rPr>
        <w:t>,</w:t>
      </w:r>
      <w:r w:rsidR="00E26D20" w:rsidRPr="00B3274C">
        <w:rPr>
          <w:bCs/>
          <w:lang w:val="fr-CA"/>
        </w:rPr>
        <w:t xml:space="preserve"> auxquels sont affiliés tous les employés de l</w:t>
      </w:r>
      <w:r w:rsidR="0080611A">
        <w:rPr>
          <w:bCs/>
          <w:lang w:val="fr-CA"/>
        </w:rPr>
        <w:t>’</w:t>
      </w:r>
      <w:r w:rsidR="00E26D20" w:rsidRPr="00B3274C">
        <w:rPr>
          <w:bCs/>
          <w:lang w:val="fr-CA"/>
        </w:rPr>
        <w:t>ensemble du pays</w:t>
      </w:r>
      <w:r w:rsidR="0080611A">
        <w:rPr>
          <w:bCs/>
          <w:lang w:val="fr-CA"/>
        </w:rPr>
        <w:t>,</w:t>
      </w:r>
      <w:r w:rsidR="00E26D20" w:rsidRPr="00B3274C">
        <w:rPr>
          <w:bCs/>
          <w:lang w:val="fr-CA"/>
        </w:rPr>
        <w:t xml:space="preserve"> fonctionne avec des organismes autogérés</w:t>
      </w:r>
      <w:r w:rsidR="00FB23D3" w:rsidRPr="00B3274C">
        <w:rPr>
          <w:lang w:val="fr-CA"/>
        </w:rPr>
        <w:t xml:space="preserve">. </w:t>
      </w:r>
      <w:r w:rsidR="003A0E92" w:rsidRPr="00B3274C">
        <w:rPr>
          <w:lang w:val="fr-CA"/>
        </w:rPr>
        <w:t>Dans le secteur de la protection sociale</w:t>
      </w:r>
      <w:r w:rsidR="0080611A">
        <w:rPr>
          <w:lang w:val="fr-CA"/>
        </w:rPr>
        <w:t>,</w:t>
      </w:r>
      <w:r w:rsidR="003A0E92" w:rsidRPr="00B3274C">
        <w:rPr>
          <w:lang w:val="fr-CA"/>
        </w:rPr>
        <w:t xml:space="preserve"> ces dernières années</w:t>
      </w:r>
      <w:r w:rsidR="0080611A">
        <w:rPr>
          <w:lang w:val="fr-CA"/>
        </w:rPr>
        <w:t>,</w:t>
      </w:r>
      <w:r w:rsidR="003A0E92" w:rsidRPr="00B3274C">
        <w:rPr>
          <w:lang w:val="fr-CA"/>
        </w:rPr>
        <w:t xml:space="preserve"> un dialogue social a été mené en Grèce en vue de réformer le régime d</w:t>
      </w:r>
      <w:r w:rsidR="0080611A">
        <w:rPr>
          <w:lang w:val="fr-CA"/>
        </w:rPr>
        <w:t>’</w:t>
      </w:r>
      <w:r w:rsidR="003A0E92" w:rsidRPr="00B3274C">
        <w:rPr>
          <w:lang w:val="fr-CA"/>
        </w:rPr>
        <w:t>assurance sociale</w:t>
      </w:r>
      <w:r w:rsidR="0080611A">
        <w:rPr>
          <w:lang w:val="fr-CA"/>
        </w:rPr>
        <w:t>,</w:t>
      </w:r>
      <w:r w:rsidR="003A0E92" w:rsidRPr="00B3274C">
        <w:rPr>
          <w:lang w:val="fr-CA"/>
        </w:rPr>
        <w:t xml:space="preserve"> afin de garantir un avenir sûr et un système moderne</w:t>
      </w:r>
      <w:r w:rsidR="0080611A">
        <w:rPr>
          <w:lang w:val="fr-CA"/>
        </w:rPr>
        <w:t>,</w:t>
      </w:r>
      <w:r w:rsidR="003A0E92" w:rsidRPr="00B3274C">
        <w:rPr>
          <w:lang w:val="fr-CA"/>
        </w:rPr>
        <w:t xml:space="preserve"> ration</w:t>
      </w:r>
      <w:r w:rsidR="00BC01F7" w:rsidRPr="00B3274C">
        <w:rPr>
          <w:lang w:val="fr-CA"/>
        </w:rPr>
        <w:t>ne</w:t>
      </w:r>
      <w:r w:rsidR="003A0E92" w:rsidRPr="00B3274C">
        <w:rPr>
          <w:lang w:val="fr-CA"/>
        </w:rPr>
        <w:t>l</w:t>
      </w:r>
      <w:r w:rsidR="0080611A">
        <w:rPr>
          <w:lang w:val="fr-CA"/>
        </w:rPr>
        <w:t>,</w:t>
      </w:r>
      <w:r w:rsidR="003A0E92" w:rsidRPr="00B3274C">
        <w:rPr>
          <w:lang w:val="fr-CA"/>
        </w:rPr>
        <w:t xml:space="preserve"> socialement équitable et viable avec des per</w:t>
      </w:r>
      <w:r w:rsidR="00BC01F7" w:rsidRPr="00B3274C">
        <w:rPr>
          <w:lang w:val="fr-CA"/>
        </w:rPr>
        <w:t>s</w:t>
      </w:r>
      <w:r w:rsidR="003A0E92" w:rsidRPr="00B3274C">
        <w:rPr>
          <w:lang w:val="fr-CA"/>
        </w:rPr>
        <w:t xml:space="preserve">pectives à long terme. </w:t>
      </w:r>
    </w:p>
    <w:p w:rsidR="00FB23D3" w:rsidRPr="00B3274C" w:rsidRDefault="00107A47" w:rsidP="00107A47">
      <w:pPr>
        <w:pStyle w:val="SingleTxtG"/>
        <w:rPr>
          <w:lang w:val="fr-CA"/>
        </w:rPr>
      </w:pPr>
      <w:r w:rsidRPr="00B3274C">
        <w:rPr>
          <w:lang w:val="fr-CA"/>
        </w:rPr>
        <w:t>106.</w:t>
      </w:r>
      <w:r w:rsidRPr="00B3274C">
        <w:rPr>
          <w:lang w:val="fr-CA"/>
        </w:rPr>
        <w:tab/>
      </w:r>
      <w:r w:rsidR="007A3C8C" w:rsidRPr="00B3274C">
        <w:rPr>
          <w:lang w:val="fr-CA"/>
        </w:rPr>
        <w:t>L</w:t>
      </w:r>
      <w:r w:rsidR="0080611A">
        <w:rPr>
          <w:lang w:val="fr-CA"/>
        </w:rPr>
        <w:t>’</w:t>
      </w:r>
      <w:r w:rsidR="007A3C8C" w:rsidRPr="00B3274C">
        <w:rPr>
          <w:lang w:val="fr-CA"/>
        </w:rPr>
        <w:t>une des préoccupations fondamentales de cette action est de maintenir le caractère public</w:t>
      </w:r>
      <w:r w:rsidR="0080611A">
        <w:rPr>
          <w:lang w:val="fr-CA"/>
        </w:rPr>
        <w:t>,</w:t>
      </w:r>
      <w:r w:rsidR="007A3C8C" w:rsidRPr="00B3274C">
        <w:rPr>
          <w:lang w:val="fr-CA"/>
        </w:rPr>
        <w:t xml:space="preserve"> global</w:t>
      </w:r>
      <w:r w:rsidR="0080611A">
        <w:rPr>
          <w:lang w:val="fr-CA"/>
        </w:rPr>
        <w:t>,</w:t>
      </w:r>
      <w:r w:rsidR="007A3C8C" w:rsidRPr="00B3274C">
        <w:rPr>
          <w:lang w:val="fr-CA"/>
        </w:rPr>
        <w:t xml:space="preserve"> obligatoire et redistributif des assurances sociales et</w:t>
      </w:r>
      <w:r w:rsidR="0080611A">
        <w:rPr>
          <w:lang w:val="fr-CA"/>
        </w:rPr>
        <w:t>,</w:t>
      </w:r>
      <w:r w:rsidR="007A3C8C" w:rsidRPr="00B3274C">
        <w:rPr>
          <w:lang w:val="fr-CA"/>
        </w:rPr>
        <w:t xml:space="preserve"> simultanément</w:t>
      </w:r>
      <w:r w:rsidR="0080611A">
        <w:rPr>
          <w:lang w:val="fr-CA"/>
        </w:rPr>
        <w:t>,</w:t>
      </w:r>
      <w:r w:rsidR="007A3C8C" w:rsidRPr="00B3274C">
        <w:rPr>
          <w:lang w:val="fr-CA"/>
        </w:rPr>
        <w:t xml:space="preserve"> de faire face aux grands problèmes qui se sont amoncelés au cours des dernières décennies (par exemple</w:t>
      </w:r>
      <w:r w:rsidR="0080611A">
        <w:rPr>
          <w:lang w:val="fr-CA"/>
        </w:rPr>
        <w:t>,</w:t>
      </w:r>
      <w:r w:rsidR="007A3C8C" w:rsidRPr="00B3274C">
        <w:rPr>
          <w:lang w:val="fr-CA"/>
        </w:rPr>
        <w:t xml:space="preserve"> gestion efficace des ressources des organismes d</w:t>
      </w:r>
      <w:r w:rsidR="0080611A">
        <w:rPr>
          <w:lang w:val="fr-CA"/>
        </w:rPr>
        <w:t>’</w:t>
      </w:r>
      <w:r w:rsidR="007A3C8C" w:rsidRPr="00B3274C">
        <w:rPr>
          <w:lang w:val="fr-CA"/>
        </w:rPr>
        <w:t>assurance sociale</w:t>
      </w:r>
      <w:r w:rsidR="0080611A">
        <w:rPr>
          <w:lang w:val="fr-CA"/>
        </w:rPr>
        <w:t>,</w:t>
      </w:r>
      <w:r w:rsidR="007A3C8C" w:rsidRPr="00B3274C">
        <w:rPr>
          <w:lang w:val="fr-CA"/>
        </w:rPr>
        <w:t xml:space="preserve"> existence d</w:t>
      </w:r>
      <w:r w:rsidR="0080611A">
        <w:rPr>
          <w:lang w:val="fr-CA"/>
        </w:rPr>
        <w:t>’</w:t>
      </w:r>
      <w:r w:rsidR="007A3C8C" w:rsidRPr="00B3274C">
        <w:rPr>
          <w:lang w:val="fr-CA"/>
        </w:rPr>
        <w:t>un grand nombre d</w:t>
      </w:r>
      <w:r w:rsidR="0080611A">
        <w:rPr>
          <w:lang w:val="fr-CA"/>
        </w:rPr>
        <w:t>’</w:t>
      </w:r>
      <w:r w:rsidR="007A3C8C" w:rsidRPr="00B3274C">
        <w:rPr>
          <w:lang w:val="fr-CA"/>
        </w:rPr>
        <w:t>organismes d</w:t>
      </w:r>
      <w:r w:rsidR="0080611A">
        <w:rPr>
          <w:lang w:val="fr-CA"/>
        </w:rPr>
        <w:t>’</w:t>
      </w:r>
      <w:r w:rsidR="007A3C8C" w:rsidRPr="00B3274C">
        <w:rPr>
          <w:lang w:val="fr-CA"/>
        </w:rPr>
        <w:t xml:space="preserve">assurance sociale). </w:t>
      </w:r>
    </w:p>
    <w:p w:rsidR="00FB23D3" w:rsidRPr="00B3274C" w:rsidRDefault="00107A47" w:rsidP="00107A47">
      <w:pPr>
        <w:pStyle w:val="SingleTxtG"/>
        <w:rPr>
          <w:lang w:val="fr-CA"/>
        </w:rPr>
      </w:pPr>
      <w:r w:rsidRPr="00B3274C">
        <w:rPr>
          <w:lang w:val="fr-CA"/>
        </w:rPr>
        <w:t>107.</w:t>
      </w:r>
      <w:r w:rsidRPr="00B3274C">
        <w:rPr>
          <w:lang w:val="fr-CA"/>
        </w:rPr>
        <w:tab/>
      </w:r>
      <w:r w:rsidR="003C12A0" w:rsidRPr="00B3274C">
        <w:rPr>
          <w:lang w:val="fr-CA"/>
        </w:rPr>
        <w:t xml:space="preserve">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 xml:space="preserve">3655 </w:t>
      </w:r>
      <w:r w:rsidR="003C12A0" w:rsidRPr="00B3274C">
        <w:rPr>
          <w:lang w:val="fr-CA"/>
        </w:rPr>
        <w:t xml:space="preserve">a été adoptée en avril 2008 dans le but de réformer le </w:t>
      </w:r>
      <w:bookmarkStart w:id="12" w:name="OLE_LINK21"/>
      <w:bookmarkStart w:id="13" w:name="OLE_LINK22"/>
      <w:r w:rsidR="003C12A0" w:rsidRPr="00B3274C">
        <w:rPr>
          <w:lang w:val="fr-CA"/>
        </w:rPr>
        <w:t>système d</w:t>
      </w:r>
      <w:r w:rsidR="0080611A">
        <w:rPr>
          <w:lang w:val="fr-CA"/>
        </w:rPr>
        <w:t>’</w:t>
      </w:r>
      <w:r w:rsidR="003C12A0" w:rsidRPr="00B3274C">
        <w:rPr>
          <w:lang w:val="fr-CA"/>
        </w:rPr>
        <w:t>assurance sociale</w:t>
      </w:r>
      <w:bookmarkEnd w:id="12"/>
      <w:bookmarkEnd w:id="13"/>
      <w:r w:rsidR="003C12A0" w:rsidRPr="00B3274C">
        <w:rPr>
          <w:lang w:val="fr-CA"/>
        </w:rPr>
        <w:t xml:space="preserve"> grec et de garantir sa durabilité et son aptitude à répondre aux besoins des citoyens en matière de protection sociale. La loi a i</w:t>
      </w:r>
      <w:r w:rsidR="00F413A6">
        <w:rPr>
          <w:lang w:val="fr-CA"/>
        </w:rPr>
        <w:t>nstitué le regroupement des 133 </w:t>
      </w:r>
      <w:r w:rsidR="003C12A0" w:rsidRPr="00B3274C">
        <w:rPr>
          <w:lang w:val="fr-CA"/>
        </w:rPr>
        <w:t xml:space="preserve">organismes et services </w:t>
      </w:r>
      <w:r w:rsidR="006E3824" w:rsidRPr="00B3274C">
        <w:rPr>
          <w:lang w:val="fr-CA"/>
        </w:rPr>
        <w:t>qui existaient précédemment</w:t>
      </w:r>
      <w:r w:rsidR="003C12A0" w:rsidRPr="00B3274C">
        <w:rPr>
          <w:lang w:val="fr-CA"/>
        </w:rPr>
        <w:t xml:space="preserve"> en 13 organismes d</w:t>
      </w:r>
      <w:r w:rsidR="0080611A">
        <w:rPr>
          <w:lang w:val="fr-CA"/>
        </w:rPr>
        <w:t>’</w:t>
      </w:r>
      <w:r w:rsidR="003C12A0" w:rsidRPr="00B3274C">
        <w:rPr>
          <w:lang w:val="fr-CA"/>
        </w:rPr>
        <w:t>assurance sociale. La nouvelle structure a simplifié les contrôles et renforcé les efforts visant à réduire l</w:t>
      </w:r>
      <w:r w:rsidR="0080611A">
        <w:rPr>
          <w:lang w:val="fr-CA"/>
        </w:rPr>
        <w:t>’</w:t>
      </w:r>
      <w:r w:rsidR="003C12A0" w:rsidRPr="00B3274C">
        <w:rPr>
          <w:lang w:val="fr-CA"/>
        </w:rPr>
        <w:t xml:space="preserve">évasion des cotisations et le travail non déclaré. </w:t>
      </w:r>
      <w:r w:rsidR="00901438" w:rsidRPr="00B3274C">
        <w:rPr>
          <w:lang w:val="fr-CA"/>
        </w:rPr>
        <w:t>Elle a également adopté la procédure conçue pour améliorer les rendements des investissements grâce à une gestion plus efficace et plus rationnelle des fonds. En outre</w:t>
      </w:r>
      <w:r w:rsidR="0080611A">
        <w:rPr>
          <w:lang w:val="fr-CA"/>
        </w:rPr>
        <w:t>,</w:t>
      </w:r>
      <w:r w:rsidR="00901438" w:rsidRPr="00B3274C">
        <w:rPr>
          <w:lang w:val="fr-CA"/>
        </w:rPr>
        <w:t xml:space="preserve"> le </w:t>
      </w:r>
      <w:r w:rsidR="00412FF5" w:rsidRPr="00B3274C">
        <w:rPr>
          <w:lang w:val="fr-CA"/>
        </w:rPr>
        <w:t>Fonds d</w:t>
      </w:r>
      <w:r w:rsidR="0080611A">
        <w:rPr>
          <w:lang w:val="fr-CA"/>
        </w:rPr>
        <w:t>’</w:t>
      </w:r>
      <w:r w:rsidR="00412FF5" w:rsidRPr="00B3274C">
        <w:rPr>
          <w:lang w:val="fr-CA"/>
        </w:rPr>
        <w:t xml:space="preserve">assurance sociale pour la solidarité intergénérationelle </w:t>
      </w:r>
      <w:r w:rsidR="00FB23D3" w:rsidRPr="00B3274C">
        <w:rPr>
          <w:lang w:val="fr-CA"/>
        </w:rPr>
        <w:t>(AKAGE)</w:t>
      </w:r>
      <w:r w:rsidR="0080611A">
        <w:rPr>
          <w:lang w:val="fr-CA"/>
        </w:rPr>
        <w:t>,</w:t>
      </w:r>
      <w:r w:rsidR="00FB23D3" w:rsidRPr="00B3274C">
        <w:rPr>
          <w:lang w:val="fr-CA"/>
        </w:rPr>
        <w:t xml:space="preserve"> </w:t>
      </w:r>
      <w:r w:rsidR="00412FF5" w:rsidRPr="00B3274C">
        <w:rPr>
          <w:lang w:val="fr-CA"/>
        </w:rPr>
        <w:t>qui garantira les programmes d</w:t>
      </w:r>
      <w:r w:rsidR="0080611A">
        <w:rPr>
          <w:lang w:val="fr-CA"/>
        </w:rPr>
        <w:t>’</w:t>
      </w:r>
      <w:r w:rsidR="00412FF5" w:rsidRPr="00B3274C">
        <w:rPr>
          <w:lang w:val="fr-CA"/>
        </w:rPr>
        <w:t>assurance sociale en Grèce</w:t>
      </w:r>
      <w:r w:rsidR="0080611A">
        <w:rPr>
          <w:lang w:val="fr-CA"/>
        </w:rPr>
        <w:t>,</w:t>
      </w:r>
      <w:r w:rsidR="00412FF5" w:rsidRPr="00B3274C">
        <w:rPr>
          <w:lang w:val="fr-CA"/>
        </w:rPr>
        <w:t xml:space="preserve"> sera financé à raison de 10</w:t>
      </w:r>
      <w:r w:rsidR="0050285B">
        <w:rPr>
          <w:lang w:val="fr-CA"/>
        </w:rPr>
        <w:t> %</w:t>
      </w:r>
      <w:r w:rsidR="00412FF5" w:rsidRPr="00B3274C">
        <w:rPr>
          <w:lang w:val="fr-CA"/>
        </w:rPr>
        <w:t xml:space="preserve"> par le produit de la privatisation d</w:t>
      </w:r>
      <w:r w:rsidR="0080611A">
        <w:rPr>
          <w:lang w:val="fr-CA"/>
        </w:rPr>
        <w:t>’</w:t>
      </w:r>
      <w:r w:rsidR="00412FF5" w:rsidRPr="00B3274C">
        <w:rPr>
          <w:lang w:val="fr-CA"/>
        </w:rPr>
        <w:t>entreprises publiques</w:t>
      </w:r>
      <w:r w:rsidR="0080611A">
        <w:rPr>
          <w:lang w:val="fr-CA"/>
        </w:rPr>
        <w:t>,</w:t>
      </w:r>
      <w:r w:rsidR="00412FF5" w:rsidRPr="00B3274C">
        <w:rPr>
          <w:lang w:val="fr-CA"/>
        </w:rPr>
        <w:t xml:space="preserve"> à raison de 4</w:t>
      </w:r>
      <w:r w:rsidR="0050285B">
        <w:rPr>
          <w:lang w:val="fr-CA"/>
        </w:rPr>
        <w:t> %</w:t>
      </w:r>
      <w:r w:rsidR="00412FF5" w:rsidRPr="00B3274C">
        <w:rPr>
          <w:lang w:val="fr-CA"/>
        </w:rPr>
        <w:t xml:space="preserve"> par les recettes annuelles de TVA et à raison de 10</w:t>
      </w:r>
      <w:r w:rsidR="0050285B">
        <w:rPr>
          <w:lang w:val="fr-CA"/>
        </w:rPr>
        <w:t> %</w:t>
      </w:r>
      <w:r w:rsidR="00412FF5" w:rsidRPr="00B3274C">
        <w:rPr>
          <w:lang w:val="fr-CA"/>
        </w:rPr>
        <w:t xml:space="preserve"> par les ressources sociales. Le fond</w:t>
      </w:r>
      <w:r w:rsidR="00CB03A5" w:rsidRPr="00B3274C">
        <w:rPr>
          <w:lang w:val="fr-CA"/>
        </w:rPr>
        <w:t>s</w:t>
      </w:r>
      <w:r w:rsidR="00412FF5" w:rsidRPr="00B3274C">
        <w:rPr>
          <w:lang w:val="fr-CA"/>
        </w:rPr>
        <w:t xml:space="preserve"> demeurera </w:t>
      </w:r>
      <w:r w:rsidR="0055418C" w:rsidRPr="00B3274C">
        <w:rPr>
          <w:lang w:val="fr-CA"/>
        </w:rPr>
        <w:t>«</w:t>
      </w:r>
      <w:r w:rsidR="00412FF5" w:rsidRPr="00B3274C">
        <w:rPr>
          <w:lang w:val="fr-CA"/>
        </w:rPr>
        <w:t>verrouillé</w:t>
      </w:r>
      <w:r w:rsidR="0055418C" w:rsidRPr="00B3274C">
        <w:rPr>
          <w:lang w:val="fr-CA"/>
        </w:rPr>
        <w:t>»</w:t>
      </w:r>
      <w:r w:rsidR="00412FF5" w:rsidRPr="00B3274C">
        <w:rPr>
          <w:lang w:val="fr-CA"/>
        </w:rPr>
        <w:t xml:space="preserve"> jusqu</w:t>
      </w:r>
      <w:r w:rsidR="0080611A">
        <w:rPr>
          <w:lang w:val="fr-CA"/>
        </w:rPr>
        <w:t>’</w:t>
      </w:r>
      <w:r w:rsidR="00412FF5" w:rsidRPr="00B3274C">
        <w:rPr>
          <w:lang w:val="fr-CA"/>
        </w:rPr>
        <w:t>en 2019</w:t>
      </w:r>
      <w:r w:rsidR="00FB23D3" w:rsidRPr="00B3274C">
        <w:rPr>
          <w:lang w:val="fr-CA"/>
        </w:rPr>
        <w:t>.</w:t>
      </w:r>
    </w:p>
    <w:p w:rsidR="00FB23D3" w:rsidRPr="00B3274C" w:rsidRDefault="00107A47" w:rsidP="00107A47">
      <w:pPr>
        <w:pStyle w:val="SingleTxtG"/>
        <w:rPr>
          <w:u w:val="single"/>
          <w:lang w:val="fr-CA"/>
        </w:rPr>
      </w:pPr>
      <w:r w:rsidRPr="00B3274C">
        <w:rPr>
          <w:lang w:val="fr-CA"/>
        </w:rPr>
        <w:t>108.</w:t>
      </w:r>
      <w:r w:rsidRPr="00B3274C">
        <w:rPr>
          <w:lang w:val="fr-CA"/>
        </w:rPr>
        <w:tab/>
      </w:r>
      <w:r w:rsidR="00412FF5" w:rsidRPr="00B3274C">
        <w:rPr>
          <w:lang w:val="fr-CA"/>
        </w:rPr>
        <w:t xml:space="preserve">Pour faciliter les </w:t>
      </w:r>
      <w:r w:rsidR="00D7430C" w:rsidRPr="00B3274C">
        <w:rPr>
          <w:lang w:val="fr-CA"/>
        </w:rPr>
        <w:t>démarches</w:t>
      </w:r>
      <w:r w:rsidR="0080611A">
        <w:rPr>
          <w:lang w:val="fr-CA"/>
        </w:rPr>
        <w:t>,</w:t>
      </w:r>
      <w:r w:rsidR="003F7A54" w:rsidRPr="00B3274C">
        <w:rPr>
          <w:lang w:val="fr-CA"/>
        </w:rPr>
        <w:t xml:space="preserve"> un numéro national d</w:t>
      </w:r>
      <w:r w:rsidR="0080611A">
        <w:rPr>
          <w:lang w:val="fr-CA"/>
        </w:rPr>
        <w:t>’</w:t>
      </w:r>
      <w:r w:rsidR="003F7A54" w:rsidRPr="00B3274C">
        <w:rPr>
          <w:lang w:val="fr-CA"/>
        </w:rPr>
        <w:t>immatriculation à la sécurité sociale</w:t>
      </w:r>
      <w:r w:rsidR="00412FF5" w:rsidRPr="00B3274C">
        <w:rPr>
          <w:lang w:val="fr-CA"/>
        </w:rPr>
        <w:t xml:space="preserve"> </w:t>
      </w:r>
      <w:r w:rsidR="0049262D" w:rsidRPr="00B3274C">
        <w:rPr>
          <w:lang w:val="fr-CA"/>
        </w:rPr>
        <w:t>(AMKA)</w:t>
      </w:r>
      <w:r w:rsidR="0080611A">
        <w:rPr>
          <w:lang w:val="fr-CA"/>
        </w:rPr>
        <w:t>,</w:t>
      </w:r>
      <w:r w:rsidR="0049262D" w:rsidRPr="00B3274C">
        <w:rPr>
          <w:lang w:val="fr-CA"/>
        </w:rPr>
        <w:t xml:space="preserve"> </w:t>
      </w:r>
      <w:r w:rsidR="003F7A54" w:rsidRPr="00B3274C">
        <w:rPr>
          <w:lang w:val="fr-CA"/>
        </w:rPr>
        <w:t>unique et obligatoire</w:t>
      </w:r>
      <w:r w:rsidR="0080611A">
        <w:rPr>
          <w:lang w:val="fr-CA"/>
        </w:rPr>
        <w:t>,</w:t>
      </w:r>
      <w:r w:rsidR="003F7A54" w:rsidRPr="00B3274C">
        <w:rPr>
          <w:lang w:val="fr-CA"/>
        </w:rPr>
        <w:t xml:space="preserve"> a été </w:t>
      </w:r>
      <w:r w:rsidR="007D014C" w:rsidRPr="00B3274C">
        <w:rPr>
          <w:lang w:val="fr-CA"/>
        </w:rPr>
        <w:t>institué</w:t>
      </w:r>
      <w:r w:rsidR="003F7A54" w:rsidRPr="00B3274C">
        <w:rPr>
          <w:lang w:val="fr-CA"/>
        </w:rPr>
        <w:t xml:space="preserve"> pour la première fois </w:t>
      </w:r>
      <w:r w:rsidR="0049262D" w:rsidRPr="00B3274C">
        <w:rPr>
          <w:lang w:val="fr-CA"/>
        </w:rPr>
        <w:t>le 1</w:t>
      </w:r>
      <w:r w:rsidR="0049262D" w:rsidRPr="00F413A6">
        <w:rPr>
          <w:vertAlign w:val="superscript"/>
          <w:lang w:val="fr-CA"/>
        </w:rPr>
        <w:t>er</w:t>
      </w:r>
      <w:r w:rsidR="00F413A6">
        <w:rPr>
          <w:lang w:val="fr-CA"/>
        </w:rPr>
        <w:t xml:space="preserve"> </w:t>
      </w:r>
      <w:r w:rsidR="0049262D" w:rsidRPr="00B3274C">
        <w:rPr>
          <w:lang w:val="fr-CA"/>
        </w:rPr>
        <w:t xml:space="preserve">juin 2009 </w:t>
      </w:r>
      <w:r w:rsidR="007D014C" w:rsidRPr="00B3274C">
        <w:rPr>
          <w:lang w:val="fr-CA"/>
        </w:rPr>
        <w:t>pour</w:t>
      </w:r>
      <w:r w:rsidR="003F7A54" w:rsidRPr="00B3274C">
        <w:rPr>
          <w:lang w:val="fr-CA"/>
        </w:rPr>
        <w:t xml:space="preserve"> toutes </w:t>
      </w:r>
      <w:r w:rsidR="00614BAC">
        <w:rPr>
          <w:lang w:val="fr-CA"/>
        </w:rPr>
        <w:t>les personnes</w:t>
      </w:r>
      <w:r w:rsidR="003F7A54" w:rsidRPr="00B3274C">
        <w:rPr>
          <w:lang w:val="fr-CA"/>
        </w:rPr>
        <w:t xml:space="preserve"> directement ou indirectement assurées</w:t>
      </w:r>
      <w:r w:rsidR="0080611A">
        <w:rPr>
          <w:lang w:val="fr-CA"/>
        </w:rPr>
        <w:t>,</w:t>
      </w:r>
      <w:r w:rsidR="003F7A54" w:rsidRPr="00B3274C">
        <w:rPr>
          <w:lang w:val="fr-CA"/>
        </w:rPr>
        <w:t xml:space="preserve"> aux fins de recrutement</w:t>
      </w:r>
      <w:r w:rsidR="0080611A">
        <w:rPr>
          <w:lang w:val="fr-CA"/>
        </w:rPr>
        <w:t>,</w:t>
      </w:r>
      <w:r w:rsidR="003F7A54" w:rsidRPr="00B3274C">
        <w:rPr>
          <w:lang w:val="fr-CA"/>
        </w:rPr>
        <w:t xml:space="preserve"> d</w:t>
      </w:r>
      <w:r w:rsidR="0080611A">
        <w:rPr>
          <w:lang w:val="fr-CA"/>
        </w:rPr>
        <w:t>’</w:t>
      </w:r>
      <w:r w:rsidR="003F7A54" w:rsidRPr="00B3274C">
        <w:rPr>
          <w:lang w:val="fr-CA"/>
        </w:rPr>
        <w:t>assurance</w:t>
      </w:r>
      <w:r w:rsidR="0080611A">
        <w:rPr>
          <w:lang w:val="fr-CA"/>
        </w:rPr>
        <w:t>,</w:t>
      </w:r>
      <w:r w:rsidR="003F7A54" w:rsidRPr="00B3274C">
        <w:rPr>
          <w:lang w:val="fr-CA"/>
        </w:rPr>
        <w:t xml:space="preserve"> de versement des cotisations</w:t>
      </w:r>
      <w:r w:rsidR="0080611A">
        <w:rPr>
          <w:lang w:val="fr-CA"/>
        </w:rPr>
        <w:t>,</w:t>
      </w:r>
      <w:r w:rsidR="003F7A54" w:rsidRPr="00B3274C">
        <w:rPr>
          <w:lang w:val="fr-CA"/>
        </w:rPr>
        <w:t xml:space="preserve"> de renouvellement du livret de santé et de perception de pensions</w:t>
      </w:r>
      <w:r w:rsidR="0080611A">
        <w:rPr>
          <w:lang w:val="fr-CA"/>
        </w:rPr>
        <w:t>,</w:t>
      </w:r>
      <w:r w:rsidR="003F7A54" w:rsidRPr="00B3274C">
        <w:rPr>
          <w:lang w:val="fr-CA"/>
        </w:rPr>
        <w:t xml:space="preserve"> prestations et indemnités. </w:t>
      </w:r>
    </w:p>
    <w:p w:rsidR="00FB23D3" w:rsidRPr="00B3274C" w:rsidRDefault="00107A47" w:rsidP="00107A47">
      <w:pPr>
        <w:pStyle w:val="SingleTxtG"/>
        <w:rPr>
          <w:lang w:val="fr-CA"/>
        </w:rPr>
      </w:pPr>
      <w:r w:rsidRPr="00B3274C">
        <w:rPr>
          <w:lang w:val="fr-CA"/>
        </w:rPr>
        <w:t>109.</w:t>
      </w:r>
      <w:r w:rsidRPr="00B3274C">
        <w:rPr>
          <w:lang w:val="fr-CA"/>
        </w:rPr>
        <w:tab/>
      </w:r>
      <w:r w:rsidR="00035D60" w:rsidRPr="00B3274C">
        <w:rPr>
          <w:lang w:val="fr-CA"/>
        </w:rPr>
        <w:t xml:space="preserve">La récente loi sur la sécurité sociale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3863/2010</w:t>
      </w:r>
      <w:r w:rsidR="00035D60" w:rsidRPr="00B3274C">
        <w:rPr>
          <w:lang w:val="fr-CA"/>
        </w:rPr>
        <w:t xml:space="preserve"> modifie la structure du système des retraites en Grèce. À </w:t>
      </w:r>
      <w:r w:rsidR="007F3725" w:rsidRPr="00B3274C">
        <w:rPr>
          <w:lang w:val="fr-CA"/>
        </w:rPr>
        <w:t>compter</w:t>
      </w:r>
      <w:r w:rsidR="00035D60" w:rsidRPr="00B3274C">
        <w:rPr>
          <w:lang w:val="fr-CA"/>
        </w:rPr>
        <w:t xml:space="preserve"> du 1</w:t>
      </w:r>
      <w:r w:rsidR="00035D60" w:rsidRPr="00B3274C">
        <w:rPr>
          <w:vertAlign w:val="superscript"/>
          <w:lang w:val="fr-CA"/>
        </w:rPr>
        <w:t>er</w:t>
      </w:r>
      <w:r w:rsidR="00035D60" w:rsidRPr="00B3274C">
        <w:rPr>
          <w:lang w:val="fr-CA"/>
        </w:rPr>
        <w:t xml:space="preserve"> janvier 2015</w:t>
      </w:r>
      <w:r w:rsidR="0080611A">
        <w:rPr>
          <w:lang w:val="fr-CA"/>
        </w:rPr>
        <w:t>,</w:t>
      </w:r>
      <w:r w:rsidR="00035D60" w:rsidRPr="00B3274C">
        <w:rPr>
          <w:lang w:val="fr-CA"/>
        </w:rPr>
        <w:t xml:space="preserve"> la principale pension réglementaire sera constituée de la pension de base et de la pension proportionnelle. </w:t>
      </w:r>
      <w:r w:rsidR="00142888" w:rsidRPr="00B3274C">
        <w:rPr>
          <w:lang w:val="fr-CA"/>
        </w:rPr>
        <w:t>La pension de base sera accordée par tous les organismes de sécurité sociale et l</w:t>
      </w:r>
      <w:r w:rsidR="0080611A">
        <w:rPr>
          <w:lang w:val="fr-CA"/>
        </w:rPr>
        <w:t>’</w:t>
      </w:r>
      <w:r w:rsidR="00142888" w:rsidRPr="00B3274C">
        <w:rPr>
          <w:lang w:val="fr-CA"/>
        </w:rPr>
        <w:t>État aux bénéficiaires âgés de 65</w:t>
      </w:r>
      <w:r w:rsidR="004C055A">
        <w:rPr>
          <w:lang w:val="fr-CA"/>
        </w:rPr>
        <w:t> ans</w:t>
      </w:r>
      <w:r w:rsidR="00142888" w:rsidRPr="00B3274C">
        <w:rPr>
          <w:lang w:val="fr-CA"/>
        </w:rPr>
        <w:t xml:space="preserve"> au moins remplissant les critères fondés sur leurs revenus et leur résidence dans le pays. La pension proportionnelle est versée sur la base de la totalité de la période d</w:t>
      </w:r>
      <w:r w:rsidR="0080611A">
        <w:rPr>
          <w:lang w:val="fr-CA"/>
        </w:rPr>
        <w:t>’</w:t>
      </w:r>
      <w:r w:rsidR="00142888" w:rsidRPr="00B3274C">
        <w:rPr>
          <w:lang w:val="fr-CA"/>
        </w:rPr>
        <w:t>assurance de la personne</w:t>
      </w:r>
      <w:r w:rsidR="00896904" w:rsidRPr="00B3274C">
        <w:rPr>
          <w:lang w:val="fr-CA"/>
        </w:rPr>
        <w:t xml:space="preserve"> ayant droit à une </w:t>
      </w:r>
      <w:r w:rsidR="00142888" w:rsidRPr="00B3274C">
        <w:rPr>
          <w:lang w:val="fr-CA"/>
        </w:rPr>
        <w:t>pension. Elle est calculée pour chaque année complète d</w:t>
      </w:r>
      <w:r w:rsidR="0080611A">
        <w:rPr>
          <w:lang w:val="fr-CA"/>
        </w:rPr>
        <w:t>’</w:t>
      </w:r>
      <w:r w:rsidR="00142888" w:rsidRPr="00B3274C">
        <w:rPr>
          <w:lang w:val="fr-CA"/>
        </w:rPr>
        <w:t>assurance</w:t>
      </w:r>
      <w:r w:rsidR="0080611A">
        <w:rPr>
          <w:lang w:val="fr-CA"/>
        </w:rPr>
        <w:t>,</w:t>
      </w:r>
      <w:r w:rsidR="00142888" w:rsidRPr="00B3274C">
        <w:rPr>
          <w:lang w:val="fr-CA"/>
        </w:rPr>
        <w:t xml:space="preserve"> sur la base des pourcentages des gains </w:t>
      </w:r>
      <w:r w:rsidR="00896904" w:rsidRPr="00B3274C">
        <w:rPr>
          <w:lang w:val="fr-CA"/>
        </w:rPr>
        <w:t xml:space="preserve">escomptés </w:t>
      </w:r>
      <w:r w:rsidR="00142888" w:rsidRPr="00B3274C">
        <w:rPr>
          <w:lang w:val="fr-CA"/>
        </w:rPr>
        <w:t>ouvrant droit à la retraite</w:t>
      </w:r>
      <w:r w:rsidR="0080611A">
        <w:rPr>
          <w:lang w:val="fr-CA"/>
        </w:rPr>
        <w:t>,</w:t>
      </w:r>
      <w:r w:rsidR="00142888" w:rsidRPr="00B3274C">
        <w:rPr>
          <w:lang w:val="fr-CA"/>
        </w:rPr>
        <w:t xml:space="preserve"> fixés par la loi. </w:t>
      </w:r>
    </w:p>
    <w:p w:rsidR="00FB23D3" w:rsidRPr="00B3274C" w:rsidRDefault="00107A47" w:rsidP="00107A47">
      <w:pPr>
        <w:pStyle w:val="SingleTxtG"/>
        <w:keepNext/>
        <w:rPr>
          <w:lang w:val="fr-CA"/>
        </w:rPr>
      </w:pPr>
      <w:r w:rsidRPr="00B3274C">
        <w:rPr>
          <w:lang w:val="fr-CA"/>
        </w:rPr>
        <w:t>110.</w:t>
      </w:r>
      <w:r w:rsidRPr="00B3274C">
        <w:rPr>
          <w:lang w:val="fr-CA"/>
        </w:rPr>
        <w:tab/>
      </w:r>
      <w:r w:rsidR="00896904" w:rsidRPr="00B3274C">
        <w:rPr>
          <w:lang w:val="fr-CA"/>
        </w:rPr>
        <w:t>La récente loi sur la sécurité sociale fixe également ce qui suit</w:t>
      </w:r>
      <w:r w:rsidR="00EC5892" w:rsidRPr="00B3274C">
        <w:rPr>
          <w:lang w:val="fr-CA"/>
        </w:rPr>
        <w:t>:</w:t>
      </w:r>
      <w:r w:rsidR="00896904" w:rsidRPr="00B3274C">
        <w:rPr>
          <w:lang w:val="fr-CA"/>
        </w:rPr>
        <w:t xml:space="preserv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896904" w:rsidRPr="00B3274C">
        <w:rPr>
          <w:lang w:val="fr-CA"/>
        </w:rPr>
        <w:t>Les conditions unifiées requises pour la retraite et les règles unifiées</w:t>
      </w:r>
      <w:r w:rsidR="00267B57" w:rsidRPr="00B3274C">
        <w:rPr>
          <w:lang w:val="fr-CA"/>
        </w:rPr>
        <w:t xml:space="preserve"> pour le calcul des pensions de tous</w:t>
      </w:r>
      <w:r w:rsidR="00EC5892" w:rsidRPr="00B3274C">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267B57" w:rsidRPr="00B3274C">
        <w:rPr>
          <w:lang w:val="fr-CA"/>
        </w:rPr>
        <w:t>Des seuils minimum pour les pensions de vieillesse</w:t>
      </w:r>
      <w:r w:rsidR="0080611A">
        <w:rPr>
          <w:lang w:val="fr-CA"/>
        </w:rPr>
        <w:t>,</w:t>
      </w:r>
      <w:r w:rsidR="00267B57" w:rsidRPr="00B3274C">
        <w:rPr>
          <w:lang w:val="fr-CA"/>
        </w:rPr>
        <w:t xml:space="preserve"> d</w:t>
      </w:r>
      <w:r w:rsidR="0080611A">
        <w:rPr>
          <w:lang w:val="fr-CA"/>
        </w:rPr>
        <w:t>’</w:t>
      </w:r>
      <w:r w:rsidR="00267B57" w:rsidRPr="00B3274C">
        <w:rPr>
          <w:lang w:val="fr-CA"/>
        </w:rPr>
        <w:t>invalidité et de survivants</w:t>
      </w:r>
      <w:r w:rsidR="0080611A">
        <w:rPr>
          <w:lang w:val="fr-CA"/>
        </w:rPr>
        <w:t>,</w:t>
      </w:r>
      <w:r w:rsidR="00267B57" w:rsidRPr="00B3274C">
        <w:rPr>
          <w:lang w:val="fr-CA"/>
        </w:rPr>
        <w:t xml:space="preserve"> qui correspondent actuellement (2010) aux seuils minimum de retraite et seront ajustés chaque année;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CB03A5" w:rsidRPr="00B3274C">
        <w:rPr>
          <w:lang w:val="fr-CA"/>
        </w:rPr>
        <w:t>Les limites d</w:t>
      </w:r>
      <w:r w:rsidR="0080611A">
        <w:rPr>
          <w:lang w:val="fr-CA"/>
        </w:rPr>
        <w:t>’</w:t>
      </w:r>
      <w:r w:rsidR="00CB03A5" w:rsidRPr="00B3274C">
        <w:rPr>
          <w:lang w:val="fr-CA"/>
        </w:rPr>
        <w:t>âge de départ à la retraite seront réajustées</w:t>
      </w:r>
      <w:r w:rsidR="0080611A">
        <w:rPr>
          <w:lang w:val="fr-CA"/>
        </w:rPr>
        <w:t>,</w:t>
      </w:r>
      <w:r w:rsidR="00CB03A5" w:rsidRPr="00B3274C">
        <w:rPr>
          <w:lang w:val="fr-CA"/>
        </w:rPr>
        <w:t xml:space="preserve"> en fonction de l</w:t>
      </w:r>
      <w:r w:rsidR="0080611A">
        <w:rPr>
          <w:lang w:val="fr-CA"/>
        </w:rPr>
        <w:t>’</w:t>
      </w:r>
      <w:r w:rsidR="00CB03A5" w:rsidRPr="00B3274C">
        <w:rPr>
          <w:lang w:val="fr-CA"/>
        </w:rPr>
        <w:t>évolution de l</w:t>
      </w:r>
      <w:r w:rsidR="0080611A">
        <w:rPr>
          <w:lang w:val="fr-CA"/>
        </w:rPr>
        <w:t>’</w:t>
      </w:r>
      <w:r w:rsidR="00CB03A5" w:rsidRPr="00B3274C">
        <w:rPr>
          <w:lang w:val="fr-CA"/>
        </w:rPr>
        <w:t>espérance de vie en Grèce</w:t>
      </w:r>
      <w:r w:rsidR="0080611A">
        <w:rPr>
          <w:lang w:val="fr-CA"/>
        </w:rPr>
        <w:t>,</w:t>
      </w:r>
      <w:r w:rsidR="00CB03A5" w:rsidRPr="00B3274C">
        <w:rPr>
          <w:lang w:val="fr-CA"/>
        </w:rPr>
        <w:t xml:space="preserve"> 65</w:t>
      </w:r>
      <w:r w:rsidR="004C055A">
        <w:rPr>
          <w:lang w:val="fr-CA"/>
        </w:rPr>
        <w:t> ans</w:t>
      </w:r>
      <w:r w:rsidR="00CB03A5" w:rsidRPr="00B3274C">
        <w:rPr>
          <w:lang w:val="fr-CA"/>
        </w:rPr>
        <w:t xml:space="preserve"> étant l</w:t>
      </w:r>
      <w:r w:rsidR="0080611A">
        <w:rPr>
          <w:lang w:val="fr-CA"/>
        </w:rPr>
        <w:t>’</w:t>
      </w:r>
      <w:r w:rsidR="00CB03A5" w:rsidRPr="00B3274C">
        <w:rPr>
          <w:lang w:val="fr-CA"/>
        </w:rPr>
        <w:t xml:space="preserve">âge de référence;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CB03A5" w:rsidRPr="00B3274C">
        <w:rPr>
          <w:lang w:val="fr-CA"/>
        </w:rPr>
        <w:t>Un nouveau regroupement des 13 organismes d</w:t>
      </w:r>
      <w:r w:rsidR="0080611A">
        <w:rPr>
          <w:lang w:val="fr-CA"/>
        </w:rPr>
        <w:t>’</w:t>
      </w:r>
      <w:r w:rsidR="00CB03A5" w:rsidRPr="00B3274C">
        <w:rPr>
          <w:lang w:val="fr-CA"/>
        </w:rPr>
        <w:t>assurance en trois organismes est en cours (un pour les employés salariés</w:t>
      </w:r>
      <w:r w:rsidR="0080611A">
        <w:rPr>
          <w:lang w:val="fr-CA"/>
        </w:rPr>
        <w:t>,</w:t>
      </w:r>
      <w:r w:rsidR="00CB03A5" w:rsidRPr="00B3274C">
        <w:rPr>
          <w:lang w:val="fr-CA"/>
        </w:rPr>
        <w:t xml:space="preserve"> un pour les agriculteurs et un pour les travailleurs indépendants)</w:t>
      </w:r>
      <w:r w:rsidR="00EC5892" w:rsidRPr="00B3274C">
        <w:rPr>
          <w:lang w:val="fr-CA"/>
        </w:rPr>
        <w:t>;</w:t>
      </w:r>
      <w:r w:rsidR="00CB03A5" w:rsidRPr="00B3274C">
        <w:rPr>
          <w:lang w:val="fr-CA"/>
        </w:rPr>
        <w:t xml:space="preserv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F81D56" w:rsidRPr="00B3274C">
        <w:rPr>
          <w:lang w:val="fr-CA"/>
        </w:rPr>
        <w:t>Une nouvelle forme d</w:t>
      </w:r>
      <w:r w:rsidR="0080611A">
        <w:rPr>
          <w:lang w:val="fr-CA"/>
        </w:rPr>
        <w:t>’</w:t>
      </w:r>
      <w:r w:rsidR="00F81D56" w:rsidRPr="00B3274C">
        <w:rPr>
          <w:lang w:val="fr-CA"/>
        </w:rPr>
        <w:t>assurance est établie et</w:t>
      </w:r>
      <w:r w:rsidR="00FB23D3" w:rsidRPr="00B3274C">
        <w:rPr>
          <w:lang w:val="fr-CA"/>
        </w:rPr>
        <w:t xml:space="preserve"> </w:t>
      </w:r>
      <w:r w:rsidR="00F81D56" w:rsidRPr="00B3274C">
        <w:rPr>
          <w:lang w:val="fr-CA"/>
        </w:rPr>
        <w:t xml:space="preserve">la cotisation à la sécurité sociale est instituée pour le personnel domestique ainsi que </w:t>
      </w:r>
      <w:r w:rsidR="002A2D59" w:rsidRPr="00B3274C">
        <w:rPr>
          <w:lang w:val="fr-CA"/>
        </w:rPr>
        <w:t xml:space="preserve">pour </w:t>
      </w:r>
      <w:r w:rsidR="00F81D56" w:rsidRPr="00B3274C">
        <w:rPr>
          <w:lang w:val="fr-CA"/>
        </w:rPr>
        <w:t xml:space="preserve">les travailleurs agricoles et les travailleurs saisonniers;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157D61" w:rsidRPr="00B3274C">
        <w:rPr>
          <w:lang w:val="fr-CA"/>
        </w:rPr>
        <w:t>Un centre unifié d</w:t>
      </w:r>
      <w:r w:rsidR="0080611A">
        <w:rPr>
          <w:lang w:val="fr-CA"/>
        </w:rPr>
        <w:t>’</w:t>
      </w:r>
      <w:r w:rsidR="00157D61" w:rsidRPr="00B3274C">
        <w:rPr>
          <w:lang w:val="fr-CA"/>
        </w:rPr>
        <w:t xml:space="preserve">homologation des handicaps est créé et le Registre national </w:t>
      </w:r>
      <w:r w:rsidR="00614BAC">
        <w:rPr>
          <w:lang w:val="fr-CA"/>
        </w:rPr>
        <w:t>des personnes</w:t>
      </w:r>
      <w:r w:rsidR="00157D61" w:rsidRPr="00B3274C">
        <w:rPr>
          <w:lang w:val="fr-CA"/>
        </w:rPr>
        <w:t xml:space="preserve"> handicapées établi;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157D61" w:rsidRPr="00B3274C">
        <w:rPr>
          <w:lang w:val="fr-CA"/>
        </w:rPr>
        <w:t xml:space="preserve">Les professions et spécialisations qui relèvent du Règlement concernant les professions </w:t>
      </w:r>
      <w:r w:rsidR="00E46A6B" w:rsidRPr="00B3274C">
        <w:rPr>
          <w:lang w:val="fr-CA"/>
        </w:rPr>
        <w:t>pénibles</w:t>
      </w:r>
      <w:r w:rsidR="00157D61" w:rsidRPr="00B3274C">
        <w:rPr>
          <w:lang w:val="fr-CA"/>
        </w:rPr>
        <w:t xml:space="preserve"> et </w:t>
      </w:r>
      <w:r w:rsidR="00E46A6B" w:rsidRPr="00B3274C">
        <w:rPr>
          <w:lang w:val="fr-CA"/>
        </w:rPr>
        <w:t>insalubres</w:t>
      </w:r>
      <w:r w:rsidR="0080611A">
        <w:rPr>
          <w:lang w:val="fr-CA"/>
        </w:rPr>
        <w:t>,</w:t>
      </w:r>
      <w:r w:rsidR="00E46A6B" w:rsidRPr="00B3274C">
        <w:rPr>
          <w:lang w:val="fr-CA"/>
        </w:rPr>
        <w:t xml:space="preserve"> devant être appliqué à compter du 1</w:t>
      </w:r>
      <w:r w:rsidR="00E46A6B" w:rsidRPr="00FC24F7">
        <w:rPr>
          <w:vertAlign w:val="superscript"/>
          <w:lang w:val="fr-CA"/>
        </w:rPr>
        <w:t>er</w:t>
      </w:r>
      <w:r w:rsidR="00FC24F7">
        <w:rPr>
          <w:lang w:val="fr-CA"/>
        </w:rPr>
        <w:t xml:space="preserve"> </w:t>
      </w:r>
      <w:r w:rsidR="00E46A6B" w:rsidRPr="00B3274C">
        <w:rPr>
          <w:lang w:val="fr-CA"/>
        </w:rPr>
        <w:t>juillet 2011</w:t>
      </w:r>
      <w:r w:rsidR="0080611A">
        <w:rPr>
          <w:lang w:val="fr-CA"/>
        </w:rPr>
        <w:t>,</w:t>
      </w:r>
      <w:r w:rsidR="00E46A6B" w:rsidRPr="00B3274C">
        <w:rPr>
          <w:lang w:val="fr-CA"/>
        </w:rPr>
        <w:t xml:space="preserve"> sont précisées pour tous les organismes de sécurité sociale</w:t>
      </w:r>
      <w:r w:rsidR="00EC5892" w:rsidRPr="00B3274C">
        <w:rPr>
          <w:lang w:val="fr-CA"/>
        </w:rPr>
        <w:t>;</w:t>
      </w:r>
      <w:r w:rsidR="00E46A6B" w:rsidRPr="00B3274C">
        <w:rPr>
          <w:lang w:val="fr-CA"/>
        </w:rPr>
        <w:t xml:space="preserv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E46A6B" w:rsidRPr="00B3274C">
        <w:rPr>
          <w:lang w:val="fr-CA"/>
        </w:rPr>
        <w:t>La participation des organismes d</w:t>
      </w:r>
      <w:r w:rsidR="0080611A">
        <w:rPr>
          <w:lang w:val="fr-CA"/>
        </w:rPr>
        <w:t>’</w:t>
      </w:r>
      <w:r w:rsidR="00E46A6B" w:rsidRPr="00B3274C">
        <w:rPr>
          <w:lang w:val="fr-CA"/>
        </w:rPr>
        <w:t xml:space="preserve">assurance aux programmes </w:t>
      </w:r>
      <w:r w:rsidR="00127A20" w:rsidRPr="00B3274C">
        <w:rPr>
          <w:lang w:val="fr-CA"/>
        </w:rPr>
        <w:t>de cessation</w:t>
      </w:r>
      <w:r w:rsidR="00E46A6B" w:rsidRPr="00B3274C">
        <w:rPr>
          <w:lang w:val="fr-CA"/>
        </w:rPr>
        <w:t xml:space="preserve"> volontaire d</w:t>
      </w:r>
      <w:r w:rsidR="0080611A">
        <w:rPr>
          <w:lang w:val="fr-CA"/>
        </w:rPr>
        <w:t>’</w:t>
      </w:r>
      <w:r w:rsidR="00E46A6B" w:rsidRPr="00B3274C">
        <w:rPr>
          <w:lang w:val="fr-CA"/>
        </w:rPr>
        <w:t xml:space="preserve">emploi est abolie pour les entreprises du secteur public et du secteur public élargi. </w:t>
      </w:r>
    </w:p>
    <w:p w:rsidR="00FB23D3" w:rsidRPr="00B3274C" w:rsidRDefault="00107A47" w:rsidP="00107A47">
      <w:pPr>
        <w:pStyle w:val="SingleTxtG"/>
        <w:rPr>
          <w:lang w:val="fr-CA"/>
        </w:rPr>
      </w:pPr>
      <w:r w:rsidRPr="00B3274C">
        <w:rPr>
          <w:lang w:val="fr-CA"/>
        </w:rPr>
        <w:t>111.</w:t>
      </w:r>
      <w:r w:rsidRPr="00B3274C">
        <w:rPr>
          <w:lang w:val="fr-CA"/>
        </w:rPr>
        <w:tab/>
      </w:r>
      <w:r w:rsidR="003E771A" w:rsidRPr="00B3274C">
        <w:rPr>
          <w:lang w:val="fr-CA"/>
        </w:rPr>
        <w:t xml:space="preserve">Dans le but de lutter contre la pauvreté et de garantir un revenu suffisant à </w:t>
      </w:r>
      <w:r w:rsidR="002B4009" w:rsidRPr="00B3274C">
        <w:rPr>
          <w:lang w:val="fr-CA"/>
        </w:rPr>
        <w:t>tous</w:t>
      </w:r>
      <w:r w:rsidR="0080611A">
        <w:rPr>
          <w:lang w:val="fr-CA"/>
        </w:rPr>
        <w:t>,</w:t>
      </w:r>
      <w:r w:rsidR="003E771A" w:rsidRPr="00B3274C">
        <w:rPr>
          <w:lang w:val="fr-CA"/>
        </w:rPr>
        <w:t xml:space="preserve"> en particulier </w:t>
      </w:r>
      <w:r w:rsidR="00614BAC">
        <w:rPr>
          <w:lang w:val="fr-CA"/>
        </w:rPr>
        <w:t>les personnes</w:t>
      </w:r>
      <w:r w:rsidR="003E771A" w:rsidRPr="00B3274C">
        <w:rPr>
          <w:lang w:val="fr-CA"/>
        </w:rPr>
        <w:t xml:space="preserve"> âgées et </w:t>
      </w:r>
      <w:r w:rsidR="00333A27" w:rsidRPr="00B3274C">
        <w:rPr>
          <w:lang w:val="fr-CA"/>
        </w:rPr>
        <w:t>les</w:t>
      </w:r>
      <w:r w:rsidR="003E771A" w:rsidRPr="00B3274C">
        <w:rPr>
          <w:lang w:val="fr-CA"/>
        </w:rPr>
        <w:t xml:space="preserve"> pensionnés à faible revenu</w:t>
      </w:r>
      <w:r w:rsidR="0080611A">
        <w:rPr>
          <w:lang w:val="fr-CA"/>
        </w:rPr>
        <w:t>,</w:t>
      </w:r>
      <w:r w:rsidR="003E771A" w:rsidRPr="00B3274C">
        <w:rPr>
          <w:lang w:val="fr-CA"/>
        </w:rPr>
        <w:t xml:space="preserve"> le système de sécurité sociale grec prévoit depuis 1996 le versement d</w:t>
      </w:r>
      <w:r w:rsidR="0080611A">
        <w:rPr>
          <w:lang w:val="fr-CA"/>
        </w:rPr>
        <w:t>’</w:t>
      </w:r>
      <w:r w:rsidR="003E771A" w:rsidRPr="00B3274C">
        <w:rPr>
          <w:lang w:val="fr-CA"/>
        </w:rPr>
        <w:t>une allocation de solidarité sociale (EKAS) aux pensionnés</w:t>
      </w:r>
      <w:r w:rsidR="00127A20" w:rsidRPr="00B3274C">
        <w:rPr>
          <w:lang w:val="fr-CA"/>
        </w:rPr>
        <w:t xml:space="preserve"> de</w:t>
      </w:r>
      <w:r w:rsidR="003E771A" w:rsidRPr="00B3274C">
        <w:rPr>
          <w:lang w:val="fr-CA"/>
        </w:rPr>
        <w:t xml:space="preserve"> plus de 60</w:t>
      </w:r>
      <w:r w:rsidR="004C055A">
        <w:rPr>
          <w:lang w:val="fr-CA"/>
        </w:rPr>
        <w:t> ans</w:t>
      </w:r>
      <w:r w:rsidR="003E771A" w:rsidRPr="00B3274C">
        <w:rPr>
          <w:lang w:val="fr-CA"/>
        </w:rPr>
        <w:t xml:space="preserve"> remplissant certains critères en matière de revenus. L</w:t>
      </w:r>
      <w:r w:rsidR="0080611A">
        <w:rPr>
          <w:lang w:val="fr-CA"/>
        </w:rPr>
        <w:t>’</w:t>
      </w:r>
      <w:r w:rsidR="00FB23D3" w:rsidRPr="00B3274C">
        <w:rPr>
          <w:lang w:val="fr-CA"/>
        </w:rPr>
        <w:t xml:space="preserve">EKAS </w:t>
      </w:r>
      <w:r w:rsidR="00127A20" w:rsidRPr="00B3274C">
        <w:rPr>
          <w:lang w:val="fr-CA"/>
        </w:rPr>
        <w:t>est entièrement financée par le budget de l</w:t>
      </w:r>
      <w:r w:rsidR="0080611A">
        <w:rPr>
          <w:lang w:val="fr-CA"/>
        </w:rPr>
        <w:t>’</w:t>
      </w:r>
      <w:r w:rsidR="00127A20" w:rsidRPr="00B3274C">
        <w:rPr>
          <w:lang w:val="fr-CA"/>
        </w:rPr>
        <w:t>État et s</w:t>
      </w:r>
      <w:r w:rsidR="0080611A">
        <w:rPr>
          <w:lang w:val="fr-CA"/>
        </w:rPr>
        <w:t>’</w:t>
      </w:r>
      <w:r w:rsidR="00127A20" w:rsidRPr="00B3274C">
        <w:rPr>
          <w:lang w:val="fr-CA"/>
        </w:rPr>
        <w:t>établissait comme suit pour l</w:t>
      </w:r>
      <w:r w:rsidR="0080611A">
        <w:rPr>
          <w:lang w:val="fr-CA"/>
        </w:rPr>
        <w:t>’</w:t>
      </w:r>
      <w:r w:rsidR="00127A20" w:rsidRPr="00B3274C">
        <w:rPr>
          <w:lang w:val="fr-CA"/>
        </w:rPr>
        <w:t>année 2010</w:t>
      </w:r>
      <w:r w:rsidR="00EC5892" w:rsidRPr="00B3274C">
        <w:rPr>
          <w:lang w:val="fr-CA"/>
        </w:rPr>
        <w:t>:</w:t>
      </w:r>
      <w:r w:rsidR="00127A20" w:rsidRPr="00B3274C">
        <w:rPr>
          <w:lang w:val="fr-CA"/>
        </w:rPr>
        <w:t xml:space="preserve"> </w:t>
      </w:r>
    </w:p>
    <w:p w:rsidR="00A005A1" w:rsidRPr="00782442" w:rsidRDefault="00782442" w:rsidP="00782442">
      <w:pPr>
        <w:pStyle w:val="H23G"/>
        <w:rPr>
          <w:b w:val="0"/>
        </w:rPr>
      </w:pPr>
      <w:r>
        <w:tab/>
      </w:r>
      <w:r>
        <w:tab/>
      </w:r>
      <w:r w:rsidR="00A005A1" w:rsidRPr="00782442">
        <w:rPr>
          <w:b w:val="0"/>
        </w:rPr>
        <w:t>Table</w:t>
      </w:r>
      <w:r w:rsidR="00127A20" w:rsidRPr="00782442">
        <w:rPr>
          <w:b w:val="0"/>
        </w:rPr>
        <w:t>au</w:t>
      </w:r>
      <w:r w:rsidR="00A005A1" w:rsidRPr="00782442">
        <w:rPr>
          <w:b w:val="0"/>
        </w:rPr>
        <w:t xml:space="preserve"> 6</w:t>
      </w:r>
    </w:p>
    <w:tbl>
      <w:tblPr>
        <w:tblW w:w="7370" w:type="dxa"/>
        <w:tblInd w:w="1134" w:type="dxa"/>
        <w:tblBorders>
          <w:top w:val="single" w:sz="4" w:space="0" w:color="auto"/>
        </w:tblBorders>
        <w:tblLayout w:type="fixed"/>
        <w:tblCellMar>
          <w:left w:w="0" w:type="dxa"/>
          <w:right w:w="0" w:type="dxa"/>
        </w:tblCellMar>
        <w:tblLook w:val="01E0"/>
      </w:tblPr>
      <w:tblGrid>
        <w:gridCol w:w="3685"/>
        <w:gridCol w:w="3685"/>
      </w:tblGrid>
      <w:tr w:rsidR="00055317" w:rsidRPr="00B3274C" w:rsidTr="00782442">
        <w:trPr>
          <w:trHeight w:val="240"/>
          <w:tblHeader/>
        </w:trPr>
        <w:tc>
          <w:tcPr>
            <w:tcW w:w="3686" w:type="dxa"/>
            <w:tcBorders>
              <w:top w:val="single" w:sz="4" w:space="0" w:color="auto"/>
              <w:bottom w:val="single" w:sz="12" w:space="0" w:color="auto"/>
            </w:tcBorders>
            <w:shd w:val="clear" w:color="auto" w:fill="auto"/>
            <w:vAlign w:val="bottom"/>
          </w:tcPr>
          <w:p w:rsidR="00FB23D3" w:rsidRPr="00B3274C" w:rsidRDefault="00127A20" w:rsidP="00055317">
            <w:pPr>
              <w:pStyle w:val="SingleTxtG"/>
              <w:suppressAutoHyphens w:val="0"/>
              <w:spacing w:before="80" w:after="80" w:line="200" w:lineRule="exact"/>
              <w:ind w:left="0" w:right="0"/>
              <w:jc w:val="left"/>
              <w:rPr>
                <w:bCs/>
                <w:i/>
                <w:sz w:val="16"/>
                <w:szCs w:val="28"/>
                <w:lang w:val="fr-CA"/>
              </w:rPr>
            </w:pPr>
            <w:r w:rsidRPr="00B3274C">
              <w:rPr>
                <w:bCs/>
                <w:i/>
                <w:sz w:val="16"/>
                <w:szCs w:val="28"/>
                <w:lang w:val="fr-CA"/>
              </w:rPr>
              <w:t>Niveau de revenus</w:t>
            </w:r>
          </w:p>
        </w:tc>
        <w:tc>
          <w:tcPr>
            <w:tcW w:w="3686" w:type="dxa"/>
            <w:tcBorders>
              <w:top w:val="single" w:sz="4" w:space="0" w:color="auto"/>
              <w:bottom w:val="single" w:sz="12" w:space="0" w:color="auto"/>
            </w:tcBorders>
            <w:shd w:val="clear" w:color="auto" w:fill="auto"/>
            <w:vAlign w:val="bottom"/>
          </w:tcPr>
          <w:p w:rsidR="00FB23D3" w:rsidRPr="00B3274C" w:rsidRDefault="00127A20" w:rsidP="00055317">
            <w:pPr>
              <w:pStyle w:val="SingleTxtG"/>
              <w:suppressAutoHyphens w:val="0"/>
              <w:spacing w:before="80" w:after="80" w:line="200" w:lineRule="exact"/>
              <w:ind w:left="113" w:right="0"/>
              <w:jc w:val="right"/>
              <w:rPr>
                <w:bCs/>
                <w:i/>
                <w:sz w:val="16"/>
                <w:szCs w:val="28"/>
                <w:lang w:val="fr-CA"/>
              </w:rPr>
            </w:pPr>
            <w:r w:rsidRPr="00B3274C">
              <w:rPr>
                <w:bCs/>
                <w:i/>
                <w:sz w:val="16"/>
                <w:szCs w:val="28"/>
                <w:lang w:val="fr-CA"/>
              </w:rPr>
              <w:t>Montant de l</w:t>
            </w:r>
            <w:r w:rsidR="0080611A">
              <w:rPr>
                <w:bCs/>
                <w:i/>
                <w:sz w:val="16"/>
                <w:szCs w:val="28"/>
                <w:lang w:val="fr-CA"/>
              </w:rPr>
              <w:t>’</w:t>
            </w:r>
            <w:r w:rsidR="00FB23D3" w:rsidRPr="00B3274C">
              <w:rPr>
                <w:bCs/>
                <w:i/>
                <w:sz w:val="16"/>
                <w:szCs w:val="28"/>
                <w:lang w:val="fr-CA"/>
              </w:rPr>
              <w:t>EKAS</w:t>
            </w:r>
          </w:p>
        </w:tc>
      </w:tr>
      <w:tr w:rsidR="00FB23D3" w:rsidRPr="00B3274C" w:rsidTr="00782442">
        <w:trPr>
          <w:trHeight w:val="240"/>
        </w:trPr>
        <w:tc>
          <w:tcPr>
            <w:tcW w:w="3686" w:type="dxa"/>
            <w:tcBorders>
              <w:top w:val="single" w:sz="12" w:space="0" w:color="auto"/>
            </w:tcBorders>
            <w:shd w:val="clear" w:color="auto" w:fill="auto"/>
          </w:tcPr>
          <w:p w:rsidR="00FB23D3" w:rsidRPr="00B3274C" w:rsidRDefault="00127A20" w:rsidP="00925BC7">
            <w:pPr>
              <w:pStyle w:val="SingleTxtG"/>
              <w:suppressAutoHyphens w:val="0"/>
              <w:spacing w:before="40" w:after="40" w:line="220" w:lineRule="exact"/>
              <w:ind w:left="0" w:right="0"/>
              <w:jc w:val="left"/>
              <w:rPr>
                <w:bCs/>
                <w:sz w:val="18"/>
                <w:szCs w:val="28"/>
                <w:lang w:val="fr-CA"/>
              </w:rPr>
            </w:pPr>
            <w:r w:rsidRPr="00B3274C">
              <w:rPr>
                <w:bCs/>
                <w:sz w:val="18"/>
                <w:szCs w:val="28"/>
                <w:lang w:val="fr-CA"/>
              </w:rPr>
              <w:t>Jusqu</w:t>
            </w:r>
            <w:r w:rsidR="0080611A">
              <w:rPr>
                <w:bCs/>
                <w:sz w:val="18"/>
                <w:szCs w:val="28"/>
                <w:lang w:val="fr-CA"/>
              </w:rPr>
              <w:t>’</w:t>
            </w:r>
            <w:r w:rsidRPr="00B3274C">
              <w:rPr>
                <w:bCs/>
                <w:sz w:val="18"/>
                <w:szCs w:val="28"/>
                <w:lang w:val="fr-CA"/>
              </w:rPr>
              <w:t xml:space="preserve">à </w:t>
            </w:r>
            <w:r w:rsidR="009506DB" w:rsidRPr="00B3274C">
              <w:rPr>
                <w:bCs/>
                <w:sz w:val="18"/>
                <w:szCs w:val="28"/>
                <w:lang w:val="fr-CA"/>
              </w:rPr>
              <w:t xml:space="preserve">7 </w:t>
            </w:r>
            <w:r w:rsidR="00FB23D3" w:rsidRPr="00B3274C">
              <w:rPr>
                <w:bCs/>
                <w:sz w:val="18"/>
                <w:szCs w:val="28"/>
                <w:lang w:val="fr-CA"/>
              </w:rPr>
              <w:t>607</w:t>
            </w:r>
            <w:r w:rsidR="0080611A">
              <w:rPr>
                <w:bCs/>
                <w:sz w:val="18"/>
                <w:szCs w:val="28"/>
                <w:lang w:val="fr-CA"/>
              </w:rPr>
              <w:t>,</w:t>
            </w:r>
            <w:r w:rsidR="00FB23D3" w:rsidRPr="00B3274C">
              <w:rPr>
                <w:bCs/>
                <w:sz w:val="18"/>
                <w:szCs w:val="28"/>
                <w:lang w:val="fr-CA"/>
              </w:rPr>
              <w:t>54 €</w:t>
            </w:r>
          </w:p>
        </w:tc>
        <w:tc>
          <w:tcPr>
            <w:tcW w:w="3686" w:type="dxa"/>
            <w:tcBorders>
              <w:top w:val="single" w:sz="12" w:space="0" w:color="auto"/>
            </w:tcBorders>
            <w:shd w:val="clear" w:color="auto" w:fill="auto"/>
            <w:vAlign w:val="bottom"/>
          </w:tcPr>
          <w:p w:rsidR="00FB23D3" w:rsidRPr="00B3274C" w:rsidRDefault="00FB23D3" w:rsidP="00925BC7">
            <w:pPr>
              <w:pStyle w:val="SingleTxtG"/>
              <w:suppressAutoHyphens w:val="0"/>
              <w:spacing w:before="40" w:after="40" w:line="220" w:lineRule="exact"/>
              <w:ind w:left="113" w:right="0"/>
              <w:jc w:val="right"/>
              <w:rPr>
                <w:bCs/>
                <w:sz w:val="18"/>
                <w:szCs w:val="28"/>
                <w:lang w:val="fr-CA"/>
              </w:rPr>
            </w:pPr>
            <w:r w:rsidRPr="00B3274C">
              <w:rPr>
                <w:bCs/>
                <w:sz w:val="18"/>
                <w:szCs w:val="28"/>
                <w:lang w:val="fr-CA"/>
              </w:rPr>
              <w:t>230</w:t>
            </w:r>
            <w:r w:rsidR="0080611A">
              <w:rPr>
                <w:bCs/>
                <w:sz w:val="18"/>
                <w:szCs w:val="28"/>
                <w:lang w:val="fr-CA"/>
              </w:rPr>
              <w:t>,</w:t>
            </w:r>
            <w:r w:rsidRPr="00B3274C">
              <w:rPr>
                <w:bCs/>
                <w:sz w:val="18"/>
                <w:szCs w:val="28"/>
                <w:lang w:val="fr-CA"/>
              </w:rPr>
              <w:t>00 €</w:t>
            </w:r>
          </w:p>
        </w:tc>
      </w:tr>
      <w:tr w:rsidR="00FB23D3" w:rsidRPr="00B3274C" w:rsidTr="00782442">
        <w:trPr>
          <w:trHeight w:val="240"/>
        </w:trPr>
        <w:tc>
          <w:tcPr>
            <w:tcW w:w="3686" w:type="dxa"/>
            <w:shd w:val="clear" w:color="auto" w:fill="auto"/>
          </w:tcPr>
          <w:p w:rsidR="00FB23D3" w:rsidRPr="00B3274C" w:rsidRDefault="009506DB" w:rsidP="00925BC7">
            <w:pPr>
              <w:pStyle w:val="SingleTxtG"/>
              <w:suppressAutoHyphens w:val="0"/>
              <w:spacing w:before="40" w:after="40" w:line="220" w:lineRule="exact"/>
              <w:ind w:left="0" w:right="0"/>
              <w:jc w:val="left"/>
              <w:rPr>
                <w:bCs/>
                <w:sz w:val="18"/>
                <w:szCs w:val="28"/>
                <w:lang w:val="fr-CA"/>
              </w:rPr>
            </w:pPr>
            <w:r w:rsidRPr="00B3274C">
              <w:rPr>
                <w:bCs/>
                <w:sz w:val="18"/>
                <w:szCs w:val="28"/>
                <w:lang w:val="fr-CA"/>
              </w:rPr>
              <w:t>De</w:t>
            </w:r>
            <w:r w:rsidR="0055418C" w:rsidRPr="00B3274C">
              <w:rPr>
                <w:bCs/>
                <w:sz w:val="18"/>
                <w:szCs w:val="28"/>
                <w:lang w:val="fr-CA"/>
              </w:rPr>
              <w:t xml:space="preserve"> </w:t>
            </w:r>
            <w:r w:rsidRPr="00B3274C">
              <w:rPr>
                <w:bCs/>
                <w:sz w:val="18"/>
                <w:szCs w:val="28"/>
                <w:lang w:val="fr-CA"/>
              </w:rPr>
              <w:t>7 607</w:t>
            </w:r>
            <w:r w:rsidR="0080611A">
              <w:rPr>
                <w:bCs/>
                <w:sz w:val="18"/>
                <w:szCs w:val="28"/>
                <w:lang w:val="fr-CA"/>
              </w:rPr>
              <w:t>,</w:t>
            </w:r>
            <w:r w:rsidRPr="00B3274C">
              <w:rPr>
                <w:bCs/>
                <w:sz w:val="18"/>
                <w:szCs w:val="28"/>
                <w:lang w:val="fr-CA"/>
              </w:rPr>
              <w:t xml:space="preserve">55 to 7 </w:t>
            </w:r>
            <w:r w:rsidR="00FB23D3" w:rsidRPr="00B3274C">
              <w:rPr>
                <w:bCs/>
                <w:sz w:val="18"/>
                <w:szCs w:val="28"/>
                <w:lang w:val="fr-CA"/>
              </w:rPr>
              <w:t>905</w:t>
            </w:r>
            <w:r w:rsidR="0080611A">
              <w:rPr>
                <w:bCs/>
                <w:sz w:val="18"/>
                <w:szCs w:val="28"/>
                <w:lang w:val="fr-CA"/>
              </w:rPr>
              <w:t>,</w:t>
            </w:r>
            <w:r w:rsidR="00FB23D3" w:rsidRPr="00B3274C">
              <w:rPr>
                <w:bCs/>
                <w:sz w:val="18"/>
                <w:szCs w:val="28"/>
                <w:lang w:val="fr-CA"/>
              </w:rPr>
              <w:t>91 €</w:t>
            </w:r>
          </w:p>
        </w:tc>
        <w:tc>
          <w:tcPr>
            <w:tcW w:w="3686" w:type="dxa"/>
            <w:shd w:val="clear" w:color="auto" w:fill="auto"/>
            <w:vAlign w:val="bottom"/>
          </w:tcPr>
          <w:p w:rsidR="00FB23D3" w:rsidRPr="00B3274C" w:rsidRDefault="00FB23D3" w:rsidP="00925BC7">
            <w:pPr>
              <w:pStyle w:val="SingleTxtG"/>
              <w:suppressAutoHyphens w:val="0"/>
              <w:spacing w:before="40" w:after="40" w:line="220" w:lineRule="exact"/>
              <w:ind w:left="113" w:right="0"/>
              <w:jc w:val="right"/>
              <w:rPr>
                <w:bCs/>
                <w:sz w:val="18"/>
                <w:szCs w:val="28"/>
                <w:lang w:val="fr-CA"/>
              </w:rPr>
            </w:pPr>
            <w:r w:rsidRPr="00B3274C">
              <w:rPr>
                <w:bCs/>
                <w:sz w:val="18"/>
                <w:szCs w:val="28"/>
                <w:lang w:val="fr-CA"/>
              </w:rPr>
              <w:t>172</w:t>
            </w:r>
            <w:r w:rsidR="0080611A">
              <w:rPr>
                <w:bCs/>
                <w:sz w:val="18"/>
                <w:szCs w:val="28"/>
                <w:lang w:val="fr-CA"/>
              </w:rPr>
              <w:t>,</w:t>
            </w:r>
            <w:r w:rsidRPr="00B3274C">
              <w:rPr>
                <w:bCs/>
                <w:sz w:val="18"/>
                <w:szCs w:val="28"/>
                <w:lang w:val="fr-CA"/>
              </w:rPr>
              <w:t>50 €</w:t>
            </w:r>
          </w:p>
        </w:tc>
      </w:tr>
      <w:tr w:rsidR="00FB23D3" w:rsidRPr="00B3274C" w:rsidTr="00782442">
        <w:trPr>
          <w:trHeight w:val="240"/>
        </w:trPr>
        <w:tc>
          <w:tcPr>
            <w:tcW w:w="3686" w:type="dxa"/>
            <w:shd w:val="clear" w:color="auto" w:fill="auto"/>
          </w:tcPr>
          <w:p w:rsidR="00FB23D3" w:rsidRPr="00B3274C" w:rsidRDefault="00127A20" w:rsidP="00925BC7">
            <w:pPr>
              <w:pStyle w:val="SingleTxtG"/>
              <w:suppressAutoHyphens w:val="0"/>
              <w:spacing w:before="40" w:after="40" w:line="220" w:lineRule="exact"/>
              <w:ind w:left="0" w:right="0"/>
              <w:jc w:val="left"/>
              <w:rPr>
                <w:bCs/>
                <w:sz w:val="18"/>
                <w:szCs w:val="28"/>
                <w:lang w:val="fr-CA"/>
              </w:rPr>
            </w:pPr>
            <w:r w:rsidRPr="00B3274C">
              <w:rPr>
                <w:bCs/>
                <w:sz w:val="18"/>
                <w:szCs w:val="28"/>
                <w:lang w:val="fr-CA"/>
              </w:rPr>
              <w:t xml:space="preserve">De </w:t>
            </w:r>
            <w:r w:rsidR="009506DB" w:rsidRPr="00B3274C">
              <w:rPr>
                <w:bCs/>
                <w:sz w:val="18"/>
                <w:szCs w:val="28"/>
                <w:lang w:val="fr-CA"/>
              </w:rPr>
              <w:t xml:space="preserve">7 </w:t>
            </w:r>
            <w:r w:rsidR="00FB23D3" w:rsidRPr="00B3274C">
              <w:rPr>
                <w:bCs/>
                <w:sz w:val="18"/>
                <w:szCs w:val="28"/>
                <w:lang w:val="fr-CA"/>
              </w:rPr>
              <w:t>905</w:t>
            </w:r>
            <w:r w:rsidR="0080611A">
              <w:rPr>
                <w:bCs/>
                <w:sz w:val="18"/>
                <w:szCs w:val="28"/>
                <w:lang w:val="fr-CA"/>
              </w:rPr>
              <w:t>,</w:t>
            </w:r>
            <w:r w:rsidR="00FB23D3" w:rsidRPr="00B3274C">
              <w:rPr>
                <w:bCs/>
                <w:sz w:val="18"/>
                <w:szCs w:val="28"/>
                <w:lang w:val="fr-CA"/>
              </w:rPr>
              <w:t>92</w:t>
            </w:r>
            <w:r w:rsidRPr="00B3274C">
              <w:rPr>
                <w:bCs/>
                <w:sz w:val="18"/>
                <w:szCs w:val="28"/>
                <w:lang w:val="fr-CA"/>
              </w:rPr>
              <w:t xml:space="preserve"> à </w:t>
            </w:r>
            <w:r w:rsidR="009506DB" w:rsidRPr="00B3274C">
              <w:rPr>
                <w:bCs/>
                <w:sz w:val="18"/>
                <w:szCs w:val="28"/>
                <w:lang w:val="fr-CA"/>
              </w:rPr>
              <w:t xml:space="preserve">8 </w:t>
            </w:r>
            <w:r w:rsidR="00FB23D3" w:rsidRPr="00B3274C">
              <w:rPr>
                <w:bCs/>
                <w:sz w:val="18"/>
                <w:szCs w:val="28"/>
                <w:lang w:val="fr-CA"/>
              </w:rPr>
              <w:t>104</w:t>
            </w:r>
            <w:r w:rsidR="0080611A">
              <w:rPr>
                <w:bCs/>
                <w:sz w:val="18"/>
                <w:szCs w:val="28"/>
                <w:lang w:val="fr-CA"/>
              </w:rPr>
              <w:t>,</w:t>
            </w:r>
            <w:r w:rsidR="00FB23D3" w:rsidRPr="00B3274C">
              <w:rPr>
                <w:bCs/>
                <w:sz w:val="18"/>
                <w:szCs w:val="28"/>
                <w:lang w:val="fr-CA"/>
              </w:rPr>
              <w:t>76 €</w:t>
            </w:r>
          </w:p>
        </w:tc>
        <w:tc>
          <w:tcPr>
            <w:tcW w:w="3686" w:type="dxa"/>
            <w:shd w:val="clear" w:color="auto" w:fill="auto"/>
            <w:vAlign w:val="bottom"/>
          </w:tcPr>
          <w:p w:rsidR="00FB23D3" w:rsidRPr="00B3274C" w:rsidRDefault="00FB23D3" w:rsidP="00925BC7">
            <w:pPr>
              <w:pStyle w:val="SingleTxtG"/>
              <w:suppressAutoHyphens w:val="0"/>
              <w:spacing w:before="40" w:after="40" w:line="220" w:lineRule="exact"/>
              <w:ind w:left="113" w:right="0"/>
              <w:jc w:val="right"/>
              <w:rPr>
                <w:bCs/>
                <w:sz w:val="18"/>
                <w:szCs w:val="28"/>
                <w:lang w:val="fr-CA"/>
              </w:rPr>
            </w:pPr>
            <w:r w:rsidRPr="00B3274C">
              <w:rPr>
                <w:bCs/>
                <w:sz w:val="18"/>
                <w:szCs w:val="28"/>
                <w:lang w:val="fr-CA"/>
              </w:rPr>
              <w:t>115</w:t>
            </w:r>
            <w:r w:rsidR="0080611A">
              <w:rPr>
                <w:bCs/>
                <w:sz w:val="18"/>
                <w:szCs w:val="28"/>
                <w:lang w:val="fr-CA"/>
              </w:rPr>
              <w:t>,</w:t>
            </w:r>
            <w:r w:rsidRPr="00B3274C">
              <w:rPr>
                <w:bCs/>
                <w:sz w:val="18"/>
                <w:szCs w:val="28"/>
                <w:lang w:val="fr-CA"/>
              </w:rPr>
              <w:t>00 €</w:t>
            </w:r>
          </w:p>
        </w:tc>
      </w:tr>
      <w:tr w:rsidR="00055317" w:rsidRPr="00B3274C" w:rsidTr="00782442">
        <w:trPr>
          <w:trHeight w:val="240"/>
        </w:trPr>
        <w:tc>
          <w:tcPr>
            <w:tcW w:w="3686" w:type="dxa"/>
            <w:tcBorders>
              <w:bottom w:val="single" w:sz="12" w:space="0" w:color="auto"/>
            </w:tcBorders>
            <w:shd w:val="clear" w:color="auto" w:fill="auto"/>
          </w:tcPr>
          <w:p w:rsidR="00FB23D3" w:rsidRPr="00B3274C" w:rsidRDefault="00127A20" w:rsidP="00925BC7">
            <w:pPr>
              <w:pStyle w:val="SingleTxtG"/>
              <w:suppressAutoHyphens w:val="0"/>
              <w:spacing w:before="40" w:after="40" w:line="220" w:lineRule="exact"/>
              <w:ind w:left="0" w:right="0"/>
              <w:jc w:val="left"/>
              <w:rPr>
                <w:bCs/>
                <w:sz w:val="18"/>
                <w:szCs w:val="28"/>
                <w:lang w:val="fr-CA"/>
              </w:rPr>
            </w:pPr>
            <w:r w:rsidRPr="00B3274C">
              <w:rPr>
                <w:bCs/>
                <w:sz w:val="18"/>
                <w:szCs w:val="28"/>
                <w:lang w:val="fr-CA"/>
              </w:rPr>
              <w:t xml:space="preserve">De </w:t>
            </w:r>
            <w:r w:rsidR="009506DB" w:rsidRPr="00B3274C">
              <w:rPr>
                <w:bCs/>
                <w:sz w:val="18"/>
                <w:szCs w:val="28"/>
                <w:lang w:val="fr-CA"/>
              </w:rPr>
              <w:t xml:space="preserve">8 </w:t>
            </w:r>
            <w:r w:rsidR="00FB23D3" w:rsidRPr="00B3274C">
              <w:rPr>
                <w:bCs/>
                <w:sz w:val="18"/>
                <w:szCs w:val="28"/>
                <w:lang w:val="fr-CA"/>
              </w:rPr>
              <w:t>104</w:t>
            </w:r>
            <w:r w:rsidR="0080611A">
              <w:rPr>
                <w:bCs/>
                <w:sz w:val="18"/>
                <w:szCs w:val="28"/>
                <w:lang w:val="fr-CA"/>
              </w:rPr>
              <w:t>,</w:t>
            </w:r>
            <w:r w:rsidR="00FB23D3" w:rsidRPr="00B3274C">
              <w:rPr>
                <w:bCs/>
                <w:sz w:val="18"/>
                <w:szCs w:val="28"/>
                <w:lang w:val="fr-CA"/>
              </w:rPr>
              <w:t>77</w:t>
            </w:r>
            <w:r w:rsidRPr="00B3274C">
              <w:rPr>
                <w:bCs/>
                <w:sz w:val="18"/>
                <w:szCs w:val="28"/>
                <w:lang w:val="fr-CA"/>
              </w:rPr>
              <w:t xml:space="preserve"> à </w:t>
            </w:r>
            <w:r w:rsidR="009506DB" w:rsidRPr="00B3274C">
              <w:rPr>
                <w:bCs/>
                <w:sz w:val="18"/>
                <w:szCs w:val="28"/>
                <w:lang w:val="fr-CA"/>
              </w:rPr>
              <w:t>8</w:t>
            </w:r>
            <w:r w:rsidR="0055418C" w:rsidRPr="00B3274C">
              <w:rPr>
                <w:bCs/>
                <w:sz w:val="18"/>
                <w:szCs w:val="28"/>
                <w:lang w:val="fr-CA"/>
              </w:rPr>
              <w:t xml:space="preserve"> </w:t>
            </w:r>
            <w:r w:rsidR="00FB23D3" w:rsidRPr="00B3274C">
              <w:rPr>
                <w:bCs/>
                <w:sz w:val="18"/>
                <w:szCs w:val="28"/>
                <w:lang w:val="fr-CA"/>
              </w:rPr>
              <w:t>353</w:t>
            </w:r>
            <w:r w:rsidR="0080611A">
              <w:rPr>
                <w:bCs/>
                <w:sz w:val="18"/>
                <w:szCs w:val="28"/>
                <w:lang w:val="fr-CA"/>
              </w:rPr>
              <w:t>,</w:t>
            </w:r>
            <w:r w:rsidR="00FB23D3" w:rsidRPr="00B3274C">
              <w:rPr>
                <w:bCs/>
                <w:sz w:val="18"/>
                <w:szCs w:val="28"/>
                <w:lang w:val="fr-CA"/>
              </w:rPr>
              <w:t>38 €</w:t>
            </w:r>
          </w:p>
        </w:tc>
        <w:tc>
          <w:tcPr>
            <w:tcW w:w="3686" w:type="dxa"/>
            <w:tcBorders>
              <w:bottom w:val="single" w:sz="12" w:space="0" w:color="auto"/>
            </w:tcBorders>
            <w:shd w:val="clear" w:color="auto" w:fill="auto"/>
            <w:vAlign w:val="bottom"/>
          </w:tcPr>
          <w:p w:rsidR="00FB23D3" w:rsidRPr="00B3274C" w:rsidRDefault="00FB23D3" w:rsidP="00925BC7">
            <w:pPr>
              <w:pStyle w:val="SingleTxtG"/>
              <w:suppressAutoHyphens w:val="0"/>
              <w:spacing w:before="40" w:after="40" w:line="220" w:lineRule="exact"/>
              <w:ind w:left="113" w:right="0"/>
              <w:jc w:val="right"/>
              <w:rPr>
                <w:bCs/>
                <w:sz w:val="18"/>
                <w:szCs w:val="28"/>
                <w:lang w:val="fr-CA"/>
              </w:rPr>
            </w:pPr>
            <w:r w:rsidRPr="00B3274C">
              <w:rPr>
                <w:bCs/>
                <w:sz w:val="18"/>
                <w:szCs w:val="28"/>
                <w:lang w:val="fr-CA"/>
              </w:rPr>
              <w:t>57</w:t>
            </w:r>
            <w:r w:rsidR="0080611A">
              <w:rPr>
                <w:bCs/>
                <w:sz w:val="18"/>
                <w:szCs w:val="28"/>
                <w:lang w:val="fr-CA"/>
              </w:rPr>
              <w:t>,</w:t>
            </w:r>
            <w:r w:rsidRPr="00B3274C">
              <w:rPr>
                <w:bCs/>
                <w:sz w:val="18"/>
                <w:szCs w:val="28"/>
                <w:lang w:val="fr-CA"/>
              </w:rPr>
              <w:t>50 €</w:t>
            </w:r>
          </w:p>
        </w:tc>
      </w:tr>
    </w:tbl>
    <w:p w:rsidR="00FB23D3" w:rsidRPr="00B3274C" w:rsidRDefault="00782442" w:rsidP="00782442">
      <w:pPr>
        <w:pStyle w:val="H23G"/>
      </w:pPr>
      <w:r>
        <w:tab/>
      </w:r>
      <w:r>
        <w:tab/>
      </w:r>
      <w:r w:rsidR="00A005A1" w:rsidRPr="00782442">
        <w:rPr>
          <w:b w:val="0"/>
        </w:rPr>
        <w:t>Table</w:t>
      </w:r>
      <w:r w:rsidR="00127A20" w:rsidRPr="00782442">
        <w:rPr>
          <w:b w:val="0"/>
        </w:rPr>
        <w:t>au</w:t>
      </w:r>
      <w:r w:rsidR="00A005A1" w:rsidRPr="00782442">
        <w:rPr>
          <w:b w:val="0"/>
        </w:rPr>
        <w:t xml:space="preserve"> 7</w:t>
      </w:r>
      <w:r w:rsidR="00A005A1" w:rsidRPr="00782442">
        <w:rPr>
          <w:b w:val="0"/>
        </w:rPr>
        <w:br/>
      </w:r>
      <w:r w:rsidR="00127A20" w:rsidRPr="00B3274C">
        <w:t>Dépenses de protection sociale (en</w:t>
      </w:r>
      <w:r w:rsidR="00B53F6A">
        <w:t> millions</w:t>
      </w:r>
      <w:r w:rsidR="00127A20" w:rsidRPr="00B3274C">
        <w:t xml:space="preserve"> d</w:t>
      </w:r>
      <w:r w:rsidR="0080611A">
        <w:t>’</w:t>
      </w:r>
      <w:r w:rsidR="00127A20" w:rsidRPr="00B3274C">
        <w:t xml:space="preserve">euros) </w:t>
      </w:r>
    </w:p>
    <w:tbl>
      <w:tblPr>
        <w:tblW w:w="8505" w:type="dxa"/>
        <w:tblInd w:w="1134" w:type="dxa"/>
        <w:tblBorders>
          <w:top w:val="single" w:sz="4" w:space="0" w:color="auto"/>
        </w:tblBorders>
        <w:tblLayout w:type="fixed"/>
        <w:tblCellMar>
          <w:left w:w="0" w:type="dxa"/>
          <w:right w:w="0" w:type="dxa"/>
        </w:tblCellMar>
        <w:tblLook w:val="00A0"/>
      </w:tblPr>
      <w:tblGrid>
        <w:gridCol w:w="1636"/>
        <w:gridCol w:w="982"/>
        <w:gridCol w:w="982"/>
        <w:gridCol w:w="981"/>
        <w:gridCol w:w="981"/>
        <w:gridCol w:w="981"/>
        <w:gridCol w:w="981"/>
        <w:gridCol w:w="981"/>
      </w:tblGrid>
      <w:tr w:rsidR="00FB23D3" w:rsidRPr="00B3274C" w:rsidTr="00782442">
        <w:trPr>
          <w:trHeight w:val="240"/>
          <w:tblHeader/>
        </w:trPr>
        <w:tc>
          <w:tcPr>
            <w:tcW w:w="1418" w:type="dxa"/>
            <w:tcBorders>
              <w:top w:val="single" w:sz="4" w:space="0" w:color="auto"/>
              <w:bottom w:val="single" w:sz="12" w:space="0" w:color="auto"/>
            </w:tcBorders>
            <w:shd w:val="clear" w:color="auto" w:fill="auto"/>
            <w:vAlign w:val="bottom"/>
          </w:tcPr>
          <w:p w:rsidR="00FB23D3" w:rsidRPr="00B3274C" w:rsidRDefault="00FB23D3" w:rsidP="00782442">
            <w:pPr>
              <w:pStyle w:val="SingleTxtG"/>
              <w:keepNext/>
              <w:suppressAutoHyphens w:val="0"/>
              <w:spacing w:before="80" w:after="80" w:line="200" w:lineRule="exact"/>
              <w:ind w:left="0" w:right="0"/>
              <w:jc w:val="left"/>
              <w:rPr>
                <w:i/>
                <w:sz w:val="16"/>
                <w:lang w:val="fr-CA"/>
              </w:rPr>
            </w:pPr>
          </w:p>
        </w:tc>
        <w:tc>
          <w:tcPr>
            <w:tcW w:w="851" w:type="dxa"/>
            <w:tcBorders>
              <w:top w:val="single" w:sz="4" w:space="0" w:color="auto"/>
              <w:bottom w:val="single" w:sz="12" w:space="0" w:color="auto"/>
            </w:tcBorders>
            <w:shd w:val="clear" w:color="auto" w:fill="auto"/>
            <w:vAlign w:val="bottom"/>
          </w:tcPr>
          <w:p w:rsidR="00FB23D3" w:rsidRPr="00B3274C" w:rsidRDefault="00FB23D3" w:rsidP="00782442">
            <w:pPr>
              <w:pStyle w:val="SingleTxtG"/>
              <w:keepNext/>
              <w:suppressAutoHyphens w:val="0"/>
              <w:spacing w:before="80" w:after="80" w:line="200" w:lineRule="exact"/>
              <w:ind w:left="113" w:right="0"/>
              <w:jc w:val="right"/>
              <w:rPr>
                <w:i/>
                <w:sz w:val="16"/>
                <w:lang w:val="fr-CA"/>
              </w:rPr>
            </w:pPr>
            <w:r w:rsidRPr="00B3274C">
              <w:rPr>
                <w:i/>
                <w:sz w:val="16"/>
                <w:lang w:val="fr-CA"/>
              </w:rPr>
              <w:t>2004</w:t>
            </w:r>
          </w:p>
        </w:tc>
        <w:tc>
          <w:tcPr>
            <w:tcW w:w="851" w:type="dxa"/>
            <w:tcBorders>
              <w:top w:val="single" w:sz="4" w:space="0" w:color="auto"/>
              <w:bottom w:val="single" w:sz="12" w:space="0" w:color="auto"/>
            </w:tcBorders>
            <w:shd w:val="clear" w:color="auto" w:fill="auto"/>
            <w:vAlign w:val="bottom"/>
          </w:tcPr>
          <w:p w:rsidR="00FB23D3" w:rsidRPr="00B3274C" w:rsidRDefault="00FB23D3" w:rsidP="00782442">
            <w:pPr>
              <w:pStyle w:val="SingleTxtG"/>
              <w:keepNext/>
              <w:suppressAutoHyphens w:val="0"/>
              <w:spacing w:before="80" w:after="80" w:line="200" w:lineRule="exact"/>
              <w:ind w:left="113" w:right="0"/>
              <w:jc w:val="right"/>
              <w:rPr>
                <w:i/>
                <w:sz w:val="16"/>
                <w:lang w:val="fr-CA"/>
              </w:rPr>
            </w:pPr>
            <w:r w:rsidRPr="00B3274C">
              <w:rPr>
                <w:i/>
                <w:sz w:val="16"/>
                <w:lang w:val="fr-CA"/>
              </w:rPr>
              <w:t>2005</w:t>
            </w:r>
          </w:p>
        </w:tc>
        <w:tc>
          <w:tcPr>
            <w:tcW w:w="851" w:type="dxa"/>
            <w:tcBorders>
              <w:top w:val="single" w:sz="4" w:space="0" w:color="auto"/>
              <w:bottom w:val="single" w:sz="12" w:space="0" w:color="auto"/>
            </w:tcBorders>
            <w:shd w:val="clear" w:color="auto" w:fill="auto"/>
            <w:vAlign w:val="bottom"/>
          </w:tcPr>
          <w:p w:rsidR="00FB23D3" w:rsidRPr="00B3274C" w:rsidRDefault="00FB23D3" w:rsidP="00782442">
            <w:pPr>
              <w:pStyle w:val="SingleTxtG"/>
              <w:keepNext/>
              <w:suppressAutoHyphens w:val="0"/>
              <w:spacing w:before="80" w:after="80" w:line="200" w:lineRule="exact"/>
              <w:ind w:left="113" w:right="0"/>
              <w:jc w:val="right"/>
              <w:rPr>
                <w:i/>
                <w:sz w:val="16"/>
                <w:lang w:val="fr-CA"/>
              </w:rPr>
            </w:pPr>
            <w:r w:rsidRPr="00B3274C">
              <w:rPr>
                <w:i/>
                <w:sz w:val="16"/>
                <w:lang w:val="fr-CA"/>
              </w:rPr>
              <w:t>2006</w:t>
            </w:r>
          </w:p>
        </w:tc>
        <w:tc>
          <w:tcPr>
            <w:tcW w:w="851" w:type="dxa"/>
            <w:tcBorders>
              <w:top w:val="single" w:sz="4" w:space="0" w:color="auto"/>
              <w:bottom w:val="single" w:sz="12" w:space="0" w:color="auto"/>
            </w:tcBorders>
            <w:shd w:val="clear" w:color="auto" w:fill="auto"/>
            <w:vAlign w:val="bottom"/>
          </w:tcPr>
          <w:p w:rsidR="00FB23D3" w:rsidRPr="00B3274C" w:rsidRDefault="00FB23D3" w:rsidP="00782442">
            <w:pPr>
              <w:pStyle w:val="SingleTxtG"/>
              <w:keepNext/>
              <w:suppressAutoHyphens w:val="0"/>
              <w:spacing w:before="80" w:after="80" w:line="200" w:lineRule="exact"/>
              <w:ind w:left="113" w:right="0"/>
              <w:jc w:val="right"/>
              <w:rPr>
                <w:i/>
                <w:sz w:val="16"/>
                <w:lang w:val="fr-CA"/>
              </w:rPr>
            </w:pPr>
            <w:r w:rsidRPr="00B3274C">
              <w:rPr>
                <w:i/>
                <w:sz w:val="16"/>
                <w:lang w:val="fr-CA"/>
              </w:rPr>
              <w:t>2007</w:t>
            </w:r>
          </w:p>
        </w:tc>
        <w:tc>
          <w:tcPr>
            <w:tcW w:w="851" w:type="dxa"/>
            <w:tcBorders>
              <w:top w:val="single" w:sz="4" w:space="0" w:color="auto"/>
              <w:bottom w:val="single" w:sz="12" w:space="0" w:color="auto"/>
            </w:tcBorders>
            <w:shd w:val="clear" w:color="auto" w:fill="auto"/>
            <w:vAlign w:val="bottom"/>
          </w:tcPr>
          <w:p w:rsidR="00FB23D3" w:rsidRPr="00B3274C" w:rsidRDefault="00FB23D3" w:rsidP="00782442">
            <w:pPr>
              <w:pStyle w:val="SingleTxtG"/>
              <w:keepNext/>
              <w:suppressAutoHyphens w:val="0"/>
              <w:spacing w:before="80" w:after="80" w:line="200" w:lineRule="exact"/>
              <w:ind w:left="113" w:right="0"/>
              <w:jc w:val="right"/>
              <w:rPr>
                <w:i/>
                <w:sz w:val="16"/>
                <w:lang w:val="fr-CA"/>
              </w:rPr>
            </w:pPr>
            <w:r w:rsidRPr="00B3274C">
              <w:rPr>
                <w:i/>
                <w:sz w:val="16"/>
                <w:lang w:val="fr-CA"/>
              </w:rPr>
              <w:t>2008</w:t>
            </w:r>
          </w:p>
        </w:tc>
        <w:tc>
          <w:tcPr>
            <w:tcW w:w="851" w:type="dxa"/>
            <w:tcBorders>
              <w:top w:val="single" w:sz="4" w:space="0" w:color="auto"/>
              <w:bottom w:val="single" w:sz="12" w:space="0" w:color="auto"/>
            </w:tcBorders>
            <w:shd w:val="clear" w:color="auto" w:fill="auto"/>
            <w:vAlign w:val="bottom"/>
          </w:tcPr>
          <w:p w:rsidR="00FB23D3" w:rsidRPr="00B3274C" w:rsidRDefault="00FB23D3" w:rsidP="00782442">
            <w:pPr>
              <w:pStyle w:val="SingleTxtG"/>
              <w:keepNext/>
              <w:suppressAutoHyphens w:val="0"/>
              <w:spacing w:before="80" w:after="80" w:line="200" w:lineRule="exact"/>
              <w:ind w:left="113" w:right="0"/>
              <w:jc w:val="right"/>
              <w:rPr>
                <w:i/>
                <w:sz w:val="16"/>
                <w:lang w:val="fr-CA"/>
              </w:rPr>
            </w:pPr>
            <w:r w:rsidRPr="00B3274C">
              <w:rPr>
                <w:i/>
                <w:sz w:val="16"/>
                <w:lang w:val="fr-CA"/>
              </w:rPr>
              <w:t>2009</w:t>
            </w:r>
          </w:p>
        </w:tc>
        <w:tc>
          <w:tcPr>
            <w:tcW w:w="851" w:type="dxa"/>
            <w:tcBorders>
              <w:top w:val="single" w:sz="4" w:space="0" w:color="auto"/>
              <w:bottom w:val="single" w:sz="12" w:space="0" w:color="auto"/>
            </w:tcBorders>
            <w:shd w:val="clear" w:color="auto" w:fill="auto"/>
            <w:vAlign w:val="bottom"/>
          </w:tcPr>
          <w:p w:rsidR="00FB23D3" w:rsidRPr="00B3274C" w:rsidRDefault="00FB23D3" w:rsidP="00782442">
            <w:pPr>
              <w:pStyle w:val="SingleTxtG"/>
              <w:keepNext/>
              <w:suppressAutoHyphens w:val="0"/>
              <w:spacing w:before="80" w:after="80" w:line="200" w:lineRule="exact"/>
              <w:ind w:left="113" w:right="0"/>
              <w:jc w:val="right"/>
              <w:rPr>
                <w:i/>
                <w:sz w:val="16"/>
                <w:lang w:val="fr-CA"/>
              </w:rPr>
            </w:pPr>
            <w:r w:rsidRPr="00B3274C">
              <w:rPr>
                <w:i/>
                <w:sz w:val="16"/>
                <w:lang w:val="fr-CA"/>
              </w:rPr>
              <w:t>2010</w:t>
            </w:r>
          </w:p>
        </w:tc>
      </w:tr>
      <w:tr w:rsidR="00FB23D3" w:rsidRPr="00B3274C" w:rsidTr="00782442">
        <w:trPr>
          <w:trHeight w:val="240"/>
        </w:trPr>
        <w:tc>
          <w:tcPr>
            <w:tcW w:w="1418" w:type="dxa"/>
            <w:tcBorders>
              <w:top w:val="single" w:sz="12" w:space="0" w:color="auto"/>
            </w:tcBorders>
            <w:shd w:val="clear" w:color="auto" w:fill="auto"/>
          </w:tcPr>
          <w:p w:rsidR="00FB23D3" w:rsidRPr="00B3274C" w:rsidRDefault="00127A20" w:rsidP="00782442">
            <w:pPr>
              <w:pStyle w:val="SingleTxtG"/>
              <w:keepNext/>
              <w:suppressAutoHyphens w:val="0"/>
              <w:spacing w:before="40" w:after="40" w:line="220" w:lineRule="exact"/>
              <w:ind w:left="0" w:right="0"/>
              <w:jc w:val="left"/>
              <w:rPr>
                <w:sz w:val="18"/>
                <w:lang w:val="fr-CA"/>
              </w:rPr>
            </w:pPr>
            <w:r w:rsidRPr="00B3274C">
              <w:rPr>
                <w:sz w:val="18"/>
                <w:lang w:val="fr-CA"/>
              </w:rPr>
              <w:t>Dépenses de protection sociale</w:t>
            </w:r>
          </w:p>
        </w:tc>
        <w:tc>
          <w:tcPr>
            <w:tcW w:w="851" w:type="dxa"/>
            <w:tcBorders>
              <w:top w:val="single" w:sz="12" w:space="0" w:color="auto"/>
            </w:tcBorders>
            <w:shd w:val="clear" w:color="auto" w:fill="auto"/>
            <w:vAlign w:val="bottom"/>
          </w:tcPr>
          <w:p w:rsidR="00FB23D3" w:rsidRPr="00B3274C" w:rsidRDefault="00FB23D3" w:rsidP="00925BC7">
            <w:pPr>
              <w:pStyle w:val="SingleTxtG"/>
              <w:keepNext/>
              <w:suppressAutoHyphens w:val="0"/>
              <w:spacing w:before="40" w:after="40" w:line="220" w:lineRule="exact"/>
              <w:ind w:left="113" w:right="0"/>
              <w:jc w:val="right"/>
              <w:rPr>
                <w:sz w:val="18"/>
                <w:lang w:val="fr-CA"/>
              </w:rPr>
            </w:pPr>
            <w:r w:rsidRPr="00B3274C">
              <w:rPr>
                <w:sz w:val="18"/>
                <w:lang w:val="fr-CA"/>
              </w:rPr>
              <w:t>8</w:t>
            </w:r>
            <w:r w:rsidR="00D330E9" w:rsidRPr="00B3274C">
              <w:rPr>
                <w:sz w:val="18"/>
                <w:lang w:val="fr-CA"/>
              </w:rPr>
              <w:t> </w:t>
            </w:r>
            <w:r w:rsidRPr="00B3274C">
              <w:rPr>
                <w:sz w:val="18"/>
                <w:lang w:val="fr-CA"/>
              </w:rPr>
              <w:t>813</w:t>
            </w:r>
            <w:r w:rsidR="0080611A">
              <w:rPr>
                <w:sz w:val="18"/>
                <w:lang w:val="fr-CA"/>
              </w:rPr>
              <w:t>,</w:t>
            </w:r>
            <w:r w:rsidRPr="00B3274C">
              <w:rPr>
                <w:sz w:val="18"/>
                <w:lang w:val="fr-CA"/>
              </w:rPr>
              <w:t>03</w:t>
            </w:r>
          </w:p>
        </w:tc>
        <w:tc>
          <w:tcPr>
            <w:tcW w:w="851" w:type="dxa"/>
            <w:tcBorders>
              <w:top w:val="single" w:sz="12" w:space="0" w:color="auto"/>
            </w:tcBorders>
            <w:shd w:val="clear" w:color="auto" w:fill="auto"/>
            <w:vAlign w:val="bottom"/>
          </w:tcPr>
          <w:p w:rsidR="00FB23D3" w:rsidRPr="00B3274C" w:rsidRDefault="00FB23D3" w:rsidP="00782442">
            <w:pPr>
              <w:pStyle w:val="SingleTxtG"/>
              <w:keepNext/>
              <w:suppressAutoHyphens w:val="0"/>
              <w:spacing w:before="40" w:after="40" w:line="220" w:lineRule="exact"/>
              <w:ind w:left="113" w:right="0"/>
              <w:jc w:val="right"/>
              <w:rPr>
                <w:sz w:val="18"/>
                <w:lang w:val="fr-CA"/>
              </w:rPr>
            </w:pPr>
            <w:r w:rsidRPr="00B3274C">
              <w:rPr>
                <w:sz w:val="18"/>
                <w:lang w:val="fr-CA"/>
              </w:rPr>
              <w:t>8</w:t>
            </w:r>
            <w:r w:rsidR="00D330E9" w:rsidRPr="00B3274C">
              <w:rPr>
                <w:sz w:val="18"/>
                <w:lang w:val="fr-CA"/>
              </w:rPr>
              <w:t> </w:t>
            </w:r>
            <w:r w:rsidRPr="00B3274C">
              <w:rPr>
                <w:sz w:val="18"/>
                <w:lang w:val="fr-CA"/>
              </w:rPr>
              <w:t>930</w:t>
            </w:r>
            <w:r w:rsidR="0080611A">
              <w:rPr>
                <w:sz w:val="18"/>
                <w:lang w:val="fr-CA"/>
              </w:rPr>
              <w:t>,</w:t>
            </w:r>
            <w:r w:rsidRPr="00B3274C">
              <w:rPr>
                <w:sz w:val="18"/>
                <w:lang w:val="fr-CA"/>
              </w:rPr>
              <w:t>66</w:t>
            </w:r>
          </w:p>
        </w:tc>
        <w:tc>
          <w:tcPr>
            <w:tcW w:w="851" w:type="dxa"/>
            <w:tcBorders>
              <w:top w:val="single" w:sz="12" w:space="0" w:color="auto"/>
            </w:tcBorders>
            <w:shd w:val="clear" w:color="auto" w:fill="auto"/>
            <w:vAlign w:val="bottom"/>
          </w:tcPr>
          <w:p w:rsidR="00FB23D3" w:rsidRPr="00B3274C" w:rsidRDefault="00FB23D3" w:rsidP="00782442">
            <w:pPr>
              <w:pStyle w:val="SingleTxtG"/>
              <w:keepNext/>
              <w:suppressAutoHyphens w:val="0"/>
              <w:spacing w:before="40" w:after="40" w:line="220" w:lineRule="exact"/>
              <w:ind w:left="113" w:right="0"/>
              <w:jc w:val="right"/>
              <w:rPr>
                <w:sz w:val="18"/>
                <w:lang w:val="fr-CA"/>
              </w:rPr>
            </w:pPr>
            <w:r w:rsidRPr="00B3274C">
              <w:rPr>
                <w:sz w:val="18"/>
                <w:lang w:val="fr-CA"/>
              </w:rPr>
              <w:t>9</w:t>
            </w:r>
            <w:r w:rsidR="00D330E9" w:rsidRPr="00B3274C">
              <w:rPr>
                <w:sz w:val="18"/>
                <w:lang w:val="fr-CA"/>
              </w:rPr>
              <w:t> </w:t>
            </w:r>
            <w:r w:rsidRPr="00B3274C">
              <w:rPr>
                <w:sz w:val="18"/>
                <w:lang w:val="fr-CA"/>
              </w:rPr>
              <w:t>696</w:t>
            </w:r>
            <w:r w:rsidR="0080611A">
              <w:rPr>
                <w:sz w:val="18"/>
                <w:lang w:val="fr-CA"/>
              </w:rPr>
              <w:t>,</w:t>
            </w:r>
            <w:r w:rsidRPr="00B3274C">
              <w:rPr>
                <w:sz w:val="18"/>
                <w:lang w:val="fr-CA"/>
              </w:rPr>
              <w:t>87</w:t>
            </w:r>
          </w:p>
        </w:tc>
        <w:tc>
          <w:tcPr>
            <w:tcW w:w="851" w:type="dxa"/>
            <w:tcBorders>
              <w:top w:val="single" w:sz="12" w:space="0" w:color="auto"/>
            </w:tcBorders>
            <w:shd w:val="clear" w:color="auto" w:fill="auto"/>
            <w:vAlign w:val="bottom"/>
          </w:tcPr>
          <w:p w:rsidR="00FB23D3" w:rsidRPr="00B3274C" w:rsidRDefault="00FB23D3" w:rsidP="00782442">
            <w:pPr>
              <w:pStyle w:val="SingleTxtG"/>
              <w:keepNext/>
              <w:suppressAutoHyphens w:val="0"/>
              <w:spacing w:before="40" w:after="40" w:line="220" w:lineRule="exact"/>
              <w:ind w:left="113" w:right="0"/>
              <w:jc w:val="right"/>
              <w:rPr>
                <w:sz w:val="18"/>
                <w:lang w:val="fr-CA"/>
              </w:rPr>
            </w:pPr>
            <w:r w:rsidRPr="00B3274C">
              <w:rPr>
                <w:sz w:val="18"/>
                <w:lang w:val="fr-CA"/>
              </w:rPr>
              <w:t>10</w:t>
            </w:r>
            <w:r w:rsidR="00D330E9" w:rsidRPr="00B3274C">
              <w:rPr>
                <w:sz w:val="18"/>
                <w:lang w:val="fr-CA"/>
              </w:rPr>
              <w:t> </w:t>
            </w:r>
            <w:r w:rsidRPr="00B3274C">
              <w:rPr>
                <w:sz w:val="18"/>
                <w:lang w:val="fr-CA"/>
              </w:rPr>
              <w:t>464</w:t>
            </w:r>
            <w:r w:rsidR="0080611A">
              <w:rPr>
                <w:sz w:val="18"/>
                <w:lang w:val="fr-CA"/>
              </w:rPr>
              <w:t>,</w:t>
            </w:r>
            <w:r w:rsidRPr="00B3274C">
              <w:rPr>
                <w:sz w:val="18"/>
                <w:lang w:val="fr-CA"/>
              </w:rPr>
              <w:t>80</w:t>
            </w:r>
          </w:p>
        </w:tc>
        <w:tc>
          <w:tcPr>
            <w:tcW w:w="851" w:type="dxa"/>
            <w:tcBorders>
              <w:top w:val="single" w:sz="12" w:space="0" w:color="auto"/>
            </w:tcBorders>
            <w:shd w:val="clear" w:color="auto" w:fill="auto"/>
            <w:vAlign w:val="bottom"/>
          </w:tcPr>
          <w:p w:rsidR="00FB23D3" w:rsidRPr="00B3274C" w:rsidRDefault="00FB23D3" w:rsidP="00782442">
            <w:pPr>
              <w:pStyle w:val="SingleTxtG"/>
              <w:keepNext/>
              <w:suppressAutoHyphens w:val="0"/>
              <w:spacing w:before="40" w:after="40" w:line="220" w:lineRule="exact"/>
              <w:ind w:left="113" w:right="0"/>
              <w:jc w:val="right"/>
              <w:rPr>
                <w:sz w:val="18"/>
                <w:lang w:val="fr-CA"/>
              </w:rPr>
            </w:pPr>
            <w:r w:rsidRPr="00B3274C">
              <w:rPr>
                <w:sz w:val="18"/>
                <w:lang w:val="fr-CA"/>
              </w:rPr>
              <w:t>14</w:t>
            </w:r>
            <w:r w:rsidR="00D330E9" w:rsidRPr="00B3274C">
              <w:rPr>
                <w:sz w:val="18"/>
                <w:lang w:val="fr-CA"/>
              </w:rPr>
              <w:t> </w:t>
            </w:r>
            <w:r w:rsidRPr="00B3274C">
              <w:rPr>
                <w:sz w:val="18"/>
                <w:lang w:val="fr-CA"/>
              </w:rPr>
              <w:t>189</w:t>
            </w:r>
            <w:r w:rsidR="0080611A">
              <w:rPr>
                <w:sz w:val="18"/>
                <w:lang w:val="fr-CA"/>
              </w:rPr>
              <w:t>,</w:t>
            </w:r>
            <w:r w:rsidRPr="00B3274C">
              <w:rPr>
                <w:sz w:val="18"/>
                <w:lang w:val="fr-CA"/>
              </w:rPr>
              <w:t>84</w:t>
            </w:r>
          </w:p>
        </w:tc>
        <w:tc>
          <w:tcPr>
            <w:tcW w:w="851" w:type="dxa"/>
            <w:tcBorders>
              <w:top w:val="single" w:sz="12" w:space="0" w:color="auto"/>
            </w:tcBorders>
            <w:shd w:val="clear" w:color="auto" w:fill="auto"/>
            <w:vAlign w:val="bottom"/>
          </w:tcPr>
          <w:p w:rsidR="00FB23D3" w:rsidRPr="00B3274C" w:rsidRDefault="00FB23D3" w:rsidP="00782442">
            <w:pPr>
              <w:pStyle w:val="SingleTxtG"/>
              <w:keepNext/>
              <w:suppressAutoHyphens w:val="0"/>
              <w:spacing w:before="40" w:after="40" w:line="220" w:lineRule="exact"/>
              <w:ind w:left="113" w:right="0"/>
              <w:jc w:val="right"/>
              <w:rPr>
                <w:sz w:val="18"/>
                <w:lang w:val="fr-CA"/>
              </w:rPr>
            </w:pPr>
            <w:r w:rsidRPr="00B3274C">
              <w:rPr>
                <w:sz w:val="18"/>
                <w:lang w:val="fr-CA"/>
              </w:rPr>
              <w:t>16</w:t>
            </w:r>
            <w:r w:rsidR="00D330E9" w:rsidRPr="00B3274C">
              <w:rPr>
                <w:sz w:val="18"/>
                <w:lang w:val="fr-CA"/>
              </w:rPr>
              <w:t> </w:t>
            </w:r>
            <w:r w:rsidRPr="00B3274C">
              <w:rPr>
                <w:sz w:val="18"/>
                <w:lang w:val="fr-CA"/>
              </w:rPr>
              <w:t>415</w:t>
            </w:r>
            <w:r w:rsidR="0080611A">
              <w:rPr>
                <w:sz w:val="18"/>
                <w:lang w:val="fr-CA"/>
              </w:rPr>
              <w:t>,</w:t>
            </w:r>
            <w:r w:rsidRPr="00B3274C">
              <w:rPr>
                <w:sz w:val="18"/>
                <w:lang w:val="fr-CA"/>
              </w:rPr>
              <w:t>31</w:t>
            </w:r>
          </w:p>
        </w:tc>
        <w:tc>
          <w:tcPr>
            <w:tcW w:w="851" w:type="dxa"/>
            <w:tcBorders>
              <w:top w:val="single" w:sz="12" w:space="0" w:color="auto"/>
            </w:tcBorders>
            <w:shd w:val="clear" w:color="auto" w:fill="auto"/>
            <w:vAlign w:val="bottom"/>
          </w:tcPr>
          <w:p w:rsidR="00FB23D3" w:rsidRPr="00B3274C" w:rsidRDefault="00FB23D3" w:rsidP="00782442">
            <w:pPr>
              <w:pStyle w:val="SingleTxtG"/>
              <w:keepNext/>
              <w:suppressAutoHyphens w:val="0"/>
              <w:spacing w:before="40" w:after="40" w:line="220" w:lineRule="exact"/>
              <w:ind w:left="113" w:right="0"/>
              <w:jc w:val="right"/>
              <w:rPr>
                <w:sz w:val="18"/>
                <w:lang w:val="fr-CA"/>
              </w:rPr>
            </w:pPr>
            <w:r w:rsidRPr="00B3274C">
              <w:rPr>
                <w:sz w:val="18"/>
                <w:lang w:val="fr-CA"/>
              </w:rPr>
              <w:t>13</w:t>
            </w:r>
            <w:r w:rsidR="00D330E9" w:rsidRPr="00B3274C">
              <w:rPr>
                <w:sz w:val="18"/>
                <w:lang w:val="fr-CA"/>
              </w:rPr>
              <w:t> </w:t>
            </w:r>
            <w:r w:rsidRPr="00B3274C">
              <w:rPr>
                <w:sz w:val="18"/>
                <w:lang w:val="fr-CA"/>
              </w:rPr>
              <w:t>563</w:t>
            </w:r>
            <w:r w:rsidR="0080611A">
              <w:rPr>
                <w:sz w:val="18"/>
                <w:lang w:val="fr-CA"/>
              </w:rPr>
              <w:t>,</w:t>
            </w:r>
            <w:r w:rsidRPr="00B3274C">
              <w:rPr>
                <w:sz w:val="18"/>
                <w:lang w:val="fr-CA"/>
              </w:rPr>
              <w:t>78</w:t>
            </w:r>
          </w:p>
        </w:tc>
      </w:tr>
      <w:tr w:rsidR="00FB23D3" w:rsidRPr="00B3274C" w:rsidTr="00782442">
        <w:trPr>
          <w:trHeight w:val="240"/>
        </w:trPr>
        <w:tc>
          <w:tcPr>
            <w:tcW w:w="1418" w:type="dxa"/>
            <w:shd w:val="clear" w:color="auto" w:fill="auto"/>
          </w:tcPr>
          <w:p w:rsidR="00FB23D3" w:rsidRPr="00B3274C" w:rsidRDefault="00127A20" w:rsidP="00782442">
            <w:pPr>
              <w:pStyle w:val="SingleTxtG"/>
              <w:keepNext/>
              <w:suppressAutoHyphens w:val="0"/>
              <w:spacing w:before="40" w:after="40" w:line="220" w:lineRule="exact"/>
              <w:ind w:left="0" w:right="0"/>
              <w:jc w:val="left"/>
              <w:rPr>
                <w:sz w:val="18"/>
                <w:lang w:val="fr-CA"/>
              </w:rPr>
            </w:pPr>
            <w:r w:rsidRPr="00B3274C">
              <w:rPr>
                <w:sz w:val="18"/>
                <w:lang w:val="fr-CA"/>
              </w:rPr>
              <w:t xml:space="preserve">PNB </w:t>
            </w:r>
            <w:r w:rsidR="00782442">
              <w:rPr>
                <w:sz w:val="18"/>
                <w:lang w:val="fr-CA"/>
              </w:rPr>
              <w:br/>
            </w:r>
            <w:r w:rsidR="002261F0" w:rsidRPr="00B3274C">
              <w:rPr>
                <w:sz w:val="18"/>
                <w:lang w:val="fr-CA"/>
              </w:rPr>
              <w:t>(</w:t>
            </w:r>
            <w:r w:rsidRPr="00B3274C">
              <w:rPr>
                <w:sz w:val="18"/>
                <w:lang w:val="fr-CA"/>
              </w:rPr>
              <w:t>en</w:t>
            </w:r>
            <w:r w:rsidR="00B53F6A">
              <w:rPr>
                <w:sz w:val="18"/>
                <w:lang w:val="fr-CA"/>
              </w:rPr>
              <w:t> millions</w:t>
            </w:r>
            <w:r w:rsidRPr="00B3274C">
              <w:rPr>
                <w:sz w:val="18"/>
                <w:lang w:val="fr-CA"/>
              </w:rPr>
              <w:t xml:space="preserve"> d</w:t>
            </w:r>
            <w:r w:rsidR="0080611A">
              <w:rPr>
                <w:sz w:val="18"/>
                <w:lang w:val="fr-CA"/>
              </w:rPr>
              <w:t>’</w:t>
            </w:r>
            <w:r w:rsidRPr="00B3274C">
              <w:rPr>
                <w:sz w:val="18"/>
                <w:lang w:val="fr-CA"/>
              </w:rPr>
              <w:t>euros</w:t>
            </w:r>
            <w:r w:rsidR="009D2471" w:rsidRPr="00B3274C">
              <w:rPr>
                <w:sz w:val="18"/>
                <w:lang w:val="fr-CA"/>
              </w:rPr>
              <w:t>)</w:t>
            </w:r>
          </w:p>
        </w:tc>
        <w:tc>
          <w:tcPr>
            <w:tcW w:w="851" w:type="dxa"/>
            <w:shd w:val="clear" w:color="auto" w:fill="auto"/>
            <w:vAlign w:val="bottom"/>
          </w:tcPr>
          <w:p w:rsidR="00FB23D3" w:rsidRPr="00B3274C" w:rsidRDefault="00FB23D3" w:rsidP="00782442">
            <w:pPr>
              <w:pStyle w:val="SingleTxtG"/>
              <w:keepNext/>
              <w:suppressAutoHyphens w:val="0"/>
              <w:spacing w:before="40" w:after="40" w:line="220" w:lineRule="exact"/>
              <w:ind w:left="113" w:right="0"/>
              <w:jc w:val="right"/>
              <w:rPr>
                <w:sz w:val="18"/>
                <w:lang w:val="fr-CA"/>
              </w:rPr>
            </w:pPr>
            <w:r w:rsidRPr="00B3274C">
              <w:rPr>
                <w:sz w:val="18"/>
                <w:lang w:val="fr-CA"/>
              </w:rPr>
              <w:t>185</w:t>
            </w:r>
            <w:r w:rsidR="00D330E9" w:rsidRPr="00B3274C">
              <w:rPr>
                <w:sz w:val="18"/>
                <w:lang w:val="fr-CA"/>
              </w:rPr>
              <w:t> </w:t>
            </w:r>
            <w:r w:rsidRPr="00B3274C">
              <w:rPr>
                <w:sz w:val="18"/>
                <w:lang w:val="fr-CA"/>
              </w:rPr>
              <w:t>225</w:t>
            </w:r>
          </w:p>
        </w:tc>
        <w:tc>
          <w:tcPr>
            <w:tcW w:w="851" w:type="dxa"/>
            <w:shd w:val="clear" w:color="auto" w:fill="auto"/>
            <w:vAlign w:val="bottom"/>
          </w:tcPr>
          <w:p w:rsidR="00FB23D3" w:rsidRPr="00B3274C" w:rsidRDefault="00FB23D3" w:rsidP="00782442">
            <w:pPr>
              <w:pStyle w:val="SingleTxtG"/>
              <w:keepNext/>
              <w:suppressAutoHyphens w:val="0"/>
              <w:spacing w:before="40" w:after="40" w:line="220" w:lineRule="exact"/>
              <w:ind w:left="113" w:right="0"/>
              <w:jc w:val="right"/>
              <w:rPr>
                <w:sz w:val="18"/>
                <w:lang w:val="fr-CA"/>
              </w:rPr>
            </w:pPr>
            <w:r w:rsidRPr="00B3274C">
              <w:rPr>
                <w:sz w:val="18"/>
                <w:lang w:val="fr-CA"/>
              </w:rPr>
              <w:t>198</w:t>
            </w:r>
            <w:r w:rsidR="00D330E9" w:rsidRPr="00B3274C">
              <w:rPr>
                <w:sz w:val="18"/>
                <w:lang w:val="fr-CA"/>
              </w:rPr>
              <w:t> </w:t>
            </w:r>
            <w:r w:rsidRPr="00B3274C">
              <w:rPr>
                <w:sz w:val="18"/>
                <w:lang w:val="fr-CA"/>
              </w:rPr>
              <w:t>609</w:t>
            </w:r>
          </w:p>
        </w:tc>
        <w:tc>
          <w:tcPr>
            <w:tcW w:w="851" w:type="dxa"/>
            <w:shd w:val="clear" w:color="auto" w:fill="auto"/>
            <w:vAlign w:val="bottom"/>
          </w:tcPr>
          <w:p w:rsidR="00FB23D3" w:rsidRPr="00B3274C" w:rsidRDefault="00FB23D3" w:rsidP="00782442">
            <w:pPr>
              <w:pStyle w:val="SingleTxtG"/>
              <w:keepNext/>
              <w:suppressAutoHyphens w:val="0"/>
              <w:spacing w:before="40" w:after="40" w:line="220" w:lineRule="exact"/>
              <w:ind w:left="113" w:right="0"/>
              <w:jc w:val="right"/>
              <w:rPr>
                <w:sz w:val="18"/>
                <w:lang w:val="fr-CA"/>
              </w:rPr>
            </w:pPr>
            <w:r w:rsidRPr="00B3274C">
              <w:rPr>
                <w:sz w:val="18"/>
                <w:lang w:val="fr-CA"/>
              </w:rPr>
              <w:t>213</w:t>
            </w:r>
            <w:r w:rsidR="00D330E9" w:rsidRPr="00B3274C">
              <w:rPr>
                <w:sz w:val="18"/>
                <w:lang w:val="fr-CA"/>
              </w:rPr>
              <w:t> </w:t>
            </w:r>
            <w:r w:rsidRPr="00B3274C">
              <w:rPr>
                <w:sz w:val="18"/>
                <w:lang w:val="fr-CA"/>
              </w:rPr>
              <w:t>207</w:t>
            </w:r>
          </w:p>
        </w:tc>
        <w:tc>
          <w:tcPr>
            <w:tcW w:w="851" w:type="dxa"/>
            <w:shd w:val="clear" w:color="auto" w:fill="auto"/>
            <w:vAlign w:val="bottom"/>
          </w:tcPr>
          <w:p w:rsidR="00FB23D3" w:rsidRPr="00B3274C" w:rsidRDefault="00FB23D3" w:rsidP="00782442">
            <w:pPr>
              <w:pStyle w:val="SingleTxtG"/>
              <w:keepNext/>
              <w:suppressAutoHyphens w:val="0"/>
              <w:spacing w:before="40" w:after="40" w:line="220" w:lineRule="exact"/>
              <w:ind w:left="113" w:right="0"/>
              <w:jc w:val="right"/>
              <w:rPr>
                <w:sz w:val="18"/>
                <w:lang w:val="fr-CA"/>
              </w:rPr>
            </w:pPr>
            <w:r w:rsidRPr="00B3274C">
              <w:rPr>
                <w:sz w:val="18"/>
                <w:lang w:val="fr-CA"/>
              </w:rPr>
              <w:t>228</w:t>
            </w:r>
            <w:r w:rsidR="00D330E9" w:rsidRPr="00B3274C">
              <w:rPr>
                <w:sz w:val="18"/>
                <w:lang w:val="fr-CA"/>
              </w:rPr>
              <w:t> </w:t>
            </w:r>
            <w:r w:rsidRPr="00B3274C">
              <w:rPr>
                <w:sz w:val="18"/>
                <w:lang w:val="fr-CA"/>
              </w:rPr>
              <w:t>180</w:t>
            </w:r>
          </w:p>
        </w:tc>
        <w:tc>
          <w:tcPr>
            <w:tcW w:w="851" w:type="dxa"/>
            <w:shd w:val="clear" w:color="auto" w:fill="auto"/>
            <w:vAlign w:val="bottom"/>
          </w:tcPr>
          <w:p w:rsidR="00FB23D3" w:rsidRPr="00B3274C" w:rsidRDefault="00FB23D3" w:rsidP="00782442">
            <w:pPr>
              <w:pStyle w:val="SingleTxtG"/>
              <w:keepNext/>
              <w:suppressAutoHyphens w:val="0"/>
              <w:spacing w:before="40" w:after="40" w:line="220" w:lineRule="exact"/>
              <w:ind w:left="113" w:right="0"/>
              <w:jc w:val="right"/>
              <w:rPr>
                <w:sz w:val="18"/>
                <w:lang w:val="fr-CA"/>
              </w:rPr>
            </w:pPr>
            <w:r w:rsidRPr="00B3274C">
              <w:rPr>
                <w:sz w:val="18"/>
                <w:lang w:val="fr-CA"/>
              </w:rPr>
              <w:t>236</w:t>
            </w:r>
            <w:r w:rsidR="00D330E9" w:rsidRPr="00B3274C">
              <w:rPr>
                <w:sz w:val="18"/>
                <w:lang w:val="fr-CA"/>
              </w:rPr>
              <w:t> </w:t>
            </w:r>
            <w:r w:rsidRPr="00B3274C">
              <w:rPr>
                <w:sz w:val="18"/>
                <w:lang w:val="fr-CA"/>
              </w:rPr>
              <w:t>917</w:t>
            </w:r>
          </w:p>
        </w:tc>
        <w:tc>
          <w:tcPr>
            <w:tcW w:w="851" w:type="dxa"/>
            <w:shd w:val="clear" w:color="auto" w:fill="auto"/>
            <w:vAlign w:val="bottom"/>
          </w:tcPr>
          <w:p w:rsidR="00FB23D3" w:rsidRPr="00B3274C" w:rsidRDefault="00FB23D3" w:rsidP="00782442">
            <w:pPr>
              <w:pStyle w:val="SingleTxtG"/>
              <w:keepNext/>
              <w:suppressAutoHyphens w:val="0"/>
              <w:spacing w:before="40" w:after="40" w:line="220" w:lineRule="exact"/>
              <w:ind w:left="113" w:right="0"/>
              <w:jc w:val="right"/>
              <w:rPr>
                <w:sz w:val="18"/>
                <w:lang w:val="fr-CA"/>
              </w:rPr>
            </w:pPr>
            <w:r w:rsidRPr="00B3274C">
              <w:rPr>
                <w:sz w:val="18"/>
                <w:lang w:val="fr-CA"/>
              </w:rPr>
              <w:t>235</w:t>
            </w:r>
            <w:r w:rsidR="00D330E9" w:rsidRPr="00B3274C">
              <w:rPr>
                <w:sz w:val="18"/>
                <w:lang w:val="fr-CA"/>
              </w:rPr>
              <w:t> </w:t>
            </w:r>
            <w:r w:rsidRPr="00B3274C">
              <w:rPr>
                <w:sz w:val="18"/>
                <w:lang w:val="fr-CA"/>
              </w:rPr>
              <w:t>000</w:t>
            </w:r>
          </w:p>
        </w:tc>
        <w:tc>
          <w:tcPr>
            <w:tcW w:w="851" w:type="dxa"/>
            <w:shd w:val="clear" w:color="auto" w:fill="auto"/>
            <w:vAlign w:val="bottom"/>
          </w:tcPr>
          <w:p w:rsidR="00FB23D3" w:rsidRPr="00B3274C" w:rsidRDefault="00FB23D3" w:rsidP="00782442">
            <w:pPr>
              <w:pStyle w:val="SingleTxtG"/>
              <w:keepNext/>
              <w:suppressAutoHyphens w:val="0"/>
              <w:spacing w:before="40" w:after="40" w:line="220" w:lineRule="exact"/>
              <w:ind w:left="113" w:right="0"/>
              <w:jc w:val="right"/>
              <w:rPr>
                <w:sz w:val="18"/>
                <w:lang w:val="fr-CA"/>
              </w:rPr>
            </w:pPr>
            <w:r w:rsidRPr="00B3274C">
              <w:rPr>
                <w:sz w:val="18"/>
                <w:lang w:val="fr-CA"/>
              </w:rPr>
              <w:t>231</w:t>
            </w:r>
            <w:r w:rsidR="00D330E9" w:rsidRPr="00B3274C">
              <w:rPr>
                <w:sz w:val="18"/>
                <w:lang w:val="fr-CA"/>
              </w:rPr>
              <w:t> </w:t>
            </w:r>
            <w:r w:rsidRPr="00B3274C">
              <w:rPr>
                <w:sz w:val="18"/>
                <w:lang w:val="fr-CA"/>
              </w:rPr>
              <w:t>900</w:t>
            </w:r>
          </w:p>
        </w:tc>
      </w:tr>
      <w:tr w:rsidR="00FB23D3" w:rsidRPr="00B3274C" w:rsidTr="00782442">
        <w:trPr>
          <w:trHeight w:val="240"/>
        </w:trPr>
        <w:tc>
          <w:tcPr>
            <w:tcW w:w="1418" w:type="dxa"/>
            <w:tcBorders>
              <w:bottom w:val="single" w:sz="12" w:space="0" w:color="auto"/>
            </w:tcBorders>
            <w:shd w:val="clear" w:color="auto" w:fill="auto"/>
          </w:tcPr>
          <w:p w:rsidR="00FB23D3" w:rsidRPr="00B3274C" w:rsidRDefault="00127A20" w:rsidP="00127A20">
            <w:pPr>
              <w:pStyle w:val="SingleTxtG"/>
              <w:suppressAutoHyphens w:val="0"/>
              <w:spacing w:before="40" w:after="40" w:line="220" w:lineRule="exact"/>
              <w:ind w:left="0" w:right="0"/>
              <w:jc w:val="left"/>
              <w:rPr>
                <w:sz w:val="18"/>
                <w:lang w:val="fr-CA"/>
              </w:rPr>
            </w:pPr>
            <w:r w:rsidRPr="00B3274C">
              <w:rPr>
                <w:sz w:val="18"/>
                <w:lang w:val="fr-CA"/>
              </w:rPr>
              <w:t>Dépenses de protection sociale</w:t>
            </w:r>
            <w:r w:rsidR="009D2471" w:rsidRPr="00B3274C">
              <w:rPr>
                <w:sz w:val="18"/>
                <w:lang w:val="fr-CA"/>
              </w:rPr>
              <w:t xml:space="preserve">/ </w:t>
            </w:r>
            <w:r w:rsidRPr="00B3274C">
              <w:rPr>
                <w:sz w:val="18"/>
                <w:lang w:val="fr-CA"/>
              </w:rPr>
              <w:t>PNB</w:t>
            </w:r>
            <w:r w:rsidR="009D2471" w:rsidRPr="00B3274C">
              <w:rPr>
                <w:sz w:val="18"/>
                <w:lang w:val="fr-CA"/>
              </w:rPr>
              <w:t> </w:t>
            </w:r>
            <w:r w:rsidR="00FB23D3" w:rsidRPr="00B3274C">
              <w:rPr>
                <w:sz w:val="18"/>
                <w:lang w:val="fr-CA"/>
              </w:rPr>
              <w:t>(</w:t>
            </w:r>
            <w:r w:rsidR="0050285B">
              <w:rPr>
                <w:sz w:val="18"/>
                <w:lang w:val="fr-CA"/>
              </w:rPr>
              <w:t>%</w:t>
            </w:r>
            <w:r w:rsidR="00FB23D3" w:rsidRPr="00B3274C">
              <w:rPr>
                <w:sz w:val="18"/>
                <w:lang w:val="fr-CA"/>
              </w:rPr>
              <w:t>)</w:t>
            </w:r>
          </w:p>
        </w:tc>
        <w:tc>
          <w:tcPr>
            <w:tcW w:w="851" w:type="dxa"/>
            <w:tcBorders>
              <w:bottom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sz w:val="18"/>
                <w:lang w:val="fr-CA"/>
              </w:rPr>
            </w:pPr>
            <w:r w:rsidRPr="00B3274C">
              <w:rPr>
                <w:sz w:val="18"/>
                <w:lang w:val="fr-CA"/>
              </w:rPr>
              <w:t>4</w:t>
            </w:r>
            <w:r w:rsidR="0080611A">
              <w:rPr>
                <w:sz w:val="18"/>
                <w:lang w:val="fr-CA"/>
              </w:rPr>
              <w:t>,</w:t>
            </w:r>
            <w:r w:rsidRPr="00B3274C">
              <w:rPr>
                <w:sz w:val="18"/>
                <w:lang w:val="fr-CA"/>
              </w:rPr>
              <w:t>76</w:t>
            </w:r>
          </w:p>
        </w:tc>
        <w:tc>
          <w:tcPr>
            <w:tcW w:w="851" w:type="dxa"/>
            <w:tcBorders>
              <w:bottom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sz w:val="18"/>
                <w:lang w:val="fr-CA"/>
              </w:rPr>
            </w:pPr>
            <w:r w:rsidRPr="00B3274C">
              <w:rPr>
                <w:sz w:val="18"/>
                <w:lang w:val="fr-CA"/>
              </w:rPr>
              <w:t>4</w:t>
            </w:r>
            <w:r w:rsidR="0080611A">
              <w:rPr>
                <w:sz w:val="18"/>
                <w:lang w:val="fr-CA"/>
              </w:rPr>
              <w:t>,</w:t>
            </w:r>
            <w:r w:rsidRPr="00B3274C">
              <w:rPr>
                <w:sz w:val="18"/>
                <w:lang w:val="fr-CA"/>
              </w:rPr>
              <w:t>50</w:t>
            </w:r>
          </w:p>
        </w:tc>
        <w:tc>
          <w:tcPr>
            <w:tcW w:w="851" w:type="dxa"/>
            <w:tcBorders>
              <w:bottom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sz w:val="18"/>
                <w:lang w:val="fr-CA"/>
              </w:rPr>
            </w:pPr>
            <w:r w:rsidRPr="00B3274C">
              <w:rPr>
                <w:sz w:val="18"/>
                <w:lang w:val="fr-CA"/>
              </w:rPr>
              <w:t>4</w:t>
            </w:r>
            <w:r w:rsidR="0080611A">
              <w:rPr>
                <w:sz w:val="18"/>
                <w:lang w:val="fr-CA"/>
              </w:rPr>
              <w:t>,</w:t>
            </w:r>
            <w:r w:rsidRPr="00B3274C">
              <w:rPr>
                <w:sz w:val="18"/>
                <w:lang w:val="fr-CA"/>
              </w:rPr>
              <w:t>55</w:t>
            </w:r>
          </w:p>
        </w:tc>
        <w:tc>
          <w:tcPr>
            <w:tcW w:w="851" w:type="dxa"/>
            <w:tcBorders>
              <w:bottom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sz w:val="18"/>
                <w:lang w:val="fr-CA"/>
              </w:rPr>
            </w:pPr>
            <w:r w:rsidRPr="00B3274C">
              <w:rPr>
                <w:sz w:val="18"/>
                <w:lang w:val="fr-CA"/>
              </w:rPr>
              <w:t>4</w:t>
            </w:r>
            <w:r w:rsidR="0080611A">
              <w:rPr>
                <w:sz w:val="18"/>
                <w:lang w:val="fr-CA"/>
              </w:rPr>
              <w:t>,</w:t>
            </w:r>
            <w:r w:rsidRPr="00B3274C">
              <w:rPr>
                <w:sz w:val="18"/>
                <w:lang w:val="fr-CA"/>
              </w:rPr>
              <w:t>59</w:t>
            </w:r>
          </w:p>
        </w:tc>
        <w:tc>
          <w:tcPr>
            <w:tcW w:w="851" w:type="dxa"/>
            <w:tcBorders>
              <w:bottom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sz w:val="18"/>
                <w:lang w:val="fr-CA"/>
              </w:rPr>
            </w:pPr>
            <w:r w:rsidRPr="00B3274C">
              <w:rPr>
                <w:sz w:val="18"/>
                <w:lang w:val="fr-CA"/>
              </w:rPr>
              <w:t>5</w:t>
            </w:r>
            <w:r w:rsidR="0080611A">
              <w:rPr>
                <w:sz w:val="18"/>
                <w:lang w:val="fr-CA"/>
              </w:rPr>
              <w:t>,</w:t>
            </w:r>
            <w:r w:rsidRPr="00B3274C">
              <w:rPr>
                <w:sz w:val="18"/>
                <w:lang w:val="fr-CA"/>
              </w:rPr>
              <w:t>99</w:t>
            </w:r>
          </w:p>
        </w:tc>
        <w:tc>
          <w:tcPr>
            <w:tcW w:w="851" w:type="dxa"/>
            <w:tcBorders>
              <w:bottom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sz w:val="18"/>
                <w:lang w:val="fr-CA"/>
              </w:rPr>
            </w:pPr>
            <w:r w:rsidRPr="00B3274C">
              <w:rPr>
                <w:sz w:val="18"/>
                <w:lang w:val="fr-CA"/>
              </w:rPr>
              <w:t>6</w:t>
            </w:r>
            <w:r w:rsidR="0080611A">
              <w:rPr>
                <w:sz w:val="18"/>
                <w:lang w:val="fr-CA"/>
              </w:rPr>
              <w:t>,</w:t>
            </w:r>
            <w:r w:rsidRPr="00B3274C">
              <w:rPr>
                <w:sz w:val="18"/>
                <w:lang w:val="fr-CA"/>
              </w:rPr>
              <w:t>98</w:t>
            </w:r>
          </w:p>
        </w:tc>
        <w:tc>
          <w:tcPr>
            <w:tcW w:w="851" w:type="dxa"/>
            <w:tcBorders>
              <w:bottom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sz w:val="18"/>
                <w:lang w:val="fr-CA"/>
              </w:rPr>
            </w:pPr>
            <w:r w:rsidRPr="00B3274C">
              <w:rPr>
                <w:sz w:val="18"/>
                <w:lang w:val="fr-CA"/>
              </w:rPr>
              <w:t>5</w:t>
            </w:r>
            <w:r w:rsidR="0080611A">
              <w:rPr>
                <w:sz w:val="18"/>
                <w:lang w:val="fr-CA"/>
              </w:rPr>
              <w:t>,</w:t>
            </w:r>
            <w:r w:rsidRPr="00B3274C">
              <w:rPr>
                <w:sz w:val="18"/>
                <w:lang w:val="fr-CA"/>
              </w:rPr>
              <w:t>85</w:t>
            </w:r>
          </w:p>
        </w:tc>
      </w:tr>
    </w:tbl>
    <w:p w:rsidR="00FB23D3" w:rsidRPr="00B3274C" w:rsidRDefault="00193187" w:rsidP="00C21586">
      <w:pPr>
        <w:pStyle w:val="H1G"/>
        <w:rPr>
          <w:lang w:val="fr-CA"/>
        </w:rPr>
      </w:pPr>
      <w:r w:rsidRPr="00B3274C">
        <w:rPr>
          <w:lang w:val="fr-CA"/>
        </w:rPr>
        <w:tab/>
      </w:r>
      <w:r w:rsidRPr="00B3274C">
        <w:rPr>
          <w:lang w:val="fr-CA"/>
        </w:rPr>
        <w:tab/>
      </w:r>
      <w:r w:rsidR="00597DC4">
        <w:rPr>
          <w:lang w:val="fr-CA"/>
        </w:rPr>
        <w:t>Article </w:t>
      </w:r>
      <w:r w:rsidR="00FB23D3" w:rsidRPr="00B3274C">
        <w:rPr>
          <w:lang w:val="fr-CA"/>
        </w:rPr>
        <w:t>10</w:t>
      </w:r>
      <w:r w:rsidR="00F547F8" w:rsidRPr="00B3274C">
        <w:rPr>
          <w:lang w:val="fr-CA"/>
        </w:rPr>
        <w:br/>
      </w:r>
      <w:r w:rsidR="00A005A1" w:rsidRPr="00B3274C">
        <w:rPr>
          <w:lang w:val="fr-CA"/>
        </w:rPr>
        <w:t xml:space="preserve">Protection </w:t>
      </w:r>
      <w:r w:rsidR="00584E82" w:rsidRPr="00B3274C">
        <w:rPr>
          <w:lang w:val="fr-CA"/>
        </w:rPr>
        <w:t>de la famille</w:t>
      </w:r>
    </w:p>
    <w:p w:rsidR="00FB23D3" w:rsidRPr="00B3274C" w:rsidRDefault="00193187" w:rsidP="00A005A1">
      <w:pPr>
        <w:pStyle w:val="H23G"/>
        <w:rPr>
          <w:lang w:val="fr-CA"/>
        </w:rPr>
      </w:pPr>
      <w:r w:rsidRPr="00B3274C">
        <w:rPr>
          <w:lang w:val="fr-CA"/>
        </w:rPr>
        <w:tab/>
      </w:r>
      <w:r w:rsidR="00A005A1" w:rsidRPr="00B3274C">
        <w:rPr>
          <w:lang w:val="fr-CA"/>
        </w:rPr>
        <w:t>1.</w:t>
      </w:r>
      <w:r w:rsidRPr="00B3274C">
        <w:rPr>
          <w:lang w:val="fr-CA"/>
        </w:rPr>
        <w:tab/>
      </w:r>
      <w:r w:rsidR="00584E82" w:rsidRPr="00B3274C">
        <w:rPr>
          <w:lang w:val="fr-CA"/>
        </w:rPr>
        <w:t xml:space="preserve">Mesures et services de soutien aux familles </w:t>
      </w:r>
    </w:p>
    <w:p w:rsidR="005B7B31" w:rsidRPr="00B3274C" w:rsidRDefault="005B7B31" w:rsidP="00A005A1">
      <w:pPr>
        <w:pStyle w:val="H23G"/>
        <w:rPr>
          <w:lang w:val="fr-CA"/>
        </w:rPr>
      </w:pPr>
      <w:r w:rsidRPr="00B3274C">
        <w:rPr>
          <w:lang w:val="fr-CA"/>
        </w:rPr>
        <w:tab/>
      </w:r>
      <w:r w:rsidR="00A005A1" w:rsidRPr="00B3274C">
        <w:rPr>
          <w:lang w:val="fr-CA"/>
        </w:rPr>
        <w:t>a)</w:t>
      </w:r>
      <w:r w:rsidRPr="00B3274C">
        <w:rPr>
          <w:lang w:val="fr-CA"/>
        </w:rPr>
        <w:tab/>
      </w:r>
      <w:r w:rsidR="00584E82" w:rsidRPr="00B3274C">
        <w:rPr>
          <w:lang w:val="fr-CA"/>
        </w:rPr>
        <w:t xml:space="preserve">Soutien à la famille – Allocations versées aux familles nombreuses </w:t>
      </w:r>
    </w:p>
    <w:p w:rsidR="00FB23D3" w:rsidRPr="00B3274C" w:rsidRDefault="00107A47" w:rsidP="00107A47">
      <w:pPr>
        <w:pStyle w:val="SingleTxtG"/>
        <w:rPr>
          <w:lang w:val="fr-CA"/>
        </w:rPr>
      </w:pPr>
      <w:r w:rsidRPr="00B3274C">
        <w:rPr>
          <w:lang w:val="fr-CA"/>
        </w:rPr>
        <w:t>112.</w:t>
      </w:r>
      <w:r w:rsidRPr="00B3274C">
        <w:rPr>
          <w:lang w:val="fr-CA"/>
        </w:rPr>
        <w:tab/>
      </w:r>
      <w:r w:rsidR="007A3A55" w:rsidRPr="00B3274C">
        <w:rPr>
          <w:lang w:val="fr-CA"/>
        </w:rPr>
        <w:t xml:space="preserve">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3454/2006</w:t>
      </w:r>
      <w:r w:rsidR="0080611A">
        <w:rPr>
          <w:lang w:val="fr-CA"/>
        </w:rPr>
        <w:t>,</w:t>
      </w:r>
      <w:r w:rsidR="007A3A55" w:rsidRPr="00B3274C">
        <w:rPr>
          <w:lang w:val="fr-CA"/>
        </w:rPr>
        <w:t xml:space="preserve"> intitulée </w:t>
      </w:r>
      <w:r w:rsidR="0055418C" w:rsidRPr="00B3274C">
        <w:rPr>
          <w:lang w:val="fr-CA"/>
        </w:rPr>
        <w:t>«</w:t>
      </w:r>
      <w:r w:rsidR="007A3A55" w:rsidRPr="00B3274C">
        <w:rPr>
          <w:lang w:val="fr-CA"/>
        </w:rPr>
        <w:t>Soutien à la famille et autre dispositions</w:t>
      </w:r>
      <w:r w:rsidR="0055418C" w:rsidRPr="00B3274C">
        <w:rPr>
          <w:lang w:val="fr-CA"/>
        </w:rPr>
        <w:t>»</w:t>
      </w:r>
      <w:r w:rsidR="0080611A">
        <w:rPr>
          <w:lang w:val="fr-CA"/>
        </w:rPr>
        <w:t>,</w:t>
      </w:r>
      <w:r w:rsidR="007A3A55" w:rsidRPr="00B3274C">
        <w:rPr>
          <w:lang w:val="fr-CA"/>
        </w:rPr>
        <w:t xml:space="preserve"> stipule que les bénéficiaires de prestations financières et institutionnelles sont les familles ayant trois enfants</w:t>
      </w:r>
      <w:r w:rsidR="00FB23D3" w:rsidRPr="00B3274C">
        <w:rPr>
          <w:lang w:val="fr-CA"/>
        </w:rPr>
        <w:t>.</w:t>
      </w:r>
    </w:p>
    <w:p w:rsidR="005B7B31" w:rsidRPr="00B3274C" w:rsidRDefault="005B7B31" w:rsidP="00A005A1">
      <w:pPr>
        <w:pStyle w:val="H23G"/>
        <w:rPr>
          <w:lang w:val="fr-CA"/>
        </w:rPr>
      </w:pPr>
      <w:r w:rsidRPr="00B3274C">
        <w:rPr>
          <w:lang w:val="fr-CA"/>
        </w:rPr>
        <w:tab/>
      </w:r>
      <w:r w:rsidR="00A005A1" w:rsidRPr="00B3274C">
        <w:rPr>
          <w:lang w:val="fr-CA"/>
        </w:rPr>
        <w:t>b)</w:t>
      </w:r>
      <w:r w:rsidRPr="00B3274C">
        <w:rPr>
          <w:lang w:val="fr-CA"/>
        </w:rPr>
        <w:tab/>
      </w:r>
      <w:r w:rsidR="00902A60" w:rsidRPr="00B3274C">
        <w:rPr>
          <w:lang w:val="fr-CA"/>
        </w:rPr>
        <w:t xml:space="preserve">Enfants privés de protection – allocation de maternité </w:t>
      </w:r>
    </w:p>
    <w:p w:rsidR="00FB23D3" w:rsidRPr="00B3274C" w:rsidRDefault="00107A47" w:rsidP="00107A47">
      <w:pPr>
        <w:pStyle w:val="SingleTxtG"/>
        <w:rPr>
          <w:lang w:val="fr-CA"/>
        </w:rPr>
      </w:pPr>
      <w:r w:rsidRPr="00B3274C">
        <w:rPr>
          <w:lang w:val="fr-CA"/>
        </w:rPr>
        <w:t>113.</w:t>
      </w:r>
      <w:r w:rsidRPr="00B3274C">
        <w:rPr>
          <w:lang w:val="fr-CA"/>
        </w:rPr>
        <w:tab/>
      </w:r>
      <w:r w:rsidR="00902A60" w:rsidRPr="00B3274C">
        <w:rPr>
          <w:lang w:val="fr-CA"/>
        </w:rPr>
        <w:t>L</w:t>
      </w:r>
      <w:r w:rsidR="0080611A">
        <w:rPr>
          <w:lang w:val="fr-CA"/>
        </w:rPr>
        <w:t>’</w:t>
      </w:r>
      <w:r w:rsidR="00902A60" w:rsidRPr="00B3274C">
        <w:rPr>
          <w:lang w:val="fr-CA"/>
        </w:rPr>
        <w:t>État accorde à tous les bénéficiaires qui satisfont aux critères fixés par la loi</w:t>
      </w:r>
      <w:r w:rsidR="0080611A">
        <w:rPr>
          <w:lang w:val="fr-CA"/>
        </w:rPr>
        <w:t>,</w:t>
      </w:r>
      <w:r w:rsidR="00902A60" w:rsidRPr="00B3274C">
        <w:rPr>
          <w:lang w:val="fr-CA"/>
        </w:rPr>
        <w:t xml:space="preserve"> sans discrimination fondée sur la race</w:t>
      </w:r>
      <w:r w:rsidR="0080611A">
        <w:rPr>
          <w:lang w:val="fr-CA"/>
        </w:rPr>
        <w:t>,</w:t>
      </w:r>
      <w:r w:rsidR="00902A60" w:rsidRPr="00B3274C">
        <w:rPr>
          <w:lang w:val="fr-CA"/>
        </w:rPr>
        <w:t xml:space="preserve"> la religion ou l</w:t>
      </w:r>
      <w:r w:rsidR="0080611A">
        <w:rPr>
          <w:lang w:val="fr-CA"/>
        </w:rPr>
        <w:t>’</w:t>
      </w:r>
      <w:r w:rsidR="00902A60" w:rsidRPr="00B3274C">
        <w:rPr>
          <w:lang w:val="fr-CA"/>
        </w:rPr>
        <w:t>origine</w:t>
      </w:r>
      <w:r w:rsidR="0080611A">
        <w:rPr>
          <w:lang w:val="fr-CA"/>
        </w:rPr>
        <w:t>,</w:t>
      </w:r>
      <w:r w:rsidR="00902A60" w:rsidRPr="00B3274C">
        <w:rPr>
          <w:lang w:val="fr-CA"/>
        </w:rPr>
        <w:t xml:space="preserve"> les prestations prévues par le programme d</w:t>
      </w:r>
      <w:r w:rsidR="0080611A">
        <w:rPr>
          <w:lang w:val="fr-CA"/>
        </w:rPr>
        <w:t>’</w:t>
      </w:r>
      <w:r w:rsidR="00902A60" w:rsidRPr="00B3274C">
        <w:rPr>
          <w:lang w:val="fr-CA"/>
        </w:rPr>
        <w:t xml:space="preserve">aide financière </w:t>
      </w:r>
      <w:r w:rsidR="00C71C5D" w:rsidRPr="00B3274C">
        <w:rPr>
          <w:lang w:val="fr-CA"/>
        </w:rPr>
        <w:t xml:space="preserve">allouée </w:t>
      </w:r>
      <w:r w:rsidR="00902A60" w:rsidRPr="00B3274C">
        <w:rPr>
          <w:lang w:val="fr-CA"/>
        </w:rPr>
        <w:t xml:space="preserve">aux enfants privés de protection </w:t>
      </w:r>
      <w:r w:rsidR="00FB23D3" w:rsidRPr="00B3274C">
        <w:rPr>
          <w:lang w:val="fr-CA"/>
        </w:rPr>
        <w:t>(</w:t>
      </w:r>
      <w:r w:rsidR="00902A60" w:rsidRPr="00B3274C">
        <w:rPr>
          <w:lang w:val="fr-CA"/>
        </w:rPr>
        <w:t xml:space="preserve">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4051/60)</w:t>
      </w:r>
      <w:r w:rsidR="0080611A">
        <w:rPr>
          <w:lang w:val="fr-CA"/>
        </w:rPr>
        <w:t>,</w:t>
      </w:r>
      <w:r w:rsidR="00FB23D3" w:rsidRPr="00B3274C">
        <w:rPr>
          <w:lang w:val="fr-CA"/>
        </w:rPr>
        <w:t xml:space="preserve"> </w:t>
      </w:r>
      <w:r w:rsidR="00902A60" w:rsidRPr="00B3274C">
        <w:rPr>
          <w:lang w:val="fr-CA"/>
        </w:rPr>
        <w:t>à condition qu</w:t>
      </w:r>
      <w:r w:rsidR="0080611A">
        <w:rPr>
          <w:lang w:val="fr-CA"/>
        </w:rPr>
        <w:t>’</w:t>
      </w:r>
      <w:r w:rsidR="00902A60" w:rsidRPr="00B3274C">
        <w:rPr>
          <w:lang w:val="fr-CA"/>
        </w:rPr>
        <w:t xml:space="preserve">ils soient des résidents permanents de Grèce. </w:t>
      </w:r>
    </w:p>
    <w:p w:rsidR="00FB23D3" w:rsidRPr="00B3274C" w:rsidRDefault="00107A47" w:rsidP="00107A47">
      <w:pPr>
        <w:pStyle w:val="SingleTxtG"/>
        <w:rPr>
          <w:lang w:val="fr-CA"/>
        </w:rPr>
      </w:pPr>
      <w:r w:rsidRPr="00B3274C">
        <w:rPr>
          <w:lang w:val="fr-CA"/>
        </w:rPr>
        <w:t>114.</w:t>
      </w:r>
      <w:r w:rsidRPr="00B3274C">
        <w:rPr>
          <w:lang w:val="fr-CA"/>
        </w:rPr>
        <w:tab/>
      </w:r>
      <w:r w:rsidR="00CE3F3A" w:rsidRPr="00B3274C">
        <w:rPr>
          <w:lang w:val="fr-CA"/>
        </w:rPr>
        <w:t>Toutes les mères</w:t>
      </w:r>
      <w:r w:rsidR="00A14992" w:rsidRPr="00B3274C">
        <w:rPr>
          <w:lang w:val="fr-CA"/>
        </w:rPr>
        <w:t xml:space="preserve"> exerçant un emploi </w:t>
      </w:r>
      <w:r w:rsidR="00CE3F3A" w:rsidRPr="00B3274C">
        <w:rPr>
          <w:lang w:val="fr-CA"/>
        </w:rPr>
        <w:t>qui n</w:t>
      </w:r>
      <w:r w:rsidR="0080611A">
        <w:rPr>
          <w:lang w:val="fr-CA"/>
        </w:rPr>
        <w:t>’</w:t>
      </w:r>
      <w:r w:rsidR="00CE3F3A" w:rsidRPr="00B3274C">
        <w:rPr>
          <w:lang w:val="fr-CA"/>
        </w:rPr>
        <w:t>ont pas droit à des allocations de maternité versée</w:t>
      </w:r>
      <w:r w:rsidR="00C71C5D" w:rsidRPr="00B3274C">
        <w:rPr>
          <w:lang w:val="fr-CA"/>
        </w:rPr>
        <w:t>s</w:t>
      </w:r>
      <w:r w:rsidR="00CE3F3A" w:rsidRPr="00B3274C">
        <w:rPr>
          <w:lang w:val="fr-CA"/>
        </w:rPr>
        <w:t xml:space="preserve"> par </w:t>
      </w:r>
      <w:r w:rsidR="00C71C5D" w:rsidRPr="00B3274C">
        <w:rPr>
          <w:lang w:val="fr-CA"/>
        </w:rPr>
        <w:t xml:space="preserve">un </w:t>
      </w:r>
      <w:r w:rsidR="00CE3F3A" w:rsidRPr="00B3274C">
        <w:rPr>
          <w:lang w:val="fr-CA"/>
        </w:rPr>
        <w:t xml:space="preserve">fonds de sécurité sociale ou </w:t>
      </w:r>
      <w:r w:rsidR="00C71C5D" w:rsidRPr="00B3274C">
        <w:rPr>
          <w:lang w:val="fr-CA"/>
        </w:rPr>
        <w:t xml:space="preserve">qui </w:t>
      </w:r>
      <w:r w:rsidR="00CE3F3A" w:rsidRPr="00B3274C">
        <w:rPr>
          <w:lang w:val="fr-CA"/>
        </w:rPr>
        <w:t>n</w:t>
      </w:r>
      <w:r w:rsidR="0080611A">
        <w:rPr>
          <w:lang w:val="fr-CA"/>
        </w:rPr>
        <w:t>’</w:t>
      </w:r>
      <w:r w:rsidR="00CE3F3A" w:rsidRPr="00B3274C">
        <w:rPr>
          <w:lang w:val="fr-CA"/>
        </w:rPr>
        <w:t>ont pas d</w:t>
      </w:r>
      <w:r w:rsidR="0080611A">
        <w:rPr>
          <w:lang w:val="fr-CA"/>
        </w:rPr>
        <w:t>’</w:t>
      </w:r>
      <w:r w:rsidR="00CE3F3A" w:rsidRPr="00B3274C">
        <w:rPr>
          <w:lang w:val="fr-CA"/>
        </w:rPr>
        <w:t>assurance se voi</w:t>
      </w:r>
      <w:r w:rsidR="00A14992" w:rsidRPr="00B3274C">
        <w:rPr>
          <w:lang w:val="fr-CA"/>
        </w:rPr>
        <w:t>en</w:t>
      </w:r>
      <w:r w:rsidR="00CE3F3A" w:rsidRPr="00B3274C">
        <w:rPr>
          <w:lang w:val="fr-CA"/>
        </w:rPr>
        <w:t xml:space="preserve">t également accorder des allocations de maternité. </w:t>
      </w:r>
      <w:r w:rsidR="00A14992" w:rsidRPr="00B3274C">
        <w:rPr>
          <w:lang w:val="fr-CA"/>
        </w:rPr>
        <w:t>L</w:t>
      </w:r>
      <w:r w:rsidR="0080611A">
        <w:rPr>
          <w:lang w:val="fr-CA"/>
        </w:rPr>
        <w:t>’</w:t>
      </w:r>
      <w:r w:rsidR="00A14992" w:rsidRPr="00B3274C">
        <w:rPr>
          <w:lang w:val="fr-CA"/>
        </w:rPr>
        <w:t>allocation de maternité est également accordée à tou</w:t>
      </w:r>
      <w:r w:rsidR="007E41AA" w:rsidRPr="00B3274C">
        <w:rPr>
          <w:lang w:val="fr-CA"/>
        </w:rPr>
        <w:t>te</w:t>
      </w:r>
      <w:r w:rsidR="00A14992" w:rsidRPr="00B3274C">
        <w:rPr>
          <w:lang w:val="fr-CA"/>
        </w:rPr>
        <w:t>s les étrangères</w:t>
      </w:r>
      <w:r w:rsidR="0080611A">
        <w:rPr>
          <w:lang w:val="fr-CA"/>
        </w:rPr>
        <w:t>,</w:t>
      </w:r>
      <w:r w:rsidR="00A14992" w:rsidRPr="00B3274C">
        <w:rPr>
          <w:lang w:val="fr-CA"/>
        </w:rPr>
        <w:t xml:space="preserve"> à condition qu</w:t>
      </w:r>
      <w:r w:rsidR="0080611A">
        <w:rPr>
          <w:lang w:val="fr-CA"/>
        </w:rPr>
        <w:t>’</w:t>
      </w:r>
      <w:r w:rsidR="00A14992" w:rsidRPr="00B3274C">
        <w:rPr>
          <w:lang w:val="fr-CA"/>
        </w:rPr>
        <w:t>elles remplissent les conditions susmentionnées et qu</w:t>
      </w:r>
      <w:r w:rsidR="0080611A">
        <w:rPr>
          <w:lang w:val="fr-CA"/>
        </w:rPr>
        <w:t>’</w:t>
      </w:r>
      <w:r w:rsidR="00A14992" w:rsidRPr="00B3274C">
        <w:rPr>
          <w:lang w:val="fr-CA"/>
        </w:rPr>
        <w:t>elles aient leur résidence permanente en Grèce</w:t>
      </w:r>
      <w:r w:rsidR="00FB23D3" w:rsidRPr="00B3274C">
        <w:rPr>
          <w:lang w:val="fr-CA"/>
        </w:rPr>
        <w:t>.</w:t>
      </w:r>
    </w:p>
    <w:p w:rsidR="00FB23D3" w:rsidRPr="00B3274C" w:rsidRDefault="00193187" w:rsidP="00A005A1">
      <w:pPr>
        <w:pStyle w:val="H23G"/>
        <w:rPr>
          <w:lang w:val="fr-CA"/>
        </w:rPr>
      </w:pPr>
      <w:r w:rsidRPr="00B3274C">
        <w:rPr>
          <w:lang w:val="fr-CA"/>
        </w:rPr>
        <w:tab/>
      </w:r>
      <w:r w:rsidR="004946BB" w:rsidRPr="00B3274C">
        <w:rPr>
          <w:lang w:val="fr-CA"/>
        </w:rPr>
        <w:t>2.</w:t>
      </w:r>
      <w:r w:rsidRPr="00B3274C">
        <w:rPr>
          <w:lang w:val="fr-CA"/>
        </w:rPr>
        <w:tab/>
      </w:r>
      <w:r w:rsidR="00BB23A7" w:rsidRPr="00B3274C">
        <w:rPr>
          <w:lang w:val="fr-CA"/>
        </w:rPr>
        <w:t xml:space="preserve">Mesures de soutien à la famille dans le domaine de la protection sociale </w:t>
      </w:r>
    </w:p>
    <w:p w:rsidR="00FB23D3" w:rsidRPr="00B3274C" w:rsidRDefault="00107A47" w:rsidP="00107A47">
      <w:pPr>
        <w:pStyle w:val="SingleTxtG"/>
        <w:rPr>
          <w:szCs w:val="25"/>
          <w:lang w:val="fr-CA"/>
        </w:rPr>
      </w:pPr>
      <w:r w:rsidRPr="00B3274C">
        <w:rPr>
          <w:lang w:val="fr-CA"/>
        </w:rPr>
        <w:t>115.</w:t>
      </w:r>
      <w:r w:rsidRPr="00B3274C">
        <w:rPr>
          <w:lang w:val="fr-CA"/>
        </w:rPr>
        <w:tab/>
      </w:r>
      <w:r w:rsidR="00F2612C" w:rsidRPr="00B3274C">
        <w:rPr>
          <w:lang w:val="fr-CA"/>
        </w:rPr>
        <w:t>Le soutien à la famille e</w:t>
      </w:r>
      <w:r w:rsidR="00311716" w:rsidRPr="00B3274C">
        <w:rPr>
          <w:lang w:val="fr-CA"/>
        </w:rPr>
        <w:t>s</w:t>
      </w:r>
      <w:r w:rsidR="00F2612C" w:rsidRPr="00B3274C">
        <w:rPr>
          <w:lang w:val="fr-CA"/>
        </w:rPr>
        <w:t>t une priorité import</w:t>
      </w:r>
      <w:r w:rsidR="00BE6053" w:rsidRPr="00B3274C">
        <w:rPr>
          <w:lang w:val="fr-CA"/>
        </w:rPr>
        <w:t>ante du</w:t>
      </w:r>
      <w:r w:rsidR="00F2612C" w:rsidRPr="00B3274C">
        <w:rPr>
          <w:lang w:val="fr-CA"/>
        </w:rPr>
        <w:t xml:space="preserve"> secteur de la protection sociale. </w:t>
      </w:r>
      <w:r w:rsidR="00596FE5" w:rsidRPr="00B3274C">
        <w:rPr>
          <w:lang w:val="fr-CA"/>
        </w:rPr>
        <w:t>Dans le cadre du</w:t>
      </w:r>
      <w:r w:rsidR="00F2612C" w:rsidRPr="00B3274C">
        <w:rPr>
          <w:lang w:val="fr-CA"/>
        </w:rPr>
        <w:t xml:space="preserve"> Programme national de réformes </w:t>
      </w:r>
      <w:r w:rsidR="00FB23D3" w:rsidRPr="00B3274C">
        <w:rPr>
          <w:lang w:val="fr-CA"/>
        </w:rPr>
        <w:t>2011-2014</w:t>
      </w:r>
      <w:r w:rsidR="0080611A">
        <w:rPr>
          <w:lang w:val="fr-CA"/>
        </w:rPr>
        <w:t>,</w:t>
      </w:r>
      <w:r w:rsidR="00F2612C" w:rsidRPr="00B3274C">
        <w:rPr>
          <w:lang w:val="fr-CA"/>
        </w:rPr>
        <w:t xml:space="preserve"> une stratégie à long terme</w:t>
      </w:r>
      <w:r w:rsidR="00311716" w:rsidRPr="00B3274C">
        <w:rPr>
          <w:lang w:val="fr-CA"/>
        </w:rPr>
        <w:t xml:space="preserve"> vis</w:t>
      </w:r>
      <w:r w:rsidR="00596FE5" w:rsidRPr="00B3274C">
        <w:rPr>
          <w:lang w:val="fr-CA"/>
        </w:rPr>
        <w:t>e</w:t>
      </w:r>
      <w:r w:rsidR="00311716" w:rsidRPr="00B3274C">
        <w:rPr>
          <w:lang w:val="fr-CA"/>
        </w:rPr>
        <w:t xml:space="preserve"> à lutter </w:t>
      </w:r>
      <w:r w:rsidR="00F2612C" w:rsidRPr="00B3274C">
        <w:rPr>
          <w:lang w:val="fr-CA"/>
        </w:rPr>
        <w:t>contre la pauvreté et</w:t>
      </w:r>
      <w:r w:rsidR="00311716" w:rsidRPr="00B3274C">
        <w:rPr>
          <w:lang w:val="fr-CA"/>
        </w:rPr>
        <w:t xml:space="preserve"> à briser </w:t>
      </w:r>
      <w:r w:rsidR="00F2612C" w:rsidRPr="00B3274C">
        <w:rPr>
          <w:lang w:val="fr-CA"/>
        </w:rPr>
        <w:t>la transmission intergénérati</w:t>
      </w:r>
      <w:r w:rsidR="00596FE5" w:rsidRPr="00B3274C">
        <w:rPr>
          <w:lang w:val="fr-CA"/>
        </w:rPr>
        <w:t>onnelle de la pauvreté</w:t>
      </w:r>
      <w:r w:rsidR="00EC5892" w:rsidRPr="00B3274C">
        <w:rPr>
          <w:lang w:val="fr-CA"/>
        </w:rPr>
        <w:t>;</w:t>
      </w:r>
      <w:r w:rsidR="00596FE5" w:rsidRPr="00B3274C">
        <w:rPr>
          <w:lang w:val="fr-CA"/>
        </w:rPr>
        <w:t xml:space="preserve"> ses</w:t>
      </w:r>
      <w:r w:rsidR="00F2612C" w:rsidRPr="00B3274C">
        <w:rPr>
          <w:lang w:val="fr-CA"/>
        </w:rPr>
        <w:t xml:space="preserve"> principaux axes de priorité sont</w:t>
      </w:r>
      <w:r w:rsidR="00311716" w:rsidRPr="00B3274C">
        <w:rPr>
          <w:lang w:val="fr-CA"/>
        </w:rPr>
        <w:t xml:space="preserve"> le soutien à l</w:t>
      </w:r>
      <w:r w:rsidR="0080611A">
        <w:rPr>
          <w:lang w:val="fr-CA"/>
        </w:rPr>
        <w:t>’</w:t>
      </w:r>
      <w:r w:rsidR="00311716" w:rsidRPr="00B3274C">
        <w:rPr>
          <w:lang w:val="fr-CA"/>
        </w:rPr>
        <w:t>emploi des parents et la garantie d</w:t>
      </w:r>
      <w:r w:rsidR="0080611A">
        <w:rPr>
          <w:lang w:val="fr-CA"/>
        </w:rPr>
        <w:t>’</w:t>
      </w:r>
      <w:r w:rsidR="00311716" w:rsidRPr="00B3274C">
        <w:rPr>
          <w:lang w:val="fr-CA"/>
        </w:rPr>
        <w:t>accès des enfants et de leurs familles à des services</w:t>
      </w:r>
      <w:r w:rsidR="0080611A">
        <w:rPr>
          <w:lang w:val="fr-CA"/>
        </w:rPr>
        <w:t>,</w:t>
      </w:r>
      <w:r w:rsidR="00FB23D3" w:rsidRPr="00B3274C">
        <w:rPr>
          <w:lang w:val="fr-CA"/>
        </w:rPr>
        <w:t xml:space="preserve"> </w:t>
      </w:r>
      <w:r w:rsidR="00311716" w:rsidRPr="00B3274C">
        <w:rPr>
          <w:lang w:val="fr-CA"/>
        </w:rPr>
        <w:t xml:space="preserve">pour couvrir leurs besoins fondamentaux et améliorer leur qualité de vie. </w:t>
      </w:r>
      <w:r w:rsidR="0085013E" w:rsidRPr="00B3274C">
        <w:rPr>
          <w:lang w:val="fr-CA"/>
        </w:rPr>
        <w:t>Il s</w:t>
      </w:r>
      <w:r w:rsidR="0080611A">
        <w:rPr>
          <w:lang w:val="fr-CA"/>
        </w:rPr>
        <w:t>’</w:t>
      </w:r>
      <w:r w:rsidR="0085013E" w:rsidRPr="00B3274C">
        <w:rPr>
          <w:lang w:val="fr-CA"/>
        </w:rPr>
        <w:t>agit plus précisément</w:t>
      </w:r>
      <w:r w:rsidR="00311716" w:rsidRPr="00B3274C">
        <w:rPr>
          <w:lang w:val="fr-CA"/>
        </w:rPr>
        <w:t xml:space="preserve">: </w:t>
      </w:r>
    </w:p>
    <w:p w:rsidR="00FB23D3" w:rsidRPr="00B3274C" w:rsidRDefault="00BC3FD2" w:rsidP="00BC3FD2">
      <w:pPr>
        <w:pStyle w:val="SingleTxtG"/>
        <w:rPr>
          <w:szCs w:val="25"/>
          <w:lang w:val="fr-CA"/>
        </w:rPr>
      </w:pPr>
      <w:r w:rsidRPr="00B3274C">
        <w:rPr>
          <w:lang w:val="fr-CA"/>
        </w:rPr>
        <w:tab/>
      </w:r>
      <w:r w:rsidR="00012497" w:rsidRPr="00B3274C">
        <w:rPr>
          <w:lang w:val="fr-CA"/>
        </w:rPr>
        <w:t>a)</w:t>
      </w:r>
      <w:r w:rsidR="00012497" w:rsidRPr="00B3274C">
        <w:rPr>
          <w:lang w:val="fr-CA"/>
        </w:rPr>
        <w:tab/>
      </w:r>
      <w:r w:rsidR="00311716" w:rsidRPr="00B3274C">
        <w:rPr>
          <w:lang w:val="fr-CA"/>
        </w:rPr>
        <w:t>D</w:t>
      </w:r>
      <w:r w:rsidR="0080611A">
        <w:rPr>
          <w:lang w:val="fr-CA"/>
        </w:rPr>
        <w:t>’</w:t>
      </w:r>
      <w:r w:rsidR="00771900" w:rsidRPr="00B3274C">
        <w:rPr>
          <w:lang w:val="fr-CA"/>
        </w:rPr>
        <w:t xml:space="preserve">initiatives </w:t>
      </w:r>
      <w:r w:rsidR="00311716" w:rsidRPr="00B3274C">
        <w:rPr>
          <w:lang w:val="fr-CA"/>
        </w:rPr>
        <w:t>de nature à favoriser l</w:t>
      </w:r>
      <w:r w:rsidR="0080611A">
        <w:rPr>
          <w:lang w:val="fr-CA"/>
        </w:rPr>
        <w:t>’</w:t>
      </w:r>
      <w:r w:rsidR="00311716" w:rsidRPr="00B3274C">
        <w:rPr>
          <w:lang w:val="fr-CA"/>
        </w:rPr>
        <w:t xml:space="preserve">emploi des femmes et des jeunes </w:t>
      </w:r>
      <w:r w:rsidR="00FB23D3" w:rsidRPr="00B3274C">
        <w:rPr>
          <w:szCs w:val="25"/>
          <w:lang w:val="fr-CA"/>
        </w:rPr>
        <w:t>(</w:t>
      </w:r>
      <w:r w:rsidR="00D729F5" w:rsidRPr="00B3274C">
        <w:rPr>
          <w:szCs w:val="25"/>
          <w:lang w:val="fr-CA"/>
        </w:rPr>
        <w:t>v</w:t>
      </w:r>
      <w:r w:rsidR="00311716" w:rsidRPr="00B3274C">
        <w:rPr>
          <w:szCs w:val="25"/>
          <w:lang w:val="fr-CA"/>
        </w:rPr>
        <w:t>oir la section du présent rapport concernant l</w:t>
      </w:r>
      <w:r w:rsidR="0080611A">
        <w:rPr>
          <w:szCs w:val="25"/>
          <w:lang w:val="fr-CA"/>
        </w:rPr>
        <w:t>’</w:t>
      </w:r>
      <w:r w:rsidR="00597DC4">
        <w:rPr>
          <w:szCs w:val="25"/>
          <w:lang w:val="fr-CA"/>
        </w:rPr>
        <w:t>article </w:t>
      </w:r>
      <w:r w:rsidR="00012497" w:rsidRPr="00B3274C">
        <w:rPr>
          <w:szCs w:val="25"/>
          <w:lang w:val="fr-CA"/>
        </w:rPr>
        <w:t>6</w:t>
      </w:r>
      <w:r w:rsidR="00FD7F2F" w:rsidRPr="00B3274C">
        <w:rPr>
          <w:szCs w:val="25"/>
          <w:lang w:val="fr-CA"/>
        </w:rPr>
        <w:t xml:space="preserve"> du Pacte</w:t>
      </w:r>
      <w:r w:rsidR="00012497" w:rsidRPr="00B3274C">
        <w:rPr>
          <w:szCs w:val="25"/>
          <w:lang w:val="fr-CA"/>
        </w:rPr>
        <w:t>);</w:t>
      </w:r>
    </w:p>
    <w:p w:rsidR="00FB23D3" w:rsidRPr="00B3274C" w:rsidRDefault="00BC3FD2" w:rsidP="00BC3FD2">
      <w:pPr>
        <w:pStyle w:val="SingleTxtG"/>
        <w:rPr>
          <w:szCs w:val="25"/>
          <w:lang w:val="fr-CA"/>
        </w:rPr>
      </w:pPr>
      <w:r w:rsidRPr="00B3274C">
        <w:rPr>
          <w:lang w:val="fr-CA"/>
        </w:rPr>
        <w:tab/>
      </w:r>
      <w:r w:rsidR="00012497" w:rsidRPr="00B3274C">
        <w:rPr>
          <w:lang w:val="fr-CA"/>
        </w:rPr>
        <w:t>b)</w:t>
      </w:r>
      <w:r w:rsidR="00012497" w:rsidRPr="00B3274C">
        <w:rPr>
          <w:lang w:val="fr-CA"/>
        </w:rPr>
        <w:tab/>
      </w:r>
      <w:r w:rsidR="00311716" w:rsidRPr="00B3274C">
        <w:rPr>
          <w:lang w:val="fr-CA"/>
        </w:rPr>
        <w:t>D</w:t>
      </w:r>
      <w:r w:rsidR="0080611A">
        <w:rPr>
          <w:lang w:val="fr-CA"/>
        </w:rPr>
        <w:t>’</w:t>
      </w:r>
      <w:r w:rsidR="00771900" w:rsidRPr="00B3274C">
        <w:rPr>
          <w:lang w:val="fr-CA"/>
        </w:rPr>
        <w:t xml:space="preserve">initiatives </w:t>
      </w:r>
      <w:r w:rsidR="00311716" w:rsidRPr="00B3274C">
        <w:rPr>
          <w:lang w:val="fr-CA"/>
        </w:rPr>
        <w:t xml:space="preserve">visant à permettre de concilier vie </w:t>
      </w:r>
      <w:r w:rsidR="00171913" w:rsidRPr="00B3274C">
        <w:rPr>
          <w:lang w:val="fr-CA"/>
        </w:rPr>
        <w:t>de famille</w:t>
      </w:r>
      <w:r w:rsidR="00311716" w:rsidRPr="00B3274C">
        <w:rPr>
          <w:lang w:val="fr-CA"/>
        </w:rPr>
        <w:t xml:space="preserve"> et vie professionnelle</w:t>
      </w:r>
      <w:r w:rsidR="0080611A">
        <w:rPr>
          <w:lang w:val="fr-CA"/>
        </w:rPr>
        <w:t>,</w:t>
      </w:r>
      <w:r w:rsidR="00BD7B46" w:rsidRPr="00B3274C">
        <w:rPr>
          <w:lang w:val="fr-CA"/>
        </w:rPr>
        <w:t xml:space="preserve"> </w:t>
      </w:r>
      <w:r w:rsidR="004100AD" w:rsidRPr="00B3274C">
        <w:rPr>
          <w:lang w:val="fr-CA"/>
        </w:rPr>
        <w:t xml:space="preserve">mises en œuvre </w:t>
      </w:r>
      <w:r w:rsidR="00BD7B46" w:rsidRPr="00B3274C">
        <w:rPr>
          <w:lang w:val="fr-CA"/>
        </w:rPr>
        <w:t>par</w:t>
      </w:r>
      <w:r w:rsidR="00596FE5" w:rsidRPr="00B3274C">
        <w:rPr>
          <w:lang w:val="fr-CA"/>
        </w:rPr>
        <w:t xml:space="preserve"> l</w:t>
      </w:r>
      <w:r w:rsidR="0080611A">
        <w:rPr>
          <w:lang w:val="fr-CA"/>
        </w:rPr>
        <w:t>’</w:t>
      </w:r>
      <w:r w:rsidR="00596FE5" w:rsidRPr="00B3274C">
        <w:rPr>
          <w:lang w:val="fr-CA"/>
        </w:rPr>
        <w:t>intermédiaire du</w:t>
      </w:r>
      <w:r w:rsidR="00BD7B46" w:rsidRPr="00B3274C">
        <w:rPr>
          <w:lang w:val="fr-CA"/>
        </w:rPr>
        <w:t xml:space="preserve"> D</w:t>
      </w:r>
      <w:r w:rsidR="00311716" w:rsidRPr="00B3274C">
        <w:rPr>
          <w:lang w:val="fr-CA"/>
        </w:rPr>
        <w:t>euxième cadre de soutien communautaire</w:t>
      </w:r>
      <w:r w:rsidR="0080611A">
        <w:rPr>
          <w:lang w:val="fr-CA"/>
        </w:rPr>
        <w:t>,</w:t>
      </w:r>
      <w:r w:rsidR="004100AD" w:rsidRPr="00B3274C">
        <w:rPr>
          <w:lang w:val="fr-CA"/>
        </w:rPr>
        <w:t xml:space="preserve"> </w:t>
      </w:r>
      <w:r w:rsidR="00596FE5" w:rsidRPr="00B3274C">
        <w:rPr>
          <w:lang w:val="fr-CA"/>
        </w:rPr>
        <w:t xml:space="preserve">par </w:t>
      </w:r>
      <w:r w:rsidR="004100AD" w:rsidRPr="00B3274C">
        <w:rPr>
          <w:lang w:val="fr-CA"/>
        </w:rPr>
        <w:t>les Structures de protection de l</w:t>
      </w:r>
      <w:r w:rsidR="0080611A">
        <w:rPr>
          <w:lang w:val="fr-CA"/>
        </w:rPr>
        <w:t>’</w:t>
      </w:r>
      <w:r w:rsidR="004100AD" w:rsidRPr="00B3274C">
        <w:rPr>
          <w:lang w:val="fr-CA"/>
        </w:rPr>
        <w:t xml:space="preserve">enfance et les Structures de protection </w:t>
      </w:r>
      <w:r w:rsidR="00614BAC">
        <w:rPr>
          <w:lang w:val="fr-CA"/>
        </w:rPr>
        <w:t>des personnes</w:t>
      </w:r>
      <w:r w:rsidR="004100AD" w:rsidRPr="00B3274C">
        <w:rPr>
          <w:lang w:val="fr-CA"/>
        </w:rPr>
        <w:t xml:space="preserve"> âgées et </w:t>
      </w:r>
      <w:r w:rsidR="00614BAC">
        <w:rPr>
          <w:lang w:val="fr-CA"/>
        </w:rPr>
        <w:t>des personnes</w:t>
      </w:r>
      <w:r w:rsidR="004100AD" w:rsidRPr="00B3274C">
        <w:rPr>
          <w:lang w:val="fr-CA"/>
        </w:rPr>
        <w:t xml:space="preserve"> démunies.</w:t>
      </w:r>
      <w:r w:rsidR="00311716" w:rsidRPr="00B3274C">
        <w:rPr>
          <w:lang w:val="fr-CA"/>
        </w:rPr>
        <w:t xml:space="preserve"> </w:t>
      </w:r>
      <w:r w:rsidR="00771900" w:rsidRPr="00B3274C">
        <w:rPr>
          <w:lang w:val="fr-CA"/>
        </w:rPr>
        <w:t>Environ 1</w:t>
      </w:r>
      <w:r w:rsidR="004B33BF">
        <w:rPr>
          <w:lang w:val="fr-CA"/>
        </w:rPr>
        <w:t> </w:t>
      </w:r>
      <w:r w:rsidR="00771900" w:rsidRPr="00B3274C">
        <w:rPr>
          <w:lang w:val="fr-CA"/>
        </w:rPr>
        <w:t>620 structures</w:t>
      </w:r>
      <w:r w:rsidR="0080611A">
        <w:rPr>
          <w:lang w:val="fr-CA"/>
        </w:rPr>
        <w:t>,</w:t>
      </w:r>
      <w:r w:rsidR="00771900" w:rsidRPr="00B3274C">
        <w:rPr>
          <w:lang w:val="fr-CA"/>
        </w:rPr>
        <w:t xml:space="preserve"> </w:t>
      </w:r>
      <w:r w:rsidR="00911E29" w:rsidRPr="00B3274C">
        <w:rPr>
          <w:lang w:val="fr-CA"/>
        </w:rPr>
        <w:t>avec</w:t>
      </w:r>
      <w:r w:rsidR="00771900" w:rsidRPr="00B3274C">
        <w:rPr>
          <w:lang w:val="fr-CA"/>
        </w:rPr>
        <w:t xml:space="preserve"> environ 7</w:t>
      </w:r>
      <w:r w:rsidR="00FC24F7">
        <w:rPr>
          <w:lang w:val="fr-CA"/>
        </w:rPr>
        <w:t> </w:t>
      </w:r>
      <w:r w:rsidR="00771900" w:rsidRPr="00B3274C">
        <w:rPr>
          <w:lang w:val="fr-CA"/>
        </w:rPr>
        <w:t>000</w:t>
      </w:r>
      <w:r w:rsidR="00FC24F7">
        <w:rPr>
          <w:lang w:val="fr-CA"/>
        </w:rPr>
        <w:t> </w:t>
      </w:r>
      <w:r w:rsidR="00771900" w:rsidRPr="00B3274C">
        <w:rPr>
          <w:lang w:val="fr-CA"/>
        </w:rPr>
        <w:t>travailleurs et plus de 130 000</w:t>
      </w:r>
      <w:r w:rsidR="00614BAC">
        <w:rPr>
          <w:lang w:val="fr-CA"/>
        </w:rPr>
        <w:t> personnes</w:t>
      </w:r>
      <w:r w:rsidR="00771900" w:rsidRPr="00B3274C">
        <w:rPr>
          <w:lang w:val="fr-CA"/>
        </w:rPr>
        <w:t xml:space="preserve"> bénéficiaires</w:t>
      </w:r>
      <w:r w:rsidR="0080611A">
        <w:rPr>
          <w:lang w:val="fr-CA"/>
        </w:rPr>
        <w:t>,</w:t>
      </w:r>
      <w:r w:rsidR="00771900" w:rsidRPr="00B3274C">
        <w:rPr>
          <w:lang w:val="fr-CA"/>
        </w:rPr>
        <w:t xml:space="preserve"> ont été financées par l</w:t>
      </w:r>
      <w:r w:rsidR="0080611A">
        <w:rPr>
          <w:lang w:val="fr-CA"/>
        </w:rPr>
        <w:t>’</w:t>
      </w:r>
      <w:r w:rsidR="00771900" w:rsidRPr="00B3274C">
        <w:rPr>
          <w:lang w:val="fr-CA"/>
        </w:rPr>
        <w:t xml:space="preserve">intermédiaire du troisième Cadre de soutien communautaire. </w:t>
      </w:r>
    </w:p>
    <w:p w:rsidR="00FB23D3" w:rsidRPr="00B3274C" w:rsidRDefault="008E791C" w:rsidP="004946BB">
      <w:pPr>
        <w:pStyle w:val="H23G"/>
        <w:rPr>
          <w:lang w:val="fr-CA"/>
        </w:rPr>
      </w:pPr>
      <w:r w:rsidRPr="00B3274C">
        <w:rPr>
          <w:lang w:val="fr-CA"/>
        </w:rPr>
        <w:tab/>
      </w:r>
      <w:r w:rsidRPr="00B3274C">
        <w:rPr>
          <w:lang w:val="fr-CA"/>
        </w:rPr>
        <w:tab/>
      </w:r>
      <w:r w:rsidR="00771900" w:rsidRPr="00B3274C">
        <w:rPr>
          <w:lang w:val="fr-CA"/>
        </w:rPr>
        <w:t>Programme opérationnel</w:t>
      </w:r>
      <w:r w:rsidR="00EC5892" w:rsidRPr="00B3274C">
        <w:rPr>
          <w:lang w:val="fr-CA"/>
        </w:rPr>
        <w:t>:</w:t>
      </w:r>
      <w:r w:rsidR="00771900" w:rsidRPr="00B3274C">
        <w:rPr>
          <w:lang w:val="fr-CA"/>
        </w:rPr>
        <w:t xml:space="preserve"> </w:t>
      </w:r>
      <w:r w:rsidR="0055418C" w:rsidRPr="00B3274C">
        <w:rPr>
          <w:lang w:val="fr-CA"/>
        </w:rPr>
        <w:t>«</w:t>
      </w:r>
      <w:r w:rsidR="00771900" w:rsidRPr="00B3274C">
        <w:rPr>
          <w:lang w:val="fr-CA"/>
        </w:rPr>
        <w:t>Développement des ressources humaines</w:t>
      </w:r>
      <w:r w:rsidR="0055418C" w:rsidRPr="00B3274C">
        <w:rPr>
          <w:lang w:val="fr-CA"/>
        </w:rPr>
        <w:t>»</w:t>
      </w:r>
      <w:r w:rsidR="00771900" w:rsidRPr="00B3274C">
        <w:rPr>
          <w:lang w:val="fr-CA"/>
        </w:rPr>
        <w:t xml:space="preserve"> 2007</w:t>
      </w:r>
      <w:r w:rsidR="00782442">
        <w:rPr>
          <w:lang w:val="fr-CA"/>
        </w:rPr>
        <w:t>-</w:t>
      </w:r>
      <w:r w:rsidR="00771900" w:rsidRPr="00B3274C">
        <w:rPr>
          <w:lang w:val="fr-CA"/>
        </w:rPr>
        <w:t>2013</w:t>
      </w:r>
      <w:r w:rsidR="00782442">
        <w:rPr>
          <w:lang w:val="fr-CA"/>
        </w:rPr>
        <w:t xml:space="preserve">/ </w:t>
      </w:r>
      <w:r w:rsidR="00771900" w:rsidRPr="00B3274C">
        <w:rPr>
          <w:lang w:val="fr-CA"/>
        </w:rPr>
        <w:t>Initiative</w:t>
      </w:r>
      <w:r w:rsidR="00EC5892" w:rsidRPr="00B3274C">
        <w:rPr>
          <w:lang w:val="fr-CA"/>
        </w:rPr>
        <w:t>:</w:t>
      </w:r>
      <w:r w:rsidR="00771900" w:rsidRPr="00B3274C">
        <w:rPr>
          <w:lang w:val="fr-CA"/>
        </w:rPr>
        <w:t xml:space="preserve"> </w:t>
      </w:r>
      <w:bookmarkStart w:id="14" w:name="OLE_LINK11"/>
      <w:bookmarkStart w:id="15" w:name="OLE_LINK12"/>
      <w:r w:rsidR="00782442" w:rsidRPr="00B3274C">
        <w:rPr>
          <w:lang w:val="fr-CA"/>
        </w:rPr>
        <w:t xml:space="preserve">concilier </w:t>
      </w:r>
      <w:r w:rsidR="00796258" w:rsidRPr="00B3274C">
        <w:rPr>
          <w:lang w:val="fr-CA"/>
        </w:rPr>
        <w:t xml:space="preserve">la </w:t>
      </w:r>
      <w:r w:rsidR="00771900" w:rsidRPr="00B3274C">
        <w:rPr>
          <w:lang w:val="fr-CA"/>
        </w:rPr>
        <w:t xml:space="preserve">vie </w:t>
      </w:r>
      <w:r w:rsidR="000366BA" w:rsidRPr="00B3274C">
        <w:rPr>
          <w:lang w:val="fr-CA"/>
        </w:rPr>
        <w:t>de famille</w:t>
      </w:r>
      <w:r w:rsidR="00771900" w:rsidRPr="00B3274C">
        <w:rPr>
          <w:lang w:val="fr-CA"/>
        </w:rPr>
        <w:t xml:space="preserve"> et </w:t>
      </w:r>
      <w:r w:rsidR="00796258" w:rsidRPr="00B3274C">
        <w:rPr>
          <w:lang w:val="fr-CA"/>
        </w:rPr>
        <w:t xml:space="preserve">la </w:t>
      </w:r>
      <w:r w:rsidR="00771900" w:rsidRPr="00B3274C">
        <w:rPr>
          <w:lang w:val="fr-CA"/>
        </w:rPr>
        <w:t>vie professionnelle</w:t>
      </w:r>
      <w:bookmarkEnd w:id="14"/>
      <w:bookmarkEnd w:id="15"/>
    </w:p>
    <w:p w:rsidR="00FB23D3" w:rsidRPr="00B3274C" w:rsidRDefault="00107A47" w:rsidP="00107A47">
      <w:pPr>
        <w:pStyle w:val="SingleTxtG"/>
        <w:rPr>
          <w:lang w:val="fr-CA"/>
        </w:rPr>
      </w:pPr>
      <w:r w:rsidRPr="00B3274C">
        <w:rPr>
          <w:lang w:val="fr-CA"/>
        </w:rPr>
        <w:t>116.</w:t>
      </w:r>
      <w:r w:rsidRPr="00B3274C">
        <w:rPr>
          <w:lang w:val="fr-CA"/>
        </w:rPr>
        <w:tab/>
      </w:r>
      <w:r w:rsidR="00771900" w:rsidRPr="00B3274C">
        <w:rPr>
          <w:lang w:val="fr-CA"/>
        </w:rPr>
        <w:t>Le but de cette initiative est de favoriser l</w:t>
      </w:r>
      <w:r w:rsidR="0080611A">
        <w:rPr>
          <w:lang w:val="fr-CA"/>
        </w:rPr>
        <w:t>’</w:t>
      </w:r>
      <w:r w:rsidR="00771900" w:rsidRPr="00B3274C">
        <w:rPr>
          <w:lang w:val="fr-CA"/>
        </w:rPr>
        <w:t xml:space="preserve">emploi des femmes </w:t>
      </w:r>
      <w:r w:rsidR="00862BB1" w:rsidRPr="00B3274C">
        <w:rPr>
          <w:lang w:val="fr-CA"/>
        </w:rPr>
        <w:t>et de préserver leur place dans le monde du travail en organisant des services de garde d</w:t>
      </w:r>
      <w:r w:rsidR="0080611A">
        <w:rPr>
          <w:lang w:val="fr-CA"/>
        </w:rPr>
        <w:t>’</w:t>
      </w:r>
      <w:r w:rsidR="00862BB1" w:rsidRPr="00B3274C">
        <w:rPr>
          <w:lang w:val="fr-CA"/>
        </w:rPr>
        <w:t xml:space="preserve">enfants dans des structures de prise en charge spécifiques. Des initiatives </w:t>
      </w:r>
      <w:r w:rsidR="002329B6" w:rsidRPr="00B3274C">
        <w:rPr>
          <w:lang w:val="fr-CA"/>
        </w:rPr>
        <w:t>visant à</w:t>
      </w:r>
      <w:r w:rsidR="00862BB1" w:rsidRPr="00B3274C">
        <w:rPr>
          <w:lang w:val="fr-CA"/>
        </w:rPr>
        <w:t xml:space="preserve"> permettre </w:t>
      </w:r>
      <w:r w:rsidR="002329B6" w:rsidRPr="00B3274C">
        <w:rPr>
          <w:lang w:val="fr-CA"/>
        </w:rPr>
        <w:t>la conciliation</w:t>
      </w:r>
      <w:r w:rsidR="00862BB1" w:rsidRPr="00B3274C">
        <w:rPr>
          <w:lang w:val="fr-CA"/>
        </w:rPr>
        <w:t xml:space="preserve"> </w:t>
      </w:r>
      <w:r w:rsidR="00900CBE" w:rsidRPr="00B3274C">
        <w:rPr>
          <w:lang w:val="fr-CA"/>
        </w:rPr>
        <w:t xml:space="preserve">de la </w:t>
      </w:r>
      <w:r w:rsidR="00862BB1" w:rsidRPr="00B3274C">
        <w:rPr>
          <w:lang w:val="fr-CA"/>
        </w:rPr>
        <w:t xml:space="preserve">vie </w:t>
      </w:r>
      <w:r w:rsidR="00900CBE" w:rsidRPr="00B3274C">
        <w:rPr>
          <w:lang w:val="fr-CA"/>
        </w:rPr>
        <w:t>de famille</w:t>
      </w:r>
      <w:r w:rsidR="00862BB1" w:rsidRPr="00B3274C">
        <w:rPr>
          <w:lang w:val="fr-CA"/>
        </w:rPr>
        <w:t xml:space="preserve"> et </w:t>
      </w:r>
      <w:r w:rsidR="00900CBE" w:rsidRPr="00B3274C">
        <w:rPr>
          <w:lang w:val="fr-CA"/>
        </w:rPr>
        <w:t xml:space="preserve">de la </w:t>
      </w:r>
      <w:r w:rsidR="00862BB1" w:rsidRPr="00B3274C">
        <w:rPr>
          <w:lang w:val="fr-CA"/>
        </w:rPr>
        <w:t xml:space="preserve">vie professionnelle ont été </w:t>
      </w:r>
      <w:r w:rsidR="002B1F58" w:rsidRPr="00B3274C">
        <w:rPr>
          <w:lang w:val="fr-CA"/>
        </w:rPr>
        <w:t xml:space="preserve">prises également </w:t>
      </w:r>
      <w:r w:rsidR="00862BB1" w:rsidRPr="00B3274C">
        <w:rPr>
          <w:szCs w:val="25"/>
          <w:lang w:val="fr-CA"/>
        </w:rPr>
        <w:t xml:space="preserve">dans le cadre du dispositif européen </w:t>
      </w:r>
      <w:r w:rsidR="00FB23D3" w:rsidRPr="00B3274C">
        <w:rPr>
          <w:szCs w:val="25"/>
          <w:lang w:val="fr-CA"/>
        </w:rPr>
        <w:t xml:space="preserve">EQUAL. </w:t>
      </w:r>
      <w:r w:rsidR="002B1F58" w:rsidRPr="00B3274C">
        <w:rPr>
          <w:szCs w:val="25"/>
          <w:lang w:val="fr-CA"/>
        </w:rPr>
        <w:t>L</w:t>
      </w:r>
      <w:r w:rsidR="0080611A">
        <w:rPr>
          <w:szCs w:val="25"/>
          <w:lang w:val="fr-CA"/>
        </w:rPr>
        <w:t>’</w:t>
      </w:r>
      <w:r w:rsidR="002B1F58" w:rsidRPr="00B3274C">
        <w:rPr>
          <w:szCs w:val="25"/>
          <w:lang w:val="fr-CA"/>
        </w:rPr>
        <w:t>initiative susmentionnée a été financée par le Fonds social européen</w:t>
      </w:r>
      <w:r w:rsidR="0080611A">
        <w:rPr>
          <w:szCs w:val="25"/>
          <w:lang w:val="fr-CA"/>
        </w:rPr>
        <w:t>,</w:t>
      </w:r>
      <w:r w:rsidR="002B1F58" w:rsidRPr="00B3274C">
        <w:rPr>
          <w:szCs w:val="25"/>
          <w:lang w:val="fr-CA"/>
        </w:rPr>
        <w:t xml:space="preserve"> </w:t>
      </w:r>
      <w:bookmarkStart w:id="16" w:name="OLE_LINK13"/>
      <w:bookmarkStart w:id="17" w:name="OLE_LINK14"/>
      <w:r w:rsidR="002B1F58" w:rsidRPr="00B3274C">
        <w:rPr>
          <w:szCs w:val="25"/>
          <w:lang w:val="fr-CA"/>
        </w:rPr>
        <w:t>à raison de 75</w:t>
      </w:r>
      <w:r w:rsidR="0050285B">
        <w:rPr>
          <w:szCs w:val="25"/>
          <w:lang w:val="fr-CA"/>
        </w:rPr>
        <w:t> %</w:t>
      </w:r>
      <w:bookmarkEnd w:id="16"/>
      <w:bookmarkEnd w:id="17"/>
      <w:r w:rsidR="0080611A">
        <w:rPr>
          <w:szCs w:val="25"/>
          <w:lang w:val="fr-CA"/>
        </w:rPr>
        <w:t>,</w:t>
      </w:r>
      <w:r w:rsidR="002B1F58" w:rsidRPr="00B3274C">
        <w:rPr>
          <w:szCs w:val="25"/>
          <w:lang w:val="fr-CA"/>
        </w:rPr>
        <w:t xml:space="preserve"> et par le Ministère de l</w:t>
      </w:r>
      <w:r w:rsidR="0080611A">
        <w:rPr>
          <w:szCs w:val="25"/>
          <w:lang w:val="fr-CA"/>
        </w:rPr>
        <w:t>’</w:t>
      </w:r>
      <w:r w:rsidR="002B1F58" w:rsidRPr="00B3274C">
        <w:rPr>
          <w:szCs w:val="25"/>
          <w:lang w:val="fr-CA"/>
        </w:rPr>
        <w:t>emploi et de la protection sociale</w:t>
      </w:r>
      <w:r w:rsidR="0080611A">
        <w:rPr>
          <w:szCs w:val="25"/>
          <w:lang w:val="fr-CA"/>
        </w:rPr>
        <w:t>,</w:t>
      </w:r>
      <w:r w:rsidR="002B1F58" w:rsidRPr="00B3274C">
        <w:rPr>
          <w:szCs w:val="25"/>
          <w:lang w:val="fr-CA"/>
        </w:rPr>
        <w:t xml:space="preserve"> à raison de 25</w:t>
      </w:r>
      <w:r w:rsidR="0050285B">
        <w:rPr>
          <w:szCs w:val="25"/>
          <w:lang w:val="fr-CA"/>
        </w:rPr>
        <w:t> %</w:t>
      </w:r>
      <w:r w:rsidR="002B1F58" w:rsidRPr="00B3274C">
        <w:rPr>
          <w:szCs w:val="25"/>
          <w:lang w:val="fr-CA"/>
        </w:rPr>
        <w:t>. Elle concerne tous les groupes touchés par la discrimination et les inégalités sur le marché du travail et leur intégration professionnelle et</w:t>
      </w:r>
      <w:r w:rsidR="0080611A">
        <w:rPr>
          <w:szCs w:val="25"/>
          <w:lang w:val="fr-CA"/>
        </w:rPr>
        <w:t>,</w:t>
      </w:r>
      <w:r w:rsidR="002B1F58" w:rsidRPr="00B3274C">
        <w:rPr>
          <w:szCs w:val="25"/>
          <w:lang w:val="fr-CA"/>
        </w:rPr>
        <w:t xml:space="preserve"> plus généralement</w:t>
      </w:r>
      <w:r w:rsidR="0080611A">
        <w:rPr>
          <w:szCs w:val="25"/>
          <w:lang w:val="fr-CA"/>
        </w:rPr>
        <w:t>,</w:t>
      </w:r>
      <w:r w:rsidR="002B1F58" w:rsidRPr="00B3274C">
        <w:rPr>
          <w:szCs w:val="25"/>
          <w:lang w:val="fr-CA"/>
        </w:rPr>
        <w:t xml:space="preserve"> sociale. </w:t>
      </w:r>
    </w:p>
    <w:p w:rsidR="00FB23D3" w:rsidRPr="00B3274C" w:rsidRDefault="00107A47" w:rsidP="00107A47">
      <w:pPr>
        <w:pStyle w:val="SingleTxtG"/>
        <w:rPr>
          <w:szCs w:val="25"/>
          <w:lang w:val="fr-CA"/>
        </w:rPr>
      </w:pPr>
      <w:r w:rsidRPr="00B3274C">
        <w:rPr>
          <w:lang w:val="fr-CA"/>
        </w:rPr>
        <w:t>117.</w:t>
      </w:r>
      <w:r w:rsidRPr="00B3274C">
        <w:rPr>
          <w:lang w:val="fr-CA"/>
        </w:rPr>
        <w:tab/>
      </w:r>
      <w:r w:rsidR="00F31968" w:rsidRPr="00B3274C">
        <w:rPr>
          <w:lang w:val="fr-CA"/>
        </w:rPr>
        <w:t>En outre</w:t>
      </w:r>
      <w:r w:rsidR="0080611A">
        <w:rPr>
          <w:lang w:val="fr-CA"/>
        </w:rPr>
        <w:t>,</w:t>
      </w:r>
      <w:r w:rsidR="00F31968" w:rsidRPr="00B3274C">
        <w:rPr>
          <w:lang w:val="fr-CA"/>
        </w:rPr>
        <w:t xml:space="preserve"> des mesures favorisant l</w:t>
      </w:r>
      <w:r w:rsidR="0080611A">
        <w:rPr>
          <w:lang w:val="fr-CA"/>
        </w:rPr>
        <w:t>’</w:t>
      </w:r>
      <w:r w:rsidR="00F31968" w:rsidRPr="00B3274C">
        <w:rPr>
          <w:lang w:val="fr-CA"/>
        </w:rPr>
        <w:t xml:space="preserve">égalité des sexes contribuent </w:t>
      </w:r>
      <w:r w:rsidR="002329B6" w:rsidRPr="00B3274C">
        <w:rPr>
          <w:lang w:val="fr-CA"/>
        </w:rPr>
        <w:t xml:space="preserve">à la conciliation </w:t>
      </w:r>
      <w:r w:rsidR="00395D70" w:rsidRPr="00B3274C">
        <w:rPr>
          <w:lang w:val="fr-CA"/>
        </w:rPr>
        <w:t xml:space="preserve">de la </w:t>
      </w:r>
      <w:r w:rsidR="002329B6" w:rsidRPr="00B3274C">
        <w:rPr>
          <w:lang w:val="fr-CA"/>
        </w:rPr>
        <w:t xml:space="preserve">vie </w:t>
      </w:r>
      <w:r w:rsidR="00395D70" w:rsidRPr="00B3274C">
        <w:rPr>
          <w:lang w:val="fr-CA"/>
        </w:rPr>
        <w:t>de famille</w:t>
      </w:r>
      <w:r w:rsidR="002329B6" w:rsidRPr="00B3274C">
        <w:rPr>
          <w:lang w:val="fr-CA"/>
        </w:rPr>
        <w:t xml:space="preserve"> et </w:t>
      </w:r>
      <w:r w:rsidR="00395D70" w:rsidRPr="00B3274C">
        <w:rPr>
          <w:lang w:val="fr-CA"/>
        </w:rPr>
        <w:t xml:space="preserve">de la </w:t>
      </w:r>
      <w:r w:rsidR="002329B6" w:rsidRPr="00B3274C">
        <w:rPr>
          <w:lang w:val="fr-CA"/>
        </w:rPr>
        <w:t xml:space="preserve">vie professionnelle. </w:t>
      </w:r>
      <w:r w:rsidR="002329B6" w:rsidRPr="00B3274C">
        <w:rPr>
          <w:szCs w:val="25"/>
          <w:lang w:val="fr-CA"/>
        </w:rPr>
        <w:t>L</w:t>
      </w:r>
      <w:r w:rsidR="0080611A">
        <w:rPr>
          <w:szCs w:val="25"/>
          <w:lang w:val="fr-CA"/>
        </w:rPr>
        <w:t>’</w:t>
      </w:r>
      <w:r w:rsidR="00FB23D3" w:rsidRPr="00B3274C">
        <w:rPr>
          <w:szCs w:val="25"/>
          <w:lang w:val="fr-CA"/>
        </w:rPr>
        <w:t>Ax</w:t>
      </w:r>
      <w:r w:rsidR="002329B6" w:rsidRPr="00B3274C">
        <w:rPr>
          <w:szCs w:val="25"/>
          <w:lang w:val="fr-CA"/>
        </w:rPr>
        <w:t>e</w:t>
      </w:r>
      <w:r w:rsidR="00FB23D3" w:rsidRPr="00B3274C">
        <w:rPr>
          <w:szCs w:val="25"/>
          <w:lang w:val="fr-CA"/>
        </w:rPr>
        <w:t xml:space="preserve"> III </w:t>
      </w:r>
      <w:r w:rsidR="002329B6" w:rsidRPr="00B3274C">
        <w:rPr>
          <w:szCs w:val="25"/>
          <w:lang w:val="fr-CA"/>
        </w:rPr>
        <w:t xml:space="preserve">du Programme opérationnel </w:t>
      </w:r>
      <w:r w:rsidR="0055418C" w:rsidRPr="00B3274C">
        <w:rPr>
          <w:szCs w:val="25"/>
          <w:lang w:val="fr-CA"/>
        </w:rPr>
        <w:t>«</w:t>
      </w:r>
      <w:r w:rsidR="002329B6" w:rsidRPr="00B3274C">
        <w:rPr>
          <w:szCs w:val="25"/>
          <w:lang w:val="fr-CA"/>
        </w:rPr>
        <w:t>Réforme administrative</w:t>
      </w:r>
      <w:r w:rsidR="0055418C" w:rsidRPr="00B3274C">
        <w:rPr>
          <w:szCs w:val="25"/>
          <w:lang w:val="fr-CA"/>
        </w:rPr>
        <w:t>»</w:t>
      </w:r>
      <w:r w:rsidR="002329B6" w:rsidRPr="00B3274C">
        <w:rPr>
          <w:szCs w:val="25"/>
          <w:lang w:val="fr-CA"/>
        </w:rPr>
        <w:t xml:space="preserve"> </w:t>
      </w:r>
      <w:r w:rsidR="00FB23D3" w:rsidRPr="00B3274C">
        <w:rPr>
          <w:szCs w:val="25"/>
          <w:lang w:val="fr-CA"/>
        </w:rPr>
        <w:t xml:space="preserve">2007-2013 </w:t>
      </w:r>
      <w:r w:rsidR="002329B6" w:rsidRPr="00B3274C">
        <w:rPr>
          <w:szCs w:val="25"/>
          <w:lang w:val="fr-CA"/>
        </w:rPr>
        <w:t>est consacré au renforcement des politiques d</w:t>
      </w:r>
      <w:r w:rsidR="0080611A">
        <w:rPr>
          <w:szCs w:val="25"/>
          <w:lang w:val="fr-CA"/>
        </w:rPr>
        <w:t>’</w:t>
      </w:r>
      <w:r w:rsidR="002329B6" w:rsidRPr="00B3274C">
        <w:rPr>
          <w:szCs w:val="25"/>
          <w:lang w:val="fr-CA"/>
        </w:rPr>
        <w:t xml:space="preserve">égalité dans toutes les initiatives des autorités publiques. </w:t>
      </w:r>
      <w:r w:rsidR="00A87442" w:rsidRPr="00B3274C">
        <w:rPr>
          <w:szCs w:val="25"/>
          <w:lang w:val="fr-CA"/>
        </w:rPr>
        <w:t>De la même façon</w:t>
      </w:r>
      <w:r w:rsidR="0080611A">
        <w:rPr>
          <w:szCs w:val="25"/>
          <w:lang w:val="fr-CA"/>
        </w:rPr>
        <w:t>,</w:t>
      </w:r>
      <w:r w:rsidR="00A87442" w:rsidRPr="00B3274C">
        <w:rPr>
          <w:szCs w:val="25"/>
          <w:lang w:val="fr-CA"/>
        </w:rPr>
        <w:t xml:space="preserve"> tous les règlements administrati</w:t>
      </w:r>
      <w:r w:rsidR="00B80700" w:rsidRPr="00B3274C">
        <w:rPr>
          <w:szCs w:val="25"/>
          <w:lang w:val="fr-CA"/>
        </w:rPr>
        <w:t>fs</w:t>
      </w:r>
      <w:r w:rsidR="00A87442" w:rsidRPr="00B3274C">
        <w:rPr>
          <w:szCs w:val="25"/>
          <w:lang w:val="fr-CA"/>
        </w:rPr>
        <w:t xml:space="preserve"> qui ont été publiés et concernent la mise en œuvre de programmes de formation professionnelle</w:t>
      </w:r>
      <w:r w:rsidR="0080611A">
        <w:rPr>
          <w:szCs w:val="25"/>
          <w:lang w:val="fr-CA"/>
        </w:rPr>
        <w:t>,</w:t>
      </w:r>
      <w:r w:rsidR="00A87442" w:rsidRPr="00B3274C">
        <w:rPr>
          <w:szCs w:val="25"/>
          <w:lang w:val="fr-CA"/>
        </w:rPr>
        <w:t xml:space="preserve"> </w:t>
      </w:r>
      <w:r w:rsidR="00B80700" w:rsidRPr="00B3274C">
        <w:rPr>
          <w:szCs w:val="25"/>
          <w:lang w:val="fr-CA"/>
        </w:rPr>
        <w:t>de programmes de services de soutien et de services de nature à favoriser l</w:t>
      </w:r>
      <w:r w:rsidR="0080611A">
        <w:rPr>
          <w:szCs w:val="25"/>
          <w:lang w:val="fr-CA"/>
        </w:rPr>
        <w:t>’</w:t>
      </w:r>
      <w:r w:rsidR="00B80700" w:rsidRPr="00B3274C">
        <w:rPr>
          <w:szCs w:val="25"/>
          <w:lang w:val="fr-CA"/>
        </w:rPr>
        <w:t>emploi</w:t>
      </w:r>
      <w:r w:rsidR="0080611A">
        <w:rPr>
          <w:szCs w:val="25"/>
          <w:lang w:val="fr-CA"/>
        </w:rPr>
        <w:t>,</w:t>
      </w:r>
      <w:r w:rsidR="00B80700" w:rsidRPr="00B3274C">
        <w:rPr>
          <w:szCs w:val="25"/>
          <w:lang w:val="fr-CA"/>
        </w:rPr>
        <w:t xml:space="preserve"> exige une participation obligatoire des femmes à hauteur de 60</w:t>
      </w:r>
      <w:r w:rsidR="0050285B">
        <w:rPr>
          <w:szCs w:val="25"/>
          <w:lang w:val="fr-CA"/>
        </w:rPr>
        <w:t> %</w:t>
      </w:r>
      <w:r w:rsidR="00B80700" w:rsidRPr="00B3274C">
        <w:rPr>
          <w:szCs w:val="25"/>
          <w:lang w:val="fr-CA"/>
        </w:rPr>
        <w:t xml:space="preserve"> pour toutes les interventions du Programme opérationnel</w:t>
      </w:r>
      <w:r w:rsidR="00FB23D3" w:rsidRPr="00B3274C">
        <w:rPr>
          <w:szCs w:val="25"/>
          <w:lang w:val="fr-CA"/>
        </w:rPr>
        <w:t>.</w:t>
      </w:r>
    </w:p>
    <w:p w:rsidR="00FB23D3" w:rsidRPr="00B3274C" w:rsidRDefault="00432CF5" w:rsidP="004946BB">
      <w:pPr>
        <w:pStyle w:val="H23G"/>
        <w:rPr>
          <w:szCs w:val="25"/>
          <w:lang w:val="fr-CA"/>
        </w:rPr>
      </w:pPr>
      <w:r w:rsidRPr="00B3274C">
        <w:rPr>
          <w:lang w:val="fr-CA"/>
        </w:rPr>
        <w:tab/>
      </w:r>
      <w:r w:rsidR="004946BB" w:rsidRPr="00B3274C">
        <w:rPr>
          <w:lang w:val="fr-CA"/>
        </w:rPr>
        <w:t>3.</w:t>
      </w:r>
      <w:r w:rsidRPr="00B3274C">
        <w:rPr>
          <w:lang w:val="fr-CA"/>
        </w:rPr>
        <w:tab/>
      </w:r>
      <w:r w:rsidR="00B80700" w:rsidRPr="00B3274C">
        <w:rPr>
          <w:lang w:val="fr-CA"/>
        </w:rPr>
        <w:t>Conciliation de la vie professionnelle et de la vie privée</w:t>
      </w:r>
      <w:r w:rsidR="0080611A">
        <w:rPr>
          <w:lang w:val="fr-CA"/>
        </w:rPr>
        <w:t>,</w:t>
      </w:r>
      <w:r w:rsidR="00B80700" w:rsidRPr="00B3274C">
        <w:rPr>
          <w:lang w:val="fr-CA"/>
        </w:rPr>
        <w:t xml:space="preserve"> et notamment protection de la maternité </w:t>
      </w:r>
    </w:p>
    <w:p w:rsidR="00FB23D3" w:rsidRPr="00B3274C" w:rsidRDefault="00107A47" w:rsidP="00107A47">
      <w:pPr>
        <w:pStyle w:val="SingleTxtG"/>
        <w:rPr>
          <w:color w:val="333333"/>
          <w:lang w:val="fr-CA"/>
        </w:rPr>
      </w:pPr>
      <w:r w:rsidRPr="00B3274C">
        <w:rPr>
          <w:color w:val="333333"/>
          <w:lang w:val="fr-CA"/>
        </w:rPr>
        <w:t>118.</w:t>
      </w:r>
      <w:r w:rsidRPr="00B3274C">
        <w:rPr>
          <w:color w:val="333333"/>
          <w:lang w:val="fr-CA"/>
        </w:rPr>
        <w:tab/>
      </w:r>
      <w:r w:rsidR="002569B1" w:rsidRPr="00B3274C">
        <w:rPr>
          <w:color w:val="333333"/>
          <w:lang w:val="fr-CA"/>
        </w:rPr>
        <w:t>Des</w:t>
      </w:r>
      <w:r w:rsidR="00600EC4" w:rsidRPr="00B3274C">
        <w:rPr>
          <w:color w:val="333333"/>
          <w:lang w:val="fr-CA"/>
        </w:rPr>
        <w:t xml:space="preserve"> mesures </w:t>
      </w:r>
      <w:r w:rsidR="001046DC" w:rsidRPr="00B3274C">
        <w:rPr>
          <w:color w:val="333333"/>
          <w:lang w:val="fr-CA"/>
        </w:rPr>
        <w:t>qui aident à</w:t>
      </w:r>
      <w:r w:rsidR="002569B1" w:rsidRPr="00B3274C">
        <w:rPr>
          <w:color w:val="333333"/>
          <w:lang w:val="fr-CA"/>
        </w:rPr>
        <w:t xml:space="preserve"> concilier </w:t>
      </w:r>
      <w:r w:rsidR="00C52E53" w:rsidRPr="00B3274C">
        <w:rPr>
          <w:color w:val="333333"/>
          <w:lang w:val="fr-CA"/>
        </w:rPr>
        <w:t xml:space="preserve">la </w:t>
      </w:r>
      <w:r w:rsidR="002569B1" w:rsidRPr="00B3274C">
        <w:rPr>
          <w:color w:val="333333"/>
          <w:lang w:val="fr-CA"/>
        </w:rPr>
        <w:t xml:space="preserve">vie professionnelle et </w:t>
      </w:r>
      <w:r w:rsidR="00C52E53" w:rsidRPr="00B3274C">
        <w:rPr>
          <w:color w:val="333333"/>
          <w:lang w:val="fr-CA"/>
        </w:rPr>
        <w:t xml:space="preserve">la </w:t>
      </w:r>
      <w:r w:rsidR="002569B1" w:rsidRPr="00B3274C">
        <w:rPr>
          <w:color w:val="333333"/>
          <w:lang w:val="fr-CA"/>
        </w:rPr>
        <w:t>vie privée sont intégré</w:t>
      </w:r>
      <w:r w:rsidR="001F481C" w:rsidRPr="00B3274C">
        <w:rPr>
          <w:color w:val="333333"/>
          <w:lang w:val="fr-CA"/>
        </w:rPr>
        <w:t>e</w:t>
      </w:r>
      <w:r w:rsidR="002569B1" w:rsidRPr="00B3274C">
        <w:rPr>
          <w:color w:val="333333"/>
          <w:lang w:val="fr-CA"/>
        </w:rPr>
        <w:t xml:space="preserve">s dans </w:t>
      </w:r>
      <w:r w:rsidR="001046DC" w:rsidRPr="00B3274C">
        <w:rPr>
          <w:color w:val="333333"/>
          <w:lang w:val="fr-CA"/>
        </w:rPr>
        <w:t>le cadre des</w:t>
      </w:r>
      <w:r w:rsidR="002569B1" w:rsidRPr="00B3274C">
        <w:rPr>
          <w:color w:val="333333"/>
          <w:lang w:val="fr-CA"/>
        </w:rPr>
        <w:t xml:space="preserve"> congés de maternité et </w:t>
      </w:r>
      <w:r w:rsidR="001046DC" w:rsidRPr="00B3274C">
        <w:rPr>
          <w:color w:val="333333"/>
          <w:lang w:val="fr-CA"/>
        </w:rPr>
        <w:t>d</w:t>
      </w:r>
      <w:r w:rsidR="002569B1" w:rsidRPr="00B3274C">
        <w:rPr>
          <w:color w:val="333333"/>
          <w:lang w:val="fr-CA"/>
        </w:rPr>
        <w:t>es congés parentaux. Des</w:t>
      </w:r>
      <w:r w:rsidR="00600EC4" w:rsidRPr="00B3274C">
        <w:rPr>
          <w:color w:val="333333"/>
          <w:lang w:val="fr-CA"/>
        </w:rPr>
        <w:t xml:space="preserve"> mesures </w:t>
      </w:r>
      <w:r w:rsidR="002569B1" w:rsidRPr="00B3274C">
        <w:rPr>
          <w:color w:val="333333"/>
          <w:lang w:val="fr-CA"/>
        </w:rPr>
        <w:t>différent</w:t>
      </w:r>
      <w:r w:rsidR="00600EC4" w:rsidRPr="00B3274C">
        <w:rPr>
          <w:color w:val="333333"/>
          <w:lang w:val="fr-CA"/>
        </w:rPr>
        <w:t>e</w:t>
      </w:r>
      <w:r w:rsidR="002569B1" w:rsidRPr="00B3274C">
        <w:rPr>
          <w:color w:val="333333"/>
          <w:lang w:val="fr-CA"/>
        </w:rPr>
        <w:t>s s</w:t>
      </w:r>
      <w:r w:rsidR="0080611A">
        <w:rPr>
          <w:color w:val="333333"/>
          <w:lang w:val="fr-CA"/>
        </w:rPr>
        <w:t>’</w:t>
      </w:r>
      <w:r w:rsidR="002569B1" w:rsidRPr="00B3274C">
        <w:rPr>
          <w:color w:val="333333"/>
          <w:lang w:val="fr-CA"/>
        </w:rPr>
        <w:t>appliquent aux travailleu</w:t>
      </w:r>
      <w:r w:rsidR="00BA0CC8" w:rsidRPr="00B3274C">
        <w:rPr>
          <w:color w:val="333333"/>
          <w:lang w:val="fr-CA"/>
        </w:rPr>
        <w:t>rs des secteurs public et privé</w:t>
      </w:r>
      <w:r w:rsidR="00FB23D3" w:rsidRPr="00B3274C">
        <w:rPr>
          <w:lang w:val="fr-CA"/>
        </w:rPr>
        <w:t xml:space="preserve">: </w:t>
      </w:r>
    </w:p>
    <w:p w:rsidR="00FB23D3" w:rsidRPr="00B3274C" w:rsidRDefault="00432CF5" w:rsidP="004946BB">
      <w:pPr>
        <w:pStyle w:val="H23G"/>
        <w:rPr>
          <w:lang w:val="fr-CA"/>
        </w:rPr>
      </w:pPr>
      <w:r w:rsidRPr="00B3274C">
        <w:rPr>
          <w:lang w:val="fr-CA"/>
        </w:rPr>
        <w:tab/>
      </w:r>
      <w:r w:rsidR="004946BB" w:rsidRPr="00B3274C">
        <w:rPr>
          <w:lang w:val="fr-CA"/>
        </w:rPr>
        <w:t>a)</w:t>
      </w:r>
      <w:r w:rsidRPr="00B3274C">
        <w:rPr>
          <w:lang w:val="fr-CA"/>
        </w:rPr>
        <w:tab/>
      </w:r>
      <w:r w:rsidR="00607719" w:rsidRPr="00B3274C">
        <w:rPr>
          <w:lang w:val="fr-CA"/>
        </w:rPr>
        <w:t>C</w:t>
      </w:r>
      <w:r w:rsidR="003134F8" w:rsidRPr="00B3274C">
        <w:rPr>
          <w:lang w:val="fr-CA"/>
        </w:rPr>
        <w:t>ongé</w:t>
      </w:r>
      <w:r w:rsidR="002569B1" w:rsidRPr="00B3274C">
        <w:rPr>
          <w:lang w:val="fr-CA"/>
        </w:rPr>
        <w:t xml:space="preserve"> de maternité</w:t>
      </w:r>
      <w:r w:rsidR="003134F8" w:rsidRPr="00B3274C">
        <w:rPr>
          <w:lang w:val="fr-CA"/>
        </w:rPr>
        <w:t xml:space="preserve"> et</w:t>
      </w:r>
      <w:r w:rsidR="002569B1" w:rsidRPr="00B3274C">
        <w:rPr>
          <w:lang w:val="fr-CA"/>
        </w:rPr>
        <w:t xml:space="preserve"> de naissance</w:t>
      </w:r>
    </w:p>
    <w:p w:rsidR="00FB23D3" w:rsidRPr="00B3274C" w:rsidRDefault="00432CF5" w:rsidP="00715384">
      <w:pPr>
        <w:pStyle w:val="H4G"/>
        <w:rPr>
          <w:lang w:val="fr-CA"/>
        </w:rPr>
      </w:pPr>
      <w:r w:rsidRPr="00B3274C">
        <w:rPr>
          <w:lang w:val="fr-CA"/>
        </w:rPr>
        <w:tab/>
      </w:r>
      <w:r w:rsidR="004946BB" w:rsidRPr="00B3274C">
        <w:rPr>
          <w:lang w:val="fr-CA"/>
        </w:rPr>
        <w:t>i)</w:t>
      </w:r>
      <w:r w:rsidRPr="00B3274C">
        <w:rPr>
          <w:lang w:val="fr-CA"/>
        </w:rPr>
        <w:tab/>
      </w:r>
      <w:r w:rsidR="002569B1" w:rsidRPr="00B3274C">
        <w:rPr>
          <w:lang w:val="fr-CA"/>
        </w:rPr>
        <w:t>Secteur public</w:t>
      </w:r>
    </w:p>
    <w:p w:rsidR="00FB23D3" w:rsidRPr="00B3274C" w:rsidRDefault="00107A47" w:rsidP="00107A47">
      <w:pPr>
        <w:pStyle w:val="SingleTxtG"/>
        <w:rPr>
          <w:lang w:val="fr-CA"/>
        </w:rPr>
      </w:pPr>
      <w:r w:rsidRPr="00B3274C">
        <w:rPr>
          <w:lang w:val="fr-CA"/>
        </w:rPr>
        <w:t>119.</w:t>
      </w:r>
      <w:r w:rsidRPr="00B3274C">
        <w:rPr>
          <w:lang w:val="fr-CA"/>
        </w:rPr>
        <w:tab/>
      </w:r>
      <w:r w:rsidR="002569B1" w:rsidRPr="00B3274C">
        <w:rPr>
          <w:lang w:val="fr-CA"/>
        </w:rPr>
        <w:t>Cinq mois de congé de maternité sont accordés aux employés du secteur public</w:t>
      </w:r>
      <w:r w:rsidR="00EC5892" w:rsidRPr="00B3274C">
        <w:rPr>
          <w:lang w:val="fr-CA"/>
        </w:rPr>
        <w:t>:</w:t>
      </w:r>
      <w:r w:rsidR="002569B1" w:rsidRPr="00B3274C">
        <w:rPr>
          <w:lang w:val="fr-CA"/>
        </w:rPr>
        <w:t xml:space="preserve"> la durée </w:t>
      </w:r>
      <w:r w:rsidR="006F70B6" w:rsidRPr="00B3274C">
        <w:rPr>
          <w:lang w:val="fr-CA"/>
        </w:rPr>
        <w:t xml:space="preserve">du congé de maternité payée est de 20 semaines. </w:t>
      </w:r>
    </w:p>
    <w:p w:rsidR="00FB23D3" w:rsidRPr="00B3274C" w:rsidRDefault="00432CF5" w:rsidP="00715384">
      <w:pPr>
        <w:pStyle w:val="H4G"/>
        <w:rPr>
          <w:lang w:val="fr-CA"/>
        </w:rPr>
      </w:pPr>
      <w:r w:rsidRPr="00B3274C">
        <w:rPr>
          <w:lang w:val="fr-CA"/>
        </w:rPr>
        <w:tab/>
      </w:r>
      <w:r w:rsidR="004946BB" w:rsidRPr="00B3274C">
        <w:rPr>
          <w:lang w:val="fr-CA"/>
        </w:rPr>
        <w:t>ii)</w:t>
      </w:r>
      <w:r w:rsidRPr="00B3274C">
        <w:rPr>
          <w:lang w:val="fr-CA"/>
        </w:rPr>
        <w:tab/>
      </w:r>
      <w:r w:rsidR="002569B1" w:rsidRPr="00B3274C">
        <w:rPr>
          <w:lang w:val="fr-CA"/>
        </w:rPr>
        <w:t>Secteur privé</w:t>
      </w:r>
    </w:p>
    <w:p w:rsidR="00FB23D3" w:rsidRPr="00B3274C" w:rsidRDefault="00107A47" w:rsidP="00107A47">
      <w:pPr>
        <w:pStyle w:val="SingleTxtG"/>
        <w:rPr>
          <w:lang w:val="fr-CA"/>
        </w:rPr>
      </w:pPr>
      <w:r w:rsidRPr="00B3274C">
        <w:rPr>
          <w:lang w:val="fr-CA"/>
        </w:rPr>
        <w:t>120.</w:t>
      </w:r>
      <w:r w:rsidRPr="00B3274C">
        <w:rPr>
          <w:lang w:val="fr-CA"/>
        </w:rPr>
        <w:tab/>
      </w:r>
      <w:r w:rsidR="00FD7AF1" w:rsidRPr="00B3274C">
        <w:rPr>
          <w:lang w:val="fr-CA"/>
        </w:rPr>
        <w:t>D</w:t>
      </w:r>
      <w:r w:rsidR="0080611A">
        <w:rPr>
          <w:lang w:val="fr-CA"/>
        </w:rPr>
        <w:t>’</w:t>
      </w:r>
      <w:r w:rsidR="00FD7AF1" w:rsidRPr="00B3274C">
        <w:rPr>
          <w:lang w:val="fr-CA"/>
        </w:rPr>
        <w:t>après l</w:t>
      </w:r>
      <w:r w:rsidR="0080611A">
        <w:rPr>
          <w:lang w:val="fr-CA"/>
        </w:rPr>
        <w:t>’</w:t>
      </w:r>
      <w:r w:rsidR="00597DC4">
        <w:rPr>
          <w:lang w:val="fr-CA"/>
        </w:rPr>
        <w:t>article </w:t>
      </w:r>
      <w:r w:rsidR="00FD7AF1" w:rsidRPr="00B3274C">
        <w:rPr>
          <w:lang w:val="fr-CA"/>
        </w:rPr>
        <w:t>7 de la</w:t>
      </w:r>
      <w:r w:rsidR="00FB23D3" w:rsidRPr="00B3274C">
        <w:rPr>
          <w:lang w:val="fr-CA"/>
        </w:rPr>
        <w:t xml:space="preserve"> </w:t>
      </w:r>
      <w:r w:rsidR="00FD7AF1" w:rsidRPr="00B3274C">
        <w:rPr>
          <w:color w:val="000000"/>
          <w:lang w:val="fr-CA"/>
        </w:rPr>
        <w:t xml:space="preserve">Convention collective générale nationale du travail de </w:t>
      </w:r>
      <w:r w:rsidR="00FB23D3" w:rsidRPr="00B3274C">
        <w:rPr>
          <w:lang w:val="fr-CA"/>
        </w:rPr>
        <w:t>1993</w:t>
      </w:r>
      <w:r w:rsidR="00FD7AF1" w:rsidRPr="00B3274C">
        <w:rPr>
          <w:lang w:val="fr-CA"/>
        </w:rPr>
        <w:t xml:space="preserve"> et l</w:t>
      </w:r>
      <w:r w:rsidR="0080611A">
        <w:rPr>
          <w:lang w:val="fr-CA"/>
        </w:rPr>
        <w:t>’</w:t>
      </w:r>
      <w:r w:rsidR="00597DC4">
        <w:rPr>
          <w:lang w:val="fr-CA"/>
        </w:rPr>
        <w:t>article </w:t>
      </w:r>
      <w:r w:rsidR="00FD7AF1" w:rsidRPr="00B3274C">
        <w:rPr>
          <w:lang w:val="fr-CA"/>
        </w:rPr>
        <w:t>7 de la Convention collective générale nationale du travail</w:t>
      </w:r>
      <w:r w:rsidR="00FB23D3" w:rsidRPr="00B3274C">
        <w:rPr>
          <w:lang w:val="fr-CA"/>
        </w:rPr>
        <w:t xml:space="preserve"> </w:t>
      </w:r>
      <w:r w:rsidR="00FD7AF1" w:rsidRPr="00B3274C">
        <w:rPr>
          <w:lang w:val="fr-CA"/>
        </w:rPr>
        <w:t xml:space="preserve">de </w:t>
      </w:r>
      <w:r w:rsidR="00FB23D3" w:rsidRPr="00B3274C">
        <w:rPr>
          <w:lang w:val="fr-CA"/>
        </w:rPr>
        <w:t>2000-2001</w:t>
      </w:r>
      <w:r w:rsidR="0080611A">
        <w:rPr>
          <w:lang w:val="fr-CA"/>
        </w:rPr>
        <w:t>,</w:t>
      </w:r>
      <w:r w:rsidR="00FD7AF1" w:rsidRPr="00B3274C">
        <w:rPr>
          <w:lang w:val="fr-CA"/>
        </w:rPr>
        <w:t xml:space="preserve"> ratifié par l</w:t>
      </w:r>
      <w:r w:rsidR="0080611A">
        <w:rPr>
          <w:lang w:val="fr-CA"/>
        </w:rPr>
        <w:t>’</w:t>
      </w:r>
      <w:r w:rsidR="00597DC4">
        <w:rPr>
          <w:lang w:val="fr-CA"/>
        </w:rPr>
        <w:t>article </w:t>
      </w:r>
      <w:r w:rsidR="00FD7AF1" w:rsidRPr="00B3274C">
        <w:rPr>
          <w:lang w:val="fr-CA"/>
        </w:rPr>
        <w:t xml:space="preserve">11 de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2874/2000</w:t>
      </w:r>
      <w:r w:rsidR="0080611A">
        <w:rPr>
          <w:lang w:val="fr-CA"/>
        </w:rPr>
        <w:t>,</w:t>
      </w:r>
      <w:r w:rsidR="00FB23D3" w:rsidRPr="00B3274C">
        <w:rPr>
          <w:lang w:val="fr-CA"/>
        </w:rPr>
        <w:t xml:space="preserve"> </w:t>
      </w:r>
      <w:r w:rsidR="00FD7AF1" w:rsidRPr="00B3274C">
        <w:rPr>
          <w:lang w:val="fr-CA"/>
        </w:rPr>
        <w:t>la durée du congé de maternité est de 17</w:t>
      </w:r>
      <w:r w:rsidR="004B33BF">
        <w:rPr>
          <w:lang w:val="fr-CA"/>
        </w:rPr>
        <w:t> </w:t>
      </w:r>
      <w:r w:rsidR="00FD7AF1" w:rsidRPr="00B3274C">
        <w:rPr>
          <w:lang w:val="fr-CA"/>
        </w:rPr>
        <w:t>semaines pour les travailleurs engagés</w:t>
      </w:r>
      <w:r w:rsidR="0080611A">
        <w:rPr>
          <w:lang w:val="fr-CA"/>
        </w:rPr>
        <w:t>,</w:t>
      </w:r>
      <w:r w:rsidR="00DE6744" w:rsidRPr="00B3274C">
        <w:rPr>
          <w:lang w:val="fr-CA"/>
        </w:rPr>
        <w:t xml:space="preserve"> quel que soit son employeur</w:t>
      </w:r>
      <w:r w:rsidR="0080611A">
        <w:rPr>
          <w:lang w:val="fr-CA"/>
        </w:rPr>
        <w:t>,</w:t>
      </w:r>
      <w:r w:rsidR="00FD7AF1" w:rsidRPr="00B3274C">
        <w:rPr>
          <w:lang w:val="fr-CA"/>
        </w:rPr>
        <w:t xml:space="preserve"> dans une relation de travail de droit privé.</w:t>
      </w:r>
      <w:r w:rsidR="00DE6744" w:rsidRPr="00B3274C">
        <w:rPr>
          <w:lang w:val="fr-CA"/>
        </w:rPr>
        <w:t xml:space="preserve"> Le respect de la durée du congé de maternité est obligatoire. En cas de naissance prématurée</w:t>
      </w:r>
      <w:r w:rsidR="0080611A">
        <w:rPr>
          <w:lang w:val="fr-CA"/>
        </w:rPr>
        <w:t>,</w:t>
      </w:r>
      <w:r w:rsidR="00DE6744" w:rsidRPr="00B3274C">
        <w:rPr>
          <w:lang w:val="fr-CA"/>
        </w:rPr>
        <w:t xml:space="preserve"> le</w:t>
      </w:r>
      <w:r w:rsidR="00EC1542" w:rsidRPr="00B3274C">
        <w:rPr>
          <w:lang w:val="fr-CA"/>
        </w:rPr>
        <w:t xml:space="preserve"> reliquat </w:t>
      </w:r>
      <w:r w:rsidR="00DE6744" w:rsidRPr="00B3274C">
        <w:rPr>
          <w:lang w:val="fr-CA"/>
        </w:rPr>
        <w:t>du congé sera pris après l</w:t>
      </w:r>
      <w:r w:rsidR="0080611A">
        <w:rPr>
          <w:lang w:val="fr-CA"/>
        </w:rPr>
        <w:t>’</w:t>
      </w:r>
      <w:r w:rsidR="00DE6744" w:rsidRPr="00B3274C">
        <w:rPr>
          <w:lang w:val="fr-CA"/>
        </w:rPr>
        <w:t>accouchement</w:t>
      </w:r>
      <w:r w:rsidR="0080611A">
        <w:rPr>
          <w:lang w:val="fr-CA"/>
        </w:rPr>
        <w:t>,</w:t>
      </w:r>
      <w:r w:rsidR="00DE6744" w:rsidRPr="00B3274C">
        <w:rPr>
          <w:lang w:val="fr-CA"/>
        </w:rPr>
        <w:t xml:space="preserve"> en sorte que le congé total soit de 17</w:t>
      </w:r>
      <w:r w:rsidR="004B33BF">
        <w:rPr>
          <w:lang w:val="fr-CA"/>
        </w:rPr>
        <w:t> </w:t>
      </w:r>
      <w:r w:rsidR="00DE6744" w:rsidRPr="00B3274C">
        <w:rPr>
          <w:lang w:val="fr-CA"/>
        </w:rPr>
        <w:t>semaines. D</w:t>
      </w:r>
      <w:r w:rsidR="0080611A">
        <w:rPr>
          <w:lang w:val="fr-CA"/>
        </w:rPr>
        <w:t>’</w:t>
      </w:r>
      <w:r w:rsidR="00DE6744" w:rsidRPr="00B3274C">
        <w:rPr>
          <w:lang w:val="fr-CA"/>
        </w:rPr>
        <w:t xml:space="preserve">autres dispositions législatives ou réglementaires accordent des conditions plus favorables aux travailleurs de sexe féminin. </w:t>
      </w:r>
    </w:p>
    <w:p w:rsidR="00FB23D3" w:rsidRPr="00B3274C" w:rsidRDefault="00432CF5" w:rsidP="00715384">
      <w:pPr>
        <w:pStyle w:val="H4G"/>
        <w:rPr>
          <w:color w:val="333333"/>
          <w:lang w:val="fr-CA"/>
        </w:rPr>
      </w:pPr>
      <w:r w:rsidRPr="00B3274C">
        <w:rPr>
          <w:lang w:val="fr-CA"/>
        </w:rPr>
        <w:tab/>
      </w:r>
      <w:r w:rsidR="002E17FC" w:rsidRPr="00B3274C">
        <w:rPr>
          <w:lang w:val="fr-CA"/>
        </w:rPr>
        <w:t>iii)</w:t>
      </w:r>
      <w:r w:rsidRPr="00B3274C">
        <w:rPr>
          <w:lang w:val="fr-CA"/>
        </w:rPr>
        <w:tab/>
      </w:r>
      <w:r w:rsidR="00025EAF" w:rsidRPr="00B3274C">
        <w:rPr>
          <w:lang w:val="fr-CA"/>
        </w:rPr>
        <w:t>Congé de maternité spécial</w:t>
      </w:r>
    </w:p>
    <w:p w:rsidR="00FB23D3" w:rsidRPr="00B3274C" w:rsidRDefault="00107A47" w:rsidP="00107A47">
      <w:pPr>
        <w:pStyle w:val="SingleTxtG"/>
        <w:rPr>
          <w:lang w:val="fr-CA"/>
        </w:rPr>
      </w:pPr>
      <w:r w:rsidRPr="00B3274C">
        <w:rPr>
          <w:lang w:val="fr-CA"/>
        </w:rPr>
        <w:t>121.</w:t>
      </w:r>
      <w:r w:rsidRPr="00B3274C">
        <w:rPr>
          <w:lang w:val="fr-CA"/>
        </w:rPr>
        <w:tab/>
      </w:r>
      <w:r w:rsidR="00025EAF" w:rsidRPr="00B3274C">
        <w:rPr>
          <w:lang w:val="fr-CA"/>
        </w:rPr>
        <w:t xml:space="preserve">En vertu de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3655/2008</w:t>
      </w:r>
      <w:r w:rsidR="0080611A">
        <w:rPr>
          <w:lang w:val="fr-CA"/>
        </w:rPr>
        <w:t>,</w:t>
      </w:r>
      <w:r w:rsidR="00025EAF" w:rsidRPr="00B3274C">
        <w:rPr>
          <w:lang w:val="fr-CA"/>
        </w:rPr>
        <w:t xml:space="preserve"> intitulée </w:t>
      </w:r>
      <w:r w:rsidR="0055418C" w:rsidRPr="00B3274C">
        <w:rPr>
          <w:lang w:val="fr-CA"/>
        </w:rPr>
        <w:t>«</w:t>
      </w:r>
      <w:r w:rsidR="00025EAF" w:rsidRPr="00B3274C">
        <w:rPr>
          <w:lang w:val="fr-CA"/>
        </w:rPr>
        <w:t>Réforme administrative et organisationnelle du système de sécurité sociale</w:t>
      </w:r>
      <w:r w:rsidR="0055418C" w:rsidRPr="00B3274C">
        <w:rPr>
          <w:lang w:val="fr-CA"/>
        </w:rPr>
        <w:t>»</w:t>
      </w:r>
      <w:r w:rsidR="00FB23D3" w:rsidRPr="00B3274C">
        <w:rPr>
          <w:lang w:val="fr-CA"/>
        </w:rPr>
        <w:t xml:space="preserve"> </w:t>
      </w:r>
      <w:r w:rsidR="008C4A42" w:rsidRPr="00B3274C">
        <w:rPr>
          <w:lang w:val="fr-CA"/>
        </w:rPr>
        <w:t>(art. </w:t>
      </w:r>
      <w:r w:rsidR="00FB23D3" w:rsidRPr="00B3274C">
        <w:rPr>
          <w:lang w:val="fr-CA"/>
        </w:rPr>
        <w:t>142)</w:t>
      </w:r>
      <w:r w:rsidR="0080611A">
        <w:rPr>
          <w:lang w:val="fr-CA"/>
        </w:rPr>
        <w:t>,</w:t>
      </w:r>
      <w:r w:rsidR="00025EAF" w:rsidRPr="00B3274C">
        <w:rPr>
          <w:lang w:val="fr-CA"/>
        </w:rPr>
        <w:t xml:space="preserve"> une période de congé supplémentaire a été accordée aux mères employées dans le secteur privé. D</w:t>
      </w:r>
      <w:r w:rsidR="0080611A">
        <w:rPr>
          <w:lang w:val="fr-CA"/>
        </w:rPr>
        <w:t>’</w:t>
      </w:r>
      <w:r w:rsidR="00025EAF" w:rsidRPr="00B3274C">
        <w:rPr>
          <w:lang w:val="fr-CA"/>
        </w:rPr>
        <w:t>une durée pouvant aller jusqu</w:t>
      </w:r>
      <w:r w:rsidR="0080611A">
        <w:rPr>
          <w:lang w:val="fr-CA"/>
        </w:rPr>
        <w:t>’</w:t>
      </w:r>
      <w:r w:rsidR="00117C6A">
        <w:rPr>
          <w:lang w:val="fr-CA"/>
        </w:rPr>
        <w:t xml:space="preserve">à </w:t>
      </w:r>
      <w:r w:rsidR="00925BC7">
        <w:rPr>
          <w:lang w:val="fr-CA"/>
        </w:rPr>
        <w:t>6</w:t>
      </w:r>
      <w:r w:rsidR="00117C6A">
        <w:rPr>
          <w:lang w:val="fr-CA"/>
        </w:rPr>
        <w:t> </w:t>
      </w:r>
      <w:r w:rsidR="00025EAF" w:rsidRPr="00B3274C">
        <w:rPr>
          <w:lang w:val="fr-CA"/>
        </w:rPr>
        <w:t>mois</w:t>
      </w:r>
      <w:r w:rsidR="0080611A">
        <w:rPr>
          <w:lang w:val="fr-CA"/>
        </w:rPr>
        <w:t>,</w:t>
      </w:r>
      <w:r w:rsidR="00025EAF" w:rsidRPr="00B3274C">
        <w:rPr>
          <w:lang w:val="fr-CA"/>
        </w:rPr>
        <w:t xml:space="preserve"> ce congé de maternité spécial est accordé aux mères assurées auprès de la Fondation de la sécurité sociale </w:t>
      </w:r>
      <w:r w:rsidR="00FB23D3" w:rsidRPr="00B3274C">
        <w:rPr>
          <w:lang w:val="fr-CA"/>
        </w:rPr>
        <w:t xml:space="preserve">(IKA) </w:t>
      </w:r>
      <w:r w:rsidR="00980B2A" w:rsidRPr="00B3274C">
        <w:rPr>
          <w:lang w:val="fr-CA"/>
        </w:rPr>
        <w:t xml:space="preserve">et employées à plein temps ou à temps partiel dans une entreprise avec un contrat à durée déterminée ou indéterminée. Conformément à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3996/2011</w:t>
      </w:r>
      <w:r w:rsidR="008C4A42" w:rsidRPr="00B3274C">
        <w:rPr>
          <w:lang w:val="fr-CA"/>
        </w:rPr>
        <w:t>(art. </w:t>
      </w:r>
      <w:r w:rsidR="00FB23D3" w:rsidRPr="00B3274C">
        <w:rPr>
          <w:lang w:val="fr-CA"/>
        </w:rPr>
        <w:t>36)</w:t>
      </w:r>
      <w:r w:rsidR="0080611A">
        <w:rPr>
          <w:lang w:val="fr-CA"/>
        </w:rPr>
        <w:t>,</w:t>
      </w:r>
      <w:r w:rsidR="00980B2A" w:rsidRPr="00B3274C">
        <w:rPr>
          <w:lang w:val="fr-CA"/>
        </w:rPr>
        <w:t xml:space="preserve"> les femmes qui bénéficient du congé de maternité spécial sont également assurées pour les soins médicaux. </w:t>
      </w:r>
    </w:p>
    <w:p w:rsidR="00FB23D3" w:rsidRPr="00B3274C" w:rsidRDefault="00107A47" w:rsidP="00107A47">
      <w:pPr>
        <w:pStyle w:val="SingleTxtG"/>
        <w:rPr>
          <w:lang w:val="fr-CA"/>
        </w:rPr>
      </w:pPr>
      <w:r w:rsidRPr="00B3274C">
        <w:rPr>
          <w:lang w:val="fr-CA"/>
        </w:rPr>
        <w:t>122.</w:t>
      </w:r>
      <w:r w:rsidRPr="00B3274C">
        <w:rPr>
          <w:lang w:val="fr-CA"/>
        </w:rPr>
        <w:tab/>
      </w:r>
      <w:r w:rsidR="00FB23D3" w:rsidRPr="00B3274C">
        <w:rPr>
          <w:lang w:val="fr-CA"/>
        </w:rPr>
        <w:t>L</w:t>
      </w:r>
      <w:r w:rsidR="00EC1542" w:rsidRPr="00B3274C">
        <w:rPr>
          <w:lang w:val="fr-CA"/>
        </w:rPr>
        <w:t xml:space="preserve">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 xml:space="preserve">3896/2010 </w:t>
      </w:r>
      <w:r w:rsidR="00EC1542" w:rsidRPr="00B3274C">
        <w:rPr>
          <w:lang w:val="fr-CA"/>
        </w:rPr>
        <w:t xml:space="preserve">sur </w:t>
      </w:r>
      <w:r w:rsidR="0055418C" w:rsidRPr="00B3274C">
        <w:rPr>
          <w:lang w:val="fr-CA"/>
        </w:rPr>
        <w:t>«</w:t>
      </w:r>
      <w:r w:rsidR="00EC1542" w:rsidRPr="00B3274C">
        <w:rPr>
          <w:lang w:val="fr-CA"/>
        </w:rPr>
        <w:t>L</w:t>
      </w:r>
      <w:r w:rsidR="0080611A">
        <w:rPr>
          <w:lang w:val="fr-CA"/>
        </w:rPr>
        <w:t>’</w:t>
      </w:r>
      <w:r w:rsidR="00EC1542" w:rsidRPr="00B3274C">
        <w:rPr>
          <w:lang w:val="fr-CA"/>
        </w:rPr>
        <w:t>application du principe de l</w:t>
      </w:r>
      <w:r w:rsidR="0080611A">
        <w:rPr>
          <w:lang w:val="fr-CA"/>
        </w:rPr>
        <w:t>’</w:t>
      </w:r>
      <w:r w:rsidR="00EC1542" w:rsidRPr="00B3274C">
        <w:rPr>
          <w:lang w:val="fr-CA"/>
        </w:rPr>
        <w:t>égalité des chances et de l</w:t>
      </w:r>
      <w:r w:rsidR="0080611A">
        <w:rPr>
          <w:lang w:val="fr-CA"/>
        </w:rPr>
        <w:t>’</w:t>
      </w:r>
      <w:r w:rsidR="00EC1542" w:rsidRPr="00B3274C">
        <w:rPr>
          <w:lang w:val="fr-CA"/>
        </w:rPr>
        <w:t>égalité de traitement entre hommes et femmes en matière d</w:t>
      </w:r>
      <w:r w:rsidR="0080611A">
        <w:rPr>
          <w:lang w:val="fr-CA"/>
        </w:rPr>
        <w:t>’</w:t>
      </w:r>
      <w:r w:rsidR="00EC1542" w:rsidRPr="00B3274C">
        <w:rPr>
          <w:lang w:val="fr-CA"/>
        </w:rPr>
        <w:t>emploi et de travail</w:t>
      </w:r>
      <w:r w:rsidR="0055418C" w:rsidRPr="00B3274C">
        <w:rPr>
          <w:lang w:val="fr-CA"/>
        </w:rPr>
        <w:t>»</w:t>
      </w:r>
      <w:r w:rsidR="00FB23D3" w:rsidRPr="00B3274C">
        <w:rPr>
          <w:lang w:val="fr-CA"/>
        </w:rPr>
        <w:t xml:space="preserve"> </w:t>
      </w:r>
      <w:r w:rsidR="008C4A42" w:rsidRPr="00B3274C">
        <w:rPr>
          <w:lang w:val="fr-CA"/>
        </w:rPr>
        <w:t>(art. </w:t>
      </w:r>
      <w:r w:rsidR="00FB23D3" w:rsidRPr="00B3274C">
        <w:rPr>
          <w:lang w:val="fr-CA"/>
        </w:rPr>
        <w:t xml:space="preserve">16) </w:t>
      </w:r>
      <w:r w:rsidR="00EC1542" w:rsidRPr="00B3274C">
        <w:rPr>
          <w:lang w:val="fr-CA"/>
        </w:rPr>
        <w:t>stipule que</w:t>
      </w:r>
      <w:r w:rsidR="00D02362" w:rsidRPr="00B3274C">
        <w:rPr>
          <w:lang w:val="fr-CA"/>
        </w:rPr>
        <w:t xml:space="preserve"> la travailleuse </w:t>
      </w:r>
      <w:r w:rsidR="00EC1542" w:rsidRPr="00B3274C">
        <w:rPr>
          <w:lang w:val="fr-CA"/>
        </w:rPr>
        <w:t>en congé de maternité pourra</w:t>
      </w:r>
      <w:r w:rsidR="0080611A">
        <w:rPr>
          <w:lang w:val="fr-CA"/>
        </w:rPr>
        <w:t>,</w:t>
      </w:r>
      <w:r w:rsidR="00EC1542" w:rsidRPr="00B3274C">
        <w:rPr>
          <w:lang w:val="fr-CA"/>
        </w:rPr>
        <w:t xml:space="preserve"> à la fin d</w:t>
      </w:r>
      <w:r w:rsidR="00D02362" w:rsidRPr="00B3274C">
        <w:rPr>
          <w:lang w:val="fr-CA"/>
        </w:rPr>
        <w:t>e son</w:t>
      </w:r>
      <w:r w:rsidR="00EC1542" w:rsidRPr="00B3274C">
        <w:rPr>
          <w:lang w:val="fr-CA"/>
        </w:rPr>
        <w:t xml:space="preserve"> congé</w:t>
      </w:r>
      <w:r w:rsidR="0080611A">
        <w:rPr>
          <w:lang w:val="fr-CA"/>
        </w:rPr>
        <w:t>,</w:t>
      </w:r>
      <w:r w:rsidR="00EC1542" w:rsidRPr="00B3274C">
        <w:rPr>
          <w:lang w:val="fr-CA"/>
        </w:rPr>
        <w:t xml:space="preserve"> retrouver son emploi ou un emploi équivalent</w:t>
      </w:r>
      <w:r w:rsidR="00D02362" w:rsidRPr="00B3274C">
        <w:rPr>
          <w:lang w:val="fr-CA"/>
        </w:rPr>
        <w:t xml:space="preserve"> aux </w:t>
      </w:r>
      <w:r w:rsidR="00EC1542" w:rsidRPr="00B3274C">
        <w:rPr>
          <w:lang w:val="fr-CA"/>
        </w:rPr>
        <w:t>mêmes conditions</w:t>
      </w:r>
      <w:r w:rsidR="00D02362" w:rsidRPr="00B3274C">
        <w:rPr>
          <w:lang w:val="fr-CA"/>
        </w:rPr>
        <w:t xml:space="preserve"> qu</w:t>
      </w:r>
      <w:r w:rsidR="0080611A">
        <w:rPr>
          <w:lang w:val="fr-CA"/>
        </w:rPr>
        <w:t>’</w:t>
      </w:r>
      <w:r w:rsidR="00D02362" w:rsidRPr="00B3274C">
        <w:rPr>
          <w:lang w:val="fr-CA"/>
        </w:rPr>
        <w:t xml:space="preserve">auparavant </w:t>
      </w:r>
      <w:r w:rsidR="00EC1542" w:rsidRPr="00B3274C">
        <w:rPr>
          <w:lang w:val="fr-CA"/>
        </w:rPr>
        <w:t xml:space="preserve">et bénéficier de toute amélioration des conditions de travail </w:t>
      </w:r>
      <w:r w:rsidR="00D02362" w:rsidRPr="00B3274C">
        <w:rPr>
          <w:lang w:val="fr-CA"/>
        </w:rPr>
        <w:t>survenue</w:t>
      </w:r>
      <w:r w:rsidR="00EC1542" w:rsidRPr="00B3274C">
        <w:rPr>
          <w:lang w:val="fr-CA"/>
        </w:rPr>
        <w:t xml:space="preserve"> pendant son absence</w:t>
      </w:r>
      <w:r w:rsidR="00D02362" w:rsidRPr="00B3274C">
        <w:rPr>
          <w:lang w:val="fr-CA"/>
        </w:rPr>
        <w:t xml:space="preserve"> à laquelle elle aurait eu droit</w:t>
      </w:r>
      <w:r w:rsidR="00EC1542" w:rsidRPr="00B3274C">
        <w:rPr>
          <w:lang w:val="fr-CA"/>
        </w:rPr>
        <w:t xml:space="preserve">. </w:t>
      </w:r>
      <w:r w:rsidR="00D02362" w:rsidRPr="00B3274C">
        <w:rPr>
          <w:lang w:val="fr-CA"/>
        </w:rPr>
        <w:t>Tout traitement moins favorable accordé à une femme pour cause de grossesse ou de maternité</w:t>
      </w:r>
      <w:r w:rsidR="0080611A">
        <w:rPr>
          <w:lang w:val="fr-CA"/>
        </w:rPr>
        <w:t>,</w:t>
      </w:r>
      <w:r w:rsidR="00D02362" w:rsidRPr="00B3274C">
        <w:rPr>
          <w:lang w:val="fr-CA"/>
        </w:rPr>
        <w:t xml:space="preserve"> ou aux parents en raison d</w:t>
      </w:r>
      <w:r w:rsidR="0080611A">
        <w:rPr>
          <w:lang w:val="fr-CA"/>
        </w:rPr>
        <w:t>’</w:t>
      </w:r>
      <w:r w:rsidR="00D02362" w:rsidRPr="00B3274C">
        <w:rPr>
          <w:lang w:val="fr-CA"/>
        </w:rPr>
        <w:t>un congé parental</w:t>
      </w:r>
      <w:r w:rsidR="0080611A">
        <w:rPr>
          <w:lang w:val="fr-CA"/>
        </w:rPr>
        <w:t>,</w:t>
      </w:r>
      <w:r w:rsidR="00D02362" w:rsidRPr="00B3274C">
        <w:rPr>
          <w:lang w:val="fr-CA"/>
        </w:rPr>
        <w:t xml:space="preserve"> constitue une discrimination </w:t>
      </w:r>
      <w:r w:rsidR="008C4A42" w:rsidRPr="00B3274C">
        <w:rPr>
          <w:lang w:val="fr-CA"/>
        </w:rPr>
        <w:t>(art. </w:t>
      </w:r>
      <w:r w:rsidR="00FB23D3" w:rsidRPr="00B3274C">
        <w:rPr>
          <w:lang w:val="fr-CA"/>
        </w:rPr>
        <w:t>18).</w:t>
      </w:r>
    </w:p>
    <w:p w:rsidR="00FB23D3" w:rsidRPr="00B3274C" w:rsidRDefault="00107A47" w:rsidP="00107A47">
      <w:pPr>
        <w:pStyle w:val="SingleTxtG"/>
        <w:rPr>
          <w:szCs w:val="25"/>
          <w:lang w:val="fr-CA"/>
        </w:rPr>
      </w:pPr>
      <w:r w:rsidRPr="00B3274C">
        <w:rPr>
          <w:lang w:val="fr-CA"/>
        </w:rPr>
        <w:t>123.</w:t>
      </w:r>
      <w:r w:rsidRPr="00B3274C">
        <w:rPr>
          <w:lang w:val="fr-CA"/>
        </w:rPr>
        <w:tab/>
      </w:r>
      <w:r w:rsidR="00B358F5" w:rsidRPr="00B3274C">
        <w:rPr>
          <w:lang w:val="fr-CA"/>
        </w:rPr>
        <w:t>D</w:t>
      </w:r>
      <w:r w:rsidR="0080611A">
        <w:rPr>
          <w:lang w:val="fr-CA"/>
        </w:rPr>
        <w:t>’</w:t>
      </w:r>
      <w:r w:rsidR="00B358F5" w:rsidRPr="00B3274C">
        <w:rPr>
          <w:lang w:val="fr-CA"/>
        </w:rPr>
        <w:t>autre part</w:t>
      </w:r>
      <w:r w:rsidR="0080611A">
        <w:rPr>
          <w:lang w:val="fr-CA"/>
        </w:rPr>
        <w:t>,</w:t>
      </w:r>
      <w:r w:rsidR="00B358F5" w:rsidRPr="00B3274C">
        <w:rPr>
          <w:lang w:val="fr-CA"/>
        </w:rPr>
        <w:t xml:space="preserve"> les </w:t>
      </w:r>
      <w:r w:rsidR="00143356">
        <w:rPr>
          <w:lang w:val="fr-CA"/>
        </w:rPr>
        <w:t>articles </w:t>
      </w:r>
      <w:r w:rsidR="00B358F5" w:rsidRPr="00B3274C">
        <w:rPr>
          <w:lang w:val="fr-CA"/>
        </w:rPr>
        <w:t xml:space="preserve">48 à 54 du chapitre F de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szCs w:val="25"/>
          <w:lang w:val="fr-CA"/>
        </w:rPr>
        <w:t>4075/2012 (A</w:t>
      </w:r>
      <w:r w:rsidR="0080611A">
        <w:rPr>
          <w:szCs w:val="25"/>
          <w:lang w:val="fr-CA"/>
        </w:rPr>
        <w:t>’</w:t>
      </w:r>
      <w:r w:rsidR="00FB23D3" w:rsidRPr="00B3274C">
        <w:rPr>
          <w:szCs w:val="25"/>
          <w:lang w:val="fr-CA"/>
        </w:rPr>
        <w:t xml:space="preserve">89) </w:t>
      </w:r>
      <w:r w:rsidR="00B358F5" w:rsidRPr="00B3274C">
        <w:rPr>
          <w:szCs w:val="25"/>
          <w:lang w:val="fr-CA"/>
        </w:rPr>
        <w:t xml:space="preserve">ont adapté la législation nationale aux dispositions de la Directive </w:t>
      </w:r>
      <w:r w:rsidR="00FB23D3" w:rsidRPr="00B3274C">
        <w:rPr>
          <w:szCs w:val="25"/>
          <w:lang w:val="fr-CA"/>
        </w:rPr>
        <w:t>2010/18/</w:t>
      </w:r>
      <w:r w:rsidR="00B358F5" w:rsidRPr="00B3274C">
        <w:rPr>
          <w:szCs w:val="25"/>
          <w:lang w:val="fr-CA"/>
        </w:rPr>
        <w:t>UE du Conseil</w:t>
      </w:r>
      <w:r w:rsidR="0080611A">
        <w:rPr>
          <w:szCs w:val="25"/>
          <w:lang w:val="fr-CA"/>
        </w:rPr>
        <w:t>,</w:t>
      </w:r>
      <w:r w:rsidR="00B358F5" w:rsidRPr="00B3274C">
        <w:rPr>
          <w:szCs w:val="25"/>
          <w:lang w:val="fr-CA"/>
        </w:rPr>
        <w:t xml:space="preserve"> en date du 8 mars 2012. Conformément à la loi susmentionnée</w:t>
      </w:r>
      <w:r w:rsidR="0080611A">
        <w:rPr>
          <w:szCs w:val="25"/>
          <w:lang w:val="fr-CA"/>
        </w:rPr>
        <w:t>,</w:t>
      </w:r>
      <w:r w:rsidR="00B358F5" w:rsidRPr="00B3274C">
        <w:rPr>
          <w:szCs w:val="25"/>
          <w:lang w:val="fr-CA"/>
        </w:rPr>
        <w:t xml:space="preserve"> les parents des deux sexes qui travaillent</w:t>
      </w:r>
      <w:r w:rsidR="0080611A">
        <w:rPr>
          <w:szCs w:val="25"/>
          <w:lang w:val="fr-CA"/>
        </w:rPr>
        <w:t>,</w:t>
      </w:r>
      <w:r w:rsidR="00B358F5" w:rsidRPr="00B3274C">
        <w:rPr>
          <w:szCs w:val="25"/>
          <w:lang w:val="fr-CA"/>
        </w:rPr>
        <w:t xml:space="preserve"> ont droit</w:t>
      </w:r>
      <w:r w:rsidR="0080611A">
        <w:rPr>
          <w:szCs w:val="25"/>
          <w:lang w:val="fr-CA"/>
        </w:rPr>
        <w:t>,</w:t>
      </w:r>
      <w:r w:rsidR="00B358F5" w:rsidRPr="00B3274C">
        <w:rPr>
          <w:szCs w:val="25"/>
          <w:lang w:val="fr-CA"/>
        </w:rPr>
        <w:t xml:space="preserve"> sous réserve d</w:t>
      </w:r>
      <w:r w:rsidR="0080611A">
        <w:rPr>
          <w:szCs w:val="25"/>
          <w:lang w:val="fr-CA"/>
        </w:rPr>
        <w:t>’</w:t>
      </w:r>
      <w:r w:rsidR="00B358F5" w:rsidRPr="00B3274C">
        <w:rPr>
          <w:szCs w:val="25"/>
          <w:lang w:val="fr-CA"/>
        </w:rPr>
        <w:t>avoir déjà travaillé un an pour le même employeur</w:t>
      </w:r>
      <w:r w:rsidR="0080611A">
        <w:rPr>
          <w:szCs w:val="25"/>
          <w:lang w:val="fr-CA"/>
        </w:rPr>
        <w:t>,</w:t>
      </w:r>
      <w:r w:rsidR="00B358F5" w:rsidRPr="00B3274C">
        <w:rPr>
          <w:szCs w:val="25"/>
          <w:lang w:val="fr-CA"/>
        </w:rPr>
        <w:t xml:space="preserve"> à un congé non rémunéré de quatre mois minimum jusqu</w:t>
      </w:r>
      <w:r w:rsidR="0080611A">
        <w:rPr>
          <w:szCs w:val="25"/>
          <w:lang w:val="fr-CA"/>
        </w:rPr>
        <w:t>’</w:t>
      </w:r>
      <w:r w:rsidR="00B358F5" w:rsidRPr="00B3274C">
        <w:rPr>
          <w:szCs w:val="25"/>
          <w:lang w:val="fr-CA"/>
        </w:rPr>
        <w:t>à ce que leur enfant atteigne l</w:t>
      </w:r>
      <w:r w:rsidR="0080611A">
        <w:rPr>
          <w:szCs w:val="25"/>
          <w:lang w:val="fr-CA"/>
        </w:rPr>
        <w:t>’</w:t>
      </w:r>
      <w:r w:rsidR="00B358F5" w:rsidRPr="00B3274C">
        <w:rPr>
          <w:szCs w:val="25"/>
          <w:lang w:val="fr-CA"/>
        </w:rPr>
        <w:t>âge de six</w:t>
      </w:r>
      <w:r w:rsidR="004C055A">
        <w:rPr>
          <w:szCs w:val="25"/>
          <w:lang w:val="fr-CA"/>
        </w:rPr>
        <w:t> ans</w:t>
      </w:r>
      <w:r w:rsidR="00B358F5" w:rsidRPr="00B3274C">
        <w:rPr>
          <w:szCs w:val="25"/>
          <w:lang w:val="fr-CA"/>
        </w:rPr>
        <w:t xml:space="preserve">. Les travailleurs ayant adopté un enfant </w:t>
      </w:r>
      <w:r w:rsidR="009C04DA" w:rsidRPr="00B3274C">
        <w:rPr>
          <w:szCs w:val="25"/>
          <w:lang w:val="fr-CA"/>
        </w:rPr>
        <w:t>jouissent</w:t>
      </w:r>
      <w:r w:rsidR="00B358F5" w:rsidRPr="00B3274C">
        <w:rPr>
          <w:szCs w:val="25"/>
          <w:lang w:val="fr-CA"/>
        </w:rPr>
        <w:t xml:space="preserve"> également</w:t>
      </w:r>
      <w:r w:rsidR="009C04DA" w:rsidRPr="00B3274C">
        <w:rPr>
          <w:szCs w:val="25"/>
          <w:lang w:val="fr-CA"/>
        </w:rPr>
        <w:t xml:space="preserve"> de ce droit</w:t>
      </w:r>
      <w:r w:rsidR="00B358F5" w:rsidRPr="00B3274C">
        <w:rPr>
          <w:szCs w:val="25"/>
          <w:lang w:val="fr-CA"/>
        </w:rPr>
        <w:t xml:space="preserve">. </w:t>
      </w:r>
    </w:p>
    <w:p w:rsidR="00FB23D3" w:rsidRPr="00B3274C" w:rsidRDefault="00432CF5" w:rsidP="002E17FC">
      <w:pPr>
        <w:pStyle w:val="H23G"/>
        <w:rPr>
          <w:lang w:val="fr-CA"/>
        </w:rPr>
      </w:pPr>
      <w:r w:rsidRPr="00B3274C">
        <w:rPr>
          <w:lang w:val="fr-CA"/>
        </w:rPr>
        <w:tab/>
      </w:r>
      <w:r w:rsidR="002E17FC" w:rsidRPr="00B3274C">
        <w:rPr>
          <w:lang w:val="fr-CA"/>
        </w:rPr>
        <w:t>b)</w:t>
      </w:r>
      <w:r w:rsidRPr="00B3274C">
        <w:rPr>
          <w:lang w:val="fr-CA"/>
        </w:rPr>
        <w:tab/>
      </w:r>
      <w:r w:rsidR="00607719" w:rsidRPr="00B3274C">
        <w:rPr>
          <w:lang w:val="fr-CA"/>
        </w:rPr>
        <w:t>P</w:t>
      </w:r>
      <w:r w:rsidR="00FB23D3" w:rsidRPr="00B3274C">
        <w:rPr>
          <w:lang w:val="fr-CA"/>
        </w:rPr>
        <w:t xml:space="preserve">rotection </w:t>
      </w:r>
      <w:r w:rsidR="002569B1" w:rsidRPr="00B3274C">
        <w:rPr>
          <w:lang w:val="fr-CA"/>
        </w:rPr>
        <w:t>contre les licenciements</w:t>
      </w:r>
    </w:p>
    <w:p w:rsidR="00FB23D3" w:rsidRPr="00B3274C" w:rsidRDefault="00107A47" w:rsidP="00107A47">
      <w:pPr>
        <w:pStyle w:val="SingleTxtG"/>
        <w:rPr>
          <w:lang w:val="fr-CA"/>
        </w:rPr>
      </w:pPr>
      <w:r w:rsidRPr="00B3274C">
        <w:rPr>
          <w:lang w:val="fr-CA"/>
        </w:rPr>
        <w:t>124.</w:t>
      </w:r>
      <w:r w:rsidRPr="00B3274C">
        <w:rPr>
          <w:lang w:val="fr-CA"/>
        </w:rPr>
        <w:tab/>
      </w:r>
      <w:r w:rsidR="003B549F" w:rsidRPr="00B3274C">
        <w:rPr>
          <w:szCs w:val="25"/>
          <w:lang w:val="fr-CA"/>
        </w:rPr>
        <w:t>L</w:t>
      </w:r>
      <w:r w:rsidR="0080611A">
        <w:rPr>
          <w:szCs w:val="25"/>
          <w:lang w:val="fr-CA"/>
        </w:rPr>
        <w:t>’</w:t>
      </w:r>
      <w:r w:rsidR="00597DC4">
        <w:rPr>
          <w:szCs w:val="25"/>
          <w:lang w:val="fr-CA"/>
        </w:rPr>
        <w:t>article </w:t>
      </w:r>
      <w:r w:rsidR="00FB23D3" w:rsidRPr="00B3274C">
        <w:rPr>
          <w:szCs w:val="25"/>
          <w:lang w:val="fr-CA"/>
        </w:rPr>
        <w:t>36</w:t>
      </w:r>
      <w:r w:rsidR="00E97B8B" w:rsidRPr="00B3274C">
        <w:rPr>
          <w:szCs w:val="25"/>
          <w:lang w:val="fr-CA"/>
        </w:rPr>
        <w:t xml:space="preserve"> </w:t>
      </w:r>
      <w:r w:rsidR="003B549F" w:rsidRPr="00B3274C">
        <w:rPr>
          <w:szCs w:val="25"/>
          <w:lang w:val="fr-CA"/>
        </w:rPr>
        <w:t>1</w:t>
      </w:r>
      <w:r w:rsidR="00E97B8B" w:rsidRPr="00B3274C">
        <w:rPr>
          <w:szCs w:val="25"/>
          <w:lang w:val="fr-CA"/>
        </w:rPr>
        <w:t xml:space="preserve">) de la loi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szCs w:val="25"/>
          <w:lang w:val="fr-CA"/>
        </w:rPr>
        <w:t xml:space="preserve">3996/2011 </w:t>
      </w:r>
      <w:r w:rsidR="00E97B8B" w:rsidRPr="00B3274C">
        <w:rPr>
          <w:szCs w:val="25"/>
          <w:lang w:val="fr-CA"/>
        </w:rPr>
        <w:t>déclare comme étant absolument nulle et de nul effet la résiliation du contrat de travail d</w:t>
      </w:r>
      <w:r w:rsidR="0080611A">
        <w:rPr>
          <w:szCs w:val="25"/>
          <w:lang w:val="fr-CA"/>
        </w:rPr>
        <w:t>’</w:t>
      </w:r>
      <w:r w:rsidR="00E97B8B" w:rsidRPr="00B3274C">
        <w:rPr>
          <w:szCs w:val="25"/>
          <w:lang w:val="fr-CA"/>
        </w:rPr>
        <w:t>une</w:t>
      </w:r>
      <w:r w:rsidR="00A10866" w:rsidRPr="00B3274C">
        <w:rPr>
          <w:szCs w:val="25"/>
          <w:lang w:val="fr-CA"/>
        </w:rPr>
        <w:t xml:space="preserve"> travailleuse par son employeur</w:t>
      </w:r>
      <w:r w:rsidR="00E97B8B" w:rsidRPr="00B3274C">
        <w:rPr>
          <w:szCs w:val="25"/>
          <w:lang w:val="fr-CA"/>
        </w:rPr>
        <w:t xml:space="preserve"> pendant la grossesse de l</w:t>
      </w:r>
      <w:r w:rsidR="0080611A">
        <w:rPr>
          <w:szCs w:val="25"/>
          <w:lang w:val="fr-CA"/>
        </w:rPr>
        <w:t>’</w:t>
      </w:r>
      <w:r w:rsidR="00E97B8B" w:rsidRPr="00B3274C">
        <w:rPr>
          <w:szCs w:val="25"/>
          <w:lang w:val="fr-CA"/>
        </w:rPr>
        <w:t>intéressée et pendant une période de 18 mois après l</w:t>
      </w:r>
      <w:r w:rsidR="0080611A">
        <w:rPr>
          <w:szCs w:val="25"/>
          <w:lang w:val="fr-CA"/>
        </w:rPr>
        <w:t>’</w:t>
      </w:r>
      <w:r w:rsidR="00E97B8B" w:rsidRPr="00B3274C">
        <w:rPr>
          <w:szCs w:val="25"/>
          <w:lang w:val="fr-CA"/>
        </w:rPr>
        <w:t>accouchement ou durant l</w:t>
      </w:r>
      <w:r w:rsidR="0080611A">
        <w:rPr>
          <w:szCs w:val="25"/>
          <w:lang w:val="fr-CA"/>
        </w:rPr>
        <w:t>’</w:t>
      </w:r>
      <w:r w:rsidR="00E97B8B" w:rsidRPr="00B3274C">
        <w:rPr>
          <w:szCs w:val="25"/>
          <w:lang w:val="fr-CA"/>
        </w:rPr>
        <w:t xml:space="preserve">absence de celle-ci pour </w:t>
      </w:r>
      <w:r w:rsidR="00A10866" w:rsidRPr="00B3274C">
        <w:rPr>
          <w:szCs w:val="25"/>
          <w:lang w:val="fr-CA"/>
        </w:rPr>
        <w:t xml:space="preserve">une </w:t>
      </w:r>
      <w:r w:rsidR="00E97B8B" w:rsidRPr="00B3274C">
        <w:rPr>
          <w:szCs w:val="25"/>
          <w:lang w:val="fr-CA"/>
        </w:rPr>
        <w:t>période prolongée</w:t>
      </w:r>
      <w:r w:rsidR="0080611A">
        <w:rPr>
          <w:szCs w:val="25"/>
          <w:lang w:val="fr-CA"/>
        </w:rPr>
        <w:t>,</w:t>
      </w:r>
      <w:r w:rsidR="00E97B8B" w:rsidRPr="00B3274C">
        <w:rPr>
          <w:szCs w:val="25"/>
          <w:lang w:val="fr-CA"/>
        </w:rPr>
        <w:t xml:space="preserve"> en raison d</w:t>
      </w:r>
      <w:r w:rsidR="0080611A">
        <w:rPr>
          <w:szCs w:val="25"/>
          <w:lang w:val="fr-CA"/>
        </w:rPr>
        <w:t>’</w:t>
      </w:r>
      <w:r w:rsidR="00E97B8B" w:rsidRPr="00B3274C">
        <w:rPr>
          <w:szCs w:val="25"/>
          <w:lang w:val="fr-CA"/>
        </w:rPr>
        <w:t>une maladie liée à la grossesse ou à l</w:t>
      </w:r>
      <w:r w:rsidR="0080611A">
        <w:rPr>
          <w:szCs w:val="25"/>
          <w:lang w:val="fr-CA"/>
        </w:rPr>
        <w:t>’</w:t>
      </w:r>
      <w:r w:rsidR="00E97B8B" w:rsidRPr="00B3274C">
        <w:rPr>
          <w:szCs w:val="25"/>
          <w:lang w:val="fr-CA"/>
        </w:rPr>
        <w:t>accouchement</w:t>
      </w:r>
      <w:r w:rsidR="0080611A">
        <w:rPr>
          <w:szCs w:val="25"/>
          <w:lang w:val="fr-CA"/>
        </w:rPr>
        <w:t>,</w:t>
      </w:r>
      <w:r w:rsidR="00E97B8B" w:rsidRPr="00B3274C">
        <w:rPr>
          <w:szCs w:val="25"/>
          <w:lang w:val="fr-CA"/>
        </w:rPr>
        <w:t xml:space="preserve"> sauf raison grave l</w:t>
      </w:r>
      <w:r w:rsidR="0080611A">
        <w:rPr>
          <w:szCs w:val="25"/>
          <w:lang w:val="fr-CA"/>
        </w:rPr>
        <w:t>’</w:t>
      </w:r>
      <w:r w:rsidR="00E97B8B" w:rsidRPr="00B3274C">
        <w:rPr>
          <w:szCs w:val="25"/>
          <w:lang w:val="fr-CA"/>
        </w:rPr>
        <w:t xml:space="preserve">autorisant. </w:t>
      </w:r>
    </w:p>
    <w:p w:rsidR="00FB23D3" w:rsidRPr="00B3274C" w:rsidRDefault="00107A47" w:rsidP="00107A47">
      <w:pPr>
        <w:pStyle w:val="SingleTxtG"/>
        <w:rPr>
          <w:lang w:val="fr-CA"/>
        </w:rPr>
      </w:pPr>
      <w:r w:rsidRPr="00B3274C">
        <w:rPr>
          <w:lang w:val="fr-CA"/>
        </w:rPr>
        <w:t>125.</w:t>
      </w:r>
      <w:r w:rsidRPr="00B3274C">
        <w:rPr>
          <w:lang w:val="fr-CA"/>
        </w:rPr>
        <w:tab/>
      </w:r>
      <w:r w:rsidR="00D76834" w:rsidRPr="00B3274C">
        <w:rPr>
          <w:lang w:val="fr-CA"/>
        </w:rPr>
        <w:t>En outre</w:t>
      </w:r>
      <w:r w:rsidR="0080611A">
        <w:rPr>
          <w:lang w:val="fr-CA"/>
        </w:rPr>
        <w:t>,</w:t>
      </w:r>
      <w:r w:rsidR="00D76834" w:rsidRPr="00B3274C">
        <w:rPr>
          <w:lang w:val="fr-CA"/>
        </w:rPr>
        <w:t xml:space="preserv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 xml:space="preserve">3250/2004 </w:t>
      </w:r>
      <w:r w:rsidR="00D76834" w:rsidRPr="00B3274C">
        <w:rPr>
          <w:lang w:val="fr-CA"/>
        </w:rPr>
        <w:t>sur «</w:t>
      </w:r>
      <w:r w:rsidR="00EE69AA" w:rsidRPr="00B3274C">
        <w:rPr>
          <w:lang w:val="fr-CA"/>
        </w:rPr>
        <w:t>L</w:t>
      </w:r>
      <w:r w:rsidR="0080611A">
        <w:rPr>
          <w:lang w:val="fr-CA"/>
        </w:rPr>
        <w:t>’</w:t>
      </w:r>
      <w:r w:rsidR="00D76834" w:rsidRPr="00B3274C">
        <w:rPr>
          <w:lang w:val="fr-CA"/>
        </w:rPr>
        <w:t xml:space="preserve">emploi </w:t>
      </w:r>
      <w:r w:rsidR="00EE69AA" w:rsidRPr="00B3274C">
        <w:rPr>
          <w:lang w:val="fr-CA"/>
        </w:rPr>
        <w:t xml:space="preserve">à temps </w:t>
      </w:r>
      <w:r w:rsidR="00D76834" w:rsidRPr="00B3274C">
        <w:rPr>
          <w:lang w:val="fr-CA"/>
        </w:rPr>
        <w:t>partiel dans le secteur public</w:t>
      </w:r>
      <w:r w:rsidR="0080611A">
        <w:rPr>
          <w:lang w:val="fr-CA"/>
        </w:rPr>
        <w:t>,</w:t>
      </w:r>
      <w:r w:rsidR="00D76834" w:rsidRPr="00B3274C">
        <w:rPr>
          <w:lang w:val="fr-CA"/>
        </w:rPr>
        <w:t xml:space="preserve"> les administrations locales </w:t>
      </w:r>
      <w:r w:rsidR="00EE69AA" w:rsidRPr="00B3274C">
        <w:rPr>
          <w:lang w:val="fr-CA"/>
        </w:rPr>
        <w:t>et les entités de droit public</w:t>
      </w:r>
      <w:r w:rsidR="0055418C" w:rsidRPr="00B3274C">
        <w:rPr>
          <w:lang w:val="fr-CA"/>
        </w:rPr>
        <w:t>»</w:t>
      </w:r>
      <w:r w:rsidR="0080611A">
        <w:rPr>
          <w:lang w:val="fr-CA"/>
        </w:rPr>
        <w:t>,</w:t>
      </w:r>
      <w:r w:rsidR="00EE69AA" w:rsidRPr="00B3274C">
        <w:rPr>
          <w:lang w:val="fr-CA"/>
        </w:rPr>
        <w:t xml:space="preserve"> </w:t>
      </w:r>
      <w:r w:rsidR="00996205" w:rsidRPr="00B3274C">
        <w:rPr>
          <w:lang w:val="fr-CA"/>
        </w:rPr>
        <w:t>s</w:t>
      </w:r>
      <w:r w:rsidR="0080611A">
        <w:rPr>
          <w:lang w:val="fr-CA"/>
        </w:rPr>
        <w:t>’</w:t>
      </w:r>
      <w:r w:rsidR="00996205" w:rsidRPr="00B3274C">
        <w:rPr>
          <w:lang w:val="fr-CA"/>
        </w:rPr>
        <w:t>applique</w:t>
      </w:r>
      <w:r w:rsidR="0080611A">
        <w:rPr>
          <w:lang w:val="fr-CA"/>
        </w:rPr>
        <w:t>,</w:t>
      </w:r>
      <w:r w:rsidR="00996205" w:rsidRPr="00B3274C">
        <w:rPr>
          <w:lang w:val="fr-CA"/>
        </w:rPr>
        <w:t xml:space="preserve"> entre autres</w:t>
      </w:r>
      <w:r w:rsidR="0080611A">
        <w:rPr>
          <w:lang w:val="fr-CA"/>
        </w:rPr>
        <w:t>,</w:t>
      </w:r>
      <w:r w:rsidR="00996205" w:rsidRPr="00B3274C">
        <w:rPr>
          <w:lang w:val="fr-CA"/>
        </w:rPr>
        <w:t xml:space="preserve"> aux</w:t>
      </w:r>
      <w:r w:rsidR="00EE69AA" w:rsidRPr="00B3274C">
        <w:rPr>
          <w:lang w:val="fr-CA"/>
        </w:rPr>
        <w:t xml:space="preserve"> catégories suivante</w:t>
      </w:r>
      <w:r w:rsidR="00996205" w:rsidRPr="00B3274C">
        <w:rPr>
          <w:lang w:val="fr-CA"/>
        </w:rPr>
        <w:t>s d</w:t>
      </w:r>
      <w:r w:rsidR="0080611A">
        <w:rPr>
          <w:lang w:val="fr-CA"/>
        </w:rPr>
        <w:t>’</w:t>
      </w:r>
      <w:r w:rsidR="00996205" w:rsidRPr="00B3274C">
        <w:rPr>
          <w:lang w:val="fr-CA"/>
        </w:rPr>
        <w:t>employés</w:t>
      </w:r>
      <w:r w:rsidR="0080611A">
        <w:rPr>
          <w:lang w:val="fr-CA"/>
        </w:rPr>
        <w:t>,</w:t>
      </w:r>
      <w:r w:rsidR="00996205" w:rsidRPr="00B3274C">
        <w:rPr>
          <w:lang w:val="fr-CA"/>
        </w:rPr>
        <w:t xml:space="preserve"> en tant que candidat</w:t>
      </w:r>
      <w:r w:rsidR="00EE69AA" w:rsidRPr="00B3274C">
        <w:rPr>
          <w:lang w:val="fr-CA"/>
        </w:rPr>
        <w:t>s au travail à temps partiel</w:t>
      </w:r>
      <w:r w:rsidR="00EC5892" w:rsidRPr="00B3274C">
        <w:rPr>
          <w:lang w:val="fr-CA"/>
        </w:rPr>
        <w:t>:</w:t>
      </w:r>
      <w:r w:rsidR="00EE69AA" w:rsidRPr="00B3274C">
        <w:rPr>
          <w:lang w:val="fr-CA"/>
        </w:rPr>
        <w:t xml:space="preserve"> les mères ayant des enfants mineurs (10</w:t>
      </w:r>
      <w:r w:rsidR="0050285B">
        <w:rPr>
          <w:lang w:val="fr-CA"/>
        </w:rPr>
        <w:t> %</w:t>
      </w:r>
      <w:r w:rsidR="00EE69AA" w:rsidRPr="00B3274C">
        <w:rPr>
          <w:lang w:val="fr-CA"/>
        </w:rPr>
        <w:t>) et les parents ayant trois enfants ou plus ainsi que leurs enfants (10</w:t>
      </w:r>
      <w:r w:rsidR="0050285B">
        <w:rPr>
          <w:lang w:val="fr-CA"/>
        </w:rPr>
        <w:t> %</w:t>
      </w:r>
      <w:r w:rsidR="00EE69AA" w:rsidRPr="00B3274C">
        <w:rPr>
          <w:lang w:val="fr-CA"/>
        </w:rPr>
        <w:t xml:space="preserve">). </w:t>
      </w:r>
    </w:p>
    <w:p w:rsidR="00FB23D3" w:rsidRPr="00B3274C" w:rsidRDefault="00107A47" w:rsidP="00107A47">
      <w:pPr>
        <w:pStyle w:val="SingleTxtG"/>
        <w:rPr>
          <w:lang w:val="fr-CA"/>
        </w:rPr>
      </w:pPr>
      <w:r w:rsidRPr="00B3274C">
        <w:rPr>
          <w:lang w:val="fr-CA"/>
        </w:rPr>
        <w:t>126.</w:t>
      </w:r>
      <w:r w:rsidRPr="00B3274C">
        <w:rPr>
          <w:lang w:val="fr-CA"/>
        </w:rPr>
        <w:tab/>
      </w:r>
      <w:r w:rsidR="002974CE" w:rsidRPr="00B3274C">
        <w:rPr>
          <w:lang w:val="fr-CA"/>
        </w:rPr>
        <w:t>Enfin</w:t>
      </w:r>
      <w:r w:rsidR="0080611A">
        <w:rPr>
          <w:lang w:val="fr-CA"/>
        </w:rPr>
        <w:t>,</w:t>
      </w:r>
      <w:r w:rsidR="002974CE" w:rsidRPr="00B3274C">
        <w:rPr>
          <w:lang w:val="fr-CA"/>
        </w:rPr>
        <w:t xml:space="preserve"> en vertu de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 xml:space="preserve">3454/2006 </w:t>
      </w:r>
      <w:r w:rsidR="002974CE" w:rsidRPr="00B3274C">
        <w:rPr>
          <w:lang w:val="fr-CA"/>
        </w:rPr>
        <w:t xml:space="preserve">sur le </w:t>
      </w:r>
      <w:r w:rsidR="0055418C" w:rsidRPr="00B3274C">
        <w:rPr>
          <w:lang w:val="fr-CA"/>
        </w:rPr>
        <w:t>«</w:t>
      </w:r>
      <w:r w:rsidR="002974CE" w:rsidRPr="00B3274C">
        <w:rPr>
          <w:lang w:val="fr-CA"/>
        </w:rPr>
        <w:t>renforcement de la famille et autres dispositions</w:t>
      </w:r>
      <w:r w:rsidR="0055418C" w:rsidRPr="00B3274C">
        <w:rPr>
          <w:lang w:val="fr-CA"/>
        </w:rPr>
        <w:t>»</w:t>
      </w:r>
      <w:r w:rsidR="0080611A">
        <w:rPr>
          <w:lang w:val="fr-CA"/>
        </w:rPr>
        <w:t>,</w:t>
      </w:r>
      <w:r w:rsidR="002974CE" w:rsidRPr="00B3274C">
        <w:rPr>
          <w:lang w:val="fr-CA"/>
        </w:rPr>
        <w:t xml:space="preserve"> la disposition susmentionnée a été étendue </w:t>
      </w:r>
      <w:r w:rsidR="00A40A08">
        <w:rPr>
          <w:lang w:val="fr-CA"/>
        </w:rPr>
        <w:t>aux personnes</w:t>
      </w:r>
      <w:r w:rsidR="002974CE" w:rsidRPr="00B3274C">
        <w:rPr>
          <w:lang w:val="fr-CA"/>
        </w:rPr>
        <w:t xml:space="preserve"> ayant de nombreux enfants ainsi qu</w:t>
      </w:r>
      <w:r w:rsidR="0080611A">
        <w:rPr>
          <w:lang w:val="fr-CA"/>
        </w:rPr>
        <w:t>’</w:t>
      </w:r>
      <w:r w:rsidR="002974CE" w:rsidRPr="00B3274C">
        <w:rPr>
          <w:lang w:val="fr-CA"/>
        </w:rPr>
        <w:t xml:space="preserve">aux parents de trois enfants. </w:t>
      </w:r>
    </w:p>
    <w:p w:rsidR="00074CF3" w:rsidRPr="00B3274C" w:rsidRDefault="004B4371" w:rsidP="00074CF3">
      <w:pPr>
        <w:pStyle w:val="H23G"/>
        <w:rPr>
          <w:iCs/>
          <w:lang w:val="fr-CA"/>
        </w:rPr>
      </w:pPr>
      <w:r w:rsidRPr="00B3274C">
        <w:rPr>
          <w:lang w:val="fr-CA"/>
        </w:rPr>
        <w:tab/>
      </w:r>
      <w:r w:rsidR="00074CF3" w:rsidRPr="00B3274C">
        <w:rPr>
          <w:lang w:val="fr-CA"/>
        </w:rPr>
        <w:t>c)</w:t>
      </w:r>
      <w:r w:rsidR="00074CF3" w:rsidRPr="00B3274C">
        <w:rPr>
          <w:lang w:val="fr-CA"/>
        </w:rPr>
        <w:tab/>
      </w:r>
      <w:r w:rsidR="00607719" w:rsidRPr="00B3274C">
        <w:rPr>
          <w:lang w:val="fr-CA"/>
        </w:rPr>
        <w:t>A</w:t>
      </w:r>
      <w:r w:rsidR="00C87D3F" w:rsidRPr="00B3274C">
        <w:rPr>
          <w:lang w:val="fr-CA"/>
        </w:rPr>
        <w:t>utres congés</w:t>
      </w:r>
    </w:p>
    <w:p w:rsidR="00FB23D3" w:rsidRPr="00B3274C" w:rsidRDefault="00107A47" w:rsidP="00107A47">
      <w:pPr>
        <w:pStyle w:val="SingleTxtG"/>
        <w:rPr>
          <w:iCs/>
          <w:szCs w:val="25"/>
          <w:lang w:val="fr-CA"/>
        </w:rPr>
      </w:pPr>
      <w:r w:rsidRPr="00B3274C">
        <w:rPr>
          <w:iCs/>
          <w:lang w:val="fr-CA"/>
        </w:rPr>
        <w:t>127.</w:t>
      </w:r>
      <w:r w:rsidRPr="00B3274C">
        <w:rPr>
          <w:iCs/>
          <w:lang w:val="fr-CA"/>
        </w:rPr>
        <w:tab/>
      </w:r>
      <w:r w:rsidR="002974CE" w:rsidRPr="00B3274C">
        <w:rPr>
          <w:iCs/>
          <w:lang w:val="fr-CA"/>
        </w:rPr>
        <w:t>Congé pour mariage et pour naissance</w:t>
      </w:r>
      <w:r w:rsidR="0080611A">
        <w:rPr>
          <w:iCs/>
          <w:lang w:val="fr-CA"/>
        </w:rPr>
        <w:t>,</w:t>
      </w:r>
      <w:r w:rsidR="002974CE" w:rsidRPr="00B3274C">
        <w:rPr>
          <w:iCs/>
          <w:lang w:val="fr-CA"/>
        </w:rPr>
        <w:t xml:space="preserve"> congé parental</w:t>
      </w:r>
      <w:r w:rsidR="0080611A">
        <w:rPr>
          <w:iCs/>
          <w:lang w:val="fr-CA"/>
        </w:rPr>
        <w:t>,</w:t>
      </w:r>
      <w:r w:rsidR="002974CE" w:rsidRPr="00B3274C">
        <w:rPr>
          <w:iCs/>
          <w:lang w:val="fr-CA"/>
        </w:rPr>
        <w:t xml:space="preserve"> congé sans solde</w:t>
      </w:r>
      <w:r w:rsidR="0080611A">
        <w:rPr>
          <w:iCs/>
          <w:lang w:val="fr-CA"/>
        </w:rPr>
        <w:t>,</w:t>
      </w:r>
      <w:r w:rsidR="00A934CB" w:rsidRPr="00B3274C">
        <w:rPr>
          <w:iCs/>
          <w:lang w:val="fr-CA"/>
        </w:rPr>
        <w:t xml:space="preserve"> familles monoparentales</w:t>
      </w:r>
      <w:r w:rsidR="0080611A">
        <w:rPr>
          <w:iCs/>
          <w:lang w:val="fr-CA"/>
        </w:rPr>
        <w:t>,</w:t>
      </w:r>
      <w:r w:rsidR="00A934CB" w:rsidRPr="00B3274C">
        <w:rPr>
          <w:iCs/>
          <w:lang w:val="fr-CA"/>
        </w:rPr>
        <w:t xml:space="preserve"> </w:t>
      </w:r>
      <w:r w:rsidR="002974CE" w:rsidRPr="00B3274C">
        <w:rPr>
          <w:iCs/>
          <w:lang w:val="fr-CA"/>
        </w:rPr>
        <w:t>congé parental d</w:t>
      </w:r>
      <w:r w:rsidR="0080611A">
        <w:rPr>
          <w:iCs/>
          <w:lang w:val="fr-CA"/>
        </w:rPr>
        <w:t>’</w:t>
      </w:r>
      <w:r w:rsidR="00A934CB" w:rsidRPr="00B3274C">
        <w:rPr>
          <w:iCs/>
          <w:lang w:val="fr-CA"/>
        </w:rPr>
        <w:t>éducation</w:t>
      </w:r>
      <w:r w:rsidR="0080611A">
        <w:rPr>
          <w:iCs/>
          <w:lang w:val="fr-CA"/>
        </w:rPr>
        <w:t>,</w:t>
      </w:r>
      <w:r w:rsidR="00A934CB" w:rsidRPr="00B3274C">
        <w:rPr>
          <w:iCs/>
          <w:lang w:val="fr-CA"/>
        </w:rPr>
        <w:t xml:space="preserve"> </w:t>
      </w:r>
      <w:r w:rsidR="002974CE" w:rsidRPr="00B3274C">
        <w:rPr>
          <w:iCs/>
          <w:lang w:val="fr-CA"/>
        </w:rPr>
        <w:t>congé en cas de maladie de l</w:t>
      </w:r>
      <w:r w:rsidR="0080611A">
        <w:rPr>
          <w:iCs/>
          <w:lang w:val="fr-CA"/>
        </w:rPr>
        <w:t>’</w:t>
      </w:r>
      <w:r w:rsidR="002974CE" w:rsidRPr="00B3274C">
        <w:rPr>
          <w:iCs/>
          <w:lang w:val="fr-CA"/>
        </w:rPr>
        <w:t>enfant ou d</w:t>
      </w:r>
      <w:r w:rsidR="0080611A">
        <w:rPr>
          <w:iCs/>
          <w:lang w:val="fr-CA"/>
        </w:rPr>
        <w:t>’</w:t>
      </w:r>
      <w:r w:rsidR="002974CE" w:rsidRPr="00B3274C">
        <w:rPr>
          <w:iCs/>
          <w:lang w:val="fr-CA"/>
        </w:rPr>
        <w:t>une autre personne à charge</w:t>
      </w:r>
      <w:r w:rsidR="0080611A">
        <w:rPr>
          <w:iCs/>
          <w:lang w:val="fr-CA"/>
        </w:rPr>
        <w:t>,</w:t>
      </w:r>
      <w:r w:rsidR="00A934CB" w:rsidRPr="00B3274C">
        <w:rPr>
          <w:iCs/>
          <w:lang w:val="fr-CA"/>
        </w:rPr>
        <w:t xml:space="preserve"> familles d</w:t>
      </w:r>
      <w:r w:rsidR="0080611A">
        <w:rPr>
          <w:iCs/>
          <w:lang w:val="fr-CA"/>
        </w:rPr>
        <w:t>’</w:t>
      </w:r>
      <w:r w:rsidR="00A934CB" w:rsidRPr="00B3274C">
        <w:rPr>
          <w:iCs/>
          <w:lang w:val="fr-CA"/>
        </w:rPr>
        <w:t>accueil</w:t>
      </w:r>
      <w:r w:rsidR="0080611A">
        <w:rPr>
          <w:iCs/>
          <w:lang w:val="fr-CA"/>
        </w:rPr>
        <w:t>,</w:t>
      </w:r>
      <w:r w:rsidR="00A934CB" w:rsidRPr="00B3274C">
        <w:rPr>
          <w:iCs/>
          <w:lang w:val="fr-CA"/>
        </w:rPr>
        <w:t xml:space="preserve"> réduction des horaires de travail</w:t>
      </w:r>
      <w:r w:rsidR="0077794C" w:rsidRPr="00B3274C">
        <w:rPr>
          <w:iCs/>
          <w:szCs w:val="25"/>
          <w:lang w:val="fr-CA"/>
        </w:rPr>
        <w:t>.</w:t>
      </w:r>
    </w:p>
    <w:p w:rsidR="00FB23D3" w:rsidRPr="00B3274C" w:rsidRDefault="00432CF5" w:rsidP="00C174F8">
      <w:pPr>
        <w:pStyle w:val="H23G"/>
        <w:rPr>
          <w:lang w:val="fr-CA"/>
        </w:rPr>
      </w:pPr>
      <w:r w:rsidRPr="00B3274C">
        <w:rPr>
          <w:lang w:val="fr-CA"/>
        </w:rPr>
        <w:tab/>
      </w:r>
      <w:r w:rsidR="00C174F8" w:rsidRPr="00B3274C">
        <w:rPr>
          <w:lang w:val="fr-CA"/>
        </w:rPr>
        <w:t>d)</w:t>
      </w:r>
      <w:r w:rsidRPr="00B3274C">
        <w:rPr>
          <w:lang w:val="fr-CA"/>
        </w:rPr>
        <w:tab/>
      </w:r>
      <w:r w:rsidR="00607719" w:rsidRPr="00B3274C">
        <w:rPr>
          <w:lang w:val="fr-CA"/>
        </w:rPr>
        <w:t>I</w:t>
      </w:r>
      <w:r w:rsidR="00A934CB" w:rsidRPr="00B3274C">
        <w:rPr>
          <w:lang w:val="fr-CA"/>
        </w:rPr>
        <w:t>ndemnités versées par l</w:t>
      </w:r>
      <w:r w:rsidR="0080611A">
        <w:rPr>
          <w:lang w:val="fr-CA"/>
        </w:rPr>
        <w:t>’</w:t>
      </w:r>
      <w:r w:rsidR="00A934CB" w:rsidRPr="00B3274C">
        <w:rPr>
          <w:lang w:val="fr-CA"/>
        </w:rPr>
        <w:t xml:space="preserve">Organisme des assurances agricoles </w:t>
      </w:r>
    </w:p>
    <w:p w:rsidR="00FB23D3" w:rsidRPr="00B3274C" w:rsidRDefault="00107A47" w:rsidP="00107A47">
      <w:pPr>
        <w:pStyle w:val="SingleTxtG"/>
        <w:rPr>
          <w:lang w:val="fr-CA"/>
        </w:rPr>
      </w:pPr>
      <w:r w:rsidRPr="00B3274C">
        <w:rPr>
          <w:lang w:val="fr-CA"/>
        </w:rPr>
        <w:t>128.</w:t>
      </w:r>
      <w:r w:rsidRPr="00B3274C">
        <w:rPr>
          <w:lang w:val="fr-CA"/>
        </w:rPr>
        <w:tab/>
      </w:r>
      <w:r w:rsidR="00A934CB" w:rsidRPr="00B3274C">
        <w:rPr>
          <w:lang w:val="fr-CA"/>
        </w:rPr>
        <w:t>L</w:t>
      </w:r>
      <w:r w:rsidR="0080611A">
        <w:rPr>
          <w:lang w:val="fr-CA"/>
        </w:rPr>
        <w:t>’</w:t>
      </w:r>
      <w:r w:rsidR="00A934CB" w:rsidRPr="00B3274C">
        <w:rPr>
          <w:lang w:val="fr-CA"/>
        </w:rPr>
        <w:t>Organisme des assurances agricoles</w:t>
      </w:r>
      <w:r w:rsidR="0080611A">
        <w:rPr>
          <w:lang w:val="fr-CA"/>
        </w:rPr>
        <w:t>,</w:t>
      </w:r>
      <w:r w:rsidR="00A934CB" w:rsidRPr="00B3274C">
        <w:rPr>
          <w:lang w:val="fr-CA"/>
        </w:rPr>
        <w:t xml:space="preserve"> qui relève du Ministère de la santé et de la solidarité sociale</w:t>
      </w:r>
      <w:r w:rsidR="0080611A">
        <w:rPr>
          <w:lang w:val="fr-CA"/>
        </w:rPr>
        <w:t>,</w:t>
      </w:r>
      <w:r w:rsidR="00A934CB" w:rsidRPr="00B3274C">
        <w:rPr>
          <w:lang w:val="fr-CA"/>
        </w:rPr>
        <w:t xml:space="preserve"> verse un certain nombre d</w:t>
      </w:r>
      <w:r w:rsidR="0080611A">
        <w:rPr>
          <w:lang w:val="fr-CA"/>
        </w:rPr>
        <w:t>’</w:t>
      </w:r>
      <w:r w:rsidR="00A934CB" w:rsidRPr="00B3274C">
        <w:rPr>
          <w:lang w:val="fr-CA"/>
        </w:rPr>
        <w:t>indemnités aux familles de trois enfants ou plus. Ces indemnités ainsi que les pensions à vie sont versées aux bénéficiaires indépendamment de</w:t>
      </w:r>
      <w:bookmarkStart w:id="18" w:name="OLE_LINK27"/>
      <w:bookmarkStart w:id="19" w:name="OLE_LINK28"/>
      <w:r w:rsidR="00125F0B" w:rsidRPr="00B3274C">
        <w:rPr>
          <w:lang w:val="fr-CA"/>
        </w:rPr>
        <w:t xml:space="preserve"> tout autre versement sous la forme d</w:t>
      </w:r>
      <w:r w:rsidR="0080611A">
        <w:rPr>
          <w:lang w:val="fr-CA"/>
        </w:rPr>
        <w:t>’</w:t>
      </w:r>
      <w:r w:rsidR="00A934CB" w:rsidRPr="00B3274C">
        <w:rPr>
          <w:lang w:val="fr-CA"/>
        </w:rPr>
        <w:t>indemnité</w:t>
      </w:r>
      <w:r w:rsidR="00125F0B" w:rsidRPr="00B3274C">
        <w:rPr>
          <w:lang w:val="fr-CA"/>
        </w:rPr>
        <w:t>s</w:t>
      </w:r>
      <w:r w:rsidR="0080611A">
        <w:rPr>
          <w:lang w:val="fr-CA"/>
        </w:rPr>
        <w:t>,</w:t>
      </w:r>
      <w:r w:rsidR="00A934CB" w:rsidRPr="00B3274C">
        <w:rPr>
          <w:lang w:val="fr-CA"/>
        </w:rPr>
        <w:t xml:space="preserve"> </w:t>
      </w:r>
      <w:r w:rsidR="00125F0B" w:rsidRPr="00B3274C">
        <w:rPr>
          <w:lang w:val="fr-CA"/>
        </w:rPr>
        <w:t xml:space="preserve">de </w:t>
      </w:r>
      <w:r w:rsidR="00A934CB" w:rsidRPr="00B3274C">
        <w:rPr>
          <w:lang w:val="fr-CA"/>
        </w:rPr>
        <w:t>salaire</w:t>
      </w:r>
      <w:r w:rsidR="0080611A">
        <w:rPr>
          <w:lang w:val="fr-CA"/>
        </w:rPr>
        <w:t>,</w:t>
      </w:r>
      <w:r w:rsidR="00A934CB" w:rsidRPr="00B3274C">
        <w:rPr>
          <w:lang w:val="fr-CA"/>
        </w:rPr>
        <w:t xml:space="preserve"> </w:t>
      </w:r>
      <w:r w:rsidR="00125F0B" w:rsidRPr="00B3274C">
        <w:rPr>
          <w:lang w:val="fr-CA"/>
        </w:rPr>
        <w:t xml:space="preserve">de </w:t>
      </w:r>
      <w:r w:rsidR="00A934CB" w:rsidRPr="00B3274C">
        <w:rPr>
          <w:lang w:val="fr-CA"/>
        </w:rPr>
        <w:t>pension</w:t>
      </w:r>
      <w:bookmarkEnd w:id="18"/>
      <w:bookmarkEnd w:id="19"/>
      <w:r w:rsidR="0080611A">
        <w:rPr>
          <w:lang w:val="fr-CA"/>
        </w:rPr>
        <w:t>,</w:t>
      </w:r>
      <w:r w:rsidR="00A934CB" w:rsidRPr="00B3274C">
        <w:rPr>
          <w:lang w:val="fr-CA"/>
        </w:rPr>
        <w:t xml:space="preserve"> </w:t>
      </w:r>
      <w:r w:rsidR="00125F0B" w:rsidRPr="00B3274C">
        <w:rPr>
          <w:lang w:val="fr-CA"/>
        </w:rPr>
        <w:t xml:space="preserve">de </w:t>
      </w:r>
      <w:r w:rsidR="00A934CB" w:rsidRPr="00B3274C">
        <w:rPr>
          <w:lang w:val="fr-CA"/>
        </w:rPr>
        <w:t>rémunération</w:t>
      </w:r>
      <w:r w:rsidR="0080611A">
        <w:rPr>
          <w:lang w:val="fr-CA"/>
        </w:rPr>
        <w:t>,</w:t>
      </w:r>
      <w:r w:rsidR="00A934CB" w:rsidRPr="00B3274C">
        <w:rPr>
          <w:lang w:val="fr-CA"/>
        </w:rPr>
        <w:t xml:space="preserve"> </w:t>
      </w:r>
      <w:r w:rsidR="00125F0B" w:rsidRPr="00B3274C">
        <w:rPr>
          <w:lang w:val="fr-CA"/>
        </w:rPr>
        <w:t xml:space="preserve">de </w:t>
      </w:r>
      <w:r w:rsidR="00A934CB" w:rsidRPr="00B3274C">
        <w:rPr>
          <w:lang w:val="fr-CA"/>
        </w:rPr>
        <w:t>remboursement</w:t>
      </w:r>
      <w:r w:rsidR="0080611A">
        <w:rPr>
          <w:lang w:val="fr-CA"/>
        </w:rPr>
        <w:t>,</w:t>
      </w:r>
      <w:r w:rsidR="00A934CB" w:rsidRPr="00B3274C">
        <w:rPr>
          <w:lang w:val="fr-CA"/>
        </w:rPr>
        <w:t xml:space="preserve"> ou </w:t>
      </w:r>
      <w:r w:rsidR="00125F0B" w:rsidRPr="00B3274C">
        <w:rPr>
          <w:lang w:val="fr-CA"/>
        </w:rPr>
        <w:t>de l</w:t>
      </w:r>
      <w:r w:rsidR="0080611A">
        <w:rPr>
          <w:lang w:val="fr-CA"/>
        </w:rPr>
        <w:t>’</w:t>
      </w:r>
      <w:r w:rsidR="00125F0B" w:rsidRPr="00B3274C">
        <w:rPr>
          <w:lang w:val="fr-CA"/>
        </w:rPr>
        <w:t xml:space="preserve">activité professionnelle. </w:t>
      </w:r>
      <w:r w:rsidR="003B0006" w:rsidRPr="00B3274C">
        <w:rPr>
          <w:lang w:val="fr-CA"/>
        </w:rPr>
        <w:t>Les indemnités et la pension à vie sont versées tous les deux mois. Depuis le 1</w:t>
      </w:r>
      <w:r w:rsidR="003B0006" w:rsidRPr="00F413A6">
        <w:rPr>
          <w:vertAlign w:val="superscript"/>
          <w:lang w:val="fr-CA"/>
        </w:rPr>
        <w:t>er</w:t>
      </w:r>
      <w:r w:rsidR="00F413A6">
        <w:rPr>
          <w:lang w:val="fr-CA"/>
        </w:rPr>
        <w:t xml:space="preserve"> </w:t>
      </w:r>
      <w:r w:rsidR="003B0006" w:rsidRPr="00B3274C">
        <w:rPr>
          <w:lang w:val="fr-CA"/>
        </w:rPr>
        <w:t>janvier 2007</w:t>
      </w:r>
      <w:r w:rsidR="0080611A">
        <w:rPr>
          <w:lang w:val="fr-CA"/>
        </w:rPr>
        <w:t>,</w:t>
      </w:r>
      <w:r w:rsidR="003B0006" w:rsidRPr="00B3274C">
        <w:rPr>
          <w:lang w:val="fr-CA"/>
        </w:rPr>
        <w:t xml:space="preserve"> aucune taxe n</w:t>
      </w:r>
      <w:r w:rsidR="0080611A">
        <w:rPr>
          <w:lang w:val="fr-CA"/>
        </w:rPr>
        <w:t>’</w:t>
      </w:r>
      <w:r w:rsidR="003B0006" w:rsidRPr="00B3274C">
        <w:rPr>
          <w:lang w:val="fr-CA"/>
        </w:rPr>
        <w:t xml:space="preserve">est déduite. </w:t>
      </w:r>
    </w:p>
    <w:p w:rsidR="00FB23D3" w:rsidRPr="00B3274C" w:rsidRDefault="00432CF5" w:rsidP="00C174F8">
      <w:pPr>
        <w:pStyle w:val="H23G"/>
        <w:rPr>
          <w:lang w:val="fr-CA"/>
        </w:rPr>
      </w:pPr>
      <w:r w:rsidRPr="00B3274C">
        <w:rPr>
          <w:lang w:val="fr-CA"/>
        </w:rPr>
        <w:tab/>
      </w:r>
      <w:r w:rsidR="00C174F8" w:rsidRPr="00B3274C">
        <w:rPr>
          <w:lang w:val="fr-CA"/>
        </w:rPr>
        <w:t>e)</w:t>
      </w:r>
      <w:r w:rsidRPr="00B3274C">
        <w:rPr>
          <w:lang w:val="fr-CA"/>
        </w:rPr>
        <w:tab/>
      </w:r>
      <w:r w:rsidR="00607719" w:rsidRPr="00B3274C">
        <w:rPr>
          <w:lang w:val="fr-CA"/>
        </w:rPr>
        <w:t>F</w:t>
      </w:r>
      <w:r w:rsidR="004B4371" w:rsidRPr="00B3274C">
        <w:rPr>
          <w:lang w:val="fr-CA"/>
        </w:rPr>
        <w:t xml:space="preserve">amilles monoparentales </w:t>
      </w:r>
    </w:p>
    <w:p w:rsidR="00FB23D3" w:rsidRPr="00B3274C" w:rsidRDefault="00107A47" w:rsidP="00107A47">
      <w:pPr>
        <w:pStyle w:val="SingleTxtG"/>
        <w:rPr>
          <w:lang w:val="fr-CA"/>
        </w:rPr>
      </w:pPr>
      <w:r w:rsidRPr="00B3274C">
        <w:rPr>
          <w:lang w:val="fr-CA"/>
        </w:rPr>
        <w:t>129.</w:t>
      </w:r>
      <w:r w:rsidRPr="00B3274C">
        <w:rPr>
          <w:lang w:val="fr-CA"/>
        </w:rPr>
        <w:tab/>
      </w:r>
      <w:r w:rsidR="003B0006" w:rsidRPr="00B3274C">
        <w:rPr>
          <w:lang w:val="fr-CA"/>
        </w:rPr>
        <w:t>Une série de mesures ont été prise en faveur des femmes célibataires</w:t>
      </w:r>
      <w:r w:rsidR="0080611A">
        <w:rPr>
          <w:lang w:val="fr-CA"/>
        </w:rPr>
        <w:t>,</w:t>
      </w:r>
      <w:r w:rsidR="003B0006" w:rsidRPr="00B3274C">
        <w:rPr>
          <w:lang w:val="fr-CA"/>
        </w:rPr>
        <w:t xml:space="preserve"> tels que</w:t>
      </w:r>
      <w:r w:rsidR="00EC5892" w:rsidRPr="00B3274C">
        <w:rPr>
          <w:lang w:val="fr-CA"/>
        </w:rPr>
        <w:t>:</w:t>
      </w:r>
      <w:r w:rsidR="003B0006" w:rsidRPr="00B3274C">
        <w:rPr>
          <w:lang w:val="fr-CA"/>
        </w:rPr>
        <w:t xml:space="preserve"> congé parental (rémunéré ou non)</w:t>
      </w:r>
      <w:r w:rsidR="0080611A">
        <w:rPr>
          <w:lang w:val="fr-CA"/>
        </w:rPr>
        <w:t>,</w:t>
      </w:r>
      <w:r w:rsidR="003B0006" w:rsidRPr="00B3274C">
        <w:rPr>
          <w:lang w:val="fr-CA"/>
        </w:rPr>
        <w:t xml:space="preserve"> prime de mariage</w:t>
      </w:r>
      <w:r w:rsidR="0080611A">
        <w:rPr>
          <w:lang w:val="fr-CA"/>
        </w:rPr>
        <w:t>,</w:t>
      </w:r>
      <w:r w:rsidR="003B0006" w:rsidRPr="00B3274C">
        <w:rPr>
          <w:lang w:val="fr-CA"/>
        </w:rPr>
        <w:t xml:space="preserve"> réduction des horaires de travail</w:t>
      </w:r>
      <w:r w:rsidR="0080611A">
        <w:rPr>
          <w:lang w:val="fr-CA"/>
        </w:rPr>
        <w:t>,</w:t>
      </w:r>
      <w:r w:rsidR="003B0006" w:rsidRPr="00B3274C">
        <w:rPr>
          <w:lang w:val="fr-CA"/>
        </w:rPr>
        <w:t xml:space="preserve"> priorité dans les jardins d</w:t>
      </w:r>
      <w:r w:rsidR="0080611A">
        <w:rPr>
          <w:lang w:val="fr-CA"/>
        </w:rPr>
        <w:t>’</w:t>
      </w:r>
      <w:r w:rsidR="003B0006" w:rsidRPr="00B3274C">
        <w:rPr>
          <w:lang w:val="fr-CA"/>
        </w:rPr>
        <w:t>enfants</w:t>
      </w:r>
      <w:r w:rsidR="0080611A">
        <w:rPr>
          <w:lang w:val="fr-CA"/>
        </w:rPr>
        <w:t>,</w:t>
      </w:r>
      <w:r w:rsidR="003B0006" w:rsidRPr="00B3274C">
        <w:rPr>
          <w:lang w:val="fr-CA"/>
        </w:rPr>
        <w:t xml:space="preserve"> indemnités pour </w:t>
      </w:r>
      <w:bookmarkStart w:id="20" w:name="OLE_LINK29"/>
      <w:bookmarkStart w:id="21" w:name="OLE_LINK30"/>
      <w:r w:rsidR="003B0006" w:rsidRPr="00B3274C">
        <w:rPr>
          <w:lang w:val="fr-CA"/>
        </w:rPr>
        <w:t xml:space="preserve">parents </w:t>
      </w:r>
      <w:bookmarkEnd w:id="20"/>
      <w:bookmarkEnd w:id="21"/>
      <w:r w:rsidR="003B0006" w:rsidRPr="00B3274C">
        <w:rPr>
          <w:lang w:val="fr-CA"/>
        </w:rPr>
        <w:t>de familles nombreuses</w:t>
      </w:r>
      <w:r w:rsidR="0080611A">
        <w:rPr>
          <w:lang w:val="fr-CA"/>
        </w:rPr>
        <w:t>,</w:t>
      </w:r>
      <w:r w:rsidR="003B0006" w:rsidRPr="00B3274C">
        <w:rPr>
          <w:lang w:val="fr-CA"/>
        </w:rPr>
        <w:t xml:space="preserve"> allocation mensuelle aux enfants privés de protection paternelle</w:t>
      </w:r>
      <w:r w:rsidR="0080611A">
        <w:rPr>
          <w:lang w:val="fr-CA"/>
        </w:rPr>
        <w:t>,</w:t>
      </w:r>
      <w:r w:rsidR="003B0006" w:rsidRPr="00B3274C">
        <w:rPr>
          <w:lang w:val="fr-CA"/>
        </w:rPr>
        <w:t xml:space="preserve"> etc. Le Secrétariat général à l</w:t>
      </w:r>
      <w:r w:rsidR="0080611A">
        <w:rPr>
          <w:lang w:val="fr-CA"/>
        </w:rPr>
        <w:t>’</w:t>
      </w:r>
      <w:r w:rsidR="003B0006" w:rsidRPr="00B3274C">
        <w:rPr>
          <w:lang w:val="fr-CA"/>
        </w:rPr>
        <w:t>égalité des sexes a publié une brochure</w:t>
      </w:r>
      <w:r w:rsidR="00364ADE" w:rsidRPr="00B3274C">
        <w:rPr>
          <w:lang w:val="fr-CA"/>
        </w:rPr>
        <w:t xml:space="preserve"> destinée aux familles monoparentales</w:t>
      </w:r>
      <w:r w:rsidR="0080611A">
        <w:rPr>
          <w:lang w:val="fr-CA"/>
        </w:rPr>
        <w:t>,</w:t>
      </w:r>
      <w:r w:rsidR="00364ADE" w:rsidRPr="00B3274C">
        <w:rPr>
          <w:lang w:val="fr-CA"/>
        </w:rPr>
        <w:t xml:space="preserve"> dans laquelle toutes les allocations versées par l</w:t>
      </w:r>
      <w:r w:rsidR="0080611A">
        <w:rPr>
          <w:lang w:val="fr-CA"/>
        </w:rPr>
        <w:t>’</w:t>
      </w:r>
      <w:r w:rsidR="00364ADE" w:rsidRPr="00B3274C">
        <w:rPr>
          <w:lang w:val="fr-CA"/>
        </w:rPr>
        <w:t>État sont énumérées en détail</w:t>
      </w:r>
      <w:r w:rsidR="00FB23D3" w:rsidRPr="00B3274C">
        <w:rPr>
          <w:lang w:val="fr-CA"/>
        </w:rPr>
        <w:t>.</w:t>
      </w:r>
    </w:p>
    <w:p w:rsidR="00FB23D3" w:rsidRPr="00B3274C" w:rsidRDefault="00432CF5" w:rsidP="00C174F8">
      <w:pPr>
        <w:pStyle w:val="H23G"/>
        <w:rPr>
          <w:lang w:val="fr-CA"/>
        </w:rPr>
      </w:pPr>
      <w:r w:rsidRPr="00B3274C">
        <w:rPr>
          <w:lang w:val="fr-CA"/>
        </w:rPr>
        <w:tab/>
      </w:r>
      <w:r w:rsidR="007E1DA2" w:rsidRPr="00B3274C">
        <w:rPr>
          <w:lang w:val="fr-CA"/>
        </w:rPr>
        <w:t>4.</w:t>
      </w:r>
      <w:r w:rsidRPr="00B3274C">
        <w:rPr>
          <w:lang w:val="fr-CA"/>
        </w:rPr>
        <w:tab/>
      </w:r>
      <w:r w:rsidR="00364ADE" w:rsidRPr="00B3274C">
        <w:rPr>
          <w:lang w:val="fr-CA"/>
        </w:rPr>
        <w:t>Législation contre la discrimination en ce qui concerne l</w:t>
      </w:r>
      <w:r w:rsidR="0080611A">
        <w:rPr>
          <w:lang w:val="fr-CA"/>
        </w:rPr>
        <w:t>’</w:t>
      </w:r>
      <w:r w:rsidR="00364ADE" w:rsidRPr="00B3274C">
        <w:rPr>
          <w:lang w:val="fr-CA"/>
        </w:rPr>
        <w:t>accès aux biens et aux services (</w:t>
      </w:r>
      <w:r w:rsidR="00DA5885" w:rsidRPr="00B3274C">
        <w:rPr>
          <w:lang w:val="fr-CA"/>
        </w:rPr>
        <w:t xml:space="preserve">par. </w:t>
      </w:r>
      <w:r w:rsidR="00364ADE" w:rsidRPr="00B3274C">
        <w:rPr>
          <w:lang w:val="fr-CA"/>
        </w:rPr>
        <w:t xml:space="preserve">15 et 36 des observations finales du Comité) </w:t>
      </w:r>
    </w:p>
    <w:p w:rsidR="00FB23D3" w:rsidRPr="00B3274C" w:rsidRDefault="00107A47" w:rsidP="00E32056">
      <w:pPr>
        <w:pStyle w:val="SingleTxtG"/>
      </w:pPr>
      <w:r w:rsidRPr="00B3274C">
        <w:t>130.</w:t>
      </w:r>
      <w:r w:rsidRPr="00B3274C">
        <w:tab/>
      </w:r>
      <w:r w:rsidR="00FC408E" w:rsidRPr="00B3274C">
        <w:t>Au cours de la période considérée</w:t>
      </w:r>
      <w:r w:rsidR="0080611A">
        <w:t>,</w:t>
      </w:r>
      <w:r w:rsidR="00FC408E" w:rsidRPr="00B3274C">
        <w:t xml:space="preserve"> la loi </w:t>
      </w:r>
      <w:r w:rsidR="00136426" w:rsidRPr="00B3274C">
        <w:t>n</w:t>
      </w:r>
      <w:r w:rsidR="00136426" w:rsidRPr="00B3274C">
        <w:rPr>
          <w:vertAlign w:val="superscript"/>
        </w:rPr>
        <w:t>o</w:t>
      </w:r>
      <w:r w:rsidR="00136426" w:rsidRPr="00B3274C">
        <w:t> </w:t>
      </w:r>
      <w:r w:rsidR="00FB23D3" w:rsidRPr="00B3274C">
        <w:t>3304/2005 (</w:t>
      </w:r>
      <w:r w:rsidR="00FC408E" w:rsidRPr="00B3274C">
        <w:t xml:space="preserve">Bulletin officiel </w:t>
      </w:r>
      <w:r w:rsidR="00FB23D3" w:rsidRPr="00B3274C">
        <w:t>16A/27-1-2005)</w:t>
      </w:r>
      <w:r w:rsidR="0080611A">
        <w:t>,</w:t>
      </w:r>
      <w:r w:rsidR="00FC408E" w:rsidRPr="00B3274C">
        <w:t xml:space="preserve"> sur</w:t>
      </w:r>
      <w:r w:rsidR="00FB23D3" w:rsidRPr="00B3274C">
        <w:t xml:space="preserve"> </w:t>
      </w:r>
      <w:r w:rsidR="0055418C" w:rsidRPr="00B3274C">
        <w:t>«</w:t>
      </w:r>
      <w:r w:rsidR="00FC408E" w:rsidRPr="00B3274C">
        <w:t>L</w:t>
      </w:r>
      <w:r w:rsidR="0080611A">
        <w:t>’</w:t>
      </w:r>
      <w:r w:rsidR="00FC408E" w:rsidRPr="00B3274C">
        <w:t>a</w:t>
      </w:r>
      <w:r w:rsidR="00FB23D3" w:rsidRPr="00B3274C">
        <w:t xml:space="preserve">pplication </w:t>
      </w:r>
      <w:r w:rsidR="00FC408E" w:rsidRPr="00B3274C">
        <w:t>du principe de l</w:t>
      </w:r>
      <w:r w:rsidR="0080611A">
        <w:t>’</w:t>
      </w:r>
      <w:r w:rsidR="00FC408E" w:rsidRPr="00B3274C">
        <w:t>égalité de traitement indépendamment de l</w:t>
      </w:r>
      <w:r w:rsidR="0080611A">
        <w:t>’</w:t>
      </w:r>
      <w:r w:rsidR="00FC408E" w:rsidRPr="00B3274C">
        <w:t>origine raciale ou ethnique</w:t>
      </w:r>
      <w:r w:rsidR="0080611A">
        <w:t>,</w:t>
      </w:r>
      <w:r w:rsidR="00FC408E" w:rsidRPr="00B3274C">
        <w:t xml:space="preserve"> des convictions religieuses ou autres croyances</w:t>
      </w:r>
      <w:r w:rsidR="0080611A">
        <w:t>,</w:t>
      </w:r>
      <w:r w:rsidR="00FC408E" w:rsidRPr="00B3274C">
        <w:t xml:space="preserve"> du handicap</w:t>
      </w:r>
      <w:r w:rsidR="0080611A">
        <w:t>,</w:t>
      </w:r>
      <w:r w:rsidR="00FC408E" w:rsidRPr="00B3274C">
        <w:t xml:space="preserve"> de l</w:t>
      </w:r>
      <w:r w:rsidR="0080611A">
        <w:t>’</w:t>
      </w:r>
      <w:r w:rsidR="00FC408E" w:rsidRPr="00B3274C">
        <w:t>âge ou de l</w:t>
      </w:r>
      <w:r w:rsidR="0080611A">
        <w:t>’</w:t>
      </w:r>
      <w:r w:rsidR="00FC408E" w:rsidRPr="00B3274C">
        <w:t>orientation sexuelle</w:t>
      </w:r>
      <w:r w:rsidR="00FC408E" w:rsidRPr="00E32056">
        <w:t>»</w:t>
      </w:r>
      <w:r w:rsidR="00FC408E" w:rsidRPr="00B3274C">
        <w:t xml:space="preserve"> a été promulguée</w:t>
      </w:r>
      <w:r w:rsidR="0080611A">
        <w:t>,</w:t>
      </w:r>
      <w:r w:rsidR="00FC408E" w:rsidRPr="00B3274C">
        <w:t xml:space="preserve"> incorporant les deux directives de la Communauté européenne </w:t>
      </w:r>
      <w:r w:rsidR="00136426" w:rsidRPr="00B3274C">
        <w:t>n</w:t>
      </w:r>
      <w:r w:rsidR="00136426" w:rsidRPr="00B3274C">
        <w:rPr>
          <w:vertAlign w:val="superscript"/>
        </w:rPr>
        <w:t>o</w:t>
      </w:r>
      <w:r w:rsidR="00136426" w:rsidRPr="00B3274C">
        <w:t> </w:t>
      </w:r>
      <w:r w:rsidR="00FB23D3" w:rsidRPr="00B3274C">
        <w:t>2000/43/</w:t>
      </w:r>
      <w:r w:rsidR="00FC408E" w:rsidRPr="00B3274C">
        <w:t xml:space="preserve">CE et </w:t>
      </w:r>
      <w:r w:rsidR="00136426" w:rsidRPr="00B3274C">
        <w:t>n</w:t>
      </w:r>
      <w:r w:rsidR="00136426" w:rsidRPr="00B3274C">
        <w:rPr>
          <w:vertAlign w:val="superscript"/>
        </w:rPr>
        <w:t>o</w:t>
      </w:r>
      <w:r w:rsidR="00136426" w:rsidRPr="00B3274C">
        <w:t> </w:t>
      </w:r>
      <w:r w:rsidR="00FB23D3" w:rsidRPr="00B3274C">
        <w:t>2000/78/</w:t>
      </w:r>
      <w:r w:rsidR="00FC408E" w:rsidRPr="00B3274C">
        <w:t>CE dans la législation nationale. Pour plus de détails</w:t>
      </w:r>
      <w:r w:rsidR="0080611A">
        <w:t>,</w:t>
      </w:r>
      <w:r w:rsidR="00FC408E" w:rsidRPr="00B3274C">
        <w:t xml:space="preserve"> voir plus haut la section du présent rapport </w:t>
      </w:r>
      <w:r w:rsidR="007C7CB9" w:rsidRPr="00B3274C">
        <w:t>concernant</w:t>
      </w:r>
      <w:r w:rsidR="00FC408E" w:rsidRPr="00B3274C">
        <w:t xml:space="preserve"> l</w:t>
      </w:r>
      <w:r w:rsidR="0080611A">
        <w:t>’</w:t>
      </w:r>
      <w:r w:rsidR="00597DC4">
        <w:t>article </w:t>
      </w:r>
      <w:r w:rsidR="00FC408E" w:rsidRPr="00B3274C">
        <w:t>2</w:t>
      </w:r>
      <w:r w:rsidR="007C7CB9" w:rsidRPr="00B3274C">
        <w:t xml:space="preserve"> du Pacte</w:t>
      </w:r>
      <w:r w:rsidR="00FB23D3" w:rsidRPr="00B3274C">
        <w:t xml:space="preserve">. </w:t>
      </w:r>
    </w:p>
    <w:p w:rsidR="00FB23D3" w:rsidRPr="00B3274C" w:rsidRDefault="00107A47" w:rsidP="00E32056">
      <w:pPr>
        <w:pStyle w:val="SingleTxtG"/>
        <w:rPr>
          <w:bCs/>
          <w:lang w:val="fr-CA"/>
        </w:rPr>
      </w:pPr>
      <w:r w:rsidRPr="00B3274C">
        <w:rPr>
          <w:bCs/>
          <w:lang w:val="fr-CA"/>
        </w:rPr>
        <w:t>131.</w:t>
      </w:r>
      <w:r w:rsidRPr="00B3274C">
        <w:rPr>
          <w:bCs/>
          <w:lang w:val="fr-CA"/>
        </w:rPr>
        <w:tab/>
      </w:r>
      <w:r w:rsidR="00D855AE" w:rsidRPr="00B3274C">
        <w:rPr>
          <w:bCs/>
          <w:lang w:val="fr-CA"/>
        </w:rPr>
        <w:t>Il convient de noter que le Ministère de l</w:t>
      </w:r>
      <w:r w:rsidR="0080611A">
        <w:rPr>
          <w:bCs/>
          <w:lang w:val="fr-CA"/>
        </w:rPr>
        <w:t>’</w:t>
      </w:r>
      <w:r w:rsidR="00D855AE" w:rsidRPr="00B3274C">
        <w:rPr>
          <w:bCs/>
          <w:lang w:val="fr-CA"/>
        </w:rPr>
        <w:t>emploi et de la protection sociale a mis en œuvre toute une série de mesures visant à faire connaître la nouvelle législation contre la discrimination</w:t>
      </w:r>
      <w:r w:rsidR="00FB23D3" w:rsidRPr="00B3274C">
        <w:rPr>
          <w:lang w:val="fr-CA"/>
        </w:rPr>
        <w:t xml:space="preserve">. </w:t>
      </w:r>
    </w:p>
    <w:p w:rsidR="00FB23D3" w:rsidRPr="00B3274C" w:rsidRDefault="00432CF5" w:rsidP="007E1DA2">
      <w:pPr>
        <w:pStyle w:val="H23G"/>
        <w:rPr>
          <w:lang w:val="fr-CA"/>
        </w:rPr>
      </w:pPr>
      <w:r w:rsidRPr="00B3274C">
        <w:rPr>
          <w:lang w:val="fr-CA"/>
        </w:rPr>
        <w:tab/>
      </w:r>
      <w:r w:rsidR="007E1DA2" w:rsidRPr="00B3274C">
        <w:rPr>
          <w:lang w:val="fr-CA"/>
        </w:rPr>
        <w:t>a)</w:t>
      </w:r>
      <w:r w:rsidRPr="00B3274C">
        <w:rPr>
          <w:lang w:val="fr-CA"/>
        </w:rPr>
        <w:tab/>
      </w:r>
      <w:r w:rsidR="00FB23D3" w:rsidRPr="00B3274C">
        <w:rPr>
          <w:lang w:val="fr-CA"/>
        </w:rPr>
        <w:t xml:space="preserve">Programmes </w:t>
      </w:r>
      <w:r w:rsidR="006613F6" w:rsidRPr="00B3274C">
        <w:rPr>
          <w:lang w:val="fr-CA"/>
        </w:rPr>
        <w:t>visant à garantir l</w:t>
      </w:r>
      <w:r w:rsidR="0080611A">
        <w:rPr>
          <w:lang w:val="fr-CA"/>
        </w:rPr>
        <w:t>’</w:t>
      </w:r>
      <w:r w:rsidR="006613F6" w:rsidRPr="00B3274C">
        <w:rPr>
          <w:lang w:val="fr-CA"/>
        </w:rPr>
        <w:t>accès aux services pour tous</w:t>
      </w:r>
      <w:r w:rsidR="00EC5892" w:rsidRPr="00B3274C">
        <w:rPr>
          <w:lang w:val="fr-CA"/>
        </w:rPr>
        <w:t>:</w:t>
      </w:r>
      <w:r w:rsidR="006613F6" w:rsidRPr="00B3274C">
        <w:rPr>
          <w:lang w:val="fr-CA"/>
        </w:rPr>
        <w:t xml:space="preserve"> Programme communautaire </w:t>
      </w:r>
      <w:r w:rsidR="0055418C" w:rsidRPr="00B3274C">
        <w:rPr>
          <w:lang w:val="fr-CA"/>
        </w:rPr>
        <w:t>«</w:t>
      </w:r>
      <w:r w:rsidR="008C190F" w:rsidRPr="00B3274C">
        <w:rPr>
          <w:lang w:val="fr-CA"/>
        </w:rPr>
        <w:t>P</w:t>
      </w:r>
      <w:r w:rsidR="006613F6" w:rsidRPr="00B3274C">
        <w:rPr>
          <w:lang w:val="fr-CA"/>
        </w:rPr>
        <w:t>our l</w:t>
      </w:r>
      <w:r w:rsidR="0080611A">
        <w:rPr>
          <w:lang w:val="fr-CA"/>
        </w:rPr>
        <w:t>’</w:t>
      </w:r>
      <w:r w:rsidR="006613F6" w:rsidRPr="00B3274C">
        <w:rPr>
          <w:lang w:val="fr-CA"/>
        </w:rPr>
        <w:t>emploi et la solidarité sociale</w:t>
      </w:r>
      <w:r w:rsidR="0055418C" w:rsidRPr="00B3274C">
        <w:rPr>
          <w:lang w:val="fr-CA"/>
        </w:rPr>
        <w:t>»</w:t>
      </w:r>
      <w:r w:rsidR="00F47BAE">
        <w:rPr>
          <w:lang w:val="fr-CA"/>
        </w:rPr>
        <w:t xml:space="preserve"> – </w:t>
      </w:r>
      <w:r w:rsidR="00925544" w:rsidRPr="00B3274C">
        <w:rPr>
          <w:lang w:val="fr-CA"/>
        </w:rPr>
        <w:t xml:space="preserve">Progress </w:t>
      </w:r>
      <w:r w:rsidRPr="00B3274C">
        <w:rPr>
          <w:bCs/>
          <w:lang w:val="fr-CA"/>
        </w:rPr>
        <w:t>(2007-2013)</w:t>
      </w:r>
    </w:p>
    <w:p w:rsidR="00FB23D3" w:rsidRPr="00B3274C" w:rsidRDefault="00107A47" w:rsidP="00107A47">
      <w:pPr>
        <w:pStyle w:val="SingleTxtG"/>
        <w:rPr>
          <w:lang w:val="fr-CA"/>
        </w:rPr>
      </w:pPr>
      <w:r w:rsidRPr="00B3274C">
        <w:rPr>
          <w:lang w:val="fr-CA"/>
        </w:rPr>
        <w:t>132.</w:t>
      </w:r>
      <w:r w:rsidRPr="00B3274C">
        <w:rPr>
          <w:lang w:val="fr-CA"/>
        </w:rPr>
        <w:tab/>
      </w:r>
      <w:r w:rsidR="006613F6" w:rsidRPr="00B3274C">
        <w:rPr>
          <w:lang w:val="fr-CA"/>
        </w:rPr>
        <w:t>Le Ministère du travail et de la sécurité sociale a mis en œuvre</w:t>
      </w:r>
      <w:r w:rsidR="0080611A">
        <w:rPr>
          <w:lang w:val="fr-CA"/>
        </w:rPr>
        <w:t>,</w:t>
      </w:r>
      <w:r w:rsidR="006613F6" w:rsidRPr="00B3274C">
        <w:rPr>
          <w:lang w:val="fr-CA"/>
        </w:rPr>
        <w:t xml:space="preserve"> dans le cadre du Programme communautaire </w:t>
      </w:r>
      <w:r w:rsidR="00FB23D3" w:rsidRPr="00B3274C">
        <w:rPr>
          <w:lang w:val="fr-CA"/>
        </w:rPr>
        <w:t>Progress</w:t>
      </w:r>
      <w:r w:rsidR="0080611A">
        <w:rPr>
          <w:lang w:val="fr-CA"/>
        </w:rPr>
        <w:t>,</w:t>
      </w:r>
      <w:r w:rsidR="006613F6" w:rsidRPr="00B3274C">
        <w:rPr>
          <w:lang w:val="fr-CA"/>
        </w:rPr>
        <w:t xml:space="preserve"> le projet</w:t>
      </w:r>
      <w:r w:rsidR="00563A1E" w:rsidRPr="00B3274C">
        <w:rPr>
          <w:lang w:val="fr-CA"/>
        </w:rPr>
        <w:t xml:space="preserve"> intitulé</w:t>
      </w:r>
      <w:r w:rsidR="006613F6" w:rsidRPr="00B3274C">
        <w:rPr>
          <w:lang w:val="fr-CA"/>
        </w:rPr>
        <w:t xml:space="preserve"> </w:t>
      </w:r>
      <w:r w:rsidR="0055418C" w:rsidRPr="00B3274C">
        <w:rPr>
          <w:lang w:val="fr-CA"/>
        </w:rPr>
        <w:t>«</w:t>
      </w:r>
      <w:r w:rsidR="006613F6" w:rsidRPr="00B3274C">
        <w:rPr>
          <w:lang w:val="fr-CA"/>
        </w:rPr>
        <w:t>Mesures visant à promouvoir le principe de l</w:t>
      </w:r>
      <w:r w:rsidR="0080611A">
        <w:rPr>
          <w:lang w:val="fr-CA"/>
        </w:rPr>
        <w:t>’</w:t>
      </w:r>
      <w:r w:rsidR="006613F6" w:rsidRPr="00B3274C">
        <w:rPr>
          <w:lang w:val="fr-CA"/>
        </w:rPr>
        <w:t>égalité de traitement</w:t>
      </w:r>
      <w:r w:rsidR="0055418C" w:rsidRPr="00B3274C">
        <w:rPr>
          <w:lang w:val="fr-CA"/>
        </w:rPr>
        <w:t>»</w:t>
      </w:r>
      <w:r w:rsidR="006613F6" w:rsidRPr="00B3274C">
        <w:rPr>
          <w:lang w:val="fr-CA"/>
        </w:rPr>
        <w:t xml:space="preserve">. Ce projet comprend les activités </w:t>
      </w:r>
      <w:r w:rsidR="00563A1E" w:rsidRPr="00B3274C">
        <w:rPr>
          <w:lang w:val="fr-CA"/>
        </w:rPr>
        <w:t>ci-après</w:t>
      </w:r>
      <w:r w:rsidR="00EC5892" w:rsidRPr="00B3274C">
        <w:rPr>
          <w:lang w:val="fr-CA"/>
        </w:rPr>
        <w:t>:</w:t>
      </w:r>
      <w:r w:rsidR="006613F6" w:rsidRPr="00B3274C">
        <w:rPr>
          <w:lang w:val="fr-CA"/>
        </w:rPr>
        <w:t xml:space="preserve"> </w:t>
      </w:r>
      <w:r w:rsidR="003F42B4">
        <w:rPr>
          <w:lang w:val="fr-CA"/>
        </w:rPr>
        <w:t>a) </w:t>
      </w:r>
      <w:r w:rsidR="006613F6" w:rsidRPr="00B3274C">
        <w:rPr>
          <w:lang w:val="fr-CA"/>
        </w:rPr>
        <w:t xml:space="preserve">campagne de sensibilisation sur le thème suivant </w:t>
      </w:r>
      <w:r w:rsidR="0055418C" w:rsidRPr="00B3274C">
        <w:rPr>
          <w:lang w:val="fr-CA"/>
        </w:rPr>
        <w:t>«</w:t>
      </w:r>
      <w:r w:rsidR="006613F6" w:rsidRPr="00B3274C">
        <w:rPr>
          <w:lang w:val="fr-CA"/>
        </w:rPr>
        <w:t>Faire de l</w:t>
      </w:r>
      <w:r w:rsidR="0080611A">
        <w:rPr>
          <w:lang w:val="fr-CA"/>
        </w:rPr>
        <w:t>’</w:t>
      </w:r>
      <w:r w:rsidR="006613F6" w:rsidRPr="00B3274C">
        <w:rPr>
          <w:lang w:val="fr-CA"/>
        </w:rPr>
        <w:t>égalité une réalité</w:t>
      </w:r>
      <w:r w:rsidR="0055418C" w:rsidRPr="00B3274C">
        <w:rPr>
          <w:lang w:val="fr-CA"/>
        </w:rPr>
        <w:t>»</w:t>
      </w:r>
      <w:r w:rsidR="0080611A">
        <w:rPr>
          <w:lang w:val="fr-CA"/>
        </w:rPr>
        <w:t>,</w:t>
      </w:r>
      <w:r w:rsidR="006613F6" w:rsidRPr="00B3274C">
        <w:rPr>
          <w:lang w:val="fr-CA"/>
        </w:rPr>
        <w:t xml:space="preserve"> </w:t>
      </w:r>
      <w:r w:rsidR="003F42B4">
        <w:rPr>
          <w:lang w:val="fr-CA"/>
        </w:rPr>
        <w:t>b) </w:t>
      </w:r>
      <w:r w:rsidR="006613F6" w:rsidRPr="00B3274C">
        <w:rPr>
          <w:lang w:val="fr-CA"/>
        </w:rPr>
        <w:t>séminaire de formation à l</w:t>
      </w:r>
      <w:r w:rsidR="0080611A">
        <w:rPr>
          <w:lang w:val="fr-CA"/>
        </w:rPr>
        <w:t>’</w:t>
      </w:r>
      <w:r w:rsidR="006613F6" w:rsidRPr="00B3274C">
        <w:rPr>
          <w:lang w:val="fr-CA"/>
        </w:rPr>
        <w:t xml:space="preserve">intention des juges et </w:t>
      </w:r>
      <w:r w:rsidR="003F42B4">
        <w:rPr>
          <w:lang w:val="fr-CA"/>
        </w:rPr>
        <w:t>c) </w:t>
      </w:r>
      <w:r w:rsidR="006613F6" w:rsidRPr="00B3274C">
        <w:rPr>
          <w:lang w:val="fr-CA"/>
        </w:rPr>
        <w:t>lutte contre la discrimination fondée sur le handicap dans le domaine du travail et de l</w:t>
      </w:r>
      <w:r w:rsidR="0080611A">
        <w:rPr>
          <w:lang w:val="fr-CA"/>
        </w:rPr>
        <w:t>’</w:t>
      </w:r>
      <w:r w:rsidR="006613F6" w:rsidRPr="00B3274C">
        <w:rPr>
          <w:lang w:val="fr-CA"/>
        </w:rPr>
        <w:t>emploi</w:t>
      </w:r>
      <w:r w:rsidR="00FB23D3" w:rsidRPr="00B3274C">
        <w:rPr>
          <w:lang w:val="fr-CA"/>
        </w:rPr>
        <w:t>.</w:t>
      </w:r>
    </w:p>
    <w:p w:rsidR="00FB23D3" w:rsidRPr="00B3274C" w:rsidRDefault="00432CF5" w:rsidP="007E1DA2">
      <w:pPr>
        <w:pStyle w:val="H23G"/>
        <w:rPr>
          <w:lang w:val="fr-CA"/>
        </w:rPr>
      </w:pPr>
      <w:r w:rsidRPr="00B3274C">
        <w:rPr>
          <w:lang w:val="fr-CA"/>
        </w:rPr>
        <w:tab/>
      </w:r>
      <w:r w:rsidR="007E1DA2" w:rsidRPr="00B3274C">
        <w:rPr>
          <w:lang w:val="fr-CA"/>
        </w:rPr>
        <w:t>b)</w:t>
      </w:r>
      <w:r w:rsidRPr="00B3274C">
        <w:rPr>
          <w:lang w:val="fr-CA"/>
        </w:rPr>
        <w:tab/>
      </w:r>
      <w:r w:rsidR="006613F6" w:rsidRPr="00B3274C">
        <w:rPr>
          <w:lang w:val="fr-CA"/>
        </w:rPr>
        <w:t xml:space="preserve">Programme opérationnel </w:t>
      </w:r>
      <w:r w:rsidR="0055418C" w:rsidRPr="00B3274C">
        <w:rPr>
          <w:lang w:val="fr-CA"/>
        </w:rPr>
        <w:t>«</w:t>
      </w:r>
      <w:r w:rsidR="006613F6" w:rsidRPr="00B3274C">
        <w:rPr>
          <w:lang w:val="fr-CA"/>
        </w:rPr>
        <w:t xml:space="preserve">Développement des ressources humaines </w:t>
      </w:r>
      <w:r w:rsidR="00EC23F8" w:rsidRPr="00B3274C">
        <w:rPr>
          <w:lang w:val="fr-CA"/>
        </w:rPr>
        <w:t>2007-2013</w:t>
      </w:r>
      <w:r w:rsidR="0055418C" w:rsidRPr="00B3274C">
        <w:rPr>
          <w:lang w:val="fr-CA"/>
        </w:rPr>
        <w:t>»</w:t>
      </w:r>
    </w:p>
    <w:p w:rsidR="00FB23D3" w:rsidRPr="00B3274C" w:rsidRDefault="00107A47" w:rsidP="00107A47">
      <w:pPr>
        <w:pStyle w:val="SingleTxtG"/>
        <w:rPr>
          <w:lang w:val="fr-CA"/>
        </w:rPr>
      </w:pPr>
      <w:r w:rsidRPr="00B3274C">
        <w:rPr>
          <w:lang w:val="fr-CA"/>
        </w:rPr>
        <w:t>133.</w:t>
      </w:r>
      <w:r w:rsidRPr="00B3274C">
        <w:rPr>
          <w:lang w:val="fr-CA"/>
        </w:rPr>
        <w:tab/>
      </w:r>
      <w:r w:rsidR="00EC23F8" w:rsidRPr="00B3274C">
        <w:rPr>
          <w:lang w:val="fr-CA"/>
        </w:rPr>
        <w:t xml:space="preserve">Dans le cadre du Programme opérationnel </w:t>
      </w:r>
      <w:r w:rsidR="0055418C" w:rsidRPr="00B3274C">
        <w:rPr>
          <w:lang w:val="fr-CA"/>
        </w:rPr>
        <w:t>«</w:t>
      </w:r>
      <w:r w:rsidR="00EC23F8" w:rsidRPr="00B3274C">
        <w:rPr>
          <w:lang w:val="fr-CA"/>
        </w:rPr>
        <w:t>Développement des ressources humaines</w:t>
      </w:r>
      <w:r w:rsidR="0055418C" w:rsidRPr="00B3274C">
        <w:rPr>
          <w:lang w:val="fr-CA"/>
        </w:rPr>
        <w:t>»</w:t>
      </w:r>
      <w:r w:rsidR="00EC23F8" w:rsidRPr="00B3274C">
        <w:rPr>
          <w:lang w:val="fr-CA"/>
        </w:rPr>
        <w:t xml:space="preserve"> pour la période de programmation </w:t>
      </w:r>
      <w:r w:rsidR="00FB23D3" w:rsidRPr="00B3274C">
        <w:rPr>
          <w:szCs w:val="25"/>
          <w:lang w:val="fr-CA"/>
        </w:rPr>
        <w:t>2007-2013</w:t>
      </w:r>
      <w:r w:rsidR="0080611A">
        <w:rPr>
          <w:szCs w:val="25"/>
          <w:lang w:val="fr-CA"/>
        </w:rPr>
        <w:t>,</w:t>
      </w:r>
      <w:r w:rsidR="00EC23F8" w:rsidRPr="00B3274C">
        <w:rPr>
          <w:szCs w:val="25"/>
          <w:lang w:val="fr-CA"/>
        </w:rPr>
        <w:t xml:space="preserve"> le domaine d</w:t>
      </w:r>
      <w:r w:rsidR="0080611A">
        <w:rPr>
          <w:szCs w:val="25"/>
          <w:lang w:val="fr-CA"/>
        </w:rPr>
        <w:t>’</w:t>
      </w:r>
      <w:r w:rsidR="00EC23F8" w:rsidRPr="00B3274C">
        <w:rPr>
          <w:szCs w:val="25"/>
          <w:lang w:val="fr-CA"/>
        </w:rPr>
        <w:t>activité prioritaire</w:t>
      </w:r>
      <w:r w:rsidR="00EC5892" w:rsidRPr="00B3274C">
        <w:rPr>
          <w:szCs w:val="25"/>
          <w:lang w:val="fr-CA"/>
        </w:rPr>
        <w:t>:</w:t>
      </w:r>
      <w:r w:rsidR="00EC23F8" w:rsidRPr="00B3274C">
        <w:rPr>
          <w:szCs w:val="25"/>
          <w:lang w:val="fr-CA"/>
        </w:rPr>
        <w:t xml:space="preserve"> </w:t>
      </w:r>
      <w:r w:rsidR="0055418C" w:rsidRPr="00B3274C">
        <w:rPr>
          <w:szCs w:val="25"/>
          <w:lang w:val="fr-CA"/>
        </w:rPr>
        <w:t>«</w:t>
      </w:r>
      <w:r w:rsidR="00EC23F8" w:rsidRPr="00B3274C">
        <w:rPr>
          <w:szCs w:val="25"/>
          <w:lang w:val="fr-CA"/>
        </w:rPr>
        <w:t>Pleine intégration de l</w:t>
      </w:r>
      <w:r w:rsidR="0080611A">
        <w:rPr>
          <w:szCs w:val="25"/>
          <w:lang w:val="fr-CA"/>
        </w:rPr>
        <w:t>’</w:t>
      </w:r>
      <w:r w:rsidR="00EC23F8" w:rsidRPr="00B3274C">
        <w:rPr>
          <w:szCs w:val="25"/>
          <w:lang w:val="fr-CA"/>
        </w:rPr>
        <w:t>ensemble des ressources humaines dans une société de l</w:t>
      </w:r>
      <w:r w:rsidR="0080611A">
        <w:rPr>
          <w:szCs w:val="25"/>
          <w:lang w:val="fr-CA"/>
        </w:rPr>
        <w:t>’</w:t>
      </w:r>
      <w:r w:rsidR="00EC23F8" w:rsidRPr="00B3274C">
        <w:rPr>
          <w:szCs w:val="25"/>
          <w:lang w:val="fr-CA"/>
        </w:rPr>
        <w:t>égalité des chances» comprend</w:t>
      </w:r>
      <w:r w:rsidR="0080611A">
        <w:rPr>
          <w:szCs w:val="25"/>
          <w:lang w:val="fr-CA"/>
        </w:rPr>
        <w:t>,</w:t>
      </w:r>
      <w:r w:rsidR="00EC23F8" w:rsidRPr="00B3274C">
        <w:rPr>
          <w:szCs w:val="25"/>
          <w:lang w:val="fr-CA"/>
        </w:rPr>
        <w:t xml:space="preserve"> entre autres initiatives</w:t>
      </w:r>
      <w:r w:rsidR="0080611A">
        <w:rPr>
          <w:szCs w:val="25"/>
          <w:lang w:val="fr-CA"/>
        </w:rPr>
        <w:t>,</w:t>
      </w:r>
      <w:r w:rsidR="00EC23F8" w:rsidRPr="00B3274C">
        <w:rPr>
          <w:szCs w:val="25"/>
          <w:lang w:val="fr-CA"/>
        </w:rPr>
        <w:t xml:space="preserve"> une catégorie d</w:t>
      </w:r>
      <w:r w:rsidR="0080611A">
        <w:rPr>
          <w:szCs w:val="25"/>
          <w:lang w:val="fr-CA"/>
        </w:rPr>
        <w:t>’</w:t>
      </w:r>
      <w:r w:rsidR="00EC23F8" w:rsidRPr="00B3274C">
        <w:rPr>
          <w:szCs w:val="25"/>
          <w:lang w:val="fr-CA"/>
        </w:rPr>
        <w:t>interventions visant à prévenir et à combattre l</w:t>
      </w:r>
      <w:r w:rsidR="0080611A">
        <w:rPr>
          <w:szCs w:val="25"/>
          <w:lang w:val="fr-CA"/>
        </w:rPr>
        <w:t>’</w:t>
      </w:r>
      <w:r w:rsidR="00EC23F8" w:rsidRPr="00B3274C">
        <w:rPr>
          <w:szCs w:val="25"/>
          <w:lang w:val="fr-CA"/>
        </w:rPr>
        <w:t>exclusion sociale de</w:t>
      </w:r>
      <w:r w:rsidR="00F417B6" w:rsidRPr="00B3274C">
        <w:rPr>
          <w:szCs w:val="25"/>
          <w:lang w:val="fr-CA"/>
        </w:rPr>
        <w:t>s groupes de population</w:t>
      </w:r>
      <w:r w:rsidR="00EC23F8" w:rsidRPr="00B3274C">
        <w:rPr>
          <w:szCs w:val="25"/>
          <w:lang w:val="fr-CA"/>
        </w:rPr>
        <w:t xml:space="preserve"> vulnérables</w:t>
      </w:r>
      <w:r w:rsidR="00EC5892" w:rsidRPr="00B3274C">
        <w:rPr>
          <w:szCs w:val="25"/>
          <w:lang w:val="fr-CA"/>
        </w:rPr>
        <w:t>;</w:t>
      </w:r>
      <w:r w:rsidR="00EC23F8" w:rsidRPr="00B3274C">
        <w:rPr>
          <w:szCs w:val="25"/>
          <w:lang w:val="fr-CA"/>
        </w:rPr>
        <w:t xml:space="preserve"> il s</w:t>
      </w:r>
      <w:r w:rsidR="0080611A">
        <w:rPr>
          <w:szCs w:val="25"/>
          <w:lang w:val="fr-CA"/>
        </w:rPr>
        <w:t>’</w:t>
      </w:r>
      <w:r w:rsidR="00EC23F8" w:rsidRPr="00B3274C">
        <w:rPr>
          <w:szCs w:val="25"/>
          <w:lang w:val="fr-CA"/>
        </w:rPr>
        <w:t>agit de mettre en œuvre des interventions ciblées en faveur de l</w:t>
      </w:r>
      <w:r w:rsidR="0080611A">
        <w:rPr>
          <w:szCs w:val="25"/>
          <w:lang w:val="fr-CA"/>
        </w:rPr>
        <w:t>’</w:t>
      </w:r>
      <w:r w:rsidR="00EC23F8" w:rsidRPr="00B3274C">
        <w:rPr>
          <w:szCs w:val="25"/>
          <w:lang w:val="fr-CA"/>
        </w:rPr>
        <w:t>intégration sociale et professio</w:t>
      </w:r>
      <w:r w:rsidR="00F417B6" w:rsidRPr="00B3274C">
        <w:rPr>
          <w:szCs w:val="25"/>
          <w:lang w:val="fr-CA"/>
        </w:rPr>
        <w:t>nnelle de groupes de population</w:t>
      </w:r>
      <w:r w:rsidR="00EC23F8" w:rsidRPr="00B3274C">
        <w:rPr>
          <w:szCs w:val="25"/>
          <w:lang w:val="fr-CA"/>
        </w:rPr>
        <w:t xml:space="preserve"> vulnérables</w:t>
      </w:r>
      <w:r w:rsidR="0080611A">
        <w:rPr>
          <w:szCs w:val="25"/>
          <w:lang w:val="fr-CA"/>
        </w:rPr>
        <w:t>,</w:t>
      </w:r>
      <w:r w:rsidR="00EC23F8" w:rsidRPr="00B3274C">
        <w:rPr>
          <w:szCs w:val="25"/>
          <w:lang w:val="fr-CA"/>
        </w:rPr>
        <w:t xml:space="preserve"> y compris des groupes présentant des différences culturelles et/ou religieuses</w:t>
      </w:r>
      <w:r w:rsidR="0080611A">
        <w:rPr>
          <w:szCs w:val="25"/>
          <w:lang w:val="fr-CA"/>
        </w:rPr>
        <w:t>,</w:t>
      </w:r>
      <w:r w:rsidR="00EC23F8" w:rsidRPr="00B3274C">
        <w:rPr>
          <w:szCs w:val="25"/>
          <w:lang w:val="fr-CA"/>
        </w:rPr>
        <w:t xml:space="preserve"> tels que les Roms. </w:t>
      </w:r>
    </w:p>
    <w:p w:rsidR="00FB23D3" w:rsidRPr="00B3274C" w:rsidRDefault="00432CF5" w:rsidP="007E1DA2">
      <w:pPr>
        <w:pStyle w:val="H23G"/>
        <w:rPr>
          <w:lang w:val="fr-CA"/>
        </w:rPr>
      </w:pPr>
      <w:r w:rsidRPr="00B3274C">
        <w:rPr>
          <w:lang w:val="fr-CA"/>
        </w:rPr>
        <w:tab/>
      </w:r>
      <w:r w:rsidR="007E1DA2" w:rsidRPr="00B3274C">
        <w:rPr>
          <w:lang w:val="fr-CA"/>
        </w:rPr>
        <w:t>5.</w:t>
      </w:r>
      <w:r w:rsidRPr="00B3274C">
        <w:rPr>
          <w:lang w:val="fr-CA"/>
        </w:rPr>
        <w:tab/>
      </w:r>
      <w:r w:rsidR="00916572" w:rsidRPr="00B3274C">
        <w:rPr>
          <w:lang w:val="fr-CA"/>
        </w:rPr>
        <w:t>Mesures de protection et d</w:t>
      </w:r>
      <w:r w:rsidR="0080611A">
        <w:rPr>
          <w:lang w:val="fr-CA"/>
        </w:rPr>
        <w:t>’</w:t>
      </w:r>
      <w:r w:rsidR="00916572" w:rsidRPr="00B3274C">
        <w:rPr>
          <w:lang w:val="fr-CA"/>
        </w:rPr>
        <w:t xml:space="preserve">assistance </w:t>
      </w:r>
      <w:r w:rsidR="00A10C3D" w:rsidRPr="00B3274C">
        <w:rPr>
          <w:lang w:val="fr-CA"/>
        </w:rPr>
        <w:t xml:space="preserve">en faveur </w:t>
      </w:r>
      <w:r w:rsidR="00916572" w:rsidRPr="00B3274C">
        <w:rPr>
          <w:lang w:val="fr-CA"/>
        </w:rPr>
        <w:t>des enfants dans le domaine de l</w:t>
      </w:r>
      <w:r w:rsidR="0080611A">
        <w:rPr>
          <w:lang w:val="fr-CA"/>
        </w:rPr>
        <w:t>’</w:t>
      </w:r>
      <w:r w:rsidR="00916572" w:rsidRPr="00B3274C">
        <w:rPr>
          <w:lang w:val="fr-CA"/>
        </w:rPr>
        <w:t>emploi (</w:t>
      </w:r>
      <w:r w:rsidR="00DA5885" w:rsidRPr="00B3274C">
        <w:rPr>
          <w:lang w:val="fr-CA"/>
        </w:rPr>
        <w:t xml:space="preserve">par. </w:t>
      </w:r>
      <w:r w:rsidR="00916572" w:rsidRPr="00B3274C">
        <w:rPr>
          <w:lang w:val="fr-CA"/>
        </w:rPr>
        <w:t>19</w:t>
      </w:r>
      <w:r w:rsidR="00A10C3D" w:rsidRPr="00B3274C">
        <w:rPr>
          <w:lang w:val="fr-CA"/>
        </w:rPr>
        <w:t xml:space="preserve"> et </w:t>
      </w:r>
      <w:r w:rsidR="00916572" w:rsidRPr="00B3274C">
        <w:rPr>
          <w:lang w:val="fr-CA"/>
        </w:rPr>
        <w:t>40</w:t>
      </w:r>
      <w:r w:rsidR="0080611A">
        <w:rPr>
          <w:lang w:val="fr-CA"/>
        </w:rPr>
        <w:t>,</w:t>
      </w:r>
      <w:r w:rsidR="00916572" w:rsidRPr="00B3274C">
        <w:rPr>
          <w:lang w:val="fr-CA"/>
        </w:rPr>
        <w:t xml:space="preserve"> 17</w:t>
      </w:r>
      <w:r w:rsidR="0080611A">
        <w:rPr>
          <w:lang w:val="fr-CA"/>
        </w:rPr>
        <w:t>,</w:t>
      </w:r>
      <w:r w:rsidR="00916572" w:rsidRPr="00B3274C">
        <w:rPr>
          <w:lang w:val="fr-CA"/>
        </w:rPr>
        <w:t xml:space="preserve"> 38 et 39 des observations finales du Comité) </w:t>
      </w:r>
    </w:p>
    <w:p w:rsidR="00FB23D3" w:rsidRPr="00B3274C" w:rsidRDefault="00107A47" w:rsidP="00107A47">
      <w:pPr>
        <w:pStyle w:val="SingleTxtG"/>
        <w:rPr>
          <w:szCs w:val="25"/>
          <w:lang w:val="fr-CA"/>
        </w:rPr>
      </w:pPr>
      <w:r w:rsidRPr="00B3274C">
        <w:rPr>
          <w:lang w:val="fr-CA"/>
        </w:rPr>
        <w:t>134.</w:t>
      </w:r>
      <w:r w:rsidRPr="00B3274C">
        <w:rPr>
          <w:lang w:val="fr-CA"/>
        </w:rPr>
        <w:tab/>
      </w:r>
      <w:r w:rsidR="00A10C3D" w:rsidRPr="00B3274C">
        <w:rPr>
          <w:lang w:val="fr-CA"/>
        </w:rPr>
        <w:t>L</w:t>
      </w:r>
      <w:r w:rsidR="0080611A">
        <w:rPr>
          <w:lang w:val="fr-CA"/>
        </w:rPr>
        <w:t>’</w:t>
      </w:r>
      <w:r w:rsidR="00A10C3D" w:rsidRPr="00B3274C">
        <w:rPr>
          <w:lang w:val="fr-CA"/>
        </w:rPr>
        <w:t>Inspection du travail (SEPE) supervise et contrôle l</w:t>
      </w:r>
      <w:r w:rsidR="0080611A">
        <w:rPr>
          <w:lang w:val="fr-CA"/>
        </w:rPr>
        <w:t>’</w:t>
      </w:r>
      <w:r w:rsidR="00A10C3D" w:rsidRPr="00B3274C">
        <w:rPr>
          <w:lang w:val="fr-CA"/>
        </w:rPr>
        <w:t>application de la législation du travail en ce qui concerne le</w:t>
      </w:r>
      <w:r w:rsidR="00E86298" w:rsidRPr="00B3274C">
        <w:rPr>
          <w:lang w:val="fr-CA"/>
        </w:rPr>
        <w:t>s</w:t>
      </w:r>
      <w:r w:rsidR="00A10C3D" w:rsidRPr="00B3274C">
        <w:rPr>
          <w:lang w:val="fr-CA"/>
        </w:rPr>
        <w:t xml:space="preserve"> mineurs. La SEPE</w:t>
      </w:r>
      <w:r w:rsidR="00E86298" w:rsidRPr="00B3274C">
        <w:rPr>
          <w:lang w:val="fr-CA"/>
        </w:rPr>
        <w:t xml:space="preserve"> est habilitée à délivrer des livrets de travail aux mineurs (de plus de 15</w:t>
      </w:r>
      <w:r w:rsidR="004C055A">
        <w:rPr>
          <w:lang w:val="fr-CA"/>
        </w:rPr>
        <w:t> ans</w:t>
      </w:r>
      <w:r w:rsidR="00E86298" w:rsidRPr="00B3274C">
        <w:rPr>
          <w:lang w:val="fr-CA"/>
        </w:rPr>
        <w:t>) après un examen médical pour qu</w:t>
      </w:r>
      <w:r w:rsidR="0080611A">
        <w:rPr>
          <w:lang w:val="fr-CA"/>
        </w:rPr>
        <w:t>’</w:t>
      </w:r>
      <w:r w:rsidR="00E86298" w:rsidRPr="00B3274C">
        <w:rPr>
          <w:lang w:val="fr-CA"/>
        </w:rPr>
        <w:t xml:space="preserve">ils soient autorisés à travailler dans des entreprises. Les employeurs et </w:t>
      </w:r>
      <w:r w:rsidR="00614BAC">
        <w:rPr>
          <w:lang w:val="fr-CA"/>
        </w:rPr>
        <w:t>les personnes</w:t>
      </w:r>
      <w:r w:rsidR="00E86298" w:rsidRPr="00B3274C">
        <w:rPr>
          <w:lang w:val="fr-CA"/>
        </w:rPr>
        <w:t xml:space="preserve"> ayant la garde de mineurs </w:t>
      </w:r>
      <w:r w:rsidR="00205ECC" w:rsidRPr="00B3274C">
        <w:rPr>
          <w:lang w:val="fr-CA"/>
        </w:rPr>
        <w:t>qui exercent</w:t>
      </w:r>
      <w:r w:rsidR="00E86298" w:rsidRPr="00B3274C">
        <w:rPr>
          <w:lang w:val="fr-CA"/>
        </w:rPr>
        <w:t xml:space="preserve"> une profession ou une activité que la loi leur interdit d</w:t>
      </w:r>
      <w:r w:rsidR="0080611A">
        <w:rPr>
          <w:lang w:val="fr-CA"/>
        </w:rPr>
        <w:t>’</w:t>
      </w:r>
      <w:r w:rsidR="00E86298" w:rsidRPr="00B3274C">
        <w:rPr>
          <w:lang w:val="fr-CA"/>
        </w:rPr>
        <w:t>exercer seront punis d</w:t>
      </w:r>
      <w:r w:rsidR="0080611A">
        <w:rPr>
          <w:lang w:val="fr-CA"/>
        </w:rPr>
        <w:t>’</w:t>
      </w:r>
      <w:r w:rsidR="00E86298" w:rsidRPr="00B3274C">
        <w:rPr>
          <w:lang w:val="fr-CA"/>
        </w:rPr>
        <w:t>une peine d</w:t>
      </w:r>
      <w:r w:rsidR="0080611A">
        <w:rPr>
          <w:lang w:val="fr-CA"/>
        </w:rPr>
        <w:t>’</w:t>
      </w:r>
      <w:r w:rsidR="00E86298" w:rsidRPr="00B3274C">
        <w:rPr>
          <w:lang w:val="fr-CA"/>
        </w:rPr>
        <w:t>emprisonnement de deux</w:t>
      </w:r>
      <w:r w:rsidR="004C055A">
        <w:rPr>
          <w:lang w:val="fr-CA"/>
        </w:rPr>
        <w:t> ans</w:t>
      </w:r>
      <w:r w:rsidR="00E86298" w:rsidRPr="00B3274C">
        <w:rPr>
          <w:lang w:val="fr-CA"/>
        </w:rPr>
        <w:t xml:space="preserve"> maximum et d</w:t>
      </w:r>
      <w:r w:rsidR="0080611A">
        <w:rPr>
          <w:lang w:val="fr-CA"/>
        </w:rPr>
        <w:t>’</w:t>
      </w:r>
      <w:r w:rsidR="00E86298" w:rsidRPr="00B3274C">
        <w:rPr>
          <w:lang w:val="fr-CA"/>
        </w:rPr>
        <w:t>une amende</w:t>
      </w:r>
      <w:r w:rsidR="00EC5892" w:rsidRPr="00B3274C">
        <w:rPr>
          <w:lang w:val="fr-CA"/>
        </w:rPr>
        <w:t>;</w:t>
      </w:r>
      <w:r w:rsidR="00E86298" w:rsidRPr="00B3274C">
        <w:rPr>
          <w:lang w:val="fr-CA"/>
        </w:rPr>
        <w:t xml:space="preserve"> des sanctions administratives seront prises en outre à l</w:t>
      </w:r>
      <w:r w:rsidR="0080611A">
        <w:rPr>
          <w:lang w:val="fr-CA"/>
        </w:rPr>
        <w:t>’</w:t>
      </w:r>
      <w:r w:rsidR="00E86298" w:rsidRPr="00B3274C">
        <w:rPr>
          <w:lang w:val="fr-CA"/>
        </w:rPr>
        <w:t xml:space="preserve">encontre des employeurs. </w:t>
      </w:r>
    </w:p>
    <w:p w:rsidR="00FB23D3" w:rsidRPr="00B3274C" w:rsidRDefault="00107A47" w:rsidP="00107A47">
      <w:pPr>
        <w:pStyle w:val="SingleTxtG"/>
        <w:rPr>
          <w:lang w:val="fr-CA"/>
        </w:rPr>
      </w:pPr>
      <w:r w:rsidRPr="00B3274C">
        <w:rPr>
          <w:lang w:val="fr-CA"/>
        </w:rPr>
        <w:t>135.</w:t>
      </w:r>
      <w:r w:rsidRPr="00B3274C">
        <w:rPr>
          <w:lang w:val="fr-CA"/>
        </w:rPr>
        <w:tab/>
      </w:r>
      <w:r w:rsidR="00205ECC" w:rsidRPr="00B3274C">
        <w:rPr>
          <w:szCs w:val="25"/>
          <w:lang w:val="fr-CA"/>
        </w:rPr>
        <w:t>E</w:t>
      </w:r>
      <w:r w:rsidR="00FB23D3" w:rsidRPr="00B3274C">
        <w:rPr>
          <w:szCs w:val="25"/>
          <w:lang w:val="fr-CA"/>
        </w:rPr>
        <w:t>n 2010</w:t>
      </w:r>
      <w:r w:rsidR="0080611A">
        <w:rPr>
          <w:szCs w:val="25"/>
          <w:lang w:val="fr-CA"/>
        </w:rPr>
        <w:t>,</w:t>
      </w:r>
      <w:r w:rsidR="00FB23D3" w:rsidRPr="00B3274C">
        <w:rPr>
          <w:szCs w:val="25"/>
          <w:lang w:val="fr-CA"/>
        </w:rPr>
        <w:t xml:space="preserve"> </w:t>
      </w:r>
      <w:r w:rsidR="006836A2" w:rsidRPr="00B3274C">
        <w:rPr>
          <w:szCs w:val="25"/>
          <w:lang w:val="fr-CA"/>
        </w:rPr>
        <w:t xml:space="preserve">conformément à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szCs w:val="25"/>
          <w:lang w:val="fr-CA"/>
        </w:rPr>
        <w:t xml:space="preserve">3850/2010 </w:t>
      </w:r>
      <w:r w:rsidR="006836A2" w:rsidRPr="00B3274C">
        <w:rPr>
          <w:szCs w:val="25"/>
          <w:lang w:val="fr-CA"/>
        </w:rPr>
        <w:t xml:space="preserve">sur la </w:t>
      </w:r>
      <w:r w:rsidR="00111333">
        <w:rPr>
          <w:szCs w:val="25"/>
          <w:lang w:val="fr-CA"/>
        </w:rPr>
        <w:t>r</w:t>
      </w:r>
      <w:r w:rsidR="006836A2" w:rsidRPr="00B3274C">
        <w:rPr>
          <w:szCs w:val="25"/>
          <w:lang w:val="fr-CA"/>
        </w:rPr>
        <w:t>atification du Code des lois sur la santé et la sécurité des travailleurs</w:t>
      </w:r>
      <w:r w:rsidR="0080611A">
        <w:rPr>
          <w:szCs w:val="25"/>
          <w:lang w:val="fr-CA"/>
        </w:rPr>
        <w:t>,</w:t>
      </w:r>
      <w:r w:rsidR="006836A2" w:rsidRPr="00B3274C">
        <w:rPr>
          <w:szCs w:val="25"/>
          <w:lang w:val="fr-CA"/>
        </w:rPr>
        <w:t xml:space="preserve"> 1</w:t>
      </w:r>
      <w:r w:rsidR="007C5218">
        <w:rPr>
          <w:szCs w:val="25"/>
          <w:lang w:val="fr-CA"/>
        </w:rPr>
        <w:t> </w:t>
      </w:r>
      <w:r w:rsidR="006836A2" w:rsidRPr="00B3274C">
        <w:rPr>
          <w:szCs w:val="25"/>
          <w:lang w:val="fr-CA"/>
        </w:rPr>
        <w:t>462 livrets de travail ont été délivrés à des travailleurs mineurs</w:t>
      </w:r>
      <w:r w:rsidR="0080611A">
        <w:rPr>
          <w:szCs w:val="25"/>
          <w:lang w:val="fr-CA"/>
        </w:rPr>
        <w:t>,</w:t>
      </w:r>
      <w:r w:rsidR="006836A2" w:rsidRPr="00B3274C">
        <w:rPr>
          <w:szCs w:val="25"/>
          <w:lang w:val="fr-CA"/>
        </w:rPr>
        <w:t xml:space="preserve"> après des examens médicaux effectués par des médecins de l</w:t>
      </w:r>
      <w:r w:rsidR="0080611A">
        <w:rPr>
          <w:szCs w:val="25"/>
          <w:lang w:val="fr-CA"/>
        </w:rPr>
        <w:t>’</w:t>
      </w:r>
      <w:r w:rsidR="006836A2" w:rsidRPr="00B3274C">
        <w:rPr>
          <w:szCs w:val="25"/>
          <w:lang w:val="fr-CA"/>
        </w:rPr>
        <w:t>Institut des assurances sociales (IKA). En 2011</w:t>
      </w:r>
      <w:r w:rsidR="0080611A">
        <w:rPr>
          <w:szCs w:val="25"/>
          <w:lang w:val="fr-CA"/>
        </w:rPr>
        <w:t>,</w:t>
      </w:r>
      <w:r w:rsidR="006836A2" w:rsidRPr="00B3274C">
        <w:rPr>
          <w:szCs w:val="25"/>
          <w:lang w:val="fr-CA"/>
        </w:rPr>
        <w:t xml:space="preserve"> 874 livrets de travail ont été délivrés</w:t>
      </w:r>
      <w:r w:rsidR="0080611A">
        <w:rPr>
          <w:szCs w:val="25"/>
          <w:lang w:val="fr-CA"/>
        </w:rPr>
        <w:t>,</w:t>
      </w:r>
      <w:r w:rsidR="006836A2" w:rsidRPr="00B3274C">
        <w:rPr>
          <w:szCs w:val="25"/>
          <w:lang w:val="fr-CA"/>
        </w:rPr>
        <w:t xml:space="preserve"> 480 à des garçons et 394 à des filles. Par ailleurs</w:t>
      </w:r>
      <w:r w:rsidR="0080611A">
        <w:rPr>
          <w:szCs w:val="25"/>
          <w:lang w:val="fr-CA"/>
        </w:rPr>
        <w:t>,</w:t>
      </w:r>
      <w:r w:rsidR="006836A2" w:rsidRPr="00B3274C">
        <w:rPr>
          <w:szCs w:val="25"/>
          <w:lang w:val="fr-CA"/>
        </w:rPr>
        <w:t xml:space="preserve"> en 2010</w:t>
      </w:r>
      <w:r w:rsidR="0080611A">
        <w:rPr>
          <w:szCs w:val="25"/>
          <w:lang w:val="fr-CA"/>
        </w:rPr>
        <w:t>,</w:t>
      </w:r>
      <w:r w:rsidR="006836A2" w:rsidRPr="00B3274C">
        <w:rPr>
          <w:szCs w:val="25"/>
          <w:lang w:val="fr-CA"/>
        </w:rPr>
        <w:t xml:space="preserve"> 3 plaintes ont été déposées pour emploi illégal de mineurs et 4 amendes ont été infligées tandis qu</w:t>
      </w:r>
      <w:r w:rsidR="0080611A">
        <w:rPr>
          <w:szCs w:val="25"/>
          <w:lang w:val="fr-CA"/>
        </w:rPr>
        <w:t>’</w:t>
      </w:r>
      <w:r w:rsidR="006836A2" w:rsidRPr="00B3274C">
        <w:rPr>
          <w:szCs w:val="25"/>
          <w:lang w:val="fr-CA"/>
        </w:rPr>
        <w:t>en 2011</w:t>
      </w:r>
      <w:r w:rsidR="0080611A">
        <w:rPr>
          <w:szCs w:val="25"/>
          <w:lang w:val="fr-CA"/>
        </w:rPr>
        <w:t>,</w:t>
      </w:r>
      <w:r w:rsidR="006836A2" w:rsidRPr="00B3274C">
        <w:rPr>
          <w:szCs w:val="25"/>
          <w:lang w:val="fr-CA"/>
        </w:rPr>
        <w:t xml:space="preserve"> 2 plaintes ont été déposées pour emploi illégal de mineurs et 21 amendes infligées. </w:t>
      </w:r>
    </w:p>
    <w:p w:rsidR="00FB23D3" w:rsidRPr="00B3274C" w:rsidRDefault="00432CF5" w:rsidP="007E1DA2">
      <w:pPr>
        <w:pStyle w:val="H23G"/>
        <w:rPr>
          <w:lang w:val="fr-CA"/>
        </w:rPr>
      </w:pPr>
      <w:r w:rsidRPr="00B3274C">
        <w:rPr>
          <w:lang w:val="fr-CA"/>
        </w:rPr>
        <w:tab/>
      </w:r>
      <w:r w:rsidR="007E1DA2" w:rsidRPr="00B3274C">
        <w:rPr>
          <w:lang w:val="fr-CA"/>
        </w:rPr>
        <w:t>6.</w:t>
      </w:r>
      <w:r w:rsidRPr="00B3274C">
        <w:rPr>
          <w:lang w:val="fr-CA"/>
        </w:rPr>
        <w:tab/>
      </w:r>
      <w:r w:rsidR="00D237F6" w:rsidRPr="00B3274C">
        <w:rPr>
          <w:lang w:val="fr-CA"/>
        </w:rPr>
        <w:t>Création d</w:t>
      </w:r>
      <w:r w:rsidR="0080611A">
        <w:rPr>
          <w:lang w:val="fr-CA"/>
        </w:rPr>
        <w:t>’</w:t>
      </w:r>
      <w:r w:rsidR="00D237F6" w:rsidRPr="00B3274C">
        <w:rPr>
          <w:lang w:val="fr-CA"/>
        </w:rPr>
        <w:t>une famille</w:t>
      </w:r>
    </w:p>
    <w:p w:rsidR="00FB23D3" w:rsidRPr="00B3274C" w:rsidRDefault="00107A47" w:rsidP="00107A47">
      <w:pPr>
        <w:pStyle w:val="SingleTxtG"/>
        <w:rPr>
          <w:lang w:val="fr-CA"/>
        </w:rPr>
      </w:pPr>
      <w:r w:rsidRPr="00B3274C">
        <w:rPr>
          <w:lang w:val="fr-CA"/>
        </w:rPr>
        <w:t>136.</w:t>
      </w:r>
      <w:r w:rsidRPr="00B3274C">
        <w:rPr>
          <w:lang w:val="fr-CA"/>
        </w:rPr>
        <w:tab/>
      </w:r>
      <w:r w:rsidR="00C6479C" w:rsidRPr="00B3274C">
        <w:rPr>
          <w:lang w:val="fr-CA"/>
        </w:rPr>
        <w:t xml:space="preserve">Outre les informations contenues dans les </w:t>
      </w:r>
      <w:r w:rsidR="007C5218">
        <w:rPr>
          <w:lang w:val="fr-CA"/>
        </w:rPr>
        <w:t>paragraphes </w:t>
      </w:r>
      <w:r w:rsidR="00C6479C" w:rsidRPr="00B3274C">
        <w:rPr>
          <w:lang w:val="fr-CA"/>
        </w:rPr>
        <w:t>271 et 272 du rapport initial de la Grèce</w:t>
      </w:r>
      <w:r w:rsidR="0080611A">
        <w:rPr>
          <w:lang w:val="fr-CA"/>
        </w:rPr>
        <w:t>,</w:t>
      </w:r>
      <w:r w:rsidR="00C6479C" w:rsidRPr="00B3274C">
        <w:rPr>
          <w:lang w:val="fr-CA"/>
        </w:rPr>
        <w:t xml:space="preserve"> il convient </w:t>
      </w:r>
      <w:r w:rsidR="00A368F8" w:rsidRPr="00B3274C">
        <w:rPr>
          <w:lang w:val="fr-CA"/>
        </w:rPr>
        <w:t>de mentionner</w:t>
      </w:r>
      <w:r w:rsidR="00C6479C" w:rsidRPr="00B3274C">
        <w:rPr>
          <w:lang w:val="fr-CA"/>
        </w:rPr>
        <w:t xml:space="preserve"> un nouveau fait récent important</w:t>
      </w:r>
      <w:r w:rsidR="0080611A">
        <w:rPr>
          <w:lang w:val="fr-CA"/>
        </w:rPr>
        <w:t>,</w:t>
      </w:r>
      <w:r w:rsidR="00C6479C" w:rsidRPr="00B3274C">
        <w:rPr>
          <w:lang w:val="fr-CA"/>
        </w:rPr>
        <w:t xml:space="preserve"> à savoir la facilitation de la cohabitation </w:t>
      </w:r>
      <w:r w:rsidR="00614BAC">
        <w:rPr>
          <w:lang w:val="fr-CA"/>
        </w:rPr>
        <w:t>de personnes</w:t>
      </w:r>
      <w:r w:rsidR="00C6479C" w:rsidRPr="00B3274C">
        <w:rPr>
          <w:lang w:val="fr-CA"/>
        </w:rPr>
        <w:t xml:space="preserve"> de sexe différent.</w:t>
      </w:r>
      <w:r w:rsidR="0055418C" w:rsidRPr="00B3274C">
        <w:rPr>
          <w:lang w:val="fr-CA"/>
        </w:rPr>
        <w:t xml:space="preserve"> </w:t>
      </w:r>
      <w:r w:rsidR="008002FB" w:rsidRPr="00B3274C">
        <w:rPr>
          <w:lang w:val="fr-CA"/>
        </w:rPr>
        <w:t>La Grèce reconnaît ledit «</w:t>
      </w:r>
      <w:bookmarkStart w:id="22" w:name="OLE_LINK19"/>
      <w:bookmarkStart w:id="23" w:name="OLE_LINK20"/>
      <w:r w:rsidR="008002FB" w:rsidRPr="00B3274C">
        <w:rPr>
          <w:lang w:val="fr-CA"/>
        </w:rPr>
        <w:t>pacte de cohabitation</w:t>
      </w:r>
      <w:r w:rsidR="0055418C" w:rsidRPr="00B3274C">
        <w:rPr>
          <w:lang w:val="fr-CA"/>
        </w:rPr>
        <w:t>»</w:t>
      </w:r>
      <w:r w:rsidR="0080611A">
        <w:rPr>
          <w:lang w:val="fr-CA"/>
        </w:rPr>
        <w:t>,</w:t>
      </w:r>
      <w:r w:rsidR="008002FB" w:rsidRPr="00B3274C">
        <w:rPr>
          <w:lang w:val="fr-CA"/>
        </w:rPr>
        <w:t xml:space="preserve"> instauré par la loi </w:t>
      </w:r>
      <w:bookmarkEnd w:id="22"/>
      <w:bookmarkEnd w:id="23"/>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3719/2008</w:t>
      </w:r>
      <w:r w:rsidR="0080611A">
        <w:rPr>
          <w:lang w:val="fr-CA"/>
        </w:rPr>
        <w:t>,</w:t>
      </w:r>
      <w:r w:rsidR="008002FB" w:rsidRPr="00B3274C">
        <w:rPr>
          <w:lang w:val="fr-CA"/>
        </w:rPr>
        <w:t xml:space="preserve"> intitulée </w:t>
      </w:r>
      <w:r w:rsidR="0055418C" w:rsidRPr="00B3274C">
        <w:rPr>
          <w:lang w:val="fr-CA"/>
        </w:rPr>
        <w:t>«</w:t>
      </w:r>
      <w:r w:rsidR="008002FB" w:rsidRPr="00B3274C">
        <w:rPr>
          <w:lang w:val="fr-CA"/>
        </w:rPr>
        <w:t>Amendements concernant la famille</w:t>
      </w:r>
      <w:r w:rsidR="0080611A">
        <w:rPr>
          <w:lang w:val="fr-CA"/>
        </w:rPr>
        <w:t>,</w:t>
      </w:r>
      <w:r w:rsidR="008002FB" w:rsidRPr="00B3274C">
        <w:rPr>
          <w:lang w:val="fr-CA"/>
        </w:rPr>
        <w:t xml:space="preserve"> l</w:t>
      </w:r>
      <w:r w:rsidR="0080611A">
        <w:rPr>
          <w:lang w:val="fr-CA"/>
        </w:rPr>
        <w:t>’</w:t>
      </w:r>
      <w:r w:rsidR="008002FB" w:rsidRPr="00B3274C">
        <w:rPr>
          <w:lang w:val="fr-CA"/>
        </w:rPr>
        <w:t>enfant</w:t>
      </w:r>
      <w:r w:rsidR="0080611A">
        <w:rPr>
          <w:lang w:val="fr-CA"/>
        </w:rPr>
        <w:t>,</w:t>
      </w:r>
      <w:r w:rsidR="008002FB" w:rsidRPr="00B3274C">
        <w:rPr>
          <w:lang w:val="fr-CA"/>
        </w:rPr>
        <w:t xml:space="preserve"> la société</w:t>
      </w:r>
      <w:r w:rsidR="0080611A">
        <w:rPr>
          <w:lang w:val="fr-CA"/>
        </w:rPr>
        <w:t>,</w:t>
      </w:r>
      <w:r w:rsidR="008002FB" w:rsidRPr="00B3274C">
        <w:rPr>
          <w:lang w:val="fr-CA"/>
        </w:rPr>
        <w:t xml:space="preserve"> et autres dispositions</w:t>
      </w:r>
      <w:r w:rsidR="0055418C" w:rsidRPr="00B3274C">
        <w:rPr>
          <w:lang w:val="fr-CA"/>
        </w:rPr>
        <w:t>»</w:t>
      </w:r>
      <w:r w:rsidR="008002FB" w:rsidRPr="00B3274C">
        <w:rPr>
          <w:lang w:val="fr-CA"/>
        </w:rPr>
        <w:t>.</w:t>
      </w:r>
      <w:r w:rsidR="00FB23D3" w:rsidRPr="00B3274C">
        <w:rPr>
          <w:lang w:val="fr-CA"/>
        </w:rPr>
        <w:t xml:space="preserve"> </w:t>
      </w:r>
      <w:r w:rsidR="008002FB" w:rsidRPr="00B3274C">
        <w:rPr>
          <w:lang w:val="fr-CA"/>
        </w:rPr>
        <w:t>Selon</w:t>
      </w:r>
      <w:r w:rsidR="00787317" w:rsidRPr="00B3274C">
        <w:rPr>
          <w:lang w:val="fr-CA"/>
        </w:rPr>
        <w:t xml:space="preserve"> cette loi</w:t>
      </w:r>
      <w:r w:rsidR="0080611A">
        <w:rPr>
          <w:lang w:val="fr-CA"/>
        </w:rPr>
        <w:t>,</w:t>
      </w:r>
      <w:r w:rsidR="00787317" w:rsidRPr="00B3274C">
        <w:rPr>
          <w:lang w:val="fr-CA"/>
        </w:rPr>
        <w:t xml:space="preserve"> deux adultes (homme et femme</w:t>
      </w:r>
      <w:r w:rsidR="008002FB" w:rsidRPr="00B3274C">
        <w:rPr>
          <w:lang w:val="fr-CA"/>
        </w:rPr>
        <w:t>) peuvent obtenir la reconnaissance légale de leur cohabitation</w:t>
      </w:r>
      <w:r w:rsidR="0080611A">
        <w:rPr>
          <w:lang w:val="fr-CA"/>
        </w:rPr>
        <w:t>,</w:t>
      </w:r>
      <w:r w:rsidR="0077540A" w:rsidRPr="00B3274C">
        <w:rPr>
          <w:lang w:val="fr-CA"/>
        </w:rPr>
        <w:t xml:space="preserve"> qui aura </w:t>
      </w:r>
      <w:r w:rsidR="008002FB" w:rsidRPr="00B3274C">
        <w:rPr>
          <w:lang w:val="fr-CA"/>
        </w:rPr>
        <w:t>des effets juridiques analogues à ceux du mariage</w:t>
      </w:r>
      <w:r w:rsidR="0080611A">
        <w:rPr>
          <w:lang w:val="fr-CA"/>
        </w:rPr>
        <w:t>,</w:t>
      </w:r>
      <w:r w:rsidR="0077540A" w:rsidRPr="00B3274C">
        <w:rPr>
          <w:lang w:val="fr-CA"/>
        </w:rPr>
        <w:t xml:space="preserve"> en concluant un </w:t>
      </w:r>
      <w:r w:rsidR="0055418C" w:rsidRPr="00B3274C">
        <w:rPr>
          <w:lang w:val="fr-CA"/>
        </w:rPr>
        <w:t>«</w:t>
      </w:r>
      <w:r w:rsidR="0077540A" w:rsidRPr="00B3274C">
        <w:rPr>
          <w:lang w:val="fr-CA"/>
        </w:rPr>
        <w:t>pacte</w:t>
      </w:r>
      <w:r w:rsidR="0055418C" w:rsidRPr="00B3274C">
        <w:rPr>
          <w:lang w:val="fr-CA"/>
        </w:rPr>
        <w:t>»</w:t>
      </w:r>
      <w:r w:rsidR="0080611A">
        <w:rPr>
          <w:lang w:val="fr-CA"/>
        </w:rPr>
        <w:t>,</w:t>
      </w:r>
      <w:r w:rsidR="0077540A" w:rsidRPr="00B3274C">
        <w:rPr>
          <w:lang w:val="fr-CA"/>
        </w:rPr>
        <w:t xml:space="preserve"> certifié par un notaire public et déposé à l</w:t>
      </w:r>
      <w:r w:rsidR="0080611A">
        <w:rPr>
          <w:lang w:val="fr-CA"/>
        </w:rPr>
        <w:t>’</w:t>
      </w:r>
      <w:r w:rsidR="0077540A" w:rsidRPr="00B3274C">
        <w:rPr>
          <w:lang w:val="fr-CA"/>
        </w:rPr>
        <w:t>état civil. Le libre usage du nom de famille</w:t>
      </w:r>
      <w:r w:rsidR="0080611A">
        <w:rPr>
          <w:lang w:val="fr-CA"/>
        </w:rPr>
        <w:t>,</w:t>
      </w:r>
      <w:r w:rsidR="0077540A" w:rsidRPr="00B3274C">
        <w:rPr>
          <w:lang w:val="fr-CA"/>
        </w:rPr>
        <w:t xml:space="preserve"> les relations patrimoniales et les biens des partenaires</w:t>
      </w:r>
      <w:r w:rsidR="0080611A">
        <w:rPr>
          <w:lang w:val="fr-CA"/>
        </w:rPr>
        <w:t>,</w:t>
      </w:r>
      <w:r w:rsidR="0077540A" w:rsidRPr="00B3274C">
        <w:rPr>
          <w:lang w:val="fr-CA"/>
        </w:rPr>
        <w:t xml:space="preserve"> la pension à verser à la dissolution de l</w:t>
      </w:r>
      <w:r w:rsidR="0080611A">
        <w:rPr>
          <w:lang w:val="fr-CA"/>
        </w:rPr>
        <w:t>’</w:t>
      </w:r>
      <w:r w:rsidR="0077540A" w:rsidRPr="00B3274C">
        <w:rPr>
          <w:lang w:val="fr-CA"/>
        </w:rPr>
        <w:t>union</w:t>
      </w:r>
      <w:r w:rsidR="0080611A">
        <w:rPr>
          <w:lang w:val="fr-CA"/>
        </w:rPr>
        <w:t>,</w:t>
      </w:r>
      <w:r w:rsidR="0077540A" w:rsidRPr="00B3274C">
        <w:rPr>
          <w:lang w:val="fr-CA"/>
        </w:rPr>
        <w:t xml:space="preserve"> la parentalité</w:t>
      </w:r>
      <w:r w:rsidR="0080611A">
        <w:rPr>
          <w:lang w:val="fr-CA"/>
        </w:rPr>
        <w:t>,</w:t>
      </w:r>
      <w:r w:rsidR="0077540A" w:rsidRPr="00B3274C">
        <w:rPr>
          <w:lang w:val="fr-CA"/>
        </w:rPr>
        <w:t xml:space="preserve"> les soins parentaux et les droits de succession font l</w:t>
      </w:r>
      <w:r w:rsidR="0080611A">
        <w:rPr>
          <w:lang w:val="fr-CA"/>
        </w:rPr>
        <w:t>’</w:t>
      </w:r>
      <w:r w:rsidR="0077540A" w:rsidRPr="00B3274C">
        <w:rPr>
          <w:lang w:val="fr-CA"/>
        </w:rPr>
        <w:t>objet d</w:t>
      </w:r>
      <w:r w:rsidR="0080611A">
        <w:rPr>
          <w:lang w:val="fr-CA"/>
        </w:rPr>
        <w:t>’</w:t>
      </w:r>
      <w:r w:rsidR="00143356">
        <w:rPr>
          <w:lang w:val="fr-CA"/>
        </w:rPr>
        <w:t>articles</w:t>
      </w:r>
      <w:r w:rsidR="00183758">
        <w:rPr>
          <w:lang w:val="fr-CA"/>
        </w:rPr>
        <w:t xml:space="preserve"> </w:t>
      </w:r>
      <w:r w:rsidR="0077540A" w:rsidRPr="00B3274C">
        <w:rPr>
          <w:lang w:val="fr-CA"/>
        </w:rPr>
        <w:t xml:space="preserve">particuliers. </w:t>
      </w:r>
    </w:p>
    <w:p w:rsidR="00FB23D3" w:rsidRPr="00B3274C" w:rsidRDefault="00432CF5" w:rsidP="00417CA6">
      <w:pPr>
        <w:pStyle w:val="H23G"/>
        <w:rPr>
          <w:lang w:val="fr-CA"/>
        </w:rPr>
      </w:pPr>
      <w:r w:rsidRPr="00B3274C">
        <w:rPr>
          <w:lang w:val="fr-CA"/>
        </w:rPr>
        <w:tab/>
      </w:r>
      <w:r w:rsidR="00417CA6" w:rsidRPr="00B3274C">
        <w:rPr>
          <w:lang w:val="fr-CA"/>
        </w:rPr>
        <w:t>7.</w:t>
      </w:r>
      <w:r w:rsidRPr="00B3274C">
        <w:rPr>
          <w:lang w:val="fr-CA"/>
        </w:rPr>
        <w:tab/>
      </w:r>
      <w:r w:rsidR="00DB4F57" w:rsidRPr="00B3274C">
        <w:rPr>
          <w:lang w:val="fr-CA"/>
        </w:rPr>
        <w:t>Lutte contre la violence familiale et l</w:t>
      </w:r>
      <w:r w:rsidR="0080611A">
        <w:rPr>
          <w:lang w:val="fr-CA"/>
        </w:rPr>
        <w:t>’</w:t>
      </w:r>
      <w:r w:rsidR="00DB4F57" w:rsidRPr="00B3274C">
        <w:rPr>
          <w:lang w:val="fr-CA"/>
        </w:rPr>
        <w:t>exploitation sexuelle des enfants (</w:t>
      </w:r>
      <w:r w:rsidR="00DA5885" w:rsidRPr="00B3274C">
        <w:rPr>
          <w:lang w:val="fr-CA"/>
        </w:rPr>
        <w:t xml:space="preserve">par. </w:t>
      </w:r>
      <w:r w:rsidR="00415A8F" w:rsidRPr="00B3274C">
        <w:rPr>
          <w:lang w:val="fr-CA"/>
        </w:rPr>
        <w:t>16</w:t>
      </w:r>
      <w:r w:rsidR="00DB4F57" w:rsidRPr="00B3274C">
        <w:rPr>
          <w:lang w:val="fr-CA"/>
        </w:rPr>
        <w:t xml:space="preserve"> et </w:t>
      </w:r>
      <w:r w:rsidR="00415A8F" w:rsidRPr="00B3274C">
        <w:rPr>
          <w:lang w:val="fr-CA"/>
        </w:rPr>
        <w:t xml:space="preserve">37 </w:t>
      </w:r>
      <w:r w:rsidR="00DB4F57" w:rsidRPr="00B3274C">
        <w:rPr>
          <w:lang w:val="fr-CA"/>
        </w:rPr>
        <w:t>des observations finales du Comité)</w:t>
      </w:r>
    </w:p>
    <w:p w:rsidR="00FB23D3" w:rsidRPr="00B3274C" w:rsidRDefault="00107A47" w:rsidP="00107A47">
      <w:pPr>
        <w:pStyle w:val="SingleTxtG"/>
        <w:rPr>
          <w:bCs/>
          <w:lang w:val="fr-CA"/>
        </w:rPr>
      </w:pPr>
      <w:r w:rsidRPr="00B3274C">
        <w:rPr>
          <w:bCs/>
          <w:lang w:val="fr-CA"/>
        </w:rPr>
        <w:t>137.</w:t>
      </w:r>
      <w:r w:rsidRPr="00B3274C">
        <w:rPr>
          <w:bCs/>
          <w:lang w:val="fr-CA"/>
        </w:rPr>
        <w:tab/>
      </w:r>
      <w:r w:rsidR="00A71CEE" w:rsidRPr="00B3274C">
        <w:rPr>
          <w:color w:val="000000"/>
          <w:lang w:val="fr-CA"/>
        </w:rPr>
        <w:t>La loi contre la violence familiale adoptée en 2006 prévoit des peines plus sévères pour les crimes de violence familiale</w:t>
      </w:r>
      <w:r w:rsidR="0080611A">
        <w:rPr>
          <w:color w:val="000000"/>
          <w:lang w:val="fr-CA"/>
        </w:rPr>
        <w:t>,</w:t>
      </w:r>
      <w:r w:rsidR="00A71CEE" w:rsidRPr="00B3274C">
        <w:rPr>
          <w:color w:val="000000"/>
          <w:lang w:val="fr-CA"/>
        </w:rPr>
        <w:t xml:space="preserve"> établit une procédure de médiation pénale en cas de violence familiale</w:t>
      </w:r>
      <w:r w:rsidR="0080611A">
        <w:rPr>
          <w:color w:val="000000"/>
          <w:lang w:val="fr-CA"/>
        </w:rPr>
        <w:t>,</w:t>
      </w:r>
      <w:r w:rsidR="00A71CEE" w:rsidRPr="00B3274C">
        <w:rPr>
          <w:color w:val="000000"/>
          <w:lang w:val="fr-CA"/>
        </w:rPr>
        <w:t xml:space="preserve"> criminalise le viol conjugal</w:t>
      </w:r>
      <w:r w:rsidR="0080611A">
        <w:rPr>
          <w:color w:val="000000"/>
          <w:lang w:val="fr-CA"/>
        </w:rPr>
        <w:t>,</w:t>
      </w:r>
      <w:r w:rsidR="00A71CEE" w:rsidRPr="00B3274C">
        <w:rPr>
          <w:color w:val="000000"/>
          <w:lang w:val="fr-CA"/>
        </w:rPr>
        <w:t xml:space="preserve"> interdit expressément la violence physique contre les mineurs et assure la protection des victimes en facilitant leur accès à la justice et en garantissant leur sécurité </w:t>
      </w:r>
      <w:r w:rsidR="00434797" w:rsidRPr="00B3274C">
        <w:rPr>
          <w:color w:val="000000"/>
          <w:lang w:val="fr-CA"/>
        </w:rPr>
        <w:t>au sein du</w:t>
      </w:r>
      <w:r w:rsidR="00A71CEE" w:rsidRPr="00B3274C">
        <w:rPr>
          <w:color w:val="000000"/>
          <w:lang w:val="fr-CA"/>
        </w:rPr>
        <w:t xml:space="preserve"> foyer </w:t>
      </w:r>
      <w:r w:rsidR="00434797" w:rsidRPr="00B3274C">
        <w:rPr>
          <w:color w:val="000000"/>
          <w:lang w:val="fr-CA"/>
        </w:rPr>
        <w:t xml:space="preserve">et </w:t>
      </w:r>
      <w:r w:rsidR="00A71CEE" w:rsidRPr="00B3274C">
        <w:rPr>
          <w:color w:val="000000"/>
          <w:lang w:val="fr-CA"/>
        </w:rPr>
        <w:t>à l</w:t>
      </w:r>
      <w:r w:rsidR="0080611A">
        <w:rPr>
          <w:color w:val="000000"/>
          <w:lang w:val="fr-CA"/>
        </w:rPr>
        <w:t>’</w:t>
      </w:r>
      <w:r w:rsidR="00A71CEE" w:rsidRPr="00B3274C">
        <w:rPr>
          <w:color w:val="000000"/>
          <w:lang w:val="fr-CA"/>
        </w:rPr>
        <w:t>extérieur</w:t>
      </w:r>
      <w:r w:rsidR="00434797" w:rsidRPr="00B3274C">
        <w:rPr>
          <w:color w:val="000000"/>
          <w:lang w:val="fr-CA"/>
        </w:rPr>
        <w:t xml:space="preserve"> de celui-ci</w:t>
      </w:r>
      <w:r w:rsidR="00A71CEE" w:rsidRPr="00B3274C">
        <w:rPr>
          <w:color w:val="000000"/>
          <w:lang w:val="fr-CA"/>
        </w:rPr>
        <w:t>.</w:t>
      </w:r>
      <w:r w:rsidR="00A71CEE" w:rsidRPr="00B3274C">
        <w:rPr>
          <w:bCs/>
          <w:lang w:val="fr-CA"/>
        </w:rPr>
        <w:t xml:space="preserve"> </w:t>
      </w:r>
      <w:r w:rsidR="00A71CEE" w:rsidRPr="00B3274C">
        <w:rPr>
          <w:color w:val="000000"/>
          <w:lang w:val="fr-CA"/>
        </w:rPr>
        <w:t xml:space="preserve">La loi </w:t>
      </w:r>
      <w:r w:rsidR="009B0E6B" w:rsidRPr="00B3274C">
        <w:rPr>
          <w:color w:val="000000"/>
          <w:lang w:val="fr-CA"/>
        </w:rPr>
        <w:t>n°</w:t>
      </w:r>
      <w:r w:rsidR="00A71CEE" w:rsidRPr="00B3274C">
        <w:rPr>
          <w:bCs/>
          <w:lang w:val="fr-CA"/>
        </w:rPr>
        <w:t xml:space="preserve">3500/2006 </w:t>
      </w:r>
      <w:r w:rsidR="00EF6180" w:rsidRPr="00B3274C">
        <w:rPr>
          <w:color w:val="000000"/>
          <w:lang w:val="fr-CA"/>
        </w:rPr>
        <w:t>porte</w:t>
      </w:r>
      <w:r w:rsidR="00A71CEE" w:rsidRPr="00B3274C">
        <w:rPr>
          <w:color w:val="000000"/>
          <w:lang w:val="fr-CA"/>
        </w:rPr>
        <w:t xml:space="preserve"> également </w:t>
      </w:r>
      <w:r w:rsidR="00EF6180" w:rsidRPr="00B3274C">
        <w:rPr>
          <w:color w:val="000000"/>
          <w:lang w:val="fr-CA"/>
        </w:rPr>
        <w:t xml:space="preserve">sur </w:t>
      </w:r>
      <w:r w:rsidR="00A71CEE" w:rsidRPr="00B3274C">
        <w:rPr>
          <w:color w:val="000000"/>
          <w:lang w:val="fr-CA"/>
        </w:rPr>
        <w:t>les relations de partenariat stables entre un homme et une femme non mariés.</w:t>
      </w:r>
      <w:r w:rsidR="00A71CEE" w:rsidRPr="00B3274C">
        <w:rPr>
          <w:bCs/>
          <w:lang w:val="fr-CA"/>
        </w:rPr>
        <w:t xml:space="preserve"> </w:t>
      </w:r>
      <w:r w:rsidR="00616EB6" w:rsidRPr="00B3274C">
        <w:rPr>
          <w:bCs/>
          <w:lang w:val="fr-CA"/>
        </w:rPr>
        <w:t>L</w:t>
      </w:r>
      <w:r w:rsidR="0080611A">
        <w:rPr>
          <w:bCs/>
          <w:lang w:val="fr-CA"/>
        </w:rPr>
        <w:t>’</w:t>
      </w:r>
      <w:r w:rsidR="00616EB6" w:rsidRPr="00B3274C">
        <w:rPr>
          <w:bCs/>
          <w:lang w:val="fr-CA"/>
        </w:rPr>
        <w:t xml:space="preserve">adoption de cette loi </w:t>
      </w:r>
      <w:r w:rsidR="00261D57" w:rsidRPr="00B3274C">
        <w:rPr>
          <w:bCs/>
          <w:lang w:val="fr-CA"/>
        </w:rPr>
        <w:t>marque</w:t>
      </w:r>
      <w:r w:rsidR="00616EB6" w:rsidRPr="00B3274C">
        <w:rPr>
          <w:bCs/>
          <w:lang w:val="fr-CA"/>
        </w:rPr>
        <w:t xml:space="preserve"> un progrès décisif</w:t>
      </w:r>
      <w:r w:rsidR="00EC5892" w:rsidRPr="00B3274C">
        <w:rPr>
          <w:bCs/>
          <w:lang w:val="fr-CA"/>
        </w:rPr>
        <w:t>;</w:t>
      </w:r>
      <w:r w:rsidR="00616EB6" w:rsidRPr="00B3274C">
        <w:rPr>
          <w:bCs/>
          <w:lang w:val="fr-CA"/>
        </w:rPr>
        <w:t xml:space="preserve"> toutefois</w:t>
      </w:r>
      <w:r w:rsidR="0080611A">
        <w:rPr>
          <w:bCs/>
          <w:lang w:val="fr-CA"/>
        </w:rPr>
        <w:t>,</w:t>
      </w:r>
      <w:r w:rsidR="00616EB6" w:rsidRPr="00B3274C">
        <w:rPr>
          <w:bCs/>
          <w:lang w:val="fr-CA"/>
        </w:rPr>
        <w:t xml:space="preserve"> </w:t>
      </w:r>
      <w:r w:rsidR="00A71CEE" w:rsidRPr="00B3274C">
        <w:rPr>
          <w:color w:val="000000"/>
          <w:lang w:val="fr-CA"/>
        </w:rPr>
        <w:t>le nombre des femmes victimes de violence familiale n</w:t>
      </w:r>
      <w:r w:rsidR="0080611A">
        <w:rPr>
          <w:color w:val="000000"/>
          <w:lang w:val="fr-CA"/>
        </w:rPr>
        <w:t>’</w:t>
      </w:r>
      <w:r w:rsidR="00A71CEE" w:rsidRPr="00B3274C">
        <w:rPr>
          <w:color w:val="000000"/>
          <w:lang w:val="fr-CA"/>
        </w:rPr>
        <w:t>a pas diminué de façon notable.</w:t>
      </w:r>
      <w:r w:rsidR="00616EB6" w:rsidRPr="00B3274C">
        <w:rPr>
          <w:color w:val="000000"/>
          <w:lang w:val="fr-CA"/>
        </w:rPr>
        <w:t xml:space="preserve"> </w:t>
      </w:r>
    </w:p>
    <w:p w:rsidR="00FB23D3" w:rsidRPr="00B3274C" w:rsidRDefault="00107A47" w:rsidP="00107A47">
      <w:pPr>
        <w:pStyle w:val="SingleTxtG"/>
        <w:rPr>
          <w:bCs/>
          <w:lang w:val="fr-CA"/>
        </w:rPr>
      </w:pPr>
      <w:r w:rsidRPr="00B3274C">
        <w:rPr>
          <w:bCs/>
          <w:lang w:val="fr-CA"/>
        </w:rPr>
        <w:t>138.</w:t>
      </w:r>
      <w:r w:rsidRPr="00B3274C">
        <w:rPr>
          <w:bCs/>
          <w:lang w:val="fr-CA"/>
        </w:rPr>
        <w:tab/>
      </w:r>
      <w:r w:rsidR="000A444A" w:rsidRPr="00B3274C">
        <w:rPr>
          <w:bCs/>
          <w:lang w:val="fr-CA"/>
        </w:rPr>
        <w:t>Dans le cadre de la lutte contre la violence familiale</w:t>
      </w:r>
      <w:r w:rsidR="0080611A">
        <w:rPr>
          <w:bCs/>
          <w:lang w:val="fr-CA"/>
        </w:rPr>
        <w:t>,</w:t>
      </w:r>
      <w:r w:rsidR="000A444A" w:rsidRPr="00B3274C">
        <w:rPr>
          <w:bCs/>
          <w:lang w:val="fr-CA"/>
        </w:rPr>
        <w:t xml:space="preserve"> des organismes locaux </w:t>
      </w:r>
      <w:r w:rsidR="00B646DA" w:rsidRPr="00B3274C">
        <w:rPr>
          <w:bCs/>
          <w:lang w:val="fr-CA"/>
        </w:rPr>
        <w:t>ont été chargé</w:t>
      </w:r>
      <w:r w:rsidR="000A444A" w:rsidRPr="00B3274C">
        <w:rPr>
          <w:bCs/>
          <w:lang w:val="fr-CA"/>
        </w:rPr>
        <w:t>s de conseiller les victimes de ce type de violence. Le Secrétariat général à l</w:t>
      </w:r>
      <w:r w:rsidR="0080611A">
        <w:rPr>
          <w:bCs/>
          <w:lang w:val="fr-CA"/>
        </w:rPr>
        <w:t>’</w:t>
      </w:r>
      <w:r w:rsidR="000A444A" w:rsidRPr="00B3274C">
        <w:rPr>
          <w:bCs/>
          <w:lang w:val="fr-CA"/>
        </w:rPr>
        <w:t>égalité des sexes a pris des mesures pour soutenir les femmes vic</w:t>
      </w:r>
      <w:r w:rsidR="00D07FD4" w:rsidRPr="00B3274C">
        <w:rPr>
          <w:bCs/>
          <w:lang w:val="fr-CA"/>
        </w:rPr>
        <w:t>times</w:t>
      </w:r>
      <w:r w:rsidR="0080611A">
        <w:rPr>
          <w:bCs/>
          <w:lang w:val="fr-CA"/>
        </w:rPr>
        <w:t>,</w:t>
      </w:r>
      <w:r w:rsidR="00D07FD4" w:rsidRPr="00B3274C">
        <w:rPr>
          <w:bCs/>
          <w:lang w:val="fr-CA"/>
        </w:rPr>
        <w:t xml:space="preserve"> qui sont appliquées par s</w:t>
      </w:r>
      <w:r w:rsidR="000A444A" w:rsidRPr="00B3274C">
        <w:rPr>
          <w:bCs/>
          <w:lang w:val="fr-CA"/>
        </w:rPr>
        <w:t>es deux centres de conseil. Un foyer</w:t>
      </w:r>
      <w:r w:rsidR="0080611A">
        <w:rPr>
          <w:bCs/>
          <w:lang w:val="fr-CA"/>
        </w:rPr>
        <w:t>,</w:t>
      </w:r>
      <w:r w:rsidR="000A444A" w:rsidRPr="00B3274C">
        <w:rPr>
          <w:bCs/>
          <w:lang w:val="fr-CA"/>
        </w:rPr>
        <w:t xml:space="preserve"> géré par la municipalité d</w:t>
      </w:r>
      <w:r w:rsidR="0080611A">
        <w:rPr>
          <w:bCs/>
          <w:lang w:val="fr-CA"/>
        </w:rPr>
        <w:t>’</w:t>
      </w:r>
      <w:r w:rsidR="000A444A" w:rsidRPr="00B3274C">
        <w:rPr>
          <w:bCs/>
          <w:lang w:val="fr-CA"/>
        </w:rPr>
        <w:t>Athènes en coopération avec le Secrétariat général à l</w:t>
      </w:r>
      <w:r w:rsidR="0080611A">
        <w:rPr>
          <w:bCs/>
          <w:lang w:val="fr-CA"/>
        </w:rPr>
        <w:t>’</w:t>
      </w:r>
      <w:r w:rsidR="000A444A" w:rsidRPr="00B3274C">
        <w:rPr>
          <w:bCs/>
          <w:lang w:val="fr-CA"/>
        </w:rPr>
        <w:t>égalité des sexes</w:t>
      </w:r>
      <w:r w:rsidR="0080611A">
        <w:rPr>
          <w:bCs/>
          <w:lang w:val="fr-CA"/>
        </w:rPr>
        <w:t>,</w:t>
      </w:r>
      <w:r w:rsidR="000A444A" w:rsidRPr="00B3274C">
        <w:rPr>
          <w:bCs/>
          <w:lang w:val="fr-CA"/>
        </w:rPr>
        <w:t xml:space="preserve"> </w:t>
      </w:r>
      <w:r w:rsidR="009276DD" w:rsidRPr="00B3274C">
        <w:rPr>
          <w:bCs/>
          <w:lang w:val="fr-CA"/>
        </w:rPr>
        <w:t>accueille l</w:t>
      </w:r>
      <w:r w:rsidR="000A444A" w:rsidRPr="00B3274C">
        <w:rPr>
          <w:bCs/>
          <w:lang w:val="fr-CA"/>
        </w:rPr>
        <w:t xml:space="preserve">es femmes maltraitées et leurs enfants. Le Secrétariat général a également organisé diverses </w:t>
      </w:r>
      <w:r w:rsidR="00072431" w:rsidRPr="00B3274C">
        <w:rPr>
          <w:bCs/>
          <w:lang w:val="fr-CA"/>
        </w:rPr>
        <w:t>a</w:t>
      </w:r>
      <w:r w:rsidR="000A444A" w:rsidRPr="00B3274C">
        <w:rPr>
          <w:bCs/>
          <w:lang w:val="fr-CA"/>
        </w:rPr>
        <w:t>ctions</w:t>
      </w:r>
      <w:r w:rsidR="0080611A">
        <w:rPr>
          <w:bCs/>
          <w:lang w:val="fr-CA"/>
        </w:rPr>
        <w:t>,</w:t>
      </w:r>
      <w:r w:rsidR="000A444A" w:rsidRPr="00B3274C">
        <w:rPr>
          <w:bCs/>
          <w:lang w:val="fr-CA"/>
        </w:rPr>
        <w:t xml:space="preserve"> y compris des séminaires de formation et de sensibilisation</w:t>
      </w:r>
      <w:r w:rsidR="00EC5892" w:rsidRPr="00B3274C">
        <w:rPr>
          <w:bCs/>
          <w:lang w:val="fr-CA"/>
        </w:rPr>
        <w:t>;</w:t>
      </w:r>
      <w:r w:rsidR="000A444A" w:rsidRPr="00B3274C">
        <w:rPr>
          <w:bCs/>
          <w:lang w:val="fr-CA"/>
        </w:rPr>
        <w:t xml:space="preserve"> il a aussi publié des brochures d</w:t>
      </w:r>
      <w:r w:rsidR="0080611A">
        <w:rPr>
          <w:bCs/>
          <w:lang w:val="fr-CA"/>
        </w:rPr>
        <w:t>’</w:t>
      </w:r>
      <w:r w:rsidR="000A444A" w:rsidRPr="00B3274C">
        <w:rPr>
          <w:bCs/>
          <w:lang w:val="fr-CA"/>
        </w:rPr>
        <w:t xml:space="preserve">information </w:t>
      </w:r>
      <w:r w:rsidR="00F165E6" w:rsidRPr="00B3274C">
        <w:rPr>
          <w:bCs/>
          <w:lang w:val="fr-CA"/>
        </w:rPr>
        <w:t>en</w:t>
      </w:r>
      <w:r w:rsidR="000A444A" w:rsidRPr="00B3274C">
        <w:rPr>
          <w:bCs/>
          <w:lang w:val="fr-CA"/>
        </w:rPr>
        <w:t xml:space="preserve"> différentes langues. Le Centre national pour la solidarité sociale du Ministère de la santé continue de fournir des services de soutien aux victimes de violences</w:t>
      </w:r>
      <w:r w:rsidR="0080611A">
        <w:rPr>
          <w:bCs/>
          <w:lang w:val="fr-CA"/>
        </w:rPr>
        <w:t>,</w:t>
      </w:r>
      <w:r w:rsidR="00282E4B" w:rsidRPr="00B3274C">
        <w:rPr>
          <w:bCs/>
          <w:lang w:val="fr-CA"/>
        </w:rPr>
        <w:t xml:space="preserve"> notamment un numéro d</w:t>
      </w:r>
      <w:r w:rsidR="0080611A">
        <w:rPr>
          <w:bCs/>
          <w:lang w:val="fr-CA"/>
        </w:rPr>
        <w:t>’</w:t>
      </w:r>
      <w:r w:rsidR="00282E4B" w:rsidRPr="00B3274C">
        <w:rPr>
          <w:bCs/>
          <w:lang w:val="fr-CA"/>
        </w:rPr>
        <w:t>appel téléphonique d</w:t>
      </w:r>
      <w:r w:rsidR="0080611A">
        <w:rPr>
          <w:bCs/>
          <w:lang w:val="fr-CA"/>
        </w:rPr>
        <w:t>’</w:t>
      </w:r>
      <w:r w:rsidR="00282E4B" w:rsidRPr="00B3274C">
        <w:rPr>
          <w:bCs/>
          <w:lang w:val="fr-CA"/>
        </w:rPr>
        <w:t>urgence</w:t>
      </w:r>
      <w:r w:rsidR="0080611A">
        <w:rPr>
          <w:bCs/>
          <w:lang w:val="fr-CA"/>
        </w:rPr>
        <w:t>,</w:t>
      </w:r>
      <w:r w:rsidR="00282E4B" w:rsidRPr="00B3274C">
        <w:rPr>
          <w:bCs/>
          <w:lang w:val="fr-CA"/>
        </w:rPr>
        <w:t xml:space="preserve"> le 197</w:t>
      </w:r>
      <w:r w:rsidR="0080611A">
        <w:rPr>
          <w:bCs/>
          <w:lang w:val="fr-CA"/>
        </w:rPr>
        <w:t>,</w:t>
      </w:r>
      <w:r w:rsidR="00282E4B" w:rsidRPr="00B3274C">
        <w:rPr>
          <w:bCs/>
          <w:lang w:val="fr-CA"/>
        </w:rPr>
        <w:t xml:space="preserve"> et trois foyers d</w:t>
      </w:r>
      <w:r w:rsidR="0080611A">
        <w:rPr>
          <w:bCs/>
          <w:lang w:val="fr-CA"/>
        </w:rPr>
        <w:t>’</w:t>
      </w:r>
      <w:r w:rsidR="00282E4B" w:rsidRPr="00B3274C">
        <w:rPr>
          <w:bCs/>
          <w:lang w:val="fr-CA"/>
        </w:rPr>
        <w:t>hébergement à Athènes</w:t>
      </w:r>
      <w:r w:rsidR="0080611A">
        <w:rPr>
          <w:bCs/>
          <w:lang w:val="fr-CA"/>
        </w:rPr>
        <w:t>,</w:t>
      </w:r>
      <w:r w:rsidR="00282E4B" w:rsidRPr="00B3274C">
        <w:rPr>
          <w:bCs/>
          <w:lang w:val="fr-CA"/>
        </w:rPr>
        <w:t xml:space="preserve"> avec une capacité de 60 lits. Son Réseau de services de lutte contre la violence familiale comprend aussi deux autres foyers</w:t>
      </w:r>
      <w:r w:rsidR="0080611A">
        <w:rPr>
          <w:bCs/>
          <w:lang w:val="fr-CA"/>
        </w:rPr>
        <w:t>,</w:t>
      </w:r>
      <w:r w:rsidR="00282E4B" w:rsidRPr="00B3274C">
        <w:rPr>
          <w:bCs/>
          <w:lang w:val="fr-CA"/>
        </w:rPr>
        <w:t xml:space="preserve"> gérés par des ONG et reliés au Centre national pour la solidarité nationale par le biais d</w:t>
      </w:r>
      <w:r w:rsidR="0080611A">
        <w:rPr>
          <w:bCs/>
          <w:lang w:val="fr-CA"/>
        </w:rPr>
        <w:t>’</w:t>
      </w:r>
      <w:r w:rsidR="00282E4B" w:rsidRPr="00B3274C">
        <w:rPr>
          <w:bCs/>
          <w:lang w:val="fr-CA"/>
        </w:rPr>
        <w:t>accords de programmes</w:t>
      </w:r>
      <w:r w:rsidR="0080611A">
        <w:rPr>
          <w:bCs/>
          <w:lang w:val="fr-CA"/>
        </w:rPr>
        <w:t>,</w:t>
      </w:r>
      <w:r w:rsidR="00282E4B" w:rsidRPr="00B3274C">
        <w:rPr>
          <w:bCs/>
          <w:lang w:val="fr-CA"/>
        </w:rPr>
        <w:t xml:space="preserve"> y compris en matière de financement. Il apporte en outre un soutien aux victimes par l</w:t>
      </w:r>
      <w:r w:rsidR="0080611A">
        <w:rPr>
          <w:bCs/>
          <w:lang w:val="fr-CA"/>
        </w:rPr>
        <w:t>’</w:t>
      </w:r>
      <w:r w:rsidR="00282E4B" w:rsidRPr="00B3274C">
        <w:rPr>
          <w:bCs/>
          <w:lang w:val="fr-CA"/>
        </w:rPr>
        <w:t>intermédiaire de ses centres d</w:t>
      </w:r>
      <w:r w:rsidR="0080611A">
        <w:rPr>
          <w:bCs/>
          <w:lang w:val="fr-CA"/>
        </w:rPr>
        <w:t>’</w:t>
      </w:r>
      <w:r w:rsidR="00282E4B" w:rsidRPr="00B3274C">
        <w:rPr>
          <w:bCs/>
          <w:lang w:val="fr-CA"/>
        </w:rPr>
        <w:t>aide sociale</w:t>
      </w:r>
      <w:r w:rsidR="0080611A">
        <w:rPr>
          <w:bCs/>
          <w:lang w:val="fr-CA"/>
        </w:rPr>
        <w:t>,</w:t>
      </w:r>
      <w:r w:rsidR="00282E4B" w:rsidRPr="00B3274C">
        <w:rPr>
          <w:bCs/>
          <w:lang w:val="fr-CA"/>
        </w:rPr>
        <w:t xml:space="preserve"> </w:t>
      </w:r>
      <w:r w:rsidR="006B1377" w:rsidRPr="00B3274C">
        <w:rPr>
          <w:bCs/>
          <w:lang w:val="fr-CA"/>
        </w:rPr>
        <w:t>de leur</w:t>
      </w:r>
      <w:r w:rsidR="00282E4B" w:rsidRPr="00B3274C">
        <w:rPr>
          <w:bCs/>
          <w:lang w:val="fr-CA"/>
        </w:rPr>
        <w:t xml:space="preserve"> personnel spécialisé </w:t>
      </w:r>
      <w:r w:rsidR="006B1377" w:rsidRPr="00B3274C">
        <w:rPr>
          <w:bCs/>
          <w:lang w:val="fr-CA"/>
        </w:rPr>
        <w:t>et de leurs deux programmes d</w:t>
      </w:r>
      <w:r w:rsidR="0080611A">
        <w:rPr>
          <w:bCs/>
          <w:lang w:val="fr-CA"/>
        </w:rPr>
        <w:t>’</w:t>
      </w:r>
      <w:r w:rsidR="006B1377" w:rsidRPr="00B3274C">
        <w:rPr>
          <w:bCs/>
          <w:lang w:val="fr-CA"/>
        </w:rPr>
        <w:t xml:space="preserve">accompagnement psychologique et de prise en charge thérapeutique des délinquants. </w:t>
      </w:r>
    </w:p>
    <w:p w:rsidR="00FB23D3" w:rsidRPr="00B3274C" w:rsidRDefault="00107A47" w:rsidP="00107A47">
      <w:pPr>
        <w:pStyle w:val="SingleTxtG"/>
        <w:rPr>
          <w:b/>
          <w:bCs/>
          <w:lang w:val="fr-CA"/>
        </w:rPr>
      </w:pPr>
      <w:r w:rsidRPr="00B3274C">
        <w:rPr>
          <w:bCs/>
          <w:lang w:val="fr-CA"/>
        </w:rPr>
        <w:t>139.</w:t>
      </w:r>
      <w:r w:rsidRPr="00B3274C">
        <w:rPr>
          <w:bCs/>
          <w:lang w:val="fr-CA"/>
        </w:rPr>
        <w:tab/>
      </w:r>
      <w:r w:rsidR="00D60163" w:rsidRPr="00B3274C">
        <w:rPr>
          <w:bCs/>
          <w:lang w:val="fr-CA"/>
        </w:rPr>
        <w:t>Par ailleurs</w:t>
      </w:r>
      <w:r w:rsidR="0080611A">
        <w:rPr>
          <w:bCs/>
          <w:lang w:val="fr-CA"/>
        </w:rPr>
        <w:t>,</w:t>
      </w:r>
      <w:r w:rsidR="00D60163" w:rsidRPr="00B3274C">
        <w:rPr>
          <w:bCs/>
          <w:lang w:val="fr-CA"/>
        </w:rPr>
        <w:t xml:space="preserve"> la police grecque a publié un manuel sur le traitement des affaires de violence familiale par la police</w:t>
      </w:r>
      <w:r w:rsidR="0080611A">
        <w:rPr>
          <w:bCs/>
          <w:lang w:val="fr-CA"/>
        </w:rPr>
        <w:t>,</w:t>
      </w:r>
      <w:r w:rsidR="0047651D" w:rsidRPr="00B3274C">
        <w:rPr>
          <w:bCs/>
          <w:lang w:val="fr-CA"/>
        </w:rPr>
        <w:t xml:space="preserve"> qui contient des éléments d</w:t>
      </w:r>
      <w:r w:rsidR="0080611A">
        <w:rPr>
          <w:bCs/>
          <w:lang w:val="fr-CA"/>
        </w:rPr>
        <w:t>’</w:t>
      </w:r>
      <w:r w:rsidR="0047651D" w:rsidRPr="00B3274C">
        <w:rPr>
          <w:bCs/>
          <w:lang w:val="fr-CA"/>
        </w:rPr>
        <w:t>information à l</w:t>
      </w:r>
      <w:r w:rsidR="0080611A">
        <w:rPr>
          <w:bCs/>
          <w:lang w:val="fr-CA"/>
        </w:rPr>
        <w:t>’</w:t>
      </w:r>
      <w:r w:rsidR="0047651D" w:rsidRPr="00B3274C">
        <w:rPr>
          <w:bCs/>
          <w:lang w:val="fr-CA"/>
        </w:rPr>
        <w:t>intention des fonctionnaires de police</w:t>
      </w:r>
      <w:r w:rsidR="0080611A">
        <w:rPr>
          <w:bCs/>
          <w:lang w:val="fr-CA"/>
        </w:rPr>
        <w:t>,</w:t>
      </w:r>
      <w:r w:rsidR="0047651D" w:rsidRPr="00B3274C">
        <w:rPr>
          <w:bCs/>
          <w:lang w:val="fr-CA"/>
        </w:rPr>
        <w:t xml:space="preserve"> de l</w:t>
      </w:r>
      <w:r w:rsidR="0080611A">
        <w:rPr>
          <w:bCs/>
          <w:lang w:val="fr-CA"/>
        </w:rPr>
        <w:t>’</w:t>
      </w:r>
      <w:r w:rsidR="0047651D" w:rsidRPr="00B3274C">
        <w:rPr>
          <w:bCs/>
          <w:lang w:val="fr-CA"/>
        </w:rPr>
        <w:t>ensemble des citoyens et en particulier des femmes victimes de la violence familiale. En vertu d</w:t>
      </w:r>
      <w:r w:rsidR="0080611A">
        <w:rPr>
          <w:bCs/>
          <w:lang w:val="fr-CA"/>
        </w:rPr>
        <w:t>’</w:t>
      </w:r>
      <w:r w:rsidR="0047651D" w:rsidRPr="00B3274C">
        <w:rPr>
          <w:bCs/>
          <w:lang w:val="fr-CA"/>
        </w:rPr>
        <w:t>une décision du chef de la police grecque</w:t>
      </w:r>
      <w:r w:rsidR="0080611A">
        <w:rPr>
          <w:bCs/>
          <w:lang w:val="fr-CA"/>
        </w:rPr>
        <w:t>,</w:t>
      </w:r>
      <w:r w:rsidR="0047651D" w:rsidRPr="00B3274C">
        <w:rPr>
          <w:bCs/>
          <w:lang w:val="fr-CA"/>
        </w:rPr>
        <w:t xml:space="preserve"> la violence familiale est aujourd</w:t>
      </w:r>
      <w:r w:rsidR="0080611A">
        <w:rPr>
          <w:bCs/>
          <w:lang w:val="fr-CA"/>
        </w:rPr>
        <w:t>’</w:t>
      </w:r>
      <w:r w:rsidR="0047651D" w:rsidRPr="00B3274C">
        <w:rPr>
          <w:bCs/>
          <w:lang w:val="fr-CA"/>
        </w:rPr>
        <w:t>hui une matière enseignée à l</w:t>
      </w:r>
      <w:r w:rsidR="0080611A">
        <w:rPr>
          <w:bCs/>
          <w:lang w:val="fr-CA"/>
        </w:rPr>
        <w:t>’</w:t>
      </w:r>
      <w:r w:rsidR="0047651D" w:rsidRPr="00B3274C">
        <w:rPr>
          <w:bCs/>
          <w:lang w:val="fr-CA"/>
        </w:rPr>
        <w:t>Académie de police. En</w:t>
      </w:r>
      <w:r w:rsidR="00E32056">
        <w:rPr>
          <w:bCs/>
          <w:lang w:val="fr-CA"/>
        </w:rPr>
        <w:t> </w:t>
      </w:r>
      <w:r w:rsidR="0047651D" w:rsidRPr="00B3274C">
        <w:rPr>
          <w:bCs/>
          <w:lang w:val="fr-CA"/>
        </w:rPr>
        <w:t>outre</w:t>
      </w:r>
      <w:r w:rsidR="0080611A">
        <w:rPr>
          <w:bCs/>
          <w:lang w:val="fr-CA"/>
        </w:rPr>
        <w:t>,</w:t>
      </w:r>
      <w:r w:rsidR="0047651D" w:rsidRPr="00B3274C">
        <w:rPr>
          <w:bCs/>
          <w:lang w:val="fr-CA"/>
        </w:rPr>
        <w:t xml:space="preserve"> des séminaires de formation sur des questions liées à la violence familiale sont organisés régulièrement</w:t>
      </w:r>
      <w:r w:rsidR="00D60163" w:rsidRPr="00B3274C">
        <w:rPr>
          <w:bCs/>
          <w:lang w:val="fr-CA"/>
        </w:rPr>
        <w:t xml:space="preserve"> </w:t>
      </w:r>
      <w:r w:rsidR="0047651D" w:rsidRPr="00B3274C">
        <w:rPr>
          <w:bCs/>
          <w:lang w:val="fr-CA"/>
        </w:rPr>
        <w:t>à l</w:t>
      </w:r>
      <w:r w:rsidR="0080611A">
        <w:rPr>
          <w:bCs/>
          <w:lang w:val="fr-CA"/>
        </w:rPr>
        <w:t>’</w:t>
      </w:r>
      <w:r w:rsidR="0047651D" w:rsidRPr="00B3274C">
        <w:rPr>
          <w:bCs/>
          <w:lang w:val="fr-CA"/>
        </w:rPr>
        <w:t xml:space="preserve">intention des fonctionnaires de police. </w:t>
      </w:r>
    </w:p>
    <w:p w:rsidR="00FB23D3" w:rsidRPr="00B3274C" w:rsidRDefault="00107A47" w:rsidP="00107A47">
      <w:pPr>
        <w:pStyle w:val="SingleTxtG"/>
        <w:rPr>
          <w:bCs/>
          <w:lang w:val="fr-CA"/>
        </w:rPr>
      </w:pPr>
      <w:r w:rsidRPr="00B3274C">
        <w:rPr>
          <w:bCs/>
          <w:lang w:val="fr-CA"/>
        </w:rPr>
        <w:t>140.</w:t>
      </w:r>
      <w:r w:rsidRPr="00B3274C">
        <w:rPr>
          <w:bCs/>
          <w:lang w:val="fr-CA"/>
        </w:rPr>
        <w:tab/>
      </w:r>
      <w:r w:rsidR="0047651D" w:rsidRPr="00B3274C">
        <w:rPr>
          <w:bCs/>
          <w:lang w:val="fr-CA"/>
        </w:rPr>
        <w:t>Enfin</w:t>
      </w:r>
      <w:r w:rsidR="0080611A">
        <w:rPr>
          <w:bCs/>
          <w:lang w:val="fr-CA"/>
        </w:rPr>
        <w:t>,</w:t>
      </w:r>
      <w:r w:rsidR="0047651D" w:rsidRPr="00B3274C">
        <w:rPr>
          <w:bCs/>
          <w:lang w:val="fr-CA"/>
        </w:rPr>
        <w:t xml:space="preserve"> des organisations de femmes ont contribué à l</w:t>
      </w:r>
      <w:r w:rsidR="0080611A">
        <w:rPr>
          <w:bCs/>
          <w:lang w:val="fr-CA"/>
        </w:rPr>
        <w:t>’</w:t>
      </w:r>
      <w:r w:rsidR="0047651D" w:rsidRPr="00B3274C">
        <w:rPr>
          <w:bCs/>
          <w:lang w:val="fr-CA"/>
        </w:rPr>
        <w:t>élaboration d</w:t>
      </w:r>
      <w:r w:rsidR="0080611A">
        <w:rPr>
          <w:bCs/>
          <w:lang w:val="fr-CA"/>
        </w:rPr>
        <w:t>’</w:t>
      </w:r>
      <w:r w:rsidR="0047651D" w:rsidRPr="00B3274C">
        <w:rPr>
          <w:bCs/>
          <w:lang w:val="fr-CA"/>
        </w:rPr>
        <w:t>activités d</w:t>
      </w:r>
      <w:r w:rsidR="0080611A">
        <w:rPr>
          <w:bCs/>
          <w:lang w:val="fr-CA"/>
        </w:rPr>
        <w:t>’</w:t>
      </w:r>
      <w:r w:rsidR="0047651D" w:rsidRPr="00B3274C">
        <w:rPr>
          <w:bCs/>
          <w:lang w:val="fr-CA"/>
        </w:rPr>
        <w:t xml:space="preserve">éducation et de sensibilisation. </w:t>
      </w:r>
    </w:p>
    <w:p w:rsidR="00FB23D3" w:rsidRPr="00B3274C" w:rsidRDefault="00107A47" w:rsidP="00107A47">
      <w:pPr>
        <w:pStyle w:val="SingleTxtG"/>
        <w:rPr>
          <w:bCs/>
          <w:lang w:val="fr-CA"/>
        </w:rPr>
      </w:pPr>
      <w:r w:rsidRPr="00B3274C">
        <w:rPr>
          <w:bCs/>
          <w:lang w:val="fr-CA"/>
        </w:rPr>
        <w:t>141.</w:t>
      </w:r>
      <w:r w:rsidRPr="00B3274C">
        <w:rPr>
          <w:bCs/>
          <w:lang w:val="fr-CA"/>
        </w:rPr>
        <w:tab/>
      </w:r>
      <w:r w:rsidR="0047651D" w:rsidRPr="00B3274C">
        <w:rPr>
          <w:bCs/>
          <w:lang w:val="fr-CA"/>
        </w:rPr>
        <w:t>Prévenir et combattre la violence à l</w:t>
      </w:r>
      <w:r w:rsidR="0080611A">
        <w:rPr>
          <w:bCs/>
          <w:lang w:val="fr-CA"/>
        </w:rPr>
        <w:t>’</w:t>
      </w:r>
      <w:r w:rsidR="0047651D" w:rsidRPr="00B3274C">
        <w:rPr>
          <w:bCs/>
          <w:lang w:val="fr-CA"/>
        </w:rPr>
        <w:t>égard des femmes dans leur vie familiale/privé</w:t>
      </w:r>
      <w:r w:rsidR="00C365BD" w:rsidRPr="00B3274C">
        <w:rPr>
          <w:bCs/>
          <w:lang w:val="fr-CA"/>
        </w:rPr>
        <w:t>e</w:t>
      </w:r>
      <w:r w:rsidR="0080611A">
        <w:rPr>
          <w:bCs/>
          <w:lang w:val="fr-CA"/>
        </w:rPr>
        <w:t>,</w:t>
      </w:r>
      <w:r w:rsidR="0047651D" w:rsidRPr="00B3274C">
        <w:rPr>
          <w:bCs/>
          <w:lang w:val="fr-CA"/>
        </w:rPr>
        <w:t xml:space="preserve"> sur les lieux de travail et au sein de la société </w:t>
      </w:r>
      <w:r w:rsidR="00C365BD" w:rsidRPr="00B3274C">
        <w:rPr>
          <w:bCs/>
          <w:lang w:val="fr-CA"/>
        </w:rPr>
        <w:t>en général</w:t>
      </w:r>
      <w:r w:rsidR="0080611A">
        <w:rPr>
          <w:bCs/>
          <w:lang w:val="fr-CA"/>
        </w:rPr>
        <w:t>,</w:t>
      </w:r>
      <w:r w:rsidR="00C365BD" w:rsidRPr="00B3274C">
        <w:rPr>
          <w:bCs/>
          <w:lang w:val="fr-CA"/>
        </w:rPr>
        <w:t xml:space="preserve"> fait </w:t>
      </w:r>
      <w:r w:rsidR="0047651D" w:rsidRPr="00B3274C">
        <w:rPr>
          <w:bCs/>
          <w:lang w:val="fr-CA"/>
        </w:rPr>
        <w:t>partie des objectifs stratégiques du Plan national d</w:t>
      </w:r>
      <w:r w:rsidR="0080611A">
        <w:rPr>
          <w:bCs/>
          <w:lang w:val="fr-CA"/>
        </w:rPr>
        <w:t>’</w:t>
      </w:r>
      <w:r w:rsidR="0047651D" w:rsidRPr="00B3274C">
        <w:rPr>
          <w:bCs/>
          <w:lang w:val="fr-CA"/>
        </w:rPr>
        <w:t>action sur l</w:t>
      </w:r>
      <w:r w:rsidR="0080611A">
        <w:rPr>
          <w:bCs/>
          <w:lang w:val="fr-CA"/>
        </w:rPr>
        <w:t>’</w:t>
      </w:r>
      <w:r w:rsidR="0047651D" w:rsidRPr="00B3274C">
        <w:rPr>
          <w:bCs/>
          <w:lang w:val="fr-CA"/>
        </w:rPr>
        <w:t xml:space="preserve">égalité réelle des sexes </w:t>
      </w:r>
      <w:r w:rsidR="00FB23D3" w:rsidRPr="00B3274C">
        <w:rPr>
          <w:bCs/>
          <w:lang w:val="fr-CA"/>
        </w:rPr>
        <w:t>2010-2013</w:t>
      </w:r>
      <w:r w:rsidR="0080611A">
        <w:rPr>
          <w:bCs/>
          <w:lang w:val="fr-CA"/>
        </w:rPr>
        <w:t>,</w:t>
      </w:r>
      <w:r w:rsidR="009C1A5C" w:rsidRPr="00B3274C">
        <w:rPr>
          <w:bCs/>
          <w:lang w:val="fr-CA"/>
        </w:rPr>
        <w:t xml:space="preserve"> établi</w:t>
      </w:r>
      <w:r w:rsidR="00C365BD" w:rsidRPr="00B3274C">
        <w:rPr>
          <w:bCs/>
          <w:lang w:val="fr-CA"/>
        </w:rPr>
        <w:t xml:space="preserve"> par le Secrétariat général à l</w:t>
      </w:r>
      <w:r w:rsidR="0080611A">
        <w:rPr>
          <w:bCs/>
          <w:lang w:val="fr-CA"/>
        </w:rPr>
        <w:t>’</w:t>
      </w:r>
      <w:r w:rsidR="00C365BD" w:rsidRPr="00B3274C">
        <w:rPr>
          <w:bCs/>
          <w:lang w:val="fr-CA"/>
        </w:rPr>
        <w:t>égalité des sexes. En ce qui concerne la violence familiale</w:t>
      </w:r>
      <w:r w:rsidR="0080611A">
        <w:rPr>
          <w:bCs/>
          <w:lang w:val="fr-CA"/>
        </w:rPr>
        <w:t>,</w:t>
      </w:r>
      <w:r w:rsidR="00C365BD" w:rsidRPr="00B3274C">
        <w:rPr>
          <w:bCs/>
          <w:lang w:val="fr-CA"/>
        </w:rPr>
        <w:t xml:space="preserve"> </w:t>
      </w:r>
      <w:r w:rsidR="002D1158" w:rsidRPr="00B3274C">
        <w:rPr>
          <w:bCs/>
          <w:lang w:val="fr-CA"/>
        </w:rPr>
        <w:t>le Plans a huit</w:t>
      </w:r>
      <w:r w:rsidR="002A597D" w:rsidRPr="00B3274C">
        <w:rPr>
          <w:bCs/>
          <w:lang w:val="fr-CA"/>
        </w:rPr>
        <w:t xml:space="preserve"> objectifs principaux</w:t>
      </w:r>
      <w:r w:rsidR="00EC5892" w:rsidRPr="00B3274C">
        <w:rPr>
          <w:bCs/>
          <w:lang w:val="fr-CA"/>
        </w:rPr>
        <w:t>:</w:t>
      </w:r>
      <w:r w:rsidR="002A597D" w:rsidRPr="00B3274C">
        <w:rPr>
          <w:bCs/>
          <w:lang w:val="fr-CA"/>
        </w:rPr>
        <w:t xml:space="preserve"> améliorer la législation</w:t>
      </w:r>
      <w:r w:rsidR="0080611A">
        <w:rPr>
          <w:bCs/>
          <w:lang w:val="fr-CA"/>
        </w:rPr>
        <w:t>,</w:t>
      </w:r>
      <w:r w:rsidR="002A597D" w:rsidRPr="00B3274C">
        <w:rPr>
          <w:bCs/>
          <w:lang w:val="fr-CA"/>
        </w:rPr>
        <w:t xml:space="preserve"> créer des structures de soutien</w:t>
      </w:r>
      <w:r w:rsidR="0080611A">
        <w:rPr>
          <w:bCs/>
          <w:lang w:val="fr-CA"/>
        </w:rPr>
        <w:t>,</w:t>
      </w:r>
      <w:r w:rsidR="002A597D" w:rsidRPr="00B3274C">
        <w:rPr>
          <w:bCs/>
          <w:lang w:val="fr-CA"/>
        </w:rPr>
        <w:t xml:space="preserve"> fournir des services d</w:t>
      </w:r>
      <w:r w:rsidR="0080611A">
        <w:rPr>
          <w:bCs/>
          <w:lang w:val="fr-CA"/>
        </w:rPr>
        <w:t>’</w:t>
      </w:r>
      <w:r w:rsidR="002A597D" w:rsidRPr="00B3274C">
        <w:rPr>
          <w:bCs/>
          <w:lang w:val="fr-CA"/>
        </w:rPr>
        <w:t>appui</w:t>
      </w:r>
      <w:r w:rsidR="0080611A">
        <w:rPr>
          <w:bCs/>
          <w:lang w:val="fr-CA"/>
        </w:rPr>
        <w:t>,</w:t>
      </w:r>
      <w:r w:rsidR="002A597D" w:rsidRPr="00B3274C">
        <w:rPr>
          <w:bCs/>
          <w:lang w:val="fr-CA"/>
        </w:rPr>
        <w:t xml:space="preserve"> développer la prévention</w:t>
      </w:r>
      <w:r w:rsidR="0080611A">
        <w:rPr>
          <w:bCs/>
          <w:lang w:val="fr-CA"/>
        </w:rPr>
        <w:t>,</w:t>
      </w:r>
      <w:r w:rsidR="002A597D" w:rsidRPr="00B3274C">
        <w:rPr>
          <w:bCs/>
          <w:lang w:val="fr-CA"/>
        </w:rPr>
        <w:t xml:space="preserve"> renforcer la formation</w:t>
      </w:r>
      <w:r w:rsidR="0080611A">
        <w:rPr>
          <w:bCs/>
          <w:lang w:val="fr-CA"/>
        </w:rPr>
        <w:t>,</w:t>
      </w:r>
      <w:r w:rsidR="002A597D" w:rsidRPr="00B3274C">
        <w:rPr>
          <w:bCs/>
          <w:lang w:val="fr-CA"/>
        </w:rPr>
        <w:t xml:space="preserve"> la recherche – développement et la documentation</w:t>
      </w:r>
      <w:r w:rsidR="0080611A">
        <w:rPr>
          <w:bCs/>
          <w:lang w:val="fr-CA"/>
        </w:rPr>
        <w:t>,</w:t>
      </w:r>
      <w:r w:rsidR="002A597D" w:rsidRPr="00B3274C">
        <w:rPr>
          <w:bCs/>
          <w:lang w:val="fr-CA"/>
        </w:rPr>
        <w:t xml:space="preserve"> donner plus de moyens d</w:t>
      </w:r>
      <w:r w:rsidR="0080611A">
        <w:rPr>
          <w:bCs/>
          <w:lang w:val="fr-CA"/>
        </w:rPr>
        <w:t>’</w:t>
      </w:r>
      <w:r w:rsidR="002A597D" w:rsidRPr="00B3274C">
        <w:rPr>
          <w:bCs/>
          <w:lang w:val="fr-CA"/>
        </w:rPr>
        <w:t>action à la société civile et promouvoir les partenariats institutionnels. Il est important de noter</w:t>
      </w:r>
      <w:r w:rsidR="0080611A">
        <w:rPr>
          <w:bCs/>
          <w:lang w:val="fr-CA"/>
        </w:rPr>
        <w:t>,</w:t>
      </w:r>
      <w:r w:rsidR="002A597D" w:rsidRPr="00B3274C">
        <w:rPr>
          <w:bCs/>
          <w:lang w:val="fr-CA"/>
        </w:rPr>
        <w:t xml:space="preserve"> en tant que pratique optimale</w:t>
      </w:r>
      <w:r w:rsidR="0080611A">
        <w:rPr>
          <w:bCs/>
          <w:lang w:val="fr-CA"/>
        </w:rPr>
        <w:t>,</w:t>
      </w:r>
      <w:r w:rsidR="002A597D" w:rsidRPr="00B3274C">
        <w:rPr>
          <w:bCs/>
          <w:lang w:val="fr-CA"/>
        </w:rPr>
        <w:t xml:space="preserve"> la mise en service en mars 2011 d</w:t>
      </w:r>
      <w:r w:rsidR="0080611A">
        <w:rPr>
          <w:bCs/>
          <w:lang w:val="fr-CA"/>
        </w:rPr>
        <w:t>’</w:t>
      </w:r>
      <w:r w:rsidR="002A597D" w:rsidRPr="00B3274C">
        <w:rPr>
          <w:bCs/>
          <w:lang w:val="fr-CA"/>
        </w:rPr>
        <w:t>une ligne téléphonique d</w:t>
      </w:r>
      <w:r w:rsidR="0080611A">
        <w:rPr>
          <w:bCs/>
          <w:lang w:val="fr-CA"/>
        </w:rPr>
        <w:t>’</w:t>
      </w:r>
      <w:r w:rsidR="002A597D" w:rsidRPr="00B3274C">
        <w:rPr>
          <w:bCs/>
          <w:lang w:val="fr-CA"/>
        </w:rPr>
        <w:t>urgence qui fonctionne 24 heures sur 24</w:t>
      </w:r>
      <w:r w:rsidR="0080611A">
        <w:rPr>
          <w:bCs/>
          <w:lang w:val="fr-CA"/>
        </w:rPr>
        <w:t>,</w:t>
      </w:r>
      <w:r w:rsidR="002A597D" w:rsidRPr="00B3274C">
        <w:rPr>
          <w:bCs/>
          <w:lang w:val="fr-CA"/>
        </w:rPr>
        <w:t xml:space="preserve"> avec la participation de psychologues et de travailleurs sociaux</w:t>
      </w:r>
      <w:r w:rsidR="0080611A">
        <w:rPr>
          <w:bCs/>
          <w:lang w:val="fr-CA"/>
        </w:rPr>
        <w:t>,</w:t>
      </w:r>
      <w:r w:rsidR="002A597D" w:rsidRPr="00B3274C">
        <w:rPr>
          <w:bCs/>
          <w:lang w:val="fr-CA"/>
        </w:rPr>
        <w:t xml:space="preserve"> pour tous les types de violence sexiste. Le premier </w:t>
      </w:r>
      <w:r w:rsidR="007C5218">
        <w:rPr>
          <w:bCs/>
          <w:lang w:val="fr-CA"/>
        </w:rPr>
        <w:t>mois de sa mise en service</w:t>
      </w:r>
      <w:r w:rsidR="0080611A">
        <w:rPr>
          <w:bCs/>
          <w:lang w:val="fr-CA"/>
        </w:rPr>
        <w:t>,</w:t>
      </w:r>
      <w:r w:rsidR="007C5218">
        <w:rPr>
          <w:bCs/>
          <w:lang w:val="fr-CA"/>
        </w:rPr>
        <w:t xml:space="preserve"> 464 </w:t>
      </w:r>
      <w:r w:rsidR="002A597D" w:rsidRPr="00B3274C">
        <w:rPr>
          <w:bCs/>
          <w:lang w:val="fr-CA"/>
        </w:rPr>
        <w:t>appels ont été reçus</w:t>
      </w:r>
      <w:r w:rsidR="0080611A">
        <w:rPr>
          <w:bCs/>
          <w:lang w:val="fr-CA"/>
        </w:rPr>
        <w:t>,</w:t>
      </w:r>
      <w:r w:rsidR="002A597D" w:rsidRPr="00B3274C">
        <w:rPr>
          <w:bCs/>
          <w:lang w:val="fr-CA"/>
        </w:rPr>
        <w:t xml:space="preserve"> émanant pour la plupart des victimes de violences elles-mêmes. Une Campagne nationale d</w:t>
      </w:r>
      <w:r w:rsidR="0080611A">
        <w:rPr>
          <w:bCs/>
          <w:lang w:val="fr-CA"/>
        </w:rPr>
        <w:t>’</w:t>
      </w:r>
      <w:r w:rsidR="002A597D" w:rsidRPr="00B3274C">
        <w:rPr>
          <w:bCs/>
          <w:lang w:val="fr-CA"/>
        </w:rPr>
        <w:t>information et de sensibilisation de la population sur la violence à l</w:t>
      </w:r>
      <w:r w:rsidR="0080611A">
        <w:rPr>
          <w:bCs/>
          <w:lang w:val="fr-CA"/>
        </w:rPr>
        <w:t>’</w:t>
      </w:r>
      <w:r w:rsidR="002A597D" w:rsidRPr="00B3274C">
        <w:rPr>
          <w:bCs/>
          <w:lang w:val="fr-CA"/>
        </w:rPr>
        <w:t>égard des femmes a été lancée</w:t>
      </w:r>
      <w:r w:rsidR="0080611A">
        <w:rPr>
          <w:bCs/>
          <w:lang w:val="fr-CA"/>
        </w:rPr>
        <w:t>,</w:t>
      </w:r>
      <w:r w:rsidR="002A597D" w:rsidRPr="00B3274C">
        <w:rPr>
          <w:bCs/>
          <w:lang w:val="fr-CA"/>
        </w:rPr>
        <w:t xml:space="preserve"> qui mettait l</w:t>
      </w:r>
      <w:r w:rsidR="0080611A">
        <w:rPr>
          <w:bCs/>
          <w:lang w:val="fr-CA"/>
        </w:rPr>
        <w:t>’</w:t>
      </w:r>
      <w:r w:rsidR="002A597D" w:rsidRPr="00B3274C">
        <w:rPr>
          <w:bCs/>
          <w:lang w:val="fr-CA"/>
        </w:rPr>
        <w:t>accent sur le fonctionnement de la ligne téléphonique susmentionnée</w:t>
      </w:r>
      <w:r w:rsidR="0080611A">
        <w:rPr>
          <w:bCs/>
          <w:lang w:val="fr-CA"/>
        </w:rPr>
        <w:t>,</w:t>
      </w:r>
      <w:r w:rsidR="002A597D" w:rsidRPr="00B3274C">
        <w:rPr>
          <w:bCs/>
          <w:lang w:val="fr-CA"/>
        </w:rPr>
        <w:t xml:space="preserve"> ave</w:t>
      </w:r>
      <w:r w:rsidR="005E3D08" w:rsidRPr="00B3274C">
        <w:rPr>
          <w:bCs/>
          <w:lang w:val="fr-CA"/>
        </w:rPr>
        <w:t>c le message social suivant</w:t>
      </w:r>
      <w:r w:rsidR="00EC5892" w:rsidRPr="00B3274C">
        <w:rPr>
          <w:bCs/>
          <w:lang w:val="fr-CA"/>
        </w:rPr>
        <w:t>:</w:t>
      </w:r>
      <w:r w:rsidR="005E3D08" w:rsidRPr="00B3274C">
        <w:rPr>
          <w:bCs/>
          <w:lang w:val="fr-CA"/>
        </w:rPr>
        <w:t xml:space="preserve"> </w:t>
      </w:r>
      <w:r w:rsidR="0055418C" w:rsidRPr="00B3274C">
        <w:rPr>
          <w:bCs/>
          <w:lang w:val="fr-CA"/>
        </w:rPr>
        <w:t>«</w:t>
      </w:r>
      <w:r w:rsidR="005E3D08" w:rsidRPr="00B3274C">
        <w:rPr>
          <w:bCs/>
          <w:lang w:val="fr-CA"/>
        </w:rPr>
        <w:t>Vous n</w:t>
      </w:r>
      <w:r w:rsidR="0080611A">
        <w:rPr>
          <w:bCs/>
          <w:lang w:val="fr-CA"/>
        </w:rPr>
        <w:t>’</w:t>
      </w:r>
      <w:r w:rsidR="005E3D08" w:rsidRPr="00B3274C">
        <w:rPr>
          <w:bCs/>
          <w:lang w:val="fr-CA"/>
        </w:rPr>
        <w:t>êtes pas seule. Vous n</w:t>
      </w:r>
      <w:r w:rsidR="0080611A">
        <w:rPr>
          <w:bCs/>
          <w:lang w:val="fr-CA"/>
        </w:rPr>
        <w:t>’</w:t>
      </w:r>
      <w:r w:rsidR="005E3D08" w:rsidRPr="00B3274C">
        <w:rPr>
          <w:bCs/>
          <w:lang w:val="fr-CA"/>
        </w:rPr>
        <w:t xml:space="preserve">êtes pas la seule». </w:t>
      </w:r>
    </w:p>
    <w:p w:rsidR="00FB23D3" w:rsidRPr="00B3274C" w:rsidRDefault="00107A47" w:rsidP="00107A47">
      <w:pPr>
        <w:pStyle w:val="SingleTxtG"/>
        <w:rPr>
          <w:bCs/>
          <w:lang w:val="fr-CA"/>
        </w:rPr>
      </w:pPr>
      <w:r w:rsidRPr="00B3274C">
        <w:rPr>
          <w:bCs/>
          <w:lang w:val="fr-CA"/>
        </w:rPr>
        <w:t>142.</w:t>
      </w:r>
      <w:r w:rsidR="00A51C1E" w:rsidRPr="00B3274C">
        <w:rPr>
          <w:bCs/>
          <w:lang w:val="fr-CA"/>
        </w:rPr>
        <w:tab/>
      </w:r>
      <w:r w:rsidR="005218E1" w:rsidRPr="00B3274C">
        <w:rPr>
          <w:bCs/>
          <w:lang w:val="fr-CA"/>
        </w:rPr>
        <w:t>L</w:t>
      </w:r>
      <w:r w:rsidR="0080611A">
        <w:rPr>
          <w:bCs/>
          <w:lang w:val="fr-CA"/>
        </w:rPr>
        <w:t>’</w:t>
      </w:r>
      <w:r w:rsidR="005218E1" w:rsidRPr="00B3274C">
        <w:rPr>
          <w:bCs/>
          <w:lang w:val="fr-CA"/>
        </w:rPr>
        <w:t>élaboration d</w:t>
      </w:r>
      <w:r w:rsidR="0080611A">
        <w:rPr>
          <w:bCs/>
          <w:lang w:val="fr-CA"/>
        </w:rPr>
        <w:t>’</w:t>
      </w:r>
      <w:r w:rsidR="005218E1" w:rsidRPr="00B3274C">
        <w:rPr>
          <w:bCs/>
          <w:lang w:val="fr-CA"/>
        </w:rPr>
        <w:t>une loi globale sur la violence à l</w:t>
      </w:r>
      <w:r w:rsidR="0080611A">
        <w:rPr>
          <w:bCs/>
          <w:lang w:val="fr-CA"/>
        </w:rPr>
        <w:t>’</w:t>
      </w:r>
      <w:r w:rsidR="005218E1" w:rsidRPr="00B3274C">
        <w:rPr>
          <w:bCs/>
          <w:lang w:val="fr-CA"/>
        </w:rPr>
        <w:t xml:space="preserve">égard des femmes témoigne du caractère transversal de la violence sexiste et </w:t>
      </w:r>
      <w:r w:rsidR="00274BEB" w:rsidRPr="00B3274C">
        <w:rPr>
          <w:bCs/>
          <w:lang w:val="fr-CA"/>
        </w:rPr>
        <w:t>constitue</w:t>
      </w:r>
      <w:r w:rsidR="005218E1" w:rsidRPr="00B3274C">
        <w:rPr>
          <w:bCs/>
          <w:lang w:val="fr-CA"/>
        </w:rPr>
        <w:t xml:space="preserve"> une méthode internationalement acceptée s</w:t>
      </w:r>
      <w:r w:rsidR="0080611A">
        <w:rPr>
          <w:bCs/>
          <w:lang w:val="fr-CA"/>
        </w:rPr>
        <w:t>’</w:t>
      </w:r>
      <w:r w:rsidR="005218E1" w:rsidRPr="00B3274C">
        <w:rPr>
          <w:bCs/>
          <w:lang w:val="fr-CA"/>
        </w:rPr>
        <w:t>agissant de légiférer pour lutter contre les aspects multiples et complexes</w:t>
      </w:r>
      <w:r w:rsidR="00274BEB" w:rsidRPr="00B3274C">
        <w:rPr>
          <w:bCs/>
          <w:lang w:val="fr-CA"/>
        </w:rPr>
        <w:t xml:space="preserve"> de ce type</w:t>
      </w:r>
      <w:r w:rsidR="005218E1" w:rsidRPr="00B3274C">
        <w:rPr>
          <w:bCs/>
          <w:lang w:val="fr-CA"/>
        </w:rPr>
        <w:t xml:space="preserve"> d</w:t>
      </w:r>
      <w:r w:rsidR="0080611A">
        <w:rPr>
          <w:bCs/>
          <w:lang w:val="fr-CA"/>
        </w:rPr>
        <w:t>’</w:t>
      </w:r>
      <w:r w:rsidR="005218E1" w:rsidRPr="00B3274C">
        <w:rPr>
          <w:bCs/>
          <w:lang w:val="fr-CA"/>
        </w:rPr>
        <w:t xml:space="preserve">activités criminelles qui pénètrent tous </w:t>
      </w:r>
      <w:r w:rsidR="00274BEB" w:rsidRPr="00B3274C">
        <w:rPr>
          <w:bCs/>
          <w:lang w:val="fr-CA"/>
        </w:rPr>
        <w:t xml:space="preserve">les domaines de la vie quotidienne. </w:t>
      </w:r>
      <w:r w:rsidR="00880B4E" w:rsidRPr="00B3274C">
        <w:rPr>
          <w:bCs/>
          <w:lang w:val="fr-CA"/>
        </w:rPr>
        <w:t>Plus précisément</w:t>
      </w:r>
      <w:r w:rsidR="0080611A">
        <w:rPr>
          <w:bCs/>
          <w:lang w:val="fr-CA"/>
        </w:rPr>
        <w:t>,</w:t>
      </w:r>
      <w:r w:rsidR="00880B4E" w:rsidRPr="00B3274C">
        <w:rPr>
          <w:bCs/>
          <w:lang w:val="fr-CA"/>
        </w:rPr>
        <w:t xml:space="preserve"> les mesures envisagées portent</w:t>
      </w:r>
      <w:r w:rsidR="0080611A">
        <w:rPr>
          <w:bCs/>
          <w:lang w:val="fr-CA"/>
        </w:rPr>
        <w:t>,</w:t>
      </w:r>
      <w:r w:rsidR="00556E41" w:rsidRPr="00B3274C">
        <w:rPr>
          <w:bCs/>
          <w:lang w:val="fr-CA"/>
        </w:rPr>
        <w:t xml:space="preserve"> concernant</w:t>
      </w:r>
      <w:r w:rsidR="00880B4E" w:rsidRPr="00B3274C">
        <w:rPr>
          <w:bCs/>
          <w:lang w:val="fr-CA"/>
        </w:rPr>
        <w:t xml:space="preserve"> la violence familiale</w:t>
      </w:r>
      <w:r w:rsidR="0080611A">
        <w:rPr>
          <w:bCs/>
          <w:lang w:val="fr-CA"/>
        </w:rPr>
        <w:t>,</w:t>
      </w:r>
      <w:r w:rsidR="00880B4E" w:rsidRPr="00B3274C">
        <w:rPr>
          <w:bCs/>
          <w:lang w:val="fr-CA"/>
        </w:rPr>
        <w:t xml:space="preserve"> </w:t>
      </w:r>
      <w:r w:rsidR="00556E41" w:rsidRPr="00B3274C">
        <w:rPr>
          <w:bCs/>
          <w:lang w:val="fr-CA"/>
        </w:rPr>
        <w:t xml:space="preserve">sur </w:t>
      </w:r>
      <w:r w:rsidR="00880B4E" w:rsidRPr="00B3274C">
        <w:rPr>
          <w:bCs/>
          <w:lang w:val="fr-CA"/>
        </w:rPr>
        <w:t>l</w:t>
      </w:r>
      <w:r w:rsidR="0080611A">
        <w:rPr>
          <w:bCs/>
          <w:lang w:val="fr-CA"/>
        </w:rPr>
        <w:t>’</w:t>
      </w:r>
      <w:r w:rsidR="00880B4E" w:rsidRPr="00B3274C">
        <w:rPr>
          <w:bCs/>
          <w:lang w:val="fr-CA"/>
        </w:rPr>
        <w:t xml:space="preserve">amélioration de la loi </w:t>
      </w:r>
      <w:r w:rsidR="00136426" w:rsidRPr="00B3274C">
        <w:rPr>
          <w:lang w:val="fr-CA"/>
        </w:rPr>
        <w:t>n</w:t>
      </w:r>
      <w:r w:rsidR="00136426" w:rsidRPr="00B3274C">
        <w:rPr>
          <w:vertAlign w:val="superscript"/>
          <w:lang w:val="fr-CA"/>
        </w:rPr>
        <w:t>o</w:t>
      </w:r>
      <w:r w:rsidR="00136426" w:rsidRPr="00B3274C">
        <w:rPr>
          <w:lang w:val="fr-CA"/>
        </w:rPr>
        <w:t> </w:t>
      </w:r>
      <w:r w:rsidR="00880B4E" w:rsidRPr="00B3274C">
        <w:rPr>
          <w:bCs/>
          <w:lang w:val="fr-CA"/>
        </w:rPr>
        <w:t>3500/2006 sur la violence familiale et le renforcement du cadre de lutte contre la violence familiale par la création de centres d</w:t>
      </w:r>
      <w:r w:rsidR="0080611A">
        <w:rPr>
          <w:bCs/>
          <w:lang w:val="fr-CA"/>
        </w:rPr>
        <w:t>’</w:t>
      </w:r>
      <w:r w:rsidR="00880B4E" w:rsidRPr="00B3274C">
        <w:rPr>
          <w:bCs/>
          <w:lang w:val="fr-CA"/>
        </w:rPr>
        <w:t xml:space="preserve">assistance aux victimes et </w:t>
      </w:r>
      <w:r w:rsidR="00FB3BA5" w:rsidRPr="00B3274C">
        <w:rPr>
          <w:bCs/>
          <w:lang w:val="fr-CA"/>
        </w:rPr>
        <w:t>l</w:t>
      </w:r>
      <w:r w:rsidR="0080611A">
        <w:rPr>
          <w:bCs/>
          <w:lang w:val="fr-CA"/>
        </w:rPr>
        <w:t>’</w:t>
      </w:r>
      <w:r w:rsidR="00FB3BA5" w:rsidRPr="00B3274C">
        <w:rPr>
          <w:bCs/>
          <w:lang w:val="fr-CA"/>
        </w:rPr>
        <w:t xml:space="preserve">offre </w:t>
      </w:r>
      <w:r w:rsidR="00556E41" w:rsidRPr="00B3274C">
        <w:rPr>
          <w:bCs/>
          <w:lang w:val="fr-CA"/>
        </w:rPr>
        <w:t xml:space="preserve">à celles-ci </w:t>
      </w:r>
      <w:r w:rsidR="00FB3BA5" w:rsidRPr="00B3274C">
        <w:rPr>
          <w:bCs/>
          <w:lang w:val="fr-CA"/>
        </w:rPr>
        <w:t>d</w:t>
      </w:r>
      <w:r w:rsidR="0080611A">
        <w:rPr>
          <w:bCs/>
          <w:lang w:val="fr-CA"/>
        </w:rPr>
        <w:t>’</w:t>
      </w:r>
      <w:r w:rsidR="00FB3BA5" w:rsidRPr="00B3274C">
        <w:rPr>
          <w:bCs/>
          <w:lang w:val="fr-CA"/>
        </w:rPr>
        <w:t>un</w:t>
      </w:r>
      <w:r w:rsidR="00880B4E" w:rsidRPr="00B3274C">
        <w:rPr>
          <w:bCs/>
          <w:lang w:val="fr-CA"/>
        </w:rPr>
        <w:t xml:space="preserve"> hébergement </w:t>
      </w:r>
      <w:r w:rsidR="00FB3BA5" w:rsidRPr="00B3274C">
        <w:rPr>
          <w:bCs/>
          <w:lang w:val="fr-CA"/>
        </w:rPr>
        <w:t>temporaire</w:t>
      </w:r>
      <w:r w:rsidR="00556E41" w:rsidRPr="00B3274C">
        <w:rPr>
          <w:bCs/>
          <w:lang w:val="fr-CA"/>
        </w:rPr>
        <w:t xml:space="preserve"> et</w:t>
      </w:r>
      <w:r w:rsidR="0080611A">
        <w:rPr>
          <w:bCs/>
          <w:lang w:val="fr-CA"/>
        </w:rPr>
        <w:t>,</w:t>
      </w:r>
      <w:r w:rsidR="00556E41" w:rsidRPr="00B3274C">
        <w:rPr>
          <w:bCs/>
          <w:lang w:val="fr-CA"/>
        </w:rPr>
        <w:t xml:space="preserve"> concernant la violence sociale</w:t>
      </w:r>
      <w:r w:rsidR="0080611A">
        <w:rPr>
          <w:bCs/>
          <w:lang w:val="fr-CA"/>
        </w:rPr>
        <w:t>,</w:t>
      </w:r>
      <w:r w:rsidR="00556E41" w:rsidRPr="00B3274C">
        <w:rPr>
          <w:bCs/>
          <w:lang w:val="fr-CA"/>
        </w:rPr>
        <w:t xml:space="preserve"> sur l</w:t>
      </w:r>
      <w:r w:rsidR="0080611A">
        <w:rPr>
          <w:bCs/>
          <w:lang w:val="fr-CA"/>
        </w:rPr>
        <w:t>’</w:t>
      </w:r>
      <w:r w:rsidR="00556E41" w:rsidRPr="00B3274C">
        <w:rPr>
          <w:bCs/>
          <w:lang w:val="fr-CA"/>
        </w:rPr>
        <w:t>amélioration et le renforcement des lois sur des crimes tels que le viol et la traite des êtres humains.</w:t>
      </w:r>
      <w:r w:rsidR="00FB3BA5" w:rsidRPr="00B3274C">
        <w:rPr>
          <w:bCs/>
          <w:lang w:val="fr-CA"/>
        </w:rPr>
        <w:t xml:space="preserve"> </w:t>
      </w:r>
      <w:r w:rsidR="003A7F4A" w:rsidRPr="00B3274C">
        <w:rPr>
          <w:bCs/>
          <w:lang w:val="fr-CA"/>
        </w:rPr>
        <w:t>D</w:t>
      </w:r>
      <w:r w:rsidR="0080611A">
        <w:rPr>
          <w:bCs/>
          <w:lang w:val="fr-CA"/>
        </w:rPr>
        <w:t>’</w:t>
      </w:r>
      <w:r w:rsidR="003A7F4A" w:rsidRPr="00B3274C">
        <w:rPr>
          <w:bCs/>
          <w:lang w:val="fr-CA"/>
        </w:rPr>
        <w:t>autres questions transversales devront être traitées</w:t>
      </w:r>
      <w:r w:rsidR="0080611A">
        <w:rPr>
          <w:bCs/>
          <w:lang w:val="fr-CA"/>
        </w:rPr>
        <w:t>,</w:t>
      </w:r>
      <w:r w:rsidR="003A7F4A" w:rsidRPr="00B3274C">
        <w:rPr>
          <w:bCs/>
          <w:lang w:val="fr-CA"/>
        </w:rPr>
        <w:t xml:space="preserve"> y compris celle du </w:t>
      </w:r>
      <w:r w:rsidR="00FF45F4" w:rsidRPr="00B3274C">
        <w:rPr>
          <w:bCs/>
          <w:lang w:val="fr-CA"/>
        </w:rPr>
        <w:t>renforcement du rôle institutionnel du Secrétariat général à l</w:t>
      </w:r>
      <w:r w:rsidR="0080611A">
        <w:rPr>
          <w:bCs/>
          <w:lang w:val="fr-CA"/>
        </w:rPr>
        <w:t>’</w:t>
      </w:r>
      <w:r w:rsidR="00FF45F4" w:rsidRPr="00B3274C">
        <w:rPr>
          <w:bCs/>
          <w:lang w:val="fr-CA"/>
        </w:rPr>
        <w:t>égalité des sexes (centres de conseil) dans la lutte contre la violence à l</w:t>
      </w:r>
      <w:r w:rsidR="0080611A">
        <w:rPr>
          <w:bCs/>
          <w:lang w:val="fr-CA"/>
        </w:rPr>
        <w:t>’</w:t>
      </w:r>
      <w:r w:rsidR="00FF45F4" w:rsidRPr="00B3274C">
        <w:rPr>
          <w:bCs/>
          <w:lang w:val="fr-CA"/>
        </w:rPr>
        <w:t>égard des femmes sous toutes ses formes et la protection des victimes</w:t>
      </w:r>
      <w:r w:rsidR="0080611A">
        <w:rPr>
          <w:bCs/>
          <w:lang w:val="fr-CA"/>
        </w:rPr>
        <w:t>,</w:t>
      </w:r>
      <w:r w:rsidR="00FF45F4" w:rsidRPr="00B3274C">
        <w:rPr>
          <w:bCs/>
          <w:lang w:val="fr-CA"/>
        </w:rPr>
        <w:t xml:space="preserve"> celle du développement des dispositions sur l</w:t>
      </w:r>
      <w:r w:rsidR="0080611A">
        <w:rPr>
          <w:bCs/>
          <w:lang w:val="fr-CA"/>
        </w:rPr>
        <w:t>’</w:t>
      </w:r>
      <w:r w:rsidR="00FF45F4" w:rsidRPr="00B3274C">
        <w:rPr>
          <w:bCs/>
          <w:lang w:val="fr-CA"/>
        </w:rPr>
        <w:t xml:space="preserve">assistance juridique aux victimes en coopération avec les </w:t>
      </w:r>
      <w:r w:rsidR="00F42954" w:rsidRPr="00B3274C">
        <w:rPr>
          <w:bCs/>
          <w:lang w:val="fr-CA"/>
        </w:rPr>
        <w:t>barreaux et celle de la création d</w:t>
      </w:r>
      <w:r w:rsidR="0080611A">
        <w:rPr>
          <w:bCs/>
          <w:lang w:val="fr-CA"/>
        </w:rPr>
        <w:t>’</w:t>
      </w:r>
      <w:r w:rsidR="00F42954" w:rsidRPr="00B3274C">
        <w:rPr>
          <w:bCs/>
          <w:lang w:val="fr-CA"/>
        </w:rPr>
        <w:t>un observatoire national de la lutte contre la violence à l</w:t>
      </w:r>
      <w:r w:rsidR="0080611A">
        <w:rPr>
          <w:bCs/>
          <w:lang w:val="fr-CA"/>
        </w:rPr>
        <w:t>’</w:t>
      </w:r>
      <w:r w:rsidR="00F42954" w:rsidRPr="00B3274C">
        <w:rPr>
          <w:bCs/>
          <w:lang w:val="fr-CA"/>
        </w:rPr>
        <w:t>égard des femmes.</w:t>
      </w:r>
      <w:r w:rsidR="00FF45F4" w:rsidRPr="00B3274C">
        <w:rPr>
          <w:bCs/>
          <w:lang w:val="fr-CA"/>
        </w:rPr>
        <w:t xml:space="preserve"> </w:t>
      </w:r>
    </w:p>
    <w:p w:rsidR="00FB23D3" w:rsidRPr="00B3274C" w:rsidRDefault="00107A47" w:rsidP="00107A47">
      <w:pPr>
        <w:pStyle w:val="SingleTxtG"/>
        <w:rPr>
          <w:bCs/>
          <w:lang w:val="fr-CA"/>
        </w:rPr>
      </w:pPr>
      <w:r w:rsidRPr="00B3274C">
        <w:rPr>
          <w:bCs/>
          <w:lang w:val="fr-CA"/>
        </w:rPr>
        <w:t>143.</w:t>
      </w:r>
      <w:r w:rsidRPr="00B3274C">
        <w:rPr>
          <w:bCs/>
          <w:lang w:val="fr-CA"/>
        </w:rPr>
        <w:tab/>
      </w:r>
      <w:r w:rsidR="00576873" w:rsidRPr="00B3274C">
        <w:rPr>
          <w:bCs/>
          <w:lang w:val="fr-CA"/>
        </w:rPr>
        <w:t>Enfin</w:t>
      </w:r>
      <w:r w:rsidR="0080611A">
        <w:rPr>
          <w:bCs/>
          <w:lang w:val="fr-CA"/>
        </w:rPr>
        <w:t>,</w:t>
      </w:r>
      <w:r w:rsidR="00576873" w:rsidRPr="00B3274C">
        <w:rPr>
          <w:bCs/>
          <w:lang w:val="fr-CA"/>
        </w:rPr>
        <w:t xml:space="preserve"> une formation spécialisée est dispensée à l</w:t>
      </w:r>
      <w:r w:rsidR="0080611A">
        <w:rPr>
          <w:bCs/>
          <w:lang w:val="fr-CA"/>
        </w:rPr>
        <w:t>’</w:t>
      </w:r>
      <w:r w:rsidR="00576873" w:rsidRPr="00B3274C">
        <w:rPr>
          <w:bCs/>
          <w:lang w:val="fr-CA"/>
        </w:rPr>
        <w:t xml:space="preserve">École nationale des magistrats. </w:t>
      </w:r>
    </w:p>
    <w:p w:rsidR="00FB23D3" w:rsidRPr="00B3274C" w:rsidRDefault="00107A47" w:rsidP="00107A47">
      <w:pPr>
        <w:pStyle w:val="SingleTxtG"/>
        <w:rPr>
          <w:lang w:val="fr-CA"/>
        </w:rPr>
      </w:pPr>
      <w:r w:rsidRPr="00B3274C">
        <w:rPr>
          <w:lang w:val="fr-CA"/>
        </w:rPr>
        <w:t>144.</w:t>
      </w:r>
      <w:r w:rsidRPr="00B3274C">
        <w:rPr>
          <w:lang w:val="fr-CA"/>
        </w:rPr>
        <w:tab/>
      </w:r>
      <w:r w:rsidR="00576873" w:rsidRPr="00B3274C">
        <w:rPr>
          <w:lang w:val="fr-CA"/>
        </w:rPr>
        <w:t>D</w:t>
      </w:r>
      <w:r w:rsidR="0080611A">
        <w:rPr>
          <w:lang w:val="fr-CA"/>
        </w:rPr>
        <w:t>’</w:t>
      </w:r>
      <w:r w:rsidR="00576873" w:rsidRPr="00B3274C">
        <w:rPr>
          <w:lang w:val="fr-CA"/>
        </w:rPr>
        <w:t>après les statistiques conservées au siège de la police grecque sur les affaires de violence familiale</w:t>
      </w:r>
      <w:r w:rsidR="0080611A">
        <w:rPr>
          <w:lang w:val="fr-CA"/>
        </w:rPr>
        <w:t>,</w:t>
      </w:r>
      <w:r w:rsidR="00576873" w:rsidRPr="00B3274C">
        <w:rPr>
          <w:lang w:val="fr-CA"/>
        </w:rPr>
        <w:t xml:space="preserve"> les autorités de police ont enquêté sur 117 affaires en 2007 </w:t>
      </w:r>
      <w:r w:rsidR="00987A56" w:rsidRPr="00B3274C">
        <w:rPr>
          <w:lang w:val="fr-CA"/>
        </w:rPr>
        <w:t>(</w:t>
      </w:r>
      <w:r w:rsidR="00576873" w:rsidRPr="00B3274C">
        <w:rPr>
          <w:lang w:val="fr-CA"/>
        </w:rPr>
        <w:t>depuis l</w:t>
      </w:r>
      <w:r w:rsidR="0080611A">
        <w:rPr>
          <w:lang w:val="fr-CA"/>
        </w:rPr>
        <w:t>’</w:t>
      </w:r>
      <w:r w:rsidR="00576873" w:rsidRPr="00B3274C">
        <w:rPr>
          <w:lang w:val="fr-CA"/>
        </w:rPr>
        <w:t xml:space="preserve">entrée en vigueur de la loi </w:t>
      </w:r>
      <w:r w:rsidR="00136426" w:rsidRPr="00B3274C">
        <w:rPr>
          <w:lang w:val="fr-CA"/>
        </w:rPr>
        <w:t>n</w:t>
      </w:r>
      <w:r w:rsidR="00136426" w:rsidRPr="00B3274C">
        <w:rPr>
          <w:vertAlign w:val="superscript"/>
          <w:lang w:val="fr-CA"/>
        </w:rPr>
        <w:t>o</w:t>
      </w:r>
      <w:r w:rsidR="00136426" w:rsidRPr="00B3274C">
        <w:rPr>
          <w:lang w:val="fr-CA"/>
        </w:rPr>
        <w:t> </w:t>
      </w:r>
      <w:r w:rsidR="00576873" w:rsidRPr="00B3274C">
        <w:rPr>
          <w:lang w:val="fr-CA"/>
        </w:rPr>
        <w:t>3500/2006</w:t>
      </w:r>
      <w:r w:rsidR="00987A56" w:rsidRPr="00B3274C">
        <w:rPr>
          <w:lang w:val="fr-CA"/>
        </w:rPr>
        <w:t>)</w:t>
      </w:r>
      <w:r w:rsidR="00576873" w:rsidRPr="00B3274C">
        <w:rPr>
          <w:lang w:val="fr-CA"/>
        </w:rPr>
        <w:t xml:space="preserve"> et sur 181 affaires en 2008. </w:t>
      </w:r>
    </w:p>
    <w:p w:rsidR="00FB23D3" w:rsidRPr="00B3274C" w:rsidRDefault="00432CF5" w:rsidP="00F17597">
      <w:pPr>
        <w:pStyle w:val="H23G"/>
        <w:rPr>
          <w:lang w:val="fr-CA"/>
        </w:rPr>
      </w:pPr>
      <w:r w:rsidRPr="00B3274C">
        <w:rPr>
          <w:lang w:val="fr-CA"/>
        </w:rPr>
        <w:tab/>
      </w:r>
      <w:r w:rsidRPr="00B3274C">
        <w:rPr>
          <w:lang w:val="fr-CA"/>
        </w:rPr>
        <w:tab/>
      </w:r>
      <w:r w:rsidR="00576873" w:rsidRPr="00B3274C">
        <w:rPr>
          <w:lang w:val="fr-CA"/>
        </w:rPr>
        <w:t>Lutte contre l</w:t>
      </w:r>
      <w:r w:rsidR="0080611A">
        <w:rPr>
          <w:lang w:val="fr-CA"/>
        </w:rPr>
        <w:t>’</w:t>
      </w:r>
      <w:r w:rsidR="00576873" w:rsidRPr="00B3274C">
        <w:rPr>
          <w:lang w:val="fr-CA"/>
        </w:rPr>
        <w:t xml:space="preserve">exploitation sexuelle des enfants </w:t>
      </w:r>
    </w:p>
    <w:p w:rsidR="00FB23D3" w:rsidRPr="00B3274C" w:rsidRDefault="00107A47" w:rsidP="00170A9D">
      <w:pPr>
        <w:pStyle w:val="SingleTxtG"/>
        <w:rPr>
          <w:lang w:val="fr-CA"/>
        </w:rPr>
      </w:pPr>
      <w:r w:rsidRPr="00B3274C">
        <w:rPr>
          <w:lang w:val="fr-CA"/>
        </w:rPr>
        <w:t>145.</w:t>
      </w:r>
      <w:r w:rsidRPr="00B3274C">
        <w:rPr>
          <w:lang w:val="fr-CA"/>
        </w:rPr>
        <w:tab/>
      </w:r>
      <w:r w:rsidR="00170A9D" w:rsidRPr="00B3274C">
        <w:rPr>
          <w:lang w:val="fr-CA"/>
        </w:rPr>
        <w:t>Plusieurs dispositions législatives ont introduit des mesures spéciales concernant les actes criminels et la violence à l</w:t>
      </w:r>
      <w:r w:rsidR="0080611A">
        <w:rPr>
          <w:lang w:val="fr-CA"/>
        </w:rPr>
        <w:t>’</w:t>
      </w:r>
      <w:r w:rsidR="00170A9D" w:rsidRPr="00B3274C">
        <w:rPr>
          <w:lang w:val="fr-CA"/>
        </w:rPr>
        <w:t>égard des mineurs</w:t>
      </w:r>
      <w:r w:rsidR="0080611A">
        <w:rPr>
          <w:lang w:val="fr-CA"/>
        </w:rPr>
        <w:t>,</w:t>
      </w:r>
      <w:r w:rsidR="00170A9D" w:rsidRPr="00B3274C">
        <w:rPr>
          <w:lang w:val="fr-CA"/>
        </w:rPr>
        <w:t xml:space="preserve"> tel</w:t>
      </w:r>
      <w:r w:rsidR="0024649B" w:rsidRPr="00B3274C">
        <w:rPr>
          <w:lang w:val="fr-CA"/>
        </w:rPr>
        <w:t>le</w:t>
      </w:r>
      <w:r w:rsidR="00170A9D" w:rsidRPr="00B3274C">
        <w:rPr>
          <w:lang w:val="fr-CA"/>
        </w:rPr>
        <w:t xml:space="preserve">s que les dispositions pertinentes de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3625/2007</w:t>
      </w:r>
      <w:r w:rsidR="0080611A">
        <w:rPr>
          <w:lang w:val="fr-CA"/>
        </w:rPr>
        <w:t>,</w:t>
      </w:r>
      <w:r w:rsidR="00FB23D3" w:rsidRPr="00B3274C">
        <w:rPr>
          <w:lang w:val="fr-CA"/>
        </w:rPr>
        <w:t xml:space="preserve"> </w:t>
      </w:r>
      <w:r w:rsidR="00170A9D" w:rsidRPr="00B3274C">
        <w:rPr>
          <w:lang w:val="fr-CA"/>
        </w:rPr>
        <w:t>sur la ratification et l</w:t>
      </w:r>
      <w:r w:rsidR="0080611A">
        <w:rPr>
          <w:lang w:val="fr-CA"/>
        </w:rPr>
        <w:t>’</w:t>
      </w:r>
      <w:r w:rsidR="00170A9D" w:rsidRPr="00B3274C">
        <w:rPr>
          <w:lang w:val="fr-CA"/>
        </w:rPr>
        <w:t>application du Protocole facultatif à la Convention relative aux droits de l</w:t>
      </w:r>
      <w:r w:rsidR="0080611A">
        <w:rPr>
          <w:lang w:val="fr-CA"/>
        </w:rPr>
        <w:t>’</w:t>
      </w:r>
      <w:r w:rsidR="00170A9D" w:rsidRPr="00B3274C">
        <w:rPr>
          <w:lang w:val="fr-CA"/>
        </w:rPr>
        <w:t>enfant</w:t>
      </w:r>
      <w:r w:rsidR="0080611A">
        <w:rPr>
          <w:lang w:val="fr-CA"/>
        </w:rPr>
        <w:t>,</w:t>
      </w:r>
      <w:r w:rsidR="00170A9D" w:rsidRPr="00B3274C">
        <w:rPr>
          <w:lang w:val="fr-CA"/>
        </w:rPr>
        <w:t xml:space="preserve"> sur la vente d</w:t>
      </w:r>
      <w:r w:rsidR="0080611A">
        <w:rPr>
          <w:lang w:val="fr-CA"/>
        </w:rPr>
        <w:t>’</w:t>
      </w:r>
      <w:r w:rsidR="00170A9D" w:rsidRPr="00B3274C">
        <w:rPr>
          <w:lang w:val="fr-CA"/>
        </w:rPr>
        <w:t>enfants</w:t>
      </w:r>
      <w:r w:rsidR="0080611A">
        <w:rPr>
          <w:lang w:val="fr-CA"/>
        </w:rPr>
        <w:t>,</w:t>
      </w:r>
      <w:r w:rsidR="00170A9D" w:rsidRPr="00B3274C">
        <w:rPr>
          <w:lang w:val="fr-CA"/>
        </w:rPr>
        <w:t xml:space="preserve"> la prostitution des enfants et la pornographie mettant en scène des enfants. </w:t>
      </w:r>
    </w:p>
    <w:p w:rsidR="00FB23D3" w:rsidRPr="00B3274C" w:rsidRDefault="00107A47" w:rsidP="00107A47">
      <w:pPr>
        <w:pStyle w:val="SingleTxtG"/>
        <w:rPr>
          <w:lang w:val="fr-CA"/>
        </w:rPr>
      </w:pPr>
      <w:r w:rsidRPr="00B3274C">
        <w:rPr>
          <w:lang w:val="fr-CA"/>
        </w:rPr>
        <w:t>146.</w:t>
      </w:r>
      <w:r w:rsidRPr="00B3274C">
        <w:rPr>
          <w:lang w:val="fr-CA"/>
        </w:rPr>
        <w:tab/>
      </w:r>
      <w:r w:rsidR="00A34654" w:rsidRPr="00B3274C">
        <w:rPr>
          <w:lang w:val="fr-CA"/>
        </w:rPr>
        <w:t>En outre</w:t>
      </w:r>
      <w:r w:rsidR="0080611A">
        <w:rPr>
          <w:lang w:val="fr-CA"/>
        </w:rPr>
        <w:t>,</w:t>
      </w:r>
      <w:r w:rsidR="00A34654" w:rsidRPr="00B3274C">
        <w:rPr>
          <w:lang w:val="fr-CA"/>
        </w:rPr>
        <w:t xml:space="preserv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 xml:space="preserve">3727/2008 </w:t>
      </w:r>
      <w:r w:rsidR="00A34654" w:rsidRPr="00B3274C">
        <w:rPr>
          <w:lang w:val="fr-CA"/>
        </w:rPr>
        <w:t>porte ratification de la Convention du Conseil de l</w:t>
      </w:r>
      <w:r w:rsidR="0080611A">
        <w:rPr>
          <w:lang w:val="fr-CA"/>
        </w:rPr>
        <w:t>’</w:t>
      </w:r>
      <w:r w:rsidR="00A34654" w:rsidRPr="00B3274C">
        <w:rPr>
          <w:lang w:val="fr-CA"/>
        </w:rPr>
        <w:t>Europe sur la protection des enfants contre l</w:t>
      </w:r>
      <w:r w:rsidR="0080611A">
        <w:rPr>
          <w:lang w:val="fr-CA"/>
        </w:rPr>
        <w:t>’</w:t>
      </w:r>
      <w:r w:rsidR="00A34654" w:rsidRPr="00B3274C">
        <w:rPr>
          <w:lang w:val="fr-CA"/>
        </w:rPr>
        <w:t xml:space="preserve">exploitation sexuelle et les abus sexuels et </w:t>
      </w:r>
      <w:r w:rsidR="004940F3" w:rsidRPr="00B3274C">
        <w:rPr>
          <w:lang w:val="fr-CA"/>
        </w:rPr>
        <w:t>a</w:t>
      </w:r>
      <w:r w:rsidR="00A34654" w:rsidRPr="00B3274C">
        <w:rPr>
          <w:lang w:val="fr-CA"/>
        </w:rPr>
        <w:t xml:space="preserve"> introduit dans le droit national les dispositions nécessaires pour que les engagements pris en vertu de cette convention soient suivis d</w:t>
      </w:r>
      <w:r w:rsidR="0080611A">
        <w:rPr>
          <w:lang w:val="fr-CA"/>
        </w:rPr>
        <w:t>’</w:t>
      </w:r>
      <w:r w:rsidR="00A34654" w:rsidRPr="00B3274C">
        <w:rPr>
          <w:lang w:val="fr-CA"/>
        </w:rPr>
        <w:t xml:space="preserve">effets. </w:t>
      </w:r>
    </w:p>
    <w:p w:rsidR="00FB23D3" w:rsidRPr="00B3274C" w:rsidRDefault="00107A47" w:rsidP="00107A47">
      <w:pPr>
        <w:pStyle w:val="SingleTxtG"/>
        <w:rPr>
          <w:lang w:val="fr-CA"/>
        </w:rPr>
      </w:pPr>
      <w:r w:rsidRPr="00B3274C">
        <w:rPr>
          <w:lang w:val="fr-CA"/>
        </w:rPr>
        <w:t>147.</w:t>
      </w:r>
      <w:r w:rsidRPr="00B3274C">
        <w:rPr>
          <w:lang w:val="fr-CA"/>
        </w:rPr>
        <w:tab/>
      </w:r>
      <w:r w:rsidR="00A803AD" w:rsidRPr="00B3274C">
        <w:rPr>
          <w:color w:val="000000"/>
          <w:lang w:val="fr-CA"/>
        </w:rPr>
        <w:t>Les nouvelles mesures prévoient notamment la condamnation des auteurs des actes commis à des peines plus sévères</w:t>
      </w:r>
      <w:r w:rsidR="0080611A">
        <w:rPr>
          <w:color w:val="000000"/>
          <w:lang w:val="fr-CA"/>
        </w:rPr>
        <w:t>,</w:t>
      </w:r>
      <w:r w:rsidR="00A803AD" w:rsidRPr="00B3274C">
        <w:rPr>
          <w:color w:val="000000"/>
          <w:lang w:val="fr-CA"/>
        </w:rPr>
        <w:t xml:space="preserve"> la suspension du délai de prescription jusqu</w:t>
      </w:r>
      <w:r w:rsidR="0080611A">
        <w:rPr>
          <w:color w:val="000000"/>
          <w:lang w:val="fr-CA"/>
        </w:rPr>
        <w:t>’</w:t>
      </w:r>
      <w:r w:rsidR="00A803AD" w:rsidRPr="00B3274C">
        <w:rPr>
          <w:color w:val="000000"/>
          <w:lang w:val="fr-CA"/>
        </w:rPr>
        <w:t>à ce que la victime atteigne l</w:t>
      </w:r>
      <w:r w:rsidR="0080611A">
        <w:rPr>
          <w:color w:val="000000"/>
          <w:lang w:val="fr-CA"/>
        </w:rPr>
        <w:t>’</w:t>
      </w:r>
      <w:r w:rsidR="00A803AD" w:rsidRPr="00B3274C">
        <w:rPr>
          <w:color w:val="000000"/>
          <w:lang w:val="fr-CA"/>
        </w:rPr>
        <w:t>âge adulte</w:t>
      </w:r>
      <w:r w:rsidR="0080611A">
        <w:rPr>
          <w:color w:val="000000"/>
          <w:lang w:val="fr-CA"/>
        </w:rPr>
        <w:t>,</w:t>
      </w:r>
      <w:r w:rsidR="00A803AD" w:rsidRPr="00B3274C">
        <w:rPr>
          <w:color w:val="000000"/>
          <w:lang w:val="fr-CA"/>
        </w:rPr>
        <w:t xml:space="preserve"> l</w:t>
      </w:r>
      <w:r w:rsidR="0080611A">
        <w:rPr>
          <w:color w:val="000000"/>
          <w:lang w:val="fr-CA"/>
        </w:rPr>
        <w:t>’</w:t>
      </w:r>
      <w:r w:rsidR="00A803AD" w:rsidRPr="00B3274C">
        <w:rPr>
          <w:color w:val="000000"/>
          <w:lang w:val="fr-CA"/>
        </w:rPr>
        <w:t>inapplicabilité des mesures de protection des données personnelles dans les enquêtes sur les crimes contre la liberté sexuelle et sur les cas d</w:t>
      </w:r>
      <w:r w:rsidR="0080611A">
        <w:rPr>
          <w:color w:val="000000"/>
          <w:lang w:val="fr-CA"/>
        </w:rPr>
        <w:t>’</w:t>
      </w:r>
      <w:r w:rsidR="00A803AD" w:rsidRPr="00B3274C">
        <w:rPr>
          <w:color w:val="000000"/>
          <w:lang w:val="fr-CA"/>
        </w:rPr>
        <w:t>exploitation sexuelle à des fins économiques</w:t>
      </w:r>
      <w:r w:rsidR="0080611A">
        <w:rPr>
          <w:color w:val="000000"/>
          <w:lang w:val="fr-CA"/>
        </w:rPr>
        <w:t>,</w:t>
      </w:r>
      <w:r w:rsidR="00A803AD" w:rsidRPr="00B3274C">
        <w:rPr>
          <w:color w:val="000000"/>
          <w:lang w:val="fr-CA"/>
        </w:rPr>
        <w:t xml:space="preserve"> la prévention de la criminalité</w:t>
      </w:r>
      <w:r w:rsidR="0080611A">
        <w:rPr>
          <w:color w:val="000000"/>
          <w:lang w:val="fr-CA"/>
        </w:rPr>
        <w:t>,</w:t>
      </w:r>
      <w:r w:rsidR="00A803AD" w:rsidRPr="00B3274C">
        <w:rPr>
          <w:color w:val="000000"/>
          <w:lang w:val="fr-CA"/>
        </w:rPr>
        <w:t xml:space="preserve"> la sensibilisation et la formation</w:t>
      </w:r>
      <w:r w:rsidR="0080611A">
        <w:rPr>
          <w:color w:val="000000"/>
          <w:lang w:val="fr-CA"/>
        </w:rPr>
        <w:t>,</w:t>
      </w:r>
      <w:r w:rsidR="00A803AD" w:rsidRPr="00B3274C">
        <w:rPr>
          <w:color w:val="000000"/>
          <w:lang w:val="fr-CA"/>
        </w:rPr>
        <w:t xml:space="preserve"> l</w:t>
      </w:r>
      <w:r w:rsidR="0080611A">
        <w:rPr>
          <w:color w:val="000000"/>
          <w:lang w:val="fr-CA"/>
        </w:rPr>
        <w:t>’</w:t>
      </w:r>
      <w:r w:rsidR="00A803AD" w:rsidRPr="00B3274C">
        <w:rPr>
          <w:color w:val="000000"/>
          <w:lang w:val="fr-CA"/>
        </w:rPr>
        <w:t>aide aux enfants victimes</w:t>
      </w:r>
      <w:r w:rsidR="0080611A">
        <w:rPr>
          <w:color w:val="000000"/>
          <w:lang w:val="fr-CA"/>
        </w:rPr>
        <w:t>,</w:t>
      </w:r>
      <w:r w:rsidR="00A803AD" w:rsidRPr="00B3274C">
        <w:rPr>
          <w:color w:val="000000"/>
          <w:lang w:val="fr-CA"/>
        </w:rPr>
        <w:t xml:space="preserve"> etc.</w:t>
      </w:r>
      <w:r w:rsidR="00A803AD" w:rsidRPr="00B3274C">
        <w:rPr>
          <w:lang w:val="fr-CA"/>
        </w:rPr>
        <w:t xml:space="preserve"> Plus récemment</w:t>
      </w:r>
      <w:r w:rsidR="0080611A">
        <w:rPr>
          <w:lang w:val="fr-CA"/>
        </w:rPr>
        <w:t>,</w:t>
      </w:r>
      <w:r w:rsidR="00A803AD" w:rsidRPr="00B3274C">
        <w:rPr>
          <w:lang w:val="fr-CA"/>
        </w:rPr>
        <w:t xml:space="preserv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3860/2010</w:t>
      </w:r>
      <w:r w:rsidR="000C6B75" w:rsidRPr="00B3274C">
        <w:rPr>
          <w:lang w:val="fr-CA"/>
        </w:rPr>
        <w:t xml:space="preserve"> a in</w:t>
      </w:r>
      <w:r w:rsidR="0052766B" w:rsidRPr="00B3274C">
        <w:rPr>
          <w:lang w:val="fr-CA"/>
        </w:rPr>
        <w:t>stitué</w:t>
      </w:r>
      <w:r w:rsidR="000C6B75" w:rsidRPr="00B3274C">
        <w:rPr>
          <w:lang w:val="fr-CA"/>
        </w:rPr>
        <w:t xml:space="preserve"> une nouvelle mise à jour de la législation grecque sur les mineurs</w:t>
      </w:r>
      <w:r w:rsidR="0080611A">
        <w:rPr>
          <w:lang w:val="fr-CA"/>
        </w:rPr>
        <w:t>,</w:t>
      </w:r>
      <w:r w:rsidR="000C6B75" w:rsidRPr="00B3274C">
        <w:rPr>
          <w:lang w:val="fr-CA"/>
        </w:rPr>
        <w:t xml:space="preserve"> qu</w:t>
      </w:r>
      <w:r w:rsidR="0080611A">
        <w:rPr>
          <w:lang w:val="fr-CA"/>
        </w:rPr>
        <w:t>’</w:t>
      </w:r>
      <w:r w:rsidR="000C6B75" w:rsidRPr="00B3274C">
        <w:rPr>
          <w:lang w:val="fr-CA"/>
        </w:rPr>
        <w:t xml:space="preserve">elle a renforcée </w:t>
      </w:r>
      <w:r w:rsidR="00094354" w:rsidRPr="00B3274C">
        <w:rPr>
          <w:lang w:val="fr-CA"/>
        </w:rPr>
        <w:t>en prenant en compte</w:t>
      </w:r>
      <w:r w:rsidR="000C6B75" w:rsidRPr="00B3274C">
        <w:rPr>
          <w:lang w:val="fr-CA"/>
        </w:rPr>
        <w:t xml:space="preserve"> l</w:t>
      </w:r>
      <w:r w:rsidR="0080611A">
        <w:rPr>
          <w:lang w:val="fr-CA"/>
        </w:rPr>
        <w:t>’</w:t>
      </w:r>
      <w:r w:rsidR="000C6B75" w:rsidRPr="00B3274C">
        <w:rPr>
          <w:lang w:val="fr-CA"/>
        </w:rPr>
        <w:t xml:space="preserve">Ensemble de règles minima des Nations </w:t>
      </w:r>
      <w:r w:rsidR="0052766B" w:rsidRPr="00B3274C">
        <w:rPr>
          <w:lang w:val="fr-CA"/>
        </w:rPr>
        <w:t>U</w:t>
      </w:r>
      <w:r w:rsidR="000C6B75" w:rsidRPr="00B3274C">
        <w:rPr>
          <w:lang w:val="fr-CA"/>
        </w:rPr>
        <w:t>nies concernant l</w:t>
      </w:r>
      <w:r w:rsidR="0080611A">
        <w:rPr>
          <w:lang w:val="fr-CA"/>
        </w:rPr>
        <w:t>’</w:t>
      </w:r>
      <w:r w:rsidR="000C6B75" w:rsidRPr="00B3274C">
        <w:rPr>
          <w:lang w:val="fr-CA"/>
        </w:rPr>
        <w:t>administration de la justice pour mineurs (Règles de Beijing)</w:t>
      </w:r>
      <w:r w:rsidR="00FB23D3" w:rsidRPr="00B3274C">
        <w:rPr>
          <w:lang w:val="fr-CA"/>
        </w:rPr>
        <w:t xml:space="preserve">. </w:t>
      </w:r>
    </w:p>
    <w:p w:rsidR="00FB23D3" w:rsidRPr="00B3274C" w:rsidRDefault="00432CF5" w:rsidP="0083272B">
      <w:pPr>
        <w:pStyle w:val="H23G"/>
        <w:rPr>
          <w:lang w:val="fr-CA"/>
        </w:rPr>
      </w:pPr>
      <w:r w:rsidRPr="00B3274C">
        <w:rPr>
          <w:lang w:val="fr-CA"/>
        </w:rPr>
        <w:tab/>
      </w:r>
      <w:r w:rsidR="0083272B" w:rsidRPr="00B3274C">
        <w:rPr>
          <w:lang w:val="fr-CA"/>
        </w:rPr>
        <w:t>8.</w:t>
      </w:r>
      <w:r w:rsidRPr="00B3274C">
        <w:rPr>
          <w:lang w:val="fr-CA"/>
        </w:rPr>
        <w:tab/>
      </w:r>
      <w:r w:rsidR="000C6B75" w:rsidRPr="00B3274C">
        <w:rPr>
          <w:lang w:val="fr-CA"/>
        </w:rPr>
        <w:t>Lutte contre la traite des êtres humains (</w:t>
      </w:r>
      <w:r w:rsidR="00DA5885" w:rsidRPr="00B3274C">
        <w:rPr>
          <w:lang w:val="fr-CA"/>
        </w:rPr>
        <w:t xml:space="preserve">par. </w:t>
      </w:r>
      <w:r w:rsidR="000C6B75" w:rsidRPr="00B3274C">
        <w:rPr>
          <w:lang w:val="fr-CA"/>
        </w:rPr>
        <w:t xml:space="preserve">18 et 39 des observations finales du Comité </w:t>
      </w:r>
    </w:p>
    <w:p w:rsidR="00FB23D3" w:rsidRPr="00B3274C" w:rsidRDefault="00107A47" w:rsidP="00107A47">
      <w:pPr>
        <w:pStyle w:val="SingleTxtG"/>
        <w:rPr>
          <w:lang w:val="fr-CA"/>
        </w:rPr>
      </w:pPr>
      <w:r w:rsidRPr="00B3274C">
        <w:rPr>
          <w:lang w:val="fr-CA"/>
        </w:rPr>
        <w:t>148.</w:t>
      </w:r>
      <w:r w:rsidRPr="00B3274C">
        <w:rPr>
          <w:lang w:val="fr-CA"/>
        </w:rPr>
        <w:tab/>
      </w:r>
      <w:r w:rsidR="000C6B75" w:rsidRPr="00B3274C">
        <w:rPr>
          <w:lang w:val="fr-CA"/>
        </w:rPr>
        <w:t>En 2010</w:t>
      </w:r>
      <w:r w:rsidR="0080611A">
        <w:rPr>
          <w:lang w:val="fr-CA"/>
        </w:rPr>
        <w:t>,</w:t>
      </w:r>
      <w:r w:rsidR="000C6B75" w:rsidRPr="00B3274C">
        <w:rPr>
          <w:lang w:val="fr-CA"/>
        </w:rPr>
        <w:t xml:space="preserve"> les poursuites engagées ont augmenté de 65</w:t>
      </w:r>
      <w:r w:rsidR="0050285B">
        <w:rPr>
          <w:lang w:val="fr-CA"/>
        </w:rPr>
        <w:t> %</w:t>
      </w:r>
      <w:r w:rsidR="0080611A">
        <w:rPr>
          <w:lang w:val="fr-CA"/>
        </w:rPr>
        <w:t>,</w:t>
      </w:r>
      <w:r w:rsidR="000C6B75" w:rsidRPr="00B3274C">
        <w:rPr>
          <w:lang w:val="fr-CA"/>
        </w:rPr>
        <w:t xml:space="preserve"> les condamnations de 52</w:t>
      </w:r>
      <w:r w:rsidR="0050285B">
        <w:rPr>
          <w:lang w:val="fr-CA"/>
        </w:rPr>
        <w:t> %</w:t>
      </w:r>
      <w:r w:rsidR="000C6B75" w:rsidRPr="00B3274C">
        <w:rPr>
          <w:lang w:val="fr-CA"/>
        </w:rPr>
        <w:t xml:space="preserve"> et les mesures de protection et d</w:t>
      </w:r>
      <w:r w:rsidR="0080611A">
        <w:rPr>
          <w:lang w:val="fr-CA"/>
        </w:rPr>
        <w:t>’</w:t>
      </w:r>
      <w:r w:rsidR="000C6B75" w:rsidRPr="00B3274C">
        <w:rPr>
          <w:lang w:val="fr-CA"/>
        </w:rPr>
        <w:t>aide aux victimes identifiées par le ministère public de 60</w:t>
      </w:r>
      <w:r w:rsidR="0050285B">
        <w:rPr>
          <w:lang w:val="fr-CA"/>
        </w:rPr>
        <w:t> %</w:t>
      </w:r>
      <w:r w:rsidR="000C6B75" w:rsidRPr="00B3274C">
        <w:rPr>
          <w:lang w:val="fr-CA"/>
        </w:rPr>
        <w:t xml:space="preserve">. </w:t>
      </w:r>
    </w:p>
    <w:p w:rsidR="00FB23D3" w:rsidRPr="00B3274C" w:rsidRDefault="00107A47" w:rsidP="00107A47">
      <w:pPr>
        <w:pStyle w:val="SingleTxtG"/>
        <w:rPr>
          <w:lang w:val="fr-CA"/>
        </w:rPr>
      </w:pPr>
      <w:r w:rsidRPr="00B3274C">
        <w:rPr>
          <w:lang w:val="fr-CA"/>
        </w:rPr>
        <w:t>149.</w:t>
      </w:r>
      <w:r w:rsidRPr="00B3274C">
        <w:rPr>
          <w:lang w:val="fr-CA"/>
        </w:rPr>
        <w:tab/>
      </w:r>
      <w:r w:rsidR="00CB2407" w:rsidRPr="00B3274C">
        <w:rPr>
          <w:lang w:val="fr-CA"/>
        </w:rPr>
        <w:t xml:space="preserve">Parmi les </w:t>
      </w:r>
      <w:r w:rsidR="0054269E" w:rsidRPr="00B3274C">
        <w:rPr>
          <w:lang w:val="fr-CA"/>
        </w:rPr>
        <w:t>problèmes</w:t>
      </w:r>
      <w:r w:rsidR="00CB2407" w:rsidRPr="00B3274C">
        <w:rPr>
          <w:lang w:val="fr-CA"/>
        </w:rPr>
        <w:t xml:space="preserve"> les plus importants auxquels se heurte la Grèce</w:t>
      </w:r>
      <w:r w:rsidR="0080611A">
        <w:rPr>
          <w:lang w:val="fr-CA"/>
        </w:rPr>
        <w:t>,</w:t>
      </w:r>
      <w:r w:rsidR="00CB2407" w:rsidRPr="00B3274C">
        <w:rPr>
          <w:lang w:val="fr-CA"/>
        </w:rPr>
        <w:t xml:space="preserve"> on notera l</w:t>
      </w:r>
      <w:r w:rsidR="0080611A">
        <w:rPr>
          <w:lang w:val="fr-CA"/>
        </w:rPr>
        <w:t>’</w:t>
      </w:r>
      <w:r w:rsidR="00CB2407" w:rsidRPr="00B3274C">
        <w:rPr>
          <w:lang w:val="fr-CA"/>
        </w:rPr>
        <w:t>absence de coopération efficace entre les différents organismes</w:t>
      </w:r>
      <w:r w:rsidR="0080611A">
        <w:rPr>
          <w:lang w:val="fr-CA"/>
        </w:rPr>
        <w:t>,</w:t>
      </w:r>
      <w:r w:rsidR="00CB2407" w:rsidRPr="00B3274C">
        <w:rPr>
          <w:lang w:val="fr-CA"/>
        </w:rPr>
        <w:t xml:space="preserve"> la fragmentation des responsabilités</w:t>
      </w:r>
      <w:r w:rsidR="0080611A">
        <w:rPr>
          <w:lang w:val="fr-CA"/>
        </w:rPr>
        <w:t>,</w:t>
      </w:r>
      <w:r w:rsidR="00CB2407" w:rsidRPr="00B3274C">
        <w:rPr>
          <w:lang w:val="fr-CA"/>
        </w:rPr>
        <w:t xml:space="preserve"> la complexité de la législation</w:t>
      </w:r>
      <w:r w:rsidR="0080611A">
        <w:rPr>
          <w:lang w:val="fr-CA"/>
        </w:rPr>
        <w:t>,</w:t>
      </w:r>
      <w:r w:rsidR="00CB2407" w:rsidRPr="00B3274C">
        <w:rPr>
          <w:lang w:val="fr-CA"/>
        </w:rPr>
        <w:t xml:space="preserve"> la bureaucratie et l</w:t>
      </w:r>
      <w:r w:rsidR="0080611A">
        <w:rPr>
          <w:lang w:val="fr-CA"/>
        </w:rPr>
        <w:t>’</w:t>
      </w:r>
      <w:r w:rsidR="00CB2407" w:rsidRPr="00B3274C">
        <w:rPr>
          <w:lang w:val="fr-CA"/>
        </w:rPr>
        <w:t xml:space="preserve">inertie. </w:t>
      </w:r>
      <w:r w:rsidR="00EB6CF9" w:rsidRPr="00B3274C">
        <w:rPr>
          <w:lang w:val="fr-CA"/>
        </w:rPr>
        <w:t>Le Gouvernement de la R</w:t>
      </w:r>
      <w:r w:rsidR="00CB2407" w:rsidRPr="00B3274C">
        <w:rPr>
          <w:lang w:val="fr-CA"/>
        </w:rPr>
        <w:t>épublique hellénique a créé progressivement un cadre solide en matière de prévention</w:t>
      </w:r>
      <w:r w:rsidR="0080611A">
        <w:rPr>
          <w:lang w:val="fr-CA"/>
        </w:rPr>
        <w:t>,</w:t>
      </w:r>
      <w:r w:rsidR="00CB2407" w:rsidRPr="00B3274C">
        <w:rPr>
          <w:lang w:val="fr-CA"/>
        </w:rPr>
        <w:t xml:space="preserve"> de protection et de poursuites.</w:t>
      </w:r>
      <w:r w:rsidR="0050755F" w:rsidRPr="00B3274C">
        <w:rPr>
          <w:lang w:val="fr-CA"/>
        </w:rPr>
        <w:t xml:space="preserve"> Il a </w:t>
      </w:r>
      <w:r w:rsidR="00CB2407" w:rsidRPr="00B3274C">
        <w:rPr>
          <w:lang w:val="fr-CA"/>
        </w:rPr>
        <w:t>redoubl</w:t>
      </w:r>
      <w:r w:rsidR="0050755F" w:rsidRPr="00B3274C">
        <w:rPr>
          <w:lang w:val="fr-CA"/>
        </w:rPr>
        <w:t>é</w:t>
      </w:r>
      <w:r w:rsidR="00CB2407" w:rsidRPr="00B3274C">
        <w:rPr>
          <w:lang w:val="fr-CA"/>
        </w:rPr>
        <w:t xml:space="preserve"> d</w:t>
      </w:r>
      <w:r w:rsidR="0080611A">
        <w:rPr>
          <w:lang w:val="fr-CA"/>
        </w:rPr>
        <w:t>’</w:t>
      </w:r>
      <w:r w:rsidR="00CB2407" w:rsidRPr="00B3274C">
        <w:rPr>
          <w:lang w:val="fr-CA"/>
        </w:rPr>
        <w:t xml:space="preserve">efforts </w:t>
      </w:r>
      <w:r w:rsidR="0050755F" w:rsidRPr="00B3274C">
        <w:rPr>
          <w:lang w:val="fr-CA"/>
        </w:rPr>
        <w:t>pour résoudre les problèmes</w:t>
      </w:r>
      <w:r w:rsidR="0080611A">
        <w:rPr>
          <w:lang w:val="fr-CA"/>
        </w:rPr>
        <w:t>,</w:t>
      </w:r>
      <w:r w:rsidR="0050755F" w:rsidRPr="00B3274C">
        <w:rPr>
          <w:lang w:val="fr-CA"/>
        </w:rPr>
        <w:t xml:space="preserve"> </w:t>
      </w:r>
      <w:r w:rsidR="00CB2407" w:rsidRPr="00B3274C">
        <w:rPr>
          <w:lang w:val="fr-CA"/>
        </w:rPr>
        <w:t>en introduisant des réformes législatives</w:t>
      </w:r>
      <w:r w:rsidR="0080611A">
        <w:rPr>
          <w:lang w:val="fr-CA"/>
        </w:rPr>
        <w:t>,</w:t>
      </w:r>
      <w:r w:rsidR="00CB2407" w:rsidRPr="00B3274C">
        <w:rPr>
          <w:lang w:val="fr-CA"/>
        </w:rPr>
        <w:t xml:space="preserve"> en développant la coordination entre les organes chargés de faire appliquer la loi</w:t>
      </w:r>
      <w:r w:rsidR="0080611A">
        <w:rPr>
          <w:lang w:val="fr-CA"/>
        </w:rPr>
        <w:t>,</w:t>
      </w:r>
      <w:r w:rsidR="00CB2407" w:rsidRPr="00B3274C">
        <w:rPr>
          <w:lang w:val="fr-CA"/>
        </w:rPr>
        <w:t xml:space="preserve"> le ministère public et les juges</w:t>
      </w:r>
      <w:r w:rsidR="0080611A">
        <w:rPr>
          <w:lang w:val="fr-CA"/>
        </w:rPr>
        <w:t>,</w:t>
      </w:r>
      <w:r w:rsidR="00CB2407" w:rsidRPr="00B3274C">
        <w:rPr>
          <w:lang w:val="fr-CA"/>
        </w:rPr>
        <w:t xml:space="preserve"> en assurant une protection </w:t>
      </w:r>
      <w:r w:rsidR="0050755F" w:rsidRPr="00B3274C">
        <w:rPr>
          <w:lang w:val="fr-CA"/>
        </w:rPr>
        <w:t>étendue aux victimes</w:t>
      </w:r>
      <w:r w:rsidR="0080611A">
        <w:rPr>
          <w:lang w:val="fr-CA"/>
        </w:rPr>
        <w:t>,</w:t>
      </w:r>
      <w:r w:rsidR="0050755F" w:rsidRPr="00B3274C">
        <w:rPr>
          <w:lang w:val="fr-CA"/>
        </w:rPr>
        <w:t xml:space="preserve"> en organisant des campagnes de sensibilisation et en poursuivant systématiquement les membres des réseaux criminels exploitant les victimes de la traite. La Grèce a également renforcé sa coopération avec les organes compétents des grandes organisations internationales et les </w:t>
      </w:r>
      <w:bookmarkStart w:id="24" w:name="OLE_LINK25"/>
      <w:bookmarkStart w:id="25" w:name="OLE_LINK26"/>
      <w:r w:rsidR="0050755F" w:rsidRPr="00B3274C">
        <w:rPr>
          <w:lang w:val="fr-CA"/>
        </w:rPr>
        <w:t>pays d</w:t>
      </w:r>
      <w:r w:rsidR="0080611A">
        <w:rPr>
          <w:lang w:val="fr-CA"/>
        </w:rPr>
        <w:t>’</w:t>
      </w:r>
      <w:r w:rsidR="0050755F" w:rsidRPr="00B3274C">
        <w:rPr>
          <w:lang w:val="fr-CA"/>
        </w:rPr>
        <w:t>origine</w:t>
      </w:r>
      <w:r w:rsidR="0080611A">
        <w:rPr>
          <w:lang w:val="fr-CA"/>
        </w:rPr>
        <w:t>,</w:t>
      </w:r>
      <w:r w:rsidR="0050755F" w:rsidRPr="00B3274C">
        <w:rPr>
          <w:lang w:val="fr-CA"/>
        </w:rPr>
        <w:t xml:space="preserve"> de transit et de destination</w:t>
      </w:r>
      <w:bookmarkEnd w:id="24"/>
      <w:bookmarkEnd w:id="25"/>
      <w:r w:rsidR="0050755F" w:rsidRPr="00B3274C">
        <w:rPr>
          <w:lang w:val="fr-CA"/>
        </w:rPr>
        <w:t xml:space="preserve"> des victimes de la traite</w:t>
      </w:r>
      <w:r w:rsidR="0080611A">
        <w:rPr>
          <w:lang w:val="fr-CA"/>
        </w:rPr>
        <w:t>,</w:t>
      </w:r>
      <w:r w:rsidR="0050755F" w:rsidRPr="00B3274C">
        <w:rPr>
          <w:lang w:val="fr-CA"/>
        </w:rPr>
        <w:t xml:space="preserve"> avec des résultats encourageants. </w:t>
      </w:r>
    </w:p>
    <w:p w:rsidR="00FB23D3" w:rsidRPr="00B3274C" w:rsidRDefault="00107A47" w:rsidP="00107A47">
      <w:pPr>
        <w:pStyle w:val="SingleTxtG"/>
        <w:rPr>
          <w:lang w:val="fr-CA"/>
        </w:rPr>
      </w:pPr>
      <w:r w:rsidRPr="00B3274C">
        <w:rPr>
          <w:lang w:val="fr-CA"/>
        </w:rPr>
        <w:t>150.</w:t>
      </w:r>
      <w:r w:rsidRPr="00B3274C">
        <w:rPr>
          <w:lang w:val="fr-CA"/>
        </w:rPr>
        <w:tab/>
      </w:r>
      <w:r w:rsidR="00100FB2" w:rsidRPr="00B3274C">
        <w:rPr>
          <w:lang w:val="fr-CA"/>
        </w:rPr>
        <w:t>Un Mécanisme national de coordination</w:t>
      </w:r>
      <w:r w:rsidR="0080611A">
        <w:rPr>
          <w:lang w:val="fr-CA"/>
        </w:rPr>
        <w:t>,</w:t>
      </w:r>
      <w:r w:rsidR="00100FB2" w:rsidRPr="00B3274C">
        <w:rPr>
          <w:lang w:val="fr-CA"/>
        </w:rPr>
        <w:t xml:space="preserve"> composé de représentants de tous les ministères compétents </w:t>
      </w:r>
      <w:r w:rsidR="00E20ADC" w:rsidRPr="00B3274C">
        <w:rPr>
          <w:lang w:val="fr-CA"/>
        </w:rPr>
        <w:t>et</w:t>
      </w:r>
      <w:r w:rsidR="00100FB2" w:rsidRPr="00B3274C">
        <w:rPr>
          <w:lang w:val="fr-CA"/>
        </w:rPr>
        <w:t xml:space="preserve"> de l</w:t>
      </w:r>
      <w:r w:rsidR="0080611A">
        <w:rPr>
          <w:lang w:val="fr-CA"/>
        </w:rPr>
        <w:t>’</w:t>
      </w:r>
      <w:r w:rsidR="00100FB2" w:rsidRPr="00B3274C">
        <w:rPr>
          <w:lang w:val="fr-CA"/>
        </w:rPr>
        <w:t>OIM</w:t>
      </w:r>
      <w:r w:rsidR="0080611A">
        <w:rPr>
          <w:lang w:val="fr-CA"/>
        </w:rPr>
        <w:t>,</w:t>
      </w:r>
      <w:r w:rsidR="00100FB2" w:rsidRPr="00B3274C">
        <w:rPr>
          <w:lang w:val="fr-CA"/>
        </w:rPr>
        <w:t xml:space="preserve"> a été créé</w:t>
      </w:r>
      <w:r w:rsidR="00EC5892" w:rsidRPr="00B3274C">
        <w:rPr>
          <w:lang w:val="fr-CA"/>
        </w:rPr>
        <w:t>;</w:t>
      </w:r>
      <w:r w:rsidR="00CC19AD" w:rsidRPr="00B3274C">
        <w:rPr>
          <w:lang w:val="fr-CA"/>
        </w:rPr>
        <w:t xml:space="preserve"> il</w:t>
      </w:r>
      <w:r w:rsidR="00100FB2" w:rsidRPr="00B3274C">
        <w:rPr>
          <w:lang w:val="fr-CA"/>
        </w:rPr>
        <w:t xml:space="preserve"> est dirigé par le Ministère des affaires étrangères. </w:t>
      </w:r>
      <w:r w:rsidR="00502D71" w:rsidRPr="00B3274C">
        <w:rPr>
          <w:lang w:val="fr-CA"/>
        </w:rPr>
        <w:t>La Planification nationale et européenne élargie a été présentée en octobre 2010. Le Mécanisme national de coordination continuera de se concentrer sur un Plan d</w:t>
      </w:r>
      <w:r w:rsidR="0080611A">
        <w:rPr>
          <w:lang w:val="fr-CA"/>
        </w:rPr>
        <w:t>’</w:t>
      </w:r>
      <w:r w:rsidR="00502D71" w:rsidRPr="00B3274C">
        <w:rPr>
          <w:lang w:val="fr-CA"/>
        </w:rPr>
        <w:t xml:space="preserve">action </w:t>
      </w:r>
      <w:r w:rsidR="009252F3" w:rsidRPr="00B3274C">
        <w:rPr>
          <w:lang w:val="fr-CA"/>
        </w:rPr>
        <w:t>comportant</w:t>
      </w:r>
      <w:r w:rsidR="00335A1E" w:rsidRPr="00B3274C">
        <w:rPr>
          <w:lang w:val="fr-CA"/>
        </w:rPr>
        <w:t xml:space="preserve"> quatre volets: poursuite des trafiquants</w:t>
      </w:r>
      <w:r w:rsidR="0080611A">
        <w:rPr>
          <w:lang w:val="fr-CA"/>
        </w:rPr>
        <w:t>,</w:t>
      </w:r>
      <w:r w:rsidR="00335A1E" w:rsidRPr="00B3274C">
        <w:rPr>
          <w:lang w:val="fr-CA"/>
        </w:rPr>
        <w:t xml:space="preserve"> protection des victimes</w:t>
      </w:r>
      <w:r w:rsidR="0080611A">
        <w:rPr>
          <w:lang w:val="fr-CA"/>
        </w:rPr>
        <w:t>,</w:t>
      </w:r>
      <w:r w:rsidR="00335A1E" w:rsidRPr="00B3274C">
        <w:rPr>
          <w:lang w:val="fr-CA"/>
        </w:rPr>
        <w:t xml:space="preserve"> prévention</w:t>
      </w:r>
      <w:r w:rsidR="0080611A">
        <w:rPr>
          <w:lang w:val="fr-CA"/>
        </w:rPr>
        <w:t>,</w:t>
      </w:r>
      <w:r w:rsidR="00335A1E" w:rsidRPr="00B3274C">
        <w:rPr>
          <w:lang w:val="fr-CA"/>
        </w:rPr>
        <w:t xml:space="preserve"> en particulier</w:t>
      </w:r>
      <w:r w:rsidR="009252F3" w:rsidRPr="00B3274C">
        <w:rPr>
          <w:lang w:val="fr-CA"/>
        </w:rPr>
        <w:t xml:space="preserve"> par des mesures </w:t>
      </w:r>
      <w:r w:rsidR="004A5C0B" w:rsidRPr="00B3274C">
        <w:rPr>
          <w:lang w:val="fr-CA"/>
        </w:rPr>
        <w:t xml:space="preserve">axées sur le </w:t>
      </w:r>
      <w:r w:rsidR="007326E4" w:rsidRPr="00B3274C">
        <w:rPr>
          <w:lang w:val="fr-CA"/>
        </w:rPr>
        <w:t>problème</w:t>
      </w:r>
      <w:r w:rsidR="009252F3" w:rsidRPr="00B3274C">
        <w:rPr>
          <w:lang w:val="fr-CA"/>
        </w:rPr>
        <w:t xml:space="preserve"> de la demande et par l</w:t>
      </w:r>
      <w:r w:rsidR="0080611A">
        <w:rPr>
          <w:lang w:val="fr-CA"/>
        </w:rPr>
        <w:t>’</w:t>
      </w:r>
      <w:r w:rsidR="009252F3" w:rsidRPr="00B3274C">
        <w:rPr>
          <w:lang w:val="fr-CA"/>
        </w:rPr>
        <w:t>organisation de campagnes de formation et de sensibilisation</w:t>
      </w:r>
      <w:r w:rsidR="0080611A">
        <w:rPr>
          <w:lang w:val="fr-CA"/>
        </w:rPr>
        <w:t>,</w:t>
      </w:r>
      <w:r w:rsidR="009252F3" w:rsidRPr="00B3274C">
        <w:rPr>
          <w:lang w:val="fr-CA"/>
        </w:rPr>
        <w:t xml:space="preserve"> collaboration entre toutes les parties prenantes concernées</w:t>
      </w:r>
      <w:r w:rsidR="0080611A">
        <w:rPr>
          <w:lang w:val="fr-CA"/>
        </w:rPr>
        <w:t>,</w:t>
      </w:r>
      <w:r w:rsidR="009252F3" w:rsidRPr="00B3274C">
        <w:rPr>
          <w:lang w:val="fr-CA"/>
        </w:rPr>
        <w:t xml:space="preserve"> y compris les ONG.</w:t>
      </w:r>
      <w:r w:rsidR="00335A1E" w:rsidRPr="00B3274C">
        <w:rPr>
          <w:lang w:val="fr-CA"/>
        </w:rPr>
        <w:t xml:space="preserve"> </w:t>
      </w:r>
    </w:p>
    <w:p w:rsidR="00FB23D3" w:rsidRPr="00B3274C" w:rsidRDefault="00107A47" w:rsidP="00107A47">
      <w:pPr>
        <w:pStyle w:val="SingleTxtG"/>
        <w:rPr>
          <w:lang w:val="fr-CA"/>
        </w:rPr>
      </w:pPr>
      <w:r w:rsidRPr="00B3274C">
        <w:rPr>
          <w:lang w:val="fr-CA"/>
        </w:rPr>
        <w:t>151.</w:t>
      </w:r>
      <w:r w:rsidRPr="00B3274C">
        <w:rPr>
          <w:lang w:val="fr-CA"/>
        </w:rPr>
        <w:tab/>
      </w:r>
      <w:r w:rsidR="004A5C0B" w:rsidRPr="00B3274C">
        <w:rPr>
          <w:lang w:val="fr-CA"/>
        </w:rPr>
        <w:t>Les principaux domaines d</w:t>
      </w:r>
      <w:r w:rsidR="0080611A">
        <w:rPr>
          <w:lang w:val="fr-CA"/>
        </w:rPr>
        <w:t>’</w:t>
      </w:r>
      <w:r w:rsidR="004A5C0B" w:rsidRPr="00B3274C">
        <w:rPr>
          <w:lang w:val="fr-CA"/>
        </w:rPr>
        <w:t>activité du Mécanisme national de coordination sont les suivants</w:t>
      </w:r>
      <w:r w:rsidR="00EC5892" w:rsidRPr="00B3274C">
        <w:rPr>
          <w:lang w:val="fr-CA"/>
        </w:rPr>
        <w:t>:</w:t>
      </w:r>
      <w:r w:rsidR="004A5C0B" w:rsidRPr="00B3274C">
        <w:rPr>
          <w:lang w:val="fr-CA"/>
        </w:rPr>
        <w:t xml:space="preserve"> surveillance du phénomène</w:t>
      </w:r>
      <w:r w:rsidR="00EC5892" w:rsidRPr="00B3274C">
        <w:rPr>
          <w:lang w:val="fr-CA"/>
        </w:rPr>
        <w:t>;</w:t>
      </w:r>
      <w:r w:rsidR="004A5C0B" w:rsidRPr="00B3274C">
        <w:rPr>
          <w:lang w:val="fr-CA"/>
        </w:rPr>
        <w:t xml:space="preserve"> création de bases de données/collecte de statistiques; procédures de</w:t>
      </w:r>
      <w:r w:rsidR="00775958" w:rsidRPr="00B3274C">
        <w:rPr>
          <w:lang w:val="fr-CA"/>
        </w:rPr>
        <w:t xml:space="preserve"> filtrage </w:t>
      </w:r>
      <w:r w:rsidR="004A5C0B" w:rsidRPr="00B3274C">
        <w:rPr>
          <w:lang w:val="fr-CA"/>
        </w:rPr>
        <w:t>pour identifier les victimes</w:t>
      </w:r>
      <w:r w:rsidR="00EC5892" w:rsidRPr="00B3274C">
        <w:rPr>
          <w:lang w:val="fr-CA"/>
        </w:rPr>
        <w:t>;</w:t>
      </w:r>
      <w:r w:rsidR="004A5C0B" w:rsidRPr="00B3274C">
        <w:rPr>
          <w:lang w:val="fr-CA"/>
        </w:rPr>
        <w:t xml:space="preserve"> ouverture de foyers</w:t>
      </w:r>
      <w:r w:rsidR="00EC5892" w:rsidRPr="00B3274C">
        <w:rPr>
          <w:lang w:val="fr-CA"/>
        </w:rPr>
        <w:t>;</w:t>
      </w:r>
      <w:r w:rsidR="004A5C0B" w:rsidRPr="00B3274C">
        <w:rPr>
          <w:lang w:val="fr-CA"/>
        </w:rPr>
        <w:t xml:space="preserve"> aide aux victimes</w:t>
      </w:r>
      <w:r w:rsidR="0080611A">
        <w:rPr>
          <w:lang w:val="fr-CA"/>
        </w:rPr>
        <w:t>,</w:t>
      </w:r>
      <w:r w:rsidR="004A5C0B" w:rsidRPr="00B3274C">
        <w:rPr>
          <w:lang w:val="fr-CA"/>
        </w:rPr>
        <w:t xml:space="preserve"> notamment assistance juridique</w:t>
      </w:r>
      <w:r w:rsidR="0080611A">
        <w:rPr>
          <w:lang w:val="fr-CA"/>
        </w:rPr>
        <w:t>,</w:t>
      </w:r>
      <w:r w:rsidR="004A5C0B" w:rsidRPr="00B3274C">
        <w:rPr>
          <w:lang w:val="fr-CA"/>
        </w:rPr>
        <w:t xml:space="preserve"> délivrance de permis de</w:t>
      </w:r>
      <w:r w:rsidR="00775958" w:rsidRPr="00B3274C">
        <w:rPr>
          <w:lang w:val="fr-CA"/>
        </w:rPr>
        <w:t xml:space="preserve"> séjour </w:t>
      </w:r>
      <w:r w:rsidR="004A5C0B" w:rsidRPr="00B3274C">
        <w:rPr>
          <w:lang w:val="fr-CA"/>
        </w:rPr>
        <w:t>et de travail</w:t>
      </w:r>
      <w:r w:rsidR="0080611A">
        <w:rPr>
          <w:lang w:val="fr-CA"/>
        </w:rPr>
        <w:t>,</w:t>
      </w:r>
      <w:r w:rsidR="004A5C0B" w:rsidRPr="00B3274C">
        <w:rPr>
          <w:lang w:val="fr-CA"/>
        </w:rPr>
        <w:t xml:space="preserve"> rapatriement librement consenti</w:t>
      </w:r>
      <w:r w:rsidR="00EC5892" w:rsidRPr="00B3274C">
        <w:rPr>
          <w:lang w:val="fr-CA"/>
        </w:rPr>
        <w:t>;</w:t>
      </w:r>
      <w:r w:rsidR="00775958" w:rsidRPr="00B3274C">
        <w:rPr>
          <w:lang w:val="fr-CA"/>
        </w:rPr>
        <w:t xml:space="preserve"> soutien </w:t>
      </w:r>
      <w:r w:rsidR="004A5C0B" w:rsidRPr="00B3274C">
        <w:rPr>
          <w:lang w:val="fr-CA"/>
        </w:rPr>
        <w:t>dans les pays d</w:t>
      </w:r>
      <w:r w:rsidR="0080611A">
        <w:rPr>
          <w:lang w:val="fr-CA"/>
        </w:rPr>
        <w:t>’</w:t>
      </w:r>
      <w:r w:rsidR="004A5C0B" w:rsidRPr="00B3274C">
        <w:rPr>
          <w:lang w:val="fr-CA"/>
        </w:rPr>
        <w:t>origine</w:t>
      </w:r>
      <w:r w:rsidR="00EC5892" w:rsidRPr="00B3274C">
        <w:rPr>
          <w:lang w:val="fr-CA"/>
        </w:rPr>
        <w:t>;</w:t>
      </w:r>
      <w:r w:rsidR="004A5C0B" w:rsidRPr="00B3274C">
        <w:rPr>
          <w:lang w:val="fr-CA"/>
        </w:rPr>
        <w:t xml:space="preserve"> formation des forces de police</w:t>
      </w:r>
      <w:r w:rsidR="00EC5892" w:rsidRPr="00B3274C">
        <w:rPr>
          <w:lang w:val="fr-CA"/>
        </w:rPr>
        <w:t>;</w:t>
      </w:r>
      <w:r w:rsidR="004A5C0B" w:rsidRPr="00B3274C">
        <w:rPr>
          <w:lang w:val="fr-CA"/>
        </w:rPr>
        <w:t xml:space="preserve"> formation des</w:t>
      </w:r>
      <w:r w:rsidR="00775958" w:rsidRPr="00B3274C">
        <w:rPr>
          <w:lang w:val="fr-CA"/>
        </w:rPr>
        <w:t xml:space="preserve"> responsables de l</w:t>
      </w:r>
      <w:r w:rsidR="0080611A">
        <w:rPr>
          <w:lang w:val="fr-CA"/>
        </w:rPr>
        <w:t>’</w:t>
      </w:r>
      <w:r w:rsidR="00775958" w:rsidRPr="00B3274C">
        <w:rPr>
          <w:lang w:val="fr-CA"/>
        </w:rPr>
        <w:t xml:space="preserve">application des lois </w:t>
      </w:r>
      <w:r w:rsidR="004A5C0B" w:rsidRPr="00B3274C">
        <w:rPr>
          <w:lang w:val="fr-CA"/>
        </w:rPr>
        <w:t>et des autorités judiciaires</w:t>
      </w:r>
      <w:r w:rsidR="00EC5892" w:rsidRPr="00B3274C">
        <w:rPr>
          <w:lang w:val="fr-CA"/>
        </w:rPr>
        <w:t>;</w:t>
      </w:r>
      <w:r w:rsidR="004A5C0B" w:rsidRPr="00B3274C">
        <w:rPr>
          <w:lang w:val="fr-CA"/>
        </w:rPr>
        <w:t xml:space="preserve"> campagnes de sensibilisation. </w:t>
      </w:r>
    </w:p>
    <w:p w:rsidR="00FB23D3" w:rsidRPr="00B3274C" w:rsidRDefault="00107A47" w:rsidP="00107A47">
      <w:pPr>
        <w:pStyle w:val="SingleTxtG"/>
        <w:rPr>
          <w:lang w:val="fr-CA"/>
        </w:rPr>
      </w:pPr>
      <w:r w:rsidRPr="00B3274C">
        <w:rPr>
          <w:lang w:val="fr-CA"/>
        </w:rPr>
        <w:t>152.</w:t>
      </w:r>
      <w:r w:rsidRPr="00B3274C">
        <w:rPr>
          <w:lang w:val="fr-CA"/>
        </w:rPr>
        <w:tab/>
      </w:r>
      <w:r w:rsidR="00775958" w:rsidRPr="00B3274C">
        <w:rPr>
          <w:lang w:val="fr-CA"/>
        </w:rPr>
        <w:t>E</w:t>
      </w:r>
      <w:r w:rsidR="00FB23D3" w:rsidRPr="00B3274C">
        <w:rPr>
          <w:lang w:val="fr-CA"/>
        </w:rPr>
        <w:t>n 2010</w:t>
      </w:r>
      <w:r w:rsidR="0080611A">
        <w:rPr>
          <w:lang w:val="fr-CA"/>
        </w:rPr>
        <w:t>,</w:t>
      </w:r>
      <w:r w:rsidR="00FB23D3" w:rsidRPr="00B3274C">
        <w:rPr>
          <w:lang w:val="fr-CA"/>
        </w:rPr>
        <w:t xml:space="preserve"> </w:t>
      </w:r>
      <w:r w:rsidR="00775958" w:rsidRPr="00B3274C">
        <w:rPr>
          <w:lang w:val="fr-CA"/>
        </w:rPr>
        <w:t xml:space="preserve">la Grèce a ratifié la Convention des Nations Unies contre la criminalité transnationale organisée et ses protocoles (la </w:t>
      </w:r>
      <w:r w:rsidR="0055418C" w:rsidRPr="00B3274C">
        <w:rPr>
          <w:lang w:val="fr-CA"/>
        </w:rPr>
        <w:t>«</w:t>
      </w:r>
      <w:r w:rsidR="00775958" w:rsidRPr="00B3274C">
        <w:rPr>
          <w:lang w:val="fr-CA"/>
        </w:rPr>
        <w:t>Convention de Palerme</w:t>
      </w:r>
      <w:r w:rsidR="0055418C" w:rsidRPr="00B3274C">
        <w:rPr>
          <w:lang w:val="fr-CA"/>
        </w:rPr>
        <w:t>»</w:t>
      </w:r>
      <w:r w:rsidR="00775958" w:rsidRPr="00B3274C">
        <w:rPr>
          <w:lang w:val="fr-CA"/>
        </w:rPr>
        <w:t>) et a signé la Convention du Conseil de l</w:t>
      </w:r>
      <w:r w:rsidR="0080611A">
        <w:rPr>
          <w:lang w:val="fr-CA"/>
        </w:rPr>
        <w:t>’</w:t>
      </w:r>
      <w:r w:rsidR="00775958" w:rsidRPr="00B3274C">
        <w:rPr>
          <w:lang w:val="fr-CA"/>
        </w:rPr>
        <w:t>Europe sur la lutte contre la traite des êtres humains</w:t>
      </w:r>
      <w:r w:rsidR="00FB23D3" w:rsidRPr="00B3274C">
        <w:rPr>
          <w:lang w:val="fr-CA"/>
        </w:rPr>
        <w:t xml:space="preserve">. </w:t>
      </w:r>
    </w:p>
    <w:p w:rsidR="00FB23D3" w:rsidRPr="00B3274C" w:rsidRDefault="00107A47" w:rsidP="00107A47">
      <w:pPr>
        <w:pStyle w:val="SingleTxtG"/>
        <w:rPr>
          <w:lang w:val="fr-CA"/>
        </w:rPr>
      </w:pPr>
      <w:r w:rsidRPr="00B3274C">
        <w:rPr>
          <w:lang w:val="fr-CA"/>
        </w:rPr>
        <w:t>153.</w:t>
      </w:r>
      <w:r w:rsidRPr="00B3274C">
        <w:rPr>
          <w:lang w:val="fr-CA"/>
        </w:rPr>
        <w:tab/>
      </w:r>
      <w:r w:rsidR="00775958" w:rsidRPr="00B3274C">
        <w:rPr>
          <w:lang w:val="fr-CA"/>
        </w:rPr>
        <w:t>E</w:t>
      </w:r>
      <w:r w:rsidR="00FB23D3" w:rsidRPr="00B3274C">
        <w:rPr>
          <w:lang w:val="fr-CA"/>
        </w:rPr>
        <w:t>n</w:t>
      </w:r>
      <w:r w:rsidR="00775958" w:rsidRPr="00B3274C">
        <w:rPr>
          <w:lang w:val="fr-CA"/>
        </w:rPr>
        <w:t xml:space="preserve"> décembre </w:t>
      </w:r>
      <w:r w:rsidR="00FB23D3" w:rsidRPr="00B3274C">
        <w:rPr>
          <w:lang w:val="fr-CA"/>
        </w:rPr>
        <w:t>2005</w:t>
      </w:r>
      <w:r w:rsidR="0080611A">
        <w:rPr>
          <w:lang w:val="fr-CA"/>
        </w:rPr>
        <w:t>,</w:t>
      </w:r>
      <w:r w:rsidR="00047D7A" w:rsidRPr="00B3274C">
        <w:rPr>
          <w:lang w:val="fr-CA"/>
        </w:rPr>
        <w:t xml:space="preserve"> </w:t>
      </w:r>
      <w:r w:rsidR="00775958" w:rsidRPr="00B3274C">
        <w:rPr>
          <w:lang w:val="fr-CA"/>
        </w:rPr>
        <w:t>un mémorandum de coopération</w:t>
      </w:r>
      <w:r w:rsidR="0080611A">
        <w:rPr>
          <w:lang w:val="fr-CA"/>
        </w:rPr>
        <w:t>,</w:t>
      </w:r>
      <w:r w:rsidR="00775958" w:rsidRPr="00B3274C">
        <w:rPr>
          <w:lang w:val="fr-CA"/>
        </w:rPr>
        <w:t xml:space="preserve"> établissant un cadre de coordination entre les parties prenantes intéressées</w:t>
      </w:r>
      <w:r w:rsidR="0080611A">
        <w:rPr>
          <w:lang w:val="fr-CA"/>
        </w:rPr>
        <w:t>,</w:t>
      </w:r>
      <w:r w:rsidR="00775958" w:rsidRPr="00B3274C">
        <w:rPr>
          <w:lang w:val="fr-CA"/>
        </w:rPr>
        <w:t xml:space="preserve"> a été signé entre les ministères compétents</w:t>
      </w:r>
      <w:r w:rsidR="0080611A">
        <w:rPr>
          <w:lang w:val="fr-CA"/>
        </w:rPr>
        <w:t>,</w:t>
      </w:r>
      <w:r w:rsidR="00775958" w:rsidRPr="00B3274C">
        <w:rPr>
          <w:lang w:val="fr-CA"/>
        </w:rPr>
        <w:t xml:space="preserve"> l</w:t>
      </w:r>
      <w:r w:rsidR="0080611A">
        <w:rPr>
          <w:lang w:val="fr-CA"/>
        </w:rPr>
        <w:t>’</w:t>
      </w:r>
      <w:r w:rsidR="00775958" w:rsidRPr="00B3274C">
        <w:rPr>
          <w:lang w:val="fr-CA"/>
        </w:rPr>
        <w:t>OIM (Organisation internationale des migrations) et douze ONG</w:t>
      </w:r>
      <w:r w:rsidR="00FB23D3" w:rsidRPr="00B3274C">
        <w:rPr>
          <w:lang w:val="fr-CA"/>
        </w:rPr>
        <w:t xml:space="preserve">. </w:t>
      </w:r>
    </w:p>
    <w:p w:rsidR="00FB23D3" w:rsidRPr="00B3274C" w:rsidRDefault="00432CF5" w:rsidP="00587052">
      <w:pPr>
        <w:pStyle w:val="H23G"/>
        <w:rPr>
          <w:lang w:val="fr-CA"/>
        </w:rPr>
      </w:pPr>
      <w:r w:rsidRPr="00B3274C">
        <w:rPr>
          <w:lang w:val="fr-CA"/>
        </w:rPr>
        <w:tab/>
      </w:r>
      <w:r w:rsidR="00587052" w:rsidRPr="00B3274C">
        <w:rPr>
          <w:lang w:val="fr-CA"/>
        </w:rPr>
        <w:t>a)</w:t>
      </w:r>
      <w:r w:rsidRPr="00B3274C">
        <w:rPr>
          <w:lang w:val="fr-CA"/>
        </w:rPr>
        <w:tab/>
      </w:r>
      <w:r w:rsidR="00FB23D3" w:rsidRPr="00B3274C">
        <w:rPr>
          <w:lang w:val="fr-CA"/>
        </w:rPr>
        <w:t xml:space="preserve">Protection </w:t>
      </w:r>
      <w:r w:rsidR="00E056DF" w:rsidRPr="00B3274C">
        <w:rPr>
          <w:lang w:val="fr-CA"/>
        </w:rPr>
        <w:t xml:space="preserve">des victimes de la traite </w:t>
      </w:r>
    </w:p>
    <w:p w:rsidR="00FB23D3" w:rsidRPr="00B3274C" w:rsidRDefault="00107A47" w:rsidP="00107A47">
      <w:pPr>
        <w:pStyle w:val="SingleTxtG"/>
        <w:rPr>
          <w:lang w:val="fr-CA"/>
        </w:rPr>
      </w:pPr>
      <w:r w:rsidRPr="00B3274C">
        <w:rPr>
          <w:lang w:val="fr-CA"/>
        </w:rPr>
        <w:t>154.</w:t>
      </w:r>
      <w:r w:rsidRPr="00B3274C">
        <w:rPr>
          <w:lang w:val="fr-CA"/>
        </w:rPr>
        <w:tab/>
      </w:r>
      <w:r w:rsidR="00680D9E" w:rsidRPr="00B3274C">
        <w:rPr>
          <w:lang w:val="fr-CA"/>
        </w:rPr>
        <w:t xml:space="preserve">Le décret présidentiel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 xml:space="preserve">233/2003 </w:t>
      </w:r>
      <w:r w:rsidR="00FF2CCE" w:rsidRPr="00B3274C">
        <w:rPr>
          <w:lang w:val="fr-CA"/>
        </w:rPr>
        <w:t>porte sur l</w:t>
      </w:r>
      <w:r w:rsidR="0080611A">
        <w:rPr>
          <w:lang w:val="fr-CA"/>
        </w:rPr>
        <w:t>’</w:t>
      </w:r>
      <w:r w:rsidR="00FF2CCE" w:rsidRPr="00B3274C">
        <w:rPr>
          <w:lang w:val="fr-CA"/>
        </w:rPr>
        <w:t>aide aux victimes et désigne les organismes concernés</w:t>
      </w:r>
      <w:r w:rsidR="0080611A">
        <w:rPr>
          <w:lang w:val="fr-CA"/>
        </w:rPr>
        <w:t>,</w:t>
      </w:r>
      <w:r w:rsidR="00FF2CCE" w:rsidRPr="00B3274C">
        <w:rPr>
          <w:lang w:val="fr-CA"/>
        </w:rPr>
        <w:t xml:space="preserve"> les mesures à prendre et les moyens à mettre en œuvre à cet égard</w:t>
      </w:r>
      <w:r w:rsidR="0080611A">
        <w:rPr>
          <w:lang w:val="fr-CA"/>
        </w:rPr>
        <w:t>,</w:t>
      </w:r>
      <w:r w:rsidR="00FF2CCE" w:rsidRPr="00B3274C">
        <w:rPr>
          <w:lang w:val="fr-CA"/>
        </w:rPr>
        <w:t xml:space="preserve"> y compris dans les domaines du logement</w:t>
      </w:r>
      <w:r w:rsidR="0080611A">
        <w:rPr>
          <w:lang w:val="fr-CA"/>
        </w:rPr>
        <w:t>,</w:t>
      </w:r>
      <w:r w:rsidR="00FF2CCE" w:rsidRPr="00B3274C">
        <w:rPr>
          <w:lang w:val="fr-CA"/>
        </w:rPr>
        <w:t xml:space="preserve"> des soins de santé et de l</w:t>
      </w:r>
      <w:r w:rsidR="0080611A">
        <w:rPr>
          <w:lang w:val="fr-CA"/>
        </w:rPr>
        <w:t>’</w:t>
      </w:r>
      <w:r w:rsidR="00FF2CCE" w:rsidRPr="00B3274C">
        <w:rPr>
          <w:lang w:val="fr-CA"/>
        </w:rPr>
        <w:t xml:space="preserve">assistance juridique. Le statut et la situation des victimes ont encore été améliorés par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3386/2005</w:t>
      </w:r>
      <w:r w:rsidR="0080611A">
        <w:rPr>
          <w:lang w:val="fr-CA"/>
        </w:rPr>
        <w:t>,</w:t>
      </w:r>
      <w:r w:rsidR="00FB23D3" w:rsidRPr="00B3274C">
        <w:rPr>
          <w:lang w:val="fr-CA"/>
        </w:rPr>
        <w:t xml:space="preserve"> </w:t>
      </w:r>
      <w:r w:rsidR="00FF2CCE" w:rsidRPr="00B3274C">
        <w:rPr>
          <w:lang w:val="fr-CA"/>
        </w:rPr>
        <w:t>qui prévoit la délivrance d</w:t>
      </w:r>
      <w:r w:rsidR="0080611A">
        <w:rPr>
          <w:lang w:val="fr-CA"/>
        </w:rPr>
        <w:t>’</w:t>
      </w:r>
      <w:r w:rsidR="00FF2CCE" w:rsidRPr="00B3274C">
        <w:rPr>
          <w:lang w:val="fr-CA"/>
        </w:rPr>
        <w:t>un permis de séjour</w:t>
      </w:r>
      <w:r w:rsidR="0080611A">
        <w:rPr>
          <w:lang w:val="fr-CA"/>
        </w:rPr>
        <w:t>,</w:t>
      </w:r>
      <w:r w:rsidR="00FF2CCE" w:rsidRPr="00B3274C">
        <w:rPr>
          <w:lang w:val="fr-CA"/>
        </w:rPr>
        <w:t xml:space="preserve"> renouvelable sous certaines conditions</w:t>
      </w:r>
      <w:r w:rsidR="0080611A">
        <w:rPr>
          <w:lang w:val="fr-CA"/>
        </w:rPr>
        <w:t>,</w:t>
      </w:r>
      <w:r w:rsidR="00FF2CCE" w:rsidRPr="00B3274C">
        <w:rPr>
          <w:lang w:val="fr-CA"/>
        </w:rPr>
        <w:t xml:space="preserve"> aux victimes de la traite qui coopèrent avec les autorités compétentes et</w:t>
      </w:r>
      <w:r w:rsidR="00884B80" w:rsidRPr="00B3274C">
        <w:rPr>
          <w:lang w:val="fr-CA"/>
        </w:rPr>
        <w:t xml:space="preserve"> interdit l</w:t>
      </w:r>
      <w:r w:rsidR="0080611A">
        <w:rPr>
          <w:lang w:val="fr-CA"/>
        </w:rPr>
        <w:t>’</w:t>
      </w:r>
      <w:r w:rsidR="00884B80" w:rsidRPr="00B3274C">
        <w:rPr>
          <w:lang w:val="fr-CA"/>
        </w:rPr>
        <w:t>expulsion pendant le</w:t>
      </w:r>
      <w:r w:rsidR="00FF2CCE" w:rsidRPr="00B3274C">
        <w:rPr>
          <w:lang w:val="fr-CA"/>
        </w:rPr>
        <w:t xml:space="preserve"> </w:t>
      </w:r>
      <w:r w:rsidR="0055418C" w:rsidRPr="00B3274C">
        <w:rPr>
          <w:lang w:val="fr-CA"/>
        </w:rPr>
        <w:t>«</w:t>
      </w:r>
      <w:r w:rsidR="00884B80" w:rsidRPr="00B3274C">
        <w:rPr>
          <w:lang w:val="fr-CA"/>
        </w:rPr>
        <w:t>délai</w:t>
      </w:r>
      <w:r w:rsidR="00FF2CCE" w:rsidRPr="00B3274C">
        <w:rPr>
          <w:lang w:val="fr-CA"/>
        </w:rPr>
        <w:t xml:space="preserve"> de réflexion</w:t>
      </w:r>
      <w:r w:rsidR="0055418C" w:rsidRPr="00B3274C">
        <w:rPr>
          <w:lang w:val="fr-CA"/>
        </w:rPr>
        <w:t>»</w:t>
      </w:r>
      <w:r w:rsidR="00FF2CCE" w:rsidRPr="00B3274C">
        <w:rPr>
          <w:lang w:val="fr-CA"/>
        </w:rPr>
        <w:t xml:space="preserve">. </w:t>
      </w:r>
      <w:r w:rsidR="005E5B50" w:rsidRPr="00B3274C">
        <w:rPr>
          <w:lang w:val="fr-CA"/>
        </w:rPr>
        <w:t>La loi n°</w:t>
      </w:r>
      <w:r w:rsidR="00FB23D3" w:rsidRPr="00B3274C">
        <w:rPr>
          <w:lang w:val="fr-CA"/>
        </w:rPr>
        <w:t>3875/2010 (</w:t>
      </w:r>
      <w:r w:rsidR="005E5B50" w:rsidRPr="00B3274C">
        <w:rPr>
          <w:lang w:val="fr-CA"/>
        </w:rPr>
        <w:t>portant ratification de la Convention des Nations Unies contre la criminalité transnationale organisée et de ses protocoles) étend le champ d</w:t>
      </w:r>
      <w:r w:rsidR="0080611A">
        <w:rPr>
          <w:lang w:val="fr-CA"/>
        </w:rPr>
        <w:t>’</w:t>
      </w:r>
      <w:r w:rsidR="005E5B50" w:rsidRPr="00B3274C">
        <w:rPr>
          <w:lang w:val="fr-CA"/>
        </w:rPr>
        <w:t xml:space="preserve">application des mesures législatives de protection </w:t>
      </w:r>
      <w:r w:rsidR="005E5B50" w:rsidRPr="00B3274C">
        <w:rPr>
          <w:color w:val="000000"/>
          <w:lang w:val="fr-CA"/>
        </w:rPr>
        <w:t>aux victimes du trafic de migrants et prévoit la possibilité d</w:t>
      </w:r>
      <w:r w:rsidR="0080611A">
        <w:rPr>
          <w:color w:val="000000"/>
          <w:lang w:val="fr-CA"/>
        </w:rPr>
        <w:t>’</w:t>
      </w:r>
      <w:r w:rsidR="005E5B50" w:rsidRPr="00B3274C">
        <w:rPr>
          <w:color w:val="000000"/>
          <w:lang w:val="fr-CA"/>
        </w:rPr>
        <w:t>accorder aussi des permis de séjour pour raisons humanitaires</w:t>
      </w:r>
      <w:r w:rsidR="0080611A">
        <w:rPr>
          <w:color w:val="000000"/>
          <w:lang w:val="fr-CA"/>
        </w:rPr>
        <w:t>,</w:t>
      </w:r>
      <w:r w:rsidR="005E5B50" w:rsidRPr="00B3274C">
        <w:rPr>
          <w:color w:val="000000"/>
          <w:lang w:val="fr-CA"/>
        </w:rPr>
        <w:t xml:space="preserve"> </w:t>
      </w:r>
      <w:r w:rsidR="0032175A" w:rsidRPr="00B3274C">
        <w:rPr>
          <w:color w:val="000000"/>
          <w:lang w:val="fr-CA"/>
        </w:rPr>
        <w:t>sous</w:t>
      </w:r>
      <w:r w:rsidR="005E5B50" w:rsidRPr="00B3274C">
        <w:rPr>
          <w:color w:val="000000"/>
          <w:lang w:val="fr-CA"/>
        </w:rPr>
        <w:t xml:space="preserve"> certaines conditions</w:t>
      </w:r>
      <w:r w:rsidR="0080611A">
        <w:rPr>
          <w:color w:val="000000"/>
          <w:lang w:val="fr-CA"/>
        </w:rPr>
        <w:t>,</w:t>
      </w:r>
      <w:r w:rsidR="005E5B50" w:rsidRPr="00B3274C">
        <w:rPr>
          <w:color w:val="000000"/>
          <w:lang w:val="fr-CA"/>
        </w:rPr>
        <w:t xml:space="preserve"> aux victimes de la traite qui ne coopéreraient pas avec les autorités par crainte de représailles des trafiquants.</w:t>
      </w:r>
      <w:r w:rsidR="0055418C" w:rsidRPr="00B3274C">
        <w:rPr>
          <w:color w:val="000000"/>
          <w:lang w:val="fr-CA"/>
        </w:rPr>
        <w:t xml:space="preserve"> </w:t>
      </w:r>
      <w:r w:rsidR="00D73329" w:rsidRPr="00B3274C">
        <w:rPr>
          <w:color w:val="000000"/>
          <w:lang w:val="fr-CA"/>
        </w:rPr>
        <w:t>C</w:t>
      </w:r>
      <w:r w:rsidR="0080611A">
        <w:rPr>
          <w:color w:val="000000"/>
          <w:lang w:val="fr-CA"/>
        </w:rPr>
        <w:t>’</w:t>
      </w:r>
      <w:r w:rsidR="00D73329" w:rsidRPr="00B3274C">
        <w:rPr>
          <w:color w:val="000000"/>
          <w:lang w:val="fr-CA"/>
        </w:rPr>
        <w:t>est grâce aux recommandations de la Commission nationale des droits de l</w:t>
      </w:r>
      <w:r w:rsidR="0080611A">
        <w:rPr>
          <w:color w:val="000000"/>
          <w:lang w:val="fr-CA"/>
        </w:rPr>
        <w:t>’</w:t>
      </w:r>
      <w:r w:rsidR="00D73329" w:rsidRPr="00B3274C">
        <w:rPr>
          <w:color w:val="000000"/>
          <w:lang w:val="fr-CA"/>
        </w:rPr>
        <w:t>homme notamment que le cadre de protection a été renforcé.</w:t>
      </w:r>
      <w:r w:rsidR="00D73329" w:rsidRPr="00B3274C">
        <w:rPr>
          <w:lang w:val="fr-CA"/>
        </w:rPr>
        <w:t xml:space="preserve"> </w:t>
      </w:r>
      <w:r w:rsidR="00CE433D" w:rsidRPr="00B3274C">
        <w:rPr>
          <w:color w:val="000000"/>
          <w:lang w:val="fr-CA"/>
        </w:rPr>
        <w:t>Entre 2006 et le premier trimestre de 2010</w:t>
      </w:r>
      <w:r w:rsidR="0080611A">
        <w:rPr>
          <w:color w:val="000000"/>
          <w:lang w:val="fr-CA"/>
        </w:rPr>
        <w:t>,</w:t>
      </w:r>
      <w:r w:rsidR="00CE433D" w:rsidRPr="00B3274C">
        <w:rPr>
          <w:color w:val="000000"/>
          <w:lang w:val="fr-CA"/>
        </w:rPr>
        <w:t xml:space="preserve"> des permis de séjour </w:t>
      </w:r>
      <w:r w:rsidR="00C10E98" w:rsidRPr="00B3274C">
        <w:rPr>
          <w:color w:val="000000"/>
          <w:lang w:val="fr-CA"/>
        </w:rPr>
        <w:t xml:space="preserve">ont été accordés </w:t>
      </w:r>
      <w:r w:rsidR="00CE433D" w:rsidRPr="00B3274C">
        <w:rPr>
          <w:color w:val="000000"/>
          <w:lang w:val="fr-CA"/>
        </w:rPr>
        <w:t>à 102</w:t>
      </w:r>
      <w:r w:rsidR="00614BAC">
        <w:rPr>
          <w:color w:val="000000"/>
          <w:lang w:val="fr-CA"/>
        </w:rPr>
        <w:t> personnes</w:t>
      </w:r>
      <w:r w:rsidR="00CE433D" w:rsidRPr="00B3274C">
        <w:rPr>
          <w:color w:val="000000"/>
          <w:lang w:val="fr-CA"/>
        </w:rPr>
        <w:t xml:space="preserve"> victimes de la traite.</w:t>
      </w:r>
      <w:r w:rsidR="00CE433D" w:rsidRPr="00B3274C">
        <w:rPr>
          <w:lang w:val="fr-CA"/>
        </w:rPr>
        <w:t xml:space="preserve"> </w:t>
      </w:r>
    </w:p>
    <w:p w:rsidR="00FB23D3" w:rsidRPr="00B3274C" w:rsidRDefault="00107A47" w:rsidP="00C40E95">
      <w:pPr>
        <w:pStyle w:val="SingleTxtG"/>
        <w:rPr>
          <w:lang w:val="fr-CA"/>
        </w:rPr>
      </w:pPr>
      <w:r w:rsidRPr="00B3274C">
        <w:rPr>
          <w:lang w:val="fr-CA"/>
        </w:rPr>
        <w:t>155.</w:t>
      </w:r>
      <w:r w:rsidRPr="00B3274C">
        <w:rPr>
          <w:lang w:val="fr-CA"/>
        </w:rPr>
        <w:tab/>
      </w:r>
      <w:r w:rsidR="00FD4063" w:rsidRPr="00B3274C">
        <w:rPr>
          <w:lang w:val="fr-CA"/>
        </w:rPr>
        <w:t>En outre</w:t>
      </w:r>
      <w:r w:rsidR="0080611A">
        <w:rPr>
          <w:lang w:val="fr-CA"/>
        </w:rPr>
        <w:t>,</w:t>
      </w:r>
      <w:r w:rsidR="00FD4063" w:rsidRPr="00B3274C">
        <w:rPr>
          <w:lang w:val="fr-CA"/>
        </w:rPr>
        <w:t xml:space="preserve"> du fait d</w:t>
      </w:r>
      <w:r w:rsidR="0080611A">
        <w:rPr>
          <w:lang w:val="fr-CA"/>
        </w:rPr>
        <w:t>’</w:t>
      </w:r>
      <w:r w:rsidR="00FD4063" w:rsidRPr="00B3274C">
        <w:rPr>
          <w:lang w:val="fr-CA"/>
        </w:rPr>
        <w:t xml:space="preserve">un amendement apporté </w:t>
      </w:r>
      <w:r w:rsidR="0005605C" w:rsidRPr="00B3274C">
        <w:rPr>
          <w:lang w:val="fr-CA"/>
        </w:rPr>
        <w:t xml:space="preserve">récemment </w:t>
      </w:r>
      <w:r w:rsidR="00FD4063" w:rsidRPr="00B3274C">
        <w:rPr>
          <w:lang w:val="fr-CA"/>
        </w:rPr>
        <w:t xml:space="preserve">à la loi </w:t>
      </w:r>
      <w:r w:rsidR="00136426" w:rsidRPr="00B3274C">
        <w:rPr>
          <w:lang w:val="fr-CA"/>
        </w:rPr>
        <w:t>n</w:t>
      </w:r>
      <w:r w:rsidR="00136426" w:rsidRPr="00B3274C">
        <w:rPr>
          <w:vertAlign w:val="superscript"/>
          <w:lang w:val="fr-CA"/>
        </w:rPr>
        <w:t>o</w:t>
      </w:r>
      <w:r w:rsidR="00136426" w:rsidRPr="00B3274C">
        <w:rPr>
          <w:lang w:val="fr-CA"/>
        </w:rPr>
        <w:t> </w:t>
      </w:r>
      <w:r w:rsidR="00FD4063" w:rsidRPr="00B3274C">
        <w:rPr>
          <w:lang w:val="fr-CA"/>
        </w:rPr>
        <w:t xml:space="preserve">3386/2005 par la loi </w:t>
      </w:r>
      <w:r w:rsidR="00136426" w:rsidRPr="00B3274C">
        <w:rPr>
          <w:lang w:val="fr-CA"/>
        </w:rPr>
        <w:t>n</w:t>
      </w:r>
      <w:r w:rsidR="00136426" w:rsidRPr="00B3274C">
        <w:rPr>
          <w:vertAlign w:val="superscript"/>
          <w:lang w:val="fr-CA"/>
        </w:rPr>
        <w:t>o</w:t>
      </w:r>
      <w:r w:rsidR="00136426" w:rsidRPr="00B3274C">
        <w:rPr>
          <w:lang w:val="fr-CA"/>
        </w:rPr>
        <w:t> </w:t>
      </w:r>
      <w:r w:rsidR="00FD4063" w:rsidRPr="00B3274C">
        <w:rPr>
          <w:lang w:val="fr-CA"/>
        </w:rPr>
        <w:t>3907/2011</w:t>
      </w:r>
      <w:r w:rsidR="0080611A">
        <w:rPr>
          <w:lang w:val="fr-CA"/>
        </w:rPr>
        <w:t>,</w:t>
      </w:r>
      <w:r w:rsidR="00FD4063" w:rsidRPr="00B3274C">
        <w:rPr>
          <w:lang w:val="fr-CA"/>
        </w:rPr>
        <w:t xml:space="preserve"> les </w:t>
      </w:r>
      <w:r w:rsidR="0005605C" w:rsidRPr="00B3274C">
        <w:rPr>
          <w:lang w:val="fr-CA"/>
        </w:rPr>
        <w:t>victimes de la traite reconnues comme telles qui ne coopèrent avec les autorités ont également droit à un permis de séjour pour raisons humanitaires. Aux termes de ladite loi</w:t>
      </w:r>
      <w:r w:rsidR="0080611A">
        <w:rPr>
          <w:lang w:val="fr-CA"/>
        </w:rPr>
        <w:t>,</w:t>
      </w:r>
      <w:r w:rsidR="0005605C" w:rsidRPr="00B3274C">
        <w:rPr>
          <w:lang w:val="fr-CA"/>
        </w:rPr>
        <w:t xml:space="preserve"> </w:t>
      </w:r>
      <w:r w:rsidR="0085342D" w:rsidRPr="00B3274C">
        <w:rPr>
          <w:lang w:val="fr-CA"/>
        </w:rPr>
        <w:t xml:space="preserve">les mineurs </w:t>
      </w:r>
      <w:r w:rsidR="001D6511" w:rsidRPr="00B3274C">
        <w:rPr>
          <w:lang w:val="fr-CA"/>
        </w:rPr>
        <w:t xml:space="preserve">non accompagnés </w:t>
      </w:r>
      <w:r w:rsidR="0085342D" w:rsidRPr="00B3274C">
        <w:rPr>
          <w:lang w:val="fr-CA"/>
        </w:rPr>
        <w:t>victimes de la traite ou du trafic de</w:t>
      </w:r>
      <w:r w:rsidR="0005605C" w:rsidRPr="00B3274C">
        <w:rPr>
          <w:lang w:val="fr-CA"/>
        </w:rPr>
        <w:t xml:space="preserve"> </w:t>
      </w:r>
      <w:r w:rsidR="0085342D" w:rsidRPr="00B3274C">
        <w:rPr>
          <w:lang w:val="fr-CA"/>
        </w:rPr>
        <w:t>migrants bénéficient d</w:t>
      </w:r>
      <w:r w:rsidR="0080611A">
        <w:rPr>
          <w:lang w:val="fr-CA"/>
        </w:rPr>
        <w:t>’</w:t>
      </w:r>
      <w:r w:rsidR="0085342D" w:rsidRPr="00B3274C">
        <w:rPr>
          <w:lang w:val="fr-CA"/>
        </w:rPr>
        <w:t>une prise en charge spéciale. Ainsi les autorités compétentes devraient prendre les mesures nécessaires pour établir leur identité et leur nationalité et le fait qu</w:t>
      </w:r>
      <w:r w:rsidR="0080611A">
        <w:rPr>
          <w:lang w:val="fr-CA"/>
        </w:rPr>
        <w:t>’</w:t>
      </w:r>
      <w:r w:rsidR="0085342D" w:rsidRPr="00B3274C">
        <w:rPr>
          <w:lang w:val="fr-CA"/>
        </w:rPr>
        <w:t xml:space="preserve">ils </w:t>
      </w:r>
      <w:r w:rsidR="00F065C6" w:rsidRPr="00B3274C">
        <w:rPr>
          <w:lang w:val="fr-CA"/>
        </w:rPr>
        <w:t xml:space="preserve">ne </w:t>
      </w:r>
      <w:r w:rsidR="0085342D" w:rsidRPr="00B3274C">
        <w:rPr>
          <w:lang w:val="fr-CA"/>
        </w:rPr>
        <w:t xml:space="preserve">sont </w:t>
      </w:r>
      <w:r w:rsidR="00F065C6" w:rsidRPr="00B3274C">
        <w:rPr>
          <w:lang w:val="fr-CA"/>
        </w:rPr>
        <w:t>pas</w:t>
      </w:r>
      <w:r w:rsidR="0085342D" w:rsidRPr="00B3274C">
        <w:rPr>
          <w:lang w:val="fr-CA"/>
        </w:rPr>
        <w:t xml:space="preserve"> accompagnés. Elles mettent en outre tout en </w:t>
      </w:r>
      <w:r w:rsidR="009E7D00" w:rsidRPr="00B3274C">
        <w:rPr>
          <w:lang w:val="fr-CA"/>
        </w:rPr>
        <w:t>œuvre</w:t>
      </w:r>
      <w:r w:rsidR="0085342D" w:rsidRPr="00B3274C">
        <w:rPr>
          <w:lang w:val="fr-CA"/>
        </w:rPr>
        <w:t xml:space="preserve"> pour retrouver leurs familles aussi rapidement que possible et </w:t>
      </w:r>
      <w:r w:rsidR="009E7D00" w:rsidRPr="00B3274C">
        <w:rPr>
          <w:lang w:val="fr-CA"/>
        </w:rPr>
        <w:t xml:space="preserve">prennent immédiatement les mesures nécessaires pour garantir leur représentation </w:t>
      </w:r>
      <w:r w:rsidR="00930118" w:rsidRPr="00B3274C">
        <w:rPr>
          <w:lang w:val="fr-CA"/>
        </w:rPr>
        <w:t>en justice</w:t>
      </w:r>
      <w:r w:rsidR="0080611A">
        <w:rPr>
          <w:lang w:val="fr-CA"/>
        </w:rPr>
        <w:t>,</w:t>
      </w:r>
      <w:r w:rsidR="009E7D00" w:rsidRPr="00B3274C">
        <w:rPr>
          <w:lang w:val="fr-CA"/>
        </w:rPr>
        <w:t xml:space="preserve"> y compris dans les procédures pénales. </w:t>
      </w:r>
      <w:r w:rsidR="006C50C9" w:rsidRPr="00B3274C">
        <w:rPr>
          <w:lang w:val="fr-CA"/>
        </w:rPr>
        <w:t>Un permis de séjour est accordé</w:t>
      </w:r>
      <w:r w:rsidR="0080611A">
        <w:rPr>
          <w:lang w:val="fr-CA"/>
        </w:rPr>
        <w:t>,</w:t>
      </w:r>
      <w:r w:rsidR="006C50C9" w:rsidRPr="00B3274C">
        <w:rPr>
          <w:lang w:val="fr-CA"/>
        </w:rPr>
        <w:t xml:space="preserve"> sur décision du ministre de l</w:t>
      </w:r>
      <w:r w:rsidR="0080611A">
        <w:rPr>
          <w:lang w:val="fr-CA"/>
        </w:rPr>
        <w:t>’</w:t>
      </w:r>
      <w:r w:rsidR="006C50C9" w:rsidRPr="00B3274C">
        <w:rPr>
          <w:lang w:val="fr-CA"/>
        </w:rPr>
        <w:t>intérieur</w:t>
      </w:r>
      <w:r w:rsidR="0080611A">
        <w:rPr>
          <w:lang w:val="fr-CA"/>
        </w:rPr>
        <w:t>,</w:t>
      </w:r>
      <w:r w:rsidR="006C50C9" w:rsidRPr="00B3274C">
        <w:rPr>
          <w:lang w:val="fr-CA"/>
        </w:rPr>
        <w:t xml:space="preserve"> aux</w:t>
      </w:r>
      <w:r w:rsidR="00930118" w:rsidRPr="00B3274C">
        <w:rPr>
          <w:lang w:val="fr-CA"/>
        </w:rPr>
        <w:t xml:space="preserve"> </w:t>
      </w:r>
      <w:r w:rsidR="005328D5" w:rsidRPr="00B3274C">
        <w:rPr>
          <w:lang w:val="fr-CA"/>
        </w:rPr>
        <w:t>ressortissants</w:t>
      </w:r>
      <w:r w:rsidR="00930118" w:rsidRPr="00B3274C">
        <w:rPr>
          <w:lang w:val="fr-CA"/>
        </w:rPr>
        <w:t xml:space="preserve"> de pays tiers</w:t>
      </w:r>
      <w:r w:rsidR="006C50C9" w:rsidRPr="00B3274C">
        <w:rPr>
          <w:lang w:val="fr-CA"/>
        </w:rPr>
        <w:t xml:space="preserve"> </w:t>
      </w:r>
      <w:r w:rsidR="00930118" w:rsidRPr="00B3274C">
        <w:rPr>
          <w:lang w:val="fr-CA"/>
        </w:rPr>
        <w:t>dont il est établi qu</w:t>
      </w:r>
      <w:r w:rsidR="0080611A">
        <w:rPr>
          <w:lang w:val="fr-CA"/>
        </w:rPr>
        <w:t>’</w:t>
      </w:r>
      <w:r w:rsidR="00930118" w:rsidRPr="00B3274C">
        <w:rPr>
          <w:lang w:val="fr-CA"/>
        </w:rPr>
        <w:t>ils sont victimes de la traite ou du trafic</w:t>
      </w:r>
      <w:r w:rsidR="0080611A">
        <w:rPr>
          <w:lang w:val="fr-CA"/>
        </w:rPr>
        <w:t>,</w:t>
      </w:r>
      <w:r w:rsidR="00930118" w:rsidRPr="00B3274C">
        <w:rPr>
          <w:lang w:val="fr-CA"/>
        </w:rPr>
        <w:t xml:space="preserve"> sans </w:t>
      </w:r>
      <w:r w:rsidR="006C50C9" w:rsidRPr="00B3274C">
        <w:rPr>
          <w:lang w:val="fr-CA"/>
        </w:rPr>
        <w:t>qu</w:t>
      </w:r>
      <w:r w:rsidR="0080611A">
        <w:rPr>
          <w:lang w:val="fr-CA"/>
        </w:rPr>
        <w:t>’</w:t>
      </w:r>
      <w:r w:rsidR="006C50C9" w:rsidRPr="00B3274C">
        <w:rPr>
          <w:lang w:val="fr-CA"/>
        </w:rPr>
        <w:t>ils aient à payer</w:t>
      </w:r>
      <w:r w:rsidR="00930118" w:rsidRPr="00B3274C">
        <w:rPr>
          <w:lang w:val="fr-CA"/>
        </w:rPr>
        <w:t xml:space="preserve"> les frais correspondants. </w:t>
      </w:r>
      <w:r w:rsidR="008B0EA3" w:rsidRPr="00B3274C">
        <w:rPr>
          <w:lang w:val="fr-CA"/>
        </w:rPr>
        <w:t>Ce permis est d</w:t>
      </w:r>
      <w:r w:rsidR="0080611A">
        <w:rPr>
          <w:lang w:val="fr-CA"/>
        </w:rPr>
        <w:t>’</w:t>
      </w:r>
      <w:r w:rsidR="008B0EA3" w:rsidRPr="00B3274C">
        <w:rPr>
          <w:lang w:val="fr-CA"/>
        </w:rPr>
        <w:t>une durée d</w:t>
      </w:r>
      <w:r w:rsidR="0080611A">
        <w:rPr>
          <w:lang w:val="fr-CA"/>
        </w:rPr>
        <w:t>’</w:t>
      </w:r>
      <w:r w:rsidR="008B0EA3" w:rsidRPr="00B3274C">
        <w:rPr>
          <w:lang w:val="fr-CA"/>
        </w:rPr>
        <w:t xml:space="preserve">un an </w:t>
      </w:r>
      <w:r w:rsidR="00C40E95" w:rsidRPr="00B3274C">
        <w:rPr>
          <w:lang w:val="fr-CA"/>
        </w:rPr>
        <w:t xml:space="preserve">et il est </w:t>
      </w:r>
      <w:r w:rsidR="008B0EA3" w:rsidRPr="00B3274C">
        <w:rPr>
          <w:lang w:val="fr-CA"/>
        </w:rPr>
        <w:t xml:space="preserve">renouvelable si la </w:t>
      </w:r>
      <w:r w:rsidR="00645EF0" w:rsidRPr="00B3274C">
        <w:rPr>
          <w:lang w:val="fr-CA"/>
        </w:rPr>
        <w:t xml:space="preserve">situation </w:t>
      </w:r>
      <w:r w:rsidR="00C40E95" w:rsidRPr="00B3274C">
        <w:rPr>
          <w:lang w:val="fr-CA"/>
        </w:rPr>
        <w:t>ayant motivé</w:t>
      </w:r>
      <w:r w:rsidR="00645EF0" w:rsidRPr="00B3274C">
        <w:rPr>
          <w:lang w:val="fr-CA"/>
        </w:rPr>
        <w:t xml:space="preserve"> </w:t>
      </w:r>
      <w:r w:rsidR="00C40E95" w:rsidRPr="00B3274C">
        <w:rPr>
          <w:lang w:val="fr-CA"/>
        </w:rPr>
        <w:t>s</w:t>
      </w:r>
      <w:r w:rsidR="00645EF0" w:rsidRPr="00B3274C">
        <w:rPr>
          <w:lang w:val="fr-CA"/>
        </w:rPr>
        <w:t xml:space="preserve">a délivrance </w:t>
      </w:r>
      <w:r w:rsidR="00C40E95" w:rsidRPr="00B3274C">
        <w:rPr>
          <w:lang w:val="fr-CA"/>
        </w:rPr>
        <w:t>perdure</w:t>
      </w:r>
      <w:r w:rsidR="00645EF0" w:rsidRPr="00B3274C">
        <w:rPr>
          <w:lang w:val="fr-CA"/>
        </w:rPr>
        <w:t xml:space="preserve">. </w:t>
      </w:r>
      <w:r w:rsidR="00E45A83" w:rsidRPr="00B3274C">
        <w:rPr>
          <w:lang w:val="fr-CA"/>
        </w:rPr>
        <w:t>Pour les victimes de la traite qui ne coopèrent pas avec les autorités</w:t>
      </w:r>
      <w:r w:rsidR="0080611A">
        <w:rPr>
          <w:lang w:val="fr-CA"/>
        </w:rPr>
        <w:t>,</w:t>
      </w:r>
      <w:r w:rsidR="00E45A83" w:rsidRPr="00B3274C">
        <w:rPr>
          <w:lang w:val="fr-CA"/>
        </w:rPr>
        <w:t xml:space="preserve"> le permis est renouvelable jusqu</w:t>
      </w:r>
      <w:r w:rsidR="0080611A">
        <w:rPr>
          <w:lang w:val="fr-CA"/>
        </w:rPr>
        <w:t>’</w:t>
      </w:r>
      <w:r w:rsidR="00E45A83" w:rsidRPr="00B3274C">
        <w:rPr>
          <w:lang w:val="fr-CA"/>
        </w:rPr>
        <w:t>à ce que le tribunal ait statué sur leur sort. Le permis de séjour accordé aux victimes de la traite ou du trafic de migrants leur garantit le droit à des soins de santé et l</w:t>
      </w:r>
      <w:r w:rsidR="0080611A">
        <w:rPr>
          <w:lang w:val="fr-CA"/>
        </w:rPr>
        <w:t>’</w:t>
      </w:r>
      <w:r w:rsidR="00E45A83" w:rsidRPr="00B3274C">
        <w:rPr>
          <w:lang w:val="fr-CA"/>
        </w:rPr>
        <w:t>accès à des services de soutien psychologique</w:t>
      </w:r>
      <w:r w:rsidR="00AA3CF9" w:rsidRPr="00B3274C">
        <w:rPr>
          <w:lang w:val="fr-CA"/>
        </w:rPr>
        <w:t xml:space="preserve"> et</w:t>
      </w:r>
      <w:r w:rsidR="00E45A83" w:rsidRPr="00B3274C">
        <w:rPr>
          <w:lang w:val="fr-CA"/>
        </w:rPr>
        <w:t xml:space="preserve"> au marché du travail</w:t>
      </w:r>
      <w:r w:rsidR="0080611A">
        <w:rPr>
          <w:lang w:val="fr-CA"/>
        </w:rPr>
        <w:t>,</w:t>
      </w:r>
      <w:r w:rsidR="00E45A83" w:rsidRPr="00B3274C">
        <w:rPr>
          <w:lang w:val="fr-CA"/>
        </w:rPr>
        <w:t xml:space="preserve"> pour la période de sa durée seulement</w:t>
      </w:r>
      <w:r w:rsidR="0080611A">
        <w:rPr>
          <w:lang w:val="fr-CA"/>
        </w:rPr>
        <w:t>,</w:t>
      </w:r>
      <w:r w:rsidR="00E45A83" w:rsidRPr="00B3274C">
        <w:rPr>
          <w:lang w:val="fr-CA"/>
        </w:rPr>
        <w:t xml:space="preserve"> </w:t>
      </w:r>
      <w:r w:rsidR="00040785" w:rsidRPr="00B3274C">
        <w:rPr>
          <w:lang w:val="fr-CA"/>
        </w:rPr>
        <w:t>ainsi qu</w:t>
      </w:r>
      <w:r w:rsidR="0080611A">
        <w:rPr>
          <w:lang w:val="fr-CA"/>
        </w:rPr>
        <w:t>’</w:t>
      </w:r>
      <w:r w:rsidR="00E45A83" w:rsidRPr="00B3274C">
        <w:rPr>
          <w:lang w:val="fr-CA"/>
        </w:rPr>
        <w:t xml:space="preserve">aux conditions requises pour bénéficier </w:t>
      </w:r>
      <w:r w:rsidR="008167AB" w:rsidRPr="00B3274C">
        <w:rPr>
          <w:lang w:val="fr-CA"/>
        </w:rPr>
        <w:t xml:space="preserve">des programmes </w:t>
      </w:r>
      <w:r w:rsidR="00E45A83" w:rsidRPr="00B3274C">
        <w:rPr>
          <w:lang w:val="fr-CA"/>
        </w:rPr>
        <w:t>de formation professionnelle et d</w:t>
      </w:r>
      <w:r w:rsidR="0080611A">
        <w:rPr>
          <w:lang w:val="fr-CA"/>
        </w:rPr>
        <w:t>’</w:t>
      </w:r>
      <w:r w:rsidR="00E45A83" w:rsidRPr="00B3274C">
        <w:rPr>
          <w:lang w:val="fr-CA"/>
        </w:rPr>
        <w:t>éducation</w:t>
      </w:r>
      <w:r w:rsidR="0080611A">
        <w:rPr>
          <w:lang w:val="fr-CA"/>
        </w:rPr>
        <w:t>,</w:t>
      </w:r>
      <w:r w:rsidR="00E45A83" w:rsidRPr="00B3274C">
        <w:rPr>
          <w:lang w:val="fr-CA"/>
        </w:rPr>
        <w:t xml:space="preserve"> conformément à la loi. </w:t>
      </w:r>
      <w:r w:rsidR="008167AB" w:rsidRPr="00B3274C">
        <w:rPr>
          <w:lang w:val="fr-CA"/>
        </w:rPr>
        <w:t>Il convient de mentionner que le permis de séjour susmentionné peut être renouvelé pour l</w:t>
      </w:r>
      <w:r w:rsidR="0080611A">
        <w:rPr>
          <w:lang w:val="fr-CA"/>
        </w:rPr>
        <w:t>’</w:t>
      </w:r>
      <w:r w:rsidR="008167AB" w:rsidRPr="00B3274C">
        <w:rPr>
          <w:lang w:val="fr-CA"/>
        </w:rPr>
        <w:t>un des motifs prévus par la loi sur les migrations</w:t>
      </w:r>
      <w:r w:rsidR="0080611A">
        <w:rPr>
          <w:lang w:val="fr-CA"/>
        </w:rPr>
        <w:t>,</w:t>
      </w:r>
      <w:r w:rsidR="008167AB" w:rsidRPr="00B3274C">
        <w:rPr>
          <w:lang w:val="fr-CA"/>
        </w:rPr>
        <w:t xml:space="preserve"> sur décision du Secrétariat général de la région concernée. </w:t>
      </w:r>
    </w:p>
    <w:p w:rsidR="00FB23D3" w:rsidRPr="00B3274C" w:rsidRDefault="00107A47" w:rsidP="00107A47">
      <w:pPr>
        <w:pStyle w:val="SingleTxtG"/>
        <w:rPr>
          <w:lang w:val="fr-CA"/>
        </w:rPr>
      </w:pPr>
      <w:r w:rsidRPr="00B3274C">
        <w:rPr>
          <w:lang w:val="fr-CA"/>
        </w:rPr>
        <w:t>156.</w:t>
      </w:r>
      <w:r w:rsidRPr="00B3274C">
        <w:rPr>
          <w:lang w:val="fr-CA"/>
        </w:rPr>
        <w:tab/>
      </w:r>
      <w:r w:rsidR="008167AB" w:rsidRPr="00B3274C">
        <w:rPr>
          <w:lang w:val="fr-CA"/>
        </w:rPr>
        <w:t>Un permis de séjour pour raisons humanitaires est accordé également aux adultes victimes de la violence familiale ou dans l</w:t>
      </w:r>
      <w:r w:rsidR="0080611A">
        <w:rPr>
          <w:lang w:val="fr-CA"/>
        </w:rPr>
        <w:t>’</w:t>
      </w:r>
      <w:r w:rsidR="008167AB" w:rsidRPr="00B3274C">
        <w:rPr>
          <w:lang w:val="fr-CA"/>
        </w:rPr>
        <w:t>incapacité de gérer leurs propres affaires en raison de problèmes de santé ainsi qu</w:t>
      </w:r>
      <w:r w:rsidR="0080611A">
        <w:rPr>
          <w:lang w:val="fr-CA"/>
        </w:rPr>
        <w:t>’</w:t>
      </w:r>
      <w:r w:rsidR="008167AB" w:rsidRPr="00B3274C">
        <w:rPr>
          <w:lang w:val="fr-CA"/>
        </w:rPr>
        <w:t>aux mineurs d</w:t>
      </w:r>
      <w:r w:rsidR="00DA6F1B" w:rsidRPr="00B3274C">
        <w:rPr>
          <w:lang w:val="fr-CA"/>
        </w:rPr>
        <w:t>ont</w:t>
      </w:r>
      <w:r w:rsidR="008167AB" w:rsidRPr="00B3274C">
        <w:rPr>
          <w:lang w:val="fr-CA"/>
        </w:rPr>
        <w:t xml:space="preserve"> le cas nécessite qu</w:t>
      </w:r>
      <w:r w:rsidR="0080611A">
        <w:rPr>
          <w:lang w:val="fr-CA"/>
        </w:rPr>
        <w:t>’</w:t>
      </w:r>
      <w:r w:rsidR="008167AB" w:rsidRPr="00B3274C">
        <w:rPr>
          <w:lang w:val="fr-CA"/>
        </w:rPr>
        <w:t>ils fassent l</w:t>
      </w:r>
      <w:r w:rsidR="0080611A">
        <w:rPr>
          <w:lang w:val="fr-CA"/>
        </w:rPr>
        <w:t>’</w:t>
      </w:r>
      <w:r w:rsidR="008167AB" w:rsidRPr="00B3274C">
        <w:rPr>
          <w:lang w:val="fr-CA"/>
        </w:rPr>
        <w:t>objet de mesures de protection et qu</w:t>
      </w:r>
      <w:r w:rsidR="0080611A">
        <w:rPr>
          <w:lang w:val="fr-CA"/>
        </w:rPr>
        <w:t>’</w:t>
      </w:r>
      <w:r w:rsidR="00DA6F1B" w:rsidRPr="00B3274C">
        <w:rPr>
          <w:lang w:val="fr-CA"/>
        </w:rPr>
        <w:t>ils</w:t>
      </w:r>
      <w:r w:rsidR="008167AB" w:rsidRPr="00B3274C">
        <w:rPr>
          <w:lang w:val="fr-CA"/>
        </w:rPr>
        <w:t xml:space="preserve"> résident dans des internats ou des établissements de bienfaisance </w:t>
      </w:r>
      <w:r w:rsidR="00FB23D3" w:rsidRPr="00B3274C">
        <w:rPr>
          <w:lang w:val="fr-CA"/>
        </w:rPr>
        <w:t>(art.</w:t>
      </w:r>
      <w:r w:rsidR="00136426" w:rsidRPr="00B3274C">
        <w:rPr>
          <w:lang w:val="fr-CA"/>
        </w:rPr>
        <w:t> </w:t>
      </w:r>
      <w:r w:rsidR="00FB23D3" w:rsidRPr="00B3274C">
        <w:rPr>
          <w:lang w:val="fr-CA"/>
        </w:rPr>
        <w:t>44</w:t>
      </w:r>
      <w:r w:rsidR="0080611A">
        <w:rPr>
          <w:lang w:val="fr-CA"/>
        </w:rPr>
        <w:t>,</w:t>
      </w:r>
      <w:r w:rsidR="00FB23D3" w:rsidRPr="00B3274C">
        <w:rPr>
          <w:lang w:val="fr-CA"/>
        </w:rPr>
        <w:t xml:space="preserve"> par.</w:t>
      </w:r>
      <w:r w:rsidR="00136426" w:rsidRPr="00B3274C">
        <w:rPr>
          <w:lang w:val="fr-CA"/>
        </w:rPr>
        <w:t> </w:t>
      </w:r>
      <w:r w:rsidR="00FB23D3" w:rsidRPr="00B3274C">
        <w:rPr>
          <w:lang w:val="fr-CA"/>
        </w:rPr>
        <w:t>1 c</w:t>
      </w:r>
      <w:r w:rsidR="000F2038" w:rsidRPr="00B3274C">
        <w:rPr>
          <w:lang w:val="fr-CA"/>
        </w:rPr>
        <w:t>)</w:t>
      </w:r>
      <w:r w:rsidR="0080611A">
        <w:rPr>
          <w:lang w:val="fr-CA"/>
        </w:rPr>
        <w:t>,</w:t>
      </w:r>
      <w:r w:rsidR="000F2038" w:rsidRPr="00B3274C">
        <w:rPr>
          <w:lang w:val="fr-CA"/>
        </w:rPr>
        <w:t xml:space="preserve"> de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 xml:space="preserve">3386/05). </w:t>
      </w:r>
    </w:p>
    <w:p w:rsidR="00FB23D3" w:rsidRPr="00B3274C" w:rsidRDefault="00107A47" w:rsidP="00107A47">
      <w:pPr>
        <w:pStyle w:val="SingleTxtG"/>
        <w:rPr>
          <w:lang w:val="fr-CA"/>
        </w:rPr>
      </w:pPr>
      <w:r w:rsidRPr="00B3274C">
        <w:rPr>
          <w:lang w:val="fr-CA"/>
        </w:rPr>
        <w:t>157.</w:t>
      </w:r>
      <w:r w:rsidRPr="00B3274C">
        <w:rPr>
          <w:lang w:val="fr-CA"/>
        </w:rPr>
        <w:tab/>
      </w:r>
      <w:r w:rsidR="000F2038" w:rsidRPr="00B3274C">
        <w:rPr>
          <w:lang w:val="fr-CA"/>
        </w:rPr>
        <w:t>Des mesures spécifiques ont également été prises par le Secrétariat général à l</w:t>
      </w:r>
      <w:r w:rsidR="0080611A">
        <w:rPr>
          <w:lang w:val="fr-CA"/>
        </w:rPr>
        <w:t>’</w:t>
      </w:r>
      <w:r w:rsidR="000F2038" w:rsidRPr="00B3274C">
        <w:rPr>
          <w:lang w:val="fr-CA"/>
        </w:rPr>
        <w:t>égalité des sexes</w:t>
      </w:r>
      <w:r w:rsidR="00FB23D3" w:rsidRPr="00B3274C">
        <w:rPr>
          <w:lang w:val="fr-CA"/>
        </w:rPr>
        <w:t>.</w:t>
      </w:r>
    </w:p>
    <w:p w:rsidR="00FB23D3" w:rsidRPr="00B3274C" w:rsidRDefault="00107A47" w:rsidP="00107A47">
      <w:pPr>
        <w:pStyle w:val="SingleTxtG"/>
        <w:rPr>
          <w:lang w:val="fr-CA"/>
        </w:rPr>
      </w:pPr>
      <w:r w:rsidRPr="00B3274C">
        <w:rPr>
          <w:lang w:val="fr-CA"/>
        </w:rPr>
        <w:t>158.</w:t>
      </w:r>
      <w:r w:rsidRPr="00B3274C">
        <w:rPr>
          <w:lang w:val="fr-CA"/>
        </w:rPr>
        <w:tab/>
      </w:r>
      <w:r w:rsidR="000F2038" w:rsidRPr="00B3274C">
        <w:rPr>
          <w:lang w:val="fr-CA"/>
        </w:rPr>
        <w:t>Enfin</w:t>
      </w:r>
      <w:r w:rsidR="0080611A">
        <w:rPr>
          <w:lang w:val="fr-CA"/>
        </w:rPr>
        <w:t>,</w:t>
      </w:r>
      <w:r w:rsidR="000F2038" w:rsidRPr="00B3274C">
        <w:rPr>
          <w:lang w:val="fr-CA"/>
        </w:rPr>
        <w:t xml:space="preserve"> une aide est accordée aux victimes par le Centre national pour la solidarité sociale du Ministère de la santé et de la solidarité sociale</w:t>
      </w:r>
      <w:r w:rsidR="0080611A">
        <w:rPr>
          <w:lang w:val="fr-CA"/>
        </w:rPr>
        <w:t>,</w:t>
      </w:r>
      <w:r w:rsidR="000F2038" w:rsidRPr="00B3274C">
        <w:rPr>
          <w:lang w:val="fr-CA"/>
        </w:rPr>
        <w:t xml:space="preserve"> qui dispense des services</w:t>
      </w:r>
      <w:r w:rsidR="0080611A">
        <w:rPr>
          <w:lang w:val="fr-CA"/>
        </w:rPr>
        <w:t>,</w:t>
      </w:r>
      <w:r w:rsidR="000F2038" w:rsidRPr="00B3274C">
        <w:rPr>
          <w:lang w:val="fr-CA"/>
        </w:rPr>
        <w:t xml:space="preserve"> tels que conseils</w:t>
      </w:r>
      <w:r w:rsidR="0080611A">
        <w:rPr>
          <w:lang w:val="fr-CA"/>
        </w:rPr>
        <w:t>,</w:t>
      </w:r>
      <w:r w:rsidR="000F2038" w:rsidRPr="00B3274C">
        <w:rPr>
          <w:lang w:val="fr-CA"/>
        </w:rPr>
        <w:t xml:space="preserve"> soutien psychologique</w:t>
      </w:r>
      <w:r w:rsidR="0080611A">
        <w:rPr>
          <w:lang w:val="fr-CA"/>
        </w:rPr>
        <w:t>,</w:t>
      </w:r>
      <w:r w:rsidR="000F2038" w:rsidRPr="00B3274C">
        <w:rPr>
          <w:lang w:val="fr-CA"/>
        </w:rPr>
        <w:t xml:space="preserve"> hébergement temporaire dans des foyers</w:t>
      </w:r>
      <w:r w:rsidR="0080611A">
        <w:rPr>
          <w:lang w:val="fr-CA"/>
        </w:rPr>
        <w:t>,</w:t>
      </w:r>
      <w:r w:rsidR="000F2038" w:rsidRPr="00B3274C">
        <w:rPr>
          <w:lang w:val="fr-CA"/>
        </w:rPr>
        <w:t xml:space="preserve"> permanence téléphonique</w:t>
      </w:r>
      <w:r w:rsidR="0080611A">
        <w:rPr>
          <w:lang w:val="fr-CA"/>
        </w:rPr>
        <w:t>,</w:t>
      </w:r>
      <w:r w:rsidR="000F2038" w:rsidRPr="00B3274C">
        <w:rPr>
          <w:lang w:val="fr-CA"/>
        </w:rPr>
        <w:t xml:space="preserve"> etc. Des programmes ont également été mis en œuvre par le Ministère du travail et de la sécurité sociale dans le cadre de l</w:t>
      </w:r>
      <w:r w:rsidR="0080611A">
        <w:rPr>
          <w:lang w:val="fr-CA"/>
        </w:rPr>
        <w:t>’</w:t>
      </w:r>
      <w:r w:rsidR="000F2038" w:rsidRPr="00B3274C">
        <w:rPr>
          <w:lang w:val="fr-CA"/>
        </w:rPr>
        <w:t>Initiative EQUAL de l</w:t>
      </w:r>
      <w:r w:rsidR="0080611A">
        <w:rPr>
          <w:lang w:val="fr-CA"/>
        </w:rPr>
        <w:t>’</w:t>
      </w:r>
      <w:r w:rsidR="000F2038" w:rsidRPr="00B3274C">
        <w:rPr>
          <w:lang w:val="fr-CA"/>
        </w:rPr>
        <w:t xml:space="preserve">Union européenne. </w:t>
      </w:r>
    </w:p>
    <w:p w:rsidR="00FB23D3" w:rsidRPr="00B3274C" w:rsidRDefault="00432CF5" w:rsidP="00584260">
      <w:pPr>
        <w:pStyle w:val="H23G"/>
        <w:rPr>
          <w:lang w:val="fr-CA"/>
        </w:rPr>
      </w:pPr>
      <w:r w:rsidRPr="00B3274C">
        <w:rPr>
          <w:lang w:val="fr-CA"/>
        </w:rPr>
        <w:tab/>
      </w:r>
      <w:r w:rsidR="00584260" w:rsidRPr="00B3274C">
        <w:rPr>
          <w:lang w:val="fr-CA"/>
        </w:rPr>
        <w:t>b)</w:t>
      </w:r>
      <w:r w:rsidRPr="00B3274C">
        <w:rPr>
          <w:lang w:val="fr-CA"/>
        </w:rPr>
        <w:tab/>
      </w:r>
      <w:r w:rsidR="000F2038" w:rsidRPr="00B3274C">
        <w:rPr>
          <w:lang w:val="fr-CA"/>
        </w:rPr>
        <w:t>Action de la police</w:t>
      </w:r>
    </w:p>
    <w:p w:rsidR="00FB23D3" w:rsidRPr="00B3274C" w:rsidRDefault="00107A47" w:rsidP="00107A47">
      <w:pPr>
        <w:pStyle w:val="SingleTxtG"/>
        <w:rPr>
          <w:lang w:val="fr-CA"/>
        </w:rPr>
      </w:pPr>
      <w:r w:rsidRPr="00B3274C">
        <w:rPr>
          <w:lang w:val="fr-CA"/>
        </w:rPr>
        <w:t>159.</w:t>
      </w:r>
      <w:r w:rsidRPr="00B3274C">
        <w:rPr>
          <w:lang w:val="fr-CA"/>
        </w:rPr>
        <w:tab/>
      </w:r>
      <w:r w:rsidR="000F2038" w:rsidRPr="00B3274C">
        <w:rPr>
          <w:lang w:val="fr-CA"/>
        </w:rPr>
        <w:t>Au niveau opérationnel</w:t>
      </w:r>
      <w:r w:rsidR="0080611A">
        <w:rPr>
          <w:lang w:val="fr-CA"/>
        </w:rPr>
        <w:t>,</w:t>
      </w:r>
      <w:r w:rsidR="00F3000A" w:rsidRPr="00B3274C">
        <w:rPr>
          <w:lang w:val="fr-CA"/>
        </w:rPr>
        <w:t xml:space="preserve"> les actions </w:t>
      </w:r>
      <w:r w:rsidR="000F2038" w:rsidRPr="00B3274C">
        <w:rPr>
          <w:lang w:val="fr-CA"/>
        </w:rPr>
        <w:t>de la police contre les trafiquants</w:t>
      </w:r>
      <w:r w:rsidR="00F3000A" w:rsidRPr="00B3274C">
        <w:rPr>
          <w:lang w:val="fr-CA"/>
        </w:rPr>
        <w:t xml:space="preserve"> se sont </w:t>
      </w:r>
      <w:r w:rsidR="000F2038" w:rsidRPr="00B3274C">
        <w:rPr>
          <w:lang w:val="fr-CA"/>
        </w:rPr>
        <w:t>intensifiée</w:t>
      </w:r>
      <w:r w:rsidR="00F3000A" w:rsidRPr="00B3274C">
        <w:rPr>
          <w:lang w:val="fr-CA"/>
        </w:rPr>
        <w:t>s</w:t>
      </w:r>
      <w:r w:rsidR="000F2038" w:rsidRPr="00B3274C">
        <w:rPr>
          <w:lang w:val="fr-CA"/>
        </w:rPr>
        <w:t xml:space="preserve"> et</w:t>
      </w:r>
      <w:r w:rsidR="00F3000A" w:rsidRPr="00B3274C">
        <w:rPr>
          <w:lang w:val="fr-CA"/>
        </w:rPr>
        <w:t xml:space="preserve"> ont </w:t>
      </w:r>
      <w:r w:rsidR="000F2038" w:rsidRPr="00B3274C">
        <w:rPr>
          <w:lang w:val="fr-CA"/>
        </w:rPr>
        <w:t xml:space="preserve">donné des résultats positifs. </w:t>
      </w:r>
      <w:r w:rsidR="00F3000A" w:rsidRPr="00B3274C">
        <w:rPr>
          <w:color w:val="000000"/>
          <w:lang w:val="fr-CA"/>
        </w:rPr>
        <w:t>Il existe au sein de la police</w:t>
      </w:r>
      <w:r w:rsidR="0080611A">
        <w:rPr>
          <w:color w:val="000000"/>
          <w:lang w:val="fr-CA"/>
        </w:rPr>
        <w:t>,</w:t>
      </w:r>
      <w:r w:rsidR="00F3000A" w:rsidRPr="00B3274C">
        <w:rPr>
          <w:color w:val="000000"/>
          <w:lang w:val="fr-CA"/>
        </w:rPr>
        <w:t xml:space="preserve"> aux niveaux central et régional</w:t>
      </w:r>
      <w:r w:rsidR="0080611A">
        <w:rPr>
          <w:color w:val="000000"/>
          <w:lang w:val="fr-CA"/>
        </w:rPr>
        <w:t>,</w:t>
      </w:r>
      <w:r w:rsidR="00F3000A" w:rsidRPr="00B3274C">
        <w:rPr>
          <w:color w:val="000000"/>
          <w:lang w:val="fr-CA"/>
        </w:rPr>
        <w:t xml:space="preserve"> 17 unités spécialisées dans la lutte contre la traite.</w:t>
      </w:r>
      <w:r w:rsidR="00F3000A" w:rsidRPr="00B3274C">
        <w:rPr>
          <w:lang w:val="fr-CA"/>
        </w:rPr>
        <w:t xml:space="preserve"> </w:t>
      </w:r>
      <w:r w:rsidR="00F3000A" w:rsidRPr="00B3274C">
        <w:rPr>
          <w:color w:val="000000"/>
          <w:lang w:val="fr-CA"/>
        </w:rPr>
        <w:t>Il convient de mentionner aussi les actions d</w:t>
      </w:r>
      <w:r w:rsidR="0080611A">
        <w:rPr>
          <w:color w:val="000000"/>
          <w:lang w:val="fr-CA"/>
        </w:rPr>
        <w:t>’</w:t>
      </w:r>
      <w:r w:rsidR="00F3000A" w:rsidRPr="00B3274C">
        <w:rPr>
          <w:color w:val="000000"/>
          <w:lang w:val="fr-CA"/>
        </w:rPr>
        <w:t>éducation et de formation des personnels</w:t>
      </w:r>
      <w:r w:rsidR="0080611A">
        <w:rPr>
          <w:color w:val="000000"/>
          <w:lang w:val="fr-CA"/>
        </w:rPr>
        <w:t>,</w:t>
      </w:r>
      <w:r w:rsidR="00F3000A" w:rsidRPr="00B3274C">
        <w:rPr>
          <w:color w:val="000000"/>
          <w:lang w:val="fr-CA"/>
        </w:rPr>
        <w:t xml:space="preserve"> la coopération internationale</w:t>
      </w:r>
      <w:r w:rsidR="0080611A">
        <w:rPr>
          <w:color w:val="000000"/>
          <w:lang w:val="fr-CA"/>
        </w:rPr>
        <w:t>,</w:t>
      </w:r>
      <w:r w:rsidR="00F3000A" w:rsidRPr="00B3274C">
        <w:rPr>
          <w:color w:val="000000"/>
          <w:lang w:val="fr-CA"/>
        </w:rPr>
        <w:t xml:space="preserve"> en particulier avec les pays voisins</w:t>
      </w:r>
      <w:r w:rsidR="0080611A">
        <w:rPr>
          <w:color w:val="000000"/>
          <w:lang w:val="fr-CA"/>
        </w:rPr>
        <w:t>,</w:t>
      </w:r>
      <w:r w:rsidR="00F3000A" w:rsidRPr="00B3274C">
        <w:rPr>
          <w:color w:val="000000"/>
          <w:lang w:val="fr-CA"/>
        </w:rPr>
        <w:t xml:space="preserve"> l</w:t>
      </w:r>
      <w:r w:rsidR="0080611A">
        <w:rPr>
          <w:color w:val="000000"/>
          <w:lang w:val="fr-CA"/>
        </w:rPr>
        <w:t>’</w:t>
      </w:r>
      <w:r w:rsidR="00F3000A" w:rsidRPr="00B3274C">
        <w:rPr>
          <w:color w:val="000000"/>
          <w:lang w:val="fr-CA"/>
        </w:rPr>
        <w:t>échange d</w:t>
      </w:r>
      <w:r w:rsidR="0080611A">
        <w:rPr>
          <w:color w:val="000000"/>
          <w:lang w:val="fr-CA"/>
        </w:rPr>
        <w:t>’</w:t>
      </w:r>
      <w:r w:rsidR="00F3000A" w:rsidRPr="00B3274C">
        <w:rPr>
          <w:color w:val="000000"/>
          <w:lang w:val="fr-CA"/>
        </w:rPr>
        <w:t>informations sur la criminalité organisée (Interpol</w:t>
      </w:r>
      <w:r w:rsidR="0080611A">
        <w:rPr>
          <w:color w:val="000000"/>
          <w:lang w:val="fr-CA"/>
        </w:rPr>
        <w:t>,</w:t>
      </w:r>
      <w:r w:rsidR="00F3000A" w:rsidRPr="00B3274C">
        <w:rPr>
          <w:color w:val="000000"/>
          <w:lang w:val="fr-CA"/>
        </w:rPr>
        <w:t xml:space="preserve"> Europol</w:t>
      </w:r>
      <w:r w:rsidR="0080611A">
        <w:rPr>
          <w:color w:val="000000"/>
          <w:lang w:val="fr-CA"/>
        </w:rPr>
        <w:t>,</w:t>
      </w:r>
      <w:r w:rsidR="00F3000A" w:rsidRPr="00B3274C">
        <w:rPr>
          <w:color w:val="000000"/>
          <w:lang w:val="fr-CA"/>
        </w:rPr>
        <w:t xml:space="preserve"> Centre SECI</w:t>
      </w:r>
      <w:r w:rsidR="0080611A">
        <w:rPr>
          <w:color w:val="000000"/>
          <w:lang w:val="fr-CA"/>
        </w:rPr>
        <w:t>,</w:t>
      </w:r>
      <w:r w:rsidR="00F3000A" w:rsidRPr="00B3274C">
        <w:rPr>
          <w:color w:val="000000"/>
          <w:lang w:val="fr-CA"/>
        </w:rPr>
        <w:t xml:space="preserve"> États membres de l</w:t>
      </w:r>
      <w:r w:rsidR="0080611A">
        <w:rPr>
          <w:color w:val="000000"/>
          <w:lang w:val="fr-CA"/>
        </w:rPr>
        <w:t>’</w:t>
      </w:r>
      <w:r w:rsidR="00F3000A" w:rsidRPr="00B3274C">
        <w:rPr>
          <w:color w:val="000000"/>
          <w:lang w:val="fr-CA"/>
        </w:rPr>
        <w:t>UE</w:t>
      </w:r>
      <w:r w:rsidR="0080611A">
        <w:rPr>
          <w:color w:val="000000"/>
          <w:lang w:val="fr-CA"/>
        </w:rPr>
        <w:t>,</w:t>
      </w:r>
      <w:r w:rsidR="00F3000A" w:rsidRPr="00B3274C">
        <w:rPr>
          <w:color w:val="000000"/>
          <w:lang w:val="fr-CA"/>
        </w:rPr>
        <w:t xml:space="preserve"> pays voisins et autres pays tiers)</w:t>
      </w:r>
      <w:r w:rsidR="0080611A">
        <w:rPr>
          <w:color w:val="000000"/>
          <w:lang w:val="fr-CA"/>
        </w:rPr>
        <w:t>,</w:t>
      </w:r>
      <w:r w:rsidR="00F3000A" w:rsidRPr="00B3274C">
        <w:rPr>
          <w:color w:val="000000"/>
          <w:lang w:val="fr-CA"/>
        </w:rPr>
        <w:t xml:space="preserve"> la coopération avec les autorités diplomatiques étrangères</w:t>
      </w:r>
      <w:r w:rsidR="0080611A">
        <w:rPr>
          <w:color w:val="000000"/>
          <w:lang w:val="fr-CA"/>
        </w:rPr>
        <w:t>,</w:t>
      </w:r>
      <w:r w:rsidR="00F3000A" w:rsidRPr="00B3274C">
        <w:rPr>
          <w:color w:val="000000"/>
          <w:lang w:val="fr-CA"/>
        </w:rPr>
        <w:t xml:space="preserve"> etc.</w:t>
      </w:r>
      <w:r w:rsidR="00F3000A" w:rsidRPr="00B3274C">
        <w:rPr>
          <w:lang w:val="fr-CA"/>
        </w:rPr>
        <w:t xml:space="preserve"> </w:t>
      </w:r>
      <w:r w:rsidR="00F3000A" w:rsidRPr="00B3274C">
        <w:rPr>
          <w:color w:val="000000"/>
          <w:lang w:val="fr-CA"/>
        </w:rPr>
        <w:t>Un mémorandum sur l</w:t>
      </w:r>
      <w:r w:rsidR="0080611A">
        <w:rPr>
          <w:color w:val="000000"/>
          <w:lang w:val="fr-CA"/>
        </w:rPr>
        <w:t>’</w:t>
      </w:r>
      <w:r w:rsidR="00F3000A" w:rsidRPr="00B3274C">
        <w:rPr>
          <w:color w:val="000000"/>
          <w:lang w:val="fr-CA"/>
        </w:rPr>
        <w:t>action de la police et les meilleurs pratiques pour prendre en charge les cas de traite des êtres humains a été envoyé aux services de police. Le plan d</w:t>
      </w:r>
      <w:r w:rsidR="0080611A">
        <w:rPr>
          <w:color w:val="000000"/>
          <w:lang w:val="fr-CA"/>
        </w:rPr>
        <w:t>’</w:t>
      </w:r>
      <w:r w:rsidR="00F3000A" w:rsidRPr="00B3274C">
        <w:rPr>
          <w:color w:val="000000"/>
          <w:lang w:val="fr-CA"/>
        </w:rPr>
        <w:t xml:space="preserve">action opérationnel interinstitutions «Ilaeira» pour combattre la traite des femmes et des enfants est une initiative </w:t>
      </w:r>
      <w:r w:rsidR="0002277A" w:rsidRPr="00B3274C">
        <w:rPr>
          <w:color w:val="000000"/>
          <w:lang w:val="fr-CA"/>
        </w:rPr>
        <w:t xml:space="preserve">importante </w:t>
      </w:r>
      <w:r w:rsidR="00F3000A" w:rsidRPr="00B3274C">
        <w:rPr>
          <w:color w:val="000000"/>
          <w:lang w:val="fr-CA"/>
        </w:rPr>
        <w:t>qui combine action opérationnelle (policière et judiciaire) et aide et protection aux victimes.</w:t>
      </w:r>
      <w:r w:rsidR="00F3000A" w:rsidRPr="00B3274C">
        <w:rPr>
          <w:lang w:val="fr-CA"/>
        </w:rPr>
        <w:t xml:space="preserve"> </w:t>
      </w:r>
    </w:p>
    <w:p w:rsidR="00FB23D3" w:rsidRPr="00B3274C" w:rsidRDefault="00107A47" w:rsidP="00107A47">
      <w:pPr>
        <w:pStyle w:val="SingleTxtG"/>
        <w:rPr>
          <w:lang w:val="fr-CA"/>
        </w:rPr>
      </w:pPr>
      <w:r w:rsidRPr="00B3274C">
        <w:rPr>
          <w:lang w:val="fr-CA"/>
        </w:rPr>
        <w:t>160.</w:t>
      </w:r>
      <w:r w:rsidRPr="00B3274C">
        <w:rPr>
          <w:lang w:val="fr-CA"/>
        </w:rPr>
        <w:tab/>
      </w:r>
      <w:r w:rsidR="007063AF" w:rsidRPr="00B3274C">
        <w:rPr>
          <w:color w:val="000000"/>
          <w:lang w:val="fr-CA"/>
        </w:rPr>
        <w:t>Le sujet de la traite des êtres humains est inscrit au programme de l</w:t>
      </w:r>
      <w:r w:rsidR="0080611A">
        <w:rPr>
          <w:color w:val="000000"/>
          <w:lang w:val="fr-CA"/>
        </w:rPr>
        <w:t>’</w:t>
      </w:r>
      <w:r w:rsidR="007063AF" w:rsidRPr="00B3274C">
        <w:rPr>
          <w:color w:val="000000"/>
          <w:lang w:val="fr-CA"/>
        </w:rPr>
        <w:t>Académie de police à tous les niveaux.</w:t>
      </w:r>
      <w:r w:rsidR="00BE75CF" w:rsidRPr="00B3274C">
        <w:rPr>
          <w:lang w:val="fr-CA"/>
        </w:rPr>
        <w:t xml:space="preserve"> </w:t>
      </w:r>
      <w:r w:rsidR="00BE75CF" w:rsidRPr="00B3274C">
        <w:rPr>
          <w:color w:val="000000"/>
          <w:lang w:val="fr-CA"/>
        </w:rPr>
        <w:t xml:space="preserve">Les policiers participent à des séminaires et à des conférences de formation </w:t>
      </w:r>
      <w:r w:rsidR="006C667D" w:rsidRPr="00B3274C">
        <w:rPr>
          <w:color w:val="000000"/>
          <w:lang w:val="fr-CA"/>
        </w:rPr>
        <w:t>organisés</w:t>
      </w:r>
      <w:r w:rsidR="00BE75CF" w:rsidRPr="00B3274C">
        <w:rPr>
          <w:color w:val="000000"/>
          <w:lang w:val="fr-CA"/>
        </w:rPr>
        <w:t xml:space="preserve"> conjointement par des organisations compétentes et par des ONG</w:t>
      </w:r>
      <w:r w:rsidR="0080611A">
        <w:rPr>
          <w:color w:val="000000"/>
          <w:lang w:val="fr-CA"/>
        </w:rPr>
        <w:t>,</w:t>
      </w:r>
      <w:r w:rsidR="00BE75CF" w:rsidRPr="00B3274C">
        <w:rPr>
          <w:color w:val="000000"/>
          <w:lang w:val="fr-CA"/>
        </w:rPr>
        <w:t xml:space="preserve"> sur des sujets aussi divers que l</w:t>
      </w:r>
      <w:r w:rsidR="0080611A">
        <w:rPr>
          <w:color w:val="000000"/>
          <w:lang w:val="fr-CA"/>
        </w:rPr>
        <w:t>’</w:t>
      </w:r>
      <w:r w:rsidR="00BE75CF" w:rsidRPr="00B3274C">
        <w:rPr>
          <w:color w:val="000000"/>
          <w:lang w:val="fr-CA"/>
        </w:rPr>
        <w:t>identification des victimes</w:t>
      </w:r>
      <w:r w:rsidR="0080611A">
        <w:rPr>
          <w:color w:val="000000"/>
          <w:lang w:val="fr-CA"/>
        </w:rPr>
        <w:t>,</w:t>
      </w:r>
      <w:r w:rsidR="00BE75CF" w:rsidRPr="00B3274C">
        <w:rPr>
          <w:color w:val="000000"/>
          <w:lang w:val="fr-CA"/>
        </w:rPr>
        <w:t xml:space="preserve"> </w:t>
      </w:r>
      <w:r w:rsidR="00D3032D" w:rsidRPr="00B3274C">
        <w:rPr>
          <w:color w:val="000000"/>
          <w:lang w:val="fr-CA"/>
        </w:rPr>
        <w:t>leur prise en charge</w:t>
      </w:r>
      <w:r w:rsidR="00BE75CF" w:rsidRPr="00B3274C">
        <w:rPr>
          <w:color w:val="000000"/>
          <w:lang w:val="fr-CA"/>
        </w:rPr>
        <w:t xml:space="preserve"> et</w:t>
      </w:r>
      <w:r w:rsidR="0080611A">
        <w:rPr>
          <w:color w:val="000000"/>
          <w:lang w:val="fr-CA"/>
        </w:rPr>
        <w:t>,</w:t>
      </w:r>
      <w:r w:rsidR="00BE75CF" w:rsidRPr="00B3274C">
        <w:rPr>
          <w:color w:val="000000"/>
          <w:lang w:val="fr-CA"/>
        </w:rPr>
        <w:t xml:space="preserve"> </w:t>
      </w:r>
      <w:r w:rsidR="009D44DB" w:rsidRPr="00B3274C">
        <w:rPr>
          <w:color w:val="000000"/>
          <w:lang w:val="fr-CA"/>
        </w:rPr>
        <w:t>d</w:t>
      </w:r>
      <w:r w:rsidR="0080611A">
        <w:rPr>
          <w:color w:val="000000"/>
          <w:lang w:val="fr-CA"/>
        </w:rPr>
        <w:t>’</w:t>
      </w:r>
      <w:r w:rsidR="009D44DB" w:rsidRPr="00B3274C">
        <w:rPr>
          <w:color w:val="000000"/>
          <w:lang w:val="fr-CA"/>
        </w:rPr>
        <w:t>une manière</w:t>
      </w:r>
      <w:r w:rsidR="00BE75CF" w:rsidRPr="00B3274C">
        <w:rPr>
          <w:color w:val="000000"/>
          <w:lang w:val="fr-CA"/>
        </w:rPr>
        <w:t xml:space="preserve"> général</w:t>
      </w:r>
      <w:r w:rsidR="009D44DB" w:rsidRPr="00B3274C">
        <w:rPr>
          <w:color w:val="000000"/>
          <w:lang w:val="fr-CA"/>
        </w:rPr>
        <w:t>e</w:t>
      </w:r>
      <w:r w:rsidR="0080611A">
        <w:rPr>
          <w:color w:val="000000"/>
          <w:lang w:val="fr-CA"/>
        </w:rPr>
        <w:t>,</w:t>
      </w:r>
      <w:r w:rsidR="009D44DB" w:rsidRPr="00B3274C">
        <w:rPr>
          <w:color w:val="000000"/>
          <w:lang w:val="fr-CA"/>
        </w:rPr>
        <w:t xml:space="preserve"> </w:t>
      </w:r>
      <w:r w:rsidR="00D3032D" w:rsidRPr="00B3274C">
        <w:rPr>
          <w:color w:val="000000"/>
          <w:lang w:val="fr-CA"/>
        </w:rPr>
        <w:t xml:space="preserve">les </w:t>
      </w:r>
      <w:r w:rsidR="00BE75CF" w:rsidRPr="00B3274C">
        <w:rPr>
          <w:color w:val="000000"/>
          <w:lang w:val="fr-CA"/>
        </w:rPr>
        <w:t xml:space="preserve">questions </w:t>
      </w:r>
      <w:r w:rsidR="00D3032D" w:rsidRPr="00B3274C">
        <w:rPr>
          <w:color w:val="000000"/>
          <w:lang w:val="fr-CA"/>
        </w:rPr>
        <w:t xml:space="preserve">en rapport avec </w:t>
      </w:r>
      <w:r w:rsidR="00BE75CF" w:rsidRPr="00B3274C">
        <w:rPr>
          <w:color w:val="000000"/>
          <w:lang w:val="fr-CA"/>
        </w:rPr>
        <w:t>une coopération efficace entre les différentes autorités compétentes en matière de protection des victimes.</w:t>
      </w:r>
      <w:r w:rsidR="00BE75CF" w:rsidRPr="00B3274C">
        <w:rPr>
          <w:lang w:val="fr-CA"/>
        </w:rPr>
        <w:t xml:space="preserve"> </w:t>
      </w:r>
    </w:p>
    <w:p w:rsidR="00FB23D3" w:rsidRPr="00B3274C" w:rsidRDefault="00107A47" w:rsidP="00107A47">
      <w:pPr>
        <w:pStyle w:val="SingleTxtG"/>
        <w:rPr>
          <w:lang w:val="fr-CA"/>
        </w:rPr>
      </w:pPr>
      <w:r w:rsidRPr="00B3274C">
        <w:rPr>
          <w:lang w:val="fr-CA"/>
        </w:rPr>
        <w:t>161.</w:t>
      </w:r>
      <w:r w:rsidRPr="00B3274C">
        <w:rPr>
          <w:lang w:val="fr-CA"/>
        </w:rPr>
        <w:tab/>
      </w:r>
      <w:r w:rsidR="007063AF" w:rsidRPr="00B3274C">
        <w:rPr>
          <w:lang w:val="fr-CA"/>
        </w:rPr>
        <w:t xml:space="preserve">La police grecque informe les citoyens </w:t>
      </w:r>
      <w:r w:rsidR="003A5617" w:rsidRPr="00B3274C">
        <w:rPr>
          <w:lang w:val="fr-CA"/>
        </w:rPr>
        <w:t>de l</w:t>
      </w:r>
      <w:r w:rsidR="0080611A">
        <w:rPr>
          <w:lang w:val="fr-CA"/>
        </w:rPr>
        <w:t>’</w:t>
      </w:r>
      <w:r w:rsidR="003A5617" w:rsidRPr="00B3274C">
        <w:rPr>
          <w:lang w:val="fr-CA"/>
        </w:rPr>
        <w:t xml:space="preserve">ampleur du phénomène </w:t>
      </w:r>
      <w:r w:rsidR="007063AF" w:rsidRPr="00B3274C">
        <w:rPr>
          <w:lang w:val="fr-CA"/>
        </w:rPr>
        <w:t>de la traite des êtres humains en Grèce</w:t>
      </w:r>
      <w:r w:rsidR="0080611A">
        <w:rPr>
          <w:lang w:val="fr-CA"/>
        </w:rPr>
        <w:t>,</w:t>
      </w:r>
      <w:r w:rsidR="007063AF" w:rsidRPr="00B3274C">
        <w:rPr>
          <w:lang w:val="fr-CA"/>
        </w:rPr>
        <w:t xml:space="preserve"> pour les sensibiliser davantage à cette question tout en créant un sentiment de sécurité généré par sa présence. </w:t>
      </w:r>
    </w:p>
    <w:p w:rsidR="00FB23D3" w:rsidRPr="00B3274C" w:rsidRDefault="00107A47" w:rsidP="00107A47">
      <w:pPr>
        <w:pStyle w:val="SingleTxtG"/>
        <w:rPr>
          <w:lang w:val="fr-CA"/>
        </w:rPr>
      </w:pPr>
      <w:r w:rsidRPr="00B3274C">
        <w:rPr>
          <w:lang w:val="fr-CA"/>
        </w:rPr>
        <w:t>162.</w:t>
      </w:r>
      <w:r w:rsidRPr="00B3274C">
        <w:rPr>
          <w:lang w:val="fr-CA"/>
        </w:rPr>
        <w:tab/>
      </w:r>
      <w:r w:rsidR="003A5617" w:rsidRPr="00B3274C">
        <w:rPr>
          <w:lang w:val="fr-CA"/>
        </w:rPr>
        <w:t>Des</w:t>
      </w:r>
      <w:r w:rsidR="007063AF" w:rsidRPr="00B3274C">
        <w:rPr>
          <w:lang w:val="fr-CA"/>
        </w:rPr>
        <w:t xml:space="preserve"> informations complémentaires sur des questions se rapportant à la traite des êtres humains peuvent être trouvées sur le site Web de la police grecque </w:t>
      </w:r>
      <w:r w:rsidR="00FB23D3" w:rsidRPr="00B3274C">
        <w:rPr>
          <w:lang w:val="fr-CA"/>
        </w:rPr>
        <w:t>(www.astynomia.gr)</w:t>
      </w:r>
      <w:r w:rsidR="007063AF" w:rsidRPr="00B3274C">
        <w:rPr>
          <w:lang w:val="fr-CA"/>
        </w:rPr>
        <w:t>. Récemment</w:t>
      </w:r>
      <w:r w:rsidR="0080611A">
        <w:rPr>
          <w:lang w:val="fr-CA"/>
        </w:rPr>
        <w:t>,</w:t>
      </w:r>
      <w:r w:rsidR="007063AF" w:rsidRPr="00B3274C">
        <w:rPr>
          <w:lang w:val="fr-CA"/>
        </w:rPr>
        <w:t xml:space="preserve"> des informations ainsi que des recommandations et des conseils aux victimes de la traite y ont été ajoutés. Des documents et des brochures d</w:t>
      </w:r>
      <w:r w:rsidR="0080611A">
        <w:rPr>
          <w:lang w:val="fr-CA"/>
        </w:rPr>
        <w:t>’</w:t>
      </w:r>
      <w:r w:rsidR="007063AF" w:rsidRPr="00B3274C">
        <w:rPr>
          <w:lang w:val="fr-CA"/>
        </w:rPr>
        <w:t>information sur la traite et les victimes de la traite ont été distribués à tous les services compétents</w:t>
      </w:r>
      <w:r w:rsidR="00AE5280" w:rsidRPr="00B3274C">
        <w:rPr>
          <w:lang w:val="fr-CA"/>
        </w:rPr>
        <w:t>.</w:t>
      </w:r>
    </w:p>
    <w:p w:rsidR="00FB23D3" w:rsidRPr="00B3274C" w:rsidRDefault="00107A47" w:rsidP="00107A47">
      <w:pPr>
        <w:pStyle w:val="SingleTxtG"/>
        <w:rPr>
          <w:lang w:val="fr-CA"/>
        </w:rPr>
      </w:pPr>
      <w:r w:rsidRPr="00B3274C">
        <w:rPr>
          <w:lang w:val="fr-CA"/>
        </w:rPr>
        <w:t>163.</w:t>
      </w:r>
      <w:r w:rsidRPr="00B3274C">
        <w:rPr>
          <w:lang w:val="fr-CA"/>
        </w:rPr>
        <w:tab/>
      </w:r>
      <w:r w:rsidR="007063AF" w:rsidRPr="00B3274C">
        <w:rPr>
          <w:color w:val="000000"/>
          <w:lang w:val="fr-CA"/>
        </w:rPr>
        <w:t>Les services de police grecs coopèrent avec des ONG par l</w:t>
      </w:r>
      <w:r w:rsidR="0080611A">
        <w:rPr>
          <w:color w:val="000000"/>
          <w:lang w:val="fr-CA"/>
        </w:rPr>
        <w:t>’</w:t>
      </w:r>
      <w:r w:rsidR="007063AF" w:rsidRPr="00B3274C">
        <w:rPr>
          <w:color w:val="000000"/>
          <w:lang w:val="fr-CA"/>
        </w:rPr>
        <w:t>entremise du Centre national pour la solidarité sociale (EKKA) du Ministère de la santé et de l</w:t>
      </w:r>
      <w:r w:rsidR="0080611A">
        <w:rPr>
          <w:color w:val="000000"/>
          <w:lang w:val="fr-CA"/>
        </w:rPr>
        <w:t>’</w:t>
      </w:r>
      <w:r w:rsidR="007063AF" w:rsidRPr="00B3274C">
        <w:rPr>
          <w:color w:val="000000"/>
          <w:lang w:val="fr-CA"/>
        </w:rPr>
        <w:t>aide sociale et du Secrétariat général à l</w:t>
      </w:r>
      <w:r w:rsidR="0080611A">
        <w:rPr>
          <w:color w:val="000000"/>
          <w:lang w:val="fr-CA"/>
        </w:rPr>
        <w:t>’</w:t>
      </w:r>
      <w:r w:rsidR="007063AF" w:rsidRPr="00B3274C">
        <w:rPr>
          <w:color w:val="000000"/>
          <w:lang w:val="fr-CA"/>
        </w:rPr>
        <w:t>égalité en vue de soutenir les victimes et</w:t>
      </w:r>
      <w:r w:rsidR="0080611A">
        <w:rPr>
          <w:color w:val="000000"/>
          <w:lang w:val="fr-CA"/>
        </w:rPr>
        <w:t>,</w:t>
      </w:r>
      <w:r w:rsidR="007063AF" w:rsidRPr="00B3274C">
        <w:rPr>
          <w:color w:val="000000"/>
          <w:lang w:val="fr-CA"/>
        </w:rPr>
        <w:t xml:space="preserve"> avec l</w:t>
      </w:r>
      <w:r w:rsidR="0080611A">
        <w:rPr>
          <w:color w:val="000000"/>
          <w:lang w:val="fr-CA"/>
        </w:rPr>
        <w:t>’</w:t>
      </w:r>
      <w:r w:rsidR="007063AF" w:rsidRPr="00B3274C">
        <w:rPr>
          <w:color w:val="000000"/>
          <w:lang w:val="fr-CA"/>
        </w:rPr>
        <w:t>OIM</w:t>
      </w:r>
      <w:r w:rsidR="0080611A">
        <w:rPr>
          <w:color w:val="000000"/>
          <w:lang w:val="fr-CA"/>
        </w:rPr>
        <w:t>,</w:t>
      </w:r>
      <w:r w:rsidR="007063AF" w:rsidRPr="00B3274C">
        <w:rPr>
          <w:color w:val="000000"/>
          <w:lang w:val="fr-CA"/>
        </w:rPr>
        <w:t xml:space="preserve"> pour assurer leur rapatriement en toute sécurité</w:t>
      </w:r>
      <w:r w:rsidR="00FB23D3" w:rsidRPr="00B3274C">
        <w:rPr>
          <w:lang w:val="fr-CA"/>
        </w:rPr>
        <w:t>.</w:t>
      </w:r>
    </w:p>
    <w:p w:rsidR="00FB23D3" w:rsidRPr="00B3274C" w:rsidRDefault="00107A47" w:rsidP="00107A47">
      <w:pPr>
        <w:pStyle w:val="SingleTxtG"/>
        <w:rPr>
          <w:lang w:val="fr-CA"/>
        </w:rPr>
      </w:pPr>
      <w:r w:rsidRPr="00B3274C">
        <w:rPr>
          <w:lang w:val="fr-CA"/>
        </w:rPr>
        <w:t>164.</w:t>
      </w:r>
      <w:r w:rsidRPr="00B3274C">
        <w:rPr>
          <w:lang w:val="fr-CA"/>
        </w:rPr>
        <w:tab/>
      </w:r>
      <w:r w:rsidR="007063AF" w:rsidRPr="00B3274C">
        <w:rPr>
          <w:color w:val="000000"/>
          <w:lang w:val="fr-CA"/>
        </w:rPr>
        <w:t>En outre</w:t>
      </w:r>
      <w:r w:rsidR="0080611A">
        <w:rPr>
          <w:color w:val="000000"/>
          <w:lang w:val="fr-CA"/>
        </w:rPr>
        <w:t>,</w:t>
      </w:r>
      <w:r w:rsidR="007063AF" w:rsidRPr="00B3274C">
        <w:rPr>
          <w:color w:val="000000"/>
          <w:lang w:val="fr-CA"/>
        </w:rPr>
        <w:t xml:space="preserve"> deux procureurs publics chargés des cas de traite des êtres humains ont été nommés à Athènes et l</w:t>
      </w:r>
      <w:r w:rsidR="0080611A">
        <w:rPr>
          <w:color w:val="000000"/>
          <w:lang w:val="fr-CA"/>
        </w:rPr>
        <w:t>’</w:t>
      </w:r>
      <w:r w:rsidR="007063AF" w:rsidRPr="00B3274C">
        <w:rPr>
          <w:color w:val="000000"/>
          <w:lang w:val="fr-CA"/>
        </w:rPr>
        <w:t>accent a été mis sur la sensibilisation des juges au problème de la traite et sur la formation continue à ce sujet.</w:t>
      </w:r>
      <w:r w:rsidR="007063AF" w:rsidRPr="00B3274C">
        <w:rPr>
          <w:lang w:val="fr-CA"/>
        </w:rPr>
        <w:t xml:space="preserve"> </w:t>
      </w:r>
    </w:p>
    <w:p w:rsidR="00FB23D3" w:rsidRPr="00B3274C" w:rsidRDefault="00432CF5" w:rsidP="0039610D">
      <w:pPr>
        <w:pStyle w:val="H23G"/>
        <w:rPr>
          <w:lang w:val="fr-CA"/>
        </w:rPr>
      </w:pPr>
      <w:r w:rsidRPr="00B3274C">
        <w:rPr>
          <w:lang w:val="fr-CA"/>
        </w:rPr>
        <w:tab/>
      </w:r>
      <w:r w:rsidR="0039610D" w:rsidRPr="00B3274C">
        <w:rPr>
          <w:lang w:val="fr-CA"/>
        </w:rPr>
        <w:t>c)</w:t>
      </w:r>
      <w:r w:rsidRPr="00B3274C">
        <w:rPr>
          <w:lang w:val="fr-CA"/>
        </w:rPr>
        <w:tab/>
      </w:r>
      <w:r w:rsidR="00E056DF" w:rsidRPr="00B3274C">
        <w:rPr>
          <w:lang w:val="fr-CA"/>
        </w:rPr>
        <w:t>Prévention de la traite</w:t>
      </w:r>
    </w:p>
    <w:p w:rsidR="00FB23D3" w:rsidRPr="00B3274C" w:rsidRDefault="00107A47" w:rsidP="00107A47">
      <w:pPr>
        <w:pStyle w:val="SingleTxtG"/>
        <w:rPr>
          <w:lang w:val="fr-CA"/>
        </w:rPr>
      </w:pPr>
      <w:r w:rsidRPr="00B3274C">
        <w:rPr>
          <w:lang w:val="fr-CA"/>
        </w:rPr>
        <w:t>165.</w:t>
      </w:r>
      <w:r w:rsidRPr="00B3274C">
        <w:rPr>
          <w:lang w:val="fr-CA"/>
        </w:rPr>
        <w:tab/>
      </w:r>
      <w:r w:rsidR="003F412A" w:rsidRPr="00B3274C">
        <w:rPr>
          <w:lang w:val="fr-CA"/>
        </w:rPr>
        <w:t>La Grèce organise des campagnes de sensibilisation de la population et des opérations de formation de tous les organismes conce</w:t>
      </w:r>
      <w:r w:rsidR="0081750A" w:rsidRPr="00B3274C">
        <w:rPr>
          <w:lang w:val="fr-CA"/>
        </w:rPr>
        <w:t>rnés en vue de réduire la demande de</w:t>
      </w:r>
      <w:r w:rsidR="003F412A" w:rsidRPr="00B3274C">
        <w:rPr>
          <w:lang w:val="fr-CA"/>
        </w:rPr>
        <w:t xml:space="preserve"> services fournis par les victimes de la traite ainsi que leur exploitation</w:t>
      </w:r>
      <w:r w:rsidR="00EC5892" w:rsidRPr="00B3274C">
        <w:rPr>
          <w:lang w:val="fr-CA"/>
        </w:rPr>
        <w:t>;</w:t>
      </w:r>
      <w:r w:rsidR="003F412A" w:rsidRPr="00B3274C">
        <w:rPr>
          <w:lang w:val="fr-CA"/>
        </w:rPr>
        <w:t xml:space="preserve"> le Secréta</w:t>
      </w:r>
      <w:r w:rsidR="0081750A" w:rsidRPr="00B3274C">
        <w:rPr>
          <w:lang w:val="fr-CA"/>
        </w:rPr>
        <w:t>riat</w:t>
      </w:r>
      <w:r w:rsidR="003F412A" w:rsidRPr="00B3274C">
        <w:rPr>
          <w:lang w:val="fr-CA"/>
        </w:rPr>
        <w:t xml:space="preserve"> général à l</w:t>
      </w:r>
      <w:r w:rsidR="0080611A">
        <w:rPr>
          <w:lang w:val="fr-CA"/>
        </w:rPr>
        <w:t>’</w:t>
      </w:r>
      <w:r w:rsidR="003F412A" w:rsidRPr="00B3274C">
        <w:rPr>
          <w:lang w:val="fr-CA"/>
        </w:rPr>
        <w:t>égalité des sexes joue un rôle actif à cet égard</w:t>
      </w:r>
      <w:r w:rsidR="00FB23D3" w:rsidRPr="00B3274C">
        <w:rPr>
          <w:lang w:val="fr-CA"/>
        </w:rPr>
        <w:t>.</w:t>
      </w:r>
    </w:p>
    <w:p w:rsidR="00FB23D3" w:rsidRPr="00B3274C" w:rsidRDefault="00432CF5" w:rsidP="0039610D">
      <w:pPr>
        <w:pStyle w:val="H23G"/>
        <w:rPr>
          <w:lang w:val="fr-CA"/>
        </w:rPr>
      </w:pPr>
      <w:r w:rsidRPr="00B3274C">
        <w:rPr>
          <w:lang w:val="fr-CA"/>
        </w:rPr>
        <w:tab/>
      </w:r>
      <w:r w:rsidR="0039610D" w:rsidRPr="00B3274C">
        <w:rPr>
          <w:lang w:val="fr-CA"/>
        </w:rPr>
        <w:t>d)</w:t>
      </w:r>
      <w:r w:rsidRPr="00B3274C">
        <w:rPr>
          <w:lang w:val="fr-CA"/>
        </w:rPr>
        <w:tab/>
      </w:r>
      <w:r w:rsidR="00E056DF" w:rsidRPr="00B3274C">
        <w:rPr>
          <w:lang w:val="fr-CA"/>
        </w:rPr>
        <w:t>Statistiques</w:t>
      </w:r>
    </w:p>
    <w:p w:rsidR="00FB23D3" w:rsidRPr="00B3274C" w:rsidRDefault="00107A47" w:rsidP="00107A47">
      <w:pPr>
        <w:pStyle w:val="SingleTxtG"/>
        <w:rPr>
          <w:sz w:val="16"/>
          <w:szCs w:val="16"/>
          <w:lang w:val="fr-CA"/>
        </w:rPr>
      </w:pPr>
      <w:r w:rsidRPr="00B3274C">
        <w:rPr>
          <w:lang w:val="fr-CA"/>
        </w:rPr>
        <w:t>166.</w:t>
      </w:r>
      <w:r w:rsidRPr="00B3274C">
        <w:rPr>
          <w:lang w:val="fr-CA"/>
        </w:rPr>
        <w:tab/>
      </w:r>
      <w:r w:rsidR="00411219" w:rsidRPr="00B3274C">
        <w:rPr>
          <w:lang w:val="fr-CA"/>
        </w:rPr>
        <w:t>D</w:t>
      </w:r>
      <w:r w:rsidR="0080611A">
        <w:rPr>
          <w:lang w:val="fr-CA"/>
        </w:rPr>
        <w:t>’</w:t>
      </w:r>
      <w:r w:rsidR="00411219" w:rsidRPr="00B3274C">
        <w:rPr>
          <w:lang w:val="fr-CA"/>
        </w:rPr>
        <w:t>après les dernières statistiques</w:t>
      </w:r>
      <w:r w:rsidR="0080611A">
        <w:rPr>
          <w:lang w:val="fr-CA"/>
        </w:rPr>
        <w:t>,</w:t>
      </w:r>
      <w:r w:rsidR="00411219" w:rsidRPr="00B3274C">
        <w:rPr>
          <w:lang w:val="fr-CA"/>
        </w:rPr>
        <w:t xml:space="preserve"> les services de la police grecque ont eu à s</w:t>
      </w:r>
      <w:r w:rsidR="0080611A">
        <w:rPr>
          <w:lang w:val="fr-CA"/>
        </w:rPr>
        <w:t>’</w:t>
      </w:r>
      <w:r w:rsidR="00411219" w:rsidRPr="00B3274C">
        <w:rPr>
          <w:lang w:val="fr-CA"/>
        </w:rPr>
        <w:t>occuper en 2011 de 41 cas de traite (35 cas d</w:t>
      </w:r>
      <w:r w:rsidR="0080611A">
        <w:rPr>
          <w:lang w:val="fr-CA"/>
        </w:rPr>
        <w:t>’</w:t>
      </w:r>
      <w:r w:rsidR="00411219" w:rsidRPr="00B3274C">
        <w:rPr>
          <w:lang w:val="fr-CA"/>
        </w:rPr>
        <w:t>exploitation sexuelle</w:t>
      </w:r>
      <w:r w:rsidR="0080611A">
        <w:rPr>
          <w:lang w:val="fr-CA"/>
        </w:rPr>
        <w:t>,</w:t>
      </w:r>
      <w:r w:rsidR="00411219" w:rsidRPr="00B3274C">
        <w:rPr>
          <w:lang w:val="fr-CA"/>
        </w:rPr>
        <w:t xml:space="preserve"> 2 cas d</w:t>
      </w:r>
      <w:r w:rsidR="0080611A">
        <w:rPr>
          <w:lang w:val="fr-CA"/>
        </w:rPr>
        <w:t>’</w:t>
      </w:r>
      <w:r w:rsidR="00411219" w:rsidRPr="00B3274C">
        <w:rPr>
          <w:lang w:val="fr-CA"/>
        </w:rPr>
        <w:t>exploitation de main-d</w:t>
      </w:r>
      <w:r w:rsidR="0080611A">
        <w:rPr>
          <w:lang w:val="fr-CA"/>
        </w:rPr>
        <w:t>’</w:t>
      </w:r>
      <w:r w:rsidR="00411219" w:rsidRPr="00B3274C">
        <w:rPr>
          <w:lang w:val="fr-CA"/>
        </w:rPr>
        <w:t>œuvre et 4 cas de mendicité). À l</w:t>
      </w:r>
      <w:r w:rsidR="0080611A">
        <w:rPr>
          <w:lang w:val="fr-CA"/>
        </w:rPr>
        <w:t>’</w:t>
      </w:r>
      <w:r w:rsidR="00411219" w:rsidRPr="00B3274C">
        <w:rPr>
          <w:lang w:val="fr-CA"/>
        </w:rPr>
        <w:t>issue des recherches et des enquêtes préliminaires menées</w:t>
      </w:r>
      <w:r w:rsidR="0080611A">
        <w:rPr>
          <w:lang w:val="fr-CA"/>
        </w:rPr>
        <w:t>,</w:t>
      </w:r>
      <w:r w:rsidR="00411219" w:rsidRPr="00B3274C">
        <w:rPr>
          <w:lang w:val="fr-CA"/>
        </w:rPr>
        <w:t xml:space="preserve"> 220</w:t>
      </w:r>
      <w:r w:rsidR="00614BAC">
        <w:rPr>
          <w:lang w:val="fr-CA"/>
        </w:rPr>
        <w:t> personnes</w:t>
      </w:r>
      <w:r w:rsidR="0080611A">
        <w:rPr>
          <w:lang w:val="fr-CA"/>
        </w:rPr>
        <w:t>,</w:t>
      </w:r>
      <w:r w:rsidR="00411219" w:rsidRPr="00B3274C">
        <w:rPr>
          <w:lang w:val="fr-CA"/>
        </w:rPr>
        <w:t xml:space="preserve"> de nationalité grecque ou étrangère</w:t>
      </w:r>
      <w:r w:rsidR="0080611A">
        <w:rPr>
          <w:lang w:val="fr-CA"/>
        </w:rPr>
        <w:t>,</w:t>
      </w:r>
      <w:r w:rsidR="00411219" w:rsidRPr="00B3274C">
        <w:rPr>
          <w:lang w:val="fr-CA"/>
        </w:rPr>
        <w:t xml:space="preserve"> ont été inculpées et 97</w:t>
      </w:r>
      <w:r w:rsidR="00614BAC">
        <w:rPr>
          <w:lang w:val="fr-CA"/>
        </w:rPr>
        <w:t> personnes</w:t>
      </w:r>
      <w:r w:rsidR="00411219" w:rsidRPr="00B3274C">
        <w:rPr>
          <w:lang w:val="fr-CA"/>
        </w:rPr>
        <w:t xml:space="preserve"> (hommes</w:t>
      </w:r>
      <w:r w:rsidR="0080611A">
        <w:rPr>
          <w:lang w:val="fr-CA"/>
        </w:rPr>
        <w:t>,</w:t>
      </w:r>
      <w:r w:rsidR="00411219" w:rsidRPr="00B3274C">
        <w:rPr>
          <w:lang w:val="fr-CA"/>
        </w:rPr>
        <w:t xml:space="preserve"> femmes et mineurs) ont été reconnues victimes d</w:t>
      </w:r>
      <w:r w:rsidR="0080611A">
        <w:rPr>
          <w:lang w:val="fr-CA"/>
        </w:rPr>
        <w:t>’</w:t>
      </w:r>
      <w:r w:rsidR="00411219" w:rsidRPr="00B3274C">
        <w:rPr>
          <w:lang w:val="fr-CA"/>
        </w:rPr>
        <w:t>exploitation de main-d</w:t>
      </w:r>
      <w:r w:rsidR="0080611A">
        <w:rPr>
          <w:lang w:val="fr-CA"/>
        </w:rPr>
        <w:t>’</w:t>
      </w:r>
      <w:r w:rsidR="00411219" w:rsidRPr="00B3274C">
        <w:rPr>
          <w:lang w:val="fr-CA"/>
        </w:rPr>
        <w:t>œuvre et d</w:t>
      </w:r>
      <w:r w:rsidR="0080611A">
        <w:rPr>
          <w:lang w:val="fr-CA"/>
        </w:rPr>
        <w:t>’</w:t>
      </w:r>
      <w:r w:rsidR="00411219" w:rsidRPr="00B3274C">
        <w:rPr>
          <w:lang w:val="fr-CA"/>
        </w:rPr>
        <w:t>exploitation sexuelle; 51 d</w:t>
      </w:r>
      <w:r w:rsidR="0080611A">
        <w:rPr>
          <w:lang w:val="fr-CA"/>
        </w:rPr>
        <w:t>’</w:t>
      </w:r>
      <w:r w:rsidR="00411219" w:rsidRPr="00B3274C">
        <w:rPr>
          <w:lang w:val="fr-CA"/>
        </w:rPr>
        <w:t>entre elles ont</w:t>
      </w:r>
      <w:r w:rsidR="00726554" w:rsidRPr="00B3274C">
        <w:rPr>
          <w:lang w:val="fr-CA"/>
        </w:rPr>
        <w:t xml:space="preserve"> demandé et obtenu l</w:t>
      </w:r>
      <w:r w:rsidR="0080611A">
        <w:rPr>
          <w:lang w:val="fr-CA"/>
        </w:rPr>
        <w:t>’</w:t>
      </w:r>
      <w:r w:rsidR="009D726C" w:rsidRPr="00B3274C">
        <w:rPr>
          <w:lang w:val="fr-CA"/>
        </w:rPr>
        <w:t>assistance</w:t>
      </w:r>
      <w:r w:rsidR="00726554" w:rsidRPr="00B3274C">
        <w:rPr>
          <w:lang w:val="fr-CA"/>
        </w:rPr>
        <w:t xml:space="preserve"> et la </w:t>
      </w:r>
      <w:r w:rsidR="00411219" w:rsidRPr="00B3274C">
        <w:rPr>
          <w:lang w:val="fr-CA"/>
        </w:rPr>
        <w:t>protection</w:t>
      </w:r>
      <w:r w:rsidR="00726554" w:rsidRPr="00B3274C">
        <w:rPr>
          <w:lang w:val="fr-CA"/>
        </w:rPr>
        <w:t xml:space="preserve"> de l</w:t>
      </w:r>
      <w:r w:rsidR="0080611A">
        <w:rPr>
          <w:lang w:val="fr-CA"/>
        </w:rPr>
        <w:t>’</w:t>
      </w:r>
      <w:r w:rsidR="00726554" w:rsidRPr="00B3274C">
        <w:rPr>
          <w:lang w:val="fr-CA"/>
        </w:rPr>
        <w:t>État</w:t>
      </w:r>
      <w:r w:rsidR="00411219" w:rsidRPr="00B3274C">
        <w:rPr>
          <w:lang w:val="fr-CA"/>
        </w:rPr>
        <w:t xml:space="preserve">. </w:t>
      </w:r>
      <w:r w:rsidR="00726554" w:rsidRPr="00B3274C">
        <w:rPr>
          <w:lang w:val="fr-CA"/>
        </w:rPr>
        <w:t>Sur ces 51 victimes</w:t>
      </w:r>
      <w:r w:rsidR="0080611A">
        <w:rPr>
          <w:lang w:val="fr-CA"/>
        </w:rPr>
        <w:t>,</w:t>
      </w:r>
      <w:r w:rsidR="00726554" w:rsidRPr="00B3274C">
        <w:rPr>
          <w:lang w:val="fr-CA"/>
        </w:rPr>
        <w:t xml:space="preserve"> 9 ont été désignées par le procureur compétent comme remplissant les conditions voulues pour bénéficier des dispositions de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 xml:space="preserve">3064/2002. </w:t>
      </w:r>
      <w:r w:rsidR="00726554" w:rsidRPr="00B3274C">
        <w:rPr>
          <w:lang w:val="fr-CA"/>
        </w:rPr>
        <w:t xml:space="preserve">Assistance et protection </w:t>
      </w:r>
      <w:r w:rsidR="00B74F00">
        <w:rPr>
          <w:lang w:val="fr-CA"/>
        </w:rPr>
        <w:t>ont également été accordées à 8 </w:t>
      </w:r>
      <w:r w:rsidR="00726554" w:rsidRPr="00B3274C">
        <w:rPr>
          <w:lang w:val="fr-CA"/>
        </w:rPr>
        <w:t>femmes dans le cadre d</w:t>
      </w:r>
      <w:r w:rsidR="0080611A">
        <w:rPr>
          <w:lang w:val="fr-CA"/>
        </w:rPr>
        <w:t>’</w:t>
      </w:r>
      <w:r w:rsidR="00726554" w:rsidRPr="00B3274C">
        <w:rPr>
          <w:lang w:val="fr-CA"/>
        </w:rPr>
        <w:t>affaires pendantes et conformément au Protocole de Palerme</w:t>
      </w:r>
      <w:r w:rsidR="0080611A">
        <w:rPr>
          <w:lang w:val="fr-CA"/>
        </w:rPr>
        <w:t>,</w:t>
      </w:r>
      <w:r w:rsidR="00726554" w:rsidRPr="00B3274C">
        <w:rPr>
          <w:lang w:val="fr-CA"/>
        </w:rPr>
        <w:t xml:space="preserve"> qui</w:t>
      </w:r>
      <w:r w:rsidR="0033193A" w:rsidRPr="00B3274C">
        <w:rPr>
          <w:lang w:val="fr-CA"/>
        </w:rPr>
        <w:t xml:space="preserve"> prévoit que </w:t>
      </w:r>
      <w:r w:rsidR="003D52DE" w:rsidRPr="00B3274C">
        <w:rPr>
          <w:lang w:val="fr-CA"/>
        </w:rPr>
        <w:t>l</w:t>
      </w:r>
      <w:r w:rsidR="009D726C" w:rsidRPr="00B3274C">
        <w:rPr>
          <w:lang w:val="fr-CA"/>
        </w:rPr>
        <w:t xml:space="preserve">es victimes de la traite </w:t>
      </w:r>
      <w:r w:rsidR="0033193A" w:rsidRPr="00B3274C">
        <w:rPr>
          <w:lang w:val="fr-CA"/>
        </w:rPr>
        <w:t>soient identifiées comme telles avant même que des charges pénales aient été retenues</w:t>
      </w:r>
      <w:r w:rsidR="009D726C" w:rsidRPr="00B3274C">
        <w:rPr>
          <w:lang w:val="fr-CA"/>
        </w:rPr>
        <w:t xml:space="preserve">. </w:t>
      </w:r>
    </w:p>
    <w:p w:rsidR="00FB23D3" w:rsidRPr="00B3274C" w:rsidRDefault="00432CF5" w:rsidP="00E7035D">
      <w:pPr>
        <w:pStyle w:val="H1G"/>
        <w:rPr>
          <w:lang w:val="fr-CA"/>
        </w:rPr>
      </w:pPr>
      <w:r w:rsidRPr="00B3274C">
        <w:rPr>
          <w:lang w:val="fr-CA"/>
        </w:rPr>
        <w:tab/>
      </w:r>
      <w:r w:rsidRPr="00B3274C">
        <w:rPr>
          <w:lang w:val="fr-CA"/>
        </w:rPr>
        <w:tab/>
      </w:r>
      <w:r w:rsidR="00597DC4">
        <w:rPr>
          <w:lang w:val="fr-CA"/>
        </w:rPr>
        <w:t>Article </w:t>
      </w:r>
      <w:r w:rsidR="00FB23D3" w:rsidRPr="00B3274C">
        <w:rPr>
          <w:lang w:val="fr-CA"/>
        </w:rPr>
        <w:t>11</w:t>
      </w:r>
      <w:r w:rsidR="00F547F8" w:rsidRPr="00B3274C">
        <w:rPr>
          <w:lang w:val="fr-CA"/>
        </w:rPr>
        <w:br/>
      </w:r>
      <w:r w:rsidR="00E056DF" w:rsidRPr="00B3274C">
        <w:rPr>
          <w:lang w:val="fr-CA"/>
        </w:rPr>
        <w:t>Droit à un logement suffisant</w:t>
      </w:r>
    </w:p>
    <w:p w:rsidR="00FB23D3" w:rsidRPr="00B3274C" w:rsidRDefault="003350F2" w:rsidP="00E027D8">
      <w:pPr>
        <w:pStyle w:val="H23G"/>
        <w:rPr>
          <w:lang w:val="fr-CA"/>
        </w:rPr>
      </w:pPr>
      <w:r w:rsidRPr="00B3274C">
        <w:rPr>
          <w:lang w:val="fr-CA"/>
        </w:rPr>
        <w:tab/>
      </w:r>
      <w:r w:rsidR="00E027D8" w:rsidRPr="00B3274C">
        <w:rPr>
          <w:lang w:val="fr-CA"/>
        </w:rPr>
        <w:t>1.</w:t>
      </w:r>
      <w:r w:rsidRPr="00B3274C">
        <w:rPr>
          <w:lang w:val="fr-CA"/>
        </w:rPr>
        <w:tab/>
      </w:r>
      <w:r w:rsidR="006050A1" w:rsidRPr="00B3274C">
        <w:rPr>
          <w:lang w:val="fr-CA"/>
        </w:rPr>
        <w:t>S</w:t>
      </w:r>
      <w:r w:rsidR="00E056DF" w:rsidRPr="00B3274C">
        <w:rPr>
          <w:lang w:val="fr-CA"/>
        </w:rPr>
        <w:t>ituation du logement en Grèce</w:t>
      </w:r>
    </w:p>
    <w:p w:rsidR="00FB23D3" w:rsidRPr="00B3274C" w:rsidRDefault="00107A47" w:rsidP="00107A47">
      <w:pPr>
        <w:pStyle w:val="SingleTxtG"/>
        <w:rPr>
          <w:lang w:val="fr-CA"/>
        </w:rPr>
      </w:pPr>
      <w:r w:rsidRPr="00B3274C">
        <w:rPr>
          <w:lang w:val="fr-CA"/>
        </w:rPr>
        <w:t>167.</w:t>
      </w:r>
      <w:r w:rsidRPr="00B3274C">
        <w:rPr>
          <w:lang w:val="fr-CA"/>
        </w:rPr>
        <w:tab/>
      </w:r>
      <w:r w:rsidR="0050210B" w:rsidRPr="00B3274C">
        <w:rPr>
          <w:lang w:val="fr-CA"/>
        </w:rPr>
        <w:t>Il n</w:t>
      </w:r>
      <w:r w:rsidR="0080611A">
        <w:rPr>
          <w:lang w:val="fr-CA"/>
        </w:rPr>
        <w:t>’</w:t>
      </w:r>
      <w:r w:rsidR="0050210B" w:rsidRPr="00B3274C">
        <w:rPr>
          <w:lang w:val="fr-CA"/>
        </w:rPr>
        <w:t>y a pas à proprement parler de grave problème du logement pour la majorité des Grecs et une tendance positive à une amélioration stable des conditions de logement est observée. En ce qui concerne les logements dont les occupants sont propriétaires</w:t>
      </w:r>
      <w:r w:rsidR="0080611A">
        <w:rPr>
          <w:lang w:val="fr-CA"/>
        </w:rPr>
        <w:t>,</w:t>
      </w:r>
      <w:r w:rsidR="0050210B" w:rsidRPr="00B3274C">
        <w:rPr>
          <w:lang w:val="fr-CA"/>
        </w:rPr>
        <w:t xml:space="preserve"> les taux d</w:t>
      </w:r>
      <w:r w:rsidR="0080611A">
        <w:rPr>
          <w:lang w:val="fr-CA"/>
        </w:rPr>
        <w:t>’</w:t>
      </w:r>
      <w:r w:rsidR="0050210B" w:rsidRPr="00B3274C">
        <w:rPr>
          <w:lang w:val="fr-CA"/>
        </w:rPr>
        <w:t>augmentation des décennies antérieures (</w:t>
      </w:r>
      <w:r w:rsidR="00FB23D3" w:rsidRPr="00B3274C">
        <w:rPr>
          <w:lang w:val="fr-CA"/>
        </w:rPr>
        <w:t>2001: 79</w:t>
      </w:r>
      <w:r w:rsidR="0080611A">
        <w:rPr>
          <w:lang w:val="fr-CA"/>
        </w:rPr>
        <w:t>,</w:t>
      </w:r>
      <w:r w:rsidR="00FB23D3" w:rsidRPr="00B3274C">
        <w:rPr>
          <w:lang w:val="fr-CA"/>
        </w:rPr>
        <w:t>7</w:t>
      </w:r>
      <w:r w:rsidR="0050285B">
        <w:rPr>
          <w:lang w:val="fr-CA"/>
        </w:rPr>
        <w:t> %</w:t>
      </w:r>
      <w:r w:rsidR="0080611A">
        <w:rPr>
          <w:lang w:val="fr-CA"/>
        </w:rPr>
        <w:t>,</w:t>
      </w:r>
      <w:r w:rsidR="00FB23D3" w:rsidRPr="00B3274C">
        <w:rPr>
          <w:lang w:val="fr-CA"/>
        </w:rPr>
        <w:t xml:space="preserve"> 2005: 78</w:t>
      </w:r>
      <w:r w:rsidR="0080611A">
        <w:rPr>
          <w:lang w:val="fr-CA"/>
        </w:rPr>
        <w:t>,</w:t>
      </w:r>
      <w:r w:rsidR="00FB23D3" w:rsidRPr="00B3274C">
        <w:rPr>
          <w:lang w:val="fr-CA"/>
        </w:rPr>
        <w:t>7</w:t>
      </w:r>
      <w:r w:rsidR="0050285B">
        <w:rPr>
          <w:lang w:val="fr-CA"/>
        </w:rPr>
        <w:t> %</w:t>
      </w:r>
      <w:r w:rsidR="00FB23D3" w:rsidRPr="00B3274C">
        <w:rPr>
          <w:lang w:val="fr-CA"/>
        </w:rPr>
        <w:t xml:space="preserve">) </w:t>
      </w:r>
      <w:r w:rsidR="0050210B" w:rsidRPr="00B3274C">
        <w:rPr>
          <w:lang w:val="fr-CA"/>
        </w:rPr>
        <w:t xml:space="preserve">se sont tassés. </w:t>
      </w:r>
    </w:p>
    <w:p w:rsidR="00FB23D3" w:rsidRPr="00B3274C" w:rsidRDefault="00107A47" w:rsidP="00107A47">
      <w:pPr>
        <w:pStyle w:val="SingleTxtG"/>
        <w:rPr>
          <w:lang w:val="fr-CA"/>
        </w:rPr>
      </w:pPr>
      <w:r w:rsidRPr="00B3274C">
        <w:rPr>
          <w:lang w:val="fr-CA"/>
        </w:rPr>
        <w:t>168.</w:t>
      </w:r>
      <w:r w:rsidRPr="00B3274C">
        <w:rPr>
          <w:lang w:val="fr-CA"/>
        </w:rPr>
        <w:tab/>
      </w:r>
      <w:r w:rsidR="0050210B" w:rsidRPr="00B3274C">
        <w:rPr>
          <w:lang w:val="fr-CA"/>
        </w:rPr>
        <w:t>Toutefois</w:t>
      </w:r>
      <w:r w:rsidR="0080611A">
        <w:rPr>
          <w:lang w:val="fr-CA"/>
        </w:rPr>
        <w:t>,</w:t>
      </w:r>
      <w:r w:rsidR="0050210B" w:rsidRPr="00B3274C">
        <w:rPr>
          <w:lang w:val="fr-CA"/>
        </w:rPr>
        <w:t xml:space="preserve"> certaines catégories de ménages en Grèce</w:t>
      </w:r>
      <w:r w:rsidR="0080611A">
        <w:rPr>
          <w:lang w:val="fr-CA"/>
        </w:rPr>
        <w:t>,</w:t>
      </w:r>
      <w:r w:rsidR="0050210B" w:rsidRPr="00B3274C">
        <w:rPr>
          <w:lang w:val="fr-CA"/>
        </w:rPr>
        <w:t xml:space="preserve"> pour la plupart </w:t>
      </w:r>
      <w:r w:rsidR="00614BAC">
        <w:rPr>
          <w:lang w:val="fr-CA"/>
        </w:rPr>
        <w:t>des personnes</w:t>
      </w:r>
      <w:r w:rsidR="0050210B" w:rsidRPr="00B3274C">
        <w:rPr>
          <w:lang w:val="fr-CA"/>
        </w:rPr>
        <w:t xml:space="preserve"> démunies dans des zones urbaines ou rurales et des migrants économiques</w:t>
      </w:r>
      <w:r w:rsidR="0080611A">
        <w:rPr>
          <w:lang w:val="fr-CA"/>
        </w:rPr>
        <w:t>,</w:t>
      </w:r>
      <w:r w:rsidR="004E6F9D" w:rsidRPr="00B3274C">
        <w:rPr>
          <w:lang w:val="fr-CA"/>
        </w:rPr>
        <w:t xml:space="preserve"> vivent </w:t>
      </w:r>
      <w:r w:rsidR="000235C5" w:rsidRPr="00B3274C">
        <w:rPr>
          <w:lang w:val="fr-CA"/>
        </w:rPr>
        <w:t xml:space="preserve">pour la plupart </w:t>
      </w:r>
      <w:r w:rsidR="004E6F9D" w:rsidRPr="00B3274C">
        <w:rPr>
          <w:lang w:val="fr-CA"/>
        </w:rPr>
        <w:t>dans des conditions laissant à désirer ou ont des charges financières inacceptables qui les empêchent d</w:t>
      </w:r>
      <w:r w:rsidR="0080611A">
        <w:rPr>
          <w:lang w:val="fr-CA"/>
        </w:rPr>
        <w:t>’</w:t>
      </w:r>
      <w:r w:rsidR="004E6F9D" w:rsidRPr="00B3274C">
        <w:rPr>
          <w:lang w:val="fr-CA"/>
        </w:rPr>
        <w:t>être convenablement logé</w:t>
      </w:r>
      <w:r w:rsidR="005B4930" w:rsidRPr="00B3274C">
        <w:rPr>
          <w:lang w:val="fr-CA"/>
        </w:rPr>
        <w:t>e</w:t>
      </w:r>
      <w:r w:rsidR="004E6F9D" w:rsidRPr="00B3274C">
        <w:rPr>
          <w:lang w:val="fr-CA"/>
        </w:rPr>
        <w:t>s.</w:t>
      </w:r>
      <w:r w:rsidR="0050210B" w:rsidRPr="00B3274C">
        <w:rPr>
          <w:lang w:val="fr-CA"/>
        </w:rPr>
        <w:t xml:space="preserve"> </w:t>
      </w:r>
    </w:p>
    <w:p w:rsidR="00FB23D3" w:rsidRPr="00B3274C" w:rsidRDefault="00055317" w:rsidP="00E027D8">
      <w:pPr>
        <w:pStyle w:val="H23G"/>
        <w:rPr>
          <w:lang w:val="fr-CA"/>
        </w:rPr>
      </w:pPr>
      <w:r w:rsidRPr="00B3274C">
        <w:rPr>
          <w:lang w:val="fr-CA"/>
        </w:rPr>
        <w:tab/>
      </w:r>
      <w:r w:rsidR="00E027D8" w:rsidRPr="00B3274C">
        <w:rPr>
          <w:lang w:val="fr-CA"/>
        </w:rPr>
        <w:t>2.</w:t>
      </w:r>
      <w:r w:rsidRPr="00B3274C">
        <w:rPr>
          <w:lang w:val="fr-CA"/>
        </w:rPr>
        <w:tab/>
      </w:r>
      <w:r w:rsidR="006050A1" w:rsidRPr="00B3274C">
        <w:rPr>
          <w:lang w:val="fr-CA"/>
        </w:rPr>
        <w:t>R</w:t>
      </w:r>
      <w:r w:rsidR="00E7223E" w:rsidRPr="00B3274C">
        <w:rPr>
          <w:lang w:val="fr-CA"/>
        </w:rPr>
        <w:t>ôle de l</w:t>
      </w:r>
      <w:r w:rsidR="0080611A">
        <w:rPr>
          <w:lang w:val="fr-CA"/>
        </w:rPr>
        <w:t>’</w:t>
      </w:r>
      <w:r w:rsidR="00E7223E" w:rsidRPr="00B3274C">
        <w:rPr>
          <w:lang w:val="fr-CA"/>
        </w:rPr>
        <w:t>Organisation</w:t>
      </w:r>
      <w:r w:rsidR="00F51EF8" w:rsidRPr="00B3274C">
        <w:rPr>
          <w:lang w:val="fr-CA"/>
        </w:rPr>
        <w:t xml:space="preserve"> pour</w:t>
      </w:r>
      <w:r w:rsidR="008F5F6F" w:rsidRPr="00B3274C">
        <w:rPr>
          <w:lang w:val="fr-CA"/>
        </w:rPr>
        <w:t xml:space="preserve"> le</w:t>
      </w:r>
      <w:r w:rsidR="00E7223E" w:rsidRPr="00B3274C">
        <w:rPr>
          <w:lang w:val="fr-CA"/>
        </w:rPr>
        <w:t xml:space="preserve"> logement des travailleurs </w:t>
      </w:r>
    </w:p>
    <w:p w:rsidR="00FB23D3" w:rsidRPr="00B3274C" w:rsidRDefault="00107A47" w:rsidP="00107A47">
      <w:pPr>
        <w:pStyle w:val="SingleTxtG"/>
        <w:rPr>
          <w:lang w:val="fr-CA"/>
        </w:rPr>
      </w:pPr>
      <w:r w:rsidRPr="00B3274C">
        <w:rPr>
          <w:lang w:val="fr-CA"/>
        </w:rPr>
        <w:t>169.</w:t>
      </w:r>
      <w:r w:rsidRPr="00B3274C">
        <w:rPr>
          <w:lang w:val="fr-CA"/>
        </w:rPr>
        <w:tab/>
      </w:r>
      <w:r w:rsidR="00F51EF8" w:rsidRPr="00B3274C">
        <w:rPr>
          <w:lang w:val="fr-CA"/>
        </w:rPr>
        <w:t>Ainsi qu</w:t>
      </w:r>
      <w:r w:rsidR="0080611A">
        <w:rPr>
          <w:lang w:val="fr-CA"/>
        </w:rPr>
        <w:t>’</w:t>
      </w:r>
      <w:r w:rsidR="00F51EF8" w:rsidRPr="00B3274C">
        <w:rPr>
          <w:lang w:val="fr-CA"/>
        </w:rPr>
        <w:t>il est mentionné dans le rapport initial de la Grèce</w:t>
      </w:r>
      <w:r w:rsidR="0080611A">
        <w:rPr>
          <w:lang w:val="fr-CA"/>
        </w:rPr>
        <w:t>,</w:t>
      </w:r>
      <w:r w:rsidR="00F51EF8" w:rsidRPr="00B3274C">
        <w:rPr>
          <w:lang w:val="fr-CA"/>
        </w:rPr>
        <w:t xml:space="preserve"> l</w:t>
      </w:r>
      <w:r w:rsidR="0080611A">
        <w:rPr>
          <w:lang w:val="fr-CA"/>
        </w:rPr>
        <w:t>’</w:t>
      </w:r>
      <w:r w:rsidR="00F51EF8" w:rsidRPr="00B3274C">
        <w:rPr>
          <w:lang w:val="fr-CA"/>
        </w:rPr>
        <w:t xml:space="preserve">Organisation pour le logement des travailleurs </w:t>
      </w:r>
      <w:r w:rsidR="00FB23D3" w:rsidRPr="00B3274C">
        <w:rPr>
          <w:szCs w:val="25"/>
          <w:lang w:val="fr-CA"/>
        </w:rPr>
        <w:t>(OEK)</w:t>
      </w:r>
      <w:r w:rsidR="0080611A">
        <w:rPr>
          <w:szCs w:val="25"/>
          <w:lang w:val="fr-CA"/>
        </w:rPr>
        <w:t>,</w:t>
      </w:r>
      <w:r w:rsidR="00FB23D3" w:rsidRPr="00B3274C">
        <w:rPr>
          <w:szCs w:val="25"/>
          <w:lang w:val="fr-CA"/>
        </w:rPr>
        <w:t xml:space="preserve"> </w:t>
      </w:r>
      <w:r w:rsidR="00F51EF8" w:rsidRPr="00B3274C">
        <w:rPr>
          <w:szCs w:val="25"/>
          <w:lang w:val="fr-CA"/>
        </w:rPr>
        <w:t>qui opère sous la tutelle du Ministère du travail et de la sécurité sociale</w:t>
      </w:r>
      <w:r w:rsidR="0080611A">
        <w:rPr>
          <w:szCs w:val="25"/>
          <w:lang w:val="fr-CA"/>
        </w:rPr>
        <w:t>,</w:t>
      </w:r>
      <w:r w:rsidR="00F51EF8" w:rsidRPr="00B3274C">
        <w:rPr>
          <w:szCs w:val="25"/>
          <w:lang w:val="fr-CA"/>
        </w:rPr>
        <w:t xml:space="preserve"> est le principal organisme qui mène une politique de logement social </w:t>
      </w:r>
      <w:r w:rsidR="00524E1D" w:rsidRPr="00B3274C">
        <w:rPr>
          <w:szCs w:val="25"/>
          <w:lang w:val="fr-CA"/>
        </w:rPr>
        <w:t>et fournit des logements aux employés et aux retraités du pays. Cette organisation est financée par les cotisations des travailleurs et de leurs employeurs et fournit une aide en matière de logement exclusivement à ses bénéficiaires sans discrimination fondée sur le sexe</w:t>
      </w:r>
      <w:r w:rsidR="0080611A">
        <w:rPr>
          <w:szCs w:val="25"/>
          <w:lang w:val="fr-CA"/>
        </w:rPr>
        <w:t>,</w:t>
      </w:r>
      <w:r w:rsidR="00524E1D" w:rsidRPr="00B3274C">
        <w:rPr>
          <w:szCs w:val="25"/>
          <w:lang w:val="fr-CA"/>
        </w:rPr>
        <w:t xml:space="preserve"> la race</w:t>
      </w:r>
      <w:r w:rsidR="0080611A">
        <w:rPr>
          <w:szCs w:val="25"/>
          <w:lang w:val="fr-CA"/>
        </w:rPr>
        <w:t>,</w:t>
      </w:r>
      <w:r w:rsidR="00524E1D" w:rsidRPr="00B3274C">
        <w:rPr>
          <w:szCs w:val="25"/>
          <w:lang w:val="fr-CA"/>
        </w:rPr>
        <w:t xml:space="preserve"> la religion</w:t>
      </w:r>
      <w:r w:rsidR="0080611A">
        <w:rPr>
          <w:szCs w:val="25"/>
          <w:lang w:val="fr-CA"/>
        </w:rPr>
        <w:t>,</w:t>
      </w:r>
      <w:r w:rsidR="00524E1D" w:rsidRPr="00B3274C">
        <w:rPr>
          <w:szCs w:val="25"/>
          <w:lang w:val="fr-CA"/>
        </w:rPr>
        <w:t xml:space="preserve"> l</w:t>
      </w:r>
      <w:r w:rsidR="0080611A">
        <w:rPr>
          <w:szCs w:val="25"/>
          <w:lang w:val="fr-CA"/>
        </w:rPr>
        <w:t>’</w:t>
      </w:r>
      <w:r w:rsidR="00524E1D" w:rsidRPr="00B3274C">
        <w:rPr>
          <w:szCs w:val="25"/>
          <w:lang w:val="fr-CA"/>
        </w:rPr>
        <w:t>origine ethnique</w:t>
      </w:r>
      <w:r w:rsidR="0080611A">
        <w:rPr>
          <w:szCs w:val="25"/>
          <w:lang w:val="fr-CA"/>
        </w:rPr>
        <w:t>,</w:t>
      </w:r>
      <w:r w:rsidR="00524E1D" w:rsidRPr="00B3274C">
        <w:rPr>
          <w:szCs w:val="25"/>
          <w:lang w:val="fr-CA"/>
        </w:rPr>
        <w:t xml:space="preserve"> la race</w:t>
      </w:r>
      <w:r w:rsidR="0080611A">
        <w:rPr>
          <w:szCs w:val="25"/>
          <w:lang w:val="fr-CA"/>
        </w:rPr>
        <w:t>,</w:t>
      </w:r>
      <w:r w:rsidR="00524E1D" w:rsidRPr="00B3274C">
        <w:rPr>
          <w:szCs w:val="25"/>
          <w:lang w:val="fr-CA"/>
        </w:rPr>
        <w:t xml:space="preserve"> l</w:t>
      </w:r>
      <w:r w:rsidR="0080611A">
        <w:rPr>
          <w:szCs w:val="25"/>
          <w:lang w:val="fr-CA"/>
        </w:rPr>
        <w:t>’</w:t>
      </w:r>
      <w:r w:rsidR="00524E1D" w:rsidRPr="00B3274C">
        <w:rPr>
          <w:szCs w:val="25"/>
          <w:lang w:val="fr-CA"/>
        </w:rPr>
        <w:t>orientation sexuelle ou toute autre caractéristique. D</w:t>
      </w:r>
      <w:r w:rsidR="0080611A">
        <w:rPr>
          <w:szCs w:val="25"/>
          <w:lang w:val="fr-CA"/>
        </w:rPr>
        <w:t>’</w:t>
      </w:r>
      <w:r w:rsidR="00524E1D" w:rsidRPr="00B3274C">
        <w:rPr>
          <w:szCs w:val="25"/>
          <w:lang w:val="fr-CA"/>
        </w:rPr>
        <w:t>une manière générale</w:t>
      </w:r>
      <w:r w:rsidR="0080611A">
        <w:rPr>
          <w:szCs w:val="25"/>
          <w:lang w:val="fr-CA"/>
        </w:rPr>
        <w:t>,</w:t>
      </w:r>
      <w:r w:rsidR="00524E1D" w:rsidRPr="00B3274C">
        <w:rPr>
          <w:szCs w:val="25"/>
          <w:lang w:val="fr-CA"/>
        </w:rPr>
        <w:t xml:space="preserve"> des mesures ont été prises depuis 2004</w:t>
      </w:r>
      <w:r w:rsidR="0080611A">
        <w:rPr>
          <w:szCs w:val="25"/>
          <w:lang w:val="fr-CA"/>
        </w:rPr>
        <w:t>,</w:t>
      </w:r>
      <w:r w:rsidR="00524E1D" w:rsidRPr="00B3274C">
        <w:rPr>
          <w:szCs w:val="25"/>
          <w:lang w:val="fr-CA"/>
        </w:rPr>
        <w:t xml:space="preserve"> qui améliorent encore les prestations de l</w:t>
      </w:r>
      <w:r w:rsidR="0080611A">
        <w:rPr>
          <w:szCs w:val="25"/>
          <w:lang w:val="fr-CA"/>
        </w:rPr>
        <w:t>’</w:t>
      </w:r>
      <w:r w:rsidR="00524E1D" w:rsidRPr="00B3274C">
        <w:rPr>
          <w:szCs w:val="25"/>
          <w:lang w:val="fr-CA"/>
        </w:rPr>
        <w:t xml:space="preserve">Organisation pour le logement des travailleurs. </w:t>
      </w:r>
      <w:r w:rsidR="00DF5D05" w:rsidRPr="00B3274C">
        <w:rPr>
          <w:szCs w:val="25"/>
          <w:lang w:val="fr-CA"/>
        </w:rPr>
        <w:t>En outre</w:t>
      </w:r>
      <w:r w:rsidR="0080611A">
        <w:rPr>
          <w:szCs w:val="25"/>
          <w:lang w:val="fr-CA"/>
        </w:rPr>
        <w:t>,</w:t>
      </w:r>
      <w:r w:rsidR="00DF5D05" w:rsidRPr="00B3274C">
        <w:rPr>
          <w:szCs w:val="25"/>
          <w:lang w:val="fr-CA"/>
        </w:rPr>
        <w:t xml:space="preserve"> </w:t>
      </w:r>
      <w:r w:rsidR="00445354" w:rsidRPr="00B3274C">
        <w:rPr>
          <w:szCs w:val="25"/>
          <w:lang w:val="fr-CA"/>
        </w:rPr>
        <w:t>le</w:t>
      </w:r>
      <w:r w:rsidR="00DF5D05" w:rsidRPr="00B3274C">
        <w:rPr>
          <w:szCs w:val="25"/>
          <w:lang w:val="fr-CA"/>
        </w:rPr>
        <w:t xml:space="preserve"> nombre de logements affectés directement chaque année aux bénéficiaires ayant des besoins économiques et sociaux aigus ainsi qu</w:t>
      </w:r>
      <w:r w:rsidR="0080611A">
        <w:rPr>
          <w:szCs w:val="25"/>
          <w:lang w:val="fr-CA"/>
        </w:rPr>
        <w:t>’</w:t>
      </w:r>
      <w:r w:rsidR="00DF5D05" w:rsidRPr="00B3274C">
        <w:rPr>
          <w:szCs w:val="25"/>
          <w:lang w:val="fr-CA"/>
        </w:rPr>
        <w:t>aux mères célibataires</w:t>
      </w:r>
      <w:r w:rsidR="00445354" w:rsidRPr="00B3274C">
        <w:rPr>
          <w:szCs w:val="25"/>
          <w:lang w:val="fr-CA"/>
        </w:rPr>
        <w:t xml:space="preserve"> a augmenté</w:t>
      </w:r>
      <w:r w:rsidR="00DF5D05" w:rsidRPr="00B3274C">
        <w:rPr>
          <w:szCs w:val="25"/>
          <w:lang w:val="fr-CA"/>
        </w:rPr>
        <w:t xml:space="preserve">. </w:t>
      </w:r>
      <w:r w:rsidR="00DD70C2" w:rsidRPr="00B3274C">
        <w:rPr>
          <w:szCs w:val="25"/>
          <w:lang w:val="fr-CA"/>
        </w:rPr>
        <w:t>L</w:t>
      </w:r>
      <w:r w:rsidR="00DF5D05" w:rsidRPr="00B3274C">
        <w:rPr>
          <w:szCs w:val="25"/>
          <w:lang w:val="fr-CA"/>
        </w:rPr>
        <w:t>es programmes ont évolué comme suit au cours des années 2004</w:t>
      </w:r>
      <w:r w:rsidR="00537863">
        <w:rPr>
          <w:szCs w:val="25"/>
          <w:lang w:val="fr-CA"/>
        </w:rPr>
        <w:t xml:space="preserve"> à </w:t>
      </w:r>
      <w:r w:rsidR="00DF5D05" w:rsidRPr="00B3274C">
        <w:rPr>
          <w:szCs w:val="25"/>
          <w:lang w:val="fr-CA"/>
        </w:rPr>
        <w:t>2008</w:t>
      </w:r>
      <w:r w:rsidR="00EC5892" w:rsidRPr="00B3274C">
        <w:rPr>
          <w:szCs w:val="25"/>
          <w:lang w:val="fr-CA"/>
        </w:rPr>
        <w:t>:</w:t>
      </w:r>
      <w:r w:rsidR="00DF5D05" w:rsidRPr="00B3274C">
        <w:rPr>
          <w:szCs w:val="25"/>
          <w:lang w:val="fr-CA"/>
        </w:rPr>
        <w:t xml:space="preserve"> </w:t>
      </w:r>
    </w:p>
    <w:p w:rsidR="00E027D8" w:rsidRPr="00B74F00" w:rsidRDefault="00B74F00" w:rsidP="00B74F00">
      <w:pPr>
        <w:pStyle w:val="H23G"/>
        <w:rPr>
          <w:b w:val="0"/>
        </w:rPr>
      </w:pPr>
      <w:r>
        <w:tab/>
      </w:r>
      <w:r>
        <w:tab/>
      </w:r>
      <w:r w:rsidR="00E027D8" w:rsidRPr="00B74F00">
        <w:rPr>
          <w:b w:val="0"/>
        </w:rPr>
        <w:t>Table</w:t>
      </w:r>
      <w:r w:rsidR="00DF5D05" w:rsidRPr="00B74F00">
        <w:rPr>
          <w:b w:val="0"/>
        </w:rPr>
        <w:t>au</w:t>
      </w:r>
      <w:r w:rsidR="00E027D8" w:rsidRPr="00B74F00">
        <w:rPr>
          <w:b w:val="0"/>
        </w:rPr>
        <w:t xml:space="preserve"> 8</w:t>
      </w:r>
    </w:p>
    <w:tbl>
      <w:tblPr>
        <w:tblW w:w="9639" w:type="dxa"/>
        <w:tblBorders>
          <w:top w:val="single" w:sz="4" w:space="0" w:color="auto"/>
        </w:tblBorders>
        <w:tblCellMar>
          <w:left w:w="0" w:type="dxa"/>
          <w:right w:w="0" w:type="dxa"/>
        </w:tblCellMar>
        <w:tblLook w:val="01E0"/>
      </w:tblPr>
      <w:tblGrid>
        <w:gridCol w:w="2054"/>
        <w:gridCol w:w="1715"/>
        <w:gridCol w:w="1099"/>
        <w:gridCol w:w="1099"/>
        <w:gridCol w:w="1260"/>
        <w:gridCol w:w="1206"/>
        <w:gridCol w:w="1206"/>
      </w:tblGrid>
      <w:tr w:rsidR="00FB23D3" w:rsidRPr="00B3274C" w:rsidTr="003E2D3A">
        <w:trPr>
          <w:trHeight w:val="240"/>
          <w:tblHeader/>
        </w:trPr>
        <w:tc>
          <w:tcPr>
            <w:tcW w:w="3164" w:type="dxa"/>
            <w:gridSpan w:val="2"/>
            <w:tcBorders>
              <w:top w:val="single" w:sz="4" w:space="0" w:color="auto"/>
              <w:bottom w:val="single" w:sz="12" w:space="0" w:color="auto"/>
            </w:tcBorders>
            <w:shd w:val="clear" w:color="auto" w:fill="auto"/>
            <w:vAlign w:val="bottom"/>
          </w:tcPr>
          <w:p w:rsidR="00FB23D3" w:rsidRPr="00B3274C" w:rsidRDefault="008751F4" w:rsidP="00055317">
            <w:pPr>
              <w:pStyle w:val="SingleTxtG"/>
              <w:suppressAutoHyphens w:val="0"/>
              <w:spacing w:before="80" w:after="80" w:line="200" w:lineRule="exact"/>
              <w:ind w:left="0" w:right="0"/>
              <w:jc w:val="left"/>
              <w:rPr>
                <w:i/>
                <w:sz w:val="16"/>
                <w:lang w:val="fr-CA"/>
              </w:rPr>
            </w:pPr>
            <w:r w:rsidRPr="00B3274C">
              <w:rPr>
                <w:i/>
                <w:sz w:val="16"/>
                <w:lang w:val="fr-CA"/>
              </w:rPr>
              <w:t>Programme</w:t>
            </w:r>
          </w:p>
        </w:tc>
        <w:tc>
          <w:tcPr>
            <w:tcW w:w="851" w:type="dxa"/>
            <w:tcBorders>
              <w:top w:val="single" w:sz="4" w:space="0" w:color="auto"/>
              <w:bottom w:val="single" w:sz="12" w:space="0" w:color="auto"/>
            </w:tcBorders>
            <w:shd w:val="clear" w:color="auto" w:fill="auto"/>
            <w:vAlign w:val="bottom"/>
          </w:tcPr>
          <w:p w:rsidR="00FB23D3" w:rsidRPr="00B3274C" w:rsidRDefault="00FB23D3" w:rsidP="00055317">
            <w:pPr>
              <w:pStyle w:val="SingleTxtG"/>
              <w:suppressAutoHyphens w:val="0"/>
              <w:spacing w:before="80" w:after="80" w:line="200" w:lineRule="exact"/>
              <w:ind w:left="113" w:right="0"/>
              <w:jc w:val="right"/>
              <w:rPr>
                <w:bCs/>
                <w:i/>
                <w:sz w:val="16"/>
                <w:lang w:val="fr-CA"/>
              </w:rPr>
            </w:pPr>
            <w:r w:rsidRPr="00B3274C">
              <w:rPr>
                <w:bCs/>
                <w:i/>
                <w:sz w:val="16"/>
                <w:szCs w:val="22"/>
                <w:lang w:val="fr-CA"/>
              </w:rPr>
              <w:t>2004</w:t>
            </w:r>
          </w:p>
        </w:tc>
        <w:tc>
          <w:tcPr>
            <w:tcW w:w="851" w:type="dxa"/>
            <w:tcBorders>
              <w:top w:val="single" w:sz="4" w:space="0" w:color="auto"/>
              <w:bottom w:val="single" w:sz="12" w:space="0" w:color="auto"/>
            </w:tcBorders>
            <w:shd w:val="clear" w:color="auto" w:fill="auto"/>
            <w:vAlign w:val="bottom"/>
          </w:tcPr>
          <w:p w:rsidR="00FB23D3" w:rsidRPr="00B3274C" w:rsidRDefault="00FB23D3" w:rsidP="00055317">
            <w:pPr>
              <w:pStyle w:val="SingleTxtG"/>
              <w:suppressAutoHyphens w:val="0"/>
              <w:spacing w:before="80" w:after="80" w:line="200" w:lineRule="exact"/>
              <w:ind w:left="113" w:right="0"/>
              <w:jc w:val="right"/>
              <w:rPr>
                <w:bCs/>
                <w:i/>
                <w:sz w:val="16"/>
                <w:lang w:val="fr-CA"/>
              </w:rPr>
            </w:pPr>
            <w:r w:rsidRPr="00B3274C">
              <w:rPr>
                <w:bCs/>
                <w:i/>
                <w:sz w:val="16"/>
                <w:szCs w:val="22"/>
                <w:lang w:val="fr-CA"/>
              </w:rPr>
              <w:t>2005</w:t>
            </w:r>
          </w:p>
        </w:tc>
        <w:tc>
          <w:tcPr>
            <w:tcW w:w="851" w:type="dxa"/>
            <w:tcBorders>
              <w:top w:val="single" w:sz="4" w:space="0" w:color="auto"/>
              <w:bottom w:val="single" w:sz="12" w:space="0" w:color="auto"/>
            </w:tcBorders>
            <w:shd w:val="clear" w:color="auto" w:fill="auto"/>
            <w:vAlign w:val="bottom"/>
          </w:tcPr>
          <w:p w:rsidR="00FB23D3" w:rsidRPr="00B3274C" w:rsidRDefault="00FB23D3" w:rsidP="00055317">
            <w:pPr>
              <w:pStyle w:val="SingleTxtG"/>
              <w:suppressAutoHyphens w:val="0"/>
              <w:spacing w:before="80" w:after="80" w:line="200" w:lineRule="exact"/>
              <w:ind w:left="113" w:right="0"/>
              <w:jc w:val="right"/>
              <w:rPr>
                <w:bCs/>
                <w:i/>
                <w:sz w:val="16"/>
                <w:lang w:val="fr-CA"/>
              </w:rPr>
            </w:pPr>
            <w:r w:rsidRPr="00B3274C">
              <w:rPr>
                <w:bCs/>
                <w:i/>
                <w:sz w:val="16"/>
                <w:szCs w:val="22"/>
                <w:lang w:val="fr-CA"/>
              </w:rPr>
              <w:t>2006</w:t>
            </w:r>
          </w:p>
        </w:tc>
        <w:tc>
          <w:tcPr>
            <w:tcW w:w="851" w:type="dxa"/>
            <w:tcBorders>
              <w:top w:val="single" w:sz="4" w:space="0" w:color="auto"/>
              <w:bottom w:val="single" w:sz="12" w:space="0" w:color="auto"/>
            </w:tcBorders>
            <w:shd w:val="clear" w:color="auto" w:fill="auto"/>
            <w:vAlign w:val="bottom"/>
          </w:tcPr>
          <w:p w:rsidR="00FB23D3" w:rsidRPr="00B3274C" w:rsidRDefault="00FB23D3" w:rsidP="00055317">
            <w:pPr>
              <w:pStyle w:val="SingleTxtG"/>
              <w:suppressAutoHyphens w:val="0"/>
              <w:spacing w:before="80" w:after="80" w:line="200" w:lineRule="exact"/>
              <w:ind w:left="113" w:right="0"/>
              <w:jc w:val="right"/>
              <w:rPr>
                <w:bCs/>
                <w:i/>
                <w:sz w:val="16"/>
                <w:lang w:val="fr-CA"/>
              </w:rPr>
            </w:pPr>
            <w:r w:rsidRPr="00B3274C">
              <w:rPr>
                <w:bCs/>
                <w:i/>
                <w:sz w:val="16"/>
                <w:szCs w:val="22"/>
                <w:lang w:val="fr-CA"/>
              </w:rPr>
              <w:t>2007</w:t>
            </w:r>
          </w:p>
        </w:tc>
        <w:tc>
          <w:tcPr>
            <w:tcW w:w="851" w:type="dxa"/>
            <w:tcBorders>
              <w:top w:val="single" w:sz="4" w:space="0" w:color="auto"/>
              <w:bottom w:val="single" w:sz="12" w:space="0" w:color="auto"/>
            </w:tcBorders>
            <w:shd w:val="clear" w:color="auto" w:fill="auto"/>
            <w:vAlign w:val="bottom"/>
          </w:tcPr>
          <w:p w:rsidR="00FB23D3" w:rsidRPr="00B3274C" w:rsidRDefault="00FB23D3" w:rsidP="00055317">
            <w:pPr>
              <w:pStyle w:val="SingleTxtG"/>
              <w:suppressAutoHyphens w:val="0"/>
              <w:spacing w:before="80" w:after="80" w:line="200" w:lineRule="exact"/>
              <w:ind w:left="113" w:right="0"/>
              <w:jc w:val="right"/>
              <w:rPr>
                <w:bCs/>
                <w:i/>
                <w:sz w:val="16"/>
                <w:lang w:val="fr-CA"/>
              </w:rPr>
            </w:pPr>
            <w:r w:rsidRPr="00B3274C">
              <w:rPr>
                <w:bCs/>
                <w:i/>
                <w:sz w:val="16"/>
                <w:szCs w:val="22"/>
                <w:lang w:val="fr-CA"/>
              </w:rPr>
              <w:t>2008</w:t>
            </w:r>
          </w:p>
        </w:tc>
      </w:tr>
      <w:tr w:rsidR="00FB23D3" w:rsidRPr="00B3274C" w:rsidTr="003E2D3A">
        <w:trPr>
          <w:trHeight w:val="240"/>
        </w:trPr>
        <w:tc>
          <w:tcPr>
            <w:tcW w:w="1724" w:type="dxa"/>
            <w:vMerge w:val="restart"/>
            <w:tcBorders>
              <w:top w:val="single" w:sz="12" w:space="0" w:color="auto"/>
            </w:tcBorders>
            <w:shd w:val="clear" w:color="auto" w:fill="auto"/>
          </w:tcPr>
          <w:p w:rsidR="00FB23D3" w:rsidRPr="00B3274C" w:rsidRDefault="00FB23D3" w:rsidP="003F3EFC">
            <w:pPr>
              <w:pStyle w:val="SingleTxtG"/>
              <w:suppressAutoHyphens w:val="0"/>
              <w:spacing w:before="40" w:after="40" w:line="220" w:lineRule="exact"/>
              <w:ind w:left="0" w:right="0"/>
              <w:jc w:val="left"/>
              <w:rPr>
                <w:bCs/>
                <w:sz w:val="18"/>
                <w:lang w:val="fr-CA"/>
              </w:rPr>
            </w:pPr>
            <w:r w:rsidRPr="00B3274C">
              <w:rPr>
                <w:bCs/>
                <w:sz w:val="18"/>
                <w:lang w:val="fr-CA"/>
              </w:rPr>
              <w:t xml:space="preserve">1. </w:t>
            </w:r>
            <w:r w:rsidR="003F3EFC" w:rsidRPr="00B3274C">
              <w:rPr>
                <w:bCs/>
                <w:sz w:val="18"/>
                <w:lang w:val="fr-CA"/>
              </w:rPr>
              <w:t>Logements</w:t>
            </w:r>
          </w:p>
        </w:tc>
        <w:tc>
          <w:tcPr>
            <w:tcW w:w="1440" w:type="dxa"/>
            <w:tcBorders>
              <w:top w:val="single" w:sz="12" w:space="0" w:color="auto"/>
            </w:tcBorders>
            <w:shd w:val="clear" w:color="auto" w:fill="auto"/>
          </w:tcPr>
          <w:p w:rsidR="00FB23D3" w:rsidRPr="00B3274C" w:rsidRDefault="003F3EFC" w:rsidP="00055317">
            <w:pPr>
              <w:pStyle w:val="SingleTxtG"/>
              <w:suppressAutoHyphens w:val="0"/>
              <w:spacing w:before="40" w:after="40" w:line="220" w:lineRule="exact"/>
              <w:ind w:left="0" w:right="0"/>
              <w:jc w:val="left"/>
              <w:rPr>
                <w:sz w:val="18"/>
                <w:szCs w:val="18"/>
                <w:lang w:val="fr-CA"/>
              </w:rPr>
            </w:pPr>
            <w:r w:rsidRPr="00B3274C">
              <w:rPr>
                <w:sz w:val="18"/>
                <w:szCs w:val="18"/>
                <w:lang w:val="fr-CA"/>
              </w:rPr>
              <w:t>Mesures prises</w:t>
            </w:r>
            <w:r w:rsidR="00FB23D3" w:rsidRPr="00B3274C">
              <w:rPr>
                <w:sz w:val="18"/>
                <w:szCs w:val="18"/>
                <w:lang w:val="fr-CA"/>
              </w:rPr>
              <w:t xml:space="preserve"> </w:t>
            </w:r>
          </w:p>
        </w:tc>
        <w:tc>
          <w:tcPr>
            <w:tcW w:w="851" w:type="dxa"/>
            <w:tcBorders>
              <w:top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378</w:t>
            </w:r>
          </w:p>
        </w:tc>
        <w:tc>
          <w:tcPr>
            <w:tcW w:w="851" w:type="dxa"/>
            <w:tcBorders>
              <w:top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806</w:t>
            </w:r>
          </w:p>
        </w:tc>
        <w:tc>
          <w:tcPr>
            <w:tcW w:w="851" w:type="dxa"/>
            <w:tcBorders>
              <w:top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572</w:t>
            </w:r>
          </w:p>
        </w:tc>
        <w:tc>
          <w:tcPr>
            <w:tcW w:w="851" w:type="dxa"/>
            <w:tcBorders>
              <w:top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316</w:t>
            </w:r>
          </w:p>
        </w:tc>
        <w:tc>
          <w:tcPr>
            <w:tcW w:w="851" w:type="dxa"/>
            <w:tcBorders>
              <w:top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419</w:t>
            </w:r>
          </w:p>
        </w:tc>
      </w:tr>
      <w:tr w:rsidR="00FB23D3" w:rsidRPr="00B3274C" w:rsidTr="003E2D3A">
        <w:trPr>
          <w:trHeight w:val="240"/>
        </w:trPr>
        <w:tc>
          <w:tcPr>
            <w:tcW w:w="1724" w:type="dxa"/>
            <w:vMerge/>
            <w:shd w:val="clear" w:color="auto" w:fill="auto"/>
          </w:tcPr>
          <w:p w:rsidR="00FB23D3" w:rsidRPr="00B3274C" w:rsidRDefault="00FB23D3" w:rsidP="00055317">
            <w:pPr>
              <w:pStyle w:val="SingleTxtG"/>
              <w:suppressAutoHyphens w:val="0"/>
              <w:spacing w:before="40" w:after="40" w:line="220" w:lineRule="exact"/>
              <w:ind w:left="0" w:right="0"/>
              <w:jc w:val="left"/>
              <w:rPr>
                <w:bCs/>
                <w:sz w:val="18"/>
                <w:lang w:val="fr-CA"/>
              </w:rPr>
            </w:pPr>
          </w:p>
        </w:tc>
        <w:tc>
          <w:tcPr>
            <w:tcW w:w="1440" w:type="dxa"/>
            <w:shd w:val="clear" w:color="auto" w:fill="auto"/>
          </w:tcPr>
          <w:p w:rsidR="00FB23D3" w:rsidRPr="00B3274C" w:rsidRDefault="003F3EFC" w:rsidP="002A4FB6">
            <w:pPr>
              <w:pStyle w:val="SingleTxtG"/>
              <w:suppressAutoHyphens w:val="0"/>
              <w:spacing w:before="40" w:after="40" w:line="220" w:lineRule="exact"/>
              <w:ind w:left="0" w:right="0"/>
              <w:jc w:val="left"/>
              <w:rPr>
                <w:sz w:val="18"/>
                <w:szCs w:val="18"/>
                <w:lang w:val="fr-CA"/>
              </w:rPr>
            </w:pPr>
            <w:r w:rsidRPr="00B3274C">
              <w:rPr>
                <w:sz w:val="18"/>
                <w:szCs w:val="18"/>
                <w:lang w:val="fr-CA"/>
              </w:rPr>
              <w:t xml:space="preserve">Attribués par </w:t>
            </w:r>
            <w:r w:rsidR="00E96788" w:rsidRPr="00B3274C">
              <w:rPr>
                <w:sz w:val="18"/>
                <w:szCs w:val="18"/>
                <w:lang w:val="fr-CA"/>
              </w:rPr>
              <w:t>tirage au sort</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2</w:t>
            </w:r>
            <w:r w:rsidR="00537863">
              <w:rPr>
                <w:bCs/>
                <w:sz w:val="18"/>
                <w:lang w:val="fr-CA"/>
              </w:rPr>
              <w:t> </w:t>
            </w:r>
            <w:r w:rsidRPr="00B3274C">
              <w:rPr>
                <w:bCs/>
                <w:sz w:val="18"/>
                <w:lang w:val="fr-CA"/>
              </w:rPr>
              <w:t>104</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987</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273</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326</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484</w:t>
            </w:r>
          </w:p>
        </w:tc>
      </w:tr>
      <w:tr w:rsidR="00FB23D3" w:rsidRPr="00B3274C" w:rsidTr="003E2D3A">
        <w:trPr>
          <w:trHeight w:val="240"/>
        </w:trPr>
        <w:tc>
          <w:tcPr>
            <w:tcW w:w="1724" w:type="dxa"/>
            <w:vMerge/>
            <w:shd w:val="clear" w:color="auto" w:fill="auto"/>
          </w:tcPr>
          <w:p w:rsidR="00FB23D3" w:rsidRPr="00B3274C" w:rsidRDefault="00FB23D3" w:rsidP="00055317">
            <w:pPr>
              <w:pStyle w:val="SingleTxtG"/>
              <w:suppressAutoHyphens w:val="0"/>
              <w:spacing w:before="40" w:after="40" w:line="220" w:lineRule="exact"/>
              <w:ind w:left="0" w:right="0"/>
              <w:jc w:val="left"/>
              <w:rPr>
                <w:bCs/>
                <w:sz w:val="18"/>
                <w:lang w:val="fr-CA"/>
              </w:rPr>
            </w:pPr>
          </w:p>
        </w:tc>
        <w:tc>
          <w:tcPr>
            <w:tcW w:w="1440" w:type="dxa"/>
            <w:shd w:val="clear" w:color="auto" w:fill="auto"/>
          </w:tcPr>
          <w:p w:rsidR="00FB23D3" w:rsidRPr="00B3274C" w:rsidRDefault="003F3EFC" w:rsidP="00055317">
            <w:pPr>
              <w:pStyle w:val="SingleTxtG"/>
              <w:suppressAutoHyphens w:val="0"/>
              <w:spacing w:before="40" w:after="40" w:line="220" w:lineRule="exact"/>
              <w:ind w:left="0" w:right="0"/>
              <w:jc w:val="left"/>
              <w:rPr>
                <w:sz w:val="18"/>
                <w:szCs w:val="18"/>
                <w:lang w:val="fr-CA"/>
              </w:rPr>
            </w:pPr>
            <w:r w:rsidRPr="00B3274C">
              <w:rPr>
                <w:sz w:val="18"/>
                <w:szCs w:val="18"/>
                <w:lang w:val="fr-CA"/>
              </w:rPr>
              <w:t>Achevés-attribués</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787</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570</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664</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454</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404</w:t>
            </w:r>
          </w:p>
        </w:tc>
      </w:tr>
      <w:tr w:rsidR="00FB23D3" w:rsidRPr="00B3274C" w:rsidTr="003E2D3A">
        <w:trPr>
          <w:trHeight w:val="240"/>
        </w:trPr>
        <w:tc>
          <w:tcPr>
            <w:tcW w:w="1724" w:type="dxa"/>
            <w:vMerge/>
            <w:shd w:val="clear" w:color="auto" w:fill="auto"/>
          </w:tcPr>
          <w:p w:rsidR="00FB23D3" w:rsidRPr="00B3274C" w:rsidRDefault="00FB23D3" w:rsidP="00055317">
            <w:pPr>
              <w:pStyle w:val="SingleTxtG"/>
              <w:suppressAutoHyphens w:val="0"/>
              <w:spacing w:before="40" w:after="40" w:line="220" w:lineRule="exact"/>
              <w:ind w:left="0" w:right="0"/>
              <w:jc w:val="left"/>
              <w:rPr>
                <w:bCs/>
                <w:sz w:val="18"/>
                <w:lang w:val="fr-CA"/>
              </w:rPr>
            </w:pPr>
          </w:p>
        </w:tc>
        <w:tc>
          <w:tcPr>
            <w:tcW w:w="1440" w:type="dxa"/>
            <w:shd w:val="clear" w:color="auto" w:fill="auto"/>
          </w:tcPr>
          <w:p w:rsidR="00FB23D3" w:rsidRPr="00B3274C" w:rsidRDefault="003F3EFC" w:rsidP="00055317">
            <w:pPr>
              <w:pStyle w:val="SingleTxtG"/>
              <w:suppressAutoHyphens w:val="0"/>
              <w:spacing w:before="40" w:after="40" w:line="220" w:lineRule="exact"/>
              <w:ind w:left="0" w:right="0"/>
              <w:jc w:val="left"/>
              <w:rPr>
                <w:sz w:val="18"/>
                <w:szCs w:val="18"/>
                <w:lang w:val="fr-CA"/>
              </w:rPr>
            </w:pPr>
            <w:r w:rsidRPr="00B3274C">
              <w:rPr>
                <w:sz w:val="18"/>
                <w:szCs w:val="18"/>
                <w:lang w:val="fr-CA"/>
              </w:rPr>
              <w:t>Dépenses</w:t>
            </w:r>
            <w:r w:rsidR="00FB23D3" w:rsidRPr="00B3274C">
              <w:rPr>
                <w:sz w:val="18"/>
                <w:szCs w:val="18"/>
                <w:lang w:val="fr-CA"/>
              </w:rPr>
              <w:t xml:space="preserve"> </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59</w:t>
            </w:r>
            <w:r w:rsidR="00537863">
              <w:rPr>
                <w:bCs/>
                <w:sz w:val="18"/>
                <w:lang w:val="fr-CA"/>
              </w:rPr>
              <w:t> </w:t>
            </w:r>
            <w:r w:rsidRPr="00B3274C">
              <w:rPr>
                <w:bCs/>
                <w:sz w:val="18"/>
                <w:lang w:val="fr-CA"/>
              </w:rPr>
              <w:t>285</w:t>
            </w:r>
            <w:r w:rsidR="00537863">
              <w:rPr>
                <w:bCs/>
                <w:sz w:val="18"/>
                <w:lang w:val="fr-CA"/>
              </w:rPr>
              <w:t> </w:t>
            </w:r>
            <w:r w:rsidRPr="00B3274C">
              <w:rPr>
                <w:bCs/>
                <w:sz w:val="18"/>
                <w:lang w:val="fr-CA"/>
              </w:rPr>
              <w:t>643</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71</w:t>
            </w:r>
            <w:r w:rsidR="00537863">
              <w:rPr>
                <w:bCs/>
                <w:sz w:val="18"/>
                <w:lang w:val="fr-CA"/>
              </w:rPr>
              <w:t> </w:t>
            </w:r>
            <w:r w:rsidRPr="00B3274C">
              <w:rPr>
                <w:bCs/>
                <w:sz w:val="18"/>
                <w:lang w:val="fr-CA"/>
              </w:rPr>
              <w:t>994</w:t>
            </w:r>
            <w:r w:rsidR="00537863">
              <w:rPr>
                <w:bCs/>
                <w:sz w:val="18"/>
                <w:lang w:val="fr-CA"/>
              </w:rPr>
              <w:t> </w:t>
            </w:r>
            <w:r w:rsidRPr="00B3274C">
              <w:rPr>
                <w:bCs/>
                <w:sz w:val="18"/>
                <w:lang w:val="fr-CA"/>
              </w:rPr>
              <w:t>042</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53</w:t>
            </w:r>
            <w:r w:rsidR="00537863">
              <w:rPr>
                <w:bCs/>
                <w:sz w:val="18"/>
                <w:lang w:val="fr-CA"/>
              </w:rPr>
              <w:t> </w:t>
            </w:r>
            <w:r w:rsidRPr="00B3274C">
              <w:rPr>
                <w:bCs/>
                <w:sz w:val="18"/>
                <w:lang w:val="fr-CA"/>
              </w:rPr>
              <w:t>249</w:t>
            </w:r>
            <w:r w:rsidR="00537863">
              <w:rPr>
                <w:bCs/>
                <w:sz w:val="18"/>
                <w:lang w:val="fr-CA"/>
              </w:rPr>
              <w:t> </w:t>
            </w:r>
            <w:r w:rsidRPr="00B3274C">
              <w:rPr>
                <w:bCs/>
                <w:sz w:val="18"/>
                <w:lang w:val="fr-CA"/>
              </w:rPr>
              <w:t>418</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53</w:t>
            </w:r>
            <w:r w:rsidR="00537863">
              <w:rPr>
                <w:bCs/>
                <w:sz w:val="18"/>
                <w:lang w:val="fr-CA"/>
              </w:rPr>
              <w:t> </w:t>
            </w:r>
            <w:r w:rsidRPr="00B3274C">
              <w:rPr>
                <w:bCs/>
                <w:sz w:val="18"/>
                <w:lang w:val="fr-CA"/>
              </w:rPr>
              <w:t>995</w:t>
            </w:r>
            <w:r w:rsidR="00537863">
              <w:rPr>
                <w:bCs/>
                <w:sz w:val="18"/>
                <w:lang w:val="fr-CA"/>
              </w:rPr>
              <w:t> </w:t>
            </w:r>
            <w:r w:rsidRPr="00B3274C">
              <w:rPr>
                <w:bCs/>
                <w:sz w:val="18"/>
                <w:lang w:val="fr-CA"/>
              </w:rPr>
              <w:t>562</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42</w:t>
            </w:r>
            <w:r w:rsidR="00537863">
              <w:rPr>
                <w:bCs/>
                <w:sz w:val="18"/>
                <w:lang w:val="fr-CA"/>
              </w:rPr>
              <w:t> </w:t>
            </w:r>
            <w:r w:rsidRPr="00B3274C">
              <w:rPr>
                <w:bCs/>
                <w:sz w:val="18"/>
                <w:lang w:val="fr-CA"/>
              </w:rPr>
              <w:t>027</w:t>
            </w:r>
            <w:r w:rsidR="00537863">
              <w:rPr>
                <w:bCs/>
                <w:sz w:val="18"/>
                <w:lang w:val="fr-CA"/>
              </w:rPr>
              <w:t> </w:t>
            </w:r>
            <w:r w:rsidRPr="00B3274C">
              <w:rPr>
                <w:bCs/>
                <w:sz w:val="18"/>
                <w:lang w:val="fr-CA"/>
              </w:rPr>
              <w:t>625</w:t>
            </w:r>
          </w:p>
        </w:tc>
      </w:tr>
      <w:tr w:rsidR="00FB23D3" w:rsidRPr="00B3274C" w:rsidTr="003E2D3A">
        <w:trPr>
          <w:trHeight w:val="240"/>
        </w:trPr>
        <w:tc>
          <w:tcPr>
            <w:tcW w:w="1724" w:type="dxa"/>
            <w:vMerge w:val="restart"/>
            <w:shd w:val="clear" w:color="auto" w:fill="auto"/>
          </w:tcPr>
          <w:p w:rsidR="00FB23D3" w:rsidRPr="00B3274C" w:rsidRDefault="008751F4" w:rsidP="003F3EFC">
            <w:pPr>
              <w:pStyle w:val="SingleTxtG"/>
              <w:suppressAutoHyphens w:val="0"/>
              <w:spacing w:before="40" w:after="40" w:line="220" w:lineRule="exact"/>
              <w:ind w:left="0" w:right="0"/>
              <w:jc w:val="left"/>
              <w:rPr>
                <w:bCs/>
                <w:sz w:val="18"/>
                <w:lang w:val="fr-CA"/>
              </w:rPr>
            </w:pPr>
            <w:r w:rsidRPr="00B3274C">
              <w:rPr>
                <w:bCs/>
                <w:sz w:val="18"/>
                <w:lang w:val="fr-CA"/>
              </w:rPr>
              <w:t xml:space="preserve">2. </w:t>
            </w:r>
            <w:r w:rsidR="003F3EFC" w:rsidRPr="00B3274C">
              <w:rPr>
                <w:bCs/>
                <w:sz w:val="18"/>
                <w:lang w:val="fr-CA"/>
              </w:rPr>
              <w:t>Prêts subventionnés pour l</w:t>
            </w:r>
            <w:r w:rsidR="0080611A">
              <w:rPr>
                <w:bCs/>
                <w:sz w:val="18"/>
                <w:lang w:val="fr-CA"/>
              </w:rPr>
              <w:t>’</w:t>
            </w:r>
            <w:r w:rsidR="003F3EFC" w:rsidRPr="00B3274C">
              <w:rPr>
                <w:bCs/>
                <w:sz w:val="18"/>
                <w:lang w:val="fr-CA"/>
              </w:rPr>
              <w:t>achat ou la construction de logements</w:t>
            </w:r>
            <w:r w:rsidR="00FB23D3" w:rsidRPr="00B3274C">
              <w:rPr>
                <w:bCs/>
                <w:sz w:val="18"/>
                <w:lang w:val="fr-CA"/>
              </w:rPr>
              <w:t xml:space="preserve"> </w:t>
            </w:r>
          </w:p>
        </w:tc>
        <w:tc>
          <w:tcPr>
            <w:tcW w:w="1440" w:type="dxa"/>
            <w:shd w:val="clear" w:color="auto" w:fill="auto"/>
          </w:tcPr>
          <w:p w:rsidR="00FB23D3" w:rsidRPr="00B3274C" w:rsidRDefault="003F3EFC" w:rsidP="008751F4">
            <w:pPr>
              <w:pStyle w:val="SingleTxtG"/>
              <w:suppressAutoHyphens w:val="0"/>
              <w:spacing w:before="40" w:after="80" w:line="220" w:lineRule="exact"/>
              <w:ind w:left="0" w:right="0"/>
              <w:jc w:val="left"/>
              <w:rPr>
                <w:bCs/>
                <w:sz w:val="18"/>
                <w:szCs w:val="16"/>
                <w:lang w:val="fr-CA"/>
              </w:rPr>
            </w:pPr>
            <w:r w:rsidRPr="00B3274C">
              <w:rPr>
                <w:bCs/>
                <w:sz w:val="18"/>
                <w:szCs w:val="16"/>
                <w:lang w:val="fr-CA"/>
              </w:rPr>
              <w:t>Autorisations</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12</w:t>
            </w:r>
            <w:r w:rsidR="00537863">
              <w:rPr>
                <w:bCs/>
                <w:sz w:val="18"/>
                <w:lang w:val="fr-CA"/>
              </w:rPr>
              <w:t> </w:t>
            </w:r>
            <w:r w:rsidRPr="00B3274C">
              <w:rPr>
                <w:bCs/>
                <w:sz w:val="18"/>
                <w:lang w:val="fr-CA"/>
              </w:rPr>
              <w:t>156</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16</w:t>
            </w:r>
            <w:r w:rsidR="00537863">
              <w:rPr>
                <w:bCs/>
                <w:sz w:val="18"/>
                <w:lang w:val="fr-CA"/>
              </w:rPr>
              <w:t> </w:t>
            </w:r>
            <w:r w:rsidRPr="00B3274C">
              <w:rPr>
                <w:bCs/>
                <w:sz w:val="18"/>
                <w:lang w:val="fr-CA"/>
              </w:rPr>
              <w:t>559</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13</w:t>
            </w:r>
            <w:r w:rsidR="00537863">
              <w:rPr>
                <w:bCs/>
                <w:sz w:val="18"/>
                <w:lang w:val="fr-CA"/>
              </w:rPr>
              <w:t> </w:t>
            </w:r>
            <w:r w:rsidRPr="00B3274C">
              <w:rPr>
                <w:bCs/>
                <w:sz w:val="18"/>
                <w:lang w:val="fr-CA"/>
              </w:rPr>
              <w:t>847</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11</w:t>
            </w:r>
            <w:r w:rsidR="00537863">
              <w:rPr>
                <w:bCs/>
                <w:sz w:val="18"/>
                <w:lang w:val="fr-CA"/>
              </w:rPr>
              <w:t> </w:t>
            </w:r>
            <w:r w:rsidRPr="00B3274C">
              <w:rPr>
                <w:bCs/>
                <w:sz w:val="18"/>
                <w:lang w:val="fr-CA"/>
              </w:rPr>
              <w:t>296</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16</w:t>
            </w:r>
            <w:r w:rsidR="00537863">
              <w:rPr>
                <w:bCs/>
                <w:sz w:val="18"/>
                <w:lang w:val="fr-CA"/>
              </w:rPr>
              <w:t> </w:t>
            </w:r>
            <w:r w:rsidRPr="00B3274C">
              <w:rPr>
                <w:bCs/>
                <w:sz w:val="18"/>
                <w:lang w:val="fr-CA"/>
              </w:rPr>
              <w:t>370</w:t>
            </w:r>
          </w:p>
        </w:tc>
      </w:tr>
      <w:tr w:rsidR="00FB23D3" w:rsidRPr="00B3274C" w:rsidTr="003E2D3A">
        <w:trPr>
          <w:trHeight w:val="240"/>
        </w:trPr>
        <w:tc>
          <w:tcPr>
            <w:tcW w:w="1724" w:type="dxa"/>
            <w:vMerge/>
            <w:shd w:val="clear" w:color="auto" w:fill="auto"/>
          </w:tcPr>
          <w:p w:rsidR="00FB23D3" w:rsidRPr="00B3274C" w:rsidRDefault="00FB23D3" w:rsidP="00055317">
            <w:pPr>
              <w:pStyle w:val="SingleTxtG"/>
              <w:suppressAutoHyphens w:val="0"/>
              <w:spacing w:before="40" w:after="40" w:line="220" w:lineRule="exact"/>
              <w:ind w:left="0" w:right="0"/>
              <w:jc w:val="left"/>
              <w:rPr>
                <w:bCs/>
                <w:sz w:val="18"/>
                <w:lang w:val="fr-CA"/>
              </w:rPr>
            </w:pPr>
          </w:p>
        </w:tc>
        <w:tc>
          <w:tcPr>
            <w:tcW w:w="1440" w:type="dxa"/>
            <w:shd w:val="clear" w:color="auto" w:fill="auto"/>
          </w:tcPr>
          <w:p w:rsidR="00FB23D3" w:rsidRPr="00B3274C" w:rsidRDefault="003F3EFC" w:rsidP="008751F4">
            <w:pPr>
              <w:pStyle w:val="SingleTxtG"/>
              <w:suppressAutoHyphens w:val="0"/>
              <w:spacing w:before="40" w:after="40" w:line="220" w:lineRule="exact"/>
              <w:ind w:left="0" w:right="0"/>
              <w:jc w:val="left"/>
              <w:rPr>
                <w:bCs/>
                <w:sz w:val="18"/>
                <w:szCs w:val="16"/>
                <w:lang w:val="fr-CA"/>
              </w:rPr>
            </w:pPr>
            <w:r w:rsidRPr="00B3274C">
              <w:rPr>
                <w:bCs/>
                <w:sz w:val="18"/>
                <w:szCs w:val="16"/>
                <w:lang w:val="fr-CA"/>
              </w:rPr>
              <w:t>Dépenses</w:t>
            </w:r>
          </w:p>
        </w:tc>
        <w:tc>
          <w:tcPr>
            <w:tcW w:w="851" w:type="dxa"/>
            <w:shd w:val="clear" w:color="auto" w:fill="auto"/>
          </w:tcPr>
          <w:p w:rsidR="00FB23D3" w:rsidRPr="00B3274C" w:rsidRDefault="00FB23D3" w:rsidP="008751F4">
            <w:pPr>
              <w:pStyle w:val="SingleTxtG"/>
              <w:suppressAutoHyphens w:val="0"/>
              <w:spacing w:before="40" w:after="40" w:line="220" w:lineRule="exact"/>
              <w:ind w:left="113" w:right="0"/>
              <w:jc w:val="right"/>
              <w:rPr>
                <w:bCs/>
                <w:sz w:val="18"/>
                <w:lang w:val="fr-CA"/>
              </w:rPr>
            </w:pPr>
            <w:r w:rsidRPr="00B3274C">
              <w:rPr>
                <w:bCs/>
                <w:sz w:val="18"/>
                <w:lang w:val="fr-CA"/>
              </w:rPr>
              <w:t>42</w:t>
            </w:r>
            <w:r w:rsidR="00537863">
              <w:rPr>
                <w:bCs/>
                <w:sz w:val="18"/>
                <w:lang w:val="fr-CA"/>
              </w:rPr>
              <w:t> </w:t>
            </w:r>
            <w:r w:rsidRPr="00B3274C">
              <w:rPr>
                <w:bCs/>
                <w:sz w:val="18"/>
                <w:lang w:val="fr-CA"/>
              </w:rPr>
              <w:t>177</w:t>
            </w:r>
            <w:r w:rsidR="00537863">
              <w:rPr>
                <w:bCs/>
                <w:sz w:val="18"/>
                <w:lang w:val="fr-CA"/>
              </w:rPr>
              <w:t> </w:t>
            </w:r>
            <w:r w:rsidRPr="00B3274C">
              <w:rPr>
                <w:bCs/>
                <w:sz w:val="18"/>
                <w:lang w:val="fr-CA"/>
              </w:rPr>
              <w:t>538</w:t>
            </w:r>
          </w:p>
        </w:tc>
        <w:tc>
          <w:tcPr>
            <w:tcW w:w="851" w:type="dxa"/>
            <w:shd w:val="clear" w:color="auto" w:fill="auto"/>
          </w:tcPr>
          <w:p w:rsidR="00FB23D3" w:rsidRPr="00B3274C" w:rsidRDefault="00FB23D3" w:rsidP="008751F4">
            <w:pPr>
              <w:pStyle w:val="SingleTxtG"/>
              <w:suppressAutoHyphens w:val="0"/>
              <w:spacing w:before="40" w:after="40" w:line="220" w:lineRule="exact"/>
              <w:ind w:left="113" w:right="0"/>
              <w:jc w:val="right"/>
              <w:rPr>
                <w:bCs/>
                <w:sz w:val="18"/>
                <w:lang w:val="fr-CA"/>
              </w:rPr>
            </w:pPr>
            <w:r w:rsidRPr="00B3274C">
              <w:rPr>
                <w:bCs/>
                <w:sz w:val="18"/>
                <w:lang w:val="fr-CA"/>
              </w:rPr>
              <w:t>57</w:t>
            </w:r>
            <w:r w:rsidR="00537863">
              <w:rPr>
                <w:bCs/>
                <w:sz w:val="18"/>
                <w:lang w:val="fr-CA"/>
              </w:rPr>
              <w:t> </w:t>
            </w:r>
            <w:r w:rsidRPr="00B3274C">
              <w:rPr>
                <w:bCs/>
                <w:sz w:val="18"/>
                <w:lang w:val="fr-CA"/>
              </w:rPr>
              <w:t>697</w:t>
            </w:r>
            <w:r w:rsidR="00537863">
              <w:rPr>
                <w:bCs/>
                <w:sz w:val="18"/>
                <w:lang w:val="fr-CA"/>
              </w:rPr>
              <w:t> </w:t>
            </w:r>
            <w:r w:rsidRPr="00B3274C">
              <w:rPr>
                <w:bCs/>
                <w:sz w:val="18"/>
                <w:lang w:val="fr-CA"/>
              </w:rPr>
              <w:t>614</w:t>
            </w:r>
          </w:p>
        </w:tc>
        <w:tc>
          <w:tcPr>
            <w:tcW w:w="851" w:type="dxa"/>
            <w:shd w:val="clear" w:color="auto" w:fill="auto"/>
          </w:tcPr>
          <w:p w:rsidR="00FB23D3" w:rsidRPr="00B3274C" w:rsidRDefault="00FB23D3" w:rsidP="008751F4">
            <w:pPr>
              <w:pStyle w:val="SingleTxtG"/>
              <w:suppressAutoHyphens w:val="0"/>
              <w:spacing w:before="40" w:after="40" w:line="220" w:lineRule="exact"/>
              <w:ind w:left="113" w:right="0"/>
              <w:jc w:val="right"/>
              <w:rPr>
                <w:bCs/>
                <w:sz w:val="18"/>
                <w:lang w:val="fr-CA"/>
              </w:rPr>
            </w:pPr>
            <w:r w:rsidRPr="00B3274C">
              <w:rPr>
                <w:bCs/>
                <w:sz w:val="18"/>
                <w:lang w:val="fr-CA"/>
              </w:rPr>
              <w:t>81</w:t>
            </w:r>
            <w:r w:rsidR="00537863">
              <w:rPr>
                <w:bCs/>
                <w:sz w:val="18"/>
                <w:lang w:val="fr-CA"/>
              </w:rPr>
              <w:t> </w:t>
            </w:r>
            <w:r w:rsidRPr="00B3274C">
              <w:rPr>
                <w:bCs/>
                <w:sz w:val="18"/>
                <w:lang w:val="fr-CA"/>
              </w:rPr>
              <w:t>735</w:t>
            </w:r>
            <w:r w:rsidR="00537863">
              <w:rPr>
                <w:bCs/>
                <w:sz w:val="18"/>
                <w:lang w:val="fr-CA"/>
              </w:rPr>
              <w:t> </w:t>
            </w:r>
            <w:r w:rsidRPr="00B3274C">
              <w:rPr>
                <w:bCs/>
                <w:sz w:val="18"/>
                <w:lang w:val="fr-CA"/>
              </w:rPr>
              <w:t>390</w:t>
            </w:r>
          </w:p>
        </w:tc>
        <w:tc>
          <w:tcPr>
            <w:tcW w:w="851" w:type="dxa"/>
            <w:shd w:val="clear" w:color="auto" w:fill="auto"/>
          </w:tcPr>
          <w:p w:rsidR="00FB23D3" w:rsidRPr="00B3274C" w:rsidRDefault="00FB23D3" w:rsidP="008751F4">
            <w:pPr>
              <w:pStyle w:val="SingleTxtG"/>
              <w:suppressAutoHyphens w:val="0"/>
              <w:spacing w:before="40" w:after="40" w:line="220" w:lineRule="exact"/>
              <w:ind w:left="113" w:right="0"/>
              <w:jc w:val="right"/>
              <w:rPr>
                <w:bCs/>
                <w:sz w:val="18"/>
                <w:lang w:val="fr-CA"/>
              </w:rPr>
            </w:pPr>
            <w:r w:rsidRPr="00B3274C">
              <w:rPr>
                <w:bCs/>
                <w:sz w:val="18"/>
                <w:lang w:val="fr-CA"/>
              </w:rPr>
              <w:t>104</w:t>
            </w:r>
            <w:r w:rsidR="00537863">
              <w:rPr>
                <w:bCs/>
                <w:sz w:val="18"/>
                <w:lang w:val="fr-CA"/>
              </w:rPr>
              <w:t> </w:t>
            </w:r>
            <w:r w:rsidRPr="00B3274C">
              <w:rPr>
                <w:bCs/>
                <w:sz w:val="18"/>
                <w:lang w:val="fr-CA"/>
              </w:rPr>
              <w:t>748</w:t>
            </w:r>
            <w:r w:rsidR="00537863">
              <w:rPr>
                <w:bCs/>
                <w:sz w:val="18"/>
                <w:lang w:val="fr-CA"/>
              </w:rPr>
              <w:t> </w:t>
            </w:r>
            <w:r w:rsidRPr="00B3274C">
              <w:rPr>
                <w:bCs/>
                <w:sz w:val="18"/>
                <w:lang w:val="fr-CA"/>
              </w:rPr>
              <w:t>041</w:t>
            </w:r>
          </w:p>
        </w:tc>
        <w:tc>
          <w:tcPr>
            <w:tcW w:w="851" w:type="dxa"/>
            <w:shd w:val="clear" w:color="auto" w:fill="auto"/>
          </w:tcPr>
          <w:p w:rsidR="00FB23D3" w:rsidRPr="00B3274C" w:rsidRDefault="00FB23D3" w:rsidP="008751F4">
            <w:pPr>
              <w:pStyle w:val="SingleTxtG"/>
              <w:suppressAutoHyphens w:val="0"/>
              <w:spacing w:before="40" w:after="40" w:line="220" w:lineRule="exact"/>
              <w:ind w:left="113" w:right="0"/>
              <w:jc w:val="right"/>
              <w:rPr>
                <w:bCs/>
                <w:sz w:val="18"/>
                <w:lang w:val="fr-CA"/>
              </w:rPr>
            </w:pPr>
            <w:r w:rsidRPr="00B3274C">
              <w:rPr>
                <w:bCs/>
                <w:sz w:val="18"/>
                <w:lang w:val="fr-CA"/>
              </w:rPr>
              <w:t>157</w:t>
            </w:r>
            <w:r w:rsidR="00537863">
              <w:rPr>
                <w:bCs/>
                <w:sz w:val="18"/>
                <w:lang w:val="fr-CA"/>
              </w:rPr>
              <w:t> </w:t>
            </w:r>
            <w:r w:rsidRPr="00B3274C">
              <w:rPr>
                <w:bCs/>
                <w:sz w:val="18"/>
                <w:lang w:val="fr-CA"/>
              </w:rPr>
              <w:t>926</w:t>
            </w:r>
            <w:r w:rsidR="00537863">
              <w:rPr>
                <w:bCs/>
                <w:sz w:val="18"/>
                <w:lang w:val="fr-CA"/>
              </w:rPr>
              <w:t> </w:t>
            </w:r>
            <w:r w:rsidRPr="00B3274C">
              <w:rPr>
                <w:bCs/>
                <w:sz w:val="18"/>
                <w:lang w:val="fr-CA"/>
              </w:rPr>
              <w:t>521</w:t>
            </w:r>
          </w:p>
        </w:tc>
      </w:tr>
      <w:tr w:rsidR="00FB23D3" w:rsidRPr="00B3274C" w:rsidTr="003E2D3A">
        <w:trPr>
          <w:trHeight w:val="240"/>
        </w:trPr>
        <w:tc>
          <w:tcPr>
            <w:tcW w:w="1724" w:type="dxa"/>
            <w:vMerge w:val="restart"/>
            <w:shd w:val="clear" w:color="auto" w:fill="auto"/>
          </w:tcPr>
          <w:p w:rsidR="00FB23D3" w:rsidRPr="00B3274C" w:rsidRDefault="00AD6704" w:rsidP="003F3EFC">
            <w:pPr>
              <w:pStyle w:val="SingleTxtG"/>
              <w:suppressAutoHyphens w:val="0"/>
              <w:spacing w:before="40" w:after="40" w:line="220" w:lineRule="exact"/>
              <w:ind w:left="0" w:right="0"/>
              <w:jc w:val="left"/>
              <w:rPr>
                <w:bCs/>
                <w:sz w:val="18"/>
                <w:lang w:val="fr-CA"/>
              </w:rPr>
            </w:pPr>
            <w:r w:rsidRPr="00B3274C">
              <w:rPr>
                <w:bCs/>
                <w:sz w:val="18"/>
                <w:lang w:val="fr-CA"/>
              </w:rPr>
              <w:t>3.</w:t>
            </w:r>
            <w:r w:rsidR="003F3EFC" w:rsidRPr="00B3274C">
              <w:rPr>
                <w:bCs/>
                <w:sz w:val="18"/>
                <w:lang w:val="fr-CA"/>
              </w:rPr>
              <w:t xml:space="preserve"> Prêt sans intérêts pour la rénovation ou l</w:t>
            </w:r>
            <w:r w:rsidR="0080611A">
              <w:rPr>
                <w:bCs/>
                <w:sz w:val="18"/>
                <w:lang w:val="fr-CA"/>
              </w:rPr>
              <w:t>’</w:t>
            </w:r>
            <w:r w:rsidR="003F3EFC" w:rsidRPr="00B3274C">
              <w:rPr>
                <w:bCs/>
                <w:sz w:val="18"/>
                <w:lang w:val="fr-CA"/>
              </w:rPr>
              <w:t>achèvement de logements</w:t>
            </w:r>
            <w:r w:rsidR="008751F4" w:rsidRPr="00B3274C">
              <w:rPr>
                <w:bCs/>
                <w:sz w:val="18"/>
                <w:lang w:val="fr-CA"/>
              </w:rPr>
              <w:t xml:space="preserve"> </w:t>
            </w:r>
            <w:r w:rsidR="003F3EFC" w:rsidRPr="00B3274C">
              <w:rPr>
                <w:bCs/>
                <w:sz w:val="18"/>
                <w:lang w:val="fr-CA"/>
              </w:rPr>
              <w:t xml:space="preserve">et programme spécial en faveur des familles nombreuses et </w:t>
            </w:r>
            <w:r w:rsidR="00614BAC">
              <w:rPr>
                <w:bCs/>
                <w:sz w:val="18"/>
                <w:lang w:val="fr-CA"/>
              </w:rPr>
              <w:t>des personnes</w:t>
            </w:r>
            <w:r w:rsidR="003F3EFC" w:rsidRPr="00B3274C">
              <w:rPr>
                <w:bCs/>
                <w:sz w:val="18"/>
                <w:lang w:val="fr-CA"/>
              </w:rPr>
              <w:t xml:space="preserve"> handicapées </w:t>
            </w:r>
          </w:p>
        </w:tc>
        <w:tc>
          <w:tcPr>
            <w:tcW w:w="1440" w:type="dxa"/>
            <w:shd w:val="clear" w:color="auto" w:fill="auto"/>
          </w:tcPr>
          <w:p w:rsidR="00FB23D3" w:rsidRPr="00B3274C" w:rsidRDefault="003F3EFC" w:rsidP="008751F4">
            <w:pPr>
              <w:pStyle w:val="SingleTxtG"/>
              <w:suppressAutoHyphens w:val="0"/>
              <w:spacing w:before="40" w:after="40" w:line="220" w:lineRule="exact"/>
              <w:ind w:left="0" w:right="0"/>
              <w:jc w:val="left"/>
              <w:rPr>
                <w:bCs/>
                <w:sz w:val="18"/>
                <w:szCs w:val="16"/>
                <w:lang w:val="fr-CA"/>
              </w:rPr>
            </w:pPr>
            <w:r w:rsidRPr="00B3274C">
              <w:rPr>
                <w:bCs/>
                <w:sz w:val="18"/>
                <w:szCs w:val="16"/>
                <w:lang w:val="fr-CA"/>
              </w:rPr>
              <w:t>Autorisations</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3</w:t>
            </w:r>
            <w:r w:rsidR="00537863">
              <w:rPr>
                <w:bCs/>
                <w:sz w:val="18"/>
                <w:lang w:val="fr-CA"/>
              </w:rPr>
              <w:t> </w:t>
            </w:r>
            <w:r w:rsidRPr="00B3274C">
              <w:rPr>
                <w:bCs/>
                <w:sz w:val="18"/>
                <w:lang w:val="fr-CA"/>
              </w:rPr>
              <w:t>295</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2</w:t>
            </w:r>
            <w:r w:rsidR="00537863">
              <w:rPr>
                <w:bCs/>
                <w:sz w:val="18"/>
                <w:lang w:val="fr-CA"/>
              </w:rPr>
              <w:t> </w:t>
            </w:r>
            <w:r w:rsidRPr="00B3274C">
              <w:rPr>
                <w:bCs/>
                <w:sz w:val="18"/>
                <w:lang w:val="fr-CA"/>
              </w:rPr>
              <w:t xml:space="preserve">332 </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3</w:t>
            </w:r>
            <w:r w:rsidR="00537863">
              <w:rPr>
                <w:bCs/>
                <w:sz w:val="18"/>
                <w:lang w:val="fr-CA"/>
              </w:rPr>
              <w:t> </w:t>
            </w:r>
            <w:r w:rsidRPr="00B3274C">
              <w:rPr>
                <w:bCs/>
                <w:sz w:val="18"/>
                <w:lang w:val="fr-CA"/>
              </w:rPr>
              <w:t>955</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9864</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7</w:t>
            </w:r>
            <w:r w:rsidR="00537863">
              <w:rPr>
                <w:bCs/>
                <w:sz w:val="18"/>
                <w:lang w:val="fr-CA"/>
              </w:rPr>
              <w:t> </w:t>
            </w:r>
            <w:r w:rsidRPr="00B3274C">
              <w:rPr>
                <w:bCs/>
                <w:sz w:val="18"/>
                <w:lang w:val="fr-CA"/>
              </w:rPr>
              <w:t>889</w:t>
            </w:r>
          </w:p>
        </w:tc>
      </w:tr>
      <w:tr w:rsidR="00FB23D3" w:rsidRPr="00B3274C" w:rsidTr="003E2D3A">
        <w:trPr>
          <w:trHeight w:val="240"/>
        </w:trPr>
        <w:tc>
          <w:tcPr>
            <w:tcW w:w="1724" w:type="dxa"/>
            <w:vMerge/>
            <w:shd w:val="clear" w:color="auto" w:fill="auto"/>
          </w:tcPr>
          <w:p w:rsidR="00FB23D3" w:rsidRPr="00B3274C" w:rsidRDefault="00FB23D3" w:rsidP="00055317">
            <w:pPr>
              <w:pStyle w:val="SingleTxtG"/>
              <w:suppressAutoHyphens w:val="0"/>
              <w:spacing w:before="40" w:after="40" w:line="220" w:lineRule="exact"/>
              <w:ind w:left="0" w:right="0"/>
              <w:jc w:val="left"/>
              <w:rPr>
                <w:bCs/>
                <w:sz w:val="18"/>
                <w:lang w:val="fr-CA"/>
              </w:rPr>
            </w:pPr>
          </w:p>
        </w:tc>
        <w:tc>
          <w:tcPr>
            <w:tcW w:w="1440" w:type="dxa"/>
            <w:shd w:val="clear" w:color="auto" w:fill="auto"/>
          </w:tcPr>
          <w:p w:rsidR="00FB23D3" w:rsidRPr="00B3274C" w:rsidRDefault="003F3EFC" w:rsidP="008751F4">
            <w:pPr>
              <w:pStyle w:val="SingleTxtG"/>
              <w:suppressAutoHyphens w:val="0"/>
              <w:spacing w:before="40" w:line="220" w:lineRule="exact"/>
              <w:ind w:left="0" w:right="0"/>
              <w:jc w:val="left"/>
              <w:rPr>
                <w:bCs/>
                <w:sz w:val="18"/>
                <w:szCs w:val="16"/>
                <w:lang w:val="fr-CA"/>
              </w:rPr>
            </w:pPr>
            <w:r w:rsidRPr="00B3274C">
              <w:rPr>
                <w:bCs/>
                <w:sz w:val="18"/>
                <w:szCs w:val="16"/>
                <w:lang w:val="fr-CA"/>
              </w:rPr>
              <w:t>Dépenses</w:t>
            </w:r>
          </w:p>
        </w:tc>
        <w:tc>
          <w:tcPr>
            <w:tcW w:w="851" w:type="dxa"/>
            <w:shd w:val="clear" w:color="auto" w:fill="auto"/>
          </w:tcPr>
          <w:p w:rsidR="00FB23D3" w:rsidRPr="00B3274C" w:rsidRDefault="00FB23D3" w:rsidP="008751F4">
            <w:pPr>
              <w:pStyle w:val="SingleTxtG"/>
              <w:suppressAutoHyphens w:val="0"/>
              <w:spacing w:before="40" w:after="40" w:line="220" w:lineRule="exact"/>
              <w:ind w:left="113" w:right="0"/>
              <w:jc w:val="right"/>
              <w:rPr>
                <w:bCs/>
                <w:sz w:val="18"/>
                <w:lang w:val="fr-CA"/>
              </w:rPr>
            </w:pPr>
            <w:r w:rsidRPr="00B3274C">
              <w:rPr>
                <w:bCs/>
                <w:sz w:val="18"/>
                <w:lang w:val="fr-CA"/>
              </w:rPr>
              <w:t>48</w:t>
            </w:r>
            <w:r w:rsidR="00537863">
              <w:rPr>
                <w:bCs/>
                <w:sz w:val="18"/>
                <w:lang w:val="fr-CA"/>
              </w:rPr>
              <w:t> </w:t>
            </w:r>
            <w:r w:rsidRPr="00B3274C">
              <w:rPr>
                <w:bCs/>
                <w:sz w:val="18"/>
                <w:lang w:val="fr-CA"/>
              </w:rPr>
              <w:t>294</w:t>
            </w:r>
            <w:r w:rsidR="00537863">
              <w:rPr>
                <w:bCs/>
                <w:sz w:val="18"/>
                <w:lang w:val="fr-CA"/>
              </w:rPr>
              <w:t> </w:t>
            </w:r>
            <w:r w:rsidRPr="00B3274C">
              <w:rPr>
                <w:bCs/>
                <w:sz w:val="18"/>
                <w:lang w:val="fr-CA"/>
              </w:rPr>
              <w:t>055</w:t>
            </w:r>
          </w:p>
        </w:tc>
        <w:tc>
          <w:tcPr>
            <w:tcW w:w="851" w:type="dxa"/>
            <w:shd w:val="clear" w:color="auto" w:fill="auto"/>
          </w:tcPr>
          <w:p w:rsidR="00FB23D3" w:rsidRPr="00B3274C" w:rsidRDefault="00FB23D3" w:rsidP="008751F4">
            <w:pPr>
              <w:pStyle w:val="SingleTxtG"/>
              <w:suppressAutoHyphens w:val="0"/>
              <w:spacing w:before="40" w:after="40" w:line="220" w:lineRule="exact"/>
              <w:ind w:left="113" w:right="0"/>
              <w:jc w:val="right"/>
              <w:rPr>
                <w:bCs/>
                <w:sz w:val="18"/>
                <w:lang w:val="fr-CA"/>
              </w:rPr>
            </w:pPr>
            <w:r w:rsidRPr="00B3274C">
              <w:rPr>
                <w:bCs/>
                <w:sz w:val="18"/>
                <w:lang w:val="fr-CA"/>
              </w:rPr>
              <w:t>50</w:t>
            </w:r>
            <w:r w:rsidR="00537863">
              <w:rPr>
                <w:bCs/>
                <w:sz w:val="18"/>
                <w:lang w:val="fr-CA"/>
              </w:rPr>
              <w:t> </w:t>
            </w:r>
            <w:r w:rsidRPr="00B3274C">
              <w:rPr>
                <w:bCs/>
                <w:sz w:val="18"/>
                <w:lang w:val="fr-CA"/>
              </w:rPr>
              <w:t>369</w:t>
            </w:r>
            <w:r w:rsidR="00537863">
              <w:rPr>
                <w:bCs/>
                <w:sz w:val="18"/>
                <w:lang w:val="fr-CA"/>
              </w:rPr>
              <w:t> </w:t>
            </w:r>
            <w:r w:rsidRPr="00B3274C">
              <w:rPr>
                <w:bCs/>
                <w:sz w:val="18"/>
                <w:lang w:val="fr-CA"/>
              </w:rPr>
              <w:t>549</w:t>
            </w:r>
          </w:p>
        </w:tc>
        <w:tc>
          <w:tcPr>
            <w:tcW w:w="851" w:type="dxa"/>
            <w:shd w:val="clear" w:color="auto" w:fill="auto"/>
          </w:tcPr>
          <w:p w:rsidR="00FB23D3" w:rsidRPr="00B3274C" w:rsidRDefault="00FB23D3" w:rsidP="008751F4">
            <w:pPr>
              <w:pStyle w:val="SingleTxtG"/>
              <w:suppressAutoHyphens w:val="0"/>
              <w:spacing w:before="40" w:after="40" w:line="220" w:lineRule="exact"/>
              <w:ind w:left="113" w:right="0"/>
              <w:jc w:val="right"/>
              <w:rPr>
                <w:bCs/>
                <w:sz w:val="18"/>
                <w:lang w:val="fr-CA"/>
              </w:rPr>
            </w:pPr>
            <w:r w:rsidRPr="00B3274C">
              <w:rPr>
                <w:bCs/>
                <w:sz w:val="18"/>
                <w:lang w:val="fr-CA"/>
              </w:rPr>
              <w:t>109</w:t>
            </w:r>
            <w:r w:rsidR="00537863">
              <w:rPr>
                <w:bCs/>
                <w:sz w:val="18"/>
                <w:lang w:val="fr-CA"/>
              </w:rPr>
              <w:t> </w:t>
            </w:r>
            <w:r w:rsidRPr="00B3274C">
              <w:rPr>
                <w:bCs/>
                <w:sz w:val="18"/>
                <w:lang w:val="fr-CA"/>
              </w:rPr>
              <w:t>319</w:t>
            </w:r>
            <w:r w:rsidR="00537863">
              <w:rPr>
                <w:bCs/>
                <w:sz w:val="18"/>
                <w:lang w:val="fr-CA"/>
              </w:rPr>
              <w:t> </w:t>
            </w:r>
            <w:r w:rsidRPr="00B3274C">
              <w:rPr>
                <w:bCs/>
                <w:sz w:val="18"/>
                <w:lang w:val="fr-CA"/>
              </w:rPr>
              <w:t>808</w:t>
            </w:r>
          </w:p>
        </w:tc>
        <w:tc>
          <w:tcPr>
            <w:tcW w:w="851" w:type="dxa"/>
            <w:shd w:val="clear" w:color="auto" w:fill="auto"/>
          </w:tcPr>
          <w:p w:rsidR="00FB23D3" w:rsidRPr="00B3274C" w:rsidRDefault="00FB23D3" w:rsidP="008751F4">
            <w:pPr>
              <w:pStyle w:val="SingleTxtG"/>
              <w:suppressAutoHyphens w:val="0"/>
              <w:spacing w:before="40" w:after="40" w:line="220" w:lineRule="exact"/>
              <w:ind w:left="113" w:right="0"/>
              <w:jc w:val="right"/>
              <w:rPr>
                <w:bCs/>
                <w:sz w:val="18"/>
                <w:lang w:val="fr-CA"/>
              </w:rPr>
            </w:pPr>
            <w:r w:rsidRPr="00B3274C">
              <w:rPr>
                <w:bCs/>
                <w:sz w:val="18"/>
                <w:lang w:val="fr-CA"/>
              </w:rPr>
              <w:t>185</w:t>
            </w:r>
            <w:r w:rsidR="00537863">
              <w:rPr>
                <w:bCs/>
                <w:sz w:val="18"/>
                <w:lang w:val="fr-CA"/>
              </w:rPr>
              <w:t> </w:t>
            </w:r>
            <w:r w:rsidRPr="00B3274C">
              <w:rPr>
                <w:bCs/>
                <w:sz w:val="18"/>
                <w:lang w:val="fr-CA"/>
              </w:rPr>
              <w:t>895</w:t>
            </w:r>
            <w:r w:rsidR="00537863">
              <w:rPr>
                <w:bCs/>
                <w:sz w:val="18"/>
                <w:lang w:val="fr-CA"/>
              </w:rPr>
              <w:t> </w:t>
            </w:r>
            <w:r w:rsidRPr="00B3274C">
              <w:rPr>
                <w:bCs/>
                <w:sz w:val="18"/>
                <w:lang w:val="fr-CA"/>
              </w:rPr>
              <w:t>418</w:t>
            </w:r>
          </w:p>
        </w:tc>
        <w:tc>
          <w:tcPr>
            <w:tcW w:w="851" w:type="dxa"/>
            <w:shd w:val="clear" w:color="auto" w:fill="auto"/>
          </w:tcPr>
          <w:p w:rsidR="00FB23D3" w:rsidRPr="00B3274C" w:rsidRDefault="00FB23D3" w:rsidP="008751F4">
            <w:pPr>
              <w:pStyle w:val="SingleTxtG"/>
              <w:suppressAutoHyphens w:val="0"/>
              <w:spacing w:before="40" w:after="40" w:line="220" w:lineRule="exact"/>
              <w:ind w:left="113" w:right="0"/>
              <w:jc w:val="right"/>
              <w:rPr>
                <w:bCs/>
                <w:sz w:val="18"/>
                <w:lang w:val="fr-CA"/>
              </w:rPr>
            </w:pPr>
            <w:r w:rsidRPr="00B3274C">
              <w:rPr>
                <w:bCs/>
                <w:sz w:val="18"/>
                <w:lang w:val="fr-CA"/>
              </w:rPr>
              <w:t>343</w:t>
            </w:r>
            <w:r w:rsidR="00537863">
              <w:rPr>
                <w:bCs/>
                <w:sz w:val="18"/>
                <w:lang w:val="fr-CA"/>
              </w:rPr>
              <w:t> </w:t>
            </w:r>
            <w:r w:rsidRPr="00B3274C">
              <w:rPr>
                <w:bCs/>
                <w:sz w:val="18"/>
                <w:lang w:val="fr-CA"/>
              </w:rPr>
              <w:t>067</w:t>
            </w:r>
            <w:r w:rsidR="00537863">
              <w:rPr>
                <w:bCs/>
                <w:sz w:val="18"/>
                <w:lang w:val="fr-CA"/>
              </w:rPr>
              <w:t> </w:t>
            </w:r>
            <w:r w:rsidRPr="00B3274C">
              <w:rPr>
                <w:bCs/>
                <w:sz w:val="18"/>
                <w:lang w:val="fr-CA"/>
              </w:rPr>
              <w:t>758</w:t>
            </w:r>
          </w:p>
        </w:tc>
      </w:tr>
      <w:tr w:rsidR="00FB23D3" w:rsidRPr="00B3274C" w:rsidTr="003E2D3A">
        <w:trPr>
          <w:trHeight w:val="240"/>
        </w:trPr>
        <w:tc>
          <w:tcPr>
            <w:tcW w:w="1724" w:type="dxa"/>
            <w:vMerge w:val="restart"/>
            <w:shd w:val="clear" w:color="auto" w:fill="auto"/>
          </w:tcPr>
          <w:p w:rsidR="00FB23D3" w:rsidRPr="00B3274C" w:rsidRDefault="00FB23D3" w:rsidP="006D49B8">
            <w:pPr>
              <w:pStyle w:val="SingleTxtG"/>
              <w:suppressAutoHyphens w:val="0"/>
              <w:spacing w:before="40" w:after="40" w:line="220" w:lineRule="exact"/>
              <w:ind w:left="0" w:right="0"/>
              <w:jc w:val="left"/>
              <w:rPr>
                <w:bCs/>
                <w:sz w:val="18"/>
                <w:lang w:val="fr-CA"/>
              </w:rPr>
            </w:pPr>
            <w:r w:rsidRPr="00B3274C">
              <w:rPr>
                <w:bCs/>
                <w:sz w:val="18"/>
                <w:szCs w:val="22"/>
                <w:lang w:val="fr-CA"/>
              </w:rPr>
              <w:t>4</w:t>
            </w:r>
            <w:r w:rsidRPr="00B3274C">
              <w:rPr>
                <w:bCs/>
                <w:sz w:val="18"/>
                <w:lang w:val="fr-CA"/>
              </w:rPr>
              <w:t xml:space="preserve">. </w:t>
            </w:r>
            <w:r w:rsidR="006D49B8" w:rsidRPr="00B3274C">
              <w:rPr>
                <w:bCs/>
                <w:sz w:val="18"/>
                <w:lang w:val="fr-CA"/>
              </w:rPr>
              <w:t>Allocations logement</w:t>
            </w:r>
          </w:p>
        </w:tc>
        <w:tc>
          <w:tcPr>
            <w:tcW w:w="1440" w:type="dxa"/>
            <w:shd w:val="clear" w:color="auto" w:fill="auto"/>
          </w:tcPr>
          <w:p w:rsidR="00FB23D3" w:rsidRPr="00B3274C" w:rsidRDefault="006D49B8" w:rsidP="00055317">
            <w:pPr>
              <w:pStyle w:val="SingleTxtG"/>
              <w:suppressAutoHyphens w:val="0"/>
              <w:spacing w:before="40" w:after="40" w:line="220" w:lineRule="exact"/>
              <w:ind w:left="0" w:right="0"/>
              <w:jc w:val="left"/>
              <w:rPr>
                <w:bCs/>
                <w:sz w:val="18"/>
                <w:szCs w:val="16"/>
                <w:lang w:val="fr-CA"/>
              </w:rPr>
            </w:pPr>
            <w:r w:rsidRPr="00B3274C">
              <w:rPr>
                <w:bCs/>
                <w:sz w:val="18"/>
                <w:szCs w:val="16"/>
                <w:lang w:val="fr-CA"/>
              </w:rPr>
              <w:t>Autorisations</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58</w:t>
            </w:r>
            <w:r w:rsidR="00537863">
              <w:rPr>
                <w:bCs/>
                <w:sz w:val="18"/>
                <w:lang w:val="fr-CA"/>
              </w:rPr>
              <w:t> </w:t>
            </w:r>
            <w:r w:rsidRPr="00B3274C">
              <w:rPr>
                <w:bCs/>
                <w:sz w:val="18"/>
                <w:lang w:val="fr-CA"/>
              </w:rPr>
              <w:t>263</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70</w:t>
            </w:r>
            <w:r w:rsidR="00537863">
              <w:rPr>
                <w:bCs/>
                <w:sz w:val="18"/>
                <w:lang w:val="fr-CA"/>
              </w:rPr>
              <w:t> </w:t>
            </w:r>
            <w:r w:rsidRPr="00B3274C">
              <w:rPr>
                <w:bCs/>
                <w:sz w:val="18"/>
                <w:lang w:val="fr-CA"/>
              </w:rPr>
              <w:t>144</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91</w:t>
            </w:r>
            <w:r w:rsidR="00537863">
              <w:rPr>
                <w:bCs/>
                <w:sz w:val="18"/>
                <w:lang w:val="fr-CA"/>
              </w:rPr>
              <w:t> </w:t>
            </w:r>
            <w:r w:rsidRPr="00B3274C">
              <w:rPr>
                <w:bCs/>
                <w:sz w:val="18"/>
                <w:lang w:val="fr-CA"/>
              </w:rPr>
              <w:t>027</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102</w:t>
            </w:r>
            <w:r w:rsidR="00537863">
              <w:rPr>
                <w:bCs/>
                <w:sz w:val="18"/>
                <w:lang w:val="fr-CA"/>
              </w:rPr>
              <w:t> </w:t>
            </w:r>
            <w:r w:rsidRPr="00B3274C">
              <w:rPr>
                <w:bCs/>
                <w:sz w:val="18"/>
                <w:lang w:val="fr-CA"/>
              </w:rPr>
              <w:t>020</w:t>
            </w:r>
          </w:p>
        </w:tc>
        <w:tc>
          <w:tcPr>
            <w:tcW w:w="851" w:type="dxa"/>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43</w:t>
            </w:r>
            <w:r w:rsidR="00537863">
              <w:rPr>
                <w:bCs/>
                <w:sz w:val="18"/>
                <w:lang w:val="fr-CA"/>
              </w:rPr>
              <w:t> </w:t>
            </w:r>
            <w:r w:rsidRPr="00B3274C">
              <w:rPr>
                <w:bCs/>
                <w:sz w:val="18"/>
                <w:lang w:val="fr-CA"/>
              </w:rPr>
              <w:t>507</w:t>
            </w:r>
          </w:p>
        </w:tc>
      </w:tr>
      <w:tr w:rsidR="00FB23D3" w:rsidRPr="00B3274C" w:rsidTr="003E2D3A">
        <w:trPr>
          <w:trHeight w:val="240"/>
        </w:trPr>
        <w:tc>
          <w:tcPr>
            <w:tcW w:w="1724" w:type="dxa"/>
            <w:vMerge/>
            <w:tcBorders>
              <w:bottom w:val="single" w:sz="12" w:space="0" w:color="auto"/>
            </w:tcBorders>
            <w:shd w:val="clear" w:color="auto" w:fill="auto"/>
          </w:tcPr>
          <w:p w:rsidR="00FB23D3" w:rsidRPr="00B3274C" w:rsidRDefault="00FB23D3" w:rsidP="00055317">
            <w:pPr>
              <w:pStyle w:val="SingleTxtG"/>
              <w:suppressAutoHyphens w:val="0"/>
              <w:spacing w:before="40" w:after="40" w:line="220" w:lineRule="exact"/>
              <w:ind w:left="0" w:right="0"/>
              <w:jc w:val="left"/>
              <w:rPr>
                <w:bCs/>
                <w:sz w:val="18"/>
                <w:szCs w:val="16"/>
                <w:lang w:val="fr-CA"/>
              </w:rPr>
            </w:pPr>
          </w:p>
        </w:tc>
        <w:tc>
          <w:tcPr>
            <w:tcW w:w="1440" w:type="dxa"/>
            <w:tcBorders>
              <w:bottom w:val="single" w:sz="12" w:space="0" w:color="auto"/>
            </w:tcBorders>
            <w:shd w:val="clear" w:color="auto" w:fill="auto"/>
          </w:tcPr>
          <w:p w:rsidR="00FB23D3" w:rsidRPr="00B3274C" w:rsidRDefault="006D49B8" w:rsidP="00055317">
            <w:pPr>
              <w:pStyle w:val="SingleTxtG"/>
              <w:suppressAutoHyphens w:val="0"/>
              <w:spacing w:before="40" w:after="40" w:line="220" w:lineRule="exact"/>
              <w:ind w:left="0" w:right="0"/>
              <w:jc w:val="left"/>
              <w:rPr>
                <w:bCs/>
                <w:sz w:val="18"/>
                <w:szCs w:val="16"/>
                <w:lang w:val="fr-CA"/>
              </w:rPr>
            </w:pPr>
            <w:r w:rsidRPr="00B3274C">
              <w:rPr>
                <w:bCs/>
                <w:sz w:val="18"/>
                <w:szCs w:val="16"/>
                <w:lang w:val="fr-CA"/>
              </w:rPr>
              <w:t>Dépenses</w:t>
            </w:r>
          </w:p>
        </w:tc>
        <w:tc>
          <w:tcPr>
            <w:tcW w:w="851" w:type="dxa"/>
            <w:tcBorders>
              <w:bottom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72</w:t>
            </w:r>
            <w:r w:rsidR="00537863">
              <w:rPr>
                <w:bCs/>
                <w:sz w:val="18"/>
                <w:lang w:val="fr-CA"/>
              </w:rPr>
              <w:t> </w:t>
            </w:r>
            <w:r w:rsidRPr="00B3274C">
              <w:rPr>
                <w:bCs/>
                <w:sz w:val="18"/>
                <w:lang w:val="fr-CA"/>
              </w:rPr>
              <w:t>445</w:t>
            </w:r>
            <w:r w:rsidR="00537863">
              <w:rPr>
                <w:bCs/>
                <w:sz w:val="18"/>
                <w:lang w:val="fr-CA"/>
              </w:rPr>
              <w:t> </w:t>
            </w:r>
            <w:r w:rsidRPr="00B3274C">
              <w:rPr>
                <w:bCs/>
                <w:sz w:val="18"/>
                <w:lang w:val="fr-CA"/>
              </w:rPr>
              <w:t>201</w:t>
            </w:r>
          </w:p>
        </w:tc>
        <w:tc>
          <w:tcPr>
            <w:tcW w:w="851" w:type="dxa"/>
            <w:tcBorders>
              <w:bottom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57</w:t>
            </w:r>
            <w:r w:rsidR="00537863">
              <w:rPr>
                <w:bCs/>
                <w:sz w:val="18"/>
                <w:lang w:val="fr-CA"/>
              </w:rPr>
              <w:t> </w:t>
            </w:r>
            <w:r w:rsidRPr="00B3274C">
              <w:rPr>
                <w:bCs/>
                <w:sz w:val="18"/>
                <w:lang w:val="fr-CA"/>
              </w:rPr>
              <w:t>697</w:t>
            </w:r>
            <w:r w:rsidR="00537863">
              <w:rPr>
                <w:bCs/>
                <w:sz w:val="18"/>
                <w:lang w:val="fr-CA"/>
              </w:rPr>
              <w:t> </w:t>
            </w:r>
            <w:r w:rsidRPr="00B3274C">
              <w:rPr>
                <w:bCs/>
                <w:sz w:val="18"/>
                <w:lang w:val="fr-CA"/>
              </w:rPr>
              <w:t>336</w:t>
            </w:r>
          </w:p>
        </w:tc>
        <w:tc>
          <w:tcPr>
            <w:tcW w:w="851" w:type="dxa"/>
            <w:tcBorders>
              <w:bottom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151</w:t>
            </w:r>
            <w:r w:rsidR="00537863">
              <w:rPr>
                <w:bCs/>
                <w:sz w:val="18"/>
                <w:lang w:val="fr-CA"/>
              </w:rPr>
              <w:t>  </w:t>
            </w:r>
            <w:r w:rsidRPr="00B3274C">
              <w:rPr>
                <w:bCs/>
                <w:sz w:val="18"/>
                <w:lang w:val="fr-CA"/>
              </w:rPr>
              <w:t>942</w:t>
            </w:r>
            <w:r w:rsidR="00537863">
              <w:rPr>
                <w:bCs/>
                <w:sz w:val="18"/>
                <w:lang w:val="fr-CA"/>
              </w:rPr>
              <w:t> </w:t>
            </w:r>
            <w:r w:rsidRPr="00B3274C">
              <w:rPr>
                <w:bCs/>
                <w:sz w:val="18"/>
                <w:lang w:val="fr-CA"/>
              </w:rPr>
              <w:t>702</w:t>
            </w:r>
          </w:p>
        </w:tc>
        <w:tc>
          <w:tcPr>
            <w:tcW w:w="851" w:type="dxa"/>
            <w:tcBorders>
              <w:bottom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183</w:t>
            </w:r>
            <w:r w:rsidR="00537863">
              <w:rPr>
                <w:bCs/>
                <w:sz w:val="18"/>
                <w:lang w:val="fr-CA"/>
              </w:rPr>
              <w:t> </w:t>
            </w:r>
            <w:r w:rsidRPr="00B3274C">
              <w:rPr>
                <w:bCs/>
                <w:sz w:val="18"/>
                <w:lang w:val="fr-CA"/>
              </w:rPr>
              <w:t>609</w:t>
            </w:r>
            <w:r w:rsidR="00537863">
              <w:rPr>
                <w:bCs/>
                <w:sz w:val="18"/>
                <w:lang w:val="fr-CA"/>
              </w:rPr>
              <w:t> </w:t>
            </w:r>
            <w:r w:rsidRPr="00B3274C">
              <w:rPr>
                <w:bCs/>
                <w:sz w:val="18"/>
                <w:lang w:val="fr-CA"/>
              </w:rPr>
              <w:t>904</w:t>
            </w:r>
          </w:p>
        </w:tc>
        <w:tc>
          <w:tcPr>
            <w:tcW w:w="851" w:type="dxa"/>
            <w:tcBorders>
              <w:bottom w:val="single" w:sz="12" w:space="0" w:color="auto"/>
            </w:tcBorders>
            <w:shd w:val="clear" w:color="auto" w:fill="auto"/>
            <w:vAlign w:val="bottom"/>
          </w:tcPr>
          <w:p w:rsidR="00FB23D3" w:rsidRPr="00B3274C" w:rsidRDefault="00FB23D3" w:rsidP="00055317">
            <w:pPr>
              <w:pStyle w:val="SingleTxtG"/>
              <w:suppressAutoHyphens w:val="0"/>
              <w:spacing w:before="40" w:after="40" w:line="220" w:lineRule="exact"/>
              <w:ind w:left="113" w:right="0"/>
              <w:jc w:val="right"/>
              <w:rPr>
                <w:bCs/>
                <w:sz w:val="18"/>
                <w:lang w:val="fr-CA"/>
              </w:rPr>
            </w:pPr>
            <w:r w:rsidRPr="00B3274C">
              <w:rPr>
                <w:bCs/>
                <w:sz w:val="18"/>
                <w:lang w:val="fr-CA"/>
              </w:rPr>
              <w:t>155</w:t>
            </w:r>
            <w:r w:rsidR="00537863">
              <w:rPr>
                <w:bCs/>
                <w:sz w:val="18"/>
                <w:lang w:val="fr-CA"/>
              </w:rPr>
              <w:t> </w:t>
            </w:r>
            <w:r w:rsidRPr="00B3274C">
              <w:rPr>
                <w:bCs/>
                <w:sz w:val="18"/>
                <w:lang w:val="fr-CA"/>
              </w:rPr>
              <w:t>640</w:t>
            </w:r>
            <w:r w:rsidR="00537863">
              <w:rPr>
                <w:bCs/>
                <w:sz w:val="18"/>
                <w:lang w:val="fr-CA"/>
              </w:rPr>
              <w:t> </w:t>
            </w:r>
            <w:r w:rsidRPr="00B3274C">
              <w:rPr>
                <w:bCs/>
                <w:sz w:val="18"/>
                <w:lang w:val="fr-CA"/>
              </w:rPr>
              <w:t>154</w:t>
            </w:r>
          </w:p>
        </w:tc>
      </w:tr>
    </w:tbl>
    <w:p w:rsidR="00FB23D3" w:rsidRPr="00B3274C" w:rsidRDefault="00107A47" w:rsidP="00107A47">
      <w:pPr>
        <w:pStyle w:val="SingleTxtG"/>
        <w:spacing w:before="240"/>
        <w:rPr>
          <w:szCs w:val="25"/>
          <w:lang w:val="fr-CA"/>
        </w:rPr>
      </w:pPr>
      <w:r w:rsidRPr="00B3274C">
        <w:rPr>
          <w:lang w:val="fr-CA"/>
        </w:rPr>
        <w:t>170.</w:t>
      </w:r>
      <w:r w:rsidRPr="00B3274C">
        <w:rPr>
          <w:lang w:val="fr-CA"/>
        </w:rPr>
        <w:tab/>
      </w:r>
      <w:r w:rsidR="007134C7" w:rsidRPr="00B3274C">
        <w:rPr>
          <w:lang w:val="fr-CA"/>
        </w:rPr>
        <w:t>L</w:t>
      </w:r>
      <w:r w:rsidR="0080611A">
        <w:rPr>
          <w:lang w:val="fr-CA"/>
        </w:rPr>
        <w:t>’</w:t>
      </w:r>
      <w:r w:rsidR="007134C7" w:rsidRPr="00B3274C">
        <w:rPr>
          <w:lang w:val="fr-CA"/>
        </w:rPr>
        <w:t>Organisation pour le logement des travailleurs</w:t>
      </w:r>
      <w:r w:rsidR="007134C7" w:rsidRPr="00B3274C">
        <w:rPr>
          <w:szCs w:val="25"/>
          <w:lang w:val="fr-CA"/>
        </w:rPr>
        <w:t xml:space="preserve"> </w:t>
      </w:r>
      <w:r w:rsidR="006A50C5" w:rsidRPr="00B3274C">
        <w:rPr>
          <w:szCs w:val="25"/>
          <w:lang w:val="fr-CA"/>
        </w:rPr>
        <w:t>s</w:t>
      </w:r>
      <w:r w:rsidR="0080611A">
        <w:rPr>
          <w:szCs w:val="25"/>
          <w:lang w:val="fr-CA"/>
        </w:rPr>
        <w:t>’</w:t>
      </w:r>
      <w:r w:rsidR="006A50C5" w:rsidRPr="00B3274C">
        <w:rPr>
          <w:szCs w:val="25"/>
          <w:lang w:val="fr-CA"/>
        </w:rPr>
        <w:t>est montrée particulièrement compréhensive envers les bénéficiaires dans l</w:t>
      </w:r>
      <w:r w:rsidR="0080611A">
        <w:rPr>
          <w:szCs w:val="25"/>
          <w:lang w:val="fr-CA"/>
        </w:rPr>
        <w:t>’</w:t>
      </w:r>
      <w:r w:rsidR="006A50C5" w:rsidRPr="00B3274C">
        <w:rPr>
          <w:szCs w:val="25"/>
          <w:lang w:val="fr-CA"/>
        </w:rPr>
        <w:t>incapacité d</w:t>
      </w:r>
      <w:r w:rsidR="0080611A">
        <w:rPr>
          <w:szCs w:val="25"/>
          <w:lang w:val="fr-CA"/>
        </w:rPr>
        <w:t>’</w:t>
      </w:r>
      <w:r w:rsidR="006A50C5" w:rsidRPr="00B3274C">
        <w:rPr>
          <w:szCs w:val="25"/>
          <w:lang w:val="fr-CA"/>
        </w:rPr>
        <w:t>honorer leurs échéances et n</w:t>
      </w:r>
      <w:r w:rsidR="0080611A">
        <w:rPr>
          <w:szCs w:val="25"/>
          <w:lang w:val="fr-CA"/>
        </w:rPr>
        <w:t>’</w:t>
      </w:r>
      <w:r w:rsidR="006A50C5" w:rsidRPr="00B3274C">
        <w:rPr>
          <w:szCs w:val="25"/>
          <w:lang w:val="fr-CA"/>
        </w:rPr>
        <w:t xml:space="preserve">a jamais expulsé de débiteurs. </w:t>
      </w:r>
      <w:r w:rsidR="00FF5A68" w:rsidRPr="00B3274C">
        <w:rPr>
          <w:szCs w:val="25"/>
          <w:lang w:val="fr-CA"/>
        </w:rPr>
        <w:t>Pour pouvoir agir dans les cas où des événements soudains (chômage</w:t>
      </w:r>
      <w:r w:rsidR="0080611A">
        <w:rPr>
          <w:szCs w:val="25"/>
          <w:lang w:val="fr-CA"/>
        </w:rPr>
        <w:t>,</w:t>
      </w:r>
      <w:r w:rsidR="00FF5A68" w:rsidRPr="00B3274C">
        <w:rPr>
          <w:szCs w:val="25"/>
          <w:lang w:val="fr-CA"/>
        </w:rPr>
        <w:t xml:space="preserve"> maladie</w:t>
      </w:r>
      <w:r w:rsidR="0080611A">
        <w:rPr>
          <w:szCs w:val="25"/>
          <w:lang w:val="fr-CA"/>
        </w:rPr>
        <w:t>,</w:t>
      </w:r>
      <w:r w:rsidR="00FF5A68" w:rsidRPr="00B3274C">
        <w:rPr>
          <w:szCs w:val="25"/>
          <w:lang w:val="fr-CA"/>
        </w:rPr>
        <w:t xml:space="preserve"> etc.) empêchent des bénéficiaires </w:t>
      </w:r>
      <w:bookmarkStart w:id="26" w:name="OLE_LINK23"/>
      <w:bookmarkStart w:id="27" w:name="OLE_LINK24"/>
      <w:r w:rsidR="00FF5A68" w:rsidRPr="00B3274C">
        <w:rPr>
          <w:szCs w:val="25"/>
          <w:lang w:val="fr-CA"/>
        </w:rPr>
        <w:t>d</w:t>
      </w:r>
      <w:r w:rsidR="0080611A">
        <w:rPr>
          <w:szCs w:val="25"/>
          <w:lang w:val="fr-CA"/>
        </w:rPr>
        <w:t>’</w:t>
      </w:r>
      <w:r w:rsidR="00FF5A68" w:rsidRPr="00B3274C">
        <w:rPr>
          <w:szCs w:val="25"/>
          <w:lang w:val="fr-CA"/>
        </w:rPr>
        <w:t>effectuer leurs versements réguliers</w:t>
      </w:r>
      <w:r w:rsidR="0080611A">
        <w:rPr>
          <w:szCs w:val="25"/>
          <w:lang w:val="fr-CA"/>
        </w:rPr>
        <w:t>,</w:t>
      </w:r>
      <w:r w:rsidR="00FF5A68" w:rsidRPr="00B3274C">
        <w:rPr>
          <w:szCs w:val="25"/>
          <w:lang w:val="fr-CA"/>
        </w:rPr>
        <w:t xml:space="preserve"> elle a créé le Fonds spécial de solidarité</w:t>
      </w:r>
      <w:r w:rsidR="0080611A">
        <w:rPr>
          <w:szCs w:val="25"/>
          <w:lang w:val="fr-CA"/>
        </w:rPr>
        <w:t>,</w:t>
      </w:r>
      <w:r w:rsidR="00FF5A68" w:rsidRPr="00B3274C">
        <w:rPr>
          <w:szCs w:val="25"/>
          <w:lang w:val="fr-CA"/>
        </w:rPr>
        <w:t xml:space="preserve"> un programme dans le cadre duquel elle prend à sa charge lesdits versements pendant un an. </w:t>
      </w:r>
      <w:bookmarkEnd w:id="26"/>
      <w:bookmarkEnd w:id="27"/>
    </w:p>
    <w:p w:rsidR="00FB23D3" w:rsidRPr="00B3274C" w:rsidRDefault="00107A47" w:rsidP="00107A47">
      <w:pPr>
        <w:pStyle w:val="SingleTxtG"/>
        <w:rPr>
          <w:szCs w:val="25"/>
          <w:lang w:val="fr-CA"/>
        </w:rPr>
      </w:pPr>
      <w:r w:rsidRPr="00B3274C">
        <w:rPr>
          <w:lang w:val="fr-CA"/>
        </w:rPr>
        <w:t>171.</w:t>
      </w:r>
      <w:r w:rsidRPr="00B3274C">
        <w:rPr>
          <w:lang w:val="fr-CA"/>
        </w:rPr>
        <w:tab/>
      </w:r>
      <w:r w:rsidR="00FF5A68" w:rsidRPr="00B3274C">
        <w:rPr>
          <w:lang w:val="fr-CA"/>
        </w:rPr>
        <w:t>Il convient de noter que</w:t>
      </w:r>
      <w:r w:rsidR="0080611A">
        <w:rPr>
          <w:lang w:val="fr-CA"/>
        </w:rPr>
        <w:t>,</w:t>
      </w:r>
      <w:r w:rsidR="00FF5A68" w:rsidRPr="00B3274C">
        <w:rPr>
          <w:lang w:val="fr-CA"/>
        </w:rPr>
        <w:t xml:space="preserve"> comme suit</w:t>
      </w:r>
      <w:r w:rsidR="00E56991" w:rsidRPr="00B3274C">
        <w:rPr>
          <w:lang w:val="fr-CA"/>
        </w:rPr>
        <w:t>e</w:t>
      </w:r>
      <w:r w:rsidR="00FF5A68" w:rsidRPr="00B3274C">
        <w:rPr>
          <w:lang w:val="fr-CA"/>
        </w:rPr>
        <w:t xml:space="preserve"> au deuxième</w:t>
      </w:r>
      <w:r w:rsidR="00E56991" w:rsidRPr="00B3274C">
        <w:rPr>
          <w:lang w:val="fr-CA"/>
        </w:rPr>
        <w:t xml:space="preserve"> Protocole </w:t>
      </w:r>
      <w:r w:rsidR="00FF5A68" w:rsidRPr="00B3274C">
        <w:rPr>
          <w:lang w:val="fr-CA"/>
        </w:rPr>
        <w:t>d</w:t>
      </w:r>
      <w:r w:rsidR="0080611A">
        <w:rPr>
          <w:lang w:val="fr-CA"/>
        </w:rPr>
        <w:t>’</w:t>
      </w:r>
      <w:r w:rsidR="00FF5A68" w:rsidRPr="00B3274C">
        <w:rPr>
          <w:lang w:val="fr-CA"/>
        </w:rPr>
        <w:t>accord</w:t>
      </w:r>
      <w:r w:rsidR="00E56991" w:rsidRPr="00B3274C">
        <w:rPr>
          <w:lang w:val="fr-CA"/>
        </w:rPr>
        <w:t xml:space="preserve"> de conditionnalité sur une politique économique spécifique</w:t>
      </w:r>
      <w:r w:rsidR="0080611A">
        <w:rPr>
          <w:lang w:val="fr-CA"/>
        </w:rPr>
        <w:t>,</w:t>
      </w:r>
      <w:r w:rsidR="00E56991" w:rsidRPr="00B3274C">
        <w:rPr>
          <w:lang w:val="fr-CA"/>
        </w:rPr>
        <w:t xml:space="preserve"> l</w:t>
      </w:r>
      <w:r w:rsidR="0080611A">
        <w:rPr>
          <w:lang w:val="fr-CA"/>
        </w:rPr>
        <w:t>’</w:t>
      </w:r>
      <w:r w:rsidR="00E56991" w:rsidRPr="00B3274C">
        <w:rPr>
          <w:lang w:val="fr-CA"/>
        </w:rPr>
        <w:t xml:space="preserve">Organisation pour le logement des travailleurs ainsi que </w:t>
      </w:r>
      <w:r w:rsidR="00E56991" w:rsidRPr="00B3274C">
        <w:rPr>
          <w:szCs w:val="25"/>
          <w:lang w:val="fr-CA"/>
        </w:rPr>
        <w:t>l</w:t>
      </w:r>
      <w:r w:rsidR="0080611A">
        <w:rPr>
          <w:szCs w:val="25"/>
          <w:lang w:val="fr-CA"/>
        </w:rPr>
        <w:t>’</w:t>
      </w:r>
      <w:r w:rsidR="00E56991" w:rsidRPr="00B3274C">
        <w:rPr>
          <w:szCs w:val="25"/>
          <w:lang w:val="fr-CA"/>
        </w:rPr>
        <w:t>Institut des travailleurs (OEE) ont été supprimés.</w:t>
      </w:r>
      <w:r w:rsidR="007B1564" w:rsidRPr="00B3274C">
        <w:rPr>
          <w:szCs w:val="25"/>
          <w:lang w:val="fr-CA"/>
        </w:rPr>
        <w:t xml:space="preserve"> Le décret ministériel </w:t>
      </w:r>
      <w:r w:rsidR="00136426" w:rsidRPr="00B3274C">
        <w:rPr>
          <w:lang w:val="fr-CA"/>
        </w:rPr>
        <w:t>n</w:t>
      </w:r>
      <w:r w:rsidR="00136426" w:rsidRPr="00B3274C">
        <w:rPr>
          <w:vertAlign w:val="superscript"/>
          <w:lang w:val="fr-CA"/>
        </w:rPr>
        <w:t>o</w:t>
      </w:r>
      <w:r w:rsidR="00136426" w:rsidRPr="00B3274C">
        <w:rPr>
          <w:lang w:val="fr-CA"/>
        </w:rPr>
        <w:t> </w:t>
      </w:r>
      <w:r w:rsidR="006D66AF" w:rsidRPr="00B3274C">
        <w:rPr>
          <w:szCs w:val="25"/>
          <w:lang w:val="fr-CA"/>
        </w:rPr>
        <w:t xml:space="preserve">7 du </w:t>
      </w:r>
      <w:r w:rsidR="00FB23D3" w:rsidRPr="00B3274C">
        <w:rPr>
          <w:szCs w:val="25"/>
          <w:lang w:val="fr-CA"/>
        </w:rPr>
        <w:t>28</w:t>
      </w:r>
      <w:r w:rsidR="006D66AF" w:rsidRPr="00B3274C">
        <w:rPr>
          <w:szCs w:val="25"/>
          <w:lang w:val="fr-CA"/>
        </w:rPr>
        <w:t xml:space="preserve"> février </w:t>
      </w:r>
      <w:r w:rsidR="00FB23D3" w:rsidRPr="00B3274C">
        <w:rPr>
          <w:szCs w:val="25"/>
          <w:lang w:val="fr-CA"/>
        </w:rPr>
        <w:t>2012</w:t>
      </w:r>
      <w:r w:rsidR="0080611A">
        <w:rPr>
          <w:szCs w:val="25"/>
          <w:lang w:val="fr-CA"/>
        </w:rPr>
        <w:t>,</w:t>
      </w:r>
      <w:r w:rsidR="007B1564" w:rsidRPr="00B3274C">
        <w:rPr>
          <w:szCs w:val="25"/>
          <w:lang w:val="fr-CA"/>
        </w:rPr>
        <w:t xml:space="preserve"> donnant effet au </w:t>
      </w:r>
      <w:r w:rsidR="00FC24F7">
        <w:rPr>
          <w:szCs w:val="25"/>
          <w:lang w:val="fr-CA"/>
        </w:rPr>
        <w:t>paragraphe </w:t>
      </w:r>
      <w:r w:rsidR="007B1564" w:rsidRPr="00B3274C">
        <w:rPr>
          <w:szCs w:val="25"/>
          <w:lang w:val="fr-CA"/>
        </w:rPr>
        <w:t>6 de l</w:t>
      </w:r>
      <w:r w:rsidR="0080611A">
        <w:rPr>
          <w:szCs w:val="25"/>
          <w:lang w:val="fr-CA"/>
        </w:rPr>
        <w:t>’</w:t>
      </w:r>
      <w:r w:rsidR="00597DC4">
        <w:rPr>
          <w:szCs w:val="25"/>
          <w:lang w:val="fr-CA"/>
        </w:rPr>
        <w:t>article </w:t>
      </w:r>
      <w:r w:rsidR="007B1564" w:rsidRPr="00B3274C">
        <w:rPr>
          <w:szCs w:val="25"/>
          <w:lang w:val="fr-CA"/>
        </w:rPr>
        <w:t>premier</w:t>
      </w:r>
      <w:r w:rsidR="00FB23D3" w:rsidRPr="00B3274C">
        <w:rPr>
          <w:szCs w:val="25"/>
          <w:lang w:val="fr-CA"/>
        </w:rPr>
        <w:t xml:space="preserve"> </w:t>
      </w:r>
      <w:r w:rsidR="007B1564" w:rsidRPr="00B3274C">
        <w:rPr>
          <w:szCs w:val="25"/>
          <w:lang w:val="fr-CA"/>
        </w:rPr>
        <w:t xml:space="preserve">de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szCs w:val="25"/>
          <w:lang w:val="fr-CA"/>
        </w:rPr>
        <w:t>4046/2012</w:t>
      </w:r>
      <w:r w:rsidR="0080611A">
        <w:rPr>
          <w:szCs w:val="25"/>
          <w:lang w:val="fr-CA"/>
        </w:rPr>
        <w:t>,</w:t>
      </w:r>
      <w:r w:rsidR="00FB23D3" w:rsidRPr="00B3274C">
        <w:rPr>
          <w:szCs w:val="25"/>
          <w:lang w:val="fr-CA"/>
        </w:rPr>
        <w:t xml:space="preserve"> </w:t>
      </w:r>
      <w:r w:rsidR="007B1564" w:rsidRPr="00B3274C">
        <w:rPr>
          <w:szCs w:val="25"/>
          <w:lang w:val="fr-CA"/>
        </w:rPr>
        <w:t>stipule que toutes les compétences des organisations supprimées sont transférées à l</w:t>
      </w:r>
      <w:r w:rsidR="0080611A">
        <w:rPr>
          <w:szCs w:val="25"/>
          <w:lang w:val="fr-CA"/>
        </w:rPr>
        <w:t>’</w:t>
      </w:r>
      <w:r w:rsidR="007B1564" w:rsidRPr="00B3274C">
        <w:rPr>
          <w:szCs w:val="25"/>
          <w:lang w:val="fr-CA"/>
        </w:rPr>
        <w:t>Agence pour l</w:t>
      </w:r>
      <w:r w:rsidR="0080611A">
        <w:rPr>
          <w:szCs w:val="25"/>
          <w:lang w:val="fr-CA"/>
        </w:rPr>
        <w:t>’</w:t>
      </w:r>
      <w:r w:rsidR="007B1564" w:rsidRPr="00B3274C">
        <w:rPr>
          <w:szCs w:val="25"/>
          <w:lang w:val="fr-CA"/>
        </w:rPr>
        <w:t>emploi et exercées par celle-ci</w:t>
      </w:r>
      <w:r w:rsidR="00FB23D3" w:rsidRPr="00B3274C">
        <w:rPr>
          <w:szCs w:val="25"/>
          <w:lang w:val="fr-CA"/>
        </w:rPr>
        <w:t>.</w:t>
      </w:r>
    </w:p>
    <w:p w:rsidR="00FB23D3" w:rsidRPr="00B3274C" w:rsidRDefault="00162433" w:rsidP="00F749A8">
      <w:pPr>
        <w:pStyle w:val="H23G"/>
        <w:rPr>
          <w:lang w:val="fr-CA"/>
        </w:rPr>
      </w:pPr>
      <w:r w:rsidRPr="00B3274C">
        <w:rPr>
          <w:lang w:val="fr-CA"/>
        </w:rPr>
        <w:tab/>
      </w:r>
      <w:r w:rsidR="00F749A8" w:rsidRPr="00B3274C">
        <w:rPr>
          <w:lang w:val="fr-CA"/>
        </w:rPr>
        <w:t>3.</w:t>
      </w:r>
      <w:r w:rsidRPr="00B3274C">
        <w:rPr>
          <w:lang w:val="fr-CA"/>
        </w:rPr>
        <w:tab/>
      </w:r>
      <w:r w:rsidR="00DA5885" w:rsidRPr="00B3274C">
        <w:rPr>
          <w:lang w:val="fr-CA"/>
        </w:rPr>
        <w:t>Lutte contre le phénomène des sans-abri (par</w:t>
      </w:r>
      <w:r w:rsidR="006050A1" w:rsidRPr="00B3274C">
        <w:rPr>
          <w:lang w:val="fr-CA"/>
        </w:rPr>
        <w:t>.</w:t>
      </w:r>
      <w:r w:rsidR="00DA5885" w:rsidRPr="00B3274C">
        <w:rPr>
          <w:lang w:val="fr-CA"/>
        </w:rPr>
        <w:t xml:space="preserve"> 23 et 45 des observations finales du Comité) </w:t>
      </w:r>
    </w:p>
    <w:p w:rsidR="00FB23D3" w:rsidRPr="00B3274C" w:rsidRDefault="00107A47" w:rsidP="00107A47">
      <w:pPr>
        <w:pStyle w:val="SingleTxtG"/>
        <w:rPr>
          <w:lang w:val="fr-CA"/>
        </w:rPr>
      </w:pPr>
      <w:r w:rsidRPr="00B3274C">
        <w:rPr>
          <w:lang w:val="fr-CA"/>
        </w:rPr>
        <w:t>172.</w:t>
      </w:r>
      <w:r w:rsidRPr="00B3274C">
        <w:rPr>
          <w:lang w:val="fr-CA"/>
        </w:rPr>
        <w:tab/>
      </w:r>
      <w:r w:rsidR="00503FDD" w:rsidRPr="00B3274C">
        <w:rPr>
          <w:lang w:val="fr-CA"/>
        </w:rPr>
        <w:t>Étant donné</w:t>
      </w:r>
      <w:r w:rsidR="0014033A" w:rsidRPr="00B3274C">
        <w:rPr>
          <w:lang w:val="fr-CA"/>
        </w:rPr>
        <w:t xml:space="preserve"> l</w:t>
      </w:r>
      <w:r w:rsidR="0080611A">
        <w:rPr>
          <w:lang w:val="fr-CA"/>
        </w:rPr>
        <w:t>’</w:t>
      </w:r>
      <w:r w:rsidR="0014033A" w:rsidRPr="00B3274C">
        <w:rPr>
          <w:lang w:val="fr-CA"/>
        </w:rPr>
        <w:t xml:space="preserve">évolution constante du </w:t>
      </w:r>
      <w:r w:rsidR="00503FDD" w:rsidRPr="00B3274C">
        <w:rPr>
          <w:lang w:val="fr-CA"/>
        </w:rPr>
        <w:t>phénomène des sans-abri et</w:t>
      </w:r>
      <w:r w:rsidR="0014033A" w:rsidRPr="00B3274C">
        <w:rPr>
          <w:lang w:val="fr-CA"/>
        </w:rPr>
        <w:t xml:space="preserve"> la grande diversité des </w:t>
      </w:r>
      <w:r w:rsidR="00503FDD" w:rsidRPr="00B3274C">
        <w:rPr>
          <w:lang w:val="fr-CA"/>
        </w:rPr>
        <w:t>études ou actions entreprises par divers organismes pour calculer le nombre des sans-abri</w:t>
      </w:r>
      <w:r w:rsidR="0080611A">
        <w:rPr>
          <w:lang w:val="fr-CA"/>
        </w:rPr>
        <w:t>,</w:t>
      </w:r>
      <w:r w:rsidR="00503FDD" w:rsidRPr="00B3274C">
        <w:rPr>
          <w:lang w:val="fr-CA"/>
        </w:rPr>
        <w:t xml:space="preserve"> </w:t>
      </w:r>
      <w:r w:rsidR="009B2D15" w:rsidRPr="00B3274C">
        <w:rPr>
          <w:lang w:val="fr-CA"/>
        </w:rPr>
        <w:t xml:space="preserve">et </w:t>
      </w:r>
      <w:r w:rsidR="0014033A" w:rsidRPr="00B3274C">
        <w:rPr>
          <w:lang w:val="fr-CA"/>
        </w:rPr>
        <w:t>afin qu</w:t>
      </w:r>
      <w:r w:rsidR="0080611A">
        <w:rPr>
          <w:lang w:val="fr-CA"/>
        </w:rPr>
        <w:t>’</w:t>
      </w:r>
      <w:r w:rsidR="0014033A" w:rsidRPr="00B3274C">
        <w:rPr>
          <w:lang w:val="fr-CA"/>
        </w:rPr>
        <w:t>un organisme officiel procède à une collecte plus systématique de données val</w:t>
      </w:r>
      <w:r w:rsidR="009B50D8" w:rsidRPr="00B3274C">
        <w:rPr>
          <w:lang w:val="fr-CA"/>
        </w:rPr>
        <w:t>ides</w:t>
      </w:r>
      <w:r w:rsidR="0014033A" w:rsidRPr="00B3274C">
        <w:rPr>
          <w:lang w:val="fr-CA"/>
        </w:rPr>
        <w:t xml:space="preserve"> en vue d</w:t>
      </w:r>
      <w:r w:rsidR="0080611A">
        <w:rPr>
          <w:lang w:val="fr-CA"/>
        </w:rPr>
        <w:t>’</w:t>
      </w:r>
      <w:r w:rsidR="0014033A" w:rsidRPr="00B3274C">
        <w:rPr>
          <w:lang w:val="fr-CA"/>
        </w:rPr>
        <w:t xml:space="preserve">établir une planification et une programmation </w:t>
      </w:r>
      <w:r w:rsidR="00A66037" w:rsidRPr="00B3274C">
        <w:rPr>
          <w:lang w:val="fr-CA"/>
        </w:rPr>
        <w:t>adéquates</w:t>
      </w:r>
      <w:r w:rsidR="0014033A" w:rsidRPr="00B3274C">
        <w:rPr>
          <w:lang w:val="fr-CA"/>
        </w:rPr>
        <w:t xml:space="preserve"> pour appliquer les programmes de soutien et d</w:t>
      </w:r>
      <w:r w:rsidR="0080611A">
        <w:rPr>
          <w:lang w:val="fr-CA"/>
        </w:rPr>
        <w:t>’</w:t>
      </w:r>
      <w:r w:rsidR="0014033A" w:rsidRPr="00B3274C">
        <w:rPr>
          <w:lang w:val="fr-CA"/>
        </w:rPr>
        <w:t>assistance aux sans-abri</w:t>
      </w:r>
      <w:r w:rsidR="0080611A">
        <w:rPr>
          <w:lang w:val="fr-CA"/>
        </w:rPr>
        <w:t>,</w:t>
      </w:r>
      <w:r w:rsidR="0014033A" w:rsidRPr="00B3274C">
        <w:rPr>
          <w:lang w:val="fr-CA"/>
        </w:rPr>
        <w:t xml:space="preserve"> </w:t>
      </w:r>
      <w:r w:rsidR="00A4685D" w:rsidRPr="00B3274C">
        <w:rPr>
          <w:lang w:val="fr-CA"/>
        </w:rPr>
        <w:t xml:space="preserve">le Centre national pour la solidarité sociale (EKKA) a été chargé </w:t>
      </w:r>
      <w:r w:rsidR="0014033A" w:rsidRPr="00B3274C">
        <w:rPr>
          <w:lang w:val="fr-CA"/>
        </w:rPr>
        <w:t>de rassembler des données à l</w:t>
      </w:r>
      <w:r w:rsidR="0080611A">
        <w:rPr>
          <w:lang w:val="fr-CA"/>
        </w:rPr>
        <w:t>’</w:t>
      </w:r>
      <w:r w:rsidR="0014033A" w:rsidRPr="00B3274C">
        <w:rPr>
          <w:lang w:val="fr-CA"/>
        </w:rPr>
        <w:t>échel</w:t>
      </w:r>
      <w:r w:rsidR="00DB4F8B" w:rsidRPr="00B3274C">
        <w:rPr>
          <w:lang w:val="fr-CA"/>
        </w:rPr>
        <w:t>le</w:t>
      </w:r>
      <w:r w:rsidR="0014033A" w:rsidRPr="00B3274C">
        <w:rPr>
          <w:lang w:val="fr-CA"/>
        </w:rPr>
        <w:t xml:space="preserve"> national</w:t>
      </w:r>
      <w:r w:rsidR="00DB4F8B" w:rsidRPr="00B3274C">
        <w:rPr>
          <w:lang w:val="fr-CA"/>
        </w:rPr>
        <w:t>e</w:t>
      </w:r>
      <w:r w:rsidR="0014033A" w:rsidRPr="00B3274C">
        <w:rPr>
          <w:lang w:val="fr-CA"/>
        </w:rPr>
        <w:t xml:space="preserve"> pour l</w:t>
      </w:r>
      <w:r w:rsidR="0080611A">
        <w:rPr>
          <w:lang w:val="fr-CA"/>
        </w:rPr>
        <w:t>’</w:t>
      </w:r>
      <w:r w:rsidR="0014033A" w:rsidRPr="00B3274C">
        <w:rPr>
          <w:lang w:val="fr-CA"/>
        </w:rPr>
        <w:t>année 2009</w:t>
      </w:r>
      <w:r w:rsidR="0080611A">
        <w:rPr>
          <w:lang w:val="fr-CA"/>
        </w:rPr>
        <w:t>,</w:t>
      </w:r>
      <w:r w:rsidR="0014033A" w:rsidRPr="00B3274C">
        <w:rPr>
          <w:lang w:val="fr-CA"/>
        </w:rPr>
        <w:t xml:space="preserve"> en collaboration avec les autorités locales compétentes et d</w:t>
      </w:r>
      <w:r w:rsidR="0080611A">
        <w:rPr>
          <w:lang w:val="fr-CA"/>
        </w:rPr>
        <w:t>’</w:t>
      </w:r>
      <w:r w:rsidR="0014033A" w:rsidRPr="00B3274C">
        <w:rPr>
          <w:lang w:val="fr-CA"/>
        </w:rPr>
        <w:t>autres parties prenantes (municipalités</w:t>
      </w:r>
      <w:r w:rsidR="0080611A">
        <w:rPr>
          <w:lang w:val="fr-CA"/>
        </w:rPr>
        <w:t>,</w:t>
      </w:r>
      <w:r w:rsidR="0014033A" w:rsidRPr="00B3274C">
        <w:rPr>
          <w:lang w:val="fr-CA"/>
        </w:rPr>
        <w:t xml:space="preserve"> église</w:t>
      </w:r>
      <w:r w:rsidR="0080611A">
        <w:rPr>
          <w:lang w:val="fr-CA"/>
        </w:rPr>
        <w:t>,</w:t>
      </w:r>
      <w:r w:rsidR="0014033A" w:rsidRPr="00B3274C">
        <w:rPr>
          <w:lang w:val="fr-CA"/>
        </w:rPr>
        <w:t xml:space="preserve"> ONG</w:t>
      </w:r>
      <w:r w:rsidR="0080611A">
        <w:rPr>
          <w:lang w:val="fr-CA"/>
        </w:rPr>
        <w:t>,</w:t>
      </w:r>
      <w:r w:rsidR="0014033A" w:rsidRPr="00B3274C">
        <w:rPr>
          <w:lang w:val="fr-CA"/>
        </w:rPr>
        <w:t xml:space="preserve"> etc.)</w:t>
      </w:r>
      <w:r w:rsidR="0080611A">
        <w:rPr>
          <w:lang w:val="fr-CA"/>
        </w:rPr>
        <w:t>,</w:t>
      </w:r>
      <w:r w:rsidR="0014033A" w:rsidRPr="00B3274C">
        <w:rPr>
          <w:lang w:val="fr-CA"/>
        </w:rPr>
        <w:t xml:space="preserve"> en appliquant les méthodes européennes pertinentes. </w:t>
      </w:r>
    </w:p>
    <w:p w:rsidR="00FB23D3" w:rsidRPr="00B3274C" w:rsidRDefault="00107A47" w:rsidP="00107A47">
      <w:pPr>
        <w:pStyle w:val="SingleTxtG"/>
        <w:rPr>
          <w:lang w:val="fr-CA"/>
        </w:rPr>
      </w:pPr>
      <w:r w:rsidRPr="00B3274C">
        <w:rPr>
          <w:lang w:val="fr-CA"/>
        </w:rPr>
        <w:t>173.</w:t>
      </w:r>
      <w:r w:rsidRPr="00B3274C">
        <w:rPr>
          <w:lang w:val="fr-CA"/>
        </w:rPr>
        <w:tab/>
      </w:r>
      <w:r w:rsidR="00AF7180" w:rsidRPr="00B3274C">
        <w:rPr>
          <w:lang w:val="fr-CA"/>
        </w:rPr>
        <w:t>Les données fournies à ce jour selon cette procédure montrent qu</w:t>
      </w:r>
      <w:r w:rsidR="0080611A">
        <w:rPr>
          <w:lang w:val="fr-CA"/>
        </w:rPr>
        <w:t>’</w:t>
      </w:r>
      <w:r w:rsidR="00AF7180" w:rsidRPr="00B3274C">
        <w:rPr>
          <w:lang w:val="fr-CA"/>
        </w:rPr>
        <w:t xml:space="preserve">il y a 21 216 cas </w:t>
      </w:r>
      <w:r w:rsidR="00614BAC">
        <w:rPr>
          <w:lang w:val="fr-CA"/>
        </w:rPr>
        <w:t>de personnes</w:t>
      </w:r>
      <w:r w:rsidR="00AF7180" w:rsidRPr="00B3274C">
        <w:rPr>
          <w:lang w:val="fr-CA"/>
        </w:rPr>
        <w:t xml:space="preserve"> sans foyer (qui vivent dans la rue</w:t>
      </w:r>
      <w:r w:rsidR="0080611A">
        <w:rPr>
          <w:lang w:val="fr-CA"/>
        </w:rPr>
        <w:t>,</w:t>
      </w:r>
      <w:r w:rsidR="00AF7180" w:rsidRPr="00B3274C">
        <w:rPr>
          <w:lang w:val="fr-CA"/>
        </w:rPr>
        <w:t xml:space="preserve"> dans des logements peu sûrs</w:t>
      </w:r>
      <w:r w:rsidR="0080611A">
        <w:rPr>
          <w:lang w:val="fr-CA"/>
        </w:rPr>
        <w:t>,</w:t>
      </w:r>
      <w:r w:rsidR="00AF7180" w:rsidRPr="00B3274C">
        <w:rPr>
          <w:lang w:val="fr-CA"/>
        </w:rPr>
        <w:t xml:space="preserve"> dans des centres d</w:t>
      </w:r>
      <w:r w:rsidR="0080611A">
        <w:rPr>
          <w:lang w:val="fr-CA"/>
        </w:rPr>
        <w:t>’</w:t>
      </w:r>
      <w:r w:rsidR="00AF7180" w:rsidRPr="00B3274C">
        <w:rPr>
          <w:lang w:val="fr-CA"/>
        </w:rPr>
        <w:t>hébergement ou des pensions</w:t>
      </w:r>
      <w:r w:rsidR="0080611A">
        <w:rPr>
          <w:lang w:val="fr-CA"/>
        </w:rPr>
        <w:t>,</w:t>
      </w:r>
      <w:r w:rsidR="00AF7180" w:rsidRPr="00B3274C">
        <w:rPr>
          <w:lang w:val="fr-CA"/>
        </w:rPr>
        <w:t xml:space="preserve"> etc.)</w:t>
      </w:r>
      <w:r w:rsidR="00EC5892" w:rsidRPr="00B3274C">
        <w:rPr>
          <w:lang w:val="fr-CA"/>
        </w:rPr>
        <w:t>;</w:t>
      </w:r>
      <w:r w:rsidR="00AF7180" w:rsidRPr="00B3274C">
        <w:rPr>
          <w:lang w:val="fr-CA"/>
        </w:rPr>
        <w:t xml:space="preserve"> on trouvera des détails dans le tableau qui figure à l</w:t>
      </w:r>
      <w:r w:rsidR="0080611A">
        <w:rPr>
          <w:lang w:val="fr-CA"/>
        </w:rPr>
        <w:t>’</w:t>
      </w:r>
      <w:r w:rsidR="00AF7180" w:rsidRPr="00B3274C">
        <w:rPr>
          <w:lang w:val="fr-CA"/>
        </w:rPr>
        <w:t xml:space="preserve">annexe </w:t>
      </w:r>
      <w:r w:rsidR="00FB23D3" w:rsidRPr="00B3274C">
        <w:rPr>
          <w:lang w:val="fr-CA"/>
        </w:rPr>
        <w:t>3.</w:t>
      </w:r>
    </w:p>
    <w:p w:rsidR="00FB23D3" w:rsidRPr="00B3274C" w:rsidRDefault="00107A47" w:rsidP="00107A47">
      <w:pPr>
        <w:pStyle w:val="SingleTxtG"/>
        <w:rPr>
          <w:b/>
          <w:bCs/>
          <w:lang w:val="fr-CA"/>
        </w:rPr>
      </w:pPr>
      <w:r w:rsidRPr="00B3274C">
        <w:rPr>
          <w:bCs/>
          <w:lang w:val="fr-CA"/>
        </w:rPr>
        <w:t>174.</w:t>
      </w:r>
      <w:r w:rsidRPr="00B3274C">
        <w:rPr>
          <w:bCs/>
          <w:lang w:val="fr-CA"/>
        </w:rPr>
        <w:tab/>
      </w:r>
      <w:r w:rsidR="00AF7180" w:rsidRPr="00B3274C">
        <w:rPr>
          <w:bCs/>
          <w:lang w:val="fr-CA"/>
        </w:rPr>
        <w:t>Pour lutter contre le manque de logements</w:t>
      </w:r>
      <w:r w:rsidR="0080611A">
        <w:rPr>
          <w:bCs/>
          <w:lang w:val="fr-CA"/>
        </w:rPr>
        <w:t>,</w:t>
      </w:r>
      <w:r w:rsidR="00AF7180" w:rsidRPr="00B3274C">
        <w:rPr>
          <w:bCs/>
          <w:lang w:val="fr-CA"/>
        </w:rPr>
        <w:t xml:space="preserve"> </w:t>
      </w:r>
      <w:r w:rsidR="007A19CB" w:rsidRPr="00B3274C">
        <w:rPr>
          <w:bCs/>
          <w:lang w:val="fr-CA"/>
        </w:rPr>
        <w:t>facteur</w:t>
      </w:r>
      <w:r w:rsidR="00AF7180" w:rsidRPr="00B3274C">
        <w:rPr>
          <w:bCs/>
          <w:lang w:val="fr-CA"/>
        </w:rPr>
        <w:t xml:space="preserve"> d</w:t>
      </w:r>
      <w:r w:rsidR="0080611A">
        <w:rPr>
          <w:bCs/>
          <w:lang w:val="fr-CA"/>
        </w:rPr>
        <w:t>’</w:t>
      </w:r>
      <w:r w:rsidR="00AF7180" w:rsidRPr="00B3274C">
        <w:rPr>
          <w:bCs/>
          <w:lang w:val="fr-CA"/>
        </w:rPr>
        <w:t>exclusion sociale</w:t>
      </w:r>
      <w:r w:rsidR="0080611A">
        <w:rPr>
          <w:bCs/>
          <w:lang w:val="fr-CA"/>
        </w:rPr>
        <w:t>,</w:t>
      </w:r>
      <w:r w:rsidR="00AF7180" w:rsidRPr="00B3274C">
        <w:rPr>
          <w:bCs/>
          <w:lang w:val="fr-CA"/>
        </w:rPr>
        <w:t xml:space="preserve"> le Ministère de la santé et de la solidarité sociale met en œuvre toute une série de mesures et d</w:t>
      </w:r>
      <w:r w:rsidR="0080611A">
        <w:rPr>
          <w:bCs/>
          <w:lang w:val="fr-CA"/>
        </w:rPr>
        <w:t>’</w:t>
      </w:r>
      <w:r w:rsidR="00AF7180" w:rsidRPr="00B3274C">
        <w:rPr>
          <w:bCs/>
          <w:lang w:val="fr-CA"/>
        </w:rPr>
        <w:t>action</w:t>
      </w:r>
      <w:r w:rsidR="007702B0" w:rsidRPr="00B3274C">
        <w:rPr>
          <w:bCs/>
          <w:lang w:val="fr-CA"/>
        </w:rPr>
        <w:t>s</w:t>
      </w:r>
      <w:r w:rsidR="00AF7180" w:rsidRPr="00B3274C">
        <w:rPr>
          <w:bCs/>
          <w:lang w:val="fr-CA"/>
        </w:rPr>
        <w:t>. Un comité a été créé</w:t>
      </w:r>
      <w:r w:rsidR="0080611A">
        <w:rPr>
          <w:bCs/>
          <w:lang w:val="fr-CA"/>
        </w:rPr>
        <w:t>,</w:t>
      </w:r>
      <w:r w:rsidR="007702B0" w:rsidRPr="00B3274C">
        <w:rPr>
          <w:bCs/>
          <w:lang w:val="fr-CA"/>
        </w:rPr>
        <w:t xml:space="preserve"> avec la participation </w:t>
      </w:r>
      <w:r w:rsidR="00AF7180" w:rsidRPr="00B3274C">
        <w:rPr>
          <w:bCs/>
          <w:lang w:val="fr-CA"/>
        </w:rPr>
        <w:t xml:space="preserve">du Centre national pour la solidarité sociale </w:t>
      </w:r>
      <w:r w:rsidR="00AF7180" w:rsidRPr="00B3274C">
        <w:rPr>
          <w:lang w:val="fr-CA"/>
        </w:rPr>
        <w:t>(EKKA) et d</w:t>
      </w:r>
      <w:r w:rsidR="0080611A">
        <w:rPr>
          <w:lang w:val="fr-CA"/>
        </w:rPr>
        <w:t>’</w:t>
      </w:r>
      <w:r w:rsidR="00AF7180" w:rsidRPr="00B3274C">
        <w:rPr>
          <w:lang w:val="fr-CA"/>
        </w:rPr>
        <w:t>autres autorités locales et parties prenantes compétentes (municipalités</w:t>
      </w:r>
      <w:r w:rsidR="0080611A">
        <w:rPr>
          <w:lang w:val="fr-CA"/>
        </w:rPr>
        <w:t>,</w:t>
      </w:r>
      <w:r w:rsidR="00AF7180" w:rsidRPr="00B3274C">
        <w:rPr>
          <w:lang w:val="fr-CA"/>
        </w:rPr>
        <w:t xml:space="preserve"> église</w:t>
      </w:r>
      <w:r w:rsidR="0080611A">
        <w:rPr>
          <w:lang w:val="fr-CA"/>
        </w:rPr>
        <w:t>,</w:t>
      </w:r>
      <w:r w:rsidR="00AF7180" w:rsidRPr="00B3274C">
        <w:rPr>
          <w:lang w:val="fr-CA"/>
        </w:rPr>
        <w:t xml:space="preserve"> ONG</w:t>
      </w:r>
      <w:r w:rsidR="0080611A">
        <w:rPr>
          <w:lang w:val="fr-CA"/>
        </w:rPr>
        <w:t>,</w:t>
      </w:r>
      <w:r w:rsidR="007702B0" w:rsidRPr="00B3274C">
        <w:rPr>
          <w:lang w:val="fr-CA"/>
        </w:rPr>
        <w:t xml:space="preserve"> etc.)</w:t>
      </w:r>
      <w:r w:rsidR="0080611A">
        <w:rPr>
          <w:lang w:val="fr-CA"/>
        </w:rPr>
        <w:t>,</w:t>
      </w:r>
      <w:r w:rsidR="007702B0" w:rsidRPr="00B3274C">
        <w:rPr>
          <w:lang w:val="fr-CA"/>
        </w:rPr>
        <w:t xml:space="preserve"> et chargé d</w:t>
      </w:r>
      <w:r w:rsidR="0080611A">
        <w:rPr>
          <w:lang w:val="fr-CA"/>
        </w:rPr>
        <w:t>’</w:t>
      </w:r>
      <w:r w:rsidR="007702B0" w:rsidRPr="00B3274C">
        <w:rPr>
          <w:lang w:val="fr-CA"/>
        </w:rPr>
        <w:t>organiser et de mettre en œuvre à l</w:t>
      </w:r>
      <w:r w:rsidR="0080611A">
        <w:rPr>
          <w:lang w:val="fr-CA"/>
        </w:rPr>
        <w:t>’</w:t>
      </w:r>
      <w:r w:rsidR="007702B0" w:rsidRPr="00B3274C">
        <w:rPr>
          <w:lang w:val="fr-CA"/>
        </w:rPr>
        <w:t>échelle du pays une collecte de données sur les sans-abri</w:t>
      </w:r>
      <w:r w:rsidR="0080611A">
        <w:rPr>
          <w:lang w:val="fr-CA"/>
        </w:rPr>
        <w:t>,</w:t>
      </w:r>
      <w:r w:rsidR="007702B0" w:rsidRPr="00B3274C">
        <w:rPr>
          <w:lang w:val="fr-CA"/>
        </w:rPr>
        <w:t xml:space="preserve"> en appliquant les méthodes européennes pertinentes. Il a aussi été chargé de mettre au point un ensemble de mesures de soutien aux sans-abri. </w:t>
      </w:r>
    </w:p>
    <w:p w:rsidR="00FB23D3" w:rsidRPr="00B3274C" w:rsidRDefault="00107A47" w:rsidP="00107A47">
      <w:pPr>
        <w:pStyle w:val="SingleTxtG"/>
        <w:rPr>
          <w:b/>
          <w:bCs/>
          <w:lang w:val="fr-CA"/>
        </w:rPr>
      </w:pPr>
      <w:r w:rsidRPr="00B3274C">
        <w:rPr>
          <w:bCs/>
          <w:lang w:val="fr-CA"/>
        </w:rPr>
        <w:t>175.</w:t>
      </w:r>
      <w:r w:rsidRPr="00B3274C">
        <w:rPr>
          <w:bCs/>
          <w:lang w:val="fr-CA"/>
        </w:rPr>
        <w:tab/>
      </w:r>
      <w:r w:rsidR="007702B0" w:rsidRPr="00B3274C">
        <w:rPr>
          <w:bCs/>
          <w:lang w:val="fr-CA"/>
        </w:rPr>
        <w:t>À ce propos</w:t>
      </w:r>
      <w:r w:rsidR="0080611A">
        <w:rPr>
          <w:bCs/>
          <w:lang w:val="fr-CA"/>
        </w:rPr>
        <w:t>,</w:t>
      </w:r>
      <w:r w:rsidR="007702B0" w:rsidRPr="00B3274C">
        <w:rPr>
          <w:bCs/>
          <w:lang w:val="fr-CA"/>
        </w:rPr>
        <w:t xml:space="preserve"> le Gouvernement grec a reconnu tout récemment</w:t>
      </w:r>
      <w:r w:rsidR="0080611A">
        <w:rPr>
          <w:bCs/>
          <w:lang w:val="fr-CA"/>
        </w:rPr>
        <w:t>,</w:t>
      </w:r>
      <w:r w:rsidR="007702B0" w:rsidRPr="00B3274C">
        <w:rPr>
          <w:bCs/>
          <w:lang w:val="fr-CA"/>
        </w:rPr>
        <w:t xml:space="preserve"> par la loi </w:t>
      </w:r>
      <w:r w:rsidR="00136426" w:rsidRPr="00B3274C">
        <w:rPr>
          <w:lang w:val="fr-CA"/>
        </w:rPr>
        <w:t>n</w:t>
      </w:r>
      <w:r w:rsidR="00136426" w:rsidRPr="00B3274C">
        <w:rPr>
          <w:vertAlign w:val="superscript"/>
          <w:lang w:val="fr-CA"/>
        </w:rPr>
        <w:t>o</w:t>
      </w:r>
      <w:r w:rsidR="00136426" w:rsidRPr="00B3274C">
        <w:rPr>
          <w:lang w:val="fr-CA"/>
        </w:rPr>
        <w:t> </w:t>
      </w:r>
      <w:r w:rsidR="005F200A" w:rsidRPr="00B3274C">
        <w:rPr>
          <w:bCs/>
          <w:lang w:val="fr-CA"/>
        </w:rPr>
        <w:t>4052/2012</w:t>
      </w:r>
      <w:r w:rsidR="0080611A">
        <w:rPr>
          <w:bCs/>
          <w:lang w:val="fr-CA"/>
        </w:rPr>
        <w:t>,</w:t>
      </w:r>
      <w:r w:rsidR="007702B0" w:rsidRPr="00B3274C">
        <w:rPr>
          <w:bCs/>
          <w:lang w:val="fr-CA"/>
        </w:rPr>
        <w:t xml:space="preserve"> que les sans-abri formaient un groupe vulnérable particulier bénéficiant d</w:t>
      </w:r>
      <w:r w:rsidR="0080611A">
        <w:rPr>
          <w:bCs/>
          <w:lang w:val="fr-CA"/>
        </w:rPr>
        <w:t>’</w:t>
      </w:r>
      <w:r w:rsidR="007702B0" w:rsidRPr="00B3274C">
        <w:rPr>
          <w:bCs/>
          <w:lang w:val="fr-CA"/>
        </w:rPr>
        <w:t>une protection sociale</w:t>
      </w:r>
      <w:r w:rsidR="00FB23D3" w:rsidRPr="00B3274C">
        <w:rPr>
          <w:bCs/>
          <w:lang w:val="fr-CA"/>
        </w:rPr>
        <w:t>.</w:t>
      </w:r>
    </w:p>
    <w:p w:rsidR="00FB23D3" w:rsidRPr="00B3274C" w:rsidRDefault="00162433" w:rsidP="00F749A8">
      <w:pPr>
        <w:pStyle w:val="H23G"/>
        <w:rPr>
          <w:lang w:val="fr-CA"/>
        </w:rPr>
      </w:pPr>
      <w:r w:rsidRPr="00B3274C">
        <w:rPr>
          <w:lang w:val="fr-CA"/>
        </w:rPr>
        <w:tab/>
      </w:r>
      <w:r w:rsidR="00F749A8" w:rsidRPr="00B3274C">
        <w:rPr>
          <w:lang w:val="fr-CA"/>
        </w:rPr>
        <w:t>4.</w:t>
      </w:r>
      <w:r w:rsidRPr="00B3274C">
        <w:rPr>
          <w:lang w:val="fr-CA"/>
        </w:rPr>
        <w:tab/>
      </w:r>
      <w:r w:rsidR="007702B0" w:rsidRPr="00B3274C">
        <w:rPr>
          <w:lang w:val="fr-CA"/>
        </w:rPr>
        <w:t xml:space="preserve">Groupes vulnérables et défavorisés en matière de logement </w:t>
      </w:r>
    </w:p>
    <w:p w:rsidR="00FB23D3" w:rsidRPr="00B3274C" w:rsidRDefault="00107A47" w:rsidP="00107A47">
      <w:pPr>
        <w:pStyle w:val="SingleTxtG"/>
        <w:rPr>
          <w:lang w:val="fr-CA"/>
        </w:rPr>
      </w:pPr>
      <w:r w:rsidRPr="00B3274C">
        <w:rPr>
          <w:lang w:val="fr-CA"/>
        </w:rPr>
        <w:t>176.</w:t>
      </w:r>
      <w:r w:rsidRPr="00B3274C">
        <w:rPr>
          <w:lang w:val="fr-CA"/>
        </w:rPr>
        <w:tab/>
      </w:r>
      <w:r w:rsidR="005C4D41" w:rsidRPr="00B3274C">
        <w:rPr>
          <w:lang w:val="fr-CA"/>
        </w:rPr>
        <w:t>Des programmes de protection sociale sont appliqués par l</w:t>
      </w:r>
      <w:r w:rsidR="0080611A">
        <w:rPr>
          <w:lang w:val="fr-CA"/>
        </w:rPr>
        <w:t>’</w:t>
      </w:r>
      <w:r w:rsidR="005C4D41" w:rsidRPr="00B3274C">
        <w:rPr>
          <w:lang w:val="fr-CA"/>
        </w:rPr>
        <w:t>entremise des autorités locales pour combattre la pauvreté et aider les ménages gravement touchés par des événements imprévus (tels que catastrophes</w:t>
      </w:r>
      <w:r w:rsidR="0080611A">
        <w:rPr>
          <w:lang w:val="fr-CA"/>
        </w:rPr>
        <w:t>,</w:t>
      </w:r>
      <w:r w:rsidR="005C4D41" w:rsidRPr="00B3274C">
        <w:rPr>
          <w:lang w:val="fr-CA"/>
        </w:rPr>
        <w:t xml:space="preserve"> etc.) à se relever</w:t>
      </w:r>
      <w:r w:rsidR="00C341E7" w:rsidRPr="00B3274C">
        <w:rPr>
          <w:lang w:val="fr-CA"/>
        </w:rPr>
        <w:t xml:space="preserve"> </w:t>
      </w:r>
      <w:r w:rsidR="00EA0C90" w:rsidRPr="00B3274C">
        <w:rPr>
          <w:lang w:val="fr-CA"/>
        </w:rPr>
        <w:t>dans les meilleurs délais</w:t>
      </w:r>
      <w:r w:rsidR="00C341E7" w:rsidRPr="00B3274C">
        <w:rPr>
          <w:lang w:val="fr-CA"/>
        </w:rPr>
        <w:t xml:space="preserve"> </w:t>
      </w:r>
      <w:r w:rsidR="005C4D41" w:rsidRPr="00B3274C">
        <w:rPr>
          <w:lang w:val="fr-CA"/>
        </w:rPr>
        <w:t>et à</w:t>
      </w:r>
      <w:r w:rsidR="00EA0C90" w:rsidRPr="00B3274C">
        <w:rPr>
          <w:lang w:val="fr-CA"/>
        </w:rPr>
        <w:t xml:space="preserve"> échapper à la condition de </w:t>
      </w:r>
      <w:r w:rsidR="005C4D41" w:rsidRPr="00B3274C">
        <w:rPr>
          <w:lang w:val="fr-CA"/>
        </w:rPr>
        <w:t xml:space="preserve">sans-abri. </w:t>
      </w:r>
      <w:r w:rsidR="005F200A" w:rsidRPr="00B3274C">
        <w:rPr>
          <w:lang w:val="fr-CA"/>
        </w:rPr>
        <w:t>Le montant de l</w:t>
      </w:r>
      <w:r w:rsidR="0080611A">
        <w:rPr>
          <w:lang w:val="fr-CA"/>
        </w:rPr>
        <w:t>’</w:t>
      </w:r>
      <w:r w:rsidR="005F200A" w:rsidRPr="00B3274C">
        <w:rPr>
          <w:lang w:val="fr-CA"/>
        </w:rPr>
        <w:t xml:space="preserve">aide financière unique </w:t>
      </w:r>
      <w:r w:rsidR="00EA0C90" w:rsidRPr="00B3274C">
        <w:rPr>
          <w:lang w:val="fr-CA"/>
        </w:rPr>
        <w:t>versée au titre de la lutte contre la pauvreté est passé de 234</w:t>
      </w:r>
      <w:r w:rsidR="0080611A">
        <w:rPr>
          <w:lang w:val="fr-CA"/>
        </w:rPr>
        <w:t>,</w:t>
      </w:r>
      <w:r w:rsidR="00EA0C90" w:rsidRPr="00B3274C">
        <w:rPr>
          <w:lang w:val="fr-CA"/>
        </w:rPr>
        <w:t>78</w:t>
      </w:r>
      <w:r w:rsidR="0099272B">
        <w:rPr>
          <w:lang w:val="fr-CA"/>
        </w:rPr>
        <w:t> euros</w:t>
      </w:r>
      <w:r w:rsidR="00EA0C90" w:rsidRPr="00B3274C">
        <w:rPr>
          <w:lang w:val="fr-CA"/>
        </w:rPr>
        <w:t xml:space="preserve"> en 2009 à un maximum de 600</w:t>
      </w:r>
      <w:r w:rsidR="0099272B">
        <w:rPr>
          <w:lang w:val="fr-CA"/>
        </w:rPr>
        <w:t> euros</w:t>
      </w:r>
      <w:r w:rsidR="00EA0C90" w:rsidRPr="00B3274C">
        <w:rPr>
          <w:lang w:val="fr-CA"/>
        </w:rPr>
        <w:t>. Le montant de l</w:t>
      </w:r>
      <w:r w:rsidR="0080611A">
        <w:rPr>
          <w:lang w:val="fr-CA"/>
        </w:rPr>
        <w:t>’</w:t>
      </w:r>
      <w:r w:rsidR="00EA0C90" w:rsidRPr="00B3274C">
        <w:rPr>
          <w:lang w:val="fr-CA"/>
        </w:rPr>
        <w:t>aide financière unique versée aux ménages touchés par des catastrophes est de 586</w:t>
      </w:r>
      <w:r w:rsidR="0080611A">
        <w:rPr>
          <w:lang w:val="fr-CA"/>
        </w:rPr>
        <w:t>,</w:t>
      </w:r>
      <w:r w:rsidR="00EA0C90" w:rsidRPr="00B3274C">
        <w:rPr>
          <w:lang w:val="fr-CA"/>
        </w:rPr>
        <w:t>94</w:t>
      </w:r>
      <w:r w:rsidR="0099272B">
        <w:rPr>
          <w:lang w:val="fr-CA"/>
        </w:rPr>
        <w:t> euros</w:t>
      </w:r>
      <w:r w:rsidR="00EC5892" w:rsidRPr="00B3274C">
        <w:rPr>
          <w:lang w:val="fr-CA"/>
        </w:rPr>
        <w:t>;</w:t>
      </w:r>
      <w:r w:rsidR="00EA0C90" w:rsidRPr="00B3274C">
        <w:rPr>
          <w:lang w:val="fr-CA"/>
        </w:rPr>
        <w:t xml:space="preserve"> ce montant est doublé dans le cas des familles nombreuses et des familles ayant parmi leurs membres </w:t>
      </w:r>
      <w:r w:rsidR="00614BAC">
        <w:rPr>
          <w:lang w:val="fr-CA"/>
        </w:rPr>
        <w:t>des personnes</w:t>
      </w:r>
      <w:r w:rsidR="00EA0C90" w:rsidRPr="00B3274C">
        <w:rPr>
          <w:lang w:val="fr-CA"/>
        </w:rPr>
        <w:t xml:space="preserve"> handicapées. Un montant supplémentaire de 4</w:t>
      </w:r>
      <w:r w:rsidR="001B1E10">
        <w:rPr>
          <w:lang w:val="fr-CA"/>
        </w:rPr>
        <w:t> </w:t>
      </w:r>
      <w:r w:rsidR="00EA0C90" w:rsidRPr="00B3274C">
        <w:rPr>
          <w:lang w:val="fr-CA"/>
        </w:rPr>
        <w:t>402</w:t>
      </w:r>
      <w:r w:rsidR="0099272B">
        <w:rPr>
          <w:lang w:val="fr-CA"/>
        </w:rPr>
        <w:t> euros</w:t>
      </w:r>
      <w:r w:rsidR="00EA0C90" w:rsidRPr="00B3274C">
        <w:rPr>
          <w:lang w:val="fr-CA"/>
        </w:rPr>
        <w:t xml:space="preserve"> est versé </w:t>
      </w:r>
      <w:r w:rsidR="00A40A08">
        <w:rPr>
          <w:lang w:val="fr-CA"/>
        </w:rPr>
        <w:t>aux personnes</w:t>
      </w:r>
      <w:r w:rsidR="00EA0C90" w:rsidRPr="00B3274C">
        <w:rPr>
          <w:lang w:val="fr-CA"/>
        </w:rPr>
        <w:t xml:space="preserve"> devenues handicapées </w:t>
      </w:r>
      <w:r w:rsidR="00BA488F" w:rsidRPr="00B3274C">
        <w:rPr>
          <w:lang w:val="fr-CA"/>
        </w:rPr>
        <w:t>en raison</w:t>
      </w:r>
      <w:r w:rsidR="00EA0C90" w:rsidRPr="00B3274C">
        <w:rPr>
          <w:lang w:val="fr-CA"/>
        </w:rPr>
        <w:t xml:space="preserve"> d</w:t>
      </w:r>
      <w:r w:rsidR="0080611A">
        <w:rPr>
          <w:lang w:val="fr-CA"/>
        </w:rPr>
        <w:t>’</w:t>
      </w:r>
      <w:r w:rsidR="00EA0C90" w:rsidRPr="00B3274C">
        <w:rPr>
          <w:lang w:val="fr-CA"/>
        </w:rPr>
        <w:t>une catastrophe</w:t>
      </w:r>
      <w:r w:rsidR="00FB23D3" w:rsidRPr="00B3274C">
        <w:rPr>
          <w:lang w:val="fr-CA"/>
        </w:rPr>
        <w:t>.</w:t>
      </w:r>
    </w:p>
    <w:p w:rsidR="00FB23D3" w:rsidRPr="00B3274C" w:rsidRDefault="00107A47" w:rsidP="008B0FD9">
      <w:pPr>
        <w:pStyle w:val="SingleTxtG"/>
        <w:rPr>
          <w:lang w:val="fr-CA"/>
        </w:rPr>
      </w:pPr>
      <w:r w:rsidRPr="00B3274C">
        <w:rPr>
          <w:lang w:val="fr-CA"/>
        </w:rPr>
        <w:t>177.</w:t>
      </w:r>
      <w:r w:rsidRPr="00B3274C">
        <w:rPr>
          <w:lang w:val="fr-CA"/>
        </w:rPr>
        <w:tab/>
      </w:r>
      <w:r w:rsidR="00F37597" w:rsidRPr="00B3274C">
        <w:rPr>
          <w:lang w:val="fr-CA"/>
        </w:rPr>
        <w:t>Les citoyens non assurés et financièrement défavorisés se voient délivrer par les autorités locales un carnet d</w:t>
      </w:r>
      <w:r w:rsidR="0080611A">
        <w:rPr>
          <w:lang w:val="fr-CA"/>
        </w:rPr>
        <w:t>’</w:t>
      </w:r>
      <w:r w:rsidR="00F37597" w:rsidRPr="00B3274C">
        <w:rPr>
          <w:lang w:val="fr-CA"/>
        </w:rPr>
        <w:t>assurance-maladie et des certificats de protection sociale qui leur permettent de recevoir des traitements à l</w:t>
      </w:r>
      <w:r w:rsidR="0080611A">
        <w:rPr>
          <w:lang w:val="fr-CA"/>
        </w:rPr>
        <w:t>’</w:t>
      </w:r>
      <w:r w:rsidR="00F37597" w:rsidRPr="00B3274C">
        <w:rPr>
          <w:lang w:val="fr-CA"/>
        </w:rPr>
        <w:t>hôpital et des soins médicaux. En 2010</w:t>
      </w:r>
      <w:r w:rsidR="0080611A">
        <w:rPr>
          <w:lang w:val="fr-CA"/>
        </w:rPr>
        <w:t>,</w:t>
      </w:r>
      <w:r w:rsidR="00F37597" w:rsidRPr="00B3274C">
        <w:rPr>
          <w:lang w:val="fr-CA"/>
        </w:rPr>
        <w:t xml:space="preserve"> </w:t>
      </w:r>
      <w:r w:rsidR="001B1E10">
        <w:rPr>
          <w:lang w:val="fr-CA"/>
        </w:rPr>
        <w:t>95 </w:t>
      </w:r>
      <w:r w:rsidR="00F37597" w:rsidRPr="00B3274C">
        <w:rPr>
          <w:lang w:val="fr-CA"/>
        </w:rPr>
        <w:t>647</w:t>
      </w:r>
      <w:r w:rsidR="00614BAC">
        <w:rPr>
          <w:lang w:val="fr-CA"/>
        </w:rPr>
        <w:t> personnes</w:t>
      </w:r>
      <w:r w:rsidR="00F37597" w:rsidRPr="00B3274C">
        <w:rPr>
          <w:lang w:val="fr-CA"/>
        </w:rPr>
        <w:t xml:space="preserve"> ont bénéficié de ces mesures. Plus précisément</w:t>
      </w:r>
      <w:r w:rsidR="0080611A">
        <w:rPr>
          <w:lang w:val="fr-CA"/>
        </w:rPr>
        <w:t>,</w:t>
      </w:r>
      <w:r w:rsidR="00F37597" w:rsidRPr="00B3274C">
        <w:rPr>
          <w:lang w:val="fr-CA"/>
        </w:rPr>
        <w:t xml:space="preserve"> 27 434 nouveaux carnets d</w:t>
      </w:r>
      <w:r w:rsidR="0080611A">
        <w:rPr>
          <w:lang w:val="fr-CA"/>
        </w:rPr>
        <w:t>’</w:t>
      </w:r>
      <w:r w:rsidR="00F37597" w:rsidRPr="00B3274C">
        <w:rPr>
          <w:lang w:val="fr-CA"/>
        </w:rPr>
        <w:t>assurance-maladie ont été délivrés</w:t>
      </w:r>
      <w:r w:rsidR="0080611A">
        <w:rPr>
          <w:lang w:val="fr-CA"/>
        </w:rPr>
        <w:t>,</w:t>
      </w:r>
      <w:r w:rsidR="00F37597" w:rsidRPr="00B3274C">
        <w:rPr>
          <w:lang w:val="fr-CA"/>
        </w:rPr>
        <w:t xml:space="preserve"> 64 811 carnets ont été validés et 3</w:t>
      </w:r>
      <w:r w:rsidR="00BA488F" w:rsidRPr="00B3274C">
        <w:rPr>
          <w:lang w:val="fr-CA"/>
        </w:rPr>
        <w:t xml:space="preserve"> </w:t>
      </w:r>
      <w:r w:rsidR="00F37597" w:rsidRPr="00B3274C">
        <w:rPr>
          <w:lang w:val="fr-CA"/>
        </w:rPr>
        <w:t xml:space="preserve">402 certificats de protection sociale ont été délivrés. </w:t>
      </w:r>
    </w:p>
    <w:p w:rsidR="00FB23D3" w:rsidRPr="00B3274C" w:rsidRDefault="00107A47" w:rsidP="003036AF">
      <w:pPr>
        <w:pStyle w:val="SingleTxtG"/>
        <w:rPr>
          <w:lang w:val="fr-CA"/>
        </w:rPr>
      </w:pPr>
      <w:r w:rsidRPr="00B3274C">
        <w:rPr>
          <w:lang w:val="fr-CA"/>
        </w:rPr>
        <w:t>178.</w:t>
      </w:r>
      <w:r w:rsidRPr="00B3274C">
        <w:rPr>
          <w:lang w:val="fr-CA"/>
        </w:rPr>
        <w:tab/>
      </w:r>
      <w:r w:rsidR="00F37597" w:rsidRPr="00B3274C">
        <w:rPr>
          <w:lang w:val="fr-CA"/>
        </w:rPr>
        <w:t>Une allocation d</w:t>
      </w:r>
      <w:r w:rsidR="0080611A">
        <w:rPr>
          <w:lang w:val="fr-CA"/>
        </w:rPr>
        <w:t>’</w:t>
      </w:r>
      <w:r w:rsidR="00F37597" w:rsidRPr="00B3274C">
        <w:rPr>
          <w:lang w:val="fr-CA"/>
        </w:rPr>
        <w:t>aide au logement est accord</w:t>
      </w:r>
      <w:r w:rsidR="00E469F6" w:rsidRPr="00B3274C">
        <w:rPr>
          <w:lang w:val="fr-CA"/>
        </w:rPr>
        <w:t>ée</w:t>
      </w:r>
      <w:r w:rsidR="00F37597" w:rsidRPr="00B3274C">
        <w:rPr>
          <w:lang w:val="fr-CA"/>
        </w:rPr>
        <w:t xml:space="preserve"> aux citoyens de plus de 65</w:t>
      </w:r>
      <w:r w:rsidR="004C055A">
        <w:rPr>
          <w:lang w:val="fr-CA"/>
        </w:rPr>
        <w:t> ans</w:t>
      </w:r>
      <w:r w:rsidR="00F37597" w:rsidRPr="00B3274C">
        <w:rPr>
          <w:lang w:val="fr-CA"/>
        </w:rPr>
        <w:t xml:space="preserve"> non assurés et financièrement défavorisés ainsi qu</w:t>
      </w:r>
      <w:r w:rsidR="0080611A">
        <w:rPr>
          <w:lang w:val="fr-CA"/>
        </w:rPr>
        <w:t>’</w:t>
      </w:r>
      <w:r w:rsidR="00F37597" w:rsidRPr="00B3274C">
        <w:rPr>
          <w:lang w:val="fr-CA"/>
        </w:rPr>
        <w:t xml:space="preserve">aux couples et </w:t>
      </w:r>
      <w:r w:rsidR="00A40A08">
        <w:rPr>
          <w:lang w:val="fr-CA"/>
        </w:rPr>
        <w:t>aux personnes</w:t>
      </w:r>
      <w:r w:rsidR="00F37597" w:rsidRPr="00B3274C">
        <w:rPr>
          <w:lang w:val="fr-CA"/>
        </w:rPr>
        <w:t xml:space="preserve"> âgées non assurées et financièrement défavorisées </w:t>
      </w:r>
      <w:r w:rsidR="00E469F6" w:rsidRPr="00B3274C">
        <w:rPr>
          <w:lang w:val="fr-CA"/>
        </w:rPr>
        <w:t>qui prouvent qu</w:t>
      </w:r>
      <w:r w:rsidR="0080611A">
        <w:rPr>
          <w:lang w:val="fr-CA"/>
        </w:rPr>
        <w:t>’</w:t>
      </w:r>
      <w:r w:rsidR="00E469F6" w:rsidRPr="00B3274C">
        <w:rPr>
          <w:lang w:val="fr-CA"/>
        </w:rPr>
        <w:t>ils n</w:t>
      </w:r>
      <w:r w:rsidR="0080611A">
        <w:rPr>
          <w:lang w:val="fr-CA"/>
        </w:rPr>
        <w:t>’</w:t>
      </w:r>
      <w:r w:rsidR="00E469F6" w:rsidRPr="00B3274C">
        <w:rPr>
          <w:lang w:val="fr-CA"/>
        </w:rPr>
        <w:t>ont pas de logement et sont locataires. L</w:t>
      </w:r>
      <w:r w:rsidR="0080611A">
        <w:rPr>
          <w:lang w:val="fr-CA"/>
        </w:rPr>
        <w:t>’</w:t>
      </w:r>
      <w:r w:rsidR="00E469F6" w:rsidRPr="00B3274C">
        <w:rPr>
          <w:lang w:val="fr-CA"/>
        </w:rPr>
        <w:t>allocation mensuelle versée aux célibataires non assurés de plus de 65</w:t>
      </w:r>
      <w:r w:rsidR="004C055A">
        <w:rPr>
          <w:lang w:val="fr-CA"/>
        </w:rPr>
        <w:t> ans</w:t>
      </w:r>
      <w:r w:rsidR="00E469F6" w:rsidRPr="00B3274C">
        <w:rPr>
          <w:lang w:val="fr-CA"/>
        </w:rPr>
        <w:t xml:space="preserve"> et aux couples non assurés s</w:t>
      </w:r>
      <w:r w:rsidR="0080611A">
        <w:rPr>
          <w:lang w:val="fr-CA"/>
        </w:rPr>
        <w:t>’</w:t>
      </w:r>
      <w:r w:rsidR="00E469F6" w:rsidRPr="00B3274C">
        <w:rPr>
          <w:lang w:val="fr-CA"/>
        </w:rPr>
        <w:t>élevait à 310</w:t>
      </w:r>
      <w:r w:rsidR="0099272B">
        <w:rPr>
          <w:lang w:val="fr-CA"/>
        </w:rPr>
        <w:t> </w:t>
      </w:r>
      <w:r w:rsidR="003036AF">
        <w:rPr>
          <w:lang w:val="fr-CA"/>
        </w:rPr>
        <w:t>euros</w:t>
      </w:r>
      <w:r w:rsidR="00E469F6" w:rsidRPr="00B3274C">
        <w:rPr>
          <w:lang w:val="fr-CA"/>
        </w:rPr>
        <w:t xml:space="preserve"> en 2009</w:t>
      </w:r>
      <w:r w:rsidR="0080611A">
        <w:rPr>
          <w:lang w:val="fr-CA"/>
        </w:rPr>
        <w:t>,</w:t>
      </w:r>
      <w:r w:rsidR="00E469F6" w:rsidRPr="00B3274C">
        <w:rPr>
          <w:lang w:val="fr-CA"/>
        </w:rPr>
        <w:t xml:space="preserve"> 335</w:t>
      </w:r>
      <w:r w:rsidR="0099272B">
        <w:rPr>
          <w:lang w:val="fr-CA"/>
        </w:rPr>
        <w:t> </w:t>
      </w:r>
      <w:r w:rsidR="003036AF">
        <w:rPr>
          <w:lang w:val="fr-CA"/>
        </w:rPr>
        <w:t>euros</w:t>
      </w:r>
      <w:r w:rsidR="00E469F6" w:rsidRPr="00B3274C">
        <w:rPr>
          <w:lang w:val="fr-CA"/>
        </w:rPr>
        <w:t xml:space="preserve"> en 2010 et 362</w:t>
      </w:r>
      <w:r w:rsidR="0099272B">
        <w:rPr>
          <w:lang w:val="fr-CA"/>
        </w:rPr>
        <w:t> </w:t>
      </w:r>
      <w:r w:rsidR="003036AF">
        <w:rPr>
          <w:lang w:val="fr-CA"/>
        </w:rPr>
        <w:t>euros</w:t>
      </w:r>
      <w:r w:rsidR="00A92968">
        <w:rPr>
          <w:lang w:val="fr-CA"/>
        </w:rPr>
        <w:t xml:space="preserve"> en </w:t>
      </w:r>
      <w:r w:rsidR="00E469F6" w:rsidRPr="00B3274C">
        <w:rPr>
          <w:lang w:val="fr-CA"/>
        </w:rPr>
        <w:t xml:space="preserve">2011. </w:t>
      </w:r>
    </w:p>
    <w:p w:rsidR="00FB23D3" w:rsidRPr="00B3274C" w:rsidRDefault="00107A47" w:rsidP="00107A47">
      <w:pPr>
        <w:pStyle w:val="SingleTxtG"/>
        <w:rPr>
          <w:lang w:val="fr-CA"/>
        </w:rPr>
      </w:pPr>
      <w:r w:rsidRPr="00B3274C">
        <w:rPr>
          <w:lang w:val="fr-CA"/>
        </w:rPr>
        <w:t>179.</w:t>
      </w:r>
      <w:r w:rsidRPr="00B3274C">
        <w:rPr>
          <w:lang w:val="fr-CA"/>
        </w:rPr>
        <w:tab/>
      </w:r>
      <w:r w:rsidR="001F4EEB" w:rsidRPr="00B3274C">
        <w:rPr>
          <w:lang w:val="fr-CA"/>
        </w:rPr>
        <w:t xml:space="preserve">Les autorités compétentes viennent en aide </w:t>
      </w:r>
      <w:r w:rsidR="00A40A08">
        <w:rPr>
          <w:lang w:val="fr-CA"/>
        </w:rPr>
        <w:t>aux personnes</w:t>
      </w:r>
      <w:r w:rsidR="001F4EEB" w:rsidRPr="00B3274C">
        <w:rPr>
          <w:lang w:val="fr-CA"/>
        </w:rPr>
        <w:t xml:space="preserve"> touchées par une catastrophe en leur distribuant sans délai des tentes et des couvertures pour qu</w:t>
      </w:r>
      <w:r w:rsidR="0080611A">
        <w:rPr>
          <w:lang w:val="fr-CA"/>
        </w:rPr>
        <w:t>’</w:t>
      </w:r>
      <w:r w:rsidR="00115AFE" w:rsidRPr="00B3274C">
        <w:rPr>
          <w:lang w:val="fr-CA"/>
        </w:rPr>
        <w:t>elle</w:t>
      </w:r>
      <w:r w:rsidR="001F4EEB" w:rsidRPr="00B3274C">
        <w:rPr>
          <w:lang w:val="fr-CA"/>
        </w:rPr>
        <w:t>s disposent d</w:t>
      </w:r>
      <w:r w:rsidR="0080611A">
        <w:rPr>
          <w:lang w:val="fr-CA"/>
        </w:rPr>
        <w:t>’</w:t>
      </w:r>
      <w:r w:rsidR="001F4EEB" w:rsidRPr="00B3274C">
        <w:rPr>
          <w:lang w:val="fr-CA"/>
        </w:rPr>
        <w:t>un abri temporaire</w:t>
      </w:r>
      <w:r w:rsidR="0080611A">
        <w:rPr>
          <w:lang w:val="fr-CA"/>
        </w:rPr>
        <w:t>,</w:t>
      </w:r>
      <w:r w:rsidR="001F4EEB" w:rsidRPr="00B3274C">
        <w:rPr>
          <w:lang w:val="fr-CA"/>
        </w:rPr>
        <w:t xml:space="preserve"> ainsi qu</w:t>
      </w:r>
      <w:r w:rsidR="0080611A">
        <w:rPr>
          <w:lang w:val="fr-CA"/>
        </w:rPr>
        <w:t>’</w:t>
      </w:r>
      <w:r w:rsidR="001F4EEB" w:rsidRPr="00B3274C">
        <w:rPr>
          <w:lang w:val="fr-CA"/>
        </w:rPr>
        <w:t xml:space="preserve">une aide financière. </w:t>
      </w:r>
    </w:p>
    <w:p w:rsidR="00FB23D3" w:rsidRPr="00B3274C" w:rsidRDefault="00107A47" w:rsidP="00107A47">
      <w:pPr>
        <w:pStyle w:val="SingleTxtG"/>
        <w:rPr>
          <w:bCs/>
          <w:lang w:val="fr-CA"/>
        </w:rPr>
      </w:pPr>
      <w:r w:rsidRPr="00B3274C">
        <w:rPr>
          <w:bCs/>
          <w:lang w:val="fr-CA"/>
        </w:rPr>
        <w:t>180.</w:t>
      </w:r>
      <w:r w:rsidRPr="00B3274C">
        <w:rPr>
          <w:bCs/>
          <w:lang w:val="fr-CA"/>
        </w:rPr>
        <w:tab/>
      </w:r>
      <w:r w:rsidR="001F4EEB" w:rsidRPr="00B3274C">
        <w:rPr>
          <w:bCs/>
          <w:lang w:val="fr-CA"/>
        </w:rPr>
        <w:t>Les Services d</w:t>
      </w:r>
      <w:r w:rsidR="0080611A">
        <w:rPr>
          <w:bCs/>
          <w:lang w:val="fr-CA"/>
        </w:rPr>
        <w:t>’</w:t>
      </w:r>
      <w:r w:rsidR="001F4EEB" w:rsidRPr="00B3274C">
        <w:rPr>
          <w:bCs/>
          <w:lang w:val="fr-CA"/>
        </w:rPr>
        <w:t>aide sociale ont des bureaux dans quelque 150 municipalités dans l</w:t>
      </w:r>
      <w:r w:rsidR="0080611A">
        <w:rPr>
          <w:bCs/>
          <w:lang w:val="fr-CA"/>
        </w:rPr>
        <w:t>’</w:t>
      </w:r>
      <w:r w:rsidR="001F4EEB" w:rsidRPr="00B3274C">
        <w:rPr>
          <w:bCs/>
          <w:lang w:val="fr-CA"/>
        </w:rPr>
        <w:t xml:space="preserve">ensemble du pays </w:t>
      </w:r>
      <w:r w:rsidR="00104C81" w:rsidRPr="00B3274C">
        <w:rPr>
          <w:bCs/>
          <w:lang w:val="fr-CA"/>
        </w:rPr>
        <w:t>qui dispensent des services pour lutter contre la pauvreté et l</w:t>
      </w:r>
      <w:r w:rsidR="0080611A">
        <w:rPr>
          <w:bCs/>
          <w:lang w:val="fr-CA"/>
        </w:rPr>
        <w:t>’</w:t>
      </w:r>
      <w:r w:rsidR="00104C81" w:rsidRPr="00B3274C">
        <w:rPr>
          <w:bCs/>
          <w:lang w:val="fr-CA"/>
        </w:rPr>
        <w:t>exclusion sociale</w:t>
      </w:r>
      <w:r w:rsidR="00FB23D3" w:rsidRPr="00B3274C">
        <w:rPr>
          <w:bCs/>
          <w:lang w:val="fr-CA"/>
        </w:rPr>
        <w:t>.</w:t>
      </w:r>
    </w:p>
    <w:p w:rsidR="00FB23D3" w:rsidRPr="00B3274C" w:rsidRDefault="00107A47" w:rsidP="00107A47">
      <w:pPr>
        <w:pStyle w:val="SingleTxtG"/>
        <w:rPr>
          <w:lang w:val="fr-CA"/>
        </w:rPr>
      </w:pPr>
      <w:r w:rsidRPr="00B3274C">
        <w:rPr>
          <w:lang w:val="fr-CA"/>
        </w:rPr>
        <w:t>181.</w:t>
      </w:r>
      <w:r w:rsidRPr="00B3274C">
        <w:rPr>
          <w:lang w:val="fr-CA"/>
        </w:rPr>
        <w:tab/>
      </w:r>
      <w:r w:rsidR="00104C81" w:rsidRPr="00B3274C">
        <w:rPr>
          <w:lang w:val="fr-CA"/>
        </w:rPr>
        <w:t>La Direction de la protection sociale et de la solidarité sociale du Ministère de la santé et de la solidarité sociale</w:t>
      </w:r>
      <w:r w:rsidR="0080611A">
        <w:rPr>
          <w:lang w:val="fr-CA"/>
        </w:rPr>
        <w:t>,</w:t>
      </w:r>
      <w:r w:rsidR="00104C81" w:rsidRPr="00B3274C">
        <w:rPr>
          <w:lang w:val="fr-CA"/>
        </w:rPr>
        <w:t xml:space="preserve"> et plus précisément la Section chargée de la protection des réfugiés et des demandeurs d</w:t>
      </w:r>
      <w:r w:rsidR="0080611A">
        <w:rPr>
          <w:lang w:val="fr-CA"/>
        </w:rPr>
        <w:t>’</w:t>
      </w:r>
      <w:r w:rsidR="00104C81" w:rsidRPr="00B3274C">
        <w:rPr>
          <w:lang w:val="fr-CA"/>
        </w:rPr>
        <w:t>asile</w:t>
      </w:r>
      <w:r w:rsidR="0080611A">
        <w:rPr>
          <w:lang w:val="fr-CA"/>
        </w:rPr>
        <w:t>,</w:t>
      </w:r>
      <w:r w:rsidR="00104C81" w:rsidRPr="00B3274C">
        <w:rPr>
          <w:lang w:val="fr-CA"/>
        </w:rPr>
        <w:t xml:space="preserve"> est l</w:t>
      </w:r>
      <w:r w:rsidR="0080611A">
        <w:rPr>
          <w:lang w:val="fr-CA"/>
        </w:rPr>
        <w:t>’</w:t>
      </w:r>
      <w:r w:rsidR="00104C81" w:rsidRPr="00B3274C">
        <w:rPr>
          <w:lang w:val="fr-CA"/>
        </w:rPr>
        <w:t xml:space="preserve">autorité </w:t>
      </w:r>
      <w:r w:rsidR="00C41C69" w:rsidRPr="00B3274C">
        <w:rPr>
          <w:lang w:val="fr-CA"/>
        </w:rPr>
        <w:t>responsable du FER (</w:t>
      </w:r>
      <w:r w:rsidR="00104C81" w:rsidRPr="00B3274C">
        <w:rPr>
          <w:lang w:val="fr-CA"/>
        </w:rPr>
        <w:t>Fonds européen pour les réfugiés</w:t>
      </w:r>
      <w:r w:rsidR="00C41C69" w:rsidRPr="00B3274C">
        <w:rPr>
          <w:lang w:val="fr-CA"/>
        </w:rPr>
        <w:t>) pour la Grèce</w:t>
      </w:r>
      <w:r w:rsidR="00104C81" w:rsidRPr="00B3274C">
        <w:rPr>
          <w:lang w:val="fr-CA"/>
        </w:rPr>
        <w:t xml:space="preserve">. </w:t>
      </w:r>
      <w:r w:rsidR="00C41C69" w:rsidRPr="00B3274C">
        <w:rPr>
          <w:lang w:val="fr-CA"/>
        </w:rPr>
        <w:t xml:space="preserve">Les montants suivants ont été imputés sur le poste </w:t>
      </w:r>
      <w:r w:rsidR="00FB23D3" w:rsidRPr="00B3274C">
        <w:rPr>
          <w:lang w:val="fr-CA"/>
        </w:rPr>
        <w:t>5216</w:t>
      </w:r>
      <w:r w:rsidR="00C41C69" w:rsidRPr="00B3274C">
        <w:rPr>
          <w:lang w:val="fr-CA"/>
        </w:rPr>
        <w:t xml:space="preserve"> </w:t>
      </w:r>
      <w:r w:rsidR="0055418C" w:rsidRPr="00B3274C">
        <w:rPr>
          <w:lang w:val="fr-CA"/>
        </w:rPr>
        <w:t>«</w:t>
      </w:r>
      <w:r w:rsidR="00C41C69" w:rsidRPr="00B3274C">
        <w:rPr>
          <w:lang w:val="fr-CA"/>
        </w:rPr>
        <w:t>Dépenses visant à couvrir les besoins en nourriture et en soins des réfugiés politiques</w:t>
      </w:r>
      <w:r w:rsidR="0055418C" w:rsidRPr="00B3274C">
        <w:rPr>
          <w:lang w:val="fr-CA"/>
        </w:rPr>
        <w:t>»</w:t>
      </w:r>
      <w:r w:rsidR="00C41C69" w:rsidRPr="00B3274C">
        <w:rPr>
          <w:lang w:val="fr-CA"/>
        </w:rPr>
        <w:t xml:space="preserve"> du budget de l</w:t>
      </w:r>
      <w:r w:rsidR="0080611A">
        <w:rPr>
          <w:lang w:val="fr-CA"/>
        </w:rPr>
        <w:t>’</w:t>
      </w:r>
      <w:r w:rsidR="00C41C69" w:rsidRPr="00B3274C">
        <w:rPr>
          <w:lang w:val="fr-CA"/>
        </w:rPr>
        <w:t>État</w:t>
      </w:r>
      <w:r w:rsidR="00EC5892" w:rsidRPr="00B3274C">
        <w:rPr>
          <w:lang w:val="fr-CA"/>
        </w:rPr>
        <w:t>:</w:t>
      </w:r>
      <w:r w:rsidR="00C41C69" w:rsidRPr="00B3274C">
        <w:rPr>
          <w:lang w:val="fr-CA"/>
        </w:rPr>
        <w:t xml:space="preserve"> 2 265 000</w:t>
      </w:r>
      <w:r w:rsidR="0099272B">
        <w:rPr>
          <w:lang w:val="fr-CA"/>
        </w:rPr>
        <w:t> </w:t>
      </w:r>
      <w:r w:rsidR="00E562FA">
        <w:rPr>
          <w:lang w:val="fr-CA"/>
        </w:rPr>
        <w:t>euros</w:t>
      </w:r>
      <w:r w:rsidR="00C41C69" w:rsidRPr="00B3274C">
        <w:rPr>
          <w:lang w:val="fr-CA"/>
        </w:rPr>
        <w:t xml:space="preserve"> en 2006</w:t>
      </w:r>
      <w:r w:rsidR="0080611A">
        <w:rPr>
          <w:lang w:val="fr-CA"/>
        </w:rPr>
        <w:t>,</w:t>
      </w:r>
      <w:r w:rsidR="00C41C69" w:rsidRPr="00B3274C">
        <w:rPr>
          <w:lang w:val="fr-CA"/>
        </w:rPr>
        <w:t xml:space="preserve"> 1 977 500</w:t>
      </w:r>
      <w:r w:rsidR="0099272B">
        <w:rPr>
          <w:lang w:val="fr-CA"/>
        </w:rPr>
        <w:t> </w:t>
      </w:r>
      <w:r w:rsidR="00E562FA">
        <w:rPr>
          <w:lang w:val="fr-CA"/>
        </w:rPr>
        <w:t>euros</w:t>
      </w:r>
      <w:r w:rsidR="00C41C69" w:rsidRPr="00B3274C">
        <w:rPr>
          <w:lang w:val="fr-CA"/>
        </w:rPr>
        <w:t xml:space="preserve"> en 2007</w:t>
      </w:r>
      <w:r w:rsidR="0080611A">
        <w:rPr>
          <w:lang w:val="fr-CA"/>
        </w:rPr>
        <w:t>,</w:t>
      </w:r>
      <w:r w:rsidR="00C41C69" w:rsidRPr="00B3274C">
        <w:rPr>
          <w:lang w:val="fr-CA"/>
        </w:rPr>
        <w:t xml:space="preserve"> 2 132 490</w:t>
      </w:r>
      <w:r w:rsidR="0080611A">
        <w:rPr>
          <w:lang w:val="fr-CA"/>
        </w:rPr>
        <w:t>,</w:t>
      </w:r>
      <w:r w:rsidR="00C41C69" w:rsidRPr="00B3274C">
        <w:rPr>
          <w:lang w:val="fr-CA"/>
        </w:rPr>
        <w:t>80</w:t>
      </w:r>
      <w:r w:rsidR="0099272B">
        <w:rPr>
          <w:lang w:val="fr-CA"/>
        </w:rPr>
        <w:t> </w:t>
      </w:r>
      <w:r w:rsidR="00E562FA">
        <w:rPr>
          <w:lang w:val="fr-CA"/>
        </w:rPr>
        <w:t>euros</w:t>
      </w:r>
      <w:r w:rsidR="00C41C69" w:rsidRPr="00B3274C">
        <w:rPr>
          <w:lang w:val="fr-CA"/>
        </w:rPr>
        <w:t xml:space="preserve"> en 2008</w:t>
      </w:r>
      <w:r w:rsidR="0080611A">
        <w:rPr>
          <w:lang w:val="fr-CA"/>
        </w:rPr>
        <w:t>,</w:t>
      </w:r>
      <w:r w:rsidR="00C41C69" w:rsidRPr="00B3274C">
        <w:rPr>
          <w:lang w:val="fr-CA"/>
        </w:rPr>
        <w:t xml:space="preserve"> 2 401 182</w:t>
      </w:r>
      <w:r w:rsidR="0099272B">
        <w:rPr>
          <w:lang w:val="fr-CA"/>
        </w:rPr>
        <w:t> </w:t>
      </w:r>
      <w:r w:rsidR="00E562FA">
        <w:rPr>
          <w:lang w:val="fr-CA"/>
        </w:rPr>
        <w:t>euros</w:t>
      </w:r>
      <w:r w:rsidR="00C41C69" w:rsidRPr="00B3274C">
        <w:rPr>
          <w:lang w:val="fr-CA"/>
        </w:rPr>
        <w:t xml:space="preserve"> en 2009</w:t>
      </w:r>
      <w:r w:rsidR="0080611A">
        <w:rPr>
          <w:lang w:val="fr-CA"/>
        </w:rPr>
        <w:t>,</w:t>
      </w:r>
      <w:r w:rsidR="00C41C69" w:rsidRPr="00B3274C">
        <w:rPr>
          <w:lang w:val="fr-CA"/>
        </w:rPr>
        <w:t xml:space="preserve"> 1 392 986</w:t>
      </w:r>
      <w:r w:rsidR="0080611A">
        <w:rPr>
          <w:lang w:val="fr-CA"/>
        </w:rPr>
        <w:t>,</w:t>
      </w:r>
      <w:r w:rsidR="00C41C69" w:rsidRPr="00B3274C">
        <w:rPr>
          <w:lang w:val="fr-CA"/>
        </w:rPr>
        <w:t>30</w:t>
      </w:r>
      <w:r w:rsidR="0099272B">
        <w:rPr>
          <w:lang w:val="fr-CA"/>
        </w:rPr>
        <w:t> </w:t>
      </w:r>
      <w:r w:rsidR="00E562FA">
        <w:rPr>
          <w:lang w:val="fr-CA"/>
        </w:rPr>
        <w:t>euros</w:t>
      </w:r>
      <w:r w:rsidR="00C41C69" w:rsidRPr="00B3274C">
        <w:rPr>
          <w:lang w:val="fr-CA"/>
        </w:rPr>
        <w:t xml:space="preserve"> en 2010 et 1 692 769</w:t>
      </w:r>
      <w:r w:rsidR="0080611A">
        <w:rPr>
          <w:lang w:val="fr-CA"/>
        </w:rPr>
        <w:t>,</w:t>
      </w:r>
      <w:r w:rsidR="00C41C69" w:rsidRPr="00B3274C">
        <w:rPr>
          <w:lang w:val="fr-CA"/>
        </w:rPr>
        <w:t>61</w:t>
      </w:r>
      <w:r w:rsidR="0099272B">
        <w:rPr>
          <w:lang w:val="fr-CA"/>
        </w:rPr>
        <w:t> </w:t>
      </w:r>
      <w:r w:rsidR="00E562FA">
        <w:rPr>
          <w:lang w:val="fr-CA"/>
        </w:rPr>
        <w:t>euros</w:t>
      </w:r>
      <w:r w:rsidR="00C41C69" w:rsidRPr="00B3274C">
        <w:rPr>
          <w:lang w:val="fr-CA"/>
        </w:rPr>
        <w:t xml:space="preserve"> en 2011. </w:t>
      </w:r>
    </w:p>
    <w:p w:rsidR="00FB23D3" w:rsidRPr="00B3274C" w:rsidRDefault="00107A47" w:rsidP="00A92968">
      <w:pPr>
        <w:pStyle w:val="SingleTxtG"/>
        <w:keepNext/>
        <w:rPr>
          <w:lang w:val="fr-CA"/>
        </w:rPr>
      </w:pPr>
      <w:r w:rsidRPr="00B3274C">
        <w:rPr>
          <w:lang w:val="fr-CA"/>
        </w:rPr>
        <w:t>182.</w:t>
      </w:r>
      <w:r w:rsidRPr="00B3274C">
        <w:rPr>
          <w:lang w:val="fr-CA"/>
        </w:rPr>
        <w:tab/>
      </w:r>
      <w:r w:rsidR="00C41C69" w:rsidRPr="00B3274C">
        <w:rPr>
          <w:lang w:val="fr-CA"/>
        </w:rPr>
        <w:t xml:space="preserve">La participation nationale </w:t>
      </w:r>
      <w:r w:rsidR="00FB23D3" w:rsidRPr="00B3274C">
        <w:rPr>
          <w:lang w:val="fr-CA"/>
        </w:rPr>
        <w:t>(25</w:t>
      </w:r>
      <w:r w:rsidR="0050285B">
        <w:rPr>
          <w:lang w:val="fr-CA"/>
        </w:rPr>
        <w:t> %</w:t>
      </w:r>
      <w:r w:rsidR="00FB23D3" w:rsidRPr="00B3274C">
        <w:rPr>
          <w:lang w:val="fr-CA"/>
        </w:rPr>
        <w:t xml:space="preserve">) </w:t>
      </w:r>
      <w:r w:rsidR="00A64820" w:rsidRPr="00B3274C">
        <w:rPr>
          <w:lang w:val="fr-CA"/>
        </w:rPr>
        <w:t xml:space="preserve">au </w:t>
      </w:r>
      <w:r w:rsidR="00C41C69" w:rsidRPr="00B3274C">
        <w:rPr>
          <w:lang w:val="fr-CA"/>
        </w:rPr>
        <w:t>Fonds européen pour les réfugiés</w:t>
      </w:r>
      <w:r w:rsidR="00A64820" w:rsidRPr="00B3274C">
        <w:rPr>
          <w:lang w:val="fr-CA"/>
        </w:rPr>
        <w:t xml:space="preserve"> </w:t>
      </w:r>
      <w:r w:rsidR="008B0FD9" w:rsidRPr="00B3274C">
        <w:rPr>
          <w:lang w:val="fr-CA"/>
        </w:rPr>
        <w:t>a été la suivante</w:t>
      </w:r>
      <w:r w:rsidR="00EC5892" w:rsidRPr="00B3274C">
        <w:rPr>
          <w:lang w:val="fr-CA"/>
        </w:rPr>
        <w:t>:</w:t>
      </w:r>
      <w:r w:rsidR="00C41C69" w:rsidRPr="00B3274C">
        <w:rPr>
          <w:lang w:val="fr-CA"/>
        </w:rPr>
        <w:t xml:space="preserve"> </w:t>
      </w:r>
    </w:p>
    <w:p w:rsidR="00FB23D3" w:rsidRPr="00B3274C" w:rsidRDefault="00C41C69" w:rsidP="00A737BD">
      <w:pPr>
        <w:pStyle w:val="SingleTxtG"/>
        <w:ind w:left="1701"/>
        <w:rPr>
          <w:lang w:val="fr-CA"/>
        </w:rPr>
      </w:pPr>
      <w:r w:rsidRPr="00B3274C">
        <w:rPr>
          <w:lang w:val="fr-CA"/>
        </w:rPr>
        <w:t xml:space="preserve">Année </w:t>
      </w:r>
      <w:r w:rsidR="00FB23D3" w:rsidRPr="00B3274C">
        <w:rPr>
          <w:bCs/>
          <w:lang w:val="fr-CA"/>
        </w:rPr>
        <w:t>2006</w:t>
      </w:r>
      <w:r w:rsidR="00FB23D3" w:rsidRPr="00B3274C">
        <w:rPr>
          <w:lang w:val="fr-CA"/>
        </w:rPr>
        <w:t xml:space="preserve">: </w:t>
      </w:r>
      <w:r w:rsidR="00794B97" w:rsidRPr="00B3274C">
        <w:rPr>
          <w:lang w:val="fr-CA"/>
        </w:rPr>
        <w:t>227 583</w:t>
      </w:r>
      <w:r w:rsidR="0099272B">
        <w:rPr>
          <w:lang w:val="fr-CA"/>
        </w:rPr>
        <w:t> </w:t>
      </w:r>
      <w:r w:rsidR="00E562FA">
        <w:rPr>
          <w:lang w:val="fr-CA"/>
        </w:rPr>
        <w:t>euros</w:t>
      </w:r>
      <w:r w:rsidR="0080611A">
        <w:rPr>
          <w:lang w:val="fr-CA"/>
        </w:rPr>
        <w:t>,</w:t>
      </w:r>
      <w:r w:rsidR="00794B97" w:rsidRPr="00B3274C">
        <w:rPr>
          <w:bCs/>
          <w:lang w:val="fr-CA"/>
        </w:rPr>
        <w:t xml:space="preserve"> année </w:t>
      </w:r>
      <w:r w:rsidR="00FB23D3" w:rsidRPr="00B3274C">
        <w:rPr>
          <w:bCs/>
          <w:lang w:val="fr-CA"/>
        </w:rPr>
        <w:t>2007</w:t>
      </w:r>
      <w:r w:rsidR="00FB23D3" w:rsidRPr="00B3274C">
        <w:rPr>
          <w:lang w:val="fr-CA"/>
        </w:rPr>
        <w:t xml:space="preserve">: </w:t>
      </w:r>
      <w:r w:rsidR="00794B97" w:rsidRPr="00B3274C">
        <w:rPr>
          <w:lang w:val="fr-CA"/>
        </w:rPr>
        <w:t>193 205</w:t>
      </w:r>
      <w:r w:rsidR="0080611A">
        <w:rPr>
          <w:lang w:val="fr-CA"/>
        </w:rPr>
        <w:t>,</w:t>
      </w:r>
      <w:r w:rsidR="00794B97" w:rsidRPr="00B3274C">
        <w:rPr>
          <w:lang w:val="fr-CA"/>
        </w:rPr>
        <w:t>42</w:t>
      </w:r>
      <w:r w:rsidR="0099272B">
        <w:rPr>
          <w:lang w:val="fr-CA"/>
        </w:rPr>
        <w:t> </w:t>
      </w:r>
      <w:r w:rsidR="00E562FA">
        <w:rPr>
          <w:lang w:val="fr-CA"/>
        </w:rPr>
        <w:t>euros</w:t>
      </w:r>
      <w:r w:rsidR="0080611A">
        <w:rPr>
          <w:lang w:val="fr-CA"/>
        </w:rPr>
        <w:t>,</w:t>
      </w:r>
      <w:r w:rsidR="00794B97" w:rsidRPr="00B3274C">
        <w:rPr>
          <w:lang w:val="fr-CA"/>
        </w:rPr>
        <w:t xml:space="preserve"> année 2008</w:t>
      </w:r>
      <w:r w:rsidR="00EC5892" w:rsidRPr="00B3274C">
        <w:rPr>
          <w:lang w:val="fr-CA"/>
        </w:rPr>
        <w:t>:</w:t>
      </w:r>
      <w:r w:rsidR="00794B97" w:rsidRPr="00B3274C">
        <w:rPr>
          <w:lang w:val="fr-CA"/>
        </w:rPr>
        <w:t xml:space="preserve"> 341 493</w:t>
      </w:r>
      <w:r w:rsidR="0099272B">
        <w:rPr>
          <w:lang w:val="fr-CA"/>
        </w:rPr>
        <w:t> </w:t>
      </w:r>
      <w:r w:rsidR="00E562FA">
        <w:rPr>
          <w:lang w:val="fr-CA"/>
        </w:rPr>
        <w:t>euros</w:t>
      </w:r>
      <w:r w:rsidR="0080611A">
        <w:rPr>
          <w:lang w:val="fr-CA"/>
        </w:rPr>
        <w:t>,</w:t>
      </w:r>
      <w:r w:rsidR="00794B97" w:rsidRPr="00B3274C">
        <w:rPr>
          <w:lang w:val="fr-CA"/>
        </w:rPr>
        <w:t xml:space="preserve"> année</w:t>
      </w:r>
      <w:r w:rsidR="00A92968">
        <w:rPr>
          <w:lang w:val="fr-CA"/>
        </w:rPr>
        <w:t> </w:t>
      </w:r>
      <w:r w:rsidR="00794B97" w:rsidRPr="00B3274C">
        <w:rPr>
          <w:lang w:val="fr-CA"/>
        </w:rPr>
        <w:t>2009:</w:t>
      </w:r>
      <w:r w:rsidR="00A64820" w:rsidRPr="00B3274C">
        <w:rPr>
          <w:lang w:val="fr-CA"/>
        </w:rPr>
        <w:t xml:space="preserve"> </w:t>
      </w:r>
      <w:r w:rsidR="00794B97" w:rsidRPr="00B3274C">
        <w:rPr>
          <w:lang w:val="fr-CA"/>
        </w:rPr>
        <w:t>986 432</w:t>
      </w:r>
      <w:r w:rsidR="0080611A">
        <w:rPr>
          <w:lang w:val="fr-CA"/>
        </w:rPr>
        <w:t>,</w:t>
      </w:r>
      <w:r w:rsidR="00794B97" w:rsidRPr="00B3274C">
        <w:rPr>
          <w:lang w:val="fr-CA"/>
        </w:rPr>
        <w:t>96</w:t>
      </w:r>
      <w:r w:rsidR="0099272B">
        <w:rPr>
          <w:lang w:val="fr-CA"/>
        </w:rPr>
        <w:t> </w:t>
      </w:r>
      <w:r w:rsidR="00E562FA">
        <w:rPr>
          <w:lang w:val="fr-CA"/>
        </w:rPr>
        <w:t>euros</w:t>
      </w:r>
      <w:r w:rsidR="0080611A">
        <w:rPr>
          <w:lang w:val="fr-CA"/>
        </w:rPr>
        <w:t>,</w:t>
      </w:r>
      <w:r w:rsidR="00794B97" w:rsidRPr="00B3274C">
        <w:rPr>
          <w:lang w:val="fr-CA"/>
        </w:rPr>
        <w:t xml:space="preserve"> année 2010:</w:t>
      </w:r>
      <w:r w:rsidR="00A92968">
        <w:rPr>
          <w:lang w:val="fr-CA"/>
        </w:rPr>
        <w:t xml:space="preserve"> </w:t>
      </w:r>
      <w:r w:rsidR="00794B97" w:rsidRPr="00B3274C">
        <w:rPr>
          <w:lang w:val="fr-CA"/>
        </w:rPr>
        <w:t>1 488 162</w:t>
      </w:r>
      <w:r w:rsidR="0080611A">
        <w:rPr>
          <w:lang w:val="fr-CA"/>
        </w:rPr>
        <w:t>,</w:t>
      </w:r>
      <w:r w:rsidR="00794B97" w:rsidRPr="00B3274C">
        <w:rPr>
          <w:lang w:val="fr-CA"/>
        </w:rPr>
        <w:t>92</w:t>
      </w:r>
      <w:r w:rsidR="0099272B">
        <w:rPr>
          <w:lang w:val="fr-CA"/>
        </w:rPr>
        <w:t> </w:t>
      </w:r>
      <w:r w:rsidR="00E562FA">
        <w:rPr>
          <w:lang w:val="fr-CA"/>
        </w:rPr>
        <w:t>euros</w:t>
      </w:r>
      <w:r w:rsidR="00794B97" w:rsidRPr="00B3274C">
        <w:rPr>
          <w:lang w:val="fr-CA"/>
        </w:rPr>
        <w:t xml:space="preserve"> et année 2011:</w:t>
      </w:r>
      <w:r w:rsidR="00A92968">
        <w:rPr>
          <w:lang w:val="fr-CA"/>
        </w:rPr>
        <w:t xml:space="preserve"> </w:t>
      </w:r>
      <w:r w:rsidR="00794B97" w:rsidRPr="00B3274C">
        <w:rPr>
          <w:lang w:val="fr-CA"/>
        </w:rPr>
        <w:t>1 603 526</w:t>
      </w:r>
      <w:r w:rsidR="0080611A">
        <w:rPr>
          <w:lang w:val="fr-CA"/>
        </w:rPr>
        <w:t>,</w:t>
      </w:r>
      <w:r w:rsidR="00794B97" w:rsidRPr="00B3274C">
        <w:rPr>
          <w:lang w:val="fr-CA"/>
        </w:rPr>
        <w:t>17</w:t>
      </w:r>
      <w:r w:rsidR="0099272B">
        <w:rPr>
          <w:lang w:val="fr-CA"/>
        </w:rPr>
        <w:t> </w:t>
      </w:r>
      <w:r w:rsidR="00E562FA">
        <w:rPr>
          <w:lang w:val="fr-CA"/>
        </w:rPr>
        <w:t>euros</w:t>
      </w:r>
      <w:r w:rsidR="00162433" w:rsidRPr="00B3274C">
        <w:rPr>
          <w:rStyle w:val="FootnoteReference"/>
          <w:bCs/>
          <w:lang w:val="fr-CA"/>
        </w:rPr>
        <w:footnoteReference w:id="4"/>
      </w:r>
      <w:r w:rsidR="00794B97" w:rsidRPr="00B3274C">
        <w:rPr>
          <w:lang w:val="fr-CA"/>
        </w:rPr>
        <w:t>.</w:t>
      </w:r>
    </w:p>
    <w:p w:rsidR="00FB23D3" w:rsidRPr="00B3274C" w:rsidRDefault="00107A47" w:rsidP="00107A47">
      <w:pPr>
        <w:pStyle w:val="SingleTxtG"/>
        <w:rPr>
          <w:lang w:val="fr-CA"/>
        </w:rPr>
      </w:pPr>
      <w:r w:rsidRPr="00B3274C">
        <w:rPr>
          <w:lang w:val="fr-CA"/>
        </w:rPr>
        <w:t>183.</w:t>
      </w:r>
      <w:r w:rsidRPr="00B3274C">
        <w:rPr>
          <w:lang w:val="fr-CA"/>
        </w:rPr>
        <w:tab/>
      </w:r>
      <w:r w:rsidR="002C1765" w:rsidRPr="00B3274C">
        <w:rPr>
          <w:lang w:val="fr-CA"/>
        </w:rPr>
        <w:t>Dix-sept structures d</w:t>
      </w:r>
      <w:r w:rsidR="0080611A">
        <w:rPr>
          <w:lang w:val="fr-CA"/>
        </w:rPr>
        <w:t>’</w:t>
      </w:r>
      <w:r w:rsidR="002C1765" w:rsidRPr="00B3274C">
        <w:rPr>
          <w:lang w:val="fr-CA"/>
        </w:rPr>
        <w:t>hébergement existent dans l</w:t>
      </w:r>
      <w:r w:rsidR="0080611A">
        <w:rPr>
          <w:lang w:val="fr-CA"/>
        </w:rPr>
        <w:t>’</w:t>
      </w:r>
      <w:r w:rsidR="002C1765" w:rsidRPr="00B3274C">
        <w:rPr>
          <w:lang w:val="fr-CA"/>
        </w:rPr>
        <w:t xml:space="preserve">ensemble de la Grèce pour les </w:t>
      </w:r>
      <w:r w:rsidR="008B0FD9" w:rsidRPr="00B3274C">
        <w:rPr>
          <w:lang w:val="fr-CA"/>
        </w:rPr>
        <w:t>demandeurs d</w:t>
      </w:r>
      <w:r w:rsidR="0080611A">
        <w:rPr>
          <w:lang w:val="fr-CA"/>
        </w:rPr>
        <w:t>’</w:t>
      </w:r>
      <w:r w:rsidR="008B0FD9" w:rsidRPr="00B3274C">
        <w:rPr>
          <w:lang w:val="fr-CA"/>
        </w:rPr>
        <w:t xml:space="preserve">asile et </w:t>
      </w:r>
      <w:r w:rsidR="002C1765" w:rsidRPr="00B3274C">
        <w:rPr>
          <w:lang w:val="fr-CA"/>
        </w:rPr>
        <w:t>les enfants non accompagnés</w:t>
      </w:r>
      <w:r w:rsidR="008B0FD9" w:rsidRPr="00B3274C">
        <w:rPr>
          <w:lang w:val="fr-CA"/>
        </w:rPr>
        <w:t>; la capacité totale d</w:t>
      </w:r>
      <w:r w:rsidR="0080611A">
        <w:rPr>
          <w:lang w:val="fr-CA"/>
        </w:rPr>
        <w:t>’</w:t>
      </w:r>
      <w:r w:rsidR="008B0FD9" w:rsidRPr="00B3274C">
        <w:rPr>
          <w:lang w:val="fr-CA"/>
        </w:rPr>
        <w:t>accueil est de 981</w:t>
      </w:r>
      <w:r w:rsidR="00614BAC">
        <w:rPr>
          <w:lang w:val="fr-CA"/>
        </w:rPr>
        <w:t> personnes</w:t>
      </w:r>
      <w:r w:rsidR="008B0FD9" w:rsidRPr="00B3274C">
        <w:rPr>
          <w:lang w:val="fr-CA"/>
        </w:rPr>
        <w:t xml:space="preserve">. </w:t>
      </w:r>
      <w:r w:rsidR="00A74A77" w:rsidRPr="00B3274C">
        <w:rPr>
          <w:lang w:val="fr-CA"/>
        </w:rPr>
        <w:t>Les infrastruc</w:t>
      </w:r>
      <w:r w:rsidR="00E91F8B" w:rsidRPr="00B3274C">
        <w:rPr>
          <w:lang w:val="fr-CA"/>
        </w:rPr>
        <w:t xml:space="preserve">tures ou services en matière </w:t>
      </w:r>
      <w:r w:rsidR="00DD6300" w:rsidRPr="00B3274C">
        <w:rPr>
          <w:lang w:val="fr-CA"/>
        </w:rPr>
        <w:t>d</w:t>
      </w:r>
      <w:r w:rsidR="0080611A">
        <w:rPr>
          <w:lang w:val="fr-CA"/>
        </w:rPr>
        <w:t>’</w:t>
      </w:r>
      <w:r w:rsidR="00DD6300" w:rsidRPr="00B3274C">
        <w:rPr>
          <w:lang w:val="fr-CA"/>
        </w:rPr>
        <w:t xml:space="preserve">hébergement </w:t>
      </w:r>
      <w:r w:rsidR="00A74A77" w:rsidRPr="00B3274C">
        <w:rPr>
          <w:lang w:val="fr-CA"/>
        </w:rPr>
        <w:t>s</w:t>
      </w:r>
      <w:r w:rsidR="0080611A">
        <w:rPr>
          <w:lang w:val="fr-CA"/>
        </w:rPr>
        <w:t>’</w:t>
      </w:r>
      <w:r w:rsidR="00A74A77" w:rsidRPr="00B3274C">
        <w:rPr>
          <w:lang w:val="fr-CA"/>
        </w:rPr>
        <w:t xml:space="preserve">accompagnent </w:t>
      </w:r>
      <w:r w:rsidR="00DD6300" w:rsidRPr="00B3274C">
        <w:rPr>
          <w:lang w:val="fr-CA"/>
        </w:rPr>
        <w:t>d</w:t>
      </w:r>
      <w:r w:rsidR="0080611A">
        <w:rPr>
          <w:lang w:val="fr-CA"/>
        </w:rPr>
        <w:t>’</w:t>
      </w:r>
      <w:r w:rsidR="00DD6300" w:rsidRPr="00B3274C">
        <w:rPr>
          <w:lang w:val="fr-CA"/>
        </w:rPr>
        <w:t>actions</w:t>
      </w:r>
      <w:r w:rsidR="00A74A77" w:rsidRPr="00B3274C">
        <w:rPr>
          <w:lang w:val="fr-CA"/>
        </w:rPr>
        <w:t xml:space="preserve"> telles que la fourniture d</w:t>
      </w:r>
      <w:r w:rsidR="0080611A">
        <w:rPr>
          <w:lang w:val="fr-CA"/>
        </w:rPr>
        <w:t>’</w:t>
      </w:r>
      <w:r w:rsidR="00A74A77" w:rsidRPr="00B3274C">
        <w:rPr>
          <w:lang w:val="fr-CA"/>
        </w:rPr>
        <w:t>aide matérielle</w:t>
      </w:r>
      <w:r w:rsidR="0080611A">
        <w:rPr>
          <w:lang w:val="fr-CA"/>
        </w:rPr>
        <w:t>,</w:t>
      </w:r>
      <w:r w:rsidR="00A74A77" w:rsidRPr="00B3274C">
        <w:rPr>
          <w:lang w:val="fr-CA"/>
        </w:rPr>
        <w:t xml:space="preserve"> de soins médicaux</w:t>
      </w:r>
      <w:r w:rsidR="0080611A">
        <w:rPr>
          <w:lang w:val="fr-CA"/>
        </w:rPr>
        <w:t>,</w:t>
      </w:r>
      <w:r w:rsidR="00A74A77" w:rsidRPr="00B3274C">
        <w:rPr>
          <w:lang w:val="fr-CA"/>
        </w:rPr>
        <w:t xml:space="preserve"> </w:t>
      </w:r>
      <w:r w:rsidR="00791DB6" w:rsidRPr="00B3274C">
        <w:rPr>
          <w:lang w:val="fr-CA"/>
        </w:rPr>
        <w:t>d</w:t>
      </w:r>
      <w:r w:rsidR="0080611A">
        <w:rPr>
          <w:lang w:val="fr-CA"/>
        </w:rPr>
        <w:t>’</w:t>
      </w:r>
      <w:r w:rsidR="00DD6300" w:rsidRPr="00B3274C">
        <w:rPr>
          <w:lang w:val="fr-CA"/>
        </w:rPr>
        <w:t>assistance</w:t>
      </w:r>
      <w:r w:rsidR="00A74A77" w:rsidRPr="00B3274C">
        <w:rPr>
          <w:lang w:val="fr-CA"/>
        </w:rPr>
        <w:t xml:space="preserve"> sociale ou </w:t>
      </w:r>
      <w:r w:rsidR="00791DB6" w:rsidRPr="00B3274C">
        <w:rPr>
          <w:lang w:val="fr-CA"/>
        </w:rPr>
        <w:t>d</w:t>
      </w:r>
      <w:r w:rsidR="0080611A">
        <w:rPr>
          <w:lang w:val="fr-CA"/>
        </w:rPr>
        <w:t>’</w:t>
      </w:r>
      <w:r w:rsidR="00DD6300" w:rsidRPr="00B3274C">
        <w:rPr>
          <w:lang w:val="fr-CA"/>
        </w:rPr>
        <w:t>assistance dans</w:t>
      </w:r>
      <w:r w:rsidR="00A74A77" w:rsidRPr="00B3274C">
        <w:rPr>
          <w:lang w:val="fr-CA"/>
        </w:rPr>
        <w:t xml:space="preserve"> les démarches administratives et judiciaires</w:t>
      </w:r>
      <w:r w:rsidR="0080611A">
        <w:rPr>
          <w:lang w:val="fr-CA"/>
        </w:rPr>
        <w:t>,</w:t>
      </w:r>
      <w:r w:rsidR="00A74A77" w:rsidRPr="00B3274C">
        <w:rPr>
          <w:lang w:val="fr-CA"/>
        </w:rPr>
        <w:t xml:space="preserve"> y compris une aide juridique</w:t>
      </w:r>
      <w:r w:rsidR="0080611A">
        <w:rPr>
          <w:lang w:val="fr-CA"/>
        </w:rPr>
        <w:t>,</w:t>
      </w:r>
      <w:r w:rsidR="00A74A77" w:rsidRPr="00B3274C">
        <w:rPr>
          <w:lang w:val="fr-CA"/>
        </w:rPr>
        <w:t xml:space="preserve"> qui tiennent compte des besoins particuliers des groupes les plus vulnérables. Voir le tableau détaillé à l</w:t>
      </w:r>
      <w:r w:rsidR="0080611A">
        <w:rPr>
          <w:lang w:val="fr-CA"/>
        </w:rPr>
        <w:t>’</w:t>
      </w:r>
      <w:r w:rsidR="00A74A77" w:rsidRPr="00B3274C">
        <w:rPr>
          <w:lang w:val="fr-CA"/>
        </w:rPr>
        <w:t xml:space="preserve">annexe </w:t>
      </w:r>
      <w:r w:rsidR="00FB23D3" w:rsidRPr="00B3274C">
        <w:rPr>
          <w:lang w:val="fr-CA"/>
        </w:rPr>
        <w:t>4.</w:t>
      </w:r>
    </w:p>
    <w:p w:rsidR="00FB23D3" w:rsidRPr="00B3274C" w:rsidRDefault="00107A47" w:rsidP="00107A47">
      <w:pPr>
        <w:pStyle w:val="SingleTxtG"/>
        <w:rPr>
          <w:lang w:val="fr-CA"/>
        </w:rPr>
      </w:pPr>
      <w:r w:rsidRPr="00B3274C">
        <w:rPr>
          <w:lang w:val="fr-CA"/>
        </w:rPr>
        <w:t>184.</w:t>
      </w:r>
      <w:r w:rsidRPr="00B3274C">
        <w:rPr>
          <w:lang w:val="fr-CA"/>
        </w:rPr>
        <w:tab/>
      </w:r>
      <w:r w:rsidR="00325CDE" w:rsidRPr="00B3274C">
        <w:rPr>
          <w:lang w:val="fr-CA"/>
        </w:rPr>
        <w:t>Par ailleurs</w:t>
      </w:r>
      <w:r w:rsidR="0080611A">
        <w:rPr>
          <w:lang w:val="fr-CA"/>
        </w:rPr>
        <w:t>,</w:t>
      </w:r>
      <w:r w:rsidR="00325CDE" w:rsidRPr="00B3274C">
        <w:rPr>
          <w:lang w:val="fr-CA"/>
        </w:rPr>
        <w:t xml:space="preserve"> depuis 2009</w:t>
      </w:r>
      <w:r w:rsidR="0080611A">
        <w:rPr>
          <w:lang w:val="fr-CA"/>
        </w:rPr>
        <w:t>,</w:t>
      </w:r>
      <w:r w:rsidR="00325CDE" w:rsidRPr="00B3274C">
        <w:rPr>
          <w:lang w:val="fr-CA"/>
        </w:rPr>
        <w:t xml:space="preserve"> la Grèce </w:t>
      </w:r>
      <w:r w:rsidR="009D3398" w:rsidRPr="00B3274C">
        <w:rPr>
          <w:lang w:val="fr-CA"/>
        </w:rPr>
        <w:t>présente une demande annuelle de</w:t>
      </w:r>
      <w:r w:rsidR="00C474BA" w:rsidRPr="00B3274C">
        <w:rPr>
          <w:lang w:val="fr-CA"/>
        </w:rPr>
        <w:t xml:space="preserve"> financement des</w:t>
      </w:r>
      <w:r w:rsidR="00791DB6" w:rsidRPr="00B3274C">
        <w:rPr>
          <w:lang w:val="fr-CA"/>
        </w:rPr>
        <w:t xml:space="preserve"> m</w:t>
      </w:r>
      <w:r w:rsidR="00325CDE" w:rsidRPr="00B3274C">
        <w:rPr>
          <w:lang w:val="fr-CA"/>
        </w:rPr>
        <w:t>esures d</w:t>
      </w:r>
      <w:r w:rsidR="0080611A">
        <w:rPr>
          <w:lang w:val="fr-CA"/>
        </w:rPr>
        <w:t>’</w:t>
      </w:r>
      <w:r w:rsidR="00325CDE" w:rsidRPr="00B3274C">
        <w:rPr>
          <w:lang w:val="fr-CA"/>
        </w:rPr>
        <w:t xml:space="preserve">urgence conformément aux dispositions de la décision </w:t>
      </w:r>
      <w:r w:rsidR="002E62CE" w:rsidRPr="00B3274C">
        <w:rPr>
          <w:lang w:val="fr-CA"/>
        </w:rPr>
        <w:t>portant création du FER</w:t>
      </w:r>
      <w:r w:rsidR="00325CDE" w:rsidRPr="00B3274C">
        <w:rPr>
          <w:lang w:val="fr-CA"/>
        </w:rPr>
        <w:t xml:space="preserve">. </w:t>
      </w:r>
      <w:r w:rsidR="002E62CE" w:rsidRPr="00B3274C">
        <w:rPr>
          <w:lang w:val="fr-CA"/>
        </w:rPr>
        <w:t>Le financement des mesures d</w:t>
      </w:r>
      <w:r w:rsidR="0080611A">
        <w:rPr>
          <w:lang w:val="fr-CA"/>
        </w:rPr>
        <w:t>’</w:t>
      </w:r>
      <w:r w:rsidR="002E62CE" w:rsidRPr="00B3274C">
        <w:rPr>
          <w:lang w:val="fr-CA"/>
        </w:rPr>
        <w:t>urgence vis</w:t>
      </w:r>
      <w:r w:rsidR="00C474BA" w:rsidRPr="00B3274C">
        <w:rPr>
          <w:lang w:val="fr-CA"/>
        </w:rPr>
        <w:t>e</w:t>
      </w:r>
      <w:r w:rsidR="002E62CE" w:rsidRPr="00B3274C">
        <w:rPr>
          <w:lang w:val="fr-CA"/>
        </w:rPr>
        <w:t xml:space="preserve"> à faire face </w:t>
      </w:r>
      <w:r w:rsidR="00E642D5" w:rsidRPr="00B3274C">
        <w:rPr>
          <w:lang w:val="fr-CA"/>
        </w:rPr>
        <w:t>à des</w:t>
      </w:r>
      <w:r w:rsidR="002E62CE" w:rsidRPr="00B3274C">
        <w:rPr>
          <w:lang w:val="fr-CA"/>
        </w:rPr>
        <w:t xml:space="preserve"> situations </w:t>
      </w:r>
      <w:r w:rsidR="00A62726" w:rsidRPr="00B3274C">
        <w:rPr>
          <w:lang w:val="fr-CA"/>
        </w:rPr>
        <w:t>particulièrement contraignantes</w:t>
      </w:r>
      <w:r w:rsidR="002E62CE" w:rsidRPr="00B3274C">
        <w:rPr>
          <w:lang w:val="fr-CA"/>
        </w:rPr>
        <w:t xml:space="preserve">. </w:t>
      </w:r>
      <w:r w:rsidR="00C474BA" w:rsidRPr="00B3274C">
        <w:rPr>
          <w:lang w:val="fr-CA"/>
        </w:rPr>
        <w:t xml:space="preserve">De telles situations sont caractérisées par </w:t>
      </w:r>
      <w:r w:rsidR="0055418C" w:rsidRPr="00B3274C">
        <w:rPr>
          <w:lang w:val="fr-CA"/>
        </w:rPr>
        <w:t>«</w:t>
      </w:r>
      <w:r w:rsidR="00C474BA" w:rsidRPr="00B3274C">
        <w:rPr>
          <w:lang w:val="fr-CA"/>
        </w:rPr>
        <w:t>l</w:t>
      </w:r>
      <w:r w:rsidR="0080611A">
        <w:rPr>
          <w:lang w:val="fr-CA"/>
        </w:rPr>
        <w:t>’</w:t>
      </w:r>
      <w:r w:rsidR="00C474BA" w:rsidRPr="00B3274C">
        <w:rPr>
          <w:lang w:val="fr-CA"/>
        </w:rPr>
        <w:t>arrivée soudaine</w:t>
      </w:r>
      <w:r w:rsidR="0080611A">
        <w:rPr>
          <w:lang w:val="fr-CA"/>
        </w:rPr>
        <w:t>,</w:t>
      </w:r>
      <w:r w:rsidR="00C474BA" w:rsidRPr="00B3274C">
        <w:rPr>
          <w:lang w:val="fr-CA"/>
        </w:rPr>
        <w:t xml:space="preserve"> en des points précis des frontières extérieures</w:t>
      </w:r>
      <w:r w:rsidR="0080611A">
        <w:rPr>
          <w:lang w:val="fr-CA"/>
        </w:rPr>
        <w:t>,</w:t>
      </w:r>
      <w:r w:rsidR="00C474BA" w:rsidRPr="00B3274C">
        <w:rPr>
          <w:lang w:val="fr-CA"/>
        </w:rPr>
        <w:t xml:space="preserve"> d</w:t>
      </w:r>
      <w:r w:rsidR="0080611A">
        <w:rPr>
          <w:lang w:val="fr-CA"/>
        </w:rPr>
        <w:t>’</w:t>
      </w:r>
      <w:r w:rsidR="00C474BA" w:rsidRPr="00B3274C">
        <w:rPr>
          <w:lang w:val="fr-CA"/>
        </w:rPr>
        <w:t>un grand nombre de ressortissants de pays tiers pouvant avoir besoin d</w:t>
      </w:r>
      <w:r w:rsidR="0080611A">
        <w:rPr>
          <w:lang w:val="fr-CA"/>
        </w:rPr>
        <w:t>’</w:t>
      </w:r>
      <w:r w:rsidR="00C474BA" w:rsidRPr="00B3274C">
        <w:rPr>
          <w:lang w:val="fr-CA"/>
        </w:rPr>
        <w:t>une</w:t>
      </w:r>
      <w:r w:rsidR="0010561A" w:rsidRPr="00B3274C">
        <w:rPr>
          <w:lang w:val="fr-CA"/>
        </w:rPr>
        <w:t xml:space="preserve"> protection internationale</w:t>
      </w:r>
      <w:r w:rsidR="0080611A">
        <w:rPr>
          <w:lang w:val="fr-CA"/>
        </w:rPr>
        <w:t>,</w:t>
      </w:r>
      <w:r w:rsidR="0010561A" w:rsidRPr="00B3274C">
        <w:rPr>
          <w:lang w:val="fr-CA"/>
        </w:rPr>
        <w:t xml:space="preserve"> avec cette conséquence que la capacité d</w:t>
      </w:r>
      <w:r w:rsidR="0080611A">
        <w:rPr>
          <w:lang w:val="fr-CA"/>
        </w:rPr>
        <w:t>’</w:t>
      </w:r>
      <w:r w:rsidR="0010561A" w:rsidRPr="00B3274C">
        <w:rPr>
          <w:lang w:val="fr-CA"/>
        </w:rPr>
        <w:t>accueil</w:t>
      </w:r>
      <w:r w:rsidR="0080611A">
        <w:rPr>
          <w:lang w:val="fr-CA"/>
        </w:rPr>
        <w:t>,</w:t>
      </w:r>
      <w:r w:rsidR="0010561A" w:rsidRPr="00B3274C">
        <w:rPr>
          <w:lang w:val="fr-CA"/>
        </w:rPr>
        <w:t xml:space="preserve"> le régime d</w:t>
      </w:r>
      <w:r w:rsidR="0080611A">
        <w:rPr>
          <w:lang w:val="fr-CA"/>
        </w:rPr>
        <w:t>’</w:t>
      </w:r>
      <w:r w:rsidR="0010561A" w:rsidRPr="00B3274C">
        <w:rPr>
          <w:lang w:val="fr-CA"/>
        </w:rPr>
        <w:t>asile ou les infrastructures des États membres concernés sont soumis à des sollicitations d</w:t>
      </w:r>
      <w:r w:rsidR="0080611A">
        <w:rPr>
          <w:lang w:val="fr-CA"/>
        </w:rPr>
        <w:t>’</w:t>
      </w:r>
      <w:r w:rsidR="0010561A" w:rsidRPr="00B3274C">
        <w:rPr>
          <w:lang w:val="fr-CA"/>
        </w:rPr>
        <w:t>une importance et d</w:t>
      </w:r>
      <w:r w:rsidR="0080611A">
        <w:rPr>
          <w:lang w:val="fr-CA"/>
        </w:rPr>
        <w:t>’</w:t>
      </w:r>
      <w:r w:rsidR="0010561A" w:rsidRPr="00B3274C">
        <w:rPr>
          <w:lang w:val="fr-CA"/>
        </w:rPr>
        <w:t xml:space="preserve">une urgence exceptionnelles et que la vie ou le bien-être </w:t>
      </w:r>
      <w:r w:rsidR="00614BAC">
        <w:rPr>
          <w:lang w:val="fr-CA"/>
        </w:rPr>
        <w:t>de personnes</w:t>
      </w:r>
      <w:r w:rsidR="0010561A" w:rsidRPr="00B3274C">
        <w:rPr>
          <w:lang w:val="fr-CA"/>
        </w:rPr>
        <w:t xml:space="preserve"> ou l</w:t>
      </w:r>
      <w:r w:rsidR="0080611A">
        <w:rPr>
          <w:lang w:val="fr-CA"/>
        </w:rPr>
        <w:t>’</w:t>
      </w:r>
      <w:r w:rsidR="0010561A" w:rsidRPr="00B3274C">
        <w:rPr>
          <w:lang w:val="fr-CA"/>
        </w:rPr>
        <w:t>accès aux droits consacrés par la législation communautaire peuvent être menacés</w:t>
      </w:r>
      <w:r w:rsidR="0055418C" w:rsidRPr="00B3274C">
        <w:rPr>
          <w:lang w:val="fr-CA"/>
        </w:rPr>
        <w:t>»</w:t>
      </w:r>
      <w:r w:rsidR="0010561A" w:rsidRPr="00B3274C">
        <w:rPr>
          <w:lang w:val="fr-CA"/>
        </w:rPr>
        <w:t xml:space="preserve">. </w:t>
      </w:r>
    </w:p>
    <w:p w:rsidR="00FB23D3" w:rsidRPr="00B3274C" w:rsidRDefault="00107A47" w:rsidP="00107A47">
      <w:pPr>
        <w:pStyle w:val="SingleTxtG"/>
        <w:rPr>
          <w:lang w:val="fr-CA"/>
        </w:rPr>
      </w:pPr>
      <w:r w:rsidRPr="00B3274C">
        <w:rPr>
          <w:lang w:val="fr-CA"/>
        </w:rPr>
        <w:t>185.</w:t>
      </w:r>
      <w:r w:rsidRPr="00B3274C">
        <w:rPr>
          <w:lang w:val="fr-CA"/>
        </w:rPr>
        <w:tab/>
      </w:r>
      <w:r w:rsidR="008C68DF" w:rsidRPr="00B3274C">
        <w:rPr>
          <w:lang w:val="fr-CA"/>
        </w:rPr>
        <w:t>Le financement du Fonds pour les mesures d</w:t>
      </w:r>
      <w:r w:rsidR="0080611A">
        <w:rPr>
          <w:lang w:val="fr-CA"/>
        </w:rPr>
        <w:t>’</w:t>
      </w:r>
      <w:r w:rsidR="008C68DF" w:rsidRPr="00B3274C">
        <w:rPr>
          <w:lang w:val="fr-CA"/>
        </w:rPr>
        <w:t>urgence est limité à six mois et n</w:t>
      </w:r>
      <w:r w:rsidR="0080611A">
        <w:rPr>
          <w:lang w:val="fr-CA"/>
        </w:rPr>
        <w:t>’</w:t>
      </w:r>
      <w:r w:rsidR="008C68DF" w:rsidRPr="00B3274C">
        <w:rPr>
          <w:lang w:val="fr-CA"/>
        </w:rPr>
        <w:t>excède pas 80</w:t>
      </w:r>
      <w:r w:rsidR="0050285B">
        <w:rPr>
          <w:lang w:val="fr-CA"/>
        </w:rPr>
        <w:t> %</w:t>
      </w:r>
      <w:r w:rsidR="00A92968">
        <w:rPr>
          <w:lang w:val="fr-CA"/>
        </w:rPr>
        <w:t xml:space="preserve"> du coût de chaque mesure:</w:t>
      </w:r>
      <w:r w:rsidR="008C68DF" w:rsidRPr="00B3274C">
        <w:rPr>
          <w:lang w:val="fr-CA"/>
        </w:rPr>
        <w:t xml:space="preserv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8C68DF" w:rsidRPr="00B3274C">
        <w:rPr>
          <w:lang w:val="fr-CA"/>
        </w:rPr>
        <w:t xml:space="preserve">Financement pour </w:t>
      </w:r>
      <w:r w:rsidR="00FB23D3" w:rsidRPr="00B3274C">
        <w:rPr>
          <w:lang w:val="fr-CA"/>
        </w:rPr>
        <w:t xml:space="preserve">2008: </w:t>
      </w:r>
      <w:r w:rsidR="008C68DF" w:rsidRPr="00B3274C">
        <w:rPr>
          <w:lang w:val="fr-CA"/>
        </w:rPr>
        <w:t>1 569 856</w:t>
      </w:r>
      <w:r w:rsidR="0080611A">
        <w:rPr>
          <w:lang w:val="fr-CA"/>
        </w:rPr>
        <w:t>,</w:t>
      </w:r>
      <w:r w:rsidR="008C68DF" w:rsidRPr="00B3274C">
        <w:rPr>
          <w:lang w:val="fr-CA"/>
        </w:rPr>
        <w:t>70</w:t>
      </w:r>
      <w:r w:rsidR="0099272B">
        <w:rPr>
          <w:lang w:val="fr-CA"/>
        </w:rPr>
        <w:t> </w:t>
      </w:r>
      <w:r w:rsidR="00E562FA">
        <w:rPr>
          <w:lang w:val="fr-CA"/>
        </w:rPr>
        <w:t>euros</w:t>
      </w:r>
      <w:r w:rsidR="008C68DF" w:rsidRPr="00B3274C">
        <w:rPr>
          <w:lang w:val="fr-CA"/>
        </w:rPr>
        <w:t xml:space="preserve"> (participation nationale de 20</w:t>
      </w:r>
      <w:r w:rsidR="0050285B">
        <w:rPr>
          <w:lang w:val="fr-CA"/>
        </w:rPr>
        <w:t> %</w:t>
      </w:r>
      <w:r w:rsidR="00EC5892" w:rsidRPr="00B3274C">
        <w:rPr>
          <w:lang w:val="fr-CA"/>
        </w:rPr>
        <w:t>:</w:t>
      </w:r>
      <w:r w:rsidR="008C68DF" w:rsidRPr="00B3274C">
        <w:rPr>
          <w:lang w:val="fr-CA"/>
        </w:rPr>
        <w:t xml:space="preserve"> 313 971</w:t>
      </w:r>
      <w:r w:rsidR="0080611A">
        <w:rPr>
          <w:lang w:val="fr-CA"/>
        </w:rPr>
        <w:t>,</w:t>
      </w:r>
      <w:r w:rsidR="008C68DF" w:rsidRPr="00B3274C">
        <w:rPr>
          <w:lang w:val="fr-CA"/>
        </w:rPr>
        <w:t>34</w:t>
      </w:r>
      <w:r w:rsidR="0099272B">
        <w:rPr>
          <w:lang w:val="fr-CA"/>
        </w:rPr>
        <w:t> </w:t>
      </w:r>
      <w:r w:rsidR="00E562FA">
        <w:rPr>
          <w:lang w:val="fr-CA"/>
        </w:rPr>
        <w:t>euros</w:t>
      </w:r>
      <w:r w:rsidR="008C68DF" w:rsidRPr="00B3274C">
        <w:rPr>
          <w:lang w:val="fr-CA"/>
        </w:rPr>
        <w:t>)</w:t>
      </w:r>
      <w:r w:rsidR="00A92968">
        <w:rPr>
          <w:lang w:val="fr-CA"/>
        </w:rPr>
        <w:t>;</w:t>
      </w:r>
      <w:r w:rsidR="008C68DF" w:rsidRPr="00B3274C">
        <w:rPr>
          <w:lang w:val="fr-CA"/>
        </w:rPr>
        <w:t xml:space="preserve"> </w:t>
      </w:r>
    </w:p>
    <w:p w:rsidR="00A92968"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8C68DF" w:rsidRPr="00B3274C">
        <w:rPr>
          <w:lang w:val="fr-CA"/>
        </w:rPr>
        <w:t xml:space="preserve">Financement pour </w:t>
      </w:r>
      <w:r w:rsidR="00FB23D3" w:rsidRPr="00B3274C">
        <w:rPr>
          <w:lang w:val="fr-CA"/>
        </w:rPr>
        <w:t xml:space="preserve">2009: </w:t>
      </w:r>
      <w:r w:rsidR="008C68DF" w:rsidRPr="00B3274C">
        <w:rPr>
          <w:lang w:val="fr-CA"/>
        </w:rPr>
        <w:t>386</w:t>
      </w:r>
      <w:r w:rsidR="00C225D9" w:rsidRPr="00B3274C">
        <w:rPr>
          <w:lang w:val="fr-CA"/>
        </w:rPr>
        <w:t> </w:t>
      </w:r>
      <w:r w:rsidR="008C68DF" w:rsidRPr="00B3274C">
        <w:rPr>
          <w:lang w:val="fr-CA"/>
        </w:rPr>
        <w:t>110</w:t>
      </w:r>
      <w:r w:rsidR="0080611A">
        <w:rPr>
          <w:lang w:val="fr-CA"/>
        </w:rPr>
        <w:t>,</w:t>
      </w:r>
      <w:r w:rsidR="00C225D9" w:rsidRPr="00B3274C">
        <w:rPr>
          <w:lang w:val="fr-CA"/>
        </w:rPr>
        <w:t>00</w:t>
      </w:r>
      <w:r w:rsidR="0099272B">
        <w:rPr>
          <w:lang w:val="fr-CA"/>
        </w:rPr>
        <w:t> </w:t>
      </w:r>
      <w:r w:rsidR="00E562FA">
        <w:rPr>
          <w:lang w:val="fr-CA"/>
        </w:rPr>
        <w:t>euros</w:t>
      </w:r>
      <w:r w:rsidR="008C68DF" w:rsidRPr="00B3274C">
        <w:rPr>
          <w:lang w:val="fr-CA"/>
        </w:rPr>
        <w:t xml:space="preserve"> </w:t>
      </w:r>
      <w:r w:rsidR="00FB23D3" w:rsidRPr="00B3274C">
        <w:rPr>
          <w:lang w:val="fr-CA"/>
        </w:rPr>
        <w:t>(</w:t>
      </w:r>
      <w:r w:rsidR="008C68DF" w:rsidRPr="00B3274C">
        <w:rPr>
          <w:lang w:val="fr-CA"/>
        </w:rPr>
        <w:t>participation nationale de 20</w:t>
      </w:r>
      <w:r w:rsidR="0050285B">
        <w:rPr>
          <w:lang w:val="fr-CA"/>
        </w:rPr>
        <w:t> %</w:t>
      </w:r>
      <w:r w:rsidR="00EC5892" w:rsidRPr="00B3274C">
        <w:rPr>
          <w:lang w:val="fr-CA"/>
        </w:rPr>
        <w:t>:</w:t>
      </w:r>
      <w:r w:rsidR="001C1A79" w:rsidRPr="00B3274C">
        <w:rPr>
          <w:lang w:val="fr-CA"/>
        </w:rPr>
        <w:t xml:space="preserve"> 77</w:t>
      </w:r>
      <w:r w:rsidR="00A92968">
        <w:rPr>
          <w:lang w:val="fr-CA"/>
        </w:rPr>
        <w:t> </w:t>
      </w:r>
      <w:r w:rsidR="00FB23D3" w:rsidRPr="00B3274C">
        <w:rPr>
          <w:lang w:val="fr-CA"/>
        </w:rPr>
        <w:t>222</w:t>
      </w:r>
      <w:r w:rsidR="0080611A">
        <w:rPr>
          <w:lang w:val="fr-CA"/>
        </w:rPr>
        <w:t>,</w:t>
      </w:r>
      <w:r w:rsidR="00FB23D3" w:rsidRPr="00B3274C">
        <w:rPr>
          <w:lang w:val="fr-CA"/>
        </w:rPr>
        <w:t>00</w:t>
      </w:r>
      <w:r w:rsidR="0099272B">
        <w:rPr>
          <w:lang w:val="fr-CA"/>
        </w:rPr>
        <w:t> </w:t>
      </w:r>
      <w:r w:rsidR="00E562FA">
        <w:rPr>
          <w:lang w:val="fr-CA"/>
        </w:rPr>
        <w:t>euros</w:t>
      </w:r>
      <w:r w:rsidR="00FB23D3" w:rsidRPr="00B3274C">
        <w:rPr>
          <w:lang w:val="fr-CA"/>
        </w:rPr>
        <w:t>)</w:t>
      </w:r>
      <w:r w:rsidR="00A92968">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8C68DF" w:rsidRPr="00B3274C">
        <w:rPr>
          <w:lang w:val="fr-CA"/>
        </w:rPr>
        <w:t xml:space="preserve">Financement pour </w:t>
      </w:r>
      <w:r w:rsidR="00FB23D3" w:rsidRPr="00B3274C">
        <w:rPr>
          <w:lang w:val="fr-CA"/>
        </w:rPr>
        <w:t xml:space="preserve">2010: </w:t>
      </w:r>
      <w:r w:rsidR="008C68DF" w:rsidRPr="00B3274C">
        <w:rPr>
          <w:lang w:val="fr-CA"/>
        </w:rPr>
        <w:t>7 125 988</w:t>
      </w:r>
      <w:r w:rsidR="0080611A">
        <w:rPr>
          <w:lang w:val="fr-CA"/>
        </w:rPr>
        <w:t>,</w:t>
      </w:r>
      <w:r w:rsidR="008C68DF" w:rsidRPr="00B3274C">
        <w:rPr>
          <w:lang w:val="fr-CA"/>
        </w:rPr>
        <w:t>40</w:t>
      </w:r>
      <w:r w:rsidR="0099272B">
        <w:rPr>
          <w:lang w:val="fr-CA"/>
        </w:rPr>
        <w:t> </w:t>
      </w:r>
      <w:r w:rsidR="00E562FA">
        <w:rPr>
          <w:lang w:val="fr-CA"/>
        </w:rPr>
        <w:t>euros</w:t>
      </w:r>
      <w:r w:rsidR="008C68DF" w:rsidRPr="00B3274C">
        <w:rPr>
          <w:lang w:val="fr-CA"/>
        </w:rPr>
        <w:t xml:space="preserve"> (20</w:t>
      </w:r>
      <w:r w:rsidR="0050285B">
        <w:rPr>
          <w:lang w:val="fr-CA"/>
        </w:rPr>
        <w:t> %</w:t>
      </w:r>
      <w:r w:rsidR="008C68DF" w:rsidRPr="00B3274C">
        <w:rPr>
          <w:lang w:val="fr-CA"/>
        </w:rPr>
        <w:t xml:space="preserve"> de participation nationale</w:t>
      </w:r>
      <w:r w:rsidR="00EC5892" w:rsidRPr="00B3274C">
        <w:rPr>
          <w:lang w:val="fr-CA"/>
        </w:rPr>
        <w:t>:</w:t>
      </w:r>
      <w:r w:rsidR="008C68DF" w:rsidRPr="00B3274C">
        <w:rPr>
          <w:lang w:val="fr-CA"/>
        </w:rPr>
        <w:t xml:space="preserve"> 1 425 197</w:t>
      </w:r>
      <w:r w:rsidR="0080611A">
        <w:rPr>
          <w:lang w:val="fr-CA"/>
        </w:rPr>
        <w:t>,</w:t>
      </w:r>
      <w:r w:rsidR="008C68DF" w:rsidRPr="00B3274C">
        <w:rPr>
          <w:lang w:val="fr-CA"/>
        </w:rPr>
        <w:t>68</w:t>
      </w:r>
      <w:r w:rsidR="0099272B">
        <w:rPr>
          <w:lang w:val="fr-CA"/>
        </w:rPr>
        <w:t> </w:t>
      </w:r>
      <w:r w:rsidR="00E562FA">
        <w:rPr>
          <w:lang w:val="fr-CA"/>
        </w:rPr>
        <w:t>euros</w:t>
      </w:r>
      <w:r w:rsidR="00A92968">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8C68DF" w:rsidRPr="00B3274C">
        <w:rPr>
          <w:lang w:val="fr-CA"/>
        </w:rPr>
        <w:t xml:space="preserve">Financement pour </w:t>
      </w:r>
      <w:r w:rsidR="00FB23D3" w:rsidRPr="00B3274C">
        <w:rPr>
          <w:lang w:val="fr-CA"/>
        </w:rPr>
        <w:t>2011</w:t>
      </w:r>
      <w:r w:rsidR="00457399" w:rsidRPr="00B3274C">
        <w:rPr>
          <w:rStyle w:val="FootnoteReference"/>
          <w:lang w:val="fr-CA"/>
        </w:rPr>
        <w:footnoteReference w:id="5"/>
      </w:r>
      <w:r w:rsidR="00FB23D3" w:rsidRPr="00B3274C">
        <w:rPr>
          <w:lang w:val="fr-CA"/>
        </w:rPr>
        <w:t xml:space="preserve">: </w:t>
      </w:r>
      <w:r w:rsidR="008C68DF" w:rsidRPr="00B3274C">
        <w:rPr>
          <w:lang w:val="fr-CA"/>
        </w:rPr>
        <w:t>4 687 500</w:t>
      </w:r>
      <w:r w:rsidR="0099272B">
        <w:rPr>
          <w:lang w:val="fr-CA"/>
        </w:rPr>
        <w:t> </w:t>
      </w:r>
      <w:r w:rsidR="00E562FA">
        <w:rPr>
          <w:lang w:val="fr-CA"/>
        </w:rPr>
        <w:t>euros</w:t>
      </w:r>
      <w:r w:rsidR="0055418C" w:rsidRPr="00B3274C">
        <w:rPr>
          <w:lang w:val="fr-CA"/>
        </w:rPr>
        <w:t xml:space="preserve"> </w:t>
      </w:r>
      <w:r w:rsidR="00FB23D3" w:rsidRPr="00B3274C">
        <w:rPr>
          <w:lang w:val="fr-CA"/>
        </w:rPr>
        <w:t>(</w:t>
      </w:r>
      <w:r w:rsidR="008C68DF" w:rsidRPr="00B3274C">
        <w:rPr>
          <w:lang w:val="fr-CA"/>
        </w:rPr>
        <w:t>20</w:t>
      </w:r>
      <w:r w:rsidR="0050285B">
        <w:rPr>
          <w:lang w:val="fr-CA"/>
        </w:rPr>
        <w:t> %</w:t>
      </w:r>
      <w:r w:rsidR="008C68DF" w:rsidRPr="00B3274C">
        <w:rPr>
          <w:lang w:val="fr-CA"/>
        </w:rPr>
        <w:t xml:space="preserve"> de participation nationale</w:t>
      </w:r>
      <w:r w:rsidR="00EC5892" w:rsidRPr="00B3274C">
        <w:rPr>
          <w:lang w:val="fr-CA"/>
        </w:rPr>
        <w:t>:</w:t>
      </w:r>
      <w:r w:rsidR="008C68DF" w:rsidRPr="00B3274C">
        <w:rPr>
          <w:lang w:val="fr-CA"/>
        </w:rPr>
        <w:t xml:space="preserve"> 937 500</w:t>
      </w:r>
      <w:r w:rsidR="0099272B">
        <w:rPr>
          <w:lang w:val="fr-CA"/>
        </w:rPr>
        <w:t> </w:t>
      </w:r>
      <w:r w:rsidR="00E562FA">
        <w:rPr>
          <w:lang w:val="fr-CA"/>
        </w:rPr>
        <w:t>euros</w:t>
      </w:r>
      <w:r w:rsidR="00FB23D3" w:rsidRPr="00B3274C">
        <w:rPr>
          <w:lang w:val="fr-CA"/>
        </w:rPr>
        <w:t>)</w:t>
      </w:r>
      <w:r w:rsidR="00162433" w:rsidRPr="00B3274C">
        <w:rPr>
          <w:lang w:val="fr-CA"/>
        </w:rPr>
        <w:t>.</w:t>
      </w:r>
    </w:p>
    <w:p w:rsidR="00FB23D3" w:rsidRPr="00B3274C" w:rsidRDefault="008C68DF" w:rsidP="00FB23D3">
      <w:pPr>
        <w:pStyle w:val="SingleTxtG"/>
        <w:rPr>
          <w:b/>
          <w:bCs/>
          <w:lang w:val="fr-CA"/>
        </w:rPr>
      </w:pPr>
      <w:r w:rsidRPr="00B3274C">
        <w:rPr>
          <w:bCs/>
          <w:lang w:val="fr-CA"/>
        </w:rPr>
        <w:t>Pour de plus amples détails sur les projets concernant le FER</w:t>
      </w:r>
      <w:r w:rsidR="0080611A">
        <w:rPr>
          <w:bCs/>
          <w:lang w:val="fr-CA"/>
        </w:rPr>
        <w:t>,</w:t>
      </w:r>
      <w:r w:rsidRPr="00B3274C">
        <w:rPr>
          <w:bCs/>
          <w:lang w:val="fr-CA"/>
        </w:rPr>
        <w:t xml:space="preserve"> voir l</w:t>
      </w:r>
      <w:r w:rsidR="0080611A">
        <w:rPr>
          <w:bCs/>
          <w:lang w:val="fr-CA"/>
        </w:rPr>
        <w:t>’</w:t>
      </w:r>
      <w:r w:rsidRPr="00B3274C">
        <w:rPr>
          <w:bCs/>
          <w:lang w:val="fr-CA"/>
        </w:rPr>
        <w:t xml:space="preserve">annexe </w:t>
      </w:r>
      <w:r w:rsidR="00FB23D3" w:rsidRPr="00B3274C">
        <w:rPr>
          <w:bCs/>
          <w:lang w:val="fr-CA"/>
        </w:rPr>
        <w:t xml:space="preserve">5. </w:t>
      </w:r>
    </w:p>
    <w:p w:rsidR="00FB23D3" w:rsidRPr="00B3274C" w:rsidRDefault="00107A47" w:rsidP="00107A47">
      <w:pPr>
        <w:pStyle w:val="SingleTxtG"/>
        <w:rPr>
          <w:lang w:val="fr-CA"/>
        </w:rPr>
      </w:pPr>
      <w:r w:rsidRPr="00B3274C">
        <w:rPr>
          <w:lang w:val="fr-CA"/>
        </w:rPr>
        <w:t>186.</w:t>
      </w:r>
      <w:r w:rsidRPr="00B3274C">
        <w:rPr>
          <w:lang w:val="fr-CA"/>
        </w:rPr>
        <w:tab/>
      </w:r>
      <w:r w:rsidR="004B0B59" w:rsidRPr="00B3274C">
        <w:rPr>
          <w:lang w:val="fr-CA"/>
        </w:rPr>
        <w:t>Le Centre national pour la solidarité sociale (EKKA</w:t>
      </w:r>
      <w:r w:rsidR="0080611A">
        <w:rPr>
          <w:lang w:val="fr-CA"/>
        </w:rPr>
        <w:t>,</w:t>
      </w:r>
      <w:r w:rsidR="004B0B59" w:rsidRPr="00B3274C">
        <w:rPr>
          <w:lang w:val="fr-CA"/>
        </w:rPr>
        <w:t xml:space="preserve"> une personne morale de droit public placé sous la tutelle du Ministère de la santé et de la solidarité sociale) est le principal organisme public du réseau des services de solidarité sociale et d</w:t>
      </w:r>
      <w:r w:rsidR="0080611A">
        <w:rPr>
          <w:lang w:val="fr-CA"/>
        </w:rPr>
        <w:t>’</w:t>
      </w:r>
      <w:r w:rsidR="004B0B59" w:rsidRPr="00B3274C">
        <w:rPr>
          <w:lang w:val="fr-CA"/>
        </w:rPr>
        <w:t>information. Il a pour vocation de coordonner les activités menées par les services d</w:t>
      </w:r>
      <w:r w:rsidR="0080611A">
        <w:rPr>
          <w:lang w:val="fr-CA"/>
        </w:rPr>
        <w:t>’</w:t>
      </w:r>
      <w:r w:rsidR="004B0B59" w:rsidRPr="00B3274C">
        <w:rPr>
          <w:lang w:val="fr-CA"/>
        </w:rPr>
        <w:t xml:space="preserve">aide sociale en faveur </w:t>
      </w:r>
      <w:r w:rsidR="00614BAC">
        <w:rPr>
          <w:lang w:val="fr-CA"/>
        </w:rPr>
        <w:t>des personnes</w:t>
      </w:r>
      <w:r w:rsidR="0080611A">
        <w:rPr>
          <w:lang w:val="fr-CA"/>
        </w:rPr>
        <w:t>,</w:t>
      </w:r>
      <w:r w:rsidR="004B0B59" w:rsidRPr="00B3274C">
        <w:rPr>
          <w:lang w:val="fr-CA"/>
        </w:rPr>
        <w:t xml:space="preserve"> des familles et des groupes de population qui traversent une forte crise émotionnelle ou se trouvent dans une situation d</w:t>
      </w:r>
      <w:r w:rsidR="0080611A">
        <w:rPr>
          <w:lang w:val="fr-CA"/>
        </w:rPr>
        <w:t>’</w:t>
      </w:r>
      <w:r w:rsidR="004B0B59" w:rsidRPr="00B3274C">
        <w:rPr>
          <w:lang w:val="fr-CA"/>
        </w:rPr>
        <w:t xml:space="preserve">urgence. </w:t>
      </w:r>
    </w:p>
    <w:p w:rsidR="00FB23D3" w:rsidRPr="00B3274C" w:rsidRDefault="00107A47" w:rsidP="00107A47">
      <w:pPr>
        <w:pStyle w:val="SingleTxtG"/>
        <w:rPr>
          <w:lang w:val="fr-CA"/>
        </w:rPr>
      </w:pPr>
      <w:r w:rsidRPr="00B3274C">
        <w:rPr>
          <w:lang w:val="fr-CA"/>
        </w:rPr>
        <w:t>187.</w:t>
      </w:r>
      <w:r w:rsidRPr="00B3274C">
        <w:rPr>
          <w:lang w:val="fr-CA"/>
        </w:rPr>
        <w:tab/>
      </w:r>
      <w:r w:rsidR="004B0B59" w:rsidRPr="00B3274C">
        <w:rPr>
          <w:lang w:val="fr-CA"/>
        </w:rPr>
        <w:t>Les groupes cible d</w:t>
      </w:r>
      <w:r w:rsidR="0080611A">
        <w:rPr>
          <w:lang w:val="fr-CA"/>
        </w:rPr>
        <w:t>’</w:t>
      </w:r>
      <w:r w:rsidR="004B0B59" w:rsidRPr="00B3274C">
        <w:rPr>
          <w:lang w:val="fr-CA"/>
        </w:rPr>
        <w:t>EKKA sont les suivants</w:t>
      </w:r>
      <w:r w:rsidR="00EC5892" w:rsidRPr="00B3274C">
        <w:rPr>
          <w:lang w:val="fr-CA"/>
        </w:rPr>
        <w:t>:</w:t>
      </w:r>
      <w:r w:rsidR="004B0B59" w:rsidRPr="00B3274C">
        <w:rPr>
          <w:lang w:val="fr-CA"/>
        </w:rPr>
        <w:t xml:space="preserve"> </w:t>
      </w:r>
      <w:r w:rsidR="00A37031" w:rsidRPr="00B3274C">
        <w:rPr>
          <w:lang w:val="fr-CA"/>
        </w:rPr>
        <w:t>les enfants et les adolescents victimes de sévices</w:t>
      </w:r>
      <w:r w:rsidR="0080611A">
        <w:rPr>
          <w:lang w:val="fr-CA"/>
        </w:rPr>
        <w:t>,</w:t>
      </w:r>
      <w:r w:rsidR="00A37031" w:rsidRPr="00B3274C">
        <w:rPr>
          <w:lang w:val="fr-CA"/>
        </w:rPr>
        <w:t xml:space="preserve"> de négligence</w:t>
      </w:r>
      <w:r w:rsidR="0080611A">
        <w:rPr>
          <w:lang w:val="fr-CA"/>
        </w:rPr>
        <w:t>,</w:t>
      </w:r>
      <w:r w:rsidR="00A37031" w:rsidRPr="00B3274C">
        <w:rPr>
          <w:lang w:val="fr-CA"/>
        </w:rPr>
        <w:t xml:space="preserve"> d</w:t>
      </w:r>
      <w:r w:rsidR="0080611A">
        <w:rPr>
          <w:lang w:val="fr-CA"/>
        </w:rPr>
        <w:t>’</w:t>
      </w:r>
      <w:r w:rsidR="00A37031" w:rsidRPr="00B3274C">
        <w:rPr>
          <w:lang w:val="fr-CA"/>
        </w:rPr>
        <w:t>abandon</w:t>
      </w:r>
      <w:r w:rsidR="0080611A">
        <w:rPr>
          <w:lang w:val="fr-CA"/>
        </w:rPr>
        <w:t>,</w:t>
      </w:r>
      <w:r w:rsidR="00A37031" w:rsidRPr="00B3274C">
        <w:rPr>
          <w:lang w:val="fr-CA"/>
        </w:rPr>
        <w:t xml:space="preserve"> de brimades et vivant dans des conditions difficiles</w:t>
      </w:r>
      <w:r w:rsidR="00EC5892" w:rsidRPr="00B3274C">
        <w:rPr>
          <w:lang w:val="fr-CA"/>
        </w:rPr>
        <w:t>;</w:t>
      </w:r>
      <w:r w:rsidR="00A37031" w:rsidRPr="00B3274C">
        <w:rPr>
          <w:lang w:val="fr-CA"/>
        </w:rPr>
        <w:t xml:space="preserve"> les adolescents fugueurs</w:t>
      </w:r>
      <w:r w:rsidR="00EC5892" w:rsidRPr="00B3274C">
        <w:rPr>
          <w:lang w:val="fr-CA"/>
        </w:rPr>
        <w:t>;</w:t>
      </w:r>
      <w:r w:rsidR="00A37031" w:rsidRPr="00B3274C">
        <w:rPr>
          <w:lang w:val="fr-CA"/>
        </w:rPr>
        <w:t xml:space="preserve"> les mineurs victimes de la traite des êtres humains</w:t>
      </w:r>
      <w:r w:rsidR="00EC5892" w:rsidRPr="00B3274C">
        <w:rPr>
          <w:lang w:val="fr-CA"/>
        </w:rPr>
        <w:t>;</w:t>
      </w:r>
      <w:r w:rsidR="00A37031" w:rsidRPr="00B3274C">
        <w:rPr>
          <w:lang w:val="fr-CA"/>
        </w:rPr>
        <w:t xml:space="preserve"> les femmes victimes de violence familiale</w:t>
      </w:r>
      <w:r w:rsidR="0080611A">
        <w:rPr>
          <w:lang w:val="fr-CA"/>
        </w:rPr>
        <w:t>,</w:t>
      </w:r>
      <w:r w:rsidR="00A37031" w:rsidRPr="00B3274C">
        <w:rPr>
          <w:lang w:val="fr-CA"/>
        </w:rPr>
        <w:t xml:space="preserve"> de sévices</w:t>
      </w:r>
      <w:r w:rsidR="0080611A">
        <w:rPr>
          <w:lang w:val="fr-CA"/>
        </w:rPr>
        <w:t>,</w:t>
      </w:r>
      <w:r w:rsidR="00A37031" w:rsidRPr="00B3274C">
        <w:rPr>
          <w:lang w:val="fr-CA"/>
        </w:rPr>
        <w:t xml:space="preserve"> d</w:t>
      </w:r>
      <w:r w:rsidR="0080611A">
        <w:rPr>
          <w:lang w:val="fr-CA"/>
        </w:rPr>
        <w:t>’</w:t>
      </w:r>
      <w:r w:rsidR="00A37031" w:rsidRPr="00B3274C">
        <w:rPr>
          <w:lang w:val="fr-CA"/>
        </w:rPr>
        <w:t>abandon et de trafic illégal à des fins d</w:t>
      </w:r>
      <w:r w:rsidR="0080611A">
        <w:rPr>
          <w:lang w:val="fr-CA"/>
        </w:rPr>
        <w:t>’</w:t>
      </w:r>
      <w:r w:rsidR="00A37031" w:rsidRPr="00B3274C">
        <w:rPr>
          <w:lang w:val="fr-CA"/>
        </w:rPr>
        <w:t>exploitation sexuelle ou financière</w:t>
      </w:r>
      <w:r w:rsidR="00EC5892" w:rsidRPr="00B3274C">
        <w:rPr>
          <w:lang w:val="fr-CA"/>
        </w:rPr>
        <w:t>;</w:t>
      </w:r>
      <w:r w:rsidR="00A37031" w:rsidRPr="00B3274C">
        <w:rPr>
          <w:lang w:val="fr-CA"/>
        </w:rPr>
        <w:t xml:space="preserve"> les femmes (seules ou avec enfants) en crise et ayant des difficultés financières ou en danger d</w:t>
      </w:r>
      <w:r w:rsidR="0080611A">
        <w:rPr>
          <w:lang w:val="fr-CA"/>
        </w:rPr>
        <w:t>’</w:t>
      </w:r>
      <w:r w:rsidR="00A37031" w:rsidRPr="00B3274C">
        <w:rPr>
          <w:lang w:val="fr-CA"/>
        </w:rPr>
        <w:t>exclusion sociale</w:t>
      </w:r>
      <w:r w:rsidR="00EC5892" w:rsidRPr="00B3274C">
        <w:rPr>
          <w:lang w:val="fr-CA"/>
        </w:rPr>
        <w:t>;</w:t>
      </w:r>
      <w:r w:rsidR="00A37031" w:rsidRPr="00B3274C">
        <w:rPr>
          <w:lang w:val="fr-CA"/>
        </w:rPr>
        <w:t xml:space="preserve"> les adultes et </w:t>
      </w:r>
      <w:r w:rsidR="00614BAC">
        <w:rPr>
          <w:lang w:val="fr-CA"/>
        </w:rPr>
        <w:t>les personnes</w:t>
      </w:r>
      <w:r w:rsidR="00A37031" w:rsidRPr="00B3274C">
        <w:rPr>
          <w:lang w:val="fr-CA"/>
        </w:rPr>
        <w:t xml:space="preserve"> âgées ayant besoin d</w:t>
      </w:r>
      <w:r w:rsidR="0080611A">
        <w:rPr>
          <w:lang w:val="fr-CA"/>
        </w:rPr>
        <w:t>’</w:t>
      </w:r>
      <w:r w:rsidR="00A37031" w:rsidRPr="00B3274C">
        <w:rPr>
          <w:lang w:val="fr-CA"/>
        </w:rPr>
        <w:t>une protection sociale immédiate</w:t>
      </w:r>
      <w:r w:rsidR="00EC5892" w:rsidRPr="00B3274C">
        <w:rPr>
          <w:lang w:val="fr-CA"/>
        </w:rPr>
        <w:t>;</w:t>
      </w:r>
      <w:r w:rsidR="00A37031" w:rsidRPr="00B3274C">
        <w:rPr>
          <w:lang w:val="fr-CA"/>
        </w:rPr>
        <w:t xml:space="preserve"> les adultes et </w:t>
      </w:r>
      <w:r w:rsidR="00614BAC">
        <w:rPr>
          <w:lang w:val="fr-CA"/>
        </w:rPr>
        <w:t>les personnes</w:t>
      </w:r>
      <w:r w:rsidR="00A37031" w:rsidRPr="00B3274C">
        <w:rPr>
          <w:lang w:val="fr-CA"/>
        </w:rPr>
        <w:t xml:space="preserve"> âgées en crise ou dans un état psychologique ou émotionnel exceptionnel et les victimes de discrimination et d</w:t>
      </w:r>
      <w:r w:rsidR="0080611A">
        <w:rPr>
          <w:lang w:val="fr-CA"/>
        </w:rPr>
        <w:t>’</w:t>
      </w:r>
      <w:r w:rsidR="00A37031" w:rsidRPr="00B3274C">
        <w:rPr>
          <w:lang w:val="fr-CA"/>
        </w:rPr>
        <w:t xml:space="preserve">exclusion sociale. </w:t>
      </w:r>
    </w:p>
    <w:p w:rsidR="00FB23D3" w:rsidRPr="00B3274C" w:rsidRDefault="00107A47" w:rsidP="00107A47">
      <w:pPr>
        <w:pStyle w:val="SingleTxtG"/>
        <w:rPr>
          <w:lang w:val="fr-CA"/>
        </w:rPr>
      </w:pPr>
      <w:r w:rsidRPr="00B3274C">
        <w:rPr>
          <w:lang w:val="fr-CA"/>
        </w:rPr>
        <w:t>188.</w:t>
      </w:r>
      <w:r w:rsidRPr="00B3274C">
        <w:rPr>
          <w:lang w:val="fr-CA"/>
        </w:rPr>
        <w:tab/>
      </w:r>
      <w:r w:rsidR="00FB23D3" w:rsidRPr="00B3274C">
        <w:rPr>
          <w:lang w:val="fr-CA"/>
        </w:rPr>
        <w:t>EKKA</w:t>
      </w:r>
      <w:r w:rsidR="006B54D4" w:rsidRPr="00B3274C">
        <w:rPr>
          <w:lang w:val="fr-CA"/>
        </w:rPr>
        <w:t xml:space="preserve"> n</w:t>
      </w:r>
      <w:r w:rsidR="0080611A">
        <w:rPr>
          <w:lang w:val="fr-CA"/>
        </w:rPr>
        <w:t>’</w:t>
      </w:r>
      <w:r w:rsidR="006B54D4" w:rsidRPr="00B3274C">
        <w:rPr>
          <w:lang w:val="fr-CA"/>
        </w:rPr>
        <w:t>étend pas ses services aux groupes vulnérables d</w:t>
      </w:r>
      <w:r w:rsidR="00DB3716" w:rsidRPr="00B3274C">
        <w:rPr>
          <w:lang w:val="fr-CA"/>
        </w:rPr>
        <w:t>ont</w:t>
      </w:r>
      <w:r w:rsidR="006B54D4" w:rsidRPr="00B3274C">
        <w:rPr>
          <w:lang w:val="fr-CA"/>
        </w:rPr>
        <w:t xml:space="preserve"> les problèmes nécessitent une intervention thérapeutique particulière</w:t>
      </w:r>
      <w:r w:rsidR="0080611A">
        <w:rPr>
          <w:lang w:val="fr-CA"/>
        </w:rPr>
        <w:t>,</w:t>
      </w:r>
      <w:r w:rsidR="006B54D4" w:rsidRPr="00B3274C">
        <w:rPr>
          <w:lang w:val="fr-CA"/>
        </w:rPr>
        <w:t xml:space="preserve"> tels que les toxicomanes</w:t>
      </w:r>
      <w:r w:rsidR="0080611A">
        <w:rPr>
          <w:lang w:val="fr-CA"/>
        </w:rPr>
        <w:t>,</w:t>
      </w:r>
      <w:r w:rsidR="006B54D4" w:rsidRPr="00B3274C">
        <w:rPr>
          <w:lang w:val="fr-CA"/>
        </w:rPr>
        <w:t xml:space="preserve"> </w:t>
      </w:r>
      <w:r w:rsidR="00614BAC">
        <w:rPr>
          <w:lang w:val="fr-CA"/>
        </w:rPr>
        <w:t>les personnes</w:t>
      </w:r>
      <w:r w:rsidR="006B54D4" w:rsidRPr="00B3274C">
        <w:rPr>
          <w:lang w:val="fr-CA"/>
        </w:rPr>
        <w:t xml:space="preserve"> vivant avec le VIH/sida et les malades mentaux. Les principaux services fournis par </w:t>
      </w:r>
      <w:r w:rsidR="006B54D4" w:rsidRPr="00B3274C">
        <w:rPr>
          <w:bCs/>
          <w:lang w:val="fr-CA"/>
        </w:rPr>
        <w:t>EKKA sont les suivants</w:t>
      </w:r>
      <w:r w:rsidR="00EC5892" w:rsidRPr="00B3274C">
        <w:rPr>
          <w:bCs/>
          <w:lang w:val="fr-CA"/>
        </w:rPr>
        <w:t>:</w:t>
      </w:r>
    </w:p>
    <w:p w:rsidR="00FB23D3" w:rsidRPr="00B3274C" w:rsidRDefault="00F36F41" w:rsidP="00F36F41">
      <w:pPr>
        <w:pStyle w:val="SingleTxtG"/>
      </w:pPr>
      <w:r>
        <w:tab/>
      </w:r>
      <w:r w:rsidR="00A737BD" w:rsidRPr="00B3274C">
        <w:t>a)</w:t>
      </w:r>
      <w:r w:rsidR="00A737BD" w:rsidRPr="00B3274C">
        <w:rPr>
          <w:i/>
        </w:rPr>
        <w:tab/>
      </w:r>
      <w:r w:rsidR="006B54D4" w:rsidRPr="00B3274C">
        <w:rPr>
          <w:i/>
        </w:rPr>
        <w:t xml:space="preserve">Ligne </w:t>
      </w:r>
      <w:r w:rsidR="005D614E" w:rsidRPr="00B3274C">
        <w:rPr>
          <w:i/>
        </w:rPr>
        <w:t>d</w:t>
      </w:r>
      <w:r w:rsidR="0080611A">
        <w:rPr>
          <w:i/>
        </w:rPr>
        <w:t>’</w:t>
      </w:r>
      <w:r w:rsidR="005D614E" w:rsidRPr="00B3274C">
        <w:rPr>
          <w:i/>
        </w:rPr>
        <w:t>assistance téléphonique</w:t>
      </w:r>
      <w:r w:rsidR="006B54D4" w:rsidRPr="00B3274C">
        <w:rPr>
          <w:i/>
        </w:rPr>
        <w:t xml:space="preserve"> </w:t>
      </w:r>
      <w:r w:rsidR="00FB23D3" w:rsidRPr="00B3274C">
        <w:rPr>
          <w:i/>
        </w:rPr>
        <w:t>197</w:t>
      </w:r>
      <w:r w:rsidR="00A737BD" w:rsidRPr="00B3274C">
        <w:t xml:space="preserve">. </w:t>
      </w:r>
      <w:r w:rsidR="006B54D4" w:rsidRPr="00B3274C">
        <w:t>La ligne d</w:t>
      </w:r>
      <w:r w:rsidR="0080611A">
        <w:t>’</w:t>
      </w:r>
      <w:r w:rsidR="006B54D4" w:rsidRPr="00B3274C">
        <w:t xml:space="preserve">assistance téléphonique </w:t>
      </w:r>
      <w:r w:rsidR="00FB23D3" w:rsidRPr="00B3274C">
        <w:t xml:space="preserve">197 </w:t>
      </w:r>
      <w:r w:rsidR="006B54D4" w:rsidRPr="00B3274C">
        <w:t>fonctionne 24 heures sur 24</w:t>
      </w:r>
      <w:r w:rsidR="0080611A">
        <w:t>,</w:t>
      </w:r>
      <w:r w:rsidR="006B54D4" w:rsidRPr="00B3274C">
        <w:t xml:space="preserve"> sept</w:t>
      </w:r>
      <w:r w:rsidR="000F4581">
        <w:t> jours</w:t>
      </w:r>
      <w:r w:rsidR="006B54D4" w:rsidRPr="00B3274C">
        <w:t xml:space="preserve"> </w:t>
      </w:r>
      <w:r w:rsidR="00215FC1" w:rsidRPr="00B3274C">
        <w:t>sur sept</w:t>
      </w:r>
      <w:r w:rsidR="0080611A">
        <w:t>,</w:t>
      </w:r>
      <w:r w:rsidR="00215FC1" w:rsidRPr="00B3274C">
        <w:t xml:space="preserve"> et </w:t>
      </w:r>
      <w:r w:rsidR="006B54D4" w:rsidRPr="00B3274C">
        <w:t>reçoit environ 1</w:t>
      </w:r>
      <w:r w:rsidR="002C031F">
        <w:t> </w:t>
      </w:r>
      <w:r w:rsidR="006B54D4" w:rsidRPr="00B3274C">
        <w:t>600 appels par mois</w:t>
      </w:r>
      <w:r w:rsidR="00215FC1" w:rsidRPr="00B3274C">
        <w:t xml:space="preserve"> </w:t>
      </w:r>
      <w:r w:rsidR="007D67A8" w:rsidRPr="00B3274C">
        <w:t>des conseils</w:t>
      </w:r>
      <w:r w:rsidR="0080611A">
        <w:t>,</w:t>
      </w:r>
      <w:r w:rsidR="007D67A8" w:rsidRPr="00B3274C">
        <w:t xml:space="preserve"> </w:t>
      </w:r>
      <w:r w:rsidR="00215FC1" w:rsidRPr="00B3274C">
        <w:t>des inf</w:t>
      </w:r>
      <w:r w:rsidR="00601E23" w:rsidRPr="00B3274C">
        <w:t xml:space="preserve">ormations et </w:t>
      </w:r>
      <w:r w:rsidR="00215FC1" w:rsidRPr="00B3274C">
        <w:t>un soutien psychologique</w:t>
      </w:r>
      <w:r w:rsidR="007D67A8" w:rsidRPr="00B3274C">
        <w:t xml:space="preserve"> sont apportés</w:t>
      </w:r>
      <w:r w:rsidR="00215FC1" w:rsidRPr="00B3274C">
        <w:t>. La ligne d</w:t>
      </w:r>
      <w:r w:rsidR="0080611A">
        <w:t>’</w:t>
      </w:r>
      <w:r w:rsidR="00215FC1" w:rsidRPr="00B3274C">
        <w:t>aide sociale d</w:t>
      </w:r>
      <w:r w:rsidR="0080611A">
        <w:t>’</w:t>
      </w:r>
      <w:r w:rsidR="00215FC1" w:rsidRPr="00B3274C">
        <w:t xml:space="preserve">urgence pour les enfants </w:t>
      </w:r>
      <w:r w:rsidR="0055418C" w:rsidRPr="00B3274C">
        <w:t>«</w:t>
      </w:r>
      <w:r w:rsidR="00215FC1" w:rsidRPr="00B3274C">
        <w:t>1107</w:t>
      </w:r>
      <w:r w:rsidR="0055418C" w:rsidRPr="00B3274C">
        <w:t>»</w:t>
      </w:r>
      <w:r w:rsidR="00215FC1" w:rsidRPr="00B3274C">
        <w:t xml:space="preserve"> fonctionne 24 heures sur 24</w:t>
      </w:r>
      <w:r w:rsidR="0080611A">
        <w:t>,</w:t>
      </w:r>
      <w:r w:rsidR="002B079C" w:rsidRPr="00B3274C">
        <w:t xml:space="preserve"> sept</w:t>
      </w:r>
      <w:r w:rsidR="000F4581">
        <w:t> jours</w:t>
      </w:r>
      <w:r w:rsidR="00215FC1" w:rsidRPr="00B3274C">
        <w:t xml:space="preserve"> sur sept</w:t>
      </w:r>
      <w:r w:rsidR="00EC5892" w:rsidRPr="00B3274C">
        <w:t>;</w:t>
      </w:r>
      <w:r w:rsidR="00215FC1" w:rsidRPr="00B3274C">
        <w:t xml:space="preserve"> elle vise à apporter une protection sociale aux mineurs en danger et fournit des conseils et un soutien aux enfants</w:t>
      </w:r>
      <w:r w:rsidR="0080611A">
        <w:t>,</w:t>
      </w:r>
      <w:r w:rsidR="00215FC1" w:rsidRPr="00B3274C">
        <w:t xml:space="preserve"> aux adolescents et aux parents</w:t>
      </w:r>
      <w:r w:rsidR="00FB23D3" w:rsidRPr="00B3274C">
        <w:t>.</w:t>
      </w:r>
    </w:p>
    <w:p w:rsidR="00FB23D3" w:rsidRPr="00B3274C" w:rsidRDefault="00F36F41" w:rsidP="00F36F41">
      <w:pPr>
        <w:pStyle w:val="SingleTxtG"/>
      </w:pPr>
      <w:r>
        <w:tab/>
      </w:r>
      <w:r w:rsidR="00CC2A93" w:rsidRPr="00B3274C">
        <w:t>b</w:t>
      </w:r>
      <w:r w:rsidR="00FB23D3" w:rsidRPr="00B3274C">
        <w:t>)</w:t>
      </w:r>
      <w:r w:rsidR="00A737BD" w:rsidRPr="00B3274C">
        <w:rPr>
          <w:i/>
        </w:rPr>
        <w:tab/>
      </w:r>
      <w:r w:rsidR="00B9469A" w:rsidRPr="00B3274C">
        <w:rPr>
          <w:i/>
        </w:rPr>
        <w:t>Centres d</w:t>
      </w:r>
      <w:r w:rsidR="0080611A">
        <w:rPr>
          <w:i/>
        </w:rPr>
        <w:t>’</w:t>
      </w:r>
      <w:r w:rsidR="00B9469A" w:rsidRPr="00B3274C">
        <w:rPr>
          <w:i/>
        </w:rPr>
        <w:t xml:space="preserve">aide sociale </w:t>
      </w:r>
      <w:r w:rsidR="00FB23D3" w:rsidRPr="00B3274C">
        <w:rPr>
          <w:i/>
        </w:rPr>
        <w:t>(KKS)</w:t>
      </w:r>
      <w:r w:rsidR="00CC2A93" w:rsidRPr="00B3274C">
        <w:t xml:space="preserve">. </w:t>
      </w:r>
      <w:r w:rsidR="00F412CB" w:rsidRPr="00B3274C">
        <w:t>Ils existent dans les préfectures de l</w:t>
      </w:r>
      <w:r w:rsidR="0080611A">
        <w:t>’</w:t>
      </w:r>
      <w:r w:rsidR="00F412CB" w:rsidRPr="00B3274C">
        <w:t>Attique et de Thessalonique</w:t>
      </w:r>
      <w:r w:rsidR="0080611A">
        <w:t>,</w:t>
      </w:r>
      <w:r w:rsidR="00F412CB" w:rsidRPr="00B3274C">
        <w:t xml:space="preserve"> dans diverses municipalités</w:t>
      </w:r>
      <w:r w:rsidR="0080611A">
        <w:t>,</w:t>
      </w:r>
      <w:r w:rsidR="00F412CB" w:rsidRPr="00B3274C">
        <w:t xml:space="preserve"> et </w:t>
      </w:r>
      <w:r w:rsidR="008340B4" w:rsidRPr="00B3274C">
        <w:t>sont</w:t>
      </w:r>
      <w:r w:rsidR="00F412CB" w:rsidRPr="00B3274C">
        <w:t xml:space="preserve"> les points d</w:t>
      </w:r>
      <w:r w:rsidR="0080611A">
        <w:t>’</w:t>
      </w:r>
      <w:r w:rsidR="00F412CB" w:rsidRPr="00B3274C">
        <w:t>entrée régionaux dans le système d</w:t>
      </w:r>
      <w:r w:rsidR="0080611A">
        <w:t>’</w:t>
      </w:r>
      <w:r w:rsidR="00F412CB" w:rsidRPr="00B3274C">
        <w:t>aide sociale immédiate. Pour la liste des centres d</w:t>
      </w:r>
      <w:r w:rsidR="0080611A">
        <w:t>’</w:t>
      </w:r>
      <w:r w:rsidR="00F412CB" w:rsidRPr="00B3274C">
        <w:t>aide sociale de l</w:t>
      </w:r>
      <w:r w:rsidR="0080611A">
        <w:t>’</w:t>
      </w:r>
      <w:r w:rsidR="00F412CB" w:rsidRPr="00B3274C">
        <w:t>Attique et de Thessalonique</w:t>
      </w:r>
      <w:r w:rsidR="0080611A">
        <w:t>,</w:t>
      </w:r>
      <w:r w:rsidR="00F412CB" w:rsidRPr="00B3274C">
        <w:t xml:space="preserve"> voir l</w:t>
      </w:r>
      <w:r w:rsidR="0080611A">
        <w:t>’</w:t>
      </w:r>
      <w:r w:rsidR="00F412CB" w:rsidRPr="00B3274C">
        <w:t xml:space="preserve">annexe 6. </w:t>
      </w:r>
    </w:p>
    <w:p w:rsidR="00FB23D3" w:rsidRPr="00B3274C" w:rsidRDefault="00F36F41" w:rsidP="00F36F41">
      <w:pPr>
        <w:pStyle w:val="SingleTxtG"/>
        <w:rPr>
          <w:bCs/>
        </w:rPr>
      </w:pPr>
      <w:r>
        <w:tab/>
      </w:r>
      <w:r w:rsidR="00451972">
        <w:t>c)</w:t>
      </w:r>
      <w:r>
        <w:tab/>
      </w:r>
      <w:r w:rsidR="00F412CB" w:rsidRPr="00B3274C">
        <w:rPr>
          <w:i/>
        </w:rPr>
        <w:t xml:space="preserve">Service de gestion des crises. </w:t>
      </w:r>
      <w:r w:rsidR="00F412CB" w:rsidRPr="00B3274C">
        <w:rPr>
          <w:bCs/>
        </w:rPr>
        <w:t>Il intervient dans les cas d</w:t>
      </w:r>
      <w:r w:rsidR="0080611A">
        <w:rPr>
          <w:bCs/>
        </w:rPr>
        <w:t>’</w:t>
      </w:r>
      <w:r w:rsidR="00F412CB" w:rsidRPr="00B3274C">
        <w:rPr>
          <w:bCs/>
        </w:rPr>
        <w:t>événements imprévus (tels que catastrophes naturelles) et les accidents faisant un nombre important de victimes</w:t>
      </w:r>
      <w:r w:rsidR="00FB23D3" w:rsidRPr="00B3274C">
        <w:rPr>
          <w:bCs/>
        </w:rPr>
        <w:t xml:space="preserve">. </w:t>
      </w:r>
      <w:r w:rsidR="00F412CB" w:rsidRPr="00B3274C">
        <w:rPr>
          <w:bCs/>
        </w:rPr>
        <w:t>Il apporte</w:t>
      </w:r>
      <w:r w:rsidR="00EB5853" w:rsidRPr="00B3274C">
        <w:rPr>
          <w:bCs/>
        </w:rPr>
        <w:t xml:space="preserve"> une aide psychologique et sociale </w:t>
      </w:r>
      <w:r w:rsidR="00F412CB" w:rsidRPr="00B3274C">
        <w:rPr>
          <w:bCs/>
        </w:rPr>
        <w:t xml:space="preserve">aux victimes </w:t>
      </w:r>
      <w:r w:rsidR="00EB5853" w:rsidRPr="00B3274C">
        <w:rPr>
          <w:bCs/>
        </w:rPr>
        <w:t xml:space="preserve">et/ou </w:t>
      </w:r>
      <w:r w:rsidR="00F412CB" w:rsidRPr="00B3274C">
        <w:rPr>
          <w:bCs/>
        </w:rPr>
        <w:t xml:space="preserve">à leurs familles. </w:t>
      </w:r>
    </w:p>
    <w:p w:rsidR="00FB23D3" w:rsidRPr="00B3274C" w:rsidRDefault="00F36F41" w:rsidP="00F36F41">
      <w:pPr>
        <w:pStyle w:val="SingleTxtG"/>
        <w:rPr>
          <w:bCs/>
        </w:rPr>
      </w:pPr>
      <w:r>
        <w:rPr>
          <w:bCs/>
        </w:rPr>
        <w:tab/>
      </w:r>
      <w:r w:rsidR="003F42B4">
        <w:rPr>
          <w:bCs/>
        </w:rPr>
        <w:t>d) </w:t>
      </w:r>
      <w:r>
        <w:rPr>
          <w:bCs/>
        </w:rPr>
        <w:tab/>
      </w:r>
      <w:r w:rsidR="00EB5853" w:rsidRPr="00B3274C">
        <w:rPr>
          <w:bCs/>
          <w:i/>
        </w:rPr>
        <w:t>Service d</w:t>
      </w:r>
      <w:r w:rsidR="0080611A">
        <w:rPr>
          <w:bCs/>
          <w:i/>
        </w:rPr>
        <w:t>’</w:t>
      </w:r>
      <w:r w:rsidR="00EB5853" w:rsidRPr="00B3274C">
        <w:rPr>
          <w:bCs/>
          <w:i/>
        </w:rPr>
        <w:t>intervention sociale immédiate</w:t>
      </w:r>
      <w:r w:rsidR="00CC2A93" w:rsidRPr="00B3274C">
        <w:rPr>
          <w:bCs/>
        </w:rPr>
        <w:t xml:space="preserve">. </w:t>
      </w:r>
      <w:r w:rsidR="00EB5853" w:rsidRPr="00B3274C">
        <w:rPr>
          <w:bCs/>
        </w:rPr>
        <w:t>Il se compose de trois unités</w:t>
      </w:r>
      <w:r w:rsidR="00FB23D3" w:rsidRPr="00B3274C">
        <w:rPr>
          <w:bCs/>
        </w:rPr>
        <w:t>:</w:t>
      </w:r>
    </w:p>
    <w:p w:rsidR="00FB23D3" w:rsidRPr="00B3274C" w:rsidRDefault="00F36F41" w:rsidP="00F36F41">
      <w:pPr>
        <w:pStyle w:val="SingleTxtG"/>
      </w:pPr>
      <w:r>
        <w:tab/>
      </w:r>
      <w:r w:rsidR="00FB23D3" w:rsidRPr="00B3274C">
        <w:t>i</w:t>
      </w:r>
      <w:r w:rsidR="00CC2A93" w:rsidRPr="00B3274C">
        <w:t>)</w:t>
      </w:r>
      <w:r w:rsidR="00CC2A93" w:rsidRPr="00B3274C">
        <w:tab/>
      </w:r>
      <w:r w:rsidR="00EB5853" w:rsidRPr="00B3274C">
        <w:t>Un organisme d</w:t>
      </w:r>
      <w:r w:rsidR="0080611A">
        <w:t>’</w:t>
      </w:r>
      <w:r w:rsidR="00EB5853" w:rsidRPr="00B3274C">
        <w:t>intervention sur place</w:t>
      </w:r>
      <w:r w:rsidR="00EC5892" w:rsidRPr="00B3274C">
        <w:t>;</w:t>
      </w:r>
      <w:r w:rsidR="00EB5853" w:rsidRPr="00B3274C">
        <w:t xml:space="preserve"> </w:t>
      </w:r>
    </w:p>
    <w:p w:rsidR="00FB23D3" w:rsidRPr="00B3274C" w:rsidRDefault="00F36F41" w:rsidP="00F36F41">
      <w:pPr>
        <w:pStyle w:val="SingleTxtG"/>
      </w:pPr>
      <w:r>
        <w:tab/>
      </w:r>
      <w:r w:rsidR="00FB23D3" w:rsidRPr="00B3274C">
        <w:t>ii</w:t>
      </w:r>
      <w:r w:rsidR="00CC2A93" w:rsidRPr="00B3274C">
        <w:t>)</w:t>
      </w:r>
      <w:r w:rsidR="00CC2A93" w:rsidRPr="00B3274C">
        <w:tab/>
      </w:r>
      <w:r w:rsidR="006050A1" w:rsidRPr="00B3274C">
        <w:t>U</w:t>
      </w:r>
      <w:r w:rsidR="00EB5853" w:rsidRPr="00B3274C">
        <w:t>n Centre d</w:t>
      </w:r>
      <w:r w:rsidR="0080611A">
        <w:t>’</w:t>
      </w:r>
      <w:r w:rsidR="00EB5853" w:rsidRPr="00B3274C">
        <w:t>accueil pour des séjours de quelques</w:t>
      </w:r>
      <w:r w:rsidR="000F4581">
        <w:t> jours</w:t>
      </w:r>
      <w:r w:rsidR="00722963" w:rsidRPr="00B3274C">
        <w:t>;</w:t>
      </w:r>
    </w:p>
    <w:p w:rsidR="00FB23D3" w:rsidRPr="00B3274C" w:rsidRDefault="00F36F41" w:rsidP="00F36F41">
      <w:pPr>
        <w:pStyle w:val="SingleTxtG"/>
        <w:ind w:left="1701" w:hanging="567"/>
      </w:pPr>
      <w:r>
        <w:tab/>
      </w:r>
      <w:r w:rsidR="00FB23D3" w:rsidRPr="00B3274C">
        <w:t>iii</w:t>
      </w:r>
      <w:r w:rsidR="00CC2A93" w:rsidRPr="00B3274C">
        <w:t>)</w:t>
      </w:r>
      <w:r w:rsidR="00CC2A93" w:rsidRPr="00B3274C">
        <w:tab/>
      </w:r>
      <w:r w:rsidR="006050A1" w:rsidRPr="00B3274C">
        <w:t>D</w:t>
      </w:r>
      <w:r w:rsidR="00EB5853" w:rsidRPr="00B3274C">
        <w:t>es foyers d</w:t>
      </w:r>
      <w:r w:rsidR="0080611A">
        <w:t>’</w:t>
      </w:r>
      <w:r w:rsidR="00EB5853" w:rsidRPr="00B3274C">
        <w:t>hébergement d</w:t>
      </w:r>
      <w:r w:rsidR="0080611A">
        <w:t>’</w:t>
      </w:r>
      <w:r w:rsidR="00EB5853" w:rsidRPr="00B3274C">
        <w:t>une durée de quelques</w:t>
      </w:r>
      <w:r w:rsidR="000F4581">
        <w:t> jours</w:t>
      </w:r>
      <w:r w:rsidR="00EB5853" w:rsidRPr="00B3274C">
        <w:t xml:space="preserve"> pour les cas graves et les urgences</w:t>
      </w:r>
      <w:r w:rsidR="00FB23D3" w:rsidRPr="00B3274C">
        <w:t xml:space="preserve">. </w:t>
      </w:r>
    </w:p>
    <w:p w:rsidR="00FB23D3" w:rsidRPr="00B3274C" w:rsidRDefault="00F36F41" w:rsidP="00F36F41">
      <w:pPr>
        <w:pStyle w:val="SingleTxtG"/>
      </w:pPr>
      <w:r>
        <w:tab/>
      </w:r>
      <w:r w:rsidR="000F0A23" w:rsidRPr="00B3274C">
        <w:t>e</w:t>
      </w:r>
      <w:r w:rsidR="00FB23D3" w:rsidRPr="00B3274C">
        <w:t>)</w:t>
      </w:r>
      <w:r w:rsidR="00A51C1E" w:rsidRPr="00B3274C">
        <w:rPr>
          <w:i/>
        </w:rPr>
        <w:tab/>
      </w:r>
      <w:r w:rsidR="007B00FE" w:rsidRPr="00B3274C">
        <w:rPr>
          <w:i/>
        </w:rPr>
        <w:t>Centres</w:t>
      </w:r>
      <w:r w:rsidR="00EB5853" w:rsidRPr="00B3274C">
        <w:rPr>
          <w:i/>
        </w:rPr>
        <w:t xml:space="preserve"> d</w:t>
      </w:r>
      <w:r w:rsidR="0080611A">
        <w:rPr>
          <w:i/>
        </w:rPr>
        <w:t>’</w:t>
      </w:r>
      <w:r w:rsidR="00EB5853" w:rsidRPr="00B3274C">
        <w:rPr>
          <w:i/>
        </w:rPr>
        <w:t xml:space="preserve">hébergement </w:t>
      </w:r>
      <w:r w:rsidR="007B00FE" w:rsidRPr="00B3274C">
        <w:rPr>
          <w:i/>
        </w:rPr>
        <w:t>de courte durée</w:t>
      </w:r>
      <w:r w:rsidR="00EB5853" w:rsidRPr="00B3274C">
        <w:rPr>
          <w:i/>
        </w:rPr>
        <w:t xml:space="preserve">. </w:t>
      </w:r>
      <w:r w:rsidR="007B00FE" w:rsidRPr="00B3274C">
        <w:t>Ces centres offrent un hébergement temporaire (gîte et soins) à des groupes de population vulnérables</w:t>
      </w:r>
      <w:r w:rsidR="0080611A">
        <w:t>,</w:t>
      </w:r>
      <w:r w:rsidR="007B00FE" w:rsidRPr="00B3274C">
        <w:t xml:space="preserve"> tels qu</w:t>
      </w:r>
      <w:r w:rsidR="0080611A">
        <w:t>’</w:t>
      </w:r>
      <w:r w:rsidR="007B00FE" w:rsidRPr="00B3274C">
        <w:t>adolescents</w:t>
      </w:r>
      <w:r w:rsidR="0080611A">
        <w:t>,</w:t>
      </w:r>
      <w:r w:rsidR="007B00FE" w:rsidRPr="00B3274C">
        <w:t xml:space="preserve"> femmes victimes de </w:t>
      </w:r>
      <w:r w:rsidR="009B6BDC" w:rsidRPr="00B3274C">
        <w:t xml:space="preserve">la </w:t>
      </w:r>
      <w:r w:rsidR="007B00FE" w:rsidRPr="00B3274C">
        <w:t>violence familiale</w:t>
      </w:r>
      <w:r w:rsidR="0080611A">
        <w:t>,</w:t>
      </w:r>
      <w:r w:rsidR="007B00FE" w:rsidRPr="00B3274C">
        <w:t xml:space="preserve"> avec ou sans enfants</w:t>
      </w:r>
      <w:r w:rsidR="0080611A">
        <w:t>,</w:t>
      </w:r>
      <w:r w:rsidR="007B00FE" w:rsidRPr="00B3274C">
        <w:t xml:space="preserve"> et</w:t>
      </w:r>
      <w:r w:rsidR="0080611A">
        <w:t>,</w:t>
      </w:r>
      <w:r w:rsidR="007B00FE" w:rsidRPr="00B3274C">
        <w:t xml:space="preserve"> plus généralement</w:t>
      </w:r>
      <w:r w:rsidR="0080611A">
        <w:t>,</w:t>
      </w:r>
      <w:r w:rsidR="007B00FE" w:rsidRPr="00B3274C">
        <w:t xml:space="preserve"> femmes victimes de violences</w:t>
      </w:r>
      <w:r w:rsidR="0080611A">
        <w:t>,</w:t>
      </w:r>
      <w:r w:rsidR="007B00FE" w:rsidRPr="00B3274C">
        <w:t xml:space="preserve"> victimes de la traite à des fins d</w:t>
      </w:r>
      <w:r w:rsidR="0080611A">
        <w:t>’</w:t>
      </w:r>
      <w:r w:rsidR="007B00FE" w:rsidRPr="00B3274C">
        <w:t>exploitation et adultes dans une situation de crise. Ces centres apportent aux bénéficiaires</w:t>
      </w:r>
      <w:r w:rsidR="0080611A">
        <w:t>,</w:t>
      </w:r>
      <w:r w:rsidR="007B00FE" w:rsidRPr="00B3274C">
        <w:t xml:space="preserve"> pendant leur séjour</w:t>
      </w:r>
      <w:r w:rsidR="0080611A">
        <w:t>,</w:t>
      </w:r>
      <w:r w:rsidR="007B00FE" w:rsidRPr="00B3274C">
        <w:t xml:space="preserve"> outre l</w:t>
      </w:r>
      <w:r w:rsidR="0080611A">
        <w:t>’</w:t>
      </w:r>
      <w:r w:rsidR="007B00FE" w:rsidRPr="00B3274C">
        <w:t>hébergement</w:t>
      </w:r>
      <w:r w:rsidR="0080611A">
        <w:t>,</w:t>
      </w:r>
      <w:r w:rsidR="007B00FE" w:rsidRPr="00B3274C">
        <w:t xml:space="preserve"> une aide psychosociale dispensée par des personnels spécialisés. </w:t>
      </w:r>
    </w:p>
    <w:p w:rsidR="00FB23D3" w:rsidRPr="00B3274C" w:rsidRDefault="00F36F41" w:rsidP="00F36F41">
      <w:pPr>
        <w:pStyle w:val="SingleTxtG"/>
      </w:pPr>
      <w:r>
        <w:tab/>
      </w:r>
      <w:r w:rsidR="000F0A23" w:rsidRPr="00B3274C">
        <w:t>f</w:t>
      </w:r>
      <w:r>
        <w:t>)</w:t>
      </w:r>
      <w:r w:rsidR="000F0A23" w:rsidRPr="00B3274C">
        <w:rPr>
          <w:i/>
        </w:rPr>
        <w:tab/>
      </w:r>
      <w:r w:rsidR="00EB5853" w:rsidRPr="00B3274C">
        <w:rPr>
          <w:i/>
        </w:rPr>
        <w:t>Centres d</w:t>
      </w:r>
      <w:r w:rsidR="0080611A">
        <w:rPr>
          <w:i/>
        </w:rPr>
        <w:t>’</w:t>
      </w:r>
      <w:r w:rsidR="00EB5853" w:rsidRPr="00B3274C">
        <w:rPr>
          <w:i/>
        </w:rPr>
        <w:t>hébergement pour les sans-abri</w:t>
      </w:r>
      <w:r w:rsidR="000F0A23" w:rsidRPr="00B3274C">
        <w:t xml:space="preserve">. </w:t>
      </w:r>
      <w:r w:rsidR="009E4C1B" w:rsidRPr="00B3274C">
        <w:t>Il existe deux centres d</w:t>
      </w:r>
      <w:r w:rsidR="0080611A">
        <w:t>’</w:t>
      </w:r>
      <w:r w:rsidR="009E4C1B" w:rsidRPr="00B3274C">
        <w:t>hébergement à Athènes</w:t>
      </w:r>
      <w:r w:rsidR="0080611A">
        <w:t>,</w:t>
      </w:r>
      <w:r w:rsidR="009E4C1B" w:rsidRPr="00B3274C">
        <w:t xml:space="preserve"> d</w:t>
      </w:r>
      <w:r w:rsidR="0080611A">
        <w:t>’</w:t>
      </w:r>
      <w:r w:rsidR="009E4C1B" w:rsidRPr="00B3274C">
        <w:t>une capacité de 100 lits. La Croix-Rouge grecque a également un centre d</w:t>
      </w:r>
      <w:r w:rsidR="0080611A">
        <w:t>’</w:t>
      </w:r>
      <w:r w:rsidR="009E4C1B" w:rsidRPr="00B3274C">
        <w:t>hébergement d</w:t>
      </w:r>
      <w:r w:rsidR="0080611A">
        <w:t>’</w:t>
      </w:r>
      <w:r w:rsidR="009E4C1B" w:rsidRPr="00B3274C">
        <w:t xml:space="preserve">une capacité de 80 lits. Le Centre national pour la solidarité sociale </w:t>
      </w:r>
      <w:r w:rsidR="00E81955" w:rsidRPr="00B3274C">
        <w:t xml:space="preserve">participe en </w:t>
      </w:r>
      <w:r w:rsidR="009E4C1B" w:rsidRPr="00B3274C">
        <w:t>met</w:t>
      </w:r>
      <w:r w:rsidR="00E81955" w:rsidRPr="00B3274C">
        <w:t>tant</w:t>
      </w:r>
      <w:r w:rsidR="009E4C1B" w:rsidRPr="00B3274C">
        <w:t xml:space="preserve"> </w:t>
      </w:r>
      <w:r w:rsidR="009B6BDC" w:rsidRPr="00B3274C">
        <w:t>d</w:t>
      </w:r>
      <w:r w:rsidR="009E4C1B" w:rsidRPr="00B3274C">
        <w:t>es</w:t>
      </w:r>
      <w:r w:rsidR="00F50425" w:rsidRPr="00B3274C">
        <w:t xml:space="preserve"> locaux </w:t>
      </w:r>
      <w:r w:rsidR="009E4C1B" w:rsidRPr="00B3274C">
        <w:t>à disposition et le Ministère de la santé et de la solidarité sociale finance le projet. Les centres d</w:t>
      </w:r>
      <w:r w:rsidR="0080611A">
        <w:t>’</w:t>
      </w:r>
      <w:r w:rsidR="009E4C1B" w:rsidRPr="00B3274C">
        <w:t>hébergement coopèrent avec les centres d</w:t>
      </w:r>
      <w:r w:rsidR="0080611A">
        <w:t>’</w:t>
      </w:r>
      <w:r w:rsidR="009E4C1B" w:rsidRPr="00B3274C">
        <w:t>aide sociale de la région dans laquelle ils sont situés ainsi qu</w:t>
      </w:r>
      <w:r w:rsidR="0080611A">
        <w:t>’</w:t>
      </w:r>
      <w:r w:rsidR="009E4C1B" w:rsidRPr="00B3274C">
        <w:t>avec d</w:t>
      </w:r>
      <w:r w:rsidR="0080611A">
        <w:t>’</w:t>
      </w:r>
      <w:r w:rsidR="009E4C1B" w:rsidRPr="00B3274C">
        <w:t>autres organismes publics ou privés</w:t>
      </w:r>
      <w:r w:rsidR="00F50425" w:rsidRPr="00B3274C">
        <w:t xml:space="preserve"> engagés dans la même sphère d</w:t>
      </w:r>
      <w:r w:rsidR="0080611A">
        <w:t>’</w:t>
      </w:r>
      <w:r w:rsidR="00F50425" w:rsidRPr="00B3274C">
        <w:t xml:space="preserve">activités </w:t>
      </w:r>
      <w:r w:rsidR="009E4C1B" w:rsidRPr="00B3274C">
        <w:t>(organismes gérés par les autorités locales</w:t>
      </w:r>
      <w:r w:rsidR="0080611A">
        <w:t>,</w:t>
      </w:r>
      <w:r w:rsidR="009E4C1B" w:rsidRPr="00B3274C">
        <w:t xml:space="preserve"> ONG</w:t>
      </w:r>
      <w:r w:rsidR="0080611A">
        <w:t>,</w:t>
      </w:r>
      <w:r w:rsidR="009E4C1B" w:rsidRPr="00B3274C">
        <w:t xml:space="preserve"> organisations à but non lucratif</w:t>
      </w:r>
      <w:r w:rsidR="0080611A">
        <w:t>,</w:t>
      </w:r>
      <w:r w:rsidR="009E4C1B" w:rsidRPr="00B3274C">
        <w:t xml:space="preserve"> etc.) pour apporter les solutions concrètes les plus approprié</w:t>
      </w:r>
      <w:r w:rsidR="00F50425" w:rsidRPr="00B3274C">
        <w:t>e</w:t>
      </w:r>
      <w:r w:rsidR="009E4C1B" w:rsidRPr="00B3274C">
        <w:t xml:space="preserve">s aux problèmes </w:t>
      </w:r>
      <w:r w:rsidR="00614BAC">
        <w:t>des personnes</w:t>
      </w:r>
      <w:r w:rsidR="009E4C1B" w:rsidRPr="00B3274C">
        <w:t xml:space="preserve"> concernées. </w:t>
      </w:r>
      <w:r w:rsidR="00AA6DE3" w:rsidRPr="00B3274C">
        <w:t>Six centres d</w:t>
      </w:r>
      <w:r w:rsidR="0080611A">
        <w:t>’</w:t>
      </w:r>
      <w:r w:rsidR="00AA6DE3" w:rsidRPr="00B3274C">
        <w:t>hébergement</w:t>
      </w:r>
      <w:r w:rsidR="0055418C" w:rsidRPr="00B3274C">
        <w:t xml:space="preserve"> </w:t>
      </w:r>
      <w:r w:rsidR="00AA6DE3" w:rsidRPr="00B3274C">
        <w:t>-</w:t>
      </w:r>
      <w:r w:rsidR="003C77B6" w:rsidRPr="00B3274C">
        <w:t>un centre d</w:t>
      </w:r>
      <w:r w:rsidR="0080611A">
        <w:t>’</w:t>
      </w:r>
      <w:r w:rsidR="003C77B6" w:rsidRPr="00B3274C">
        <w:t>hébergement temporaire et cinq centres d</w:t>
      </w:r>
      <w:r w:rsidR="0080611A">
        <w:t>’</w:t>
      </w:r>
      <w:r w:rsidR="003C77B6" w:rsidRPr="00B3274C">
        <w:t>hébergement de longue durée</w:t>
      </w:r>
      <w:r w:rsidR="00AA6DE3" w:rsidRPr="00B3274C">
        <w:t xml:space="preserve"> (6 mois maximum</w:t>
      </w:r>
      <w:r w:rsidR="003C77B6" w:rsidRPr="00B3274C">
        <w:t>)</w:t>
      </w:r>
      <w:r w:rsidR="00AA6DE3" w:rsidRPr="00B3274C">
        <w:t xml:space="preserve">- fonctionnaient sous la tutelle </w:t>
      </w:r>
      <w:r w:rsidR="003C77B6" w:rsidRPr="00B3274C">
        <w:t>du Centre nat</w:t>
      </w:r>
      <w:r w:rsidR="00AA6DE3" w:rsidRPr="00B3274C">
        <w:t xml:space="preserve">ional pour la solidarité sociale </w:t>
      </w:r>
      <w:r w:rsidR="003C77B6" w:rsidRPr="00B3274C">
        <w:t>en 2008</w:t>
      </w:r>
      <w:r w:rsidR="00AA6DE3" w:rsidRPr="00B3274C">
        <w:t>.</w:t>
      </w:r>
      <w:r w:rsidR="003C77B6" w:rsidRPr="00B3274C">
        <w:t xml:space="preserve"> </w:t>
      </w:r>
    </w:p>
    <w:p w:rsidR="00FB23D3" w:rsidRPr="00B3274C" w:rsidRDefault="00F36F41" w:rsidP="00F36F41">
      <w:pPr>
        <w:pStyle w:val="SingleTxtG"/>
      </w:pPr>
      <w:r>
        <w:tab/>
      </w:r>
      <w:r w:rsidR="000F0A23" w:rsidRPr="00B3274C">
        <w:t>g</w:t>
      </w:r>
      <w:r w:rsidR="00FB23D3" w:rsidRPr="00B3274C">
        <w:t>)</w:t>
      </w:r>
      <w:r w:rsidR="000F0A23" w:rsidRPr="00B3274C">
        <w:rPr>
          <w:i/>
        </w:rPr>
        <w:tab/>
      </w:r>
      <w:r w:rsidR="00541B93" w:rsidRPr="00B3274C">
        <w:rPr>
          <w:i/>
        </w:rPr>
        <w:t>Projet de conseils et de soins thérapeutiques dans le domaine de la violence familiale</w:t>
      </w:r>
      <w:r w:rsidR="000F0A23" w:rsidRPr="00B3274C">
        <w:t>.</w:t>
      </w:r>
      <w:r w:rsidR="00FB23D3" w:rsidRPr="00B3274C">
        <w:t xml:space="preserve"> </w:t>
      </w:r>
      <w:r w:rsidR="002A7F19" w:rsidRPr="00B3274C">
        <w:t>Le projet spécial de conseils et de soins thérapeutiques</w:t>
      </w:r>
      <w:r w:rsidR="0080611A">
        <w:t>,</w:t>
      </w:r>
      <w:r w:rsidR="002A7F19" w:rsidRPr="00B3274C">
        <w:t xml:space="preserve"> qui s</w:t>
      </w:r>
      <w:r w:rsidR="0080611A">
        <w:t>’</w:t>
      </w:r>
      <w:r w:rsidR="002A7F19" w:rsidRPr="00B3274C">
        <w:t xml:space="preserve">inscrit dans le cadre de la procédure de </w:t>
      </w:r>
      <w:r w:rsidR="0055418C" w:rsidRPr="00B3274C">
        <w:t>«</w:t>
      </w:r>
      <w:r w:rsidR="002A7F19" w:rsidRPr="00B3274C">
        <w:t>médiation pénale</w:t>
      </w:r>
      <w:r w:rsidR="0055418C" w:rsidRPr="00B3274C">
        <w:t>»</w:t>
      </w:r>
      <w:r w:rsidR="0080611A">
        <w:t>,</w:t>
      </w:r>
      <w:r w:rsidR="002A7F19" w:rsidRPr="00B3274C">
        <w:t xml:space="preserve"> est appliqué à Athènes et à Thessalonique</w:t>
      </w:r>
      <w:r w:rsidR="0002229B">
        <w:t xml:space="preserve"> depuis </w:t>
      </w:r>
      <w:r w:rsidR="00723902" w:rsidRPr="00B3274C">
        <w:t>2007</w:t>
      </w:r>
      <w:r w:rsidR="0080611A">
        <w:t>,</w:t>
      </w:r>
      <w:r w:rsidR="002A7F19" w:rsidRPr="00B3274C">
        <w:t xml:space="preserve"> conformément à la loi </w:t>
      </w:r>
      <w:r w:rsidR="00136426" w:rsidRPr="00B3274C">
        <w:t>n</w:t>
      </w:r>
      <w:r w:rsidR="00136426" w:rsidRPr="00B3274C">
        <w:rPr>
          <w:vertAlign w:val="superscript"/>
        </w:rPr>
        <w:t>o</w:t>
      </w:r>
      <w:r w:rsidR="00136426" w:rsidRPr="00B3274C">
        <w:t> </w:t>
      </w:r>
      <w:r w:rsidR="00FB23D3" w:rsidRPr="00B3274C">
        <w:t xml:space="preserve">3500/2006 </w:t>
      </w:r>
      <w:r w:rsidR="002A7F19" w:rsidRPr="00B3274C">
        <w:t>sur la lutte contre la violence familiale. Pour la liste des programmes pertinents</w:t>
      </w:r>
      <w:r w:rsidR="0080611A">
        <w:t>,</w:t>
      </w:r>
      <w:r w:rsidR="002A7F19" w:rsidRPr="00B3274C">
        <w:t xml:space="preserve"> voir l</w:t>
      </w:r>
      <w:r w:rsidR="0080611A">
        <w:t>’</w:t>
      </w:r>
      <w:r w:rsidR="002A7F19" w:rsidRPr="00B3274C">
        <w:t xml:space="preserve">annexe 7. </w:t>
      </w:r>
    </w:p>
    <w:p w:rsidR="00FB23D3" w:rsidRPr="00B3274C" w:rsidRDefault="00F36F41" w:rsidP="00F36F41">
      <w:pPr>
        <w:pStyle w:val="SingleTxtG"/>
      </w:pPr>
      <w:r>
        <w:tab/>
      </w:r>
      <w:r w:rsidR="000F0A23" w:rsidRPr="00B3274C">
        <w:t>h</w:t>
      </w:r>
      <w:r w:rsidR="00FB23D3" w:rsidRPr="00B3274C">
        <w:t>)</w:t>
      </w:r>
      <w:r w:rsidR="000F0A23" w:rsidRPr="00B3274C">
        <w:rPr>
          <w:i/>
        </w:rPr>
        <w:tab/>
      </w:r>
      <w:r w:rsidR="005F2B5C" w:rsidRPr="00B3274C">
        <w:rPr>
          <w:i/>
        </w:rPr>
        <w:t>Service de gestion des demandes d</w:t>
      </w:r>
      <w:r w:rsidR="0080611A">
        <w:rPr>
          <w:i/>
        </w:rPr>
        <w:t>’</w:t>
      </w:r>
      <w:r w:rsidR="005F2B5C" w:rsidRPr="00B3274C">
        <w:rPr>
          <w:i/>
        </w:rPr>
        <w:t xml:space="preserve">hébergement </w:t>
      </w:r>
      <w:r w:rsidR="005F2B5C" w:rsidRPr="00B3274C">
        <w:t>de demandeurs d</w:t>
      </w:r>
      <w:r w:rsidR="0080611A">
        <w:t>’</w:t>
      </w:r>
      <w:r w:rsidR="005F2B5C" w:rsidRPr="00B3274C">
        <w:t>asile et de mineurs non accompagnés</w:t>
      </w:r>
      <w:r w:rsidR="00FB23D3" w:rsidRPr="00B3274C">
        <w:t>.</w:t>
      </w:r>
    </w:p>
    <w:p w:rsidR="00FB23D3" w:rsidRPr="00B3274C" w:rsidRDefault="00F36F41" w:rsidP="00F36F41">
      <w:pPr>
        <w:pStyle w:val="SingleTxtG"/>
      </w:pPr>
      <w:r>
        <w:tab/>
      </w:r>
      <w:r w:rsidR="000F0A23" w:rsidRPr="00B3274C">
        <w:t>i</w:t>
      </w:r>
      <w:r w:rsidR="00FB23D3" w:rsidRPr="00B3274C">
        <w:t>)</w:t>
      </w:r>
      <w:r w:rsidR="000F0A23" w:rsidRPr="00B3274C">
        <w:tab/>
      </w:r>
      <w:r w:rsidR="005F2B5C" w:rsidRPr="00B3274C">
        <w:rPr>
          <w:i/>
        </w:rPr>
        <w:t>Centre opérationnel</w:t>
      </w:r>
      <w:r w:rsidR="005F2B5C" w:rsidRPr="00B3274C">
        <w:t xml:space="preserve"> d</w:t>
      </w:r>
      <w:r w:rsidR="0080611A">
        <w:t>’</w:t>
      </w:r>
      <w:r w:rsidR="005F2B5C" w:rsidRPr="00B3274C">
        <w:t>appui et de coordination des actions de protection sociale des Services du Réseau de protection de l</w:t>
      </w:r>
      <w:r w:rsidR="0080611A">
        <w:t>’</w:t>
      </w:r>
      <w:r w:rsidR="005F2B5C" w:rsidRPr="00B3274C">
        <w:t xml:space="preserve">enfance. </w:t>
      </w:r>
    </w:p>
    <w:p w:rsidR="00FB23D3" w:rsidRPr="00B3274C" w:rsidRDefault="00F36F41" w:rsidP="00F36F41">
      <w:pPr>
        <w:pStyle w:val="SingleTxtG"/>
      </w:pPr>
      <w:r>
        <w:tab/>
      </w:r>
      <w:r w:rsidR="000F0A23" w:rsidRPr="00B3274C">
        <w:t>j</w:t>
      </w:r>
      <w:r w:rsidR="00FB23D3" w:rsidRPr="00B3274C">
        <w:t>)</w:t>
      </w:r>
      <w:r w:rsidR="000F0A23" w:rsidRPr="00B3274C">
        <w:rPr>
          <w:i/>
        </w:rPr>
        <w:tab/>
      </w:r>
      <w:r w:rsidR="007B74DF" w:rsidRPr="00B3274C">
        <w:rPr>
          <w:i/>
        </w:rPr>
        <w:t>Enfin</w:t>
      </w:r>
      <w:r w:rsidR="0080611A">
        <w:rPr>
          <w:i/>
        </w:rPr>
        <w:t>,</w:t>
      </w:r>
      <w:r w:rsidR="007B74DF" w:rsidRPr="00B3274C">
        <w:rPr>
          <w:i/>
        </w:rPr>
        <w:t xml:space="preserve"> </w:t>
      </w:r>
      <w:r w:rsidR="00FB23D3" w:rsidRPr="00B3274C">
        <w:rPr>
          <w:i/>
        </w:rPr>
        <w:t>EKKA</w:t>
      </w:r>
      <w:r w:rsidR="00FB23D3" w:rsidRPr="00B3274C">
        <w:t xml:space="preserve"> </w:t>
      </w:r>
      <w:r w:rsidR="007B74DF" w:rsidRPr="00B3274C">
        <w:t>a été désigné comme étant l</w:t>
      </w:r>
      <w:r w:rsidR="0080611A">
        <w:t>’</w:t>
      </w:r>
      <w:r w:rsidR="007B74DF" w:rsidRPr="00B3274C">
        <w:t>autorité compétente chargée d</w:t>
      </w:r>
      <w:r w:rsidR="0080611A">
        <w:t>’</w:t>
      </w:r>
      <w:r w:rsidR="007B74DF" w:rsidRPr="00B3274C">
        <w:t xml:space="preserve">appliquer le sous-projet </w:t>
      </w:r>
      <w:r w:rsidR="0055418C" w:rsidRPr="00B3274C">
        <w:t>«</w:t>
      </w:r>
      <w:r w:rsidR="002D2A0B" w:rsidRPr="00B3274C">
        <w:t>Compétences techniques pour le Plan opérationnel de développement du Programme national d</w:t>
      </w:r>
      <w:r w:rsidR="0080611A">
        <w:t>’</w:t>
      </w:r>
      <w:r w:rsidR="002D2A0B" w:rsidRPr="00B3274C">
        <w:t xml:space="preserve">aide </w:t>
      </w:r>
      <w:r w:rsidR="00E35F10" w:rsidRPr="00B3274C">
        <w:t>et de soins aux sans-abri</w:t>
      </w:r>
      <w:r w:rsidR="0055418C" w:rsidRPr="00B3274C">
        <w:t>»</w:t>
      </w:r>
      <w:r w:rsidR="00E35F10" w:rsidRPr="00B3274C">
        <w:t xml:space="preserve">. </w:t>
      </w:r>
    </w:p>
    <w:p w:rsidR="00FB23D3" w:rsidRPr="00B3274C" w:rsidRDefault="00107A47" w:rsidP="00107A47">
      <w:pPr>
        <w:pStyle w:val="SingleTxtG"/>
        <w:rPr>
          <w:bCs/>
          <w:lang w:val="fr-CA"/>
        </w:rPr>
      </w:pPr>
      <w:r w:rsidRPr="00B3274C">
        <w:rPr>
          <w:bCs/>
          <w:lang w:val="fr-CA"/>
        </w:rPr>
        <w:t>189.</w:t>
      </w:r>
      <w:r w:rsidRPr="00B3274C">
        <w:rPr>
          <w:bCs/>
          <w:lang w:val="fr-CA"/>
        </w:rPr>
        <w:tab/>
      </w:r>
      <w:r w:rsidR="00614BAC">
        <w:rPr>
          <w:bCs/>
          <w:lang w:val="fr-CA"/>
        </w:rPr>
        <w:t>Les personnes</w:t>
      </w:r>
      <w:r w:rsidR="00822554" w:rsidRPr="00B3274C">
        <w:rPr>
          <w:bCs/>
          <w:lang w:val="fr-CA"/>
        </w:rPr>
        <w:t xml:space="preserve"> morales de droit public et privé (y compris les églises</w:t>
      </w:r>
      <w:r w:rsidR="0080611A">
        <w:rPr>
          <w:bCs/>
          <w:lang w:val="fr-CA"/>
        </w:rPr>
        <w:t>,</w:t>
      </w:r>
      <w:r w:rsidR="00822554" w:rsidRPr="00B3274C">
        <w:rPr>
          <w:bCs/>
          <w:lang w:val="fr-CA"/>
        </w:rPr>
        <w:t xml:space="preserve"> les ONG</w:t>
      </w:r>
      <w:r w:rsidR="0080611A">
        <w:rPr>
          <w:bCs/>
          <w:lang w:val="fr-CA"/>
        </w:rPr>
        <w:t>,</w:t>
      </w:r>
      <w:r w:rsidR="00822554" w:rsidRPr="00B3274C">
        <w:rPr>
          <w:bCs/>
          <w:lang w:val="fr-CA"/>
        </w:rPr>
        <w:t xml:space="preserve"> etc.) </w:t>
      </w:r>
      <w:bookmarkStart w:id="28" w:name="OLE_LINK31"/>
      <w:bookmarkStart w:id="29" w:name="OLE_LINK32"/>
      <w:r w:rsidR="00822554" w:rsidRPr="00B3274C">
        <w:rPr>
          <w:bCs/>
          <w:lang w:val="fr-CA"/>
        </w:rPr>
        <w:t xml:space="preserve">reçoivent des fonds de la loterie </w:t>
      </w:r>
      <w:bookmarkEnd w:id="28"/>
      <w:bookmarkEnd w:id="29"/>
      <w:r w:rsidR="00822554" w:rsidRPr="00B3274C">
        <w:rPr>
          <w:bCs/>
          <w:lang w:val="fr-CA"/>
        </w:rPr>
        <w:t>nationale spéciale pour</w:t>
      </w:r>
      <w:r w:rsidR="001F38B9" w:rsidRPr="00B3274C">
        <w:rPr>
          <w:bCs/>
          <w:lang w:val="fr-CA"/>
        </w:rPr>
        <w:t xml:space="preserve"> verser des prestations sociales </w:t>
      </w:r>
      <w:r w:rsidR="00A40A08">
        <w:rPr>
          <w:bCs/>
          <w:lang w:val="fr-CA"/>
        </w:rPr>
        <w:t>aux personnes</w:t>
      </w:r>
      <w:r w:rsidR="00822554" w:rsidRPr="00B3274C">
        <w:rPr>
          <w:bCs/>
          <w:lang w:val="fr-CA"/>
        </w:rPr>
        <w:t xml:space="preserve"> </w:t>
      </w:r>
      <w:r w:rsidR="00A9184B" w:rsidRPr="00B3274C">
        <w:rPr>
          <w:bCs/>
          <w:lang w:val="fr-CA"/>
        </w:rPr>
        <w:t>en</w:t>
      </w:r>
      <w:r w:rsidR="00822554" w:rsidRPr="00B3274C">
        <w:rPr>
          <w:bCs/>
          <w:lang w:val="fr-CA"/>
        </w:rPr>
        <w:t xml:space="preserve"> situation d</w:t>
      </w:r>
      <w:r w:rsidR="0080611A">
        <w:rPr>
          <w:bCs/>
          <w:lang w:val="fr-CA"/>
        </w:rPr>
        <w:t>’</w:t>
      </w:r>
      <w:r w:rsidR="00822554" w:rsidRPr="00B3274C">
        <w:rPr>
          <w:bCs/>
          <w:lang w:val="fr-CA"/>
        </w:rPr>
        <w:t>urgence (les démunis</w:t>
      </w:r>
      <w:r w:rsidR="0080611A">
        <w:rPr>
          <w:bCs/>
          <w:lang w:val="fr-CA"/>
        </w:rPr>
        <w:t>,</w:t>
      </w:r>
      <w:r w:rsidR="00822554" w:rsidRPr="00B3274C">
        <w:rPr>
          <w:bCs/>
          <w:lang w:val="fr-CA"/>
        </w:rPr>
        <w:t xml:space="preserve"> les sans-abri</w:t>
      </w:r>
      <w:r w:rsidR="0080611A">
        <w:rPr>
          <w:bCs/>
          <w:lang w:val="fr-CA"/>
        </w:rPr>
        <w:t>,</w:t>
      </w:r>
      <w:r w:rsidR="00822554" w:rsidRPr="00B3274C">
        <w:rPr>
          <w:bCs/>
          <w:lang w:val="fr-CA"/>
        </w:rPr>
        <w:t xml:space="preserve"> etc.). </w:t>
      </w:r>
    </w:p>
    <w:p w:rsidR="00FB23D3" w:rsidRPr="00B3274C" w:rsidRDefault="00107A47" w:rsidP="00107A47">
      <w:pPr>
        <w:pStyle w:val="SingleTxtG"/>
        <w:rPr>
          <w:b/>
          <w:bCs/>
          <w:lang w:val="fr-CA"/>
        </w:rPr>
      </w:pPr>
      <w:r w:rsidRPr="00B3274C">
        <w:rPr>
          <w:bCs/>
          <w:lang w:val="fr-CA"/>
        </w:rPr>
        <w:t>190.</w:t>
      </w:r>
      <w:r w:rsidRPr="00B3274C">
        <w:rPr>
          <w:bCs/>
          <w:lang w:val="fr-CA"/>
        </w:rPr>
        <w:tab/>
      </w:r>
      <w:r w:rsidR="004D239D" w:rsidRPr="00B3274C">
        <w:rPr>
          <w:bCs/>
          <w:lang w:val="fr-CA"/>
        </w:rPr>
        <w:t>Le Ministère de la santé et de la solidarité sociale</w:t>
      </w:r>
      <w:r w:rsidR="0080611A">
        <w:rPr>
          <w:bCs/>
          <w:lang w:val="fr-CA"/>
        </w:rPr>
        <w:t>,</w:t>
      </w:r>
      <w:r w:rsidR="004D239D" w:rsidRPr="00B3274C">
        <w:rPr>
          <w:bCs/>
          <w:lang w:val="fr-CA"/>
        </w:rPr>
        <w:t xml:space="preserve"> met</w:t>
      </w:r>
      <w:r w:rsidR="0080611A">
        <w:rPr>
          <w:bCs/>
          <w:lang w:val="fr-CA"/>
        </w:rPr>
        <w:t>,</w:t>
      </w:r>
      <w:r w:rsidR="004D239D" w:rsidRPr="00B3274C">
        <w:rPr>
          <w:bCs/>
          <w:lang w:val="fr-CA"/>
        </w:rPr>
        <w:t xml:space="preserve"> dans le cadre du Programme de logements populaires</w:t>
      </w:r>
      <w:r w:rsidR="0080611A">
        <w:rPr>
          <w:bCs/>
          <w:lang w:val="fr-CA"/>
        </w:rPr>
        <w:t>,</w:t>
      </w:r>
      <w:r w:rsidR="004D239D" w:rsidRPr="00B3274C">
        <w:rPr>
          <w:bCs/>
          <w:lang w:val="fr-CA"/>
        </w:rPr>
        <w:t xml:space="preserve"> des logements dont il est propriétaire à la disposition des familles qui en ont besoin</w:t>
      </w:r>
      <w:r w:rsidR="00FB23D3" w:rsidRPr="00B3274C">
        <w:rPr>
          <w:bCs/>
          <w:lang w:val="fr-CA"/>
        </w:rPr>
        <w:t>.</w:t>
      </w:r>
    </w:p>
    <w:p w:rsidR="00FB23D3" w:rsidRPr="00B3274C" w:rsidRDefault="00AD6868" w:rsidP="000244C1">
      <w:pPr>
        <w:pStyle w:val="H23G"/>
        <w:rPr>
          <w:lang w:val="fr-CA"/>
        </w:rPr>
      </w:pPr>
      <w:r w:rsidRPr="00B3274C">
        <w:rPr>
          <w:lang w:val="fr-CA"/>
        </w:rPr>
        <w:tab/>
      </w:r>
      <w:r w:rsidR="000244C1" w:rsidRPr="00B3274C">
        <w:rPr>
          <w:lang w:val="fr-CA"/>
        </w:rPr>
        <w:t>5.</w:t>
      </w:r>
      <w:r w:rsidRPr="00B3274C">
        <w:rPr>
          <w:lang w:val="fr-CA"/>
        </w:rPr>
        <w:tab/>
      </w:r>
      <w:r w:rsidR="004D239D" w:rsidRPr="00B3274C">
        <w:rPr>
          <w:lang w:val="fr-CA"/>
        </w:rPr>
        <w:t>Les Roms grecs et le droit à un logement suffisant (par</w:t>
      </w:r>
      <w:r w:rsidR="00FB23D3" w:rsidRPr="00B3274C">
        <w:rPr>
          <w:lang w:val="fr-CA"/>
        </w:rPr>
        <w:t>. 11</w:t>
      </w:r>
      <w:r w:rsidR="0080611A">
        <w:rPr>
          <w:lang w:val="fr-CA"/>
        </w:rPr>
        <w:t>,</w:t>
      </w:r>
      <w:r w:rsidR="00FB23D3" w:rsidRPr="00B3274C">
        <w:rPr>
          <w:lang w:val="fr-CA"/>
        </w:rPr>
        <w:t xml:space="preserve"> </w:t>
      </w:r>
      <w:r w:rsidRPr="00B3274C">
        <w:rPr>
          <w:lang w:val="fr-CA"/>
        </w:rPr>
        <w:t>21</w:t>
      </w:r>
      <w:r w:rsidR="0080611A">
        <w:rPr>
          <w:lang w:val="fr-CA"/>
        </w:rPr>
        <w:t>,</w:t>
      </w:r>
      <w:r w:rsidRPr="00B3274C">
        <w:rPr>
          <w:lang w:val="fr-CA"/>
        </w:rPr>
        <w:t xml:space="preserve"> 22</w:t>
      </w:r>
      <w:r w:rsidR="004D239D" w:rsidRPr="00B3274C">
        <w:rPr>
          <w:lang w:val="fr-CA"/>
        </w:rPr>
        <w:t xml:space="preserve"> et</w:t>
      </w:r>
      <w:r w:rsidRPr="00B3274C">
        <w:rPr>
          <w:lang w:val="fr-CA"/>
        </w:rPr>
        <w:t xml:space="preserve"> 44</w:t>
      </w:r>
      <w:r w:rsidR="00715384" w:rsidRPr="00B3274C">
        <w:rPr>
          <w:lang w:val="fr-CA"/>
        </w:rPr>
        <w:t xml:space="preserve"> </w:t>
      </w:r>
      <w:r w:rsidR="004D239D" w:rsidRPr="00B3274C">
        <w:rPr>
          <w:lang w:val="fr-CA"/>
        </w:rPr>
        <w:t>des observations finales du Comité</w:t>
      </w:r>
      <w:r w:rsidR="00FB23D3" w:rsidRPr="00B3274C">
        <w:rPr>
          <w:lang w:val="fr-CA"/>
        </w:rPr>
        <w:t>)</w:t>
      </w:r>
    </w:p>
    <w:p w:rsidR="00FB23D3" w:rsidRPr="00B3274C" w:rsidRDefault="00107A47" w:rsidP="00107A47">
      <w:pPr>
        <w:pStyle w:val="SingleTxtG"/>
        <w:rPr>
          <w:lang w:val="fr-CA"/>
        </w:rPr>
      </w:pPr>
      <w:r w:rsidRPr="00B3274C">
        <w:rPr>
          <w:lang w:val="fr-CA"/>
        </w:rPr>
        <w:t>191.</w:t>
      </w:r>
      <w:r w:rsidRPr="00B3274C">
        <w:rPr>
          <w:lang w:val="fr-CA"/>
        </w:rPr>
        <w:tab/>
      </w:r>
      <w:r w:rsidR="004D239D" w:rsidRPr="00B3274C">
        <w:rPr>
          <w:lang w:val="fr-CA"/>
        </w:rPr>
        <w:t>Les Roms grecs ont déclaré faire partie intégrante de la population grecque</w:t>
      </w:r>
      <w:r w:rsidR="00EC5892" w:rsidRPr="00B3274C">
        <w:rPr>
          <w:lang w:val="fr-CA"/>
        </w:rPr>
        <w:t>;</w:t>
      </w:r>
      <w:r w:rsidR="004D239D" w:rsidRPr="00B3274C">
        <w:rPr>
          <w:lang w:val="fr-CA"/>
        </w:rPr>
        <w:t xml:space="preserve"> ce sont des citoyens Grecs dont le statut juridique n</w:t>
      </w:r>
      <w:r w:rsidR="0080611A">
        <w:rPr>
          <w:lang w:val="fr-CA"/>
        </w:rPr>
        <w:t>’</w:t>
      </w:r>
      <w:r w:rsidR="004D239D" w:rsidRPr="00B3274C">
        <w:rPr>
          <w:lang w:val="fr-CA"/>
        </w:rPr>
        <w:t>est ni contesté ni remis en cause</w:t>
      </w:r>
      <w:r w:rsidR="0080611A">
        <w:rPr>
          <w:lang w:val="fr-CA"/>
        </w:rPr>
        <w:t>,</w:t>
      </w:r>
      <w:r w:rsidR="004D239D" w:rsidRPr="00B3274C">
        <w:rPr>
          <w:lang w:val="fr-CA"/>
        </w:rPr>
        <w:t xml:space="preserve"> qui jouissent pleinement des droits en matière de citoyenneté ainsi que de l</w:t>
      </w:r>
      <w:r w:rsidR="0080611A">
        <w:rPr>
          <w:lang w:val="fr-CA"/>
        </w:rPr>
        <w:t>’</w:t>
      </w:r>
      <w:r w:rsidR="004D239D" w:rsidRPr="00B3274C">
        <w:rPr>
          <w:lang w:val="fr-CA"/>
        </w:rPr>
        <w:t>ensemble des droits civils et politiques</w:t>
      </w:r>
      <w:r w:rsidR="0080611A">
        <w:rPr>
          <w:lang w:val="fr-CA"/>
        </w:rPr>
        <w:t>,</w:t>
      </w:r>
      <w:r w:rsidR="004D239D" w:rsidRPr="00B3274C">
        <w:rPr>
          <w:lang w:val="fr-CA"/>
        </w:rPr>
        <w:t xml:space="preserve"> économiques</w:t>
      </w:r>
      <w:r w:rsidR="0080611A">
        <w:rPr>
          <w:lang w:val="fr-CA"/>
        </w:rPr>
        <w:t>,</w:t>
      </w:r>
      <w:r w:rsidR="004D239D" w:rsidRPr="00B3274C">
        <w:rPr>
          <w:lang w:val="fr-CA"/>
        </w:rPr>
        <w:t xml:space="preserve"> sociaux et culturels. </w:t>
      </w:r>
      <w:r w:rsidR="00D36338" w:rsidRPr="00B3274C">
        <w:rPr>
          <w:lang w:val="fr-CA"/>
        </w:rPr>
        <w:t>Ils sont membres des partis politiques traditionnels et sont habilités également à créer des partis politiques</w:t>
      </w:r>
      <w:r w:rsidR="00EC5892" w:rsidRPr="00B3274C">
        <w:rPr>
          <w:lang w:val="fr-CA"/>
        </w:rPr>
        <w:t>;</w:t>
      </w:r>
      <w:r w:rsidR="00D36338" w:rsidRPr="00B3274C">
        <w:rPr>
          <w:lang w:val="fr-CA"/>
        </w:rPr>
        <w:t xml:space="preserve"> ils exercent effectivement leurs droits électoraux et occupent des postes électifs</w:t>
      </w:r>
      <w:r w:rsidR="0080611A">
        <w:rPr>
          <w:lang w:val="fr-CA"/>
        </w:rPr>
        <w:t>,</w:t>
      </w:r>
      <w:r w:rsidR="00D36338" w:rsidRPr="00B3274C">
        <w:rPr>
          <w:lang w:val="fr-CA"/>
        </w:rPr>
        <w:t xml:space="preserve"> en particulier dans les structures locales</w:t>
      </w:r>
      <w:r w:rsidR="0080611A">
        <w:rPr>
          <w:lang w:val="fr-CA"/>
        </w:rPr>
        <w:t>,</w:t>
      </w:r>
      <w:r w:rsidR="00D36338" w:rsidRPr="00B3274C">
        <w:rPr>
          <w:lang w:val="fr-CA"/>
        </w:rPr>
        <w:t xml:space="preserve"> s</w:t>
      </w:r>
      <w:r w:rsidR="0080611A">
        <w:rPr>
          <w:lang w:val="fr-CA"/>
        </w:rPr>
        <w:t>’</w:t>
      </w:r>
      <w:r w:rsidR="00D36338" w:rsidRPr="00B3274C">
        <w:rPr>
          <w:lang w:val="fr-CA"/>
        </w:rPr>
        <w:t>organisent au sein d</w:t>
      </w:r>
      <w:r w:rsidR="0080611A">
        <w:rPr>
          <w:lang w:val="fr-CA"/>
        </w:rPr>
        <w:t>’</w:t>
      </w:r>
      <w:r w:rsidR="00D36338" w:rsidRPr="00B3274C">
        <w:rPr>
          <w:lang w:val="fr-CA"/>
        </w:rPr>
        <w:t xml:space="preserve">organes collectifs au niveau local et national et participent à la vie publique. </w:t>
      </w:r>
      <w:r w:rsidR="005705A1" w:rsidRPr="00B3274C">
        <w:rPr>
          <w:lang w:val="fr-CA"/>
        </w:rPr>
        <w:t>En outre</w:t>
      </w:r>
      <w:r w:rsidR="0080611A">
        <w:rPr>
          <w:lang w:val="fr-CA"/>
        </w:rPr>
        <w:t>,</w:t>
      </w:r>
      <w:r w:rsidR="005705A1" w:rsidRPr="00B3274C">
        <w:rPr>
          <w:lang w:val="fr-CA"/>
        </w:rPr>
        <w:t xml:space="preserve"> étant donné le style de vie et les besoins particuliers de la communauté</w:t>
      </w:r>
      <w:r w:rsidR="0080611A">
        <w:rPr>
          <w:lang w:val="fr-CA"/>
        </w:rPr>
        <w:t>,</w:t>
      </w:r>
      <w:r w:rsidR="005705A1" w:rsidRPr="00B3274C">
        <w:rPr>
          <w:lang w:val="fr-CA"/>
        </w:rPr>
        <w:t xml:space="preserve"> mais en raison également de </w:t>
      </w:r>
      <w:r w:rsidR="00F547A4" w:rsidRPr="00B3274C">
        <w:rPr>
          <w:lang w:val="fr-CA"/>
        </w:rPr>
        <w:t xml:space="preserve">leurs </w:t>
      </w:r>
      <w:r w:rsidR="005705A1" w:rsidRPr="00B3274C">
        <w:rPr>
          <w:lang w:val="fr-CA"/>
        </w:rPr>
        <w:t>conditions de vie difficiles tenant à un accès limité aux droits économiques</w:t>
      </w:r>
      <w:r w:rsidR="0080611A">
        <w:rPr>
          <w:lang w:val="fr-CA"/>
        </w:rPr>
        <w:t>,</w:t>
      </w:r>
      <w:r w:rsidR="005705A1" w:rsidRPr="00B3274C">
        <w:rPr>
          <w:lang w:val="fr-CA"/>
        </w:rPr>
        <w:t xml:space="preserve"> sociaux et civils garantis par la Constitution à tous les citoyens Grecs</w:t>
      </w:r>
      <w:r w:rsidR="0080611A">
        <w:rPr>
          <w:lang w:val="fr-CA"/>
        </w:rPr>
        <w:t>,</w:t>
      </w:r>
      <w:r w:rsidR="005705A1" w:rsidRPr="00B3274C">
        <w:rPr>
          <w:lang w:val="fr-CA"/>
        </w:rPr>
        <w:t xml:space="preserve"> les Roms ont été reconnus comme étant un groupe socialement vulnérable au sein de la population grecque</w:t>
      </w:r>
      <w:r w:rsidR="0080611A">
        <w:rPr>
          <w:lang w:val="fr-CA"/>
        </w:rPr>
        <w:t>,</w:t>
      </w:r>
      <w:r w:rsidR="005705A1" w:rsidRPr="00B3274C">
        <w:rPr>
          <w:lang w:val="fr-CA"/>
        </w:rPr>
        <w:t xml:space="preserve"> pour la protection duquel il a fallu prendre des mesures</w:t>
      </w:r>
      <w:r w:rsidR="00794B25" w:rsidRPr="00B3274C">
        <w:rPr>
          <w:lang w:val="fr-CA"/>
        </w:rPr>
        <w:t xml:space="preserve"> fortes </w:t>
      </w:r>
      <w:r w:rsidR="005705A1" w:rsidRPr="00B3274C">
        <w:rPr>
          <w:lang w:val="fr-CA"/>
        </w:rPr>
        <w:t xml:space="preserve">pour </w:t>
      </w:r>
      <w:r w:rsidR="00794B25" w:rsidRPr="00B3274C">
        <w:rPr>
          <w:lang w:val="fr-CA"/>
        </w:rPr>
        <w:t>faire obstacle à</w:t>
      </w:r>
      <w:r w:rsidR="005705A1" w:rsidRPr="00B3274C">
        <w:rPr>
          <w:lang w:val="fr-CA"/>
        </w:rPr>
        <w:t xml:space="preserve"> toutes les formes d</w:t>
      </w:r>
      <w:r w:rsidR="0080611A">
        <w:rPr>
          <w:lang w:val="fr-CA"/>
        </w:rPr>
        <w:t>’</w:t>
      </w:r>
      <w:r w:rsidR="005705A1" w:rsidRPr="00B3274C">
        <w:rPr>
          <w:lang w:val="fr-CA"/>
        </w:rPr>
        <w:t xml:space="preserve">exclusion sociale ou de discrimination potentielle à laquelle il était exposé. </w:t>
      </w:r>
    </w:p>
    <w:p w:rsidR="00FB23D3" w:rsidRPr="00B3274C" w:rsidRDefault="00107A47" w:rsidP="00107A47">
      <w:pPr>
        <w:pStyle w:val="SingleTxtG"/>
        <w:rPr>
          <w:lang w:val="fr-CA"/>
        </w:rPr>
      </w:pPr>
      <w:r w:rsidRPr="00B3274C">
        <w:rPr>
          <w:lang w:val="fr-CA"/>
        </w:rPr>
        <w:t>192.</w:t>
      </w:r>
      <w:r w:rsidRPr="00B3274C">
        <w:rPr>
          <w:lang w:val="fr-CA"/>
        </w:rPr>
        <w:tab/>
      </w:r>
      <w:r w:rsidR="002B6BB9" w:rsidRPr="00B3274C">
        <w:rPr>
          <w:lang w:val="fr-CA"/>
        </w:rPr>
        <w:t>Un Plan d</w:t>
      </w:r>
      <w:r w:rsidR="0080611A">
        <w:rPr>
          <w:lang w:val="fr-CA"/>
        </w:rPr>
        <w:t>’</w:t>
      </w:r>
      <w:r w:rsidR="002B6BB9" w:rsidRPr="00B3274C">
        <w:rPr>
          <w:lang w:val="fr-CA"/>
        </w:rPr>
        <w:t>action intégré axé</w:t>
      </w:r>
      <w:r w:rsidR="00794B25" w:rsidRPr="00B3274C">
        <w:rPr>
          <w:lang w:val="fr-CA"/>
        </w:rPr>
        <w:t xml:space="preserve"> sur l</w:t>
      </w:r>
      <w:r w:rsidR="0080611A">
        <w:rPr>
          <w:lang w:val="fr-CA"/>
        </w:rPr>
        <w:t>’</w:t>
      </w:r>
      <w:r w:rsidR="00794B25" w:rsidRPr="00B3274C">
        <w:rPr>
          <w:lang w:val="fr-CA"/>
        </w:rPr>
        <w:t>intégration sociale des Roms grecs et visant à combattre l</w:t>
      </w:r>
      <w:r w:rsidR="0080611A">
        <w:rPr>
          <w:lang w:val="fr-CA"/>
        </w:rPr>
        <w:t>’</w:t>
      </w:r>
      <w:r w:rsidR="00794B25" w:rsidRPr="00B3274C">
        <w:rPr>
          <w:lang w:val="fr-CA"/>
        </w:rPr>
        <w:t>exclusion sociale et la discrimination</w:t>
      </w:r>
      <w:r w:rsidR="0080611A">
        <w:rPr>
          <w:lang w:val="fr-CA"/>
        </w:rPr>
        <w:t>,</w:t>
      </w:r>
      <w:r w:rsidR="00794B25" w:rsidRPr="00B3274C">
        <w:rPr>
          <w:lang w:val="fr-CA"/>
        </w:rPr>
        <w:t xml:space="preserve"> a été adopté en 2002. Il a été adopté pour mettre en œuvre la politique nationale en faveur des Roms grecs </w:t>
      </w:r>
      <w:r w:rsidR="00836EEA" w:rsidRPr="00B3274C">
        <w:rPr>
          <w:lang w:val="fr-CA"/>
        </w:rPr>
        <w:t xml:space="preserve">qui tient compte </w:t>
      </w:r>
      <w:r w:rsidR="00B94EEC" w:rsidRPr="00B3274C">
        <w:rPr>
          <w:lang w:val="fr-CA"/>
        </w:rPr>
        <w:t>des</w:t>
      </w:r>
      <w:r w:rsidR="00794B25" w:rsidRPr="00B3274C">
        <w:rPr>
          <w:lang w:val="fr-CA"/>
        </w:rPr>
        <w:t xml:space="preserve"> conclusions du dialogue social tenu dans les années 90 sur les problèmes rencontrés par</w:t>
      </w:r>
      <w:r w:rsidR="004F6140" w:rsidRPr="00B3274C">
        <w:rPr>
          <w:lang w:val="fr-CA"/>
        </w:rPr>
        <w:t xml:space="preserve"> les</w:t>
      </w:r>
      <w:r w:rsidR="00794B25" w:rsidRPr="00B3274C">
        <w:rPr>
          <w:lang w:val="fr-CA"/>
        </w:rPr>
        <w:t xml:space="preserve"> </w:t>
      </w:r>
      <w:r w:rsidR="008857E9" w:rsidRPr="00B3274C">
        <w:rPr>
          <w:lang w:val="fr-CA"/>
        </w:rPr>
        <w:t>R</w:t>
      </w:r>
      <w:r w:rsidR="00794B25" w:rsidRPr="00B3274C">
        <w:rPr>
          <w:lang w:val="fr-CA"/>
        </w:rPr>
        <w:t>oms</w:t>
      </w:r>
      <w:r w:rsidR="00FB23D3" w:rsidRPr="00B3274C">
        <w:rPr>
          <w:lang w:val="fr-CA"/>
        </w:rPr>
        <w:t xml:space="preserve">. </w:t>
      </w:r>
    </w:p>
    <w:p w:rsidR="00FB23D3" w:rsidRPr="00B3274C" w:rsidRDefault="00107A47" w:rsidP="00107A47">
      <w:pPr>
        <w:pStyle w:val="SingleTxtG"/>
        <w:rPr>
          <w:lang w:val="fr-CA"/>
        </w:rPr>
      </w:pPr>
      <w:r w:rsidRPr="00B3274C">
        <w:rPr>
          <w:lang w:val="fr-CA"/>
        </w:rPr>
        <w:t>193.</w:t>
      </w:r>
      <w:r w:rsidRPr="00B3274C">
        <w:rPr>
          <w:lang w:val="fr-CA"/>
        </w:rPr>
        <w:tab/>
      </w:r>
      <w:r w:rsidR="002B6BB9" w:rsidRPr="00B3274C">
        <w:rPr>
          <w:lang w:val="fr-CA"/>
        </w:rPr>
        <w:t>Concrètement</w:t>
      </w:r>
      <w:r w:rsidR="0080611A">
        <w:rPr>
          <w:lang w:val="fr-CA"/>
        </w:rPr>
        <w:t>,</w:t>
      </w:r>
      <w:r w:rsidR="002B6BB9" w:rsidRPr="00B3274C">
        <w:rPr>
          <w:lang w:val="fr-CA"/>
        </w:rPr>
        <w:t xml:space="preserve"> le Plan d</w:t>
      </w:r>
      <w:r w:rsidR="0080611A">
        <w:rPr>
          <w:lang w:val="fr-CA"/>
        </w:rPr>
        <w:t>’</w:t>
      </w:r>
      <w:r w:rsidR="002B6BB9" w:rsidRPr="00B3274C">
        <w:rPr>
          <w:lang w:val="fr-CA"/>
        </w:rPr>
        <w:t>action intégré</w:t>
      </w:r>
      <w:r w:rsidR="004734CA" w:rsidRPr="00B3274C">
        <w:rPr>
          <w:lang w:val="fr-CA"/>
        </w:rPr>
        <w:t xml:space="preserve"> énon</w:t>
      </w:r>
      <w:r w:rsidR="00F079C6" w:rsidRPr="00B3274C">
        <w:rPr>
          <w:lang w:val="fr-CA"/>
        </w:rPr>
        <w:t>çait</w:t>
      </w:r>
      <w:r w:rsidR="004734CA" w:rsidRPr="00B3274C">
        <w:rPr>
          <w:lang w:val="fr-CA"/>
        </w:rPr>
        <w:t xml:space="preserve"> </w:t>
      </w:r>
      <w:r w:rsidR="00F657E6" w:rsidRPr="00B3274C">
        <w:rPr>
          <w:lang w:val="fr-CA"/>
        </w:rPr>
        <w:t>à l</w:t>
      </w:r>
      <w:r w:rsidR="0080611A">
        <w:rPr>
          <w:lang w:val="fr-CA"/>
        </w:rPr>
        <w:t>’</w:t>
      </w:r>
      <w:r w:rsidR="00F657E6" w:rsidRPr="00B3274C">
        <w:rPr>
          <w:lang w:val="fr-CA"/>
        </w:rPr>
        <w:t>intention des autorités locales</w:t>
      </w:r>
      <w:r w:rsidR="0080611A">
        <w:rPr>
          <w:lang w:val="fr-CA"/>
        </w:rPr>
        <w:t>,</w:t>
      </w:r>
      <w:r w:rsidR="00E010DA" w:rsidRPr="00B3274C">
        <w:rPr>
          <w:lang w:val="fr-CA"/>
        </w:rPr>
        <w:t xml:space="preserve"> en coopération avec le Gouvernement</w:t>
      </w:r>
      <w:r w:rsidR="0080611A">
        <w:rPr>
          <w:lang w:val="fr-CA"/>
        </w:rPr>
        <w:t>,</w:t>
      </w:r>
      <w:r w:rsidR="0055418C" w:rsidRPr="00B3274C">
        <w:rPr>
          <w:lang w:val="fr-CA"/>
        </w:rPr>
        <w:t xml:space="preserve"> </w:t>
      </w:r>
      <w:r w:rsidR="002B6BB9" w:rsidRPr="00B3274C">
        <w:rPr>
          <w:lang w:val="fr-CA"/>
        </w:rPr>
        <w:t>une série d</w:t>
      </w:r>
      <w:r w:rsidR="0080611A">
        <w:rPr>
          <w:lang w:val="fr-CA"/>
        </w:rPr>
        <w:t>’</w:t>
      </w:r>
      <w:r w:rsidR="002B6BB9" w:rsidRPr="00B3274C">
        <w:rPr>
          <w:lang w:val="fr-CA"/>
        </w:rPr>
        <w:t xml:space="preserve">objectifs et de mesures </w:t>
      </w:r>
      <w:r w:rsidR="00F657E6" w:rsidRPr="00B3274C">
        <w:rPr>
          <w:lang w:val="fr-CA"/>
        </w:rPr>
        <w:t xml:space="preserve">visant à </w:t>
      </w:r>
      <w:r w:rsidR="002B6BB9" w:rsidRPr="00B3274C">
        <w:rPr>
          <w:lang w:val="fr-CA"/>
        </w:rPr>
        <w:t>amélior</w:t>
      </w:r>
      <w:r w:rsidR="00CD53FB" w:rsidRPr="00B3274C">
        <w:rPr>
          <w:lang w:val="fr-CA"/>
        </w:rPr>
        <w:t>er l</w:t>
      </w:r>
      <w:r w:rsidR="002B6BB9" w:rsidRPr="00B3274C">
        <w:rPr>
          <w:lang w:val="fr-CA"/>
        </w:rPr>
        <w:t>es conditions de vie des Roms</w:t>
      </w:r>
      <w:r w:rsidR="00E010DA" w:rsidRPr="00B3274C">
        <w:rPr>
          <w:lang w:val="fr-CA"/>
        </w:rPr>
        <w:t xml:space="preserve"> </w:t>
      </w:r>
      <w:r w:rsidR="002B6BB9" w:rsidRPr="00B3274C">
        <w:rPr>
          <w:lang w:val="fr-CA"/>
        </w:rPr>
        <w:t>dans les domaines du logement</w:t>
      </w:r>
      <w:r w:rsidR="0080611A">
        <w:rPr>
          <w:lang w:val="fr-CA"/>
        </w:rPr>
        <w:t>,</w:t>
      </w:r>
      <w:r w:rsidR="002B6BB9" w:rsidRPr="00B3274C">
        <w:rPr>
          <w:lang w:val="fr-CA"/>
        </w:rPr>
        <w:t xml:space="preserve"> de l</w:t>
      </w:r>
      <w:r w:rsidR="0080611A">
        <w:rPr>
          <w:lang w:val="fr-CA"/>
        </w:rPr>
        <w:t>’</w:t>
      </w:r>
      <w:r w:rsidR="002B6BB9" w:rsidRPr="00B3274C">
        <w:rPr>
          <w:lang w:val="fr-CA"/>
        </w:rPr>
        <w:t>emploi</w:t>
      </w:r>
      <w:r w:rsidR="0080611A">
        <w:rPr>
          <w:lang w:val="fr-CA"/>
        </w:rPr>
        <w:t>,</w:t>
      </w:r>
      <w:r w:rsidR="002B6BB9" w:rsidRPr="00B3274C">
        <w:rPr>
          <w:lang w:val="fr-CA"/>
        </w:rPr>
        <w:t xml:space="preserve"> de l</w:t>
      </w:r>
      <w:r w:rsidR="0080611A">
        <w:rPr>
          <w:lang w:val="fr-CA"/>
        </w:rPr>
        <w:t>’</w:t>
      </w:r>
      <w:r w:rsidR="002B6BB9" w:rsidRPr="00B3274C">
        <w:rPr>
          <w:lang w:val="fr-CA"/>
        </w:rPr>
        <w:t>éducation</w:t>
      </w:r>
      <w:r w:rsidR="0080611A">
        <w:rPr>
          <w:lang w:val="fr-CA"/>
        </w:rPr>
        <w:t>,</w:t>
      </w:r>
      <w:r w:rsidR="002B6BB9" w:rsidRPr="00B3274C">
        <w:rPr>
          <w:lang w:val="fr-CA"/>
        </w:rPr>
        <w:t xml:space="preserve"> de la santé</w:t>
      </w:r>
      <w:r w:rsidR="0080611A">
        <w:rPr>
          <w:lang w:val="fr-CA"/>
        </w:rPr>
        <w:t>,</w:t>
      </w:r>
      <w:r w:rsidR="002B6BB9" w:rsidRPr="00B3274C">
        <w:rPr>
          <w:lang w:val="fr-CA"/>
        </w:rPr>
        <w:t xml:space="preserve"> de la culture et des sports. </w:t>
      </w:r>
      <w:r w:rsidR="004734CA" w:rsidRPr="00B3274C">
        <w:rPr>
          <w:lang w:val="fr-CA"/>
        </w:rPr>
        <w:t>Dans ce cadre</w:t>
      </w:r>
      <w:r w:rsidR="0080611A">
        <w:rPr>
          <w:lang w:val="fr-CA"/>
        </w:rPr>
        <w:t>,</w:t>
      </w:r>
      <w:r w:rsidR="004734CA" w:rsidRPr="00B3274C">
        <w:rPr>
          <w:lang w:val="fr-CA"/>
        </w:rPr>
        <w:t xml:space="preserve"> le Ministère de l</w:t>
      </w:r>
      <w:r w:rsidR="0080611A">
        <w:rPr>
          <w:lang w:val="fr-CA"/>
        </w:rPr>
        <w:t>’</w:t>
      </w:r>
      <w:r w:rsidR="004734CA" w:rsidRPr="00B3274C">
        <w:rPr>
          <w:lang w:val="fr-CA"/>
        </w:rPr>
        <w:t xml:space="preserve">intérieur a entrepris de mettre en œuvre des actions </w:t>
      </w:r>
      <w:r w:rsidR="0071766C" w:rsidRPr="00B3274C">
        <w:rPr>
          <w:lang w:val="fr-CA"/>
        </w:rPr>
        <w:t>concernant</w:t>
      </w:r>
      <w:r w:rsidR="004734CA" w:rsidRPr="00B3274C">
        <w:rPr>
          <w:lang w:val="fr-CA"/>
        </w:rPr>
        <w:t xml:space="preserve"> les infrastructures</w:t>
      </w:r>
      <w:r w:rsidR="0080611A">
        <w:rPr>
          <w:lang w:val="fr-CA"/>
        </w:rPr>
        <w:t>,</w:t>
      </w:r>
      <w:r w:rsidR="004734CA" w:rsidRPr="00B3274C">
        <w:rPr>
          <w:lang w:val="fr-CA"/>
        </w:rPr>
        <w:t xml:space="preserve"> en vue d</w:t>
      </w:r>
      <w:r w:rsidR="0080611A">
        <w:rPr>
          <w:lang w:val="fr-CA"/>
        </w:rPr>
        <w:t>’</w:t>
      </w:r>
      <w:r w:rsidR="004734CA" w:rsidRPr="00B3274C">
        <w:rPr>
          <w:lang w:val="fr-CA"/>
        </w:rPr>
        <w:t>améliorer les conditions de vie des Roms grecs</w:t>
      </w:r>
      <w:r w:rsidR="0080611A">
        <w:rPr>
          <w:lang w:val="fr-CA"/>
        </w:rPr>
        <w:t>,</w:t>
      </w:r>
      <w:r w:rsidR="004734CA" w:rsidRPr="00B3274C">
        <w:rPr>
          <w:lang w:val="fr-CA"/>
        </w:rPr>
        <w:t xml:space="preserve"> notamment en finançant des projets relatifs </w:t>
      </w:r>
      <w:r w:rsidR="002D6070" w:rsidRPr="00B3274C">
        <w:rPr>
          <w:lang w:val="fr-CA"/>
        </w:rPr>
        <w:t>aux</w:t>
      </w:r>
      <w:r w:rsidR="004734CA" w:rsidRPr="00B3274C">
        <w:rPr>
          <w:lang w:val="fr-CA"/>
        </w:rPr>
        <w:t xml:space="preserve"> infrastructures de base</w:t>
      </w:r>
      <w:r w:rsidR="0080611A">
        <w:rPr>
          <w:lang w:val="fr-CA"/>
        </w:rPr>
        <w:t>,</w:t>
      </w:r>
      <w:r w:rsidR="004734CA" w:rsidRPr="00B3274C">
        <w:rPr>
          <w:lang w:val="fr-CA"/>
        </w:rPr>
        <w:t xml:space="preserve"> en parallèle avec </w:t>
      </w:r>
      <w:r w:rsidR="002D6070" w:rsidRPr="00B3274C">
        <w:rPr>
          <w:lang w:val="fr-CA"/>
        </w:rPr>
        <w:t>d</w:t>
      </w:r>
      <w:r w:rsidR="004734CA" w:rsidRPr="00B3274C">
        <w:rPr>
          <w:lang w:val="fr-CA"/>
        </w:rPr>
        <w:t>es actions touchant les services</w:t>
      </w:r>
      <w:r w:rsidR="0080611A">
        <w:rPr>
          <w:lang w:val="fr-CA"/>
        </w:rPr>
        <w:t>,</w:t>
      </w:r>
      <w:r w:rsidR="004734CA" w:rsidRPr="00B3274C">
        <w:rPr>
          <w:lang w:val="fr-CA"/>
        </w:rPr>
        <w:t xml:space="preserve"> dans les domaines de l</w:t>
      </w:r>
      <w:r w:rsidR="0080611A">
        <w:rPr>
          <w:lang w:val="fr-CA"/>
        </w:rPr>
        <w:t>’</w:t>
      </w:r>
      <w:r w:rsidR="004734CA" w:rsidRPr="00B3274C">
        <w:rPr>
          <w:lang w:val="fr-CA"/>
        </w:rPr>
        <w:t>éducation</w:t>
      </w:r>
      <w:r w:rsidR="0080611A">
        <w:rPr>
          <w:lang w:val="fr-CA"/>
        </w:rPr>
        <w:t>,</w:t>
      </w:r>
      <w:r w:rsidR="004734CA" w:rsidRPr="00B3274C">
        <w:rPr>
          <w:lang w:val="fr-CA"/>
        </w:rPr>
        <w:t xml:space="preserve"> de la santé</w:t>
      </w:r>
      <w:r w:rsidR="0080611A">
        <w:rPr>
          <w:lang w:val="fr-CA"/>
        </w:rPr>
        <w:t>,</w:t>
      </w:r>
      <w:r w:rsidR="004734CA" w:rsidRPr="00B3274C">
        <w:rPr>
          <w:lang w:val="fr-CA"/>
        </w:rPr>
        <w:t xml:space="preserve"> de l</w:t>
      </w:r>
      <w:r w:rsidR="0080611A">
        <w:rPr>
          <w:lang w:val="fr-CA"/>
        </w:rPr>
        <w:t>’</w:t>
      </w:r>
      <w:r w:rsidR="004734CA" w:rsidRPr="00B3274C">
        <w:rPr>
          <w:lang w:val="fr-CA"/>
        </w:rPr>
        <w:t>emploi</w:t>
      </w:r>
      <w:r w:rsidR="0080611A">
        <w:rPr>
          <w:lang w:val="fr-CA"/>
        </w:rPr>
        <w:t>,</w:t>
      </w:r>
      <w:r w:rsidR="004734CA" w:rsidRPr="00B3274C">
        <w:rPr>
          <w:lang w:val="fr-CA"/>
        </w:rPr>
        <w:t xml:space="preserve"> de la culture et des sports. La période de programmation du Plan d</w:t>
      </w:r>
      <w:r w:rsidR="0080611A">
        <w:rPr>
          <w:lang w:val="fr-CA"/>
        </w:rPr>
        <w:t>’</w:t>
      </w:r>
      <w:r w:rsidR="004734CA" w:rsidRPr="00B3274C">
        <w:rPr>
          <w:lang w:val="fr-CA"/>
        </w:rPr>
        <w:t>action intégré était de six</w:t>
      </w:r>
      <w:r w:rsidR="004C055A">
        <w:rPr>
          <w:lang w:val="fr-CA"/>
        </w:rPr>
        <w:t> ans</w:t>
      </w:r>
      <w:r w:rsidR="004734CA" w:rsidRPr="00B3274C">
        <w:rPr>
          <w:lang w:val="fr-CA"/>
        </w:rPr>
        <w:t xml:space="preserve"> (2002</w:t>
      </w:r>
      <w:r w:rsidR="00B53F6A">
        <w:rPr>
          <w:lang w:val="fr-CA"/>
        </w:rPr>
        <w:t>-</w:t>
      </w:r>
      <w:r w:rsidR="004734CA" w:rsidRPr="00B3274C">
        <w:rPr>
          <w:lang w:val="fr-CA"/>
        </w:rPr>
        <w:t>2008)</w:t>
      </w:r>
      <w:r w:rsidR="00EC5892" w:rsidRPr="00B3274C">
        <w:rPr>
          <w:lang w:val="fr-CA"/>
        </w:rPr>
        <w:t>;</w:t>
      </w:r>
      <w:r w:rsidR="00F079C6" w:rsidRPr="00B3274C">
        <w:rPr>
          <w:lang w:val="fr-CA"/>
        </w:rPr>
        <w:t xml:space="preserve"> </w:t>
      </w:r>
      <w:r w:rsidR="004734CA" w:rsidRPr="00B3274C">
        <w:rPr>
          <w:lang w:val="fr-CA"/>
        </w:rPr>
        <w:t xml:space="preserve">la réalisation de projets relatifs </w:t>
      </w:r>
      <w:r w:rsidR="002D6070" w:rsidRPr="00B3274C">
        <w:rPr>
          <w:lang w:val="fr-CA"/>
        </w:rPr>
        <w:t>aux</w:t>
      </w:r>
      <w:r w:rsidR="004734CA" w:rsidRPr="00B3274C">
        <w:rPr>
          <w:lang w:val="fr-CA"/>
        </w:rPr>
        <w:t xml:space="preserve"> infrastructures de base (construction de routes</w:t>
      </w:r>
      <w:r w:rsidR="0080611A">
        <w:rPr>
          <w:lang w:val="fr-CA"/>
        </w:rPr>
        <w:t>,</w:t>
      </w:r>
      <w:r w:rsidR="004734CA" w:rsidRPr="00B3274C">
        <w:rPr>
          <w:lang w:val="fr-CA"/>
        </w:rPr>
        <w:t xml:space="preserve"> </w:t>
      </w:r>
      <w:r w:rsidR="004C1D16" w:rsidRPr="00B3274C">
        <w:rPr>
          <w:lang w:val="fr-CA"/>
        </w:rPr>
        <w:t>raccordement au réseau électrique/</w:t>
      </w:r>
      <w:r w:rsidR="004734CA" w:rsidRPr="00B3274C">
        <w:rPr>
          <w:lang w:val="fr-CA"/>
        </w:rPr>
        <w:t>éclairage</w:t>
      </w:r>
      <w:r w:rsidR="0080611A">
        <w:rPr>
          <w:lang w:val="fr-CA"/>
        </w:rPr>
        <w:t>,</w:t>
      </w:r>
      <w:r w:rsidR="004734CA" w:rsidRPr="00B3274C">
        <w:rPr>
          <w:lang w:val="fr-CA"/>
        </w:rPr>
        <w:t xml:space="preserve"> égo</w:t>
      </w:r>
      <w:r w:rsidR="00B15AF6" w:rsidRPr="00B3274C">
        <w:rPr>
          <w:lang w:val="fr-CA"/>
        </w:rPr>
        <w:t>u</w:t>
      </w:r>
      <w:r w:rsidR="004734CA" w:rsidRPr="00B3274C">
        <w:rPr>
          <w:lang w:val="fr-CA"/>
        </w:rPr>
        <w:t>ts</w:t>
      </w:r>
      <w:r w:rsidR="0080611A">
        <w:rPr>
          <w:lang w:val="fr-CA"/>
        </w:rPr>
        <w:t>,</w:t>
      </w:r>
      <w:r w:rsidR="004734CA" w:rsidRPr="00B3274C">
        <w:rPr>
          <w:lang w:val="fr-CA"/>
        </w:rPr>
        <w:t xml:space="preserve"> approvisionnement en eau</w:t>
      </w:r>
      <w:r w:rsidR="0080611A">
        <w:rPr>
          <w:lang w:val="fr-CA"/>
        </w:rPr>
        <w:t>,</w:t>
      </w:r>
      <w:r w:rsidR="004734CA" w:rsidRPr="00B3274C">
        <w:rPr>
          <w:lang w:val="fr-CA"/>
        </w:rPr>
        <w:t xml:space="preserve"> amélioration des </w:t>
      </w:r>
      <w:r w:rsidR="004C1D16" w:rsidRPr="00B3274C">
        <w:rPr>
          <w:lang w:val="fr-CA"/>
        </w:rPr>
        <w:t>campements</w:t>
      </w:r>
      <w:r w:rsidR="0080611A">
        <w:rPr>
          <w:lang w:val="fr-CA"/>
        </w:rPr>
        <w:t>,</w:t>
      </w:r>
      <w:r w:rsidR="004734CA" w:rsidRPr="00B3274C">
        <w:rPr>
          <w:lang w:val="fr-CA"/>
        </w:rPr>
        <w:t xml:space="preserve"> travaux d</w:t>
      </w:r>
      <w:r w:rsidR="0080611A">
        <w:rPr>
          <w:lang w:val="fr-CA"/>
        </w:rPr>
        <w:t>’</w:t>
      </w:r>
      <w:r w:rsidR="004734CA" w:rsidRPr="00B3274C">
        <w:rPr>
          <w:lang w:val="fr-CA"/>
        </w:rPr>
        <w:t>infrastructure pour des logements préfabriqués</w:t>
      </w:r>
      <w:r w:rsidR="0080611A">
        <w:rPr>
          <w:lang w:val="fr-CA"/>
        </w:rPr>
        <w:t>,</w:t>
      </w:r>
      <w:r w:rsidR="004734CA" w:rsidRPr="00B3274C">
        <w:rPr>
          <w:lang w:val="fr-CA"/>
        </w:rPr>
        <w:t xml:space="preserve"> déplacement des</w:t>
      </w:r>
      <w:r w:rsidR="004C1D16" w:rsidRPr="00B3274C">
        <w:rPr>
          <w:lang w:val="fr-CA"/>
        </w:rPr>
        <w:t xml:space="preserve"> campements </w:t>
      </w:r>
      <w:r w:rsidR="004734CA" w:rsidRPr="00B3274C">
        <w:rPr>
          <w:lang w:val="fr-CA"/>
        </w:rPr>
        <w:t>et achat de terrains)</w:t>
      </w:r>
      <w:r w:rsidR="007133AE" w:rsidRPr="00B3274C">
        <w:rPr>
          <w:lang w:val="fr-CA"/>
        </w:rPr>
        <w:t xml:space="preserve"> étai</w:t>
      </w:r>
      <w:r w:rsidR="00F079C6" w:rsidRPr="00B3274C">
        <w:rPr>
          <w:lang w:val="fr-CA"/>
        </w:rPr>
        <w:t>t prévue</w:t>
      </w:r>
      <w:r w:rsidR="0080611A">
        <w:rPr>
          <w:lang w:val="fr-CA"/>
        </w:rPr>
        <w:t>,</w:t>
      </w:r>
      <w:r w:rsidR="004734CA" w:rsidRPr="00B3274C">
        <w:rPr>
          <w:lang w:val="fr-CA"/>
        </w:rPr>
        <w:t xml:space="preserve"> sur proposition des autorités locales</w:t>
      </w:r>
      <w:r w:rsidR="0080611A">
        <w:rPr>
          <w:lang w:val="fr-CA"/>
        </w:rPr>
        <w:t>,</w:t>
      </w:r>
      <w:r w:rsidR="004C1D16" w:rsidRPr="00B3274C">
        <w:rPr>
          <w:lang w:val="fr-CA"/>
        </w:rPr>
        <w:t xml:space="preserve"> dans </w:t>
      </w:r>
      <w:r w:rsidR="004734CA" w:rsidRPr="00B3274C">
        <w:rPr>
          <w:lang w:val="fr-CA"/>
        </w:rPr>
        <w:t>96 municipalités dans lesquelles</w:t>
      </w:r>
      <w:r w:rsidR="004C1D16" w:rsidRPr="00B3274C">
        <w:rPr>
          <w:lang w:val="fr-CA"/>
        </w:rPr>
        <w:t xml:space="preserve"> des Roms grecs vivaient dans de mauvaises conditions</w:t>
      </w:r>
      <w:r w:rsidR="004734CA" w:rsidRPr="00B3274C">
        <w:rPr>
          <w:lang w:val="fr-CA"/>
        </w:rPr>
        <w:t xml:space="preserve">. </w:t>
      </w:r>
      <w:r w:rsidR="004C1D16" w:rsidRPr="00B3274C">
        <w:rPr>
          <w:lang w:val="fr-CA"/>
        </w:rPr>
        <w:t>Depuis 2002</w:t>
      </w:r>
      <w:r w:rsidR="0080611A">
        <w:rPr>
          <w:lang w:val="fr-CA"/>
        </w:rPr>
        <w:t>,</w:t>
      </w:r>
      <w:r w:rsidR="004C1D16" w:rsidRPr="00B3274C">
        <w:rPr>
          <w:lang w:val="fr-CA"/>
        </w:rPr>
        <w:t xml:space="preserve"> </w:t>
      </w:r>
      <w:r w:rsidR="00B53F6A">
        <w:rPr>
          <w:lang w:val="fr-CA"/>
        </w:rPr>
        <w:t>94</w:t>
      </w:r>
      <w:r w:rsidR="0080611A">
        <w:rPr>
          <w:lang w:val="fr-CA"/>
        </w:rPr>
        <w:t>,</w:t>
      </w:r>
      <w:r w:rsidR="00B53F6A">
        <w:rPr>
          <w:lang w:val="fr-CA"/>
        </w:rPr>
        <w:t> 9 millions</w:t>
      </w:r>
      <w:r w:rsidR="004C1D16" w:rsidRPr="00B3274C">
        <w:rPr>
          <w:lang w:val="fr-CA"/>
        </w:rPr>
        <w:t xml:space="preserve"> d</w:t>
      </w:r>
      <w:r w:rsidR="0080611A">
        <w:rPr>
          <w:lang w:val="fr-CA"/>
        </w:rPr>
        <w:t>’</w:t>
      </w:r>
      <w:r w:rsidR="004C1D16" w:rsidRPr="00B3274C">
        <w:rPr>
          <w:lang w:val="fr-CA"/>
        </w:rPr>
        <w:t>euros ont été imputés sur le budget de l</w:t>
      </w:r>
      <w:r w:rsidR="0080611A">
        <w:rPr>
          <w:lang w:val="fr-CA"/>
        </w:rPr>
        <w:t>’</w:t>
      </w:r>
      <w:r w:rsidR="004C1D16" w:rsidRPr="00B3274C">
        <w:rPr>
          <w:lang w:val="fr-CA"/>
        </w:rPr>
        <w:t>État pour l</w:t>
      </w:r>
      <w:r w:rsidR="0080611A">
        <w:rPr>
          <w:lang w:val="fr-CA"/>
        </w:rPr>
        <w:t>’</w:t>
      </w:r>
      <w:r w:rsidR="004C1D16" w:rsidRPr="00B3274C">
        <w:rPr>
          <w:lang w:val="fr-CA"/>
        </w:rPr>
        <w:t>installation d</w:t>
      </w:r>
      <w:r w:rsidR="0080611A">
        <w:rPr>
          <w:lang w:val="fr-CA"/>
        </w:rPr>
        <w:t>’</w:t>
      </w:r>
      <w:r w:rsidR="004C1D16" w:rsidRPr="00B3274C">
        <w:rPr>
          <w:lang w:val="fr-CA"/>
        </w:rPr>
        <w:t>infrastructures de base dans plusieurs campements roms. Jusqu</w:t>
      </w:r>
      <w:r w:rsidR="0080611A">
        <w:rPr>
          <w:lang w:val="fr-CA"/>
        </w:rPr>
        <w:t>’</w:t>
      </w:r>
      <w:r w:rsidR="004C1D16" w:rsidRPr="00B3274C">
        <w:rPr>
          <w:lang w:val="fr-CA"/>
        </w:rPr>
        <w:t>à présent</w:t>
      </w:r>
      <w:r w:rsidR="0080611A">
        <w:rPr>
          <w:lang w:val="fr-CA"/>
        </w:rPr>
        <w:t>,</w:t>
      </w:r>
      <w:r w:rsidR="004C1D16" w:rsidRPr="00B3274C">
        <w:rPr>
          <w:lang w:val="fr-CA"/>
        </w:rPr>
        <w:t xml:space="preserve"> 57</w:t>
      </w:r>
      <w:r w:rsidR="00E96E1C">
        <w:rPr>
          <w:lang w:val="fr-CA"/>
        </w:rPr>
        <w:t> </w:t>
      </w:r>
      <w:r w:rsidR="004C1D16" w:rsidRPr="00B3274C">
        <w:rPr>
          <w:lang w:val="fr-CA"/>
        </w:rPr>
        <w:t>58</w:t>
      </w:r>
      <w:r w:rsidR="00E96E1C">
        <w:rPr>
          <w:lang w:val="fr-CA"/>
        </w:rPr>
        <w:t>0 000 d’</w:t>
      </w:r>
      <w:r w:rsidR="004C1D16" w:rsidRPr="00B3274C">
        <w:rPr>
          <w:lang w:val="fr-CA"/>
        </w:rPr>
        <w:t>euros ont été consacrés à des travaux d</w:t>
      </w:r>
      <w:r w:rsidR="0080611A">
        <w:rPr>
          <w:lang w:val="fr-CA"/>
        </w:rPr>
        <w:t>’</w:t>
      </w:r>
      <w:r w:rsidR="004C1D16" w:rsidRPr="00B3274C">
        <w:rPr>
          <w:lang w:val="fr-CA"/>
        </w:rPr>
        <w:t xml:space="preserve">infrastructure. </w:t>
      </w:r>
    </w:p>
    <w:p w:rsidR="00FB23D3" w:rsidRPr="00B3274C" w:rsidRDefault="00107A47" w:rsidP="00107A47">
      <w:pPr>
        <w:pStyle w:val="SingleTxtG"/>
        <w:rPr>
          <w:lang w:val="fr-CA"/>
        </w:rPr>
      </w:pPr>
      <w:r w:rsidRPr="00B3274C">
        <w:rPr>
          <w:lang w:val="fr-CA"/>
        </w:rPr>
        <w:t>194.</w:t>
      </w:r>
      <w:r w:rsidRPr="00B3274C">
        <w:rPr>
          <w:lang w:val="fr-CA"/>
        </w:rPr>
        <w:tab/>
      </w:r>
      <w:r w:rsidR="004C1D16" w:rsidRPr="00B3274C">
        <w:rPr>
          <w:lang w:val="fr-CA"/>
        </w:rPr>
        <w:t>Par ailleurs</w:t>
      </w:r>
      <w:r w:rsidR="0080611A">
        <w:rPr>
          <w:lang w:val="fr-CA"/>
        </w:rPr>
        <w:t>,</w:t>
      </w:r>
      <w:r w:rsidR="004C1D16" w:rsidRPr="00B3274C">
        <w:rPr>
          <w:lang w:val="fr-CA"/>
        </w:rPr>
        <w:t xml:space="preserve"> les conditions de vie des Roms ont été améliorées</w:t>
      </w:r>
      <w:r w:rsidR="004776A2" w:rsidRPr="00B3274C">
        <w:rPr>
          <w:lang w:val="fr-CA"/>
        </w:rPr>
        <w:t xml:space="preserve"> grâce à</w:t>
      </w:r>
      <w:r w:rsidR="004C1D16" w:rsidRPr="00B3274C">
        <w:rPr>
          <w:lang w:val="fr-CA"/>
        </w:rPr>
        <w:t xml:space="preserve"> de</w:t>
      </w:r>
      <w:r w:rsidR="002C5396" w:rsidRPr="00B3274C">
        <w:rPr>
          <w:lang w:val="fr-CA"/>
        </w:rPr>
        <w:t>s</w:t>
      </w:r>
      <w:r w:rsidR="004C1D16" w:rsidRPr="00B3274C">
        <w:rPr>
          <w:lang w:val="fr-CA"/>
        </w:rPr>
        <w:t xml:space="preserve"> services prévus par le Plan d</w:t>
      </w:r>
      <w:r w:rsidR="0080611A">
        <w:rPr>
          <w:lang w:val="fr-CA"/>
        </w:rPr>
        <w:t>’</w:t>
      </w:r>
      <w:r w:rsidR="004C1D16" w:rsidRPr="00B3274C">
        <w:rPr>
          <w:lang w:val="fr-CA"/>
        </w:rPr>
        <w:t>action intégré</w:t>
      </w:r>
      <w:r w:rsidR="0080611A">
        <w:rPr>
          <w:lang w:val="fr-CA"/>
        </w:rPr>
        <w:t>,</w:t>
      </w:r>
      <w:r w:rsidR="004C1D16" w:rsidRPr="00B3274C">
        <w:rPr>
          <w:lang w:val="fr-CA"/>
        </w:rPr>
        <w:t xml:space="preserve"> notamment l</w:t>
      </w:r>
      <w:r w:rsidR="0080611A">
        <w:rPr>
          <w:lang w:val="fr-CA"/>
        </w:rPr>
        <w:t>’</w:t>
      </w:r>
      <w:r w:rsidR="004C1D16" w:rsidRPr="00B3274C">
        <w:rPr>
          <w:lang w:val="fr-CA"/>
        </w:rPr>
        <w:t>ouverture de 33 centres médico-sociaux</w:t>
      </w:r>
      <w:r w:rsidR="0080611A">
        <w:rPr>
          <w:lang w:val="fr-CA"/>
        </w:rPr>
        <w:t>,</w:t>
      </w:r>
      <w:r w:rsidR="004C1D16" w:rsidRPr="00B3274C">
        <w:rPr>
          <w:lang w:val="fr-CA"/>
        </w:rPr>
        <w:t xml:space="preserve"> qui fournissent aux Roms un certain nombre de services en matière de conseil</w:t>
      </w:r>
      <w:r w:rsidR="005249A0" w:rsidRPr="00B3274C">
        <w:rPr>
          <w:lang w:val="fr-CA"/>
        </w:rPr>
        <w:t>s</w:t>
      </w:r>
      <w:r w:rsidR="0080611A">
        <w:rPr>
          <w:lang w:val="fr-CA"/>
        </w:rPr>
        <w:t>,</w:t>
      </w:r>
      <w:r w:rsidR="004C1D16" w:rsidRPr="00B3274C">
        <w:rPr>
          <w:lang w:val="fr-CA"/>
        </w:rPr>
        <w:t xml:space="preserve"> de planification familiale</w:t>
      </w:r>
      <w:r w:rsidR="0080611A">
        <w:rPr>
          <w:lang w:val="fr-CA"/>
        </w:rPr>
        <w:t>,</w:t>
      </w:r>
      <w:r w:rsidR="004C1D16" w:rsidRPr="00B3274C">
        <w:rPr>
          <w:lang w:val="fr-CA"/>
        </w:rPr>
        <w:t xml:space="preserve"> </w:t>
      </w:r>
      <w:r w:rsidR="005249A0" w:rsidRPr="00B3274C">
        <w:rPr>
          <w:lang w:val="fr-CA"/>
        </w:rPr>
        <w:t>de soins de santé primaire</w:t>
      </w:r>
      <w:r w:rsidR="0080611A">
        <w:rPr>
          <w:lang w:val="fr-CA"/>
        </w:rPr>
        <w:t>,</w:t>
      </w:r>
      <w:r w:rsidR="005249A0" w:rsidRPr="00B3274C">
        <w:rPr>
          <w:lang w:val="fr-CA"/>
        </w:rPr>
        <w:t xml:space="preserve"> en particulier à l</w:t>
      </w:r>
      <w:r w:rsidR="0080611A">
        <w:rPr>
          <w:lang w:val="fr-CA"/>
        </w:rPr>
        <w:t>’</w:t>
      </w:r>
      <w:r w:rsidR="005249A0" w:rsidRPr="00B3274C">
        <w:rPr>
          <w:lang w:val="fr-CA"/>
        </w:rPr>
        <w:t>intention des femmes et des enfants</w:t>
      </w:r>
      <w:r w:rsidR="0080611A">
        <w:rPr>
          <w:lang w:val="fr-CA"/>
        </w:rPr>
        <w:t>,</w:t>
      </w:r>
      <w:r w:rsidR="005249A0" w:rsidRPr="00B3274C">
        <w:rPr>
          <w:lang w:val="fr-CA"/>
        </w:rPr>
        <w:t xml:space="preserve"> de médiation avec l</w:t>
      </w:r>
      <w:r w:rsidR="0080611A">
        <w:rPr>
          <w:lang w:val="fr-CA"/>
        </w:rPr>
        <w:t>’</w:t>
      </w:r>
      <w:r w:rsidR="005249A0" w:rsidRPr="00B3274C">
        <w:rPr>
          <w:lang w:val="fr-CA"/>
        </w:rPr>
        <w:t>administration pour régler divers problèmes (y compris concernant des questions civiles et municipales) et d</w:t>
      </w:r>
      <w:r w:rsidR="0080611A">
        <w:rPr>
          <w:lang w:val="fr-CA"/>
        </w:rPr>
        <w:t>’</w:t>
      </w:r>
      <w:r w:rsidR="005249A0" w:rsidRPr="00B3274C">
        <w:rPr>
          <w:lang w:val="fr-CA"/>
        </w:rPr>
        <w:t xml:space="preserve">orientation professionnelle. </w:t>
      </w:r>
    </w:p>
    <w:p w:rsidR="00FB23D3" w:rsidRPr="00B3274C" w:rsidRDefault="00107A47" w:rsidP="00107A47">
      <w:pPr>
        <w:pStyle w:val="SingleTxtG"/>
        <w:rPr>
          <w:lang w:val="fr-CA"/>
        </w:rPr>
      </w:pPr>
      <w:r w:rsidRPr="00B3274C">
        <w:rPr>
          <w:lang w:val="fr-CA"/>
        </w:rPr>
        <w:t>195.</w:t>
      </w:r>
      <w:r w:rsidRPr="00B3274C">
        <w:rPr>
          <w:lang w:val="fr-CA"/>
        </w:rPr>
        <w:tab/>
      </w:r>
      <w:r w:rsidR="00C8088E" w:rsidRPr="00B3274C">
        <w:rPr>
          <w:lang w:val="fr-CA"/>
        </w:rPr>
        <w:t>En parallèle</w:t>
      </w:r>
      <w:r w:rsidR="0080611A">
        <w:rPr>
          <w:lang w:val="fr-CA"/>
        </w:rPr>
        <w:t>,</w:t>
      </w:r>
      <w:r w:rsidR="007B7373" w:rsidRPr="00B3274C">
        <w:rPr>
          <w:lang w:val="fr-CA"/>
        </w:rPr>
        <w:t xml:space="preserve"> des questions de rénovation non autorisée dans le cadre des infrastructures prévues par le Plan d</w:t>
      </w:r>
      <w:r w:rsidR="0080611A">
        <w:rPr>
          <w:lang w:val="fr-CA"/>
        </w:rPr>
        <w:t>’</w:t>
      </w:r>
      <w:r w:rsidR="007B7373" w:rsidRPr="00B3274C">
        <w:rPr>
          <w:lang w:val="fr-CA"/>
        </w:rPr>
        <w:t>action intégré ont donné lieu en 2002 à l</w:t>
      </w:r>
      <w:r w:rsidR="0080611A">
        <w:rPr>
          <w:lang w:val="fr-CA"/>
        </w:rPr>
        <w:t>’</w:t>
      </w:r>
      <w:r w:rsidR="007B7373" w:rsidRPr="00B3274C">
        <w:rPr>
          <w:lang w:val="fr-CA"/>
        </w:rPr>
        <w:t>adoption d</w:t>
      </w:r>
      <w:r w:rsidR="0080611A">
        <w:rPr>
          <w:lang w:val="fr-CA"/>
        </w:rPr>
        <w:t>’</w:t>
      </w:r>
      <w:r w:rsidR="007B7373" w:rsidRPr="00B3274C">
        <w:rPr>
          <w:lang w:val="fr-CA"/>
        </w:rPr>
        <w:t>un programme de prêts hypothécaires en faveur des Roms grecs.</w:t>
      </w:r>
      <w:r w:rsidR="00A0448F" w:rsidRPr="00B3274C">
        <w:rPr>
          <w:lang w:val="fr-CA"/>
        </w:rPr>
        <w:t xml:space="preserve"> Ce programme de prêts consentis à des conditions favorables et garantis par le budget de l</w:t>
      </w:r>
      <w:r w:rsidR="0080611A">
        <w:rPr>
          <w:lang w:val="fr-CA"/>
        </w:rPr>
        <w:t>’</w:t>
      </w:r>
      <w:r w:rsidR="00A0448F" w:rsidRPr="00B3274C">
        <w:rPr>
          <w:lang w:val="fr-CA"/>
        </w:rPr>
        <w:t xml:space="preserve">État </w:t>
      </w:r>
      <w:r w:rsidR="009670B2" w:rsidRPr="00B3274C">
        <w:rPr>
          <w:lang w:val="fr-CA"/>
        </w:rPr>
        <w:t xml:space="preserve">concernait en particulier </w:t>
      </w:r>
      <w:r w:rsidR="00A0448F" w:rsidRPr="00B3274C">
        <w:rPr>
          <w:lang w:val="fr-CA"/>
        </w:rPr>
        <w:t>9</w:t>
      </w:r>
      <w:r w:rsidR="00B53F6A">
        <w:rPr>
          <w:lang w:val="fr-CA"/>
        </w:rPr>
        <w:t> </w:t>
      </w:r>
      <w:r w:rsidR="00A0448F" w:rsidRPr="00B3274C">
        <w:rPr>
          <w:lang w:val="fr-CA"/>
        </w:rPr>
        <w:t>000 familles roms</w:t>
      </w:r>
      <w:r w:rsidR="00FB23D3" w:rsidRPr="00B3274C">
        <w:rPr>
          <w:lang w:val="fr-CA"/>
        </w:rPr>
        <w:t xml:space="preserve">. </w:t>
      </w:r>
      <w:r w:rsidR="00A0448F" w:rsidRPr="00B3274C">
        <w:rPr>
          <w:lang w:val="fr-CA"/>
        </w:rPr>
        <w:t>Jusqu</w:t>
      </w:r>
      <w:r w:rsidR="0080611A">
        <w:rPr>
          <w:lang w:val="fr-CA"/>
        </w:rPr>
        <w:t>’</w:t>
      </w:r>
      <w:r w:rsidR="00A0448F" w:rsidRPr="00B3274C">
        <w:rPr>
          <w:lang w:val="fr-CA"/>
        </w:rPr>
        <w:t>à présent</w:t>
      </w:r>
      <w:r w:rsidR="0080611A">
        <w:rPr>
          <w:lang w:val="fr-CA"/>
        </w:rPr>
        <w:t>,</w:t>
      </w:r>
      <w:r w:rsidR="00A0448F" w:rsidRPr="00B3274C">
        <w:rPr>
          <w:lang w:val="fr-CA"/>
        </w:rPr>
        <w:t xml:space="preserve"> 7</w:t>
      </w:r>
      <w:r w:rsidR="00F36F41">
        <w:rPr>
          <w:lang w:val="fr-CA"/>
        </w:rPr>
        <w:t> </w:t>
      </w:r>
      <w:r w:rsidR="00A0448F" w:rsidRPr="00B3274C">
        <w:rPr>
          <w:lang w:val="fr-CA"/>
        </w:rPr>
        <w:t>854 prêts ont été approuvés (87</w:t>
      </w:r>
      <w:r w:rsidR="0080611A">
        <w:rPr>
          <w:lang w:val="fr-CA"/>
        </w:rPr>
        <w:t>,</w:t>
      </w:r>
      <w:r w:rsidR="00A0448F" w:rsidRPr="00B3274C">
        <w:rPr>
          <w:lang w:val="fr-CA"/>
        </w:rPr>
        <w:t>3</w:t>
      </w:r>
      <w:r w:rsidR="0050285B">
        <w:rPr>
          <w:lang w:val="fr-CA"/>
        </w:rPr>
        <w:t> %</w:t>
      </w:r>
      <w:r w:rsidR="00A0448F" w:rsidRPr="00B3274C">
        <w:rPr>
          <w:lang w:val="fr-CA"/>
        </w:rPr>
        <w:t>) pour</w:t>
      </w:r>
      <w:r w:rsidR="006C1091" w:rsidRPr="00B3274C">
        <w:rPr>
          <w:lang w:val="fr-CA"/>
        </w:rPr>
        <w:t xml:space="preserve"> un nombre égal </w:t>
      </w:r>
      <w:r w:rsidR="00A0448F" w:rsidRPr="00B3274C">
        <w:rPr>
          <w:lang w:val="fr-CA"/>
        </w:rPr>
        <w:t xml:space="preserve">de familles roms. Le nombre de familles bénéficiaires ayant entamé ou achevé la phase de construction (grâce à des </w:t>
      </w:r>
      <w:r w:rsidR="006C1091" w:rsidRPr="00B3274C">
        <w:rPr>
          <w:lang w:val="fr-CA"/>
        </w:rPr>
        <w:t xml:space="preserve">contrats de prêts </w:t>
      </w:r>
      <w:r w:rsidR="009F3455" w:rsidRPr="00B3274C">
        <w:rPr>
          <w:lang w:val="fr-CA"/>
        </w:rPr>
        <w:t>au logement</w:t>
      </w:r>
      <w:r w:rsidR="006C1091" w:rsidRPr="00B3274C">
        <w:rPr>
          <w:lang w:val="fr-CA"/>
        </w:rPr>
        <w:t>) s</w:t>
      </w:r>
      <w:r w:rsidR="0080611A">
        <w:rPr>
          <w:lang w:val="fr-CA"/>
        </w:rPr>
        <w:t>’</w:t>
      </w:r>
      <w:r w:rsidR="006C1091" w:rsidRPr="00B3274C">
        <w:rPr>
          <w:lang w:val="fr-CA"/>
        </w:rPr>
        <w:t>élève aujourd</w:t>
      </w:r>
      <w:r w:rsidR="0080611A">
        <w:rPr>
          <w:lang w:val="fr-CA"/>
        </w:rPr>
        <w:t>’</w:t>
      </w:r>
      <w:r w:rsidR="006C1091" w:rsidRPr="00B3274C">
        <w:rPr>
          <w:lang w:val="fr-CA"/>
        </w:rPr>
        <w:t>hui à 6</w:t>
      </w:r>
      <w:r w:rsidR="00F36F41">
        <w:rPr>
          <w:lang w:val="fr-CA"/>
        </w:rPr>
        <w:t> </w:t>
      </w:r>
      <w:r w:rsidR="006C1091" w:rsidRPr="00B3274C">
        <w:rPr>
          <w:lang w:val="fr-CA"/>
        </w:rPr>
        <w:t xml:space="preserve">570 </w:t>
      </w:r>
      <w:r w:rsidR="00FB23D3" w:rsidRPr="00B3274C">
        <w:rPr>
          <w:lang w:val="fr-CA"/>
        </w:rPr>
        <w:t>(83</w:t>
      </w:r>
      <w:r w:rsidR="0080611A">
        <w:rPr>
          <w:lang w:val="fr-CA"/>
        </w:rPr>
        <w:t>,</w:t>
      </w:r>
      <w:r w:rsidR="00FB23D3" w:rsidRPr="00B3274C">
        <w:rPr>
          <w:lang w:val="fr-CA"/>
        </w:rPr>
        <w:t>7</w:t>
      </w:r>
      <w:r w:rsidR="0050285B">
        <w:rPr>
          <w:lang w:val="fr-CA"/>
        </w:rPr>
        <w:t> %</w:t>
      </w:r>
      <w:r w:rsidR="00FB23D3" w:rsidRPr="00B3274C">
        <w:rPr>
          <w:lang w:val="fr-CA"/>
        </w:rPr>
        <w:t xml:space="preserve">). </w:t>
      </w:r>
    </w:p>
    <w:p w:rsidR="00FB23D3" w:rsidRPr="00B3274C" w:rsidRDefault="00107A47" w:rsidP="00107A47">
      <w:pPr>
        <w:pStyle w:val="SingleTxtG"/>
        <w:rPr>
          <w:lang w:val="fr-CA"/>
        </w:rPr>
      </w:pPr>
      <w:r w:rsidRPr="00B3274C">
        <w:rPr>
          <w:lang w:val="fr-CA"/>
        </w:rPr>
        <w:t>196.</w:t>
      </w:r>
      <w:r w:rsidRPr="00B3274C">
        <w:rPr>
          <w:lang w:val="fr-CA"/>
        </w:rPr>
        <w:tab/>
      </w:r>
      <w:r w:rsidR="00190847" w:rsidRPr="00B3274C">
        <w:rPr>
          <w:lang w:val="fr-CA"/>
        </w:rPr>
        <w:t xml:space="preserve">Depuis que le </w:t>
      </w:r>
      <w:r w:rsidR="00645E89" w:rsidRPr="00B3274C">
        <w:rPr>
          <w:lang w:val="fr-CA"/>
        </w:rPr>
        <w:t>programme</w:t>
      </w:r>
      <w:r w:rsidR="00190847" w:rsidRPr="00B3274C">
        <w:rPr>
          <w:lang w:val="fr-CA"/>
        </w:rPr>
        <w:t xml:space="preserve"> a fait l</w:t>
      </w:r>
      <w:r w:rsidR="0080611A">
        <w:rPr>
          <w:lang w:val="fr-CA"/>
        </w:rPr>
        <w:t>’</w:t>
      </w:r>
      <w:r w:rsidR="00190847" w:rsidRPr="00B3274C">
        <w:rPr>
          <w:lang w:val="fr-CA"/>
        </w:rPr>
        <w:t>objet d</w:t>
      </w:r>
      <w:r w:rsidR="0080611A">
        <w:rPr>
          <w:lang w:val="fr-CA"/>
        </w:rPr>
        <w:t>’</w:t>
      </w:r>
      <w:r w:rsidR="00190847" w:rsidRPr="00B3274C">
        <w:rPr>
          <w:lang w:val="fr-CA"/>
        </w:rPr>
        <w:t>une vaste réforme législative</w:t>
      </w:r>
      <w:r w:rsidR="00190847" w:rsidRPr="00B3274C">
        <w:rPr>
          <w:rStyle w:val="FootnoteReference"/>
          <w:lang w:val="fr-CA"/>
        </w:rPr>
        <w:footnoteReference w:id="6"/>
      </w:r>
      <w:r w:rsidR="0080611A">
        <w:rPr>
          <w:lang w:val="fr-CA"/>
        </w:rPr>
        <w:t>,</w:t>
      </w:r>
      <w:r w:rsidR="00190847" w:rsidRPr="00B3274C">
        <w:rPr>
          <w:lang w:val="fr-CA"/>
        </w:rPr>
        <w:t xml:space="preserve"> </w:t>
      </w:r>
      <w:r w:rsidR="00645E89" w:rsidRPr="00B3274C">
        <w:rPr>
          <w:lang w:val="fr-CA"/>
        </w:rPr>
        <w:t>en 2006</w:t>
      </w:r>
      <w:r w:rsidR="0080611A">
        <w:rPr>
          <w:lang w:val="fr-CA"/>
        </w:rPr>
        <w:t>,</w:t>
      </w:r>
      <w:r w:rsidR="00645E89" w:rsidRPr="00B3274C">
        <w:rPr>
          <w:lang w:val="fr-CA"/>
        </w:rPr>
        <w:t xml:space="preserve"> l</w:t>
      </w:r>
      <w:r w:rsidR="0080611A">
        <w:rPr>
          <w:lang w:val="fr-CA"/>
        </w:rPr>
        <w:t>’</w:t>
      </w:r>
      <w:r w:rsidR="00645E89" w:rsidRPr="00B3274C">
        <w:rPr>
          <w:lang w:val="fr-CA"/>
        </w:rPr>
        <w:t xml:space="preserve">attribution de prêts </w:t>
      </w:r>
      <w:r w:rsidR="009F3455" w:rsidRPr="00B3274C">
        <w:rPr>
          <w:lang w:val="fr-CA"/>
        </w:rPr>
        <w:t>au logement</w:t>
      </w:r>
      <w:r w:rsidR="00645E89" w:rsidRPr="00B3274C">
        <w:rPr>
          <w:lang w:val="fr-CA"/>
        </w:rPr>
        <w:t xml:space="preserve"> est fondée sur des critères d</w:t>
      </w:r>
      <w:r w:rsidR="0080611A">
        <w:rPr>
          <w:lang w:val="fr-CA"/>
        </w:rPr>
        <w:t>’</w:t>
      </w:r>
      <w:r w:rsidR="00645E89" w:rsidRPr="00B3274C">
        <w:rPr>
          <w:lang w:val="fr-CA"/>
        </w:rPr>
        <w:t>évaluation sociale prenant en considération les conditions de vie particulières des familles roms.</w:t>
      </w:r>
      <w:r w:rsidR="00A72FD9" w:rsidRPr="00B3274C">
        <w:rPr>
          <w:lang w:val="fr-CA"/>
        </w:rPr>
        <w:t xml:space="preserve"> </w:t>
      </w:r>
      <w:r w:rsidR="00EE5104" w:rsidRPr="00B3274C">
        <w:rPr>
          <w:lang w:val="fr-CA"/>
        </w:rPr>
        <w:t>Désormais</w:t>
      </w:r>
      <w:r w:rsidR="0080611A">
        <w:rPr>
          <w:lang w:val="fr-CA"/>
        </w:rPr>
        <w:t>,</w:t>
      </w:r>
      <w:r w:rsidR="00EE5104" w:rsidRPr="00B3274C">
        <w:rPr>
          <w:lang w:val="fr-CA"/>
        </w:rPr>
        <w:t xml:space="preserve"> l</w:t>
      </w:r>
      <w:r w:rsidR="008B3DF0" w:rsidRPr="00B3274C">
        <w:rPr>
          <w:lang w:val="fr-CA"/>
        </w:rPr>
        <w:t>e</w:t>
      </w:r>
      <w:r w:rsidR="00A72FD9" w:rsidRPr="00B3274C">
        <w:rPr>
          <w:lang w:val="fr-CA"/>
        </w:rPr>
        <w:t xml:space="preserve"> </w:t>
      </w:r>
      <w:r w:rsidR="00F55630" w:rsidRPr="00B3274C">
        <w:rPr>
          <w:lang w:val="fr-CA"/>
        </w:rPr>
        <w:t>programme</w:t>
      </w:r>
      <w:r w:rsidR="00A72FD9" w:rsidRPr="00B3274C">
        <w:rPr>
          <w:lang w:val="fr-CA"/>
        </w:rPr>
        <w:t xml:space="preserve"> </w:t>
      </w:r>
      <w:r w:rsidR="008B3DF0" w:rsidRPr="00B3274C">
        <w:rPr>
          <w:lang w:val="fr-CA"/>
        </w:rPr>
        <w:t>permet</w:t>
      </w:r>
      <w:r w:rsidR="00A72FD9" w:rsidRPr="00B3274C">
        <w:rPr>
          <w:lang w:val="fr-CA"/>
        </w:rPr>
        <w:t xml:space="preserve"> en priorité</w:t>
      </w:r>
      <w:r w:rsidR="008B3DF0" w:rsidRPr="00B3274C">
        <w:rPr>
          <w:lang w:val="fr-CA"/>
        </w:rPr>
        <w:t xml:space="preserve"> </w:t>
      </w:r>
      <w:r w:rsidR="00A40A08">
        <w:rPr>
          <w:lang w:val="fr-CA"/>
        </w:rPr>
        <w:t>aux personnes</w:t>
      </w:r>
      <w:r w:rsidR="008B3DF0" w:rsidRPr="00B3274C">
        <w:rPr>
          <w:lang w:val="fr-CA"/>
        </w:rPr>
        <w:t xml:space="preserve"> qui</w:t>
      </w:r>
      <w:r w:rsidR="0080611A">
        <w:rPr>
          <w:lang w:val="fr-CA"/>
        </w:rPr>
        <w:t>,</w:t>
      </w:r>
      <w:r w:rsidR="008B3DF0" w:rsidRPr="00B3274C">
        <w:rPr>
          <w:lang w:val="fr-CA"/>
        </w:rPr>
        <w:t xml:space="preserve"> se trouvant dans une situation sociale critique</w:t>
      </w:r>
      <w:r w:rsidR="0080611A">
        <w:rPr>
          <w:lang w:val="fr-CA"/>
        </w:rPr>
        <w:t>,</w:t>
      </w:r>
      <w:r w:rsidR="008B3DF0" w:rsidRPr="00B3274C">
        <w:rPr>
          <w:lang w:val="fr-CA"/>
        </w:rPr>
        <w:t xml:space="preserve"> font l</w:t>
      </w:r>
      <w:r w:rsidR="0080611A">
        <w:rPr>
          <w:lang w:val="fr-CA"/>
        </w:rPr>
        <w:t>’</w:t>
      </w:r>
      <w:r w:rsidR="008B3DF0" w:rsidRPr="00B3274C">
        <w:rPr>
          <w:lang w:val="fr-CA"/>
        </w:rPr>
        <w:t>objet d</w:t>
      </w:r>
      <w:r w:rsidR="0080611A">
        <w:rPr>
          <w:lang w:val="fr-CA"/>
        </w:rPr>
        <w:t>’</w:t>
      </w:r>
      <w:r w:rsidR="008B3DF0" w:rsidRPr="00B3274C">
        <w:rPr>
          <w:lang w:val="fr-CA"/>
        </w:rPr>
        <w:t xml:space="preserve">une exclusion sociale </w:t>
      </w:r>
      <w:r w:rsidR="00EE5104" w:rsidRPr="00B3274C">
        <w:rPr>
          <w:lang w:val="fr-CA"/>
        </w:rPr>
        <w:t>forte</w:t>
      </w:r>
      <w:r w:rsidR="0080611A">
        <w:rPr>
          <w:lang w:val="fr-CA"/>
        </w:rPr>
        <w:t>,</w:t>
      </w:r>
      <w:r w:rsidR="00A72FD9" w:rsidRPr="00B3274C">
        <w:rPr>
          <w:lang w:val="fr-CA"/>
        </w:rPr>
        <w:t xml:space="preserve"> </w:t>
      </w:r>
      <w:r w:rsidR="008B3DF0" w:rsidRPr="00B3274C">
        <w:rPr>
          <w:lang w:val="fr-CA"/>
        </w:rPr>
        <w:t>d</w:t>
      </w:r>
      <w:r w:rsidR="0080611A">
        <w:rPr>
          <w:lang w:val="fr-CA"/>
        </w:rPr>
        <w:t>’</w:t>
      </w:r>
      <w:r w:rsidR="008B3DF0" w:rsidRPr="00B3274C">
        <w:rPr>
          <w:lang w:val="fr-CA"/>
        </w:rPr>
        <w:t xml:space="preserve">obtenir </w:t>
      </w:r>
      <w:r w:rsidR="00A72FD9" w:rsidRPr="00B3274C">
        <w:rPr>
          <w:lang w:val="fr-CA"/>
        </w:rPr>
        <w:t xml:space="preserve">un logement grâce à un prêt hypothécaire. </w:t>
      </w:r>
      <w:r w:rsidR="009B4299" w:rsidRPr="00B3274C">
        <w:rPr>
          <w:lang w:val="fr-CA"/>
        </w:rPr>
        <w:t>En effet</w:t>
      </w:r>
      <w:r w:rsidR="0080611A">
        <w:rPr>
          <w:lang w:val="fr-CA"/>
        </w:rPr>
        <w:t>,</w:t>
      </w:r>
      <w:r w:rsidR="009B4299" w:rsidRPr="00B3274C">
        <w:rPr>
          <w:lang w:val="fr-CA"/>
        </w:rPr>
        <w:t xml:space="preserve"> la nouvelle procédure prévoit l</w:t>
      </w:r>
      <w:r w:rsidR="0080611A">
        <w:rPr>
          <w:lang w:val="fr-CA"/>
        </w:rPr>
        <w:t>’</w:t>
      </w:r>
      <w:r w:rsidR="009B4299" w:rsidRPr="00B3274C">
        <w:rPr>
          <w:lang w:val="fr-CA"/>
        </w:rPr>
        <w:t>application de critères d</w:t>
      </w:r>
      <w:r w:rsidR="0080611A">
        <w:rPr>
          <w:lang w:val="fr-CA"/>
        </w:rPr>
        <w:t>’</w:t>
      </w:r>
      <w:r w:rsidR="009B4299" w:rsidRPr="00B3274C">
        <w:rPr>
          <w:lang w:val="fr-CA"/>
        </w:rPr>
        <w:t xml:space="preserve">évaluation sociale donnant la priorité au nombre </w:t>
      </w:r>
      <w:r w:rsidR="00614BAC">
        <w:rPr>
          <w:lang w:val="fr-CA"/>
        </w:rPr>
        <w:t>de personnes</w:t>
      </w:r>
      <w:r w:rsidR="009B4299" w:rsidRPr="00B3274C">
        <w:rPr>
          <w:lang w:val="fr-CA"/>
        </w:rPr>
        <w:t xml:space="preserve"> à charge </w:t>
      </w:r>
      <w:r w:rsidR="00313350" w:rsidRPr="00B3274C">
        <w:rPr>
          <w:lang w:val="fr-CA"/>
        </w:rPr>
        <w:t>des</w:t>
      </w:r>
      <w:r w:rsidR="009B4299" w:rsidRPr="00B3274C">
        <w:rPr>
          <w:lang w:val="fr-CA"/>
        </w:rPr>
        <w:t xml:space="preserve"> familles candidates (enfants mineurs</w:t>
      </w:r>
      <w:r w:rsidR="0080611A">
        <w:rPr>
          <w:lang w:val="fr-CA"/>
        </w:rPr>
        <w:t>,</w:t>
      </w:r>
      <w:r w:rsidR="009B4299" w:rsidRPr="00B3274C">
        <w:rPr>
          <w:lang w:val="fr-CA"/>
        </w:rPr>
        <w:t xml:space="preserve"> étudiants adultes</w:t>
      </w:r>
      <w:r w:rsidR="0080611A">
        <w:rPr>
          <w:lang w:val="fr-CA"/>
        </w:rPr>
        <w:t>,</w:t>
      </w:r>
      <w:r w:rsidR="00F36F41">
        <w:rPr>
          <w:lang w:val="fr-CA"/>
        </w:rPr>
        <w:t xml:space="preserve"> </w:t>
      </w:r>
      <w:r w:rsidR="00614BAC">
        <w:rPr>
          <w:lang w:val="fr-CA"/>
        </w:rPr>
        <w:t>personnes</w:t>
      </w:r>
      <w:r w:rsidR="009B4299" w:rsidRPr="00B3274C">
        <w:rPr>
          <w:lang w:val="fr-CA"/>
        </w:rPr>
        <w:t xml:space="preserve"> à charge</w:t>
      </w:r>
      <w:r w:rsidR="00F47BAE">
        <w:rPr>
          <w:lang w:val="fr-CA"/>
        </w:rPr>
        <w:t xml:space="preserve"> – </w:t>
      </w:r>
      <w:r w:rsidR="009B4299" w:rsidRPr="00B3274C">
        <w:rPr>
          <w:lang w:val="fr-CA"/>
        </w:rPr>
        <w:t>parents au premier degré</w:t>
      </w:r>
      <w:r w:rsidR="00FB23D3" w:rsidRPr="00B3274C">
        <w:rPr>
          <w:lang w:val="fr-CA"/>
        </w:rPr>
        <w:t>)</w:t>
      </w:r>
      <w:r w:rsidR="0080611A">
        <w:rPr>
          <w:lang w:val="fr-CA"/>
        </w:rPr>
        <w:t>,</w:t>
      </w:r>
      <w:r w:rsidR="0055418C" w:rsidRPr="00B3274C">
        <w:rPr>
          <w:lang w:val="fr-CA"/>
        </w:rPr>
        <w:t xml:space="preserve"> </w:t>
      </w:r>
      <w:r w:rsidR="008B32F8" w:rsidRPr="00B3274C">
        <w:rPr>
          <w:lang w:val="fr-CA"/>
        </w:rPr>
        <w:t>à l</w:t>
      </w:r>
      <w:r w:rsidR="0080611A">
        <w:rPr>
          <w:lang w:val="fr-CA"/>
        </w:rPr>
        <w:t>’</w:t>
      </w:r>
      <w:r w:rsidR="009B4299" w:rsidRPr="00B3274C">
        <w:rPr>
          <w:lang w:val="fr-CA"/>
        </w:rPr>
        <w:t>éventuelle existence de handicaps</w:t>
      </w:r>
      <w:r w:rsidR="0080611A">
        <w:rPr>
          <w:lang w:val="fr-CA"/>
        </w:rPr>
        <w:t>,</w:t>
      </w:r>
      <w:r w:rsidR="009B4299" w:rsidRPr="00B3274C">
        <w:rPr>
          <w:lang w:val="fr-CA"/>
        </w:rPr>
        <w:t xml:space="preserve"> </w:t>
      </w:r>
      <w:r w:rsidR="008B32F8" w:rsidRPr="00B3274C">
        <w:rPr>
          <w:lang w:val="fr-CA"/>
        </w:rPr>
        <w:t xml:space="preserve">aux </w:t>
      </w:r>
      <w:r w:rsidR="009B4299" w:rsidRPr="00B3274C">
        <w:rPr>
          <w:lang w:val="fr-CA"/>
        </w:rPr>
        <w:t>familles monoparentales</w:t>
      </w:r>
      <w:r w:rsidR="0080611A">
        <w:rPr>
          <w:lang w:val="fr-CA"/>
        </w:rPr>
        <w:t>,</w:t>
      </w:r>
      <w:r w:rsidR="009B4299" w:rsidRPr="00B3274C">
        <w:rPr>
          <w:lang w:val="fr-CA"/>
        </w:rPr>
        <w:t xml:space="preserve"> </w:t>
      </w:r>
      <w:r w:rsidR="008B32F8" w:rsidRPr="00B3274C">
        <w:rPr>
          <w:lang w:val="fr-CA"/>
        </w:rPr>
        <w:t xml:space="preserve">aux </w:t>
      </w:r>
      <w:r w:rsidR="009B4299" w:rsidRPr="00B3274C">
        <w:rPr>
          <w:lang w:val="fr-CA"/>
        </w:rPr>
        <w:t xml:space="preserve">familles monoparentales par veuvage </w:t>
      </w:r>
      <w:r w:rsidR="008B32F8" w:rsidRPr="00B3274C">
        <w:rPr>
          <w:lang w:val="fr-CA"/>
        </w:rPr>
        <w:t>et</w:t>
      </w:r>
      <w:r w:rsidR="009B4299" w:rsidRPr="00B3274C">
        <w:rPr>
          <w:lang w:val="fr-CA"/>
        </w:rPr>
        <w:t xml:space="preserve"> </w:t>
      </w:r>
      <w:r w:rsidR="00690FAD" w:rsidRPr="00B3274C">
        <w:rPr>
          <w:lang w:val="fr-CA"/>
        </w:rPr>
        <w:t xml:space="preserve">aux familles à </w:t>
      </w:r>
      <w:r w:rsidR="009B4299" w:rsidRPr="00B3274C">
        <w:rPr>
          <w:lang w:val="fr-CA"/>
        </w:rPr>
        <w:t>faible revenu.</w:t>
      </w:r>
      <w:r w:rsidR="0055418C" w:rsidRPr="00B3274C">
        <w:rPr>
          <w:lang w:val="fr-CA"/>
        </w:rPr>
        <w:t xml:space="preserve"> </w:t>
      </w:r>
      <w:r w:rsidR="00C30F26" w:rsidRPr="00B3274C">
        <w:rPr>
          <w:lang w:val="fr-CA"/>
        </w:rPr>
        <w:t>En même temps</w:t>
      </w:r>
      <w:r w:rsidR="0080611A">
        <w:rPr>
          <w:lang w:val="fr-CA"/>
        </w:rPr>
        <w:t>,</w:t>
      </w:r>
      <w:r w:rsidR="00C30F26" w:rsidRPr="00B3274C">
        <w:rPr>
          <w:lang w:val="fr-CA"/>
        </w:rPr>
        <w:t xml:space="preserve"> prenant en compte les difficultés pratiques que </w:t>
      </w:r>
      <w:r w:rsidR="00826E70" w:rsidRPr="00B3274C">
        <w:rPr>
          <w:lang w:val="fr-CA"/>
        </w:rPr>
        <w:t>rencontrent les</w:t>
      </w:r>
      <w:r w:rsidR="00C30F26" w:rsidRPr="00B3274C">
        <w:rPr>
          <w:lang w:val="fr-CA"/>
        </w:rPr>
        <w:t xml:space="preserve"> Roms </w:t>
      </w:r>
      <w:r w:rsidR="00826E70" w:rsidRPr="00B3274C">
        <w:rPr>
          <w:lang w:val="fr-CA"/>
        </w:rPr>
        <w:t xml:space="preserve">pour avoir un accès effectif </w:t>
      </w:r>
      <w:r w:rsidR="00C30F26" w:rsidRPr="00B3274C">
        <w:rPr>
          <w:lang w:val="fr-CA"/>
        </w:rPr>
        <w:t>aux autorités publiques et aux services fournis par celles-ci</w:t>
      </w:r>
      <w:r w:rsidR="0080611A">
        <w:rPr>
          <w:lang w:val="fr-CA"/>
        </w:rPr>
        <w:t>,</w:t>
      </w:r>
      <w:r w:rsidR="00C30F26" w:rsidRPr="00B3274C">
        <w:rPr>
          <w:lang w:val="fr-CA"/>
        </w:rPr>
        <w:t xml:space="preserve"> le cadre institutionnel en vigueur a éliminé</w:t>
      </w:r>
      <w:r w:rsidR="0090649A" w:rsidRPr="00B3274C">
        <w:rPr>
          <w:lang w:val="fr-CA"/>
        </w:rPr>
        <w:t xml:space="preserve"> le critère de résidence permanente auquel les candidats devaient satisfaire</w:t>
      </w:r>
      <w:r w:rsidR="00C30F26" w:rsidRPr="00B3274C">
        <w:rPr>
          <w:lang w:val="fr-CA"/>
        </w:rPr>
        <w:t xml:space="preserve"> </w:t>
      </w:r>
      <w:r w:rsidR="0090649A" w:rsidRPr="00B3274C">
        <w:rPr>
          <w:lang w:val="fr-CA"/>
        </w:rPr>
        <w:t>et</w:t>
      </w:r>
      <w:r w:rsidR="00DF56D7" w:rsidRPr="00B3274C">
        <w:rPr>
          <w:lang w:val="fr-CA"/>
        </w:rPr>
        <w:t xml:space="preserve"> </w:t>
      </w:r>
      <w:r w:rsidR="003768B4" w:rsidRPr="00B3274C">
        <w:rPr>
          <w:lang w:val="fr-CA"/>
        </w:rPr>
        <w:t xml:space="preserve">fixé </w:t>
      </w:r>
      <w:r w:rsidR="0090649A" w:rsidRPr="00B3274C">
        <w:rPr>
          <w:lang w:val="fr-CA"/>
        </w:rPr>
        <w:t xml:space="preserve">les conditions des </w:t>
      </w:r>
      <w:r w:rsidR="00357367" w:rsidRPr="00B3274C">
        <w:rPr>
          <w:lang w:val="fr-CA"/>
        </w:rPr>
        <w:t>modalités</w:t>
      </w:r>
      <w:r w:rsidR="0090649A" w:rsidRPr="00B3274C">
        <w:rPr>
          <w:lang w:val="fr-CA"/>
        </w:rPr>
        <w:t xml:space="preserve"> de participation </w:t>
      </w:r>
      <w:r w:rsidR="004A18DC" w:rsidRPr="00B3274C">
        <w:rPr>
          <w:lang w:val="fr-CA"/>
        </w:rPr>
        <w:t>pendant</w:t>
      </w:r>
      <w:r w:rsidR="0090649A" w:rsidRPr="00B3274C">
        <w:rPr>
          <w:lang w:val="fr-CA"/>
        </w:rPr>
        <w:t xml:space="preserve"> la procédure d</w:t>
      </w:r>
      <w:r w:rsidR="0080611A">
        <w:rPr>
          <w:lang w:val="fr-CA"/>
        </w:rPr>
        <w:t>’</w:t>
      </w:r>
      <w:r w:rsidR="0090649A" w:rsidRPr="00B3274C">
        <w:rPr>
          <w:lang w:val="fr-CA"/>
        </w:rPr>
        <w:t>évaluation (comités d</w:t>
      </w:r>
      <w:r w:rsidR="0080611A">
        <w:rPr>
          <w:lang w:val="fr-CA"/>
        </w:rPr>
        <w:t>’</w:t>
      </w:r>
      <w:r w:rsidR="0090649A" w:rsidRPr="00B3274C">
        <w:rPr>
          <w:lang w:val="fr-CA"/>
        </w:rPr>
        <w:t xml:space="preserve">évaluation au niveau local avec la participation de représentants roms). </w:t>
      </w:r>
      <w:r w:rsidR="00DF56D7" w:rsidRPr="00B3274C">
        <w:rPr>
          <w:lang w:val="fr-CA"/>
        </w:rPr>
        <w:t xml:space="preserve">Le programme </w:t>
      </w:r>
      <w:r w:rsidR="005176C1" w:rsidRPr="00B3274C">
        <w:rPr>
          <w:lang w:val="fr-CA"/>
        </w:rPr>
        <w:t>a été une nouvelle fois modifié</w:t>
      </w:r>
      <w:r w:rsidR="00DF56D7" w:rsidRPr="00B3274C">
        <w:rPr>
          <w:lang w:val="fr-CA"/>
        </w:rPr>
        <w:t xml:space="preserve"> en 2011 compte tenu de l</w:t>
      </w:r>
      <w:r w:rsidR="0080611A">
        <w:rPr>
          <w:lang w:val="fr-CA"/>
        </w:rPr>
        <w:t>’</w:t>
      </w:r>
      <w:r w:rsidR="00DF56D7" w:rsidRPr="00B3274C">
        <w:rPr>
          <w:lang w:val="fr-CA"/>
        </w:rPr>
        <w:t>évolution de la situation socio-économique</w:t>
      </w:r>
      <w:r w:rsidR="0080611A">
        <w:rPr>
          <w:lang w:val="fr-CA"/>
        </w:rPr>
        <w:t>,</w:t>
      </w:r>
      <w:r w:rsidR="00DF56D7" w:rsidRPr="00B3274C">
        <w:rPr>
          <w:lang w:val="fr-CA"/>
        </w:rPr>
        <w:t xml:space="preserve"> pour</w:t>
      </w:r>
      <w:r w:rsidR="00C65F37" w:rsidRPr="00B3274C">
        <w:rPr>
          <w:lang w:val="fr-CA"/>
        </w:rPr>
        <w:t xml:space="preserve"> offrir </w:t>
      </w:r>
      <w:r w:rsidR="00DF56D7" w:rsidRPr="00B3274C">
        <w:rPr>
          <w:lang w:val="fr-CA"/>
        </w:rPr>
        <w:t>aux bénéficiaires roms</w:t>
      </w:r>
      <w:r w:rsidR="0080611A">
        <w:rPr>
          <w:lang w:val="fr-CA"/>
        </w:rPr>
        <w:t>,</w:t>
      </w:r>
      <w:r w:rsidR="00DF56D7" w:rsidRPr="00B3274C">
        <w:rPr>
          <w:lang w:val="fr-CA"/>
        </w:rPr>
        <w:t xml:space="preserve"> entre autres</w:t>
      </w:r>
      <w:r w:rsidR="0080611A">
        <w:rPr>
          <w:lang w:val="fr-CA"/>
        </w:rPr>
        <w:t>,</w:t>
      </w:r>
      <w:r w:rsidR="00DF56D7" w:rsidRPr="00B3274C">
        <w:rPr>
          <w:lang w:val="fr-CA"/>
        </w:rPr>
        <w:t xml:space="preserve"> </w:t>
      </w:r>
      <w:r w:rsidR="00C65F37" w:rsidRPr="00B3274C">
        <w:rPr>
          <w:lang w:val="fr-CA"/>
        </w:rPr>
        <w:t>des incitations financières en rapport avec le remboursement des prêts et des subventions de l</w:t>
      </w:r>
      <w:r w:rsidR="0080611A">
        <w:rPr>
          <w:lang w:val="fr-CA"/>
        </w:rPr>
        <w:t>’</w:t>
      </w:r>
      <w:r w:rsidR="00C65F37" w:rsidRPr="00B3274C">
        <w:rPr>
          <w:lang w:val="fr-CA"/>
        </w:rPr>
        <w:t>État</w:t>
      </w:r>
      <w:r w:rsidR="0080611A">
        <w:rPr>
          <w:lang w:val="fr-CA"/>
        </w:rPr>
        <w:t>,</w:t>
      </w:r>
      <w:r w:rsidR="00C65F37" w:rsidRPr="00B3274C">
        <w:rPr>
          <w:lang w:val="fr-CA"/>
        </w:rPr>
        <w:t xml:space="preserve"> un calendrier plus</w:t>
      </w:r>
      <w:r w:rsidR="00EC55B6" w:rsidRPr="00B3274C">
        <w:rPr>
          <w:lang w:val="fr-CA"/>
        </w:rPr>
        <w:t xml:space="preserve"> souple pour la construction des</w:t>
      </w:r>
      <w:r w:rsidR="00C65F37" w:rsidRPr="00B3274C">
        <w:rPr>
          <w:lang w:val="fr-CA"/>
        </w:rPr>
        <w:t xml:space="preserve"> logements et le versement du prêt et la prolongation des délais pour la signature d</w:t>
      </w:r>
      <w:r w:rsidR="0080611A">
        <w:rPr>
          <w:lang w:val="fr-CA"/>
        </w:rPr>
        <w:t>’</w:t>
      </w:r>
      <w:r w:rsidR="00C65F37" w:rsidRPr="00B3274C">
        <w:rPr>
          <w:lang w:val="fr-CA"/>
        </w:rPr>
        <w:t xml:space="preserve">un contrat de prêt avec une banque. </w:t>
      </w:r>
      <w:r w:rsidR="00771049" w:rsidRPr="00B3274C">
        <w:rPr>
          <w:lang w:val="fr-CA"/>
        </w:rPr>
        <w:t>Des modific</w:t>
      </w:r>
      <w:r w:rsidR="00A03F1D" w:rsidRPr="00B3274C">
        <w:rPr>
          <w:lang w:val="fr-CA"/>
        </w:rPr>
        <w:t xml:space="preserve">ations supplémentaires </w:t>
      </w:r>
      <w:r w:rsidR="00EC55B6" w:rsidRPr="00B3274C">
        <w:rPr>
          <w:lang w:val="fr-CA"/>
        </w:rPr>
        <w:t>port</w:t>
      </w:r>
      <w:r w:rsidR="00A03F1D" w:rsidRPr="00B3274C">
        <w:rPr>
          <w:lang w:val="fr-CA"/>
        </w:rPr>
        <w:t>e</w:t>
      </w:r>
      <w:r w:rsidR="00771049" w:rsidRPr="00B3274C">
        <w:rPr>
          <w:lang w:val="fr-CA"/>
        </w:rPr>
        <w:t>nt sur la garantie du caractère social et l</w:t>
      </w:r>
      <w:r w:rsidR="0080611A">
        <w:rPr>
          <w:lang w:val="fr-CA"/>
        </w:rPr>
        <w:t>’</w:t>
      </w:r>
      <w:r w:rsidR="00771049" w:rsidRPr="00B3274C">
        <w:rPr>
          <w:lang w:val="fr-CA"/>
        </w:rPr>
        <w:t xml:space="preserve">étendue du programme et </w:t>
      </w:r>
      <w:r w:rsidR="00EC55B6" w:rsidRPr="00B3274C">
        <w:rPr>
          <w:lang w:val="fr-CA"/>
        </w:rPr>
        <w:t>la possibilité donnée aux</w:t>
      </w:r>
      <w:r w:rsidR="00771049" w:rsidRPr="00B3274C">
        <w:rPr>
          <w:lang w:val="fr-CA"/>
        </w:rPr>
        <w:t xml:space="preserve"> bénéficiaires d</w:t>
      </w:r>
      <w:r w:rsidR="0080611A">
        <w:rPr>
          <w:lang w:val="fr-CA"/>
        </w:rPr>
        <w:t>’</w:t>
      </w:r>
      <w:r w:rsidR="00771049" w:rsidRPr="00B3274C">
        <w:rPr>
          <w:lang w:val="fr-CA"/>
        </w:rPr>
        <w:t>être mieux à même de répondre aux obligations contractées en raison</w:t>
      </w:r>
      <w:r w:rsidR="00E108D4" w:rsidRPr="00B3274C">
        <w:rPr>
          <w:lang w:val="fr-CA"/>
        </w:rPr>
        <w:t xml:space="preserve"> du prêt hypothécaire </w:t>
      </w:r>
      <w:r w:rsidR="00771049" w:rsidRPr="00B3274C">
        <w:rPr>
          <w:lang w:val="fr-CA"/>
        </w:rPr>
        <w:t xml:space="preserve">ou pendant </w:t>
      </w:r>
      <w:r w:rsidR="00E108D4" w:rsidRPr="00B3274C">
        <w:rPr>
          <w:lang w:val="fr-CA"/>
        </w:rPr>
        <w:t>la durée de celui-ci</w:t>
      </w:r>
      <w:r w:rsidR="0080611A">
        <w:rPr>
          <w:lang w:val="fr-CA"/>
        </w:rPr>
        <w:t>,</w:t>
      </w:r>
      <w:r w:rsidR="00771049" w:rsidRPr="00B3274C">
        <w:rPr>
          <w:lang w:val="fr-CA"/>
        </w:rPr>
        <w:t xml:space="preserve"> conformément aux recommandations faites par le médiateur et aux demandes des Roms. </w:t>
      </w:r>
    </w:p>
    <w:p w:rsidR="00FB23D3" w:rsidRPr="00B3274C" w:rsidRDefault="00107A47" w:rsidP="00107A47">
      <w:pPr>
        <w:pStyle w:val="SingleTxtG"/>
        <w:rPr>
          <w:lang w:val="fr-CA"/>
        </w:rPr>
      </w:pPr>
      <w:r w:rsidRPr="00B3274C">
        <w:rPr>
          <w:lang w:val="fr-CA"/>
        </w:rPr>
        <w:t>197.</w:t>
      </w:r>
      <w:r w:rsidRPr="00B3274C">
        <w:rPr>
          <w:lang w:val="fr-CA"/>
        </w:rPr>
        <w:tab/>
      </w:r>
      <w:r w:rsidR="00E108D4" w:rsidRPr="00B3274C">
        <w:rPr>
          <w:lang w:val="fr-CA"/>
        </w:rPr>
        <w:t>Toutefois</w:t>
      </w:r>
      <w:r w:rsidR="0080611A">
        <w:rPr>
          <w:lang w:val="fr-CA"/>
        </w:rPr>
        <w:t>,</w:t>
      </w:r>
      <w:r w:rsidR="00E108D4" w:rsidRPr="00B3274C">
        <w:rPr>
          <w:lang w:val="fr-CA"/>
        </w:rPr>
        <w:t xml:space="preserve"> </w:t>
      </w:r>
      <w:r w:rsidR="00A32DD0" w:rsidRPr="00B3274C">
        <w:rPr>
          <w:lang w:val="fr-CA"/>
        </w:rPr>
        <w:t>des</w:t>
      </w:r>
      <w:r w:rsidR="00E108D4" w:rsidRPr="00B3274C">
        <w:rPr>
          <w:lang w:val="fr-CA"/>
        </w:rPr>
        <w:t xml:space="preserve"> problèmes subsistent dans (des campements éloignés ou dans) des campements </w:t>
      </w:r>
      <w:r w:rsidR="00A32DD0" w:rsidRPr="00B3274C">
        <w:rPr>
          <w:lang w:val="fr-CA"/>
        </w:rPr>
        <w:t xml:space="preserve">ne répondant pas </w:t>
      </w:r>
      <w:r w:rsidR="00FE0616" w:rsidRPr="00B3274C">
        <w:rPr>
          <w:lang w:val="fr-CA"/>
        </w:rPr>
        <w:t>à des</w:t>
      </w:r>
      <w:r w:rsidR="00A32DD0" w:rsidRPr="00B3274C">
        <w:rPr>
          <w:lang w:val="fr-CA"/>
        </w:rPr>
        <w:t xml:space="preserve"> normes</w:t>
      </w:r>
      <w:r w:rsidR="00FE0616" w:rsidRPr="00B3274C">
        <w:rPr>
          <w:lang w:val="fr-CA"/>
        </w:rPr>
        <w:t xml:space="preserve"> suffisantes</w:t>
      </w:r>
      <w:r w:rsidR="0080611A">
        <w:rPr>
          <w:lang w:val="fr-CA"/>
        </w:rPr>
        <w:t>,</w:t>
      </w:r>
      <w:r w:rsidR="00A32DD0" w:rsidRPr="00B3274C">
        <w:rPr>
          <w:lang w:val="fr-CA"/>
        </w:rPr>
        <w:t xml:space="preserve"> qu</w:t>
      </w:r>
      <w:r w:rsidR="0080611A">
        <w:rPr>
          <w:lang w:val="fr-CA"/>
        </w:rPr>
        <w:t>’</w:t>
      </w:r>
      <w:r w:rsidR="00A32DD0" w:rsidRPr="00B3274C">
        <w:rPr>
          <w:lang w:val="fr-CA"/>
        </w:rPr>
        <w:t>il importera de résoudre ainsi que l</w:t>
      </w:r>
      <w:r w:rsidR="0080611A">
        <w:rPr>
          <w:lang w:val="fr-CA"/>
        </w:rPr>
        <w:t>’</w:t>
      </w:r>
      <w:r w:rsidR="00A32DD0" w:rsidRPr="00B3274C">
        <w:rPr>
          <w:lang w:val="fr-CA"/>
        </w:rPr>
        <w:t>ont recommandé la Commission nationale des droits de l</w:t>
      </w:r>
      <w:r w:rsidR="0080611A">
        <w:rPr>
          <w:lang w:val="fr-CA"/>
        </w:rPr>
        <w:t>’</w:t>
      </w:r>
      <w:r w:rsidR="00A32DD0" w:rsidRPr="00B3274C">
        <w:rPr>
          <w:lang w:val="fr-CA"/>
        </w:rPr>
        <w:t xml:space="preserve">homme et le médiateur en fonction des fonds disponibles et en donnant la priorité aux conditions de vie et aux besoins des Roms. </w:t>
      </w:r>
    </w:p>
    <w:p w:rsidR="00FB23D3" w:rsidRPr="00B3274C" w:rsidRDefault="00107A47" w:rsidP="00107A47">
      <w:pPr>
        <w:pStyle w:val="SingleTxtG"/>
        <w:rPr>
          <w:lang w:val="fr-CA"/>
        </w:rPr>
      </w:pPr>
      <w:r w:rsidRPr="00B3274C">
        <w:rPr>
          <w:lang w:val="fr-CA"/>
        </w:rPr>
        <w:t>198.</w:t>
      </w:r>
      <w:r w:rsidRPr="00B3274C">
        <w:rPr>
          <w:lang w:val="fr-CA"/>
        </w:rPr>
        <w:tab/>
      </w:r>
      <w:r w:rsidR="00953F31" w:rsidRPr="00B3274C">
        <w:rPr>
          <w:lang w:val="fr-CA"/>
        </w:rPr>
        <w:t xml:space="preserve">À propos de </w:t>
      </w:r>
      <w:r w:rsidR="00D22D3C" w:rsidRPr="00B3274C">
        <w:rPr>
          <w:lang w:val="fr-CA"/>
        </w:rPr>
        <w:t>la nécessité de favoriser l</w:t>
      </w:r>
      <w:r w:rsidR="0080611A">
        <w:rPr>
          <w:lang w:val="fr-CA"/>
        </w:rPr>
        <w:t>’</w:t>
      </w:r>
      <w:r w:rsidR="00D22D3C" w:rsidRPr="00B3274C">
        <w:rPr>
          <w:lang w:val="fr-CA"/>
        </w:rPr>
        <w:t>égalité des sexes</w:t>
      </w:r>
      <w:r w:rsidR="0080611A">
        <w:rPr>
          <w:lang w:val="fr-CA"/>
        </w:rPr>
        <w:t>,</w:t>
      </w:r>
      <w:r w:rsidR="00534A0B" w:rsidRPr="00B3274C">
        <w:rPr>
          <w:lang w:val="fr-CA"/>
        </w:rPr>
        <w:t xml:space="preserve"> notamment </w:t>
      </w:r>
      <w:r w:rsidR="00D22D3C" w:rsidRPr="00B3274C">
        <w:rPr>
          <w:lang w:val="fr-CA"/>
        </w:rPr>
        <w:t xml:space="preserve">pour renforcer la participation des femmes roms à la vie </w:t>
      </w:r>
      <w:r w:rsidR="00534A0B" w:rsidRPr="00B3274C">
        <w:rPr>
          <w:lang w:val="fr-CA"/>
        </w:rPr>
        <w:t>publique et sociale (en accordant en particulier des crédits immobiliers prioritaires aux familles monoparentales depuis le milieu de l</w:t>
      </w:r>
      <w:r w:rsidR="0080611A">
        <w:rPr>
          <w:lang w:val="fr-CA"/>
        </w:rPr>
        <w:t>’</w:t>
      </w:r>
      <w:r w:rsidR="00944B18">
        <w:rPr>
          <w:lang w:val="fr-CA"/>
        </w:rPr>
        <w:t>année </w:t>
      </w:r>
      <w:r w:rsidR="00534A0B" w:rsidRPr="00B3274C">
        <w:rPr>
          <w:lang w:val="fr-CA"/>
        </w:rPr>
        <w:t>2006)</w:t>
      </w:r>
      <w:r w:rsidR="0080611A">
        <w:rPr>
          <w:lang w:val="fr-CA"/>
        </w:rPr>
        <w:t>,</w:t>
      </w:r>
      <w:r w:rsidR="00534A0B" w:rsidRPr="00B3274C">
        <w:rPr>
          <w:lang w:val="fr-CA"/>
        </w:rPr>
        <w:t xml:space="preserve"> les données </w:t>
      </w:r>
      <w:r w:rsidR="00953F31" w:rsidRPr="00B3274C">
        <w:rPr>
          <w:lang w:val="fr-CA"/>
        </w:rPr>
        <w:t>recueillies</w:t>
      </w:r>
      <w:r w:rsidR="00534A0B" w:rsidRPr="00B3274C">
        <w:rPr>
          <w:lang w:val="fr-CA"/>
        </w:rPr>
        <w:t xml:space="preserve"> à la fin de la première phase d</w:t>
      </w:r>
      <w:r w:rsidR="0080611A">
        <w:rPr>
          <w:lang w:val="fr-CA"/>
        </w:rPr>
        <w:t>’</w:t>
      </w:r>
      <w:r w:rsidR="00534A0B" w:rsidRPr="00B3274C">
        <w:rPr>
          <w:lang w:val="fr-CA"/>
        </w:rPr>
        <w:t xml:space="preserve">application du programme </w:t>
      </w:r>
      <w:r w:rsidR="00FB23D3" w:rsidRPr="00B3274C">
        <w:rPr>
          <w:lang w:val="fr-CA"/>
        </w:rPr>
        <w:t>(2002-2005)</w:t>
      </w:r>
      <w:r w:rsidR="00944B18">
        <w:rPr>
          <w:lang w:val="fr-CA"/>
        </w:rPr>
        <w:t xml:space="preserve"> </w:t>
      </w:r>
      <w:r w:rsidR="00953F31" w:rsidRPr="00B3274C">
        <w:rPr>
          <w:lang w:val="fr-CA"/>
        </w:rPr>
        <w:t xml:space="preserve">ont révélé que </w:t>
      </w:r>
      <w:r w:rsidR="00FB23D3" w:rsidRPr="00B3274C">
        <w:rPr>
          <w:lang w:val="fr-CA"/>
        </w:rPr>
        <w:t>39</w:t>
      </w:r>
      <w:r w:rsidR="0050285B">
        <w:rPr>
          <w:lang w:val="fr-CA"/>
        </w:rPr>
        <w:t> %</w:t>
      </w:r>
      <w:r w:rsidR="00FB23D3" w:rsidRPr="00B3274C">
        <w:rPr>
          <w:lang w:val="fr-CA"/>
        </w:rPr>
        <w:t xml:space="preserve"> </w:t>
      </w:r>
      <w:r w:rsidR="00534A0B" w:rsidRPr="00B3274C">
        <w:rPr>
          <w:lang w:val="fr-CA"/>
        </w:rPr>
        <w:t>des demandes reçues émanaient de femmes. Par ailleurs</w:t>
      </w:r>
      <w:r w:rsidR="0080611A">
        <w:rPr>
          <w:lang w:val="fr-CA"/>
        </w:rPr>
        <w:t>,</w:t>
      </w:r>
      <w:r w:rsidR="00534A0B" w:rsidRPr="00B3274C">
        <w:rPr>
          <w:lang w:val="fr-CA"/>
        </w:rPr>
        <w:t xml:space="preserve"> 37</w:t>
      </w:r>
      <w:r w:rsidR="0050285B">
        <w:rPr>
          <w:lang w:val="fr-CA"/>
        </w:rPr>
        <w:t> %</w:t>
      </w:r>
      <w:r w:rsidR="00534A0B" w:rsidRPr="00B3274C">
        <w:rPr>
          <w:lang w:val="fr-CA"/>
        </w:rPr>
        <w:t xml:space="preserve"> des bénéficiaires en 2005 étaient des femmes roms. Après la réforme législative de 2006</w:t>
      </w:r>
      <w:r w:rsidR="0080611A">
        <w:rPr>
          <w:lang w:val="fr-CA"/>
        </w:rPr>
        <w:t>,</w:t>
      </w:r>
      <w:r w:rsidR="00534A0B" w:rsidRPr="00B3274C">
        <w:rPr>
          <w:lang w:val="fr-CA"/>
        </w:rPr>
        <w:t xml:space="preserve"> la proportion de celle-ci était passée à 56</w:t>
      </w:r>
      <w:r w:rsidR="0050285B">
        <w:rPr>
          <w:lang w:val="fr-CA"/>
        </w:rPr>
        <w:t> %</w:t>
      </w:r>
      <w:r w:rsidR="00534A0B" w:rsidRPr="00B3274C">
        <w:rPr>
          <w:lang w:val="fr-CA"/>
        </w:rPr>
        <w:t xml:space="preserve"> en 2009</w:t>
      </w:r>
      <w:r w:rsidR="0080611A">
        <w:rPr>
          <w:lang w:val="fr-CA"/>
        </w:rPr>
        <w:t>,</w:t>
      </w:r>
      <w:r w:rsidR="00534A0B" w:rsidRPr="00B3274C">
        <w:rPr>
          <w:lang w:val="fr-CA"/>
        </w:rPr>
        <w:t xml:space="preserve"> tandis que celle des hommes était passée de 63</w:t>
      </w:r>
      <w:r w:rsidR="0050285B">
        <w:rPr>
          <w:lang w:val="fr-CA"/>
        </w:rPr>
        <w:t> %</w:t>
      </w:r>
      <w:r w:rsidR="00534A0B" w:rsidRPr="00B3274C">
        <w:rPr>
          <w:lang w:val="fr-CA"/>
        </w:rPr>
        <w:t xml:space="preserve"> </w:t>
      </w:r>
      <w:r w:rsidR="00953F31" w:rsidRPr="00B3274C">
        <w:rPr>
          <w:lang w:val="fr-CA"/>
        </w:rPr>
        <w:t xml:space="preserve">en 2005 </w:t>
      </w:r>
      <w:r w:rsidR="00534A0B" w:rsidRPr="00B3274C">
        <w:rPr>
          <w:lang w:val="fr-CA"/>
        </w:rPr>
        <w:t>à 38</w:t>
      </w:r>
      <w:r w:rsidR="0050285B">
        <w:rPr>
          <w:lang w:val="fr-CA"/>
        </w:rPr>
        <w:t> %</w:t>
      </w:r>
      <w:r w:rsidR="00534A0B" w:rsidRPr="00B3274C">
        <w:rPr>
          <w:lang w:val="fr-CA"/>
        </w:rPr>
        <w:t>. Une étude comparative des résultats quantitatifs du programme au cours des deux phases d</w:t>
      </w:r>
      <w:r w:rsidR="0080611A">
        <w:rPr>
          <w:lang w:val="fr-CA"/>
        </w:rPr>
        <w:t>’</w:t>
      </w:r>
      <w:r w:rsidR="00534A0B" w:rsidRPr="00B3274C">
        <w:rPr>
          <w:lang w:val="fr-CA"/>
        </w:rPr>
        <w:t>application montre que la proportion des femmes est passée à 42</w:t>
      </w:r>
      <w:r w:rsidR="0050285B">
        <w:rPr>
          <w:lang w:val="fr-CA"/>
        </w:rPr>
        <w:t> %</w:t>
      </w:r>
      <w:r w:rsidR="00534A0B" w:rsidRPr="00B3274C">
        <w:rPr>
          <w:lang w:val="fr-CA"/>
        </w:rPr>
        <w:t xml:space="preserve"> et celle des hommes à 57</w:t>
      </w:r>
      <w:r w:rsidR="0050285B">
        <w:rPr>
          <w:lang w:val="fr-CA"/>
        </w:rPr>
        <w:t> %</w:t>
      </w:r>
      <w:r w:rsidR="00534A0B" w:rsidRPr="00B3274C">
        <w:rPr>
          <w:lang w:val="fr-CA"/>
        </w:rPr>
        <w:t>. On trouvera des chiffres détaillés à l</w:t>
      </w:r>
      <w:r w:rsidR="0080611A">
        <w:rPr>
          <w:lang w:val="fr-CA"/>
        </w:rPr>
        <w:t>’</w:t>
      </w:r>
      <w:r w:rsidR="00534A0B" w:rsidRPr="00B3274C">
        <w:rPr>
          <w:lang w:val="fr-CA"/>
        </w:rPr>
        <w:t>annexe 3a</w:t>
      </w:r>
      <w:r w:rsidR="0080611A">
        <w:rPr>
          <w:lang w:val="fr-CA"/>
        </w:rPr>
        <w:t>,</w:t>
      </w:r>
      <w:r w:rsidR="00534A0B" w:rsidRPr="00B3274C">
        <w:rPr>
          <w:lang w:val="fr-CA"/>
        </w:rPr>
        <w:t xml:space="preserve"> dans les tableaux </w:t>
      </w:r>
      <w:r w:rsidR="00FB23D3" w:rsidRPr="00B3274C">
        <w:rPr>
          <w:lang w:val="fr-CA"/>
        </w:rPr>
        <w:t>2; 2a; 2b; 2b.1</w:t>
      </w:r>
      <w:r w:rsidR="00B762ED" w:rsidRPr="00B3274C">
        <w:rPr>
          <w:lang w:val="fr-CA"/>
        </w:rPr>
        <w:t>.</w:t>
      </w:r>
    </w:p>
    <w:p w:rsidR="00FB23D3" w:rsidRPr="00B3274C" w:rsidRDefault="00107A47" w:rsidP="00107A47">
      <w:pPr>
        <w:pStyle w:val="SingleTxtG"/>
        <w:rPr>
          <w:lang w:val="fr-CA"/>
        </w:rPr>
      </w:pPr>
      <w:r w:rsidRPr="00B3274C">
        <w:rPr>
          <w:lang w:val="fr-CA"/>
        </w:rPr>
        <w:t>199.</w:t>
      </w:r>
      <w:r w:rsidRPr="00B3274C">
        <w:rPr>
          <w:lang w:val="fr-CA"/>
        </w:rPr>
        <w:tab/>
      </w:r>
      <w:r w:rsidR="0020757A" w:rsidRPr="00B3274C">
        <w:rPr>
          <w:lang w:val="fr-CA"/>
        </w:rPr>
        <w:t>À ce propos</w:t>
      </w:r>
      <w:r w:rsidR="0080611A">
        <w:rPr>
          <w:lang w:val="fr-CA"/>
        </w:rPr>
        <w:t>,</w:t>
      </w:r>
      <w:r w:rsidR="00B02F5B" w:rsidRPr="00B3274C">
        <w:rPr>
          <w:lang w:val="fr-CA"/>
        </w:rPr>
        <w:t xml:space="preserve"> bien que cela sorte du cadre de ce programme particulier</w:t>
      </w:r>
      <w:r w:rsidR="0080611A">
        <w:rPr>
          <w:lang w:val="fr-CA"/>
        </w:rPr>
        <w:t>,</w:t>
      </w:r>
      <w:r w:rsidR="00B02F5B" w:rsidRPr="00B3274C">
        <w:rPr>
          <w:lang w:val="fr-CA"/>
        </w:rPr>
        <w:t xml:space="preserve"> il convient de mentionner que</w:t>
      </w:r>
      <w:r w:rsidR="0080611A">
        <w:rPr>
          <w:lang w:val="fr-CA"/>
        </w:rPr>
        <w:t>,</w:t>
      </w:r>
      <w:r w:rsidR="00B02F5B" w:rsidRPr="00B3274C">
        <w:rPr>
          <w:lang w:val="fr-CA"/>
        </w:rPr>
        <w:t xml:space="preserve"> dans le but </w:t>
      </w:r>
      <w:r w:rsidR="0020757A" w:rsidRPr="00B3274C">
        <w:rPr>
          <w:lang w:val="fr-CA"/>
        </w:rPr>
        <w:t>de répondre au besoin</w:t>
      </w:r>
      <w:r w:rsidR="00B02F5B" w:rsidRPr="00B3274C">
        <w:rPr>
          <w:lang w:val="fr-CA"/>
        </w:rPr>
        <w:t xml:space="preserve"> d</w:t>
      </w:r>
      <w:r w:rsidR="0080611A">
        <w:rPr>
          <w:lang w:val="fr-CA"/>
        </w:rPr>
        <w:t>’</w:t>
      </w:r>
      <w:r w:rsidR="00B02F5B" w:rsidRPr="00B3274C">
        <w:rPr>
          <w:lang w:val="fr-CA"/>
        </w:rPr>
        <w:t>émancipation et d</w:t>
      </w:r>
      <w:r w:rsidR="0080611A">
        <w:rPr>
          <w:lang w:val="fr-CA"/>
        </w:rPr>
        <w:t>’</w:t>
      </w:r>
      <w:r w:rsidR="00B02F5B" w:rsidRPr="00B3274C">
        <w:rPr>
          <w:lang w:val="fr-CA"/>
        </w:rPr>
        <w:t>autonomisation d</w:t>
      </w:r>
      <w:r w:rsidR="0080611A">
        <w:rPr>
          <w:lang w:val="fr-CA"/>
        </w:rPr>
        <w:t>’</w:t>
      </w:r>
      <w:r w:rsidR="00B02F5B" w:rsidRPr="00B3274C">
        <w:rPr>
          <w:lang w:val="fr-CA"/>
        </w:rPr>
        <w:t>un sous-groupe particulier au sein du groupe cible</w:t>
      </w:r>
      <w:r w:rsidR="0080611A">
        <w:rPr>
          <w:lang w:val="fr-CA"/>
        </w:rPr>
        <w:t>,</w:t>
      </w:r>
      <w:r w:rsidR="00B02F5B" w:rsidRPr="00B3274C">
        <w:rPr>
          <w:lang w:val="fr-CA"/>
        </w:rPr>
        <w:t xml:space="preserve"> celui des femmes roms</w:t>
      </w:r>
      <w:r w:rsidR="0080611A">
        <w:rPr>
          <w:lang w:val="fr-CA"/>
        </w:rPr>
        <w:t>,</w:t>
      </w:r>
      <w:r w:rsidR="00B02F5B" w:rsidRPr="00B3274C">
        <w:rPr>
          <w:lang w:val="fr-CA"/>
        </w:rPr>
        <w:t xml:space="preserve"> tant au sein de la société grecque qu</w:t>
      </w:r>
      <w:r w:rsidR="0080611A">
        <w:rPr>
          <w:lang w:val="fr-CA"/>
        </w:rPr>
        <w:t>’</w:t>
      </w:r>
      <w:r w:rsidR="00B02F5B" w:rsidRPr="00B3274C">
        <w:rPr>
          <w:lang w:val="fr-CA"/>
        </w:rPr>
        <w:t>en Europe</w:t>
      </w:r>
      <w:r w:rsidR="0080611A">
        <w:rPr>
          <w:lang w:val="fr-CA"/>
        </w:rPr>
        <w:t>,</w:t>
      </w:r>
      <w:r w:rsidR="00B02F5B" w:rsidRPr="00B3274C">
        <w:rPr>
          <w:lang w:val="fr-CA"/>
        </w:rPr>
        <w:t xml:space="preserve"> le Ministère de l</w:t>
      </w:r>
      <w:r w:rsidR="0080611A">
        <w:rPr>
          <w:lang w:val="fr-CA"/>
        </w:rPr>
        <w:t>’</w:t>
      </w:r>
      <w:r w:rsidR="00B02F5B" w:rsidRPr="00B3274C">
        <w:rPr>
          <w:lang w:val="fr-CA"/>
        </w:rPr>
        <w:t xml:space="preserve">intérieur </w:t>
      </w:r>
      <w:r w:rsidR="0020757A" w:rsidRPr="00B3274C">
        <w:rPr>
          <w:lang w:val="fr-CA"/>
        </w:rPr>
        <w:t>a organisé</w:t>
      </w:r>
      <w:r w:rsidR="0080611A">
        <w:rPr>
          <w:lang w:val="fr-CA"/>
        </w:rPr>
        <w:t>,</w:t>
      </w:r>
      <w:r w:rsidR="0020757A" w:rsidRPr="00B3274C">
        <w:rPr>
          <w:lang w:val="fr-CA"/>
        </w:rPr>
        <w:t xml:space="preserve"> en coopération avec le Conseil de l</w:t>
      </w:r>
      <w:r w:rsidR="0080611A">
        <w:rPr>
          <w:lang w:val="fr-CA"/>
        </w:rPr>
        <w:t>’</w:t>
      </w:r>
      <w:r w:rsidR="0020757A" w:rsidRPr="00B3274C">
        <w:rPr>
          <w:lang w:val="fr-CA"/>
        </w:rPr>
        <w:t xml:space="preserve">Europe </w:t>
      </w:r>
      <w:r w:rsidR="008A7340" w:rsidRPr="00B3274C">
        <w:rPr>
          <w:lang w:val="fr-CA"/>
        </w:rPr>
        <w:t>et le Réseau intermunicipal rom</w:t>
      </w:r>
      <w:r w:rsidR="0020757A" w:rsidRPr="00B3274C">
        <w:rPr>
          <w:lang w:val="fr-CA"/>
        </w:rPr>
        <w:t xml:space="preserve"> (Réseau panhellénique pour le soutien des Roms grecs)</w:t>
      </w:r>
      <w:r w:rsidR="0080611A">
        <w:rPr>
          <w:lang w:val="fr-CA"/>
        </w:rPr>
        <w:t>,</w:t>
      </w:r>
      <w:r w:rsidR="0020757A" w:rsidRPr="00B3274C">
        <w:rPr>
          <w:lang w:val="fr-CA"/>
        </w:rPr>
        <w:t xml:space="preserve"> la deuxième Conférence internationale des femmes roms</w:t>
      </w:r>
      <w:r w:rsidR="0080611A">
        <w:rPr>
          <w:lang w:val="fr-CA"/>
        </w:rPr>
        <w:t>,</w:t>
      </w:r>
      <w:r w:rsidR="0020757A" w:rsidRPr="00B3274C">
        <w:rPr>
          <w:lang w:val="fr-CA"/>
        </w:rPr>
        <w:t xml:space="preserve"> intitulée </w:t>
      </w:r>
      <w:r w:rsidR="0055418C" w:rsidRPr="00B3274C">
        <w:rPr>
          <w:lang w:val="fr-CA"/>
        </w:rPr>
        <w:t>«</w:t>
      </w:r>
      <w:r w:rsidR="0020757A" w:rsidRPr="00B3274C">
        <w:rPr>
          <w:lang w:val="fr-CA"/>
        </w:rPr>
        <w:t>Je suis une femme rom européenne</w:t>
      </w:r>
      <w:r w:rsidR="0055418C" w:rsidRPr="00B3274C">
        <w:rPr>
          <w:lang w:val="fr-CA"/>
        </w:rPr>
        <w:t>»</w:t>
      </w:r>
      <w:r w:rsidR="0020757A" w:rsidRPr="00B3274C">
        <w:rPr>
          <w:lang w:val="fr-CA"/>
        </w:rPr>
        <w:t xml:space="preserve"> qui s</w:t>
      </w:r>
      <w:r w:rsidR="0080611A">
        <w:rPr>
          <w:lang w:val="fr-CA"/>
        </w:rPr>
        <w:t>’</w:t>
      </w:r>
      <w:r w:rsidR="0020757A" w:rsidRPr="00B3274C">
        <w:rPr>
          <w:lang w:val="fr-CA"/>
        </w:rPr>
        <w:t xml:space="preserve">est déroulée à Athènes les 11 et 12 janvier 2010. </w:t>
      </w:r>
    </w:p>
    <w:p w:rsidR="00FB23D3" w:rsidRPr="00B3274C" w:rsidRDefault="00107A47" w:rsidP="00107A47">
      <w:pPr>
        <w:pStyle w:val="SingleTxtG"/>
        <w:rPr>
          <w:lang w:val="fr-CA"/>
        </w:rPr>
      </w:pPr>
      <w:r w:rsidRPr="00B3274C">
        <w:rPr>
          <w:lang w:val="fr-CA"/>
        </w:rPr>
        <w:t>200.</w:t>
      </w:r>
      <w:r w:rsidRPr="00B3274C">
        <w:rPr>
          <w:lang w:val="fr-CA"/>
        </w:rPr>
        <w:tab/>
      </w:r>
      <w:r w:rsidR="00267340" w:rsidRPr="00B3274C">
        <w:rPr>
          <w:lang w:val="fr-CA"/>
        </w:rPr>
        <w:t>En ce qui concerne la nécessité de protéger les droits de l</w:t>
      </w:r>
      <w:r w:rsidR="0080611A">
        <w:rPr>
          <w:lang w:val="fr-CA"/>
        </w:rPr>
        <w:t>’</w:t>
      </w:r>
      <w:r w:rsidR="00267340" w:rsidRPr="00B3274C">
        <w:rPr>
          <w:lang w:val="fr-CA"/>
        </w:rPr>
        <w:t>enfant et en se fondant sur les documents soumis dans le cadre de la procédure de demande révisée</w:t>
      </w:r>
      <w:r w:rsidR="0080611A">
        <w:rPr>
          <w:lang w:val="fr-CA"/>
        </w:rPr>
        <w:t>,</w:t>
      </w:r>
      <w:r w:rsidR="00267340" w:rsidRPr="00B3274C">
        <w:rPr>
          <w:lang w:val="fr-CA"/>
        </w:rPr>
        <w:t xml:space="preserve"> on constate que</w:t>
      </w:r>
      <w:r w:rsidR="0080611A">
        <w:rPr>
          <w:lang w:val="fr-CA"/>
        </w:rPr>
        <w:t>,</w:t>
      </w:r>
      <w:r w:rsidR="00267340" w:rsidRPr="00B3274C">
        <w:rPr>
          <w:lang w:val="fr-CA"/>
        </w:rPr>
        <w:t xml:space="preserve"> sur un total de 2</w:t>
      </w:r>
      <w:r w:rsidR="00C73C0B">
        <w:rPr>
          <w:lang w:val="fr-CA"/>
        </w:rPr>
        <w:t> </w:t>
      </w:r>
      <w:r w:rsidR="00267340" w:rsidRPr="00B3274C">
        <w:rPr>
          <w:lang w:val="fr-CA"/>
        </w:rPr>
        <w:t>105 familles bénéficiaires au cours de la période 2006</w:t>
      </w:r>
      <w:r w:rsidR="00B53F6A">
        <w:rPr>
          <w:lang w:val="fr-CA"/>
        </w:rPr>
        <w:t>-</w:t>
      </w:r>
      <w:r w:rsidR="00267340" w:rsidRPr="00B3274C">
        <w:rPr>
          <w:lang w:val="fr-CA"/>
        </w:rPr>
        <w:t>2009 (phase d</w:t>
      </w:r>
      <w:r w:rsidR="0080611A">
        <w:rPr>
          <w:lang w:val="fr-CA"/>
        </w:rPr>
        <w:t>’</w:t>
      </w:r>
      <w:r w:rsidR="00267340" w:rsidRPr="00B3274C">
        <w:rPr>
          <w:lang w:val="fr-CA"/>
        </w:rPr>
        <w:t>application b)</w:t>
      </w:r>
      <w:r w:rsidR="0080611A">
        <w:rPr>
          <w:lang w:val="fr-CA"/>
        </w:rPr>
        <w:t>,</w:t>
      </w:r>
      <w:r w:rsidR="00267340" w:rsidRPr="00B3274C">
        <w:rPr>
          <w:lang w:val="fr-CA"/>
        </w:rPr>
        <w:t xml:space="preserve"> 91</w:t>
      </w:r>
      <w:r w:rsidR="0050285B">
        <w:rPr>
          <w:lang w:val="fr-CA"/>
        </w:rPr>
        <w:t> %</w:t>
      </w:r>
      <w:r w:rsidR="00267340" w:rsidRPr="00B3274C">
        <w:rPr>
          <w:lang w:val="fr-CA"/>
        </w:rPr>
        <w:t xml:space="preserve"> des bénéficiaires au total</w:t>
      </w:r>
      <w:r w:rsidR="0080611A">
        <w:rPr>
          <w:lang w:val="fr-CA"/>
        </w:rPr>
        <w:t>,</w:t>
      </w:r>
      <w:r w:rsidR="00267340" w:rsidRPr="00B3274C">
        <w:rPr>
          <w:lang w:val="fr-CA"/>
        </w:rPr>
        <w:t xml:space="preserve"> soit 1</w:t>
      </w:r>
      <w:r w:rsidR="00647DA4">
        <w:rPr>
          <w:lang w:val="fr-CA"/>
        </w:rPr>
        <w:t> </w:t>
      </w:r>
      <w:r w:rsidR="00267340" w:rsidRPr="00B3274C">
        <w:rPr>
          <w:lang w:val="fr-CA"/>
        </w:rPr>
        <w:t>921 familles</w:t>
      </w:r>
      <w:r w:rsidR="0080611A">
        <w:rPr>
          <w:lang w:val="fr-CA"/>
        </w:rPr>
        <w:t>,</w:t>
      </w:r>
      <w:r w:rsidR="00267340" w:rsidRPr="00B3274C">
        <w:rPr>
          <w:lang w:val="fr-CA"/>
        </w:rPr>
        <w:t xml:space="preserve"> répondaient au critère «familles avec enfants</w:t>
      </w:r>
      <w:r w:rsidR="0055418C" w:rsidRPr="00B3274C">
        <w:rPr>
          <w:lang w:val="fr-CA"/>
        </w:rPr>
        <w:t>»</w:t>
      </w:r>
      <w:r w:rsidR="0080611A">
        <w:rPr>
          <w:lang w:val="fr-CA"/>
        </w:rPr>
        <w:t>,</w:t>
      </w:r>
      <w:r w:rsidR="00267340" w:rsidRPr="00B3274C">
        <w:rPr>
          <w:lang w:val="fr-CA"/>
        </w:rPr>
        <w:t xml:space="preserve"> avec un total de 6</w:t>
      </w:r>
      <w:r w:rsidR="006038F5">
        <w:rPr>
          <w:lang w:val="fr-CA"/>
        </w:rPr>
        <w:t> </w:t>
      </w:r>
      <w:r w:rsidR="00267340" w:rsidRPr="00B3274C">
        <w:rPr>
          <w:lang w:val="fr-CA"/>
        </w:rPr>
        <w:t>726 enfants. Les chiffres ci-dessus pendant la procédure révisée confirment la priorité donnée effectivement à la protection de la famille et de l</w:t>
      </w:r>
      <w:r w:rsidR="0080611A">
        <w:rPr>
          <w:lang w:val="fr-CA"/>
        </w:rPr>
        <w:t>’</w:t>
      </w:r>
      <w:r w:rsidR="00267340" w:rsidRPr="00B3274C">
        <w:rPr>
          <w:lang w:val="fr-CA"/>
        </w:rPr>
        <w:t xml:space="preserve">enfance. </w:t>
      </w:r>
    </w:p>
    <w:p w:rsidR="00FB23D3" w:rsidRPr="00B3274C" w:rsidRDefault="00107A47" w:rsidP="00107A47">
      <w:pPr>
        <w:pStyle w:val="SingleTxtG"/>
        <w:rPr>
          <w:lang w:val="fr-CA"/>
        </w:rPr>
      </w:pPr>
      <w:r w:rsidRPr="00B3274C">
        <w:rPr>
          <w:lang w:val="fr-CA"/>
        </w:rPr>
        <w:t>201.</w:t>
      </w:r>
      <w:r w:rsidRPr="00B3274C">
        <w:rPr>
          <w:lang w:val="fr-CA"/>
        </w:rPr>
        <w:tab/>
      </w:r>
      <w:r w:rsidR="009354CC" w:rsidRPr="00B3274C">
        <w:rPr>
          <w:lang w:val="fr-CA"/>
        </w:rPr>
        <w:t>En entrant dans le détail</w:t>
      </w:r>
      <w:r w:rsidR="0080611A">
        <w:rPr>
          <w:lang w:val="fr-CA"/>
        </w:rPr>
        <w:t>,</w:t>
      </w:r>
      <w:r w:rsidR="009354CC" w:rsidRPr="00B3274C">
        <w:rPr>
          <w:lang w:val="fr-CA"/>
        </w:rPr>
        <w:t xml:space="preserve"> on constate qu</w:t>
      </w:r>
      <w:r w:rsidR="0080611A">
        <w:rPr>
          <w:lang w:val="fr-CA"/>
        </w:rPr>
        <w:t>’</w:t>
      </w:r>
      <w:r w:rsidR="009354CC" w:rsidRPr="00B3274C">
        <w:rPr>
          <w:lang w:val="fr-CA"/>
        </w:rPr>
        <w:t>au cours de la période 2006</w:t>
      </w:r>
      <w:r w:rsidR="00647DA4">
        <w:rPr>
          <w:lang w:val="fr-CA"/>
        </w:rPr>
        <w:t>-</w:t>
      </w:r>
      <w:r w:rsidR="009354CC" w:rsidRPr="00B3274C">
        <w:rPr>
          <w:lang w:val="fr-CA"/>
        </w:rPr>
        <w:t>2009</w:t>
      </w:r>
      <w:r w:rsidR="0080611A">
        <w:rPr>
          <w:lang w:val="fr-CA"/>
        </w:rPr>
        <w:t>,</w:t>
      </w:r>
      <w:r w:rsidR="009354CC" w:rsidRPr="00B3274C">
        <w:rPr>
          <w:lang w:val="fr-CA"/>
        </w:rPr>
        <w:t xml:space="preserve"> 59</w:t>
      </w:r>
      <w:r w:rsidR="0080611A">
        <w:rPr>
          <w:lang w:val="fr-CA"/>
        </w:rPr>
        <w:t>,</w:t>
      </w:r>
      <w:r w:rsidR="009354CC" w:rsidRPr="00B3274C">
        <w:rPr>
          <w:lang w:val="fr-CA"/>
        </w:rPr>
        <w:t>29</w:t>
      </w:r>
      <w:r w:rsidR="0050285B">
        <w:rPr>
          <w:lang w:val="fr-CA"/>
        </w:rPr>
        <w:t> %</w:t>
      </w:r>
      <w:r w:rsidR="009354CC" w:rsidRPr="00B3274C">
        <w:rPr>
          <w:lang w:val="fr-CA"/>
        </w:rPr>
        <w:t xml:space="preserve"> des familles bénéficiaires étaient dirigées par une femme (contre 37</w:t>
      </w:r>
      <w:r w:rsidR="0050285B">
        <w:rPr>
          <w:lang w:val="fr-CA"/>
        </w:rPr>
        <w:t> %</w:t>
      </w:r>
      <w:r w:rsidR="009354CC" w:rsidRPr="00B3274C">
        <w:rPr>
          <w:lang w:val="fr-CA"/>
        </w:rPr>
        <w:t xml:space="preserve"> au cours de la période 2002</w:t>
      </w:r>
      <w:r w:rsidR="00A14F02">
        <w:rPr>
          <w:lang w:val="fr-CA"/>
        </w:rPr>
        <w:t>-</w:t>
      </w:r>
      <w:r w:rsidR="009354CC" w:rsidRPr="00B3274C">
        <w:rPr>
          <w:lang w:val="fr-CA"/>
        </w:rPr>
        <w:t xml:space="preserve">2005) </w:t>
      </w:r>
      <w:r w:rsidR="00FB23D3" w:rsidRPr="00B3274C">
        <w:rPr>
          <w:lang w:val="fr-CA"/>
        </w:rPr>
        <w:t>I</w:t>
      </w:r>
      <w:r w:rsidR="009354CC" w:rsidRPr="00B3274C">
        <w:rPr>
          <w:lang w:val="fr-CA"/>
        </w:rPr>
        <w:t xml:space="preserve"> et 40</w:t>
      </w:r>
      <w:r w:rsidR="0080611A">
        <w:rPr>
          <w:lang w:val="fr-CA"/>
        </w:rPr>
        <w:t>,</w:t>
      </w:r>
      <w:r w:rsidR="009354CC" w:rsidRPr="00B3274C">
        <w:rPr>
          <w:lang w:val="fr-CA"/>
        </w:rPr>
        <w:t>7</w:t>
      </w:r>
      <w:r w:rsidR="0050285B">
        <w:rPr>
          <w:lang w:val="fr-CA"/>
        </w:rPr>
        <w:t> %</w:t>
      </w:r>
      <w:r w:rsidR="009354CC" w:rsidRPr="00B3274C">
        <w:rPr>
          <w:lang w:val="fr-CA"/>
        </w:rPr>
        <w:t xml:space="preserve"> d</w:t>
      </w:r>
      <w:r w:rsidR="0080611A">
        <w:rPr>
          <w:lang w:val="fr-CA"/>
        </w:rPr>
        <w:t>’</w:t>
      </w:r>
      <w:r w:rsidR="009354CC" w:rsidRPr="00B3274C">
        <w:rPr>
          <w:lang w:val="fr-CA"/>
        </w:rPr>
        <w:t>entre elles étaient dirigées par un homme (contre 63</w:t>
      </w:r>
      <w:r w:rsidR="0050285B">
        <w:rPr>
          <w:lang w:val="fr-CA"/>
        </w:rPr>
        <w:t> %</w:t>
      </w:r>
      <w:r w:rsidR="009354CC" w:rsidRPr="00B3274C">
        <w:rPr>
          <w:lang w:val="fr-CA"/>
        </w:rPr>
        <w:t xml:space="preserve"> au cours de la période 2002</w:t>
      </w:r>
      <w:r w:rsidR="00A14F02">
        <w:rPr>
          <w:lang w:val="fr-CA"/>
        </w:rPr>
        <w:t>-</w:t>
      </w:r>
      <w:r w:rsidR="009354CC" w:rsidRPr="00B3274C">
        <w:rPr>
          <w:lang w:val="fr-CA"/>
        </w:rPr>
        <w:t>2005). Une analyse plus approfondie des familles bénéficiaires montre que 47</w:t>
      </w:r>
      <w:r w:rsidR="0050285B">
        <w:rPr>
          <w:lang w:val="fr-CA"/>
        </w:rPr>
        <w:t> %</w:t>
      </w:r>
      <w:r w:rsidR="009354CC" w:rsidRPr="00B3274C">
        <w:rPr>
          <w:lang w:val="fr-CA"/>
        </w:rPr>
        <w:t xml:space="preserve"> des familles bénéficiaires étaient des familles monoparentales (quelle que soit la raison de </w:t>
      </w:r>
      <w:r w:rsidR="00EC099F" w:rsidRPr="00B3274C">
        <w:rPr>
          <w:lang w:val="fr-CA"/>
        </w:rPr>
        <w:t>cette situation</w:t>
      </w:r>
      <w:r w:rsidR="009354CC" w:rsidRPr="00B3274C">
        <w:rPr>
          <w:lang w:val="fr-CA"/>
        </w:rPr>
        <w:t>) avec un total de 42</w:t>
      </w:r>
      <w:r w:rsidR="0050285B">
        <w:rPr>
          <w:lang w:val="fr-CA"/>
        </w:rPr>
        <w:t> %</w:t>
      </w:r>
      <w:r w:rsidR="009354CC" w:rsidRPr="00B3274C">
        <w:rPr>
          <w:lang w:val="fr-CA"/>
        </w:rPr>
        <w:t xml:space="preserve"> des enfants dans les familles bénéficiaires</w:t>
      </w:r>
      <w:r w:rsidR="0080611A">
        <w:rPr>
          <w:lang w:val="fr-CA"/>
        </w:rPr>
        <w:t>,</w:t>
      </w:r>
      <w:r w:rsidR="009354CC" w:rsidRPr="00B3274C">
        <w:rPr>
          <w:lang w:val="fr-CA"/>
        </w:rPr>
        <w:t xml:space="preserve"> dont la grande majorité (88</w:t>
      </w:r>
      <w:r w:rsidR="0080611A">
        <w:rPr>
          <w:lang w:val="fr-CA"/>
        </w:rPr>
        <w:t>,</w:t>
      </w:r>
      <w:r w:rsidR="009354CC" w:rsidRPr="00B3274C">
        <w:rPr>
          <w:lang w:val="fr-CA"/>
        </w:rPr>
        <w:t>12</w:t>
      </w:r>
      <w:r w:rsidR="0050285B">
        <w:rPr>
          <w:lang w:val="fr-CA"/>
        </w:rPr>
        <w:t> %</w:t>
      </w:r>
      <w:r w:rsidR="009354CC" w:rsidRPr="00B3274C">
        <w:rPr>
          <w:lang w:val="fr-CA"/>
        </w:rPr>
        <w:t>) étaient des familles dirigées par une femme (868 familles sur un total de 985 familles monoparentales avec 2</w:t>
      </w:r>
      <w:r w:rsidR="002D2B56">
        <w:rPr>
          <w:lang w:val="fr-CA"/>
        </w:rPr>
        <w:t> </w:t>
      </w:r>
      <w:r w:rsidR="009354CC" w:rsidRPr="00B3274C">
        <w:rPr>
          <w:lang w:val="fr-CA"/>
        </w:rPr>
        <w:t>84</w:t>
      </w:r>
      <w:r w:rsidR="00AA0761" w:rsidRPr="00B3274C">
        <w:rPr>
          <w:lang w:val="fr-CA"/>
        </w:rPr>
        <w:t>8</w:t>
      </w:r>
      <w:r w:rsidR="002D2B56">
        <w:rPr>
          <w:lang w:val="fr-CA"/>
        </w:rPr>
        <w:t> enfants sur un total de </w:t>
      </w:r>
      <w:r w:rsidR="009354CC" w:rsidRPr="00B3274C">
        <w:rPr>
          <w:lang w:val="fr-CA"/>
        </w:rPr>
        <w:t>6</w:t>
      </w:r>
      <w:r w:rsidR="00A14F02">
        <w:rPr>
          <w:lang w:val="fr-CA"/>
        </w:rPr>
        <w:t> </w:t>
      </w:r>
      <w:r w:rsidR="009354CC" w:rsidRPr="00B3274C">
        <w:rPr>
          <w:lang w:val="fr-CA"/>
        </w:rPr>
        <w:t>726). Il convient de préciser</w:t>
      </w:r>
      <w:r w:rsidR="0080611A">
        <w:rPr>
          <w:lang w:val="fr-CA"/>
        </w:rPr>
        <w:t>,</w:t>
      </w:r>
      <w:r w:rsidR="009354CC" w:rsidRPr="00B3274C">
        <w:rPr>
          <w:lang w:val="fr-CA"/>
        </w:rPr>
        <w:t xml:space="preserve"> toutefois</w:t>
      </w:r>
      <w:r w:rsidR="0080611A">
        <w:rPr>
          <w:lang w:val="fr-CA"/>
        </w:rPr>
        <w:t>,</w:t>
      </w:r>
      <w:r w:rsidR="009354CC" w:rsidRPr="00B3274C">
        <w:rPr>
          <w:lang w:val="fr-CA"/>
        </w:rPr>
        <w:t xml:space="preserve"> que les familles </w:t>
      </w:r>
      <w:r w:rsidR="00345123" w:rsidRPr="00B3274C">
        <w:rPr>
          <w:lang w:val="fr-CA"/>
        </w:rPr>
        <w:t xml:space="preserve">fondées sur le mariage entre </w:t>
      </w:r>
      <w:r w:rsidR="002D2B56">
        <w:rPr>
          <w:lang w:val="fr-CA"/>
        </w:rPr>
        <w:t>2 </w:t>
      </w:r>
      <w:r w:rsidR="00614BAC">
        <w:rPr>
          <w:lang w:val="fr-CA"/>
        </w:rPr>
        <w:t>personnes</w:t>
      </w:r>
      <w:r w:rsidR="00345123" w:rsidRPr="00B3274C">
        <w:rPr>
          <w:lang w:val="fr-CA"/>
        </w:rPr>
        <w:t xml:space="preserve"> dont l</w:t>
      </w:r>
      <w:r w:rsidR="0080611A">
        <w:rPr>
          <w:lang w:val="fr-CA"/>
        </w:rPr>
        <w:t>’</w:t>
      </w:r>
      <w:r w:rsidR="00345123" w:rsidRPr="00B3274C">
        <w:rPr>
          <w:lang w:val="fr-CA"/>
        </w:rPr>
        <w:t>une est</w:t>
      </w:r>
      <w:r w:rsidR="00900767" w:rsidRPr="00B3274C">
        <w:rPr>
          <w:lang w:val="fr-CA"/>
        </w:rPr>
        <w:t xml:space="preserve"> «rom» sont placées</w:t>
      </w:r>
      <w:r w:rsidR="0080611A">
        <w:rPr>
          <w:lang w:val="fr-CA"/>
        </w:rPr>
        <w:t>,</w:t>
      </w:r>
      <w:r w:rsidR="00900767" w:rsidRPr="00B3274C">
        <w:rPr>
          <w:lang w:val="fr-CA"/>
        </w:rPr>
        <w:t xml:space="preserve"> pour les besoins de l</w:t>
      </w:r>
      <w:r w:rsidR="0080611A">
        <w:rPr>
          <w:lang w:val="fr-CA"/>
        </w:rPr>
        <w:t>’</w:t>
      </w:r>
      <w:r w:rsidR="00900767" w:rsidRPr="00B3274C">
        <w:rPr>
          <w:lang w:val="fr-CA"/>
        </w:rPr>
        <w:t>enquête</w:t>
      </w:r>
      <w:r w:rsidR="0080611A">
        <w:rPr>
          <w:lang w:val="fr-CA"/>
        </w:rPr>
        <w:t>,</w:t>
      </w:r>
      <w:r w:rsidR="00900767" w:rsidRPr="00B3274C">
        <w:rPr>
          <w:lang w:val="fr-CA"/>
        </w:rPr>
        <w:t xml:space="preserve"> dans </w:t>
      </w:r>
      <w:r w:rsidR="00E650E8" w:rsidRPr="00B3274C">
        <w:rPr>
          <w:lang w:val="fr-CA"/>
        </w:rPr>
        <w:t>l</w:t>
      </w:r>
      <w:r w:rsidR="0080611A">
        <w:rPr>
          <w:lang w:val="fr-CA"/>
        </w:rPr>
        <w:t>’</w:t>
      </w:r>
      <w:r w:rsidR="00E650E8" w:rsidRPr="00B3274C">
        <w:rPr>
          <w:lang w:val="fr-CA"/>
        </w:rPr>
        <w:t>échantillon</w:t>
      </w:r>
      <w:r w:rsidR="00900767" w:rsidRPr="00B3274C">
        <w:rPr>
          <w:lang w:val="fr-CA"/>
        </w:rPr>
        <w:t xml:space="preserve"> des familles monoparentales. </w:t>
      </w:r>
    </w:p>
    <w:p w:rsidR="00FB23D3" w:rsidRPr="00B3274C" w:rsidRDefault="00107A47" w:rsidP="00107A47">
      <w:pPr>
        <w:pStyle w:val="SingleTxtG"/>
        <w:rPr>
          <w:lang w:val="fr-CA"/>
        </w:rPr>
      </w:pPr>
      <w:r w:rsidRPr="00B3274C">
        <w:rPr>
          <w:lang w:val="fr-CA"/>
        </w:rPr>
        <w:t>202.</w:t>
      </w:r>
      <w:r w:rsidR="00A51C1E" w:rsidRPr="00B3274C">
        <w:rPr>
          <w:lang w:val="fr-CA"/>
        </w:rPr>
        <w:tab/>
      </w:r>
      <w:r w:rsidR="00753B7D" w:rsidRPr="00B3274C">
        <w:rPr>
          <w:lang w:val="fr-CA"/>
        </w:rPr>
        <w:t>D</w:t>
      </w:r>
      <w:r w:rsidR="00314128" w:rsidRPr="00B3274C">
        <w:rPr>
          <w:lang w:val="fr-CA"/>
        </w:rPr>
        <w:t>es chiffres présentés ci-dessus</w:t>
      </w:r>
      <w:r w:rsidR="0080611A">
        <w:rPr>
          <w:lang w:val="fr-CA"/>
        </w:rPr>
        <w:t>,</w:t>
      </w:r>
      <w:r w:rsidR="00314128" w:rsidRPr="00B3274C">
        <w:rPr>
          <w:lang w:val="fr-CA"/>
        </w:rPr>
        <w:t xml:space="preserve"> on </w:t>
      </w:r>
      <w:r w:rsidR="00753B7D" w:rsidRPr="00B3274C">
        <w:rPr>
          <w:lang w:val="fr-CA"/>
        </w:rPr>
        <w:t>déduira</w:t>
      </w:r>
      <w:r w:rsidR="00314128" w:rsidRPr="00B3274C">
        <w:rPr>
          <w:lang w:val="fr-CA"/>
        </w:rPr>
        <w:t xml:space="preserve"> que l</w:t>
      </w:r>
      <w:r w:rsidR="0080611A">
        <w:rPr>
          <w:lang w:val="fr-CA"/>
        </w:rPr>
        <w:t>’</w:t>
      </w:r>
      <w:r w:rsidR="00314128" w:rsidRPr="00B3274C">
        <w:rPr>
          <w:lang w:val="fr-CA"/>
        </w:rPr>
        <w:t>application de critères d</w:t>
      </w:r>
      <w:r w:rsidR="0080611A">
        <w:rPr>
          <w:lang w:val="fr-CA"/>
        </w:rPr>
        <w:t>’</w:t>
      </w:r>
      <w:r w:rsidR="00314128" w:rsidRPr="00B3274C">
        <w:rPr>
          <w:lang w:val="fr-CA"/>
        </w:rPr>
        <w:t>évaluation sociale</w:t>
      </w:r>
      <w:r w:rsidR="0080611A">
        <w:rPr>
          <w:lang w:val="fr-CA"/>
        </w:rPr>
        <w:t>,</w:t>
      </w:r>
      <w:r w:rsidR="00314128" w:rsidRPr="00B3274C">
        <w:rPr>
          <w:lang w:val="fr-CA"/>
        </w:rPr>
        <w:t xml:space="preserve"> dans le but d</w:t>
      </w:r>
      <w:r w:rsidR="0080611A">
        <w:rPr>
          <w:lang w:val="fr-CA"/>
        </w:rPr>
        <w:t>’</w:t>
      </w:r>
      <w:r w:rsidR="00314128" w:rsidRPr="00B3274C">
        <w:rPr>
          <w:lang w:val="fr-CA"/>
        </w:rPr>
        <w:t>adapter le programme aux besoins particuliers du groupe cible</w:t>
      </w:r>
      <w:r w:rsidR="0080611A">
        <w:rPr>
          <w:lang w:val="fr-CA"/>
        </w:rPr>
        <w:t>,</w:t>
      </w:r>
      <w:r w:rsidR="00314128" w:rsidRPr="00B3274C">
        <w:rPr>
          <w:lang w:val="fr-CA"/>
        </w:rPr>
        <w:t xml:space="preserve"> renforce sensiblement les sous-groupes au sein de la communauté rom</w:t>
      </w:r>
      <w:r w:rsidR="0080611A">
        <w:rPr>
          <w:lang w:val="fr-CA"/>
        </w:rPr>
        <w:t>,</w:t>
      </w:r>
      <w:r w:rsidR="00314128" w:rsidRPr="00B3274C">
        <w:rPr>
          <w:lang w:val="fr-CA"/>
        </w:rPr>
        <w:t xml:space="preserve"> en particulier les femmes et les enfants</w:t>
      </w:r>
      <w:r w:rsidR="00FB23D3" w:rsidRPr="00B3274C">
        <w:rPr>
          <w:lang w:val="fr-CA"/>
        </w:rPr>
        <w:t>.</w:t>
      </w:r>
    </w:p>
    <w:p w:rsidR="00FB23D3" w:rsidRPr="00B3274C" w:rsidRDefault="00107A47" w:rsidP="00107A47">
      <w:pPr>
        <w:pStyle w:val="SingleTxtG"/>
        <w:rPr>
          <w:lang w:val="fr-CA"/>
        </w:rPr>
      </w:pPr>
      <w:r w:rsidRPr="00B3274C">
        <w:rPr>
          <w:lang w:val="fr-CA"/>
        </w:rPr>
        <w:t>203.</w:t>
      </w:r>
      <w:r w:rsidRPr="00B3274C">
        <w:rPr>
          <w:lang w:val="fr-CA"/>
        </w:rPr>
        <w:tab/>
      </w:r>
      <w:r w:rsidR="007E21AD" w:rsidRPr="00B3274C">
        <w:rPr>
          <w:lang w:val="fr-CA"/>
        </w:rPr>
        <w:t>Par ailleurs</w:t>
      </w:r>
      <w:r w:rsidR="0080611A">
        <w:rPr>
          <w:lang w:val="fr-CA"/>
        </w:rPr>
        <w:t>,</w:t>
      </w:r>
      <w:r w:rsidR="007E21AD" w:rsidRPr="00B3274C">
        <w:rPr>
          <w:lang w:val="fr-CA"/>
        </w:rPr>
        <w:t xml:space="preserve"> l</w:t>
      </w:r>
      <w:r w:rsidR="0080611A">
        <w:rPr>
          <w:lang w:val="fr-CA"/>
        </w:rPr>
        <w:t>’</w:t>
      </w:r>
      <w:r w:rsidR="007E21AD" w:rsidRPr="00B3274C">
        <w:rPr>
          <w:lang w:val="fr-CA"/>
        </w:rPr>
        <w:t>évaluation des pièces justificatives soumises pendant la procédure de demande révisée indique que la nécessité de présenter une demande (pour participer au programme) incite à s</w:t>
      </w:r>
      <w:r w:rsidR="0080611A">
        <w:rPr>
          <w:lang w:val="fr-CA"/>
        </w:rPr>
        <w:t>’</w:t>
      </w:r>
      <w:r w:rsidR="007E21AD" w:rsidRPr="00B3274C">
        <w:rPr>
          <w:lang w:val="fr-CA"/>
        </w:rPr>
        <w:t>inscrire sur les registres municipaux et à présenter tout autre certificat nécessaire tel que carte d</w:t>
      </w:r>
      <w:r w:rsidR="0080611A">
        <w:rPr>
          <w:lang w:val="fr-CA"/>
        </w:rPr>
        <w:t>’</w:t>
      </w:r>
      <w:r w:rsidR="007E21AD" w:rsidRPr="00B3274C">
        <w:rPr>
          <w:lang w:val="fr-CA"/>
        </w:rPr>
        <w:t>identité (ainsi que certificat de naissance) et copie de la déclaration d</w:t>
      </w:r>
      <w:r w:rsidR="0080611A">
        <w:rPr>
          <w:lang w:val="fr-CA"/>
        </w:rPr>
        <w:t>’</w:t>
      </w:r>
      <w:r w:rsidR="007E21AD" w:rsidRPr="00B3274C">
        <w:rPr>
          <w:lang w:val="fr-CA"/>
        </w:rPr>
        <w:t>impôts</w:t>
      </w:r>
      <w:r w:rsidR="0080611A">
        <w:rPr>
          <w:lang w:val="fr-CA"/>
        </w:rPr>
        <w:t>,</w:t>
      </w:r>
      <w:r w:rsidR="00903F90" w:rsidRPr="00B3274C">
        <w:rPr>
          <w:lang w:val="fr-CA"/>
        </w:rPr>
        <w:t xml:space="preserve"> etc.</w:t>
      </w:r>
      <w:r w:rsidR="00135F1B" w:rsidRPr="00B3274C">
        <w:rPr>
          <w:lang w:val="fr-CA"/>
        </w:rPr>
        <w:t xml:space="preserve"> En ce sens</w:t>
      </w:r>
      <w:r w:rsidR="0080611A">
        <w:rPr>
          <w:lang w:val="fr-CA"/>
        </w:rPr>
        <w:t>,</w:t>
      </w:r>
      <w:r w:rsidR="00135F1B" w:rsidRPr="00B3274C">
        <w:rPr>
          <w:lang w:val="fr-CA"/>
        </w:rPr>
        <w:t xml:space="preserve"> le projet a contribué</w:t>
      </w:r>
      <w:r w:rsidR="0080611A">
        <w:rPr>
          <w:lang w:val="fr-CA"/>
        </w:rPr>
        <w:t>,</w:t>
      </w:r>
      <w:r w:rsidR="00135F1B" w:rsidRPr="00B3274C">
        <w:rPr>
          <w:lang w:val="fr-CA"/>
        </w:rPr>
        <w:t xml:space="preserve"> quoique indirectement</w:t>
      </w:r>
      <w:r w:rsidR="0080611A">
        <w:rPr>
          <w:lang w:val="fr-CA"/>
        </w:rPr>
        <w:t>,</w:t>
      </w:r>
      <w:r w:rsidR="00135F1B" w:rsidRPr="00B3274C">
        <w:rPr>
          <w:lang w:val="fr-CA"/>
        </w:rPr>
        <w:t xml:space="preserve"> à la mobilisation du groupe de population considéré</w:t>
      </w:r>
      <w:r w:rsidR="0080611A">
        <w:rPr>
          <w:lang w:val="fr-CA"/>
        </w:rPr>
        <w:t>,</w:t>
      </w:r>
      <w:r w:rsidR="00135F1B" w:rsidRPr="00B3274C">
        <w:rPr>
          <w:lang w:val="fr-CA"/>
        </w:rPr>
        <w:t xml:space="preserve"> </w:t>
      </w:r>
      <w:r w:rsidR="00A224BE" w:rsidRPr="00B3274C">
        <w:rPr>
          <w:lang w:val="fr-CA"/>
        </w:rPr>
        <w:t>pour</w:t>
      </w:r>
      <w:r w:rsidR="00135F1B" w:rsidRPr="00B3274C">
        <w:rPr>
          <w:lang w:val="fr-CA"/>
        </w:rPr>
        <w:t xml:space="preserve"> régler des ques</w:t>
      </w:r>
      <w:r w:rsidR="003F224A" w:rsidRPr="00B3274C">
        <w:rPr>
          <w:lang w:val="fr-CA"/>
        </w:rPr>
        <w:t xml:space="preserve">tions civiles et municipales et </w:t>
      </w:r>
      <w:r w:rsidR="00135F1B" w:rsidRPr="00B3274C">
        <w:rPr>
          <w:lang w:val="fr-CA"/>
        </w:rPr>
        <w:t>créer</w:t>
      </w:r>
      <w:r w:rsidR="0080611A">
        <w:rPr>
          <w:lang w:val="fr-CA"/>
        </w:rPr>
        <w:t>,</w:t>
      </w:r>
      <w:r w:rsidR="003F224A" w:rsidRPr="00B3274C">
        <w:rPr>
          <w:lang w:val="fr-CA"/>
        </w:rPr>
        <w:t xml:space="preserve"> à terme</w:t>
      </w:r>
      <w:r w:rsidR="0080611A">
        <w:rPr>
          <w:lang w:val="fr-CA"/>
        </w:rPr>
        <w:t>,</w:t>
      </w:r>
      <w:r w:rsidR="00135F1B" w:rsidRPr="00B3274C">
        <w:rPr>
          <w:lang w:val="fr-CA"/>
        </w:rPr>
        <w:t xml:space="preserve"> une </w:t>
      </w:r>
      <w:r w:rsidR="0055418C" w:rsidRPr="00B3274C">
        <w:rPr>
          <w:lang w:val="fr-CA"/>
        </w:rPr>
        <w:t>«</w:t>
      </w:r>
      <w:r w:rsidR="00135F1B" w:rsidRPr="00B3274C">
        <w:rPr>
          <w:lang w:val="fr-CA"/>
        </w:rPr>
        <w:t>conscience individuelle</w:t>
      </w:r>
      <w:r w:rsidR="0055418C" w:rsidRPr="00B3274C">
        <w:rPr>
          <w:lang w:val="fr-CA"/>
        </w:rPr>
        <w:t>»</w:t>
      </w:r>
      <w:r w:rsidR="00135F1B" w:rsidRPr="00B3274C">
        <w:rPr>
          <w:lang w:val="fr-CA"/>
        </w:rPr>
        <w:t xml:space="preserve"> éclairée</w:t>
      </w:r>
      <w:r w:rsidR="0080611A">
        <w:rPr>
          <w:lang w:val="fr-CA"/>
        </w:rPr>
        <w:t>,</w:t>
      </w:r>
      <w:r w:rsidR="00135F1B" w:rsidRPr="00B3274C">
        <w:rPr>
          <w:lang w:val="fr-CA"/>
        </w:rPr>
        <w:t xml:space="preserve"> concernant l</w:t>
      </w:r>
      <w:r w:rsidR="0080611A">
        <w:rPr>
          <w:lang w:val="fr-CA"/>
        </w:rPr>
        <w:t>’</w:t>
      </w:r>
      <w:r w:rsidR="00135F1B" w:rsidRPr="00B3274C">
        <w:rPr>
          <w:lang w:val="fr-CA"/>
        </w:rPr>
        <w:t xml:space="preserve">accès aux services nécessaires existants. </w:t>
      </w:r>
      <w:r w:rsidR="00C72FE5" w:rsidRPr="00B3274C">
        <w:rPr>
          <w:lang w:val="fr-CA"/>
        </w:rPr>
        <w:t>En outre</w:t>
      </w:r>
      <w:r w:rsidR="0080611A">
        <w:rPr>
          <w:lang w:val="fr-CA"/>
        </w:rPr>
        <w:t>,</w:t>
      </w:r>
      <w:r w:rsidR="00C72FE5" w:rsidRPr="00B3274C">
        <w:rPr>
          <w:lang w:val="fr-CA"/>
        </w:rPr>
        <w:t xml:space="preserve"> leur </w:t>
      </w:r>
      <w:r w:rsidR="0055418C" w:rsidRPr="00B3274C">
        <w:rPr>
          <w:lang w:val="fr-CA"/>
        </w:rPr>
        <w:t>«</w:t>
      </w:r>
      <w:r w:rsidR="00C72FE5" w:rsidRPr="00B3274C">
        <w:rPr>
          <w:lang w:val="fr-CA"/>
        </w:rPr>
        <w:t>besoin</w:t>
      </w:r>
      <w:r w:rsidR="0055418C" w:rsidRPr="00B3274C">
        <w:rPr>
          <w:lang w:val="fr-CA"/>
        </w:rPr>
        <w:t>»</w:t>
      </w:r>
      <w:r w:rsidR="00C72FE5" w:rsidRPr="00B3274C">
        <w:rPr>
          <w:lang w:val="fr-CA"/>
        </w:rPr>
        <w:t xml:space="preserve"> d</w:t>
      </w:r>
      <w:r w:rsidR="0080611A">
        <w:rPr>
          <w:lang w:val="fr-CA"/>
        </w:rPr>
        <w:t>’</w:t>
      </w:r>
      <w:r w:rsidR="00C72FE5" w:rsidRPr="00B3274C">
        <w:rPr>
          <w:lang w:val="fr-CA"/>
        </w:rPr>
        <w:t>être informé</w:t>
      </w:r>
      <w:r w:rsidR="0070450D" w:rsidRPr="00B3274C">
        <w:rPr>
          <w:lang w:val="fr-CA"/>
        </w:rPr>
        <w:t>s</w:t>
      </w:r>
      <w:r w:rsidR="00C72FE5" w:rsidRPr="00B3274C">
        <w:rPr>
          <w:lang w:val="fr-CA"/>
        </w:rPr>
        <w:t xml:space="preserve"> au sujet de l</w:t>
      </w:r>
      <w:r w:rsidR="0080611A">
        <w:rPr>
          <w:lang w:val="fr-CA"/>
        </w:rPr>
        <w:t>’</w:t>
      </w:r>
      <w:r w:rsidR="00C72FE5" w:rsidRPr="00B3274C">
        <w:rPr>
          <w:lang w:val="fr-CA"/>
        </w:rPr>
        <w:t xml:space="preserve">avancement de leur demande et plus précisément </w:t>
      </w:r>
      <w:r w:rsidR="0070450D" w:rsidRPr="00B3274C">
        <w:rPr>
          <w:lang w:val="fr-CA"/>
        </w:rPr>
        <w:t xml:space="preserve">de répondre aux critères en matière de logement les </w:t>
      </w:r>
      <w:r w:rsidR="0055418C" w:rsidRPr="00B3274C">
        <w:rPr>
          <w:lang w:val="fr-CA"/>
        </w:rPr>
        <w:t>«</w:t>
      </w:r>
      <w:r w:rsidR="0070450D" w:rsidRPr="00B3274C">
        <w:rPr>
          <w:lang w:val="fr-CA"/>
        </w:rPr>
        <w:t>oblige</w:t>
      </w:r>
      <w:r w:rsidR="0055418C" w:rsidRPr="00B3274C">
        <w:rPr>
          <w:lang w:val="fr-CA"/>
        </w:rPr>
        <w:t>»</w:t>
      </w:r>
      <w:r w:rsidR="008C4639" w:rsidRPr="00B3274C">
        <w:rPr>
          <w:rStyle w:val="FootnoteReference"/>
          <w:lang w:val="fr-CA"/>
        </w:rPr>
        <w:footnoteReference w:id="7"/>
      </w:r>
      <w:r w:rsidR="00FB23D3" w:rsidRPr="00B3274C">
        <w:rPr>
          <w:lang w:val="fr-CA"/>
        </w:rPr>
        <w:t xml:space="preserve"> </w:t>
      </w:r>
      <w:r w:rsidR="0070450D" w:rsidRPr="00B3274C">
        <w:rPr>
          <w:lang w:val="fr-CA"/>
        </w:rPr>
        <w:t>à prendre contact directement avec les autorités publiques compétentes</w:t>
      </w:r>
      <w:r w:rsidR="0080611A">
        <w:rPr>
          <w:lang w:val="fr-CA"/>
        </w:rPr>
        <w:t>,</w:t>
      </w:r>
      <w:r w:rsidR="0070450D" w:rsidRPr="00B3274C">
        <w:rPr>
          <w:lang w:val="fr-CA"/>
        </w:rPr>
        <w:t xml:space="preserve"> tant au niveau local qu</w:t>
      </w:r>
      <w:r w:rsidR="0080611A">
        <w:rPr>
          <w:lang w:val="fr-CA"/>
        </w:rPr>
        <w:t>’</w:t>
      </w:r>
      <w:r w:rsidR="0070450D" w:rsidRPr="00B3274C">
        <w:rPr>
          <w:lang w:val="fr-CA"/>
        </w:rPr>
        <w:t>au niveau national</w:t>
      </w:r>
      <w:r w:rsidR="00FB23D3" w:rsidRPr="00B3274C">
        <w:rPr>
          <w:lang w:val="fr-CA"/>
        </w:rPr>
        <w:t xml:space="preserve">. </w:t>
      </w:r>
    </w:p>
    <w:p w:rsidR="00FB23D3" w:rsidRPr="00B3274C" w:rsidRDefault="00107A47" w:rsidP="00107A47">
      <w:pPr>
        <w:pStyle w:val="SingleTxtG"/>
        <w:rPr>
          <w:lang w:val="fr-CA"/>
        </w:rPr>
      </w:pPr>
      <w:r w:rsidRPr="00B3274C">
        <w:rPr>
          <w:lang w:val="fr-CA"/>
        </w:rPr>
        <w:t>204.</w:t>
      </w:r>
      <w:r w:rsidRPr="00B3274C">
        <w:rPr>
          <w:lang w:val="fr-CA"/>
        </w:rPr>
        <w:tab/>
      </w:r>
      <w:r w:rsidR="00B36801" w:rsidRPr="00B3274C">
        <w:rPr>
          <w:lang w:val="fr-CA"/>
        </w:rPr>
        <w:t>À l</w:t>
      </w:r>
      <w:r w:rsidR="0080611A">
        <w:rPr>
          <w:lang w:val="fr-CA"/>
        </w:rPr>
        <w:t>’</w:t>
      </w:r>
      <w:r w:rsidR="00B36801" w:rsidRPr="00B3274C">
        <w:rPr>
          <w:lang w:val="fr-CA"/>
        </w:rPr>
        <w:t>intention de</w:t>
      </w:r>
      <w:r w:rsidR="000600D5" w:rsidRPr="00B3274C">
        <w:rPr>
          <w:lang w:val="fr-CA"/>
        </w:rPr>
        <w:t xml:space="preserve"> ceux qui ne sont pas inscrits sur les registres municipaux (une condition préalable à l</w:t>
      </w:r>
      <w:r w:rsidR="0080611A">
        <w:rPr>
          <w:lang w:val="fr-CA"/>
        </w:rPr>
        <w:t>’</w:t>
      </w:r>
      <w:r w:rsidR="000600D5" w:rsidRPr="00B3274C">
        <w:rPr>
          <w:lang w:val="fr-CA"/>
        </w:rPr>
        <w:t>enregistrement sur les listes électorales)</w:t>
      </w:r>
      <w:r w:rsidR="0080611A">
        <w:rPr>
          <w:lang w:val="fr-CA"/>
        </w:rPr>
        <w:t>,</w:t>
      </w:r>
      <w:r w:rsidR="000600D5" w:rsidRPr="00B3274C">
        <w:rPr>
          <w:lang w:val="fr-CA"/>
        </w:rPr>
        <w:t xml:space="preserve"> </w:t>
      </w:r>
      <w:r w:rsidR="00ED3BA6" w:rsidRPr="00B3274C">
        <w:rPr>
          <w:lang w:val="fr-CA"/>
        </w:rPr>
        <w:t>faute de certains documents</w:t>
      </w:r>
      <w:r w:rsidR="0080611A">
        <w:rPr>
          <w:lang w:val="fr-CA"/>
        </w:rPr>
        <w:t>,</w:t>
      </w:r>
      <w:r w:rsidR="00ED3BA6" w:rsidRPr="00B3274C">
        <w:rPr>
          <w:lang w:val="fr-CA"/>
        </w:rPr>
        <w:t xml:space="preserve"> le Ministère de l</w:t>
      </w:r>
      <w:r w:rsidR="0080611A">
        <w:rPr>
          <w:lang w:val="fr-CA"/>
        </w:rPr>
        <w:t>’</w:t>
      </w:r>
      <w:r w:rsidR="00ED3BA6" w:rsidRPr="00B3274C">
        <w:rPr>
          <w:lang w:val="fr-CA"/>
        </w:rPr>
        <w:t>intérieur a émis des circulaires particulières. Dans le cadre de la réforme stratégique en cours</w:t>
      </w:r>
      <w:r w:rsidR="0080611A">
        <w:rPr>
          <w:lang w:val="fr-CA"/>
        </w:rPr>
        <w:t>,</w:t>
      </w:r>
      <w:r w:rsidR="00ED3BA6" w:rsidRPr="00B3274C">
        <w:rPr>
          <w:lang w:val="fr-CA"/>
        </w:rPr>
        <w:t xml:space="preserve"> </w:t>
      </w:r>
      <w:r w:rsidR="001F222C" w:rsidRPr="00B3274C">
        <w:rPr>
          <w:color w:val="000000"/>
          <w:lang w:val="fr-CA"/>
        </w:rPr>
        <w:t>d</w:t>
      </w:r>
      <w:r w:rsidR="0080611A">
        <w:rPr>
          <w:color w:val="000000"/>
          <w:lang w:val="fr-CA"/>
        </w:rPr>
        <w:t>’</w:t>
      </w:r>
      <w:r w:rsidR="009664FF" w:rsidRPr="00B3274C">
        <w:rPr>
          <w:color w:val="000000"/>
          <w:lang w:val="fr-CA"/>
        </w:rPr>
        <w:t>autres questions relatives au statut civique sont examinées plus avant sur la base des recommandations d</w:t>
      </w:r>
      <w:r w:rsidR="0080611A">
        <w:rPr>
          <w:color w:val="000000"/>
          <w:lang w:val="fr-CA"/>
        </w:rPr>
        <w:t>’</w:t>
      </w:r>
      <w:r w:rsidR="009664FF" w:rsidRPr="00B3274C">
        <w:rPr>
          <w:color w:val="000000"/>
          <w:lang w:val="fr-CA"/>
        </w:rPr>
        <w:t>autorités grecques indépendantes</w:t>
      </w:r>
      <w:r w:rsidR="0080611A">
        <w:rPr>
          <w:color w:val="000000"/>
          <w:lang w:val="fr-CA"/>
        </w:rPr>
        <w:t>,</w:t>
      </w:r>
      <w:r w:rsidR="009664FF" w:rsidRPr="00B3274C">
        <w:rPr>
          <w:color w:val="000000"/>
          <w:lang w:val="fr-CA"/>
        </w:rPr>
        <w:t xml:space="preserve"> </w:t>
      </w:r>
      <w:r w:rsidR="0094091F" w:rsidRPr="00B3274C">
        <w:rPr>
          <w:color w:val="000000"/>
          <w:lang w:val="fr-CA"/>
        </w:rPr>
        <w:t>telles que le</w:t>
      </w:r>
      <w:r w:rsidR="009664FF" w:rsidRPr="00B3274C">
        <w:rPr>
          <w:color w:val="000000"/>
          <w:lang w:val="fr-CA"/>
        </w:rPr>
        <w:t xml:space="preserve"> Médiateur et la Commission des droits de l</w:t>
      </w:r>
      <w:r w:rsidR="0080611A">
        <w:rPr>
          <w:color w:val="000000"/>
          <w:lang w:val="fr-CA"/>
        </w:rPr>
        <w:t>’</w:t>
      </w:r>
      <w:r w:rsidR="009664FF" w:rsidRPr="00B3274C">
        <w:rPr>
          <w:color w:val="000000"/>
          <w:lang w:val="fr-CA"/>
        </w:rPr>
        <w:t>homme</w:t>
      </w:r>
      <w:r w:rsidR="00FB23D3" w:rsidRPr="00B3274C">
        <w:rPr>
          <w:bCs/>
          <w:lang w:val="fr-CA"/>
        </w:rPr>
        <w:t>.</w:t>
      </w:r>
    </w:p>
    <w:p w:rsidR="00FB23D3" w:rsidRPr="00B3274C" w:rsidRDefault="00107A47" w:rsidP="00107A47">
      <w:pPr>
        <w:pStyle w:val="SingleTxtG"/>
        <w:rPr>
          <w:b/>
          <w:u w:val="single"/>
          <w:lang w:val="fr-CA"/>
        </w:rPr>
      </w:pPr>
      <w:r w:rsidRPr="00B3274C">
        <w:rPr>
          <w:lang w:val="fr-CA"/>
        </w:rPr>
        <w:t>205.</w:t>
      </w:r>
      <w:r w:rsidRPr="00B3274C">
        <w:rPr>
          <w:lang w:val="fr-CA"/>
        </w:rPr>
        <w:tab/>
      </w:r>
      <w:r w:rsidR="00A91D45" w:rsidRPr="00B3274C">
        <w:rPr>
          <w:lang w:val="fr-CA"/>
        </w:rPr>
        <w:t>En outre</w:t>
      </w:r>
      <w:r w:rsidR="0080611A">
        <w:rPr>
          <w:lang w:val="fr-CA"/>
        </w:rPr>
        <w:t>,</w:t>
      </w:r>
      <w:r w:rsidR="00A91D45" w:rsidRPr="00B3274C">
        <w:rPr>
          <w:lang w:val="fr-CA"/>
        </w:rPr>
        <w:t xml:space="preserve"> à l</w:t>
      </w:r>
      <w:r w:rsidR="0080611A">
        <w:rPr>
          <w:lang w:val="fr-CA"/>
        </w:rPr>
        <w:t>’</w:t>
      </w:r>
      <w:r w:rsidR="00A91D45" w:rsidRPr="00B3274C">
        <w:rPr>
          <w:lang w:val="fr-CA"/>
        </w:rPr>
        <w:t>achèvement de la période de programmation du Plan d</w:t>
      </w:r>
      <w:r w:rsidR="0080611A">
        <w:rPr>
          <w:lang w:val="fr-CA"/>
        </w:rPr>
        <w:t>’</w:t>
      </w:r>
      <w:r w:rsidR="00A91D45" w:rsidRPr="00B3274C">
        <w:rPr>
          <w:lang w:val="fr-CA"/>
        </w:rPr>
        <w:t>action intégré</w:t>
      </w:r>
      <w:r w:rsidR="00B2706F" w:rsidRPr="00B3274C">
        <w:rPr>
          <w:lang w:val="fr-CA"/>
        </w:rPr>
        <w:t xml:space="preserve"> relatif à </w:t>
      </w:r>
      <w:r w:rsidR="00A91D45" w:rsidRPr="00B3274C">
        <w:rPr>
          <w:lang w:val="fr-CA"/>
        </w:rPr>
        <w:t>l</w:t>
      </w:r>
      <w:r w:rsidR="0080611A">
        <w:rPr>
          <w:lang w:val="fr-CA"/>
        </w:rPr>
        <w:t>’</w:t>
      </w:r>
      <w:r w:rsidR="00A91D45" w:rsidRPr="00B3274C">
        <w:rPr>
          <w:lang w:val="fr-CA"/>
        </w:rPr>
        <w:t xml:space="preserve">intégration sociale des Roms grecs </w:t>
      </w:r>
      <w:r w:rsidR="00B2706F" w:rsidRPr="00B3274C">
        <w:rPr>
          <w:lang w:val="fr-CA"/>
        </w:rPr>
        <w:t>(2002</w:t>
      </w:r>
      <w:r w:rsidR="00203AB9">
        <w:rPr>
          <w:lang w:val="fr-CA"/>
        </w:rPr>
        <w:t>-</w:t>
      </w:r>
      <w:r w:rsidR="00B2706F" w:rsidRPr="00B3274C">
        <w:rPr>
          <w:lang w:val="fr-CA"/>
        </w:rPr>
        <w:t>2008)</w:t>
      </w:r>
      <w:r w:rsidR="0080611A">
        <w:rPr>
          <w:lang w:val="fr-CA"/>
        </w:rPr>
        <w:t>,</w:t>
      </w:r>
      <w:r w:rsidR="00A91D45" w:rsidRPr="00B3274C">
        <w:rPr>
          <w:lang w:val="fr-CA"/>
        </w:rPr>
        <w:t xml:space="preserve"> un effort global </w:t>
      </w:r>
      <w:r w:rsidR="00B2706F" w:rsidRPr="00B3274C">
        <w:rPr>
          <w:lang w:val="fr-CA"/>
        </w:rPr>
        <w:t>en vue d</w:t>
      </w:r>
      <w:r w:rsidR="0080611A">
        <w:rPr>
          <w:lang w:val="fr-CA"/>
        </w:rPr>
        <w:t>’</w:t>
      </w:r>
      <w:r w:rsidR="00B2706F" w:rsidRPr="00B3274C">
        <w:rPr>
          <w:lang w:val="fr-CA"/>
        </w:rPr>
        <w:t>une réforme administrative coordonnée a été entrepris pour aborder efficacement le problème de l</w:t>
      </w:r>
      <w:r w:rsidR="0080611A">
        <w:rPr>
          <w:lang w:val="fr-CA"/>
        </w:rPr>
        <w:t>’</w:t>
      </w:r>
      <w:r w:rsidR="00D11145" w:rsidRPr="00B3274C">
        <w:rPr>
          <w:lang w:val="fr-CA"/>
        </w:rPr>
        <w:t>exclusion sociale dont souffr</w:t>
      </w:r>
      <w:r w:rsidR="00B2706F" w:rsidRPr="00B3274C">
        <w:rPr>
          <w:lang w:val="fr-CA"/>
        </w:rPr>
        <w:t xml:space="preserve">ent toujours les Roms. </w:t>
      </w:r>
    </w:p>
    <w:p w:rsidR="00FB23D3" w:rsidRPr="00B3274C" w:rsidRDefault="00107A47" w:rsidP="00107A47">
      <w:pPr>
        <w:pStyle w:val="SingleTxtG"/>
        <w:rPr>
          <w:lang w:val="fr-CA"/>
        </w:rPr>
      </w:pPr>
      <w:r w:rsidRPr="00B3274C">
        <w:rPr>
          <w:lang w:val="fr-CA"/>
        </w:rPr>
        <w:t>206.</w:t>
      </w:r>
      <w:r w:rsidRPr="00B3274C">
        <w:rPr>
          <w:lang w:val="fr-CA"/>
        </w:rPr>
        <w:tab/>
      </w:r>
      <w:r w:rsidR="002D2B56">
        <w:rPr>
          <w:lang w:val="fr-CA"/>
        </w:rPr>
        <w:t>À </w:t>
      </w:r>
      <w:r w:rsidR="00B2706F" w:rsidRPr="00B3274C">
        <w:rPr>
          <w:lang w:val="fr-CA"/>
        </w:rPr>
        <w:t>la suite de la réforme juridique de 2010 concernant les responsabilités des autorités locales et régionales (</w:t>
      </w:r>
      <w:r w:rsidR="0055418C" w:rsidRPr="00B3274C">
        <w:rPr>
          <w:lang w:val="fr-CA"/>
        </w:rPr>
        <w:t>«</w:t>
      </w:r>
      <w:r w:rsidR="00AF3F9F" w:rsidRPr="00B3274C">
        <w:rPr>
          <w:lang w:val="fr-CA"/>
        </w:rPr>
        <w:t>P</w:t>
      </w:r>
      <w:r w:rsidR="00B2706F" w:rsidRPr="00B3274C">
        <w:rPr>
          <w:lang w:val="fr-CA"/>
        </w:rPr>
        <w:t>lan Kallikratis</w:t>
      </w:r>
      <w:r w:rsidR="0055418C" w:rsidRPr="00B3274C">
        <w:rPr>
          <w:lang w:val="fr-CA"/>
        </w:rPr>
        <w:t>»</w:t>
      </w:r>
      <w:r w:rsidR="00FB23D3" w:rsidRPr="00B3274C">
        <w:rPr>
          <w:lang w:val="fr-CA"/>
        </w:rPr>
        <w:t>)</w:t>
      </w:r>
      <w:r w:rsidR="0080611A">
        <w:rPr>
          <w:lang w:val="fr-CA"/>
        </w:rPr>
        <w:t>,</w:t>
      </w:r>
      <w:r w:rsidR="00FB23D3" w:rsidRPr="00B3274C">
        <w:rPr>
          <w:lang w:val="fr-CA"/>
        </w:rPr>
        <w:t xml:space="preserve"> </w:t>
      </w:r>
      <w:r w:rsidR="00B2706F" w:rsidRPr="00B3274C">
        <w:rPr>
          <w:lang w:val="fr-CA"/>
        </w:rPr>
        <w:t>un Département des affaires sociales a été créé au niveau régional et chargé de faciliter les questions de rénovation du logement pour les communautés nomades au niveau local (mise à leur disposition d</w:t>
      </w:r>
      <w:r w:rsidR="0080611A">
        <w:rPr>
          <w:lang w:val="fr-CA"/>
        </w:rPr>
        <w:t>’</w:t>
      </w:r>
      <w:r w:rsidR="00B2706F" w:rsidRPr="00B3274C">
        <w:rPr>
          <w:lang w:val="fr-CA"/>
        </w:rPr>
        <w:t>endroits adaptés pour les campements/les étapes)</w:t>
      </w:r>
      <w:r w:rsidR="0080611A">
        <w:rPr>
          <w:lang w:val="fr-CA"/>
        </w:rPr>
        <w:t>,</w:t>
      </w:r>
      <w:r w:rsidR="00AF3F9F" w:rsidRPr="00B3274C">
        <w:rPr>
          <w:lang w:val="fr-CA"/>
        </w:rPr>
        <w:t xml:space="preserve"> en particulier dans le contexte des politiques nationales de terrain.</w:t>
      </w:r>
      <w:r w:rsidR="00B2706F" w:rsidRPr="00B3274C">
        <w:rPr>
          <w:lang w:val="fr-CA"/>
        </w:rPr>
        <w:t xml:space="preserve"> </w:t>
      </w:r>
      <w:r w:rsidR="00AF3F9F" w:rsidRPr="00B3274C">
        <w:rPr>
          <w:lang w:val="fr-CA"/>
        </w:rPr>
        <w:t>Cette fonction s</w:t>
      </w:r>
      <w:r w:rsidR="0080611A">
        <w:rPr>
          <w:lang w:val="fr-CA"/>
        </w:rPr>
        <w:t>’</w:t>
      </w:r>
      <w:r w:rsidR="00AF3F9F" w:rsidRPr="00B3274C">
        <w:rPr>
          <w:lang w:val="fr-CA"/>
        </w:rPr>
        <w:t>inscrit dans le cadre plus large des responsabilités confiées à l</w:t>
      </w:r>
      <w:r w:rsidR="0080611A">
        <w:rPr>
          <w:lang w:val="fr-CA"/>
        </w:rPr>
        <w:t>’</w:t>
      </w:r>
      <w:r w:rsidR="00AF3F9F" w:rsidRPr="00B3274C">
        <w:rPr>
          <w:lang w:val="fr-CA"/>
        </w:rPr>
        <w:t>Administration décentralisée</w:t>
      </w:r>
      <w:r w:rsidR="0080611A">
        <w:rPr>
          <w:lang w:val="fr-CA"/>
        </w:rPr>
        <w:t>,</w:t>
      </w:r>
      <w:r w:rsidR="00AF3F9F" w:rsidRPr="00B3274C">
        <w:rPr>
          <w:lang w:val="fr-CA"/>
        </w:rPr>
        <w:t xml:space="preserve"> notamment à la Direction des questions relatives au statut civique et aux affaires sociales nouvellement créée</w:t>
      </w:r>
      <w:r w:rsidR="0080611A">
        <w:rPr>
          <w:lang w:val="fr-CA"/>
        </w:rPr>
        <w:t>,</w:t>
      </w:r>
      <w:r w:rsidR="00AF3F9F" w:rsidRPr="00B3274C">
        <w:rPr>
          <w:lang w:val="fr-CA"/>
        </w:rPr>
        <w:t xml:space="preserve"> l</w:t>
      </w:r>
      <w:r w:rsidR="0080611A">
        <w:rPr>
          <w:lang w:val="fr-CA"/>
        </w:rPr>
        <w:t>’</w:t>
      </w:r>
      <w:r w:rsidR="00AF3F9F" w:rsidRPr="00B3274C">
        <w:rPr>
          <w:lang w:val="fr-CA"/>
        </w:rPr>
        <w:t xml:space="preserve">accent étant mis sur les questions de cohésion sociale et de solidarité au niveau décentralisé. </w:t>
      </w:r>
    </w:p>
    <w:p w:rsidR="00FB23D3" w:rsidRPr="00B3274C" w:rsidRDefault="00107A47" w:rsidP="00107A47">
      <w:pPr>
        <w:pStyle w:val="SingleTxtG"/>
        <w:rPr>
          <w:bCs/>
          <w:lang w:val="fr-CA"/>
        </w:rPr>
      </w:pPr>
      <w:r w:rsidRPr="00B3274C">
        <w:rPr>
          <w:bCs/>
          <w:lang w:val="fr-CA"/>
        </w:rPr>
        <w:t>207.</w:t>
      </w:r>
      <w:r w:rsidRPr="00B3274C">
        <w:rPr>
          <w:bCs/>
          <w:lang w:val="fr-CA"/>
        </w:rPr>
        <w:tab/>
      </w:r>
      <w:r w:rsidR="008A5085" w:rsidRPr="00B3274C">
        <w:rPr>
          <w:bCs/>
          <w:lang w:val="fr-CA"/>
        </w:rPr>
        <w:t>D</w:t>
      </w:r>
      <w:r w:rsidR="0080611A">
        <w:rPr>
          <w:bCs/>
          <w:lang w:val="fr-CA"/>
        </w:rPr>
        <w:t>’</w:t>
      </w:r>
      <w:r w:rsidR="008A5085" w:rsidRPr="00B3274C">
        <w:rPr>
          <w:bCs/>
          <w:lang w:val="fr-CA"/>
        </w:rPr>
        <w:t>autre part</w:t>
      </w:r>
      <w:r w:rsidR="0080611A">
        <w:rPr>
          <w:bCs/>
          <w:lang w:val="fr-CA"/>
        </w:rPr>
        <w:t>,</w:t>
      </w:r>
      <w:r w:rsidR="008A5085" w:rsidRPr="00B3274C">
        <w:rPr>
          <w:bCs/>
          <w:lang w:val="fr-CA"/>
        </w:rPr>
        <w:t xml:space="preserve"> reconnaissant que l</w:t>
      </w:r>
      <w:r w:rsidR="0080611A">
        <w:rPr>
          <w:bCs/>
          <w:lang w:val="fr-CA"/>
        </w:rPr>
        <w:t>’</w:t>
      </w:r>
      <w:r w:rsidR="008A5085" w:rsidRPr="00B3274C">
        <w:rPr>
          <w:bCs/>
          <w:lang w:val="fr-CA"/>
        </w:rPr>
        <w:t xml:space="preserve">intégration sociale est un processus multiple </w:t>
      </w:r>
      <w:r w:rsidR="00F04360" w:rsidRPr="00B3274C">
        <w:rPr>
          <w:bCs/>
          <w:lang w:val="fr-CA"/>
        </w:rPr>
        <w:t>qui se déroule</w:t>
      </w:r>
      <w:r w:rsidR="008A5085" w:rsidRPr="00B3274C">
        <w:rPr>
          <w:bCs/>
          <w:lang w:val="fr-CA"/>
        </w:rPr>
        <w:t xml:space="preserve"> à plusieurs niveaux de l</w:t>
      </w:r>
      <w:r w:rsidR="0080611A">
        <w:rPr>
          <w:bCs/>
          <w:lang w:val="fr-CA"/>
        </w:rPr>
        <w:t>’</w:t>
      </w:r>
      <w:r w:rsidR="008A5085" w:rsidRPr="00B3274C">
        <w:rPr>
          <w:bCs/>
          <w:lang w:val="fr-CA"/>
        </w:rPr>
        <w:t>administration mais aussi de la société civile et afin de garantir la coopération au niveau local</w:t>
      </w:r>
      <w:r w:rsidR="0080611A">
        <w:rPr>
          <w:bCs/>
          <w:lang w:val="fr-CA"/>
        </w:rPr>
        <w:t>,</w:t>
      </w:r>
      <w:r w:rsidR="008A5085" w:rsidRPr="00B3274C">
        <w:rPr>
          <w:bCs/>
          <w:lang w:val="fr-CA"/>
        </w:rPr>
        <w:t xml:space="preserve"> le Ministère de l</w:t>
      </w:r>
      <w:r w:rsidR="0080611A">
        <w:rPr>
          <w:bCs/>
          <w:lang w:val="fr-CA"/>
        </w:rPr>
        <w:t>’</w:t>
      </w:r>
      <w:r w:rsidR="008A5085" w:rsidRPr="00B3274C">
        <w:rPr>
          <w:bCs/>
          <w:lang w:val="fr-CA"/>
        </w:rPr>
        <w:t>intérieur a procédé en 2010 à un appel public</w:t>
      </w:r>
      <w:r w:rsidR="0080611A">
        <w:rPr>
          <w:bCs/>
          <w:lang w:val="fr-CA"/>
        </w:rPr>
        <w:t>,</w:t>
      </w:r>
      <w:r w:rsidR="008A5085" w:rsidRPr="00B3274C">
        <w:rPr>
          <w:bCs/>
          <w:lang w:val="fr-CA"/>
        </w:rPr>
        <w:t xml:space="preserve"> adressé à toutes les autorités et à tous les organes s</w:t>
      </w:r>
      <w:r w:rsidR="0080611A">
        <w:rPr>
          <w:bCs/>
          <w:lang w:val="fr-CA"/>
        </w:rPr>
        <w:t>’</w:t>
      </w:r>
      <w:r w:rsidR="008A5085" w:rsidRPr="00B3274C">
        <w:rPr>
          <w:bCs/>
          <w:lang w:val="fr-CA"/>
        </w:rPr>
        <w:t>occupant de l</w:t>
      </w:r>
      <w:r w:rsidR="0080611A">
        <w:rPr>
          <w:bCs/>
          <w:lang w:val="fr-CA"/>
        </w:rPr>
        <w:t>’</w:t>
      </w:r>
      <w:r w:rsidR="008A5085" w:rsidRPr="00B3274C">
        <w:rPr>
          <w:bCs/>
          <w:lang w:val="fr-CA"/>
        </w:rPr>
        <w:t>intégration sociale des Roms (ou de questions se rapportant aux droits des Roms)</w:t>
      </w:r>
      <w:r w:rsidR="0080611A">
        <w:rPr>
          <w:bCs/>
          <w:lang w:val="fr-CA"/>
        </w:rPr>
        <w:t>,</w:t>
      </w:r>
      <w:r w:rsidR="008A5085" w:rsidRPr="00B3274C">
        <w:rPr>
          <w:bCs/>
          <w:lang w:val="fr-CA"/>
        </w:rPr>
        <w:t xml:space="preserve"> </w:t>
      </w:r>
      <w:r w:rsidR="00F82320" w:rsidRPr="00B3274C">
        <w:rPr>
          <w:bCs/>
          <w:lang w:val="fr-CA"/>
        </w:rPr>
        <w:t>a</w:t>
      </w:r>
      <w:r w:rsidR="008A5085" w:rsidRPr="00B3274C">
        <w:rPr>
          <w:bCs/>
          <w:lang w:val="fr-CA"/>
        </w:rPr>
        <w:t>fin de recueillir des informations (ainsi que d</w:t>
      </w:r>
      <w:r w:rsidR="0080611A">
        <w:rPr>
          <w:bCs/>
          <w:lang w:val="fr-CA"/>
        </w:rPr>
        <w:t>’</w:t>
      </w:r>
      <w:r w:rsidR="008A5085" w:rsidRPr="00B3274C">
        <w:rPr>
          <w:bCs/>
          <w:lang w:val="fr-CA"/>
        </w:rPr>
        <w:t xml:space="preserve">éventuelles données quantitatives) sur les initiatives </w:t>
      </w:r>
      <w:r w:rsidR="005F0F7F" w:rsidRPr="00B3274C">
        <w:rPr>
          <w:bCs/>
          <w:lang w:val="fr-CA"/>
        </w:rPr>
        <w:t xml:space="preserve">qui avaient été </w:t>
      </w:r>
      <w:r w:rsidR="008A5085" w:rsidRPr="00B3274C">
        <w:rPr>
          <w:bCs/>
          <w:lang w:val="fr-CA"/>
        </w:rPr>
        <w:t xml:space="preserve">prises </w:t>
      </w:r>
      <w:r w:rsidR="005F0F7F" w:rsidRPr="00B3274C">
        <w:rPr>
          <w:bCs/>
          <w:lang w:val="fr-CA"/>
        </w:rPr>
        <w:t xml:space="preserve">et celles qui étaient prévues. </w:t>
      </w:r>
      <w:r w:rsidR="001E6523" w:rsidRPr="00B3274C">
        <w:rPr>
          <w:bCs/>
          <w:lang w:val="fr-CA"/>
        </w:rPr>
        <w:t>En 2012</w:t>
      </w:r>
      <w:r w:rsidR="0080611A">
        <w:rPr>
          <w:bCs/>
          <w:lang w:val="fr-CA"/>
        </w:rPr>
        <w:t>,</w:t>
      </w:r>
      <w:r w:rsidR="001E6523" w:rsidRPr="00B3274C">
        <w:rPr>
          <w:bCs/>
          <w:lang w:val="fr-CA"/>
        </w:rPr>
        <w:t xml:space="preserve"> un deuxième appel a été adressé en particulier aux régions du pays à propos du Cadre de référence stratégique national. Le but était de faire en sorte que toute</w:t>
      </w:r>
      <w:r w:rsidR="00513071" w:rsidRPr="00B3274C">
        <w:rPr>
          <w:bCs/>
          <w:lang w:val="fr-CA"/>
        </w:rPr>
        <w:t xml:space="preserve"> mesure</w:t>
      </w:r>
      <w:r w:rsidR="001E6523" w:rsidRPr="00B3274C">
        <w:rPr>
          <w:bCs/>
          <w:lang w:val="fr-CA"/>
        </w:rPr>
        <w:t xml:space="preserve"> prise</w:t>
      </w:r>
      <w:r w:rsidR="0080611A">
        <w:rPr>
          <w:bCs/>
          <w:lang w:val="fr-CA"/>
        </w:rPr>
        <w:t>,</w:t>
      </w:r>
      <w:r w:rsidR="001E6523" w:rsidRPr="00B3274C">
        <w:rPr>
          <w:bCs/>
          <w:lang w:val="fr-CA"/>
        </w:rPr>
        <w:t xml:space="preserve"> en particulier au niveau local</w:t>
      </w:r>
      <w:r w:rsidR="0080611A">
        <w:rPr>
          <w:bCs/>
          <w:lang w:val="fr-CA"/>
        </w:rPr>
        <w:t>,</w:t>
      </w:r>
      <w:r w:rsidR="001E6523" w:rsidRPr="00B3274C">
        <w:rPr>
          <w:bCs/>
          <w:lang w:val="fr-CA"/>
        </w:rPr>
        <w:t xml:space="preserve"> par les autorités locales ou la société civile</w:t>
      </w:r>
      <w:r w:rsidR="0080611A">
        <w:rPr>
          <w:bCs/>
          <w:lang w:val="fr-CA"/>
        </w:rPr>
        <w:t>,</w:t>
      </w:r>
      <w:r w:rsidR="001E6523" w:rsidRPr="00B3274C">
        <w:rPr>
          <w:bCs/>
          <w:lang w:val="fr-CA"/>
        </w:rPr>
        <w:t xml:space="preserve"> y compris les ONG roms</w:t>
      </w:r>
      <w:r w:rsidR="0080611A">
        <w:rPr>
          <w:bCs/>
          <w:lang w:val="fr-CA"/>
        </w:rPr>
        <w:t>,</w:t>
      </w:r>
      <w:r w:rsidR="001E6523" w:rsidRPr="00B3274C">
        <w:rPr>
          <w:bCs/>
          <w:lang w:val="fr-CA"/>
        </w:rPr>
        <w:t xml:space="preserve"> </w:t>
      </w:r>
      <w:r w:rsidR="00513071" w:rsidRPr="00B3274C">
        <w:rPr>
          <w:bCs/>
          <w:lang w:val="fr-CA"/>
        </w:rPr>
        <w:t>vise à atteindre les objectifs fixés au sein d</w:t>
      </w:r>
      <w:r w:rsidR="0080611A">
        <w:rPr>
          <w:bCs/>
          <w:lang w:val="fr-CA"/>
        </w:rPr>
        <w:t>’</w:t>
      </w:r>
      <w:r w:rsidR="00513071" w:rsidRPr="00B3274C">
        <w:rPr>
          <w:bCs/>
          <w:lang w:val="fr-CA"/>
        </w:rPr>
        <w:t>un cadre stratégique élargi</w:t>
      </w:r>
      <w:r w:rsidR="0080611A">
        <w:rPr>
          <w:bCs/>
          <w:lang w:val="fr-CA"/>
        </w:rPr>
        <w:t>,</w:t>
      </w:r>
      <w:r w:rsidR="00513071" w:rsidRPr="00B3274C">
        <w:rPr>
          <w:bCs/>
          <w:lang w:val="fr-CA"/>
        </w:rPr>
        <w:t xml:space="preserve"> </w:t>
      </w:r>
      <w:r w:rsidR="00690DFF" w:rsidRPr="00B3274C">
        <w:rPr>
          <w:bCs/>
          <w:lang w:val="fr-CA"/>
        </w:rPr>
        <w:t>et ne porte</w:t>
      </w:r>
      <w:r w:rsidR="007D5970" w:rsidRPr="00B3274C">
        <w:rPr>
          <w:bCs/>
          <w:lang w:val="fr-CA"/>
        </w:rPr>
        <w:t xml:space="preserve"> pas atteinte aux</w:t>
      </w:r>
      <w:r w:rsidR="00513071" w:rsidRPr="00B3274C">
        <w:rPr>
          <w:bCs/>
          <w:lang w:val="fr-CA"/>
        </w:rPr>
        <w:t xml:space="preserve"> politiques </w:t>
      </w:r>
      <w:r w:rsidR="007D5970" w:rsidRPr="00B3274C">
        <w:rPr>
          <w:bCs/>
          <w:lang w:val="fr-CA"/>
        </w:rPr>
        <w:t>sectorielles</w:t>
      </w:r>
      <w:r w:rsidR="00513071" w:rsidRPr="00B3274C">
        <w:rPr>
          <w:bCs/>
          <w:lang w:val="fr-CA"/>
        </w:rPr>
        <w:t xml:space="preserve">. </w:t>
      </w:r>
      <w:r w:rsidR="00A715F2" w:rsidRPr="00B3274C">
        <w:rPr>
          <w:bCs/>
          <w:lang w:val="fr-CA"/>
        </w:rPr>
        <w:t>La nécessité d</w:t>
      </w:r>
      <w:r w:rsidR="0080611A">
        <w:rPr>
          <w:bCs/>
          <w:lang w:val="fr-CA"/>
        </w:rPr>
        <w:t>’</w:t>
      </w:r>
      <w:r w:rsidR="00A715F2" w:rsidRPr="00B3274C">
        <w:rPr>
          <w:bCs/>
          <w:lang w:val="fr-CA"/>
        </w:rPr>
        <w:t>une intervention administrative coordonnée aux niveaux local et national</w:t>
      </w:r>
      <w:r w:rsidR="0080611A">
        <w:rPr>
          <w:bCs/>
          <w:lang w:val="fr-CA"/>
        </w:rPr>
        <w:t>,</w:t>
      </w:r>
      <w:r w:rsidR="00A715F2" w:rsidRPr="00B3274C">
        <w:rPr>
          <w:bCs/>
          <w:lang w:val="fr-CA"/>
        </w:rPr>
        <w:t xml:space="preserve"> et la nécessité</w:t>
      </w:r>
      <w:r w:rsidR="00D07C3E" w:rsidRPr="00B3274C">
        <w:rPr>
          <w:bCs/>
          <w:lang w:val="fr-CA"/>
        </w:rPr>
        <w:t xml:space="preserve"> concomitante </w:t>
      </w:r>
      <w:r w:rsidR="00A715F2" w:rsidRPr="00B3274C">
        <w:rPr>
          <w:bCs/>
          <w:lang w:val="fr-CA"/>
        </w:rPr>
        <w:t>de s</w:t>
      </w:r>
      <w:r w:rsidR="0080611A">
        <w:rPr>
          <w:bCs/>
          <w:lang w:val="fr-CA"/>
        </w:rPr>
        <w:t>’</w:t>
      </w:r>
      <w:r w:rsidR="00A715F2" w:rsidRPr="00B3274C">
        <w:rPr>
          <w:bCs/>
          <w:lang w:val="fr-CA"/>
        </w:rPr>
        <w:t>efforcer de résoudre efficacement les problèmes auxquels les Roms se heurtent depuis longtemps dans les domaines du logement</w:t>
      </w:r>
      <w:r w:rsidR="0080611A">
        <w:rPr>
          <w:bCs/>
          <w:lang w:val="fr-CA"/>
        </w:rPr>
        <w:t>,</w:t>
      </w:r>
      <w:r w:rsidR="00A715F2" w:rsidRPr="00B3274C">
        <w:rPr>
          <w:bCs/>
          <w:lang w:val="fr-CA"/>
        </w:rPr>
        <w:t xml:space="preserve"> de l</w:t>
      </w:r>
      <w:r w:rsidR="0080611A">
        <w:rPr>
          <w:bCs/>
          <w:lang w:val="fr-CA"/>
        </w:rPr>
        <w:t>’</w:t>
      </w:r>
      <w:r w:rsidR="00A715F2" w:rsidRPr="00B3274C">
        <w:rPr>
          <w:bCs/>
          <w:lang w:val="fr-CA"/>
        </w:rPr>
        <w:t>éducation</w:t>
      </w:r>
      <w:r w:rsidR="0080611A">
        <w:rPr>
          <w:bCs/>
          <w:lang w:val="fr-CA"/>
        </w:rPr>
        <w:t>,</w:t>
      </w:r>
      <w:r w:rsidR="00A715F2" w:rsidRPr="00B3274C">
        <w:rPr>
          <w:bCs/>
          <w:lang w:val="fr-CA"/>
        </w:rPr>
        <w:t xml:space="preserve"> de l</w:t>
      </w:r>
      <w:r w:rsidR="0080611A">
        <w:rPr>
          <w:bCs/>
          <w:lang w:val="fr-CA"/>
        </w:rPr>
        <w:t>’</w:t>
      </w:r>
      <w:r w:rsidR="00A715F2" w:rsidRPr="00B3274C">
        <w:rPr>
          <w:bCs/>
          <w:lang w:val="fr-CA"/>
        </w:rPr>
        <w:t>emploi</w:t>
      </w:r>
      <w:r w:rsidR="00D07C3E" w:rsidRPr="00B3274C">
        <w:rPr>
          <w:bCs/>
          <w:lang w:val="fr-CA"/>
        </w:rPr>
        <w:t xml:space="preserve"> et </w:t>
      </w:r>
      <w:r w:rsidR="00A715F2" w:rsidRPr="00B3274C">
        <w:rPr>
          <w:bCs/>
          <w:lang w:val="fr-CA"/>
        </w:rPr>
        <w:t>des soins de santé</w:t>
      </w:r>
      <w:r w:rsidR="0080611A">
        <w:rPr>
          <w:bCs/>
          <w:lang w:val="fr-CA"/>
        </w:rPr>
        <w:t>,</w:t>
      </w:r>
      <w:r w:rsidR="00D07C3E" w:rsidRPr="00B3274C">
        <w:rPr>
          <w:bCs/>
          <w:lang w:val="fr-CA"/>
        </w:rPr>
        <w:t xml:space="preserve"> ainsi que </w:t>
      </w:r>
      <w:r w:rsidR="00A715F2" w:rsidRPr="00B3274C">
        <w:rPr>
          <w:bCs/>
          <w:lang w:val="fr-CA"/>
        </w:rPr>
        <w:t>ceux qu</w:t>
      </w:r>
      <w:r w:rsidR="0080611A">
        <w:rPr>
          <w:bCs/>
          <w:lang w:val="fr-CA"/>
        </w:rPr>
        <w:t>’</w:t>
      </w:r>
      <w:r w:rsidR="00A715F2" w:rsidRPr="00B3274C">
        <w:rPr>
          <w:bCs/>
          <w:lang w:val="fr-CA"/>
        </w:rPr>
        <w:t>ils rencontrent</w:t>
      </w:r>
      <w:r w:rsidR="0080611A">
        <w:rPr>
          <w:bCs/>
          <w:lang w:val="fr-CA"/>
        </w:rPr>
        <w:t>,</w:t>
      </w:r>
      <w:r w:rsidR="00A715F2" w:rsidRPr="00B3274C">
        <w:rPr>
          <w:bCs/>
          <w:lang w:val="fr-CA"/>
        </w:rPr>
        <w:t xml:space="preserve"> d</w:t>
      </w:r>
      <w:r w:rsidR="0080611A">
        <w:rPr>
          <w:bCs/>
          <w:lang w:val="fr-CA"/>
        </w:rPr>
        <w:t>’</w:t>
      </w:r>
      <w:r w:rsidR="00A715F2" w:rsidRPr="00B3274C">
        <w:rPr>
          <w:bCs/>
          <w:lang w:val="fr-CA"/>
        </w:rPr>
        <w:t>une manière générale</w:t>
      </w:r>
      <w:r w:rsidR="0080611A">
        <w:rPr>
          <w:bCs/>
          <w:lang w:val="fr-CA"/>
        </w:rPr>
        <w:t>,</w:t>
      </w:r>
      <w:r w:rsidR="00A715F2" w:rsidRPr="00B3274C">
        <w:rPr>
          <w:bCs/>
          <w:lang w:val="fr-CA"/>
        </w:rPr>
        <w:t xml:space="preserve"> pour s</w:t>
      </w:r>
      <w:r w:rsidR="0080611A">
        <w:rPr>
          <w:bCs/>
          <w:lang w:val="fr-CA"/>
        </w:rPr>
        <w:t>’</w:t>
      </w:r>
      <w:r w:rsidR="00A715F2" w:rsidRPr="00B3274C">
        <w:rPr>
          <w:bCs/>
          <w:lang w:val="fr-CA"/>
        </w:rPr>
        <w:t>intégrer dans la société</w:t>
      </w:r>
      <w:r w:rsidR="0080611A">
        <w:rPr>
          <w:bCs/>
          <w:lang w:val="fr-CA"/>
        </w:rPr>
        <w:t>,</w:t>
      </w:r>
      <w:r w:rsidR="00A715F2" w:rsidRPr="00B3274C">
        <w:rPr>
          <w:bCs/>
          <w:lang w:val="fr-CA"/>
        </w:rPr>
        <w:t xml:space="preserve"> </w:t>
      </w:r>
      <w:r w:rsidR="008C7E4A" w:rsidRPr="00B3274C">
        <w:rPr>
          <w:bCs/>
          <w:lang w:val="fr-CA"/>
        </w:rPr>
        <w:t>ont</w:t>
      </w:r>
      <w:r w:rsidR="00A715F2" w:rsidRPr="00B3274C">
        <w:rPr>
          <w:bCs/>
          <w:lang w:val="fr-CA"/>
        </w:rPr>
        <w:t xml:space="preserve"> conduit à mettre en place un nouveau cadre stratégique en faveur des Roms en Grèce</w:t>
      </w:r>
      <w:r w:rsidR="00D07C3E" w:rsidRPr="00B3274C">
        <w:rPr>
          <w:bCs/>
          <w:lang w:val="fr-CA"/>
        </w:rPr>
        <w:t>. Un vaste ensemble de questions fondamentales</w:t>
      </w:r>
      <w:r w:rsidR="00B34347" w:rsidRPr="00B3274C">
        <w:rPr>
          <w:bCs/>
          <w:lang w:val="fr-CA"/>
        </w:rPr>
        <w:t xml:space="preserve"> ont été </w:t>
      </w:r>
      <w:r w:rsidR="00D07C3E" w:rsidRPr="00B3274C">
        <w:rPr>
          <w:bCs/>
          <w:lang w:val="fr-CA"/>
        </w:rPr>
        <w:t>examinées dans ce but</w:t>
      </w:r>
      <w:r w:rsidR="00B34347" w:rsidRPr="00B3274C">
        <w:rPr>
          <w:bCs/>
          <w:lang w:val="fr-CA"/>
        </w:rPr>
        <w:t>. Parmi celles qui ont été examinées pour garantir l</w:t>
      </w:r>
      <w:r w:rsidR="0080611A">
        <w:rPr>
          <w:bCs/>
          <w:lang w:val="fr-CA"/>
        </w:rPr>
        <w:t>’</w:t>
      </w:r>
      <w:r w:rsidR="00B34347" w:rsidRPr="00B3274C">
        <w:rPr>
          <w:bCs/>
          <w:lang w:val="fr-CA"/>
        </w:rPr>
        <w:t>égalité d</w:t>
      </w:r>
      <w:r w:rsidR="0080611A">
        <w:rPr>
          <w:bCs/>
          <w:lang w:val="fr-CA"/>
        </w:rPr>
        <w:t>’</w:t>
      </w:r>
      <w:r w:rsidR="00B34347" w:rsidRPr="00B3274C">
        <w:rPr>
          <w:bCs/>
          <w:lang w:val="fr-CA"/>
        </w:rPr>
        <w:t>accès aux droits fondamentaux</w:t>
      </w:r>
      <w:r w:rsidR="0080611A">
        <w:rPr>
          <w:bCs/>
          <w:lang w:val="fr-CA"/>
        </w:rPr>
        <w:t>,</w:t>
      </w:r>
      <w:r w:rsidR="00B34347" w:rsidRPr="00B3274C">
        <w:rPr>
          <w:bCs/>
          <w:lang w:val="fr-CA"/>
        </w:rPr>
        <w:t xml:space="preserve"> il convient de mentionner la </w:t>
      </w:r>
      <w:r w:rsidR="00D07C3E" w:rsidRPr="00B3274C">
        <w:rPr>
          <w:bCs/>
          <w:lang w:val="fr-CA"/>
        </w:rPr>
        <w:t>création de garanties procédurales et législatives particulières</w:t>
      </w:r>
      <w:r w:rsidR="0080611A">
        <w:rPr>
          <w:bCs/>
          <w:lang w:val="fr-CA"/>
        </w:rPr>
        <w:t>,</w:t>
      </w:r>
      <w:r w:rsidR="00D07C3E" w:rsidRPr="00B3274C">
        <w:rPr>
          <w:bCs/>
          <w:lang w:val="fr-CA"/>
        </w:rPr>
        <w:t xml:space="preserve"> concernant notamment les expulsions illégales</w:t>
      </w:r>
      <w:r w:rsidR="002261F0" w:rsidRPr="00B3274C">
        <w:rPr>
          <w:rStyle w:val="FootnoteReference"/>
          <w:lang w:val="fr-CA"/>
        </w:rPr>
        <w:footnoteReference w:id="8"/>
      </w:r>
      <w:r w:rsidR="00FB23D3" w:rsidRPr="00B3274C">
        <w:rPr>
          <w:lang w:val="fr-CA"/>
        </w:rPr>
        <w:t xml:space="preserve"> </w:t>
      </w:r>
      <w:r w:rsidR="00B34347" w:rsidRPr="00B3274C">
        <w:rPr>
          <w:lang w:val="fr-CA"/>
        </w:rPr>
        <w:t>ainsi que la principale condition préalable à une action en synergie au nom des organes concernés en termes de planification rationnelle</w:t>
      </w:r>
      <w:r w:rsidR="0080611A">
        <w:rPr>
          <w:lang w:val="fr-CA"/>
        </w:rPr>
        <w:t>,</w:t>
      </w:r>
      <w:r w:rsidR="00B34347" w:rsidRPr="00B3274C">
        <w:rPr>
          <w:lang w:val="fr-CA"/>
        </w:rPr>
        <w:t xml:space="preserve"> y compris la participation des Roms</w:t>
      </w:r>
      <w:r w:rsidR="009F2F83" w:rsidRPr="00B3274C">
        <w:rPr>
          <w:lang w:val="fr-CA"/>
        </w:rPr>
        <w:t xml:space="preserve">. </w:t>
      </w:r>
      <w:r w:rsidR="00251EB5" w:rsidRPr="00B3274C">
        <w:rPr>
          <w:lang w:val="fr-CA"/>
        </w:rPr>
        <w:t>Pour remédier aux insuffisances de la phase opérationnelle précédente</w:t>
      </w:r>
      <w:r w:rsidR="0080611A">
        <w:rPr>
          <w:lang w:val="fr-CA"/>
        </w:rPr>
        <w:t>,</w:t>
      </w:r>
      <w:r w:rsidR="00251EB5" w:rsidRPr="00B3274C">
        <w:rPr>
          <w:lang w:val="fr-CA"/>
        </w:rPr>
        <w:t xml:space="preserve"> l</w:t>
      </w:r>
      <w:r w:rsidR="0080611A">
        <w:rPr>
          <w:lang w:val="fr-CA"/>
        </w:rPr>
        <w:t>’</w:t>
      </w:r>
      <w:r w:rsidR="00251EB5" w:rsidRPr="00B3274C">
        <w:rPr>
          <w:lang w:val="fr-CA"/>
        </w:rPr>
        <w:t>attention a été portée tout particulièrement</w:t>
      </w:r>
      <w:r w:rsidR="0080611A">
        <w:rPr>
          <w:lang w:val="fr-CA"/>
        </w:rPr>
        <w:t>,</w:t>
      </w:r>
      <w:r w:rsidR="00251EB5" w:rsidRPr="00B3274C">
        <w:rPr>
          <w:lang w:val="fr-CA"/>
        </w:rPr>
        <w:t xml:space="preserve"> ainsi que l</w:t>
      </w:r>
      <w:r w:rsidR="0080611A">
        <w:rPr>
          <w:lang w:val="fr-CA"/>
        </w:rPr>
        <w:t>’</w:t>
      </w:r>
      <w:r w:rsidR="00251EB5" w:rsidRPr="00B3274C">
        <w:rPr>
          <w:lang w:val="fr-CA"/>
        </w:rPr>
        <w:t>ont recommandé la Commission nationale des droits de l</w:t>
      </w:r>
      <w:r w:rsidR="0080611A">
        <w:rPr>
          <w:lang w:val="fr-CA"/>
        </w:rPr>
        <w:t>’</w:t>
      </w:r>
      <w:r w:rsidR="00251EB5" w:rsidRPr="00B3274C">
        <w:rPr>
          <w:lang w:val="fr-CA"/>
        </w:rPr>
        <w:t>homme et le médiateur</w:t>
      </w:r>
      <w:r w:rsidR="0080611A">
        <w:rPr>
          <w:lang w:val="fr-CA"/>
        </w:rPr>
        <w:t>,</w:t>
      </w:r>
      <w:r w:rsidR="00251EB5" w:rsidRPr="00B3274C">
        <w:rPr>
          <w:lang w:val="fr-CA"/>
        </w:rPr>
        <w:t xml:space="preserve"> sur la </w:t>
      </w:r>
      <w:r w:rsidR="00251EB5" w:rsidRPr="00B3274C">
        <w:rPr>
          <w:color w:val="000000"/>
          <w:lang w:val="fr-CA"/>
        </w:rPr>
        <w:t>fragmentation des actions</w:t>
      </w:r>
      <w:r w:rsidR="0080611A">
        <w:rPr>
          <w:color w:val="000000"/>
          <w:lang w:val="fr-CA"/>
        </w:rPr>
        <w:t>,</w:t>
      </w:r>
      <w:r w:rsidR="00251EB5" w:rsidRPr="00B3274C">
        <w:rPr>
          <w:color w:val="000000"/>
          <w:lang w:val="fr-CA"/>
        </w:rPr>
        <w:t xml:space="preserve"> l</w:t>
      </w:r>
      <w:r w:rsidR="0080611A">
        <w:rPr>
          <w:color w:val="000000"/>
          <w:lang w:val="fr-CA"/>
        </w:rPr>
        <w:t>’</w:t>
      </w:r>
      <w:r w:rsidR="00251EB5" w:rsidRPr="00B3274C">
        <w:rPr>
          <w:color w:val="000000"/>
          <w:lang w:val="fr-CA"/>
        </w:rPr>
        <w:t>absence de suivi systématique et de ciblage adéquat des interventions entreprises</w:t>
      </w:r>
      <w:r w:rsidR="0080611A">
        <w:rPr>
          <w:color w:val="000000"/>
          <w:lang w:val="fr-CA"/>
        </w:rPr>
        <w:t>,</w:t>
      </w:r>
      <w:r w:rsidR="00251EB5" w:rsidRPr="00B3274C">
        <w:rPr>
          <w:color w:val="000000"/>
          <w:lang w:val="fr-CA"/>
        </w:rPr>
        <w:t xml:space="preserve"> en fonction des différents besoins prioritaires de la communauté rom au niveau local</w:t>
      </w:r>
      <w:r w:rsidR="00597DC4">
        <w:rPr>
          <w:lang w:val="fr-CA"/>
        </w:rPr>
        <w:t>. À </w:t>
      </w:r>
      <w:r w:rsidR="00251EB5" w:rsidRPr="00B3274C">
        <w:rPr>
          <w:lang w:val="fr-CA"/>
        </w:rPr>
        <w:t>cette fin</w:t>
      </w:r>
      <w:r w:rsidR="0080611A">
        <w:rPr>
          <w:lang w:val="fr-CA"/>
        </w:rPr>
        <w:t>,</w:t>
      </w:r>
      <w:r w:rsidR="00251EB5" w:rsidRPr="00B3274C">
        <w:rPr>
          <w:lang w:val="fr-CA"/>
        </w:rPr>
        <w:t xml:space="preserve"> l</w:t>
      </w:r>
      <w:r w:rsidR="0080611A">
        <w:rPr>
          <w:lang w:val="fr-CA"/>
        </w:rPr>
        <w:t>’</w:t>
      </w:r>
      <w:r w:rsidR="00251EB5" w:rsidRPr="00B3274C">
        <w:rPr>
          <w:lang w:val="fr-CA"/>
        </w:rPr>
        <w:t>élaboration d</w:t>
      </w:r>
      <w:r w:rsidR="0080611A">
        <w:rPr>
          <w:lang w:val="fr-CA"/>
        </w:rPr>
        <w:t>’</w:t>
      </w:r>
      <w:r w:rsidR="00251EB5" w:rsidRPr="00B3274C">
        <w:rPr>
          <w:lang w:val="fr-CA"/>
        </w:rPr>
        <w:t>interventions locales intégrées constitue un élément majeur du nouveau cadre stratégique et de son approche globale</w:t>
      </w:r>
      <w:r w:rsidR="0080611A">
        <w:rPr>
          <w:lang w:val="fr-CA"/>
        </w:rPr>
        <w:t>,</w:t>
      </w:r>
      <w:r w:rsidR="00251EB5" w:rsidRPr="00B3274C">
        <w:rPr>
          <w:lang w:val="fr-CA"/>
        </w:rPr>
        <w:t xml:space="preserve"> le plein accès aux droits civils</w:t>
      </w:r>
      <w:r w:rsidR="0080611A">
        <w:rPr>
          <w:lang w:val="fr-CA"/>
        </w:rPr>
        <w:t>,</w:t>
      </w:r>
      <w:r w:rsidR="00251EB5" w:rsidRPr="00B3274C">
        <w:rPr>
          <w:lang w:val="fr-CA"/>
        </w:rPr>
        <w:t xml:space="preserve"> sociaux et politiques </w:t>
      </w:r>
      <w:r w:rsidR="00591047" w:rsidRPr="00B3274C">
        <w:rPr>
          <w:lang w:val="fr-CA"/>
        </w:rPr>
        <w:t xml:space="preserve">étant examiné en fonction des conditions de vie et des besoins particuliers et aussi de la dimension locale mais également sociale de la communauté rom. </w:t>
      </w:r>
      <w:r w:rsidR="005A379C" w:rsidRPr="00B3274C">
        <w:rPr>
          <w:lang w:val="fr-CA"/>
        </w:rPr>
        <w:t>En pratique</w:t>
      </w:r>
      <w:r w:rsidR="0080611A">
        <w:rPr>
          <w:lang w:val="fr-CA"/>
        </w:rPr>
        <w:t>,</w:t>
      </w:r>
      <w:r w:rsidR="005A379C" w:rsidRPr="00B3274C">
        <w:rPr>
          <w:lang w:val="fr-CA"/>
        </w:rPr>
        <w:t xml:space="preserve"> ceci suppose d</w:t>
      </w:r>
      <w:r w:rsidR="0080611A">
        <w:rPr>
          <w:lang w:val="fr-CA"/>
        </w:rPr>
        <w:t>’</w:t>
      </w:r>
      <w:r w:rsidR="005A379C" w:rsidRPr="00B3274C">
        <w:rPr>
          <w:lang w:val="fr-CA"/>
        </w:rPr>
        <w:t xml:space="preserve">accorder la priorité aux </w:t>
      </w:r>
      <w:r w:rsidR="00134DAD" w:rsidRPr="00B3274C">
        <w:rPr>
          <w:lang w:val="fr-CA"/>
        </w:rPr>
        <w:t xml:space="preserve">différents </w:t>
      </w:r>
      <w:r w:rsidR="005A379C" w:rsidRPr="00B3274C">
        <w:rPr>
          <w:lang w:val="fr-CA"/>
        </w:rPr>
        <w:t xml:space="preserve">besoins de la population rom </w:t>
      </w:r>
      <w:r w:rsidR="00134DAD" w:rsidRPr="00B3274C">
        <w:rPr>
          <w:lang w:val="fr-CA"/>
        </w:rPr>
        <w:t>tels qu</w:t>
      </w:r>
      <w:r w:rsidR="0080611A">
        <w:rPr>
          <w:lang w:val="fr-CA"/>
        </w:rPr>
        <w:t>’</w:t>
      </w:r>
      <w:r w:rsidR="00134DAD" w:rsidRPr="00B3274C">
        <w:rPr>
          <w:lang w:val="fr-CA"/>
        </w:rPr>
        <w:t>évalués au moyen d</w:t>
      </w:r>
      <w:r w:rsidR="0080611A">
        <w:rPr>
          <w:lang w:val="fr-CA"/>
        </w:rPr>
        <w:t>’</w:t>
      </w:r>
      <w:r w:rsidR="00134DAD" w:rsidRPr="00B3274C">
        <w:rPr>
          <w:lang w:val="fr-CA"/>
        </w:rPr>
        <w:t>un nouvel outil conçu à cette fin (base de données</w:t>
      </w:r>
      <w:r w:rsidR="00ED583C" w:rsidRPr="00B3274C">
        <w:rPr>
          <w:rStyle w:val="FootnoteReference"/>
          <w:bCs/>
          <w:lang w:val="fr-CA"/>
        </w:rPr>
        <w:footnoteReference w:id="9"/>
      </w:r>
      <w:r w:rsidR="00FB23D3" w:rsidRPr="00B3274C">
        <w:rPr>
          <w:bCs/>
          <w:lang w:val="fr-CA"/>
        </w:rPr>
        <w:t xml:space="preserve"> </w:t>
      </w:r>
      <w:r w:rsidR="00134DAD" w:rsidRPr="00B3274C">
        <w:rPr>
          <w:bCs/>
          <w:lang w:val="fr-CA"/>
        </w:rPr>
        <w:t xml:space="preserve">sur les conditions de vie des Roms à mettre à jour au niveau local). </w:t>
      </w:r>
    </w:p>
    <w:p w:rsidR="00FB23D3" w:rsidRPr="00B3274C" w:rsidRDefault="00107A47" w:rsidP="00107A47">
      <w:pPr>
        <w:pStyle w:val="SingleTxtG"/>
        <w:rPr>
          <w:lang w:val="fr-CA"/>
        </w:rPr>
      </w:pPr>
      <w:r w:rsidRPr="00B3274C">
        <w:rPr>
          <w:lang w:val="fr-CA"/>
        </w:rPr>
        <w:t>208.</w:t>
      </w:r>
      <w:r w:rsidRPr="00B3274C">
        <w:rPr>
          <w:lang w:val="fr-CA"/>
        </w:rPr>
        <w:tab/>
      </w:r>
      <w:r w:rsidR="00B33945" w:rsidRPr="00B3274C">
        <w:rPr>
          <w:lang w:val="fr-CA"/>
        </w:rPr>
        <w:t>Dans le cadre de cette initiative d</w:t>
      </w:r>
      <w:r w:rsidR="0080611A">
        <w:rPr>
          <w:lang w:val="fr-CA"/>
        </w:rPr>
        <w:t>’</w:t>
      </w:r>
      <w:r w:rsidR="00B33945" w:rsidRPr="00B3274C">
        <w:rPr>
          <w:lang w:val="fr-CA"/>
        </w:rPr>
        <w:t>envergure</w:t>
      </w:r>
      <w:r w:rsidR="0080611A">
        <w:rPr>
          <w:lang w:val="fr-CA"/>
        </w:rPr>
        <w:t>,</w:t>
      </w:r>
      <w:r w:rsidR="00B33945" w:rsidRPr="00B3274C">
        <w:rPr>
          <w:lang w:val="fr-CA"/>
        </w:rPr>
        <w:t xml:space="preserve"> d</w:t>
      </w:r>
      <w:r w:rsidR="0080611A">
        <w:rPr>
          <w:lang w:val="fr-CA"/>
        </w:rPr>
        <w:t>’</w:t>
      </w:r>
      <w:r w:rsidR="00B33945" w:rsidRPr="00B3274C">
        <w:rPr>
          <w:lang w:val="fr-CA"/>
        </w:rPr>
        <w:t>autres questions</w:t>
      </w:r>
      <w:r w:rsidR="0080611A">
        <w:rPr>
          <w:lang w:val="fr-CA"/>
        </w:rPr>
        <w:t>,</w:t>
      </w:r>
      <w:r w:rsidR="00B33945" w:rsidRPr="00B3274C">
        <w:rPr>
          <w:lang w:val="fr-CA"/>
        </w:rPr>
        <w:t xml:space="preserve"> telles que le développement de la situation civile et municipale de la population </w:t>
      </w:r>
      <w:r w:rsidR="00E94253" w:rsidRPr="00B3274C">
        <w:rPr>
          <w:lang w:val="fr-CA"/>
        </w:rPr>
        <w:t>par rapport à une grande question et à un problème prioritaire</w:t>
      </w:r>
      <w:r w:rsidR="0080611A">
        <w:rPr>
          <w:lang w:val="fr-CA"/>
        </w:rPr>
        <w:t>,</w:t>
      </w:r>
      <w:r w:rsidR="00E94253" w:rsidRPr="00B3274C">
        <w:rPr>
          <w:lang w:val="fr-CA"/>
        </w:rPr>
        <w:t xml:space="preserve"> conformément également aux recommandations du médiateur et d</w:t>
      </w:r>
      <w:r w:rsidR="0080611A">
        <w:rPr>
          <w:lang w:val="fr-CA"/>
        </w:rPr>
        <w:t>’</w:t>
      </w:r>
      <w:r w:rsidR="00E94253" w:rsidRPr="00B3274C">
        <w:rPr>
          <w:lang w:val="fr-CA"/>
        </w:rPr>
        <w:t xml:space="preserve">autres organes consultatifs </w:t>
      </w:r>
      <w:r w:rsidR="005A2DEF" w:rsidRPr="00B3274C">
        <w:rPr>
          <w:lang w:val="fr-CA"/>
        </w:rPr>
        <w:t>auprès de l</w:t>
      </w:r>
      <w:r w:rsidR="0080611A">
        <w:rPr>
          <w:lang w:val="fr-CA"/>
        </w:rPr>
        <w:t>’</w:t>
      </w:r>
      <w:r w:rsidR="005A2DEF" w:rsidRPr="00B3274C">
        <w:rPr>
          <w:lang w:val="fr-CA"/>
        </w:rPr>
        <w:t xml:space="preserve">administration </w:t>
      </w:r>
      <w:r w:rsidR="00E94253" w:rsidRPr="00B3274C">
        <w:rPr>
          <w:lang w:val="fr-CA"/>
        </w:rPr>
        <w:t>(Commission nationale des droits de l</w:t>
      </w:r>
      <w:r w:rsidR="0080611A">
        <w:rPr>
          <w:lang w:val="fr-CA"/>
        </w:rPr>
        <w:t>’</w:t>
      </w:r>
      <w:r w:rsidR="00E94253" w:rsidRPr="00B3274C">
        <w:rPr>
          <w:lang w:val="fr-CA"/>
        </w:rPr>
        <w:t>homme)</w:t>
      </w:r>
      <w:r w:rsidR="0080611A">
        <w:rPr>
          <w:lang w:val="fr-CA"/>
        </w:rPr>
        <w:t>,</w:t>
      </w:r>
      <w:r w:rsidR="00E94253" w:rsidRPr="00B3274C">
        <w:rPr>
          <w:lang w:val="fr-CA"/>
        </w:rPr>
        <w:t xml:space="preserve"> ainsi que des interventions supplémentaires axées sur la culture et la sensibilisation de la population majoritaire sont aussi abordées. </w:t>
      </w:r>
      <w:r w:rsidR="00C07766" w:rsidRPr="00B3274C">
        <w:rPr>
          <w:lang w:val="fr-CA"/>
        </w:rPr>
        <w:t xml:space="preserve">On attend tout particulièrement de la </w:t>
      </w:r>
      <w:r w:rsidR="00C07766" w:rsidRPr="00B3274C">
        <w:rPr>
          <w:color w:val="000000"/>
          <w:lang w:val="fr-CA"/>
        </w:rPr>
        <w:t>campagne «Dosta!» (Ça suffit!) lancée par le Conseil de l</w:t>
      </w:r>
      <w:r w:rsidR="0080611A">
        <w:rPr>
          <w:color w:val="000000"/>
          <w:lang w:val="fr-CA"/>
        </w:rPr>
        <w:t>’</w:t>
      </w:r>
      <w:r w:rsidR="00C07766" w:rsidRPr="00B3274C">
        <w:rPr>
          <w:color w:val="000000"/>
          <w:lang w:val="fr-CA"/>
        </w:rPr>
        <w:t>Europe</w:t>
      </w:r>
      <w:r w:rsidR="00C07766" w:rsidRPr="00B3274C">
        <w:rPr>
          <w:lang w:val="fr-CA"/>
        </w:rPr>
        <w:t xml:space="preserve"> en Grèce en 2011 qu</w:t>
      </w:r>
      <w:r w:rsidR="0080611A">
        <w:rPr>
          <w:lang w:val="fr-CA"/>
        </w:rPr>
        <w:t>’</w:t>
      </w:r>
      <w:r w:rsidR="00C07766" w:rsidRPr="00B3274C">
        <w:rPr>
          <w:lang w:val="fr-CA"/>
        </w:rPr>
        <w:t>elle contribue dans une large mesure à la sensibilisation de la population majoritaire ainsi qu</w:t>
      </w:r>
      <w:r w:rsidR="0080611A">
        <w:rPr>
          <w:lang w:val="fr-CA"/>
        </w:rPr>
        <w:t>’</w:t>
      </w:r>
      <w:r w:rsidR="00C07766" w:rsidRPr="00B3274C">
        <w:rPr>
          <w:lang w:val="fr-CA"/>
        </w:rPr>
        <w:t xml:space="preserve">à </w:t>
      </w:r>
      <w:r w:rsidR="00245792" w:rsidRPr="00B3274C">
        <w:rPr>
          <w:lang w:val="fr-CA"/>
        </w:rPr>
        <w:t>une</w:t>
      </w:r>
      <w:r w:rsidR="00C07766" w:rsidRPr="00B3274C">
        <w:rPr>
          <w:lang w:val="fr-CA"/>
        </w:rPr>
        <w:t xml:space="preserve"> lutte fondamentale contre la discrimination et les préjugés </w:t>
      </w:r>
      <w:r w:rsidR="000D2997" w:rsidRPr="00B3274C">
        <w:rPr>
          <w:lang w:val="fr-CA"/>
        </w:rPr>
        <w:t>à l</w:t>
      </w:r>
      <w:r w:rsidR="0080611A">
        <w:rPr>
          <w:lang w:val="fr-CA"/>
        </w:rPr>
        <w:t>’</w:t>
      </w:r>
      <w:r w:rsidR="000D2997" w:rsidRPr="00B3274C">
        <w:rPr>
          <w:lang w:val="fr-CA"/>
        </w:rPr>
        <w:t>égard des</w:t>
      </w:r>
      <w:r w:rsidR="00C07766" w:rsidRPr="00B3274C">
        <w:rPr>
          <w:lang w:val="fr-CA"/>
        </w:rPr>
        <w:t xml:space="preserve"> Roms</w:t>
      </w:r>
      <w:r w:rsidR="0080611A">
        <w:rPr>
          <w:lang w:val="fr-CA"/>
        </w:rPr>
        <w:t>,</w:t>
      </w:r>
      <w:r w:rsidR="00C07766" w:rsidRPr="00B3274C">
        <w:rPr>
          <w:lang w:val="fr-CA"/>
        </w:rPr>
        <w:t xml:space="preserve"> </w:t>
      </w:r>
      <w:r w:rsidR="00245792" w:rsidRPr="00B3274C">
        <w:rPr>
          <w:color w:val="000000"/>
          <w:lang w:val="fr-CA"/>
        </w:rPr>
        <w:t>qui se fonde</w:t>
      </w:r>
      <w:r w:rsidR="00996DCD" w:rsidRPr="00B3274C">
        <w:rPr>
          <w:color w:val="000000"/>
          <w:lang w:val="fr-CA"/>
        </w:rPr>
        <w:t xml:space="preserve"> sur</w:t>
      </w:r>
      <w:r w:rsidR="00C07766" w:rsidRPr="00B3274C">
        <w:rPr>
          <w:color w:val="000000"/>
          <w:lang w:val="fr-CA"/>
        </w:rPr>
        <w:t xml:space="preserve"> </w:t>
      </w:r>
      <w:r w:rsidR="009C019B" w:rsidRPr="00B3274C">
        <w:rPr>
          <w:color w:val="000000"/>
          <w:lang w:val="fr-CA"/>
        </w:rPr>
        <w:t>toutes les dimensions possibles de</w:t>
      </w:r>
      <w:r w:rsidR="009C019B" w:rsidRPr="00B3274C">
        <w:rPr>
          <w:lang w:val="fr-CA"/>
        </w:rPr>
        <w:t xml:space="preserve"> </w:t>
      </w:r>
      <w:r w:rsidR="00C07766" w:rsidRPr="00B3274C">
        <w:rPr>
          <w:color w:val="000000"/>
          <w:lang w:val="fr-CA"/>
        </w:rPr>
        <w:t>l</w:t>
      </w:r>
      <w:r w:rsidR="0080611A">
        <w:rPr>
          <w:color w:val="000000"/>
          <w:lang w:val="fr-CA"/>
        </w:rPr>
        <w:t>’</w:t>
      </w:r>
      <w:r w:rsidR="00C07766" w:rsidRPr="00B3274C">
        <w:rPr>
          <w:color w:val="000000"/>
          <w:lang w:val="fr-CA"/>
        </w:rPr>
        <w:t xml:space="preserve">exclusion sociale </w:t>
      </w:r>
      <w:r w:rsidR="00C07766" w:rsidRPr="00B3274C">
        <w:rPr>
          <w:lang w:val="fr-CA"/>
        </w:rPr>
        <w:t>plutôt que sur de</w:t>
      </w:r>
      <w:r w:rsidR="00996DCD" w:rsidRPr="00B3274C">
        <w:rPr>
          <w:lang w:val="fr-CA"/>
        </w:rPr>
        <w:t>s</w:t>
      </w:r>
      <w:r w:rsidR="00C07766" w:rsidRPr="00B3274C">
        <w:rPr>
          <w:lang w:val="fr-CA"/>
        </w:rPr>
        <w:t xml:space="preserve"> critères d</w:t>
      </w:r>
      <w:r w:rsidR="0080611A">
        <w:rPr>
          <w:lang w:val="fr-CA"/>
        </w:rPr>
        <w:t>’</w:t>
      </w:r>
      <w:r w:rsidR="00C07766" w:rsidRPr="00B3274C">
        <w:rPr>
          <w:lang w:val="fr-CA"/>
        </w:rPr>
        <w:t>identité tels que l</w:t>
      </w:r>
      <w:r w:rsidR="0080611A">
        <w:rPr>
          <w:lang w:val="fr-CA"/>
        </w:rPr>
        <w:t>’</w:t>
      </w:r>
      <w:r w:rsidR="00C07766" w:rsidRPr="00B3274C">
        <w:rPr>
          <w:lang w:val="fr-CA"/>
        </w:rPr>
        <w:t>appartenance ethnique ou l</w:t>
      </w:r>
      <w:r w:rsidR="0080611A">
        <w:rPr>
          <w:lang w:val="fr-CA"/>
        </w:rPr>
        <w:t>’</w:t>
      </w:r>
      <w:r w:rsidR="00C07766" w:rsidRPr="00B3274C">
        <w:rPr>
          <w:lang w:val="fr-CA"/>
        </w:rPr>
        <w:t xml:space="preserve">origine raciale. </w:t>
      </w:r>
    </w:p>
    <w:p w:rsidR="00FB23D3" w:rsidRPr="00B3274C" w:rsidRDefault="00107A47" w:rsidP="00107A47">
      <w:pPr>
        <w:pStyle w:val="SingleTxtG"/>
        <w:rPr>
          <w:bCs/>
          <w:lang w:val="fr-CA"/>
        </w:rPr>
      </w:pPr>
      <w:r w:rsidRPr="00B3274C">
        <w:rPr>
          <w:bCs/>
          <w:lang w:val="fr-CA"/>
        </w:rPr>
        <w:t>209.</w:t>
      </w:r>
      <w:r w:rsidRPr="00B3274C">
        <w:rPr>
          <w:bCs/>
          <w:lang w:val="fr-CA"/>
        </w:rPr>
        <w:tab/>
      </w:r>
      <w:r w:rsidR="00C82B25" w:rsidRPr="00B3274C">
        <w:rPr>
          <w:bCs/>
          <w:lang w:val="fr-CA"/>
        </w:rPr>
        <w:t>Enfin</w:t>
      </w:r>
      <w:r w:rsidR="0080611A">
        <w:rPr>
          <w:bCs/>
          <w:lang w:val="fr-CA"/>
        </w:rPr>
        <w:t>,</w:t>
      </w:r>
      <w:r w:rsidR="00C82B25" w:rsidRPr="00B3274C">
        <w:rPr>
          <w:bCs/>
          <w:lang w:val="fr-CA"/>
        </w:rPr>
        <w:t xml:space="preserve"> il convient de mentionner que des représentants roms participent aux </w:t>
      </w:r>
      <w:r w:rsidR="005F52C8" w:rsidRPr="00B3274C">
        <w:rPr>
          <w:bCs/>
          <w:lang w:val="fr-CA"/>
        </w:rPr>
        <w:t>travaux des organes</w:t>
      </w:r>
      <w:r w:rsidR="00C82B25" w:rsidRPr="00B3274C">
        <w:rPr>
          <w:bCs/>
          <w:lang w:val="fr-CA"/>
        </w:rPr>
        <w:t xml:space="preserve"> du gouvernement central charg</w:t>
      </w:r>
      <w:r w:rsidR="005F52C8" w:rsidRPr="00B3274C">
        <w:rPr>
          <w:bCs/>
          <w:lang w:val="fr-CA"/>
        </w:rPr>
        <w:t>é</w:t>
      </w:r>
      <w:r w:rsidR="00C82B25" w:rsidRPr="00B3274C">
        <w:rPr>
          <w:bCs/>
          <w:lang w:val="fr-CA"/>
        </w:rPr>
        <w:t>s de l</w:t>
      </w:r>
      <w:r w:rsidR="0080611A">
        <w:rPr>
          <w:bCs/>
          <w:lang w:val="fr-CA"/>
        </w:rPr>
        <w:t>’</w:t>
      </w:r>
      <w:r w:rsidR="00C82B25" w:rsidRPr="00B3274C">
        <w:rPr>
          <w:bCs/>
          <w:lang w:val="fr-CA"/>
        </w:rPr>
        <w:t xml:space="preserve">application des programmes les concernant. On rappellera par ailleurs les liens de coopération </w:t>
      </w:r>
      <w:r w:rsidR="00C725DC" w:rsidRPr="00B3274C">
        <w:rPr>
          <w:bCs/>
          <w:lang w:val="fr-CA"/>
        </w:rPr>
        <w:t xml:space="preserve">entretenus également </w:t>
      </w:r>
      <w:r w:rsidR="00C82B25" w:rsidRPr="00B3274C">
        <w:rPr>
          <w:bCs/>
          <w:lang w:val="fr-CA"/>
        </w:rPr>
        <w:t>avec l</w:t>
      </w:r>
      <w:r w:rsidR="0080611A">
        <w:rPr>
          <w:bCs/>
          <w:lang w:val="fr-CA"/>
        </w:rPr>
        <w:t>’</w:t>
      </w:r>
      <w:r w:rsidR="00C82B25" w:rsidRPr="00B3274C">
        <w:rPr>
          <w:bCs/>
          <w:lang w:val="fr-CA"/>
        </w:rPr>
        <w:t xml:space="preserve">administration centrale sur </w:t>
      </w:r>
      <w:r w:rsidR="004366B8" w:rsidRPr="00B3274C">
        <w:rPr>
          <w:bCs/>
          <w:lang w:val="fr-CA"/>
        </w:rPr>
        <w:t>l</w:t>
      </w:r>
      <w:r w:rsidR="00C82B25" w:rsidRPr="00B3274C">
        <w:rPr>
          <w:bCs/>
          <w:lang w:val="fr-CA"/>
        </w:rPr>
        <w:t xml:space="preserve">es questions </w:t>
      </w:r>
      <w:r w:rsidR="00C725DC" w:rsidRPr="00B3274C">
        <w:rPr>
          <w:bCs/>
          <w:lang w:val="fr-CA"/>
        </w:rPr>
        <w:t>concernant les</w:t>
      </w:r>
      <w:r w:rsidR="00C82B25" w:rsidRPr="00B3274C">
        <w:rPr>
          <w:bCs/>
          <w:lang w:val="fr-CA"/>
        </w:rPr>
        <w:t xml:space="preserve"> Roms par l</w:t>
      </w:r>
      <w:r w:rsidR="0080611A">
        <w:rPr>
          <w:bCs/>
          <w:lang w:val="fr-CA"/>
        </w:rPr>
        <w:t>’</w:t>
      </w:r>
      <w:r w:rsidR="00C82B25" w:rsidRPr="00B3274C">
        <w:rPr>
          <w:bCs/>
          <w:lang w:val="fr-CA"/>
        </w:rPr>
        <w:t xml:space="preserve">intermédiaire du Réseau panhellénique des municipalités </w:t>
      </w:r>
      <w:r w:rsidR="004366B8" w:rsidRPr="00B3274C">
        <w:rPr>
          <w:bCs/>
          <w:lang w:val="fr-CA"/>
        </w:rPr>
        <w:t xml:space="preserve">ayant une population rom </w:t>
      </w:r>
      <w:r w:rsidR="00C82B25" w:rsidRPr="00B3274C">
        <w:rPr>
          <w:bCs/>
          <w:lang w:val="fr-CA"/>
        </w:rPr>
        <w:t>(Réseau ROM)</w:t>
      </w:r>
      <w:r w:rsidR="004366B8" w:rsidRPr="00B3274C">
        <w:rPr>
          <w:bCs/>
          <w:lang w:val="fr-CA"/>
        </w:rPr>
        <w:t>. Le réseau a été établi à l</w:t>
      </w:r>
      <w:r w:rsidR="0080611A">
        <w:rPr>
          <w:bCs/>
          <w:lang w:val="fr-CA"/>
        </w:rPr>
        <w:t>’</w:t>
      </w:r>
      <w:r w:rsidR="004366B8" w:rsidRPr="00B3274C">
        <w:rPr>
          <w:bCs/>
          <w:lang w:val="fr-CA"/>
        </w:rPr>
        <w:t>initiative des autorités locales et les Roms participent à ses structures administratives.</w:t>
      </w:r>
      <w:r w:rsidR="0055418C" w:rsidRPr="00B3274C">
        <w:rPr>
          <w:bCs/>
          <w:lang w:val="fr-CA"/>
        </w:rPr>
        <w:t xml:space="preserve"> </w:t>
      </w:r>
    </w:p>
    <w:p w:rsidR="00FB23D3" w:rsidRPr="00B3274C" w:rsidRDefault="00ED583C" w:rsidP="002802D4">
      <w:pPr>
        <w:pStyle w:val="H23G"/>
        <w:rPr>
          <w:lang w:val="fr-CA"/>
        </w:rPr>
      </w:pPr>
      <w:r w:rsidRPr="00B3274C">
        <w:rPr>
          <w:lang w:val="fr-CA"/>
        </w:rPr>
        <w:tab/>
      </w:r>
      <w:r w:rsidR="002802D4" w:rsidRPr="00B3274C">
        <w:rPr>
          <w:lang w:val="fr-CA"/>
        </w:rPr>
        <w:t>6.</w:t>
      </w:r>
      <w:r w:rsidRPr="00B3274C">
        <w:rPr>
          <w:lang w:val="fr-CA"/>
        </w:rPr>
        <w:tab/>
      </w:r>
      <w:r w:rsidR="00C3383C" w:rsidRPr="00B3274C">
        <w:rPr>
          <w:lang w:val="fr-CA"/>
        </w:rPr>
        <w:t xml:space="preserve">Action de la police </w:t>
      </w:r>
      <w:r w:rsidR="00E5517F" w:rsidRPr="00B3274C">
        <w:rPr>
          <w:lang w:val="fr-CA"/>
        </w:rPr>
        <w:t xml:space="preserve">dans le cadre des </w:t>
      </w:r>
      <w:r w:rsidR="0055418C" w:rsidRPr="00B3274C">
        <w:rPr>
          <w:lang w:val="fr-CA"/>
        </w:rPr>
        <w:t>«</w:t>
      </w:r>
      <w:r w:rsidR="00E5517F" w:rsidRPr="00B3274C">
        <w:rPr>
          <w:lang w:val="fr-CA"/>
        </w:rPr>
        <w:t>expulsions forcées</w:t>
      </w:r>
      <w:r w:rsidR="0055418C" w:rsidRPr="00B3274C">
        <w:rPr>
          <w:lang w:val="fr-CA"/>
        </w:rPr>
        <w:t>»</w:t>
      </w:r>
      <w:r w:rsidR="00E5517F" w:rsidRPr="00B3274C">
        <w:rPr>
          <w:lang w:val="fr-CA"/>
        </w:rPr>
        <w:t xml:space="preserve"> de Roms</w:t>
      </w:r>
      <w:r w:rsidR="00C3383C" w:rsidRPr="00B3274C">
        <w:rPr>
          <w:lang w:val="fr-CA"/>
        </w:rPr>
        <w:t xml:space="preserve"> (par</w:t>
      </w:r>
      <w:r w:rsidRPr="00B3274C">
        <w:rPr>
          <w:lang w:val="fr-CA"/>
        </w:rPr>
        <w:t>. 21</w:t>
      </w:r>
      <w:r w:rsidR="0080611A">
        <w:rPr>
          <w:lang w:val="fr-CA"/>
        </w:rPr>
        <w:t>,</w:t>
      </w:r>
      <w:r w:rsidRPr="00B3274C">
        <w:rPr>
          <w:lang w:val="fr-CA"/>
        </w:rPr>
        <w:t xml:space="preserve"> 32 </w:t>
      </w:r>
      <w:r w:rsidR="00C3383C" w:rsidRPr="00B3274C">
        <w:rPr>
          <w:lang w:val="fr-CA"/>
        </w:rPr>
        <w:t>et</w:t>
      </w:r>
      <w:r w:rsidRPr="00B3274C">
        <w:rPr>
          <w:lang w:val="fr-CA"/>
        </w:rPr>
        <w:t> </w:t>
      </w:r>
      <w:r w:rsidR="00FB23D3" w:rsidRPr="00B3274C">
        <w:rPr>
          <w:lang w:val="fr-CA"/>
        </w:rPr>
        <w:t>42</w:t>
      </w:r>
      <w:r w:rsidR="00203AB9">
        <w:rPr>
          <w:lang w:val="fr-CA"/>
        </w:rPr>
        <w:t xml:space="preserve"> </w:t>
      </w:r>
      <w:r w:rsidR="00C3383C" w:rsidRPr="00B3274C">
        <w:rPr>
          <w:lang w:val="fr-CA"/>
        </w:rPr>
        <w:t>des observations finales du Comité</w:t>
      </w:r>
      <w:r w:rsidR="00FB23D3" w:rsidRPr="00B3274C">
        <w:rPr>
          <w:lang w:val="fr-CA"/>
        </w:rPr>
        <w:t>)</w:t>
      </w:r>
    </w:p>
    <w:p w:rsidR="00FB23D3" w:rsidRPr="00B3274C" w:rsidRDefault="00107A47" w:rsidP="00107A47">
      <w:pPr>
        <w:pStyle w:val="SingleTxtG"/>
        <w:rPr>
          <w:lang w:val="fr-CA"/>
        </w:rPr>
      </w:pPr>
      <w:r w:rsidRPr="00B3274C">
        <w:rPr>
          <w:lang w:val="fr-CA"/>
        </w:rPr>
        <w:t>210.</w:t>
      </w:r>
      <w:r w:rsidRPr="00B3274C">
        <w:rPr>
          <w:lang w:val="fr-CA"/>
        </w:rPr>
        <w:tab/>
      </w:r>
      <w:r w:rsidR="00044BA6" w:rsidRPr="00B3274C">
        <w:rPr>
          <w:lang w:val="fr-CA"/>
        </w:rPr>
        <w:t xml:space="preserve">La disposition sanitaire </w:t>
      </w:r>
      <w:r w:rsidR="00FB23D3" w:rsidRPr="00B3274C">
        <w:rPr>
          <w:lang w:val="fr-CA"/>
        </w:rPr>
        <w:t>A5/696/83</w:t>
      </w:r>
      <w:r w:rsidR="0080611A">
        <w:rPr>
          <w:lang w:val="fr-CA"/>
        </w:rPr>
        <w:t>,</w:t>
      </w:r>
      <w:r w:rsidR="00044BA6" w:rsidRPr="00B3274C">
        <w:rPr>
          <w:lang w:val="fr-CA"/>
        </w:rPr>
        <w:t xml:space="preserve"> telle que modifiée par la disposition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2361/2003</w:t>
      </w:r>
      <w:r w:rsidR="0080611A">
        <w:rPr>
          <w:lang w:val="fr-CA"/>
        </w:rPr>
        <w:t>,</w:t>
      </w:r>
      <w:r w:rsidR="00FB23D3" w:rsidRPr="00B3274C">
        <w:rPr>
          <w:lang w:val="fr-CA"/>
        </w:rPr>
        <w:t xml:space="preserve"> </w:t>
      </w:r>
      <w:r w:rsidR="00044BA6" w:rsidRPr="00B3274C">
        <w:rPr>
          <w:lang w:val="fr-CA"/>
        </w:rPr>
        <w:t>réglemente l</w:t>
      </w:r>
      <w:r w:rsidR="0080611A">
        <w:rPr>
          <w:lang w:val="fr-CA"/>
        </w:rPr>
        <w:t>’</w:t>
      </w:r>
      <w:r w:rsidR="00044BA6" w:rsidRPr="00B3274C">
        <w:rPr>
          <w:lang w:val="fr-CA"/>
        </w:rPr>
        <w:t xml:space="preserve">installation </w:t>
      </w:r>
      <w:r w:rsidR="00614BAC">
        <w:rPr>
          <w:lang w:val="fr-CA"/>
        </w:rPr>
        <w:t>des personnes</w:t>
      </w:r>
      <w:r w:rsidR="00044BA6" w:rsidRPr="00B3274C">
        <w:rPr>
          <w:lang w:val="fr-CA"/>
        </w:rPr>
        <w:t xml:space="preserve"> itinérantes</w:t>
      </w:r>
      <w:r w:rsidR="0080611A">
        <w:rPr>
          <w:lang w:val="fr-CA"/>
        </w:rPr>
        <w:t>,</w:t>
      </w:r>
      <w:r w:rsidR="00044BA6" w:rsidRPr="00B3274C">
        <w:rPr>
          <w:lang w:val="fr-CA"/>
        </w:rPr>
        <w:t xml:space="preserve"> notamment celles qui sont d</w:t>
      </w:r>
      <w:r w:rsidR="0080611A">
        <w:rPr>
          <w:lang w:val="fr-CA"/>
        </w:rPr>
        <w:t>’</w:t>
      </w:r>
      <w:r w:rsidR="00044BA6" w:rsidRPr="00B3274C">
        <w:rPr>
          <w:lang w:val="fr-CA"/>
        </w:rPr>
        <w:t>origine rom. La Police grecque est chargée de contrôler l</w:t>
      </w:r>
      <w:r w:rsidR="0080611A">
        <w:rPr>
          <w:lang w:val="fr-CA"/>
        </w:rPr>
        <w:t>’</w:t>
      </w:r>
      <w:r w:rsidR="00044BA6" w:rsidRPr="00B3274C">
        <w:rPr>
          <w:lang w:val="fr-CA"/>
        </w:rPr>
        <w:t>existence de l</w:t>
      </w:r>
      <w:r w:rsidR="0080611A">
        <w:rPr>
          <w:lang w:val="fr-CA"/>
        </w:rPr>
        <w:t>’</w:t>
      </w:r>
      <w:r w:rsidR="00044BA6" w:rsidRPr="00B3274C">
        <w:rPr>
          <w:lang w:val="fr-CA"/>
        </w:rPr>
        <w:t xml:space="preserve">autorisation nécessaire. </w:t>
      </w:r>
      <w:r w:rsidR="00EC41EC" w:rsidRPr="00B3274C">
        <w:rPr>
          <w:lang w:val="fr-CA"/>
        </w:rPr>
        <w:t>L</w:t>
      </w:r>
      <w:r w:rsidR="0080611A">
        <w:rPr>
          <w:lang w:val="fr-CA"/>
        </w:rPr>
        <w:t>’</w:t>
      </w:r>
      <w:r w:rsidR="00EC41EC" w:rsidRPr="00B3274C">
        <w:rPr>
          <w:lang w:val="fr-CA"/>
        </w:rPr>
        <w:t>installation illégale est considérée comme une infraction. Les services de santé et de police</w:t>
      </w:r>
      <w:r w:rsidR="0080611A">
        <w:rPr>
          <w:lang w:val="fr-CA"/>
        </w:rPr>
        <w:t>,</w:t>
      </w:r>
      <w:r w:rsidR="00EC41EC" w:rsidRPr="00B3274C">
        <w:rPr>
          <w:lang w:val="fr-CA"/>
        </w:rPr>
        <w:t xml:space="preserve"> tels que la Police municipale</w:t>
      </w:r>
      <w:r w:rsidR="0080611A">
        <w:rPr>
          <w:lang w:val="fr-CA"/>
        </w:rPr>
        <w:t>,</w:t>
      </w:r>
      <w:r w:rsidR="00EC41EC" w:rsidRPr="00B3274C">
        <w:rPr>
          <w:lang w:val="fr-CA"/>
        </w:rPr>
        <w:t xml:space="preserve"> là où ils existent</w:t>
      </w:r>
      <w:r w:rsidR="0080611A">
        <w:rPr>
          <w:lang w:val="fr-CA"/>
        </w:rPr>
        <w:t>,</w:t>
      </w:r>
      <w:r w:rsidR="00EC41EC" w:rsidRPr="00B3274C">
        <w:rPr>
          <w:lang w:val="fr-CA"/>
        </w:rPr>
        <w:t xml:space="preserve"> ont compétence pour contrôler le respect des dispositions susmentionnées. </w:t>
      </w:r>
    </w:p>
    <w:p w:rsidR="00FB23D3" w:rsidRPr="00B3274C" w:rsidRDefault="00107A47" w:rsidP="00107A47">
      <w:pPr>
        <w:pStyle w:val="SingleTxtG"/>
        <w:rPr>
          <w:lang w:val="fr-CA"/>
        </w:rPr>
      </w:pPr>
      <w:r w:rsidRPr="00B3274C">
        <w:rPr>
          <w:lang w:val="fr-CA"/>
        </w:rPr>
        <w:t>211.</w:t>
      </w:r>
      <w:r w:rsidRPr="00B3274C">
        <w:rPr>
          <w:lang w:val="fr-CA"/>
        </w:rPr>
        <w:tab/>
      </w:r>
      <w:r w:rsidR="00453E07" w:rsidRPr="00B3274C">
        <w:rPr>
          <w:lang w:val="fr-CA"/>
        </w:rPr>
        <w:t>La compétence de la police concernant cette question consiste</w:t>
      </w:r>
      <w:r w:rsidR="0080611A">
        <w:rPr>
          <w:lang w:val="fr-CA"/>
        </w:rPr>
        <w:t>,</w:t>
      </w:r>
      <w:r w:rsidR="00453E07" w:rsidRPr="00B3274C">
        <w:rPr>
          <w:lang w:val="fr-CA"/>
        </w:rPr>
        <w:t xml:space="preserve"> ainsi qu</w:t>
      </w:r>
      <w:r w:rsidR="0080611A">
        <w:rPr>
          <w:lang w:val="fr-CA"/>
        </w:rPr>
        <w:t>’</w:t>
      </w:r>
      <w:r w:rsidR="00453E07" w:rsidRPr="00B3274C">
        <w:rPr>
          <w:lang w:val="fr-CA"/>
        </w:rPr>
        <w:t>il a été dit</w:t>
      </w:r>
      <w:r w:rsidR="0080611A">
        <w:rPr>
          <w:lang w:val="fr-CA"/>
        </w:rPr>
        <w:t>,</w:t>
      </w:r>
      <w:r w:rsidR="00453E07" w:rsidRPr="00B3274C">
        <w:rPr>
          <w:lang w:val="fr-CA"/>
        </w:rPr>
        <w:t xml:space="preserve"> à contrôler si l</w:t>
      </w:r>
      <w:r w:rsidR="0080611A">
        <w:rPr>
          <w:lang w:val="fr-CA"/>
        </w:rPr>
        <w:t>’</w:t>
      </w:r>
      <w:r w:rsidR="00453E07" w:rsidRPr="00B3274C">
        <w:rPr>
          <w:lang w:val="fr-CA"/>
        </w:rPr>
        <w:t>autorisation d</w:t>
      </w:r>
      <w:r w:rsidR="0080611A">
        <w:rPr>
          <w:lang w:val="fr-CA"/>
        </w:rPr>
        <w:t>’</w:t>
      </w:r>
      <w:r w:rsidR="00453E07" w:rsidRPr="00B3274C">
        <w:rPr>
          <w:lang w:val="fr-CA"/>
        </w:rPr>
        <w:t xml:space="preserve">établissement nécessaire </w:t>
      </w:r>
      <w:r w:rsidR="001E42FF" w:rsidRPr="00B3274C">
        <w:rPr>
          <w:lang w:val="fr-CA"/>
        </w:rPr>
        <w:t>a</w:t>
      </w:r>
      <w:r w:rsidR="00453E07" w:rsidRPr="00B3274C">
        <w:rPr>
          <w:lang w:val="fr-CA"/>
        </w:rPr>
        <w:t xml:space="preserve"> été délivré</w:t>
      </w:r>
      <w:r w:rsidR="001E42FF" w:rsidRPr="00B3274C">
        <w:rPr>
          <w:lang w:val="fr-CA"/>
        </w:rPr>
        <w:t>e</w:t>
      </w:r>
      <w:r w:rsidR="00453E07" w:rsidRPr="00B3274C">
        <w:rPr>
          <w:lang w:val="fr-CA"/>
        </w:rPr>
        <w:t xml:space="preserve"> et </w:t>
      </w:r>
      <w:r w:rsidR="001E42FF" w:rsidRPr="00B3274C">
        <w:rPr>
          <w:lang w:val="fr-CA"/>
        </w:rPr>
        <w:t>à apporter une assistance légale</w:t>
      </w:r>
      <w:r w:rsidR="0080611A">
        <w:rPr>
          <w:lang w:val="fr-CA"/>
        </w:rPr>
        <w:t>,</w:t>
      </w:r>
      <w:r w:rsidR="001E42FF" w:rsidRPr="00B3274C">
        <w:rPr>
          <w:lang w:val="fr-CA"/>
        </w:rPr>
        <w:t xml:space="preserve"> dans le cadre des </w:t>
      </w:r>
      <w:r w:rsidR="00143356">
        <w:rPr>
          <w:lang w:val="fr-CA"/>
        </w:rPr>
        <w:t>articles </w:t>
      </w:r>
      <w:r w:rsidR="001E42FF" w:rsidRPr="00B3274C">
        <w:rPr>
          <w:lang w:val="fr-CA"/>
        </w:rPr>
        <w:t xml:space="preserve">159 et 161 du décret présidentiel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141/1991</w:t>
      </w:r>
      <w:r w:rsidR="0080611A">
        <w:rPr>
          <w:lang w:val="fr-CA"/>
        </w:rPr>
        <w:t>,</w:t>
      </w:r>
      <w:r w:rsidR="00FB23D3" w:rsidRPr="00B3274C">
        <w:rPr>
          <w:lang w:val="fr-CA"/>
        </w:rPr>
        <w:t xml:space="preserve"> </w:t>
      </w:r>
      <w:r w:rsidR="001E42FF" w:rsidRPr="00B3274C">
        <w:rPr>
          <w:lang w:val="fr-CA"/>
        </w:rPr>
        <w:t>lorsque la demande lui en est faite</w:t>
      </w:r>
      <w:r w:rsidR="0080611A">
        <w:rPr>
          <w:lang w:val="fr-CA"/>
        </w:rPr>
        <w:t>,</w:t>
      </w:r>
      <w:r w:rsidR="001E42FF" w:rsidRPr="00B3274C">
        <w:rPr>
          <w:lang w:val="fr-CA"/>
        </w:rPr>
        <w:t xml:space="preserve"> pour expulser de sites publics</w:t>
      </w:r>
      <w:r w:rsidR="0080611A">
        <w:rPr>
          <w:lang w:val="fr-CA"/>
        </w:rPr>
        <w:t>,</w:t>
      </w:r>
      <w:r w:rsidR="001E42FF" w:rsidRPr="00B3274C">
        <w:rPr>
          <w:lang w:val="fr-CA"/>
        </w:rPr>
        <w:t xml:space="preserve"> municipaux ou privés </w:t>
      </w:r>
      <w:r w:rsidR="00614BAC">
        <w:rPr>
          <w:lang w:val="fr-CA"/>
        </w:rPr>
        <w:t>des personnes</w:t>
      </w:r>
      <w:r w:rsidR="001E42FF" w:rsidRPr="00B3274C">
        <w:rPr>
          <w:lang w:val="fr-CA"/>
        </w:rPr>
        <w:t xml:space="preserve"> itinérantes installées illégalement. </w:t>
      </w:r>
    </w:p>
    <w:p w:rsidR="00FB23D3" w:rsidRPr="00B3274C" w:rsidRDefault="00107A47" w:rsidP="00107A47">
      <w:pPr>
        <w:pStyle w:val="SingleTxtG"/>
        <w:rPr>
          <w:lang w:val="fr-CA"/>
        </w:rPr>
      </w:pPr>
      <w:r w:rsidRPr="00B3274C">
        <w:rPr>
          <w:lang w:val="fr-CA"/>
        </w:rPr>
        <w:t>212.</w:t>
      </w:r>
      <w:r w:rsidRPr="00B3274C">
        <w:rPr>
          <w:lang w:val="fr-CA"/>
        </w:rPr>
        <w:tab/>
      </w:r>
      <w:r w:rsidR="00AC379C" w:rsidRPr="00B3274C">
        <w:rPr>
          <w:lang w:val="fr-CA"/>
        </w:rPr>
        <w:t>La Direction</w:t>
      </w:r>
      <w:r w:rsidR="004F5351" w:rsidRPr="00B3274C">
        <w:rPr>
          <w:lang w:val="fr-CA"/>
        </w:rPr>
        <w:t xml:space="preserve"> de la police grecque a souligné que</w:t>
      </w:r>
      <w:r w:rsidR="0080611A">
        <w:rPr>
          <w:lang w:val="fr-CA"/>
        </w:rPr>
        <w:t>,</w:t>
      </w:r>
      <w:r w:rsidR="004F5351" w:rsidRPr="00B3274C">
        <w:rPr>
          <w:lang w:val="fr-CA"/>
        </w:rPr>
        <w:t xml:space="preserve"> d</w:t>
      </w:r>
      <w:r w:rsidR="0080611A">
        <w:rPr>
          <w:lang w:val="fr-CA"/>
        </w:rPr>
        <w:t>’</w:t>
      </w:r>
      <w:r w:rsidR="004F5351" w:rsidRPr="00B3274C">
        <w:rPr>
          <w:lang w:val="fr-CA"/>
        </w:rPr>
        <w:t>une manière générale</w:t>
      </w:r>
      <w:r w:rsidR="0080611A">
        <w:rPr>
          <w:lang w:val="fr-CA"/>
        </w:rPr>
        <w:t>,</w:t>
      </w:r>
      <w:r w:rsidR="004F5351" w:rsidRPr="00B3274C">
        <w:rPr>
          <w:lang w:val="fr-CA"/>
        </w:rPr>
        <w:t xml:space="preserve"> l</w:t>
      </w:r>
      <w:r w:rsidR="0080611A">
        <w:rPr>
          <w:lang w:val="fr-CA"/>
        </w:rPr>
        <w:t>’</w:t>
      </w:r>
      <w:r w:rsidR="004F5351" w:rsidRPr="00B3274C">
        <w:rPr>
          <w:lang w:val="fr-CA"/>
        </w:rPr>
        <w:t>ordre était donné aux policiers</w:t>
      </w:r>
      <w:r w:rsidR="0080611A">
        <w:rPr>
          <w:lang w:val="fr-CA"/>
        </w:rPr>
        <w:t>,</w:t>
      </w:r>
      <w:r w:rsidR="004F5351" w:rsidRPr="00B3274C">
        <w:rPr>
          <w:lang w:val="fr-CA"/>
        </w:rPr>
        <w:t xml:space="preserve"> par tous les services régionaux</w:t>
      </w:r>
      <w:r w:rsidR="0080611A">
        <w:rPr>
          <w:lang w:val="fr-CA"/>
        </w:rPr>
        <w:t>,</w:t>
      </w:r>
      <w:r w:rsidR="004F5351" w:rsidRPr="00B3274C">
        <w:rPr>
          <w:lang w:val="fr-CA"/>
        </w:rPr>
        <w:t xml:space="preserve"> </w:t>
      </w:r>
      <w:r w:rsidR="00260542" w:rsidRPr="00B3274C">
        <w:rPr>
          <w:lang w:val="fr-CA"/>
        </w:rPr>
        <w:t>de bien se comporter à l</w:t>
      </w:r>
      <w:r w:rsidR="0080611A">
        <w:rPr>
          <w:lang w:val="fr-CA"/>
        </w:rPr>
        <w:t>’</w:t>
      </w:r>
      <w:r w:rsidR="00260542" w:rsidRPr="00B3274C">
        <w:rPr>
          <w:lang w:val="fr-CA"/>
        </w:rPr>
        <w:t>égard de tous les citoyens</w:t>
      </w:r>
      <w:r w:rsidR="0080611A">
        <w:rPr>
          <w:lang w:val="fr-CA"/>
        </w:rPr>
        <w:t>,</w:t>
      </w:r>
      <w:r w:rsidR="00260542" w:rsidRPr="00B3274C">
        <w:rPr>
          <w:lang w:val="fr-CA"/>
        </w:rPr>
        <w:t xml:space="preserve"> de respecter leur personne et leurs droits et de garantir l</w:t>
      </w:r>
      <w:r w:rsidR="0080611A">
        <w:rPr>
          <w:lang w:val="fr-CA"/>
        </w:rPr>
        <w:t>’</w:t>
      </w:r>
      <w:r w:rsidR="00260542" w:rsidRPr="00B3274C">
        <w:rPr>
          <w:lang w:val="fr-CA"/>
        </w:rPr>
        <w:t>égalité de traitement pour tous</w:t>
      </w:r>
      <w:r w:rsidR="0080611A">
        <w:rPr>
          <w:lang w:val="fr-CA"/>
        </w:rPr>
        <w:t>,</w:t>
      </w:r>
      <w:r w:rsidR="00260542" w:rsidRPr="00B3274C">
        <w:rPr>
          <w:lang w:val="fr-CA"/>
        </w:rPr>
        <w:t xml:space="preserve"> sans discrimination raciale</w:t>
      </w:r>
      <w:r w:rsidR="0080611A">
        <w:rPr>
          <w:lang w:val="fr-CA"/>
        </w:rPr>
        <w:t>,</w:t>
      </w:r>
      <w:r w:rsidR="00260542" w:rsidRPr="00B3274C">
        <w:rPr>
          <w:lang w:val="fr-CA"/>
        </w:rPr>
        <w:t xml:space="preserve"> ethnique ou de tout</w:t>
      </w:r>
      <w:r w:rsidR="00EB6C01" w:rsidRPr="00B3274C">
        <w:rPr>
          <w:lang w:val="fr-CA"/>
        </w:rPr>
        <w:t>e</w:t>
      </w:r>
      <w:r w:rsidR="00260542" w:rsidRPr="00B3274C">
        <w:rPr>
          <w:lang w:val="fr-CA"/>
        </w:rPr>
        <w:t xml:space="preserve"> autre nature</w:t>
      </w:r>
      <w:r w:rsidR="0080611A">
        <w:rPr>
          <w:lang w:val="fr-CA"/>
        </w:rPr>
        <w:t>,</w:t>
      </w:r>
      <w:r w:rsidR="00260542" w:rsidRPr="00B3274C">
        <w:rPr>
          <w:lang w:val="fr-CA"/>
        </w:rPr>
        <w:t xml:space="preserve"> conformément</w:t>
      </w:r>
      <w:r w:rsidR="0080611A">
        <w:rPr>
          <w:lang w:val="fr-CA"/>
        </w:rPr>
        <w:t>,</w:t>
      </w:r>
      <w:r w:rsidR="00260542" w:rsidRPr="00B3274C">
        <w:rPr>
          <w:lang w:val="fr-CA"/>
        </w:rPr>
        <w:t xml:space="preserve"> entre autres</w:t>
      </w:r>
      <w:r w:rsidR="0080611A">
        <w:rPr>
          <w:lang w:val="fr-CA"/>
        </w:rPr>
        <w:t>,</w:t>
      </w:r>
      <w:r w:rsidR="00260542" w:rsidRPr="00B3274C">
        <w:rPr>
          <w:lang w:val="fr-CA"/>
        </w:rPr>
        <w:t xml:space="preserve"> aux </w:t>
      </w:r>
      <w:r w:rsidR="007C5218">
        <w:rPr>
          <w:lang w:val="fr-CA"/>
        </w:rPr>
        <w:t>paragraphes </w:t>
      </w:r>
      <w:r w:rsidR="00AC379C" w:rsidRPr="00B3274C">
        <w:rPr>
          <w:lang w:val="fr-CA"/>
        </w:rPr>
        <w:t>3 et 4 du d</w:t>
      </w:r>
      <w:r w:rsidR="00260542" w:rsidRPr="00B3274C">
        <w:rPr>
          <w:lang w:val="fr-CA"/>
        </w:rPr>
        <w:t xml:space="preserve">écret présidentiel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254/2004</w:t>
      </w:r>
      <w:r w:rsidR="0080611A">
        <w:rPr>
          <w:lang w:val="fr-CA"/>
        </w:rPr>
        <w:t>,</w:t>
      </w:r>
      <w:r w:rsidR="00260542" w:rsidRPr="00B3274C">
        <w:rPr>
          <w:lang w:val="fr-CA"/>
        </w:rPr>
        <w:t xml:space="preserve"> intitulé</w:t>
      </w:r>
      <w:r w:rsidR="00FB23D3" w:rsidRPr="00B3274C">
        <w:rPr>
          <w:lang w:val="fr-CA"/>
        </w:rPr>
        <w:t xml:space="preserve"> </w:t>
      </w:r>
      <w:r w:rsidR="0055418C" w:rsidRPr="00B3274C">
        <w:rPr>
          <w:lang w:val="fr-CA"/>
        </w:rPr>
        <w:t>«</w:t>
      </w:r>
      <w:r w:rsidR="00EB6C01" w:rsidRPr="00B3274C">
        <w:rPr>
          <w:lang w:val="fr-CA"/>
        </w:rPr>
        <w:t>Code de déontologie de la police</w:t>
      </w:r>
      <w:r w:rsidR="0055418C" w:rsidRPr="00B3274C">
        <w:rPr>
          <w:lang w:val="fr-CA"/>
        </w:rPr>
        <w:t>»</w:t>
      </w:r>
      <w:r w:rsidR="00FB23D3" w:rsidRPr="00B3274C">
        <w:rPr>
          <w:lang w:val="fr-CA"/>
        </w:rPr>
        <w:t xml:space="preserve">. </w:t>
      </w:r>
    </w:p>
    <w:p w:rsidR="00FB23D3" w:rsidRPr="00B3274C" w:rsidRDefault="00107A47" w:rsidP="00107A47">
      <w:pPr>
        <w:pStyle w:val="SingleTxtG"/>
        <w:rPr>
          <w:lang w:val="fr-CA"/>
        </w:rPr>
      </w:pPr>
      <w:r w:rsidRPr="00B3274C">
        <w:rPr>
          <w:lang w:val="fr-CA"/>
        </w:rPr>
        <w:t>213.</w:t>
      </w:r>
      <w:r w:rsidRPr="00B3274C">
        <w:rPr>
          <w:lang w:val="fr-CA"/>
        </w:rPr>
        <w:tab/>
      </w:r>
      <w:r w:rsidR="0004061D" w:rsidRPr="00B3274C">
        <w:rPr>
          <w:lang w:val="fr-CA"/>
        </w:rPr>
        <w:t xml:space="preserve">La protection des droits </w:t>
      </w:r>
      <w:r w:rsidR="00614BAC">
        <w:rPr>
          <w:lang w:val="fr-CA"/>
        </w:rPr>
        <w:t>des personnes</w:t>
      </w:r>
      <w:r w:rsidR="0004061D" w:rsidRPr="00B3274C">
        <w:rPr>
          <w:lang w:val="fr-CA"/>
        </w:rPr>
        <w:t xml:space="preserve"> d</w:t>
      </w:r>
      <w:r w:rsidR="0080611A">
        <w:rPr>
          <w:lang w:val="fr-CA"/>
        </w:rPr>
        <w:t>’</w:t>
      </w:r>
      <w:r w:rsidR="0004061D" w:rsidRPr="00B3274C">
        <w:rPr>
          <w:lang w:val="fr-CA"/>
        </w:rPr>
        <w:t>origine rom et l</w:t>
      </w:r>
      <w:r w:rsidR="0080611A">
        <w:rPr>
          <w:lang w:val="fr-CA"/>
        </w:rPr>
        <w:t>’</w:t>
      </w:r>
      <w:r w:rsidR="0004061D" w:rsidRPr="00B3274C">
        <w:rPr>
          <w:lang w:val="fr-CA"/>
        </w:rPr>
        <w:t>élimination de</w:t>
      </w:r>
      <w:r w:rsidR="00F87509" w:rsidRPr="00B3274C">
        <w:rPr>
          <w:lang w:val="fr-CA"/>
        </w:rPr>
        <w:t>s</w:t>
      </w:r>
      <w:r w:rsidR="0004061D" w:rsidRPr="00B3274C">
        <w:rPr>
          <w:lang w:val="fr-CA"/>
        </w:rPr>
        <w:t xml:space="preserve"> comportements racistes de quelque </w:t>
      </w:r>
      <w:r w:rsidR="0056385E" w:rsidRPr="00B3274C">
        <w:rPr>
          <w:lang w:val="fr-CA"/>
        </w:rPr>
        <w:t>ordre</w:t>
      </w:r>
      <w:r w:rsidR="0004061D" w:rsidRPr="00B3274C">
        <w:rPr>
          <w:lang w:val="fr-CA"/>
        </w:rPr>
        <w:t xml:space="preserve"> que ce soit à leur égard sont des questions de principe pour </w:t>
      </w:r>
      <w:r w:rsidR="00726522" w:rsidRPr="00B3274C">
        <w:rPr>
          <w:lang w:val="fr-CA"/>
        </w:rPr>
        <w:t>la Direction</w:t>
      </w:r>
      <w:r w:rsidR="0004061D" w:rsidRPr="00B3274C">
        <w:rPr>
          <w:lang w:val="fr-CA"/>
        </w:rPr>
        <w:t xml:space="preserve"> de la police grecque. Lorsqu</w:t>
      </w:r>
      <w:r w:rsidR="0080611A">
        <w:rPr>
          <w:lang w:val="fr-CA"/>
        </w:rPr>
        <w:t>’</w:t>
      </w:r>
      <w:r w:rsidR="0004061D" w:rsidRPr="00B3274C">
        <w:rPr>
          <w:lang w:val="fr-CA"/>
        </w:rPr>
        <w:t>elles ont à traiter de questions concernant les Roms</w:t>
      </w:r>
      <w:r w:rsidR="0080611A">
        <w:rPr>
          <w:lang w:val="fr-CA"/>
        </w:rPr>
        <w:t>,</w:t>
      </w:r>
      <w:r w:rsidR="0004061D" w:rsidRPr="00B3274C">
        <w:rPr>
          <w:lang w:val="fr-CA"/>
        </w:rPr>
        <w:t xml:space="preserve"> les autorités de police concernées font preuve d</w:t>
      </w:r>
      <w:r w:rsidR="0080611A">
        <w:rPr>
          <w:lang w:val="fr-CA"/>
        </w:rPr>
        <w:t>’</w:t>
      </w:r>
      <w:r w:rsidR="0004061D" w:rsidRPr="00B3274C">
        <w:rPr>
          <w:lang w:val="fr-CA"/>
        </w:rPr>
        <w:t>une sensibilité particulière</w:t>
      </w:r>
      <w:r w:rsidR="0080611A">
        <w:rPr>
          <w:lang w:val="fr-CA"/>
        </w:rPr>
        <w:t>,</w:t>
      </w:r>
      <w:r w:rsidR="00726522" w:rsidRPr="00B3274C">
        <w:rPr>
          <w:lang w:val="fr-CA"/>
        </w:rPr>
        <w:t xml:space="preserve"> ayant consciente</w:t>
      </w:r>
      <w:r w:rsidR="0004061D" w:rsidRPr="00B3274C">
        <w:rPr>
          <w:lang w:val="fr-CA"/>
        </w:rPr>
        <w:t xml:space="preserve"> du fait que les Roms appartiennent à un groupe social vulnérable. </w:t>
      </w:r>
    </w:p>
    <w:p w:rsidR="00FB23D3" w:rsidRPr="00B3274C" w:rsidRDefault="00107A47" w:rsidP="00107A47">
      <w:pPr>
        <w:pStyle w:val="SingleTxtG"/>
        <w:rPr>
          <w:lang w:val="fr-CA"/>
        </w:rPr>
      </w:pPr>
      <w:r w:rsidRPr="00B3274C">
        <w:rPr>
          <w:lang w:val="fr-CA"/>
        </w:rPr>
        <w:t>214.</w:t>
      </w:r>
      <w:r w:rsidRPr="00B3274C">
        <w:rPr>
          <w:lang w:val="fr-CA"/>
        </w:rPr>
        <w:tab/>
      </w:r>
      <w:r w:rsidR="0034252D" w:rsidRPr="00B3274C">
        <w:rPr>
          <w:lang w:val="fr-CA"/>
        </w:rPr>
        <w:t>L</w:t>
      </w:r>
      <w:r w:rsidR="0080611A">
        <w:rPr>
          <w:lang w:val="fr-CA"/>
        </w:rPr>
        <w:t>’</w:t>
      </w:r>
      <w:r w:rsidR="0034252D" w:rsidRPr="00B3274C">
        <w:rPr>
          <w:lang w:val="fr-CA"/>
        </w:rPr>
        <w:t>usage de termes désobligeants</w:t>
      </w:r>
      <w:r w:rsidR="00941F9C" w:rsidRPr="00B3274C">
        <w:rPr>
          <w:lang w:val="fr-CA"/>
        </w:rPr>
        <w:t xml:space="preserve"> (par exemple le terme </w:t>
      </w:r>
      <w:r w:rsidR="0055418C" w:rsidRPr="00B3274C">
        <w:rPr>
          <w:lang w:val="fr-CA"/>
        </w:rPr>
        <w:t>«</w:t>
      </w:r>
      <w:r w:rsidR="00941F9C" w:rsidRPr="00B3274C">
        <w:rPr>
          <w:lang w:val="fr-CA"/>
        </w:rPr>
        <w:t>athiganos</w:t>
      </w:r>
      <w:r w:rsidR="0055418C" w:rsidRPr="00B3274C">
        <w:rPr>
          <w:lang w:val="fr-CA"/>
        </w:rPr>
        <w:t>»</w:t>
      </w:r>
      <w:r w:rsidR="00941F9C" w:rsidRPr="00B3274C">
        <w:rPr>
          <w:lang w:val="fr-CA"/>
        </w:rPr>
        <w:t>)</w:t>
      </w:r>
      <w:r w:rsidR="0055418C" w:rsidRPr="00B3274C">
        <w:rPr>
          <w:lang w:val="fr-CA"/>
        </w:rPr>
        <w:t xml:space="preserve"> </w:t>
      </w:r>
      <w:r w:rsidR="0034252D" w:rsidRPr="00B3274C">
        <w:rPr>
          <w:lang w:val="fr-CA"/>
        </w:rPr>
        <w:t>dans la correspondance</w:t>
      </w:r>
      <w:r w:rsidR="0080611A">
        <w:rPr>
          <w:lang w:val="fr-CA"/>
        </w:rPr>
        <w:t>,</w:t>
      </w:r>
      <w:r w:rsidR="0034252D" w:rsidRPr="00B3274C">
        <w:rPr>
          <w:lang w:val="fr-CA"/>
        </w:rPr>
        <w:t xml:space="preserve"> les annonces écrites </w:t>
      </w:r>
      <w:r w:rsidR="006F7649" w:rsidRPr="00B3274C">
        <w:rPr>
          <w:lang w:val="fr-CA"/>
        </w:rPr>
        <w:t>ou</w:t>
      </w:r>
      <w:r w:rsidR="0034252D" w:rsidRPr="00B3274C">
        <w:rPr>
          <w:lang w:val="fr-CA"/>
        </w:rPr>
        <w:t xml:space="preserve"> les déclarations orales des services de la police et de leurs personnels a été interdit en vertu d</w:t>
      </w:r>
      <w:r w:rsidR="0080611A">
        <w:rPr>
          <w:lang w:val="fr-CA"/>
        </w:rPr>
        <w:t>’</w:t>
      </w:r>
      <w:r w:rsidR="0034252D" w:rsidRPr="00B3274C">
        <w:rPr>
          <w:lang w:val="fr-CA"/>
        </w:rPr>
        <w:t>une circulaire en</w:t>
      </w:r>
      <w:r w:rsidR="00F913AD" w:rsidRPr="00B3274C">
        <w:rPr>
          <w:lang w:val="fr-CA"/>
        </w:rPr>
        <w:t>voyée à tous les services en </w:t>
      </w:r>
      <w:r w:rsidR="0034252D" w:rsidRPr="00B3274C">
        <w:rPr>
          <w:lang w:val="fr-CA"/>
        </w:rPr>
        <w:t xml:space="preserve">2004. </w:t>
      </w:r>
    </w:p>
    <w:p w:rsidR="00FB23D3" w:rsidRPr="00B3274C" w:rsidRDefault="00107A47" w:rsidP="00107A47">
      <w:pPr>
        <w:pStyle w:val="SingleTxtG"/>
        <w:rPr>
          <w:lang w:val="fr-CA"/>
        </w:rPr>
      </w:pPr>
      <w:r w:rsidRPr="00B3274C">
        <w:rPr>
          <w:lang w:val="fr-CA"/>
        </w:rPr>
        <w:t>215.</w:t>
      </w:r>
      <w:r w:rsidRPr="00B3274C">
        <w:rPr>
          <w:lang w:val="fr-CA"/>
        </w:rPr>
        <w:tab/>
      </w:r>
      <w:r w:rsidR="004952A5" w:rsidRPr="00B3274C">
        <w:rPr>
          <w:lang w:val="fr-CA"/>
        </w:rPr>
        <w:t xml:space="preserve">Une grande importance est accordée à la formation et à la formation continue du personnel </w:t>
      </w:r>
      <w:r w:rsidR="00196801" w:rsidRPr="00B3274C">
        <w:rPr>
          <w:lang w:val="fr-CA"/>
        </w:rPr>
        <w:t>dans le domaine de la</w:t>
      </w:r>
      <w:r w:rsidR="004952A5" w:rsidRPr="00B3274C">
        <w:rPr>
          <w:lang w:val="fr-CA"/>
        </w:rPr>
        <w:t xml:space="preserve"> protection des droits de l</w:t>
      </w:r>
      <w:r w:rsidR="0080611A">
        <w:rPr>
          <w:lang w:val="fr-CA"/>
        </w:rPr>
        <w:t>’</w:t>
      </w:r>
      <w:r w:rsidR="004952A5" w:rsidRPr="00B3274C">
        <w:rPr>
          <w:lang w:val="fr-CA"/>
        </w:rPr>
        <w:t xml:space="preserve">homme. </w:t>
      </w:r>
      <w:r w:rsidR="00196801" w:rsidRPr="00B3274C">
        <w:rPr>
          <w:lang w:val="fr-CA"/>
        </w:rPr>
        <w:t>P</w:t>
      </w:r>
      <w:r w:rsidR="004952A5" w:rsidRPr="00B3274C">
        <w:rPr>
          <w:lang w:val="fr-CA"/>
        </w:rPr>
        <w:t>ar ailleurs</w:t>
      </w:r>
      <w:r w:rsidR="0080611A">
        <w:rPr>
          <w:lang w:val="fr-CA"/>
        </w:rPr>
        <w:t>,</w:t>
      </w:r>
      <w:r w:rsidR="00196801" w:rsidRPr="00B3274C">
        <w:rPr>
          <w:lang w:val="fr-CA"/>
        </w:rPr>
        <w:t xml:space="preserve"> le Règlement disciplinaire des personnels de la police contient des dispositions strictes </w:t>
      </w:r>
      <w:r w:rsidR="00F80CEC" w:rsidRPr="00B3274C">
        <w:rPr>
          <w:lang w:val="fr-CA"/>
        </w:rPr>
        <w:t>relatives à</w:t>
      </w:r>
      <w:r w:rsidR="00196801" w:rsidRPr="00B3274C">
        <w:rPr>
          <w:lang w:val="fr-CA"/>
        </w:rPr>
        <w:t xml:space="preserve"> la répression des comportements offensants</w:t>
      </w:r>
      <w:r w:rsidR="0080611A">
        <w:rPr>
          <w:lang w:val="fr-CA"/>
        </w:rPr>
        <w:t>,</w:t>
      </w:r>
      <w:r w:rsidR="00196801" w:rsidRPr="00B3274C">
        <w:rPr>
          <w:lang w:val="fr-CA"/>
        </w:rPr>
        <w:t xml:space="preserve"> d</w:t>
      </w:r>
      <w:r w:rsidR="0080611A">
        <w:rPr>
          <w:lang w:val="fr-CA"/>
        </w:rPr>
        <w:t>’</w:t>
      </w:r>
      <w:r w:rsidR="00196801" w:rsidRPr="00B3274C">
        <w:rPr>
          <w:lang w:val="fr-CA"/>
        </w:rPr>
        <w:t>une part</w:t>
      </w:r>
      <w:r w:rsidR="0080611A">
        <w:rPr>
          <w:lang w:val="fr-CA"/>
        </w:rPr>
        <w:t>,</w:t>
      </w:r>
      <w:r w:rsidR="00196801" w:rsidRPr="00B3274C">
        <w:rPr>
          <w:lang w:val="fr-CA"/>
        </w:rPr>
        <w:t xml:space="preserve"> et</w:t>
      </w:r>
      <w:r w:rsidR="0080611A">
        <w:rPr>
          <w:lang w:val="fr-CA"/>
        </w:rPr>
        <w:t>,</w:t>
      </w:r>
      <w:r w:rsidR="00196801" w:rsidRPr="00B3274C">
        <w:rPr>
          <w:lang w:val="fr-CA"/>
        </w:rPr>
        <w:t xml:space="preserve"> d</w:t>
      </w:r>
      <w:r w:rsidR="0080611A">
        <w:rPr>
          <w:lang w:val="fr-CA"/>
        </w:rPr>
        <w:t>’</w:t>
      </w:r>
      <w:r w:rsidR="00196801" w:rsidRPr="00B3274C">
        <w:rPr>
          <w:lang w:val="fr-CA"/>
        </w:rPr>
        <w:t>autre part</w:t>
      </w:r>
      <w:r w:rsidR="0080611A">
        <w:rPr>
          <w:lang w:val="fr-CA"/>
        </w:rPr>
        <w:t>,</w:t>
      </w:r>
      <w:r w:rsidR="00196801" w:rsidRPr="00B3274C">
        <w:rPr>
          <w:lang w:val="fr-CA"/>
        </w:rPr>
        <w:t xml:space="preserve"> </w:t>
      </w:r>
      <w:r w:rsidR="00CA314C" w:rsidRPr="00B3274C">
        <w:rPr>
          <w:lang w:val="fr-CA"/>
        </w:rPr>
        <w:t xml:space="preserve">de </w:t>
      </w:r>
      <w:r w:rsidR="00196801" w:rsidRPr="00B3274C">
        <w:rPr>
          <w:lang w:val="fr-CA"/>
        </w:rPr>
        <w:t>la nécessité</w:t>
      </w:r>
      <w:r w:rsidR="00AB2FA3" w:rsidRPr="00B3274C">
        <w:rPr>
          <w:lang w:val="fr-CA"/>
        </w:rPr>
        <w:t xml:space="preserve"> de procéder </w:t>
      </w:r>
      <w:r w:rsidR="00196801" w:rsidRPr="00B3274C">
        <w:rPr>
          <w:lang w:val="fr-CA"/>
        </w:rPr>
        <w:t xml:space="preserve">dans les meilleurs délais </w:t>
      </w:r>
      <w:r w:rsidR="00AB2FA3" w:rsidRPr="00B3274C">
        <w:rPr>
          <w:lang w:val="fr-CA"/>
        </w:rPr>
        <w:t>à l</w:t>
      </w:r>
      <w:r w:rsidR="0080611A">
        <w:rPr>
          <w:lang w:val="fr-CA"/>
        </w:rPr>
        <w:t>’</w:t>
      </w:r>
      <w:r w:rsidR="00AB2FA3" w:rsidRPr="00B3274C">
        <w:rPr>
          <w:lang w:val="fr-CA"/>
        </w:rPr>
        <w:t>examen d</w:t>
      </w:r>
      <w:r w:rsidR="00196801" w:rsidRPr="00B3274C">
        <w:rPr>
          <w:lang w:val="fr-CA"/>
        </w:rPr>
        <w:t>es fautes disciplinaires</w:t>
      </w:r>
      <w:r w:rsidR="00AB2FA3" w:rsidRPr="00B3274C">
        <w:rPr>
          <w:lang w:val="fr-CA"/>
        </w:rPr>
        <w:t xml:space="preserve"> commises et à l</w:t>
      </w:r>
      <w:r w:rsidR="0080611A">
        <w:rPr>
          <w:lang w:val="fr-CA"/>
        </w:rPr>
        <w:t>’</w:t>
      </w:r>
      <w:r w:rsidR="00AB2FA3" w:rsidRPr="00B3274C">
        <w:rPr>
          <w:lang w:val="fr-CA"/>
        </w:rPr>
        <w:t xml:space="preserve">audition de leurs auteurs. </w:t>
      </w:r>
    </w:p>
    <w:p w:rsidR="00FB23D3" w:rsidRPr="00B3274C" w:rsidRDefault="00107A47" w:rsidP="00107A47">
      <w:pPr>
        <w:pStyle w:val="SingleTxtG"/>
        <w:rPr>
          <w:lang w:val="fr-CA"/>
        </w:rPr>
      </w:pPr>
      <w:r w:rsidRPr="00B3274C">
        <w:rPr>
          <w:lang w:val="fr-CA"/>
        </w:rPr>
        <w:t>216.</w:t>
      </w:r>
      <w:r w:rsidRPr="00B3274C">
        <w:rPr>
          <w:lang w:val="fr-CA"/>
        </w:rPr>
        <w:tab/>
      </w:r>
      <w:r w:rsidR="008B7C3D" w:rsidRPr="00B3274C">
        <w:rPr>
          <w:lang w:val="fr-CA"/>
        </w:rPr>
        <w:t>Un important fait nouveau est survenu récemment</w:t>
      </w:r>
      <w:r w:rsidR="0080611A">
        <w:rPr>
          <w:lang w:val="fr-CA"/>
        </w:rPr>
        <w:t>,</w:t>
      </w:r>
      <w:r w:rsidR="008B7C3D" w:rsidRPr="00B3274C">
        <w:rPr>
          <w:lang w:val="fr-CA"/>
        </w:rPr>
        <w:t xml:space="preserve"> à savoir l</w:t>
      </w:r>
      <w:r w:rsidR="0080611A">
        <w:rPr>
          <w:lang w:val="fr-CA"/>
        </w:rPr>
        <w:t>’</w:t>
      </w:r>
      <w:r w:rsidR="008B7C3D" w:rsidRPr="00B3274C">
        <w:rPr>
          <w:lang w:val="fr-CA"/>
        </w:rPr>
        <w:t>adoption de la loi n°</w:t>
      </w:r>
      <w:r w:rsidR="00FB23D3" w:rsidRPr="00B3274C">
        <w:rPr>
          <w:lang w:val="fr-CA"/>
        </w:rPr>
        <w:t>3938/2011</w:t>
      </w:r>
      <w:r w:rsidR="008B7C3D" w:rsidRPr="00B3274C">
        <w:rPr>
          <w:lang w:val="fr-CA"/>
        </w:rPr>
        <w:t xml:space="preserve"> portant création</w:t>
      </w:r>
      <w:r w:rsidR="0080611A">
        <w:rPr>
          <w:lang w:val="fr-CA"/>
        </w:rPr>
        <w:t>,</w:t>
      </w:r>
      <w:r w:rsidR="008B7C3D" w:rsidRPr="00B3274C">
        <w:rPr>
          <w:lang w:val="fr-CA"/>
        </w:rPr>
        <w:t xml:space="preserve"> au sein du Ministère de la protection des citoyens</w:t>
      </w:r>
      <w:r w:rsidR="0080611A">
        <w:rPr>
          <w:lang w:val="fr-CA"/>
        </w:rPr>
        <w:t>,</w:t>
      </w:r>
      <w:r w:rsidR="008B7C3D" w:rsidRPr="00B3274C">
        <w:rPr>
          <w:lang w:val="fr-CA"/>
        </w:rPr>
        <w:t xml:space="preserve"> d</w:t>
      </w:r>
      <w:r w:rsidR="0080611A">
        <w:rPr>
          <w:lang w:val="fr-CA"/>
        </w:rPr>
        <w:t>’</w:t>
      </w:r>
      <w:r w:rsidR="008B7C3D" w:rsidRPr="00B3274C">
        <w:rPr>
          <w:lang w:val="fr-CA"/>
        </w:rPr>
        <w:t>un Bureau</w:t>
      </w:r>
      <w:r w:rsidR="0080611A">
        <w:rPr>
          <w:lang w:val="fr-CA"/>
        </w:rPr>
        <w:t>,</w:t>
      </w:r>
      <w:r w:rsidR="008B7C3D" w:rsidRPr="00B3274C">
        <w:rPr>
          <w:lang w:val="fr-CA"/>
        </w:rPr>
        <w:t xml:space="preserve"> placé sous la tutelle du Ministre</w:t>
      </w:r>
      <w:r w:rsidR="0080611A">
        <w:rPr>
          <w:lang w:val="fr-CA"/>
        </w:rPr>
        <w:t>,</w:t>
      </w:r>
      <w:r w:rsidR="008B7C3D" w:rsidRPr="00B3274C">
        <w:rPr>
          <w:lang w:val="fr-CA"/>
        </w:rPr>
        <w:t xml:space="preserve"> chargé d</w:t>
      </w:r>
      <w:r w:rsidR="0080611A">
        <w:rPr>
          <w:lang w:val="fr-CA"/>
        </w:rPr>
        <w:t>’</w:t>
      </w:r>
      <w:r w:rsidR="008B7C3D" w:rsidRPr="00B3274C">
        <w:rPr>
          <w:lang w:val="fr-CA"/>
        </w:rPr>
        <w:t>examiner les allégations de sévices. Le Bureau a pour tâche d</w:t>
      </w:r>
      <w:r w:rsidR="0080611A">
        <w:rPr>
          <w:lang w:val="fr-CA"/>
        </w:rPr>
        <w:t>’</w:t>
      </w:r>
      <w:r w:rsidR="008B7C3D" w:rsidRPr="00B3274C">
        <w:rPr>
          <w:lang w:val="fr-CA"/>
        </w:rPr>
        <w:t xml:space="preserve">examiner les cas de mauvais traitements infligés </w:t>
      </w:r>
      <w:r w:rsidR="00843429" w:rsidRPr="00B3274C">
        <w:rPr>
          <w:lang w:val="fr-CA"/>
        </w:rPr>
        <w:t xml:space="preserve">à </w:t>
      </w:r>
      <w:r w:rsidR="00614BAC">
        <w:rPr>
          <w:lang w:val="fr-CA"/>
        </w:rPr>
        <w:t>des personnes</w:t>
      </w:r>
      <w:r w:rsidR="00843429" w:rsidRPr="00B3274C">
        <w:rPr>
          <w:lang w:val="fr-CA"/>
        </w:rPr>
        <w:t xml:space="preserve"> </w:t>
      </w:r>
      <w:r w:rsidR="008B7C3D" w:rsidRPr="00B3274C">
        <w:rPr>
          <w:lang w:val="fr-CA"/>
        </w:rPr>
        <w:t>par des policiers ou les atteintes à la dignité humaine commises par ceux-ci. Il a pour mission de recueillir</w:t>
      </w:r>
      <w:r w:rsidR="0080611A">
        <w:rPr>
          <w:lang w:val="fr-CA"/>
        </w:rPr>
        <w:t>,</w:t>
      </w:r>
      <w:r w:rsidR="008B7C3D" w:rsidRPr="00B3274C">
        <w:rPr>
          <w:lang w:val="fr-CA"/>
        </w:rPr>
        <w:t xml:space="preserve"> d</w:t>
      </w:r>
      <w:r w:rsidR="0080611A">
        <w:rPr>
          <w:lang w:val="fr-CA"/>
        </w:rPr>
        <w:t>’</w:t>
      </w:r>
      <w:r w:rsidR="008B7C3D" w:rsidRPr="00B3274C">
        <w:rPr>
          <w:lang w:val="fr-CA"/>
        </w:rPr>
        <w:t>enregistrer</w:t>
      </w:r>
      <w:r w:rsidR="004F2419" w:rsidRPr="00B3274C">
        <w:rPr>
          <w:lang w:val="fr-CA"/>
        </w:rPr>
        <w:t xml:space="preserve"> et</w:t>
      </w:r>
      <w:r w:rsidR="008B7C3D" w:rsidRPr="00B3274C">
        <w:rPr>
          <w:lang w:val="fr-CA"/>
        </w:rPr>
        <w:t xml:space="preserve"> d</w:t>
      </w:r>
      <w:r w:rsidR="0080611A">
        <w:rPr>
          <w:lang w:val="fr-CA"/>
        </w:rPr>
        <w:t>’</w:t>
      </w:r>
      <w:r w:rsidR="008B7C3D" w:rsidRPr="00B3274C">
        <w:rPr>
          <w:lang w:val="fr-CA"/>
        </w:rPr>
        <w:t xml:space="preserve">examiner les plaintes </w:t>
      </w:r>
      <w:r w:rsidR="00126DE4" w:rsidRPr="00B3274C">
        <w:rPr>
          <w:lang w:val="fr-CA"/>
        </w:rPr>
        <w:t>se rapportant à</w:t>
      </w:r>
      <w:r w:rsidR="008B7C3D" w:rsidRPr="00B3274C">
        <w:rPr>
          <w:lang w:val="fr-CA"/>
        </w:rPr>
        <w:t xml:space="preserve"> des actes commis par la police</w:t>
      </w:r>
      <w:r w:rsidR="0080611A">
        <w:rPr>
          <w:lang w:val="fr-CA"/>
        </w:rPr>
        <w:t>,</w:t>
      </w:r>
      <w:r w:rsidR="008B7C3D" w:rsidRPr="00B3274C">
        <w:rPr>
          <w:lang w:val="fr-CA"/>
        </w:rPr>
        <w:t xml:space="preserve"> </w:t>
      </w:r>
      <w:r w:rsidR="004F2419" w:rsidRPr="00B3274C">
        <w:rPr>
          <w:lang w:val="fr-CA"/>
        </w:rPr>
        <w:t>l</w:t>
      </w:r>
      <w:r w:rsidR="008B7C3D" w:rsidRPr="00B3274C">
        <w:rPr>
          <w:lang w:val="fr-CA"/>
        </w:rPr>
        <w:t xml:space="preserve">es garde-côtes et </w:t>
      </w:r>
      <w:r w:rsidR="004F2419" w:rsidRPr="00B3274C">
        <w:rPr>
          <w:lang w:val="fr-CA"/>
        </w:rPr>
        <w:t>l</w:t>
      </w:r>
      <w:r w:rsidR="008B7C3D" w:rsidRPr="00B3274C">
        <w:rPr>
          <w:lang w:val="fr-CA"/>
        </w:rPr>
        <w:t xml:space="preserve">es pompiers </w:t>
      </w:r>
      <w:r w:rsidR="00E57327" w:rsidRPr="00B3274C">
        <w:rPr>
          <w:lang w:val="fr-CA"/>
        </w:rPr>
        <w:t>en exerçant</w:t>
      </w:r>
      <w:r w:rsidR="004F2419" w:rsidRPr="00B3274C">
        <w:rPr>
          <w:lang w:val="fr-CA"/>
        </w:rPr>
        <w:t xml:space="preserve"> leurs fonctions ou en abusant </w:t>
      </w:r>
      <w:r w:rsidR="00126DE4" w:rsidRPr="00B3274C">
        <w:rPr>
          <w:lang w:val="fr-CA"/>
        </w:rPr>
        <w:t>de leur statut de fonctionnaire</w:t>
      </w:r>
      <w:r w:rsidR="0080611A">
        <w:rPr>
          <w:lang w:val="fr-CA"/>
        </w:rPr>
        <w:t>,</w:t>
      </w:r>
      <w:r w:rsidR="004F2419" w:rsidRPr="00B3274C">
        <w:rPr>
          <w:lang w:val="fr-CA"/>
        </w:rPr>
        <w:t xml:space="preserve"> et d</w:t>
      </w:r>
      <w:r w:rsidR="0080611A">
        <w:rPr>
          <w:lang w:val="fr-CA"/>
        </w:rPr>
        <w:t>’</w:t>
      </w:r>
      <w:r w:rsidR="004F2419" w:rsidRPr="00B3274C">
        <w:rPr>
          <w:lang w:val="fr-CA"/>
        </w:rPr>
        <w:t xml:space="preserve">ordonner des enquêtes </w:t>
      </w:r>
      <w:r w:rsidR="00126DE4" w:rsidRPr="00B3274C">
        <w:rPr>
          <w:lang w:val="fr-CA"/>
        </w:rPr>
        <w:t>les concernant</w:t>
      </w:r>
      <w:r w:rsidR="004F2419" w:rsidRPr="00B3274C">
        <w:rPr>
          <w:lang w:val="fr-CA"/>
        </w:rPr>
        <w:t>. D</w:t>
      </w:r>
      <w:r w:rsidR="0080611A">
        <w:rPr>
          <w:lang w:val="fr-CA"/>
        </w:rPr>
        <w:t>’</w:t>
      </w:r>
      <w:r w:rsidR="004F2419" w:rsidRPr="00B3274C">
        <w:rPr>
          <w:lang w:val="fr-CA"/>
        </w:rPr>
        <w:t>autre part</w:t>
      </w:r>
      <w:r w:rsidR="0080611A">
        <w:rPr>
          <w:lang w:val="fr-CA"/>
        </w:rPr>
        <w:t>,</w:t>
      </w:r>
      <w:r w:rsidR="004F2419" w:rsidRPr="00B3274C">
        <w:rPr>
          <w:lang w:val="fr-CA"/>
        </w:rPr>
        <w:t xml:space="preserve"> il enquêtera sur les affaires</w:t>
      </w:r>
      <w:r w:rsidR="00080A27" w:rsidRPr="00B3274C">
        <w:rPr>
          <w:lang w:val="fr-CA"/>
        </w:rPr>
        <w:t xml:space="preserve"> dans lesquelles</w:t>
      </w:r>
      <w:r w:rsidR="004F2419" w:rsidRPr="00B3274C">
        <w:rPr>
          <w:lang w:val="fr-CA"/>
        </w:rPr>
        <w:t xml:space="preserve"> la Cour européenne des droits de l</w:t>
      </w:r>
      <w:r w:rsidR="0080611A">
        <w:rPr>
          <w:lang w:val="fr-CA"/>
        </w:rPr>
        <w:t>’</w:t>
      </w:r>
      <w:r w:rsidR="004F2419" w:rsidRPr="00B3274C">
        <w:rPr>
          <w:lang w:val="fr-CA"/>
        </w:rPr>
        <w:t xml:space="preserve">homme a </w:t>
      </w:r>
      <w:r w:rsidR="00126DE4" w:rsidRPr="00B3274C">
        <w:rPr>
          <w:lang w:val="fr-CA"/>
        </w:rPr>
        <w:t>constaté qu</w:t>
      </w:r>
      <w:r w:rsidR="0080611A">
        <w:rPr>
          <w:lang w:val="fr-CA"/>
        </w:rPr>
        <w:t>’</w:t>
      </w:r>
      <w:r w:rsidR="004F2419" w:rsidRPr="00B3274C">
        <w:rPr>
          <w:lang w:val="fr-CA"/>
        </w:rPr>
        <w:t>une violation</w:t>
      </w:r>
      <w:r w:rsidR="00126DE4" w:rsidRPr="00B3274C">
        <w:rPr>
          <w:lang w:val="fr-CA"/>
        </w:rPr>
        <w:t xml:space="preserve"> avait été commise.</w:t>
      </w:r>
      <w:r w:rsidR="0055418C" w:rsidRPr="00B3274C">
        <w:rPr>
          <w:lang w:val="fr-CA"/>
        </w:rPr>
        <w:t xml:space="preserve"> </w:t>
      </w:r>
    </w:p>
    <w:p w:rsidR="00FB23D3" w:rsidRPr="00B3274C" w:rsidRDefault="00CA5EED" w:rsidP="002802D4">
      <w:pPr>
        <w:pStyle w:val="H23G"/>
        <w:rPr>
          <w:lang w:val="fr-CA"/>
        </w:rPr>
      </w:pPr>
      <w:r w:rsidRPr="00B3274C">
        <w:rPr>
          <w:lang w:val="fr-CA"/>
        </w:rPr>
        <w:tab/>
      </w:r>
      <w:r w:rsidR="002802D4" w:rsidRPr="00B3274C">
        <w:rPr>
          <w:lang w:val="fr-CA"/>
        </w:rPr>
        <w:t>7.</w:t>
      </w:r>
      <w:r w:rsidRPr="00B3274C">
        <w:rPr>
          <w:lang w:val="fr-CA"/>
        </w:rPr>
        <w:tab/>
      </w:r>
      <w:r w:rsidR="001C3B6C" w:rsidRPr="00B3274C">
        <w:rPr>
          <w:lang w:val="fr-CA"/>
        </w:rPr>
        <w:t>Mesures de lutte contre la pauvreté (par</w:t>
      </w:r>
      <w:r w:rsidR="00FB23D3" w:rsidRPr="00B3274C">
        <w:rPr>
          <w:lang w:val="fr-CA"/>
        </w:rPr>
        <w:t>.</w:t>
      </w:r>
      <w:r w:rsidR="009258E5" w:rsidRPr="00B3274C">
        <w:rPr>
          <w:lang w:val="fr-CA"/>
        </w:rPr>
        <w:t> </w:t>
      </w:r>
      <w:r w:rsidR="001C3B6C" w:rsidRPr="00B3274C">
        <w:rPr>
          <w:lang w:val="fr-CA"/>
        </w:rPr>
        <w:t>20 et</w:t>
      </w:r>
      <w:r w:rsidR="00FB23D3" w:rsidRPr="00B3274C">
        <w:rPr>
          <w:lang w:val="fr-CA"/>
        </w:rPr>
        <w:t xml:space="preserve"> 41</w:t>
      </w:r>
      <w:r w:rsidR="006050A1" w:rsidRPr="00B3274C">
        <w:rPr>
          <w:lang w:val="fr-CA"/>
        </w:rPr>
        <w:t xml:space="preserve"> des observations finales du Comité</w:t>
      </w:r>
      <w:r w:rsidR="00FB23D3" w:rsidRPr="00B3274C">
        <w:rPr>
          <w:lang w:val="fr-CA"/>
        </w:rPr>
        <w:t>)</w:t>
      </w:r>
    </w:p>
    <w:p w:rsidR="00FB23D3" w:rsidRPr="00B3274C" w:rsidRDefault="00CA5EED" w:rsidP="002802D4">
      <w:pPr>
        <w:pStyle w:val="H23G"/>
        <w:rPr>
          <w:lang w:val="fr-CA"/>
        </w:rPr>
      </w:pPr>
      <w:r w:rsidRPr="00B3274C">
        <w:rPr>
          <w:lang w:val="fr-CA"/>
        </w:rPr>
        <w:tab/>
      </w:r>
      <w:r w:rsidR="002802D4" w:rsidRPr="00B3274C">
        <w:rPr>
          <w:lang w:val="fr-CA"/>
        </w:rPr>
        <w:t>a)</w:t>
      </w:r>
      <w:r w:rsidRPr="00B3274C">
        <w:rPr>
          <w:lang w:val="fr-CA"/>
        </w:rPr>
        <w:tab/>
      </w:r>
      <w:r w:rsidR="001C3B6C" w:rsidRPr="00B3274C">
        <w:rPr>
          <w:lang w:val="fr-CA"/>
        </w:rPr>
        <w:t xml:space="preserve">Indicateurs de mesure de la pauvreté </w:t>
      </w:r>
    </w:p>
    <w:p w:rsidR="00FB23D3" w:rsidRPr="00B3274C" w:rsidRDefault="00107A47" w:rsidP="00107A47">
      <w:pPr>
        <w:pStyle w:val="SingleTxtG"/>
        <w:rPr>
          <w:lang w:val="fr-CA"/>
        </w:rPr>
      </w:pPr>
      <w:r w:rsidRPr="00B3274C">
        <w:rPr>
          <w:lang w:val="fr-CA"/>
        </w:rPr>
        <w:t>217.</w:t>
      </w:r>
      <w:r w:rsidRPr="00B3274C">
        <w:rPr>
          <w:lang w:val="fr-CA"/>
        </w:rPr>
        <w:tab/>
      </w:r>
      <w:r w:rsidR="00F01277" w:rsidRPr="00B3274C">
        <w:rPr>
          <w:lang w:val="fr-CA"/>
        </w:rPr>
        <w:t>En Grèce</w:t>
      </w:r>
      <w:r w:rsidR="0080611A">
        <w:rPr>
          <w:lang w:val="fr-CA"/>
        </w:rPr>
        <w:t>,</w:t>
      </w:r>
      <w:r w:rsidR="00F01277" w:rsidRPr="00B3274C">
        <w:rPr>
          <w:lang w:val="fr-CA"/>
        </w:rPr>
        <w:t xml:space="preserve"> comme dans les autres États membres de l</w:t>
      </w:r>
      <w:r w:rsidR="0080611A">
        <w:rPr>
          <w:lang w:val="fr-CA"/>
        </w:rPr>
        <w:t>’</w:t>
      </w:r>
      <w:r w:rsidR="00F01277" w:rsidRPr="00B3274C">
        <w:rPr>
          <w:lang w:val="fr-CA"/>
        </w:rPr>
        <w:t>Union européenne</w:t>
      </w:r>
      <w:r w:rsidR="0080611A">
        <w:rPr>
          <w:lang w:val="fr-CA"/>
        </w:rPr>
        <w:t>,</w:t>
      </w:r>
      <w:r w:rsidR="00F01277" w:rsidRPr="00B3274C">
        <w:rPr>
          <w:lang w:val="fr-CA"/>
        </w:rPr>
        <w:t xml:space="preserve"> les progrès réalisés dans le domaine de la lutte contre la pauvreté et de l</w:t>
      </w:r>
      <w:r w:rsidR="0080611A">
        <w:rPr>
          <w:lang w:val="fr-CA"/>
        </w:rPr>
        <w:t>’</w:t>
      </w:r>
      <w:r w:rsidR="00F01277" w:rsidRPr="00B3274C">
        <w:rPr>
          <w:lang w:val="fr-CA"/>
        </w:rPr>
        <w:t>exclusion sociale peuvent être évalués au moyen d</w:t>
      </w:r>
      <w:r w:rsidR="0080611A">
        <w:rPr>
          <w:lang w:val="fr-CA"/>
        </w:rPr>
        <w:t>’</w:t>
      </w:r>
      <w:r w:rsidR="00F01277" w:rsidRPr="00B3274C">
        <w:rPr>
          <w:lang w:val="fr-CA"/>
        </w:rPr>
        <w:t>un ensemble d</w:t>
      </w:r>
      <w:r w:rsidR="0080611A">
        <w:rPr>
          <w:lang w:val="fr-CA"/>
        </w:rPr>
        <w:t>’</w:t>
      </w:r>
      <w:r w:rsidR="00F01277" w:rsidRPr="00B3274C">
        <w:rPr>
          <w:lang w:val="fr-CA"/>
        </w:rPr>
        <w:t>indicateurs dans le secteur de l</w:t>
      </w:r>
      <w:r w:rsidR="0080611A">
        <w:rPr>
          <w:lang w:val="fr-CA"/>
        </w:rPr>
        <w:t>’</w:t>
      </w:r>
      <w:r w:rsidR="00F01277" w:rsidRPr="00B3274C">
        <w:rPr>
          <w:lang w:val="fr-CA"/>
        </w:rPr>
        <w:t>exclusion sociale et de la pauvreté</w:t>
      </w:r>
      <w:r w:rsidR="0080611A">
        <w:rPr>
          <w:lang w:val="fr-CA"/>
        </w:rPr>
        <w:t>,</w:t>
      </w:r>
      <w:r w:rsidR="00F01277" w:rsidRPr="00B3274C">
        <w:rPr>
          <w:lang w:val="fr-CA"/>
        </w:rPr>
        <w:t xml:space="preserve"> conformément aux décisions prises au niveau européen. </w:t>
      </w:r>
    </w:p>
    <w:p w:rsidR="00FB23D3" w:rsidRPr="00B3274C" w:rsidRDefault="00CA5EED" w:rsidP="002802D4">
      <w:pPr>
        <w:pStyle w:val="H23G"/>
        <w:rPr>
          <w:lang w:val="fr-CA"/>
        </w:rPr>
      </w:pPr>
      <w:r w:rsidRPr="00B3274C">
        <w:rPr>
          <w:lang w:val="fr-CA"/>
        </w:rPr>
        <w:tab/>
      </w:r>
      <w:r w:rsidR="002802D4" w:rsidRPr="00B3274C">
        <w:rPr>
          <w:lang w:val="fr-CA"/>
        </w:rPr>
        <w:t>b)</w:t>
      </w:r>
      <w:r w:rsidRPr="00B3274C">
        <w:rPr>
          <w:lang w:val="fr-CA"/>
        </w:rPr>
        <w:tab/>
      </w:r>
      <w:r w:rsidR="00F01277" w:rsidRPr="00B3274C">
        <w:rPr>
          <w:lang w:val="fr-CA"/>
        </w:rPr>
        <w:t xml:space="preserve">Absence de seuil de pauvreté </w:t>
      </w:r>
    </w:p>
    <w:p w:rsidR="00FB23D3" w:rsidRPr="00B3274C" w:rsidRDefault="00107A47" w:rsidP="00107A47">
      <w:pPr>
        <w:pStyle w:val="SingleTxtG"/>
        <w:rPr>
          <w:lang w:val="fr-CA"/>
        </w:rPr>
      </w:pPr>
      <w:r w:rsidRPr="00B3274C">
        <w:rPr>
          <w:lang w:val="fr-CA"/>
        </w:rPr>
        <w:t>218.</w:t>
      </w:r>
      <w:r w:rsidRPr="00B3274C">
        <w:rPr>
          <w:lang w:val="fr-CA"/>
        </w:rPr>
        <w:tab/>
      </w:r>
      <w:r w:rsidR="00F01277" w:rsidRPr="00B3274C">
        <w:rPr>
          <w:lang w:val="fr-CA"/>
        </w:rPr>
        <w:t>En Grèce</w:t>
      </w:r>
      <w:r w:rsidR="0080611A">
        <w:rPr>
          <w:lang w:val="fr-CA"/>
        </w:rPr>
        <w:t>,</w:t>
      </w:r>
      <w:r w:rsidR="00F01277" w:rsidRPr="00B3274C">
        <w:rPr>
          <w:lang w:val="fr-CA"/>
        </w:rPr>
        <w:t xml:space="preserve"> comme dans les autres États membres de l</w:t>
      </w:r>
      <w:r w:rsidR="0080611A">
        <w:rPr>
          <w:lang w:val="fr-CA"/>
        </w:rPr>
        <w:t>’</w:t>
      </w:r>
      <w:r w:rsidR="00F01277" w:rsidRPr="00B3274C">
        <w:rPr>
          <w:lang w:val="fr-CA"/>
        </w:rPr>
        <w:t>Union européenne</w:t>
      </w:r>
      <w:r w:rsidR="0080611A">
        <w:rPr>
          <w:lang w:val="fr-CA"/>
        </w:rPr>
        <w:t>,</w:t>
      </w:r>
      <w:r w:rsidR="00F01277" w:rsidRPr="00B3274C">
        <w:rPr>
          <w:lang w:val="fr-CA"/>
        </w:rPr>
        <w:t xml:space="preserve"> les enquêtes statistiques mentionnées plus haut</w:t>
      </w:r>
      <w:r w:rsidR="000B724A" w:rsidRPr="00B3274C">
        <w:rPr>
          <w:lang w:val="fr-CA"/>
        </w:rPr>
        <w:t xml:space="preserve"> utilisent généralement comme seuil </w:t>
      </w:r>
      <w:r w:rsidR="00F01277" w:rsidRPr="00B3274C">
        <w:rPr>
          <w:lang w:val="fr-CA"/>
        </w:rPr>
        <w:t xml:space="preserve">en dessous duquel une personne est considérée comme étant exposée </w:t>
      </w:r>
      <w:r w:rsidR="001E1941" w:rsidRPr="00B3274C">
        <w:rPr>
          <w:lang w:val="fr-CA"/>
        </w:rPr>
        <w:t>au</w:t>
      </w:r>
      <w:r w:rsidR="00F01277" w:rsidRPr="00B3274C">
        <w:rPr>
          <w:lang w:val="fr-CA"/>
        </w:rPr>
        <w:t xml:space="preserve"> risque de pauvreté</w:t>
      </w:r>
      <w:r w:rsidR="000B724A" w:rsidRPr="00B3274C">
        <w:rPr>
          <w:lang w:val="fr-CA"/>
        </w:rPr>
        <w:t xml:space="preserve"> </w:t>
      </w:r>
      <w:r w:rsidR="00435779" w:rsidRPr="00B3274C">
        <w:rPr>
          <w:lang w:val="fr-CA"/>
        </w:rPr>
        <w:t>un</w:t>
      </w:r>
      <w:r w:rsidR="000B724A" w:rsidRPr="00B3274C">
        <w:rPr>
          <w:lang w:val="fr-CA"/>
        </w:rPr>
        <w:t xml:space="preserve"> </w:t>
      </w:r>
      <w:r w:rsidR="00E33B26" w:rsidRPr="00B3274C">
        <w:rPr>
          <w:lang w:val="fr-CA"/>
        </w:rPr>
        <w:t>revenu</w:t>
      </w:r>
      <w:r w:rsidR="000B724A" w:rsidRPr="00B3274C">
        <w:rPr>
          <w:lang w:val="fr-CA"/>
        </w:rPr>
        <w:t xml:space="preserve"> </w:t>
      </w:r>
      <w:r w:rsidR="00E33B26" w:rsidRPr="00B3274C">
        <w:rPr>
          <w:lang w:val="fr-CA"/>
        </w:rPr>
        <w:t>inférieur</w:t>
      </w:r>
      <w:r w:rsidR="000B724A" w:rsidRPr="00B3274C">
        <w:rPr>
          <w:lang w:val="fr-CA"/>
        </w:rPr>
        <w:t xml:space="preserve"> à 60</w:t>
      </w:r>
      <w:r w:rsidR="0050285B">
        <w:rPr>
          <w:lang w:val="fr-CA"/>
        </w:rPr>
        <w:t> %</w:t>
      </w:r>
      <w:r w:rsidR="000B724A" w:rsidRPr="00B3274C">
        <w:rPr>
          <w:lang w:val="fr-CA"/>
        </w:rPr>
        <w:t xml:space="preserve"> </w:t>
      </w:r>
      <w:r w:rsidR="00435779" w:rsidRPr="00B3274C">
        <w:rPr>
          <w:lang w:val="fr-CA"/>
        </w:rPr>
        <w:t>d</w:t>
      </w:r>
      <w:r w:rsidR="000B724A" w:rsidRPr="00B3274C">
        <w:rPr>
          <w:lang w:val="fr-CA"/>
        </w:rPr>
        <w:t xml:space="preserve">u </w:t>
      </w:r>
      <w:r w:rsidR="0055418C" w:rsidRPr="00B3274C">
        <w:rPr>
          <w:lang w:val="fr-CA"/>
        </w:rPr>
        <w:t>«</w:t>
      </w:r>
      <w:r w:rsidR="000B724A" w:rsidRPr="00B3274C">
        <w:rPr>
          <w:lang w:val="fr-CA"/>
        </w:rPr>
        <w:t>revenu national moyen</w:t>
      </w:r>
      <w:r w:rsidR="0055418C" w:rsidRPr="00B3274C">
        <w:rPr>
          <w:lang w:val="fr-CA"/>
        </w:rPr>
        <w:t>»</w:t>
      </w:r>
      <w:r w:rsidR="00977863" w:rsidRPr="00B3274C">
        <w:rPr>
          <w:rStyle w:val="FootnoteReference"/>
          <w:lang w:val="fr-CA"/>
        </w:rPr>
        <w:t xml:space="preserve"> </w:t>
      </w:r>
      <w:r w:rsidR="00977863" w:rsidRPr="00B3274C">
        <w:rPr>
          <w:rStyle w:val="FootnoteReference"/>
          <w:lang w:val="fr-CA"/>
        </w:rPr>
        <w:footnoteReference w:id="10"/>
      </w:r>
      <w:r w:rsidR="00F01277" w:rsidRPr="00B3274C">
        <w:rPr>
          <w:lang w:val="fr-CA"/>
        </w:rPr>
        <w:t xml:space="preserve">. </w:t>
      </w:r>
      <w:r w:rsidR="00435779" w:rsidRPr="00B3274C">
        <w:rPr>
          <w:lang w:val="fr-CA"/>
        </w:rPr>
        <w:t xml:space="preserve">Il convient de préciser que ce seuil est utilisé à des fins statistiques et ne devrait pas être confondu avec des critères administratifs officiels correspondants (le cas échéant). </w:t>
      </w:r>
    </w:p>
    <w:p w:rsidR="00FB23D3" w:rsidRPr="00B3274C" w:rsidRDefault="00CA5EED" w:rsidP="002802D4">
      <w:pPr>
        <w:pStyle w:val="H23G"/>
        <w:rPr>
          <w:lang w:val="fr-CA"/>
        </w:rPr>
      </w:pPr>
      <w:r w:rsidRPr="00B3274C">
        <w:rPr>
          <w:lang w:val="fr-CA"/>
        </w:rPr>
        <w:tab/>
      </w:r>
      <w:r w:rsidR="002802D4" w:rsidRPr="00B3274C">
        <w:rPr>
          <w:lang w:val="fr-CA"/>
        </w:rPr>
        <w:t>c)</w:t>
      </w:r>
      <w:r w:rsidRPr="00B3274C">
        <w:rPr>
          <w:lang w:val="fr-CA"/>
        </w:rPr>
        <w:tab/>
      </w:r>
      <w:r w:rsidR="00BC05F5" w:rsidRPr="00B3274C">
        <w:rPr>
          <w:lang w:val="fr-CA"/>
        </w:rPr>
        <w:t xml:space="preserve">Objectifs en matière de lutte contre la pauvreté </w:t>
      </w:r>
    </w:p>
    <w:p w:rsidR="00FB23D3" w:rsidRPr="00B3274C" w:rsidRDefault="00107A47" w:rsidP="00107A47">
      <w:pPr>
        <w:pStyle w:val="SingleTxtG"/>
        <w:rPr>
          <w:lang w:val="fr-CA"/>
        </w:rPr>
      </w:pPr>
      <w:r w:rsidRPr="00B3274C">
        <w:rPr>
          <w:lang w:val="fr-CA"/>
        </w:rPr>
        <w:t>219.</w:t>
      </w:r>
      <w:r w:rsidRPr="00B3274C">
        <w:rPr>
          <w:lang w:val="fr-CA"/>
        </w:rPr>
        <w:tab/>
      </w:r>
      <w:r w:rsidR="009626FF" w:rsidRPr="00B3274C">
        <w:rPr>
          <w:lang w:val="fr-CA"/>
        </w:rPr>
        <w:t>Dans le cadre de la Stratégie européenne</w:t>
      </w:r>
      <w:r w:rsidR="0080611A">
        <w:rPr>
          <w:lang w:val="fr-CA"/>
        </w:rPr>
        <w:t>,</w:t>
      </w:r>
      <w:r w:rsidR="00FB23D3" w:rsidRPr="00B3274C">
        <w:rPr>
          <w:lang w:val="fr-CA"/>
        </w:rPr>
        <w:t xml:space="preserve"> </w:t>
      </w:r>
      <w:r w:rsidR="009626FF" w:rsidRPr="00B3274C">
        <w:rPr>
          <w:lang w:val="fr-CA"/>
        </w:rPr>
        <w:t>le Conseil de l</w:t>
      </w:r>
      <w:r w:rsidR="0080611A">
        <w:rPr>
          <w:lang w:val="fr-CA"/>
        </w:rPr>
        <w:t>’</w:t>
      </w:r>
      <w:r w:rsidR="009626FF" w:rsidRPr="00B3274C">
        <w:rPr>
          <w:lang w:val="fr-CA"/>
        </w:rPr>
        <w:t>Europe (juin 2010) a confirmé l</w:t>
      </w:r>
      <w:r w:rsidR="0080611A">
        <w:rPr>
          <w:lang w:val="fr-CA"/>
        </w:rPr>
        <w:t>’</w:t>
      </w:r>
      <w:r w:rsidR="009626FF" w:rsidRPr="00B3274C">
        <w:rPr>
          <w:lang w:val="fr-CA"/>
        </w:rPr>
        <w:t>objectif quantitatif cible de l</w:t>
      </w:r>
      <w:r w:rsidR="0080611A">
        <w:rPr>
          <w:lang w:val="fr-CA"/>
        </w:rPr>
        <w:t>’</w:t>
      </w:r>
      <w:r w:rsidR="009626FF" w:rsidRPr="00B3274C">
        <w:rPr>
          <w:lang w:val="fr-CA"/>
        </w:rPr>
        <w:t>UE pour la promotion de l</w:t>
      </w:r>
      <w:r w:rsidR="0080611A">
        <w:rPr>
          <w:lang w:val="fr-CA"/>
        </w:rPr>
        <w:t>’</w:t>
      </w:r>
      <w:r w:rsidR="009626FF" w:rsidRPr="00B3274C">
        <w:rPr>
          <w:lang w:val="fr-CA"/>
        </w:rPr>
        <w:t>intégration sociale et la réduction de la pauvreté. Les indicateurs utilisés pour contrôler l</w:t>
      </w:r>
      <w:r w:rsidR="0080611A">
        <w:rPr>
          <w:lang w:val="fr-CA"/>
        </w:rPr>
        <w:t>’</w:t>
      </w:r>
      <w:r w:rsidR="009626FF" w:rsidRPr="00B3274C">
        <w:rPr>
          <w:lang w:val="fr-CA"/>
        </w:rPr>
        <w:t>objectif sont</w:t>
      </w:r>
      <w:r w:rsidR="00083519" w:rsidRPr="00B3274C">
        <w:rPr>
          <w:lang w:val="fr-CA"/>
        </w:rPr>
        <w:t xml:space="preserve"> </w:t>
      </w:r>
      <w:r w:rsidR="003F42B4">
        <w:rPr>
          <w:lang w:val="fr-CA"/>
        </w:rPr>
        <w:t>a) </w:t>
      </w:r>
      <w:r w:rsidR="00083519" w:rsidRPr="00B3274C">
        <w:rPr>
          <w:lang w:val="fr-CA"/>
        </w:rPr>
        <w:t>le taux de risque</w:t>
      </w:r>
      <w:r w:rsidR="008C1C9E" w:rsidRPr="00B3274C">
        <w:rPr>
          <w:lang w:val="fr-CA"/>
        </w:rPr>
        <w:t xml:space="preserve"> de pauvreté</w:t>
      </w:r>
      <w:r w:rsidR="0080611A">
        <w:rPr>
          <w:lang w:val="fr-CA"/>
        </w:rPr>
        <w:t>,</w:t>
      </w:r>
      <w:r w:rsidR="008C1C9E" w:rsidRPr="00B3274C">
        <w:rPr>
          <w:lang w:val="fr-CA"/>
        </w:rPr>
        <w:t xml:space="preserve"> </w:t>
      </w:r>
      <w:r w:rsidR="003F42B4">
        <w:rPr>
          <w:lang w:val="fr-CA"/>
        </w:rPr>
        <w:t>b) </w:t>
      </w:r>
      <w:r w:rsidR="008C1C9E" w:rsidRPr="00B3274C">
        <w:rPr>
          <w:lang w:val="fr-CA"/>
        </w:rPr>
        <w:t xml:space="preserve">le dénuement matériel et </w:t>
      </w:r>
      <w:r w:rsidR="003F42B4">
        <w:rPr>
          <w:lang w:val="fr-CA"/>
        </w:rPr>
        <w:t>c) </w:t>
      </w:r>
      <w:r w:rsidR="00614BAC">
        <w:rPr>
          <w:lang w:val="fr-CA"/>
        </w:rPr>
        <w:t>les personnes</w:t>
      </w:r>
      <w:r w:rsidR="008C1C9E" w:rsidRPr="00B3274C">
        <w:rPr>
          <w:lang w:val="fr-CA"/>
        </w:rPr>
        <w:t xml:space="preserve"> vivant dans un ménage sans emploi. </w:t>
      </w:r>
    </w:p>
    <w:p w:rsidR="00FB23D3" w:rsidRPr="00B3274C" w:rsidRDefault="00107A47" w:rsidP="00203AB9">
      <w:pPr>
        <w:pStyle w:val="SingleTxtG"/>
        <w:keepNext/>
        <w:rPr>
          <w:lang w:val="fr-CA"/>
        </w:rPr>
      </w:pPr>
      <w:r w:rsidRPr="00B3274C">
        <w:rPr>
          <w:lang w:val="fr-CA"/>
        </w:rPr>
        <w:t>220.</w:t>
      </w:r>
      <w:r w:rsidRPr="00B3274C">
        <w:rPr>
          <w:lang w:val="fr-CA"/>
        </w:rPr>
        <w:tab/>
      </w:r>
      <w:r w:rsidR="008C1C9E" w:rsidRPr="00B3274C">
        <w:rPr>
          <w:lang w:val="fr-CA"/>
        </w:rPr>
        <w:t>Dans le cadre ci-dessus</w:t>
      </w:r>
      <w:r w:rsidR="0080611A">
        <w:rPr>
          <w:lang w:val="fr-CA"/>
        </w:rPr>
        <w:t>,</w:t>
      </w:r>
      <w:r w:rsidR="008C1C9E" w:rsidRPr="00B3274C">
        <w:rPr>
          <w:lang w:val="fr-CA"/>
        </w:rPr>
        <w:t xml:space="preserve"> la Grèce a fixé trois objectifs nationaux: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D42B0B" w:rsidRPr="00B3274C">
        <w:rPr>
          <w:lang w:val="fr-CA"/>
        </w:rPr>
        <w:t xml:space="preserve">Réduire de 450 000 le nombre </w:t>
      </w:r>
      <w:r w:rsidR="00614BAC">
        <w:rPr>
          <w:lang w:val="fr-CA"/>
        </w:rPr>
        <w:t>des personnes</w:t>
      </w:r>
      <w:r w:rsidR="00D42B0B" w:rsidRPr="00B3274C">
        <w:rPr>
          <w:lang w:val="fr-CA"/>
        </w:rPr>
        <w:t xml:space="preserve"> exposées au risque de pauvreté et/ou à l</w:t>
      </w:r>
      <w:r w:rsidR="0080611A">
        <w:rPr>
          <w:lang w:val="fr-CA"/>
        </w:rPr>
        <w:t>’</w:t>
      </w:r>
      <w:r w:rsidR="00D42B0B" w:rsidRPr="00B3274C">
        <w:rPr>
          <w:lang w:val="fr-CA"/>
        </w:rPr>
        <w:t>exclusion sociale d</w:t>
      </w:r>
      <w:r w:rsidR="0080611A">
        <w:rPr>
          <w:lang w:val="fr-CA"/>
        </w:rPr>
        <w:t>’</w:t>
      </w:r>
      <w:r w:rsidR="00D42B0B" w:rsidRPr="00B3274C">
        <w:rPr>
          <w:lang w:val="fr-CA"/>
        </w:rPr>
        <w:t>ici 2020</w:t>
      </w:r>
      <w:r w:rsidR="00EC5892" w:rsidRPr="00B3274C">
        <w:rPr>
          <w:lang w:val="fr-CA"/>
        </w:rPr>
        <w:t>;</w:t>
      </w:r>
      <w:r w:rsidR="00D42B0B" w:rsidRPr="00B3274C">
        <w:rPr>
          <w:lang w:val="fr-CA"/>
        </w:rPr>
        <w:t xml:space="preserve"> le pourcentage </w:t>
      </w:r>
      <w:r w:rsidR="00614BAC">
        <w:rPr>
          <w:lang w:val="fr-CA"/>
        </w:rPr>
        <w:t>des personnes</w:t>
      </w:r>
      <w:r w:rsidR="00D42B0B" w:rsidRPr="00B3274C">
        <w:rPr>
          <w:lang w:val="fr-CA"/>
        </w:rPr>
        <w:t xml:space="preserve"> exposées au risque de pauvreté et/ou à l</w:t>
      </w:r>
      <w:r w:rsidR="0080611A">
        <w:rPr>
          <w:lang w:val="fr-CA"/>
        </w:rPr>
        <w:t>’</w:t>
      </w:r>
      <w:r w:rsidR="00D42B0B" w:rsidRPr="00B3274C">
        <w:rPr>
          <w:lang w:val="fr-CA"/>
        </w:rPr>
        <w:t>exclusion devrait ainsi passer de 28</w:t>
      </w:r>
      <w:r w:rsidR="0050285B">
        <w:rPr>
          <w:lang w:val="fr-CA"/>
        </w:rPr>
        <w:t> %</w:t>
      </w:r>
      <w:r w:rsidR="00D42B0B" w:rsidRPr="00B3274C">
        <w:rPr>
          <w:lang w:val="fr-CA"/>
        </w:rPr>
        <w:t xml:space="preserve"> en 2008 à 24</w:t>
      </w:r>
      <w:r w:rsidR="0050285B">
        <w:rPr>
          <w:lang w:val="fr-CA"/>
        </w:rPr>
        <w:t> %</w:t>
      </w:r>
      <w:r w:rsidR="00D42B0B" w:rsidRPr="00B3274C">
        <w:rPr>
          <w:lang w:val="fr-CA"/>
        </w:rPr>
        <w:t xml:space="preserve"> en 2020</w:t>
      </w:r>
      <w:r w:rsidR="00EC5892" w:rsidRPr="00B3274C">
        <w:rPr>
          <w:lang w:val="fr-CA"/>
        </w:rPr>
        <w:t>;</w:t>
      </w:r>
      <w:r w:rsidR="00D42B0B" w:rsidRPr="00B3274C">
        <w:rPr>
          <w:lang w:val="fr-CA"/>
        </w:rPr>
        <w:t xml:space="preserve"> </w:t>
      </w:r>
    </w:p>
    <w:p w:rsidR="00CA5EED"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D42B0B" w:rsidRPr="00B3274C">
        <w:rPr>
          <w:lang w:val="fr-CA"/>
        </w:rPr>
        <w:t>Réduire de 100 000 le nombre d</w:t>
      </w:r>
      <w:r w:rsidR="0080611A">
        <w:rPr>
          <w:lang w:val="fr-CA"/>
        </w:rPr>
        <w:t>’</w:t>
      </w:r>
      <w:r w:rsidR="00D42B0B" w:rsidRPr="00B3274C">
        <w:rPr>
          <w:lang w:val="fr-CA"/>
        </w:rPr>
        <w:t>enfants et de jeunes</w:t>
      </w:r>
      <w:r w:rsidR="0001051D" w:rsidRPr="00B3274C">
        <w:rPr>
          <w:lang w:val="fr-CA"/>
        </w:rPr>
        <w:t xml:space="preserve"> (</w:t>
      </w:r>
      <w:r w:rsidR="00D42B0B" w:rsidRPr="00B3274C">
        <w:rPr>
          <w:lang w:val="fr-CA"/>
        </w:rPr>
        <w:t xml:space="preserve">âgés de </w:t>
      </w:r>
      <w:r w:rsidR="009943BC" w:rsidRPr="00B3274C">
        <w:rPr>
          <w:lang w:val="fr-CA"/>
        </w:rPr>
        <w:t>0</w:t>
      </w:r>
      <w:r w:rsidR="00D42B0B" w:rsidRPr="00B3274C">
        <w:rPr>
          <w:lang w:val="fr-CA"/>
        </w:rPr>
        <w:t xml:space="preserve"> à 17</w:t>
      </w:r>
      <w:r w:rsidR="004C055A">
        <w:rPr>
          <w:lang w:val="fr-CA"/>
        </w:rPr>
        <w:t> ans</w:t>
      </w:r>
      <w:r w:rsidR="0001051D" w:rsidRPr="00B3274C">
        <w:rPr>
          <w:lang w:val="fr-CA"/>
        </w:rPr>
        <w:t xml:space="preserve">) </w:t>
      </w:r>
      <w:r w:rsidR="00D42B0B" w:rsidRPr="00B3274C">
        <w:rPr>
          <w:lang w:val="fr-CA"/>
        </w:rPr>
        <w:t>exposés au risque de pauvreté d</w:t>
      </w:r>
      <w:r w:rsidR="0080611A">
        <w:rPr>
          <w:lang w:val="fr-CA"/>
        </w:rPr>
        <w:t>’</w:t>
      </w:r>
      <w:r w:rsidR="00D42B0B" w:rsidRPr="00B3274C">
        <w:rPr>
          <w:lang w:val="fr-CA"/>
        </w:rPr>
        <w:t>ici 2020</w:t>
      </w:r>
      <w:r w:rsidR="00EC5892" w:rsidRPr="00B3274C">
        <w:rPr>
          <w:lang w:val="fr-CA"/>
        </w:rPr>
        <w:t>;</w:t>
      </w:r>
      <w:r w:rsidR="00D42B0B" w:rsidRPr="00B3274C">
        <w:rPr>
          <w:lang w:val="fr-CA"/>
        </w:rPr>
        <w:t xml:space="preserve"> le pourcentage d</w:t>
      </w:r>
      <w:r w:rsidR="0080611A">
        <w:rPr>
          <w:lang w:val="fr-CA"/>
        </w:rPr>
        <w:t>’</w:t>
      </w:r>
      <w:r w:rsidR="00D42B0B" w:rsidRPr="00B3274C">
        <w:rPr>
          <w:lang w:val="fr-CA"/>
        </w:rPr>
        <w:t xml:space="preserve">enfants </w:t>
      </w:r>
      <w:r w:rsidR="0001051D" w:rsidRPr="00B3274C">
        <w:rPr>
          <w:lang w:val="fr-CA"/>
        </w:rPr>
        <w:t xml:space="preserve">(âgés de </w:t>
      </w:r>
      <w:r w:rsidR="009943BC" w:rsidRPr="00B3274C">
        <w:rPr>
          <w:lang w:val="fr-CA"/>
        </w:rPr>
        <w:t>0</w:t>
      </w:r>
      <w:r w:rsidR="0001051D" w:rsidRPr="00B3274C">
        <w:rPr>
          <w:lang w:val="fr-CA"/>
        </w:rPr>
        <w:t xml:space="preserve"> à 17</w:t>
      </w:r>
      <w:r w:rsidR="004C055A">
        <w:rPr>
          <w:lang w:val="fr-CA"/>
        </w:rPr>
        <w:t> ans</w:t>
      </w:r>
      <w:r w:rsidR="0001051D" w:rsidRPr="00B3274C">
        <w:rPr>
          <w:lang w:val="fr-CA"/>
        </w:rPr>
        <w:t xml:space="preserve">) </w:t>
      </w:r>
      <w:r w:rsidR="00D42B0B" w:rsidRPr="00B3274C">
        <w:rPr>
          <w:lang w:val="fr-CA"/>
        </w:rPr>
        <w:t>exposés au risque de pauvreté devrait ainsi passer de 23</w:t>
      </w:r>
      <w:r w:rsidR="0050285B">
        <w:rPr>
          <w:lang w:val="fr-CA"/>
        </w:rPr>
        <w:t> %</w:t>
      </w:r>
      <w:r w:rsidR="00D42B0B" w:rsidRPr="00B3274C">
        <w:rPr>
          <w:lang w:val="fr-CA"/>
        </w:rPr>
        <w:t xml:space="preserve"> en 2008 à 18</w:t>
      </w:r>
      <w:r w:rsidR="0050285B">
        <w:rPr>
          <w:lang w:val="fr-CA"/>
        </w:rPr>
        <w:t> %</w:t>
      </w:r>
      <w:r w:rsidR="00D42B0B" w:rsidRPr="00B3274C">
        <w:rPr>
          <w:lang w:val="fr-CA"/>
        </w:rPr>
        <w:t xml:space="preserve"> en 2020</w:t>
      </w:r>
      <w:r w:rsidR="00EC5892" w:rsidRPr="00B3274C">
        <w:rPr>
          <w:lang w:val="fr-CA"/>
        </w:rPr>
        <w:t>;</w:t>
      </w:r>
      <w:r w:rsidR="00D42B0B" w:rsidRPr="00B3274C">
        <w:rPr>
          <w:lang w:val="fr-CA"/>
        </w:rPr>
        <w:t xml:space="preserve"> </w:t>
      </w:r>
    </w:p>
    <w:p w:rsidR="00CA5EED"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01051D" w:rsidRPr="00B3274C">
        <w:rPr>
          <w:lang w:val="fr-CA"/>
        </w:rPr>
        <w:t xml:space="preserve">Mettre en place un </w:t>
      </w:r>
      <w:r w:rsidR="0055418C" w:rsidRPr="00B3274C">
        <w:rPr>
          <w:lang w:val="fr-CA"/>
        </w:rPr>
        <w:t>«</w:t>
      </w:r>
      <w:r w:rsidR="0001051D" w:rsidRPr="00B3274C">
        <w:rPr>
          <w:lang w:val="fr-CA"/>
        </w:rPr>
        <w:t>filet de protection sociale</w:t>
      </w:r>
      <w:r w:rsidR="0055418C" w:rsidRPr="00B3274C">
        <w:rPr>
          <w:lang w:val="fr-CA"/>
        </w:rPr>
        <w:t>»</w:t>
      </w:r>
      <w:r w:rsidR="0001051D" w:rsidRPr="00B3274C">
        <w:rPr>
          <w:lang w:val="fr-CA"/>
        </w:rPr>
        <w:t xml:space="preserve"> contre l</w:t>
      </w:r>
      <w:r w:rsidR="0080611A">
        <w:rPr>
          <w:lang w:val="fr-CA"/>
        </w:rPr>
        <w:t>’</w:t>
      </w:r>
      <w:r w:rsidR="0001051D" w:rsidRPr="00B3274C">
        <w:rPr>
          <w:lang w:val="fr-CA"/>
        </w:rPr>
        <w:t>exclusion sociale</w:t>
      </w:r>
      <w:r w:rsidR="0080611A">
        <w:rPr>
          <w:lang w:val="fr-CA"/>
        </w:rPr>
        <w:t>,</w:t>
      </w:r>
      <w:r w:rsidR="0001051D" w:rsidRPr="00B3274C">
        <w:rPr>
          <w:lang w:val="fr-CA"/>
        </w:rPr>
        <w:t xml:space="preserve"> qui garantisse notamment l</w:t>
      </w:r>
      <w:r w:rsidR="0080611A">
        <w:rPr>
          <w:lang w:val="fr-CA"/>
        </w:rPr>
        <w:t>’</w:t>
      </w:r>
      <w:r w:rsidR="0001051D" w:rsidRPr="00B3274C">
        <w:rPr>
          <w:lang w:val="fr-CA"/>
        </w:rPr>
        <w:t>accès des citoyens aux services de base</w:t>
      </w:r>
      <w:r w:rsidR="0080611A">
        <w:rPr>
          <w:lang w:val="fr-CA"/>
        </w:rPr>
        <w:t>,</w:t>
      </w:r>
      <w:r w:rsidR="0001051D" w:rsidRPr="00B3274C">
        <w:rPr>
          <w:lang w:val="fr-CA"/>
        </w:rPr>
        <w:t xml:space="preserve"> tels que soins médicaux</w:t>
      </w:r>
      <w:r w:rsidR="0080611A">
        <w:rPr>
          <w:lang w:val="fr-CA"/>
        </w:rPr>
        <w:t>,</w:t>
      </w:r>
      <w:r w:rsidR="0001051D" w:rsidRPr="00B3274C">
        <w:rPr>
          <w:lang w:val="fr-CA"/>
        </w:rPr>
        <w:t xml:space="preserve"> logement et éducation</w:t>
      </w:r>
      <w:r w:rsidR="00EC5892" w:rsidRPr="00B3274C">
        <w:rPr>
          <w:lang w:val="fr-CA"/>
        </w:rPr>
        <w:t>;</w:t>
      </w:r>
      <w:r w:rsidR="009361B1" w:rsidRPr="00B3274C">
        <w:rPr>
          <w:lang w:val="fr-CA"/>
        </w:rPr>
        <w:t xml:space="preserve"> il s</w:t>
      </w:r>
      <w:r w:rsidR="0080611A">
        <w:rPr>
          <w:lang w:val="fr-CA"/>
        </w:rPr>
        <w:t>’</w:t>
      </w:r>
      <w:r w:rsidR="009361B1" w:rsidRPr="00B3274C">
        <w:rPr>
          <w:lang w:val="fr-CA"/>
        </w:rPr>
        <w:t>agit là d</w:t>
      </w:r>
      <w:r w:rsidR="0080611A">
        <w:rPr>
          <w:lang w:val="fr-CA"/>
        </w:rPr>
        <w:t>’</w:t>
      </w:r>
      <w:r w:rsidR="0001051D" w:rsidRPr="00B3274C">
        <w:rPr>
          <w:lang w:val="fr-CA"/>
        </w:rPr>
        <w:t>une priorité</w:t>
      </w:r>
      <w:r w:rsidR="0080611A">
        <w:rPr>
          <w:lang w:val="fr-CA"/>
        </w:rPr>
        <w:t>,</w:t>
      </w:r>
      <w:r w:rsidR="0001051D" w:rsidRPr="00B3274C">
        <w:rPr>
          <w:lang w:val="fr-CA"/>
        </w:rPr>
        <w:t xml:space="preserve"> en particulier pendant la crise. </w:t>
      </w:r>
    </w:p>
    <w:p w:rsidR="00FB23D3" w:rsidRPr="00B3274C" w:rsidRDefault="00CA5EED" w:rsidP="00C853C9">
      <w:pPr>
        <w:pStyle w:val="H23G"/>
        <w:rPr>
          <w:lang w:val="fr-CA"/>
        </w:rPr>
      </w:pPr>
      <w:r w:rsidRPr="00B3274C">
        <w:rPr>
          <w:lang w:val="fr-CA"/>
        </w:rPr>
        <w:tab/>
      </w:r>
      <w:r w:rsidR="00C853C9" w:rsidRPr="00B3274C">
        <w:rPr>
          <w:lang w:val="fr-CA"/>
        </w:rPr>
        <w:t>d)</w:t>
      </w:r>
      <w:r w:rsidRPr="00B3274C">
        <w:rPr>
          <w:lang w:val="fr-CA"/>
        </w:rPr>
        <w:tab/>
      </w:r>
      <w:r w:rsidR="00F714E5" w:rsidRPr="00B3274C">
        <w:rPr>
          <w:lang w:val="fr-CA"/>
        </w:rPr>
        <w:t>La</w:t>
      </w:r>
      <w:r w:rsidR="00FB23D3" w:rsidRPr="00B3274C">
        <w:rPr>
          <w:lang w:val="fr-CA"/>
        </w:rPr>
        <w:t xml:space="preserve"> situation </w:t>
      </w:r>
      <w:r w:rsidR="00F714E5" w:rsidRPr="00B3274C">
        <w:rPr>
          <w:lang w:val="fr-CA"/>
        </w:rPr>
        <w:t>en Grèce</w:t>
      </w:r>
      <w:r w:rsidR="006F3B50" w:rsidRPr="00B3274C">
        <w:rPr>
          <w:lang w:val="fr-CA"/>
        </w:rPr>
        <w:t xml:space="preserve"> </w:t>
      </w:r>
      <w:r w:rsidR="00FB23D3" w:rsidRPr="00B3274C">
        <w:rPr>
          <w:lang w:val="fr-CA"/>
        </w:rPr>
        <w:t>–</w:t>
      </w:r>
      <w:r w:rsidR="006F3B50" w:rsidRPr="00B3274C">
        <w:rPr>
          <w:lang w:val="fr-CA"/>
        </w:rPr>
        <w:t xml:space="preserve"> </w:t>
      </w:r>
      <w:r w:rsidR="0001051D" w:rsidRPr="00B3274C">
        <w:rPr>
          <w:lang w:val="fr-CA"/>
        </w:rPr>
        <w:t>É</w:t>
      </w:r>
      <w:r w:rsidR="00FB23D3" w:rsidRPr="00B3274C">
        <w:rPr>
          <w:lang w:val="fr-CA"/>
        </w:rPr>
        <w:t>valuation</w:t>
      </w:r>
      <w:r w:rsidR="00F714E5" w:rsidRPr="00B3274C">
        <w:rPr>
          <w:lang w:val="fr-CA"/>
        </w:rPr>
        <w:t xml:space="preserve"> statistique</w:t>
      </w:r>
    </w:p>
    <w:p w:rsidR="00FB23D3" w:rsidRPr="00B3274C" w:rsidRDefault="00107A47" w:rsidP="00107A47">
      <w:pPr>
        <w:pStyle w:val="SingleTxtG"/>
        <w:rPr>
          <w:lang w:val="fr-CA"/>
        </w:rPr>
      </w:pPr>
      <w:r w:rsidRPr="00B3274C">
        <w:rPr>
          <w:lang w:val="fr-CA"/>
        </w:rPr>
        <w:t>221.</w:t>
      </w:r>
      <w:r w:rsidRPr="00B3274C">
        <w:rPr>
          <w:lang w:val="fr-CA"/>
        </w:rPr>
        <w:tab/>
      </w:r>
      <w:r w:rsidR="0001051D" w:rsidRPr="00B3274C">
        <w:rPr>
          <w:lang w:val="fr-CA"/>
        </w:rPr>
        <w:t>À en juger par les statistiques disponibles</w:t>
      </w:r>
      <w:r w:rsidR="0080611A">
        <w:rPr>
          <w:lang w:val="fr-CA"/>
        </w:rPr>
        <w:t>,</w:t>
      </w:r>
      <w:r w:rsidR="0001051D" w:rsidRPr="00B3274C">
        <w:rPr>
          <w:lang w:val="fr-CA"/>
        </w:rPr>
        <w:t xml:space="preserve"> il n</w:t>
      </w:r>
      <w:r w:rsidR="0080611A">
        <w:rPr>
          <w:lang w:val="fr-CA"/>
        </w:rPr>
        <w:t>’</w:t>
      </w:r>
      <w:r w:rsidR="0001051D" w:rsidRPr="00B3274C">
        <w:rPr>
          <w:lang w:val="fr-CA"/>
        </w:rPr>
        <w:t>y a pas eu de changement majeur ces dernières années. Toutefois</w:t>
      </w:r>
      <w:r w:rsidR="0080611A">
        <w:rPr>
          <w:lang w:val="fr-CA"/>
        </w:rPr>
        <w:t>,</w:t>
      </w:r>
      <w:r w:rsidR="0001051D" w:rsidRPr="00B3274C">
        <w:rPr>
          <w:lang w:val="fr-CA"/>
        </w:rPr>
        <w:t xml:space="preserve"> les mesures d</w:t>
      </w:r>
      <w:r w:rsidR="0080611A">
        <w:rPr>
          <w:lang w:val="fr-CA"/>
        </w:rPr>
        <w:t>’</w:t>
      </w:r>
      <w:r w:rsidR="0001051D" w:rsidRPr="00B3274C">
        <w:rPr>
          <w:lang w:val="fr-CA"/>
        </w:rPr>
        <w:t>austérité peuvent avoir des répercussions négatives sur la pauvreté et l</w:t>
      </w:r>
      <w:r w:rsidR="0080611A">
        <w:rPr>
          <w:lang w:val="fr-CA"/>
        </w:rPr>
        <w:t>’</w:t>
      </w:r>
      <w:r w:rsidR="0001051D" w:rsidRPr="00B3274C">
        <w:rPr>
          <w:lang w:val="fr-CA"/>
        </w:rPr>
        <w:t>exclusion sociale</w:t>
      </w:r>
      <w:r w:rsidR="0080611A">
        <w:rPr>
          <w:lang w:val="fr-CA"/>
        </w:rPr>
        <w:t>,</w:t>
      </w:r>
      <w:r w:rsidR="0001051D" w:rsidRPr="00B3274C">
        <w:rPr>
          <w:lang w:val="fr-CA"/>
        </w:rPr>
        <w:t xml:space="preserve"> même si les statistiques</w:t>
      </w:r>
      <w:r w:rsidR="0095117D" w:rsidRPr="00B3274C">
        <w:rPr>
          <w:lang w:val="fr-CA"/>
        </w:rPr>
        <w:t xml:space="preserve"> ne le révèlent pas encore</w:t>
      </w:r>
      <w:r w:rsidR="0001051D" w:rsidRPr="00B3274C">
        <w:rPr>
          <w:lang w:val="fr-CA"/>
        </w:rPr>
        <w:t xml:space="preserve">. </w:t>
      </w:r>
    </w:p>
    <w:p w:rsidR="00FB23D3" w:rsidRPr="00B3274C" w:rsidRDefault="00107A47" w:rsidP="00107A47">
      <w:pPr>
        <w:pStyle w:val="SingleTxtG"/>
        <w:rPr>
          <w:bCs/>
          <w:color w:val="222222"/>
          <w:shd w:val="clear" w:color="auto" w:fill="FFFFFF"/>
          <w:lang w:val="fr-CA"/>
        </w:rPr>
      </w:pPr>
      <w:r w:rsidRPr="00B3274C">
        <w:rPr>
          <w:bCs/>
          <w:color w:val="222222"/>
          <w:lang w:val="fr-CA"/>
        </w:rPr>
        <w:t>222.</w:t>
      </w:r>
      <w:r w:rsidRPr="00B3274C">
        <w:rPr>
          <w:bCs/>
          <w:color w:val="222222"/>
          <w:lang w:val="fr-CA"/>
        </w:rPr>
        <w:tab/>
      </w:r>
      <w:r w:rsidR="008768D8" w:rsidRPr="00B3274C">
        <w:rPr>
          <w:bCs/>
          <w:color w:val="222222"/>
          <w:lang w:val="fr-CA"/>
        </w:rPr>
        <w:t>Les statistiques les plus récentes montrent que le risque de pauvreté en Grèce était de 20</w:t>
      </w:r>
      <w:r w:rsidR="0080611A">
        <w:rPr>
          <w:bCs/>
          <w:color w:val="222222"/>
          <w:lang w:val="fr-CA"/>
        </w:rPr>
        <w:t>,</w:t>
      </w:r>
      <w:r w:rsidR="008768D8" w:rsidRPr="00B3274C">
        <w:rPr>
          <w:bCs/>
          <w:color w:val="222222"/>
          <w:lang w:val="fr-CA"/>
        </w:rPr>
        <w:t>1</w:t>
      </w:r>
      <w:r w:rsidR="0050285B">
        <w:rPr>
          <w:bCs/>
          <w:color w:val="222222"/>
          <w:lang w:val="fr-CA"/>
        </w:rPr>
        <w:t> %</w:t>
      </w:r>
      <w:r w:rsidR="008768D8" w:rsidRPr="00B3274C">
        <w:rPr>
          <w:bCs/>
          <w:color w:val="222222"/>
          <w:lang w:val="fr-CA"/>
        </w:rPr>
        <w:t xml:space="preserve"> en 2010 (19</w:t>
      </w:r>
      <w:r w:rsidR="0080611A">
        <w:rPr>
          <w:bCs/>
          <w:color w:val="222222"/>
          <w:lang w:val="fr-CA"/>
        </w:rPr>
        <w:t>,</w:t>
      </w:r>
      <w:r w:rsidR="008768D8" w:rsidRPr="00B3274C">
        <w:rPr>
          <w:bCs/>
          <w:color w:val="222222"/>
          <w:lang w:val="fr-CA"/>
        </w:rPr>
        <w:t>7</w:t>
      </w:r>
      <w:r w:rsidR="0050285B">
        <w:rPr>
          <w:bCs/>
          <w:color w:val="222222"/>
          <w:lang w:val="fr-CA"/>
        </w:rPr>
        <w:t> %</w:t>
      </w:r>
      <w:r w:rsidR="008768D8" w:rsidRPr="00B3274C">
        <w:rPr>
          <w:bCs/>
          <w:color w:val="222222"/>
          <w:lang w:val="fr-CA"/>
        </w:rPr>
        <w:t xml:space="preserve"> en 2009</w:t>
      </w:r>
      <w:r w:rsidR="0080611A">
        <w:rPr>
          <w:bCs/>
          <w:color w:val="222222"/>
          <w:lang w:val="fr-CA"/>
        </w:rPr>
        <w:t>,</w:t>
      </w:r>
      <w:r w:rsidR="008768D8" w:rsidRPr="00B3274C">
        <w:rPr>
          <w:bCs/>
          <w:color w:val="222222"/>
          <w:lang w:val="fr-CA"/>
        </w:rPr>
        <w:t xml:space="preserve"> 20</w:t>
      </w:r>
      <w:r w:rsidR="0080611A">
        <w:rPr>
          <w:bCs/>
          <w:color w:val="222222"/>
          <w:lang w:val="fr-CA"/>
        </w:rPr>
        <w:t>,</w:t>
      </w:r>
      <w:r w:rsidR="008768D8" w:rsidRPr="00B3274C">
        <w:rPr>
          <w:bCs/>
          <w:color w:val="222222"/>
          <w:lang w:val="fr-CA"/>
        </w:rPr>
        <w:t>1</w:t>
      </w:r>
      <w:r w:rsidR="0050285B">
        <w:rPr>
          <w:bCs/>
          <w:color w:val="222222"/>
          <w:lang w:val="fr-CA"/>
        </w:rPr>
        <w:t> %</w:t>
      </w:r>
      <w:r w:rsidR="008768D8" w:rsidRPr="00B3274C">
        <w:rPr>
          <w:bCs/>
          <w:color w:val="222222"/>
          <w:lang w:val="fr-CA"/>
        </w:rPr>
        <w:t xml:space="preserve"> en 2008 et 20</w:t>
      </w:r>
      <w:r w:rsidR="0080611A">
        <w:rPr>
          <w:bCs/>
          <w:color w:val="222222"/>
          <w:lang w:val="fr-CA"/>
        </w:rPr>
        <w:t>,</w:t>
      </w:r>
      <w:r w:rsidR="008768D8" w:rsidRPr="00B3274C">
        <w:rPr>
          <w:bCs/>
          <w:color w:val="222222"/>
          <w:lang w:val="fr-CA"/>
        </w:rPr>
        <w:t>3</w:t>
      </w:r>
      <w:r w:rsidR="0050285B">
        <w:rPr>
          <w:bCs/>
          <w:color w:val="222222"/>
          <w:lang w:val="fr-CA"/>
        </w:rPr>
        <w:t> %</w:t>
      </w:r>
      <w:r w:rsidR="008768D8" w:rsidRPr="00B3274C">
        <w:rPr>
          <w:bCs/>
          <w:color w:val="222222"/>
          <w:lang w:val="fr-CA"/>
        </w:rPr>
        <w:t xml:space="preserve"> en 2007) contre 16</w:t>
      </w:r>
      <w:r w:rsidR="0080611A">
        <w:rPr>
          <w:bCs/>
          <w:color w:val="222222"/>
          <w:lang w:val="fr-CA"/>
        </w:rPr>
        <w:t>,</w:t>
      </w:r>
      <w:r w:rsidR="008768D8" w:rsidRPr="00B3274C">
        <w:rPr>
          <w:bCs/>
          <w:color w:val="222222"/>
          <w:lang w:val="fr-CA"/>
        </w:rPr>
        <w:t>4</w:t>
      </w:r>
      <w:r w:rsidR="0050285B">
        <w:rPr>
          <w:bCs/>
          <w:color w:val="222222"/>
          <w:lang w:val="fr-CA"/>
        </w:rPr>
        <w:t> %</w:t>
      </w:r>
      <w:r w:rsidR="008768D8" w:rsidRPr="00B3274C">
        <w:rPr>
          <w:bCs/>
          <w:color w:val="222222"/>
          <w:lang w:val="fr-CA"/>
        </w:rPr>
        <w:t xml:space="preserve"> dans </w:t>
      </w:r>
      <w:r w:rsidR="00074784" w:rsidRPr="00B3274C">
        <w:rPr>
          <w:bCs/>
          <w:color w:val="222222"/>
          <w:lang w:val="fr-CA"/>
        </w:rPr>
        <w:t>l</w:t>
      </w:r>
      <w:r w:rsidR="0080611A">
        <w:rPr>
          <w:bCs/>
          <w:color w:val="222222"/>
          <w:lang w:val="fr-CA"/>
        </w:rPr>
        <w:t>’</w:t>
      </w:r>
      <w:r w:rsidR="00074784" w:rsidRPr="00B3274C">
        <w:rPr>
          <w:bCs/>
          <w:color w:val="222222"/>
          <w:lang w:val="fr-CA"/>
        </w:rPr>
        <w:t>UE-27</w:t>
      </w:r>
      <w:r w:rsidR="008768D8" w:rsidRPr="00B3274C">
        <w:rPr>
          <w:bCs/>
          <w:color w:val="222222"/>
          <w:lang w:val="fr-CA"/>
        </w:rPr>
        <w:t xml:space="preserve"> (annexe 2</w:t>
      </w:r>
      <w:r w:rsidR="0080611A">
        <w:rPr>
          <w:bCs/>
          <w:color w:val="222222"/>
          <w:lang w:val="fr-CA"/>
        </w:rPr>
        <w:t>,</w:t>
      </w:r>
      <w:r w:rsidR="008768D8" w:rsidRPr="00B3274C">
        <w:rPr>
          <w:bCs/>
          <w:color w:val="222222"/>
          <w:lang w:val="fr-CA"/>
        </w:rPr>
        <w:t xml:space="preserve"> tableau 5). </w:t>
      </w:r>
      <w:r w:rsidR="00074784" w:rsidRPr="00B3274C">
        <w:rPr>
          <w:bCs/>
          <w:color w:val="222222"/>
          <w:lang w:val="fr-CA"/>
        </w:rPr>
        <w:t>En outre</w:t>
      </w:r>
      <w:r w:rsidR="0080611A">
        <w:rPr>
          <w:bCs/>
          <w:color w:val="222222"/>
          <w:lang w:val="fr-CA"/>
        </w:rPr>
        <w:t>,</w:t>
      </w:r>
      <w:r w:rsidR="00074784" w:rsidRPr="00B3274C">
        <w:rPr>
          <w:bCs/>
          <w:color w:val="222222"/>
          <w:lang w:val="fr-CA"/>
        </w:rPr>
        <w:t xml:space="preserve"> l</w:t>
      </w:r>
      <w:r w:rsidR="0080611A">
        <w:rPr>
          <w:bCs/>
          <w:color w:val="222222"/>
          <w:lang w:val="fr-CA"/>
        </w:rPr>
        <w:t>’</w:t>
      </w:r>
      <w:r w:rsidR="00074784" w:rsidRPr="00B3274C">
        <w:rPr>
          <w:bCs/>
          <w:color w:val="222222"/>
          <w:lang w:val="fr-CA"/>
        </w:rPr>
        <w:t>écart de pauvreté relative</w:t>
      </w:r>
      <w:r w:rsidR="00207402" w:rsidRPr="00B3274C">
        <w:rPr>
          <w:rStyle w:val="FootnoteReference"/>
          <w:color w:val="000000"/>
          <w:shd w:val="clear" w:color="auto" w:fill="FCFCFC"/>
          <w:lang w:val="fr-CA"/>
        </w:rPr>
        <w:footnoteReference w:id="11"/>
      </w:r>
      <w:r w:rsidR="00FB23D3" w:rsidRPr="00B3274C">
        <w:rPr>
          <w:lang w:val="fr-CA"/>
        </w:rPr>
        <w:t xml:space="preserve"> </w:t>
      </w:r>
      <w:r w:rsidR="0050285B">
        <w:rPr>
          <w:lang w:val="fr-CA"/>
        </w:rPr>
        <w:t>était de 23,</w:t>
      </w:r>
      <w:r w:rsidR="00F01FA5" w:rsidRPr="00B3274C">
        <w:rPr>
          <w:lang w:val="fr-CA"/>
        </w:rPr>
        <w:t>4</w:t>
      </w:r>
      <w:r w:rsidR="0050285B">
        <w:rPr>
          <w:lang w:val="fr-CA"/>
        </w:rPr>
        <w:t> %</w:t>
      </w:r>
      <w:r w:rsidR="00F01FA5" w:rsidRPr="00B3274C">
        <w:rPr>
          <w:lang w:val="fr-CA"/>
        </w:rPr>
        <w:t xml:space="preserve"> e</w:t>
      </w:r>
      <w:r w:rsidR="00FB23D3" w:rsidRPr="00B3274C">
        <w:rPr>
          <w:lang w:val="fr-CA"/>
        </w:rPr>
        <w:t>n 2010</w:t>
      </w:r>
      <w:r w:rsidR="00A0013E" w:rsidRPr="00B3274C">
        <w:rPr>
          <w:lang w:val="fr-CA"/>
        </w:rPr>
        <w:t xml:space="preserve"> (</w:t>
      </w:r>
      <w:r w:rsidR="00203AB9">
        <w:rPr>
          <w:lang w:val="fr-CA"/>
        </w:rPr>
        <w:t>a</w:t>
      </w:r>
      <w:r w:rsidR="00FB23D3" w:rsidRPr="00B3274C">
        <w:rPr>
          <w:lang w:val="fr-CA"/>
        </w:rPr>
        <w:t>nnex</w:t>
      </w:r>
      <w:r w:rsidR="00203AB9">
        <w:rPr>
          <w:lang w:val="fr-CA"/>
        </w:rPr>
        <w:t>e</w:t>
      </w:r>
      <w:r w:rsidR="00FB23D3" w:rsidRPr="00B3274C">
        <w:rPr>
          <w:lang w:val="fr-CA"/>
        </w:rPr>
        <w:t xml:space="preserve"> 2</w:t>
      </w:r>
      <w:r w:rsidR="0080611A">
        <w:rPr>
          <w:lang w:val="fr-CA"/>
        </w:rPr>
        <w:t>,</w:t>
      </w:r>
      <w:r w:rsidR="00FB23D3" w:rsidRPr="00B3274C">
        <w:rPr>
          <w:lang w:val="fr-CA"/>
        </w:rPr>
        <w:t xml:space="preserve"> </w:t>
      </w:r>
      <w:r w:rsidR="00F01FA5" w:rsidRPr="00B3274C">
        <w:rPr>
          <w:lang w:val="fr-CA"/>
        </w:rPr>
        <w:t>t</w:t>
      </w:r>
      <w:r w:rsidR="00FB23D3" w:rsidRPr="00B3274C">
        <w:rPr>
          <w:lang w:val="fr-CA"/>
        </w:rPr>
        <w:t>able</w:t>
      </w:r>
      <w:r w:rsidR="00F01FA5" w:rsidRPr="00B3274C">
        <w:rPr>
          <w:lang w:val="fr-CA"/>
        </w:rPr>
        <w:t>au</w:t>
      </w:r>
      <w:r w:rsidR="00FB23D3" w:rsidRPr="00B3274C">
        <w:rPr>
          <w:lang w:val="fr-CA"/>
        </w:rPr>
        <w:t xml:space="preserve"> 10</w:t>
      </w:r>
      <w:r w:rsidR="00A0013E" w:rsidRPr="00B3274C">
        <w:rPr>
          <w:lang w:val="fr-CA"/>
        </w:rPr>
        <w:t>)</w:t>
      </w:r>
      <w:r w:rsidR="00FB23D3" w:rsidRPr="00B3274C">
        <w:rPr>
          <w:lang w:val="fr-CA"/>
        </w:rPr>
        <w:t xml:space="preserve"> </w:t>
      </w:r>
      <w:r w:rsidR="00F01FA5" w:rsidRPr="00B3274C">
        <w:rPr>
          <w:lang w:val="fr-CA"/>
        </w:rPr>
        <w:t>c</w:t>
      </w:r>
      <w:r w:rsidR="00A0013E" w:rsidRPr="00B3274C">
        <w:rPr>
          <w:lang w:val="fr-CA"/>
        </w:rPr>
        <w:t>ont</w:t>
      </w:r>
      <w:r w:rsidR="00F01FA5" w:rsidRPr="00B3274C">
        <w:rPr>
          <w:lang w:val="fr-CA"/>
        </w:rPr>
        <w:t>re</w:t>
      </w:r>
      <w:r w:rsidR="0050285B">
        <w:rPr>
          <w:lang w:val="fr-CA"/>
        </w:rPr>
        <w:t xml:space="preserve"> 23,</w:t>
      </w:r>
      <w:r w:rsidR="00FB23D3" w:rsidRPr="00B3274C">
        <w:rPr>
          <w:lang w:val="fr-CA"/>
        </w:rPr>
        <w:t>1</w:t>
      </w:r>
      <w:r w:rsidR="0050285B">
        <w:rPr>
          <w:lang w:val="fr-CA"/>
        </w:rPr>
        <w:t>  %</w:t>
      </w:r>
      <w:r w:rsidR="00FB23D3" w:rsidRPr="00B3274C">
        <w:rPr>
          <w:lang w:val="fr-CA"/>
        </w:rPr>
        <w:t xml:space="preserve"> </w:t>
      </w:r>
      <w:r w:rsidR="00F01FA5" w:rsidRPr="00B3274C">
        <w:rPr>
          <w:lang w:val="fr-CA"/>
        </w:rPr>
        <w:t>dans l</w:t>
      </w:r>
      <w:r w:rsidR="0080611A">
        <w:rPr>
          <w:lang w:val="fr-CA"/>
        </w:rPr>
        <w:t>’</w:t>
      </w:r>
      <w:r w:rsidR="00F01FA5" w:rsidRPr="00B3274C">
        <w:rPr>
          <w:lang w:val="fr-CA"/>
        </w:rPr>
        <w:t>UE</w:t>
      </w:r>
      <w:r w:rsidR="00FB23D3" w:rsidRPr="00B3274C">
        <w:rPr>
          <w:lang w:val="fr-CA"/>
        </w:rPr>
        <w:t xml:space="preserve">-27. </w:t>
      </w:r>
      <w:r w:rsidR="00A0013E" w:rsidRPr="00B3274C">
        <w:rPr>
          <w:lang w:val="fr-CA"/>
        </w:rPr>
        <w:t xml:space="preserve">Pour ce qui est </w:t>
      </w:r>
      <w:r w:rsidR="00614BAC">
        <w:rPr>
          <w:lang w:val="fr-CA"/>
        </w:rPr>
        <w:t>des personnes</w:t>
      </w:r>
      <w:r w:rsidR="00A0013E" w:rsidRPr="00B3274C">
        <w:rPr>
          <w:lang w:val="fr-CA"/>
        </w:rPr>
        <w:t xml:space="preserve"> exposées au risque de pauvreté ou d</w:t>
      </w:r>
      <w:r w:rsidR="0080611A">
        <w:rPr>
          <w:lang w:val="fr-CA"/>
        </w:rPr>
        <w:t>’</w:t>
      </w:r>
      <w:r w:rsidR="00A0013E" w:rsidRPr="00B3274C">
        <w:rPr>
          <w:lang w:val="fr-CA"/>
        </w:rPr>
        <w:t>exclusion sociale (objectif de la stratégie Europe 2020)</w:t>
      </w:r>
      <w:r w:rsidR="0080611A">
        <w:rPr>
          <w:lang w:val="fr-CA"/>
        </w:rPr>
        <w:t>,</w:t>
      </w:r>
      <w:r w:rsidR="00A0013E" w:rsidRPr="00B3274C">
        <w:rPr>
          <w:lang w:val="fr-CA"/>
        </w:rPr>
        <w:t xml:space="preserve"> 27</w:t>
      </w:r>
      <w:r w:rsidR="0080611A">
        <w:rPr>
          <w:lang w:val="fr-CA"/>
        </w:rPr>
        <w:t>,</w:t>
      </w:r>
      <w:r w:rsidR="00A0013E" w:rsidRPr="00B3274C">
        <w:rPr>
          <w:lang w:val="fr-CA"/>
        </w:rPr>
        <w:t>2</w:t>
      </w:r>
      <w:r w:rsidR="0050285B">
        <w:rPr>
          <w:lang w:val="fr-CA"/>
        </w:rPr>
        <w:t> %</w:t>
      </w:r>
      <w:r w:rsidR="00A0013E" w:rsidRPr="00B3274C">
        <w:rPr>
          <w:lang w:val="fr-CA"/>
        </w:rPr>
        <w:t xml:space="preserve"> de la population grecque est exposé à ce risque contre 23</w:t>
      </w:r>
      <w:r w:rsidR="0080611A">
        <w:rPr>
          <w:lang w:val="fr-CA"/>
        </w:rPr>
        <w:t>,</w:t>
      </w:r>
      <w:r w:rsidR="00A0013E" w:rsidRPr="00B3274C">
        <w:rPr>
          <w:lang w:val="fr-CA"/>
        </w:rPr>
        <w:t>5</w:t>
      </w:r>
      <w:r w:rsidR="0050285B">
        <w:rPr>
          <w:lang w:val="fr-CA"/>
        </w:rPr>
        <w:t> %</w:t>
      </w:r>
      <w:r w:rsidR="00A0013E" w:rsidRPr="00B3274C">
        <w:rPr>
          <w:lang w:val="fr-CA"/>
        </w:rPr>
        <w:t xml:space="preserve"> de la population de l</w:t>
      </w:r>
      <w:r w:rsidR="0080611A">
        <w:rPr>
          <w:lang w:val="fr-CA"/>
        </w:rPr>
        <w:t>’</w:t>
      </w:r>
      <w:r w:rsidR="00A0013E" w:rsidRPr="00B3274C">
        <w:rPr>
          <w:lang w:val="fr-CA"/>
        </w:rPr>
        <w:t>UE – 27 (annexe 2</w:t>
      </w:r>
      <w:r w:rsidR="0080611A">
        <w:rPr>
          <w:lang w:val="fr-CA"/>
        </w:rPr>
        <w:t>,</w:t>
      </w:r>
      <w:r w:rsidR="00A0013E" w:rsidRPr="00B3274C">
        <w:rPr>
          <w:lang w:val="fr-CA"/>
        </w:rPr>
        <w:t xml:space="preserve"> tableau 3). </w:t>
      </w:r>
    </w:p>
    <w:p w:rsidR="00FB23D3" w:rsidRPr="00B3274C" w:rsidRDefault="00107A47" w:rsidP="00107A47">
      <w:pPr>
        <w:pStyle w:val="SingleTxtG"/>
        <w:rPr>
          <w:lang w:val="fr-CA"/>
        </w:rPr>
      </w:pPr>
      <w:r w:rsidRPr="00B3274C">
        <w:rPr>
          <w:lang w:val="fr-CA"/>
        </w:rPr>
        <w:t>223.</w:t>
      </w:r>
      <w:r w:rsidRPr="00B3274C">
        <w:rPr>
          <w:lang w:val="fr-CA"/>
        </w:rPr>
        <w:tab/>
      </w:r>
      <w:r w:rsidR="000C1151" w:rsidRPr="00B3274C">
        <w:rPr>
          <w:lang w:val="fr-CA"/>
        </w:rPr>
        <w:t xml:space="preserve">Les enfants âgés de </w:t>
      </w:r>
      <w:r w:rsidR="006A1E8A" w:rsidRPr="00B3274C">
        <w:rPr>
          <w:lang w:val="fr-CA"/>
        </w:rPr>
        <w:t>0</w:t>
      </w:r>
      <w:r w:rsidR="000C1151" w:rsidRPr="00B3274C">
        <w:rPr>
          <w:lang w:val="fr-CA"/>
        </w:rPr>
        <w:t xml:space="preserve"> à 17</w:t>
      </w:r>
      <w:r w:rsidR="004C055A">
        <w:rPr>
          <w:lang w:val="fr-CA"/>
        </w:rPr>
        <w:t> ans</w:t>
      </w:r>
      <w:r w:rsidR="000C1151" w:rsidRPr="00B3274C">
        <w:rPr>
          <w:lang w:val="fr-CA"/>
        </w:rPr>
        <w:t xml:space="preserve"> sont exposés à un risque de pauvreté élevé. La pauvreté des enfants a augmenté sensiblement par rapport aux années antérieures (21</w:t>
      </w:r>
      <w:r w:rsidR="0080611A">
        <w:rPr>
          <w:lang w:val="fr-CA"/>
        </w:rPr>
        <w:t>,</w:t>
      </w:r>
      <w:r w:rsidR="000C1151" w:rsidRPr="00B3274C">
        <w:rPr>
          <w:lang w:val="fr-CA"/>
        </w:rPr>
        <w:t>5</w:t>
      </w:r>
      <w:r w:rsidR="0050285B">
        <w:rPr>
          <w:lang w:val="fr-CA"/>
        </w:rPr>
        <w:t> %</w:t>
      </w:r>
      <w:r w:rsidR="00203AB9">
        <w:rPr>
          <w:lang w:val="fr-CA"/>
        </w:rPr>
        <w:t xml:space="preserve"> en </w:t>
      </w:r>
      <w:r w:rsidR="000C1151" w:rsidRPr="00B3274C">
        <w:rPr>
          <w:lang w:val="fr-CA"/>
        </w:rPr>
        <w:t>2003</w:t>
      </w:r>
      <w:r w:rsidR="0080611A">
        <w:rPr>
          <w:lang w:val="fr-CA"/>
        </w:rPr>
        <w:t>,</w:t>
      </w:r>
      <w:r w:rsidR="000C1151" w:rsidRPr="00B3274C">
        <w:rPr>
          <w:lang w:val="fr-CA"/>
        </w:rPr>
        <w:t xml:space="preserve"> 20</w:t>
      </w:r>
      <w:r w:rsidR="0080611A">
        <w:rPr>
          <w:lang w:val="fr-CA"/>
        </w:rPr>
        <w:t>,</w:t>
      </w:r>
      <w:r w:rsidR="000C1151" w:rsidRPr="00B3274C">
        <w:rPr>
          <w:lang w:val="fr-CA"/>
        </w:rPr>
        <w:t>5</w:t>
      </w:r>
      <w:r w:rsidR="0050285B">
        <w:rPr>
          <w:lang w:val="fr-CA"/>
        </w:rPr>
        <w:t> %</w:t>
      </w:r>
      <w:r w:rsidR="000C1151" w:rsidRPr="00B3274C">
        <w:rPr>
          <w:lang w:val="fr-CA"/>
        </w:rPr>
        <w:t xml:space="preserve"> en 2004</w:t>
      </w:r>
      <w:r w:rsidR="0080611A">
        <w:rPr>
          <w:lang w:val="fr-CA"/>
        </w:rPr>
        <w:t>,</w:t>
      </w:r>
      <w:r w:rsidR="000C1151" w:rsidRPr="00B3274C">
        <w:rPr>
          <w:lang w:val="fr-CA"/>
        </w:rPr>
        <w:t xml:space="preserve"> 20</w:t>
      </w:r>
      <w:r w:rsidR="0080611A">
        <w:rPr>
          <w:lang w:val="fr-CA"/>
        </w:rPr>
        <w:t>,</w:t>
      </w:r>
      <w:r w:rsidR="000C1151" w:rsidRPr="00B3274C">
        <w:rPr>
          <w:lang w:val="fr-CA"/>
        </w:rPr>
        <w:t>4</w:t>
      </w:r>
      <w:r w:rsidR="0050285B">
        <w:rPr>
          <w:lang w:val="fr-CA"/>
        </w:rPr>
        <w:t> %</w:t>
      </w:r>
      <w:r w:rsidR="000C1151" w:rsidRPr="00B3274C">
        <w:rPr>
          <w:lang w:val="fr-CA"/>
        </w:rPr>
        <w:t xml:space="preserve"> en 2005</w:t>
      </w:r>
      <w:r w:rsidR="0080611A">
        <w:rPr>
          <w:lang w:val="fr-CA"/>
        </w:rPr>
        <w:t>,</w:t>
      </w:r>
      <w:r w:rsidR="000C1151" w:rsidRPr="00B3274C">
        <w:rPr>
          <w:lang w:val="fr-CA"/>
        </w:rPr>
        <w:t xml:space="preserve"> 22</w:t>
      </w:r>
      <w:r w:rsidR="0080611A">
        <w:rPr>
          <w:lang w:val="fr-CA"/>
        </w:rPr>
        <w:t>,</w:t>
      </w:r>
      <w:r w:rsidR="000C1151" w:rsidRPr="00B3274C">
        <w:rPr>
          <w:lang w:val="fr-CA"/>
        </w:rPr>
        <w:t>6</w:t>
      </w:r>
      <w:r w:rsidR="0050285B">
        <w:rPr>
          <w:lang w:val="fr-CA"/>
        </w:rPr>
        <w:t> %</w:t>
      </w:r>
      <w:r w:rsidR="000C1151" w:rsidRPr="00B3274C">
        <w:rPr>
          <w:lang w:val="fr-CA"/>
        </w:rPr>
        <w:t xml:space="preserve"> en 2006) (annexe 2</w:t>
      </w:r>
      <w:r w:rsidR="0080611A">
        <w:rPr>
          <w:lang w:val="fr-CA"/>
        </w:rPr>
        <w:t>,</w:t>
      </w:r>
      <w:r w:rsidR="000C1151" w:rsidRPr="00B3274C">
        <w:rPr>
          <w:lang w:val="fr-CA"/>
        </w:rPr>
        <w:t xml:space="preserve"> tableau 9). Pour le groupe d</w:t>
      </w:r>
      <w:r w:rsidR="0080611A">
        <w:rPr>
          <w:lang w:val="fr-CA"/>
        </w:rPr>
        <w:t>’</w:t>
      </w:r>
      <w:r w:rsidR="000C1151" w:rsidRPr="00B3274C">
        <w:rPr>
          <w:lang w:val="fr-CA"/>
        </w:rPr>
        <w:t>âges 0-17</w:t>
      </w:r>
      <w:r w:rsidR="004C055A">
        <w:rPr>
          <w:lang w:val="fr-CA"/>
        </w:rPr>
        <w:t> ans</w:t>
      </w:r>
      <w:r w:rsidR="0080611A">
        <w:rPr>
          <w:lang w:val="fr-CA"/>
        </w:rPr>
        <w:t>,</w:t>
      </w:r>
      <w:r w:rsidR="000C1151" w:rsidRPr="00B3274C">
        <w:rPr>
          <w:lang w:val="fr-CA"/>
        </w:rPr>
        <w:t xml:space="preserve"> le pourcentage du risque de pauvreté était de 23</w:t>
      </w:r>
      <w:r w:rsidR="0050285B">
        <w:rPr>
          <w:lang w:val="fr-CA"/>
        </w:rPr>
        <w:t> %</w:t>
      </w:r>
      <w:r w:rsidR="000C1151" w:rsidRPr="00B3274C">
        <w:rPr>
          <w:lang w:val="fr-CA"/>
        </w:rPr>
        <w:t xml:space="preserve"> en 2008</w:t>
      </w:r>
      <w:r w:rsidR="0080611A">
        <w:rPr>
          <w:lang w:val="fr-CA"/>
        </w:rPr>
        <w:t>,</w:t>
      </w:r>
      <w:r w:rsidR="000C1151" w:rsidRPr="00B3274C">
        <w:rPr>
          <w:lang w:val="fr-CA"/>
        </w:rPr>
        <w:t xml:space="preserve"> de 23</w:t>
      </w:r>
      <w:r w:rsidR="0080611A">
        <w:rPr>
          <w:lang w:val="fr-CA"/>
        </w:rPr>
        <w:t>,</w:t>
      </w:r>
      <w:r w:rsidR="000C1151" w:rsidRPr="00B3274C">
        <w:rPr>
          <w:lang w:val="fr-CA"/>
        </w:rPr>
        <w:t>7</w:t>
      </w:r>
      <w:r w:rsidR="0050285B">
        <w:rPr>
          <w:lang w:val="fr-CA"/>
        </w:rPr>
        <w:t> %</w:t>
      </w:r>
      <w:r w:rsidR="000C1151" w:rsidRPr="00B3274C">
        <w:rPr>
          <w:lang w:val="fr-CA"/>
        </w:rPr>
        <w:t xml:space="preserve"> en 2009 et de 23</w:t>
      </w:r>
      <w:r w:rsidR="0050285B">
        <w:rPr>
          <w:lang w:val="fr-CA"/>
        </w:rPr>
        <w:t> %</w:t>
      </w:r>
      <w:r w:rsidR="000C1151" w:rsidRPr="00B3274C">
        <w:rPr>
          <w:lang w:val="fr-CA"/>
        </w:rPr>
        <w:t xml:space="preserve"> en 2010 tandis que le pourcentage d</w:t>
      </w:r>
      <w:r w:rsidR="0080611A">
        <w:rPr>
          <w:lang w:val="fr-CA"/>
        </w:rPr>
        <w:t>’</w:t>
      </w:r>
      <w:r w:rsidR="000C1151" w:rsidRPr="00B3274C">
        <w:rPr>
          <w:lang w:val="fr-CA"/>
        </w:rPr>
        <w:t>enfants exposés au risque de pauvreté/d</w:t>
      </w:r>
      <w:r w:rsidR="0080611A">
        <w:rPr>
          <w:lang w:val="fr-CA"/>
        </w:rPr>
        <w:t>’</w:t>
      </w:r>
      <w:r w:rsidR="000C1151" w:rsidRPr="00B3274C">
        <w:rPr>
          <w:lang w:val="fr-CA"/>
        </w:rPr>
        <w:t>exclusion sociale était de 28</w:t>
      </w:r>
      <w:r w:rsidR="0080611A">
        <w:rPr>
          <w:lang w:val="fr-CA"/>
        </w:rPr>
        <w:t>,</w:t>
      </w:r>
      <w:r w:rsidR="000C1151" w:rsidRPr="00B3274C">
        <w:rPr>
          <w:lang w:val="fr-CA"/>
        </w:rPr>
        <w:t>7</w:t>
      </w:r>
      <w:r w:rsidR="0050285B">
        <w:rPr>
          <w:lang w:val="fr-CA"/>
        </w:rPr>
        <w:t> %</w:t>
      </w:r>
      <w:r w:rsidR="000C1151" w:rsidRPr="00B3274C">
        <w:rPr>
          <w:lang w:val="fr-CA"/>
        </w:rPr>
        <w:t xml:space="preserve"> en 2008</w:t>
      </w:r>
      <w:r w:rsidR="0080611A">
        <w:rPr>
          <w:lang w:val="fr-CA"/>
        </w:rPr>
        <w:t>,</w:t>
      </w:r>
      <w:r w:rsidR="000C1151" w:rsidRPr="00B3274C">
        <w:rPr>
          <w:lang w:val="fr-CA"/>
        </w:rPr>
        <w:t xml:space="preserve"> de 30</w:t>
      </w:r>
      <w:r w:rsidR="0050285B">
        <w:rPr>
          <w:lang w:val="fr-CA"/>
        </w:rPr>
        <w:t> %</w:t>
      </w:r>
      <w:r w:rsidR="000C1151" w:rsidRPr="00B3274C">
        <w:rPr>
          <w:lang w:val="fr-CA"/>
        </w:rPr>
        <w:t xml:space="preserve"> en 2009 et de 28</w:t>
      </w:r>
      <w:r w:rsidR="0080611A">
        <w:rPr>
          <w:lang w:val="fr-CA"/>
        </w:rPr>
        <w:t>,</w:t>
      </w:r>
      <w:r w:rsidR="000C1151" w:rsidRPr="00B3274C">
        <w:rPr>
          <w:lang w:val="fr-CA"/>
        </w:rPr>
        <w:t>7</w:t>
      </w:r>
      <w:r w:rsidR="0050285B">
        <w:rPr>
          <w:lang w:val="fr-CA"/>
        </w:rPr>
        <w:t> %</w:t>
      </w:r>
      <w:r w:rsidR="000C1151" w:rsidRPr="00B3274C">
        <w:rPr>
          <w:lang w:val="fr-CA"/>
        </w:rPr>
        <w:t xml:space="preserve"> en 2010 (annexe 2</w:t>
      </w:r>
      <w:r w:rsidR="0080611A">
        <w:rPr>
          <w:lang w:val="fr-CA"/>
        </w:rPr>
        <w:t>,</w:t>
      </w:r>
      <w:r w:rsidR="000C1151" w:rsidRPr="00B3274C">
        <w:rPr>
          <w:lang w:val="fr-CA"/>
        </w:rPr>
        <w:t xml:space="preserve"> tableau 4). </w:t>
      </w:r>
      <w:r w:rsidR="00F16F1C" w:rsidRPr="00B3274C">
        <w:rPr>
          <w:lang w:val="fr-CA"/>
        </w:rPr>
        <w:t>En ce qui concerne la pauvreté des enfants</w:t>
      </w:r>
      <w:r w:rsidR="0080611A">
        <w:rPr>
          <w:lang w:val="fr-CA"/>
        </w:rPr>
        <w:t>,</w:t>
      </w:r>
      <w:r w:rsidR="00F16F1C" w:rsidRPr="00B3274C">
        <w:rPr>
          <w:lang w:val="fr-CA"/>
        </w:rPr>
        <w:t xml:space="preserve"> il convient de mentionner que la plupart des enfants pauvres vivent dans des ménages p</w:t>
      </w:r>
      <w:r w:rsidR="00D66F55" w:rsidRPr="00B3274C">
        <w:rPr>
          <w:lang w:val="fr-CA"/>
        </w:rPr>
        <w:t xml:space="preserve">auvres qui travaillent et </w:t>
      </w:r>
      <w:r w:rsidR="00F16F1C" w:rsidRPr="00B3274C">
        <w:rPr>
          <w:lang w:val="fr-CA"/>
        </w:rPr>
        <w:t>que le nombre d</w:t>
      </w:r>
      <w:r w:rsidR="0080611A">
        <w:rPr>
          <w:lang w:val="fr-CA"/>
        </w:rPr>
        <w:t>’</w:t>
      </w:r>
      <w:r w:rsidR="00F16F1C" w:rsidRPr="00B3274C">
        <w:rPr>
          <w:lang w:val="fr-CA"/>
        </w:rPr>
        <w:t xml:space="preserve">enfants pauvres vivant dans des ménages sans emploi augmente. </w:t>
      </w:r>
    </w:p>
    <w:p w:rsidR="00FB23D3" w:rsidRPr="00B3274C" w:rsidRDefault="00107A47" w:rsidP="00107A47">
      <w:pPr>
        <w:pStyle w:val="SingleTxtG"/>
        <w:rPr>
          <w:lang w:val="fr-CA"/>
        </w:rPr>
      </w:pPr>
      <w:r w:rsidRPr="00B3274C">
        <w:rPr>
          <w:lang w:val="fr-CA"/>
        </w:rPr>
        <w:t>224.</w:t>
      </w:r>
      <w:r w:rsidRPr="00B3274C">
        <w:rPr>
          <w:lang w:val="fr-CA"/>
        </w:rPr>
        <w:tab/>
      </w:r>
      <w:r w:rsidR="00D853EB" w:rsidRPr="00B3274C">
        <w:rPr>
          <w:lang w:val="fr-CA"/>
        </w:rPr>
        <w:t>Un autre élément très important est le pourcentage des travailleurs pauvres</w:t>
      </w:r>
      <w:r w:rsidR="0080611A">
        <w:rPr>
          <w:lang w:val="fr-CA"/>
        </w:rPr>
        <w:t>,</w:t>
      </w:r>
      <w:r w:rsidR="00D853EB" w:rsidRPr="00B3274C">
        <w:rPr>
          <w:lang w:val="fr-CA"/>
        </w:rPr>
        <w:t xml:space="preserve"> qui représentent 13</w:t>
      </w:r>
      <w:r w:rsidR="0080611A">
        <w:rPr>
          <w:lang w:val="fr-CA"/>
        </w:rPr>
        <w:t>,</w:t>
      </w:r>
      <w:r w:rsidR="00D853EB" w:rsidRPr="00B3274C">
        <w:rPr>
          <w:lang w:val="fr-CA"/>
        </w:rPr>
        <w:t>8</w:t>
      </w:r>
      <w:r w:rsidR="0050285B">
        <w:rPr>
          <w:lang w:val="fr-CA"/>
        </w:rPr>
        <w:t> %</w:t>
      </w:r>
      <w:r w:rsidR="00D853EB" w:rsidRPr="00B3274C">
        <w:rPr>
          <w:lang w:val="fr-CA"/>
        </w:rPr>
        <w:t xml:space="preserve"> de la population totale</w:t>
      </w:r>
      <w:r w:rsidR="0080611A">
        <w:rPr>
          <w:lang w:val="fr-CA"/>
        </w:rPr>
        <w:t>,</w:t>
      </w:r>
      <w:r w:rsidR="00D853EB" w:rsidRPr="00B3274C">
        <w:rPr>
          <w:lang w:val="fr-CA"/>
        </w:rPr>
        <w:t xml:space="preserve"> dont 10</w:t>
      </w:r>
      <w:r w:rsidR="0080611A">
        <w:rPr>
          <w:lang w:val="fr-CA"/>
        </w:rPr>
        <w:t>,</w:t>
      </w:r>
      <w:r w:rsidR="00D853EB" w:rsidRPr="00B3274C">
        <w:rPr>
          <w:lang w:val="fr-CA"/>
        </w:rPr>
        <w:t>2</w:t>
      </w:r>
      <w:r w:rsidR="0050285B">
        <w:rPr>
          <w:lang w:val="fr-CA"/>
        </w:rPr>
        <w:t> %</w:t>
      </w:r>
      <w:r w:rsidR="00D853EB" w:rsidRPr="00B3274C">
        <w:rPr>
          <w:lang w:val="fr-CA"/>
        </w:rPr>
        <w:t xml:space="preserve"> sont des femmes et 16</w:t>
      </w:r>
      <w:r w:rsidR="0080611A">
        <w:rPr>
          <w:lang w:val="fr-CA"/>
        </w:rPr>
        <w:t>,</w:t>
      </w:r>
      <w:r w:rsidR="00D853EB" w:rsidRPr="00B3274C">
        <w:rPr>
          <w:lang w:val="fr-CA"/>
        </w:rPr>
        <w:t>4</w:t>
      </w:r>
      <w:r w:rsidR="0050285B">
        <w:rPr>
          <w:lang w:val="fr-CA"/>
        </w:rPr>
        <w:t> %</w:t>
      </w:r>
      <w:r w:rsidR="00D853EB" w:rsidRPr="00B3274C">
        <w:rPr>
          <w:lang w:val="fr-CA"/>
        </w:rPr>
        <w:t xml:space="preserve"> des hommes (annexe 2</w:t>
      </w:r>
      <w:r w:rsidR="0080611A">
        <w:rPr>
          <w:lang w:val="fr-CA"/>
        </w:rPr>
        <w:t>,</w:t>
      </w:r>
      <w:r w:rsidR="00D853EB" w:rsidRPr="00B3274C">
        <w:rPr>
          <w:lang w:val="fr-CA"/>
        </w:rPr>
        <w:t xml:space="preserve"> tableau 14). Aucun changement majeur n</w:t>
      </w:r>
      <w:r w:rsidR="0080611A">
        <w:rPr>
          <w:lang w:val="fr-CA"/>
        </w:rPr>
        <w:t>’</w:t>
      </w:r>
      <w:r w:rsidR="00D853EB" w:rsidRPr="00B3274C">
        <w:rPr>
          <w:lang w:val="fr-CA"/>
        </w:rPr>
        <w:t>a été observé au cours de la dernière décennie. En outre</w:t>
      </w:r>
      <w:r w:rsidR="0080611A">
        <w:rPr>
          <w:lang w:val="fr-CA"/>
        </w:rPr>
        <w:t>,</w:t>
      </w:r>
      <w:r w:rsidR="00D853EB" w:rsidRPr="00B3274C">
        <w:rPr>
          <w:lang w:val="fr-CA"/>
        </w:rPr>
        <w:t xml:space="preserve"> si l</w:t>
      </w:r>
      <w:r w:rsidR="0080611A">
        <w:rPr>
          <w:lang w:val="fr-CA"/>
        </w:rPr>
        <w:t>’</w:t>
      </w:r>
      <w:r w:rsidR="00D853EB" w:rsidRPr="00B3274C">
        <w:rPr>
          <w:lang w:val="fr-CA"/>
        </w:rPr>
        <w:t>on considère que la raison principale de l</w:t>
      </w:r>
      <w:r w:rsidR="0080611A">
        <w:rPr>
          <w:lang w:val="fr-CA"/>
        </w:rPr>
        <w:t>’</w:t>
      </w:r>
      <w:r w:rsidR="00D853EB" w:rsidRPr="00B3274C">
        <w:rPr>
          <w:lang w:val="fr-CA"/>
        </w:rPr>
        <w:t>existence d</w:t>
      </w:r>
      <w:r w:rsidR="0080611A">
        <w:rPr>
          <w:lang w:val="fr-CA"/>
        </w:rPr>
        <w:t>’</w:t>
      </w:r>
      <w:r w:rsidR="00D853EB" w:rsidRPr="00B3274C">
        <w:rPr>
          <w:lang w:val="fr-CA"/>
        </w:rPr>
        <w:t>enfants pauvres est la pauvreté des parents</w:t>
      </w:r>
      <w:r w:rsidR="0080611A">
        <w:rPr>
          <w:lang w:val="fr-CA"/>
        </w:rPr>
        <w:t>,</w:t>
      </w:r>
      <w:r w:rsidR="00D853EB" w:rsidRPr="00B3274C">
        <w:rPr>
          <w:lang w:val="fr-CA"/>
        </w:rPr>
        <w:t xml:space="preserve"> il ne sera pas possible de réduire sensiblement la pauvreté en Grèce sans s</w:t>
      </w:r>
      <w:r w:rsidR="0080611A">
        <w:rPr>
          <w:lang w:val="fr-CA"/>
        </w:rPr>
        <w:t>’</w:t>
      </w:r>
      <w:r w:rsidR="00D853EB" w:rsidRPr="00B3274C">
        <w:rPr>
          <w:lang w:val="fr-CA"/>
        </w:rPr>
        <w:t xml:space="preserve">attaquer à la pauvreté des travailleurs. </w:t>
      </w:r>
    </w:p>
    <w:p w:rsidR="00FB23D3" w:rsidRPr="00B3274C" w:rsidRDefault="00107A47" w:rsidP="00107A47">
      <w:pPr>
        <w:pStyle w:val="SingleTxtG"/>
        <w:rPr>
          <w:lang w:val="fr-CA"/>
        </w:rPr>
      </w:pPr>
      <w:r w:rsidRPr="00B3274C">
        <w:rPr>
          <w:lang w:val="fr-CA"/>
        </w:rPr>
        <w:t>225.</w:t>
      </w:r>
      <w:r w:rsidRPr="00B3274C">
        <w:rPr>
          <w:lang w:val="fr-CA"/>
        </w:rPr>
        <w:tab/>
      </w:r>
      <w:r w:rsidR="00D853EB" w:rsidRPr="00B3274C">
        <w:rPr>
          <w:lang w:val="fr-CA"/>
        </w:rPr>
        <w:t xml:space="preserve">Les chômeurs </w:t>
      </w:r>
      <w:r w:rsidR="00FB23D3" w:rsidRPr="00B3274C">
        <w:rPr>
          <w:lang w:val="fr-CA"/>
        </w:rPr>
        <w:t>(38</w:t>
      </w:r>
      <w:r w:rsidR="0080611A">
        <w:rPr>
          <w:lang w:val="fr-CA"/>
        </w:rPr>
        <w:t>,</w:t>
      </w:r>
      <w:r w:rsidR="00FB23D3" w:rsidRPr="00B3274C">
        <w:rPr>
          <w:lang w:val="fr-CA"/>
        </w:rPr>
        <w:t>5</w:t>
      </w:r>
      <w:r w:rsidR="0050285B">
        <w:rPr>
          <w:lang w:val="fr-CA"/>
        </w:rPr>
        <w:t> %</w:t>
      </w:r>
      <w:r w:rsidR="00FB23D3" w:rsidRPr="00B3274C">
        <w:rPr>
          <w:lang w:val="fr-CA"/>
        </w:rPr>
        <w:t xml:space="preserve"> </w:t>
      </w:r>
      <w:r w:rsidR="00D853EB" w:rsidRPr="00B3274C">
        <w:rPr>
          <w:lang w:val="fr-CA"/>
        </w:rPr>
        <w:t>e</w:t>
      </w:r>
      <w:r w:rsidR="00FB23D3" w:rsidRPr="00B3274C">
        <w:rPr>
          <w:lang w:val="fr-CA"/>
        </w:rPr>
        <w:t xml:space="preserve">n 2010) </w:t>
      </w:r>
      <w:r w:rsidR="00D853EB" w:rsidRPr="00B3274C">
        <w:rPr>
          <w:lang w:val="fr-CA"/>
        </w:rPr>
        <w:t>sont exposés à un risque élevé de pauvreté</w:t>
      </w:r>
      <w:r w:rsidR="0080611A">
        <w:rPr>
          <w:lang w:val="fr-CA"/>
        </w:rPr>
        <w:t>,</w:t>
      </w:r>
      <w:r w:rsidR="00D853EB" w:rsidRPr="00B3274C">
        <w:rPr>
          <w:lang w:val="fr-CA"/>
        </w:rPr>
        <w:t xml:space="preserve"> qui a considérablement augmenté depuis 2006 (annexe 2</w:t>
      </w:r>
      <w:r w:rsidR="0080611A">
        <w:rPr>
          <w:lang w:val="fr-CA"/>
        </w:rPr>
        <w:t>,</w:t>
      </w:r>
      <w:r w:rsidR="00D853EB" w:rsidRPr="00B3274C">
        <w:rPr>
          <w:lang w:val="fr-CA"/>
        </w:rPr>
        <w:t xml:space="preserve"> tableau 12). </w:t>
      </w:r>
    </w:p>
    <w:p w:rsidR="00FB23D3" w:rsidRPr="00B3274C" w:rsidRDefault="00107A47" w:rsidP="00107A47">
      <w:pPr>
        <w:pStyle w:val="SingleTxtG"/>
        <w:rPr>
          <w:lang w:val="fr-CA"/>
        </w:rPr>
      </w:pPr>
      <w:r w:rsidRPr="00B3274C">
        <w:rPr>
          <w:lang w:val="fr-CA"/>
        </w:rPr>
        <w:t>226.</w:t>
      </w:r>
      <w:r w:rsidRPr="00B3274C">
        <w:rPr>
          <w:lang w:val="fr-CA"/>
        </w:rPr>
        <w:tab/>
      </w:r>
      <w:r w:rsidR="00D853EB" w:rsidRPr="00B3274C">
        <w:rPr>
          <w:lang w:val="fr-CA"/>
        </w:rPr>
        <w:t>La vieillesse est toujours l</w:t>
      </w:r>
      <w:r w:rsidR="0080611A">
        <w:rPr>
          <w:lang w:val="fr-CA"/>
        </w:rPr>
        <w:t>’</w:t>
      </w:r>
      <w:r w:rsidR="00D853EB" w:rsidRPr="00B3274C">
        <w:rPr>
          <w:lang w:val="fr-CA"/>
        </w:rPr>
        <w:t xml:space="preserve">un des facteurs </w:t>
      </w:r>
      <w:r w:rsidR="00BF4512" w:rsidRPr="00B3274C">
        <w:rPr>
          <w:lang w:val="fr-CA"/>
        </w:rPr>
        <w:t>qui aggrave le</w:t>
      </w:r>
      <w:r w:rsidR="00647DA4">
        <w:rPr>
          <w:lang w:val="fr-CA"/>
        </w:rPr>
        <w:t xml:space="preserve"> risque de pauvreté en </w:t>
      </w:r>
      <w:r w:rsidR="00D853EB" w:rsidRPr="00B3274C">
        <w:rPr>
          <w:lang w:val="fr-CA"/>
        </w:rPr>
        <w:t xml:space="preserve">Grèce. Pour </w:t>
      </w:r>
      <w:r w:rsidR="00614BAC">
        <w:rPr>
          <w:lang w:val="fr-CA"/>
        </w:rPr>
        <w:t>les personnes</w:t>
      </w:r>
      <w:r w:rsidR="00D853EB" w:rsidRPr="00B3274C">
        <w:rPr>
          <w:lang w:val="fr-CA"/>
        </w:rPr>
        <w:t xml:space="preserve"> âgées de plus de 65</w:t>
      </w:r>
      <w:r w:rsidR="004C055A">
        <w:rPr>
          <w:lang w:val="fr-CA"/>
        </w:rPr>
        <w:t> ans</w:t>
      </w:r>
      <w:r w:rsidR="0080611A">
        <w:rPr>
          <w:lang w:val="fr-CA"/>
        </w:rPr>
        <w:t>,</w:t>
      </w:r>
      <w:r w:rsidR="00D853EB" w:rsidRPr="00B3274C">
        <w:rPr>
          <w:lang w:val="fr-CA"/>
        </w:rPr>
        <w:t xml:space="preserve"> le risque de pauvreté était de 21</w:t>
      </w:r>
      <w:r w:rsidR="0080611A">
        <w:rPr>
          <w:lang w:val="fr-CA"/>
        </w:rPr>
        <w:t>,</w:t>
      </w:r>
      <w:r w:rsidR="00D853EB" w:rsidRPr="00B3274C">
        <w:rPr>
          <w:lang w:val="fr-CA"/>
        </w:rPr>
        <w:t>3</w:t>
      </w:r>
      <w:r w:rsidR="0050285B">
        <w:rPr>
          <w:lang w:val="fr-CA"/>
        </w:rPr>
        <w:t> %</w:t>
      </w:r>
      <w:r w:rsidR="00D853EB" w:rsidRPr="00B3274C">
        <w:rPr>
          <w:lang w:val="fr-CA"/>
        </w:rPr>
        <w:t xml:space="preserve"> en 2010 </w:t>
      </w:r>
      <w:r w:rsidR="00C074DE" w:rsidRPr="00B3274C">
        <w:rPr>
          <w:lang w:val="fr-CA"/>
        </w:rPr>
        <w:t>(annexe 2</w:t>
      </w:r>
      <w:r w:rsidR="0080611A">
        <w:rPr>
          <w:lang w:val="fr-CA"/>
        </w:rPr>
        <w:t>,</w:t>
      </w:r>
      <w:r w:rsidR="00C074DE" w:rsidRPr="00B3274C">
        <w:rPr>
          <w:lang w:val="fr-CA"/>
        </w:rPr>
        <w:t xml:space="preserve"> tableau 6)</w:t>
      </w:r>
      <w:r w:rsidR="00EC5892" w:rsidRPr="00B3274C">
        <w:rPr>
          <w:lang w:val="fr-CA"/>
        </w:rPr>
        <w:t>;</w:t>
      </w:r>
      <w:r w:rsidR="00D853EB" w:rsidRPr="00B3274C">
        <w:rPr>
          <w:lang w:val="fr-CA"/>
        </w:rPr>
        <w:t xml:space="preserve"> celui des retraités était légèrement inférieur</w:t>
      </w:r>
      <w:r w:rsidR="0080611A">
        <w:rPr>
          <w:lang w:val="fr-CA"/>
        </w:rPr>
        <w:t>,</w:t>
      </w:r>
      <w:r w:rsidR="00D853EB" w:rsidRPr="00B3274C">
        <w:rPr>
          <w:lang w:val="fr-CA"/>
        </w:rPr>
        <w:t xml:space="preserve"> soit 19</w:t>
      </w:r>
      <w:r w:rsidR="0050285B">
        <w:rPr>
          <w:lang w:val="fr-CA"/>
        </w:rPr>
        <w:t> %</w:t>
      </w:r>
      <w:r w:rsidR="00D853EB" w:rsidRPr="00B3274C">
        <w:rPr>
          <w:lang w:val="fr-CA"/>
        </w:rPr>
        <w:t xml:space="preserve"> e</w:t>
      </w:r>
      <w:r w:rsidR="00DC6E61">
        <w:rPr>
          <w:lang w:val="fr-CA"/>
        </w:rPr>
        <w:t>n </w:t>
      </w:r>
      <w:r w:rsidR="00D853EB" w:rsidRPr="00B3274C">
        <w:rPr>
          <w:lang w:val="fr-CA"/>
        </w:rPr>
        <w:t>2010 (annexe 2</w:t>
      </w:r>
      <w:r w:rsidR="0080611A">
        <w:rPr>
          <w:lang w:val="fr-CA"/>
        </w:rPr>
        <w:t>,</w:t>
      </w:r>
      <w:r w:rsidR="00D853EB" w:rsidRPr="00B3274C">
        <w:rPr>
          <w:lang w:val="fr-CA"/>
        </w:rPr>
        <w:t xml:space="preserve"> tableau 12). </w:t>
      </w:r>
      <w:r w:rsidR="004A4C68" w:rsidRPr="00B3274C">
        <w:rPr>
          <w:lang w:val="fr-CA"/>
        </w:rPr>
        <w:t>Toutefois</w:t>
      </w:r>
      <w:r w:rsidR="0080611A">
        <w:rPr>
          <w:lang w:val="fr-CA"/>
        </w:rPr>
        <w:t>,</w:t>
      </w:r>
      <w:r w:rsidR="004A4C68" w:rsidRPr="00B3274C">
        <w:rPr>
          <w:lang w:val="fr-CA"/>
        </w:rPr>
        <w:t xml:space="preserve"> ce pourcentage baisse progressivement (25</w:t>
      </w:r>
      <w:r w:rsidR="0080611A">
        <w:rPr>
          <w:lang w:val="fr-CA"/>
        </w:rPr>
        <w:t>,</w:t>
      </w:r>
      <w:r w:rsidR="004A4C68" w:rsidRPr="00B3274C">
        <w:rPr>
          <w:lang w:val="fr-CA"/>
        </w:rPr>
        <w:t>6</w:t>
      </w:r>
      <w:r w:rsidR="0050285B">
        <w:rPr>
          <w:lang w:val="fr-CA"/>
        </w:rPr>
        <w:t> %</w:t>
      </w:r>
      <w:r w:rsidR="004A4C68" w:rsidRPr="00B3274C">
        <w:rPr>
          <w:lang w:val="fr-CA"/>
        </w:rPr>
        <w:t xml:space="preserve"> en 2006</w:t>
      </w:r>
      <w:r w:rsidR="0080611A">
        <w:rPr>
          <w:lang w:val="fr-CA"/>
        </w:rPr>
        <w:t>,</w:t>
      </w:r>
      <w:r w:rsidR="004A4C68" w:rsidRPr="00B3274C">
        <w:rPr>
          <w:lang w:val="fr-CA"/>
        </w:rPr>
        <w:t xml:space="preserve"> 22</w:t>
      </w:r>
      <w:r w:rsidR="0080611A">
        <w:rPr>
          <w:lang w:val="fr-CA"/>
        </w:rPr>
        <w:t>,</w:t>
      </w:r>
      <w:r w:rsidR="004A4C68" w:rsidRPr="00B3274C">
        <w:rPr>
          <w:lang w:val="fr-CA"/>
        </w:rPr>
        <w:t>9</w:t>
      </w:r>
      <w:r w:rsidR="0050285B">
        <w:rPr>
          <w:lang w:val="fr-CA"/>
        </w:rPr>
        <w:t> %</w:t>
      </w:r>
      <w:r w:rsidR="004A4C68" w:rsidRPr="00B3274C">
        <w:rPr>
          <w:lang w:val="fr-CA"/>
        </w:rPr>
        <w:t xml:space="preserve"> en 2007</w:t>
      </w:r>
      <w:r w:rsidR="0080611A">
        <w:rPr>
          <w:lang w:val="fr-CA"/>
        </w:rPr>
        <w:t>,</w:t>
      </w:r>
      <w:r w:rsidR="004A4C68" w:rsidRPr="00B3274C">
        <w:rPr>
          <w:lang w:val="fr-CA"/>
        </w:rPr>
        <w:t xml:space="preserve"> 22</w:t>
      </w:r>
      <w:r w:rsidR="0080611A">
        <w:rPr>
          <w:lang w:val="fr-CA"/>
        </w:rPr>
        <w:t>,</w:t>
      </w:r>
      <w:r w:rsidR="004A4C68" w:rsidRPr="00B3274C">
        <w:rPr>
          <w:lang w:val="fr-CA"/>
        </w:rPr>
        <w:t>3</w:t>
      </w:r>
      <w:r w:rsidR="0050285B">
        <w:rPr>
          <w:lang w:val="fr-CA"/>
        </w:rPr>
        <w:t> %</w:t>
      </w:r>
      <w:r w:rsidR="004A4C68" w:rsidRPr="00B3274C">
        <w:rPr>
          <w:lang w:val="fr-CA"/>
        </w:rPr>
        <w:t xml:space="preserve"> en 2008</w:t>
      </w:r>
      <w:r w:rsidR="0080611A">
        <w:rPr>
          <w:lang w:val="fr-CA"/>
        </w:rPr>
        <w:t>,</w:t>
      </w:r>
      <w:r w:rsidR="004A4C68" w:rsidRPr="00B3274C">
        <w:rPr>
          <w:lang w:val="fr-CA"/>
        </w:rPr>
        <w:t xml:space="preserve"> 21</w:t>
      </w:r>
      <w:r w:rsidR="0080611A">
        <w:rPr>
          <w:lang w:val="fr-CA"/>
        </w:rPr>
        <w:t>,</w:t>
      </w:r>
      <w:r w:rsidR="004A4C68" w:rsidRPr="00B3274C">
        <w:rPr>
          <w:lang w:val="fr-CA"/>
        </w:rPr>
        <w:t>4</w:t>
      </w:r>
      <w:r w:rsidR="0050285B">
        <w:rPr>
          <w:lang w:val="fr-CA"/>
        </w:rPr>
        <w:t> %</w:t>
      </w:r>
      <w:r w:rsidR="004A4C68" w:rsidRPr="00B3274C">
        <w:rPr>
          <w:lang w:val="fr-CA"/>
        </w:rPr>
        <w:t xml:space="preserve"> en 2009)</w:t>
      </w:r>
      <w:r w:rsidR="0080611A">
        <w:rPr>
          <w:lang w:val="fr-CA"/>
        </w:rPr>
        <w:t>,</w:t>
      </w:r>
      <w:r w:rsidR="004A4C68" w:rsidRPr="00B3274C">
        <w:rPr>
          <w:lang w:val="fr-CA"/>
        </w:rPr>
        <w:t xml:space="preserve"> en raison peut-être des progrès accomplis concernant le complément de revenu versé </w:t>
      </w:r>
      <w:r w:rsidR="00A40A08">
        <w:rPr>
          <w:lang w:val="fr-CA"/>
        </w:rPr>
        <w:t>aux personnes</w:t>
      </w:r>
      <w:r w:rsidR="004A4C68" w:rsidRPr="00B3274C">
        <w:rPr>
          <w:lang w:val="fr-CA"/>
        </w:rPr>
        <w:t xml:space="preserve"> âgées. </w:t>
      </w:r>
      <w:r w:rsidR="005847AB" w:rsidRPr="00B3274C">
        <w:rPr>
          <w:lang w:val="fr-CA"/>
        </w:rPr>
        <w:t>Il convient de noter que le sexe est un facteur très aggravant en ce qui concerne les femmes âgées</w:t>
      </w:r>
      <w:r w:rsidR="0080611A">
        <w:rPr>
          <w:lang w:val="fr-CA"/>
        </w:rPr>
        <w:t>,</w:t>
      </w:r>
      <w:r w:rsidR="005847AB" w:rsidRPr="00B3274C">
        <w:rPr>
          <w:lang w:val="fr-CA"/>
        </w:rPr>
        <w:t xml:space="preserve"> pour lesquelles le risque de pauvreté était de 23</w:t>
      </w:r>
      <w:r w:rsidR="0080611A">
        <w:rPr>
          <w:lang w:val="fr-CA"/>
        </w:rPr>
        <w:t>,</w:t>
      </w:r>
      <w:r w:rsidR="005847AB" w:rsidRPr="00B3274C">
        <w:rPr>
          <w:lang w:val="fr-CA"/>
        </w:rPr>
        <w:t>3</w:t>
      </w:r>
      <w:r w:rsidR="0050285B">
        <w:rPr>
          <w:lang w:val="fr-CA"/>
        </w:rPr>
        <w:t> %</w:t>
      </w:r>
      <w:r w:rsidR="005847AB" w:rsidRPr="00B3274C">
        <w:rPr>
          <w:lang w:val="fr-CA"/>
        </w:rPr>
        <w:t xml:space="preserve"> en 2010 contre 18</w:t>
      </w:r>
      <w:r w:rsidR="0080611A">
        <w:rPr>
          <w:lang w:val="fr-CA"/>
        </w:rPr>
        <w:t>,</w:t>
      </w:r>
      <w:r w:rsidR="005847AB" w:rsidRPr="00B3274C">
        <w:rPr>
          <w:lang w:val="fr-CA"/>
        </w:rPr>
        <w:t>8</w:t>
      </w:r>
      <w:r w:rsidR="0050285B">
        <w:rPr>
          <w:lang w:val="fr-CA"/>
        </w:rPr>
        <w:t> %</w:t>
      </w:r>
      <w:r w:rsidR="005847AB" w:rsidRPr="00B3274C">
        <w:rPr>
          <w:lang w:val="fr-CA"/>
        </w:rPr>
        <w:t xml:space="preserve"> pour les hommes. </w:t>
      </w:r>
    </w:p>
    <w:p w:rsidR="00FB23D3" w:rsidRPr="00B3274C" w:rsidRDefault="00107A47" w:rsidP="00107A47">
      <w:pPr>
        <w:pStyle w:val="SingleTxtG"/>
        <w:rPr>
          <w:lang w:val="fr-CA"/>
        </w:rPr>
      </w:pPr>
      <w:r w:rsidRPr="00B3274C">
        <w:rPr>
          <w:lang w:val="fr-CA"/>
        </w:rPr>
        <w:t>227.</w:t>
      </w:r>
      <w:r w:rsidRPr="00B3274C">
        <w:rPr>
          <w:lang w:val="fr-CA"/>
        </w:rPr>
        <w:tab/>
      </w:r>
      <w:r w:rsidR="00B90D0C" w:rsidRPr="00B3274C">
        <w:rPr>
          <w:lang w:val="fr-CA"/>
        </w:rPr>
        <w:t>La valeur et l</w:t>
      </w:r>
      <w:r w:rsidR="0080611A">
        <w:rPr>
          <w:lang w:val="fr-CA"/>
        </w:rPr>
        <w:t>’</w:t>
      </w:r>
      <w:r w:rsidR="00B90D0C" w:rsidRPr="00B3274C">
        <w:rPr>
          <w:lang w:val="fr-CA"/>
        </w:rPr>
        <w:t xml:space="preserve">efficacité limitées des transferts sociaux autres que les pensions constituent également un problème majeur. </w:t>
      </w:r>
      <w:r w:rsidR="000B4873" w:rsidRPr="00B3274C">
        <w:rPr>
          <w:lang w:val="fr-CA"/>
        </w:rPr>
        <w:t>En 2010</w:t>
      </w:r>
      <w:r w:rsidR="0080611A">
        <w:rPr>
          <w:lang w:val="fr-CA"/>
        </w:rPr>
        <w:t>,</w:t>
      </w:r>
      <w:r w:rsidR="000B4873" w:rsidRPr="00B3274C">
        <w:rPr>
          <w:lang w:val="fr-CA"/>
        </w:rPr>
        <w:t xml:space="preserve"> le</w:t>
      </w:r>
      <w:r w:rsidR="002F0AF7" w:rsidRPr="00B3274C">
        <w:rPr>
          <w:lang w:val="fr-CA"/>
        </w:rPr>
        <w:t xml:space="preserve"> taux </w:t>
      </w:r>
      <w:r w:rsidR="00614BAC">
        <w:rPr>
          <w:lang w:val="fr-CA"/>
        </w:rPr>
        <w:t>des personnes</w:t>
      </w:r>
      <w:r w:rsidR="002F0AF7" w:rsidRPr="00B3274C">
        <w:rPr>
          <w:lang w:val="fr-CA"/>
        </w:rPr>
        <w:t xml:space="preserve"> exposées au risque de pauvreté était de 23</w:t>
      </w:r>
      <w:r w:rsidR="0080611A">
        <w:rPr>
          <w:lang w:val="fr-CA"/>
        </w:rPr>
        <w:t>,</w:t>
      </w:r>
      <w:r w:rsidR="002F0AF7" w:rsidRPr="00B3274C">
        <w:rPr>
          <w:lang w:val="fr-CA"/>
        </w:rPr>
        <w:t>8</w:t>
      </w:r>
      <w:r w:rsidR="0050285B">
        <w:rPr>
          <w:lang w:val="fr-CA"/>
        </w:rPr>
        <w:t> %</w:t>
      </w:r>
      <w:r w:rsidR="002F0AF7" w:rsidRPr="00B3274C">
        <w:rPr>
          <w:lang w:val="fr-CA"/>
        </w:rPr>
        <w:t xml:space="preserve"> </w:t>
      </w:r>
      <w:r w:rsidR="000B4873" w:rsidRPr="00B3274C">
        <w:rPr>
          <w:lang w:val="fr-CA"/>
        </w:rPr>
        <w:t>avant les transferts sociaux autres que les pensions (annexe 2</w:t>
      </w:r>
      <w:r w:rsidR="0080611A">
        <w:rPr>
          <w:lang w:val="fr-CA"/>
        </w:rPr>
        <w:t>,</w:t>
      </w:r>
      <w:r w:rsidR="000B4873" w:rsidRPr="00B3274C">
        <w:rPr>
          <w:lang w:val="fr-CA"/>
        </w:rPr>
        <w:t xml:space="preserve"> tableau 8) et de 20</w:t>
      </w:r>
      <w:r w:rsidR="0080611A">
        <w:rPr>
          <w:lang w:val="fr-CA"/>
        </w:rPr>
        <w:t>,</w:t>
      </w:r>
      <w:r w:rsidR="000B4873" w:rsidRPr="00B3274C">
        <w:rPr>
          <w:lang w:val="fr-CA"/>
        </w:rPr>
        <w:t>1</w:t>
      </w:r>
      <w:r w:rsidR="0050285B">
        <w:rPr>
          <w:lang w:val="fr-CA"/>
        </w:rPr>
        <w:t> %</w:t>
      </w:r>
      <w:r w:rsidR="000B4873" w:rsidRPr="00B3274C">
        <w:rPr>
          <w:lang w:val="fr-CA"/>
        </w:rPr>
        <w:t xml:space="preserve"> après (annexe 2</w:t>
      </w:r>
      <w:r w:rsidR="0080611A">
        <w:rPr>
          <w:lang w:val="fr-CA"/>
        </w:rPr>
        <w:t>,</w:t>
      </w:r>
      <w:r w:rsidR="000B4873" w:rsidRPr="00B3274C">
        <w:rPr>
          <w:lang w:val="fr-CA"/>
        </w:rPr>
        <w:t xml:space="preserve"> tableau </w:t>
      </w:r>
      <w:r w:rsidR="00BB5520" w:rsidRPr="00B3274C">
        <w:rPr>
          <w:lang w:val="fr-CA"/>
        </w:rPr>
        <w:t>6</w:t>
      </w:r>
      <w:r w:rsidR="000B4873" w:rsidRPr="00B3274C">
        <w:rPr>
          <w:lang w:val="fr-CA"/>
        </w:rPr>
        <w:t xml:space="preserve">). </w:t>
      </w:r>
      <w:r w:rsidR="00400EAC" w:rsidRPr="00B3274C">
        <w:rPr>
          <w:lang w:val="fr-CA"/>
        </w:rPr>
        <w:t>Cela dit</w:t>
      </w:r>
      <w:r w:rsidR="0080611A">
        <w:rPr>
          <w:lang w:val="fr-CA"/>
        </w:rPr>
        <w:t>,</w:t>
      </w:r>
      <w:r w:rsidR="00400EAC" w:rsidRPr="00B3274C">
        <w:rPr>
          <w:lang w:val="fr-CA"/>
        </w:rPr>
        <w:t xml:space="preserve"> il convient de souligner </w:t>
      </w:r>
      <w:r w:rsidR="00EF1E85" w:rsidRPr="00B3274C">
        <w:rPr>
          <w:lang w:val="fr-CA"/>
        </w:rPr>
        <w:t>que les transferts sociaux sous</w:t>
      </w:r>
      <w:r w:rsidR="00400EAC" w:rsidRPr="00B3274C">
        <w:rPr>
          <w:lang w:val="fr-CA"/>
        </w:rPr>
        <w:t xml:space="preserve"> forme de pensions pour </w:t>
      </w:r>
      <w:r w:rsidR="00614BAC">
        <w:rPr>
          <w:lang w:val="fr-CA"/>
        </w:rPr>
        <w:t>les personnes</w:t>
      </w:r>
      <w:r w:rsidR="00400EAC" w:rsidRPr="00B3274C">
        <w:rPr>
          <w:lang w:val="fr-CA"/>
        </w:rPr>
        <w:t xml:space="preserve"> de plus de 65</w:t>
      </w:r>
      <w:r w:rsidR="004C055A">
        <w:rPr>
          <w:lang w:val="fr-CA"/>
        </w:rPr>
        <w:t> ans</w:t>
      </w:r>
      <w:r w:rsidR="00400EAC" w:rsidRPr="00B3274C">
        <w:rPr>
          <w:lang w:val="fr-CA"/>
        </w:rPr>
        <w:t xml:space="preserve"> </w:t>
      </w:r>
      <w:r w:rsidR="00FC2944" w:rsidRPr="00B3274C">
        <w:rPr>
          <w:lang w:val="fr-CA"/>
        </w:rPr>
        <w:t>ont des effets</w:t>
      </w:r>
      <w:r w:rsidR="00400EAC" w:rsidRPr="00B3274C">
        <w:rPr>
          <w:lang w:val="fr-CA"/>
        </w:rPr>
        <w:t xml:space="preserve"> </w:t>
      </w:r>
      <w:r w:rsidR="00EF1E85" w:rsidRPr="00B3274C">
        <w:rPr>
          <w:lang w:val="fr-CA"/>
        </w:rPr>
        <w:t>redistributifs en Grèce</w:t>
      </w:r>
      <w:r w:rsidR="00EC5892" w:rsidRPr="00B3274C">
        <w:rPr>
          <w:lang w:val="fr-CA"/>
        </w:rPr>
        <w:t>:</w:t>
      </w:r>
      <w:r w:rsidR="00FC2944" w:rsidRPr="00B3274C">
        <w:rPr>
          <w:lang w:val="fr-CA"/>
        </w:rPr>
        <w:t xml:space="preserve"> les pensions réduisent le taux de pauvreté de 19 points de pourcentage</w:t>
      </w:r>
      <w:r w:rsidR="00EC5892" w:rsidRPr="00B3274C">
        <w:rPr>
          <w:lang w:val="fr-CA"/>
        </w:rPr>
        <w:t>;</w:t>
      </w:r>
      <w:r w:rsidR="00FC2944" w:rsidRPr="00B3274C">
        <w:rPr>
          <w:lang w:val="fr-CA"/>
        </w:rPr>
        <w:t xml:space="preserve"> il passe de 42</w:t>
      </w:r>
      <w:r w:rsidR="0080611A">
        <w:rPr>
          <w:lang w:val="fr-CA"/>
        </w:rPr>
        <w:t>,</w:t>
      </w:r>
      <w:r w:rsidR="00FC2944" w:rsidRPr="00B3274C">
        <w:rPr>
          <w:lang w:val="fr-CA"/>
        </w:rPr>
        <w:t>8</w:t>
      </w:r>
      <w:r w:rsidR="0050285B">
        <w:rPr>
          <w:lang w:val="fr-CA"/>
        </w:rPr>
        <w:t> %</w:t>
      </w:r>
      <w:r w:rsidR="00FC2944" w:rsidRPr="00B3274C">
        <w:rPr>
          <w:lang w:val="fr-CA"/>
        </w:rPr>
        <w:t xml:space="preserve"> avant l</w:t>
      </w:r>
      <w:r w:rsidR="0080611A">
        <w:rPr>
          <w:lang w:val="fr-CA"/>
        </w:rPr>
        <w:t>’</w:t>
      </w:r>
      <w:r w:rsidR="00FC2944" w:rsidRPr="00B3274C">
        <w:rPr>
          <w:lang w:val="fr-CA"/>
        </w:rPr>
        <w:t>ensemble des transferts sociaux</w:t>
      </w:r>
      <w:r w:rsidR="0080611A">
        <w:rPr>
          <w:lang w:val="fr-CA"/>
        </w:rPr>
        <w:t>,</w:t>
      </w:r>
      <w:r w:rsidR="00FC2944" w:rsidRPr="00B3274C">
        <w:rPr>
          <w:lang w:val="fr-CA"/>
        </w:rPr>
        <w:t xml:space="preserve"> y compris les pensions</w:t>
      </w:r>
      <w:r w:rsidR="0080611A">
        <w:rPr>
          <w:lang w:val="fr-CA"/>
        </w:rPr>
        <w:t>,</w:t>
      </w:r>
      <w:r w:rsidR="00FC2944" w:rsidRPr="00B3274C">
        <w:rPr>
          <w:lang w:val="fr-CA"/>
        </w:rPr>
        <w:t xml:space="preserve"> à 23</w:t>
      </w:r>
      <w:r w:rsidR="0080611A">
        <w:rPr>
          <w:lang w:val="fr-CA"/>
        </w:rPr>
        <w:t>,</w:t>
      </w:r>
      <w:r w:rsidR="00FC2944" w:rsidRPr="00B3274C">
        <w:rPr>
          <w:lang w:val="fr-CA"/>
        </w:rPr>
        <w:t>8</w:t>
      </w:r>
      <w:r w:rsidR="0050285B">
        <w:rPr>
          <w:lang w:val="fr-CA"/>
        </w:rPr>
        <w:t> %</w:t>
      </w:r>
      <w:r w:rsidR="00FC2944" w:rsidRPr="00B3274C">
        <w:rPr>
          <w:lang w:val="fr-CA"/>
        </w:rPr>
        <w:t xml:space="preserve"> avant les transferts sociaux </w:t>
      </w:r>
      <w:r w:rsidR="00203AB9">
        <w:rPr>
          <w:lang w:val="fr-CA"/>
        </w:rPr>
        <w:t>autres que les pensions (annexe </w:t>
      </w:r>
      <w:r w:rsidR="00FC2944" w:rsidRPr="00B3274C">
        <w:rPr>
          <w:lang w:val="fr-CA"/>
        </w:rPr>
        <w:t>2</w:t>
      </w:r>
      <w:r w:rsidR="0080611A">
        <w:rPr>
          <w:lang w:val="fr-CA"/>
        </w:rPr>
        <w:t>,</w:t>
      </w:r>
      <w:r w:rsidR="00FC2944" w:rsidRPr="00B3274C">
        <w:rPr>
          <w:lang w:val="fr-CA"/>
        </w:rPr>
        <w:t xml:space="preserve"> tableau 7 et 8). </w:t>
      </w:r>
    </w:p>
    <w:p w:rsidR="00FB23D3" w:rsidRPr="00B3274C" w:rsidRDefault="00107A47" w:rsidP="00107A47">
      <w:pPr>
        <w:pStyle w:val="SingleTxtG"/>
        <w:rPr>
          <w:lang w:val="fr-CA"/>
        </w:rPr>
      </w:pPr>
      <w:r w:rsidRPr="00B3274C">
        <w:rPr>
          <w:lang w:val="fr-CA"/>
        </w:rPr>
        <w:t>228.</w:t>
      </w:r>
      <w:r w:rsidRPr="00B3274C">
        <w:rPr>
          <w:lang w:val="fr-CA"/>
        </w:rPr>
        <w:tab/>
      </w:r>
      <w:r w:rsidR="00B8087D" w:rsidRPr="00B3274C">
        <w:rPr>
          <w:lang w:val="fr-CA"/>
        </w:rPr>
        <w:t>Les familles monoparentales font partie des catégories de population ayant les taux de pauvreté les plus élevés. En 2010</w:t>
      </w:r>
      <w:r w:rsidR="0080611A">
        <w:rPr>
          <w:lang w:val="fr-CA"/>
        </w:rPr>
        <w:t>,</w:t>
      </w:r>
      <w:r w:rsidR="00B8087D" w:rsidRPr="00B3274C">
        <w:rPr>
          <w:lang w:val="fr-CA"/>
        </w:rPr>
        <w:t xml:space="preserve"> le risque de pauvreté était de 33</w:t>
      </w:r>
      <w:r w:rsidR="0080611A">
        <w:rPr>
          <w:lang w:val="fr-CA"/>
        </w:rPr>
        <w:t>,</w:t>
      </w:r>
      <w:r w:rsidR="00B8087D" w:rsidRPr="00B3274C">
        <w:rPr>
          <w:lang w:val="fr-CA"/>
        </w:rPr>
        <w:t>4</w:t>
      </w:r>
      <w:r w:rsidR="0050285B">
        <w:rPr>
          <w:lang w:val="fr-CA"/>
        </w:rPr>
        <w:t> %</w:t>
      </w:r>
      <w:r w:rsidR="0080611A">
        <w:rPr>
          <w:lang w:val="fr-CA"/>
        </w:rPr>
        <w:t>,</w:t>
      </w:r>
      <w:r w:rsidR="00B8087D" w:rsidRPr="00B3274C">
        <w:rPr>
          <w:lang w:val="fr-CA"/>
        </w:rPr>
        <w:t xml:space="preserve"> contre 32</w:t>
      </w:r>
      <w:r w:rsidR="0080611A">
        <w:rPr>
          <w:lang w:val="fr-CA"/>
        </w:rPr>
        <w:t>,</w:t>
      </w:r>
      <w:r w:rsidR="00B8087D" w:rsidRPr="00B3274C">
        <w:rPr>
          <w:lang w:val="fr-CA"/>
        </w:rPr>
        <w:t>1</w:t>
      </w:r>
      <w:r w:rsidR="0050285B">
        <w:rPr>
          <w:lang w:val="fr-CA"/>
        </w:rPr>
        <w:t> %</w:t>
      </w:r>
      <w:r w:rsidR="00921AC4">
        <w:rPr>
          <w:lang w:val="fr-CA"/>
        </w:rPr>
        <w:t xml:space="preserve"> en </w:t>
      </w:r>
      <w:r w:rsidR="00B8087D" w:rsidRPr="00B3274C">
        <w:rPr>
          <w:lang w:val="fr-CA"/>
        </w:rPr>
        <w:t>2009. En 2010</w:t>
      </w:r>
      <w:r w:rsidR="0080611A">
        <w:rPr>
          <w:lang w:val="fr-CA"/>
        </w:rPr>
        <w:t>,</w:t>
      </w:r>
      <w:r w:rsidR="00B8087D" w:rsidRPr="00B3274C">
        <w:rPr>
          <w:lang w:val="fr-CA"/>
        </w:rPr>
        <w:t xml:space="preserve"> il était de 26</w:t>
      </w:r>
      <w:r w:rsidR="0080611A">
        <w:rPr>
          <w:lang w:val="fr-CA"/>
        </w:rPr>
        <w:t>,</w:t>
      </w:r>
      <w:r w:rsidR="00B8087D" w:rsidRPr="00B3274C">
        <w:rPr>
          <w:lang w:val="fr-CA"/>
        </w:rPr>
        <w:t>7</w:t>
      </w:r>
      <w:r w:rsidR="0050285B">
        <w:rPr>
          <w:lang w:val="fr-CA"/>
        </w:rPr>
        <w:t> %</w:t>
      </w:r>
      <w:r w:rsidR="00B8087D" w:rsidRPr="00B3274C">
        <w:rPr>
          <w:lang w:val="fr-CA"/>
        </w:rPr>
        <w:t xml:space="preserve"> dans les familles nombreuses</w:t>
      </w:r>
      <w:r w:rsidR="0080611A">
        <w:rPr>
          <w:lang w:val="fr-CA"/>
        </w:rPr>
        <w:t>,</w:t>
      </w:r>
      <w:r w:rsidR="00B8087D" w:rsidRPr="00B3274C">
        <w:rPr>
          <w:lang w:val="fr-CA"/>
        </w:rPr>
        <w:t xml:space="preserve"> soit de 2</w:t>
      </w:r>
      <w:r w:rsidR="0050285B">
        <w:rPr>
          <w:lang w:val="fr-CA"/>
        </w:rPr>
        <w:t> %</w:t>
      </w:r>
      <w:r w:rsidR="00B8087D" w:rsidRPr="00B3274C">
        <w:rPr>
          <w:lang w:val="fr-CA"/>
        </w:rPr>
        <w:t xml:space="preserve"> inférieur à ce qu</w:t>
      </w:r>
      <w:r w:rsidR="0080611A">
        <w:rPr>
          <w:lang w:val="fr-CA"/>
        </w:rPr>
        <w:t>’</w:t>
      </w:r>
      <w:r w:rsidR="00B8087D" w:rsidRPr="00B3274C">
        <w:rPr>
          <w:lang w:val="fr-CA"/>
        </w:rPr>
        <w:t>il était en 2009 (28</w:t>
      </w:r>
      <w:r w:rsidR="0080611A">
        <w:rPr>
          <w:lang w:val="fr-CA"/>
        </w:rPr>
        <w:t>,</w:t>
      </w:r>
      <w:r w:rsidR="00B8087D" w:rsidRPr="00B3274C">
        <w:rPr>
          <w:lang w:val="fr-CA"/>
        </w:rPr>
        <w:t>6</w:t>
      </w:r>
      <w:r w:rsidR="0050285B">
        <w:rPr>
          <w:lang w:val="fr-CA"/>
        </w:rPr>
        <w:t> %</w:t>
      </w:r>
      <w:r w:rsidR="00B8087D" w:rsidRPr="00B3274C">
        <w:rPr>
          <w:lang w:val="fr-CA"/>
        </w:rPr>
        <w:t>) (annexe 2</w:t>
      </w:r>
      <w:r w:rsidR="0080611A">
        <w:rPr>
          <w:lang w:val="fr-CA"/>
        </w:rPr>
        <w:t>,</w:t>
      </w:r>
      <w:r w:rsidR="00B8087D" w:rsidRPr="00B3274C">
        <w:rPr>
          <w:lang w:val="fr-CA"/>
        </w:rPr>
        <w:t xml:space="preserve"> tableau 13). Pour d</w:t>
      </w:r>
      <w:r w:rsidR="0080611A">
        <w:rPr>
          <w:lang w:val="fr-CA"/>
        </w:rPr>
        <w:t>’</w:t>
      </w:r>
      <w:r w:rsidR="00B8087D" w:rsidRPr="00B3274C">
        <w:rPr>
          <w:lang w:val="fr-CA"/>
        </w:rPr>
        <w:t>autres données statistiques</w:t>
      </w:r>
      <w:r w:rsidR="0080611A">
        <w:rPr>
          <w:lang w:val="fr-CA"/>
        </w:rPr>
        <w:t>,</w:t>
      </w:r>
      <w:r w:rsidR="00B8087D" w:rsidRPr="00B3274C">
        <w:rPr>
          <w:lang w:val="fr-CA"/>
        </w:rPr>
        <w:t xml:space="preserve"> se reporter à l</w:t>
      </w:r>
      <w:r w:rsidR="0080611A">
        <w:rPr>
          <w:lang w:val="fr-CA"/>
        </w:rPr>
        <w:t>’</w:t>
      </w:r>
      <w:r w:rsidR="00B8087D" w:rsidRPr="00B3274C">
        <w:rPr>
          <w:lang w:val="fr-CA"/>
        </w:rPr>
        <w:t>annexe statistique pour l</w:t>
      </w:r>
      <w:r w:rsidR="0080611A">
        <w:rPr>
          <w:lang w:val="fr-CA"/>
        </w:rPr>
        <w:t>’</w:t>
      </w:r>
      <w:r w:rsidR="00597DC4">
        <w:rPr>
          <w:lang w:val="fr-CA"/>
        </w:rPr>
        <w:t>article </w:t>
      </w:r>
      <w:r w:rsidR="00B8087D" w:rsidRPr="00B3274C">
        <w:rPr>
          <w:lang w:val="fr-CA"/>
        </w:rPr>
        <w:t>11</w:t>
      </w:r>
      <w:r w:rsidR="00FB23D3" w:rsidRPr="00B3274C">
        <w:rPr>
          <w:bCs/>
          <w:lang w:val="fr-CA"/>
        </w:rPr>
        <w:t>.</w:t>
      </w:r>
    </w:p>
    <w:p w:rsidR="00FB23D3" w:rsidRPr="00B3274C" w:rsidRDefault="006E5677" w:rsidP="00C853C9">
      <w:pPr>
        <w:pStyle w:val="H23G"/>
        <w:rPr>
          <w:lang w:val="fr-CA"/>
        </w:rPr>
      </w:pPr>
      <w:r w:rsidRPr="00B3274C">
        <w:rPr>
          <w:lang w:val="fr-CA"/>
        </w:rPr>
        <w:tab/>
      </w:r>
      <w:r w:rsidR="00C853C9" w:rsidRPr="00B3274C">
        <w:rPr>
          <w:lang w:val="fr-CA"/>
        </w:rPr>
        <w:t>e)</w:t>
      </w:r>
      <w:r w:rsidRPr="00B3274C">
        <w:rPr>
          <w:lang w:val="fr-CA"/>
        </w:rPr>
        <w:tab/>
      </w:r>
      <w:r w:rsidR="00201282" w:rsidRPr="00B3274C">
        <w:rPr>
          <w:lang w:val="fr-CA"/>
        </w:rPr>
        <w:t>Mesures de politique générale</w:t>
      </w:r>
    </w:p>
    <w:p w:rsidR="00FB23D3" w:rsidRPr="00B3274C" w:rsidRDefault="00107A47" w:rsidP="00107A47">
      <w:pPr>
        <w:pStyle w:val="SingleTxtG"/>
        <w:rPr>
          <w:spacing w:val="-2"/>
          <w:lang w:val="fr-CA"/>
        </w:rPr>
      </w:pPr>
      <w:r w:rsidRPr="00B3274C">
        <w:rPr>
          <w:spacing w:val="-2"/>
          <w:lang w:val="fr-CA"/>
        </w:rPr>
        <w:t>229.</w:t>
      </w:r>
      <w:r w:rsidRPr="00B3274C">
        <w:rPr>
          <w:spacing w:val="-2"/>
          <w:lang w:val="fr-CA"/>
        </w:rPr>
        <w:tab/>
      </w:r>
      <w:r w:rsidR="00201282" w:rsidRPr="00B3274C">
        <w:rPr>
          <w:spacing w:val="-2"/>
          <w:lang w:val="fr-CA"/>
        </w:rPr>
        <w:t>De nombreuses mesures d</w:t>
      </w:r>
      <w:r w:rsidR="0080611A">
        <w:rPr>
          <w:spacing w:val="-2"/>
          <w:lang w:val="fr-CA"/>
        </w:rPr>
        <w:t>’</w:t>
      </w:r>
      <w:r w:rsidR="00201282" w:rsidRPr="00B3274C">
        <w:rPr>
          <w:spacing w:val="-2"/>
          <w:lang w:val="fr-CA"/>
        </w:rPr>
        <w:t>austérité ont été adoptées (et d</w:t>
      </w:r>
      <w:r w:rsidR="0080611A">
        <w:rPr>
          <w:spacing w:val="-2"/>
          <w:lang w:val="fr-CA"/>
        </w:rPr>
        <w:t>’</w:t>
      </w:r>
      <w:r w:rsidR="00201282" w:rsidRPr="00B3274C">
        <w:rPr>
          <w:spacing w:val="-2"/>
          <w:lang w:val="fr-CA"/>
        </w:rPr>
        <w:t>autres sont prévu</w:t>
      </w:r>
      <w:r w:rsidR="003D6B74" w:rsidRPr="00B3274C">
        <w:rPr>
          <w:spacing w:val="-2"/>
          <w:lang w:val="fr-CA"/>
        </w:rPr>
        <w:t>e</w:t>
      </w:r>
      <w:r w:rsidR="00201282" w:rsidRPr="00B3274C">
        <w:rPr>
          <w:spacing w:val="-2"/>
          <w:lang w:val="fr-CA"/>
        </w:rPr>
        <w:t>s) par le gouvernement dans le cadre du Mémorandum grec des politiques économiques et financières</w:t>
      </w:r>
      <w:r w:rsidR="0080611A">
        <w:rPr>
          <w:spacing w:val="-2"/>
          <w:lang w:val="fr-CA"/>
        </w:rPr>
        <w:t>,</w:t>
      </w:r>
      <w:r w:rsidR="00201282" w:rsidRPr="00B3274C">
        <w:rPr>
          <w:spacing w:val="-2"/>
          <w:lang w:val="fr-CA"/>
        </w:rPr>
        <w:t xml:space="preserve"> </w:t>
      </w:r>
      <w:r w:rsidR="003D6B74" w:rsidRPr="00B3274C">
        <w:rPr>
          <w:spacing w:val="-2"/>
          <w:lang w:val="fr-CA"/>
        </w:rPr>
        <w:t xml:space="preserve">de </w:t>
      </w:r>
      <w:r w:rsidR="00201282" w:rsidRPr="00B3274C">
        <w:rPr>
          <w:spacing w:val="-2"/>
          <w:lang w:val="fr-CA"/>
        </w:rPr>
        <w:t xml:space="preserve">la stratégie fiscale à moyen terme pour </w:t>
      </w:r>
      <w:r w:rsidR="00FB23D3" w:rsidRPr="00B3274C">
        <w:rPr>
          <w:lang w:val="fr-CA"/>
        </w:rPr>
        <w:t>2012-2015</w:t>
      </w:r>
      <w:r w:rsidR="003D6B74" w:rsidRPr="00B3274C">
        <w:rPr>
          <w:lang w:val="fr-CA"/>
        </w:rPr>
        <w:t xml:space="preserve"> et du </w:t>
      </w:r>
      <w:bookmarkStart w:id="30" w:name="OLE_LINK33"/>
      <w:bookmarkStart w:id="31" w:name="OLE_LINK34"/>
      <w:r w:rsidR="003D6B74" w:rsidRPr="00B3274C">
        <w:rPr>
          <w:lang w:val="fr-CA"/>
        </w:rPr>
        <w:t>deuxième programme d</w:t>
      </w:r>
      <w:r w:rsidR="0080611A">
        <w:rPr>
          <w:lang w:val="fr-CA"/>
        </w:rPr>
        <w:t>’</w:t>
      </w:r>
      <w:r w:rsidR="003D6B74" w:rsidRPr="00B3274C">
        <w:rPr>
          <w:lang w:val="fr-CA"/>
        </w:rPr>
        <w:t>ajustement économique</w:t>
      </w:r>
      <w:bookmarkEnd w:id="30"/>
      <w:bookmarkEnd w:id="31"/>
      <w:r w:rsidR="003D6B74" w:rsidRPr="00B3274C">
        <w:rPr>
          <w:lang w:val="fr-CA"/>
        </w:rPr>
        <w:t xml:space="preserve"> </w:t>
      </w:r>
      <w:r w:rsidR="00FB23D3" w:rsidRPr="00B3274C">
        <w:rPr>
          <w:lang w:val="fr-CA"/>
        </w:rPr>
        <w:t xml:space="preserve">(2012). </w:t>
      </w:r>
      <w:r w:rsidR="007267D2" w:rsidRPr="00B3274C">
        <w:rPr>
          <w:lang w:val="fr-CA"/>
        </w:rPr>
        <w:t>Il s</w:t>
      </w:r>
      <w:r w:rsidR="0080611A">
        <w:rPr>
          <w:lang w:val="fr-CA"/>
        </w:rPr>
        <w:t>’</w:t>
      </w:r>
      <w:r w:rsidR="007267D2" w:rsidRPr="00B3274C">
        <w:rPr>
          <w:lang w:val="fr-CA"/>
        </w:rPr>
        <w:t>agit</w:t>
      </w:r>
      <w:r w:rsidR="0080611A">
        <w:rPr>
          <w:lang w:val="fr-CA"/>
        </w:rPr>
        <w:t>,</w:t>
      </w:r>
      <w:r w:rsidR="007267D2" w:rsidRPr="00B3274C">
        <w:rPr>
          <w:lang w:val="fr-CA"/>
        </w:rPr>
        <w:t xml:space="preserve"> entre autres de réformes fiscales</w:t>
      </w:r>
      <w:r w:rsidR="0080611A">
        <w:rPr>
          <w:lang w:val="fr-CA"/>
        </w:rPr>
        <w:t>,</w:t>
      </w:r>
      <w:r w:rsidR="007267D2" w:rsidRPr="00B3274C">
        <w:rPr>
          <w:lang w:val="fr-CA"/>
        </w:rPr>
        <w:t xml:space="preserve"> de réductions de la masse salariale</w:t>
      </w:r>
      <w:r w:rsidR="0080611A">
        <w:rPr>
          <w:lang w:val="fr-CA"/>
        </w:rPr>
        <w:t>,</w:t>
      </w:r>
      <w:r w:rsidR="007267D2" w:rsidRPr="00B3274C">
        <w:rPr>
          <w:lang w:val="fr-CA"/>
        </w:rPr>
        <w:t xml:space="preserve"> de réductions des pensions</w:t>
      </w:r>
      <w:r w:rsidR="0080611A">
        <w:rPr>
          <w:lang w:val="fr-CA"/>
        </w:rPr>
        <w:t>,</w:t>
      </w:r>
      <w:r w:rsidR="007267D2" w:rsidRPr="00B3274C">
        <w:rPr>
          <w:lang w:val="fr-CA"/>
        </w:rPr>
        <w:t xml:space="preserve"> de la réduction des allocations publiques</w:t>
      </w:r>
      <w:r w:rsidR="0080611A">
        <w:rPr>
          <w:lang w:val="fr-CA"/>
        </w:rPr>
        <w:t>,</w:t>
      </w:r>
      <w:r w:rsidR="007267D2" w:rsidRPr="00B3274C">
        <w:rPr>
          <w:lang w:val="fr-CA"/>
        </w:rPr>
        <w:t xml:space="preserve"> de la suppression des treizième et quatorzième mois pour l</w:t>
      </w:r>
      <w:r w:rsidR="0080611A">
        <w:rPr>
          <w:lang w:val="fr-CA"/>
        </w:rPr>
        <w:t>’</w:t>
      </w:r>
      <w:r w:rsidR="007267D2" w:rsidRPr="00B3274C">
        <w:rPr>
          <w:lang w:val="fr-CA"/>
        </w:rPr>
        <w:t>ensemble des fonctionnaires</w:t>
      </w:r>
      <w:r w:rsidR="0080611A">
        <w:rPr>
          <w:lang w:val="fr-CA"/>
        </w:rPr>
        <w:t>,</w:t>
      </w:r>
      <w:r w:rsidR="007267D2" w:rsidRPr="00B3274C">
        <w:rPr>
          <w:lang w:val="fr-CA"/>
        </w:rPr>
        <w:t xml:space="preserve"> de la hausse de la TVA (</w:t>
      </w:r>
      <w:r w:rsidR="00027320" w:rsidRPr="00B3274C">
        <w:rPr>
          <w:lang w:val="fr-CA"/>
        </w:rPr>
        <w:t>il a également été annoncé qu</w:t>
      </w:r>
      <w:r w:rsidR="0080611A">
        <w:rPr>
          <w:lang w:val="fr-CA"/>
        </w:rPr>
        <w:t>’</w:t>
      </w:r>
      <w:r w:rsidR="00027320" w:rsidRPr="00B3274C">
        <w:rPr>
          <w:lang w:val="fr-CA"/>
        </w:rPr>
        <w:t xml:space="preserve">il y aurait </w:t>
      </w:r>
      <w:r w:rsidR="007267D2" w:rsidRPr="00B3274C">
        <w:rPr>
          <w:lang w:val="fr-CA"/>
        </w:rPr>
        <w:t>une hausse de la TVA sur le fioul domestique</w:t>
      </w:r>
      <w:r w:rsidR="0080611A">
        <w:rPr>
          <w:lang w:val="fr-CA"/>
        </w:rPr>
        <w:t>,</w:t>
      </w:r>
      <w:r w:rsidR="007267D2" w:rsidRPr="00B3274C">
        <w:rPr>
          <w:lang w:val="fr-CA"/>
        </w:rPr>
        <w:t xml:space="preserve"> dont on s</w:t>
      </w:r>
      <w:r w:rsidR="0080611A">
        <w:rPr>
          <w:lang w:val="fr-CA"/>
        </w:rPr>
        <w:t>’</w:t>
      </w:r>
      <w:r w:rsidR="007267D2" w:rsidRPr="00B3274C">
        <w:rPr>
          <w:lang w:val="fr-CA"/>
        </w:rPr>
        <w:t>attend qu</w:t>
      </w:r>
      <w:r w:rsidR="0080611A">
        <w:rPr>
          <w:lang w:val="fr-CA"/>
        </w:rPr>
        <w:t>’</w:t>
      </w:r>
      <w:r w:rsidR="007267D2" w:rsidRPr="00B3274C">
        <w:rPr>
          <w:lang w:val="fr-CA"/>
        </w:rPr>
        <w:t>elle aura des conséquences négatives sur le niveau de pauvreté)</w:t>
      </w:r>
      <w:r w:rsidR="0080611A">
        <w:rPr>
          <w:lang w:val="fr-CA"/>
        </w:rPr>
        <w:t>,</w:t>
      </w:r>
      <w:r w:rsidR="007267D2" w:rsidRPr="00B3274C">
        <w:rPr>
          <w:lang w:val="fr-CA"/>
        </w:rPr>
        <w:t xml:space="preserve"> une cotisation spéciale de solidarité (sur les salaires et pensions)</w:t>
      </w:r>
      <w:r w:rsidR="0080611A">
        <w:rPr>
          <w:lang w:val="fr-CA"/>
        </w:rPr>
        <w:t>,</w:t>
      </w:r>
      <w:r w:rsidR="007267D2" w:rsidRPr="00B3274C">
        <w:rPr>
          <w:lang w:val="fr-CA"/>
        </w:rPr>
        <w:t xml:space="preserve"> une taxe spéciale sur les biens</w:t>
      </w:r>
      <w:r w:rsidR="0080611A">
        <w:rPr>
          <w:lang w:val="fr-CA"/>
        </w:rPr>
        <w:t>,</w:t>
      </w:r>
      <w:r w:rsidR="007267D2" w:rsidRPr="00B3274C">
        <w:rPr>
          <w:lang w:val="fr-CA"/>
        </w:rPr>
        <w:t xml:space="preserve"> la réduction des prestations sociales (par exemple</w:t>
      </w:r>
      <w:r w:rsidR="0080611A">
        <w:rPr>
          <w:lang w:val="fr-CA"/>
        </w:rPr>
        <w:t>,</w:t>
      </w:r>
      <w:r w:rsidR="007267D2" w:rsidRPr="00B3274C">
        <w:rPr>
          <w:lang w:val="fr-CA"/>
        </w:rPr>
        <w:t xml:space="preserve"> l</w:t>
      </w:r>
      <w:r w:rsidR="0080611A">
        <w:rPr>
          <w:lang w:val="fr-CA"/>
        </w:rPr>
        <w:t>’</w:t>
      </w:r>
      <w:r w:rsidR="007267D2" w:rsidRPr="00B3274C">
        <w:rPr>
          <w:lang w:val="fr-CA"/>
        </w:rPr>
        <w:t>allocation pour famille nombreuse e</w:t>
      </w:r>
      <w:r w:rsidR="00D07C58" w:rsidRPr="00B3274C">
        <w:rPr>
          <w:lang w:val="fr-CA"/>
        </w:rPr>
        <w:t>s</w:t>
      </w:r>
      <w:r w:rsidR="007267D2" w:rsidRPr="00B3274C">
        <w:rPr>
          <w:lang w:val="fr-CA"/>
        </w:rPr>
        <w:t xml:space="preserve">t maintenant </w:t>
      </w:r>
      <w:r w:rsidR="00D07C58" w:rsidRPr="00B3274C">
        <w:rPr>
          <w:lang w:val="fr-CA"/>
        </w:rPr>
        <w:t xml:space="preserve">subordonnée au niveau de ressources et les </w:t>
      </w:r>
      <w:r w:rsidR="007D438E" w:rsidRPr="00B3274C">
        <w:rPr>
          <w:lang w:val="fr-CA"/>
        </w:rPr>
        <w:t>allocations</w:t>
      </w:r>
      <w:r w:rsidR="00D07C58" w:rsidRPr="00B3274C">
        <w:rPr>
          <w:lang w:val="fr-CA"/>
        </w:rPr>
        <w:t xml:space="preserve"> familiales des employés du secteur public sont limitées depuis novembre 2011)</w:t>
      </w:r>
      <w:r w:rsidR="0080611A">
        <w:rPr>
          <w:lang w:val="fr-CA"/>
        </w:rPr>
        <w:t>,</w:t>
      </w:r>
      <w:r w:rsidR="00D67171" w:rsidRPr="00B3274C">
        <w:rPr>
          <w:lang w:val="fr-CA"/>
        </w:rPr>
        <w:t xml:space="preserve"> la réduction du salaire minimum et des indemnités de chômage. Toutes ces mesures</w:t>
      </w:r>
      <w:r w:rsidR="0080611A">
        <w:rPr>
          <w:lang w:val="fr-CA"/>
        </w:rPr>
        <w:t>,</w:t>
      </w:r>
      <w:r w:rsidR="00D67171" w:rsidRPr="00B3274C">
        <w:rPr>
          <w:lang w:val="fr-CA"/>
        </w:rPr>
        <w:t xml:space="preserve"> associées à la hausse du taux de chômage en Grèce</w:t>
      </w:r>
      <w:r w:rsidR="0080611A">
        <w:rPr>
          <w:lang w:val="fr-CA"/>
        </w:rPr>
        <w:t>,</w:t>
      </w:r>
      <w:r w:rsidR="00D67171" w:rsidRPr="00B3274C">
        <w:rPr>
          <w:lang w:val="fr-CA"/>
        </w:rPr>
        <w:t xml:space="preserve"> ont des conséquences négatives sur le revenu des citoyens et peuvent accroître la pauvreté. </w:t>
      </w:r>
    </w:p>
    <w:p w:rsidR="00FB23D3" w:rsidRPr="00B3274C" w:rsidRDefault="00107A47" w:rsidP="00107A47">
      <w:pPr>
        <w:pStyle w:val="SingleTxtG"/>
        <w:rPr>
          <w:bCs/>
          <w:lang w:val="fr-CA"/>
        </w:rPr>
      </w:pPr>
      <w:r w:rsidRPr="00B3274C">
        <w:rPr>
          <w:bCs/>
          <w:lang w:val="fr-CA"/>
        </w:rPr>
        <w:t>230.</w:t>
      </w:r>
      <w:r w:rsidRPr="00B3274C">
        <w:rPr>
          <w:bCs/>
          <w:lang w:val="fr-CA"/>
        </w:rPr>
        <w:tab/>
      </w:r>
      <w:r w:rsidR="00BD2F5D" w:rsidRPr="00B3274C">
        <w:rPr>
          <w:bCs/>
          <w:lang w:val="fr-CA"/>
        </w:rPr>
        <w:t xml:space="preserve">La politique nationale </w:t>
      </w:r>
      <w:r w:rsidR="00D403C8" w:rsidRPr="00B3274C">
        <w:rPr>
          <w:bCs/>
          <w:lang w:val="fr-CA"/>
        </w:rPr>
        <w:t>vise un double objectif</w:t>
      </w:r>
      <w:r w:rsidR="00EC5892" w:rsidRPr="00B3274C">
        <w:rPr>
          <w:bCs/>
          <w:lang w:val="fr-CA"/>
        </w:rPr>
        <w:t>:</w:t>
      </w:r>
      <w:r w:rsidR="00D403C8" w:rsidRPr="00B3274C">
        <w:rPr>
          <w:bCs/>
          <w:lang w:val="fr-CA"/>
        </w:rPr>
        <w:t xml:space="preserve"> </w:t>
      </w:r>
      <w:r w:rsidR="00BD2F5D" w:rsidRPr="00B3274C">
        <w:rPr>
          <w:bCs/>
          <w:lang w:val="fr-CA"/>
        </w:rPr>
        <w:t>limiter les incidences sociales de la crise économique par des mesures ciblées à court terme et réformer le système national de politique sociale pour qu</w:t>
      </w:r>
      <w:r w:rsidR="0080611A">
        <w:rPr>
          <w:bCs/>
          <w:lang w:val="fr-CA"/>
        </w:rPr>
        <w:t>’</w:t>
      </w:r>
      <w:r w:rsidR="00BD2F5D" w:rsidRPr="00B3274C">
        <w:rPr>
          <w:bCs/>
          <w:lang w:val="fr-CA"/>
        </w:rPr>
        <w:t>il soit adéquat</w:t>
      </w:r>
      <w:r w:rsidR="0080611A">
        <w:rPr>
          <w:bCs/>
          <w:lang w:val="fr-CA"/>
        </w:rPr>
        <w:t>,</w:t>
      </w:r>
      <w:r w:rsidR="00BD2F5D" w:rsidRPr="00B3274C">
        <w:rPr>
          <w:bCs/>
          <w:lang w:val="fr-CA"/>
        </w:rPr>
        <w:t xml:space="preserve"> efficace et viable à long terme. </w:t>
      </w:r>
      <w:r w:rsidR="00E25965" w:rsidRPr="00B3274C">
        <w:rPr>
          <w:bCs/>
          <w:lang w:val="fr-CA"/>
        </w:rPr>
        <w:t>Gravement touchée par la crise économique et l</w:t>
      </w:r>
      <w:r w:rsidR="0080611A">
        <w:rPr>
          <w:bCs/>
          <w:lang w:val="fr-CA"/>
        </w:rPr>
        <w:t>’</w:t>
      </w:r>
      <w:r w:rsidR="00E25965" w:rsidRPr="00B3274C">
        <w:rPr>
          <w:bCs/>
          <w:lang w:val="fr-CA"/>
        </w:rPr>
        <w:t>application de</w:t>
      </w:r>
      <w:r w:rsidR="003D40D2" w:rsidRPr="00B3274C">
        <w:rPr>
          <w:bCs/>
          <w:lang w:val="fr-CA"/>
        </w:rPr>
        <w:t>s</w:t>
      </w:r>
      <w:r w:rsidR="00E25965" w:rsidRPr="00B3274C">
        <w:rPr>
          <w:bCs/>
          <w:lang w:val="fr-CA"/>
        </w:rPr>
        <w:t xml:space="preserve"> mesures d</w:t>
      </w:r>
      <w:r w:rsidR="0080611A">
        <w:rPr>
          <w:bCs/>
          <w:lang w:val="fr-CA"/>
        </w:rPr>
        <w:t>’</w:t>
      </w:r>
      <w:r w:rsidR="00E25965" w:rsidRPr="00B3274C">
        <w:rPr>
          <w:bCs/>
          <w:lang w:val="fr-CA"/>
        </w:rPr>
        <w:t>ajustement budgétaire</w:t>
      </w:r>
      <w:r w:rsidR="0080611A">
        <w:rPr>
          <w:bCs/>
          <w:lang w:val="fr-CA"/>
        </w:rPr>
        <w:t>,</w:t>
      </w:r>
      <w:r w:rsidR="00E25965" w:rsidRPr="00B3274C">
        <w:rPr>
          <w:bCs/>
          <w:lang w:val="fr-CA"/>
        </w:rPr>
        <w:t xml:space="preserve"> la Grèce est confrontée à un défi majeur</w:t>
      </w:r>
      <w:r w:rsidR="00EC5892" w:rsidRPr="00B3274C">
        <w:rPr>
          <w:bCs/>
          <w:lang w:val="fr-CA"/>
        </w:rPr>
        <w:t>:</w:t>
      </w:r>
      <w:r w:rsidR="00E25965" w:rsidRPr="00B3274C">
        <w:rPr>
          <w:bCs/>
          <w:lang w:val="fr-CA"/>
        </w:rPr>
        <w:t xml:space="preserve"> construire un filet de protection sociale contre la pauvreté et l</w:t>
      </w:r>
      <w:r w:rsidR="0080611A">
        <w:rPr>
          <w:bCs/>
          <w:lang w:val="fr-CA"/>
        </w:rPr>
        <w:t>’</w:t>
      </w:r>
      <w:r w:rsidR="00E25965" w:rsidRPr="00B3274C">
        <w:rPr>
          <w:bCs/>
          <w:lang w:val="fr-CA"/>
        </w:rPr>
        <w:t>exclusion sociale</w:t>
      </w:r>
      <w:r w:rsidR="0080611A">
        <w:rPr>
          <w:bCs/>
          <w:lang w:val="fr-CA"/>
        </w:rPr>
        <w:t>,</w:t>
      </w:r>
      <w:r w:rsidR="00E25965" w:rsidRPr="00B3274C">
        <w:rPr>
          <w:bCs/>
          <w:lang w:val="fr-CA"/>
        </w:rPr>
        <w:t xml:space="preserve"> en particulier pour les quelques prochaines années</w:t>
      </w:r>
      <w:r w:rsidR="0080611A">
        <w:rPr>
          <w:bCs/>
          <w:lang w:val="fr-CA"/>
        </w:rPr>
        <w:t>,</w:t>
      </w:r>
      <w:r w:rsidR="00E25965" w:rsidRPr="00B3274C">
        <w:rPr>
          <w:bCs/>
          <w:lang w:val="fr-CA"/>
        </w:rPr>
        <w:t xml:space="preserve"> avec un certain nombre de mesures ciblées pour les chômeurs</w:t>
      </w:r>
      <w:r w:rsidR="0080611A">
        <w:rPr>
          <w:bCs/>
          <w:lang w:val="fr-CA"/>
        </w:rPr>
        <w:t>,</w:t>
      </w:r>
      <w:r w:rsidR="00E25965" w:rsidRPr="00B3274C">
        <w:rPr>
          <w:bCs/>
          <w:lang w:val="fr-CA"/>
        </w:rPr>
        <w:t xml:space="preserve"> </w:t>
      </w:r>
      <w:r w:rsidR="00614BAC">
        <w:rPr>
          <w:bCs/>
          <w:lang w:val="fr-CA"/>
        </w:rPr>
        <w:t>les personnes</w:t>
      </w:r>
      <w:r w:rsidR="00E25965" w:rsidRPr="00B3274C">
        <w:rPr>
          <w:bCs/>
          <w:lang w:val="fr-CA"/>
        </w:rPr>
        <w:t xml:space="preserve"> les plus vulnérables et celles qui sont exposées au risque de pauvreté (afin de limiter les répercussions de la crise). Ce «filet de protection sociale</w:t>
      </w:r>
      <w:r w:rsidR="0055418C" w:rsidRPr="00B3274C">
        <w:rPr>
          <w:bCs/>
          <w:lang w:val="fr-CA"/>
        </w:rPr>
        <w:t>»</w:t>
      </w:r>
      <w:r w:rsidR="00E25965" w:rsidRPr="00B3274C">
        <w:rPr>
          <w:bCs/>
          <w:lang w:val="fr-CA"/>
        </w:rPr>
        <w:t xml:space="preserve"> contre l</w:t>
      </w:r>
      <w:r w:rsidR="0080611A">
        <w:rPr>
          <w:bCs/>
          <w:lang w:val="fr-CA"/>
        </w:rPr>
        <w:t>’</w:t>
      </w:r>
      <w:r w:rsidR="00E25965" w:rsidRPr="00B3274C">
        <w:rPr>
          <w:bCs/>
          <w:lang w:val="fr-CA"/>
        </w:rPr>
        <w:t>exclusion sociale comprend l</w:t>
      </w:r>
      <w:r w:rsidR="0080611A">
        <w:rPr>
          <w:bCs/>
          <w:lang w:val="fr-CA"/>
        </w:rPr>
        <w:t>’</w:t>
      </w:r>
      <w:r w:rsidR="00E25965" w:rsidRPr="00B3274C">
        <w:rPr>
          <w:bCs/>
          <w:lang w:val="fr-CA"/>
        </w:rPr>
        <w:t>accès à des services de base</w:t>
      </w:r>
      <w:r w:rsidR="0080611A">
        <w:rPr>
          <w:bCs/>
          <w:lang w:val="fr-CA"/>
        </w:rPr>
        <w:t>,</w:t>
      </w:r>
      <w:r w:rsidR="00E25965" w:rsidRPr="00B3274C">
        <w:rPr>
          <w:bCs/>
          <w:lang w:val="fr-CA"/>
        </w:rPr>
        <w:t xml:space="preserve"> tels que les soins médicaux</w:t>
      </w:r>
      <w:r w:rsidR="0080611A">
        <w:rPr>
          <w:bCs/>
          <w:lang w:val="fr-CA"/>
        </w:rPr>
        <w:t>,</w:t>
      </w:r>
      <w:r w:rsidR="00E25965" w:rsidRPr="00B3274C">
        <w:rPr>
          <w:bCs/>
          <w:lang w:val="fr-CA"/>
        </w:rPr>
        <w:t xml:space="preserve"> le logement et l</w:t>
      </w:r>
      <w:r w:rsidR="0080611A">
        <w:rPr>
          <w:bCs/>
          <w:lang w:val="fr-CA"/>
        </w:rPr>
        <w:t>’</w:t>
      </w:r>
      <w:r w:rsidR="00E25965" w:rsidRPr="00B3274C">
        <w:rPr>
          <w:bCs/>
          <w:lang w:val="fr-CA"/>
        </w:rPr>
        <w:t>éducation</w:t>
      </w:r>
      <w:r w:rsidR="0080611A">
        <w:rPr>
          <w:bCs/>
          <w:lang w:val="fr-CA"/>
        </w:rPr>
        <w:t>,</w:t>
      </w:r>
      <w:r w:rsidR="00E25965" w:rsidRPr="00B3274C">
        <w:rPr>
          <w:bCs/>
          <w:lang w:val="fr-CA"/>
        </w:rPr>
        <w:t xml:space="preserve"> à titre prioritaire</w:t>
      </w:r>
      <w:r w:rsidR="0080611A">
        <w:rPr>
          <w:bCs/>
          <w:lang w:val="fr-CA"/>
        </w:rPr>
        <w:t>,</w:t>
      </w:r>
      <w:r w:rsidR="00E25965" w:rsidRPr="00B3274C">
        <w:rPr>
          <w:bCs/>
          <w:lang w:val="fr-CA"/>
        </w:rPr>
        <w:t xml:space="preserve"> pendant la crise. L</w:t>
      </w:r>
      <w:r w:rsidR="0080611A">
        <w:rPr>
          <w:bCs/>
          <w:lang w:val="fr-CA"/>
        </w:rPr>
        <w:t>’</w:t>
      </w:r>
      <w:r w:rsidR="00E25965" w:rsidRPr="00B3274C">
        <w:rPr>
          <w:bCs/>
          <w:lang w:val="fr-CA"/>
        </w:rPr>
        <w:t>outil le plus efficace pour combattre la pauvreté étant l</w:t>
      </w:r>
      <w:r w:rsidR="0080611A">
        <w:rPr>
          <w:bCs/>
          <w:lang w:val="fr-CA"/>
        </w:rPr>
        <w:t>’</w:t>
      </w:r>
      <w:r w:rsidR="00E25965" w:rsidRPr="00B3274C">
        <w:rPr>
          <w:bCs/>
          <w:lang w:val="fr-CA"/>
        </w:rPr>
        <w:t>emploi</w:t>
      </w:r>
      <w:r w:rsidR="0080611A">
        <w:rPr>
          <w:bCs/>
          <w:lang w:val="fr-CA"/>
        </w:rPr>
        <w:t>,</w:t>
      </w:r>
      <w:r w:rsidR="00E25965" w:rsidRPr="00B3274C">
        <w:rPr>
          <w:bCs/>
          <w:lang w:val="fr-CA"/>
        </w:rPr>
        <w:t xml:space="preserve"> l</w:t>
      </w:r>
      <w:r w:rsidR="0080611A">
        <w:rPr>
          <w:bCs/>
          <w:lang w:val="fr-CA"/>
        </w:rPr>
        <w:t>’</w:t>
      </w:r>
      <w:r w:rsidR="00E25965" w:rsidRPr="00B3274C">
        <w:rPr>
          <w:bCs/>
          <w:lang w:val="fr-CA"/>
        </w:rPr>
        <w:t xml:space="preserve">une des priorités de la stratégie grecque est </w:t>
      </w:r>
      <w:r w:rsidR="005B7BF6" w:rsidRPr="00B3274C">
        <w:rPr>
          <w:bCs/>
          <w:lang w:val="fr-CA"/>
        </w:rPr>
        <w:t>de prévoir l</w:t>
      </w:r>
      <w:r w:rsidR="0080611A">
        <w:rPr>
          <w:bCs/>
          <w:lang w:val="fr-CA"/>
        </w:rPr>
        <w:t>’</w:t>
      </w:r>
      <w:r w:rsidR="005B7BF6" w:rsidRPr="00B3274C">
        <w:rPr>
          <w:bCs/>
          <w:lang w:val="fr-CA"/>
        </w:rPr>
        <w:t xml:space="preserve">accès à des marchés du travail où chacun à sa place. </w:t>
      </w:r>
    </w:p>
    <w:p w:rsidR="00FB23D3" w:rsidRPr="00B3274C" w:rsidRDefault="00107A47" w:rsidP="00FB6FFD">
      <w:pPr>
        <w:pStyle w:val="SingleTxtG"/>
        <w:keepNext/>
        <w:rPr>
          <w:lang w:val="fr-CA"/>
        </w:rPr>
      </w:pPr>
      <w:r w:rsidRPr="00B3274C">
        <w:rPr>
          <w:lang w:val="fr-CA"/>
        </w:rPr>
        <w:t>231.</w:t>
      </w:r>
      <w:r w:rsidRPr="00B3274C">
        <w:rPr>
          <w:lang w:val="fr-CA"/>
        </w:rPr>
        <w:tab/>
      </w:r>
      <w:r w:rsidR="005B7BF6" w:rsidRPr="00B3274C">
        <w:rPr>
          <w:lang w:val="fr-CA"/>
        </w:rPr>
        <w:t>Le Ministère du travail et de la sécurité sociale vise</w:t>
      </w:r>
      <w:r w:rsidR="0080611A">
        <w:rPr>
          <w:lang w:val="fr-CA"/>
        </w:rPr>
        <w:t>,</w:t>
      </w:r>
      <w:r w:rsidR="005B7BF6" w:rsidRPr="00B3274C">
        <w:rPr>
          <w:lang w:val="fr-CA"/>
        </w:rPr>
        <w:t xml:space="preserve"> pour répondre aux défis de la crise économique</w:t>
      </w:r>
      <w:r w:rsidR="0080611A">
        <w:rPr>
          <w:lang w:val="fr-CA"/>
        </w:rPr>
        <w:t>,</w:t>
      </w:r>
      <w:r w:rsidR="005B7BF6" w:rsidRPr="00B3274C">
        <w:rPr>
          <w:lang w:val="fr-CA"/>
        </w:rPr>
        <w:t xml:space="preserve"> à</w:t>
      </w:r>
      <w:r w:rsidR="00EC5892" w:rsidRPr="00B3274C">
        <w:rPr>
          <w:lang w:val="fr-CA"/>
        </w:rPr>
        <w:t>:</w:t>
      </w:r>
      <w:r w:rsidR="005B7BF6" w:rsidRPr="00B3274C">
        <w:rPr>
          <w:lang w:val="fr-CA"/>
        </w:rPr>
        <w:t xml:space="preserv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5B7BF6" w:rsidRPr="00B3274C">
        <w:rPr>
          <w:lang w:val="fr-CA"/>
        </w:rPr>
        <w:t>Créer des conditions plus favorables à l</w:t>
      </w:r>
      <w:r w:rsidR="0080611A">
        <w:rPr>
          <w:lang w:val="fr-CA"/>
        </w:rPr>
        <w:t>’</w:t>
      </w:r>
      <w:r w:rsidR="005B7BF6" w:rsidRPr="00B3274C">
        <w:rPr>
          <w:lang w:val="fr-CA"/>
        </w:rPr>
        <w:t>emploi (par des mesures législatives et l</w:t>
      </w:r>
      <w:r w:rsidR="0080611A">
        <w:rPr>
          <w:lang w:val="fr-CA"/>
        </w:rPr>
        <w:t>’</w:t>
      </w:r>
      <w:r w:rsidR="005B7BF6" w:rsidRPr="00B3274C">
        <w:rPr>
          <w:lang w:val="fr-CA"/>
        </w:rPr>
        <w:t>application de réformes structurelles (concernant des formes d</w:t>
      </w:r>
      <w:r w:rsidR="0080611A">
        <w:rPr>
          <w:lang w:val="fr-CA"/>
        </w:rPr>
        <w:t>’</w:t>
      </w:r>
      <w:r w:rsidR="005B7BF6" w:rsidRPr="00B3274C">
        <w:rPr>
          <w:lang w:val="fr-CA"/>
        </w:rPr>
        <w:t>emploi flexibles</w:t>
      </w:r>
      <w:r w:rsidR="0080611A">
        <w:rPr>
          <w:lang w:val="fr-CA"/>
        </w:rPr>
        <w:t>,</w:t>
      </w:r>
      <w:r w:rsidR="005B7BF6" w:rsidRPr="00B3274C">
        <w:rPr>
          <w:lang w:val="fr-CA"/>
        </w:rPr>
        <w:t xml:space="preserve"> la réduction du coût du travail</w:t>
      </w:r>
      <w:r w:rsidR="0080611A">
        <w:rPr>
          <w:lang w:val="fr-CA"/>
        </w:rPr>
        <w:t>,</w:t>
      </w:r>
      <w:r w:rsidR="005B7BF6" w:rsidRPr="00B3274C">
        <w:rPr>
          <w:lang w:val="fr-CA"/>
        </w:rPr>
        <w:t xml:space="preserve"> la souplesse dans les négociations collectives</w:t>
      </w:r>
      <w:r w:rsidR="0080611A">
        <w:rPr>
          <w:lang w:val="fr-CA"/>
        </w:rPr>
        <w:t>,</w:t>
      </w:r>
      <w:r w:rsidR="005B7BF6" w:rsidRPr="00B3274C">
        <w:rPr>
          <w:lang w:val="fr-CA"/>
        </w:rPr>
        <w:t xml:space="preserve"> la lutte contre le travail non déclaré)</w:t>
      </w:r>
      <w:r w:rsidR="00EC5892" w:rsidRPr="00B3274C">
        <w:rPr>
          <w:lang w:val="fr-CA"/>
        </w:rPr>
        <w:t>;</w:t>
      </w:r>
      <w:r w:rsidR="005B7BF6" w:rsidRPr="00B3274C">
        <w:rPr>
          <w:lang w:val="fr-CA"/>
        </w:rPr>
        <w:t xml:space="preserv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5B7BF6" w:rsidRPr="00B3274C">
        <w:rPr>
          <w:lang w:val="fr-CA"/>
        </w:rPr>
        <w:t>Lutter contre le chômage et promouvoir l</w:t>
      </w:r>
      <w:r w:rsidR="0080611A">
        <w:rPr>
          <w:lang w:val="fr-CA"/>
        </w:rPr>
        <w:t>’</w:t>
      </w:r>
      <w:r w:rsidR="005B7BF6" w:rsidRPr="00B3274C">
        <w:rPr>
          <w:lang w:val="fr-CA"/>
        </w:rPr>
        <w:t>emploi par le biais de politiques de l</w:t>
      </w:r>
      <w:r w:rsidR="0080611A">
        <w:rPr>
          <w:lang w:val="fr-CA"/>
        </w:rPr>
        <w:t>’</w:t>
      </w:r>
      <w:r w:rsidR="005B7BF6" w:rsidRPr="00B3274C">
        <w:rPr>
          <w:lang w:val="fr-CA"/>
        </w:rPr>
        <w:t>emploi</w:t>
      </w:r>
      <w:r w:rsidR="00AB394E" w:rsidRPr="00B3274C">
        <w:rPr>
          <w:lang w:val="fr-CA"/>
        </w:rPr>
        <w:t>;</w:t>
      </w:r>
    </w:p>
    <w:p w:rsidR="00FB23D3" w:rsidRPr="00B3274C" w:rsidRDefault="00107A47" w:rsidP="00107A47">
      <w:pPr>
        <w:pStyle w:val="Bullet1G"/>
        <w:numPr>
          <w:ilvl w:val="0"/>
          <w:numId w:val="0"/>
        </w:numPr>
        <w:tabs>
          <w:tab w:val="left" w:pos="1701"/>
        </w:tabs>
        <w:ind w:left="1701" w:hanging="170"/>
        <w:rPr>
          <w:i/>
          <w:lang w:val="fr-CA"/>
        </w:rPr>
      </w:pPr>
      <w:r w:rsidRPr="00B3274C">
        <w:rPr>
          <w:lang w:val="fr-CA"/>
        </w:rPr>
        <w:t>•</w:t>
      </w:r>
      <w:r w:rsidRPr="00B3274C">
        <w:rPr>
          <w:lang w:val="fr-CA"/>
        </w:rPr>
        <w:tab/>
      </w:r>
      <w:r w:rsidR="005B7BF6" w:rsidRPr="00B3274C">
        <w:rPr>
          <w:lang w:val="fr-CA"/>
        </w:rPr>
        <w:t xml:space="preserve">Limiter les conséquences sociales de la crise (en renforçant la dimension sociale du Programme opérationnel </w:t>
      </w:r>
      <w:r w:rsidR="0055418C" w:rsidRPr="00B3274C">
        <w:rPr>
          <w:lang w:val="fr-CA"/>
        </w:rPr>
        <w:t>«</w:t>
      </w:r>
      <w:r w:rsidR="005B7BF6" w:rsidRPr="00B3274C">
        <w:rPr>
          <w:lang w:val="fr-CA"/>
        </w:rPr>
        <w:t xml:space="preserve">Développement des ressources humaines au cours de la période </w:t>
      </w:r>
      <w:r w:rsidR="00FB23D3" w:rsidRPr="00B3274C">
        <w:rPr>
          <w:lang w:val="fr-CA"/>
        </w:rPr>
        <w:t>2007-2013</w:t>
      </w:r>
      <w:r w:rsidR="0055418C" w:rsidRPr="00B3274C">
        <w:rPr>
          <w:lang w:val="fr-CA"/>
        </w:rPr>
        <w:t>»</w:t>
      </w:r>
      <w:r w:rsidR="0080611A">
        <w:rPr>
          <w:lang w:val="fr-CA"/>
        </w:rPr>
        <w:t>,</w:t>
      </w:r>
      <w:r w:rsidR="006B69EE" w:rsidRPr="00B3274C">
        <w:rPr>
          <w:lang w:val="fr-CA"/>
        </w:rPr>
        <w:t xml:space="preserve"> </w:t>
      </w:r>
      <w:r w:rsidR="005B7BF6" w:rsidRPr="00B3274C">
        <w:rPr>
          <w:lang w:val="fr-CA"/>
        </w:rPr>
        <w:t>en mettant l</w:t>
      </w:r>
      <w:r w:rsidR="0080611A">
        <w:rPr>
          <w:lang w:val="fr-CA"/>
        </w:rPr>
        <w:t>’</w:t>
      </w:r>
      <w:r w:rsidR="005B7BF6" w:rsidRPr="00B3274C">
        <w:rPr>
          <w:lang w:val="fr-CA"/>
        </w:rPr>
        <w:t>accent sur la croissance de l</w:t>
      </w:r>
      <w:r w:rsidR="0080611A">
        <w:rPr>
          <w:lang w:val="fr-CA"/>
        </w:rPr>
        <w:t>’</w:t>
      </w:r>
      <w:r w:rsidR="005B7BF6" w:rsidRPr="00B3274C">
        <w:rPr>
          <w:lang w:val="fr-CA"/>
        </w:rPr>
        <w:t>économie sociale</w:t>
      </w:r>
      <w:r w:rsidR="0080611A">
        <w:rPr>
          <w:lang w:val="fr-CA"/>
        </w:rPr>
        <w:t>,</w:t>
      </w:r>
      <w:r w:rsidR="005B7BF6" w:rsidRPr="00B3274C">
        <w:rPr>
          <w:lang w:val="fr-CA"/>
        </w:rPr>
        <w:t xml:space="preserve"> l</w:t>
      </w:r>
      <w:r w:rsidR="0080611A">
        <w:rPr>
          <w:lang w:val="fr-CA"/>
        </w:rPr>
        <w:t>’</w:t>
      </w:r>
      <w:r w:rsidR="005B7BF6" w:rsidRPr="00B3274C">
        <w:rPr>
          <w:lang w:val="fr-CA"/>
        </w:rPr>
        <w:t>application de politiques d</w:t>
      </w:r>
      <w:r w:rsidR="0080611A">
        <w:rPr>
          <w:lang w:val="fr-CA"/>
        </w:rPr>
        <w:t>’</w:t>
      </w:r>
      <w:r w:rsidR="005B7BF6" w:rsidRPr="00B3274C">
        <w:rPr>
          <w:lang w:val="fr-CA"/>
        </w:rPr>
        <w:t xml:space="preserve">intégration sociale </w:t>
      </w:r>
      <w:r w:rsidR="00543AA7" w:rsidRPr="00B3274C">
        <w:rPr>
          <w:lang w:val="fr-CA"/>
        </w:rPr>
        <w:t xml:space="preserve">pour les groupes vulnérables et la réduction de la pauvreté). </w:t>
      </w:r>
    </w:p>
    <w:p w:rsidR="00FB23D3" w:rsidRPr="00B3274C" w:rsidRDefault="00107A47" w:rsidP="00107A47">
      <w:pPr>
        <w:pStyle w:val="SingleTxtG"/>
        <w:rPr>
          <w:lang w:val="fr-CA"/>
        </w:rPr>
      </w:pPr>
      <w:r w:rsidRPr="00B3274C">
        <w:rPr>
          <w:lang w:val="fr-CA"/>
        </w:rPr>
        <w:t>232.</w:t>
      </w:r>
      <w:r w:rsidRPr="00B3274C">
        <w:rPr>
          <w:lang w:val="fr-CA"/>
        </w:rPr>
        <w:tab/>
      </w:r>
      <w:r w:rsidR="00543AA7" w:rsidRPr="00B3274C">
        <w:rPr>
          <w:lang w:val="fr-CA"/>
        </w:rPr>
        <w:t>Les principales réformes et mesures axées sur la lutte contre la pauvreté et l</w:t>
      </w:r>
      <w:r w:rsidR="0080611A">
        <w:rPr>
          <w:lang w:val="fr-CA"/>
        </w:rPr>
        <w:t>’</w:t>
      </w:r>
      <w:r w:rsidR="00543AA7" w:rsidRPr="00B3274C">
        <w:rPr>
          <w:lang w:val="fr-CA"/>
        </w:rPr>
        <w:t>exclusion sociale pour 2010</w:t>
      </w:r>
      <w:r w:rsidR="0080611A">
        <w:rPr>
          <w:lang w:val="fr-CA"/>
        </w:rPr>
        <w:t>,</w:t>
      </w:r>
      <w:r w:rsidR="00543AA7" w:rsidRPr="00B3274C">
        <w:rPr>
          <w:lang w:val="fr-CA"/>
        </w:rPr>
        <w:t xml:space="preserve"> 2011 et 2012 sont présentées ci-après</w:t>
      </w:r>
      <w:r w:rsidR="003D0E09" w:rsidRPr="00B3274C">
        <w:rPr>
          <w:rStyle w:val="FootnoteReference"/>
          <w:lang w:val="fr-CA"/>
        </w:rPr>
        <w:footnoteReference w:id="12"/>
      </w:r>
      <w:r w:rsidR="003D0E09" w:rsidRPr="00B3274C">
        <w:rPr>
          <w:lang w:val="fr-CA"/>
        </w:rPr>
        <w:t>.</w:t>
      </w:r>
    </w:p>
    <w:p w:rsidR="009463AB" w:rsidRPr="00B3274C" w:rsidRDefault="009463AB" w:rsidP="00D55B13">
      <w:pPr>
        <w:pStyle w:val="H4G"/>
        <w:rPr>
          <w:lang w:val="fr-CA"/>
        </w:rPr>
      </w:pPr>
      <w:r w:rsidRPr="00B3274C">
        <w:rPr>
          <w:lang w:val="fr-CA"/>
        </w:rPr>
        <w:tab/>
      </w:r>
      <w:r w:rsidR="007F0E2D" w:rsidRPr="00B3274C">
        <w:rPr>
          <w:lang w:val="fr-CA"/>
        </w:rPr>
        <w:t>i)</w:t>
      </w:r>
      <w:r w:rsidRPr="00B3274C">
        <w:rPr>
          <w:lang w:val="fr-CA"/>
        </w:rPr>
        <w:tab/>
      </w:r>
      <w:r w:rsidR="00D87F32" w:rsidRPr="00B3274C">
        <w:rPr>
          <w:lang w:val="fr-CA"/>
        </w:rPr>
        <w:t xml:space="preserve">Mesures visant à limiter les conséquences sociales de la crise </w:t>
      </w:r>
    </w:p>
    <w:p w:rsidR="00FB23D3" w:rsidRPr="00B3274C" w:rsidRDefault="00107A47" w:rsidP="00FB6FFD">
      <w:pPr>
        <w:pStyle w:val="SingleTxtG"/>
        <w:keepNext/>
        <w:rPr>
          <w:lang w:val="fr-CA"/>
        </w:rPr>
      </w:pPr>
      <w:r w:rsidRPr="00B3274C">
        <w:rPr>
          <w:lang w:val="fr-CA"/>
        </w:rPr>
        <w:t>233.</w:t>
      </w:r>
      <w:r w:rsidRPr="00B3274C">
        <w:rPr>
          <w:lang w:val="fr-CA"/>
        </w:rPr>
        <w:tab/>
      </w:r>
      <w:r w:rsidR="00D87F32" w:rsidRPr="00B3274C">
        <w:rPr>
          <w:lang w:val="fr-CA"/>
        </w:rPr>
        <w:t>Des mesures visant à limiter les conséquences sociales de la crise</w:t>
      </w:r>
      <w:r w:rsidR="0080611A">
        <w:rPr>
          <w:lang w:val="fr-CA"/>
        </w:rPr>
        <w:t>,</w:t>
      </w:r>
      <w:r w:rsidR="00D87F32" w:rsidRPr="00B3274C">
        <w:rPr>
          <w:lang w:val="fr-CA"/>
        </w:rPr>
        <w:t xml:space="preserve"> en particulier pour les plus vulnérables</w:t>
      </w:r>
      <w:r w:rsidR="003D0E09" w:rsidRPr="00B3274C">
        <w:rPr>
          <w:rStyle w:val="FootnoteReference"/>
          <w:lang w:val="fr-CA"/>
        </w:rPr>
        <w:footnoteReference w:id="13"/>
      </w:r>
      <w:r w:rsidR="00FB23D3" w:rsidRPr="00B3274C">
        <w:rPr>
          <w:lang w:val="fr-CA"/>
        </w:rPr>
        <w:t xml:space="preserve"> </w:t>
      </w:r>
      <w:r w:rsidR="00F913CD" w:rsidRPr="00B3274C">
        <w:rPr>
          <w:lang w:val="fr-CA"/>
        </w:rPr>
        <w:t>ainsi qu</w:t>
      </w:r>
      <w:r w:rsidR="0080611A">
        <w:rPr>
          <w:lang w:val="fr-CA"/>
        </w:rPr>
        <w:t>’</w:t>
      </w:r>
      <w:r w:rsidR="00F913CD" w:rsidRPr="00B3274C">
        <w:rPr>
          <w:lang w:val="fr-CA"/>
        </w:rPr>
        <w:t>à promouvoir leur intégration sociale sont mises en œuvre</w:t>
      </w:r>
      <w:r w:rsidR="00EC5892" w:rsidRPr="00B3274C">
        <w:rPr>
          <w:lang w:val="fr-CA"/>
        </w:rPr>
        <w:t>:</w:t>
      </w:r>
      <w:r w:rsidR="00F913CD" w:rsidRPr="00B3274C">
        <w:rPr>
          <w:lang w:val="fr-CA"/>
        </w:rPr>
        <w:t xml:space="preserv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E36AE2" w:rsidRPr="00B3274C">
        <w:rPr>
          <w:lang w:val="fr-CA"/>
        </w:rPr>
        <w:t>P</w:t>
      </w:r>
      <w:r w:rsidR="00F913CD" w:rsidRPr="00B3274C">
        <w:rPr>
          <w:lang w:val="fr-CA"/>
        </w:rPr>
        <w:t>romotion de l</w:t>
      </w:r>
      <w:r w:rsidR="0080611A">
        <w:rPr>
          <w:lang w:val="fr-CA"/>
        </w:rPr>
        <w:t>’</w:t>
      </w:r>
      <w:r w:rsidR="00F913CD" w:rsidRPr="00B3274C">
        <w:rPr>
          <w:lang w:val="fr-CA"/>
        </w:rPr>
        <w:t>économie sociale par l</w:t>
      </w:r>
      <w:r w:rsidR="0080611A">
        <w:rPr>
          <w:lang w:val="fr-CA"/>
        </w:rPr>
        <w:t>’</w:t>
      </w:r>
      <w:r w:rsidR="00F913CD" w:rsidRPr="00B3274C">
        <w:rPr>
          <w:lang w:val="fr-CA"/>
        </w:rPr>
        <w:t>application d</w:t>
      </w:r>
      <w:r w:rsidR="0080611A">
        <w:rPr>
          <w:lang w:val="fr-CA"/>
        </w:rPr>
        <w:t>’</w:t>
      </w:r>
      <w:r w:rsidR="00F913CD" w:rsidRPr="00B3274C">
        <w:rPr>
          <w:lang w:val="fr-CA"/>
        </w:rPr>
        <w:t xml:space="preserve">une nouvelle loi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4029/2011</w:t>
      </w:r>
      <w:r w:rsidR="0080611A">
        <w:rPr>
          <w:lang w:val="fr-CA"/>
        </w:rPr>
        <w:t>,</w:t>
      </w:r>
      <w:r w:rsidR="00A779BD" w:rsidRPr="00B3274C">
        <w:rPr>
          <w:lang w:val="fr-CA"/>
        </w:rPr>
        <w:t xml:space="preserve"> intitulée </w:t>
      </w:r>
      <w:r w:rsidR="0055418C" w:rsidRPr="00B3274C">
        <w:rPr>
          <w:lang w:val="fr-CA"/>
        </w:rPr>
        <w:t>«</w:t>
      </w:r>
      <w:r w:rsidR="00F913CD" w:rsidRPr="00B3274C">
        <w:rPr>
          <w:lang w:val="fr-CA"/>
        </w:rPr>
        <w:t>Économie sociale</w:t>
      </w:r>
      <w:r w:rsidR="0080611A">
        <w:rPr>
          <w:lang w:val="fr-CA"/>
        </w:rPr>
        <w:t>,</w:t>
      </w:r>
      <w:r w:rsidR="00F913CD" w:rsidRPr="00B3274C">
        <w:rPr>
          <w:lang w:val="fr-CA"/>
        </w:rPr>
        <w:t xml:space="preserve"> entreprenariat social et autres dispositions</w:t>
      </w:r>
      <w:r w:rsidR="00876203">
        <w:rPr>
          <w:lang w:val="fr-CA"/>
        </w:rPr>
        <w:t>»</w:t>
      </w:r>
      <w:r w:rsidR="0080611A">
        <w:rPr>
          <w:lang w:val="fr-CA"/>
        </w:rPr>
        <w:t>,</w:t>
      </w:r>
      <w:r w:rsidR="00F913CD" w:rsidRPr="00B3274C">
        <w:rPr>
          <w:lang w:val="fr-CA"/>
        </w:rPr>
        <w:t xml:space="preserve"> </w:t>
      </w:r>
      <w:r w:rsidR="00E36AE2" w:rsidRPr="00155DCE">
        <w:rPr>
          <w:i/>
          <w:lang w:val="fr-CA"/>
        </w:rPr>
        <w:t>Journal Officiel</w:t>
      </w:r>
      <w:r w:rsidR="00E36AE2" w:rsidRPr="00B3274C">
        <w:rPr>
          <w:lang w:val="fr-CA"/>
        </w:rPr>
        <w:t xml:space="preserve"> </w:t>
      </w:r>
      <w:r w:rsidR="00FB23D3" w:rsidRPr="00B3274C">
        <w:rPr>
          <w:lang w:val="fr-CA"/>
        </w:rPr>
        <w:t>Α 216Α</w:t>
      </w:r>
      <w:r w:rsidR="00CC3CFF" w:rsidRPr="00B3274C">
        <w:rPr>
          <w:lang w:val="fr-CA"/>
        </w:rPr>
        <w:t xml:space="preserve"> du 30 septembre </w:t>
      </w:r>
      <w:r w:rsidR="00A779BD" w:rsidRPr="00B3274C">
        <w:rPr>
          <w:lang w:val="fr-CA"/>
        </w:rPr>
        <w:t>2011)</w:t>
      </w:r>
      <w:r w:rsidR="003D0E09" w:rsidRPr="00B3274C">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E36AE2" w:rsidRPr="00B3274C">
        <w:rPr>
          <w:lang w:val="fr-CA"/>
        </w:rPr>
        <w:t>Programmes pour l</w:t>
      </w:r>
      <w:r w:rsidR="0080611A">
        <w:rPr>
          <w:lang w:val="fr-CA"/>
        </w:rPr>
        <w:t>’</w:t>
      </w:r>
      <w:r w:rsidR="00E36AE2" w:rsidRPr="00B3274C">
        <w:rPr>
          <w:lang w:val="fr-CA"/>
        </w:rPr>
        <w:t>emploi en faveur des groupes socialement vulnérables</w:t>
      </w:r>
      <w:r w:rsidR="0080611A">
        <w:rPr>
          <w:lang w:val="fr-CA"/>
        </w:rPr>
        <w:t>,</w:t>
      </w:r>
      <w:r w:rsidR="00E36AE2" w:rsidRPr="00B3274C">
        <w:rPr>
          <w:lang w:val="fr-CA"/>
        </w:rPr>
        <w:t xml:space="preserve"> mis en œuvre par l</w:t>
      </w:r>
      <w:r w:rsidR="0080611A">
        <w:rPr>
          <w:lang w:val="fr-CA"/>
        </w:rPr>
        <w:t>’</w:t>
      </w:r>
      <w:r w:rsidR="00E36AE2" w:rsidRPr="00B3274C">
        <w:rPr>
          <w:lang w:val="fr-CA"/>
        </w:rPr>
        <w:t>Office national de la main-d</w:t>
      </w:r>
      <w:r w:rsidR="0080611A">
        <w:rPr>
          <w:lang w:val="fr-CA"/>
        </w:rPr>
        <w:t>’</w:t>
      </w:r>
      <w:r w:rsidR="00E36AE2" w:rsidRPr="00B3274C">
        <w:rPr>
          <w:lang w:val="fr-CA"/>
        </w:rPr>
        <w:t xml:space="preserve">œuvre </w:t>
      </w:r>
      <w:r w:rsidR="00FB23D3" w:rsidRPr="00B3274C">
        <w:rPr>
          <w:lang w:val="fr-CA"/>
        </w:rPr>
        <w:t>(OAED)</w:t>
      </w:r>
      <w:r w:rsidR="003D0E09" w:rsidRPr="00B3274C">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5D68CF" w:rsidRPr="00B3274C">
        <w:rPr>
          <w:lang w:val="fr-CA"/>
        </w:rPr>
        <w:t>Programmes de travail social</w:t>
      </w:r>
      <w:r w:rsidR="003D0E09" w:rsidRPr="00B3274C">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7D605E" w:rsidRPr="00B3274C">
        <w:rPr>
          <w:lang w:val="fr-CA"/>
        </w:rPr>
        <w:t>Programmes régionaux intégrés pour l</w:t>
      </w:r>
      <w:r w:rsidR="0080611A">
        <w:rPr>
          <w:lang w:val="fr-CA"/>
        </w:rPr>
        <w:t>’</w:t>
      </w:r>
      <w:r w:rsidR="007D605E" w:rsidRPr="00B3274C">
        <w:rPr>
          <w:lang w:val="fr-CA"/>
        </w:rPr>
        <w:t>aide à l</w:t>
      </w:r>
      <w:r w:rsidR="0080611A">
        <w:rPr>
          <w:lang w:val="fr-CA"/>
        </w:rPr>
        <w:t>’</w:t>
      </w:r>
      <w:r w:rsidR="007D605E" w:rsidRPr="00B3274C">
        <w:rPr>
          <w:lang w:val="fr-CA"/>
        </w:rPr>
        <w:t xml:space="preserve">emploi </w:t>
      </w:r>
      <w:r w:rsidR="00FB23D3" w:rsidRPr="00B3274C">
        <w:rPr>
          <w:lang w:val="fr-CA"/>
        </w:rPr>
        <w:t>(TOPSA)</w:t>
      </w:r>
      <w:r w:rsidR="003D0E09" w:rsidRPr="00B3274C">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7D605E" w:rsidRPr="00B3274C">
        <w:rPr>
          <w:lang w:val="fr-CA"/>
        </w:rPr>
        <w:t>Actions locales d</w:t>
      </w:r>
      <w:r w:rsidR="0080611A">
        <w:rPr>
          <w:lang w:val="fr-CA"/>
        </w:rPr>
        <w:t>’</w:t>
      </w:r>
      <w:r w:rsidR="007D605E" w:rsidRPr="00B3274C">
        <w:rPr>
          <w:lang w:val="fr-CA"/>
        </w:rPr>
        <w:t>intégration sociale pour les groupes socialement vulnérables</w:t>
      </w:r>
      <w:r w:rsidR="003D0E09" w:rsidRPr="00B3274C">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7D605E" w:rsidRPr="00B3274C">
        <w:rPr>
          <w:lang w:val="fr-CA"/>
        </w:rPr>
        <w:t>Création d</w:t>
      </w:r>
      <w:r w:rsidR="0080611A">
        <w:rPr>
          <w:lang w:val="fr-CA"/>
        </w:rPr>
        <w:t>’</w:t>
      </w:r>
      <w:r w:rsidR="007D605E" w:rsidRPr="00B3274C">
        <w:rPr>
          <w:lang w:val="fr-CA"/>
        </w:rPr>
        <w:t xml:space="preserve">un groupe de travail interministériel </w:t>
      </w:r>
      <w:r w:rsidR="00E205F5" w:rsidRPr="00B3274C">
        <w:rPr>
          <w:lang w:val="fr-CA"/>
        </w:rPr>
        <w:t>chargé d</w:t>
      </w:r>
      <w:r w:rsidR="0080611A">
        <w:rPr>
          <w:lang w:val="fr-CA"/>
        </w:rPr>
        <w:t>’</w:t>
      </w:r>
      <w:r w:rsidR="00E205F5" w:rsidRPr="00B3274C">
        <w:rPr>
          <w:lang w:val="fr-CA"/>
        </w:rPr>
        <w:t>examiner la situation des sans-abri qui se détériore rapidement</w:t>
      </w:r>
      <w:r w:rsidR="003D0E09" w:rsidRPr="00B3274C">
        <w:rPr>
          <w:lang w:val="fr-CA"/>
        </w:rPr>
        <w:t>.</w:t>
      </w:r>
    </w:p>
    <w:p w:rsidR="00FB23D3" w:rsidRPr="00B3274C" w:rsidRDefault="00107A47" w:rsidP="00FB6FFD">
      <w:pPr>
        <w:pStyle w:val="SingleTxtG"/>
        <w:keepNext/>
        <w:rPr>
          <w:lang w:val="fr-CA"/>
        </w:rPr>
      </w:pPr>
      <w:r w:rsidRPr="00B3274C">
        <w:rPr>
          <w:lang w:val="fr-CA"/>
        </w:rPr>
        <w:t>234.</w:t>
      </w:r>
      <w:r w:rsidRPr="00B3274C">
        <w:rPr>
          <w:lang w:val="fr-CA"/>
        </w:rPr>
        <w:tab/>
      </w:r>
      <w:r w:rsidR="00E205F5" w:rsidRPr="00B3274C">
        <w:rPr>
          <w:lang w:val="fr-CA"/>
        </w:rPr>
        <w:t>Mesures sur le point d</w:t>
      </w:r>
      <w:r w:rsidR="0080611A">
        <w:rPr>
          <w:lang w:val="fr-CA"/>
        </w:rPr>
        <w:t>’</w:t>
      </w:r>
      <w:r w:rsidR="00E205F5" w:rsidRPr="00B3274C">
        <w:rPr>
          <w:lang w:val="fr-CA"/>
        </w:rPr>
        <w:t>être mises en œuvre</w:t>
      </w:r>
      <w:r w:rsidR="00FB23D3" w:rsidRPr="00B3274C">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E205F5" w:rsidRPr="00B3274C">
        <w:rPr>
          <w:lang w:val="fr-CA"/>
        </w:rPr>
        <w:t>Création du Fonds pour l</w:t>
      </w:r>
      <w:r w:rsidR="0080611A">
        <w:rPr>
          <w:lang w:val="fr-CA"/>
        </w:rPr>
        <w:t>’</w:t>
      </w:r>
      <w:r w:rsidR="00E205F5" w:rsidRPr="00B3274C">
        <w:rPr>
          <w:lang w:val="fr-CA"/>
        </w:rPr>
        <w:t>économie sociale</w:t>
      </w:r>
      <w:r w:rsidR="003D0E09" w:rsidRPr="00B3274C">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E205F5" w:rsidRPr="00B3274C">
        <w:rPr>
          <w:lang w:val="fr-CA"/>
        </w:rPr>
        <w:t xml:space="preserve">Programmes de subventions pour les entreprises sociales </w:t>
      </w:r>
      <w:r w:rsidR="00A779BD" w:rsidRPr="00B3274C">
        <w:rPr>
          <w:lang w:val="fr-CA"/>
        </w:rPr>
        <w:t>(</w:t>
      </w:r>
      <w:r w:rsidR="00155DCE">
        <w:rPr>
          <w:lang w:val="fr-CA"/>
        </w:rPr>
        <w:t>l</w:t>
      </w:r>
      <w:r w:rsidR="00E205F5" w:rsidRPr="00B3274C">
        <w:rPr>
          <w:lang w:val="fr-CA"/>
        </w:rPr>
        <w:t>oi</w:t>
      </w:r>
      <w:r w:rsidR="00FB23D3" w:rsidRPr="00B3274C">
        <w:rPr>
          <w:lang w:val="fr-CA"/>
        </w:rPr>
        <w:t xml:space="preserve"> </w:t>
      </w:r>
      <w:r w:rsidR="00136426" w:rsidRPr="00B3274C">
        <w:rPr>
          <w:lang w:val="fr-CA"/>
        </w:rPr>
        <w:t>n</w:t>
      </w:r>
      <w:r w:rsidR="00136426" w:rsidRPr="00B3274C">
        <w:rPr>
          <w:vertAlign w:val="superscript"/>
          <w:lang w:val="fr-CA"/>
        </w:rPr>
        <w:t>o</w:t>
      </w:r>
      <w:r w:rsidR="00136426" w:rsidRPr="00B3274C">
        <w:rPr>
          <w:lang w:val="fr-CA"/>
        </w:rPr>
        <w:t> </w:t>
      </w:r>
      <w:r w:rsidR="00A779BD" w:rsidRPr="00B3274C">
        <w:rPr>
          <w:lang w:val="fr-CA"/>
        </w:rPr>
        <w:t>4052/2012)</w:t>
      </w:r>
      <w:r w:rsidR="003D0E09" w:rsidRPr="00B3274C">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E205F5" w:rsidRPr="00B3274C">
        <w:rPr>
          <w:lang w:val="fr-CA"/>
        </w:rPr>
        <w:t>Réseau national d</w:t>
      </w:r>
      <w:r w:rsidR="0080611A">
        <w:rPr>
          <w:lang w:val="fr-CA"/>
        </w:rPr>
        <w:t>’</w:t>
      </w:r>
      <w:r w:rsidR="00E205F5" w:rsidRPr="00B3274C">
        <w:rPr>
          <w:lang w:val="fr-CA"/>
        </w:rPr>
        <w:t>intervention sociale immédiate pour l</w:t>
      </w:r>
      <w:r w:rsidR="0080611A">
        <w:rPr>
          <w:lang w:val="fr-CA"/>
        </w:rPr>
        <w:t>’</w:t>
      </w:r>
      <w:r w:rsidR="00E205F5" w:rsidRPr="00B3274C">
        <w:rPr>
          <w:lang w:val="fr-CA"/>
        </w:rPr>
        <w:t>intégration sociale et le soutien des plus vulnérables</w:t>
      </w:r>
      <w:r w:rsidR="003D0E09" w:rsidRPr="00B3274C">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E205F5" w:rsidRPr="00B3274C">
        <w:rPr>
          <w:lang w:val="fr-CA"/>
        </w:rPr>
        <w:t>Programmes de formation ciblés à l</w:t>
      </w:r>
      <w:r w:rsidR="0080611A">
        <w:rPr>
          <w:lang w:val="fr-CA"/>
        </w:rPr>
        <w:t>’</w:t>
      </w:r>
      <w:r w:rsidR="00E205F5" w:rsidRPr="00B3274C">
        <w:rPr>
          <w:lang w:val="fr-CA"/>
        </w:rPr>
        <w:t xml:space="preserve">intention </w:t>
      </w:r>
      <w:r w:rsidR="00614BAC">
        <w:rPr>
          <w:lang w:val="fr-CA"/>
        </w:rPr>
        <w:t>des personnes</w:t>
      </w:r>
      <w:r w:rsidR="00E205F5" w:rsidRPr="00B3274C">
        <w:rPr>
          <w:lang w:val="fr-CA"/>
        </w:rPr>
        <w:t xml:space="preserve"> handicapées et des anciens toxicomanes. </w:t>
      </w:r>
    </w:p>
    <w:p w:rsidR="00FB23D3" w:rsidRPr="00B3274C" w:rsidRDefault="00107A47" w:rsidP="00107A47">
      <w:pPr>
        <w:pStyle w:val="SingleTxtG"/>
        <w:rPr>
          <w:lang w:val="fr-CA"/>
        </w:rPr>
      </w:pPr>
      <w:r w:rsidRPr="00B3274C">
        <w:rPr>
          <w:lang w:val="fr-CA"/>
        </w:rPr>
        <w:t>235.</w:t>
      </w:r>
      <w:r w:rsidRPr="00B3274C">
        <w:rPr>
          <w:lang w:val="fr-CA"/>
        </w:rPr>
        <w:tab/>
      </w:r>
      <w:r w:rsidR="00E205F5" w:rsidRPr="00B3274C">
        <w:rPr>
          <w:lang w:val="fr-CA"/>
        </w:rPr>
        <w:t>Par ailleurs</w:t>
      </w:r>
      <w:r w:rsidR="0080611A">
        <w:rPr>
          <w:lang w:val="fr-CA"/>
        </w:rPr>
        <w:t>,</w:t>
      </w:r>
      <w:r w:rsidR="00E205F5" w:rsidRPr="00B3274C">
        <w:rPr>
          <w:lang w:val="fr-CA"/>
        </w:rPr>
        <w:t xml:space="preserve"> afin de renforcer l</w:t>
      </w:r>
      <w:r w:rsidR="0080611A">
        <w:rPr>
          <w:lang w:val="fr-CA"/>
        </w:rPr>
        <w:t>’</w:t>
      </w:r>
      <w:r w:rsidR="00E205F5" w:rsidRPr="00B3274C">
        <w:rPr>
          <w:lang w:val="fr-CA"/>
        </w:rPr>
        <w:t>efficacité des programmes sociaux et d</w:t>
      </w:r>
      <w:r w:rsidR="0080611A">
        <w:rPr>
          <w:lang w:val="fr-CA"/>
        </w:rPr>
        <w:t>’</w:t>
      </w:r>
      <w:r w:rsidR="00E205F5" w:rsidRPr="00B3274C">
        <w:rPr>
          <w:lang w:val="fr-CA"/>
        </w:rPr>
        <w:t>assurer une meilleure coordination entre les ministères</w:t>
      </w:r>
      <w:r w:rsidR="0080611A">
        <w:rPr>
          <w:lang w:val="fr-CA"/>
        </w:rPr>
        <w:t>,</w:t>
      </w:r>
      <w:r w:rsidR="00E205F5" w:rsidRPr="00B3274C">
        <w:rPr>
          <w:lang w:val="fr-CA"/>
        </w:rPr>
        <w:t xml:space="preserve"> </w:t>
      </w:r>
      <w:r w:rsidR="005B1D6A" w:rsidRPr="00B3274C">
        <w:rPr>
          <w:lang w:val="fr-CA"/>
        </w:rPr>
        <w:t>l</w:t>
      </w:r>
      <w:r w:rsidR="00E205F5" w:rsidRPr="00B3274C">
        <w:rPr>
          <w:lang w:val="fr-CA"/>
        </w:rPr>
        <w:t>es organismes et les autorités locales</w:t>
      </w:r>
      <w:r w:rsidR="0080611A">
        <w:rPr>
          <w:lang w:val="fr-CA"/>
        </w:rPr>
        <w:t>,</w:t>
      </w:r>
      <w:r w:rsidR="00E205F5" w:rsidRPr="00B3274C">
        <w:rPr>
          <w:lang w:val="fr-CA"/>
        </w:rPr>
        <w:t xml:space="preserve"> des réformes sont entreprises</w:t>
      </w:r>
      <w:r w:rsidR="00B6580A" w:rsidRPr="00B3274C">
        <w:rPr>
          <w:lang w:val="fr-CA"/>
        </w:rPr>
        <w:t xml:space="preserve"> portant sur</w:t>
      </w:r>
      <w:r w:rsidR="00EC5892" w:rsidRPr="00B3274C">
        <w:rPr>
          <w:lang w:val="fr-CA"/>
        </w:rPr>
        <w:t>:</w:t>
      </w:r>
      <w:r w:rsidR="00E205F5" w:rsidRPr="00B3274C">
        <w:rPr>
          <w:lang w:val="fr-CA"/>
        </w:rPr>
        <w:t xml:space="preserve"> l</w:t>
      </w:r>
      <w:r w:rsidR="0080611A">
        <w:rPr>
          <w:lang w:val="fr-CA"/>
        </w:rPr>
        <w:t>’</w:t>
      </w:r>
      <w:r w:rsidR="00E205F5" w:rsidRPr="00B3274C">
        <w:rPr>
          <w:lang w:val="fr-CA"/>
        </w:rPr>
        <w:t>examen fonctionnel des programmes sociaux (en collaboration avec l</w:t>
      </w:r>
      <w:r w:rsidR="0080611A">
        <w:rPr>
          <w:lang w:val="fr-CA"/>
        </w:rPr>
        <w:t>’</w:t>
      </w:r>
      <w:r w:rsidR="00E205F5" w:rsidRPr="00B3274C">
        <w:rPr>
          <w:lang w:val="fr-CA"/>
        </w:rPr>
        <w:t>OCDE)</w:t>
      </w:r>
      <w:r w:rsidR="00EC5892" w:rsidRPr="00B3274C">
        <w:rPr>
          <w:lang w:val="fr-CA"/>
        </w:rPr>
        <w:t>;</w:t>
      </w:r>
      <w:r w:rsidR="00E205F5" w:rsidRPr="00B3274C">
        <w:rPr>
          <w:lang w:val="fr-CA"/>
        </w:rPr>
        <w:t xml:space="preserve"> la gestion et le fonctionnement du système de sécurité sociale par la création d</w:t>
      </w:r>
      <w:r w:rsidR="0080611A">
        <w:rPr>
          <w:lang w:val="fr-CA"/>
        </w:rPr>
        <w:t>’</w:t>
      </w:r>
      <w:r w:rsidR="00E205F5" w:rsidRPr="00B3274C">
        <w:rPr>
          <w:lang w:val="fr-CA"/>
        </w:rPr>
        <w:t xml:space="preserve">un dispositif de coopération interministérielle </w:t>
      </w:r>
      <w:r w:rsidR="00B6580A" w:rsidRPr="00B3274C">
        <w:rPr>
          <w:lang w:val="fr-CA"/>
        </w:rPr>
        <w:t>chargé</w:t>
      </w:r>
      <w:r w:rsidR="00E205F5" w:rsidRPr="00B3274C">
        <w:rPr>
          <w:lang w:val="fr-CA"/>
        </w:rPr>
        <w:t xml:space="preserve"> de contrôler et d</w:t>
      </w:r>
      <w:r w:rsidR="0080611A">
        <w:rPr>
          <w:lang w:val="fr-CA"/>
        </w:rPr>
        <w:t>’</w:t>
      </w:r>
      <w:r w:rsidR="00E205F5" w:rsidRPr="00B3274C">
        <w:rPr>
          <w:lang w:val="fr-CA"/>
        </w:rPr>
        <w:t>évaluer les politiques d</w:t>
      </w:r>
      <w:r w:rsidR="0080611A">
        <w:rPr>
          <w:lang w:val="fr-CA"/>
        </w:rPr>
        <w:t>’</w:t>
      </w:r>
      <w:r w:rsidR="00E205F5" w:rsidRPr="00B3274C">
        <w:rPr>
          <w:lang w:val="fr-CA"/>
        </w:rPr>
        <w:t>intégration et de protection sociales</w:t>
      </w:r>
      <w:r w:rsidR="00EC5892" w:rsidRPr="00B3274C">
        <w:rPr>
          <w:lang w:val="fr-CA"/>
        </w:rPr>
        <w:t>;</w:t>
      </w:r>
      <w:r w:rsidR="00E205F5" w:rsidRPr="00B3274C">
        <w:rPr>
          <w:lang w:val="fr-CA"/>
        </w:rPr>
        <w:t xml:space="preserve"> la restructuration administrative des ministères</w:t>
      </w:r>
      <w:r w:rsidR="00FB23D3" w:rsidRPr="00B3274C">
        <w:rPr>
          <w:lang w:val="fr-CA"/>
        </w:rPr>
        <w:t>.</w:t>
      </w:r>
    </w:p>
    <w:p w:rsidR="00FB23D3" w:rsidRPr="00B3274C" w:rsidRDefault="00107A47" w:rsidP="00107A47">
      <w:pPr>
        <w:pStyle w:val="SingleTxtG"/>
        <w:rPr>
          <w:lang w:val="fr-CA"/>
        </w:rPr>
      </w:pPr>
      <w:r w:rsidRPr="00B3274C">
        <w:rPr>
          <w:lang w:val="fr-CA"/>
        </w:rPr>
        <w:t>236.</w:t>
      </w:r>
      <w:r w:rsidRPr="00B3274C">
        <w:rPr>
          <w:lang w:val="fr-CA"/>
        </w:rPr>
        <w:tab/>
      </w:r>
      <w:r w:rsidR="00B6580A" w:rsidRPr="00B3274C">
        <w:rPr>
          <w:lang w:val="fr-CA"/>
        </w:rPr>
        <w:t>Dans le cadre des</w:t>
      </w:r>
      <w:r w:rsidR="00721BCC" w:rsidRPr="00B3274C">
        <w:rPr>
          <w:lang w:val="fr-CA"/>
        </w:rPr>
        <w:t xml:space="preserve"> mesure</w:t>
      </w:r>
      <w:r w:rsidR="001551AC" w:rsidRPr="00B3274C">
        <w:rPr>
          <w:lang w:val="fr-CA"/>
        </w:rPr>
        <w:t>s prises pour</w:t>
      </w:r>
      <w:r w:rsidR="00721BCC" w:rsidRPr="00B3274C">
        <w:rPr>
          <w:lang w:val="fr-CA"/>
        </w:rPr>
        <w:t xml:space="preserve"> lutte</w:t>
      </w:r>
      <w:r w:rsidR="001551AC" w:rsidRPr="00B3274C">
        <w:rPr>
          <w:lang w:val="fr-CA"/>
        </w:rPr>
        <w:t>r</w:t>
      </w:r>
      <w:r w:rsidR="00721BCC" w:rsidRPr="00B3274C">
        <w:rPr>
          <w:lang w:val="fr-CA"/>
        </w:rPr>
        <w:t xml:space="preserve"> contre la pauvreté des enfants et </w:t>
      </w:r>
      <w:r w:rsidR="001551AC" w:rsidRPr="00B3274C">
        <w:rPr>
          <w:lang w:val="fr-CA"/>
        </w:rPr>
        <w:t>promouvoir les</w:t>
      </w:r>
      <w:r w:rsidR="00721BCC" w:rsidRPr="00B3274C">
        <w:rPr>
          <w:lang w:val="fr-CA"/>
        </w:rPr>
        <w:t xml:space="preserve"> droits de l</w:t>
      </w:r>
      <w:r w:rsidR="0080611A">
        <w:rPr>
          <w:lang w:val="fr-CA"/>
        </w:rPr>
        <w:t>’</w:t>
      </w:r>
      <w:r w:rsidR="00721BCC" w:rsidRPr="00B3274C">
        <w:rPr>
          <w:lang w:val="fr-CA"/>
        </w:rPr>
        <w:t>enfant</w:t>
      </w:r>
      <w:r w:rsidR="0080611A">
        <w:rPr>
          <w:lang w:val="fr-CA"/>
        </w:rPr>
        <w:t>,</w:t>
      </w:r>
      <w:r w:rsidR="00721BCC" w:rsidRPr="00B3274C">
        <w:rPr>
          <w:lang w:val="fr-CA"/>
        </w:rPr>
        <w:t xml:space="preserve"> un processus préparatoire est en cours</w:t>
      </w:r>
      <w:r w:rsidR="0080611A">
        <w:rPr>
          <w:lang w:val="fr-CA"/>
        </w:rPr>
        <w:t>,</w:t>
      </w:r>
      <w:r w:rsidR="00721BCC" w:rsidRPr="00B3274C">
        <w:rPr>
          <w:lang w:val="fr-CA"/>
        </w:rPr>
        <w:t xml:space="preserve"> qui aboutira à l</w:t>
      </w:r>
      <w:r w:rsidR="0080611A">
        <w:rPr>
          <w:lang w:val="fr-CA"/>
        </w:rPr>
        <w:t>’</w:t>
      </w:r>
      <w:r w:rsidR="00721BCC" w:rsidRPr="00B3274C">
        <w:rPr>
          <w:lang w:val="fr-CA"/>
        </w:rPr>
        <w:t>élaboration d</w:t>
      </w:r>
      <w:r w:rsidR="0080611A">
        <w:rPr>
          <w:lang w:val="fr-CA"/>
        </w:rPr>
        <w:t>’</w:t>
      </w:r>
      <w:r w:rsidR="00721BCC" w:rsidRPr="00B3274C">
        <w:rPr>
          <w:lang w:val="fr-CA"/>
        </w:rPr>
        <w:t>une stratégie à long terme. Les principaux axes de cette action sont les suivants</w:t>
      </w:r>
      <w:r w:rsidR="00EC5892" w:rsidRPr="00B3274C">
        <w:rPr>
          <w:lang w:val="fr-CA"/>
        </w:rPr>
        <w:t>:</w:t>
      </w:r>
      <w:r w:rsidR="00721BCC" w:rsidRPr="00B3274C">
        <w:rPr>
          <w:lang w:val="fr-CA"/>
        </w:rPr>
        <w:t xml:space="preserve"> </w:t>
      </w:r>
      <w:r w:rsidR="003F42B4">
        <w:rPr>
          <w:lang w:val="fr-CA"/>
        </w:rPr>
        <w:t>a) </w:t>
      </w:r>
      <w:r w:rsidR="00721BCC" w:rsidRPr="00B3274C">
        <w:rPr>
          <w:lang w:val="fr-CA"/>
        </w:rPr>
        <w:t>aide à l</w:t>
      </w:r>
      <w:r w:rsidR="0080611A">
        <w:rPr>
          <w:lang w:val="fr-CA"/>
        </w:rPr>
        <w:t>’</w:t>
      </w:r>
      <w:r w:rsidR="00721BCC" w:rsidRPr="00B3274C">
        <w:rPr>
          <w:lang w:val="fr-CA"/>
        </w:rPr>
        <w:t>emploi des parents</w:t>
      </w:r>
      <w:r w:rsidR="0080611A">
        <w:rPr>
          <w:lang w:val="fr-CA"/>
        </w:rPr>
        <w:t>,</w:t>
      </w:r>
      <w:r w:rsidR="00FB23D3" w:rsidRPr="00B3274C">
        <w:rPr>
          <w:lang w:val="fr-CA"/>
        </w:rPr>
        <w:t xml:space="preserve"> </w:t>
      </w:r>
      <w:r w:rsidR="003F42B4">
        <w:rPr>
          <w:lang w:val="fr-CA"/>
        </w:rPr>
        <w:t>b) </w:t>
      </w:r>
      <w:r w:rsidR="00721BCC" w:rsidRPr="00B3274C">
        <w:rPr>
          <w:lang w:val="fr-CA"/>
        </w:rPr>
        <w:t>garantie de l</w:t>
      </w:r>
      <w:r w:rsidR="0080611A">
        <w:rPr>
          <w:lang w:val="fr-CA"/>
        </w:rPr>
        <w:t>’</w:t>
      </w:r>
      <w:r w:rsidR="00721BCC" w:rsidRPr="00B3274C">
        <w:rPr>
          <w:lang w:val="fr-CA"/>
        </w:rPr>
        <w:t xml:space="preserve">accès des enfants et de leurs familles aux services permettant de couvrir leurs besoins fondamentaux et améliorer leur qualité de vie et </w:t>
      </w:r>
      <w:r w:rsidR="003F42B4">
        <w:rPr>
          <w:lang w:val="fr-CA"/>
        </w:rPr>
        <w:t>c) </w:t>
      </w:r>
      <w:r w:rsidR="00721BCC" w:rsidRPr="00B3274C">
        <w:rPr>
          <w:lang w:val="fr-CA"/>
        </w:rPr>
        <w:t>amélioration des institutions et des services pour garantir l</w:t>
      </w:r>
      <w:r w:rsidR="0080611A">
        <w:rPr>
          <w:lang w:val="fr-CA"/>
        </w:rPr>
        <w:t>’</w:t>
      </w:r>
      <w:r w:rsidR="00721BCC" w:rsidRPr="00B3274C">
        <w:rPr>
          <w:lang w:val="fr-CA"/>
        </w:rPr>
        <w:t>intégration sociale de tous les enfants</w:t>
      </w:r>
      <w:r w:rsidR="00FB23D3" w:rsidRPr="00B3274C">
        <w:rPr>
          <w:lang w:val="fr-CA"/>
        </w:rPr>
        <w:t>.</w:t>
      </w:r>
    </w:p>
    <w:p w:rsidR="00FB23D3" w:rsidRPr="00B3274C" w:rsidRDefault="00107A47" w:rsidP="00107A47">
      <w:pPr>
        <w:pStyle w:val="SingleTxtG"/>
        <w:rPr>
          <w:lang w:val="fr-CA"/>
        </w:rPr>
      </w:pPr>
      <w:r w:rsidRPr="00B3274C">
        <w:rPr>
          <w:lang w:val="fr-CA"/>
        </w:rPr>
        <w:t>237.</w:t>
      </w:r>
      <w:r w:rsidRPr="00B3274C">
        <w:rPr>
          <w:lang w:val="fr-CA"/>
        </w:rPr>
        <w:tab/>
      </w:r>
      <w:r w:rsidR="00F61186" w:rsidRPr="00B3274C">
        <w:rPr>
          <w:lang w:val="fr-CA"/>
        </w:rPr>
        <w:t>Un programme pilote</w:t>
      </w:r>
      <w:r w:rsidR="0080611A">
        <w:rPr>
          <w:lang w:val="fr-CA"/>
        </w:rPr>
        <w:t>,</w:t>
      </w:r>
      <w:r w:rsidR="00F61186" w:rsidRPr="00B3274C">
        <w:rPr>
          <w:lang w:val="fr-CA"/>
        </w:rPr>
        <w:t xml:space="preserve"> intitulé </w:t>
      </w:r>
      <w:r w:rsidR="0055418C" w:rsidRPr="00B3274C">
        <w:rPr>
          <w:lang w:val="fr-CA"/>
        </w:rPr>
        <w:t>«</w:t>
      </w:r>
      <w:r w:rsidR="00F61186" w:rsidRPr="00B3274C">
        <w:rPr>
          <w:lang w:val="fr-CA"/>
        </w:rPr>
        <w:t>Apport de services locaux de soutien et de prise en charge à l</w:t>
      </w:r>
      <w:r w:rsidR="0080611A">
        <w:rPr>
          <w:lang w:val="fr-CA"/>
        </w:rPr>
        <w:t>’</w:t>
      </w:r>
      <w:r w:rsidR="00F61186" w:rsidRPr="00B3274C">
        <w:rPr>
          <w:lang w:val="fr-CA"/>
        </w:rPr>
        <w:t>intention des familles pauvres avec enfants dans quatre municipalités</w:t>
      </w:r>
      <w:r w:rsidR="0055418C" w:rsidRPr="00B3274C">
        <w:rPr>
          <w:lang w:val="fr-CA"/>
        </w:rPr>
        <w:t>»</w:t>
      </w:r>
      <w:r w:rsidR="0080611A">
        <w:rPr>
          <w:lang w:val="fr-CA"/>
        </w:rPr>
        <w:t>,</w:t>
      </w:r>
      <w:r w:rsidR="00F61186" w:rsidRPr="00B3274C">
        <w:rPr>
          <w:lang w:val="fr-CA"/>
        </w:rPr>
        <w:t xml:space="preserve"> doté d</w:t>
      </w:r>
      <w:r w:rsidR="0080611A">
        <w:rPr>
          <w:lang w:val="fr-CA"/>
        </w:rPr>
        <w:t>’</w:t>
      </w:r>
      <w:r w:rsidR="00F61186" w:rsidRPr="00B3274C">
        <w:rPr>
          <w:lang w:val="fr-CA"/>
        </w:rPr>
        <w:t>un budget de 1 200 000</w:t>
      </w:r>
      <w:r w:rsidR="0099272B">
        <w:rPr>
          <w:lang w:val="fr-CA"/>
        </w:rPr>
        <w:t> </w:t>
      </w:r>
      <w:r w:rsidR="00E562FA">
        <w:rPr>
          <w:lang w:val="fr-CA"/>
        </w:rPr>
        <w:t>euros</w:t>
      </w:r>
      <w:r w:rsidR="0080611A">
        <w:rPr>
          <w:lang w:val="fr-CA"/>
        </w:rPr>
        <w:t>,</w:t>
      </w:r>
      <w:r w:rsidR="00F61186" w:rsidRPr="00B3274C">
        <w:rPr>
          <w:lang w:val="fr-CA"/>
        </w:rPr>
        <w:t xml:space="preserve"> </w:t>
      </w:r>
      <w:r w:rsidR="00FB23D3" w:rsidRPr="00B3274C">
        <w:rPr>
          <w:lang w:val="fr-CA"/>
        </w:rPr>
        <w:t>(</w:t>
      </w:r>
      <w:r w:rsidR="00F61186" w:rsidRPr="00B3274C">
        <w:rPr>
          <w:lang w:val="fr-CA"/>
        </w:rPr>
        <w:t>financement provenant à 50</w:t>
      </w:r>
      <w:r w:rsidR="0050285B">
        <w:rPr>
          <w:lang w:val="fr-CA"/>
        </w:rPr>
        <w:t> %</w:t>
      </w:r>
      <w:r w:rsidR="00F61186" w:rsidRPr="00B3274C">
        <w:rPr>
          <w:lang w:val="fr-CA"/>
        </w:rPr>
        <w:t xml:space="preserve"> de sources nationales et à 50</w:t>
      </w:r>
      <w:r w:rsidR="0050285B">
        <w:rPr>
          <w:lang w:val="fr-CA"/>
        </w:rPr>
        <w:t> %</w:t>
      </w:r>
      <w:r w:rsidR="00F61186" w:rsidRPr="00B3274C">
        <w:rPr>
          <w:lang w:val="fr-CA"/>
        </w:rPr>
        <w:t xml:space="preserve"> du Mécanisme financier de </w:t>
      </w:r>
      <w:r w:rsidR="00F75FCD" w:rsidRPr="00B3274C">
        <w:rPr>
          <w:lang w:val="fr-CA"/>
        </w:rPr>
        <w:t>l</w:t>
      </w:r>
      <w:r w:rsidR="0080611A">
        <w:rPr>
          <w:lang w:val="fr-CA"/>
        </w:rPr>
        <w:t>’</w:t>
      </w:r>
      <w:r w:rsidR="00F75FCD" w:rsidRPr="00B3274C">
        <w:rPr>
          <w:lang w:val="fr-CA"/>
        </w:rPr>
        <w:t>Espace économique européen)</w:t>
      </w:r>
      <w:r w:rsidR="0080611A">
        <w:rPr>
          <w:lang w:val="fr-CA"/>
        </w:rPr>
        <w:t>,</w:t>
      </w:r>
      <w:r w:rsidR="00F75FCD" w:rsidRPr="00B3274C">
        <w:rPr>
          <w:lang w:val="fr-CA"/>
        </w:rPr>
        <w:t xml:space="preserve"> apporte un soutien par le biais de mesures de protection de l</w:t>
      </w:r>
      <w:r w:rsidR="0080611A">
        <w:rPr>
          <w:lang w:val="fr-CA"/>
        </w:rPr>
        <w:t>’</w:t>
      </w:r>
      <w:r w:rsidR="00F75FCD" w:rsidRPr="00B3274C">
        <w:rPr>
          <w:lang w:val="fr-CA"/>
        </w:rPr>
        <w:t>enfance et d</w:t>
      </w:r>
      <w:r w:rsidR="0080611A">
        <w:rPr>
          <w:lang w:val="fr-CA"/>
        </w:rPr>
        <w:t>’</w:t>
      </w:r>
      <w:r w:rsidR="00F75FCD" w:rsidRPr="00B3274C">
        <w:rPr>
          <w:lang w:val="fr-CA"/>
        </w:rPr>
        <w:t xml:space="preserve">aide </w:t>
      </w:r>
      <w:r w:rsidR="00375BF8" w:rsidRPr="00B3274C">
        <w:rPr>
          <w:lang w:val="fr-CA"/>
        </w:rPr>
        <w:t>aux</w:t>
      </w:r>
      <w:r w:rsidR="00F75FCD" w:rsidRPr="00B3274C">
        <w:rPr>
          <w:lang w:val="fr-CA"/>
        </w:rPr>
        <w:t xml:space="preserve"> parents dans le but d</w:t>
      </w:r>
      <w:r w:rsidR="0080611A">
        <w:rPr>
          <w:lang w:val="fr-CA"/>
        </w:rPr>
        <w:t>’</w:t>
      </w:r>
      <w:r w:rsidR="00F75FCD" w:rsidRPr="00B3274C">
        <w:rPr>
          <w:lang w:val="fr-CA"/>
        </w:rPr>
        <w:t>éradiquer la pauvreté et le dénuement persistants par la création de quatre centres qui dispensent des services de soutien aux enfants</w:t>
      </w:r>
      <w:r w:rsidR="00FB23D3" w:rsidRPr="00B3274C">
        <w:rPr>
          <w:lang w:val="fr-CA"/>
        </w:rPr>
        <w:t xml:space="preserve">. </w:t>
      </w:r>
    </w:p>
    <w:p w:rsidR="00FB23D3" w:rsidRPr="00B3274C" w:rsidRDefault="009463AB" w:rsidP="00D55B13">
      <w:pPr>
        <w:pStyle w:val="H4G"/>
        <w:rPr>
          <w:lang w:val="fr-CA"/>
        </w:rPr>
      </w:pPr>
      <w:r w:rsidRPr="00B3274C">
        <w:rPr>
          <w:lang w:val="fr-CA"/>
        </w:rPr>
        <w:tab/>
      </w:r>
      <w:r w:rsidR="007F0E2D" w:rsidRPr="00B3274C">
        <w:rPr>
          <w:lang w:val="fr-CA"/>
        </w:rPr>
        <w:t>ii)</w:t>
      </w:r>
      <w:r w:rsidRPr="00B3274C">
        <w:rPr>
          <w:lang w:val="fr-CA"/>
        </w:rPr>
        <w:tab/>
      </w:r>
      <w:r w:rsidR="009004B5" w:rsidRPr="00B3274C">
        <w:rPr>
          <w:lang w:val="fr-CA"/>
        </w:rPr>
        <w:t xml:space="preserve">Protection sociale et accès aux services essentiels </w:t>
      </w:r>
    </w:p>
    <w:p w:rsidR="00FB23D3" w:rsidRPr="00B3274C" w:rsidRDefault="009463AB" w:rsidP="00D55B13">
      <w:pPr>
        <w:pStyle w:val="H56G"/>
        <w:rPr>
          <w:lang w:val="fr-CA"/>
        </w:rPr>
      </w:pPr>
      <w:r w:rsidRPr="00B3274C">
        <w:rPr>
          <w:lang w:val="fr-CA"/>
        </w:rPr>
        <w:tab/>
      </w:r>
      <w:r w:rsidR="00FB6FFD">
        <w:rPr>
          <w:lang w:val="fr-CA"/>
        </w:rPr>
        <w:t>a)</w:t>
      </w:r>
      <w:r w:rsidRPr="00B3274C">
        <w:rPr>
          <w:lang w:val="fr-CA"/>
        </w:rPr>
        <w:tab/>
      </w:r>
      <w:r w:rsidR="009004B5" w:rsidRPr="00B3274C">
        <w:rPr>
          <w:lang w:val="fr-CA"/>
        </w:rPr>
        <w:t xml:space="preserve">Réforme des pensions </w:t>
      </w:r>
    </w:p>
    <w:p w:rsidR="00FB23D3" w:rsidRPr="00B3274C" w:rsidRDefault="00107A47" w:rsidP="00107A47">
      <w:pPr>
        <w:pStyle w:val="SingleTxtG"/>
        <w:rPr>
          <w:i/>
          <w:lang w:val="fr-CA"/>
        </w:rPr>
      </w:pPr>
      <w:r w:rsidRPr="00B3274C">
        <w:rPr>
          <w:lang w:val="fr-CA"/>
        </w:rPr>
        <w:t>238.</w:t>
      </w:r>
      <w:r w:rsidRPr="00B3274C">
        <w:rPr>
          <w:lang w:val="fr-CA"/>
        </w:rPr>
        <w:tab/>
      </w:r>
      <w:r w:rsidR="009004B5" w:rsidRPr="00B3274C">
        <w:rPr>
          <w:lang w:val="fr-CA"/>
        </w:rPr>
        <w:t>De grandes réformes du système des pensions ont été introduites</w:t>
      </w:r>
      <w:r w:rsidR="00FE45BD" w:rsidRPr="00B3274C">
        <w:rPr>
          <w:lang w:val="fr-CA"/>
        </w:rPr>
        <w:t xml:space="preserve"> notamment par la loi n°</w:t>
      </w:r>
      <w:r w:rsidR="00FB23D3" w:rsidRPr="00B3274C">
        <w:rPr>
          <w:lang w:val="fr-CA"/>
        </w:rPr>
        <w:t xml:space="preserve">3863/2010 </w:t>
      </w:r>
      <w:r w:rsidR="0055418C" w:rsidRPr="00B3274C">
        <w:rPr>
          <w:lang w:val="fr-CA"/>
        </w:rPr>
        <w:t>«</w:t>
      </w:r>
      <w:r w:rsidR="00FE45BD" w:rsidRPr="00B3274C">
        <w:rPr>
          <w:lang w:val="fr-CA"/>
        </w:rPr>
        <w:t>Nouveau système des pensions et dispositions connexes</w:t>
      </w:r>
      <w:r w:rsidR="0080611A">
        <w:rPr>
          <w:lang w:val="fr-CA"/>
        </w:rPr>
        <w:t>,</w:t>
      </w:r>
      <w:r w:rsidR="00FE45BD" w:rsidRPr="00B3274C">
        <w:rPr>
          <w:lang w:val="fr-CA"/>
        </w:rPr>
        <w:t xml:space="preserve"> réglementation des relations dans le domaine de l</w:t>
      </w:r>
      <w:r w:rsidR="0080611A">
        <w:rPr>
          <w:lang w:val="fr-CA"/>
        </w:rPr>
        <w:t>’</w:t>
      </w:r>
      <w:r w:rsidR="00FE45BD" w:rsidRPr="00B3274C">
        <w:rPr>
          <w:lang w:val="fr-CA"/>
        </w:rPr>
        <w:t>emploi</w:t>
      </w:r>
      <w:r w:rsidR="0055418C" w:rsidRPr="00B3274C">
        <w:rPr>
          <w:lang w:val="fr-CA"/>
        </w:rPr>
        <w:t>»</w:t>
      </w:r>
      <w:r w:rsidR="00FE45BD" w:rsidRPr="00B3274C">
        <w:rPr>
          <w:lang w:val="fr-CA"/>
        </w:rPr>
        <w:t xml:space="preserve"> en vue de mettre en place un régime de pension durable</w:t>
      </w:r>
      <w:r w:rsidR="0080611A">
        <w:rPr>
          <w:lang w:val="fr-CA"/>
        </w:rPr>
        <w:t>,</w:t>
      </w:r>
      <w:r w:rsidR="00FE45BD" w:rsidRPr="00B3274C">
        <w:rPr>
          <w:lang w:val="fr-CA"/>
        </w:rPr>
        <w:t xml:space="preserve"> socialement juste et suffisant</w:t>
      </w:r>
      <w:r w:rsidR="00EC5892" w:rsidRPr="00B3274C">
        <w:rPr>
          <w:lang w:val="fr-CA"/>
        </w:rPr>
        <w:t>:</w:t>
      </w:r>
      <w:r w:rsidR="00FE45BD" w:rsidRPr="00B3274C">
        <w:rPr>
          <w:lang w:val="fr-CA"/>
        </w:rPr>
        <w:t xml:space="preserve"> l</w:t>
      </w:r>
      <w:r w:rsidR="0080611A">
        <w:rPr>
          <w:lang w:val="fr-CA"/>
        </w:rPr>
        <w:t>’</w:t>
      </w:r>
      <w:r w:rsidR="00FE45BD" w:rsidRPr="00B3274C">
        <w:rPr>
          <w:lang w:val="fr-CA"/>
        </w:rPr>
        <w:t xml:space="preserve">égalisation progressive des règles </w:t>
      </w:r>
      <w:r w:rsidR="00FE1FA3" w:rsidRPr="00B3274C">
        <w:rPr>
          <w:lang w:val="fr-CA"/>
        </w:rPr>
        <w:t>relatives aux</w:t>
      </w:r>
      <w:r w:rsidR="00FE45BD" w:rsidRPr="00B3274C">
        <w:rPr>
          <w:lang w:val="fr-CA"/>
        </w:rPr>
        <w:t xml:space="preserve"> pensions de vieillesse pour toutes les caisses d</w:t>
      </w:r>
      <w:r w:rsidR="0080611A">
        <w:rPr>
          <w:lang w:val="fr-CA"/>
        </w:rPr>
        <w:t>’</w:t>
      </w:r>
      <w:r w:rsidR="00FE45BD" w:rsidRPr="00B3274C">
        <w:rPr>
          <w:lang w:val="fr-CA"/>
        </w:rPr>
        <w:t>assurance</w:t>
      </w:r>
      <w:r w:rsidR="0080611A">
        <w:rPr>
          <w:lang w:val="fr-CA"/>
        </w:rPr>
        <w:t>,</w:t>
      </w:r>
      <w:r w:rsidR="00FE45BD" w:rsidRPr="00B3274C">
        <w:rPr>
          <w:lang w:val="fr-CA"/>
        </w:rPr>
        <w:t xml:space="preserve"> la création d</w:t>
      </w:r>
      <w:r w:rsidR="0080611A">
        <w:rPr>
          <w:lang w:val="fr-CA"/>
        </w:rPr>
        <w:t>’</w:t>
      </w:r>
      <w:r w:rsidR="00FE45BD" w:rsidRPr="00B3274C">
        <w:rPr>
          <w:lang w:val="fr-CA"/>
        </w:rPr>
        <w:t>un système de calcul des pensions plus rationnel</w:t>
      </w:r>
      <w:r w:rsidR="0080611A">
        <w:rPr>
          <w:lang w:val="fr-CA"/>
        </w:rPr>
        <w:t>,</w:t>
      </w:r>
      <w:r w:rsidR="00FE45BD" w:rsidRPr="00B3274C">
        <w:rPr>
          <w:lang w:val="fr-CA"/>
        </w:rPr>
        <w:t xml:space="preserve"> l</w:t>
      </w:r>
      <w:r w:rsidR="0080611A">
        <w:rPr>
          <w:lang w:val="fr-CA"/>
        </w:rPr>
        <w:t>’</w:t>
      </w:r>
      <w:r w:rsidR="00FE45BD" w:rsidRPr="00B3274C">
        <w:rPr>
          <w:lang w:val="fr-CA"/>
        </w:rPr>
        <w:t xml:space="preserve">introduction de considérations démographiques dans les règles des pensions de vieillesse et </w:t>
      </w:r>
      <w:r w:rsidR="00DB617D" w:rsidRPr="00B3274C">
        <w:rPr>
          <w:lang w:val="fr-CA"/>
        </w:rPr>
        <w:t>une contribution de solidarité</w:t>
      </w:r>
      <w:bookmarkStart w:id="32" w:name="OLE_LINK39"/>
      <w:bookmarkStart w:id="33" w:name="OLE_LINK40"/>
      <w:r w:rsidR="00DB617D" w:rsidRPr="00B3274C">
        <w:rPr>
          <w:lang w:val="fr-CA"/>
        </w:rPr>
        <w:t xml:space="preserve"> prélevée sur les pensions élevées</w:t>
      </w:r>
      <w:bookmarkEnd w:id="32"/>
      <w:bookmarkEnd w:id="33"/>
      <w:r w:rsidR="00FB23D3" w:rsidRPr="00B3274C">
        <w:rPr>
          <w:lang w:val="fr-CA"/>
        </w:rPr>
        <w:t xml:space="preserve">. </w:t>
      </w:r>
    </w:p>
    <w:p w:rsidR="00FB23D3" w:rsidRPr="00B3274C" w:rsidRDefault="00107A47" w:rsidP="00107A47">
      <w:pPr>
        <w:pStyle w:val="SingleTxtG"/>
        <w:rPr>
          <w:lang w:val="fr-CA"/>
        </w:rPr>
      </w:pPr>
      <w:r w:rsidRPr="00B3274C">
        <w:rPr>
          <w:lang w:val="fr-CA"/>
        </w:rPr>
        <w:t>239.</w:t>
      </w:r>
      <w:r w:rsidRPr="00B3274C">
        <w:rPr>
          <w:lang w:val="fr-CA"/>
        </w:rPr>
        <w:tab/>
      </w:r>
      <w:r w:rsidR="00041938" w:rsidRPr="00B3274C">
        <w:rPr>
          <w:lang w:val="fr-CA"/>
        </w:rPr>
        <w:t xml:space="preserve">Conformément à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3863/2010</w:t>
      </w:r>
      <w:r w:rsidR="0080611A">
        <w:rPr>
          <w:lang w:val="fr-CA"/>
        </w:rPr>
        <w:t>,</w:t>
      </w:r>
      <w:r w:rsidR="00041938" w:rsidRPr="00B3274C">
        <w:rPr>
          <w:lang w:val="fr-CA"/>
        </w:rPr>
        <w:t xml:space="preserve"> une pension de base minimum </w:t>
      </w:r>
      <w:r w:rsidR="005351BD" w:rsidRPr="00B3274C">
        <w:rPr>
          <w:lang w:val="fr-CA"/>
        </w:rPr>
        <w:t>(360</w:t>
      </w:r>
      <w:r w:rsidR="0099272B">
        <w:rPr>
          <w:lang w:val="fr-CA"/>
        </w:rPr>
        <w:t> </w:t>
      </w:r>
      <w:r w:rsidR="00E562FA">
        <w:rPr>
          <w:lang w:val="fr-CA"/>
        </w:rPr>
        <w:t>euros</w:t>
      </w:r>
      <w:r w:rsidR="005351BD" w:rsidRPr="00B3274C">
        <w:rPr>
          <w:lang w:val="fr-CA"/>
        </w:rPr>
        <w:t xml:space="preserve">) </w:t>
      </w:r>
      <w:r w:rsidR="00041938" w:rsidRPr="00B3274C">
        <w:rPr>
          <w:lang w:val="fr-CA"/>
        </w:rPr>
        <w:t>sera versée</w:t>
      </w:r>
      <w:r w:rsidR="00041938" w:rsidRPr="00B3274C">
        <w:rPr>
          <w:i/>
          <w:lang w:val="fr-CA"/>
        </w:rPr>
        <w:t xml:space="preserve"> </w:t>
      </w:r>
      <w:r w:rsidR="00041938" w:rsidRPr="00B3274C">
        <w:rPr>
          <w:lang w:val="fr-CA"/>
        </w:rPr>
        <w:t>à tous à compter de 2015</w:t>
      </w:r>
      <w:r w:rsidR="000E5A01" w:rsidRPr="00B3274C">
        <w:rPr>
          <w:lang w:val="fr-CA"/>
        </w:rPr>
        <w:t xml:space="preserve"> et une pension </w:t>
      </w:r>
      <w:r w:rsidR="000535C9" w:rsidRPr="00B3274C">
        <w:rPr>
          <w:lang w:val="fr-CA"/>
        </w:rPr>
        <w:t>fixée selon un système de calcul analogique</w:t>
      </w:r>
      <w:r w:rsidR="005351BD" w:rsidRPr="00B3274C">
        <w:rPr>
          <w:lang w:val="fr-CA"/>
        </w:rPr>
        <w:t xml:space="preserve"> sera versée</w:t>
      </w:r>
      <w:r w:rsidR="000E5A01" w:rsidRPr="00B3274C">
        <w:rPr>
          <w:lang w:val="fr-CA"/>
        </w:rPr>
        <w:t xml:space="preserve"> à </w:t>
      </w:r>
      <w:r w:rsidR="005351BD" w:rsidRPr="00B3274C">
        <w:rPr>
          <w:lang w:val="fr-CA"/>
        </w:rPr>
        <w:t>tous les</w:t>
      </w:r>
      <w:r w:rsidR="000E5A01" w:rsidRPr="00B3274C">
        <w:rPr>
          <w:lang w:val="fr-CA"/>
        </w:rPr>
        <w:t xml:space="preserve"> travailleur</w:t>
      </w:r>
      <w:r w:rsidR="005351BD" w:rsidRPr="00B3274C">
        <w:rPr>
          <w:lang w:val="fr-CA"/>
        </w:rPr>
        <w:t>s</w:t>
      </w:r>
      <w:r w:rsidR="0080611A">
        <w:rPr>
          <w:lang w:val="fr-CA"/>
        </w:rPr>
        <w:t>,</w:t>
      </w:r>
      <w:r w:rsidR="000E5A01" w:rsidRPr="00B3274C">
        <w:rPr>
          <w:lang w:val="fr-CA"/>
        </w:rPr>
        <w:t xml:space="preserve"> en fonction du nombre d</w:t>
      </w:r>
      <w:r w:rsidR="0080611A">
        <w:rPr>
          <w:lang w:val="fr-CA"/>
        </w:rPr>
        <w:t>’</w:t>
      </w:r>
      <w:r w:rsidR="000E5A01" w:rsidRPr="00B3274C">
        <w:rPr>
          <w:lang w:val="fr-CA"/>
        </w:rPr>
        <w:t>années d</w:t>
      </w:r>
      <w:r w:rsidR="0080611A">
        <w:rPr>
          <w:lang w:val="fr-CA"/>
        </w:rPr>
        <w:t>’</w:t>
      </w:r>
      <w:r w:rsidR="000E5A01" w:rsidRPr="00B3274C">
        <w:rPr>
          <w:lang w:val="fr-CA"/>
        </w:rPr>
        <w:t>expérience</w:t>
      </w:r>
      <w:r w:rsidR="00FB23D3" w:rsidRPr="00B3274C">
        <w:rPr>
          <w:lang w:val="fr-CA"/>
        </w:rPr>
        <w:t>.</w:t>
      </w:r>
    </w:p>
    <w:p w:rsidR="00FB23D3" w:rsidRPr="00B3274C" w:rsidRDefault="009463AB" w:rsidP="00EE5A5C">
      <w:pPr>
        <w:pStyle w:val="H56G"/>
        <w:rPr>
          <w:lang w:val="fr-CA"/>
        </w:rPr>
      </w:pPr>
      <w:r w:rsidRPr="00B3274C">
        <w:rPr>
          <w:lang w:val="fr-CA"/>
        </w:rPr>
        <w:tab/>
      </w:r>
      <w:r w:rsidR="00FB6FFD">
        <w:rPr>
          <w:lang w:val="fr-CA"/>
        </w:rPr>
        <w:t>b)</w:t>
      </w:r>
      <w:r w:rsidRPr="00B3274C">
        <w:rPr>
          <w:lang w:val="fr-CA"/>
        </w:rPr>
        <w:tab/>
      </w:r>
      <w:r w:rsidR="000535C9" w:rsidRPr="00B3274C">
        <w:rPr>
          <w:lang w:val="fr-CA"/>
        </w:rPr>
        <w:t xml:space="preserve">Meilleur accès aux soins médicaux </w:t>
      </w:r>
    </w:p>
    <w:p w:rsidR="00FB23D3" w:rsidRPr="00B3274C" w:rsidRDefault="00107A47" w:rsidP="00107A47">
      <w:pPr>
        <w:pStyle w:val="SingleTxtG"/>
        <w:rPr>
          <w:lang w:val="fr-CA"/>
        </w:rPr>
      </w:pPr>
      <w:r w:rsidRPr="00B3274C">
        <w:rPr>
          <w:lang w:val="fr-CA"/>
        </w:rPr>
        <w:t>240.</w:t>
      </w:r>
      <w:r w:rsidRPr="00B3274C">
        <w:rPr>
          <w:lang w:val="fr-CA"/>
        </w:rPr>
        <w:tab/>
      </w:r>
      <w:r w:rsidR="00FF4D0F" w:rsidRPr="00B3274C">
        <w:rPr>
          <w:lang w:val="fr-CA"/>
        </w:rPr>
        <w:t>D</w:t>
      </w:r>
      <w:r w:rsidR="0080611A">
        <w:rPr>
          <w:lang w:val="fr-CA"/>
        </w:rPr>
        <w:t>’</w:t>
      </w:r>
      <w:r w:rsidR="00FF4D0F" w:rsidRPr="00B3274C">
        <w:rPr>
          <w:lang w:val="fr-CA"/>
        </w:rPr>
        <w:t>après l</w:t>
      </w:r>
      <w:r w:rsidR="0080611A">
        <w:rPr>
          <w:lang w:val="fr-CA"/>
        </w:rPr>
        <w:t>’</w:t>
      </w:r>
      <w:r w:rsidR="00597DC4">
        <w:rPr>
          <w:lang w:val="fr-CA"/>
        </w:rPr>
        <w:t>article </w:t>
      </w:r>
      <w:r w:rsidR="00FF4D0F" w:rsidRPr="00B3274C">
        <w:rPr>
          <w:lang w:val="fr-CA"/>
        </w:rPr>
        <w:t>35 de la loi n°</w:t>
      </w:r>
      <w:r w:rsidR="00FB23D3" w:rsidRPr="00B3274C">
        <w:rPr>
          <w:lang w:val="fr-CA"/>
        </w:rPr>
        <w:t>3996/2011</w:t>
      </w:r>
      <w:r w:rsidR="00FF4D0F" w:rsidRPr="00B3274C">
        <w:rPr>
          <w:lang w:val="fr-CA"/>
        </w:rPr>
        <w:t>(</w:t>
      </w:r>
      <w:r w:rsidR="0055418C" w:rsidRPr="00B3274C">
        <w:rPr>
          <w:lang w:val="fr-CA"/>
        </w:rPr>
        <w:t>«</w:t>
      </w:r>
      <w:r w:rsidR="00FB23D3" w:rsidRPr="00B3274C">
        <w:rPr>
          <w:lang w:val="fr-CA"/>
        </w:rPr>
        <w:t>Restructur</w:t>
      </w:r>
      <w:r w:rsidR="00FF4D0F" w:rsidRPr="00B3274C">
        <w:rPr>
          <w:lang w:val="fr-CA"/>
        </w:rPr>
        <w:t>ation de l</w:t>
      </w:r>
      <w:r w:rsidR="0080611A">
        <w:rPr>
          <w:lang w:val="fr-CA"/>
        </w:rPr>
        <w:t>’</w:t>
      </w:r>
      <w:r w:rsidR="00FF4D0F" w:rsidRPr="00B3274C">
        <w:rPr>
          <w:lang w:val="fr-CA"/>
        </w:rPr>
        <w:t>Inspection du travail (SEPE) et règles concernant les questions d</w:t>
      </w:r>
      <w:r w:rsidR="0080611A">
        <w:rPr>
          <w:lang w:val="fr-CA"/>
        </w:rPr>
        <w:t>’</w:t>
      </w:r>
      <w:r w:rsidR="00FF4D0F" w:rsidRPr="00B3274C">
        <w:rPr>
          <w:lang w:val="fr-CA"/>
        </w:rPr>
        <w:t>assurances sociales</w:t>
      </w:r>
      <w:r w:rsidR="0055418C" w:rsidRPr="00B3274C">
        <w:rPr>
          <w:lang w:val="fr-CA"/>
        </w:rPr>
        <w:t>»</w:t>
      </w:r>
      <w:r w:rsidR="00FF4D0F" w:rsidRPr="00B3274C">
        <w:rPr>
          <w:lang w:val="fr-CA"/>
        </w:rPr>
        <w:t>)</w:t>
      </w:r>
      <w:r w:rsidR="0080611A">
        <w:rPr>
          <w:lang w:val="fr-CA"/>
        </w:rPr>
        <w:t>,</w:t>
      </w:r>
      <w:r w:rsidR="00FF4D0F" w:rsidRPr="00B3274C">
        <w:rPr>
          <w:lang w:val="fr-CA"/>
        </w:rPr>
        <w:t xml:space="preserve"> tel que modifié par l</w:t>
      </w:r>
      <w:r w:rsidR="0080611A">
        <w:rPr>
          <w:lang w:val="fr-CA"/>
        </w:rPr>
        <w:t>’</w:t>
      </w:r>
      <w:r w:rsidR="00597DC4">
        <w:rPr>
          <w:lang w:val="fr-CA"/>
        </w:rPr>
        <w:t>article </w:t>
      </w:r>
      <w:r w:rsidR="00FF4D0F" w:rsidRPr="00B3274C">
        <w:rPr>
          <w:lang w:val="fr-CA"/>
        </w:rPr>
        <w:t xml:space="preserve">138 de la loi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4052/2012</w:t>
      </w:r>
      <w:r w:rsidR="0080611A">
        <w:rPr>
          <w:lang w:val="fr-CA"/>
        </w:rPr>
        <w:t>,</w:t>
      </w:r>
      <w:r w:rsidR="00FB23D3" w:rsidRPr="00B3274C">
        <w:rPr>
          <w:lang w:val="fr-CA"/>
        </w:rPr>
        <w:t xml:space="preserve"> </w:t>
      </w:r>
      <w:r w:rsidR="00FF4D0F" w:rsidRPr="00B3274C">
        <w:rPr>
          <w:lang w:val="fr-CA"/>
        </w:rPr>
        <w:t>l</w:t>
      </w:r>
      <w:r w:rsidR="0080611A">
        <w:rPr>
          <w:lang w:val="fr-CA"/>
        </w:rPr>
        <w:t>’</w:t>
      </w:r>
      <w:r w:rsidR="00FF4D0F" w:rsidRPr="00B3274C">
        <w:rPr>
          <w:lang w:val="fr-CA"/>
        </w:rPr>
        <w:t xml:space="preserve">accès aux services médicaux et pharmaceutiques </w:t>
      </w:r>
      <w:r w:rsidR="00512DE0" w:rsidRPr="00B3274C">
        <w:rPr>
          <w:lang w:val="fr-CA"/>
        </w:rPr>
        <w:t xml:space="preserve">pour les chômeurs </w:t>
      </w:r>
      <w:r w:rsidR="00FF4D0F" w:rsidRPr="00B3274C">
        <w:rPr>
          <w:lang w:val="fr-CA"/>
        </w:rPr>
        <w:t>e</w:t>
      </w:r>
      <w:r w:rsidR="00B57D06" w:rsidRPr="00B3274C">
        <w:rPr>
          <w:lang w:val="fr-CA"/>
        </w:rPr>
        <w:t>s</w:t>
      </w:r>
      <w:r w:rsidR="00FF4D0F" w:rsidRPr="00B3274C">
        <w:rPr>
          <w:lang w:val="fr-CA"/>
        </w:rPr>
        <w:t>t prolongé</w:t>
      </w:r>
      <w:r w:rsidR="00B57D06" w:rsidRPr="00B3274C">
        <w:rPr>
          <w:lang w:val="fr-CA"/>
        </w:rPr>
        <w:t xml:space="preserve"> jusqu</w:t>
      </w:r>
      <w:r w:rsidR="0080611A">
        <w:rPr>
          <w:lang w:val="fr-CA"/>
        </w:rPr>
        <w:t>’</w:t>
      </w:r>
      <w:r w:rsidR="00B57D06" w:rsidRPr="00B3274C">
        <w:rPr>
          <w:lang w:val="fr-CA"/>
        </w:rPr>
        <w:t>au 31 décembre 2012</w:t>
      </w:r>
      <w:r w:rsidR="00512DE0" w:rsidRPr="00B3274C">
        <w:rPr>
          <w:lang w:val="fr-CA"/>
        </w:rPr>
        <w:t xml:space="preserve"> cependant que les conditions à remplir pour bénéficier de la couverture médicale sont définies pour </w:t>
      </w:r>
      <w:r w:rsidR="00614BAC">
        <w:rPr>
          <w:lang w:val="fr-CA"/>
        </w:rPr>
        <w:t>les personnes</w:t>
      </w:r>
      <w:r w:rsidR="00512DE0" w:rsidRPr="00B3274C">
        <w:rPr>
          <w:lang w:val="fr-CA"/>
        </w:rPr>
        <w:t xml:space="preserve"> à très faible intensité de travail.</w:t>
      </w:r>
      <w:r w:rsidR="0055418C" w:rsidRPr="00B3274C">
        <w:rPr>
          <w:lang w:val="fr-CA"/>
        </w:rPr>
        <w:t xml:space="preserve"> </w:t>
      </w:r>
    </w:p>
    <w:p w:rsidR="00FB23D3" w:rsidRPr="00B3274C" w:rsidRDefault="009463AB" w:rsidP="00EE5A5C">
      <w:pPr>
        <w:pStyle w:val="H56G"/>
        <w:rPr>
          <w:lang w:val="fr-CA"/>
        </w:rPr>
      </w:pPr>
      <w:r w:rsidRPr="00B3274C">
        <w:rPr>
          <w:lang w:val="fr-CA"/>
        </w:rPr>
        <w:tab/>
      </w:r>
      <w:r w:rsidR="00FB6FFD">
        <w:rPr>
          <w:lang w:val="fr-CA"/>
        </w:rPr>
        <w:t>c)</w:t>
      </w:r>
      <w:r w:rsidRPr="00B3274C">
        <w:rPr>
          <w:lang w:val="fr-CA"/>
        </w:rPr>
        <w:tab/>
      </w:r>
      <w:r w:rsidR="000535C9" w:rsidRPr="00B3274C">
        <w:rPr>
          <w:lang w:val="fr-CA"/>
        </w:rPr>
        <w:t>Programme d</w:t>
      </w:r>
      <w:r w:rsidR="0080611A">
        <w:rPr>
          <w:lang w:val="fr-CA"/>
        </w:rPr>
        <w:t>’</w:t>
      </w:r>
      <w:r w:rsidR="00155DCE">
        <w:rPr>
          <w:lang w:val="fr-CA"/>
        </w:rPr>
        <w:t>«</w:t>
      </w:r>
      <w:r w:rsidR="000535C9" w:rsidRPr="00B3274C">
        <w:rPr>
          <w:lang w:val="fr-CA"/>
        </w:rPr>
        <w:t>aide à domicile</w:t>
      </w:r>
      <w:r w:rsidR="0055418C" w:rsidRPr="00B3274C">
        <w:rPr>
          <w:lang w:val="fr-CA"/>
        </w:rPr>
        <w:t>»</w:t>
      </w:r>
    </w:p>
    <w:p w:rsidR="00FB23D3" w:rsidRPr="00B3274C" w:rsidRDefault="00107A47" w:rsidP="00107A47">
      <w:pPr>
        <w:pStyle w:val="SingleTxtG"/>
        <w:rPr>
          <w:lang w:val="fr-CA"/>
        </w:rPr>
      </w:pPr>
      <w:r w:rsidRPr="00B3274C">
        <w:rPr>
          <w:lang w:val="fr-CA"/>
        </w:rPr>
        <w:t>241.</w:t>
      </w:r>
      <w:r w:rsidRPr="00B3274C">
        <w:rPr>
          <w:lang w:val="fr-CA"/>
        </w:rPr>
        <w:tab/>
      </w:r>
      <w:r w:rsidR="00512DE0" w:rsidRPr="00B3274C">
        <w:rPr>
          <w:lang w:val="fr-CA"/>
        </w:rPr>
        <w:t xml:space="preserve">De nouvelles lois visent à garantir la poursuite de ce programme performant. </w:t>
      </w:r>
    </w:p>
    <w:p w:rsidR="00FB23D3" w:rsidRPr="00B3274C" w:rsidRDefault="009463AB" w:rsidP="00EE5A5C">
      <w:pPr>
        <w:pStyle w:val="H56G"/>
        <w:rPr>
          <w:lang w:val="fr-CA"/>
        </w:rPr>
      </w:pPr>
      <w:r w:rsidRPr="00B3274C">
        <w:rPr>
          <w:lang w:val="fr-CA"/>
        </w:rPr>
        <w:tab/>
      </w:r>
      <w:r w:rsidR="00FB6FFD">
        <w:rPr>
          <w:lang w:val="fr-CA"/>
        </w:rPr>
        <w:t>d)</w:t>
      </w:r>
      <w:r w:rsidRPr="00B3274C">
        <w:rPr>
          <w:lang w:val="fr-CA"/>
        </w:rPr>
        <w:tab/>
      </w:r>
      <w:r w:rsidR="000535C9" w:rsidRPr="00B3274C">
        <w:rPr>
          <w:lang w:val="fr-CA"/>
        </w:rPr>
        <w:t>Prix</w:t>
      </w:r>
      <w:r w:rsidR="0055418C" w:rsidRPr="00B3274C">
        <w:rPr>
          <w:lang w:val="fr-CA"/>
        </w:rPr>
        <w:t xml:space="preserve"> </w:t>
      </w:r>
      <w:r w:rsidR="000535C9" w:rsidRPr="00B3274C">
        <w:rPr>
          <w:lang w:val="fr-CA"/>
        </w:rPr>
        <w:t xml:space="preserve">spéciaux pour les chômeurs </w:t>
      </w:r>
      <w:r w:rsidR="00FB23D3" w:rsidRPr="00B3274C">
        <w:rPr>
          <w:lang w:val="fr-CA"/>
        </w:rPr>
        <w:t>(</w:t>
      </w:r>
      <w:r w:rsidR="00512DE0" w:rsidRPr="00B3274C">
        <w:rPr>
          <w:lang w:val="fr-CA"/>
        </w:rPr>
        <w:t>initiative de l</w:t>
      </w:r>
      <w:r w:rsidR="0080611A">
        <w:rPr>
          <w:lang w:val="fr-CA"/>
        </w:rPr>
        <w:t>’</w:t>
      </w:r>
      <w:r w:rsidR="00FB23D3" w:rsidRPr="00B3274C">
        <w:rPr>
          <w:lang w:val="fr-CA"/>
        </w:rPr>
        <w:t>OAED</w:t>
      </w:r>
      <w:r w:rsidR="004E282E" w:rsidRPr="00B3274C">
        <w:rPr>
          <w:lang w:val="fr-CA"/>
        </w:rPr>
        <w:t>)</w:t>
      </w:r>
    </w:p>
    <w:p w:rsidR="00FB23D3" w:rsidRPr="00B3274C" w:rsidRDefault="00107A47" w:rsidP="00107A47">
      <w:pPr>
        <w:pStyle w:val="SingleTxtG"/>
        <w:rPr>
          <w:lang w:val="fr-CA"/>
        </w:rPr>
      </w:pPr>
      <w:r w:rsidRPr="00B3274C">
        <w:rPr>
          <w:lang w:val="fr-CA"/>
        </w:rPr>
        <w:t>242.</w:t>
      </w:r>
      <w:r w:rsidRPr="00B3274C">
        <w:rPr>
          <w:lang w:val="fr-CA"/>
        </w:rPr>
        <w:tab/>
      </w:r>
      <w:r w:rsidR="00512DE0" w:rsidRPr="00B3274C">
        <w:rPr>
          <w:lang w:val="fr-CA"/>
        </w:rPr>
        <w:t>Plus de 1</w:t>
      </w:r>
      <w:r w:rsidR="00136426" w:rsidRPr="00B3274C">
        <w:rPr>
          <w:lang w:val="fr-CA"/>
        </w:rPr>
        <w:t> </w:t>
      </w:r>
      <w:r w:rsidR="00512DE0" w:rsidRPr="00B3274C">
        <w:rPr>
          <w:lang w:val="fr-CA"/>
        </w:rPr>
        <w:t xml:space="preserve">500 commerces et magasins proposent des produits et des services à des prix spéciaux pour les chômeurs. </w:t>
      </w:r>
    </w:p>
    <w:p w:rsidR="00FB23D3" w:rsidRPr="00B3274C" w:rsidRDefault="00726810" w:rsidP="00D55B13">
      <w:pPr>
        <w:pStyle w:val="H4G"/>
        <w:rPr>
          <w:lang w:val="fr-CA"/>
        </w:rPr>
      </w:pPr>
      <w:r w:rsidRPr="00B3274C">
        <w:rPr>
          <w:lang w:val="fr-CA"/>
        </w:rPr>
        <w:tab/>
      </w:r>
      <w:r w:rsidR="00EE5A5C" w:rsidRPr="00B3274C">
        <w:rPr>
          <w:lang w:val="fr-CA"/>
        </w:rPr>
        <w:t>iii)</w:t>
      </w:r>
      <w:r w:rsidRPr="00B3274C">
        <w:rPr>
          <w:lang w:val="fr-CA"/>
        </w:rPr>
        <w:tab/>
      </w:r>
      <w:r w:rsidR="00512DE0" w:rsidRPr="00B3274C">
        <w:rPr>
          <w:lang w:val="fr-CA"/>
        </w:rPr>
        <w:t xml:space="preserve">Soutien financier (allocations uniques) </w:t>
      </w:r>
    </w:p>
    <w:p w:rsidR="00FB23D3" w:rsidRPr="00B3274C" w:rsidRDefault="00107A47" w:rsidP="00107A47">
      <w:pPr>
        <w:pStyle w:val="SingleTxtG"/>
        <w:rPr>
          <w:lang w:val="fr-CA"/>
        </w:rPr>
      </w:pPr>
      <w:r w:rsidRPr="00B3274C">
        <w:rPr>
          <w:lang w:val="fr-CA"/>
        </w:rPr>
        <w:t>243.</w:t>
      </w:r>
      <w:r w:rsidRPr="00B3274C">
        <w:rPr>
          <w:lang w:val="fr-CA"/>
        </w:rPr>
        <w:tab/>
      </w:r>
      <w:r w:rsidR="000A4738" w:rsidRPr="00B3274C">
        <w:rPr>
          <w:lang w:val="fr-CA"/>
        </w:rPr>
        <w:t>Dans le cadre des actions ciblées et compte tenu de la crise économique actuelle</w:t>
      </w:r>
      <w:r w:rsidR="0080611A">
        <w:rPr>
          <w:lang w:val="fr-CA"/>
        </w:rPr>
        <w:t>,</w:t>
      </w:r>
      <w:r w:rsidR="000A4738" w:rsidRPr="00B3274C">
        <w:rPr>
          <w:lang w:val="fr-CA"/>
        </w:rPr>
        <w:t xml:space="preserve"> les autorités grecques ont versé</w:t>
      </w:r>
      <w:r w:rsidR="0080611A">
        <w:rPr>
          <w:lang w:val="fr-CA"/>
        </w:rPr>
        <w:t>,</w:t>
      </w:r>
      <w:r w:rsidR="000A4738" w:rsidRPr="00B3274C">
        <w:rPr>
          <w:lang w:val="fr-CA"/>
        </w:rPr>
        <w:t xml:space="preserve"> au début de 2009</w:t>
      </w:r>
      <w:r w:rsidR="0080611A">
        <w:rPr>
          <w:lang w:val="fr-CA"/>
        </w:rPr>
        <w:t>,</w:t>
      </w:r>
      <w:r w:rsidR="000A4738" w:rsidRPr="00B3274C">
        <w:rPr>
          <w:lang w:val="fr-CA"/>
        </w:rPr>
        <w:t xml:space="preserve"> une allocation spéciale de cohésion sociale aux chômeurs de longue durée</w:t>
      </w:r>
      <w:r w:rsidR="0080611A">
        <w:rPr>
          <w:lang w:val="fr-CA"/>
        </w:rPr>
        <w:t>,</w:t>
      </w:r>
      <w:r w:rsidR="000A4738" w:rsidRPr="00B3274C">
        <w:rPr>
          <w:lang w:val="fr-CA"/>
        </w:rPr>
        <w:t xml:space="preserve"> aux retraités à faibles revenus et à certaines catégories </w:t>
      </w:r>
      <w:r w:rsidR="00614BAC">
        <w:rPr>
          <w:lang w:val="fr-CA"/>
        </w:rPr>
        <w:t>de personnes</w:t>
      </w:r>
      <w:r w:rsidR="000A4738" w:rsidRPr="00B3274C">
        <w:rPr>
          <w:lang w:val="fr-CA"/>
        </w:rPr>
        <w:t xml:space="preserve"> handicapées </w:t>
      </w:r>
      <w:r w:rsidR="00FB23D3" w:rsidRPr="00B3274C">
        <w:rPr>
          <w:i/>
          <w:lang w:val="fr-CA"/>
        </w:rPr>
        <w:t>(</w:t>
      </w:r>
      <w:r w:rsidR="00AA53D8" w:rsidRPr="00B3274C">
        <w:rPr>
          <w:lang w:val="fr-CA"/>
        </w:rPr>
        <w:t>l</w:t>
      </w:r>
      <w:r w:rsidR="000A4738" w:rsidRPr="00B3274C">
        <w:rPr>
          <w:lang w:val="fr-CA"/>
        </w:rPr>
        <w:t xml:space="preserve">oi </w:t>
      </w:r>
      <w:r w:rsidR="00136426" w:rsidRPr="00B3274C">
        <w:rPr>
          <w:lang w:val="fr-CA"/>
        </w:rPr>
        <w:t>n</w:t>
      </w:r>
      <w:r w:rsidR="00136426" w:rsidRPr="00B3274C">
        <w:rPr>
          <w:vertAlign w:val="superscript"/>
          <w:lang w:val="fr-CA"/>
        </w:rPr>
        <w:t>o</w:t>
      </w:r>
      <w:r w:rsidR="00136426" w:rsidRPr="00B3274C">
        <w:rPr>
          <w:lang w:val="fr-CA"/>
        </w:rPr>
        <w:t> </w:t>
      </w:r>
      <w:r w:rsidR="00FB23D3" w:rsidRPr="00B3274C">
        <w:rPr>
          <w:lang w:val="fr-CA"/>
        </w:rPr>
        <w:t>3746/2009</w:t>
      </w:r>
      <w:r w:rsidR="0080611A">
        <w:rPr>
          <w:lang w:val="fr-CA"/>
        </w:rPr>
        <w:t>,</w:t>
      </w:r>
      <w:r w:rsidR="00FB23D3" w:rsidRPr="00B3274C">
        <w:rPr>
          <w:lang w:val="fr-CA"/>
        </w:rPr>
        <w:t xml:space="preserve"> </w:t>
      </w:r>
      <w:r w:rsidR="0055418C" w:rsidRPr="00B3274C">
        <w:rPr>
          <w:lang w:val="fr-CA"/>
        </w:rPr>
        <w:t>«</w:t>
      </w:r>
      <w:r w:rsidR="000A4738" w:rsidRPr="00B3274C">
        <w:rPr>
          <w:lang w:val="fr-CA"/>
        </w:rPr>
        <w:t>Fonds de garantie des dépôts et investissements...</w:t>
      </w:r>
      <w:r w:rsidR="0055418C" w:rsidRPr="00B3274C">
        <w:rPr>
          <w:lang w:val="fr-CA"/>
        </w:rPr>
        <w:t>»</w:t>
      </w:r>
      <w:r w:rsidR="0080611A">
        <w:rPr>
          <w:lang w:val="fr-CA"/>
        </w:rPr>
        <w:t>,</w:t>
      </w:r>
      <w:r w:rsidR="00FB23D3" w:rsidRPr="00B3274C">
        <w:rPr>
          <w:lang w:val="fr-CA"/>
        </w:rPr>
        <w:t xml:space="preserve"> </w:t>
      </w:r>
      <w:r w:rsidR="00597DC4">
        <w:rPr>
          <w:lang w:val="fr-CA"/>
        </w:rPr>
        <w:t>art</w:t>
      </w:r>
      <w:r w:rsidR="00FB6FFD">
        <w:rPr>
          <w:lang w:val="fr-CA"/>
        </w:rPr>
        <w:t>. </w:t>
      </w:r>
      <w:r w:rsidR="00FB23D3" w:rsidRPr="00B3274C">
        <w:rPr>
          <w:lang w:val="fr-CA"/>
        </w:rPr>
        <w:t>90).</w:t>
      </w:r>
    </w:p>
    <w:p w:rsidR="00FB23D3" w:rsidRPr="00B3274C" w:rsidRDefault="00107A47" w:rsidP="00107A47">
      <w:pPr>
        <w:pStyle w:val="SingleTxtG"/>
        <w:rPr>
          <w:lang w:val="fr-CA"/>
        </w:rPr>
      </w:pPr>
      <w:r w:rsidRPr="00B3274C">
        <w:rPr>
          <w:lang w:val="fr-CA"/>
        </w:rPr>
        <w:t>244.</w:t>
      </w:r>
      <w:r w:rsidRPr="00B3274C">
        <w:rPr>
          <w:lang w:val="fr-CA"/>
        </w:rPr>
        <w:tab/>
      </w:r>
      <w:r w:rsidR="00FB6FFD">
        <w:rPr>
          <w:lang w:val="fr-CA"/>
        </w:rPr>
        <w:t>En vertu de la loi n</w:t>
      </w:r>
      <w:r w:rsidR="00FB6FFD" w:rsidRPr="00FB6FFD">
        <w:rPr>
          <w:vertAlign w:val="superscript"/>
          <w:lang w:val="fr-CA"/>
        </w:rPr>
        <w:t>o</w:t>
      </w:r>
      <w:r w:rsidR="00FB6FFD">
        <w:rPr>
          <w:lang w:val="fr-CA"/>
        </w:rPr>
        <w:t> </w:t>
      </w:r>
      <w:r w:rsidR="00FB23D3" w:rsidRPr="00B3274C">
        <w:rPr>
          <w:lang w:val="fr-CA"/>
        </w:rPr>
        <w:t xml:space="preserve">3808/2009 </w:t>
      </w:r>
      <w:r w:rsidR="003A52D5" w:rsidRPr="00B3274C">
        <w:rPr>
          <w:lang w:val="fr-CA"/>
        </w:rPr>
        <w:t>(Soutien économique extraordinaire au titre de la solidarité sociale</w:t>
      </w:r>
      <w:r w:rsidR="0080611A">
        <w:rPr>
          <w:lang w:val="fr-CA"/>
        </w:rPr>
        <w:t>,</w:t>
      </w:r>
      <w:r w:rsidR="003A52D5" w:rsidRPr="00B3274C">
        <w:rPr>
          <w:lang w:val="fr-CA"/>
        </w:rPr>
        <w:t xml:space="preserve"> contribution extraordinaire de</w:t>
      </w:r>
      <w:r w:rsidR="006E20FB" w:rsidRPr="00B3274C">
        <w:rPr>
          <w:lang w:val="fr-CA"/>
        </w:rPr>
        <w:t>s</w:t>
      </w:r>
      <w:r w:rsidR="003A52D5" w:rsidRPr="00B3274C">
        <w:rPr>
          <w:lang w:val="fr-CA"/>
        </w:rPr>
        <w:t xml:space="preserve"> sociétés</w:t>
      </w:r>
      <w:r w:rsidR="006E20FB" w:rsidRPr="00B3274C">
        <w:rPr>
          <w:lang w:val="fr-CA"/>
        </w:rPr>
        <w:t xml:space="preserve"> très lucratives et de l</w:t>
      </w:r>
      <w:r w:rsidR="0080611A">
        <w:rPr>
          <w:lang w:val="fr-CA"/>
        </w:rPr>
        <w:t>’</w:t>
      </w:r>
      <w:r w:rsidR="006E20FB" w:rsidRPr="00B3274C">
        <w:rPr>
          <w:lang w:val="fr-CA"/>
        </w:rPr>
        <w:t>immobilier haut de gamme au titre de la solidarité sociale et autres lois)</w:t>
      </w:r>
      <w:r w:rsidR="0080611A">
        <w:rPr>
          <w:lang w:val="fr-CA"/>
        </w:rPr>
        <w:t>,</w:t>
      </w:r>
      <w:r w:rsidR="006E20FB" w:rsidRPr="00B3274C">
        <w:rPr>
          <w:lang w:val="fr-CA"/>
        </w:rPr>
        <w:t xml:space="preserve"> une allocation de solidarité sociale</w:t>
      </w:r>
      <w:r w:rsidR="0080611A">
        <w:rPr>
          <w:lang w:val="fr-CA"/>
        </w:rPr>
        <w:t>,</w:t>
      </w:r>
      <w:r w:rsidR="006E20FB" w:rsidRPr="00B3274C">
        <w:rPr>
          <w:lang w:val="fr-CA"/>
        </w:rPr>
        <w:t xml:space="preserve"> d</w:t>
      </w:r>
      <w:r w:rsidR="0080611A">
        <w:rPr>
          <w:lang w:val="fr-CA"/>
        </w:rPr>
        <w:t>’</w:t>
      </w:r>
      <w:r w:rsidR="006E20FB" w:rsidRPr="00B3274C">
        <w:rPr>
          <w:lang w:val="fr-CA"/>
        </w:rPr>
        <w:t>un montant allant de 300 à 1</w:t>
      </w:r>
      <w:r w:rsidR="007E3DE5">
        <w:rPr>
          <w:lang w:val="fr-CA"/>
        </w:rPr>
        <w:t> </w:t>
      </w:r>
      <w:r w:rsidR="006E20FB" w:rsidRPr="00B3274C">
        <w:rPr>
          <w:lang w:val="fr-CA"/>
        </w:rPr>
        <w:t>300</w:t>
      </w:r>
      <w:r w:rsidR="0099272B">
        <w:rPr>
          <w:lang w:val="fr-CA"/>
        </w:rPr>
        <w:t> </w:t>
      </w:r>
      <w:r w:rsidR="00E562FA">
        <w:rPr>
          <w:lang w:val="fr-CA"/>
        </w:rPr>
        <w:t>euros</w:t>
      </w:r>
      <w:r w:rsidR="0080611A">
        <w:rPr>
          <w:lang w:val="fr-CA"/>
        </w:rPr>
        <w:t>,</w:t>
      </w:r>
      <w:r w:rsidR="006E20FB" w:rsidRPr="00B3274C">
        <w:rPr>
          <w:lang w:val="fr-CA"/>
        </w:rPr>
        <w:t xml:space="preserve"> est versée pour aider les familles des employés salariés</w:t>
      </w:r>
      <w:r w:rsidR="0080611A">
        <w:rPr>
          <w:lang w:val="fr-CA"/>
        </w:rPr>
        <w:t>,</w:t>
      </w:r>
      <w:r w:rsidR="006E20FB" w:rsidRPr="00B3274C">
        <w:rPr>
          <w:lang w:val="fr-CA"/>
        </w:rPr>
        <w:t xml:space="preserve"> </w:t>
      </w:r>
      <w:r w:rsidR="00781EE5" w:rsidRPr="00B3274C">
        <w:rPr>
          <w:lang w:val="fr-CA"/>
        </w:rPr>
        <w:t>d</w:t>
      </w:r>
      <w:r w:rsidR="006E20FB" w:rsidRPr="00B3274C">
        <w:rPr>
          <w:lang w:val="fr-CA"/>
        </w:rPr>
        <w:t>es</w:t>
      </w:r>
      <w:r w:rsidR="00781EE5" w:rsidRPr="00B3274C">
        <w:rPr>
          <w:lang w:val="fr-CA"/>
        </w:rPr>
        <w:t xml:space="preserve"> </w:t>
      </w:r>
      <w:r w:rsidR="006E20FB" w:rsidRPr="00B3274C">
        <w:rPr>
          <w:lang w:val="fr-CA"/>
        </w:rPr>
        <w:t>retraités</w:t>
      </w:r>
      <w:r w:rsidR="00781EE5" w:rsidRPr="00B3274C">
        <w:rPr>
          <w:lang w:val="fr-CA"/>
        </w:rPr>
        <w:t xml:space="preserve"> et d</w:t>
      </w:r>
      <w:r w:rsidR="006E20FB" w:rsidRPr="00B3274C">
        <w:rPr>
          <w:lang w:val="fr-CA"/>
        </w:rPr>
        <w:t xml:space="preserve">es agriculteurs à </w:t>
      </w:r>
      <w:r w:rsidR="00781EE5" w:rsidRPr="00B3274C">
        <w:rPr>
          <w:lang w:val="fr-CA"/>
        </w:rPr>
        <w:t xml:space="preserve">très </w:t>
      </w:r>
      <w:r w:rsidR="006E20FB" w:rsidRPr="00B3274C">
        <w:rPr>
          <w:lang w:val="fr-CA"/>
        </w:rPr>
        <w:t>faibles revenus ainsi que les groupes sociaux vulnérables (qui satisfont à certains critères en matière de revenus et/ou critères sociaux)</w:t>
      </w:r>
      <w:r w:rsidR="00483846" w:rsidRPr="00B3274C">
        <w:rPr>
          <w:lang w:val="fr-CA"/>
        </w:rPr>
        <w:t>. Le versement était prévu en deux tranches</w:t>
      </w:r>
      <w:r w:rsidR="00090414" w:rsidRPr="00B3274C">
        <w:rPr>
          <w:lang w:val="fr-CA"/>
        </w:rPr>
        <w:t xml:space="preserve"> égales</w:t>
      </w:r>
      <w:r w:rsidR="00EC5892" w:rsidRPr="00B3274C">
        <w:rPr>
          <w:lang w:val="fr-CA"/>
        </w:rPr>
        <w:t>;</w:t>
      </w:r>
      <w:r w:rsidR="00483846" w:rsidRPr="00B3274C">
        <w:rPr>
          <w:lang w:val="fr-CA"/>
        </w:rPr>
        <w:t xml:space="preserve"> seule la première </w:t>
      </w:r>
      <w:r w:rsidR="006E20FB" w:rsidRPr="00B3274C">
        <w:rPr>
          <w:lang w:val="fr-CA"/>
        </w:rPr>
        <w:t xml:space="preserve">a été versée. </w:t>
      </w:r>
    </w:p>
    <w:p w:rsidR="00FB23D3" w:rsidRPr="00B3274C" w:rsidRDefault="00107A47" w:rsidP="00107A47">
      <w:pPr>
        <w:pStyle w:val="SingleTxtG"/>
        <w:rPr>
          <w:lang w:val="fr-CA"/>
        </w:rPr>
      </w:pPr>
      <w:r w:rsidRPr="00B3274C">
        <w:rPr>
          <w:lang w:val="fr-CA"/>
        </w:rPr>
        <w:t>245.</w:t>
      </w:r>
      <w:r w:rsidRPr="00B3274C">
        <w:rPr>
          <w:lang w:val="fr-CA"/>
        </w:rPr>
        <w:tab/>
      </w:r>
      <w:r w:rsidR="00F90D75" w:rsidRPr="00B3274C">
        <w:rPr>
          <w:lang w:val="fr-CA"/>
        </w:rPr>
        <w:t>Conformément à la loi n°</w:t>
      </w:r>
      <w:r w:rsidR="00FB23D3" w:rsidRPr="00B3274C">
        <w:rPr>
          <w:lang w:val="fr-CA"/>
        </w:rPr>
        <w:t>3896/2010</w:t>
      </w:r>
      <w:r w:rsidR="00F90D75" w:rsidRPr="00B3274C">
        <w:rPr>
          <w:lang w:val="fr-CA"/>
        </w:rPr>
        <w:t xml:space="preserve"> (Application du </w:t>
      </w:r>
      <w:r w:rsidR="00F90D75" w:rsidRPr="00B3274C">
        <w:rPr>
          <w:color w:val="000000"/>
          <w:lang w:val="fr-CA"/>
        </w:rPr>
        <w:t>principe de l</w:t>
      </w:r>
      <w:r w:rsidR="0080611A">
        <w:rPr>
          <w:color w:val="000000"/>
          <w:lang w:val="fr-CA"/>
        </w:rPr>
        <w:t>’</w:t>
      </w:r>
      <w:r w:rsidR="00F90D75" w:rsidRPr="00B3274C">
        <w:rPr>
          <w:color w:val="000000"/>
          <w:lang w:val="fr-CA"/>
        </w:rPr>
        <w:t>égalité des chances et de l</w:t>
      </w:r>
      <w:r w:rsidR="0080611A">
        <w:rPr>
          <w:color w:val="000000"/>
          <w:lang w:val="fr-CA"/>
        </w:rPr>
        <w:t>’</w:t>
      </w:r>
      <w:r w:rsidR="00F90D75" w:rsidRPr="00B3274C">
        <w:rPr>
          <w:color w:val="000000"/>
          <w:lang w:val="fr-CA"/>
        </w:rPr>
        <w:t>égalité de traitement entre hommes et femmes en matière d</w:t>
      </w:r>
      <w:r w:rsidR="0080611A">
        <w:rPr>
          <w:color w:val="000000"/>
          <w:lang w:val="fr-CA"/>
        </w:rPr>
        <w:t>’</w:t>
      </w:r>
      <w:r w:rsidR="00F90D75" w:rsidRPr="00B3274C">
        <w:rPr>
          <w:color w:val="000000"/>
          <w:lang w:val="fr-CA"/>
        </w:rPr>
        <w:t>emploi et de travail</w:t>
      </w:r>
      <w:r w:rsidR="0055418C" w:rsidRPr="00B3274C">
        <w:rPr>
          <w:color w:val="000000"/>
          <w:lang w:val="fr-CA"/>
        </w:rPr>
        <w:t xml:space="preserve"> </w:t>
      </w:r>
      <w:r w:rsidR="00FB23D3" w:rsidRPr="00B3274C">
        <w:rPr>
          <w:bCs/>
          <w:lang w:val="fr-CA"/>
        </w:rPr>
        <w:t>…</w:t>
      </w:r>
      <w:r w:rsidR="0080611A">
        <w:rPr>
          <w:lang w:val="fr-CA"/>
        </w:rPr>
        <w:t>,</w:t>
      </w:r>
      <w:r w:rsidR="00F90D75" w:rsidRPr="00B3274C">
        <w:rPr>
          <w:lang w:val="fr-CA"/>
        </w:rPr>
        <w:t xml:space="preserve"> 8</w:t>
      </w:r>
      <w:r w:rsidR="00FC63E1" w:rsidRPr="00B3274C">
        <w:rPr>
          <w:lang w:val="fr-CA"/>
        </w:rPr>
        <w:t xml:space="preserve"> décembre </w:t>
      </w:r>
      <w:r w:rsidR="00F90D75" w:rsidRPr="00B3274C">
        <w:rPr>
          <w:lang w:val="fr-CA"/>
        </w:rPr>
        <w:t>2010)</w:t>
      </w:r>
      <w:r w:rsidR="0080611A">
        <w:rPr>
          <w:lang w:val="fr-CA"/>
        </w:rPr>
        <w:t>,</w:t>
      </w:r>
      <w:r w:rsidR="00FB23D3" w:rsidRPr="00B3274C">
        <w:rPr>
          <w:lang w:val="fr-CA"/>
        </w:rPr>
        <w:t xml:space="preserve"> </w:t>
      </w:r>
      <w:r w:rsidR="00F90D75" w:rsidRPr="00B3274C">
        <w:rPr>
          <w:lang w:val="fr-CA"/>
        </w:rPr>
        <w:t xml:space="preserve">une aide financière extraordinaire </w:t>
      </w:r>
      <w:r w:rsidR="00C507FF" w:rsidRPr="00B3274C">
        <w:rPr>
          <w:lang w:val="fr-CA"/>
        </w:rPr>
        <w:t xml:space="preserve">(soumise à conditions de revenus) </w:t>
      </w:r>
      <w:r w:rsidR="00F90D75" w:rsidRPr="00B3274C">
        <w:rPr>
          <w:lang w:val="fr-CA"/>
        </w:rPr>
        <w:t xml:space="preserve">est accordée aux retraités de </w:t>
      </w:r>
      <w:r w:rsidR="00FC63E1" w:rsidRPr="00B3274C">
        <w:rPr>
          <w:lang w:val="fr-CA"/>
        </w:rPr>
        <w:t>plus de 60</w:t>
      </w:r>
      <w:r w:rsidR="004C055A">
        <w:rPr>
          <w:lang w:val="fr-CA"/>
        </w:rPr>
        <w:t> ans</w:t>
      </w:r>
      <w:r w:rsidR="00FC63E1" w:rsidRPr="00B3274C">
        <w:rPr>
          <w:lang w:val="fr-CA"/>
        </w:rPr>
        <w:t xml:space="preserve"> ayant un revenu </w:t>
      </w:r>
      <w:r w:rsidR="00C507FF" w:rsidRPr="00B3274C">
        <w:rPr>
          <w:lang w:val="fr-CA"/>
        </w:rPr>
        <w:t>faible</w:t>
      </w:r>
      <w:r w:rsidR="00EC5892" w:rsidRPr="00B3274C">
        <w:rPr>
          <w:lang w:val="fr-CA"/>
        </w:rPr>
        <w:t>;</w:t>
      </w:r>
      <w:r w:rsidR="00C507FF" w:rsidRPr="00B3274C">
        <w:rPr>
          <w:lang w:val="fr-CA"/>
        </w:rPr>
        <w:t xml:space="preserve"> son montant s</w:t>
      </w:r>
      <w:r w:rsidR="0080611A">
        <w:rPr>
          <w:lang w:val="fr-CA"/>
        </w:rPr>
        <w:t>’</w:t>
      </w:r>
      <w:r w:rsidR="00C507FF" w:rsidRPr="00B3274C">
        <w:rPr>
          <w:lang w:val="fr-CA"/>
        </w:rPr>
        <w:t>échelonne entre 100 et 300</w:t>
      </w:r>
      <w:r w:rsidR="0099272B">
        <w:rPr>
          <w:lang w:val="fr-CA"/>
        </w:rPr>
        <w:t> </w:t>
      </w:r>
      <w:r w:rsidR="00E562FA">
        <w:rPr>
          <w:lang w:val="fr-CA"/>
        </w:rPr>
        <w:t>euros</w:t>
      </w:r>
      <w:r w:rsidR="00C507FF" w:rsidRPr="00B3274C">
        <w:rPr>
          <w:lang w:val="fr-CA"/>
        </w:rPr>
        <w:t xml:space="preserve">. </w:t>
      </w:r>
    </w:p>
    <w:p w:rsidR="00FB23D3" w:rsidRPr="00B3274C" w:rsidRDefault="003350F2" w:rsidP="00D55B13">
      <w:pPr>
        <w:pStyle w:val="H1G"/>
        <w:rPr>
          <w:lang w:val="fr-CA"/>
        </w:rPr>
      </w:pPr>
      <w:r w:rsidRPr="00B3274C">
        <w:rPr>
          <w:lang w:val="fr-CA"/>
        </w:rPr>
        <w:tab/>
      </w:r>
      <w:r w:rsidRPr="00B3274C">
        <w:rPr>
          <w:lang w:val="fr-CA"/>
        </w:rPr>
        <w:tab/>
      </w:r>
      <w:r w:rsidR="00597DC4">
        <w:rPr>
          <w:lang w:val="fr-CA"/>
        </w:rPr>
        <w:t>Article </w:t>
      </w:r>
      <w:r w:rsidR="00FB23D3" w:rsidRPr="00B3274C">
        <w:rPr>
          <w:lang w:val="fr-CA"/>
        </w:rPr>
        <w:t>12</w:t>
      </w:r>
      <w:r w:rsidR="006F3B50" w:rsidRPr="00B3274C">
        <w:rPr>
          <w:lang w:val="fr-CA"/>
        </w:rPr>
        <w:br/>
      </w:r>
      <w:r w:rsidR="00F714E5" w:rsidRPr="00B3274C">
        <w:rPr>
          <w:lang w:val="fr-CA"/>
        </w:rPr>
        <w:t>Droit à la santé</w:t>
      </w:r>
    </w:p>
    <w:p w:rsidR="00FB23D3" w:rsidRPr="00B3274C" w:rsidRDefault="003350F2" w:rsidP="00C655C5">
      <w:pPr>
        <w:pStyle w:val="H23G"/>
        <w:rPr>
          <w:lang w:val="fr-CA"/>
        </w:rPr>
      </w:pPr>
      <w:r w:rsidRPr="00B3274C">
        <w:rPr>
          <w:lang w:val="fr-CA"/>
        </w:rPr>
        <w:tab/>
      </w:r>
      <w:r w:rsidR="00C655C5" w:rsidRPr="00B3274C">
        <w:rPr>
          <w:lang w:val="fr-CA"/>
        </w:rPr>
        <w:t>1.</w:t>
      </w:r>
      <w:r w:rsidRPr="00B3274C">
        <w:rPr>
          <w:lang w:val="fr-CA"/>
        </w:rPr>
        <w:tab/>
      </w:r>
      <w:r w:rsidR="00C507FF" w:rsidRPr="00B3274C">
        <w:rPr>
          <w:lang w:val="fr-CA"/>
        </w:rPr>
        <w:t xml:space="preserve">Hygiène publique </w:t>
      </w:r>
    </w:p>
    <w:p w:rsidR="00FB23D3" w:rsidRPr="00B3274C" w:rsidRDefault="00107A47" w:rsidP="00176556">
      <w:pPr>
        <w:pStyle w:val="SingleTxtG"/>
        <w:keepNext/>
        <w:rPr>
          <w:bCs/>
          <w:lang w:val="fr-CA"/>
        </w:rPr>
      </w:pPr>
      <w:r w:rsidRPr="00B3274C">
        <w:rPr>
          <w:bCs/>
          <w:lang w:val="fr-CA"/>
        </w:rPr>
        <w:t>246.</w:t>
      </w:r>
      <w:r w:rsidRPr="00B3274C">
        <w:rPr>
          <w:bCs/>
          <w:lang w:val="fr-CA"/>
        </w:rPr>
        <w:tab/>
      </w:r>
      <w:r w:rsidR="00C507FF" w:rsidRPr="00B3274C">
        <w:rPr>
          <w:bCs/>
          <w:lang w:val="fr-CA"/>
        </w:rPr>
        <w:t>Actions entreprises dans le domaine de l</w:t>
      </w:r>
      <w:r w:rsidR="0080611A">
        <w:rPr>
          <w:bCs/>
          <w:lang w:val="fr-CA"/>
        </w:rPr>
        <w:t>’</w:t>
      </w:r>
      <w:r w:rsidR="00C507FF" w:rsidRPr="00B3274C">
        <w:rPr>
          <w:bCs/>
          <w:lang w:val="fr-CA"/>
        </w:rPr>
        <w:t xml:space="preserve">hygiène publique: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176556">
        <w:rPr>
          <w:lang w:val="fr-CA"/>
        </w:rPr>
        <w:t>La loi n</w:t>
      </w:r>
      <w:r w:rsidR="00176556" w:rsidRPr="00176556">
        <w:rPr>
          <w:vertAlign w:val="superscript"/>
          <w:lang w:val="fr-CA"/>
        </w:rPr>
        <w:t>o</w:t>
      </w:r>
      <w:r w:rsidR="00176556">
        <w:rPr>
          <w:lang w:val="fr-CA"/>
        </w:rPr>
        <w:t> </w:t>
      </w:r>
      <w:r w:rsidR="00FB23D3" w:rsidRPr="00B3274C">
        <w:rPr>
          <w:lang w:val="fr-CA"/>
        </w:rPr>
        <w:t xml:space="preserve">3370/2005 </w:t>
      </w:r>
      <w:r w:rsidR="00C507FF" w:rsidRPr="00B3274C">
        <w:rPr>
          <w:lang w:val="fr-CA"/>
        </w:rPr>
        <w:t xml:space="preserve">sur </w:t>
      </w:r>
      <w:r w:rsidR="007E3DE5">
        <w:rPr>
          <w:lang w:val="fr-CA"/>
        </w:rPr>
        <w:t>l</w:t>
      </w:r>
      <w:r w:rsidR="0080611A">
        <w:rPr>
          <w:lang w:val="fr-CA"/>
        </w:rPr>
        <w:t>’</w:t>
      </w:r>
      <w:r w:rsidR="00C507FF" w:rsidRPr="00B3274C">
        <w:rPr>
          <w:lang w:val="fr-CA"/>
        </w:rPr>
        <w:t>o</w:t>
      </w:r>
      <w:r w:rsidR="00FB23D3" w:rsidRPr="00B3274C">
        <w:rPr>
          <w:lang w:val="fr-CA"/>
        </w:rPr>
        <w:t xml:space="preserve">rganisation </w:t>
      </w:r>
      <w:r w:rsidR="00C507FF" w:rsidRPr="00B3274C">
        <w:rPr>
          <w:lang w:val="fr-CA"/>
        </w:rPr>
        <w:t>et le fonctionnement des services de santé publique et autres dispositions a été publiée</w:t>
      </w:r>
      <w:r w:rsidR="007E3DE5">
        <w:rPr>
          <w:lang w:val="fr-CA"/>
        </w:rPr>
        <w:t>;</w:t>
      </w:r>
      <w:r w:rsidR="00C507FF" w:rsidRPr="00B3274C">
        <w:rPr>
          <w:lang w:val="fr-CA"/>
        </w:rPr>
        <w:t xml:space="preserv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C507FF" w:rsidRPr="00B3274C">
        <w:rPr>
          <w:lang w:val="fr-CA"/>
        </w:rPr>
        <w:t>Le Plan d</w:t>
      </w:r>
      <w:r w:rsidR="0080611A">
        <w:rPr>
          <w:lang w:val="fr-CA"/>
        </w:rPr>
        <w:t>’</w:t>
      </w:r>
      <w:r w:rsidR="00C507FF" w:rsidRPr="00B3274C">
        <w:rPr>
          <w:lang w:val="fr-CA"/>
        </w:rPr>
        <w:t xml:space="preserve">action national stratégique sur la santé publique </w:t>
      </w:r>
      <w:r w:rsidR="00FB23D3" w:rsidRPr="00B3274C">
        <w:rPr>
          <w:lang w:val="fr-CA"/>
        </w:rPr>
        <w:t xml:space="preserve">2008-2013 </w:t>
      </w:r>
      <w:r w:rsidR="00C507FF" w:rsidRPr="00B3274C">
        <w:rPr>
          <w:lang w:val="fr-CA"/>
        </w:rPr>
        <w:t>a été établi</w:t>
      </w:r>
      <w:r w:rsidR="007E3DE5">
        <w:rPr>
          <w:lang w:val="fr-CA"/>
        </w:rPr>
        <w:t>;</w:t>
      </w:r>
      <w:r w:rsidR="00C507FF" w:rsidRPr="00B3274C">
        <w:rPr>
          <w:lang w:val="fr-CA"/>
        </w:rPr>
        <w:t xml:space="preserv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C507FF" w:rsidRPr="00B3274C">
        <w:rPr>
          <w:lang w:val="fr-CA"/>
        </w:rPr>
        <w:t>L</w:t>
      </w:r>
      <w:r w:rsidR="0080611A">
        <w:rPr>
          <w:lang w:val="fr-CA"/>
        </w:rPr>
        <w:t>’</w:t>
      </w:r>
      <w:r w:rsidR="00C507FF" w:rsidRPr="00B3274C">
        <w:rPr>
          <w:lang w:val="fr-CA"/>
        </w:rPr>
        <w:t>organisme compétent du Ministère de la santé et de la solidarité sociale livre des vaccins aux autorités préfectorales du pays</w:t>
      </w:r>
      <w:r w:rsidR="0080611A">
        <w:rPr>
          <w:lang w:val="fr-CA"/>
        </w:rPr>
        <w:t>,</w:t>
      </w:r>
      <w:r w:rsidR="00C507FF" w:rsidRPr="00B3274C">
        <w:rPr>
          <w:lang w:val="fr-CA"/>
        </w:rPr>
        <w:t xml:space="preserve"> </w:t>
      </w:r>
      <w:r w:rsidR="0033431C" w:rsidRPr="00B3274C">
        <w:rPr>
          <w:lang w:val="fr-CA"/>
        </w:rPr>
        <w:t>pour assurer la couverture vaccinale gratuite des populations itinérantes</w:t>
      </w:r>
      <w:r w:rsidR="0080611A">
        <w:rPr>
          <w:lang w:val="fr-CA"/>
        </w:rPr>
        <w:t>,</w:t>
      </w:r>
      <w:r w:rsidR="0033431C" w:rsidRPr="00B3274C">
        <w:rPr>
          <w:lang w:val="fr-CA"/>
        </w:rPr>
        <w:t xml:space="preserve"> des démunis et </w:t>
      </w:r>
      <w:r w:rsidR="00614BAC">
        <w:rPr>
          <w:lang w:val="fr-CA"/>
        </w:rPr>
        <w:t>des personnes</w:t>
      </w:r>
      <w:r w:rsidR="0033431C" w:rsidRPr="00B3274C">
        <w:rPr>
          <w:lang w:val="fr-CA"/>
        </w:rPr>
        <w:t xml:space="preserve"> </w:t>
      </w:r>
      <w:r w:rsidR="00FC63E1" w:rsidRPr="00B3274C">
        <w:rPr>
          <w:lang w:val="fr-CA"/>
        </w:rPr>
        <w:t>non</w:t>
      </w:r>
      <w:r w:rsidR="0033431C" w:rsidRPr="00B3274C">
        <w:rPr>
          <w:lang w:val="fr-CA"/>
        </w:rPr>
        <w:t xml:space="preserve"> assurées</w:t>
      </w:r>
      <w:r w:rsidR="007E3DE5">
        <w:rPr>
          <w:lang w:val="fr-CA"/>
        </w:rPr>
        <w:t>;</w:t>
      </w:r>
      <w:r w:rsidR="0033431C" w:rsidRPr="00B3274C">
        <w:rPr>
          <w:lang w:val="fr-CA"/>
        </w:rPr>
        <w:t xml:space="preserv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33431C" w:rsidRPr="00B3274C">
        <w:rPr>
          <w:lang w:val="fr-CA"/>
        </w:rPr>
        <w:t>La vaccination contre l</w:t>
      </w:r>
      <w:r w:rsidR="0080611A">
        <w:rPr>
          <w:lang w:val="fr-CA"/>
        </w:rPr>
        <w:t>’</w:t>
      </w:r>
      <w:r w:rsidR="0033431C" w:rsidRPr="00B3274C">
        <w:rPr>
          <w:lang w:val="fr-CA"/>
        </w:rPr>
        <w:t>hépatite B a été incluse dans le Programme national de vaccination conformément à une disposition sanitaire pertinente</w:t>
      </w:r>
      <w:r w:rsidR="007E3DE5">
        <w:rPr>
          <w:lang w:val="fr-CA"/>
        </w:rPr>
        <w:t>;</w:t>
      </w:r>
      <w:r w:rsidR="0033431C" w:rsidRPr="00B3274C">
        <w:rPr>
          <w:lang w:val="fr-CA"/>
        </w:rPr>
        <w:t xml:space="preserv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33431C" w:rsidRPr="00B3274C">
        <w:rPr>
          <w:lang w:val="fr-CA"/>
        </w:rPr>
        <w:t>Des campagnes d</w:t>
      </w:r>
      <w:r w:rsidR="0080611A">
        <w:rPr>
          <w:lang w:val="fr-CA"/>
        </w:rPr>
        <w:t>’</w:t>
      </w:r>
      <w:r w:rsidR="0033431C" w:rsidRPr="00B3274C">
        <w:rPr>
          <w:lang w:val="fr-CA"/>
        </w:rPr>
        <w:t xml:space="preserve">information </w:t>
      </w:r>
      <w:r w:rsidR="007437E4" w:rsidRPr="00B3274C">
        <w:rPr>
          <w:lang w:val="fr-CA"/>
        </w:rPr>
        <w:t>sur l</w:t>
      </w:r>
      <w:r w:rsidR="0080611A">
        <w:rPr>
          <w:lang w:val="fr-CA"/>
        </w:rPr>
        <w:t>’</w:t>
      </w:r>
      <w:r w:rsidR="007437E4" w:rsidRPr="00B3274C">
        <w:rPr>
          <w:lang w:val="fr-CA"/>
        </w:rPr>
        <w:t xml:space="preserve">hépatite B </w:t>
      </w:r>
      <w:r w:rsidR="0033431C" w:rsidRPr="00B3274C">
        <w:rPr>
          <w:lang w:val="fr-CA"/>
        </w:rPr>
        <w:t xml:space="preserve">ont été organisées par le Centre chargé </w:t>
      </w:r>
      <w:r w:rsidR="007437E4" w:rsidRPr="00B3274C">
        <w:rPr>
          <w:lang w:val="fr-CA"/>
        </w:rPr>
        <w:t xml:space="preserve">de combattre et de prévenir la maladie </w:t>
      </w:r>
      <w:r w:rsidR="00FB23D3" w:rsidRPr="00B3274C">
        <w:rPr>
          <w:lang w:val="fr-CA"/>
        </w:rPr>
        <w:t>(KEELPNO)</w:t>
      </w:r>
      <w:r w:rsidR="007E3DE5">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F27C44" w:rsidRPr="00B3274C">
        <w:rPr>
          <w:lang w:val="fr-CA"/>
        </w:rPr>
        <w:t>L</w:t>
      </w:r>
      <w:r w:rsidR="0080611A">
        <w:rPr>
          <w:lang w:val="fr-CA"/>
        </w:rPr>
        <w:t>’</w:t>
      </w:r>
      <w:r w:rsidR="00F27C44" w:rsidRPr="00B3274C">
        <w:rPr>
          <w:lang w:val="fr-CA"/>
        </w:rPr>
        <w:t xml:space="preserve">indemnité alimentation pour </w:t>
      </w:r>
      <w:r w:rsidR="00614BAC">
        <w:rPr>
          <w:lang w:val="fr-CA"/>
        </w:rPr>
        <w:t>les personnes</w:t>
      </w:r>
      <w:r w:rsidR="00F27C44" w:rsidRPr="00B3274C">
        <w:rPr>
          <w:lang w:val="fr-CA"/>
        </w:rPr>
        <w:t xml:space="preserve"> atteintes de ma</w:t>
      </w:r>
      <w:r w:rsidR="00271078" w:rsidRPr="00B3274C">
        <w:rPr>
          <w:lang w:val="fr-CA"/>
        </w:rPr>
        <w:t xml:space="preserve">ladies rénales a été augmentée </w:t>
      </w:r>
      <w:r w:rsidR="00F27C44" w:rsidRPr="00B3274C">
        <w:rPr>
          <w:lang w:val="fr-CA"/>
        </w:rPr>
        <w:t>et les questions liées au cadre institutionnel du versement de ladite indemnité ont fait l</w:t>
      </w:r>
      <w:r w:rsidR="0080611A">
        <w:rPr>
          <w:lang w:val="fr-CA"/>
        </w:rPr>
        <w:t>’</w:t>
      </w:r>
      <w:r w:rsidR="00F27C44" w:rsidRPr="00B3274C">
        <w:rPr>
          <w:lang w:val="fr-CA"/>
        </w:rPr>
        <w:t>objet d</w:t>
      </w:r>
      <w:r w:rsidR="0080611A">
        <w:rPr>
          <w:lang w:val="fr-CA"/>
        </w:rPr>
        <w:t>’</w:t>
      </w:r>
      <w:r w:rsidR="00F27C44" w:rsidRPr="00B3274C">
        <w:rPr>
          <w:lang w:val="fr-CA"/>
        </w:rPr>
        <w:t>une réglementation</w:t>
      </w:r>
      <w:r w:rsidR="007E3DE5">
        <w:rPr>
          <w:lang w:val="fr-CA"/>
        </w:rPr>
        <w:t>;</w:t>
      </w:r>
      <w:r w:rsidR="00F27C44" w:rsidRPr="00B3274C">
        <w:rPr>
          <w:lang w:val="fr-CA"/>
        </w:rPr>
        <w:t xml:space="preserv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F27C44" w:rsidRPr="00B3274C">
        <w:rPr>
          <w:lang w:val="fr-CA"/>
        </w:rPr>
        <w:t>En vertu d</w:t>
      </w:r>
      <w:r w:rsidR="0080611A">
        <w:rPr>
          <w:lang w:val="fr-CA"/>
        </w:rPr>
        <w:t>’</w:t>
      </w:r>
      <w:r w:rsidR="00F27C44" w:rsidRPr="00B3274C">
        <w:rPr>
          <w:lang w:val="fr-CA"/>
        </w:rPr>
        <w:t>une Décision ministérielle conjointe de 2007</w:t>
      </w:r>
      <w:r w:rsidR="0080611A">
        <w:rPr>
          <w:lang w:val="fr-CA"/>
        </w:rPr>
        <w:t>,</w:t>
      </w:r>
      <w:r w:rsidR="00F27C44" w:rsidRPr="00B3274C">
        <w:rPr>
          <w:lang w:val="fr-CA"/>
        </w:rPr>
        <w:t xml:space="preserve"> telle que modifiée en 2008</w:t>
      </w:r>
      <w:r w:rsidR="0080611A">
        <w:rPr>
          <w:lang w:val="fr-CA"/>
        </w:rPr>
        <w:t>,</w:t>
      </w:r>
      <w:r w:rsidR="00F27C44" w:rsidRPr="00B3274C">
        <w:rPr>
          <w:lang w:val="fr-CA"/>
        </w:rPr>
        <w:t xml:space="preserve"> l</w:t>
      </w:r>
      <w:r w:rsidR="0080611A">
        <w:rPr>
          <w:lang w:val="fr-CA"/>
        </w:rPr>
        <w:t>’</w:t>
      </w:r>
      <w:r w:rsidR="00F27C44" w:rsidRPr="00B3274C">
        <w:rPr>
          <w:lang w:val="fr-CA"/>
        </w:rPr>
        <w:t xml:space="preserve">indemnité alimentation sera également versée aux patients ayant </w:t>
      </w:r>
      <w:r w:rsidR="00606127" w:rsidRPr="00B3274C">
        <w:rPr>
          <w:lang w:val="fr-CA"/>
        </w:rPr>
        <w:t xml:space="preserve">eu </w:t>
      </w:r>
      <w:r w:rsidR="00F27C44" w:rsidRPr="00B3274C">
        <w:rPr>
          <w:lang w:val="fr-CA"/>
        </w:rPr>
        <w:t xml:space="preserve">une transplantation du </w:t>
      </w:r>
      <w:r w:rsidR="007C2130" w:rsidRPr="00B3274C">
        <w:rPr>
          <w:lang w:val="fr-CA"/>
        </w:rPr>
        <w:t>cœur</w:t>
      </w:r>
      <w:r w:rsidR="0080611A">
        <w:rPr>
          <w:lang w:val="fr-CA"/>
        </w:rPr>
        <w:t>,</w:t>
      </w:r>
      <w:r w:rsidR="00F27C44" w:rsidRPr="00B3274C">
        <w:rPr>
          <w:lang w:val="fr-CA"/>
        </w:rPr>
        <w:t xml:space="preserve"> du foie</w:t>
      </w:r>
      <w:r w:rsidR="0080611A">
        <w:rPr>
          <w:lang w:val="fr-CA"/>
        </w:rPr>
        <w:t>,</w:t>
      </w:r>
      <w:r w:rsidR="00F27C44" w:rsidRPr="00B3274C">
        <w:rPr>
          <w:lang w:val="fr-CA"/>
        </w:rPr>
        <w:t xml:space="preserve"> des poumons ou de la </w:t>
      </w:r>
      <w:r w:rsidR="00176556" w:rsidRPr="00B3274C">
        <w:rPr>
          <w:lang w:val="fr-CA"/>
        </w:rPr>
        <w:t>moelle</w:t>
      </w:r>
      <w:r w:rsidR="00F27C44" w:rsidRPr="00B3274C">
        <w:rPr>
          <w:lang w:val="fr-CA"/>
        </w:rPr>
        <w:t xml:space="preserve"> épinière</w:t>
      </w:r>
      <w:r w:rsidR="007E3DE5">
        <w:rPr>
          <w:lang w:val="fr-CA"/>
        </w:rPr>
        <w:t>;</w:t>
      </w:r>
      <w:r w:rsidR="00F27C44" w:rsidRPr="00B3274C">
        <w:rPr>
          <w:lang w:val="fr-CA"/>
        </w:rPr>
        <w:t xml:space="preserv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7C2130" w:rsidRPr="00B3274C">
        <w:rPr>
          <w:lang w:val="fr-CA"/>
        </w:rPr>
        <w:t>Un Comité national pour l</w:t>
      </w:r>
      <w:r w:rsidR="0080611A">
        <w:rPr>
          <w:lang w:val="fr-CA"/>
        </w:rPr>
        <w:t>’</w:t>
      </w:r>
      <w:r w:rsidR="007C2130" w:rsidRPr="00B3274C">
        <w:rPr>
          <w:lang w:val="fr-CA"/>
        </w:rPr>
        <w:t>allaitement maternel a été créé en 2005 dans le cadre de la promotion de l</w:t>
      </w:r>
      <w:r w:rsidR="0080611A">
        <w:rPr>
          <w:lang w:val="fr-CA"/>
        </w:rPr>
        <w:t>’</w:t>
      </w:r>
      <w:r w:rsidR="007C2130" w:rsidRPr="00B3274C">
        <w:rPr>
          <w:lang w:val="fr-CA"/>
        </w:rPr>
        <w:t>allaitement maternel en Grèce. Une étude épidémiologique a été réalisée par l</w:t>
      </w:r>
      <w:r w:rsidR="0080611A">
        <w:rPr>
          <w:lang w:val="fr-CA"/>
        </w:rPr>
        <w:t>’</w:t>
      </w:r>
      <w:r w:rsidR="007C2130" w:rsidRPr="00B3274C">
        <w:rPr>
          <w:lang w:val="fr-CA"/>
        </w:rPr>
        <w:t>Institut de la santé de l</w:t>
      </w:r>
      <w:r w:rsidR="0080611A">
        <w:rPr>
          <w:lang w:val="fr-CA"/>
        </w:rPr>
        <w:t>’</w:t>
      </w:r>
      <w:r w:rsidR="007C2130" w:rsidRPr="00B3274C">
        <w:rPr>
          <w:lang w:val="fr-CA"/>
        </w:rPr>
        <w:t>enfant</w:t>
      </w:r>
      <w:r w:rsidR="0080611A">
        <w:rPr>
          <w:lang w:val="fr-CA"/>
        </w:rPr>
        <w:t>,</w:t>
      </w:r>
      <w:r w:rsidR="007C2130" w:rsidRPr="00B3274C">
        <w:rPr>
          <w:lang w:val="fr-CA"/>
        </w:rPr>
        <w:t xml:space="preserve"> avec le consentement du Comité national</w:t>
      </w:r>
      <w:r w:rsidR="0080611A">
        <w:rPr>
          <w:lang w:val="fr-CA"/>
        </w:rPr>
        <w:t>,</w:t>
      </w:r>
      <w:r w:rsidR="007C2130" w:rsidRPr="00B3274C">
        <w:rPr>
          <w:lang w:val="fr-CA"/>
        </w:rPr>
        <w:t xml:space="preserve"> pour évaluer la situation actuelle en ce qui concerne l</w:t>
      </w:r>
      <w:r w:rsidR="0080611A">
        <w:rPr>
          <w:lang w:val="fr-CA"/>
        </w:rPr>
        <w:t>’</w:t>
      </w:r>
      <w:r w:rsidR="007C2130" w:rsidRPr="00B3274C">
        <w:rPr>
          <w:lang w:val="fr-CA"/>
        </w:rPr>
        <w:t xml:space="preserve">allaitement maternel en Grèce et les facteurs qui influent sur celle-ci. En </w:t>
      </w:r>
      <w:r w:rsidR="00FB23D3" w:rsidRPr="00B3274C">
        <w:rPr>
          <w:lang w:val="fr-CA"/>
        </w:rPr>
        <w:t>2006</w:t>
      </w:r>
      <w:r w:rsidR="0080611A">
        <w:rPr>
          <w:lang w:val="fr-CA"/>
        </w:rPr>
        <w:t>,</w:t>
      </w:r>
      <w:r w:rsidR="00FB23D3" w:rsidRPr="00B3274C">
        <w:rPr>
          <w:lang w:val="fr-CA"/>
        </w:rPr>
        <w:t xml:space="preserve"> </w:t>
      </w:r>
      <w:r w:rsidR="007C2130" w:rsidRPr="00B3274C">
        <w:rPr>
          <w:lang w:val="fr-CA"/>
        </w:rPr>
        <w:t>des responsables de l</w:t>
      </w:r>
      <w:r w:rsidR="0080611A">
        <w:rPr>
          <w:lang w:val="fr-CA"/>
        </w:rPr>
        <w:t>’</w:t>
      </w:r>
      <w:r w:rsidR="007C2130" w:rsidRPr="00B3274C">
        <w:rPr>
          <w:lang w:val="fr-CA"/>
        </w:rPr>
        <w:t xml:space="preserve">allaitement maternel ont été nommés dans les hôpitaux ayant des unités </w:t>
      </w:r>
      <w:r w:rsidR="00BD42CB" w:rsidRPr="00B3274C">
        <w:rPr>
          <w:lang w:val="fr-CA"/>
        </w:rPr>
        <w:t xml:space="preserve">de maternité et des unités </w:t>
      </w:r>
      <w:r w:rsidR="007C2130" w:rsidRPr="00B3274C">
        <w:rPr>
          <w:lang w:val="fr-CA"/>
        </w:rPr>
        <w:t xml:space="preserve">néonatales. </w:t>
      </w:r>
      <w:r w:rsidR="00BD42CB" w:rsidRPr="00B3274C">
        <w:rPr>
          <w:lang w:val="fr-CA"/>
        </w:rPr>
        <w:t>Chaque année</w:t>
      </w:r>
      <w:r w:rsidR="0080611A">
        <w:rPr>
          <w:lang w:val="fr-CA"/>
        </w:rPr>
        <w:t>,</w:t>
      </w:r>
      <w:r w:rsidR="00BD42CB" w:rsidRPr="00B3274C">
        <w:rPr>
          <w:lang w:val="fr-CA"/>
        </w:rPr>
        <w:t xml:space="preserve"> des séminaires de formation sont organisés pour sensibiliser davantage les travailleurs sanitaires et le public aux questions relatives à l</w:t>
      </w:r>
      <w:r w:rsidR="0080611A">
        <w:rPr>
          <w:lang w:val="fr-CA"/>
        </w:rPr>
        <w:t>’</w:t>
      </w:r>
      <w:r w:rsidR="00BD42CB" w:rsidRPr="00B3274C">
        <w:rPr>
          <w:lang w:val="fr-CA"/>
        </w:rPr>
        <w:t>allaitement maternel. L</w:t>
      </w:r>
      <w:r w:rsidR="0080611A">
        <w:rPr>
          <w:lang w:val="fr-CA"/>
        </w:rPr>
        <w:t>’</w:t>
      </w:r>
      <w:r w:rsidR="00BD42CB" w:rsidRPr="00B3274C">
        <w:rPr>
          <w:lang w:val="fr-CA"/>
        </w:rPr>
        <w:t>Institut de la santé de l</w:t>
      </w:r>
      <w:r w:rsidR="0080611A">
        <w:rPr>
          <w:lang w:val="fr-CA"/>
        </w:rPr>
        <w:t>’</w:t>
      </w:r>
      <w:r w:rsidR="00BD42CB" w:rsidRPr="00B3274C">
        <w:rPr>
          <w:lang w:val="fr-CA"/>
        </w:rPr>
        <w:t>enfant met en œuvre un programme pour la création d</w:t>
      </w:r>
      <w:r w:rsidR="0080611A">
        <w:rPr>
          <w:lang w:val="fr-CA"/>
        </w:rPr>
        <w:t>’</w:t>
      </w:r>
      <w:r w:rsidR="00BD42CB" w:rsidRPr="00B3274C">
        <w:rPr>
          <w:lang w:val="fr-CA"/>
        </w:rPr>
        <w:t xml:space="preserve">hôpitaux </w:t>
      </w:r>
      <w:r w:rsidR="0055418C" w:rsidRPr="00B3274C">
        <w:rPr>
          <w:lang w:val="fr-CA"/>
        </w:rPr>
        <w:t>«</w:t>
      </w:r>
      <w:r w:rsidR="00BD42CB" w:rsidRPr="00B3274C">
        <w:rPr>
          <w:lang w:val="fr-CA"/>
        </w:rPr>
        <w:t>amis des bébés</w:t>
      </w:r>
      <w:r w:rsidR="0055418C" w:rsidRPr="00B3274C">
        <w:rPr>
          <w:lang w:val="fr-CA"/>
        </w:rPr>
        <w:t>»</w:t>
      </w:r>
      <w:r w:rsidR="00BD42CB" w:rsidRPr="00B3274C">
        <w:rPr>
          <w:lang w:val="fr-CA"/>
        </w:rPr>
        <w:t xml:space="preserve">. </w:t>
      </w:r>
    </w:p>
    <w:p w:rsidR="00FB23D3" w:rsidRPr="00B3274C" w:rsidRDefault="003350F2" w:rsidP="00C655C5">
      <w:pPr>
        <w:pStyle w:val="H23G"/>
        <w:rPr>
          <w:lang w:val="fr-CA"/>
        </w:rPr>
      </w:pPr>
      <w:r w:rsidRPr="00B3274C">
        <w:rPr>
          <w:lang w:val="fr-CA"/>
        </w:rPr>
        <w:tab/>
      </w:r>
      <w:r w:rsidR="00C655C5" w:rsidRPr="00B3274C">
        <w:rPr>
          <w:lang w:val="fr-CA"/>
        </w:rPr>
        <w:t>2.</w:t>
      </w:r>
      <w:r w:rsidRPr="00B3274C">
        <w:rPr>
          <w:lang w:val="fr-CA"/>
        </w:rPr>
        <w:tab/>
      </w:r>
      <w:r w:rsidR="0056286C" w:rsidRPr="00B3274C">
        <w:rPr>
          <w:lang w:val="fr-CA"/>
        </w:rPr>
        <w:t>Interdiction de fumer (par. 25 et</w:t>
      </w:r>
      <w:r w:rsidR="00FB23D3" w:rsidRPr="00B3274C">
        <w:rPr>
          <w:lang w:val="fr-CA"/>
        </w:rPr>
        <w:t xml:space="preserve"> 47 </w:t>
      </w:r>
      <w:r w:rsidR="0056286C" w:rsidRPr="00B3274C">
        <w:rPr>
          <w:lang w:val="fr-CA"/>
        </w:rPr>
        <w:t xml:space="preserve">des observations finales du Comité) </w:t>
      </w:r>
    </w:p>
    <w:p w:rsidR="00FB23D3" w:rsidRPr="00B3274C" w:rsidRDefault="00107A47" w:rsidP="00107A47">
      <w:pPr>
        <w:pStyle w:val="SingleTxtG"/>
        <w:rPr>
          <w:bCs/>
          <w:lang w:val="fr-CA"/>
        </w:rPr>
      </w:pPr>
      <w:r w:rsidRPr="00B3274C">
        <w:rPr>
          <w:bCs/>
          <w:lang w:val="fr-CA"/>
        </w:rPr>
        <w:t>247.</w:t>
      </w:r>
      <w:r w:rsidRPr="00B3274C">
        <w:rPr>
          <w:bCs/>
          <w:lang w:val="fr-CA"/>
        </w:rPr>
        <w:tab/>
      </w:r>
      <w:r w:rsidR="00060B2D" w:rsidRPr="00B3274C">
        <w:rPr>
          <w:bCs/>
          <w:lang w:val="fr-CA"/>
        </w:rPr>
        <w:t xml:space="preserve">Par la loi </w:t>
      </w:r>
      <w:r w:rsidR="00D65EDD" w:rsidRPr="00B3274C">
        <w:rPr>
          <w:lang w:val="fr-CA"/>
        </w:rPr>
        <w:t>n</w:t>
      </w:r>
      <w:r w:rsidR="00D65EDD" w:rsidRPr="00B3274C">
        <w:rPr>
          <w:vertAlign w:val="superscript"/>
          <w:lang w:val="fr-CA"/>
        </w:rPr>
        <w:t>o</w:t>
      </w:r>
      <w:r w:rsidR="00D65EDD" w:rsidRPr="00B3274C">
        <w:rPr>
          <w:lang w:val="fr-CA"/>
        </w:rPr>
        <w:t> </w:t>
      </w:r>
      <w:r w:rsidR="00060B2D" w:rsidRPr="00B3274C">
        <w:rPr>
          <w:bCs/>
          <w:lang w:val="fr-CA"/>
        </w:rPr>
        <w:t>3420/2005</w:t>
      </w:r>
      <w:r w:rsidR="0080611A">
        <w:rPr>
          <w:bCs/>
          <w:lang w:val="fr-CA"/>
        </w:rPr>
        <w:t>,</w:t>
      </w:r>
      <w:r w:rsidR="00060B2D" w:rsidRPr="00B3274C">
        <w:rPr>
          <w:bCs/>
          <w:lang w:val="fr-CA"/>
        </w:rPr>
        <w:t xml:space="preserve"> la</w:t>
      </w:r>
      <w:r w:rsidR="009543A8" w:rsidRPr="00B3274C">
        <w:rPr>
          <w:bCs/>
          <w:lang w:val="fr-CA"/>
        </w:rPr>
        <w:t xml:space="preserve"> Grèce a ratifié la Convention-cadre de l</w:t>
      </w:r>
      <w:r w:rsidR="0080611A">
        <w:rPr>
          <w:bCs/>
          <w:lang w:val="fr-CA"/>
        </w:rPr>
        <w:t>’</w:t>
      </w:r>
      <w:r w:rsidR="009543A8" w:rsidRPr="00B3274C">
        <w:rPr>
          <w:bCs/>
          <w:lang w:val="fr-CA"/>
        </w:rPr>
        <w:t xml:space="preserve">OMS </w:t>
      </w:r>
      <w:r w:rsidR="00060B2D" w:rsidRPr="00B3274C">
        <w:rPr>
          <w:bCs/>
          <w:lang w:val="fr-CA"/>
        </w:rPr>
        <w:t>sur la lutte anti-tabac</w:t>
      </w:r>
      <w:r w:rsidR="00FB23D3" w:rsidRPr="00B3274C">
        <w:rPr>
          <w:bCs/>
          <w:lang w:val="fr-CA"/>
        </w:rPr>
        <w:t xml:space="preserve">. </w:t>
      </w:r>
      <w:r w:rsidR="00DB6117" w:rsidRPr="00B3274C">
        <w:rPr>
          <w:bCs/>
          <w:lang w:val="fr-CA"/>
        </w:rPr>
        <w:t>Parallèlement</w:t>
      </w:r>
      <w:r w:rsidR="0080611A">
        <w:rPr>
          <w:bCs/>
          <w:lang w:val="fr-CA"/>
        </w:rPr>
        <w:t>,</w:t>
      </w:r>
      <w:r w:rsidR="00DB6117" w:rsidRPr="00B3274C">
        <w:rPr>
          <w:bCs/>
          <w:lang w:val="fr-CA"/>
        </w:rPr>
        <w:t xml:space="preserve"> dans le contexte de l</w:t>
      </w:r>
      <w:r w:rsidR="0080611A">
        <w:rPr>
          <w:bCs/>
          <w:lang w:val="fr-CA"/>
        </w:rPr>
        <w:t>’</w:t>
      </w:r>
      <w:r w:rsidR="00DB6117" w:rsidRPr="00B3274C">
        <w:rPr>
          <w:bCs/>
          <w:lang w:val="fr-CA"/>
        </w:rPr>
        <w:t>harmonisation de la Grèce avec le cadre de l</w:t>
      </w:r>
      <w:r w:rsidR="0080611A">
        <w:rPr>
          <w:bCs/>
          <w:lang w:val="fr-CA"/>
        </w:rPr>
        <w:t>’</w:t>
      </w:r>
      <w:r w:rsidR="00DB6117" w:rsidRPr="00B3274C">
        <w:rPr>
          <w:bCs/>
          <w:lang w:val="fr-CA"/>
        </w:rPr>
        <w:t>Union européenne</w:t>
      </w:r>
      <w:r w:rsidR="0080611A">
        <w:rPr>
          <w:bCs/>
          <w:lang w:val="fr-CA"/>
        </w:rPr>
        <w:t>,</w:t>
      </w:r>
      <w:r w:rsidR="00DB6117" w:rsidRPr="00B3274C">
        <w:rPr>
          <w:bCs/>
          <w:lang w:val="fr-CA"/>
        </w:rPr>
        <w:t xml:space="preserve"> un Décret ministériel conjoint sur la publicité et </w:t>
      </w:r>
      <w:r w:rsidR="009528ED" w:rsidRPr="00B3274C">
        <w:rPr>
          <w:bCs/>
          <w:lang w:val="fr-CA"/>
        </w:rPr>
        <w:t xml:space="preserve">le parrainage </w:t>
      </w:r>
      <w:r w:rsidR="00DA3897" w:rsidRPr="00B3274C">
        <w:rPr>
          <w:bCs/>
          <w:lang w:val="fr-CA"/>
        </w:rPr>
        <w:t>en faveur</w:t>
      </w:r>
      <w:r w:rsidR="009528ED" w:rsidRPr="00B3274C">
        <w:rPr>
          <w:bCs/>
          <w:lang w:val="fr-CA"/>
        </w:rPr>
        <w:t xml:space="preserve"> </w:t>
      </w:r>
      <w:r w:rsidR="00DA3897" w:rsidRPr="00B3274C">
        <w:rPr>
          <w:bCs/>
          <w:lang w:val="fr-CA"/>
        </w:rPr>
        <w:t xml:space="preserve">des produits </w:t>
      </w:r>
      <w:r w:rsidR="009528ED" w:rsidRPr="00B3274C">
        <w:rPr>
          <w:bCs/>
          <w:lang w:val="fr-CA"/>
        </w:rPr>
        <w:t>du tabac a été publié en 2005</w:t>
      </w:r>
      <w:r w:rsidR="0080611A">
        <w:rPr>
          <w:bCs/>
          <w:lang w:val="fr-CA"/>
        </w:rPr>
        <w:t>,</w:t>
      </w:r>
      <w:r w:rsidR="009528ED" w:rsidRPr="00B3274C">
        <w:rPr>
          <w:bCs/>
          <w:lang w:val="fr-CA"/>
        </w:rPr>
        <w:t xml:space="preserve"> conformément à la Directive européenne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bCs/>
          <w:lang w:val="fr-CA"/>
        </w:rPr>
        <w:t>33/2003/</w:t>
      </w:r>
      <w:r w:rsidR="009528ED" w:rsidRPr="00B3274C">
        <w:rPr>
          <w:bCs/>
          <w:lang w:val="fr-CA"/>
        </w:rPr>
        <w:t>CE</w:t>
      </w:r>
      <w:r w:rsidR="0080611A">
        <w:rPr>
          <w:bCs/>
          <w:lang w:val="fr-CA"/>
        </w:rPr>
        <w:t>,</w:t>
      </w:r>
      <w:r w:rsidR="00FB23D3" w:rsidRPr="00B3274C">
        <w:rPr>
          <w:bCs/>
          <w:lang w:val="fr-CA"/>
        </w:rPr>
        <w:t xml:space="preserve"> </w:t>
      </w:r>
      <w:r w:rsidR="00DA3897" w:rsidRPr="00B3274C">
        <w:rPr>
          <w:lang w:val="fr-CA"/>
        </w:rPr>
        <w:t>visant à interdire la publicité en faveur du tabac dans les médias imprimés</w:t>
      </w:r>
      <w:r w:rsidR="0080611A">
        <w:rPr>
          <w:lang w:val="fr-CA"/>
        </w:rPr>
        <w:t>,</w:t>
      </w:r>
      <w:r w:rsidR="00DA3897" w:rsidRPr="00B3274C">
        <w:rPr>
          <w:lang w:val="fr-CA"/>
        </w:rPr>
        <w:t xml:space="preserve"> les émissions radiodiffusées et les services de la société de l</w:t>
      </w:r>
      <w:r w:rsidR="0080611A">
        <w:rPr>
          <w:lang w:val="fr-CA"/>
        </w:rPr>
        <w:t>’</w:t>
      </w:r>
      <w:r w:rsidR="00DA3897" w:rsidRPr="00B3274C">
        <w:rPr>
          <w:lang w:val="fr-CA"/>
        </w:rPr>
        <w:t>information</w:t>
      </w:r>
      <w:r w:rsidR="0080611A">
        <w:rPr>
          <w:lang w:val="fr-CA"/>
        </w:rPr>
        <w:t>,</w:t>
      </w:r>
      <w:r w:rsidR="002E13E6" w:rsidRPr="00B3274C">
        <w:rPr>
          <w:lang w:val="fr-CA"/>
        </w:rPr>
        <w:t xml:space="preserve"> dont l</w:t>
      </w:r>
      <w:r w:rsidR="0080611A">
        <w:rPr>
          <w:lang w:val="fr-CA"/>
        </w:rPr>
        <w:t>’</w:t>
      </w:r>
      <w:r w:rsidR="002E13E6" w:rsidRPr="00B3274C">
        <w:rPr>
          <w:lang w:val="fr-CA"/>
        </w:rPr>
        <w:t xml:space="preserve">objectif était </w:t>
      </w:r>
      <w:r w:rsidR="00DA3897" w:rsidRPr="00B3274C">
        <w:rPr>
          <w:lang w:val="fr-CA"/>
        </w:rPr>
        <w:t>également de prohiber le parrainage de manifestations ayant un effet transfrontalier et visant à promouvoir les produits du tabac</w:t>
      </w:r>
      <w:r w:rsidR="0080611A">
        <w:rPr>
          <w:lang w:val="fr-CA"/>
        </w:rPr>
        <w:t>,</w:t>
      </w:r>
      <w:r w:rsidR="00E45088" w:rsidRPr="00B3274C">
        <w:rPr>
          <w:lang w:val="fr-CA"/>
        </w:rPr>
        <w:t xml:space="preserve"> y compris la distribution gratuite de produits du tabac.</w:t>
      </w:r>
      <w:r w:rsidR="00DA3897" w:rsidRPr="00B3274C">
        <w:rPr>
          <w:bCs/>
          <w:lang w:val="fr-CA"/>
        </w:rPr>
        <w:t xml:space="preserve"> </w:t>
      </w:r>
    </w:p>
    <w:p w:rsidR="00FB23D3" w:rsidRPr="00B3274C" w:rsidRDefault="00107A47" w:rsidP="00107A47">
      <w:pPr>
        <w:pStyle w:val="SingleTxtG"/>
        <w:rPr>
          <w:bCs/>
          <w:lang w:val="fr-CA"/>
        </w:rPr>
      </w:pPr>
      <w:r w:rsidRPr="00B3274C">
        <w:rPr>
          <w:bCs/>
          <w:lang w:val="fr-CA"/>
        </w:rPr>
        <w:t>248.</w:t>
      </w:r>
      <w:r w:rsidRPr="00B3274C">
        <w:rPr>
          <w:bCs/>
          <w:lang w:val="fr-CA"/>
        </w:rPr>
        <w:tab/>
      </w:r>
      <w:r w:rsidR="00AF6DE9" w:rsidRPr="00B3274C">
        <w:rPr>
          <w:bCs/>
          <w:lang w:val="fr-CA"/>
        </w:rPr>
        <w:t>Depuis 2004</w:t>
      </w:r>
      <w:r w:rsidR="0080611A">
        <w:rPr>
          <w:bCs/>
          <w:lang w:val="fr-CA"/>
        </w:rPr>
        <w:t>,</w:t>
      </w:r>
      <w:r w:rsidR="00AF6DE9" w:rsidRPr="00B3274C">
        <w:rPr>
          <w:bCs/>
          <w:lang w:val="fr-CA"/>
        </w:rPr>
        <w:t xml:space="preserve"> le Ministère de la santé communique des brochures d</w:t>
      </w:r>
      <w:r w:rsidR="0080611A">
        <w:rPr>
          <w:bCs/>
          <w:lang w:val="fr-CA"/>
        </w:rPr>
        <w:t>’</w:t>
      </w:r>
      <w:r w:rsidR="00AF6DE9" w:rsidRPr="00B3274C">
        <w:rPr>
          <w:bCs/>
          <w:lang w:val="fr-CA"/>
        </w:rPr>
        <w:t>information sur le tabac et l</w:t>
      </w:r>
      <w:r w:rsidR="0080611A">
        <w:rPr>
          <w:bCs/>
          <w:lang w:val="fr-CA"/>
        </w:rPr>
        <w:t>’</w:t>
      </w:r>
      <w:r w:rsidR="00AF6DE9" w:rsidRPr="00B3274C">
        <w:rPr>
          <w:bCs/>
          <w:lang w:val="fr-CA"/>
        </w:rPr>
        <w:t>alcool au Ministère de l</w:t>
      </w:r>
      <w:r w:rsidR="0080611A">
        <w:rPr>
          <w:bCs/>
          <w:lang w:val="fr-CA"/>
        </w:rPr>
        <w:t>’</w:t>
      </w:r>
      <w:r w:rsidR="00AF6DE9" w:rsidRPr="00B3274C">
        <w:rPr>
          <w:bCs/>
          <w:lang w:val="fr-CA"/>
        </w:rPr>
        <w:t xml:space="preserve">éducation nationale qui les </w:t>
      </w:r>
      <w:bookmarkStart w:id="34" w:name="OLE_LINK35"/>
      <w:bookmarkStart w:id="35" w:name="OLE_LINK36"/>
      <w:r w:rsidR="00AF6DE9" w:rsidRPr="00B3274C">
        <w:rPr>
          <w:bCs/>
          <w:lang w:val="fr-CA"/>
        </w:rPr>
        <w:t xml:space="preserve">distribue aux scolaires </w:t>
      </w:r>
      <w:bookmarkEnd w:id="34"/>
      <w:bookmarkEnd w:id="35"/>
      <w:r w:rsidR="00AF6DE9" w:rsidRPr="00B3274C">
        <w:rPr>
          <w:bCs/>
          <w:lang w:val="fr-CA"/>
        </w:rPr>
        <w:t>dans le cadre des cours sur l</w:t>
      </w:r>
      <w:r w:rsidR="0080611A">
        <w:rPr>
          <w:bCs/>
          <w:lang w:val="fr-CA"/>
        </w:rPr>
        <w:t>’</w:t>
      </w:r>
      <w:r w:rsidR="00AF6DE9" w:rsidRPr="00B3274C">
        <w:rPr>
          <w:bCs/>
          <w:lang w:val="fr-CA"/>
        </w:rPr>
        <w:t xml:space="preserve">éducation à la santé. </w:t>
      </w:r>
    </w:p>
    <w:p w:rsidR="00FB23D3" w:rsidRPr="00B3274C" w:rsidRDefault="00107A47" w:rsidP="00107A47">
      <w:pPr>
        <w:pStyle w:val="SingleTxtG"/>
        <w:rPr>
          <w:bCs/>
          <w:lang w:val="fr-CA"/>
        </w:rPr>
      </w:pPr>
      <w:r w:rsidRPr="00B3274C">
        <w:rPr>
          <w:bCs/>
          <w:lang w:val="fr-CA"/>
        </w:rPr>
        <w:t>249.</w:t>
      </w:r>
      <w:r w:rsidRPr="00B3274C">
        <w:rPr>
          <w:bCs/>
          <w:lang w:val="fr-CA"/>
        </w:rPr>
        <w:tab/>
      </w:r>
      <w:r w:rsidR="00AF6DE9" w:rsidRPr="00B3274C">
        <w:rPr>
          <w:bCs/>
          <w:lang w:val="fr-CA"/>
        </w:rPr>
        <w:t>Par ailleurs</w:t>
      </w:r>
      <w:r w:rsidR="0080611A">
        <w:rPr>
          <w:bCs/>
          <w:lang w:val="fr-CA"/>
        </w:rPr>
        <w:t>,</w:t>
      </w:r>
      <w:r w:rsidR="00AF6DE9" w:rsidRPr="00B3274C">
        <w:rPr>
          <w:bCs/>
          <w:lang w:val="fr-CA"/>
        </w:rPr>
        <w:t xml:space="preserve"> entre 2004 et 2008</w:t>
      </w:r>
      <w:r w:rsidR="0080611A">
        <w:rPr>
          <w:bCs/>
          <w:lang w:val="fr-CA"/>
        </w:rPr>
        <w:t>,</w:t>
      </w:r>
      <w:r w:rsidR="00AF6DE9" w:rsidRPr="00B3274C">
        <w:rPr>
          <w:bCs/>
          <w:lang w:val="fr-CA"/>
        </w:rPr>
        <w:t xml:space="preserve"> une campagne d</w:t>
      </w:r>
      <w:r w:rsidR="0080611A">
        <w:rPr>
          <w:bCs/>
          <w:lang w:val="fr-CA"/>
        </w:rPr>
        <w:t>’</w:t>
      </w:r>
      <w:r w:rsidR="00AF6DE9" w:rsidRPr="00B3274C">
        <w:rPr>
          <w:bCs/>
          <w:lang w:val="fr-CA"/>
        </w:rPr>
        <w:t>information systématique de la population a été menée à l</w:t>
      </w:r>
      <w:r w:rsidR="0080611A">
        <w:rPr>
          <w:bCs/>
          <w:lang w:val="fr-CA"/>
        </w:rPr>
        <w:t>’</w:t>
      </w:r>
      <w:r w:rsidR="00AF6DE9" w:rsidRPr="00B3274C">
        <w:rPr>
          <w:bCs/>
          <w:lang w:val="fr-CA"/>
        </w:rPr>
        <w:t>aide de brochures et de matériels audiovisuels</w:t>
      </w:r>
      <w:r w:rsidR="0080611A">
        <w:rPr>
          <w:bCs/>
          <w:lang w:val="fr-CA"/>
        </w:rPr>
        <w:t>,</w:t>
      </w:r>
      <w:r w:rsidR="00AF6DE9" w:rsidRPr="00B3274C">
        <w:rPr>
          <w:bCs/>
          <w:lang w:val="fr-CA"/>
        </w:rPr>
        <w:t xml:space="preserve"> au niveau national et régional. </w:t>
      </w:r>
      <w:r w:rsidR="004060AA" w:rsidRPr="00B3274C">
        <w:rPr>
          <w:bCs/>
          <w:lang w:val="fr-CA"/>
        </w:rPr>
        <w:t>Une large publicité a été faite aux Jo</w:t>
      </w:r>
      <w:r w:rsidR="007E3DE5">
        <w:rPr>
          <w:bCs/>
          <w:lang w:val="fr-CA"/>
        </w:rPr>
        <w:t>urnées mondiales sans tabac (31 </w:t>
      </w:r>
      <w:r w:rsidR="004060AA" w:rsidRPr="00B3274C">
        <w:rPr>
          <w:bCs/>
          <w:lang w:val="fr-CA"/>
        </w:rPr>
        <w:t xml:space="preserve">mai). </w:t>
      </w:r>
    </w:p>
    <w:p w:rsidR="00FB23D3" w:rsidRPr="00B3274C" w:rsidRDefault="00107A47" w:rsidP="00107A47">
      <w:pPr>
        <w:pStyle w:val="SingleTxtG"/>
        <w:rPr>
          <w:bCs/>
          <w:lang w:val="fr-CA"/>
        </w:rPr>
      </w:pPr>
      <w:r w:rsidRPr="00B3274C">
        <w:rPr>
          <w:bCs/>
          <w:lang w:val="fr-CA"/>
        </w:rPr>
        <w:t>250.</w:t>
      </w:r>
      <w:r w:rsidRPr="00B3274C">
        <w:rPr>
          <w:bCs/>
          <w:lang w:val="fr-CA"/>
        </w:rPr>
        <w:tab/>
      </w:r>
      <w:r w:rsidR="004060AA" w:rsidRPr="00B3274C">
        <w:rPr>
          <w:bCs/>
          <w:lang w:val="fr-CA"/>
        </w:rPr>
        <w:t>Enfin</w:t>
      </w:r>
      <w:r w:rsidR="0080611A">
        <w:rPr>
          <w:bCs/>
          <w:lang w:val="fr-CA"/>
        </w:rPr>
        <w:t>,</w:t>
      </w:r>
      <w:r w:rsidR="004060AA" w:rsidRPr="00B3274C">
        <w:rPr>
          <w:bCs/>
          <w:lang w:val="fr-CA"/>
        </w:rPr>
        <w:t xml:space="preserve"> la loi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bCs/>
          <w:lang w:val="fr-CA"/>
        </w:rPr>
        <w:t xml:space="preserve">3730/2008 </w:t>
      </w:r>
      <w:r w:rsidR="004060AA" w:rsidRPr="00B3274C">
        <w:rPr>
          <w:bCs/>
          <w:lang w:val="fr-CA"/>
        </w:rPr>
        <w:t>sur la protection des jeunes contre le tabac et l</w:t>
      </w:r>
      <w:r w:rsidR="0080611A">
        <w:rPr>
          <w:bCs/>
          <w:lang w:val="fr-CA"/>
        </w:rPr>
        <w:t>’</w:t>
      </w:r>
      <w:r w:rsidR="004060AA" w:rsidRPr="00B3274C">
        <w:rPr>
          <w:bCs/>
          <w:lang w:val="fr-CA"/>
        </w:rPr>
        <w:t>alcool a été promulguée dans le but d</w:t>
      </w:r>
      <w:r w:rsidR="0080611A">
        <w:rPr>
          <w:bCs/>
          <w:lang w:val="fr-CA"/>
        </w:rPr>
        <w:t>’</w:t>
      </w:r>
      <w:r w:rsidR="004060AA" w:rsidRPr="00B3274C">
        <w:rPr>
          <w:bCs/>
          <w:lang w:val="fr-CA"/>
        </w:rPr>
        <w:t>inciter à l</w:t>
      </w:r>
      <w:r w:rsidR="0080611A">
        <w:rPr>
          <w:bCs/>
          <w:lang w:val="fr-CA"/>
        </w:rPr>
        <w:t>’</w:t>
      </w:r>
      <w:r w:rsidR="004060AA" w:rsidRPr="00B3274C">
        <w:rPr>
          <w:bCs/>
          <w:lang w:val="fr-CA"/>
        </w:rPr>
        <w:t xml:space="preserve">adoption de mesures concernant les effets du tabac sur la santé et le tabagisme passif. </w:t>
      </w:r>
      <w:r w:rsidR="00E54B46" w:rsidRPr="00B3274C">
        <w:rPr>
          <w:bCs/>
          <w:lang w:val="fr-CA"/>
        </w:rPr>
        <w:t>L</w:t>
      </w:r>
      <w:r w:rsidR="0080611A">
        <w:rPr>
          <w:bCs/>
          <w:lang w:val="fr-CA"/>
        </w:rPr>
        <w:t>’</w:t>
      </w:r>
      <w:r w:rsidR="00E54B46" w:rsidRPr="00B3274C">
        <w:rPr>
          <w:bCs/>
          <w:lang w:val="fr-CA"/>
        </w:rPr>
        <w:t>interdiction totale de fumer sur les lieux de travail publics et privés a fait l</w:t>
      </w:r>
      <w:r w:rsidR="0080611A">
        <w:rPr>
          <w:bCs/>
          <w:lang w:val="fr-CA"/>
        </w:rPr>
        <w:t>’</w:t>
      </w:r>
      <w:r w:rsidR="00E54B46" w:rsidRPr="00B3274C">
        <w:rPr>
          <w:bCs/>
          <w:lang w:val="fr-CA"/>
        </w:rPr>
        <w:t>objet d</w:t>
      </w:r>
      <w:r w:rsidR="0080611A">
        <w:rPr>
          <w:bCs/>
          <w:lang w:val="fr-CA"/>
        </w:rPr>
        <w:t>’</w:t>
      </w:r>
      <w:r w:rsidR="00E54B46" w:rsidRPr="00B3274C">
        <w:rPr>
          <w:bCs/>
          <w:lang w:val="fr-CA"/>
        </w:rPr>
        <w:t xml:space="preserve">une loi. </w:t>
      </w:r>
    </w:p>
    <w:p w:rsidR="003350F2" w:rsidRPr="00B3274C" w:rsidRDefault="003350F2" w:rsidP="00FD4122">
      <w:pPr>
        <w:pStyle w:val="H23G"/>
        <w:rPr>
          <w:lang w:val="fr-CA"/>
        </w:rPr>
      </w:pPr>
      <w:r w:rsidRPr="00B3274C">
        <w:rPr>
          <w:lang w:val="fr-CA"/>
        </w:rPr>
        <w:tab/>
      </w:r>
      <w:r w:rsidR="00FD4122" w:rsidRPr="00B3274C">
        <w:rPr>
          <w:lang w:val="fr-CA"/>
        </w:rPr>
        <w:t>3.</w:t>
      </w:r>
      <w:r w:rsidRPr="00B3274C">
        <w:rPr>
          <w:lang w:val="fr-CA"/>
        </w:rPr>
        <w:tab/>
      </w:r>
      <w:r w:rsidR="00E54B46" w:rsidRPr="00B3274C">
        <w:rPr>
          <w:lang w:val="fr-CA"/>
        </w:rPr>
        <w:t xml:space="preserve">Politique nationale en matière de nutrition </w:t>
      </w:r>
    </w:p>
    <w:p w:rsidR="00FB23D3" w:rsidRPr="00B3274C" w:rsidRDefault="00107A47" w:rsidP="00107A47">
      <w:pPr>
        <w:pStyle w:val="SingleTxtG"/>
        <w:rPr>
          <w:bCs/>
          <w:lang w:val="fr-CA"/>
        </w:rPr>
      </w:pPr>
      <w:r w:rsidRPr="00B3274C">
        <w:rPr>
          <w:bCs/>
          <w:lang w:val="fr-CA"/>
        </w:rPr>
        <w:t>251.</w:t>
      </w:r>
      <w:r w:rsidRPr="00B3274C">
        <w:rPr>
          <w:bCs/>
          <w:lang w:val="fr-CA"/>
        </w:rPr>
        <w:tab/>
      </w:r>
      <w:r w:rsidR="00E54B46" w:rsidRPr="00B3274C">
        <w:rPr>
          <w:bCs/>
          <w:lang w:val="fr-CA"/>
        </w:rPr>
        <w:t>Concernant la prévention de l</w:t>
      </w:r>
      <w:r w:rsidR="0080611A">
        <w:rPr>
          <w:bCs/>
          <w:lang w:val="fr-CA"/>
        </w:rPr>
        <w:t>’</w:t>
      </w:r>
      <w:r w:rsidR="00E54B46" w:rsidRPr="00B3274C">
        <w:rPr>
          <w:bCs/>
          <w:lang w:val="fr-CA"/>
        </w:rPr>
        <w:t>obésité chez les enfants</w:t>
      </w:r>
      <w:r w:rsidR="0080611A">
        <w:rPr>
          <w:bCs/>
          <w:lang w:val="fr-CA"/>
        </w:rPr>
        <w:t>,</w:t>
      </w:r>
      <w:r w:rsidR="00E54B46" w:rsidRPr="00B3274C">
        <w:rPr>
          <w:bCs/>
          <w:lang w:val="fr-CA"/>
        </w:rPr>
        <w:t xml:space="preserve"> le Ministère de la santé et de la solidarité sociale a publié</w:t>
      </w:r>
      <w:r w:rsidR="00B67949" w:rsidRPr="00B3274C">
        <w:rPr>
          <w:bCs/>
          <w:lang w:val="fr-CA"/>
        </w:rPr>
        <w:t xml:space="preserve"> en 2006</w:t>
      </w:r>
      <w:r w:rsidR="0080611A">
        <w:rPr>
          <w:bCs/>
          <w:lang w:val="fr-CA"/>
        </w:rPr>
        <w:t>,</w:t>
      </w:r>
      <w:r w:rsidR="00E54B46" w:rsidRPr="00B3274C">
        <w:rPr>
          <w:bCs/>
          <w:lang w:val="fr-CA"/>
        </w:rPr>
        <w:t xml:space="preserve"> dans le but de protéger</w:t>
      </w:r>
      <w:r w:rsidR="00B67949" w:rsidRPr="00B3274C">
        <w:rPr>
          <w:bCs/>
          <w:lang w:val="fr-CA"/>
        </w:rPr>
        <w:t xml:space="preserve"> la population sensible de l</w:t>
      </w:r>
      <w:r w:rsidR="0080611A">
        <w:rPr>
          <w:bCs/>
          <w:lang w:val="fr-CA"/>
        </w:rPr>
        <w:t>’</w:t>
      </w:r>
      <w:r w:rsidR="00B67949" w:rsidRPr="00B3274C">
        <w:rPr>
          <w:bCs/>
          <w:lang w:val="fr-CA"/>
        </w:rPr>
        <w:t>enseignement primaire et secondaire</w:t>
      </w:r>
      <w:r w:rsidR="0080611A">
        <w:rPr>
          <w:bCs/>
          <w:lang w:val="fr-CA"/>
        </w:rPr>
        <w:t>,</w:t>
      </w:r>
      <w:r w:rsidR="00B67949" w:rsidRPr="00B3274C">
        <w:rPr>
          <w:bCs/>
          <w:lang w:val="fr-CA"/>
        </w:rPr>
        <w:t xml:space="preserve"> une disposition sanitaire </w:t>
      </w:r>
      <w:r w:rsidR="0055418C" w:rsidRPr="00B3274C">
        <w:rPr>
          <w:bCs/>
          <w:lang w:val="fr-CA"/>
        </w:rPr>
        <w:t>«</w:t>
      </w:r>
      <w:r w:rsidR="00B67949" w:rsidRPr="00B3274C">
        <w:rPr>
          <w:bCs/>
          <w:lang w:val="fr-CA"/>
        </w:rPr>
        <w:t>sur les règles d</w:t>
      </w:r>
      <w:r w:rsidR="0080611A">
        <w:rPr>
          <w:bCs/>
          <w:lang w:val="fr-CA"/>
        </w:rPr>
        <w:t>’</w:t>
      </w:r>
      <w:r w:rsidR="00B67949" w:rsidRPr="00B3274C">
        <w:rPr>
          <w:bCs/>
          <w:lang w:val="fr-CA"/>
        </w:rPr>
        <w:t>hygiène et les produits distribués par les cantines des écoles publiques et privées</w:t>
      </w:r>
      <w:r w:rsidR="0055418C" w:rsidRPr="00B3274C">
        <w:rPr>
          <w:bCs/>
          <w:lang w:val="fr-CA"/>
        </w:rPr>
        <w:t>»</w:t>
      </w:r>
      <w:r w:rsidR="00E54B46" w:rsidRPr="00B3274C">
        <w:rPr>
          <w:bCs/>
          <w:lang w:val="fr-CA"/>
        </w:rPr>
        <w:t xml:space="preserve"> </w:t>
      </w:r>
      <w:r w:rsidR="00B67949" w:rsidRPr="00B3274C">
        <w:rPr>
          <w:bCs/>
          <w:lang w:val="fr-CA"/>
        </w:rPr>
        <w:t>ainsi qu</w:t>
      </w:r>
      <w:r w:rsidR="0080611A">
        <w:rPr>
          <w:bCs/>
          <w:lang w:val="fr-CA"/>
        </w:rPr>
        <w:t>’</w:t>
      </w:r>
      <w:r w:rsidR="00B67949" w:rsidRPr="00B3274C">
        <w:rPr>
          <w:bCs/>
          <w:lang w:val="fr-CA"/>
        </w:rPr>
        <w:t>une circulaire explicative sur le sujet. Cette décision ministérielle portait sur l</w:t>
      </w:r>
      <w:r w:rsidR="0080611A">
        <w:rPr>
          <w:bCs/>
          <w:lang w:val="fr-CA"/>
        </w:rPr>
        <w:t>’</w:t>
      </w:r>
      <w:r w:rsidR="00B67949" w:rsidRPr="00B3274C">
        <w:rPr>
          <w:bCs/>
          <w:lang w:val="fr-CA"/>
        </w:rPr>
        <w:t>adoption de mesures de nature à protéger la santé publique</w:t>
      </w:r>
      <w:r w:rsidR="0080611A">
        <w:rPr>
          <w:bCs/>
          <w:lang w:val="fr-CA"/>
        </w:rPr>
        <w:t>,</w:t>
      </w:r>
      <w:r w:rsidR="00B67949" w:rsidRPr="00B3274C">
        <w:rPr>
          <w:bCs/>
          <w:lang w:val="fr-CA"/>
        </w:rPr>
        <w:t xml:space="preserve"> pour lutter contre l</w:t>
      </w:r>
      <w:r w:rsidR="0080611A">
        <w:rPr>
          <w:bCs/>
          <w:lang w:val="fr-CA"/>
        </w:rPr>
        <w:t>’</w:t>
      </w:r>
      <w:r w:rsidR="00B67949" w:rsidRPr="00B3274C">
        <w:rPr>
          <w:bCs/>
          <w:lang w:val="fr-CA"/>
        </w:rPr>
        <w:t>obésité et les maladies chroniques d</w:t>
      </w:r>
      <w:r w:rsidR="0080611A">
        <w:rPr>
          <w:bCs/>
          <w:lang w:val="fr-CA"/>
        </w:rPr>
        <w:t>’</w:t>
      </w:r>
      <w:r w:rsidR="00B67949" w:rsidRPr="00B3274C">
        <w:rPr>
          <w:bCs/>
          <w:lang w:val="fr-CA"/>
        </w:rPr>
        <w:t>origine alimentaire</w:t>
      </w:r>
      <w:r w:rsidR="0080611A">
        <w:rPr>
          <w:bCs/>
          <w:lang w:val="fr-CA"/>
        </w:rPr>
        <w:t>,</w:t>
      </w:r>
      <w:r w:rsidR="00B67949" w:rsidRPr="00B3274C">
        <w:rPr>
          <w:bCs/>
          <w:lang w:val="fr-CA"/>
        </w:rPr>
        <w:t xml:space="preserve"> </w:t>
      </w:r>
      <w:r w:rsidR="002B142A" w:rsidRPr="00B3274C">
        <w:rPr>
          <w:bCs/>
          <w:lang w:val="fr-CA"/>
        </w:rPr>
        <w:t>et à créer</w:t>
      </w:r>
      <w:r w:rsidR="00B67949" w:rsidRPr="00B3274C">
        <w:rPr>
          <w:bCs/>
          <w:lang w:val="fr-CA"/>
        </w:rPr>
        <w:t xml:space="preserve"> une cafétéria scolaire qui fonctionne comme un outil de formation d</w:t>
      </w:r>
      <w:r w:rsidR="0080611A">
        <w:rPr>
          <w:bCs/>
          <w:lang w:val="fr-CA"/>
        </w:rPr>
        <w:t>’</w:t>
      </w:r>
      <w:r w:rsidR="00B67949" w:rsidRPr="00B3274C">
        <w:rPr>
          <w:bCs/>
          <w:lang w:val="fr-CA"/>
        </w:rPr>
        <w:t xml:space="preserve">application concrète </w:t>
      </w:r>
      <w:r w:rsidR="00BC7A23" w:rsidRPr="00B3274C">
        <w:rPr>
          <w:bCs/>
          <w:lang w:val="fr-CA"/>
        </w:rPr>
        <w:t>aux</w:t>
      </w:r>
      <w:r w:rsidR="00B67949" w:rsidRPr="00B3274C">
        <w:rPr>
          <w:bCs/>
          <w:lang w:val="fr-CA"/>
        </w:rPr>
        <w:t xml:space="preserve"> principes d</w:t>
      </w:r>
      <w:r w:rsidR="0080611A">
        <w:rPr>
          <w:bCs/>
          <w:lang w:val="fr-CA"/>
        </w:rPr>
        <w:t>’</w:t>
      </w:r>
      <w:r w:rsidR="00B67949" w:rsidRPr="00B3274C">
        <w:rPr>
          <w:bCs/>
          <w:lang w:val="fr-CA"/>
        </w:rPr>
        <w:t xml:space="preserve">une alimentation saine. </w:t>
      </w:r>
      <w:r w:rsidR="00BC7A23" w:rsidRPr="00B3274C">
        <w:rPr>
          <w:bCs/>
          <w:lang w:val="fr-CA"/>
        </w:rPr>
        <w:t>La liste contenue dans la disposition sanitaire susmentionnée était fondée sur les recommandations d</w:t>
      </w:r>
      <w:r w:rsidR="0080611A">
        <w:rPr>
          <w:bCs/>
          <w:lang w:val="fr-CA"/>
        </w:rPr>
        <w:t>’</w:t>
      </w:r>
      <w:r w:rsidR="00BC7A23" w:rsidRPr="00B3274C">
        <w:rPr>
          <w:bCs/>
          <w:lang w:val="fr-CA"/>
        </w:rPr>
        <w:t>organisations internationales (OMS et UNICEF) et d</w:t>
      </w:r>
      <w:r w:rsidR="0080611A">
        <w:rPr>
          <w:bCs/>
          <w:lang w:val="fr-CA"/>
        </w:rPr>
        <w:t>’</w:t>
      </w:r>
      <w:r w:rsidR="00BC7A23" w:rsidRPr="00B3274C">
        <w:rPr>
          <w:bCs/>
          <w:lang w:val="fr-CA"/>
        </w:rPr>
        <w:t>organisations scientifiques concernant l</w:t>
      </w:r>
      <w:r w:rsidR="0080611A">
        <w:rPr>
          <w:bCs/>
          <w:lang w:val="fr-CA"/>
        </w:rPr>
        <w:t>’</w:t>
      </w:r>
      <w:r w:rsidR="00BC7A23" w:rsidRPr="00B3274C">
        <w:rPr>
          <w:bCs/>
          <w:lang w:val="fr-CA"/>
        </w:rPr>
        <w:t>enfance en Grèce et à l</w:t>
      </w:r>
      <w:r w:rsidR="0080611A">
        <w:rPr>
          <w:bCs/>
          <w:lang w:val="fr-CA"/>
        </w:rPr>
        <w:t>’</w:t>
      </w:r>
      <w:r w:rsidR="00BC7A23" w:rsidRPr="00B3274C">
        <w:rPr>
          <w:bCs/>
          <w:lang w:val="fr-CA"/>
        </w:rPr>
        <w:t xml:space="preserve">étranger. </w:t>
      </w:r>
    </w:p>
    <w:p w:rsidR="00FB23D3" w:rsidRPr="00B3274C" w:rsidRDefault="00107A47" w:rsidP="00107A47">
      <w:pPr>
        <w:pStyle w:val="SingleTxtG"/>
        <w:rPr>
          <w:bCs/>
          <w:lang w:val="fr-CA"/>
        </w:rPr>
      </w:pPr>
      <w:r w:rsidRPr="00B3274C">
        <w:rPr>
          <w:bCs/>
          <w:lang w:val="fr-CA"/>
        </w:rPr>
        <w:t>252.</w:t>
      </w:r>
      <w:r w:rsidRPr="00B3274C">
        <w:rPr>
          <w:bCs/>
          <w:lang w:val="fr-CA"/>
        </w:rPr>
        <w:tab/>
      </w:r>
      <w:r w:rsidR="00BC7A23" w:rsidRPr="00B3274C">
        <w:rPr>
          <w:bCs/>
          <w:lang w:val="fr-CA"/>
        </w:rPr>
        <w:t>En parallèle</w:t>
      </w:r>
      <w:r w:rsidR="0080611A">
        <w:rPr>
          <w:bCs/>
          <w:lang w:val="fr-CA"/>
        </w:rPr>
        <w:t>,</w:t>
      </w:r>
      <w:r w:rsidR="00BC7A23" w:rsidRPr="00B3274C">
        <w:rPr>
          <w:bCs/>
          <w:lang w:val="fr-CA"/>
        </w:rPr>
        <w:t xml:space="preserve"> un Comité national de politique nutrition</w:t>
      </w:r>
      <w:r w:rsidR="004706F8" w:rsidRPr="00B3274C">
        <w:rPr>
          <w:bCs/>
          <w:lang w:val="fr-CA"/>
        </w:rPr>
        <w:t>n</w:t>
      </w:r>
      <w:r w:rsidR="004163C7" w:rsidRPr="00B3274C">
        <w:rPr>
          <w:bCs/>
          <w:lang w:val="fr-CA"/>
        </w:rPr>
        <w:t>elle</w:t>
      </w:r>
      <w:r w:rsidR="00BC7A23" w:rsidRPr="00B3274C">
        <w:rPr>
          <w:bCs/>
          <w:lang w:val="fr-CA"/>
        </w:rPr>
        <w:t xml:space="preserve"> a été créé en 2005 </w:t>
      </w:r>
      <w:r w:rsidR="005F747A" w:rsidRPr="00B3274C">
        <w:rPr>
          <w:bCs/>
          <w:lang w:val="fr-CA"/>
        </w:rPr>
        <w:t>en vertu d</w:t>
      </w:r>
      <w:r w:rsidR="0080611A">
        <w:rPr>
          <w:bCs/>
          <w:lang w:val="fr-CA"/>
        </w:rPr>
        <w:t>’</w:t>
      </w:r>
      <w:r w:rsidR="00BC7A23" w:rsidRPr="00B3274C">
        <w:rPr>
          <w:bCs/>
          <w:lang w:val="fr-CA"/>
        </w:rPr>
        <w:t xml:space="preserve">une Décision ministérielle du Ministère de la santé et de la solidarité sociale. Il est chargé </w:t>
      </w:r>
      <w:r w:rsidR="00FB23D3" w:rsidRPr="00B3274C">
        <w:rPr>
          <w:bCs/>
          <w:lang w:val="fr-CA"/>
        </w:rPr>
        <w:t>1)</w:t>
      </w:r>
      <w:r w:rsidR="00512D7F">
        <w:rPr>
          <w:bCs/>
          <w:lang w:val="fr-CA"/>
        </w:rPr>
        <w:t> </w:t>
      </w:r>
      <w:r w:rsidR="00BC7A23" w:rsidRPr="00B3274C">
        <w:rPr>
          <w:bCs/>
          <w:lang w:val="fr-CA"/>
        </w:rPr>
        <w:t>de faire régulièrement des propositions sur l</w:t>
      </w:r>
      <w:r w:rsidR="0080611A">
        <w:rPr>
          <w:bCs/>
          <w:lang w:val="fr-CA"/>
        </w:rPr>
        <w:t>’</w:t>
      </w:r>
      <w:r w:rsidR="00BC7A23" w:rsidRPr="00B3274C">
        <w:rPr>
          <w:bCs/>
          <w:lang w:val="fr-CA"/>
        </w:rPr>
        <w:t>application de la politique</w:t>
      </w:r>
      <w:r w:rsidR="0055418C" w:rsidRPr="00B3274C">
        <w:rPr>
          <w:bCs/>
          <w:lang w:val="fr-CA"/>
        </w:rPr>
        <w:t xml:space="preserve"> </w:t>
      </w:r>
      <w:r w:rsidR="00BC7A23" w:rsidRPr="00B3274C">
        <w:rPr>
          <w:bCs/>
          <w:lang w:val="fr-CA"/>
        </w:rPr>
        <w:t>nutrition</w:t>
      </w:r>
      <w:r w:rsidR="004163C7" w:rsidRPr="00B3274C">
        <w:rPr>
          <w:bCs/>
          <w:lang w:val="fr-CA"/>
        </w:rPr>
        <w:t>nelle</w:t>
      </w:r>
      <w:r w:rsidR="00BC7A23" w:rsidRPr="00B3274C">
        <w:rPr>
          <w:bCs/>
          <w:lang w:val="fr-CA"/>
        </w:rPr>
        <w:t xml:space="preserve"> et </w:t>
      </w:r>
      <w:r w:rsidR="00FB23D3" w:rsidRPr="00B3274C">
        <w:rPr>
          <w:bCs/>
          <w:lang w:val="fr-CA"/>
        </w:rPr>
        <w:t>2)</w:t>
      </w:r>
      <w:r w:rsidR="00512D7F">
        <w:rPr>
          <w:bCs/>
          <w:lang w:val="fr-CA"/>
        </w:rPr>
        <w:t> </w:t>
      </w:r>
      <w:r w:rsidR="00BC7A23" w:rsidRPr="00B3274C">
        <w:rPr>
          <w:bCs/>
          <w:lang w:val="fr-CA"/>
        </w:rPr>
        <w:t>d</w:t>
      </w:r>
      <w:r w:rsidR="0080611A">
        <w:rPr>
          <w:bCs/>
          <w:lang w:val="fr-CA"/>
        </w:rPr>
        <w:t>’</w:t>
      </w:r>
      <w:r w:rsidR="00BC7A23" w:rsidRPr="00B3274C">
        <w:rPr>
          <w:bCs/>
          <w:lang w:val="fr-CA"/>
        </w:rPr>
        <w:t xml:space="preserve">engager un processus </w:t>
      </w:r>
      <w:r w:rsidR="0034593C" w:rsidRPr="00B3274C">
        <w:rPr>
          <w:bCs/>
          <w:lang w:val="fr-CA"/>
        </w:rPr>
        <w:t>élaboré sur la mise en place d</w:t>
      </w:r>
      <w:r w:rsidR="0080611A">
        <w:rPr>
          <w:bCs/>
          <w:lang w:val="fr-CA"/>
        </w:rPr>
        <w:t>’</w:t>
      </w:r>
      <w:r w:rsidR="0034593C" w:rsidRPr="00B3274C">
        <w:rPr>
          <w:bCs/>
          <w:lang w:val="fr-CA"/>
        </w:rPr>
        <w:t>un plan national d</w:t>
      </w:r>
      <w:r w:rsidR="0080611A">
        <w:rPr>
          <w:bCs/>
          <w:lang w:val="fr-CA"/>
        </w:rPr>
        <w:t>’</w:t>
      </w:r>
      <w:r w:rsidR="0034593C" w:rsidRPr="00B3274C">
        <w:rPr>
          <w:bCs/>
          <w:lang w:val="fr-CA"/>
        </w:rPr>
        <w:t>action sur la nutrition et l</w:t>
      </w:r>
      <w:r w:rsidR="0080611A">
        <w:rPr>
          <w:bCs/>
          <w:lang w:val="fr-CA"/>
        </w:rPr>
        <w:t>’</w:t>
      </w:r>
      <w:r w:rsidR="0034593C" w:rsidRPr="00B3274C">
        <w:rPr>
          <w:bCs/>
          <w:lang w:val="fr-CA"/>
        </w:rPr>
        <w:t xml:space="preserve">obésité. </w:t>
      </w:r>
      <w:r w:rsidR="005F747A" w:rsidRPr="00B3274C">
        <w:rPr>
          <w:bCs/>
          <w:lang w:val="fr-CA"/>
        </w:rPr>
        <w:t>En 2010</w:t>
      </w:r>
      <w:r w:rsidR="0080611A">
        <w:rPr>
          <w:bCs/>
          <w:lang w:val="fr-CA"/>
        </w:rPr>
        <w:t>,</w:t>
      </w:r>
      <w:r w:rsidR="005F747A" w:rsidRPr="00B3274C">
        <w:rPr>
          <w:bCs/>
          <w:lang w:val="fr-CA"/>
        </w:rPr>
        <w:t xml:space="preserve"> le Comité national pour la nutrition grecque a été créé et chargé de soumettre des propositions sur les mesures et politique</w:t>
      </w:r>
      <w:r w:rsidR="009C63CC" w:rsidRPr="00B3274C">
        <w:rPr>
          <w:bCs/>
          <w:lang w:val="fr-CA"/>
        </w:rPr>
        <w:t>s</w:t>
      </w:r>
      <w:r w:rsidR="005F747A" w:rsidRPr="00B3274C">
        <w:rPr>
          <w:bCs/>
          <w:lang w:val="fr-CA"/>
        </w:rPr>
        <w:t xml:space="preserve"> de nature à promouvoir la nutrition grecque</w:t>
      </w:r>
      <w:r w:rsidR="00EC5892" w:rsidRPr="00B3274C">
        <w:rPr>
          <w:bCs/>
          <w:lang w:val="fr-CA"/>
        </w:rPr>
        <w:t>;</w:t>
      </w:r>
      <w:r w:rsidR="005F747A" w:rsidRPr="00B3274C">
        <w:rPr>
          <w:bCs/>
          <w:lang w:val="fr-CA"/>
        </w:rPr>
        <w:t xml:space="preserve"> le comité a déjà fait des propositions relatives à la prévention de l</w:t>
      </w:r>
      <w:r w:rsidR="0080611A">
        <w:rPr>
          <w:bCs/>
          <w:lang w:val="fr-CA"/>
        </w:rPr>
        <w:t>’</w:t>
      </w:r>
      <w:r w:rsidR="005F747A" w:rsidRPr="00B3274C">
        <w:rPr>
          <w:bCs/>
          <w:lang w:val="fr-CA"/>
        </w:rPr>
        <w:t>obésité des enfants</w:t>
      </w:r>
      <w:r w:rsidR="00FB23D3" w:rsidRPr="00B3274C">
        <w:rPr>
          <w:bCs/>
          <w:lang w:val="fr-CA"/>
        </w:rPr>
        <w:t xml:space="preserve">. </w:t>
      </w:r>
    </w:p>
    <w:p w:rsidR="00FB23D3" w:rsidRPr="00B3274C" w:rsidRDefault="00107A47" w:rsidP="00107A47">
      <w:pPr>
        <w:pStyle w:val="SingleTxtG"/>
        <w:rPr>
          <w:bCs/>
          <w:lang w:val="fr-CA"/>
        </w:rPr>
      </w:pPr>
      <w:r w:rsidRPr="00B3274C">
        <w:rPr>
          <w:bCs/>
          <w:lang w:val="fr-CA"/>
        </w:rPr>
        <w:t>253.</w:t>
      </w:r>
      <w:r w:rsidRPr="00B3274C">
        <w:rPr>
          <w:bCs/>
          <w:lang w:val="fr-CA"/>
        </w:rPr>
        <w:tab/>
      </w:r>
      <w:r w:rsidR="005F747A" w:rsidRPr="00B3274C">
        <w:rPr>
          <w:bCs/>
          <w:lang w:val="fr-CA"/>
        </w:rPr>
        <w:t>Enfin</w:t>
      </w:r>
      <w:r w:rsidR="0080611A">
        <w:rPr>
          <w:bCs/>
          <w:lang w:val="fr-CA"/>
        </w:rPr>
        <w:t>,</w:t>
      </w:r>
      <w:r w:rsidR="005F747A" w:rsidRPr="00B3274C">
        <w:rPr>
          <w:bCs/>
          <w:lang w:val="fr-CA"/>
        </w:rPr>
        <w:t xml:space="preserve"> le Département des politiques et des stratégies du Ministère de la santé et de la solidarité sociale a élaboré un Plan national d</w:t>
      </w:r>
      <w:r w:rsidR="0080611A">
        <w:rPr>
          <w:bCs/>
          <w:lang w:val="fr-CA"/>
        </w:rPr>
        <w:t>’</w:t>
      </w:r>
      <w:r w:rsidR="005F747A" w:rsidRPr="00B3274C">
        <w:rPr>
          <w:bCs/>
          <w:lang w:val="fr-CA"/>
        </w:rPr>
        <w:t>action sur la nutrition saine et les troubles de la nutrition</w:t>
      </w:r>
      <w:r w:rsidR="0080611A">
        <w:rPr>
          <w:bCs/>
          <w:lang w:val="fr-CA"/>
        </w:rPr>
        <w:t>,</w:t>
      </w:r>
      <w:r w:rsidR="005F747A" w:rsidRPr="00B3274C">
        <w:rPr>
          <w:bCs/>
          <w:lang w:val="fr-CA"/>
        </w:rPr>
        <w:t xml:space="preserve"> qui comporte quatre axes</w:t>
      </w:r>
      <w:r w:rsidR="00EC5892" w:rsidRPr="00B3274C">
        <w:rPr>
          <w:bCs/>
          <w:lang w:val="fr-CA"/>
        </w:rPr>
        <w:t>:</w:t>
      </w:r>
      <w:r w:rsidR="005F747A" w:rsidRPr="00B3274C">
        <w:rPr>
          <w:bCs/>
          <w:lang w:val="fr-CA"/>
        </w:rPr>
        <w:t xml:space="preserve"> prévention et promotion d</w:t>
      </w:r>
      <w:r w:rsidR="0080611A">
        <w:rPr>
          <w:bCs/>
          <w:lang w:val="fr-CA"/>
        </w:rPr>
        <w:t>’</w:t>
      </w:r>
      <w:r w:rsidR="005F747A" w:rsidRPr="00B3274C">
        <w:rPr>
          <w:bCs/>
          <w:lang w:val="fr-CA"/>
        </w:rPr>
        <w:t>options de nutrition saine</w:t>
      </w:r>
      <w:r w:rsidR="0080611A">
        <w:rPr>
          <w:bCs/>
          <w:lang w:val="fr-CA"/>
        </w:rPr>
        <w:t>,</w:t>
      </w:r>
      <w:r w:rsidR="005F747A" w:rsidRPr="00B3274C">
        <w:rPr>
          <w:bCs/>
          <w:lang w:val="fr-CA"/>
        </w:rPr>
        <w:t xml:space="preserve"> diagnostic et thérapie précoces</w:t>
      </w:r>
      <w:r w:rsidR="0080611A">
        <w:rPr>
          <w:bCs/>
          <w:lang w:val="fr-CA"/>
        </w:rPr>
        <w:t>,</w:t>
      </w:r>
      <w:r w:rsidR="005F747A" w:rsidRPr="00B3274C">
        <w:rPr>
          <w:bCs/>
          <w:lang w:val="fr-CA"/>
        </w:rPr>
        <w:t xml:space="preserve"> coopération intersectorielle pour une politique nationale en matière de nutrition</w:t>
      </w:r>
      <w:r w:rsidR="0080611A">
        <w:rPr>
          <w:bCs/>
          <w:lang w:val="fr-CA"/>
        </w:rPr>
        <w:t>,</w:t>
      </w:r>
      <w:r w:rsidR="005F747A" w:rsidRPr="00B3274C">
        <w:rPr>
          <w:bCs/>
          <w:lang w:val="fr-CA"/>
        </w:rPr>
        <w:t xml:space="preserve"> soutien scientifique</w:t>
      </w:r>
      <w:r w:rsidR="0080611A">
        <w:rPr>
          <w:bCs/>
          <w:lang w:val="fr-CA"/>
        </w:rPr>
        <w:t>,</w:t>
      </w:r>
      <w:r w:rsidR="005F747A" w:rsidRPr="00B3274C">
        <w:rPr>
          <w:bCs/>
          <w:lang w:val="fr-CA"/>
        </w:rPr>
        <w:t xml:space="preserve"> suivi et évaluation. </w:t>
      </w:r>
    </w:p>
    <w:p w:rsidR="00FB23D3" w:rsidRPr="00B3274C" w:rsidRDefault="00107A47" w:rsidP="00107A47">
      <w:pPr>
        <w:pStyle w:val="SingleTxtG"/>
        <w:rPr>
          <w:bCs/>
          <w:lang w:val="fr-CA"/>
        </w:rPr>
      </w:pPr>
      <w:r w:rsidRPr="00B3274C">
        <w:rPr>
          <w:bCs/>
          <w:lang w:val="fr-CA"/>
        </w:rPr>
        <w:t>254.</w:t>
      </w:r>
      <w:r w:rsidRPr="00B3274C">
        <w:rPr>
          <w:bCs/>
          <w:lang w:val="fr-CA"/>
        </w:rPr>
        <w:tab/>
      </w:r>
      <w:r w:rsidR="004D5419" w:rsidRPr="00B3274C">
        <w:rPr>
          <w:bCs/>
          <w:lang w:val="fr-CA"/>
        </w:rPr>
        <w:t>Nous relevons en outre que les bases de données des projets relevant du programme DAFNE (Data Food Networking)</w:t>
      </w:r>
      <w:r w:rsidR="0080611A">
        <w:rPr>
          <w:bCs/>
          <w:lang w:val="fr-CA"/>
        </w:rPr>
        <w:t>,</w:t>
      </w:r>
      <w:r w:rsidR="004D5419" w:rsidRPr="00B3274C">
        <w:rPr>
          <w:bCs/>
          <w:lang w:val="fr-CA"/>
        </w:rPr>
        <w:t xml:space="preserve"> qui ont été lancés au début des années 90</w:t>
      </w:r>
      <w:r w:rsidR="0080611A">
        <w:rPr>
          <w:bCs/>
          <w:lang w:val="fr-CA"/>
        </w:rPr>
        <w:t>,</w:t>
      </w:r>
      <w:r w:rsidR="004D5419" w:rsidRPr="00B3274C">
        <w:rPr>
          <w:bCs/>
          <w:lang w:val="fr-CA"/>
        </w:rPr>
        <w:t xml:space="preserve"> et du projet EPIK</w:t>
      </w:r>
      <w:r w:rsidR="000616AB" w:rsidRPr="00B3274C">
        <w:rPr>
          <w:bCs/>
          <w:lang w:val="fr-CA"/>
        </w:rPr>
        <w:t xml:space="preserve"> (projet européen relatif à la société et à la médecine)</w:t>
      </w:r>
      <w:r w:rsidR="0080611A">
        <w:rPr>
          <w:bCs/>
          <w:lang w:val="fr-CA"/>
        </w:rPr>
        <w:t>,</w:t>
      </w:r>
      <w:r w:rsidR="004D5419" w:rsidRPr="00B3274C">
        <w:rPr>
          <w:bCs/>
          <w:lang w:val="fr-CA"/>
        </w:rPr>
        <w:t xml:space="preserve"> lancé en 1994</w:t>
      </w:r>
      <w:r w:rsidR="0080611A">
        <w:rPr>
          <w:bCs/>
          <w:lang w:val="fr-CA"/>
        </w:rPr>
        <w:t>,</w:t>
      </w:r>
      <w:r w:rsidR="004D5419" w:rsidRPr="00B3274C">
        <w:rPr>
          <w:bCs/>
          <w:lang w:val="fr-CA"/>
        </w:rPr>
        <w:t xml:space="preserve"> sont des sources importantes de données qui permettent d</w:t>
      </w:r>
      <w:r w:rsidR="0080611A">
        <w:rPr>
          <w:bCs/>
          <w:lang w:val="fr-CA"/>
        </w:rPr>
        <w:t>’</w:t>
      </w:r>
      <w:r w:rsidR="004D5419" w:rsidRPr="00B3274C">
        <w:rPr>
          <w:bCs/>
          <w:lang w:val="fr-CA"/>
        </w:rPr>
        <w:t>évaluer la situation de la population grecque en matière de nutrition.</w:t>
      </w:r>
      <w:r w:rsidR="0055418C" w:rsidRPr="00B3274C">
        <w:rPr>
          <w:bCs/>
          <w:lang w:val="fr-CA"/>
        </w:rPr>
        <w:t xml:space="preserve"> </w:t>
      </w:r>
    </w:p>
    <w:p w:rsidR="00FB23D3" w:rsidRPr="00B3274C" w:rsidRDefault="00107A47" w:rsidP="00107A47">
      <w:pPr>
        <w:pStyle w:val="SingleTxtG"/>
        <w:rPr>
          <w:bCs/>
          <w:lang w:val="fr-CA"/>
        </w:rPr>
      </w:pPr>
      <w:r w:rsidRPr="00B3274C">
        <w:rPr>
          <w:bCs/>
          <w:lang w:val="fr-CA"/>
        </w:rPr>
        <w:t>255.</w:t>
      </w:r>
      <w:r w:rsidRPr="00B3274C">
        <w:rPr>
          <w:bCs/>
          <w:lang w:val="fr-CA"/>
        </w:rPr>
        <w:tab/>
      </w:r>
      <w:r w:rsidR="00894DAB" w:rsidRPr="00B3274C">
        <w:rPr>
          <w:bCs/>
          <w:lang w:val="fr-CA"/>
        </w:rPr>
        <w:t>Dans le cadre des activités d</w:t>
      </w:r>
      <w:r w:rsidR="0080611A">
        <w:rPr>
          <w:bCs/>
          <w:lang w:val="fr-CA"/>
        </w:rPr>
        <w:t>’</w:t>
      </w:r>
      <w:r w:rsidR="00894DAB" w:rsidRPr="00B3274C">
        <w:rPr>
          <w:bCs/>
          <w:lang w:val="fr-CA"/>
        </w:rPr>
        <w:t xml:space="preserve">information des </w:t>
      </w:r>
      <w:r w:rsidR="00A331DC" w:rsidRPr="00B3274C">
        <w:rPr>
          <w:bCs/>
          <w:lang w:val="fr-CA"/>
        </w:rPr>
        <w:t>enfants et des adolescents sur l</w:t>
      </w:r>
      <w:r w:rsidR="00894DAB" w:rsidRPr="00B3274C">
        <w:rPr>
          <w:bCs/>
          <w:lang w:val="fr-CA"/>
        </w:rPr>
        <w:t>es questions de santé et de prévention</w:t>
      </w:r>
      <w:r w:rsidR="0080611A">
        <w:rPr>
          <w:bCs/>
          <w:lang w:val="fr-CA"/>
        </w:rPr>
        <w:t>,</w:t>
      </w:r>
      <w:r w:rsidR="00894DAB" w:rsidRPr="00B3274C">
        <w:rPr>
          <w:bCs/>
          <w:lang w:val="fr-CA"/>
        </w:rPr>
        <w:t xml:space="preserve"> le Ministère de la santé et de la solidarité sociale a lancé</w:t>
      </w:r>
      <w:r w:rsidR="0080611A">
        <w:rPr>
          <w:bCs/>
          <w:lang w:val="fr-CA"/>
        </w:rPr>
        <w:t>,</w:t>
      </w:r>
      <w:r w:rsidR="00894DAB" w:rsidRPr="00B3274C">
        <w:rPr>
          <w:bCs/>
          <w:lang w:val="fr-CA"/>
        </w:rPr>
        <w:t xml:space="preserve"> en décembre 2007</w:t>
      </w:r>
      <w:r w:rsidR="0080611A">
        <w:rPr>
          <w:bCs/>
          <w:lang w:val="fr-CA"/>
        </w:rPr>
        <w:t>,</w:t>
      </w:r>
      <w:r w:rsidR="00894DAB" w:rsidRPr="00B3274C">
        <w:rPr>
          <w:bCs/>
          <w:lang w:val="fr-CA"/>
        </w:rPr>
        <w:t xml:space="preserve"> un projet spécial d</w:t>
      </w:r>
      <w:r w:rsidR="0080611A">
        <w:rPr>
          <w:bCs/>
          <w:lang w:val="fr-CA"/>
        </w:rPr>
        <w:t>’</w:t>
      </w:r>
      <w:r w:rsidR="00894DAB" w:rsidRPr="00B3274C">
        <w:rPr>
          <w:bCs/>
          <w:lang w:val="fr-CA"/>
        </w:rPr>
        <w:t xml:space="preserve">information et de sensibilisation intitulé </w:t>
      </w:r>
      <w:r w:rsidR="0055418C" w:rsidRPr="00B3274C">
        <w:rPr>
          <w:bCs/>
          <w:lang w:val="fr-CA"/>
        </w:rPr>
        <w:t>«</w:t>
      </w:r>
      <w:r w:rsidR="00B44252" w:rsidRPr="00B3274C">
        <w:rPr>
          <w:bCs/>
          <w:lang w:val="fr-CA"/>
        </w:rPr>
        <w:t>L</w:t>
      </w:r>
      <w:r w:rsidR="00894DAB" w:rsidRPr="00B3274C">
        <w:rPr>
          <w:bCs/>
          <w:lang w:val="fr-CA"/>
        </w:rPr>
        <w:t>a vie a des couleurs</w:t>
      </w:r>
      <w:r w:rsidR="0055418C" w:rsidRPr="00B3274C">
        <w:rPr>
          <w:bCs/>
          <w:lang w:val="fr-CA"/>
        </w:rPr>
        <w:t>»</w:t>
      </w:r>
      <w:r w:rsidR="0080611A">
        <w:rPr>
          <w:bCs/>
          <w:lang w:val="fr-CA"/>
        </w:rPr>
        <w:t>,</w:t>
      </w:r>
      <w:r w:rsidR="00894DAB" w:rsidRPr="00B3274C">
        <w:rPr>
          <w:bCs/>
          <w:lang w:val="fr-CA"/>
        </w:rPr>
        <w:t xml:space="preserve"> portant également sur des questions de nutrition saine. </w:t>
      </w:r>
    </w:p>
    <w:p w:rsidR="00FB23D3" w:rsidRPr="00B3274C" w:rsidRDefault="00107A47" w:rsidP="00107A47">
      <w:pPr>
        <w:pStyle w:val="SingleTxtG"/>
        <w:rPr>
          <w:bCs/>
          <w:lang w:val="fr-CA"/>
        </w:rPr>
      </w:pPr>
      <w:r w:rsidRPr="00B3274C">
        <w:rPr>
          <w:bCs/>
          <w:lang w:val="fr-CA"/>
        </w:rPr>
        <w:t>256.</w:t>
      </w:r>
      <w:r w:rsidRPr="00B3274C">
        <w:rPr>
          <w:bCs/>
          <w:lang w:val="fr-CA"/>
        </w:rPr>
        <w:tab/>
      </w:r>
      <w:r w:rsidR="008749A3" w:rsidRPr="00B3274C">
        <w:rPr>
          <w:bCs/>
          <w:lang w:val="fr-CA"/>
        </w:rPr>
        <w:t>E</w:t>
      </w:r>
      <w:r w:rsidR="00FB23D3" w:rsidRPr="00B3274C">
        <w:rPr>
          <w:bCs/>
          <w:lang w:val="fr-CA"/>
        </w:rPr>
        <w:t>n 2007</w:t>
      </w:r>
      <w:r w:rsidR="0080611A">
        <w:rPr>
          <w:bCs/>
          <w:lang w:val="fr-CA"/>
        </w:rPr>
        <w:t>,</w:t>
      </w:r>
      <w:r w:rsidR="00FB23D3" w:rsidRPr="00B3274C">
        <w:rPr>
          <w:bCs/>
          <w:lang w:val="fr-CA"/>
        </w:rPr>
        <w:t xml:space="preserve"> </w:t>
      </w:r>
      <w:r w:rsidR="008749A3" w:rsidRPr="00B3274C">
        <w:rPr>
          <w:bCs/>
          <w:lang w:val="fr-CA"/>
        </w:rPr>
        <w:t>la population a été informée de la question des vaccinations par des messages diffusés</w:t>
      </w:r>
      <w:r w:rsidR="00B90E99" w:rsidRPr="00B3274C">
        <w:rPr>
          <w:bCs/>
          <w:lang w:val="fr-CA"/>
        </w:rPr>
        <w:t xml:space="preserve"> </w:t>
      </w:r>
      <w:r w:rsidR="008749A3" w:rsidRPr="00B3274C">
        <w:rPr>
          <w:bCs/>
          <w:lang w:val="fr-CA"/>
        </w:rPr>
        <w:t xml:space="preserve">à la télévision </w:t>
      </w:r>
      <w:r w:rsidR="00B90E99" w:rsidRPr="00B3274C">
        <w:rPr>
          <w:bCs/>
          <w:lang w:val="fr-CA"/>
        </w:rPr>
        <w:t xml:space="preserve">à de nombreuses reprises </w:t>
      </w:r>
      <w:r w:rsidR="008749A3" w:rsidRPr="00B3274C">
        <w:rPr>
          <w:bCs/>
          <w:lang w:val="fr-CA"/>
        </w:rPr>
        <w:t xml:space="preserve">par </w:t>
      </w:r>
      <w:r w:rsidR="00B90E99" w:rsidRPr="00B3274C">
        <w:rPr>
          <w:bCs/>
          <w:lang w:val="fr-CA"/>
        </w:rPr>
        <w:t>d</w:t>
      </w:r>
      <w:r w:rsidR="008749A3" w:rsidRPr="00B3274C">
        <w:rPr>
          <w:bCs/>
          <w:lang w:val="fr-CA"/>
        </w:rPr>
        <w:t xml:space="preserve">es chaînes </w:t>
      </w:r>
      <w:r w:rsidR="00B90E99" w:rsidRPr="00B3274C">
        <w:rPr>
          <w:bCs/>
          <w:lang w:val="fr-CA"/>
        </w:rPr>
        <w:t>nationales et régionales</w:t>
      </w:r>
      <w:r w:rsidR="008B76DA" w:rsidRPr="00B3274C">
        <w:rPr>
          <w:bCs/>
          <w:lang w:val="fr-CA"/>
        </w:rPr>
        <w:t>.</w:t>
      </w:r>
      <w:r w:rsidR="00B90E99" w:rsidRPr="00B3274C">
        <w:rPr>
          <w:bCs/>
          <w:lang w:val="fr-CA"/>
        </w:rPr>
        <w:t xml:space="preserve"> Au cours de la période 2004</w:t>
      </w:r>
      <w:r w:rsidR="002E27FE">
        <w:rPr>
          <w:bCs/>
          <w:lang w:val="fr-CA"/>
        </w:rPr>
        <w:t>-</w:t>
      </w:r>
      <w:r w:rsidR="00B90E99" w:rsidRPr="00B3274C">
        <w:rPr>
          <w:bCs/>
          <w:lang w:val="fr-CA"/>
        </w:rPr>
        <w:t>2008</w:t>
      </w:r>
      <w:r w:rsidR="0080611A">
        <w:rPr>
          <w:bCs/>
          <w:lang w:val="fr-CA"/>
        </w:rPr>
        <w:t>,</w:t>
      </w:r>
      <w:r w:rsidR="00B90E99" w:rsidRPr="00B3274C">
        <w:rPr>
          <w:bCs/>
          <w:lang w:val="fr-CA"/>
        </w:rPr>
        <w:t xml:space="preserve"> des brochures d</w:t>
      </w:r>
      <w:r w:rsidR="0080611A">
        <w:rPr>
          <w:bCs/>
          <w:lang w:val="fr-CA"/>
        </w:rPr>
        <w:t>’</w:t>
      </w:r>
      <w:r w:rsidR="00B90E99" w:rsidRPr="00B3274C">
        <w:rPr>
          <w:bCs/>
          <w:lang w:val="fr-CA"/>
        </w:rPr>
        <w:t>éducation sanitaire sur la santé bucco-dentaire</w:t>
      </w:r>
      <w:r w:rsidR="0080611A">
        <w:rPr>
          <w:bCs/>
          <w:lang w:val="fr-CA"/>
        </w:rPr>
        <w:t>,</w:t>
      </w:r>
      <w:r w:rsidR="00B90E99" w:rsidRPr="00B3274C">
        <w:rPr>
          <w:bCs/>
          <w:lang w:val="fr-CA"/>
        </w:rPr>
        <w:t xml:space="preserve"> une bonne alimentation</w:t>
      </w:r>
      <w:r w:rsidR="0080611A">
        <w:rPr>
          <w:bCs/>
          <w:lang w:val="fr-CA"/>
        </w:rPr>
        <w:t>,</w:t>
      </w:r>
      <w:r w:rsidR="00B90E99" w:rsidRPr="00B3274C">
        <w:rPr>
          <w:bCs/>
          <w:lang w:val="fr-CA"/>
        </w:rPr>
        <w:t xml:space="preserve"> le diabète</w:t>
      </w:r>
      <w:r w:rsidR="0080611A">
        <w:rPr>
          <w:bCs/>
          <w:lang w:val="fr-CA"/>
        </w:rPr>
        <w:t>,</w:t>
      </w:r>
      <w:r w:rsidR="00B90E99" w:rsidRPr="00B3274C">
        <w:rPr>
          <w:bCs/>
          <w:lang w:val="fr-CA"/>
        </w:rPr>
        <w:t xml:space="preserve"> la prévention des cancers gynécologiques</w:t>
      </w:r>
      <w:r w:rsidR="0080611A">
        <w:rPr>
          <w:bCs/>
          <w:lang w:val="fr-CA"/>
        </w:rPr>
        <w:t>,</w:t>
      </w:r>
      <w:r w:rsidR="00B90E99" w:rsidRPr="00B3274C">
        <w:rPr>
          <w:bCs/>
          <w:lang w:val="fr-CA"/>
        </w:rPr>
        <w:t xml:space="preserve"> le planning familial</w:t>
      </w:r>
      <w:r w:rsidR="0080611A">
        <w:rPr>
          <w:bCs/>
          <w:lang w:val="fr-CA"/>
        </w:rPr>
        <w:t>,</w:t>
      </w:r>
      <w:r w:rsidR="00B90E99" w:rsidRPr="00B3274C">
        <w:rPr>
          <w:bCs/>
          <w:lang w:val="fr-CA"/>
        </w:rPr>
        <w:t xml:space="preserve"> etc. ont été largement diffusées. Enfin</w:t>
      </w:r>
      <w:r w:rsidR="0080611A">
        <w:rPr>
          <w:bCs/>
          <w:lang w:val="fr-CA"/>
        </w:rPr>
        <w:t>,</w:t>
      </w:r>
      <w:r w:rsidR="00B90E99" w:rsidRPr="00B3274C">
        <w:rPr>
          <w:bCs/>
          <w:lang w:val="fr-CA"/>
        </w:rPr>
        <w:t xml:space="preserve"> au cours de cette période</w:t>
      </w:r>
      <w:r w:rsidR="0080611A">
        <w:rPr>
          <w:bCs/>
          <w:lang w:val="fr-CA"/>
        </w:rPr>
        <w:t>,</w:t>
      </w:r>
      <w:r w:rsidR="00B90E99" w:rsidRPr="00B3274C">
        <w:rPr>
          <w:bCs/>
          <w:lang w:val="fr-CA"/>
        </w:rPr>
        <w:t xml:space="preserve"> de nombreuses manifestations scientifiques</w:t>
      </w:r>
      <w:r w:rsidR="0080611A">
        <w:rPr>
          <w:bCs/>
          <w:lang w:val="fr-CA"/>
        </w:rPr>
        <w:t>,</w:t>
      </w:r>
      <w:r w:rsidR="00B90E99" w:rsidRPr="00B3274C">
        <w:rPr>
          <w:bCs/>
          <w:lang w:val="fr-CA"/>
        </w:rPr>
        <w:t xml:space="preserve"> portant sur une gamme étendue de questions relatives à la médecine préventive et </w:t>
      </w:r>
      <w:r w:rsidR="009B403D" w:rsidRPr="00B3274C">
        <w:rPr>
          <w:bCs/>
          <w:lang w:val="fr-CA"/>
        </w:rPr>
        <w:t xml:space="preserve">à </w:t>
      </w:r>
      <w:r w:rsidR="00B90E99" w:rsidRPr="00B3274C">
        <w:rPr>
          <w:bCs/>
          <w:lang w:val="fr-CA"/>
        </w:rPr>
        <w:t>l</w:t>
      </w:r>
      <w:r w:rsidR="0080611A">
        <w:rPr>
          <w:bCs/>
          <w:lang w:val="fr-CA"/>
        </w:rPr>
        <w:t>’</w:t>
      </w:r>
      <w:r w:rsidR="00B90E99" w:rsidRPr="00B3274C">
        <w:rPr>
          <w:bCs/>
          <w:lang w:val="fr-CA"/>
        </w:rPr>
        <w:t>hygiène</w:t>
      </w:r>
      <w:r w:rsidR="0080611A">
        <w:rPr>
          <w:bCs/>
          <w:lang w:val="fr-CA"/>
        </w:rPr>
        <w:t>,</w:t>
      </w:r>
      <w:r w:rsidR="00B90E99" w:rsidRPr="00B3274C">
        <w:rPr>
          <w:bCs/>
          <w:lang w:val="fr-CA"/>
        </w:rPr>
        <w:t xml:space="preserve"> ont été organisées sous les auspices du Ministère (congrès</w:t>
      </w:r>
      <w:r w:rsidR="0080611A">
        <w:rPr>
          <w:bCs/>
          <w:lang w:val="fr-CA"/>
        </w:rPr>
        <w:t>,</w:t>
      </w:r>
      <w:r w:rsidR="00B90E99" w:rsidRPr="00B3274C">
        <w:rPr>
          <w:bCs/>
          <w:lang w:val="fr-CA"/>
        </w:rPr>
        <w:t xml:space="preserve"> réunions</w:t>
      </w:r>
      <w:r w:rsidR="0080611A">
        <w:rPr>
          <w:bCs/>
          <w:lang w:val="fr-CA"/>
        </w:rPr>
        <w:t>,</w:t>
      </w:r>
      <w:r w:rsidR="00B90E99" w:rsidRPr="00B3274C">
        <w:rPr>
          <w:bCs/>
          <w:lang w:val="fr-CA"/>
        </w:rPr>
        <w:t xml:space="preserve"> expositions</w:t>
      </w:r>
      <w:r w:rsidR="0080611A">
        <w:rPr>
          <w:bCs/>
          <w:lang w:val="fr-CA"/>
        </w:rPr>
        <w:t>,</w:t>
      </w:r>
      <w:r w:rsidR="00B90E99" w:rsidRPr="00B3274C">
        <w:rPr>
          <w:bCs/>
          <w:lang w:val="fr-CA"/>
        </w:rPr>
        <w:t xml:space="preserve"> etc.). </w:t>
      </w:r>
    </w:p>
    <w:p w:rsidR="00FB23D3" w:rsidRPr="00B3274C" w:rsidRDefault="003350F2" w:rsidP="007F6A84">
      <w:pPr>
        <w:pStyle w:val="H23G"/>
        <w:rPr>
          <w:lang w:val="fr-CA"/>
        </w:rPr>
      </w:pPr>
      <w:r w:rsidRPr="00B3274C">
        <w:rPr>
          <w:lang w:val="fr-CA"/>
        </w:rPr>
        <w:tab/>
      </w:r>
      <w:r w:rsidR="007F6A84" w:rsidRPr="00B3274C">
        <w:rPr>
          <w:lang w:val="fr-CA"/>
        </w:rPr>
        <w:t>4.</w:t>
      </w:r>
      <w:r w:rsidRPr="00B3274C">
        <w:rPr>
          <w:lang w:val="fr-CA"/>
        </w:rPr>
        <w:tab/>
      </w:r>
      <w:r w:rsidR="00F714E5" w:rsidRPr="00B3274C">
        <w:rPr>
          <w:lang w:val="fr-CA"/>
        </w:rPr>
        <w:t>Santé mentale</w:t>
      </w:r>
      <w:r w:rsidR="00FB23D3" w:rsidRPr="00B3274C">
        <w:rPr>
          <w:lang w:val="fr-CA"/>
        </w:rPr>
        <w:t xml:space="preserve"> </w:t>
      </w:r>
      <w:r w:rsidR="00F714E5" w:rsidRPr="00B3274C">
        <w:rPr>
          <w:lang w:val="fr-CA"/>
        </w:rPr>
        <w:t>(par</w:t>
      </w:r>
      <w:r w:rsidR="00FB23D3" w:rsidRPr="00B3274C">
        <w:rPr>
          <w:lang w:val="fr-CA"/>
        </w:rPr>
        <w:t>.</w:t>
      </w:r>
      <w:r w:rsidRPr="00B3274C">
        <w:rPr>
          <w:lang w:val="fr-CA"/>
        </w:rPr>
        <w:t> </w:t>
      </w:r>
      <w:r w:rsidR="00F714E5" w:rsidRPr="00B3274C">
        <w:rPr>
          <w:lang w:val="fr-CA"/>
        </w:rPr>
        <w:t>24 et</w:t>
      </w:r>
      <w:r w:rsidR="00FB23D3" w:rsidRPr="00B3274C">
        <w:rPr>
          <w:lang w:val="fr-CA"/>
        </w:rPr>
        <w:t xml:space="preserve"> 46 </w:t>
      </w:r>
      <w:r w:rsidR="00F714E5" w:rsidRPr="00B3274C">
        <w:rPr>
          <w:lang w:val="fr-CA"/>
        </w:rPr>
        <w:t xml:space="preserve">des observations finales du Comité) </w:t>
      </w:r>
    </w:p>
    <w:p w:rsidR="00FB23D3" w:rsidRPr="00B3274C" w:rsidRDefault="003350F2" w:rsidP="007F6A84">
      <w:pPr>
        <w:pStyle w:val="H23G"/>
        <w:rPr>
          <w:lang w:val="fr-CA"/>
        </w:rPr>
      </w:pPr>
      <w:r w:rsidRPr="00B3274C">
        <w:rPr>
          <w:lang w:val="fr-CA"/>
        </w:rPr>
        <w:tab/>
      </w:r>
      <w:r w:rsidR="007F6A84" w:rsidRPr="00B3274C">
        <w:rPr>
          <w:lang w:val="fr-CA"/>
        </w:rPr>
        <w:t>a)</w:t>
      </w:r>
      <w:r w:rsidRPr="00B3274C">
        <w:rPr>
          <w:lang w:val="fr-CA"/>
        </w:rPr>
        <w:tab/>
      </w:r>
      <w:r w:rsidR="00712D05" w:rsidRPr="00B3274C">
        <w:rPr>
          <w:lang w:val="fr-CA"/>
        </w:rPr>
        <w:t xml:space="preserve">Unités de santé mentale itinérantes </w:t>
      </w:r>
    </w:p>
    <w:p w:rsidR="00FB23D3" w:rsidRPr="00B3274C" w:rsidRDefault="00107A47" w:rsidP="00107A47">
      <w:pPr>
        <w:pStyle w:val="SingleTxtG"/>
        <w:rPr>
          <w:i/>
          <w:iCs/>
          <w:lang w:val="fr-CA"/>
        </w:rPr>
      </w:pPr>
      <w:r w:rsidRPr="00B3274C">
        <w:rPr>
          <w:iCs/>
          <w:lang w:val="fr-CA"/>
        </w:rPr>
        <w:t>257.</w:t>
      </w:r>
      <w:r w:rsidRPr="00B3274C">
        <w:rPr>
          <w:iCs/>
          <w:lang w:val="fr-CA"/>
        </w:rPr>
        <w:tab/>
      </w:r>
      <w:r w:rsidR="003868BF" w:rsidRPr="00B3274C">
        <w:rPr>
          <w:iCs/>
          <w:lang w:val="fr-CA"/>
        </w:rPr>
        <w:t>Les unités itinérantes ont pour mission de fournir des services de prévention et de d</w:t>
      </w:r>
      <w:r w:rsidR="0080611A">
        <w:rPr>
          <w:iCs/>
          <w:lang w:val="fr-CA"/>
        </w:rPr>
        <w:t>’</w:t>
      </w:r>
      <w:r w:rsidR="003868BF" w:rsidRPr="00B3274C">
        <w:rPr>
          <w:iCs/>
          <w:lang w:val="fr-CA"/>
        </w:rPr>
        <w:t xml:space="preserve">hospitalisation à domicile dans les régions </w:t>
      </w:r>
      <w:r w:rsidR="006611B4" w:rsidRPr="00B3274C">
        <w:rPr>
          <w:iCs/>
          <w:lang w:val="fr-CA"/>
        </w:rPr>
        <w:t>où l</w:t>
      </w:r>
      <w:r w:rsidR="0080611A">
        <w:rPr>
          <w:iCs/>
          <w:lang w:val="fr-CA"/>
        </w:rPr>
        <w:t>’</w:t>
      </w:r>
      <w:r w:rsidR="006611B4" w:rsidRPr="00B3274C">
        <w:rPr>
          <w:iCs/>
          <w:lang w:val="fr-CA"/>
        </w:rPr>
        <w:t>accès aux services de santé mentale est difficile. Vingt-sept unités itinérantes ont été constituées dans le cadre du projet de réforme des services de santé mentale</w:t>
      </w:r>
      <w:r w:rsidR="0055418C" w:rsidRPr="00B3274C">
        <w:rPr>
          <w:iCs/>
          <w:lang w:val="fr-CA"/>
        </w:rPr>
        <w:t xml:space="preserve"> </w:t>
      </w:r>
      <w:r w:rsidR="00FB23D3" w:rsidRPr="00B3274C">
        <w:rPr>
          <w:bCs/>
          <w:lang w:val="fr-CA"/>
        </w:rPr>
        <w:t xml:space="preserve">(Psychargos). </w:t>
      </w:r>
    </w:p>
    <w:p w:rsidR="00FB23D3" w:rsidRPr="00B3274C" w:rsidRDefault="00107A47" w:rsidP="00107A47">
      <w:pPr>
        <w:pStyle w:val="SingleTxtG"/>
        <w:rPr>
          <w:bCs/>
          <w:lang w:val="fr-CA"/>
        </w:rPr>
      </w:pPr>
      <w:r w:rsidRPr="00B3274C">
        <w:rPr>
          <w:bCs/>
          <w:lang w:val="fr-CA"/>
        </w:rPr>
        <w:t>258.</w:t>
      </w:r>
      <w:r w:rsidRPr="00B3274C">
        <w:rPr>
          <w:bCs/>
          <w:lang w:val="fr-CA"/>
        </w:rPr>
        <w:tab/>
      </w:r>
      <w:r w:rsidR="001645B0" w:rsidRPr="00B3274C">
        <w:rPr>
          <w:bCs/>
          <w:lang w:val="fr-CA"/>
        </w:rPr>
        <w:t>En 2012</w:t>
      </w:r>
      <w:r w:rsidR="0080611A">
        <w:rPr>
          <w:bCs/>
          <w:lang w:val="fr-CA"/>
        </w:rPr>
        <w:t>,</w:t>
      </w:r>
      <w:r w:rsidR="0055418C" w:rsidRPr="00B3274C">
        <w:rPr>
          <w:bCs/>
          <w:lang w:val="fr-CA"/>
        </w:rPr>
        <w:t xml:space="preserve"> </w:t>
      </w:r>
      <w:r w:rsidR="001645B0" w:rsidRPr="00B3274C">
        <w:rPr>
          <w:bCs/>
          <w:lang w:val="fr-CA"/>
        </w:rPr>
        <w:t>le financement des unités de santé mentale a été généralement réduit de 50</w:t>
      </w:r>
      <w:r w:rsidR="0050285B">
        <w:rPr>
          <w:bCs/>
          <w:lang w:val="fr-CA"/>
        </w:rPr>
        <w:t> %</w:t>
      </w:r>
      <w:r w:rsidR="001645B0" w:rsidRPr="00B3274C">
        <w:rPr>
          <w:bCs/>
          <w:lang w:val="fr-CA"/>
        </w:rPr>
        <w:t xml:space="preserve"> par rapport à 2009 (80</w:t>
      </w:r>
      <w:r w:rsidR="00B53F6A">
        <w:rPr>
          <w:bCs/>
          <w:lang w:val="fr-CA"/>
        </w:rPr>
        <w:t> millions</w:t>
      </w:r>
      <w:r w:rsidR="001645B0" w:rsidRPr="00B3274C">
        <w:rPr>
          <w:bCs/>
          <w:lang w:val="fr-CA"/>
        </w:rPr>
        <w:t xml:space="preserve"> d</w:t>
      </w:r>
      <w:r w:rsidR="0080611A">
        <w:rPr>
          <w:bCs/>
          <w:lang w:val="fr-CA"/>
        </w:rPr>
        <w:t>’</w:t>
      </w:r>
      <w:r w:rsidR="001645B0" w:rsidRPr="00B3274C">
        <w:rPr>
          <w:bCs/>
          <w:lang w:val="fr-CA"/>
        </w:rPr>
        <w:t>euros)</w:t>
      </w:r>
      <w:r w:rsidR="00EC5892" w:rsidRPr="00B3274C">
        <w:rPr>
          <w:bCs/>
          <w:lang w:val="fr-CA"/>
        </w:rPr>
        <w:t>;</w:t>
      </w:r>
      <w:r w:rsidR="001645B0" w:rsidRPr="00B3274C">
        <w:rPr>
          <w:bCs/>
          <w:lang w:val="fr-CA"/>
        </w:rPr>
        <w:t xml:space="preserve"> le budget disponible </w:t>
      </w:r>
      <w:r w:rsidR="009C38C6" w:rsidRPr="00B3274C">
        <w:rPr>
          <w:bCs/>
          <w:lang w:val="fr-CA"/>
        </w:rPr>
        <w:t>est</w:t>
      </w:r>
      <w:r w:rsidR="001645B0" w:rsidRPr="00B3274C">
        <w:rPr>
          <w:bCs/>
          <w:lang w:val="fr-CA"/>
        </w:rPr>
        <w:t xml:space="preserve"> de 40</w:t>
      </w:r>
      <w:r w:rsidR="00B53F6A">
        <w:rPr>
          <w:bCs/>
          <w:lang w:val="fr-CA"/>
        </w:rPr>
        <w:t> millions</w:t>
      </w:r>
      <w:r w:rsidR="001645B0" w:rsidRPr="00B3274C">
        <w:rPr>
          <w:bCs/>
          <w:lang w:val="fr-CA"/>
        </w:rPr>
        <w:t xml:space="preserve"> d</w:t>
      </w:r>
      <w:r w:rsidR="0080611A">
        <w:rPr>
          <w:bCs/>
          <w:lang w:val="fr-CA"/>
        </w:rPr>
        <w:t>’</w:t>
      </w:r>
      <w:r w:rsidR="001645B0" w:rsidRPr="00B3274C">
        <w:rPr>
          <w:bCs/>
          <w:lang w:val="fr-CA"/>
        </w:rPr>
        <w:t>euros. Toutefois</w:t>
      </w:r>
      <w:r w:rsidR="0080611A">
        <w:rPr>
          <w:bCs/>
          <w:lang w:val="fr-CA"/>
        </w:rPr>
        <w:t>,</w:t>
      </w:r>
      <w:r w:rsidR="001645B0" w:rsidRPr="00B3274C">
        <w:rPr>
          <w:bCs/>
          <w:lang w:val="fr-CA"/>
        </w:rPr>
        <w:t xml:space="preserve"> le solde sera couvert par une réduction de 2</w:t>
      </w:r>
      <w:r w:rsidR="0050285B">
        <w:rPr>
          <w:bCs/>
          <w:lang w:val="fr-CA"/>
        </w:rPr>
        <w:t> %</w:t>
      </w:r>
      <w:r w:rsidR="001645B0" w:rsidRPr="00B3274C">
        <w:rPr>
          <w:bCs/>
          <w:lang w:val="fr-CA"/>
        </w:rPr>
        <w:t xml:space="preserve"> du montant des achats du secteur sanitaire. </w:t>
      </w:r>
    </w:p>
    <w:p w:rsidR="00FB23D3" w:rsidRPr="00B3274C" w:rsidRDefault="003350F2" w:rsidP="007F6A84">
      <w:pPr>
        <w:pStyle w:val="H23G"/>
        <w:rPr>
          <w:bCs/>
          <w:lang w:val="fr-CA"/>
        </w:rPr>
      </w:pPr>
      <w:r w:rsidRPr="00B3274C">
        <w:rPr>
          <w:lang w:val="fr-CA"/>
        </w:rPr>
        <w:tab/>
      </w:r>
      <w:r w:rsidR="007F6A84" w:rsidRPr="00B3274C">
        <w:rPr>
          <w:lang w:val="fr-CA"/>
        </w:rPr>
        <w:t>b)</w:t>
      </w:r>
      <w:r w:rsidRPr="00B3274C">
        <w:rPr>
          <w:lang w:val="fr-CA"/>
        </w:rPr>
        <w:tab/>
      </w:r>
      <w:r w:rsidR="001645B0" w:rsidRPr="00B3274C">
        <w:rPr>
          <w:lang w:val="fr-CA"/>
        </w:rPr>
        <w:t>Hospitalisation sans consentement</w:t>
      </w:r>
    </w:p>
    <w:p w:rsidR="00FB23D3" w:rsidRPr="00B3274C" w:rsidRDefault="00107A47" w:rsidP="00107A47">
      <w:pPr>
        <w:pStyle w:val="SingleTxtG"/>
        <w:rPr>
          <w:bCs/>
          <w:lang w:val="fr-CA"/>
        </w:rPr>
      </w:pPr>
      <w:r w:rsidRPr="00B3274C">
        <w:rPr>
          <w:bCs/>
          <w:lang w:val="fr-CA"/>
        </w:rPr>
        <w:t>259.</w:t>
      </w:r>
      <w:r w:rsidRPr="00B3274C">
        <w:rPr>
          <w:bCs/>
          <w:lang w:val="fr-CA"/>
        </w:rPr>
        <w:tab/>
      </w:r>
      <w:r w:rsidR="001645B0" w:rsidRPr="00B3274C">
        <w:rPr>
          <w:bCs/>
          <w:lang w:val="fr-CA"/>
        </w:rPr>
        <w:t>Il convient de souligner trois éléments fondamentaux de la législation en vigueur</w:t>
      </w:r>
      <w:r w:rsidR="00EC5892" w:rsidRPr="00B3274C">
        <w:rPr>
          <w:bCs/>
          <w:lang w:val="fr-CA"/>
        </w:rPr>
        <w:t>:</w:t>
      </w:r>
      <w:r w:rsidR="001645B0" w:rsidRPr="00B3274C">
        <w:rPr>
          <w:bCs/>
          <w:lang w:val="fr-CA"/>
        </w:rPr>
        <w:t xml:space="preserve"> l</w:t>
      </w:r>
      <w:r w:rsidR="0080611A">
        <w:rPr>
          <w:bCs/>
          <w:lang w:val="fr-CA"/>
        </w:rPr>
        <w:t>’</w:t>
      </w:r>
      <w:r w:rsidR="001645B0" w:rsidRPr="00B3274C">
        <w:rPr>
          <w:bCs/>
          <w:lang w:val="fr-CA"/>
        </w:rPr>
        <w:t>obligation de protéger la dignité du patient lors d</w:t>
      </w:r>
      <w:r w:rsidR="0080611A">
        <w:rPr>
          <w:bCs/>
          <w:lang w:val="fr-CA"/>
        </w:rPr>
        <w:t>’</w:t>
      </w:r>
      <w:r w:rsidR="001645B0" w:rsidRPr="00B3274C">
        <w:rPr>
          <w:bCs/>
          <w:lang w:val="fr-CA"/>
        </w:rPr>
        <w:t>une hospitalisation sans consentement</w:t>
      </w:r>
      <w:r w:rsidR="0080611A">
        <w:rPr>
          <w:bCs/>
          <w:lang w:val="fr-CA"/>
        </w:rPr>
        <w:t>,</w:t>
      </w:r>
      <w:r w:rsidR="001645B0" w:rsidRPr="00B3274C">
        <w:rPr>
          <w:bCs/>
          <w:lang w:val="fr-CA"/>
        </w:rPr>
        <w:t xml:space="preserve"> la définition des conditions de l</w:t>
      </w:r>
      <w:r w:rsidR="0080611A">
        <w:rPr>
          <w:bCs/>
          <w:lang w:val="fr-CA"/>
        </w:rPr>
        <w:t>’</w:t>
      </w:r>
      <w:r w:rsidR="001645B0" w:rsidRPr="00B3274C">
        <w:rPr>
          <w:bCs/>
          <w:lang w:val="fr-CA"/>
        </w:rPr>
        <w:t>hospitalisation sans consentement et le contrôle judiciaire de la procédure d</w:t>
      </w:r>
      <w:r w:rsidR="0080611A">
        <w:rPr>
          <w:bCs/>
          <w:lang w:val="fr-CA"/>
        </w:rPr>
        <w:t>’</w:t>
      </w:r>
      <w:r w:rsidR="001645B0" w:rsidRPr="00B3274C">
        <w:rPr>
          <w:bCs/>
          <w:lang w:val="fr-CA"/>
        </w:rPr>
        <w:t xml:space="preserve">hospitalisation sans consentement. </w:t>
      </w:r>
    </w:p>
    <w:p w:rsidR="00FB23D3" w:rsidRPr="00B3274C" w:rsidRDefault="00107A47" w:rsidP="00107A47">
      <w:pPr>
        <w:pStyle w:val="SingleTxtG"/>
        <w:rPr>
          <w:bCs/>
          <w:lang w:val="fr-CA"/>
        </w:rPr>
      </w:pPr>
      <w:r w:rsidRPr="00B3274C">
        <w:rPr>
          <w:bCs/>
          <w:lang w:val="fr-CA"/>
        </w:rPr>
        <w:t>260.</w:t>
      </w:r>
      <w:r w:rsidRPr="00B3274C">
        <w:rPr>
          <w:bCs/>
          <w:lang w:val="fr-CA"/>
        </w:rPr>
        <w:tab/>
      </w:r>
      <w:r w:rsidR="00E201DE" w:rsidRPr="00B3274C">
        <w:rPr>
          <w:bCs/>
          <w:lang w:val="fr-CA"/>
        </w:rPr>
        <w:t>En outre</w:t>
      </w:r>
      <w:r w:rsidR="0080611A">
        <w:rPr>
          <w:bCs/>
          <w:lang w:val="fr-CA"/>
        </w:rPr>
        <w:t>,</w:t>
      </w:r>
      <w:r w:rsidR="00E201DE" w:rsidRPr="00B3274C">
        <w:rPr>
          <w:bCs/>
          <w:lang w:val="fr-CA"/>
        </w:rPr>
        <w:t xml:space="preserve"> le Comité de contrôle de la protection des droits </w:t>
      </w:r>
      <w:r w:rsidR="00614BAC">
        <w:rPr>
          <w:bCs/>
          <w:lang w:val="fr-CA"/>
        </w:rPr>
        <w:t>des personnes</w:t>
      </w:r>
      <w:r w:rsidR="00E201DE" w:rsidRPr="00B3274C">
        <w:rPr>
          <w:bCs/>
          <w:lang w:val="fr-CA"/>
        </w:rPr>
        <w:t xml:space="preserve"> atteintes de troubles mentaux a été rétabli dans ses fonctions et surveillera également la question de l</w:t>
      </w:r>
      <w:r w:rsidR="0080611A">
        <w:rPr>
          <w:bCs/>
          <w:lang w:val="fr-CA"/>
        </w:rPr>
        <w:t>’</w:t>
      </w:r>
      <w:r w:rsidR="00E201DE" w:rsidRPr="00B3274C">
        <w:rPr>
          <w:bCs/>
          <w:lang w:val="fr-CA"/>
        </w:rPr>
        <w:t>hospitalisation sans consentement. Enfin</w:t>
      </w:r>
      <w:r w:rsidR="0080611A">
        <w:rPr>
          <w:bCs/>
          <w:lang w:val="fr-CA"/>
        </w:rPr>
        <w:t>,</w:t>
      </w:r>
      <w:r w:rsidR="00E201DE" w:rsidRPr="00B3274C">
        <w:rPr>
          <w:bCs/>
          <w:lang w:val="fr-CA"/>
        </w:rPr>
        <w:t xml:space="preserve"> le Département de la santé mentale procède actuellement à une étude sur les éventuelles modifications à apporter à la législation pour garantir pleinement la protection </w:t>
      </w:r>
      <w:r w:rsidR="00614BAC">
        <w:rPr>
          <w:bCs/>
          <w:lang w:val="fr-CA"/>
        </w:rPr>
        <w:t>des personnes</w:t>
      </w:r>
      <w:r w:rsidR="00E201DE" w:rsidRPr="00B3274C">
        <w:rPr>
          <w:bCs/>
          <w:lang w:val="fr-CA"/>
        </w:rPr>
        <w:t xml:space="preserve"> atteintes de troubles mentaux</w:t>
      </w:r>
      <w:r w:rsidR="00FB23D3" w:rsidRPr="00B3274C">
        <w:rPr>
          <w:bCs/>
          <w:lang w:val="fr-CA"/>
        </w:rPr>
        <w:t xml:space="preserve">. </w:t>
      </w:r>
    </w:p>
    <w:p w:rsidR="00FB23D3" w:rsidRPr="00B3274C" w:rsidRDefault="003350F2" w:rsidP="007F6A84">
      <w:pPr>
        <w:pStyle w:val="H23G"/>
        <w:rPr>
          <w:lang w:val="fr-CA"/>
        </w:rPr>
      </w:pPr>
      <w:r w:rsidRPr="00B3274C">
        <w:rPr>
          <w:lang w:val="fr-CA"/>
        </w:rPr>
        <w:tab/>
      </w:r>
      <w:r w:rsidR="003B32D9" w:rsidRPr="00B3274C">
        <w:rPr>
          <w:lang w:val="fr-CA"/>
        </w:rPr>
        <w:t>5.</w:t>
      </w:r>
      <w:r w:rsidRPr="00B3274C">
        <w:rPr>
          <w:lang w:val="fr-CA"/>
        </w:rPr>
        <w:tab/>
      </w:r>
      <w:r w:rsidR="004110F6" w:rsidRPr="00B3274C">
        <w:rPr>
          <w:lang w:val="fr-CA"/>
        </w:rPr>
        <w:t>Action</w:t>
      </w:r>
      <w:r w:rsidR="00165AC8" w:rsidRPr="00B3274C">
        <w:rPr>
          <w:lang w:val="fr-CA"/>
        </w:rPr>
        <w:t>s</w:t>
      </w:r>
      <w:r w:rsidR="004110F6" w:rsidRPr="00B3274C">
        <w:rPr>
          <w:lang w:val="fr-CA"/>
        </w:rPr>
        <w:t xml:space="preserve"> du Centre</w:t>
      </w:r>
      <w:r w:rsidR="00D67061" w:rsidRPr="00B3274C">
        <w:rPr>
          <w:lang w:val="fr-CA"/>
        </w:rPr>
        <w:t xml:space="preserve"> de prévention et de contrôle des </w:t>
      </w:r>
      <w:r w:rsidR="004110F6" w:rsidRPr="00B3274C">
        <w:rPr>
          <w:lang w:val="fr-CA"/>
        </w:rPr>
        <w:t xml:space="preserve">maladies </w:t>
      </w:r>
      <w:r w:rsidR="00FB23D3" w:rsidRPr="00B3274C">
        <w:rPr>
          <w:lang w:val="fr-CA"/>
        </w:rPr>
        <w:t>(HCDCP)</w:t>
      </w:r>
    </w:p>
    <w:p w:rsidR="00FB23D3" w:rsidRPr="00B3274C" w:rsidRDefault="00107A47" w:rsidP="00107A47">
      <w:pPr>
        <w:pStyle w:val="SingleTxtG"/>
        <w:rPr>
          <w:lang w:val="fr-CA"/>
        </w:rPr>
      </w:pPr>
      <w:r w:rsidRPr="00B3274C">
        <w:rPr>
          <w:lang w:val="fr-CA"/>
        </w:rPr>
        <w:t>261.</w:t>
      </w:r>
      <w:r w:rsidRPr="00B3274C">
        <w:rPr>
          <w:lang w:val="fr-CA"/>
        </w:rPr>
        <w:tab/>
      </w:r>
      <w:r w:rsidR="00EB7F2A" w:rsidRPr="00B3274C">
        <w:rPr>
          <w:lang w:val="fr-CA"/>
        </w:rPr>
        <w:t>Le Centre grec</w:t>
      </w:r>
      <w:r w:rsidR="00D67061" w:rsidRPr="00B3274C">
        <w:rPr>
          <w:lang w:val="fr-CA"/>
        </w:rPr>
        <w:t xml:space="preserve"> de prévention et de contrôle des </w:t>
      </w:r>
      <w:r w:rsidR="00EB7F2A" w:rsidRPr="00B3274C">
        <w:rPr>
          <w:lang w:val="fr-CA"/>
        </w:rPr>
        <w:t xml:space="preserve">maladies </w:t>
      </w:r>
      <w:r w:rsidR="00FB23D3" w:rsidRPr="00B3274C">
        <w:rPr>
          <w:lang w:val="fr-CA"/>
        </w:rPr>
        <w:t>(</w:t>
      </w:r>
      <w:r w:rsidR="00FB23D3" w:rsidRPr="00B3274C">
        <w:rPr>
          <w:bCs/>
          <w:lang w:val="fr-CA"/>
        </w:rPr>
        <w:t>HCDCP</w:t>
      </w:r>
      <w:r w:rsidR="00FB23D3" w:rsidRPr="00B3274C">
        <w:rPr>
          <w:lang w:val="fr-CA"/>
        </w:rPr>
        <w:t xml:space="preserve">) </w:t>
      </w:r>
      <w:r w:rsidR="00EB7F2A" w:rsidRPr="00B3274C">
        <w:rPr>
          <w:lang w:val="fr-CA"/>
        </w:rPr>
        <w:t>est l</w:t>
      </w:r>
      <w:r w:rsidR="0080611A">
        <w:rPr>
          <w:lang w:val="fr-CA"/>
        </w:rPr>
        <w:t>’</w:t>
      </w:r>
      <w:r w:rsidR="00EB7F2A" w:rsidRPr="00B3274C">
        <w:rPr>
          <w:lang w:val="fr-CA"/>
        </w:rPr>
        <w:t>un des principaux organismes de santé publique en Grèce</w:t>
      </w:r>
      <w:r w:rsidR="00EC5892" w:rsidRPr="00B3274C">
        <w:rPr>
          <w:lang w:val="fr-CA"/>
        </w:rPr>
        <w:t>;</w:t>
      </w:r>
      <w:r w:rsidR="00EB7F2A" w:rsidRPr="00B3274C">
        <w:rPr>
          <w:lang w:val="fr-CA"/>
        </w:rPr>
        <w:t xml:space="preserve"> il a pour principale fonction de protéger la santé de la population et de prévenir les maladies infectieuses et chroniques. </w:t>
      </w:r>
    </w:p>
    <w:p w:rsidR="00FB23D3" w:rsidRPr="00B3274C" w:rsidRDefault="00107A47" w:rsidP="00107A47">
      <w:pPr>
        <w:pStyle w:val="SingleTxtG"/>
        <w:rPr>
          <w:lang w:val="fr-CA"/>
        </w:rPr>
      </w:pPr>
      <w:r w:rsidRPr="00B3274C">
        <w:rPr>
          <w:lang w:val="fr-CA"/>
        </w:rPr>
        <w:t>262.</w:t>
      </w:r>
      <w:r w:rsidRPr="00B3274C">
        <w:rPr>
          <w:lang w:val="fr-CA"/>
        </w:rPr>
        <w:tab/>
      </w:r>
      <w:r w:rsidR="005E21A1" w:rsidRPr="00B3274C">
        <w:rPr>
          <w:lang w:val="fr-CA"/>
        </w:rPr>
        <w:t>En ce qui concerne</w:t>
      </w:r>
      <w:r w:rsidR="00EB7F2A" w:rsidRPr="00B3274C">
        <w:rPr>
          <w:lang w:val="fr-CA"/>
        </w:rPr>
        <w:t xml:space="preserve"> le VIH/sida et les infections sexuellement transmissibles (IST)</w:t>
      </w:r>
      <w:r w:rsidR="0080611A">
        <w:rPr>
          <w:lang w:val="fr-CA"/>
        </w:rPr>
        <w:t>,</w:t>
      </w:r>
      <w:r w:rsidR="00EB7F2A" w:rsidRPr="00B3274C">
        <w:rPr>
          <w:lang w:val="fr-CA"/>
        </w:rPr>
        <w:t xml:space="preserve"> le Centre collabore avec le Ministère de la santé et des ONG</w:t>
      </w:r>
      <w:r w:rsidR="00130D8E" w:rsidRPr="00B3274C">
        <w:rPr>
          <w:lang w:val="fr-CA"/>
        </w:rPr>
        <w:t xml:space="preserve"> à la mise en œuvre du Plan d</w:t>
      </w:r>
      <w:r w:rsidR="0080611A">
        <w:rPr>
          <w:lang w:val="fr-CA"/>
        </w:rPr>
        <w:t>’</w:t>
      </w:r>
      <w:r w:rsidR="00130D8E" w:rsidRPr="00B3274C">
        <w:rPr>
          <w:lang w:val="fr-CA"/>
        </w:rPr>
        <w:t xml:space="preserve">action national de lutte contre le VIH/sida et les infections sexuellement transmissibles (IST) pour la période </w:t>
      </w:r>
      <w:r w:rsidR="00FB23D3" w:rsidRPr="00B3274C">
        <w:rPr>
          <w:lang w:val="fr-CA"/>
        </w:rPr>
        <w:t>2008-2012</w:t>
      </w:r>
      <w:r w:rsidR="00EC5892" w:rsidRPr="00B3274C">
        <w:rPr>
          <w:lang w:val="fr-CA"/>
        </w:rPr>
        <w:t>;</w:t>
      </w:r>
      <w:r w:rsidR="00857854" w:rsidRPr="00B3274C">
        <w:rPr>
          <w:lang w:val="fr-CA"/>
        </w:rPr>
        <w:t xml:space="preserve"> </w:t>
      </w:r>
      <w:r w:rsidR="003D7FB1" w:rsidRPr="00B3274C">
        <w:rPr>
          <w:lang w:val="fr-CA"/>
        </w:rPr>
        <w:t>le Plan</w:t>
      </w:r>
      <w:r w:rsidR="00857854" w:rsidRPr="00B3274C">
        <w:rPr>
          <w:lang w:val="fr-CA"/>
        </w:rPr>
        <w:t xml:space="preserve"> </w:t>
      </w:r>
      <w:r w:rsidR="00130D8E" w:rsidRPr="00B3274C">
        <w:rPr>
          <w:lang w:val="fr-CA"/>
        </w:rPr>
        <w:t xml:space="preserve">peut être consulté sur le site Web du ministère. </w:t>
      </w:r>
    </w:p>
    <w:p w:rsidR="00FB23D3" w:rsidRPr="00B3274C" w:rsidRDefault="00107A47" w:rsidP="00107A47">
      <w:pPr>
        <w:pStyle w:val="SingleTxtG"/>
        <w:rPr>
          <w:lang w:val="fr-CA"/>
        </w:rPr>
      </w:pPr>
      <w:r w:rsidRPr="00B3274C">
        <w:rPr>
          <w:lang w:val="fr-CA"/>
        </w:rPr>
        <w:t>263.</w:t>
      </w:r>
      <w:r w:rsidRPr="00B3274C">
        <w:rPr>
          <w:lang w:val="fr-CA"/>
        </w:rPr>
        <w:tab/>
      </w:r>
      <w:r w:rsidR="00130D8E" w:rsidRPr="00B3274C">
        <w:rPr>
          <w:lang w:val="fr-CA"/>
        </w:rPr>
        <w:t>E</w:t>
      </w:r>
      <w:r w:rsidR="00FB23D3" w:rsidRPr="00B3274C">
        <w:rPr>
          <w:lang w:val="fr-CA"/>
        </w:rPr>
        <w:t>n 2011</w:t>
      </w:r>
      <w:r w:rsidR="0080611A">
        <w:rPr>
          <w:lang w:val="fr-CA"/>
        </w:rPr>
        <w:t>,</w:t>
      </w:r>
      <w:r w:rsidR="00FB23D3" w:rsidRPr="00B3274C">
        <w:rPr>
          <w:lang w:val="fr-CA"/>
        </w:rPr>
        <w:t xml:space="preserve"> </w:t>
      </w:r>
      <w:r w:rsidR="00130D8E" w:rsidRPr="00B3274C">
        <w:rPr>
          <w:lang w:val="fr-CA"/>
        </w:rPr>
        <w:t>une hausse sans précédent du nombre d</w:t>
      </w:r>
      <w:r w:rsidR="0080611A">
        <w:rPr>
          <w:lang w:val="fr-CA"/>
        </w:rPr>
        <w:t>’</w:t>
      </w:r>
      <w:r w:rsidR="00130D8E" w:rsidRPr="00B3274C">
        <w:rPr>
          <w:lang w:val="fr-CA"/>
        </w:rPr>
        <w:t xml:space="preserve">infections au HIV signalé parmi les usagers de drogues injectables </w:t>
      </w:r>
      <w:r w:rsidR="00AA53D8" w:rsidRPr="00B3274C">
        <w:rPr>
          <w:lang w:val="fr-CA"/>
        </w:rPr>
        <w:t xml:space="preserve">(UDI) </w:t>
      </w:r>
      <w:r w:rsidR="00130D8E" w:rsidRPr="00B3274C">
        <w:rPr>
          <w:lang w:val="fr-CA"/>
        </w:rPr>
        <w:t>a été observée. En 2011</w:t>
      </w:r>
      <w:r w:rsidR="0080611A">
        <w:rPr>
          <w:lang w:val="fr-CA"/>
        </w:rPr>
        <w:t>,</w:t>
      </w:r>
      <w:r w:rsidR="00130D8E" w:rsidRPr="00B3274C">
        <w:rPr>
          <w:lang w:val="fr-CA"/>
        </w:rPr>
        <w:t xml:space="preserve"> le nombre des UDI infectés au VIH était 15 fois supérieur à ce qu</w:t>
      </w:r>
      <w:r w:rsidR="0080611A">
        <w:rPr>
          <w:lang w:val="fr-CA"/>
        </w:rPr>
        <w:t>’</w:t>
      </w:r>
      <w:r w:rsidR="00130D8E" w:rsidRPr="00B3274C">
        <w:rPr>
          <w:lang w:val="fr-CA"/>
        </w:rPr>
        <w:t>il était en 2010</w:t>
      </w:r>
      <w:r w:rsidR="0080611A">
        <w:rPr>
          <w:lang w:val="fr-CA"/>
        </w:rPr>
        <w:t>,</w:t>
      </w:r>
      <w:r w:rsidR="00130D8E" w:rsidRPr="00B3274C">
        <w:rPr>
          <w:lang w:val="fr-CA"/>
        </w:rPr>
        <w:t xml:space="preserve"> et représentait environ 25</w:t>
      </w:r>
      <w:r w:rsidR="0050285B">
        <w:rPr>
          <w:lang w:val="fr-CA"/>
        </w:rPr>
        <w:t> %</w:t>
      </w:r>
      <w:r w:rsidR="00130D8E" w:rsidRPr="00B3274C">
        <w:rPr>
          <w:lang w:val="fr-CA"/>
        </w:rPr>
        <w:t xml:space="preserve"> de la totalité des infections au VIH signalées cette année-là. </w:t>
      </w:r>
    </w:p>
    <w:p w:rsidR="00FB23D3" w:rsidRPr="00B3274C" w:rsidRDefault="00107A47" w:rsidP="00107A47">
      <w:pPr>
        <w:pStyle w:val="SingleTxtG"/>
        <w:rPr>
          <w:lang w:val="fr-CA"/>
        </w:rPr>
      </w:pPr>
      <w:r w:rsidRPr="00B3274C">
        <w:rPr>
          <w:lang w:val="fr-CA"/>
        </w:rPr>
        <w:t>264.</w:t>
      </w:r>
      <w:r w:rsidRPr="00B3274C">
        <w:rPr>
          <w:lang w:val="fr-CA"/>
        </w:rPr>
        <w:tab/>
      </w:r>
      <w:r w:rsidR="00641390" w:rsidRPr="00B3274C">
        <w:rPr>
          <w:lang w:val="fr-CA"/>
        </w:rPr>
        <w:t xml:space="preserve">Des informations sur le nombre de cas </w:t>
      </w:r>
      <w:r w:rsidR="00614BAC">
        <w:rPr>
          <w:lang w:val="fr-CA"/>
        </w:rPr>
        <w:t>de personnes</w:t>
      </w:r>
      <w:r w:rsidR="00641390" w:rsidRPr="00B3274C">
        <w:rPr>
          <w:lang w:val="fr-CA"/>
        </w:rPr>
        <w:t xml:space="preserve"> infectées au VIH ou atteintes du sida et de décès liés au VIH/sida sont recueillies régulièrement par le système </w:t>
      </w:r>
      <w:r w:rsidR="00D67061" w:rsidRPr="00B3274C">
        <w:rPr>
          <w:lang w:val="fr-CA"/>
        </w:rPr>
        <w:t>de déclaration obligatoire de l</w:t>
      </w:r>
      <w:r w:rsidR="0080611A">
        <w:rPr>
          <w:lang w:val="fr-CA"/>
        </w:rPr>
        <w:t>’</w:t>
      </w:r>
      <w:r w:rsidR="00D67061" w:rsidRPr="00B3274C">
        <w:rPr>
          <w:lang w:val="fr-CA"/>
        </w:rPr>
        <w:t>infection à VIH et du sida par l</w:t>
      </w:r>
      <w:r w:rsidR="0080611A">
        <w:rPr>
          <w:lang w:val="fr-CA"/>
        </w:rPr>
        <w:t>’</w:t>
      </w:r>
      <w:r w:rsidR="00D67061" w:rsidRPr="00B3274C">
        <w:rPr>
          <w:lang w:val="fr-CA"/>
        </w:rPr>
        <w:t>Office du VIH/sida et des infections sexuellement transmissibles. Les données sont analysées et diffus</w:t>
      </w:r>
      <w:r w:rsidR="00E23372" w:rsidRPr="00B3274C">
        <w:rPr>
          <w:lang w:val="fr-CA"/>
        </w:rPr>
        <w:t>ée</w:t>
      </w:r>
      <w:r w:rsidR="00D67061" w:rsidRPr="00B3274C">
        <w:rPr>
          <w:lang w:val="fr-CA"/>
        </w:rPr>
        <w:t>s auprès de la communauté scientifique et du grand public. Elles sont aussi transmises tous les</w:t>
      </w:r>
      <w:r w:rsidR="004C055A">
        <w:rPr>
          <w:lang w:val="fr-CA"/>
        </w:rPr>
        <w:t> ans</w:t>
      </w:r>
      <w:r w:rsidR="00D67061" w:rsidRPr="00B3274C">
        <w:rPr>
          <w:lang w:val="fr-CA"/>
        </w:rPr>
        <w:t xml:space="preserve"> au Centre européen de prévent</w:t>
      </w:r>
      <w:r w:rsidR="005D68CF" w:rsidRPr="00B3274C">
        <w:rPr>
          <w:lang w:val="fr-CA"/>
        </w:rPr>
        <w:t>ion et de contrôle des maladies</w:t>
      </w:r>
      <w:r w:rsidR="00FB23D3" w:rsidRPr="00B3274C">
        <w:rPr>
          <w:lang w:val="fr-CA"/>
        </w:rPr>
        <w:t xml:space="preserve">. </w:t>
      </w:r>
    </w:p>
    <w:p w:rsidR="00FB23D3" w:rsidRPr="00B3274C" w:rsidRDefault="00107A47" w:rsidP="00107A47">
      <w:pPr>
        <w:pStyle w:val="SingleTxtG"/>
        <w:rPr>
          <w:lang w:val="fr-CA"/>
        </w:rPr>
      </w:pPr>
      <w:r w:rsidRPr="00B3274C">
        <w:rPr>
          <w:lang w:val="fr-CA"/>
        </w:rPr>
        <w:t>265.</w:t>
      </w:r>
      <w:r w:rsidRPr="00B3274C">
        <w:rPr>
          <w:lang w:val="fr-CA"/>
        </w:rPr>
        <w:tab/>
      </w:r>
      <w:r w:rsidR="005D68CF" w:rsidRPr="00B3274C">
        <w:rPr>
          <w:lang w:val="fr-CA"/>
        </w:rPr>
        <w:t>Les infections sexuellement transmissibles (IST): les principaux objectifs et défis concernant les IST en 2012 sont notamment l</w:t>
      </w:r>
      <w:r w:rsidR="0080611A">
        <w:rPr>
          <w:lang w:val="fr-CA"/>
        </w:rPr>
        <w:t>’</w:t>
      </w:r>
      <w:r w:rsidR="005D68CF" w:rsidRPr="00B3274C">
        <w:rPr>
          <w:lang w:val="fr-CA"/>
        </w:rPr>
        <w:t xml:space="preserve">amélioration des services </w:t>
      </w:r>
      <w:r w:rsidR="00A51C47" w:rsidRPr="00B3274C">
        <w:rPr>
          <w:lang w:val="fr-CA"/>
        </w:rPr>
        <w:t>d</w:t>
      </w:r>
      <w:r w:rsidR="0080611A">
        <w:rPr>
          <w:lang w:val="fr-CA"/>
        </w:rPr>
        <w:t>’</w:t>
      </w:r>
      <w:r w:rsidR="00A51C47" w:rsidRPr="00B3274C">
        <w:rPr>
          <w:lang w:val="fr-CA"/>
        </w:rPr>
        <w:t>information</w:t>
      </w:r>
      <w:r w:rsidR="005D68CF" w:rsidRPr="00B3274C">
        <w:rPr>
          <w:lang w:val="fr-CA"/>
        </w:rPr>
        <w:t xml:space="preserve"> du partenaire et des services de laboratoire</w:t>
      </w:r>
      <w:r w:rsidR="00A51C47" w:rsidRPr="00B3274C">
        <w:rPr>
          <w:lang w:val="fr-CA"/>
        </w:rPr>
        <w:t>s</w:t>
      </w:r>
      <w:r w:rsidR="005D68CF" w:rsidRPr="00B3274C">
        <w:rPr>
          <w:lang w:val="fr-CA"/>
        </w:rPr>
        <w:t xml:space="preserve"> de référence</w:t>
      </w:r>
      <w:r w:rsidR="0080611A">
        <w:rPr>
          <w:lang w:val="fr-CA"/>
        </w:rPr>
        <w:t>,</w:t>
      </w:r>
      <w:r w:rsidR="005D68CF" w:rsidRPr="00B3274C">
        <w:rPr>
          <w:lang w:val="fr-CA"/>
        </w:rPr>
        <w:t xml:space="preserve"> l</w:t>
      </w:r>
      <w:r w:rsidR="0080611A">
        <w:rPr>
          <w:lang w:val="fr-CA"/>
        </w:rPr>
        <w:t>’</w:t>
      </w:r>
      <w:r w:rsidR="005D68CF" w:rsidRPr="00B3274C">
        <w:rPr>
          <w:lang w:val="fr-CA"/>
        </w:rPr>
        <w:t xml:space="preserve">application du </w:t>
      </w:r>
      <w:r w:rsidR="00A51C47" w:rsidRPr="00B3274C">
        <w:rPr>
          <w:lang w:val="fr-CA"/>
        </w:rPr>
        <w:t xml:space="preserve">projet de </w:t>
      </w:r>
      <w:r w:rsidR="007B7366" w:rsidRPr="00B3274C">
        <w:rPr>
          <w:lang w:val="fr-CA"/>
        </w:rPr>
        <w:t xml:space="preserve">Plan </w:t>
      </w:r>
      <w:r w:rsidR="000D5E73" w:rsidRPr="00B3274C">
        <w:rPr>
          <w:lang w:val="fr-CA"/>
        </w:rPr>
        <w:t>européen d</w:t>
      </w:r>
      <w:r w:rsidR="0080611A">
        <w:rPr>
          <w:lang w:val="fr-CA"/>
        </w:rPr>
        <w:t>’</w:t>
      </w:r>
      <w:r w:rsidR="000D5E73" w:rsidRPr="00B3274C">
        <w:rPr>
          <w:lang w:val="fr-CA"/>
        </w:rPr>
        <w:t xml:space="preserve">intervention </w:t>
      </w:r>
      <w:r w:rsidR="00F21498" w:rsidRPr="00B3274C">
        <w:rPr>
          <w:lang w:val="fr-CA"/>
        </w:rPr>
        <w:t>relatif à la gonorrhée résistant</w:t>
      </w:r>
      <w:r w:rsidR="000D5E73" w:rsidRPr="00B3274C">
        <w:rPr>
          <w:lang w:val="fr-CA"/>
        </w:rPr>
        <w:t xml:space="preserve">e </w:t>
      </w:r>
      <w:r w:rsidR="005D68CF" w:rsidRPr="00B3274C">
        <w:rPr>
          <w:lang w:val="fr-CA"/>
        </w:rPr>
        <w:t xml:space="preserve">aux antibiotiques </w:t>
      </w:r>
      <w:r w:rsidR="000D5E73" w:rsidRPr="00B3274C">
        <w:rPr>
          <w:lang w:val="fr-CA"/>
        </w:rPr>
        <w:t xml:space="preserve">et la participation à des projets européens tels que le projet de lutte contre la </w:t>
      </w:r>
      <w:r w:rsidR="00FB23D3" w:rsidRPr="00B3274C">
        <w:rPr>
          <w:lang w:val="fr-CA"/>
        </w:rPr>
        <w:t xml:space="preserve">chlamydia </w:t>
      </w:r>
      <w:r w:rsidR="000D5E73" w:rsidRPr="00B3274C">
        <w:rPr>
          <w:lang w:val="fr-CA"/>
        </w:rPr>
        <w:t xml:space="preserve">et les services de dépistage anténatal. </w:t>
      </w:r>
    </w:p>
    <w:p w:rsidR="00FB23D3" w:rsidRPr="00B3274C" w:rsidRDefault="00107A47" w:rsidP="00107A47">
      <w:pPr>
        <w:pStyle w:val="SingleTxtG"/>
        <w:rPr>
          <w:lang w:val="fr-CA"/>
        </w:rPr>
      </w:pPr>
      <w:r w:rsidRPr="00B3274C">
        <w:rPr>
          <w:lang w:val="fr-CA"/>
        </w:rPr>
        <w:t>266.</w:t>
      </w:r>
      <w:r w:rsidRPr="00B3274C">
        <w:rPr>
          <w:lang w:val="fr-CA"/>
        </w:rPr>
        <w:tab/>
      </w:r>
      <w:r w:rsidR="00F21498" w:rsidRPr="00B3274C">
        <w:rPr>
          <w:lang w:val="fr-CA"/>
        </w:rPr>
        <w:t>En ce qui concerne le VIH/sida et les IST</w:t>
      </w:r>
      <w:r w:rsidR="0080611A">
        <w:rPr>
          <w:lang w:val="fr-CA"/>
        </w:rPr>
        <w:t>,</w:t>
      </w:r>
      <w:r w:rsidR="00F21498" w:rsidRPr="00B3274C">
        <w:rPr>
          <w:lang w:val="fr-CA"/>
        </w:rPr>
        <w:t xml:space="preserve"> les mesures de prévention </w:t>
      </w:r>
      <w:r w:rsidR="00A27436" w:rsidRPr="00B3274C">
        <w:rPr>
          <w:lang w:val="fr-CA"/>
        </w:rPr>
        <w:t xml:space="preserve">portent généralement sur des actions de prévention </w:t>
      </w:r>
      <w:r w:rsidR="00F21498" w:rsidRPr="00B3274C">
        <w:rPr>
          <w:lang w:val="fr-CA"/>
        </w:rPr>
        <w:t>concern</w:t>
      </w:r>
      <w:r w:rsidR="00A27436" w:rsidRPr="00B3274C">
        <w:rPr>
          <w:lang w:val="fr-CA"/>
        </w:rPr>
        <w:t>a</w:t>
      </w:r>
      <w:r w:rsidR="00F21498" w:rsidRPr="00B3274C">
        <w:rPr>
          <w:lang w:val="fr-CA"/>
        </w:rPr>
        <w:t>nt la population en général</w:t>
      </w:r>
      <w:r w:rsidR="0080611A">
        <w:rPr>
          <w:lang w:val="fr-CA"/>
        </w:rPr>
        <w:t>,</w:t>
      </w:r>
      <w:r w:rsidR="00F21498" w:rsidRPr="00B3274C">
        <w:rPr>
          <w:lang w:val="fr-CA"/>
        </w:rPr>
        <w:t xml:space="preserve"> les femmes</w:t>
      </w:r>
      <w:r w:rsidR="0080611A">
        <w:rPr>
          <w:lang w:val="fr-CA"/>
        </w:rPr>
        <w:t>,</w:t>
      </w:r>
      <w:r w:rsidR="00F21498" w:rsidRPr="00B3274C">
        <w:rPr>
          <w:lang w:val="fr-CA"/>
        </w:rPr>
        <w:t xml:space="preserve"> les jeunes </w:t>
      </w:r>
      <w:r w:rsidR="00F07F31" w:rsidRPr="00B3274C">
        <w:rPr>
          <w:lang w:val="fr-CA"/>
        </w:rPr>
        <w:t xml:space="preserve">âgés </w:t>
      </w:r>
      <w:r w:rsidR="00F21498" w:rsidRPr="00B3274C">
        <w:rPr>
          <w:lang w:val="fr-CA"/>
        </w:rPr>
        <w:t>de 15 à 24</w:t>
      </w:r>
      <w:r w:rsidR="004C055A">
        <w:rPr>
          <w:lang w:val="fr-CA"/>
        </w:rPr>
        <w:t> ans</w:t>
      </w:r>
      <w:r w:rsidR="0080611A">
        <w:rPr>
          <w:lang w:val="fr-CA"/>
        </w:rPr>
        <w:t>,</w:t>
      </w:r>
      <w:r w:rsidR="00F21498" w:rsidRPr="00B3274C">
        <w:rPr>
          <w:lang w:val="fr-CA"/>
        </w:rPr>
        <w:t xml:space="preserve"> </w:t>
      </w:r>
      <w:r w:rsidR="00F07F31" w:rsidRPr="00B3274C">
        <w:rPr>
          <w:lang w:val="fr-CA"/>
        </w:rPr>
        <w:t>les hommes homosexuels et bisexuels</w:t>
      </w:r>
      <w:r w:rsidR="0080611A">
        <w:rPr>
          <w:lang w:val="fr-CA"/>
        </w:rPr>
        <w:t>,</w:t>
      </w:r>
      <w:r w:rsidR="00F07F31" w:rsidRPr="00B3274C">
        <w:rPr>
          <w:lang w:val="fr-CA"/>
        </w:rPr>
        <w:t xml:space="preserve"> les prostitués</w:t>
      </w:r>
      <w:r w:rsidR="0080611A">
        <w:rPr>
          <w:lang w:val="fr-CA"/>
        </w:rPr>
        <w:t>,</w:t>
      </w:r>
      <w:r w:rsidR="00F07F31" w:rsidRPr="00B3274C">
        <w:rPr>
          <w:lang w:val="fr-CA"/>
        </w:rPr>
        <w:t xml:space="preserve"> les usagers de drogues injectables</w:t>
      </w:r>
      <w:r w:rsidR="0080611A">
        <w:rPr>
          <w:lang w:val="fr-CA"/>
        </w:rPr>
        <w:t>,</w:t>
      </w:r>
      <w:r w:rsidR="00F07F31" w:rsidRPr="00B3274C">
        <w:rPr>
          <w:lang w:val="fr-CA"/>
        </w:rPr>
        <w:t xml:space="preserve"> les migrants se trouvant dans des centres de détention ou d</w:t>
      </w:r>
      <w:r w:rsidR="0080611A">
        <w:rPr>
          <w:lang w:val="fr-CA"/>
        </w:rPr>
        <w:t>’</w:t>
      </w:r>
      <w:r w:rsidR="00F07F31" w:rsidRPr="00B3274C">
        <w:rPr>
          <w:lang w:val="fr-CA"/>
        </w:rPr>
        <w:t>accueil et au sein de la communauté</w:t>
      </w:r>
      <w:r w:rsidR="0080611A">
        <w:rPr>
          <w:lang w:val="fr-CA"/>
        </w:rPr>
        <w:t>,</w:t>
      </w:r>
      <w:r w:rsidR="00F07F31" w:rsidRPr="00B3274C">
        <w:rPr>
          <w:lang w:val="fr-CA"/>
        </w:rPr>
        <w:t xml:space="preserve"> </w:t>
      </w:r>
      <w:r w:rsidR="00A60F12" w:rsidRPr="00B3274C">
        <w:rPr>
          <w:lang w:val="fr-CA"/>
        </w:rPr>
        <w:t>l</w:t>
      </w:r>
      <w:r w:rsidR="00F07F31" w:rsidRPr="00B3274C">
        <w:rPr>
          <w:lang w:val="fr-CA"/>
        </w:rPr>
        <w:t>es demandeurs d</w:t>
      </w:r>
      <w:r w:rsidR="0080611A">
        <w:rPr>
          <w:lang w:val="fr-CA"/>
        </w:rPr>
        <w:t>’</w:t>
      </w:r>
      <w:r w:rsidR="00F07F31" w:rsidRPr="00B3274C">
        <w:rPr>
          <w:lang w:val="fr-CA"/>
        </w:rPr>
        <w:t>asile et les réfugiés. D</w:t>
      </w:r>
      <w:r w:rsidR="0080611A">
        <w:rPr>
          <w:lang w:val="fr-CA"/>
        </w:rPr>
        <w:t>’</w:t>
      </w:r>
      <w:r w:rsidR="00F07F31" w:rsidRPr="00B3274C">
        <w:rPr>
          <w:lang w:val="fr-CA"/>
        </w:rPr>
        <w:t>autre part</w:t>
      </w:r>
      <w:r w:rsidR="0080611A">
        <w:rPr>
          <w:lang w:val="fr-CA"/>
        </w:rPr>
        <w:t>,</w:t>
      </w:r>
      <w:r w:rsidR="00F07F31" w:rsidRPr="00B3274C">
        <w:rPr>
          <w:lang w:val="fr-CA"/>
        </w:rPr>
        <w:t xml:space="preserve"> les stratégies de prévention du VIH/sida comprennent des mesures visant à prévenir la contamination de la mère à l</w:t>
      </w:r>
      <w:r w:rsidR="0080611A">
        <w:rPr>
          <w:lang w:val="fr-CA"/>
        </w:rPr>
        <w:t>’</w:t>
      </w:r>
      <w:r w:rsidR="00F07F31" w:rsidRPr="00B3274C">
        <w:rPr>
          <w:lang w:val="fr-CA"/>
        </w:rPr>
        <w:t>enfant</w:t>
      </w:r>
      <w:r w:rsidR="00FB23D3" w:rsidRPr="00B3274C">
        <w:rPr>
          <w:lang w:val="fr-CA"/>
        </w:rPr>
        <w:t xml:space="preserve">. </w:t>
      </w:r>
    </w:p>
    <w:p w:rsidR="00FB23D3" w:rsidRPr="00B3274C" w:rsidRDefault="00107A47" w:rsidP="00107A47">
      <w:pPr>
        <w:pStyle w:val="SingleTxtG"/>
        <w:rPr>
          <w:lang w:val="fr-CA"/>
        </w:rPr>
      </w:pPr>
      <w:r w:rsidRPr="00B3274C">
        <w:rPr>
          <w:lang w:val="fr-CA"/>
        </w:rPr>
        <w:t>267.</w:t>
      </w:r>
      <w:r w:rsidRPr="00B3274C">
        <w:rPr>
          <w:lang w:val="fr-CA"/>
        </w:rPr>
        <w:tab/>
      </w:r>
      <w:r w:rsidR="00457388" w:rsidRPr="00B3274C">
        <w:rPr>
          <w:lang w:val="fr-CA"/>
        </w:rPr>
        <w:t>L</w:t>
      </w:r>
      <w:r w:rsidR="0080611A">
        <w:rPr>
          <w:lang w:val="fr-CA"/>
        </w:rPr>
        <w:t>’</w:t>
      </w:r>
      <w:r w:rsidR="00457388" w:rsidRPr="00B3274C">
        <w:rPr>
          <w:lang w:val="fr-CA"/>
        </w:rPr>
        <w:t xml:space="preserve">alliance européenne </w:t>
      </w:r>
      <w:r w:rsidR="00FB23D3" w:rsidRPr="00B3274C">
        <w:rPr>
          <w:bCs/>
          <w:lang w:val="fr-CA"/>
        </w:rPr>
        <w:t>ESTHER</w:t>
      </w:r>
      <w:r w:rsidR="00FB23D3" w:rsidRPr="00B3274C">
        <w:rPr>
          <w:lang w:val="fr-CA"/>
        </w:rPr>
        <w:t xml:space="preserve"> </w:t>
      </w:r>
      <w:r w:rsidR="00457388" w:rsidRPr="00B3274C">
        <w:rPr>
          <w:lang w:val="fr-CA"/>
        </w:rPr>
        <w:t>est un réseau de gouvernements</w:t>
      </w:r>
      <w:r w:rsidR="0080611A">
        <w:rPr>
          <w:lang w:val="fr-CA"/>
        </w:rPr>
        <w:t>,</w:t>
      </w:r>
      <w:r w:rsidR="00457388" w:rsidRPr="00B3274C">
        <w:rPr>
          <w:lang w:val="fr-CA"/>
        </w:rPr>
        <w:t xml:space="preserve"> qui favorise le rapprochement de professionnels de la santé et d</w:t>
      </w:r>
      <w:r w:rsidR="0080611A">
        <w:rPr>
          <w:lang w:val="fr-CA"/>
        </w:rPr>
        <w:t>’</w:t>
      </w:r>
      <w:r w:rsidR="00457388" w:rsidRPr="00B3274C">
        <w:rPr>
          <w:lang w:val="fr-CA"/>
        </w:rPr>
        <w:t>associations de la région européenne</w:t>
      </w:r>
      <w:r w:rsidR="00FB23D3" w:rsidRPr="00B3274C">
        <w:rPr>
          <w:lang w:val="fr-CA"/>
        </w:rPr>
        <w:t xml:space="preserve">. </w:t>
      </w:r>
      <w:r w:rsidR="00457388" w:rsidRPr="00B3274C">
        <w:rPr>
          <w:lang w:val="fr-CA"/>
        </w:rPr>
        <w:t xml:space="preserve">La Grèce est représentée au sein du réseau par </w:t>
      </w:r>
      <w:r w:rsidR="00B60D02" w:rsidRPr="00B3274C">
        <w:rPr>
          <w:lang w:val="fr-CA"/>
        </w:rPr>
        <w:t xml:space="preserve">le </w:t>
      </w:r>
      <w:r w:rsidR="00B60D02" w:rsidRPr="00B3274C">
        <w:rPr>
          <w:color w:val="000000"/>
          <w:lang w:val="fr-CA"/>
        </w:rPr>
        <w:t>Centre hellénique pour la lutte contre les maladies et la prévention des maladies (HCDCP)</w:t>
      </w:r>
      <w:r w:rsidR="00FB23D3" w:rsidRPr="00B3274C">
        <w:rPr>
          <w:lang w:val="fr-CA"/>
        </w:rPr>
        <w:t xml:space="preserve">. </w:t>
      </w:r>
      <w:r w:rsidR="00457388" w:rsidRPr="00B3274C">
        <w:rPr>
          <w:lang w:val="fr-CA"/>
        </w:rPr>
        <w:t>Depuis 2011</w:t>
      </w:r>
      <w:r w:rsidR="0080611A">
        <w:rPr>
          <w:lang w:val="fr-CA"/>
        </w:rPr>
        <w:t>,</w:t>
      </w:r>
      <w:r w:rsidR="00457388" w:rsidRPr="00B3274C">
        <w:rPr>
          <w:lang w:val="fr-CA"/>
        </w:rPr>
        <w:t xml:space="preserve"> tous les établissements médicaux et éducatifs du Patriarcat orthodoxe grec d</w:t>
      </w:r>
      <w:r w:rsidR="0080611A">
        <w:rPr>
          <w:lang w:val="fr-CA"/>
        </w:rPr>
        <w:t>’</w:t>
      </w:r>
      <w:r w:rsidR="00457388" w:rsidRPr="00B3274C">
        <w:rPr>
          <w:lang w:val="fr-CA"/>
        </w:rPr>
        <w:t>Alexandrie et de toute l</w:t>
      </w:r>
      <w:r w:rsidR="0080611A">
        <w:rPr>
          <w:lang w:val="fr-CA"/>
        </w:rPr>
        <w:t>’</w:t>
      </w:r>
      <w:r w:rsidR="00457388" w:rsidRPr="00B3274C">
        <w:rPr>
          <w:lang w:val="fr-CA"/>
        </w:rPr>
        <w:t xml:space="preserve">Afrique </w:t>
      </w:r>
      <w:r w:rsidR="00B60D02" w:rsidRPr="00B3274C">
        <w:rPr>
          <w:lang w:val="fr-CA"/>
        </w:rPr>
        <w:t>sont à la disposition du Centre à titre de contribution de la Grèce à l</w:t>
      </w:r>
      <w:r w:rsidR="0080611A">
        <w:rPr>
          <w:lang w:val="fr-CA"/>
        </w:rPr>
        <w:t>’</w:t>
      </w:r>
      <w:r w:rsidR="00B60D02" w:rsidRPr="00B3274C">
        <w:rPr>
          <w:lang w:val="fr-CA"/>
        </w:rPr>
        <w:t xml:space="preserve">alliance </w:t>
      </w:r>
      <w:r w:rsidR="00B60D02" w:rsidRPr="00B3274C">
        <w:rPr>
          <w:bCs/>
          <w:lang w:val="fr-CA"/>
        </w:rPr>
        <w:t>ESTHER</w:t>
      </w:r>
      <w:r w:rsidR="00FB23D3" w:rsidRPr="00B3274C">
        <w:rPr>
          <w:lang w:val="fr-CA"/>
        </w:rPr>
        <w:t xml:space="preserve">. </w:t>
      </w:r>
    </w:p>
    <w:p w:rsidR="00FB23D3" w:rsidRPr="00B3274C" w:rsidRDefault="00107A47" w:rsidP="00107A47">
      <w:pPr>
        <w:pStyle w:val="SingleTxtG"/>
        <w:rPr>
          <w:lang w:val="fr-CA"/>
        </w:rPr>
      </w:pPr>
      <w:r w:rsidRPr="00B3274C">
        <w:rPr>
          <w:lang w:val="fr-CA"/>
        </w:rPr>
        <w:t>268.</w:t>
      </w:r>
      <w:r w:rsidRPr="00B3274C">
        <w:rPr>
          <w:lang w:val="fr-CA"/>
        </w:rPr>
        <w:tab/>
      </w:r>
      <w:r w:rsidR="00B60D02" w:rsidRPr="00B3274C">
        <w:rPr>
          <w:lang w:val="fr-CA"/>
        </w:rPr>
        <w:t>Le Bureau de l</w:t>
      </w:r>
      <w:r w:rsidR="0080611A">
        <w:rPr>
          <w:lang w:val="fr-CA"/>
        </w:rPr>
        <w:t>’</w:t>
      </w:r>
      <w:r w:rsidR="00B60D02" w:rsidRPr="00B3274C">
        <w:rPr>
          <w:lang w:val="fr-CA"/>
        </w:rPr>
        <w:t>hépatite virale mène des actions visant à prévenir cette maladie et a intensifié ses efforts pour informer le public</w:t>
      </w:r>
      <w:r w:rsidR="0080611A">
        <w:rPr>
          <w:lang w:val="fr-CA"/>
        </w:rPr>
        <w:t>,</w:t>
      </w:r>
      <w:r w:rsidR="00B60D02" w:rsidRPr="00B3274C">
        <w:rPr>
          <w:lang w:val="fr-CA"/>
        </w:rPr>
        <w:t xml:space="preserve"> les travailleurs sanitaires et les groupes à risque élevé. </w:t>
      </w:r>
      <w:r w:rsidR="00FF5469" w:rsidRPr="00B3274C">
        <w:rPr>
          <w:lang w:val="fr-CA"/>
        </w:rPr>
        <w:t>Depuis le</w:t>
      </w:r>
      <w:r w:rsidR="00B60D02" w:rsidRPr="00B3274C">
        <w:rPr>
          <w:lang w:val="fr-CA"/>
        </w:rPr>
        <w:t xml:space="preserve"> 1</w:t>
      </w:r>
      <w:r w:rsidR="00B60D02" w:rsidRPr="00F413A6">
        <w:rPr>
          <w:vertAlign w:val="superscript"/>
          <w:lang w:val="fr-CA"/>
        </w:rPr>
        <w:t>er</w:t>
      </w:r>
      <w:r w:rsidR="00F413A6">
        <w:rPr>
          <w:lang w:val="fr-CA"/>
        </w:rPr>
        <w:t> </w:t>
      </w:r>
      <w:r w:rsidR="00B60D02" w:rsidRPr="00B3274C">
        <w:rPr>
          <w:lang w:val="fr-CA"/>
        </w:rPr>
        <w:t>janvier 1998</w:t>
      </w:r>
      <w:r w:rsidR="0080611A">
        <w:rPr>
          <w:lang w:val="fr-CA"/>
        </w:rPr>
        <w:t>,</w:t>
      </w:r>
      <w:r w:rsidR="00B60D02" w:rsidRPr="00B3274C">
        <w:rPr>
          <w:lang w:val="fr-CA"/>
        </w:rPr>
        <w:t xml:space="preserve"> les vaccinations contre l</w:t>
      </w:r>
      <w:r w:rsidR="0080611A">
        <w:rPr>
          <w:lang w:val="fr-CA"/>
        </w:rPr>
        <w:t>’</w:t>
      </w:r>
      <w:r w:rsidR="00B60D02" w:rsidRPr="00B3274C">
        <w:rPr>
          <w:lang w:val="fr-CA"/>
        </w:rPr>
        <w:t>hépatite B se sont intensifiées dans le cadre du Plan national de vaccination.</w:t>
      </w:r>
      <w:r w:rsidR="00690BDB" w:rsidRPr="00B3274C">
        <w:rPr>
          <w:lang w:val="fr-CA"/>
        </w:rPr>
        <w:t xml:space="preserve"> C</w:t>
      </w:r>
      <w:r w:rsidR="0080611A">
        <w:rPr>
          <w:lang w:val="fr-CA"/>
        </w:rPr>
        <w:t>’</w:t>
      </w:r>
      <w:r w:rsidR="00690BDB" w:rsidRPr="00B3274C">
        <w:rPr>
          <w:lang w:val="fr-CA"/>
        </w:rPr>
        <w:t xml:space="preserve">est ainsi que </w:t>
      </w:r>
      <w:r w:rsidR="00B60D02" w:rsidRPr="00B3274C">
        <w:rPr>
          <w:lang w:val="fr-CA"/>
        </w:rPr>
        <w:t>la vaccination est obligatoire pour tous les bébés et enfants</w:t>
      </w:r>
      <w:r w:rsidR="00690BDB" w:rsidRPr="00B3274C">
        <w:rPr>
          <w:lang w:val="fr-CA"/>
        </w:rPr>
        <w:t xml:space="preserve"> entrant dans </w:t>
      </w:r>
      <w:r w:rsidR="00B60D02" w:rsidRPr="00B3274C">
        <w:rPr>
          <w:lang w:val="fr-CA"/>
        </w:rPr>
        <w:t>l</w:t>
      </w:r>
      <w:r w:rsidR="0080611A">
        <w:rPr>
          <w:lang w:val="fr-CA"/>
        </w:rPr>
        <w:t>’</w:t>
      </w:r>
      <w:r w:rsidR="00B60D02" w:rsidRPr="00B3274C">
        <w:rPr>
          <w:lang w:val="fr-CA"/>
        </w:rPr>
        <w:t>adolescence (sixième niveau de l</w:t>
      </w:r>
      <w:r w:rsidR="0080611A">
        <w:rPr>
          <w:lang w:val="fr-CA"/>
        </w:rPr>
        <w:t>’</w:t>
      </w:r>
      <w:r w:rsidR="00B60D02" w:rsidRPr="00B3274C">
        <w:rPr>
          <w:lang w:val="fr-CA"/>
        </w:rPr>
        <w:t>école élémentaire). L</w:t>
      </w:r>
      <w:r w:rsidR="0080611A">
        <w:rPr>
          <w:lang w:val="fr-CA"/>
        </w:rPr>
        <w:t>’</w:t>
      </w:r>
      <w:r w:rsidR="00B60D02" w:rsidRPr="00B3274C">
        <w:rPr>
          <w:lang w:val="fr-CA"/>
        </w:rPr>
        <w:t xml:space="preserve">hépatite </w:t>
      </w:r>
      <w:r w:rsidR="00690BDB" w:rsidRPr="00B3274C">
        <w:rPr>
          <w:lang w:val="fr-CA"/>
        </w:rPr>
        <w:t xml:space="preserve">A </w:t>
      </w:r>
      <w:r w:rsidR="00B60D02" w:rsidRPr="00B3274C">
        <w:rPr>
          <w:lang w:val="fr-CA"/>
        </w:rPr>
        <w:t>est également incluse dans le Plan national de vaccination depuis le 23 janvier 2008. La vaccination des groupes à risque élevé contre l</w:t>
      </w:r>
      <w:r w:rsidR="0080611A">
        <w:rPr>
          <w:lang w:val="fr-CA"/>
        </w:rPr>
        <w:t>’</w:t>
      </w:r>
      <w:r w:rsidR="00B60D02" w:rsidRPr="00B3274C">
        <w:rPr>
          <w:lang w:val="fr-CA"/>
        </w:rPr>
        <w:t>hépatite B et l</w:t>
      </w:r>
      <w:r w:rsidR="0080611A">
        <w:rPr>
          <w:lang w:val="fr-CA"/>
        </w:rPr>
        <w:t>’</w:t>
      </w:r>
      <w:r w:rsidR="00B60D02" w:rsidRPr="00B3274C">
        <w:rPr>
          <w:lang w:val="fr-CA"/>
        </w:rPr>
        <w:t xml:space="preserve">hépatite A est </w:t>
      </w:r>
      <w:r w:rsidR="00690BDB" w:rsidRPr="00B3274C">
        <w:rPr>
          <w:lang w:val="fr-CA"/>
        </w:rPr>
        <w:t xml:space="preserve">également </w:t>
      </w:r>
      <w:r w:rsidR="00B60D02" w:rsidRPr="00B3274C">
        <w:rPr>
          <w:lang w:val="fr-CA"/>
        </w:rPr>
        <w:t>recommandé</w:t>
      </w:r>
      <w:r w:rsidR="00F91036" w:rsidRPr="00B3274C">
        <w:rPr>
          <w:lang w:val="fr-CA"/>
        </w:rPr>
        <w:t>e</w:t>
      </w:r>
      <w:r w:rsidR="00690BDB" w:rsidRPr="00B3274C">
        <w:rPr>
          <w:lang w:val="fr-CA"/>
        </w:rPr>
        <w:t>.</w:t>
      </w:r>
      <w:r w:rsidR="00B60D02" w:rsidRPr="00B3274C">
        <w:rPr>
          <w:lang w:val="fr-CA"/>
        </w:rPr>
        <w:t xml:space="preserve"> </w:t>
      </w:r>
    </w:p>
    <w:p w:rsidR="00FB23D3" w:rsidRPr="00B3274C" w:rsidRDefault="00107A47" w:rsidP="00107A47">
      <w:pPr>
        <w:pStyle w:val="SingleTxtG"/>
        <w:rPr>
          <w:lang w:val="fr-CA"/>
        </w:rPr>
      </w:pPr>
      <w:r w:rsidRPr="00B3274C">
        <w:rPr>
          <w:lang w:val="fr-CA"/>
        </w:rPr>
        <w:t>269.</w:t>
      </w:r>
      <w:r w:rsidRPr="00B3274C">
        <w:rPr>
          <w:lang w:val="fr-CA"/>
        </w:rPr>
        <w:tab/>
      </w:r>
      <w:r w:rsidR="00690BDB" w:rsidRPr="00B3274C">
        <w:rPr>
          <w:lang w:val="fr-CA"/>
        </w:rPr>
        <w:t>Depuis 2002 jusqu</w:t>
      </w:r>
      <w:r w:rsidR="0080611A">
        <w:rPr>
          <w:lang w:val="fr-CA"/>
        </w:rPr>
        <w:t>’</w:t>
      </w:r>
      <w:r w:rsidR="00690BDB" w:rsidRPr="00B3274C">
        <w:rPr>
          <w:lang w:val="fr-CA"/>
        </w:rPr>
        <w:t>à ce jour</w:t>
      </w:r>
      <w:r w:rsidR="0080611A">
        <w:rPr>
          <w:lang w:val="fr-CA"/>
        </w:rPr>
        <w:t>,</w:t>
      </w:r>
      <w:r w:rsidR="00690BDB" w:rsidRPr="00B3274C">
        <w:rPr>
          <w:lang w:val="fr-CA"/>
        </w:rPr>
        <w:t xml:space="preserve"> l</w:t>
      </w:r>
      <w:r w:rsidR="0080611A">
        <w:rPr>
          <w:lang w:val="fr-CA"/>
        </w:rPr>
        <w:t>’</w:t>
      </w:r>
      <w:r w:rsidR="00690BDB" w:rsidRPr="00B3274C">
        <w:rPr>
          <w:lang w:val="fr-CA"/>
        </w:rPr>
        <w:t>étude de cohorte sur l</w:t>
      </w:r>
      <w:r w:rsidR="00487097" w:rsidRPr="00B3274C">
        <w:rPr>
          <w:lang w:val="fr-CA"/>
        </w:rPr>
        <w:t xml:space="preserve">es </w:t>
      </w:r>
      <w:r w:rsidR="00690BDB" w:rsidRPr="00B3274C">
        <w:rPr>
          <w:lang w:val="fr-CA"/>
        </w:rPr>
        <w:t>hépatite</w:t>
      </w:r>
      <w:r w:rsidR="00487097" w:rsidRPr="00B3274C">
        <w:rPr>
          <w:lang w:val="fr-CA"/>
        </w:rPr>
        <w:t>s</w:t>
      </w:r>
      <w:r w:rsidR="00690BDB" w:rsidRPr="00B3274C">
        <w:rPr>
          <w:lang w:val="fr-CA"/>
        </w:rPr>
        <w:t xml:space="preserve"> B et C chronique</w:t>
      </w:r>
      <w:r w:rsidR="00487097" w:rsidRPr="00B3274C">
        <w:rPr>
          <w:lang w:val="fr-CA"/>
        </w:rPr>
        <w:t>s</w:t>
      </w:r>
      <w:r w:rsidR="00690BDB" w:rsidRPr="00B3274C">
        <w:rPr>
          <w:lang w:val="fr-CA"/>
        </w:rPr>
        <w:t xml:space="preserve"> du Plan national de lutte contre l</w:t>
      </w:r>
      <w:r w:rsidR="0080611A">
        <w:rPr>
          <w:lang w:val="fr-CA"/>
        </w:rPr>
        <w:t>’</w:t>
      </w:r>
      <w:r w:rsidR="00690BDB" w:rsidRPr="00B3274C">
        <w:rPr>
          <w:lang w:val="fr-CA"/>
        </w:rPr>
        <w:t>hépatite du Centre pour la lutte contre les maladies et la prévention des maladies (</w:t>
      </w:r>
      <w:r w:rsidR="00FB23D3" w:rsidRPr="00B3274C">
        <w:rPr>
          <w:lang w:val="fr-CA"/>
        </w:rPr>
        <w:t>KEELPNO</w:t>
      </w:r>
      <w:r w:rsidR="00690BDB" w:rsidRPr="00B3274C">
        <w:rPr>
          <w:lang w:val="fr-CA"/>
        </w:rPr>
        <w:t>)</w:t>
      </w:r>
      <w:r w:rsidR="00FB23D3" w:rsidRPr="00B3274C">
        <w:rPr>
          <w:lang w:val="fr-CA"/>
        </w:rPr>
        <w:t xml:space="preserve"> </w:t>
      </w:r>
      <w:r w:rsidR="00487097" w:rsidRPr="00B3274C">
        <w:rPr>
          <w:lang w:val="fr-CA"/>
        </w:rPr>
        <w:t>a été appliquée et coordonnée (enregistrement</w:t>
      </w:r>
      <w:r w:rsidR="0080611A">
        <w:rPr>
          <w:lang w:val="fr-CA"/>
        </w:rPr>
        <w:t>,</w:t>
      </w:r>
      <w:r w:rsidR="00487097" w:rsidRPr="00B3274C">
        <w:rPr>
          <w:lang w:val="fr-CA"/>
        </w:rPr>
        <w:t xml:space="preserve"> suivi</w:t>
      </w:r>
      <w:r w:rsidR="0080611A">
        <w:rPr>
          <w:lang w:val="fr-CA"/>
        </w:rPr>
        <w:t>,</w:t>
      </w:r>
      <w:r w:rsidR="00487097" w:rsidRPr="00B3274C">
        <w:rPr>
          <w:lang w:val="fr-CA"/>
        </w:rPr>
        <w:t xml:space="preserve"> traitement statistique des données) pour garantir le suivi permanent des patients atteints de l</w:t>
      </w:r>
      <w:r w:rsidR="0080611A">
        <w:rPr>
          <w:lang w:val="fr-CA"/>
        </w:rPr>
        <w:t>’</w:t>
      </w:r>
      <w:r w:rsidR="00487097" w:rsidRPr="00B3274C">
        <w:rPr>
          <w:lang w:val="fr-CA"/>
        </w:rPr>
        <w:t>hépatite B ou C chronique</w:t>
      </w:r>
      <w:r w:rsidR="00FB23D3" w:rsidRPr="00B3274C">
        <w:rPr>
          <w:lang w:val="fr-CA"/>
        </w:rPr>
        <w:t>.</w:t>
      </w:r>
      <w:r w:rsidR="00047D7A" w:rsidRPr="00B3274C">
        <w:rPr>
          <w:lang w:val="fr-CA"/>
        </w:rPr>
        <w:t xml:space="preserve"> </w:t>
      </w:r>
    </w:p>
    <w:p w:rsidR="00FB23D3" w:rsidRPr="00B3274C" w:rsidRDefault="00107A47" w:rsidP="00107A47">
      <w:pPr>
        <w:pStyle w:val="SingleTxtG"/>
        <w:rPr>
          <w:lang w:val="fr-CA"/>
        </w:rPr>
      </w:pPr>
      <w:r w:rsidRPr="00B3274C">
        <w:rPr>
          <w:lang w:val="fr-CA"/>
        </w:rPr>
        <w:t>270.</w:t>
      </w:r>
      <w:r w:rsidRPr="00B3274C">
        <w:rPr>
          <w:lang w:val="fr-CA"/>
        </w:rPr>
        <w:tab/>
      </w:r>
      <w:r w:rsidR="00964BAC" w:rsidRPr="00B3274C">
        <w:rPr>
          <w:lang w:val="fr-CA"/>
        </w:rPr>
        <w:t>En mars 2011</w:t>
      </w:r>
      <w:r w:rsidR="0080611A">
        <w:rPr>
          <w:lang w:val="fr-CA"/>
        </w:rPr>
        <w:t>,</w:t>
      </w:r>
      <w:r w:rsidR="00964BAC" w:rsidRPr="00B3274C">
        <w:rPr>
          <w:lang w:val="fr-CA"/>
        </w:rPr>
        <w:t xml:space="preserve"> le projet</w:t>
      </w:r>
      <w:r w:rsidR="008A729D" w:rsidRPr="00B3274C">
        <w:rPr>
          <w:lang w:val="fr-CA"/>
        </w:rPr>
        <w:t xml:space="preserve"> relatif aux soins </w:t>
      </w:r>
      <w:r w:rsidR="00964BAC" w:rsidRPr="00B3274C">
        <w:rPr>
          <w:lang w:val="fr-CA"/>
        </w:rPr>
        <w:t>de santé</w:t>
      </w:r>
      <w:r w:rsidR="008A729D" w:rsidRPr="00B3274C">
        <w:rPr>
          <w:lang w:val="fr-CA"/>
        </w:rPr>
        <w:t xml:space="preserve"> concernant les </w:t>
      </w:r>
      <w:r w:rsidR="00964BAC" w:rsidRPr="00B3274C">
        <w:rPr>
          <w:lang w:val="fr-CA"/>
        </w:rPr>
        <w:t>migrants</w:t>
      </w:r>
      <w:r w:rsidR="0080611A">
        <w:rPr>
          <w:lang w:val="fr-CA"/>
        </w:rPr>
        <w:t>,</w:t>
      </w:r>
      <w:r w:rsidR="00964BAC" w:rsidRPr="00B3274C">
        <w:rPr>
          <w:lang w:val="fr-CA"/>
        </w:rPr>
        <w:t xml:space="preserve"> intitulé</w:t>
      </w:r>
      <w:r w:rsidR="008A729D" w:rsidRPr="00B3274C">
        <w:rPr>
          <w:lang w:val="fr-CA"/>
        </w:rPr>
        <w:t xml:space="preserve"> «</w:t>
      </w:r>
      <w:r w:rsidR="00964BAC" w:rsidRPr="00B3274C">
        <w:rPr>
          <w:lang w:val="fr-CA"/>
        </w:rPr>
        <w:t>Mise en œuvre des soins de santé et des activités de soutien psychosocial</w:t>
      </w:r>
      <w:r w:rsidR="008A729D" w:rsidRPr="00B3274C">
        <w:rPr>
          <w:lang w:val="fr-CA"/>
        </w:rPr>
        <w:t xml:space="preserve"> pour les </w:t>
      </w:r>
      <w:r w:rsidR="00964BAC" w:rsidRPr="00B3274C">
        <w:rPr>
          <w:lang w:val="fr-CA"/>
        </w:rPr>
        <w:t>ressortissants de pays tiers ayant besoin d</w:t>
      </w:r>
      <w:r w:rsidR="0080611A">
        <w:rPr>
          <w:lang w:val="fr-CA"/>
        </w:rPr>
        <w:t>’</w:t>
      </w:r>
      <w:r w:rsidR="00964BAC" w:rsidRPr="00B3274C">
        <w:rPr>
          <w:lang w:val="fr-CA"/>
        </w:rPr>
        <w:t xml:space="preserve">une protection internationale dans la région </w:t>
      </w:r>
      <w:r w:rsidR="008A729D" w:rsidRPr="00B3274C">
        <w:rPr>
          <w:lang w:val="fr-CA"/>
        </w:rPr>
        <w:t>de l</w:t>
      </w:r>
      <w:r w:rsidR="0080611A">
        <w:rPr>
          <w:lang w:val="fr-CA"/>
        </w:rPr>
        <w:t>’</w:t>
      </w:r>
      <w:r w:rsidR="008A729D" w:rsidRPr="00B3274C">
        <w:rPr>
          <w:lang w:val="fr-CA"/>
        </w:rPr>
        <w:t>Évros en Grèce</w:t>
      </w:r>
      <w:r w:rsidR="0055418C" w:rsidRPr="00B3274C">
        <w:rPr>
          <w:lang w:val="fr-CA"/>
        </w:rPr>
        <w:t>»</w:t>
      </w:r>
      <w:r w:rsidR="008A729D" w:rsidRPr="00B3274C">
        <w:rPr>
          <w:lang w:val="fr-CA"/>
        </w:rPr>
        <w:t xml:space="preserve"> et</w:t>
      </w:r>
      <w:r w:rsidR="0055418C" w:rsidRPr="00B3274C">
        <w:rPr>
          <w:lang w:val="fr-CA"/>
        </w:rPr>
        <w:t xml:space="preserve"> </w:t>
      </w:r>
      <w:r w:rsidR="008A729D" w:rsidRPr="00B3274C">
        <w:rPr>
          <w:lang w:val="fr-CA"/>
        </w:rPr>
        <w:t>cofinancé par l</w:t>
      </w:r>
      <w:r w:rsidR="0080611A">
        <w:rPr>
          <w:lang w:val="fr-CA"/>
        </w:rPr>
        <w:t>’</w:t>
      </w:r>
      <w:r w:rsidR="008A729D" w:rsidRPr="00B3274C">
        <w:rPr>
          <w:lang w:val="fr-CA"/>
        </w:rPr>
        <w:t>Union européenne</w:t>
      </w:r>
      <w:r w:rsidR="0080611A">
        <w:rPr>
          <w:lang w:val="fr-CA"/>
        </w:rPr>
        <w:t>,</w:t>
      </w:r>
      <w:r w:rsidR="008A729D" w:rsidRPr="00B3274C">
        <w:rPr>
          <w:lang w:val="fr-CA"/>
        </w:rPr>
        <w:t xml:space="preserve"> a été lancé et est en cours d</w:t>
      </w:r>
      <w:r w:rsidR="0080611A">
        <w:rPr>
          <w:lang w:val="fr-CA"/>
        </w:rPr>
        <w:t>’</w:t>
      </w:r>
      <w:r w:rsidR="008A729D" w:rsidRPr="00B3274C">
        <w:rPr>
          <w:lang w:val="fr-CA"/>
        </w:rPr>
        <w:t>exécution. Le nombre de migrants soumis à un examen médical dans les centres sanitaires atteint 1</w:t>
      </w:r>
      <w:r w:rsidR="00512D7F">
        <w:rPr>
          <w:lang w:val="fr-CA"/>
        </w:rPr>
        <w:t> </w:t>
      </w:r>
      <w:r w:rsidR="008A729D" w:rsidRPr="00B3274C">
        <w:rPr>
          <w:lang w:val="fr-CA"/>
        </w:rPr>
        <w:t>000 à 2</w:t>
      </w:r>
      <w:r w:rsidR="00512D7F">
        <w:rPr>
          <w:lang w:val="fr-CA"/>
        </w:rPr>
        <w:t> </w:t>
      </w:r>
      <w:r w:rsidR="008A729D" w:rsidRPr="00B3274C">
        <w:rPr>
          <w:lang w:val="fr-CA"/>
        </w:rPr>
        <w:t>000 par mois</w:t>
      </w:r>
      <w:r w:rsidR="0080611A">
        <w:rPr>
          <w:lang w:val="fr-CA"/>
        </w:rPr>
        <w:t>,</w:t>
      </w:r>
      <w:r w:rsidR="008A729D" w:rsidRPr="00B3274C">
        <w:rPr>
          <w:lang w:val="fr-CA"/>
        </w:rPr>
        <w:t xml:space="preserve"> suivant les saisons. Pendant leur détention</w:t>
      </w:r>
      <w:r w:rsidR="0080611A">
        <w:rPr>
          <w:lang w:val="fr-CA"/>
        </w:rPr>
        <w:t>,</w:t>
      </w:r>
      <w:r w:rsidR="008A729D" w:rsidRPr="00B3274C">
        <w:rPr>
          <w:lang w:val="fr-CA"/>
        </w:rPr>
        <w:t xml:space="preserve"> </w:t>
      </w:r>
      <w:r w:rsidR="009875AD" w:rsidRPr="00B3274C">
        <w:rPr>
          <w:lang w:val="fr-CA"/>
        </w:rPr>
        <w:t>les migrants qui y consentent sont soumis</w:t>
      </w:r>
      <w:r w:rsidR="0080611A">
        <w:rPr>
          <w:lang w:val="fr-CA"/>
        </w:rPr>
        <w:t>,</w:t>
      </w:r>
      <w:r w:rsidR="009875AD" w:rsidRPr="00B3274C">
        <w:rPr>
          <w:lang w:val="fr-CA"/>
        </w:rPr>
        <w:t xml:space="preserve"> non seulement à un examen médical</w:t>
      </w:r>
      <w:r w:rsidR="0080611A">
        <w:rPr>
          <w:lang w:val="fr-CA"/>
        </w:rPr>
        <w:t>,</w:t>
      </w:r>
      <w:r w:rsidR="009875AD" w:rsidRPr="00B3274C">
        <w:rPr>
          <w:lang w:val="fr-CA"/>
        </w:rPr>
        <w:t xml:space="preserve"> mais aussi à un dépistage des maladies infectieuses au moyen d</w:t>
      </w:r>
      <w:r w:rsidR="0080611A">
        <w:rPr>
          <w:lang w:val="fr-CA"/>
        </w:rPr>
        <w:t>’</w:t>
      </w:r>
      <w:r w:rsidR="009875AD" w:rsidRPr="00B3274C">
        <w:rPr>
          <w:lang w:val="fr-CA"/>
        </w:rPr>
        <w:t>une prise de sang. Les carnets de vaccination sont demandés et</w:t>
      </w:r>
      <w:r w:rsidR="0080611A">
        <w:rPr>
          <w:lang w:val="fr-CA"/>
        </w:rPr>
        <w:t>,</w:t>
      </w:r>
      <w:r w:rsidR="009875AD" w:rsidRPr="00B3274C">
        <w:rPr>
          <w:lang w:val="fr-CA"/>
        </w:rPr>
        <w:t xml:space="preserve"> le cas échéant</w:t>
      </w:r>
      <w:r w:rsidR="0080611A">
        <w:rPr>
          <w:lang w:val="fr-CA"/>
        </w:rPr>
        <w:t>,</w:t>
      </w:r>
      <w:r w:rsidR="009875AD" w:rsidRPr="00B3274C">
        <w:rPr>
          <w:lang w:val="fr-CA"/>
        </w:rPr>
        <w:t xml:space="preserve"> les migrants adultes sont vaccinés contre la poliomyélite</w:t>
      </w:r>
      <w:r w:rsidR="00EC5892" w:rsidRPr="00B3274C">
        <w:rPr>
          <w:lang w:val="fr-CA"/>
        </w:rPr>
        <w:t>;</w:t>
      </w:r>
      <w:r w:rsidR="009875AD" w:rsidRPr="00B3274C">
        <w:rPr>
          <w:lang w:val="fr-CA"/>
        </w:rPr>
        <w:t xml:space="preserve"> un certain nombre d</w:t>
      </w:r>
      <w:r w:rsidR="0080611A">
        <w:rPr>
          <w:lang w:val="fr-CA"/>
        </w:rPr>
        <w:t>’</w:t>
      </w:r>
      <w:r w:rsidR="009875AD" w:rsidRPr="00B3274C">
        <w:rPr>
          <w:lang w:val="fr-CA"/>
        </w:rPr>
        <w:t>enfants sont vaccinés contre la diphtérie</w:t>
      </w:r>
      <w:r w:rsidR="0080611A">
        <w:rPr>
          <w:lang w:val="fr-CA"/>
        </w:rPr>
        <w:t>,</w:t>
      </w:r>
      <w:r w:rsidR="009875AD" w:rsidRPr="00B3274C">
        <w:rPr>
          <w:lang w:val="fr-CA"/>
        </w:rPr>
        <w:t xml:space="preserve"> le tétanos et la coqueluche</w:t>
      </w:r>
      <w:r w:rsidR="0080611A">
        <w:rPr>
          <w:lang w:val="fr-CA"/>
        </w:rPr>
        <w:t>,</w:t>
      </w:r>
      <w:r w:rsidR="009875AD" w:rsidRPr="00B3274C">
        <w:rPr>
          <w:lang w:val="fr-CA"/>
        </w:rPr>
        <w:t xml:space="preserve"> la poliomyélite et </w:t>
      </w:r>
      <w:r w:rsidR="000E707F" w:rsidRPr="00B3274C">
        <w:rPr>
          <w:lang w:val="fr-CA"/>
        </w:rPr>
        <w:t>la rougeole</w:t>
      </w:r>
      <w:r w:rsidR="0080611A">
        <w:rPr>
          <w:lang w:val="fr-CA"/>
        </w:rPr>
        <w:t>,</w:t>
      </w:r>
      <w:r w:rsidR="000E707F" w:rsidRPr="00B3274C">
        <w:rPr>
          <w:lang w:val="fr-CA"/>
        </w:rPr>
        <w:t xml:space="preserve"> les oreillons et la rubéole. Des tests Mantoux (tests cutanés de dépistage de la tuberculose) sont également pratiqués. </w:t>
      </w:r>
    </w:p>
    <w:p w:rsidR="00FB23D3" w:rsidRPr="00B3274C" w:rsidRDefault="00107A47" w:rsidP="00107A47">
      <w:pPr>
        <w:pStyle w:val="SingleTxtG"/>
        <w:rPr>
          <w:lang w:val="fr-CA"/>
        </w:rPr>
      </w:pPr>
      <w:r w:rsidRPr="00B3274C">
        <w:rPr>
          <w:lang w:val="fr-CA"/>
        </w:rPr>
        <w:t>271.</w:t>
      </w:r>
      <w:r w:rsidRPr="00B3274C">
        <w:rPr>
          <w:lang w:val="fr-CA"/>
        </w:rPr>
        <w:tab/>
      </w:r>
      <w:r w:rsidR="00BE766F" w:rsidRPr="00B3274C">
        <w:rPr>
          <w:lang w:val="fr-CA"/>
        </w:rPr>
        <w:t>Depuis le lancement du projet</w:t>
      </w:r>
      <w:r w:rsidR="0080611A">
        <w:rPr>
          <w:lang w:val="fr-CA"/>
        </w:rPr>
        <w:t>,</w:t>
      </w:r>
      <w:r w:rsidR="00BE766F" w:rsidRPr="00B3274C">
        <w:rPr>
          <w:lang w:val="fr-CA"/>
        </w:rPr>
        <w:t xml:space="preserve"> environ 60</w:t>
      </w:r>
      <w:r w:rsidR="0050285B">
        <w:rPr>
          <w:lang w:val="fr-CA"/>
        </w:rPr>
        <w:t> %</w:t>
      </w:r>
      <w:r w:rsidR="00BE766F" w:rsidRPr="00B3274C">
        <w:rPr>
          <w:lang w:val="fr-CA"/>
        </w:rPr>
        <w:t xml:space="preserve"> des migrants se sont fait soigner dans les centres de détention et </w:t>
      </w:r>
      <w:r w:rsidR="00EE4CD2" w:rsidRPr="00B3274C">
        <w:rPr>
          <w:lang w:val="fr-CA"/>
        </w:rPr>
        <w:t xml:space="preserve">le cas de </w:t>
      </w:r>
      <w:r w:rsidR="00BE766F" w:rsidRPr="00B3274C">
        <w:rPr>
          <w:lang w:val="fr-CA"/>
        </w:rPr>
        <w:t>0</w:t>
      </w:r>
      <w:r w:rsidR="0080611A">
        <w:rPr>
          <w:lang w:val="fr-CA"/>
        </w:rPr>
        <w:t>,</w:t>
      </w:r>
      <w:r w:rsidR="00BE766F" w:rsidRPr="00B3274C">
        <w:rPr>
          <w:lang w:val="fr-CA"/>
        </w:rPr>
        <w:t>01</w:t>
      </w:r>
      <w:r w:rsidR="0050285B">
        <w:rPr>
          <w:lang w:val="fr-CA"/>
        </w:rPr>
        <w:t> %</w:t>
      </w:r>
      <w:r w:rsidR="00BE766F" w:rsidRPr="00B3274C">
        <w:rPr>
          <w:lang w:val="fr-CA"/>
        </w:rPr>
        <w:t xml:space="preserve"> </w:t>
      </w:r>
      <w:r w:rsidR="00EE4CD2" w:rsidRPr="00B3274C">
        <w:rPr>
          <w:lang w:val="fr-CA"/>
        </w:rPr>
        <w:t>d</w:t>
      </w:r>
      <w:r w:rsidR="0080611A">
        <w:rPr>
          <w:lang w:val="fr-CA"/>
        </w:rPr>
        <w:t>’</w:t>
      </w:r>
      <w:r w:rsidR="00EE4CD2" w:rsidRPr="00B3274C">
        <w:rPr>
          <w:lang w:val="fr-CA"/>
        </w:rPr>
        <w:t xml:space="preserve">entre eux a nécessité une hospitalisation. </w:t>
      </w:r>
    </w:p>
    <w:p w:rsidR="00FB23D3" w:rsidRPr="00B3274C" w:rsidRDefault="00107A47" w:rsidP="00107A47">
      <w:pPr>
        <w:pStyle w:val="SingleTxtG"/>
        <w:rPr>
          <w:lang w:val="fr-CA"/>
        </w:rPr>
      </w:pPr>
      <w:r w:rsidRPr="00B3274C">
        <w:rPr>
          <w:lang w:val="fr-CA"/>
        </w:rPr>
        <w:t>272.</w:t>
      </w:r>
      <w:r w:rsidRPr="00B3274C">
        <w:rPr>
          <w:lang w:val="fr-CA"/>
        </w:rPr>
        <w:tab/>
      </w:r>
      <w:r w:rsidR="00122E83" w:rsidRPr="00B3274C">
        <w:rPr>
          <w:lang w:val="fr-CA"/>
        </w:rPr>
        <w:t>Par ailleurs</w:t>
      </w:r>
      <w:r w:rsidR="0080611A">
        <w:rPr>
          <w:lang w:val="fr-CA"/>
        </w:rPr>
        <w:t>,</w:t>
      </w:r>
      <w:r w:rsidR="00122E83" w:rsidRPr="00B3274C">
        <w:rPr>
          <w:lang w:val="fr-CA"/>
        </w:rPr>
        <w:t xml:space="preserve"> une équipe d</w:t>
      </w:r>
      <w:r w:rsidR="0080611A">
        <w:rPr>
          <w:lang w:val="fr-CA"/>
        </w:rPr>
        <w:t>’</w:t>
      </w:r>
      <w:r w:rsidR="00122E83" w:rsidRPr="00B3274C">
        <w:rPr>
          <w:lang w:val="fr-CA"/>
        </w:rPr>
        <w:t>agents médicaux et psychosociaux de l</w:t>
      </w:r>
      <w:r w:rsidR="0080611A">
        <w:rPr>
          <w:lang w:val="fr-CA"/>
        </w:rPr>
        <w:t>’</w:t>
      </w:r>
      <w:r w:rsidR="00122E83" w:rsidRPr="00B3274C">
        <w:rPr>
          <w:lang w:val="fr-CA"/>
        </w:rPr>
        <w:t xml:space="preserve">Office de la santé des migrants et des populations itinérantes </w:t>
      </w:r>
      <w:r w:rsidR="002D7D15" w:rsidRPr="00B3274C">
        <w:rPr>
          <w:lang w:val="fr-CA"/>
        </w:rPr>
        <w:t>soumet à des examens médicaux et psychologiques</w:t>
      </w:r>
      <w:r w:rsidR="00122E83" w:rsidRPr="00B3274C">
        <w:rPr>
          <w:lang w:val="fr-CA"/>
        </w:rPr>
        <w:t xml:space="preserve"> </w:t>
      </w:r>
      <w:r w:rsidR="002D7D15" w:rsidRPr="00B3274C">
        <w:rPr>
          <w:lang w:val="fr-CA"/>
        </w:rPr>
        <w:t>les migrants demandeurs d</w:t>
      </w:r>
      <w:r w:rsidR="0080611A">
        <w:rPr>
          <w:lang w:val="fr-CA"/>
        </w:rPr>
        <w:t>’</w:t>
      </w:r>
      <w:r w:rsidR="002D7D15" w:rsidRPr="00B3274C">
        <w:rPr>
          <w:lang w:val="fr-CA"/>
        </w:rPr>
        <w:t>asile qui se présentent à la Division des étrangers de l</w:t>
      </w:r>
      <w:r w:rsidR="0080611A">
        <w:rPr>
          <w:lang w:val="fr-CA"/>
        </w:rPr>
        <w:t>’</w:t>
      </w:r>
      <w:r w:rsidR="002D7D15" w:rsidRPr="00B3274C">
        <w:rPr>
          <w:lang w:val="fr-CA"/>
        </w:rPr>
        <w:t xml:space="preserve">Attique. Au cours des six premiers mois de la mise en </w:t>
      </w:r>
      <w:r w:rsidR="004433B0" w:rsidRPr="00B3274C">
        <w:rPr>
          <w:lang w:val="fr-CA"/>
        </w:rPr>
        <w:t>œuvre</w:t>
      </w:r>
      <w:r w:rsidR="002D7D15" w:rsidRPr="00B3274C">
        <w:rPr>
          <w:lang w:val="fr-CA"/>
        </w:rPr>
        <w:t xml:space="preserve"> du projet (entre juillet et novembre 2011)</w:t>
      </w:r>
      <w:r w:rsidR="0080611A">
        <w:rPr>
          <w:lang w:val="fr-CA"/>
        </w:rPr>
        <w:t>,</w:t>
      </w:r>
      <w:r w:rsidR="003D63DE" w:rsidRPr="00B3274C">
        <w:rPr>
          <w:lang w:val="fr-CA"/>
        </w:rPr>
        <w:t xml:space="preserve"> 1</w:t>
      </w:r>
      <w:r w:rsidR="00512D7F">
        <w:rPr>
          <w:lang w:val="fr-CA"/>
        </w:rPr>
        <w:t> </w:t>
      </w:r>
      <w:r w:rsidR="003D63DE" w:rsidRPr="00B3274C">
        <w:rPr>
          <w:lang w:val="fr-CA"/>
        </w:rPr>
        <w:t>289 </w:t>
      </w:r>
      <w:r w:rsidR="00FB23D3" w:rsidRPr="00B3274C">
        <w:rPr>
          <w:lang w:val="fr-CA"/>
        </w:rPr>
        <w:t>migrants/</w:t>
      </w:r>
      <w:r w:rsidR="002D7D15" w:rsidRPr="00B3274C">
        <w:rPr>
          <w:lang w:val="fr-CA"/>
        </w:rPr>
        <w:t>demandeurs d</w:t>
      </w:r>
      <w:r w:rsidR="0080611A">
        <w:rPr>
          <w:lang w:val="fr-CA"/>
        </w:rPr>
        <w:t>’</w:t>
      </w:r>
      <w:r w:rsidR="002D7D15" w:rsidRPr="00B3274C">
        <w:rPr>
          <w:lang w:val="fr-CA"/>
        </w:rPr>
        <w:t>asile</w:t>
      </w:r>
      <w:r w:rsidR="00FB23D3" w:rsidRPr="00B3274C">
        <w:rPr>
          <w:lang w:val="fr-CA"/>
        </w:rPr>
        <w:t xml:space="preserve"> </w:t>
      </w:r>
      <w:r w:rsidR="004433B0" w:rsidRPr="00B3274C">
        <w:rPr>
          <w:lang w:val="fr-CA"/>
        </w:rPr>
        <w:t>ont fait l</w:t>
      </w:r>
      <w:r w:rsidR="0080611A">
        <w:rPr>
          <w:lang w:val="fr-CA"/>
        </w:rPr>
        <w:t>’</w:t>
      </w:r>
      <w:r w:rsidR="004433B0" w:rsidRPr="00B3274C">
        <w:rPr>
          <w:lang w:val="fr-CA"/>
        </w:rPr>
        <w:t>objet d</w:t>
      </w:r>
      <w:r w:rsidR="0080611A">
        <w:rPr>
          <w:lang w:val="fr-CA"/>
        </w:rPr>
        <w:t>’</w:t>
      </w:r>
      <w:r w:rsidR="004433B0" w:rsidRPr="00B3274C">
        <w:rPr>
          <w:lang w:val="fr-CA"/>
        </w:rPr>
        <w:t>une évaluation médicale et psychiatrique et 16</w:t>
      </w:r>
      <w:r w:rsidR="0055418C" w:rsidRPr="00B3274C">
        <w:rPr>
          <w:lang w:val="fr-CA"/>
        </w:rPr>
        <w:t xml:space="preserve"> </w:t>
      </w:r>
      <w:r w:rsidR="00FB23D3" w:rsidRPr="00B3274C">
        <w:rPr>
          <w:lang w:val="fr-CA"/>
        </w:rPr>
        <w:t>(0</w:t>
      </w:r>
      <w:r w:rsidR="0080611A">
        <w:rPr>
          <w:lang w:val="fr-CA"/>
        </w:rPr>
        <w:t>,</w:t>
      </w:r>
      <w:r w:rsidR="00FB23D3" w:rsidRPr="00B3274C">
        <w:rPr>
          <w:lang w:val="fr-CA"/>
        </w:rPr>
        <w:t>012</w:t>
      </w:r>
      <w:r w:rsidR="0050285B">
        <w:rPr>
          <w:lang w:val="fr-CA"/>
        </w:rPr>
        <w:t> %</w:t>
      </w:r>
      <w:r w:rsidR="00FB23D3" w:rsidRPr="00B3274C">
        <w:rPr>
          <w:lang w:val="fr-CA"/>
        </w:rPr>
        <w:t xml:space="preserve">) </w:t>
      </w:r>
      <w:r w:rsidR="004433B0" w:rsidRPr="00B3274C">
        <w:rPr>
          <w:lang w:val="fr-CA"/>
        </w:rPr>
        <w:t xml:space="preserve">de soins spécialisés. </w:t>
      </w:r>
    </w:p>
    <w:p w:rsidR="00FB23D3" w:rsidRPr="00B3274C" w:rsidRDefault="00107A47" w:rsidP="00107A47">
      <w:pPr>
        <w:pStyle w:val="SingleTxtG"/>
        <w:rPr>
          <w:lang w:val="fr-CA"/>
        </w:rPr>
      </w:pPr>
      <w:r w:rsidRPr="00B3274C">
        <w:rPr>
          <w:lang w:val="fr-CA"/>
        </w:rPr>
        <w:t>273.</w:t>
      </w:r>
      <w:r w:rsidRPr="00B3274C">
        <w:rPr>
          <w:lang w:val="fr-CA"/>
        </w:rPr>
        <w:tab/>
      </w:r>
      <w:r w:rsidR="003878C8" w:rsidRPr="00B3274C">
        <w:rPr>
          <w:lang w:val="fr-CA"/>
        </w:rPr>
        <w:t>E</w:t>
      </w:r>
      <w:r w:rsidR="00FB23D3" w:rsidRPr="00B3274C">
        <w:rPr>
          <w:lang w:val="fr-CA"/>
        </w:rPr>
        <w:t>n g</w:t>
      </w:r>
      <w:r w:rsidR="003878C8" w:rsidRPr="00B3274C">
        <w:rPr>
          <w:lang w:val="fr-CA"/>
        </w:rPr>
        <w:t>é</w:t>
      </w:r>
      <w:r w:rsidR="00FB23D3" w:rsidRPr="00B3274C">
        <w:rPr>
          <w:lang w:val="fr-CA"/>
        </w:rPr>
        <w:t>n</w:t>
      </w:r>
      <w:r w:rsidR="003878C8" w:rsidRPr="00B3274C">
        <w:rPr>
          <w:lang w:val="fr-CA"/>
        </w:rPr>
        <w:t>é</w:t>
      </w:r>
      <w:r w:rsidR="00FB23D3" w:rsidRPr="00B3274C">
        <w:rPr>
          <w:lang w:val="fr-CA"/>
        </w:rPr>
        <w:t>ral</w:t>
      </w:r>
      <w:r w:rsidR="0080611A">
        <w:rPr>
          <w:lang w:val="fr-CA"/>
        </w:rPr>
        <w:t>,</w:t>
      </w:r>
      <w:r w:rsidR="00FB23D3" w:rsidRPr="00B3274C">
        <w:rPr>
          <w:lang w:val="fr-CA"/>
        </w:rPr>
        <w:t xml:space="preserve"> </w:t>
      </w:r>
      <w:r w:rsidR="003878C8" w:rsidRPr="00B3274C">
        <w:rPr>
          <w:lang w:val="fr-CA"/>
        </w:rPr>
        <w:t>l</w:t>
      </w:r>
      <w:r w:rsidR="0080611A">
        <w:rPr>
          <w:lang w:val="fr-CA"/>
        </w:rPr>
        <w:t>’</w:t>
      </w:r>
      <w:r w:rsidR="003878C8" w:rsidRPr="00B3274C">
        <w:rPr>
          <w:lang w:val="fr-CA"/>
        </w:rPr>
        <w:t xml:space="preserve">état de santé des populations migrantes est satisfaisant </w:t>
      </w:r>
      <w:r w:rsidR="005B1ACB" w:rsidRPr="00B3274C">
        <w:rPr>
          <w:lang w:val="fr-CA"/>
        </w:rPr>
        <w:t>(</w:t>
      </w:r>
      <w:r w:rsidR="0055418C" w:rsidRPr="00B3274C">
        <w:rPr>
          <w:lang w:val="fr-CA"/>
        </w:rPr>
        <w:t>«</w:t>
      </w:r>
      <w:r w:rsidR="005B1ACB" w:rsidRPr="00B3274C">
        <w:rPr>
          <w:lang w:val="fr-CA"/>
        </w:rPr>
        <w:t>effet de l</w:t>
      </w:r>
      <w:r w:rsidR="0080611A">
        <w:rPr>
          <w:lang w:val="fr-CA"/>
        </w:rPr>
        <w:t>’</w:t>
      </w:r>
      <w:r w:rsidR="005B1ACB" w:rsidRPr="00B3274C">
        <w:rPr>
          <w:lang w:val="fr-CA"/>
        </w:rPr>
        <w:t>immigrant en bonne santé</w:t>
      </w:r>
      <w:r w:rsidR="0055418C" w:rsidRPr="00B3274C">
        <w:rPr>
          <w:lang w:val="fr-CA"/>
        </w:rPr>
        <w:t>»</w:t>
      </w:r>
      <w:r w:rsidR="005B1ACB" w:rsidRPr="00B3274C">
        <w:rPr>
          <w:lang w:val="fr-CA"/>
        </w:rPr>
        <w:t>)</w:t>
      </w:r>
      <w:r w:rsidR="00FB23D3" w:rsidRPr="00B3274C">
        <w:rPr>
          <w:lang w:val="fr-CA"/>
        </w:rPr>
        <w:t xml:space="preserve"> </w:t>
      </w:r>
      <w:r w:rsidR="005B1ACB" w:rsidRPr="00B3274C">
        <w:rPr>
          <w:lang w:val="fr-CA"/>
        </w:rPr>
        <w:t>lorsqu</w:t>
      </w:r>
      <w:r w:rsidR="0080611A">
        <w:rPr>
          <w:lang w:val="fr-CA"/>
        </w:rPr>
        <w:t>’</w:t>
      </w:r>
      <w:r w:rsidR="005B1ACB" w:rsidRPr="00B3274C">
        <w:rPr>
          <w:lang w:val="fr-CA"/>
        </w:rPr>
        <w:t>elles arrivent dans le pays hôte. Les migrants sans papiers toutefois sont des catégories particulières soumises à des menaces sanitaires diverses.</w:t>
      </w:r>
      <w:r w:rsidR="000348BF" w:rsidRPr="00B3274C">
        <w:rPr>
          <w:lang w:val="fr-CA"/>
        </w:rPr>
        <w:t xml:space="preserve"> Après leur entrée sur le territoire grec</w:t>
      </w:r>
      <w:r w:rsidR="0080611A">
        <w:rPr>
          <w:lang w:val="fr-CA"/>
        </w:rPr>
        <w:t>,</w:t>
      </w:r>
      <w:r w:rsidR="000348BF" w:rsidRPr="00B3274C">
        <w:rPr>
          <w:lang w:val="fr-CA"/>
        </w:rPr>
        <w:t xml:space="preserve"> ils sont généralement dirigés vers le centre d</w:t>
      </w:r>
      <w:r w:rsidR="0080611A">
        <w:rPr>
          <w:lang w:val="fr-CA"/>
        </w:rPr>
        <w:t>’</w:t>
      </w:r>
      <w:r w:rsidR="000348BF" w:rsidRPr="00B3274C">
        <w:rPr>
          <w:lang w:val="fr-CA"/>
        </w:rPr>
        <w:t>Athènes</w:t>
      </w:r>
      <w:r w:rsidR="0080611A">
        <w:rPr>
          <w:lang w:val="fr-CA"/>
        </w:rPr>
        <w:t>,</w:t>
      </w:r>
      <w:r w:rsidR="000348BF" w:rsidRPr="00B3274C">
        <w:rPr>
          <w:lang w:val="fr-CA"/>
        </w:rPr>
        <w:t xml:space="preserve"> où l</w:t>
      </w:r>
      <w:r w:rsidR="0080611A">
        <w:rPr>
          <w:lang w:val="fr-CA"/>
        </w:rPr>
        <w:t>’</w:t>
      </w:r>
      <w:r w:rsidR="000348BF" w:rsidRPr="00B3274C">
        <w:rPr>
          <w:lang w:val="fr-CA"/>
        </w:rPr>
        <w:t>on constate qu</w:t>
      </w:r>
      <w:r w:rsidR="0080611A">
        <w:rPr>
          <w:lang w:val="fr-CA"/>
        </w:rPr>
        <w:t>’</w:t>
      </w:r>
      <w:r w:rsidR="000348BF" w:rsidRPr="00B3274C">
        <w:rPr>
          <w:lang w:val="fr-CA"/>
        </w:rPr>
        <w:t>il y a un nombre croissant d</w:t>
      </w:r>
      <w:r w:rsidR="0080611A">
        <w:rPr>
          <w:lang w:val="fr-CA"/>
        </w:rPr>
        <w:t>’</w:t>
      </w:r>
      <w:r w:rsidR="000348BF" w:rsidRPr="00B3274C">
        <w:rPr>
          <w:lang w:val="fr-CA"/>
        </w:rPr>
        <w:t>usagers de drogues injectables venant s</w:t>
      </w:r>
      <w:r w:rsidR="0080611A">
        <w:rPr>
          <w:lang w:val="fr-CA"/>
        </w:rPr>
        <w:t>’</w:t>
      </w:r>
      <w:r w:rsidR="000348BF" w:rsidRPr="00B3274C">
        <w:rPr>
          <w:lang w:val="fr-CA"/>
        </w:rPr>
        <w:t xml:space="preserve">ajouter au nombre déjà accru </w:t>
      </w:r>
      <w:r w:rsidR="00614BAC">
        <w:rPr>
          <w:lang w:val="fr-CA"/>
        </w:rPr>
        <w:t>de personnes</w:t>
      </w:r>
      <w:r w:rsidR="000348BF" w:rsidRPr="00B3274C">
        <w:rPr>
          <w:lang w:val="fr-CA"/>
        </w:rPr>
        <w:t xml:space="preserve"> se livrant à la prostitution illégale. </w:t>
      </w:r>
    </w:p>
    <w:p w:rsidR="00FB23D3" w:rsidRPr="00B3274C" w:rsidRDefault="00107A47" w:rsidP="00107A47">
      <w:pPr>
        <w:pStyle w:val="SingleTxtG"/>
        <w:rPr>
          <w:lang w:val="fr-CA"/>
        </w:rPr>
      </w:pPr>
      <w:r w:rsidRPr="00B3274C">
        <w:rPr>
          <w:lang w:val="fr-CA"/>
        </w:rPr>
        <w:t>274.</w:t>
      </w:r>
      <w:r w:rsidRPr="00B3274C">
        <w:rPr>
          <w:lang w:val="fr-CA"/>
        </w:rPr>
        <w:tab/>
      </w:r>
      <w:r w:rsidR="008703B1" w:rsidRPr="00B3274C">
        <w:rPr>
          <w:lang w:val="fr-CA"/>
        </w:rPr>
        <w:t>La montée de l</w:t>
      </w:r>
      <w:r w:rsidR="0080611A">
        <w:rPr>
          <w:lang w:val="fr-CA"/>
        </w:rPr>
        <w:t>’</w:t>
      </w:r>
      <w:r w:rsidR="008703B1" w:rsidRPr="00B3274C">
        <w:rPr>
          <w:lang w:val="fr-CA"/>
        </w:rPr>
        <w:t>infection à VIH parmi les usagers de drogues injectables en 2011 et la nécessité d</w:t>
      </w:r>
      <w:r w:rsidR="0080611A">
        <w:rPr>
          <w:lang w:val="fr-CA"/>
        </w:rPr>
        <w:t>’</w:t>
      </w:r>
      <w:r w:rsidR="008703B1" w:rsidRPr="00B3274C">
        <w:rPr>
          <w:lang w:val="fr-CA"/>
        </w:rPr>
        <w:t>apporter des soins médicaux à ces groupes d</w:t>
      </w:r>
      <w:r w:rsidR="008C30EE" w:rsidRPr="00B3274C">
        <w:rPr>
          <w:lang w:val="fr-CA"/>
        </w:rPr>
        <w:t>e population socialement exclus</w:t>
      </w:r>
      <w:r w:rsidR="008703B1" w:rsidRPr="00B3274C">
        <w:rPr>
          <w:lang w:val="fr-CA"/>
        </w:rPr>
        <w:t xml:space="preserve"> ont conduit le </w:t>
      </w:r>
      <w:r w:rsidR="008703B1" w:rsidRPr="00B3274C">
        <w:rPr>
          <w:color w:val="000000"/>
          <w:lang w:val="fr-CA"/>
        </w:rPr>
        <w:t xml:space="preserve">Centre hellénique pour la lutte contre les maladies et la prévention des maladies (HCDCP) à mettre en </w:t>
      </w:r>
      <w:r w:rsidR="005E3F2B" w:rsidRPr="00B3274C">
        <w:rPr>
          <w:color w:val="000000"/>
          <w:lang w:val="fr-CA"/>
        </w:rPr>
        <w:t>œuvre</w:t>
      </w:r>
      <w:r w:rsidR="008703B1" w:rsidRPr="00B3274C">
        <w:rPr>
          <w:color w:val="000000"/>
          <w:lang w:val="fr-CA"/>
        </w:rPr>
        <w:t xml:space="preserve"> le programme des </w:t>
      </w:r>
      <w:r w:rsidR="0055418C" w:rsidRPr="00B3274C">
        <w:rPr>
          <w:color w:val="000000"/>
          <w:lang w:val="fr-CA"/>
        </w:rPr>
        <w:t>«</w:t>
      </w:r>
      <w:r w:rsidR="008703B1" w:rsidRPr="00B3274C">
        <w:rPr>
          <w:color w:val="000000"/>
          <w:lang w:val="fr-CA"/>
        </w:rPr>
        <w:t>Unités sa</w:t>
      </w:r>
      <w:r w:rsidR="008C30EE" w:rsidRPr="00B3274C">
        <w:rPr>
          <w:color w:val="000000"/>
          <w:lang w:val="fr-CA"/>
        </w:rPr>
        <w:t>nitaires itinérantes</w:t>
      </w:r>
      <w:r w:rsidR="0055418C" w:rsidRPr="00B3274C">
        <w:rPr>
          <w:color w:val="000000"/>
          <w:lang w:val="fr-CA"/>
        </w:rPr>
        <w:t>»</w:t>
      </w:r>
      <w:r w:rsidR="0080611A">
        <w:rPr>
          <w:color w:val="000000"/>
          <w:lang w:val="fr-CA"/>
        </w:rPr>
        <w:t>,</w:t>
      </w:r>
      <w:r w:rsidR="008C30EE" w:rsidRPr="00B3274C">
        <w:rPr>
          <w:color w:val="000000"/>
          <w:lang w:val="fr-CA"/>
        </w:rPr>
        <w:t xml:space="preserve"> </w:t>
      </w:r>
      <w:r w:rsidR="008703B1" w:rsidRPr="00B3274C">
        <w:rPr>
          <w:color w:val="000000"/>
          <w:lang w:val="fr-CA"/>
        </w:rPr>
        <w:t>opérationnel depuis juin 2011.</w:t>
      </w:r>
      <w:r w:rsidR="0055418C" w:rsidRPr="00B3274C">
        <w:rPr>
          <w:color w:val="000000"/>
          <w:lang w:val="fr-CA"/>
        </w:rPr>
        <w:t xml:space="preserve"> </w:t>
      </w:r>
      <w:r w:rsidR="008C30EE" w:rsidRPr="00B3274C">
        <w:rPr>
          <w:lang w:val="fr-CA"/>
        </w:rPr>
        <w:t>Ces unités sanitaires apportent des soins de santé primaire aux migrants</w:t>
      </w:r>
      <w:r w:rsidR="0080611A">
        <w:rPr>
          <w:lang w:val="fr-CA"/>
        </w:rPr>
        <w:t>,</w:t>
      </w:r>
      <w:r w:rsidR="008C30EE" w:rsidRPr="00B3274C">
        <w:rPr>
          <w:lang w:val="fr-CA"/>
        </w:rPr>
        <w:t xml:space="preserve"> aux usagers de drogues injectables</w:t>
      </w:r>
      <w:r w:rsidR="0080611A">
        <w:rPr>
          <w:lang w:val="fr-CA"/>
        </w:rPr>
        <w:t>,</w:t>
      </w:r>
      <w:r w:rsidR="008C30EE" w:rsidRPr="00B3274C">
        <w:rPr>
          <w:lang w:val="fr-CA"/>
        </w:rPr>
        <w:t xml:space="preserve"> aux sans-abri et </w:t>
      </w:r>
      <w:r w:rsidR="00A40A08">
        <w:rPr>
          <w:lang w:val="fr-CA"/>
        </w:rPr>
        <w:t>aux personnes</w:t>
      </w:r>
      <w:r w:rsidR="008C30EE" w:rsidRPr="00B3274C">
        <w:rPr>
          <w:lang w:val="fr-CA"/>
        </w:rPr>
        <w:t xml:space="preserve"> socialement exclues</w:t>
      </w:r>
      <w:r w:rsidR="0080611A">
        <w:rPr>
          <w:lang w:val="fr-CA"/>
        </w:rPr>
        <w:t>,</w:t>
      </w:r>
      <w:r w:rsidR="008C30EE" w:rsidRPr="00B3274C">
        <w:rPr>
          <w:lang w:val="fr-CA"/>
        </w:rPr>
        <w:t xml:space="preserve"> pratique</w:t>
      </w:r>
      <w:r w:rsidR="00D13AAD" w:rsidRPr="00B3274C">
        <w:rPr>
          <w:lang w:val="fr-CA"/>
        </w:rPr>
        <w:t>nt</w:t>
      </w:r>
      <w:r w:rsidR="008C30EE" w:rsidRPr="00B3274C">
        <w:rPr>
          <w:lang w:val="fr-CA"/>
        </w:rPr>
        <w:t xml:space="preserve"> le test de dépistage volontaire du VIH et des infections transmissibles par le sang</w:t>
      </w:r>
      <w:r w:rsidR="0080611A">
        <w:rPr>
          <w:lang w:val="fr-CA"/>
        </w:rPr>
        <w:t>,</w:t>
      </w:r>
      <w:r w:rsidR="008C30EE" w:rsidRPr="00B3274C">
        <w:rPr>
          <w:lang w:val="fr-CA"/>
        </w:rPr>
        <w:t xml:space="preserve"> fournissent un soutien et des conseils psychosociaux et vaccinent enfants et adultes. </w:t>
      </w:r>
      <w:r w:rsidR="00AB5643" w:rsidRPr="00B3274C">
        <w:rPr>
          <w:lang w:val="fr-CA"/>
        </w:rPr>
        <w:t>Elles</w:t>
      </w:r>
      <w:r w:rsidR="008C30EE" w:rsidRPr="00B3274C">
        <w:rPr>
          <w:lang w:val="fr-CA"/>
        </w:rPr>
        <w:t xml:space="preserve"> fournissent aussi des informations</w:t>
      </w:r>
      <w:r w:rsidR="0080611A">
        <w:rPr>
          <w:lang w:val="fr-CA"/>
        </w:rPr>
        <w:t>,</w:t>
      </w:r>
      <w:r w:rsidR="008C30EE" w:rsidRPr="00B3274C">
        <w:rPr>
          <w:lang w:val="fr-CA"/>
        </w:rPr>
        <w:t xml:space="preserve"> une éducation et une aide s</w:t>
      </w:r>
      <w:r w:rsidR="008267A1" w:rsidRPr="00B3274C">
        <w:rPr>
          <w:lang w:val="fr-CA"/>
        </w:rPr>
        <w:t xml:space="preserve">anitaires en plusieurs langues </w:t>
      </w:r>
      <w:r w:rsidR="008C30EE" w:rsidRPr="00B3274C">
        <w:rPr>
          <w:lang w:val="fr-CA"/>
        </w:rPr>
        <w:t>et collabore</w:t>
      </w:r>
      <w:r w:rsidR="008267A1" w:rsidRPr="00B3274C">
        <w:rPr>
          <w:lang w:val="fr-CA"/>
        </w:rPr>
        <w:t>nt</w:t>
      </w:r>
      <w:r w:rsidR="008C30EE" w:rsidRPr="00B3274C">
        <w:rPr>
          <w:lang w:val="fr-CA"/>
        </w:rPr>
        <w:t xml:space="preserve"> avec d</w:t>
      </w:r>
      <w:r w:rsidR="0080611A">
        <w:rPr>
          <w:lang w:val="fr-CA"/>
        </w:rPr>
        <w:t>’</w:t>
      </w:r>
      <w:r w:rsidR="008C30EE" w:rsidRPr="00B3274C">
        <w:rPr>
          <w:lang w:val="fr-CA"/>
        </w:rPr>
        <w:t>autres programmes d</w:t>
      </w:r>
      <w:r w:rsidR="0080611A">
        <w:rPr>
          <w:lang w:val="fr-CA"/>
        </w:rPr>
        <w:t>’</w:t>
      </w:r>
      <w:r w:rsidR="008C30EE" w:rsidRPr="00B3274C">
        <w:rPr>
          <w:lang w:val="fr-CA"/>
        </w:rPr>
        <w:t xml:space="preserve">échange de seringues. </w:t>
      </w:r>
    </w:p>
    <w:p w:rsidR="00FB23D3" w:rsidRPr="00B3274C" w:rsidRDefault="00107A47" w:rsidP="00107A47">
      <w:pPr>
        <w:pStyle w:val="SingleTxtG"/>
        <w:rPr>
          <w:lang w:val="fr-CA"/>
        </w:rPr>
      </w:pPr>
      <w:r w:rsidRPr="00B3274C">
        <w:rPr>
          <w:lang w:val="fr-CA"/>
        </w:rPr>
        <w:t>275.</w:t>
      </w:r>
      <w:r w:rsidRPr="00B3274C">
        <w:rPr>
          <w:lang w:val="fr-CA"/>
        </w:rPr>
        <w:tab/>
      </w:r>
      <w:r w:rsidR="00050305" w:rsidRPr="00B3274C">
        <w:rPr>
          <w:lang w:val="fr-CA"/>
        </w:rPr>
        <w:t>L</w:t>
      </w:r>
      <w:r w:rsidR="0080611A">
        <w:rPr>
          <w:lang w:val="fr-CA"/>
        </w:rPr>
        <w:t>’</w:t>
      </w:r>
      <w:r w:rsidR="00050305" w:rsidRPr="00B3274C">
        <w:rPr>
          <w:lang w:val="fr-CA"/>
        </w:rPr>
        <w:t>objectif ultime de ce projet est la détection précoce et la surveillance des maladies transmissibles. À ce jour</w:t>
      </w:r>
      <w:r w:rsidR="0080611A">
        <w:rPr>
          <w:lang w:val="fr-CA"/>
        </w:rPr>
        <w:t>,</w:t>
      </w:r>
      <w:r w:rsidR="00050305" w:rsidRPr="00B3274C">
        <w:rPr>
          <w:lang w:val="fr-CA"/>
        </w:rPr>
        <w:t xml:space="preserve"> plus de 19 000 patients (78</w:t>
      </w:r>
      <w:r w:rsidR="0050285B">
        <w:rPr>
          <w:lang w:val="fr-CA"/>
        </w:rPr>
        <w:t> %</w:t>
      </w:r>
      <w:r w:rsidR="00050305" w:rsidRPr="00B3274C">
        <w:rPr>
          <w:lang w:val="fr-CA"/>
        </w:rPr>
        <w:t xml:space="preserve"> de migrants et 22</w:t>
      </w:r>
      <w:r w:rsidR="0050285B">
        <w:rPr>
          <w:lang w:val="fr-CA"/>
        </w:rPr>
        <w:t> %</w:t>
      </w:r>
      <w:r w:rsidR="00050305" w:rsidRPr="00B3274C">
        <w:rPr>
          <w:lang w:val="fr-CA"/>
        </w:rPr>
        <w:t xml:space="preserve"> de Grecs</w:t>
      </w:r>
      <w:r w:rsidR="0080611A">
        <w:rPr>
          <w:lang w:val="fr-CA"/>
        </w:rPr>
        <w:t>,</w:t>
      </w:r>
      <w:r w:rsidR="00050305" w:rsidRPr="00B3274C">
        <w:rPr>
          <w:lang w:val="fr-CA"/>
        </w:rPr>
        <w:t xml:space="preserve"> 23</w:t>
      </w:r>
      <w:r w:rsidR="0050285B">
        <w:rPr>
          <w:lang w:val="fr-CA"/>
        </w:rPr>
        <w:t> %</w:t>
      </w:r>
      <w:r w:rsidR="00050305" w:rsidRPr="00B3274C">
        <w:rPr>
          <w:lang w:val="fr-CA"/>
        </w:rPr>
        <w:t xml:space="preserve"> d</w:t>
      </w:r>
      <w:r w:rsidR="0080611A">
        <w:rPr>
          <w:lang w:val="fr-CA"/>
        </w:rPr>
        <w:t>’</w:t>
      </w:r>
      <w:r w:rsidR="00050305" w:rsidRPr="00B3274C">
        <w:rPr>
          <w:lang w:val="fr-CA"/>
        </w:rPr>
        <w:t>usagers de drogues injectables) ont bénéficié de ce programme dans le centre d</w:t>
      </w:r>
      <w:r w:rsidR="0080611A">
        <w:rPr>
          <w:lang w:val="fr-CA"/>
        </w:rPr>
        <w:t>’</w:t>
      </w:r>
      <w:r w:rsidR="00050305" w:rsidRPr="00B3274C">
        <w:rPr>
          <w:lang w:val="fr-CA"/>
        </w:rPr>
        <w:t>Athènes et plus de 1</w:t>
      </w:r>
      <w:r w:rsidR="00E3519F">
        <w:rPr>
          <w:lang w:val="fr-CA"/>
        </w:rPr>
        <w:t> </w:t>
      </w:r>
      <w:r w:rsidR="00050305" w:rsidRPr="00B3274C">
        <w:rPr>
          <w:lang w:val="fr-CA"/>
        </w:rPr>
        <w:t>000 prises de sang pour dépistage volontaire du VIH et des virus de l</w:t>
      </w:r>
      <w:r w:rsidR="0080611A">
        <w:rPr>
          <w:lang w:val="fr-CA"/>
        </w:rPr>
        <w:t>’</w:t>
      </w:r>
      <w:r w:rsidR="00050305" w:rsidRPr="00B3274C">
        <w:rPr>
          <w:lang w:val="fr-CA"/>
        </w:rPr>
        <w:t xml:space="preserve">hépatite ont été faites. </w:t>
      </w:r>
    </w:p>
    <w:p w:rsidR="00FB23D3" w:rsidRPr="00B3274C" w:rsidRDefault="00107A47" w:rsidP="00107A47">
      <w:pPr>
        <w:pStyle w:val="SingleTxtG"/>
        <w:rPr>
          <w:lang w:val="fr-CA"/>
        </w:rPr>
      </w:pPr>
      <w:r w:rsidRPr="00B3274C">
        <w:rPr>
          <w:lang w:val="fr-CA"/>
        </w:rPr>
        <w:t>276.</w:t>
      </w:r>
      <w:r w:rsidRPr="00B3274C">
        <w:rPr>
          <w:lang w:val="fr-CA"/>
        </w:rPr>
        <w:tab/>
      </w:r>
      <w:r w:rsidR="00050305" w:rsidRPr="00B3274C">
        <w:rPr>
          <w:lang w:val="fr-CA"/>
        </w:rPr>
        <w:t>En outre</w:t>
      </w:r>
      <w:r w:rsidR="0080611A">
        <w:rPr>
          <w:lang w:val="fr-CA"/>
        </w:rPr>
        <w:t>,</w:t>
      </w:r>
      <w:r w:rsidR="00050305" w:rsidRPr="00B3274C">
        <w:rPr>
          <w:lang w:val="fr-CA"/>
        </w:rPr>
        <w:t xml:space="preserve"> le Centre grec de prévention et de contrôle des maladies (</w:t>
      </w:r>
      <w:r w:rsidR="00050305" w:rsidRPr="00B3274C">
        <w:rPr>
          <w:bCs/>
          <w:lang w:val="fr-CA"/>
        </w:rPr>
        <w:t>HCDCP</w:t>
      </w:r>
      <w:r w:rsidR="00050305" w:rsidRPr="00B3274C">
        <w:rPr>
          <w:lang w:val="fr-CA"/>
        </w:rPr>
        <w:t>) a procédé à l</w:t>
      </w:r>
      <w:r w:rsidR="0080611A">
        <w:rPr>
          <w:lang w:val="fr-CA"/>
        </w:rPr>
        <w:t>’</w:t>
      </w:r>
      <w:r w:rsidR="00050305" w:rsidRPr="00B3274C">
        <w:rPr>
          <w:lang w:val="fr-CA"/>
        </w:rPr>
        <w:t xml:space="preserve">exécution de programmes de sensibilisation des migrants et </w:t>
      </w:r>
      <w:r w:rsidR="00614BAC">
        <w:rPr>
          <w:lang w:val="fr-CA"/>
        </w:rPr>
        <w:t>des personnes</w:t>
      </w:r>
      <w:r w:rsidR="00050305" w:rsidRPr="00B3274C">
        <w:rPr>
          <w:lang w:val="fr-CA"/>
        </w:rPr>
        <w:t xml:space="preserve"> se livrant à la prostitution (hommes</w:t>
      </w:r>
      <w:r w:rsidR="0080611A">
        <w:rPr>
          <w:lang w:val="fr-CA"/>
        </w:rPr>
        <w:t>,</w:t>
      </w:r>
      <w:r w:rsidR="00050305" w:rsidRPr="00B3274C">
        <w:rPr>
          <w:lang w:val="fr-CA"/>
        </w:rPr>
        <w:t xml:space="preserve"> femmes et</w:t>
      </w:r>
      <w:r w:rsidR="00512D7F">
        <w:rPr>
          <w:lang w:val="fr-CA"/>
        </w:rPr>
        <w:t xml:space="preserve"> </w:t>
      </w:r>
      <w:r w:rsidR="00614BAC">
        <w:rPr>
          <w:lang w:val="fr-CA"/>
        </w:rPr>
        <w:t>personnes</w:t>
      </w:r>
      <w:r w:rsidR="003F5ABA" w:rsidRPr="00B3274C">
        <w:rPr>
          <w:lang w:val="fr-CA"/>
        </w:rPr>
        <w:t xml:space="preserve"> </w:t>
      </w:r>
      <w:r w:rsidR="00050305" w:rsidRPr="00B3274C">
        <w:rPr>
          <w:lang w:val="fr-CA"/>
        </w:rPr>
        <w:t xml:space="preserve">transgenres). </w:t>
      </w:r>
      <w:r w:rsidR="00A42FEF" w:rsidRPr="00B3274C">
        <w:rPr>
          <w:lang w:val="fr-CA"/>
        </w:rPr>
        <w:t>Plus de 2</w:t>
      </w:r>
      <w:r w:rsidR="00512D7F">
        <w:rPr>
          <w:lang w:val="fr-CA"/>
        </w:rPr>
        <w:t> 500 </w:t>
      </w:r>
      <w:r w:rsidR="00A42FEF" w:rsidRPr="00B3274C">
        <w:rPr>
          <w:lang w:val="fr-CA"/>
        </w:rPr>
        <w:t>boutiques de migrants dans le centre d</w:t>
      </w:r>
      <w:r w:rsidR="0080611A">
        <w:rPr>
          <w:lang w:val="fr-CA"/>
        </w:rPr>
        <w:t>’</w:t>
      </w:r>
      <w:r w:rsidR="00A42FEF" w:rsidRPr="00B3274C">
        <w:rPr>
          <w:lang w:val="fr-CA"/>
        </w:rPr>
        <w:t>Athènes et au Pirée et 417 maisons de passe (1</w:t>
      </w:r>
      <w:r w:rsidR="00F41AC6">
        <w:rPr>
          <w:lang w:val="fr-CA"/>
        </w:rPr>
        <w:t> </w:t>
      </w:r>
      <w:r w:rsidR="00A42FEF" w:rsidRPr="00B3274C">
        <w:rPr>
          <w:lang w:val="fr-CA"/>
        </w:rPr>
        <w:t xml:space="preserve">117 </w:t>
      </w:r>
      <w:r w:rsidR="003F05D6" w:rsidRPr="00B3274C">
        <w:rPr>
          <w:lang w:val="fr-CA"/>
        </w:rPr>
        <w:t>femmes</w:t>
      </w:r>
      <w:r w:rsidR="00A42FEF" w:rsidRPr="00B3274C">
        <w:rPr>
          <w:lang w:val="fr-CA"/>
        </w:rPr>
        <w:t xml:space="preserve"> et 372 hommes</w:t>
      </w:r>
      <w:r w:rsidR="003F05D6" w:rsidRPr="00B3274C">
        <w:rPr>
          <w:lang w:val="fr-CA"/>
        </w:rPr>
        <w:t xml:space="preserve"> travailleurs du sexe</w:t>
      </w:r>
      <w:r w:rsidR="00A42FEF" w:rsidRPr="00B3274C">
        <w:rPr>
          <w:lang w:val="fr-CA"/>
        </w:rPr>
        <w:t>) ont été approchées. Le but du projet est de promouvoir l</w:t>
      </w:r>
      <w:r w:rsidR="0080611A">
        <w:rPr>
          <w:lang w:val="fr-CA"/>
        </w:rPr>
        <w:t>’</w:t>
      </w:r>
      <w:r w:rsidR="00A42FEF" w:rsidRPr="00B3274C">
        <w:rPr>
          <w:lang w:val="fr-CA"/>
        </w:rPr>
        <w:t>usage du préservatif parmi les travailleurs du sexe</w:t>
      </w:r>
      <w:r w:rsidR="0080611A">
        <w:rPr>
          <w:lang w:val="fr-CA"/>
        </w:rPr>
        <w:t>,</w:t>
      </w:r>
      <w:r w:rsidR="00A42FEF" w:rsidRPr="00B3274C">
        <w:rPr>
          <w:lang w:val="fr-CA"/>
        </w:rPr>
        <w:t xml:space="preserve"> afin de réduire le taux de VIH/sida et d</w:t>
      </w:r>
      <w:r w:rsidR="0080611A">
        <w:rPr>
          <w:lang w:val="fr-CA"/>
        </w:rPr>
        <w:t>’</w:t>
      </w:r>
      <w:r w:rsidR="00A42FEF" w:rsidRPr="00B3274C">
        <w:rPr>
          <w:lang w:val="fr-CA"/>
        </w:rPr>
        <w:t>IST</w:t>
      </w:r>
      <w:r w:rsidR="0080611A">
        <w:rPr>
          <w:lang w:val="fr-CA"/>
        </w:rPr>
        <w:t>,</w:t>
      </w:r>
      <w:r w:rsidR="00A42FEF" w:rsidRPr="00B3274C">
        <w:rPr>
          <w:lang w:val="fr-CA"/>
        </w:rPr>
        <w:t xml:space="preserve"> et de communiquer des informations sur les services de santé et de protection sociale. </w:t>
      </w:r>
    </w:p>
    <w:p w:rsidR="00FB23D3" w:rsidRPr="00B3274C" w:rsidRDefault="003350F2" w:rsidP="003B32D9">
      <w:pPr>
        <w:pStyle w:val="H23G"/>
        <w:rPr>
          <w:lang w:val="fr-CA"/>
        </w:rPr>
      </w:pPr>
      <w:r w:rsidRPr="00B3274C">
        <w:rPr>
          <w:lang w:val="fr-CA"/>
        </w:rPr>
        <w:tab/>
      </w:r>
      <w:r w:rsidR="003B32D9" w:rsidRPr="00B3274C">
        <w:rPr>
          <w:lang w:val="fr-CA"/>
        </w:rPr>
        <w:t>a)</w:t>
      </w:r>
      <w:r w:rsidRPr="00B3274C">
        <w:rPr>
          <w:lang w:val="fr-CA"/>
        </w:rPr>
        <w:tab/>
      </w:r>
      <w:r w:rsidR="00712D05" w:rsidRPr="00B3274C">
        <w:rPr>
          <w:lang w:val="fr-CA"/>
        </w:rPr>
        <w:t>Soins médicaux et soutien psycho</w:t>
      </w:r>
      <w:r w:rsidR="00CA1527" w:rsidRPr="00B3274C">
        <w:rPr>
          <w:lang w:val="fr-CA"/>
        </w:rPr>
        <w:t xml:space="preserve">social pour les populations </w:t>
      </w:r>
      <w:r w:rsidR="00712D05" w:rsidRPr="00B3274C">
        <w:rPr>
          <w:lang w:val="fr-CA"/>
        </w:rPr>
        <w:t xml:space="preserve">roms </w:t>
      </w:r>
    </w:p>
    <w:p w:rsidR="00FB23D3" w:rsidRPr="00B3274C" w:rsidRDefault="00107A47" w:rsidP="00107A47">
      <w:pPr>
        <w:pStyle w:val="SingleTxtG"/>
        <w:rPr>
          <w:lang w:val="fr-CA"/>
        </w:rPr>
      </w:pPr>
      <w:r w:rsidRPr="00B3274C">
        <w:rPr>
          <w:lang w:val="fr-CA"/>
        </w:rPr>
        <w:t>277.</w:t>
      </w:r>
      <w:r w:rsidRPr="00B3274C">
        <w:rPr>
          <w:lang w:val="fr-CA"/>
        </w:rPr>
        <w:tab/>
      </w:r>
      <w:r w:rsidR="00A42FEF" w:rsidRPr="00B3274C">
        <w:rPr>
          <w:lang w:val="fr-CA"/>
        </w:rPr>
        <w:t>En 2011</w:t>
      </w:r>
      <w:r w:rsidR="0080611A">
        <w:rPr>
          <w:lang w:val="fr-CA"/>
        </w:rPr>
        <w:t>,</w:t>
      </w:r>
      <w:r w:rsidR="00A42FEF" w:rsidRPr="00B3274C">
        <w:rPr>
          <w:lang w:val="fr-CA"/>
        </w:rPr>
        <w:t xml:space="preserve"> l</w:t>
      </w:r>
      <w:r w:rsidR="0080611A">
        <w:rPr>
          <w:lang w:val="fr-CA"/>
        </w:rPr>
        <w:t>’</w:t>
      </w:r>
      <w:r w:rsidR="00D70304" w:rsidRPr="00B3274C">
        <w:rPr>
          <w:lang w:val="fr-CA"/>
        </w:rPr>
        <w:t xml:space="preserve">exécution </w:t>
      </w:r>
      <w:r w:rsidR="00A42FEF" w:rsidRPr="00B3274C">
        <w:rPr>
          <w:lang w:val="fr-CA"/>
        </w:rPr>
        <w:t xml:space="preserve">du projet </w:t>
      </w:r>
      <w:r w:rsidR="0055418C" w:rsidRPr="00B3274C">
        <w:rPr>
          <w:lang w:val="fr-CA"/>
        </w:rPr>
        <w:t>«</w:t>
      </w:r>
      <w:r w:rsidR="00A42FEF" w:rsidRPr="00B3274C">
        <w:rPr>
          <w:lang w:val="fr-CA"/>
        </w:rPr>
        <w:t>Maintien</w:t>
      </w:r>
      <w:r w:rsidR="00D70304" w:rsidRPr="00B3274C">
        <w:rPr>
          <w:lang w:val="fr-CA"/>
        </w:rPr>
        <w:t xml:space="preserve"> des mesures et de l</w:t>
      </w:r>
      <w:r w:rsidR="0080611A">
        <w:rPr>
          <w:lang w:val="fr-CA"/>
        </w:rPr>
        <w:t>’</w:t>
      </w:r>
      <w:r w:rsidR="00D70304" w:rsidRPr="00B3274C">
        <w:rPr>
          <w:lang w:val="fr-CA"/>
        </w:rPr>
        <w:t>aide psychosociale en faveur des Roms grecs</w:t>
      </w:r>
      <w:r w:rsidR="0055418C" w:rsidRPr="00B3274C">
        <w:rPr>
          <w:lang w:val="fr-CA"/>
        </w:rPr>
        <w:t>»</w:t>
      </w:r>
      <w:r w:rsidR="0080611A">
        <w:rPr>
          <w:lang w:val="fr-CA"/>
        </w:rPr>
        <w:t>,</w:t>
      </w:r>
      <w:r w:rsidR="00D70304" w:rsidRPr="00B3274C">
        <w:rPr>
          <w:lang w:val="fr-CA"/>
        </w:rPr>
        <w:t xml:space="preserve"> dans le cadre duquel des Unités sanitaires itinérantes se rendent dans les campements des diverses populations roms</w:t>
      </w:r>
      <w:r w:rsidR="0080611A">
        <w:rPr>
          <w:lang w:val="fr-CA"/>
        </w:rPr>
        <w:t>,</w:t>
      </w:r>
      <w:r w:rsidR="00D70304" w:rsidRPr="00B3274C">
        <w:rPr>
          <w:lang w:val="fr-CA"/>
        </w:rPr>
        <w:t xml:space="preserve"> s</w:t>
      </w:r>
      <w:r w:rsidR="0080611A">
        <w:rPr>
          <w:lang w:val="fr-CA"/>
        </w:rPr>
        <w:t>’</w:t>
      </w:r>
      <w:r w:rsidR="00D70304" w:rsidRPr="00B3274C">
        <w:rPr>
          <w:lang w:val="fr-CA"/>
        </w:rPr>
        <w:t xml:space="preserve">est poursuivie. </w:t>
      </w:r>
      <w:r w:rsidR="001B0C95" w:rsidRPr="00B3274C">
        <w:rPr>
          <w:lang w:val="fr-CA"/>
        </w:rPr>
        <w:t>Ce projet est mis en œuvre par le Ministère de la santé et les Directions régionales de la santé</w:t>
      </w:r>
      <w:r w:rsidR="0080611A">
        <w:rPr>
          <w:lang w:val="fr-CA"/>
        </w:rPr>
        <w:t>,</w:t>
      </w:r>
      <w:r w:rsidR="001B0C95" w:rsidRPr="00B3274C">
        <w:rPr>
          <w:lang w:val="fr-CA"/>
        </w:rPr>
        <w:t xml:space="preserve"> en collaboration avec les Systèmes régionaux de la santé</w:t>
      </w:r>
      <w:r w:rsidR="0080611A">
        <w:rPr>
          <w:lang w:val="fr-CA"/>
        </w:rPr>
        <w:t>,</w:t>
      </w:r>
      <w:r w:rsidR="001B0C95" w:rsidRPr="00B3274C">
        <w:rPr>
          <w:lang w:val="fr-CA"/>
        </w:rPr>
        <w:t xml:space="preserve"> le Centre grec de prévention et de contrôle des maladies (</w:t>
      </w:r>
      <w:r w:rsidR="001B0C95" w:rsidRPr="00B3274C">
        <w:rPr>
          <w:bCs/>
          <w:lang w:val="fr-CA"/>
        </w:rPr>
        <w:t>HCDCP</w:t>
      </w:r>
      <w:r w:rsidR="001B0C95" w:rsidRPr="00B3274C">
        <w:rPr>
          <w:lang w:val="fr-CA"/>
        </w:rPr>
        <w:t xml:space="preserve">) et des ONG. </w:t>
      </w:r>
    </w:p>
    <w:p w:rsidR="00FB23D3" w:rsidRPr="00B3274C" w:rsidRDefault="00107A47" w:rsidP="00107A47">
      <w:pPr>
        <w:pStyle w:val="SingleTxtG"/>
        <w:rPr>
          <w:lang w:val="fr-CA"/>
        </w:rPr>
      </w:pPr>
      <w:r w:rsidRPr="00B3274C">
        <w:rPr>
          <w:lang w:val="fr-CA"/>
        </w:rPr>
        <w:t>278.</w:t>
      </w:r>
      <w:r w:rsidRPr="00B3274C">
        <w:rPr>
          <w:lang w:val="fr-CA"/>
        </w:rPr>
        <w:tab/>
      </w:r>
      <w:r w:rsidR="00795FC8" w:rsidRPr="00B3274C">
        <w:rPr>
          <w:lang w:val="fr-CA"/>
        </w:rPr>
        <w:t>Ces interventions visent</w:t>
      </w:r>
      <w:r w:rsidR="0080611A">
        <w:rPr>
          <w:lang w:val="fr-CA"/>
        </w:rPr>
        <w:t>,</w:t>
      </w:r>
      <w:r w:rsidR="00795FC8" w:rsidRPr="00B3274C">
        <w:rPr>
          <w:lang w:val="fr-CA"/>
        </w:rPr>
        <w:t xml:space="preserve"> entre autres</w:t>
      </w:r>
      <w:r w:rsidR="0080611A">
        <w:rPr>
          <w:lang w:val="fr-CA"/>
        </w:rPr>
        <w:t>,</w:t>
      </w:r>
      <w:r w:rsidR="00795FC8" w:rsidRPr="00B3274C">
        <w:rPr>
          <w:lang w:val="fr-CA"/>
        </w:rPr>
        <w:t xml:space="preserve"> à examiner et à vacciner les enfants roms</w:t>
      </w:r>
      <w:r w:rsidR="0080611A">
        <w:rPr>
          <w:lang w:val="fr-CA"/>
        </w:rPr>
        <w:t>,</w:t>
      </w:r>
      <w:r w:rsidR="00795FC8" w:rsidRPr="00B3274C">
        <w:rPr>
          <w:lang w:val="fr-CA"/>
        </w:rPr>
        <w:t xml:space="preserve"> à apporter de l</w:t>
      </w:r>
      <w:r w:rsidR="0080611A">
        <w:rPr>
          <w:lang w:val="fr-CA"/>
        </w:rPr>
        <w:t>’</w:t>
      </w:r>
      <w:r w:rsidR="00795FC8" w:rsidRPr="00B3274C">
        <w:rPr>
          <w:lang w:val="fr-CA"/>
        </w:rPr>
        <w:t xml:space="preserve">aide pour résoudre </w:t>
      </w:r>
      <w:r w:rsidR="00CA1527" w:rsidRPr="00B3274C">
        <w:rPr>
          <w:lang w:val="fr-CA"/>
        </w:rPr>
        <w:t>l</w:t>
      </w:r>
      <w:r w:rsidR="00795FC8" w:rsidRPr="00B3274C">
        <w:rPr>
          <w:lang w:val="fr-CA"/>
        </w:rPr>
        <w:t xml:space="preserve">es problèmes sociaux et à enregistrer les vaccinations. Les vaccinations sont faites compte tenu des recommandations du Plan national de vaccination. </w:t>
      </w:r>
    </w:p>
    <w:p w:rsidR="00FB23D3" w:rsidRPr="00B3274C" w:rsidRDefault="00107A47" w:rsidP="00107A47">
      <w:pPr>
        <w:pStyle w:val="SingleTxtG"/>
        <w:rPr>
          <w:lang w:val="fr-CA"/>
        </w:rPr>
      </w:pPr>
      <w:r w:rsidRPr="00B3274C">
        <w:rPr>
          <w:lang w:val="fr-CA"/>
        </w:rPr>
        <w:t>279.</w:t>
      </w:r>
      <w:r w:rsidRPr="00B3274C">
        <w:rPr>
          <w:lang w:val="fr-CA"/>
        </w:rPr>
        <w:tab/>
      </w:r>
      <w:r w:rsidR="00795FC8" w:rsidRPr="00B3274C">
        <w:rPr>
          <w:lang w:val="fr-CA"/>
        </w:rPr>
        <w:t>À ce jour</w:t>
      </w:r>
      <w:r w:rsidR="0080611A">
        <w:rPr>
          <w:lang w:val="fr-CA"/>
        </w:rPr>
        <w:t>,</w:t>
      </w:r>
      <w:r w:rsidR="00795FC8" w:rsidRPr="00B3274C">
        <w:rPr>
          <w:lang w:val="fr-CA"/>
        </w:rPr>
        <w:t xml:space="preserve"> des vaccinations ont été faites aux enfants dans tous les campements. Les doses de rappel sont généralement fournies par les autorités locales (centres de santé</w:t>
      </w:r>
      <w:r w:rsidR="0080611A">
        <w:rPr>
          <w:lang w:val="fr-CA"/>
        </w:rPr>
        <w:t>,</w:t>
      </w:r>
      <w:r w:rsidR="00795FC8" w:rsidRPr="00B3274C">
        <w:rPr>
          <w:lang w:val="fr-CA"/>
        </w:rPr>
        <w:t xml:space="preserve"> préfectures</w:t>
      </w:r>
      <w:r w:rsidR="0080611A">
        <w:rPr>
          <w:lang w:val="fr-CA"/>
        </w:rPr>
        <w:t>,</w:t>
      </w:r>
      <w:r w:rsidR="00795FC8" w:rsidRPr="00B3274C">
        <w:rPr>
          <w:lang w:val="fr-CA"/>
        </w:rPr>
        <w:t xml:space="preserve"> etc.)</w:t>
      </w:r>
      <w:r w:rsidR="0080611A">
        <w:rPr>
          <w:lang w:val="fr-CA"/>
        </w:rPr>
        <w:t>,</w:t>
      </w:r>
      <w:r w:rsidR="00795FC8" w:rsidRPr="00B3274C">
        <w:rPr>
          <w:lang w:val="fr-CA"/>
        </w:rPr>
        <w:t xml:space="preserve"> en coopération avec les Directions de coordination du Ministère de la santé. À chaque intervention</w:t>
      </w:r>
      <w:r w:rsidR="0080611A">
        <w:rPr>
          <w:lang w:val="fr-CA"/>
        </w:rPr>
        <w:t>,</w:t>
      </w:r>
      <w:r w:rsidR="00795FC8" w:rsidRPr="00B3274C">
        <w:rPr>
          <w:lang w:val="fr-CA"/>
        </w:rPr>
        <w:t xml:space="preserve"> le carnet de santé des enfants est mis à jour et de nouveaux carnets sont délivrés pour les nouveau-nés et/ou les enfants </w:t>
      </w:r>
      <w:r w:rsidR="00E55B9E" w:rsidRPr="00B3274C">
        <w:rPr>
          <w:lang w:val="fr-CA"/>
        </w:rPr>
        <w:t>lorsqu</w:t>
      </w:r>
      <w:r w:rsidR="0080611A">
        <w:rPr>
          <w:lang w:val="fr-CA"/>
        </w:rPr>
        <w:t>’</w:t>
      </w:r>
      <w:r w:rsidR="00E55B9E" w:rsidRPr="00B3274C">
        <w:rPr>
          <w:lang w:val="fr-CA"/>
        </w:rPr>
        <w:t>il a été perdu</w:t>
      </w:r>
      <w:r w:rsidR="00795FC8" w:rsidRPr="00B3274C">
        <w:rPr>
          <w:lang w:val="fr-CA"/>
        </w:rPr>
        <w:t xml:space="preserve">. </w:t>
      </w:r>
    </w:p>
    <w:p w:rsidR="00FB23D3" w:rsidRPr="00B3274C" w:rsidRDefault="00107A47" w:rsidP="00107A47">
      <w:pPr>
        <w:pStyle w:val="SingleTxtG"/>
        <w:rPr>
          <w:lang w:val="fr-CA"/>
        </w:rPr>
      </w:pPr>
      <w:r w:rsidRPr="00B3274C">
        <w:rPr>
          <w:lang w:val="fr-CA"/>
        </w:rPr>
        <w:t>280.</w:t>
      </w:r>
      <w:r w:rsidRPr="00B3274C">
        <w:rPr>
          <w:lang w:val="fr-CA"/>
        </w:rPr>
        <w:tab/>
      </w:r>
      <w:r w:rsidR="00CA1B4D" w:rsidRPr="00B3274C">
        <w:rPr>
          <w:lang w:val="fr-CA"/>
        </w:rPr>
        <w:t>En outre</w:t>
      </w:r>
      <w:r w:rsidR="0080611A">
        <w:rPr>
          <w:lang w:val="fr-CA"/>
        </w:rPr>
        <w:t>,</w:t>
      </w:r>
      <w:r w:rsidR="00CA1B4D" w:rsidRPr="00B3274C">
        <w:rPr>
          <w:lang w:val="fr-CA"/>
        </w:rPr>
        <w:t xml:space="preserve"> les préfectures et le Centre grec de prévention et de contrôle des maladies (</w:t>
      </w:r>
      <w:r w:rsidR="00CA1B4D" w:rsidRPr="00B3274C">
        <w:rPr>
          <w:bCs/>
          <w:lang w:val="fr-CA"/>
        </w:rPr>
        <w:t>HCDCP</w:t>
      </w:r>
      <w:r w:rsidR="00CA1B4D" w:rsidRPr="00B3274C">
        <w:rPr>
          <w:lang w:val="fr-CA"/>
        </w:rPr>
        <w:t>) sont chargés de tenir des registres de santé et de vaccination. En 2011</w:t>
      </w:r>
      <w:r w:rsidR="0080611A">
        <w:rPr>
          <w:lang w:val="fr-CA"/>
        </w:rPr>
        <w:t>,</w:t>
      </w:r>
      <w:r w:rsidR="00CA1B4D" w:rsidRPr="00B3274C">
        <w:rPr>
          <w:lang w:val="fr-CA"/>
        </w:rPr>
        <w:t xml:space="preserve"> au total 305 vaccinations contre la poliomyélite</w:t>
      </w:r>
      <w:r w:rsidR="0080611A">
        <w:rPr>
          <w:lang w:val="fr-CA"/>
        </w:rPr>
        <w:t>,</w:t>
      </w:r>
      <w:r w:rsidR="00CA1B4D" w:rsidRPr="00B3274C">
        <w:rPr>
          <w:lang w:val="fr-CA"/>
        </w:rPr>
        <w:t xml:space="preserve"> le tétanos</w:t>
      </w:r>
      <w:r w:rsidR="0080611A">
        <w:rPr>
          <w:lang w:val="fr-CA"/>
        </w:rPr>
        <w:t>,</w:t>
      </w:r>
      <w:r w:rsidR="00CA1B4D" w:rsidRPr="00B3274C">
        <w:rPr>
          <w:lang w:val="fr-CA"/>
        </w:rPr>
        <w:t xml:space="preserve"> la diphtérie</w:t>
      </w:r>
      <w:r w:rsidR="0080611A">
        <w:rPr>
          <w:lang w:val="fr-CA"/>
        </w:rPr>
        <w:t>,</w:t>
      </w:r>
      <w:r w:rsidR="00CA1B4D" w:rsidRPr="00B3274C">
        <w:rPr>
          <w:lang w:val="fr-CA"/>
        </w:rPr>
        <w:t xml:space="preserve"> la rougeole</w:t>
      </w:r>
      <w:r w:rsidR="0080611A">
        <w:rPr>
          <w:lang w:val="fr-CA"/>
        </w:rPr>
        <w:t>,</w:t>
      </w:r>
      <w:r w:rsidR="00CA1B4D" w:rsidRPr="00B3274C">
        <w:rPr>
          <w:lang w:val="fr-CA"/>
        </w:rPr>
        <w:t xml:space="preserve"> les oreillons</w:t>
      </w:r>
      <w:r w:rsidR="0080611A">
        <w:rPr>
          <w:lang w:val="fr-CA"/>
        </w:rPr>
        <w:t>,</w:t>
      </w:r>
      <w:r w:rsidR="00CA1B4D" w:rsidRPr="00B3274C">
        <w:rPr>
          <w:lang w:val="fr-CA"/>
        </w:rPr>
        <w:t xml:space="preserve"> la rubéole</w:t>
      </w:r>
      <w:r w:rsidR="0080611A">
        <w:rPr>
          <w:lang w:val="fr-CA"/>
        </w:rPr>
        <w:t>,</w:t>
      </w:r>
      <w:r w:rsidR="00CA1B4D" w:rsidRPr="00B3274C">
        <w:rPr>
          <w:lang w:val="fr-CA"/>
        </w:rPr>
        <w:t xml:space="preserve"> la varicelle</w:t>
      </w:r>
      <w:r w:rsidR="0080611A">
        <w:rPr>
          <w:lang w:val="fr-CA"/>
        </w:rPr>
        <w:t>,</w:t>
      </w:r>
      <w:r w:rsidR="00CA1B4D" w:rsidRPr="00B3274C">
        <w:rPr>
          <w:lang w:val="fr-CA"/>
        </w:rPr>
        <w:t xml:space="preserve"> les hépatites B et A et la grippe B de type hémophile ont été faites</w:t>
      </w:r>
      <w:r w:rsidR="0080611A">
        <w:rPr>
          <w:lang w:val="fr-CA"/>
        </w:rPr>
        <w:t>,</w:t>
      </w:r>
      <w:r w:rsidR="00CA1B4D" w:rsidRPr="00B3274C">
        <w:rPr>
          <w:lang w:val="fr-CA"/>
        </w:rPr>
        <w:t xml:space="preserve"> conformément au Plan national de vaccination</w:t>
      </w:r>
      <w:r w:rsidR="00FB23D3" w:rsidRPr="00B3274C">
        <w:rPr>
          <w:lang w:val="fr-CA"/>
        </w:rPr>
        <w:t>.</w:t>
      </w:r>
    </w:p>
    <w:p w:rsidR="00FB23D3" w:rsidRPr="00B3274C" w:rsidRDefault="003350F2" w:rsidP="00F44342">
      <w:pPr>
        <w:pStyle w:val="H23G"/>
        <w:rPr>
          <w:lang w:val="fr-CA"/>
        </w:rPr>
      </w:pPr>
      <w:r w:rsidRPr="00B3274C">
        <w:rPr>
          <w:lang w:val="fr-CA"/>
        </w:rPr>
        <w:tab/>
      </w:r>
      <w:r w:rsidR="00F44342" w:rsidRPr="00B3274C">
        <w:rPr>
          <w:lang w:val="fr-CA"/>
        </w:rPr>
        <w:t>b)</w:t>
      </w:r>
      <w:r w:rsidRPr="00B3274C">
        <w:rPr>
          <w:lang w:val="fr-CA"/>
        </w:rPr>
        <w:tab/>
      </w:r>
      <w:r w:rsidR="00FB23D3" w:rsidRPr="00B3274C">
        <w:rPr>
          <w:lang w:val="fr-CA"/>
        </w:rPr>
        <w:t>Victim</w:t>
      </w:r>
      <w:r w:rsidR="00712D05" w:rsidRPr="00B3274C">
        <w:rPr>
          <w:lang w:val="fr-CA"/>
        </w:rPr>
        <w:t>e</w:t>
      </w:r>
      <w:r w:rsidR="00FB23D3" w:rsidRPr="00B3274C">
        <w:rPr>
          <w:lang w:val="fr-CA"/>
        </w:rPr>
        <w:t xml:space="preserve">s </w:t>
      </w:r>
      <w:r w:rsidR="00712D05" w:rsidRPr="00B3274C">
        <w:rPr>
          <w:lang w:val="fr-CA"/>
        </w:rPr>
        <w:t>de la traite</w:t>
      </w:r>
    </w:p>
    <w:p w:rsidR="00FB23D3" w:rsidRPr="00B3274C" w:rsidRDefault="00107A47" w:rsidP="00107A47">
      <w:pPr>
        <w:pStyle w:val="SingleTxtG"/>
        <w:rPr>
          <w:lang w:val="fr-CA"/>
        </w:rPr>
      </w:pPr>
      <w:r w:rsidRPr="00B3274C">
        <w:rPr>
          <w:lang w:val="fr-CA"/>
        </w:rPr>
        <w:t>281.</w:t>
      </w:r>
      <w:r w:rsidRPr="00B3274C">
        <w:rPr>
          <w:lang w:val="fr-CA"/>
        </w:rPr>
        <w:tab/>
      </w:r>
      <w:r w:rsidR="00955853" w:rsidRPr="00B3274C">
        <w:rPr>
          <w:lang w:val="fr-CA"/>
        </w:rPr>
        <w:t>En ce qui concerne les victimes de la traite</w:t>
      </w:r>
      <w:r w:rsidR="0080611A">
        <w:rPr>
          <w:lang w:val="fr-CA"/>
        </w:rPr>
        <w:t>,</w:t>
      </w:r>
      <w:r w:rsidR="00955853" w:rsidRPr="00B3274C">
        <w:rPr>
          <w:lang w:val="fr-CA"/>
        </w:rPr>
        <w:t xml:space="preserve"> un bureau a été créé en 2008 au sein du Centre grec de prévention et de contrôle des maladies (</w:t>
      </w:r>
      <w:r w:rsidR="00955853" w:rsidRPr="00B3274C">
        <w:rPr>
          <w:bCs/>
          <w:lang w:val="fr-CA"/>
        </w:rPr>
        <w:t>HCDCP</w:t>
      </w:r>
      <w:r w:rsidR="00955853" w:rsidRPr="00B3274C">
        <w:rPr>
          <w:lang w:val="fr-CA"/>
        </w:rPr>
        <w:t xml:space="preserve">) pour étudier et combattre la traite et </w:t>
      </w:r>
      <w:r w:rsidR="002C71E4" w:rsidRPr="00B3274C">
        <w:rPr>
          <w:lang w:val="fr-CA"/>
        </w:rPr>
        <w:t>a exercé</w:t>
      </w:r>
      <w:r w:rsidR="00955853" w:rsidRPr="00B3274C">
        <w:rPr>
          <w:lang w:val="fr-CA"/>
        </w:rPr>
        <w:t xml:space="preserve"> ses activités jusqu</w:t>
      </w:r>
      <w:r w:rsidR="0080611A">
        <w:rPr>
          <w:lang w:val="fr-CA"/>
        </w:rPr>
        <w:t>’</w:t>
      </w:r>
      <w:r w:rsidR="00955853" w:rsidRPr="00B3274C">
        <w:rPr>
          <w:lang w:val="fr-CA"/>
        </w:rPr>
        <w:t>en 2010. En 2010</w:t>
      </w:r>
      <w:r w:rsidR="0080611A">
        <w:rPr>
          <w:lang w:val="fr-CA"/>
        </w:rPr>
        <w:t>,</w:t>
      </w:r>
      <w:r w:rsidR="00955853" w:rsidRPr="00B3274C">
        <w:rPr>
          <w:lang w:val="fr-CA"/>
        </w:rPr>
        <w:t xml:space="preserve"> il a été remplacé dans ses activités par l</w:t>
      </w:r>
      <w:r w:rsidR="0080611A">
        <w:rPr>
          <w:lang w:val="fr-CA"/>
        </w:rPr>
        <w:t>’</w:t>
      </w:r>
      <w:r w:rsidR="00955853" w:rsidRPr="00B3274C">
        <w:rPr>
          <w:lang w:val="fr-CA"/>
        </w:rPr>
        <w:t xml:space="preserve">Office de la santé des migrants et des populations itinérantes. </w:t>
      </w:r>
    </w:p>
    <w:p w:rsidR="00FB23D3" w:rsidRPr="00B3274C" w:rsidRDefault="003350F2" w:rsidP="00F44342">
      <w:pPr>
        <w:pStyle w:val="H23G"/>
        <w:rPr>
          <w:lang w:val="fr-CA"/>
        </w:rPr>
      </w:pPr>
      <w:r w:rsidRPr="00B3274C">
        <w:rPr>
          <w:lang w:val="fr-CA"/>
        </w:rPr>
        <w:tab/>
      </w:r>
      <w:r w:rsidR="00F44342" w:rsidRPr="00B3274C">
        <w:rPr>
          <w:lang w:val="fr-CA"/>
        </w:rPr>
        <w:t>6.</w:t>
      </w:r>
      <w:r w:rsidRPr="00B3274C">
        <w:rPr>
          <w:lang w:val="fr-CA"/>
        </w:rPr>
        <w:tab/>
      </w:r>
      <w:r w:rsidR="00FB23D3" w:rsidRPr="00B3274C">
        <w:rPr>
          <w:lang w:val="fr-CA"/>
        </w:rPr>
        <w:t xml:space="preserve">Actions </w:t>
      </w:r>
      <w:r w:rsidR="00C12DDC" w:rsidRPr="00B3274C">
        <w:rPr>
          <w:lang w:val="fr-CA"/>
        </w:rPr>
        <w:t>de l</w:t>
      </w:r>
      <w:r w:rsidR="0080611A">
        <w:rPr>
          <w:lang w:val="fr-CA"/>
        </w:rPr>
        <w:t>’</w:t>
      </w:r>
      <w:r w:rsidR="00C12DDC" w:rsidRPr="00B3274C">
        <w:rPr>
          <w:lang w:val="fr-CA"/>
        </w:rPr>
        <w:t xml:space="preserve">Organisme de lutte contre les drogues </w:t>
      </w:r>
      <w:r w:rsidR="00FB23D3" w:rsidRPr="00B3274C">
        <w:rPr>
          <w:lang w:val="fr-CA"/>
        </w:rPr>
        <w:t>(OKANA)</w:t>
      </w:r>
    </w:p>
    <w:p w:rsidR="00FB23D3" w:rsidRPr="00B3274C" w:rsidRDefault="00107A47" w:rsidP="00107A47">
      <w:pPr>
        <w:pStyle w:val="SingleTxtG"/>
        <w:rPr>
          <w:bCs/>
          <w:lang w:val="fr-CA"/>
        </w:rPr>
      </w:pPr>
      <w:r w:rsidRPr="00B3274C">
        <w:rPr>
          <w:bCs/>
          <w:lang w:val="fr-CA"/>
        </w:rPr>
        <w:t>282.</w:t>
      </w:r>
      <w:r w:rsidRPr="00B3274C">
        <w:rPr>
          <w:bCs/>
          <w:lang w:val="fr-CA"/>
        </w:rPr>
        <w:tab/>
      </w:r>
      <w:r w:rsidR="00C12DDC" w:rsidRPr="00B3274C">
        <w:rPr>
          <w:bCs/>
          <w:lang w:val="fr-CA"/>
        </w:rPr>
        <w:t>Depuis 2010</w:t>
      </w:r>
      <w:r w:rsidR="0080611A">
        <w:rPr>
          <w:bCs/>
          <w:lang w:val="fr-CA"/>
        </w:rPr>
        <w:t>,</w:t>
      </w:r>
      <w:r w:rsidR="00C12DDC" w:rsidRPr="00B3274C">
        <w:rPr>
          <w:bCs/>
          <w:lang w:val="fr-CA"/>
        </w:rPr>
        <w:t xml:space="preserve"> </w:t>
      </w:r>
      <w:r w:rsidR="00FB23D3" w:rsidRPr="00B3274C">
        <w:rPr>
          <w:bCs/>
          <w:lang w:val="fr-CA"/>
        </w:rPr>
        <w:t xml:space="preserve">OKANA </w:t>
      </w:r>
      <w:r w:rsidR="00C12DDC" w:rsidRPr="00B3274C">
        <w:rPr>
          <w:bCs/>
          <w:lang w:val="fr-CA"/>
        </w:rPr>
        <w:t>a créé</w:t>
      </w:r>
      <w:r w:rsidR="0055418C" w:rsidRPr="00B3274C">
        <w:rPr>
          <w:bCs/>
          <w:lang w:val="fr-CA"/>
        </w:rPr>
        <w:t xml:space="preserve"> </w:t>
      </w:r>
      <w:r w:rsidR="00C12DDC" w:rsidRPr="00B3274C">
        <w:rPr>
          <w:bCs/>
          <w:lang w:val="fr-CA"/>
        </w:rPr>
        <w:t xml:space="preserve">29 nouvelles </w:t>
      </w:r>
      <w:bookmarkStart w:id="36" w:name="OLE_LINK37"/>
      <w:bookmarkStart w:id="37" w:name="OLE_LINK38"/>
      <w:r w:rsidR="00C12DDC" w:rsidRPr="00B3274C">
        <w:rPr>
          <w:bCs/>
          <w:lang w:val="fr-CA"/>
        </w:rPr>
        <w:t xml:space="preserve">unités qui dispensent des traitements de substitution </w:t>
      </w:r>
      <w:bookmarkEnd w:id="36"/>
      <w:bookmarkEnd w:id="37"/>
      <w:r w:rsidR="00C12DDC" w:rsidRPr="00B3274C">
        <w:rPr>
          <w:bCs/>
          <w:lang w:val="fr-CA"/>
        </w:rPr>
        <w:t>en médecine ambulatoire dans des hôpitaux publics</w:t>
      </w:r>
      <w:r w:rsidR="0080611A">
        <w:rPr>
          <w:bCs/>
          <w:lang w:val="fr-CA"/>
        </w:rPr>
        <w:t>,</w:t>
      </w:r>
      <w:r w:rsidR="00C12DDC" w:rsidRPr="00B3274C">
        <w:rPr>
          <w:bCs/>
          <w:lang w:val="fr-CA"/>
        </w:rPr>
        <w:t xml:space="preserve"> conformément au décret ministériel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bCs/>
          <w:lang w:val="fr-CA"/>
        </w:rPr>
        <w:t>123148</w:t>
      </w:r>
      <w:r w:rsidR="0080611A">
        <w:rPr>
          <w:bCs/>
          <w:lang w:val="fr-CA"/>
        </w:rPr>
        <w:t>,</w:t>
      </w:r>
      <w:r w:rsidR="00C12DDC" w:rsidRPr="00B3274C">
        <w:rPr>
          <w:bCs/>
          <w:lang w:val="fr-CA"/>
        </w:rPr>
        <w:t xml:space="preserve"> publié le 2 décembre 2011 par le Ministre de la santé et de la protection sociale. Ces unités sont aujourd</w:t>
      </w:r>
      <w:r w:rsidR="0080611A">
        <w:rPr>
          <w:bCs/>
          <w:lang w:val="fr-CA"/>
        </w:rPr>
        <w:t>’</w:t>
      </w:r>
      <w:r w:rsidR="00C12DDC" w:rsidRPr="00B3274C">
        <w:rPr>
          <w:bCs/>
          <w:lang w:val="fr-CA"/>
        </w:rPr>
        <w:t xml:space="preserve">hui au nombre de 54 </w:t>
      </w:r>
      <w:r w:rsidR="001017B5" w:rsidRPr="00B3274C">
        <w:rPr>
          <w:bCs/>
          <w:lang w:val="fr-CA"/>
        </w:rPr>
        <w:t>au total</w:t>
      </w:r>
      <w:r w:rsidR="00EC5892" w:rsidRPr="00B3274C">
        <w:rPr>
          <w:bCs/>
          <w:lang w:val="fr-CA"/>
        </w:rPr>
        <w:t>;</w:t>
      </w:r>
      <w:r w:rsidR="001017B5" w:rsidRPr="00B3274C">
        <w:rPr>
          <w:bCs/>
          <w:lang w:val="fr-CA"/>
        </w:rPr>
        <w:t xml:space="preserve"> il en existait 24 au total à la fin de 2009. Les traitements de substitution dispensés par </w:t>
      </w:r>
      <w:r w:rsidR="00FB23D3" w:rsidRPr="00B3274C">
        <w:rPr>
          <w:bCs/>
          <w:lang w:val="fr-CA"/>
        </w:rPr>
        <w:t>OKANA</w:t>
      </w:r>
      <w:r w:rsidR="001017B5" w:rsidRPr="00B3274C">
        <w:rPr>
          <w:bCs/>
          <w:lang w:val="fr-CA"/>
        </w:rPr>
        <w:t xml:space="preserve"> s</w:t>
      </w:r>
      <w:r w:rsidR="0080611A">
        <w:rPr>
          <w:bCs/>
          <w:lang w:val="fr-CA"/>
        </w:rPr>
        <w:t>’</w:t>
      </w:r>
      <w:r w:rsidR="001017B5" w:rsidRPr="00B3274C">
        <w:rPr>
          <w:bCs/>
          <w:lang w:val="fr-CA"/>
        </w:rPr>
        <w:t xml:space="preserve">adressent </w:t>
      </w:r>
      <w:r w:rsidR="00A40A08">
        <w:rPr>
          <w:bCs/>
          <w:lang w:val="fr-CA"/>
        </w:rPr>
        <w:t>aux personnes</w:t>
      </w:r>
      <w:r w:rsidR="001017B5" w:rsidRPr="00B3274C">
        <w:rPr>
          <w:bCs/>
          <w:lang w:val="fr-CA"/>
        </w:rPr>
        <w:t xml:space="preserve"> </w:t>
      </w:r>
      <w:r w:rsidR="00D23CA0" w:rsidRPr="00B3274C">
        <w:rPr>
          <w:bCs/>
          <w:lang w:val="fr-CA"/>
        </w:rPr>
        <w:t>de plus de 20</w:t>
      </w:r>
      <w:r w:rsidR="004C055A">
        <w:rPr>
          <w:bCs/>
          <w:lang w:val="fr-CA"/>
        </w:rPr>
        <w:t> ans</w:t>
      </w:r>
      <w:r w:rsidR="00D23CA0" w:rsidRPr="00B3274C">
        <w:rPr>
          <w:bCs/>
          <w:lang w:val="fr-CA"/>
        </w:rPr>
        <w:t xml:space="preserve"> </w:t>
      </w:r>
      <w:r w:rsidR="001017B5" w:rsidRPr="00B3274C">
        <w:rPr>
          <w:bCs/>
          <w:lang w:val="fr-CA"/>
        </w:rPr>
        <w:t>dépendantes des opiacés et</w:t>
      </w:r>
      <w:r w:rsidR="004E4479" w:rsidRPr="00B3274C">
        <w:rPr>
          <w:bCs/>
          <w:lang w:val="fr-CA"/>
        </w:rPr>
        <w:t xml:space="preserve"> aujourd</w:t>
      </w:r>
      <w:r w:rsidR="0080611A">
        <w:rPr>
          <w:bCs/>
          <w:lang w:val="fr-CA"/>
        </w:rPr>
        <w:t>’</w:t>
      </w:r>
      <w:r w:rsidR="004E4479" w:rsidRPr="00B3274C">
        <w:rPr>
          <w:bCs/>
          <w:lang w:val="fr-CA"/>
        </w:rPr>
        <w:t>hui 7</w:t>
      </w:r>
      <w:r w:rsidR="00F41AC6">
        <w:rPr>
          <w:bCs/>
          <w:lang w:val="fr-CA"/>
        </w:rPr>
        <w:t> </w:t>
      </w:r>
      <w:r w:rsidR="004E4479" w:rsidRPr="00B3274C">
        <w:rPr>
          <w:bCs/>
          <w:lang w:val="fr-CA"/>
        </w:rPr>
        <w:t>422</w:t>
      </w:r>
      <w:r w:rsidR="00614BAC">
        <w:rPr>
          <w:bCs/>
          <w:lang w:val="fr-CA"/>
        </w:rPr>
        <w:t> personnes</w:t>
      </w:r>
      <w:r w:rsidR="004E4479" w:rsidRPr="00B3274C">
        <w:rPr>
          <w:bCs/>
          <w:lang w:val="fr-CA"/>
        </w:rPr>
        <w:t xml:space="preserve"> en bénéficient</w:t>
      </w:r>
      <w:r w:rsidR="001017B5" w:rsidRPr="00B3274C">
        <w:rPr>
          <w:bCs/>
          <w:lang w:val="fr-CA"/>
        </w:rPr>
        <w:t xml:space="preserve"> </w:t>
      </w:r>
      <w:r w:rsidR="004E4479" w:rsidRPr="00B3274C">
        <w:rPr>
          <w:bCs/>
          <w:lang w:val="fr-CA"/>
        </w:rPr>
        <w:t>sur l</w:t>
      </w:r>
      <w:r w:rsidR="0080611A">
        <w:rPr>
          <w:bCs/>
          <w:lang w:val="fr-CA"/>
        </w:rPr>
        <w:t>’</w:t>
      </w:r>
      <w:r w:rsidR="004E4479" w:rsidRPr="00B3274C">
        <w:rPr>
          <w:bCs/>
          <w:lang w:val="fr-CA"/>
        </w:rPr>
        <w:t>ensemble du territoire. Le nombre de patients traités a augmenté de 56</w:t>
      </w:r>
      <w:r w:rsidR="0050285B">
        <w:rPr>
          <w:bCs/>
          <w:lang w:val="fr-CA"/>
        </w:rPr>
        <w:t> %</w:t>
      </w:r>
      <w:r w:rsidR="004E4479" w:rsidRPr="00B3274C">
        <w:rPr>
          <w:bCs/>
          <w:lang w:val="fr-CA"/>
        </w:rPr>
        <w:t xml:space="preserve"> depuis mars 2010 (4</w:t>
      </w:r>
      <w:r w:rsidR="00F41AC6">
        <w:rPr>
          <w:bCs/>
          <w:lang w:val="fr-CA"/>
        </w:rPr>
        <w:t> </w:t>
      </w:r>
      <w:r w:rsidR="004E4479" w:rsidRPr="00B3274C">
        <w:rPr>
          <w:bCs/>
          <w:lang w:val="fr-CA"/>
        </w:rPr>
        <w:t>771 patients). En mars 2010</w:t>
      </w:r>
      <w:r w:rsidR="0080611A">
        <w:rPr>
          <w:bCs/>
          <w:lang w:val="fr-CA"/>
        </w:rPr>
        <w:t>,</w:t>
      </w:r>
      <w:r w:rsidR="004E4479" w:rsidRPr="00B3274C">
        <w:rPr>
          <w:bCs/>
          <w:lang w:val="fr-CA"/>
        </w:rPr>
        <w:t xml:space="preserve"> 5</w:t>
      </w:r>
      <w:r w:rsidR="00F41AC6">
        <w:rPr>
          <w:bCs/>
          <w:lang w:val="fr-CA"/>
        </w:rPr>
        <w:t> </w:t>
      </w:r>
      <w:r w:rsidR="004E4479" w:rsidRPr="00B3274C">
        <w:rPr>
          <w:bCs/>
          <w:lang w:val="fr-CA"/>
        </w:rPr>
        <w:t>558</w:t>
      </w:r>
      <w:r w:rsidR="00614BAC">
        <w:rPr>
          <w:bCs/>
          <w:lang w:val="fr-CA"/>
        </w:rPr>
        <w:t> personnes</w:t>
      </w:r>
      <w:r w:rsidR="00466F7A" w:rsidRPr="00B3274C">
        <w:rPr>
          <w:bCs/>
          <w:lang w:val="fr-CA"/>
        </w:rPr>
        <w:t xml:space="preserve"> étaient inscrites </w:t>
      </w:r>
      <w:r w:rsidR="004E4479" w:rsidRPr="00B3274C">
        <w:rPr>
          <w:bCs/>
          <w:lang w:val="fr-CA"/>
        </w:rPr>
        <w:t xml:space="preserve">sur la liste </w:t>
      </w:r>
      <w:r w:rsidR="00614BAC">
        <w:rPr>
          <w:bCs/>
          <w:lang w:val="fr-CA"/>
        </w:rPr>
        <w:t>des personnes</w:t>
      </w:r>
      <w:r w:rsidR="004E4479" w:rsidRPr="00B3274C">
        <w:rPr>
          <w:bCs/>
          <w:lang w:val="fr-CA"/>
        </w:rPr>
        <w:t xml:space="preserve"> en attente d</w:t>
      </w:r>
      <w:r w:rsidR="0080611A">
        <w:rPr>
          <w:bCs/>
          <w:lang w:val="fr-CA"/>
        </w:rPr>
        <w:t>’</w:t>
      </w:r>
      <w:r w:rsidR="004E4479" w:rsidRPr="00B3274C">
        <w:rPr>
          <w:bCs/>
          <w:lang w:val="fr-CA"/>
        </w:rPr>
        <w:t>un traitement de substitution</w:t>
      </w:r>
      <w:r w:rsidR="00EC5892" w:rsidRPr="00B3274C">
        <w:rPr>
          <w:bCs/>
          <w:lang w:val="fr-CA"/>
        </w:rPr>
        <w:t>;</w:t>
      </w:r>
      <w:r w:rsidR="004E4479" w:rsidRPr="00B3274C">
        <w:rPr>
          <w:bCs/>
          <w:lang w:val="fr-CA"/>
        </w:rPr>
        <w:t xml:space="preserve"> </w:t>
      </w:r>
      <w:r w:rsidR="00466F7A" w:rsidRPr="00B3274C">
        <w:rPr>
          <w:bCs/>
          <w:lang w:val="fr-CA"/>
        </w:rPr>
        <w:t xml:space="preserve">elles sont </w:t>
      </w:r>
      <w:r w:rsidR="004E4479" w:rsidRPr="00B3274C">
        <w:rPr>
          <w:bCs/>
          <w:lang w:val="fr-CA"/>
        </w:rPr>
        <w:t>aujourd</w:t>
      </w:r>
      <w:r w:rsidR="0080611A">
        <w:rPr>
          <w:bCs/>
          <w:lang w:val="fr-CA"/>
        </w:rPr>
        <w:t>’</w:t>
      </w:r>
      <w:r w:rsidR="004E4479" w:rsidRPr="00B3274C">
        <w:rPr>
          <w:bCs/>
          <w:lang w:val="fr-CA"/>
        </w:rPr>
        <w:t>hui 3</w:t>
      </w:r>
      <w:r w:rsidR="00ED29AA">
        <w:rPr>
          <w:bCs/>
          <w:lang w:val="fr-CA"/>
        </w:rPr>
        <w:t> </w:t>
      </w:r>
      <w:r w:rsidR="004E4479" w:rsidRPr="00B3274C">
        <w:rPr>
          <w:bCs/>
          <w:lang w:val="fr-CA"/>
        </w:rPr>
        <w:t xml:space="preserve">048. </w:t>
      </w:r>
      <w:r w:rsidR="00466F7A" w:rsidRPr="00B3274C">
        <w:rPr>
          <w:bCs/>
          <w:lang w:val="fr-CA"/>
        </w:rPr>
        <w:t>Il s</w:t>
      </w:r>
      <w:r w:rsidR="0080611A">
        <w:rPr>
          <w:bCs/>
          <w:lang w:val="fr-CA"/>
        </w:rPr>
        <w:t>’</w:t>
      </w:r>
      <w:r w:rsidR="00466F7A" w:rsidRPr="00B3274C">
        <w:rPr>
          <w:bCs/>
          <w:lang w:val="fr-CA"/>
        </w:rPr>
        <w:t xml:space="preserve">agit principalement </w:t>
      </w:r>
      <w:r w:rsidR="00614BAC">
        <w:rPr>
          <w:bCs/>
          <w:lang w:val="fr-CA"/>
        </w:rPr>
        <w:t>de personnes</w:t>
      </w:r>
      <w:r w:rsidR="00466F7A" w:rsidRPr="00B3274C">
        <w:rPr>
          <w:bCs/>
          <w:lang w:val="fr-CA"/>
        </w:rPr>
        <w:t xml:space="preserve"> se trouvant dans l</w:t>
      </w:r>
      <w:r w:rsidR="0080611A">
        <w:rPr>
          <w:bCs/>
          <w:lang w:val="fr-CA"/>
        </w:rPr>
        <w:t>’</w:t>
      </w:r>
      <w:r w:rsidR="00466F7A" w:rsidRPr="00B3274C">
        <w:rPr>
          <w:bCs/>
          <w:lang w:val="fr-CA"/>
        </w:rPr>
        <w:t>Attique (2</w:t>
      </w:r>
      <w:r w:rsidR="00143356">
        <w:rPr>
          <w:bCs/>
          <w:lang w:val="fr-CA"/>
        </w:rPr>
        <w:t> </w:t>
      </w:r>
      <w:r w:rsidR="00466F7A" w:rsidRPr="00B3274C">
        <w:rPr>
          <w:bCs/>
          <w:lang w:val="fr-CA"/>
        </w:rPr>
        <w:t>761</w:t>
      </w:r>
      <w:r w:rsidR="00614BAC">
        <w:rPr>
          <w:bCs/>
          <w:lang w:val="fr-CA"/>
        </w:rPr>
        <w:t> personnes</w:t>
      </w:r>
      <w:r w:rsidR="00466F7A" w:rsidRPr="00B3274C">
        <w:rPr>
          <w:bCs/>
          <w:lang w:val="fr-CA"/>
        </w:rPr>
        <w:t>)</w:t>
      </w:r>
      <w:r w:rsidR="0080611A">
        <w:rPr>
          <w:bCs/>
          <w:lang w:val="fr-CA"/>
        </w:rPr>
        <w:t>,</w:t>
      </w:r>
      <w:r w:rsidR="00466F7A" w:rsidRPr="00B3274C">
        <w:rPr>
          <w:bCs/>
          <w:lang w:val="fr-CA"/>
        </w:rPr>
        <w:t xml:space="preserve"> où huit unités supplémentaires sont également prévues conformément au décret susmentionné. Le réseau des traitements de substitution d</w:t>
      </w:r>
      <w:r w:rsidR="0080611A">
        <w:rPr>
          <w:bCs/>
          <w:lang w:val="fr-CA"/>
        </w:rPr>
        <w:t>’</w:t>
      </w:r>
      <w:r w:rsidR="00FB23D3" w:rsidRPr="00B3274C">
        <w:rPr>
          <w:bCs/>
          <w:lang w:val="fr-CA"/>
        </w:rPr>
        <w:t>OKANA</w:t>
      </w:r>
      <w:r w:rsidR="00466F7A" w:rsidRPr="00B3274C">
        <w:rPr>
          <w:bCs/>
          <w:lang w:val="fr-CA"/>
        </w:rPr>
        <w:t xml:space="preserve"> a été étendu avec les ressources humaines existantes</w:t>
      </w:r>
      <w:r w:rsidR="0080611A">
        <w:rPr>
          <w:bCs/>
          <w:lang w:val="fr-CA"/>
        </w:rPr>
        <w:t>,</w:t>
      </w:r>
      <w:r w:rsidR="00466F7A" w:rsidRPr="00B3274C">
        <w:rPr>
          <w:bCs/>
          <w:lang w:val="fr-CA"/>
        </w:rPr>
        <w:t xml:space="preserve"> le budget de l</w:t>
      </w:r>
      <w:r w:rsidR="0080611A">
        <w:rPr>
          <w:bCs/>
          <w:lang w:val="fr-CA"/>
        </w:rPr>
        <w:t>’</w:t>
      </w:r>
      <w:r w:rsidR="00466F7A" w:rsidRPr="00B3274C">
        <w:rPr>
          <w:bCs/>
          <w:lang w:val="fr-CA"/>
        </w:rPr>
        <w:t xml:space="preserve">État pour </w:t>
      </w:r>
      <w:r w:rsidR="00FB23D3" w:rsidRPr="00B3274C">
        <w:rPr>
          <w:bCs/>
          <w:lang w:val="fr-CA"/>
        </w:rPr>
        <w:t xml:space="preserve">OKANA </w:t>
      </w:r>
      <w:r w:rsidR="00466F7A" w:rsidRPr="00B3274C">
        <w:rPr>
          <w:bCs/>
          <w:lang w:val="fr-CA"/>
        </w:rPr>
        <w:t>ayant été sensiblement réduit au cours des deux dernières années. En outre</w:t>
      </w:r>
      <w:r w:rsidR="0080611A">
        <w:rPr>
          <w:bCs/>
          <w:lang w:val="fr-CA"/>
        </w:rPr>
        <w:t>,</w:t>
      </w:r>
      <w:r w:rsidR="00466F7A" w:rsidRPr="00B3274C">
        <w:rPr>
          <w:bCs/>
          <w:lang w:val="fr-CA"/>
        </w:rPr>
        <w:t xml:space="preserve"> </w:t>
      </w:r>
      <w:r w:rsidR="00FB23D3" w:rsidRPr="00B3274C">
        <w:rPr>
          <w:bCs/>
          <w:lang w:val="fr-CA"/>
        </w:rPr>
        <w:t>OKANA</w:t>
      </w:r>
      <w:r w:rsidR="0080611A">
        <w:rPr>
          <w:bCs/>
          <w:lang w:val="fr-CA"/>
        </w:rPr>
        <w:t>,</w:t>
      </w:r>
      <w:r w:rsidR="00466F7A" w:rsidRPr="00B3274C">
        <w:rPr>
          <w:bCs/>
          <w:lang w:val="fr-CA"/>
        </w:rPr>
        <w:t xml:space="preserve"> en coopération avec les autorités locales</w:t>
      </w:r>
      <w:r w:rsidR="0080611A">
        <w:rPr>
          <w:bCs/>
          <w:lang w:val="fr-CA"/>
        </w:rPr>
        <w:t>,</w:t>
      </w:r>
      <w:r w:rsidR="00466F7A" w:rsidRPr="00B3274C">
        <w:rPr>
          <w:bCs/>
          <w:lang w:val="fr-CA"/>
        </w:rPr>
        <w:t xml:space="preserve"> gère et supervise sur le plan scientifique le réseau des centres de prévention (71 centres de prévention) dans l</w:t>
      </w:r>
      <w:r w:rsidR="0080611A">
        <w:rPr>
          <w:bCs/>
          <w:lang w:val="fr-CA"/>
        </w:rPr>
        <w:t>’</w:t>
      </w:r>
      <w:r w:rsidR="00466F7A" w:rsidRPr="00B3274C">
        <w:rPr>
          <w:bCs/>
          <w:lang w:val="fr-CA"/>
        </w:rPr>
        <w:t xml:space="preserve">ensemble de la Grèce. </w:t>
      </w:r>
    </w:p>
    <w:p w:rsidR="00FB23D3" w:rsidRPr="00B3274C" w:rsidRDefault="003350F2" w:rsidP="00F44342">
      <w:pPr>
        <w:pStyle w:val="H23G"/>
        <w:rPr>
          <w:lang w:val="fr-CA"/>
        </w:rPr>
      </w:pPr>
      <w:r w:rsidRPr="00B3274C">
        <w:rPr>
          <w:lang w:val="fr-CA"/>
        </w:rPr>
        <w:tab/>
      </w:r>
      <w:r w:rsidR="00F44342" w:rsidRPr="00B3274C">
        <w:rPr>
          <w:lang w:val="fr-CA"/>
        </w:rPr>
        <w:t>7.</w:t>
      </w:r>
      <w:r w:rsidRPr="00B3274C">
        <w:rPr>
          <w:lang w:val="fr-CA"/>
        </w:rPr>
        <w:tab/>
      </w:r>
      <w:r w:rsidR="00466F7A" w:rsidRPr="00B3274C">
        <w:rPr>
          <w:lang w:val="fr-CA"/>
        </w:rPr>
        <w:t>Soins de santé</w:t>
      </w:r>
    </w:p>
    <w:p w:rsidR="00FB23D3" w:rsidRPr="00B3274C" w:rsidRDefault="00107A47" w:rsidP="00107A47">
      <w:pPr>
        <w:pStyle w:val="SingleTxtG"/>
        <w:rPr>
          <w:bCs/>
          <w:lang w:val="fr-CA"/>
        </w:rPr>
      </w:pPr>
      <w:r w:rsidRPr="00B3274C">
        <w:rPr>
          <w:bCs/>
          <w:lang w:val="fr-CA"/>
        </w:rPr>
        <w:t>283.</w:t>
      </w:r>
      <w:r w:rsidRPr="00B3274C">
        <w:rPr>
          <w:bCs/>
          <w:lang w:val="fr-CA"/>
        </w:rPr>
        <w:tab/>
      </w:r>
      <w:r w:rsidR="00FB23D3" w:rsidRPr="00B3274C">
        <w:rPr>
          <w:bCs/>
          <w:lang w:val="fr-CA"/>
        </w:rPr>
        <w:t>L</w:t>
      </w:r>
      <w:r w:rsidR="006D0D26" w:rsidRPr="00B3274C">
        <w:rPr>
          <w:bCs/>
          <w:lang w:val="fr-CA"/>
        </w:rPr>
        <w:t xml:space="preserve">es lois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bCs/>
          <w:lang w:val="fr-CA"/>
        </w:rPr>
        <w:t xml:space="preserve">3863/2010 </w:t>
      </w:r>
      <w:r w:rsidR="006D0D26" w:rsidRPr="00B3274C">
        <w:rPr>
          <w:bCs/>
          <w:lang w:val="fr-CA"/>
        </w:rPr>
        <w:t>et</w:t>
      </w:r>
      <w:r w:rsidR="00FB23D3" w:rsidRPr="00B3274C">
        <w:rPr>
          <w:bCs/>
          <w:lang w:val="fr-CA"/>
        </w:rPr>
        <w:t xml:space="preserve">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bCs/>
          <w:lang w:val="fr-CA"/>
        </w:rPr>
        <w:t xml:space="preserve">3918/2011 </w:t>
      </w:r>
      <w:r w:rsidR="00ED22FE" w:rsidRPr="00B3274C">
        <w:rPr>
          <w:bCs/>
          <w:lang w:val="fr-CA"/>
        </w:rPr>
        <w:t>portent sur la consolidation</w:t>
      </w:r>
      <w:r w:rsidR="0080611A">
        <w:rPr>
          <w:bCs/>
          <w:lang w:val="fr-CA"/>
        </w:rPr>
        <w:t>,</w:t>
      </w:r>
      <w:r w:rsidR="00ED22FE" w:rsidRPr="00B3274C">
        <w:rPr>
          <w:bCs/>
          <w:lang w:val="fr-CA"/>
        </w:rPr>
        <w:t xml:space="preserve"> l</w:t>
      </w:r>
      <w:r w:rsidR="0080611A">
        <w:rPr>
          <w:bCs/>
          <w:lang w:val="fr-CA"/>
        </w:rPr>
        <w:t>’</w:t>
      </w:r>
      <w:r w:rsidR="00ED22FE" w:rsidRPr="00B3274C">
        <w:rPr>
          <w:bCs/>
          <w:lang w:val="fr-CA"/>
        </w:rPr>
        <w:t>organisation et l</w:t>
      </w:r>
      <w:r w:rsidR="0080611A">
        <w:rPr>
          <w:bCs/>
          <w:lang w:val="fr-CA"/>
        </w:rPr>
        <w:t>’</w:t>
      </w:r>
      <w:r w:rsidR="00ED22FE" w:rsidRPr="00B3274C">
        <w:rPr>
          <w:bCs/>
          <w:lang w:val="fr-CA"/>
        </w:rPr>
        <w:t>intégration fonctionnelle du système de fourniture de services de soins de santé primaires. Un Comité de coordination interministérielle a notamment été créé afin de mettre en place un cadre institutionnel pour le système unifié de</w:t>
      </w:r>
      <w:r w:rsidR="009C1DD5" w:rsidRPr="00B3274C">
        <w:rPr>
          <w:bCs/>
          <w:lang w:val="fr-CA"/>
        </w:rPr>
        <w:t>s</w:t>
      </w:r>
      <w:r w:rsidR="00ED22FE" w:rsidRPr="00B3274C">
        <w:rPr>
          <w:bCs/>
          <w:lang w:val="fr-CA"/>
        </w:rPr>
        <w:t xml:space="preserve"> soins de santé</w:t>
      </w:r>
      <w:r w:rsidR="0080611A">
        <w:rPr>
          <w:bCs/>
          <w:lang w:val="fr-CA"/>
        </w:rPr>
        <w:t>,</w:t>
      </w:r>
      <w:r w:rsidR="00ED22FE" w:rsidRPr="00B3274C">
        <w:rPr>
          <w:bCs/>
          <w:lang w:val="fr-CA"/>
        </w:rPr>
        <w:t xml:space="preserve"> qui </w:t>
      </w:r>
      <w:r w:rsidR="00D75FFD" w:rsidRPr="00B3274C">
        <w:rPr>
          <w:bCs/>
          <w:lang w:val="fr-CA"/>
        </w:rPr>
        <w:t>englobera</w:t>
      </w:r>
      <w:r w:rsidR="00ED22FE" w:rsidRPr="00B3274C">
        <w:rPr>
          <w:bCs/>
          <w:lang w:val="fr-CA"/>
        </w:rPr>
        <w:t xml:space="preserve"> toutes les unités sanitaires du système national de santé ainsi que les unités qui fonctionnent au sein des organismes de sécurité sociale. </w:t>
      </w:r>
    </w:p>
    <w:p w:rsidR="00FB23D3" w:rsidRPr="00B3274C" w:rsidRDefault="00107A47" w:rsidP="00107A47">
      <w:pPr>
        <w:pStyle w:val="SingleTxtG"/>
        <w:rPr>
          <w:bCs/>
          <w:lang w:val="fr-CA"/>
        </w:rPr>
      </w:pPr>
      <w:r w:rsidRPr="00B3274C">
        <w:rPr>
          <w:bCs/>
          <w:lang w:val="fr-CA"/>
        </w:rPr>
        <w:t>284.</w:t>
      </w:r>
      <w:r w:rsidRPr="00B3274C">
        <w:rPr>
          <w:bCs/>
          <w:lang w:val="fr-CA"/>
        </w:rPr>
        <w:tab/>
      </w:r>
      <w:r w:rsidR="00BD7D67" w:rsidRPr="00B3274C">
        <w:rPr>
          <w:bCs/>
          <w:lang w:val="fr-CA"/>
        </w:rPr>
        <w:t>La création de l</w:t>
      </w:r>
      <w:r w:rsidR="0080611A">
        <w:rPr>
          <w:bCs/>
          <w:lang w:val="fr-CA"/>
        </w:rPr>
        <w:t>’</w:t>
      </w:r>
      <w:r w:rsidR="00BD7D67" w:rsidRPr="00B3274C">
        <w:rPr>
          <w:bCs/>
          <w:lang w:val="fr-CA"/>
        </w:rPr>
        <w:t xml:space="preserve"> EOPYY (Organisation nationale de fourniture de services de santé) a également été décidée et lancée</w:t>
      </w:r>
      <w:r w:rsidR="00EC5892" w:rsidRPr="00B3274C">
        <w:rPr>
          <w:bCs/>
          <w:lang w:val="fr-CA"/>
        </w:rPr>
        <w:t>;</w:t>
      </w:r>
      <w:r w:rsidR="00BD7D67" w:rsidRPr="00B3274C">
        <w:rPr>
          <w:bCs/>
          <w:lang w:val="fr-CA"/>
        </w:rPr>
        <w:t xml:space="preserve"> </w:t>
      </w:r>
      <w:r w:rsidR="0088774F" w:rsidRPr="00B3274C">
        <w:rPr>
          <w:bCs/>
          <w:lang w:val="fr-CA"/>
        </w:rPr>
        <w:t>ses objectifs sont</w:t>
      </w:r>
      <w:r w:rsidR="0080611A">
        <w:rPr>
          <w:bCs/>
          <w:lang w:val="fr-CA"/>
        </w:rPr>
        <w:t>,</w:t>
      </w:r>
      <w:r w:rsidR="0088774F" w:rsidRPr="00B3274C">
        <w:rPr>
          <w:bCs/>
          <w:lang w:val="fr-CA"/>
        </w:rPr>
        <w:t xml:space="preserve"> entre autres</w:t>
      </w:r>
      <w:r w:rsidR="0080611A">
        <w:rPr>
          <w:bCs/>
          <w:lang w:val="fr-CA"/>
        </w:rPr>
        <w:t>,</w:t>
      </w:r>
      <w:r w:rsidR="0088774F" w:rsidRPr="00B3274C">
        <w:rPr>
          <w:bCs/>
          <w:lang w:val="fr-CA"/>
        </w:rPr>
        <w:t xml:space="preserve"> les suivants: la coordination opérationnelle des organismes qui constituent le réseau des soins de santé primaires</w:t>
      </w:r>
      <w:r w:rsidR="0080611A">
        <w:rPr>
          <w:bCs/>
          <w:lang w:val="fr-CA"/>
        </w:rPr>
        <w:t>,</w:t>
      </w:r>
      <w:r w:rsidR="0088774F" w:rsidRPr="00B3274C">
        <w:rPr>
          <w:bCs/>
          <w:lang w:val="fr-CA"/>
        </w:rPr>
        <w:t xml:space="preserve"> l</w:t>
      </w:r>
      <w:r w:rsidR="0080611A">
        <w:rPr>
          <w:bCs/>
          <w:lang w:val="fr-CA"/>
        </w:rPr>
        <w:t>’</w:t>
      </w:r>
      <w:r w:rsidR="0088774F" w:rsidRPr="00B3274C">
        <w:rPr>
          <w:bCs/>
          <w:lang w:val="fr-CA"/>
        </w:rPr>
        <w:t>adoption de normes de qualité et d</w:t>
      </w:r>
      <w:r w:rsidR="0080611A">
        <w:rPr>
          <w:bCs/>
          <w:lang w:val="fr-CA"/>
        </w:rPr>
        <w:t>’</w:t>
      </w:r>
      <w:r w:rsidR="0088774F" w:rsidRPr="00B3274C">
        <w:rPr>
          <w:bCs/>
          <w:lang w:val="fr-CA"/>
        </w:rPr>
        <w:t>efficacité en matière de fourniture des services de santé</w:t>
      </w:r>
      <w:r w:rsidR="0080611A">
        <w:rPr>
          <w:bCs/>
          <w:lang w:val="fr-CA"/>
        </w:rPr>
        <w:t>,</w:t>
      </w:r>
      <w:r w:rsidR="0088774F" w:rsidRPr="00B3274C">
        <w:rPr>
          <w:bCs/>
          <w:lang w:val="fr-CA"/>
        </w:rPr>
        <w:t xml:space="preserve"> la gestion et le contrôle du financement</w:t>
      </w:r>
      <w:r w:rsidR="0080611A">
        <w:rPr>
          <w:bCs/>
          <w:lang w:val="fr-CA"/>
        </w:rPr>
        <w:t>,</w:t>
      </w:r>
      <w:r w:rsidR="0088774F" w:rsidRPr="00B3274C">
        <w:rPr>
          <w:bCs/>
          <w:lang w:val="fr-CA"/>
        </w:rPr>
        <w:t xml:space="preserve"> l</w:t>
      </w:r>
      <w:r w:rsidR="0080611A">
        <w:rPr>
          <w:bCs/>
          <w:lang w:val="fr-CA"/>
        </w:rPr>
        <w:t>’</w:t>
      </w:r>
      <w:r w:rsidR="0088774F" w:rsidRPr="00B3274C">
        <w:rPr>
          <w:bCs/>
          <w:lang w:val="fr-CA"/>
        </w:rPr>
        <w:t>établissement de critères et de conditions eu égard à la conclusion de contrats avec le secteur public et le secteur privé</w:t>
      </w:r>
      <w:r w:rsidR="0080611A">
        <w:rPr>
          <w:bCs/>
          <w:lang w:val="fr-CA"/>
        </w:rPr>
        <w:t>,</w:t>
      </w:r>
      <w:r w:rsidR="0088774F" w:rsidRPr="00B3274C">
        <w:rPr>
          <w:bCs/>
          <w:lang w:val="fr-CA"/>
        </w:rPr>
        <w:t xml:space="preserve"> ainsi que les médecins</w:t>
      </w:r>
      <w:r w:rsidR="0080611A">
        <w:rPr>
          <w:bCs/>
          <w:lang w:val="fr-CA"/>
        </w:rPr>
        <w:t>,</w:t>
      </w:r>
      <w:r w:rsidR="0088774F" w:rsidRPr="00B3274C">
        <w:rPr>
          <w:bCs/>
          <w:lang w:val="fr-CA"/>
        </w:rPr>
        <w:t xml:space="preserve"> etc. L</w:t>
      </w:r>
      <w:r w:rsidR="0080611A">
        <w:rPr>
          <w:bCs/>
          <w:lang w:val="fr-CA"/>
        </w:rPr>
        <w:t>’</w:t>
      </w:r>
      <w:r w:rsidR="0088774F" w:rsidRPr="00B3274C">
        <w:rPr>
          <w:bCs/>
          <w:lang w:val="fr-CA"/>
        </w:rPr>
        <w:t>organisation a commencé à fonctionner le 1</w:t>
      </w:r>
      <w:r w:rsidR="0088774F" w:rsidRPr="00B3274C">
        <w:rPr>
          <w:bCs/>
          <w:vertAlign w:val="superscript"/>
          <w:lang w:val="fr-CA"/>
        </w:rPr>
        <w:t>er</w:t>
      </w:r>
      <w:r w:rsidR="0088774F" w:rsidRPr="00B3274C">
        <w:rPr>
          <w:bCs/>
          <w:lang w:val="fr-CA"/>
        </w:rPr>
        <w:t xml:space="preserve"> janvier 2012. </w:t>
      </w:r>
    </w:p>
    <w:p w:rsidR="00FB23D3" w:rsidRPr="00B3274C" w:rsidRDefault="003350F2" w:rsidP="00DB7D04">
      <w:pPr>
        <w:pStyle w:val="H23G"/>
        <w:rPr>
          <w:lang w:val="fr-CA"/>
        </w:rPr>
      </w:pPr>
      <w:r w:rsidRPr="00B3274C">
        <w:rPr>
          <w:lang w:val="fr-CA"/>
        </w:rPr>
        <w:tab/>
      </w:r>
      <w:r w:rsidR="00DB7D04" w:rsidRPr="00B3274C">
        <w:rPr>
          <w:lang w:val="fr-CA"/>
        </w:rPr>
        <w:t>8.</w:t>
      </w:r>
      <w:r w:rsidRPr="00B3274C">
        <w:rPr>
          <w:lang w:val="fr-CA"/>
        </w:rPr>
        <w:tab/>
      </w:r>
      <w:r w:rsidR="00712D05" w:rsidRPr="00B3274C">
        <w:rPr>
          <w:lang w:val="fr-CA"/>
        </w:rPr>
        <w:t xml:space="preserve">Accès aux services sanitaires </w:t>
      </w:r>
    </w:p>
    <w:p w:rsidR="00FB23D3" w:rsidRPr="00B3274C" w:rsidRDefault="00107A47" w:rsidP="00107A47">
      <w:pPr>
        <w:pStyle w:val="SingleTxtG"/>
        <w:rPr>
          <w:bCs/>
          <w:lang w:val="fr-CA"/>
        </w:rPr>
      </w:pPr>
      <w:r w:rsidRPr="00B3274C">
        <w:rPr>
          <w:bCs/>
          <w:lang w:val="fr-CA"/>
        </w:rPr>
        <w:t>285.</w:t>
      </w:r>
      <w:r w:rsidRPr="00B3274C">
        <w:rPr>
          <w:bCs/>
          <w:lang w:val="fr-CA"/>
        </w:rPr>
        <w:tab/>
      </w:r>
      <w:r w:rsidR="00D9336C" w:rsidRPr="00B3274C">
        <w:rPr>
          <w:bCs/>
          <w:lang w:val="fr-CA"/>
        </w:rPr>
        <w:t>Pour donner suite aux obligations qui lui incombent en vertu des instruments internationaux en vigueur concernant l</w:t>
      </w:r>
      <w:r w:rsidR="0080611A">
        <w:rPr>
          <w:bCs/>
          <w:lang w:val="fr-CA"/>
        </w:rPr>
        <w:t>’</w:t>
      </w:r>
      <w:r w:rsidR="00D9336C" w:rsidRPr="00B3274C">
        <w:rPr>
          <w:bCs/>
          <w:lang w:val="fr-CA"/>
        </w:rPr>
        <w:t>accès des citoyens</w:t>
      </w:r>
      <w:r w:rsidR="0080611A">
        <w:rPr>
          <w:bCs/>
          <w:lang w:val="fr-CA"/>
        </w:rPr>
        <w:t>,</w:t>
      </w:r>
      <w:r w:rsidR="00D9336C" w:rsidRPr="00B3274C">
        <w:rPr>
          <w:bCs/>
          <w:lang w:val="fr-CA"/>
        </w:rPr>
        <w:t xml:space="preserve"> principalement </w:t>
      </w:r>
      <w:r w:rsidR="00614BAC">
        <w:rPr>
          <w:bCs/>
          <w:lang w:val="fr-CA"/>
        </w:rPr>
        <w:t>les personnes</w:t>
      </w:r>
      <w:r w:rsidR="00D9336C" w:rsidRPr="00B3274C">
        <w:rPr>
          <w:bCs/>
          <w:lang w:val="fr-CA"/>
        </w:rPr>
        <w:t xml:space="preserve"> (grecques ou étrangères) appartenant à des groupes vulnérables</w:t>
      </w:r>
      <w:r w:rsidR="0080611A">
        <w:rPr>
          <w:bCs/>
          <w:lang w:val="fr-CA"/>
        </w:rPr>
        <w:t>,</w:t>
      </w:r>
      <w:r w:rsidR="00D9336C" w:rsidRPr="00B3274C">
        <w:rPr>
          <w:bCs/>
          <w:lang w:val="fr-CA"/>
        </w:rPr>
        <w:t xml:space="preserve"> aux services de santé</w:t>
      </w:r>
      <w:r w:rsidR="0080611A">
        <w:rPr>
          <w:bCs/>
          <w:lang w:val="fr-CA"/>
        </w:rPr>
        <w:t>,</w:t>
      </w:r>
      <w:r w:rsidR="00D9336C" w:rsidRPr="00B3274C">
        <w:rPr>
          <w:bCs/>
          <w:lang w:val="fr-CA"/>
        </w:rPr>
        <w:t xml:space="preserve"> la Grèce a adopté un certain nombre de dispositions pertinentes</w:t>
      </w:r>
      <w:r w:rsidR="0080611A">
        <w:rPr>
          <w:bCs/>
          <w:lang w:val="fr-CA"/>
        </w:rPr>
        <w:t>,</w:t>
      </w:r>
      <w:r w:rsidR="00D9336C" w:rsidRPr="00B3274C">
        <w:rPr>
          <w:bCs/>
          <w:lang w:val="fr-CA"/>
        </w:rPr>
        <w:t xml:space="preserve"> notamment </w:t>
      </w:r>
      <w:r w:rsidR="00340302" w:rsidRPr="00B3274C">
        <w:rPr>
          <w:bCs/>
          <w:lang w:val="fr-CA"/>
        </w:rPr>
        <w:t>celles qui suivent</w:t>
      </w:r>
      <w:r w:rsidR="00D9336C" w:rsidRPr="00B3274C">
        <w:rPr>
          <w:bCs/>
          <w:lang w:val="fr-CA"/>
        </w:rPr>
        <w:t xml:space="preserv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D9336C" w:rsidRPr="00B3274C">
        <w:rPr>
          <w:lang w:val="fr-CA"/>
        </w:rPr>
        <w:t xml:space="preserve">La loi </w:t>
      </w:r>
      <w:r w:rsidR="00D65EDD" w:rsidRPr="00B3274C">
        <w:rPr>
          <w:lang w:val="fr-CA"/>
        </w:rPr>
        <w:t>n</w:t>
      </w:r>
      <w:r w:rsidR="00D65EDD" w:rsidRPr="00B3274C">
        <w:rPr>
          <w:vertAlign w:val="superscript"/>
          <w:lang w:val="fr-CA"/>
        </w:rPr>
        <w:t>o</w:t>
      </w:r>
      <w:r w:rsidR="00D65EDD" w:rsidRPr="00B3274C">
        <w:rPr>
          <w:lang w:val="fr-CA"/>
        </w:rPr>
        <w:t> </w:t>
      </w:r>
      <w:r w:rsidR="00D9336C" w:rsidRPr="00B3274C">
        <w:rPr>
          <w:lang w:val="fr-CA"/>
        </w:rPr>
        <w:t>2955/2001</w:t>
      </w:r>
      <w:r w:rsidR="0080611A">
        <w:rPr>
          <w:lang w:val="fr-CA"/>
        </w:rPr>
        <w:t>,</w:t>
      </w:r>
      <w:r w:rsidR="00D9336C" w:rsidRPr="00B3274C">
        <w:rPr>
          <w:lang w:val="fr-CA"/>
        </w:rPr>
        <w:t xml:space="preserve"> </w:t>
      </w:r>
      <w:r w:rsidR="00597DC4">
        <w:rPr>
          <w:lang w:val="fr-CA"/>
        </w:rPr>
        <w:t>article </w:t>
      </w:r>
      <w:r w:rsidR="00D9336C" w:rsidRPr="00B3274C">
        <w:rPr>
          <w:lang w:val="fr-CA"/>
        </w:rPr>
        <w:t xml:space="preserve">11 </w:t>
      </w:r>
      <w:r w:rsidR="00FB23D3" w:rsidRPr="00B3274C">
        <w:rPr>
          <w:lang w:val="fr-CA"/>
        </w:rPr>
        <w:t xml:space="preserve">e): </w:t>
      </w:r>
      <w:r w:rsidR="00DE3480" w:rsidRPr="00B3274C">
        <w:rPr>
          <w:lang w:val="fr-CA"/>
        </w:rPr>
        <w:t>hospitalisation et soins médicaux gratuits</w:t>
      </w:r>
      <w:r w:rsidR="00CF6D70" w:rsidRPr="00B3274C">
        <w:rPr>
          <w:lang w:val="fr-CA"/>
        </w:rPr>
        <w:t xml:space="preserve"> pour les ressortissants étrangers – avec ou sans papiers – atteints de maladies infectieuses</w:t>
      </w:r>
      <w:r w:rsidR="00EC5892" w:rsidRPr="00B3274C">
        <w:rPr>
          <w:lang w:val="fr-CA"/>
        </w:rPr>
        <w:t>;</w:t>
      </w:r>
      <w:r w:rsidR="00DE3480" w:rsidRPr="00B3274C">
        <w:rPr>
          <w:lang w:val="fr-CA"/>
        </w:rPr>
        <w:t xml:space="preserve"> </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CF6D70" w:rsidRPr="00B3274C">
        <w:rPr>
          <w:lang w:val="fr-CA"/>
        </w:rPr>
        <w:t xml:space="preserve">Le décret présidentiel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lang w:val="fr-CA"/>
        </w:rPr>
        <w:t>220/2007</w:t>
      </w:r>
      <w:r w:rsidR="0080611A">
        <w:rPr>
          <w:lang w:val="fr-CA"/>
        </w:rPr>
        <w:t>,</w:t>
      </w:r>
      <w:r w:rsidR="00FB23D3" w:rsidRPr="00B3274C">
        <w:rPr>
          <w:lang w:val="fr-CA"/>
        </w:rPr>
        <w:t xml:space="preserve"> </w:t>
      </w:r>
      <w:r w:rsidR="00143356">
        <w:rPr>
          <w:lang w:val="fr-CA"/>
        </w:rPr>
        <w:t>articles </w:t>
      </w:r>
      <w:r w:rsidR="00FB23D3" w:rsidRPr="00B3274C">
        <w:rPr>
          <w:lang w:val="fr-CA"/>
        </w:rPr>
        <w:t>8</w:t>
      </w:r>
      <w:r w:rsidR="0080611A">
        <w:rPr>
          <w:lang w:val="fr-CA"/>
        </w:rPr>
        <w:t>,</w:t>
      </w:r>
      <w:r w:rsidR="00FB23D3" w:rsidRPr="00B3274C">
        <w:rPr>
          <w:lang w:val="fr-CA"/>
        </w:rPr>
        <w:t xml:space="preserve"> 12</w:t>
      </w:r>
      <w:r w:rsidR="00CF6D70" w:rsidRPr="00B3274C">
        <w:rPr>
          <w:lang w:val="fr-CA"/>
        </w:rPr>
        <w:t xml:space="preserve"> et </w:t>
      </w:r>
      <w:r w:rsidR="00FB23D3" w:rsidRPr="00B3274C">
        <w:rPr>
          <w:lang w:val="fr-CA"/>
        </w:rPr>
        <w:t xml:space="preserve">14: </w:t>
      </w:r>
      <w:r w:rsidR="00CF6D70" w:rsidRPr="00B3274C">
        <w:rPr>
          <w:lang w:val="fr-CA"/>
        </w:rPr>
        <w:t>hospitalisation et soins médicaux gratuits pour les demandeurs d</w:t>
      </w:r>
      <w:r w:rsidR="0080611A">
        <w:rPr>
          <w:lang w:val="fr-CA"/>
        </w:rPr>
        <w:t>’</w:t>
      </w:r>
      <w:r w:rsidR="00CF6D70" w:rsidRPr="00B3274C">
        <w:rPr>
          <w:lang w:val="fr-CA"/>
        </w:rPr>
        <w:t>asile et les réfugiés</w:t>
      </w:r>
      <w:r w:rsidR="00114C6B" w:rsidRPr="00B3274C">
        <w:rPr>
          <w:lang w:val="fr-CA"/>
        </w:rPr>
        <w:t xml:space="preserve"> dans une situation financière précaire</w:t>
      </w:r>
      <w:r w:rsidR="00EC5892" w:rsidRPr="00B3274C">
        <w:rPr>
          <w:lang w:val="fr-CA"/>
        </w:rPr>
        <w:t>;</w:t>
      </w:r>
    </w:p>
    <w:p w:rsidR="00FB23D3" w:rsidRPr="00B3274C" w:rsidRDefault="00107A47" w:rsidP="00107A47">
      <w:pPr>
        <w:pStyle w:val="Bullet1G"/>
        <w:numPr>
          <w:ilvl w:val="0"/>
          <w:numId w:val="0"/>
        </w:numPr>
        <w:tabs>
          <w:tab w:val="left" w:pos="1701"/>
        </w:tabs>
        <w:ind w:left="1701" w:hanging="170"/>
        <w:rPr>
          <w:lang w:val="fr-CA"/>
        </w:rPr>
      </w:pPr>
      <w:r w:rsidRPr="00B3274C">
        <w:rPr>
          <w:lang w:val="fr-CA"/>
        </w:rPr>
        <w:t>•</w:t>
      </w:r>
      <w:r w:rsidRPr="00B3274C">
        <w:rPr>
          <w:lang w:val="fr-CA"/>
        </w:rPr>
        <w:tab/>
      </w:r>
      <w:r w:rsidR="00114C6B" w:rsidRPr="00B3274C">
        <w:rPr>
          <w:lang w:val="fr-CA"/>
        </w:rPr>
        <w:t xml:space="preserve">La décision ministérielle conjointe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lang w:val="fr-CA"/>
        </w:rPr>
        <w:t>139491/2006</w:t>
      </w:r>
      <w:r w:rsidR="0080611A">
        <w:rPr>
          <w:lang w:val="fr-CA"/>
        </w:rPr>
        <w:t>,</w:t>
      </w:r>
      <w:r w:rsidR="00FB23D3" w:rsidRPr="00B3274C">
        <w:rPr>
          <w:lang w:val="fr-CA"/>
        </w:rPr>
        <w:t xml:space="preserve"> </w:t>
      </w:r>
      <w:r w:rsidR="00114C6B" w:rsidRPr="00B3274C">
        <w:rPr>
          <w:lang w:val="fr-CA"/>
        </w:rPr>
        <w:t xml:space="preserve">énonçant les conditions à remplir par les citoyens </w:t>
      </w:r>
      <w:r w:rsidR="007C6D87" w:rsidRPr="00B3274C">
        <w:rPr>
          <w:lang w:val="fr-CA"/>
        </w:rPr>
        <w:t>g</w:t>
      </w:r>
      <w:r w:rsidR="00114C6B" w:rsidRPr="00B3274C">
        <w:rPr>
          <w:lang w:val="fr-CA"/>
        </w:rPr>
        <w:t>recs et étrangers pour bénéficier de l</w:t>
      </w:r>
      <w:r w:rsidR="0080611A">
        <w:rPr>
          <w:lang w:val="fr-CA"/>
        </w:rPr>
        <w:t>’</w:t>
      </w:r>
      <w:r w:rsidR="00114C6B" w:rsidRPr="00B3274C">
        <w:rPr>
          <w:lang w:val="fr-CA"/>
        </w:rPr>
        <w:t>hospitalisation et des soins médicaux gratuits</w:t>
      </w:r>
      <w:r w:rsidR="00FB23D3" w:rsidRPr="00B3274C">
        <w:rPr>
          <w:lang w:val="fr-CA"/>
        </w:rPr>
        <w:t>.</w:t>
      </w:r>
      <w:r w:rsidR="00114C6B" w:rsidRPr="00B3274C">
        <w:rPr>
          <w:lang w:val="fr-CA"/>
        </w:rPr>
        <w:t xml:space="preserve"> </w:t>
      </w:r>
      <w:r w:rsidR="00E45073" w:rsidRPr="00B3274C">
        <w:rPr>
          <w:lang w:val="fr-CA"/>
        </w:rPr>
        <w:t>En particulier</w:t>
      </w:r>
      <w:r w:rsidR="00FB23D3" w:rsidRPr="00B3274C">
        <w:rPr>
          <w:lang w:val="fr-CA"/>
        </w:rPr>
        <w:t xml:space="preserve">: </w:t>
      </w:r>
    </w:p>
    <w:p w:rsidR="00FB23D3" w:rsidRPr="00B3274C" w:rsidRDefault="00107A47" w:rsidP="00107A47">
      <w:pPr>
        <w:pStyle w:val="Bullet2G"/>
        <w:numPr>
          <w:ilvl w:val="0"/>
          <w:numId w:val="0"/>
        </w:numPr>
        <w:tabs>
          <w:tab w:val="left" w:pos="2268"/>
        </w:tabs>
        <w:ind w:left="2268" w:hanging="170"/>
        <w:rPr>
          <w:lang w:val="fr-CA"/>
        </w:rPr>
      </w:pPr>
      <w:r w:rsidRPr="00B3274C">
        <w:rPr>
          <w:lang w:val="fr-CA"/>
        </w:rPr>
        <w:t>•</w:t>
      </w:r>
      <w:r w:rsidRPr="00B3274C">
        <w:rPr>
          <w:lang w:val="fr-CA"/>
        </w:rPr>
        <w:tab/>
      </w:r>
      <w:r w:rsidR="00114C6B" w:rsidRPr="00B3274C">
        <w:rPr>
          <w:lang w:val="fr-CA"/>
        </w:rPr>
        <w:t xml:space="preserve">Les citoyens </w:t>
      </w:r>
      <w:r w:rsidR="000408B4" w:rsidRPr="00B3274C">
        <w:rPr>
          <w:lang w:val="fr-CA"/>
        </w:rPr>
        <w:t>g</w:t>
      </w:r>
      <w:r w:rsidR="00114C6B" w:rsidRPr="00B3274C">
        <w:rPr>
          <w:lang w:val="fr-CA"/>
        </w:rPr>
        <w:t xml:space="preserve">recs non assurés </w:t>
      </w:r>
      <w:r w:rsidR="005674E6" w:rsidRPr="00B3274C">
        <w:rPr>
          <w:lang w:val="fr-CA"/>
        </w:rPr>
        <w:t>qui sont</w:t>
      </w:r>
      <w:r w:rsidR="00114C6B" w:rsidRPr="00B3274C">
        <w:rPr>
          <w:lang w:val="fr-CA"/>
        </w:rPr>
        <w:t xml:space="preserve"> dans une situation financière précaire</w:t>
      </w:r>
      <w:r w:rsidR="0080611A">
        <w:rPr>
          <w:lang w:val="fr-CA"/>
        </w:rPr>
        <w:t>,</w:t>
      </w:r>
      <w:r w:rsidR="00114C6B" w:rsidRPr="00B3274C">
        <w:rPr>
          <w:lang w:val="fr-CA"/>
        </w:rPr>
        <w:t xml:space="preserve"> aux conditions énoncées dans la décision</w:t>
      </w:r>
      <w:r w:rsidR="00784DBF" w:rsidRPr="00B3274C">
        <w:rPr>
          <w:lang w:val="fr-CA"/>
        </w:rPr>
        <w:t>;</w:t>
      </w:r>
    </w:p>
    <w:p w:rsidR="00FB23D3" w:rsidRPr="00B3274C" w:rsidRDefault="00107A47" w:rsidP="00107A47">
      <w:pPr>
        <w:pStyle w:val="Bullet2G"/>
        <w:numPr>
          <w:ilvl w:val="0"/>
          <w:numId w:val="0"/>
        </w:numPr>
        <w:tabs>
          <w:tab w:val="left" w:pos="2268"/>
        </w:tabs>
        <w:ind w:left="2268" w:hanging="170"/>
        <w:rPr>
          <w:lang w:val="fr-CA"/>
        </w:rPr>
      </w:pPr>
      <w:r w:rsidRPr="00B3274C">
        <w:rPr>
          <w:lang w:val="fr-CA"/>
        </w:rPr>
        <w:t>•</w:t>
      </w:r>
      <w:r w:rsidRPr="00B3274C">
        <w:rPr>
          <w:lang w:val="fr-CA"/>
        </w:rPr>
        <w:tab/>
      </w:r>
      <w:r w:rsidR="00114C6B" w:rsidRPr="00B3274C">
        <w:rPr>
          <w:lang w:val="fr-CA"/>
        </w:rPr>
        <w:t>Les citoyens d</w:t>
      </w:r>
      <w:r w:rsidR="0080611A">
        <w:rPr>
          <w:lang w:val="fr-CA"/>
        </w:rPr>
        <w:t>’</w:t>
      </w:r>
      <w:r w:rsidR="00114C6B" w:rsidRPr="00B3274C">
        <w:rPr>
          <w:lang w:val="fr-CA"/>
        </w:rPr>
        <w:t>États membres de l</w:t>
      </w:r>
      <w:r w:rsidR="0080611A">
        <w:rPr>
          <w:lang w:val="fr-CA"/>
        </w:rPr>
        <w:t>’</w:t>
      </w:r>
      <w:r w:rsidR="00114C6B" w:rsidRPr="00B3274C">
        <w:rPr>
          <w:lang w:val="fr-CA"/>
        </w:rPr>
        <w:t>Union européenne qui résident légalement dans le pays et sont dans une situation financière précaire ou ne sont pas assurés</w:t>
      </w:r>
      <w:r w:rsidR="00784DBF" w:rsidRPr="00B3274C">
        <w:rPr>
          <w:lang w:val="fr-CA"/>
        </w:rPr>
        <w:t>;</w:t>
      </w:r>
    </w:p>
    <w:p w:rsidR="00FB23D3" w:rsidRPr="00B3274C" w:rsidRDefault="00107A47" w:rsidP="00107A47">
      <w:pPr>
        <w:pStyle w:val="Bullet2G"/>
        <w:numPr>
          <w:ilvl w:val="0"/>
          <w:numId w:val="0"/>
        </w:numPr>
        <w:tabs>
          <w:tab w:val="left" w:pos="2268"/>
        </w:tabs>
        <w:ind w:left="2268" w:hanging="170"/>
        <w:rPr>
          <w:lang w:val="fr-CA"/>
        </w:rPr>
      </w:pPr>
      <w:r w:rsidRPr="00B3274C">
        <w:rPr>
          <w:lang w:val="fr-CA"/>
        </w:rPr>
        <w:t>•</w:t>
      </w:r>
      <w:r w:rsidRPr="00B3274C">
        <w:rPr>
          <w:lang w:val="fr-CA"/>
        </w:rPr>
        <w:tab/>
      </w:r>
      <w:r w:rsidR="00F71AEE" w:rsidRPr="00B3274C">
        <w:rPr>
          <w:lang w:val="fr-CA"/>
        </w:rPr>
        <w:t>Les citoyens des États parties à la Charte sociale européenne</w:t>
      </w:r>
      <w:r w:rsidR="0080611A">
        <w:rPr>
          <w:lang w:val="fr-CA"/>
        </w:rPr>
        <w:t>,</w:t>
      </w:r>
      <w:r w:rsidR="00F71AEE" w:rsidRPr="00B3274C">
        <w:rPr>
          <w:lang w:val="fr-CA"/>
        </w:rPr>
        <w:t xml:space="preserve"> qui vivent en perman</w:t>
      </w:r>
      <w:r w:rsidR="00A26C48" w:rsidRPr="00B3274C">
        <w:rPr>
          <w:lang w:val="fr-CA"/>
        </w:rPr>
        <w:t>ence et légalement dans le pays</w:t>
      </w:r>
      <w:r w:rsidR="0080611A">
        <w:rPr>
          <w:lang w:val="fr-CA"/>
        </w:rPr>
        <w:t>,</w:t>
      </w:r>
      <w:r w:rsidR="00A26C48" w:rsidRPr="00B3274C">
        <w:rPr>
          <w:lang w:val="fr-CA"/>
        </w:rPr>
        <w:t xml:space="preserve"> </w:t>
      </w:r>
      <w:r w:rsidR="005674E6" w:rsidRPr="00B3274C">
        <w:rPr>
          <w:lang w:val="fr-CA"/>
        </w:rPr>
        <w:t>dans</w:t>
      </w:r>
      <w:r w:rsidR="00F71AEE" w:rsidRPr="00B3274C">
        <w:rPr>
          <w:lang w:val="fr-CA"/>
        </w:rPr>
        <w:t xml:space="preserve"> situation financière précaire</w:t>
      </w:r>
      <w:r w:rsidR="0080611A">
        <w:rPr>
          <w:lang w:val="fr-CA"/>
        </w:rPr>
        <w:t>,</w:t>
      </w:r>
      <w:r w:rsidR="00F71AEE" w:rsidRPr="00B3274C">
        <w:rPr>
          <w:lang w:val="fr-CA"/>
        </w:rPr>
        <w:t xml:space="preserve"> </w:t>
      </w:r>
      <w:r w:rsidR="00A26C48" w:rsidRPr="00B3274C">
        <w:rPr>
          <w:lang w:val="fr-CA"/>
        </w:rPr>
        <w:t xml:space="preserve">et qui </w:t>
      </w:r>
      <w:r w:rsidR="00F71AEE" w:rsidRPr="00B3274C">
        <w:rPr>
          <w:lang w:val="fr-CA"/>
        </w:rPr>
        <w:t>ne sont pas assurés</w:t>
      </w:r>
      <w:r w:rsidR="00EC5892" w:rsidRPr="00B3274C">
        <w:rPr>
          <w:lang w:val="fr-CA"/>
        </w:rPr>
        <w:t>;</w:t>
      </w:r>
    </w:p>
    <w:p w:rsidR="00FB23D3" w:rsidRPr="00B3274C" w:rsidRDefault="00107A47" w:rsidP="00107A47">
      <w:pPr>
        <w:pStyle w:val="Bullet2G"/>
        <w:numPr>
          <w:ilvl w:val="0"/>
          <w:numId w:val="0"/>
        </w:numPr>
        <w:tabs>
          <w:tab w:val="left" w:pos="2268"/>
        </w:tabs>
        <w:ind w:left="2268" w:hanging="170"/>
        <w:rPr>
          <w:lang w:val="fr-CA"/>
        </w:rPr>
      </w:pPr>
      <w:r w:rsidRPr="00B3274C">
        <w:rPr>
          <w:lang w:val="fr-CA"/>
        </w:rPr>
        <w:t>•</w:t>
      </w:r>
      <w:r w:rsidRPr="00B3274C">
        <w:rPr>
          <w:lang w:val="fr-CA"/>
        </w:rPr>
        <w:tab/>
      </w:r>
      <w:r w:rsidR="00F71AEE" w:rsidRPr="00B3274C">
        <w:rPr>
          <w:lang w:val="fr-CA"/>
        </w:rPr>
        <w:t>Les étrangers titulaires d</w:t>
      </w:r>
      <w:r w:rsidR="0080611A">
        <w:rPr>
          <w:lang w:val="fr-CA"/>
        </w:rPr>
        <w:t>’</w:t>
      </w:r>
      <w:r w:rsidR="00F71AEE" w:rsidRPr="00B3274C">
        <w:rPr>
          <w:lang w:val="fr-CA"/>
        </w:rPr>
        <w:t>un permis de séjour pour raison humanitaire (santé);</w:t>
      </w:r>
    </w:p>
    <w:p w:rsidR="00FB23D3" w:rsidRPr="00B3274C" w:rsidRDefault="00107A47" w:rsidP="00107A47">
      <w:pPr>
        <w:pStyle w:val="Bullet2G"/>
        <w:numPr>
          <w:ilvl w:val="0"/>
          <w:numId w:val="0"/>
        </w:numPr>
        <w:tabs>
          <w:tab w:val="left" w:pos="2268"/>
        </w:tabs>
        <w:ind w:left="2268" w:hanging="170"/>
        <w:rPr>
          <w:lang w:val="fr-CA"/>
        </w:rPr>
      </w:pPr>
      <w:r w:rsidRPr="00B3274C">
        <w:rPr>
          <w:lang w:val="fr-CA"/>
        </w:rPr>
        <w:t>•</w:t>
      </w:r>
      <w:r w:rsidRPr="00B3274C">
        <w:rPr>
          <w:lang w:val="fr-CA"/>
        </w:rPr>
        <w:tab/>
      </w:r>
      <w:r w:rsidR="00F71AEE" w:rsidRPr="00B3274C">
        <w:rPr>
          <w:lang w:val="fr-CA"/>
        </w:rPr>
        <w:t xml:space="preserve">Les conjoints étrangers de citoyens </w:t>
      </w:r>
      <w:r w:rsidR="000408B4" w:rsidRPr="00B3274C">
        <w:rPr>
          <w:lang w:val="fr-CA"/>
        </w:rPr>
        <w:t>g</w:t>
      </w:r>
      <w:r w:rsidR="00F71AEE" w:rsidRPr="00B3274C">
        <w:rPr>
          <w:lang w:val="fr-CA"/>
        </w:rPr>
        <w:t>recs</w:t>
      </w:r>
      <w:r w:rsidR="0080611A">
        <w:rPr>
          <w:lang w:val="fr-CA"/>
        </w:rPr>
        <w:t>,</w:t>
      </w:r>
      <w:r w:rsidR="00F71AEE" w:rsidRPr="00B3274C">
        <w:rPr>
          <w:lang w:val="fr-CA"/>
        </w:rPr>
        <w:t xml:space="preserve"> les étrangers d</w:t>
      </w:r>
      <w:r w:rsidR="0080611A">
        <w:rPr>
          <w:lang w:val="fr-CA"/>
        </w:rPr>
        <w:t>’</w:t>
      </w:r>
      <w:r w:rsidR="00F71AEE" w:rsidRPr="00B3274C">
        <w:rPr>
          <w:lang w:val="fr-CA"/>
        </w:rPr>
        <w:t>origine grecque ou les citoyens d</w:t>
      </w:r>
      <w:r w:rsidR="0080611A">
        <w:rPr>
          <w:lang w:val="fr-CA"/>
        </w:rPr>
        <w:t>’</w:t>
      </w:r>
      <w:r w:rsidR="00F71AEE" w:rsidRPr="00B3274C">
        <w:rPr>
          <w:lang w:val="fr-CA"/>
        </w:rPr>
        <w:t>États membres de l</w:t>
      </w:r>
      <w:r w:rsidR="0080611A">
        <w:rPr>
          <w:lang w:val="fr-CA"/>
        </w:rPr>
        <w:t>’</w:t>
      </w:r>
      <w:r w:rsidR="00F71AEE" w:rsidRPr="00B3274C">
        <w:rPr>
          <w:lang w:val="fr-CA"/>
        </w:rPr>
        <w:t>Union européenne</w:t>
      </w:r>
      <w:r w:rsidR="0080611A">
        <w:rPr>
          <w:lang w:val="fr-CA"/>
        </w:rPr>
        <w:t>,</w:t>
      </w:r>
      <w:r w:rsidR="00F71AEE" w:rsidRPr="00B3274C">
        <w:rPr>
          <w:lang w:val="fr-CA"/>
        </w:rPr>
        <w:t xml:space="preserve"> ainsi que leurs enfants</w:t>
      </w:r>
      <w:r w:rsidR="0080611A">
        <w:rPr>
          <w:lang w:val="fr-CA"/>
        </w:rPr>
        <w:t>,</w:t>
      </w:r>
      <w:r w:rsidR="00F71AEE" w:rsidRPr="00B3274C">
        <w:rPr>
          <w:lang w:val="fr-CA"/>
        </w:rPr>
        <w:t xml:space="preserve"> à condition qu</w:t>
      </w:r>
      <w:r w:rsidR="0080611A">
        <w:rPr>
          <w:lang w:val="fr-CA"/>
        </w:rPr>
        <w:t>’</w:t>
      </w:r>
      <w:r w:rsidR="00F71AEE" w:rsidRPr="00B3274C">
        <w:rPr>
          <w:lang w:val="fr-CA"/>
        </w:rPr>
        <w:t>ils vivent légalement dans le pays et soient dans une situation financière précaire ou ne soient pas assurés</w:t>
      </w:r>
      <w:r w:rsidR="00EC5892" w:rsidRPr="00B3274C">
        <w:rPr>
          <w:lang w:val="fr-CA"/>
        </w:rPr>
        <w:t>;</w:t>
      </w:r>
    </w:p>
    <w:p w:rsidR="00FB23D3" w:rsidRPr="00B3274C" w:rsidRDefault="00107A47" w:rsidP="00107A47">
      <w:pPr>
        <w:pStyle w:val="Bullet2G"/>
        <w:numPr>
          <w:ilvl w:val="0"/>
          <w:numId w:val="0"/>
        </w:numPr>
        <w:tabs>
          <w:tab w:val="left" w:pos="2268"/>
        </w:tabs>
        <w:ind w:left="2268" w:hanging="170"/>
        <w:rPr>
          <w:lang w:val="fr-CA"/>
        </w:rPr>
      </w:pPr>
      <w:r w:rsidRPr="00B3274C">
        <w:rPr>
          <w:lang w:val="fr-CA"/>
        </w:rPr>
        <w:t>•</w:t>
      </w:r>
      <w:r w:rsidRPr="00B3274C">
        <w:rPr>
          <w:lang w:val="fr-CA"/>
        </w:rPr>
        <w:tab/>
      </w:r>
      <w:r w:rsidR="00614BAC">
        <w:rPr>
          <w:lang w:val="fr-CA"/>
        </w:rPr>
        <w:t>Les personnes</w:t>
      </w:r>
      <w:r w:rsidR="00F71AEE" w:rsidRPr="00B3274C">
        <w:rPr>
          <w:lang w:val="fr-CA"/>
        </w:rPr>
        <w:t xml:space="preserve"> auxquelles a été accordé le statut de réfugié ou tout autre statut de protection internationale</w:t>
      </w:r>
      <w:r w:rsidR="00784DBF" w:rsidRPr="00B3274C">
        <w:rPr>
          <w:lang w:val="fr-CA"/>
        </w:rPr>
        <w:t>;</w:t>
      </w:r>
    </w:p>
    <w:p w:rsidR="00FB23D3" w:rsidRPr="00B3274C" w:rsidRDefault="00107A47" w:rsidP="00107A47">
      <w:pPr>
        <w:pStyle w:val="Bullet2G"/>
        <w:numPr>
          <w:ilvl w:val="0"/>
          <w:numId w:val="0"/>
        </w:numPr>
        <w:tabs>
          <w:tab w:val="left" w:pos="2268"/>
        </w:tabs>
        <w:ind w:left="2268" w:hanging="170"/>
        <w:rPr>
          <w:lang w:val="fr-CA"/>
        </w:rPr>
      </w:pPr>
      <w:r w:rsidRPr="00B3274C">
        <w:rPr>
          <w:lang w:val="fr-CA"/>
        </w:rPr>
        <w:t>•</w:t>
      </w:r>
      <w:r w:rsidRPr="00B3274C">
        <w:rPr>
          <w:lang w:val="fr-CA"/>
        </w:rPr>
        <w:tab/>
      </w:r>
      <w:r w:rsidR="00614BAC">
        <w:rPr>
          <w:lang w:val="fr-CA"/>
        </w:rPr>
        <w:t>Les personnes</w:t>
      </w:r>
      <w:r w:rsidR="00F71AEE" w:rsidRPr="00B3274C">
        <w:rPr>
          <w:lang w:val="fr-CA"/>
        </w:rPr>
        <w:t xml:space="preserve"> qui ont présenté une demande d</w:t>
      </w:r>
      <w:r w:rsidR="0080611A">
        <w:rPr>
          <w:lang w:val="fr-CA"/>
        </w:rPr>
        <w:t>’</w:t>
      </w:r>
      <w:r w:rsidR="00F71AEE" w:rsidRPr="00B3274C">
        <w:rPr>
          <w:lang w:val="fr-CA"/>
        </w:rPr>
        <w:t>asile</w:t>
      </w:r>
      <w:r w:rsidR="0080611A">
        <w:rPr>
          <w:lang w:val="fr-CA"/>
        </w:rPr>
        <w:t>,</w:t>
      </w:r>
      <w:r w:rsidR="00F71AEE" w:rsidRPr="00B3274C">
        <w:rPr>
          <w:lang w:val="fr-CA"/>
        </w:rPr>
        <w:t xml:space="preserve"> </w:t>
      </w:r>
      <w:bookmarkStart w:id="38" w:name="OLE_LINK43"/>
      <w:bookmarkStart w:id="39" w:name="OLE_LINK44"/>
      <w:r w:rsidR="00F71AEE" w:rsidRPr="00B3274C">
        <w:rPr>
          <w:lang w:val="fr-CA"/>
        </w:rPr>
        <w:t>dont l</w:t>
      </w:r>
      <w:r w:rsidR="0080611A">
        <w:rPr>
          <w:lang w:val="fr-CA"/>
        </w:rPr>
        <w:t>’</w:t>
      </w:r>
      <w:r w:rsidR="00F71AEE" w:rsidRPr="00B3274C">
        <w:rPr>
          <w:lang w:val="fr-CA"/>
        </w:rPr>
        <w:t>examen est pendant</w:t>
      </w:r>
      <w:bookmarkEnd w:id="38"/>
      <w:bookmarkEnd w:id="39"/>
      <w:r w:rsidR="00784DBF" w:rsidRPr="00B3274C">
        <w:rPr>
          <w:lang w:val="fr-CA"/>
        </w:rPr>
        <w:t>;</w:t>
      </w:r>
    </w:p>
    <w:p w:rsidR="00FB23D3" w:rsidRPr="00B3274C" w:rsidRDefault="00107A47" w:rsidP="00107A47">
      <w:pPr>
        <w:pStyle w:val="Bullet2G"/>
        <w:numPr>
          <w:ilvl w:val="0"/>
          <w:numId w:val="0"/>
        </w:numPr>
        <w:tabs>
          <w:tab w:val="left" w:pos="2268"/>
        </w:tabs>
        <w:ind w:left="2268" w:hanging="170"/>
        <w:rPr>
          <w:lang w:val="fr-CA"/>
        </w:rPr>
      </w:pPr>
      <w:r w:rsidRPr="00B3274C">
        <w:rPr>
          <w:lang w:val="fr-CA"/>
        </w:rPr>
        <w:t>•</w:t>
      </w:r>
      <w:r w:rsidRPr="00B3274C">
        <w:rPr>
          <w:lang w:val="fr-CA"/>
        </w:rPr>
        <w:tab/>
      </w:r>
      <w:r w:rsidR="00F71AEE" w:rsidRPr="00B3274C">
        <w:rPr>
          <w:lang w:val="fr-CA"/>
        </w:rPr>
        <w:t xml:space="preserve">Les étrangers </w:t>
      </w:r>
      <w:r w:rsidR="00DB4C6D" w:rsidRPr="00B3274C">
        <w:rPr>
          <w:lang w:val="fr-CA"/>
        </w:rPr>
        <w:t xml:space="preserve">non assurés </w:t>
      </w:r>
      <w:r w:rsidR="00F71AEE" w:rsidRPr="00B3274C">
        <w:rPr>
          <w:lang w:val="fr-CA"/>
        </w:rPr>
        <w:t>victimes d</w:t>
      </w:r>
      <w:r w:rsidR="0080611A">
        <w:rPr>
          <w:lang w:val="fr-CA"/>
        </w:rPr>
        <w:t>’</w:t>
      </w:r>
      <w:r w:rsidR="00F71AEE" w:rsidRPr="00B3274C">
        <w:rPr>
          <w:lang w:val="fr-CA"/>
        </w:rPr>
        <w:t>infractions liées à la traite des êtres</w:t>
      </w:r>
      <w:r w:rsidR="00DB4C6D" w:rsidRPr="00B3274C">
        <w:rPr>
          <w:lang w:val="fr-CA"/>
        </w:rPr>
        <w:t xml:space="preserve"> humains</w:t>
      </w:r>
      <w:r w:rsidR="00784DBF" w:rsidRPr="00B3274C">
        <w:rPr>
          <w:lang w:val="fr-CA"/>
        </w:rPr>
        <w:t>;</w:t>
      </w:r>
    </w:p>
    <w:p w:rsidR="00FB23D3" w:rsidRPr="00B3274C" w:rsidRDefault="00107A47" w:rsidP="00107A47">
      <w:pPr>
        <w:pStyle w:val="Bullet2G"/>
        <w:numPr>
          <w:ilvl w:val="0"/>
          <w:numId w:val="0"/>
        </w:numPr>
        <w:tabs>
          <w:tab w:val="left" w:pos="2268"/>
        </w:tabs>
        <w:ind w:left="2268" w:hanging="170"/>
        <w:rPr>
          <w:lang w:val="fr-CA"/>
        </w:rPr>
      </w:pPr>
      <w:r w:rsidRPr="00B3274C">
        <w:rPr>
          <w:lang w:val="fr-CA"/>
        </w:rPr>
        <w:t>•</w:t>
      </w:r>
      <w:r w:rsidRPr="00B3274C">
        <w:rPr>
          <w:lang w:val="fr-CA"/>
        </w:rPr>
        <w:tab/>
      </w:r>
      <w:r w:rsidR="00EA637D" w:rsidRPr="00B3274C">
        <w:rPr>
          <w:lang w:val="fr-CA"/>
        </w:rPr>
        <w:t>Les enfants vivant dans des structures de protection de l</w:t>
      </w:r>
      <w:r w:rsidR="0080611A">
        <w:rPr>
          <w:lang w:val="fr-CA"/>
        </w:rPr>
        <w:t>’</w:t>
      </w:r>
      <w:r w:rsidR="00EA637D" w:rsidRPr="00B3274C">
        <w:rPr>
          <w:lang w:val="fr-CA"/>
        </w:rPr>
        <w:t>enfance ou dans des familles d</w:t>
      </w:r>
      <w:r w:rsidR="0080611A">
        <w:rPr>
          <w:lang w:val="fr-CA"/>
        </w:rPr>
        <w:t>’</w:t>
      </w:r>
      <w:r w:rsidR="00EA637D" w:rsidRPr="00B3274C">
        <w:rPr>
          <w:lang w:val="fr-CA"/>
        </w:rPr>
        <w:t>accueil</w:t>
      </w:r>
      <w:r w:rsidR="00784DBF" w:rsidRPr="00B3274C">
        <w:rPr>
          <w:lang w:val="fr-CA"/>
        </w:rPr>
        <w:t>;</w:t>
      </w:r>
    </w:p>
    <w:p w:rsidR="00FB23D3" w:rsidRPr="00B3274C" w:rsidRDefault="00107A47" w:rsidP="00107A47">
      <w:pPr>
        <w:pStyle w:val="Bullet2G"/>
        <w:numPr>
          <w:ilvl w:val="0"/>
          <w:numId w:val="0"/>
        </w:numPr>
        <w:tabs>
          <w:tab w:val="left" w:pos="2268"/>
        </w:tabs>
        <w:ind w:left="2268" w:hanging="170"/>
        <w:rPr>
          <w:lang w:val="fr-CA"/>
        </w:rPr>
      </w:pPr>
      <w:r w:rsidRPr="00B3274C">
        <w:rPr>
          <w:lang w:val="fr-CA"/>
        </w:rPr>
        <w:t>•</w:t>
      </w:r>
      <w:r w:rsidRPr="00B3274C">
        <w:rPr>
          <w:lang w:val="fr-CA"/>
        </w:rPr>
        <w:tab/>
      </w:r>
      <w:r w:rsidR="00EA637D" w:rsidRPr="00B3274C">
        <w:rPr>
          <w:lang w:val="fr-CA"/>
        </w:rPr>
        <w:t xml:space="preserve">Les </w:t>
      </w:r>
      <w:bookmarkStart w:id="40" w:name="OLE_LINK45"/>
      <w:bookmarkStart w:id="41" w:name="OLE_LINK46"/>
      <w:r w:rsidR="00EA637D" w:rsidRPr="00B3274C">
        <w:rPr>
          <w:lang w:val="fr-CA"/>
        </w:rPr>
        <w:t>toxicomanes qui suivent des programmes de sevrage</w:t>
      </w:r>
      <w:bookmarkEnd w:id="40"/>
      <w:bookmarkEnd w:id="41"/>
      <w:r w:rsidR="00784DBF" w:rsidRPr="00B3274C">
        <w:rPr>
          <w:lang w:val="fr-CA"/>
        </w:rPr>
        <w:t>.</w:t>
      </w:r>
    </w:p>
    <w:p w:rsidR="00FB23D3" w:rsidRPr="00B3274C" w:rsidRDefault="00107A47" w:rsidP="00107A47">
      <w:pPr>
        <w:pStyle w:val="SingleTxtG"/>
        <w:rPr>
          <w:bCs/>
          <w:lang w:val="fr-CA"/>
        </w:rPr>
      </w:pPr>
      <w:r w:rsidRPr="00B3274C">
        <w:rPr>
          <w:bCs/>
          <w:lang w:val="fr-CA"/>
        </w:rPr>
        <w:t>286.</w:t>
      </w:r>
      <w:r w:rsidRPr="00B3274C">
        <w:rPr>
          <w:bCs/>
          <w:lang w:val="fr-CA"/>
        </w:rPr>
        <w:tab/>
      </w:r>
      <w:r w:rsidR="00EA637D" w:rsidRPr="00B3274C">
        <w:rPr>
          <w:bCs/>
          <w:lang w:val="fr-CA"/>
        </w:rPr>
        <w:t>En outre</w:t>
      </w:r>
      <w:r w:rsidR="0080611A">
        <w:rPr>
          <w:bCs/>
          <w:lang w:val="fr-CA"/>
        </w:rPr>
        <w:t>,</w:t>
      </w:r>
      <w:r w:rsidR="00EA637D" w:rsidRPr="00B3274C">
        <w:rPr>
          <w:bCs/>
          <w:lang w:val="fr-CA"/>
        </w:rPr>
        <w:t xml:space="preserve"> le décret présidentiel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bCs/>
          <w:lang w:val="fr-CA"/>
        </w:rPr>
        <w:t xml:space="preserve">96/2008 </w:t>
      </w:r>
      <w:r w:rsidR="00EA637D" w:rsidRPr="00B3274C">
        <w:rPr>
          <w:bCs/>
          <w:lang w:val="fr-CA"/>
        </w:rPr>
        <w:t xml:space="preserve">garantit </w:t>
      </w:r>
      <w:r w:rsidR="0056454C" w:rsidRPr="00B3274C">
        <w:rPr>
          <w:bCs/>
          <w:lang w:val="fr-CA"/>
        </w:rPr>
        <w:t>l</w:t>
      </w:r>
      <w:r w:rsidR="00EA637D" w:rsidRPr="00B3274C">
        <w:rPr>
          <w:bCs/>
          <w:lang w:val="fr-CA"/>
        </w:rPr>
        <w:t xml:space="preserve">e </w:t>
      </w:r>
      <w:bookmarkStart w:id="42" w:name="OLE_LINK47"/>
      <w:bookmarkStart w:id="43" w:name="OLE_LINK48"/>
      <w:r w:rsidR="00EA637D" w:rsidRPr="00B3274C">
        <w:rPr>
          <w:bCs/>
          <w:lang w:val="fr-CA"/>
        </w:rPr>
        <w:t>libre accès aux soins de santé pour les bénéficiaires</w:t>
      </w:r>
      <w:bookmarkEnd w:id="42"/>
      <w:bookmarkEnd w:id="43"/>
      <w:r w:rsidR="00EA637D" w:rsidRPr="00B3274C">
        <w:rPr>
          <w:bCs/>
          <w:lang w:val="fr-CA"/>
        </w:rPr>
        <w:t xml:space="preserve"> d</w:t>
      </w:r>
      <w:r w:rsidR="0080611A">
        <w:rPr>
          <w:bCs/>
          <w:lang w:val="fr-CA"/>
        </w:rPr>
        <w:t>’</w:t>
      </w:r>
      <w:r w:rsidR="00EA637D" w:rsidRPr="00B3274C">
        <w:rPr>
          <w:bCs/>
          <w:lang w:val="fr-CA"/>
        </w:rPr>
        <w:t>une protection internationale (harmonisation de la législation grecque avec les dispositions de la directive du Conseil de l</w:t>
      </w:r>
      <w:r w:rsidR="0080611A">
        <w:rPr>
          <w:bCs/>
          <w:lang w:val="fr-CA"/>
        </w:rPr>
        <w:t>’</w:t>
      </w:r>
      <w:r w:rsidR="00EA637D" w:rsidRPr="00B3274C">
        <w:rPr>
          <w:bCs/>
          <w:lang w:val="fr-CA"/>
        </w:rPr>
        <w:t xml:space="preserve">Union européenne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bCs/>
          <w:lang w:val="fr-CA"/>
        </w:rPr>
        <w:t>2004/83/</w:t>
      </w:r>
      <w:r w:rsidR="002A4C59" w:rsidRPr="00B3274C">
        <w:rPr>
          <w:bCs/>
          <w:lang w:val="fr-CA"/>
        </w:rPr>
        <w:t>CE</w:t>
      </w:r>
      <w:r w:rsidR="00FB23D3" w:rsidRPr="00B3274C">
        <w:rPr>
          <w:bCs/>
          <w:lang w:val="fr-CA"/>
        </w:rPr>
        <w:t xml:space="preserve"> </w:t>
      </w:r>
      <w:r w:rsidR="00EA637D" w:rsidRPr="00B3274C">
        <w:rPr>
          <w:bCs/>
          <w:lang w:val="fr-CA"/>
        </w:rPr>
        <w:t xml:space="preserve">du 29 avril </w:t>
      </w:r>
      <w:r w:rsidR="00FB23D3" w:rsidRPr="00B3274C">
        <w:rPr>
          <w:bCs/>
          <w:lang w:val="fr-CA"/>
        </w:rPr>
        <w:t>2004).</w:t>
      </w:r>
    </w:p>
    <w:p w:rsidR="00FB23D3" w:rsidRPr="00B3274C" w:rsidRDefault="00784DBF" w:rsidP="00DB7D04">
      <w:pPr>
        <w:pStyle w:val="H23G"/>
        <w:rPr>
          <w:lang w:val="fr-CA"/>
        </w:rPr>
      </w:pPr>
      <w:r w:rsidRPr="00B3274C">
        <w:rPr>
          <w:lang w:val="fr-CA"/>
        </w:rPr>
        <w:tab/>
      </w:r>
      <w:r w:rsidR="00DB7D04" w:rsidRPr="00B3274C">
        <w:rPr>
          <w:lang w:val="fr-CA"/>
        </w:rPr>
        <w:t>9.</w:t>
      </w:r>
      <w:r w:rsidRPr="00B3274C">
        <w:rPr>
          <w:lang w:val="fr-CA"/>
        </w:rPr>
        <w:tab/>
      </w:r>
      <w:r w:rsidR="00712D05" w:rsidRPr="00B3274C">
        <w:rPr>
          <w:lang w:val="fr-CA"/>
        </w:rPr>
        <w:t>Hygiène de l</w:t>
      </w:r>
      <w:r w:rsidR="0080611A">
        <w:rPr>
          <w:lang w:val="fr-CA"/>
        </w:rPr>
        <w:t>’</w:t>
      </w:r>
      <w:r w:rsidR="00712D05" w:rsidRPr="00B3274C">
        <w:rPr>
          <w:lang w:val="fr-CA"/>
        </w:rPr>
        <w:t xml:space="preserve">environnement </w:t>
      </w:r>
    </w:p>
    <w:p w:rsidR="00FB23D3" w:rsidRPr="00B3274C" w:rsidRDefault="00107A47" w:rsidP="00107A47">
      <w:pPr>
        <w:pStyle w:val="SingleTxtG"/>
        <w:rPr>
          <w:bCs/>
          <w:lang w:val="fr-CA"/>
        </w:rPr>
      </w:pPr>
      <w:r w:rsidRPr="00B3274C">
        <w:rPr>
          <w:bCs/>
          <w:lang w:val="fr-CA"/>
        </w:rPr>
        <w:t>287.</w:t>
      </w:r>
      <w:r w:rsidRPr="00B3274C">
        <w:rPr>
          <w:bCs/>
          <w:lang w:val="fr-CA"/>
        </w:rPr>
        <w:tab/>
      </w:r>
      <w:r w:rsidR="002A4C59" w:rsidRPr="00B3274C">
        <w:rPr>
          <w:bCs/>
          <w:lang w:val="fr-CA"/>
        </w:rPr>
        <w:t>Aux fins de contrôle de la qualité de l</w:t>
      </w:r>
      <w:r w:rsidR="0080611A">
        <w:rPr>
          <w:bCs/>
          <w:lang w:val="fr-CA"/>
        </w:rPr>
        <w:t>’</w:t>
      </w:r>
      <w:r w:rsidR="002A4C59" w:rsidRPr="00B3274C">
        <w:rPr>
          <w:bCs/>
          <w:lang w:val="fr-CA"/>
        </w:rPr>
        <w:t>eau potable</w:t>
      </w:r>
      <w:r w:rsidR="0080611A">
        <w:rPr>
          <w:bCs/>
          <w:lang w:val="fr-CA"/>
        </w:rPr>
        <w:t>,</w:t>
      </w:r>
      <w:r w:rsidR="002A4C59" w:rsidRPr="00B3274C">
        <w:rPr>
          <w:bCs/>
          <w:lang w:val="fr-CA"/>
        </w:rPr>
        <w:t xml:space="preserve"> une décision ministérielle conjointe sur la qualité de l</w:t>
      </w:r>
      <w:r w:rsidR="0080611A">
        <w:rPr>
          <w:bCs/>
          <w:lang w:val="fr-CA"/>
        </w:rPr>
        <w:t>’</w:t>
      </w:r>
      <w:r w:rsidR="002A4C59" w:rsidRPr="00B3274C">
        <w:rPr>
          <w:bCs/>
          <w:lang w:val="fr-CA"/>
        </w:rPr>
        <w:t>eau destinée à la consommation humaine a été publiée</w:t>
      </w:r>
      <w:r w:rsidR="0080611A">
        <w:rPr>
          <w:bCs/>
          <w:lang w:val="fr-CA"/>
        </w:rPr>
        <w:t>,</w:t>
      </w:r>
      <w:r w:rsidR="002A4C59" w:rsidRPr="00B3274C">
        <w:rPr>
          <w:bCs/>
          <w:lang w:val="fr-CA"/>
        </w:rPr>
        <w:t xml:space="preserve"> conformément à la directive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bCs/>
          <w:lang w:val="fr-CA"/>
        </w:rPr>
        <w:t>98/83/</w:t>
      </w:r>
      <w:r w:rsidR="002A4C59" w:rsidRPr="00B3274C">
        <w:rPr>
          <w:bCs/>
          <w:lang w:val="fr-CA"/>
        </w:rPr>
        <w:t>CE</w:t>
      </w:r>
      <w:r w:rsidR="00FB23D3" w:rsidRPr="00B3274C">
        <w:rPr>
          <w:bCs/>
          <w:lang w:val="fr-CA"/>
        </w:rPr>
        <w:t xml:space="preserve"> </w:t>
      </w:r>
      <w:r w:rsidR="002A4C59" w:rsidRPr="00B3274C">
        <w:rPr>
          <w:bCs/>
          <w:lang w:val="fr-CA"/>
        </w:rPr>
        <w:t>du Conseil de l</w:t>
      </w:r>
      <w:r w:rsidR="0080611A">
        <w:rPr>
          <w:bCs/>
          <w:lang w:val="fr-CA"/>
        </w:rPr>
        <w:t>’</w:t>
      </w:r>
      <w:r w:rsidR="002A4C59" w:rsidRPr="00B3274C">
        <w:rPr>
          <w:bCs/>
          <w:lang w:val="fr-CA"/>
        </w:rPr>
        <w:t>Europe en date du 3 novembre 1</w:t>
      </w:r>
      <w:r w:rsidR="00FB23D3" w:rsidRPr="00B3274C">
        <w:rPr>
          <w:bCs/>
          <w:lang w:val="fr-CA"/>
        </w:rPr>
        <w:t>998</w:t>
      </w:r>
      <w:r w:rsidR="0080611A">
        <w:rPr>
          <w:bCs/>
          <w:lang w:val="fr-CA"/>
        </w:rPr>
        <w:t>,</w:t>
      </w:r>
      <w:r w:rsidR="00FB23D3" w:rsidRPr="00B3274C">
        <w:rPr>
          <w:bCs/>
          <w:lang w:val="fr-CA"/>
        </w:rPr>
        <w:t xml:space="preserve"> </w:t>
      </w:r>
      <w:r w:rsidR="002A4C59" w:rsidRPr="00B3274C">
        <w:rPr>
          <w:bCs/>
          <w:lang w:val="fr-CA"/>
        </w:rPr>
        <w:t>et est appliquée telle qu</w:t>
      </w:r>
      <w:r w:rsidR="0080611A">
        <w:rPr>
          <w:bCs/>
          <w:lang w:val="fr-CA"/>
        </w:rPr>
        <w:t>’</w:t>
      </w:r>
      <w:r w:rsidR="002A4C59" w:rsidRPr="00B3274C">
        <w:rPr>
          <w:bCs/>
          <w:lang w:val="fr-CA"/>
        </w:rPr>
        <w:t>elle a été ultérieurement modifiée en 2007</w:t>
      </w:r>
      <w:r w:rsidR="00FB23D3" w:rsidRPr="00B3274C">
        <w:rPr>
          <w:bCs/>
          <w:lang w:val="fr-CA"/>
        </w:rPr>
        <w:t xml:space="preserve">; </w:t>
      </w:r>
      <w:r w:rsidR="002A4C59" w:rsidRPr="00B3274C">
        <w:rPr>
          <w:bCs/>
          <w:lang w:val="fr-CA"/>
        </w:rPr>
        <w:t>tous les contrôles prescrits par cette décision sont effectués par les autorités compétentes</w:t>
      </w:r>
      <w:r w:rsidR="00FB23D3" w:rsidRPr="00B3274C">
        <w:rPr>
          <w:bCs/>
          <w:lang w:val="fr-CA"/>
        </w:rPr>
        <w:t>.</w:t>
      </w:r>
    </w:p>
    <w:p w:rsidR="00FB23D3" w:rsidRPr="00B3274C" w:rsidRDefault="00107A47" w:rsidP="00107A47">
      <w:pPr>
        <w:pStyle w:val="SingleTxtG"/>
        <w:rPr>
          <w:bCs/>
          <w:lang w:val="fr-CA"/>
        </w:rPr>
      </w:pPr>
      <w:r w:rsidRPr="00B3274C">
        <w:rPr>
          <w:bCs/>
          <w:lang w:val="fr-CA"/>
        </w:rPr>
        <w:t>288.</w:t>
      </w:r>
      <w:r w:rsidRPr="00B3274C">
        <w:rPr>
          <w:bCs/>
          <w:lang w:val="fr-CA"/>
        </w:rPr>
        <w:tab/>
      </w:r>
      <w:r w:rsidR="002A4C59" w:rsidRPr="00B3274C">
        <w:rPr>
          <w:bCs/>
          <w:lang w:val="fr-CA"/>
        </w:rPr>
        <w:t>Des dispositions sanitaires relatives à la qualité de l</w:t>
      </w:r>
      <w:r w:rsidR="0080611A">
        <w:rPr>
          <w:bCs/>
          <w:lang w:val="fr-CA"/>
        </w:rPr>
        <w:t>’</w:t>
      </w:r>
      <w:r w:rsidR="002A4C59" w:rsidRPr="00B3274C">
        <w:rPr>
          <w:bCs/>
          <w:lang w:val="fr-CA"/>
        </w:rPr>
        <w:t>eau en bouteille</w:t>
      </w:r>
      <w:r w:rsidR="0080611A">
        <w:rPr>
          <w:bCs/>
          <w:lang w:val="fr-CA"/>
        </w:rPr>
        <w:t>,</w:t>
      </w:r>
      <w:r w:rsidR="002A4C59" w:rsidRPr="00B3274C">
        <w:rPr>
          <w:bCs/>
          <w:lang w:val="fr-CA"/>
        </w:rPr>
        <w:t xml:space="preserve"> de l</w:t>
      </w:r>
      <w:r w:rsidR="0080611A">
        <w:rPr>
          <w:bCs/>
          <w:lang w:val="fr-CA"/>
        </w:rPr>
        <w:t>’</w:t>
      </w:r>
      <w:r w:rsidR="002A4C59" w:rsidRPr="00B3274C">
        <w:rPr>
          <w:bCs/>
          <w:lang w:val="fr-CA"/>
        </w:rPr>
        <w:t>eau de table et de l</w:t>
      </w:r>
      <w:r w:rsidR="0080611A">
        <w:rPr>
          <w:bCs/>
          <w:lang w:val="fr-CA"/>
        </w:rPr>
        <w:t>’</w:t>
      </w:r>
      <w:r w:rsidR="002A4C59" w:rsidRPr="00B3274C">
        <w:rPr>
          <w:bCs/>
          <w:lang w:val="fr-CA"/>
        </w:rPr>
        <w:t>eau minérale naturelle</w:t>
      </w:r>
      <w:r w:rsidR="0080611A">
        <w:rPr>
          <w:bCs/>
          <w:lang w:val="fr-CA"/>
        </w:rPr>
        <w:t>,</w:t>
      </w:r>
      <w:r w:rsidR="002A4C59" w:rsidRPr="00B3274C">
        <w:rPr>
          <w:bCs/>
          <w:lang w:val="fr-CA"/>
        </w:rPr>
        <w:t xml:space="preserve"> ainsi qu</w:t>
      </w:r>
      <w:r w:rsidR="0080611A">
        <w:rPr>
          <w:bCs/>
          <w:lang w:val="fr-CA"/>
        </w:rPr>
        <w:t>’</w:t>
      </w:r>
      <w:r w:rsidR="002A4C59" w:rsidRPr="00B3274C">
        <w:rPr>
          <w:bCs/>
          <w:lang w:val="fr-CA"/>
        </w:rPr>
        <w:t>au fonctionnement des piscines et à la sécurité des nageurs</w:t>
      </w:r>
      <w:r w:rsidR="0080611A">
        <w:rPr>
          <w:bCs/>
          <w:lang w:val="fr-CA"/>
        </w:rPr>
        <w:t>,</w:t>
      </w:r>
      <w:r w:rsidR="002A4C59" w:rsidRPr="00B3274C">
        <w:rPr>
          <w:bCs/>
          <w:lang w:val="fr-CA"/>
        </w:rPr>
        <w:t xml:space="preserve"> ont été publiées conformément aux directives pertinentes de l</w:t>
      </w:r>
      <w:r w:rsidR="0080611A">
        <w:rPr>
          <w:bCs/>
          <w:lang w:val="fr-CA"/>
        </w:rPr>
        <w:t>’</w:t>
      </w:r>
      <w:r w:rsidR="002A4C59" w:rsidRPr="00B3274C">
        <w:rPr>
          <w:bCs/>
          <w:lang w:val="fr-CA"/>
        </w:rPr>
        <w:t>Union européenne</w:t>
      </w:r>
      <w:r w:rsidR="00FB23D3" w:rsidRPr="00B3274C">
        <w:rPr>
          <w:bCs/>
          <w:lang w:val="fr-CA"/>
        </w:rPr>
        <w:t>.</w:t>
      </w:r>
    </w:p>
    <w:p w:rsidR="00FB23D3" w:rsidRPr="00B3274C" w:rsidRDefault="00107A47" w:rsidP="00107A47">
      <w:pPr>
        <w:pStyle w:val="SingleTxtG"/>
        <w:rPr>
          <w:bCs/>
          <w:lang w:val="fr-CA"/>
        </w:rPr>
      </w:pPr>
      <w:r w:rsidRPr="00B3274C">
        <w:rPr>
          <w:bCs/>
          <w:lang w:val="fr-CA"/>
        </w:rPr>
        <w:t>289.</w:t>
      </w:r>
      <w:r w:rsidRPr="00B3274C">
        <w:rPr>
          <w:bCs/>
          <w:lang w:val="fr-CA"/>
        </w:rPr>
        <w:tab/>
      </w:r>
      <w:r w:rsidR="00464298" w:rsidRPr="00B3274C">
        <w:rPr>
          <w:bCs/>
          <w:lang w:val="fr-CA"/>
        </w:rPr>
        <w:t>En ce qui concerne l</w:t>
      </w:r>
      <w:r w:rsidR="0080611A">
        <w:rPr>
          <w:bCs/>
          <w:lang w:val="fr-CA"/>
        </w:rPr>
        <w:t>’</w:t>
      </w:r>
      <w:r w:rsidR="00464298" w:rsidRPr="00B3274C">
        <w:rPr>
          <w:bCs/>
          <w:lang w:val="fr-CA"/>
        </w:rPr>
        <w:t>évacuation des eaux usées</w:t>
      </w:r>
      <w:r w:rsidR="0080611A">
        <w:rPr>
          <w:bCs/>
          <w:lang w:val="fr-CA"/>
        </w:rPr>
        <w:t>,</w:t>
      </w:r>
      <w:r w:rsidR="00464298" w:rsidRPr="00B3274C">
        <w:rPr>
          <w:bCs/>
          <w:lang w:val="fr-CA"/>
        </w:rPr>
        <w:t xml:space="preserve"> une décision ministérielle conjointe a harmonisé la législation grecque avec la directive de l</w:t>
      </w:r>
      <w:r w:rsidR="0080611A">
        <w:rPr>
          <w:bCs/>
          <w:lang w:val="fr-CA"/>
        </w:rPr>
        <w:t>’</w:t>
      </w:r>
      <w:r w:rsidR="00464298" w:rsidRPr="00B3274C">
        <w:rPr>
          <w:bCs/>
          <w:lang w:val="fr-CA"/>
        </w:rPr>
        <w:t xml:space="preserve">Union européenne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bCs/>
          <w:lang w:val="fr-CA"/>
        </w:rPr>
        <w:t>91/271</w:t>
      </w:r>
      <w:r w:rsidR="00464298" w:rsidRPr="00B3274C">
        <w:rPr>
          <w:bCs/>
          <w:lang w:val="fr-CA"/>
        </w:rPr>
        <w:t xml:space="preserve"> CE sur le traitement des eaux résiduelles urbaines et une loi</w:t>
      </w:r>
      <w:r w:rsidR="00AB0EBC" w:rsidRPr="00B3274C">
        <w:rPr>
          <w:bCs/>
          <w:lang w:val="fr-CA"/>
        </w:rPr>
        <w:t xml:space="preserve"> </w:t>
      </w:r>
      <w:r w:rsidR="00464298" w:rsidRPr="00B3274C">
        <w:rPr>
          <w:bCs/>
          <w:lang w:val="fr-CA"/>
        </w:rPr>
        <w:t>sur les eaux résiduelles et l</w:t>
      </w:r>
      <w:r w:rsidR="0080611A">
        <w:rPr>
          <w:bCs/>
          <w:lang w:val="fr-CA"/>
        </w:rPr>
        <w:t>’</w:t>
      </w:r>
      <w:r w:rsidR="00464298" w:rsidRPr="00B3274C">
        <w:rPr>
          <w:bCs/>
          <w:lang w:val="fr-CA"/>
        </w:rPr>
        <w:t>évacuation des déchets industriels</w:t>
      </w:r>
      <w:r w:rsidR="00AB0EBC" w:rsidRPr="00B3274C">
        <w:rPr>
          <w:bCs/>
          <w:lang w:val="fr-CA"/>
        </w:rPr>
        <w:t xml:space="preserve"> a été adoptée</w:t>
      </w:r>
      <w:r w:rsidR="00FB23D3" w:rsidRPr="00B3274C">
        <w:rPr>
          <w:bCs/>
          <w:lang w:val="fr-CA"/>
        </w:rPr>
        <w:t>.</w:t>
      </w:r>
    </w:p>
    <w:p w:rsidR="00FB23D3" w:rsidRPr="00B3274C" w:rsidRDefault="00107A47" w:rsidP="00107A47">
      <w:pPr>
        <w:pStyle w:val="SingleTxtG"/>
        <w:rPr>
          <w:bCs/>
          <w:lang w:val="fr-CA"/>
        </w:rPr>
      </w:pPr>
      <w:r w:rsidRPr="00B3274C">
        <w:rPr>
          <w:bCs/>
          <w:lang w:val="fr-CA"/>
        </w:rPr>
        <w:t>290.</w:t>
      </w:r>
      <w:r w:rsidRPr="00B3274C">
        <w:rPr>
          <w:bCs/>
          <w:lang w:val="fr-CA"/>
        </w:rPr>
        <w:tab/>
      </w:r>
      <w:r w:rsidR="00464298" w:rsidRPr="00B3274C">
        <w:rPr>
          <w:bCs/>
          <w:lang w:val="fr-CA"/>
        </w:rPr>
        <w:t>Le Ministère de l</w:t>
      </w:r>
      <w:r w:rsidR="0080611A">
        <w:rPr>
          <w:bCs/>
          <w:lang w:val="fr-CA"/>
        </w:rPr>
        <w:t>’</w:t>
      </w:r>
      <w:r w:rsidR="00464298" w:rsidRPr="00B3274C">
        <w:rPr>
          <w:bCs/>
          <w:lang w:val="fr-CA"/>
        </w:rPr>
        <w:t>environnement</w:t>
      </w:r>
      <w:r w:rsidR="0080611A">
        <w:rPr>
          <w:bCs/>
          <w:lang w:val="fr-CA"/>
        </w:rPr>
        <w:t>,</w:t>
      </w:r>
      <w:r w:rsidR="00464298" w:rsidRPr="00B3274C">
        <w:rPr>
          <w:bCs/>
          <w:lang w:val="fr-CA"/>
        </w:rPr>
        <w:t xml:space="preserve"> de l</w:t>
      </w:r>
      <w:r w:rsidR="0080611A">
        <w:rPr>
          <w:bCs/>
          <w:lang w:val="fr-CA"/>
        </w:rPr>
        <w:t>’</w:t>
      </w:r>
      <w:r w:rsidR="00464298" w:rsidRPr="00B3274C">
        <w:rPr>
          <w:bCs/>
          <w:lang w:val="fr-CA"/>
        </w:rPr>
        <w:t>énergie et des changements climatiques est c</w:t>
      </w:r>
      <w:r w:rsidR="004B22D1" w:rsidRPr="00B3274C">
        <w:rPr>
          <w:bCs/>
          <w:lang w:val="fr-CA"/>
        </w:rPr>
        <w:t>hargé</w:t>
      </w:r>
      <w:r w:rsidR="00464298" w:rsidRPr="00B3274C">
        <w:rPr>
          <w:bCs/>
          <w:lang w:val="fr-CA"/>
        </w:rPr>
        <w:t xml:space="preserve"> </w:t>
      </w:r>
      <w:r w:rsidR="00AC5A5C" w:rsidRPr="00B3274C">
        <w:rPr>
          <w:bCs/>
          <w:lang w:val="fr-CA"/>
        </w:rPr>
        <w:t>du contrôle de</w:t>
      </w:r>
      <w:r w:rsidR="00464298" w:rsidRPr="00B3274C">
        <w:rPr>
          <w:bCs/>
          <w:lang w:val="fr-CA"/>
        </w:rPr>
        <w:t xml:space="preserve"> la qualité de l</w:t>
      </w:r>
      <w:r w:rsidR="0080611A">
        <w:rPr>
          <w:bCs/>
          <w:lang w:val="fr-CA"/>
        </w:rPr>
        <w:t>’</w:t>
      </w:r>
      <w:r w:rsidR="00464298" w:rsidRPr="00B3274C">
        <w:rPr>
          <w:bCs/>
          <w:lang w:val="fr-CA"/>
        </w:rPr>
        <w:t xml:space="preserve">air et </w:t>
      </w:r>
      <w:r w:rsidR="00AC5A5C" w:rsidRPr="00B3274C">
        <w:rPr>
          <w:bCs/>
          <w:lang w:val="fr-CA"/>
        </w:rPr>
        <w:t>du</w:t>
      </w:r>
      <w:r w:rsidR="00464298" w:rsidRPr="00B3274C">
        <w:rPr>
          <w:bCs/>
          <w:lang w:val="fr-CA"/>
        </w:rPr>
        <w:t xml:space="preserve"> fonctionnement du réseau de mesure</w:t>
      </w:r>
      <w:r w:rsidR="0080611A">
        <w:rPr>
          <w:bCs/>
          <w:lang w:val="fr-CA"/>
        </w:rPr>
        <w:t>,</w:t>
      </w:r>
      <w:r w:rsidR="00464298" w:rsidRPr="00B3274C">
        <w:rPr>
          <w:bCs/>
          <w:lang w:val="fr-CA"/>
        </w:rPr>
        <w:t xml:space="preserve"> conformément à la loi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bCs/>
          <w:lang w:val="fr-CA"/>
        </w:rPr>
        <w:t xml:space="preserve">1650/1983. </w:t>
      </w:r>
      <w:r w:rsidR="00AC5A5C" w:rsidRPr="00B3274C">
        <w:rPr>
          <w:bCs/>
          <w:lang w:val="fr-CA"/>
        </w:rPr>
        <w:t>Il</w:t>
      </w:r>
      <w:r w:rsidR="00464298" w:rsidRPr="00B3274C">
        <w:rPr>
          <w:bCs/>
          <w:lang w:val="fr-CA"/>
        </w:rPr>
        <w:t xml:space="preserve"> est également chargé d</w:t>
      </w:r>
      <w:r w:rsidR="0080611A">
        <w:rPr>
          <w:bCs/>
          <w:lang w:val="fr-CA"/>
        </w:rPr>
        <w:t>’</w:t>
      </w:r>
      <w:r w:rsidR="00464298" w:rsidRPr="00B3274C">
        <w:rPr>
          <w:bCs/>
          <w:lang w:val="fr-CA"/>
        </w:rPr>
        <w:t xml:space="preserve">appliquer la loi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bCs/>
          <w:lang w:val="fr-CA"/>
        </w:rPr>
        <w:t xml:space="preserve">3199/2003 </w:t>
      </w:r>
      <w:r w:rsidR="00464298" w:rsidRPr="00B3274C">
        <w:rPr>
          <w:bCs/>
          <w:lang w:val="fr-CA"/>
        </w:rPr>
        <w:t>et les dispositions réglementaires pertinentes (décret présidentiel et décision ministérielle conjointe) relatives à la pollution de l</w:t>
      </w:r>
      <w:r w:rsidR="0080611A">
        <w:rPr>
          <w:bCs/>
          <w:lang w:val="fr-CA"/>
        </w:rPr>
        <w:t>’</w:t>
      </w:r>
      <w:r w:rsidR="00464298" w:rsidRPr="00B3274C">
        <w:rPr>
          <w:bCs/>
          <w:lang w:val="fr-CA"/>
        </w:rPr>
        <w:t>eau</w:t>
      </w:r>
      <w:r w:rsidR="0080611A">
        <w:rPr>
          <w:bCs/>
          <w:lang w:val="fr-CA"/>
        </w:rPr>
        <w:t>,</w:t>
      </w:r>
      <w:r w:rsidR="00464298" w:rsidRPr="00B3274C">
        <w:rPr>
          <w:bCs/>
          <w:lang w:val="fr-CA"/>
        </w:rPr>
        <w:t xml:space="preserve"> </w:t>
      </w:r>
      <w:r w:rsidR="00BF653B" w:rsidRPr="00B3274C">
        <w:rPr>
          <w:bCs/>
          <w:lang w:val="fr-CA"/>
        </w:rPr>
        <w:t>pour ce qui est du</w:t>
      </w:r>
      <w:r w:rsidR="00464298" w:rsidRPr="00B3274C">
        <w:rPr>
          <w:bCs/>
          <w:lang w:val="fr-CA"/>
        </w:rPr>
        <w:t xml:space="preserve"> contrôle de la qualité des eaux de surface et des eaux souterraines</w:t>
      </w:r>
      <w:r w:rsidR="00FB23D3" w:rsidRPr="00B3274C">
        <w:rPr>
          <w:bCs/>
          <w:lang w:val="fr-CA"/>
        </w:rPr>
        <w:t>.</w:t>
      </w:r>
    </w:p>
    <w:p w:rsidR="00FB23D3" w:rsidRPr="00B3274C" w:rsidRDefault="00107A47" w:rsidP="00107A47">
      <w:pPr>
        <w:pStyle w:val="SingleTxtG"/>
        <w:rPr>
          <w:bCs/>
          <w:lang w:val="fr-CA"/>
        </w:rPr>
      </w:pPr>
      <w:r w:rsidRPr="00B3274C">
        <w:rPr>
          <w:bCs/>
          <w:lang w:val="fr-CA"/>
        </w:rPr>
        <w:t>291.</w:t>
      </w:r>
      <w:r w:rsidRPr="00B3274C">
        <w:rPr>
          <w:bCs/>
          <w:lang w:val="fr-CA"/>
        </w:rPr>
        <w:tab/>
      </w:r>
      <w:r w:rsidR="00464298" w:rsidRPr="00B3274C">
        <w:rPr>
          <w:bCs/>
          <w:lang w:val="fr-CA"/>
        </w:rPr>
        <w:t>Des règlements ont également été publiés concernant la protection de la population contre la radioactivité et des contrôles et des mesures de</w:t>
      </w:r>
      <w:r w:rsidR="000B661D" w:rsidRPr="00B3274C">
        <w:rPr>
          <w:bCs/>
          <w:lang w:val="fr-CA"/>
        </w:rPr>
        <w:t xml:space="preserve"> la radioactivité sont effectué</w:t>
      </w:r>
      <w:r w:rsidR="00464298" w:rsidRPr="00B3274C">
        <w:rPr>
          <w:bCs/>
          <w:lang w:val="fr-CA"/>
        </w:rPr>
        <w:t>s en permanence</w:t>
      </w:r>
      <w:r w:rsidR="00EC5892" w:rsidRPr="00B3274C">
        <w:rPr>
          <w:bCs/>
          <w:lang w:val="fr-CA"/>
        </w:rPr>
        <w:t>;</w:t>
      </w:r>
      <w:r w:rsidR="00464298" w:rsidRPr="00B3274C">
        <w:rPr>
          <w:bCs/>
          <w:lang w:val="fr-CA"/>
        </w:rPr>
        <w:t xml:space="preserve"> en collaboration avec le Comité grec de l</w:t>
      </w:r>
      <w:r w:rsidR="0080611A">
        <w:rPr>
          <w:bCs/>
          <w:lang w:val="fr-CA"/>
        </w:rPr>
        <w:t>’</w:t>
      </w:r>
      <w:r w:rsidR="00464298" w:rsidRPr="00B3274C">
        <w:rPr>
          <w:bCs/>
          <w:lang w:val="fr-CA"/>
        </w:rPr>
        <w:t>énergie atomique</w:t>
      </w:r>
      <w:r w:rsidR="0080611A">
        <w:rPr>
          <w:bCs/>
          <w:lang w:val="fr-CA"/>
        </w:rPr>
        <w:t>,</w:t>
      </w:r>
      <w:r w:rsidR="00464298" w:rsidRPr="00B3274C">
        <w:rPr>
          <w:bCs/>
          <w:lang w:val="fr-CA"/>
        </w:rPr>
        <w:t xml:space="preserve"> </w:t>
      </w:r>
      <w:r w:rsidR="00EB4A55" w:rsidRPr="00B3274C">
        <w:rPr>
          <w:bCs/>
          <w:lang w:val="fr-CA"/>
        </w:rPr>
        <w:t xml:space="preserve">des instructions ont été données </w:t>
      </w:r>
      <w:r w:rsidR="00F01F1F" w:rsidRPr="00B3274C">
        <w:rPr>
          <w:bCs/>
          <w:lang w:val="fr-CA"/>
        </w:rPr>
        <w:t>au sujet de</w:t>
      </w:r>
      <w:r w:rsidR="00EB4A55" w:rsidRPr="00B3274C">
        <w:rPr>
          <w:bCs/>
          <w:lang w:val="fr-CA"/>
        </w:rPr>
        <w:t xml:space="preserve"> </w:t>
      </w:r>
      <w:r w:rsidR="00B42375" w:rsidRPr="00B3274C">
        <w:rPr>
          <w:bCs/>
          <w:lang w:val="fr-CA"/>
        </w:rPr>
        <w:t>l</w:t>
      </w:r>
      <w:r w:rsidR="0080611A">
        <w:rPr>
          <w:bCs/>
          <w:lang w:val="fr-CA"/>
        </w:rPr>
        <w:t>’</w:t>
      </w:r>
      <w:r w:rsidR="00B42375" w:rsidRPr="00B3274C">
        <w:rPr>
          <w:bCs/>
          <w:lang w:val="fr-CA"/>
        </w:rPr>
        <w:t>état</w:t>
      </w:r>
      <w:r w:rsidR="000B2B00" w:rsidRPr="00B3274C">
        <w:rPr>
          <w:bCs/>
          <w:lang w:val="fr-CA"/>
        </w:rPr>
        <w:t xml:space="preserve"> et</w:t>
      </w:r>
      <w:r w:rsidR="00EB4A55" w:rsidRPr="00B3274C">
        <w:rPr>
          <w:bCs/>
          <w:lang w:val="fr-CA"/>
        </w:rPr>
        <w:t xml:space="preserve"> </w:t>
      </w:r>
      <w:r w:rsidR="00F01F1F" w:rsidRPr="00B3274C">
        <w:rPr>
          <w:bCs/>
          <w:lang w:val="fr-CA"/>
        </w:rPr>
        <w:t>d</w:t>
      </w:r>
      <w:r w:rsidR="00EB4A55" w:rsidRPr="00B3274C">
        <w:rPr>
          <w:bCs/>
          <w:lang w:val="fr-CA"/>
        </w:rPr>
        <w:t>es matériaux de construction de</w:t>
      </w:r>
      <w:r w:rsidR="000B2B00" w:rsidRPr="00B3274C">
        <w:rPr>
          <w:bCs/>
          <w:lang w:val="fr-CA"/>
        </w:rPr>
        <w:t>s</w:t>
      </w:r>
      <w:r w:rsidR="00EB4A55" w:rsidRPr="00B3274C">
        <w:rPr>
          <w:bCs/>
          <w:lang w:val="fr-CA"/>
        </w:rPr>
        <w:t xml:space="preserve"> bâtiments dans lesquels des activités liées à l</w:t>
      </w:r>
      <w:r w:rsidR="0080611A">
        <w:rPr>
          <w:bCs/>
          <w:lang w:val="fr-CA"/>
        </w:rPr>
        <w:t>’</w:t>
      </w:r>
      <w:r w:rsidR="00EB4A55" w:rsidRPr="00B3274C">
        <w:rPr>
          <w:bCs/>
          <w:lang w:val="fr-CA"/>
        </w:rPr>
        <w:t>émission de radiations radioactives ont lieu</w:t>
      </w:r>
      <w:r w:rsidR="000B2B00" w:rsidRPr="00B3274C">
        <w:rPr>
          <w:bCs/>
          <w:lang w:val="fr-CA"/>
        </w:rPr>
        <w:t xml:space="preserve"> et concernant les substances et les appareils qui y sont utilisés</w:t>
      </w:r>
      <w:r w:rsidR="00FB23D3" w:rsidRPr="00B3274C">
        <w:rPr>
          <w:bCs/>
          <w:lang w:val="fr-CA"/>
        </w:rPr>
        <w:t xml:space="preserve">. </w:t>
      </w:r>
    </w:p>
    <w:p w:rsidR="00FB23D3" w:rsidRPr="00B3274C" w:rsidRDefault="00107A47" w:rsidP="00107A47">
      <w:pPr>
        <w:pStyle w:val="SingleTxtG"/>
        <w:rPr>
          <w:bCs/>
          <w:lang w:val="fr-CA"/>
        </w:rPr>
      </w:pPr>
      <w:r w:rsidRPr="00B3274C">
        <w:rPr>
          <w:bCs/>
          <w:lang w:val="fr-CA"/>
        </w:rPr>
        <w:t>292.</w:t>
      </w:r>
      <w:r w:rsidRPr="00B3274C">
        <w:rPr>
          <w:bCs/>
          <w:lang w:val="fr-CA"/>
        </w:rPr>
        <w:tab/>
      </w:r>
      <w:r w:rsidR="000F031F" w:rsidRPr="00B3274C">
        <w:rPr>
          <w:bCs/>
          <w:lang w:val="fr-CA"/>
        </w:rPr>
        <w:t>En général</w:t>
      </w:r>
      <w:r w:rsidR="0080611A">
        <w:rPr>
          <w:bCs/>
          <w:lang w:val="fr-CA"/>
        </w:rPr>
        <w:t>,</w:t>
      </w:r>
      <w:r w:rsidR="000F031F" w:rsidRPr="00B3274C">
        <w:rPr>
          <w:bCs/>
          <w:lang w:val="fr-CA"/>
        </w:rPr>
        <w:t xml:space="preserve"> le Ministère adresse des instructions et des circulaires pertinentes sur les questions de santé environnementale aux directions sanitaires des régions et aux administrations préfectorales</w:t>
      </w:r>
      <w:r w:rsidR="0080611A">
        <w:rPr>
          <w:bCs/>
          <w:lang w:val="fr-CA"/>
        </w:rPr>
        <w:t>,</w:t>
      </w:r>
      <w:r w:rsidR="000F031F" w:rsidRPr="00B3274C">
        <w:rPr>
          <w:bCs/>
          <w:lang w:val="fr-CA"/>
        </w:rPr>
        <w:t xml:space="preserve"> ainsi qu</w:t>
      </w:r>
      <w:r w:rsidR="0080611A">
        <w:rPr>
          <w:bCs/>
          <w:lang w:val="fr-CA"/>
        </w:rPr>
        <w:t>’</w:t>
      </w:r>
      <w:r w:rsidR="000F031F" w:rsidRPr="00B3274C">
        <w:rPr>
          <w:bCs/>
          <w:lang w:val="fr-CA"/>
        </w:rPr>
        <w:t>à d</w:t>
      </w:r>
      <w:r w:rsidR="0080611A">
        <w:rPr>
          <w:bCs/>
          <w:lang w:val="fr-CA"/>
        </w:rPr>
        <w:t>’</w:t>
      </w:r>
      <w:r w:rsidR="000F031F" w:rsidRPr="00B3274C">
        <w:rPr>
          <w:bCs/>
          <w:lang w:val="fr-CA"/>
        </w:rPr>
        <w:t xml:space="preserve">autres organismes compétents. </w:t>
      </w:r>
    </w:p>
    <w:p w:rsidR="00FB23D3" w:rsidRPr="00B3274C" w:rsidRDefault="00784DBF" w:rsidP="00DB7D04">
      <w:pPr>
        <w:pStyle w:val="H23G"/>
        <w:rPr>
          <w:lang w:val="fr-CA"/>
        </w:rPr>
      </w:pPr>
      <w:r w:rsidRPr="00B3274C">
        <w:rPr>
          <w:lang w:val="fr-CA"/>
        </w:rPr>
        <w:tab/>
      </w:r>
      <w:r w:rsidR="00DB7D04" w:rsidRPr="00B3274C">
        <w:rPr>
          <w:lang w:val="fr-CA"/>
        </w:rPr>
        <w:t>10.</w:t>
      </w:r>
      <w:r w:rsidRPr="00B3274C">
        <w:rPr>
          <w:lang w:val="fr-CA"/>
        </w:rPr>
        <w:tab/>
      </w:r>
      <w:r w:rsidR="00FB23D3" w:rsidRPr="00B3274C">
        <w:rPr>
          <w:lang w:val="fr-CA"/>
        </w:rPr>
        <w:t>Programmes</w:t>
      </w:r>
      <w:r w:rsidR="000F031F" w:rsidRPr="00B3274C">
        <w:rPr>
          <w:lang w:val="fr-CA"/>
        </w:rPr>
        <w:t xml:space="preserve"> opérationnels</w:t>
      </w:r>
    </w:p>
    <w:p w:rsidR="00FB23D3" w:rsidRPr="00B3274C" w:rsidRDefault="00107A47" w:rsidP="00107A47">
      <w:pPr>
        <w:pStyle w:val="SingleTxtG"/>
        <w:rPr>
          <w:bCs/>
          <w:lang w:val="fr-CA"/>
        </w:rPr>
      </w:pPr>
      <w:r w:rsidRPr="00B3274C">
        <w:rPr>
          <w:bCs/>
          <w:lang w:val="fr-CA"/>
        </w:rPr>
        <w:t>293.</w:t>
      </w:r>
      <w:r w:rsidRPr="00B3274C">
        <w:rPr>
          <w:bCs/>
          <w:lang w:val="fr-CA"/>
        </w:rPr>
        <w:tab/>
      </w:r>
      <w:r w:rsidR="000F031F" w:rsidRPr="00B3274C">
        <w:rPr>
          <w:bCs/>
          <w:lang w:val="fr-CA"/>
        </w:rPr>
        <w:t>L</w:t>
      </w:r>
      <w:r w:rsidR="0080611A">
        <w:rPr>
          <w:bCs/>
          <w:lang w:val="fr-CA"/>
        </w:rPr>
        <w:t>’</w:t>
      </w:r>
      <w:r w:rsidR="000F031F" w:rsidRPr="00B3274C">
        <w:rPr>
          <w:bCs/>
          <w:lang w:val="fr-CA"/>
        </w:rPr>
        <w:t>Agence spéciale du secteur de la santé et de la solidarité sociale s</w:t>
      </w:r>
      <w:r w:rsidR="0080611A">
        <w:rPr>
          <w:bCs/>
          <w:lang w:val="fr-CA"/>
        </w:rPr>
        <w:t>’</w:t>
      </w:r>
      <w:r w:rsidR="000F031F" w:rsidRPr="00B3274C">
        <w:rPr>
          <w:bCs/>
          <w:lang w:val="fr-CA"/>
        </w:rPr>
        <w:t>est vu confier la gestion et le contrôle de l</w:t>
      </w:r>
      <w:r w:rsidR="0080611A">
        <w:rPr>
          <w:bCs/>
          <w:lang w:val="fr-CA"/>
        </w:rPr>
        <w:t>’</w:t>
      </w:r>
      <w:r w:rsidR="000F031F" w:rsidRPr="00B3274C">
        <w:rPr>
          <w:bCs/>
          <w:lang w:val="fr-CA"/>
        </w:rPr>
        <w:t xml:space="preserve">application du Programme opérationnel </w:t>
      </w:r>
      <w:r w:rsidR="0055418C" w:rsidRPr="00B3274C">
        <w:rPr>
          <w:bCs/>
          <w:lang w:val="fr-CA"/>
        </w:rPr>
        <w:t>«</w:t>
      </w:r>
      <w:r w:rsidR="000F031F" w:rsidRPr="00B3274C">
        <w:rPr>
          <w:bCs/>
          <w:i/>
          <w:lang w:val="fr-CA"/>
        </w:rPr>
        <w:t>Santé et protection sociale</w:t>
      </w:r>
      <w:r w:rsidR="0055418C" w:rsidRPr="00B3274C">
        <w:rPr>
          <w:bCs/>
          <w:lang w:val="fr-CA"/>
        </w:rPr>
        <w:t>»</w:t>
      </w:r>
      <w:r w:rsidR="000F031F" w:rsidRPr="00B3274C">
        <w:rPr>
          <w:bCs/>
          <w:lang w:val="fr-CA"/>
        </w:rPr>
        <w:t xml:space="preserve"> </w:t>
      </w:r>
      <w:r w:rsidR="00FB23D3" w:rsidRPr="00B3274C">
        <w:rPr>
          <w:bCs/>
          <w:lang w:val="fr-CA"/>
        </w:rPr>
        <w:t>2000-2006</w:t>
      </w:r>
      <w:r w:rsidR="000F031F" w:rsidRPr="00B3274C">
        <w:rPr>
          <w:bCs/>
          <w:lang w:val="fr-CA"/>
        </w:rPr>
        <w:t xml:space="preserve"> ainsi que la planification</w:t>
      </w:r>
      <w:r w:rsidR="0080611A">
        <w:rPr>
          <w:bCs/>
          <w:lang w:val="fr-CA"/>
        </w:rPr>
        <w:t>,</w:t>
      </w:r>
      <w:r w:rsidR="000F031F" w:rsidRPr="00B3274C">
        <w:rPr>
          <w:bCs/>
          <w:lang w:val="fr-CA"/>
        </w:rPr>
        <w:t xml:space="preserve"> la coordination et la gestion (Priorité 5 de l</w:t>
      </w:r>
      <w:r w:rsidR="0080611A">
        <w:rPr>
          <w:bCs/>
          <w:lang w:val="fr-CA"/>
        </w:rPr>
        <w:t>’</w:t>
      </w:r>
      <w:r w:rsidR="000F031F" w:rsidRPr="00B3274C">
        <w:rPr>
          <w:bCs/>
          <w:lang w:val="fr-CA"/>
        </w:rPr>
        <w:t xml:space="preserve">axe thématique du Programme opérationnel sectoriel </w:t>
      </w:r>
      <w:r w:rsidR="0055418C" w:rsidRPr="00B3274C">
        <w:rPr>
          <w:bCs/>
          <w:lang w:val="fr-CA"/>
        </w:rPr>
        <w:t>«</w:t>
      </w:r>
      <w:r w:rsidR="000F031F" w:rsidRPr="00143356">
        <w:rPr>
          <w:bCs/>
          <w:lang w:val="fr-CA"/>
        </w:rPr>
        <w:t>Développement des ressources humaines</w:t>
      </w:r>
      <w:r w:rsidR="0055418C" w:rsidRPr="00B3274C">
        <w:rPr>
          <w:bCs/>
          <w:lang w:val="fr-CA"/>
        </w:rPr>
        <w:t>»</w:t>
      </w:r>
      <w:r w:rsidR="009F1BD1" w:rsidRPr="00B3274C">
        <w:rPr>
          <w:bCs/>
          <w:lang w:val="fr-CA"/>
        </w:rPr>
        <w:t>)</w:t>
      </w:r>
      <w:r w:rsidR="000F031F" w:rsidRPr="00B3274C">
        <w:rPr>
          <w:bCs/>
          <w:lang w:val="fr-CA"/>
        </w:rPr>
        <w:t xml:space="preserve"> des projets/activité</w:t>
      </w:r>
      <w:r w:rsidR="00114966" w:rsidRPr="00B3274C">
        <w:rPr>
          <w:bCs/>
          <w:lang w:val="fr-CA"/>
        </w:rPr>
        <w:t>s</w:t>
      </w:r>
      <w:r w:rsidR="000F031F" w:rsidRPr="00B3274C">
        <w:rPr>
          <w:bCs/>
          <w:lang w:val="fr-CA"/>
        </w:rPr>
        <w:t xml:space="preserve"> relevant du Ministère de la santé et de la solidarité sociale qui seront mises en œuvre dans le</w:t>
      </w:r>
      <w:r w:rsidR="00114966" w:rsidRPr="00B3274C">
        <w:rPr>
          <w:bCs/>
          <w:lang w:val="fr-CA"/>
        </w:rPr>
        <w:t xml:space="preserve"> contexte </w:t>
      </w:r>
      <w:r w:rsidR="000F031F" w:rsidRPr="00B3274C">
        <w:rPr>
          <w:bCs/>
          <w:lang w:val="fr-CA"/>
        </w:rPr>
        <w:t>des Programmes opérationnels du Cadre national stratégique de référence</w:t>
      </w:r>
      <w:r w:rsidR="00114966" w:rsidRPr="00B3274C">
        <w:rPr>
          <w:bCs/>
          <w:lang w:val="fr-CA"/>
        </w:rPr>
        <w:t xml:space="preserve"> </w:t>
      </w:r>
      <w:r w:rsidR="00FB23D3" w:rsidRPr="00B3274C">
        <w:rPr>
          <w:bCs/>
          <w:lang w:val="fr-CA"/>
        </w:rPr>
        <w:t>2007-2013.</w:t>
      </w:r>
    </w:p>
    <w:p w:rsidR="00FB23D3" w:rsidRPr="00B3274C" w:rsidRDefault="00107A47" w:rsidP="00107A47">
      <w:pPr>
        <w:pStyle w:val="SingleTxtG"/>
        <w:rPr>
          <w:bCs/>
          <w:lang w:val="fr-CA"/>
        </w:rPr>
      </w:pPr>
      <w:r w:rsidRPr="00B3274C">
        <w:rPr>
          <w:bCs/>
          <w:lang w:val="fr-CA"/>
        </w:rPr>
        <w:t>294.</w:t>
      </w:r>
      <w:r w:rsidRPr="00B3274C">
        <w:rPr>
          <w:bCs/>
          <w:lang w:val="fr-CA"/>
        </w:rPr>
        <w:tab/>
      </w:r>
      <w:r w:rsidR="002364AB" w:rsidRPr="00B3274C">
        <w:rPr>
          <w:bCs/>
          <w:lang w:val="fr-CA"/>
        </w:rPr>
        <w:t>L</w:t>
      </w:r>
      <w:r w:rsidR="0080611A">
        <w:rPr>
          <w:bCs/>
          <w:lang w:val="fr-CA"/>
        </w:rPr>
        <w:t>’</w:t>
      </w:r>
      <w:r w:rsidR="002364AB" w:rsidRPr="00B3274C">
        <w:rPr>
          <w:bCs/>
          <w:lang w:val="fr-CA"/>
        </w:rPr>
        <w:t>application dudit Programme opérationnel a permis d</w:t>
      </w:r>
      <w:r w:rsidR="0080611A">
        <w:rPr>
          <w:bCs/>
          <w:lang w:val="fr-CA"/>
        </w:rPr>
        <w:t>’</w:t>
      </w:r>
      <w:r w:rsidR="002364AB" w:rsidRPr="00B3274C">
        <w:rPr>
          <w:bCs/>
          <w:lang w:val="fr-CA"/>
        </w:rPr>
        <w:t xml:space="preserve">atteindre </w:t>
      </w:r>
      <w:r w:rsidR="002B432F" w:rsidRPr="00B3274C">
        <w:rPr>
          <w:bCs/>
          <w:lang w:val="fr-CA"/>
        </w:rPr>
        <w:t xml:space="preserve">dans une large mesure </w:t>
      </w:r>
      <w:r w:rsidR="002364AB" w:rsidRPr="00B3274C">
        <w:rPr>
          <w:bCs/>
          <w:lang w:val="fr-CA"/>
        </w:rPr>
        <w:t>les objectifs fixés dans les domaines suivants: création de centres de santé et</w:t>
      </w:r>
      <w:r w:rsidR="0055418C" w:rsidRPr="00B3274C">
        <w:rPr>
          <w:bCs/>
          <w:lang w:val="fr-CA"/>
        </w:rPr>
        <w:t xml:space="preserve"> </w:t>
      </w:r>
      <w:r w:rsidR="002364AB" w:rsidRPr="00B3274C">
        <w:rPr>
          <w:bCs/>
          <w:lang w:val="fr-CA"/>
        </w:rPr>
        <w:t>modernisation de ceux qui existent</w:t>
      </w:r>
      <w:r w:rsidR="0080611A">
        <w:rPr>
          <w:bCs/>
          <w:lang w:val="fr-CA"/>
        </w:rPr>
        <w:t>,</w:t>
      </w:r>
      <w:r w:rsidR="00BD7F21" w:rsidRPr="00B3274C">
        <w:rPr>
          <w:bCs/>
          <w:lang w:val="fr-CA"/>
        </w:rPr>
        <w:t xml:space="preserve"> </w:t>
      </w:r>
      <w:r w:rsidR="002364AB" w:rsidRPr="00B3274C">
        <w:rPr>
          <w:bCs/>
          <w:lang w:val="fr-CA"/>
        </w:rPr>
        <w:t>renforcement de la capacité des hôpitaux</w:t>
      </w:r>
      <w:r w:rsidR="0080611A">
        <w:rPr>
          <w:bCs/>
          <w:lang w:val="fr-CA"/>
        </w:rPr>
        <w:t>,</w:t>
      </w:r>
      <w:r w:rsidR="00BD7F21" w:rsidRPr="00B3274C">
        <w:rPr>
          <w:bCs/>
          <w:lang w:val="fr-CA"/>
        </w:rPr>
        <w:t xml:space="preserve"> formation de travailleurs sanitaires</w:t>
      </w:r>
      <w:r w:rsidR="0080611A">
        <w:rPr>
          <w:bCs/>
          <w:lang w:val="fr-CA"/>
        </w:rPr>
        <w:t>,</w:t>
      </w:r>
      <w:r w:rsidR="00BD7F21" w:rsidRPr="00B3274C">
        <w:rPr>
          <w:bCs/>
          <w:lang w:val="fr-CA"/>
        </w:rPr>
        <w:t xml:space="preserve"> d</w:t>
      </w:r>
      <w:r w:rsidR="0080611A">
        <w:rPr>
          <w:bCs/>
          <w:lang w:val="fr-CA"/>
        </w:rPr>
        <w:t>’</w:t>
      </w:r>
      <w:r w:rsidR="002364AB" w:rsidRPr="00B3274C">
        <w:rPr>
          <w:bCs/>
          <w:lang w:val="fr-CA"/>
        </w:rPr>
        <w:t>agents de la santé publique et de la protection sociale</w:t>
      </w:r>
      <w:r w:rsidR="0080611A">
        <w:rPr>
          <w:bCs/>
          <w:lang w:val="fr-CA"/>
        </w:rPr>
        <w:t>,</w:t>
      </w:r>
      <w:r w:rsidR="002364AB" w:rsidRPr="00B3274C">
        <w:rPr>
          <w:bCs/>
          <w:lang w:val="fr-CA"/>
        </w:rPr>
        <w:t xml:space="preserve"> </w:t>
      </w:r>
      <w:r w:rsidR="007141A6" w:rsidRPr="00B3274C">
        <w:rPr>
          <w:bCs/>
          <w:lang w:val="fr-CA"/>
        </w:rPr>
        <w:t>améliorations</w:t>
      </w:r>
      <w:r w:rsidR="002364AB" w:rsidRPr="00B3274C">
        <w:rPr>
          <w:bCs/>
          <w:lang w:val="fr-CA"/>
        </w:rPr>
        <w:t xml:space="preserve"> dans le secteur de la santé mentale</w:t>
      </w:r>
      <w:r w:rsidR="0080611A">
        <w:rPr>
          <w:bCs/>
          <w:lang w:val="fr-CA"/>
        </w:rPr>
        <w:t>,</w:t>
      </w:r>
      <w:r w:rsidR="002364AB" w:rsidRPr="00B3274C">
        <w:rPr>
          <w:bCs/>
          <w:lang w:val="fr-CA"/>
        </w:rPr>
        <w:t xml:space="preserve"> y compris par la création </w:t>
      </w:r>
      <w:r w:rsidR="007141A6" w:rsidRPr="00B3274C">
        <w:rPr>
          <w:bCs/>
          <w:lang w:val="fr-CA"/>
        </w:rPr>
        <w:t>de structures résidentielles</w:t>
      </w:r>
      <w:r w:rsidR="0080611A">
        <w:rPr>
          <w:bCs/>
          <w:lang w:val="fr-CA"/>
        </w:rPr>
        <w:t>,</w:t>
      </w:r>
      <w:r w:rsidR="007141A6" w:rsidRPr="00B3274C">
        <w:rPr>
          <w:bCs/>
          <w:lang w:val="fr-CA"/>
        </w:rPr>
        <w:t xml:space="preserve"> </w:t>
      </w:r>
      <w:r w:rsidR="00BD7F21" w:rsidRPr="00B3274C">
        <w:rPr>
          <w:bCs/>
          <w:lang w:val="fr-CA"/>
        </w:rPr>
        <w:t>gestion</w:t>
      </w:r>
      <w:r w:rsidR="007141A6" w:rsidRPr="00B3274C">
        <w:rPr>
          <w:bCs/>
          <w:lang w:val="fr-CA"/>
        </w:rPr>
        <w:t xml:space="preserve"> de</w:t>
      </w:r>
      <w:r w:rsidR="002B432F" w:rsidRPr="00B3274C">
        <w:rPr>
          <w:bCs/>
          <w:lang w:val="fr-CA"/>
        </w:rPr>
        <w:t>s</w:t>
      </w:r>
      <w:r w:rsidR="007141A6" w:rsidRPr="00B3274C">
        <w:rPr>
          <w:bCs/>
          <w:lang w:val="fr-CA"/>
        </w:rPr>
        <w:t xml:space="preserve"> bureaux d</w:t>
      </w:r>
      <w:r w:rsidR="0080611A">
        <w:rPr>
          <w:bCs/>
          <w:lang w:val="fr-CA"/>
        </w:rPr>
        <w:t>’</w:t>
      </w:r>
      <w:r w:rsidR="007141A6" w:rsidRPr="00B3274C">
        <w:rPr>
          <w:bCs/>
          <w:lang w:val="fr-CA"/>
        </w:rPr>
        <w:t>aide sociale</w:t>
      </w:r>
      <w:r w:rsidR="0080611A">
        <w:rPr>
          <w:bCs/>
          <w:lang w:val="fr-CA"/>
        </w:rPr>
        <w:t>,</w:t>
      </w:r>
      <w:r w:rsidR="007141A6" w:rsidRPr="00B3274C">
        <w:rPr>
          <w:bCs/>
          <w:lang w:val="fr-CA"/>
        </w:rPr>
        <w:t xml:space="preserve"> désinstitutionnalisation </w:t>
      </w:r>
      <w:r w:rsidR="00614BAC">
        <w:rPr>
          <w:bCs/>
          <w:lang w:val="fr-CA"/>
        </w:rPr>
        <w:t>des personnes</w:t>
      </w:r>
      <w:r w:rsidR="007141A6" w:rsidRPr="00B3274C">
        <w:rPr>
          <w:bCs/>
          <w:lang w:val="fr-CA"/>
        </w:rPr>
        <w:t xml:space="preserve"> ayant des besoins particuliers</w:t>
      </w:r>
      <w:r w:rsidR="0080611A">
        <w:rPr>
          <w:bCs/>
          <w:lang w:val="fr-CA"/>
        </w:rPr>
        <w:t>,</w:t>
      </w:r>
      <w:r w:rsidR="007141A6" w:rsidRPr="00B3274C">
        <w:rPr>
          <w:bCs/>
          <w:lang w:val="fr-CA"/>
        </w:rPr>
        <w:t xml:space="preserve"> etc.</w:t>
      </w:r>
      <w:r w:rsidR="0055418C" w:rsidRPr="00B3274C">
        <w:rPr>
          <w:bCs/>
          <w:lang w:val="fr-CA"/>
        </w:rPr>
        <w:t xml:space="preserve"> </w:t>
      </w:r>
    </w:p>
    <w:p w:rsidR="00FB23D3" w:rsidRPr="00B3274C" w:rsidRDefault="00784DBF" w:rsidP="00D55B13">
      <w:pPr>
        <w:pStyle w:val="H1G"/>
        <w:rPr>
          <w:lang w:val="fr-CA"/>
        </w:rPr>
      </w:pPr>
      <w:r w:rsidRPr="00B3274C">
        <w:rPr>
          <w:lang w:val="fr-CA"/>
        </w:rPr>
        <w:tab/>
      </w:r>
      <w:r w:rsidRPr="00B3274C">
        <w:rPr>
          <w:lang w:val="fr-CA"/>
        </w:rPr>
        <w:tab/>
      </w:r>
      <w:r w:rsidR="00143356">
        <w:rPr>
          <w:lang w:val="fr-CA"/>
        </w:rPr>
        <w:t>Articles </w:t>
      </w:r>
      <w:r w:rsidR="00FB23D3" w:rsidRPr="00B3274C">
        <w:rPr>
          <w:lang w:val="fr-CA"/>
        </w:rPr>
        <w:t>13</w:t>
      </w:r>
      <w:r w:rsidR="00712D05" w:rsidRPr="00B3274C">
        <w:rPr>
          <w:lang w:val="fr-CA"/>
        </w:rPr>
        <w:t xml:space="preserve"> et </w:t>
      </w:r>
      <w:r w:rsidR="00FB23D3" w:rsidRPr="00B3274C">
        <w:rPr>
          <w:lang w:val="fr-CA"/>
        </w:rPr>
        <w:t>14</w:t>
      </w:r>
      <w:r w:rsidR="006F3B50" w:rsidRPr="00B3274C">
        <w:rPr>
          <w:lang w:val="fr-CA"/>
        </w:rPr>
        <w:br/>
      </w:r>
      <w:r w:rsidR="00712D05" w:rsidRPr="00B3274C">
        <w:rPr>
          <w:lang w:val="fr-CA"/>
        </w:rPr>
        <w:t>Droit à l</w:t>
      </w:r>
      <w:r w:rsidR="0080611A">
        <w:rPr>
          <w:lang w:val="fr-CA"/>
        </w:rPr>
        <w:t>’</w:t>
      </w:r>
      <w:r w:rsidR="00712D05" w:rsidRPr="00B3274C">
        <w:rPr>
          <w:lang w:val="fr-CA"/>
        </w:rPr>
        <w:t>éducation</w:t>
      </w:r>
    </w:p>
    <w:p w:rsidR="00FB23D3" w:rsidRPr="00B3274C" w:rsidRDefault="00107A47" w:rsidP="00107A47">
      <w:pPr>
        <w:pStyle w:val="SingleTxtG"/>
        <w:rPr>
          <w:lang w:val="fr-CA"/>
        </w:rPr>
      </w:pPr>
      <w:r w:rsidRPr="00B3274C">
        <w:rPr>
          <w:lang w:val="fr-CA"/>
        </w:rPr>
        <w:t>295.</w:t>
      </w:r>
      <w:r w:rsidRPr="00B3274C">
        <w:rPr>
          <w:lang w:val="fr-CA"/>
        </w:rPr>
        <w:tab/>
      </w:r>
      <w:r w:rsidR="00586226" w:rsidRPr="00B3274C">
        <w:rPr>
          <w:lang w:val="fr-CA"/>
        </w:rPr>
        <w:t>Entre autres questions clefs</w:t>
      </w:r>
      <w:r w:rsidR="0080611A">
        <w:rPr>
          <w:lang w:val="fr-CA"/>
        </w:rPr>
        <w:t>,</w:t>
      </w:r>
      <w:r w:rsidR="00586226" w:rsidRPr="00B3274C">
        <w:rPr>
          <w:lang w:val="fr-CA"/>
        </w:rPr>
        <w:t xml:space="preserve"> la politique grecque en matière d</w:t>
      </w:r>
      <w:r w:rsidR="0080611A">
        <w:rPr>
          <w:lang w:val="fr-CA"/>
        </w:rPr>
        <w:t>’</w:t>
      </w:r>
      <w:r w:rsidR="00586226" w:rsidRPr="00B3274C">
        <w:rPr>
          <w:lang w:val="fr-CA"/>
        </w:rPr>
        <w:t xml:space="preserve">éducation vise à </w:t>
      </w:r>
      <w:r w:rsidR="003F42B4">
        <w:rPr>
          <w:lang w:val="fr-CA"/>
        </w:rPr>
        <w:t>a) </w:t>
      </w:r>
      <w:r w:rsidR="00586226" w:rsidRPr="00B3274C">
        <w:rPr>
          <w:lang w:val="fr-CA"/>
        </w:rPr>
        <w:t xml:space="preserve">garantir </w:t>
      </w:r>
      <w:r w:rsidR="00A327DF" w:rsidRPr="00B3274C">
        <w:rPr>
          <w:lang w:val="fr-CA"/>
        </w:rPr>
        <w:t>l</w:t>
      </w:r>
      <w:r w:rsidR="0080611A">
        <w:rPr>
          <w:lang w:val="fr-CA"/>
        </w:rPr>
        <w:t>’</w:t>
      </w:r>
      <w:r w:rsidR="00A327DF" w:rsidRPr="00B3274C">
        <w:rPr>
          <w:lang w:val="fr-CA"/>
        </w:rPr>
        <w:t xml:space="preserve">accès universel à </w:t>
      </w:r>
      <w:r w:rsidR="00586226" w:rsidRPr="00B3274C">
        <w:rPr>
          <w:lang w:val="fr-CA"/>
        </w:rPr>
        <w:t>des services d</w:t>
      </w:r>
      <w:r w:rsidR="0080611A">
        <w:rPr>
          <w:lang w:val="fr-CA"/>
        </w:rPr>
        <w:t>’</w:t>
      </w:r>
      <w:r w:rsidR="00586226" w:rsidRPr="00B3274C">
        <w:rPr>
          <w:lang w:val="fr-CA"/>
        </w:rPr>
        <w:t>éducation de grande qualité</w:t>
      </w:r>
      <w:r w:rsidR="0080611A">
        <w:rPr>
          <w:lang w:val="fr-CA"/>
        </w:rPr>
        <w:t>,</w:t>
      </w:r>
      <w:r w:rsidR="00586226" w:rsidRPr="00B3274C">
        <w:rPr>
          <w:lang w:val="fr-CA"/>
        </w:rPr>
        <w:t xml:space="preserve"> </w:t>
      </w:r>
      <w:r w:rsidR="003F42B4">
        <w:rPr>
          <w:lang w:val="fr-CA"/>
        </w:rPr>
        <w:t>b) </w:t>
      </w:r>
      <w:r w:rsidR="0059166D" w:rsidRPr="00B3274C">
        <w:rPr>
          <w:lang w:val="fr-CA"/>
        </w:rPr>
        <w:t>répondre aux besoins particuliers de tous les enfants en matière d</w:t>
      </w:r>
      <w:r w:rsidR="0080611A">
        <w:rPr>
          <w:lang w:val="fr-CA"/>
        </w:rPr>
        <w:t>’</w:t>
      </w:r>
      <w:r w:rsidR="0059166D" w:rsidRPr="00B3274C">
        <w:rPr>
          <w:lang w:val="fr-CA"/>
        </w:rPr>
        <w:t>éducation</w:t>
      </w:r>
      <w:r w:rsidR="0080611A">
        <w:rPr>
          <w:lang w:val="fr-CA"/>
        </w:rPr>
        <w:t>,</w:t>
      </w:r>
      <w:r w:rsidR="0059166D" w:rsidRPr="00B3274C">
        <w:rPr>
          <w:lang w:val="fr-CA"/>
        </w:rPr>
        <w:t xml:space="preserve"> tout en respectant leur diversité</w:t>
      </w:r>
      <w:r w:rsidR="0080611A">
        <w:rPr>
          <w:lang w:val="fr-CA"/>
        </w:rPr>
        <w:t>,</w:t>
      </w:r>
      <w:r w:rsidR="0059166D" w:rsidRPr="00B3274C">
        <w:rPr>
          <w:lang w:val="fr-CA"/>
        </w:rPr>
        <w:t xml:space="preserve"> et </w:t>
      </w:r>
      <w:r w:rsidR="003F42B4">
        <w:rPr>
          <w:lang w:val="fr-CA"/>
        </w:rPr>
        <w:t>c) </w:t>
      </w:r>
      <w:r w:rsidR="0059166D" w:rsidRPr="00B3274C">
        <w:rPr>
          <w:lang w:val="fr-CA"/>
        </w:rPr>
        <w:t>lutter contre l</w:t>
      </w:r>
      <w:r w:rsidR="0080611A">
        <w:rPr>
          <w:lang w:val="fr-CA"/>
        </w:rPr>
        <w:t>’</w:t>
      </w:r>
      <w:r w:rsidR="0059166D" w:rsidRPr="00B3274C">
        <w:rPr>
          <w:lang w:val="fr-CA"/>
        </w:rPr>
        <w:t>exclusion dans le domaine de l</w:t>
      </w:r>
      <w:r w:rsidR="0080611A">
        <w:rPr>
          <w:lang w:val="fr-CA"/>
        </w:rPr>
        <w:t>’</w:t>
      </w:r>
      <w:r w:rsidR="0059166D" w:rsidRPr="00B3274C">
        <w:rPr>
          <w:lang w:val="fr-CA"/>
        </w:rPr>
        <w:t>éducation. Les concepts et principes fondamentaux de l</w:t>
      </w:r>
      <w:r w:rsidR="0080611A">
        <w:rPr>
          <w:lang w:val="fr-CA"/>
        </w:rPr>
        <w:t>’</w:t>
      </w:r>
      <w:r w:rsidR="0059166D" w:rsidRPr="00B3274C">
        <w:rPr>
          <w:lang w:val="fr-CA"/>
        </w:rPr>
        <w:t>éducation interculturelle et de l</w:t>
      </w:r>
      <w:r w:rsidR="0080611A">
        <w:rPr>
          <w:lang w:val="fr-CA"/>
        </w:rPr>
        <w:t>’</w:t>
      </w:r>
      <w:r w:rsidR="0059166D" w:rsidRPr="00B3274C">
        <w:rPr>
          <w:lang w:val="fr-CA"/>
        </w:rPr>
        <w:t>éducation aux droits de l</w:t>
      </w:r>
      <w:r w:rsidR="0080611A">
        <w:rPr>
          <w:lang w:val="fr-CA"/>
        </w:rPr>
        <w:t>’</w:t>
      </w:r>
      <w:r w:rsidR="0059166D" w:rsidRPr="00B3274C">
        <w:rPr>
          <w:lang w:val="fr-CA"/>
        </w:rPr>
        <w:t>homme sous-tendent la politique générale en matière d</w:t>
      </w:r>
      <w:r w:rsidR="0080611A">
        <w:rPr>
          <w:lang w:val="fr-CA"/>
        </w:rPr>
        <w:t>’</w:t>
      </w:r>
      <w:r w:rsidR="0059166D" w:rsidRPr="00B3274C">
        <w:rPr>
          <w:lang w:val="fr-CA"/>
        </w:rPr>
        <w:t>éducation et ont</w:t>
      </w:r>
      <w:r w:rsidR="0080611A">
        <w:rPr>
          <w:lang w:val="fr-CA"/>
        </w:rPr>
        <w:t>,</w:t>
      </w:r>
      <w:r w:rsidR="0059166D" w:rsidRPr="00B3274C">
        <w:rPr>
          <w:lang w:val="fr-CA"/>
        </w:rPr>
        <w:t xml:space="preserve"> de ce fait</w:t>
      </w:r>
      <w:r w:rsidR="0080611A">
        <w:rPr>
          <w:lang w:val="fr-CA"/>
        </w:rPr>
        <w:t>,</w:t>
      </w:r>
      <w:r w:rsidR="0059166D" w:rsidRPr="00B3274C">
        <w:rPr>
          <w:lang w:val="fr-CA"/>
        </w:rPr>
        <w:t xml:space="preserve"> été inclus dans les programmes scolaires de l</w:t>
      </w:r>
      <w:r w:rsidR="0080611A">
        <w:rPr>
          <w:lang w:val="fr-CA"/>
        </w:rPr>
        <w:t>’</w:t>
      </w:r>
      <w:r w:rsidR="0059166D" w:rsidRPr="00B3274C">
        <w:rPr>
          <w:lang w:val="fr-CA"/>
        </w:rPr>
        <w:t>enseignement primaire et secondaire. Les manuels scolaires ont été et continuent d</w:t>
      </w:r>
      <w:r w:rsidR="0080611A">
        <w:rPr>
          <w:lang w:val="fr-CA"/>
        </w:rPr>
        <w:t>’</w:t>
      </w:r>
      <w:r w:rsidR="0059166D" w:rsidRPr="00B3274C">
        <w:rPr>
          <w:lang w:val="fr-CA"/>
        </w:rPr>
        <w:t>être révisés pour favoriser la compréhension et le respect de la différence et développer l</w:t>
      </w:r>
      <w:r w:rsidR="0080611A">
        <w:rPr>
          <w:lang w:val="fr-CA"/>
        </w:rPr>
        <w:t>’</w:t>
      </w:r>
      <w:r w:rsidR="0059166D" w:rsidRPr="00B3274C">
        <w:rPr>
          <w:lang w:val="fr-CA"/>
        </w:rPr>
        <w:t>intérêt pour les croyances</w:t>
      </w:r>
      <w:r w:rsidR="0080611A">
        <w:rPr>
          <w:lang w:val="fr-CA"/>
        </w:rPr>
        <w:t>,</w:t>
      </w:r>
      <w:r w:rsidR="0059166D" w:rsidRPr="00B3274C">
        <w:rPr>
          <w:lang w:val="fr-CA"/>
        </w:rPr>
        <w:t xml:space="preserve"> la religion ainsi que le mode de vie et de pensée d</w:t>
      </w:r>
      <w:r w:rsidR="0080611A">
        <w:rPr>
          <w:lang w:val="fr-CA"/>
        </w:rPr>
        <w:t>’</w:t>
      </w:r>
      <w:r w:rsidR="0059166D" w:rsidRPr="00B3274C">
        <w:rPr>
          <w:lang w:val="fr-CA"/>
        </w:rPr>
        <w:t>autrui</w:t>
      </w:r>
      <w:r w:rsidR="00FB23D3" w:rsidRPr="00B3274C">
        <w:rPr>
          <w:lang w:val="fr-CA"/>
        </w:rPr>
        <w:t xml:space="preserve">. </w:t>
      </w:r>
    </w:p>
    <w:p w:rsidR="00FB23D3" w:rsidRPr="00B3274C" w:rsidRDefault="00107A47" w:rsidP="00107A47">
      <w:pPr>
        <w:pStyle w:val="SingleTxtG"/>
        <w:rPr>
          <w:lang w:val="fr-CA"/>
        </w:rPr>
      </w:pPr>
      <w:r w:rsidRPr="00B3274C">
        <w:rPr>
          <w:lang w:val="fr-CA"/>
        </w:rPr>
        <w:t>296.</w:t>
      </w:r>
      <w:r w:rsidRPr="00B3274C">
        <w:rPr>
          <w:lang w:val="fr-CA"/>
        </w:rPr>
        <w:tab/>
      </w:r>
      <w:r w:rsidR="00A75BF7" w:rsidRPr="00B3274C">
        <w:rPr>
          <w:lang w:val="fr-CA"/>
        </w:rPr>
        <w:t xml:space="preserve">Les trois grands projets nationaux: </w:t>
      </w:r>
      <w:r w:rsidR="003F42B4">
        <w:rPr>
          <w:lang w:val="fr-CA"/>
        </w:rPr>
        <w:t>a) «</w:t>
      </w:r>
      <w:r w:rsidR="00143356">
        <w:rPr>
          <w:lang w:val="fr-CA"/>
        </w:rPr>
        <w:t>É</w:t>
      </w:r>
      <w:r w:rsidR="00A75BF7" w:rsidRPr="00B3274C">
        <w:rPr>
          <w:lang w:val="fr-CA"/>
        </w:rPr>
        <w:t>ducation des étudiants immigrés et rapatriés</w:t>
      </w:r>
      <w:r w:rsidR="0055418C" w:rsidRPr="00B3274C">
        <w:rPr>
          <w:lang w:val="fr-CA"/>
        </w:rPr>
        <w:t>»</w:t>
      </w:r>
      <w:r w:rsidR="0080611A">
        <w:rPr>
          <w:lang w:val="fr-CA"/>
        </w:rPr>
        <w:t>,</w:t>
      </w:r>
      <w:r w:rsidR="00A75BF7" w:rsidRPr="00B3274C">
        <w:rPr>
          <w:lang w:val="fr-CA"/>
        </w:rPr>
        <w:t xml:space="preserve"> </w:t>
      </w:r>
      <w:r w:rsidR="003F42B4">
        <w:rPr>
          <w:lang w:val="fr-CA"/>
        </w:rPr>
        <w:t>b) </w:t>
      </w:r>
      <w:r w:rsidR="0055418C" w:rsidRPr="00B3274C">
        <w:rPr>
          <w:lang w:val="fr-CA"/>
        </w:rPr>
        <w:t>«</w:t>
      </w:r>
      <w:r w:rsidR="00143356">
        <w:rPr>
          <w:lang w:val="fr-CA"/>
        </w:rPr>
        <w:t>É</w:t>
      </w:r>
      <w:r w:rsidR="00A75BF7" w:rsidRPr="00B3274C">
        <w:rPr>
          <w:lang w:val="fr-CA"/>
        </w:rPr>
        <w:t>ducation des enfants de la minorité musulmane de Thrace</w:t>
      </w:r>
      <w:r w:rsidR="0055418C" w:rsidRPr="00B3274C">
        <w:rPr>
          <w:lang w:val="fr-CA"/>
        </w:rPr>
        <w:t>»</w:t>
      </w:r>
      <w:r w:rsidR="00A75BF7" w:rsidRPr="00B3274C">
        <w:rPr>
          <w:lang w:val="fr-CA"/>
        </w:rPr>
        <w:t xml:space="preserve"> et </w:t>
      </w:r>
      <w:r w:rsidR="003F42B4">
        <w:rPr>
          <w:lang w:val="fr-CA"/>
        </w:rPr>
        <w:t>c) «</w:t>
      </w:r>
      <w:r w:rsidR="00143356">
        <w:rPr>
          <w:lang w:val="fr-CA"/>
        </w:rPr>
        <w:t>É</w:t>
      </w:r>
      <w:r w:rsidR="003F42B4" w:rsidRPr="00B3274C">
        <w:rPr>
          <w:lang w:val="fr-CA"/>
        </w:rPr>
        <w:t>ducation</w:t>
      </w:r>
      <w:r w:rsidR="00A75BF7" w:rsidRPr="00B3274C">
        <w:rPr>
          <w:lang w:val="fr-CA"/>
        </w:rPr>
        <w:t xml:space="preserve"> des enfants roms</w:t>
      </w:r>
      <w:r w:rsidR="0055418C" w:rsidRPr="00B3274C">
        <w:rPr>
          <w:lang w:val="fr-CA"/>
        </w:rPr>
        <w:t>»</w:t>
      </w:r>
      <w:r w:rsidR="00011904" w:rsidRPr="00B3274C">
        <w:rPr>
          <w:lang w:val="fr-CA"/>
        </w:rPr>
        <w:t xml:space="preserve"> </w:t>
      </w:r>
      <w:r w:rsidR="009D366D" w:rsidRPr="00B3274C">
        <w:rPr>
          <w:lang w:val="fr-CA"/>
        </w:rPr>
        <w:t>se poursuivent</w:t>
      </w:r>
      <w:r w:rsidR="00011904" w:rsidRPr="00B3274C">
        <w:rPr>
          <w:lang w:val="fr-CA"/>
        </w:rPr>
        <w:t xml:space="preserve"> dans le système éducatif grec sous le contrôle du Ministère de l</w:t>
      </w:r>
      <w:r w:rsidR="0080611A">
        <w:rPr>
          <w:lang w:val="fr-CA"/>
        </w:rPr>
        <w:t>’</w:t>
      </w:r>
      <w:r w:rsidR="00011904" w:rsidRPr="00B3274C">
        <w:rPr>
          <w:lang w:val="fr-CA"/>
        </w:rPr>
        <w:t>éducation (depuis l</w:t>
      </w:r>
      <w:r w:rsidR="0080611A">
        <w:rPr>
          <w:lang w:val="fr-CA"/>
        </w:rPr>
        <w:t>’</w:t>
      </w:r>
      <w:r w:rsidR="00011904" w:rsidRPr="00B3274C">
        <w:rPr>
          <w:lang w:val="fr-CA"/>
        </w:rPr>
        <w:t>année scolaire 2010</w:t>
      </w:r>
      <w:r w:rsidR="003F42B4">
        <w:rPr>
          <w:lang w:val="fr-CA"/>
        </w:rPr>
        <w:t>/</w:t>
      </w:r>
      <w:r w:rsidR="00011904" w:rsidRPr="00B3274C">
        <w:rPr>
          <w:lang w:val="fr-CA"/>
        </w:rPr>
        <w:t>11)</w:t>
      </w:r>
      <w:r w:rsidR="00FB23D3" w:rsidRPr="00B3274C">
        <w:rPr>
          <w:lang w:val="fr-CA"/>
        </w:rPr>
        <w:t xml:space="preserve"> </w:t>
      </w:r>
      <w:r w:rsidR="009D366D" w:rsidRPr="00B3274C">
        <w:rPr>
          <w:lang w:val="fr-CA"/>
        </w:rPr>
        <w:t>qui</w:t>
      </w:r>
      <w:r w:rsidR="0080611A">
        <w:rPr>
          <w:lang w:val="fr-CA"/>
        </w:rPr>
        <w:t>,</w:t>
      </w:r>
      <w:r w:rsidR="009D366D" w:rsidRPr="00B3274C">
        <w:rPr>
          <w:lang w:val="fr-CA"/>
        </w:rPr>
        <w:t xml:space="preserve"> principalement</w:t>
      </w:r>
      <w:r w:rsidR="0080611A">
        <w:rPr>
          <w:lang w:val="fr-CA"/>
        </w:rPr>
        <w:t>,</w:t>
      </w:r>
      <w:r w:rsidR="009D366D" w:rsidRPr="00B3274C">
        <w:rPr>
          <w:lang w:val="fr-CA"/>
        </w:rPr>
        <w:t xml:space="preserve"> facilite les travaux</w:t>
      </w:r>
      <w:r w:rsidR="0080611A">
        <w:rPr>
          <w:lang w:val="fr-CA"/>
        </w:rPr>
        <w:t>,</w:t>
      </w:r>
      <w:r w:rsidR="009D366D" w:rsidRPr="00B3274C">
        <w:rPr>
          <w:lang w:val="fr-CA"/>
        </w:rPr>
        <w:t xml:space="preserve"> oriente les activités et contrôle les résultats</w:t>
      </w:r>
      <w:r w:rsidR="00FB23D3" w:rsidRPr="00B3274C">
        <w:rPr>
          <w:lang w:val="fr-CA"/>
        </w:rPr>
        <w:t>.</w:t>
      </w:r>
    </w:p>
    <w:p w:rsidR="00FB23D3" w:rsidRPr="00B3274C" w:rsidRDefault="00784DBF" w:rsidP="006D0433">
      <w:pPr>
        <w:pStyle w:val="H23G"/>
        <w:rPr>
          <w:caps/>
          <w:u w:val="single"/>
          <w:lang w:val="fr-CA"/>
        </w:rPr>
      </w:pPr>
      <w:r w:rsidRPr="00B3274C">
        <w:rPr>
          <w:lang w:val="fr-CA"/>
        </w:rPr>
        <w:tab/>
      </w:r>
      <w:r w:rsidR="006D0433" w:rsidRPr="00B3274C">
        <w:rPr>
          <w:lang w:val="fr-CA"/>
        </w:rPr>
        <w:t>1.</w:t>
      </w:r>
      <w:r w:rsidRPr="00B3274C">
        <w:rPr>
          <w:lang w:val="fr-CA"/>
        </w:rPr>
        <w:tab/>
      </w:r>
      <w:r w:rsidR="009D366D" w:rsidRPr="00B3274C">
        <w:rPr>
          <w:lang w:val="fr-CA"/>
        </w:rPr>
        <w:t>Éducation des enfants de la minorité musulmane (par</w:t>
      </w:r>
      <w:r w:rsidRPr="00B3274C">
        <w:rPr>
          <w:lang w:val="fr-CA"/>
        </w:rPr>
        <w:t>. </w:t>
      </w:r>
      <w:r w:rsidR="009D366D" w:rsidRPr="00B3274C">
        <w:rPr>
          <w:lang w:val="fr-CA"/>
        </w:rPr>
        <w:t>28 et</w:t>
      </w:r>
      <w:r w:rsidR="00FB23D3" w:rsidRPr="00B3274C">
        <w:rPr>
          <w:lang w:val="fr-CA"/>
        </w:rPr>
        <w:t xml:space="preserve"> 50 </w:t>
      </w:r>
      <w:r w:rsidR="009D366D" w:rsidRPr="00B3274C">
        <w:rPr>
          <w:lang w:val="fr-CA"/>
        </w:rPr>
        <w:t>des observations finales du Comité</w:t>
      </w:r>
      <w:r w:rsidR="00FB23D3" w:rsidRPr="00B3274C">
        <w:rPr>
          <w:lang w:val="fr-CA"/>
        </w:rPr>
        <w:t>)</w:t>
      </w:r>
    </w:p>
    <w:p w:rsidR="00FB23D3" w:rsidRPr="00B3274C" w:rsidRDefault="00107A47" w:rsidP="00107A47">
      <w:pPr>
        <w:pStyle w:val="SingleTxtG"/>
        <w:rPr>
          <w:lang w:val="fr-CA"/>
        </w:rPr>
      </w:pPr>
      <w:r w:rsidRPr="00B3274C">
        <w:rPr>
          <w:lang w:val="fr-CA"/>
        </w:rPr>
        <w:t>297.</w:t>
      </w:r>
      <w:r w:rsidRPr="00B3274C">
        <w:rPr>
          <w:lang w:val="fr-CA"/>
        </w:rPr>
        <w:tab/>
      </w:r>
      <w:r w:rsidR="009D366D" w:rsidRPr="00B3274C">
        <w:rPr>
          <w:lang w:val="fr-CA"/>
        </w:rPr>
        <w:t>Le gouvernement grec est fermement résolu à poursuivre sa politique de défense du droit à l</w:t>
      </w:r>
      <w:r w:rsidR="0080611A">
        <w:rPr>
          <w:lang w:val="fr-CA"/>
        </w:rPr>
        <w:t>’</w:t>
      </w:r>
      <w:r w:rsidR="009D366D" w:rsidRPr="00B3274C">
        <w:rPr>
          <w:lang w:val="fr-CA"/>
        </w:rPr>
        <w:t>éducation de la minorité musulmane</w:t>
      </w:r>
      <w:r w:rsidR="00391F10" w:rsidRPr="00B3274C">
        <w:rPr>
          <w:lang w:val="fr-CA"/>
        </w:rPr>
        <w:t xml:space="preserve">. Le projet </w:t>
      </w:r>
      <w:r w:rsidR="0055418C" w:rsidRPr="00B3274C">
        <w:rPr>
          <w:lang w:val="fr-CA"/>
        </w:rPr>
        <w:t>«</w:t>
      </w:r>
      <w:r w:rsidR="00F74BB7" w:rsidRPr="00B3274C">
        <w:rPr>
          <w:lang w:val="fr-CA"/>
        </w:rPr>
        <w:t>É</w:t>
      </w:r>
      <w:r w:rsidR="00391F10" w:rsidRPr="00B3274C">
        <w:rPr>
          <w:lang w:val="fr-CA"/>
        </w:rPr>
        <w:t>ducation des enfants de la minorité musulmane de Thrace</w:t>
      </w:r>
      <w:r w:rsidR="0055418C" w:rsidRPr="00B3274C">
        <w:rPr>
          <w:lang w:val="fr-CA"/>
        </w:rPr>
        <w:t>»</w:t>
      </w:r>
      <w:r w:rsidR="00391F10" w:rsidRPr="00B3274C">
        <w:rPr>
          <w:lang w:val="fr-CA"/>
        </w:rPr>
        <w:t xml:space="preserve"> s</w:t>
      </w:r>
      <w:r w:rsidR="0080611A">
        <w:rPr>
          <w:lang w:val="fr-CA"/>
        </w:rPr>
        <w:t>’</w:t>
      </w:r>
      <w:r w:rsidR="00391F10" w:rsidRPr="00B3274C">
        <w:rPr>
          <w:lang w:val="fr-CA"/>
        </w:rPr>
        <w:t>inscrit dans la politique de l</w:t>
      </w:r>
      <w:r w:rsidR="0080611A">
        <w:rPr>
          <w:lang w:val="fr-CA"/>
        </w:rPr>
        <w:t>’</w:t>
      </w:r>
      <w:r w:rsidR="00391F10" w:rsidRPr="00B3274C">
        <w:rPr>
          <w:lang w:val="fr-CA"/>
        </w:rPr>
        <w:t>État grec en faveur de la minorité musulmane de Thrace</w:t>
      </w:r>
      <w:r w:rsidR="00EC5892" w:rsidRPr="00B3274C">
        <w:rPr>
          <w:lang w:val="fr-CA"/>
        </w:rPr>
        <w:t>;</w:t>
      </w:r>
      <w:r w:rsidR="00391F10" w:rsidRPr="00B3274C">
        <w:rPr>
          <w:lang w:val="fr-CA"/>
        </w:rPr>
        <w:t xml:space="preserve"> lancé dans les années 90</w:t>
      </w:r>
      <w:r w:rsidR="0080611A">
        <w:rPr>
          <w:lang w:val="fr-CA"/>
        </w:rPr>
        <w:t>,</w:t>
      </w:r>
      <w:r w:rsidR="00391F10" w:rsidRPr="00B3274C">
        <w:rPr>
          <w:lang w:val="fr-CA"/>
        </w:rPr>
        <w:t xml:space="preserve"> il est actuellement dans sa quatrième phase. Ce projet vise essentiellement à améliorer l</w:t>
      </w:r>
      <w:r w:rsidR="0080611A">
        <w:rPr>
          <w:lang w:val="fr-CA"/>
        </w:rPr>
        <w:t>’</w:t>
      </w:r>
      <w:r w:rsidR="00391F10" w:rsidRPr="00B3274C">
        <w:rPr>
          <w:lang w:val="fr-CA"/>
        </w:rPr>
        <w:t>éducation des enfants de cette minorité et de favoriser leur intégration dans la société en tant que citoyens à part entière de la Grèce et de l</w:t>
      </w:r>
      <w:r w:rsidR="0080611A">
        <w:rPr>
          <w:lang w:val="fr-CA"/>
        </w:rPr>
        <w:t>’</w:t>
      </w:r>
      <w:r w:rsidR="00391F10" w:rsidRPr="00B3274C">
        <w:rPr>
          <w:lang w:val="fr-CA"/>
        </w:rPr>
        <w:t xml:space="preserve">Union européenne. </w:t>
      </w:r>
    </w:p>
    <w:p w:rsidR="00FB23D3" w:rsidRPr="00B3274C" w:rsidRDefault="00107A47" w:rsidP="00107A47">
      <w:pPr>
        <w:pStyle w:val="SingleTxtG"/>
        <w:rPr>
          <w:lang w:val="fr-CA"/>
        </w:rPr>
      </w:pPr>
      <w:r w:rsidRPr="00B3274C">
        <w:rPr>
          <w:lang w:val="fr-CA"/>
        </w:rPr>
        <w:t>298.</w:t>
      </w:r>
      <w:r w:rsidRPr="00B3274C">
        <w:rPr>
          <w:lang w:val="fr-CA"/>
        </w:rPr>
        <w:tab/>
      </w:r>
      <w:r w:rsidR="00482C34" w:rsidRPr="00B3274C">
        <w:rPr>
          <w:lang w:val="fr-CA"/>
        </w:rPr>
        <w:t>Conformément au Traité de Lausanne de 1923</w:t>
      </w:r>
      <w:r w:rsidR="0080611A">
        <w:rPr>
          <w:lang w:val="fr-CA"/>
        </w:rPr>
        <w:t>,</w:t>
      </w:r>
      <w:r w:rsidR="00482C34" w:rsidRPr="00B3274C">
        <w:rPr>
          <w:lang w:val="fr-CA"/>
        </w:rPr>
        <w:t xml:space="preserve"> la Grèce ga</w:t>
      </w:r>
      <w:r w:rsidR="00635870" w:rsidRPr="00B3274C">
        <w:rPr>
          <w:lang w:val="fr-CA"/>
        </w:rPr>
        <w:t>rantit</w:t>
      </w:r>
      <w:r w:rsidR="00482C34" w:rsidRPr="00B3274C">
        <w:rPr>
          <w:lang w:val="fr-CA"/>
        </w:rPr>
        <w:t xml:space="preserve"> le bon fonctionnement des écoles minoritaires existantes</w:t>
      </w:r>
      <w:r w:rsidR="0080611A">
        <w:rPr>
          <w:lang w:val="fr-CA"/>
        </w:rPr>
        <w:t>,</w:t>
      </w:r>
      <w:r w:rsidR="00635870" w:rsidRPr="00B3274C">
        <w:rPr>
          <w:lang w:val="fr-CA"/>
        </w:rPr>
        <w:t xml:space="preserve"> qui sont soutenues et financées par l</w:t>
      </w:r>
      <w:r w:rsidR="0080611A">
        <w:rPr>
          <w:lang w:val="fr-CA"/>
        </w:rPr>
        <w:t>’</w:t>
      </w:r>
      <w:r w:rsidR="00635870" w:rsidRPr="00B3274C">
        <w:rPr>
          <w:lang w:val="fr-CA"/>
        </w:rPr>
        <w:t>État. Il existe actuellement 174 écoles minoritaires d</w:t>
      </w:r>
      <w:r w:rsidR="0080611A">
        <w:rPr>
          <w:lang w:val="fr-CA"/>
        </w:rPr>
        <w:t>’</w:t>
      </w:r>
      <w:r w:rsidR="00635870" w:rsidRPr="00B3274C">
        <w:rPr>
          <w:lang w:val="fr-CA"/>
        </w:rPr>
        <w:t>enseignement primaire</w:t>
      </w:r>
      <w:r w:rsidR="0080611A">
        <w:rPr>
          <w:lang w:val="fr-CA"/>
        </w:rPr>
        <w:t>,</w:t>
      </w:r>
      <w:r w:rsidR="00F273E9" w:rsidRPr="00B3274C">
        <w:rPr>
          <w:lang w:val="fr-CA"/>
        </w:rPr>
        <w:t xml:space="preserve"> deux </w:t>
      </w:r>
      <w:r w:rsidR="00635870" w:rsidRPr="00B3274C">
        <w:rPr>
          <w:lang w:val="fr-CA"/>
        </w:rPr>
        <w:t>écoles d</w:t>
      </w:r>
      <w:r w:rsidR="0080611A">
        <w:rPr>
          <w:lang w:val="fr-CA"/>
        </w:rPr>
        <w:t>’</w:t>
      </w:r>
      <w:r w:rsidR="00635870" w:rsidRPr="00B3274C">
        <w:rPr>
          <w:lang w:val="fr-CA"/>
        </w:rPr>
        <w:t>enseignement secondaire et</w:t>
      </w:r>
      <w:r w:rsidR="00F273E9" w:rsidRPr="00B3274C">
        <w:rPr>
          <w:lang w:val="fr-CA"/>
        </w:rPr>
        <w:t xml:space="preserve"> deux </w:t>
      </w:r>
      <w:r w:rsidR="00635870" w:rsidRPr="00B3274C">
        <w:rPr>
          <w:lang w:val="fr-CA"/>
        </w:rPr>
        <w:t>séminaires en Thrace. La plupart des enfants en âge de fréquenter l</w:t>
      </w:r>
      <w:r w:rsidR="0080611A">
        <w:rPr>
          <w:lang w:val="fr-CA"/>
        </w:rPr>
        <w:t>’</w:t>
      </w:r>
      <w:r w:rsidR="00635870" w:rsidRPr="00B3274C">
        <w:rPr>
          <w:lang w:val="fr-CA"/>
        </w:rPr>
        <w:t>école primaire suivent l</w:t>
      </w:r>
      <w:r w:rsidR="0080611A">
        <w:rPr>
          <w:lang w:val="fr-CA"/>
        </w:rPr>
        <w:t>’</w:t>
      </w:r>
      <w:r w:rsidR="00635870" w:rsidRPr="00B3274C">
        <w:rPr>
          <w:lang w:val="fr-CA"/>
        </w:rPr>
        <w:t>enseignement dispensé aux minorités</w:t>
      </w:r>
      <w:r w:rsidR="0080611A">
        <w:rPr>
          <w:lang w:val="fr-CA"/>
        </w:rPr>
        <w:t>,</w:t>
      </w:r>
      <w:r w:rsidR="00635870" w:rsidRPr="00B3274C">
        <w:rPr>
          <w:lang w:val="fr-CA"/>
        </w:rPr>
        <w:t xml:space="preserve"> qui offre un programme bilingue dans le cadre duquel le grec et le turc sont utilisés comme langues d</w:t>
      </w:r>
      <w:r w:rsidR="0080611A">
        <w:rPr>
          <w:lang w:val="fr-CA"/>
        </w:rPr>
        <w:t>’</w:t>
      </w:r>
      <w:r w:rsidR="00635870" w:rsidRPr="00B3274C">
        <w:rPr>
          <w:lang w:val="fr-CA"/>
        </w:rPr>
        <w:t xml:space="preserve">enseignement mais sont aussi enseignés en tant que matières distinctes inscrites au programme. </w:t>
      </w:r>
    </w:p>
    <w:p w:rsidR="00FB23D3" w:rsidRPr="00B3274C" w:rsidRDefault="00107A47" w:rsidP="00107A47">
      <w:pPr>
        <w:pStyle w:val="SingleTxtG"/>
        <w:rPr>
          <w:bCs/>
          <w:lang w:val="fr-CA"/>
        </w:rPr>
      </w:pPr>
      <w:r w:rsidRPr="00B3274C">
        <w:rPr>
          <w:bCs/>
          <w:lang w:val="fr-CA"/>
        </w:rPr>
        <w:t>299.</w:t>
      </w:r>
      <w:r w:rsidRPr="00B3274C">
        <w:rPr>
          <w:bCs/>
          <w:lang w:val="fr-CA"/>
        </w:rPr>
        <w:tab/>
      </w:r>
      <w:r w:rsidR="000566BC" w:rsidRPr="00B3274C">
        <w:rPr>
          <w:bCs/>
          <w:lang w:val="fr-CA"/>
        </w:rPr>
        <w:t xml:space="preserve">Un nombre croissant </w:t>
      </w:r>
      <w:r w:rsidR="00614BAC">
        <w:rPr>
          <w:bCs/>
          <w:lang w:val="fr-CA"/>
        </w:rPr>
        <w:t>de personnes</w:t>
      </w:r>
      <w:r w:rsidR="000566BC" w:rsidRPr="00B3274C">
        <w:rPr>
          <w:bCs/>
          <w:lang w:val="fr-CA"/>
        </w:rPr>
        <w:t xml:space="preserve"> appartenant à la minorité musulmane de Thrace manifestent une préférence pour le système éducatif public ordinaire. Les autorités compétentes ont tenu compte de cette préférence et proposent des cours qui visent à préserver les caractéristiques culturelles et linguistiques </w:t>
      </w:r>
      <w:r w:rsidR="00614BAC">
        <w:rPr>
          <w:bCs/>
          <w:lang w:val="fr-CA"/>
        </w:rPr>
        <w:t>des personnes</w:t>
      </w:r>
      <w:r w:rsidR="000566BC" w:rsidRPr="00B3274C">
        <w:rPr>
          <w:bCs/>
          <w:lang w:val="fr-CA"/>
        </w:rPr>
        <w:t xml:space="preserve"> appartenant à cette minorité qui fréquentent des écoles ordinaires</w:t>
      </w:r>
      <w:r w:rsidR="00FB23D3" w:rsidRPr="00B3274C">
        <w:rPr>
          <w:bCs/>
          <w:lang w:val="fr-CA"/>
        </w:rPr>
        <w:t xml:space="preserve">. </w:t>
      </w:r>
    </w:p>
    <w:p w:rsidR="00FB23D3" w:rsidRPr="00B3274C" w:rsidRDefault="00107A47" w:rsidP="00107A47">
      <w:pPr>
        <w:pStyle w:val="SingleTxtG"/>
        <w:rPr>
          <w:bCs/>
          <w:lang w:val="fr-CA"/>
        </w:rPr>
      </w:pPr>
      <w:r w:rsidRPr="00B3274C">
        <w:rPr>
          <w:bCs/>
          <w:lang w:val="fr-CA"/>
        </w:rPr>
        <w:t>300.</w:t>
      </w:r>
      <w:r w:rsidRPr="00B3274C">
        <w:rPr>
          <w:bCs/>
          <w:lang w:val="fr-CA"/>
        </w:rPr>
        <w:tab/>
      </w:r>
      <w:r w:rsidR="00F273E9" w:rsidRPr="00B3274C">
        <w:rPr>
          <w:bCs/>
          <w:lang w:val="fr-CA"/>
        </w:rPr>
        <w:t>C</w:t>
      </w:r>
      <w:r w:rsidR="0080611A">
        <w:rPr>
          <w:bCs/>
          <w:lang w:val="fr-CA"/>
        </w:rPr>
        <w:t>’</w:t>
      </w:r>
      <w:r w:rsidR="00F273E9" w:rsidRPr="00B3274C">
        <w:rPr>
          <w:bCs/>
          <w:lang w:val="fr-CA"/>
        </w:rPr>
        <w:t>est ainsi que des cours facultatifs de turc ont été introduits à titre expérimental dans cinq établissements publics du premier cycle de l</w:t>
      </w:r>
      <w:r w:rsidR="0080611A">
        <w:rPr>
          <w:bCs/>
          <w:lang w:val="fr-CA"/>
        </w:rPr>
        <w:t>’</w:t>
      </w:r>
      <w:r w:rsidR="00F273E9" w:rsidRPr="00B3274C">
        <w:rPr>
          <w:bCs/>
          <w:lang w:val="fr-CA"/>
        </w:rPr>
        <w:t>enseignement secondaire en Thrace. En parallèle</w:t>
      </w:r>
      <w:r w:rsidR="0080611A">
        <w:rPr>
          <w:bCs/>
          <w:lang w:val="fr-CA"/>
        </w:rPr>
        <w:t>,</w:t>
      </w:r>
      <w:r w:rsidR="00F273E9" w:rsidRPr="00B3274C">
        <w:rPr>
          <w:bCs/>
          <w:lang w:val="fr-CA"/>
        </w:rPr>
        <w:t xml:space="preserve"> des cours de langue et de civilisation grecques sont proposés aux parents musulmans. Cette approche à deux niveaux s</w:t>
      </w:r>
      <w:r w:rsidR="0080611A">
        <w:rPr>
          <w:bCs/>
          <w:lang w:val="fr-CA"/>
        </w:rPr>
        <w:t>’</w:t>
      </w:r>
      <w:r w:rsidR="00F273E9" w:rsidRPr="00B3274C">
        <w:rPr>
          <w:bCs/>
          <w:lang w:val="fr-CA"/>
        </w:rPr>
        <w:t>est révélée utile tant pour les élèves que pour les parents de la minorité musulmane</w:t>
      </w:r>
      <w:r w:rsidR="00FB23D3" w:rsidRPr="00B3274C">
        <w:rPr>
          <w:bCs/>
          <w:lang w:val="fr-CA"/>
        </w:rPr>
        <w:t>.</w:t>
      </w:r>
    </w:p>
    <w:p w:rsidR="00FB23D3" w:rsidRPr="00B3274C" w:rsidRDefault="00107A47" w:rsidP="00107A47">
      <w:pPr>
        <w:pStyle w:val="SingleTxtG"/>
        <w:rPr>
          <w:bCs/>
          <w:lang w:val="fr-CA"/>
        </w:rPr>
      </w:pPr>
      <w:r w:rsidRPr="00B3274C">
        <w:rPr>
          <w:bCs/>
          <w:lang w:val="fr-CA"/>
        </w:rPr>
        <w:t>301.</w:t>
      </w:r>
      <w:r w:rsidRPr="00B3274C">
        <w:rPr>
          <w:bCs/>
          <w:lang w:val="fr-CA"/>
        </w:rPr>
        <w:tab/>
      </w:r>
      <w:r w:rsidR="000E425C" w:rsidRPr="00B3274C">
        <w:rPr>
          <w:bCs/>
          <w:lang w:val="fr-CA"/>
        </w:rPr>
        <w:t>Pratiqueme</w:t>
      </w:r>
      <w:r w:rsidR="006728B4" w:rsidRPr="00B3274C">
        <w:rPr>
          <w:bCs/>
          <w:lang w:val="fr-CA"/>
        </w:rPr>
        <w:t xml:space="preserve">nt tous les élèves achèvent </w:t>
      </w:r>
      <w:r w:rsidR="000E425C" w:rsidRPr="00B3274C">
        <w:rPr>
          <w:bCs/>
          <w:lang w:val="fr-CA"/>
        </w:rPr>
        <w:t>le cycle d</w:t>
      </w:r>
      <w:r w:rsidR="0080611A">
        <w:rPr>
          <w:bCs/>
          <w:lang w:val="fr-CA"/>
        </w:rPr>
        <w:t>’</w:t>
      </w:r>
      <w:r w:rsidR="000E425C" w:rsidRPr="00B3274C">
        <w:rPr>
          <w:bCs/>
          <w:lang w:val="fr-CA"/>
        </w:rPr>
        <w:t>enseignement élémentaire</w:t>
      </w:r>
      <w:r w:rsidR="0080611A">
        <w:rPr>
          <w:bCs/>
          <w:lang w:val="fr-CA"/>
        </w:rPr>
        <w:t>,</w:t>
      </w:r>
      <w:r w:rsidR="000E425C" w:rsidRPr="00B3274C">
        <w:rPr>
          <w:bCs/>
          <w:lang w:val="fr-CA"/>
        </w:rPr>
        <w:t xml:space="preserve"> tandis que le nombre d</w:t>
      </w:r>
      <w:r w:rsidR="0080611A">
        <w:rPr>
          <w:bCs/>
          <w:lang w:val="fr-CA"/>
        </w:rPr>
        <w:t>’</w:t>
      </w:r>
      <w:r w:rsidR="000E425C" w:rsidRPr="00B3274C">
        <w:rPr>
          <w:bCs/>
          <w:lang w:val="fr-CA"/>
        </w:rPr>
        <w:t>élèves appartenant à une minorité qui fréquentent l</w:t>
      </w:r>
      <w:r w:rsidR="0080611A">
        <w:rPr>
          <w:bCs/>
          <w:lang w:val="fr-CA"/>
        </w:rPr>
        <w:t>’</w:t>
      </w:r>
      <w:r w:rsidR="000E425C" w:rsidRPr="00B3274C">
        <w:rPr>
          <w:bCs/>
          <w:lang w:val="fr-CA"/>
        </w:rPr>
        <w:t>école secondaire a considérablement augmenté ces dix dernières années. Presque un quart d</w:t>
      </w:r>
      <w:r w:rsidR="0080611A">
        <w:rPr>
          <w:bCs/>
          <w:lang w:val="fr-CA"/>
        </w:rPr>
        <w:t>’</w:t>
      </w:r>
      <w:r w:rsidR="000E425C" w:rsidRPr="00B3274C">
        <w:rPr>
          <w:bCs/>
          <w:lang w:val="fr-CA"/>
        </w:rPr>
        <w:t xml:space="preserve">entre eux fréquentent une école </w:t>
      </w:r>
      <w:r w:rsidR="00CD3F64" w:rsidRPr="00B3274C">
        <w:rPr>
          <w:bCs/>
          <w:lang w:val="fr-CA"/>
        </w:rPr>
        <w:t>exclusivement minoritaire (établissement d</w:t>
      </w:r>
      <w:r w:rsidR="0080611A">
        <w:rPr>
          <w:bCs/>
          <w:lang w:val="fr-CA"/>
        </w:rPr>
        <w:t>’</w:t>
      </w:r>
      <w:r w:rsidR="00CD3F64" w:rsidRPr="00B3274C">
        <w:rPr>
          <w:bCs/>
          <w:lang w:val="fr-CA"/>
        </w:rPr>
        <w:t>enseignement secondaire ou séminaire minoritaire) tandis que les trois quarts sont dans des écoles publiques ordinaires. En dépit de l</w:t>
      </w:r>
      <w:r w:rsidR="0080611A">
        <w:rPr>
          <w:bCs/>
          <w:lang w:val="fr-CA"/>
        </w:rPr>
        <w:t>’</w:t>
      </w:r>
      <w:r w:rsidR="00CD3F64" w:rsidRPr="00B3274C">
        <w:rPr>
          <w:bCs/>
          <w:lang w:val="fr-CA"/>
        </w:rPr>
        <w:t>amélioration constatée</w:t>
      </w:r>
      <w:r w:rsidR="0080611A">
        <w:rPr>
          <w:bCs/>
          <w:lang w:val="fr-CA"/>
        </w:rPr>
        <w:t>,</w:t>
      </w:r>
      <w:r w:rsidR="00CD3F64" w:rsidRPr="00B3274C">
        <w:rPr>
          <w:bCs/>
          <w:lang w:val="fr-CA"/>
        </w:rPr>
        <w:t xml:space="preserve"> on observait jusqu</w:t>
      </w:r>
      <w:r w:rsidR="0080611A">
        <w:rPr>
          <w:bCs/>
          <w:lang w:val="fr-CA"/>
        </w:rPr>
        <w:t>’</w:t>
      </w:r>
      <w:r w:rsidR="00CD3F64" w:rsidRPr="00B3274C">
        <w:rPr>
          <w:bCs/>
          <w:lang w:val="fr-CA"/>
        </w:rPr>
        <w:t>à récemment de fréquents redoublements ou abandons scolaires. L</w:t>
      </w:r>
      <w:r w:rsidR="0080611A">
        <w:rPr>
          <w:bCs/>
          <w:lang w:val="fr-CA"/>
        </w:rPr>
        <w:t>’</w:t>
      </w:r>
      <w:r w:rsidR="00CD3F64" w:rsidRPr="00B3274C">
        <w:rPr>
          <w:bCs/>
          <w:lang w:val="fr-CA"/>
        </w:rPr>
        <w:t>un des buts fondamentaux du programme pour l</w:t>
      </w:r>
      <w:r w:rsidR="0080611A">
        <w:rPr>
          <w:bCs/>
          <w:lang w:val="fr-CA"/>
        </w:rPr>
        <w:t>’</w:t>
      </w:r>
      <w:r w:rsidR="00CD3F64" w:rsidRPr="00B3274C">
        <w:rPr>
          <w:bCs/>
          <w:lang w:val="fr-CA"/>
        </w:rPr>
        <w:t>éducation des enfants de la minorité musulmane de Thrace est d</w:t>
      </w:r>
      <w:r w:rsidR="0080611A">
        <w:rPr>
          <w:bCs/>
          <w:lang w:val="fr-CA"/>
        </w:rPr>
        <w:t>’</w:t>
      </w:r>
      <w:r w:rsidR="00CD3F64" w:rsidRPr="00B3274C">
        <w:rPr>
          <w:bCs/>
          <w:lang w:val="fr-CA"/>
        </w:rPr>
        <w:t>aider ces enfants à améliorer systématiquement leurs résultats scolaires</w:t>
      </w:r>
      <w:r w:rsidR="0080611A">
        <w:rPr>
          <w:bCs/>
          <w:lang w:val="fr-CA"/>
        </w:rPr>
        <w:t>,</w:t>
      </w:r>
      <w:r w:rsidR="00CD3F64" w:rsidRPr="00B3274C">
        <w:rPr>
          <w:bCs/>
          <w:lang w:val="fr-CA"/>
        </w:rPr>
        <w:t xml:space="preserve"> ce afin de réduire les taux d</w:t>
      </w:r>
      <w:r w:rsidR="0080611A">
        <w:rPr>
          <w:bCs/>
          <w:lang w:val="fr-CA"/>
        </w:rPr>
        <w:t>’</w:t>
      </w:r>
      <w:r w:rsidR="00CD3F64" w:rsidRPr="00B3274C">
        <w:rPr>
          <w:bCs/>
          <w:lang w:val="fr-CA"/>
        </w:rPr>
        <w:t>abandon scolaire et d</w:t>
      </w:r>
      <w:r w:rsidR="0080611A">
        <w:rPr>
          <w:bCs/>
          <w:lang w:val="fr-CA"/>
        </w:rPr>
        <w:t>’</w:t>
      </w:r>
      <w:r w:rsidR="00CD3F64" w:rsidRPr="00B3274C">
        <w:rPr>
          <w:bCs/>
          <w:lang w:val="fr-CA"/>
        </w:rPr>
        <w:t>accroître la fréquentation des établissements d</w:t>
      </w:r>
      <w:r w:rsidR="0080611A">
        <w:rPr>
          <w:bCs/>
          <w:lang w:val="fr-CA"/>
        </w:rPr>
        <w:t>’</w:t>
      </w:r>
      <w:r w:rsidR="00CD3F64" w:rsidRPr="00B3274C">
        <w:rPr>
          <w:bCs/>
          <w:lang w:val="fr-CA"/>
        </w:rPr>
        <w:t>enseignement secondaire du deuxième cycle</w:t>
      </w:r>
      <w:r w:rsidR="0080611A">
        <w:rPr>
          <w:bCs/>
          <w:lang w:val="fr-CA"/>
        </w:rPr>
        <w:t>,</w:t>
      </w:r>
      <w:r w:rsidR="00CD3F64" w:rsidRPr="00B3274C">
        <w:rPr>
          <w:bCs/>
          <w:lang w:val="fr-CA"/>
        </w:rPr>
        <w:t xml:space="preserve"> pour atteindre la moyenne nationale et</w:t>
      </w:r>
      <w:r w:rsidR="0080611A">
        <w:rPr>
          <w:bCs/>
          <w:lang w:val="fr-CA"/>
        </w:rPr>
        <w:t>,</w:t>
      </w:r>
      <w:r w:rsidR="00CD3F64" w:rsidRPr="00B3274C">
        <w:rPr>
          <w:bCs/>
          <w:lang w:val="fr-CA"/>
        </w:rPr>
        <w:t xml:space="preserve"> par conséquent</w:t>
      </w:r>
      <w:r w:rsidR="0080611A">
        <w:rPr>
          <w:bCs/>
          <w:lang w:val="fr-CA"/>
        </w:rPr>
        <w:t>,</w:t>
      </w:r>
      <w:r w:rsidR="00CD3F64" w:rsidRPr="00B3274C">
        <w:rPr>
          <w:bCs/>
          <w:lang w:val="fr-CA"/>
        </w:rPr>
        <w:t xml:space="preserve"> accroître les entrées à l</w:t>
      </w:r>
      <w:r w:rsidR="0080611A">
        <w:rPr>
          <w:bCs/>
          <w:lang w:val="fr-CA"/>
        </w:rPr>
        <w:t>’</w:t>
      </w:r>
      <w:r w:rsidR="00CD3F64" w:rsidRPr="00B3274C">
        <w:rPr>
          <w:bCs/>
          <w:lang w:val="fr-CA"/>
        </w:rPr>
        <w:t xml:space="preserve">université. </w:t>
      </w:r>
    </w:p>
    <w:p w:rsidR="00FB23D3" w:rsidRPr="00B3274C" w:rsidRDefault="00107A47" w:rsidP="00107A47">
      <w:pPr>
        <w:pStyle w:val="SingleTxtG"/>
        <w:rPr>
          <w:bCs/>
          <w:lang w:val="fr-CA"/>
        </w:rPr>
      </w:pPr>
      <w:r w:rsidRPr="00B3274C">
        <w:rPr>
          <w:bCs/>
          <w:lang w:val="fr-CA"/>
        </w:rPr>
        <w:t>302.</w:t>
      </w:r>
      <w:r w:rsidRPr="00B3274C">
        <w:rPr>
          <w:bCs/>
          <w:lang w:val="fr-CA"/>
        </w:rPr>
        <w:tab/>
      </w:r>
      <w:r w:rsidR="00CD3F64" w:rsidRPr="00B3274C">
        <w:rPr>
          <w:bCs/>
          <w:lang w:val="fr-CA"/>
        </w:rPr>
        <w:t>Depuis l</w:t>
      </w:r>
      <w:r w:rsidR="0080611A">
        <w:rPr>
          <w:bCs/>
          <w:lang w:val="fr-CA"/>
        </w:rPr>
        <w:t>’</w:t>
      </w:r>
      <w:r w:rsidR="00CD3F64" w:rsidRPr="00B3274C">
        <w:rPr>
          <w:bCs/>
          <w:lang w:val="fr-CA"/>
        </w:rPr>
        <w:t xml:space="preserve">année scolaire </w:t>
      </w:r>
      <w:r w:rsidR="00FB23D3" w:rsidRPr="00B3274C">
        <w:rPr>
          <w:bCs/>
          <w:lang w:val="fr-CA"/>
        </w:rPr>
        <w:t>2006</w:t>
      </w:r>
      <w:r w:rsidR="00143356">
        <w:rPr>
          <w:bCs/>
          <w:lang w:val="fr-CA"/>
        </w:rPr>
        <w:t>/</w:t>
      </w:r>
      <w:r w:rsidR="00FB23D3" w:rsidRPr="00B3274C">
        <w:rPr>
          <w:bCs/>
          <w:lang w:val="fr-CA"/>
        </w:rPr>
        <w:t>07</w:t>
      </w:r>
      <w:r w:rsidR="0080611A">
        <w:rPr>
          <w:bCs/>
          <w:lang w:val="fr-CA"/>
        </w:rPr>
        <w:t>,</w:t>
      </w:r>
      <w:r w:rsidR="00FB23D3" w:rsidRPr="00B3274C">
        <w:rPr>
          <w:bCs/>
          <w:lang w:val="fr-CA"/>
        </w:rPr>
        <w:t xml:space="preserve"> </w:t>
      </w:r>
      <w:r w:rsidR="00CD3F64" w:rsidRPr="00B3274C">
        <w:rPr>
          <w:bCs/>
          <w:lang w:val="fr-CA"/>
        </w:rPr>
        <w:t>un quota de 0</w:t>
      </w:r>
      <w:r w:rsidR="0080611A">
        <w:rPr>
          <w:bCs/>
          <w:lang w:val="fr-CA"/>
        </w:rPr>
        <w:t>,</w:t>
      </w:r>
      <w:r w:rsidR="00CD3F64" w:rsidRPr="00B3274C">
        <w:rPr>
          <w:bCs/>
          <w:lang w:val="fr-CA"/>
        </w:rPr>
        <w:t>5</w:t>
      </w:r>
      <w:r w:rsidR="0050285B">
        <w:rPr>
          <w:bCs/>
          <w:lang w:val="fr-CA"/>
        </w:rPr>
        <w:t> %</w:t>
      </w:r>
      <w:r w:rsidR="00CD3F64" w:rsidRPr="00B3274C">
        <w:rPr>
          <w:bCs/>
          <w:lang w:val="fr-CA"/>
        </w:rPr>
        <w:t xml:space="preserve"> a été fixé pour l</w:t>
      </w:r>
      <w:r w:rsidR="0080611A">
        <w:rPr>
          <w:bCs/>
          <w:lang w:val="fr-CA"/>
        </w:rPr>
        <w:t>’</w:t>
      </w:r>
      <w:r w:rsidR="00CD3F64" w:rsidRPr="00B3274C">
        <w:rPr>
          <w:bCs/>
          <w:lang w:val="fr-CA"/>
        </w:rPr>
        <w:t>admission d</w:t>
      </w:r>
      <w:r w:rsidR="0080611A">
        <w:rPr>
          <w:bCs/>
          <w:lang w:val="fr-CA"/>
        </w:rPr>
        <w:t>’</w:t>
      </w:r>
      <w:r w:rsidR="00CD3F64" w:rsidRPr="00B3274C">
        <w:rPr>
          <w:bCs/>
          <w:lang w:val="fr-CA"/>
        </w:rPr>
        <w:t>élèves membres de la minorité musulmane de Thrace aux universités et établissements supérieurs d</w:t>
      </w:r>
      <w:r w:rsidR="0080611A">
        <w:rPr>
          <w:bCs/>
          <w:lang w:val="fr-CA"/>
        </w:rPr>
        <w:t>’</w:t>
      </w:r>
      <w:r w:rsidR="00CD3F64" w:rsidRPr="00B3274C">
        <w:rPr>
          <w:bCs/>
          <w:lang w:val="fr-CA"/>
        </w:rPr>
        <w:t>enseignement technique. L</w:t>
      </w:r>
      <w:r w:rsidR="0080611A">
        <w:rPr>
          <w:bCs/>
          <w:lang w:val="fr-CA"/>
        </w:rPr>
        <w:t>’</w:t>
      </w:r>
      <w:r w:rsidR="00CD3F64" w:rsidRPr="00B3274C">
        <w:rPr>
          <w:bCs/>
          <w:lang w:val="fr-CA"/>
        </w:rPr>
        <w:t>avantage évident de cette mesure est</w:t>
      </w:r>
      <w:r w:rsidR="00187110" w:rsidRPr="00B3274C">
        <w:rPr>
          <w:bCs/>
          <w:lang w:val="fr-CA"/>
        </w:rPr>
        <w:t xml:space="preserve"> de favoriser </w:t>
      </w:r>
      <w:r w:rsidR="00CD3F64" w:rsidRPr="00B3274C">
        <w:rPr>
          <w:bCs/>
          <w:lang w:val="fr-CA"/>
        </w:rPr>
        <w:t>l</w:t>
      </w:r>
      <w:r w:rsidR="0080611A">
        <w:rPr>
          <w:bCs/>
          <w:lang w:val="fr-CA"/>
        </w:rPr>
        <w:t>’</w:t>
      </w:r>
      <w:r w:rsidR="00CD3F64" w:rsidRPr="00B3274C">
        <w:rPr>
          <w:bCs/>
          <w:lang w:val="fr-CA"/>
        </w:rPr>
        <w:t xml:space="preserve">acquisition de </w:t>
      </w:r>
      <w:bookmarkStart w:id="44" w:name="OLE_LINK41"/>
      <w:bookmarkStart w:id="45" w:name="OLE_LINK42"/>
      <w:r w:rsidR="00CD3F64" w:rsidRPr="00B3274C">
        <w:rPr>
          <w:bCs/>
          <w:lang w:val="fr-CA"/>
        </w:rPr>
        <w:t>qualifications universitaires et professionnelles</w:t>
      </w:r>
      <w:bookmarkEnd w:id="44"/>
      <w:bookmarkEnd w:id="45"/>
      <w:r w:rsidR="00187110" w:rsidRPr="00B3274C">
        <w:rPr>
          <w:bCs/>
          <w:lang w:val="fr-CA"/>
        </w:rPr>
        <w:t xml:space="preserve"> élevées </w:t>
      </w:r>
      <w:r w:rsidR="00CD3F64" w:rsidRPr="00B3274C">
        <w:rPr>
          <w:bCs/>
          <w:lang w:val="fr-CA"/>
        </w:rPr>
        <w:t>par les</w:t>
      </w:r>
      <w:r w:rsidR="00187110" w:rsidRPr="00B3274C">
        <w:rPr>
          <w:bCs/>
          <w:lang w:val="fr-CA"/>
        </w:rPr>
        <w:t xml:space="preserve"> membres de </w:t>
      </w:r>
      <w:r w:rsidR="00CD3F64" w:rsidRPr="00B3274C">
        <w:rPr>
          <w:bCs/>
          <w:lang w:val="fr-CA"/>
        </w:rPr>
        <w:t>la minorité musulmane de Thrace</w:t>
      </w:r>
      <w:r w:rsidR="0080611A">
        <w:rPr>
          <w:bCs/>
          <w:lang w:val="fr-CA"/>
        </w:rPr>
        <w:t>,</w:t>
      </w:r>
      <w:r w:rsidR="00187110" w:rsidRPr="00B3274C">
        <w:rPr>
          <w:bCs/>
          <w:lang w:val="fr-CA"/>
        </w:rPr>
        <w:t xml:space="preserve"> dans un esprit d</w:t>
      </w:r>
      <w:r w:rsidR="0080611A">
        <w:rPr>
          <w:bCs/>
          <w:lang w:val="fr-CA"/>
        </w:rPr>
        <w:t>’</w:t>
      </w:r>
      <w:r w:rsidR="00187110" w:rsidRPr="00B3274C">
        <w:rPr>
          <w:bCs/>
          <w:lang w:val="fr-CA"/>
        </w:rPr>
        <w:t>efficacité et d</w:t>
      </w:r>
      <w:r w:rsidR="0080611A">
        <w:rPr>
          <w:bCs/>
          <w:lang w:val="fr-CA"/>
        </w:rPr>
        <w:t>’</w:t>
      </w:r>
      <w:r w:rsidR="00187110" w:rsidRPr="00B3274C">
        <w:rPr>
          <w:bCs/>
          <w:lang w:val="fr-CA"/>
        </w:rPr>
        <w:t>absence d</w:t>
      </w:r>
      <w:r w:rsidR="0080611A">
        <w:rPr>
          <w:bCs/>
          <w:lang w:val="fr-CA"/>
        </w:rPr>
        <w:t>’</w:t>
      </w:r>
      <w:r w:rsidR="00187110" w:rsidRPr="00B3274C">
        <w:rPr>
          <w:bCs/>
          <w:lang w:val="fr-CA"/>
        </w:rPr>
        <w:t>exclusive et dans le but d</w:t>
      </w:r>
      <w:r w:rsidR="0080611A">
        <w:rPr>
          <w:bCs/>
          <w:lang w:val="fr-CA"/>
        </w:rPr>
        <w:t>’</w:t>
      </w:r>
      <w:r w:rsidR="00187110" w:rsidRPr="00B3274C">
        <w:rPr>
          <w:bCs/>
          <w:lang w:val="fr-CA"/>
        </w:rPr>
        <w:t>améliorer l</w:t>
      </w:r>
      <w:r w:rsidR="0080611A">
        <w:rPr>
          <w:bCs/>
          <w:lang w:val="fr-CA"/>
        </w:rPr>
        <w:t>’</w:t>
      </w:r>
      <w:r w:rsidR="00187110" w:rsidRPr="00B3274C">
        <w:rPr>
          <w:bCs/>
          <w:lang w:val="fr-CA"/>
        </w:rPr>
        <w:t>accès de ces</w:t>
      </w:r>
      <w:r w:rsidR="00614BAC">
        <w:rPr>
          <w:bCs/>
          <w:lang w:val="fr-CA"/>
        </w:rPr>
        <w:t> personnes</w:t>
      </w:r>
      <w:r w:rsidR="00187110" w:rsidRPr="00B3274C">
        <w:rPr>
          <w:bCs/>
          <w:lang w:val="fr-CA"/>
        </w:rPr>
        <w:t xml:space="preserve"> au marché du travail. </w:t>
      </w:r>
    </w:p>
    <w:p w:rsidR="00FB23D3" w:rsidRPr="00B3274C" w:rsidRDefault="00784DBF" w:rsidP="00A36357">
      <w:pPr>
        <w:pStyle w:val="H23G"/>
        <w:rPr>
          <w:caps/>
          <w:u w:val="single"/>
          <w:lang w:val="fr-CA"/>
        </w:rPr>
      </w:pPr>
      <w:r w:rsidRPr="00B3274C">
        <w:rPr>
          <w:bCs/>
          <w:lang w:val="fr-CA"/>
        </w:rPr>
        <w:tab/>
      </w:r>
      <w:r w:rsidR="00A36357" w:rsidRPr="00B3274C">
        <w:rPr>
          <w:bCs/>
          <w:lang w:val="fr-CA"/>
        </w:rPr>
        <w:t>2.</w:t>
      </w:r>
      <w:r w:rsidRPr="00B3274C">
        <w:rPr>
          <w:bCs/>
          <w:lang w:val="fr-CA"/>
        </w:rPr>
        <w:tab/>
      </w:r>
      <w:r w:rsidR="00D66AB4" w:rsidRPr="00B3274C">
        <w:rPr>
          <w:bCs/>
          <w:lang w:val="fr-CA"/>
        </w:rPr>
        <w:t>L</w:t>
      </w:r>
      <w:r w:rsidR="0080611A">
        <w:rPr>
          <w:bCs/>
          <w:lang w:val="fr-CA"/>
        </w:rPr>
        <w:t>’</w:t>
      </w:r>
      <w:r w:rsidR="00D66AB4" w:rsidRPr="00B3274C">
        <w:rPr>
          <w:bCs/>
          <w:lang w:val="fr-CA"/>
        </w:rPr>
        <w:t xml:space="preserve">éducation des enfants de la minorité rom grecque </w:t>
      </w:r>
      <w:r w:rsidR="00FB23D3" w:rsidRPr="00B3274C">
        <w:rPr>
          <w:caps/>
          <w:lang w:val="fr-CA"/>
        </w:rPr>
        <w:t>(</w:t>
      </w:r>
      <w:r w:rsidR="00D66AB4" w:rsidRPr="00B3274C">
        <w:rPr>
          <w:lang w:val="fr-CA"/>
        </w:rPr>
        <w:t>par</w:t>
      </w:r>
      <w:r w:rsidR="00694EA8" w:rsidRPr="00B3274C">
        <w:rPr>
          <w:lang w:val="fr-CA"/>
        </w:rPr>
        <w:t>. </w:t>
      </w:r>
      <w:r w:rsidR="00FB23D3" w:rsidRPr="00B3274C">
        <w:rPr>
          <w:lang w:val="fr-CA"/>
        </w:rPr>
        <w:t>28</w:t>
      </w:r>
      <w:r w:rsidR="00D66AB4" w:rsidRPr="00B3274C">
        <w:rPr>
          <w:lang w:val="fr-CA"/>
        </w:rPr>
        <w:t xml:space="preserve"> et </w:t>
      </w:r>
      <w:r w:rsidR="00FB23D3" w:rsidRPr="00B3274C">
        <w:rPr>
          <w:lang w:val="fr-CA"/>
        </w:rPr>
        <w:t>50</w:t>
      </w:r>
      <w:r w:rsidR="00D55B13" w:rsidRPr="00B3274C">
        <w:rPr>
          <w:lang w:val="fr-CA"/>
        </w:rPr>
        <w:t xml:space="preserve"> </w:t>
      </w:r>
      <w:r w:rsidR="00D66AB4" w:rsidRPr="00B3274C">
        <w:rPr>
          <w:lang w:val="fr-CA"/>
        </w:rPr>
        <w:t>des observations finales du Comité</w:t>
      </w:r>
      <w:r w:rsidR="00FB23D3" w:rsidRPr="00B3274C">
        <w:rPr>
          <w:lang w:val="fr-CA"/>
        </w:rPr>
        <w:t>)</w:t>
      </w:r>
    </w:p>
    <w:p w:rsidR="00FB23D3" w:rsidRPr="00B3274C" w:rsidRDefault="00107A47" w:rsidP="00107A47">
      <w:pPr>
        <w:pStyle w:val="SingleTxtG"/>
        <w:rPr>
          <w:lang w:val="fr-CA"/>
        </w:rPr>
      </w:pPr>
      <w:r w:rsidRPr="00B3274C">
        <w:rPr>
          <w:lang w:val="fr-CA"/>
        </w:rPr>
        <w:t>303.</w:t>
      </w:r>
      <w:r w:rsidRPr="00B3274C">
        <w:rPr>
          <w:lang w:val="fr-CA"/>
        </w:rPr>
        <w:tab/>
      </w:r>
      <w:r w:rsidR="00D66AB4" w:rsidRPr="00B3274C">
        <w:rPr>
          <w:lang w:val="fr-CA"/>
        </w:rPr>
        <w:t>L</w:t>
      </w:r>
      <w:r w:rsidR="0080611A">
        <w:rPr>
          <w:lang w:val="fr-CA"/>
        </w:rPr>
        <w:t>’</w:t>
      </w:r>
      <w:r w:rsidR="00D66AB4" w:rsidRPr="00B3274C">
        <w:rPr>
          <w:lang w:val="fr-CA"/>
        </w:rPr>
        <w:t xml:space="preserve">éducation des enfants roms est un objectif </w:t>
      </w:r>
      <w:r w:rsidR="00F05CF7" w:rsidRPr="00B3274C">
        <w:rPr>
          <w:lang w:val="fr-CA"/>
        </w:rPr>
        <w:t>majeur de la politique grecque en matière d</w:t>
      </w:r>
      <w:r w:rsidR="0080611A">
        <w:rPr>
          <w:lang w:val="fr-CA"/>
        </w:rPr>
        <w:t>’</w:t>
      </w:r>
      <w:r w:rsidR="00F05CF7" w:rsidRPr="00B3274C">
        <w:rPr>
          <w:lang w:val="fr-CA"/>
        </w:rPr>
        <w:t xml:space="preserve">éducation. Bien que les enfants roms aient </w:t>
      </w:r>
      <w:r w:rsidR="001404BC" w:rsidRPr="00B3274C">
        <w:rPr>
          <w:lang w:val="fr-CA"/>
        </w:rPr>
        <w:t xml:space="preserve">le </w:t>
      </w:r>
      <w:r w:rsidR="00F05CF7" w:rsidRPr="00B3274C">
        <w:rPr>
          <w:lang w:val="fr-CA"/>
        </w:rPr>
        <w:t>droit</w:t>
      </w:r>
      <w:r w:rsidR="0080611A">
        <w:rPr>
          <w:lang w:val="fr-CA"/>
        </w:rPr>
        <w:t>,</w:t>
      </w:r>
      <w:r w:rsidR="00F05CF7" w:rsidRPr="00B3274C">
        <w:rPr>
          <w:lang w:val="fr-CA"/>
        </w:rPr>
        <w:t xml:space="preserve"> de par la loi</w:t>
      </w:r>
      <w:r w:rsidR="0080611A">
        <w:rPr>
          <w:lang w:val="fr-CA"/>
        </w:rPr>
        <w:t>,</w:t>
      </w:r>
      <w:r w:rsidR="00F05CF7" w:rsidRPr="00B3274C">
        <w:rPr>
          <w:lang w:val="fr-CA"/>
        </w:rPr>
        <w:t xml:space="preserve"> de suivre la même scolarité que tous les autres citoyens grecs</w:t>
      </w:r>
      <w:r w:rsidR="0080611A">
        <w:rPr>
          <w:lang w:val="fr-CA"/>
        </w:rPr>
        <w:t>,</w:t>
      </w:r>
      <w:r w:rsidR="00F05CF7" w:rsidRPr="00B3274C">
        <w:rPr>
          <w:lang w:val="fr-CA"/>
        </w:rPr>
        <w:t xml:space="preserve"> le Ministère de l</w:t>
      </w:r>
      <w:r w:rsidR="0080611A">
        <w:rPr>
          <w:lang w:val="fr-CA"/>
        </w:rPr>
        <w:t>’</w:t>
      </w:r>
      <w:r w:rsidR="00F05CF7" w:rsidRPr="00B3274C">
        <w:rPr>
          <w:lang w:val="fr-CA"/>
        </w:rPr>
        <w:t>éducation a mis sur pied des projets et activités spéciaux au vu des besoins particuliers de la population rom et des préjugés auxquels les enfants roms sont susceptibles d</w:t>
      </w:r>
      <w:r w:rsidR="0080611A">
        <w:rPr>
          <w:lang w:val="fr-CA"/>
        </w:rPr>
        <w:t>’</w:t>
      </w:r>
      <w:r w:rsidR="00F05CF7" w:rsidRPr="00B3274C">
        <w:rPr>
          <w:lang w:val="fr-CA"/>
        </w:rPr>
        <w:t>être exposés pendant leur scolarité</w:t>
      </w:r>
      <w:r w:rsidR="00FB23D3" w:rsidRPr="00B3274C">
        <w:rPr>
          <w:lang w:val="fr-CA"/>
        </w:rPr>
        <w:t>.</w:t>
      </w:r>
    </w:p>
    <w:p w:rsidR="00FB23D3" w:rsidRPr="00B3274C" w:rsidRDefault="00107A47" w:rsidP="00107A47">
      <w:pPr>
        <w:pStyle w:val="SingleTxtG"/>
        <w:rPr>
          <w:b/>
          <w:lang w:val="fr-CA"/>
        </w:rPr>
      </w:pPr>
      <w:r w:rsidRPr="00B3274C">
        <w:rPr>
          <w:lang w:val="fr-CA"/>
        </w:rPr>
        <w:t>304.</w:t>
      </w:r>
      <w:r w:rsidRPr="00B3274C">
        <w:rPr>
          <w:lang w:val="fr-CA"/>
        </w:rPr>
        <w:tab/>
      </w:r>
      <w:r w:rsidR="0025476F" w:rsidRPr="00B3274C">
        <w:rPr>
          <w:lang w:val="fr-CA"/>
        </w:rPr>
        <w:t>Les principaux axes de la politique du Ministère grec de l</w:t>
      </w:r>
      <w:r w:rsidR="0080611A">
        <w:rPr>
          <w:lang w:val="fr-CA"/>
        </w:rPr>
        <w:t>’</w:t>
      </w:r>
      <w:r w:rsidR="0025476F" w:rsidRPr="00B3274C">
        <w:rPr>
          <w:lang w:val="fr-CA"/>
        </w:rPr>
        <w:t xml:space="preserve">éducation en ce qui concerne </w:t>
      </w:r>
      <w:r w:rsidR="007B1A9F" w:rsidRPr="00B3274C">
        <w:rPr>
          <w:lang w:val="fr-CA"/>
        </w:rPr>
        <w:t>l</w:t>
      </w:r>
      <w:r w:rsidR="0080611A">
        <w:rPr>
          <w:lang w:val="fr-CA"/>
        </w:rPr>
        <w:t>’</w:t>
      </w:r>
      <w:r w:rsidR="0025476F" w:rsidRPr="00B3274C">
        <w:rPr>
          <w:lang w:val="fr-CA"/>
        </w:rPr>
        <w:t xml:space="preserve">éducation des roms sont repris dans le projet </w:t>
      </w:r>
      <w:r w:rsidR="0055418C" w:rsidRPr="00B3274C">
        <w:rPr>
          <w:lang w:val="fr-CA"/>
        </w:rPr>
        <w:t>«</w:t>
      </w:r>
      <w:r w:rsidR="0025476F" w:rsidRPr="00B3274C">
        <w:rPr>
          <w:lang w:val="fr-CA"/>
        </w:rPr>
        <w:t>Éducation des enfants roms</w:t>
      </w:r>
      <w:r w:rsidR="0055418C" w:rsidRPr="00B3274C">
        <w:rPr>
          <w:lang w:val="fr-CA"/>
        </w:rPr>
        <w:t>»</w:t>
      </w:r>
      <w:r w:rsidR="0025476F" w:rsidRPr="00B3274C">
        <w:rPr>
          <w:lang w:val="fr-CA"/>
        </w:rPr>
        <w:t>. Le projet vise</w:t>
      </w:r>
      <w:r w:rsidR="0080611A">
        <w:rPr>
          <w:lang w:val="fr-CA"/>
        </w:rPr>
        <w:t>,</w:t>
      </w:r>
      <w:r w:rsidR="0025476F" w:rsidRPr="00B3274C">
        <w:rPr>
          <w:lang w:val="fr-CA"/>
        </w:rPr>
        <w:t xml:space="preserve"> d</w:t>
      </w:r>
      <w:r w:rsidR="0080611A">
        <w:rPr>
          <w:lang w:val="fr-CA"/>
        </w:rPr>
        <w:t>’</w:t>
      </w:r>
      <w:r w:rsidR="0025476F" w:rsidRPr="00B3274C">
        <w:rPr>
          <w:lang w:val="fr-CA"/>
        </w:rPr>
        <w:t>une part</w:t>
      </w:r>
      <w:r w:rsidR="0080611A">
        <w:rPr>
          <w:lang w:val="fr-CA"/>
        </w:rPr>
        <w:t>,</w:t>
      </w:r>
      <w:r w:rsidR="0025476F" w:rsidRPr="00B3274C">
        <w:rPr>
          <w:lang w:val="fr-CA"/>
        </w:rPr>
        <w:t xml:space="preserve"> à renforcer l</w:t>
      </w:r>
      <w:r w:rsidR="0080611A">
        <w:rPr>
          <w:lang w:val="fr-CA"/>
        </w:rPr>
        <w:t>’</w:t>
      </w:r>
      <w:r w:rsidR="0025476F" w:rsidRPr="00B3274C">
        <w:rPr>
          <w:lang w:val="fr-CA"/>
        </w:rPr>
        <w:t>accès et la participation des enfants roms à l</w:t>
      </w:r>
      <w:r w:rsidR="0080611A">
        <w:rPr>
          <w:lang w:val="fr-CA"/>
        </w:rPr>
        <w:t>’</w:t>
      </w:r>
      <w:r w:rsidR="0025476F" w:rsidRPr="00B3274C">
        <w:rPr>
          <w:lang w:val="fr-CA"/>
        </w:rPr>
        <w:t>éducation</w:t>
      </w:r>
      <w:r w:rsidR="0080611A">
        <w:rPr>
          <w:lang w:val="fr-CA"/>
        </w:rPr>
        <w:t>,</w:t>
      </w:r>
      <w:r w:rsidR="0025476F" w:rsidRPr="00B3274C">
        <w:rPr>
          <w:lang w:val="fr-CA"/>
        </w:rPr>
        <w:t xml:space="preserve"> en mettant l</w:t>
      </w:r>
      <w:r w:rsidR="0080611A">
        <w:rPr>
          <w:lang w:val="fr-CA"/>
        </w:rPr>
        <w:t>’</w:t>
      </w:r>
      <w:r w:rsidR="0025476F" w:rsidRPr="00B3274C">
        <w:rPr>
          <w:lang w:val="fr-CA"/>
        </w:rPr>
        <w:t>accent tout particulièrement sur l</w:t>
      </w:r>
      <w:r w:rsidR="0080611A">
        <w:rPr>
          <w:lang w:val="fr-CA"/>
        </w:rPr>
        <w:t>’</w:t>
      </w:r>
      <w:r w:rsidR="0025476F" w:rsidRPr="00B3274C">
        <w:rPr>
          <w:lang w:val="fr-CA"/>
        </w:rPr>
        <w:t>enseignement préscolaire et l</w:t>
      </w:r>
      <w:r w:rsidR="0080611A">
        <w:rPr>
          <w:lang w:val="fr-CA"/>
        </w:rPr>
        <w:t>’</w:t>
      </w:r>
      <w:r w:rsidR="0025476F" w:rsidRPr="00B3274C">
        <w:rPr>
          <w:lang w:val="fr-CA"/>
        </w:rPr>
        <w:t>inscription précoce au premier niveau de l</w:t>
      </w:r>
      <w:r w:rsidR="0080611A">
        <w:rPr>
          <w:lang w:val="fr-CA"/>
        </w:rPr>
        <w:t>’</w:t>
      </w:r>
      <w:r w:rsidR="0025476F" w:rsidRPr="00B3274C">
        <w:rPr>
          <w:lang w:val="fr-CA"/>
        </w:rPr>
        <w:t>école primaire</w:t>
      </w:r>
      <w:r w:rsidR="004C1B82" w:rsidRPr="00B3274C">
        <w:rPr>
          <w:lang w:val="fr-CA"/>
        </w:rPr>
        <w:t xml:space="preserve"> mais aussi</w:t>
      </w:r>
      <w:r w:rsidR="0025476F" w:rsidRPr="00B3274C">
        <w:rPr>
          <w:lang w:val="fr-CA"/>
        </w:rPr>
        <w:t xml:space="preserve"> sur des actions intrascolaires visant à améliorer l</w:t>
      </w:r>
      <w:r w:rsidR="0080611A">
        <w:rPr>
          <w:lang w:val="fr-CA"/>
        </w:rPr>
        <w:t>’</w:t>
      </w:r>
      <w:r w:rsidR="0025476F" w:rsidRPr="00B3274C">
        <w:rPr>
          <w:lang w:val="fr-CA"/>
        </w:rPr>
        <w:t xml:space="preserve">enseignement dispensé aux enfants roms pour </w:t>
      </w:r>
      <w:r w:rsidR="009B7F4D" w:rsidRPr="00B3274C">
        <w:rPr>
          <w:lang w:val="fr-CA"/>
        </w:rPr>
        <w:t>assurer</w:t>
      </w:r>
      <w:r w:rsidR="0025476F" w:rsidRPr="00B3274C">
        <w:rPr>
          <w:lang w:val="fr-CA"/>
        </w:rPr>
        <w:t xml:space="preserve"> une assiduité régulière</w:t>
      </w:r>
      <w:r w:rsidR="009B7F4D" w:rsidRPr="00B3274C">
        <w:rPr>
          <w:lang w:val="fr-CA"/>
        </w:rPr>
        <w:t xml:space="preserve"> et </w:t>
      </w:r>
      <w:r w:rsidR="0025476F" w:rsidRPr="00B3274C">
        <w:rPr>
          <w:lang w:val="fr-CA"/>
        </w:rPr>
        <w:t xml:space="preserve">réduire les abandons scolaires. </w:t>
      </w:r>
    </w:p>
    <w:p w:rsidR="00FB23D3" w:rsidRPr="00B3274C" w:rsidRDefault="00107A47" w:rsidP="00107A47">
      <w:pPr>
        <w:pStyle w:val="SingleTxtG"/>
        <w:rPr>
          <w:lang w:val="fr-CA"/>
        </w:rPr>
      </w:pPr>
      <w:r w:rsidRPr="00B3274C">
        <w:rPr>
          <w:lang w:val="fr-CA"/>
        </w:rPr>
        <w:t>305.</w:t>
      </w:r>
      <w:r w:rsidRPr="00B3274C">
        <w:rPr>
          <w:lang w:val="fr-CA"/>
        </w:rPr>
        <w:tab/>
      </w:r>
      <w:r w:rsidR="00556901" w:rsidRPr="00B3274C">
        <w:rPr>
          <w:lang w:val="fr-CA"/>
        </w:rPr>
        <w:t>Tout au long de la mise en œuvre de ce projet</w:t>
      </w:r>
      <w:r w:rsidR="0080611A">
        <w:rPr>
          <w:lang w:val="fr-CA"/>
        </w:rPr>
        <w:t>,</w:t>
      </w:r>
      <w:r w:rsidR="00556901" w:rsidRPr="00B3274C">
        <w:rPr>
          <w:lang w:val="fr-CA"/>
        </w:rPr>
        <w:t xml:space="preserve"> une priorité particulière doit être accordée au rôle et à l</w:t>
      </w:r>
      <w:r w:rsidR="0080611A">
        <w:rPr>
          <w:lang w:val="fr-CA"/>
        </w:rPr>
        <w:t>’</w:t>
      </w:r>
      <w:r w:rsidR="00556901" w:rsidRPr="00B3274C">
        <w:rPr>
          <w:lang w:val="fr-CA"/>
        </w:rPr>
        <w:t>action des médiateurs scolaires roms. Le Ministère de l</w:t>
      </w:r>
      <w:r w:rsidR="0080611A">
        <w:rPr>
          <w:lang w:val="fr-CA"/>
        </w:rPr>
        <w:t>’</w:t>
      </w:r>
      <w:r w:rsidR="00556901" w:rsidRPr="00B3274C">
        <w:rPr>
          <w:lang w:val="fr-CA"/>
        </w:rPr>
        <w:t>éducation a fixé comme objectif la formation de médiateurs scolaires roms et considère que ceux-ci devraient travailler en réseau avec les médiateurs roms œuvrant au niveau local dans les domaines de la santé et de l</w:t>
      </w:r>
      <w:r w:rsidR="0080611A">
        <w:rPr>
          <w:lang w:val="fr-CA"/>
        </w:rPr>
        <w:t>’</w:t>
      </w:r>
      <w:r w:rsidR="00556901" w:rsidRPr="00B3274C">
        <w:rPr>
          <w:lang w:val="fr-CA"/>
        </w:rPr>
        <w:t>emploi. Le but est de parvenir à une approche globale des problèmes touchant la population tout en garantissant la viabilité d</w:t>
      </w:r>
      <w:r w:rsidR="0080611A">
        <w:rPr>
          <w:lang w:val="fr-CA"/>
        </w:rPr>
        <w:t>’</w:t>
      </w:r>
      <w:r w:rsidR="00556901" w:rsidRPr="00B3274C">
        <w:rPr>
          <w:lang w:val="fr-CA"/>
        </w:rPr>
        <w:t xml:space="preserve">interventions géographiquement ciblées </w:t>
      </w:r>
      <w:r w:rsidR="00C53248" w:rsidRPr="00B3274C">
        <w:rPr>
          <w:lang w:val="fr-CA"/>
        </w:rPr>
        <w:t>grâce au travail en réseau</w:t>
      </w:r>
      <w:r w:rsidR="00556901" w:rsidRPr="00B3274C">
        <w:rPr>
          <w:lang w:val="fr-CA"/>
        </w:rPr>
        <w:t xml:space="preserve"> des médiateurs par région et des services et organismes locaux œuvrant à cet effet</w:t>
      </w:r>
      <w:r w:rsidR="00FB23D3" w:rsidRPr="00B3274C">
        <w:rPr>
          <w:lang w:val="fr-CA"/>
        </w:rPr>
        <w:t>.</w:t>
      </w:r>
    </w:p>
    <w:p w:rsidR="00FB23D3" w:rsidRPr="00B3274C" w:rsidRDefault="00107A47" w:rsidP="00107A47">
      <w:pPr>
        <w:pStyle w:val="SingleTxtG"/>
        <w:rPr>
          <w:lang w:val="fr-CA"/>
        </w:rPr>
      </w:pPr>
      <w:r w:rsidRPr="00B3274C">
        <w:rPr>
          <w:lang w:val="fr-CA"/>
        </w:rPr>
        <w:t>306.</w:t>
      </w:r>
      <w:r w:rsidRPr="00B3274C">
        <w:rPr>
          <w:lang w:val="fr-CA"/>
        </w:rPr>
        <w:tab/>
      </w:r>
      <w:r w:rsidR="00C53248" w:rsidRPr="00B3274C">
        <w:rPr>
          <w:lang w:val="fr-CA"/>
        </w:rPr>
        <w:t>D</w:t>
      </w:r>
      <w:r w:rsidR="0080611A">
        <w:rPr>
          <w:lang w:val="fr-CA"/>
        </w:rPr>
        <w:t>’</w:t>
      </w:r>
      <w:r w:rsidR="00C53248" w:rsidRPr="00B3274C">
        <w:rPr>
          <w:lang w:val="fr-CA"/>
        </w:rPr>
        <w:t>autre part</w:t>
      </w:r>
      <w:r w:rsidR="0080611A">
        <w:rPr>
          <w:lang w:val="fr-CA"/>
        </w:rPr>
        <w:t>,</w:t>
      </w:r>
      <w:r w:rsidR="00C53248" w:rsidRPr="00B3274C">
        <w:rPr>
          <w:lang w:val="fr-CA"/>
        </w:rPr>
        <w:t xml:space="preserve"> depuis 2008</w:t>
      </w:r>
      <w:r w:rsidR="0080611A">
        <w:rPr>
          <w:lang w:val="fr-CA"/>
        </w:rPr>
        <w:t>,</w:t>
      </w:r>
      <w:r w:rsidR="00C53248" w:rsidRPr="00B3274C">
        <w:rPr>
          <w:lang w:val="fr-CA"/>
        </w:rPr>
        <w:t xml:space="preserve"> le Ministère grec de l</w:t>
      </w:r>
      <w:r w:rsidR="0080611A">
        <w:rPr>
          <w:lang w:val="fr-CA"/>
        </w:rPr>
        <w:t>’</w:t>
      </w:r>
      <w:r w:rsidR="00C53248" w:rsidRPr="00B3274C">
        <w:rPr>
          <w:lang w:val="fr-CA"/>
        </w:rPr>
        <w:t>éducation publie une circulaire</w:t>
      </w:r>
      <w:r w:rsidR="006E022E" w:rsidRPr="00B3274C">
        <w:rPr>
          <w:lang w:val="fr-CA"/>
        </w:rPr>
        <w:t xml:space="preserve"> au début de chaque année scolaire</w:t>
      </w:r>
      <w:r w:rsidR="0080611A">
        <w:rPr>
          <w:lang w:val="fr-CA"/>
        </w:rPr>
        <w:t>,</w:t>
      </w:r>
      <w:r w:rsidR="00C53248" w:rsidRPr="00B3274C">
        <w:rPr>
          <w:lang w:val="fr-CA"/>
        </w:rPr>
        <w:t xml:space="preserve"> dans laquelle il rappelle à tous les chefs d</w:t>
      </w:r>
      <w:r w:rsidR="0080611A">
        <w:rPr>
          <w:lang w:val="fr-CA"/>
        </w:rPr>
        <w:t>’</w:t>
      </w:r>
      <w:r w:rsidR="00C53248" w:rsidRPr="00B3274C">
        <w:rPr>
          <w:lang w:val="fr-CA"/>
        </w:rPr>
        <w:t>établissements leur obligation d</w:t>
      </w:r>
      <w:r w:rsidR="0080611A">
        <w:rPr>
          <w:lang w:val="fr-CA"/>
        </w:rPr>
        <w:t>’</w:t>
      </w:r>
      <w:r w:rsidR="00C53248" w:rsidRPr="00B3274C">
        <w:rPr>
          <w:lang w:val="fr-CA"/>
        </w:rPr>
        <w:t>accueillir des élèves roms dans les écoles primaires et de coopérer avec les directeurs régionaux des établissements d</w:t>
      </w:r>
      <w:r w:rsidR="0080611A">
        <w:rPr>
          <w:lang w:val="fr-CA"/>
        </w:rPr>
        <w:t>’</w:t>
      </w:r>
      <w:r w:rsidR="00C53248" w:rsidRPr="00B3274C">
        <w:rPr>
          <w:lang w:val="fr-CA"/>
        </w:rPr>
        <w:t>enseignement primaire et secondaire ainsi qu</w:t>
      </w:r>
      <w:r w:rsidR="0080611A">
        <w:rPr>
          <w:lang w:val="fr-CA"/>
        </w:rPr>
        <w:t>’</w:t>
      </w:r>
      <w:r w:rsidR="00C53248" w:rsidRPr="00B3274C">
        <w:rPr>
          <w:lang w:val="fr-CA"/>
        </w:rPr>
        <w:t>avec les conseillers scolaires afin de résoudre tout problème susceptible de se présenter pendant les inscriptions</w:t>
      </w:r>
      <w:r w:rsidR="00FB23D3" w:rsidRPr="00B3274C">
        <w:rPr>
          <w:lang w:val="fr-CA"/>
        </w:rPr>
        <w:t xml:space="preserve">. </w:t>
      </w:r>
    </w:p>
    <w:p w:rsidR="00FB23D3" w:rsidRPr="00B3274C" w:rsidRDefault="00107A47" w:rsidP="00107A47">
      <w:pPr>
        <w:pStyle w:val="SingleTxtG"/>
        <w:rPr>
          <w:lang w:val="fr-CA"/>
        </w:rPr>
      </w:pPr>
      <w:r w:rsidRPr="00B3274C">
        <w:rPr>
          <w:lang w:val="fr-CA"/>
        </w:rPr>
        <w:t>307.</w:t>
      </w:r>
      <w:r w:rsidRPr="00B3274C">
        <w:rPr>
          <w:lang w:val="fr-CA"/>
        </w:rPr>
        <w:tab/>
      </w:r>
      <w:r w:rsidR="00C53248" w:rsidRPr="00B3274C">
        <w:rPr>
          <w:lang w:val="fr-CA"/>
        </w:rPr>
        <w:t>En outre</w:t>
      </w:r>
      <w:r w:rsidR="0080611A">
        <w:rPr>
          <w:lang w:val="fr-CA"/>
        </w:rPr>
        <w:t>,</w:t>
      </w:r>
      <w:r w:rsidR="00C53248" w:rsidRPr="00B3274C">
        <w:rPr>
          <w:lang w:val="fr-CA"/>
        </w:rPr>
        <w:t xml:space="preserve"> les familles roms à faible revenu peuvent bénéficier d</w:t>
      </w:r>
      <w:r w:rsidR="0080611A">
        <w:rPr>
          <w:lang w:val="fr-CA"/>
        </w:rPr>
        <w:t>’</w:t>
      </w:r>
      <w:r w:rsidR="00C53248" w:rsidRPr="00B3274C">
        <w:rPr>
          <w:lang w:val="fr-CA"/>
        </w:rPr>
        <w:t>une allocation annuelle pour chaque enfant inscrit dans un établissement public de l</w:t>
      </w:r>
      <w:r w:rsidR="0080611A">
        <w:rPr>
          <w:lang w:val="fr-CA"/>
        </w:rPr>
        <w:t>’</w:t>
      </w:r>
      <w:r w:rsidR="00C53248" w:rsidRPr="00B3274C">
        <w:rPr>
          <w:lang w:val="fr-CA"/>
        </w:rPr>
        <w:t>enseignement obligatoire</w:t>
      </w:r>
      <w:r w:rsidR="00EC5892" w:rsidRPr="00B3274C">
        <w:rPr>
          <w:lang w:val="fr-CA"/>
        </w:rPr>
        <w:t>;</w:t>
      </w:r>
      <w:r w:rsidR="00DB5EA8" w:rsidRPr="00B3274C">
        <w:rPr>
          <w:lang w:val="fr-CA"/>
        </w:rPr>
        <w:t xml:space="preserve"> celle-ci </w:t>
      </w:r>
      <w:r w:rsidR="00C53248" w:rsidRPr="00B3274C">
        <w:rPr>
          <w:lang w:val="fr-CA"/>
        </w:rPr>
        <w:t>ne leur est accordée qu</w:t>
      </w:r>
      <w:r w:rsidR="0080611A">
        <w:rPr>
          <w:lang w:val="fr-CA"/>
        </w:rPr>
        <w:t>’</w:t>
      </w:r>
      <w:r w:rsidR="00C53248" w:rsidRPr="00B3274C">
        <w:rPr>
          <w:lang w:val="fr-CA"/>
        </w:rPr>
        <w:t>à la fin de chaque année scolaire</w:t>
      </w:r>
      <w:r w:rsidR="0080611A">
        <w:rPr>
          <w:lang w:val="fr-CA"/>
        </w:rPr>
        <w:t>,</w:t>
      </w:r>
      <w:r w:rsidR="00C53248" w:rsidRPr="00B3274C">
        <w:rPr>
          <w:lang w:val="fr-CA"/>
        </w:rPr>
        <w:t xml:space="preserve"> sur présentation d</w:t>
      </w:r>
      <w:r w:rsidR="0080611A">
        <w:rPr>
          <w:lang w:val="fr-CA"/>
        </w:rPr>
        <w:t>’</w:t>
      </w:r>
      <w:r w:rsidR="00C53248" w:rsidRPr="00B3274C">
        <w:rPr>
          <w:lang w:val="fr-CA"/>
        </w:rPr>
        <w:t>un certificat d</w:t>
      </w:r>
      <w:r w:rsidR="0080611A">
        <w:rPr>
          <w:lang w:val="fr-CA"/>
        </w:rPr>
        <w:t>’</w:t>
      </w:r>
      <w:r w:rsidR="00C53248" w:rsidRPr="00B3274C">
        <w:rPr>
          <w:lang w:val="fr-CA"/>
        </w:rPr>
        <w:t xml:space="preserve">assiduité. </w:t>
      </w:r>
    </w:p>
    <w:p w:rsidR="00FB23D3" w:rsidRPr="00B3274C" w:rsidRDefault="00784DBF" w:rsidP="00D0169E">
      <w:pPr>
        <w:pStyle w:val="H23G"/>
        <w:rPr>
          <w:lang w:val="fr-CA"/>
        </w:rPr>
      </w:pPr>
      <w:r w:rsidRPr="00B3274C">
        <w:rPr>
          <w:lang w:val="fr-CA"/>
        </w:rPr>
        <w:tab/>
      </w:r>
      <w:r w:rsidR="00D0169E" w:rsidRPr="00B3274C">
        <w:rPr>
          <w:lang w:val="fr-CA"/>
        </w:rPr>
        <w:t>3.</w:t>
      </w:r>
      <w:r w:rsidRPr="00B3274C">
        <w:rPr>
          <w:lang w:val="fr-CA"/>
        </w:rPr>
        <w:tab/>
      </w:r>
      <w:r w:rsidR="00712D05" w:rsidRPr="00B3274C">
        <w:rPr>
          <w:lang w:val="fr-CA"/>
        </w:rPr>
        <w:t>Zones d</w:t>
      </w:r>
      <w:r w:rsidR="0080611A">
        <w:rPr>
          <w:lang w:val="fr-CA"/>
        </w:rPr>
        <w:t>’</w:t>
      </w:r>
      <w:r w:rsidR="00712D05" w:rsidRPr="00B3274C">
        <w:rPr>
          <w:lang w:val="fr-CA"/>
        </w:rPr>
        <w:t xml:space="preserve">éducation prioritaires </w:t>
      </w:r>
    </w:p>
    <w:p w:rsidR="00FB23D3" w:rsidRPr="00B3274C" w:rsidRDefault="00107A47" w:rsidP="00C10C7A">
      <w:pPr>
        <w:pStyle w:val="SingleTxtG"/>
        <w:rPr>
          <w:lang w:val="fr-CA"/>
        </w:rPr>
      </w:pPr>
      <w:r w:rsidRPr="00B3274C">
        <w:rPr>
          <w:lang w:val="fr-CA"/>
        </w:rPr>
        <w:t>308.</w:t>
      </w:r>
      <w:r w:rsidRPr="00B3274C">
        <w:rPr>
          <w:lang w:val="fr-CA"/>
        </w:rPr>
        <w:tab/>
      </w:r>
      <w:r w:rsidR="00C53248" w:rsidRPr="00B3274C">
        <w:rPr>
          <w:lang w:val="fr-CA"/>
        </w:rPr>
        <w:t>E</w:t>
      </w:r>
      <w:r w:rsidR="00FB23D3" w:rsidRPr="00B3274C">
        <w:rPr>
          <w:lang w:val="fr-CA"/>
        </w:rPr>
        <w:t>n 2010</w:t>
      </w:r>
      <w:r w:rsidR="0080611A">
        <w:rPr>
          <w:lang w:val="fr-CA"/>
        </w:rPr>
        <w:t>,</w:t>
      </w:r>
      <w:r w:rsidR="00FB23D3" w:rsidRPr="00B3274C">
        <w:rPr>
          <w:lang w:val="fr-CA"/>
        </w:rPr>
        <w:t xml:space="preserve"> </w:t>
      </w:r>
      <w:r w:rsidR="00C53248" w:rsidRPr="00B3274C">
        <w:rPr>
          <w:lang w:val="fr-CA"/>
        </w:rPr>
        <w:t>le Ministère de l</w:t>
      </w:r>
      <w:r w:rsidR="0080611A">
        <w:rPr>
          <w:lang w:val="fr-CA"/>
        </w:rPr>
        <w:t>’</w:t>
      </w:r>
      <w:r w:rsidR="00C53248" w:rsidRPr="00B3274C">
        <w:rPr>
          <w:lang w:val="fr-CA"/>
        </w:rPr>
        <w:t>éducation a introduit une nouvelle mesure</w:t>
      </w:r>
      <w:r w:rsidR="0080611A">
        <w:rPr>
          <w:lang w:val="fr-CA"/>
        </w:rPr>
        <w:t>,</w:t>
      </w:r>
      <w:r w:rsidR="00C53248" w:rsidRPr="00B3274C">
        <w:rPr>
          <w:lang w:val="fr-CA"/>
        </w:rPr>
        <w:t xml:space="preserve"> les zones d</w:t>
      </w:r>
      <w:r w:rsidR="0080611A">
        <w:rPr>
          <w:lang w:val="fr-CA"/>
        </w:rPr>
        <w:t>’</w:t>
      </w:r>
      <w:r w:rsidR="00C53248" w:rsidRPr="00B3274C">
        <w:rPr>
          <w:lang w:val="fr-CA"/>
        </w:rPr>
        <w:t xml:space="preserve">éducation prioritaire </w:t>
      </w:r>
      <w:r w:rsidR="00FB23D3" w:rsidRPr="00B3274C">
        <w:rPr>
          <w:lang w:val="fr-CA"/>
        </w:rPr>
        <w:t>(ZEP)</w:t>
      </w:r>
      <w:r w:rsidR="0080611A">
        <w:rPr>
          <w:lang w:val="fr-CA"/>
        </w:rPr>
        <w:t>,</w:t>
      </w:r>
      <w:r w:rsidR="00FB23D3" w:rsidRPr="00B3274C">
        <w:rPr>
          <w:lang w:val="fr-CA"/>
        </w:rPr>
        <w:t xml:space="preserve"> </w:t>
      </w:r>
      <w:r w:rsidR="00C53248" w:rsidRPr="00B3274C">
        <w:rPr>
          <w:lang w:val="fr-CA"/>
        </w:rPr>
        <w:t>dont on attend qu</w:t>
      </w:r>
      <w:r w:rsidR="0080611A">
        <w:rPr>
          <w:lang w:val="fr-CA"/>
        </w:rPr>
        <w:t>’</w:t>
      </w:r>
      <w:r w:rsidR="00C53248" w:rsidRPr="00B3274C">
        <w:rPr>
          <w:lang w:val="fr-CA"/>
        </w:rPr>
        <w:t>elle contribue effectivement à combattre la ségrégation et ses conséquences dans certaines écoles. L</w:t>
      </w:r>
      <w:r w:rsidR="0080611A">
        <w:rPr>
          <w:lang w:val="fr-CA"/>
        </w:rPr>
        <w:t>’</w:t>
      </w:r>
      <w:r w:rsidR="00C53248" w:rsidRPr="00B3274C">
        <w:rPr>
          <w:lang w:val="fr-CA"/>
        </w:rPr>
        <w:t>objectif général de cette mesure est</w:t>
      </w:r>
      <w:r w:rsidR="00317056" w:rsidRPr="00B3274C">
        <w:rPr>
          <w:lang w:val="fr-CA"/>
        </w:rPr>
        <w:t xml:space="preserve"> de susciter la mise en place de méthodes éducatives novatrices et souples</w:t>
      </w:r>
      <w:r w:rsidR="0080611A">
        <w:rPr>
          <w:lang w:val="fr-CA"/>
        </w:rPr>
        <w:t>,</w:t>
      </w:r>
      <w:r w:rsidR="00317056" w:rsidRPr="00B3274C">
        <w:rPr>
          <w:lang w:val="fr-CA"/>
        </w:rPr>
        <w:t xml:space="preserve"> </w:t>
      </w:r>
      <w:r w:rsidR="0050656D" w:rsidRPr="00B3274C">
        <w:rPr>
          <w:lang w:val="fr-CA"/>
        </w:rPr>
        <w:t xml:space="preserve">à </w:t>
      </w:r>
      <w:r w:rsidR="00317056" w:rsidRPr="00B3274C">
        <w:rPr>
          <w:lang w:val="fr-CA"/>
        </w:rPr>
        <w:t>appliquer</w:t>
      </w:r>
      <w:r w:rsidR="0050656D" w:rsidRPr="00B3274C">
        <w:rPr>
          <w:lang w:val="fr-CA"/>
        </w:rPr>
        <w:t xml:space="preserve"> </w:t>
      </w:r>
      <w:r w:rsidR="00331E05" w:rsidRPr="00B3274C">
        <w:rPr>
          <w:lang w:val="fr-CA"/>
        </w:rPr>
        <w:t>à titre</w:t>
      </w:r>
      <w:r w:rsidR="0050656D" w:rsidRPr="00B3274C">
        <w:rPr>
          <w:lang w:val="fr-CA"/>
        </w:rPr>
        <w:t xml:space="preserve"> </w:t>
      </w:r>
      <w:r w:rsidR="00317056" w:rsidRPr="00B3274C">
        <w:rPr>
          <w:lang w:val="fr-CA"/>
        </w:rPr>
        <w:t>expérimental en classe</w:t>
      </w:r>
      <w:r w:rsidR="0080611A">
        <w:rPr>
          <w:lang w:val="fr-CA"/>
        </w:rPr>
        <w:t>,</w:t>
      </w:r>
      <w:r w:rsidR="00317056" w:rsidRPr="00B3274C">
        <w:rPr>
          <w:lang w:val="fr-CA"/>
        </w:rPr>
        <w:t xml:space="preserve"> afin de garantir une intégration équitable dans l</w:t>
      </w:r>
      <w:r w:rsidR="0080611A">
        <w:rPr>
          <w:lang w:val="fr-CA"/>
        </w:rPr>
        <w:t>’</w:t>
      </w:r>
      <w:r w:rsidR="00317056" w:rsidRPr="00B3274C">
        <w:rPr>
          <w:lang w:val="fr-CA"/>
        </w:rPr>
        <w:t>enseignement des élèves des régions dans lesquelles les indicateurs socioéconomiques et éducatifs sont faibles</w:t>
      </w:r>
      <w:r w:rsidR="0080611A">
        <w:rPr>
          <w:lang w:val="fr-CA"/>
        </w:rPr>
        <w:t>,</w:t>
      </w:r>
      <w:r w:rsidR="0050656D" w:rsidRPr="00B3274C">
        <w:rPr>
          <w:lang w:val="fr-CA"/>
        </w:rPr>
        <w:t xml:space="preserve"> voire </w:t>
      </w:r>
      <w:r w:rsidR="00317056" w:rsidRPr="00B3274C">
        <w:rPr>
          <w:lang w:val="fr-CA"/>
        </w:rPr>
        <w:t>de lever les</w:t>
      </w:r>
      <w:r w:rsidR="0050656D" w:rsidRPr="00B3274C">
        <w:rPr>
          <w:lang w:val="fr-CA"/>
        </w:rPr>
        <w:t xml:space="preserve"> obstacles </w:t>
      </w:r>
      <w:r w:rsidR="00317056" w:rsidRPr="00B3274C">
        <w:rPr>
          <w:lang w:val="fr-CA"/>
        </w:rPr>
        <w:t>d</w:t>
      </w:r>
      <w:r w:rsidR="0080611A">
        <w:rPr>
          <w:lang w:val="fr-CA"/>
        </w:rPr>
        <w:t>’</w:t>
      </w:r>
      <w:r w:rsidR="0050656D" w:rsidRPr="00B3274C">
        <w:rPr>
          <w:lang w:val="fr-CA"/>
        </w:rPr>
        <w:t>ordre socio</w:t>
      </w:r>
      <w:r w:rsidR="00317056" w:rsidRPr="00B3274C">
        <w:rPr>
          <w:lang w:val="fr-CA"/>
        </w:rPr>
        <w:t>économique</w:t>
      </w:r>
      <w:r w:rsidR="0050656D" w:rsidRPr="00B3274C">
        <w:rPr>
          <w:lang w:val="fr-CA"/>
        </w:rPr>
        <w:t xml:space="preserve"> </w:t>
      </w:r>
      <w:r w:rsidR="00331E05" w:rsidRPr="00B3274C">
        <w:rPr>
          <w:lang w:val="fr-CA"/>
        </w:rPr>
        <w:t>empêchant les élèves de progresser</w:t>
      </w:r>
      <w:r w:rsidR="0050656D" w:rsidRPr="00B3274C">
        <w:rPr>
          <w:lang w:val="fr-CA"/>
        </w:rPr>
        <w:t>.</w:t>
      </w:r>
      <w:r w:rsidR="00317056" w:rsidRPr="00B3274C">
        <w:rPr>
          <w:lang w:val="fr-CA"/>
        </w:rPr>
        <w:t xml:space="preserve"> </w:t>
      </w:r>
    </w:p>
    <w:p w:rsidR="00FB23D3" w:rsidRPr="00B3274C" w:rsidRDefault="00107A47" w:rsidP="00107A47">
      <w:pPr>
        <w:pStyle w:val="SingleTxtG"/>
        <w:rPr>
          <w:lang w:val="fr-CA"/>
        </w:rPr>
      </w:pPr>
      <w:r w:rsidRPr="00B3274C">
        <w:rPr>
          <w:lang w:val="fr-CA"/>
        </w:rPr>
        <w:t>309.</w:t>
      </w:r>
      <w:r w:rsidRPr="00B3274C">
        <w:rPr>
          <w:lang w:val="fr-CA"/>
        </w:rPr>
        <w:tab/>
      </w:r>
      <w:r w:rsidR="0018683E" w:rsidRPr="00B3274C">
        <w:rPr>
          <w:lang w:val="fr-CA"/>
        </w:rPr>
        <w:t>L</w:t>
      </w:r>
      <w:r w:rsidR="0080611A">
        <w:rPr>
          <w:lang w:val="fr-CA"/>
        </w:rPr>
        <w:t>’</w:t>
      </w:r>
      <w:r w:rsidR="0018683E" w:rsidRPr="00B3274C">
        <w:rPr>
          <w:lang w:val="fr-CA"/>
        </w:rPr>
        <w:t>initiative concernant les zones d</w:t>
      </w:r>
      <w:r w:rsidR="0080611A">
        <w:rPr>
          <w:lang w:val="fr-CA"/>
        </w:rPr>
        <w:t>’</w:t>
      </w:r>
      <w:r w:rsidR="0018683E" w:rsidRPr="00B3274C">
        <w:rPr>
          <w:lang w:val="fr-CA"/>
        </w:rPr>
        <w:t>éducation prioritaires est appliquée dans les régions géographiques où les indicateurs d</w:t>
      </w:r>
      <w:r w:rsidR="0080611A">
        <w:rPr>
          <w:lang w:val="fr-CA"/>
        </w:rPr>
        <w:t>’</w:t>
      </w:r>
      <w:r w:rsidR="0018683E" w:rsidRPr="00B3274C">
        <w:rPr>
          <w:lang w:val="fr-CA"/>
        </w:rPr>
        <w:t>intégration scolaire fondamentaux sont faibles. Lesdites zones valorisent une approche holistique du processus d</w:t>
      </w:r>
      <w:r w:rsidR="0080611A">
        <w:rPr>
          <w:lang w:val="fr-CA"/>
        </w:rPr>
        <w:t>’</w:t>
      </w:r>
      <w:r w:rsidR="0018683E" w:rsidRPr="00B3274C">
        <w:rPr>
          <w:lang w:val="fr-CA"/>
        </w:rPr>
        <w:t>éducation qui transcende les processus habituels d</w:t>
      </w:r>
      <w:r w:rsidR="0080611A">
        <w:rPr>
          <w:lang w:val="fr-CA"/>
        </w:rPr>
        <w:t>’</w:t>
      </w:r>
      <w:r w:rsidR="0018683E" w:rsidRPr="00B3274C">
        <w:rPr>
          <w:lang w:val="fr-CA"/>
        </w:rPr>
        <w:t>enseignement et d</w:t>
      </w:r>
      <w:r w:rsidR="0080611A">
        <w:rPr>
          <w:lang w:val="fr-CA"/>
        </w:rPr>
        <w:t>’</w:t>
      </w:r>
      <w:r w:rsidR="0018683E" w:rsidRPr="00B3274C">
        <w:rPr>
          <w:lang w:val="fr-CA"/>
        </w:rPr>
        <w:t>apprentissage à l</w:t>
      </w:r>
      <w:r w:rsidR="0080611A">
        <w:rPr>
          <w:lang w:val="fr-CA"/>
        </w:rPr>
        <w:t>’</w:t>
      </w:r>
      <w:r w:rsidR="0018683E" w:rsidRPr="00B3274C">
        <w:rPr>
          <w:lang w:val="fr-CA"/>
        </w:rPr>
        <w:t>école et vise à rapprocher les unités scolaires des agents sociaux locaux par la mise en œuvre d</w:t>
      </w:r>
      <w:r w:rsidR="0080611A">
        <w:rPr>
          <w:lang w:val="fr-CA"/>
        </w:rPr>
        <w:t>’</w:t>
      </w:r>
      <w:r w:rsidR="0018683E" w:rsidRPr="00B3274C">
        <w:rPr>
          <w:lang w:val="fr-CA"/>
        </w:rPr>
        <w:t>actions éducatives</w:t>
      </w:r>
      <w:r w:rsidR="0080611A">
        <w:rPr>
          <w:lang w:val="fr-CA"/>
        </w:rPr>
        <w:t>,</w:t>
      </w:r>
      <w:r w:rsidR="0018683E" w:rsidRPr="00B3274C">
        <w:rPr>
          <w:lang w:val="fr-CA"/>
        </w:rPr>
        <w:t xml:space="preserve"> sociales et culturelles</w:t>
      </w:r>
      <w:r w:rsidR="00FB23D3" w:rsidRPr="00B3274C">
        <w:rPr>
          <w:lang w:val="fr-CA"/>
        </w:rPr>
        <w:t xml:space="preserve">. </w:t>
      </w:r>
      <w:r w:rsidR="00EB4A8D" w:rsidRPr="00B3274C">
        <w:rPr>
          <w:lang w:val="fr-CA"/>
        </w:rPr>
        <w:t>L</w:t>
      </w:r>
      <w:r w:rsidR="0080611A">
        <w:rPr>
          <w:lang w:val="fr-CA"/>
        </w:rPr>
        <w:t>’</w:t>
      </w:r>
      <w:r w:rsidR="00EB4A8D" w:rsidRPr="00B3274C">
        <w:rPr>
          <w:lang w:val="fr-CA"/>
        </w:rPr>
        <w:t>une des actions au travers desquelles une aide en matière d</w:t>
      </w:r>
      <w:r w:rsidR="0080611A">
        <w:rPr>
          <w:lang w:val="fr-CA"/>
        </w:rPr>
        <w:t>’</w:t>
      </w:r>
      <w:r w:rsidR="00EB4A8D" w:rsidRPr="00B3274C">
        <w:rPr>
          <w:lang w:val="fr-CA"/>
        </w:rPr>
        <w:t>éducation sera offerte au</w:t>
      </w:r>
      <w:r w:rsidR="008066E6" w:rsidRPr="00B3274C">
        <w:rPr>
          <w:lang w:val="fr-CA"/>
        </w:rPr>
        <w:t>x</w:t>
      </w:r>
      <w:r w:rsidR="00EB4A8D" w:rsidRPr="00B3274C">
        <w:rPr>
          <w:lang w:val="fr-CA"/>
        </w:rPr>
        <w:t xml:space="preserve"> élève</w:t>
      </w:r>
      <w:r w:rsidR="008066E6" w:rsidRPr="00B3274C">
        <w:rPr>
          <w:lang w:val="fr-CA"/>
        </w:rPr>
        <w:t>s</w:t>
      </w:r>
      <w:r w:rsidR="00EB4A8D" w:rsidRPr="00B3274C">
        <w:rPr>
          <w:lang w:val="fr-CA"/>
        </w:rPr>
        <w:t xml:space="preserve"> sera exercée par du personnel spécialisé (psychologues</w:t>
      </w:r>
      <w:r w:rsidR="0080611A">
        <w:rPr>
          <w:lang w:val="fr-CA"/>
        </w:rPr>
        <w:t>,</w:t>
      </w:r>
      <w:r w:rsidR="00EB4A8D" w:rsidRPr="00B3274C">
        <w:rPr>
          <w:lang w:val="fr-CA"/>
        </w:rPr>
        <w:t xml:space="preserve"> travailleurs sociaux) </w:t>
      </w:r>
      <w:r w:rsidR="008066E6" w:rsidRPr="00B3274C">
        <w:rPr>
          <w:lang w:val="fr-CA"/>
        </w:rPr>
        <w:t>chargé</w:t>
      </w:r>
      <w:r w:rsidR="00EB4A8D" w:rsidRPr="00B3274C">
        <w:rPr>
          <w:lang w:val="fr-CA"/>
        </w:rPr>
        <w:t xml:space="preserve"> de suivre des cas spéciaux et de résoudre des situations pouvant être source de problèmes. </w:t>
      </w:r>
    </w:p>
    <w:p w:rsidR="00FB23D3" w:rsidRPr="00B3274C" w:rsidRDefault="00107A47" w:rsidP="00107A47">
      <w:pPr>
        <w:pStyle w:val="SingleTxtG"/>
        <w:rPr>
          <w:lang w:val="fr-CA"/>
        </w:rPr>
      </w:pPr>
      <w:r w:rsidRPr="00B3274C">
        <w:rPr>
          <w:lang w:val="fr-CA"/>
        </w:rPr>
        <w:t>310.</w:t>
      </w:r>
      <w:r w:rsidRPr="00B3274C">
        <w:rPr>
          <w:lang w:val="fr-CA"/>
        </w:rPr>
        <w:tab/>
      </w:r>
      <w:r w:rsidR="00EB4A8D" w:rsidRPr="00B3274C">
        <w:rPr>
          <w:lang w:val="fr-CA"/>
        </w:rPr>
        <w:t>Pour l</w:t>
      </w:r>
      <w:r w:rsidR="0080611A">
        <w:rPr>
          <w:lang w:val="fr-CA"/>
        </w:rPr>
        <w:t>’</w:t>
      </w:r>
      <w:r w:rsidR="00EB4A8D" w:rsidRPr="00B3274C">
        <w:rPr>
          <w:lang w:val="fr-CA"/>
        </w:rPr>
        <w:t>année scolaire en cours</w:t>
      </w:r>
      <w:r w:rsidR="0080611A">
        <w:rPr>
          <w:lang w:val="fr-CA"/>
        </w:rPr>
        <w:t>,</w:t>
      </w:r>
      <w:r w:rsidR="00EB4A8D" w:rsidRPr="00B3274C">
        <w:rPr>
          <w:lang w:val="fr-CA"/>
        </w:rPr>
        <w:t xml:space="preserve"> 377 classes d</w:t>
      </w:r>
      <w:r w:rsidR="0080611A">
        <w:rPr>
          <w:lang w:val="fr-CA"/>
        </w:rPr>
        <w:t>’</w:t>
      </w:r>
      <w:r w:rsidR="00EB4A8D" w:rsidRPr="00B3274C">
        <w:rPr>
          <w:lang w:val="fr-CA"/>
        </w:rPr>
        <w:t xml:space="preserve">accueil de type </w:t>
      </w:r>
      <w:r w:rsidR="00FB23D3" w:rsidRPr="00B3274C">
        <w:rPr>
          <w:lang w:val="fr-CA"/>
        </w:rPr>
        <w:t xml:space="preserve">ZEP </w:t>
      </w:r>
      <w:r w:rsidR="00EB4A8D" w:rsidRPr="00B3274C">
        <w:rPr>
          <w:lang w:val="fr-CA"/>
        </w:rPr>
        <w:t>fonctionnent dans des écoles publiques primaires sur l</w:t>
      </w:r>
      <w:r w:rsidR="0080611A">
        <w:rPr>
          <w:lang w:val="fr-CA"/>
        </w:rPr>
        <w:t>’</w:t>
      </w:r>
      <w:r w:rsidR="00EB4A8D" w:rsidRPr="00B3274C">
        <w:rPr>
          <w:lang w:val="fr-CA"/>
        </w:rPr>
        <w:t>ensemble du territoire grec et 76 dans des établissements publics d</w:t>
      </w:r>
      <w:r w:rsidR="0080611A">
        <w:rPr>
          <w:lang w:val="fr-CA"/>
        </w:rPr>
        <w:t>’</w:t>
      </w:r>
      <w:r w:rsidR="00EB4A8D" w:rsidRPr="00B3274C">
        <w:rPr>
          <w:lang w:val="fr-CA"/>
        </w:rPr>
        <w:t xml:space="preserve">enseignement secondaire. </w:t>
      </w:r>
    </w:p>
    <w:p w:rsidR="00FB23D3" w:rsidRPr="00B3274C" w:rsidRDefault="00784DBF" w:rsidP="00D0169E">
      <w:pPr>
        <w:pStyle w:val="H23G"/>
        <w:rPr>
          <w:lang w:val="fr-CA"/>
        </w:rPr>
      </w:pPr>
      <w:r w:rsidRPr="00B3274C">
        <w:rPr>
          <w:lang w:val="fr-CA"/>
        </w:rPr>
        <w:tab/>
      </w:r>
      <w:r w:rsidR="00D0169E" w:rsidRPr="00B3274C">
        <w:rPr>
          <w:lang w:val="fr-CA"/>
        </w:rPr>
        <w:t>4.</w:t>
      </w:r>
      <w:r w:rsidRPr="00B3274C">
        <w:rPr>
          <w:lang w:val="fr-CA"/>
        </w:rPr>
        <w:tab/>
      </w:r>
      <w:r w:rsidR="00EB4A8D" w:rsidRPr="00B3274C">
        <w:rPr>
          <w:lang w:val="fr-CA"/>
        </w:rPr>
        <w:t>Éducation spécialisée</w:t>
      </w:r>
    </w:p>
    <w:p w:rsidR="00FB23D3" w:rsidRPr="00B3274C" w:rsidRDefault="00107A47" w:rsidP="00107A47">
      <w:pPr>
        <w:pStyle w:val="SingleTxtG"/>
        <w:rPr>
          <w:rFonts w:cs="MyriadPro-Regular"/>
          <w:lang w:val="fr-CA"/>
        </w:rPr>
      </w:pPr>
      <w:r w:rsidRPr="00B3274C">
        <w:rPr>
          <w:rFonts w:cs="MyriadPro-Regular"/>
          <w:lang w:val="fr-CA"/>
        </w:rPr>
        <w:t>311.</w:t>
      </w:r>
      <w:r w:rsidRPr="00B3274C">
        <w:rPr>
          <w:rFonts w:cs="MyriadPro-Regular"/>
          <w:lang w:val="fr-CA"/>
        </w:rPr>
        <w:tab/>
      </w:r>
      <w:r w:rsidR="00EB4A8D" w:rsidRPr="00B3274C">
        <w:rPr>
          <w:rFonts w:cs="MyriadPro-Regular"/>
          <w:lang w:val="fr-CA"/>
        </w:rPr>
        <w:t>E</w:t>
      </w:r>
      <w:r w:rsidR="00FB23D3" w:rsidRPr="00B3274C">
        <w:rPr>
          <w:rFonts w:cs="MyriadPro-Regular"/>
          <w:lang w:val="fr-CA"/>
        </w:rPr>
        <w:t>n 2008</w:t>
      </w:r>
      <w:r w:rsidR="0080611A">
        <w:rPr>
          <w:rFonts w:cs="MyriadPro-Regular"/>
          <w:lang w:val="fr-CA"/>
        </w:rPr>
        <w:t>,</w:t>
      </w:r>
      <w:r w:rsidR="00EB4A8D" w:rsidRPr="00B3274C">
        <w:rPr>
          <w:rFonts w:cs="MyriadPro-Regular"/>
          <w:lang w:val="fr-CA"/>
        </w:rPr>
        <w:t xml:space="preserve"> la loi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rFonts w:cs="MyriadPro-Regular"/>
          <w:lang w:val="fr-CA"/>
        </w:rPr>
        <w:t xml:space="preserve">3699 </w:t>
      </w:r>
      <w:r w:rsidR="00EB4A8D" w:rsidRPr="00B3274C">
        <w:rPr>
          <w:rFonts w:cs="MyriadPro-Regular"/>
          <w:lang w:val="fr-CA"/>
        </w:rPr>
        <w:t xml:space="preserve">sur </w:t>
      </w:r>
      <w:r w:rsidR="008736E0">
        <w:rPr>
          <w:rFonts w:cs="MyriadPro-Regular"/>
          <w:lang w:val="fr-CA"/>
        </w:rPr>
        <w:t>l</w:t>
      </w:r>
      <w:r w:rsidR="0080611A">
        <w:rPr>
          <w:rFonts w:cs="MyriadPro-Regular"/>
          <w:lang w:val="fr-CA"/>
        </w:rPr>
        <w:t>’</w:t>
      </w:r>
      <w:r w:rsidR="00EB4A8D" w:rsidRPr="00B3274C">
        <w:rPr>
          <w:rFonts w:cs="MyriadPro-Regular"/>
          <w:lang w:val="fr-CA"/>
        </w:rPr>
        <w:t xml:space="preserve">éducation spécialisée en faveur </w:t>
      </w:r>
      <w:r w:rsidR="00614BAC">
        <w:rPr>
          <w:rFonts w:cs="MyriadPro-Regular"/>
          <w:lang w:val="fr-CA"/>
        </w:rPr>
        <w:t>des personnes</w:t>
      </w:r>
      <w:r w:rsidR="00EB4A8D" w:rsidRPr="00B3274C">
        <w:rPr>
          <w:rFonts w:cs="MyriadPro-Regular"/>
          <w:lang w:val="fr-CA"/>
        </w:rPr>
        <w:t xml:space="preserve"> handicapées ayant des besoins particuliers en matière d</w:t>
      </w:r>
      <w:r w:rsidR="0080611A">
        <w:rPr>
          <w:rFonts w:cs="MyriadPro-Regular"/>
          <w:lang w:val="fr-CA"/>
        </w:rPr>
        <w:t>’</w:t>
      </w:r>
      <w:r w:rsidR="00EB4A8D" w:rsidRPr="00B3274C">
        <w:rPr>
          <w:rFonts w:cs="MyriadPro-Regular"/>
          <w:lang w:val="fr-CA"/>
        </w:rPr>
        <w:t>éducation a été promulguée. Ladite loi a mis à jour</w:t>
      </w:r>
      <w:r w:rsidR="0080611A">
        <w:rPr>
          <w:rFonts w:cs="MyriadPro-Regular"/>
          <w:lang w:val="fr-CA"/>
        </w:rPr>
        <w:t>,</w:t>
      </w:r>
      <w:r w:rsidR="00EB4A8D" w:rsidRPr="00B3274C">
        <w:rPr>
          <w:rFonts w:cs="MyriadPro-Regular"/>
          <w:lang w:val="fr-CA"/>
        </w:rPr>
        <w:t xml:space="preserve"> codifié et complété la loi antérieure. C</w:t>
      </w:r>
      <w:r w:rsidR="0080611A">
        <w:rPr>
          <w:rFonts w:cs="MyriadPro-Regular"/>
          <w:lang w:val="fr-CA"/>
        </w:rPr>
        <w:t>’</w:t>
      </w:r>
      <w:r w:rsidR="00EB4A8D" w:rsidRPr="00B3274C">
        <w:rPr>
          <w:rFonts w:cs="MyriadPro-Regular"/>
          <w:lang w:val="fr-CA"/>
        </w:rPr>
        <w:t>est la première fois que le caractère obligatoire de l</w:t>
      </w:r>
      <w:r w:rsidR="0080611A">
        <w:rPr>
          <w:rFonts w:cs="MyriadPro-Regular"/>
          <w:lang w:val="fr-CA"/>
        </w:rPr>
        <w:t>’</w:t>
      </w:r>
      <w:r w:rsidR="00EB4A8D" w:rsidRPr="00B3274C">
        <w:rPr>
          <w:rFonts w:cs="MyriadPro-Regular"/>
          <w:lang w:val="fr-CA"/>
        </w:rPr>
        <w:t xml:space="preserve">éducation spécialisée est consacré par une loi. La loi </w:t>
      </w:r>
      <w:r w:rsidR="00D65EDD" w:rsidRPr="00B3274C">
        <w:rPr>
          <w:lang w:val="fr-CA"/>
        </w:rPr>
        <w:t>n</w:t>
      </w:r>
      <w:r w:rsidR="00D65EDD" w:rsidRPr="00B3274C">
        <w:rPr>
          <w:vertAlign w:val="superscript"/>
          <w:lang w:val="fr-CA"/>
        </w:rPr>
        <w:t>o</w:t>
      </w:r>
      <w:r w:rsidR="00D65EDD" w:rsidRPr="00B3274C">
        <w:rPr>
          <w:lang w:val="fr-CA"/>
        </w:rPr>
        <w:t> </w:t>
      </w:r>
      <w:r w:rsidR="00EB4A8D" w:rsidRPr="00B3274C">
        <w:rPr>
          <w:rFonts w:cs="MyriadPro-Regular"/>
          <w:lang w:val="fr-CA"/>
        </w:rPr>
        <w:t>3299 stipulait que l</w:t>
      </w:r>
      <w:r w:rsidR="0080611A">
        <w:rPr>
          <w:rFonts w:cs="MyriadPro-Regular"/>
          <w:lang w:val="fr-CA"/>
        </w:rPr>
        <w:t>’</w:t>
      </w:r>
      <w:r w:rsidR="00EB4A8D" w:rsidRPr="00B3274C">
        <w:rPr>
          <w:rFonts w:cs="MyriadPro-Regular"/>
          <w:lang w:val="fr-CA"/>
        </w:rPr>
        <w:t>éducation spécialisée faisait partie intégrante de l</w:t>
      </w:r>
      <w:r w:rsidR="0080611A">
        <w:rPr>
          <w:rFonts w:cs="MyriadPro-Regular"/>
          <w:lang w:val="fr-CA"/>
        </w:rPr>
        <w:t>’</w:t>
      </w:r>
      <w:r w:rsidR="00EB4A8D" w:rsidRPr="00B3274C">
        <w:rPr>
          <w:rFonts w:cs="MyriadPro-Regular"/>
          <w:lang w:val="fr-CA"/>
        </w:rPr>
        <w:t>enseignement public obligatoire et gratuit et précisait sa durée minimum</w:t>
      </w:r>
      <w:r w:rsidR="0080611A">
        <w:rPr>
          <w:rFonts w:cs="MyriadPro-Regular"/>
          <w:lang w:val="fr-CA"/>
        </w:rPr>
        <w:t>,</w:t>
      </w:r>
      <w:r w:rsidR="00EB4A8D" w:rsidRPr="00B3274C">
        <w:rPr>
          <w:rFonts w:cs="MyriadPro-Regular"/>
          <w:lang w:val="fr-CA"/>
        </w:rPr>
        <w:t xml:space="preserve"> incitant</w:t>
      </w:r>
      <w:r w:rsidR="004D08AD" w:rsidRPr="00B3274C">
        <w:rPr>
          <w:rFonts w:cs="MyriadPro-Regular"/>
          <w:lang w:val="fr-CA"/>
        </w:rPr>
        <w:t xml:space="preserve"> à une aide concrète et fonctionnelle en faveur d</w:t>
      </w:r>
      <w:r w:rsidR="0080611A">
        <w:rPr>
          <w:rFonts w:cs="MyriadPro-Regular"/>
          <w:lang w:val="fr-CA"/>
        </w:rPr>
        <w:t>’</w:t>
      </w:r>
      <w:r w:rsidR="004D08AD" w:rsidRPr="00B3274C">
        <w:rPr>
          <w:rFonts w:cs="MyriadPro-Regular"/>
          <w:lang w:val="fr-CA"/>
        </w:rPr>
        <w:t>une éducation pour tous. Des mesures d</w:t>
      </w:r>
      <w:r w:rsidR="0080611A">
        <w:rPr>
          <w:rFonts w:cs="MyriadPro-Regular"/>
          <w:lang w:val="fr-CA"/>
        </w:rPr>
        <w:t>’</w:t>
      </w:r>
      <w:r w:rsidR="008736E0">
        <w:rPr>
          <w:rFonts w:cs="MyriadPro-Regular"/>
          <w:lang w:val="fr-CA"/>
        </w:rPr>
        <w:t>«</w:t>
      </w:r>
      <w:r w:rsidR="004D08AD" w:rsidRPr="00B3274C">
        <w:rPr>
          <w:rFonts w:cs="MyriadPro-Regular"/>
          <w:lang w:val="fr-CA"/>
        </w:rPr>
        <w:t>intervention précoce</w:t>
      </w:r>
      <w:r w:rsidR="0055418C" w:rsidRPr="00B3274C">
        <w:rPr>
          <w:rFonts w:cs="MyriadPro-Regular"/>
          <w:lang w:val="fr-CA"/>
        </w:rPr>
        <w:t>»</w:t>
      </w:r>
      <w:r w:rsidR="004D08AD" w:rsidRPr="00B3274C">
        <w:rPr>
          <w:rFonts w:cs="MyriadPro-Regular"/>
          <w:lang w:val="fr-CA"/>
        </w:rPr>
        <w:t xml:space="preserve"> ont été introduites pour les enfants d</w:t>
      </w:r>
      <w:r w:rsidR="0080611A">
        <w:rPr>
          <w:rFonts w:cs="MyriadPro-Regular"/>
          <w:lang w:val="fr-CA"/>
        </w:rPr>
        <w:t>’</w:t>
      </w:r>
      <w:r w:rsidR="004D08AD" w:rsidRPr="00B3274C">
        <w:rPr>
          <w:rFonts w:cs="MyriadPro-Regular"/>
          <w:lang w:val="fr-CA"/>
        </w:rPr>
        <w:t>âge préscolaire. Le droit des bons élèves à des services d</w:t>
      </w:r>
      <w:r w:rsidR="0080611A">
        <w:rPr>
          <w:rFonts w:cs="MyriadPro-Regular"/>
          <w:lang w:val="fr-CA"/>
        </w:rPr>
        <w:t>’</w:t>
      </w:r>
      <w:r w:rsidR="004D08AD" w:rsidRPr="00B3274C">
        <w:rPr>
          <w:rFonts w:cs="MyriadPro-Regular"/>
          <w:lang w:val="fr-CA"/>
        </w:rPr>
        <w:t xml:space="preserve">éducation spécialisée a été reconnu pour la première fois. </w:t>
      </w:r>
    </w:p>
    <w:p w:rsidR="00FB23D3" w:rsidRPr="00B3274C" w:rsidRDefault="00107A47" w:rsidP="00107A47">
      <w:pPr>
        <w:pStyle w:val="SingleTxtG"/>
        <w:rPr>
          <w:lang w:val="fr-CA"/>
        </w:rPr>
      </w:pPr>
      <w:r w:rsidRPr="00B3274C">
        <w:rPr>
          <w:lang w:val="fr-CA"/>
        </w:rPr>
        <w:t>312.</w:t>
      </w:r>
      <w:r w:rsidRPr="00B3274C">
        <w:rPr>
          <w:lang w:val="fr-CA"/>
        </w:rPr>
        <w:tab/>
      </w:r>
      <w:r w:rsidR="008B1BB2" w:rsidRPr="00B3274C">
        <w:rPr>
          <w:lang w:val="fr-CA"/>
        </w:rPr>
        <w:t>Par ailleurs</w:t>
      </w:r>
      <w:r w:rsidR="0080611A">
        <w:rPr>
          <w:lang w:val="fr-CA"/>
        </w:rPr>
        <w:t>,</w:t>
      </w:r>
      <w:r w:rsidR="008B1BB2" w:rsidRPr="00B3274C">
        <w:rPr>
          <w:lang w:val="fr-CA"/>
        </w:rPr>
        <w:t xml:space="preserve"> ladite loi a instauré le diagnostic différentiel et défini les procédures de diagnostic des besoins particuliers en matière d</w:t>
      </w:r>
      <w:r w:rsidR="0080611A">
        <w:rPr>
          <w:lang w:val="fr-CA"/>
        </w:rPr>
        <w:t>’</w:t>
      </w:r>
      <w:r w:rsidR="008B1BB2" w:rsidRPr="00B3274C">
        <w:rPr>
          <w:lang w:val="fr-CA"/>
        </w:rPr>
        <w:t>éducation</w:t>
      </w:r>
      <w:r w:rsidR="0080611A">
        <w:rPr>
          <w:lang w:val="fr-CA"/>
        </w:rPr>
        <w:t>,</w:t>
      </w:r>
      <w:r w:rsidR="00823019" w:rsidRPr="00B3274C">
        <w:rPr>
          <w:lang w:val="fr-CA"/>
        </w:rPr>
        <w:t xml:space="preserve"> les organes chargés de les identifier</w:t>
      </w:r>
      <w:r w:rsidR="0080611A">
        <w:rPr>
          <w:lang w:val="fr-CA"/>
        </w:rPr>
        <w:t>,</w:t>
      </w:r>
      <w:r w:rsidR="00823019" w:rsidRPr="00B3274C">
        <w:rPr>
          <w:lang w:val="fr-CA"/>
        </w:rPr>
        <w:t xml:space="preserve"> à savoir notamment les centres de diagnostic différentiel</w:t>
      </w:r>
      <w:r w:rsidR="0080611A">
        <w:rPr>
          <w:lang w:val="fr-CA"/>
        </w:rPr>
        <w:t>,</w:t>
      </w:r>
      <w:r w:rsidR="00823019" w:rsidRPr="00B3274C">
        <w:rPr>
          <w:lang w:val="fr-CA"/>
        </w:rPr>
        <w:t xml:space="preserve"> de diagnostic et de soutien concernant les besoins en matière d</w:t>
      </w:r>
      <w:r w:rsidR="0080611A">
        <w:rPr>
          <w:lang w:val="fr-CA"/>
        </w:rPr>
        <w:t>’</w:t>
      </w:r>
      <w:r w:rsidR="00823019" w:rsidRPr="00B3274C">
        <w:rPr>
          <w:lang w:val="fr-CA"/>
        </w:rPr>
        <w:t xml:space="preserve">éducation spécialisée </w:t>
      </w:r>
      <w:r w:rsidR="00FB23D3" w:rsidRPr="00B3274C">
        <w:rPr>
          <w:rFonts w:cs="MyriadPro-Regular"/>
          <w:lang w:val="fr-CA"/>
        </w:rPr>
        <w:t>(KEDDY)</w:t>
      </w:r>
      <w:r w:rsidR="0080611A">
        <w:rPr>
          <w:rFonts w:cs="MyriadPro-Regular"/>
          <w:lang w:val="fr-CA"/>
        </w:rPr>
        <w:t>,</w:t>
      </w:r>
      <w:r w:rsidR="00823019" w:rsidRPr="00B3274C">
        <w:rPr>
          <w:rFonts w:cs="MyriadPro-Regular"/>
          <w:lang w:val="fr-CA"/>
        </w:rPr>
        <w:t xml:space="preserve"> en précisant leur mode </w:t>
      </w:r>
      <w:r w:rsidR="00084C65" w:rsidRPr="00B3274C">
        <w:rPr>
          <w:rFonts w:cs="MyriadPro-Regular"/>
          <w:lang w:val="fr-CA"/>
        </w:rPr>
        <w:t>de recrutement</w:t>
      </w:r>
      <w:r w:rsidR="0080611A">
        <w:rPr>
          <w:rFonts w:cs="MyriadPro-Regular"/>
          <w:lang w:val="fr-CA"/>
        </w:rPr>
        <w:t>,</w:t>
      </w:r>
      <w:r w:rsidR="00084C65" w:rsidRPr="00B3274C">
        <w:rPr>
          <w:rFonts w:cs="MyriadPro-Regular"/>
          <w:lang w:val="fr-CA"/>
        </w:rPr>
        <w:t xml:space="preserve"> leur fonctionnement et leurs responsabilités</w:t>
      </w:r>
      <w:r w:rsidR="00FB23D3" w:rsidRPr="00B3274C">
        <w:rPr>
          <w:rFonts w:cs="MyriadPro-Regular"/>
          <w:lang w:val="fr-CA"/>
        </w:rPr>
        <w:t>.</w:t>
      </w:r>
    </w:p>
    <w:p w:rsidR="00FB23D3" w:rsidRPr="00B3274C" w:rsidRDefault="00784DBF" w:rsidP="00D0169E">
      <w:pPr>
        <w:pStyle w:val="H23G"/>
        <w:rPr>
          <w:lang w:val="fr-CA"/>
        </w:rPr>
      </w:pPr>
      <w:r w:rsidRPr="00B3274C">
        <w:rPr>
          <w:lang w:val="fr-CA"/>
        </w:rPr>
        <w:tab/>
      </w:r>
      <w:r w:rsidR="00D0169E" w:rsidRPr="00B3274C">
        <w:rPr>
          <w:lang w:val="fr-CA"/>
        </w:rPr>
        <w:t>5.</w:t>
      </w:r>
      <w:r w:rsidRPr="00B3274C">
        <w:rPr>
          <w:lang w:val="fr-CA"/>
        </w:rPr>
        <w:tab/>
      </w:r>
      <w:r w:rsidR="00712D05" w:rsidRPr="00B3274C">
        <w:rPr>
          <w:lang w:val="fr-CA"/>
        </w:rPr>
        <w:t>Réseau contre la violence à l</w:t>
      </w:r>
      <w:r w:rsidR="0080611A">
        <w:rPr>
          <w:lang w:val="fr-CA"/>
        </w:rPr>
        <w:t>’</w:t>
      </w:r>
      <w:r w:rsidR="00712D05" w:rsidRPr="00B3274C">
        <w:rPr>
          <w:lang w:val="fr-CA"/>
        </w:rPr>
        <w:t xml:space="preserve">école </w:t>
      </w:r>
    </w:p>
    <w:p w:rsidR="00FB23D3" w:rsidRPr="00B3274C" w:rsidRDefault="00107A47" w:rsidP="00107A47">
      <w:pPr>
        <w:pStyle w:val="SingleTxtG"/>
        <w:rPr>
          <w:rFonts w:cs="Arial"/>
          <w:lang w:val="fr-CA"/>
        </w:rPr>
      </w:pPr>
      <w:r w:rsidRPr="00B3274C">
        <w:rPr>
          <w:rFonts w:cs="Arial"/>
          <w:lang w:val="fr-CA"/>
        </w:rPr>
        <w:t>313.</w:t>
      </w:r>
      <w:r w:rsidRPr="00B3274C">
        <w:rPr>
          <w:rFonts w:cs="Arial"/>
          <w:lang w:val="fr-CA"/>
        </w:rPr>
        <w:tab/>
      </w:r>
      <w:r w:rsidR="00084F8B" w:rsidRPr="00B3274C">
        <w:rPr>
          <w:rFonts w:cs="Arial"/>
          <w:lang w:val="fr-CA"/>
        </w:rPr>
        <w:t>Le Ministère grec de l</w:t>
      </w:r>
      <w:r w:rsidR="0080611A">
        <w:rPr>
          <w:rFonts w:cs="Arial"/>
          <w:lang w:val="fr-CA"/>
        </w:rPr>
        <w:t>’</w:t>
      </w:r>
      <w:r w:rsidR="00084F8B" w:rsidRPr="00B3274C">
        <w:rPr>
          <w:rFonts w:cs="Arial"/>
          <w:lang w:val="fr-CA"/>
        </w:rPr>
        <w:t>éducation est l</w:t>
      </w:r>
      <w:r w:rsidR="0080611A">
        <w:rPr>
          <w:rFonts w:cs="Arial"/>
          <w:lang w:val="fr-CA"/>
        </w:rPr>
        <w:t>’</w:t>
      </w:r>
      <w:r w:rsidR="00084F8B" w:rsidRPr="00B3274C">
        <w:rPr>
          <w:rFonts w:cs="Arial"/>
          <w:lang w:val="fr-CA"/>
        </w:rPr>
        <w:t>un des membres fondateurs du Réseau contre la violence à l</w:t>
      </w:r>
      <w:r w:rsidR="0080611A">
        <w:rPr>
          <w:rFonts w:cs="Arial"/>
          <w:lang w:val="fr-CA"/>
        </w:rPr>
        <w:t>’</w:t>
      </w:r>
      <w:r w:rsidR="00084F8B" w:rsidRPr="00B3274C">
        <w:rPr>
          <w:rFonts w:cs="Arial"/>
          <w:lang w:val="fr-CA"/>
        </w:rPr>
        <w:t>école</w:t>
      </w:r>
      <w:r w:rsidR="0080611A">
        <w:rPr>
          <w:rFonts w:cs="Arial"/>
          <w:lang w:val="fr-CA"/>
        </w:rPr>
        <w:t>,</w:t>
      </w:r>
      <w:r w:rsidR="00084F8B" w:rsidRPr="00B3274C">
        <w:rPr>
          <w:rFonts w:cs="Arial"/>
          <w:lang w:val="fr-CA"/>
        </w:rPr>
        <w:t xml:space="preserve"> créé en 2010 à l</w:t>
      </w:r>
      <w:r w:rsidR="0080611A">
        <w:rPr>
          <w:rFonts w:cs="Arial"/>
          <w:lang w:val="fr-CA"/>
        </w:rPr>
        <w:t>’</w:t>
      </w:r>
      <w:r w:rsidR="00084F8B" w:rsidRPr="00B3274C">
        <w:rPr>
          <w:rFonts w:cs="Arial"/>
          <w:lang w:val="fr-CA"/>
        </w:rPr>
        <w:t>initiative de l</w:t>
      </w:r>
      <w:r w:rsidR="0080611A">
        <w:rPr>
          <w:rFonts w:cs="Arial"/>
          <w:lang w:val="fr-CA"/>
        </w:rPr>
        <w:t>’</w:t>
      </w:r>
      <w:r w:rsidR="00084F8B" w:rsidRPr="00B3274C">
        <w:rPr>
          <w:rFonts w:cs="Arial"/>
          <w:lang w:val="fr-CA"/>
        </w:rPr>
        <w:t>Association pour la santé psychosociale des enfants et des adolescents en Grèce. La création du réseau a été jugée nécessaire face à un besoin de prévention des brimades à l</w:t>
      </w:r>
      <w:r w:rsidR="0080611A">
        <w:rPr>
          <w:rFonts w:cs="Arial"/>
          <w:lang w:val="fr-CA"/>
        </w:rPr>
        <w:t>’</w:t>
      </w:r>
      <w:r w:rsidR="00084F8B" w:rsidRPr="00B3274C">
        <w:rPr>
          <w:rFonts w:cs="Arial"/>
          <w:lang w:val="fr-CA"/>
        </w:rPr>
        <w:t>école et d</w:t>
      </w:r>
      <w:r w:rsidR="0080611A">
        <w:rPr>
          <w:rFonts w:cs="Arial"/>
          <w:lang w:val="fr-CA"/>
        </w:rPr>
        <w:t>’</w:t>
      </w:r>
      <w:r w:rsidR="00084F8B" w:rsidRPr="00B3274C">
        <w:rPr>
          <w:rFonts w:cs="Arial"/>
          <w:lang w:val="fr-CA"/>
        </w:rPr>
        <w:t xml:space="preserve">intervention précoce pour lutter contre ce phénomène. Parmi les actions </w:t>
      </w:r>
      <w:r w:rsidR="002E43B0" w:rsidRPr="00B3274C">
        <w:rPr>
          <w:rFonts w:cs="Arial"/>
          <w:lang w:val="fr-CA"/>
        </w:rPr>
        <w:t>entreprises en ce sens</w:t>
      </w:r>
      <w:r w:rsidR="0080611A">
        <w:rPr>
          <w:rFonts w:cs="Arial"/>
          <w:lang w:val="fr-CA"/>
        </w:rPr>
        <w:t>,</w:t>
      </w:r>
      <w:r w:rsidR="002E43B0" w:rsidRPr="00B3274C">
        <w:rPr>
          <w:rFonts w:cs="Arial"/>
          <w:lang w:val="fr-CA"/>
        </w:rPr>
        <w:t xml:space="preserve"> il convient de mentionner</w:t>
      </w:r>
      <w:r w:rsidR="00EC5892" w:rsidRPr="00B3274C">
        <w:rPr>
          <w:rFonts w:cs="Arial"/>
          <w:lang w:val="fr-CA"/>
        </w:rPr>
        <w:t>:</w:t>
      </w:r>
      <w:r w:rsidR="002E43B0" w:rsidRPr="00B3274C">
        <w:rPr>
          <w:rFonts w:cs="Arial"/>
          <w:lang w:val="fr-CA"/>
        </w:rPr>
        <w:t xml:space="preserve"> </w:t>
      </w:r>
      <w:r w:rsidR="00023686" w:rsidRPr="00B3274C">
        <w:rPr>
          <w:rFonts w:cs="Arial"/>
          <w:lang w:val="fr-CA"/>
        </w:rPr>
        <w:t>l</w:t>
      </w:r>
      <w:r w:rsidR="0080611A">
        <w:rPr>
          <w:rFonts w:cs="Arial"/>
          <w:lang w:val="fr-CA"/>
        </w:rPr>
        <w:t>’</w:t>
      </w:r>
      <w:r w:rsidR="00023686" w:rsidRPr="00B3274C">
        <w:rPr>
          <w:rFonts w:cs="Arial"/>
          <w:lang w:val="fr-CA"/>
        </w:rPr>
        <w:t>ouverture d</w:t>
      </w:r>
      <w:r w:rsidR="0080611A">
        <w:rPr>
          <w:rFonts w:cs="Arial"/>
          <w:lang w:val="fr-CA"/>
        </w:rPr>
        <w:t>’</w:t>
      </w:r>
      <w:r w:rsidR="002E43B0" w:rsidRPr="00B3274C">
        <w:rPr>
          <w:rFonts w:cs="Arial"/>
          <w:lang w:val="fr-CA"/>
        </w:rPr>
        <w:t>une ligne d</w:t>
      </w:r>
      <w:r w:rsidR="0080611A">
        <w:rPr>
          <w:rFonts w:cs="Arial"/>
          <w:lang w:val="fr-CA"/>
        </w:rPr>
        <w:t>’</w:t>
      </w:r>
      <w:r w:rsidR="002E43B0" w:rsidRPr="00B3274C">
        <w:rPr>
          <w:rFonts w:cs="Arial"/>
          <w:lang w:val="fr-CA"/>
        </w:rPr>
        <w:t>assistance téléphonique pour les enseignants et les parents</w:t>
      </w:r>
      <w:r w:rsidR="0080611A">
        <w:rPr>
          <w:rFonts w:cs="Arial"/>
          <w:lang w:val="fr-CA"/>
        </w:rPr>
        <w:t>,</w:t>
      </w:r>
      <w:r w:rsidR="002E43B0" w:rsidRPr="00B3274C">
        <w:rPr>
          <w:rFonts w:cs="Arial"/>
          <w:lang w:val="fr-CA"/>
        </w:rPr>
        <w:t xml:space="preserve"> la création d</w:t>
      </w:r>
      <w:r w:rsidR="0080611A">
        <w:rPr>
          <w:rFonts w:cs="Arial"/>
          <w:lang w:val="fr-CA"/>
        </w:rPr>
        <w:t>’</w:t>
      </w:r>
      <w:r w:rsidR="002E43B0" w:rsidRPr="00B3274C">
        <w:rPr>
          <w:rFonts w:cs="Arial"/>
          <w:lang w:val="fr-CA"/>
        </w:rPr>
        <w:t>une unité mobile d</w:t>
      </w:r>
      <w:r w:rsidR="0080611A">
        <w:rPr>
          <w:rFonts w:cs="Arial"/>
          <w:lang w:val="fr-CA"/>
        </w:rPr>
        <w:t>’</w:t>
      </w:r>
      <w:r w:rsidR="002E43B0" w:rsidRPr="00B3274C">
        <w:rPr>
          <w:rFonts w:cs="Arial"/>
          <w:lang w:val="fr-CA"/>
        </w:rPr>
        <w:t>intervention en cas de violences et d</w:t>
      </w:r>
      <w:r w:rsidR="0080611A">
        <w:rPr>
          <w:rFonts w:cs="Arial"/>
          <w:lang w:val="fr-CA"/>
        </w:rPr>
        <w:t>’</w:t>
      </w:r>
      <w:r w:rsidR="002E43B0" w:rsidRPr="00B3274C">
        <w:rPr>
          <w:rFonts w:cs="Arial"/>
          <w:lang w:val="fr-CA"/>
        </w:rPr>
        <w:t>actes d</w:t>
      </w:r>
      <w:r w:rsidR="0080611A">
        <w:rPr>
          <w:rFonts w:cs="Arial"/>
          <w:lang w:val="fr-CA"/>
        </w:rPr>
        <w:t>’</w:t>
      </w:r>
      <w:r w:rsidR="002E43B0" w:rsidRPr="00B3274C">
        <w:rPr>
          <w:rFonts w:cs="Arial"/>
          <w:lang w:val="fr-CA"/>
        </w:rPr>
        <w:t>intimidation</w:t>
      </w:r>
      <w:r w:rsidR="00023686" w:rsidRPr="00B3274C">
        <w:rPr>
          <w:rFonts w:cs="Arial"/>
          <w:lang w:val="fr-CA"/>
        </w:rPr>
        <w:t xml:space="preserve"> et </w:t>
      </w:r>
      <w:r w:rsidR="00DC1876" w:rsidRPr="00B3274C">
        <w:rPr>
          <w:rFonts w:cs="Arial"/>
          <w:lang w:val="fr-CA"/>
        </w:rPr>
        <w:t>d</w:t>
      </w:r>
      <w:r w:rsidR="0080611A">
        <w:rPr>
          <w:rFonts w:cs="Arial"/>
          <w:lang w:val="fr-CA"/>
        </w:rPr>
        <w:t>’</w:t>
      </w:r>
      <w:r w:rsidR="00023686" w:rsidRPr="00B3274C">
        <w:rPr>
          <w:rFonts w:cs="Arial"/>
          <w:lang w:val="fr-CA"/>
        </w:rPr>
        <w:t>un service de conseils en ligne pour enseignants</w:t>
      </w:r>
      <w:r w:rsidR="0080611A">
        <w:rPr>
          <w:rFonts w:cs="Arial"/>
          <w:lang w:val="fr-CA"/>
        </w:rPr>
        <w:t>,</w:t>
      </w:r>
      <w:r w:rsidR="00023686" w:rsidRPr="00B3274C">
        <w:rPr>
          <w:rFonts w:cs="Arial"/>
          <w:lang w:val="fr-CA"/>
        </w:rPr>
        <w:t xml:space="preserve"> enfants</w:t>
      </w:r>
      <w:r w:rsidR="0080611A">
        <w:rPr>
          <w:rFonts w:cs="Arial"/>
          <w:lang w:val="fr-CA"/>
        </w:rPr>
        <w:t>,</w:t>
      </w:r>
      <w:r w:rsidR="00023686" w:rsidRPr="00B3274C">
        <w:rPr>
          <w:rFonts w:cs="Arial"/>
          <w:lang w:val="fr-CA"/>
        </w:rPr>
        <w:t xml:space="preserve"> adolescents</w:t>
      </w:r>
      <w:r w:rsidR="0080611A">
        <w:rPr>
          <w:rFonts w:cs="Arial"/>
          <w:lang w:val="fr-CA"/>
        </w:rPr>
        <w:t>,</w:t>
      </w:r>
      <w:r w:rsidR="00023686" w:rsidRPr="00B3274C">
        <w:rPr>
          <w:rFonts w:cs="Arial"/>
          <w:lang w:val="fr-CA"/>
        </w:rPr>
        <w:t xml:space="preserve"> étudiants et jeunes.</w:t>
      </w:r>
      <w:r w:rsidR="002E43B0" w:rsidRPr="00B3274C">
        <w:rPr>
          <w:rFonts w:cs="Arial"/>
          <w:lang w:val="fr-CA"/>
        </w:rPr>
        <w:t xml:space="preserve"> </w:t>
      </w:r>
    </w:p>
    <w:p w:rsidR="00FB23D3" w:rsidRPr="00B3274C" w:rsidRDefault="00784DBF" w:rsidP="00D0169E">
      <w:pPr>
        <w:pStyle w:val="H23G"/>
        <w:rPr>
          <w:lang w:val="fr-CA"/>
        </w:rPr>
      </w:pPr>
      <w:r w:rsidRPr="00B3274C">
        <w:rPr>
          <w:lang w:val="fr-CA"/>
        </w:rPr>
        <w:tab/>
      </w:r>
      <w:r w:rsidR="00D0169E" w:rsidRPr="00B3274C">
        <w:rPr>
          <w:lang w:val="fr-CA"/>
        </w:rPr>
        <w:t>6.</w:t>
      </w:r>
      <w:r w:rsidRPr="00B3274C">
        <w:rPr>
          <w:lang w:val="fr-CA"/>
        </w:rPr>
        <w:tab/>
      </w:r>
      <w:r w:rsidR="00712D05" w:rsidRPr="00B3274C">
        <w:rPr>
          <w:lang w:val="fr-CA"/>
        </w:rPr>
        <w:t xml:space="preserve">Prévenir et combattre les châtiments corporels infligés aux enfants </w:t>
      </w:r>
    </w:p>
    <w:p w:rsidR="00FB23D3" w:rsidRPr="00B3274C" w:rsidRDefault="00107A47" w:rsidP="00107A47">
      <w:pPr>
        <w:pStyle w:val="SingleTxtG"/>
        <w:rPr>
          <w:rFonts w:cs="Calibri"/>
          <w:lang w:val="fr-CA"/>
        </w:rPr>
      </w:pPr>
      <w:r w:rsidRPr="00B3274C">
        <w:rPr>
          <w:rFonts w:cs="Calibri"/>
          <w:lang w:val="fr-CA"/>
        </w:rPr>
        <w:t>314.</w:t>
      </w:r>
      <w:r w:rsidRPr="00B3274C">
        <w:rPr>
          <w:rFonts w:cs="Calibri"/>
          <w:lang w:val="fr-CA"/>
        </w:rPr>
        <w:tab/>
      </w:r>
      <w:r w:rsidR="00AE504D" w:rsidRPr="00B3274C">
        <w:rPr>
          <w:rFonts w:cs="Calibri"/>
          <w:lang w:val="fr-CA"/>
        </w:rPr>
        <w:t>La loi n</w:t>
      </w:r>
      <w:r w:rsidR="0080611A">
        <w:rPr>
          <w:rFonts w:cs="Calibri"/>
          <w:lang w:val="fr-CA"/>
        </w:rPr>
        <w:t>’</w:t>
      </w:r>
      <w:r w:rsidR="00AE504D" w:rsidRPr="00B3274C">
        <w:rPr>
          <w:rFonts w:cs="Calibri"/>
          <w:lang w:val="fr-CA"/>
        </w:rPr>
        <w:t>autorise pas les châtiments corporels à l</w:t>
      </w:r>
      <w:r w:rsidR="0080611A">
        <w:rPr>
          <w:rFonts w:cs="Calibri"/>
          <w:lang w:val="fr-CA"/>
        </w:rPr>
        <w:t>’</w:t>
      </w:r>
      <w:r w:rsidR="00AE504D" w:rsidRPr="00B3274C">
        <w:rPr>
          <w:rFonts w:cs="Calibri"/>
          <w:lang w:val="fr-CA"/>
        </w:rPr>
        <w:t>école et suggère d</w:t>
      </w:r>
      <w:r w:rsidR="0080611A">
        <w:rPr>
          <w:rFonts w:cs="Calibri"/>
          <w:lang w:val="fr-CA"/>
        </w:rPr>
        <w:t>’</w:t>
      </w:r>
      <w:r w:rsidR="00AE504D" w:rsidRPr="00B3274C">
        <w:rPr>
          <w:rFonts w:cs="Calibri"/>
          <w:lang w:val="fr-CA"/>
        </w:rPr>
        <w:t xml:space="preserve">autres </w:t>
      </w:r>
      <w:r w:rsidR="00C778E6" w:rsidRPr="00B3274C">
        <w:rPr>
          <w:rFonts w:cs="Calibri"/>
          <w:lang w:val="fr-CA"/>
        </w:rPr>
        <w:t>méthodes d</w:t>
      </w:r>
      <w:r w:rsidR="0080611A">
        <w:rPr>
          <w:rFonts w:cs="Calibri"/>
          <w:lang w:val="fr-CA"/>
        </w:rPr>
        <w:t>’</w:t>
      </w:r>
      <w:r w:rsidR="00C778E6" w:rsidRPr="00B3274C">
        <w:rPr>
          <w:rFonts w:cs="Calibri"/>
          <w:lang w:val="fr-CA"/>
        </w:rPr>
        <w:t>incitation des élèves à bien se comporter dans l</w:t>
      </w:r>
      <w:r w:rsidR="0080611A">
        <w:rPr>
          <w:rFonts w:cs="Calibri"/>
          <w:lang w:val="fr-CA"/>
        </w:rPr>
        <w:t>’</w:t>
      </w:r>
      <w:r w:rsidR="00C778E6" w:rsidRPr="00B3274C">
        <w:rPr>
          <w:rFonts w:cs="Calibri"/>
          <w:lang w:val="fr-CA"/>
        </w:rPr>
        <w:t>environnement scolaire. En outre</w:t>
      </w:r>
      <w:r w:rsidR="0080611A">
        <w:rPr>
          <w:rFonts w:cs="Calibri"/>
          <w:lang w:val="fr-CA"/>
        </w:rPr>
        <w:t>,</w:t>
      </w:r>
      <w:r w:rsidR="00C778E6" w:rsidRPr="00B3274C">
        <w:rPr>
          <w:rFonts w:cs="Calibri"/>
          <w:lang w:val="fr-CA"/>
        </w:rPr>
        <w:t xml:space="preserve"> l</w:t>
      </w:r>
      <w:r w:rsidR="0080611A">
        <w:rPr>
          <w:rFonts w:cs="Calibri"/>
          <w:lang w:val="fr-CA"/>
        </w:rPr>
        <w:t>’</w:t>
      </w:r>
      <w:r w:rsidR="00597DC4">
        <w:rPr>
          <w:rFonts w:cs="Calibri"/>
          <w:lang w:val="fr-CA"/>
        </w:rPr>
        <w:t>article </w:t>
      </w:r>
      <w:r w:rsidR="00C778E6" w:rsidRPr="00B3274C">
        <w:rPr>
          <w:rFonts w:cs="Calibri"/>
          <w:lang w:val="fr-CA"/>
        </w:rPr>
        <w:t xml:space="preserve">4 de la loi </w:t>
      </w:r>
      <w:r w:rsidR="00D65EDD" w:rsidRPr="00B3274C">
        <w:rPr>
          <w:lang w:val="fr-CA"/>
        </w:rPr>
        <w:t>n</w:t>
      </w:r>
      <w:r w:rsidR="00D65EDD" w:rsidRPr="00B3274C">
        <w:rPr>
          <w:vertAlign w:val="superscript"/>
          <w:lang w:val="fr-CA"/>
        </w:rPr>
        <w:t>o</w:t>
      </w:r>
      <w:r w:rsidR="00D65EDD" w:rsidRPr="00B3274C">
        <w:rPr>
          <w:lang w:val="fr-CA"/>
        </w:rPr>
        <w:t> </w:t>
      </w:r>
      <w:r w:rsidR="00C778E6" w:rsidRPr="00B3274C">
        <w:rPr>
          <w:rFonts w:cs="Calibri"/>
          <w:lang w:val="fr-CA"/>
        </w:rPr>
        <w:t>3500/2006 sur la violence au sein de la famille stipule clairement que les châtiments corporels ne sont pas autorisés</w:t>
      </w:r>
      <w:r w:rsidR="00FB23D3" w:rsidRPr="00B3274C">
        <w:rPr>
          <w:rFonts w:cs="Calibri"/>
          <w:lang w:val="fr-CA"/>
        </w:rPr>
        <w:t xml:space="preserve"> </w:t>
      </w:r>
      <w:r w:rsidR="00C778E6" w:rsidRPr="00B3274C">
        <w:rPr>
          <w:rFonts w:cs="Calibri"/>
          <w:lang w:val="fr-CA"/>
        </w:rPr>
        <w:t>dans le cadre de l</w:t>
      </w:r>
      <w:r w:rsidR="0080611A">
        <w:rPr>
          <w:rFonts w:cs="Calibri"/>
          <w:lang w:val="fr-CA"/>
        </w:rPr>
        <w:t>’</w:t>
      </w:r>
      <w:r w:rsidR="00C778E6" w:rsidRPr="00B3274C">
        <w:rPr>
          <w:rFonts w:cs="Calibri"/>
          <w:lang w:val="fr-CA"/>
        </w:rPr>
        <w:t>éducation des enfants</w:t>
      </w:r>
      <w:r w:rsidR="00FB23D3" w:rsidRPr="00B3274C">
        <w:rPr>
          <w:rFonts w:cs="Calibri"/>
          <w:lang w:val="fr-CA"/>
        </w:rPr>
        <w:t>.</w:t>
      </w:r>
    </w:p>
    <w:p w:rsidR="00FB23D3" w:rsidRPr="00B3274C" w:rsidRDefault="00107A47" w:rsidP="00107A47">
      <w:pPr>
        <w:pStyle w:val="SingleTxtG"/>
        <w:rPr>
          <w:rFonts w:cs="Calibri"/>
          <w:lang w:val="fr-CA"/>
        </w:rPr>
      </w:pPr>
      <w:r w:rsidRPr="00B3274C">
        <w:rPr>
          <w:rFonts w:cs="Calibri"/>
          <w:lang w:val="fr-CA"/>
        </w:rPr>
        <w:t>315.</w:t>
      </w:r>
      <w:r w:rsidRPr="00B3274C">
        <w:rPr>
          <w:rFonts w:cs="Calibri"/>
          <w:lang w:val="fr-CA"/>
        </w:rPr>
        <w:tab/>
      </w:r>
      <w:r w:rsidR="00C778E6" w:rsidRPr="00B3274C">
        <w:rPr>
          <w:rFonts w:cs="Calibri"/>
          <w:lang w:val="fr-CA"/>
        </w:rPr>
        <w:t>Le Ministère grec de l</w:t>
      </w:r>
      <w:r w:rsidR="0080611A">
        <w:rPr>
          <w:rFonts w:cs="Calibri"/>
          <w:lang w:val="fr-CA"/>
        </w:rPr>
        <w:t>’</w:t>
      </w:r>
      <w:r w:rsidR="00C778E6" w:rsidRPr="00B3274C">
        <w:rPr>
          <w:rFonts w:cs="Calibri"/>
          <w:lang w:val="fr-CA"/>
        </w:rPr>
        <w:t>éducation est l</w:t>
      </w:r>
      <w:r w:rsidR="0080611A">
        <w:rPr>
          <w:rFonts w:cs="Calibri"/>
          <w:lang w:val="fr-CA"/>
        </w:rPr>
        <w:t>’</w:t>
      </w:r>
      <w:r w:rsidR="00C778E6" w:rsidRPr="00B3274C">
        <w:rPr>
          <w:rFonts w:cs="Calibri"/>
          <w:lang w:val="fr-CA"/>
        </w:rPr>
        <w:t xml:space="preserve">un des membres fondateurs du Réseau pour la prévention des châtiments corporels infligés aux enfants et la lutte contre cette pratique. Il </w:t>
      </w:r>
      <w:r w:rsidR="003A37FC" w:rsidRPr="00B3274C">
        <w:rPr>
          <w:rFonts w:cs="Calibri"/>
          <w:lang w:val="fr-CA"/>
        </w:rPr>
        <w:t>s</w:t>
      </w:r>
      <w:r w:rsidR="0080611A">
        <w:rPr>
          <w:rFonts w:cs="Calibri"/>
          <w:lang w:val="fr-CA"/>
        </w:rPr>
        <w:t>’</w:t>
      </w:r>
      <w:r w:rsidR="00C778E6" w:rsidRPr="00B3274C">
        <w:rPr>
          <w:rFonts w:cs="Calibri"/>
          <w:lang w:val="fr-CA"/>
        </w:rPr>
        <w:t>emploie</w:t>
      </w:r>
      <w:r w:rsidR="003A37FC" w:rsidRPr="00B3274C">
        <w:rPr>
          <w:rFonts w:cs="Calibri"/>
          <w:lang w:val="fr-CA"/>
        </w:rPr>
        <w:t xml:space="preserve"> à éliminer tout vestige de la pratique consistant à infliger des châtiments corporels aux enfants en Grèce en faisant valoir que l</w:t>
      </w:r>
      <w:r w:rsidR="0080611A">
        <w:rPr>
          <w:rFonts w:cs="Calibri"/>
          <w:lang w:val="fr-CA"/>
        </w:rPr>
        <w:t>’</w:t>
      </w:r>
      <w:r w:rsidR="00C50EF7" w:rsidRPr="00B3274C">
        <w:rPr>
          <w:rFonts w:cs="Calibri"/>
          <w:lang w:val="fr-CA"/>
        </w:rPr>
        <w:t>éducation des enfants doi</w:t>
      </w:r>
      <w:r w:rsidR="003A37FC" w:rsidRPr="00B3274C">
        <w:rPr>
          <w:rFonts w:cs="Calibri"/>
          <w:lang w:val="fr-CA"/>
        </w:rPr>
        <w:t xml:space="preserve">t </w:t>
      </w:r>
      <w:r w:rsidR="00C50EF7" w:rsidRPr="00B3274C">
        <w:rPr>
          <w:rFonts w:cs="Calibri"/>
          <w:lang w:val="fr-CA"/>
        </w:rPr>
        <w:t>être fondée sur</w:t>
      </w:r>
      <w:r w:rsidR="00991A52" w:rsidRPr="00B3274C">
        <w:rPr>
          <w:rFonts w:cs="Calibri"/>
          <w:lang w:val="fr-CA"/>
        </w:rPr>
        <w:t xml:space="preserve"> </w:t>
      </w:r>
      <w:r w:rsidR="00C50EF7" w:rsidRPr="00B3274C">
        <w:rPr>
          <w:rFonts w:cs="Calibri"/>
          <w:lang w:val="fr-CA"/>
        </w:rPr>
        <w:t>le</w:t>
      </w:r>
      <w:r w:rsidR="00991A52" w:rsidRPr="00B3274C">
        <w:rPr>
          <w:rFonts w:cs="Calibri"/>
          <w:lang w:val="fr-CA"/>
        </w:rPr>
        <w:t xml:space="preserve"> </w:t>
      </w:r>
      <w:r w:rsidR="003A37FC" w:rsidRPr="00B3274C">
        <w:rPr>
          <w:rFonts w:cs="Calibri"/>
          <w:lang w:val="fr-CA"/>
        </w:rPr>
        <w:t>dialogue et</w:t>
      </w:r>
      <w:r w:rsidR="00991A52" w:rsidRPr="00B3274C">
        <w:rPr>
          <w:rFonts w:cs="Calibri"/>
          <w:lang w:val="fr-CA"/>
        </w:rPr>
        <w:t xml:space="preserve"> </w:t>
      </w:r>
      <w:r w:rsidR="003A37FC" w:rsidRPr="00B3274C">
        <w:rPr>
          <w:rFonts w:cs="Calibri"/>
          <w:lang w:val="fr-CA"/>
        </w:rPr>
        <w:t xml:space="preserve">la participation et des méthodes en accord avec les principes des sciences pédagogiques contemporaines. </w:t>
      </w:r>
    </w:p>
    <w:p w:rsidR="00FB23D3" w:rsidRPr="00B3274C" w:rsidRDefault="00107A47" w:rsidP="00107A47">
      <w:pPr>
        <w:pStyle w:val="SingleTxtG"/>
        <w:rPr>
          <w:rFonts w:cs="Calibri"/>
          <w:lang w:val="fr-CA"/>
        </w:rPr>
      </w:pPr>
      <w:r w:rsidRPr="00B3274C">
        <w:rPr>
          <w:rFonts w:cs="Calibri"/>
          <w:lang w:val="fr-CA"/>
        </w:rPr>
        <w:t>316.</w:t>
      </w:r>
      <w:r w:rsidRPr="00B3274C">
        <w:rPr>
          <w:rFonts w:cs="Calibri"/>
          <w:lang w:val="fr-CA"/>
        </w:rPr>
        <w:tab/>
      </w:r>
      <w:r w:rsidR="006633D4" w:rsidRPr="00B3274C">
        <w:rPr>
          <w:rFonts w:cs="Calibri"/>
          <w:lang w:val="fr-CA"/>
        </w:rPr>
        <w:t>En mai 2011</w:t>
      </w:r>
      <w:r w:rsidR="0080611A">
        <w:rPr>
          <w:rFonts w:cs="Calibri"/>
          <w:lang w:val="fr-CA"/>
        </w:rPr>
        <w:t>,</w:t>
      </w:r>
      <w:r w:rsidR="006633D4" w:rsidRPr="00B3274C">
        <w:rPr>
          <w:rFonts w:cs="Calibri"/>
          <w:lang w:val="fr-CA"/>
        </w:rPr>
        <w:t xml:space="preserve"> le Réseau a organisé un débat ouvert dans les locaux du Ministère de l</w:t>
      </w:r>
      <w:r w:rsidR="0080611A">
        <w:rPr>
          <w:rFonts w:cs="Calibri"/>
          <w:lang w:val="fr-CA"/>
        </w:rPr>
        <w:t>’</w:t>
      </w:r>
      <w:r w:rsidR="006633D4" w:rsidRPr="00B3274C">
        <w:rPr>
          <w:rFonts w:cs="Calibri"/>
          <w:lang w:val="fr-CA"/>
        </w:rPr>
        <w:t>éducation. Le thème était</w:t>
      </w:r>
      <w:r w:rsidR="00EC5892" w:rsidRPr="00B3274C">
        <w:rPr>
          <w:rFonts w:cs="Calibri"/>
          <w:lang w:val="fr-CA"/>
        </w:rPr>
        <w:t>:</w:t>
      </w:r>
      <w:r w:rsidR="006633D4" w:rsidRPr="00B3274C">
        <w:rPr>
          <w:rFonts w:cs="Calibri"/>
          <w:lang w:val="fr-CA"/>
        </w:rPr>
        <w:t xml:space="preserve"> </w:t>
      </w:r>
      <w:r w:rsidR="0055418C" w:rsidRPr="00B3274C">
        <w:rPr>
          <w:rFonts w:cs="Calibri"/>
          <w:lang w:val="fr-CA"/>
        </w:rPr>
        <w:t>«</w:t>
      </w:r>
      <w:r w:rsidR="006633D4" w:rsidRPr="00B3274C">
        <w:rPr>
          <w:rFonts w:cs="Calibri"/>
          <w:lang w:val="fr-CA"/>
        </w:rPr>
        <w:t xml:space="preserve">Comment aider les parents à élever leurs enfants </w:t>
      </w:r>
      <w:r w:rsidR="004143EA" w:rsidRPr="00B3274C">
        <w:rPr>
          <w:rFonts w:cs="Calibri"/>
          <w:lang w:val="fr-CA"/>
        </w:rPr>
        <w:t>sans recourir à la violence?</w:t>
      </w:r>
      <w:r w:rsidR="006633D4" w:rsidRPr="00B3274C">
        <w:rPr>
          <w:rFonts w:cs="Calibri"/>
          <w:lang w:val="fr-CA"/>
        </w:rPr>
        <w:t>». Le but était d</w:t>
      </w:r>
      <w:r w:rsidR="0080611A">
        <w:rPr>
          <w:rFonts w:cs="Calibri"/>
          <w:lang w:val="fr-CA"/>
        </w:rPr>
        <w:t>’</w:t>
      </w:r>
      <w:r w:rsidR="006633D4" w:rsidRPr="00B3274C">
        <w:rPr>
          <w:rFonts w:cs="Calibri"/>
          <w:lang w:val="fr-CA"/>
        </w:rPr>
        <w:t>associer tous les organismes compétents</w:t>
      </w:r>
      <w:r w:rsidR="00657EB5" w:rsidRPr="00B3274C">
        <w:rPr>
          <w:rFonts w:cs="Calibri"/>
          <w:lang w:val="fr-CA"/>
        </w:rPr>
        <w:t xml:space="preserve"> ainsi que </w:t>
      </w:r>
      <w:r w:rsidR="00614BAC">
        <w:rPr>
          <w:rFonts w:cs="Calibri"/>
          <w:lang w:val="fr-CA"/>
        </w:rPr>
        <w:t>les personnes</w:t>
      </w:r>
      <w:r w:rsidR="00657EB5" w:rsidRPr="00B3274C">
        <w:rPr>
          <w:rFonts w:cs="Calibri"/>
          <w:lang w:val="fr-CA"/>
        </w:rPr>
        <w:t xml:space="preserve"> travaillant avec et pour des enfants à un débat fructueux sur un rôle parental positif. </w:t>
      </w:r>
    </w:p>
    <w:p w:rsidR="00FB23D3" w:rsidRPr="00B3274C" w:rsidRDefault="00784DBF" w:rsidP="00D55B13">
      <w:pPr>
        <w:pStyle w:val="H1G"/>
        <w:rPr>
          <w:lang w:val="fr-CA"/>
        </w:rPr>
      </w:pPr>
      <w:r w:rsidRPr="00B3274C">
        <w:rPr>
          <w:lang w:val="fr-CA"/>
        </w:rPr>
        <w:tab/>
      </w:r>
      <w:r w:rsidRPr="00B3274C">
        <w:rPr>
          <w:lang w:val="fr-CA"/>
        </w:rPr>
        <w:tab/>
      </w:r>
      <w:r w:rsidR="00597DC4">
        <w:rPr>
          <w:lang w:val="fr-CA"/>
        </w:rPr>
        <w:t>Article </w:t>
      </w:r>
      <w:r w:rsidR="00FB23D3" w:rsidRPr="00B3274C">
        <w:rPr>
          <w:lang w:val="fr-CA"/>
        </w:rPr>
        <w:t>15</w:t>
      </w:r>
      <w:r w:rsidR="006F3B50" w:rsidRPr="00B3274C">
        <w:rPr>
          <w:lang w:val="fr-CA"/>
        </w:rPr>
        <w:br/>
      </w:r>
      <w:r w:rsidR="00712D05" w:rsidRPr="00B3274C">
        <w:rPr>
          <w:lang w:val="fr-CA"/>
        </w:rPr>
        <w:t>Droit de participer à la vie culturelle</w:t>
      </w:r>
    </w:p>
    <w:p w:rsidR="00FB23D3" w:rsidRPr="00B3274C" w:rsidRDefault="00784DBF" w:rsidP="00D0169E">
      <w:pPr>
        <w:pStyle w:val="H23G"/>
        <w:rPr>
          <w:lang w:val="fr-CA"/>
        </w:rPr>
      </w:pPr>
      <w:r w:rsidRPr="00B3274C">
        <w:rPr>
          <w:lang w:val="fr-CA"/>
        </w:rPr>
        <w:tab/>
      </w:r>
      <w:r w:rsidR="00D0169E" w:rsidRPr="00B3274C">
        <w:rPr>
          <w:lang w:val="fr-CA"/>
        </w:rPr>
        <w:t>1.</w:t>
      </w:r>
      <w:r w:rsidRPr="00B3274C">
        <w:rPr>
          <w:lang w:val="fr-CA"/>
        </w:rPr>
        <w:tab/>
      </w:r>
      <w:r w:rsidR="00FF47B1" w:rsidRPr="00B3274C">
        <w:rPr>
          <w:lang w:val="fr-CA"/>
        </w:rPr>
        <w:t>Financement disponible</w:t>
      </w:r>
    </w:p>
    <w:p w:rsidR="00FB23D3" w:rsidRPr="00B3274C" w:rsidRDefault="00107A47" w:rsidP="00107A47">
      <w:pPr>
        <w:pStyle w:val="SingleTxtG"/>
        <w:rPr>
          <w:lang w:val="fr-CA"/>
        </w:rPr>
      </w:pPr>
      <w:r w:rsidRPr="00B3274C">
        <w:rPr>
          <w:lang w:val="fr-CA"/>
        </w:rPr>
        <w:t>317.</w:t>
      </w:r>
      <w:r w:rsidRPr="00B3274C">
        <w:rPr>
          <w:lang w:val="fr-CA"/>
        </w:rPr>
        <w:tab/>
      </w:r>
      <w:r w:rsidR="00FF47B1" w:rsidRPr="00B3274C">
        <w:rPr>
          <w:lang w:val="fr-CA"/>
        </w:rPr>
        <w:t>Les tableaux qui figurent dans l</w:t>
      </w:r>
      <w:r w:rsidR="0080611A">
        <w:rPr>
          <w:lang w:val="fr-CA"/>
        </w:rPr>
        <w:t>’</w:t>
      </w:r>
      <w:r w:rsidR="00FF47B1" w:rsidRPr="00B3274C">
        <w:rPr>
          <w:lang w:val="fr-CA"/>
        </w:rPr>
        <w:t>annexe 9 présentent les dépenses effectuées par l</w:t>
      </w:r>
      <w:r w:rsidR="0080611A">
        <w:rPr>
          <w:lang w:val="fr-CA"/>
        </w:rPr>
        <w:t>’</w:t>
      </w:r>
      <w:r w:rsidR="00FF47B1" w:rsidRPr="00B3274C">
        <w:rPr>
          <w:lang w:val="fr-CA"/>
        </w:rPr>
        <w:t>ancien Ministère de la culture pour développer et soutenir différents secteurs au cours de la période 2004-2008.</w:t>
      </w:r>
      <w:r w:rsidR="0055418C" w:rsidRPr="00B3274C">
        <w:rPr>
          <w:lang w:val="fr-CA"/>
        </w:rPr>
        <w:t xml:space="preserve"> </w:t>
      </w:r>
    </w:p>
    <w:p w:rsidR="00FB23D3" w:rsidRPr="00B3274C" w:rsidRDefault="00784DBF" w:rsidP="00D0169E">
      <w:pPr>
        <w:pStyle w:val="H23G"/>
        <w:rPr>
          <w:lang w:val="fr-CA"/>
        </w:rPr>
      </w:pPr>
      <w:r w:rsidRPr="00B3274C">
        <w:rPr>
          <w:lang w:val="fr-CA"/>
        </w:rPr>
        <w:tab/>
      </w:r>
      <w:r w:rsidR="00D0169E" w:rsidRPr="00B3274C">
        <w:rPr>
          <w:lang w:val="fr-CA"/>
        </w:rPr>
        <w:t>2.</w:t>
      </w:r>
      <w:r w:rsidRPr="00B3274C">
        <w:rPr>
          <w:lang w:val="fr-CA"/>
        </w:rPr>
        <w:tab/>
      </w:r>
      <w:r w:rsidR="00FF47B1" w:rsidRPr="00B3274C">
        <w:rPr>
          <w:lang w:val="fr-CA"/>
        </w:rPr>
        <w:t>Faits nouveaux concernant l</w:t>
      </w:r>
      <w:r w:rsidR="0080611A">
        <w:rPr>
          <w:lang w:val="fr-CA"/>
        </w:rPr>
        <w:t>’</w:t>
      </w:r>
      <w:r w:rsidR="00FF47B1" w:rsidRPr="00B3274C">
        <w:rPr>
          <w:lang w:val="fr-CA"/>
        </w:rPr>
        <w:t>infrastructure institutionnelle</w:t>
      </w:r>
    </w:p>
    <w:p w:rsidR="00FB23D3" w:rsidRPr="00B3274C" w:rsidRDefault="00107A47" w:rsidP="00107A47">
      <w:pPr>
        <w:pStyle w:val="SingleTxtG"/>
        <w:rPr>
          <w:lang w:val="fr-CA"/>
        </w:rPr>
      </w:pPr>
      <w:r w:rsidRPr="00B3274C">
        <w:rPr>
          <w:lang w:val="fr-CA"/>
        </w:rPr>
        <w:t>318.</w:t>
      </w:r>
      <w:r w:rsidRPr="00B3274C">
        <w:rPr>
          <w:lang w:val="fr-CA"/>
        </w:rPr>
        <w:tab/>
      </w:r>
      <w:r w:rsidR="00FF47B1" w:rsidRPr="00B3274C">
        <w:rPr>
          <w:lang w:val="fr-CA"/>
        </w:rPr>
        <w:t>Le Centre national du livre (EKEBI)</w:t>
      </w:r>
      <w:r w:rsidR="0080611A">
        <w:rPr>
          <w:lang w:val="fr-CA"/>
        </w:rPr>
        <w:t>,</w:t>
      </w:r>
      <w:r w:rsidR="00FF47B1" w:rsidRPr="00B3274C">
        <w:rPr>
          <w:lang w:val="fr-CA"/>
        </w:rPr>
        <w:t xml:space="preserve"> personne morale de droit privé à but non lucratif</w:t>
      </w:r>
      <w:r w:rsidR="0080611A">
        <w:rPr>
          <w:lang w:val="fr-CA"/>
        </w:rPr>
        <w:t>,</w:t>
      </w:r>
      <w:r w:rsidR="00FF47B1" w:rsidRPr="00B3274C">
        <w:rPr>
          <w:lang w:val="fr-CA"/>
        </w:rPr>
        <w:t xml:space="preserve"> créé en 1994 par le Ministère de la culture de l</w:t>
      </w:r>
      <w:r w:rsidR="0080611A">
        <w:rPr>
          <w:lang w:val="fr-CA"/>
        </w:rPr>
        <w:t>’</w:t>
      </w:r>
      <w:r w:rsidR="00FF47B1" w:rsidRPr="00B3274C">
        <w:rPr>
          <w:lang w:val="fr-CA"/>
        </w:rPr>
        <w:t>époque</w:t>
      </w:r>
      <w:r w:rsidR="0080611A">
        <w:rPr>
          <w:lang w:val="fr-CA"/>
        </w:rPr>
        <w:t>,</w:t>
      </w:r>
      <w:r w:rsidR="00FF47B1" w:rsidRPr="00B3274C">
        <w:rPr>
          <w:lang w:val="fr-CA"/>
        </w:rPr>
        <w:t xml:space="preserve"> a pris des mesures en matière d</w:t>
      </w:r>
      <w:r w:rsidR="0080611A">
        <w:rPr>
          <w:lang w:val="fr-CA"/>
        </w:rPr>
        <w:t>’</w:t>
      </w:r>
      <w:r w:rsidR="00FF47B1" w:rsidRPr="00B3274C">
        <w:rPr>
          <w:lang w:val="fr-CA"/>
        </w:rPr>
        <w:t>éducation des enfants et des adultes et joue un rôle important dans le développement de la participation à la vie culturelle dans les régions reculées de Grèce</w:t>
      </w:r>
      <w:r w:rsidR="0080611A">
        <w:rPr>
          <w:lang w:val="fr-CA"/>
        </w:rPr>
        <w:t>,</w:t>
      </w:r>
      <w:r w:rsidR="0055418C" w:rsidRPr="00B3274C">
        <w:rPr>
          <w:lang w:val="fr-CA"/>
        </w:rPr>
        <w:t xml:space="preserve"> </w:t>
      </w:r>
      <w:r w:rsidR="00FF47B1" w:rsidRPr="00B3274C">
        <w:rPr>
          <w:lang w:val="fr-CA"/>
        </w:rPr>
        <w:t>en créant des groupes de lecture et en menant des actions de promotion du patrimoine culturel et de la culture contemporaine.</w:t>
      </w:r>
      <w:r w:rsidR="0055418C" w:rsidRPr="00B3274C">
        <w:rPr>
          <w:lang w:val="fr-CA"/>
        </w:rPr>
        <w:t xml:space="preserve"> </w:t>
      </w:r>
    </w:p>
    <w:p w:rsidR="00FB23D3" w:rsidRPr="00B3274C" w:rsidRDefault="00107A47" w:rsidP="00107A47">
      <w:pPr>
        <w:pStyle w:val="SingleTxtG"/>
        <w:rPr>
          <w:b/>
          <w:bCs/>
          <w:lang w:val="fr-CA"/>
        </w:rPr>
      </w:pPr>
      <w:r w:rsidRPr="00B3274C">
        <w:rPr>
          <w:bCs/>
          <w:lang w:val="fr-CA"/>
        </w:rPr>
        <w:t>319.</w:t>
      </w:r>
      <w:r w:rsidRPr="00B3274C">
        <w:rPr>
          <w:bCs/>
          <w:lang w:val="fr-CA"/>
        </w:rPr>
        <w:tab/>
      </w:r>
      <w:r w:rsidR="00FF47B1" w:rsidRPr="00B3274C">
        <w:rPr>
          <w:lang w:val="fr-CA"/>
        </w:rPr>
        <w:t>Le Centre national pour le théâtre et la danse est une personne morale de droit privé</w:t>
      </w:r>
      <w:r w:rsidR="0080611A">
        <w:rPr>
          <w:lang w:val="fr-CA"/>
        </w:rPr>
        <w:t>,</w:t>
      </w:r>
      <w:r w:rsidR="00FF47B1" w:rsidRPr="00B3274C">
        <w:rPr>
          <w:lang w:val="fr-CA"/>
        </w:rPr>
        <w:t xml:space="preserve"> qui rel</w:t>
      </w:r>
      <w:r w:rsidR="00DD1E62" w:rsidRPr="00B3274C">
        <w:rPr>
          <w:lang w:val="fr-CA"/>
        </w:rPr>
        <w:t>ève</w:t>
      </w:r>
      <w:r w:rsidR="00FF47B1" w:rsidRPr="00B3274C">
        <w:rPr>
          <w:lang w:val="fr-CA"/>
        </w:rPr>
        <w:t xml:space="preserve"> </w:t>
      </w:r>
      <w:r w:rsidR="00DD1E62" w:rsidRPr="00B3274C">
        <w:rPr>
          <w:lang w:val="fr-CA"/>
        </w:rPr>
        <w:t>de l</w:t>
      </w:r>
      <w:r w:rsidR="0080611A">
        <w:rPr>
          <w:lang w:val="fr-CA"/>
        </w:rPr>
        <w:t>’</w:t>
      </w:r>
      <w:r w:rsidR="00DD1E62" w:rsidRPr="00B3274C">
        <w:rPr>
          <w:lang w:val="fr-CA"/>
        </w:rPr>
        <w:t xml:space="preserve">ancien </w:t>
      </w:r>
      <w:r w:rsidR="00FF47B1" w:rsidRPr="00B3274C">
        <w:rPr>
          <w:lang w:val="fr-CA"/>
        </w:rPr>
        <w:t>Ministère de la culture</w:t>
      </w:r>
      <w:r w:rsidR="0080611A">
        <w:rPr>
          <w:lang w:val="fr-CA"/>
        </w:rPr>
        <w:t>,</w:t>
      </w:r>
      <w:r w:rsidR="00FF47B1" w:rsidRPr="00B3274C">
        <w:rPr>
          <w:lang w:val="fr-CA"/>
        </w:rPr>
        <w:t xml:space="preserve"> conformément à la loi </w:t>
      </w:r>
      <w:r w:rsidR="00D65EDD" w:rsidRPr="00B3274C">
        <w:rPr>
          <w:lang w:val="fr-CA"/>
        </w:rPr>
        <w:t>n</w:t>
      </w:r>
      <w:r w:rsidR="00D65EDD" w:rsidRPr="00B3274C">
        <w:rPr>
          <w:vertAlign w:val="superscript"/>
          <w:lang w:val="fr-CA"/>
        </w:rPr>
        <w:t>o</w:t>
      </w:r>
      <w:r w:rsidR="00D65EDD" w:rsidRPr="00B3274C">
        <w:rPr>
          <w:lang w:val="fr-CA"/>
        </w:rPr>
        <w:t> </w:t>
      </w:r>
      <w:r w:rsidR="00FF47B1" w:rsidRPr="00B3274C">
        <w:rPr>
          <w:lang w:val="fr-CA"/>
        </w:rPr>
        <w:t>3565/2007</w:t>
      </w:r>
      <w:r w:rsidR="00FF47B1" w:rsidRPr="00B3274C">
        <w:rPr>
          <w:i/>
          <w:iCs/>
          <w:lang w:val="fr-CA"/>
        </w:rPr>
        <w:t>.</w:t>
      </w:r>
      <w:r w:rsidR="00FF47B1" w:rsidRPr="00B3274C">
        <w:rPr>
          <w:lang w:val="fr-CA"/>
        </w:rPr>
        <w:t xml:space="preserve"> Ses principales fonctions consistent à mettre en œuvre la politique nationale dans les domaines du théâtre et de la danse et à apporter son soutien au Ministère de l</w:t>
      </w:r>
      <w:r w:rsidR="0080611A">
        <w:rPr>
          <w:lang w:val="fr-CA"/>
        </w:rPr>
        <w:t>’</w:t>
      </w:r>
      <w:r w:rsidR="00FF47B1" w:rsidRPr="00B3274C">
        <w:rPr>
          <w:lang w:val="fr-CA"/>
        </w:rPr>
        <w:t>éducation et des affaires religieuses</w:t>
      </w:r>
      <w:r w:rsidR="0080611A">
        <w:rPr>
          <w:lang w:val="fr-CA"/>
        </w:rPr>
        <w:t>,</w:t>
      </w:r>
      <w:r w:rsidR="00FF47B1" w:rsidRPr="00B3274C">
        <w:rPr>
          <w:lang w:val="fr-CA"/>
        </w:rPr>
        <w:t xml:space="preserve"> de la culture et des sports (ci-après dénommé le Ministère) </w:t>
      </w:r>
      <w:r w:rsidR="00B94EE2" w:rsidRPr="00B3274C">
        <w:rPr>
          <w:lang w:val="fr-CA"/>
        </w:rPr>
        <w:t>dans</w:t>
      </w:r>
      <w:r w:rsidR="00FF47B1" w:rsidRPr="00B3274C">
        <w:rPr>
          <w:lang w:val="fr-CA"/>
        </w:rPr>
        <w:t xml:space="preserve"> l</w:t>
      </w:r>
      <w:r w:rsidR="0080611A">
        <w:rPr>
          <w:lang w:val="fr-CA"/>
        </w:rPr>
        <w:t>’</w:t>
      </w:r>
      <w:r w:rsidR="00FF47B1" w:rsidRPr="00B3274C">
        <w:rPr>
          <w:lang w:val="fr-CA"/>
        </w:rPr>
        <w:t>élaboration de cette politique.</w:t>
      </w:r>
    </w:p>
    <w:p w:rsidR="00FB23D3" w:rsidRPr="00B3274C" w:rsidRDefault="00784DBF" w:rsidP="00D0169E">
      <w:pPr>
        <w:pStyle w:val="H23G"/>
        <w:rPr>
          <w:lang w:val="fr-CA"/>
        </w:rPr>
      </w:pPr>
      <w:r w:rsidRPr="00B3274C">
        <w:rPr>
          <w:lang w:val="fr-CA"/>
        </w:rPr>
        <w:tab/>
      </w:r>
      <w:r w:rsidR="00D0169E" w:rsidRPr="00B3274C">
        <w:rPr>
          <w:lang w:val="fr-CA"/>
        </w:rPr>
        <w:t>3.</w:t>
      </w:r>
      <w:r w:rsidRPr="00B3274C">
        <w:rPr>
          <w:lang w:val="fr-CA"/>
        </w:rPr>
        <w:tab/>
      </w:r>
      <w:r w:rsidR="00FF47B1" w:rsidRPr="00B3274C">
        <w:rPr>
          <w:lang w:val="fr-CA"/>
        </w:rPr>
        <w:t>Faits nouveaux concernant les musées</w:t>
      </w:r>
    </w:p>
    <w:p w:rsidR="00FB23D3" w:rsidRPr="00B3274C" w:rsidRDefault="00107A47" w:rsidP="00107A47">
      <w:pPr>
        <w:pStyle w:val="SingleTxtG"/>
        <w:rPr>
          <w:lang w:val="fr-CA"/>
        </w:rPr>
      </w:pPr>
      <w:r w:rsidRPr="00B3274C">
        <w:rPr>
          <w:lang w:val="fr-CA"/>
        </w:rPr>
        <w:t>320.</w:t>
      </w:r>
      <w:r w:rsidRPr="00B3274C">
        <w:rPr>
          <w:lang w:val="fr-CA"/>
        </w:rPr>
        <w:tab/>
      </w:r>
      <w:r w:rsidR="00FF47B1" w:rsidRPr="00B3274C">
        <w:rPr>
          <w:lang w:val="fr-CA"/>
        </w:rPr>
        <w:t>La construction du nouveau Musée de l</w:t>
      </w:r>
      <w:r w:rsidR="0080611A">
        <w:rPr>
          <w:lang w:val="fr-CA"/>
        </w:rPr>
        <w:t>’</w:t>
      </w:r>
      <w:r w:rsidR="00FF47B1" w:rsidRPr="00B3274C">
        <w:rPr>
          <w:lang w:val="fr-CA"/>
        </w:rPr>
        <w:t>Acropole a été achevée en 2007.</w:t>
      </w:r>
      <w:r w:rsidR="0055418C" w:rsidRPr="00B3274C">
        <w:rPr>
          <w:lang w:val="fr-CA"/>
        </w:rPr>
        <w:t xml:space="preserve"> </w:t>
      </w:r>
      <w:r w:rsidR="00FF47B1" w:rsidRPr="00B3274C">
        <w:rPr>
          <w:lang w:val="fr-CA"/>
        </w:rPr>
        <w:t>L</w:t>
      </w:r>
      <w:r w:rsidR="0080611A">
        <w:rPr>
          <w:lang w:val="fr-CA"/>
        </w:rPr>
        <w:t>’</w:t>
      </w:r>
      <w:r w:rsidR="00FF47B1" w:rsidRPr="00B3274C">
        <w:rPr>
          <w:lang w:val="fr-CA"/>
        </w:rPr>
        <w:t>organisation des expositions permanentes a démarré et le musée a été inauguré officiellement le 20 juin 2009.</w:t>
      </w:r>
    </w:p>
    <w:p w:rsidR="00FB23D3" w:rsidRPr="00B3274C" w:rsidRDefault="00107A47" w:rsidP="00107A47">
      <w:pPr>
        <w:pStyle w:val="SingleTxtG"/>
        <w:rPr>
          <w:lang w:val="fr-CA"/>
        </w:rPr>
      </w:pPr>
      <w:r w:rsidRPr="00B3274C">
        <w:rPr>
          <w:lang w:val="fr-CA"/>
        </w:rPr>
        <w:t>321.</w:t>
      </w:r>
      <w:r w:rsidRPr="00B3274C">
        <w:rPr>
          <w:lang w:val="fr-CA"/>
        </w:rPr>
        <w:tab/>
      </w:r>
      <w:r w:rsidR="00FF47B1" w:rsidRPr="00B3274C">
        <w:rPr>
          <w:lang w:val="fr-CA"/>
        </w:rPr>
        <w:t>Depuis 2000</w:t>
      </w:r>
      <w:r w:rsidR="0080611A">
        <w:rPr>
          <w:lang w:val="fr-CA"/>
        </w:rPr>
        <w:t>,</w:t>
      </w:r>
      <w:r w:rsidR="00FF47B1" w:rsidRPr="00B3274C">
        <w:rPr>
          <w:lang w:val="fr-CA"/>
        </w:rPr>
        <w:t xml:space="preserve"> 26 musées d</w:t>
      </w:r>
      <w:r w:rsidR="0080611A">
        <w:rPr>
          <w:lang w:val="fr-CA"/>
        </w:rPr>
        <w:t>’</w:t>
      </w:r>
      <w:r w:rsidR="00FF47B1" w:rsidRPr="00B3274C">
        <w:rPr>
          <w:lang w:val="fr-CA"/>
        </w:rPr>
        <w:t>archéologie et 15 collections archéologiques et/ou expositions permanentes ont été inaugurés</w:t>
      </w:r>
      <w:r w:rsidR="00940E4A" w:rsidRPr="00B3274C">
        <w:rPr>
          <w:lang w:val="fr-CA"/>
        </w:rPr>
        <w:t xml:space="preserve"> et des ré</w:t>
      </w:r>
      <w:r w:rsidR="00FF47B1" w:rsidRPr="00B3274C">
        <w:rPr>
          <w:lang w:val="fr-CA"/>
        </w:rPr>
        <w:t xml:space="preserve">expositions ont été </w:t>
      </w:r>
      <w:r w:rsidR="00940E4A" w:rsidRPr="00B3274C">
        <w:rPr>
          <w:lang w:val="fr-CA"/>
        </w:rPr>
        <w:t>organisées dans</w:t>
      </w:r>
      <w:r w:rsidR="0080611A">
        <w:rPr>
          <w:lang w:val="fr-CA"/>
        </w:rPr>
        <w:t xml:space="preserve"> 39 </w:t>
      </w:r>
      <w:r w:rsidR="00FF47B1" w:rsidRPr="00B3274C">
        <w:rPr>
          <w:lang w:val="fr-CA"/>
        </w:rPr>
        <w:t>musées d</w:t>
      </w:r>
      <w:r w:rsidR="0080611A">
        <w:rPr>
          <w:lang w:val="fr-CA"/>
        </w:rPr>
        <w:t>’</w:t>
      </w:r>
      <w:r w:rsidR="00FF47B1" w:rsidRPr="00B3274C">
        <w:rPr>
          <w:lang w:val="fr-CA"/>
        </w:rPr>
        <w:t>archéologie et 3 collections d</w:t>
      </w:r>
      <w:r w:rsidR="0080611A">
        <w:rPr>
          <w:lang w:val="fr-CA"/>
        </w:rPr>
        <w:t>’</w:t>
      </w:r>
      <w:r w:rsidR="00FF47B1" w:rsidRPr="00B3274C">
        <w:rPr>
          <w:lang w:val="fr-CA"/>
        </w:rPr>
        <w:t>archéologie.</w:t>
      </w:r>
      <w:r w:rsidR="00FB23D3" w:rsidRPr="00B3274C">
        <w:rPr>
          <w:lang w:val="fr-CA"/>
        </w:rPr>
        <w:t xml:space="preserve"> </w:t>
      </w:r>
    </w:p>
    <w:p w:rsidR="00FB23D3" w:rsidRPr="00B3274C" w:rsidRDefault="00107A47" w:rsidP="00107A47">
      <w:pPr>
        <w:pStyle w:val="SingleTxtG"/>
        <w:rPr>
          <w:lang w:val="fr-CA"/>
        </w:rPr>
      </w:pPr>
      <w:r w:rsidRPr="00B3274C">
        <w:rPr>
          <w:lang w:val="fr-CA"/>
        </w:rPr>
        <w:t>322.</w:t>
      </w:r>
      <w:r w:rsidRPr="00B3274C">
        <w:rPr>
          <w:lang w:val="fr-CA"/>
        </w:rPr>
        <w:tab/>
      </w:r>
      <w:r w:rsidR="00FF47B1" w:rsidRPr="00B3274C">
        <w:rPr>
          <w:lang w:val="fr-CA"/>
        </w:rPr>
        <w:t>Un Bureau pour le projet d</w:t>
      </w:r>
      <w:r w:rsidR="0080611A">
        <w:rPr>
          <w:lang w:val="fr-CA"/>
        </w:rPr>
        <w:t>’</w:t>
      </w:r>
      <w:r w:rsidR="00FF47B1" w:rsidRPr="00B3274C">
        <w:rPr>
          <w:lang w:val="fr-CA"/>
        </w:rPr>
        <w:t>unification des sites archéologiques d</w:t>
      </w:r>
      <w:r w:rsidR="0080611A">
        <w:rPr>
          <w:lang w:val="fr-CA"/>
        </w:rPr>
        <w:t>’</w:t>
      </w:r>
      <w:r w:rsidR="00FF47B1" w:rsidRPr="00B3274C">
        <w:rPr>
          <w:lang w:val="fr-CA"/>
        </w:rPr>
        <w:t>Athènes a été créé; il est chargé de coordonner et de contrôler le projet de présentation générale des sites archéologiques importants.</w:t>
      </w:r>
      <w:r w:rsidR="0055418C" w:rsidRPr="00B3274C">
        <w:rPr>
          <w:lang w:val="fr-CA"/>
        </w:rPr>
        <w:t xml:space="preserve"> </w:t>
      </w:r>
    </w:p>
    <w:p w:rsidR="00FB23D3" w:rsidRPr="00B3274C" w:rsidRDefault="00107A47" w:rsidP="00107A47">
      <w:pPr>
        <w:pStyle w:val="SingleTxtG"/>
        <w:rPr>
          <w:lang w:val="fr-CA"/>
        </w:rPr>
      </w:pPr>
      <w:r w:rsidRPr="00B3274C">
        <w:rPr>
          <w:lang w:val="fr-CA"/>
        </w:rPr>
        <w:t>323.</w:t>
      </w:r>
      <w:r w:rsidRPr="00B3274C">
        <w:rPr>
          <w:lang w:val="fr-CA"/>
        </w:rPr>
        <w:tab/>
      </w:r>
      <w:r w:rsidR="00FF47B1" w:rsidRPr="00B3274C">
        <w:rPr>
          <w:lang w:val="fr-CA"/>
        </w:rPr>
        <w:t>La Fondation Melina Merkouri a été créée pour promouvoir la création du Musée de l</w:t>
      </w:r>
      <w:r w:rsidR="0080611A">
        <w:rPr>
          <w:lang w:val="fr-CA"/>
        </w:rPr>
        <w:t>’</w:t>
      </w:r>
      <w:r w:rsidR="00FF47B1" w:rsidRPr="00B3274C">
        <w:rPr>
          <w:lang w:val="fr-CA"/>
        </w:rPr>
        <w:t>Acropole et le rapatriement des marbres du Parthénon.</w:t>
      </w:r>
      <w:r w:rsidR="0055418C" w:rsidRPr="00B3274C">
        <w:rPr>
          <w:lang w:val="fr-CA"/>
        </w:rPr>
        <w:t xml:space="preserve"> </w:t>
      </w:r>
    </w:p>
    <w:p w:rsidR="00FB23D3" w:rsidRPr="00B3274C" w:rsidRDefault="00784DBF" w:rsidP="00D0169E">
      <w:pPr>
        <w:pStyle w:val="H23G"/>
        <w:rPr>
          <w:lang w:val="fr-CA"/>
        </w:rPr>
      </w:pPr>
      <w:r w:rsidRPr="00B3274C">
        <w:rPr>
          <w:lang w:val="fr-CA"/>
        </w:rPr>
        <w:tab/>
      </w:r>
      <w:r w:rsidR="00D0169E" w:rsidRPr="00B3274C">
        <w:rPr>
          <w:lang w:val="fr-CA"/>
        </w:rPr>
        <w:t>4.</w:t>
      </w:r>
      <w:r w:rsidRPr="00B3274C">
        <w:rPr>
          <w:lang w:val="fr-CA"/>
        </w:rPr>
        <w:tab/>
      </w:r>
      <w:r w:rsidR="00FF47B1" w:rsidRPr="00B3274C">
        <w:rPr>
          <w:lang w:val="fr-CA"/>
        </w:rPr>
        <w:t>Questions relatives à la protection des Roms grecs</w:t>
      </w:r>
      <w:r w:rsidR="0055418C" w:rsidRPr="00B3274C">
        <w:rPr>
          <w:lang w:val="fr-CA"/>
        </w:rPr>
        <w:t xml:space="preserve"> </w:t>
      </w:r>
    </w:p>
    <w:p w:rsidR="00FB23D3" w:rsidRPr="00B3274C" w:rsidRDefault="00107A47" w:rsidP="00107A47">
      <w:pPr>
        <w:pStyle w:val="SingleTxtG"/>
        <w:rPr>
          <w:lang w:val="fr-CA"/>
        </w:rPr>
      </w:pPr>
      <w:r w:rsidRPr="00B3274C">
        <w:rPr>
          <w:lang w:val="fr-CA"/>
        </w:rPr>
        <w:t>324.</w:t>
      </w:r>
      <w:r w:rsidRPr="00B3274C">
        <w:rPr>
          <w:lang w:val="fr-CA"/>
        </w:rPr>
        <w:tab/>
      </w:r>
      <w:r w:rsidR="00FF47B1" w:rsidRPr="00B3274C">
        <w:rPr>
          <w:lang w:val="fr-CA"/>
        </w:rPr>
        <w:t>Afin de protéger et de présenter les cultures locales et la diversité culturelle</w:t>
      </w:r>
      <w:r w:rsidR="0080611A">
        <w:rPr>
          <w:lang w:val="fr-CA"/>
        </w:rPr>
        <w:t>,</w:t>
      </w:r>
      <w:r w:rsidR="00FF47B1" w:rsidRPr="00B3274C">
        <w:rPr>
          <w:lang w:val="fr-CA"/>
        </w:rPr>
        <w:t xml:space="preserve"> le Ministère met en œuvre et coordonne depuis 1999 des projets de recherche ainsi que des projets pédagogiques en faveur des Roms grecs. Ces projets portent sur l</w:t>
      </w:r>
      <w:r w:rsidR="0080611A">
        <w:rPr>
          <w:lang w:val="fr-CA"/>
        </w:rPr>
        <w:t>’</w:t>
      </w:r>
      <w:r w:rsidR="00FF47B1" w:rsidRPr="00B3274C">
        <w:rPr>
          <w:lang w:val="fr-CA"/>
        </w:rPr>
        <w:t>étude et la présentation du riche patrimoine culturel des Roms grecs</w:t>
      </w:r>
      <w:r w:rsidR="00460BB8" w:rsidRPr="00B3274C">
        <w:rPr>
          <w:lang w:val="fr-CA"/>
        </w:rPr>
        <w:t xml:space="preserve"> et visent</w:t>
      </w:r>
      <w:r w:rsidR="00FF47B1" w:rsidRPr="00B3274C">
        <w:rPr>
          <w:lang w:val="fr-CA"/>
        </w:rPr>
        <w:t xml:space="preserve"> à faire </w:t>
      </w:r>
      <w:r w:rsidR="00460BB8" w:rsidRPr="00B3274C">
        <w:rPr>
          <w:lang w:val="fr-CA"/>
        </w:rPr>
        <w:t xml:space="preserve">mieux </w:t>
      </w:r>
      <w:r w:rsidR="00FF47B1" w:rsidRPr="00B3274C">
        <w:rPr>
          <w:lang w:val="fr-CA"/>
        </w:rPr>
        <w:t>connaître les Roms et à favoriser les contacts entre eux et la société tout entière. Un certain nombre d</w:t>
      </w:r>
      <w:r w:rsidR="0080611A">
        <w:rPr>
          <w:lang w:val="fr-CA"/>
        </w:rPr>
        <w:t>’</w:t>
      </w:r>
      <w:r w:rsidR="00FF47B1" w:rsidRPr="00B3274C">
        <w:rPr>
          <w:lang w:val="fr-CA"/>
        </w:rPr>
        <w:t>activités ont été menées entre 1999 et 2008.</w:t>
      </w:r>
    </w:p>
    <w:p w:rsidR="00FB23D3" w:rsidRPr="00B3274C" w:rsidRDefault="00784DBF" w:rsidP="00D0169E">
      <w:pPr>
        <w:pStyle w:val="H23G"/>
        <w:rPr>
          <w:lang w:val="fr-CA"/>
        </w:rPr>
      </w:pPr>
      <w:r w:rsidRPr="00B3274C">
        <w:rPr>
          <w:lang w:val="fr-CA"/>
        </w:rPr>
        <w:tab/>
      </w:r>
      <w:r w:rsidR="00D0169E" w:rsidRPr="00B3274C">
        <w:rPr>
          <w:lang w:val="fr-CA"/>
        </w:rPr>
        <w:t>5.</w:t>
      </w:r>
      <w:r w:rsidRPr="00B3274C">
        <w:rPr>
          <w:lang w:val="fr-CA"/>
        </w:rPr>
        <w:tab/>
      </w:r>
      <w:r w:rsidR="00FF47B1" w:rsidRPr="00B3274C">
        <w:rPr>
          <w:lang w:val="fr-CA"/>
        </w:rPr>
        <w:t xml:space="preserve">Programmes </w:t>
      </w:r>
      <w:r w:rsidR="00F541B1" w:rsidRPr="00B3274C">
        <w:rPr>
          <w:lang w:val="fr-CA"/>
        </w:rPr>
        <w:t>d</w:t>
      </w:r>
      <w:r w:rsidR="0080611A">
        <w:rPr>
          <w:lang w:val="fr-CA"/>
        </w:rPr>
        <w:t>’</w:t>
      </w:r>
      <w:r w:rsidR="00F541B1" w:rsidRPr="00B3274C">
        <w:rPr>
          <w:lang w:val="fr-CA"/>
        </w:rPr>
        <w:t>éducation spécialisée</w:t>
      </w:r>
      <w:r w:rsidR="00FF47B1" w:rsidRPr="00B3274C">
        <w:rPr>
          <w:lang w:val="fr-CA"/>
        </w:rPr>
        <w:t xml:space="preserve"> organisés à l</w:t>
      </w:r>
      <w:r w:rsidR="0080611A">
        <w:rPr>
          <w:lang w:val="fr-CA"/>
        </w:rPr>
        <w:t>’</w:t>
      </w:r>
      <w:r w:rsidR="00FF47B1" w:rsidRPr="00B3274C">
        <w:rPr>
          <w:lang w:val="fr-CA"/>
        </w:rPr>
        <w:t>intention des jeunes ayant des besoins particuliers (vue</w:t>
      </w:r>
      <w:r w:rsidR="0080611A">
        <w:rPr>
          <w:lang w:val="fr-CA"/>
        </w:rPr>
        <w:t>,</w:t>
      </w:r>
      <w:r w:rsidR="00FF47B1" w:rsidRPr="00B3274C">
        <w:rPr>
          <w:lang w:val="fr-CA"/>
        </w:rPr>
        <w:t xml:space="preserve"> ouïe</w:t>
      </w:r>
      <w:r w:rsidR="0080611A">
        <w:rPr>
          <w:lang w:val="fr-CA"/>
        </w:rPr>
        <w:t>,</w:t>
      </w:r>
      <w:r w:rsidR="00FF47B1" w:rsidRPr="00B3274C">
        <w:rPr>
          <w:lang w:val="fr-CA"/>
        </w:rPr>
        <w:t xml:space="preserve"> mobilité)</w:t>
      </w:r>
    </w:p>
    <w:p w:rsidR="00FB23D3" w:rsidRPr="00B3274C" w:rsidRDefault="00107A47" w:rsidP="00107A47">
      <w:pPr>
        <w:pStyle w:val="SingleTxtG"/>
        <w:rPr>
          <w:lang w:val="fr-CA"/>
        </w:rPr>
      </w:pPr>
      <w:r w:rsidRPr="00B3274C">
        <w:rPr>
          <w:lang w:val="fr-CA"/>
        </w:rPr>
        <w:t>325.</w:t>
      </w:r>
      <w:r w:rsidRPr="00B3274C">
        <w:rPr>
          <w:lang w:val="fr-CA"/>
        </w:rPr>
        <w:tab/>
      </w:r>
      <w:r w:rsidR="00FF47B1" w:rsidRPr="00B3274C">
        <w:rPr>
          <w:lang w:val="fr-CA"/>
        </w:rPr>
        <w:t xml:space="preserve">Le Département des programmes éducatifs du Ministère adapte les activités en cours et celles qui sont projetées en tenant compte des besoins particuliers du public. Des programmes </w:t>
      </w:r>
      <w:r w:rsidR="00D32CB7" w:rsidRPr="00B3274C">
        <w:rPr>
          <w:lang w:val="fr-CA"/>
        </w:rPr>
        <w:t>d</w:t>
      </w:r>
      <w:r w:rsidR="0080611A">
        <w:rPr>
          <w:lang w:val="fr-CA"/>
        </w:rPr>
        <w:t>’</w:t>
      </w:r>
      <w:r w:rsidR="00D32CB7" w:rsidRPr="00B3274C">
        <w:rPr>
          <w:lang w:val="fr-CA"/>
        </w:rPr>
        <w:t>éducation spécialisée</w:t>
      </w:r>
      <w:r w:rsidR="00FF47B1" w:rsidRPr="00B3274C">
        <w:rPr>
          <w:lang w:val="fr-CA"/>
        </w:rPr>
        <w:t xml:space="preserve"> ont été conçus concernant des expositions archéologiques didactiques.</w:t>
      </w:r>
      <w:r w:rsidR="0055418C" w:rsidRPr="00B3274C">
        <w:rPr>
          <w:lang w:val="fr-CA"/>
        </w:rPr>
        <w:t xml:space="preserve"> </w:t>
      </w:r>
    </w:p>
    <w:p w:rsidR="00FB23D3" w:rsidRPr="00B3274C" w:rsidRDefault="00107A47" w:rsidP="00107A47">
      <w:pPr>
        <w:pStyle w:val="SingleTxtG"/>
        <w:rPr>
          <w:lang w:val="fr-CA"/>
        </w:rPr>
      </w:pPr>
      <w:r w:rsidRPr="00B3274C">
        <w:rPr>
          <w:lang w:val="fr-CA"/>
        </w:rPr>
        <w:t>326.</w:t>
      </w:r>
      <w:r w:rsidRPr="00B3274C">
        <w:rPr>
          <w:lang w:val="fr-CA"/>
        </w:rPr>
        <w:tab/>
      </w:r>
      <w:r w:rsidR="00F72673" w:rsidRPr="00B3274C">
        <w:rPr>
          <w:lang w:val="fr-CA"/>
        </w:rPr>
        <w:t>Le Département de la communication et des programmes éducatifs de la Direction des musées</w:t>
      </w:r>
      <w:r w:rsidR="0080611A">
        <w:rPr>
          <w:lang w:val="fr-CA"/>
        </w:rPr>
        <w:t>,</w:t>
      </w:r>
      <w:r w:rsidR="00F72673" w:rsidRPr="00B3274C">
        <w:rPr>
          <w:lang w:val="fr-CA"/>
        </w:rPr>
        <w:t xml:space="preserve"> des expositions et des programmes éducatifs du Ministère organisent des activités pédagogiques pour les enfants handicapés.</w:t>
      </w:r>
      <w:r w:rsidR="00FB23D3" w:rsidRPr="00B3274C">
        <w:rPr>
          <w:lang w:val="fr-CA"/>
        </w:rPr>
        <w:t xml:space="preserve"> </w:t>
      </w:r>
      <w:r w:rsidR="00F72673" w:rsidRPr="00B3274C">
        <w:rPr>
          <w:lang w:val="fr-CA"/>
        </w:rPr>
        <w:t xml:space="preserve">Chaque programme éducatif conçu par le Département peut être </w:t>
      </w:r>
      <w:r w:rsidR="0003003C" w:rsidRPr="00B3274C">
        <w:rPr>
          <w:lang w:val="fr-CA"/>
        </w:rPr>
        <w:t>mis en œuvre pour</w:t>
      </w:r>
      <w:r w:rsidR="00F72673" w:rsidRPr="00B3274C">
        <w:rPr>
          <w:lang w:val="fr-CA"/>
        </w:rPr>
        <w:t xml:space="preserve"> des groupes d</w:t>
      </w:r>
      <w:r w:rsidR="0080611A">
        <w:rPr>
          <w:lang w:val="fr-CA"/>
        </w:rPr>
        <w:t>’</w:t>
      </w:r>
      <w:r w:rsidR="00F72673" w:rsidRPr="00B3274C">
        <w:rPr>
          <w:lang w:val="fr-CA"/>
        </w:rPr>
        <w:t xml:space="preserve">enfants </w:t>
      </w:r>
      <w:r w:rsidR="00D37433" w:rsidRPr="00B3274C">
        <w:rPr>
          <w:lang w:val="fr-CA"/>
        </w:rPr>
        <w:t>en fonction de</w:t>
      </w:r>
      <w:r w:rsidR="00F72673" w:rsidRPr="00B3274C">
        <w:rPr>
          <w:lang w:val="fr-CA"/>
        </w:rPr>
        <w:t xml:space="preserve"> leurs besoins particuliers</w:t>
      </w:r>
      <w:r w:rsidR="00FB23D3" w:rsidRPr="00B3274C">
        <w:rPr>
          <w:lang w:val="fr-CA"/>
        </w:rPr>
        <w:t xml:space="preserve">. </w:t>
      </w:r>
    </w:p>
    <w:p w:rsidR="00FB23D3" w:rsidRPr="00B3274C" w:rsidRDefault="00107A47" w:rsidP="00107A47">
      <w:pPr>
        <w:pStyle w:val="SingleTxtG"/>
        <w:rPr>
          <w:lang w:val="fr-CA"/>
        </w:rPr>
      </w:pPr>
      <w:r w:rsidRPr="00B3274C">
        <w:rPr>
          <w:lang w:val="fr-CA"/>
        </w:rPr>
        <w:t>327.</w:t>
      </w:r>
      <w:r w:rsidRPr="00B3274C">
        <w:rPr>
          <w:lang w:val="fr-CA"/>
        </w:rPr>
        <w:tab/>
      </w:r>
      <w:r w:rsidR="00B551AF" w:rsidRPr="00B3274C">
        <w:rPr>
          <w:lang w:val="fr-CA"/>
        </w:rPr>
        <w:t>E</w:t>
      </w:r>
      <w:r w:rsidR="00FB23D3" w:rsidRPr="00B3274C">
        <w:rPr>
          <w:lang w:val="fr-CA"/>
        </w:rPr>
        <w:t>n 2003</w:t>
      </w:r>
      <w:r w:rsidR="0080611A">
        <w:rPr>
          <w:lang w:val="fr-CA"/>
        </w:rPr>
        <w:t>,</w:t>
      </w:r>
      <w:r w:rsidR="00FB23D3" w:rsidRPr="00B3274C">
        <w:rPr>
          <w:lang w:val="fr-CA"/>
        </w:rPr>
        <w:t xml:space="preserve"> </w:t>
      </w:r>
      <w:r w:rsidR="00B551AF" w:rsidRPr="00B3274C">
        <w:rPr>
          <w:lang w:val="fr-CA"/>
        </w:rPr>
        <w:t xml:space="preserve">Année européenne </w:t>
      </w:r>
      <w:r w:rsidR="00614BAC">
        <w:rPr>
          <w:lang w:val="fr-CA"/>
        </w:rPr>
        <w:t>des personnes</w:t>
      </w:r>
      <w:r w:rsidR="00B551AF" w:rsidRPr="00B3274C">
        <w:rPr>
          <w:lang w:val="fr-CA"/>
        </w:rPr>
        <w:t xml:space="preserve"> handicapées</w:t>
      </w:r>
      <w:r w:rsidR="0080611A">
        <w:rPr>
          <w:lang w:val="fr-CA"/>
        </w:rPr>
        <w:t>,</w:t>
      </w:r>
      <w:r w:rsidR="00B551AF" w:rsidRPr="00B3274C">
        <w:rPr>
          <w:lang w:val="fr-CA"/>
        </w:rPr>
        <w:t xml:space="preserve"> le Ministère a établi et appliqué un Plan national d</w:t>
      </w:r>
      <w:r w:rsidR="0080611A">
        <w:rPr>
          <w:lang w:val="fr-CA"/>
        </w:rPr>
        <w:t>’</w:t>
      </w:r>
      <w:r w:rsidR="00B551AF" w:rsidRPr="00B3274C">
        <w:rPr>
          <w:lang w:val="fr-CA"/>
        </w:rPr>
        <w:t xml:space="preserve">action pour les </w:t>
      </w:r>
      <w:r w:rsidR="00B551AF" w:rsidRPr="00B3274C">
        <w:rPr>
          <w:rStyle w:val="Emphasis"/>
          <w:i w:val="0"/>
          <w:lang w:val="fr-CA"/>
        </w:rPr>
        <w:t>Jeux paralympiques</w:t>
      </w:r>
      <w:r w:rsidR="00B551AF" w:rsidRPr="00B3274C">
        <w:rPr>
          <w:lang w:val="fr-CA"/>
        </w:rPr>
        <w:t xml:space="preserve"> de 2004. </w:t>
      </w:r>
    </w:p>
    <w:p w:rsidR="00FB23D3" w:rsidRPr="00B3274C" w:rsidRDefault="00107A47" w:rsidP="00107A47">
      <w:pPr>
        <w:pStyle w:val="SingleTxtG"/>
        <w:rPr>
          <w:lang w:val="fr-CA"/>
        </w:rPr>
      </w:pPr>
      <w:r w:rsidRPr="00B3274C">
        <w:rPr>
          <w:lang w:val="fr-CA"/>
        </w:rPr>
        <w:t>328.</w:t>
      </w:r>
      <w:r w:rsidRPr="00B3274C">
        <w:rPr>
          <w:lang w:val="fr-CA"/>
        </w:rPr>
        <w:tab/>
      </w:r>
      <w:r w:rsidR="00B551AF" w:rsidRPr="00B3274C">
        <w:rPr>
          <w:lang w:val="fr-CA"/>
        </w:rPr>
        <w:t>E</w:t>
      </w:r>
      <w:r w:rsidR="00FB23D3" w:rsidRPr="00B3274C">
        <w:rPr>
          <w:lang w:val="fr-CA"/>
        </w:rPr>
        <w:t>n 2006</w:t>
      </w:r>
      <w:r w:rsidR="00330B5C">
        <w:rPr>
          <w:lang w:val="fr-CA"/>
        </w:rPr>
        <w:t>/</w:t>
      </w:r>
      <w:r w:rsidR="00FB23D3" w:rsidRPr="00B3274C">
        <w:rPr>
          <w:lang w:val="fr-CA"/>
        </w:rPr>
        <w:t>07</w:t>
      </w:r>
      <w:r w:rsidR="0080611A">
        <w:rPr>
          <w:lang w:val="fr-CA"/>
        </w:rPr>
        <w:t>,</w:t>
      </w:r>
      <w:r w:rsidR="00B551AF" w:rsidRPr="00B3274C">
        <w:rPr>
          <w:lang w:val="fr-CA"/>
        </w:rPr>
        <w:t xml:space="preserve"> le programme pédagogique intitulé </w:t>
      </w:r>
      <w:r w:rsidR="0055418C" w:rsidRPr="00B3274C">
        <w:rPr>
          <w:lang w:val="fr-CA"/>
        </w:rPr>
        <w:t>«</w:t>
      </w:r>
      <w:r w:rsidR="00B551AF" w:rsidRPr="00B3274C">
        <w:rPr>
          <w:lang w:val="fr-CA"/>
        </w:rPr>
        <w:t>Invitation à dîner sur l</w:t>
      </w:r>
      <w:r w:rsidR="0080611A">
        <w:rPr>
          <w:lang w:val="fr-CA"/>
        </w:rPr>
        <w:t>’</w:t>
      </w:r>
      <w:r w:rsidR="00B551AF" w:rsidRPr="00B3274C">
        <w:rPr>
          <w:lang w:val="fr-CA"/>
        </w:rPr>
        <w:t>ancienne agora d</w:t>
      </w:r>
      <w:r w:rsidR="0080611A">
        <w:rPr>
          <w:lang w:val="fr-CA"/>
        </w:rPr>
        <w:t>’</w:t>
      </w:r>
      <w:r w:rsidR="00B551AF" w:rsidRPr="00B3274C">
        <w:rPr>
          <w:lang w:val="fr-CA"/>
        </w:rPr>
        <w:t>Athènes</w:t>
      </w:r>
      <w:r w:rsidR="0055418C" w:rsidRPr="00B3274C">
        <w:rPr>
          <w:lang w:val="fr-CA"/>
        </w:rPr>
        <w:t>»</w:t>
      </w:r>
      <w:r w:rsidR="0080611A">
        <w:rPr>
          <w:lang w:val="fr-CA"/>
        </w:rPr>
        <w:t>,</w:t>
      </w:r>
      <w:r w:rsidR="00706683" w:rsidRPr="00B3274C">
        <w:rPr>
          <w:lang w:val="fr-CA"/>
        </w:rPr>
        <w:t xml:space="preserve"> conçu par le Département de la communication et des programmes éducatifs dans le cadre des célébrations des Journées européennes du patrimoine culturel</w:t>
      </w:r>
      <w:r w:rsidR="00FB23D3" w:rsidRPr="00B3274C">
        <w:rPr>
          <w:lang w:val="fr-CA"/>
        </w:rPr>
        <w:t xml:space="preserve"> 2005</w:t>
      </w:r>
      <w:r w:rsidR="00330B5C">
        <w:rPr>
          <w:lang w:val="fr-CA"/>
        </w:rPr>
        <w:t>/</w:t>
      </w:r>
      <w:r w:rsidR="00FB23D3" w:rsidRPr="00B3274C">
        <w:rPr>
          <w:lang w:val="fr-CA"/>
        </w:rPr>
        <w:t>06</w:t>
      </w:r>
      <w:r w:rsidR="0080611A">
        <w:rPr>
          <w:lang w:val="fr-CA"/>
        </w:rPr>
        <w:t>,</w:t>
      </w:r>
      <w:r w:rsidR="00706683" w:rsidRPr="00B3274C">
        <w:rPr>
          <w:lang w:val="fr-CA"/>
        </w:rPr>
        <w:t xml:space="preserve"> a été mis en œuvre avec beaucoup de succès auprès d</w:t>
      </w:r>
      <w:r w:rsidR="0080611A">
        <w:rPr>
          <w:lang w:val="fr-CA"/>
        </w:rPr>
        <w:t>’</w:t>
      </w:r>
      <w:r w:rsidR="00706683" w:rsidRPr="00B3274C">
        <w:rPr>
          <w:lang w:val="fr-CA"/>
        </w:rPr>
        <w:t>élèves de l</w:t>
      </w:r>
      <w:r w:rsidR="0080611A">
        <w:rPr>
          <w:lang w:val="fr-CA"/>
        </w:rPr>
        <w:t>’</w:t>
      </w:r>
      <w:r w:rsidR="00706683" w:rsidRPr="00B3274C">
        <w:rPr>
          <w:lang w:val="fr-CA"/>
        </w:rPr>
        <w:t>enseignement primaire déficients visuels et d</w:t>
      </w:r>
      <w:r w:rsidR="0080611A">
        <w:rPr>
          <w:lang w:val="fr-CA"/>
        </w:rPr>
        <w:t>’</w:t>
      </w:r>
      <w:r w:rsidR="00706683" w:rsidRPr="00B3274C">
        <w:rPr>
          <w:lang w:val="fr-CA"/>
        </w:rPr>
        <w:t>enfants de l</w:t>
      </w:r>
      <w:r w:rsidR="0080611A">
        <w:rPr>
          <w:lang w:val="fr-CA"/>
        </w:rPr>
        <w:t>’</w:t>
      </w:r>
      <w:r w:rsidR="00706683" w:rsidRPr="00B3274C">
        <w:rPr>
          <w:lang w:val="fr-CA"/>
        </w:rPr>
        <w:t>enseignement secondaire ayant des problèmes de mobilité</w:t>
      </w:r>
      <w:r w:rsidR="00FB23D3" w:rsidRPr="00B3274C">
        <w:rPr>
          <w:lang w:val="fr-CA"/>
        </w:rPr>
        <w:t>.</w:t>
      </w:r>
    </w:p>
    <w:p w:rsidR="00FB23D3" w:rsidRPr="00B3274C" w:rsidRDefault="00784DBF" w:rsidP="00D0169E">
      <w:pPr>
        <w:pStyle w:val="H23G"/>
        <w:rPr>
          <w:lang w:val="fr-CA"/>
        </w:rPr>
      </w:pPr>
      <w:r w:rsidRPr="00B3274C">
        <w:rPr>
          <w:lang w:val="fr-CA"/>
        </w:rPr>
        <w:tab/>
      </w:r>
      <w:r w:rsidR="00D0169E" w:rsidRPr="00B3274C">
        <w:rPr>
          <w:lang w:val="fr-CA"/>
        </w:rPr>
        <w:t>6.</w:t>
      </w:r>
      <w:r w:rsidRPr="00B3274C">
        <w:rPr>
          <w:lang w:val="fr-CA"/>
        </w:rPr>
        <w:tab/>
      </w:r>
      <w:r w:rsidR="00706683" w:rsidRPr="00B3274C">
        <w:rPr>
          <w:lang w:val="fr-CA"/>
        </w:rPr>
        <w:t xml:space="preserve">Prise en charge et protection </w:t>
      </w:r>
      <w:r w:rsidR="00614BAC">
        <w:rPr>
          <w:lang w:val="fr-CA"/>
        </w:rPr>
        <w:t>des personnes</w:t>
      </w:r>
      <w:r w:rsidR="00706683" w:rsidRPr="00B3274C">
        <w:rPr>
          <w:lang w:val="fr-CA"/>
        </w:rPr>
        <w:t xml:space="preserve"> ayant des besoins particuliers et des handicaps </w:t>
      </w:r>
    </w:p>
    <w:p w:rsidR="00FB23D3" w:rsidRPr="00B3274C" w:rsidRDefault="00107A47" w:rsidP="00107A47">
      <w:pPr>
        <w:pStyle w:val="SingleTxtG"/>
        <w:rPr>
          <w:lang w:val="fr-CA"/>
        </w:rPr>
      </w:pPr>
      <w:r w:rsidRPr="00B3274C">
        <w:rPr>
          <w:lang w:val="fr-CA"/>
        </w:rPr>
        <w:t>329.</w:t>
      </w:r>
      <w:r w:rsidRPr="00B3274C">
        <w:rPr>
          <w:lang w:val="fr-CA"/>
        </w:rPr>
        <w:tab/>
      </w:r>
      <w:r w:rsidR="00706683" w:rsidRPr="00B3274C">
        <w:rPr>
          <w:lang w:val="fr-CA"/>
        </w:rPr>
        <w:t xml:space="preserve">Le Ministère a élaboré un programme détaillé de directives et de projets pour que </w:t>
      </w:r>
      <w:r w:rsidR="00614BAC">
        <w:rPr>
          <w:lang w:val="fr-CA"/>
        </w:rPr>
        <w:t>les personnes</w:t>
      </w:r>
      <w:r w:rsidR="00706683" w:rsidRPr="00B3274C">
        <w:rPr>
          <w:lang w:val="fr-CA"/>
        </w:rPr>
        <w:t xml:space="preserve"> ayant des besoins particuliers et des handicaps aient accès aux sites culturels et aux musées. Le site Web d</w:t>
      </w:r>
      <w:r w:rsidR="0080611A">
        <w:rPr>
          <w:lang w:val="fr-CA"/>
        </w:rPr>
        <w:t>’</w:t>
      </w:r>
      <w:r w:rsidR="00706683" w:rsidRPr="00B3274C">
        <w:rPr>
          <w:lang w:val="fr-CA"/>
        </w:rPr>
        <w:t>EKEBI</w:t>
      </w:r>
      <w:r w:rsidR="00FB23D3" w:rsidRPr="00B3274C">
        <w:rPr>
          <w:lang w:val="fr-CA"/>
        </w:rPr>
        <w:t xml:space="preserve"> </w:t>
      </w:r>
      <w:r w:rsidR="0095248A" w:rsidRPr="00B3274C">
        <w:rPr>
          <w:lang w:val="fr-CA"/>
        </w:rPr>
        <w:t xml:space="preserve">tient compte </w:t>
      </w:r>
      <w:r w:rsidR="00614BAC">
        <w:rPr>
          <w:lang w:val="fr-CA"/>
        </w:rPr>
        <w:t>des personnes</w:t>
      </w:r>
      <w:r w:rsidR="0095248A" w:rsidRPr="00B3274C">
        <w:rPr>
          <w:lang w:val="fr-CA"/>
        </w:rPr>
        <w:t xml:space="preserve"> ayant des besoins particuliers</w:t>
      </w:r>
      <w:r w:rsidR="00FB23D3" w:rsidRPr="00B3274C">
        <w:rPr>
          <w:lang w:val="fr-CA"/>
        </w:rPr>
        <w:t>.</w:t>
      </w:r>
    </w:p>
    <w:p w:rsidR="00FB23D3" w:rsidRPr="00B3274C" w:rsidRDefault="00784DBF" w:rsidP="00D0169E">
      <w:pPr>
        <w:pStyle w:val="H23G"/>
        <w:rPr>
          <w:lang w:val="fr-CA"/>
        </w:rPr>
      </w:pPr>
      <w:r w:rsidRPr="00B3274C">
        <w:rPr>
          <w:lang w:val="fr-CA"/>
        </w:rPr>
        <w:tab/>
      </w:r>
      <w:r w:rsidR="00D0169E" w:rsidRPr="00B3274C">
        <w:rPr>
          <w:lang w:val="fr-CA"/>
        </w:rPr>
        <w:t>7.</w:t>
      </w:r>
      <w:r w:rsidRPr="00B3274C">
        <w:rPr>
          <w:lang w:val="fr-CA"/>
        </w:rPr>
        <w:tab/>
      </w:r>
      <w:r w:rsidR="00FB23D3" w:rsidRPr="00B3274C">
        <w:rPr>
          <w:lang w:val="fr-CA"/>
        </w:rPr>
        <w:t xml:space="preserve">Protection </w:t>
      </w:r>
      <w:r w:rsidR="00712D05" w:rsidRPr="00B3274C">
        <w:rPr>
          <w:lang w:val="fr-CA"/>
        </w:rPr>
        <w:t>du patrimoine culturel</w:t>
      </w:r>
    </w:p>
    <w:p w:rsidR="00FB23D3" w:rsidRPr="00B3274C" w:rsidRDefault="00107A47" w:rsidP="00107A47">
      <w:pPr>
        <w:pStyle w:val="SingleTxtG"/>
        <w:rPr>
          <w:bCs/>
          <w:lang w:val="fr-CA"/>
        </w:rPr>
      </w:pPr>
      <w:r w:rsidRPr="00B3274C">
        <w:rPr>
          <w:bCs/>
          <w:lang w:val="fr-CA"/>
        </w:rPr>
        <w:t>330.</w:t>
      </w:r>
      <w:r w:rsidRPr="00B3274C">
        <w:rPr>
          <w:bCs/>
          <w:lang w:val="fr-CA"/>
        </w:rPr>
        <w:tab/>
      </w:r>
      <w:r w:rsidR="0095248A" w:rsidRPr="00B3274C">
        <w:rPr>
          <w:bCs/>
          <w:lang w:val="fr-CA"/>
        </w:rPr>
        <w:t xml:space="preserve">La loi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lang w:val="fr-CA"/>
        </w:rPr>
        <w:t>3028</w:t>
      </w:r>
      <w:r w:rsidR="0095248A" w:rsidRPr="00B3274C">
        <w:rPr>
          <w:lang w:val="fr-CA"/>
        </w:rPr>
        <w:t xml:space="preserve"> du 28 juillet </w:t>
      </w:r>
      <w:r w:rsidR="00FB23D3" w:rsidRPr="00B3274C">
        <w:rPr>
          <w:lang w:val="fr-CA"/>
        </w:rPr>
        <w:t>2002</w:t>
      </w:r>
      <w:r w:rsidR="00171406" w:rsidRPr="00B3274C">
        <w:rPr>
          <w:lang w:val="fr-CA"/>
        </w:rPr>
        <w:t xml:space="preserve"> sur </w:t>
      </w:r>
      <w:r w:rsidR="0095248A" w:rsidRPr="00B3274C">
        <w:rPr>
          <w:lang w:val="fr-CA"/>
        </w:rPr>
        <w:t xml:space="preserve">la protection des antiquités et du patrimoine culturel en général de la Grèce </w:t>
      </w:r>
      <w:r w:rsidR="00171406" w:rsidRPr="00B3274C">
        <w:rPr>
          <w:lang w:val="fr-CA"/>
        </w:rPr>
        <w:t>incorpore les principes et les règles du droit international relatifs au</w:t>
      </w:r>
      <w:r w:rsidR="00257DC5" w:rsidRPr="00B3274C">
        <w:rPr>
          <w:lang w:val="fr-CA"/>
        </w:rPr>
        <w:t xml:space="preserve"> traitement des biens culturels</w:t>
      </w:r>
      <w:r w:rsidR="00171406" w:rsidRPr="00B3274C">
        <w:rPr>
          <w:lang w:val="fr-CA"/>
        </w:rPr>
        <w:t xml:space="preserve"> ainsi que les notions modernes de sensibilisation des citoyens au patrimoine culturel</w:t>
      </w:r>
      <w:r w:rsidR="0080611A">
        <w:rPr>
          <w:lang w:val="fr-CA"/>
        </w:rPr>
        <w:t>,</w:t>
      </w:r>
      <w:r w:rsidR="00171406" w:rsidRPr="00B3274C">
        <w:rPr>
          <w:lang w:val="fr-CA"/>
        </w:rPr>
        <w:t xml:space="preserve"> de facilité d</w:t>
      </w:r>
      <w:r w:rsidR="0080611A">
        <w:rPr>
          <w:lang w:val="fr-CA"/>
        </w:rPr>
        <w:t>’</w:t>
      </w:r>
      <w:r w:rsidR="00171406" w:rsidRPr="00B3274C">
        <w:rPr>
          <w:lang w:val="fr-CA"/>
        </w:rPr>
        <w:t>accès</w:t>
      </w:r>
      <w:r w:rsidR="0080611A">
        <w:rPr>
          <w:lang w:val="fr-CA"/>
        </w:rPr>
        <w:t>,</w:t>
      </w:r>
      <w:r w:rsidR="00171406" w:rsidRPr="00B3274C">
        <w:rPr>
          <w:lang w:val="fr-CA"/>
        </w:rPr>
        <w:t xml:space="preserve"> et de communication sur ces questions. D</w:t>
      </w:r>
      <w:r w:rsidR="0080611A">
        <w:rPr>
          <w:lang w:val="fr-CA"/>
        </w:rPr>
        <w:t>’</w:t>
      </w:r>
      <w:r w:rsidR="00171406" w:rsidRPr="00B3274C">
        <w:rPr>
          <w:lang w:val="fr-CA"/>
        </w:rPr>
        <w:t>autre part</w:t>
      </w:r>
      <w:r w:rsidR="0080611A">
        <w:rPr>
          <w:lang w:val="fr-CA"/>
        </w:rPr>
        <w:t>,</w:t>
      </w:r>
      <w:r w:rsidR="00171406" w:rsidRPr="00B3274C">
        <w:rPr>
          <w:lang w:val="fr-CA"/>
        </w:rPr>
        <w:t xml:space="preserve"> la loi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bCs/>
          <w:lang w:val="fr-CA"/>
        </w:rPr>
        <w:t>3658/2008</w:t>
      </w:r>
      <w:r w:rsidR="0080611A">
        <w:rPr>
          <w:bCs/>
          <w:lang w:val="fr-CA"/>
        </w:rPr>
        <w:t>,</w:t>
      </w:r>
      <w:r w:rsidR="00A36F24" w:rsidRPr="00B3274C">
        <w:rPr>
          <w:bCs/>
          <w:lang w:val="fr-CA"/>
        </w:rPr>
        <w:t xml:space="preserve"> intitulée </w:t>
      </w:r>
      <w:r w:rsidR="0055418C" w:rsidRPr="00B3274C">
        <w:rPr>
          <w:bCs/>
          <w:lang w:val="fr-CA"/>
        </w:rPr>
        <w:t>«</w:t>
      </w:r>
      <w:r w:rsidR="00A36F24" w:rsidRPr="00B3274C">
        <w:rPr>
          <w:bCs/>
          <w:lang w:val="fr-CA"/>
        </w:rPr>
        <w:t>Mesures de protection des biens culturels et autres dispositions</w:t>
      </w:r>
      <w:r w:rsidR="0055418C" w:rsidRPr="00B3274C">
        <w:rPr>
          <w:bCs/>
          <w:lang w:val="fr-CA"/>
        </w:rPr>
        <w:t>»</w:t>
      </w:r>
      <w:r w:rsidR="00A36F24" w:rsidRPr="00B3274C">
        <w:rPr>
          <w:bCs/>
          <w:lang w:val="fr-CA"/>
        </w:rPr>
        <w:t xml:space="preserve"> a porté création</w:t>
      </w:r>
      <w:r w:rsidR="0080611A">
        <w:rPr>
          <w:bCs/>
          <w:lang w:val="fr-CA"/>
        </w:rPr>
        <w:t>,</w:t>
      </w:r>
      <w:r w:rsidR="00A36F24" w:rsidRPr="00B3274C">
        <w:rPr>
          <w:bCs/>
          <w:lang w:val="fr-CA"/>
        </w:rPr>
        <w:t xml:space="preserve"> au sein de la Direction générale des antiquités et du patrimoine culturel du Ministère</w:t>
      </w:r>
      <w:r w:rsidR="0080611A">
        <w:rPr>
          <w:bCs/>
          <w:lang w:val="fr-CA"/>
        </w:rPr>
        <w:t>,</w:t>
      </w:r>
      <w:r w:rsidR="00A36F24" w:rsidRPr="00B3274C">
        <w:rPr>
          <w:bCs/>
          <w:lang w:val="fr-CA"/>
        </w:rPr>
        <w:t xml:space="preserve"> une nouvelle Direction pour la documentation et la protection des biens culturels.</w:t>
      </w:r>
      <w:r w:rsidR="00FB23D3" w:rsidRPr="00B3274C">
        <w:rPr>
          <w:bCs/>
          <w:lang w:val="fr-CA"/>
        </w:rPr>
        <w:t xml:space="preserve"> </w:t>
      </w:r>
      <w:r w:rsidR="00A36F24" w:rsidRPr="00B3274C">
        <w:rPr>
          <w:bCs/>
          <w:lang w:val="fr-CA"/>
        </w:rPr>
        <w:t>La création de cette nouvelle Direction vise à renforcer l</w:t>
      </w:r>
      <w:r w:rsidR="0080611A">
        <w:rPr>
          <w:bCs/>
          <w:lang w:val="fr-CA"/>
        </w:rPr>
        <w:t>’</w:t>
      </w:r>
      <w:r w:rsidR="00A36F24" w:rsidRPr="00B3274C">
        <w:rPr>
          <w:bCs/>
          <w:lang w:val="fr-CA"/>
        </w:rPr>
        <w:t>actuel cadre de protection des biens culturels par la création d</w:t>
      </w:r>
      <w:r w:rsidR="0080611A">
        <w:rPr>
          <w:bCs/>
          <w:lang w:val="fr-CA"/>
        </w:rPr>
        <w:t>’</w:t>
      </w:r>
      <w:r w:rsidR="00A36F24" w:rsidRPr="00B3274C">
        <w:rPr>
          <w:bCs/>
          <w:lang w:val="fr-CA"/>
        </w:rPr>
        <w:t>un organisme spécialisé</w:t>
      </w:r>
      <w:r w:rsidR="0080611A">
        <w:rPr>
          <w:bCs/>
          <w:lang w:val="fr-CA"/>
        </w:rPr>
        <w:t>,</w:t>
      </w:r>
      <w:r w:rsidR="00A36F24" w:rsidRPr="00B3274C">
        <w:rPr>
          <w:bCs/>
          <w:lang w:val="fr-CA"/>
        </w:rPr>
        <w:t xml:space="preserve"> chargé spécifiquement des recherches et de la documentation sur la provenance et la </w:t>
      </w:r>
      <w:r w:rsidR="00C90CF7" w:rsidRPr="00B3274C">
        <w:rPr>
          <w:bCs/>
          <w:lang w:val="fr-CA"/>
        </w:rPr>
        <w:t>réclamation des biens culturels</w:t>
      </w:r>
      <w:r w:rsidR="00A36F24" w:rsidRPr="00B3274C">
        <w:rPr>
          <w:bCs/>
          <w:lang w:val="fr-CA"/>
        </w:rPr>
        <w:t xml:space="preserve"> exposés au vol</w:t>
      </w:r>
      <w:r w:rsidR="0080611A">
        <w:rPr>
          <w:bCs/>
          <w:lang w:val="fr-CA"/>
        </w:rPr>
        <w:t>,</w:t>
      </w:r>
      <w:r w:rsidR="00A36F24" w:rsidRPr="00B3274C">
        <w:rPr>
          <w:bCs/>
          <w:lang w:val="fr-CA"/>
        </w:rPr>
        <w:t xml:space="preserve"> à des fouilles </w:t>
      </w:r>
      <w:r w:rsidR="001D777B" w:rsidRPr="00B3274C">
        <w:rPr>
          <w:bCs/>
          <w:lang w:val="fr-CA"/>
        </w:rPr>
        <w:t xml:space="preserve">ou à la récupération </w:t>
      </w:r>
      <w:r w:rsidR="00A36F24" w:rsidRPr="00B3274C">
        <w:rPr>
          <w:bCs/>
          <w:lang w:val="fr-CA"/>
        </w:rPr>
        <w:t>illégales</w:t>
      </w:r>
      <w:r w:rsidR="0080611A">
        <w:rPr>
          <w:bCs/>
          <w:lang w:val="fr-CA"/>
        </w:rPr>
        <w:t>,</w:t>
      </w:r>
      <w:r w:rsidR="001D777B" w:rsidRPr="00B3274C">
        <w:rPr>
          <w:bCs/>
          <w:lang w:val="fr-CA"/>
        </w:rPr>
        <w:t xml:space="preserve"> et au trafic illégal en Grèce ou à l</w:t>
      </w:r>
      <w:r w:rsidR="0080611A">
        <w:rPr>
          <w:bCs/>
          <w:lang w:val="fr-CA"/>
        </w:rPr>
        <w:t>’</w:t>
      </w:r>
      <w:r w:rsidR="001D777B" w:rsidRPr="00B3274C">
        <w:rPr>
          <w:bCs/>
          <w:lang w:val="fr-CA"/>
        </w:rPr>
        <w:t>étranger.</w:t>
      </w:r>
      <w:r w:rsidR="00A36F24" w:rsidRPr="00B3274C">
        <w:rPr>
          <w:bCs/>
          <w:lang w:val="fr-CA"/>
        </w:rPr>
        <w:t xml:space="preserve"> </w:t>
      </w:r>
      <w:r w:rsidR="001D777B" w:rsidRPr="00B3274C">
        <w:rPr>
          <w:bCs/>
          <w:lang w:val="fr-CA"/>
        </w:rPr>
        <w:t xml:space="preserve">La loi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bCs/>
          <w:lang w:val="fr-CA"/>
        </w:rPr>
        <w:t xml:space="preserve">3658/2008 </w:t>
      </w:r>
      <w:r w:rsidR="001D777B" w:rsidRPr="00B3274C">
        <w:rPr>
          <w:bCs/>
          <w:lang w:val="fr-CA"/>
        </w:rPr>
        <w:t>prévoit aussi des sanctions qui s</w:t>
      </w:r>
      <w:r w:rsidR="0080611A">
        <w:rPr>
          <w:bCs/>
          <w:lang w:val="fr-CA"/>
        </w:rPr>
        <w:t>’</w:t>
      </w:r>
      <w:r w:rsidR="001D777B" w:rsidRPr="00B3274C">
        <w:rPr>
          <w:bCs/>
          <w:lang w:val="fr-CA"/>
        </w:rPr>
        <w:t xml:space="preserve">appliquent </w:t>
      </w:r>
      <w:r w:rsidR="00A40A08">
        <w:rPr>
          <w:bCs/>
          <w:lang w:val="fr-CA"/>
        </w:rPr>
        <w:t>aux personnes</w:t>
      </w:r>
      <w:r w:rsidR="001D777B" w:rsidRPr="00B3274C">
        <w:rPr>
          <w:bCs/>
          <w:lang w:val="fr-CA"/>
        </w:rPr>
        <w:t xml:space="preserve"> qui possèdent</w:t>
      </w:r>
      <w:r w:rsidR="0080611A">
        <w:rPr>
          <w:bCs/>
          <w:lang w:val="fr-CA"/>
        </w:rPr>
        <w:t>,</w:t>
      </w:r>
      <w:r w:rsidR="001D777B" w:rsidRPr="00B3274C">
        <w:rPr>
          <w:bCs/>
          <w:lang w:val="fr-CA"/>
        </w:rPr>
        <w:t xml:space="preserve"> importent ou exportent des objets en vue de les vendre en les faisant passer pour des originaux. </w:t>
      </w:r>
    </w:p>
    <w:p w:rsidR="00FB23D3" w:rsidRPr="00B3274C" w:rsidRDefault="00107A47" w:rsidP="00107A47">
      <w:pPr>
        <w:pStyle w:val="SingleTxtG"/>
        <w:rPr>
          <w:lang w:val="fr-CA"/>
        </w:rPr>
      </w:pPr>
      <w:r w:rsidRPr="00B3274C">
        <w:rPr>
          <w:lang w:val="fr-CA"/>
        </w:rPr>
        <w:t>331.</w:t>
      </w:r>
      <w:r w:rsidRPr="00B3274C">
        <w:rPr>
          <w:lang w:val="fr-CA"/>
        </w:rPr>
        <w:tab/>
      </w:r>
      <w:r w:rsidR="001D777B" w:rsidRPr="00B3274C">
        <w:rPr>
          <w:lang w:val="fr-CA"/>
        </w:rPr>
        <w:t>La Grèce a également ratifié les principales conventions internationales sur le patrimoine culturel</w:t>
      </w:r>
      <w:r w:rsidR="00FB23D3" w:rsidRPr="00B3274C">
        <w:rPr>
          <w:lang w:val="fr-CA"/>
        </w:rPr>
        <w:t xml:space="preserve">. </w:t>
      </w:r>
    </w:p>
    <w:p w:rsidR="00FB23D3" w:rsidRPr="00B3274C" w:rsidRDefault="00784DBF" w:rsidP="00D0169E">
      <w:pPr>
        <w:pStyle w:val="H23G"/>
        <w:rPr>
          <w:lang w:val="fr-CA"/>
        </w:rPr>
      </w:pPr>
      <w:r w:rsidRPr="00B3274C">
        <w:rPr>
          <w:lang w:val="fr-CA"/>
        </w:rPr>
        <w:tab/>
      </w:r>
      <w:r w:rsidR="00D0169E" w:rsidRPr="00B3274C">
        <w:rPr>
          <w:lang w:val="fr-CA"/>
        </w:rPr>
        <w:t>8.</w:t>
      </w:r>
      <w:r w:rsidRPr="00B3274C">
        <w:rPr>
          <w:lang w:val="fr-CA"/>
        </w:rPr>
        <w:tab/>
      </w:r>
      <w:r w:rsidR="00FB23D3" w:rsidRPr="00B3274C">
        <w:rPr>
          <w:lang w:val="fr-CA"/>
        </w:rPr>
        <w:t>R</w:t>
      </w:r>
      <w:r w:rsidR="00712D05" w:rsidRPr="00B3274C">
        <w:rPr>
          <w:lang w:val="fr-CA"/>
        </w:rPr>
        <w:t>ô</w:t>
      </w:r>
      <w:r w:rsidR="00FB23D3" w:rsidRPr="00B3274C">
        <w:rPr>
          <w:lang w:val="fr-CA"/>
        </w:rPr>
        <w:t xml:space="preserve">le </w:t>
      </w:r>
      <w:r w:rsidR="00712D05" w:rsidRPr="00B3274C">
        <w:rPr>
          <w:lang w:val="fr-CA"/>
        </w:rPr>
        <w:t xml:space="preserve">des médias </w:t>
      </w:r>
      <w:r w:rsidR="001948EA" w:rsidRPr="00B3274C">
        <w:rPr>
          <w:lang w:val="fr-CA"/>
        </w:rPr>
        <w:t xml:space="preserve">et de la communication </w:t>
      </w:r>
      <w:r w:rsidR="00712D05" w:rsidRPr="00B3274C">
        <w:rPr>
          <w:lang w:val="fr-CA"/>
        </w:rPr>
        <w:t xml:space="preserve">dans la promotion de la participation à la vie culturelle </w:t>
      </w:r>
    </w:p>
    <w:p w:rsidR="00FB23D3" w:rsidRPr="00B3274C" w:rsidRDefault="00107A47" w:rsidP="00107A47">
      <w:pPr>
        <w:pStyle w:val="SingleTxtG"/>
        <w:rPr>
          <w:szCs w:val="22"/>
          <w:lang w:val="fr-CA"/>
        </w:rPr>
      </w:pPr>
      <w:r w:rsidRPr="00B3274C">
        <w:rPr>
          <w:lang w:val="fr-CA"/>
        </w:rPr>
        <w:t>332.</w:t>
      </w:r>
      <w:r w:rsidRPr="00B3274C">
        <w:rPr>
          <w:lang w:val="fr-CA"/>
        </w:rPr>
        <w:tab/>
      </w:r>
      <w:r w:rsidR="001948EA" w:rsidRPr="00B3274C">
        <w:rPr>
          <w:lang w:val="fr-CA"/>
        </w:rPr>
        <w:t>Une série de mesures législatives et administratives</w:t>
      </w:r>
      <w:r w:rsidR="0080611A">
        <w:rPr>
          <w:lang w:val="fr-CA"/>
        </w:rPr>
        <w:t>,</w:t>
      </w:r>
      <w:r w:rsidR="001948EA" w:rsidRPr="00B3274C">
        <w:rPr>
          <w:lang w:val="fr-CA"/>
        </w:rPr>
        <w:t xml:space="preserve"> élaborées par l</w:t>
      </w:r>
      <w:r w:rsidR="0080611A">
        <w:rPr>
          <w:lang w:val="fr-CA"/>
        </w:rPr>
        <w:t>’</w:t>
      </w:r>
      <w:r w:rsidR="001948EA" w:rsidRPr="00B3274C">
        <w:rPr>
          <w:lang w:val="fr-CA"/>
        </w:rPr>
        <w:t>ancien Ministère de la presse et des médias (aujourd</w:t>
      </w:r>
      <w:r w:rsidR="0080611A">
        <w:rPr>
          <w:lang w:val="fr-CA"/>
        </w:rPr>
        <w:t>’</w:t>
      </w:r>
      <w:r w:rsidR="001948EA" w:rsidRPr="00B3274C">
        <w:rPr>
          <w:lang w:val="fr-CA"/>
        </w:rPr>
        <w:t>hui Secrétariat général de l</w:t>
      </w:r>
      <w:r w:rsidR="0080611A">
        <w:rPr>
          <w:lang w:val="fr-CA"/>
        </w:rPr>
        <w:t>’</w:t>
      </w:r>
      <w:r w:rsidR="001948EA" w:rsidRPr="00B3274C">
        <w:rPr>
          <w:lang w:val="fr-CA"/>
        </w:rPr>
        <w:t>information – Secrétariat général de la communication) ont été appliqué</w:t>
      </w:r>
      <w:r w:rsidR="005A2065" w:rsidRPr="00B3274C">
        <w:rPr>
          <w:lang w:val="fr-CA"/>
        </w:rPr>
        <w:t>es</w:t>
      </w:r>
      <w:r w:rsidR="001948EA" w:rsidRPr="00B3274C">
        <w:rPr>
          <w:lang w:val="fr-CA"/>
        </w:rPr>
        <w:t xml:space="preserve"> pour soutenir le rôle des médias dans la promotion de la participation à la vie sociale et culturelle</w:t>
      </w:r>
      <w:r w:rsidR="00FB23D3" w:rsidRPr="00B3274C">
        <w:rPr>
          <w:szCs w:val="22"/>
          <w:lang w:val="fr-CA"/>
        </w:rPr>
        <w:t>.</w:t>
      </w:r>
    </w:p>
    <w:p w:rsidR="00FB23D3" w:rsidRPr="00B3274C" w:rsidRDefault="00107A47" w:rsidP="00107A47">
      <w:pPr>
        <w:pStyle w:val="SingleTxtG"/>
        <w:rPr>
          <w:szCs w:val="22"/>
          <w:lang w:val="fr-CA"/>
        </w:rPr>
      </w:pPr>
      <w:r w:rsidRPr="00B3274C">
        <w:rPr>
          <w:lang w:val="fr-CA"/>
        </w:rPr>
        <w:t>333.</w:t>
      </w:r>
      <w:r w:rsidRPr="00B3274C">
        <w:rPr>
          <w:lang w:val="fr-CA"/>
        </w:rPr>
        <w:tab/>
      </w:r>
      <w:r w:rsidR="008608E3" w:rsidRPr="00B3274C">
        <w:rPr>
          <w:lang w:val="fr-CA"/>
        </w:rPr>
        <w:t xml:space="preserve">Outre </w:t>
      </w:r>
      <w:r w:rsidR="00FC3EB0" w:rsidRPr="00B3274C">
        <w:rPr>
          <w:lang w:val="fr-CA"/>
        </w:rPr>
        <w:t>les textes législatifs mentionnés dans le rapport initial de la Grèce</w:t>
      </w:r>
      <w:r w:rsidR="0080611A">
        <w:rPr>
          <w:lang w:val="fr-CA"/>
        </w:rPr>
        <w:t>,</w:t>
      </w:r>
      <w:r w:rsidR="00FC3EB0" w:rsidRPr="00B3274C">
        <w:rPr>
          <w:lang w:val="fr-CA"/>
        </w:rPr>
        <w:t xml:space="preserve"> la loi </w:t>
      </w:r>
      <w:r w:rsidR="00D65EDD" w:rsidRPr="00B3274C">
        <w:rPr>
          <w:lang w:val="fr-CA"/>
        </w:rPr>
        <w:t>n</w:t>
      </w:r>
      <w:r w:rsidR="00D65EDD" w:rsidRPr="00B3274C">
        <w:rPr>
          <w:vertAlign w:val="superscript"/>
          <w:lang w:val="fr-CA"/>
        </w:rPr>
        <w:t>o</w:t>
      </w:r>
      <w:r w:rsidR="00D65EDD" w:rsidRPr="00B3274C">
        <w:rPr>
          <w:lang w:val="fr-CA"/>
        </w:rPr>
        <w:t> </w:t>
      </w:r>
      <w:r w:rsidR="000E718B">
        <w:rPr>
          <w:szCs w:val="22"/>
          <w:lang w:val="fr-CA"/>
        </w:rPr>
        <w:t>3592/</w:t>
      </w:r>
      <w:r w:rsidR="00FB23D3" w:rsidRPr="00B3274C">
        <w:rPr>
          <w:szCs w:val="22"/>
          <w:lang w:val="fr-CA"/>
        </w:rPr>
        <w:t xml:space="preserve">2007 </w:t>
      </w:r>
      <w:r w:rsidR="008C4A42" w:rsidRPr="00B3274C">
        <w:rPr>
          <w:szCs w:val="22"/>
          <w:lang w:val="fr-CA"/>
        </w:rPr>
        <w:t>(art. </w:t>
      </w:r>
      <w:r w:rsidR="00FB23D3" w:rsidRPr="00B3274C">
        <w:rPr>
          <w:szCs w:val="22"/>
          <w:lang w:val="fr-CA"/>
        </w:rPr>
        <w:t xml:space="preserve">6) </w:t>
      </w:r>
      <w:r w:rsidR="00FC3EB0" w:rsidRPr="00B3274C">
        <w:rPr>
          <w:szCs w:val="22"/>
          <w:lang w:val="fr-CA"/>
        </w:rPr>
        <w:t>dispose que les chaînes de télévision et les stations de radio doivent inclure dans leur programmation un bulletin d</w:t>
      </w:r>
      <w:r w:rsidR="0080611A">
        <w:rPr>
          <w:szCs w:val="22"/>
          <w:lang w:val="fr-CA"/>
        </w:rPr>
        <w:t>’</w:t>
      </w:r>
      <w:r w:rsidR="00FC3EB0" w:rsidRPr="00B3274C">
        <w:rPr>
          <w:szCs w:val="22"/>
          <w:lang w:val="fr-CA"/>
        </w:rPr>
        <w:t>information quotidien en langue des signes avec des sous-titres (d</w:t>
      </w:r>
      <w:r w:rsidR="0080611A">
        <w:rPr>
          <w:szCs w:val="22"/>
          <w:lang w:val="fr-CA"/>
        </w:rPr>
        <w:t>’</w:t>
      </w:r>
      <w:r w:rsidR="00FC3EB0" w:rsidRPr="00B3274C">
        <w:rPr>
          <w:szCs w:val="22"/>
          <w:lang w:val="fr-CA"/>
        </w:rPr>
        <w:t>une durée d</w:t>
      </w:r>
      <w:r w:rsidR="0080611A">
        <w:rPr>
          <w:szCs w:val="22"/>
          <w:lang w:val="fr-CA"/>
        </w:rPr>
        <w:t>’</w:t>
      </w:r>
      <w:r w:rsidR="00FC3EB0" w:rsidRPr="00B3274C">
        <w:rPr>
          <w:szCs w:val="22"/>
          <w:lang w:val="fr-CA"/>
        </w:rPr>
        <w:t xml:space="preserve">au moins sept minutes) et des programmes hebdomadaires avec des sous-titres (un total de quatre heures minimum). </w:t>
      </w:r>
      <w:r w:rsidR="00F34580" w:rsidRPr="00B3274C">
        <w:rPr>
          <w:szCs w:val="22"/>
          <w:lang w:val="fr-CA"/>
        </w:rPr>
        <w:t>Les médias privés sont encouragés</w:t>
      </w:r>
      <w:r w:rsidR="0080611A">
        <w:rPr>
          <w:szCs w:val="22"/>
          <w:lang w:val="fr-CA"/>
        </w:rPr>
        <w:t>,</w:t>
      </w:r>
      <w:r w:rsidR="00F34580" w:rsidRPr="00B3274C">
        <w:rPr>
          <w:szCs w:val="22"/>
          <w:lang w:val="fr-CA"/>
        </w:rPr>
        <w:t xml:space="preserve"> par un système positif de points liés </w:t>
      </w:r>
      <w:r w:rsidR="00AE106E" w:rsidRPr="00B3274C">
        <w:rPr>
          <w:szCs w:val="22"/>
          <w:lang w:val="fr-CA"/>
        </w:rPr>
        <w:t>aux licences d</w:t>
      </w:r>
      <w:r w:rsidR="0080611A">
        <w:rPr>
          <w:szCs w:val="22"/>
          <w:lang w:val="fr-CA"/>
        </w:rPr>
        <w:t>’</w:t>
      </w:r>
      <w:r w:rsidR="00AE106E" w:rsidRPr="00B3274C">
        <w:rPr>
          <w:szCs w:val="22"/>
          <w:lang w:val="fr-CA"/>
        </w:rPr>
        <w:t>exploitation</w:t>
      </w:r>
      <w:r w:rsidR="0080611A">
        <w:rPr>
          <w:szCs w:val="22"/>
          <w:lang w:val="fr-CA"/>
        </w:rPr>
        <w:t>,</w:t>
      </w:r>
      <w:r w:rsidR="00F34580" w:rsidRPr="00B3274C">
        <w:rPr>
          <w:szCs w:val="22"/>
          <w:lang w:val="fr-CA"/>
        </w:rPr>
        <w:t xml:space="preserve"> à programmer des émissions accessibles </w:t>
      </w:r>
      <w:r w:rsidR="00A40A08">
        <w:rPr>
          <w:szCs w:val="22"/>
          <w:lang w:val="fr-CA"/>
        </w:rPr>
        <w:t>aux personnes</w:t>
      </w:r>
      <w:r w:rsidR="00F34580" w:rsidRPr="00B3274C">
        <w:rPr>
          <w:szCs w:val="22"/>
          <w:lang w:val="fr-CA"/>
        </w:rPr>
        <w:t xml:space="preserve"> handicapées. </w:t>
      </w:r>
    </w:p>
    <w:p w:rsidR="00FB23D3" w:rsidRPr="00B3274C" w:rsidRDefault="00107A47" w:rsidP="00107A47">
      <w:pPr>
        <w:pStyle w:val="SingleTxtG"/>
        <w:rPr>
          <w:szCs w:val="22"/>
          <w:lang w:val="fr-CA"/>
        </w:rPr>
      </w:pPr>
      <w:r w:rsidRPr="00B3274C">
        <w:rPr>
          <w:lang w:val="fr-CA"/>
        </w:rPr>
        <w:t>334.</w:t>
      </w:r>
      <w:r w:rsidRPr="00B3274C">
        <w:rPr>
          <w:lang w:val="fr-CA"/>
        </w:rPr>
        <w:tab/>
      </w:r>
      <w:r w:rsidR="00DE5654" w:rsidRPr="00B3274C">
        <w:rPr>
          <w:lang w:val="fr-CA"/>
        </w:rPr>
        <w:t>Depuis</w:t>
      </w:r>
      <w:r w:rsidR="00DE5654" w:rsidRPr="00B3274C">
        <w:rPr>
          <w:szCs w:val="22"/>
          <w:lang w:val="fr-CA"/>
        </w:rPr>
        <w:t xml:space="preserve"> </w:t>
      </w:r>
      <w:r w:rsidR="00FB23D3" w:rsidRPr="00B3274C">
        <w:rPr>
          <w:szCs w:val="22"/>
          <w:lang w:val="fr-CA"/>
        </w:rPr>
        <w:t>2006</w:t>
      </w:r>
      <w:r w:rsidR="0080611A">
        <w:rPr>
          <w:szCs w:val="22"/>
          <w:lang w:val="fr-CA"/>
        </w:rPr>
        <w:t>,</w:t>
      </w:r>
      <w:r w:rsidR="00FB23D3" w:rsidRPr="00B3274C">
        <w:rPr>
          <w:szCs w:val="22"/>
          <w:lang w:val="fr-CA"/>
        </w:rPr>
        <w:t xml:space="preserve"> </w:t>
      </w:r>
      <w:r w:rsidR="00DE5654" w:rsidRPr="00B3274C">
        <w:rPr>
          <w:szCs w:val="22"/>
          <w:lang w:val="fr-CA"/>
        </w:rPr>
        <w:t>le Secrétariat général à l</w:t>
      </w:r>
      <w:r w:rsidR="0080611A">
        <w:rPr>
          <w:szCs w:val="22"/>
          <w:lang w:val="fr-CA"/>
        </w:rPr>
        <w:t>’</w:t>
      </w:r>
      <w:r w:rsidR="00DE5654" w:rsidRPr="00B3274C">
        <w:rPr>
          <w:szCs w:val="22"/>
          <w:lang w:val="fr-CA"/>
        </w:rPr>
        <w:t xml:space="preserve">information – Secrétariat général à la communication </w:t>
      </w:r>
      <w:r w:rsidR="00FB23D3" w:rsidRPr="00B3274C">
        <w:rPr>
          <w:szCs w:val="22"/>
          <w:lang w:val="fr-CA"/>
        </w:rPr>
        <w:t xml:space="preserve">(SGC-SGI) </w:t>
      </w:r>
      <w:r w:rsidR="00E742DD" w:rsidRPr="00B3274C">
        <w:rPr>
          <w:szCs w:val="22"/>
          <w:lang w:val="fr-CA"/>
        </w:rPr>
        <w:t>a entrepris divers projets pour appeler l</w:t>
      </w:r>
      <w:r w:rsidR="0080611A">
        <w:rPr>
          <w:szCs w:val="22"/>
          <w:lang w:val="fr-CA"/>
        </w:rPr>
        <w:t>’</w:t>
      </w:r>
      <w:r w:rsidR="00E742DD" w:rsidRPr="00B3274C">
        <w:rPr>
          <w:szCs w:val="22"/>
          <w:lang w:val="fr-CA"/>
        </w:rPr>
        <w:t xml:space="preserve">attention sur des questions </w:t>
      </w:r>
      <w:r w:rsidR="00D71C5C" w:rsidRPr="00B3274C">
        <w:rPr>
          <w:szCs w:val="22"/>
          <w:lang w:val="fr-CA"/>
        </w:rPr>
        <w:t xml:space="preserve">concernant </w:t>
      </w:r>
      <w:r w:rsidR="00614BAC">
        <w:rPr>
          <w:szCs w:val="22"/>
          <w:lang w:val="fr-CA"/>
        </w:rPr>
        <w:t>les personnes</w:t>
      </w:r>
      <w:r w:rsidR="00E742DD" w:rsidRPr="00B3274C">
        <w:rPr>
          <w:szCs w:val="22"/>
          <w:lang w:val="fr-CA"/>
        </w:rPr>
        <w:t xml:space="preserve"> handicapées et </w:t>
      </w:r>
      <w:r w:rsidR="00D71C5C" w:rsidRPr="00B3274C">
        <w:rPr>
          <w:szCs w:val="22"/>
          <w:lang w:val="fr-CA"/>
        </w:rPr>
        <w:t>les</w:t>
      </w:r>
      <w:r w:rsidR="00E742DD" w:rsidRPr="00B3274C">
        <w:rPr>
          <w:szCs w:val="22"/>
          <w:lang w:val="fr-CA"/>
        </w:rPr>
        <w:t xml:space="preserve"> médias</w:t>
      </w:r>
      <w:r w:rsidR="00EC5892" w:rsidRPr="00B3274C">
        <w:rPr>
          <w:szCs w:val="22"/>
          <w:lang w:val="fr-CA"/>
        </w:rPr>
        <w:t>:</w:t>
      </w:r>
      <w:r w:rsidR="00E742DD" w:rsidRPr="00B3274C">
        <w:rPr>
          <w:szCs w:val="22"/>
          <w:lang w:val="fr-CA"/>
        </w:rPr>
        <w:t xml:space="preserve"> accessibilité</w:t>
      </w:r>
      <w:r w:rsidR="0080611A">
        <w:rPr>
          <w:szCs w:val="22"/>
          <w:lang w:val="fr-CA"/>
        </w:rPr>
        <w:t>,</w:t>
      </w:r>
      <w:r w:rsidR="00E742DD" w:rsidRPr="00B3274C">
        <w:rPr>
          <w:szCs w:val="22"/>
          <w:lang w:val="fr-CA"/>
        </w:rPr>
        <w:t xml:space="preserve"> participation et portraits dans les médias. </w:t>
      </w:r>
    </w:p>
    <w:p w:rsidR="00FB23D3" w:rsidRPr="00B3274C" w:rsidRDefault="00784DBF" w:rsidP="00D0169E">
      <w:pPr>
        <w:pStyle w:val="H23G"/>
        <w:rPr>
          <w:lang w:val="fr-CA"/>
        </w:rPr>
      </w:pPr>
      <w:r w:rsidRPr="00B3274C">
        <w:rPr>
          <w:lang w:val="fr-CA"/>
        </w:rPr>
        <w:tab/>
      </w:r>
      <w:r w:rsidR="00D0169E" w:rsidRPr="00B3274C">
        <w:rPr>
          <w:lang w:val="fr-CA"/>
        </w:rPr>
        <w:t>9.</w:t>
      </w:r>
      <w:r w:rsidRPr="00B3274C">
        <w:rPr>
          <w:lang w:val="fr-CA"/>
        </w:rPr>
        <w:tab/>
      </w:r>
      <w:r w:rsidR="00712D05" w:rsidRPr="00B3274C">
        <w:rPr>
          <w:lang w:val="fr-CA"/>
        </w:rPr>
        <w:t>Télévision et radio</w:t>
      </w:r>
    </w:p>
    <w:p w:rsidR="00FB23D3" w:rsidRPr="00B3274C" w:rsidRDefault="00107A47" w:rsidP="00107A47">
      <w:pPr>
        <w:pStyle w:val="SingleTxtG"/>
        <w:rPr>
          <w:szCs w:val="22"/>
          <w:lang w:val="fr-CA"/>
        </w:rPr>
      </w:pPr>
      <w:r w:rsidRPr="00B3274C">
        <w:rPr>
          <w:lang w:val="fr-CA"/>
        </w:rPr>
        <w:t>335.</w:t>
      </w:r>
      <w:r w:rsidRPr="00B3274C">
        <w:rPr>
          <w:lang w:val="fr-CA"/>
        </w:rPr>
        <w:tab/>
      </w:r>
      <w:r w:rsidR="003C2883" w:rsidRPr="00B3274C">
        <w:rPr>
          <w:lang w:val="fr-CA"/>
        </w:rPr>
        <w:t>L</w:t>
      </w:r>
      <w:r w:rsidR="0080611A">
        <w:rPr>
          <w:lang w:val="fr-CA"/>
        </w:rPr>
        <w:t>’</w:t>
      </w:r>
      <w:r w:rsidR="00FB23D3" w:rsidRPr="00B3274C">
        <w:rPr>
          <w:szCs w:val="22"/>
          <w:lang w:val="fr-CA"/>
        </w:rPr>
        <w:t>ERT S.A. (</w:t>
      </w:r>
      <w:r w:rsidR="003B50C3" w:rsidRPr="00B3274C">
        <w:rPr>
          <w:szCs w:val="22"/>
          <w:lang w:val="fr-CA"/>
        </w:rPr>
        <w:t>télévision publique grecque</w:t>
      </w:r>
      <w:r w:rsidR="00FB23D3" w:rsidRPr="00B3274C">
        <w:rPr>
          <w:szCs w:val="22"/>
          <w:lang w:val="fr-CA"/>
        </w:rPr>
        <w:t xml:space="preserve">) </w:t>
      </w:r>
      <w:r w:rsidR="0079056A" w:rsidRPr="00B3274C">
        <w:rPr>
          <w:szCs w:val="22"/>
          <w:lang w:val="fr-CA"/>
        </w:rPr>
        <w:t>a pris des initiatives importantes sur le plan social visant notamment à sensibiliser la population et les organes sociaux aux problèmes des démunis et organisé des activités pour rassembler des fonds</w:t>
      </w:r>
      <w:r w:rsidR="0080611A">
        <w:rPr>
          <w:szCs w:val="22"/>
          <w:lang w:val="fr-CA"/>
        </w:rPr>
        <w:t>,</w:t>
      </w:r>
      <w:r w:rsidR="0079056A" w:rsidRPr="00B3274C">
        <w:rPr>
          <w:szCs w:val="22"/>
          <w:lang w:val="fr-CA"/>
        </w:rPr>
        <w:t xml:space="preserve"> des biens ou des médicaments </w:t>
      </w:r>
      <w:r w:rsidR="003C2883" w:rsidRPr="00B3274C">
        <w:rPr>
          <w:szCs w:val="22"/>
          <w:lang w:val="fr-CA"/>
        </w:rPr>
        <w:t>dans le but de</w:t>
      </w:r>
      <w:r w:rsidR="0079056A" w:rsidRPr="00B3274C">
        <w:rPr>
          <w:szCs w:val="22"/>
          <w:lang w:val="fr-CA"/>
        </w:rPr>
        <w:t xml:space="preserve"> venir en aide </w:t>
      </w:r>
      <w:r w:rsidR="00A40A08">
        <w:rPr>
          <w:szCs w:val="22"/>
          <w:lang w:val="fr-CA"/>
        </w:rPr>
        <w:t>aux personnes</w:t>
      </w:r>
      <w:r w:rsidR="0079056A" w:rsidRPr="00B3274C">
        <w:rPr>
          <w:szCs w:val="22"/>
          <w:lang w:val="fr-CA"/>
        </w:rPr>
        <w:t xml:space="preserve"> frappées par des catastrophes naturelles</w:t>
      </w:r>
      <w:r w:rsidR="00FB23D3" w:rsidRPr="00B3274C">
        <w:rPr>
          <w:szCs w:val="22"/>
          <w:lang w:val="fr-CA"/>
        </w:rPr>
        <w:t xml:space="preserve">. </w:t>
      </w:r>
      <w:r w:rsidR="003C2883" w:rsidRPr="00B3274C">
        <w:rPr>
          <w:szCs w:val="22"/>
          <w:lang w:val="fr-CA"/>
        </w:rPr>
        <w:t>Pour</w:t>
      </w:r>
      <w:r w:rsidR="00E61CB2" w:rsidRPr="00B3274C">
        <w:rPr>
          <w:szCs w:val="22"/>
          <w:lang w:val="fr-CA"/>
        </w:rPr>
        <w:t xml:space="preserve"> mener à bien </w:t>
      </w:r>
      <w:r w:rsidR="003C2883" w:rsidRPr="00B3274C">
        <w:rPr>
          <w:szCs w:val="22"/>
          <w:lang w:val="fr-CA"/>
        </w:rPr>
        <w:t>ces activités</w:t>
      </w:r>
      <w:r w:rsidR="0080611A">
        <w:rPr>
          <w:szCs w:val="22"/>
          <w:lang w:val="fr-CA"/>
        </w:rPr>
        <w:t>,</w:t>
      </w:r>
      <w:r w:rsidR="003C2883" w:rsidRPr="00B3274C">
        <w:rPr>
          <w:szCs w:val="22"/>
          <w:lang w:val="fr-CA"/>
        </w:rPr>
        <w:t xml:space="preserve"> l</w:t>
      </w:r>
      <w:r w:rsidR="0080611A">
        <w:rPr>
          <w:szCs w:val="22"/>
          <w:lang w:val="fr-CA"/>
        </w:rPr>
        <w:t>’</w:t>
      </w:r>
      <w:r w:rsidR="00FB23D3" w:rsidRPr="00B3274C">
        <w:rPr>
          <w:szCs w:val="22"/>
          <w:lang w:val="fr-CA"/>
        </w:rPr>
        <w:t>ERT</w:t>
      </w:r>
      <w:r w:rsidR="00E61CB2" w:rsidRPr="00B3274C">
        <w:rPr>
          <w:szCs w:val="22"/>
          <w:lang w:val="fr-CA"/>
        </w:rPr>
        <w:t xml:space="preserve"> a créé </w:t>
      </w:r>
      <w:r w:rsidR="003C2883" w:rsidRPr="00B3274C">
        <w:rPr>
          <w:szCs w:val="22"/>
          <w:lang w:val="fr-CA"/>
        </w:rPr>
        <w:t xml:space="preserve">un mécanisme de gestion des crises </w:t>
      </w:r>
      <w:r w:rsidR="00E61CB2" w:rsidRPr="00B3274C">
        <w:rPr>
          <w:szCs w:val="22"/>
          <w:lang w:val="fr-CA"/>
        </w:rPr>
        <w:t>en s</w:t>
      </w:r>
      <w:r w:rsidR="0080611A">
        <w:rPr>
          <w:szCs w:val="22"/>
          <w:lang w:val="fr-CA"/>
        </w:rPr>
        <w:t>’</w:t>
      </w:r>
      <w:r w:rsidR="00E61CB2" w:rsidRPr="00B3274C">
        <w:rPr>
          <w:szCs w:val="22"/>
          <w:lang w:val="fr-CA"/>
        </w:rPr>
        <w:t xml:space="preserve">appuyant sur le Centre de communication des citoyens </w:t>
      </w:r>
      <w:r w:rsidR="00FB23D3" w:rsidRPr="00B3274C">
        <w:rPr>
          <w:szCs w:val="22"/>
          <w:lang w:val="fr-CA"/>
        </w:rPr>
        <w:t xml:space="preserve">(K.E.E.P.) </w:t>
      </w:r>
      <w:r w:rsidR="00E61CB2" w:rsidRPr="00B3274C">
        <w:rPr>
          <w:szCs w:val="22"/>
          <w:lang w:val="fr-CA"/>
        </w:rPr>
        <w:t>et le groupe de responsabilité sociale des entreprises (CSR)</w:t>
      </w:r>
      <w:r w:rsidR="00FB23D3" w:rsidRPr="00B3274C">
        <w:rPr>
          <w:szCs w:val="22"/>
          <w:lang w:val="fr-CA"/>
        </w:rPr>
        <w:t xml:space="preserve">. </w:t>
      </w:r>
    </w:p>
    <w:p w:rsidR="00FB23D3" w:rsidRPr="00B3274C" w:rsidRDefault="00107A47" w:rsidP="00107A47">
      <w:pPr>
        <w:pStyle w:val="SingleTxtG"/>
        <w:rPr>
          <w:szCs w:val="22"/>
          <w:lang w:val="fr-CA"/>
        </w:rPr>
      </w:pPr>
      <w:r w:rsidRPr="00B3274C">
        <w:rPr>
          <w:lang w:val="fr-CA"/>
        </w:rPr>
        <w:t>336.</w:t>
      </w:r>
      <w:r w:rsidRPr="00B3274C">
        <w:rPr>
          <w:lang w:val="fr-CA"/>
        </w:rPr>
        <w:tab/>
      </w:r>
      <w:r w:rsidR="00CF53EE" w:rsidRPr="00B3274C">
        <w:rPr>
          <w:lang w:val="fr-CA"/>
        </w:rPr>
        <w:t>Dans le cadre d</w:t>
      </w:r>
      <w:r w:rsidR="0080611A">
        <w:rPr>
          <w:lang w:val="fr-CA"/>
        </w:rPr>
        <w:t>’</w:t>
      </w:r>
      <w:r w:rsidR="00CF53EE" w:rsidRPr="00B3274C">
        <w:rPr>
          <w:lang w:val="fr-CA"/>
        </w:rPr>
        <w:t xml:space="preserve">un dispositif de coopération </w:t>
      </w:r>
      <w:r w:rsidR="00E61CB2" w:rsidRPr="00B3274C">
        <w:rPr>
          <w:lang w:val="fr-CA"/>
        </w:rPr>
        <w:t>avec des organisations non gouvernementales et des organisations à but non lucratif grecques</w:t>
      </w:r>
      <w:r w:rsidR="0080611A">
        <w:rPr>
          <w:lang w:val="fr-CA"/>
        </w:rPr>
        <w:t>,</w:t>
      </w:r>
      <w:r w:rsidR="00E61CB2" w:rsidRPr="00B3274C">
        <w:rPr>
          <w:lang w:val="fr-CA"/>
        </w:rPr>
        <w:t xml:space="preserve"> l</w:t>
      </w:r>
      <w:r w:rsidR="0080611A">
        <w:rPr>
          <w:lang w:val="fr-CA"/>
        </w:rPr>
        <w:t>’</w:t>
      </w:r>
      <w:r w:rsidR="00FB23D3" w:rsidRPr="00B3274C">
        <w:rPr>
          <w:szCs w:val="22"/>
          <w:lang w:val="fr-CA"/>
        </w:rPr>
        <w:t>ERT S.A.</w:t>
      </w:r>
      <w:r w:rsidR="007F7F98" w:rsidRPr="00B3274C">
        <w:rPr>
          <w:szCs w:val="22"/>
          <w:lang w:val="fr-CA"/>
        </w:rPr>
        <w:t xml:space="preserve"> a pris en charge les activités de communication pour soutenir</w:t>
      </w:r>
      <w:r w:rsidR="0080611A">
        <w:rPr>
          <w:szCs w:val="22"/>
          <w:lang w:val="fr-CA"/>
        </w:rPr>
        <w:t>,</w:t>
      </w:r>
      <w:r w:rsidR="007F7F98" w:rsidRPr="00B3274C">
        <w:rPr>
          <w:szCs w:val="22"/>
          <w:lang w:val="fr-CA"/>
        </w:rPr>
        <w:t xml:space="preserve"> mettre en lumière et promouvoir leur mission à tous les niveaux de la société grecque. Pour atteindre cet objectif</w:t>
      </w:r>
      <w:r w:rsidR="0080611A">
        <w:rPr>
          <w:szCs w:val="22"/>
          <w:lang w:val="fr-CA"/>
        </w:rPr>
        <w:t>,</w:t>
      </w:r>
      <w:r w:rsidR="007F7F98" w:rsidRPr="00B3274C">
        <w:rPr>
          <w:szCs w:val="22"/>
          <w:lang w:val="fr-CA"/>
        </w:rPr>
        <w:t xml:space="preserve"> </w:t>
      </w:r>
      <w:r w:rsidR="007F7F98" w:rsidRPr="00B3274C">
        <w:rPr>
          <w:lang w:val="fr-CA"/>
        </w:rPr>
        <w:t>l</w:t>
      </w:r>
      <w:r w:rsidR="0080611A">
        <w:rPr>
          <w:lang w:val="fr-CA"/>
        </w:rPr>
        <w:t>’</w:t>
      </w:r>
      <w:r w:rsidR="007F7F98" w:rsidRPr="00B3274C">
        <w:rPr>
          <w:szCs w:val="22"/>
          <w:lang w:val="fr-CA"/>
        </w:rPr>
        <w:t>ERT S.A. a mis tout particulièrement l</w:t>
      </w:r>
      <w:r w:rsidR="0080611A">
        <w:rPr>
          <w:szCs w:val="22"/>
          <w:lang w:val="fr-CA"/>
        </w:rPr>
        <w:t>’</w:t>
      </w:r>
      <w:r w:rsidR="007F7F98" w:rsidRPr="00B3274C">
        <w:rPr>
          <w:szCs w:val="22"/>
          <w:lang w:val="fr-CA"/>
        </w:rPr>
        <w:t>accent sur la diffusion d</w:t>
      </w:r>
      <w:r w:rsidR="0080611A">
        <w:rPr>
          <w:szCs w:val="22"/>
          <w:lang w:val="fr-CA"/>
        </w:rPr>
        <w:t>’</w:t>
      </w:r>
      <w:r w:rsidR="007F7F98" w:rsidRPr="00B3274C">
        <w:rPr>
          <w:szCs w:val="22"/>
          <w:lang w:val="fr-CA"/>
        </w:rPr>
        <w:t>informations sur les activités des ONG (environnementales</w:t>
      </w:r>
      <w:r w:rsidR="0080611A">
        <w:rPr>
          <w:szCs w:val="22"/>
          <w:lang w:val="fr-CA"/>
        </w:rPr>
        <w:t>,</w:t>
      </w:r>
      <w:r w:rsidR="007F7F98" w:rsidRPr="00B3274C">
        <w:rPr>
          <w:szCs w:val="22"/>
          <w:lang w:val="fr-CA"/>
        </w:rPr>
        <w:t xml:space="preserve"> humanitaires</w:t>
      </w:r>
      <w:r w:rsidR="0080611A">
        <w:rPr>
          <w:szCs w:val="22"/>
          <w:lang w:val="fr-CA"/>
        </w:rPr>
        <w:t>,</w:t>
      </w:r>
      <w:r w:rsidR="007F7F98" w:rsidRPr="00B3274C">
        <w:rPr>
          <w:szCs w:val="22"/>
          <w:lang w:val="fr-CA"/>
        </w:rPr>
        <w:t xml:space="preserve"> sociales et spécialisées dans les droits de l</w:t>
      </w:r>
      <w:r w:rsidR="0080611A">
        <w:rPr>
          <w:szCs w:val="22"/>
          <w:lang w:val="fr-CA"/>
        </w:rPr>
        <w:t>’</w:t>
      </w:r>
      <w:r w:rsidR="007F7F98" w:rsidRPr="00B3274C">
        <w:rPr>
          <w:szCs w:val="22"/>
          <w:lang w:val="fr-CA"/>
        </w:rPr>
        <w:t>homme) ainsi que sur la diffusion de leurs messages sociaux (messages d</w:t>
      </w:r>
      <w:r w:rsidR="0080611A">
        <w:rPr>
          <w:szCs w:val="22"/>
          <w:lang w:val="fr-CA"/>
        </w:rPr>
        <w:t>’</w:t>
      </w:r>
      <w:r w:rsidR="007F7F98" w:rsidRPr="00B3274C">
        <w:rPr>
          <w:szCs w:val="22"/>
          <w:lang w:val="fr-CA"/>
        </w:rPr>
        <w:t xml:space="preserve">information). </w:t>
      </w:r>
    </w:p>
    <w:p w:rsidR="00FB23D3" w:rsidRPr="00B3274C" w:rsidRDefault="00107A47" w:rsidP="00107A47">
      <w:pPr>
        <w:pStyle w:val="SingleTxtG"/>
        <w:rPr>
          <w:szCs w:val="22"/>
          <w:lang w:val="fr-CA"/>
        </w:rPr>
      </w:pPr>
      <w:r w:rsidRPr="00B3274C">
        <w:rPr>
          <w:lang w:val="fr-CA"/>
        </w:rPr>
        <w:t>337.</w:t>
      </w:r>
      <w:r w:rsidRPr="00B3274C">
        <w:rPr>
          <w:lang w:val="fr-CA"/>
        </w:rPr>
        <w:tab/>
      </w:r>
      <w:r w:rsidR="009633C1" w:rsidRPr="00B3274C">
        <w:rPr>
          <w:lang w:val="fr-CA"/>
        </w:rPr>
        <w:t>L</w:t>
      </w:r>
      <w:r w:rsidR="0080611A">
        <w:rPr>
          <w:lang w:val="fr-CA"/>
        </w:rPr>
        <w:t>’</w:t>
      </w:r>
      <w:r w:rsidR="00FB23D3" w:rsidRPr="00B3274C">
        <w:rPr>
          <w:szCs w:val="22"/>
          <w:lang w:val="fr-CA"/>
        </w:rPr>
        <w:t xml:space="preserve">ERT </w:t>
      </w:r>
      <w:r w:rsidR="009633C1" w:rsidRPr="00B3274C">
        <w:rPr>
          <w:szCs w:val="22"/>
          <w:lang w:val="fr-CA"/>
        </w:rPr>
        <w:t>s</w:t>
      </w:r>
      <w:r w:rsidR="0080611A">
        <w:rPr>
          <w:szCs w:val="22"/>
          <w:lang w:val="fr-CA"/>
        </w:rPr>
        <w:t>’</w:t>
      </w:r>
      <w:r w:rsidR="009633C1" w:rsidRPr="00B3274C">
        <w:rPr>
          <w:szCs w:val="22"/>
          <w:lang w:val="fr-CA"/>
        </w:rPr>
        <w:t>emploie à promouvoir les droits de l</w:t>
      </w:r>
      <w:r w:rsidR="0080611A">
        <w:rPr>
          <w:szCs w:val="22"/>
          <w:lang w:val="fr-CA"/>
        </w:rPr>
        <w:t>’</w:t>
      </w:r>
      <w:r w:rsidR="009633C1" w:rsidRPr="00B3274C">
        <w:rPr>
          <w:szCs w:val="22"/>
          <w:lang w:val="fr-CA"/>
        </w:rPr>
        <w:t>homme dans la société grecque en général</w:t>
      </w:r>
      <w:r w:rsidR="0080611A">
        <w:rPr>
          <w:szCs w:val="22"/>
          <w:lang w:val="fr-CA"/>
        </w:rPr>
        <w:t>,</w:t>
      </w:r>
      <w:r w:rsidR="009633C1" w:rsidRPr="00B3274C">
        <w:rPr>
          <w:szCs w:val="22"/>
          <w:lang w:val="fr-CA"/>
        </w:rPr>
        <w:t xml:space="preserve"> et les droits </w:t>
      </w:r>
      <w:r w:rsidR="00614BAC">
        <w:rPr>
          <w:szCs w:val="22"/>
          <w:lang w:val="fr-CA"/>
        </w:rPr>
        <w:t>des personnes</w:t>
      </w:r>
      <w:r w:rsidR="009633C1" w:rsidRPr="00B3274C">
        <w:rPr>
          <w:szCs w:val="22"/>
          <w:lang w:val="fr-CA"/>
        </w:rPr>
        <w:t xml:space="preserve"> handicapées et des groupes sensibles d</w:t>
      </w:r>
      <w:r w:rsidR="0080611A">
        <w:rPr>
          <w:szCs w:val="22"/>
          <w:lang w:val="fr-CA"/>
        </w:rPr>
        <w:t>’</w:t>
      </w:r>
      <w:r w:rsidR="009633C1" w:rsidRPr="00B3274C">
        <w:rPr>
          <w:szCs w:val="22"/>
          <w:lang w:val="fr-CA"/>
        </w:rPr>
        <w:t>un point de vue social (toxicomanes</w:t>
      </w:r>
      <w:r w:rsidR="0080611A">
        <w:rPr>
          <w:szCs w:val="22"/>
          <w:lang w:val="fr-CA"/>
        </w:rPr>
        <w:t>,</w:t>
      </w:r>
      <w:r w:rsidR="009633C1" w:rsidRPr="00B3274C">
        <w:rPr>
          <w:szCs w:val="22"/>
          <w:lang w:val="fr-CA"/>
        </w:rPr>
        <w:t xml:space="preserve"> sans-abri</w:t>
      </w:r>
      <w:r w:rsidR="0080611A">
        <w:rPr>
          <w:szCs w:val="22"/>
          <w:lang w:val="fr-CA"/>
        </w:rPr>
        <w:t>,</w:t>
      </w:r>
      <w:r w:rsidR="009633C1" w:rsidRPr="00B3274C">
        <w:rPr>
          <w:szCs w:val="22"/>
          <w:lang w:val="fr-CA"/>
        </w:rPr>
        <w:t xml:space="preserve"> etc.) en particulier</w:t>
      </w:r>
      <w:r w:rsidR="0080611A">
        <w:rPr>
          <w:szCs w:val="22"/>
          <w:lang w:val="fr-CA"/>
        </w:rPr>
        <w:t>,</w:t>
      </w:r>
      <w:r w:rsidR="009633C1" w:rsidRPr="00B3274C">
        <w:rPr>
          <w:szCs w:val="22"/>
          <w:lang w:val="fr-CA"/>
        </w:rPr>
        <w:t xml:space="preserve"> ainsi que la notion de diversité culturelle pour lutter contre toute forme de racisme</w:t>
      </w:r>
      <w:r w:rsidR="00FB23D3" w:rsidRPr="00B3274C">
        <w:rPr>
          <w:szCs w:val="22"/>
          <w:lang w:val="fr-CA"/>
        </w:rPr>
        <w:t>.</w:t>
      </w:r>
    </w:p>
    <w:p w:rsidR="00FB23D3" w:rsidRPr="00B3274C" w:rsidRDefault="00784DBF" w:rsidP="00D0169E">
      <w:pPr>
        <w:pStyle w:val="H23G"/>
        <w:rPr>
          <w:lang w:val="fr-CA"/>
        </w:rPr>
      </w:pPr>
      <w:r w:rsidRPr="00B3274C">
        <w:rPr>
          <w:lang w:val="fr-CA"/>
        </w:rPr>
        <w:tab/>
      </w:r>
      <w:r w:rsidR="00D0169E" w:rsidRPr="00B3274C">
        <w:rPr>
          <w:lang w:val="fr-CA"/>
        </w:rPr>
        <w:t>10.</w:t>
      </w:r>
      <w:r w:rsidRPr="00B3274C">
        <w:rPr>
          <w:lang w:val="fr-CA"/>
        </w:rPr>
        <w:tab/>
      </w:r>
      <w:r w:rsidR="00712D05" w:rsidRPr="00B3274C">
        <w:rPr>
          <w:lang w:val="fr-CA"/>
        </w:rPr>
        <w:t>Préservation and présentation du patrimoine culturel de l</w:t>
      </w:r>
      <w:r w:rsidR="0080611A">
        <w:rPr>
          <w:lang w:val="fr-CA"/>
        </w:rPr>
        <w:t>’</w:t>
      </w:r>
      <w:r w:rsidR="00712D05" w:rsidRPr="00B3274C">
        <w:rPr>
          <w:lang w:val="fr-CA"/>
        </w:rPr>
        <w:t xml:space="preserve">humanité </w:t>
      </w:r>
    </w:p>
    <w:p w:rsidR="00FB23D3" w:rsidRPr="00B3274C" w:rsidRDefault="00107A47" w:rsidP="00107A47">
      <w:pPr>
        <w:pStyle w:val="SingleTxtG"/>
        <w:rPr>
          <w:lang w:val="fr-CA"/>
        </w:rPr>
      </w:pPr>
      <w:r w:rsidRPr="00B3274C">
        <w:rPr>
          <w:lang w:val="fr-CA"/>
        </w:rPr>
        <w:t>338.</w:t>
      </w:r>
      <w:r w:rsidRPr="00B3274C">
        <w:rPr>
          <w:lang w:val="fr-CA"/>
        </w:rPr>
        <w:tab/>
      </w:r>
      <w:r w:rsidR="00BB362F" w:rsidRPr="00B3274C">
        <w:rPr>
          <w:lang w:val="fr-CA"/>
        </w:rPr>
        <w:t>Dans le cadre de la promotion de la protection du patrimoine culturel de l</w:t>
      </w:r>
      <w:r w:rsidR="0080611A">
        <w:rPr>
          <w:lang w:val="fr-CA"/>
        </w:rPr>
        <w:t>’</w:t>
      </w:r>
      <w:r w:rsidR="00BB362F" w:rsidRPr="00B3274C">
        <w:rPr>
          <w:lang w:val="fr-CA"/>
        </w:rPr>
        <w:t>humanité</w:t>
      </w:r>
      <w:r w:rsidR="0080611A">
        <w:rPr>
          <w:lang w:val="fr-CA"/>
        </w:rPr>
        <w:t>,</w:t>
      </w:r>
      <w:r w:rsidR="00BB362F" w:rsidRPr="00B3274C">
        <w:rPr>
          <w:lang w:val="fr-CA"/>
        </w:rPr>
        <w:t xml:space="preserve"> le Ministère de l</w:t>
      </w:r>
      <w:r w:rsidR="0080611A">
        <w:rPr>
          <w:lang w:val="fr-CA"/>
        </w:rPr>
        <w:t>’</w:t>
      </w:r>
      <w:r w:rsidR="00BB362F" w:rsidRPr="00B3274C">
        <w:rPr>
          <w:lang w:val="fr-CA"/>
        </w:rPr>
        <w:t>éducation et des affaires religieuses</w:t>
      </w:r>
      <w:r w:rsidR="0080611A">
        <w:rPr>
          <w:lang w:val="fr-CA"/>
        </w:rPr>
        <w:t>,</w:t>
      </w:r>
      <w:r w:rsidR="00BB362F" w:rsidRPr="00B3274C">
        <w:rPr>
          <w:lang w:val="fr-CA"/>
        </w:rPr>
        <w:t xml:space="preserve"> de la culture et des sports a </w:t>
      </w:r>
      <w:r w:rsidR="00241064" w:rsidRPr="00B3274C">
        <w:rPr>
          <w:lang w:val="fr-CA"/>
        </w:rPr>
        <w:t xml:space="preserve">fait inscrire </w:t>
      </w:r>
      <w:r w:rsidR="00BB362F" w:rsidRPr="00B3274C">
        <w:rPr>
          <w:lang w:val="fr-CA"/>
        </w:rPr>
        <w:t>un certain nombre de monuments grecs sur la liste du patrimoine mondial de l</w:t>
      </w:r>
      <w:r w:rsidR="0080611A">
        <w:rPr>
          <w:lang w:val="fr-CA"/>
        </w:rPr>
        <w:t>’</w:t>
      </w:r>
      <w:r w:rsidR="00BB362F" w:rsidRPr="00B3274C">
        <w:rPr>
          <w:lang w:val="fr-CA"/>
        </w:rPr>
        <w:t xml:space="preserve">Unesco. </w:t>
      </w:r>
      <w:r w:rsidR="00241064" w:rsidRPr="00B3274C">
        <w:rPr>
          <w:lang w:val="fr-CA"/>
        </w:rPr>
        <w:t>La Direction des archives des monuments conserve des archives documentées sur les monuments depuis la création de l</w:t>
      </w:r>
      <w:r w:rsidR="0080611A">
        <w:rPr>
          <w:lang w:val="fr-CA"/>
        </w:rPr>
        <w:t>’</w:t>
      </w:r>
      <w:r w:rsidR="00241064" w:rsidRPr="00B3274C">
        <w:rPr>
          <w:lang w:val="fr-CA"/>
        </w:rPr>
        <w:t xml:space="preserve">État grec. </w:t>
      </w:r>
    </w:p>
    <w:p w:rsidR="00FB23D3" w:rsidRPr="00B3274C" w:rsidRDefault="00107A47" w:rsidP="00107A47">
      <w:pPr>
        <w:pStyle w:val="SingleTxtG"/>
        <w:rPr>
          <w:iCs/>
          <w:szCs w:val="28"/>
          <w:lang w:val="fr-CA"/>
        </w:rPr>
      </w:pPr>
      <w:r w:rsidRPr="00B3274C">
        <w:rPr>
          <w:iCs/>
          <w:lang w:val="fr-CA"/>
        </w:rPr>
        <w:t>339.</w:t>
      </w:r>
      <w:r w:rsidRPr="00B3274C">
        <w:rPr>
          <w:iCs/>
          <w:lang w:val="fr-CA"/>
        </w:rPr>
        <w:tab/>
      </w:r>
      <w:r w:rsidR="00241064" w:rsidRPr="00B3274C">
        <w:rPr>
          <w:iCs/>
          <w:lang w:val="fr-CA"/>
        </w:rPr>
        <w:t>Parmi les initiatives pertinentes prises dans ce domaine il convient de mentionner:</w:t>
      </w:r>
      <w:r w:rsidR="00E67076" w:rsidRPr="00B3274C">
        <w:rPr>
          <w:iCs/>
          <w:lang w:val="fr-CA"/>
        </w:rPr>
        <w:t xml:space="preserve"> </w:t>
      </w:r>
      <w:r w:rsidR="00241064" w:rsidRPr="00B3274C">
        <w:rPr>
          <w:iCs/>
          <w:lang w:val="fr-CA"/>
        </w:rPr>
        <w:t>le Label du patrimoine européen</w:t>
      </w:r>
      <w:r w:rsidR="0080611A">
        <w:rPr>
          <w:iCs/>
          <w:lang w:val="fr-CA"/>
        </w:rPr>
        <w:t>,</w:t>
      </w:r>
      <w:r w:rsidR="00241064" w:rsidRPr="00B3274C">
        <w:rPr>
          <w:iCs/>
          <w:lang w:val="fr-CA"/>
        </w:rPr>
        <w:t xml:space="preserve"> le Programme européen pour</w:t>
      </w:r>
      <w:r w:rsidR="00897578" w:rsidRPr="00B3274C">
        <w:rPr>
          <w:iCs/>
          <w:lang w:val="fr-CA"/>
        </w:rPr>
        <w:t xml:space="preserve"> l</w:t>
      </w:r>
      <w:r w:rsidR="0080611A">
        <w:rPr>
          <w:iCs/>
          <w:lang w:val="fr-CA"/>
        </w:rPr>
        <w:t>’</w:t>
      </w:r>
      <w:r w:rsidR="00897578" w:rsidRPr="00B3274C">
        <w:rPr>
          <w:iCs/>
          <w:lang w:val="fr-CA"/>
        </w:rPr>
        <w:t>archéologie préventive</w:t>
      </w:r>
      <w:r w:rsidR="0080611A">
        <w:rPr>
          <w:iCs/>
          <w:lang w:val="fr-CA"/>
        </w:rPr>
        <w:t>,</w:t>
      </w:r>
      <w:r w:rsidR="00897578" w:rsidRPr="00B3274C">
        <w:rPr>
          <w:iCs/>
          <w:lang w:val="fr-CA"/>
        </w:rPr>
        <w:t xml:space="preserve"> le Programme européen</w:t>
      </w:r>
      <w:r w:rsidR="0055418C" w:rsidRPr="00B3274C">
        <w:rPr>
          <w:iCs/>
          <w:lang w:val="fr-CA"/>
        </w:rPr>
        <w:t xml:space="preserve"> </w:t>
      </w:r>
      <w:r w:rsidR="00897578" w:rsidRPr="00B3274C">
        <w:rPr>
          <w:iCs/>
          <w:lang w:val="fr-CA"/>
        </w:rPr>
        <w:t>sur l</w:t>
      </w:r>
      <w:r w:rsidR="0080611A">
        <w:rPr>
          <w:iCs/>
          <w:lang w:val="fr-CA"/>
        </w:rPr>
        <w:t>’</w:t>
      </w:r>
      <w:r w:rsidR="00897578" w:rsidRPr="00B3274C">
        <w:rPr>
          <w:iCs/>
          <w:lang w:val="fr-CA"/>
        </w:rPr>
        <w:t xml:space="preserve">architecture gothique de la Méditerranée </w:t>
      </w:r>
      <w:r w:rsidR="00FB23D3" w:rsidRPr="00B3274C">
        <w:rPr>
          <w:iCs/>
          <w:szCs w:val="28"/>
          <w:lang w:val="fr-CA"/>
        </w:rPr>
        <w:t>(2004-2007)</w:t>
      </w:r>
      <w:r w:rsidR="0080611A">
        <w:rPr>
          <w:iCs/>
          <w:szCs w:val="28"/>
          <w:lang w:val="fr-CA"/>
        </w:rPr>
        <w:t>,</w:t>
      </w:r>
      <w:r w:rsidR="00FB23D3" w:rsidRPr="00B3274C">
        <w:rPr>
          <w:szCs w:val="28"/>
          <w:lang w:val="fr-CA"/>
        </w:rPr>
        <w:t xml:space="preserve"> </w:t>
      </w:r>
      <w:r w:rsidR="00897578" w:rsidRPr="00B3274C">
        <w:rPr>
          <w:szCs w:val="28"/>
          <w:lang w:val="fr-CA"/>
        </w:rPr>
        <w:t xml:space="preserve">le Réseau </w:t>
      </w:r>
      <w:r w:rsidR="00FB23D3" w:rsidRPr="00B3274C">
        <w:rPr>
          <w:iCs/>
          <w:szCs w:val="28"/>
          <w:lang w:val="fr-CA"/>
        </w:rPr>
        <w:t>HEREIN (</w:t>
      </w:r>
      <w:r w:rsidR="00897578" w:rsidRPr="00B3274C">
        <w:rPr>
          <w:iCs/>
          <w:szCs w:val="28"/>
          <w:lang w:val="fr-CA"/>
        </w:rPr>
        <w:t>Réseau européen du patrimoine</w:t>
      </w:r>
      <w:r w:rsidR="00FB23D3" w:rsidRPr="00B3274C">
        <w:rPr>
          <w:iCs/>
          <w:szCs w:val="28"/>
          <w:lang w:val="fr-CA"/>
        </w:rPr>
        <w:t>)</w:t>
      </w:r>
      <w:r w:rsidR="0080611A">
        <w:rPr>
          <w:iCs/>
          <w:szCs w:val="28"/>
          <w:lang w:val="fr-CA"/>
        </w:rPr>
        <w:t>,</w:t>
      </w:r>
      <w:r w:rsidR="00FB23D3" w:rsidRPr="00B3274C">
        <w:rPr>
          <w:iCs/>
          <w:szCs w:val="28"/>
          <w:lang w:val="fr-CA"/>
        </w:rPr>
        <w:t xml:space="preserve"> </w:t>
      </w:r>
      <w:r w:rsidR="007C2199" w:rsidRPr="00B3274C">
        <w:rPr>
          <w:iCs/>
          <w:szCs w:val="28"/>
          <w:lang w:val="fr-CA"/>
        </w:rPr>
        <w:t xml:space="preserve">le </w:t>
      </w:r>
      <w:r w:rsidR="0055418C" w:rsidRPr="00B3274C">
        <w:rPr>
          <w:iCs/>
          <w:szCs w:val="28"/>
          <w:lang w:val="fr-CA"/>
        </w:rPr>
        <w:t>«</w:t>
      </w:r>
      <w:r w:rsidR="00897578" w:rsidRPr="00B3274C">
        <w:rPr>
          <w:iCs/>
          <w:szCs w:val="28"/>
          <w:lang w:val="fr-CA"/>
        </w:rPr>
        <w:t xml:space="preserve">Projet culturel </w:t>
      </w:r>
      <w:r w:rsidR="00FB23D3" w:rsidRPr="00B3274C">
        <w:rPr>
          <w:iCs/>
          <w:szCs w:val="28"/>
          <w:lang w:val="fr-CA"/>
        </w:rPr>
        <w:t>Egnatia</w:t>
      </w:r>
      <w:r w:rsidR="0055418C" w:rsidRPr="00B3274C">
        <w:rPr>
          <w:iCs/>
          <w:szCs w:val="28"/>
          <w:lang w:val="fr-CA"/>
        </w:rPr>
        <w:t>»</w:t>
      </w:r>
      <w:r w:rsidR="00FB23D3" w:rsidRPr="00B3274C">
        <w:rPr>
          <w:iCs/>
          <w:szCs w:val="28"/>
          <w:lang w:val="fr-CA"/>
        </w:rPr>
        <w:t xml:space="preserve"> (</w:t>
      </w:r>
      <w:r w:rsidR="00897578" w:rsidRPr="00B3274C">
        <w:rPr>
          <w:szCs w:val="28"/>
          <w:lang w:val="fr-CA"/>
        </w:rPr>
        <w:t>mise en valeur des</w:t>
      </w:r>
      <w:r w:rsidR="00FB23D3" w:rsidRPr="00B3274C">
        <w:rPr>
          <w:szCs w:val="28"/>
          <w:lang w:val="fr-CA"/>
        </w:rPr>
        <w:t xml:space="preserve"> monuments </w:t>
      </w:r>
      <w:r w:rsidR="00230BFE" w:rsidRPr="00B3274C">
        <w:rPr>
          <w:szCs w:val="28"/>
          <w:lang w:val="fr-CA"/>
        </w:rPr>
        <w:t>d</w:t>
      </w:r>
      <w:r w:rsidR="0080611A">
        <w:rPr>
          <w:szCs w:val="28"/>
          <w:lang w:val="fr-CA"/>
        </w:rPr>
        <w:t>’</w:t>
      </w:r>
      <w:r w:rsidR="00230BFE" w:rsidRPr="00B3274C">
        <w:rPr>
          <w:szCs w:val="28"/>
          <w:lang w:val="fr-CA"/>
        </w:rPr>
        <w:t>Épire</w:t>
      </w:r>
      <w:r w:rsidR="0080611A">
        <w:rPr>
          <w:szCs w:val="28"/>
          <w:lang w:val="fr-CA"/>
        </w:rPr>
        <w:t>,</w:t>
      </w:r>
      <w:r w:rsidR="00230BFE" w:rsidRPr="00B3274C">
        <w:rPr>
          <w:szCs w:val="28"/>
          <w:lang w:val="fr-CA"/>
        </w:rPr>
        <w:t xml:space="preserve"> de Macédoine et de Thrace)</w:t>
      </w:r>
      <w:r w:rsidR="0080611A">
        <w:rPr>
          <w:szCs w:val="28"/>
          <w:lang w:val="fr-CA"/>
        </w:rPr>
        <w:t>,</w:t>
      </w:r>
      <w:r w:rsidR="00230BFE" w:rsidRPr="00B3274C">
        <w:rPr>
          <w:szCs w:val="28"/>
          <w:lang w:val="fr-CA"/>
        </w:rPr>
        <w:t xml:space="preserve"> </w:t>
      </w:r>
      <w:r w:rsidR="00FB23D3" w:rsidRPr="00B3274C">
        <w:rPr>
          <w:iCs/>
          <w:szCs w:val="28"/>
          <w:lang w:val="fr-CA"/>
        </w:rPr>
        <w:t>ARCHIMED</w:t>
      </w:r>
      <w:r w:rsidR="0080611A">
        <w:rPr>
          <w:iCs/>
          <w:szCs w:val="28"/>
          <w:lang w:val="fr-CA"/>
        </w:rPr>
        <w:t>,</w:t>
      </w:r>
      <w:r w:rsidR="00FB23D3" w:rsidRPr="00B3274C">
        <w:rPr>
          <w:iCs/>
          <w:szCs w:val="28"/>
          <w:lang w:val="fr-CA"/>
        </w:rPr>
        <w:t xml:space="preserve"> Egeria</w:t>
      </w:r>
      <w:r w:rsidR="0080611A">
        <w:rPr>
          <w:iCs/>
          <w:szCs w:val="28"/>
          <w:lang w:val="fr-CA"/>
        </w:rPr>
        <w:t>,</w:t>
      </w:r>
      <w:r w:rsidR="00FB23D3" w:rsidRPr="00B3274C">
        <w:rPr>
          <w:iCs/>
          <w:szCs w:val="28"/>
          <w:lang w:val="fr-CA"/>
        </w:rPr>
        <w:t xml:space="preserve"> </w:t>
      </w:r>
      <w:r w:rsidR="007C2199" w:rsidRPr="00B3274C">
        <w:rPr>
          <w:iCs/>
          <w:szCs w:val="28"/>
          <w:lang w:val="fr-CA"/>
        </w:rPr>
        <w:t xml:space="preserve">un </w:t>
      </w:r>
      <w:r w:rsidR="00CE1AC6" w:rsidRPr="00B3274C">
        <w:rPr>
          <w:szCs w:val="28"/>
          <w:lang w:val="fr-CA"/>
        </w:rPr>
        <w:t>calendrier avec des reproductions de</w:t>
      </w:r>
      <w:r w:rsidR="00FB23D3" w:rsidRPr="00B3274C">
        <w:rPr>
          <w:szCs w:val="28"/>
          <w:lang w:val="fr-CA"/>
        </w:rPr>
        <w:t xml:space="preserve"> </w:t>
      </w:r>
      <w:r w:rsidR="00ED6588" w:rsidRPr="00B3274C">
        <w:rPr>
          <w:szCs w:val="28"/>
          <w:lang w:val="fr-CA"/>
        </w:rPr>
        <w:t>monuments byzantins et post-byzantins du patrimoine mondial (2008)</w:t>
      </w:r>
      <w:r w:rsidR="0080611A">
        <w:rPr>
          <w:szCs w:val="28"/>
          <w:lang w:val="fr-CA"/>
        </w:rPr>
        <w:t>,</w:t>
      </w:r>
      <w:r w:rsidR="00ED6588" w:rsidRPr="00B3274C">
        <w:rPr>
          <w:szCs w:val="28"/>
          <w:lang w:val="fr-CA"/>
        </w:rPr>
        <w:t xml:space="preserve"> </w:t>
      </w:r>
      <w:r w:rsidR="007C2199" w:rsidRPr="00B3274C">
        <w:rPr>
          <w:szCs w:val="28"/>
          <w:lang w:val="fr-CA"/>
        </w:rPr>
        <w:t>l</w:t>
      </w:r>
      <w:r w:rsidR="0080611A">
        <w:rPr>
          <w:szCs w:val="28"/>
          <w:lang w:val="fr-CA"/>
        </w:rPr>
        <w:t>’</w:t>
      </w:r>
      <w:r w:rsidR="00ED6588" w:rsidRPr="00B3274C">
        <w:rPr>
          <w:szCs w:val="28"/>
          <w:lang w:val="fr-CA"/>
        </w:rPr>
        <w:t>édition d</w:t>
      </w:r>
      <w:r w:rsidR="0080611A">
        <w:rPr>
          <w:szCs w:val="28"/>
          <w:lang w:val="fr-CA"/>
        </w:rPr>
        <w:t>’</w:t>
      </w:r>
      <w:r w:rsidR="00ED6588" w:rsidRPr="00B3274C">
        <w:rPr>
          <w:szCs w:val="28"/>
          <w:lang w:val="fr-CA"/>
        </w:rPr>
        <w:t xml:space="preserve">un ouvrage intitulé </w:t>
      </w:r>
      <w:r w:rsidR="0055418C" w:rsidRPr="00B3274C">
        <w:rPr>
          <w:szCs w:val="28"/>
          <w:lang w:val="fr-CA"/>
        </w:rPr>
        <w:t>«</w:t>
      </w:r>
      <w:r w:rsidR="00ED6588" w:rsidRPr="00B3274C">
        <w:rPr>
          <w:szCs w:val="28"/>
          <w:lang w:val="fr-CA"/>
        </w:rPr>
        <w:t>L</w:t>
      </w:r>
      <w:r w:rsidR="0080611A">
        <w:rPr>
          <w:szCs w:val="28"/>
          <w:lang w:val="fr-CA"/>
        </w:rPr>
        <w:t>’</w:t>
      </w:r>
      <w:r w:rsidR="00ED6588" w:rsidRPr="00B3274C">
        <w:rPr>
          <w:szCs w:val="28"/>
          <w:lang w:val="fr-CA"/>
        </w:rPr>
        <w:t>architecture ottomane en Grèce</w:t>
      </w:r>
      <w:r w:rsidR="0055418C" w:rsidRPr="00B3274C">
        <w:rPr>
          <w:szCs w:val="28"/>
          <w:lang w:val="fr-CA"/>
        </w:rPr>
        <w:t>»</w:t>
      </w:r>
      <w:r w:rsidR="0080611A">
        <w:rPr>
          <w:szCs w:val="28"/>
          <w:lang w:val="fr-CA"/>
        </w:rPr>
        <w:t>,</w:t>
      </w:r>
      <w:r w:rsidR="00ED6588" w:rsidRPr="00B3274C">
        <w:rPr>
          <w:szCs w:val="28"/>
          <w:lang w:val="fr-CA"/>
        </w:rPr>
        <w:t xml:space="preserve"> </w:t>
      </w:r>
      <w:r w:rsidR="007C2199" w:rsidRPr="00B3274C">
        <w:rPr>
          <w:szCs w:val="28"/>
          <w:lang w:val="fr-CA"/>
        </w:rPr>
        <w:t xml:space="preserve">des </w:t>
      </w:r>
      <w:r w:rsidR="00ED6588" w:rsidRPr="00B3274C">
        <w:rPr>
          <w:szCs w:val="28"/>
          <w:lang w:val="fr-CA"/>
        </w:rPr>
        <w:t xml:space="preserve">conventions de programmation de la conservation et de la mise en valeur </w:t>
      </w:r>
      <w:r w:rsidR="00ED492B" w:rsidRPr="00B3274C">
        <w:rPr>
          <w:szCs w:val="28"/>
          <w:lang w:val="fr-CA"/>
        </w:rPr>
        <w:t>des quartiers anciens</w:t>
      </w:r>
      <w:r w:rsidR="00ED6588" w:rsidRPr="00B3274C">
        <w:rPr>
          <w:szCs w:val="28"/>
          <w:lang w:val="fr-CA"/>
        </w:rPr>
        <w:t xml:space="preserve"> de diverses municipalités</w:t>
      </w:r>
      <w:r w:rsidR="0080611A">
        <w:rPr>
          <w:szCs w:val="28"/>
          <w:lang w:val="fr-CA"/>
        </w:rPr>
        <w:t>,</w:t>
      </w:r>
      <w:r w:rsidR="00ED6588" w:rsidRPr="00B3274C">
        <w:rPr>
          <w:szCs w:val="28"/>
          <w:lang w:val="fr-CA"/>
        </w:rPr>
        <w:t xml:space="preserve"> etc.</w:t>
      </w:r>
      <w:r w:rsidR="0055418C" w:rsidRPr="00B3274C">
        <w:rPr>
          <w:szCs w:val="28"/>
          <w:lang w:val="fr-CA"/>
        </w:rPr>
        <w:t xml:space="preserve"> </w:t>
      </w:r>
    </w:p>
    <w:p w:rsidR="00FB23D3" w:rsidRPr="00B3274C" w:rsidRDefault="00784DBF" w:rsidP="00D0169E">
      <w:pPr>
        <w:pStyle w:val="H23G"/>
        <w:rPr>
          <w:lang w:val="fr-CA"/>
        </w:rPr>
      </w:pPr>
      <w:r w:rsidRPr="00B3274C">
        <w:rPr>
          <w:lang w:val="fr-CA"/>
        </w:rPr>
        <w:tab/>
      </w:r>
      <w:r w:rsidR="00D0169E" w:rsidRPr="00B3274C">
        <w:rPr>
          <w:lang w:val="fr-CA"/>
        </w:rPr>
        <w:t>11.</w:t>
      </w:r>
      <w:r w:rsidRPr="00B3274C">
        <w:rPr>
          <w:lang w:val="fr-CA"/>
        </w:rPr>
        <w:tab/>
      </w:r>
      <w:r w:rsidR="00712D05" w:rsidRPr="00B3274C">
        <w:rPr>
          <w:lang w:val="fr-CA"/>
        </w:rPr>
        <w:t>Autres mesures pour la conservation</w:t>
      </w:r>
      <w:r w:rsidR="0080611A">
        <w:rPr>
          <w:lang w:val="fr-CA"/>
        </w:rPr>
        <w:t>,</w:t>
      </w:r>
      <w:r w:rsidR="00712D05" w:rsidRPr="00B3274C">
        <w:rPr>
          <w:lang w:val="fr-CA"/>
        </w:rPr>
        <w:t xml:space="preserve"> </w:t>
      </w:r>
      <w:r w:rsidR="00187B2A" w:rsidRPr="00B3274C">
        <w:rPr>
          <w:lang w:val="fr-CA"/>
        </w:rPr>
        <w:t xml:space="preserve">le </w:t>
      </w:r>
      <w:r w:rsidR="00712D05" w:rsidRPr="00B3274C">
        <w:rPr>
          <w:lang w:val="fr-CA"/>
        </w:rPr>
        <w:t xml:space="preserve">développement et la diffusion de la culture </w:t>
      </w:r>
    </w:p>
    <w:p w:rsidR="00FB23D3" w:rsidRPr="00B3274C" w:rsidRDefault="00107A47" w:rsidP="00107A47">
      <w:pPr>
        <w:pStyle w:val="SingleTxtG"/>
        <w:rPr>
          <w:lang w:val="fr-CA"/>
        </w:rPr>
      </w:pPr>
      <w:r w:rsidRPr="00B3274C">
        <w:rPr>
          <w:lang w:val="fr-CA"/>
        </w:rPr>
        <w:t>340.</w:t>
      </w:r>
      <w:r w:rsidR="00A51C1E" w:rsidRPr="00B3274C">
        <w:rPr>
          <w:lang w:val="fr-CA"/>
        </w:rPr>
        <w:tab/>
      </w:r>
      <w:r w:rsidR="00187B2A" w:rsidRPr="00B3274C">
        <w:rPr>
          <w:lang w:val="fr-CA"/>
        </w:rPr>
        <w:t>Dans le cadre de la protection des droits d</w:t>
      </w:r>
      <w:r w:rsidR="0080611A">
        <w:rPr>
          <w:lang w:val="fr-CA"/>
        </w:rPr>
        <w:t>’</w:t>
      </w:r>
      <w:r w:rsidR="00187B2A" w:rsidRPr="00B3274C">
        <w:rPr>
          <w:lang w:val="fr-CA"/>
        </w:rPr>
        <w:t>auteur</w:t>
      </w:r>
      <w:r w:rsidR="0080611A">
        <w:rPr>
          <w:lang w:val="fr-CA"/>
        </w:rPr>
        <w:t>,</w:t>
      </w:r>
      <w:r w:rsidR="00187B2A" w:rsidRPr="00B3274C">
        <w:rPr>
          <w:lang w:val="fr-CA"/>
        </w:rPr>
        <w:t xml:space="preserve"> l</w:t>
      </w:r>
      <w:r w:rsidR="0080611A">
        <w:rPr>
          <w:lang w:val="fr-CA"/>
        </w:rPr>
        <w:t>’</w:t>
      </w:r>
      <w:r w:rsidR="00187B2A" w:rsidRPr="00B3274C">
        <w:rPr>
          <w:lang w:val="fr-CA"/>
        </w:rPr>
        <w:t>Organisation grecque des droits d</w:t>
      </w:r>
      <w:r w:rsidR="0080611A">
        <w:rPr>
          <w:lang w:val="fr-CA"/>
        </w:rPr>
        <w:t>’</w:t>
      </w:r>
      <w:r w:rsidR="00187B2A" w:rsidRPr="00B3274C">
        <w:rPr>
          <w:lang w:val="fr-CA"/>
        </w:rPr>
        <w:t xml:space="preserve">auteur supervise le fonctionnement du système de protection des auteurs et des </w:t>
      </w:r>
      <w:r w:rsidR="004E0FDC" w:rsidRPr="00B3274C">
        <w:rPr>
          <w:lang w:val="fr-CA"/>
        </w:rPr>
        <w:t>titulaires de droits connexes</w:t>
      </w:r>
      <w:r w:rsidR="0080611A">
        <w:rPr>
          <w:lang w:val="fr-CA"/>
        </w:rPr>
        <w:t>,</w:t>
      </w:r>
      <w:r w:rsidR="004E0FDC" w:rsidRPr="00B3274C">
        <w:rPr>
          <w:lang w:val="fr-CA"/>
        </w:rPr>
        <w:t xml:space="preserve"> </w:t>
      </w:r>
      <w:r w:rsidR="00187B2A" w:rsidRPr="00B3274C">
        <w:rPr>
          <w:lang w:val="fr-CA"/>
        </w:rPr>
        <w:t>garantit les droits des utilisateurs et du public</w:t>
      </w:r>
      <w:r w:rsidR="0080611A">
        <w:rPr>
          <w:lang w:val="fr-CA"/>
        </w:rPr>
        <w:t>,</w:t>
      </w:r>
      <w:r w:rsidR="00187B2A" w:rsidRPr="00B3274C">
        <w:rPr>
          <w:lang w:val="fr-CA"/>
        </w:rPr>
        <w:t xml:space="preserve"> maintient l</w:t>
      </w:r>
      <w:r w:rsidR="0080611A">
        <w:rPr>
          <w:lang w:val="fr-CA"/>
        </w:rPr>
        <w:t>’</w:t>
      </w:r>
      <w:r w:rsidR="00187B2A" w:rsidRPr="00B3274C">
        <w:rPr>
          <w:lang w:val="fr-CA"/>
        </w:rPr>
        <w:t>équilibre entre les intérêts des secteurs concernés par le droit d</w:t>
      </w:r>
      <w:r w:rsidR="0080611A">
        <w:rPr>
          <w:lang w:val="fr-CA"/>
        </w:rPr>
        <w:t>’</w:t>
      </w:r>
      <w:r w:rsidR="00187B2A" w:rsidRPr="00B3274C">
        <w:rPr>
          <w:lang w:val="fr-CA"/>
        </w:rPr>
        <w:t>auteur et ceux des secteur</w:t>
      </w:r>
      <w:r w:rsidR="004E0FDC" w:rsidRPr="00B3274C">
        <w:rPr>
          <w:lang w:val="fr-CA"/>
        </w:rPr>
        <w:t>s de la propriété industrielle</w:t>
      </w:r>
      <w:r w:rsidR="0080611A">
        <w:rPr>
          <w:lang w:val="fr-CA"/>
        </w:rPr>
        <w:t>,</w:t>
      </w:r>
      <w:r w:rsidR="00187B2A" w:rsidRPr="00B3274C">
        <w:rPr>
          <w:lang w:val="fr-CA"/>
        </w:rPr>
        <w:t xml:space="preserve"> incorpore et adapte en Grèce les dernières évolutions au niveau communautaire et international</w:t>
      </w:r>
      <w:r w:rsidR="0080611A">
        <w:rPr>
          <w:lang w:val="fr-CA"/>
        </w:rPr>
        <w:t>,</w:t>
      </w:r>
      <w:r w:rsidR="00187B2A" w:rsidRPr="00B3274C">
        <w:rPr>
          <w:lang w:val="fr-CA"/>
        </w:rPr>
        <w:t xml:space="preserve"> contribuant ainsi à la promotion de la créativité et de la culture. </w:t>
      </w:r>
    </w:p>
    <w:p w:rsidR="00FB23D3" w:rsidRPr="00B3274C" w:rsidRDefault="00107A47" w:rsidP="00107A47">
      <w:pPr>
        <w:pStyle w:val="SingleTxtG"/>
        <w:rPr>
          <w:lang w:val="fr-CA"/>
        </w:rPr>
      </w:pPr>
      <w:r w:rsidRPr="00B3274C">
        <w:rPr>
          <w:lang w:val="fr-CA"/>
        </w:rPr>
        <w:t>341.</w:t>
      </w:r>
      <w:r w:rsidRPr="00B3274C">
        <w:rPr>
          <w:lang w:val="fr-CA"/>
        </w:rPr>
        <w:tab/>
      </w:r>
      <w:r w:rsidR="00187B2A" w:rsidRPr="00B3274C">
        <w:rPr>
          <w:lang w:val="fr-CA"/>
        </w:rPr>
        <w:t>La législation grecque pertinente reflète toutes les tendances modernes exprimées dans les législations nationales des principaux États européens et a été modifiée compte tenu des directives de l</w:t>
      </w:r>
      <w:r w:rsidR="0080611A">
        <w:rPr>
          <w:lang w:val="fr-CA"/>
        </w:rPr>
        <w:t>’</w:t>
      </w:r>
      <w:r w:rsidR="00187B2A" w:rsidRPr="00B3274C">
        <w:rPr>
          <w:lang w:val="fr-CA"/>
        </w:rPr>
        <w:t>Union européenne. En outre</w:t>
      </w:r>
      <w:r w:rsidR="0080611A">
        <w:rPr>
          <w:lang w:val="fr-CA"/>
        </w:rPr>
        <w:t>,</w:t>
      </w:r>
      <w:r w:rsidR="00187B2A" w:rsidRPr="00B3274C">
        <w:rPr>
          <w:lang w:val="fr-CA"/>
        </w:rPr>
        <w:t xml:space="preserve"> la Grèce a ratifié presque toutes les conventions internationales</w:t>
      </w:r>
      <w:r w:rsidR="0080611A">
        <w:rPr>
          <w:lang w:val="fr-CA"/>
        </w:rPr>
        <w:t>,</w:t>
      </w:r>
      <w:r w:rsidR="00187B2A" w:rsidRPr="00B3274C">
        <w:rPr>
          <w:lang w:val="fr-CA"/>
        </w:rPr>
        <w:t xml:space="preserve"> en particulier les cinq principales conventions assurant une protection internationale</w:t>
      </w:r>
      <w:r w:rsidR="00FB23D3" w:rsidRPr="00B3274C">
        <w:rPr>
          <w:lang w:val="fr-CA"/>
        </w:rPr>
        <w:t xml:space="preserve">. </w:t>
      </w:r>
    </w:p>
    <w:p w:rsidR="00FB23D3" w:rsidRPr="00B3274C" w:rsidRDefault="00107A47" w:rsidP="00107A47">
      <w:pPr>
        <w:pStyle w:val="SingleTxtG"/>
        <w:rPr>
          <w:lang w:val="fr-CA"/>
        </w:rPr>
      </w:pPr>
      <w:r w:rsidRPr="00B3274C">
        <w:rPr>
          <w:lang w:val="fr-CA"/>
        </w:rPr>
        <w:t>342.</w:t>
      </w:r>
      <w:r w:rsidRPr="00B3274C">
        <w:rPr>
          <w:lang w:val="fr-CA"/>
        </w:rPr>
        <w:tab/>
      </w:r>
      <w:r w:rsidR="008512A4" w:rsidRPr="00B3274C">
        <w:rPr>
          <w:lang w:val="fr-CA"/>
        </w:rPr>
        <w:t>Récemment</w:t>
      </w:r>
      <w:r w:rsidR="0080611A">
        <w:rPr>
          <w:lang w:val="fr-CA"/>
        </w:rPr>
        <w:t>,</w:t>
      </w:r>
      <w:r w:rsidR="008512A4" w:rsidRPr="00B3274C">
        <w:rPr>
          <w:lang w:val="fr-CA"/>
        </w:rPr>
        <w:t xml:space="preserve"> l</w:t>
      </w:r>
      <w:r w:rsidR="0080611A">
        <w:rPr>
          <w:lang w:val="fr-CA"/>
        </w:rPr>
        <w:t>’</w:t>
      </w:r>
      <w:r w:rsidR="008512A4" w:rsidRPr="00B3274C">
        <w:rPr>
          <w:lang w:val="fr-CA"/>
        </w:rPr>
        <w:t>Organisation grecque des droits d</w:t>
      </w:r>
      <w:r w:rsidR="0080611A">
        <w:rPr>
          <w:lang w:val="fr-CA"/>
        </w:rPr>
        <w:t>’</w:t>
      </w:r>
      <w:r w:rsidR="008512A4" w:rsidRPr="00B3274C">
        <w:rPr>
          <w:lang w:val="fr-CA"/>
        </w:rPr>
        <w:t>auteur a rédigé une décision ministérielle sur la reproduction des œuvres protégées par un droit d</w:t>
      </w:r>
      <w:r w:rsidR="0080611A">
        <w:rPr>
          <w:lang w:val="fr-CA"/>
        </w:rPr>
        <w:t>’</w:t>
      </w:r>
      <w:r w:rsidR="008512A4" w:rsidRPr="00B3274C">
        <w:rPr>
          <w:lang w:val="fr-CA"/>
        </w:rPr>
        <w:t>auteur à l</w:t>
      </w:r>
      <w:r w:rsidR="0080611A">
        <w:rPr>
          <w:lang w:val="fr-CA"/>
        </w:rPr>
        <w:t>’</w:t>
      </w:r>
      <w:r w:rsidR="008512A4" w:rsidRPr="00B3274C">
        <w:rPr>
          <w:lang w:val="fr-CA"/>
        </w:rPr>
        <w:t>intention des aveugles et des sourds-muets et prévu d</w:t>
      </w:r>
      <w:r w:rsidR="0080611A">
        <w:rPr>
          <w:lang w:val="fr-CA"/>
        </w:rPr>
        <w:t>’</w:t>
      </w:r>
      <w:r w:rsidR="008512A4" w:rsidRPr="00B3274C">
        <w:rPr>
          <w:lang w:val="fr-CA"/>
        </w:rPr>
        <w:t>inclure d</w:t>
      </w:r>
      <w:r w:rsidR="0080611A">
        <w:rPr>
          <w:lang w:val="fr-CA"/>
        </w:rPr>
        <w:t>’</w:t>
      </w:r>
      <w:r w:rsidR="008512A4" w:rsidRPr="00B3274C">
        <w:rPr>
          <w:lang w:val="fr-CA"/>
        </w:rPr>
        <w:t xml:space="preserve">autres catégories </w:t>
      </w:r>
      <w:r w:rsidR="00614BAC">
        <w:rPr>
          <w:lang w:val="fr-CA"/>
        </w:rPr>
        <w:t>de personnes</w:t>
      </w:r>
      <w:r w:rsidR="008512A4" w:rsidRPr="00B3274C">
        <w:rPr>
          <w:lang w:val="fr-CA"/>
        </w:rPr>
        <w:t xml:space="preserve"> handicapées</w:t>
      </w:r>
      <w:r w:rsidR="00FB23D3" w:rsidRPr="00B3274C">
        <w:rPr>
          <w:lang w:val="fr-CA"/>
        </w:rPr>
        <w:t>.</w:t>
      </w:r>
    </w:p>
    <w:p w:rsidR="00FB23D3" w:rsidRPr="00B3274C" w:rsidRDefault="00784DBF" w:rsidP="00BB1F08">
      <w:pPr>
        <w:pStyle w:val="H23G"/>
        <w:rPr>
          <w:lang w:val="fr-CA"/>
        </w:rPr>
      </w:pPr>
      <w:r w:rsidRPr="00B3274C">
        <w:rPr>
          <w:lang w:val="fr-CA"/>
        </w:rPr>
        <w:tab/>
      </w:r>
      <w:r w:rsidR="00BB1F08" w:rsidRPr="00B3274C">
        <w:rPr>
          <w:lang w:val="fr-CA"/>
        </w:rPr>
        <w:t>12.</w:t>
      </w:r>
      <w:r w:rsidRPr="00B3274C">
        <w:rPr>
          <w:lang w:val="fr-CA"/>
        </w:rPr>
        <w:tab/>
      </w:r>
      <w:r w:rsidR="00712D05" w:rsidRPr="00B3274C">
        <w:rPr>
          <w:lang w:val="fr-CA"/>
        </w:rPr>
        <w:t>Activités et mesures visant à garantir la conservation</w:t>
      </w:r>
      <w:r w:rsidR="0080611A">
        <w:rPr>
          <w:lang w:val="fr-CA"/>
        </w:rPr>
        <w:t>,</w:t>
      </w:r>
      <w:r w:rsidR="00712D05" w:rsidRPr="00B3274C">
        <w:rPr>
          <w:lang w:val="fr-CA"/>
        </w:rPr>
        <w:t xml:space="preserve"> le développement et la diffusion de la science et de la culture </w:t>
      </w:r>
    </w:p>
    <w:p w:rsidR="00FB23D3" w:rsidRPr="00B3274C" w:rsidRDefault="00107A47" w:rsidP="00107A47">
      <w:pPr>
        <w:pStyle w:val="SingleTxtG"/>
        <w:rPr>
          <w:bCs/>
          <w:lang w:val="fr-CA"/>
        </w:rPr>
      </w:pPr>
      <w:r w:rsidRPr="00B3274C">
        <w:rPr>
          <w:bCs/>
          <w:lang w:val="fr-CA"/>
        </w:rPr>
        <w:t>343.</w:t>
      </w:r>
      <w:r w:rsidRPr="00B3274C">
        <w:rPr>
          <w:bCs/>
          <w:lang w:val="fr-CA"/>
        </w:rPr>
        <w:tab/>
      </w:r>
      <w:r w:rsidR="008512A4" w:rsidRPr="00B3274C">
        <w:rPr>
          <w:bCs/>
          <w:lang w:val="fr-CA"/>
        </w:rPr>
        <w:t>La Société de diffusion et de promotion du patrimoine culturel grec finance un éventail très étendu d</w:t>
      </w:r>
      <w:r w:rsidR="0080611A">
        <w:rPr>
          <w:bCs/>
          <w:lang w:val="fr-CA"/>
        </w:rPr>
        <w:t>’</w:t>
      </w:r>
      <w:r w:rsidR="008512A4" w:rsidRPr="00B3274C">
        <w:rPr>
          <w:bCs/>
          <w:lang w:val="fr-CA"/>
        </w:rPr>
        <w:t>activités visant à promouvoir et à présenter la culture grecque en Grèce et à l</w:t>
      </w:r>
      <w:r w:rsidR="0080611A">
        <w:rPr>
          <w:bCs/>
          <w:lang w:val="fr-CA"/>
        </w:rPr>
        <w:t>’</w:t>
      </w:r>
      <w:r w:rsidR="008512A4" w:rsidRPr="00B3274C">
        <w:rPr>
          <w:bCs/>
          <w:lang w:val="fr-CA"/>
        </w:rPr>
        <w:t>étranger ainsi qu</w:t>
      </w:r>
      <w:r w:rsidR="0080611A">
        <w:rPr>
          <w:bCs/>
          <w:lang w:val="fr-CA"/>
        </w:rPr>
        <w:t>’</w:t>
      </w:r>
      <w:r w:rsidR="008512A4" w:rsidRPr="00B3274C">
        <w:rPr>
          <w:bCs/>
          <w:lang w:val="fr-CA"/>
        </w:rPr>
        <w:t>un message de paix</w:t>
      </w:r>
      <w:r w:rsidR="0080611A">
        <w:rPr>
          <w:bCs/>
          <w:lang w:val="fr-CA"/>
        </w:rPr>
        <w:t>,</w:t>
      </w:r>
      <w:r w:rsidR="008512A4" w:rsidRPr="00B3274C">
        <w:rPr>
          <w:bCs/>
          <w:lang w:val="fr-CA"/>
        </w:rPr>
        <w:t xml:space="preserve"> de conciliation et de noble concurrence entre les créateurs ou les nouveaux scientifiques. En outre</w:t>
      </w:r>
      <w:r w:rsidR="0080611A">
        <w:rPr>
          <w:bCs/>
          <w:lang w:val="fr-CA"/>
        </w:rPr>
        <w:t>,</w:t>
      </w:r>
      <w:r w:rsidR="008512A4" w:rsidRPr="00B3274C">
        <w:rPr>
          <w:bCs/>
          <w:lang w:val="fr-CA"/>
        </w:rPr>
        <w:t xml:space="preserve"> la loi </w:t>
      </w:r>
      <w:r w:rsidR="00D65EDD" w:rsidRPr="00B3274C">
        <w:rPr>
          <w:lang w:val="fr-CA"/>
        </w:rPr>
        <w:t>n</w:t>
      </w:r>
      <w:r w:rsidR="00D65EDD" w:rsidRPr="00B3274C">
        <w:rPr>
          <w:vertAlign w:val="superscript"/>
          <w:lang w:val="fr-CA"/>
        </w:rPr>
        <w:t>o</w:t>
      </w:r>
      <w:r w:rsidR="00D65EDD" w:rsidRPr="00B3274C">
        <w:rPr>
          <w:lang w:val="fr-CA"/>
        </w:rPr>
        <w:t> </w:t>
      </w:r>
      <w:r w:rsidR="00FB23D3" w:rsidRPr="00B3274C">
        <w:rPr>
          <w:lang w:val="fr-CA"/>
        </w:rPr>
        <w:t xml:space="preserve">3525/2007 </w:t>
      </w:r>
      <w:r w:rsidR="008512A4" w:rsidRPr="00B3274C">
        <w:rPr>
          <w:lang w:val="fr-CA"/>
        </w:rPr>
        <w:t xml:space="preserve">sur le parrainage culturel prévoit des récompenses et des incitations morales visant à encourager les parrains potentiels. </w:t>
      </w:r>
    </w:p>
    <w:p w:rsidR="00FB23D3" w:rsidRPr="00B3274C" w:rsidRDefault="00784DBF" w:rsidP="00BB1F08">
      <w:pPr>
        <w:pStyle w:val="H23G"/>
        <w:rPr>
          <w:lang w:val="fr-CA"/>
        </w:rPr>
      </w:pPr>
      <w:r w:rsidRPr="00B3274C">
        <w:rPr>
          <w:lang w:val="fr-CA"/>
        </w:rPr>
        <w:tab/>
      </w:r>
      <w:r w:rsidR="00BB1F08" w:rsidRPr="00B3274C">
        <w:rPr>
          <w:lang w:val="fr-CA"/>
        </w:rPr>
        <w:t>13.</w:t>
      </w:r>
      <w:r w:rsidRPr="00B3274C">
        <w:rPr>
          <w:lang w:val="fr-CA"/>
        </w:rPr>
        <w:tab/>
      </w:r>
      <w:r w:rsidR="00712D05" w:rsidRPr="00B3274C">
        <w:rPr>
          <w:lang w:val="fr-CA"/>
        </w:rPr>
        <w:t xml:space="preserve">Autres mesures concrètes </w:t>
      </w:r>
    </w:p>
    <w:p w:rsidR="00FB23D3" w:rsidRPr="00B3274C" w:rsidRDefault="00107A47" w:rsidP="00107A47">
      <w:pPr>
        <w:pStyle w:val="SingleTxtG"/>
        <w:rPr>
          <w:lang w:val="fr-CA"/>
        </w:rPr>
      </w:pPr>
      <w:r w:rsidRPr="00B3274C">
        <w:rPr>
          <w:lang w:val="fr-CA"/>
        </w:rPr>
        <w:t>344.</w:t>
      </w:r>
      <w:r w:rsidRPr="00B3274C">
        <w:rPr>
          <w:lang w:val="fr-CA"/>
        </w:rPr>
        <w:tab/>
      </w:r>
      <w:r w:rsidR="00697551" w:rsidRPr="00B3274C">
        <w:rPr>
          <w:lang w:val="fr-CA"/>
        </w:rPr>
        <w:t>En étant membre des organes compétents des organisations internationales (Union européenne</w:t>
      </w:r>
      <w:r w:rsidR="0080611A">
        <w:rPr>
          <w:lang w:val="fr-CA"/>
        </w:rPr>
        <w:t>,</w:t>
      </w:r>
      <w:r w:rsidR="00697551" w:rsidRPr="00B3274C">
        <w:rPr>
          <w:lang w:val="fr-CA"/>
        </w:rPr>
        <w:t xml:space="preserve"> U</w:t>
      </w:r>
      <w:r w:rsidR="00D77B4D" w:rsidRPr="00B3274C">
        <w:rPr>
          <w:lang w:val="fr-CA"/>
        </w:rPr>
        <w:t>NESCO</w:t>
      </w:r>
      <w:r w:rsidR="0080611A">
        <w:rPr>
          <w:lang w:val="fr-CA"/>
        </w:rPr>
        <w:t>,</w:t>
      </w:r>
      <w:r w:rsidR="00697551" w:rsidRPr="00B3274C">
        <w:rPr>
          <w:lang w:val="fr-CA"/>
        </w:rPr>
        <w:t xml:space="preserve"> Conseil de l</w:t>
      </w:r>
      <w:r w:rsidR="0080611A">
        <w:rPr>
          <w:lang w:val="fr-CA"/>
        </w:rPr>
        <w:t>’</w:t>
      </w:r>
      <w:r w:rsidR="00697551" w:rsidRPr="00B3274C">
        <w:rPr>
          <w:lang w:val="fr-CA"/>
        </w:rPr>
        <w:t>Europe</w:t>
      </w:r>
      <w:r w:rsidR="0080611A">
        <w:rPr>
          <w:lang w:val="fr-CA"/>
        </w:rPr>
        <w:t>,</w:t>
      </w:r>
      <w:r w:rsidR="00697551" w:rsidRPr="00B3274C">
        <w:rPr>
          <w:lang w:val="fr-CA"/>
        </w:rPr>
        <w:t xml:space="preserve"> Centre international d</w:t>
      </w:r>
      <w:r w:rsidR="0080611A">
        <w:rPr>
          <w:lang w:val="fr-CA"/>
        </w:rPr>
        <w:t>’</w:t>
      </w:r>
      <w:r w:rsidR="00697551" w:rsidRPr="00B3274C">
        <w:rPr>
          <w:lang w:val="fr-CA"/>
        </w:rPr>
        <w:t>études pour la conservation et la restauration des biens culturels</w:t>
      </w:r>
      <w:r w:rsidR="0080611A">
        <w:rPr>
          <w:lang w:val="fr-CA"/>
        </w:rPr>
        <w:t>,</w:t>
      </w:r>
      <w:r w:rsidR="00697551" w:rsidRPr="00B3274C">
        <w:rPr>
          <w:lang w:val="fr-CA"/>
        </w:rPr>
        <w:t xml:space="preserve"> Conseil international des musées</w:t>
      </w:r>
      <w:r w:rsidR="0080611A">
        <w:rPr>
          <w:lang w:val="fr-CA"/>
        </w:rPr>
        <w:t>,</w:t>
      </w:r>
      <w:r w:rsidR="00697551" w:rsidRPr="00B3274C">
        <w:rPr>
          <w:lang w:val="fr-CA"/>
        </w:rPr>
        <w:t xml:space="preserve"> Conseil international des monuments et des sites) et par le biais d</w:t>
      </w:r>
      <w:r w:rsidR="0080611A">
        <w:rPr>
          <w:lang w:val="fr-CA"/>
        </w:rPr>
        <w:t>’</w:t>
      </w:r>
      <w:r w:rsidR="00697551" w:rsidRPr="00B3274C">
        <w:rPr>
          <w:lang w:val="fr-CA"/>
        </w:rPr>
        <w:t>une coopération régionale (Partenariat euroméditerranéen du Processus de Barcelone</w:t>
      </w:r>
      <w:r w:rsidR="0080611A">
        <w:rPr>
          <w:lang w:val="fr-CA"/>
        </w:rPr>
        <w:t>,</w:t>
      </w:r>
      <w:r w:rsidR="00697551" w:rsidRPr="00B3274C">
        <w:rPr>
          <w:lang w:val="fr-CA"/>
        </w:rPr>
        <w:t xml:space="preserve"> Initiative </w:t>
      </w:r>
      <w:r w:rsidR="0055418C" w:rsidRPr="00B3274C">
        <w:rPr>
          <w:lang w:val="fr-CA"/>
        </w:rPr>
        <w:t>«</w:t>
      </w:r>
      <w:r w:rsidR="00697551" w:rsidRPr="00B3274C">
        <w:rPr>
          <w:lang w:val="fr-CA"/>
        </w:rPr>
        <w:t>Mers adriatique et ionienne</w:t>
      </w:r>
      <w:r w:rsidR="0055418C" w:rsidRPr="00B3274C">
        <w:rPr>
          <w:lang w:val="fr-CA"/>
        </w:rPr>
        <w:t>»</w:t>
      </w:r>
      <w:r w:rsidR="0080611A">
        <w:rPr>
          <w:lang w:val="fr-CA"/>
        </w:rPr>
        <w:t>,</w:t>
      </w:r>
      <w:r w:rsidR="00697551" w:rsidRPr="00B3274C">
        <w:rPr>
          <w:lang w:val="fr-CA"/>
        </w:rPr>
        <w:t xml:space="preserve"> Conseil des ministres de la culture de l</w:t>
      </w:r>
      <w:r w:rsidR="0080611A">
        <w:rPr>
          <w:lang w:val="fr-CA"/>
        </w:rPr>
        <w:t>’</w:t>
      </w:r>
      <w:r w:rsidR="00F74650" w:rsidRPr="00B3274C">
        <w:rPr>
          <w:lang w:val="fr-CA"/>
        </w:rPr>
        <w:t>Europe du Sud-E</w:t>
      </w:r>
      <w:r w:rsidR="00697551" w:rsidRPr="00B3274C">
        <w:rPr>
          <w:lang w:val="fr-CA"/>
        </w:rPr>
        <w:t>st</w:t>
      </w:r>
      <w:r w:rsidR="0080611A">
        <w:rPr>
          <w:lang w:val="fr-CA"/>
        </w:rPr>
        <w:t>,</w:t>
      </w:r>
      <w:r w:rsidR="00697551" w:rsidRPr="00B3274C">
        <w:rPr>
          <w:lang w:val="fr-CA"/>
        </w:rPr>
        <w:t xml:space="preserve"> </w:t>
      </w:r>
      <w:r w:rsidR="00D836C7" w:rsidRPr="00B3274C">
        <w:rPr>
          <w:lang w:val="fr-CA"/>
        </w:rPr>
        <w:t>Organisation de c</w:t>
      </w:r>
      <w:r w:rsidR="00697551" w:rsidRPr="00B3274C">
        <w:rPr>
          <w:lang w:val="fr-CA"/>
        </w:rPr>
        <w:t>oopération économique de la mer Noire</w:t>
      </w:r>
      <w:r w:rsidR="0080611A">
        <w:rPr>
          <w:lang w:val="fr-CA"/>
        </w:rPr>
        <w:t>,</w:t>
      </w:r>
      <w:r w:rsidR="00697551" w:rsidRPr="00B3274C">
        <w:rPr>
          <w:lang w:val="fr-CA"/>
        </w:rPr>
        <w:t xml:space="preserve"> Sommet des chefs d</w:t>
      </w:r>
      <w:r w:rsidR="0080611A">
        <w:rPr>
          <w:lang w:val="fr-CA"/>
        </w:rPr>
        <w:t>’</w:t>
      </w:r>
      <w:r w:rsidR="00697551" w:rsidRPr="00B3274C">
        <w:rPr>
          <w:lang w:val="fr-CA"/>
        </w:rPr>
        <w:t>État de l</w:t>
      </w:r>
      <w:r w:rsidR="0080611A">
        <w:rPr>
          <w:lang w:val="fr-CA"/>
        </w:rPr>
        <w:t>’</w:t>
      </w:r>
      <w:r w:rsidR="00F74650" w:rsidRPr="00B3274C">
        <w:rPr>
          <w:lang w:val="fr-CA"/>
        </w:rPr>
        <w:t>Europe du Sud-E</w:t>
      </w:r>
      <w:r w:rsidR="00697551" w:rsidRPr="00B3274C">
        <w:rPr>
          <w:lang w:val="fr-CA"/>
        </w:rPr>
        <w:t>st</w:t>
      </w:r>
      <w:r w:rsidR="0080611A">
        <w:rPr>
          <w:lang w:val="fr-CA"/>
        </w:rPr>
        <w:t>,</w:t>
      </w:r>
      <w:r w:rsidR="00697551" w:rsidRPr="00B3274C">
        <w:rPr>
          <w:lang w:val="fr-CA"/>
        </w:rPr>
        <w:t xml:space="preserve"> Conférence ministérielle annuelle sur le patrimoine culturel sur le thème </w:t>
      </w:r>
      <w:r w:rsidR="0055418C" w:rsidRPr="00B3274C">
        <w:rPr>
          <w:lang w:val="fr-CA"/>
        </w:rPr>
        <w:t>«</w:t>
      </w:r>
      <w:r w:rsidR="00F74650" w:rsidRPr="00B3274C">
        <w:rPr>
          <w:lang w:val="fr-CA"/>
        </w:rPr>
        <w:t>Patrimoine culturel – un pont vers un avenir partagé</w:t>
      </w:r>
      <w:r w:rsidR="0055418C" w:rsidRPr="00B3274C">
        <w:rPr>
          <w:lang w:val="fr-CA"/>
        </w:rPr>
        <w:t>»</w:t>
      </w:r>
      <w:r w:rsidR="00F74650" w:rsidRPr="00B3274C">
        <w:rPr>
          <w:lang w:val="fr-CA"/>
        </w:rPr>
        <w:t>)</w:t>
      </w:r>
      <w:r w:rsidR="0080611A">
        <w:rPr>
          <w:lang w:val="fr-CA"/>
        </w:rPr>
        <w:t>,</w:t>
      </w:r>
      <w:r w:rsidR="00FB23D3" w:rsidRPr="00B3274C">
        <w:rPr>
          <w:lang w:val="fr-CA"/>
        </w:rPr>
        <w:t xml:space="preserve"> </w:t>
      </w:r>
      <w:r w:rsidR="006C49AB" w:rsidRPr="00B3274C">
        <w:rPr>
          <w:lang w:val="fr-CA"/>
        </w:rPr>
        <w:t>le Ministère de l</w:t>
      </w:r>
      <w:r w:rsidR="0080611A">
        <w:rPr>
          <w:lang w:val="fr-CA"/>
        </w:rPr>
        <w:t>’</w:t>
      </w:r>
      <w:r w:rsidR="006C49AB" w:rsidRPr="00B3274C">
        <w:rPr>
          <w:lang w:val="fr-CA"/>
        </w:rPr>
        <w:t>éducation et des affaires religieuses</w:t>
      </w:r>
      <w:r w:rsidR="0080611A">
        <w:rPr>
          <w:lang w:val="fr-CA"/>
        </w:rPr>
        <w:t>,</w:t>
      </w:r>
      <w:r w:rsidR="006C49AB" w:rsidRPr="00B3274C">
        <w:rPr>
          <w:lang w:val="fr-CA"/>
        </w:rPr>
        <w:t xml:space="preserve"> de la c</w:t>
      </w:r>
      <w:r w:rsidR="00B8569D" w:rsidRPr="00B3274C">
        <w:rPr>
          <w:lang w:val="fr-CA"/>
        </w:rPr>
        <w:t>ulture et des sports participe</w:t>
      </w:r>
      <w:r w:rsidR="006C49AB" w:rsidRPr="00B3274C">
        <w:rPr>
          <w:lang w:val="fr-CA"/>
        </w:rPr>
        <w:t xml:space="preserve"> à des programmes culturels multilatéraux et développe la coopération et le dialogue internationaux et régionaux</w:t>
      </w:r>
      <w:r w:rsidR="0080611A">
        <w:rPr>
          <w:lang w:val="fr-CA"/>
        </w:rPr>
        <w:t>,</w:t>
      </w:r>
      <w:r w:rsidR="006C49AB" w:rsidRPr="00B3274C">
        <w:rPr>
          <w:lang w:val="fr-CA"/>
        </w:rPr>
        <w:t xml:space="preserve"> ce qui renforce les échanges dans tous les secteurs de la culture. Au travers de cette coopération</w:t>
      </w:r>
      <w:r w:rsidR="0080611A">
        <w:rPr>
          <w:lang w:val="fr-CA"/>
        </w:rPr>
        <w:t>,</w:t>
      </w:r>
      <w:r w:rsidR="006C49AB" w:rsidRPr="00B3274C">
        <w:rPr>
          <w:lang w:val="fr-CA"/>
        </w:rPr>
        <w:t xml:space="preserve"> il encourage les organismes culturels et les citoyens à participer à la vie culturelle internationale</w:t>
      </w:r>
      <w:r w:rsidR="00FB23D3" w:rsidRPr="00B3274C">
        <w:rPr>
          <w:lang w:val="fr-CA"/>
        </w:rPr>
        <w:t>.</w:t>
      </w:r>
    </w:p>
    <w:p w:rsidR="001C6663" w:rsidRPr="00B3274C" w:rsidRDefault="00055317" w:rsidP="00055317">
      <w:pPr>
        <w:spacing w:before="240"/>
        <w:ind w:left="1134" w:right="1134"/>
        <w:jc w:val="center"/>
        <w:rPr>
          <w:u w:val="single"/>
          <w:lang w:val="fr-CA"/>
        </w:rPr>
      </w:pPr>
      <w:r w:rsidRPr="00B3274C">
        <w:rPr>
          <w:u w:val="single"/>
          <w:lang w:val="fr-CA"/>
        </w:rPr>
        <w:tab/>
      </w:r>
      <w:r w:rsidRPr="00B3274C">
        <w:rPr>
          <w:u w:val="single"/>
          <w:lang w:val="fr-CA"/>
        </w:rPr>
        <w:tab/>
      </w:r>
      <w:r w:rsidRPr="00B3274C">
        <w:rPr>
          <w:u w:val="single"/>
          <w:lang w:val="fr-CA"/>
        </w:rPr>
        <w:tab/>
      </w:r>
    </w:p>
    <w:sectPr w:rsidR="001C6663" w:rsidRPr="00B3274C" w:rsidSect="004600A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519" w:rsidRDefault="008E7519"/>
  </w:endnote>
  <w:endnote w:type="continuationSeparator" w:id="0">
    <w:p w:rsidR="008E7519" w:rsidRDefault="008E7519"/>
  </w:endnote>
  <w:endnote w:type="continuationNotice" w:id="1">
    <w:p w:rsidR="008E7519" w:rsidRDefault="008E751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AC" w:rsidRPr="007B4972" w:rsidRDefault="003311AC" w:rsidP="004600AD">
    <w:pPr>
      <w:pStyle w:val="Footer"/>
      <w:tabs>
        <w:tab w:val="right" w:pos="9638"/>
      </w:tabs>
      <w:rPr>
        <w:szCs w:val="16"/>
      </w:rPr>
    </w:pPr>
    <w:r w:rsidRPr="004600AD">
      <w:rPr>
        <w:b/>
        <w:sz w:val="18"/>
      </w:rPr>
      <w:fldChar w:fldCharType="begin"/>
    </w:r>
    <w:r w:rsidRPr="004600AD">
      <w:rPr>
        <w:b/>
        <w:sz w:val="18"/>
      </w:rPr>
      <w:instrText xml:space="preserve"> PAGE  \* MERGEFORMAT </w:instrText>
    </w:r>
    <w:r w:rsidRPr="004600AD">
      <w:rPr>
        <w:b/>
        <w:sz w:val="18"/>
      </w:rPr>
      <w:fldChar w:fldCharType="separate"/>
    </w:r>
    <w:r w:rsidR="002744B6">
      <w:rPr>
        <w:b/>
        <w:noProof/>
        <w:sz w:val="18"/>
      </w:rPr>
      <w:t>20</w:t>
    </w:r>
    <w:r w:rsidRPr="004600AD">
      <w:rPr>
        <w:b/>
        <w:sz w:val="18"/>
      </w:rPr>
      <w:fldChar w:fldCharType="end"/>
    </w:r>
    <w:r>
      <w:rPr>
        <w:sz w:val="18"/>
      </w:rPr>
      <w:tab/>
    </w:r>
    <w:r w:rsidRPr="007B4972">
      <w:rPr>
        <w:szCs w:val="16"/>
      </w:rPr>
      <w:t>GE.13-49731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AC" w:rsidRPr="004600AD" w:rsidRDefault="003311AC" w:rsidP="004600AD">
    <w:pPr>
      <w:pStyle w:val="Footer"/>
      <w:tabs>
        <w:tab w:val="right" w:pos="9638"/>
      </w:tabs>
      <w:rPr>
        <w:b/>
        <w:sz w:val="18"/>
      </w:rPr>
    </w:pPr>
    <w:r w:rsidRPr="007B4972">
      <w:rPr>
        <w:szCs w:val="16"/>
      </w:rPr>
      <w:t>GE.13-49731  (EXT)</w:t>
    </w:r>
    <w:r>
      <w:tab/>
    </w:r>
    <w:r w:rsidRPr="004600AD">
      <w:rPr>
        <w:b/>
        <w:sz w:val="18"/>
      </w:rPr>
      <w:fldChar w:fldCharType="begin"/>
    </w:r>
    <w:r w:rsidRPr="004600AD">
      <w:rPr>
        <w:b/>
        <w:sz w:val="18"/>
      </w:rPr>
      <w:instrText xml:space="preserve"> PAGE  \* MERGEFORMAT </w:instrText>
    </w:r>
    <w:r w:rsidRPr="004600AD">
      <w:rPr>
        <w:b/>
        <w:sz w:val="18"/>
      </w:rPr>
      <w:fldChar w:fldCharType="separate"/>
    </w:r>
    <w:r w:rsidR="002744B6">
      <w:rPr>
        <w:b/>
        <w:noProof/>
        <w:sz w:val="18"/>
      </w:rPr>
      <w:t>21</w:t>
    </w:r>
    <w:r w:rsidRPr="004600A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AC" w:rsidRDefault="003311AC" w:rsidP="001552C0">
    <w:pPr>
      <w:spacing w:before="240" w:line="240" w:lineRule="auto"/>
      <w:rPr>
        <w:lang w:val="fr-FR" w:eastAsia="fr-FR"/>
      </w:rPr>
    </w:pPr>
    <w:r w:rsidRPr="00B3274C">
      <w:rPr>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40.15pt;margin-top:651.95pt;width:86.95pt;height:18.35pt;z-index:1;mso-position-horizontal-relative:margin;mso-position-vertical-relative:margin">
          <v:imagedata r:id="rId1" o:title="recycle_French"/>
          <w10:wrap anchorx="margin" anchory="margin"/>
        </v:shape>
      </w:pict>
    </w:r>
    <w:r>
      <w:rPr>
        <w:lang w:val="fr-FR" w:eastAsia="fr-FR"/>
      </w:rPr>
      <w:t>GE.13-49731  (EXT)</w:t>
    </w:r>
  </w:p>
  <w:p w:rsidR="001552C0" w:rsidRPr="001552C0" w:rsidRDefault="001552C0" w:rsidP="001552C0">
    <w:pPr>
      <w:spacing w:line="240" w:lineRule="auto"/>
      <w:rPr>
        <w:rFonts w:ascii="C39T30Lfz" w:hAnsi="C39T30Lfz"/>
        <w:sz w:val="56"/>
        <w:lang w:val="fr-FR" w:eastAsia="fr-FR"/>
      </w:rPr>
    </w:pPr>
    <w:r>
      <w:rPr>
        <w:rFonts w:ascii="C39T30Lfz" w:hAnsi="C39T30Lfz"/>
        <w:sz w:val="56"/>
        <w:lang w:val="fr-FR" w:eastAsia="fr-FR"/>
      </w:rPr>
      <w:t></w:t>
    </w:r>
    <w:r>
      <w:rPr>
        <w:rFonts w:ascii="C39T30Lfz" w:hAnsi="C39T30Lfz"/>
        <w:sz w:val="56"/>
        <w:lang w:val="fr-FR" w:eastAsia="fr-FR"/>
      </w:rPr>
      <w:t></w:t>
    </w:r>
    <w:r>
      <w:rPr>
        <w:rFonts w:ascii="C39T30Lfz" w:hAnsi="C39T30Lfz"/>
        <w:sz w:val="56"/>
        <w:lang w:val="fr-FR" w:eastAsia="fr-FR"/>
      </w:rPr>
      <w:t></w:t>
    </w:r>
    <w:r>
      <w:rPr>
        <w:rFonts w:ascii="C39T30Lfz" w:hAnsi="C39T30Lfz"/>
        <w:sz w:val="56"/>
        <w:lang w:val="fr-FR" w:eastAsia="fr-FR"/>
      </w:rPr>
      <w:t></w:t>
    </w:r>
    <w:r>
      <w:rPr>
        <w:rFonts w:ascii="C39T30Lfz" w:hAnsi="C39T30Lfz"/>
        <w:sz w:val="56"/>
        <w:lang w:val="fr-FR" w:eastAsia="fr-FR"/>
      </w:rPr>
      <w:t></w:t>
    </w:r>
    <w:r>
      <w:rPr>
        <w:rFonts w:ascii="C39T30Lfz" w:hAnsi="C39T30Lfz"/>
        <w:sz w:val="56"/>
        <w:lang w:val="fr-FR" w:eastAsia="fr-FR"/>
      </w:rPr>
      <w:t></w:t>
    </w:r>
    <w:r>
      <w:rPr>
        <w:rFonts w:ascii="C39T30Lfz" w:hAnsi="C39T30Lfz"/>
        <w:sz w:val="56"/>
        <w:lang w:val="fr-FR" w:eastAsia="fr-FR"/>
      </w:rPr>
      <w:t></w:t>
    </w:r>
    <w:r>
      <w:rPr>
        <w:rFonts w:ascii="C39T30Lfz" w:hAnsi="C39T30Lfz"/>
        <w:sz w:val="56"/>
        <w:lang w:val="fr-FR" w:eastAsia="fr-FR"/>
      </w:rPr>
      <w:t></w:t>
    </w:r>
    <w:r>
      <w:rPr>
        <w:rFonts w:ascii="C39T30Lfz" w:hAnsi="C39T30Lfz"/>
        <w:sz w:val="56"/>
        <w:lang w:val="fr-FR" w:eastAsia="fr-FR"/>
      </w:rPr>
      <w:t></w:t>
    </w:r>
    <w:r>
      <w:rPr>
        <w:rFonts w:ascii="C39T30Lfz" w:hAnsi="C39T30Lfz"/>
        <w:noProof/>
        <w:sz w:val="56"/>
        <w:lang w:val="en-US" w:eastAsia="zh-CN"/>
      </w:rPr>
      <w:pict>
        <v:shape id="_x0000_s2059" type="#_x0000_t75" style="position:absolute;margin-left:432.25pt;margin-top:632.1pt;width:50.25pt;height:50.25pt;z-index:2;mso-position-horizontal-relative:margin;mso-position-vertical-relative:margin">
          <v:imagedata r:id="rId2" o:title="2&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519" w:rsidRPr="000B175B" w:rsidRDefault="008E7519" w:rsidP="000B175B">
      <w:pPr>
        <w:tabs>
          <w:tab w:val="right" w:pos="2155"/>
        </w:tabs>
        <w:spacing w:after="80"/>
        <w:ind w:left="680"/>
        <w:rPr>
          <w:u w:val="single"/>
        </w:rPr>
      </w:pPr>
      <w:r>
        <w:rPr>
          <w:u w:val="single"/>
        </w:rPr>
        <w:tab/>
      </w:r>
    </w:p>
  </w:footnote>
  <w:footnote w:type="continuationSeparator" w:id="0">
    <w:p w:rsidR="008E7519" w:rsidRPr="00FC68B7" w:rsidRDefault="008E7519" w:rsidP="00FC68B7">
      <w:pPr>
        <w:tabs>
          <w:tab w:val="left" w:pos="2155"/>
        </w:tabs>
        <w:spacing w:after="80"/>
        <w:ind w:left="680"/>
        <w:rPr>
          <w:u w:val="single"/>
        </w:rPr>
      </w:pPr>
      <w:r>
        <w:rPr>
          <w:u w:val="single"/>
        </w:rPr>
        <w:tab/>
      </w:r>
    </w:p>
  </w:footnote>
  <w:footnote w:type="continuationNotice" w:id="1">
    <w:p w:rsidR="008E7519" w:rsidRDefault="008E7519"/>
  </w:footnote>
  <w:footnote w:id="2">
    <w:p w:rsidR="003311AC" w:rsidRPr="00A64152" w:rsidRDefault="003311AC" w:rsidP="006D1C93">
      <w:pPr>
        <w:pStyle w:val="FootnoteText"/>
      </w:pPr>
      <w:r>
        <w:rPr>
          <w:sz w:val="20"/>
        </w:rPr>
        <w:tab/>
      </w:r>
      <w:r w:rsidRPr="00A64152">
        <w:rPr>
          <w:rStyle w:val="FootnoteReference"/>
          <w:sz w:val="20"/>
          <w:vertAlign w:val="baseline"/>
        </w:rPr>
        <w:t>*</w:t>
      </w:r>
      <w:r w:rsidRPr="00A64152">
        <w:rPr>
          <w:sz w:val="20"/>
        </w:rPr>
        <w:tab/>
      </w:r>
      <w:r w:rsidRPr="00A64152">
        <w:rPr>
          <w:color w:val="000000"/>
        </w:rPr>
        <w:t>Le prése</w:t>
      </w:r>
      <w:r>
        <w:rPr>
          <w:color w:val="000000"/>
        </w:rPr>
        <w:t>nt document n’a pas fait l’objet d’une relecture sur le fond par les services d’édition</w:t>
      </w:r>
      <w:r w:rsidRPr="00A64152">
        <w:rPr>
          <w:szCs w:val="18"/>
        </w:rPr>
        <w:t>.</w:t>
      </w:r>
    </w:p>
  </w:footnote>
  <w:footnote w:id="3">
    <w:p w:rsidR="003311AC" w:rsidRPr="00A810CA" w:rsidRDefault="003311AC" w:rsidP="008F45C1">
      <w:pPr>
        <w:pStyle w:val="FootnoteText"/>
        <w:rPr>
          <w:szCs w:val="18"/>
        </w:rPr>
      </w:pPr>
      <w:r w:rsidRPr="00A64152">
        <w:tab/>
      </w:r>
      <w:r w:rsidRPr="00A810CA">
        <w:rPr>
          <w:rStyle w:val="FootnoteReference"/>
          <w:sz w:val="20"/>
          <w:vertAlign w:val="baseline"/>
        </w:rPr>
        <w:t>**</w:t>
      </w:r>
      <w:r w:rsidRPr="00A810CA">
        <w:rPr>
          <w:sz w:val="20"/>
        </w:rPr>
        <w:tab/>
      </w:r>
      <w:r w:rsidRPr="00A810CA">
        <w:rPr>
          <w:szCs w:val="18"/>
        </w:rPr>
        <w:t>Les annexes peuvent être consultées dans les archives du secrétariat.</w:t>
      </w:r>
    </w:p>
  </w:footnote>
  <w:footnote w:id="4">
    <w:p w:rsidR="003311AC" w:rsidRPr="002C1765" w:rsidRDefault="003311AC" w:rsidP="00F547F8">
      <w:pPr>
        <w:pStyle w:val="FootnoteText"/>
      </w:pPr>
      <w:r w:rsidRPr="00A810CA">
        <w:tab/>
      </w:r>
      <w:r>
        <w:rPr>
          <w:rStyle w:val="FootnoteReference"/>
        </w:rPr>
        <w:footnoteRef/>
      </w:r>
      <w:r w:rsidRPr="008B0FD9">
        <w:tab/>
        <w:t xml:space="preserve">La mise en œuvre du Programme annuel du </w:t>
      </w:r>
      <w:r>
        <w:t>FER</w:t>
      </w:r>
      <w:r w:rsidRPr="008B0FD9">
        <w:t xml:space="preserve"> pour 2011 est toujours en cours. </w:t>
      </w:r>
      <w:r>
        <w:t xml:space="preserve">Les chiffres ci-dessus représentent la somme absorbée à ce jour. </w:t>
      </w:r>
    </w:p>
  </w:footnote>
  <w:footnote w:id="5">
    <w:p w:rsidR="003311AC" w:rsidRPr="008B0FD9" w:rsidRDefault="003311AC" w:rsidP="000E718B">
      <w:pPr>
        <w:pStyle w:val="FootnoteText"/>
        <w:rPr>
          <w:szCs w:val="18"/>
        </w:rPr>
      </w:pPr>
      <w:r w:rsidRPr="002C1765">
        <w:tab/>
      </w:r>
      <w:r>
        <w:rPr>
          <w:rStyle w:val="FootnoteReference"/>
        </w:rPr>
        <w:footnoteRef/>
      </w:r>
      <w:r w:rsidRPr="008B0FD9">
        <w:tab/>
        <w:t>L</w:t>
      </w:r>
      <w:r>
        <w:t>’</w:t>
      </w:r>
      <w:r w:rsidRPr="008B0FD9">
        <w:t>application des Mesures d</w:t>
      </w:r>
      <w:r>
        <w:t>’</w:t>
      </w:r>
      <w:r w:rsidRPr="008B0FD9">
        <w:t xml:space="preserve">urgence pour 2011 est toujours en cours. </w:t>
      </w:r>
      <w:r>
        <w:t xml:space="preserve">Les chiffres ci-dessus représentent la somme absorbée jusqu’à présent. </w:t>
      </w:r>
    </w:p>
  </w:footnote>
  <w:footnote w:id="6">
    <w:p w:rsidR="003311AC" w:rsidRPr="00A72FD9" w:rsidRDefault="003311AC" w:rsidP="000E718B">
      <w:pPr>
        <w:pStyle w:val="FootnoteText"/>
      </w:pPr>
      <w:r w:rsidRPr="008B0FD9">
        <w:tab/>
      </w:r>
      <w:r>
        <w:rPr>
          <w:rStyle w:val="FootnoteReference"/>
        </w:rPr>
        <w:footnoteRef/>
      </w:r>
      <w:r w:rsidRPr="00A72FD9">
        <w:tab/>
        <w:t xml:space="preserve">Décision ministérielle conjointe </w:t>
      </w:r>
      <w:r>
        <w:rPr>
          <w:lang w:val="fr-CA"/>
        </w:rPr>
        <w:t>n</w:t>
      </w:r>
      <w:r w:rsidRPr="00136426">
        <w:rPr>
          <w:vertAlign w:val="superscript"/>
          <w:lang w:val="fr-CA"/>
        </w:rPr>
        <w:t>o</w:t>
      </w:r>
      <w:r>
        <w:rPr>
          <w:lang w:val="fr-CA"/>
        </w:rPr>
        <w:t> </w:t>
      </w:r>
      <w:r w:rsidRPr="00A72FD9">
        <w:t>33165</w:t>
      </w:r>
      <w:r>
        <w:t xml:space="preserve"> du 23 juin </w:t>
      </w:r>
      <w:r w:rsidRPr="00A72FD9">
        <w:t xml:space="preserve">2006 </w:t>
      </w:r>
      <w:r>
        <w:t>prise par les</w:t>
      </w:r>
      <w:r w:rsidRPr="00A72FD9">
        <w:t xml:space="preserve"> ministres de l</w:t>
      </w:r>
      <w:r>
        <w:t>’</w:t>
      </w:r>
      <w:r w:rsidRPr="00A72FD9">
        <w:t>intérieur</w:t>
      </w:r>
      <w:r>
        <w:t>,</w:t>
      </w:r>
      <w:r w:rsidRPr="00A72FD9">
        <w:t xml:space="preserve"> de l</w:t>
      </w:r>
      <w:r>
        <w:t>’</w:t>
      </w:r>
      <w:r w:rsidRPr="00A72FD9">
        <w:t>économie et des finances (OG780/B).</w:t>
      </w:r>
    </w:p>
  </w:footnote>
  <w:footnote w:id="7">
    <w:p w:rsidR="003311AC" w:rsidRPr="00AF3F9F" w:rsidRDefault="003311AC" w:rsidP="00F913AD">
      <w:pPr>
        <w:pStyle w:val="FootnoteText"/>
      </w:pPr>
      <w:r w:rsidRPr="00A72FD9">
        <w:tab/>
      </w:r>
      <w:r>
        <w:rPr>
          <w:rStyle w:val="FootnoteReference"/>
        </w:rPr>
        <w:footnoteRef/>
      </w:r>
      <w:r w:rsidRPr="00AF3F9F">
        <w:tab/>
        <w:t>Le terme est utilisé</w:t>
      </w:r>
      <w:r>
        <w:t xml:space="preserve"> eu égard à leur besoin</w:t>
      </w:r>
      <w:r w:rsidRPr="00AF3F9F">
        <w:t xml:space="preserve"> d</w:t>
      </w:r>
      <w:r>
        <w:t>’</w:t>
      </w:r>
      <w:r w:rsidRPr="00AF3F9F">
        <w:t>un accès effectif aux droits découlant du projet spécifique.</w:t>
      </w:r>
    </w:p>
  </w:footnote>
  <w:footnote w:id="8">
    <w:p w:rsidR="003311AC" w:rsidRDefault="003311AC" w:rsidP="002261F0">
      <w:pPr>
        <w:pStyle w:val="FootnoteText"/>
      </w:pPr>
      <w:r w:rsidRPr="00AF3F9F">
        <w:tab/>
      </w:r>
      <w:r>
        <w:rPr>
          <w:rStyle w:val="FootnoteReference"/>
        </w:rPr>
        <w:footnoteRef/>
      </w:r>
      <w:r w:rsidRPr="00D07C3E">
        <w:tab/>
        <w:t>En ce qui concerne la suppression des expulsions illégales</w:t>
      </w:r>
      <w:r>
        <w:t>,</w:t>
      </w:r>
      <w:r w:rsidRPr="00D07C3E">
        <w:t xml:space="preserve"> le Ministère de l</w:t>
      </w:r>
      <w:r>
        <w:t>’</w:t>
      </w:r>
      <w:r w:rsidRPr="00D07C3E">
        <w:t>intérieur a présenté une proposition concrète au moment de la rédaction du nouveau</w:t>
      </w:r>
      <w:r>
        <w:t xml:space="preserve"> Cadre </w:t>
      </w:r>
      <w:r w:rsidRPr="00D07C3E">
        <w:t>stratégique</w:t>
      </w:r>
      <w:r>
        <w:t xml:space="preserve">, et notamment des mesures législatives d’appui à adopter pour soutenir et améliorer la mise en œuvre de projets individuels à entreprendre. </w:t>
      </w:r>
      <w:r w:rsidRPr="00F843A8">
        <w:t>Le dispositif à l</w:t>
      </w:r>
      <w:r>
        <w:t>’</w:t>
      </w:r>
      <w:r w:rsidRPr="00F843A8">
        <w:t>examen propose l</w:t>
      </w:r>
      <w:r>
        <w:t>’</w:t>
      </w:r>
      <w:r w:rsidRPr="00F843A8">
        <w:t xml:space="preserve">adoption de garanties procédurales concrètes en termes </w:t>
      </w:r>
      <w:r>
        <w:t>de notification préalable avec un délai suffisant, d’offre</w:t>
      </w:r>
      <w:r w:rsidRPr="00F843A8">
        <w:t xml:space="preserve"> de solutions de remplacement</w:t>
      </w:r>
      <w:r>
        <w:t>,</w:t>
      </w:r>
      <w:r w:rsidRPr="00F843A8">
        <w:t xml:space="preserve"> de consultation des</w:t>
      </w:r>
      <w:r>
        <w:t> personnes</w:t>
      </w:r>
      <w:r w:rsidRPr="00F843A8">
        <w:t xml:space="preserve"> touchées</w:t>
      </w:r>
      <w:r>
        <w:t>,</w:t>
      </w:r>
      <w:r w:rsidRPr="00F843A8">
        <w:t xml:space="preserve"> de respect de</w:t>
      </w:r>
      <w:r>
        <w:t>s</w:t>
      </w:r>
      <w:r w:rsidRPr="00F843A8">
        <w:t xml:space="preserve"> situation</w:t>
      </w:r>
      <w:r>
        <w:t>s</w:t>
      </w:r>
      <w:r w:rsidRPr="00F843A8">
        <w:t xml:space="preserve"> extrême</w:t>
      </w:r>
      <w:r>
        <w:t>s</w:t>
      </w:r>
      <w:r w:rsidRPr="00F843A8">
        <w:t xml:space="preserve"> éventuelle</w:t>
      </w:r>
      <w:r>
        <w:t>s et de recours à l’expulsion en dernier ressort.</w:t>
      </w:r>
      <w:r w:rsidRPr="00F843A8">
        <w:t xml:space="preserve"> </w:t>
      </w:r>
      <w:r w:rsidRPr="00B34347">
        <w:t>Le cadre général sera développé en collaboration avec les ministères compétents</w:t>
      </w:r>
      <w:r>
        <w:t>,</w:t>
      </w:r>
      <w:r w:rsidRPr="00B34347">
        <w:t xml:space="preserve"> en particulier </w:t>
      </w:r>
      <w:r>
        <w:t>pour</w:t>
      </w:r>
      <w:r w:rsidRPr="00B34347">
        <w:t xml:space="preserve"> ce qui concerne les recours juridiques complémentaires ou l</w:t>
      </w:r>
      <w:r>
        <w:t>’</w:t>
      </w:r>
      <w:r w:rsidRPr="00B34347">
        <w:t>amélioration de l</w:t>
      </w:r>
      <w:r>
        <w:t>’</w:t>
      </w:r>
      <w:r w:rsidRPr="00B34347">
        <w:t>accessibilité de ce</w:t>
      </w:r>
      <w:r>
        <w:t>ux</w:t>
      </w:r>
      <w:r w:rsidRPr="00B34347">
        <w:t xml:space="preserve"> qui existe</w:t>
      </w:r>
      <w:r>
        <w:t>nt</w:t>
      </w:r>
      <w:r w:rsidRPr="00B34347">
        <w:t xml:space="preserve">. </w:t>
      </w:r>
    </w:p>
  </w:footnote>
  <w:footnote w:id="9">
    <w:p w:rsidR="003311AC" w:rsidRPr="00614BAC" w:rsidRDefault="003311AC" w:rsidP="00ED583C">
      <w:pPr>
        <w:pStyle w:val="FootnoteText"/>
        <w:rPr>
          <w:lang w:val="fr-CH"/>
        </w:rPr>
      </w:pPr>
      <w:r>
        <w:tab/>
      </w:r>
      <w:r>
        <w:rPr>
          <w:rStyle w:val="FootnoteReference"/>
        </w:rPr>
        <w:footnoteRef/>
      </w:r>
      <w:r w:rsidRPr="00534A5B">
        <w:tab/>
        <w:t>À la suite de l</w:t>
      </w:r>
      <w:r>
        <w:t>’</w:t>
      </w:r>
      <w:r w:rsidRPr="00534A5B">
        <w:t>étude de 2008 sur l</w:t>
      </w:r>
      <w:r>
        <w:t>’</w:t>
      </w:r>
      <w:r w:rsidRPr="00534A5B">
        <w:t xml:space="preserve">évaluation du </w:t>
      </w:r>
      <w:r>
        <w:t>P</w:t>
      </w:r>
      <w:r w:rsidRPr="00534A5B">
        <w:t>lan d</w:t>
      </w:r>
      <w:r>
        <w:t>’</w:t>
      </w:r>
      <w:r w:rsidRPr="00534A5B">
        <w:t>action intégré</w:t>
      </w:r>
      <w:r>
        <w:t>,</w:t>
      </w:r>
      <w:r w:rsidRPr="00534A5B">
        <w:t xml:space="preserve"> les données tirées des réponses fournies par les conseils locaux sur la situation des Roms ont été mises à jour au moyen d</w:t>
      </w:r>
      <w:r>
        <w:t>’</w:t>
      </w:r>
      <w:r w:rsidRPr="00534A5B">
        <w:t>une application Internet créée par le Secrétariat général de la gestion des ressources communautaires et autres relevant du Ministère du travail et de la sécurité sociale</w:t>
      </w:r>
      <w:r>
        <w:t>,</w:t>
      </w:r>
      <w:r w:rsidRPr="00534A5B">
        <w:t xml:space="preserve"> afin de présenter une image complète et </w:t>
      </w:r>
      <w:r>
        <w:t>dûment</w:t>
      </w:r>
      <w:r w:rsidRPr="00534A5B">
        <w:t xml:space="preserve"> documentée de la situation actuelle</w:t>
      </w:r>
      <w:r>
        <w:t xml:space="preserve">, </w:t>
      </w:r>
      <w:r w:rsidRPr="00534A5B">
        <w:t>pour que les interventions à organiser dans le cadre de la Stratégie nationale en faveur des Rom</w:t>
      </w:r>
      <w:r>
        <w:t xml:space="preserve">s pour la période 2012-2020 soient aussi efficacement ciblées que possible. </w:t>
      </w:r>
    </w:p>
  </w:footnote>
  <w:footnote w:id="10">
    <w:p w:rsidR="003311AC" w:rsidRDefault="003311AC" w:rsidP="00977863">
      <w:pPr>
        <w:pStyle w:val="FootnoteText"/>
      </w:pPr>
      <w:r>
        <w:tab/>
      </w:r>
      <w:r>
        <w:rPr>
          <w:rStyle w:val="FootnoteReference"/>
        </w:rPr>
        <w:footnoteRef/>
      </w:r>
      <w:r w:rsidRPr="00977863">
        <w:tab/>
        <w:t>Il convient de noter que l</w:t>
      </w:r>
      <w:r>
        <w:t>’</w:t>
      </w:r>
      <w:r w:rsidRPr="00977863">
        <w:t xml:space="preserve">expression </w:t>
      </w:r>
      <w:r>
        <w:t>«</w:t>
      </w:r>
      <w:r w:rsidRPr="00977863">
        <w:t>risque de pauvreté</w:t>
      </w:r>
      <w:r>
        <w:t xml:space="preserve">», </w:t>
      </w:r>
      <w:r w:rsidRPr="00977863">
        <w:t>plus appropriée</w:t>
      </w:r>
      <w:r>
        <w:t>,</w:t>
      </w:r>
      <w:r w:rsidRPr="00977863">
        <w:t xml:space="preserve"> a été retenue au lieu du terme </w:t>
      </w:r>
      <w:r>
        <w:t>«</w:t>
      </w:r>
      <w:r w:rsidRPr="00977863">
        <w:t>pauvreté</w:t>
      </w:r>
      <w:r>
        <w:t>»</w:t>
      </w:r>
      <w:r w:rsidRPr="00977863">
        <w:t xml:space="preserve"> lors de l</w:t>
      </w:r>
      <w:r>
        <w:t>’</w:t>
      </w:r>
      <w:r w:rsidRPr="00977863">
        <w:t xml:space="preserve">utilisation de ces indicateurs (en raison du </w:t>
      </w:r>
      <w:r>
        <w:t>caractère</w:t>
      </w:r>
      <w:r w:rsidRPr="00977863">
        <w:t xml:space="preserve"> multidimensionnel de la pauvreté </w:t>
      </w:r>
      <w:r>
        <w:t xml:space="preserve">qu’une </w:t>
      </w:r>
      <w:r w:rsidRPr="00977863">
        <w:t>évaluation au moyen d</w:t>
      </w:r>
      <w:r>
        <w:t>’</w:t>
      </w:r>
      <w:r w:rsidRPr="00977863">
        <w:t xml:space="preserve">indicateurs </w:t>
      </w:r>
      <w:r w:rsidRPr="00977863">
        <w:rPr>
          <w:i/>
        </w:rPr>
        <w:t xml:space="preserve">économiques </w:t>
      </w:r>
      <w:r>
        <w:t>isolés ne suffit pas à cerner</w:t>
      </w:r>
      <w:r w:rsidRPr="00977863">
        <w:t xml:space="preserve">). </w:t>
      </w:r>
    </w:p>
  </w:footnote>
  <w:footnote w:id="11">
    <w:p w:rsidR="003311AC" w:rsidRPr="001552C0" w:rsidRDefault="003311AC" w:rsidP="00207402">
      <w:pPr>
        <w:pStyle w:val="FootnoteText"/>
        <w:rPr>
          <w:bCs/>
        </w:rPr>
      </w:pPr>
      <w:r>
        <w:tab/>
      </w:r>
      <w:r>
        <w:rPr>
          <w:rStyle w:val="FootnoteReference"/>
        </w:rPr>
        <w:footnoteRef/>
      </w:r>
      <w:r w:rsidRPr="00E5077A">
        <w:tab/>
        <w:t>L</w:t>
      </w:r>
      <w:r>
        <w:t>’</w:t>
      </w:r>
      <w:r w:rsidRPr="00E5077A">
        <w:t>écart de pauvreté (</w:t>
      </w:r>
      <w:r>
        <w:t>«</w:t>
      </w:r>
      <w:r w:rsidRPr="00E5077A">
        <w:t>ampleur</w:t>
      </w:r>
      <w:r>
        <w:t>»</w:t>
      </w:r>
      <w:r w:rsidRPr="00E5077A">
        <w:t>)</w:t>
      </w:r>
      <w:r>
        <w:t xml:space="preserve"> </w:t>
      </w:r>
      <w:r w:rsidRPr="00E5077A">
        <w:t>fait référence à la situation des</w:t>
      </w:r>
      <w:r>
        <w:t> personnes</w:t>
      </w:r>
      <w:r w:rsidRPr="00E5077A">
        <w:t xml:space="preserve"> dont le revenu est inférieur au seuil de pauvreté et </w:t>
      </w:r>
      <w:r>
        <w:t>mesure l’écart</w:t>
      </w:r>
      <w:r w:rsidRPr="00E5077A">
        <w:t xml:space="preserve"> entre le seuil de pauvreté </w:t>
      </w:r>
      <w:r>
        <w:t>et le revenu moyen disponible des pauvres, calculé en pourcentage du seuil de pauvreté</w:t>
      </w:r>
      <w:r w:rsidRPr="001552C0">
        <w:rPr>
          <w:bCs/>
        </w:rPr>
        <w:t>.</w:t>
      </w:r>
    </w:p>
  </w:footnote>
  <w:footnote w:id="12">
    <w:p w:rsidR="003311AC" w:rsidRPr="00543AA7" w:rsidRDefault="003311AC" w:rsidP="003D0E09">
      <w:pPr>
        <w:pStyle w:val="FootnoteText"/>
      </w:pPr>
      <w:r w:rsidRPr="00E5077A">
        <w:tab/>
      </w:r>
      <w:r>
        <w:rPr>
          <w:rStyle w:val="FootnoteReference"/>
        </w:rPr>
        <w:footnoteRef/>
      </w:r>
      <w:r w:rsidRPr="00543AA7">
        <w:tab/>
      </w:r>
      <w:r w:rsidRPr="00543AA7">
        <w:rPr>
          <w:bCs/>
          <w:i/>
        </w:rPr>
        <w:t>Source</w:t>
      </w:r>
      <w:r w:rsidRPr="001552C0">
        <w:rPr>
          <w:bCs/>
          <w:iCs/>
        </w:rPr>
        <w:t xml:space="preserve">: </w:t>
      </w:r>
      <w:r w:rsidRPr="00543AA7">
        <w:rPr>
          <w:bCs/>
          <w:i/>
        </w:rPr>
        <w:t>Programme national de réforme grec 2012-2015</w:t>
      </w:r>
      <w:r>
        <w:rPr>
          <w:bCs/>
          <w:i/>
        </w:rPr>
        <w:t>,</w:t>
      </w:r>
      <w:r w:rsidRPr="00543AA7">
        <w:rPr>
          <w:bCs/>
          <w:i/>
        </w:rPr>
        <w:t xml:space="preserve"> Rapport sur </w:t>
      </w:r>
      <w:r>
        <w:rPr>
          <w:bCs/>
          <w:i/>
        </w:rPr>
        <w:t>les progrès réalisés en direction d’</w:t>
      </w:r>
      <w:r w:rsidRPr="00543AA7">
        <w:rPr>
          <w:bCs/>
          <w:i/>
        </w:rPr>
        <w:t>Europe </w:t>
      </w:r>
      <w:r>
        <w:rPr>
          <w:bCs/>
          <w:i/>
        </w:rPr>
        <w:t xml:space="preserve">2020 (avril </w:t>
      </w:r>
      <w:r w:rsidRPr="00543AA7">
        <w:rPr>
          <w:bCs/>
          <w:i/>
        </w:rPr>
        <w:t>2012</w:t>
      </w:r>
      <w:r>
        <w:rPr>
          <w:bCs/>
          <w:i/>
        </w:rPr>
        <w:t>)</w:t>
      </w:r>
      <w:r w:rsidRPr="00543AA7">
        <w:rPr>
          <w:bCs/>
          <w:i/>
        </w:rPr>
        <w:t>.</w:t>
      </w:r>
    </w:p>
  </w:footnote>
  <w:footnote w:id="13">
    <w:p w:rsidR="003311AC" w:rsidRPr="00F913CD" w:rsidRDefault="003311AC" w:rsidP="003D0E09">
      <w:pPr>
        <w:pStyle w:val="FootnoteText"/>
      </w:pPr>
      <w:r w:rsidRPr="00543AA7">
        <w:tab/>
      </w:r>
      <w:r>
        <w:rPr>
          <w:rStyle w:val="FootnoteReference"/>
        </w:rPr>
        <w:footnoteRef/>
      </w:r>
      <w:r w:rsidRPr="00D87F32">
        <w:tab/>
        <w:t>Plus précisément</w:t>
      </w:r>
      <w:r>
        <w:t>,</w:t>
      </w:r>
      <w:r w:rsidRPr="00D87F32">
        <w:t xml:space="preserve"> la loi </w:t>
      </w:r>
      <w:r>
        <w:rPr>
          <w:lang w:val="fr-CA"/>
        </w:rPr>
        <w:t>n</w:t>
      </w:r>
      <w:r w:rsidRPr="00136426">
        <w:rPr>
          <w:vertAlign w:val="superscript"/>
          <w:lang w:val="fr-CA"/>
        </w:rPr>
        <w:t>o</w:t>
      </w:r>
      <w:r>
        <w:rPr>
          <w:lang w:val="fr-CA"/>
        </w:rPr>
        <w:t> </w:t>
      </w:r>
      <w:r w:rsidRPr="00D87F32">
        <w:rPr>
          <w:bCs/>
        </w:rPr>
        <w:t>3845/2010</w:t>
      </w:r>
      <w:r>
        <w:rPr>
          <w:bCs/>
        </w:rPr>
        <w:t xml:space="preserve">, portant sur les </w:t>
      </w:r>
      <w:r w:rsidRPr="00D87F32">
        <w:rPr>
          <w:bCs/>
        </w:rPr>
        <w:t>«</w:t>
      </w:r>
      <w:r w:rsidRPr="00D87F32">
        <w:rPr>
          <w:i/>
        </w:rPr>
        <w:t>Mesures destinées à mettre en œuvre un mécanisme de soutien à l</w:t>
      </w:r>
      <w:r>
        <w:rPr>
          <w:i/>
        </w:rPr>
        <w:t>’</w:t>
      </w:r>
      <w:r w:rsidRPr="00D87F32">
        <w:rPr>
          <w:i/>
        </w:rPr>
        <w:t xml:space="preserve">économie grecque de </w:t>
      </w:r>
      <w:r>
        <w:rPr>
          <w:i/>
        </w:rPr>
        <w:t>la part des É</w:t>
      </w:r>
      <w:r w:rsidRPr="00D87F32">
        <w:rPr>
          <w:i/>
        </w:rPr>
        <w:t>tats membres de la zone euro et du Fonds monétaire international</w:t>
      </w:r>
      <w:r w:rsidRPr="00D87F32">
        <w:rPr>
          <w:bCs/>
          <w:i/>
        </w:rPr>
        <w:t>»</w:t>
      </w:r>
      <w:r>
        <w:rPr>
          <w:bCs/>
        </w:rPr>
        <w:t>,</w:t>
      </w:r>
      <w:r w:rsidRPr="00D87F32">
        <w:rPr>
          <w:bCs/>
          <w:i/>
        </w:rPr>
        <w:t xml:space="preserve"> </w:t>
      </w:r>
      <w:r>
        <w:rPr>
          <w:bCs/>
        </w:rPr>
        <w:t>prévoit l’autorisation, par des décrets présidentiels, de toutes les mesures extraordinaires nécessaires pour répondre aux besoins particuliers des démunis et des groupes vulnérables vivant dans des conditions sociales défavorisées,</w:t>
      </w:r>
      <w:r>
        <w:rPr>
          <w:rFonts w:ascii="Courier" w:hAnsi="Courier"/>
          <w:bCs/>
        </w:rPr>
        <w:t xml:space="preserve"> </w:t>
      </w:r>
      <w:r>
        <w:rPr>
          <w:bCs/>
        </w:rPr>
        <w:t>liées au</w:t>
      </w:r>
      <w:r>
        <w:rPr>
          <w:rFonts w:ascii="Courier" w:hAnsi="Courier"/>
          <w:bCs/>
        </w:rPr>
        <w:t xml:space="preserve"> </w:t>
      </w:r>
      <w:r>
        <w:rPr>
          <w:bCs/>
        </w:rPr>
        <w:t xml:space="preserve">chômage, à la vieillesse, à l’exclusion sociale ou au manque de revenus.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AC" w:rsidRPr="004600AD" w:rsidRDefault="003311AC">
    <w:pPr>
      <w:pStyle w:val="Header"/>
    </w:pPr>
    <w:r>
      <w:t>E/C.12/GRC/2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1AC" w:rsidRPr="004600AD" w:rsidRDefault="003311AC" w:rsidP="004600AD">
    <w:pPr>
      <w:pStyle w:val="Header"/>
      <w:jc w:val="right"/>
    </w:pPr>
    <w:r>
      <w:t>E/C.12/GRC/2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A171F01"/>
    <w:multiLevelType w:val="hybridMultilevel"/>
    <w:tmpl w:val="19E006C4"/>
    <w:lvl w:ilvl="0" w:tplc="6764E06C">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7767ED"/>
    <w:multiLevelType w:val="hybridMultilevel"/>
    <w:tmpl w:val="5E3A62A6"/>
    <w:lvl w:ilvl="0" w:tplc="44D85DC2">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7">
    <w:nsid w:val="210A3C04"/>
    <w:multiLevelType w:val="hybridMultilevel"/>
    <w:tmpl w:val="AF54A0FE"/>
    <w:lvl w:ilvl="0" w:tplc="B8A05F34">
      <w:start w:val="1"/>
      <w:numFmt w:val="decimal"/>
      <w:lvlText w:val="%1."/>
      <w:lvlJc w:val="left"/>
      <w:pPr>
        <w:ind w:left="1637" w:hanging="360"/>
      </w:pPr>
      <w:rPr>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B637F6"/>
    <w:multiLevelType w:val="hybridMultilevel"/>
    <w:tmpl w:val="EEBC45EE"/>
    <w:lvl w:ilvl="0" w:tplc="0F7A1A1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B0900E4"/>
    <w:multiLevelType w:val="hybridMultilevel"/>
    <w:tmpl w:val="05943CCA"/>
    <w:lvl w:ilvl="0" w:tplc="F2E28F9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3CB061AB"/>
    <w:multiLevelType w:val="singleLevel"/>
    <w:tmpl w:val="66CAD4CC"/>
    <w:lvl w:ilvl="0">
      <w:start w:val="1"/>
      <w:numFmt w:val="decimal"/>
      <w:lvlText w:val="%1."/>
      <w:lvlJc w:val="left"/>
      <w:pPr>
        <w:tabs>
          <w:tab w:val="num" w:pos="360"/>
        </w:tabs>
        <w:ind w:left="-1" w:firstLine="1"/>
      </w:pPr>
      <w:rPr>
        <w:rFonts w:cs="Times New Roman" w:hint="default"/>
      </w:rPr>
    </w:lvl>
  </w:abstractNum>
  <w:abstractNum w:abstractNumId="23">
    <w:nsid w:val="6022538A"/>
    <w:multiLevelType w:val="hybridMultilevel"/>
    <w:tmpl w:val="F7564E14"/>
    <w:lvl w:ilvl="0" w:tplc="C4963FE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862366"/>
    <w:multiLevelType w:val="hybridMultilevel"/>
    <w:tmpl w:val="523E6D94"/>
    <w:lvl w:ilvl="0" w:tplc="E24C15DA">
      <w:start w:val="1"/>
      <w:numFmt w:val="bullet"/>
      <w:pStyle w:val="EndnoteTex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3"/>
  </w:num>
  <w:num w:numId="15">
    <w:abstractNumId w:val="20"/>
  </w:num>
  <w:num w:numId="16">
    <w:abstractNumId w:val="14"/>
  </w:num>
  <w:num w:numId="17">
    <w:abstractNumId w:val="24"/>
  </w:num>
  <w:num w:numId="18">
    <w:abstractNumId w:val="26"/>
  </w:num>
  <w:num w:numId="19">
    <w:abstractNumId w:val="11"/>
  </w:num>
  <w:num w:numId="20">
    <w:abstractNumId w:val="25"/>
  </w:num>
  <w:num w:numId="21">
    <w:abstractNumId w:val="22"/>
  </w:num>
  <w:num w:numId="22">
    <w:abstractNumId w:val="21"/>
  </w:num>
  <w:num w:numId="23">
    <w:abstractNumId w:val="19"/>
  </w:num>
  <w:num w:numId="24">
    <w:abstractNumId w:val="23"/>
  </w:num>
  <w:num w:numId="25">
    <w:abstractNumId w:val="12"/>
  </w:num>
  <w:num w:numId="26">
    <w:abstractNumId w:val="16"/>
  </w:num>
  <w:num w:numId="27">
    <w:abstractNumId w:val="17"/>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11"/>
  </w:num>
  <w:num w:numId="35">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fr-CA" w:vendorID="64" w:dllVersion="131078" w:nlCheck="1" w:checkStyle="1"/>
  <w:activeWritingStyle w:appName="MSWord" w:lang="es-ES" w:vendorID="64" w:dllVersion="131078" w:nlCheck="1" w:checkStyle="1"/>
  <w:proofState w:spelling="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B64ACB5F-B0FD-4A8B-9B57-7D8AA8BB88C7}"/>
    <w:docVar w:name="dgnword-eventsink" w:val="91351160"/>
  </w:docVars>
  <w:rsids>
    <w:rsidRoot w:val="004600AD"/>
    <w:rsid w:val="00000D84"/>
    <w:rsid w:val="00002A7D"/>
    <w:rsid w:val="000038A8"/>
    <w:rsid w:val="00006790"/>
    <w:rsid w:val="00006996"/>
    <w:rsid w:val="000076EC"/>
    <w:rsid w:val="0001051D"/>
    <w:rsid w:val="000118E9"/>
    <w:rsid w:val="00011904"/>
    <w:rsid w:val="00011E14"/>
    <w:rsid w:val="00011F5F"/>
    <w:rsid w:val="00012497"/>
    <w:rsid w:val="000149C9"/>
    <w:rsid w:val="00014F0F"/>
    <w:rsid w:val="0002074D"/>
    <w:rsid w:val="000213C1"/>
    <w:rsid w:val="0002229B"/>
    <w:rsid w:val="0002277A"/>
    <w:rsid w:val="000235C5"/>
    <w:rsid w:val="00023686"/>
    <w:rsid w:val="0002370A"/>
    <w:rsid w:val="000244C1"/>
    <w:rsid w:val="00024974"/>
    <w:rsid w:val="00025EAF"/>
    <w:rsid w:val="00027320"/>
    <w:rsid w:val="00027624"/>
    <w:rsid w:val="0003003C"/>
    <w:rsid w:val="000316FC"/>
    <w:rsid w:val="00031A1D"/>
    <w:rsid w:val="00032B73"/>
    <w:rsid w:val="000342E5"/>
    <w:rsid w:val="000348BF"/>
    <w:rsid w:val="000350E2"/>
    <w:rsid w:val="00035D60"/>
    <w:rsid w:val="000366BA"/>
    <w:rsid w:val="0004061D"/>
    <w:rsid w:val="00040743"/>
    <w:rsid w:val="00040785"/>
    <w:rsid w:val="000408B4"/>
    <w:rsid w:val="00041938"/>
    <w:rsid w:val="000421D3"/>
    <w:rsid w:val="000445D8"/>
    <w:rsid w:val="00044BA6"/>
    <w:rsid w:val="000474B7"/>
    <w:rsid w:val="00047D7A"/>
    <w:rsid w:val="00050305"/>
    <w:rsid w:val="00050A61"/>
    <w:rsid w:val="00050F6B"/>
    <w:rsid w:val="000535C9"/>
    <w:rsid w:val="000540C5"/>
    <w:rsid w:val="00055317"/>
    <w:rsid w:val="0005605C"/>
    <w:rsid w:val="000566BC"/>
    <w:rsid w:val="000600D5"/>
    <w:rsid w:val="00060B2D"/>
    <w:rsid w:val="00060C70"/>
    <w:rsid w:val="00060E8D"/>
    <w:rsid w:val="000616AB"/>
    <w:rsid w:val="0006198F"/>
    <w:rsid w:val="00067021"/>
    <w:rsid w:val="00067424"/>
    <w:rsid w:val="000678CD"/>
    <w:rsid w:val="00070D89"/>
    <w:rsid w:val="00071203"/>
    <w:rsid w:val="00072431"/>
    <w:rsid w:val="00072C8C"/>
    <w:rsid w:val="00073A6B"/>
    <w:rsid w:val="00074784"/>
    <w:rsid w:val="00074CF3"/>
    <w:rsid w:val="00077F4A"/>
    <w:rsid w:val="00080009"/>
    <w:rsid w:val="00080A27"/>
    <w:rsid w:val="00081CE0"/>
    <w:rsid w:val="000826E4"/>
    <w:rsid w:val="00083519"/>
    <w:rsid w:val="00084C65"/>
    <w:rsid w:val="00084D30"/>
    <w:rsid w:val="00084F8B"/>
    <w:rsid w:val="000866F7"/>
    <w:rsid w:val="00090320"/>
    <w:rsid w:val="00090414"/>
    <w:rsid w:val="000931C0"/>
    <w:rsid w:val="000938F2"/>
    <w:rsid w:val="00094354"/>
    <w:rsid w:val="00096EF3"/>
    <w:rsid w:val="000A0022"/>
    <w:rsid w:val="000A1865"/>
    <w:rsid w:val="000A2E09"/>
    <w:rsid w:val="000A444A"/>
    <w:rsid w:val="000A4738"/>
    <w:rsid w:val="000A6A2E"/>
    <w:rsid w:val="000B13F0"/>
    <w:rsid w:val="000B175B"/>
    <w:rsid w:val="000B2B00"/>
    <w:rsid w:val="000B3A0F"/>
    <w:rsid w:val="000B45F9"/>
    <w:rsid w:val="000B4873"/>
    <w:rsid w:val="000B661D"/>
    <w:rsid w:val="000B724A"/>
    <w:rsid w:val="000C0E13"/>
    <w:rsid w:val="000C1151"/>
    <w:rsid w:val="000C19FD"/>
    <w:rsid w:val="000C3B65"/>
    <w:rsid w:val="000C6B75"/>
    <w:rsid w:val="000C7114"/>
    <w:rsid w:val="000C7207"/>
    <w:rsid w:val="000C7459"/>
    <w:rsid w:val="000D1236"/>
    <w:rsid w:val="000D2997"/>
    <w:rsid w:val="000D426D"/>
    <w:rsid w:val="000D5E73"/>
    <w:rsid w:val="000E0415"/>
    <w:rsid w:val="000E25BF"/>
    <w:rsid w:val="000E425C"/>
    <w:rsid w:val="000E5A01"/>
    <w:rsid w:val="000E5CD0"/>
    <w:rsid w:val="000E67F8"/>
    <w:rsid w:val="000E707F"/>
    <w:rsid w:val="000E718B"/>
    <w:rsid w:val="000F031F"/>
    <w:rsid w:val="000F0A23"/>
    <w:rsid w:val="000F2038"/>
    <w:rsid w:val="000F21FC"/>
    <w:rsid w:val="000F433C"/>
    <w:rsid w:val="000F44F9"/>
    <w:rsid w:val="000F4581"/>
    <w:rsid w:val="000F52D7"/>
    <w:rsid w:val="000F7535"/>
    <w:rsid w:val="000F7715"/>
    <w:rsid w:val="000F7D93"/>
    <w:rsid w:val="000F7F18"/>
    <w:rsid w:val="00100FB2"/>
    <w:rsid w:val="001017B5"/>
    <w:rsid w:val="00101B70"/>
    <w:rsid w:val="00102234"/>
    <w:rsid w:val="0010449B"/>
    <w:rsid w:val="001046DC"/>
    <w:rsid w:val="00104C81"/>
    <w:rsid w:val="0010561A"/>
    <w:rsid w:val="00106BD3"/>
    <w:rsid w:val="00107A47"/>
    <w:rsid w:val="0011045B"/>
    <w:rsid w:val="00111333"/>
    <w:rsid w:val="00111523"/>
    <w:rsid w:val="0011177E"/>
    <w:rsid w:val="00114966"/>
    <w:rsid w:val="00114C6B"/>
    <w:rsid w:val="00115AFE"/>
    <w:rsid w:val="00117080"/>
    <w:rsid w:val="00117C6A"/>
    <w:rsid w:val="00117C94"/>
    <w:rsid w:val="0012085C"/>
    <w:rsid w:val="00121C40"/>
    <w:rsid w:val="00122E83"/>
    <w:rsid w:val="0012478D"/>
    <w:rsid w:val="0012483C"/>
    <w:rsid w:val="00125E65"/>
    <w:rsid w:val="00125F0B"/>
    <w:rsid w:val="00126DE4"/>
    <w:rsid w:val="00127A20"/>
    <w:rsid w:val="001301EC"/>
    <w:rsid w:val="00130D8E"/>
    <w:rsid w:val="001326BB"/>
    <w:rsid w:val="00134DAD"/>
    <w:rsid w:val="00135F1B"/>
    <w:rsid w:val="00136426"/>
    <w:rsid w:val="0014033A"/>
    <w:rsid w:val="001404BC"/>
    <w:rsid w:val="00142888"/>
    <w:rsid w:val="001428F4"/>
    <w:rsid w:val="00143356"/>
    <w:rsid w:val="00144904"/>
    <w:rsid w:val="00147614"/>
    <w:rsid w:val="00147CB0"/>
    <w:rsid w:val="001551AC"/>
    <w:rsid w:val="001552C0"/>
    <w:rsid w:val="00155DCE"/>
    <w:rsid w:val="00156B99"/>
    <w:rsid w:val="00157D61"/>
    <w:rsid w:val="00161024"/>
    <w:rsid w:val="00162433"/>
    <w:rsid w:val="00162E84"/>
    <w:rsid w:val="001645B0"/>
    <w:rsid w:val="00165AC8"/>
    <w:rsid w:val="00165F11"/>
    <w:rsid w:val="00166124"/>
    <w:rsid w:val="001679FB"/>
    <w:rsid w:val="00170A9D"/>
    <w:rsid w:val="00170C50"/>
    <w:rsid w:val="00171406"/>
    <w:rsid w:val="001717EA"/>
    <w:rsid w:val="00171913"/>
    <w:rsid w:val="00171CDE"/>
    <w:rsid w:val="00172805"/>
    <w:rsid w:val="00172C92"/>
    <w:rsid w:val="00172DDF"/>
    <w:rsid w:val="001759A3"/>
    <w:rsid w:val="00176556"/>
    <w:rsid w:val="00177B75"/>
    <w:rsid w:val="001802EE"/>
    <w:rsid w:val="00180F5C"/>
    <w:rsid w:val="0018288F"/>
    <w:rsid w:val="00183758"/>
    <w:rsid w:val="00184DDA"/>
    <w:rsid w:val="001855E9"/>
    <w:rsid w:val="0018683E"/>
    <w:rsid w:val="0018707F"/>
    <w:rsid w:val="00187110"/>
    <w:rsid w:val="00187B2A"/>
    <w:rsid w:val="001900CD"/>
    <w:rsid w:val="00190847"/>
    <w:rsid w:val="00192599"/>
    <w:rsid w:val="00193187"/>
    <w:rsid w:val="001948EA"/>
    <w:rsid w:val="00194CAD"/>
    <w:rsid w:val="00195837"/>
    <w:rsid w:val="00195AA4"/>
    <w:rsid w:val="001964AA"/>
    <w:rsid w:val="00196801"/>
    <w:rsid w:val="001972A8"/>
    <w:rsid w:val="001A0452"/>
    <w:rsid w:val="001A1148"/>
    <w:rsid w:val="001A13A7"/>
    <w:rsid w:val="001A36BD"/>
    <w:rsid w:val="001A3EFF"/>
    <w:rsid w:val="001A68A6"/>
    <w:rsid w:val="001B0C95"/>
    <w:rsid w:val="001B1E10"/>
    <w:rsid w:val="001B4B04"/>
    <w:rsid w:val="001B550E"/>
    <w:rsid w:val="001B5875"/>
    <w:rsid w:val="001B5E0D"/>
    <w:rsid w:val="001B61AB"/>
    <w:rsid w:val="001B638D"/>
    <w:rsid w:val="001C0A74"/>
    <w:rsid w:val="001C0D7D"/>
    <w:rsid w:val="001C1A79"/>
    <w:rsid w:val="001C351E"/>
    <w:rsid w:val="001C3B6C"/>
    <w:rsid w:val="001C4B9C"/>
    <w:rsid w:val="001C4CD6"/>
    <w:rsid w:val="001C60E7"/>
    <w:rsid w:val="001C6663"/>
    <w:rsid w:val="001C6B25"/>
    <w:rsid w:val="001C7895"/>
    <w:rsid w:val="001C7D3D"/>
    <w:rsid w:val="001D1987"/>
    <w:rsid w:val="001D26DF"/>
    <w:rsid w:val="001D6511"/>
    <w:rsid w:val="001D777B"/>
    <w:rsid w:val="001E1941"/>
    <w:rsid w:val="001E42FF"/>
    <w:rsid w:val="001E4331"/>
    <w:rsid w:val="001E507D"/>
    <w:rsid w:val="001E6523"/>
    <w:rsid w:val="001E742B"/>
    <w:rsid w:val="001F0101"/>
    <w:rsid w:val="001F1599"/>
    <w:rsid w:val="001F19C4"/>
    <w:rsid w:val="001F222C"/>
    <w:rsid w:val="001F38B9"/>
    <w:rsid w:val="001F481C"/>
    <w:rsid w:val="001F4EEB"/>
    <w:rsid w:val="001F5989"/>
    <w:rsid w:val="001F7199"/>
    <w:rsid w:val="00200E78"/>
    <w:rsid w:val="00201282"/>
    <w:rsid w:val="00203AB9"/>
    <w:rsid w:val="002043F0"/>
    <w:rsid w:val="0020487A"/>
    <w:rsid w:val="00205164"/>
    <w:rsid w:val="002053AB"/>
    <w:rsid w:val="00205ECC"/>
    <w:rsid w:val="00207402"/>
    <w:rsid w:val="0020757A"/>
    <w:rsid w:val="0021133A"/>
    <w:rsid w:val="00211E0B"/>
    <w:rsid w:val="00212363"/>
    <w:rsid w:val="00213466"/>
    <w:rsid w:val="00213629"/>
    <w:rsid w:val="00213CD2"/>
    <w:rsid w:val="00214C89"/>
    <w:rsid w:val="002151C4"/>
    <w:rsid w:val="00215FC1"/>
    <w:rsid w:val="00216766"/>
    <w:rsid w:val="00216A4B"/>
    <w:rsid w:val="0022085F"/>
    <w:rsid w:val="00220BB2"/>
    <w:rsid w:val="002239E7"/>
    <w:rsid w:val="00223FE4"/>
    <w:rsid w:val="00224664"/>
    <w:rsid w:val="00224F0E"/>
    <w:rsid w:val="00225A6C"/>
    <w:rsid w:val="002261F0"/>
    <w:rsid w:val="00226A38"/>
    <w:rsid w:val="002272C6"/>
    <w:rsid w:val="00227AAB"/>
    <w:rsid w:val="00230BFE"/>
    <w:rsid w:val="00231E61"/>
    <w:rsid w:val="00232575"/>
    <w:rsid w:val="002329B6"/>
    <w:rsid w:val="00234FBE"/>
    <w:rsid w:val="00235622"/>
    <w:rsid w:val="002361D0"/>
    <w:rsid w:val="00236443"/>
    <w:rsid w:val="002364AB"/>
    <w:rsid w:val="00236531"/>
    <w:rsid w:val="0024094E"/>
    <w:rsid w:val="00241064"/>
    <w:rsid w:val="00245792"/>
    <w:rsid w:val="0024649B"/>
    <w:rsid w:val="00247258"/>
    <w:rsid w:val="002503E0"/>
    <w:rsid w:val="00251318"/>
    <w:rsid w:val="0025180A"/>
    <w:rsid w:val="00251833"/>
    <w:rsid w:val="00251EB5"/>
    <w:rsid w:val="00252C8B"/>
    <w:rsid w:val="0025476F"/>
    <w:rsid w:val="002569B1"/>
    <w:rsid w:val="00256AE0"/>
    <w:rsid w:val="00257CAC"/>
    <w:rsid w:val="00257DC5"/>
    <w:rsid w:val="00260542"/>
    <w:rsid w:val="002616F8"/>
    <w:rsid w:val="00261D57"/>
    <w:rsid w:val="00262265"/>
    <w:rsid w:val="0026590C"/>
    <w:rsid w:val="00267340"/>
    <w:rsid w:val="00267B57"/>
    <w:rsid w:val="00270643"/>
    <w:rsid w:val="002708DF"/>
    <w:rsid w:val="00270E20"/>
    <w:rsid w:val="00271078"/>
    <w:rsid w:val="0027237A"/>
    <w:rsid w:val="0027390B"/>
    <w:rsid w:val="002744B6"/>
    <w:rsid w:val="00274BEB"/>
    <w:rsid w:val="00275803"/>
    <w:rsid w:val="002802D4"/>
    <w:rsid w:val="00280E50"/>
    <w:rsid w:val="00282E4B"/>
    <w:rsid w:val="00283325"/>
    <w:rsid w:val="00283D53"/>
    <w:rsid w:val="00291058"/>
    <w:rsid w:val="0029188C"/>
    <w:rsid w:val="002932EB"/>
    <w:rsid w:val="002953B9"/>
    <w:rsid w:val="00296F51"/>
    <w:rsid w:val="002974CE"/>
    <w:rsid w:val="002974E9"/>
    <w:rsid w:val="002A00CC"/>
    <w:rsid w:val="002A0742"/>
    <w:rsid w:val="002A0994"/>
    <w:rsid w:val="002A0D28"/>
    <w:rsid w:val="002A2D59"/>
    <w:rsid w:val="002A30DC"/>
    <w:rsid w:val="002A4C59"/>
    <w:rsid w:val="002A4FB6"/>
    <w:rsid w:val="002A597D"/>
    <w:rsid w:val="002A67C2"/>
    <w:rsid w:val="002A774F"/>
    <w:rsid w:val="002A7F19"/>
    <w:rsid w:val="002A7F94"/>
    <w:rsid w:val="002B079C"/>
    <w:rsid w:val="002B0E34"/>
    <w:rsid w:val="002B109A"/>
    <w:rsid w:val="002B142A"/>
    <w:rsid w:val="002B1C70"/>
    <w:rsid w:val="002B1F58"/>
    <w:rsid w:val="002B4009"/>
    <w:rsid w:val="002B432F"/>
    <w:rsid w:val="002B6BB9"/>
    <w:rsid w:val="002B793F"/>
    <w:rsid w:val="002C031F"/>
    <w:rsid w:val="002C05B6"/>
    <w:rsid w:val="002C0856"/>
    <w:rsid w:val="002C1765"/>
    <w:rsid w:val="002C3778"/>
    <w:rsid w:val="002C4722"/>
    <w:rsid w:val="002C5396"/>
    <w:rsid w:val="002C59AC"/>
    <w:rsid w:val="002C6D45"/>
    <w:rsid w:val="002C71E4"/>
    <w:rsid w:val="002C7BA7"/>
    <w:rsid w:val="002D0953"/>
    <w:rsid w:val="002D0D1A"/>
    <w:rsid w:val="002D1158"/>
    <w:rsid w:val="002D2A0B"/>
    <w:rsid w:val="002D2B56"/>
    <w:rsid w:val="002D2FD8"/>
    <w:rsid w:val="002D6070"/>
    <w:rsid w:val="002D6E53"/>
    <w:rsid w:val="002D78A3"/>
    <w:rsid w:val="002D7D15"/>
    <w:rsid w:val="002E13E6"/>
    <w:rsid w:val="002E17FC"/>
    <w:rsid w:val="002E27FE"/>
    <w:rsid w:val="002E43B0"/>
    <w:rsid w:val="002E62CE"/>
    <w:rsid w:val="002E6933"/>
    <w:rsid w:val="002E7E70"/>
    <w:rsid w:val="002F00B2"/>
    <w:rsid w:val="002F014D"/>
    <w:rsid w:val="002F046D"/>
    <w:rsid w:val="002F0528"/>
    <w:rsid w:val="002F0AF7"/>
    <w:rsid w:val="002F0D9D"/>
    <w:rsid w:val="002F2158"/>
    <w:rsid w:val="002F2BAF"/>
    <w:rsid w:val="002F4621"/>
    <w:rsid w:val="002F4BCB"/>
    <w:rsid w:val="002F654B"/>
    <w:rsid w:val="002F7250"/>
    <w:rsid w:val="0030117C"/>
    <w:rsid w:val="00301764"/>
    <w:rsid w:val="0030349D"/>
    <w:rsid w:val="003036AF"/>
    <w:rsid w:val="00303709"/>
    <w:rsid w:val="00305C29"/>
    <w:rsid w:val="003070DE"/>
    <w:rsid w:val="0030724A"/>
    <w:rsid w:val="00307DB9"/>
    <w:rsid w:val="00307E1E"/>
    <w:rsid w:val="00310C32"/>
    <w:rsid w:val="003116DD"/>
    <w:rsid w:val="00311716"/>
    <w:rsid w:val="00312FF0"/>
    <w:rsid w:val="00313350"/>
    <w:rsid w:val="003134F8"/>
    <w:rsid w:val="00314128"/>
    <w:rsid w:val="0031441A"/>
    <w:rsid w:val="003151A1"/>
    <w:rsid w:val="00315465"/>
    <w:rsid w:val="00317056"/>
    <w:rsid w:val="0032175A"/>
    <w:rsid w:val="00321791"/>
    <w:rsid w:val="003226B3"/>
    <w:rsid w:val="003229D8"/>
    <w:rsid w:val="00323F4E"/>
    <w:rsid w:val="00325552"/>
    <w:rsid w:val="00325CDE"/>
    <w:rsid w:val="00327309"/>
    <w:rsid w:val="00327C46"/>
    <w:rsid w:val="00327EAC"/>
    <w:rsid w:val="00330B5C"/>
    <w:rsid w:val="003311AC"/>
    <w:rsid w:val="0033193A"/>
    <w:rsid w:val="00331E05"/>
    <w:rsid w:val="00333A27"/>
    <w:rsid w:val="0033431C"/>
    <w:rsid w:val="00334E59"/>
    <w:rsid w:val="003350F2"/>
    <w:rsid w:val="00335A1E"/>
    <w:rsid w:val="00336C97"/>
    <w:rsid w:val="00337F88"/>
    <w:rsid w:val="00340302"/>
    <w:rsid w:val="00342156"/>
    <w:rsid w:val="00342432"/>
    <w:rsid w:val="0034252D"/>
    <w:rsid w:val="00342731"/>
    <w:rsid w:val="00345123"/>
    <w:rsid w:val="0034593C"/>
    <w:rsid w:val="0035223F"/>
    <w:rsid w:val="00352D4B"/>
    <w:rsid w:val="00353FC6"/>
    <w:rsid w:val="0035638C"/>
    <w:rsid w:val="0035676F"/>
    <w:rsid w:val="00357367"/>
    <w:rsid w:val="003573FE"/>
    <w:rsid w:val="00357D52"/>
    <w:rsid w:val="003619E3"/>
    <w:rsid w:val="00362F3C"/>
    <w:rsid w:val="003635CA"/>
    <w:rsid w:val="003647EC"/>
    <w:rsid w:val="00364ADE"/>
    <w:rsid w:val="00366F0F"/>
    <w:rsid w:val="003718D9"/>
    <w:rsid w:val="00372815"/>
    <w:rsid w:val="00375BF8"/>
    <w:rsid w:val="00375CE7"/>
    <w:rsid w:val="003768B4"/>
    <w:rsid w:val="00376FF3"/>
    <w:rsid w:val="00377B61"/>
    <w:rsid w:val="00377FE1"/>
    <w:rsid w:val="00380744"/>
    <w:rsid w:val="00380AEC"/>
    <w:rsid w:val="00380EDD"/>
    <w:rsid w:val="00384585"/>
    <w:rsid w:val="003847CA"/>
    <w:rsid w:val="00384A4E"/>
    <w:rsid w:val="003853C4"/>
    <w:rsid w:val="003868BF"/>
    <w:rsid w:val="003878C8"/>
    <w:rsid w:val="003914DD"/>
    <w:rsid w:val="00391F10"/>
    <w:rsid w:val="0039437F"/>
    <w:rsid w:val="00395D70"/>
    <w:rsid w:val="0039610D"/>
    <w:rsid w:val="003970C4"/>
    <w:rsid w:val="003A0E92"/>
    <w:rsid w:val="003A123E"/>
    <w:rsid w:val="003A1616"/>
    <w:rsid w:val="003A2BB8"/>
    <w:rsid w:val="003A2C23"/>
    <w:rsid w:val="003A37FC"/>
    <w:rsid w:val="003A41AB"/>
    <w:rsid w:val="003A46BB"/>
    <w:rsid w:val="003A4EC7"/>
    <w:rsid w:val="003A52D5"/>
    <w:rsid w:val="003A5376"/>
    <w:rsid w:val="003A5617"/>
    <w:rsid w:val="003A5DFD"/>
    <w:rsid w:val="003A7295"/>
    <w:rsid w:val="003A7F4A"/>
    <w:rsid w:val="003B0006"/>
    <w:rsid w:val="003B10FC"/>
    <w:rsid w:val="003B1F60"/>
    <w:rsid w:val="003B2FD9"/>
    <w:rsid w:val="003B32D9"/>
    <w:rsid w:val="003B50C3"/>
    <w:rsid w:val="003B549F"/>
    <w:rsid w:val="003C083B"/>
    <w:rsid w:val="003C1099"/>
    <w:rsid w:val="003C12A0"/>
    <w:rsid w:val="003C26AA"/>
    <w:rsid w:val="003C2883"/>
    <w:rsid w:val="003C2CC4"/>
    <w:rsid w:val="003C42E8"/>
    <w:rsid w:val="003C4B20"/>
    <w:rsid w:val="003C6454"/>
    <w:rsid w:val="003C77B6"/>
    <w:rsid w:val="003D0E09"/>
    <w:rsid w:val="003D40D2"/>
    <w:rsid w:val="003D4B23"/>
    <w:rsid w:val="003D4C46"/>
    <w:rsid w:val="003D52DE"/>
    <w:rsid w:val="003D63DE"/>
    <w:rsid w:val="003D67CD"/>
    <w:rsid w:val="003D6B74"/>
    <w:rsid w:val="003D7FB1"/>
    <w:rsid w:val="003E278A"/>
    <w:rsid w:val="003E2AC5"/>
    <w:rsid w:val="003E2D3A"/>
    <w:rsid w:val="003E2FBE"/>
    <w:rsid w:val="003E6A31"/>
    <w:rsid w:val="003E6B41"/>
    <w:rsid w:val="003E771A"/>
    <w:rsid w:val="003E79BC"/>
    <w:rsid w:val="003E79E8"/>
    <w:rsid w:val="003F05D6"/>
    <w:rsid w:val="003F1385"/>
    <w:rsid w:val="003F1908"/>
    <w:rsid w:val="003F2059"/>
    <w:rsid w:val="003F224A"/>
    <w:rsid w:val="003F23AF"/>
    <w:rsid w:val="003F3EFC"/>
    <w:rsid w:val="003F412A"/>
    <w:rsid w:val="003F42B4"/>
    <w:rsid w:val="003F5218"/>
    <w:rsid w:val="003F5ABA"/>
    <w:rsid w:val="003F6F87"/>
    <w:rsid w:val="003F7A54"/>
    <w:rsid w:val="004002C2"/>
    <w:rsid w:val="004005A5"/>
    <w:rsid w:val="00400EAC"/>
    <w:rsid w:val="00403056"/>
    <w:rsid w:val="00404D10"/>
    <w:rsid w:val="0040527B"/>
    <w:rsid w:val="004060AA"/>
    <w:rsid w:val="004100AD"/>
    <w:rsid w:val="004110F6"/>
    <w:rsid w:val="00411219"/>
    <w:rsid w:val="00411BB5"/>
    <w:rsid w:val="00411CD3"/>
    <w:rsid w:val="004128F9"/>
    <w:rsid w:val="00412FF5"/>
    <w:rsid w:val="00413520"/>
    <w:rsid w:val="004143EA"/>
    <w:rsid w:val="00415A8F"/>
    <w:rsid w:val="00415C61"/>
    <w:rsid w:val="004163C7"/>
    <w:rsid w:val="00416E7C"/>
    <w:rsid w:val="00417CA6"/>
    <w:rsid w:val="00417F22"/>
    <w:rsid w:val="00421FCA"/>
    <w:rsid w:val="004268D5"/>
    <w:rsid w:val="004272D2"/>
    <w:rsid w:val="004325CB"/>
    <w:rsid w:val="004327B1"/>
    <w:rsid w:val="00432CF5"/>
    <w:rsid w:val="00434797"/>
    <w:rsid w:val="00434AEF"/>
    <w:rsid w:val="00435779"/>
    <w:rsid w:val="004364D3"/>
    <w:rsid w:val="004366B8"/>
    <w:rsid w:val="004374D4"/>
    <w:rsid w:val="00437D66"/>
    <w:rsid w:val="00440A07"/>
    <w:rsid w:val="00443194"/>
    <w:rsid w:val="004433B0"/>
    <w:rsid w:val="00445354"/>
    <w:rsid w:val="00446DF4"/>
    <w:rsid w:val="00447FEE"/>
    <w:rsid w:val="00451972"/>
    <w:rsid w:val="00453E07"/>
    <w:rsid w:val="00457388"/>
    <w:rsid w:val="00457399"/>
    <w:rsid w:val="004600AD"/>
    <w:rsid w:val="00460BB8"/>
    <w:rsid w:val="00462880"/>
    <w:rsid w:val="00464117"/>
    <w:rsid w:val="00464298"/>
    <w:rsid w:val="00466F7A"/>
    <w:rsid w:val="00467AEA"/>
    <w:rsid w:val="004706F8"/>
    <w:rsid w:val="00473085"/>
    <w:rsid w:val="00473378"/>
    <w:rsid w:val="004734CA"/>
    <w:rsid w:val="00476198"/>
    <w:rsid w:val="0047651D"/>
    <w:rsid w:val="00476F24"/>
    <w:rsid w:val="004776A2"/>
    <w:rsid w:val="00480EB6"/>
    <w:rsid w:val="00482C34"/>
    <w:rsid w:val="00483846"/>
    <w:rsid w:val="00485BA7"/>
    <w:rsid w:val="004861DB"/>
    <w:rsid w:val="00486EF1"/>
    <w:rsid w:val="00486F82"/>
    <w:rsid w:val="00487097"/>
    <w:rsid w:val="00490F0B"/>
    <w:rsid w:val="0049262D"/>
    <w:rsid w:val="004940F3"/>
    <w:rsid w:val="004946BB"/>
    <w:rsid w:val="004950B3"/>
    <w:rsid w:val="004952A5"/>
    <w:rsid w:val="00496C76"/>
    <w:rsid w:val="004A024C"/>
    <w:rsid w:val="004A0452"/>
    <w:rsid w:val="004A06D9"/>
    <w:rsid w:val="004A0E8E"/>
    <w:rsid w:val="004A18DC"/>
    <w:rsid w:val="004A4C68"/>
    <w:rsid w:val="004A5C0B"/>
    <w:rsid w:val="004A6297"/>
    <w:rsid w:val="004A6F85"/>
    <w:rsid w:val="004A7992"/>
    <w:rsid w:val="004B0B59"/>
    <w:rsid w:val="004B22D1"/>
    <w:rsid w:val="004B33BF"/>
    <w:rsid w:val="004B4371"/>
    <w:rsid w:val="004B4B77"/>
    <w:rsid w:val="004B5B94"/>
    <w:rsid w:val="004C055A"/>
    <w:rsid w:val="004C1B82"/>
    <w:rsid w:val="004C1D16"/>
    <w:rsid w:val="004C55B0"/>
    <w:rsid w:val="004C5A2F"/>
    <w:rsid w:val="004D0406"/>
    <w:rsid w:val="004D08AD"/>
    <w:rsid w:val="004D19C9"/>
    <w:rsid w:val="004D239D"/>
    <w:rsid w:val="004D3584"/>
    <w:rsid w:val="004D3D77"/>
    <w:rsid w:val="004D5419"/>
    <w:rsid w:val="004D6530"/>
    <w:rsid w:val="004D69CA"/>
    <w:rsid w:val="004E0EEB"/>
    <w:rsid w:val="004E0FDC"/>
    <w:rsid w:val="004E18D0"/>
    <w:rsid w:val="004E282E"/>
    <w:rsid w:val="004E4479"/>
    <w:rsid w:val="004E6F9D"/>
    <w:rsid w:val="004F14EA"/>
    <w:rsid w:val="004F1B15"/>
    <w:rsid w:val="004F2419"/>
    <w:rsid w:val="004F266F"/>
    <w:rsid w:val="004F374F"/>
    <w:rsid w:val="004F378A"/>
    <w:rsid w:val="004F3A01"/>
    <w:rsid w:val="004F3D66"/>
    <w:rsid w:val="004F4C5B"/>
    <w:rsid w:val="004F5351"/>
    <w:rsid w:val="004F6140"/>
    <w:rsid w:val="004F6BA0"/>
    <w:rsid w:val="004F6CFE"/>
    <w:rsid w:val="00500367"/>
    <w:rsid w:val="0050210B"/>
    <w:rsid w:val="0050285B"/>
    <w:rsid w:val="00502D71"/>
    <w:rsid w:val="00503B9D"/>
    <w:rsid w:val="00503BEA"/>
    <w:rsid w:val="00503FDD"/>
    <w:rsid w:val="00504022"/>
    <w:rsid w:val="0050427B"/>
    <w:rsid w:val="00505C13"/>
    <w:rsid w:val="0050656D"/>
    <w:rsid w:val="0050755F"/>
    <w:rsid w:val="00510E81"/>
    <w:rsid w:val="00510F00"/>
    <w:rsid w:val="00511F2C"/>
    <w:rsid w:val="005129F1"/>
    <w:rsid w:val="00512D7F"/>
    <w:rsid w:val="00512DE0"/>
    <w:rsid w:val="00513071"/>
    <w:rsid w:val="00516F51"/>
    <w:rsid w:val="005176C1"/>
    <w:rsid w:val="00517CF5"/>
    <w:rsid w:val="005200D5"/>
    <w:rsid w:val="00520369"/>
    <w:rsid w:val="00521540"/>
    <w:rsid w:val="005218E1"/>
    <w:rsid w:val="005249A0"/>
    <w:rsid w:val="00524E1D"/>
    <w:rsid w:val="005251C4"/>
    <w:rsid w:val="005274B4"/>
    <w:rsid w:val="0052766B"/>
    <w:rsid w:val="00527E44"/>
    <w:rsid w:val="005328D5"/>
    <w:rsid w:val="00533616"/>
    <w:rsid w:val="00534795"/>
    <w:rsid w:val="00534A0B"/>
    <w:rsid w:val="00534A5B"/>
    <w:rsid w:val="005351BD"/>
    <w:rsid w:val="00535ABA"/>
    <w:rsid w:val="0053601C"/>
    <w:rsid w:val="0053768B"/>
    <w:rsid w:val="00537863"/>
    <w:rsid w:val="00541B93"/>
    <w:rsid w:val="005420F2"/>
    <w:rsid w:val="0054269E"/>
    <w:rsid w:val="0054285C"/>
    <w:rsid w:val="005431A5"/>
    <w:rsid w:val="00543AA7"/>
    <w:rsid w:val="0055055A"/>
    <w:rsid w:val="0055323C"/>
    <w:rsid w:val="0055418C"/>
    <w:rsid w:val="00556901"/>
    <w:rsid w:val="00556E41"/>
    <w:rsid w:val="0056014F"/>
    <w:rsid w:val="00560EEC"/>
    <w:rsid w:val="00561B73"/>
    <w:rsid w:val="00562488"/>
    <w:rsid w:val="0056286C"/>
    <w:rsid w:val="00562ED7"/>
    <w:rsid w:val="0056385E"/>
    <w:rsid w:val="00563A1E"/>
    <w:rsid w:val="0056415C"/>
    <w:rsid w:val="0056454C"/>
    <w:rsid w:val="00565630"/>
    <w:rsid w:val="0056721C"/>
    <w:rsid w:val="005674E6"/>
    <w:rsid w:val="005705A1"/>
    <w:rsid w:val="00576873"/>
    <w:rsid w:val="005812E9"/>
    <w:rsid w:val="00582B62"/>
    <w:rsid w:val="00583DF0"/>
    <w:rsid w:val="00584173"/>
    <w:rsid w:val="00584260"/>
    <w:rsid w:val="005847AB"/>
    <w:rsid w:val="00584E82"/>
    <w:rsid w:val="005850B3"/>
    <w:rsid w:val="00586226"/>
    <w:rsid w:val="00586C0B"/>
    <w:rsid w:val="00587052"/>
    <w:rsid w:val="00587B81"/>
    <w:rsid w:val="00591047"/>
    <w:rsid w:val="0059166D"/>
    <w:rsid w:val="00591D8C"/>
    <w:rsid w:val="0059267D"/>
    <w:rsid w:val="00593722"/>
    <w:rsid w:val="0059516D"/>
    <w:rsid w:val="005954F0"/>
    <w:rsid w:val="00595520"/>
    <w:rsid w:val="00596FE5"/>
    <w:rsid w:val="00597DC4"/>
    <w:rsid w:val="005A2065"/>
    <w:rsid w:val="005A2AB2"/>
    <w:rsid w:val="005A2DEF"/>
    <w:rsid w:val="005A30FC"/>
    <w:rsid w:val="005A379C"/>
    <w:rsid w:val="005A44B9"/>
    <w:rsid w:val="005A4B12"/>
    <w:rsid w:val="005A5FAE"/>
    <w:rsid w:val="005A637F"/>
    <w:rsid w:val="005A7768"/>
    <w:rsid w:val="005A795A"/>
    <w:rsid w:val="005A7C4B"/>
    <w:rsid w:val="005B0D25"/>
    <w:rsid w:val="005B13FF"/>
    <w:rsid w:val="005B1ACB"/>
    <w:rsid w:val="005B1BA0"/>
    <w:rsid w:val="005B1D6A"/>
    <w:rsid w:val="005B2D21"/>
    <w:rsid w:val="005B3A0B"/>
    <w:rsid w:val="005B3DB3"/>
    <w:rsid w:val="005B3E91"/>
    <w:rsid w:val="005B4930"/>
    <w:rsid w:val="005B4FC3"/>
    <w:rsid w:val="005B56D4"/>
    <w:rsid w:val="005B7B31"/>
    <w:rsid w:val="005B7BF6"/>
    <w:rsid w:val="005B7CBF"/>
    <w:rsid w:val="005C20E4"/>
    <w:rsid w:val="005C2418"/>
    <w:rsid w:val="005C2CDF"/>
    <w:rsid w:val="005C4D41"/>
    <w:rsid w:val="005C6675"/>
    <w:rsid w:val="005D0E92"/>
    <w:rsid w:val="005D15CA"/>
    <w:rsid w:val="005D614E"/>
    <w:rsid w:val="005D68CF"/>
    <w:rsid w:val="005D72E6"/>
    <w:rsid w:val="005E21A1"/>
    <w:rsid w:val="005E3D08"/>
    <w:rsid w:val="005E3F2B"/>
    <w:rsid w:val="005E51A7"/>
    <w:rsid w:val="005E59A4"/>
    <w:rsid w:val="005E5B50"/>
    <w:rsid w:val="005E63FC"/>
    <w:rsid w:val="005E7F5B"/>
    <w:rsid w:val="005F0697"/>
    <w:rsid w:val="005F08DF"/>
    <w:rsid w:val="005F0F7F"/>
    <w:rsid w:val="005F1BEA"/>
    <w:rsid w:val="005F200A"/>
    <w:rsid w:val="005F2B5C"/>
    <w:rsid w:val="005F3066"/>
    <w:rsid w:val="005F3E61"/>
    <w:rsid w:val="005F4F62"/>
    <w:rsid w:val="005F52C8"/>
    <w:rsid w:val="005F6152"/>
    <w:rsid w:val="005F65E4"/>
    <w:rsid w:val="005F747A"/>
    <w:rsid w:val="006005FA"/>
    <w:rsid w:val="00600EC4"/>
    <w:rsid w:val="0060147F"/>
    <w:rsid w:val="00601E23"/>
    <w:rsid w:val="00601F56"/>
    <w:rsid w:val="006038F5"/>
    <w:rsid w:val="00604D19"/>
    <w:rsid w:val="00604DDD"/>
    <w:rsid w:val="006050A1"/>
    <w:rsid w:val="006053A9"/>
    <w:rsid w:val="0060540D"/>
    <w:rsid w:val="00605788"/>
    <w:rsid w:val="00605B50"/>
    <w:rsid w:val="00606127"/>
    <w:rsid w:val="006075A8"/>
    <w:rsid w:val="00607719"/>
    <w:rsid w:val="006102C4"/>
    <w:rsid w:val="0061030E"/>
    <w:rsid w:val="00610906"/>
    <w:rsid w:val="006115CC"/>
    <w:rsid w:val="00611FC4"/>
    <w:rsid w:val="00612981"/>
    <w:rsid w:val="00614BAC"/>
    <w:rsid w:val="00616EB6"/>
    <w:rsid w:val="006176FB"/>
    <w:rsid w:val="00621BFD"/>
    <w:rsid w:val="00621C6F"/>
    <w:rsid w:val="006224BA"/>
    <w:rsid w:val="0062281E"/>
    <w:rsid w:val="0062508F"/>
    <w:rsid w:val="0062517E"/>
    <w:rsid w:val="0062617D"/>
    <w:rsid w:val="00630379"/>
    <w:rsid w:val="00630FCB"/>
    <w:rsid w:val="00632129"/>
    <w:rsid w:val="00633153"/>
    <w:rsid w:val="0063394A"/>
    <w:rsid w:val="00634B79"/>
    <w:rsid w:val="00635870"/>
    <w:rsid w:val="00637FCD"/>
    <w:rsid w:val="00640B26"/>
    <w:rsid w:val="00641390"/>
    <w:rsid w:val="006425D1"/>
    <w:rsid w:val="00645E89"/>
    <w:rsid w:val="00645EF0"/>
    <w:rsid w:val="006477D4"/>
    <w:rsid w:val="00647DA4"/>
    <w:rsid w:val="00651E90"/>
    <w:rsid w:val="00652328"/>
    <w:rsid w:val="00652467"/>
    <w:rsid w:val="0065302A"/>
    <w:rsid w:val="00653725"/>
    <w:rsid w:val="0065613D"/>
    <w:rsid w:val="00657C10"/>
    <w:rsid w:val="00657EB5"/>
    <w:rsid w:val="006611B4"/>
    <w:rsid w:val="006613F6"/>
    <w:rsid w:val="006633D4"/>
    <w:rsid w:val="00664B12"/>
    <w:rsid w:val="00664E36"/>
    <w:rsid w:val="00665101"/>
    <w:rsid w:val="0066567B"/>
    <w:rsid w:val="00670DDB"/>
    <w:rsid w:val="006728B4"/>
    <w:rsid w:val="00673640"/>
    <w:rsid w:val="006770B2"/>
    <w:rsid w:val="00680A33"/>
    <w:rsid w:val="00680D9E"/>
    <w:rsid w:val="0068178D"/>
    <w:rsid w:val="006836A2"/>
    <w:rsid w:val="00684F14"/>
    <w:rsid w:val="006874B2"/>
    <w:rsid w:val="00687BF3"/>
    <w:rsid w:val="00690BDB"/>
    <w:rsid w:val="00690DFF"/>
    <w:rsid w:val="00690FAD"/>
    <w:rsid w:val="006940E1"/>
    <w:rsid w:val="00694EA8"/>
    <w:rsid w:val="0069664C"/>
    <w:rsid w:val="00697551"/>
    <w:rsid w:val="006A1E8A"/>
    <w:rsid w:val="006A3C72"/>
    <w:rsid w:val="006A50C5"/>
    <w:rsid w:val="006A5CC1"/>
    <w:rsid w:val="006A641D"/>
    <w:rsid w:val="006A7392"/>
    <w:rsid w:val="006B03A1"/>
    <w:rsid w:val="006B1377"/>
    <w:rsid w:val="006B2AB3"/>
    <w:rsid w:val="006B3CCC"/>
    <w:rsid w:val="006B54D4"/>
    <w:rsid w:val="006B649D"/>
    <w:rsid w:val="006B67D9"/>
    <w:rsid w:val="006B69EE"/>
    <w:rsid w:val="006C0D94"/>
    <w:rsid w:val="006C1091"/>
    <w:rsid w:val="006C244D"/>
    <w:rsid w:val="006C43E3"/>
    <w:rsid w:val="006C49AB"/>
    <w:rsid w:val="006C4E35"/>
    <w:rsid w:val="006C50C9"/>
    <w:rsid w:val="006C5535"/>
    <w:rsid w:val="006C667D"/>
    <w:rsid w:val="006C70C1"/>
    <w:rsid w:val="006D0433"/>
    <w:rsid w:val="006D0589"/>
    <w:rsid w:val="006D0D26"/>
    <w:rsid w:val="006D1967"/>
    <w:rsid w:val="006D1C93"/>
    <w:rsid w:val="006D39BD"/>
    <w:rsid w:val="006D3BB0"/>
    <w:rsid w:val="006D4102"/>
    <w:rsid w:val="006D4183"/>
    <w:rsid w:val="006D49B8"/>
    <w:rsid w:val="006D66AF"/>
    <w:rsid w:val="006D6B3F"/>
    <w:rsid w:val="006E022E"/>
    <w:rsid w:val="006E1661"/>
    <w:rsid w:val="006E20FB"/>
    <w:rsid w:val="006E3281"/>
    <w:rsid w:val="006E3824"/>
    <w:rsid w:val="006E3C04"/>
    <w:rsid w:val="006E5214"/>
    <w:rsid w:val="006E564B"/>
    <w:rsid w:val="006E5677"/>
    <w:rsid w:val="006E63E7"/>
    <w:rsid w:val="006E68B3"/>
    <w:rsid w:val="006E7154"/>
    <w:rsid w:val="006E7A74"/>
    <w:rsid w:val="006F2160"/>
    <w:rsid w:val="006F3255"/>
    <w:rsid w:val="006F3B50"/>
    <w:rsid w:val="006F3D4B"/>
    <w:rsid w:val="006F448F"/>
    <w:rsid w:val="006F56ED"/>
    <w:rsid w:val="006F5A2B"/>
    <w:rsid w:val="006F70B6"/>
    <w:rsid w:val="006F7649"/>
    <w:rsid w:val="006F79D3"/>
    <w:rsid w:val="006F7E09"/>
    <w:rsid w:val="007003CD"/>
    <w:rsid w:val="00700908"/>
    <w:rsid w:val="007012CE"/>
    <w:rsid w:val="00702958"/>
    <w:rsid w:val="0070450D"/>
    <w:rsid w:val="0070515F"/>
    <w:rsid w:val="007057CA"/>
    <w:rsid w:val="007063AF"/>
    <w:rsid w:val="00706683"/>
    <w:rsid w:val="0070701E"/>
    <w:rsid w:val="00707BE6"/>
    <w:rsid w:val="007113F9"/>
    <w:rsid w:val="00712D05"/>
    <w:rsid w:val="007133AE"/>
    <w:rsid w:val="007134C7"/>
    <w:rsid w:val="007141A6"/>
    <w:rsid w:val="0071427D"/>
    <w:rsid w:val="007151FA"/>
    <w:rsid w:val="00715384"/>
    <w:rsid w:val="00715669"/>
    <w:rsid w:val="0071766C"/>
    <w:rsid w:val="00721BCC"/>
    <w:rsid w:val="00721C3D"/>
    <w:rsid w:val="00722963"/>
    <w:rsid w:val="00723902"/>
    <w:rsid w:val="00726016"/>
    <w:rsid w:val="0072632A"/>
    <w:rsid w:val="007263AE"/>
    <w:rsid w:val="00726522"/>
    <w:rsid w:val="00726554"/>
    <w:rsid w:val="007267D2"/>
    <w:rsid w:val="00726810"/>
    <w:rsid w:val="007326E4"/>
    <w:rsid w:val="00735623"/>
    <w:rsid w:val="007358E8"/>
    <w:rsid w:val="00736ECE"/>
    <w:rsid w:val="007437E4"/>
    <w:rsid w:val="0074533B"/>
    <w:rsid w:val="00745D8C"/>
    <w:rsid w:val="00746F7E"/>
    <w:rsid w:val="00750F17"/>
    <w:rsid w:val="00753B7D"/>
    <w:rsid w:val="007552EA"/>
    <w:rsid w:val="00757CF5"/>
    <w:rsid w:val="0076008C"/>
    <w:rsid w:val="00760273"/>
    <w:rsid w:val="00761012"/>
    <w:rsid w:val="007627C6"/>
    <w:rsid w:val="00764246"/>
    <w:rsid w:val="007643BC"/>
    <w:rsid w:val="0076609F"/>
    <w:rsid w:val="00770058"/>
    <w:rsid w:val="007702B0"/>
    <w:rsid w:val="00770C40"/>
    <w:rsid w:val="00771049"/>
    <w:rsid w:val="00771900"/>
    <w:rsid w:val="0077204C"/>
    <w:rsid w:val="0077540A"/>
    <w:rsid w:val="00775958"/>
    <w:rsid w:val="00776453"/>
    <w:rsid w:val="007771BC"/>
    <w:rsid w:val="0077794C"/>
    <w:rsid w:val="007802F8"/>
    <w:rsid w:val="00781EE5"/>
    <w:rsid w:val="00782140"/>
    <w:rsid w:val="00782442"/>
    <w:rsid w:val="00783C5B"/>
    <w:rsid w:val="00784870"/>
    <w:rsid w:val="007848FD"/>
    <w:rsid w:val="00784DBF"/>
    <w:rsid w:val="007856BF"/>
    <w:rsid w:val="00785A27"/>
    <w:rsid w:val="00785F47"/>
    <w:rsid w:val="00787317"/>
    <w:rsid w:val="00790005"/>
    <w:rsid w:val="00790084"/>
    <w:rsid w:val="0079056A"/>
    <w:rsid w:val="0079101E"/>
    <w:rsid w:val="00791309"/>
    <w:rsid w:val="00791DB6"/>
    <w:rsid w:val="00792A6F"/>
    <w:rsid w:val="00794B25"/>
    <w:rsid w:val="00794B97"/>
    <w:rsid w:val="007959FE"/>
    <w:rsid w:val="00795FC8"/>
    <w:rsid w:val="00796258"/>
    <w:rsid w:val="007A06A9"/>
    <w:rsid w:val="007A0CF1"/>
    <w:rsid w:val="007A19CB"/>
    <w:rsid w:val="007A3A55"/>
    <w:rsid w:val="007A3C8C"/>
    <w:rsid w:val="007A53E1"/>
    <w:rsid w:val="007A6B36"/>
    <w:rsid w:val="007B00FE"/>
    <w:rsid w:val="007B1564"/>
    <w:rsid w:val="007B1A9F"/>
    <w:rsid w:val="007B4823"/>
    <w:rsid w:val="007B4972"/>
    <w:rsid w:val="007B6BA5"/>
    <w:rsid w:val="007B7366"/>
    <w:rsid w:val="007B7373"/>
    <w:rsid w:val="007B74DF"/>
    <w:rsid w:val="007C2130"/>
    <w:rsid w:val="007C2199"/>
    <w:rsid w:val="007C2F1A"/>
    <w:rsid w:val="007C3390"/>
    <w:rsid w:val="007C42D8"/>
    <w:rsid w:val="007C4F4B"/>
    <w:rsid w:val="007C5218"/>
    <w:rsid w:val="007C6D87"/>
    <w:rsid w:val="007C7148"/>
    <w:rsid w:val="007C7CB9"/>
    <w:rsid w:val="007D014C"/>
    <w:rsid w:val="007D0410"/>
    <w:rsid w:val="007D438E"/>
    <w:rsid w:val="007D5970"/>
    <w:rsid w:val="007D605E"/>
    <w:rsid w:val="007D63EB"/>
    <w:rsid w:val="007D6485"/>
    <w:rsid w:val="007D67A8"/>
    <w:rsid w:val="007D6806"/>
    <w:rsid w:val="007D7362"/>
    <w:rsid w:val="007D7A5A"/>
    <w:rsid w:val="007D7B62"/>
    <w:rsid w:val="007E061F"/>
    <w:rsid w:val="007E07CE"/>
    <w:rsid w:val="007E1DA2"/>
    <w:rsid w:val="007E21AD"/>
    <w:rsid w:val="007E2A52"/>
    <w:rsid w:val="007E3DE5"/>
    <w:rsid w:val="007E41AA"/>
    <w:rsid w:val="007E4851"/>
    <w:rsid w:val="007F0B74"/>
    <w:rsid w:val="007F0E2D"/>
    <w:rsid w:val="007F3725"/>
    <w:rsid w:val="007F3A77"/>
    <w:rsid w:val="007F4308"/>
    <w:rsid w:val="007F5CE2"/>
    <w:rsid w:val="007F6611"/>
    <w:rsid w:val="007F6A84"/>
    <w:rsid w:val="007F703B"/>
    <w:rsid w:val="007F7F98"/>
    <w:rsid w:val="008002FB"/>
    <w:rsid w:val="008004B1"/>
    <w:rsid w:val="00800568"/>
    <w:rsid w:val="00800E17"/>
    <w:rsid w:val="008015EE"/>
    <w:rsid w:val="00801C03"/>
    <w:rsid w:val="0080201B"/>
    <w:rsid w:val="008025CE"/>
    <w:rsid w:val="0080373B"/>
    <w:rsid w:val="0080611A"/>
    <w:rsid w:val="008066E6"/>
    <w:rsid w:val="00810962"/>
    <w:rsid w:val="00810BAC"/>
    <w:rsid w:val="008119EF"/>
    <w:rsid w:val="00811C32"/>
    <w:rsid w:val="00812FA6"/>
    <w:rsid w:val="00814A2E"/>
    <w:rsid w:val="00815EBA"/>
    <w:rsid w:val="00816231"/>
    <w:rsid w:val="008167AB"/>
    <w:rsid w:val="00816B84"/>
    <w:rsid w:val="0081750A"/>
    <w:rsid w:val="008175E9"/>
    <w:rsid w:val="008217DC"/>
    <w:rsid w:val="00822166"/>
    <w:rsid w:val="00822554"/>
    <w:rsid w:val="00823019"/>
    <w:rsid w:val="00824089"/>
    <w:rsid w:val="008241B3"/>
    <w:rsid w:val="008242D7"/>
    <w:rsid w:val="0082577B"/>
    <w:rsid w:val="008267A1"/>
    <w:rsid w:val="00826E70"/>
    <w:rsid w:val="00827227"/>
    <w:rsid w:val="0083272B"/>
    <w:rsid w:val="008340B4"/>
    <w:rsid w:val="00834291"/>
    <w:rsid w:val="0083561D"/>
    <w:rsid w:val="0083576B"/>
    <w:rsid w:val="00836437"/>
    <w:rsid w:val="00836EEA"/>
    <w:rsid w:val="00837D0B"/>
    <w:rsid w:val="00840E3B"/>
    <w:rsid w:val="00843429"/>
    <w:rsid w:val="00843AC8"/>
    <w:rsid w:val="00843BEC"/>
    <w:rsid w:val="008457C7"/>
    <w:rsid w:val="008470C0"/>
    <w:rsid w:val="00847C2E"/>
    <w:rsid w:val="008500CA"/>
    <w:rsid w:val="0085013E"/>
    <w:rsid w:val="00850F8D"/>
    <w:rsid w:val="00851016"/>
    <w:rsid w:val="008512A4"/>
    <w:rsid w:val="008518F0"/>
    <w:rsid w:val="0085342D"/>
    <w:rsid w:val="00854D2B"/>
    <w:rsid w:val="00855670"/>
    <w:rsid w:val="008558C4"/>
    <w:rsid w:val="0085680B"/>
    <w:rsid w:val="00857854"/>
    <w:rsid w:val="008608E3"/>
    <w:rsid w:val="00862989"/>
    <w:rsid w:val="00862BB1"/>
    <w:rsid w:val="0086364C"/>
    <w:rsid w:val="008653CE"/>
    <w:rsid w:val="00865FC8"/>
    <w:rsid w:val="00866893"/>
    <w:rsid w:val="00866F02"/>
    <w:rsid w:val="00867D18"/>
    <w:rsid w:val="008703B1"/>
    <w:rsid w:val="00871F9A"/>
    <w:rsid w:val="00871FD5"/>
    <w:rsid w:val="00872F29"/>
    <w:rsid w:val="008736E0"/>
    <w:rsid w:val="008749A3"/>
    <w:rsid w:val="008751F4"/>
    <w:rsid w:val="00876203"/>
    <w:rsid w:val="008768D8"/>
    <w:rsid w:val="00877726"/>
    <w:rsid w:val="008802A1"/>
    <w:rsid w:val="00880B4E"/>
    <w:rsid w:val="0088172E"/>
    <w:rsid w:val="00881EFA"/>
    <w:rsid w:val="008837A3"/>
    <w:rsid w:val="00883A58"/>
    <w:rsid w:val="00883CF8"/>
    <w:rsid w:val="00884B80"/>
    <w:rsid w:val="008857E9"/>
    <w:rsid w:val="00885F3F"/>
    <w:rsid w:val="0088774F"/>
    <w:rsid w:val="008879CB"/>
    <w:rsid w:val="0089108E"/>
    <w:rsid w:val="00894C80"/>
    <w:rsid w:val="00894DAB"/>
    <w:rsid w:val="00896904"/>
    <w:rsid w:val="00897003"/>
    <w:rsid w:val="00897578"/>
    <w:rsid w:val="008979B1"/>
    <w:rsid w:val="008A3266"/>
    <w:rsid w:val="008A5085"/>
    <w:rsid w:val="008A563F"/>
    <w:rsid w:val="008A5B17"/>
    <w:rsid w:val="008A6395"/>
    <w:rsid w:val="008A6B25"/>
    <w:rsid w:val="008A6C4F"/>
    <w:rsid w:val="008A729D"/>
    <w:rsid w:val="008A72EA"/>
    <w:rsid w:val="008A732A"/>
    <w:rsid w:val="008A7340"/>
    <w:rsid w:val="008B0EA3"/>
    <w:rsid w:val="008B0FD9"/>
    <w:rsid w:val="008B16B0"/>
    <w:rsid w:val="008B1BB2"/>
    <w:rsid w:val="008B32F8"/>
    <w:rsid w:val="008B389E"/>
    <w:rsid w:val="008B3DF0"/>
    <w:rsid w:val="008B41D7"/>
    <w:rsid w:val="008B5962"/>
    <w:rsid w:val="008B76DA"/>
    <w:rsid w:val="008B7C3D"/>
    <w:rsid w:val="008C190F"/>
    <w:rsid w:val="008C1C9E"/>
    <w:rsid w:val="008C30EE"/>
    <w:rsid w:val="008C3221"/>
    <w:rsid w:val="008C4639"/>
    <w:rsid w:val="008C4A42"/>
    <w:rsid w:val="008C57F0"/>
    <w:rsid w:val="008C5AD8"/>
    <w:rsid w:val="008C5C8D"/>
    <w:rsid w:val="008C68DF"/>
    <w:rsid w:val="008C6FC9"/>
    <w:rsid w:val="008C7E4A"/>
    <w:rsid w:val="008D045E"/>
    <w:rsid w:val="008D0D1D"/>
    <w:rsid w:val="008D3F25"/>
    <w:rsid w:val="008D4D82"/>
    <w:rsid w:val="008E065A"/>
    <w:rsid w:val="008E0E46"/>
    <w:rsid w:val="008E1BED"/>
    <w:rsid w:val="008E1C05"/>
    <w:rsid w:val="008E3C11"/>
    <w:rsid w:val="008E3C69"/>
    <w:rsid w:val="008E7116"/>
    <w:rsid w:val="008E7519"/>
    <w:rsid w:val="008E791C"/>
    <w:rsid w:val="008F143B"/>
    <w:rsid w:val="008F17DF"/>
    <w:rsid w:val="008F2C75"/>
    <w:rsid w:val="008F3882"/>
    <w:rsid w:val="008F3BCE"/>
    <w:rsid w:val="008F4046"/>
    <w:rsid w:val="008F45C1"/>
    <w:rsid w:val="008F4B7C"/>
    <w:rsid w:val="008F52C3"/>
    <w:rsid w:val="008F5F6F"/>
    <w:rsid w:val="008F6FEE"/>
    <w:rsid w:val="009004B5"/>
    <w:rsid w:val="00900767"/>
    <w:rsid w:val="00900CBE"/>
    <w:rsid w:val="00901438"/>
    <w:rsid w:val="00902A60"/>
    <w:rsid w:val="00902BDC"/>
    <w:rsid w:val="00903F90"/>
    <w:rsid w:val="00904372"/>
    <w:rsid w:val="00906029"/>
    <w:rsid w:val="0090649A"/>
    <w:rsid w:val="00906820"/>
    <w:rsid w:val="009076DD"/>
    <w:rsid w:val="0091086F"/>
    <w:rsid w:val="00910D31"/>
    <w:rsid w:val="00911CEB"/>
    <w:rsid w:val="00911E29"/>
    <w:rsid w:val="00913160"/>
    <w:rsid w:val="00916572"/>
    <w:rsid w:val="00917C2C"/>
    <w:rsid w:val="00920213"/>
    <w:rsid w:val="00921323"/>
    <w:rsid w:val="00921AC4"/>
    <w:rsid w:val="0092489E"/>
    <w:rsid w:val="00924EA0"/>
    <w:rsid w:val="00924F86"/>
    <w:rsid w:val="009252F3"/>
    <w:rsid w:val="00925544"/>
    <w:rsid w:val="009258E5"/>
    <w:rsid w:val="00925BC7"/>
    <w:rsid w:val="009264BE"/>
    <w:rsid w:val="00926E47"/>
    <w:rsid w:val="009276DD"/>
    <w:rsid w:val="00930118"/>
    <w:rsid w:val="0093236A"/>
    <w:rsid w:val="00935484"/>
    <w:rsid w:val="009354CC"/>
    <w:rsid w:val="009361B1"/>
    <w:rsid w:val="00936F72"/>
    <w:rsid w:val="00937AA7"/>
    <w:rsid w:val="0094091F"/>
    <w:rsid w:val="00940E4A"/>
    <w:rsid w:val="00941F9C"/>
    <w:rsid w:val="0094406A"/>
    <w:rsid w:val="00944B18"/>
    <w:rsid w:val="009463AB"/>
    <w:rsid w:val="00947162"/>
    <w:rsid w:val="0095000D"/>
    <w:rsid w:val="00950154"/>
    <w:rsid w:val="009506DB"/>
    <w:rsid w:val="0095117D"/>
    <w:rsid w:val="009513C3"/>
    <w:rsid w:val="00951C1A"/>
    <w:rsid w:val="0095248A"/>
    <w:rsid w:val="009528ED"/>
    <w:rsid w:val="00953F31"/>
    <w:rsid w:val="00954250"/>
    <w:rsid w:val="009543A8"/>
    <w:rsid w:val="00955508"/>
    <w:rsid w:val="00955853"/>
    <w:rsid w:val="00955AC9"/>
    <w:rsid w:val="00955E2D"/>
    <w:rsid w:val="00956BC2"/>
    <w:rsid w:val="009610D0"/>
    <w:rsid w:val="009626FF"/>
    <w:rsid w:val="00962968"/>
    <w:rsid w:val="009633C1"/>
    <w:rsid w:val="0096375C"/>
    <w:rsid w:val="00964BAC"/>
    <w:rsid w:val="009662E6"/>
    <w:rsid w:val="00966478"/>
    <w:rsid w:val="009664FF"/>
    <w:rsid w:val="009670B2"/>
    <w:rsid w:val="00967336"/>
    <w:rsid w:val="0097095E"/>
    <w:rsid w:val="00970B62"/>
    <w:rsid w:val="00971B1D"/>
    <w:rsid w:val="009725BD"/>
    <w:rsid w:val="00972730"/>
    <w:rsid w:val="00972A7A"/>
    <w:rsid w:val="0097437F"/>
    <w:rsid w:val="00977863"/>
    <w:rsid w:val="00980B2A"/>
    <w:rsid w:val="009820C4"/>
    <w:rsid w:val="009842BE"/>
    <w:rsid w:val="0098592B"/>
    <w:rsid w:val="00985FC4"/>
    <w:rsid w:val="00986D3E"/>
    <w:rsid w:val="009875AD"/>
    <w:rsid w:val="00987A56"/>
    <w:rsid w:val="00990766"/>
    <w:rsid w:val="00991261"/>
    <w:rsid w:val="00991A52"/>
    <w:rsid w:val="0099272B"/>
    <w:rsid w:val="00993D40"/>
    <w:rsid w:val="009943BC"/>
    <w:rsid w:val="00994FEC"/>
    <w:rsid w:val="00995C34"/>
    <w:rsid w:val="00996205"/>
    <w:rsid w:val="009964C4"/>
    <w:rsid w:val="00996DCD"/>
    <w:rsid w:val="00997BF9"/>
    <w:rsid w:val="009A1071"/>
    <w:rsid w:val="009A2706"/>
    <w:rsid w:val="009A298E"/>
    <w:rsid w:val="009A54AF"/>
    <w:rsid w:val="009A57CE"/>
    <w:rsid w:val="009A678B"/>
    <w:rsid w:val="009A6CB6"/>
    <w:rsid w:val="009A7B81"/>
    <w:rsid w:val="009B0DE9"/>
    <w:rsid w:val="009B0E6B"/>
    <w:rsid w:val="009B1FB2"/>
    <w:rsid w:val="009B2342"/>
    <w:rsid w:val="009B2D15"/>
    <w:rsid w:val="009B3D21"/>
    <w:rsid w:val="009B403D"/>
    <w:rsid w:val="009B41FC"/>
    <w:rsid w:val="009B4299"/>
    <w:rsid w:val="009B50D8"/>
    <w:rsid w:val="009B6BDC"/>
    <w:rsid w:val="009B7F4D"/>
    <w:rsid w:val="009C019B"/>
    <w:rsid w:val="009C04DA"/>
    <w:rsid w:val="009C1A5C"/>
    <w:rsid w:val="009C1DD5"/>
    <w:rsid w:val="009C21C0"/>
    <w:rsid w:val="009C2552"/>
    <w:rsid w:val="009C38C6"/>
    <w:rsid w:val="009C63CC"/>
    <w:rsid w:val="009C7C3A"/>
    <w:rsid w:val="009D01C0"/>
    <w:rsid w:val="009D08C7"/>
    <w:rsid w:val="009D2471"/>
    <w:rsid w:val="009D30E3"/>
    <w:rsid w:val="009D3398"/>
    <w:rsid w:val="009D366D"/>
    <w:rsid w:val="009D39D5"/>
    <w:rsid w:val="009D44DB"/>
    <w:rsid w:val="009D6A08"/>
    <w:rsid w:val="009D6BC0"/>
    <w:rsid w:val="009D6D83"/>
    <w:rsid w:val="009D726C"/>
    <w:rsid w:val="009E0678"/>
    <w:rsid w:val="009E0A16"/>
    <w:rsid w:val="009E1134"/>
    <w:rsid w:val="009E2436"/>
    <w:rsid w:val="009E2EAF"/>
    <w:rsid w:val="009E4C1B"/>
    <w:rsid w:val="009E5566"/>
    <w:rsid w:val="009E5CBF"/>
    <w:rsid w:val="009E5E6F"/>
    <w:rsid w:val="009E6CB7"/>
    <w:rsid w:val="009E7936"/>
    <w:rsid w:val="009E7970"/>
    <w:rsid w:val="009E7D00"/>
    <w:rsid w:val="009F14E0"/>
    <w:rsid w:val="009F1BD1"/>
    <w:rsid w:val="009F255D"/>
    <w:rsid w:val="009F2EAC"/>
    <w:rsid w:val="009F2F83"/>
    <w:rsid w:val="009F310D"/>
    <w:rsid w:val="009F3455"/>
    <w:rsid w:val="009F3D88"/>
    <w:rsid w:val="009F3EF0"/>
    <w:rsid w:val="009F42D9"/>
    <w:rsid w:val="009F525E"/>
    <w:rsid w:val="009F57E3"/>
    <w:rsid w:val="009F631A"/>
    <w:rsid w:val="009F7096"/>
    <w:rsid w:val="009F7F97"/>
    <w:rsid w:val="00A0013E"/>
    <w:rsid w:val="00A0021C"/>
    <w:rsid w:val="00A002FF"/>
    <w:rsid w:val="00A00562"/>
    <w:rsid w:val="00A005A1"/>
    <w:rsid w:val="00A02971"/>
    <w:rsid w:val="00A035B4"/>
    <w:rsid w:val="00A03676"/>
    <w:rsid w:val="00A03F1D"/>
    <w:rsid w:val="00A0448F"/>
    <w:rsid w:val="00A0774C"/>
    <w:rsid w:val="00A10866"/>
    <w:rsid w:val="00A10C3D"/>
    <w:rsid w:val="00A10F4F"/>
    <w:rsid w:val="00A11067"/>
    <w:rsid w:val="00A1124E"/>
    <w:rsid w:val="00A11CA8"/>
    <w:rsid w:val="00A14992"/>
    <w:rsid w:val="00A14D42"/>
    <w:rsid w:val="00A14EDA"/>
    <w:rsid w:val="00A14F02"/>
    <w:rsid w:val="00A1540C"/>
    <w:rsid w:val="00A157CD"/>
    <w:rsid w:val="00A1664C"/>
    <w:rsid w:val="00A16A48"/>
    <w:rsid w:val="00A1704A"/>
    <w:rsid w:val="00A224BE"/>
    <w:rsid w:val="00A22659"/>
    <w:rsid w:val="00A23D29"/>
    <w:rsid w:val="00A26C48"/>
    <w:rsid w:val="00A27157"/>
    <w:rsid w:val="00A27436"/>
    <w:rsid w:val="00A31CD1"/>
    <w:rsid w:val="00A327DF"/>
    <w:rsid w:val="00A32DD0"/>
    <w:rsid w:val="00A331DC"/>
    <w:rsid w:val="00A34654"/>
    <w:rsid w:val="00A35549"/>
    <w:rsid w:val="00A36357"/>
    <w:rsid w:val="00A368F8"/>
    <w:rsid w:val="00A36A0E"/>
    <w:rsid w:val="00A36F24"/>
    <w:rsid w:val="00A37031"/>
    <w:rsid w:val="00A40A08"/>
    <w:rsid w:val="00A425EB"/>
    <w:rsid w:val="00A428FB"/>
    <w:rsid w:val="00A42FEF"/>
    <w:rsid w:val="00A448FE"/>
    <w:rsid w:val="00A44B12"/>
    <w:rsid w:val="00A4685D"/>
    <w:rsid w:val="00A5007A"/>
    <w:rsid w:val="00A51C1E"/>
    <w:rsid w:val="00A51C47"/>
    <w:rsid w:val="00A5317F"/>
    <w:rsid w:val="00A60917"/>
    <w:rsid w:val="00A60F12"/>
    <w:rsid w:val="00A62726"/>
    <w:rsid w:val="00A6400F"/>
    <w:rsid w:val="00A64152"/>
    <w:rsid w:val="00A64820"/>
    <w:rsid w:val="00A64BCD"/>
    <w:rsid w:val="00A65679"/>
    <w:rsid w:val="00A66037"/>
    <w:rsid w:val="00A66628"/>
    <w:rsid w:val="00A66E08"/>
    <w:rsid w:val="00A670CC"/>
    <w:rsid w:val="00A7105C"/>
    <w:rsid w:val="00A715F2"/>
    <w:rsid w:val="00A71CEE"/>
    <w:rsid w:val="00A72F22"/>
    <w:rsid w:val="00A72FCF"/>
    <w:rsid w:val="00A72FD9"/>
    <w:rsid w:val="00A733BC"/>
    <w:rsid w:val="00A73662"/>
    <w:rsid w:val="00A737BD"/>
    <w:rsid w:val="00A737E8"/>
    <w:rsid w:val="00A73BEC"/>
    <w:rsid w:val="00A748A6"/>
    <w:rsid w:val="00A74A77"/>
    <w:rsid w:val="00A75BF7"/>
    <w:rsid w:val="00A76A69"/>
    <w:rsid w:val="00A77670"/>
    <w:rsid w:val="00A779BD"/>
    <w:rsid w:val="00A803AD"/>
    <w:rsid w:val="00A810CA"/>
    <w:rsid w:val="00A8462B"/>
    <w:rsid w:val="00A85914"/>
    <w:rsid w:val="00A8598B"/>
    <w:rsid w:val="00A86F5F"/>
    <w:rsid w:val="00A87442"/>
    <w:rsid w:val="00A879A4"/>
    <w:rsid w:val="00A90A58"/>
    <w:rsid w:val="00A9184B"/>
    <w:rsid w:val="00A91D45"/>
    <w:rsid w:val="00A92968"/>
    <w:rsid w:val="00A92C55"/>
    <w:rsid w:val="00A934CB"/>
    <w:rsid w:val="00AA0178"/>
    <w:rsid w:val="00AA0761"/>
    <w:rsid w:val="00AA0FF8"/>
    <w:rsid w:val="00AA3CF9"/>
    <w:rsid w:val="00AA53D8"/>
    <w:rsid w:val="00AA55E7"/>
    <w:rsid w:val="00AA6DE3"/>
    <w:rsid w:val="00AA7077"/>
    <w:rsid w:val="00AB0EBC"/>
    <w:rsid w:val="00AB1790"/>
    <w:rsid w:val="00AB1F4B"/>
    <w:rsid w:val="00AB2FA3"/>
    <w:rsid w:val="00AB394E"/>
    <w:rsid w:val="00AB41A5"/>
    <w:rsid w:val="00AB5643"/>
    <w:rsid w:val="00AC0F2C"/>
    <w:rsid w:val="00AC2CF4"/>
    <w:rsid w:val="00AC2D14"/>
    <w:rsid w:val="00AC379C"/>
    <w:rsid w:val="00AC502A"/>
    <w:rsid w:val="00AC5A5C"/>
    <w:rsid w:val="00AC617C"/>
    <w:rsid w:val="00AC7C33"/>
    <w:rsid w:val="00AD22CF"/>
    <w:rsid w:val="00AD4DA0"/>
    <w:rsid w:val="00AD6704"/>
    <w:rsid w:val="00AD6868"/>
    <w:rsid w:val="00AD74BE"/>
    <w:rsid w:val="00AE0BF6"/>
    <w:rsid w:val="00AE106E"/>
    <w:rsid w:val="00AE3757"/>
    <w:rsid w:val="00AE403A"/>
    <w:rsid w:val="00AE4C77"/>
    <w:rsid w:val="00AE504D"/>
    <w:rsid w:val="00AE5280"/>
    <w:rsid w:val="00AF1BEA"/>
    <w:rsid w:val="00AF3F9F"/>
    <w:rsid w:val="00AF404D"/>
    <w:rsid w:val="00AF4781"/>
    <w:rsid w:val="00AF58C1"/>
    <w:rsid w:val="00AF6DE9"/>
    <w:rsid w:val="00AF7180"/>
    <w:rsid w:val="00B02D28"/>
    <w:rsid w:val="00B02F5B"/>
    <w:rsid w:val="00B03D0A"/>
    <w:rsid w:val="00B04A3F"/>
    <w:rsid w:val="00B04BA6"/>
    <w:rsid w:val="00B06643"/>
    <w:rsid w:val="00B07E20"/>
    <w:rsid w:val="00B10A5D"/>
    <w:rsid w:val="00B11E1B"/>
    <w:rsid w:val="00B13DD8"/>
    <w:rsid w:val="00B15055"/>
    <w:rsid w:val="00B15939"/>
    <w:rsid w:val="00B15AF6"/>
    <w:rsid w:val="00B20871"/>
    <w:rsid w:val="00B24F88"/>
    <w:rsid w:val="00B263BF"/>
    <w:rsid w:val="00B2690C"/>
    <w:rsid w:val="00B2706F"/>
    <w:rsid w:val="00B27B4A"/>
    <w:rsid w:val="00B30179"/>
    <w:rsid w:val="00B3274C"/>
    <w:rsid w:val="00B337E2"/>
    <w:rsid w:val="00B33945"/>
    <w:rsid w:val="00B34347"/>
    <w:rsid w:val="00B358F5"/>
    <w:rsid w:val="00B36801"/>
    <w:rsid w:val="00B37258"/>
    <w:rsid w:val="00B37B15"/>
    <w:rsid w:val="00B40091"/>
    <w:rsid w:val="00B41382"/>
    <w:rsid w:val="00B42375"/>
    <w:rsid w:val="00B435DC"/>
    <w:rsid w:val="00B44252"/>
    <w:rsid w:val="00B45C02"/>
    <w:rsid w:val="00B45E48"/>
    <w:rsid w:val="00B46A22"/>
    <w:rsid w:val="00B5131A"/>
    <w:rsid w:val="00B526D4"/>
    <w:rsid w:val="00B53F6A"/>
    <w:rsid w:val="00B551AF"/>
    <w:rsid w:val="00B555CB"/>
    <w:rsid w:val="00B5727F"/>
    <w:rsid w:val="00B57D06"/>
    <w:rsid w:val="00B6011F"/>
    <w:rsid w:val="00B603CF"/>
    <w:rsid w:val="00B60C69"/>
    <w:rsid w:val="00B60D02"/>
    <w:rsid w:val="00B60E4D"/>
    <w:rsid w:val="00B61E4A"/>
    <w:rsid w:val="00B6283C"/>
    <w:rsid w:val="00B6374B"/>
    <w:rsid w:val="00B646DA"/>
    <w:rsid w:val="00B65226"/>
    <w:rsid w:val="00B6580A"/>
    <w:rsid w:val="00B6724B"/>
    <w:rsid w:val="00B676C0"/>
    <w:rsid w:val="00B67949"/>
    <w:rsid w:val="00B70B63"/>
    <w:rsid w:val="00B72A1E"/>
    <w:rsid w:val="00B74F00"/>
    <w:rsid w:val="00B762ED"/>
    <w:rsid w:val="00B80700"/>
    <w:rsid w:val="00B8087D"/>
    <w:rsid w:val="00B81E12"/>
    <w:rsid w:val="00B81FDA"/>
    <w:rsid w:val="00B84403"/>
    <w:rsid w:val="00B84A57"/>
    <w:rsid w:val="00B8569D"/>
    <w:rsid w:val="00B8626F"/>
    <w:rsid w:val="00B90D0C"/>
    <w:rsid w:val="00B90E99"/>
    <w:rsid w:val="00B9155B"/>
    <w:rsid w:val="00B919C4"/>
    <w:rsid w:val="00B92178"/>
    <w:rsid w:val="00B9220B"/>
    <w:rsid w:val="00B93507"/>
    <w:rsid w:val="00B9469A"/>
    <w:rsid w:val="00B949EB"/>
    <w:rsid w:val="00B94EE2"/>
    <w:rsid w:val="00B94EEC"/>
    <w:rsid w:val="00B95FA9"/>
    <w:rsid w:val="00BA0CC8"/>
    <w:rsid w:val="00BA0FAE"/>
    <w:rsid w:val="00BA339B"/>
    <w:rsid w:val="00BA488F"/>
    <w:rsid w:val="00BA499E"/>
    <w:rsid w:val="00BA4EBC"/>
    <w:rsid w:val="00BA5FFC"/>
    <w:rsid w:val="00BB01D2"/>
    <w:rsid w:val="00BB1F08"/>
    <w:rsid w:val="00BB23A7"/>
    <w:rsid w:val="00BB2B82"/>
    <w:rsid w:val="00BB362F"/>
    <w:rsid w:val="00BB514F"/>
    <w:rsid w:val="00BB5520"/>
    <w:rsid w:val="00BB7CEE"/>
    <w:rsid w:val="00BC01F7"/>
    <w:rsid w:val="00BC05F5"/>
    <w:rsid w:val="00BC08CD"/>
    <w:rsid w:val="00BC1E7E"/>
    <w:rsid w:val="00BC3FD2"/>
    <w:rsid w:val="00BC4EB4"/>
    <w:rsid w:val="00BC6085"/>
    <w:rsid w:val="00BC7432"/>
    <w:rsid w:val="00BC74E9"/>
    <w:rsid w:val="00BC7A23"/>
    <w:rsid w:val="00BD1F7E"/>
    <w:rsid w:val="00BD2F5D"/>
    <w:rsid w:val="00BD42CB"/>
    <w:rsid w:val="00BD4A72"/>
    <w:rsid w:val="00BD62EF"/>
    <w:rsid w:val="00BD7072"/>
    <w:rsid w:val="00BD7B46"/>
    <w:rsid w:val="00BD7D67"/>
    <w:rsid w:val="00BD7F21"/>
    <w:rsid w:val="00BE112C"/>
    <w:rsid w:val="00BE1C92"/>
    <w:rsid w:val="00BE36A9"/>
    <w:rsid w:val="00BE5715"/>
    <w:rsid w:val="00BE6053"/>
    <w:rsid w:val="00BE6128"/>
    <w:rsid w:val="00BE618E"/>
    <w:rsid w:val="00BE75CF"/>
    <w:rsid w:val="00BE766F"/>
    <w:rsid w:val="00BE7BEC"/>
    <w:rsid w:val="00BF0A5A"/>
    <w:rsid w:val="00BF0D94"/>
    <w:rsid w:val="00BF0E63"/>
    <w:rsid w:val="00BF12A3"/>
    <w:rsid w:val="00BF16D7"/>
    <w:rsid w:val="00BF1AA1"/>
    <w:rsid w:val="00BF1B2A"/>
    <w:rsid w:val="00BF2373"/>
    <w:rsid w:val="00BF2DC9"/>
    <w:rsid w:val="00BF4512"/>
    <w:rsid w:val="00BF5325"/>
    <w:rsid w:val="00BF5AED"/>
    <w:rsid w:val="00BF6015"/>
    <w:rsid w:val="00BF653B"/>
    <w:rsid w:val="00C044E2"/>
    <w:rsid w:val="00C048CB"/>
    <w:rsid w:val="00C066F3"/>
    <w:rsid w:val="00C074DE"/>
    <w:rsid w:val="00C07766"/>
    <w:rsid w:val="00C10C7A"/>
    <w:rsid w:val="00C10E98"/>
    <w:rsid w:val="00C11F30"/>
    <w:rsid w:val="00C12DDC"/>
    <w:rsid w:val="00C13683"/>
    <w:rsid w:val="00C1476B"/>
    <w:rsid w:val="00C15950"/>
    <w:rsid w:val="00C16040"/>
    <w:rsid w:val="00C174F8"/>
    <w:rsid w:val="00C2070C"/>
    <w:rsid w:val="00C21586"/>
    <w:rsid w:val="00C218E8"/>
    <w:rsid w:val="00C225D9"/>
    <w:rsid w:val="00C22875"/>
    <w:rsid w:val="00C22C6C"/>
    <w:rsid w:val="00C2312D"/>
    <w:rsid w:val="00C23873"/>
    <w:rsid w:val="00C26FED"/>
    <w:rsid w:val="00C30F26"/>
    <w:rsid w:val="00C30F44"/>
    <w:rsid w:val="00C316D2"/>
    <w:rsid w:val="00C31EBC"/>
    <w:rsid w:val="00C32CBE"/>
    <w:rsid w:val="00C3383C"/>
    <w:rsid w:val="00C341E7"/>
    <w:rsid w:val="00C346DE"/>
    <w:rsid w:val="00C35493"/>
    <w:rsid w:val="00C35EE3"/>
    <w:rsid w:val="00C365BD"/>
    <w:rsid w:val="00C40E95"/>
    <w:rsid w:val="00C41C69"/>
    <w:rsid w:val="00C463DD"/>
    <w:rsid w:val="00C474BA"/>
    <w:rsid w:val="00C507FF"/>
    <w:rsid w:val="00C50CED"/>
    <w:rsid w:val="00C50EF7"/>
    <w:rsid w:val="00C52E53"/>
    <w:rsid w:val="00C53248"/>
    <w:rsid w:val="00C54620"/>
    <w:rsid w:val="00C54D12"/>
    <w:rsid w:val="00C5670E"/>
    <w:rsid w:val="00C6093B"/>
    <w:rsid w:val="00C60FD5"/>
    <w:rsid w:val="00C6153C"/>
    <w:rsid w:val="00C63A24"/>
    <w:rsid w:val="00C6479C"/>
    <w:rsid w:val="00C655C5"/>
    <w:rsid w:val="00C65F37"/>
    <w:rsid w:val="00C6675A"/>
    <w:rsid w:val="00C71C5D"/>
    <w:rsid w:val="00C725DC"/>
    <w:rsid w:val="00C72FE5"/>
    <w:rsid w:val="00C73C0B"/>
    <w:rsid w:val="00C745C3"/>
    <w:rsid w:val="00C75F57"/>
    <w:rsid w:val="00C778E6"/>
    <w:rsid w:val="00C77C24"/>
    <w:rsid w:val="00C8037C"/>
    <w:rsid w:val="00C8088E"/>
    <w:rsid w:val="00C810A1"/>
    <w:rsid w:val="00C81465"/>
    <w:rsid w:val="00C82B25"/>
    <w:rsid w:val="00C82DC9"/>
    <w:rsid w:val="00C84ED6"/>
    <w:rsid w:val="00C850D5"/>
    <w:rsid w:val="00C853C9"/>
    <w:rsid w:val="00C86D06"/>
    <w:rsid w:val="00C87D3F"/>
    <w:rsid w:val="00C90CF7"/>
    <w:rsid w:val="00C925EB"/>
    <w:rsid w:val="00C95FD7"/>
    <w:rsid w:val="00CA1527"/>
    <w:rsid w:val="00CA1B4D"/>
    <w:rsid w:val="00CA24A4"/>
    <w:rsid w:val="00CA314C"/>
    <w:rsid w:val="00CA42D3"/>
    <w:rsid w:val="00CA5EED"/>
    <w:rsid w:val="00CA6DA1"/>
    <w:rsid w:val="00CA6E93"/>
    <w:rsid w:val="00CA7BB8"/>
    <w:rsid w:val="00CB0369"/>
    <w:rsid w:val="00CB03A5"/>
    <w:rsid w:val="00CB0653"/>
    <w:rsid w:val="00CB11CF"/>
    <w:rsid w:val="00CB1FDD"/>
    <w:rsid w:val="00CB2407"/>
    <w:rsid w:val="00CB348D"/>
    <w:rsid w:val="00CB65C6"/>
    <w:rsid w:val="00CB79A2"/>
    <w:rsid w:val="00CC005F"/>
    <w:rsid w:val="00CC19AD"/>
    <w:rsid w:val="00CC2013"/>
    <w:rsid w:val="00CC2A93"/>
    <w:rsid w:val="00CC38A4"/>
    <w:rsid w:val="00CC3C97"/>
    <w:rsid w:val="00CC3CFF"/>
    <w:rsid w:val="00CC5CDA"/>
    <w:rsid w:val="00CC63AA"/>
    <w:rsid w:val="00CD39D3"/>
    <w:rsid w:val="00CD3F64"/>
    <w:rsid w:val="00CD46F5"/>
    <w:rsid w:val="00CD4C7A"/>
    <w:rsid w:val="00CD53FB"/>
    <w:rsid w:val="00CE07D7"/>
    <w:rsid w:val="00CE1AC6"/>
    <w:rsid w:val="00CE3F3A"/>
    <w:rsid w:val="00CE433D"/>
    <w:rsid w:val="00CE4A8F"/>
    <w:rsid w:val="00CF071D"/>
    <w:rsid w:val="00CF0BDC"/>
    <w:rsid w:val="00CF10E2"/>
    <w:rsid w:val="00CF23F0"/>
    <w:rsid w:val="00CF3E20"/>
    <w:rsid w:val="00CF3F47"/>
    <w:rsid w:val="00CF53EE"/>
    <w:rsid w:val="00CF6D70"/>
    <w:rsid w:val="00CF7366"/>
    <w:rsid w:val="00D0013B"/>
    <w:rsid w:val="00D00F3B"/>
    <w:rsid w:val="00D00FD4"/>
    <w:rsid w:val="00D0169E"/>
    <w:rsid w:val="00D01E37"/>
    <w:rsid w:val="00D02362"/>
    <w:rsid w:val="00D0311D"/>
    <w:rsid w:val="00D037F6"/>
    <w:rsid w:val="00D0455E"/>
    <w:rsid w:val="00D05DF1"/>
    <w:rsid w:val="00D07C3E"/>
    <w:rsid w:val="00D07C58"/>
    <w:rsid w:val="00D07FD4"/>
    <w:rsid w:val="00D108C5"/>
    <w:rsid w:val="00D11145"/>
    <w:rsid w:val="00D13487"/>
    <w:rsid w:val="00D13A0D"/>
    <w:rsid w:val="00D13AAD"/>
    <w:rsid w:val="00D14132"/>
    <w:rsid w:val="00D1472A"/>
    <w:rsid w:val="00D15B04"/>
    <w:rsid w:val="00D15DB2"/>
    <w:rsid w:val="00D15F1C"/>
    <w:rsid w:val="00D1607A"/>
    <w:rsid w:val="00D1640C"/>
    <w:rsid w:val="00D167A7"/>
    <w:rsid w:val="00D2031B"/>
    <w:rsid w:val="00D21523"/>
    <w:rsid w:val="00D22D3C"/>
    <w:rsid w:val="00D237F6"/>
    <w:rsid w:val="00D23CA0"/>
    <w:rsid w:val="00D24F1E"/>
    <w:rsid w:val="00D25FE2"/>
    <w:rsid w:val="00D3032D"/>
    <w:rsid w:val="00D32959"/>
    <w:rsid w:val="00D32CB7"/>
    <w:rsid w:val="00D330E9"/>
    <w:rsid w:val="00D343AE"/>
    <w:rsid w:val="00D36338"/>
    <w:rsid w:val="00D365E5"/>
    <w:rsid w:val="00D37433"/>
    <w:rsid w:val="00D37DA9"/>
    <w:rsid w:val="00D37F79"/>
    <w:rsid w:val="00D403C8"/>
    <w:rsid w:val="00D406A7"/>
    <w:rsid w:val="00D4126D"/>
    <w:rsid w:val="00D427EB"/>
    <w:rsid w:val="00D42B0B"/>
    <w:rsid w:val="00D43252"/>
    <w:rsid w:val="00D436EB"/>
    <w:rsid w:val="00D44D86"/>
    <w:rsid w:val="00D46E37"/>
    <w:rsid w:val="00D4725C"/>
    <w:rsid w:val="00D47535"/>
    <w:rsid w:val="00D50B7D"/>
    <w:rsid w:val="00D511DF"/>
    <w:rsid w:val="00D52012"/>
    <w:rsid w:val="00D5509B"/>
    <w:rsid w:val="00D55B13"/>
    <w:rsid w:val="00D60163"/>
    <w:rsid w:val="00D61DFD"/>
    <w:rsid w:val="00D621BC"/>
    <w:rsid w:val="00D64F57"/>
    <w:rsid w:val="00D65EDD"/>
    <w:rsid w:val="00D66084"/>
    <w:rsid w:val="00D6610B"/>
    <w:rsid w:val="00D66A8C"/>
    <w:rsid w:val="00D66AB4"/>
    <w:rsid w:val="00D66F55"/>
    <w:rsid w:val="00D67061"/>
    <w:rsid w:val="00D67171"/>
    <w:rsid w:val="00D70304"/>
    <w:rsid w:val="00D704E5"/>
    <w:rsid w:val="00D71198"/>
    <w:rsid w:val="00D71C5C"/>
    <w:rsid w:val="00D72727"/>
    <w:rsid w:val="00D727D8"/>
    <w:rsid w:val="00D729F5"/>
    <w:rsid w:val="00D73329"/>
    <w:rsid w:val="00D73B77"/>
    <w:rsid w:val="00D7430C"/>
    <w:rsid w:val="00D75FFD"/>
    <w:rsid w:val="00D76834"/>
    <w:rsid w:val="00D7734B"/>
    <w:rsid w:val="00D77B4D"/>
    <w:rsid w:val="00D8027F"/>
    <w:rsid w:val="00D836C7"/>
    <w:rsid w:val="00D841A5"/>
    <w:rsid w:val="00D84952"/>
    <w:rsid w:val="00D853EB"/>
    <w:rsid w:val="00D855AE"/>
    <w:rsid w:val="00D86843"/>
    <w:rsid w:val="00D87F32"/>
    <w:rsid w:val="00D90121"/>
    <w:rsid w:val="00D9336C"/>
    <w:rsid w:val="00D93A0A"/>
    <w:rsid w:val="00D94E02"/>
    <w:rsid w:val="00D95367"/>
    <w:rsid w:val="00D95D0F"/>
    <w:rsid w:val="00D978C6"/>
    <w:rsid w:val="00DA0956"/>
    <w:rsid w:val="00DA0FAA"/>
    <w:rsid w:val="00DA2FF6"/>
    <w:rsid w:val="00DA357F"/>
    <w:rsid w:val="00DA3897"/>
    <w:rsid w:val="00DA3E12"/>
    <w:rsid w:val="00DA47A1"/>
    <w:rsid w:val="00DA4940"/>
    <w:rsid w:val="00DA5885"/>
    <w:rsid w:val="00DA6EA2"/>
    <w:rsid w:val="00DA6F1B"/>
    <w:rsid w:val="00DB2288"/>
    <w:rsid w:val="00DB3063"/>
    <w:rsid w:val="00DB3716"/>
    <w:rsid w:val="00DB46FE"/>
    <w:rsid w:val="00DB4C6D"/>
    <w:rsid w:val="00DB4F57"/>
    <w:rsid w:val="00DB4F8B"/>
    <w:rsid w:val="00DB5925"/>
    <w:rsid w:val="00DB5EA8"/>
    <w:rsid w:val="00DB6117"/>
    <w:rsid w:val="00DB617D"/>
    <w:rsid w:val="00DB752D"/>
    <w:rsid w:val="00DB7ABC"/>
    <w:rsid w:val="00DB7D04"/>
    <w:rsid w:val="00DC0AD1"/>
    <w:rsid w:val="00DC1876"/>
    <w:rsid w:val="00DC18AD"/>
    <w:rsid w:val="00DC258F"/>
    <w:rsid w:val="00DC59C9"/>
    <w:rsid w:val="00DC6E61"/>
    <w:rsid w:val="00DD0141"/>
    <w:rsid w:val="00DD0538"/>
    <w:rsid w:val="00DD1E62"/>
    <w:rsid w:val="00DD322C"/>
    <w:rsid w:val="00DD3AA1"/>
    <w:rsid w:val="00DD3E3C"/>
    <w:rsid w:val="00DD3F3C"/>
    <w:rsid w:val="00DD6300"/>
    <w:rsid w:val="00DD70C2"/>
    <w:rsid w:val="00DE0CE0"/>
    <w:rsid w:val="00DE1B02"/>
    <w:rsid w:val="00DE3480"/>
    <w:rsid w:val="00DE4A95"/>
    <w:rsid w:val="00DE51D6"/>
    <w:rsid w:val="00DE5654"/>
    <w:rsid w:val="00DE58D6"/>
    <w:rsid w:val="00DE596F"/>
    <w:rsid w:val="00DE6744"/>
    <w:rsid w:val="00DE688B"/>
    <w:rsid w:val="00DE79E0"/>
    <w:rsid w:val="00DF42FA"/>
    <w:rsid w:val="00DF56D7"/>
    <w:rsid w:val="00DF5D05"/>
    <w:rsid w:val="00DF69E4"/>
    <w:rsid w:val="00DF7CAE"/>
    <w:rsid w:val="00DF7E2F"/>
    <w:rsid w:val="00E010DA"/>
    <w:rsid w:val="00E027D8"/>
    <w:rsid w:val="00E03EA1"/>
    <w:rsid w:val="00E04FF9"/>
    <w:rsid w:val="00E056DF"/>
    <w:rsid w:val="00E108D4"/>
    <w:rsid w:val="00E131E6"/>
    <w:rsid w:val="00E201DE"/>
    <w:rsid w:val="00E2027C"/>
    <w:rsid w:val="00E205F5"/>
    <w:rsid w:val="00E20ADC"/>
    <w:rsid w:val="00E20D91"/>
    <w:rsid w:val="00E20DED"/>
    <w:rsid w:val="00E23372"/>
    <w:rsid w:val="00E23683"/>
    <w:rsid w:val="00E24CB6"/>
    <w:rsid w:val="00E25965"/>
    <w:rsid w:val="00E26D20"/>
    <w:rsid w:val="00E27975"/>
    <w:rsid w:val="00E30211"/>
    <w:rsid w:val="00E31FA6"/>
    <w:rsid w:val="00E32056"/>
    <w:rsid w:val="00E33B26"/>
    <w:rsid w:val="00E3519F"/>
    <w:rsid w:val="00E35F10"/>
    <w:rsid w:val="00E36AE2"/>
    <w:rsid w:val="00E40F9F"/>
    <w:rsid w:val="00E41A20"/>
    <w:rsid w:val="00E423C0"/>
    <w:rsid w:val="00E44699"/>
    <w:rsid w:val="00E45073"/>
    <w:rsid w:val="00E45088"/>
    <w:rsid w:val="00E45A83"/>
    <w:rsid w:val="00E469F6"/>
    <w:rsid w:val="00E46A6B"/>
    <w:rsid w:val="00E46DE2"/>
    <w:rsid w:val="00E47EFE"/>
    <w:rsid w:val="00E5057D"/>
    <w:rsid w:val="00E5077A"/>
    <w:rsid w:val="00E51B08"/>
    <w:rsid w:val="00E51F00"/>
    <w:rsid w:val="00E5242E"/>
    <w:rsid w:val="00E54B46"/>
    <w:rsid w:val="00E5517F"/>
    <w:rsid w:val="00E55B9E"/>
    <w:rsid w:val="00E562FA"/>
    <w:rsid w:val="00E56991"/>
    <w:rsid w:val="00E57327"/>
    <w:rsid w:val="00E57CC5"/>
    <w:rsid w:val="00E6076F"/>
    <w:rsid w:val="00E61C0A"/>
    <w:rsid w:val="00E61CB2"/>
    <w:rsid w:val="00E623E4"/>
    <w:rsid w:val="00E6414C"/>
    <w:rsid w:val="00E64257"/>
    <w:rsid w:val="00E642D5"/>
    <w:rsid w:val="00E650E8"/>
    <w:rsid w:val="00E65D3D"/>
    <w:rsid w:val="00E67076"/>
    <w:rsid w:val="00E676B0"/>
    <w:rsid w:val="00E7035D"/>
    <w:rsid w:val="00E70A16"/>
    <w:rsid w:val="00E71282"/>
    <w:rsid w:val="00E7223E"/>
    <w:rsid w:val="00E72582"/>
    <w:rsid w:val="00E7260F"/>
    <w:rsid w:val="00E742DD"/>
    <w:rsid w:val="00E81955"/>
    <w:rsid w:val="00E85407"/>
    <w:rsid w:val="00E86298"/>
    <w:rsid w:val="00E86500"/>
    <w:rsid w:val="00E86BC9"/>
    <w:rsid w:val="00E8702D"/>
    <w:rsid w:val="00E90B54"/>
    <w:rsid w:val="00E91221"/>
    <w:rsid w:val="00E916A9"/>
    <w:rsid w:val="00E916DE"/>
    <w:rsid w:val="00E91F8B"/>
    <w:rsid w:val="00E925AD"/>
    <w:rsid w:val="00E928F8"/>
    <w:rsid w:val="00E94253"/>
    <w:rsid w:val="00E9633B"/>
    <w:rsid w:val="00E96630"/>
    <w:rsid w:val="00E96788"/>
    <w:rsid w:val="00E96E1C"/>
    <w:rsid w:val="00E97B8B"/>
    <w:rsid w:val="00EA0A66"/>
    <w:rsid w:val="00EA0C90"/>
    <w:rsid w:val="00EA2434"/>
    <w:rsid w:val="00EA3086"/>
    <w:rsid w:val="00EA637D"/>
    <w:rsid w:val="00EB1BB7"/>
    <w:rsid w:val="00EB41FF"/>
    <w:rsid w:val="00EB4A55"/>
    <w:rsid w:val="00EB4A8D"/>
    <w:rsid w:val="00EB5853"/>
    <w:rsid w:val="00EB5CFE"/>
    <w:rsid w:val="00EB6C01"/>
    <w:rsid w:val="00EB6CF9"/>
    <w:rsid w:val="00EB7498"/>
    <w:rsid w:val="00EB7F2A"/>
    <w:rsid w:val="00EC099F"/>
    <w:rsid w:val="00EC11BD"/>
    <w:rsid w:val="00EC1542"/>
    <w:rsid w:val="00EC23F8"/>
    <w:rsid w:val="00EC41EC"/>
    <w:rsid w:val="00EC4F81"/>
    <w:rsid w:val="00EC55B6"/>
    <w:rsid w:val="00EC5892"/>
    <w:rsid w:val="00EC6825"/>
    <w:rsid w:val="00EC6A8D"/>
    <w:rsid w:val="00EC7D35"/>
    <w:rsid w:val="00ED0119"/>
    <w:rsid w:val="00ED0164"/>
    <w:rsid w:val="00ED03E8"/>
    <w:rsid w:val="00ED0D3B"/>
    <w:rsid w:val="00ED18DC"/>
    <w:rsid w:val="00ED22FE"/>
    <w:rsid w:val="00ED29AA"/>
    <w:rsid w:val="00ED3BA6"/>
    <w:rsid w:val="00ED4006"/>
    <w:rsid w:val="00ED492B"/>
    <w:rsid w:val="00ED4F84"/>
    <w:rsid w:val="00ED583C"/>
    <w:rsid w:val="00ED5A25"/>
    <w:rsid w:val="00ED6201"/>
    <w:rsid w:val="00ED6588"/>
    <w:rsid w:val="00ED7A2A"/>
    <w:rsid w:val="00EE045E"/>
    <w:rsid w:val="00EE4327"/>
    <w:rsid w:val="00EE4CD2"/>
    <w:rsid w:val="00EE5104"/>
    <w:rsid w:val="00EE5A5C"/>
    <w:rsid w:val="00EE619F"/>
    <w:rsid w:val="00EE676D"/>
    <w:rsid w:val="00EE69AA"/>
    <w:rsid w:val="00EE71EE"/>
    <w:rsid w:val="00EF1D7F"/>
    <w:rsid w:val="00EF1E85"/>
    <w:rsid w:val="00EF2CD1"/>
    <w:rsid w:val="00EF48BE"/>
    <w:rsid w:val="00EF4B96"/>
    <w:rsid w:val="00EF6180"/>
    <w:rsid w:val="00EF7E31"/>
    <w:rsid w:val="00F01277"/>
    <w:rsid w:val="00F0137E"/>
    <w:rsid w:val="00F01A74"/>
    <w:rsid w:val="00F01F1F"/>
    <w:rsid w:val="00F01FA5"/>
    <w:rsid w:val="00F04360"/>
    <w:rsid w:val="00F04ABD"/>
    <w:rsid w:val="00F0522F"/>
    <w:rsid w:val="00F05ABE"/>
    <w:rsid w:val="00F05CF7"/>
    <w:rsid w:val="00F065C6"/>
    <w:rsid w:val="00F079C6"/>
    <w:rsid w:val="00F07F31"/>
    <w:rsid w:val="00F10153"/>
    <w:rsid w:val="00F10590"/>
    <w:rsid w:val="00F11CAA"/>
    <w:rsid w:val="00F1265D"/>
    <w:rsid w:val="00F13CD2"/>
    <w:rsid w:val="00F165E6"/>
    <w:rsid w:val="00F16F1C"/>
    <w:rsid w:val="00F17597"/>
    <w:rsid w:val="00F21498"/>
    <w:rsid w:val="00F21786"/>
    <w:rsid w:val="00F245A8"/>
    <w:rsid w:val="00F2612C"/>
    <w:rsid w:val="00F26AFC"/>
    <w:rsid w:val="00F273E9"/>
    <w:rsid w:val="00F275FD"/>
    <w:rsid w:val="00F27C44"/>
    <w:rsid w:val="00F3000A"/>
    <w:rsid w:val="00F3081C"/>
    <w:rsid w:val="00F31968"/>
    <w:rsid w:val="00F33EA4"/>
    <w:rsid w:val="00F34580"/>
    <w:rsid w:val="00F35C8C"/>
    <w:rsid w:val="00F3690A"/>
    <w:rsid w:val="00F36F41"/>
    <w:rsid w:val="00F3742B"/>
    <w:rsid w:val="00F37597"/>
    <w:rsid w:val="00F37BCC"/>
    <w:rsid w:val="00F412CB"/>
    <w:rsid w:val="00F413A6"/>
    <w:rsid w:val="00F417B6"/>
    <w:rsid w:val="00F41AC6"/>
    <w:rsid w:val="00F41FDB"/>
    <w:rsid w:val="00F42954"/>
    <w:rsid w:val="00F44342"/>
    <w:rsid w:val="00F479FF"/>
    <w:rsid w:val="00F47BAE"/>
    <w:rsid w:val="00F50425"/>
    <w:rsid w:val="00F51EF8"/>
    <w:rsid w:val="00F524E1"/>
    <w:rsid w:val="00F53EE8"/>
    <w:rsid w:val="00F541B1"/>
    <w:rsid w:val="00F547A4"/>
    <w:rsid w:val="00F547F8"/>
    <w:rsid w:val="00F551F0"/>
    <w:rsid w:val="00F55630"/>
    <w:rsid w:val="00F56765"/>
    <w:rsid w:val="00F56D63"/>
    <w:rsid w:val="00F602CA"/>
    <w:rsid w:val="00F609A9"/>
    <w:rsid w:val="00F61186"/>
    <w:rsid w:val="00F64DA4"/>
    <w:rsid w:val="00F657E6"/>
    <w:rsid w:val="00F6702C"/>
    <w:rsid w:val="00F70CA1"/>
    <w:rsid w:val="00F714E5"/>
    <w:rsid w:val="00F71AEE"/>
    <w:rsid w:val="00F72673"/>
    <w:rsid w:val="00F736AD"/>
    <w:rsid w:val="00F7450D"/>
    <w:rsid w:val="00F74650"/>
    <w:rsid w:val="00F749A8"/>
    <w:rsid w:val="00F74BB7"/>
    <w:rsid w:val="00F75DDE"/>
    <w:rsid w:val="00F75FCD"/>
    <w:rsid w:val="00F76E15"/>
    <w:rsid w:val="00F80C99"/>
    <w:rsid w:val="00F80CEC"/>
    <w:rsid w:val="00F81D56"/>
    <w:rsid w:val="00F82320"/>
    <w:rsid w:val="00F82385"/>
    <w:rsid w:val="00F826A3"/>
    <w:rsid w:val="00F83876"/>
    <w:rsid w:val="00F83C8A"/>
    <w:rsid w:val="00F843A8"/>
    <w:rsid w:val="00F867B1"/>
    <w:rsid w:val="00F867C3"/>
    <w:rsid w:val="00F867EC"/>
    <w:rsid w:val="00F86F8A"/>
    <w:rsid w:val="00F87509"/>
    <w:rsid w:val="00F90691"/>
    <w:rsid w:val="00F90D75"/>
    <w:rsid w:val="00F91036"/>
    <w:rsid w:val="00F910D0"/>
    <w:rsid w:val="00F913AD"/>
    <w:rsid w:val="00F913CD"/>
    <w:rsid w:val="00F91B2B"/>
    <w:rsid w:val="00F93640"/>
    <w:rsid w:val="00F9418F"/>
    <w:rsid w:val="00FA22A8"/>
    <w:rsid w:val="00FA2325"/>
    <w:rsid w:val="00FA2C87"/>
    <w:rsid w:val="00FA304D"/>
    <w:rsid w:val="00FB23D3"/>
    <w:rsid w:val="00FB3BA5"/>
    <w:rsid w:val="00FB43F7"/>
    <w:rsid w:val="00FB4E88"/>
    <w:rsid w:val="00FB6FFD"/>
    <w:rsid w:val="00FC0374"/>
    <w:rsid w:val="00FC03CD"/>
    <w:rsid w:val="00FC0646"/>
    <w:rsid w:val="00FC08A9"/>
    <w:rsid w:val="00FC1A4C"/>
    <w:rsid w:val="00FC24F7"/>
    <w:rsid w:val="00FC2944"/>
    <w:rsid w:val="00FC3EB0"/>
    <w:rsid w:val="00FC4083"/>
    <w:rsid w:val="00FC408E"/>
    <w:rsid w:val="00FC52CF"/>
    <w:rsid w:val="00FC5AB0"/>
    <w:rsid w:val="00FC63E1"/>
    <w:rsid w:val="00FC650C"/>
    <w:rsid w:val="00FC68B7"/>
    <w:rsid w:val="00FD185B"/>
    <w:rsid w:val="00FD1E73"/>
    <w:rsid w:val="00FD4063"/>
    <w:rsid w:val="00FD4122"/>
    <w:rsid w:val="00FD4BDF"/>
    <w:rsid w:val="00FD65A6"/>
    <w:rsid w:val="00FD7AF1"/>
    <w:rsid w:val="00FD7F2F"/>
    <w:rsid w:val="00FE0424"/>
    <w:rsid w:val="00FE0616"/>
    <w:rsid w:val="00FE1352"/>
    <w:rsid w:val="00FE1FA3"/>
    <w:rsid w:val="00FE38C7"/>
    <w:rsid w:val="00FE3CED"/>
    <w:rsid w:val="00FE45BD"/>
    <w:rsid w:val="00FE6108"/>
    <w:rsid w:val="00FE6625"/>
    <w:rsid w:val="00FE695C"/>
    <w:rsid w:val="00FE6985"/>
    <w:rsid w:val="00FE799A"/>
    <w:rsid w:val="00FF0119"/>
    <w:rsid w:val="00FF0E68"/>
    <w:rsid w:val="00FF1364"/>
    <w:rsid w:val="00FF291E"/>
    <w:rsid w:val="00FF2CCE"/>
    <w:rsid w:val="00FF45F4"/>
    <w:rsid w:val="00FF47B1"/>
    <w:rsid w:val="00FF4A01"/>
    <w:rsid w:val="00FF4D0F"/>
    <w:rsid w:val="00FF5469"/>
    <w:rsid w:val="00FF5A68"/>
    <w:rsid w:val="00FF67CC"/>
    <w:rsid w:val="00FF68FA"/>
    <w:rsid w:val="00FF6B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8119EF"/>
    <w:pPr>
      <w:ind w:right="0"/>
      <w:jc w:val="left"/>
      <w:outlineLvl w:val="0"/>
    </w:pPr>
  </w:style>
  <w:style w:type="paragraph" w:styleId="Heading2">
    <w:name w:val="heading 2"/>
    <w:basedOn w:val="Normal"/>
    <w:next w:val="Normal"/>
    <w:qFormat/>
    <w:rsid w:val="008119EF"/>
    <w:pPr>
      <w:spacing w:after="120" w:line="240" w:lineRule="auto"/>
      <w:outlineLvl w:val="1"/>
    </w:pPr>
    <w:rPr>
      <w:lang w:val="fr-CH"/>
    </w:rPr>
  </w:style>
  <w:style w:type="paragraph" w:styleId="Heading3">
    <w:name w:val="heading 3"/>
    <w:basedOn w:val="Normal"/>
    <w:next w:val="Normal"/>
    <w:qFormat/>
    <w:rsid w:val="008119EF"/>
    <w:pPr>
      <w:spacing w:after="120" w:line="240" w:lineRule="auto"/>
      <w:outlineLvl w:val="2"/>
    </w:pPr>
    <w:rPr>
      <w:lang w:val="fr-CH"/>
    </w:rPr>
  </w:style>
  <w:style w:type="paragraph" w:styleId="Heading4">
    <w:name w:val="heading 4"/>
    <w:basedOn w:val="Normal"/>
    <w:next w:val="Normal"/>
    <w:qFormat/>
    <w:rsid w:val="008119EF"/>
    <w:pPr>
      <w:spacing w:after="120" w:line="240" w:lineRule="auto"/>
      <w:outlineLvl w:val="3"/>
    </w:pPr>
    <w:rPr>
      <w:lang w:val="fr-CH"/>
    </w:rPr>
  </w:style>
  <w:style w:type="paragraph" w:styleId="Heading5">
    <w:name w:val="heading 5"/>
    <w:basedOn w:val="Normal"/>
    <w:next w:val="Normal"/>
    <w:qFormat/>
    <w:rsid w:val="008119EF"/>
    <w:pPr>
      <w:spacing w:after="120" w:line="240" w:lineRule="auto"/>
      <w:outlineLvl w:val="4"/>
    </w:pPr>
    <w:rPr>
      <w:lang w:val="fr-CH"/>
    </w:rPr>
  </w:style>
  <w:style w:type="paragraph" w:styleId="Heading6">
    <w:name w:val="heading 6"/>
    <w:basedOn w:val="Normal"/>
    <w:next w:val="Normal"/>
    <w:qFormat/>
    <w:rsid w:val="008119EF"/>
    <w:pPr>
      <w:spacing w:after="120" w:line="240" w:lineRule="auto"/>
      <w:outlineLvl w:val="5"/>
    </w:pPr>
    <w:rPr>
      <w:lang w:val="fr-CH"/>
    </w:rPr>
  </w:style>
  <w:style w:type="paragraph" w:styleId="Heading7">
    <w:name w:val="heading 7"/>
    <w:basedOn w:val="Normal"/>
    <w:next w:val="Normal"/>
    <w:qFormat/>
    <w:rsid w:val="008119EF"/>
    <w:pPr>
      <w:spacing w:after="120" w:line="240" w:lineRule="auto"/>
      <w:outlineLvl w:val="6"/>
    </w:pPr>
    <w:rPr>
      <w:lang w:val="fr-CH"/>
    </w:rPr>
  </w:style>
  <w:style w:type="paragraph" w:styleId="Heading8">
    <w:name w:val="heading 8"/>
    <w:basedOn w:val="Normal"/>
    <w:next w:val="Normal"/>
    <w:qFormat/>
    <w:rsid w:val="008119EF"/>
    <w:pPr>
      <w:spacing w:after="120" w:line="240" w:lineRule="auto"/>
      <w:outlineLvl w:val="7"/>
    </w:pPr>
    <w:rPr>
      <w:lang w:val="fr-CH"/>
    </w:rPr>
  </w:style>
  <w:style w:type="paragraph" w:styleId="Heading9">
    <w:name w:val="heading 9"/>
    <w:basedOn w:val="Normal"/>
    <w:next w:val="Normal"/>
    <w:qFormat/>
    <w:rsid w:val="008119EF"/>
    <w:pPr>
      <w:spacing w:after="120" w:line="240" w:lineRule="auto"/>
      <w:outlineLvl w:val="8"/>
    </w:pPr>
    <w:rPr>
      <w:lang w:val="fr-CH"/>
    </w:rPr>
  </w:style>
  <w:style w:type="character" w:default="1" w:styleId="DefaultParagraphFont">
    <w:name w:val="Default Paragraph Font"/>
    <w:uiPriority w:val="1"/>
    <w:unhideWhenUsed/>
    <w:rsid w:val="008119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19EF"/>
  </w:style>
  <w:style w:type="paragraph" w:customStyle="1" w:styleId="SingleTxtG">
    <w:name w:val="_ Single Txt_G"/>
    <w:basedOn w:val="Normal"/>
    <w:rsid w:val="008119EF"/>
    <w:pPr>
      <w:spacing w:after="120" w:line="240" w:lineRule="auto"/>
      <w:ind w:left="1134" w:right="1134"/>
      <w:jc w:val="both"/>
    </w:pPr>
    <w:rPr>
      <w:lang w:val="fr-CH"/>
    </w:rPr>
  </w:style>
  <w:style w:type="paragraph" w:customStyle="1" w:styleId="HMG">
    <w:name w:val="_ H __M_G"/>
    <w:basedOn w:val="Normal"/>
    <w:next w:val="Normal"/>
    <w:rsid w:val="008119EF"/>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8119EF"/>
    <w:pPr>
      <w:keepNext/>
      <w:keepLines/>
      <w:tabs>
        <w:tab w:val="right" w:pos="851"/>
      </w:tabs>
      <w:spacing w:before="360" w:after="240" w:line="300" w:lineRule="exact"/>
      <w:ind w:left="1134" w:right="1134" w:hanging="1134"/>
    </w:pPr>
    <w:rPr>
      <w:b/>
      <w:sz w:val="28"/>
      <w:lang w:val="fr-CH"/>
    </w:rPr>
  </w:style>
  <w:style w:type="character" w:styleId="PageNumber">
    <w:name w:val="page number"/>
    <w:aliases w:val="7_G"/>
    <w:rsid w:val="008119EF"/>
    <w:rPr>
      <w:rFonts w:ascii="Times New Roman" w:hAnsi="Times New Roman"/>
      <w:b/>
      <w:sz w:val="18"/>
    </w:rPr>
  </w:style>
  <w:style w:type="paragraph" w:customStyle="1" w:styleId="SMG">
    <w:name w:val="__S_M_G"/>
    <w:basedOn w:val="Normal"/>
    <w:next w:val="Normal"/>
    <w:rsid w:val="008119EF"/>
    <w:pPr>
      <w:keepNext/>
      <w:keepLines/>
      <w:spacing w:before="240" w:after="240" w:line="420" w:lineRule="exact"/>
      <w:ind w:left="1134" w:right="1134"/>
    </w:pPr>
    <w:rPr>
      <w:b/>
      <w:sz w:val="40"/>
      <w:lang w:val="fr-CH"/>
    </w:rPr>
  </w:style>
  <w:style w:type="paragraph" w:customStyle="1" w:styleId="SLG">
    <w:name w:val="__S_L_G"/>
    <w:basedOn w:val="Normal"/>
    <w:next w:val="Normal"/>
    <w:rsid w:val="008119EF"/>
    <w:pPr>
      <w:keepNext/>
      <w:keepLines/>
      <w:spacing w:before="240" w:after="240" w:line="580" w:lineRule="exact"/>
      <w:ind w:left="1134" w:right="1134"/>
    </w:pPr>
    <w:rPr>
      <w:b/>
      <w:sz w:val="56"/>
      <w:lang w:val="fr-CH"/>
    </w:rPr>
  </w:style>
  <w:style w:type="paragraph" w:customStyle="1" w:styleId="SSG">
    <w:name w:val="__S_S_G"/>
    <w:basedOn w:val="Normal"/>
    <w:next w:val="Normal"/>
    <w:rsid w:val="008119EF"/>
    <w:pPr>
      <w:keepNext/>
      <w:keepLines/>
      <w:spacing w:before="240" w:after="240" w:line="300" w:lineRule="exact"/>
      <w:ind w:left="1134" w:right="1134"/>
    </w:pPr>
    <w:rPr>
      <w:b/>
      <w:sz w:val="28"/>
      <w:lang w:val="fr-CH"/>
    </w:rPr>
  </w:style>
  <w:style w:type="character" w:styleId="EndnoteReference">
    <w:name w:val="endnote reference"/>
    <w:aliases w:val="1_G"/>
    <w:basedOn w:val="FootnoteReference"/>
    <w:rsid w:val="008119EF"/>
  </w:style>
  <w:style w:type="character" w:styleId="FootnoteReference">
    <w:name w:val="footnote reference"/>
    <w:aliases w:val="4_G"/>
    <w:rsid w:val="008119EF"/>
    <w:rPr>
      <w:rFonts w:ascii="Times New Roman" w:hAnsi="Times New Roman"/>
      <w:sz w:val="18"/>
      <w:vertAlign w:val="superscript"/>
    </w:rPr>
  </w:style>
  <w:style w:type="paragraph" w:styleId="FootnoteText">
    <w:name w:val="footnote text"/>
    <w:aliases w:val="5_G"/>
    <w:basedOn w:val="Normal"/>
    <w:link w:val="FootnoteTextChar"/>
    <w:rsid w:val="00F547F8"/>
    <w:pPr>
      <w:widowControl w:val="0"/>
      <w:tabs>
        <w:tab w:val="right" w:pos="1020"/>
      </w:tabs>
      <w:spacing w:line="220" w:lineRule="exact"/>
      <w:ind w:left="1134" w:right="1134" w:hanging="1134"/>
    </w:pPr>
    <w:rPr>
      <w:sz w:val="18"/>
      <w:lang w:val="fr-FR"/>
    </w:rPr>
  </w:style>
  <w:style w:type="character" w:customStyle="1" w:styleId="FootnoteTextChar">
    <w:name w:val="Footnote Text Char"/>
    <w:aliases w:val="5_G Char"/>
    <w:link w:val="FootnoteText"/>
    <w:locked/>
    <w:rsid w:val="00F547F8"/>
    <w:rPr>
      <w:sz w:val="18"/>
      <w:lang w:val="fr-FR" w:eastAsia="en-US"/>
    </w:rPr>
  </w:style>
  <w:style w:type="paragraph" w:customStyle="1" w:styleId="XLargeG">
    <w:name w:val="__XLarge_G"/>
    <w:basedOn w:val="Normal"/>
    <w:next w:val="Normal"/>
    <w:rsid w:val="008119EF"/>
    <w:pPr>
      <w:keepNext/>
      <w:keepLines/>
      <w:spacing w:before="240" w:after="240" w:line="420" w:lineRule="exact"/>
      <w:ind w:left="1134" w:right="1134"/>
    </w:pPr>
    <w:rPr>
      <w:b/>
      <w:sz w:val="40"/>
      <w:lang w:val="fr-CH"/>
    </w:rPr>
  </w:style>
  <w:style w:type="paragraph" w:customStyle="1" w:styleId="Bullet1G">
    <w:name w:val="_Bullet 1_G"/>
    <w:basedOn w:val="Normal"/>
    <w:rsid w:val="008119EF"/>
    <w:pPr>
      <w:numPr>
        <w:numId w:val="34"/>
      </w:numPr>
      <w:spacing w:after="120" w:line="240" w:lineRule="auto"/>
      <w:ind w:right="1134"/>
      <w:jc w:val="both"/>
    </w:pPr>
    <w:rPr>
      <w:lang w:val="fr-CH"/>
    </w:rPr>
  </w:style>
  <w:style w:type="paragraph" w:styleId="EndnoteText">
    <w:name w:val="endnote text"/>
    <w:aliases w:val="2_G"/>
    <w:basedOn w:val="FootnoteText"/>
    <w:rsid w:val="008119EF"/>
  </w:style>
  <w:style w:type="paragraph" w:customStyle="1" w:styleId="Bullet2G">
    <w:name w:val="_Bullet 2_G"/>
    <w:basedOn w:val="Normal"/>
    <w:rsid w:val="008119EF"/>
    <w:pPr>
      <w:numPr>
        <w:numId w:val="35"/>
      </w:numPr>
      <w:spacing w:after="120" w:line="240" w:lineRule="auto"/>
      <w:ind w:right="1134"/>
      <w:jc w:val="both"/>
    </w:pPr>
    <w:rPr>
      <w:lang w:val="fr-CH"/>
    </w:rPr>
  </w:style>
  <w:style w:type="paragraph" w:customStyle="1" w:styleId="H1G">
    <w:name w:val="_ H_1_G"/>
    <w:basedOn w:val="Normal"/>
    <w:next w:val="Normal"/>
    <w:rsid w:val="008119EF"/>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8119EF"/>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8119EF"/>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8119EF"/>
    <w:pPr>
      <w:keepNext/>
      <w:keepLines/>
      <w:tabs>
        <w:tab w:val="right" w:pos="851"/>
      </w:tabs>
      <w:spacing w:before="240" w:after="120" w:line="240" w:lineRule="exact"/>
      <w:ind w:left="1134" w:right="1134" w:hanging="1134"/>
    </w:pPr>
    <w:rPr>
      <w:lang w:val="fr-CH"/>
    </w:rPr>
  </w:style>
  <w:style w:type="character" w:styleId="Hyperlink">
    <w:name w:val="Hyperlink"/>
    <w:rsid w:val="008119EF"/>
    <w:rPr>
      <w:color w:val="auto"/>
      <w:u w:val="none"/>
    </w:rPr>
  </w:style>
  <w:style w:type="paragraph" w:styleId="Footer">
    <w:name w:val="footer"/>
    <w:aliases w:val="3_G"/>
    <w:basedOn w:val="Normal"/>
    <w:rsid w:val="008119EF"/>
    <w:pPr>
      <w:spacing w:after="120" w:line="240" w:lineRule="auto"/>
    </w:pPr>
    <w:rPr>
      <w:sz w:val="16"/>
      <w:lang w:val="fr-CH"/>
    </w:rPr>
  </w:style>
  <w:style w:type="paragraph" w:styleId="Header">
    <w:name w:val="header"/>
    <w:aliases w:val="6_G"/>
    <w:basedOn w:val="Normal"/>
    <w:rsid w:val="008119EF"/>
    <w:pPr>
      <w:pBdr>
        <w:bottom w:val="single" w:sz="4" w:space="4" w:color="auto"/>
      </w:pBdr>
      <w:spacing w:after="120" w:line="240" w:lineRule="auto"/>
    </w:pPr>
    <w:rPr>
      <w:b/>
      <w:sz w:val="18"/>
      <w:lang w:val="fr-CH"/>
    </w:rPr>
  </w:style>
  <w:style w:type="table" w:styleId="TableGrid">
    <w:name w:val="Table Grid"/>
    <w:basedOn w:val="TableNormal"/>
    <w:semiHidden/>
    <w:rsid w:val="008119EF"/>
    <w:pPr>
      <w:suppressAutoHyphens/>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8119EF"/>
    <w:rPr>
      <w:color w:val="auto"/>
      <w:u w:val="none"/>
    </w:rPr>
  </w:style>
  <w:style w:type="paragraph" w:customStyle="1" w:styleId="Default">
    <w:name w:val="Default"/>
    <w:rsid w:val="00FB23D3"/>
    <w:pPr>
      <w:autoSpaceDE w:val="0"/>
      <w:autoSpaceDN w:val="0"/>
      <w:adjustRightInd w:val="0"/>
    </w:pPr>
    <w:rPr>
      <w:rFonts w:ascii="Verdana" w:hAnsi="Verdana"/>
      <w:color w:val="000000"/>
      <w:sz w:val="24"/>
      <w:szCs w:val="24"/>
      <w:lang w:val="el-GR" w:eastAsia="el-GR"/>
    </w:rPr>
  </w:style>
  <w:style w:type="paragraph" w:styleId="BodyText2">
    <w:name w:val="Body Text 2"/>
    <w:basedOn w:val="Normal"/>
    <w:link w:val="BodyText2Char"/>
    <w:rsid w:val="00FB23D3"/>
    <w:pPr>
      <w:widowControl w:val="0"/>
      <w:spacing w:line="240" w:lineRule="auto"/>
    </w:pPr>
    <w:rPr>
      <w:rFonts w:ascii="Tahoma" w:hAnsi="Tahoma"/>
      <w:color w:val="000000"/>
      <w:lang w:val="el-GR" w:eastAsia="el-GR"/>
    </w:rPr>
  </w:style>
  <w:style w:type="character" w:customStyle="1" w:styleId="BodyText2Char">
    <w:name w:val="Body Text 2 Char"/>
    <w:link w:val="BodyText2"/>
    <w:rsid w:val="00FB23D3"/>
    <w:rPr>
      <w:rFonts w:ascii="Tahoma" w:hAnsi="Tahoma" w:cs="Tahoma"/>
      <w:color w:val="000000"/>
      <w:lang w:val="el-GR" w:eastAsia="el-GR"/>
    </w:rPr>
  </w:style>
  <w:style w:type="paragraph" w:styleId="BodyText3">
    <w:name w:val="Body Text 3"/>
    <w:basedOn w:val="Normal"/>
    <w:link w:val="BodyText3Char"/>
    <w:rsid w:val="00FB23D3"/>
    <w:pPr>
      <w:suppressAutoHyphens w:val="0"/>
      <w:spacing w:after="120" w:line="240" w:lineRule="auto"/>
    </w:pPr>
    <w:rPr>
      <w:sz w:val="16"/>
      <w:szCs w:val="16"/>
      <w:lang w:val="el-GR" w:eastAsia="el-GR"/>
    </w:rPr>
  </w:style>
  <w:style w:type="character" w:customStyle="1" w:styleId="BodyText3Char">
    <w:name w:val="Body Text 3 Char"/>
    <w:link w:val="BodyText3"/>
    <w:rsid w:val="00FB23D3"/>
    <w:rPr>
      <w:sz w:val="16"/>
      <w:szCs w:val="16"/>
      <w:lang w:val="el-GR" w:eastAsia="el-GR"/>
    </w:rPr>
  </w:style>
  <w:style w:type="paragraph" w:styleId="BodyTextIndent">
    <w:name w:val="Body Text Indent"/>
    <w:basedOn w:val="Normal"/>
    <w:link w:val="BodyTextIndentChar"/>
    <w:rsid w:val="00FB23D3"/>
    <w:pPr>
      <w:suppressAutoHyphens w:val="0"/>
      <w:spacing w:after="120" w:line="240" w:lineRule="auto"/>
      <w:ind w:left="283"/>
    </w:pPr>
    <w:rPr>
      <w:sz w:val="24"/>
      <w:szCs w:val="24"/>
      <w:lang w:val="el-GR" w:eastAsia="el-GR"/>
    </w:rPr>
  </w:style>
  <w:style w:type="character" w:customStyle="1" w:styleId="BodyTextIndentChar">
    <w:name w:val="Body Text Indent Char"/>
    <w:link w:val="BodyTextIndent"/>
    <w:rsid w:val="00FB23D3"/>
    <w:rPr>
      <w:sz w:val="24"/>
      <w:szCs w:val="24"/>
      <w:lang w:val="el-GR" w:eastAsia="el-GR"/>
    </w:rPr>
  </w:style>
  <w:style w:type="paragraph" w:styleId="Caption">
    <w:name w:val="caption"/>
    <w:basedOn w:val="Normal"/>
    <w:next w:val="Normal"/>
    <w:qFormat/>
    <w:rsid w:val="00FB23D3"/>
    <w:pPr>
      <w:suppressAutoHyphens w:val="0"/>
      <w:autoSpaceDE w:val="0"/>
      <w:autoSpaceDN w:val="0"/>
      <w:adjustRightInd w:val="0"/>
      <w:spacing w:line="240" w:lineRule="auto"/>
      <w:ind w:right="26"/>
      <w:jc w:val="both"/>
    </w:pPr>
    <w:rPr>
      <w:i/>
      <w:szCs w:val="24"/>
      <w:lang w:eastAsia="el-GR"/>
    </w:rPr>
  </w:style>
  <w:style w:type="character" w:styleId="CommentReference">
    <w:name w:val="annotation reference"/>
    <w:rsid w:val="00FB23D3"/>
    <w:rPr>
      <w:rFonts w:cs="Times New Roman"/>
      <w:sz w:val="16"/>
      <w:szCs w:val="16"/>
    </w:rPr>
  </w:style>
  <w:style w:type="paragraph" w:styleId="CommentText">
    <w:name w:val="annotation text"/>
    <w:basedOn w:val="Normal"/>
    <w:link w:val="CommentTextChar"/>
    <w:rsid w:val="00FB23D3"/>
    <w:pPr>
      <w:suppressAutoHyphens w:val="0"/>
      <w:spacing w:line="240" w:lineRule="auto"/>
    </w:pPr>
    <w:rPr>
      <w:sz w:val="24"/>
      <w:szCs w:val="24"/>
      <w:lang w:val="el-GR" w:eastAsia="el-GR"/>
    </w:rPr>
  </w:style>
  <w:style w:type="character" w:customStyle="1" w:styleId="CommentTextChar">
    <w:name w:val="Comment Text Char"/>
    <w:link w:val="CommentText"/>
    <w:rsid w:val="00FB23D3"/>
    <w:rPr>
      <w:sz w:val="24"/>
      <w:szCs w:val="24"/>
      <w:lang w:val="el-GR" w:eastAsia="el-GR"/>
    </w:rPr>
  </w:style>
  <w:style w:type="paragraph" w:styleId="Title">
    <w:name w:val="Title"/>
    <w:basedOn w:val="Normal"/>
    <w:next w:val="Normal"/>
    <w:link w:val="TitleChar"/>
    <w:qFormat/>
    <w:rsid w:val="00FB23D3"/>
    <w:pPr>
      <w:spacing w:line="240" w:lineRule="auto"/>
      <w:jc w:val="center"/>
    </w:pPr>
    <w:rPr>
      <w:rFonts w:ascii="Arial Narrow" w:hAnsi="Arial Narrow"/>
      <w:b/>
      <w:bCs/>
      <w:sz w:val="24"/>
      <w:szCs w:val="24"/>
      <w:u w:val="single"/>
      <w:lang w:val="en-US" w:eastAsia="ar-SA"/>
    </w:rPr>
  </w:style>
  <w:style w:type="character" w:customStyle="1" w:styleId="TitleChar">
    <w:name w:val="Title Char"/>
    <w:link w:val="Title"/>
    <w:rsid w:val="00FB23D3"/>
    <w:rPr>
      <w:rFonts w:ascii="Arial Narrow" w:hAnsi="Arial Narrow"/>
      <w:b/>
      <w:bCs/>
      <w:sz w:val="24"/>
      <w:szCs w:val="24"/>
      <w:u w:val="single"/>
      <w:lang w:val="en-US" w:eastAsia="ar-SA"/>
    </w:rPr>
  </w:style>
  <w:style w:type="paragraph" w:styleId="CommentSubject">
    <w:name w:val="annotation subject"/>
    <w:basedOn w:val="CommentText"/>
    <w:next w:val="CommentText"/>
    <w:semiHidden/>
    <w:rsid w:val="00707BE6"/>
    <w:pPr>
      <w:suppressAutoHyphens/>
      <w:spacing w:line="240" w:lineRule="atLeast"/>
    </w:pPr>
    <w:rPr>
      <w:b/>
      <w:bCs/>
      <w:sz w:val="20"/>
      <w:szCs w:val="20"/>
      <w:lang w:val="en-GB" w:eastAsia="en-US"/>
    </w:rPr>
  </w:style>
  <w:style w:type="character" w:styleId="Emphasis">
    <w:name w:val="Emphasis"/>
    <w:uiPriority w:val="20"/>
    <w:qFormat/>
    <w:rsid w:val="00B551AF"/>
    <w:rPr>
      <w:i/>
      <w:iCs/>
    </w:rPr>
  </w:style>
  <w:style w:type="paragraph" w:customStyle="1" w:styleId="Source">
    <w:name w:val="Source"/>
    <w:basedOn w:val="SingleTxtG"/>
    <w:qFormat/>
    <w:rsid w:val="008119EF"/>
    <w:pPr>
      <w:spacing w:before="120" w:after="240" w:line="220" w:lineRule="exact"/>
      <w:ind w:firstLine="170"/>
      <w:jc w:val="left"/>
    </w:pPr>
    <w:rPr>
      <w:sz w:val="18"/>
      <w:szCs w:val="18"/>
      <w:lang w:val="en-GB" w:eastAsia="fr-FR"/>
    </w:rPr>
  </w:style>
  <w:style w:type="paragraph" w:styleId="BalloonText">
    <w:name w:val="Balloon Text"/>
    <w:basedOn w:val="Normal"/>
    <w:link w:val="BalloonTextChar"/>
    <w:rsid w:val="009A298E"/>
    <w:pPr>
      <w:spacing w:line="240" w:lineRule="auto"/>
    </w:pPr>
    <w:rPr>
      <w:rFonts w:ascii="Tahoma" w:hAnsi="Tahoma"/>
      <w:sz w:val="16"/>
      <w:szCs w:val="16"/>
    </w:rPr>
  </w:style>
  <w:style w:type="character" w:customStyle="1" w:styleId="BalloonTextChar">
    <w:name w:val="Balloon Text Char"/>
    <w:link w:val="BalloonText"/>
    <w:rsid w:val="009A298E"/>
    <w:rPr>
      <w:rFonts w:ascii="Tahoma" w:hAnsi="Tahoma" w:cs="Tahoma"/>
      <w:sz w:val="16"/>
      <w:szCs w:val="16"/>
      <w:lang w:val="en-GB" w:eastAsia="en-US"/>
    </w:rPr>
  </w:style>
  <w:style w:type="table" w:customStyle="1" w:styleId="Grilledutableau1">
    <w:name w:val="Grille du tableau1"/>
    <w:basedOn w:val="TableNormal"/>
    <w:next w:val="TableGrid"/>
    <w:semiHidden/>
    <w:rsid w:val="000F52D7"/>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552606">
      <w:bodyDiv w:val="1"/>
      <w:marLeft w:val="0"/>
      <w:marRight w:val="0"/>
      <w:marTop w:val="0"/>
      <w:marBottom w:val="0"/>
      <w:divBdr>
        <w:top w:val="none" w:sz="0" w:space="0" w:color="auto"/>
        <w:left w:val="none" w:sz="0" w:space="0" w:color="auto"/>
        <w:bottom w:val="none" w:sz="0" w:space="0" w:color="auto"/>
        <w:right w:val="none" w:sz="0" w:space="0" w:color="auto"/>
      </w:divBdr>
      <w:divsChild>
        <w:div w:id="454374099">
          <w:marLeft w:val="0"/>
          <w:marRight w:val="0"/>
          <w:marTop w:val="0"/>
          <w:marBottom w:val="0"/>
          <w:divBdr>
            <w:top w:val="none" w:sz="0" w:space="0" w:color="auto"/>
            <w:left w:val="none" w:sz="0" w:space="0" w:color="auto"/>
            <w:bottom w:val="none" w:sz="0" w:space="0" w:color="auto"/>
            <w:right w:val="none" w:sz="0" w:space="0" w:color="auto"/>
          </w:divBdr>
        </w:div>
        <w:div w:id="1099328778">
          <w:marLeft w:val="0"/>
          <w:marRight w:val="0"/>
          <w:marTop w:val="0"/>
          <w:marBottom w:val="0"/>
          <w:divBdr>
            <w:top w:val="none" w:sz="0" w:space="0" w:color="auto"/>
            <w:left w:val="none" w:sz="0" w:space="0" w:color="auto"/>
            <w:bottom w:val="none" w:sz="0" w:space="0" w:color="auto"/>
            <w:right w:val="none" w:sz="0" w:space="0" w:color="auto"/>
          </w:divBdr>
        </w:div>
        <w:div w:id="1302927352">
          <w:marLeft w:val="0"/>
          <w:marRight w:val="0"/>
          <w:marTop w:val="0"/>
          <w:marBottom w:val="0"/>
          <w:divBdr>
            <w:top w:val="none" w:sz="0" w:space="0" w:color="auto"/>
            <w:left w:val="none" w:sz="0" w:space="0" w:color="auto"/>
            <w:bottom w:val="none" w:sz="0" w:space="0" w:color="auto"/>
            <w:right w:val="none" w:sz="0" w:space="0" w:color="auto"/>
          </w:divBdr>
        </w:div>
        <w:div w:id="1354844055">
          <w:marLeft w:val="0"/>
          <w:marRight w:val="0"/>
          <w:marTop w:val="0"/>
          <w:marBottom w:val="0"/>
          <w:divBdr>
            <w:top w:val="none" w:sz="0" w:space="0" w:color="auto"/>
            <w:left w:val="none" w:sz="0" w:space="0" w:color="auto"/>
            <w:bottom w:val="none" w:sz="0" w:space="0" w:color="auto"/>
            <w:right w:val="none" w:sz="0" w:space="0" w:color="auto"/>
          </w:divBdr>
        </w:div>
        <w:div w:id="1407535899">
          <w:marLeft w:val="0"/>
          <w:marRight w:val="0"/>
          <w:marTop w:val="0"/>
          <w:marBottom w:val="0"/>
          <w:divBdr>
            <w:top w:val="none" w:sz="0" w:space="0" w:color="auto"/>
            <w:left w:val="none" w:sz="0" w:space="0" w:color="auto"/>
            <w:bottom w:val="none" w:sz="0" w:space="0" w:color="auto"/>
            <w:right w:val="none" w:sz="0" w:space="0" w:color="auto"/>
          </w:divBdr>
        </w:div>
        <w:div w:id="1522013222">
          <w:marLeft w:val="0"/>
          <w:marRight w:val="0"/>
          <w:marTop w:val="0"/>
          <w:marBottom w:val="0"/>
          <w:divBdr>
            <w:top w:val="none" w:sz="0" w:space="0" w:color="auto"/>
            <w:left w:val="none" w:sz="0" w:space="0" w:color="auto"/>
            <w:bottom w:val="none" w:sz="0" w:space="0" w:color="auto"/>
            <w:right w:val="none" w:sz="0" w:space="0" w:color="auto"/>
          </w:divBdr>
        </w:div>
        <w:div w:id="1573542880">
          <w:marLeft w:val="0"/>
          <w:marRight w:val="0"/>
          <w:marTop w:val="0"/>
          <w:marBottom w:val="0"/>
          <w:divBdr>
            <w:top w:val="none" w:sz="0" w:space="0" w:color="auto"/>
            <w:left w:val="none" w:sz="0" w:space="0" w:color="auto"/>
            <w:bottom w:val="none" w:sz="0" w:space="0" w:color="auto"/>
            <w:right w:val="none" w:sz="0" w:space="0" w:color="auto"/>
          </w:divBdr>
        </w:div>
        <w:div w:id="1816413626">
          <w:marLeft w:val="0"/>
          <w:marRight w:val="0"/>
          <w:marTop w:val="0"/>
          <w:marBottom w:val="0"/>
          <w:divBdr>
            <w:top w:val="none" w:sz="0" w:space="0" w:color="auto"/>
            <w:left w:val="none" w:sz="0" w:space="0" w:color="auto"/>
            <w:bottom w:val="none" w:sz="0" w:space="0" w:color="auto"/>
            <w:right w:val="none" w:sz="0" w:space="0" w:color="auto"/>
          </w:divBdr>
        </w:div>
        <w:div w:id="1980526045">
          <w:marLeft w:val="0"/>
          <w:marRight w:val="0"/>
          <w:marTop w:val="0"/>
          <w:marBottom w:val="0"/>
          <w:divBdr>
            <w:top w:val="none" w:sz="0" w:space="0" w:color="auto"/>
            <w:left w:val="none" w:sz="0" w:space="0" w:color="auto"/>
            <w:bottom w:val="none" w:sz="0" w:space="0" w:color="auto"/>
            <w:right w:val="none" w:sz="0" w:space="0" w:color="auto"/>
          </w:divBdr>
        </w:div>
        <w:div w:id="2063946867">
          <w:marLeft w:val="0"/>
          <w:marRight w:val="0"/>
          <w:marTop w:val="0"/>
          <w:marBottom w:val="0"/>
          <w:divBdr>
            <w:top w:val="none" w:sz="0" w:space="0" w:color="auto"/>
            <w:left w:val="none" w:sz="0" w:space="0" w:color="auto"/>
            <w:bottom w:val="none" w:sz="0" w:space="0" w:color="auto"/>
            <w:right w:val="none" w:sz="0" w:space="0" w:color="auto"/>
          </w:divBdr>
        </w:div>
      </w:divsChild>
    </w:div>
    <w:div w:id="1037587302">
      <w:bodyDiv w:val="1"/>
      <w:marLeft w:val="0"/>
      <w:marRight w:val="0"/>
      <w:marTop w:val="0"/>
      <w:marBottom w:val="0"/>
      <w:divBdr>
        <w:top w:val="none" w:sz="0" w:space="0" w:color="auto"/>
        <w:left w:val="none" w:sz="0" w:space="0" w:color="auto"/>
        <w:bottom w:val="none" w:sz="0" w:space="0" w:color="auto"/>
        <w:right w:val="none" w:sz="0" w:space="0" w:color="auto"/>
      </w:divBdr>
      <w:divsChild>
        <w:div w:id="29500475">
          <w:marLeft w:val="0"/>
          <w:marRight w:val="0"/>
          <w:marTop w:val="0"/>
          <w:marBottom w:val="0"/>
          <w:divBdr>
            <w:top w:val="none" w:sz="0" w:space="0" w:color="auto"/>
            <w:left w:val="none" w:sz="0" w:space="0" w:color="auto"/>
            <w:bottom w:val="none" w:sz="0" w:space="0" w:color="auto"/>
            <w:right w:val="none" w:sz="0" w:space="0" w:color="auto"/>
          </w:divBdr>
        </w:div>
        <w:div w:id="2073313746">
          <w:marLeft w:val="0"/>
          <w:marRight w:val="0"/>
          <w:marTop w:val="0"/>
          <w:marBottom w:val="0"/>
          <w:divBdr>
            <w:top w:val="none" w:sz="0" w:space="0" w:color="auto"/>
            <w:left w:val="none" w:sz="0" w:space="0" w:color="auto"/>
            <w:bottom w:val="none" w:sz="0" w:space="0" w:color="auto"/>
            <w:right w:val="none" w:sz="0" w:space="0" w:color="auto"/>
          </w:divBdr>
        </w:div>
      </w:divsChild>
    </w:div>
    <w:div w:id="107250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31</TotalTime>
  <Pages>62</Pages>
  <Words>32530</Words>
  <Characters>185423</Characters>
  <Application>Microsoft Office Outlook</Application>
  <DocSecurity>4</DocSecurity>
  <Lines>1545</Lines>
  <Paragraphs>435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EXT</Company>
  <LinksUpToDate>false</LinksUpToDate>
  <CharactersWithSpaces>217518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Christine Fanelli</dc:creator>
  <cp:keywords/>
  <cp:lastModifiedBy>AdayMartin</cp:lastModifiedBy>
  <cp:revision>6</cp:revision>
  <cp:lastPrinted>2014-11-18T14:55:00Z</cp:lastPrinted>
  <dcterms:created xsi:type="dcterms:W3CDTF">2014-11-18T14:04:00Z</dcterms:created>
  <dcterms:modified xsi:type="dcterms:W3CDTF">2014-11-18T15:00:00Z</dcterms:modified>
</cp:coreProperties>
</file>