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03547" w:rsidRPr="00DB58B5" w:rsidTr="00093FF0">
        <w:trPr>
          <w:trHeight w:hRule="exact" w:val="851"/>
        </w:trPr>
        <w:tc>
          <w:tcPr>
            <w:tcW w:w="1277" w:type="dxa"/>
            <w:tcBorders>
              <w:bottom w:val="single" w:sz="4" w:space="0" w:color="auto"/>
            </w:tcBorders>
          </w:tcPr>
          <w:p w:rsidR="00903547" w:rsidRPr="00DB58B5" w:rsidRDefault="00903547" w:rsidP="00093FF0"/>
        </w:tc>
        <w:tc>
          <w:tcPr>
            <w:tcW w:w="2268" w:type="dxa"/>
            <w:tcBorders>
              <w:bottom w:val="single" w:sz="4" w:space="0" w:color="auto"/>
            </w:tcBorders>
            <w:vAlign w:val="bottom"/>
          </w:tcPr>
          <w:p w:rsidR="00903547" w:rsidRPr="00DB58B5" w:rsidRDefault="00903547" w:rsidP="00093FF0">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903547" w:rsidRPr="00DB58B5" w:rsidRDefault="00903547" w:rsidP="0072477F">
            <w:pPr>
              <w:jc w:val="right"/>
            </w:pPr>
            <w:r w:rsidRPr="0072477F">
              <w:rPr>
                <w:sz w:val="40"/>
              </w:rPr>
              <w:t>E</w:t>
            </w:r>
            <w:r>
              <w:t>/C.12/NOR/5</w:t>
            </w:r>
          </w:p>
        </w:tc>
      </w:tr>
      <w:tr w:rsidR="00903547" w:rsidRPr="00DB58B5" w:rsidTr="00093FF0">
        <w:trPr>
          <w:trHeight w:hRule="exact" w:val="2835"/>
        </w:trPr>
        <w:tc>
          <w:tcPr>
            <w:tcW w:w="1276" w:type="dxa"/>
            <w:tcBorders>
              <w:top w:val="single" w:sz="4" w:space="0" w:color="auto"/>
              <w:bottom w:val="single" w:sz="12" w:space="0" w:color="auto"/>
            </w:tcBorders>
          </w:tcPr>
          <w:p w:rsidR="00903547" w:rsidRPr="00DB58B5" w:rsidRDefault="00903547" w:rsidP="00093FF0">
            <w:pPr>
              <w:spacing w:before="120"/>
              <w:jc w:val="center"/>
            </w:pPr>
            <w:r w:rsidRPr="000538A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
                </v:shape>
              </w:pict>
            </w:r>
          </w:p>
        </w:tc>
        <w:tc>
          <w:tcPr>
            <w:tcW w:w="5528" w:type="dxa"/>
            <w:gridSpan w:val="2"/>
            <w:tcBorders>
              <w:top w:val="single" w:sz="4" w:space="0" w:color="auto"/>
              <w:bottom w:val="single" w:sz="12" w:space="0" w:color="auto"/>
            </w:tcBorders>
          </w:tcPr>
          <w:p w:rsidR="00903547" w:rsidRPr="00740562" w:rsidRDefault="00903547" w:rsidP="00093FF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03547" w:rsidRDefault="00903547" w:rsidP="00093FF0">
            <w:pPr>
              <w:spacing w:before="240"/>
            </w:pPr>
            <w:r>
              <w:t>Distr. générale</w:t>
            </w:r>
          </w:p>
          <w:p w:rsidR="00903547" w:rsidRDefault="00903547" w:rsidP="0072477F">
            <w:pPr>
              <w:spacing w:line="240" w:lineRule="exact"/>
            </w:pPr>
            <w:r>
              <w:t>29 octobre 2012</w:t>
            </w:r>
          </w:p>
          <w:p w:rsidR="00903547" w:rsidRDefault="00903547" w:rsidP="0072477F">
            <w:pPr>
              <w:spacing w:line="240" w:lineRule="exact"/>
            </w:pPr>
            <w:r>
              <w:t>Français</w:t>
            </w:r>
          </w:p>
          <w:p w:rsidR="00903547" w:rsidRPr="00DB58B5" w:rsidRDefault="00903547" w:rsidP="0072477F">
            <w:pPr>
              <w:spacing w:line="240" w:lineRule="exact"/>
            </w:pPr>
            <w:r>
              <w:t>Original: anglais</w:t>
            </w:r>
          </w:p>
        </w:tc>
      </w:tr>
    </w:tbl>
    <w:p w:rsidR="00903547" w:rsidRPr="00976C24" w:rsidRDefault="00903547" w:rsidP="0071086E">
      <w:pPr>
        <w:spacing w:before="120"/>
        <w:rPr>
          <w:b/>
          <w:sz w:val="24"/>
          <w:szCs w:val="24"/>
          <w:lang w:val="fr-FR"/>
        </w:rPr>
      </w:pPr>
      <w:r w:rsidRPr="00976C24">
        <w:rPr>
          <w:b/>
          <w:sz w:val="24"/>
          <w:szCs w:val="24"/>
          <w:lang w:val="fr-FR"/>
        </w:rPr>
        <w:t>Comité des droits économiques, sociaux et culturels</w:t>
      </w:r>
    </w:p>
    <w:p w:rsidR="00903547" w:rsidRPr="00976C24" w:rsidRDefault="00903547" w:rsidP="0071086E">
      <w:pPr>
        <w:pStyle w:val="HMG"/>
        <w:rPr>
          <w:lang w:val="fr-FR"/>
        </w:rPr>
      </w:pPr>
      <w:r w:rsidRPr="00976C24">
        <w:rPr>
          <w:lang w:val="fr-FR"/>
        </w:rPr>
        <w:tab/>
      </w:r>
      <w:r w:rsidRPr="00976C24">
        <w:rPr>
          <w:lang w:val="fr-FR"/>
        </w:rPr>
        <w:tab/>
        <w:t>Application du Pacte international relatif aux droits économiques, sociaux et culturels</w:t>
      </w:r>
    </w:p>
    <w:p w:rsidR="00903547" w:rsidRPr="00976C24" w:rsidRDefault="00903547" w:rsidP="0071086E">
      <w:pPr>
        <w:pStyle w:val="HChG"/>
        <w:rPr>
          <w:lang w:val="fr-FR"/>
        </w:rPr>
      </w:pPr>
      <w:r w:rsidRPr="00976C24">
        <w:rPr>
          <w:lang w:val="fr-FR"/>
        </w:rPr>
        <w:tab/>
      </w:r>
      <w:r w:rsidRPr="00976C24">
        <w:rPr>
          <w:lang w:val="fr-FR"/>
        </w:rPr>
        <w:tab/>
      </w:r>
      <w:bookmarkStart w:id="0" w:name="_Toc286326336"/>
      <w:r w:rsidRPr="00976C24">
        <w:rPr>
          <w:lang w:val="fr-FR"/>
        </w:rPr>
        <w:t xml:space="preserve">Cinquièmes rapports périodiques présentés par les </w:t>
      </w:r>
      <w:r>
        <w:rPr>
          <w:lang w:val="fr-FR"/>
        </w:rPr>
        <w:t>États</w:t>
      </w:r>
      <w:r w:rsidRPr="00976C24">
        <w:rPr>
          <w:lang w:val="fr-FR"/>
        </w:rPr>
        <w:t xml:space="preserve"> parties en vertu des articles 16 et 17 du Pacte</w:t>
      </w:r>
      <w:bookmarkEnd w:id="0"/>
    </w:p>
    <w:p w:rsidR="00903547" w:rsidRPr="00976C24" w:rsidRDefault="00903547" w:rsidP="0071086E">
      <w:pPr>
        <w:pStyle w:val="HMG"/>
        <w:rPr>
          <w:lang w:val="fr-FR"/>
        </w:rPr>
      </w:pPr>
      <w:r w:rsidRPr="00976C24">
        <w:rPr>
          <w:lang w:val="fr-FR"/>
        </w:rPr>
        <w:tab/>
      </w:r>
      <w:r w:rsidRPr="00976C24">
        <w:rPr>
          <w:lang w:val="fr-FR"/>
        </w:rPr>
        <w:tab/>
        <w:t>Norvège</w:t>
      </w:r>
      <w:r w:rsidRPr="00CB5669">
        <w:rPr>
          <w:rStyle w:val="FootnoteReference"/>
          <w:b w:val="0"/>
          <w:sz w:val="20"/>
          <w:vertAlign w:val="baseline"/>
          <w:lang w:val="fr-FR"/>
        </w:rPr>
        <w:footnoteReference w:customMarkFollows="1" w:id="2"/>
        <w:t>*</w:t>
      </w:r>
      <w:r w:rsidRPr="004B3395">
        <w:rPr>
          <w:b w:val="0"/>
          <w:sz w:val="20"/>
          <w:vertAlign w:val="superscript"/>
          <w:lang w:val="fr-FR"/>
        </w:rPr>
        <w:t>,</w:t>
      </w:r>
      <w:r w:rsidRPr="00CB5669">
        <w:rPr>
          <w:rStyle w:val="FootnoteReference"/>
          <w:b w:val="0"/>
          <w:sz w:val="20"/>
          <w:vertAlign w:val="baseline"/>
          <w:lang w:val="fr-FR"/>
        </w:rPr>
        <w:footnoteReference w:customMarkFollows="1" w:id="3"/>
        <w:t>**</w:t>
      </w:r>
    </w:p>
    <w:p w:rsidR="00903547" w:rsidRPr="00976C24" w:rsidRDefault="00903547" w:rsidP="0071086E">
      <w:pPr>
        <w:pStyle w:val="SingleTxtG"/>
        <w:jc w:val="right"/>
        <w:rPr>
          <w:lang w:val="fr-FR"/>
        </w:rPr>
      </w:pPr>
      <w:r w:rsidRPr="00976C24">
        <w:rPr>
          <w:lang w:val="fr-FR"/>
        </w:rPr>
        <w:t>[28 juin 2010]</w:t>
      </w:r>
    </w:p>
    <w:p w:rsidR="00903547" w:rsidRPr="00527756" w:rsidRDefault="00903547" w:rsidP="00527756">
      <w:pPr>
        <w:spacing w:after="120"/>
        <w:rPr>
          <w:sz w:val="28"/>
          <w:szCs w:val="28"/>
          <w:lang w:val="fr-FR"/>
        </w:rPr>
      </w:pPr>
      <w:r w:rsidRPr="00976C24">
        <w:rPr>
          <w:lang w:val="fr-FR"/>
        </w:rPr>
        <w:br w:type="page"/>
      </w:r>
      <w:r w:rsidRPr="00527756">
        <w:rPr>
          <w:sz w:val="28"/>
          <w:szCs w:val="28"/>
          <w:lang w:val="fr-FR"/>
        </w:rPr>
        <w:t>Table des matières</w:t>
      </w:r>
    </w:p>
    <w:p w:rsidR="00903547" w:rsidRPr="00976C24" w:rsidRDefault="00903547" w:rsidP="0071086E">
      <w:pPr>
        <w:tabs>
          <w:tab w:val="right" w:pos="8929"/>
          <w:tab w:val="right" w:pos="9638"/>
        </w:tabs>
        <w:spacing w:after="120"/>
        <w:ind w:left="283"/>
        <w:rPr>
          <w:lang w:val="fr-FR"/>
        </w:rPr>
      </w:pPr>
      <w:r w:rsidRPr="00976C24">
        <w:rPr>
          <w:i/>
          <w:sz w:val="18"/>
          <w:lang w:val="fr-FR"/>
        </w:rPr>
        <w:tab/>
        <w:t>Paragraphes</w:t>
      </w:r>
      <w:r w:rsidRPr="00976C24">
        <w:rPr>
          <w:i/>
          <w:sz w:val="18"/>
          <w:lang w:val="fr-FR"/>
        </w:rPr>
        <w:tab/>
        <w:t>Page</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I.</w:t>
      </w:r>
      <w:r w:rsidRPr="00976C24">
        <w:rPr>
          <w:lang w:val="fr-FR"/>
        </w:rPr>
        <w:tab/>
        <w:t>Introduction</w:t>
      </w:r>
      <w:r w:rsidRPr="00976C24">
        <w:rPr>
          <w:lang w:val="fr-FR"/>
        </w:rPr>
        <w:tab/>
      </w:r>
      <w:r w:rsidRPr="00976C24">
        <w:rPr>
          <w:lang w:val="fr-FR"/>
        </w:rPr>
        <w:tab/>
        <w:t>1–4</w:t>
      </w:r>
      <w:r w:rsidRPr="00976C24">
        <w:rPr>
          <w:lang w:val="fr-FR"/>
        </w:rPr>
        <w:tab/>
      </w:r>
      <w:r>
        <w:rPr>
          <w:lang w:val="fr-FR"/>
        </w:rPr>
        <w:t>4</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II.</w:t>
      </w:r>
      <w:r w:rsidRPr="00976C24">
        <w:rPr>
          <w:lang w:val="fr-FR"/>
        </w:rPr>
        <w:tab/>
        <w:t>Informations générales</w:t>
      </w:r>
      <w:r w:rsidRPr="00976C24">
        <w:rPr>
          <w:lang w:val="fr-FR"/>
        </w:rPr>
        <w:tab/>
      </w:r>
      <w:r w:rsidRPr="00976C24">
        <w:rPr>
          <w:lang w:val="fr-FR"/>
        </w:rPr>
        <w:tab/>
        <w:t>5–10</w:t>
      </w:r>
      <w:r w:rsidRPr="00976C24">
        <w:rPr>
          <w:lang w:val="fr-FR"/>
        </w:rPr>
        <w:tab/>
      </w:r>
      <w:r>
        <w:rPr>
          <w:lang w:val="fr-FR"/>
        </w:rPr>
        <w:t>4</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III.</w:t>
      </w:r>
      <w:r w:rsidRPr="00976C24">
        <w:rPr>
          <w:lang w:val="fr-FR"/>
        </w:rPr>
        <w:tab/>
        <w:t>Rapport sur les dispositions de fond</w:t>
      </w:r>
      <w:r w:rsidRPr="00976C24">
        <w:rPr>
          <w:lang w:val="fr-FR"/>
        </w:rPr>
        <w:tab/>
      </w:r>
      <w:r w:rsidRPr="00976C24">
        <w:rPr>
          <w:lang w:val="fr-FR"/>
        </w:rPr>
        <w:tab/>
        <w:t>11–141</w:t>
      </w:r>
      <w:r w:rsidRPr="00976C24">
        <w:rPr>
          <w:lang w:val="fr-FR"/>
        </w:rPr>
        <w:tab/>
      </w:r>
      <w:r>
        <w:rPr>
          <w:lang w:val="fr-FR"/>
        </w:rPr>
        <w:t>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 xml:space="preserve">Réponse aux observations finales du Comité des droits économiques, </w:t>
      </w:r>
      <w:r w:rsidRPr="00976C24">
        <w:rPr>
          <w:lang w:val="fr-FR"/>
        </w:rPr>
        <w:br/>
      </w:r>
      <w:r w:rsidRPr="00976C24">
        <w:rPr>
          <w:lang w:val="fr-FR"/>
        </w:rPr>
        <w:tab/>
      </w:r>
      <w:r w:rsidRPr="00976C24">
        <w:rPr>
          <w:lang w:val="fr-FR"/>
        </w:rPr>
        <w:tab/>
        <w:t>sociaux et culturels</w:t>
      </w:r>
      <w:r w:rsidRPr="00976C24">
        <w:rPr>
          <w:lang w:val="fr-FR"/>
        </w:rPr>
        <w:tab/>
      </w:r>
      <w:r w:rsidRPr="00976C24">
        <w:rPr>
          <w:lang w:val="fr-FR"/>
        </w:rPr>
        <w:tab/>
        <w:t>11–87</w:t>
      </w:r>
      <w:r w:rsidRPr="00976C24">
        <w:rPr>
          <w:lang w:val="fr-FR"/>
        </w:rPr>
        <w:tab/>
      </w:r>
      <w:r>
        <w:rPr>
          <w:lang w:val="fr-FR"/>
        </w:rPr>
        <w:t>5</w:t>
      </w:r>
    </w:p>
    <w:p w:rsidR="00903547" w:rsidRDefault="00903547" w:rsidP="0071086E">
      <w:pPr>
        <w:tabs>
          <w:tab w:val="right" w:pos="850"/>
          <w:tab w:val="left" w:pos="1134"/>
          <w:tab w:val="left" w:pos="1559"/>
          <w:tab w:val="left" w:pos="1600"/>
          <w:tab w:val="left" w:leader="dot" w:pos="7654"/>
          <w:tab w:val="right" w:pos="8929"/>
          <w:tab w:val="right" w:pos="9638"/>
        </w:tabs>
        <w:spacing w:after="120"/>
        <w:rPr>
          <w:lang w:val="fr-FR"/>
        </w:rPr>
      </w:pPr>
      <w:r w:rsidRPr="00976C24">
        <w:rPr>
          <w:lang w:val="fr-FR"/>
        </w:rPr>
        <w:tab/>
      </w:r>
      <w:r w:rsidRPr="00976C24">
        <w:rPr>
          <w:lang w:val="fr-FR"/>
        </w:rPr>
        <w:tab/>
        <w:t>Article 1: Autodétermination</w:t>
      </w:r>
      <w:r w:rsidRPr="00976C24">
        <w:rPr>
          <w:lang w:val="fr-FR"/>
        </w:rPr>
        <w:tab/>
      </w:r>
      <w:r w:rsidRPr="00976C24">
        <w:rPr>
          <w:lang w:val="fr-FR"/>
        </w:rPr>
        <w:tab/>
        <w:t>88–106</w:t>
      </w:r>
      <w:r>
        <w:rPr>
          <w:lang w:val="fr-FR"/>
        </w:rPr>
        <w:tab/>
        <w:t>17</w:t>
      </w:r>
    </w:p>
    <w:p w:rsidR="00903547" w:rsidRPr="00976C24" w:rsidRDefault="00903547" w:rsidP="0071086E">
      <w:pPr>
        <w:tabs>
          <w:tab w:val="right" w:pos="850"/>
          <w:tab w:val="left" w:pos="1134"/>
          <w:tab w:val="left" w:pos="1559"/>
          <w:tab w:val="left" w:pos="1600"/>
          <w:tab w:val="left" w:leader="dot" w:pos="7654"/>
          <w:tab w:val="right" w:pos="8929"/>
          <w:tab w:val="right" w:pos="9638"/>
        </w:tabs>
        <w:spacing w:after="120"/>
        <w:rPr>
          <w:lang w:val="fr-FR"/>
        </w:rPr>
      </w:pPr>
      <w:r>
        <w:rPr>
          <w:lang w:val="fr-FR"/>
        </w:rPr>
        <w:tab/>
      </w:r>
      <w:r w:rsidRPr="00976C24">
        <w:rPr>
          <w:lang w:val="fr-FR"/>
        </w:rPr>
        <w:tab/>
        <w:t xml:space="preserve">Article 2: Exercice des droits </w:t>
      </w:r>
      <w:r w:rsidRPr="00155D87">
        <w:rPr>
          <w:lang w:val="fr-FR"/>
        </w:rPr>
        <w:t>reconnus dans le Pacte</w:t>
      </w:r>
      <w:r w:rsidRPr="00976C24">
        <w:rPr>
          <w:lang w:val="fr-FR"/>
        </w:rPr>
        <w:tab/>
      </w:r>
      <w:r w:rsidRPr="00976C24">
        <w:rPr>
          <w:lang w:val="fr-FR"/>
        </w:rPr>
        <w:tab/>
        <w:t>107–129</w:t>
      </w:r>
      <w:r w:rsidRPr="00976C24">
        <w:rPr>
          <w:lang w:val="fr-FR"/>
        </w:rPr>
        <w:tab/>
      </w:r>
      <w:r>
        <w:rPr>
          <w:lang w:val="fr-FR"/>
        </w:rPr>
        <w:t>20</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 xml:space="preserve">Article 3: </w:t>
      </w:r>
      <w:r>
        <w:rPr>
          <w:lang w:val="fr-FR"/>
        </w:rPr>
        <w:t>Égalité</w:t>
      </w:r>
      <w:r w:rsidRPr="00976C24">
        <w:rPr>
          <w:lang w:val="fr-FR"/>
        </w:rPr>
        <w:t xml:space="preserve"> des sexes</w:t>
      </w:r>
      <w:r w:rsidRPr="00976C24">
        <w:rPr>
          <w:lang w:val="fr-FR"/>
        </w:rPr>
        <w:tab/>
      </w:r>
      <w:r w:rsidRPr="00976C24">
        <w:rPr>
          <w:lang w:val="fr-FR"/>
        </w:rPr>
        <w:tab/>
        <w:t>130–139</w:t>
      </w:r>
      <w:r w:rsidRPr="00976C24">
        <w:rPr>
          <w:lang w:val="fr-FR"/>
        </w:rPr>
        <w:tab/>
      </w:r>
      <w:r>
        <w:rPr>
          <w:lang w:val="fr-FR"/>
        </w:rPr>
        <w:t>23</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4: Limitations</w:t>
      </w:r>
      <w:r w:rsidRPr="00976C24">
        <w:rPr>
          <w:lang w:val="fr-FR"/>
        </w:rPr>
        <w:tab/>
      </w:r>
      <w:r w:rsidRPr="00976C24">
        <w:rPr>
          <w:lang w:val="fr-FR"/>
        </w:rPr>
        <w:tab/>
        <w:t>140</w:t>
      </w:r>
      <w:r w:rsidRPr="00976C24">
        <w:rPr>
          <w:lang w:val="fr-FR"/>
        </w:rPr>
        <w:tab/>
      </w:r>
      <w:r>
        <w:rPr>
          <w:lang w:val="fr-FR"/>
        </w:rPr>
        <w:t>25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5: Interprétation</w:t>
      </w:r>
      <w:r w:rsidRPr="00976C24">
        <w:rPr>
          <w:lang w:val="fr-FR"/>
        </w:rPr>
        <w:tab/>
      </w:r>
      <w:r w:rsidRPr="00976C24">
        <w:rPr>
          <w:lang w:val="fr-FR"/>
        </w:rPr>
        <w:tab/>
        <w:t>141</w:t>
      </w:r>
      <w:r w:rsidRPr="00976C24">
        <w:rPr>
          <w:lang w:val="fr-FR"/>
        </w:rPr>
        <w:tab/>
      </w:r>
      <w:r>
        <w:rPr>
          <w:lang w:val="fr-FR"/>
        </w:rPr>
        <w:t>25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IV.</w:t>
      </w:r>
      <w:r w:rsidRPr="00976C24">
        <w:rPr>
          <w:lang w:val="fr-FR"/>
        </w:rPr>
        <w:tab/>
        <w:t xml:space="preserve">Partie du rapport </w:t>
      </w:r>
      <w:r>
        <w:rPr>
          <w:lang w:val="fr-FR"/>
        </w:rPr>
        <w:t>relative à des droits précis</w:t>
      </w:r>
      <w:r w:rsidRPr="00976C24">
        <w:rPr>
          <w:lang w:val="fr-FR"/>
        </w:rPr>
        <w:tab/>
      </w:r>
      <w:r w:rsidRPr="00976C24">
        <w:rPr>
          <w:lang w:val="fr-FR"/>
        </w:rPr>
        <w:tab/>
        <w:t>142–520</w:t>
      </w:r>
      <w:r w:rsidRPr="00976C24">
        <w:rPr>
          <w:lang w:val="fr-FR"/>
        </w:rPr>
        <w:tab/>
      </w:r>
      <w:r>
        <w:rPr>
          <w:lang w:val="fr-FR"/>
        </w:rPr>
        <w:t>25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6: Droit au travail</w:t>
      </w:r>
      <w:r w:rsidRPr="00976C24">
        <w:rPr>
          <w:lang w:val="fr-FR"/>
        </w:rPr>
        <w:tab/>
      </w:r>
      <w:r w:rsidRPr="00976C24">
        <w:rPr>
          <w:lang w:val="fr-FR"/>
        </w:rPr>
        <w:tab/>
        <w:t>142–172</w:t>
      </w:r>
      <w:r w:rsidRPr="00976C24">
        <w:rPr>
          <w:lang w:val="fr-FR"/>
        </w:rPr>
        <w:tab/>
      </w:r>
      <w:r>
        <w:rPr>
          <w:lang w:val="fr-FR"/>
        </w:rPr>
        <w:t>25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7: Droit à des conditions de travail justes</w:t>
      </w:r>
      <w:r w:rsidRPr="00976C24">
        <w:rPr>
          <w:lang w:val="fr-FR"/>
        </w:rPr>
        <w:tab/>
      </w:r>
      <w:r w:rsidRPr="00976C24">
        <w:rPr>
          <w:lang w:val="fr-FR"/>
        </w:rPr>
        <w:tab/>
        <w:t>173–202</w:t>
      </w:r>
      <w:r w:rsidRPr="00976C24">
        <w:rPr>
          <w:lang w:val="fr-FR"/>
        </w:rPr>
        <w:tab/>
      </w:r>
      <w:r>
        <w:rPr>
          <w:lang w:val="fr-FR"/>
        </w:rPr>
        <w:t>30</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8: Droit de former des syndicats et de s’</w:t>
      </w:r>
      <w:r>
        <w:rPr>
          <w:lang w:val="fr-FR"/>
        </w:rPr>
        <w:t xml:space="preserve">y </w:t>
      </w:r>
      <w:r w:rsidRPr="00976C24">
        <w:rPr>
          <w:lang w:val="fr-FR"/>
        </w:rPr>
        <w:t>affilier</w:t>
      </w:r>
      <w:r w:rsidRPr="00976C24">
        <w:rPr>
          <w:lang w:val="fr-FR"/>
        </w:rPr>
        <w:tab/>
      </w:r>
      <w:r w:rsidRPr="00976C24">
        <w:rPr>
          <w:lang w:val="fr-FR"/>
        </w:rPr>
        <w:tab/>
        <w:t>203</w:t>
      </w:r>
      <w:r w:rsidRPr="00976C24">
        <w:rPr>
          <w:lang w:val="fr-FR"/>
        </w:rPr>
        <w:tab/>
      </w:r>
      <w:r>
        <w:rPr>
          <w:lang w:val="fr-FR"/>
        </w:rPr>
        <w:t>35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9: Droit à la sécurité sociale</w:t>
      </w:r>
      <w:r w:rsidRPr="00976C24">
        <w:rPr>
          <w:lang w:val="fr-FR"/>
        </w:rPr>
        <w:tab/>
      </w:r>
      <w:r w:rsidRPr="00976C24">
        <w:rPr>
          <w:lang w:val="fr-FR"/>
        </w:rPr>
        <w:tab/>
        <w:t>204–227</w:t>
      </w:r>
      <w:r w:rsidRPr="00976C24">
        <w:rPr>
          <w:lang w:val="fr-FR"/>
        </w:rPr>
        <w:tab/>
      </w:r>
      <w:r>
        <w:rPr>
          <w:lang w:val="fr-FR"/>
        </w:rPr>
        <w:t>35</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10: Droit à une protection de la famille</w:t>
      </w:r>
      <w:r w:rsidRPr="00976C24">
        <w:rPr>
          <w:lang w:val="fr-FR"/>
        </w:rPr>
        <w:tab/>
      </w:r>
      <w:r w:rsidRPr="00976C24">
        <w:rPr>
          <w:lang w:val="fr-FR"/>
        </w:rPr>
        <w:tab/>
        <w:t>228–289</w:t>
      </w:r>
      <w:r w:rsidRPr="00976C24">
        <w:rPr>
          <w:lang w:val="fr-FR"/>
        </w:rPr>
        <w:tab/>
      </w:r>
      <w:r>
        <w:rPr>
          <w:lang w:val="fr-FR"/>
        </w:rPr>
        <w:t>38</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11: Droit à un niveau de vie suffisant</w:t>
      </w:r>
      <w:r w:rsidRPr="00976C24">
        <w:rPr>
          <w:lang w:val="fr-FR"/>
        </w:rPr>
        <w:tab/>
      </w:r>
      <w:r w:rsidRPr="00976C24">
        <w:rPr>
          <w:lang w:val="fr-FR"/>
        </w:rPr>
        <w:tab/>
        <w:t>290–384</w:t>
      </w:r>
      <w:r w:rsidRPr="00976C24">
        <w:rPr>
          <w:lang w:val="fr-FR"/>
        </w:rPr>
        <w:tab/>
      </w:r>
      <w:r>
        <w:rPr>
          <w:lang w:val="fr-FR"/>
        </w:rPr>
        <w:t>46</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12: Droit à la santé</w:t>
      </w:r>
      <w:r w:rsidRPr="00976C24">
        <w:rPr>
          <w:lang w:val="fr-FR"/>
        </w:rPr>
        <w:tab/>
      </w:r>
      <w:r w:rsidRPr="00976C24">
        <w:rPr>
          <w:lang w:val="fr-FR"/>
        </w:rPr>
        <w:tab/>
        <w:t>385–420</w:t>
      </w:r>
      <w:r w:rsidRPr="00976C24">
        <w:rPr>
          <w:lang w:val="fr-FR"/>
        </w:rPr>
        <w:tab/>
      </w:r>
      <w:r>
        <w:rPr>
          <w:lang w:val="fr-FR"/>
        </w:rPr>
        <w:t>60</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w:t>
      </w:r>
      <w:r>
        <w:rPr>
          <w:lang w:val="fr-FR"/>
        </w:rPr>
        <w:t>s</w:t>
      </w:r>
      <w:r w:rsidRPr="00976C24">
        <w:rPr>
          <w:lang w:val="fr-FR"/>
        </w:rPr>
        <w:t xml:space="preserve"> 13 et 14: Droit à l’éducation</w:t>
      </w:r>
      <w:r w:rsidRPr="00976C24">
        <w:rPr>
          <w:lang w:val="fr-FR"/>
        </w:rPr>
        <w:tab/>
      </w:r>
      <w:r w:rsidRPr="00976C24">
        <w:rPr>
          <w:lang w:val="fr-FR"/>
        </w:rPr>
        <w:tab/>
        <w:t>421–466</w:t>
      </w:r>
      <w:r w:rsidRPr="00976C24">
        <w:rPr>
          <w:lang w:val="fr-FR"/>
        </w:rPr>
        <w:tab/>
      </w:r>
      <w:r>
        <w:rPr>
          <w:lang w:val="fr-FR"/>
        </w:rPr>
        <w:t>66</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r>
      <w:r w:rsidRPr="00976C24">
        <w:rPr>
          <w:lang w:val="fr-FR"/>
        </w:rPr>
        <w:tab/>
        <w:t>Article 15: Droit à la culture</w:t>
      </w:r>
      <w:r w:rsidRPr="00976C24">
        <w:rPr>
          <w:lang w:val="fr-FR"/>
        </w:rPr>
        <w:tab/>
      </w:r>
      <w:r w:rsidRPr="00976C24">
        <w:rPr>
          <w:lang w:val="fr-FR"/>
        </w:rPr>
        <w:tab/>
        <w:t>467–520</w:t>
      </w:r>
      <w:r w:rsidRPr="00976C24">
        <w:rPr>
          <w:lang w:val="fr-FR"/>
        </w:rPr>
        <w:tab/>
      </w:r>
      <w:r>
        <w:rPr>
          <w:lang w:val="fr-FR"/>
        </w:rPr>
        <w:t>73</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Annexes</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I.</w:t>
      </w:r>
      <w:r w:rsidRPr="00976C24">
        <w:rPr>
          <w:lang w:val="fr-FR"/>
        </w:rPr>
        <w:tab/>
        <w:t xml:space="preserve">Document de base commun de </w:t>
      </w:r>
      <w:r>
        <w:rPr>
          <w:lang w:val="fr-FR"/>
        </w:rPr>
        <w:t>l</w:t>
      </w:r>
      <w:r w:rsidRPr="00976C24">
        <w:rPr>
          <w:lang w:val="fr-FR"/>
        </w:rPr>
        <w:t xml:space="preserve">a Norvège </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Pr>
          <w:lang w:val="fr-FR"/>
        </w:rPr>
        <w:tab/>
        <w:t>II.</w:t>
      </w:r>
      <w:r>
        <w:rPr>
          <w:lang w:val="fr-FR"/>
        </w:rPr>
        <w:tab/>
        <w:t>Loi du 20 juin 2008 n</w:t>
      </w:r>
      <w:r w:rsidRPr="00165F4A">
        <w:rPr>
          <w:vertAlign w:val="superscript"/>
          <w:lang w:val="fr-FR"/>
        </w:rPr>
        <w:t>o</w:t>
      </w:r>
      <w:r>
        <w:rPr>
          <w:lang w:val="fr-FR"/>
        </w:rPr>
        <w:t> </w:t>
      </w:r>
      <w:r w:rsidRPr="00976C24">
        <w:rPr>
          <w:lang w:val="fr-FR"/>
        </w:rPr>
        <w:t>42 sur l’interdiction de la discrimination fondée sur le handicap (loi</w:t>
      </w:r>
      <w:r>
        <w:rPr>
          <w:lang w:val="fr-FR"/>
        </w:rPr>
        <w:t> </w:t>
      </w:r>
      <w:r w:rsidRPr="00976C24">
        <w:rPr>
          <w:lang w:val="fr-FR"/>
        </w:rPr>
        <w:t>contre la discrimination et pour l’accessibilité)</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sidRPr="00976C24">
        <w:rPr>
          <w:lang w:val="fr-FR"/>
        </w:rPr>
        <w:tab/>
        <w:t>III.</w:t>
      </w:r>
      <w:r w:rsidRPr="00976C24">
        <w:rPr>
          <w:lang w:val="fr-FR"/>
        </w:rPr>
        <w:tab/>
        <w:t>Projet de loi sur l’entrée et le séjour des ressortissants étrangers dans le Royaume de Norvège (loi sur l’immigration)</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Pr>
          <w:lang w:val="fr-FR"/>
        </w:rPr>
        <w:tab/>
        <w:t>IV.</w:t>
      </w:r>
      <w:r>
        <w:rPr>
          <w:lang w:val="fr-FR"/>
        </w:rPr>
        <w:tab/>
        <w:t>Loi du 17 juin 2005 n</w:t>
      </w:r>
      <w:r w:rsidRPr="00165F4A">
        <w:rPr>
          <w:vertAlign w:val="superscript"/>
          <w:lang w:val="fr-FR"/>
        </w:rPr>
        <w:t>o</w:t>
      </w:r>
      <w:r>
        <w:rPr>
          <w:lang w:val="fr-FR"/>
        </w:rPr>
        <w:t> </w:t>
      </w:r>
      <w:r w:rsidRPr="00976C24">
        <w:rPr>
          <w:lang w:val="fr-FR"/>
        </w:rPr>
        <w:t>85 sur les relations juridiques et la gestion des terres et des ressources naturelles dans le comté du Finnmark (</w:t>
      </w:r>
      <w:r>
        <w:rPr>
          <w:lang w:val="fr-FR"/>
        </w:rPr>
        <w:t>loi</w:t>
      </w:r>
      <w:r w:rsidRPr="00976C24">
        <w:rPr>
          <w:lang w:val="fr-FR"/>
        </w:rPr>
        <w:t xml:space="preserve"> sur le Finnmark)</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sidRPr="00976C24">
        <w:rPr>
          <w:lang w:val="fr-FR"/>
        </w:rPr>
        <w:tab/>
        <w:t>V.</w:t>
      </w:r>
      <w:r w:rsidRPr="00976C24">
        <w:rPr>
          <w:lang w:val="fr-FR"/>
        </w:rPr>
        <w:tab/>
        <w:t>Loi sur l’environnement de travail, les horaires de travail et la protection de l’emploi, etc. (</w:t>
      </w:r>
      <w:r>
        <w:rPr>
          <w:lang w:val="fr-FR"/>
        </w:rPr>
        <w:t>l</w:t>
      </w:r>
      <w:r w:rsidRPr="00976C24">
        <w:rPr>
          <w:lang w:val="fr-FR"/>
        </w:rPr>
        <w:t>oi</w:t>
      </w:r>
      <w:r>
        <w:rPr>
          <w:lang w:val="fr-FR"/>
        </w:rPr>
        <w:t> </w:t>
      </w:r>
      <w:r w:rsidRPr="00976C24">
        <w:rPr>
          <w:lang w:val="fr-FR"/>
        </w:rPr>
        <w:t>sur l’environnement de travail)</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sidRPr="00976C24">
        <w:rPr>
          <w:lang w:val="fr-FR"/>
        </w:rPr>
        <w:tab/>
        <w:t>VI.</w:t>
      </w:r>
      <w:r w:rsidRPr="00976C24">
        <w:rPr>
          <w:lang w:val="fr-FR"/>
        </w:rPr>
        <w:tab/>
        <w:t xml:space="preserve">Rapport </w:t>
      </w:r>
      <w:r>
        <w:rPr>
          <w:lang w:val="fr-FR"/>
        </w:rPr>
        <w:t>de la Norvège</w:t>
      </w:r>
      <w:r w:rsidRPr="00976C24">
        <w:rPr>
          <w:lang w:val="fr-FR"/>
        </w:rPr>
        <w:t xml:space="preserve"> soumis conformément au paragraphe 15 A) de l’annexe à la résolution 5/1 du Conseil des droits de l’homme</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VII.</w:t>
      </w:r>
      <w:r w:rsidRPr="00976C24">
        <w:rPr>
          <w:lang w:val="fr-FR"/>
        </w:rPr>
        <w:tab/>
      </w:r>
      <w:r>
        <w:rPr>
          <w:lang w:val="fr-FR"/>
        </w:rPr>
        <w:t>CCPR</w:t>
      </w:r>
      <w:r w:rsidRPr="00976C24">
        <w:rPr>
          <w:lang w:val="fr-FR"/>
        </w:rPr>
        <w:t>/C/NOR/6</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rPr>
          <w:lang w:val="fr-FR"/>
        </w:rPr>
      </w:pPr>
      <w:r w:rsidRPr="00976C24">
        <w:rPr>
          <w:lang w:val="fr-FR"/>
        </w:rPr>
        <w:tab/>
        <w:t>VIII.</w:t>
      </w:r>
      <w:r w:rsidRPr="00976C24">
        <w:rPr>
          <w:lang w:val="fr-FR"/>
        </w:rPr>
        <w:tab/>
      </w:r>
      <w:r>
        <w:rPr>
          <w:lang w:val="fr-FR"/>
        </w:rPr>
        <w:t>CCPR</w:t>
      </w:r>
      <w:r w:rsidRPr="00976C24">
        <w:rPr>
          <w:lang w:val="fr-FR"/>
        </w:rPr>
        <w:t>/C/NOR/2004/5</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sidRPr="00976C24">
        <w:rPr>
          <w:lang w:val="fr-FR"/>
        </w:rPr>
        <w:tab/>
        <w:t>IX.</w:t>
      </w:r>
      <w:r w:rsidRPr="00976C24">
        <w:rPr>
          <w:lang w:val="fr-FR"/>
        </w:rPr>
        <w:tab/>
      </w:r>
      <w:r>
        <w:rPr>
          <w:lang w:val="fr-FR"/>
        </w:rPr>
        <w:t>Dix-neuvième et vingtième</w:t>
      </w:r>
      <w:r w:rsidRPr="00976C24">
        <w:rPr>
          <w:lang w:val="fr-FR"/>
        </w:rPr>
        <w:t xml:space="preserve"> rapports de </w:t>
      </w:r>
      <w:r>
        <w:rPr>
          <w:lang w:val="fr-FR"/>
        </w:rPr>
        <w:t>l</w:t>
      </w:r>
      <w:r w:rsidRPr="00976C24">
        <w:rPr>
          <w:lang w:val="fr-FR"/>
        </w:rPr>
        <w:t xml:space="preserve">a Norvège soumis en </w:t>
      </w:r>
      <w:r>
        <w:rPr>
          <w:lang w:val="fr-FR"/>
        </w:rPr>
        <w:t>vertu</w:t>
      </w:r>
      <w:r w:rsidRPr="00976C24">
        <w:rPr>
          <w:lang w:val="fr-FR"/>
        </w:rPr>
        <w:t xml:space="preserve"> de la Convention internationale sur l’élimination de toutes les formes de discrimination raciale </w:t>
      </w:r>
    </w:p>
    <w:p w:rsidR="00903547" w:rsidRPr="00976C24" w:rsidRDefault="00903547" w:rsidP="001F0C17">
      <w:pPr>
        <w:tabs>
          <w:tab w:val="right" w:pos="850"/>
          <w:tab w:val="left" w:pos="1134"/>
          <w:tab w:val="left" w:pos="1559"/>
          <w:tab w:val="left" w:pos="1984"/>
          <w:tab w:val="left" w:leader="dot" w:pos="7654"/>
          <w:tab w:val="right" w:pos="8789"/>
        </w:tabs>
        <w:spacing w:after="120"/>
        <w:ind w:left="1134" w:right="850" w:hanging="1134"/>
        <w:rPr>
          <w:lang w:val="fr-FR"/>
        </w:rPr>
      </w:pPr>
      <w:r w:rsidRPr="00976C24">
        <w:rPr>
          <w:lang w:val="fr-FR"/>
        </w:rPr>
        <w:tab/>
        <w:t>X.</w:t>
      </w:r>
      <w:r w:rsidRPr="00976C24">
        <w:rPr>
          <w:lang w:val="fr-FR"/>
        </w:rPr>
        <w:tab/>
        <w:t xml:space="preserve">Rapport couvrant la période </w:t>
      </w:r>
      <w:r>
        <w:rPr>
          <w:lang w:val="fr-FR"/>
        </w:rPr>
        <w:t>se terminant le</w:t>
      </w:r>
      <w:r w:rsidRPr="00976C24">
        <w:rPr>
          <w:lang w:val="fr-FR"/>
        </w:rPr>
        <w:t xml:space="preserve"> 31 août 2008, présenté conformément à l’article 22 de la Convention de l’Organisation internationale du travail </w:t>
      </w:r>
      <w:r>
        <w:rPr>
          <w:lang w:val="fr-FR"/>
        </w:rPr>
        <w:t xml:space="preserve">(OIT) </w:t>
      </w:r>
      <w:r w:rsidRPr="00976C24">
        <w:rPr>
          <w:lang w:val="fr-FR"/>
        </w:rPr>
        <w:t xml:space="preserve">par le Gouvernement norvégien, </w:t>
      </w:r>
      <w:r>
        <w:rPr>
          <w:lang w:val="fr-FR"/>
        </w:rPr>
        <w:t>relatif aux</w:t>
      </w:r>
      <w:r w:rsidRPr="00976C24">
        <w:rPr>
          <w:lang w:val="fr-FR"/>
        </w:rPr>
        <w:t xml:space="preserve"> mesures prises pour donner effet aux</w:t>
      </w:r>
      <w:r>
        <w:rPr>
          <w:lang w:val="fr-FR"/>
        </w:rPr>
        <w:t xml:space="preserve"> dispositions de la Convention n</w:t>
      </w:r>
      <w:r w:rsidRPr="00165F4A">
        <w:rPr>
          <w:vertAlign w:val="superscript"/>
          <w:lang w:val="fr-FR"/>
        </w:rPr>
        <w:t>o</w:t>
      </w:r>
      <w:r>
        <w:rPr>
          <w:lang w:val="fr-FR"/>
        </w:rPr>
        <w:t> </w:t>
      </w:r>
      <w:r w:rsidRPr="00976C24">
        <w:rPr>
          <w:lang w:val="fr-FR"/>
        </w:rPr>
        <w:t>169 concernant les peuples indigènes et tribaux dans les pays indépendants (1989) dont la ratification a été enregistrée le 19 juin 1990</w:t>
      </w:r>
    </w:p>
    <w:p w:rsidR="00903547" w:rsidRPr="00976C24" w:rsidRDefault="00903547" w:rsidP="0071086E">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976C24">
        <w:rPr>
          <w:lang w:val="fr-FR"/>
        </w:rPr>
        <w:tab/>
        <w:t>XI.</w:t>
      </w:r>
      <w:r w:rsidRPr="00976C24">
        <w:rPr>
          <w:lang w:val="fr-FR"/>
        </w:rPr>
        <w:tab/>
        <w:t xml:space="preserve">Quatrième rapport périodique de </w:t>
      </w:r>
      <w:r>
        <w:rPr>
          <w:lang w:val="fr-FR"/>
        </w:rPr>
        <w:t>l</w:t>
      </w:r>
      <w:r w:rsidRPr="00976C24">
        <w:rPr>
          <w:lang w:val="fr-FR"/>
        </w:rPr>
        <w:t>a Norvège soumis au Comité des droits de l’enfant – 2008</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sidRPr="00976C24">
        <w:rPr>
          <w:lang w:val="fr-FR"/>
        </w:rPr>
        <w:tab/>
        <w:t>XII.</w:t>
      </w:r>
      <w:r w:rsidRPr="00976C24">
        <w:rPr>
          <w:lang w:val="fr-FR"/>
        </w:rPr>
        <w:tab/>
        <w:t xml:space="preserve">Septième rapport périodique de </w:t>
      </w:r>
      <w:r>
        <w:rPr>
          <w:lang w:val="fr-FR"/>
        </w:rPr>
        <w:t>l</w:t>
      </w:r>
      <w:r w:rsidRPr="00976C24">
        <w:rPr>
          <w:lang w:val="fr-FR"/>
        </w:rPr>
        <w:t>a Norvège sur la mise en œuvre de la Convention sur l’élimination de toutes les formes de discrimination à l’égard des femmes (CEDAW)</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Pr>
          <w:lang w:val="fr-FR"/>
        </w:rPr>
        <w:tab/>
        <w:t>XIII.</w:t>
      </w:r>
      <w:r>
        <w:rPr>
          <w:lang w:val="fr-FR"/>
        </w:rPr>
        <w:tab/>
        <w:t>Livre blanc n</w:t>
      </w:r>
      <w:r w:rsidRPr="00165F4A">
        <w:rPr>
          <w:vertAlign w:val="superscript"/>
          <w:lang w:val="fr-FR"/>
        </w:rPr>
        <w:t>o</w:t>
      </w:r>
      <w:r>
        <w:rPr>
          <w:lang w:val="fr-FR"/>
        </w:rPr>
        <w:t> </w:t>
      </w:r>
      <w:r w:rsidRPr="00976C24">
        <w:rPr>
          <w:lang w:val="fr-FR"/>
        </w:rPr>
        <w:t>28 (2007-2008) sur la politique relative aux Samis, article 1.3.6</w:t>
      </w:r>
      <w:r>
        <w:rPr>
          <w:lang w:val="fr-FR"/>
        </w:rPr>
        <w:t>:</w:t>
      </w:r>
      <w:r w:rsidRPr="00976C24">
        <w:rPr>
          <w:lang w:val="fr-FR"/>
        </w:rPr>
        <w:t xml:space="preserve"> Déclaration des Nations Unies sur les droits des peuples autochtones</w:t>
      </w:r>
    </w:p>
    <w:p w:rsidR="00903547" w:rsidRPr="00976C24" w:rsidRDefault="00903547" w:rsidP="001F0C17">
      <w:pPr>
        <w:tabs>
          <w:tab w:val="right" w:pos="850"/>
          <w:tab w:val="left" w:pos="1134"/>
          <w:tab w:val="left" w:pos="1559"/>
          <w:tab w:val="left" w:pos="1984"/>
          <w:tab w:val="left" w:leader="dot" w:pos="7654"/>
          <w:tab w:val="right" w:pos="8929"/>
        </w:tabs>
        <w:spacing w:after="120"/>
        <w:ind w:left="1134" w:right="850" w:hanging="1134"/>
        <w:rPr>
          <w:lang w:val="fr-FR"/>
        </w:rPr>
      </w:pPr>
      <w:r w:rsidRPr="00976C24">
        <w:rPr>
          <w:lang w:val="fr-FR"/>
        </w:rPr>
        <w:tab/>
        <w:t>XIV.</w:t>
      </w:r>
      <w:r w:rsidRPr="00976C24">
        <w:rPr>
          <w:lang w:val="fr-FR"/>
        </w:rPr>
        <w:tab/>
        <w:t>Procédures de consultation entre les autorités de l’</w:t>
      </w:r>
      <w:r>
        <w:rPr>
          <w:lang w:val="fr-FR"/>
        </w:rPr>
        <w:t>État</w:t>
      </w:r>
      <w:r w:rsidRPr="00976C24">
        <w:rPr>
          <w:lang w:val="fr-FR"/>
        </w:rPr>
        <w:t xml:space="preserve"> et le Pa</w:t>
      </w:r>
      <w:r>
        <w:rPr>
          <w:lang w:val="fr-FR"/>
        </w:rPr>
        <w:t>rlement sami, Oslo, 11 mai 2005</w:t>
      </w:r>
    </w:p>
    <w:p w:rsidR="00903547" w:rsidRPr="00976C24" w:rsidRDefault="00903547" w:rsidP="0071086E">
      <w:pPr>
        <w:pStyle w:val="HChG"/>
        <w:rPr>
          <w:lang w:val="fr-FR"/>
        </w:rPr>
      </w:pPr>
      <w:r w:rsidRPr="00976C24">
        <w:rPr>
          <w:lang w:val="fr-FR"/>
        </w:rPr>
        <w:br w:type="page"/>
      </w:r>
      <w:bookmarkStart w:id="1" w:name="_Toc265062214"/>
      <w:r w:rsidRPr="00976C24">
        <w:rPr>
          <w:lang w:val="fr-FR"/>
        </w:rPr>
        <w:tab/>
        <w:t>I.</w:t>
      </w:r>
      <w:r w:rsidRPr="00976C24">
        <w:rPr>
          <w:lang w:val="fr-FR"/>
        </w:rPr>
        <w:tab/>
      </w:r>
      <w:bookmarkStart w:id="2" w:name="_Toc286326337"/>
      <w:r w:rsidRPr="00976C24">
        <w:rPr>
          <w:lang w:val="fr-FR"/>
        </w:rPr>
        <w:t>Introduction</w:t>
      </w:r>
      <w:bookmarkEnd w:id="1"/>
      <w:bookmarkEnd w:id="2"/>
    </w:p>
    <w:p w:rsidR="00903547" w:rsidRPr="00527756" w:rsidRDefault="00903547" w:rsidP="00527756">
      <w:pPr>
        <w:pStyle w:val="SingleTxtG"/>
      </w:pPr>
      <w:r>
        <w:t>1.</w:t>
      </w:r>
      <w:r>
        <w:tab/>
      </w:r>
      <w:r w:rsidRPr="00527756">
        <w:t xml:space="preserve">Le </w:t>
      </w:r>
      <w:r w:rsidRPr="00A54B24">
        <w:rPr>
          <w:lang w:val="fr-FR"/>
        </w:rPr>
        <w:t>cinquième</w:t>
      </w:r>
      <w:r w:rsidRPr="00527756">
        <w:t xml:space="preserve"> rapport </w:t>
      </w:r>
      <w:r w:rsidRPr="00A54B24">
        <w:rPr>
          <w:lang w:val="fr-FR"/>
        </w:rPr>
        <w:t>périodique</w:t>
      </w:r>
      <w:r w:rsidRPr="00527756">
        <w:t xml:space="preserve"> de la </w:t>
      </w:r>
      <w:r w:rsidRPr="00A54B24">
        <w:rPr>
          <w:lang w:val="fr-FR"/>
        </w:rPr>
        <w:t>Norvège</w:t>
      </w:r>
      <w:r w:rsidRPr="00527756">
        <w:t xml:space="preserve"> </w:t>
      </w:r>
      <w:r w:rsidRPr="00A54B24">
        <w:rPr>
          <w:lang w:val="fr-FR"/>
        </w:rPr>
        <w:t>est</w:t>
      </w:r>
      <w:r w:rsidRPr="00527756">
        <w:t xml:space="preserve"> </w:t>
      </w:r>
      <w:r w:rsidRPr="00A54B24">
        <w:rPr>
          <w:lang w:val="fr-FR"/>
        </w:rPr>
        <w:t>présenté</w:t>
      </w:r>
      <w:r w:rsidRPr="00527756">
        <w:t xml:space="preserve"> en </w:t>
      </w:r>
      <w:r w:rsidRPr="00A54B24">
        <w:rPr>
          <w:lang w:val="fr-FR"/>
        </w:rPr>
        <w:t>vertu</w:t>
      </w:r>
      <w:r w:rsidRPr="00527756">
        <w:t xml:space="preserve"> des articles 16 et 17 du </w:t>
      </w:r>
      <w:r w:rsidRPr="00A54B24">
        <w:rPr>
          <w:lang w:val="fr-FR"/>
        </w:rPr>
        <w:t>Pacte</w:t>
      </w:r>
      <w:r w:rsidRPr="00527756">
        <w:t xml:space="preserve"> international </w:t>
      </w:r>
      <w:r w:rsidRPr="00A54B24">
        <w:rPr>
          <w:lang w:val="fr-FR"/>
        </w:rPr>
        <w:t>relatif</w:t>
      </w:r>
      <w:r w:rsidRPr="00527756">
        <w:t xml:space="preserve"> aux </w:t>
      </w:r>
      <w:r w:rsidRPr="00A54B24">
        <w:rPr>
          <w:lang w:val="fr-FR"/>
        </w:rPr>
        <w:t>droits</w:t>
      </w:r>
      <w:r w:rsidRPr="00527756">
        <w:t xml:space="preserve"> </w:t>
      </w:r>
      <w:r w:rsidRPr="00A54B24">
        <w:rPr>
          <w:lang w:val="fr-FR"/>
        </w:rPr>
        <w:t>économiques</w:t>
      </w:r>
      <w:r w:rsidRPr="00527756">
        <w:t xml:space="preserve">, </w:t>
      </w:r>
      <w:r w:rsidRPr="00A54B24">
        <w:rPr>
          <w:lang w:val="fr-FR"/>
        </w:rPr>
        <w:t>sociaux</w:t>
      </w:r>
      <w:r w:rsidRPr="00527756">
        <w:t xml:space="preserve"> et </w:t>
      </w:r>
      <w:r w:rsidRPr="00A54B24">
        <w:rPr>
          <w:lang w:val="fr-FR"/>
        </w:rPr>
        <w:t>culturels</w:t>
      </w:r>
      <w:r w:rsidRPr="00527756">
        <w:t xml:space="preserve">. Il </w:t>
      </w:r>
      <w:r w:rsidRPr="00A54B24">
        <w:rPr>
          <w:lang w:val="fr-FR"/>
        </w:rPr>
        <w:t>porte</w:t>
      </w:r>
      <w:r w:rsidRPr="00527756">
        <w:t xml:space="preserve"> </w:t>
      </w:r>
      <w:r w:rsidRPr="00A54B24">
        <w:rPr>
          <w:lang w:val="fr-FR"/>
        </w:rPr>
        <w:t>sur</w:t>
      </w:r>
      <w:r w:rsidRPr="00527756">
        <w:t xml:space="preserve"> la </w:t>
      </w:r>
      <w:r w:rsidRPr="00A54B24">
        <w:rPr>
          <w:lang w:val="fr-FR"/>
        </w:rPr>
        <w:t>période</w:t>
      </w:r>
      <w:r w:rsidRPr="00527756">
        <w:t xml:space="preserve"> 2004-2010 et a </w:t>
      </w:r>
      <w:r w:rsidRPr="00A54B24">
        <w:rPr>
          <w:lang w:val="fr-FR"/>
        </w:rPr>
        <w:t>été</w:t>
      </w:r>
      <w:r w:rsidRPr="00527756">
        <w:t xml:space="preserve"> </w:t>
      </w:r>
      <w:r w:rsidRPr="00A54B24">
        <w:rPr>
          <w:lang w:val="fr-FR"/>
        </w:rPr>
        <w:t>achevé</w:t>
      </w:r>
      <w:r w:rsidRPr="00527756">
        <w:t xml:space="preserve"> en </w:t>
      </w:r>
      <w:r w:rsidRPr="00A54B24">
        <w:rPr>
          <w:lang w:val="fr-FR"/>
        </w:rPr>
        <w:t>juin</w:t>
      </w:r>
      <w:r w:rsidRPr="00527756">
        <w:t xml:space="preserve"> 2010. </w:t>
      </w:r>
      <w:r w:rsidRPr="00A54B24">
        <w:rPr>
          <w:lang w:val="fr-FR"/>
        </w:rPr>
        <w:t>Lors</w:t>
      </w:r>
      <w:r w:rsidRPr="00527756">
        <w:t xml:space="preserve"> de son </w:t>
      </w:r>
      <w:r w:rsidRPr="00A54B24">
        <w:rPr>
          <w:lang w:val="fr-FR"/>
        </w:rPr>
        <w:t>élaboration</w:t>
      </w:r>
      <w:r w:rsidRPr="00527756">
        <w:t xml:space="preserve">, les directives </w:t>
      </w:r>
      <w:r w:rsidRPr="00A54B24">
        <w:rPr>
          <w:lang w:val="fr-FR"/>
        </w:rPr>
        <w:t>concernant</w:t>
      </w:r>
      <w:r w:rsidRPr="00527756">
        <w:t xml:space="preserve"> la </w:t>
      </w:r>
      <w:r w:rsidRPr="00A54B24">
        <w:rPr>
          <w:lang w:val="fr-FR"/>
        </w:rPr>
        <w:t>forme</w:t>
      </w:r>
      <w:r w:rsidRPr="00527756">
        <w:t xml:space="preserve"> et le </w:t>
      </w:r>
      <w:r w:rsidRPr="00A54B24">
        <w:rPr>
          <w:lang w:val="fr-FR"/>
        </w:rPr>
        <w:t>contenu</w:t>
      </w:r>
      <w:r w:rsidRPr="00527756">
        <w:t xml:space="preserve"> des rapports </w:t>
      </w:r>
      <w:r w:rsidRPr="00A54B24">
        <w:rPr>
          <w:lang w:val="fr-FR"/>
        </w:rPr>
        <w:t>périodiques</w:t>
      </w:r>
      <w:r w:rsidRPr="00527756">
        <w:t xml:space="preserve"> des </w:t>
      </w:r>
      <w:r w:rsidRPr="00A54B24">
        <w:rPr>
          <w:lang w:val="fr-FR"/>
        </w:rPr>
        <w:t>États</w:t>
      </w:r>
      <w:r w:rsidRPr="00527756">
        <w:t xml:space="preserve"> parties (E/C.12/2008/2) </w:t>
      </w:r>
      <w:r w:rsidRPr="00A54B24">
        <w:rPr>
          <w:lang w:val="fr-FR"/>
        </w:rPr>
        <w:t>ont</w:t>
      </w:r>
      <w:r w:rsidRPr="00527756">
        <w:t xml:space="preserve"> </w:t>
      </w:r>
      <w:r w:rsidRPr="00A54B24">
        <w:rPr>
          <w:lang w:val="fr-FR"/>
        </w:rPr>
        <w:t>été</w:t>
      </w:r>
      <w:r w:rsidRPr="00527756">
        <w:t xml:space="preserve"> </w:t>
      </w:r>
      <w:r w:rsidRPr="00A54B24">
        <w:rPr>
          <w:lang w:val="fr-FR"/>
        </w:rPr>
        <w:t>dûment</w:t>
      </w:r>
      <w:r w:rsidRPr="00527756">
        <w:t xml:space="preserve"> prises en </w:t>
      </w:r>
      <w:r w:rsidRPr="00A54B24">
        <w:rPr>
          <w:lang w:val="fr-CH"/>
        </w:rPr>
        <w:t>considération</w:t>
      </w:r>
      <w:r w:rsidRPr="00527756">
        <w:t xml:space="preserve">, </w:t>
      </w:r>
      <w:r w:rsidRPr="00A54B24">
        <w:rPr>
          <w:lang w:val="fr-FR"/>
        </w:rPr>
        <w:t>ainsi</w:t>
      </w:r>
      <w:r w:rsidRPr="00527756">
        <w:t xml:space="preserve"> </w:t>
      </w:r>
      <w:r w:rsidRPr="00A54B24">
        <w:rPr>
          <w:lang w:val="fr-FR"/>
        </w:rPr>
        <w:t>que</w:t>
      </w:r>
      <w:r w:rsidRPr="00527756">
        <w:t xml:space="preserve"> les observations finales du </w:t>
      </w:r>
      <w:r w:rsidRPr="00A54B24">
        <w:rPr>
          <w:lang w:val="fr-FR"/>
        </w:rPr>
        <w:t>Comité</w:t>
      </w:r>
      <w:r w:rsidRPr="00527756">
        <w:t xml:space="preserve"> des </w:t>
      </w:r>
      <w:r w:rsidRPr="00A54B24">
        <w:rPr>
          <w:lang w:val="fr-FR"/>
        </w:rPr>
        <w:t>droits</w:t>
      </w:r>
      <w:r w:rsidRPr="00527756">
        <w:t xml:space="preserve"> </w:t>
      </w:r>
      <w:r w:rsidRPr="00A54B24">
        <w:rPr>
          <w:lang w:val="fr-FR"/>
        </w:rPr>
        <w:t>économiques</w:t>
      </w:r>
      <w:r w:rsidRPr="00527756">
        <w:t xml:space="preserve">, </w:t>
      </w:r>
      <w:r w:rsidRPr="00A54B24">
        <w:rPr>
          <w:lang w:val="fr-FR"/>
        </w:rPr>
        <w:t>sociaux</w:t>
      </w:r>
      <w:r w:rsidRPr="00527756">
        <w:t xml:space="preserve"> et </w:t>
      </w:r>
      <w:r w:rsidRPr="00A54B24">
        <w:rPr>
          <w:lang w:val="fr-FR"/>
        </w:rPr>
        <w:t>culturels</w:t>
      </w:r>
      <w:r w:rsidRPr="00527756">
        <w:t xml:space="preserve"> </w:t>
      </w:r>
      <w:r w:rsidRPr="00A54B24">
        <w:rPr>
          <w:lang w:val="fr-FR"/>
        </w:rPr>
        <w:t>sur</w:t>
      </w:r>
      <w:r w:rsidRPr="00527756">
        <w:t xml:space="preserve"> le </w:t>
      </w:r>
      <w:r w:rsidRPr="00A54B24">
        <w:rPr>
          <w:lang w:val="fr-FR"/>
        </w:rPr>
        <w:t>quatrième</w:t>
      </w:r>
      <w:r w:rsidRPr="00527756">
        <w:t xml:space="preserve"> rapport </w:t>
      </w:r>
      <w:r w:rsidRPr="00A54B24">
        <w:rPr>
          <w:lang w:val="fr-FR"/>
        </w:rPr>
        <w:t>périodique</w:t>
      </w:r>
      <w:r w:rsidRPr="00527756">
        <w:t xml:space="preserve"> de la </w:t>
      </w:r>
      <w:r w:rsidRPr="00A54B24">
        <w:rPr>
          <w:lang w:val="fr-FR"/>
        </w:rPr>
        <w:t>Norvège</w:t>
      </w:r>
      <w:r w:rsidRPr="00527756">
        <w:t xml:space="preserve"> (E/C.12/1/Add.109).</w:t>
      </w:r>
    </w:p>
    <w:p w:rsidR="00903547" w:rsidRPr="00976C24" w:rsidRDefault="00903547" w:rsidP="00527756">
      <w:pPr>
        <w:pStyle w:val="SingleTxtG"/>
        <w:rPr>
          <w:lang w:val="fr-FR"/>
        </w:rPr>
      </w:pPr>
      <w:r>
        <w:rPr>
          <w:lang w:val="fr-FR"/>
        </w:rPr>
        <w:t>2.</w:t>
      </w:r>
      <w:r>
        <w:rPr>
          <w:lang w:val="fr-FR"/>
        </w:rPr>
        <w:tab/>
      </w:r>
      <w:r w:rsidRPr="00976C24">
        <w:rPr>
          <w:lang w:val="fr-FR"/>
        </w:rPr>
        <w:t xml:space="preserve">Dans le souci d’éviter la répétition d’informations, le présent rapport renvoie au quatrième rapport périodique de </w:t>
      </w:r>
      <w:r>
        <w:rPr>
          <w:lang w:val="fr-FR"/>
        </w:rPr>
        <w:t>l</w:t>
      </w:r>
      <w:r w:rsidRPr="00976C24">
        <w:rPr>
          <w:lang w:val="fr-FR"/>
        </w:rPr>
        <w:t xml:space="preserve">a Norvège (E/C.12/4/Add.14) et à d’autres rapports présentés en </w:t>
      </w:r>
      <w:r>
        <w:rPr>
          <w:lang w:val="fr-FR"/>
        </w:rPr>
        <w:t>vertu de</w:t>
      </w:r>
      <w:r w:rsidRPr="00976C24">
        <w:rPr>
          <w:lang w:val="fr-FR"/>
        </w:rPr>
        <w:t xml:space="preserve"> conventions des Nations Unies relatives aux droits de l’homme et </w:t>
      </w:r>
      <w:r>
        <w:rPr>
          <w:lang w:val="fr-FR"/>
        </w:rPr>
        <w:t>de</w:t>
      </w:r>
      <w:r w:rsidRPr="00976C24">
        <w:rPr>
          <w:lang w:val="fr-FR"/>
        </w:rPr>
        <w:t xml:space="preserve"> conventions de l’Organisation internationale du travail.</w:t>
      </w:r>
    </w:p>
    <w:p w:rsidR="00903547" w:rsidRPr="00976C24" w:rsidRDefault="00903547" w:rsidP="00527756">
      <w:pPr>
        <w:pStyle w:val="SingleTxtG"/>
        <w:rPr>
          <w:lang w:val="fr-FR"/>
        </w:rPr>
      </w:pPr>
      <w:r>
        <w:rPr>
          <w:lang w:val="fr-FR"/>
        </w:rPr>
        <w:t>3.</w:t>
      </w:r>
      <w:r>
        <w:rPr>
          <w:lang w:val="fr-FR"/>
        </w:rPr>
        <w:tab/>
      </w:r>
      <w:r w:rsidRPr="00976C24">
        <w:rPr>
          <w:lang w:val="fr-FR"/>
        </w:rPr>
        <w:t xml:space="preserve">Au </w:t>
      </w:r>
      <w:r>
        <w:rPr>
          <w:lang w:val="fr-FR"/>
        </w:rPr>
        <w:t>1</w:t>
      </w:r>
      <w:r w:rsidRPr="000B6FD2">
        <w:rPr>
          <w:vertAlign w:val="superscript"/>
          <w:lang w:val="fr-FR"/>
        </w:rPr>
        <w:t>er</w:t>
      </w:r>
      <w:r>
        <w:rPr>
          <w:lang w:val="fr-FR"/>
        </w:rPr>
        <w:t xml:space="preserve"> </w:t>
      </w:r>
      <w:r w:rsidRPr="00976C24">
        <w:rPr>
          <w:lang w:val="fr-FR"/>
        </w:rPr>
        <w:t>juin 2010</w:t>
      </w:r>
      <w:r>
        <w:rPr>
          <w:lang w:val="fr-FR"/>
        </w:rPr>
        <w:t>, 100 couronnes norvégiennes (NKr</w:t>
      </w:r>
      <w:r w:rsidRPr="00976C24">
        <w:rPr>
          <w:lang w:val="fr-FR"/>
        </w:rPr>
        <w:t>) équivalaient à environ 15</w:t>
      </w:r>
      <w:r>
        <w:rPr>
          <w:lang w:val="fr-FR"/>
        </w:rPr>
        <w:t> </w:t>
      </w:r>
      <w:r w:rsidRPr="00976C24">
        <w:rPr>
          <w:lang w:val="fr-FR"/>
        </w:rPr>
        <w:t xml:space="preserve">dollars </w:t>
      </w:r>
      <w:r>
        <w:rPr>
          <w:lang w:val="fr-FR"/>
        </w:rPr>
        <w:t>des États-Unis.</w:t>
      </w:r>
    </w:p>
    <w:p w:rsidR="00903547" w:rsidRPr="00976C24" w:rsidRDefault="00903547" w:rsidP="00527756">
      <w:pPr>
        <w:pStyle w:val="SingleTxtG"/>
        <w:rPr>
          <w:lang w:val="fr-FR"/>
        </w:rPr>
      </w:pPr>
      <w:r>
        <w:rPr>
          <w:lang w:val="fr-FR"/>
        </w:rPr>
        <w:t>4.</w:t>
      </w:r>
      <w:r>
        <w:rPr>
          <w:lang w:val="fr-FR"/>
        </w:rPr>
        <w:tab/>
      </w:r>
      <w:r w:rsidRPr="00976C24">
        <w:rPr>
          <w:lang w:val="fr-FR"/>
        </w:rPr>
        <w:t>Le Ministère norvégien des affaires étrangères a coordonné le processus d’établissement du rapport. Un site a été créé sur la page d’accueil du Ministère, sur lequel il est possible de consulter des informations</w:t>
      </w:r>
      <w:r>
        <w:rPr>
          <w:lang w:val="fr-FR"/>
        </w:rPr>
        <w:t xml:space="preserve"> à cet égard</w:t>
      </w:r>
      <w:r w:rsidRPr="00976C24">
        <w:rPr>
          <w:lang w:val="fr-FR"/>
        </w:rPr>
        <w:t xml:space="preserve">. De nombreux ministères ont </w:t>
      </w:r>
      <w:r>
        <w:rPr>
          <w:lang w:val="fr-FR"/>
        </w:rPr>
        <w:t>prêté leur concours</w:t>
      </w:r>
      <w:r w:rsidRPr="00976C24">
        <w:rPr>
          <w:lang w:val="fr-FR"/>
        </w:rPr>
        <w:t xml:space="preserve"> et la société civile norvégienne a </w:t>
      </w:r>
      <w:r>
        <w:rPr>
          <w:lang w:val="fr-FR"/>
        </w:rPr>
        <w:t>pris part à</w:t>
      </w:r>
      <w:r w:rsidRPr="00976C24">
        <w:rPr>
          <w:lang w:val="fr-FR"/>
        </w:rPr>
        <w:t xml:space="preserve"> son élaboration. Le Ministère des affaires étrangères a </w:t>
      </w:r>
      <w:r>
        <w:rPr>
          <w:lang w:val="fr-FR"/>
        </w:rPr>
        <w:t>lancé</w:t>
      </w:r>
      <w:r w:rsidRPr="00976C24">
        <w:rPr>
          <w:lang w:val="fr-FR"/>
        </w:rPr>
        <w:t xml:space="preserve"> le processus en organisant une réunion commune </w:t>
      </w:r>
      <w:r>
        <w:rPr>
          <w:lang w:val="fr-FR"/>
        </w:rPr>
        <w:t xml:space="preserve">destinée à </w:t>
      </w:r>
      <w:r w:rsidRPr="00976C24">
        <w:rPr>
          <w:lang w:val="fr-FR"/>
        </w:rPr>
        <w:t xml:space="preserve">informer la société civile. Un projet de rapport a été </w:t>
      </w:r>
      <w:r>
        <w:rPr>
          <w:lang w:val="fr-FR"/>
        </w:rPr>
        <w:t>soumis</w:t>
      </w:r>
      <w:r w:rsidRPr="00976C24">
        <w:rPr>
          <w:lang w:val="fr-FR"/>
        </w:rPr>
        <w:t xml:space="preserve"> pour examen et des acteurs non gouvernementaux ont été invités à apporter leur contribution et à f</w:t>
      </w:r>
      <w:r>
        <w:rPr>
          <w:lang w:val="fr-FR"/>
        </w:rPr>
        <w:t>ormuler</w:t>
      </w:r>
      <w:r w:rsidRPr="00976C24">
        <w:rPr>
          <w:lang w:val="fr-FR"/>
        </w:rPr>
        <w:t xml:space="preserve"> des suggestions </w:t>
      </w:r>
      <w:r>
        <w:rPr>
          <w:lang w:val="fr-FR"/>
        </w:rPr>
        <w:t xml:space="preserve">avant son </w:t>
      </w:r>
      <w:r w:rsidRPr="00976C24">
        <w:rPr>
          <w:lang w:val="fr-FR"/>
        </w:rPr>
        <w:t>achèvement. Les problèmes et solutions envisageables m</w:t>
      </w:r>
      <w:r>
        <w:rPr>
          <w:lang w:val="fr-FR"/>
        </w:rPr>
        <w:t>is en avant</w:t>
      </w:r>
      <w:r w:rsidRPr="00976C24">
        <w:rPr>
          <w:lang w:val="fr-FR"/>
        </w:rPr>
        <w:t xml:space="preserve"> par la société civile ont été communiqués aux ministères compétents et pris en compte lors de la rédaction du rapport. </w:t>
      </w:r>
    </w:p>
    <w:p w:rsidR="00903547" w:rsidRPr="00976C24" w:rsidRDefault="00903547" w:rsidP="0071086E">
      <w:pPr>
        <w:pStyle w:val="HChG"/>
        <w:rPr>
          <w:lang w:val="fr-FR"/>
        </w:rPr>
      </w:pPr>
      <w:bookmarkStart w:id="3" w:name="_Toc265062215"/>
      <w:r w:rsidRPr="00976C24">
        <w:rPr>
          <w:lang w:val="fr-FR"/>
        </w:rPr>
        <w:tab/>
      </w:r>
      <w:bookmarkStart w:id="4" w:name="_Toc286326338"/>
      <w:r w:rsidRPr="00976C24">
        <w:rPr>
          <w:lang w:val="fr-FR"/>
        </w:rPr>
        <w:t>II.</w:t>
      </w:r>
      <w:r w:rsidRPr="00976C24">
        <w:rPr>
          <w:lang w:val="fr-FR"/>
        </w:rPr>
        <w:tab/>
        <w:t>Informations générales</w:t>
      </w:r>
      <w:bookmarkEnd w:id="3"/>
      <w:bookmarkEnd w:id="4"/>
    </w:p>
    <w:p w:rsidR="00903547" w:rsidRPr="00976C24" w:rsidRDefault="00903547" w:rsidP="00527756">
      <w:pPr>
        <w:pStyle w:val="SingleTxtG"/>
        <w:rPr>
          <w:lang w:val="fr-FR"/>
        </w:rPr>
      </w:pPr>
      <w:r>
        <w:rPr>
          <w:lang w:val="fr-FR"/>
        </w:rPr>
        <w:t>5.</w:t>
      </w:r>
      <w:r>
        <w:rPr>
          <w:lang w:val="fr-FR"/>
        </w:rPr>
        <w:tab/>
      </w:r>
      <w:r w:rsidRPr="00976C24">
        <w:rPr>
          <w:lang w:val="fr-FR"/>
        </w:rPr>
        <w:t>La Norvège est partie à la majorité des instruments internationaux relatifs aux droits de l’homme trait</w:t>
      </w:r>
      <w:r>
        <w:rPr>
          <w:lang w:val="fr-FR"/>
        </w:rPr>
        <w:t>ant des</w:t>
      </w:r>
      <w:r w:rsidRPr="00976C24">
        <w:rPr>
          <w:lang w:val="fr-FR"/>
        </w:rPr>
        <w:t xml:space="preserve"> droits économiques, sociaux et culturels, </w:t>
      </w:r>
      <w:r>
        <w:rPr>
          <w:lang w:val="fr-FR"/>
        </w:rPr>
        <w:t>notamment</w:t>
      </w:r>
      <w:r w:rsidRPr="00976C24">
        <w:rPr>
          <w:lang w:val="fr-FR"/>
        </w:rPr>
        <w:t xml:space="preserve"> le Pacte international relatif aux droits économiques, sociaux et culturels, la Convention sur l’élimination de toutes les formes de discrimination à l’égard des femmes</w:t>
      </w:r>
      <w:r>
        <w:rPr>
          <w:lang w:val="fr-FR"/>
        </w:rPr>
        <w:t xml:space="preserve"> </w:t>
      </w:r>
      <w:r w:rsidRPr="00976C24">
        <w:rPr>
          <w:lang w:val="fr-FR"/>
        </w:rPr>
        <w:t>et la Convention relative aux droits de l’enfant. Le Comité pourra se reporter au paragraphe 92</w:t>
      </w:r>
      <w:r>
        <w:rPr>
          <w:lang w:val="fr-FR"/>
        </w:rPr>
        <w:t xml:space="preserve"> du </w:t>
      </w:r>
      <w:r w:rsidRPr="00976C24">
        <w:rPr>
          <w:lang w:val="fr-FR"/>
        </w:rPr>
        <w:t xml:space="preserve">document de base commun </w:t>
      </w:r>
      <w:r>
        <w:rPr>
          <w:lang w:val="fr-FR"/>
        </w:rPr>
        <w:t xml:space="preserve">joint en annexe </w:t>
      </w:r>
      <w:r w:rsidRPr="00976C24">
        <w:rPr>
          <w:lang w:val="fr-FR"/>
        </w:rPr>
        <w:t>(HRI/CORE/NOR/2009).</w:t>
      </w:r>
    </w:p>
    <w:p w:rsidR="00903547" w:rsidRPr="00976C24" w:rsidRDefault="00903547" w:rsidP="00527756">
      <w:pPr>
        <w:pStyle w:val="SingleTxtG"/>
        <w:rPr>
          <w:lang w:val="fr-FR"/>
        </w:rPr>
      </w:pPr>
      <w:r>
        <w:rPr>
          <w:lang w:val="fr-FR"/>
        </w:rPr>
        <w:t>6.</w:t>
      </w:r>
      <w:r>
        <w:rPr>
          <w:lang w:val="fr-FR"/>
        </w:rPr>
        <w:tab/>
      </w:r>
      <w:r w:rsidRPr="00976C24">
        <w:rPr>
          <w:lang w:val="fr-FR"/>
        </w:rPr>
        <w:t xml:space="preserve">Un rapport sur les grands problèmes </w:t>
      </w:r>
      <w:r>
        <w:rPr>
          <w:lang w:val="fr-FR"/>
        </w:rPr>
        <w:t>liés aux</w:t>
      </w:r>
      <w:r w:rsidRPr="00976C24">
        <w:rPr>
          <w:lang w:val="fr-FR"/>
        </w:rPr>
        <w:t xml:space="preserve"> droits de l’homme et </w:t>
      </w:r>
      <w:r>
        <w:rPr>
          <w:lang w:val="fr-FR"/>
        </w:rPr>
        <w:t xml:space="preserve">sur </w:t>
      </w:r>
      <w:r w:rsidRPr="00976C24">
        <w:rPr>
          <w:lang w:val="fr-FR"/>
        </w:rPr>
        <w:t xml:space="preserve">les </w:t>
      </w:r>
      <w:r>
        <w:rPr>
          <w:lang w:val="fr-FR"/>
        </w:rPr>
        <w:t xml:space="preserve">meilleures </w:t>
      </w:r>
      <w:r w:rsidRPr="00976C24">
        <w:rPr>
          <w:lang w:val="fr-FR"/>
        </w:rPr>
        <w:t xml:space="preserve">pratiques </w:t>
      </w:r>
      <w:r>
        <w:rPr>
          <w:lang w:val="fr-FR"/>
        </w:rPr>
        <w:t>de la</w:t>
      </w:r>
      <w:r w:rsidRPr="00976C24">
        <w:rPr>
          <w:lang w:val="fr-FR"/>
        </w:rPr>
        <w:t xml:space="preserve"> Norvège a été présenté au Conseil des droits de l’homme</w:t>
      </w:r>
      <w:r>
        <w:rPr>
          <w:lang w:val="fr-FR"/>
        </w:rPr>
        <w:t xml:space="preserve"> au titre de l’Examen périodique universel</w:t>
      </w:r>
      <w:r w:rsidRPr="00976C24">
        <w:rPr>
          <w:lang w:val="fr-FR"/>
        </w:rPr>
        <w:t xml:space="preserve"> (EPU)</w:t>
      </w:r>
      <w:r>
        <w:rPr>
          <w:lang w:val="fr-FR"/>
        </w:rPr>
        <w:t xml:space="preserve"> </w:t>
      </w:r>
      <w:r w:rsidRPr="00976C24">
        <w:rPr>
          <w:lang w:val="fr-FR"/>
        </w:rPr>
        <w:t>le 8 septembre 2009</w:t>
      </w:r>
      <w:r>
        <w:rPr>
          <w:lang w:val="fr-FR"/>
        </w:rPr>
        <w:t>.</w:t>
      </w:r>
      <w:r w:rsidRPr="00976C24">
        <w:rPr>
          <w:lang w:val="fr-FR"/>
        </w:rPr>
        <w:t xml:space="preserve"> </w:t>
      </w:r>
      <w:r>
        <w:rPr>
          <w:lang w:val="fr-FR"/>
        </w:rPr>
        <w:t>D</w:t>
      </w:r>
      <w:r w:rsidRPr="00976C24">
        <w:rPr>
          <w:lang w:val="fr-FR"/>
        </w:rPr>
        <w:t xml:space="preserve">ans sa réponse du 8 mars 2010 à la recommandation </w:t>
      </w:r>
      <w:r>
        <w:rPr>
          <w:lang w:val="fr-FR"/>
        </w:rPr>
        <w:t>portant sur le</w:t>
      </w:r>
      <w:r w:rsidRPr="00976C24">
        <w:rPr>
          <w:lang w:val="fr-FR"/>
        </w:rPr>
        <w:t xml:space="preserve"> Protocole facultatif se rapportant au Pacte international relatif aux droits économiques, sociaux et culturels</w:t>
      </w:r>
      <w:r w:rsidRPr="00976C24">
        <w:rPr>
          <w:rStyle w:val="FootnoteReference"/>
          <w:lang w:val="fr-FR"/>
        </w:rPr>
        <w:footnoteReference w:id="4"/>
      </w:r>
      <w:r w:rsidRPr="00976C24">
        <w:rPr>
          <w:lang w:val="fr-FR"/>
        </w:rPr>
        <w:t xml:space="preserve"> du Groupe de travail sur l’Examen périodique universel</w:t>
      </w:r>
      <w:r>
        <w:rPr>
          <w:lang w:val="fr-FR"/>
        </w:rPr>
        <w:t>,</w:t>
      </w:r>
      <w:r w:rsidRPr="00976C24">
        <w:rPr>
          <w:lang w:val="fr-FR"/>
        </w:rPr>
        <w:t xml:space="preserve"> le Gouvernement a déclaré que </w:t>
      </w:r>
      <w:r>
        <w:rPr>
          <w:lang w:val="fr-FR"/>
        </w:rPr>
        <w:t>«</w:t>
      </w:r>
      <w:r w:rsidRPr="00976C24">
        <w:rPr>
          <w:lang w:val="fr-FR"/>
        </w:rPr>
        <w:t>La Norvège envisage</w:t>
      </w:r>
      <w:r>
        <w:rPr>
          <w:lang w:val="fr-FR"/>
        </w:rPr>
        <w:t>ra de signer et de ratifier le p</w:t>
      </w:r>
      <w:r w:rsidRPr="00976C24">
        <w:rPr>
          <w:lang w:val="fr-FR"/>
        </w:rPr>
        <w:t>rotocole après avoir réalisé une étude des conséquences juridiques que cela implique. Cette étude devrait être achevée dans un délai d’un an.</w:t>
      </w:r>
      <w:r>
        <w:rPr>
          <w:lang w:val="fr-FR"/>
        </w:rPr>
        <w:t>»</w:t>
      </w:r>
    </w:p>
    <w:p w:rsidR="00903547" w:rsidRPr="00976C24" w:rsidRDefault="00903547" w:rsidP="00527756">
      <w:pPr>
        <w:pStyle w:val="SingleTxtG"/>
        <w:rPr>
          <w:lang w:val="fr-FR"/>
        </w:rPr>
      </w:pPr>
      <w:r>
        <w:rPr>
          <w:lang w:val="fr-FR"/>
        </w:rPr>
        <w:t>7.</w:t>
      </w:r>
      <w:r>
        <w:rPr>
          <w:lang w:val="fr-FR"/>
        </w:rPr>
        <w:tab/>
      </w:r>
      <w:r w:rsidRPr="00976C24">
        <w:rPr>
          <w:lang w:val="fr-FR"/>
        </w:rPr>
        <w:t xml:space="preserve">La Norvège a adhéré à la Convention européenne des droits de l’homme </w:t>
      </w:r>
      <w:r>
        <w:rPr>
          <w:lang w:val="fr-FR"/>
        </w:rPr>
        <w:t>et à ses p</w:t>
      </w:r>
      <w:r w:rsidRPr="00976C24">
        <w:rPr>
          <w:lang w:val="fr-FR"/>
        </w:rPr>
        <w:t xml:space="preserve">rotocoles. Le Protocole </w:t>
      </w:r>
      <w:r>
        <w:rPr>
          <w:lang w:val="fr-FR"/>
        </w:rPr>
        <w:t>n</w:t>
      </w:r>
      <w:r w:rsidRPr="002F07F1">
        <w:rPr>
          <w:vertAlign w:val="superscript"/>
          <w:lang w:val="fr-FR"/>
        </w:rPr>
        <w:t>o</w:t>
      </w:r>
      <w:r>
        <w:rPr>
          <w:lang w:val="fr-FR"/>
        </w:rPr>
        <w:t> 1 prévoit</w:t>
      </w:r>
      <w:r w:rsidRPr="00976C24">
        <w:rPr>
          <w:lang w:val="fr-FR"/>
        </w:rPr>
        <w:t xml:space="preserve"> «la protection de la propriété</w:t>
      </w:r>
      <w:r>
        <w:rPr>
          <w:lang w:val="fr-FR"/>
        </w:rPr>
        <w:t>» et «</w:t>
      </w:r>
      <w:r w:rsidRPr="00976C24">
        <w:rPr>
          <w:lang w:val="fr-FR"/>
        </w:rPr>
        <w:t>le droit à l’instruction». La Norvège est également partie à la Charte sociale européenne.</w:t>
      </w:r>
    </w:p>
    <w:p w:rsidR="00903547" w:rsidRPr="00976C24" w:rsidRDefault="00903547" w:rsidP="00527756">
      <w:pPr>
        <w:pStyle w:val="SingleTxtG"/>
        <w:rPr>
          <w:lang w:val="fr-FR"/>
        </w:rPr>
      </w:pPr>
      <w:r>
        <w:rPr>
          <w:lang w:val="fr-FR"/>
        </w:rPr>
        <w:t>8.</w:t>
      </w:r>
      <w:r>
        <w:rPr>
          <w:lang w:val="fr-FR"/>
        </w:rPr>
        <w:tab/>
      </w:r>
      <w:r w:rsidRPr="00976C24">
        <w:rPr>
          <w:lang w:val="fr-FR"/>
        </w:rPr>
        <w:t xml:space="preserve">La Norvège est partie à toutes les </w:t>
      </w:r>
      <w:r>
        <w:rPr>
          <w:lang w:val="fr-FR"/>
        </w:rPr>
        <w:t>grandes</w:t>
      </w:r>
      <w:r w:rsidRPr="00976C24">
        <w:rPr>
          <w:lang w:val="fr-FR"/>
        </w:rPr>
        <w:t xml:space="preserve"> conventions de l’OIT et à la plupart de</w:t>
      </w:r>
      <w:r>
        <w:rPr>
          <w:lang w:val="fr-FR"/>
        </w:rPr>
        <w:t xml:space="preserve"> se</w:t>
      </w:r>
      <w:r w:rsidRPr="00976C24">
        <w:rPr>
          <w:lang w:val="fr-FR"/>
        </w:rPr>
        <w:t xml:space="preserve">s normes </w:t>
      </w:r>
      <w:r>
        <w:rPr>
          <w:lang w:val="fr-FR"/>
        </w:rPr>
        <w:t>r</w:t>
      </w:r>
      <w:r w:rsidRPr="00976C24">
        <w:rPr>
          <w:lang w:val="fr-FR"/>
        </w:rPr>
        <w:t xml:space="preserve">elatives au droit du travail, </w:t>
      </w:r>
      <w:r>
        <w:rPr>
          <w:lang w:val="fr-FR"/>
        </w:rPr>
        <w:t xml:space="preserve">notamment </w:t>
      </w:r>
      <w:r w:rsidRPr="00976C24">
        <w:rPr>
          <w:lang w:val="fr-FR"/>
        </w:rPr>
        <w:t xml:space="preserve">la Convention </w:t>
      </w:r>
      <w:r>
        <w:rPr>
          <w:lang w:val="fr-FR"/>
        </w:rPr>
        <w:t>n</w:t>
      </w:r>
      <w:r w:rsidRPr="002F07F1">
        <w:rPr>
          <w:vertAlign w:val="superscript"/>
          <w:lang w:val="fr-FR"/>
        </w:rPr>
        <w:t>o</w:t>
      </w:r>
      <w:r>
        <w:rPr>
          <w:lang w:val="fr-FR"/>
        </w:rPr>
        <w:t> </w:t>
      </w:r>
      <w:r w:rsidRPr="00976C24">
        <w:rPr>
          <w:lang w:val="fr-FR"/>
        </w:rPr>
        <w:t xml:space="preserve">169 concernant les peuples indigènes et tribaux dans les pays indépendants. </w:t>
      </w:r>
      <w:r>
        <w:rPr>
          <w:lang w:val="fr-FR"/>
        </w:rPr>
        <w:t>En 2007, elle</w:t>
      </w:r>
      <w:r w:rsidRPr="00B52B8E">
        <w:rPr>
          <w:lang w:val="fr-FR"/>
        </w:rPr>
        <w:t xml:space="preserve"> a activement soutenu l’adoption de la Déclaration des Nations Unies sur les droits des peuples autochtones</w:t>
      </w:r>
      <w:r w:rsidRPr="00976C24">
        <w:rPr>
          <w:lang w:val="fr-FR"/>
        </w:rPr>
        <w:t>. Le Comité pourra se reporter au paragraphe 94</w:t>
      </w:r>
      <w:r>
        <w:rPr>
          <w:lang w:val="fr-FR"/>
        </w:rPr>
        <w:t xml:space="preserve"> du </w:t>
      </w:r>
      <w:r w:rsidRPr="00976C24">
        <w:rPr>
          <w:lang w:val="fr-FR"/>
        </w:rPr>
        <w:t>document de base commun.</w:t>
      </w:r>
    </w:p>
    <w:p w:rsidR="00903547" w:rsidRPr="00976C24" w:rsidRDefault="00903547" w:rsidP="00527756">
      <w:pPr>
        <w:pStyle w:val="SingleTxtG"/>
        <w:rPr>
          <w:lang w:val="fr-FR"/>
        </w:rPr>
      </w:pPr>
      <w:r>
        <w:rPr>
          <w:lang w:val="fr-FR"/>
        </w:rPr>
        <w:t>9.</w:t>
      </w:r>
      <w:r>
        <w:rPr>
          <w:lang w:val="fr-FR"/>
        </w:rPr>
        <w:tab/>
      </w:r>
      <w:r w:rsidRPr="00976C24">
        <w:rPr>
          <w:lang w:val="fr-FR"/>
        </w:rPr>
        <w:t xml:space="preserve">Soucieux de renforcer le statut des droits de l’homme dans l’ordre juridique norvégien, le </w:t>
      </w:r>
      <w:r w:rsidRPr="00B52B8E">
        <w:rPr>
          <w:i/>
          <w:lang w:val="fr-FR"/>
        </w:rPr>
        <w:t>Storting</w:t>
      </w:r>
      <w:r w:rsidRPr="00976C24">
        <w:rPr>
          <w:lang w:val="fr-FR"/>
        </w:rPr>
        <w:t xml:space="preserve"> (Parlement norvégien) a </w:t>
      </w:r>
      <w:r>
        <w:rPr>
          <w:lang w:val="fr-FR"/>
        </w:rPr>
        <w:t xml:space="preserve">adopté </w:t>
      </w:r>
      <w:r w:rsidRPr="00976C24">
        <w:rPr>
          <w:lang w:val="fr-FR"/>
        </w:rPr>
        <w:t>la loi sur les droits de l’homme</w:t>
      </w:r>
      <w:r w:rsidRPr="00976C24">
        <w:rPr>
          <w:rStyle w:val="FootnoteReference"/>
          <w:lang w:val="fr-FR"/>
        </w:rPr>
        <w:footnoteReference w:id="5"/>
      </w:r>
      <w:r w:rsidRPr="00976C24">
        <w:rPr>
          <w:lang w:val="fr-FR"/>
        </w:rPr>
        <w:t xml:space="preserve"> en 1999, incorporant ainsi la C</w:t>
      </w:r>
      <w:r>
        <w:rPr>
          <w:lang w:val="fr-FR"/>
        </w:rPr>
        <w:t>onvention européenne des droits de l’homme</w:t>
      </w:r>
      <w:r w:rsidRPr="00976C24">
        <w:rPr>
          <w:lang w:val="fr-FR"/>
        </w:rPr>
        <w:t>, le Pacte international relatif aux droits économiques, sociaux et culturels et le Pacte international relatif aux droits civils et politiques dan</w:t>
      </w:r>
      <w:r>
        <w:rPr>
          <w:lang w:val="fr-FR"/>
        </w:rPr>
        <w:t>s la législation</w:t>
      </w:r>
      <w:r w:rsidRPr="00976C24">
        <w:rPr>
          <w:lang w:val="fr-FR"/>
        </w:rPr>
        <w:t xml:space="preserve"> norvégien</w:t>
      </w:r>
      <w:r>
        <w:rPr>
          <w:lang w:val="fr-FR"/>
        </w:rPr>
        <w:t>ne</w:t>
      </w:r>
      <w:r w:rsidRPr="00976C24">
        <w:rPr>
          <w:lang w:val="fr-FR"/>
        </w:rPr>
        <w:t xml:space="preserve">. Ladite loi a ensuite été modifiée pour intégrer la Convention relative aux droits de l’enfant et la Convention sur l’élimination de toutes les formes de discrimination à l’égard des femmes. En cas de conflit, les dispositions des conventions </w:t>
      </w:r>
      <w:r>
        <w:rPr>
          <w:lang w:val="fr-FR"/>
        </w:rPr>
        <w:t xml:space="preserve">ainsi </w:t>
      </w:r>
      <w:r w:rsidRPr="00976C24">
        <w:rPr>
          <w:lang w:val="fr-FR"/>
        </w:rPr>
        <w:t>incorporées dans l</w:t>
      </w:r>
      <w:r>
        <w:rPr>
          <w:lang w:val="fr-FR"/>
        </w:rPr>
        <w:t xml:space="preserve">’ordre juridique interne </w:t>
      </w:r>
      <w:r w:rsidRPr="00976C24">
        <w:rPr>
          <w:lang w:val="fr-FR"/>
        </w:rPr>
        <w:t xml:space="preserve">priment </w:t>
      </w:r>
      <w:r>
        <w:rPr>
          <w:lang w:val="fr-FR"/>
        </w:rPr>
        <w:t>toute autre loi</w:t>
      </w:r>
      <w:r w:rsidRPr="00976C24">
        <w:rPr>
          <w:lang w:val="fr-FR"/>
        </w:rPr>
        <w:t>. Le Comité pourra se reporter au paragraphe 106</w:t>
      </w:r>
      <w:r>
        <w:rPr>
          <w:lang w:val="fr-FR"/>
        </w:rPr>
        <w:t xml:space="preserve"> du </w:t>
      </w:r>
      <w:r w:rsidRPr="00976C24">
        <w:rPr>
          <w:lang w:val="fr-FR"/>
        </w:rPr>
        <w:t>document de base commun.</w:t>
      </w:r>
    </w:p>
    <w:p w:rsidR="00903547" w:rsidRPr="00976C24" w:rsidRDefault="00903547" w:rsidP="00527756">
      <w:pPr>
        <w:pStyle w:val="SingleTxtG"/>
        <w:rPr>
          <w:lang w:val="fr-FR"/>
        </w:rPr>
      </w:pPr>
      <w:r>
        <w:rPr>
          <w:lang w:val="fr-FR"/>
        </w:rPr>
        <w:t>10.</w:t>
      </w:r>
      <w:r>
        <w:rPr>
          <w:lang w:val="fr-FR"/>
        </w:rPr>
        <w:tab/>
      </w:r>
      <w:r w:rsidRPr="00976C24">
        <w:rPr>
          <w:lang w:val="fr-FR"/>
        </w:rPr>
        <w:t xml:space="preserve">Certains droits économiques, sociaux et culturels sont également protégés par la Constitution norvégienne et d’autres textes de loi spécifiques. Le </w:t>
      </w:r>
      <w:r w:rsidRPr="00B52B8E">
        <w:rPr>
          <w:i/>
          <w:lang w:val="fr-FR"/>
        </w:rPr>
        <w:t>Storting</w:t>
      </w:r>
      <w:r w:rsidRPr="00976C24">
        <w:rPr>
          <w:lang w:val="fr-FR"/>
        </w:rPr>
        <w:t xml:space="preserve"> a </w:t>
      </w:r>
      <w:r>
        <w:rPr>
          <w:lang w:val="fr-FR"/>
        </w:rPr>
        <w:t xml:space="preserve">désigné </w:t>
      </w:r>
      <w:r w:rsidRPr="00976C24">
        <w:rPr>
          <w:lang w:val="fr-FR"/>
        </w:rPr>
        <w:t xml:space="preserve">une commission chargée d’examiner le statut des droits de l’homme dans la Constitution et de proposer des </w:t>
      </w:r>
      <w:r>
        <w:rPr>
          <w:lang w:val="fr-FR"/>
        </w:rPr>
        <w:t>modifications propres à</w:t>
      </w:r>
      <w:r w:rsidRPr="00976C24">
        <w:rPr>
          <w:lang w:val="fr-FR"/>
        </w:rPr>
        <w:t xml:space="preserve"> le renforcer. </w:t>
      </w:r>
    </w:p>
    <w:p w:rsidR="00903547" w:rsidRPr="00976C24" w:rsidRDefault="00903547" w:rsidP="0071086E">
      <w:pPr>
        <w:pStyle w:val="HChG"/>
        <w:rPr>
          <w:lang w:val="fr-FR"/>
        </w:rPr>
      </w:pPr>
      <w:bookmarkStart w:id="5" w:name="_Toc265062216"/>
      <w:r w:rsidRPr="00976C24">
        <w:rPr>
          <w:lang w:val="fr-FR"/>
        </w:rPr>
        <w:tab/>
      </w:r>
      <w:bookmarkStart w:id="6" w:name="_Toc286326339"/>
      <w:r w:rsidRPr="00976C24">
        <w:rPr>
          <w:lang w:val="fr-FR"/>
        </w:rPr>
        <w:t>III.</w:t>
      </w:r>
      <w:r w:rsidRPr="00976C24">
        <w:rPr>
          <w:lang w:val="fr-FR"/>
        </w:rPr>
        <w:tab/>
        <w:t>Rapport sur les dispositions de fond</w:t>
      </w:r>
      <w:bookmarkEnd w:id="5"/>
      <w:bookmarkEnd w:id="6"/>
    </w:p>
    <w:p w:rsidR="00903547" w:rsidRPr="00976C24" w:rsidRDefault="00903547" w:rsidP="0071086E">
      <w:pPr>
        <w:pStyle w:val="H1G"/>
        <w:rPr>
          <w:lang w:val="fr-FR"/>
        </w:rPr>
      </w:pPr>
      <w:bookmarkStart w:id="7" w:name="_Toc265062217"/>
      <w:r w:rsidRPr="00976C24">
        <w:rPr>
          <w:lang w:val="fr-FR"/>
        </w:rPr>
        <w:tab/>
      </w:r>
      <w:r w:rsidRPr="00976C24">
        <w:rPr>
          <w:lang w:val="fr-FR"/>
        </w:rPr>
        <w:tab/>
      </w:r>
      <w:bookmarkStart w:id="8" w:name="_Toc286326340"/>
      <w:r w:rsidRPr="00976C24">
        <w:rPr>
          <w:lang w:val="fr-FR"/>
        </w:rPr>
        <w:t xml:space="preserve">Réponse aux observations finales du </w:t>
      </w:r>
      <w:bookmarkEnd w:id="7"/>
      <w:bookmarkEnd w:id="8"/>
      <w:r w:rsidRPr="00976C24">
        <w:rPr>
          <w:lang w:val="fr-FR"/>
        </w:rPr>
        <w:t>Comité des droits économiques, sociaux et culturels</w:t>
      </w:r>
    </w:p>
    <w:p w:rsidR="00903547" w:rsidRPr="00976C24" w:rsidRDefault="00903547" w:rsidP="0071086E">
      <w:pPr>
        <w:pStyle w:val="H23G"/>
        <w:rPr>
          <w:bCs/>
          <w:i/>
          <w:iCs/>
          <w:lang w:val="fr-FR"/>
        </w:rPr>
      </w:pPr>
      <w:r w:rsidRPr="00976C24">
        <w:rPr>
          <w:lang w:val="fr-FR"/>
        </w:rPr>
        <w:tab/>
      </w:r>
      <w:r w:rsidRPr="00976C24">
        <w:rPr>
          <w:lang w:val="fr-FR"/>
        </w:rPr>
        <w:tab/>
      </w:r>
      <w:bookmarkStart w:id="9" w:name="_Toc286326341"/>
      <w:r w:rsidRPr="00976C24">
        <w:rPr>
          <w:lang w:val="fr-FR"/>
        </w:rPr>
        <w:t>Réponse aux suggestions et recommandations</w:t>
      </w:r>
      <w:bookmarkEnd w:id="9"/>
      <w:r w:rsidRPr="00976C24">
        <w:rPr>
          <w:lang w:val="fr-FR"/>
        </w:rPr>
        <w:t xml:space="preserve"> formulées au paragraphe 23 des observations finales (E/C.12/1/Add.109)</w:t>
      </w:r>
    </w:p>
    <w:p w:rsidR="00903547" w:rsidRPr="00976C24" w:rsidRDefault="00903547" w:rsidP="00527756">
      <w:pPr>
        <w:pStyle w:val="SingleTxtG"/>
        <w:rPr>
          <w:lang w:val="fr-FR"/>
        </w:rPr>
      </w:pPr>
      <w:r>
        <w:rPr>
          <w:lang w:val="fr-FR"/>
        </w:rPr>
        <w:t>11.</w:t>
      </w:r>
      <w:r>
        <w:rPr>
          <w:lang w:val="fr-FR"/>
        </w:rPr>
        <w:tab/>
      </w:r>
      <w:r w:rsidRPr="00976C24">
        <w:rPr>
          <w:lang w:val="fr-FR"/>
        </w:rPr>
        <w:t xml:space="preserve">La Norvège a incorporé le Pacte international relatif aux droits économiques, sociaux et culturels et le Pacte international relatif aux droits civils et politiques </w:t>
      </w:r>
      <w:r>
        <w:rPr>
          <w:lang w:val="fr-FR"/>
        </w:rPr>
        <w:t>dans s</w:t>
      </w:r>
      <w:r w:rsidRPr="00976C24">
        <w:rPr>
          <w:lang w:val="fr-FR"/>
        </w:rPr>
        <w:t xml:space="preserve">a législation </w:t>
      </w:r>
      <w:r>
        <w:rPr>
          <w:lang w:val="fr-FR"/>
        </w:rPr>
        <w:t>en adoptant</w:t>
      </w:r>
      <w:r w:rsidRPr="00976C24">
        <w:rPr>
          <w:lang w:val="fr-FR"/>
        </w:rPr>
        <w:t xml:space="preserve"> la loi de 1999</w:t>
      </w:r>
      <w:r>
        <w:rPr>
          <w:lang w:val="fr-FR"/>
        </w:rPr>
        <w:t xml:space="preserve"> </w:t>
      </w:r>
      <w:r w:rsidRPr="00976C24">
        <w:rPr>
          <w:lang w:val="fr-FR"/>
        </w:rPr>
        <w:t xml:space="preserve">sur les droits de l’homme, réaffirmant ainsi le principe de l’interdépendance et de l’indivisibilité de tous les droits fondamentaux ainsi que l’invocabililité de tous les droits économiques, sociaux et culturels. Il </w:t>
      </w:r>
      <w:r>
        <w:rPr>
          <w:lang w:val="fr-FR"/>
        </w:rPr>
        <w:t>incombe</w:t>
      </w:r>
      <w:r w:rsidRPr="00976C24">
        <w:rPr>
          <w:lang w:val="fr-FR"/>
        </w:rPr>
        <w:t xml:space="preserve"> aux juridictions internes de donner effet aux dispositions des deux Pactes. Les autorités norvégiennes estiment qu’il n’existe aucune contradiction entre la décision rend</w:t>
      </w:r>
      <w:r>
        <w:rPr>
          <w:lang w:val="fr-FR"/>
        </w:rPr>
        <w:t>ue par la Cour suprême dans l’«affaire KRL</w:t>
      </w:r>
      <w:r w:rsidRPr="00976C24">
        <w:rPr>
          <w:lang w:val="fr-FR"/>
        </w:rPr>
        <w:t>», selon laquelle il doit être possible de dériver des droits et des devoirs concrets des dispositions d’un traité pour que ce</w:t>
      </w:r>
      <w:r>
        <w:rPr>
          <w:lang w:val="fr-FR"/>
        </w:rPr>
        <w:t>lles</w:t>
      </w:r>
      <w:r w:rsidRPr="00976C24">
        <w:rPr>
          <w:lang w:val="fr-FR"/>
        </w:rPr>
        <w:t>-ci soient applicables</w:t>
      </w:r>
      <w:r>
        <w:rPr>
          <w:lang w:val="fr-FR"/>
        </w:rPr>
        <w:t>,</w:t>
      </w:r>
      <w:r w:rsidRPr="00976C24">
        <w:rPr>
          <w:lang w:val="fr-FR"/>
        </w:rPr>
        <w:t xml:space="preserve"> et l</w:t>
      </w:r>
      <w:r>
        <w:rPr>
          <w:lang w:val="fr-FR"/>
        </w:rPr>
        <w:t>’avis</w:t>
      </w:r>
      <w:r w:rsidRPr="00976C24">
        <w:rPr>
          <w:lang w:val="fr-FR"/>
        </w:rPr>
        <w:t xml:space="preserve"> du Comité selon lequel les juridictions internes doivent donner effet aux droits économiques, sociaux et culturels. Le Comité pourra se reporter à la réponse du Gouvernement </w:t>
      </w:r>
      <w:r>
        <w:rPr>
          <w:lang w:val="fr-FR"/>
        </w:rPr>
        <w:t>relative à</w:t>
      </w:r>
      <w:r w:rsidRPr="00976C24">
        <w:rPr>
          <w:lang w:val="fr-FR"/>
        </w:rPr>
        <w:t xml:space="preserve"> l’article 13</w:t>
      </w:r>
      <w:r>
        <w:rPr>
          <w:lang w:val="fr-FR"/>
        </w:rPr>
        <w:t xml:space="preserve"> figurant dans le pré</w:t>
      </w:r>
      <w:r w:rsidRPr="00976C24">
        <w:rPr>
          <w:lang w:val="fr-FR"/>
        </w:rPr>
        <w:t xml:space="preserve">sent rapport </w:t>
      </w:r>
      <w:r>
        <w:rPr>
          <w:lang w:val="fr-FR"/>
        </w:rPr>
        <w:t>sur la suite donnée à</w:t>
      </w:r>
      <w:r w:rsidRPr="00976C24">
        <w:rPr>
          <w:lang w:val="fr-FR"/>
        </w:rPr>
        <w:t xml:space="preserve"> l’</w:t>
      </w:r>
      <w:r>
        <w:rPr>
          <w:lang w:val="fr-FR"/>
        </w:rPr>
        <w:t>«</w:t>
      </w:r>
      <w:r w:rsidRPr="00976C24">
        <w:rPr>
          <w:lang w:val="fr-FR"/>
        </w:rPr>
        <w:t>affaire KRL</w:t>
      </w:r>
      <w:r>
        <w:rPr>
          <w:lang w:val="fr-FR"/>
        </w:rPr>
        <w:t>»</w:t>
      </w:r>
      <w:r w:rsidRPr="00976C24">
        <w:rPr>
          <w:lang w:val="fr-FR"/>
        </w:rPr>
        <w:t>.</w:t>
      </w:r>
    </w:p>
    <w:p w:rsidR="00903547" w:rsidRPr="00976C24" w:rsidRDefault="00903547" w:rsidP="0071086E">
      <w:pPr>
        <w:pStyle w:val="H23G"/>
        <w:ind w:firstLine="0"/>
        <w:rPr>
          <w:bCs/>
          <w:i/>
          <w:iCs/>
          <w:lang w:val="fr-FR"/>
        </w:rPr>
      </w:pPr>
      <w:r w:rsidRPr="00976C24">
        <w:rPr>
          <w:bCs/>
          <w:iCs/>
          <w:lang w:val="fr-FR"/>
        </w:rPr>
        <w:t>Réponse aux suggestions et recommandations formulées au</w:t>
      </w:r>
      <w:r w:rsidRPr="00976C24">
        <w:rPr>
          <w:lang w:val="fr-FR"/>
        </w:rPr>
        <w:t xml:space="preserve"> paragraphe 24 des observations finales</w:t>
      </w:r>
    </w:p>
    <w:p w:rsidR="00903547" w:rsidRPr="00976C24" w:rsidRDefault="00903547" w:rsidP="0020556D">
      <w:pPr>
        <w:pStyle w:val="SingleTxtG"/>
        <w:tabs>
          <w:tab w:val="left" w:pos="1701"/>
        </w:tabs>
        <w:rPr>
          <w:lang w:val="fr-FR"/>
        </w:rPr>
      </w:pPr>
      <w:r>
        <w:rPr>
          <w:lang w:val="fr-FR"/>
        </w:rPr>
        <w:t>12.</w:t>
      </w:r>
      <w:r>
        <w:rPr>
          <w:lang w:val="fr-FR"/>
        </w:rPr>
        <w:tab/>
      </w:r>
      <w:r w:rsidRPr="00976C24">
        <w:rPr>
          <w:lang w:val="fr-FR"/>
        </w:rPr>
        <w:t xml:space="preserve">Le </w:t>
      </w:r>
      <w:r>
        <w:rPr>
          <w:lang w:val="fr-FR"/>
        </w:rPr>
        <w:t>Centre norvégien des droits de l’homme</w:t>
      </w:r>
      <w:r w:rsidRPr="00976C24">
        <w:rPr>
          <w:lang w:val="fr-FR"/>
        </w:rPr>
        <w:t xml:space="preserve"> est l’institution nationale </w:t>
      </w:r>
      <w:r>
        <w:rPr>
          <w:lang w:val="fr-FR"/>
        </w:rPr>
        <w:t xml:space="preserve">chargée des questions </w:t>
      </w:r>
      <w:r w:rsidRPr="00976C24">
        <w:rPr>
          <w:lang w:val="fr-FR"/>
        </w:rPr>
        <w:t>des droits de l’homme</w:t>
      </w:r>
      <w:r>
        <w:rPr>
          <w:lang w:val="fr-FR"/>
        </w:rPr>
        <w:t>; elle</w:t>
      </w:r>
      <w:r w:rsidRPr="00976C24">
        <w:rPr>
          <w:lang w:val="fr-FR"/>
        </w:rPr>
        <w:t xml:space="preserve"> a obt</w:t>
      </w:r>
      <w:r>
        <w:rPr>
          <w:lang w:val="fr-FR"/>
        </w:rPr>
        <w:t>enu le statut d’accréditation «A</w:t>
      </w:r>
      <w:r w:rsidRPr="00976C24">
        <w:rPr>
          <w:lang w:val="fr-FR"/>
        </w:rPr>
        <w:t xml:space="preserve">» </w:t>
      </w:r>
      <w:r>
        <w:rPr>
          <w:lang w:val="fr-FR"/>
        </w:rPr>
        <w:t>selon les</w:t>
      </w:r>
      <w:r w:rsidRPr="00976C24">
        <w:rPr>
          <w:lang w:val="fr-FR"/>
        </w:rPr>
        <w:t xml:space="preserve"> critères du Comité international de coordination </w:t>
      </w:r>
      <w:r>
        <w:rPr>
          <w:lang w:val="fr-FR"/>
        </w:rPr>
        <w:t xml:space="preserve">(CIC) </w:t>
      </w:r>
      <w:r w:rsidRPr="00976C24">
        <w:rPr>
          <w:lang w:val="fr-FR"/>
        </w:rPr>
        <w:t>des institutions nationales pour la promotion des droits de l’homme en avril 2006. Le Comité pourra se reporter au</w:t>
      </w:r>
      <w:r>
        <w:rPr>
          <w:lang w:val="fr-FR"/>
        </w:rPr>
        <w:t xml:space="preserve">x paragraphes 130 à </w:t>
      </w:r>
      <w:r w:rsidRPr="00976C24">
        <w:rPr>
          <w:lang w:val="fr-FR"/>
        </w:rPr>
        <w:t>134</w:t>
      </w:r>
      <w:r>
        <w:rPr>
          <w:lang w:val="fr-FR"/>
        </w:rPr>
        <w:t xml:space="preserve"> du </w:t>
      </w:r>
      <w:r w:rsidRPr="00976C24">
        <w:rPr>
          <w:lang w:val="fr-FR"/>
        </w:rPr>
        <w:t xml:space="preserve">document de base commun. </w:t>
      </w:r>
    </w:p>
    <w:p w:rsidR="00903547" w:rsidRPr="00976C24" w:rsidRDefault="00903547" w:rsidP="0071086E">
      <w:pPr>
        <w:pStyle w:val="H23G"/>
        <w:ind w:firstLine="0"/>
        <w:rPr>
          <w:bCs/>
          <w:i/>
          <w:iCs/>
          <w:lang w:val="fr-FR"/>
        </w:rPr>
      </w:pPr>
      <w:r w:rsidRPr="00976C24">
        <w:rPr>
          <w:bCs/>
          <w:iCs/>
          <w:lang w:val="fr-FR"/>
        </w:rPr>
        <w:t>Réponse aux suggestions et recommandations formulées au</w:t>
      </w:r>
      <w:r w:rsidRPr="00976C24">
        <w:rPr>
          <w:lang w:val="fr-FR"/>
        </w:rPr>
        <w:t xml:space="preserve"> paragraphe 25 des observations finales</w:t>
      </w:r>
    </w:p>
    <w:p w:rsidR="00903547" w:rsidRPr="00976C24" w:rsidRDefault="00903547" w:rsidP="00527756">
      <w:pPr>
        <w:pStyle w:val="SingleTxtG"/>
        <w:rPr>
          <w:lang w:val="fr-FR"/>
        </w:rPr>
      </w:pPr>
      <w:r>
        <w:rPr>
          <w:lang w:val="fr-FR"/>
        </w:rPr>
        <w:t>13.</w:t>
      </w:r>
      <w:r>
        <w:rPr>
          <w:lang w:val="fr-FR"/>
        </w:rPr>
        <w:tab/>
      </w:r>
      <w:r w:rsidRPr="0051345E">
        <w:rPr>
          <w:lang w:val="fr-FR"/>
        </w:rPr>
        <w:t>Dans le budget de l’État pour 2009, la Norvège a affecté l’équivalent de 1</w:t>
      </w:r>
      <w:r>
        <w:rPr>
          <w:lang w:val="fr-FR"/>
        </w:rPr>
        <w:t> </w:t>
      </w:r>
      <w:r w:rsidRPr="0051345E">
        <w:rPr>
          <w:lang w:val="fr-FR"/>
        </w:rPr>
        <w:t xml:space="preserve">% de son PIB à l’aide </w:t>
      </w:r>
      <w:r>
        <w:rPr>
          <w:lang w:val="fr-FR"/>
        </w:rPr>
        <w:t xml:space="preserve">publique </w:t>
      </w:r>
      <w:r w:rsidRPr="0051345E">
        <w:rPr>
          <w:lang w:val="fr-FR"/>
        </w:rPr>
        <w:t>au développement</w:t>
      </w:r>
      <w:r>
        <w:rPr>
          <w:lang w:val="fr-FR"/>
        </w:rPr>
        <w:t xml:space="preserve"> (APD)</w:t>
      </w:r>
      <w:r w:rsidRPr="0051345E">
        <w:rPr>
          <w:lang w:val="fr-FR"/>
        </w:rPr>
        <w:t>, conformément à l’objectif fixé</w:t>
      </w:r>
      <w:r w:rsidRPr="00976C24">
        <w:rPr>
          <w:lang w:val="fr-FR"/>
        </w:rPr>
        <w:t xml:space="preserve">. Les deux tiers de l’APD norvégienne </w:t>
      </w:r>
      <w:r>
        <w:rPr>
          <w:lang w:val="fr-FR"/>
        </w:rPr>
        <w:t xml:space="preserve">sont destinés </w:t>
      </w:r>
      <w:r w:rsidRPr="00976C24">
        <w:rPr>
          <w:lang w:val="fr-FR"/>
        </w:rPr>
        <w:t xml:space="preserve">à des institutions multilatérales comme les Nations Unies. La Norvège </w:t>
      </w:r>
      <w:r>
        <w:rPr>
          <w:lang w:val="fr-FR"/>
        </w:rPr>
        <w:t>souscrit sans réserve aux</w:t>
      </w:r>
      <w:r w:rsidRPr="00976C24">
        <w:rPr>
          <w:lang w:val="fr-FR"/>
        </w:rPr>
        <w:t xml:space="preserve"> Objectifs du Millénaire pour le développement.</w:t>
      </w:r>
    </w:p>
    <w:p w:rsidR="00903547" w:rsidRPr="00976C24" w:rsidRDefault="00903547" w:rsidP="00527756">
      <w:pPr>
        <w:pStyle w:val="SingleTxtG"/>
        <w:rPr>
          <w:lang w:val="fr-FR"/>
        </w:rPr>
      </w:pPr>
      <w:r>
        <w:rPr>
          <w:lang w:val="fr-FR"/>
        </w:rPr>
        <w:t>14.</w:t>
      </w:r>
      <w:r>
        <w:rPr>
          <w:lang w:val="fr-FR"/>
        </w:rPr>
        <w:tab/>
      </w:r>
      <w:r w:rsidRPr="00976C24">
        <w:rPr>
          <w:lang w:val="fr-FR"/>
        </w:rPr>
        <w:t xml:space="preserve">Les conventions relatives aux droits de l’homme constituent la base normative de la politique norvégienne de développement. La Norvège s’emploie à promouvoir les droits de l’homme </w:t>
      </w:r>
      <w:r>
        <w:rPr>
          <w:lang w:val="fr-FR"/>
        </w:rPr>
        <w:t>par le biais de</w:t>
      </w:r>
      <w:r w:rsidRPr="00976C24">
        <w:rPr>
          <w:lang w:val="fr-FR"/>
        </w:rPr>
        <w:t xml:space="preserve"> la co</w:t>
      </w:r>
      <w:r>
        <w:rPr>
          <w:lang w:val="fr-FR"/>
        </w:rPr>
        <w:t>opération pour le développement</w:t>
      </w:r>
      <w:r w:rsidRPr="00976C24">
        <w:rPr>
          <w:rStyle w:val="FootnoteReference"/>
          <w:lang w:val="fr-FR"/>
        </w:rPr>
        <w:footnoteReference w:id="6"/>
      </w:r>
      <w:r>
        <w:rPr>
          <w:lang w:val="fr-FR"/>
        </w:rPr>
        <w:t>.</w:t>
      </w:r>
      <w:r w:rsidRPr="00976C24">
        <w:rPr>
          <w:lang w:val="fr-FR"/>
        </w:rPr>
        <w:t xml:space="preserve"> La consolidation de la paix, les droits de l’homme et l’aide humanitaire </w:t>
      </w:r>
      <w:r>
        <w:rPr>
          <w:lang w:val="fr-FR"/>
        </w:rPr>
        <w:t>sont parmi les cinq piliers de s</w:t>
      </w:r>
      <w:r w:rsidRPr="00976C24">
        <w:rPr>
          <w:lang w:val="fr-FR"/>
        </w:rPr>
        <w:t xml:space="preserve">a politique </w:t>
      </w:r>
      <w:r>
        <w:rPr>
          <w:lang w:val="fr-FR"/>
        </w:rPr>
        <w:t>en la matière</w:t>
      </w:r>
      <w:r w:rsidRPr="00976C24">
        <w:rPr>
          <w:lang w:val="fr-FR"/>
        </w:rPr>
        <w:t xml:space="preserve">. Les obligations </w:t>
      </w:r>
      <w:r>
        <w:rPr>
          <w:lang w:val="fr-FR"/>
        </w:rPr>
        <w:t>relatives aux</w:t>
      </w:r>
      <w:r w:rsidRPr="00976C24">
        <w:rPr>
          <w:lang w:val="fr-FR"/>
        </w:rPr>
        <w:t xml:space="preserve"> droits de l’homme </w:t>
      </w:r>
      <w:r>
        <w:rPr>
          <w:lang w:val="fr-FR"/>
        </w:rPr>
        <w:t>sont é</w:t>
      </w:r>
      <w:r w:rsidRPr="00976C24">
        <w:rPr>
          <w:lang w:val="fr-FR"/>
        </w:rPr>
        <w:t xml:space="preserve">galement </w:t>
      </w:r>
      <w:r>
        <w:rPr>
          <w:lang w:val="fr-FR"/>
        </w:rPr>
        <w:t>une source de</w:t>
      </w:r>
      <w:r w:rsidRPr="00976C24">
        <w:rPr>
          <w:lang w:val="fr-FR"/>
        </w:rPr>
        <w:t xml:space="preserve"> dialogue avec les gouvernements des différents pays bénéficiaires</w:t>
      </w:r>
      <w:r>
        <w:rPr>
          <w:lang w:val="fr-FR"/>
        </w:rPr>
        <w:t>, l’objectif étant de</w:t>
      </w:r>
      <w:r w:rsidRPr="00976C24">
        <w:rPr>
          <w:lang w:val="fr-FR"/>
        </w:rPr>
        <w:t xml:space="preserve"> renforcer leur capacité à protéger et promouvoir les droits de l’homme. </w:t>
      </w:r>
    </w:p>
    <w:p w:rsidR="00903547" w:rsidRPr="00976C24" w:rsidRDefault="00903547" w:rsidP="00527756">
      <w:pPr>
        <w:pStyle w:val="SingleTxtG"/>
        <w:rPr>
          <w:lang w:val="fr-FR"/>
        </w:rPr>
      </w:pPr>
      <w:r>
        <w:rPr>
          <w:lang w:val="fr-FR"/>
        </w:rPr>
        <w:t>15.</w:t>
      </w:r>
      <w:r>
        <w:rPr>
          <w:lang w:val="fr-FR"/>
        </w:rPr>
        <w:tab/>
      </w:r>
      <w:r w:rsidRPr="00976C24">
        <w:rPr>
          <w:lang w:val="fr-FR"/>
        </w:rPr>
        <w:t xml:space="preserve">Les groupes potentiellement vulnérables et marginalisés, comme les enfants, les personnes handicapées et les peuples autochtones sont prioritaires </w:t>
      </w:r>
      <w:r>
        <w:rPr>
          <w:lang w:val="fr-FR"/>
        </w:rPr>
        <w:t>au regard des</w:t>
      </w:r>
      <w:r w:rsidRPr="00976C24">
        <w:rPr>
          <w:lang w:val="fr-FR"/>
        </w:rPr>
        <w:t xml:space="preserve"> programmes et projets de développement financés par </w:t>
      </w:r>
      <w:r>
        <w:rPr>
          <w:lang w:val="fr-FR"/>
        </w:rPr>
        <w:t>l</w:t>
      </w:r>
      <w:r w:rsidRPr="00976C24">
        <w:rPr>
          <w:lang w:val="fr-FR"/>
        </w:rPr>
        <w:t>a Norvège.</w:t>
      </w:r>
    </w:p>
    <w:p w:rsidR="00903547" w:rsidRPr="00976C24" w:rsidRDefault="00903547" w:rsidP="00527756">
      <w:pPr>
        <w:pStyle w:val="SingleTxtG"/>
        <w:rPr>
          <w:lang w:val="fr-FR"/>
        </w:rPr>
      </w:pPr>
      <w:r>
        <w:rPr>
          <w:lang w:val="fr-FR"/>
        </w:rPr>
        <w:t>16.</w:t>
      </w:r>
      <w:r>
        <w:rPr>
          <w:lang w:val="fr-FR"/>
        </w:rPr>
        <w:tab/>
      </w:r>
      <w:r w:rsidRPr="00976C24">
        <w:rPr>
          <w:lang w:val="fr-FR"/>
        </w:rPr>
        <w:t xml:space="preserve">Les observations finales des organes conventionnels des Nations Unies ne sont pas directement </w:t>
      </w:r>
      <w:r>
        <w:rPr>
          <w:lang w:val="fr-FR"/>
        </w:rPr>
        <w:t>évoquées</w:t>
      </w:r>
      <w:r w:rsidRPr="00976C24">
        <w:rPr>
          <w:lang w:val="fr-FR"/>
        </w:rPr>
        <w:t xml:space="preserve"> dans les rapports sur le développement. La raison en est que les p</w:t>
      </w:r>
      <w:r>
        <w:rPr>
          <w:lang w:val="fr-FR"/>
        </w:rPr>
        <w:t>lans de réduction de la pauvreté des</w:t>
      </w:r>
      <w:r w:rsidRPr="00976C24">
        <w:rPr>
          <w:lang w:val="fr-FR"/>
        </w:rPr>
        <w:t xml:space="preserve"> gouvernement</w:t>
      </w:r>
      <w:r>
        <w:rPr>
          <w:lang w:val="fr-FR"/>
        </w:rPr>
        <w:t>s</w:t>
      </w:r>
      <w:r w:rsidRPr="00976C24">
        <w:rPr>
          <w:lang w:val="fr-FR"/>
        </w:rPr>
        <w:t xml:space="preserve"> partenaires </w:t>
      </w:r>
      <w:r>
        <w:rPr>
          <w:lang w:val="fr-FR"/>
        </w:rPr>
        <w:t>constituent</w:t>
      </w:r>
      <w:r w:rsidRPr="00976C24">
        <w:rPr>
          <w:lang w:val="fr-FR"/>
        </w:rPr>
        <w:t xml:space="preserve"> généralement la base du programme d’aide. La Norvège </w:t>
      </w:r>
      <w:r>
        <w:rPr>
          <w:lang w:val="fr-FR"/>
        </w:rPr>
        <w:t>est décidée à</w:t>
      </w:r>
      <w:r w:rsidRPr="00976C24">
        <w:rPr>
          <w:lang w:val="fr-FR"/>
        </w:rPr>
        <w:t xml:space="preserve"> renforcer l’exécution de</w:t>
      </w:r>
      <w:r>
        <w:rPr>
          <w:lang w:val="fr-FR"/>
        </w:rPr>
        <w:t xml:space="preserve"> se</w:t>
      </w:r>
      <w:r w:rsidRPr="00976C24">
        <w:rPr>
          <w:lang w:val="fr-FR"/>
        </w:rPr>
        <w:t>s obligations découlant du Pacte dans la coopération pour le développement</w:t>
      </w:r>
      <w:r>
        <w:rPr>
          <w:lang w:val="fr-FR"/>
        </w:rPr>
        <w:t>,</w:t>
      </w:r>
      <w:r w:rsidRPr="00976C24">
        <w:rPr>
          <w:lang w:val="fr-FR"/>
        </w:rPr>
        <w:t xml:space="preserve"> </w:t>
      </w:r>
      <w:r>
        <w:rPr>
          <w:lang w:val="fr-FR"/>
        </w:rPr>
        <w:t>de même</w:t>
      </w:r>
      <w:r w:rsidRPr="00976C24">
        <w:rPr>
          <w:lang w:val="fr-FR"/>
        </w:rPr>
        <w:t xml:space="preserve"> que le lien avec le système de surveillance des Nations Unies et les recommandations </w:t>
      </w:r>
      <w:r>
        <w:rPr>
          <w:lang w:val="fr-FR"/>
        </w:rPr>
        <w:t>formulées à l’issue de l’EPU</w:t>
      </w:r>
      <w:r w:rsidRPr="00976C24">
        <w:rPr>
          <w:lang w:val="fr-FR"/>
        </w:rPr>
        <w:t xml:space="preserve"> dans </w:t>
      </w:r>
      <w:r>
        <w:rPr>
          <w:lang w:val="fr-FR"/>
        </w:rPr>
        <w:t>l’</w:t>
      </w:r>
      <w:r w:rsidRPr="00976C24">
        <w:rPr>
          <w:lang w:val="fr-FR"/>
        </w:rPr>
        <w:t xml:space="preserve">aide au développement, conjointement avec d’autres pays donateurs. </w:t>
      </w:r>
    </w:p>
    <w:p w:rsidR="00903547" w:rsidRPr="00976C24" w:rsidRDefault="00903547" w:rsidP="0071086E">
      <w:pPr>
        <w:pStyle w:val="H23G"/>
        <w:rPr>
          <w:lang w:val="fr-FR"/>
        </w:rPr>
      </w:pPr>
      <w:r w:rsidRPr="00976C24">
        <w:rPr>
          <w:lang w:val="fr-FR"/>
        </w:rPr>
        <w:tab/>
      </w:r>
      <w:bookmarkStart w:id="10" w:name="_Toc286326342"/>
      <w:r w:rsidRPr="00976C24">
        <w:rPr>
          <w:lang w:val="fr-FR"/>
        </w:rPr>
        <w:t>a)</w:t>
      </w:r>
      <w:r w:rsidRPr="00976C24">
        <w:rPr>
          <w:lang w:val="fr-FR"/>
        </w:rPr>
        <w:tab/>
        <w:t>Contribution norvégienne à la réalisation des droits économiques, sociaux et culturels</w:t>
      </w:r>
      <w:bookmarkEnd w:id="10"/>
      <w:r w:rsidRPr="00976C24">
        <w:rPr>
          <w:lang w:val="fr-FR"/>
        </w:rPr>
        <w:t xml:space="preserve"> </w:t>
      </w:r>
    </w:p>
    <w:p w:rsidR="00903547" w:rsidRPr="00976C24" w:rsidRDefault="00903547" w:rsidP="00527756">
      <w:pPr>
        <w:pStyle w:val="SingleTxtG"/>
        <w:rPr>
          <w:lang w:val="fr-FR"/>
        </w:rPr>
      </w:pPr>
      <w:r>
        <w:rPr>
          <w:lang w:val="fr-FR"/>
        </w:rPr>
        <w:t>17.</w:t>
      </w:r>
      <w:r>
        <w:rPr>
          <w:lang w:val="fr-FR"/>
        </w:rPr>
        <w:tab/>
      </w:r>
      <w:r w:rsidRPr="00976C24">
        <w:rPr>
          <w:lang w:val="fr-FR"/>
        </w:rPr>
        <w:t>Il est difficile de di</w:t>
      </w:r>
      <w:r>
        <w:rPr>
          <w:lang w:val="fr-FR"/>
        </w:rPr>
        <w:t>fférencier</w:t>
      </w:r>
      <w:r w:rsidRPr="00976C24">
        <w:rPr>
          <w:lang w:val="fr-FR"/>
        </w:rPr>
        <w:t xml:space="preserve"> et de quantifier le</w:t>
      </w:r>
      <w:r>
        <w:rPr>
          <w:lang w:val="fr-FR"/>
        </w:rPr>
        <w:t xml:space="preserve"> soutien</w:t>
      </w:r>
      <w:r w:rsidRPr="00976C24">
        <w:rPr>
          <w:lang w:val="fr-FR"/>
        </w:rPr>
        <w:t xml:space="preserve"> accordé à chacun des droits </w:t>
      </w:r>
      <w:r>
        <w:rPr>
          <w:lang w:val="fr-FR"/>
        </w:rPr>
        <w:t>énoncés dans le</w:t>
      </w:r>
      <w:r w:rsidRPr="00976C24">
        <w:rPr>
          <w:lang w:val="fr-FR"/>
        </w:rPr>
        <w:t xml:space="preserve"> Pacte international relatif aux droits économiques, sociaux et culturels dans </w:t>
      </w:r>
      <w:r>
        <w:rPr>
          <w:lang w:val="fr-FR"/>
        </w:rPr>
        <w:t xml:space="preserve">le cadre de </w:t>
      </w:r>
      <w:r w:rsidRPr="00976C24">
        <w:rPr>
          <w:lang w:val="fr-FR"/>
        </w:rPr>
        <w:t xml:space="preserve">la coopération internationale pour le développement </w:t>
      </w:r>
      <w:r>
        <w:rPr>
          <w:lang w:val="fr-FR"/>
        </w:rPr>
        <w:t>menée par la</w:t>
      </w:r>
      <w:r w:rsidRPr="00976C24">
        <w:rPr>
          <w:lang w:val="fr-FR"/>
        </w:rPr>
        <w:t xml:space="preserve"> Norvège. Il reste qu’en 2010 quelque 110 pays </w:t>
      </w:r>
      <w:r>
        <w:rPr>
          <w:lang w:val="fr-FR"/>
        </w:rPr>
        <w:t>recevront</w:t>
      </w:r>
      <w:r w:rsidRPr="00976C24">
        <w:rPr>
          <w:lang w:val="fr-FR"/>
        </w:rPr>
        <w:t xml:space="preserve"> 27 milliards de couronnes </w:t>
      </w:r>
      <w:r>
        <w:rPr>
          <w:lang w:val="fr-FR"/>
        </w:rPr>
        <w:t>au titre</w:t>
      </w:r>
      <w:r w:rsidRPr="00976C24">
        <w:rPr>
          <w:lang w:val="fr-FR"/>
        </w:rPr>
        <w:t xml:space="preserve"> de l’aide </w:t>
      </w:r>
      <w:r>
        <w:rPr>
          <w:lang w:val="fr-FR"/>
        </w:rPr>
        <w:t xml:space="preserve">norvégienne </w:t>
      </w:r>
      <w:r w:rsidRPr="00976C24">
        <w:rPr>
          <w:lang w:val="fr-FR"/>
        </w:rPr>
        <w:t xml:space="preserve">au développement, dont 1,764 milliard pour des mesures </w:t>
      </w:r>
      <w:r>
        <w:rPr>
          <w:lang w:val="fr-FR"/>
        </w:rPr>
        <w:t>en faveur de</w:t>
      </w:r>
      <w:r w:rsidRPr="00976C24">
        <w:rPr>
          <w:lang w:val="fr-FR"/>
        </w:rPr>
        <w:t xml:space="preserve"> la société civile et </w:t>
      </w:r>
      <w:r>
        <w:rPr>
          <w:lang w:val="fr-FR"/>
        </w:rPr>
        <w:t>du</w:t>
      </w:r>
      <w:r w:rsidRPr="00976C24">
        <w:rPr>
          <w:lang w:val="fr-FR"/>
        </w:rPr>
        <w:t xml:space="preserve"> renforcement de la démocratie, 1,706 milliard pour la paix et la réconciliation et 300 millions pour les femmes et l’égalité. 187 milliards de couronnes sont </w:t>
      </w:r>
      <w:r>
        <w:rPr>
          <w:lang w:val="fr-FR"/>
        </w:rPr>
        <w:t>alloués</w:t>
      </w:r>
      <w:r w:rsidRPr="00976C24">
        <w:rPr>
          <w:lang w:val="fr-FR"/>
        </w:rPr>
        <w:t xml:space="preserve"> à des mesures de promotion des droits de l’homme en 2010. </w:t>
      </w:r>
    </w:p>
    <w:p w:rsidR="00903547" w:rsidRPr="00976C24" w:rsidRDefault="00903547" w:rsidP="00401FC0">
      <w:pPr>
        <w:pStyle w:val="SingleTxtG"/>
        <w:rPr>
          <w:lang w:val="fr-FR"/>
        </w:rPr>
      </w:pPr>
      <w:r>
        <w:rPr>
          <w:lang w:val="fr-FR"/>
        </w:rPr>
        <w:t>18.</w:t>
      </w:r>
      <w:r>
        <w:rPr>
          <w:lang w:val="fr-FR"/>
        </w:rPr>
        <w:tab/>
      </w:r>
      <w:r w:rsidRPr="00976C24">
        <w:rPr>
          <w:lang w:val="fr-FR"/>
        </w:rPr>
        <w:t xml:space="preserve">La Norvège </w:t>
      </w:r>
      <w:r>
        <w:rPr>
          <w:lang w:val="fr-FR"/>
        </w:rPr>
        <w:t>utilise</w:t>
      </w:r>
      <w:r w:rsidRPr="00976C24">
        <w:rPr>
          <w:lang w:val="fr-FR"/>
        </w:rPr>
        <w:t xml:space="preserve"> </w:t>
      </w:r>
      <w:r>
        <w:rPr>
          <w:lang w:val="fr-FR"/>
        </w:rPr>
        <w:t>des voies</w:t>
      </w:r>
      <w:r w:rsidRPr="00976C24">
        <w:rPr>
          <w:lang w:val="fr-FR"/>
        </w:rPr>
        <w:t xml:space="preserve"> bilatéra</w:t>
      </w:r>
      <w:r>
        <w:rPr>
          <w:lang w:val="fr-FR"/>
        </w:rPr>
        <w:t>les</w:t>
      </w:r>
      <w:r w:rsidRPr="00976C24">
        <w:rPr>
          <w:lang w:val="fr-FR"/>
        </w:rPr>
        <w:t>, multilatéra</w:t>
      </w:r>
      <w:r>
        <w:rPr>
          <w:lang w:val="fr-FR"/>
        </w:rPr>
        <w:t>les</w:t>
      </w:r>
      <w:r w:rsidRPr="00976C24">
        <w:rPr>
          <w:lang w:val="fr-FR"/>
        </w:rPr>
        <w:t xml:space="preserve"> et de la société civile dans ses activités de mise en œuvre des droits économiques, sociaux et culturels. </w:t>
      </w:r>
    </w:p>
    <w:p w:rsidR="00903547" w:rsidRPr="00976C24" w:rsidRDefault="00903547" w:rsidP="00401FC0">
      <w:pPr>
        <w:pStyle w:val="SingleTxtG"/>
        <w:rPr>
          <w:lang w:val="fr-FR"/>
        </w:rPr>
      </w:pPr>
      <w:r>
        <w:rPr>
          <w:lang w:val="fr-FR"/>
        </w:rPr>
        <w:t>19.</w:t>
      </w:r>
      <w:r>
        <w:rPr>
          <w:lang w:val="fr-FR"/>
        </w:rPr>
        <w:tab/>
      </w:r>
      <w:r w:rsidRPr="00976C24">
        <w:rPr>
          <w:lang w:val="fr-FR"/>
        </w:rPr>
        <w:t xml:space="preserve">La Norvège </w:t>
      </w:r>
      <w:r>
        <w:rPr>
          <w:lang w:val="fr-FR"/>
        </w:rPr>
        <w:t>apporte</w:t>
      </w:r>
      <w:r w:rsidRPr="00976C24">
        <w:rPr>
          <w:lang w:val="fr-FR"/>
        </w:rPr>
        <w:t xml:space="preserve"> un</w:t>
      </w:r>
      <w:r>
        <w:rPr>
          <w:lang w:val="fr-FR"/>
        </w:rPr>
        <w:t xml:space="preserve"> soutien budgétaire à</w:t>
      </w:r>
      <w:r w:rsidRPr="00976C24">
        <w:rPr>
          <w:lang w:val="fr-FR"/>
        </w:rPr>
        <w:t xml:space="preserve"> plusieurs pays, qui le</w:t>
      </w:r>
      <w:r>
        <w:rPr>
          <w:lang w:val="fr-FR"/>
        </w:rPr>
        <w:t>ur permet de renforcer</w:t>
      </w:r>
      <w:r w:rsidRPr="00976C24">
        <w:rPr>
          <w:lang w:val="fr-FR"/>
        </w:rPr>
        <w:t xml:space="preserve"> la promotion et l’exercice des droits économiques, sociaux et culturels. Ainsi, </w:t>
      </w:r>
      <w:r>
        <w:rPr>
          <w:lang w:val="fr-FR"/>
        </w:rPr>
        <w:t>le</w:t>
      </w:r>
      <w:r w:rsidRPr="00976C24">
        <w:rPr>
          <w:lang w:val="fr-FR"/>
        </w:rPr>
        <w:t xml:space="preserve"> dialogue </w:t>
      </w:r>
      <w:r>
        <w:rPr>
          <w:lang w:val="fr-FR"/>
        </w:rPr>
        <w:t xml:space="preserve">noué </w:t>
      </w:r>
      <w:r w:rsidRPr="00976C24">
        <w:rPr>
          <w:lang w:val="fr-FR"/>
        </w:rPr>
        <w:t>avec le Gouvernement ougandais</w:t>
      </w:r>
      <w:r>
        <w:rPr>
          <w:lang w:val="fr-FR"/>
        </w:rPr>
        <w:t xml:space="preserve"> a</w:t>
      </w:r>
      <w:r w:rsidRPr="00976C24">
        <w:rPr>
          <w:lang w:val="fr-FR"/>
        </w:rPr>
        <w:t xml:space="preserve"> </w:t>
      </w:r>
      <w:r>
        <w:rPr>
          <w:lang w:val="fr-FR"/>
        </w:rPr>
        <w:t>sensiblement infléchi l’allocation des</w:t>
      </w:r>
      <w:r w:rsidRPr="00976C24">
        <w:rPr>
          <w:lang w:val="fr-FR"/>
        </w:rPr>
        <w:t xml:space="preserve"> crédits budgétaires </w:t>
      </w:r>
      <w:r>
        <w:rPr>
          <w:lang w:val="fr-FR"/>
        </w:rPr>
        <w:t xml:space="preserve">de l’État </w:t>
      </w:r>
      <w:r w:rsidRPr="00976C24">
        <w:rPr>
          <w:lang w:val="fr-FR"/>
        </w:rPr>
        <w:t xml:space="preserve">en faveur des pauvres, </w:t>
      </w:r>
      <w:r>
        <w:rPr>
          <w:lang w:val="fr-FR"/>
        </w:rPr>
        <w:t>dans le sens d’une</w:t>
      </w:r>
      <w:r w:rsidRPr="00976C24">
        <w:rPr>
          <w:lang w:val="fr-FR"/>
        </w:rPr>
        <w:t xml:space="preserve"> réalisation des droits </w:t>
      </w:r>
      <w:r>
        <w:rPr>
          <w:lang w:val="fr-FR"/>
        </w:rPr>
        <w:t>reconnus</w:t>
      </w:r>
      <w:r w:rsidRPr="00976C24">
        <w:rPr>
          <w:lang w:val="fr-FR"/>
        </w:rPr>
        <w:t xml:space="preserve"> dans le Pacte. (</w:t>
      </w:r>
      <w:r>
        <w:rPr>
          <w:lang w:val="fr-FR"/>
        </w:rPr>
        <w:t>Évaluation</w:t>
      </w:r>
      <w:r w:rsidRPr="00976C24">
        <w:rPr>
          <w:lang w:val="fr-FR"/>
        </w:rPr>
        <w:t xml:space="preserve"> d</w:t>
      </w:r>
      <w:r>
        <w:rPr>
          <w:lang w:val="fr-FR"/>
        </w:rPr>
        <w:t>u soutien budgétaire</w:t>
      </w:r>
      <w:r w:rsidRPr="00976C24">
        <w:rPr>
          <w:lang w:val="fr-FR"/>
        </w:rPr>
        <w:t xml:space="preserve"> – Rapport de l’Ouganda, mai</w:t>
      </w:r>
      <w:r>
        <w:rPr>
          <w:lang w:val="fr-FR"/>
        </w:rPr>
        <w:t> </w:t>
      </w:r>
      <w:r w:rsidRPr="00976C24">
        <w:rPr>
          <w:lang w:val="fr-FR"/>
        </w:rPr>
        <w:t xml:space="preserve">2006). </w:t>
      </w:r>
    </w:p>
    <w:p w:rsidR="00903547" w:rsidRPr="00976C24" w:rsidRDefault="00903547" w:rsidP="0071086E">
      <w:pPr>
        <w:pStyle w:val="H23G"/>
        <w:rPr>
          <w:lang w:val="fr-FR"/>
        </w:rPr>
      </w:pPr>
      <w:bookmarkStart w:id="11" w:name="_Toc286326343"/>
      <w:r>
        <w:rPr>
          <w:lang w:val="fr-FR"/>
        </w:rPr>
        <w:tab/>
        <w:t>b)</w:t>
      </w:r>
      <w:r>
        <w:rPr>
          <w:lang w:val="fr-FR"/>
        </w:rPr>
        <w:tab/>
        <w:t xml:space="preserve">Santé: </w:t>
      </w:r>
      <w:r w:rsidRPr="00976C24">
        <w:rPr>
          <w:lang w:val="fr-FR"/>
        </w:rPr>
        <w:t>Exemples</w:t>
      </w:r>
      <w:bookmarkEnd w:id="11"/>
    </w:p>
    <w:p w:rsidR="00903547" w:rsidRPr="00976C24" w:rsidRDefault="00903547" w:rsidP="00401FC0">
      <w:pPr>
        <w:pStyle w:val="SingleTxtG"/>
        <w:rPr>
          <w:lang w:val="fr-FR"/>
        </w:rPr>
      </w:pPr>
      <w:r>
        <w:rPr>
          <w:lang w:val="fr-FR"/>
        </w:rPr>
        <w:t>20.</w:t>
      </w:r>
      <w:r>
        <w:rPr>
          <w:lang w:val="fr-FR"/>
        </w:rPr>
        <w:tab/>
      </w:r>
      <w:r w:rsidRPr="00976C24">
        <w:rPr>
          <w:lang w:val="fr-FR"/>
        </w:rPr>
        <w:t xml:space="preserve">La Norvège a ouvert la voie en matière d’initiative </w:t>
      </w:r>
      <w:r>
        <w:rPr>
          <w:lang w:val="fr-FR"/>
        </w:rPr>
        <w:t>pour</w:t>
      </w:r>
      <w:r w:rsidRPr="00976C24">
        <w:rPr>
          <w:lang w:val="fr-FR"/>
        </w:rPr>
        <w:t xml:space="preserve"> la réalisation de l’OMD (Objectif du Millénaire pour le développement) 4 concernant la réduction de la mortalité infantile, de l’OMD 5 concernant l’amélioration de la santé maternelle et de l’OMD</w:t>
      </w:r>
      <w:r>
        <w:rPr>
          <w:lang w:val="fr-FR"/>
        </w:rPr>
        <w:t> </w:t>
      </w:r>
      <w:r w:rsidRPr="00976C24">
        <w:rPr>
          <w:lang w:val="fr-FR"/>
        </w:rPr>
        <w:t xml:space="preserve">6 concernant la lutte contre le VIH/sida, la tuberculose, le paludisme et d’autres maladies. L’action de </w:t>
      </w:r>
      <w:r>
        <w:rPr>
          <w:lang w:val="fr-FR"/>
        </w:rPr>
        <w:t>l</w:t>
      </w:r>
      <w:r w:rsidRPr="00976C24">
        <w:rPr>
          <w:lang w:val="fr-FR"/>
        </w:rPr>
        <w:t xml:space="preserve">a Norvège pour combattre la mortalité infantile inclut une aide à la vaccination par le biais de l’Alliance mondiale pour les vaccins et la vaccination (GAVI) et </w:t>
      </w:r>
      <w:r>
        <w:rPr>
          <w:lang w:val="fr-FR"/>
        </w:rPr>
        <w:t xml:space="preserve">une </w:t>
      </w:r>
      <w:r w:rsidRPr="00976C24">
        <w:rPr>
          <w:lang w:val="fr-FR"/>
        </w:rPr>
        <w:t>aide à la recherche sur les vaccins.</w:t>
      </w:r>
    </w:p>
    <w:p w:rsidR="00903547" w:rsidRPr="00976C24" w:rsidRDefault="00903547" w:rsidP="00401FC0">
      <w:pPr>
        <w:pStyle w:val="SingleTxtG"/>
        <w:rPr>
          <w:lang w:val="fr-FR"/>
        </w:rPr>
      </w:pPr>
      <w:r>
        <w:rPr>
          <w:lang w:val="fr-FR"/>
        </w:rPr>
        <w:t>21.</w:t>
      </w:r>
      <w:r>
        <w:rPr>
          <w:lang w:val="fr-FR"/>
        </w:rPr>
        <w:tab/>
        <w:t>L</w:t>
      </w:r>
      <w:r w:rsidRPr="00976C24">
        <w:rPr>
          <w:lang w:val="fr-FR"/>
        </w:rPr>
        <w:t>a Norvège a</w:t>
      </w:r>
      <w:r>
        <w:rPr>
          <w:lang w:val="fr-FR"/>
        </w:rPr>
        <w:t>lloue d</w:t>
      </w:r>
      <w:r w:rsidRPr="00976C24">
        <w:rPr>
          <w:lang w:val="fr-FR"/>
        </w:rPr>
        <w:t xml:space="preserve">es fonds bilatéraux </w:t>
      </w:r>
      <w:r>
        <w:rPr>
          <w:lang w:val="fr-FR"/>
        </w:rPr>
        <w:t>au Pakistan dans le cadre du p</w:t>
      </w:r>
      <w:r w:rsidRPr="00976C24">
        <w:rPr>
          <w:lang w:val="fr-FR"/>
        </w:rPr>
        <w:t xml:space="preserve">artenariat </w:t>
      </w:r>
      <w:r>
        <w:rPr>
          <w:lang w:val="fr-FR"/>
        </w:rPr>
        <w:t xml:space="preserve">mis en place </w:t>
      </w:r>
      <w:r w:rsidRPr="00976C24">
        <w:rPr>
          <w:lang w:val="fr-FR"/>
        </w:rPr>
        <w:t xml:space="preserve">entre les deux pays. </w:t>
      </w:r>
      <w:r>
        <w:rPr>
          <w:lang w:val="fr-FR"/>
        </w:rPr>
        <w:t xml:space="preserve">Cette </w:t>
      </w:r>
      <w:r w:rsidRPr="00976C24">
        <w:rPr>
          <w:lang w:val="fr-FR"/>
        </w:rPr>
        <w:t>initiative,</w:t>
      </w:r>
      <w:r>
        <w:rPr>
          <w:lang w:val="fr-FR"/>
        </w:rPr>
        <w:t xml:space="preserve"> qui fait partie du programme «</w:t>
      </w:r>
      <w:r w:rsidRPr="00976C24">
        <w:rPr>
          <w:lang w:val="fr-FR"/>
        </w:rPr>
        <w:t>Unité d’actio</w:t>
      </w:r>
      <w:r>
        <w:rPr>
          <w:lang w:val="fr-FR"/>
        </w:rPr>
        <w:t>n des Nations Unies</w:t>
      </w:r>
      <w:r w:rsidRPr="00976C24">
        <w:rPr>
          <w:lang w:val="fr-FR"/>
        </w:rPr>
        <w:t xml:space="preserve">», </w:t>
      </w:r>
      <w:r>
        <w:rPr>
          <w:lang w:val="fr-FR"/>
        </w:rPr>
        <w:t>fournit</w:t>
      </w:r>
      <w:r w:rsidRPr="00976C24">
        <w:rPr>
          <w:lang w:val="fr-FR"/>
        </w:rPr>
        <w:t xml:space="preserve"> un</w:t>
      </w:r>
      <w:r>
        <w:rPr>
          <w:lang w:val="fr-FR"/>
        </w:rPr>
        <w:t xml:space="preserve"> appui</w:t>
      </w:r>
      <w:r w:rsidRPr="00976C24">
        <w:rPr>
          <w:lang w:val="fr-FR"/>
        </w:rPr>
        <w:t xml:space="preserve"> analytique et stratégique aux soins de santé </w:t>
      </w:r>
      <w:r>
        <w:rPr>
          <w:lang w:val="fr-FR"/>
        </w:rPr>
        <w:t>dispensés</w:t>
      </w:r>
      <w:r w:rsidRPr="00976C24">
        <w:rPr>
          <w:lang w:val="fr-FR"/>
        </w:rPr>
        <w:t xml:space="preserve"> aux mères et</w:t>
      </w:r>
      <w:r>
        <w:rPr>
          <w:lang w:val="fr-FR"/>
        </w:rPr>
        <w:t xml:space="preserve"> aux enfants dans la province du</w:t>
      </w:r>
      <w:r w:rsidRPr="00976C24">
        <w:rPr>
          <w:lang w:val="fr-FR"/>
        </w:rPr>
        <w:t xml:space="preserve"> </w:t>
      </w:r>
      <w:r>
        <w:rPr>
          <w:lang w:val="fr-FR"/>
        </w:rPr>
        <w:t>Sindh</w:t>
      </w:r>
      <w:r w:rsidRPr="00976C24">
        <w:rPr>
          <w:lang w:val="fr-FR"/>
        </w:rPr>
        <w:t xml:space="preserve"> au sud du Pakistan</w:t>
      </w:r>
      <w:r>
        <w:rPr>
          <w:lang w:val="fr-FR"/>
        </w:rPr>
        <w:t xml:space="preserve"> grâce à des </w:t>
      </w:r>
      <w:r w:rsidRPr="00976C24">
        <w:rPr>
          <w:lang w:val="fr-FR"/>
        </w:rPr>
        <w:t xml:space="preserve">approches de financement </w:t>
      </w:r>
      <w:r>
        <w:rPr>
          <w:lang w:val="fr-FR"/>
        </w:rPr>
        <w:t xml:space="preserve">innovantes et modulables </w:t>
      </w:r>
      <w:r w:rsidRPr="00976C24">
        <w:rPr>
          <w:lang w:val="fr-FR"/>
        </w:rPr>
        <w:t xml:space="preserve">axées sur les résultats. En Afghanistan, la Norvège appuie le Fonds d’affectation spéciale de la Banque mondiale pour un financement axé sur les résultats dans des activités pilotes </w:t>
      </w:r>
      <w:r>
        <w:rPr>
          <w:lang w:val="fr-FR"/>
        </w:rPr>
        <w:t>touchant à</w:t>
      </w:r>
      <w:r w:rsidRPr="00976C24">
        <w:rPr>
          <w:lang w:val="fr-FR"/>
        </w:rPr>
        <w:t xml:space="preserve"> la santé maternelle et infantile dans 10 provinces. </w:t>
      </w:r>
      <w:r>
        <w:rPr>
          <w:lang w:val="fr-FR"/>
        </w:rPr>
        <w:t>En I</w:t>
      </w:r>
      <w:r w:rsidRPr="00976C24">
        <w:rPr>
          <w:lang w:val="fr-FR"/>
        </w:rPr>
        <w:t xml:space="preserve">raq, la Norvège soutient des ONG locales ainsi que le Haut-Commissariat des Nations Unies pour les réfugiés (HCR) et le Fonds des Nations unies pour l’enfance (UNICEF). </w:t>
      </w:r>
    </w:p>
    <w:p w:rsidR="00903547" w:rsidRPr="00976C24" w:rsidRDefault="00903547" w:rsidP="00401FC0">
      <w:pPr>
        <w:pStyle w:val="SingleTxtG"/>
        <w:rPr>
          <w:lang w:val="fr-FR"/>
        </w:rPr>
      </w:pPr>
      <w:r>
        <w:rPr>
          <w:lang w:val="fr-FR"/>
        </w:rPr>
        <w:t>22.</w:t>
      </w:r>
      <w:r>
        <w:rPr>
          <w:lang w:val="fr-FR"/>
        </w:rPr>
        <w:tab/>
      </w:r>
      <w:r w:rsidRPr="00976C24">
        <w:rPr>
          <w:lang w:val="fr-FR"/>
        </w:rPr>
        <w:t xml:space="preserve">La Norvège </w:t>
      </w:r>
      <w:r>
        <w:rPr>
          <w:lang w:val="fr-FR"/>
        </w:rPr>
        <w:t>participe</w:t>
      </w:r>
      <w:r w:rsidRPr="00976C24">
        <w:rPr>
          <w:lang w:val="fr-FR"/>
        </w:rPr>
        <w:t xml:space="preserve"> à des projets de lutte contre la violence sexuelle dans les conflits, conformément aux résolutions du Conseil de sécurité 1820/1888 et 1325, notamment en République démocratique du Congo.</w:t>
      </w:r>
    </w:p>
    <w:p w:rsidR="00903547" w:rsidRPr="00976C24" w:rsidRDefault="00903547" w:rsidP="0071086E">
      <w:pPr>
        <w:pStyle w:val="H23G"/>
        <w:rPr>
          <w:lang w:val="fr-FR"/>
        </w:rPr>
      </w:pPr>
      <w:r w:rsidRPr="00976C24">
        <w:rPr>
          <w:lang w:val="fr-FR"/>
        </w:rPr>
        <w:tab/>
      </w:r>
      <w:bookmarkStart w:id="12" w:name="_Toc286326344"/>
      <w:r w:rsidRPr="00976C24">
        <w:rPr>
          <w:lang w:val="fr-FR"/>
        </w:rPr>
        <w:t>c)</w:t>
      </w:r>
      <w:r w:rsidRPr="00976C24">
        <w:rPr>
          <w:lang w:val="fr-FR"/>
        </w:rPr>
        <w:tab/>
      </w:r>
      <w:r>
        <w:rPr>
          <w:lang w:val="fr-FR"/>
        </w:rPr>
        <w:t>Éducation</w:t>
      </w:r>
      <w:bookmarkEnd w:id="12"/>
    </w:p>
    <w:p w:rsidR="00903547" w:rsidRPr="00976C24" w:rsidRDefault="00903547" w:rsidP="00401FC0">
      <w:pPr>
        <w:pStyle w:val="SingleTxtG"/>
        <w:rPr>
          <w:lang w:val="fr-FR"/>
        </w:rPr>
      </w:pPr>
      <w:r>
        <w:rPr>
          <w:lang w:val="fr-FR"/>
        </w:rPr>
        <w:t>23.</w:t>
      </w:r>
      <w:r>
        <w:rPr>
          <w:lang w:val="fr-FR"/>
        </w:rPr>
        <w:tab/>
      </w:r>
      <w:r w:rsidRPr="00976C24">
        <w:rPr>
          <w:lang w:val="fr-FR"/>
        </w:rPr>
        <w:t>L</w:t>
      </w:r>
      <w:r>
        <w:rPr>
          <w:lang w:val="fr-FR"/>
        </w:rPr>
        <w:t>’appui</w:t>
      </w:r>
      <w:r w:rsidRPr="00976C24">
        <w:rPr>
          <w:lang w:val="fr-FR"/>
        </w:rPr>
        <w:t xml:space="preserve"> </w:t>
      </w:r>
      <w:r>
        <w:rPr>
          <w:lang w:val="fr-FR"/>
        </w:rPr>
        <w:t xml:space="preserve">norvégien </w:t>
      </w:r>
      <w:r w:rsidRPr="00976C24">
        <w:rPr>
          <w:lang w:val="fr-FR"/>
        </w:rPr>
        <w:t xml:space="preserve">à l’enseignement primaire </w:t>
      </w:r>
      <w:r>
        <w:rPr>
          <w:lang w:val="fr-FR"/>
        </w:rPr>
        <w:t>passe principalement par</w:t>
      </w:r>
      <w:r w:rsidRPr="00976C24">
        <w:rPr>
          <w:lang w:val="fr-FR"/>
        </w:rPr>
        <w:t xml:space="preserve"> l’UNICEF. Ainsi, </w:t>
      </w:r>
      <w:r>
        <w:rPr>
          <w:lang w:val="fr-FR"/>
        </w:rPr>
        <w:t>cet appui</w:t>
      </w:r>
      <w:r w:rsidRPr="00976C24">
        <w:rPr>
          <w:lang w:val="fr-FR"/>
        </w:rPr>
        <w:t xml:space="preserve"> a contribu</w:t>
      </w:r>
      <w:r>
        <w:rPr>
          <w:lang w:val="fr-FR"/>
        </w:rPr>
        <w:t xml:space="preserve">é à augmenter </w:t>
      </w:r>
      <w:r w:rsidRPr="00976C24">
        <w:rPr>
          <w:lang w:val="fr-FR"/>
        </w:rPr>
        <w:t>de 330</w:t>
      </w:r>
      <w:r>
        <w:rPr>
          <w:lang w:val="fr-FR"/>
        </w:rPr>
        <w:t> </w:t>
      </w:r>
      <w:r w:rsidRPr="00976C24">
        <w:rPr>
          <w:lang w:val="fr-FR"/>
        </w:rPr>
        <w:t xml:space="preserve">000 (2007) </w:t>
      </w:r>
      <w:r>
        <w:rPr>
          <w:lang w:val="fr-FR"/>
        </w:rPr>
        <w:t>le nombre d’</w:t>
      </w:r>
      <w:r w:rsidRPr="00976C24">
        <w:rPr>
          <w:lang w:val="fr-FR"/>
        </w:rPr>
        <w:t>inscriptions de filles au niveau primaire</w:t>
      </w:r>
      <w:r>
        <w:rPr>
          <w:lang w:val="fr-FR"/>
        </w:rPr>
        <w:t xml:space="preserve"> e</w:t>
      </w:r>
      <w:r w:rsidRPr="00976C24">
        <w:rPr>
          <w:lang w:val="fr-FR"/>
        </w:rPr>
        <w:t>n</w:t>
      </w:r>
      <w:r>
        <w:rPr>
          <w:lang w:val="fr-FR"/>
        </w:rPr>
        <w:t xml:space="preserve"> Afghanistan</w:t>
      </w:r>
      <w:r w:rsidRPr="00976C24">
        <w:rPr>
          <w:lang w:val="fr-FR"/>
        </w:rPr>
        <w:t xml:space="preserve"> et permis de moderniser 4</w:t>
      </w:r>
      <w:r>
        <w:rPr>
          <w:lang w:val="fr-FR"/>
        </w:rPr>
        <w:t> </w:t>
      </w:r>
      <w:r w:rsidRPr="00976C24">
        <w:rPr>
          <w:lang w:val="fr-FR"/>
        </w:rPr>
        <w:t xml:space="preserve">000 écoles primaires en </w:t>
      </w:r>
      <w:r>
        <w:rPr>
          <w:lang w:val="fr-FR"/>
        </w:rPr>
        <w:t>Éthiopie</w:t>
      </w:r>
      <w:r w:rsidRPr="00976C24">
        <w:rPr>
          <w:lang w:val="fr-FR"/>
        </w:rPr>
        <w:t xml:space="preserve"> </w:t>
      </w:r>
      <w:r>
        <w:rPr>
          <w:lang w:val="fr-FR"/>
        </w:rPr>
        <w:t>au cours des</w:t>
      </w:r>
      <w:r w:rsidRPr="00976C24">
        <w:rPr>
          <w:lang w:val="fr-FR"/>
        </w:rPr>
        <w:t xml:space="preserve"> dernières années. La Norvège a en outre </w:t>
      </w:r>
      <w:r>
        <w:rPr>
          <w:lang w:val="fr-FR"/>
        </w:rPr>
        <w:t xml:space="preserve">soutenu </w:t>
      </w:r>
      <w:r w:rsidRPr="00976C24">
        <w:rPr>
          <w:lang w:val="fr-FR"/>
        </w:rPr>
        <w:t xml:space="preserve">des programmes </w:t>
      </w:r>
      <w:r>
        <w:rPr>
          <w:lang w:val="fr-FR"/>
        </w:rPr>
        <w:t>nationaux</w:t>
      </w:r>
      <w:r w:rsidRPr="00976C24">
        <w:rPr>
          <w:lang w:val="fr-FR"/>
        </w:rPr>
        <w:t xml:space="preserve"> </w:t>
      </w:r>
      <w:r>
        <w:rPr>
          <w:lang w:val="fr-FR"/>
        </w:rPr>
        <w:t>en faveur de</w:t>
      </w:r>
      <w:r w:rsidRPr="00976C24">
        <w:rPr>
          <w:lang w:val="fr-FR"/>
        </w:rPr>
        <w:t xml:space="preserve"> l’enseignement primaire au Viet</w:t>
      </w:r>
      <w:r>
        <w:rPr>
          <w:lang w:val="fr-FR"/>
        </w:rPr>
        <w:t> </w:t>
      </w:r>
      <w:r w:rsidRPr="00976C24">
        <w:rPr>
          <w:lang w:val="fr-FR"/>
        </w:rPr>
        <w:t>Nam, au Népal et à Madagascar.</w:t>
      </w:r>
    </w:p>
    <w:p w:rsidR="00903547" w:rsidRPr="00976C24" w:rsidRDefault="00903547" w:rsidP="00401FC0">
      <w:pPr>
        <w:pStyle w:val="SingleTxtG"/>
        <w:rPr>
          <w:lang w:val="fr-FR"/>
        </w:rPr>
      </w:pPr>
      <w:r>
        <w:rPr>
          <w:lang w:val="fr-FR"/>
        </w:rPr>
        <w:t>24.</w:t>
      </w:r>
      <w:r>
        <w:rPr>
          <w:lang w:val="fr-FR"/>
        </w:rPr>
        <w:tab/>
      </w:r>
      <w:r w:rsidRPr="00976C24">
        <w:rPr>
          <w:lang w:val="fr-FR"/>
        </w:rPr>
        <w:t>La Norvège affecte également 24</w:t>
      </w:r>
      <w:r>
        <w:rPr>
          <w:lang w:val="fr-FR"/>
        </w:rPr>
        <w:t> %</w:t>
      </w:r>
      <w:r w:rsidRPr="00976C24">
        <w:rPr>
          <w:lang w:val="fr-FR"/>
        </w:rPr>
        <w:t xml:space="preserve"> de son aide bilatérale à l’éducation par le biais d’organisations de la société civile. </w:t>
      </w:r>
    </w:p>
    <w:p w:rsidR="00903547" w:rsidRPr="00976C24" w:rsidRDefault="00903547" w:rsidP="0071086E">
      <w:pPr>
        <w:pStyle w:val="H23G"/>
        <w:rPr>
          <w:lang w:val="fr-FR"/>
        </w:rPr>
      </w:pPr>
      <w:r w:rsidRPr="00976C24">
        <w:rPr>
          <w:lang w:val="fr-FR"/>
        </w:rPr>
        <w:tab/>
      </w:r>
      <w:bookmarkStart w:id="13" w:name="_Toc286326345"/>
      <w:r w:rsidRPr="00976C24">
        <w:rPr>
          <w:lang w:val="fr-FR"/>
        </w:rPr>
        <w:t>d)</w:t>
      </w:r>
      <w:r w:rsidRPr="00976C24">
        <w:rPr>
          <w:lang w:val="fr-FR"/>
        </w:rPr>
        <w:tab/>
      </w:r>
      <w:bookmarkEnd w:id="13"/>
      <w:r w:rsidRPr="00976C24">
        <w:rPr>
          <w:lang w:val="fr-FR"/>
        </w:rPr>
        <w:t>Logement</w:t>
      </w:r>
    </w:p>
    <w:p w:rsidR="00903547" w:rsidRPr="00976C24" w:rsidRDefault="00903547" w:rsidP="00401FC0">
      <w:pPr>
        <w:pStyle w:val="SingleTxtG"/>
        <w:rPr>
          <w:lang w:val="fr-FR"/>
        </w:rPr>
      </w:pPr>
      <w:r>
        <w:rPr>
          <w:lang w:val="fr-FR"/>
        </w:rPr>
        <w:t>25.</w:t>
      </w:r>
      <w:r>
        <w:rPr>
          <w:lang w:val="fr-FR"/>
        </w:rPr>
        <w:tab/>
      </w:r>
      <w:r w:rsidRPr="00976C24">
        <w:rPr>
          <w:lang w:val="fr-FR"/>
        </w:rPr>
        <w:t xml:space="preserve">La Norvège soutient les projets de reconstruction </w:t>
      </w:r>
      <w:r>
        <w:rPr>
          <w:lang w:val="fr-FR"/>
        </w:rPr>
        <w:t>lancés après d</w:t>
      </w:r>
      <w:r w:rsidRPr="00976C24">
        <w:rPr>
          <w:lang w:val="fr-FR"/>
        </w:rPr>
        <w:t xml:space="preserve">es crises humanitaires </w:t>
      </w:r>
      <w:r>
        <w:rPr>
          <w:lang w:val="fr-FR"/>
        </w:rPr>
        <w:t>dans</w:t>
      </w:r>
      <w:r w:rsidRPr="00976C24">
        <w:rPr>
          <w:lang w:val="fr-FR"/>
        </w:rPr>
        <w:t xml:space="preserve"> le monde</w:t>
      </w:r>
      <w:r>
        <w:rPr>
          <w:lang w:val="fr-FR"/>
        </w:rPr>
        <w:t xml:space="preserve"> entier</w:t>
      </w:r>
      <w:r w:rsidRPr="00976C24">
        <w:rPr>
          <w:lang w:val="fr-FR"/>
        </w:rPr>
        <w:t xml:space="preserve">. Ainsi, le Conseil norvégien pour les réfugiés </w:t>
      </w:r>
      <w:r>
        <w:rPr>
          <w:lang w:val="fr-FR"/>
        </w:rPr>
        <w:t>doit</w:t>
      </w:r>
      <w:r w:rsidRPr="00976C24">
        <w:rPr>
          <w:lang w:val="fr-FR"/>
        </w:rPr>
        <w:t xml:space="preserve"> se rendre à Gaza pour évaluer les besoins et </w:t>
      </w:r>
      <w:r>
        <w:rPr>
          <w:lang w:val="fr-FR"/>
        </w:rPr>
        <w:t>commencer</w:t>
      </w:r>
      <w:r w:rsidRPr="00976C24">
        <w:rPr>
          <w:lang w:val="fr-FR"/>
        </w:rPr>
        <w:t xml:space="preserve"> la reconstruction de maisons, d’écoles et d’hôpitaux. Le Conseil estime qu’il a y plus de 4</w:t>
      </w:r>
      <w:r>
        <w:rPr>
          <w:lang w:val="fr-FR"/>
        </w:rPr>
        <w:t> </w:t>
      </w:r>
      <w:r w:rsidRPr="00976C24">
        <w:rPr>
          <w:lang w:val="fr-FR"/>
        </w:rPr>
        <w:t xml:space="preserve">000 immeubles à reconstruire. </w:t>
      </w:r>
      <w:r>
        <w:rPr>
          <w:lang w:val="fr-FR"/>
        </w:rPr>
        <w:t>Il faut aménager d</w:t>
      </w:r>
      <w:r w:rsidRPr="00976C24">
        <w:rPr>
          <w:lang w:val="fr-FR"/>
        </w:rPr>
        <w:t xml:space="preserve">es logements privés et des bâtiments publics en raison du grand nombre de civils handicapés, y compris des enfants. Dans la province d’Aceh, la Norvège appuie le projet local d’établissement, de relèvement et de reconstruction. Au Timor-Leste, </w:t>
      </w:r>
      <w:r>
        <w:rPr>
          <w:lang w:val="fr-FR"/>
        </w:rPr>
        <w:t>le Conseil finance des projets de logement</w:t>
      </w:r>
      <w:r w:rsidRPr="00976C24">
        <w:rPr>
          <w:lang w:val="fr-FR"/>
        </w:rPr>
        <w:t xml:space="preserve">. La Norvège contribue également à la protection des groupes vulnérables </w:t>
      </w:r>
      <w:r>
        <w:rPr>
          <w:lang w:val="fr-FR"/>
        </w:rPr>
        <w:t>au moyen de</w:t>
      </w:r>
      <w:r w:rsidRPr="00976C24">
        <w:rPr>
          <w:lang w:val="fr-FR"/>
        </w:rPr>
        <w:t xml:space="preserve"> résidences protégées</w:t>
      </w:r>
      <w:r>
        <w:rPr>
          <w:lang w:val="fr-FR"/>
        </w:rPr>
        <w:t>,</w:t>
      </w:r>
      <w:r w:rsidRPr="00976C24">
        <w:rPr>
          <w:lang w:val="fr-FR"/>
        </w:rPr>
        <w:t xml:space="preserve"> gérées par des ONG</w:t>
      </w:r>
      <w:r>
        <w:rPr>
          <w:lang w:val="fr-FR"/>
        </w:rPr>
        <w:t>,</w:t>
      </w:r>
      <w:r w:rsidRPr="00976C24">
        <w:rPr>
          <w:lang w:val="fr-FR"/>
        </w:rPr>
        <w:t xml:space="preserve"> </w:t>
      </w:r>
      <w:r>
        <w:rPr>
          <w:lang w:val="fr-FR"/>
        </w:rPr>
        <w:t xml:space="preserve">pour les </w:t>
      </w:r>
      <w:r w:rsidRPr="00976C24">
        <w:rPr>
          <w:lang w:val="fr-FR"/>
        </w:rPr>
        <w:t>journalistes dans des pays comme l’Afghanistan et le Pakistan</w:t>
      </w:r>
      <w:r>
        <w:rPr>
          <w:lang w:val="fr-FR"/>
        </w:rPr>
        <w:t>,</w:t>
      </w:r>
      <w:r w:rsidRPr="00976C24">
        <w:rPr>
          <w:lang w:val="fr-FR"/>
        </w:rPr>
        <w:t xml:space="preserve"> pour les LGBT au Népal et au Kenya </w:t>
      </w:r>
      <w:r>
        <w:rPr>
          <w:lang w:val="fr-FR"/>
        </w:rPr>
        <w:t>e</w:t>
      </w:r>
      <w:r w:rsidRPr="00976C24">
        <w:rPr>
          <w:lang w:val="fr-FR"/>
        </w:rPr>
        <w:t>t pour les femmes et les enfants victimes d’exploitation sexuelle dans la Région des Grands Lacs.</w:t>
      </w:r>
    </w:p>
    <w:p w:rsidR="00903547" w:rsidRPr="00976C24" w:rsidRDefault="00903547" w:rsidP="00F71CE7">
      <w:pPr>
        <w:pStyle w:val="H23G"/>
        <w:numPr>
          <w:ilvl w:val="1"/>
          <w:numId w:val="12"/>
        </w:numPr>
        <w:tabs>
          <w:tab w:val="clear" w:pos="2649"/>
          <w:tab w:val="num" w:pos="1100"/>
        </w:tabs>
        <w:ind w:hanging="1949"/>
        <w:rPr>
          <w:lang w:val="fr-FR"/>
        </w:rPr>
      </w:pPr>
      <w:r w:rsidRPr="00976C24">
        <w:rPr>
          <w:lang w:val="fr-FR"/>
        </w:rPr>
        <w:t>Eau</w:t>
      </w:r>
    </w:p>
    <w:p w:rsidR="00903547" w:rsidRPr="00976C24" w:rsidRDefault="00903547" w:rsidP="00401FC0">
      <w:pPr>
        <w:pStyle w:val="SingleTxtG"/>
        <w:rPr>
          <w:lang w:val="fr-FR"/>
        </w:rPr>
      </w:pPr>
      <w:r>
        <w:rPr>
          <w:lang w:val="fr-FR"/>
        </w:rPr>
        <w:t>26.</w:t>
      </w:r>
      <w:r>
        <w:rPr>
          <w:lang w:val="fr-FR"/>
        </w:rPr>
        <w:tab/>
      </w:r>
      <w:r w:rsidRPr="00976C24">
        <w:rPr>
          <w:lang w:val="fr-FR"/>
        </w:rPr>
        <w:t>La Norvège apporte son concours financier et technique à différents projets touchant à l’eau comme l’Initiative pour l</w:t>
      </w:r>
      <w:r>
        <w:rPr>
          <w:lang w:val="fr-FR"/>
        </w:rPr>
        <w:t>e bassin du Nil destinée à établir</w:t>
      </w:r>
      <w:r w:rsidRPr="00976C24">
        <w:rPr>
          <w:lang w:val="fr-FR"/>
        </w:rPr>
        <w:t xml:space="preserve"> une structure de gestion intergouvernementale propre à assurer </w:t>
      </w:r>
      <w:r>
        <w:rPr>
          <w:lang w:val="fr-FR"/>
        </w:rPr>
        <w:t>une</w:t>
      </w:r>
      <w:r w:rsidRPr="00976C24">
        <w:rPr>
          <w:lang w:val="fr-FR"/>
        </w:rPr>
        <w:t xml:space="preserve"> distribution équitable de</w:t>
      </w:r>
      <w:r>
        <w:rPr>
          <w:lang w:val="fr-FR"/>
        </w:rPr>
        <w:t xml:space="preserve"> l’</w:t>
      </w:r>
      <w:r w:rsidRPr="00976C24">
        <w:rPr>
          <w:lang w:val="fr-FR"/>
        </w:rPr>
        <w:t xml:space="preserve">eau. </w:t>
      </w:r>
    </w:p>
    <w:p w:rsidR="00903547" w:rsidRPr="00976C24" w:rsidRDefault="00903547" w:rsidP="00401FC0">
      <w:pPr>
        <w:pStyle w:val="SingleTxtG"/>
        <w:rPr>
          <w:lang w:val="fr-FR"/>
        </w:rPr>
      </w:pPr>
      <w:r>
        <w:rPr>
          <w:lang w:val="fr-FR"/>
        </w:rPr>
        <w:t>27.</w:t>
      </w:r>
      <w:r>
        <w:rPr>
          <w:lang w:val="fr-FR"/>
        </w:rPr>
        <w:tab/>
        <w:t>Parmi les mesures</w:t>
      </w:r>
      <w:r w:rsidRPr="00976C24">
        <w:rPr>
          <w:lang w:val="fr-FR"/>
        </w:rPr>
        <w:t xml:space="preserve"> soutenues par la Norvège </w:t>
      </w:r>
      <w:r>
        <w:rPr>
          <w:lang w:val="fr-FR"/>
        </w:rPr>
        <w:t>on peut citer</w:t>
      </w:r>
      <w:r w:rsidRPr="00976C24">
        <w:rPr>
          <w:lang w:val="fr-FR"/>
        </w:rPr>
        <w:t xml:space="preserve"> le projet de </w:t>
      </w:r>
      <w:r>
        <w:rPr>
          <w:lang w:val="fr-FR"/>
        </w:rPr>
        <w:t>centrale hydroélectrique</w:t>
      </w:r>
      <w:r w:rsidRPr="00976C24">
        <w:rPr>
          <w:lang w:val="fr-FR"/>
        </w:rPr>
        <w:t xml:space="preserve"> </w:t>
      </w:r>
      <w:r>
        <w:rPr>
          <w:lang w:val="fr-FR"/>
        </w:rPr>
        <w:t>sur</w:t>
      </w:r>
      <w:r w:rsidRPr="00976C24">
        <w:rPr>
          <w:lang w:val="fr-FR"/>
        </w:rPr>
        <w:t xml:space="preserve"> le Zambèze</w:t>
      </w:r>
      <w:r>
        <w:rPr>
          <w:lang w:val="fr-FR"/>
        </w:rPr>
        <w:t>,</w:t>
      </w:r>
      <w:r w:rsidRPr="00976C24">
        <w:rPr>
          <w:lang w:val="fr-FR"/>
        </w:rPr>
        <w:t xml:space="preserve"> en Afrique australe</w:t>
      </w:r>
      <w:r>
        <w:rPr>
          <w:lang w:val="fr-FR"/>
        </w:rPr>
        <w:t>,</w:t>
      </w:r>
      <w:r w:rsidRPr="00976C24">
        <w:rPr>
          <w:lang w:val="fr-FR"/>
        </w:rPr>
        <w:t xml:space="preserve"> et l’Initiative pour l’eau en Asie du Sud. </w:t>
      </w:r>
      <w:r>
        <w:rPr>
          <w:lang w:val="fr-FR"/>
        </w:rPr>
        <w:t>L</w:t>
      </w:r>
      <w:r w:rsidRPr="00976C24">
        <w:rPr>
          <w:lang w:val="fr-FR"/>
        </w:rPr>
        <w:t xml:space="preserve">a Norvège </w:t>
      </w:r>
      <w:r>
        <w:rPr>
          <w:lang w:val="fr-FR"/>
        </w:rPr>
        <w:t>soutient</w:t>
      </w:r>
      <w:r w:rsidRPr="00976C24">
        <w:rPr>
          <w:lang w:val="fr-FR"/>
        </w:rPr>
        <w:t xml:space="preserve"> l’Autorité palestinienne </w:t>
      </w:r>
      <w:r>
        <w:rPr>
          <w:lang w:val="fr-FR"/>
        </w:rPr>
        <w:t xml:space="preserve">depuis 1994 </w:t>
      </w:r>
      <w:r w:rsidRPr="00976C24">
        <w:rPr>
          <w:lang w:val="fr-FR"/>
        </w:rPr>
        <w:t xml:space="preserve">et </w:t>
      </w:r>
      <w:r>
        <w:rPr>
          <w:lang w:val="fr-FR"/>
        </w:rPr>
        <w:t xml:space="preserve">l’aide à </w:t>
      </w:r>
      <w:r w:rsidRPr="00976C24">
        <w:rPr>
          <w:lang w:val="fr-FR"/>
        </w:rPr>
        <w:t>renforce</w:t>
      </w:r>
      <w:r>
        <w:rPr>
          <w:lang w:val="fr-FR"/>
        </w:rPr>
        <w:t>r</w:t>
      </w:r>
      <w:r w:rsidRPr="00976C24">
        <w:rPr>
          <w:lang w:val="fr-FR"/>
        </w:rPr>
        <w:t xml:space="preserve"> </w:t>
      </w:r>
      <w:r>
        <w:rPr>
          <w:lang w:val="fr-FR"/>
        </w:rPr>
        <w:t>sa capacité</w:t>
      </w:r>
      <w:r w:rsidRPr="00976C24">
        <w:rPr>
          <w:lang w:val="fr-FR"/>
        </w:rPr>
        <w:t xml:space="preserve"> à gérer les ressources en eau. </w:t>
      </w:r>
    </w:p>
    <w:p w:rsidR="00903547" w:rsidRPr="00976C24" w:rsidRDefault="00903547" w:rsidP="0071086E">
      <w:pPr>
        <w:pStyle w:val="H23G"/>
        <w:rPr>
          <w:lang w:val="fr-FR"/>
        </w:rPr>
      </w:pPr>
      <w:r w:rsidRPr="00976C24">
        <w:rPr>
          <w:lang w:val="fr-FR"/>
        </w:rPr>
        <w:tab/>
      </w:r>
      <w:bookmarkStart w:id="14" w:name="_Toc286326347"/>
      <w:r w:rsidRPr="00976C24">
        <w:rPr>
          <w:lang w:val="fr-FR"/>
        </w:rPr>
        <w:t>f)</w:t>
      </w:r>
      <w:r w:rsidRPr="00976C24">
        <w:rPr>
          <w:lang w:val="fr-FR"/>
        </w:rPr>
        <w:tab/>
        <w:t>Crise financière</w:t>
      </w:r>
      <w:bookmarkEnd w:id="14"/>
    </w:p>
    <w:p w:rsidR="00903547" w:rsidRPr="00976C24" w:rsidRDefault="00903547" w:rsidP="00401FC0">
      <w:pPr>
        <w:pStyle w:val="SingleTxtG"/>
        <w:rPr>
          <w:lang w:val="fr-FR"/>
        </w:rPr>
      </w:pPr>
      <w:r>
        <w:rPr>
          <w:lang w:val="fr-FR"/>
        </w:rPr>
        <w:t>28.</w:t>
      </w:r>
      <w:r>
        <w:rPr>
          <w:lang w:val="fr-FR"/>
        </w:rPr>
        <w:tab/>
        <w:t>La Norvège a réagi sans attendre</w:t>
      </w:r>
      <w:r w:rsidRPr="00243F5A">
        <w:rPr>
          <w:lang w:val="fr-FR"/>
        </w:rPr>
        <w:t xml:space="preserve"> </w:t>
      </w:r>
      <w:r>
        <w:rPr>
          <w:lang w:val="fr-FR"/>
        </w:rPr>
        <w:t>à</w:t>
      </w:r>
      <w:r w:rsidRPr="00976C24">
        <w:rPr>
          <w:lang w:val="fr-FR"/>
        </w:rPr>
        <w:t xml:space="preserve"> la crise financière</w:t>
      </w:r>
      <w:r>
        <w:rPr>
          <w:lang w:val="fr-FR"/>
        </w:rPr>
        <w:t xml:space="preserve"> </w:t>
      </w:r>
      <w:r w:rsidRPr="00976C24">
        <w:rPr>
          <w:lang w:val="fr-FR"/>
        </w:rPr>
        <w:t>–</w:t>
      </w:r>
      <w:r>
        <w:rPr>
          <w:lang w:val="fr-FR"/>
        </w:rPr>
        <w:t xml:space="preserve"> d</w:t>
      </w:r>
      <w:r w:rsidRPr="00976C24">
        <w:rPr>
          <w:lang w:val="fr-FR"/>
        </w:rPr>
        <w:t>ès 2009</w:t>
      </w:r>
      <w:r>
        <w:rPr>
          <w:lang w:val="fr-FR"/>
        </w:rPr>
        <w:t xml:space="preserve"> </w:t>
      </w:r>
      <w:r w:rsidRPr="00976C24">
        <w:rPr>
          <w:lang w:val="fr-FR"/>
        </w:rPr>
        <w:t>–</w:t>
      </w:r>
      <w:r>
        <w:rPr>
          <w:lang w:val="fr-FR"/>
        </w:rPr>
        <w:t>,</w:t>
      </w:r>
      <w:r w:rsidRPr="00976C24">
        <w:rPr>
          <w:lang w:val="fr-FR"/>
        </w:rPr>
        <w:t xml:space="preserve"> </w:t>
      </w:r>
      <w:r>
        <w:rPr>
          <w:lang w:val="fr-FR"/>
        </w:rPr>
        <w:t xml:space="preserve">notamment en dégageant </w:t>
      </w:r>
      <w:r w:rsidRPr="00976C24">
        <w:rPr>
          <w:lang w:val="fr-FR"/>
        </w:rPr>
        <w:t>200</w:t>
      </w:r>
      <w:r>
        <w:rPr>
          <w:lang w:val="fr-FR"/>
        </w:rPr>
        <w:t> </w:t>
      </w:r>
      <w:r w:rsidRPr="00976C24">
        <w:rPr>
          <w:lang w:val="fr-FR"/>
        </w:rPr>
        <w:t>millions de couronnes</w:t>
      </w:r>
      <w:r>
        <w:rPr>
          <w:lang w:val="fr-FR"/>
        </w:rPr>
        <w:t xml:space="preserve"> supplémentaires en faveur des</w:t>
      </w:r>
      <w:r w:rsidRPr="00976C24">
        <w:rPr>
          <w:lang w:val="fr-FR"/>
        </w:rPr>
        <w:t xml:space="preserve"> pays les moins </w:t>
      </w:r>
      <w:r>
        <w:rPr>
          <w:lang w:val="fr-FR"/>
        </w:rPr>
        <w:t>capables d’</w:t>
      </w:r>
      <w:r w:rsidRPr="00976C24">
        <w:rPr>
          <w:lang w:val="fr-FR"/>
        </w:rPr>
        <w:t>affronter la crise</w:t>
      </w:r>
      <w:r>
        <w:rPr>
          <w:lang w:val="fr-FR"/>
        </w:rPr>
        <w:t>,</w:t>
      </w:r>
      <w:r w:rsidRPr="00976C24">
        <w:rPr>
          <w:lang w:val="fr-FR"/>
        </w:rPr>
        <w:t xml:space="preserve"> par le biais du budget consacré au développement. </w:t>
      </w:r>
      <w:r>
        <w:rPr>
          <w:lang w:val="fr-FR"/>
        </w:rPr>
        <w:t>Sur ce montant, 20</w:t>
      </w:r>
      <w:r w:rsidRPr="00976C24">
        <w:rPr>
          <w:lang w:val="fr-FR"/>
        </w:rPr>
        <w:t xml:space="preserve"> millions de couronnes </w:t>
      </w:r>
      <w:r>
        <w:rPr>
          <w:lang w:val="fr-FR"/>
        </w:rPr>
        <w:t>ont transité par le</w:t>
      </w:r>
      <w:r w:rsidRPr="00976C24">
        <w:rPr>
          <w:lang w:val="fr-FR"/>
        </w:rPr>
        <w:t xml:space="preserve"> Programme alimentaire mondial. Selon la Banque mondiale, l’Afrique sera la plus durement frappée par la crise financière. Les fonds norvégiens visent également à aider les groupes </w:t>
      </w:r>
      <w:r>
        <w:rPr>
          <w:lang w:val="fr-FR"/>
        </w:rPr>
        <w:t xml:space="preserve">particulièrement </w:t>
      </w:r>
      <w:r w:rsidRPr="00976C24">
        <w:rPr>
          <w:lang w:val="fr-FR"/>
        </w:rPr>
        <w:t xml:space="preserve">vulnérables </w:t>
      </w:r>
      <w:r>
        <w:rPr>
          <w:lang w:val="fr-FR"/>
        </w:rPr>
        <w:t>comme</w:t>
      </w:r>
      <w:r w:rsidRPr="00976C24">
        <w:rPr>
          <w:lang w:val="fr-FR"/>
        </w:rPr>
        <w:t xml:space="preserve"> les réfugiés et les personnes déplacées. Le Gouvernement a par ailleurs accru de 50</w:t>
      </w:r>
      <w:r>
        <w:rPr>
          <w:lang w:val="fr-FR"/>
        </w:rPr>
        <w:t> </w:t>
      </w:r>
      <w:r w:rsidRPr="00976C24">
        <w:rPr>
          <w:lang w:val="fr-FR"/>
        </w:rPr>
        <w:t>millions sa contribution à l’UNICEF</w:t>
      </w:r>
      <w:r>
        <w:rPr>
          <w:lang w:val="fr-FR"/>
        </w:rPr>
        <w:t>, qui s’élève désormais à</w:t>
      </w:r>
      <w:r w:rsidRPr="00976C24">
        <w:rPr>
          <w:lang w:val="fr-FR"/>
        </w:rPr>
        <w:t xml:space="preserve"> 450</w:t>
      </w:r>
      <w:r>
        <w:rPr>
          <w:lang w:val="fr-FR"/>
        </w:rPr>
        <w:t> </w:t>
      </w:r>
      <w:r w:rsidRPr="00976C24">
        <w:rPr>
          <w:lang w:val="fr-FR"/>
        </w:rPr>
        <w:t>millions</w:t>
      </w:r>
      <w:r>
        <w:rPr>
          <w:lang w:val="fr-FR"/>
        </w:rPr>
        <w:t xml:space="preserve"> de couronnes</w:t>
      </w:r>
      <w:r w:rsidRPr="00976C24">
        <w:rPr>
          <w:lang w:val="fr-FR"/>
        </w:rPr>
        <w:t xml:space="preserve">, les enfants étant </w:t>
      </w:r>
      <w:r>
        <w:rPr>
          <w:lang w:val="fr-FR"/>
        </w:rPr>
        <w:t>souvent</w:t>
      </w:r>
      <w:r w:rsidRPr="00976C24">
        <w:rPr>
          <w:lang w:val="fr-FR"/>
        </w:rPr>
        <w:t xml:space="preserve"> </w:t>
      </w:r>
      <w:r>
        <w:rPr>
          <w:lang w:val="fr-FR"/>
        </w:rPr>
        <w:t>gravement</w:t>
      </w:r>
      <w:r w:rsidRPr="00976C24">
        <w:rPr>
          <w:lang w:val="fr-FR"/>
        </w:rPr>
        <w:t xml:space="preserve"> touchés </w:t>
      </w:r>
      <w:r>
        <w:rPr>
          <w:lang w:val="fr-FR"/>
        </w:rPr>
        <w:t>pendant</w:t>
      </w:r>
      <w:r w:rsidRPr="00976C24">
        <w:rPr>
          <w:lang w:val="fr-FR"/>
        </w:rPr>
        <w:t xml:space="preserve"> les périodes de turbulences économiques.</w:t>
      </w:r>
    </w:p>
    <w:p w:rsidR="00903547" w:rsidRPr="00976C24" w:rsidRDefault="00903547" w:rsidP="00401FC0">
      <w:pPr>
        <w:pStyle w:val="SingleTxtG"/>
        <w:rPr>
          <w:lang w:val="fr-FR"/>
        </w:rPr>
      </w:pPr>
      <w:r>
        <w:rPr>
          <w:lang w:val="fr-FR"/>
        </w:rPr>
        <w:t>29.</w:t>
      </w:r>
      <w:r>
        <w:rPr>
          <w:lang w:val="fr-FR"/>
        </w:rPr>
        <w:tab/>
        <w:t>Il est de plus en plus admis qu’u</w:t>
      </w:r>
      <w:r w:rsidRPr="00976C24">
        <w:rPr>
          <w:lang w:val="fr-FR"/>
        </w:rPr>
        <w:t xml:space="preserve">n travail décent </w:t>
      </w:r>
      <w:r>
        <w:rPr>
          <w:lang w:val="fr-FR"/>
        </w:rPr>
        <w:t xml:space="preserve">joue un rôle déterminant dans </w:t>
      </w:r>
      <w:r w:rsidRPr="00976C24">
        <w:rPr>
          <w:lang w:val="fr-FR"/>
        </w:rPr>
        <w:t xml:space="preserve">toute stratégie </w:t>
      </w:r>
      <w:r>
        <w:rPr>
          <w:lang w:val="fr-FR"/>
        </w:rPr>
        <w:t>contre</w:t>
      </w:r>
      <w:r w:rsidRPr="00976C24">
        <w:rPr>
          <w:lang w:val="fr-FR"/>
        </w:rPr>
        <w:t xml:space="preserve"> la crise financière. La Norvège </w:t>
      </w:r>
      <w:r>
        <w:rPr>
          <w:lang w:val="fr-FR"/>
        </w:rPr>
        <w:t>contribue largement a</w:t>
      </w:r>
      <w:r w:rsidRPr="00976C24">
        <w:rPr>
          <w:lang w:val="fr-FR"/>
        </w:rPr>
        <w:t>u Programme pour un travail décent de l’OIT</w:t>
      </w:r>
      <w:r>
        <w:rPr>
          <w:lang w:val="fr-FR"/>
        </w:rPr>
        <w:t>, comptant</w:t>
      </w:r>
      <w:r w:rsidRPr="00976C24">
        <w:rPr>
          <w:lang w:val="fr-FR"/>
        </w:rPr>
        <w:t xml:space="preserve"> parmi les cinq principaux donateurs en termes de contributions volontaires avec plus de 160</w:t>
      </w:r>
      <w:r>
        <w:rPr>
          <w:lang w:val="fr-FR"/>
        </w:rPr>
        <w:t> millions de couronnes en 2008-</w:t>
      </w:r>
      <w:r w:rsidRPr="00976C24">
        <w:rPr>
          <w:lang w:val="fr-FR"/>
        </w:rPr>
        <w:t>2009.</w:t>
      </w:r>
    </w:p>
    <w:p w:rsidR="00903547" w:rsidRPr="00976C24" w:rsidRDefault="00903547" w:rsidP="0071086E">
      <w:pPr>
        <w:pStyle w:val="H23G"/>
        <w:rPr>
          <w:lang w:val="fr-FR"/>
        </w:rPr>
      </w:pPr>
      <w:r w:rsidRPr="00976C24">
        <w:rPr>
          <w:lang w:val="fr-FR"/>
        </w:rPr>
        <w:tab/>
      </w:r>
      <w:bookmarkStart w:id="15" w:name="_Toc286326348"/>
      <w:r w:rsidRPr="00976C24">
        <w:rPr>
          <w:lang w:val="fr-FR"/>
        </w:rPr>
        <w:t>g)</w:t>
      </w:r>
      <w:r w:rsidRPr="00976C24">
        <w:rPr>
          <w:lang w:val="fr-FR"/>
        </w:rPr>
        <w:tab/>
        <w:t>Aide humanitaire</w:t>
      </w:r>
      <w:bookmarkEnd w:id="15"/>
    </w:p>
    <w:p w:rsidR="00903547" w:rsidRPr="00976C24" w:rsidRDefault="00903547" w:rsidP="00401FC0">
      <w:pPr>
        <w:pStyle w:val="SingleTxtG"/>
        <w:rPr>
          <w:lang w:val="fr-FR"/>
        </w:rPr>
      </w:pPr>
      <w:r>
        <w:rPr>
          <w:lang w:val="fr-FR"/>
        </w:rPr>
        <w:t>30.</w:t>
      </w:r>
      <w:r>
        <w:rPr>
          <w:lang w:val="fr-FR"/>
        </w:rPr>
        <w:tab/>
      </w:r>
      <w:r w:rsidRPr="00976C24">
        <w:rPr>
          <w:lang w:val="fr-FR"/>
        </w:rPr>
        <w:t>Dans son budget révisé pour 2010, le Gouvernement a proposé une augmentation des fonds alloués à Haïti pour l</w:t>
      </w:r>
      <w:r>
        <w:rPr>
          <w:lang w:val="fr-FR"/>
        </w:rPr>
        <w:t>a</w:t>
      </w:r>
      <w:r w:rsidRPr="00976C24">
        <w:rPr>
          <w:lang w:val="fr-FR"/>
        </w:rPr>
        <w:t xml:space="preserve"> reconstruction </w:t>
      </w:r>
      <w:r>
        <w:rPr>
          <w:lang w:val="fr-FR"/>
        </w:rPr>
        <w:t>dans le but de renforcer et</w:t>
      </w:r>
      <w:r w:rsidRPr="00976C24">
        <w:rPr>
          <w:lang w:val="fr-FR"/>
        </w:rPr>
        <w:t xml:space="preserve"> stabiliser le pays</w:t>
      </w:r>
      <w:r>
        <w:rPr>
          <w:lang w:val="fr-FR"/>
        </w:rPr>
        <w:t xml:space="preserve"> et a affecté</w:t>
      </w:r>
      <w:r w:rsidRPr="00976C24">
        <w:rPr>
          <w:lang w:val="fr-FR"/>
        </w:rPr>
        <w:t xml:space="preserve"> 325</w:t>
      </w:r>
      <w:r>
        <w:rPr>
          <w:lang w:val="fr-FR"/>
        </w:rPr>
        <w:t> </w:t>
      </w:r>
      <w:r w:rsidRPr="00976C24">
        <w:rPr>
          <w:lang w:val="fr-FR"/>
        </w:rPr>
        <w:t xml:space="preserve">millions de couronnes à cette fin en 2010. Au total, la Norvège </w:t>
      </w:r>
      <w:r>
        <w:rPr>
          <w:lang w:val="fr-FR"/>
        </w:rPr>
        <w:t>s’est engagée à verser</w:t>
      </w:r>
      <w:r w:rsidRPr="00976C24">
        <w:rPr>
          <w:lang w:val="fr-FR"/>
        </w:rPr>
        <w:t xml:space="preserve"> 800 millions de couronnes d’aide à Haïti </w:t>
      </w:r>
      <w:r>
        <w:rPr>
          <w:lang w:val="fr-FR"/>
        </w:rPr>
        <w:t>d’ici à</w:t>
      </w:r>
      <w:r w:rsidRPr="00976C24">
        <w:rPr>
          <w:lang w:val="fr-FR"/>
        </w:rPr>
        <w:t xml:space="preserve"> 2014.</w:t>
      </w:r>
    </w:p>
    <w:p w:rsidR="00903547" w:rsidRPr="00976C24" w:rsidRDefault="00903547" w:rsidP="0071086E">
      <w:pPr>
        <w:pStyle w:val="H23G"/>
        <w:rPr>
          <w:lang w:val="fr-FR"/>
        </w:rPr>
      </w:pPr>
      <w:r w:rsidRPr="00976C24">
        <w:rPr>
          <w:lang w:val="fr-FR"/>
        </w:rPr>
        <w:tab/>
      </w:r>
      <w:bookmarkStart w:id="16" w:name="_Toc286326349"/>
      <w:r w:rsidRPr="00976C24">
        <w:rPr>
          <w:lang w:val="fr-FR"/>
        </w:rPr>
        <w:t>h)</w:t>
      </w:r>
      <w:r w:rsidRPr="00976C24">
        <w:rPr>
          <w:lang w:val="fr-FR"/>
        </w:rPr>
        <w:tab/>
      </w:r>
      <w:r>
        <w:rPr>
          <w:lang w:val="fr-FR"/>
        </w:rPr>
        <w:t>Changements climatiques</w:t>
      </w:r>
      <w:r w:rsidRPr="00976C24">
        <w:rPr>
          <w:lang w:val="fr-FR"/>
        </w:rPr>
        <w:t>, développement durable</w:t>
      </w:r>
      <w:bookmarkEnd w:id="16"/>
    </w:p>
    <w:p w:rsidR="00903547" w:rsidRPr="00976C24" w:rsidRDefault="00903547" w:rsidP="00401FC0">
      <w:pPr>
        <w:pStyle w:val="SingleTxtG"/>
        <w:rPr>
          <w:lang w:val="fr-FR"/>
        </w:rPr>
      </w:pPr>
      <w:r>
        <w:rPr>
          <w:lang w:val="fr-FR"/>
        </w:rPr>
        <w:t>31.</w:t>
      </w:r>
      <w:r>
        <w:rPr>
          <w:lang w:val="fr-FR"/>
        </w:rPr>
        <w:tab/>
      </w:r>
      <w:r w:rsidRPr="00976C24">
        <w:rPr>
          <w:lang w:val="fr-FR"/>
        </w:rPr>
        <w:t xml:space="preserve">La Norvège a annoncé </w:t>
      </w:r>
      <w:r>
        <w:rPr>
          <w:lang w:val="fr-FR"/>
        </w:rPr>
        <w:t>son intention d’allouer</w:t>
      </w:r>
      <w:r w:rsidRPr="00976C24">
        <w:rPr>
          <w:lang w:val="fr-FR"/>
        </w:rPr>
        <w:t xml:space="preserve"> 3 milliards de couronnes </w:t>
      </w:r>
      <w:r>
        <w:rPr>
          <w:lang w:val="fr-FR"/>
        </w:rPr>
        <w:t>au</w:t>
      </w:r>
      <w:r w:rsidRPr="00976C24">
        <w:rPr>
          <w:lang w:val="fr-FR"/>
        </w:rPr>
        <w:t xml:space="preserve"> reboisement, en particulier par le biais de l’Initiative internationale sur le climat et les forêts. </w:t>
      </w:r>
      <w:r>
        <w:rPr>
          <w:lang w:val="fr-FR"/>
        </w:rPr>
        <w:t>Elle</w:t>
      </w:r>
      <w:r w:rsidRPr="00976C24">
        <w:rPr>
          <w:lang w:val="fr-FR"/>
        </w:rPr>
        <w:t xml:space="preserve"> en</w:t>
      </w:r>
      <w:r>
        <w:rPr>
          <w:lang w:val="fr-FR"/>
        </w:rPr>
        <w:t>gage</w:t>
      </w:r>
      <w:r w:rsidRPr="00976C24">
        <w:rPr>
          <w:lang w:val="fr-FR"/>
        </w:rPr>
        <w:t xml:space="preserve"> ses partenaires </w:t>
      </w:r>
      <w:r>
        <w:rPr>
          <w:lang w:val="fr-FR"/>
        </w:rPr>
        <w:t xml:space="preserve">de projet </w:t>
      </w:r>
      <w:r w:rsidRPr="00976C24">
        <w:rPr>
          <w:lang w:val="fr-FR"/>
        </w:rPr>
        <w:t xml:space="preserve">à consulter et à faire participer les peuples autochtones </w:t>
      </w:r>
      <w:r>
        <w:rPr>
          <w:lang w:val="fr-FR"/>
        </w:rPr>
        <w:t>des</w:t>
      </w:r>
      <w:r w:rsidRPr="00976C24">
        <w:rPr>
          <w:lang w:val="fr-FR"/>
        </w:rPr>
        <w:t xml:space="preserve"> forêts</w:t>
      </w:r>
      <w:r>
        <w:rPr>
          <w:lang w:val="fr-FR"/>
        </w:rPr>
        <w:t xml:space="preserve"> à cette opération</w:t>
      </w:r>
      <w:r w:rsidRPr="00976C24">
        <w:rPr>
          <w:lang w:val="fr-FR"/>
        </w:rPr>
        <w:t>.</w:t>
      </w:r>
    </w:p>
    <w:p w:rsidR="00903547" w:rsidRPr="00976C24" w:rsidRDefault="00903547" w:rsidP="0071086E">
      <w:pPr>
        <w:pStyle w:val="H23G"/>
        <w:ind w:firstLine="0"/>
        <w:rPr>
          <w:bCs/>
          <w:i/>
          <w:iCs/>
          <w:lang w:val="fr-FR"/>
        </w:rPr>
      </w:pPr>
      <w:r w:rsidRPr="00976C24">
        <w:rPr>
          <w:bCs/>
          <w:iCs/>
          <w:lang w:val="fr-FR"/>
        </w:rPr>
        <w:t xml:space="preserve">Réponse aux suggestions et recommandations formulées au </w:t>
      </w:r>
      <w:r w:rsidRPr="00976C24">
        <w:rPr>
          <w:lang w:val="fr-FR"/>
        </w:rPr>
        <w:t xml:space="preserve">paragraphe 26 des observations finales concernant la </w:t>
      </w:r>
      <w:r>
        <w:rPr>
          <w:lang w:val="fr-FR"/>
        </w:rPr>
        <w:t>prise en considération</w:t>
      </w:r>
      <w:r w:rsidRPr="00976C24">
        <w:rPr>
          <w:lang w:val="fr-FR"/>
        </w:rPr>
        <w:t xml:space="preserve"> des droits et opinions du peuple sami dans le cadre de la loi sur le Finnmark</w:t>
      </w:r>
      <w:r w:rsidRPr="00976C24">
        <w:rPr>
          <w:bCs/>
          <w:i/>
          <w:iCs/>
          <w:lang w:val="fr-FR"/>
        </w:rPr>
        <w:t xml:space="preserve"> </w:t>
      </w:r>
    </w:p>
    <w:p w:rsidR="00903547" w:rsidRPr="00976C24" w:rsidRDefault="00903547" w:rsidP="00401FC0">
      <w:pPr>
        <w:pStyle w:val="SingleTxtG"/>
        <w:rPr>
          <w:lang w:val="fr-FR"/>
        </w:rPr>
      </w:pPr>
      <w:r>
        <w:rPr>
          <w:lang w:val="fr-FR"/>
        </w:rPr>
        <w:t>32.</w:t>
      </w:r>
      <w:r>
        <w:rPr>
          <w:lang w:val="fr-FR"/>
        </w:rPr>
        <w:tab/>
      </w:r>
      <w:r w:rsidRPr="00976C24">
        <w:rPr>
          <w:lang w:val="fr-FR"/>
        </w:rPr>
        <w:t xml:space="preserve">Le Comité pourra se reporter au sixième rapport périodique de la Norvège </w:t>
      </w:r>
      <w:r>
        <w:rPr>
          <w:lang w:val="fr-FR"/>
        </w:rPr>
        <w:t xml:space="preserve">soumis </w:t>
      </w:r>
      <w:r w:rsidRPr="00976C24">
        <w:rPr>
          <w:lang w:val="fr-FR"/>
        </w:rPr>
        <w:t xml:space="preserve">au Comité des droits de l’homme </w:t>
      </w:r>
      <w:r>
        <w:rPr>
          <w:lang w:val="fr-FR"/>
        </w:rPr>
        <w:t>en vertu du Pacte international relatif aux droits civils et politiques (CCPR/C/NOR/6), à l’article 2.1 du</w:t>
      </w:r>
      <w:r w:rsidRPr="00976C24">
        <w:rPr>
          <w:lang w:val="fr-FR"/>
        </w:rPr>
        <w:t xml:space="preserve"> rapport de la Norvège sur </w:t>
      </w:r>
      <w:r>
        <w:rPr>
          <w:lang w:val="fr-FR"/>
        </w:rPr>
        <w:t>l’application de la Convention n</w:t>
      </w:r>
      <w:r w:rsidRPr="00EB3798">
        <w:rPr>
          <w:vertAlign w:val="superscript"/>
          <w:lang w:val="fr-FR"/>
        </w:rPr>
        <w:t>o</w:t>
      </w:r>
      <w:r>
        <w:rPr>
          <w:lang w:val="fr-FR"/>
        </w:rPr>
        <w:t> </w:t>
      </w:r>
      <w:r w:rsidRPr="00976C24">
        <w:rPr>
          <w:lang w:val="fr-FR"/>
        </w:rPr>
        <w:t xml:space="preserve">169 de l’OIT concernant les peuples indigènes et tribaux, et </w:t>
      </w:r>
      <w:r>
        <w:rPr>
          <w:lang w:val="fr-FR"/>
        </w:rPr>
        <w:t>aux</w:t>
      </w:r>
      <w:r w:rsidRPr="00976C24">
        <w:rPr>
          <w:lang w:val="fr-FR"/>
        </w:rPr>
        <w:t xml:space="preserve"> paragraphes 18 et 19</w:t>
      </w:r>
      <w:r>
        <w:rPr>
          <w:lang w:val="fr-FR"/>
        </w:rPr>
        <w:t xml:space="preserve"> des </w:t>
      </w:r>
      <w:r w:rsidRPr="00976C24">
        <w:rPr>
          <w:lang w:val="fr-FR"/>
        </w:rPr>
        <w:t xml:space="preserve">dix-neuvième et vingtième rapports soumis en vertu de la Convention internationale sur l’élimination de toutes les formes de discrimination raciale (CERD/C/NOR/19-20). </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27 des observations finales</w:t>
      </w:r>
    </w:p>
    <w:p w:rsidR="00903547" w:rsidRPr="00976C24" w:rsidRDefault="00903547" w:rsidP="00401FC0">
      <w:pPr>
        <w:pStyle w:val="SingleTxtG"/>
        <w:rPr>
          <w:lang w:val="fr-FR"/>
        </w:rPr>
      </w:pPr>
      <w:r>
        <w:rPr>
          <w:lang w:val="fr-FR"/>
        </w:rPr>
        <w:t>33.</w:t>
      </w:r>
      <w:r>
        <w:rPr>
          <w:lang w:val="fr-FR"/>
        </w:rPr>
        <w:tab/>
      </w:r>
      <w:r w:rsidRPr="00976C24">
        <w:rPr>
          <w:lang w:val="fr-FR"/>
        </w:rPr>
        <w:t>Le Comité pourra se reporter au</w:t>
      </w:r>
      <w:r>
        <w:rPr>
          <w:lang w:val="fr-FR"/>
        </w:rPr>
        <w:t xml:space="preserve">x </w:t>
      </w:r>
      <w:r w:rsidRPr="00976C24">
        <w:rPr>
          <w:lang w:val="fr-FR"/>
        </w:rPr>
        <w:t>paragraphes 184</w:t>
      </w:r>
      <w:r>
        <w:rPr>
          <w:lang w:val="fr-FR"/>
        </w:rPr>
        <w:t xml:space="preserve"> à </w:t>
      </w:r>
      <w:r w:rsidRPr="00976C24">
        <w:rPr>
          <w:lang w:val="fr-FR"/>
        </w:rPr>
        <w:t>227</w:t>
      </w:r>
      <w:r>
        <w:rPr>
          <w:lang w:val="fr-FR"/>
        </w:rPr>
        <w:t xml:space="preserve"> du</w:t>
      </w:r>
      <w:r w:rsidRPr="00976C24">
        <w:rPr>
          <w:lang w:val="fr-FR"/>
        </w:rPr>
        <w:t xml:space="preserve"> document de base commun relatifs à la </w:t>
      </w:r>
      <w:r>
        <w:rPr>
          <w:lang w:val="fr-FR"/>
        </w:rPr>
        <w:t>protection</w:t>
      </w:r>
      <w:r w:rsidRPr="00976C24">
        <w:rPr>
          <w:lang w:val="fr-FR"/>
        </w:rPr>
        <w:t xml:space="preserve"> contre la discrimination et aux paragraphes 247</w:t>
      </w:r>
      <w:r>
        <w:rPr>
          <w:lang w:val="fr-FR"/>
        </w:rPr>
        <w:t xml:space="preserve"> à </w:t>
      </w:r>
      <w:r w:rsidRPr="00976C24">
        <w:rPr>
          <w:lang w:val="fr-FR"/>
        </w:rPr>
        <w:t>251 relatifs à l’égalité des droits des minorités ethniques, ainsi qu’aux paragraphes 59</w:t>
      </w:r>
      <w:r>
        <w:rPr>
          <w:lang w:val="fr-FR"/>
        </w:rPr>
        <w:t xml:space="preserve"> à </w:t>
      </w:r>
      <w:r w:rsidRPr="00976C24">
        <w:rPr>
          <w:lang w:val="fr-FR"/>
        </w:rPr>
        <w:t>67</w:t>
      </w:r>
      <w:r>
        <w:rPr>
          <w:lang w:val="fr-FR"/>
        </w:rPr>
        <w:t xml:space="preserve"> des </w:t>
      </w:r>
      <w:r w:rsidRPr="00976C24">
        <w:rPr>
          <w:lang w:val="fr-FR"/>
        </w:rPr>
        <w:t>dix-neuvième et vingtième rapports soumis en vertu de la Convention internationale sur l’élimination de toutes les formes de discrimination raciale</w:t>
      </w:r>
      <w:r>
        <w:rPr>
          <w:lang w:val="fr-FR"/>
        </w:rPr>
        <w:t xml:space="preserve"> </w:t>
      </w:r>
      <w:r w:rsidRPr="00976C24">
        <w:rPr>
          <w:lang w:val="fr-FR"/>
        </w:rPr>
        <w:t xml:space="preserve">concernant la lutte contre la discrimination ethnique. </w:t>
      </w:r>
    </w:p>
    <w:p w:rsidR="00903547" w:rsidRPr="00976C24" w:rsidRDefault="00903547" w:rsidP="00401FC0">
      <w:pPr>
        <w:pStyle w:val="SingleTxtG"/>
        <w:rPr>
          <w:lang w:val="fr-FR"/>
        </w:rPr>
      </w:pPr>
      <w:r>
        <w:rPr>
          <w:lang w:val="fr-FR"/>
        </w:rPr>
        <w:t>34.</w:t>
      </w:r>
      <w:r>
        <w:rPr>
          <w:lang w:val="fr-FR"/>
        </w:rPr>
        <w:tab/>
      </w:r>
      <w:r w:rsidRPr="00976C24">
        <w:rPr>
          <w:lang w:val="fr-FR"/>
        </w:rPr>
        <w:t>Le</w:t>
      </w:r>
      <w:r>
        <w:rPr>
          <w:lang w:val="fr-FR"/>
        </w:rPr>
        <w:t>s autorités ont récemment renforcé leur lutte contre la discrimination</w:t>
      </w:r>
      <w:r w:rsidRPr="00976C24">
        <w:rPr>
          <w:lang w:val="fr-FR"/>
        </w:rPr>
        <w:t xml:space="preserve"> </w:t>
      </w:r>
      <w:r>
        <w:rPr>
          <w:lang w:val="fr-FR"/>
        </w:rPr>
        <w:t>à l’égard de</w:t>
      </w:r>
      <w:r w:rsidRPr="00976C24">
        <w:rPr>
          <w:lang w:val="fr-FR"/>
        </w:rPr>
        <w:t xml:space="preserve">s personnes issues de l’immigration </w:t>
      </w:r>
      <w:r>
        <w:rPr>
          <w:lang w:val="fr-FR"/>
        </w:rPr>
        <w:t>avec l’adoption du</w:t>
      </w:r>
      <w:r w:rsidRPr="00976C24">
        <w:rPr>
          <w:lang w:val="fr-FR"/>
        </w:rPr>
        <w:t xml:space="preserve"> plan d’action visant à promouvoir l’égalité et à prévenir la discrimination ethnique</w:t>
      </w:r>
      <w:r w:rsidRPr="00976C24">
        <w:rPr>
          <w:i/>
          <w:lang w:val="fr-FR"/>
        </w:rPr>
        <w:t xml:space="preserve"> </w:t>
      </w:r>
      <w:r w:rsidRPr="00976C24">
        <w:rPr>
          <w:lang w:val="fr-FR"/>
        </w:rPr>
        <w:t>(2009</w:t>
      </w:r>
      <w:r>
        <w:rPr>
          <w:lang w:val="fr-FR"/>
        </w:rPr>
        <w:t>-</w:t>
      </w:r>
      <w:r w:rsidRPr="00976C24">
        <w:rPr>
          <w:lang w:val="fr-FR"/>
        </w:rPr>
        <w:t xml:space="preserve">2012). Le plan </w:t>
      </w:r>
      <w:r>
        <w:rPr>
          <w:lang w:val="fr-FR"/>
        </w:rPr>
        <w:t>met l’accent sur</w:t>
      </w:r>
      <w:r w:rsidRPr="00976C24">
        <w:rPr>
          <w:lang w:val="fr-FR"/>
        </w:rPr>
        <w:t xml:space="preserve"> des domaines tels que le marché </w:t>
      </w:r>
      <w:r>
        <w:rPr>
          <w:lang w:val="fr-FR"/>
        </w:rPr>
        <w:t>immobilier d’habitation</w:t>
      </w:r>
      <w:r w:rsidRPr="00976C24">
        <w:rPr>
          <w:lang w:val="fr-FR"/>
        </w:rPr>
        <w:t xml:space="preserve"> et la coopération avec les partenaires sociaux.</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28 des observations finales</w:t>
      </w:r>
    </w:p>
    <w:p w:rsidR="00903547" w:rsidRPr="00976C24" w:rsidRDefault="00903547" w:rsidP="00401FC0">
      <w:pPr>
        <w:pStyle w:val="SingleTxtG"/>
        <w:rPr>
          <w:lang w:val="fr-FR"/>
        </w:rPr>
      </w:pPr>
      <w:r>
        <w:rPr>
          <w:lang w:val="fr-FR"/>
        </w:rPr>
        <w:t>35.</w:t>
      </w:r>
      <w:r>
        <w:rPr>
          <w:lang w:val="fr-FR"/>
        </w:rPr>
        <w:tab/>
        <w:t>L</w:t>
      </w:r>
      <w:r w:rsidRPr="00976C24">
        <w:rPr>
          <w:lang w:val="fr-FR"/>
        </w:rPr>
        <w:t xml:space="preserve">e taux de chômage </w:t>
      </w:r>
      <w:r>
        <w:rPr>
          <w:lang w:val="fr-FR"/>
        </w:rPr>
        <w:t xml:space="preserve">de la Norvège </w:t>
      </w:r>
      <w:r w:rsidRPr="00976C24">
        <w:rPr>
          <w:lang w:val="fr-FR"/>
        </w:rPr>
        <w:t xml:space="preserve">est relativement bas. Néanmoins, le chômage étant trois fois plus élevé chez les immigrés que dans le reste de la population, </w:t>
      </w:r>
      <w:r>
        <w:rPr>
          <w:lang w:val="fr-FR"/>
        </w:rPr>
        <w:t>il reste</w:t>
      </w:r>
      <w:r w:rsidRPr="00976C24">
        <w:rPr>
          <w:lang w:val="fr-FR"/>
        </w:rPr>
        <w:t xml:space="preserve"> nécessaire de prendre des mesures proactives </w:t>
      </w:r>
      <w:r>
        <w:rPr>
          <w:lang w:val="fr-FR"/>
        </w:rPr>
        <w:t>à cet égard</w:t>
      </w:r>
      <w:r w:rsidRPr="00976C24">
        <w:rPr>
          <w:lang w:val="fr-FR"/>
        </w:rPr>
        <w:t>.</w:t>
      </w:r>
    </w:p>
    <w:p w:rsidR="00903547" w:rsidRPr="00976C24" w:rsidRDefault="00903547" w:rsidP="00401FC0">
      <w:pPr>
        <w:pStyle w:val="SingleTxtG"/>
        <w:rPr>
          <w:lang w:val="fr-FR"/>
        </w:rPr>
      </w:pPr>
      <w:r>
        <w:rPr>
          <w:lang w:val="fr-FR"/>
        </w:rPr>
        <w:t>36.</w:t>
      </w:r>
      <w:r>
        <w:rPr>
          <w:lang w:val="fr-FR"/>
        </w:rPr>
        <w:tab/>
      </w:r>
      <w:r w:rsidRPr="00976C24">
        <w:rPr>
          <w:lang w:val="fr-FR"/>
        </w:rPr>
        <w:t xml:space="preserve">Le plan d’action pour l’intégration et l’inclusion sociale de la population immigrée </w:t>
      </w:r>
      <w:r>
        <w:rPr>
          <w:lang w:val="fr-FR"/>
        </w:rPr>
        <w:t>s’articule autour de</w:t>
      </w:r>
      <w:r w:rsidRPr="00976C24">
        <w:rPr>
          <w:lang w:val="fr-FR"/>
        </w:rPr>
        <w:t xml:space="preserve"> quatre priorités</w:t>
      </w:r>
      <w:r>
        <w:rPr>
          <w:lang w:val="fr-FR"/>
        </w:rPr>
        <w:t>:</w:t>
      </w:r>
      <w:r w:rsidRPr="00976C24">
        <w:rPr>
          <w:lang w:val="fr-FR"/>
        </w:rPr>
        <w:t xml:space="preserve"> l’emploi, l’enfan</w:t>
      </w:r>
      <w:r>
        <w:rPr>
          <w:lang w:val="fr-FR"/>
        </w:rPr>
        <w:t>ce, l’éducation et les langues,</w:t>
      </w:r>
      <w:r w:rsidRPr="00976C24">
        <w:rPr>
          <w:lang w:val="fr-FR"/>
        </w:rPr>
        <w:t xml:space="preserve"> l’égalité des sexes et la participation. </w:t>
      </w:r>
      <w:r>
        <w:rPr>
          <w:lang w:val="fr-FR"/>
        </w:rPr>
        <w:t>Il</w:t>
      </w:r>
      <w:r w:rsidRPr="00976C24">
        <w:rPr>
          <w:lang w:val="fr-FR"/>
        </w:rPr>
        <w:t xml:space="preserve"> </w:t>
      </w:r>
      <w:r>
        <w:rPr>
          <w:lang w:val="fr-FR"/>
        </w:rPr>
        <w:t>est</w:t>
      </w:r>
      <w:r w:rsidRPr="00976C24">
        <w:rPr>
          <w:lang w:val="fr-FR"/>
        </w:rPr>
        <w:t xml:space="preserve"> </w:t>
      </w:r>
      <w:r>
        <w:rPr>
          <w:lang w:val="fr-FR"/>
        </w:rPr>
        <w:t>reconduit</w:t>
      </w:r>
      <w:r w:rsidRPr="00976C24">
        <w:rPr>
          <w:lang w:val="fr-FR"/>
        </w:rPr>
        <w:t xml:space="preserve"> chaque année depuis 2006.</w:t>
      </w:r>
    </w:p>
    <w:p w:rsidR="00903547" w:rsidRPr="00976C24" w:rsidRDefault="00903547" w:rsidP="00401FC0">
      <w:pPr>
        <w:pStyle w:val="SingleTxtG"/>
        <w:rPr>
          <w:lang w:val="fr-FR"/>
        </w:rPr>
      </w:pPr>
      <w:r>
        <w:rPr>
          <w:lang w:val="fr-FR"/>
        </w:rPr>
        <w:t>37.</w:t>
      </w:r>
      <w:r>
        <w:rPr>
          <w:lang w:val="fr-FR"/>
        </w:rPr>
        <w:tab/>
      </w:r>
      <w:r w:rsidRPr="00976C24">
        <w:rPr>
          <w:lang w:val="fr-FR"/>
        </w:rPr>
        <w:t>Le Comité pourra se reporter au paragraphe 272</w:t>
      </w:r>
      <w:r>
        <w:rPr>
          <w:lang w:val="fr-FR"/>
        </w:rPr>
        <w:t xml:space="preserve"> du </w:t>
      </w:r>
      <w:r w:rsidRPr="00976C24">
        <w:rPr>
          <w:lang w:val="fr-FR"/>
        </w:rPr>
        <w:t xml:space="preserve">document de base commun et </w:t>
      </w:r>
      <w:r>
        <w:rPr>
          <w:lang w:val="fr-FR"/>
        </w:rPr>
        <w:t>à l’article 3.10 d</w:t>
      </w:r>
      <w:r w:rsidRPr="00976C24">
        <w:rPr>
          <w:lang w:val="fr-FR"/>
        </w:rPr>
        <w:t xml:space="preserve">u rapport national </w:t>
      </w:r>
      <w:r>
        <w:rPr>
          <w:lang w:val="fr-FR"/>
        </w:rPr>
        <w:t xml:space="preserve">soumis </w:t>
      </w:r>
      <w:r w:rsidRPr="00976C24">
        <w:rPr>
          <w:lang w:val="fr-FR"/>
        </w:rPr>
        <w:t xml:space="preserve">au Conseil des droits de l’homme </w:t>
      </w:r>
      <w:r>
        <w:rPr>
          <w:lang w:val="fr-FR"/>
        </w:rPr>
        <w:t>au titre de l’EPU</w:t>
      </w:r>
      <w:r w:rsidRPr="00976C24">
        <w:rPr>
          <w:lang w:val="fr-FR"/>
        </w:rPr>
        <w:t xml:space="preserve"> (A/HRC/WG.6/6/NOR/1) concernant un programme d’insertion pour les </w:t>
      </w:r>
      <w:r>
        <w:rPr>
          <w:lang w:val="fr-FR"/>
        </w:rPr>
        <w:t>immigrés récents</w:t>
      </w:r>
      <w:r w:rsidRPr="00976C24">
        <w:rPr>
          <w:lang w:val="fr-FR"/>
        </w:rPr>
        <w:t xml:space="preserve"> </w:t>
      </w:r>
      <w:r>
        <w:rPr>
          <w:lang w:val="fr-FR"/>
        </w:rPr>
        <w:t xml:space="preserve">et des cours de </w:t>
      </w:r>
      <w:r w:rsidRPr="00976C24">
        <w:rPr>
          <w:lang w:val="fr-FR"/>
        </w:rPr>
        <w:t xml:space="preserve">langue norvégienne et </w:t>
      </w:r>
      <w:r>
        <w:rPr>
          <w:lang w:val="fr-FR"/>
        </w:rPr>
        <w:t>d’</w:t>
      </w:r>
      <w:r w:rsidRPr="00976C24">
        <w:rPr>
          <w:lang w:val="fr-FR"/>
        </w:rPr>
        <w:t xml:space="preserve">études sociales pour les immigrés adultes (loi sur l’insertion). </w:t>
      </w:r>
      <w:r>
        <w:rPr>
          <w:lang w:val="fr-FR"/>
        </w:rPr>
        <w:t>Le Comité pourra</w:t>
      </w:r>
      <w:r w:rsidRPr="00976C24">
        <w:rPr>
          <w:lang w:val="fr-FR"/>
        </w:rPr>
        <w:t xml:space="preserve"> également </w:t>
      </w:r>
      <w:r>
        <w:rPr>
          <w:lang w:val="fr-FR"/>
        </w:rPr>
        <w:t>se référer à l’article 6 du rapport</w:t>
      </w:r>
      <w:r w:rsidRPr="00976C24">
        <w:rPr>
          <w:lang w:val="fr-FR"/>
        </w:rPr>
        <w:t xml:space="preserve"> de 2008 </w:t>
      </w:r>
      <w:r>
        <w:rPr>
          <w:lang w:val="fr-FR"/>
        </w:rPr>
        <w:t>sur l’application de la Convention de l’OIT n</w:t>
      </w:r>
      <w:r w:rsidRPr="00EB3798">
        <w:rPr>
          <w:vertAlign w:val="superscript"/>
          <w:lang w:val="fr-FR"/>
        </w:rPr>
        <w:t>o</w:t>
      </w:r>
      <w:r>
        <w:rPr>
          <w:lang w:val="fr-FR"/>
        </w:rPr>
        <w:t> </w:t>
      </w:r>
      <w:r w:rsidRPr="00976C24">
        <w:rPr>
          <w:lang w:val="fr-FR"/>
        </w:rPr>
        <w:t xml:space="preserve">111 concernant la discrimination (emploi et profession). Le programme d’insertion </w:t>
      </w:r>
      <w:r>
        <w:rPr>
          <w:lang w:val="fr-FR"/>
        </w:rPr>
        <w:t>vise à</w:t>
      </w:r>
      <w:r w:rsidRPr="00976C24">
        <w:rPr>
          <w:lang w:val="fr-FR"/>
        </w:rPr>
        <w:t xml:space="preserve"> améliorer les chances des immigrés de participer au marché du travail et à la vie sociale. </w:t>
      </w:r>
    </w:p>
    <w:p w:rsidR="00903547" w:rsidRPr="00976C24" w:rsidRDefault="00903547" w:rsidP="00401FC0">
      <w:pPr>
        <w:pStyle w:val="SingleTxtG"/>
        <w:rPr>
          <w:lang w:val="fr-FR"/>
        </w:rPr>
      </w:pPr>
      <w:r>
        <w:rPr>
          <w:lang w:val="fr-FR"/>
        </w:rPr>
        <w:t>38.</w:t>
      </w:r>
      <w:r>
        <w:rPr>
          <w:lang w:val="fr-FR"/>
        </w:rPr>
        <w:tab/>
      </w:r>
      <w:r w:rsidRPr="00976C24">
        <w:rPr>
          <w:lang w:val="fr-FR"/>
        </w:rPr>
        <w:t>Le Programme de la deuxième chance a démarré en avril 2005</w:t>
      </w:r>
      <w:r>
        <w:rPr>
          <w:lang w:val="fr-FR"/>
        </w:rPr>
        <w:t>;</w:t>
      </w:r>
      <w:r w:rsidRPr="00976C24">
        <w:rPr>
          <w:lang w:val="fr-FR"/>
        </w:rPr>
        <w:t xml:space="preserve"> il s’agit d’un programme expérimental de qualification </w:t>
      </w:r>
      <w:r>
        <w:rPr>
          <w:lang w:val="fr-FR"/>
        </w:rPr>
        <w:t>ciblant les</w:t>
      </w:r>
      <w:r w:rsidRPr="00976C24">
        <w:rPr>
          <w:lang w:val="fr-FR"/>
        </w:rPr>
        <w:t xml:space="preserve"> immigrés qui, après plusieurs </w:t>
      </w:r>
      <w:r>
        <w:rPr>
          <w:lang w:val="fr-FR"/>
        </w:rPr>
        <w:t xml:space="preserve">années </w:t>
      </w:r>
      <w:r w:rsidRPr="00976C24">
        <w:rPr>
          <w:lang w:val="fr-FR"/>
        </w:rPr>
        <w:t>passées en Norvège, n</w:t>
      </w:r>
      <w:r>
        <w:rPr>
          <w:lang w:val="fr-FR"/>
        </w:rPr>
        <w:t>’ont toujours pas vraiment pris pied</w:t>
      </w:r>
      <w:r w:rsidRPr="00976C24">
        <w:rPr>
          <w:lang w:val="fr-FR"/>
        </w:rPr>
        <w:t xml:space="preserve"> sur le marché du travail et </w:t>
      </w:r>
      <w:r>
        <w:rPr>
          <w:lang w:val="fr-FR"/>
        </w:rPr>
        <w:t>sont tributaires de longue date</w:t>
      </w:r>
      <w:r w:rsidRPr="00976C24">
        <w:rPr>
          <w:lang w:val="fr-FR"/>
        </w:rPr>
        <w:t xml:space="preserve"> des prestations de la sécurité sociale. Pour des plus amples informations sur le Programme et d’autres mesures </w:t>
      </w:r>
      <w:r>
        <w:rPr>
          <w:lang w:val="fr-FR"/>
        </w:rPr>
        <w:t>prises dans ce sens</w:t>
      </w:r>
      <w:r w:rsidRPr="00976C24">
        <w:rPr>
          <w:lang w:val="fr-FR"/>
        </w:rPr>
        <w:t xml:space="preserve">, </w:t>
      </w:r>
      <w:r>
        <w:rPr>
          <w:lang w:val="fr-FR"/>
        </w:rPr>
        <w:t>le Comité pourra se reporter</w:t>
      </w:r>
      <w:r w:rsidRPr="00976C24">
        <w:rPr>
          <w:lang w:val="fr-FR"/>
        </w:rPr>
        <w:t xml:space="preserve"> au paragraphe 267 </w:t>
      </w:r>
      <w:r>
        <w:rPr>
          <w:lang w:val="fr-FR"/>
        </w:rPr>
        <w:t xml:space="preserve">du </w:t>
      </w:r>
      <w:r w:rsidRPr="00976C24">
        <w:rPr>
          <w:lang w:val="fr-FR"/>
        </w:rPr>
        <w:t>document de base commun et aux paragraphes 153</w:t>
      </w:r>
      <w:r>
        <w:rPr>
          <w:lang w:val="fr-FR"/>
        </w:rPr>
        <w:t xml:space="preserve"> à </w:t>
      </w:r>
      <w:r w:rsidRPr="00976C24">
        <w:rPr>
          <w:lang w:val="fr-FR"/>
        </w:rPr>
        <w:t>166</w:t>
      </w:r>
      <w:r>
        <w:rPr>
          <w:lang w:val="fr-FR"/>
        </w:rPr>
        <w:t xml:space="preserve"> des </w:t>
      </w:r>
      <w:r w:rsidRPr="00976C24">
        <w:rPr>
          <w:lang w:val="fr-FR"/>
        </w:rPr>
        <w:t>dix-neuvième et vingtième rapports soumis en vertu de la Convention internationale sur l’élimination de toutes les formes de discrimination raciale.</w:t>
      </w:r>
    </w:p>
    <w:p w:rsidR="00903547" w:rsidRPr="00976C24" w:rsidRDefault="00903547" w:rsidP="00401FC0">
      <w:pPr>
        <w:pStyle w:val="SingleTxtG"/>
        <w:rPr>
          <w:lang w:val="fr-FR"/>
        </w:rPr>
      </w:pPr>
      <w:r>
        <w:rPr>
          <w:lang w:val="fr-FR"/>
        </w:rPr>
        <w:t>39.</w:t>
      </w:r>
      <w:r>
        <w:rPr>
          <w:lang w:val="fr-FR"/>
        </w:rPr>
        <w:tab/>
      </w:r>
      <w:r w:rsidRPr="00976C24">
        <w:rPr>
          <w:lang w:val="fr-FR"/>
        </w:rPr>
        <w:t xml:space="preserve">Il </w:t>
      </w:r>
      <w:r>
        <w:rPr>
          <w:lang w:val="fr-FR"/>
        </w:rPr>
        <w:t>y a lieu</w:t>
      </w:r>
      <w:r w:rsidRPr="00976C24">
        <w:rPr>
          <w:lang w:val="fr-FR"/>
        </w:rPr>
        <w:t xml:space="preserve"> d’améliorer l’accès et la participation des femmes issues de l’immigration au marché du travail. </w:t>
      </w:r>
      <w:r>
        <w:rPr>
          <w:lang w:val="fr-FR"/>
        </w:rPr>
        <w:t>L’</w:t>
      </w:r>
      <w:r w:rsidRPr="00976C24">
        <w:rPr>
          <w:lang w:val="fr-FR"/>
        </w:rPr>
        <w:t>égalité économique de</w:t>
      </w:r>
      <w:r>
        <w:rPr>
          <w:lang w:val="fr-FR"/>
        </w:rPr>
        <w:t xml:space="preserve"> ces</w:t>
      </w:r>
      <w:r w:rsidRPr="00976C24">
        <w:rPr>
          <w:lang w:val="fr-FR"/>
        </w:rPr>
        <w:t xml:space="preserve"> femmes est un objectif prioritaire du Gouvernement. Les dernières statistiques </w:t>
      </w:r>
      <w:r>
        <w:rPr>
          <w:lang w:val="fr-FR"/>
        </w:rPr>
        <w:t>montrent</w:t>
      </w:r>
      <w:r w:rsidRPr="00976C24">
        <w:rPr>
          <w:lang w:val="fr-FR"/>
        </w:rPr>
        <w:t xml:space="preserve"> des progrès </w:t>
      </w:r>
      <w:r>
        <w:rPr>
          <w:lang w:val="fr-FR"/>
        </w:rPr>
        <w:t>à cet égard,</w:t>
      </w:r>
      <w:r w:rsidRPr="00976C24">
        <w:rPr>
          <w:lang w:val="fr-FR"/>
        </w:rPr>
        <w:t xml:space="preserve"> le taux de participation au marché du travail des Norvégiennes nées de parents immigrés </w:t>
      </w:r>
      <w:r>
        <w:rPr>
          <w:lang w:val="fr-FR"/>
        </w:rPr>
        <w:t>étant</w:t>
      </w:r>
      <w:r w:rsidRPr="00976C24">
        <w:rPr>
          <w:lang w:val="fr-FR"/>
        </w:rPr>
        <w:t xml:space="preserve"> identique à celui des Norvégiennes</w:t>
      </w:r>
      <w:r>
        <w:rPr>
          <w:lang w:val="fr-FR"/>
        </w:rPr>
        <w:t xml:space="preserve"> de souche</w:t>
      </w:r>
      <w:r w:rsidRPr="00976C24">
        <w:rPr>
          <w:lang w:val="fr-FR"/>
        </w:rPr>
        <w:t>.</w:t>
      </w:r>
    </w:p>
    <w:p w:rsidR="00903547" w:rsidRPr="00976C24" w:rsidRDefault="00903547" w:rsidP="0071086E">
      <w:pPr>
        <w:pStyle w:val="H23G"/>
        <w:ind w:firstLine="0"/>
        <w:rPr>
          <w:lang w:val="fr-FR"/>
        </w:rPr>
      </w:pPr>
      <w:bookmarkStart w:id="17" w:name="_Toc286326350"/>
      <w:r w:rsidRPr="00976C24">
        <w:rPr>
          <w:lang w:val="fr-FR"/>
        </w:rPr>
        <w:t>Programme de mentorat pour les femmes issues des minorités</w:t>
      </w:r>
      <w:bookmarkEnd w:id="17"/>
    </w:p>
    <w:p w:rsidR="00903547" w:rsidRPr="00976C24" w:rsidRDefault="00903547" w:rsidP="00401FC0">
      <w:pPr>
        <w:pStyle w:val="SingleTxtG"/>
        <w:rPr>
          <w:lang w:val="fr-FR"/>
        </w:rPr>
      </w:pPr>
      <w:r>
        <w:rPr>
          <w:lang w:val="fr-FR"/>
        </w:rPr>
        <w:t>40.</w:t>
      </w:r>
      <w:r>
        <w:rPr>
          <w:lang w:val="fr-FR"/>
        </w:rPr>
        <w:tab/>
      </w:r>
      <w:r w:rsidRPr="00976C24">
        <w:rPr>
          <w:lang w:val="fr-FR"/>
        </w:rPr>
        <w:t>Le Gouvernement a mis en place une coopération avec la Fédération des entreprises norvégiennes de commerce et de service pour un programme de</w:t>
      </w:r>
      <w:r>
        <w:rPr>
          <w:lang w:val="fr-FR"/>
        </w:rPr>
        <w:t xml:space="preserve"> mentorat appelé «HSH Womentor</w:t>
      </w:r>
      <w:r w:rsidRPr="00976C24">
        <w:rPr>
          <w:lang w:val="fr-FR"/>
        </w:rPr>
        <w:t>»</w:t>
      </w:r>
      <w:r>
        <w:rPr>
          <w:lang w:val="fr-FR"/>
        </w:rPr>
        <w:t xml:space="preserve"> dont l</w:t>
      </w:r>
      <w:r w:rsidRPr="00976C24">
        <w:rPr>
          <w:lang w:val="fr-FR"/>
        </w:rPr>
        <w:t xml:space="preserve">’objectif est d’aider les femmes issues des minorités à entrer dans la vie </w:t>
      </w:r>
      <w:r>
        <w:rPr>
          <w:lang w:val="fr-FR"/>
        </w:rPr>
        <w:t>active</w:t>
      </w:r>
      <w:r w:rsidRPr="00976C24">
        <w:rPr>
          <w:lang w:val="fr-FR"/>
        </w:rPr>
        <w:t xml:space="preserve"> en leur </w:t>
      </w:r>
      <w:r>
        <w:rPr>
          <w:lang w:val="fr-FR"/>
        </w:rPr>
        <w:t>associant un partenaire</w:t>
      </w:r>
      <w:r w:rsidRPr="00976C24">
        <w:rPr>
          <w:lang w:val="fr-FR"/>
        </w:rPr>
        <w:t xml:space="preserve"> et un modèle qui le</w:t>
      </w:r>
      <w:r>
        <w:rPr>
          <w:lang w:val="fr-FR"/>
        </w:rPr>
        <w:t>s</w:t>
      </w:r>
      <w:r w:rsidRPr="00976C24">
        <w:rPr>
          <w:lang w:val="fr-FR"/>
        </w:rPr>
        <w:t xml:space="preserve"> </w:t>
      </w:r>
      <w:r>
        <w:rPr>
          <w:lang w:val="fr-FR"/>
        </w:rPr>
        <w:t>conseillent</w:t>
      </w:r>
      <w:r w:rsidRPr="00976C24">
        <w:rPr>
          <w:lang w:val="fr-FR"/>
        </w:rPr>
        <w:t xml:space="preserve"> </w:t>
      </w:r>
      <w:r>
        <w:rPr>
          <w:lang w:val="fr-FR"/>
        </w:rPr>
        <w:t>au moment</w:t>
      </w:r>
      <w:r w:rsidRPr="00976C24">
        <w:rPr>
          <w:lang w:val="fr-FR"/>
        </w:rPr>
        <w:t xml:space="preserve"> de</w:t>
      </w:r>
      <w:r>
        <w:rPr>
          <w:lang w:val="fr-FR"/>
        </w:rPr>
        <w:t xml:space="preserve"> prendre de</w:t>
      </w:r>
      <w:r w:rsidRPr="00976C24">
        <w:rPr>
          <w:lang w:val="fr-FR"/>
        </w:rPr>
        <w:t xml:space="preserve"> </w:t>
      </w:r>
      <w:r>
        <w:rPr>
          <w:lang w:val="fr-FR"/>
        </w:rPr>
        <w:t>grandes décisions professionnelles</w:t>
      </w:r>
      <w:r w:rsidRPr="00976C24">
        <w:rPr>
          <w:lang w:val="fr-FR"/>
        </w:rPr>
        <w:t>. Le</w:t>
      </w:r>
      <w:r>
        <w:rPr>
          <w:lang w:val="fr-FR"/>
        </w:rPr>
        <w:t>s autorités veulent également inciter davantage de femmes à créer leur entreprise.</w:t>
      </w:r>
      <w:r w:rsidRPr="00976C24">
        <w:rPr>
          <w:lang w:val="fr-FR"/>
        </w:rPr>
        <w:t xml:space="preserve"> </w:t>
      </w:r>
      <w:r>
        <w:rPr>
          <w:lang w:val="fr-FR"/>
        </w:rPr>
        <w:t>U</w:t>
      </w:r>
      <w:r w:rsidRPr="00976C24">
        <w:rPr>
          <w:lang w:val="fr-FR"/>
        </w:rPr>
        <w:t xml:space="preserve">n plan d’action comportant des mesures </w:t>
      </w:r>
      <w:r>
        <w:rPr>
          <w:lang w:val="fr-FR"/>
        </w:rPr>
        <w:t>précises dans ce sens a été lancé en 2008</w:t>
      </w:r>
      <w:r w:rsidRPr="00976C24">
        <w:rPr>
          <w:lang w:val="fr-FR"/>
        </w:rPr>
        <w:t>.</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29 des observations finales</w:t>
      </w:r>
    </w:p>
    <w:p w:rsidR="00903547" w:rsidRPr="00976C24" w:rsidRDefault="00903547" w:rsidP="00401FC0">
      <w:pPr>
        <w:pStyle w:val="SingleTxtG"/>
        <w:rPr>
          <w:lang w:val="fr-FR"/>
        </w:rPr>
      </w:pPr>
      <w:r>
        <w:rPr>
          <w:lang w:val="fr-FR"/>
        </w:rPr>
        <w:t>41.</w:t>
      </w:r>
      <w:r>
        <w:rPr>
          <w:lang w:val="fr-FR"/>
        </w:rPr>
        <w:tab/>
      </w:r>
      <w:r w:rsidRPr="00976C24">
        <w:rPr>
          <w:lang w:val="fr-FR"/>
        </w:rPr>
        <w:t>La Norvège a décidé de ne pas ratifier la Convention internationale sur la protection des droits de tous les travailleurs migrants et des membres de leur famille en 2002. Les termes de la Convention ont été jugés tellement vagues et imprécis sur un certain nombre de points qu’il s</w:t>
      </w:r>
      <w:r>
        <w:rPr>
          <w:lang w:val="fr-FR"/>
        </w:rPr>
        <w:t>emble</w:t>
      </w:r>
      <w:r w:rsidRPr="00976C24">
        <w:rPr>
          <w:lang w:val="fr-FR"/>
        </w:rPr>
        <w:t xml:space="preserve"> difficile de </w:t>
      </w:r>
      <w:r>
        <w:rPr>
          <w:lang w:val="fr-FR"/>
        </w:rPr>
        <w:t>se faire une idée</w:t>
      </w:r>
      <w:r w:rsidRPr="00976C24">
        <w:rPr>
          <w:lang w:val="fr-FR"/>
        </w:rPr>
        <w:t xml:space="preserve"> </w:t>
      </w:r>
      <w:r>
        <w:rPr>
          <w:lang w:val="fr-FR"/>
        </w:rPr>
        <w:t>d</w:t>
      </w:r>
      <w:r w:rsidRPr="00976C24">
        <w:rPr>
          <w:lang w:val="fr-FR"/>
        </w:rPr>
        <w:t xml:space="preserve">es conséquences et </w:t>
      </w:r>
      <w:r>
        <w:rPr>
          <w:lang w:val="fr-FR"/>
        </w:rPr>
        <w:t>d</w:t>
      </w:r>
      <w:r w:rsidRPr="00976C24">
        <w:rPr>
          <w:lang w:val="fr-FR"/>
        </w:rPr>
        <w:t xml:space="preserve">es obligations </w:t>
      </w:r>
      <w:r>
        <w:rPr>
          <w:lang w:val="fr-FR"/>
        </w:rPr>
        <w:t>qui découleraient</w:t>
      </w:r>
      <w:r w:rsidRPr="00976C24">
        <w:rPr>
          <w:lang w:val="fr-FR"/>
        </w:rPr>
        <w:t xml:space="preserve"> de la ratification. La Norvège accorde une haute priorité aux </w:t>
      </w:r>
      <w:r>
        <w:rPr>
          <w:lang w:val="fr-FR"/>
        </w:rPr>
        <w:t>mesures</w:t>
      </w:r>
      <w:r w:rsidRPr="00976C24">
        <w:rPr>
          <w:lang w:val="fr-FR"/>
        </w:rPr>
        <w:t xml:space="preserve"> tendant à améliorer les normes du travail qui sont </w:t>
      </w:r>
      <w:r>
        <w:rPr>
          <w:lang w:val="fr-FR"/>
        </w:rPr>
        <w:t>également pertinentes au regard des</w:t>
      </w:r>
      <w:r w:rsidRPr="00976C24">
        <w:rPr>
          <w:lang w:val="fr-FR"/>
        </w:rPr>
        <w:t xml:space="preserve"> droits des immigrés. Le Comité pourra se reporter au paragraphe</w:t>
      </w:r>
      <w:r>
        <w:rPr>
          <w:lang w:val="fr-FR"/>
        </w:rPr>
        <w:t> </w:t>
      </w:r>
      <w:r w:rsidRPr="00976C24">
        <w:rPr>
          <w:lang w:val="fr-FR"/>
        </w:rPr>
        <w:t>92</w:t>
      </w:r>
      <w:r>
        <w:rPr>
          <w:lang w:val="fr-FR"/>
        </w:rPr>
        <w:t xml:space="preserve"> du </w:t>
      </w:r>
      <w:r w:rsidRPr="00976C24">
        <w:rPr>
          <w:lang w:val="fr-FR"/>
        </w:rPr>
        <w:t>document de base commun.</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30 des observations finales</w:t>
      </w:r>
    </w:p>
    <w:p w:rsidR="00903547" w:rsidRPr="00976C24" w:rsidRDefault="00903547" w:rsidP="00401FC0">
      <w:pPr>
        <w:pStyle w:val="SingleTxtG"/>
        <w:rPr>
          <w:lang w:val="fr-FR"/>
        </w:rPr>
      </w:pPr>
      <w:r>
        <w:rPr>
          <w:lang w:val="fr-FR"/>
        </w:rPr>
        <w:t>42.</w:t>
      </w:r>
      <w:r>
        <w:rPr>
          <w:lang w:val="fr-FR"/>
        </w:rPr>
        <w:tab/>
      </w:r>
      <w:r w:rsidRPr="00976C24">
        <w:rPr>
          <w:lang w:val="fr-FR"/>
        </w:rPr>
        <w:t xml:space="preserve">Il existe des différences tangibles entre </w:t>
      </w:r>
      <w:r>
        <w:rPr>
          <w:lang w:val="fr-FR"/>
        </w:rPr>
        <w:t>les hommes et les femmes</w:t>
      </w:r>
      <w:r w:rsidRPr="00976C24">
        <w:rPr>
          <w:lang w:val="fr-FR"/>
        </w:rPr>
        <w:t xml:space="preserve"> dans la vie professionnelle, secteur</w:t>
      </w:r>
      <w:r>
        <w:rPr>
          <w:lang w:val="fr-FR"/>
        </w:rPr>
        <w:t>s</w:t>
      </w:r>
      <w:r w:rsidRPr="00976C24">
        <w:rPr>
          <w:lang w:val="fr-FR"/>
        </w:rPr>
        <w:t xml:space="preserve"> public </w:t>
      </w:r>
      <w:r>
        <w:rPr>
          <w:lang w:val="fr-FR"/>
        </w:rPr>
        <w:t>et</w:t>
      </w:r>
      <w:r w:rsidRPr="00976C24">
        <w:rPr>
          <w:lang w:val="fr-FR"/>
        </w:rPr>
        <w:t xml:space="preserve"> privé</w:t>
      </w:r>
      <w:r>
        <w:rPr>
          <w:lang w:val="fr-FR"/>
        </w:rPr>
        <w:t xml:space="preserve"> confondus</w:t>
      </w:r>
      <w:r w:rsidRPr="00976C24">
        <w:rPr>
          <w:lang w:val="fr-FR"/>
        </w:rPr>
        <w:t xml:space="preserve">. Les choix éducatifs et professionnels des femmes sont fortement empreints de ségrégation sexiste. Les raisons qui </w:t>
      </w:r>
      <w:r>
        <w:rPr>
          <w:lang w:val="fr-FR"/>
        </w:rPr>
        <w:t>conduisent</w:t>
      </w:r>
      <w:r w:rsidRPr="00976C24">
        <w:rPr>
          <w:lang w:val="fr-FR"/>
        </w:rPr>
        <w:t xml:space="preserve"> les hommes et les femmes </w:t>
      </w:r>
      <w:r>
        <w:rPr>
          <w:lang w:val="fr-FR"/>
        </w:rPr>
        <w:t xml:space="preserve">à choisir </w:t>
      </w:r>
      <w:r w:rsidRPr="00976C24">
        <w:rPr>
          <w:lang w:val="fr-FR"/>
        </w:rPr>
        <w:t>des métiers et des secteurs différents sont complexes.</w:t>
      </w:r>
    </w:p>
    <w:p w:rsidR="00903547" w:rsidRPr="00976C24" w:rsidRDefault="00903547" w:rsidP="00401FC0">
      <w:pPr>
        <w:pStyle w:val="SingleTxtG"/>
        <w:rPr>
          <w:lang w:val="fr-FR"/>
        </w:rPr>
      </w:pPr>
      <w:r>
        <w:rPr>
          <w:lang w:val="fr-FR"/>
        </w:rPr>
        <w:t>43.</w:t>
      </w:r>
      <w:r>
        <w:rPr>
          <w:lang w:val="fr-FR"/>
        </w:rPr>
        <w:tab/>
      </w:r>
      <w:r w:rsidRPr="00976C24">
        <w:rPr>
          <w:lang w:val="fr-FR"/>
        </w:rPr>
        <w:t xml:space="preserve">En moyenne, la rémunération des femmes </w:t>
      </w:r>
      <w:r>
        <w:rPr>
          <w:lang w:val="fr-FR"/>
        </w:rPr>
        <w:t>équivaut</w:t>
      </w:r>
      <w:r w:rsidRPr="00976C24">
        <w:rPr>
          <w:lang w:val="fr-FR"/>
        </w:rPr>
        <w:t xml:space="preserve"> à 85</w:t>
      </w:r>
      <w:r>
        <w:rPr>
          <w:lang w:val="fr-FR"/>
        </w:rPr>
        <w:t>  %</w:t>
      </w:r>
      <w:r w:rsidRPr="00976C24">
        <w:rPr>
          <w:lang w:val="fr-FR"/>
        </w:rPr>
        <w:t xml:space="preserve"> de celle des hommes. Le problème de l’inégalité des rémunérations n’est pas seulement une question d’écarts salariaux fondés sur le sexe</w:t>
      </w:r>
      <w:r>
        <w:rPr>
          <w:lang w:val="fr-FR"/>
        </w:rPr>
        <w:t>;</w:t>
      </w:r>
      <w:r w:rsidRPr="00976C24">
        <w:rPr>
          <w:lang w:val="fr-FR"/>
        </w:rPr>
        <w:t xml:space="preserve"> il e</w:t>
      </w:r>
      <w:r>
        <w:rPr>
          <w:lang w:val="fr-FR"/>
        </w:rPr>
        <w:t>s</w:t>
      </w:r>
      <w:r w:rsidRPr="00976C24">
        <w:rPr>
          <w:lang w:val="fr-FR"/>
        </w:rPr>
        <w:t xml:space="preserve">t également lié à un marché du travail </w:t>
      </w:r>
      <w:r>
        <w:rPr>
          <w:lang w:val="fr-FR"/>
        </w:rPr>
        <w:t xml:space="preserve">marqué par la ségrégation </w:t>
      </w:r>
      <w:r w:rsidRPr="00976C24">
        <w:rPr>
          <w:lang w:val="fr-FR"/>
        </w:rPr>
        <w:t xml:space="preserve">sexiste et au prix du travail dans les métiers et secteurs principalement </w:t>
      </w:r>
      <w:r>
        <w:rPr>
          <w:lang w:val="fr-FR"/>
        </w:rPr>
        <w:t>féminins</w:t>
      </w:r>
      <w:r w:rsidRPr="00976C24">
        <w:rPr>
          <w:lang w:val="fr-FR"/>
        </w:rPr>
        <w:t>. Le</w:t>
      </w:r>
      <w:r>
        <w:rPr>
          <w:lang w:val="fr-FR"/>
        </w:rPr>
        <w:t>s</w:t>
      </w:r>
      <w:r w:rsidRPr="00976C24">
        <w:rPr>
          <w:lang w:val="fr-FR"/>
        </w:rPr>
        <w:t xml:space="preserve"> rémunération</w:t>
      </w:r>
      <w:r>
        <w:rPr>
          <w:lang w:val="fr-FR"/>
        </w:rPr>
        <w:t>s sont</w:t>
      </w:r>
      <w:r w:rsidRPr="00976C24">
        <w:rPr>
          <w:lang w:val="fr-FR"/>
        </w:rPr>
        <w:t xml:space="preserve"> </w:t>
      </w:r>
      <w:r>
        <w:rPr>
          <w:lang w:val="fr-FR"/>
        </w:rPr>
        <w:t>communément</w:t>
      </w:r>
      <w:r w:rsidRPr="00976C24">
        <w:rPr>
          <w:lang w:val="fr-FR"/>
        </w:rPr>
        <w:t xml:space="preserve"> inférieur</w:t>
      </w:r>
      <w:r>
        <w:rPr>
          <w:lang w:val="fr-FR"/>
        </w:rPr>
        <w:t>es</w:t>
      </w:r>
      <w:r w:rsidRPr="00976C24">
        <w:rPr>
          <w:lang w:val="fr-FR"/>
        </w:rPr>
        <w:t xml:space="preserve"> dans les </w:t>
      </w:r>
      <w:r>
        <w:rPr>
          <w:lang w:val="fr-FR"/>
        </w:rPr>
        <w:t>professions majoritairement féminines</w:t>
      </w:r>
      <w:r w:rsidRPr="00976C24">
        <w:rPr>
          <w:lang w:val="fr-FR"/>
        </w:rPr>
        <w:t xml:space="preserve">. De manière générale, les femmes </w:t>
      </w:r>
      <w:r>
        <w:rPr>
          <w:lang w:val="fr-FR"/>
        </w:rPr>
        <w:t>sont moins payées</w:t>
      </w:r>
      <w:r w:rsidRPr="00976C24">
        <w:rPr>
          <w:lang w:val="fr-FR"/>
        </w:rPr>
        <w:t xml:space="preserve"> </w:t>
      </w:r>
      <w:r>
        <w:rPr>
          <w:lang w:val="fr-FR"/>
        </w:rPr>
        <w:t>si l’on considère leur niveau d’</w:t>
      </w:r>
      <w:r w:rsidRPr="00976C24">
        <w:rPr>
          <w:lang w:val="fr-FR"/>
        </w:rPr>
        <w:t>études et d</w:t>
      </w:r>
      <w:r>
        <w:rPr>
          <w:lang w:val="fr-FR"/>
        </w:rPr>
        <w:t>’e</w:t>
      </w:r>
      <w:r w:rsidRPr="00976C24">
        <w:rPr>
          <w:lang w:val="fr-FR"/>
        </w:rPr>
        <w:t xml:space="preserve">xpérience. Ceci tient </w:t>
      </w:r>
      <w:r>
        <w:rPr>
          <w:lang w:val="fr-FR"/>
        </w:rPr>
        <w:t>surtout</w:t>
      </w:r>
      <w:r w:rsidRPr="00976C24">
        <w:rPr>
          <w:lang w:val="fr-FR"/>
        </w:rPr>
        <w:t xml:space="preserve"> au fait que beaucoup de femmes travaillent dans le secteur public, dont le niveau de </w:t>
      </w:r>
      <w:r>
        <w:rPr>
          <w:lang w:val="fr-FR"/>
        </w:rPr>
        <w:t>traitement</w:t>
      </w:r>
      <w:r w:rsidRPr="00976C24">
        <w:rPr>
          <w:lang w:val="fr-FR"/>
        </w:rPr>
        <w:t xml:space="preserve"> est plus </w:t>
      </w:r>
      <w:r>
        <w:rPr>
          <w:lang w:val="fr-FR"/>
        </w:rPr>
        <w:t>faible</w:t>
      </w:r>
      <w:r w:rsidRPr="00976C24">
        <w:rPr>
          <w:lang w:val="fr-FR"/>
        </w:rPr>
        <w:t xml:space="preserve"> et </w:t>
      </w:r>
      <w:r>
        <w:rPr>
          <w:lang w:val="fr-FR"/>
        </w:rPr>
        <w:t>le</w:t>
      </w:r>
      <w:r w:rsidRPr="00976C24">
        <w:rPr>
          <w:lang w:val="fr-FR"/>
        </w:rPr>
        <w:t xml:space="preserve"> barème de rémunération plus compact que le secteur privé. Le rapport </w:t>
      </w:r>
      <w:r>
        <w:rPr>
          <w:lang w:val="fr-FR"/>
        </w:rPr>
        <w:t>«Salaire et égalité des sexes»</w:t>
      </w:r>
      <w:r w:rsidRPr="00976C24">
        <w:rPr>
          <w:lang w:val="fr-FR"/>
        </w:rPr>
        <w:t xml:space="preserve"> de 2008 montre que le salaire horaire des femmes est en moyen</w:t>
      </w:r>
      <w:r>
        <w:rPr>
          <w:lang w:val="fr-FR"/>
        </w:rPr>
        <w:t>ne</w:t>
      </w:r>
      <w:r w:rsidRPr="00976C24">
        <w:rPr>
          <w:lang w:val="fr-FR"/>
        </w:rPr>
        <w:t xml:space="preserve"> inférieur de 15</w:t>
      </w:r>
      <w:r>
        <w:rPr>
          <w:lang w:val="fr-FR"/>
        </w:rPr>
        <w:t> </w:t>
      </w:r>
      <w:r w:rsidRPr="00976C24">
        <w:rPr>
          <w:lang w:val="fr-FR"/>
        </w:rPr>
        <w:t>% à celui des hommes. Le</w:t>
      </w:r>
      <w:r>
        <w:rPr>
          <w:lang w:val="fr-FR"/>
        </w:rPr>
        <w:t>s pouvoirs publics</w:t>
      </w:r>
      <w:r w:rsidRPr="00976C24">
        <w:rPr>
          <w:lang w:val="fr-FR"/>
        </w:rPr>
        <w:t xml:space="preserve"> </w:t>
      </w:r>
      <w:r>
        <w:rPr>
          <w:lang w:val="fr-FR"/>
        </w:rPr>
        <w:t>sont décidés à</w:t>
      </w:r>
      <w:r w:rsidRPr="00976C24">
        <w:rPr>
          <w:lang w:val="fr-FR"/>
        </w:rPr>
        <w:t xml:space="preserve"> suivre les propositions énoncées dans le rapport </w:t>
      </w:r>
      <w:r>
        <w:rPr>
          <w:lang w:val="fr-FR"/>
        </w:rPr>
        <w:t>en faveur de</w:t>
      </w:r>
      <w:r w:rsidRPr="00976C24">
        <w:rPr>
          <w:lang w:val="fr-FR"/>
        </w:rPr>
        <w:t xml:space="preserve"> l’égalité salariale </w:t>
      </w:r>
      <w:r>
        <w:rPr>
          <w:lang w:val="fr-FR"/>
        </w:rPr>
        <w:t>par le biais d’</w:t>
      </w:r>
      <w:r w:rsidRPr="00976C24">
        <w:rPr>
          <w:lang w:val="fr-FR"/>
        </w:rPr>
        <w:t>une coopération tripartite entre les organisations patronales, les syndicats et l’</w:t>
      </w:r>
      <w:r>
        <w:rPr>
          <w:lang w:val="fr-FR"/>
        </w:rPr>
        <w:t>État</w:t>
      </w:r>
      <w:r w:rsidRPr="00976C24">
        <w:rPr>
          <w:lang w:val="fr-FR"/>
        </w:rPr>
        <w:t>.</w:t>
      </w:r>
    </w:p>
    <w:p w:rsidR="00903547" w:rsidRPr="00976C24" w:rsidRDefault="00903547" w:rsidP="00401FC0">
      <w:pPr>
        <w:pStyle w:val="SingleTxtG"/>
        <w:rPr>
          <w:lang w:val="fr-FR"/>
        </w:rPr>
      </w:pPr>
      <w:r>
        <w:rPr>
          <w:lang w:val="fr-FR"/>
        </w:rPr>
        <w:t>44.</w:t>
      </w:r>
      <w:r>
        <w:rPr>
          <w:lang w:val="fr-FR"/>
        </w:rPr>
        <w:tab/>
      </w:r>
      <w:r w:rsidRPr="00976C24">
        <w:rPr>
          <w:lang w:val="fr-FR"/>
        </w:rPr>
        <w:t xml:space="preserve">Les Norvégiennes âgées de 25 à 66 ans participent au marché du travail à un niveau quasiment </w:t>
      </w:r>
      <w:r>
        <w:rPr>
          <w:lang w:val="fr-FR"/>
        </w:rPr>
        <w:t>égal</w:t>
      </w:r>
      <w:r w:rsidRPr="00976C24">
        <w:rPr>
          <w:lang w:val="fr-FR"/>
        </w:rPr>
        <w:t xml:space="preserve"> à celui des hommes (78</w:t>
      </w:r>
      <w:r>
        <w:rPr>
          <w:lang w:val="fr-FR"/>
        </w:rPr>
        <w:t> %</w:t>
      </w:r>
      <w:r w:rsidRPr="00976C24">
        <w:rPr>
          <w:lang w:val="fr-FR"/>
        </w:rPr>
        <w:t xml:space="preserve"> de femmes et 83</w:t>
      </w:r>
      <w:r>
        <w:rPr>
          <w:lang w:val="fr-FR"/>
        </w:rPr>
        <w:t> %</w:t>
      </w:r>
      <w:r w:rsidRPr="00976C24">
        <w:rPr>
          <w:lang w:val="fr-FR"/>
        </w:rPr>
        <w:t xml:space="preserve"> d’hommes). Il reste qu’à l’heure </w:t>
      </w:r>
      <w:r>
        <w:rPr>
          <w:lang w:val="fr-FR"/>
        </w:rPr>
        <w:t>actuelle 60 000 salariés sont «sous-employés</w:t>
      </w:r>
      <w:r w:rsidRPr="00976C24">
        <w:rPr>
          <w:lang w:val="fr-FR"/>
        </w:rPr>
        <w:t xml:space="preserve">» (travail à temps partiel </w:t>
      </w:r>
      <w:r>
        <w:rPr>
          <w:lang w:val="fr-FR"/>
        </w:rPr>
        <w:t>imposé</w:t>
      </w:r>
      <w:r w:rsidRPr="00976C24">
        <w:rPr>
          <w:lang w:val="fr-FR"/>
        </w:rPr>
        <w:t xml:space="preserve">), et </w:t>
      </w:r>
      <w:r>
        <w:rPr>
          <w:lang w:val="fr-FR"/>
        </w:rPr>
        <w:t xml:space="preserve">qu’un nombre </w:t>
      </w:r>
      <w:r w:rsidRPr="00976C24">
        <w:rPr>
          <w:lang w:val="fr-FR"/>
        </w:rPr>
        <w:t xml:space="preserve">beaucoup plus </w:t>
      </w:r>
      <w:r>
        <w:rPr>
          <w:lang w:val="fr-FR"/>
        </w:rPr>
        <w:t xml:space="preserve">important </w:t>
      </w:r>
      <w:r w:rsidRPr="00976C24">
        <w:rPr>
          <w:lang w:val="fr-FR"/>
        </w:rPr>
        <w:t xml:space="preserve">de femmes que d’hommes travaille à temps partiel. Le Gouvernement entend redoubler d’efforts pour lutter contre </w:t>
      </w:r>
      <w:r>
        <w:rPr>
          <w:lang w:val="fr-FR"/>
        </w:rPr>
        <w:t>le temps partiel imposé</w:t>
      </w:r>
      <w:r w:rsidRPr="00976C24">
        <w:rPr>
          <w:lang w:val="fr-FR"/>
        </w:rPr>
        <w:t xml:space="preserve"> et promouvoir le droit au travail à temps</w:t>
      </w:r>
      <w:r>
        <w:rPr>
          <w:lang w:val="fr-FR"/>
        </w:rPr>
        <w:t xml:space="preserve"> plein, et </w:t>
      </w:r>
      <w:r w:rsidRPr="00976C24">
        <w:rPr>
          <w:lang w:val="fr-FR"/>
        </w:rPr>
        <w:t xml:space="preserve">réfléchir à un nouveau texte de loi </w:t>
      </w:r>
      <w:r>
        <w:rPr>
          <w:lang w:val="fr-FR"/>
        </w:rPr>
        <w:t>qui aille dans ce sens</w:t>
      </w:r>
      <w:r w:rsidRPr="00976C24">
        <w:rPr>
          <w:lang w:val="fr-FR"/>
        </w:rPr>
        <w:t>. Une modification récente de la loi sur l’environnement de travail donne aux salariés à temps partiel le droit d’avoir un poste élargi</w:t>
      </w:r>
      <w:r>
        <w:rPr>
          <w:lang w:val="fr-FR"/>
        </w:rPr>
        <w:t>,</w:t>
      </w:r>
      <w:r w:rsidRPr="00976C24">
        <w:rPr>
          <w:lang w:val="fr-FR"/>
        </w:rPr>
        <w:t xml:space="preserve"> qui</w:t>
      </w:r>
      <w:r>
        <w:rPr>
          <w:lang w:val="fr-FR"/>
        </w:rPr>
        <w:t xml:space="preserve"> prime le droit de l’employeur de</w:t>
      </w:r>
      <w:r w:rsidRPr="00976C24">
        <w:rPr>
          <w:lang w:val="fr-FR"/>
        </w:rPr>
        <w:t xml:space="preserve"> </w:t>
      </w:r>
      <w:r>
        <w:rPr>
          <w:lang w:val="fr-FR"/>
        </w:rPr>
        <w:t>recruter un nouveau salarié d</w:t>
      </w:r>
      <w:r w:rsidRPr="00976C24">
        <w:rPr>
          <w:lang w:val="fr-FR"/>
        </w:rPr>
        <w:t xml:space="preserve">ans son entreprise. Il reste que le droit préférentiel est soumis à l’aptitude du salarié à occuper le poste et </w:t>
      </w:r>
      <w:r>
        <w:rPr>
          <w:lang w:val="fr-FR"/>
        </w:rPr>
        <w:t>que son exercice ne doit pas</w:t>
      </w:r>
      <w:r w:rsidRPr="00976C24">
        <w:rPr>
          <w:lang w:val="fr-FR"/>
        </w:rPr>
        <w:t xml:space="preserve"> entraîne</w:t>
      </w:r>
      <w:r>
        <w:rPr>
          <w:lang w:val="fr-FR"/>
        </w:rPr>
        <w:t>r</w:t>
      </w:r>
      <w:r w:rsidRPr="00976C24">
        <w:rPr>
          <w:lang w:val="fr-FR"/>
        </w:rPr>
        <w:t xml:space="preserve"> de</w:t>
      </w:r>
      <w:r>
        <w:rPr>
          <w:lang w:val="fr-FR"/>
        </w:rPr>
        <w:t>s problèmes</w:t>
      </w:r>
      <w:r w:rsidRPr="00976C24">
        <w:rPr>
          <w:lang w:val="fr-FR"/>
        </w:rPr>
        <w:t xml:space="preserve"> majeurs pour l’entreprise. </w:t>
      </w:r>
    </w:p>
    <w:p w:rsidR="00903547" w:rsidRPr="00976C24" w:rsidRDefault="00903547" w:rsidP="00401FC0">
      <w:pPr>
        <w:pStyle w:val="SingleTxtG"/>
        <w:rPr>
          <w:lang w:val="fr-FR"/>
        </w:rPr>
      </w:pPr>
      <w:r>
        <w:rPr>
          <w:lang w:val="fr-FR"/>
        </w:rPr>
        <w:t>45.</w:t>
      </w:r>
      <w:r>
        <w:rPr>
          <w:lang w:val="fr-FR"/>
        </w:rPr>
        <w:tab/>
      </w:r>
      <w:r w:rsidRPr="00976C24">
        <w:rPr>
          <w:lang w:val="fr-FR"/>
        </w:rPr>
        <w:t xml:space="preserve">Le Comité pourra se reporter à la réponse du Gouvernement </w:t>
      </w:r>
      <w:r>
        <w:rPr>
          <w:lang w:val="fr-FR"/>
        </w:rPr>
        <w:t xml:space="preserve">relative </w:t>
      </w:r>
      <w:r w:rsidRPr="00976C24">
        <w:rPr>
          <w:lang w:val="fr-FR"/>
        </w:rPr>
        <w:t>aux articles 3, 7 et 13</w:t>
      </w:r>
      <w:r>
        <w:rPr>
          <w:lang w:val="fr-FR"/>
        </w:rPr>
        <w:t xml:space="preserve"> sur l’égalité des sexes</w:t>
      </w:r>
      <w:r w:rsidRPr="00976C24">
        <w:rPr>
          <w:lang w:val="fr-FR"/>
        </w:rPr>
        <w:t xml:space="preserve"> </w:t>
      </w:r>
      <w:r>
        <w:rPr>
          <w:lang w:val="fr-FR"/>
        </w:rPr>
        <w:t>figurant dans le</w:t>
      </w:r>
      <w:r w:rsidRPr="00976C24">
        <w:rPr>
          <w:lang w:val="fr-FR"/>
        </w:rPr>
        <w:t xml:space="preserve"> présent rapport.</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31 des observations finales</w:t>
      </w:r>
    </w:p>
    <w:p w:rsidR="00903547" w:rsidRPr="00976C24" w:rsidRDefault="00903547" w:rsidP="00401FC0">
      <w:pPr>
        <w:pStyle w:val="SingleTxtG"/>
        <w:rPr>
          <w:lang w:val="fr-FR"/>
        </w:rPr>
      </w:pPr>
      <w:r>
        <w:rPr>
          <w:lang w:val="fr-FR"/>
        </w:rPr>
        <w:t>46.</w:t>
      </w:r>
      <w:r>
        <w:rPr>
          <w:lang w:val="fr-FR"/>
        </w:rPr>
        <w:tab/>
        <w:t>Au paragraphe 57 du</w:t>
      </w:r>
      <w:r w:rsidRPr="00976C24">
        <w:rPr>
          <w:lang w:val="fr-FR"/>
        </w:rPr>
        <w:t xml:space="preserve"> quatrième rapport périodique présenté </w:t>
      </w:r>
      <w:r>
        <w:rPr>
          <w:lang w:val="fr-FR"/>
        </w:rPr>
        <w:t>en vertu</w:t>
      </w:r>
      <w:r w:rsidRPr="00976C24">
        <w:rPr>
          <w:lang w:val="fr-FR"/>
        </w:rPr>
        <w:t xml:space="preserve"> du Pacte international relatif aux droits économiques, sociaux et culturels, la Norvège </w:t>
      </w:r>
      <w:r>
        <w:rPr>
          <w:lang w:val="fr-FR"/>
        </w:rPr>
        <w:t xml:space="preserve">a indiqué ce qui suit: </w:t>
      </w:r>
      <w:r w:rsidRPr="00976C24">
        <w:rPr>
          <w:lang w:val="fr-FR"/>
        </w:rPr>
        <w:t>Au cours de la période 1978</w:t>
      </w:r>
      <w:r>
        <w:rPr>
          <w:lang w:val="fr-FR"/>
        </w:rPr>
        <w:t>-</w:t>
      </w:r>
      <w:r w:rsidRPr="00976C24">
        <w:rPr>
          <w:lang w:val="fr-FR"/>
        </w:rPr>
        <w:t xml:space="preserve">1998, on a enregistré en moyenne 66 accidents mortels par an, puis 56 par an au cours des cinq dernières années. L’inspection du travail norvégienne </w:t>
      </w:r>
      <w:r w:rsidRPr="00952A2D">
        <w:rPr>
          <w:u w:val="single"/>
          <w:lang w:val="fr-FR"/>
        </w:rPr>
        <w:t>n’enregistre pas</w:t>
      </w:r>
      <w:r w:rsidRPr="00976C24">
        <w:rPr>
          <w:lang w:val="fr-FR"/>
        </w:rPr>
        <w:t xml:space="preserve"> </w:t>
      </w:r>
      <w:r>
        <w:rPr>
          <w:lang w:val="fr-FR"/>
        </w:rPr>
        <w:t xml:space="preserve">(souligné par nos soins) </w:t>
      </w:r>
      <w:r w:rsidRPr="00976C24">
        <w:rPr>
          <w:lang w:val="fr-FR"/>
        </w:rPr>
        <w:t xml:space="preserve">les accidents survenus dans l’industrie offshore, les transports maritimes ou le secteur de la pêche. Ces accidents sont enregistrés par les autorités </w:t>
      </w:r>
      <w:r>
        <w:rPr>
          <w:lang w:val="fr-FR"/>
        </w:rPr>
        <w:t>responsables</w:t>
      </w:r>
      <w:r w:rsidRPr="00976C24">
        <w:rPr>
          <w:lang w:val="fr-FR"/>
        </w:rPr>
        <w:t xml:space="preserve"> de ces secteurs. Quelque 35</w:t>
      </w:r>
      <w:r>
        <w:rPr>
          <w:lang w:val="fr-FR"/>
        </w:rPr>
        <w:t> </w:t>
      </w:r>
      <w:r w:rsidRPr="00976C24">
        <w:rPr>
          <w:lang w:val="fr-FR"/>
        </w:rPr>
        <w:t>000 accidents du travail sont enregistrés chaque année par l’inspection du travail</w:t>
      </w:r>
      <w:r>
        <w:rPr>
          <w:lang w:val="fr-FR"/>
        </w:rPr>
        <w:t xml:space="preserve"> d’après l</w:t>
      </w:r>
      <w:r w:rsidRPr="00976C24">
        <w:rPr>
          <w:lang w:val="fr-FR"/>
        </w:rPr>
        <w:t>es copies des rapports d’accident présentés par les employeurs à l’administra</w:t>
      </w:r>
      <w:r>
        <w:rPr>
          <w:lang w:val="fr-FR"/>
        </w:rPr>
        <w:t>tion nationale des assurances.</w:t>
      </w:r>
    </w:p>
    <w:p w:rsidR="00903547" w:rsidRPr="00976C24" w:rsidRDefault="00903547" w:rsidP="00401FC0">
      <w:pPr>
        <w:pStyle w:val="SingleTxtG"/>
        <w:rPr>
          <w:lang w:val="fr-FR"/>
        </w:rPr>
      </w:pPr>
      <w:r>
        <w:rPr>
          <w:lang w:val="fr-FR"/>
        </w:rPr>
        <w:t>47.</w:t>
      </w:r>
      <w:r>
        <w:rPr>
          <w:lang w:val="fr-FR"/>
        </w:rPr>
        <w:tab/>
      </w:r>
      <w:r w:rsidRPr="00976C24">
        <w:rPr>
          <w:lang w:val="fr-FR"/>
        </w:rPr>
        <w:t>La Norvège aimerait préciser que ces statistiques ne couvrent pas les secteurs mentionnés au paragraphe 31 des observations finales du Comité. Les 35</w:t>
      </w:r>
      <w:r>
        <w:rPr>
          <w:lang w:val="fr-FR"/>
        </w:rPr>
        <w:t> </w:t>
      </w:r>
      <w:r w:rsidRPr="00976C24">
        <w:rPr>
          <w:lang w:val="fr-FR"/>
        </w:rPr>
        <w:t xml:space="preserve">000 accidents dont il est question comprennent tous les accidents du travail enregistrés (sans considération de leur gravité) sur des postes à terre, exception faite de l’industrie pétrolière. Le nombre d’accidents </w:t>
      </w:r>
      <w:r>
        <w:rPr>
          <w:lang w:val="fr-FR"/>
        </w:rPr>
        <w:t>professionnels</w:t>
      </w:r>
      <w:r w:rsidRPr="00976C24">
        <w:rPr>
          <w:lang w:val="fr-FR"/>
        </w:rPr>
        <w:t xml:space="preserve"> enregistré</w:t>
      </w:r>
      <w:r>
        <w:rPr>
          <w:lang w:val="fr-FR"/>
        </w:rPr>
        <w:t>s</w:t>
      </w:r>
      <w:r w:rsidRPr="00976C24">
        <w:rPr>
          <w:lang w:val="fr-FR"/>
        </w:rPr>
        <w:t xml:space="preserve"> a continuellement diminué, passant d’environ 35</w:t>
      </w:r>
      <w:r>
        <w:rPr>
          <w:lang w:val="fr-FR"/>
        </w:rPr>
        <w:t> </w:t>
      </w:r>
      <w:r w:rsidRPr="00976C24">
        <w:rPr>
          <w:lang w:val="fr-FR"/>
        </w:rPr>
        <w:t>000 en 1999 à environ 20</w:t>
      </w:r>
      <w:r>
        <w:rPr>
          <w:lang w:val="fr-FR"/>
        </w:rPr>
        <w:t> </w:t>
      </w:r>
      <w:r w:rsidRPr="00976C24">
        <w:rPr>
          <w:lang w:val="fr-FR"/>
        </w:rPr>
        <w:t xml:space="preserve">000 en 2008. Au cours de la décennie écoulée, </w:t>
      </w:r>
      <w:r>
        <w:rPr>
          <w:lang w:val="fr-FR"/>
        </w:rPr>
        <w:t>ce sont en</w:t>
      </w:r>
      <w:r w:rsidRPr="00976C24">
        <w:rPr>
          <w:lang w:val="fr-FR"/>
        </w:rPr>
        <w:t xml:space="preserve"> moyenne 43 accidents </w:t>
      </w:r>
      <w:r>
        <w:rPr>
          <w:lang w:val="fr-FR"/>
        </w:rPr>
        <w:t xml:space="preserve">du travail </w:t>
      </w:r>
      <w:r w:rsidRPr="00976C24">
        <w:rPr>
          <w:lang w:val="fr-FR"/>
        </w:rPr>
        <w:t xml:space="preserve">mortels </w:t>
      </w:r>
      <w:r>
        <w:rPr>
          <w:lang w:val="fr-FR"/>
        </w:rPr>
        <w:t>qui ont</w:t>
      </w:r>
      <w:r w:rsidRPr="00976C24">
        <w:rPr>
          <w:lang w:val="fr-FR"/>
        </w:rPr>
        <w:t xml:space="preserve"> été enregistré</w:t>
      </w:r>
      <w:r>
        <w:rPr>
          <w:lang w:val="fr-FR"/>
        </w:rPr>
        <w:t>s chaque année</w:t>
      </w:r>
      <w:r w:rsidRPr="00976C24">
        <w:rPr>
          <w:lang w:val="fr-FR"/>
        </w:rPr>
        <w:t xml:space="preserve"> </w:t>
      </w:r>
      <w:r>
        <w:rPr>
          <w:lang w:val="fr-FR"/>
        </w:rPr>
        <w:t>à terre</w:t>
      </w:r>
      <w:r w:rsidRPr="00976C24">
        <w:rPr>
          <w:lang w:val="fr-FR"/>
        </w:rPr>
        <w:t xml:space="preserve">. Ce secteur est </w:t>
      </w:r>
      <w:r>
        <w:rPr>
          <w:lang w:val="fr-FR"/>
        </w:rPr>
        <w:t xml:space="preserve">suivi </w:t>
      </w:r>
      <w:r w:rsidRPr="00976C24">
        <w:rPr>
          <w:lang w:val="fr-FR"/>
        </w:rPr>
        <w:t>par l’Inspection du travail et su</w:t>
      </w:r>
      <w:r>
        <w:rPr>
          <w:lang w:val="fr-FR"/>
        </w:rPr>
        <w:t>rveillé</w:t>
      </w:r>
      <w:r w:rsidRPr="00976C24">
        <w:rPr>
          <w:lang w:val="fr-FR"/>
        </w:rPr>
        <w:t xml:space="preserve"> conformément à la législation relative à la santé, </w:t>
      </w:r>
      <w:r>
        <w:rPr>
          <w:lang w:val="fr-FR"/>
        </w:rPr>
        <w:t>l’environnement de travail</w:t>
      </w:r>
      <w:r w:rsidRPr="00976C24">
        <w:rPr>
          <w:lang w:val="fr-FR"/>
        </w:rPr>
        <w:t xml:space="preserve"> et la sécurité. </w:t>
      </w:r>
    </w:p>
    <w:p w:rsidR="00903547" w:rsidRPr="00976C24" w:rsidRDefault="00903547" w:rsidP="00401FC0">
      <w:pPr>
        <w:pStyle w:val="SingleTxtG"/>
        <w:rPr>
          <w:lang w:val="fr-FR"/>
        </w:rPr>
      </w:pPr>
      <w:r>
        <w:rPr>
          <w:lang w:val="fr-FR"/>
        </w:rPr>
        <w:t>48.</w:t>
      </w:r>
      <w:r>
        <w:rPr>
          <w:lang w:val="fr-FR"/>
        </w:rPr>
        <w:tab/>
        <w:t>Au cours de la période 1999-</w:t>
      </w:r>
      <w:r w:rsidRPr="00976C24">
        <w:rPr>
          <w:lang w:val="fr-FR"/>
        </w:rPr>
        <w:t xml:space="preserve">2008, ce sont quelque 547 accidents </w:t>
      </w:r>
      <w:r>
        <w:rPr>
          <w:lang w:val="fr-FR"/>
        </w:rPr>
        <w:t>professionnels</w:t>
      </w:r>
      <w:r w:rsidRPr="00976C24">
        <w:rPr>
          <w:lang w:val="fr-FR"/>
        </w:rPr>
        <w:t xml:space="preserve"> qui ont été enregistrés chaque année dans l’industrie pétrolière offshore. Le nombre moyen d’accidents mortels enregistré sur la même période est de 0,5 par an. Ce secteur est su</w:t>
      </w:r>
      <w:r>
        <w:rPr>
          <w:lang w:val="fr-FR"/>
        </w:rPr>
        <w:t>ivi</w:t>
      </w:r>
      <w:r w:rsidRPr="00976C24">
        <w:rPr>
          <w:lang w:val="fr-FR"/>
        </w:rPr>
        <w:t xml:space="preserve"> et su</w:t>
      </w:r>
      <w:r>
        <w:rPr>
          <w:lang w:val="fr-FR"/>
        </w:rPr>
        <w:t>rveillé</w:t>
      </w:r>
      <w:r w:rsidRPr="00976C24">
        <w:rPr>
          <w:lang w:val="fr-FR"/>
        </w:rPr>
        <w:t xml:space="preserve"> par l’Autorité norvégienne de sûreté pétrolière. La su</w:t>
      </w:r>
      <w:r>
        <w:rPr>
          <w:lang w:val="fr-FR"/>
        </w:rPr>
        <w:t>rveillance</w:t>
      </w:r>
      <w:r w:rsidRPr="00976C24">
        <w:rPr>
          <w:lang w:val="fr-FR"/>
        </w:rPr>
        <w:t xml:space="preserve"> </w:t>
      </w:r>
      <w:r>
        <w:rPr>
          <w:lang w:val="fr-FR"/>
        </w:rPr>
        <w:t xml:space="preserve">porte sur </w:t>
      </w:r>
      <w:r w:rsidRPr="00976C24">
        <w:rPr>
          <w:lang w:val="fr-FR"/>
        </w:rPr>
        <w:t>des activités qui</w:t>
      </w:r>
      <w:r>
        <w:rPr>
          <w:lang w:val="fr-FR"/>
        </w:rPr>
        <w:t>, prises ensemble,</w:t>
      </w:r>
      <w:r w:rsidRPr="00976C24">
        <w:rPr>
          <w:lang w:val="fr-FR"/>
        </w:rPr>
        <w:t xml:space="preserve"> servent </w:t>
      </w:r>
      <w:r>
        <w:rPr>
          <w:lang w:val="fr-FR"/>
        </w:rPr>
        <w:t>à</w:t>
      </w:r>
      <w:r w:rsidRPr="00976C24">
        <w:rPr>
          <w:lang w:val="fr-FR"/>
        </w:rPr>
        <w:t xml:space="preserve"> </w:t>
      </w:r>
      <w:r>
        <w:rPr>
          <w:lang w:val="fr-FR"/>
        </w:rPr>
        <w:t>établir</w:t>
      </w:r>
      <w:r w:rsidRPr="00976C24">
        <w:rPr>
          <w:lang w:val="fr-FR"/>
        </w:rPr>
        <w:t xml:space="preserve"> si les compagnies s’acquittent de leur</w:t>
      </w:r>
      <w:r>
        <w:rPr>
          <w:lang w:val="fr-FR"/>
        </w:rPr>
        <w:t xml:space="preserve"> obligation</w:t>
      </w:r>
      <w:r w:rsidRPr="00976C24">
        <w:rPr>
          <w:lang w:val="fr-FR"/>
        </w:rPr>
        <w:t xml:space="preserve"> d’opérer </w:t>
      </w:r>
      <w:r>
        <w:rPr>
          <w:lang w:val="fr-FR"/>
        </w:rPr>
        <w:t>de façon responsable</w:t>
      </w:r>
      <w:r w:rsidRPr="00976C24">
        <w:rPr>
          <w:lang w:val="fr-FR"/>
        </w:rPr>
        <w:t xml:space="preserve"> à tous </w:t>
      </w:r>
      <w:r>
        <w:rPr>
          <w:lang w:val="fr-FR"/>
        </w:rPr>
        <w:t>égards</w:t>
      </w:r>
      <w:r w:rsidRPr="00976C24">
        <w:rPr>
          <w:lang w:val="fr-FR"/>
        </w:rPr>
        <w:t xml:space="preserve"> et conformément à la législation en matière de santé, d</w:t>
      </w:r>
      <w:r>
        <w:rPr>
          <w:lang w:val="fr-FR"/>
        </w:rPr>
        <w:t>’environnement de</w:t>
      </w:r>
      <w:r w:rsidRPr="00976C24">
        <w:rPr>
          <w:lang w:val="fr-FR"/>
        </w:rPr>
        <w:t xml:space="preserve"> travail et de sécurité.</w:t>
      </w:r>
    </w:p>
    <w:p w:rsidR="00903547" w:rsidRPr="00976C24" w:rsidRDefault="00903547" w:rsidP="00401FC0">
      <w:pPr>
        <w:pStyle w:val="SingleTxtG"/>
        <w:rPr>
          <w:lang w:val="fr-FR"/>
        </w:rPr>
      </w:pPr>
      <w:r>
        <w:rPr>
          <w:lang w:val="fr-FR"/>
        </w:rPr>
        <w:t>49.</w:t>
      </w:r>
      <w:r>
        <w:rPr>
          <w:lang w:val="fr-FR"/>
        </w:rPr>
        <w:tab/>
      </w:r>
      <w:r w:rsidRPr="00976C24">
        <w:rPr>
          <w:lang w:val="fr-FR"/>
        </w:rPr>
        <w:t>Entre 1999 et 2008, la Direction maritime norvégienne a enregistré en moyenne 22,</w:t>
      </w:r>
      <w:r>
        <w:rPr>
          <w:lang w:val="fr-FR"/>
        </w:rPr>
        <w:t xml:space="preserve">6 </w:t>
      </w:r>
      <w:r w:rsidRPr="00976C24">
        <w:rPr>
          <w:lang w:val="fr-FR"/>
        </w:rPr>
        <w:t xml:space="preserve">accidents mortels </w:t>
      </w:r>
      <w:r>
        <w:rPr>
          <w:lang w:val="fr-FR"/>
        </w:rPr>
        <w:t>et</w:t>
      </w:r>
      <w:r w:rsidRPr="00976C24">
        <w:rPr>
          <w:lang w:val="fr-FR"/>
        </w:rPr>
        <w:t xml:space="preserve"> 920 accidents du travail par an dans le</w:t>
      </w:r>
      <w:r>
        <w:rPr>
          <w:lang w:val="fr-FR"/>
        </w:rPr>
        <w:t>s</w:t>
      </w:r>
      <w:r w:rsidRPr="00976C24">
        <w:rPr>
          <w:lang w:val="fr-FR"/>
        </w:rPr>
        <w:t xml:space="preserve"> secteur</w:t>
      </w:r>
      <w:r>
        <w:rPr>
          <w:lang w:val="fr-FR"/>
        </w:rPr>
        <w:t>s</w:t>
      </w:r>
      <w:r w:rsidRPr="00976C24">
        <w:rPr>
          <w:lang w:val="fr-FR"/>
        </w:rPr>
        <w:t xml:space="preserve"> des transports maritimes et de la pêche. La Direction</w:t>
      </w:r>
      <w:r>
        <w:rPr>
          <w:lang w:val="fr-FR"/>
        </w:rPr>
        <w:t xml:space="preserve"> maritime exerce sa</w:t>
      </w:r>
      <w:r w:rsidRPr="00976C24">
        <w:rPr>
          <w:lang w:val="fr-FR"/>
        </w:rPr>
        <w:t xml:space="preserve"> su</w:t>
      </w:r>
      <w:r>
        <w:rPr>
          <w:lang w:val="fr-FR"/>
        </w:rPr>
        <w:t xml:space="preserve">rveillance </w:t>
      </w:r>
      <w:r w:rsidRPr="00976C24">
        <w:rPr>
          <w:lang w:val="fr-FR"/>
        </w:rPr>
        <w:t xml:space="preserve">en vertu de la loi sur la sûreté et la sécurité maritimes. Les règles s’appliquent à tous les navires </w:t>
      </w:r>
      <w:r>
        <w:rPr>
          <w:lang w:val="fr-FR"/>
        </w:rPr>
        <w:t>inscrits</w:t>
      </w:r>
      <w:r w:rsidRPr="00976C24">
        <w:rPr>
          <w:lang w:val="fr-FR"/>
        </w:rPr>
        <w:t xml:space="preserve"> dans un registre maritime norvég</w:t>
      </w:r>
      <w:r>
        <w:rPr>
          <w:lang w:val="fr-FR"/>
        </w:rPr>
        <w:t>ien. La Direction effectue</w:t>
      </w:r>
      <w:r w:rsidRPr="00976C24">
        <w:rPr>
          <w:lang w:val="fr-FR"/>
        </w:rPr>
        <w:t xml:space="preserve"> des inspections et des enquêtes pour s’assurer que les activités sont planifiées, organisées, exécutées et gérées conformément aux règles applicables aux domaines rég</w:t>
      </w:r>
      <w:r>
        <w:rPr>
          <w:lang w:val="fr-FR"/>
        </w:rPr>
        <w:t>is</w:t>
      </w:r>
      <w:r w:rsidRPr="00976C24">
        <w:rPr>
          <w:lang w:val="fr-FR"/>
        </w:rPr>
        <w:t xml:space="preserve"> par la loi sur la sûreté et la sécurité maritimes et les règlements y afférents.</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32 des observations finales</w:t>
      </w:r>
    </w:p>
    <w:p w:rsidR="00903547" w:rsidRPr="00976C24" w:rsidRDefault="00903547" w:rsidP="00401FC0">
      <w:pPr>
        <w:pStyle w:val="SingleTxtG"/>
        <w:rPr>
          <w:lang w:val="fr-FR"/>
        </w:rPr>
      </w:pPr>
      <w:r>
        <w:rPr>
          <w:lang w:val="fr-FR"/>
        </w:rPr>
        <w:t>50.</w:t>
      </w:r>
      <w:r>
        <w:rPr>
          <w:lang w:val="fr-FR"/>
        </w:rPr>
        <w:tab/>
      </w:r>
      <w:r w:rsidRPr="00976C24">
        <w:rPr>
          <w:lang w:val="fr-FR"/>
        </w:rPr>
        <w:t>Le Comité pourra se reporter au</w:t>
      </w:r>
      <w:r>
        <w:rPr>
          <w:lang w:val="fr-FR"/>
        </w:rPr>
        <w:t xml:space="preserve">x paragraphes 222 à </w:t>
      </w:r>
      <w:r w:rsidRPr="00976C24">
        <w:rPr>
          <w:lang w:val="fr-FR"/>
        </w:rPr>
        <w:t>239</w:t>
      </w:r>
      <w:r>
        <w:rPr>
          <w:lang w:val="fr-FR"/>
        </w:rPr>
        <w:t xml:space="preserve"> du quatrième</w:t>
      </w:r>
      <w:r w:rsidRPr="00976C24">
        <w:rPr>
          <w:lang w:val="fr-FR"/>
        </w:rPr>
        <w:t xml:space="preserve"> rapport périodique de la Norvège </w:t>
      </w:r>
      <w:r>
        <w:rPr>
          <w:lang w:val="fr-FR"/>
        </w:rPr>
        <w:t xml:space="preserve">soumis </w:t>
      </w:r>
      <w:r w:rsidRPr="00976C24">
        <w:rPr>
          <w:lang w:val="fr-FR"/>
        </w:rPr>
        <w:t xml:space="preserve">au Comité des droits de l’enfant (CRC/C/NOR/4) concernant les mesures relatives aux enfants privés de leur milieu familial. Le Gouvernement a lancé </w:t>
      </w:r>
      <w:r>
        <w:rPr>
          <w:lang w:val="fr-FR"/>
        </w:rPr>
        <w:t>deux projets de recherche (2010-</w:t>
      </w:r>
      <w:r w:rsidRPr="00976C24">
        <w:rPr>
          <w:lang w:val="fr-FR"/>
        </w:rPr>
        <w:t>2012) sur l</w:t>
      </w:r>
      <w:r>
        <w:rPr>
          <w:lang w:val="fr-FR"/>
        </w:rPr>
        <w:t>’origine</w:t>
      </w:r>
      <w:r w:rsidRPr="00976C24">
        <w:rPr>
          <w:lang w:val="fr-FR"/>
        </w:rPr>
        <w:t xml:space="preserve"> de la hausse du nombre d’affaires relevant de la protection de l’enfance. L’une des </w:t>
      </w:r>
      <w:r>
        <w:rPr>
          <w:lang w:val="fr-FR"/>
        </w:rPr>
        <w:t>explications</w:t>
      </w:r>
      <w:r w:rsidRPr="00976C24">
        <w:rPr>
          <w:lang w:val="fr-FR"/>
        </w:rPr>
        <w:t xml:space="preserve"> </w:t>
      </w:r>
      <w:r>
        <w:rPr>
          <w:lang w:val="fr-FR"/>
        </w:rPr>
        <w:t>est peut-</w:t>
      </w:r>
      <w:r w:rsidRPr="00976C24">
        <w:rPr>
          <w:lang w:val="fr-FR"/>
        </w:rPr>
        <w:t xml:space="preserve">être l’amélioration des procédures </w:t>
      </w:r>
      <w:r>
        <w:rPr>
          <w:lang w:val="fr-FR"/>
        </w:rPr>
        <w:t>d</w:t>
      </w:r>
      <w:r w:rsidRPr="00976C24">
        <w:rPr>
          <w:lang w:val="fr-FR"/>
        </w:rPr>
        <w:t xml:space="preserve">es services de protection de l’enfance </w:t>
      </w:r>
      <w:r>
        <w:rPr>
          <w:lang w:val="fr-FR"/>
        </w:rPr>
        <w:t xml:space="preserve">mises en œuvre </w:t>
      </w:r>
      <w:r w:rsidRPr="00976C24">
        <w:rPr>
          <w:lang w:val="fr-FR"/>
        </w:rPr>
        <w:t xml:space="preserve">pour repérer les enfants à risque et les cas qui posent problème. </w:t>
      </w:r>
      <w:r>
        <w:rPr>
          <w:lang w:val="fr-FR"/>
        </w:rPr>
        <w:t>L</w:t>
      </w:r>
      <w:r w:rsidRPr="00976C24">
        <w:rPr>
          <w:lang w:val="fr-FR"/>
        </w:rPr>
        <w:t xml:space="preserve">e nombre de cas signalés aux services de protection de l’enfance </w:t>
      </w:r>
      <w:r>
        <w:rPr>
          <w:lang w:val="fr-FR"/>
        </w:rPr>
        <w:t>est également en forte augmentation.</w:t>
      </w:r>
    </w:p>
    <w:p w:rsidR="00903547" w:rsidRPr="00976C24" w:rsidRDefault="00903547" w:rsidP="00401FC0">
      <w:pPr>
        <w:pStyle w:val="SingleTxtG"/>
        <w:rPr>
          <w:lang w:val="fr-FR"/>
        </w:rPr>
      </w:pPr>
      <w:r>
        <w:rPr>
          <w:lang w:val="fr-FR"/>
        </w:rPr>
        <w:t>51.</w:t>
      </w:r>
      <w:r>
        <w:rPr>
          <w:lang w:val="fr-FR"/>
        </w:rPr>
        <w:tab/>
      </w:r>
      <w:r w:rsidRPr="00976C24">
        <w:rPr>
          <w:lang w:val="fr-FR"/>
        </w:rPr>
        <w:t>Les dernières statistiques, qui datent de 2008, reflètent la tendance depuis 2005. Les chiffres pour 2005 sont entre parenthèses. Un total de 33</w:t>
      </w:r>
      <w:r>
        <w:rPr>
          <w:lang w:val="fr-FR"/>
        </w:rPr>
        <w:t> </w:t>
      </w:r>
      <w:r w:rsidRPr="00976C24">
        <w:rPr>
          <w:lang w:val="fr-FR"/>
        </w:rPr>
        <w:t>917 (28</w:t>
      </w:r>
      <w:r>
        <w:rPr>
          <w:lang w:val="fr-FR"/>
        </w:rPr>
        <w:t> </w:t>
      </w:r>
      <w:r w:rsidRPr="00976C24">
        <w:rPr>
          <w:lang w:val="fr-FR"/>
        </w:rPr>
        <w:t xml:space="preserve">775) enfants et adolescents </w:t>
      </w:r>
      <w:r>
        <w:rPr>
          <w:lang w:val="fr-FR"/>
        </w:rPr>
        <w:t>faisaient</w:t>
      </w:r>
      <w:r w:rsidRPr="00976C24">
        <w:rPr>
          <w:lang w:val="fr-FR"/>
        </w:rPr>
        <w:t xml:space="preserve"> l’objet de mesures de protection au 31 décembre 2008, ce qui correspond à 28,4 (24,5) pour 1 000 dans le groupe d’âge des 0 à 17 ans ou 24 pour 1 000 dans le groupe d’âge des 0 à 22 ans. Fin 2008, 541 (569) enfants </w:t>
      </w:r>
      <w:r>
        <w:rPr>
          <w:lang w:val="fr-FR"/>
        </w:rPr>
        <w:t>bénéficiaient</w:t>
      </w:r>
      <w:r w:rsidRPr="00976C24">
        <w:rPr>
          <w:lang w:val="fr-FR"/>
        </w:rPr>
        <w:t xml:space="preserve"> de mesures de protection et </w:t>
      </w:r>
      <w:r>
        <w:rPr>
          <w:lang w:val="fr-FR"/>
        </w:rPr>
        <w:t>étaient</w:t>
      </w:r>
      <w:r w:rsidRPr="00976C24">
        <w:rPr>
          <w:lang w:val="fr-FR"/>
        </w:rPr>
        <w:t xml:space="preserve"> placés en institution tandis que 5</w:t>
      </w:r>
      <w:r>
        <w:rPr>
          <w:lang w:val="fr-FR"/>
        </w:rPr>
        <w:t> </w:t>
      </w:r>
      <w:r w:rsidRPr="00976C24">
        <w:rPr>
          <w:lang w:val="fr-FR"/>
        </w:rPr>
        <w:t>666 (5</w:t>
      </w:r>
      <w:r>
        <w:rPr>
          <w:lang w:val="fr-FR"/>
        </w:rPr>
        <w:t> </w:t>
      </w:r>
      <w:r w:rsidRPr="00976C24">
        <w:rPr>
          <w:lang w:val="fr-FR"/>
        </w:rPr>
        <w:t xml:space="preserve">054) étaient placés en famille d’accueil. Le pourcentage d’enfants faisant l’objet d’une ordonnance de prise en charge ou de protection </w:t>
      </w:r>
      <w:r>
        <w:rPr>
          <w:lang w:val="fr-FR"/>
        </w:rPr>
        <w:t xml:space="preserve">et </w:t>
      </w:r>
      <w:r w:rsidRPr="00976C24">
        <w:rPr>
          <w:lang w:val="fr-FR"/>
        </w:rPr>
        <w:t>placés en institution ou en famille d’accueil (6</w:t>
      </w:r>
      <w:r>
        <w:rPr>
          <w:lang w:val="fr-FR"/>
        </w:rPr>
        <w:t> </w:t>
      </w:r>
      <w:r w:rsidRPr="00976C24">
        <w:rPr>
          <w:lang w:val="fr-FR"/>
        </w:rPr>
        <w:t>207) (5</w:t>
      </w:r>
      <w:r>
        <w:rPr>
          <w:lang w:val="fr-FR"/>
        </w:rPr>
        <w:t> </w:t>
      </w:r>
      <w:r w:rsidRPr="00976C24">
        <w:rPr>
          <w:lang w:val="fr-FR"/>
        </w:rPr>
        <w:t xml:space="preserve">623) </w:t>
      </w:r>
      <w:r>
        <w:rPr>
          <w:lang w:val="fr-FR"/>
        </w:rPr>
        <w:t>sur l’ensemble d</w:t>
      </w:r>
      <w:r w:rsidRPr="00976C24">
        <w:rPr>
          <w:lang w:val="fr-FR"/>
        </w:rPr>
        <w:t xml:space="preserve">es enfants </w:t>
      </w:r>
      <w:r>
        <w:rPr>
          <w:lang w:val="fr-FR"/>
        </w:rPr>
        <w:t>bénéficiant</w:t>
      </w:r>
      <w:r w:rsidRPr="00976C24">
        <w:rPr>
          <w:lang w:val="fr-FR"/>
        </w:rPr>
        <w:t xml:space="preserve"> de mesures de protection (33</w:t>
      </w:r>
      <w:r>
        <w:rPr>
          <w:lang w:val="fr-FR"/>
        </w:rPr>
        <w:t> </w:t>
      </w:r>
      <w:r w:rsidRPr="00976C24">
        <w:rPr>
          <w:lang w:val="fr-FR"/>
        </w:rPr>
        <w:t>917) (28</w:t>
      </w:r>
      <w:r>
        <w:rPr>
          <w:lang w:val="fr-FR"/>
        </w:rPr>
        <w:t> </w:t>
      </w:r>
      <w:r w:rsidRPr="00976C24">
        <w:rPr>
          <w:lang w:val="fr-FR"/>
        </w:rPr>
        <w:t xml:space="preserve">775) </w:t>
      </w:r>
      <w:r>
        <w:rPr>
          <w:lang w:val="fr-FR"/>
        </w:rPr>
        <w:t>était</w:t>
      </w:r>
      <w:r w:rsidRPr="00976C24">
        <w:rPr>
          <w:lang w:val="fr-FR"/>
        </w:rPr>
        <w:t xml:space="preserve"> de 18 (19)</w:t>
      </w:r>
      <w:r>
        <w:rPr>
          <w:lang w:val="fr-FR"/>
        </w:rPr>
        <w:t> </w:t>
      </w:r>
      <w:r w:rsidRPr="00976C24">
        <w:rPr>
          <w:lang w:val="fr-FR"/>
        </w:rPr>
        <w:t xml:space="preserve">%. </w:t>
      </w:r>
      <w:r>
        <w:rPr>
          <w:lang w:val="fr-FR"/>
        </w:rPr>
        <w:t>À la même date</w:t>
      </w:r>
      <w:r w:rsidRPr="00976C24">
        <w:rPr>
          <w:lang w:val="fr-FR"/>
        </w:rPr>
        <w:t>, 861 (710) enfants et adolescents étaient placés en institution et 2</w:t>
      </w:r>
      <w:r>
        <w:rPr>
          <w:lang w:val="fr-FR"/>
        </w:rPr>
        <w:t> </w:t>
      </w:r>
      <w:r w:rsidRPr="00976C24">
        <w:rPr>
          <w:lang w:val="fr-FR"/>
        </w:rPr>
        <w:t>292 (1</w:t>
      </w:r>
      <w:r>
        <w:rPr>
          <w:lang w:val="fr-FR"/>
        </w:rPr>
        <w:t> </w:t>
      </w:r>
      <w:r w:rsidRPr="00976C24">
        <w:rPr>
          <w:lang w:val="fr-FR"/>
        </w:rPr>
        <w:t>868) en famille d’accueil en vertu de mesures d’assistance volontaire. Si l’on ajoute les enfants et les adolescents placés volontairement (3</w:t>
      </w:r>
      <w:r>
        <w:rPr>
          <w:lang w:val="fr-FR"/>
        </w:rPr>
        <w:t> </w:t>
      </w:r>
      <w:r w:rsidRPr="00976C24">
        <w:rPr>
          <w:lang w:val="fr-FR"/>
        </w:rPr>
        <w:t>090) (2</w:t>
      </w:r>
      <w:r>
        <w:rPr>
          <w:lang w:val="fr-FR"/>
        </w:rPr>
        <w:t> </w:t>
      </w:r>
      <w:r w:rsidRPr="00976C24">
        <w:rPr>
          <w:lang w:val="fr-FR"/>
        </w:rPr>
        <w:t xml:space="preserve">578), le pourcentage total des placements en institution </w:t>
      </w:r>
      <w:r>
        <w:rPr>
          <w:lang w:val="fr-FR"/>
        </w:rPr>
        <w:t>ou en</w:t>
      </w:r>
      <w:r w:rsidRPr="00976C24">
        <w:rPr>
          <w:lang w:val="fr-FR"/>
        </w:rPr>
        <w:t xml:space="preserve"> famille d’accueil était de 27 (29)</w:t>
      </w:r>
      <w:r>
        <w:rPr>
          <w:lang w:val="fr-FR"/>
        </w:rPr>
        <w:t> </w:t>
      </w:r>
      <w:r w:rsidRPr="00976C24">
        <w:rPr>
          <w:lang w:val="fr-FR"/>
        </w:rPr>
        <w:t>% au 31</w:t>
      </w:r>
      <w:r>
        <w:rPr>
          <w:lang w:val="fr-FR"/>
        </w:rPr>
        <w:t> </w:t>
      </w:r>
      <w:r w:rsidRPr="00976C24">
        <w:rPr>
          <w:lang w:val="fr-FR"/>
        </w:rPr>
        <w:t xml:space="preserve">décembre 2008. </w:t>
      </w:r>
    </w:p>
    <w:p w:rsidR="00903547" w:rsidRPr="00976C24" w:rsidRDefault="00903547" w:rsidP="00401FC0">
      <w:pPr>
        <w:pStyle w:val="SingleTxtG"/>
        <w:rPr>
          <w:lang w:val="fr-FR"/>
        </w:rPr>
      </w:pPr>
      <w:r>
        <w:rPr>
          <w:lang w:val="fr-FR"/>
        </w:rPr>
        <w:t>52.</w:t>
      </w:r>
      <w:r>
        <w:rPr>
          <w:lang w:val="fr-FR"/>
        </w:rPr>
        <w:tab/>
        <w:t>L</w:t>
      </w:r>
      <w:r w:rsidRPr="00976C24">
        <w:rPr>
          <w:lang w:val="fr-FR"/>
        </w:rPr>
        <w:t>a loi sur la protection de l’enfance</w:t>
      </w:r>
      <w:r>
        <w:rPr>
          <w:lang w:val="fr-FR"/>
        </w:rPr>
        <w:t xml:space="preserve"> dispose que</w:t>
      </w:r>
      <w:r w:rsidRPr="00976C24">
        <w:rPr>
          <w:lang w:val="fr-FR"/>
        </w:rPr>
        <w:t xml:space="preserve"> l</w:t>
      </w:r>
      <w:r>
        <w:rPr>
          <w:lang w:val="fr-FR"/>
        </w:rPr>
        <w:t>e placement d’</w:t>
      </w:r>
      <w:r w:rsidRPr="00976C24">
        <w:rPr>
          <w:lang w:val="fr-FR"/>
        </w:rPr>
        <w:t>un enfant en famille d’accueil</w:t>
      </w:r>
      <w:r>
        <w:rPr>
          <w:lang w:val="fr-FR"/>
        </w:rPr>
        <w:t xml:space="preserve"> doit</w:t>
      </w:r>
      <w:r w:rsidRPr="00976C24">
        <w:rPr>
          <w:lang w:val="fr-FR"/>
        </w:rPr>
        <w:t xml:space="preserve"> dûment tenir compte de l’opportunité d’assurer la continuité de l’éducation de l’enfant et d</w:t>
      </w:r>
      <w:r>
        <w:rPr>
          <w:lang w:val="fr-FR"/>
        </w:rPr>
        <w:t>e son cadre ethnique, culturel</w:t>
      </w:r>
      <w:r w:rsidRPr="00976C24">
        <w:rPr>
          <w:lang w:val="fr-FR"/>
        </w:rPr>
        <w:t xml:space="preserve"> et linguistique. Le Ministère de l’enfance, de l’égalité et de l’insertion sociale s’emploie à renforcer</w:t>
      </w:r>
      <w:r>
        <w:rPr>
          <w:lang w:val="fr-FR"/>
        </w:rPr>
        <w:t xml:space="preserve"> les activités de supervision des</w:t>
      </w:r>
      <w:r w:rsidRPr="00976C24">
        <w:rPr>
          <w:lang w:val="fr-FR"/>
        </w:rPr>
        <w:t xml:space="preserve"> services de protection de l’enfance pour ce qui concerne la langue et la culture samis dans le </w:t>
      </w:r>
      <w:r>
        <w:rPr>
          <w:lang w:val="fr-FR"/>
        </w:rPr>
        <w:t>cas d’</w:t>
      </w:r>
      <w:r w:rsidRPr="00976C24">
        <w:rPr>
          <w:lang w:val="fr-FR"/>
        </w:rPr>
        <w:t xml:space="preserve">enfants samis placés en institution ou en famille d’accueil. Le Comité pourra </w:t>
      </w:r>
      <w:r>
        <w:rPr>
          <w:lang w:val="fr-FR"/>
        </w:rPr>
        <w:t xml:space="preserve">se reporter aux paragraphes 564 à </w:t>
      </w:r>
      <w:r w:rsidRPr="00976C24">
        <w:rPr>
          <w:lang w:val="fr-FR"/>
        </w:rPr>
        <w:t xml:space="preserve">566 du rapport </w:t>
      </w:r>
      <w:r>
        <w:rPr>
          <w:lang w:val="fr-FR"/>
        </w:rPr>
        <w:t xml:space="preserve">soumis </w:t>
      </w:r>
      <w:r w:rsidRPr="00976C24">
        <w:rPr>
          <w:lang w:val="fr-FR"/>
        </w:rPr>
        <w:t>au Comité des droits de l’enfant concernant les services de protection pour les enfants samis.</w:t>
      </w:r>
    </w:p>
    <w:p w:rsidR="00903547" w:rsidRPr="00976C24" w:rsidRDefault="00903547" w:rsidP="00401FC0">
      <w:pPr>
        <w:pStyle w:val="SingleTxtG"/>
        <w:rPr>
          <w:lang w:val="fr-FR"/>
        </w:rPr>
      </w:pPr>
      <w:r>
        <w:rPr>
          <w:lang w:val="fr-FR"/>
        </w:rPr>
        <w:t>53.</w:t>
      </w:r>
      <w:r>
        <w:rPr>
          <w:lang w:val="fr-FR"/>
        </w:rPr>
        <w:tab/>
      </w:r>
      <w:r w:rsidRPr="00976C24">
        <w:rPr>
          <w:lang w:val="fr-FR"/>
        </w:rPr>
        <w:t xml:space="preserve">Le Comité pourra </w:t>
      </w:r>
      <w:r>
        <w:rPr>
          <w:lang w:val="fr-FR"/>
        </w:rPr>
        <w:t xml:space="preserve">également </w:t>
      </w:r>
      <w:r w:rsidRPr="00976C24">
        <w:rPr>
          <w:lang w:val="fr-FR"/>
        </w:rPr>
        <w:t>se r</w:t>
      </w:r>
      <w:r>
        <w:rPr>
          <w:lang w:val="fr-FR"/>
        </w:rPr>
        <w:t xml:space="preserve">éférer aux paragraphes 39 à </w:t>
      </w:r>
      <w:r w:rsidRPr="00976C24">
        <w:rPr>
          <w:lang w:val="fr-FR"/>
        </w:rPr>
        <w:t>42</w:t>
      </w:r>
      <w:r>
        <w:rPr>
          <w:lang w:val="fr-FR"/>
        </w:rPr>
        <w:t xml:space="preserve"> de</w:t>
      </w:r>
      <w:r w:rsidRPr="00976C24">
        <w:rPr>
          <w:lang w:val="fr-FR"/>
        </w:rPr>
        <w:t xml:space="preserve"> ce même rapport </w:t>
      </w:r>
      <w:r>
        <w:rPr>
          <w:lang w:val="fr-FR"/>
        </w:rPr>
        <w:t>sur</w:t>
      </w:r>
      <w:r w:rsidRPr="00976C24">
        <w:rPr>
          <w:lang w:val="fr-FR"/>
        </w:rPr>
        <w:t xml:space="preserve"> les statistiques de la protection de l’enfance. Les statistiques portant sur le nombre d’enfants placés en institution ou en famille d’accueil sont publiées chaque année par le Bureau norvégien de statistique</w:t>
      </w:r>
      <w:r>
        <w:rPr>
          <w:lang w:val="fr-FR"/>
        </w:rPr>
        <w:t xml:space="preserve"> et assorties de renseignements</w:t>
      </w:r>
      <w:r w:rsidRPr="00976C24">
        <w:rPr>
          <w:lang w:val="fr-FR"/>
        </w:rPr>
        <w:t xml:space="preserve"> sur les motifs d</w:t>
      </w:r>
      <w:r>
        <w:rPr>
          <w:lang w:val="fr-FR"/>
        </w:rPr>
        <w:t>’intervention dans le cas des «nouveaux enfants</w:t>
      </w:r>
      <w:r w:rsidRPr="00976C24">
        <w:rPr>
          <w:lang w:val="fr-FR"/>
        </w:rPr>
        <w:t xml:space="preserve">», c’est-à-dire </w:t>
      </w:r>
      <w:r>
        <w:rPr>
          <w:lang w:val="fr-FR"/>
        </w:rPr>
        <w:t>ceux</w:t>
      </w:r>
      <w:r w:rsidRPr="00976C24">
        <w:rPr>
          <w:lang w:val="fr-FR"/>
        </w:rPr>
        <w:t xml:space="preserve"> qui n’ont pas fait l’objet de mesures de protection au cours de l’année précédente. </w:t>
      </w:r>
      <w:r>
        <w:rPr>
          <w:lang w:val="fr-FR"/>
        </w:rPr>
        <w:t>À</w:t>
      </w:r>
      <w:r w:rsidRPr="00976C24">
        <w:rPr>
          <w:lang w:val="fr-FR"/>
        </w:rPr>
        <w:t xml:space="preserve"> </w:t>
      </w:r>
      <w:r>
        <w:rPr>
          <w:lang w:val="fr-FR"/>
        </w:rPr>
        <w:t>l’heure actuelle</w:t>
      </w:r>
      <w:r w:rsidRPr="00976C24">
        <w:rPr>
          <w:lang w:val="fr-FR"/>
        </w:rPr>
        <w:t xml:space="preserve">, </w:t>
      </w:r>
      <w:r>
        <w:rPr>
          <w:lang w:val="fr-FR"/>
        </w:rPr>
        <w:t>les</w:t>
      </w:r>
      <w:r w:rsidRPr="00976C24">
        <w:rPr>
          <w:lang w:val="fr-FR"/>
        </w:rPr>
        <w:t xml:space="preserve"> statistiques </w:t>
      </w:r>
      <w:r>
        <w:rPr>
          <w:lang w:val="fr-FR"/>
        </w:rPr>
        <w:t>sur</w:t>
      </w:r>
      <w:r w:rsidRPr="00976C24">
        <w:rPr>
          <w:lang w:val="fr-FR"/>
        </w:rPr>
        <w:t xml:space="preserve"> la durée moyenne de placement en famille d’accueil et en institution</w:t>
      </w:r>
      <w:r>
        <w:rPr>
          <w:lang w:val="fr-FR"/>
        </w:rPr>
        <w:t xml:space="preserve"> ne sont pas une priorité</w:t>
      </w:r>
      <w:r w:rsidRPr="00976C24">
        <w:rPr>
          <w:lang w:val="fr-FR"/>
        </w:rPr>
        <w:t>. L</w:t>
      </w:r>
      <w:r>
        <w:rPr>
          <w:lang w:val="fr-FR"/>
        </w:rPr>
        <w:t>’inventaire d</w:t>
      </w:r>
      <w:r w:rsidRPr="00976C24">
        <w:rPr>
          <w:lang w:val="fr-FR"/>
        </w:rPr>
        <w:t xml:space="preserve">es mesures prises pour réunir les enfants et leur famille biologique </w:t>
      </w:r>
      <w:r>
        <w:rPr>
          <w:lang w:val="fr-FR"/>
        </w:rPr>
        <w:t>rencontre</w:t>
      </w:r>
      <w:r w:rsidRPr="00976C24">
        <w:rPr>
          <w:lang w:val="fr-FR"/>
        </w:rPr>
        <w:t xml:space="preserve"> des problèmes </w:t>
      </w:r>
      <w:r>
        <w:rPr>
          <w:lang w:val="fr-FR"/>
        </w:rPr>
        <w:t>de</w:t>
      </w:r>
      <w:r w:rsidRPr="00976C24">
        <w:rPr>
          <w:lang w:val="fr-FR"/>
        </w:rPr>
        <w:t xml:space="preserve"> validité méthodologique. </w:t>
      </w:r>
    </w:p>
    <w:p w:rsidR="00903547" w:rsidRPr="00976C24" w:rsidRDefault="00903547" w:rsidP="00401FC0">
      <w:pPr>
        <w:pStyle w:val="SingleTxtG"/>
        <w:rPr>
          <w:lang w:val="fr-FR"/>
        </w:rPr>
      </w:pPr>
      <w:r>
        <w:rPr>
          <w:lang w:val="fr-FR"/>
        </w:rPr>
        <w:t>54.</w:t>
      </w:r>
      <w:r>
        <w:rPr>
          <w:lang w:val="fr-FR"/>
        </w:rPr>
        <w:tab/>
      </w:r>
      <w:r w:rsidRPr="00976C24">
        <w:rPr>
          <w:lang w:val="fr-FR"/>
        </w:rPr>
        <w:t>En juin 2005</w:t>
      </w:r>
      <w:r>
        <w:rPr>
          <w:lang w:val="fr-FR"/>
        </w:rPr>
        <w:t>, l’article</w:t>
      </w:r>
      <w:r w:rsidRPr="00976C24">
        <w:rPr>
          <w:lang w:val="fr-FR"/>
        </w:rPr>
        <w:t xml:space="preserve"> 4-16 de la loi sur la protection de l’enfance a été modifié </w:t>
      </w:r>
      <w:r>
        <w:rPr>
          <w:lang w:val="fr-FR"/>
        </w:rPr>
        <w:t>et fait obligation</w:t>
      </w:r>
      <w:r w:rsidRPr="00976C24">
        <w:rPr>
          <w:lang w:val="fr-FR"/>
        </w:rPr>
        <w:t xml:space="preserve"> aux se</w:t>
      </w:r>
      <w:r>
        <w:rPr>
          <w:lang w:val="fr-FR"/>
        </w:rPr>
        <w:t>rvices de protection de l’enfance</w:t>
      </w:r>
      <w:r w:rsidRPr="00976C24">
        <w:rPr>
          <w:lang w:val="fr-FR"/>
        </w:rPr>
        <w:t xml:space="preserve"> de suivre les parents plus ouvertement qu</w:t>
      </w:r>
      <w:r>
        <w:rPr>
          <w:lang w:val="fr-FR"/>
        </w:rPr>
        <w:t>’avant</w:t>
      </w:r>
      <w:r w:rsidRPr="00976C24">
        <w:rPr>
          <w:lang w:val="fr-FR"/>
        </w:rPr>
        <w:t>. En mai 2009, le Gouvernement a publié un guide (uniquement en langue norvégienne</w:t>
      </w:r>
      <w:r>
        <w:rPr>
          <w:lang w:val="fr-FR"/>
        </w:rPr>
        <w:t xml:space="preserve">) </w:t>
      </w:r>
      <w:r w:rsidRPr="00976C24">
        <w:rPr>
          <w:lang w:val="fr-FR"/>
        </w:rPr>
        <w:t>sur la façon de suivre les parents d’enfants/adolescents placés en famille d’accueil ou en institution.</w:t>
      </w:r>
      <w:r>
        <w:rPr>
          <w:lang w:val="fr-FR"/>
        </w:rPr>
        <w:t xml:space="preserve"> </w:t>
      </w:r>
      <w:r w:rsidRPr="00976C24">
        <w:rPr>
          <w:lang w:val="fr-FR"/>
        </w:rPr>
        <w:t>L</w:t>
      </w:r>
      <w:r>
        <w:rPr>
          <w:lang w:val="fr-FR"/>
        </w:rPr>
        <w:t xml:space="preserve">a marche à suivre pour venir en </w:t>
      </w:r>
      <w:r w:rsidRPr="00976C24">
        <w:rPr>
          <w:lang w:val="fr-FR"/>
        </w:rPr>
        <w:t>a</w:t>
      </w:r>
      <w:r>
        <w:rPr>
          <w:lang w:val="fr-FR"/>
        </w:rPr>
        <w:t>ide</w:t>
      </w:r>
      <w:r w:rsidRPr="00976C24">
        <w:rPr>
          <w:lang w:val="fr-FR"/>
        </w:rPr>
        <w:t xml:space="preserve"> aux parents </w:t>
      </w:r>
      <w:r>
        <w:rPr>
          <w:lang w:val="fr-FR"/>
        </w:rPr>
        <w:t>fera partie</w:t>
      </w:r>
      <w:r w:rsidRPr="00976C24">
        <w:rPr>
          <w:lang w:val="fr-FR"/>
        </w:rPr>
        <w:t xml:space="preserve"> </w:t>
      </w:r>
      <w:r>
        <w:rPr>
          <w:lang w:val="fr-FR"/>
        </w:rPr>
        <w:t xml:space="preserve">en 2010 </w:t>
      </w:r>
      <w:r w:rsidRPr="00976C24">
        <w:rPr>
          <w:lang w:val="fr-FR"/>
        </w:rPr>
        <w:t>de</w:t>
      </w:r>
      <w:r>
        <w:rPr>
          <w:lang w:val="fr-FR"/>
        </w:rPr>
        <w:t>s</w:t>
      </w:r>
      <w:r w:rsidRPr="00976C24">
        <w:rPr>
          <w:lang w:val="fr-FR"/>
        </w:rPr>
        <w:t xml:space="preserve"> formations régionales </w:t>
      </w:r>
      <w:r>
        <w:rPr>
          <w:lang w:val="fr-FR"/>
        </w:rPr>
        <w:t xml:space="preserve">organisées pour les </w:t>
      </w:r>
      <w:r w:rsidRPr="00976C24">
        <w:rPr>
          <w:lang w:val="fr-FR"/>
        </w:rPr>
        <w:t>services de protection de l’enfance</w:t>
      </w:r>
      <w:r>
        <w:rPr>
          <w:lang w:val="fr-FR"/>
        </w:rPr>
        <w:t>.</w:t>
      </w:r>
      <w:r w:rsidRPr="00976C24">
        <w:rPr>
          <w:lang w:val="fr-FR"/>
        </w:rPr>
        <w:t xml:space="preserve"> </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33 des observations finales</w:t>
      </w:r>
    </w:p>
    <w:p w:rsidR="00903547" w:rsidRPr="00976C24" w:rsidRDefault="00903547" w:rsidP="00401FC0">
      <w:pPr>
        <w:pStyle w:val="SingleTxtG"/>
        <w:rPr>
          <w:lang w:val="fr-FR"/>
        </w:rPr>
      </w:pPr>
      <w:r>
        <w:rPr>
          <w:lang w:val="fr-FR"/>
        </w:rPr>
        <w:t>55.</w:t>
      </w:r>
      <w:r>
        <w:rPr>
          <w:lang w:val="fr-FR"/>
        </w:rPr>
        <w:tab/>
        <w:t>Depuis le</w:t>
      </w:r>
      <w:r w:rsidRPr="00976C24">
        <w:rPr>
          <w:lang w:val="fr-FR"/>
        </w:rPr>
        <w:t xml:space="preserve"> </w:t>
      </w:r>
      <w:r>
        <w:rPr>
          <w:lang w:val="fr-FR"/>
        </w:rPr>
        <w:t>1</w:t>
      </w:r>
      <w:r w:rsidRPr="002F07F1">
        <w:rPr>
          <w:vertAlign w:val="superscript"/>
          <w:lang w:val="fr-FR"/>
        </w:rPr>
        <w:t>er</w:t>
      </w:r>
      <w:r>
        <w:rPr>
          <w:lang w:val="fr-FR"/>
        </w:rPr>
        <w:t xml:space="preserve"> </w:t>
      </w:r>
      <w:r w:rsidRPr="00976C24">
        <w:rPr>
          <w:lang w:val="fr-FR"/>
        </w:rPr>
        <w:t xml:space="preserve">janvier 2009, </w:t>
      </w:r>
      <w:r>
        <w:rPr>
          <w:lang w:val="fr-FR"/>
        </w:rPr>
        <w:t xml:space="preserve">la loi prévoit que </w:t>
      </w:r>
      <w:r w:rsidRPr="00976C24">
        <w:rPr>
          <w:lang w:val="fr-FR"/>
        </w:rPr>
        <w:t>tous les enfants de Norvège ont droit à une place dans une maternel</w:t>
      </w:r>
      <w:r>
        <w:rPr>
          <w:lang w:val="fr-FR"/>
        </w:rPr>
        <w:t>le à partir de l’âge de un an. Les</w:t>
      </w:r>
      <w:r w:rsidRPr="00976C24">
        <w:rPr>
          <w:lang w:val="fr-FR"/>
        </w:rPr>
        <w:t xml:space="preserve"> municipalité</w:t>
      </w:r>
      <w:r>
        <w:rPr>
          <w:lang w:val="fr-FR"/>
        </w:rPr>
        <w:t>s sont</w:t>
      </w:r>
      <w:r w:rsidRPr="00976C24">
        <w:rPr>
          <w:lang w:val="fr-FR"/>
        </w:rPr>
        <w:t xml:space="preserve"> désormais </w:t>
      </w:r>
      <w:r>
        <w:rPr>
          <w:lang w:val="fr-FR"/>
        </w:rPr>
        <w:t>tenues de créer le nombre de places requis</w:t>
      </w:r>
      <w:r w:rsidRPr="00976C24">
        <w:rPr>
          <w:lang w:val="fr-FR"/>
        </w:rPr>
        <w:t>. En septembre 2009, les autorités</w:t>
      </w:r>
      <w:r>
        <w:rPr>
          <w:lang w:val="fr-FR"/>
        </w:rPr>
        <w:t xml:space="preserve"> de</w:t>
      </w:r>
      <w:r w:rsidRPr="00976C24">
        <w:rPr>
          <w:lang w:val="fr-FR"/>
        </w:rPr>
        <w:t xml:space="preserve"> comté ont signalé que les municipalités avaient offert une place en maternelle à tous les enfants en droit de l’obtenir. Fin 2009, 88,5</w:t>
      </w:r>
      <w:r>
        <w:rPr>
          <w:lang w:val="fr-FR"/>
        </w:rPr>
        <w:t> %</w:t>
      </w:r>
      <w:r w:rsidRPr="00976C24">
        <w:rPr>
          <w:lang w:val="fr-FR"/>
        </w:rPr>
        <w:t xml:space="preserve"> de tous les enfants âgés de 1 à 5 ans fréquentaient une maternelle. Cette même année, la proportion d’enfants de 1 et 2 ans </w:t>
      </w:r>
      <w:r>
        <w:rPr>
          <w:lang w:val="fr-FR"/>
        </w:rPr>
        <w:t>inscrits dans</w:t>
      </w:r>
      <w:r w:rsidRPr="00976C24">
        <w:rPr>
          <w:lang w:val="fr-FR"/>
        </w:rPr>
        <w:t xml:space="preserve"> une maternelle était de 77</w:t>
      </w:r>
      <w:r>
        <w:rPr>
          <w:lang w:val="fr-FR"/>
        </w:rPr>
        <w:t> </w:t>
      </w:r>
      <w:r w:rsidRPr="00976C24">
        <w:rPr>
          <w:lang w:val="fr-FR"/>
        </w:rPr>
        <w:t>%, soit une hausse de 2,5</w:t>
      </w:r>
      <w:r>
        <w:rPr>
          <w:lang w:val="fr-FR"/>
        </w:rPr>
        <w:t> </w:t>
      </w:r>
      <w:r w:rsidRPr="00976C24">
        <w:rPr>
          <w:lang w:val="fr-FR"/>
        </w:rPr>
        <w:t xml:space="preserve">% par rapport à 2008. Quant aux enfants âgés de 3 à 5 ans, </w:t>
      </w:r>
      <w:r>
        <w:rPr>
          <w:lang w:val="fr-FR"/>
        </w:rPr>
        <w:t xml:space="preserve">le taux correspondant s’élevait à </w:t>
      </w:r>
      <w:r w:rsidRPr="00976C24">
        <w:rPr>
          <w:lang w:val="fr-FR"/>
        </w:rPr>
        <w:t>96</w:t>
      </w:r>
      <w:r>
        <w:rPr>
          <w:lang w:val="fr-FR"/>
        </w:rPr>
        <w:t> </w:t>
      </w:r>
      <w:r w:rsidRPr="00976C24">
        <w:rPr>
          <w:lang w:val="fr-FR"/>
        </w:rPr>
        <w:t xml:space="preserve">%. </w:t>
      </w:r>
    </w:p>
    <w:p w:rsidR="00903547" w:rsidRPr="00976C24" w:rsidRDefault="00903547" w:rsidP="00401FC0">
      <w:pPr>
        <w:pStyle w:val="SingleTxtG"/>
        <w:rPr>
          <w:lang w:val="fr-FR"/>
        </w:rPr>
      </w:pPr>
      <w:r>
        <w:rPr>
          <w:lang w:val="fr-FR"/>
        </w:rPr>
        <w:t>56.</w:t>
      </w:r>
      <w:r>
        <w:rPr>
          <w:lang w:val="fr-FR"/>
        </w:rPr>
        <w:tab/>
        <w:t>L</w:t>
      </w:r>
      <w:r w:rsidRPr="00976C24">
        <w:rPr>
          <w:lang w:val="fr-FR"/>
        </w:rPr>
        <w:t xml:space="preserve">e Gouvernement prévoit d’affecter 463,5 millions de couronnes </w:t>
      </w:r>
      <w:r>
        <w:rPr>
          <w:lang w:val="fr-FR"/>
        </w:rPr>
        <w:t>du</w:t>
      </w:r>
      <w:r w:rsidRPr="00976C24">
        <w:rPr>
          <w:lang w:val="fr-FR"/>
        </w:rPr>
        <w:t xml:space="preserve"> budget de l’</w:t>
      </w:r>
      <w:r>
        <w:rPr>
          <w:lang w:val="fr-FR"/>
        </w:rPr>
        <w:t>État</w:t>
      </w:r>
      <w:r w:rsidRPr="00976C24">
        <w:rPr>
          <w:lang w:val="fr-FR"/>
        </w:rPr>
        <w:t xml:space="preserve"> pour 2010</w:t>
      </w:r>
      <w:r>
        <w:rPr>
          <w:lang w:val="fr-FR"/>
        </w:rPr>
        <w:t xml:space="preserve"> </w:t>
      </w:r>
      <w:r w:rsidRPr="00976C24">
        <w:rPr>
          <w:lang w:val="fr-FR"/>
        </w:rPr>
        <w:t xml:space="preserve">à la création de places en maternelle. Après une période de </w:t>
      </w:r>
      <w:r>
        <w:rPr>
          <w:lang w:val="fr-FR"/>
        </w:rPr>
        <w:t xml:space="preserve">forte </w:t>
      </w:r>
      <w:r w:rsidRPr="00976C24">
        <w:rPr>
          <w:lang w:val="fr-FR"/>
        </w:rPr>
        <w:t xml:space="preserve">hausse </w:t>
      </w:r>
      <w:r>
        <w:rPr>
          <w:lang w:val="fr-FR"/>
        </w:rPr>
        <w:t>du nombre de places, la fixation d’un plafond pour les</w:t>
      </w:r>
      <w:r w:rsidRPr="00976C24">
        <w:rPr>
          <w:lang w:val="fr-FR"/>
        </w:rPr>
        <w:t xml:space="preserve"> droits d’inscription et l</w:t>
      </w:r>
      <w:r>
        <w:rPr>
          <w:lang w:val="fr-FR"/>
        </w:rPr>
        <w:t>’instauration</w:t>
      </w:r>
      <w:r w:rsidRPr="00976C24">
        <w:rPr>
          <w:lang w:val="fr-FR"/>
        </w:rPr>
        <w:t xml:space="preserve"> d</w:t>
      </w:r>
      <w:r>
        <w:rPr>
          <w:lang w:val="fr-FR"/>
        </w:rPr>
        <w:t>u</w:t>
      </w:r>
      <w:r w:rsidRPr="00976C24">
        <w:rPr>
          <w:lang w:val="fr-FR"/>
        </w:rPr>
        <w:t xml:space="preserve"> droit à une place en maternelle, le Gouvernement </w:t>
      </w:r>
      <w:r>
        <w:rPr>
          <w:lang w:val="fr-FR"/>
        </w:rPr>
        <w:t>veut</w:t>
      </w:r>
      <w:r w:rsidRPr="00976C24">
        <w:rPr>
          <w:lang w:val="fr-FR"/>
        </w:rPr>
        <w:t xml:space="preserve"> </w:t>
      </w:r>
      <w:r>
        <w:rPr>
          <w:lang w:val="fr-FR"/>
        </w:rPr>
        <w:t xml:space="preserve">désormais </w:t>
      </w:r>
      <w:r w:rsidRPr="00976C24">
        <w:rPr>
          <w:lang w:val="fr-FR"/>
        </w:rPr>
        <w:t>garantir l’équité et la qualité dans toutes les maternelles, c’est-à-dire renforcer le</w:t>
      </w:r>
      <w:r>
        <w:rPr>
          <w:lang w:val="fr-FR"/>
        </w:rPr>
        <w:t>ur</w:t>
      </w:r>
      <w:r w:rsidRPr="00976C24">
        <w:rPr>
          <w:lang w:val="fr-FR"/>
        </w:rPr>
        <w:t xml:space="preserve"> rôle en tant qu’espace pédagogique inclusif. </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34 des observations finales, s’agissant des progrès réalisés au regard des mesures sociales, psychologiques et juridiques prises dans le cadre du plan d’action contre la violence à l’égard des femmes </w:t>
      </w:r>
      <w:r w:rsidRPr="00976C24">
        <w:rPr>
          <w:bCs/>
          <w:iCs/>
          <w:lang w:val="fr-FR"/>
        </w:rPr>
        <w:t>(2004</w:t>
      </w:r>
      <w:r>
        <w:rPr>
          <w:bCs/>
          <w:iCs/>
          <w:lang w:val="fr-FR"/>
        </w:rPr>
        <w:t>-</w:t>
      </w:r>
      <w:r w:rsidRPr="00976C24">
        <w:rPr>
          <w:bCs/>
          <w:iCs/>
          <w:lang w:val="fr-FR"/>
        </w:rPr>
        <w:t>2007) et du projet d’adopter une législation traitant spécifiquement de la violence familiale.</w:t>
      </w:r>
    </w:p>
    <w:p w:rsidR="00903547" w:rsidRPr="00976C24" w:rsidRDefault="00903547" w:rsidP="00401FC0">
      <w:pPr>
        <w:pStyle w:val="SingleTxtG"/>
        <w:rPr>
          <w:lang w:val="fr-FR"/>
        </w:rPr>
      </w:pPr>
      <w:r>
        <w:rPr>
          <w:lang w:val="fr-FR"/>
        </w:rPr>
        <w:t>57.</w:t>
      </w:r>
      <w:r>
        <w:rPr>
          <w:lang w:val="fr-FR"/>
        </w:rPr>
        <w:tab/>
      </w:r>
      <w:r w:rsidRPr="00976C24">
        <w:rPr>
          <w:lang w:val="fr-FR"/>
        </w:rPr>
        <w:t xml:space="preserve">Le Comité pourra se reporter à la réponse du Gouvernement </w:t>
      </w:r>
      <w:r>
        <w:rPr>
          <w:lang w:val="fr-FR"/>
        </w:rPr>
        <w:t>relative à</w:t>
      </w:r>
      <w:r w:rsidRPr="00976C24">
        <w:rPr>
          <w:lang w:val="fr-FR"/>
        </w:rPr>
        <w:t xml:space="preserve"> l’article 10 </w:t>
      </w:r>
      <w:r>
        <w:rPr>
          <w:lang w:val="fr-FR"/>
        </w:rPr>
        <w:t>figurant dans le</w:t>
      </w:r>
      <w:r w:rsidRPr="00976C24">
        <w:rPr>
          <w:lang w:val="fr-FR"/>
        </w:rPr>
        <w:t xml:space="preserve"> présent rapport.</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35 des observations finales</w:t>
      </w:r>
    </w:p>
    <w:p w:rsidR="00903547" w:rsidRPr="00976C24" w:rsidRDefault="00903547" w:rsidP="00401FC0">
      <w:pPr>
        <w:pStyle w:val="SingleTxtG"/>
        <w:rPr>
          <w:lang w:val="fr-FR"/>
        </w:rPr>
      </w:pPr>
      <w:r>
        <w:rPr>
          <w:lang w:val="fr-FR"/>
        </w:rPr>
        <w:t>58.</w:t>
      </w:r>
      <w:r>
        <w:rPr>
          <w:lang w:val="fr-FR"/>
        </w:rPr>
        <w:tab/>
        <w:t>L</w:t>
      </w:r>
      <w:r w:rsidRPr="00976C24">
        <w:rPr>
          <w:lang w:val="fr-FR"/>
        </w:rPr>
        <w:t>a nouvelle loi sur l’immigration, entrée en vigueur le 1</w:t>
      </w:r>
      <w:r w:rsidRPr="00976C24">
        <w:rPr>
          <w:vertAlign w:val="superscript"/>
          <w:lang w:val="fr-FR"/>
        </w:rPr>
        <w:t>er</w:t>
      </w:r>
      <w:r w:rsidRPr="00976C24">
        <w:rPr>
          <w:lang w:val="fr-FR"/>
        </w:rPr>
        <w:t xml:space="preserve"> janvier 2010, </w:t>
      </w:r>
      <w:r>
        <w:rPr>
          <w:lang w:val="fr-FR"/>
        </w:rPr>
        <w:t xml:space="preserve">renforce </w:t>
      </w:r>
      <w:r w:rsidRPr="00976C24">
        <w:rPr>
          <w:lang w:val="fr-FR"/>
        </w:rPr>
        <w:t>le droit à la réunification familiale pour les groupes suivants</w:t>
      </w:r>
      <w:r>
        <w:rPr>
          <w:lang w:val="fr-FR"/>
        </w:rPr>
        <w:t>:</w:t>
      </w:r>
      <w:r w:rsidRPr="00976C24">
        <w:rPr>
          <w:lang w:val="fr-FR"/>
        </w:rPr>
        <w:t xml:space="preserve"> concubins </w:t>
      </w:r>
      <w:r>
        <w:rPr>
          <w:lang w:val="fr-FR"/>
        </w:rPr>
        <w:t xml:space="preserve">ayant </w:t>
      </w:r>
      <w:r w:rsidRPr="00976C24">
        <w:rPr>
          <w:lang w:val="fr-FR"/>
        </w:rPr>
        <w:t>des enfants communs, ress</w:t>
      </w:r>
      <w:r>
        <w:rPr>
          <w:lang w:val="fr-FR"/>
        </w:rPr>
        <w:t>ortissants étrangers qui sont la mère ou le</w:t>
      </w:r>
      <w:r w:rsidRPr="00976C24">
        <w:rPr>
          <w:lang w:val="fr-FR"/>
        </w:rPr>
        <w:t xml:space="preserve"> père d’un enfant norvégien </w:t>
      </w:r>
      <w:r>
        <w:rPr>
          <w:lang w:val="fr-FR"/>
        </w:rPr>
        <w:t>au regard duquel</w:t>
      </w:r>
      <w:r w:rsidRPr="00976C24">
        <w:rPr>
          <w:lang w:val="fr-FR"/>
        </w:rPr>
        <w:t xml:space="preserve"> le demandeur </w:t>
      </w:r>
      <w:r>
        <w:rPr>
          <w:lang w:val="fr-FR"/>
        </w:rPr>
        <w:t>exerce</w:t>
      </w:r>
      <w:r w:rsidRPr="00976C24">
        <w:rPr>
          <w:lang w:val="fr-FR"/>
        </w:rPr>
        <w:t xml:space="preserve"> la responsabilité parentale et avec lequel il</w:t>
      </w:r>
      <w:r>
        <w:rPr>
          <w:lang w:val="fr-FR"/>
        </w:rPr>
        <w:t>/el</w:t>
      </w:r>
      <w:r w:rsidRPr="00976C24">
        <w:rPr>
          <w:lang w:val="fr-FR"/>
        </w:rPr>
        <w:t>le vit en permanence (sans le parent norvégien), et les ressortissants étrangers qui sont la mère ou le père d’un enfant norvégien qui vit en permanence avec l’autre parent en Norvège.</w:t>
      </w:r>
    </w:p>
    <w:p w:rsidR="00903547" w:rsidRPr="00976C24" w:rsidRDefault="00903547" w:rsidP="00401FC0">
      <w:pPr>
        <w:pStyle w:val="SingleTxtG"/>
        <w:rPr>
          <w:lang w:val="fr-FR"/>
        </w:rPr>
      </w:pPr>
      <w:r>
        <w:rPr>
          <w:lang w:val="fr-FR"/>
        </w:rPr>
        <w:t>59.</w:t>
      </w:r>
      <w:r>
        <w:rPr>
          <w:lang w:val="fr-FR"/>
        </w:rPr>
        <w:tab/>
        <w:t>L’adoption d’un</w:t>
      </w:r>
      <w:r w:rsidRPr="00976C24">
        <w:rPr>
          <w:lang w:val="fr-FR"/>
        </w:rPr>
        <w:t xml:space="preserve"> </w:t>
      </w:r>
      <w:r>
        <w:rPr>
          <w:lang w:val="fr-FR"/>
        </w:rPr>
        <w:t>concept</w:t>
      </w:r>
      <w:r w:rsidRPr="00976C24">
        <w:rPr>
          <w:lang w:val="fr-FR"/>
        </w:rPr>
        <w:t xml:space="preserve"> </w:t>
      </w:r>
      <w:r>
        <w:rPr>
          <w:lang w:val="fr-FR"/>
        </w:rPr>
        <w:t xml:space="preserve">élargi </w:t>
      </w:r>
      <w:r w:rsidRPr="00976C24">
        <w:rPr>
          <w:lang w:val="fr-FR"/>
        </w:rPr>
        <w:t>de réfugié dans la nouvelle loi</w:t>
      </w:r>
      <w:r>
        <w:rPr>
          <w:lang w:val="fr-FR"/>
        </w:rPr>
        <w:t xml:space="preserve"> exonère</w:t>
      </w:r>
      <w:r w:rsidRPr="00976C24">
        <w:rPr>
          <w:lang w:val="fr-FR"/>
        </w:rPr>
        <w:t xml:space="preserve"> un groupe plus important de </w:t>
      </w:r>
      <w:r>
        <w:rPr>
          <w:lang w:val="fr-FR"/>
        </w:rPr>
        <w:t>«</w:t>
      </w:r>
      <w:r w:rsidRPr="00976C24">
        <w:rPr>
          <w:lang w:val="fr-FR"/>
        </w:rPr>
        <w:t>par</w:t>
      </w:r>
      <w:r>
        <w:rPr>
          <w:lang w:val="fr-FR"/>
        </w:rPr>
        <w:t>rains»</w:t>
      </w:r>
      <w:r w:rsidRPr="00976C24">
        <w:rPr>
          <w:lang w:val="fr-FR"/>
        </w:rPr>
        <w:t xml:space="preserve"> des obligations en matière de </w:t>
      </w:r>
      <w:r>
        <w:rPr>
          <w:lang w:val="fr-FR"/>
        </w:rPr>
        <w:t>conditions de ressources</w:t>
      </w:r>
      <w:r w:rsidRPr="00976C24">
        <w:rPr>
          <w:lang w:val="fr-FR"/>
        </w:rPr>
        <w:t xml:space="preserve">. </w:t>
      </w:r>
      <w:r>
        <w:rPr>
          <w:lang w:val="fr-FR"/>
        </w:rPr>
        <w:t>L</w:t>
      </w:r>
      <w:r w:rsidRPr="00976C24">
        <w:rPr>
          <w:lang w:val="fr-FR"/>
        </w:rPr>
        <w:t xml:space="preserve">a nouvelle loi introduit </w:t>
      </w:r>
      <w:r>
        <w:rPr>
          <w:lang w:val="fr-FR"/>
        </w:rPr>
        <w:t>par ailleurs</w:t>
      </w:r>
      <w:r w:rsidRPr="00976C24">
        <w:rPr>
          <w:lang w:val="fr-FR"/>
        </w:rPr>
        <w:t xml:space="preserve"> certaines restrictions à l’immigration familiale, à savoir des conditions de </w:t>
      </w:r>
      <w:r>
        <w:rPr>
          <w:lang w:val="fr-FR"/>
        </w:rPr>
        <w:t>ressources</w:t>
      </w:r>
      <w:r w:rsidRPr="00976C24">
        <w:rPr>
          <w:lang w:val="fr-FR"/>
        </w:rPr>
        <w:t xml:space="preserve"> plus rigoureuses pour lutter contre les mariages forcés</w:t>
      </w:r>
      <w:r>
        <w:rPr>
          <w:lang w:val="fr-FR"/>
        </w:rPr>
        <w:t>,</w:t>
      </w:r>
      <w:r w:rsidRPr="00976C24">
        <w:rPr>
          <w:lang w:val="fr-FR"/>
        </w:rPr>
        <w:t xml:space="preserve"> </w:t>
      </w:r>
      <w:r>
        <w:rPr>
          <w:lang w:val="fr-FR"/>
        </w:rPr>
        <w:t>ainsi que</w:t>
      </w:r>
      <w:r w:rsidRPr="00976C24">
        <w:rPr>
          <w:lang w:val="fr-FR"/>
        </w:rPr>
        <w:t xml:space="preserve"> ce qu’on appelle </w:t>
      </w:r>
      <w:r>
        <w:rPr>
          <w:lang w:val="fr-FR"/>
        </w:rPr>
        <w:t>«</w:t>
      </w:r>
      <w:r w:rsidRPr="00976C24">
        <w:rPr>
          <w:lang w:val="fr-FR"/>
        </w:rPr>
        <w:t>la règle des quatre ans</w:t>
      </w:r>
      <w:r>
        <w:rPr>
          <w:lang w:val="fr-FR"/>
        </w:rPr>
        <w:t>»</w:t>
      </w:r>
      <w:r w:rsidRPr="00976C24">
        <w:rPr>
          <w:lang w:val="fr-FR"/>
        </w:rPr>
        <w:t>.</w:t>
      </w:r>
    </w:p>
    <w:p w:rsidR="00903547" w:rsidRPr="00976C24" w:rsidRDefault="00903547" w:rsidP="00401FC0">
      <w:pPr>
        <w:pStyle w:val="SingleTxtG"/>
        <w:rPr>
          <w:lang w:val="fr-FR"/>
        </w:rPr>
      </w:pPr>
      <w:r>
        <w:rPr>
          <w:lang w:val="fr-FR"/>
        </w:rPr>
        <w:t>60.</w:t>
      </w:r>
      <w:r>
        <w:rPr>
          <w:lang w:val="fr-FR"/>
        </w:rPr>
        <w:tab/>
        <w:t>L</w:t>
      </w:r>
      <w:r w:rsidRPr="00976C24">
        <w:rPr>
          <w:lang w:val="fr-FR"/>
        </w:rPr>
        <w:t>es nouvelles règles</w:t>
      </w:r>
      <w:r>
        <w:rPr>
          <w:lang w:val="fr-FR"/>
        </w:rPr>
        <w:t xml:space="preserve"> stipulent qu’u</w:t>
      </w:r>
      <w:r w:rsidRPr="00976C24">
        <w:rPr>
          <w:lang w:val="fr-FR"/>
        </w:rPr>
        <w:t xml:space="preserve">n </w:t>
      </w:r>
      <w:r>
        <w:rPr>
          <w:lang w:val="fr-FR"/>
        </w:rPr>
        <w:t>parrain</w:t>
      </w:r>
      <w:r w:rsidRPr="00976C24">
        <w:rPr>
          <w:lang w:val="fr-FR"/>
        </w:rPr>
        <w:t xml:space="preserve"> doit disposer d’un revenu annuel minimum de 217 600 couronnes, </w:t>
      </w:r>
      <w:r>
        <w:rPr>
          <w:lang w:val="fr-FR"/>
        </w:rPr>
        <w:t xml:space="preserve">à la fois </w:t>
      </w:r>
      <w:r w:rsidRPr="00976C24">
        <w:rPr>
          <w:lang w:val="fr-FR"/>
        </w:rPr>
        <w:t>l’année précédente et l</w:t>
      </w:r>
      <w:r>
        <w:rPr>
          <w:lang w:val="fr-FR"/>
        </w:rPr>
        <w:t>es 12 mois suivants</w:t>
      </w:r>
      <w:r w:rsidRPr="00976C24">
        <w:rPr>
          <w:lang w:val="fr-FR"/>
        </w:rPr>
        <w:t xml:space="preserve">. Il ne doit avoir perçu aucune prestation sociale au cours de l’année qui a précédé l’obtention du permis. Les conditions de </w:t>
      </w:r>
      <w:r>
        <w:rPr>
          <w:lang w:val="fr-FR"/>
        </w:rPr>
        <w:t>ressources</w:t>
      </w:r>
      <w:r w:rsidRPr="00976C24">
        <w:rPr>
          <w:lang w:val="fr-FR"/>
        </w:rPr>
        <w:t xml:space="preserve"> s’appliquent en règle générale à tous les par</w:t>
      </w:r>
      <w:r>
        <w:rPr>
          <w:lang w:val="fr-FR"/>
        </w:rPr>
        <w:t>rains</w:t>
      </w:r>
      <w:r w:rsidRPr="00976C24">
        <w:rPr>
          <w:lang w:val="fr-FR"/>
        </w:rPr>
        <w:t xml:space="preserve">, y compris les </w:t>
      </w:r>
      <w:r>
        <w:rPr>
          <w:lang w:val="fr-FR"/>
        </w:rPr>
        <w:t>ressortissants</w:t>
      </w:r>
      <w:r w:rsidRPr="00976C24">
        <w:rPr>
          <w:lang w:val="fr-FR"/>
        </w:rPr>
        <w:t xml:space="preserve"> norvégiens. </w:t>
      </w:r>
      <w:r>
        <w:rPr>
          <w:lang w:val="fr-FR"/>
        </w:rPr>
        <w:t>Des</w:t>
      </w:r>
      <w:r w:rsidRPr="00976C24">
        <w:rPr>
          <w:lang w:val="fr-FR"/>
        </w:rPr>
        <w:t xml:space="preserve"> dérogations ont été </w:t>
      </w:r>
      <w:r>
        <w:rPr>
          <w:lang w:val="fr-FR"/>
        </w:rPr>
        <w:t>accordées</w:t>
      </w:r>
      <w:r w:rsidRPr="00976C24">
        <w:rPr>
          <w:lang w:val="fr-FR"/>
        </w:rPr>
        <w:t xml:space="preserve">, </w:t>
      </w:r>
      <w:r>
        <w:rPr>
          <w:lang w:val="fr-FR"/>
        </w:rPr>
        <w:t xml:space="preserve">par exemple </w:t>
      </w:r>
      <w:r w:rsidRPr="00976C24">
        <w:rPr>
          <w:lang w:val="fr-FR"/>
        </w:rPr>
        <w:t xml:space="preserve">pour empêcher des adolescents d’abandonner leurs études secondaires et de commencer à travailler </w:t>
      </w:r>
      <w:r>
        <w:rPr>
          <w:lang w:val="fr-FR"/>
        </w:rPr>
        <w:t>pour</w:t>
      </w:r>
      <w:r w:rsidRPr="00976C24">
        <w:rPr>
          <w:lang w:val="fr-FR"/>
        </w:rPr>
        <w:t xml:space="preserve"> satisfaire aux conditions de </w:t>
      </w:r>
      <w:r>
        <w:rPr>
          <w:lang w:val="fr-FR"/>
        </w:rPr>
        <w:t>ressources</w:t>
      </w:r>
      <w:r w:rsidRPr="00976C24">
        <w:rPr>
          <w:lang w:val="fr-FR"/>
        </w:rPr>
        <w:t xml:space="preserve">. </w:t>
      </w:r>
      <w:r>
        <w:rPr>
          <w:lang w:val="fr-FR"/>
        </w:rPr>
        <w:t>D</w:t>
      </w:r>
      <w:r w:rsidRPr="00976C24">
        <w:rPr>
          <w:lang w:val="fr-FR"/>
        </w:rPr>
        <w:t xml:space="preserve">es </w:t>
      </w:r>
      <w:r>
        <w:rPr>
          <w:lang w:val="fr-FR"/>
        </w:rPr>
        <w:t>dispenses</w:t>
      </w:r>
      <w:r w:rsidRPr="00976C24">
        <w:rPr>
          <w:lang w:val="fr-FR"/>
        </w:rPr>
        <w:t xml:space="preserve"> peuvent </w:t>
      </w:r>
      <w:r>
        <w:rPr>
          <w:lang w:val="fr-FR"/>
        </w:rPr>
        <w:t xml:space="preserve">également </w:t>
      </w:r>
      <w:r w:rsidRPr="00976C24">
        <w:rPr>
          <w:lang w:val="fr-FR"/>
        </w:rPr>
        <w:t xml:space="preserve">être </w:t>
      </w:r>
      <w:r>
        <w:rPr>
          <w:lang w:val="fr-FR"/>
        </w:rPr>
        <w:t>autorisées</w:t>
      </w:r>
      <w:r w:rsidRPr="00976C24">
        <w:rPr>
          <w:lang w:val="fr-FR"/>
        </w:rPr>
        <w:t xml:space="preserve"> dans des circonstances spéciales, et dans tous les cas si des obligations internationales en matière de droits de l’homme</w:t>
      </w:r>
      <w:r>
        <w:rPr>
          <w:lang w:val="fr-FR"/>
        </w:rPr>
        <w:t xml:space="preserve"> l’exigent</w:t>
      </w:r>
      <w:r w:rsidRPr="00976C24">
        <w:rPr>
          <w:lang w:val="fr-FR"/>
        </w:rPr>
        <w:t>.</w:t>
      </w:r>
    </w:p>
    <w:p w:rsidR="00903547" w:rsidRPr="00976C24" w:rsidRDefault="00903547" w:rsidP="00401FC0">
      <w:pPr>
        <w:pStyle w:val="SingleTxtG"/>
        <w:rPr>
          <w:lang w:val="fr-FR"/>
        </w:rPr>
      </w:pPr>
      <w:r>
        <w:rPr>
          <w:lang w:val="fr-FR"/>
        </w:rPr>
        <w:t>61.</w:t>
      </w:r>
      <w:r>
        <w:rPr>
          <w:lang w:val="fr-FR"/>
        </w:rPr>
        <w:tab/>
        <w:t>L</w:t>
      </w:r>
      <w:r w:rsidRPr="00976C24">
        <w:rPr>
          <w:lang w:val="fr-FR"/>
        </w:rPr>
        <w:t>a règle des quatre ans</w:t>
      </w:r>
      <w:r>
        <w:rPr>
          <w:lang w:val="fr-FR"/>
        </w:rPr>
        <w:t xml:space="preserve"> prévoit que</w:t>
      </w:r>
      <w:r w:rsidRPr="00976C24">
        <w:rPr>
          <w:lang w:val="fr-FR"/>
        </w:rPr>
        <w:t xml:space="preserve"> dans certains cas </w:t>
      </w:r>
      <w:r>
        <w:rPr>
          <w:lang w:val="fr-FR"/>
        </w:rPr>
        <w:t>d</w:t>
      </w:r>
      <w:r w:rsidRPr="00976C24">
        <w:rPr>
          <w:lang w:val="fr-FR"/>
        </w:rPr>
        <w:t xml:space="preserve">’immigration </w:t>
      </w:r>
      <w:r>
        <w:rPr>
          <w:lang w:val="fr-FR"/>
        </w:rPr>
        <w:t>au titre de</w:t>
      </w:r>
      <w:r w:rsidRPr="00976C24">
        <w:rPr>
          <w:lang w:val="fr-FR"/>
        </w:rPr>
        <w:t xml:space="preserve"> regroupement familial</w:t>
      </w:r>
      <w:r>
        <w:rPr>
          <w:lang w:val="fr-FR"/>
        </w:rPr>
        <w:t xml:space="preserve"> le parrain doit prouver</w:t>
      </w:r>
      <w:r w:rsidRPr="00976C24">
        <w:rPr>
          <w:lang w:val="fr-FR"/>
        </w:rPr>
        <w:t xml:space="preserve"> quatre années d’études ou d’expérience professionnelle en Norvège. </w:t>
      </w:r>
      <w:r>
        <w:rPr>
          <w:lang w:val="fr-FR"/>
        </w:rPr>
        <w:t>Il s’agit</w:t>
      </w:r>
      <w:r w:rsidRPr="00976C24">
        <w:rPr>
          <w:lang w:val="fr-FR"/>
        </w:rPr>
        <w:t xml:space="preserve"> de réduire le nombre de demandeurs d’asile qui ne respectent pas les conditions de protection et de motiver les immigrés à travailler et à étudier. La condition s’applique lorsque le par</w:t>
      </w:r>
      <w:r>
        <w:rPr>
          <w:lang w:val="fr-FR"/>
        </w:rPr>
        <w:t>rain</w:t>
      </w:r>
      <w:r w:rsidRPr="00976C24">
        <w:rPr>
          <w:lang w:val="fr-FR"/>
        </w:rPr>
        <w:t xml:space="preserve"> </w:t>
      </w:r>
      <w:r>
        <w:rPr>
          <w:lang w:val="fr-FR"/>
        </w:rPr>
        <w:t>dispose d’un</w:t>
      </w:r>
      <w:r w:rsidRPr="00976C24">
        <w:rPr>
          <w:lang w:val="fr-FR"/>
        </w:rPr>
        <w:t xml:space="preserve"> droit d’asile ou de </w:t>
      </w:r>
      <w:r>
        <w:rPr>
          <w:lang w:val="fr-FR"/>
        </w:rPr>
        <w:t>séjour</w:t>
      </w:r>
      <w:r w:rsidRPr="00976C24">
        <w:rPr>
          <w:lang w:val="fr-FR"/>
        </w:rPr>
        <w:t xml:space="preserve"> pour des raisons humanitaires, ou </w:t>
      </w:r>
      <w:r>
        <w:rPr>
          <w:lang w:val="fr-FR"/>
        </w:rPr>
        <w:t>d’un titre de séjour</w:t>
      </w:r>
      <w:r w:rsidRPr="00976C24">
        <w:rPr>
          <w:lang w:val="fr-FR"/>
        </w:rPr>
        <w:t xml:space="preserve"> en raison de liens familiaux en Norvège. La condition n’empêche pas une famille établie d’être</w:t>
      </w:r>
      <w:r>
        <w:rPr>
          <w:lang w:val="fr-FR"/>
        </w:rPr>
        <w:t xml:space="preserve"> réunie; elle ne s’applique que</w:t>
      </w:r>
      <w:r w:rsidRPr="00976C24">
        <w:rPr>
          <w:lang w:val="fr-FR"/>
        </w:rPr>
        <w:t xml:space="preserve"> dans les cas où les parties ne vivaient pas </w:t>
      </w:r>
      <w:r>
        <w:rPr>
          <w:lang w:val="fr-FR"/>
        </w:rPr>
        <w:t xml:space="preserve">déjà </w:t>
      </w:r>
      <w:r w:rsidRPr="00976C24">
        <w:rPr>
          <w:lang w:val="fr-FR"/>
        </w:rPr>
        <w:t>ensemble</w:t>
      </w:r>
      <w:r>
        <w:rPr>
          <w:lang w:val="fr-FR"/>
        </w:rPr>
        <w:t xml:space="preserve"> </w:t>
      </w:r>
      <w:r w:rsidRPr="00976C24">
        <w:rPr>
          <w:lang w:val="fr-FR"/>
        </w:rPr>
        <w:t>(</w:t>
      </w:r>
      <w:r>
        <w:rPr>
          <w:lang w:val="fr-FR"/>
        </w:rPr>
        <w:t>union familiale</w:t>
      </w:r>
      <w:r w:rsidRPr="00976C24">
        <w:rPr>
          <w:lang w:val="fr-FR"/>
        </w:rPr>
        <w:t xml:space="preserve">), </w:t>
      </w:r>
      <w:r>
        <w:rPr>
          <w:lang w:val="fr-FR"/>
        </w:rPr>
        <w:t>par opposition à</w:t>
      </w:r>
      <w:r w:rsidRPr="00976C24">
        <w:rPr>
          <w:lang w:val="fr-FR"/>
        </w:rPr>
        <w:t xml:space="preserve"> la réunification familiale. </w:t>
      </w:r>
      <w:r>
        <w:rPr>
          <w:lang w:val="fr-FR"/>
        </w:rPr>
        <w:t xml:space="preserve">De nombreuses </w:t>
      </w:r>
      <w:r w:rsidRPr="00976C24">
        <w:rPr>
          <w:lang w:val="fr-FR"/>
        </w:rPr>
        <w:t xml:space="preserve">activités </w:t>
      </w:r>
      <w:r>
        <w:rPr>
          <w:lang w:val="fr-FR"/>
        </w:rPr>
        <w:t>sont</w:t>
      </w:r>
      <w:r w:rsidRPr="00976C24">
        <w:rPr>
          <w:lang w:val="fr-FR"/>
        </w:rPr>
        <w:t xml:space="preserve"> considérée</w:t>
      </w:r>
      <w:r>
        <w:rPr>
          <w:lang w:val="fr-FR"/>
        </w:rPr>
        <w:t>s</w:t>
      </w:r>
      <w:r w:rsidRPr="00976C24">
        <w:rPr>
          <w:lang w:val="fr-FR"/>
        </w:rPr>
        <w:t xml:space="preserve"> comme </w:t>
      </w:r>
      <w:r>
        <w:rPr>
          <w:lang w:val="fr-FR"/>
        </w:rPr>
        <w:t>des é</w:t>
      </w:r>
      <w:r w:rsidRPr="00976C24">
        <w:rPr>
          <w:lang w:val="fr-FR"/>
        </w:rPr>
        <w:t xml:space="preserve">tudes ou </w:t>
      </w:r>
      <w:r>
        <w:rPr>
          <w:lang w:val="fr-FR"/>
        </w:rPr>
        <w:t xml:space="preserve">du </w:t>
      </w:r>
      <w:r w:rsidRPr="00976C24">
        <w:rPr>
          <w:lang w:val="fr-FR"/>
        </w:rPr>
        <w:t xml:space="preserve">travail </w:t>
      </w:r>
      <w:r>
        <w:rPr>
          <w:lang w:val="fr-FR"/>
        </w:rPr>
        <w:t>du point de vue de</w:t>
      </w:r>
      <w:r w:rsidRPr="00976C24">
        <w:rPr>
          <w:lang w:val="fr-FR"/>
        </w:rPr>
        <w:t xml:space="preserve"> la règle des quatre ans, comme le programme d’insertion obligatoire pour les </w:t>
      </w:r>
      <w:r>
        <w:rPr>
          <w:lang w:val="fr-FR"/>
        </w:rPr>
        <w:t>immigrés récents</w:t>
      </w:r>
      <w:r w:rsidRPr="00976C24">
        <w:rPr>
          <w:lang w:val="fr-FR"/>
        </w:rPr>
        <w:t xml:space="preserve"> (loi sur l’insertion, voir la réponse de la Norvège à l’observation finale n</w:t>
      </w:r>
      <w:r w:rsidRPr="00B41127">
        <w:rPr>
          <w:vertAlign w:val="superscript"/>
          <w:lang w:val="fr-FR"/>
        </w:rPr>
        <w:t>o</w:t>
      </w:r>
      <w:r>
        <w:rPr>
          <w:lang w:val="fr-FR"/>
        </w:rPr>
        <w:t> </w:t>
      </w:r>
      <w:r w:rsidRPr="00976C24">
        <w:rPr>
          <w:lang w:val="fr-FR"/>
        </w:rPr>
        <w:t xml:space="preserve">28 </w:t>
      </w:r>
      <w:r>
        <w:rPr>
          <w:lang w:val="fr-FR"/>
        </w:rPr>
        <w:t>figurant dans le</w:t>
      </w:r>
      <w:r w:rsidRPr="00976C24">
        <w:rPr>
          <w:lang w:val="fr-FR"/>
        </w:rPr>
        <w:t xml:space="preserve"> présent rapport) et d’autres programmes de qualification </w:t>
      </w:r>
      <w:r>
        <w:rPr>
          <w:lang w:val="fr-FR"/>
        </w:rPr>
        <w:t>apparentés</w:t>
      </w:r>
      <w:r w:rsidRPr="00976C24">
        <w:rPr>
          <w:lang w:val="fr-FR"/>
        </w:rPr>
        <w:t>. De plus, les périodes durant lesquelles le par</w:t>
      </w:r>
      <w:r>
        <w:rPr>
          <w:lang w:val="fr-FR"/>
        </w:rPr>
        <w:t>rain</w:t>
      </w:r>
      <w:r w:rsidRPr="00976C24">
        <w:rPr>
          <w:lang w:val="fr-FR"/>
        </w:rPr>
        <w:t xml:space="preserve"> </w:t>
      </w:r>
      <w:r>
        <w:rPr>
          <w:lang w:val="fr-FR"/>
        </w:rPr>
        <w:t>perçoit des prestations de maladie</w:t>
      </w:r>
      <w:r w:rsidRPr="00976C24">
        <w:rPr>
          <w:lang w:val="fr-FR"/>
        </w:rPr>
        <w:t xml:space="preserve">, une pension d’invalidité ou une pension de retraite sont considérées comme des périodes de travail. </w:t>
      </w:r>
      <w:r>
        <w:rPr>
          <w:lang w:val="fr-FR"/>
        </w:rPr>
        <w:t>Il est ainsi possible de déroger à</w:t>
      </w:r>
      <w:r w:rsidRPr="00976C24">
        <w:rPr>
          <w:lang w:val="fr-FR"/>
        </w:rPr>
        <w:t xml:space="preserve"> l’obligation de travailler ou d’étudier si le par</w:t>
      </w:r>
      <w:r>
        <w:rPr>
          <w:lang w:val="fr-FR"/>
        </w:rPr>
        <w:t>rain</w:t>
      </w:r>
      <w:r w:rsidRPr="00976C24">
        <w:rPr>
          <w:lang w:val="fr-FR"/>
        </w:rPr>
        <w:t xml:space="preserve"> est handicapé. D’autres dispenses à la règle des quatre ans peuvent être accordées dans des cas particuliers et si des obligations internationales en matière de droits de l’homme l’imposent.</w:t>
      </w:r>
    </w:p>
    <w:p w:rsidR="00903547" w:rsidRPr="00976C24" w:rsidRDefault="00903547" w:rsidP="00401FC0">
      <w:pPr>
        <w:pStyle w:val="SingleTxtG"/>
        <w:rPr>
          <w:lang w:val="fr-FR"/>
        </w:rPr>
      </w:pPr>
      <w:r>
        <w:rPr>
          <w:lang w:val="fr-FR"/>
        </w:rPr>
        <w:t>62.</w:t>
      </w:r>
      <w:r>
        <w:rPr>
          <w:lang w:val="fr-FR"/>
        </w:rPr>
        <w:tab/>
      </w:r>
      <w:r w:rsidRPr="00976C24">
        <w:rPr>
          <w:lang w:val="fr-FR"/>
        </w:rPr>
        <w:t xml:space="preserve">En 2009, le Gouvernement a annoncé </w:t>
      </w:r>
      <w:r>
        <w:rPr>
          <w:lang w:val="fr-FR"/>
        </w:rPr>
        <w:t>le projet d’</w:t>
      </w:r>
      <w:r w:rsidRPr="00976C24">
        <w:rPr>
          <w:lang w:val="fr-FR"/>
        </w:rPr>
        <w:t>une règle générale des quatre ans</w:t>
      </w:r>
      <w:r>
        <w:rPr>
          <w:lang w:val="fr-FR"/>
        </w:rPr>
        <w:t xml:space="preserve"> pour tous les parrains</w:t>
      </w:r>
      <w:r w:rsidRPr="00976C24">
        <w:rPr>
          <w:lang w:val="fr-FR"/>
        </w:rPr>
        <w:t xml:space="preserve">, y compris les </w:t>
      </w:r>
      <w:r>
        <w:rPr>
          <w:lang w:val="fr-FR"/>
        </w:rPr>
        <w:t>ressortissants</w:t>
      </w:r>
      <w:r w:rsidRPr="00976C24">
        <w:rPr>
          <w:lang w:val="fr-FR"/>
        </w:rPr>
        <w:t xml:space="preserve"> norvégiens, dans les cas d’union familiale (</w:t>
      </w:r>
      <w:r>
        <w:rPr>
          <w:lang w:val="fr-FR"/>
        </w:rPr>
        <w:t>donc à l’exclusion d</w:t>
      </w:r>
      <w:r w:rsidRPr="00976C24">
        <w:rPr>
          <w:lang w:val="fr-FR"/>
        </w:rPr>
        <w:t>es cas de réunification familiale)</w:t>
      </w:r>
      <w:r>
        <w:rPr>
          <w:lang w:val="fr-FR"/>
        </w:rPr>
        <w:t xml:space="preserve"> pour</w:t>
      </w:r>
      <w:r w:rsidRPr="00976C24">
        <w:rPr>
          <w:lang w:val="fr-FR"/>
        </w:rPr>
        <w:t xml:space="preserve"> lutter contre les mariages forcés. La proposition de loi n’a pas </w:t>
      </w:r>
      <w:r>
        <w:rPr>
          <w:lang w:val="fr-FR"/>
        </w:rPr>
        <w:t xml:space="preserve">encore </w:t>
      </w:r>
      <w:r w:rsidRPr="00976C24">
        <w:rPr>
          <w:lang w:val="fr-FR"/>
        </w:rPr>
        <w:t>été soumise à consultation publique.</w:t>
      </w:r>
    </w:p>
    <w:p w:rsidR="00903547" w:rsidRPr="00976C24" w:rsidRDefault="00903547" w:rsidP="00401FC0">
      <w:pPr>
        <w:pStyle w:val="SingleTxtG"/>
        <w:rPr>
          <w:lang w:val="fr-FR"/>
        </w:rPr>
      </w:pPr>
      <w:r>
        <w:rPr>
          <w:lang w:val="fr-FR"/>
        </w:rPr>
        <w:t>63.</w:t>
      </w:r>
      <w:r>
        <w:rPr>
          <w:lang w:val="fr-FR"/>
        </w:rPr>
        <w:tab/>
      </w:r>
      <w:r w:rsidRPr="00976C24">
        <w:rPr>
          <w:lang w:val="fr-FR"/>
        </w:rPr>
        <w:t xml:space="preserve">Les autorités examinent actuellement </w:t>
      </w:r>
      <w:r>
        <w:rPr>
          <w:lang w:val="fr-FR"/>
        </w:rPr>
        <w:t>la possibilité d’appliquer</w:t>
      </w:r>
      <w:r w:rsidRPr="00976C24">
        <w:rPr>
          <w:lang w:val="fr-FR"/>
        </w:rPr>
        <w:t xml:space="preserve"> la règle des quatre ans </w:t>
      </w:r>
      <w:r>
        <w:rPr>
          <w:lang w:val="fr-FR"/>
        </w:rPr>
        <w:t xml:space="preserve">dans </w:t>
      </w:r>
      <w:r w:rsidRPr="00976C24">
        <w:rPr>
          <w:lang w:val="fr-FR"/>
        </w:rPr>
        <w:t>certains cas de réunification familiale, lorsque le par</w:t>
      </w:r>
      <w:r>
        <w:rPr>
          <w:lang w:val="fr-FR"/>
        </w:rPr>
        <w:t>rain</w:t>
      </w:r>
      <w:r w:rsidRPr="00976C24">
        <w:rPr>
          <w:lang w:val="fr-FR"/>
        </w:rPr>
        <w:t xml:space="preserve"> </w:t>
      </w:r>
      <w:r>
        <w:rPr>
          <w:lang w:val="fr-FR"/>
        </w:rPr>
        <w:t>dispose d’un titre</w:t>
      </w:r>
      <w:r w:rsidRPr="00976C24">
        <w:rPr>
          <w:lang w:val="fr-FR"/>
        </w:rPr>
        <w:t xml:space="preserve"> de </w:t>
      </w:r>
      <w:r>
        <w:rPr>
          <w:lang w:val="fr-FR"/>
        </w:rPr>
        <w:t>séjour</w:t>
      </w:r>
      <w:r w:rsidRPr="00976C24">
        <w:rPr>
          <w:lang w:val="fr-FR"/>
        </w:rPr>
        <w:t xml:space="preserve"> pour des raisons humanitaires.</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36 des observations finales</w:t>
      </w:r>
    </w:p>
    <w:p w:rsidR="00903547" w:rsidRPr="00976C24" w:rsidRDefault="00903547" w:rsidP="00401FC0">
      <w:pPr>
        <w:pStyle w:val="SingleTxtG"/>
        <w:rPr>
          <w:lang w:val="fr-FR"/>
        </w:rPr>
      </w:pPr>
      <w:r>
        <w:rPr>
          <w:lang w:val="fr-FR"/>
        </w:rPr>
        <w:t>64.</w:t>
      </w:r>
      <w:r>
        <w:rPr>
          <w:lang w:val="fr-FR"/>
        </w:rPr>
        <w:tab/>
      </w:r>
      <w:r w:rsidRPr="005C479D">
        <w:rPr>
          <w:lang w:val="fr-FR"/>
        </w:rPr>
        <w:t xml:space="preserve">Veiller à ce que davantage de victimes de la traite se voient accorder un permis temporaire de séjour et de travail en Norvège constitue un élément important </w:t>
      </w:r>
      <w:r>
        <w:rPr>
          <w:lang w:val="fr-FR"/>
        </w:rPr>
        <w:t>du plan d’action «Halte à la traite</w:t>
      </w:r>
      <w:r w:rsidRPr="00976C24">
        <w:rPr>
          <w:lang w:val="fr-FR"/>
        </w:rPr>
        <w:t>».</w:t>
      </w:r>
    </w:p>
    <w:p w:rsidR="00903547" w:rsidRPr="00976C24" w:rsidRDefault="00903547" w:rsidP="00401FC0">
      <w:pPr>
        <w:pStyle w:val="SingleTxtG"/>
        <w:rPr>
          <w:i/>
          <w:lang w:val="fr-FR"/>
        </w:rPr>
      </w:pPr>
      <w:r>
        <w:rPr>
          <w:lang w:val="fr-FR"/>
        </w:rPr>
        <w:t>65.</w:t>
      </w:r>
      <w:r>
        <w:rPr>
          <w:lang w:val="fr-FR"/>
        </w:rPr>
        <w:tab/>
      </w:r>
      <w:r w:rsidRPr="00976C24">
        <w:rPr>
          <w:lang w:val="fr-FR"/>
        </w:rPr>
        <w:t>Une victime présumée de la traite peut obtenir un permis de séjour temporaire de six mois (</w:t>
      </w:r>
      <w:r>
        <w:rPr>
          <w:lang w:val="fr-FR"/>
        </w:rPr>
        <w:t>«</w:t>
      </w:r>
      <w:r w:rsidRPr="00976C24">
        <w:rPr>
          <w:lang w:val="fr-FR"/>
        </w:rPr>
        <w:t>période de réflexion</w:t>
      </w:r>
      <w:r>
        <w:rPr>
          <w:lang w:val="fr-FR"/>
        </w:rPr>
        <w:t>»</w:t>
      </w:r>
      <w:r w:rsidRPr="00976C24">
        <w:rPr>
          <w:lang w:val="fr-FR"/>
        </w:rPr>
        <w:t xml:space="preserve">) dès lors qu’elle </w:t>
      </w:r>
      <w:r>
        <w:rPr>
          <w:lang w:val="fr-FR"/>
        </w:rPr>
        <w:t>est</w:t>
      </w:r>
      <w:r w:rsidRPr="00976C24">
        <w:rPr>
          <w:lang w:val="fr-FR"/>
        </w:rPr>
        <w:t xml:space="preserve"> disposée à recevoir </w:t>
      </w:r>
      <w:r>
        <w:rPr>
          <w:lang w:val="fr-FR"/>
        </w:rPr>
        <w:t xml:space="preserve">une aide et à dénoncer </w:t>
      </w:r>
      <w:r w:rsidRPr="00976C24">
        <w:rPr>
          <w:lang w:val="fr-FR"/>
        </w:rPr>
        <w:t>les trafiquants à la police. Les conditions d’obtention de ce permis sont très souples. Le nombre de victime</w:t>
      </w:r>
      <w:r>
        <w:rPr>
          <w:lang w:val="fr-FR"/>
        </w:rPr>
        <w:t>s</w:t>
      </w:r>
      <w:r w:rsidRPr="00976C24">
        <w:rPr>
          <w:lang w:val="fr-FR"/>
        </w:rPr>
        <w:t xml:space="preserve"> bénéficiant de la période de réflexion a augmenté au cours des dernières années. En 2009, 98 personnes</w:t>
      </w:r>
      <w:r>
        <w:rPr>
          <w:lang w:val="fr-FR"/>
        </w:rPr>
        <w:t xml:space="preserve"> en</w:t>
      </w:r>
      <w:r w:rsidRPr="00976C24">
        <w:rPr>
          <w:lang w:val="fr-FR"/>
        </w:rPr>
        <w:t xml:space="preserve"> ont </w:t>
      </w:r>
      <w:r>
        <w:rPr>
          <w:lang w:val="fr-FR"/>
        </w:rPr>
        <w:t>fait la demande</w:t>
      </w:r>
      <w:r w:rsidRPr="00976C24">
        <w:rPr>
          <w:lang w:val="fr-FR"/>
        </w:rPr>
        <w:t>, soit 34 de plus qu’en 2008.</w:t>
      </w:r>
    </w:p>
    <w:p w:rsidR="00903547" w:rsidRPr="00976C24" w:rsidRDefault="00903547" w:rsidP="00401FC0">
      <w:pPr>
        <w:pStyle w:val="SingleTxtG"/>
        <w:rPr>
          <w:lang w:val="fr-FR"/>
        </w:rPr>
      </w:pPr>
      <w:r>
        <w:rPr>
          <w:lang w:val="fr-FR"/>
        </w:rPr>
        <w:t>66.</w:t>
      </w:r>
      <w:r>
        <w:rPr>
          <w:lang w:val="fr-FR"/>
        </w:rPr>
        <w:tab/>
      </w:r>
      <w:r w:rsidRPr="00976C24">
        <w:rPr>
          <w:lang w:val="fr-FR"/>
        </w:rPr>
        <w:t xml:space="preserve">Une victime peut également </w:t>
      </w:r>
      <w:r>
        <w:rPr>
          <w:lang w:val="fr-FR"/>
        </w:rPr>
        <w:t>se voir accorder</w:t>
      </w:r>
      <w:r w:rsidRPr="00976C24">
        <w:rPr>
          <w:lang w:val="fr-FR"/>
        </w:rPr>
        <w:t xml:space="preserve"> d’</w:t>
      </w:r>
      <w:r>
        <w:rPr>
          <w:lang w:val="fr-FR"/>
        </w:rPr>
        <w:t>office</w:t>
      </w:r>
      <w:r w:rsidRPr="00976C24">
        <w:rPr>
          <w:lang w:val="fr-FR"/>
        </w:rPr>
        <w:t xml:space="preserve"> un permis de séjour temporaire d’un an dès lors que les auteurs </w:t>
      </w:r>
      <w:r>
        <w:rPr>
          <w:lang w:val="fr-FR"/>
        </w:rPr>
        <w:t>o</w:t>
      </w:r>
      <w:r w:rsidRPr="00976C24">
        <w:rPr>
          <w:lang w:val="fr-FR"/>
        </w:rPr>
        <w:t>nt été dénoncés, que la police a ouvert une enquête et que la victime a coopéré avec elle. Si une victime de la traite n</w:t>
      </w:r>
      <w:r>
        <w:rPr>
          <w:lang w:val="fr-FR"/>
        </w:rPr>
        <w:t>’obtient pas le</w:t>
      </w:r>
      <w:r w:rsidRPr="00976C24">
        <w:rPr>
          <w:lang w:val="fr-FR"/>
        </w:rPr>
        <w:t xml:space="preserve"> droit d’asile, elle </w:t>
      </w:r>
      <w:r>
        <w:rPr>
          <w:lang w:val="fr-FR"/>
        </w:rPr>
        <w:t xml:space="preserve">bénéficie </w:t>
      </w:r>
      <w:r w:rsidRPr="00976C24">
        <w:rPr>
          <w:lang w:val="fr-FR"/>
        </w:rPr>
        <w:t xml:space="preserve">en règle générale </w:t>
      </w:r>
      <w:r>
        <w:rPr>
          <w:lang w:val="fr-FR"/>
        </w:rPr>
        <w:t>d’</w:t>
      </w:r>
      <w:r w:rsidRPr="00976C24">
        <w:rPr>
          <w:lang w:val="fr-FR"/>
        </w:rPr>
        <w:t xml:space="preserve">un permis de séjour si elle a témoigné contre les </w:t>
      </w:r>
      <w:r>
        <w:rPr>
          <w:lang w:val="fr-FR"/>
        </w:rPr>
        <w:t>responsables</w:t>
      </w:r>
      <w:r w:rsidRPr="00976C24">
        <w:rPr>
          <w:lang w:val="fr-FR"/>
        </w:rPr>
        <w:t xml:space="preserve"> </w:t>
      </w:r>
      <w:r>
        <w:rPr>
          <w:lang w:val="fr-FR"/>
        </w:rPr>
        <w:t>lors du</w:t>
      </w:r>
      <w:r w:rsidRPr="00976C24">
        <w:rPr>
          <w:lang w:val="fr-FR"/>
        </w:rPr>
        <w:t xml:space="preserve"> procès. Il reste que peu de victimes de la traite </w:t>
      </w:r>
      <w:r>
        <w:rPr>
          <w:lang w:val="fr-FR"/>
        </w:rPr>
        <w:t>dénoncent</w:t>
      </w:r>
      <w:r w:rsidRPr="00976C24">
        <w:rPr>
          <w:lang w:val="fr-FR"/>
        </w:rPr>
        <w:t xml:space="preserve"> les </w:t>
      </w:r>
      <w:r>
        <w:rPr>
          <w:lang w:val="fr-FR"/>
        </w:rPr>
        <w:t>coupables</w:t>
      </w:r>
      <w:r w:rsidRPr="00976C24">
        <w:rPr>
          <w:lang w:val="fr-FR"/>
        </w:rPr>
        <w:t xml:space="preserve"> à la police et </w:t>
      </w:r>
      <w:r>
        <w:rPr>
          <w:lang w:val="fr-FR"/>
        </w:rPr>
        <w:t>que très peu</w:t>
      </w:r>
      <w:r w:rsidRPr="00976C24">
        <w:rPr>
          <w:lang w:val="fr-FR"/>
        </w:rPr>
        <w:t xml:space="preserve"> d</w:t>
      </w:r>
      <w:r>
        <w:rPr>
          <w:lang w:val="fr-FR"/>
        </w:rPr>
        <w:t>’affaires se terminent</w:t>
      </w:r>
      <w:r w:rsidRPr="00976C24">
        <w:rPr>
          <w:lang w:val="fr-FR"/>
        </w:rPr>
        <w:t xml:space="preserve"> par une condamnation </w:t>
      </w:r>
      <w:r>
        <w:rPr>
          <w:lang w:val="fr-FR"/>
        </w:rPr>
        <w:t>judiciaire</w:t>
      </w:r>
      <w:r w:rsidRPr="00976C24">
        <w:rPr>
          <w:lang w:val="fr-FR"/>
        </w:rPr>
        <w:t xml:space="preserve">. En 2009, deux personnes ont obtenu un permis de séjour après avoir témoigné </w:t>
      </w:r>
      <w:r>
        <w:rPr>
          <w:lang w:val="fr-FR"/>
        </w:rPr>
        <w:t>lors d’</w:t>
      </w:r>
      <w:r w:rsidRPr="00976C24">
        <w:rPr>
          <w:lang w:val="fr-FR"/>
        </w:rPr>
        <w:t xml:space="preserve">un procès </w:t>
      </w:r>
      <w:r>
        <w:rPr>
          <w:lang w:val="fr-FR"/>
        </w:rPr>
        <w:t>dans une affaire de</w:t>
      </w:r>
      <w:r w:rsidRPr="00976C24">
        <w:rPr>
          <w:lang w:val="fr-FR"/>
        </w:rPr>
        <w:t xml:space="preserve"> traite. </w:t>
      </w:r>
      <w:r>
        <w:rPr>
          <w:lang w:val="fr-FR"/>
        </w:rPr>
        <w:t>U</w:t>
      </w:r>
      <w:r w:rsidRPr="00976C24">
        <w:rPr>
          <w:lang w:val="fr-FR"/>
        </w:rPr>
        <w:t xml:space="preserve">ne décision négative a </w:t>
      </w:r>
      <w:r>
        <w:rPr>
          <w:lang w:val="fr-FR"/>
        </w:rPr>
        <w:t xml:space="preserve">par ailleurs </w:t>
      </w:r>
      <w:r w:rsidRPr="00976C24">
        <w:rPr>
          <w:lang w:val="fr-FR"/>
        </w:rPr>
        <w:t>été annulée.</w:t>
      </w:r>
    </w:p>
    <w:p w:rsidR="00903547" w:rsidRPr="00976C24" w:rsidRDefault="00903547" w:rsidP="00401FC0">
      <w:pPr>
        <w:pStyle w:val="SingleTxtG"/>
        <w:rPr>
          <w:i/>
          <w:lang w:val="fr-FR"/>
        </w:rPr>
      </w:pPr>
      <w:r>
        <w:rPr>
          <w:lang w:val="fr-FR"/>
        </w:rPr>
        <w:t>67.</w:t>
      </w:r>
      <w:r>
        <w:rPr>
          <w:lang w:val="fr-FR"/>
        </w:rPr>
        <w:tab/>
      </w:r>
      <w:r w:rsidRPr="00976C24">
        <w:rPr>
          <w:lang w:val="fr-FR"/>
        </w:rPr>
        <w:t xml:space="preserve">La nouvelle loi sur l’immigration dispose qu’une victime de la traite peut être considérée comme </w:t>
      </w:r>
      <w:r>
        <w:rPr>
          <w:lang w:val="fr-FR"/>
        </w:rPr>
        <w:t>appartenant à un certain groupe social</w:t>
      </w:r>
      <w:r w:rsidRPr="00976C24">
        <w:rPr>
          <w:lang w:val="fr-FR"/>
        </w:rPr>
        <w:t xml:space="preserve"> </w:t>
      </w:r>
      <w:r>
        <w:rPr>
          <w:lang w:val="fr-FR"/>
        </w:rPr>
        <w:t>selon</w:t>
      </w:r>
      <w:r w:rsidRPr="00976C24">
        <w:rPr>
          <w:lang w:val="fr-FR"/>
        </w:rPr>
        <w:t xml:space="preserve"> la Convention relative au statut des réfugiés et ainsi obtenir le statut de réfugié. En outre, le fait </w:t>
      </w:r>
      <w:r>
        <w:rPr>
          <w:lang w:val="fr-FR"/>
        </w:rPr>
        <w:t>d’avoir</w:t>
      </w:r>
      <w:r w:rsidRPr="00976C24">
        <w:rPr>
          <w:lang w:val="fr-FR"/>
        </w:rPr>
        <w:t xml:space="preserve"> été victime de la traite doit être considéré comme un élément humanitaire de poids lors de l’examen de</w:t>
      </w:r>
      <w:r>
        <w:rPr>
          <w:lang w:val="fr-FR"/>
        </w:rPr>
        <w:t>s d</w:t>
      </w:r>
      <w:r w:rsidRPr="00976C24">
        <w:rPr>
          <w:lang w:val="fr-FR"/>
        </w:rPr>
        <w:t>emande</w:t>
      </w:r>
      <w:r>
        <w:rPr>
          <w:lang w:val="fr-FR"/>
        </w:rPr>
        <w:t>s</w:t>
      </w:r>
      <w:r w:rsidRPr="00976C24">
        <w:rPr>
          <w:lang w:val="fr-FR"/>
        </w:rPr>
        <w:t xml:space="preserve"> de </w:t>
      </w:r>
      <w:r>
        <w:rPr>
          <w:lang w:val="fr-FR"/>
        </w:rPr>
        <w:t>titre</w:t>
      </w:r>
      <w:r w:rsidRPr="00976C24">
        <w:rPr>
          <w:lang w:val="fr-FR"/>
        </w:rPr>
        <w:t xml:space="preserve"> de séjour.</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37 des observations finales</w:t>
      </w:r>
    </w:p>
    <w:p w:rsidR="00903547" w:rsidRPr="00976C24" w:rsidRDefault="00903547" w:rsidP="00401FC0">
      <w:pPr>
        <w:pStyle w:val="SingleTxtG"/>
        <w:rPr>
          <w:lang w:val="fr-FR"/>
        </w:rPr>
      </w:pPr>
      <w:r>
        <w:rPr>
          <w:lang w:val="fr-FR"/>
        </w:rPr>
        <w:t>68.</w:t>
      </w:r>
      <w:r>
        <w:rPr>
          <w:lang w:val="fr-FR"/>
        </w:rPr>
        <w:tab/>
      </w:r>
      <w:r w:rsidRPr="00976C24">
        <w:rPr>
          <w:lang w:val="fr-FR"/>
        </w:rPr>
        <w:t>Le rapport de droit qui existe entre un bailleur et un locat</w:t>
      </w:r>
      <w:r>
        <w:rPr>
          <w:lang w:val="fr-FR"/>
        </w:rPr>
        <w:t>aire</w:t>
      </w:r>
      <w:r w:rsidRPr="00976C24">
        <w:rPr>
          <w:lang w:val="fr-FR"/>
        </w:rPr>
        <w:t xml:space="preserve"> est régi par la loi sur les </w:t>
      </w:r>
      <w:r>
        <w:rPr>
          <w:lang w:val="fr-FR"/>
        </w:rPr>
        <w:t>locations (loi du 26 mars 1999 n</w:t>
      </w:r>
      <w:r w:rsidRPr="00B41127">
        <w:rPr>
          <w:vertAlign w:val="superscript"/>
          <w:lang w:val="fr-FR"/>
        </w:rPr>
        <w:t>o</w:t>
      </w:r>
      <w:r>
        <w:rPr>
          <w:lang w:val="fr-FR"/>
        </w:rPr>
        <w:t> </w:t>
      </w:r>
      <w:r w:rsidRPr="00976C24">
        <w:rPr>
          <w:lang w:val="fr-FR"/>
        </w:rPr>
        <w:t xml:space="preserve">17). Un contrat de location ne peut être résilié que pour des motifs objectifs et acceptables. </w:t>
      </w:r>
      <w:r>
        <w:rPr>
          <w:lang w:val="fr-FR"/>
        </w:rPr>
        <w:t>En cas de contestation par le</w:t>
      </w:r>
      <w:r w:rsidRPr="00976C24">
        <w:rPr>
          <w:lang w:val="fr-FR"/>
        </w:rPr>
        <w:t xml:space="preserve"> locataire, la résiliation est </w:t>
      </w:r>
      <w:r>
        <w:rPr>
          <w:lang w:val="fr-FR"/>
        </w:rPr>
        <w:t>invalidée</w:t>
      </w:r>
      <w:r w:rsidRPr="00976C24">
        <w:rPr>
          <w:lang w:val="fr-FR"/>
        </w:rPr>
        <w:t xml:space="preserve"> à moins que le bailleur n’intente une action en justice contre le locataire dans les trois mois suivant l’expiration du délai dont dispose le locataire. </w:t>
      </w:r>
      <w:r>
        <w:rPr>
          <w:lang w:val="fr-FR"/>
        </w:rPr>
        <w:t>L</w:t>
      </w:r>
      <w:r w:rsidRPr="00976C24">
        <w:rPr>
          <w:lang w:val="fr-FR"/>
        </w:rPr>
        <w:t xml:space="preserve">e tribunal statue </w:t>
      </w:r>
      <w:r>
        <w:rPr>
          <w:lang w:val="fr-FR"/>
        </w:rPr>
        <w:t xml:space="preserve">alors </w:t>
      </w:r>
      <w:r w:rsidRPr="00976C24">
        <w:rPr>
          <w:lang w:val="fr-FR"/>
        </w:rPr>
        <w:t>sur l</w:t>
      </w:r>
      <w:r>
        <w:rPr>
          <w:lang w:val="fr-FR"/>
        </w:rPr>
        <w:t>a légalité de la résiliation. La loi norvégienne ne contient aucune disposition interdisant explicitement les expulsions de locataires</w:t>
      </w:r>
      <w:r w:rsidRPr="00976C24">
        <w:rPr>
          <w:lang w:val="fr-FR"/>
        </w:rPr>
        <w:t xml:space="preserve">. Les dispositions </w:t>
      </w:r>
      <w:r>
        <w:rPr>
          <w:lang w:val="fr-FR"/>
        </w:rPr>
        <w:t xml:space="preserve">légales </w:t>
      </w:r>
      <w:r w:rsidRPr="00976C24">
        <w:rPr>
          <w:lang w:val="fr-FR"/>
        </w:rPr>
        <w:t xml:space="preserve">relatives aux expulsions figurent dans la loi </w:t>
      </w:r>
      <w:r>
        <w:rPr>
          <w:lang w:val="fr-FR"/>
        </w:rPr>
        <w:t>d’application</w:t>
      </w:r>
      <w:r w:rsidRPr="00976C24">
        <w:rPr>
          <w:lang w:val="fr-FR"/>
        </w:rPr>
        <w:t xml:space="preserve"> (loi du 26 juin 1992 </w:t>
      </w:r>
      <w:r>
        <w:rPr>
          <w:lang w:val="fr-FR"/>
        </w:rPr>
        <w:t>n</w:t>
      </w:r>
      <w:r w:rsidRPr="00B41127">
        <w:rPr>
          <w:vertAlign w:val="superscript"/>
          <w:lang w:val="fr-FR"/>
        </w:rPr>
        <w:t>o</w:t>
      </w:r>
      <w:r>
        <w:rPr>
          <w:lang w:val="fr-FR"/>
        </w:rPr>
        <w:t> </w:t>
      </w:r>
      <w:r w:rsidRPr="00976C24">
        <w:rPr>
          <w:lang w:val="fr-FR"/>
        </w:rPr>
        <w:t>86). Une expulsion ne peut avoir lieu que si certaines conditions matérielles sont réunies, c’est-à-dire qu’elle doit être justifiée.</w:t>
      </w:r>
    </w:p>
    <w:p w:rsidR="00903547" w:rsidRPr="00976C24" w:rsidRDefault="00903547" w:rsidP="00401FC0">
      <w:pPr>
        <w:pStyle w:val="SingleTxtG"/>
        <w:rPr>
          <w:bCs/>
          <w:lang w:val="fr-FR"/>
        </w:rPr>
      </w:pPr>
      <w:r>
        <w:rPr>
          <w:lang w:val="fr-FR"/>
        </w:rPr>
        <w:t>69.</w:t>
      </w:r>
      <w:r>
        <w:rPr>
          <w:lang w:val="fr-FR"/>
        </w:rPr>
        <w:tab/>
        <w:t>Bien qu’</w:t>
      </w:r>
      <w:r w:rsidRPr="00976C24">
        <w:rPr>
          <w:lang w:val="fr-FR"/>
        </w:rPr>
        <w:t xml:space="preserve">aucune </w:t>
      </w:r>
      <w:r>
        <w:rPr>
          <w:lang w:val="fr-FR"/>
        </w:rPr>
        <w:t>disposition juridique ne prévoie</w:t>
      </w:r>
      <w:r w:rsidRPr="00976C24">
        <w:rPr>
          <w:lang w:val="fr-FR"/>
        </w:rPr>
        <w:t xml:space="preserve"> le droit au logement, le principe </w:t>
      </w:r>
      <w:r>
        <w:rPr>
          <w:lang w:val="fr-FR"/>
        </w:rPr>
        <w:t>du droit au logement pour tous</w:t>
      </w:r>
      <w:r w:rsidRPr="00976C24">
        <w:rPr>
          <w:lang w:val="fr-FR"/>
        </w:rPr>
        <w:t xml:space="preserve"> est au cœur de la politique norvégienne du logement depuis la deuxième guerre mondiale. L</w:t>
      </w:r>
      <w:r>
        <w:rPr>
          <w:lang w:val="fr-FR"/>
        </w:rPr>
        <w:t>’objectif premier de cette</w:t>
      </w:r>
      <w:r w:rsidRPr="00976C24">
        <w:rPr>
          <w:lang w:val="fr-FR"/>
        </w:rPr>
        <w:t xml:space="preserve"> politique </w:t>
      </w:r>
      <w:r>
        <w:rPr>
          <w:lang w:val="fr-FR"/>
        </w:rPr>
        <w:t>est d’offrir</w:t>
      </w:r>
      <w:r w:rsidRPr="00976C24">
        <w:rPr>
          <w:lang w:val="fr-FR"/>
        </w:rPr>
        <w:t xml:space="preserve"> à chacun un logement adapté et sûr</w:t>
      </w:r>
      <w:r w:rsidRPr="00976C24">
        <w:rPr>
          <w:bCs/>
          <w:lang w:val="fr-FR"/>
        </w:rPr>
        <w:t xml:space="preserve">. </w:t>
      </w:r>
    </w:p>
    <w:p w:rsidR="00903547" w:rsidRPr="00976C24" w:rsidRDefault="00903547" w:rsidP="00401FC0">
      <w:pPr>
        <w:pStyle w:val="SingleTxtG"/>
        <w:rPr>
          <w:lang w:val="fr-FR"/>
        </w:rPr>
      </w:pPr>
      <w:r>
        <w:rPr>
          <w:lang w:val="fr-FR"/>
        </w:rPr>
        <w:t>70.</w:t>
      </w:r>
      <w:r>
        <w:rPr>
          <w:lang w:val="fr-FR"/>
        </w:rPr>
        <w:tab/>
      </w:r>
      <w:r w:rsidRPr="00976C24">
        <w:rPr>
          <w:lang w:val="fr-FR"/>
        </w:rPr>
        <w:t>L’</w:t>
      </w:r>
      <w:r>
        <w:rPr>
          <w:lang w:val="fr-FR"/>
        </w:rPr>
        <w:t>État</w:t>
      </w:r>
      <w:r w:rsidRPr="00976C24">
        <w:rPr>
          <w:lang w:val="fr-FR"/>
        </w:rPr>
        <w:t xml:space="preserve"> </w:t>
      </w:r>
      <w:r>
        <w:rPr>
          <w:lang w:val="fr-FR"/>
        </w:rPr>
        <w:t>contribue au logement</w:t>
      </w:r>
      <w:r w:rsidRPr="00976C24">
        <w:rPr>
          <w:lang w:val="fr-FR"/>
        </w:rPr>
        <w:t xml:space="preserve"> </w:t>
      </w:r>
      <w:r>
        <w:rPr>
          <w:lang w:val="fr-FR"/>
        </w:rPr>
        <w:t>des</w:t>
      </w:r>
      <w:r w:rsidRPr="00976C24">
        <w:rPr>
          <w:lang w:val="fr-FR"/>
        </w:rPr>
        <w:t xml:space="preserve"> personnes défavorisées et marginalisées par le biais de la Banque </w:t>
      </w:r>
      <w:r>
        <w:rPr>
          <w:lang w:val="fr-FR"/>
        </w:rPr>
        <w:t xml:space="preserve">d’État </w:t>
      </w:r>
      <w:r w:rsidRPr="00976C24">
        <w:rPr>
          <w:lang w:val="fr-FR"/>
        </w:rPr>
        <w:t xml:space="preserve">norvégienne </w:t>
      </w:r>
      <w:r>
        <w:rPr>
          <w:lang w:val="fr-FR"/>
        </w:rPr>
        <w:t>pour le</w:t>
      </w:r>
      <w:r w:rsidRPr="00976C24">
        <w:rPr>
          <w:lang w:val="fr-FR"/>
        </w:rPr>
        <w:t xml:space="preserve"> logement qui propose plusieurs sortes de prêt et </w:t>
      </w:r>
      <w:r>
        <w:rPr>
          <w:lang w:val="fr-FR"/>
        </w:rPr>
        <w:t>subvention</w:t>
      </w:r>
      <w:r w:rsidRPr="00976C24">
        <w:rPr>
          <w:lang w:val="fr-FR"/>
        </w:rPr>
        <w:t xml:space="preserve"> aux </w:t>
      </w:r>
      <w:r>
        <w:rPr>
          <w:lang w:val="fr-FR"/>
        </w:rPr>
        <w:t>particuliers</w:t>
      </w:r>
      <w:r w:rsidRPr="00976C24">
        <w:rPr>
          <w:lang w:val="fr-FR"/>
        </w:rPr>
        <w:t xml:space="preserve"> et aux autorités municipales</w:t>
      </w:r>
      <w:r>
        <w:rPr>
          <w:lang w:val="fr-FR"/>
        </w:rPr>
        <w:t>,</w:t>
      </w:r>
      <w:r w:rsidRPr="00976C24">
        <w:rPr>
          <w:lang w:val="fr-FR"/>
        </w:rPr>
        <w:t xml:space="preserve"> ainsi </w:t>
      </w:r>
      <w:r>
        <w:rPr>
          <w:lang w:val="fr-FR"/>
        </w:rPr>
        <w:t>qu’</w:t>
      </w:r>
      <w:r w:rsidRPr="00976C24">
        <w:rPr>
          <w:lang w:val="fr-FR"/>
        </w:rPr>
        <w:t xml:space="preserve">aux organisations et institutions qui </w:t>
      </w:r>
      <w:r>
        <w:rPr>
          <w:lang w:val="fr-FR"/>
        </w:rPr>
        <w:t>proposent une habitation</w:t>
      </w:r>
      <w:r w:rsidRPr="00976C24">
        <w:rPr>
          <w:lang w:val="fr-FR"/>
        </w:rPr>
        <w:t xml:space="preserve"> aux groupes à faible revenu.</w:t>
      </w:r>
    </w:p>
    <w:p w:rsidR="00903547" w:rsidRPr="00976C24" w:rsidRDefault="00903547" w:rsidP="00401FC0">
      <w:pPr>
        <w:pStyle w:val="SingleTxtG"/>
        <w:rPr>
          <w:lang w:val="fr-FR"/>
        </w:rPr>
      </w:pPr>
      <w:r>
        <w:rPr>
          <w:lang w:val="fr-FR"/>
        </w:rPr>
        <w:t>71.</w:t>
      </w:r>
      <w:r>
        <w:rPr>
          <w:lang w:val="fr-FR"/>
        </w:rPr>
        <w:tab/>
      </w:r>
      <w:r w:rsidRPr="00976C24">
        <w:rPr>
          <w:lang w:val="fr-FR"/>
        </w:rPr>
        <w:t xml:space="preserve">Le Comité pourra se reporter à la réponse du Gouvernement </w:t>
      </w:r>
      <w:r>
        <w:rPr>
          <w:lang w:val="fr-FR"/>
        </w:rPr>
        <w:t>relative à</w:t>
      </w:r>
      <w:r w:rsidRPr="00976C24">
        <w:rPr>
          <w:lang w:val="fr-FR"/>
        </w:rPr>
        <w:t xml:space="preserve"> l’article</w:t>
      </w:r>
      <w:r>
        <w:rPr>
          <w:lang w:val="fr-FR"/>
        </w:rPr>
        <w:t> </w:t>
      </w:r>
      <w:r w:rsidRPr="00976C24">
        <w:rPr>
          <w:lang w:val="fr-FR"/>
        </w:rPr>
        <w:t xml:space="preserve">11 </w:t>
      </w:r>
      <w:r>
        <w:rPr>
          <w:lang w:val="fr-FR"/>
        </w:rPr>
        <w:t>figurant dans le</w:t>
      </w:r>
      <w:r w:rsidRPr="00976C24">
        <w:rPr>
          <w:lang w:val="fr-FR"/>
        </w:rPr>
        <w:t xml:space="preserve"> présent rapport. </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38 des observations finales</w:t>
      </w:r>
    </w:p>
    <w:p w:rsidR="00903547" w:rsidRPr="00976C24" w:rsidRDefault="00903547" w:rsidP="00401FC0">
      <w:pPr>
        <w:pStyle w:val="SingleTxtG"/>
        <w:rPr>
          <w:lang w:val="fr-FR"/>
        </w:rPr>
      </w:pPr>
      <w:r>
        <w:rPr>
          <w:lang w:val="fr-FR"/>
        </w:rPr>
        <w:t>72.</w:t>
      </w:r>
      <w:r>
        <w:rPr>
          <w:lang w:val="fr-FR"/>
        </w:rPr>
        <w:tab/>
      </w:r>
      <w:r w:rsidRPr="00976C24">
        <w:rPr>
          <w:lang w:val="fr-FR"/>
        </w:rPr>
        <w:t xml:space="preserve">En Norvège, les résidents en situation irrégulière sont autorisés à </w:t>
      </w:r>
      <w:r>
        <w:rPr>
          <w:lang w:val="fr-FR"/>
        </w:rPr>
        <w:t>rester</w:t>
      </w:r>
      <w:r w:rsidRPr="00976C24">
        <w:rPr>
          <w:lang w:val="fr-FR"/>
        </w:rPr>
        <w:t xml:space="preserve"> dans des centres de rapatriement où </w:t>
      </w:r>
      <w:r>
        <w:rPr>
          <w:lang w:val="fr-FR"/>
        </w:rPr>
        <w:t>ils peuvent bénéficient de</w:t>
      </w:r>
      <w:r w:rsidRPr="00976C24">
        <w:rPr>
          <w:lang w:val="fr-FR"/>
        </w:rPr>
        <w:t xml:space="preserve"> </w:t>
      </w:r>
      <w:r>
        <w:rPr>
          <w:lang w:val="fr-FR"/>
        </w:rPr>
        <w:t>soins</w:t>
      </w:r>
      <w:r w:rsidRPr="00976C24">
        <w:rPr>
          <w:lang w:val="fr-FR"/>
        </w:rPr>
        <w:t xml:space="preserve"> de santé. </w:t>
      </w:r>
      <w:r>
        <w:rPr>
          <w:lang w:val="fr-FR"/>
        </w:rPr>
        <w:t>Il reste que le choix</w:t>
      </w:r>
      <w:r w:rsidRPr="00976C24">
        <w:rPr>
          <w:lang w:val="fr-FR"/>
        </w:rPr>
        <w:t xml:space="preserve"> de nombreux demandeurs d’asile déboutés de vivre dans la clandestinité pose un sérieux problème.</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39 des observations finales</w:t>
      </w:r>
    </w:p>
    <w:p w:rsidR="00903547" w:rsidRPr="00976C24" w:rsidRDefault="00903547" w:rsidP="00401FC0">
      <w:pPr>
        <w:pStyle w:val="SingleTxtG"/>
        <w:rPr>
          <w:lang w:val="fr-FR"/>
        </w:rPr>
      </w:pPr>
      <w:r>
        <w:rPr>
          <w:lang w:val="fr-FR"/>
        </w:rPr>
        <w:t>73.</w:t>
      </w:r>
      <w:r>
        <w:rPr>
          <w:lang w:val="fr-FR"/>
        </w:rPr>
        <w:tab/>
      </w:r>
      <w:r w:rsidRPr="00976C24">
        <w:rPr>
          <w:lang w:val="fr-FR"/>
        </w:rPr>
        <w:t xml:space="preserve">Une vaste stratégie à long terme visant à réduire les inégalités sociales en matière de santé a été lancée </w:t>
      </w:r>
      <w:r>
        <w:rPr>
          <w:lang w:val="fr-FR"/>
        </w:rPr>
        <w:t>après</w:t>
      </w:r>
      <w:r w:rsidRPr="00976C24">
        <w:rPr>
          <w:lang w:val="fr-FR"/>
        </w:rPr>
        <w:t xml:space="preserve"> le quatrième rapport de la Norvège </w:t>
      </w:r>
      <w:r>
        <w:rPr>
          <w:lang w:val="fr-FR"/>
        </w:rPr>
        <w:t>soumis en vertu</w:t>
      </w:r>
      <w:r w:rsidRPr="00976C24">
        <w:rPr>
          <w:lang w:val="fr-FR"/>
        </w:rPr>
        <w:t xml:space="preserve"> du Pacte international relatif aux droits économiques, sociaux et culturels. Le </w:t>
      </w:r>
      <w:r w:rsidRPr="00B52B8E">
        <w:rPr>
          <w:i/>
          <w:lang w:val="fr-FR"/>
        </w:rPr>
        <w:t>Storting</w:t>
      </w:r>
      <w:r w:rsidRPr="00976C24">
        <w:rPr>
          <w:lang w:val="fr-FR"/>
        </w:rPr>
        <w:t xml:space="preserve"> a adopté un livre blanc intitulé </w:t>
      </w:r>
      <w:r>
        <w:rPr>
          <w:lang w:val="fr-FR"/>
        </w:rPr>
        <w:t>«</w:t>
      </w:r>
      <w:r w:rsidRPr="00976C24">
        <w:rPr>
          <w:i/>
          <w:lang w:val="fr-FR"/>
        </w:rPr>
        <w:t xml:space="preserve">Stratégie nationale </w:t>
      </w:r>
      <w:r>
        <w:rPr>
          <w:i/>
          <w:lang w:val="fr-FR"/>
        </w:rPr>
        <w:t>de réduction d</w:t>
      </w:r>
      <w:r w:rsidRPr="00976C24">
        <w:rPr>
          <w:i/>
          <w:lang w:val="fr-FR"/>
        </w:rPr>
        <w:t>es inégalités sociales en matière de santé</w:t>
      </w:r>
      <w:r w:rsidRPr="000A7EEA">
        <w:rPr>
          <w:lang w:val="fr-FR"/>
        </w:rPr>
        <w:t>»</w:t>
      </w:r>
      <w:r>
        <w:rPr>
          <w:lang w:val="fr-FR"/>
        </w:rPr>
        <w:t xml:space="preserve"> (Rapport n</w:t>
      </w:r>
      <w:r w:rsidRPr="000A7EEA">
        <w:rPr>
          <w:vertAlign w:val="superscript"/>
          <w:lang w:val="fr-FR"/>
        </w:rPr>
        <w:t>o</w:t>
      </w:r>
      <w:r>
        <w:rPr>
          <w:lang w:val="fr-FR"/>
        </w:rPr>
        <w:t> </w:t>
      </w:r>
      <w:r w:rsidRPr="00976C24">
        <w:rPr>
          <w:lang w:val="fr-FR"/>
        </w:rPr>
        <w:t>20 (2006</w:t>
      </w:r>
      <w:r>
        <w:rPr>
          <w:lang w:val="fr-FR"/>
        </w:rPr>
        <w:t>-</w:t>
      </w:r>
      <w:r w:rsidRPr="00976C24">
        <w:rPr>
          <w:lang w:val="fr-FR"/>
        </w:rPr>
        <w:t xml:space="preserve">2007) au </w:t>
      </w:r>
      <w:r w:rsidRPr="00B52B8E">
        <w:rPr>
          <w:i/>
          <w:lang w:val="fr-FR"/>
        </w:rPr>
        <w:t>Storting</w:t>
      </w:r>
      <w:r w:rsidRPr="00976C24">
        <w:rPr>
          <w:lang w:val="fr-FR"/>
        </w:rPr>
        <w:t>) en 2007, qui énonce quatre priorités pour les dix prochaines années</w:t>
      </w:r>
      <w:r>
        <w:rPr>
          <w:lang w:val="fr-FR"/>
        </w:rPr>
        <w:t>:</w:t>
      </w:r>
      <w:r w:rsidRPr="00976C24">
        <w:rPr>
          <w:lang w:val="fr-FR"/>
        </w:rPr>
        <w:t xml:space="preserve"> 1) réduire les inégalités sociales qui </w:t>
      </w:r>
      <w:r>
        <w:rPr>
          <w:lang w:val="fr-FR"/>
        </w:rPr>
        <w:t>induisent</w:t>
      </w:r>
      <w:r w:rsidRPr="00976C24">
        <w:rPr>
          <w:lang w:val="fr-FR"/>
        </w:rPr>
        <w:t xml:space="preserve"> des inégalités en matière de santé, 2) réduire les inégalités sociales </w:t>
      </w:r>
      <w:r>
        <w:rPr>
          <w:lang w:val="fr-FR"/>
        </w:rPr>
        <w:t>en matière d’hygiène de vie et d’utilisation des</w:t>
      </w:r>
      <w:r w:rsidRPr="00976C24">
        <w:rPr>
          <w:lang w:val="fr-FR"/>
        </w:rPr>
        <w:t xml:space="preserve"> services de santé, 3) prendre des </w:t>
      </w:r>
      <w:r>
        <w:rPr>
          <w:lang w:val="fr-FR"/>
        </w:rPr>
        <w:t>mesures</w:t>
      </w:r>
      <w:r w:rsidRPr="00976C24">
        <w:rPr>
          <w:lang w:val="fr-FR"/>
        </w:rPr>
        <w:t xml:space="preserve"> ciblées </w:t>
      </w:r>
      <w:r>
        <w:rPr>
          <w:lang w:val="fr-FR"/>
        </w:rPr>
        <w:t>pour</w:t>
      </w:r>
      <w:r w:rsidRPr="00976C24">
        <w:rPr>
          <w:lang w:val="fr-FR"/>
        </w:rPr>
        <w:t xml:space="preserve"> promouvoir l’insertion sociale, 4) </w:t>
      </w:r>
      <w:r>
        <w:rPr>
          <w:lang w:val="fr-FR"/>
        </w:rPr>
        <w:t>améliorer les connaissances et élaborer d</w:t>
      </w:r>
      <w:r w:rsidRPr="00976C24">
        <w:rPr>
          <w:lang w:val="fr-FR"/>
        </w:rPr>
        <w:t>es outils intersectoriels.</w:t>
      </w:r>
    </w:p>
    <w:p w:rsidR="00903547" w:rsidRPr="00976C24" w:rsidRDefault="00903547" w:rsidP="00401FC0">
      <w:pPr>
        <w:pStyle w:val="SingleTxtG"/>
        <w:rPr>
          <w:lang w:val="fr-FR"/>
        </w:rPr>
      </w:pPr>
      <w:r>
        <w:rPr>
          <w:lang w:val="fr-FR"/>
        </w:rPr>
        <w:t>74.</w:t>
      </w:r>
      <w:r>
        <w:rPr>
          <w:lang w:val="fr-FR"/>
        </w:rPr>
        <w:tab/>
      </w:r>
      <w:r w:rsidRPr="00976C24">
        <w:rPr>
          <w:lang w:val="fr-FR"/>
        </w:rPr>
        <w:t xml:space="preserve">La stratégie est suivie </w:t>
      </w:r>
      <w:r>
        <w:rPr>
          <w:lang w:val="fr-FR"/>
        </w:rPr>
        <w:t>au moyen de</w:t>
      </w:r>
      <w:r w:rsidRPr="00976C24">
        <w:rPr>
          <w:lang w:val="fr-FR"/>
        </w:rPr>
        <w:t xml:space="preserve"> rapports annuels </w:t>
      </w:r>
      <w:r>
        <w:rPr>
          <w:lang w:val="fr-FR"/>
        </w:rPr>
        <w:t>issus d</w:t>
      </w:r>
      <w:r w:rsidRPr="00976C24">
        <w:rPr>
          <w:lang w:val="fr-FR"/>
        </w:rPr>
        <w:t>es contributions</w:t>
      </w:r>
      <w:r>
        <w:rPr>
          <w:lang w:val="fr-FR"/>
        </w:rPr>
        <w:t xml:space="preserve"> de parties prenantes sur les actions engagées</w:t>
      </w:r>
      <w:r w:rsidRPr="00976C24">
        <w:rPr>
          <w:lang w:val="fr-FR"/>
        </w:rPr>
        <w:t xml:space="preserve"> pour réduire les inégalités sociales en matière de santé. Ces rapports </w:t>
      </w:r>
      <w:r>
        <w:rPr>
          <w:lang w:val="fr-FR"/>
        </w:rPr>
        <w:t>servent</w:t>
      </w:r>
      <w:r w:rsidRPr="00976C24">
        <w:rPr>
          <w:lang w:val="fr-FR"/>
        </w:rPr>
        <w:t xml:space="preserve"> à su</w:t>
      </w:r>
      <w:r>
        <w:rPr>
          <w:lang w:val="fr-FR"/>
        </w:rPr>
        <w:t>perviser</w:t>
      </w:r>
      <w:r w:rsidRPr="00976C24">
        <w:rPr>
          <w:lang w:val="fr-FR"/>
        </w:rPr>
        <w:t xml:space="preserve"> et mettre en œuvre la stratégie. Le premier a été présenté en novembre 2009. </w:t>
      </w:r>
    </w:p>
    <w:p w:rsidR="00903547" w:rsidRPr="00976C24" w:rsidRDefault="00903547" w:rsidP="00982FD0">
      <w:pPr>
        <w:pStyle w:val="SingleTxtG"/>
        <w:rPr>
          <w:lang w:val="fr-FR"/>
        </w:rPr>
      </w:pPr>
      <w:r>
        <w:rPr>
          <w:lang w:val="fr-FR"/>
        </w:rPr>
        <w:t>75.</w:t>
      </w:r>
      <w:r>
        <w:rPr>
          <w:lang w:val="fr-FR"/>
        </w:rPr>
        <w:tab/>
      </w:r>
      <w:r w:rsidRPr="00976C24">
        <w:rPr>
          <w:lang w:val="fr-FR"/>
        </w:rPr>
        <w:t xml:space="preserve">Le </w:t>
      </w:r>
      <w:r w:rsidRPr="00B52B8E">
        <w:rPr>
          <w:i/>
          <w:lang w:val="fr-FR"/>
        </w:rPr>
        <w:t>Storting</w:t>
      </w:r>
      <w:r w:rsidRPr="00976C24">
        <w:rPr>
          <w:i/>
          <w:lang w:val="fr-FR"/>
        </w:rPr>
        <w:t xml:space="preserve"> </w:t>
      </w:r>
      <w:r w:rsidRPr="00976C24">
        <w:rPr>
          <w:lang w:val="fr-FR"/>
        </w:rPr>
        <w:t>a adopté une nouvelle loi énonçant les responsabilités des autorités des comtés en matière de santé</w:t>
      </w:r>
      <w:r>
        <w:rPr>
          <w:lang w:val="fr-FR"/>
        </w:rPr>
        <w:t xml:space="preserve"> publique (loi du 19 juin 2009 n</w:t>
      </w:r>
      <w:r w:rsidRPr="002F07F1">
        <w:rPr>
          <w:vertAlign w:val="superscript"/>
          <w:lang w:val="fr-FR"/>
        </w:rPr>
        <w:t>o</w:t>
      </w:r>
      <w:r>
        <w:rPr>
          <w:lang w:val="fr-FR"/>
        </w:rPr>
        <w:t> </w:t>
      </w:r>
      <w:r w:rsidRPr="00976C24">
        <w:rPr>
          <w:lang w:val="fr-FR"/>
        </w:rPr>
        <w:t>65). Ces responsabilités incluent une aide aux municipalités</w:t>
      </w:r>
      <w:r>
        <w:rPr>
          <w:lang w:val="fr-FR"/>
        </w:rPr>
        <w:t xml:space="preserve"> </w:t>
      </w:r>
      <w:r w:rsidRPr="00976C24">
        <w:rPr>
          <w:lang w:val="fr-FR"/>
        </w:rPr>
        <w:t xml:space="preserve">et l’obligation de coopérer avec d’autres comtés de la région. Le comté est juridiquement tenu de contribuer à une </w:t>
      </w:r>
      <w:r>
        <w:rPr>
          <w:lang w:val="fr-FR"/>
        </w:rPr>
        <w:t>diversification</w:t>
      </w:r>
      <w:r w:rsidRPr="00976C24">
        <w:rPr>
          <w:lang w:val="fr-FR"/>
        </w:rPr>
        <w:t xml:space="preserve"> sociale plus juste des facteurs qui influent directement ou indirectement sur la santé</w:t>
      </w:r>
      <w:r>
        <w:rPr>
          <w:lang w:val="fr-FR"/>
        </w:rPr>
        <w:t>, par exemple en surveillant</w:t>
      </w:r>
      <w:r w:rsidRPr="00976C24">
        <w:rPr>
          <w:lang w:val="fr-FR"/>
        </w:rPr>
        <w:t xml:space="preserve"> les services de santé et les facteurs </w:t>
      </w:r>
      <w:r>
        <w:rPr>
          <w:lang w:val="fr-FR"/>
        </w:rPr>
        <w:t xml:space="preserve">communautaires </w:t>
      </w:r>
      <w:r w:rsidRPr="00976C24">
        <w:rPr>
          <w:lang w:val="fr-FR"/>
        </w:rPr>
        <w:t xml:space="preserve">pertinents, notamment </w:t>
      </w:r>
      <w:r>
        <w:rPr>
          <w:lang w:val="fr-FR"/>
        </w:rPr>
        <w:t xml:space="preserve">par des </w:t>
      </w:r>
      <w:r w:rsidRPr="00976C24">
        <w:rPr>
          <w:lang w:val="fr-FR"/>
        </w:rPr>
        <w:t xml:space="preserve">enquêtes. La nouvelle loi est entrée en vigueur le 1er janvier 2010. </w:t>
      </w:r>
    </w:p>
    <w:p w:rsidR="00903547" w:rsidRPr="00976C24" w:rsidRDefault="00903547" w:rsidP="00982FD0">
      <w:pPr>
        <w:pStyle w:val="SingleTxtG"/>
        <w:rPr>
          <w:i/>
          <w:lang w:val="fr-FR"/>
        </w:rPr>
      </w:pPr>
      <w:r>
        <w:rPr>
          <w:lang w:val="fr-FR"/>
        </w:rPr>
        <w:t>76.</w:t>
      </w:r>
      <w:r>
        <w:rPr>
          <w:lang w:val="fr-FR"/>
        </w:rPr>
        <w:tab/>
      </w:r>
      <w:r w:rsidRPr="00976C24">
        <w:rPr>
          <w:lang w:val="fr-FR"/>
        </w:rPr>
        <w:t xml:space="preserve">Une loi </w:t>
      </w:r>
      <w:r>
        <w:rPr>
          <w:lang w:val="fr-FR"/>
        </w:rPr>
        <w:t>modifiée</w:t>
      </w:r>
      <w:r w:rsidRPr="00976C24">
        <w:rPr>
          <w:lang w:val="fr-FR"/>
        </w:rPr>
        <w:t xml:space="preserve"> sur l’aménagement du territoire et la construction a été présentée par le Ministère de l’environnement et est entrée en vigueur le </w:t>
      </w:r>
      <w:r>
        <w:rPr>
          <w:lang w:val="fr-FR"/>
        </w:rPr>
        <w:t>1</w:t>
      </w:r>
      <w:r w:rsidRPr="002F07F1">
        <w:rPr>
          <w:vertAlign w:val="superscript"/>
          <w:lang w:val="fr-FR"/>
        </w:rPr>
        <w:t>er</w:t>
      </w:r>
      <w:r>
        <w:rPr>
          <w:lang w:val="fr-FR"/>
        </w:rPr>
        <w:t xml:space="preserve"> </w:t>
      </w:r>
      <w:r w:rsidRPr="00976C24">
        <w:rPr>
          <w:lang w:val="fr-FR"/>
        </w:rPr>
        <w:t xml:space="preserve">juillet 2009. Cette loi est essentielle pour la planification sociale et l’aménagement du territoire et une </w:t>
      </w:r>
      <w:r>
        <w:rPr>
          <w:lang w:val="fr-FR"/>
        </w:rPr>
        <w:t>organisation prévisionnelle</w:t>
      </w:r>
      <w:r w:rsidRPr="00976C24">
        <w:rPr>
          <w:lang w:val="fr-FR"/>
        </w:rPr>
        <w:t xml:space="preserve"> </w:t>
      </w:r>
      <w:r>
        <w:rPr>
          <w:lang w:val="fr-FR"/>
        </w:rPr>
        <w:t xml:space="preserve">globale </w:t>
      </w:r>
      <w:r w:rsidRPr="00976C24">
        <w:rPr>
          <w:lang w:val="fr-FR"/>
        </w:rPr>
        <w:t xml:space="preserve">à long terme, </w:t>
      </w:r>
      <w:r>
        <w:rPr>
          <w:lang w:val="fr-FR"/>
        </w:rPr>
        <w:t>notamment</w:t>
      </w:r>
      <w:r w:rsidRPr="00976C24">
        <w:rPr>
          <w:lang w:val="fr-FR"/>
        </w:rPr>
        <w:t xml:space="preserve"> tous les aspects </w:t>
      </w:r>
      <w:r>
        <w:rPr>
          <w:lang w:val="fr-FR"/>
        </w:rPr>
        <w:t>propres à l’aménagement</w:t>
      </w:r>
      <w:r w:rsidRPr="00976C24">
        <w:rPr>
          <w:lang w:val="fr-FR"/>
        </w:rPr>
        <w:t xml:space="preserve"> local et régional. La loi est </w:t>
      </w:r>
      <w:r>
        <w:rPr>
          <w:lang w:val="fr-FR"/>
        </w:rPr>
        <w:t>primordiale</w:t>
      </w:r>
      <w:r w:rsidRPr="00976C24">
        <w:rPr>
          <w:lang w:val="fr-FR"/>
        </w:rPr>
        <w:t xml:space="preserve"> pour </w:t>
      </w:r>
      <w:r>
        <w:rPr>
          <w:lang w:val="fr-FR"/>
        </w:rPr>
        <w:t>garantir</w:t>
      </w:r>
      <w:r w:rsidRPr="00976C24">
        <w:rPr>
          <w:lang w:val="fr-FR"/>
        </w:rPr>
        <w:t xml:space="preserve"> la participation et la démocratie dans les processus de planification. Les nouvelles dispositions précisent que la planification doit promouvoir la santé publique et prévenir les inégalités sociales en matière de santé.</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40 des observations finales</w:t>
      </w:r>
    </w:p>
    <w:p w:rsidR="00903547" w:rsidRPr="00976C24" w:rsidRDefault="00903547" w:rsidP="00982FD0">
      <w:pPr>
        <w:pStyle w:val="SingleTxtG"/>
        <w:rPr>
          <w:lang w:val="fr-FR"/>
        </w:rPr>
      </w:pPr>
      <w:r>
        <w:rPr>
          <w:lang w:val="fr-FR"/>
        </w:rPr>
        <w:t>77.</w:t>
      </w:r>
      <w:r>
        <w:rPr>
          <w:lang w:val="fr-FR"/>
        </w:rPr>
        <w:tab/>
        <w:t>À</w:t>
      </w:r>
      <w:r w:rsidRPr="00976C24">
        <w:rPr>
          <w:lang w:val="fr-FR"/>
        </w:rPr>
        <w:t xml:space="preserve"> leur arrivée en Norvège, les enfants demandeurs d’asile </w:t>
      </w:r>
      <w:r>
        <w:rPr>
          <w:lang w:val="fr-FR"/>
        </w:rPr>
        <w:t>sont soumis à</w:t>
      </w:r>
      <w:r w:rsidRPr="00976C24">
        <w:rPr>
          <w:lang w:val="fr-FR"/>
        </w:rPr>
        <w:t xml:space="preserve"> un examen médical</w:t>
      </w:r>
      <w:r w:rsidRPr="0090130F">
        <w:rPr>
          <w:lang w:val="fr-FR"/>
        </w:rPr>
        <w:t xml:space="preserve"> </w:t>
      </w:r>
      <w:r w:rsidRPr="00976C24">
        <w:rPr>
          <w:lang w:val="fr-FR"/>
        </w:rPr>
        <w:t>comme tous les demandeurs d’asile</w:t>
      </w:r>
      <w:r>
        <w:rPr>
          <w:lang w:val="fr-FR"/>
        </w:rPr>
        <w:t xml:space="preserve"> et</w:t>
      </w:r>
      <w:r w:rsidRPr="00976C24">
        <w:rPr>
          <w:lang w:val="fr-FR"/>
        </w:rPr>
        <w:t xml:space="preserve"> ont le même droit que le reste de la population aux services de santé primaires et spécialisés. Néanmoins, les personnes définitivement déboutées doivent quitter le pays et n</w:t>
      </w:r>
      <w:r>
        <w:rPr>
          <w:lang w:val="fr-FR"/>
        </w:rPr>
        <w:t>e bénéficient que des soins</w:t>
      </w:r>
      <w:r w:rsidRPr="00976C24">
        <w:rPr>
          <w:lang w:val="fr-FR"/>
        </w:rPr>
        <w:t xml:space="preserve"> de santé d’urgence. Les enfants ont </w:t>
      </w:r>
      <w:r>
        <w:rPr>
          <w:lang w:val="fr-FR"/>
        </w:rPr>
        <w:t>accès</w:t>
      </w:r>
      <w:r w:rsidRPr="00976C24">
        <w:rPr>
          <w:lang w:val="fr-FR"/>
        </w:rPr>
        <w:t xml:space="preserve"> sans restriction aux services de santé</w:t>
      </w:r>
      <w:r>
        <w:rPr>
          <w:lang w:val="fr-FR"/>
        </w:rPr>
        <w:t>, indépendamment du fait</w:t>
      </w:r>
      <w:r w:rsidRPr="00976C24">
        <w:rPr>
          <w:lang w:val="fr-FR"/>
        </w:rPr>
        <w:t xml:space="preserve"> qu’ils aient ou non la qualité de résident.</w:t>
      </w:r>
    </w:p>
    <w:p w:rsidR="00903547" w:rsidRPr="00976C24" w:rsidRDefault="00903547" w:rsidP="00982FD0">
      <w:pPr>
        <w:pStyle w:val="SingleTxtG"/>
        <w:rPr>
          <w:lang w:val="fr-FR"/>
        </w:rPr>
      </w:pPr>
      <w:r>
        <w:rPr>
          <w:lang w:val="fr-FR"/>
        </w:rPr>
        <w:t>78.</w:t>
      </w:r>
      <w:r>
        <w:rPr>
          <w:lang w:val="fr-FR"/>
        </w:rPr>
        <w:tab/>
        <w:t>C</w:t>
      </w:r>
      <w:r w:rsidRPr="00976C24">
        <w:rPr>
          <w:lang w:val="fr-FR"/>
        </w:rPr>
        <w:t xml:space="preserve">inq centres de </w:t>
      </w:r>
      <w:r>
        <w:rPr>
          <w:lang w:val="fr-FR"/>
        </w:rPr>
        <w:t xml:space="preserve">documentation </w:t>
      </w:r>
      <w:r w:rsidRPr="00976C24">
        <w:rPr>
          <w:lang w:val="fr-FR"/>
        </w:rPr>
        <w:t xml:space="preserve">régionaux spécialisés dans les questions de violence, de stress </w:t>
      </w:r>
      <w:r>
        <w:rPr>
          <w:lang w:val="fr-FR"/>
        </w:rPr>
        <w:t>post-</w:t>
      </w:r>
      <w:r w:rsidRPr="00976C24">
        <w:rPr>
          <w:lang w:val="fr-FR"/>
        </w:rPr>
        <w:t xml:space="preserve">traumatique et de prévention du suicide ont </w:t>
      </w:r>
      <w:r>
        <w:rPr>
          <w:lang w:val="fr-FR"/>
        </w:rPr>
        <w:t>été ouverts c</w:t>
      </w:r>
      <w:r w:rsidRPr="00976C24">
        <w:rPr>
          <w:lang w:val="fr-FR"/>
        </w:rPr>
        <w:t xml:space="preserve">es dernières années. </w:t>
      </w:r>
      <w:r>
        <w:rPr>
          <w:lang w:val="fr-FR"/>
        </w:rPr>
        <w:t>Ils</w:t>
      </w:r>
      <w:r w:rsidRPr="00976C24">
        <w:rPr>
          <w:lang w:val="fr-FR"/>
        </w:rPr>
        <w:t xml:space="preserve"> </w:t>
      </w:r>
      <w:r>
        <w:rPr>
          <w:lang w:val="fr-FR"/>
        </w:rPr>
        <w:t>s</w:t>
      </w:r>
      <w:r w:rsidRPr="00976C24">
        <w:rPr>
          <w:lang w:val="fr-FR"/>
        </w:rPr>
        <w:t xml:space="preserve">ont </w:t>
      </w:r>
      <w:r>
        <w:rPr>
          <w:lang w:val="fr-FR"/>
        </w:rPr>
        <w:t>notamment chargés de</w:t>
      </w:r>
      <w:r w:rsidRPr="00976C24">
        <w:rPr>
          <w:lang w:val="fr-FR"/>
        </w:rPr>
        <w:t xml:space="preserve"> la santé des réfugiés. </w:t>
      </w:r>
      <w:r>
        <w:rPr>
          <w:lang w:val="fr-FR"/>
        </w:rPr>
        <w:t>La situation des</w:t>
      </w:r>
      <w:r w:rsidRPr="00976C24">
        <w:rPr>
          <w:lang w:val="fr-FR"/>
        </w:rPr>
        <w:t xml:space="preserve"> mineurs non accompagnés demandeurs d’asile</w:t>
      </w:r>
      <w:r>
        <w:rPr>
          <w:lang w:val="fr-FR"/>
        </w:rPr>
        <w:t xml:space="preserve"> est une priorité</w:t>
      </w:r>
      <w:r w:rsidRPr="00976C24">
        <w:rPr>
          <w:lang w:val="fr-FR"/>
        </w:rPr>
        <w:t xml:space="preserve">. La première </w:t>
      </w:r>
      <w:r>
        <w:rPr>
          <w:lang w:val="fr-FR"/>
        </w:rPr>
        <w:t xml:space="preserve">tâche </w:t>
      </w:r>
      <w:r w:rsidRPr="00976C24">
        <w:rPr>
          <w:lang w:val="fr-FR"/>
        </w:rPr>
        <w:t>des centres est d’</w:t>
      </w:r>
      <w:r>
        <w:rPr>
          <w:lang w:val="fr-FR"/>
        </w:rPr>
        <w:t>appuyer et de conseiller les</w:t>
      </w:r>
      <w:r w:rsidRPr="00976C24">
        <w:rPr>
          <w:lang w:val="fr-FR"/>
        </w:rPr>
        <w:t xml:space="preserve"> services de santé primaires et spécialisés et de superviser leurs activités. En outre ils </w:t>
      </w:r>
      <w:r>
        <w:rPr>
          <w:lang w:val="fr-FR"/>
        </w:rPr>
        <w:t>contribuent</w:t>
      </w:r>
      <w:r w:rsidRPr="00976C24">
        <w:rPr>
          <w:lang w:val="fr-FR"/>
        </w:rPr>
        <w:t xml:space="preserve"> à la mise en place de réseaux et d</w:t>
      </w:r>
      <w:r>
        <w:rPr>
          <w:lang w:val="fr-FR"/>
        </w:rPr>
        <w:t>e</w:t>
      </w:r>
      <w:r w:rsidRPr="00976C24">
        <w:rPr>
          <w:lang w:val="fr-FR"/>
        </w:rPr>
        <w:t xml:space="preserve"> coopération</w:t>
      </w:r>
      <w:r>
        <w:rPr>
          <w:lang w:val="fr-FR"/>
        </w:rPr>
        <w:t>s</w:t>
      </w:r>
      <w:r w:rsidRPr="00976C24">
        <w:rPr>
          <w:lang w:val="fr-FR"/>
        </w:rPr>
        <w:t xml:space="preserve"> dans les régions. </w:t>
      </w:r>
      <w:r>
        <w:rPr>
          <w:lang w:val="fr-FR"/>
        </w:rPr>
        <w:t>Il incombe aux</w:t>
      </w:r>
      <w:r w:rsidRPr="00976C24">
        <w:rPr>
          <w:lang w:val="fr-FR"/>
        </w:rPr>
        <w:t xml:space="preserve"> autorités sanitaires régionales </w:t>
      </w:r>
      <w:r>
        <w:rPr>
          <w:lang w:val="fr-FR"/>
        </w:rPr>
        <w:t>de créer des</w:t>
      </w:r>
      <w:r w:rsidRPr="00976C24">
        <w:rPr>
          <w:lang w:val="fr-FR"/>
        </w:rPr>
        <w:t xml:space="preserve"> services de santé spécialisés dans le</w:t>
      </w:r>
      <w:r>
        <w:rPr>
          <w:lang w:val="fr-FR"/>
        </w:rPr>
        <w:t>s problèmes de</w:t>
      </w:r>
      <w:r w:rsidRPr="00976C24">
        <w:rPr>
          <w:lang w:val="fr-FR"/>
        </w:rPr>
        <w:t xml:space="preserve"> stress </w:t>
      </w:r>
      <w:r>
        <w:rPr>
          <w:lang w:val="fr-FR"/>
        </w:rPr>
        <w:t>post-</w:t>
      </w:r>
      <w:r w:rsidRPr="00976C24">
        <w:rPr>
          <w:lang w:val="fr-FR"/>
        </w:rPr>
        <w:t>traumatique.</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41 des observations finales</w:t>
      </w:r>
    </w:p>
    <w:p w:rsidR="00903547" w:rsidRPr="00976C24" w:rsidRDefault="00903547" w:rsidP="00982FD0">
      <w:pPr>
        <w:pStyle w:val="SingleTxtG"/>
        <w:rPr>
          <w:lang w:val="fr-FR"/>
        </w:rPr>
      </w:pPr>
      <w:r>
        <w:rPr>
          <w:lang w:val="fr-FR"/>
        </w:rPr>
        <w:t>79.</w:t>
      </w:r>
      <w:r>
        <w:rPr>
          <w:lang w:val="fr-FR"/>
        </w:rPr>
        <w:tab/>
      </w:r>
      <w:r w:rsidRPr="00976C24">
        <w:rPr>
          <w:lang w:val="fr-FR"/>
        </w:rPr>
        <w:t xml:space="preserve">Au cours des dernières années, les quatre autorités sanitaires régionales de Norvège ont ouvert des unités de soins spécialisés </w:t>
      </w:r>
      <w:r>
        <w:rPr>
          <w:lang w:val="fr-FR"/>
        </w:rPr>
        <w:t>pour les</w:t>
      </w:r>
      <w:r w:rsidRPr="00976C24">
        <w:rPr>
          <w:lang w:val="fr-FR"/>
        </w:rPr>
        <w:t xml:space="preserve"> personnes souffrant de troubles sévères de l’alimentation. </w:t>
      </w:r>
      <w:r>
        <w:rPr>
          <w:lang w:val="fr-FR"/>
        </w:rPr>
        <w:t>Ce type de</w:t>
      </w:r>
      <w:r w:rsidRPr="00976C24">
        <w:rPr>
          <w:lang w:val="fr-FR"/>
        </w:rPr>
        <w:t xml:space="preserve"> traitement est </w:t>
      </w:r>
      <w:r>
        <w:rPr>
          <w:lang w:val="fr-FR"/>
        </w:rPr>
        <w:t xml:space="preserve">également </w:t>
      </w:r>
      <w:r w:rsidRPr="00976C24">
        <w:rPr>
          <w:lang w:val="fr-FR"/>
        </w:rPr>
        <w:t>proposé dans la plupart des services d</w:t>
      </w:r>
      <w:r>
        <w:rPr>
          <w:lang w:val="fr-FR"/>
        </w:rPr>
        <w:t xml:space="preserve">e psychiatrie des districts et des services </w:t>
      </w:r>
      <w:r w:rsidRPr="00976C24">
        <w:rPr>
          <w:lang w:val="fr-FR"/>
        </w:rPr>
        <w:t xml:space="preserve">de santé mentale </w:t>
      </w:r>
      <w:r>
        <w:rPr>
          <w:lang w:val="fr-FR"/>
        </w:rPr>
        <w:t>pour</w:t>
      </w:r>
      <w:r w:rsidRPr="00976C24">
        <w:rPr>
          <w:lang w:val="fr-FR"/>
        </w:rPr>
        <w:t xml:space="preserve"> enfants et adolescents. Un réseau de centres médicaux </w:t>
      </w:r>
      <w:r>
        <w:rPr>
          <w:lang w:val="fr-FR"/>
        </w:rPr>
        <w:t>spécialisés dans</w:t>
      </w:r>
      <w:r w:rsidRPr="00976C24">
        <w:rPr>
          <w:lang w:val="fr-FR"/>
        </w:rPr>
        <w:t xml:space="preserve"> les troubles de l’alimentation a été mis en place et aide les autorités sanitaires régionales à ouvrir et à gérer les centres régionaux. Les autorités sanitaires régionales entendent </w:t>
      </w:r>
      <w:r>
        <w:rPr>
          <w:lang w:val="fr-FR"/>
        </w:rPr>
        <w:t>étoffer le</w:t>
      </w:r>
      <w:r w:rsidRPr="00976C24">
        <w:rPr>
          <w:lang w:val="fr-FR"/>
        </w:rPr>
        <w:t xml:space="preserve"> programme de renforcement des compétences</w:t>
      </w:r>
      <w:r>
        <w:rPr>
          <w:lang w:val="fr-FR"/>
        </w:rPr>
        <w:t xml:space="preserve"> «Corps et respect de soi</w:t>
      </w:r>
      <w:r w:rsidRPr="00976C24">
        <w:rPr>
          <w:lang w:val="fr-FR"/>
        </w:rPr>
        <w:t>» et privilégi</w:t>
      </w:r>
      <w:r>
        <w:rPr>
          <w:lang w:val="fr-FR"/>
        </w:rPr>
        <w:t>er</w:t>
      </w:r>
      <w:r w:rsidRPr="00976C24">
        <w:rPr>
          <w:lang w:val="fr-FR"/>
        </w:rPr>
        <w:t xml:space="preserve"> les mesures préventives, le traitement et le renforcement des compétences. </w:t>
      </w:r>
    </w:p>
    <w:p w:rsidR="00903547" w:rsidRPr="00976C24" w:rsidRDefault="00903547" w:rsidP="00982FD0">
      <w:pPr>
        <w:pStyle w:val="SingleTxtG"/>
        <w:rPr>
          <w:lang w:val="fr-FR"/>
        </w:rPr>
      </w:pPr>
      <w:r>
        <w:rPr>
          <w:lang w:val="fr-FR"/>
        </w:rPr>
        <w:t>80.</w:t>
      </w:r>
      <w:r>
        <w:rPr>
          <w:lang w:val="fr-FR"/>
        </w:rPr>
        <w:tab/>
      </w:r>
      <w:r w:rsidRPr="00976C24">
        <w:rPr>
          <w:lang w:val="fr-FR"/>
        </w:rPr>
        <w:t xml:space="preserve">En 2010, la direction norvégienne de la santé commencera à </w:t>
      </w:r>
      <w:r>
        <w:rPr>
          <w:lang w:val="fr-FR"/>
        </w:rPr>
        <w:t>élaborer</w:t>
      </w:r>
      <w:r w:rsidRPr="00976C24">
        <w:rPr>
          <w:lang w:val="fr-FR"/>
        </w:rPr>
        <w:t xml:space="preserve"> de nouvelles </w:t>
      </w:r>
      <w:r>
        <w:rPr>
          <w:lang w:val="fr-FR"/>
        </w:rPr>
        <w:t>recommandations sur les</w:t>
      </w:r>
      <w:r w:rsidRPr="00976C24">
        <w:rPr>
          <w:lang w:val="fr-FR"/>
        </w:rPr>
        <w:t xml:space="preserve"> troubles de l’alimentation et </w:t>
      </w:r>
      <w:r>
        <w:rPr>
          <w:lang w:val="fr-FR"/>
        </w:rPr>
        <w:t>lancera</w:t>
      </w:r>
      <w:r w:rsidRPr="00976C24">
        <w:rPr>
          <w:lang w:val="fr-FR"/>
        </w:rPr>
        <w:t xml:space="preserve"> une enquête sur le traitement </w:t>
      </w:r>
      <w:r>
        <w:rPr>
          <w:lang w:val="fr-FR"/>
        </w:rPr>
        <w:t>y afférent,</w:t>
      </w:r>
      <w:r w:rsidRPr="00976C24">
        <w:rPr>
          <w:lang w:val="fr-FR"/>
        </w:rPr>
        <w:t xml:space="preserve"> </w:t>
      </w:r>
      <w:r>
        <w:rPr>
          <w:lang w:val="fr-FR"/>
        </w:rPr>
        <w:t>qui portera sur</w:t>
      </w:r>
      <w:r w:rsidRPr="00976C24">
        <w:rPr>
          <w:lang w:val="fr-FR"/>
        </w:rPr>
        <w:t xml:space="preserve"> la capacité, la qualité et l’accessibilité. </w:t>
      </w:r>
    </w:p>
    <w:p w:rsidR="00903547" w:rsidRPr="00976C24" w:rsidRDefault="00903547" w:rsidP="00982FD0">
      <w:pPr>
        <w:pStyle w:val="SingleTxtG"/>
        <w:rPr>
          <w:lang w:val="fr-FR"/>
        </w:rPr>
      </w:pPr>
      <w:r>
        <w:rPr>
          <w:lang w:val="fr-FR"/>
        </w:rPr>
        <w:t>81.</w:t>
      </w:r>
      <w:r>
        <w:rPr>
          <w:lang w:val="fr-FR"/>
        </w:rPr>
        <w:tab/>
      </w:r>
      <w:r w:rsidRPr="00976C24">
        <w:rPr>
          <w:lang w:val="fr-FR"/>
        </w:rPr>
        <w:t>La direction norvégienne de la santé a élaboré une stratégie de prévention du suicide pour la période 2009</w:t>
      </w:r>
      <w:r>
        <w:rPr>
          <w:lang w:val="fr-FR"/>
        </w:rPr>
        <w:t>-</w:t>
      </w:r>
      <w:r w:rsidRPr="00976C24">
        <w:rPr>
          <w:lang w:val="fr-FR"/>
        </w:rPr>
        <w:t xml:space="preserve">2012. Les principaux éléments </w:t>
      </w:r>
      <w:r>
        <w:rPr>
          <w:lang w:val="fr-FR"/>
        </w:rPr>
        <w:t>en</w:t>
      </w:r>
      <w:r w:rsidRPr="00976C24">
        <w:rPr>
          <w:lang w:val="fr-FR"/>
        </w:rPr>
        <w:t xml:space="preserve"> sont des mesures de prévention dans les groupes à risque, d’amélioration des statistiques nationales, d’évaluation des mesures correctives ou d’intervention dans les cas de comportement suicidaire, et de soutien aux familles et aux proches. Des </w:t>
      </w:r>
      <w:r>
        <w:rPr>
          <w:lang w:val="fr-FR"/>
        </w:rPr>
        <w:t>recommandations</w:t>
      </w:r>
      <w:r w:rsidRPr="00976C24">
        <w:rPr>
          <w:lang w:val="fr-FR"/>
        </w:rPr>
        <w:t xml:space="preserve"> </w:t>
      </w:r>
      <w:r>
        <w:rPr>
          <w:lang w:val="fr-FR"/>
        </w:rPr>
        <w:t>sur la prévention du</w:t>
      </w:r>
      <w:r w:rsidRPr="00976C24">
        <w:rPr>
          <w:lang w:val="fr-FR"/>
        </w:rPr>
        <w:t xml:space="preserve"> suicide dans les services de santé mentale ont été publiées en janvier 2008</w:t>
      </w:r>
      <w:r w:rsidRPr="00976C24">
        <w:rPr>
          <w:i/>
          <w:lang w:val="fr-FR"/>
        </w:rPr>
        <w:t>.</w:t>
      </w:r>
      <w:r w:rsidRPr="00976C24">
        <w:rPr>
          <w:lang w:val="fr-FR"/>
        </w:rPr>
        <w:t xml:space="preserve"> </w:t>
      </w:r>
      <w:r>
        <w:rPr>
          <w:lang w:val="fr-FR"/>
        </w:rPr>
        <w:t xml:space="preserve">D’autres </w:t>
      </w:r>
      <w:r w:rsidRPr="00976C24">
        <w:rPr>
          <w:lang w:val="fr-FR"/>
        </w:rPr>
        <w:t>seront publiées en 2010</w:t>
      </w:r>
      <w:r>
        <w:rPr>
          <w:lang w:val="fr-FR"/>
        </w:rPr>
        <w:t xml:space="preserve"> pour</w:t>
      </w:r>
      <w:r w:rsidRPr="00976C24">
        <w:rPr>
          <w:lang w:val="fr-FR"/>
        </w:rPr>
        <w:t xml:space="preserve"> les services de santé primaires.</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42 des observations finales</w:t>
      </w:r>
    </w:p>
    <w:p w:rsidR="00903547" w:rsidRPr="00976C24" w:rsidRDefault="00903547" w:rsidP="00982FD0">
      <w:pPr>
        <w:pStyle w:val="SingleTxtG"/>
        <w:rPr>
          <w:lang w:val="fr-FR"/>
        </w:rPr>
      </w:pPr>
      <w:r>
        <w:rPr>
          <w:lang w:val="fr-FR"/>
        </w:rPr>
        <w:t>82.</w:t>
      </w:r>
      <w:r>
        <w:rPr>
          <w:lang w:val="fr-FR"/>
        </w:rPr>
        <w:tab/>
      </w:r>
      <w:r w:rsidRPr="00976C24">
        <w:rPr>
          <w:lang w:val="fr-FR"/>
        </w:rPr>
        <w:t xml:space="preserve">Selon la loi sur les soins de santé </w:t>
      </w:r>
      <w:r>
        <w:rPr>
          <w:lang w:val="fr-FR"/>
        </w:rPr>
        <w:t>mentale (loi du 2 juillet 1999 n</w:t>
      </w:r>
      <w:r w:rsidRPr="000A7EEA">
        <w:rPr>
          <w:vertAlign w:val="superscript"/>
          <w:lang w:val="fr-FR"/>
        </w:rPr>
        <w:t>o</w:t>
      </w:r>
      <w:r>
        <w:rPr>
          <w:lang w:val="fr-FR"/>
        </w:rPr>
        <w:t> </w:t>
      </w:r>
      <w:r w:rsidRPr="00976C24">
        <w:rPr>
          <w:lang w:val="fr-FR"/>
        </w:rPr>
        <w:t xml:space="preserve">62), la décision d’interner une personne atteinte de troubles mentaux pour lui faire suivre un traitement psychiatrique obligatoire peut être contestée devant la commission de surveillance qui doit prendre les décisions de son ressort et </w:t>
      </w:r>
      <w:r>
        <w:rPr>
          <w:lang w:val="fr-FR"/>
        </w:rPr>
        <w:t>exercer un contrôle</w:t>
      </w:r>
      <w:r w:rsidRPr="00976C24">
        <w:rPr>
          <w:lang w:val="fr-FR"/>
        </w:rPr>
        <w:t xml:space="preserve"> </w:t>
      </w:r>
      <w:r>
        <w:rPr>
          <w:lang w:val="fr-FR"/>
        </w:rPr>
        <w:t>lorsq</w:t>
      </w:r>
      <w:r w:rsidRPr="00976C24">
        <w:rPr>
          <w:lang w:val="fr-FR"/>
        </w:rPr>
        <w:t xml:space="preserve">u’elle </w:t>
      </w:r>
      <w:r>
        <w:rPr>
          <w:lang w:val="fr-FR"/>
        </w:rPr>
        <w:t xml:space="preserve">le </w:t>
      </w:r>
      <w:r w:rsidRPr="00976C24">
        <w:rPr>
          <w:lang w:val="fr-FR"/>
        </w:rPr>
        <w:t>juge nécessaire pour le bien-être du patient.</w:t>
      </w:r>
    </w:p>
    <w:p w:rsidR="00903547" w:rsidRPr="00976C24" w:rsidRDefault="00903547" w:rsidP="00982FD0">
      <w:pPr>
        <w:pStyle w:val="SingleTxtG"/>
        <w:rPr>
          <w:lang w:val="fr-FR"/>
        </w:rPr>
      </w:pPr>
      <w:r>
        <w:rPr>
          <w:lang w:val="fr-FR"/>
        </w:rPr>
        <w:t>83.</w:t>
      </w:r>
      <w:r>
        <w:rPr>
          <w:lang w:val="fr-FR"/>
        </w:rPr>
        <w:tab/>
      </w:r>
      <w:r w:rsidRPr="00976C24">
        <w:rPr>
          <w:lang w:val="fr-FR"/>
        </w:rPr>
        <w:t>La commission de surveillance est un organe autonome présidé par un homme de loi.</w:t>
      </w:r>
    </w:p>
    <w:p w:rsidR="00903547" w:rsidRPr="00976C24" w:rsidRDefault="00903547" w:rsidP="00982FD0">
      <w:pPr>
        <w:pStyle w:val="SingleTxtG"/>
        <w:rPr>
          <w:lang w:val="fr-FR"/>
        </w:rPr>
      </w:pPr>
      <w:r>
        <w:rPr>
          <w:lang w:val="fr-FR"/>
        </w:rPr>
        <w:t>84.</w:t>
      </w:r>
      <w:r>
        <w:rPr>
          <w:lang w:val="fr-FR"/>
        </w:rPr>
        <w:tab/>
      </w:r>
      <w:r w:rsidRPr="00976C24">
        <w:rPr>
          <w:lang w:val="fr-FR"/>
        </w:rPr>
        <w:t xml:space="preserve">La décision d’internement </w:t>
      </w:r>
      <w:r>
        <w:rPr>
          <w:lang w:val="fr-FR"/>
        </w:rPr>
        <w:t>doit être</w:t>
      </w:r>
      <w:r w:rsidRPr="00976C24">
        <w:rPr>
          <w:lang w:val="fr-FR"/>
        </w:rPr>
        <w:t xml:space="preserve"> rapidement </w:t>
      </w:r>
      <w:r>
        <w:rPr>
          <w:lang w:val="fr-FR"/>
        </w:rPr>
        <w:t>communiquée</w:t>
      </w:r>
      <w:r w:rsidRPr="00976C24">
        <w:rPr>
          <w:lang w:val="fr-FR"/>
        </w:rPr>
        <w:t xml:space="preserve"> à la commission de surveillance qui déterminera dans les meilleurs délais si la procédure </w:t>
      </w:r>
      <w:r>
        <w:rPr>
          <w:lang w:val="fr-FR"/>
        </w:rPr>
        <w:t>appropriée</w:t>
      </w:r>
      <w:r w:rsidRPr="00976C24">
        <w:rPr>
          <w:lang w:val="fr-FR"/>
        </w:rPr>
        <w:t xml:space="preserve"> a bien été suivie et si la décision administrative </w:t>
      </w:r>
      <w:r>
        <w:rPr>
          <w:lang w:val="fr-FR"/>
        </w:rPr>
        <w:t>repose</w:t>
      </w:r>
      <w:r w:rsidRPr="00976C24">
        <w:rPr>
          <w:lang w:val="fr-FR"/>
        </w:rPr>
        <w:t xml:space="preserve"> sur une évaluation des critères fondamentaux énoncés dans la loi. Le patient est </w:t>
      </w:r>
      <w:r>
        <w:rPr>
          <w:lang w:val="fr-FR"/>
        </w:rPr>
        <w:t xml:space="preserve">à tout moment </w:t>
      </w:r>
      <w:r w:rsidRPr="00976C24">
        <w:rPr>
          <w:lang w:val="fr-FR"/>
        </w:rPr>
        <w:t>en droit de faire appel devant la commission de surveillance et peut</w:t>
      </w:r>
      <w:r>
        <w:rPr>
          <w:lang w:val="fr-FR"/>
        </w:rPr>
        <w:t xml:space="preserve"> alors</w:t>
      </w:r>
      <w:r w:rsidRPr="00976C24">
        <w:rPr>
          <w:lang w:val="fr-FR"/>
        </w:rPr>
        <w:t xml:space="preserve"> bénéficier de l’aide juridictionnelle. Dans la mesure du possible, la commission rend </w:t>
      </w:r>
      <w:r>
        <w:rPr>
          <w:lang w:val="fr-FR"/>
        </w:rPr>
        <w:t>sa</w:t>
      </w:r>
      <w:r w:rsidRPr="00976C24">
        <w:rPr>
          <w:lang w:val="fr-FR"/>
        </w:rPr>
        <w:t xml:space="preserve"> décision dans les deux semaines suivant la réception de la plainte. Le patient peut saisir un tribunal pour contester une décision négative et bénéficie dans ce cas </w:t>
      </w:r>
      <w:r>
        <w:rPr>
          <w:lang w:val="fr-FR"/>
        </w:rPr>
        <w:t>aussi</w:t>
      </w:r>
      <w:r w:rsidRPr="00976C24">
        <w:rPr>
          <w:lang w:val="fr-FR"/>
        </w:rPr>
        <w:t xml:space="preserve"> de l’aide juridictionnelle. </w:t>
      </w:r>
      <w:r>
        <w:rPr>
          <w:lang w:val="fr-FR"/>
        </w:rPr>
        <w:t>Les tribunaux doivent examiner c</w:t>
      </w:r>
      <w:r w:rsidRPr="00976C24">
        <w:rPr>
          <w:lang w:val="fr-FR"/>
        </w:rPr>
        <w:t>es affaires en priorité</w:t>
      </w:r>
      <w:r>
        <w:rPr>
          <w:lang w:val="fr-FR"/>
        </w:rPr>
        <w:t>.</w:t>
      </w:r>
      <w:r w:rsidRPr="00976C24">
        <w:rPr>
          <w:lang w:val="fr-FR"/>
        </w:rPr>
        <w:t xml:space="preserve"> </w:t>
      </w:r>
    </w:p>
    <w:p w:rsidR="00903547" w:rsidRPr="00976C24" w:rsidRDefault="00903547" w:rsidP="00982FD0">
      <w:pPr>
        <w:pStyle w:val="SingleTxtG"/>
        <w:tabs>
          <w:tab w:val="left" w:pos="1701"/>
        </w:tabs>
        <w:rPr>
          <w:lang w:val="fr-FR"/>
        </w:rPr>
      </w:pPr>
      <w:r>
        <w:rPr>
          <w:lang w:val="fr-FR"/>
        </w:rPr>
        <w:t>85.</w:t>
      </w:r>
      <w:r>
        <w:rPr>
          <w:lang w:val="fr-FR"/>
        </w:rPr>
        <w:tab/>
      </w:r>
      <w:r w:rsidRPr="00976C24">
        <w:rPr>
          <w:lang w:val="fr-FR"/>
        </w:rPr>
        <w:t xml:space="preserve">Même </w:t>
      </w:r>
      <w:r>
        <w:rPr>
          <w:lang w:val="fr-FR"/>
        </w:rPr>
        <w:t>en l’absence de contestation de la part du patient</w:t>
      </w:r>
      <w:r w:rsidRPr="00976C24">
        <w:rPr>
          <w:lang w:val="fr-FR"/>
        </w:rPr>
        <w:t xml:space="preserve">, la commission doit réexaminer son cas au bout de trois mois pour vérifier </w:t>
      </w:r>
      <w:r>
        <w:rPr>
          <w:lang w:val="fr-FR"/>
        </w:rPr>
        <w:t>le caractère nécessaire du</w:t>
      </w:r>
      <w:r w:rsidRPr="00976C24">
        <w:rPr>
          <w:lang w:val="fr-FR"/>
        </w:rPr>
        <w:t xml:space="preserve"> traitement obligatoire. </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43 des observations finales</w:t>
      </w:r>
    </w:p>
    <w:p w:rsidR="00903547" w:rsidRPr="00976C24" w:rsidRDefault="00903547" w:rsidP="00982FD0">
      <w:pPr>
        <w:pStyle w:val="SingleTxtG"/>
        <w:tabs>
          <w:tab w:val="left" w:pos="1701"/>
        </w:tabs>
        <w:rPr>
          <w:lang w:val="fr-FR"/>
        </w:rPr>
      </w:pPr>
      <w:r>
        <w:rPr>
          <w:lang w:val="fr-FR"/>
        </w:rPr>
        <w:t>86.</w:t>
      </w:r>
      <w:r>
        <w:rPr>
          <w:lang w:val="fr-FR"/>
        </w:rPr>
        <w:tab/>
      </w:r>
      <w:r w:rsidRPr="00976C24">
        <w:rPr>
          <w:lang w:val="fr-FR"/>
        </w:rPr>
        <w:t>Tous les enfants de Norvège âgés de 6 à 16 ans ont les mêmes droits et obligations de fréquenter l’école primaire</w:t>
      </w:r>
      <w:r>
        <w:rPr>
          <w:lang w:val="fr-FR"/>
        </w:rPr>
        <w:t>,</w:t>
      </w:r>
      <w:r w:rsidRPr="00976C24">
        <w:rPr>
          <w:lang w:val="fr-FR"/>
        </w:rPr>
        <w:t xml:space="preserve"> </w:t>
      </w:r>
      <w:r>
        <w:rPr>
          <w:lang w:val="fr-FR"/>
        </w:rPr>
        <w:t xml:space="preserve">sans considération de leur origine, de leur statut ou de </w:t>
      </w:r>
      <w:r w:rsidRPr="00976C24">
        <w:rPr>
          <w:lang w:val="fr-FR"/>
        </w:rPr>
        <w:t xml:space="preserve">la légalité de leur séjour. Néanmoins, le fait que certains </w:t>
      </w:r>
      <w:r>
        <w:rPr>
          <w:lang w:val="fr-FR"/>
        </w:rPr>
        <w:t xml:space="preserve">demandeurs d’asile déboutés </w:t>
      </w:r>
      <w:r w:rsidRPr="00976C24">
        <w:rPr>
          <w:lang w:val="fr-FR"/>
        </w:rPr>
        <w:t xml:space="preserve">choisissent de ne pas envoyer leurs enfants à l’école, par crainte des conséquences, </w:t>
      </w:r>
      <w:r>
        <w:rPr>
          <w:lang w:val="fr-FR"/>
        </w:rPr>
        <w:t>r</w:t>
      </w:r>
      <w:r w:rsidRPr="00976C24">
        <w:rPr>
          <w:lang w:val="fr-FR"/>
        </w:rPr>
        <w:t>est</w:t>
      </w:r>
      <w:r>
        <w:rPr>
          <w:lang w:val="fr-FR"/>
        </w:rPr>
        <w:t>e</w:t>
      </w:r>
      <w:r w:rsidRPr="00976C24">
        <w:rPr>
          <w:lang w:val="fr-FR"/>
        </w:rPr>
        <w:t xml:space="preserve"> un réel </w:t>
      </w:r>
      <w:r>
        <w:rPr>
          <w:lang w:val="fr-FR"/>
        </w:rPr>
        <w:t>sujet de préoccupation</w:t>
      </w:r>
      <w:r w:rsidRPr="00976C24">
        <w:rPr>
          <w:lang w:val="fr-FR"/>
        </w:rPr>
        <w:t xml:space="preserve">. </w:t>
      </w:r>
    </w:p>
    <w:p w:rsidR="00903547" w:rsidRPr="00976C24" w:rsidRDefault="00903547" w:rsidP="0071086E">
      <w:pPr>
        <w:pStyle w:val="H23G"/>
        <w:rPr>
          <w:bCs/>
          <w:i/>
          <w:iCs/>
          <w:lang w:val="fr-FR"/>
        </w:rPr>
      </w:pPr>
      <w:r w:rsidRPr="00976C24">
        <w:rPr>
          <w:bCs/>
          <w:i/>
          <w:iCs/>
          <w:lang w:val="fr-FR"/>
        </w:rPr>
        <w:tab/>
      </w:r>
      <w:r w:rsidRPr="00976C24">
        <w:rPr>
          <w:bCs/>
          <w:i/>
          <w:iCs/>
          <w:lang w:val="fr-FR"/>
        </w:rPr>
        <w:tab/>
      </w:r>
      <w:r w:rsidRPr="00976C24">
        <w:rPr>
          <w:bCs/>
          <w:iCs/>
          <w:lang w:val="fr-FR"/>
        </w:rPr>
        <w:t>Réponse aux suggestions</w:t>
      </w:r>
      <w:r w:rsidRPr="00976C24">
        <w:rPr>
          <w:lang w:val="fr-FR"/>
        </w:rPr>
        <w:t xml:space="preserve"> et recommandations formulées au paragraphe 44 des observations finales</w:t>
      </w:r>
    </w:p>
    <w:p w:rsidR="00903547" w:rsidRPr="00976C24" w:rsidRDefault="00903547" w:rsidP="00982FD0">
      <w:pPr>
        <w:pStyle w:val="SingleTxtG"/>
        <w:tabs>
          <w:tab w:val="left" w:pos="1701"/>
        </w:tabs>
        <w:rPr>
          <w:lang w:val="fr-FR"/>
        </w:rPr>
      </w:pPr>
      <w:r>
        <w:rPr>
          <w:lang w:val="fr-FR"/>
        </w:rPr>
        <w:t>87.</w:t>
      </w:r>
      <w:r>
        <w:rPr>
          <w:lang w:val="fr-FR"/>
        </w:rPr>
        <w:tab/>
      </w:r>
      <w:r w:rsidRPr="00976C24">
        <w:rPr>
          <w:lang w:val="fr-FR"/>
        </w:rPr>
        <w:t xml:space="preserve">Les observations finales du Comité </w:t>
      </w:r>
      <w:r>
        <w:rPr>
          <w:lang w:val="fr-FR"/>
        </w:rPr>
        <w:t>formulées à l’issue de</w:t>
      </w:r>
      <w:r w:rsidRPr="00976C24">
        <w:rPr>
          <w:lang w:val="fr-FR"/>
        </w:rPr>
        <w:t xml:space="preserve"> l’examen du quatrième rapport périodique de la Norvège ont été publiées sur le site Web du Gouvernement. Le Ministère des affaires étrangères a organisé une réunion avec les ministères et les membres de la société civile co</w:t>
      </w:r>
      <w:r>
        <w:rPr>
          <w:lang w:val="fr-FR"/>
        </w:rPr>
        <w:t>ncernés</w:t>
      </w:r>
      <w:r w:rsidRPr="00976C24">
        <w:rPr>
          <w:lang w:val="fr-FR"/>
        </w:rPr>
        <w:t xml:space="preserve"> le 20 octobre 2006 pour discuter de la suite </w:t>
      </w:r>
      <w:r>
        <w:rPr>
          <w:lang w:val="fr-FR"/>
        </w:rPr>
        <w:t>à leur donner</w:t>
      </w:r>
      <w:r w:rsidRPr="00976C24">
        <w:rPr>
          <w:lang w:val="fr-FR"/>
        </w:rPr>
        <w:t>. Les réponses des ministères ont ensuite été publiées sur le site Web du Gouvernement. La Norvège a organisé deux réunions</w:t>
      </w:r>
      <w:r>
        <w:rPr>
          <w:lang w:val="fr-FR"/>
        </w:rPr>
        <w:t>,</w:t>
      </w:r>
      <w:r w:rsidRPr="00976C24">
        <w:rPr>
          <w:lang w:val="fr-FR"/>
        </w:rPr>
        <w:t xml:space="preserve"> outre les différentes consultations avec des ONG et d’autres membres de la société civile</w:t>
      </w:r>
      <w:r>
        <w:rPr>
          <w:lang w:val="fr-FR"/>
        </w:rPr>
        <w:t>,</w:t>
      </w:r>
      <w:r w:rsidRPr="00976C24">
        <w:rPr>
          <w:lang w:val="fr-FR"/>
        </w:rPr>
        <w:t xml:space="preserve"> pour préparer le présent rapport. Le</w:t>
      </w:r>
      <w:r>
        <w:rPr>
          <w:lang w:val="fr-FR"/>
        </w:rPr>
        <w:t>s</w:t>
      </w:r>
      <w:r w:rsidRPr="00976C24">
        <w:rPr>
          <w:lang w:val="fr-FR"/>
        </w:rPr>
        <w:t xml:space="preserve"> procès-verba</w:t>
      </w:r>
      <w:r>
        <w:rPr>
          <w:lang w:val="fr-FR"/>
        </w:rPr>
        <w:t>ux</w:t>
      </w:r>
      <w:r w:rsidRPr="00976C24">
        <w:rPr>
          <w:lang w:val="fr-FR"/>
        </w:rPr>
        <w:t xml:space="preserve"> de</w:t>
      </w:r>
      <w:r>
        <w:rPr>
          <w:lang w:val="fr-FR"/>
        </w:rPr>
        <w:t>s</w:t>
      </w:r>
      <w:r w:rsidRPr="00976C24">
        <w:rPr>
          <w:lang w:val="fr-FR"/>
        </w:rPr>
        <w:t xml:space="preserve"> réunion</w:t>
      </w:r>
      <w:r>
        <w:rPr>
          <w:lang w:val="fr-FR"/>
        </w:rPr>
        <w:t>s</w:t>
      </w:r>
      <w:r w:rsidRPr="00976C24">
        <w:rPr>
          <w:lang w:val="fr-FR"/>
        </w:rPr>
        <w:t xml:space="preserve"> </w:t>
      </w:r>
      <w:r>
        <w:rPr>
          <w:lang w:val="fr-FR"/>
        </w:rPr>
        <w:t>ont</w:t>
      </w:r>
      <w:r w:rsidRPr="00976C24">
        <w:rPr>
          <w:lang w:val="fr-FR"/>
        </w:rPr>
        <w:t xml:space="preserve"> été publié</w:t>
      </w:r>
      <w:r>
        <w:rPr>
          <w:lang w:val="fr-FR"/>
        </w:rPr>
        <w:t>s</w:t>
      </w:r>
      <w:r w:rsidRPr="00976C24">
        <w:rPr>
          <w:lang w:val="fr-FR"/>
        </w:rPr>
        <w:t xml:space="preserve"> sur Internet.</w:t>
      </w:r>
    </w:p>
    <w:p w:rsidR="00903547" w:rsidRPr="00976C24" w:rsidRDefault="00903547" w:rsidP="0071086E">
      <w:pPr>
        <w:pStyle w:val="H1G"/>
        <w:rPr>
          <w:lang w:val="fr-FR"/>
        </w:rPr>
      </w:pPr>
      <w:bookmarkStart w:id="18" w:name="_Toc265062218"/>
      <w:r w:rsidRPr="00976C24">
        <w:rPr>
          <w:lang w:val="fr-FR"/>
        </w:rPr>
        <w:tab/>
      </w:r>
      <w:r w:rsidRPr="00976C24">
        <w:rPr>
          <w:lang w:val="fr-FR"/>
        </w:rPr>
        <w:tab/>
      </w:r>
      <w:bookmarkStart w:id="19" w:name="_Toc286326351"/>
      <w:r>
        <w:rPr>
          <w:lang w:val="fr-FR"/>
        </w:rPr>
        <w:t>Article 1</w:t>
      </w:r>
      <w:r>
        <w:rPr>
          <w:lang w:val="fr-FR"/>
        </w:rPr>
        <w:br/>
      </w:r>
      <w:r w:rsidRPr="00976C24">
        <w:rPr>
          <w:lang w:val="fr-FR"/>
        </w:rPr>
        <w:t>Autodétermination</w:t>
      </w:r>
      <w:bookmarkEnd w:id="18"/>
      <w:bookmarkEnd w:id="19"/>
    </w:p>
    <w:p w:rsidR="00903547" w:rsidRPr="00976C24" w:rsidRDefault="00903547" w:rsidP="0071086E">
      <w:pPr>
        <w:pStyle w:val="H23G"/>
        <w:rPr>
          <w:lang w:val="fr-FR"/>
        </w:rPr>
      </w:pPr>
      <w:r w:rsidRPr="00976C24">
        <w:rPr>
          <w:lang w:val="fr-FR"/>
        </w:rPr>
        <w:tab/>
        <w:t>1.</w:t>
      </w:r>
      <w:r w:rsidRPr="00976C24">
        <w:rPr>
          <w:lang w:val="fr-FR"/>
        </w:rPr>
        <w:tab/>
        <w:t xml:space="preserve">Mise en œuvre du droit à l’autodétermination </w:t>
      </w:r>
      <w:bookmarkStart w:id="20" w:name="_Toc239660513"/>
      <w:r w:rsidRPr="00976C24">
        <w:rPr>
          <w:lang w:val="fr-FR"/>
        </w:rPr>
        <w:t xml:space="preserve">(par. 7 des directives concernant les rapports spécifiques que les </w:t>
      </w:r>
      <w:r>
        <w:rPr>
          <w:lang w:val="fr-FR"/>
        </w:rPr>
        <w:t>États</w:t>
      </w:r>
      <w:r w:rsidRPr="00976C24">
        <w:rPr>
          <w:lang w:val="fr-FR"/>
        </w:rPr>
        <w:t xml:space="preserve"> parties doivent soumettre conformément aux articles 16 et 17 du Pacte international relatif aux droits économiques, sociaux et culturels </w:t>
      </w:r>
      <w:r>
        <w:rPr>
          <w:lang w:val="fr-FR"/>
        </w:rPr>
        <w:t>(</w:t>
      </w:r>
      <w:r w:rsidRPr="00976C24">
        <w:rPr>
          <w:lang w:val="fr-FR"/>
        </w:rPr>
        <w:t>E/2009/22-E/C.12/2008/3, annexe VIII)</w:t>
      </w:r>
    </w:p>
    <w:p w:rsidR="00903547" w:rsidRPr="00976C24" w:rsidRDefault="00903547" w:rsidP="00982FD0">
      <w:pPr>
        <w:pStyle w:val="SingleTxtG"/>
        <w:tabs>
          <w:tab w:val="left" w:pos="1701"/>
        </w:tabs>
        <w:rPr>
          <w:lang w:val="fr-FR"/>
        </w:rPr>
      </w:pPr>
      <w:r>
        <w:rPr>
          <w:lang w:val="fr-FR"/>
        </w:rPr>
        <w:t>88.</w:t>
      </w:r>
      <w:r>
        <w:rPr>
          <w:lang w:val="fr-FR"/>
        </w:rPr>
        <w:tab/>
      </w:r>
      <w:r w:rsidRPr="00976C24">
        <w:rPr>
          <w:lang w:val="fr-FR"/>
        </w:rPr>
        <w:t>Le Comité pourra se reporter au</w:t>
      </w:r>
      <w:r>
        <w:rPr>
          <w:lang w:val="fr-FR"/>
        </w:rPr>
        <w:t>x</w:t>
      </w:r>
      <w:r w:rsidRPr="00976C24">
        <w:rPr>
          <w:lang w:val="fr-FR"/>
        </w:rPr>
        <w:t xml:space="preserve"> paragraphes 3 à 5</w:t>
      </w:r>
      <w:r>
        <w:rPr>
          <w:lang w:val="fr-FR"/>
        </w:rPr>
        <w:t xml:space="preserve"> du </w:t>
      </w:r>
      <w:r w:rsidRPr="00976C24">
        <w:rPr>
          <w:lang w:val="fr-FR"/>
        </w:rPr>
        <w:t xml:space="preserve">troisième rapport périodique de la Norvège soumis en </w:t>
      </w:r>
      <w:r>
        <w:rPr>
          <w:lang w:val="fr-FR"/>
        </w:rPr>
        <w:t>vertu</w:t>
      </w:r>
      <w:r w:rsidRPr="00976C24">
        <w:rPr>
          <w:lang w:val="fr-FR"/>
        </w:rPr>
        <w:t xml:space="preserve"> du Pacte international relatif aux droits économiques, sociaux et culturels.</w:t>
      </w:r>
    </w:p>
    <w:p w:rsidR="00903547" w:rsidRPr="00976C24" w:rsidRDefault="00903547" w:rsidP="0071086E">
      <w:pPr>
        <w:pStyle w:val="H23G"/>
        <w:rPr>
          <w:lang w:val="fr-FR"/>
        </w:rPr>
      </w:pPr>
      <w:r w:rsidRPr="00976C24">
        <w:rPr>
          <w:lang w:val="fr-FR"/>
        </w:rPr>
        <w:tab/>
      </w:r>
      <w:r w:rsidRPr="00976C24">
        <w:rPr>
          <w:lang w:val="fr-FR"/>
        </w:rPr>
        <w:tab/>
      </w:r>
      <w:bookmarkStart w:id="21" w:name="_Toc286326352"/>
      <w:r w:rsidRPr="00976C24">
        <w:rPr>
          <w:lang w:val="fr-FR"/>
        </w:rPr>
        <w:t>Autodétermination du peuple sami</w:t>
      </w:r>
      <w:bookmarkEnd w:id="21"/>
    </w:p>
    <w:p w:rsidR="00903547" w:rsidRPr="00976C24" w:rsidRDefault="00903547" w:rsidP="00982FD0">
      <w:pPr>
        <w:pStyle w:val="SingleTxtG"/>
        <w:tabs>
          <w:tab w:val="left" w:pos="1701"/>
        </w:tabs>
        <w:rPr>
          <w:lang w:val="fr-FR"/>
        </w:rPr>
      </w:pPr>
      <w:r>
        <w:rPr>
          <w:lang w:val="fr-FR"/>
        </w:rPr>
        <w:t>89.</w:t>
      </w:r>
      <w:r>
        <w:rPr>
          <w:lang w:val="fr-FR"/>
        </w:rPr>
        <w:tab/>
      </w:r>
      <w:r w:rsidRPr="00976C24">
        <w:rPr>
          <w:lang w:val="fr-FR"/>
        </w:rPr>
        <w:t xml:space="preserve">Le Comité pourra se reporter aux paragraphes 4 et 5 du sixième rapport périodique de la Norvège </w:t>
      </w:r>
      <w:r>
        <w:rPr>
          <w:lang w:val="fr-FR"/>
        </w:rPr>
        <w:t xml:space="preserve">soumis </w:t>
      </w:r>
      <w:r w:rsidRPr="00976C24">
        <w:rPr>
          <w:lang w:val="fr-FR"/>
        </w:rPr>
        <w:t>au Comité des droits de l’homme (</w:t>
      </w:r>
      <w:r>
        <w:rPr>
          <w:lang w:val="fr-FR"/>
        </w:rPr>
        <w:t>CCPR</w:t>
      </w:r>
      <w:r w:rsidRPr="00976C24">
        <w:rPr>
          <w:lang w:val="fr-FR"/>
        </w:rPr>
        <w:t xml:space="preserve">/C/NOR/6). La politique norvégienne </w:t>
      </w:r>
      <w:r>
        <w:rPr>
          <w:lang w:val="fr-FR"/>
        </w:rPr>
        <w:t>relative aux</w:t>
      </w:r>
      <w:r w:rsidRPr="00976C24">
        <w:rPr>
          <w:lang w:val="fr-FR"/>
        </w:rPr>
        <w:t xml:space="preserve"> Samis a également été traitée dans le détail en 2008 dans le rapport de la Norvège </w:t>
      </w:r>
      <w:r>
        <w:rPr>
          <w:lang w:val="fr-FR"/>
        </w:rPr>
        <w:t>sur l’application de la Convention n</w:t>
      </w:r>
      <w:r w:rsidRPr="000A7EEA">
        <w:rPr>
          <w:vertAlign w:val="superscript"/>
          <w:lang w:val="fr-FR"/>
        </w:rPr>
        <w:t>o</w:t>
      </w:r>
      <w:r>
        <w:rPr>
          <w:lang w:val="fr-FR"/>
        </w:rPr>
        <w:t> </w:t>
      </w:r>
      <w:r w:rsidRPr="00976C24">
        <w:rPr>
          <w:lang w:val="fr-FR"/>
        </w:rPr>
        <w:t xml:space="preserve">169 de l’OIT concernant les peuples indigènes et tribaux et figure en bonne place dans les dix-neuvième et vingtième rapports </w:t>
      </w:r>
      <w:r>
        <w:rPr>
          <w:lang w:val="fr-FR"/>
        </w:rPr>
        <w:t xml:space="preserve">soumis </w:t>
      </w:r>
      <w:r w:rsidRPr="00976C24">
        <w:rPr>
          <w:lang w:val="fr-FR"/>
        </w:rPr>
        <w:t>en vertu de la Convention internationale sur l’élimination de toutes les formes de discrimination raciale. Les trois rapports sont annexés au présent document (annexes VII, IX et X).</w:t>
      </w:r>
    </w:p>
    <w:p w:rsidR="00903547" w:rsidRPr="00976C24" w:rsidRDefault="00903547" w:rsidP="00982FD0">
      <w:pPr>
        <w:pStyle w:val="SingleTxtG"/>
        <w:tabs>
          <w:tab w:val="left" w:pos="1701"/>
        </w:tabs>
        <w:rPr>
          <w:lang w:val="fr-FR"/>
        </w:rPr>
      </w:pPr>
      <w:r>
        <w:rPr>
          <w:lang w:val="fr-FR"/>
        </w:rPr>
        <w:t>90.</w:t>
      </w:r>
      <w:r>
        <w:rPr>
          <w:lang w:val="fr-FR"/>
        </w:rPr>
        <w:tab/>
      </w:r>
      <w:r w:rsidRPr="00976C24">
        <w:rPr>
          <w:lang w:val="fr-FR"/>
        </w:rPr>
        <w:t>Le Comité pourra également se reporter aux extraits ci-joints du livre blanc sur la politiq</w:t>
      </w:r>
      <w:r>
        <w:rPr>
          <w:lang w:val="fr-FR"/>
        </w:rPr>
        <w:t>ue relative aux Samis (Rapport n</w:t>
      </w:r>
      <w:r w:rsidRPr="000A7EEA">
        <w:rPr>
          <w:vertAlign w:val="superscript"/>
          <w:lang w:val="fr-FR"/>
        </w:rPr>
        <w:t>o</w:t>
      </w:r>
      <w:r>
        <w:rPr>
          <w:lang w:val="fr-FR"/>
        </w:rPr>
        <w:t> </w:t>
      </w:r>
      <w:r w:rsidRPr="00976C24">
        <w:rPr>
          <w:lang w:val="fr-FR"/>
        </w:rPr>
        <w:t>28 (2007</w:t>
      </w:r>
      <w:r>
        <w:rPr>
          <w:lang w:val="fr-FR"/>
        </w:rPr>
        <w:t>-</w:t>
      </w:r>
      <w:r w:rsidRPr="00976C24">
        <w:rPr>
          <w:lang w:val="fr-FR"/>
        </w:rPr>
        <w:t xml:space="preserve">2008) au </w:t>
      </w:r>
      <w:r w:rsidRPr="00B52B8E">
        <w:rPr>
          <w:i/>
          <w:lang w:val="fr-FR"/>
        </w:rPr>
        <w:t>Storting</w:t>
      </w:r>
      <w:r w:rsidRPr="00976C24">
        <w:rPr>
          <w:lang w:val="fr-FR"/>
        </w:rPr>
        <w:t>)</w:t>
      </w:r>
      <w:r w:rsidRPr="00976C24">
        <w:rPr>
          <w:i/>
          <w:iCs/>
          <w:lang w:val="fr-FR"/>
        </w:rPr>
        <w:t>.</w:t>
      </w:r>
      <w:r w:rsidRPr="00976C24">
        <w:rPr>
          <w:lang w:val="fr-FR"/>
        </w:rPr>
        <w:t xml:space="preserve"> </w:t>
      </w:r>
      <w:r>
        <w:rPr>
          <w:lang w:val="fr-FR"/>
        </w:rPr>
        <w:t>L</w:t>
      </w:r>
      <w:r w:rsidRPr="00976C24">
        <w:rPr>
          <w:lang w:val="fr-FR"/>
        </w:rPr>
        <w:t>e livre blanc</w:t>
      </w:r>
      <w:r>
        <w:rPr>
          <w:lang w:val="fr-FR"/>
        </w:rPr>
        <w:t xml:space="preserve"> s’intéresse à</w:t>
      </w:r>
      <w:r w:rsidRPr="00976C24">
        <w:rPr>
          <w:lang w:val="fr-FR"/>
        </w:rPr>
        <w:t xml:space="preserve"> la notion d’autodétermination appliquée au peuple sami </w:t>
      </w:r>
      <w:r>
        <w:rPr>
          <w:lang w:val="fr-FR"/>
        </w:rPr>
        <w:t>à la lumière de</w:t>
      </w:r>
      <w:r w:rsidRPr="00976C24">
        <w:rPr>
          <w:lang w:val="fr-FR"/>
        </w:rPr>
        <w:t xml:space="preserve"> la Déclaration des Nations Unies sur les droits des peuples autochtones et </w:t>
      </w:r>
      <w:r>
        <w:rPr>
          <w:lang w:val="fr-FR"/>
        </w:rPr>
        <w:t>des</w:t>
      </w:r>
      <w:r w:rsidRPr="00976C24">
        <w:rPr>
          <w:lang w:val="fr-FR"/>
        </w:rPr>
        <w:t xml:space="preserve"> trava</w:t>
      </w:r>
      <w:r>
        <w:rPr>
          <w:lang w:val="fr-FR"/>
        </w:rPr>
        <w:t>ux en cours sur</w:t>
      </w:r>
      <w:r w:rsidRPr="00976C24">
        <w:rPr>
          <w:lang w:val="fr-FR"/>
        </w:rPr>
        <w:t xml:space="preserve"> une convention nordique sami. Une traduction non officielle des extraits en question (sections 1.3.6 et 1.3.7) est </w:t>
      </w:r>
      <w:r>
        <w:rPr>
          <w:lang w:val="fr-FR"/>
        </w:rPr>
        <w:t>annexée</w:t>
      </w:r>
      <w:r w:rsidRPr="00976C24">
        <w:rPr>
          <w:lang w:val="fr-FR"/>
        </w:rPr>
        <w:t xml:space="preserve"> au présent rapport (annexe XIII).</w:t>
      </w:r>
    </w:p>
    <w:p w:rsidR="00903547" w:rsidRPr="00976C24" w:rsidRDefault="00903547" w:rsidP="0071086E">
      <w:pPr>
        <w:pStyle w:val="H23G"/>
        <w:rPr>
          <w:bCs/>
          <w:iCs/>
          <w:lang w:val="fr-FR"/>
        </w:rPr>
      </w:pPr>
      <w:r w:rsidRPr="00976C24">
        <w:rPr>
          <w:bCs/>
          <w:i/>
          <w:iCs/>
          <w:lang w:val="fr-FR"/>
        </w:rPr>
        <w:tab/>
      </w:r>
      <w:r w:rsidRPr="00976C24">
        <w:rPr>
          <w:bCs/>
          <w:iCs/>
          <w:lang w:val="fr-FR"/>
        </w:rPr>
        <w:t>2.</w:t>
      </w:r>
      <w:r>
        <w:rPr>
          <w:bCs/>
          <w:i/>
          <w:iCs/>
          <w:lang w:val="fr-FR"/>
        </w:rPr>
        <w:tab/>
      </w:r>
      <w:r w:rsidRPr="00CA67D7">
        <w:rPr>
          <w:bCs/>
          <w:iCs/>
          <w:lang w:val="fr-FR"/>
        </w:rPr>
        <w:t>D</w:t>
      </w:r>
      <w:r w:rsidRPr="00976C24">
        <w:rPr>
          <w:bCs/>
          <w:iCs/>
          <w:lang w:val="fr-FR"/>
        </w:rPr>
        <w:t>roits de propriété des communautés autochtones sur les terres et territoires qu’elles occupent traditionnellement ou dont elles tirent depuis to</w:t>
      </w:r>
      <w:r>
        <w:rPr>
          <w:bCs/>
          <w:iCs/>
          <w:lang w:val="fr-FR"/>
        </w:rPr>
        <w:t>ujours leurs moyens d’existence;</w:t>
      </w:r>
      <w:r w:rsidRPr="00976C24">
        <w:rPr>
          <w:bCs/>
          <w:iCs/>
          <w:lang w:val="fr-FR"/>
        </w:rPr>
        <w:t xml:space="preserve"> consultation des communautés autochtones et locales et </w:t>
      </w:r>
      <w:r>
        <w:rPr>
          <w:bCs/>
          <w:iCs/>
          <w:lang w:val="fr-FR"/>
        </w:rPr>
        <w:t xml:space="preserve">recherche de leur </w:t>
      </w:r>
      <w:r w:rsidRPr="00976C24">
        <w:rPr>
          <w:bCs/>
          <w:iCs/>
          <w:lang w:val="fr-FR"/>
        </w:rPr>
        <w:t>consentement préalable en toute connaissance de cause (</w:t>
      </w:r>
      <w:r w:rsidRPr="00976C24">
        <w:rPr>
          <w:lang w:val="fr-FR"/>
        </w:rPr>
        <w:t>E/2009/22-E/C.12/2008/3, annexe VIII, par. 8)</w:t>
      </w:r>
    </w:p>
    <w:p w:rsidR="00903547" w:rsidRPr="00976C24" w:rsidRDefault="00903547" w:rsidP="0071086E">
      <w:pPr>
        <w:pStyle w:val="H23G"/>
        <w:rPr>
          <w:lang w:val="fr-FR"/>
        </w:rPr>
      </w:pPr>
      <w:r w:rsidRPr="00976C24">
        <w:rPr>
          <w:lang w:val="fr-FR"/>
        </w:rPr>
        <w:tab/>
        <w:t>a)</w:t>
      </w:r>
      <w:r w:rsidRPr="00976C24">
        <w:rPr>
          <w:lang w:val="fr-FR"/>
        </w:rPr>
        <w:tab/>
      </w:r>
      <w:bookmarkStart w:id="22" w:name="_Toc286326353"/>
      <w:r w:rsidRPr="00976C24">
        <w:rPr>
          <w:lang w:val="fr-FR"/>
        </w:rPr>
        <w:t>Accord de consultation entre les autorités gouvernementales et le Sámediggi (Parlement sami)</w:t>
      </w:r>
      <w:bookmarkEnd w:id="22"/>
    </w:p>
    <w:p w:rsidR="00903547" w:rsidRPr="00976C24" w:rsidRDefault="00903547" w:rsidP="00982FD0">
      <w:pPr>
        <w:pStyle w:val="SingleTxtG"/>
        <w:tabs>
          <w:tab w:val="left" w:pos="1701"/>
        </w:tabs>
        <w:rPr>
          <w:lang w:val="fr-FR"/>
        </w:rPr>
      </w:pPr>
      <w:r>
        <w:rPr>
          <w:lang w:val="fr-FR"/>
        </w:rPr>
        <w:t>91.</w:t>
      </w:r>
      <w:r>
        <w:rPr>
          <w:lang w:val="fr-FR"/>
        </w:rPr>
        <w:tab/>
      </w:r>
      <w:r w:rsidRPr="00976C24">
        <w:rPr>
          <w:lang w:val="fr-FR"/>
        </w:rPr>
        <w:t>Le Gouvernement et le Sámediggi (Parlement sam</w:t>
      </w:r>
      <w:r>
        <w:rPr>
          <w:lang w:val="fr-FR"/>
        </w:rPr>
        <w:t>i) se sont accordés sur des «</w:t>
      </w:r>
      <w:r w:rsidRPr="00976C24">
        <w:rPr>
          <w:lang w:val="fr-FR"/>
        </w:rPr>
        <w:t>Procédures de consultation entre les autorités gouvernementales</w:t>
      </w:r>
      <w:r>
        <w:rPr>
          <w:lang w:val="fr-FR"/>
        </w:rPr>
        <w:t xml:space="preserve"> et le Sámediggi du 11 mai 2005»</w:t>
      </w:r>
      <w:r w:rsidRPr="00976C24">
        <w:rPr>
          <w:lang w:val="fr-FR"/>
        </w:rPr>
        <w:t>. La portée et le contenu de l’accord sont exposés dans le rapport soumis à l’OIT, en particulier à l</w:t>
      </w:r>
      <w:r>
        <w:rPr>
          <w:lang w:val="fr-FR"/>
        </w:rPr>
        <w:t>’</w:t>
      </w:r>
      <w:r w:rsidRPr="00976C24">
        <w:rPr>
          <w:lang w:val="fr-FR"/>
        </w:rPr>
        <w:t xml:space="preserve">article 1.2. Le Comité pourra également </w:t>
      </w:r>
      <w:r>
        <w:rPr>
          <w:lang w:val="fr-FR"/>
        </w:rPr>
        <w:t xml:space="preserve">se référer aux paragraphes 263 à </w:t>
      </w:r>
      <w:r w:rsidRPr="00976C24">
        <w:rPr>
          <w:lang w:val="fr-FR"/>
        </w:rPr>
        <w:t>272</w:t>
      </w:r>
      <w:r>
        <w:rPr>
          <w:lang w:val="fr-FR"/>
        </w:rPr>
        <w:t xml:space="preserve"> du rapport</w:t>
      </w:r>
      <w:r w:rsidRPr="00976C24">
        <w:rPr>
          <w:lang w:val="fr-FR"/>
        </w:rPr>
        <w:t xml:space="preserve"> </w:t>
      </w:r>
      <w:r>
        <w:rPr>
          <w:lang w:val="fr-FR"/>
        </w:rPr>
        <w:t>soumis en vertu du Pacte international relatif aux droits civils et politiques</w:t>
      </w:r>
      <w:r w:rsidRPr="00976C24">
        <w:rPr>
          <w:lang w:val="fr-FR"/>
        </w:rPr>
        <w:t>.</w:t>
      </w:r>
    </w:p>
    <w:p w:rsidR="00903547" w:rsidRPr="00976C24" w:rsidRDefault="00903547" w:rsidP="0071086E">
      <w:pPr>
        <w:pStyle w:val="H23G"/>
        <w:rPr>
          <w:lang w:val="fr-FR"/>
        </w:rPr>
      </w:pPr>
      <w:r w:rsidRPr="00976C24">
        <w:rPr>
          <w:lang w:val="fr-FR"/>
        </w:rPr>
        <w:tab/>
        <w:t>b)</w:t>
      </w:r>
      <w:r w:rsidRPr="00976C24">
        <w:rPr>
          <w:lang w:val="fr-FR"/>
        </w:rPr>
        <w:tab/>
      </w:r>
      <w:bookmarkStart w:id="23" w:name="_Toc286326354"/>
      <w:r w:rsidRPr="00976C24">
        <w:rPr>
          <w:lang w:val="fr-FR"/>
        </w:rPr>
        <w:t>Statisti</w:t>
      </w:r>
      <w:bookmarkEnd w:id="23"/>
      <w:r w:rsidRPr="00976C24">
        <w:rPr>
          <w:lang w:val="fr-FR"/>
        </w:rPr>
        <w:t>ques relatives aux Samis</w:t>
      </w:r>
    </w:p>
    <w:p w:rsidR="00903547" w:rsidRPr="00976C24" w:rsidRDefault="00903547" w:rsidP="00982FD0">
      <w:pPr>
        <w:pStyle w:val="SingleTxtG"/>
        <w:rPr>
          <w:lang w:val="fr-FR"/>
        </w:rPr>
      </w:pPr>
      <w:r>
        <w:rPr>
          <w:lang w:val="fr-FR"/>
        </w:rPr>
        <w:t>92.</w:t>
      </w:r>
      <w:r>
        <w:rPr>
          <w:lang w:val="fr-FR"/>
        </w:rPr>
        <w:tab/>
      </w:r>
      <w:r w:rsidRPr="00976C24">
        <w:rPr>
          <w:lang w:val="fr-FR"/>
        </w:rPr>
        <w:t xml:space="preserve">Le Sámediggi et le Ministère de l’administration publique, de la réforme et du culte ont mis en place un groupe d’étude chargé des statistiques relatives aux Samis. Le groupe d’étude présentera un rapport annuel au Ministère et au Sámediggi, qui </w:t>
      </w:r>
      <w:r>
        <w:rPr>
          <w:lang w:val="fr-FR"/>
        </w:rPr>
        <w:t>viendra étoffer</w:t>
      </w:r>
      <w:r w:rsidRPr="00976C24">
        <w:rPr>
          <w:lang w:val="fr-FR"/>
        </w:rPr>
        <w:t xml:space="preserve"> les données factuelles servant aux évaluations et aux décisions </w:t>
      </w:r>
      <w:r>
        <w:rPr>
          <w:lang w:val="fr-FR"/>
        </w:rPr>
        <w:t>lors</w:t>
      </w:r>
      <w:r w:rsidRPr="00976C24">
        <w:rPr>
          <w:lang w:val="fr-FR"/>
        </w:rPr>
        <w:t xml:space="preserve"> </w:t>
      </w:r>
      <w:r>
        <w:rPr>
          <w:lang w:val="fr-FR"/>
        </w:rPr>
        <w:t>d</w:t>
      </w:r>
      <w:r w:rsidRPr="00976C24">
        <w:rPr>
          <w:lang w:val="fr-FR"/>
        </w:rPr>
        <w:t>es consultations. Le Comité pourra se reporter au paragraphe</w:t>
      </w:r>
      <w:r>
        <w:rPr>
          <w:lang w:val="fr-FR"/>
        </w:rPr>
        <w:t> </w:t>
      </w:r>
      <w:r w:rsidRPr="00976C24">
        <w:rPr>
          <w:lang w:val="fr-FR"/>
        </w:rPr>
        <w:t>6</w:t>
      </w:r>
      <w:r>
        <w:rPr>
          <w:lang w:val="fr-FR"/>
        </w:rPr>
        <w:t xml:space="preserve"> des dix-neuvième et vingtième</w:t>
      </w:r>
      <w:r w:rsidRPr="00976C24">
        <w:rPr>
          <w:lang w:val="fr-FR"/>
        </w:rPr>
        <w:t xml:space="preserve"> rapports périodiques de la Norvège </w:t>
      </w:r>
      <w:r>
        <w:rPr>
          <w:lang w:val="fr-FR"/>
        </w:rPr>
        <w:t xml:space="preserve">soumis </w:t>
      </w:r>
      <w:r w:rsidRPr="00976C24">
        <w:rPr>
          <w:lang w:val="fr-FR"/>
        </w:rPr>
        <w:t>au C</w:t>
      </w:r>
      <w:r>
        <w:rPr>
          <w:lang w:val="fr-FR"/>
        </w:rPr>
        <w:t>omité pour l’élimination de la discrimination raciale</w:t>
      </w:r>
      <w:r w:rsidRPr="00976C24">
        <w:rPr>
          <w:lang w:val="fr-FR"/>
        </w:rPr>
        <w:t>.</w:t>
      </w:r>
    </w:p>
    <w:p w:rsidR="00903547" w:rsidRPr="00976C24" w:rsidRDefault="00903547" w:rsidP="0071086E">
      <w:pPr>
        <w:pStyle w:val="H23G"/>
        <w:rPr>
          <w:lang w:val="fr-FR"/>
        </w:rPr>
      </w:pPr>
      <w:r w:rsidRPr="00976C24">
        <w:rPr>
          <w:lang w:val="fr-FR"/>
        </w:rPr>
        <w:tab/>
        <w:t>c)</w:t>
      </w:r>
      <w:r w:rsidRPr="00976C24">
        <w:rPr>
          <w:lang w:val="fr-FR"/>
        </w:rPr>
        <w:tab/>
      </w:r>
      <w:bookmarkStart w:id="24" w:name="_Toc286326355"/>
      <w:r w:rsidRPr="00976C24">
        <w:rPr>
          <w:lang w:val="fr-FR"/>
        </w:rPr>
        <w:t xml:space="preserve">Loi sur le Finnmark </w:t>
      </w:r>
      <w:bookmarkEnd w:id="24"/>
    </w:p>
    <w:p w:rsidR="00903547" w:rsidRPr="00976C24" w:rsidRDefault="00903547" w:rsidP="00982FD0">
      <w:pPr>
        <w:pStyle w:val="SingleTxtG"/>
        <w:rPr>
          <w:i/>
          <w:lang w:val="fr-FR"/>
        </w:rPr>
      </w:pPr>
      <w:r>
        <w:rPr>
          <w:lang w:val="fr-FR"/>
        </w:rPr>
        <w:t>93.</w:t>
      </w:r>
      <w:r>
        <w:rPr>
          <w:lang w:val="fr-FR"/>
        </w:rPr>
        <w:tab/>
      </w:r>
      <w:r w:rsidRPr="00976C24">
        <w:rPr>
          <w:lang w:val="fr-FR"/>
        </w:rPr>
        <w:t xml:space="preserve">La loi sur le </w:t>
      </w:r>
      <w:r>
        <w:rPr>
          <w:lang w:val="fr-FR"/>
        </w:rPr>
        <w:t>statut juridique</w:t>
      </w:r>
      <w:r w:rsidRPr="00976C24">
        <w:rPr>
          <w:lang w:val="fr-FR"/>
        </w:rPr>
        <w:t xml:space="preserve"> et la gestion des terres et des ressources naturelles du comté du Finn</w:t>
      </w:r>
      <w:r>
        <w:rPr>
          <w:lang w:val="fr-FR"/>
        </w:rPr>
        <w:t>mark a été adoptée en juin 2005</w:t>
      </w:r>
      <w:r w:rsidRPr="00976C24">
        <w:rPr>
          <w:rStyle w:val="FootnoteReference"/>
          <w:lang w:val="fr-FR"/>
        </w:rPr>
        <w:footnoteReference w:id="7"/>
      </w:r>
      <w:r>
        <w:rPr>
          <w:lang w:val="fr-FR"/>
        </w:rPr>
        <w:t>.</w:t>
      </w:r>
      <w:r w:rsidRPr="00976C24">
        <w:rPr>
          <w:lang w:val="fr-FR"/>
        </w:rPr>
        <w:t xml:space="preserve"> </w:t>
      </w:r>
      <w:r>
        <w:rPr>
          <w:lang w:val="fr-FR"/>
        </w:rPr>
        <w:t>Elle</w:t>
      </w:r>
      <w:r w:rsidRPr="00976C24">
        <w:rPr>
          <w:lang w:val="fr-FR"/>
        </w:rPr>
        <w:t xml:space="preserve"> vise à </w:t>
      </w:r>
      <w:r>
        <w:rPr>
          <w:lang w:val="fr-FR"/>
        </w:rPr>
        <w:t>garantir</w:t>
      </w:r>
      <w:r w:rsidRPr="00976C24">
        <w:rPr>
          <w:lang w:val="fr-FR"/>
        </w:rPr>
        <w:t xml:space="preserve"> une gestion équilibrée et écologiquement viable des terres et des ressources naturelles dans le Finnmark, notamment </w:t>
      </w:r>
      <w:r>
        <w:rPr>
          <w:lang w:val="fr-FR"/>
        </w:rPr>
        <w:t>en tant que s</w:t>
      </w:r>
      <w:r w:rsidRPr="00976C24">
        <w:rPr>
          <w:lang w:val="fr-FR"/>
        </w:rPr>
        <w:t xml:space="preserve">upport </w:t>
      </w:r>
      <w:r>
        <w:rPr>
          <w:lang w:val="fr-FR"/>
        </w:rPr>
        <w:t xml:space="preserve">pour </w:t>
      </w:r>
      <w:r w:rsidRPr="00976C24">
        <w:rPr>
          <w:lang w:val="fr-FR"/>
        </w:rPr>
        <w:t>la culture sami, l’élevage des rennes, l’u</w:t>
      </w:r>
      <w:r>
        <w:rPr>
          <w:lang w:val="fr-FR"/>
        </w:rPr>
        <w:t xml:space="preserve">tilisation des terres non cultivées, les </w:t>
      </w:r>
      <w:r w:rsidRPr="00976C24">
        <w:rPr>
          <w:lang w:val="fr-FR"/>
        </w:rPr>
        <w:t>activité</w:t>
      </w:r>
      <w:r>
        <w:rPr>
          <w:lang w:val="fr-FR"/>
        </w:rPr>
        <w:t>s</w:t>
      </w:r>
      <w:r w:rsidRPr="00976C24">
        <w:rPr>
          <w:lang w:val="fr-FR"/>
        </w:rPr>
        <w:t xml:space="preserve"> commerciale</w:t>
      </w:r>
      <w:r>
        <w:rPr>
          <w:lang w:val="fr-FR"/>
        </w:rPr>
        <w:t>s</w:t>
      </w:r>
      <w:r w:rsidRPr="00976C24">
        <w:rPr>
          <w:lang w:val="fr-FR"/>
        </w:rPr>
        <w:t xml:space="preserve"> et la vie sociale. La loi vise également à clarifier la relation entre l’</w:t>
      </w:r>
      <w:r>
        <w:rPr>
          <w:lang w:val="fr-FR"/>
        </w:rPr>
        <w:t>État</w:t>
      </w:r>
      <w:r w:rsidRPr="00976C24">
        <w:rPr>
          <w:lang w:val="fr-FR"/>
        </w:rPr>
        <w:t xml:space="preserve"> et le peuple sami et le droit de ce dernier à utiliser et à exploiter les </w:t>
      </w:r>
      <w:r>
        <w:rPr>
          <w:lang w:val="fr-FR"/>
        </w:rPr>
        <w:t>ressources naturelles selon sa</w:t>
      </w:r>
      <w:r w:rsidRPr="00976C24">
        <w:rPr>
          <w:lang w:val="fr-FR"/>
        </w:rPr>
        <w:t xml:space="preserve"> culture. Une traduction en anglais de la loi est jointe au présent rapport (annexe IV).</w:t>
      </w:r>
    </w:p>
    <w:p w:rsidR="00903547" w:rsidRPr="00976C24" w:rsidRDefault="00903547" w:rsidP="00982FD0">
      <w:pPr>
        <w:pStyle w:val="SingleTxtG"/>
        <w:rPr>
          <w:lang w:val="fr-FR"/>
        </w:rPr>
      </w:pPr>
      <w:r>
        <w:rPr>
          <w:lang w:val="fr-FR"/>
        </w:rPr>
        <w:t>94.</w:t>
      </w:r>
      <w:r>
        <w:rPr>
          <w:lang w:val="fr-FR"/>
        </w:rPr>
        <w:tab/>
      </w:r>
      <w:r w:rsidRPr="00976C24">
        <w:rPr>
          <w:lang w:val="fr-FR"/>
        </w:rPr>
        <w:t xml:space="preserve">Le processus ayant précédé l’adoption de la loi est décrit dans le cinquième rapport périodique de la Norvège </w:t>
      </w:r>
      <w:r>
        <w:rPr>
          <w:lang w:val="fr-FR"/>
        </w:rPr>
        <w:t xml:space="preserve">soumis </w:t>
      </w:r>
      <w:r w:rsidRPr="00976C24">
        <w:rPr>
          <w:lang w:val="fr-FR"/>
        </w:rPr>
        <w:t>au Comité des droits de l’homme (</w:t>
      </w:r>
      <w:r>
        <w:rPr>
          <w:lang w:val="fr-FR"/>
        </w:rPr>
        <w:t>CCPR</w:t>
      </w:r>
      <w:r w:rsidRPr="00976C24">
        <w:rPr>
          <w:lang w:val="fr-FR"/>
        </w:rPr>
        <w:t>/C/NOR/2004/5), par</w:t>
      </w:r>
      <w:r>
        <w:rPr>
          <w:lang w:val="fr-FR"/>
        </w:rPr>
        <w:t>.</w:t>
      </w:r>
      <w:r w:rsidRPr="00976C24">
        <w:rPr>
          <w:lang w:val="fr-FR"/>
        </w:rPr>
        <w:t xml:space="preserve"> 251 et suiv. Certaines modifications importantes ont été apportées à la loi depuis 2005. Outre le statut du Domaine du Finnmark, </w:t>
      </w:r>
      <w:r>
        <w:rPr>
          <w:lang w:val="fr-FR"/>
        </w:rPr>
        <w:t>exposé dans c</w:t>
      </w:r>
      <w:r w:rsidRPr="00976C24">
        <w:rPr>
          <w:lang w:val="fr-FR"/>
        </w:rPr>
        <w:t xml:space="preserve">e cinquième rapport périodique, le </w:t>
      </w:r>
      <w:r w:rsidRPr="00B52B8E">
        <w:rPr>
          <w:i/>
          <w:lang w:val="fr-FR"/>
        </w:rPr>
        <w:t>Storting</w:t>
      </w:r>
      <w:r w:rsidRPr="00976C24">
        <w:rPr>
          <w:i/>
          <w:lang w:val="fr-FR"/>
        </w:rPr>
        <w:t xml:space="preserve"> </w:t>
      </w:r>
      <w:r>
        <w:rPr>
          <w:lang w:val="fr-FR"/>
        </w:rPr>
        <w:t>a décidé d’établir une c</w:t>
      </w:r>
      <w:r w:rsidRPr="00976C24">
        <w:rPr>
          <w:lang w:val="fr-FR"/>
        </w:rPr>
        <w:t>ommission spéciale du Finnmark et un tribunal des terres non cultivées pour le Finnmark. Les modifications sont d</w:t>
      </w:r>
      <w:r>
        <w:rPr>
          <w:lang w:val="fr-FR"/>
        </w:rPr>
        <w:t>écrites de façon plus détaillée</w:t>
      </w:r>
      <w:r w:rsidRPr="00976C24">
        <w:rPr>
          <w:lang w:val="fr-FR"/>
        </w:rPr>
        <w:t xml:space="preserve"> </w:t>
      </w:r>
      <w:r>
        <w:rPr>
          <w:lang w:val="fr-FR"/>
        </w:rPr>
        <w:t>au paragraphe 273 du</w:t>
      </w:r>
      <w:r w:rsidRPr="00976C24">
        <w:rPr>
          <w:lang w:val="fr-FR"/>
        </w:rPr>
        <w:t xml:space="preserve"> sixième rapport périodique </w:t>
      </w:r>
      <w:r>
        <w:rPr>
          <w:lang w:val="fr-FR"/>
        </w:rPr>
        <w:t xml:space="preserve">soumis </w:t>
      </w:r>
      <w:r w:rsidRPr="00976C24">
        <w:rPr>
          <w:lang w:val="fr-FR"/>
        </w:rPr>
        <w:t>au Comité des droits de l’homme,</w:t>
      </w:r>
      <w:r>
        <w:rPr>
          <w:lang w:val="fr-FR"/>
        </w:rPr>
        <w:t xml:space="preserve"> à l’article 2.1 du</w:t>
      </w:r>
      <w:r w:rsidRPr="00976C24">
        <w:rPr>
          <w:lang w:val="fr-FR"/>
        </w:rPr>
        <w:t xml:space="preserve"> rapport soumis à l’OIT</w:t>
      </w:r>
      <w:r>
        <w:rPr>
          <w:lang w:val="fr-FR"/>
        </w:rPr>
        <w:t xml:space="preserve"> et aux </w:t>
      </w:r>
      <w:r w:rsidRPr="00976C24">
        <w:rPr>
          <w:lang w:val="fr-FR"/>
        </w:rPr>
        <w:t>paragraphes 18 et 19</w:t>
      </w:r>
      <w:r>
        <w:rPr>
          <w:lang w:val="fr-FR"/>
        </w:rPr>
        <w:t xml:space="preserve"> du</w:t>
      </w:r>
      <w:r w:rsidRPr="00976C24">
        <w:rPr>
          <w:lang w:val="fr-FR"/>
        </w:rPr>
        <w:t xml:space="preserve"> rapport </w:t>
      </w:r>
      <w:r>
        <w:rPr>
          <w:lang w:val="fr-FR"/>
        </w:rPr>
        <w:t>soumis au Comité pour l’élimination de la discrimination raciale</w:t>
      </w:r>
      <w:r w:rsidRPr="00976C24">
        <w:rPr>
          <w:lang w:val="fr-FR"/>
        </w:rPr>
        <w:t xml:space="preserve">. </w:t>
      </w:r>
    </w:p>
    <w:p w:rsidR="00903547" w:rsidRPr="00976C24" w:rsidRDefault="00903547" w:rsidP="00982FD0">
      <w:pPr>
        <w:pStyle w:val="SingleTxtG"/>
        <w:rPr>
          <w:lang w:val="fr-FR"/>
        </w:rPr>
      </w:pPr>
      <w:r>
        <w:rPr>
          <w:lang w:val="fr-FR"/>
        </w:rPr>
        <w:t>95.</w:t>
      </w:r>
      <w:r>
        <w:rPr>
          <w:lang w:val="fr-FR"/>
        </w:rPr>
        <w:tab/>
      </w:r>
      <w:r w:rsidRPr="00976C24">
        <w:rPr>
          <w:lang w:val="fr-FR"/>
        </w:rPr>
        <w:t xml:space="preserve">Une nouvelle loi sur l’élevage de rennes a été adoptée par le </w:t>
      </w:r>
      <w:r w:rsidRPr="00B52B8E">
        <w:rPr>
          <w:i/>
          <w:lang w:val="fr-FR"/>
        </w:rPr>
        <w:t>Storting</w:t>
      </w:r>
      <w:r w:rsidRPr="00976C24">
        <w:rPr>
          <w:lang w:val="fr-FR"/>
        </w:rPr>
        <w:t xml:space="preserve"> le 15 juin 2007. Le Comité pourra </w:t>
      </w:r>
      <w:r>
        <w:rPr>
          <w:lang w:val="fr-FR"/>
        </w:rPr>
        <w:t>se reporter à l’</w:t>
      </w:r>
      <w:r w:rsidRPr="00976C24">
        <w:rPr>
          <w:lang w:val="fr-FR"/>
        </w:rPr>
        <w:t>article 2.3</w:t>
      </w:r>
      <w:r>
        <w:rPr>
          <w:lang w:val="fr-FR"/>
        </w:rPr>
        <w:t xml:space="preserve"> du rapport</w:t>
      </w:r>
      <w:r w:rsidRPr="00976C24">
        <w:rPr>
          <w:lang w:val="fr-FR"/>
        </w:rPr>
        <w:t xml:space="preserve"> soumis à l’OIT.</w:t>
      </w:r>
    </w:p>
    <w:p w:rsidR="00903547" w:rsidRPr="00976C24" w:rsidRDefault="00903547" w:rsidP="00982FD0">
      <w:pPr>
        <w:pStyle w:val="SingleTxtG"/>
        <w:rPr>
          <w:lang w:val="fr-FR"/>
        </w:rPr>
      </w:pPr>
      <w:r>
        <w:rPr>
          <w:lang w:val="fr-FR"/>
        </w:rPr>
        <w:t>96.</w:t>
      </w:r>
      <w:r>
        <w:rPr>
          <w:lang w:val="fr-FR"/>
        </w:rPr>
        <w:tab/>
      </w:r>
      <w:r w:rsidRPr="00976C24">
        <w:rPr>
          <w:lang w:val="fr-FR"/>
        </w:rPr>
        <w:t xml:space="preserve">La loi </w:t>
      </w:r>
      <w:r>
        <w:rPr>
          <w:lang w:val="fr-FR"/>
        </w:rPr>
        <w:t>modifiée</w:t>
      </w:r>
      <w:r w:rsidRPr="00976C24">
        <w:rPr>
          <w:lang w:val="fr-FR"/>
        </w:rPr>
        <w:t xml:space="preserve"> sur l’aménagement du territoire et la construction a été adoptée par le </w:t>
      </w:r>
      <w:r w:rsidRPr="00B52B8E">
        <w:rPr>
          <w:i/>
          <w:lang w:val="fr-FR"/>
        </w:rPr>
        <w:t>Storting</w:t>
      </w:r>
      <w:r w:rsidRPr="00976C24">
        <w:rPr>
          <w:lang w:val="fr-FR"/>
        </w:rPr>
        <w:t xml:space="preserve"> le 5 juin 2008. </w:t>
      </w:r>
      <w:r>
        <w:rPr>
          <w:lang w:val="fr-FR"/>
        </w:rPr>
        <w:t>Le chapitre</w:t>
      </w:r>
      <w:r w:rsidRPr="00976C24">
        <w:rPr>
          <w:lang w:val="fr-FR"/>
        </w:rPr>
        <w:t xml:space="preserve"> </w:t>
      </w:r>
      <w:r>
        <w:rPr>
          <w:lang w:val="fr-FR"/>
        </w:rPr>
        <w:t>q</w:t>
      </w:r>
      <w:r w:rsidRPr="00976C24">
        <w:rPr>
          <w:lang w:val="fr-FR"/>
        </w:rPr>
        <w:t>ui traite de l’aménagement du territoire</w:t>
      </w:r>
      <w:r>
        <w:rPr>
          <w:lang w:val="fr-FR"/>
        </w:rPr>
        <w:t xml:space="preserve"> autorise</w:t>
      </w:r>
      <w:r w:rsidRPr="00976C24">
        <w:rPr>
          <w:lang w:val="fr-FR"/>
        </w:rPr>
        <w:t xml:space="preserve"> le Sámediggi </w:t>
      </w:r>
      <w:r>
        <w:rPr>
          <w:lang w:val="fr-FR"/>
        </w:rPr>
        <w:t>à</w:t>
      </w:r>
      <w:r w:rsidRPr="00976C24">
        <w:rPr>
          <w:lang w:val="fr-FR"/>
        </w:rPr>
        <w:t xml:space="preserve"> </w:t>
      </w:r>
      <w:r>
        <w:rPr>
          <w:lang w:val="fr-FR"/>
        </w:rPr>
        <w:t>formuler</w:t>
      </w:r>
      <w:r w:rsidRPr="00976C24">
        <w:rPr>
          <w:lang w:val="fr-FR"/>
        </w:rPr>
        <w:t xml:space="preserve"> des objections dans les </w:t>
      </w:r>
      <w:r>
        <w:rPr>
          <w:lang w:val="fr-FR"/>
        </w:rPr>
        <w:t>affaires importantes</w:t>
      </w:r>
      <w:r w:rsidRPr="00976C24">
        <w:rPr>
          <w:lang w:val="fr-FR"/>
        </w:rPr>
        <w:t xml:space="preserve"> touchant </w:t>
      </w:r>
      <w:r>
        <w:rPr>
          <w:lang w:val="fr-FR"/>
        </w:rPr>
        <w:t>à</w:t>
      </w:r>
      <w:r w:rsidRPr="00976C24">
        <w:rPr>
          <w:lang w:val="fr-FR"/>
        </w:rPr>
        <w:t xml:space="preserve"> la culture et la vie économique des Samis. Le Comité pourra </w:t>
      </w:r>
      <w:r>
        <w:rPr>
          <w:lang w:val="fr-FR"/>
        </w:rPr>
        <w:t>se reporter à l’article 2.4 du rapport</w:t>
      </w:r>
      <w:r w:rsidRPr="00976C24">
        <w:rPr>
          <w:lang w:val="fr-FR"/>
        </w:rPr>
        <w:t xml:space="preserve"> soumis à l’OIT.</w:t>
      </w:r>
    </w:p>
    <w:p w:rsidR="00903547" w:rsidRPr="00976C24" w:rsidRDefault="00903547" w:rsidP="00982FD0">
      <w:pPr>
        <w:pStyle w:val="SingleTxtG"/>
        <w:rPr>
          <w:lang w:val="fr-FR"/>
        </w:rPr>
      </w:pPr>
      <w:r>
        <w:rPr>
          <w:lang w:val="fr-FR"/>
        </w:rPr>
        <w:t>97.</w:t>
      </w:r>
      <w:r>
        <w:rPr>
          <w:lang w:val="fr-FR"/>
        </w:rPr>
        <w:tab/>
      </w:r>
      <w:r w:rsidRPr="00976C24">
        <w:rPr>
          <w:lang w:val="fr-FR"/>
        </w:rPr>
        <w:t>Une nouvelle loi sur l’exploitation minière est entrée en vigueur le 1</w:t>
      </w:r>
      <w:r w:rsidRPr="00976C24">
        <w:rPr>
          <w:vertAlign w:val="superscript"/>
          <w:lang w:val="fr-FR"/>
        </w:rPr>
        <w:t>er</w:t>
      </w:r>
      <w:r w:rsidRPr="00976C24">
        <w:rPr>
          <w:lang w:val="fr-FR"/>
        </w:rPr>
        <w:t xml:space="preserve"> janvier 2010. Les dispositions de la loi précédente </w:t>
      </w:r>
      <w:r>
        <w:rPr>
          <w:lang w:val="fr-FR"/>
        </w:rPr>
        <w:t>sur les</w:t>
      </w:r>
      <w:r w:rsidRPr="00976C24">
        <w:rPr>
          <w:lang w:val="fr-FR"/>
        </w:rPr>
        <w:t xml:space="preserve"> procédures et </w:t>
      </w:r>
      <w:r>
        <w:rPr>
          <w:lang w:val="fr-FR"/>
        </w:rPr>
        <w:t>les</w:t>
      </w:r>
      <w:r w:rsidRPr="00976C24">
        <w:rPr>
          <w:lang w:val="fr-FR"/>
        </w:rPr>
        <w:t xml:space="preserve"> mesures de sauvegarde des intérêts samis sont inchangées. Le Comité pourra se reporter au</w:t>
      </w:r>
      <w:r>
        <w:rPr>
          <w:lang w:val="fr-FR"/>
        </w:rPr>
        <w:t xml:space="preserve">x paragraphes 264 à </w:t>
      </w:r>
      <w:r w:rsidRPr="00976C24">
        <w:rPr>
          <w:lang w:val="fr-FR"/>
        </w:rPr>
        <w:t>271</w:t>
      </w:r>
      <w:r>
        <w:rPr>
          <w:lang w:val="fr-FR"/>
        </w:rPr>
        <w:t xml:space="preserve"> du </w:t>
      </w:r>
      <w:r w:rsidRPr="00976C24">
        <w:rPr>
          <w:lang w:val="fr-FR"/>
        </w:rPr>
        <w:t xml:space="preserve">sixième rapport </w:t>
      </w:r>
      <w:r>
        <w:rPr>
          <w:lang w:val="fr-FR"/>
        </w:rPr>
        <w:t>soumis en vertu du Pacte international relatif aux droits civils et politiques</w:t>
      </w:r>
      <w:r w:rsidRPr="00976C24">
        <w:rPr>
          <w:lang w:val="fr-FR"/>
        </w:rPr>
        <w:t>.</w:t>
      </w:r>
    </w:p>
    <w:p w:rsidR="00903547" w:rsidRPr="00976C24" w:rsidRDefault="00903547" w:rsidP="00982FD0">
      <w:pPr>
        <w:pStyle w:val="SingleTxtG"/>
        <w:rPr>
          <w:lang w:val="fr-FR"/>
        </w:rPr>
      </w:pPr>
      <w:r>
        <w:rPr>
          <w:lang w:val="fr-FR"/>
        </w:rPr>
        <w:t>98.</w:t>
      </w:r>
      <w:r>
        <w:rPr>
          <w:lang w:val="fr-FR"/>
        </w:rPr>
        <w:tab/>
      </w:r>
      <w:r w:rsidRPr="00976C24">
        <w:rPr>
          <w:lang w:val="fr-FR"/>
        </w:rPr>
        <w:t xml:space="preserve">Une nouvelle loi sur la gestion de la nature a été votée par le </w:t>
      </w:r>
      <w:r w:rsidRPr="00B52B8E">
        <w:rPr>
          <w:i/>
          <w:lang w:val="fr-FR"/>
        </w:rPr>
        <w:t>Storting</w:t>
      </w:r>
      <w:r w:rsidRPr="00976C24">
        <w:rPr>
          <w:lang w:val="fr-FR"/>
        </w:rPr>
        <w:t xml:space="preserve"> le 16 juin 2009 et a pris effet en juillet 2009, </w:t>
      </w:r>
      <w:r>
        <w:rPr>
          <w:lang w:val="fr-FR"/>
        </w:rPr>
        <w:t>à l’</w:t>
      </w:r>
      <w:r w:rsidRPr="00976C24">
        <w:rPr>
          <w:lang w:val="fr-FR"/>
        </w:rPr>
        <w:t xml:space="preserve">exception du chapitre IV sur les espèces exotiques. La loi a </w:t>
      </w:r>
      <w:r>
        <w:rPr>
          <w:lang w:val="fr-FR"/>
        </w:rPr>
        <w:t>une incidence sur</w:t>
      </w:r>
      <w:r w:rsidRPr="00976C24">
        <w:rPr>
          <w:lang w:val="fr-FR"/>
        </w:rPr>
        <w:t xml:space="preserve"> les droits et intérêts des Samis en Norvège. Le Comité pourra se reporter au</w:t>
      </w:r>
      <w:r>
        <w:rPr>
          <w:lang w:val="fr-FR"/>
        </w:rPr>
        <w:t>x</w:t>
      </w:r>
      <w:r w:rsidRPr="00976C24">
        <w:rPr>
          <w:lang w:val="fr-FR"/>
        </w:rPr>
        <w:t xml:space="preserve"> paragraphes 264 et 272</w:t>
      </w:r>
      <w:r>
        <w:rPr>
          <w:lang w:val="fr-FR"/>
        </w:rPr>
        <w:t xml:space="preserve"> du </w:t>
      </w:r>
      <w:r w:rsidRPr="00976C24">
        <w:rPr>
          <w:lang w:val="fr-FR"/>
        </w:rPr>
        <w:t xml:space="preserve">sixième rapport </w:t>
      </w:r>
      <w:r>
        <w:rPr>
          <w:lang w:val="fr-FR"/>
        </w:rPr>
        <w:t>soumis en vertu du Pacte international relatif aux droits civils et politiques</w:t>
      </w:r>
      <w:r w:rsidRPr="00976C24">
        <w:rPr>
          <w:lang w:val="fr-FR"/>
        </w:rPr>
        <w:t>.</w:t>
      </w:r>
    </w:p>
    <w:p w:rsidR="00903547" w:rsidRPr="00976C24" w:rsidRDefault="00903547" w:rsidP="00982FD0">
      <w:pPr>
        <w:pStyle w:val="SingleTxtG"/>
        <w:rPr>
          <w:lang w:val="fr-FR"/>
        </w:rPr>
      </w:pPr>
      <w:r>
        <w:rPr>
          <w:lang w:val="fr-FR"/>
        </w:rPr>
        <w:t>99.</w:t>
      </w:r>
      <w:r>
        <w:rPr>
          <w:lang w:val="fr-FR"/>
        </w:rPr>
        <w:tab/>
      </w:r>
      <w:r w:rsidRPr="00976C24">
        <w:rPr>
          <w:lang w:val="fr-FR"/>
        </w:rPr>
        <w:t xml:space="preserve">Le Sámediggi a été consulté lors des processus législatifs </w:t>
      </w:r>
      <w:r>
        <w:rPr>
          <w:lang w:val="fr-FR"/>
        </w:rPr>
        <w:t>susmentionnés</w:t>
      </w:r>
      <w:r w:rsidRPr="00976C24">
        <w:rPr>
          <w:lang w:val="fr-FR"/>
        </w:rPr>
        <w:t xml:space="preserve">. </w:t>
      </w:r>
    </w:p>
    <w:p w:rsidR="00903547" w:rsidRPr="00976C24" w:rsidRDefault="00903547" w:rsidP="0071086E">
      <w:pPr>
        <w:pStyle w:val="H23G"/>
        <w:rPr>
          <w:lang w:val="fr-FR"/>
        </w:rPr>
      </w:pPr>
      <w:r w:rsidRPr="00976C24">
        <w:rPr>
          <w:lang w:val="fr-FR"/>
        </w:rPr>
        <w:tab/>
        <w:t>d)</w:t>
      </w:r>
      <w:r w:rsidRPr="00976C24">
        <w:rPr>
          <w:lang w:val="fr-FR"/>
        </w:rPr>
        <w:tab/>
      </w:r>
      <w:bookmarkStart w:id="25" w:name="_Toc286326356"/>
      <w:r w:rsidRPr="00976C24">
        <w:rPr>
          <w:lang w:val="fr-FR"/>
        </w:rPr>
        <w:t>Comité des pêches côtières</w:t>
      </w:r>
      <w:bookmarkEnd w:id="25"/>
    </w:p>
    <w:p w:rsidR="00903547" w:rsidRPr="00976C24" w:rsidRDefault="00903547" w:rsidP="00982FD0">
      <w:pPr>
        <w:pStyle w:val="SingleTxtG"/>
        <w:rPr>
          <w:lang w:val="fr-FR"/>
        </w:rPr>
      </w:pPr>
      <w:r>
        <w:rPr>
          <w:lang w:val="fr-FR"/>
        </w:rPr>
        <w:t>100.</w:t>
      </w:r>
      <w:r>
        <w:rPr>
          <w:lang w:val="fr-FR"/>
        </w:rPr>
        <w:tab/>
      </w:r>
      <w:r w:rsidRPr="00976C24">
        <w:rPr>
          <w:lang w:val="fr-FR"/>
        </w:rPr>
        <w:t xml:space="preserve">La loi sur le Finnmark ne comporte aucune disposition sur la pêche dans les zones maritimes situées au large du Finnmark. Un rapport officiel sur les droits de pêche a été achevé en février 2008 (NOU 2008:5). La consultation publique s’est </w:t>
      </w:r>
      <w:r>
        <w:rPr>
          <w:lang w:val="fr-FR"/>
        </w:rPr>
        <w:t>achevée</w:t>
      </w:r>
      <w:r w:rsidRPr="00976C24">
        <w:rPr>
          <w:lang w:val="fr-FR"/>
        </w:rPr>
        <w:t xml:space="preserve"> en décembre</w:t>
      </w:r>
      <w:r>
        <w:rPr>
          <w:lang w:val="fr-FR"/>
        </w:rPr>
        <w:t xml:space="preserve"> 2008</w:t>
      </w:r>
      <w:r w:rsidRPr="00976C24">
        <w:rPr>
          <w:lang w:val="fr-FR"/>
        </w:rPr>
        <w:t xml:space="preserve"> et le rapport est actuellement examiné par le Ministère norvégien de la pêche et des affaires côtières. Les consultations entre le Ministère et le Sámediggi font partie intégrante du processus législatif. Une première réunion s’est tenue entre le Ministre de la pêche et des affaires côtières et le Président du Sámediggi </w:t>
      </w:r>
      <w:r>
        <w:rPr>
          <w:lang w:val="fr-FR"/>
        </w:rPr>
        <w:t>concernant les activités de suivi,</w:t>
      </w:r>
      <w:r w:rsidRPr="00976C24">
        <w:rPr>
          <w:lang w:val="fr-FR"/>
        </w:rPr>
        <w:t xml:space="preserve"> et le processus de consultation en</w:t>
      </w:r>
      <w:r>
        <w:rPr>
          <w:lang w:val="fr-FR"/>
        </w:rPr>
        <w:t>tre le Ministre et le Sámediggi</w:t>
      </w:r>
      <w:r w:rsidRPr="00976C24">
        <w:rPr>
          <w:lang w:val="fr-FR"/>
        </w:rPr>
        <w:t xml:space="preserve"> se poursuivra </w:t>
      </w:r>
      <w:r>
        <w:rPr>
          <w:lang w:val="fr-FR"/>
        </w:rPr>
        <w:t>dans le cadre de</w:t>
      </w:r>
      <w:r w:rsidRPr="00976C24">
        <w:rPr>
          <w:lang w:val="fr-FR"/>
        </w:rPr>
        <w:t xml:space="preserve"> réunions administratives. Pour de plus amples informations, le Comité pourra </w:t>
      </w:r>
      <w:r>
        <w:rPr>
          <w:lang w:val="fr-FR"/>
        </w:rPr>
        <w:t>se reporter à l’artic</w:t>
      </w:r>
      <w:r w:rsidRPr="00976C24">
        <w:rPr>
          <w:lang w:val="fr-FR"/>
        </w:rPr>
        <w:t>le 2.7</w:t>
      </w:r>
      <w:r>
        <w:rPr>
          <w:lang w:val="fr-FR"/>
        </w:rPr>
        <w:t xml:space="preserve"> du rapport</w:t>
      </w:r>
      <w:r w:rsidRPr="00976C24">
        <w:rPr>
          <w:lang w:val="fr-FR"/>
        </w:rPr>
        <w:t xml:space="preserve"> soumis à l’OIT et au</w:t>
      </w:r>
      <w:r w:rsidRPr="000550F8">
        <w:rPr>
          <w:lang w:val="fr-FR"/>
        </w:rPr>
        <w:t xml:space="preserve"> </w:t>
      </w:r>
      <w:r w:rsidRPr="00976C24">
        <w:rPr>
          <w:lang w:val="fr-FR"/>
        </w:rPr>
        <w:t>paragraphe 274</w:t>
      </w:r>
      <w:r>
        <w:rPr>
          <w:lang w:val="fr-FR"/>
        </w:rPr>
        <w:t xml:space="preserve"> du </w:t>
      </w:r>
      <w:r w:rsidRPr="00976C24">
        <w:rPr>
          <w:lang w:val="fr-FR"/>
        </w:rPr>
        <w:t xml:space="preserve">sixième rapport </w:t>
      </w:r>
      <w:r>
        <w:rPr>
          <w:lang w:val="fr-FR"/>
        </w:rPr>
        <w:t>soumis en vertu du Pacte international relatif aux droits civils et politiques</w:t>
      </w:r>
      <w:r w:rsidRPr="00976C24">
        <w:rPr>
          <w:lang w:val="fr-FR"/>
        </w:rPr>
        <w:t>.</w:t>
      </w:r>
    </w:p>
    <w:p w:rsidR="00903547" w:rsidRPr="00976C24" w:rsidRDefault="00903547" w:rsidP="0071086E">
      <w:pPr>
        <w:pStyle w:val="H23G"/>
        <w:rPr>
          <w:lang w:val="fr-FR"/>
        </w:rPr>
      </w:pPr>
      <w:r w:rsidRPr="00976C24">
        <w:rPr>
          <w:lang w:val="fr-FR"/>
        </w:rPr>
        <w:tab/>
        <w:t>e)</w:t>
      </w:r>
      <w:r w:rsidRPr="00976C24">
        <w:rPr>
          <w:lang w:val="fr-FR"/>
        </w:rPr>
        <w:tab/>
      </w:r>
      <w:bookmarkStart w:id="26" w:name="_Toc286326357"/>
      <w:r w:rsidRPr="00976C24">
        <w:rPr>
          <w:lang w:val="fr-FR"/>
        </w:rPr>
        <w:t>Comité II</w:t>
      </w:r>
      <w:bookmarkEnd w:id="26"/>
      <w:r w:rsidRPr="00976C24">
        <w:rPr>
          <w:lang w:val="fr-FR"/>
        </w:rPr>
        <w:t xml:space="preserve"> des droits des Samis</w:t>
      </w:r>
    </w:p>
    <w:p w:rsidR="00903547" w:rsidRPr="00976C24" w:rsidRDefault="00903547" w:rsidP="00982FD0">
      <w:pPr>
        <w:pStyle w:val="SingleTxtG"/>
        <w:rPr>
          <w:lang w:val="fr-FR"/>
        </w:rPr>
      </w:pPr>
      <w:r>
        <w:rPr>
          <w:lang w:val="fr-FR"/>
        </w:rPr>
        <w:t>101.</w:t>
      </w:r>
      <w:r>
        <w:rPr>
          <w:lang w:val="fr-FR"/>
        </w:rPr>
        <w:tab/>
      </w:r>
      <w:r w:rsidRPr="00976C24">
        <w:rPr>
          <w:lang w:val="fr-FR"/>
        </w:rPr>
        <w:t xml:space="preserve">Le Comité des droits des Samis a présenté </w:t>
      </w:r>
      <w:r>
        <w:rPr>
          <w:lang w:val="fr-FR"/>
        </w:rPr>
        <w:t xml:space="preserve">en décembre 2007 </w:t>
      </w:r>
      <w:r w:rsidRPr="00976C24">
        <w:rPr>
          <w:lang w:val="fr-FR"/>
        </w:rPr>
        <w:t xml:space="preserve">son rapport officiel (NOU 2007:13 et NOU 2007:14) </w:t>
      </w:r>
      <w:r>
        <w:rPr>
          <w:lang w:val="fr-FR"/>
        </w:rPr>
        <w:t>relatif aux</w:t>
      </w:r>
      <w:r w:rsidRPr="00976C24">
        <w:rPr>
          <w:lang w:val="fr-FR"/>
        </w:rPr>
        <w:t xml:space="preserve"> zones samis situées au sud du Finnmark</w:t>
      </w:r>
      <w:r w:rsidRPr="000550F8">
        <w:rPr>
          <w:lang w:val="fr-FR"/>
        </w:rPr>
        <w:t xml:space="preserve"> </w:t>
      </w:r>
      <w:r w:rsidRPr="00976C24">
        <w:rPr>
          <w:lang w:val="fr-FR"/>
        </w:rPr>
        <w:t xml:space="preserve">et </w:t>
      </w:r>
      <w:r>
        <w:rPr>
          <w:lang w:val="fr-FR"/>
        </w:rPr>
        <w:t>aux</w:t>
      </w:r>
      <w:r w:rsidRPr="00976C24">
        <w:rPr>
          <w:lang w:val="fr-FR"/>
        </w:rPr>
        <w:t xml:space="preserve"> questions </w:t>
      </w:r>
      <w:r>
        <w:rPr>
          <w:lang w:val="fr-FR"/>
        </w:rPr>
        <w:t>touchant au</w:t>
      </w:r>
      <w:r w:rsidRPr="00976C24">
        <w:rPr>
          <w:lang w:val="fr-FR"/>
        </w:rPr>
        <w:t xml:space="preserve"> droit de</w:t>
      </w:r>
      <w:r>
        <w:rPr>
          <w:lang w:val="fr-FR"/>
        </w:rPr>
        <w:t xml:space="preserve"> </w:t>
      </w:r>
      <w:r w:rsidRPr="00976C24">
        <w:rPr>
          <w:lang w:val="fr-FR"/>
        </w:rPr>
        <w:t xml:space="preserve">la population sami d’utiliser les terres et l’eau. Le rapport est actuellement examiné par le Ministère de la justice et la police. Le Comité pourra </w:t>
      </w:r>
      <w:r>
        <w:rPr>
          <w:lang w:val="fr-FR"/>
        </w:rPr>
        <w:t>se reporter à l’</w:t>
      </w:r>
      <w:r w:rsidRPr="00976C24">
        <w:rPr>
          <w:lang w:val="fr-FR"/>
        </w:rPr>
        <w:t>article 2.2</w:t>
      </w:r>
      <w:r>
        <w:rPr>
          <w:lang w:val="fr-FR"/>
        </w:rPr>
        <w:t xml:space="preserve"> du rapport</w:t>
      </w:r>
      <w:r w:rsidRPr="00976C24">
        <w:rPr>
          <w:lang w:val="fr-FR"/>
        </w:rPr>
        <w:t xml:space="preserve"> soumis à l’OIT et au paragraphe 275</w:t>
      </w:r>
      <w:r>
        <w:rPr>
          <w:lang w:val="fr-FR"/>
        </w:rPr>
        <w:t xml:space="preserve"> du </w:t>
      </w:r>
      <w:r w:rsidRPr="00976C24">
        <w:rPr>
          <w:lang w:val="fr-FR"/>
        </w:rPr>
        <w:t xml:space="preserve">sixième rapport </w:t>
      </w:r>
      <w:r>
        <w:rPr>
          <w:lang w:val="fr-FR"/>
        </w:rPr>
        <w:t>soumis en vertu du Pacte international relatif aux droits civils et politiques</w:t>
      </w:r>
      <w:r w:rsidRPr="00976C24">
        <w:rPr>
          <w:lang w:val="fr-FR"/>
        </w:rPr>
        <w:t>.</w:t>
      </w:r>
    </w:p>
    <w:p w:rsidR="00903547" w:rsidRPr="00976C24" w:rsidRDefault="00903547" w:rsidP="0071086E">
      <w:pPr>
        <w:pStyle w:val="H23G"/>
        <w:rPr>
          <w:lang w:val="fr-FR"/>
        </w:rPr>
      </w:pPr>
      <w:r w:rsidRPr="00976C24">
        <w:rPr>
          <w:lang w:val="fr-FR"/>
        </w:rPr>
        <w:tab/>
        <w:t>f)</w:t>
      </w:r>
      <w:r w:rsidRPr="00976C24">
        <w:rPr>
          <w:lang w:val="fr-FR"/>
        </w:rPr>
        <w:tab/>
      </w:r>
      <w:bookmarkStart w:id="27" w:name="_Toc286326358"/>
      <w:r w:rsidRPr="00976C24">
        <w:rPr>
          <w:lang w:val="fr-FR"/>
        </w:rPr>
        <w:t xml:space="preserve">Conférence avec le Rapporteur spécial des Nations Unies sur la situation des droits de l’homme et des libertés fondamentales des peuples autochtones </w:t>
      </w:r>
      <w:bookmarkEnd w:id="27"/>
    </w:p>
    <w:p w:rsidR="00903547" w:rsidRPr="00976C24" w:rsidRDefault="00903547" w:rsidP="00982FD0">
      <w:pPr>
        <w:pStyle w:val="SingleTxtG"/>
        <w:rPr>
          <w:i/>
          <w:lang w:val="fr-FR"/>
        </w:rPr>
      </w:pPr>
      <w:r>
        <w:rPr>
          <w:lang w:val="fr-FR"/>
        </w:rPr>
        <w:t>102.</w:t>
      </w:r>
      <w:r>
        <w:rPr>
          <w:lang w:val="fr-FR"/>
        </w:rPr>
        <w:tab/>
      </w:r>
      <w:r w:rsidRPr="00976C24">
        <w:rPr>
          <w:lang w:val="fr-FR"/>
        </w:rPr>
        <w:t xml:space="preserve">Le Professeur James Anaya, Rapporteur spécial sur la situation des droits de l’homme et des libertés fondamentales des peuples autochtones, </w:t>
      </w:r>
      <w:r>
        <w:rPr>
          <w:lang w:val="fr-FR"/>
        </w:rPr>
        <w:t>a effectué une visite</w:t>
      </w:r>
      <w:r w:rsidRPr="00976C24">
        <w:rPr>
          <w:lang w:val="fr-FR"/>
        </w:rPr>
        <w:t xml:space="preserve"> dans les pays nordiques du 14 au 16 avril 2010</w:t>
      </w:r>
      <w:r>
        <w:rPr>
          <w:lang w:val="fr-FR"/>
        </w:rPr>
        <w:t>, marquée par</w:t>
      </w:r>
      <w:r w:rsidRPr="00976C24">
        <w:rPr>
          <w:lang w:val="fr-FR"/>
        </w:rPr>
        <w:t xml:space="preserve"> une conférence</w:t>
      </w:r>
      <w:r>
        <w:rPr>
          <w:lang w:val="fr-FR"/>
        </w:rPr>
        <w:t xml:space="preserve"> organisée </w:t>
      </w:r>
      <w:r w:rsidRPr="00976C24">
        <w:rPr>
          <w:lang w:val="fr-FR"/>
        </w:rPr>
        <w:t>à</w:t>
      </w:r>
      <w:r>
        <w:rPr>
          <w:lang w:val="fr-FR"/>
        </w:rPr>
        <w:t xml:space="preserve"> Rovaniemi en</w:t>
      </w:r>
      <w:r w:rsidRPr="00976C24">
        <w:rPr>
          <w:lang w:val="fr-FR"/>
        </w:rPr>
        <w:t xml:space="preserve"> Finlande</w:t>
      </w:r>
      <w:r>
        <w:rPr>
          <w:lang w:val="fr-FR"/>
        </w:rPr>
        <w:t xml:space="preserve"> et</w:t>
      </w:r>
      <w:r w:rsidRPr="00976C24">
        <w:rPr>
          <w:lang w:val="fr-FR"/>
        </w:rPr>
        <w:t xml:space="preserve"> accueillie par le Conseil parlementaire sami, </w:t>
      </w:r>
      <w:r>
        <w:rPr>
          <w:lang w:val="fr-FR"/>
        </w:rPr>
        <w:t>lors</w:t>
      </w:r>
      <w:r w:rsidRPr="00976C24">
        <w:rPr>
          <w:lang w:val="fr-FR"/>
        </w:rPr>
        <w:t xml:space="preserve"> d</w:t>
      </w:r>
      <w:r>
        <w:rPr>
          <w:lang w:val="fr-FR"/>
        </w:rPr>
        <w:t>e laquelle les parlements samis et</w:t>
      </w:r>
      <w:r w:rsidRPr="00976C24">
        <w:rPr>
          <w:lang w:val="fr-FR"/>
        </w:rPr>
        <w:t xml:space="preserve"> des représentants des gouvernements et de la société civile </w:t>
      </w:r>
      <w:r>
        <w:rPr>
          <w:lang w:val="fr-FR"/>
        </w:rPr>
        <w:t>se sont penchés sur</w:t>
      </w:r>
      <w:r w:rsidRPr="00976C24">
        <w:rPr>
          <w:lang w:val="fr-FR"/>
        </w:rPr>
        <w:t xml:space="preserve"> les grandes questions </w:t>
      </w:r>
      <w:r>
        <w:rPr>
          <w:lang w:val="fr-FR"/>
        </w:rPr>
        <w:t>touchant au</w:t>
      </w:r>
      <w:r w:rsidRPr="00976C24">
        <w:rPr>
          <w:lang w:val="fr-FR"/>
        </w:rPr>
        <w:t xml:space="preserve"> peuple sami. Les autorités norvégiennes attendent le rapport présentant les observations et recommandations du Rapporteur spécial.</w:t>
      </w:r>
    </w:p>
    <w:p w:rsidR="00903547" w:rsidRPr="00976C24" w:rsidRDefault="00903547" w:rsidP="0071086E">
      <w:pPr>
        <w:pStyle w:val="H23G"/>
        <w:rPr>
          <w:lang w:val="fr-FR"/>
        </w:rPr>
      </w:pPr>
      <w:r w:rsidRPr="00976C24">
        <w:rPr>
          <w:lang w:val="fr-FR"/>
        </w:rPr>
        <w:tab/>
        <w:t>g)</w:t>
      </w:r>
      <w:r w:rsidRPr="00976C24">
        <w:rPr>
          <w:lang w:val="fr-FR"/>
        </w:rPr>
        <w:tab/>
      </w:r>
      <w:bookmarkStart w:id="28" w:name="_Toc286326359"/>
      <w:r w:rsidRPr="00976C24">
        <w:rPr>
          <w:lang w:val="fr-FR"/>
        </w:rPr>
        <w:t>Autres questions portant sur la politique relative aux Samis</w:t>
      </w:r>
      <w:bookmarkEnd w:id="28"/>
    </w:p>
    <w:p w:rsidR="00903547" w:rsidRPr="00976C24" w:rsidRDefault="00903547" w:rsidP="00982FD0">
      <w:pPr>
        <w:pStyle w:val="SingleTxtG"/>
        <w:rPr>
          <w:lang w:val="fr-FR"/>
        </w:rPr>
      </w:pPr>
      <w:r>
        <w:rPr>
          <w:lang w:val="fr-FR"/>
        </w:rPr>
        <w:t>103.</w:t>
      </w:r>
      <w:r>
        <w:rPr>
          <w:lang w:val="fr-FR"/>
        </w:rPr>
        <w:tab/>
      </w:r>
      <w:r w:rsidRPr="00976C24">
        <w:rPr>
          <w:lang w:val="fr-FR"/>
        </w:rPr>
        <w:t xml:space="preserve">S’agissant des autres questions </w:t>
      </w:r>
      <w:r>
        <w:rPr>
          <w:lang w:val="fr-FR"/>
        </w:rPr>
        <w:t xml:space="preserve">portant sur </w:t>
      </w:r>
      <w:r w:rsidRPr="00976C24">
        <w:rPr>
          <w:lang w:val="fr-FR"/>
        </w:rPr>
        <w:t>la politique relative aux Samis, le Comité pourra se reporter au paragraphe 292</w:t>
      </w:r>
      <w:r>
        <w:rPr>
          <w:lang w:val="fr-FR"/>
        </w:rPr>
        <w:t xml:space="preserve"> du </w:t>
      </w:r>
      <w:r w:rsidRPr="00976C24">
        <w:rPr>
          <w:lang w:val="fr-FR"/>
        </w:rPr>
        <w:t>sixième rapport soumis au Comité des droits de l’homme</w:t>
      </w:r>
      <w:r>
        <w:rPr>
          <w:lang w:val="fr-FR"/>
        </w:rPr>
        <w:t>,</w:t>
      </w:r>
      <w:r w:rsidRPr="00976C24">
        <w:rPr>
          <w:lang w:val="fr-FR"/>
        </w:rPr>
        <w:t xml:space="preserve"> au document </w:t>
      </w:r>
      <w:r>
        <w:rPr>
          <w:lang w:val="fr-FR"/>
        </w:rPr>
        <w:t xml:space="preserve">de base commun (paragraphes 261 à </w:t>
      </w:r>
      <w:r w:rsidRPr="00976C24">
        <w:rPr>
          <w:lang w:val="fr-FR"/>
        </w:rPr>
        <w:t>263), au rapport soumis à l’OIT et au rapport soumis au C</w:t>
      </w:r>
      <w:r>
        <w:rPr>
          <w:lang w:val="fr-FR"/>
        </w:rPr>
        <w:t>omité pour l’élimination de la discrimination raciale</w:t>
      </w:r>
      <w:r w:rsidRPr="00976C24">
        <w:rPr>
          <w:lang w:val="fr-FR"/>
        </w:rPr>
        <w:t>.</w:t>
      </w:r>
    </w:p>
    <w:p w:rsidR="00903547" w:rsidRPr="00976C24" w:rsidRDefault="00903547" w:rsidP="00982FD0">
      <w:pPr>
        <w:pStyle w:val="SingleTxtG"/>
        <w:rPr>
          <w:lang w:val="fr-FR"/>
        </w:rPr>
      </w:pPr>
      <w:r>
        <w:rPr>
          <w:lang w:val="fr-FR"/>
        </w:rPr>
        <w:t>104.</w:t>
      </w:r>
      <w:r>
        <w:rPr>
          <w:lang w:val="fr-FR"/>
        </w:rPr>
        <w:tab/>
      </w:r>
      <w:r w:rsidRPr="00976C24">
        <w:rPr>
          <w:lang w:val="fr-FR"/>
        </w:rPr>
        <w:t xml:space="preserve">En ce qui concerne l’égalité dans les services de santé, le Comité pourra </w:t>
      </w:r>
      <w:r>
        <w:rPr>
          <w:lang w:val="fr-FR"/>
        </w:rPr>
        <w:t>se reporter à l’</w:t>
      </w:r>
      <w:r w:rsidRPr="00976C24">
        <w:rPr>
          <w:lang w:val="fr-FR"/>
        </w:rPr>
        <w:t>article 5.1</w:t>
      </w:r>
      <w:r>
        <w:rPr>
          <w:lang w:val="fr-FR"/>
        </w:rPr>
        <w:t xml:space="preserve"> du rapport</w:t>
      </w:r>
      <w:r w:rsidRPr="00976C24">
        <w:rPr>
          <w:lang w:val="fr-FR"/>
        </w:rPr>
        <w:t xml:space="preserve"> soumis à l’OIT et aux paragraphes 171, 175 et 180 du rapport soumis </w:t>
      </w:r>
      <w:r>
        <w:rPr>
          <w:lang w:val="fr-FR"/>
        </w:rPr>
        <w:t>au Comité pour l’élimination de la discrimination raciale</w:t>
      </w:r>
      <w:r w:rsidRPr="00976C24">
        <w:rPr>
          <w:lang w:val="fr-FR"/>
        </w:rPr>
        <w:t>.</w:t>
      </w:r>
    </w:p>
    <w:p w:rsidR="00903547" w:rsidRPr="00976C24" w:rsidRDefault="00903547" w:rsidP="00982FD0">
      <w:pPr>
        <w:pStyle w:val="SingleTxtG"/>
        <w:rPr>
          <w:lang w:val="fr-FR"/>
        </w:rPr>
      </w:pPr>
      <w:r>
        <w:rPr>
          <w:lang w:val="fr-FR"/>
        </w:rPr>
        <w:t>105.</w:t>
      </w:r>
      <w:r>
        <w:rPr>
          <w:lang w:val="fr-FR"/>
        </w:rPr>
        <w:tab/>
        <w:t>Quant à</w:t>
      </w:r>
      <w:r w:rsidRPr="00976C24">
        <w:rPr>
          <w:lang w:val="fr-FR"/>
        </w:rPr>
        <w:t xml:space="preserve"> l’éducation, le Comité pourra se reporter au</w:t>
      </w:r>
      <w:r>
        <w:rPr>
          <w:lang w:val="fr-FR"/>
        </w:rPr>
        <w:t>x</w:t>
      </w:r>
      <w:r w:rsidRPr="00976C24">
        <w:rPr>
          <w:lang w:val="fr-FR"/>
        </w:rPr>
        <w:t xml:space="preserve"> paragraphes 240 et 241</w:t>
      </w:r>
      <w:r>
        <w:rPr>
          <w:lang w:val="fr-FR"/>
        </w:rPr>
        <w:t xml:space="preserve"> du </w:t>
      </w:r>
      <w:r w:rsidRPr="00976C24">
        <w:rPr>
          <w:lang w:val="fr-FR"/>
        </w:rPr>
        <w:t xml:space="preserve">cinquième rapport de la Norvège </w:t>
      </w:r>
      <w:r>
        <w:rPr>
          <w:lang w:val="fr-FR"/>
        </w:rPr>
        <w:t>soumis en vertu du Pacte international relatif aux droits civils et politiques</w:t>
      </w:r>
      <w:r w:rsidRPr="00976C24">
        <w:rPr>
          <w:lang w:val="fr-FR"/>
        </w:rPr>
        <w:t xml:space="preserve">, </w:t>
      </w:r>
      <w:r>
        <w:rPr>
          <w:lang w:val="fr-FR"/>
        </w:rPr>
        <w:t>à l’article 6 du</w:t>
      </w:r>
      <w:r w:rsidRPr="00976C24">
        <w:rPr>
          <w:lang w:val="fr-FR"/>
        </w:rPr>
        <w:t xml:space="preserve"> rapport soumis à l’OIT</w:t>
      </w:r>
      <w:r>
        <w:rPr>
          <w:lang w:val="fr-FR"/>
        </w:rPr>
        <w:t xml:space="preserve"> </w:t>
      </w:r>
      <w:r w:rsidRPr="00976C24">
        <w:rPr>
          <w:lang w:val="fr-FR"/>
        </w:rPr>
        <w:t xml:space="preserve">et </w:t>
      </w:r>
      <w:r>
        <w:rPr>
          <w:lang w:val="fr-FR"/>
        </w:rPr>
        <w:t xml:space="preserve">aux paragraphes 183 à 185, 203, 208 et 213 à </w:t>
      </w:r>
      <w:r w:rsidRPr="00976C24">
        <w:rPr>
          <w:lang w:val="fr-FR"/>
        </w:rPr>
        <w:t>216</w:t>
      </w:r>
      <w:r>
        <w:rPr>
          <w:lang w:val="fr-FR"/>
        </w:rPr>
        <w:t xml:space="preserve"> du rapport soumis au Comité pour l’élimination de la discrimination raciale</w:t>
      </w:r>
      <w:r w:rsidRPr="00976C24">
        <w:rPr>
          <w:lang w:val="fr-FR"/>
        </w:rPr>
        <w:t>.</w:t>
      </w:r>
    </w:p>
    <w:p w:rsidR="00903547" w:rsidRPr="00976C24" w:rsidRDefault="00903547" w:rsidP="00982FD0">
      <w:pPr>
        <w:pStyle w:val="SingleTxtG"/>
        <w:rPr>
          <w:lang w:val="fr-FR"/>
        </w:rPr>
      </w:pPr>
      <w:r>
        <w:rPr>
          <w:lang w:val="fr-FR"/>
        </w:rPr>
        <w:t>106.</w:t>
      </w:r>
      <w:r>
        <w:rPr>
          <w:lang w:val="fr-FR"/>
        </w:rPr>
        <w:tab/>
        <w:t>Concernant</w:t>
      </w:r>
      <w:r w:rsidRPr="00976C24">
        <w:rPr>
          <w:lang w:val="fr-FR"/>
        </w:rPr>
        <w:t xml:space="preserve"> l’aide juridictionnelle, le Comité pourra </w:t>
      </w:r>
      <w:r>
        <w:rPr>
          <w:lang w:val="fr-FR"/>
        </w:rPr>
        <w:t xml:space="preserve">se reporter au </w:t>
      </w:r>
      <w:r w:rsidRPr="00976C24">
        <w:rPr>
          <w:lang w:val="fr-FR"/>
        </w:rPr>
        <w:t>paragraphe 253</w:t>
      </w:r>
      <w:r>
        <w:rPr>
          <w:lang w:val="fr-FR"/>
        </w:rPr>
        <w:t xml:space="preserve"> du rapport</w:t>
      </w:r>
      <w:r w:rsidRPr="00976C24">
        <w:rPr>
          <w:lang w:val="fr-FR"/>
        </w:rPr>
        <w:t xml:space="preserve"> soumis </w:t>
      </w:r>
      <w:r>
        <w:rPr>
          <w:lang w:val="fr-FR"/>
        </w:rPr>
        <w:t>au Comité pour l’élimination de la discrimination raciale</w:t>
      </w:r>
      <w:r w:rsidRPr="00976C24">
        <w:rPr>
          <w:lang w:val="fr-FR"/>
        </w:rPr>
        <w:t>.</w:t>
      </w:r>
    </w:p>
    <w:p w:rsidR="00903547" w:rsidRPr="00976C24" w:rsidRDefault="00903547" w:rsidP="0071086E">
      <w:pPr>
        <w:pStyle w:val="H1G"/>
        <w:rPr>
          <w:lang w:val="fr-FR"/>
        </w:rPr>
      </w:pPr>
      <w:bookmarkStart w:id="29" w:name="_Toc265062219"/>
      <w:r w:rsidRPr="00976C24">
        <w:rPr>
          <w:lang w:val="fr-FR"/>
        </w:rPr>
        <w:tab/>
      </w:r>
      <w:r w:rsidRPr="00976C24">
        <w:rPr>
          <w:lang w:val="fr-FR"/>
        </w:rPr>
        <w:tab/>
      </w:r>
      <w:bookmarkStart w:id="30" w:name="_Toc286326360"/>
      <w:r w:rsidRPr="00976C24">
        <w:rPr>
          <w:lang w:val="fr-FR"/>
        </w:rPr>
        <w:t>Article 2</w:t>
      </w:r>
      <w:bookmarkEnd w:id="20"/>
      <w:r>
        <w:rPr>
          <w:lang w:val="fr-FR"/>
        </w:rPr>
        <w:br/>
      </w:r>
      <w:r w:rsidRPr="00976C24">
        <w:rPr>
          <w:lang w:val="fr-FR"/>
        </w:rPr>
        <w:t xml:space="preserve">Exercice des droits </w:t>
      </w:r>
      <w:r w:rsidRPr="001A54B5">
        <w:rPr>
          <w:lang w:val="fr-FR"/>
        </w:rPr>
        <w:t>reconnus dans le Pacte</w:t>
      </w:r>
      <w:bookmarkEnd w:id="29"/>
      <w:bookmarkEnd w:id="30"/>
    </w:p>
    <w:p w:rsidR="00903547" w:rsidRPr="00976C24" w:rsidRDefault="00903547" w:rsidP="00982FD0">
      <w:pPr>
        <w:pStyle w:val="SingleTxtG"/>
        <w:rPr>
          <w:lang w:val="fr-FR"/>
        </w:rPr>
      </w:pPr>
      <w:r>
        <w:rPr>
          <w:lang w:val="fr-FR"/>
        </w:rPr>
        <w:t>107.</w:t>
      </w:r>
      <w:r>
        <w:rPr>
          <w:lang w:val="fr-FR"/>
        </w:rPr>
        <w:tab/>
      </w:r>
      <w:r w:rsidRPr="00976C24">
        <w:rPr>
          <w:lang w:val="fr-FR"/>
        </w:rPr>
        <w:t xml:space="preserve">Le Comité pourra se reporter au chapitre II, Informations générales, du présent rapport et au document de base commun concernant </w:t>
      </w:r>
      <w:r>
        <w:rPr>
          <w:lang w:val="fr-FR"/>
        </w:rPr>
        <w:t>le</w:t>
      </w:r>
      <w:r w:rsidRPr="00976C24">
        <w:rPr>
          <w:lang w:val="fr-FR"/>
        </w:rPr>
        <w:t xml:space="preserve"> statut du Pacte dans le droit norvégien.</w:t>
      </w:r>
    </w:p>
    <w:p w:rsidR="00903547" w:rsidRPr="00976C24" w:rsidRDefault="00903547" w:rsidP="0071086E">
      <w:pPr>
        <w:pStyle w:val="H23G"/>
        <w:rPr>
          <w:lang w:val="fr-FR"/>
        </w:rPr>
      </w:pPr>
      <w:r w:rsidRPr="00976C24">
        <w:rPr>
          <w:lang w:val="fr-FR"/>
        </w:rPr>
        <w:tab/>
        <w:t>1.</w:t>
      </w:r>
      <w:r w:rsidRPr="00976C24">
        <w:rPr>
          <w:lang w:val="fr-FR"/>
        </w:rPr>
        <w:tab/>
      </w:r>
      <w:bookmarkStart w:id="31" w:name="_Toc286326361"/>
      <w:r>
        <w:rPr>
          <w:lang w:val="fr-FR"/>
        </w:rPr>
        <w:t>Non-ressortissants</w:t>
      </w:r>
      <w:bookmarkEnd w:id="31"/>
    </w:p>
    <w:p w:rsidR="00903547" w:rsidRPr="00976C24" w:rsidRDefault="00903547" w:rsidP="00982FD0">
      <w:pPr>
        <w:pStyle w:val="SingleTxtG"/>
        <w:rPr>
          <w:lang w:val="fr-FR"/>
        </w:rPr>
      </w:pPr>
      <w:r>
        <w:rPr>
          <w:lang w:val="fr-FR"/>
        </w:rPr>
        <w:t>108.</w:t>
      </w:r>
      <w:r>
        <w:rPr>
          <w:lang w:val="fr-FR"/>
        </w:rPr>
        <w:tab/>
      </w:r>
      <w:r w:rsidRPr="00976C24">
        <w:rPr>
          <w:lang w:val="fr-FR"/>
        </w:rPr>
        <w:t xml:space="preserve">Le Comité pourra se reporter </w:t>
      </w:r>
      <w:r>
        <w:rPr>
          <w:lang w:val="fr-FR"/>
        </w:rPr>
        <w:t>a</w:t>
      </w:r>
      <w:r w:rsidRPr="00976C24">
        <w:rPr>
          <w:lang w:val="fr-FR"/>
        </w:rPr>
        <w:t>u paragraphe 7</w:t>
      </w:r>
      <w:r>
        <w:rPr>
          <w:lang w:val="fr-FR"/>
        </w:rPr>
        <w:t xml:space="preserve"> du </w:t>
      </w:r>
      <w:r w:rsidRPr="00976C24">
        <w:rPr>
          <w:lang w:val="fr-FR"/>
        </w:rPr>
        <w:t xml:space="preserve">quatrième rapport de la Norvège soumis </w:t>
      </w:r>
      <w:r>
        <w:rPr>
          <w:lang w:val="fr-FR"/>
        </w:rPr>
        <w:t>en vertu</w:t>
      </w:r>
      <w:r w:rsidRPr="00976C24">
        <w:rPr>
          <w:lang w:val="fr-FR"/>
        </w:rPr>
        <w:t xml:space="preserve"> du Pacte international relatif aux droits économiques, sociaux et culturels (E/C.12/4/Add.14) concernant les droits et obligations des </w:t>
      </w:r>
      <w:r>
        <w:rPr>
          <w:lang w:val="fr-FR"/>
        </w:rPr>
        <w:t>non-ressortissants</w:t>
      </w:r>
      <w:r w:rsidRPr="00976C24">
        <w:rPr>
          <w:lang w:val="fr-FR"/>
        </w:rPr>
        <w:t>. L’article 4 de la nouvelle loi sur l’immigration réglemente les droits et obligations des étrangers en Norvège.</w:t>
      </w:r>
    </w:p>
    <w:p w:rsidR="00903547" w:rsidRPr="00976C24" w:rsidRDefault="00903547" w:rsidP="0071086E">
      <w:pPr>
        <w:pStyle w:val="H23G"/>
        <w:rPr>
          <w:bCs/>
          <w:iCs/>
          <w:lang w:val="fr-FR"/>
        </w:rPr>
      </w:pPr>
      <w:r w:rsidRPr="00976C24">
        <w:rPr>
          <w:bCs/>
          <w:i/>
          <w:iCs/>
          <w:lang w:val="fr-FR"/>
        </w:rPr>
        <w:tab/>
      </w:r>
      <w:r w:rsidRPr="00976C24">
        <w:rPr>
          <w:bCs/>
          <w:iCs/>
          <w:lang w:val="fr-FR"/>
        </w:rPr>
        <w:t>2.</w:t>
      </w:r>
      <w:r w:rsidRPr="00976C24">
        <w:rPr>
          <w:bCs/>
          <w:i/>
          <w:iCs/>
          <w:lang w:val="fr-FR"/>
        </w:rPr>
        <w:tab/>
      </w:r>
      <w:r w:rsidRPr="00976C24">
        <w:rPr>
          <w:bCs/>
          <w:iCs/>
          <w:lang w:val="fr-FR"/>
        </w:rPr>
        <w:t>Impact de l’a</w:t>
      </w:r>
      <w:r>
        <w:rPr>
          <w:bCs/>
          <w:iCs/>
          <w:lang w:val="fr-FR"/>
        </w:rPr>
        <w:t>ssistance</w:t>
      </w:r>
      <w:r w:rsidRPr="00976C24">
        <w:rPr>
          <w:bCs/>
          <w:iCs/>
          <w:lang w:val="fr-FR"/>
        </w:rPr>
        <w:t xml:space="preserve"> et de la coopération </w:t>
      </w:r>
      <w:r>
        <w:rPr>
          <w:bCs/>
          <w:iCs/>
          <w:lang w:val="fr-FR"/>
        </w:rPr>
        <w:t>économique</w:t>
      </w:r>
      <w:r w:rsidRPr="00976C24">
        <w:rPr>
          <w:bCs/>
          <w:iCs/>
          <w:lang w:val="fr-FR"/>
        </w:rPr>
        <w:t>s et techniques</w:t>
      </w:r>
      <w:r>
        <w:rPr>
          <w:bCs/>
          <w:iCs/>
          <w:lang w:val="fr-FR"/>
        </w:rPr>
        <w:t xml:space="preserve"> internationales</w:t>
      </w:r>
      <w:r w:rsidRPr="00976C24">
        <w:rPr>
          <w:bCs/>
          <w:iCs/>
          <w:lang w:val="fr-FR"/>
        </w:rPr>
        <w:t xml:space="preserve">, </w:t>
      </w:r>
      <w:r>
        <w:rPr>
          <w:bCs/>
          <w:iCs/>
          <w:lang w:val="fr-FR"/>
        </w:rPr>
        <w:t xml:space="preserve">qu’elles soient </w:t>
      </w:r>
      <w:r w:rsidRPr="00976C24">
        <w:rPr>
          <w:bCs/>
          <w:iCs/>
          <w:lang w:val="fr-FR"/>
        </w:rPr>
        <w:t>reçues ou fo</w:t>
      </w:r>
      <w:r>
        <w:rPr>
          <w:bCs/>
          <w:iCs/>
          <w:lang w:val="fr-FR"/>
        </w:rPr>
        <w:t>urnies par l’État partie, sur la</w:t>
      </w:r>
      <w:r w:rsidRPr="00976C24">
        <w:rPr>
          <w:bCs/>
          <w:iCs/>
          <w:lang w:val="fr-FR"/>
        </w:rPr>
        <w:t xml:space="preserve"> plein</w:t>
      </w:r>
      <w:r>
        <w:rPr>
          <w:bCs/>
          <w:iCs/>
          <w:lang w:val="fr-FR"/>
        </w:rPr>
        <w:t>e</w:t>
      </w:r>
      <w:r w:rsidRPr="00976C24">
        <w:rPr>
          <w:bCs/>
          <w:iCs/>
          <w:lang w:val="fr-FR"/>
        </w:rPr>
        <w:t xml:space="preserve"> </w:t>
      </w:r>
      <w:r>
        <w:rPr>
          <w:bCs/>
          <w:iCs/>
          <w:lang w:val="fr-FR"/>
        </w:rPr>
        <w:t>réalisation</w:t>
      </w:r>
      <w:r w:rsidRPr="00976C24">
        <w:rPr>
          <w:bCs/>
          <w:iCs/>
          <w:lang w:val="fr-FR"/>
        </w:rPr>
        <w:t xml:space="preserve"> de chacun des droits </w:t>
      </w:r>
      <w:r>
        <w:rPr>
          <w:bCs/>
          <w:iCs/>
          <w:lang w:val="fr-FR"/>
        </w:rPr>
        <w:t>consacrés par le P</w:t>
      </w:r>
      <w:r w:rsidRPr="001A54B5">
        <w:rPr>
          <w:bCs/>
          <w:iCs/>
          <w:lang w:val="fr-FR"/>
        </w:rPr>
        <w:t>acte</w:t>
      </w:r>
      <w:r w:rsidRPr="00976C24">
        <w:rPr>
          <w:bCs/>
          <w:iCs/>
          <w:lang w:val="fr-FR"/>
        </w:rPr>
        <w:t xml:space="preserve"> dans l’</w:t>
      </w:r>
      <w:r>
        <w:rPr>
          <w:bCs/>
          <w:iCs/>
          <w:lang w:val="fr-FR"/>
        </w:rPr>
        <w:t>État</w:t>
      </w:r>
      <w:r w:rsidRPr="00976C24">
        <w:rPr>
          <w:bCs/>
          <w:iCs/>
          <w:lang w:val="fr-FR"/>
        </w:rPr>
        <w:t xml:space="preserve"> partie ou dans d’autres pays, e</w:t>
      </w:r>
      <w:r>
        <w:rPr>
          <w:bCs/>
          <w:iCs/>
          <w:lang w:val="fr-FR"/>
        </w:rPr>
        <w:t>n particulier dans d</w:t>
      </w:r>
      <w:r w:rsidRPr="00976C24">
        <w:rPr>
          <w:bCs/>
          <w:iCs/>
          <w:lang w:val="fr-FR"/>
        </w:rPr>
        <w:t>es pays en développement (</w:t>
      </w:r>
      <w:r w:rsidRPr="00976C24">
        <w:rPr>
          <w:lang w:val="fr-FR"/>
        </w:rPr>
        <w:t>E/2009/22-E/C.12/2008/3, annexe VIII, par.</w:t>
      </w:r>
      <w:r>
        <w:rPr>
          <w:lang w:val="fr-FR"/>
        </w:rPr>
        <w:t> </w:t>
      </w:r>
      <w:r w:rsidRPr="00976C24">
        <w:rPr>
          <w:lang w:val="fr-FR"/>
        </w:rPr>
        <w:t>9)</w:t>
      </w:r>
    </w:p>
    <w:p w:rsidR="00903547" w:rsidRPr="00976C24" w:rsidRDefault="00903547" w:rsidP="00982FD0">
      <w:pPr>
        <w:pStyle w:val="SingleTxtG"/>
        <w:rPr>
          <w:lang w:val="fr-FR"/>
        </w:rPr>
      </w:pPr>
      <w:r>
        <w:rPr>
          <w:lang w:val="fr-FR"/>
        </w:rPr>
        <w:t>109.</w:t>
      </w:r>
      <w:r>
        <w:rPr>
          <w:lang w:val="fr-FR"/>
        </w:rPr>
        <w:tab/>
      </w:r>
      <w:r w:rsidRPr="00976C24">
        <w:rPr>
          <w:lang w:val="fr-FR"/>
        </w:rPr>
        <w:t>Le Comité pourra se reporter à la réponse du Gouvernement à l’observation finale n</w:t>
      </w:r>
      <w:r w:rsidRPr="00D52E44">
        <w:rPr>
          <w:vertAlign w:val="superscript"/>
          <w:lang w:val="fr-FR"/>
        </w:rPr>
        <w:t>o</w:t>
      </w:r>
      <w:r>
        <w:rPr>
          <w:lang w:val="fr-FR"/>
        </w:rPr>
        <w:t> </w:t>
      </w:r>
      <w:r w:rsidRPr="00976C24">
        <w:rPr>
          <w:lang w:val="fr-FR"/>
        </w:rPr>
        <w:t xml:space="preserve">25 </w:t>
      </w:r>
      <w:r>
        <w:rPr>
          <w:lang w:val="fr-FR"/>
        </w:rPr>
        <w:t>figurant dans le</w:t>
      </w:r>
      <w:r w:rsidRPr="00976C24">
        <w:rPr>
          <w:lang w:val="fr-FR"/>
        </w:rPr>
        <w:t xml:space="preserve"> présent rapport.</w:t>
      </w:r>
    </w:p>
    <w:p w:rsidR="00903547" w:rsidRPr="00976C24" w:rsidRDefault="00903547" w:rsidP="0071086E">
      <w:pPr>
        <w:pStyle w:val="H23G"/>
        <w:rPr>
          <w:bCs/>
          <w:iCs/>
          <w:lang w:val="fr-FR"/>
        </w:rPr>
      </w:pPr>
      <w:r w:rsidRPr="00976C24">
        <w:rPr>
          <w:bCs/>
          <w:i/>
          <w:iCs/>
          <w:lang w:val="fr-FR"/>
        </w:rPr>
        <w:tab/>
      </w:r>
      <w:r w:rsidRPr="00976C24">
        <w:rPr>
          <w:bCs/>
          <w:iCs/>
          <w:lang w:val="fr-FR"/>
        </w:rPr>
        <w:t>3.</w:t>
      </w:r>
      <w:r w:rsidRPr="00976C24">
        <w:rPr>
          <w:bCs/>
          <w:i/>
          <w:iCs/>
          <w:lang w:val="fr-FR"/>
        </w:rPr>
        <w:tab/>
      </w:r>
      <w:r w:rsidRPr="00976C24">
        <w:rPr>
          <w:bCs/>
          <w:iCs/>
          <w:lang w:val="fr-FR"/>
        </w:rPr>
        <w:t xml:space="preserve">Statistiques ventilées et comparatives sur l’efficacité des mesures spécifiques </w:t>
      </w:r>
      <w:r>
        <w:rPr>
          <w:bCs/>
          <w:iCs/>
          <w:lang w:val="fr-FR"/>
        </w:rPr>
        <w:t xml:space="preserve">de lutte </w:t>
      </w:r>
      <w:r w:rsidRPr="00976C24">
        <w:rPr>
          <w:bCs/>
          <w:iCs/>
          <w:lang w:val="fr-FR"/>
        </w:rPr>
        <w:t xml:space="preserve">contre la discrimination et les progrès réalisés en </w:t>
      </w:r>
      <w:r>
        <w:rPr>
          <w:bCs/>
          <w:iCs/>
          <w:lang w:val="fr-FR"/>
        </w:rPr>
        <w:t>ce qui concerne l’égalité dans</w:t>
      </w:r>
      <w:r w:rsidRPr="00976C24">
        <w:rPr>
          <w:bCs/>
          <w:iCs/>
          <w:lang w:val="fr-FR"/>
        </w:rPr>
        <w:t xml:space="preserve"> l’exercice </w:t>
      </w:r>
      <w:r>
        <w:rPr>
          <w:bCs/>
          <w:iCs/>
          <w:lang w:val="fr-FR"/>
        </w:rPr>
        <w:t xml:space="preserve">par tous </w:t>
      </w:r>
      <w:r w:rsidRPr="00976C24">
        <w:rPr>
          <w:bCs/>
          <w:iCs/>
          <w:lang w:val="fr-FR"/>
        </w:rPr>
        <w:t xml:space="preserve">de chacun des droits </w:t>
      </w:r>
      <w:r>
        <w:rPr>
          <w:bCs/>
          <w:iCs/>
          <w:lang w:val="fr-FR"/>
        </w:rPr>
        <w:t>consacrés par</w:t>
      </w:r>
      <w:r w:rsidRPr="00976C24">
        <w:rPr>
          <w:bCs/>
          <w:iCs/>
          <w:lang w:val="fr-FR"/>
        </w:rPr>
        <w:t xml:space="preserve"> le Pacte (</w:t>
      </w:r>
      <w:r w:rsidRPr="00976C24">
        <w:rPr>
          <w:lang w:val="fr-FR"/>
        </w:rPr>
        <w:t>E/2009/22-E/C.12/2008/3, annexe VIII, par.</w:t>
      </w:r>
      <w:r>
        <w:rPr>
          <w:lang w:val="fr-FR"/>
        </w:rPr>
        <w:t> </w:t>
      </w:r>
      <w:r w:rsidRPr="00976C24">
        <w:rPr>
          <w:lang w:val="fr-FR"/>
        </w:rPr>
        <w:t>10)</w:t>
      </w:r>
    </w:p>
    <w:p w:rsidR="00903547" w:rsidRPr="00976C24" w:rsidRDefault="00903547" w:rsidP="0071086E">
      <w:pPr>
        <w:pStyle w:val="H23G"/>
        <w:rPr>
          <w:lang w:val="fr-FR"/>
        </w:rPr>
      </w:pPr>
      <w:r w:rsidRPr="00976C24">
        <w:rPr>
          <w:lang w:val="fr-FR"/>
        </w:rPr>
        <w:tab/>
        <w:t>a)</w:t>
      </w:r>
      <w:r w:rsidRPr="00976C24">
        <w:rPr>
          <w:lang w:val="fr-FR"/>
        </w:rPr>
        <w:tab/>
      </w:r>
      <w:bookmarkStart w:id="32" w:name="_Toc286326362"/>
      <w:r w:rsidRPr="00976C24">
        <w:rPr>
          <w:lang w:val="fr-FR"/>
        </w:rPr>
        <w:t>Non-discrimination</w:t>
      </w:r>
      <w:bookmarkEnd w:id="32"/>
    </w:p>
    <w:p w:rsidR="00903547" w:rsidRPr="00976C24" w:rsidRDefault="00903547" w:rsidP="00982FD0">
      <w:pPr>
        <w:pStyle w:val="SingleTxtG"/>
        <w:rPr>
          <w:lang w:val="fr-FR"/>
        </w:rPr>
      </w:pPr>
      <w:r>
        <w:rPr>
          <w:lang w:val="fr-FR"/>
        </w:rPr>
        <w:t>110.</w:t>
      </w:r>
      <w:r>
        <w:rPr>
          <w:lang w:val="fr-FR"/>
        </w:rPr>
        <w:tab/>
      </w:r>
      <w:r w:rsidRPr="00976C24">
        <w:rPr>
          <w:lang w:val="fr-FR"/>
        </w:rPr>
        <w:t>Plusieurs textes de loi offrent une protection contre la discrimination, comme la loi sur l’égalité</w:t>
      </w:r>
      <w:r>
        <w:rPr>
          <w:lang w:val="fr-FR"/>
        </w:rPr>
        <w:t xml:space="preserve"> des sexes (loi du 9 juin 1978 n</w:t>
      </w:r>
      <w:r w:rsidRPr="00D52E44">
        <w:rPr>
          <w:vertAlign w:val="superscript"/>
          <w:lang w:val="fr-FR"/>
        </w:rPr>
        <w:t>o</w:t>
      </w:r>
      <w:r>
        <w:rPr>
          <w:lang w:val="fr-FR"/>
        </w:rPr>
        <w:t> </w:t>
      </w:r>
      <w:r w:rsidRPr="00976C24">
        <w:rPr>
          <w:lang w:val="fr-FR"/>
        </w:rPr>
        <w:t>45), la loi antidisc</w:t>
      </w:r>
      <w:r>
        <w:rPr>
          <w:lang w:val="fr-FR"/>
        </w:rPr>
        <w:t>rimination (loi du 3 juin 2005 n</w:t>
      </w:r>
      <w:r>
        <w:rPr>
          <w:vertAlign w:val="superscript"/>
          <w:lang w:val="fr-FR"/>
        </w:rPr>
        <w:t>o</w:t>
      </w:r>
      <w:r w:rsidRPr="00D52E44">
        <w:rPr>
          <w:lang w:val="fr-FR"/>
        </w:rPr>
        <w:t> </w:t>
      </w:r>
      <w:r w:rsidRPr="00976C24">
        <w:rPr>
          <w:lang w:val="fr-FR"/>
        </w:rPr>
        <w:t xml:space="preserve">33), la loi </w:t>
      </w:r>
      <w:r>
        <w:rPr>
          <w:lang w:val="fr-FR"/>
        </w:rPr>
        <w:t>contre</w:t>
      </w:r>
      <w:r w:rsidRPr="00976C24">
        <w:rPr>
          <w:lang w:val="fr-FR"/>
        </w:rPr>
        <w:t xml:space="preserve"> la discrimination et </w:t>
      </w:r>
      <w:r>
        <w:rPr>
          <w:lang w:val="fr-FR"/>
        </w:rPr>
        <w:t xml:space="preserve">pour </w:t>
      </w:r>
      <w:r w:rsidRPr="00976C24">
        <w:rPr>
          <w:lang w:val="fr-FR"/>
        </w:rPr>
        <w:t>l’accessibilité (</w:t>
      </w:r>
      <w:r>
        <w:rPr>
          <w:lang w:val="fr-FR"/>
        </w:rPr>
        <w:t>loi</w:t>
      </w:r>
      <w:r w:rsidRPr="00976C24">
        <w:rPr>
          <w:lang w:val="fr-FR"/>
        </w:rPr>
        <w:t xml:space="preserve"> </w:t>
      </w:r>
      <w:r>
        <w:rPr>
          <w:lang w:val="fr-FR"/>
        </w:rPr>
        <w:t>du</w:t>
      </w:r>
      <w:r w:rsidRPr="00976C24">
        <w:rPr>
          <w:lang w:val="fr-FR"/>
        </w:rPr>
        <w:t xml:space="preserve"> </w:t>
      </w:r>
      <w:r>
        <w:rPr>
          <w:lang w:val="fr-FR"/>
        </w:rPr>
        <w:t>20 juin 2008 n</w:t>
      </w:r>
      <w:r w:rsidRPr="00D52E44">
        <w:rPr>
          <w:vertAlign w:val="superscript"/>
          <w:lang w:val="fr-FR"/>
        </w:rPr>
        <w:t>o</w:t>
      </w:r>
      <w:r>
        <w:rPr>
          <w:lang w:val="fr-FR"/>
        </w:rPr>
        <w:t> </w:t>
      </w:r>
      <w:r w:rsidRPr="00976C24">
        <w:rPr>
          <w:lang w:val="fr-FR"/>
        </w:rPr>
        <w:t>42, annexe II) et le chapitre 13 de la loi sur l’environnement de travail (annexe V) relati</w:t>
      </w:r>
      <w:r>
        <w:rPr>
          <w:lang w:val="fr-FR"/>
        </w:rPr>
        <w:t>f</w:t>
      </w:r>
      <w:r w:rsidRPr="00976C24">
        <w:rPr>
          <w:lang w:val="fr-FR"/>
        </w:rPr>
        <w:t xml:space="preserve"> à la protection contre la discrimination.</w:t>
      </w:r>
    </w:p>
    <w:p w:rsidR="00903547" w:rsidRPr="00976C24" w:rsidRDefault="00903547" w:rsidP="00982FD0">
      <w:pPr>
        <w:pStyle w:val="SingleTxtG"/>
        <w:rPr>
          <w:lang w:val="fr-FR"/>
        </w:rPr>
      </w:pPr>
      <w:r>
        <w:rPr>
          <w:lang w:val="fr-FR"/>
        </w:rPr>
        <w:t>111.</w:t>
      </w:r>
      <w:r>
        <w:rPr>
          <w:lang w:val="fr-FR"/>
        </w:rPr>
        <w:tab/>
      </w:r>
      <w:r w:rsidRPr="00976C24">
        <w:rPr>
          <w:lang w:val="fr-FR"/>
        </w:rPr>
        <w:t>Le Comité pourra se reporter au</w:t>
      </w:r>
      <w:r>
        <w:rPr>
          <w:lang w:val="fr-FR"/>
        </w:rPr>
        <w:t xml:space="preserve">x paragraphes 217 à </w:t>
      </w:r>
      <w:r w:rsidRPr="00976C24">
        <w:rPr>
          <w:lang w:val="fr-FR"/>
        </w:rPr>
        <w:t>227</w:t>
      </w:r>
      <w:r>
        <w:rPr>
          <w:lang w:val="fr-FR"/>
        </w:rPr>
        <w:t xml:space="preserve"> du </w:t>
      </w:r>
      <w:r w:rsidRPr="00976C24">
        <w:rPr>
          <w:lang w:val="fr-FR"/>
        </w:rPr>
        <w:t>document de base commun</w:t>
      </w:r>
      <w:r>
        <w:rPr>
          <w:lang w:val="fr-FR"/>
        </w:rPr>
        <w:t xml:space="preserve"> relatifs au</w:t>
      </w:r>
      <w:r w:rsidRPr="00976C24">
        <w:rPr>
          <w:lang w:val="fr-FR"/>
        </w:rPr>
        <w:t xml:space="preserve"> médiateur pour l’égalité et la lutte contre la discrimination, créé en 2006. Le médiateur et les tribunaux appliquent la législation en </w:t>
      </w:r>
      <w:r>
        <w:rPr>
          <w:lang w:val="fr-FR"/>
        </w:rPr>
        <w:t xml:space="preserve">la </w:t>
      </w:r>
      <w:r w:rsidRPr="00976C24">
        <w:rPr>
          <w:lang w:val="fr-FR"/>
        </w:rPr>
        <w:t xml:space="preserve">matière </w:t>
      </w:r>
      <w:r>
        <w:rPr>
          <w:lang w:val="fr-FR"/>
        </w:rPr>
        <w:t>conformément à leurs mandats respectifs</w:t>
      </w:r>
      <w:r w:rsidRPr="00976C24">
        <w:rPr>
          <w:lang w:val="fr-FR"/>
        </w:rPr>
        <w:t>. Les décisions du médiateur peuvent être contestées devant le tribunal chargé des questions d’inégalité et de discrimination.</w:t>
      </w:r>
    </w:p>
    <w:p w:rsidR="00903547" w:rsidRPr="00976C24" w:rsidRDefault="00903547" w:rsidP="00982FD0">
      <w:pPr>
        <w:pStyle w:val="SingleTxtG"/>
        <w:rPr>
          <w:lang w:val="fr-FR"/>
        </w:rPr>
      </w:pPr>
      <w:r>
        <w:rPr>
          <w:lang w:val="fr-FR"/>
        </w:rPr>
        <w:t>112.</w:t>
      </w:r>
      <w:r>
        <w:rPr>
          <w:lang w:val="fr-FR"/>
        </w:rPr>
        <w:tab/>
      </w:r>
      <w:r w:rsidRPr="00976C24">
        <w:rPr>
          <w:lang w:val="fr-FR"/>
        </w:rPr>
        <w:t xml:space="preserve">Un renforcement du cadre juridique </w:t>
      </w:r>
      <w:r>
        <w:rPr>
          <w:lang w:val="fr-FR"/>
        </w:rPr>
        <w:t>de la lutte contre</w:t>
      </w:r>
      <w:r w:rsidRPr="00976C24">
        <w:rPr>
          <w:lang w:val="fr-FR"/>
        </w:rPr>
        <w:t xml:space="preserve"> la discrimination a été </w:t>
      </w:r>
      <w:r>
        <w:rPr>
          <w:lang w:val="fr-FR"/>
        </w:rPr>
        <w:t>proposé</w:t>
      </w:r>
      <w:r w:rsidRPr="00976C24">
        <w:rPr>
          <w:lang w:val="fr-FR"/>
        </w:rPr>
        <w:t xml:space="preserve"> au Gouvernement dans un rapport officiel en 2009 (NOU 2009:14). Le rapport a fait l’objet d’une consultation publique </w:t>
      </w:r>
      <w:r>
        <w:rPr>
          <w:lang w:val="fr-FR"/>
        </w:rPr>
        <w:t>la même année</w:t>
      </w:r>
      <w:r w:rsidRPr="00976C24">
        <w:rPr>
          <w:lang w:val="fr-FR"/>
        </w:rPr>
        <w:t>. Les propositions du rapport comportent un projet de loi d’</w:t>
      </w:r>
      <w:r>
        <w:rPr>
          <w:lang w:val="fr-FR"/>
        </w:rPr>
        <w:t>envergure</w:t>
      </w:r>
      <w:r w:rsidRPr="00976C24">
        <w:rPr>
          <w:lang w:val="fr-FR"/>
        </w:rPr>
        <w:t xml:space="preserve"> qui interdit la discrimination dans tous les domaines de la vie sociale, quel qu’en soit le motif</w:t>
      </w:r>
      <w:r>
        <w:rPr>
          <w:lang w:val="fr-FR"/>
        </w:rPr>
        <w:t>:</w:t>
      </w:r>
      <w:r w:rsidRPr="00976C24">
        <w:rPr>
          <w:lang w:val="fr-FR"/>
        </w:rPr>
        <w:t xml:space="preserve"> sexe, origine ethnique, religion, handicap, orientation sexuelle ou âge. Une approche globale peut être </w:t>
      </w:r>
      <w:r>
        <w:rPr>
          <w:lang w:val="fr-FR"/>
        </w:rPr>
        <w:t>un</w:t>
      </w:r>
      <w:r w:rsidRPr="00976C24">
        <w:rPr>
          <w:lang w:val="fr-FR"/>
        </w:rPr>
        <w:t xml:space="preserve"> moyen d’</w:t>
      </w:r>
      <w:r>
        <w:rPr>
          <w:lang w:val="fr-FR"/>
        </w:rPr>
        <w:t>assurer</w:t>
      </w:r>
      <w:r w:rsidRPr="00976C24">
        <w:rPr>
          <w:lang w:val="fr-FR"/>
        </w:rPr>
        <w:t xml:space="preserve"> une protection plus efficace contre les discriminations multiples. </w:t>
      </w:r>
    </w:p>
    <w:p w:rsidR="00903547" w:rsidRPr="00976C24" w:rsidRDefault="00903547" w:rsidP="00982FD0">
      <w:pPr>
        <w:pStyle w:val="SingleTxtG"/>
        <w:rPr>
          <w:lang w:val="fr-FR"/>
        </w:rPr>
      </w:pPr>
      <w:r>
        <w:rPr>
          <w:lang w:val="fr-FR"/>
        </w:rPr>
        <w:t>113.</w:t>
      </w:r>
      <w:r>
        <w:rPr>
          <w:lang w:val="fr-FR"/>
        </w:rPr>
        <w:tab/>
      </w:r>
      <w:r w:rsidRPr="00976C24">
        <w:rPr>
          <w:lang w:val="fr-FR"/>
        </w:rPr>
        <w:t xml:space="preserve">Le Gouvernement a lancé plusieurs plans </w:t>
      </w:r>
      <w:r>
        <w:rPr>
          <w:lang w:val="fr-FR"/>
        </w:rPr>
        <w:t xml:space="preserve">d’action </w:t>
      </w:r>
      <w:r w:rsidRPr="00976C24">
        <w:rPr>
          <w:lang w:val="fr-FR"/>
        </w:rPr>
        <w:t xml:space="preserve">comportant des mesures de lutte contre la discrimination, comme le plan </w:t>
      </w:r>
      <w:r>
        <w:rPr>
          <w:lang w:val="fr-FR"/>
        </w:rPr>
        <w:t>de promotion de</w:t>
      </w:r>
      <w:r w:rsidRPr="00976C24">
        <w:rPr>
          <w:lang w:val="fr-FR"/>
        </w:rPr>
        <w:t xml:space="preserve"> l’égalité et </w:t>
      </w:r>
      <w:r>
        <w:rPr>
          <w:lang w:val="fr-FR"/>
        </w:rPr>
        <w:t xml:space="preserve">de prévention de </w:t>
      </w:r>
      <w:r w:rsidRPr="00976C24">
        <w:rPr>
          <w:lang w:val="fr-FR"/>
        </w:rPr>
        <w:t>la discrimination ethnique (2009</w:t>
      </w:r>
      <w:r>
        <w:rPr>
          <w:lang w:val="fr-FR"/>
        </w:rPr>
        <w:t>-</w:t>
      </w:r>
      <w:r w:rsidRPr="00976C24">
        <w:rPr>
          <w:lang w:val="fr-FR"/>
        </w:rPr>
        <w:t>2012), le plan d’action pour la conception universelle et l’amélioration de l’accessibilité (2009</w:t>
      </w:r>
      <w:r>
        <w:rPr>
          <w:lang w:val="fr-FR"/>
        </w:rPr>
        <w:t>-2013)</w:t>
      </w:r>
      <w:r w:rsidRPr="00976C24">
        <w:rPr>
          <w:lang w:val="fr-FR"/>
        </w:rPr>
        <w:t xml:space="preserve"> et le plan d’action pour l’amélioration de la qualité de vie des </w:t>
      </w:r>
      <w:r>
        <w:rPr>
          <w:lang w:val="fr-FR"/>
        </w:rPr>
        <w:t>l</w:t>
      </w:r>
      <w:r w:rsidRPr="004116C7">
        <w:rPr>
          <w:lang w:val="fr-FR"/>
        </w:rPr>
        <w:t xml:space="preserve">esbiennes, gays, bisexuels et transgenres </w:t>
      </w:r>
      <w:r>
        <w:rPr>
          <w:lang w:val="fr-FR"/>
        </w:rPr>
        <w:t>(</w:t>
      </w:r>
      <w:r w:rsidRPr="00976C24">
        <w:rPr>
          <w:lang w:val="fr-FR"/>
        </w:rPr>
        <w:t>LGBT</w:t>
      </w:r>
      <w:r>
        <w:rPr>
          <w:lang w:val="fr-FR"/>
        </w:rPr>
        <w:t>)</w:t>
      </w:r>
      <w:r w:rsidRPr="00976C24">
        <w:rPr>
          <w:lang w:val="fr-FR"/>
        </w:rPr>
        <w:t xml:space="preserve"> (2009</w:t>
      </w:r>
      <w:r>
        <w:rPr>
          <w:lang w:val="fr-FR"/>
        </w:rPr>
        <w:t>-</w:t>
      </w:r>
      <w:r w:rsidRPr="00976C24">
        <w:rPr>
          <w:lang w:val="fr-FR"/>
        </w:rPr>
        <w:t>2012).</w:t>
      </w:r>
    </w:p>
    <w:p w:rsidR="00903547" w:rsidRPr="00976C24" w:rsidRDefault="00903547" w:rsidP="00982FD0">
      <w:pPr>
        <w:pStyle w:val="SingleTxtG"/>
        <w:rPr>
          <w:lang w:val="fr-FR"/>
        </w:rPr>
      </w:pPr>
      <w:r>
        <w:rPr>
          <w:lang w:val="fr-FR"/>
        </w:rPr>
        <w:t>114.</w:t>
      </w:r>
      <w:r>
        <w:rPr>
          <w:lang w:val="fr-FR"/>
        </w:rPr>
        <w:tab/>
      </w:r>
      <w:r w:rsidRPr="00976C24">
        <w:rPr>
          <w:lang w:val="fr-FR"/>
        </w:rPr>
        <w:t xml:space="preserve">La Norvège </w:t>
      </w:r>
      <w:r>
        <w:rPr>
          <w:lang w:val="fr-FR"/>
        </w:rPr>
        <w:t xml:space="preserve">reconnaît l’existence </w:t>
      </w:r>
      <w:r w:rsidRPr="00976C24">
        <w:rPr>
          <w:lang w:val="fr-FR"/>
        </w:rPr>
        <w:t xml:space="preserve">de problèmes </w:t>
      </w:r>
      <w:r>
        <w:rPr>
          <w:lang w:val="fr-FR"/>
        </w:rPr>
        <w:t>à différents égards</w:t>
      </w:r>
      <w:r w:rsidRPr="00976C24">
        <w:rPr>
          <w:lang w:val="fr-FR"/>
        </w:rPr>
        <w:t xml:space="preserve"> </w:t>
      </w:r>
      <w:r>
        <w:rPr>
          <w:lang w:val="fr-FR"/>
        </w:rPr>
        <w:t>quant à</w:t>
      </w:r>
      <w:r w:rsidRPr="00976C24">
        <w:rPr>
          <w:lang w:val="fr-FR"/>
        </w:rPr>
        <w:t xml:space="preserve"> </w:t>
      </w:r>
      <w:r>
        <w:rPr>
          <w:lang w:val="fr-FR"/>
        </w:rPr>
        <w:t>sa</w:t>
      </w:r>
      <w:r w:rsidRPr="00976C24">
        <w:rPr>
          <w:lang w:val="fr-FR"/>
        </w:rPr>
        <w:t xml:space="preserve"> capacité à lutter contre la discrimination et à défendre les droits des individus et des groupes défavorisés et marginalisés. </w:t>
      </w:r>
    </w:p>
    <w:p w:rsidR="00903547" w:rsidRPr="00976C24" w:rsidRDefault="00903547" w:rsidP="0071086E">
      <w:pPr>
        <w:pStyle w:val="H23G"/>
        <w:rPr>
          <w:lang w:val="fr-FR"/>
        </w:rPr>
      </w:pPr>
      <w:r w:rsidRPr="00976C24">
        <w:rPr>
          <w:lang w:val="fr-FR"/>
        </w:rPr>
        <w:tab/>
        <w:t>b)</w:t>
      </w:r>
      <w:r w:rsidRPr="00976C24">
        <w:rPr>
          <w:lang w:val="fr-FR"/>
        </w:rPr>
        <w:tab/>
      </w:r>
      <w:bookmarkStart w:id="33" w:name="_Toc286326363"/>
      <w:r w:rsidRPr="00976C24">
        <w:rPr>
          <w:lang w:val="fr-FR"/>
        </w:rPr>
        <w:t>Discrimination</w:t>
      </w:r>
      <w:bookmarkEnd w:id="33"/>
      <w:r w:rsidRPr="00976C24">
        <w:rPr>
          <w:lang w:val="fr-FR"/>
        </w:rPr>
        <w:t xml:space="preserve"> ethnique</w:t>
      </w:r>
    </w:p>
    <w:p w:rsidR="00903547" w:rsidRPr="00976C24" w:rsidRDefault="00903547" w:rsidP="00982FD0">
      <w:pPr>
        <w:pStyle w:val="SingleTxtG"/>
        <w:rPr>
          <w:lang w:val="fr-FR"/>
        </w:rPr>
      </w:pPr>
      <w:r>
        <w:rPr>
          <w:lang w:val="fr-FR"/>
        </w:rPr>
        <w:t>115.</w:t>
      </w:r>
      <w:r>
        <w:rPr>
          <w:lang w:val="fr-FR"/>
        </w:rPr>
        <w:tab/>
      </w:r>
      <w:r w:rsidRPr="00976C24">
        <w:rPr>
          <w:lang w:val="fr-FR"/>
        </w:rPr>
        <w:t xml:space="preserve">La loi </w:t>
      </w:r>
      <w:r>
        <w:rPr>
          <w:lang w:val="fr-FR"/>
        </w:rPr>
        <w:t>anti</w:t>
      </w:r>
      <w:r w:rsidRPr="00976C24">
        <w:rPr>
          <w:lang w:val="fr-FR"/>
        </w:rPr>
        <w:t xml:space="preserve">discrimination interdit la discrimination directe et indirecte fondée sur l’appartenance ethnique, l’origine nationale et </w:t>
      </w:r>
      <w:r>
        <w:rPr>
          <w:lang w:val="fr-FR"/>
        </w:rPr>
        <w:t>d’</w:t>
      </w:r>
      <w:r w:rsidRPr="00976C24">
        <w:rPr>
          <w:lang w:val="fr-FR"/>
        </w:rPr>
        <w:t>autres critères. La Convention sur l’élimination de toutes les formes de discrimination raciale a été incorporée dans la législation norvégienne à l’article 2 de la</w:t>
      </w:r>
      <w:r>
        <w:rPr>
          <w:lang w:val="fr-FR"/>
        </w:rPr>
        <w:t>dite</w:t>
      </w:r>
      <w:r w:rsidRPr="00976C24">
        <w:rPr>
          <w:lang w:val="fr-FR"/>
        </w:rPr>
        <w:t xml:space="preserve"> loi.</w:t>
      </w:r>
    </w:p>
    <w:p w:rsidR="00903547" w:rsidRPr="00976C24" w:rsidRDefault="00903547" w:rsidP="00982FD0">
      <w:pPr>
        <w:pStyle w:val="SingleTxtG"/>
        <w:rPr>
          <w:lang w:val="fr-FR"/>
        </w:rPr>
      </w:pPr>
      <w:r>
        <w:rPr>
          <w:lang w:val="fr-FR"/>
        </w:rPr>
        <w:t>116.</w:t>
      </w:r>
      <w:r>
        <w:rPr>
          <w:lang w:val="fr-FR"/>
        </w:rPr>
        <w:tab/>
      </w:r>
      <w:r w:rsidRPr="00976C24">
        <w:rPr>
          <w:lang w:val="fr-FR"/>
        </w:rPr>
        <w:t xml:space="preserve">Le Comité pourra se reporter aux dix-neuvième et vingtième rapports périodiques </w:t>
      </w:r>
      <w:r>
        <w:rPr>
          <w:lang w:val="fr-FR"/>
        </w:rPr>
        <w:t>soumis</w:t>
      </w:r>
      <w:r w:rsidRPr="00976C24">
        <w:rPr>
          <w:lang w:val="fr-FR"/>
        </w:rPr>
        <w:t xml:space="preserve"> au Comité pour l’élimination de la discrimination raciale </w:t>
      </w:r>
      <w:r>
        <w:rPr>
          <w:lang w:val="fr-FR"/>
        </w:rPr>
        <w:t>en</w:t>
      </w:r>
      <w:r w:rsidRPr="00976C24">
        <w:rPr>
          <w:lang w:val="fr-FR"/>
        </w:rPr>
        <w:t xml:space="preserve"> ce qui concerne les actions menées par le</w:t>
      </w:r>
      <w:r>
        <w:rPr>
          <w:lang w:val="fr-FR"/>
        </w:rPr>
        <w:t>s pouvoirs publics p</w:t>
      </w:r>
      <w:r w:rsidRPr="00976C24">
        <w:rPr>
          <w:lang w:val="fr-FR"/>
        </w:rPr>
        <w:t>our lutter contre la discrimination ethnique</w:t>
      </w:r>
      <w:r>
        <w:rPr>
          <w:lang w:val="fr-FR"/>
        </w:rPr>
        <w:t>;</w:t>
      </w:r>
      <w:r w:rsidRPr="00976C24">
        <w:rPr>
          <w:lang w:val="fr-FR"/>
        </w:rPr>
        <w:t xml:space="preserve"> au</w:t>
      </w:r>
      <w:r>
        <w:rPr>
          <w:lang w:val="fr-FR"/>
        </w:rPr>
        <w:t>x paragraphes 5 à 7 du</w:t>
      </w:r>
      <w:r w:rsidRPr="00976C24">
        <w:rPr>
          <w:lang w:val="fr-FR"/>
        </w:rPr>
        <w:t xml:space="preserve"> rapport </w:t>
      </w:r>
      <w:r>
        <w:rPr>
          <w:lang w:val="fr-FR"/>
        </w:rPr>
        <w:t>concernant</w:t>
      </w:r>
      <w:r w:rsidRPr="00976C24">
        <w:rPr>
          <w:lang w:val="fr-FR"/>
        </w:rPr>
        <w:t xml:space="preserve"> les statistiques </w:t>
      </w:r>
      <w:r>
        <w:rPr>
          <w:lang w:val="fr-FR"/>
        </w:rPr>
        <w:t>relatives à</w:t>
      </w:r>
      <w:r w:rsidRPr="00976C24">
        <w:rPr>
          <w:lang w:val="fr-FR"/>
        </w:rPr>
        <w:t xml:space="preserve"> la composition ethnique de la population norvégienne</w:t>
      </w:r>
      <w:r>
        <w:rPr>
          <w:lang w:val="fr-FR"/>
        </w:rPr>
        <w:t xml:space="preserve">; au </w:t>
      </w:r>
      <w:r w:rsidRPr="00976C24">
        <w:rPr>
          <w:lang w:val="fr-FR"/>
        </w:rPr>
        <w:t xml:space="preserve">paragraphe 62 </w:t>
      </w:r>
      <w:r>
        <w:rPr>
          <w:lang w:val="fr-FR"/>
        </w:rPr>
        <w:t>concernant d</w:t>
      </w:r>
      <w:r w:rsidRPr="00976C24">
        <w:rPr>
          <w:lang w:val="fr-FR"/>
        </w:rPr>
        <w:t>es objectifs p</w:t>
      </w:r>
      <w:r>
        <w:rPr>
          <w:lang w:val="fr-FR"/>
        </w:rPr>
        <w:t>récis</w:t>
      </w:r>
      <w:r w:rsidRPr="00976C24">
        <w:rPr>
          <w:lang w:val="fr-FR"/>
        </w:rPr>
        <w:t xml:space="preserve"> de la politique d’intégration et d’insertion sociale, assortis d’indicateurs</w:t>
      </w:r>
      <w:r>
        <w:rPr>
          <w:lang w:val="fr-FR"/>
        </w:rPr>
        <w:t>;</w:t>
      </w:r>
      <w:r w:rsidRPr="00976C24">
        <w:rPr>
          <w:lang w:val="fr-FR"/>
        </w:rPr>
        <w:t xml:space="preserve"> </w:t>
      </w:r>
      <w:r>
        <w:rPr>
          <w:lang w:val="fr-FR"/>
        </w:rPr>
        <w:t>au paragraphe </w:t>
      </w:r>
      <w:r w:rsidRPr="00976C24">
        <w:rPr>
          <w:lang w:val="fr-FR"/>
        </w:rPr>
        <w:t xml:space="preserve">63 </w:t>
      </w:r>
      <w:r>
        <w:rPr>
          <w:lang w:val="fr-FR"/>
        </w:rPr>
        <w:t>concernant</w:t>
      </w:r>
      <w:r w:rsidRPr="00976C24">
        <w:rPr>
          <w:lang w:val="fr-FR"/>
        </w:rPr>
        <w:t xml:space="preserve"> une étude </w:t>
      </w:r>
      <w:r>
        <w:rPr>
          <w:lang w:val="fr-FR"/>
        </w:rPr>
        <w:t>relative à</w:t>
      </w:r>
      <w:r w:rsidRPr="00976C24">
        <w:rPr>
          <w:lang w:val="fr-FR"/>
        </w:rPr>
        <w:t xml:space="preserve"> la discrimination dans le secteur public</w:t>
      </w:r>
      <w:r>
        <w:rPr>
          <w:lang w:val="fr-FR"/>
        </w:rPr>
        <w:t>;</w:t>
      </w:r>
      <w:r w:rsidRPr="00976C24">
        <w:rPr>
          <w:lang w:val="fr-FR"/>
        </w:rPr>
        <w:t xml:space="preserve"> </w:t>
      </w:r>
      <w:r>
        <w:rPr>
          <w:lang w:val="fr-FR"/>
        </w:rPr>
        <w:t xml:space="preserve">au </w:t>
      </w:r>
      <w:r w:rsidRPr="00976C24">
        <w:rPr>
          <w:lang w:val="fr-FR"/>
        </w:rPr>
        <w:t>paragraphe</w:t>
      </w:r>
      <w:r>
        <w:rPr>
          <w:lang w:val="fr-FR"/>
        </w:rPr>
        <w:t> </w:t>
      </w:r>
      <w:r w:rsidRPr="00976C24">
        <w:rPr>
          <w:lang w:val="fr-FR"/>
        </w:rPr>
        <w:t xml:space="preserve">78 </w:t>
      </w:r>
      <w:r>
        <w:rPr>
          <w:lang w:val="fr-FR"/>
        </w:rPr>
        <w:t>concernant</w:t>
      </w:r>
      <w:r w:rsidRPr="00976C24">
        <w:rPr>
          <w:lang w:val="fr-FR"/>
        </w:rPr>
        <w:t xml:space="preserve"> les crime</w:t>
      </w:r>
      <w:r>
        <w:rPr>
          <w:lang w:val="fr-FR"/>
        </w:rPr>
        <w:t>s de haine;</w:t>
      </w:r>
      <w:r w:rsidRPr="00976C24">
        <w:rPr>
          <w:lang w:val="fr-FR"/>
        </w:rPr>
        <w:t xml:space="preserve"> </w:t>
      </w:r>
      <w:r>
        <w:rPr>
          <w:lang w:val="fr-FR"/>
        </w:rPr>
        <w:t xml:space="preserve">au </w:t>
      </w:r>
      <w:r w:rsidRPr="00976C24">
        <w:rPr>
          <w:lang w:val="fr-FR"/>
        </w:rPr>
        <w:t>paragraphe</w:t>
      </w:r>
      <w:r>
        <w:rPr>
          <w:lang w:val="fr-FR"/>
        </w:rPr>
        <w:t> </w:t>
      </w:r>
      <w:r w:rsidRPr="00976C24">
        <w:rPr>
          <w:lang w:val="fr-FR"/>
        </w:rPr>
        <w:t xml:space="preserve">149 </w:t>
      </w:r>
      <w:r>
        <w:rPr>
          <w:lang w:val="fr-FR"/>
        </w:rPr>
        <w:t>concernant</w:t>
      </w:r>
      <w:r w:rsidRPr="00976C24">
        <w:rPr>
          <w:lang w:val="fr-FR"/>
        </w:rPr>
        <w:t xml:space="preserve"> un projet en cours portant sur les statistiques relatives à l’immigration, l’intégration et l’insertion sociale et </w:t>
      </w:r>
      <w:r>
        <w:rPr>
          <w:lang w:val="fr-FR"/>
        </w:rPr>
        <w:t xml:space="preserve">à </w:t>
      </w:r>
      <w:r w:rsidRPr="00976C24">
        <w:rPr>
          <w:lang w:val="fr-FR"/>
        </w:rPr>
        <w:t>l’étude du Bureau de statistique relative aux conditions de vie des immigrés en</w:t>
      </w:r>
      <w:r>
        <w:rPr>
          <w:lang w:val="fr-FR"/>
        </w:rPr>
        <w:t xml:space="preserve"> 2008;</w:t>
      </w:r>
      <w:r w:rsidRPr="00976C24">
        <w:rPr>
          <w:lang w:val="fr-FR"/>
        </w:rPr>
        <w:t xml:space="preserve"> </w:t>
      </w:r>
      <w:r>
        <w:rPr>
          <w:lang w:val="fr-FR"/>
        </w:rPr>
        <w:t xml:space="preserve">au </w:t>
      </w:r>
      <w:r w:rsidRPr="00976C24">
        <w:rPr>
          <w:lang w:val="fr-FR"/>
        </w:rPr>
        <w:t>paragraphe</w:t>
      </w:r>
      <w:r>
        <w:rPr>
          <w:lang w:val="fr-FR"/>
        </w:rPr>
        <w:t> </w:t>
      </w:r>
      <w:r w:rsidRPr="00976C24">
        <w:rPr>
          <w:lang w:val="fr-FR"/>
        </w:rPr>
        <w:t xml:space="preserve">218 </w:t>
      </w:r>
      <w:r>
        <w:rPr>
          <w:lang w:val="fr-FR"/>
        </w:rPr>
        <w:t>concernant</w:t>
      </w:r>
      <w:r w:rsidRPr="00976C24">
        <w:rPr>
          <w:lang w:val="fr-FR"/>
        </w:rPr>
        <w:t xml:space="preserve"> une évaluation des cours de langue norvégienne pour les immigrés et </w:t>
      </w:r>
      <w:r>
        <w:rPr>
          <w:lang w:val="fr-FR"/>
        </w:rPr>
        <w:t xml:space="preserve">au </w:t>
      </w:r>
      <w:r w:rsidRPr="00976C24">
        <w:rPr>
          <w:lang w:val="fr-FR"/>
        </w:rPr>
        <w:t xml:space="preserve">paragraphe 232 </w:t>
      </w:r>
      <w:r>
        <w:rPr>
          <w:lang w:val="fr-FR"/>
        </w:rPr>
        <w:t>concernant</w:t>
      </w:r>
      <w:r w:rsidRPr="00976C24">
        <w:rPr>
          <w:lang w:val="fr-FR"/>
        </w:rPr>
        <w:t xml:space="preserve"> une étude </w:t>
      </w:r>
      <w:r>
        <w:rPr>
          <w:lang w:val="fr-FR"/>
        </w:rPr>
        <w:t>sur</w:t>
      </w:r>
      <w:r w:rsidRPr="00976C24">
        <w:rPr>
          <w:lang w:val="fr-FR"/>
        </w:rPr>
        <w:t xml:space="preserve"> la discrimination à l’égard du peuple sami. Le Comité pourra également </w:t>
      </w:r>
      <w:r>
        <w:rPr>
          <w:lang w:val="fr-FR"/>
        </w:rPr>
        <w:t>se référer à l’</w:t>
      </w:r>
      <w:r w:rsidRPr="00976C24">
        <w:rPr>
          <w:lang w:val="fr-FR"/>
        </w:rPr>
        <w:t>article</w:t>
      </w:r>
      <w:r>
        <w:rPr>
          <w:lang w:val="fr-FR"/>
        </w:rPr>
        <w:t> </w:t>
      </w:r>
      <w:r w:rsidRPr="00976C24">
        <w:rPr>
          <w:lang w:val="fr-FR"/>
        </w:rPr>
        <w:t>3.2.2</w:t>
      </w:r>
      <w:r>
        <w:rPr>
          <w:lang w:val="fr-FR"/>
        </w:rPr>
        <w:t xml:space="preserve"> du rapport</w:t>
      </w:r>
      <w:r w:rsidRPr="00976C24">
        <w:rPr>
          <w:lang w:val="fr-FR"/>
        </w:rPr>
        <w:t xml:space="preserve"> de la Norvège présenté </w:t>
      </w:r>
      <w:r>
        <w:rPr>
          <w:lang w:val="fr-FR"/>
        </w:rPr>
        <w:t>au titre de l’EPU</w:t>
      </w:r>
      <w:r w:rsidRPr="00976C24">
        <w:rPr>
          <w:lang w:val="fr-FR"/>
        </w:rPr>
        <w:t>.</w:t>
      </w:r>
    </w:p>
    <w:p w:rsidR="00903547" w:rsidRPr="00976C24" w:rsidRDefault="00903547" w:rsidP="00982FD0">
      <w:pPr>
        <w:pStyle w:val="SingleTxtG"/>
        <w:rPr>
          <w:lang w:val="fr-FR"/>
        </w:rPr>
      </w:pPr>
      <w:r>
        <w:rPr>
          <w:lang w:val="fr-FR"/>
        </w:rPr>
        <w:t>117.</w:t>
      </w:r>
      <w:r>
        <w:rPr>
          <w:lang w:val="fr-FR"/>
        </w:rPr>
        <w:tab/>
      </w:r>
      <w:r w:rsidRPr="00976C24">
        <w:rPr>
          <w:lang w:val="fr-FR"/>
        </w:rPr>
        <w:t>Les personnes issues des minorités risquent tout particulièrement d’être victimes de discrimination. Une étude sur la discrimination, réalisée par le Bureau norvégien de statistique en 2009</w:t>
      </w:r>
      <w:r>
        <w:rPr>
          <w:lang w:val="fr-FR"/>
        </w:rPr>
        <w:t>,</w:t>
      </w:r>
      <w:r w:rsidRPr="00976C24">
        <w:rPr>
          <w:lang w:val="fr-FR"/>
        </w:rPr>
        <w:t xml:space="preserve"> révèle que plus de la moitié des personnes interrogées issues de l’immigration </w:t>
      </w:r>
      <w:r>
        <w:rPr>
          <w:lang w:val="fr-FR"/>
        </w:rPr>
        <w:t xml:space="preserve">en </w:t>
      </w:r>
      <w:r w:rsidRPr="00976C24">
        <w:rPr>
          <w:lang w:val="fr-FR"/>
        </w:rPr>
        <w:t xml:space="preserve">ont été victimes dans un ou plusieurs domaines tels que le logement, l’éducation, les services de santé et la vie professionnelle, de même que dans des bars ou restaurants. Les hommes sont davantage </w:t>
      </w:r>
      <w:r>
        <w:rPr>
          <w:lang w:val="fr-FR"/>
        </w:rPr>
        <w:t>touchés</w:t>
      </w:r>
      <w:r w:rsidRPr="00976C24">
        <w:rPr>
          <w:lang w:val="fr-FR"/>
        </w:rPr>
        <w:t xml:space="preserve"> que les femmes. 60 à 70</w:t>
      </w:r>
      <w:r>
        <w:rPr>
          <w:lang w:val="fr-FR"/>
        </w:rPr>
        <w:t> %</w:t>
      </w:r>
      <w:r w:rsidRPr="00976C24">
        <w:rPr>
          <w:lang w:val="fr-FR"/>
        </w:rPr>
        <w:t xml:space="preserve"> des immigrés originaires de Somalie, d’Iraq et d’Iran d</w:t>
      </w:r>
      <w:r>
        <w:rPr>
          <w:lang w:val="fr-FR"/>
        </w:rPr>
        <w:t>éclar</w:t>
      </w:r>
      <w:r w:rsidRPr="00976C24">
        <w:rPr>
          <w:lang w:val="fr-FR"/>
        </w:rPr>
        <w:t xml:space="preserve">ent </w:t>
      </w:r>
      <w:r>
        <w:rPr>
          <w:lang w:val="fr-FR"/>
        </w:rPr>
        <w:t>être relativement moins bien traités</w:t>
      </w:r>
      <w:r w:rsidRPr="00976C24">
        <w:rPr>
          <w:lang w:val="fr-FR"/>
        </w:rPr>
        <w:t xml:space="preserve">. </w:t>
      </w:r>
      <w:r>
        <w:rPr>
          <w:lang w:val="fr-FR"/>
        </w:rPr>
        <w:t xml:space="preserve">Quant </w:t>
      </w:r>
      <w:r w:rsidRPr="00976C24">
        <w:rPr>
          <w:lang w:val="fr-FR"/>
        </w:rPr>
        <w:t>autres groupes étudiés, 25 à 30</w:t>
      </w:r>
      <w:r>
        <w:rPr>
          <w:lang w:val="fr-FR"/>
        </w:rPr>
        <w:t> %</w:t>
      </w:r>
      <w:r w:rsidRPr="00976C24">
        <w:rPr>
          <w:lang w:val="fr-FR"/>
        </w:rPr>
        <w:t xml:space="preserve"> ont répondu av</w:t>
      </w:r>
      <w:r>
        <w:rPr>
          <w:lang w:val="fr-FR"/>
        </w:rPr>
        <w:t>oir été victimes de telles inégalités. L’étude repose sur l</w:t>
      </w:r>
      <w:r w:rsidRPr="00976C24">
        <w:rPr>
          <w:lang w:val="fr-FR"/>
        </w:rPr>
        <w:t>es réponses aux questions sur la discrimination subie de l’étude réalisée en 2005</w:t>
      </w:r>
      <w:r>
        <w:rPr>
          <w:lang w:val="fr-FR"/>
        </w:rPr>
        <w:t>-</w:t>
      </w:r>
      <w:r w:rsidRPr="00976C24">
        <w:rPr>
          <w:lang w:val="fr-FR"/>
        </w:rPr>
        <w:t>2006 par le Bureau de statistique sur les conditions d</w:t>
      </w:r>
      <w:r>
        <w:rPr>
          <w:lang w:val="fr-FR"/>
        </w:rPr>
        <w:t>e vie</w:t>
      </w:r>
      <w:r w:rsidRPr="00976C24">
        <w:rPr>
          <w:lang w:val="fr-FR"/>
        </w:rPr>
        <w:t xml:space="preserve"> des immigrés.</w:t>
      </w:r>
      <w:r>
        <w:rPr>
          <w:lang w:val="fr-FR"/>
        </w:rPr>
        <w:t xml:space="preserve"> L’un des critères de sélection</w:t>
      </w:r>
      <w:r w:rsidRPr="00976C24">
        <w:rPr>
          <w:lang w:val="fr-FR"/>
        </w:rPr>
        <w:t xml:space="preserve"> </w:t>
      </w:r>
      <w:r>
        <w:rPr>
          <w:lang w:val="fr-FR"/>
        </w:rPr>
        <w:t>d</w:t>
      </w:r>
      <w:r w:rsidRPr="00976C24">
        <w:rPr>
          <w:lang w:val="fr-FR"/>
        </w:rPr>
        <w:t xml:space="preserve">es personnes interrogées </w:t>
      </w:r>
      <w:r>
        <w:rPr>
          <w:lang w:val="fr-FR"/>
        </w:rPr>
        <w:t xml:space="preserve">était qu’elles </w:t>
      </w:r>
      <w:r w:rsidRPr="00976C24">
        <w:rPr>
          <w:lang w:val="fr-FR"/>
        </w:rPr>
        <w:t xml:space="preserve">résident en Norvège depuis au moins deux ans. </w:t>
      </w:r>
      <w:r>
        <w:rPr>
          <w:lang w:val="fr-FR"/>
        </w:rPr>
        <w:t>Les participants</w:t>
      </w:r>
      <w:r w:rsidRPr="00976C24">
        <w:rPr>
          <w:lang w:val="fr-FR"/>
        </w:rPr>
        <w:t xml:space="preserve"> venaient de Bosnie-Herzégovine, </w:t>
      </w:r>
      <w:r>
        <w:rPr>
          <w:lang w:val="fr-FR"/>
        </w:rPr>
        <w:t xml:space="preserve">de </w:t>
      </w:r>
      <w:r w:rsidRPr="00976C24">
        <w:rPr>
          <w:lang w:val="fr-FR"/>
        </w:rPr>
        <w:t xml:space="preserve">Serbie, </w:t>
      </w:r>
      <w:r>
        <w:rPr>
          <w:lang w:val="fr-FR"/>
        </w:rPr>
        <w:t xml:space="preserve">du </w:t>
      </w:r>
      <w:r w:rsidRPr="00976C24">
        <w:rPr>
          <w:lang w:val="fr-FR"/>
        </w:rPr>
        <w:t xml:space="preserve">Monténégro, </w:t>
      </w:r>
      <w:r>
        <w:rPr>
          <w:lang w:val="fr-FR"/>
        </w:rPr>
        <w:t xml:space="preserve">de </w:t>
      </w:r>
      <w:r w:rsidRPr="00976C24">
        <w:rPr>
          <w:lang w:val="fr-FR"/>
        </w:rPr>
        <w:t xml:space="preserve">Turquie, </w:t>
      </w:r>
      <w:r>
        <w:rPr>
          <w:lang w:val="fr-FR"/>
        </w:rPr>
        <w:t>d’</w:t>
      </w:r>
      <w:r w:rsidRPr="00976C24">
        <w:rPr>
          <w:lang w:val="fr-FR"/>
        </w:rPr>
        <w:t xml:space="preserve">Iraq, </w:t>
      </w:r>
      <w:r>
        <w:rPr>
          <w:lang w:val="fr-FR"/>
        </w:rPr>
        <w:t>d’</w:t>
      </w:r>
      <w:r w:rsidRPr="00976C24">
        <w:rPr>
          <w:lang w:val="fr-FR"/>
        </w:rPr>
        <w:t xml:space="preserve">Iran, </w:t>
      </w:r>
      <w:r>
        <w:rPr>
          <w:lang w:val="fr-FR"/>
        </w:rPr>
        <w:t xml:space="preserve">du </w:t>
      </w:r>
      <w:r w:rsidRPr="00976C24">
        <w:rPr>
          <w:lang w:val="fr-FR"/>
        </w:rPr>
        <w:t xml:space="preserve">Pakistan, </w:t>
      </w:r>
      <w:r>
        <w:rPr>
          <w:lang w:val="fr-FR"/>
        </w:rPr>
        <w:t xml:space="preserve">de </w:t>
      </w:r>
      <w:r w:rsidRPr="00976C24">
        <w:rPr>
          <w:lang w:val="fr-FR"/>
        </w:rPr>
        <w:t xml:space="preserve">Sri Lanka, </w:t>
      </w:r>
      <w:r>
        <w:rPr>
          <w:lang w:val="fr-FR"/>
        </w:rPr>
        <w:t xml:space="preserve">du </w:t>
      </w:r>
      <w:r w:rsidRPr="00976C24">
        <w:rPr>
          <w:lang w:val="fr-FR"/>
        </w:rPr>
        <w:t xml:space="preserve">Viet Nam, </w:t>
      </w:r>
      <w:r>
        <w:rPr>
          <w:lang w:val="fr-FR"/>
        </w:rPr>
        <w:t xml:space="preserve">de </w:t>
      </w:r>
      <w:r w:rsidRPr="00976C24">
        <w:rPr>
          <w:lang w:val="fr-FR"/>
        </w:rPr>
        <w:t xml:space="preserve">Somalie et </w:t>
      </w:r>
      <w:r>
        <w:rPr>
          <w:lang w:val="fr-FR"/>
        </w:rPr>
        <w:t xml:space="preserve">du </w:t>
      </w:r>
      <w:r w:rsidRPr="00976C24">
        <w:rPr>
          <w:lang w:val="fr-FR"/>
        </w:rPr>
        <w:t>Chili.</w:t>
      </w:r>
    </w:p>
    <w:p w:rsidR="00903547" w:rsidRPr="00976C24" w:rsidRDefault="00903547" w:rsidP="00982FD0">
      <w:pPr>
        <w:pStyle w:val="SingleTxtG"/>
        <w:rPr>
          <w:lang w:val="fr-FR"/>
        </w:rPr>
      </w:pPr>
      <w:r>
        <w:rPr>
          <w:lang w:val="fr-FR"/>
        </w:rPr>
        <w:t>118.</w:t>
      </w:r>
      <w:r>
        <w:rPr>
          <w:lang w:val="fr-FR"/>
        </w:rPr>
        <w:tab/>
      </w:r>
      <w:r w:rsidRPr="00976C24">
        <w:rPr>
          <w:lang w:val="fr-FR"/>
        </w:rPr>
        <w:t>Le</w:t>
      </w:r>
      <w:r>
        <w:rPr>
          <w:lang w:val="fr-FR"/>
        </w:rPr>
        <w:t>s autorités</w:t>
      </w:r>
      <w:r w:rsidRPr="00976C24">
        <w:rPr>
          <w:lang w:val="fr-FR"/>
        </w:rPr>
        <w:t xml:space="preserve"> </w:t>
      </w:r>
      <w:r>
        <w:rPr>
          <w:lang w:val="fr-FR"/>
        </w:rPr>
        <w:t>projettent de</w:t>
      </w:r>
      <w:r w:rsidRPr="00976C24">
        <w:rPr>
          <w:lang w:val="fr-FR"/>
        </w:rPr>
        <w:t xml:space="preserve"> lancer une étude sur un</w:t>
      </w:r>
      <w:r>
        <w:rPr>
          <w:lang w:val="fr-FR"/>
        </w:rPr>
        <w:t xml:space="preserve"> échantillon représentatif</w:t>
      </w:r>
      <w:r w:rsidRPr="00976C24">
        <w:rPr>
          <w:lang w:val="fr-FR"/>
        </w:rPr>
        <w:t xml:space="preserve"> d’entreprises pour se faire une </w:t>
      </w:r>
      <w:r>
        <w:rPr>
          <w:lang w:val="fr-FR"/>
        </w:rPr>
        <w:t>idée des attitudes à l’égard de la</w:t>
      </w:r>
      <w:r w:rsidRPr="00976C24">
        <w:rPr>
          <w:lang w:val="fr-FR"/>
        </w:rPr>
        <w:t xml:space="preserve"> diversité et </w:t>
      </w:r>
      <w:r>
        <w:rPr>
          <w:lang w:val="fr-FR"/>
        </w:rPr>
        <w:t>de</w:t>
      </w:r>
      <w:r w:rsidRPr="00976C24">
        <w:rPr>
          <w:lang w:val="fr-FR"/>
        </w:rPr>
        <w:t xml:space="preserve"> la discrimination dans la vie professionnelle. </w:t>
      </w:r>
      <w:r>
        <w:rPr>
          <w:lang w:val="fr-FR"/>
        </w:rPr>
        <w:t>D</w:t>
      </w:r>
      <w:r w:rsidRPr="00976C24">
        <w:rPr>
          <w:lang w:val="fr-FR"/>
        </w:rPr>
        <w:t>i</w:t>
      </w:r>
      <w:r>
        <w:rPr>
          <w:lang w:val="fr-FR"/>
        </w:rPr>
        <w:t>verses</w:t>
      </w:r>
      <w:r w:rsidRPr="00976C24">
        <w:rPr>
          <w:lang w:val="fr-FR"/>
        </w:rPr>
        <w:t xml:space="preserve"> méthodes propres à détermine</w:t>
      </w:r>
      <w:r>
        <w:rPr>
          <w:lang w:val="fr-FR"/>
        </w:rPr>
        <w:t>r le nombre de représentants de</w:t>
      </w:r>
      <w:r w:rsidRPr="00976C24">
        <w:rPr>
          <w:lang w:val="fr-FR"/>
        </w:rPr>
        <w:t xml:space="preserve"> salariés immigrés ou </w:t>
      </w:r>
      <w:r>
        <w:rPr>
          <w:lang w:val="fr-FR"/>
        </w:rPr>
        <w:t>né</w:t>
      </w:r>
      <w:r w:rsidRPr="00976C24">
        <w:rPr>
          <w:lang w:val="fr-FR"/>
        </w:rPr>
        <w:t>s en Norvège de parents immigrés</w:t>
      </w:r>
      <w:r>
        <w:rPr>
          <w:lang w:val="fr-FR"/>
        </w:rPr>
        <w:t xml:space="preserve"> seront également évaluées</w:t>
      </w:r>
      <w:r w:rsidRPr="00976C24">
        <w:rPr>
          <w:lang w:val="fr-FR"/>
        </w:rPr>
        <w:t>.</w:t>
      </w:r>
    </w:p>
    <w:p w:rsidR="00903547" w:rsidRPr="00976C24" w:rsidRDefault="00903547" w:rsidP="00982FD0">
      <w:pPr>
        <w:pStyle w:val="SingleTxtG"/>
        <w:rPr>
          <w:lang w:val="fr-FR"/>
        </w:rPr>
      </w:pPr>
      <w:r>
        <w:rPr>
          <w:lang w:val="fr-FR"/>
        </w:rPr>
        <w:t>119.</w:t>
      </w:r>
      <w:r>
        <w:rPr>
          <w:lang w:val="fr-FR"/>
        </w:rPr>
        <w:tab/>
      </w:r>
      <w:r w:rsidRPr="00976C24">
        <w:rPr>
          <w:lang w:val="fr-FR"/>
        </w:rPr>
        <w:t>L’une des mesures du plan d’action visant à promouvoir l’égalité et prévenir la discrimination ethnique est l</w:t>
      </w:r>
      <w:r>
        <w:rPr>
          <w:lang w:val="fr-FR"/>
        </w:rPr>
        <w:t xml:space="preserve">a création d’un forum dédié </w:t>
      </w:r>
      <w:r w:rsidRPr="00976C24">
        <w:rPr>
          <w:lang w:val="fr-FR"/>
        </w:rPr>
        <w:t>aux données sur l’égalité</w:t>
      </w:r>
      <w:r>
        <w:rPr>
          <w:lang w:val="fr-FR"/>
        </w:rPr>
        <w:t xml:space="preserve">, qui devra en premier lieu </w:t>
      </w:r>
      <w:r w:rsidRPr="00976C24">
        <w:rPr>
          <w:lang w:val="fr-FR"/>
        </w:rPr>
        <w:t xml:space="preserve">déterminer </w:t>
      </w:r>
      <w:r>
        <w:rPr>
          <w:lang w:val="fr-FR"/>
        </w:rPr>
        <w:t>celles</w:t>
      </w:r>
      <w:r w:rsidRPr="00976C24">
        <w:rPr>
          <w:lang w:val="fr-FR"/>
        </w:rPr>
        <w:t xml:space="preserve"> qui peu</w:t>
      </w:r>
      <w:r>
        <w:rPr>
          <w:lang w:val="fr-FR"/>
        </w:rPr>
        <w:t>ven</w:t>
      </w:r>
      <w:r w:rsidRPr="00976C24">
        <w:rPr>
          <w:lang w:val="fr-FR"/>
        </w:rPr>
        <w:t>t servir d’indicateur</w:t>
      </w:r>
      <w:r>
        <w:rPr>
          <w:lang w:val="fr-FR"/>
        </w:rPr>
        <w:t>s</w:t>
      </w:r>
      <w:r w:rsidRPr="00976C24">
        <w:rPr>
          <w:lang w:val="fr-FR"/>
        </w:rPr>
        <w:t xml:space="preserve"> de l’égalité et de la discrimination. Le</w:t>
      </w:r>
      <w:r>
        <w:rPr>
          <w:lang w:val="fr-FR"/>
        </w:rPr>
        <w:t xml:space="preserve"> mandat</w:t>
      </w:r>
      <w:r w:rsidRPr="00976C24">
        <w:rPr>
          <w:lang w:val="fr-FR"/>
        </w:rPr>
        <w:t xml:space="preserve"> proposé </w:t>
      </w:r>
      <w:r>
        <w:rPr>
          <w:lang w:val="fr-FR"/>
        </w:rPr>
        <w:t>couvre</w:t>
      </w:r>
      <w:r w:rsidRPr="00976C24">
        <w:rPr>
          <w:lang w:val="fr-FR"/>
        </w:rPr>
        <w:t xml:space="preserve"> notamment</w:t>
      </w:r>
      <w:r>
        <w:rPr>
          <w:lang w:val="fr-FR"/>
        </w:rPr>
        <w:t xml:space="preserve"> les tâches suivantes:</w:t>
      </w:r>
    </w:p>
    <w:p w:rsidR="00903547" w:rsidRPr="00976C24" w:rsidRDefault="00903547" w:rsidP="0071086E">
      <w:pPr>
        <w:pStyle w:val="SingleTxtG"/>
        <w:ind w:firstLine="567"/>
        <w:rPr>
          <w:lang w:val="fr-FR"/>
        </w:rPr>
      </w:pPr>
      <w:r w:rsidRPr="00976C24">
        <w:rPr>
          <w:lang w:val="fr-FR"/>
        </w:rPr>
        <w:t>a)</w:t>
      </w:r>
      <w:r w:rsidRPr="00976C24">
        <w:rPr>
          <w:lang w:val="fr-FR"/>
        </w:rPr>
        <w:tab/>
      </w:r>
      <w:r>
        <w:rPr>
          <w:lang w:val="fr-FR"/>
        </w:rPr>
        <w:t>Préciser les</w:t>
      </w:r>
      <w:r w:rsidRPr="00976C24">
        <w:rPr>
          <w:lang w:val="fr-FR"/>
        </w:rPr>
        <w:t xml:space="preserve"> statistiques existantes </w:t>
      </w:r>
      <w:r>
        <w:rPr>
          <w:lang w:val="fr-FR"/>
        </w:rPr>
        <w:t>relatives aux</w:t>
      </w:r>
      <w:r w:rsidRPr="00976C24">
        <w:rPr>
          <w:lang w:val="fr-FR"/>
        </w:rPr>
        <w:t xml:space="preserve"> différentes formes de discrimination, qui peuvent servir d’indicateurs de l’égalité et/ou de la discrimination et ainsi permettre une meilleure utilisation des données </w:t>
      </w:r>
      <w:r>
        <w:rPr>
          <w:lang w:val="fr-FR"/>
        </w:rPr>
        <w:t>disponibles</w:t>
      </w:r>
      <w:r w:rsidRPr="00976C24">
        <w:rPr>
          <w:lang w:val="fr-FR"/>
        </w:rPr>
        <w:t>;</w:t>
      </w:r>
    </w:p>
    <w:p w:rsidR="00903547" w:rsidRPr="00976C24" w:rsidRDefault="00903547" w:rsidP="0071086E">
      <w:pPr>
        <w:pStyle w:val="SingleTxtG"/>
        <w:ind w:firstLine="567"/>
        <w:rPr>
          <w:lang w:val="fr-FR"/>
        </w:rPr>
      </w:pPr>
      <w:r w:rsidRPr="00976C24">
        <w:rPr>
          <w:lang w:val="fr-FR"/>
        </w:rPr>
        <w:t>b)</w:t>
      </w:r>
      <w:r w:rsidRPr="00976C24">
        <w:rPr>
          <w:lang w:val="fr-FR"/>
        </w:rPr>
        <w:tab/>
      </w:r>
      <w:r>
        <w:rPr>
          <w:lang w:val="fr-FR"/>
        </w:rPr>
        <w:t>É</w:t>
      </w:r>
      <w:r w:rsidRPr="00976C24">
        <w:rPr>
          <w:lang w:val="fr-FR"/>
        </w:rPr>
        <w:t>valu</w:t>
      </w:r>
      <w:r>
        <w:rPr>
          <w:lang w:val="fr-FR"/>
        </w:rPr>
        <w:t>er l</w:t>
      </w:r>
      <w:r w:rsidRPr="00976C24">
        <w:rPr>
          <w:lang w:val="fr-FR"/>
        </w:rPr>
        <w:t>es possibilités d’intégrer des questions sur l’égalité et les différentes formes de discrimination dans la production de statisti</w:t>
      </w:r>
      <w:r>
        <w:rPr>
          <w:lang w:val="fr-FR"/>
        </w:rPr>
        <w:t>ques</w:t>
      </w:r>
      <w:r w:rsidRPr="00976C24">
        <w:rPr>
          <w:lang w:val="fr-FR"/>
        </w:rPr>
        <w:t>;</w:t>
      </w:r>
    </w:p>
    <w:p w:rsidR="00903547" w:rsidRPr="00976C24" w:rsidRDefault="00903547" w:rsidP="0071086E">
      <w:pPr>
        <w:pStyle w:val="SingleTxtG"/>
        <w:ind w:firstLine="567"/>
        <w:rPr>
          <w:lang w:val="fr-FR"/>
        </w:rPr>
      </w:pPr>
      <w:r w:rsidRPr="00976C24">
        <w:rPr>
          <w:lang w:val="fr-FR"/>
        </w:rPr>
        <w:t>c)</w:t>
      </w:r>
      <w:r w:rsidRPr="00976C24">
        <w:rPr>
          <w:lang w:val="fr-FR"/>
        </w:rPr>
        <w:tab/>
      </w:r>
      <w:r>
        <w:rPr>
          <w:lang w:val="fr-FR"/>
        </w:rPr>
        <w:t>Évaluer</w:t>
      </w:r>
      <w:r w:rsidRPr="00976C24">
        <w:rPr>
          <w:lang w:val="fr-FR"/>
        </w:rPr>
        <w:t xml:space="preserve"> la façon dont les différentes formes de discrimination peuvent être </w:t>
      </w:r>
      <w:r>
        <w:rPr>
          <w:lang w:val="fr-FR"/>
        </w:rPr>
        <w:t>interconnectées;</w:t>
      </w:r>
    </w:p>
    <w:p w:rsidR="00903547" w:rsidRPr="00976C24" w:rsidRDefault="00903547" w:rsidP="0071086E">
      <w:pPr>
        <w:pStyle w:val="SingleTxtG"/>
        <w:ind w:firstLine="567"/>
        <w:rPr>
          <w:lang w:val="fr-FR"/>
        </w:rPr>
      </w:pPr>
      <w:r w:rsidRPr="00976C24">
        <w:rPr>
          <w:lang w:val="fr-FR"/>
        </w:rPr>
        <w:t>d)</w:t>
      </w:r>
      <w:r w:rsidRPr="00976C24">
        <w:rPr>
          <w:lang w:val="fr-FR"/>
        </w:rPr>
        <w:tab/>
      </w:r>
      <w:r>
        <w:rPr>
          <w:lang w:val="fr-FR"/>
        </w:rPr>
        <w:t>Évaluer l’utilité éventuelle de</w:t>
      </w:r>
      <w:r w:rsidRPr="00976C24">
        <w:rPr>
          <w:lang w:val="fr-FR"/>
        </w:rPr>
        <w:t xml:space="preserve"> données supplémentaires</w:t>
      </w:r>
      <w:r>
        <w:rPr>
          <w:lang w:val="fr-FR"/>
        </w:rPr>
        <w:t>, également</w:t>
      </w:r>
      <w:r w:rsidRPr="00976C24">
        <w:rPr>
          <w:lang w:val="fr-FR"/>
        </w:rPr>
        <w:t xml:space="preserve"> au regard de la production de données d’Eurostat;</w:t>
      </w:r>
    </w:p>
    <w:p w:rsidR="00903547" w:rsidRPr="00976C24" w:rsidRDefault="00903547" w:rsidP="0071086E">
      <w:pPr>
        <w:pStyle w:val="SingleTxtG"/>
        <w:ind w:firstLine="567"/>
        <w:rPr>
          <w:lang w:val="fr-FR"/>
        </w:rPr>
      </w:pPr>
      <w:r w:rsidRPr="00976C24">
        <w:rPr>
          <w:lang w:val="fr-FR"/>
        </w:rPr>
        <w:t>e)</w:t>
      </w:r>
      <w:r w:rsidRPr="00976C24">
        <w:rPr>
          <w:lang w:val="fr-FR"/>
        </w:rPr>
        <w:tab/>
      </w:r>
      <w:r>
        <w:rPr>
          <w:lang w:val="fr-FR"/>
        </w:rPr>
        <w:t>Évaluer</w:t>
      </w:r>
      <w:r w:rsidRPr="00976C24">
        <w:rPr>
          <w:lang w:val="fr-FR"/>
        </w:rPr>
        <w:t xml:space="preserve"> la façon dont les entreprises peuvent retrouver des informations sur le pourcentage d’immigrés qu’elles emploient.</w:t>
      </w:r>
    </w:p>
    <w:p w:rsidR="00903547" w:rsidRPr="00976C24" w:rsidRDefault="00903547" w:rsidP="0071086E">
      <w:pPr>
        <w:pStyle w:val="H23G"/>
        <w:rPr>
          <w:lang w:val="fr-FR"/>
        </w:rPr>
      </w:pPr>
      <w:r w:rsidRPr="00976C24">
        <w:rPr>
          <w:lang w:val="fr-FR"/>
        </w:rPr>
        <w:tab/>
        <w:t>c)</w:t>
      </w:r>
      <w:r w:rsidRPr="00976C24">
        <w:rPr>
          <w:lang w:val="fr-FR"/>
        </w:rPr>
        <w:tab/>
      </w:r>
      <w:bookmarkStart w:id="34" w:name="_Toc286326364"/>
      <w:r w:rsidRPr="00976C24">
        <w:rPr>
          <w:lang w:val="fr-FR"/>
        </w:rPr>
        <w:t>Droits des homosexuels</w:t>
      </w:r>
      <w:bookmarkEnd w:id="34"/>
    </w:p>
    <w:p w:rsidR="00903547" w:rsidRPr="00976C24" w:rsidRDefault="00903547" w:rsidP="00982FD0">
      <w:pPr>
        <w:pStyle w:val="SingleTxtG"/>
        <w:rPr>
          <w:lang w:val="fr-FR"/>
        </w:rPr>
      </w:pPr>
      <w:r>
        <w:rPr>
          <w:lang w:val="fr-FR"/>
        </w:rPr>
        <w:t>120.</w:t>
      </w:r>
      <w:r>
        <w:rPr>
          <w:lang w:val="fr-FR"/>
        </w:rPr>
        <w:tab/>
      </w:r>
      <w:r w:rsidRPr="00976C24">
        <w:rPr>
          <w:lang w:val="fr-FR"/>
        </w:rPr>
        <w:t xml:space="preserve">Le </w:t>
      </w:r>
      <w:r w:rsidRPr="00B52B8E">
        <w:rPr>
          <w:i/>
          <w:lang w:val="fr-FR"/>
        </w:rPr>
        <w:t>Storting</w:t>
      </w:r>
      <w:r w:rsidRPr="00976C24">
        <w:rPr>
          <w:lang w:val="fr-FR"/>
        </w:rPr>
        <w:t xml:space="preserve"> vient d’adopter une loi commune sur le mariage pour les couples homosexuels et hétérosexuel</w:t>
      </w:r>
      <w:r>
        <w:rPr>
          <w:lang w:val="fr-FR"/>
        </w:rPr>
        <w:t>s</w:t>
      </w:r>
      <w:r w:rsidRPr="00976C24">
        <w:rPr>
          <w:lang w:val="fr-FR"/>
        </w:rPr>
        <w:t xml:space="preserve">. </w:t>
      </w:r>
    </w:p>
    <w:p w:rsidR="00903547" w:rsidRPr="00976C24" w:rsidRDefault="00903547" w:rsidP="00982FD0">
      <w:pPr>
        <w:pStyle w:val="SingleTxtG"/>
        <w:rPr>
          <w:lang w:val="fr-FR"/>
        </w:rPr>
      </w:pPr>
      <w:r>
        <w:rPr>
          <w:lang w:val="fr-FR"/>
        </w:rPr>
        <w:t>121.</w:t>
      </w:r>
      <w:r>
        <w:rPr>
          <w:lang w:val="fr-FR"/>
        </w:rPr>
        <w:tab/>
      </w:r>
      <w:r w:rsidRPr="00976C24">
        <w:rPr>
          <w:lang w:val="fr-FR"/>
        </w:rPr>
        <w:t>Le plan d’action pour l’amélioration de la qualité de vie des LGBT</w:t>
      </w:r>
      <w:r w:rsidRPr="00976C24">
        <w:rPr>
          <w:i/>
          <w:lang w:val="fr-FR"/>
        </w:rPr>
        <w:t xml:space="preserve"> </w:t>
      </w:r>
      <w:r w:rsidRPr="00976C24">
        <w:rPr>
          <w:lang w:val="fr-FR"/>
        </w:rPr>
        <w:t>(2009</w:t>
      </w:r>
      <w:r>
        <w:rPr>
          <w:lang w:val="fr-FR"/>
        </w:rPr>
        <w:t>-</w:t>
      </w:r>
      <w:r w:rsidRPr="00976C24">
        <w:rPr>
          <w:lang w:val="fr-FR"/>
        </w:rPr>
        <w:t xml:space="preserve">2012) </w:t>
      </w:r>
      <w:r>
        <w:rPr>
          <w:lang w:val="fr-FR"/>
        </w:rPr>
        <w:t>vise à</w:t>
      </w:r>
      <w:r w:rsidRPr="00976C24">
        <w:rPr>
          <w:lang w:val="fr-FR"/>
        </w:rPr>
        <w:t xml:space="preserve"> combattre la discrimination </w:t>
      </w:r>
      <w:r>
        <w:rPr>
          <w:lang w:val="fr-FR"/>
        </w:rPr>
        <w:t>dont fait l’objet</w:t>
      </w:r>
      <w:r w:rsidRPr="00976C24">
        <w:rPr>
          <w:lang w:val="fr-FR"/>
        </w:rPr>
        <w:t xml:space="preserve"> nombre</w:t>
      </w:r>
      <w:r>
        <w:rPr>
          <w:lang w:val="fr-FR"/>
        </w:rPr>
        <w:t xml:space="preserve"> d’entre eux</w:t>
      </w:r>
      <w:r w:rsidRPr="00976C24">
        <w:rPr>
          <w:lang w:val="fr-FR"/>
        </w:rPr>
        <w:t xml:space="preserve"> à différents moments de leur vie et dans di</w:t>
      </w:r>
      <w:r>
        <w:rPr>
          <w:lang w:val="fr-FR"/>
        </w:rPr>
        <w:t>verses sphères sociales</w:t>
      </w:r>
      <w:r w:rsidRPr="00976C24">
        <w:rPr>
          <w:lang w:val="fr-FR"/>
        </w:rPr>
        <w:t xml:space="preserve">. L’intégration des perspectives des LGBT dans tous les secteurs de la société est au cœur de la stratégie. Le plan d’action </w:t>
      </w:r>
      <w:r>
        <w:rPr>
          <w:lang w:val="fr-FR"/>
        </w:rPr>
        <w:t>cible</w:t>
      </w:r>
      <w:r w:rsidRPr="00976C24">
        <w:rPr>
          <w:lang w:val="fr-FR"/>
        </w:rPr>
        <w:t xml:space="preserve"> en particulier les groupes exposés </w:t>
      </w:r>
      <w:r>
        <w:rPr>
          <w:lang w:val="fr-FR"/>
        </w:rPr>
        <w:t>aux discriminations multiples</w:t>
      </w:r>
      <w:r w:rsidRPr="00976C24">
        <w:rPr>
          <w:lang w:val="fr-FR"/>
        </w:rPr>
        <w:t xml:space="preserve">. Huit ministères sont concernés et le plan </w:t>
      </w:r>
      <w:r>
        <w:rPr>
          <w:lang w:val="fr-FR"/>
        </w:rPr>
        <w:t>comporte</w:t>
      </w:r>
      <w:r w:rsidRPr="00976C24">
        <w:rPr>
          <w:lang w:val="fr-FR"/>
        </w:rPr>
        <w:t xml:space="preserve"> des </w:t>
      </w:r>
      <w:r>
        <w:rPr>
          <w:lang w:val="fr-FR"/>
        </w:rPr>
        <w:t>recommandations</w:t>
      </w:r>
      <w:r w:rsidRPr="00976C24">
        <w:rPr>
          <w:lang w:val="fr-FR"/>
        </w:rPr>
        <w:t xml:space="preserve"> et </w:t>
      </w:r>
      <w:r>
        <w:rPr>
          <w:lang w:val="fr-FR"/>
        </w:rPr>
        <w:t xml:space="preserve">des </w:t>
      </w:r>
      <w:r w:rsidRPr="00976C24">
        <w:rPr>
          <w:lang w:val="fr-FR"/>
        </w:rPr>
        <w:t xml:space="preserve">calendriers sur la façon de prendre en compte les intérêts des </w:t>
      </w:r>
      <w:r>
        <w:rPr>
          <w:lang w:val="fr-FR"/>
        </w:rPr>
        <w:t>LGBT</w:t>
      </w:r>
      <w:r w:rsidRPr="00976C24">
        <w:rPr>
          <w:lang w:val="fr-FR"/>
        </w:rPr>
        <w:t xml:space="preserve"> dans la politique étrangère, l’éducation</w:t>
      </w:r>
      <w:r>
        <w:rPr>
          <w:lang w:val="fr-FR"/>
        </w:rPr>
        <w:t>, la santé, les questions liées à l’enfance et à la famille</w:t>
      </w:r>
      <w:r w:rsidRPr="00976C24">
        <w:rPr>
          <w:lang w:val="fr-FR"/>
        </w:rPr>
        <w:t xml:space="preserve">, </w:t>
      </w:r>
      <w:r>
        <w:rPr>
          <w:lang w:val="fr-FR"/>
        </w:rPr>
        <w:t>la vie professionnelle, la politique de l’immigration, la police</w:t>
      </w:r>
      <w:r w:rsidRPr="00976C24">
        <w:rPr>
          <w:lang w:val="fr-FR"/>
        </w:rPr>
        <w:t xml:space="preserve"> et l</w:t>
      </w:r>
      <w:r>
        <w:rPr>
          <w:lang w:val="fr-FR"/>
        </w:rPr>
        <w:t>a politique de gestion d</w:t>
      </w:r>
      <w:r w:rsidRPr="00976C24">
        <w:rPr>
          <w:lang w:val="fr-FR"/>
        </w:rPr>
        <w:t>es ressources humaines.</w:t>
      </w:r>
    </w:p>
    <w:p w:rsidR="00903547" w:rsidRPr="00976C24" w:rsidRDefault="00903547" w:rsidP="0071086E">
      <w:pPr>
        <w:pStyle w:val="H23G"/>
        <w:rPr>
          <w:lang w:val="fr-FR"/>
        </w:rPr>
      </w:pPr>
      <w:r w:rsidRPr="00976C24">
        <w:rPr>
          <w:lang w:val="fr-FR"/>
        </w:rPr>
        <w:tab/>
        <w:t>d)</w:t>
      </w:r>
      <w:r w:rsidRPr="00976C24">
        <w:rPr>
          <w:lang w:val="fr-FR"/>
        </w:rPr>
        <w:tab/>
      </w:r>
      <w:bookmarkStart w:id="35" w:name="_Toc286326365"/>
      <w:r w:rsidRPr="00976C24">
        <w:rPr>
          <w:lang w:val="fr-FR"/>
        </w:rPr>
        <w:t>Droits des personnes handicapées</w:t>
      </w:r>
      <w:bookmarkEnd w:id="35"/>
    </w:p>
    <w:p w:rsidR="00903547" w:rsidRPr="00976C24" w:rsidRDefault="00903547" w:rsidP="00982FD0">
      <w:pPr>
        <w:pStyle w:val="SingleTxtG"/>
        <w:rPr>
          <w:lang w:val="fr-FR"/>
        </w:rPr>
      </w:pPr>
      <w:r>
        <w:rPr>
          <w:lang w:val="fr-FR"/>
        </w:rPr>
        <w:t>122.</w:t>
      </w:r>
      <w:r>
        <w:rPr>
          <w:lang w:val="fr-FR"/>
        </w:rPr>
        <w:tab/>
      </w:r>
      <w:r w:rsidRPr="00976C24">
        <w:rPr>
          <w:lang w:val="fr-FR"/>
        </w:rPr>
        <w:t xml:space="preserve">En Norvège, </w:t>
      </w:r>
      <w:r>
        <w:rPr>
          <w:lang w:val="fr-FR"/>
        </w:rPr>
        <w:t>nombre</w:t>
      </w:r>
      <w:r w:rsidRPr="00976C24">
        <w:rPr>
          <w:lang w:val="fr-FR"/>
        </w:rPr>
        <w:t xml:space="preserve"> de personne</w:t>
      </w:r>
      <w:r>
        <w:rPr>
          <w:lang w:val="fr-FR"/>
        </w:rPr>
        <w:t>s</w:t>
      </w:r>
      <w:r w:rsidRPr="00976C24">
        <w:rPr>
          <w:lang w:val="fr-FR"/>
        </w:rPr>
        <w:t xml:space="preserve"> handicapées éprouvent des difficultés et sont exposées à un risque de discrimination.</w:t>
      </w:r>
    </w:p>
    <w:p w:rsidR="00903547" w:rsidRPr="00976C24" w:rsidRDefault="00903547" w:rsidP="00982FD0">
      <w:pPr>
        <w:pStyle w:val="SingleTxtG"/>
        <w:rPr>
          <w:lang w:val="fr-FR"/>
        </w:rPr>
      </w:pPr>
      <w:r>
        <w:rPr>
          <w:lang w:val="fr-FR"/>
        </w:rPr>
        <w:t>123.</w:t>
      </w:r>
      <w:r>
        <w:rPr>
          <w:lang w:val="fr-FR"/>
        </w:rPr>
        <w:tab/>
      </w:r>
      <w:r w:rsidRPr="00976C24">
        <w:rPr>
          <w:lang w:val="fr-FR"/>
        </w:rPr>
        <w:t>Le Comité pourra se reporter au</w:t>
      </w:r>
      <w:r>
        <w:rPr>
          <w:lang w:val="fr-FR"/>
        </w:rPr>
        <w:t xml:space="preserve">x paragraphes 207 à </w:t>
      </w:r>
      <w:r w:rsidRPr="00976C24">
        <w:rPr>
          <w:lang w:val="fr-FR"/>
        </w:rPr>
        <w:t>214</w:t>
      </w:r>
      <w:r>
        <w:rPr>
          <w:lang w:val="fr-FR"/>
        </w:rPr>
        <w:t xml:space="preserve"> du </w:t>
      </w:r>
      <w:r w:rsidRPr="00976C24">
        <w:rPr>
          <w:lang w:val="fr-FR"/>
        </w:rPr>
        <w:t>document de base commun et au</w:t>
      </w:r>
      <w:r>
        <w:rPr>
          <w:lang w:val="fr-FR"/>
        </w:rPr>
        <w:t xml:space="preserve">x paragraphes 244 à </w:t>
      </w:r>
      <w:r w:rsidRPr="00976C24">
        <w:rPr>
          <w:lang w:val="fr-FR"/>
        </w:rPr>
        <w:t>245</w:t>
      </w:r>
      <w:r>
        <w:rPr>
          <w:lang w:val="fr-FR"/>
        </w:rPr>
        <w:t xml:space="preserve"> du </w:t>
      </w:r>
      <w:r w:rsidRPr="00976C24">
        <w:rPr>
          <w:lang w:val="fr-FR"/>
        </w:rPr>
        <w:t>sixième rapport de la Norvège</w:t>
      </w:r>
      <w:r>
        <w:rPr>
          <w:lang w:val="fr-FR"/>
        </w:rPr>
        <w:t xml:space="preserve"> soumis en vertu du Pacte international relatif aux droits civils et politiques</w:t>
      </w:r>
      <w:r w:rsidRPr="00976C24">
        <w:rPr>
          <w:lang w:val="fr-FR"/>
        </w:rPr>
        <w:t xml:space="preserve">. </w:t>
      </w:r>
    </w:p>
    <w:p w:rsidR="00903547" w:rsidRPr="00976C24" w:rsidRDefault="00903547" w:rsidP="00982FD0">
      <w:pPr>
        <w:pStyle w:val="SingleTxtG"/>
        <w:rPr>
          <w:lang w:val="fr-FR"/>
        </w:rPr>
      </w:pPr>
      <w:r>
        <w:rPr>
          <w:lang w:val="fr-FR"/>
        </w:rPr>
        <w:t>124.</w:t>
      </w:r>
      <w:r>
        <w:rPr>
          <w:lang w:val="fr-FR"/>
        </w:rPr>
        <w:tab/>
      </w:r>
      <w:r w:rsidRPr="00976C24">
        <w:rPr>
          <w:lang w:val="fr-FR"/>
        </w:rPr>
        <w:t xml:space="preserve">La loi contre la discrimination et pour l’accessibilité est entrée en vigueur le </w:t>
      </w:r>
      <w:r>
        <w:rPr>
          <w:lang w:val="fr-FR"/>
        </w:rPr>
        <w:t>1</w:t>
      </w:r>
      <w:r w:rsidRPr="00D52E44">
        <w:rPr>
          <w:vertAlign w:val="superscript"/>
          <w:lang w:val="fr-FR"/>
        </w:rPr>
        <w:t>er</w:t>
      </w:r>
      <w:r>
        <w:rPr>
          <w:lang w:val="fr-FR"/>
        </w:rPr>
        <w:t> </w:t>
      </w:r>
      <w:r w:rsidRPr="00976C24">
        <w:rPr>
          <w:lang w:val="fr-FR"/>
        </w:rPr>
        <w:t>janvier 2009. Elle interdit la discrimination fondée sur le handicap et s’applique dans tous les secteurs de la société, comme le marché du travail, le logement, les biens et services. La vie familiale et les relations personnelles n’entrent pas dans le champ d’application de la loi. La discrimination directe et indirecte, le harcèlement et l’incitation à la discrimination à l’égard de personnes handicapées</w:t>
      </w:r>
      <w:r>
        <w:rPr>
          <w:lang w:val="fr-FR"/>
        </w:rPr>
        <w:t xml:space="preserve"> sont proscrits. La loi protège</w:t>
      </w:r>
      <w:r w:rsidRPr="00976C24">
        <w:rPr>
          <w:lang w:val="fr-FR"/>
        </w:rPr>
        <w:t xml:space="preserve"> toute personne intentant une action en justice pour discrimination contre les</w:t>
      </w:r>
      <w:r>
        <w:rPr>
          <w:lang w:val="fr-FR"/>
        </w:rPr>
        <w:t xml:space="preserve"> actes de vengeance</w:t>
      </w:r>
      <w:r w:rsidRPr="00976C24">
        <w:rPr>
          <w:lang w:val="fr-FR"/>
        </w:rPr>
        <w:t xml:space="preserve"> (représailles) dont elle pourrait être l’objet en raison de l’action intentée</w:t>
      </w:r>
      <w:r>
        <w:rPr>
          <w:lang w:val="fr-FR"/>
        </w:rPr>
        <w:t>;</w:t>
      </w:r>
      <w:r w:rsidRPr="00976C24">
        <w:rPr>
          <w:lang w:val="fr-FR"/>
        </w:rPr>
        <w:t xml:space="preserve"> la loi réprime également la complicité de discrimination. Plusieurs mesures ont été mises en œuvre pour sensibiliser et promouvoir le respect de la nouvelle législation. </w:t>
      </w:r>
    </w:p>
    <w:p w:rsidR="00903547" w:rsidRPr="00976C24" w:rsidRDefault="00903547" w:rsidP="00982FD0">
      <w:pPr>
        <w:pStyle w:val="SingleTxtG"/>
        <w:rPr>
          <w:lang w:val="fr-FR"/>
        </w:rPr>
      </w:pPr>
      <w:r>
        <w:rPr>
          <w:lang w:val="fr-FR"/>
        </w:rPr>
        <w:t>125.</w:t>
      </w:r>
      <w:r>
        <w:rPr>
          <w:lang w:val="fr-FR"/>
        </w:rPr>
        <w:tab/>
      </w:r>
      <w:r w:rsidRPr="00976C24">
        <w:rPr>
          <w:lang w:val="fr-FR"/>
        </w:rPr>
        <w:t>L</w:t>
      </w:r>
      <w:r>
        <w:rPr>
          <w:lang w:val="fr-FR"/>
        </w:rPr>
        <w:t>e</w:t>
      </w:r>
      <w:r w:rsidRPr="00976C24">
        <w:rPr>
          <w:i/>
          <w:lang w:val="fr-FR"/>
        </w:rPr>
        <w:t xml:space="preserve"> </w:t>
      </w:r>
      <w:r w:rsidRPr="00976C24">
        <w:rPr>
          <w:lang w:val="fr-FR"/>
        </w:rPr>
        <w:t>plan d’action pour la conception universelle et l’amélioration de l’accessibilité (2009</w:t>
      </w:r>
      <w:r>
        <w:rPr>
          <w:lang w:val="fr-FR"/>
        </w:rPr>
        <w:t>-</w:t>
      </w:r>
      <w:r w:rsidRPr="00976C24">
        <w:rPr>
          <w:lang w:val="fr-FR"/>
        </w:rPr>
        <w:t xml:space="preserve">2013) </w:t>
      </w:r>
      <w:r>
        <w:rPr>
          <w:lang w:val="fr-FR"/>
        </w:rPr>
        <w:t xml:space="preserve">vise à </w:t>
      </w:r>
      <w:r w:rsidRPr="00976C24">
        <w:rPr>
          <w:lang w:val="fr-FR"/>
        </w:rPr>
        <w:t>améliorer l’accessibilité des personnes handicapées d’ici à 2025 et touchera la plupart des secteurs de la société. Le</w:t>
      </w:r>
      <w:r>
        <w:rPr>
          <w:lang w:val="fr-FR"/>
        </w:rPr>
        <w:t>s autorités</w:t>
      </w:r>
      <w:r w:rsidRPr="00976C24">
        <w:rPr>
          <w:lang w:val="fr-FR"/>
        </w:rPr>
        <w:t xml:space="preserve"> privilégie</w:t>
      </w:r>
      <w:r>
        <w:rPr>
          <w:lang w:val="fr-FR"/>
        </w:rPr>
        <w:t>nt</w:t>
      </w:r>
      <w:r w:rsidRPr="00976C24">
        <w:rPr>
          <w:lang w:val="fr-FR"/>
        </w:rPr>
        <w:t xml:space="preserve"> quatre domaines</w:t>
      </w:r>
      <w:r>
        <w:rPr>
          <w:lang w:val="fr-FR"/>
        </w:rPr>
        <w:t>:</w:t>
      </w:r>
      <w:r w:rsidRPr="00976C24">
        <w:rPr>
          <w:lang w:val="fr-FR"/>
        </w:rPr>
        <w:t xml:space="preserve"> espaces extérieurs, </w:t>
      </w:r>
      <w:r>
        <w:rPr>
          <w:lang w:val="fr-FR"/>
        </w:rPr>
        <w:t>immeubles</w:t>
      </w:r>
      <w:r w:rsidRPr="00976C24">
        <w:rPr>
          <w:lang w:val="fr-FR"/>
        </w:rPr>
        <w:t xml:space="preserve">, transports et TIC. </w:t>
      </w:r>
      <w:r>
        <w:rPr>
          <w:lang w:val="fr-FR"/>
        </w:rPr>
        <w:t>Accroître le taux</w:t>
      </w:r>
      <w:r w:rsidRPr="00976C24">
        <w:rPr>
          <w:lang w:val="fr-FR"/>
        </w:rPr>
        <w:t xml:space="preserve"> d’emploi des personnes handicapées est une </w:t>
      </w:r>
      <w:r>
        <w:rPr>
          <w:lang w:val="fr-FR"/>
        </w:rPr>
        <w:t>perspective</w:t>
      </w:r>
      <w:r w:rsidRPr="00976C24">
        <w:rPr>
          <w:lang w:val="fr-FR"/>
        </w:rPr>
        <w:t xml:space="preserve"> intersector</w:t>
      </w:r>
      <w:r>
        <w:rPr>
          <w:lang w:val="fr-FR"/>
        </w:rPr>
        <w:t>ielle adoptée dans toutes les mesures du p</w:t>
      </w:r>
      <w:r w:rsidRPr="00976C24">
        <w:rPr>
          <w:lang w:val="fr-FR"/>
        </w:rPr>
        <w:t>lan</w:t>
      </w:r>
      <w:r>
        <w:rPr>
          <w:lang w:val="fr-FR"/>
        </w:rPr>
        <w:t xml:space="preserve"> qui sera révisé chaque année;</w:t>
      </w:r>
      <w:r w:rsidRPr="00976C24">
        <w:rPr>
          <w:lang w:val="fr-FR"/>
        </w:rPr>
        <w:t xml:space="preserve"> un projet a été lancé pour élaborer des indicateurs propres à mesurer les progrès réalisés au fil du temps.</w:t>
      </w:r>
    </w:p>
    <w:p w:rsidR="00903547" w:rsidRPr="00976C24" w:rsidRDefault="00903547" w:rsidP="00982FD0">
      <w:pPr>
        <w:pStyle w:val="SingleTxtG"/>
        <w:rPr>
          <w:lang w:val="fr-FR"/>
        </w:rPr>
      </w:pPr>
      <w:r>
        <w:rPr>
          <w:lang w:val="fr-FR"/>
        </w:rPr>
        <w:t>126.</w:t>
      </w:r>
      <w:r>
        <w:rPr>
          <w:lang w:val="fr-FR"/>
        </w:rPr>
        <w:tab/>
      </w:r>
      <w:r w:rsidRPr="00976C24">
        <w:rPr>
          <w:lang w:val="fr-FR"/>
        </w:rPr>
        <w:t xml:space="preserve">Les travaux sont coordonnés par un comité directeur constitué de représentants des ministères compétents. Les aspects pratiques sont </w:t>
      </w:r>
      <w:r>
        <w:rPr>
          <w:lang w:val="fr-FR"/>
        </w:rPr>
        <w:t>organisés</w:t>
      </w:r>
      <w:r w:rsidRPr="00976C24">
        <w:rPr>
          <w:lang w:val="fr-FR"/>
        </w:rPr>
        <w:t xml:space="preserve"> par un forum en réseau dirigé par le Centre Delta (Centre national de </w:t>
      </w:r>
      <w:r>
        <w:rPr>
          <w:lang w:val="fr-FR"/>
        </w:rPr>
        <w:t>documentation</w:t>
      </w:r>
      <w:r w:rsidRPr="00976C24">
        <w:rPr>
          <w:lang w:val="fr-FR"/>
        </w:rPr>
        <w:t xml:space="preserve"> pour la participation et l’accessibilité des personnes handicapées), avec la participation de directions</w:t>
      </w:r>
      <w:r>
        <w:rPr>
          <w:lang w:val="fr-FR"/>
        </w:rPr>
        <w:t xml:space="preserve"> administratives</w:t>
      </w:r>
      <w:r w:rsidRPr="00976C24">
        <w:rPr>
          <w:lang w:val="fr-FR"/>
        </w:rPr>
        <w:t xml:space="preserve">, de ministères, d’associations de consommateurs et d’institutions professionnelles. Les indicateurs sont élaborés par les ministères et s’appliquent aux </w:t>
      </w:r>
      <w:r>
        <w:rPr>
          <w:lang w:val="fr-FR"/>
        </w:rPr>
        <w:t>immeubles</w:t>
      </w:r>
      <w:r w:rsidRPr="00976C24">
        <w:rPr>
          <w:lang w:val="fr-FR"/>
        </w:rPr>
        <w:t xml:space="preserve"> et aux équipements, aux espaces extérieurs, aux transports et aux TIC.</w:t>
      </w:r>
    </w:p>
    <w:p w:rsidR="00903547" w:rsidRPr="00976C24" w:rsidRDefault="00903547" w:rsidP="00982FD0">
      <w:pPr>
        <w:pStyle w:val="SingleTxtG"/>
        <w:rPr>
          <w:lang w:val="fr-FR"/>
        </w:rPr>
      </w:pPr>
      <w:r>
        <w:rPr>
          <w:lang w:val="fr-FR"/>
        </w:rPr>
        <w:t>127.</w:t>
      </w:r>
      <w:r>
        <w:rPr>
          <w:lang w:val="fr-FR"/>
        </w:rPr>
        <w:tab/>
      </w:r>
      <w:r w:rsidRPr="00976C24">
        <w:rPr>
          <w:lang w:val="fr-FR"/>
        </w:rPr>
        <w:t>La Norvège a signé la Convention relative aux droits des personnes handicapées en 2007.</w:t>
      </w:r>
    </w:p>
    <w:p w:rsidR="00903547" w:rsidRPr="00976C24" w:rsidRDefault="00903547" w:rsidP="0071086E">
      <w:pPr>
        <w:pStyle w:val="H23G"/>
        <w:rPr>
          <w:lang w:val="fr-FR"/>
        </w:rPr>
      </w:pPr>
      <w:r w:rsidRPr="00976C24">
        <w:rPr>
          <w:lang w:val="fr-FR"/>
        </w:rPr>
        <w:tab/>
        <w:t>e)</w:t>
      </w:r>
      <w:r w:rsidRPr="00976C24">
        <w:rPr>
          <w:lang w:val="fr-FR"/>
        </w:rPr>
        <w:tab/>
      </w:r>
      <w:bookmarkStart w:id="36" w:name="_Toc286326366"/>
      <w:r w:rsidRPr="00976C24">
        <w:rPr>
          <w:lang w:val="fr-FR"/>
        </w:rPr>
        <w:t>Discrimination fondée sur la situation socioéconomique</w:t>
      </w:r>
      <w:bookmarkEnd w:id="36"/>
    </w:p>
    <w:p w:rsidR="00903547" w:rsidRPr="00976C24" w:rsidRDefault="00903547" w:rsidP="00982FD0">
      <w:pPr>
        <w:pStyle w:val="SingleTxtG"/>
        <w:rPr>
          <w:i/>
          <w:lang w:val="fr-FR"/>
        </w:rPr>
      </w:pPr>
      <w:r>
        <w:rPr>
          <w:lang w:val="fr-FR"/>
        </w:rPr>
        <w:t>128.</w:t>
      </w:r>
      <w:r>
        <w:rPr>
          <w:lang w:val="fr-FR"/>
        </w:rPr>
        <w:tab/>
      </w:r>
      <w:r w:rsidRPr="00976C24">
        <w:rPr>
          <w:lang w:val="fr-FR"/>
        </w:rPr>
        <w:t>Le Bureau norvégien de statistique produit des estimations de la pauvreté et évalue ses prévisions et con</w:t>
      </w:r>
      <w:r>
        <w:rPr>
          <w:lang w:val="fr-FR"/>
        </w:rPr>
        <w:t>clusions</w:t>
      </w:r>
      <w:r w:rsidRPr="00976C24">
        <w:rPr>
          <w:lang w:val="fr-FR"/>
        </w:rPr>
        <w:t xml:space="preserve"> (</w:t>
      </w:r>
      <w:hyperlink r:id="rId8" w:history="1">
        <w:r w:rsidRPr="00976C24">
          <w:rPr>
            <w:rStyle w:val="Hyperlink"/>
            <w:lang w:val="fr-FR"/>
          </w:rPr>
          <w:t>www.ssb.no</w:t>
        </w:r>
      </w:hyperlink>
      <w:r w:rsidRPr="00976C24">
        <w:rPr>
          <w:lang w:val="fr-FR"/>
        </w:rPr>
        <w:t xml:space="preserve">). Le Comité pourra se reporter à la réponse du Gouvernement </w:t>
      </w:r>
      <w:r>
        <w:rPr>
          <w:lang w:val="fr-FR"/>
        </w:rPr>
        <w:t>figurant dans le</w:t>
      </w:r>
      <w:r w:rsidRPr="00976C24">
        <w:rPr>
          <w:lang w:val="fr-FR"/>
        </w:rPr>
        <w:t xml:space="preserve"> présent rapport</w:t>
      </w:r>
      <w:r>
        <w:rPr>
          <w:lang w:val="fr-FR"/>
        </w:rPr>
        <w:t xml:space="preserve"> relative aux</w:t>
      </w:r>
      <w:r w:rsidRPr="00976C24">
        <w:rPr>
          <w:lang w:val="fr-FR"/>
        </w:rPr>
        <w:t xml:space="preserve"> mesures </w:t>
      </w:r>
      <w:r>
        <w:rPr>
          <w:lang w:val="fr-FR"/>
        </w:rPr>
        <w:t>spécifiques</w:t>
      </w:r>
      <w:r w:rsidRPr="00976C24">
        <w:rPr>
          <w:lang w:val="fr-FR"/>
        </w:rPr>
        <w:t xml:space="preserve"> prises pour prévenir la discrimination fondée s</w:t>
      </w:r>
      <w:r>
        <w:rPr>
          <w:lang w:val="fr-FR"/>
        </w:rPr>
        <w:t>ur la situation socioéconomique</w:t>
      </w:r>
      <w:r w:rsidRPr="00976C24">
        <w:rPr>
          <w:lang w:val="fr-FR"/>
        </w:rPr>
        <w:t xml:space="preserve"> </w:t>
      </w:r>
      <w:r>
        <w:rPr>
          <w:lang w:val="fr-FR"/>
        </w:rPr>
        <w:t>en ce qui concerne l’</w:t>
      </w:r>
      <w:r w:rsidRPr="00976C24">
        <w:rPr>
          <w:lang w:val="fr-FR"/>
        </w:rPr>
        <w:t>acc</w:t>
      </w:r>
      <w:r>
        <w:rPr>
          <w:lang w:val="fr-FR"/>
        </w:rPr>
        <w:t>ès au marché du travail (art. </w:t>
      </w:r>
      <w:r w:rsidRPr="00976C24">
        <w:rPr>
          <w:lang w:val="fr-FR"/>
        </w:rPr>
        <w:t xml:space="preserve">6), </w:t>
      </w:r>
      <w:r>
        <w:rPr>
          <w:lang w:val="fr-FR"/>
        </w:rPr>
        <w:t>l</w:t>
      </w:r>
      <w:r w:rsidRPr="00976C24">
        <w:rPr>
          <w:lang w:val="fr-FR"/>
        </w:rPr>
        <w:t>’a</w:t>
      </w:r>
      <w:r>
        <w:rPr>
          <w:lang w:val="fr-FR"/>
        </w:rPr>
        <w:t>ccès aux soins de santé (art. </w:t>
      </w:r>
      <w:r w:rsidRPr="00976C24">
        <w:rPr>
          <w:lang w:val="fr-FR"/>
        </w:rPr>
        <w:t xml:space="preserve">12), </w:t>
      </w:r>
      <w:r>
        <w:rPr>
          <w:lang w:val="fr-FR"/>
        </w:rPr>
        <w:t>l</w:t>
      </w:r>
      <w:r w:rsidRPr="00976C24">
        <w:rPr>
          <w:lang w:val="fr-FR"/>
        </w:rPr>
        <w:t>e logement (art</w:t>
      </w:r>
      <w:r>
        <w:rPr>
          <w:lang w:val="fr-FR"/>
        </w:rPr>
        <w:t>. </w:t>
      </w:r>
      <w:r w:rsidRPr="00976C24">
        <w:rPr>
          <w:lang w:val="fr-FR"/>
        </w:rPr>
        <w:t xml:space="preserve">11) et </w:t>
      </w:r>
      <w:r>
        <w:rPr>
          <w:lang w:val="fr-FR"/>
        </w:rPr>
        <w:t>la</w:t>
      </w:r>
      <w:r w:rsidRPr="00976C24">
        <w:rPr>
          <w:lang w:val="fr-FR"/>
        </w:rPr>
        <w:t xml:space="preserve"> culture (art</w:t>
      </w:r>
      <w:r>
        <w:rPr>
          <w:lang w:val="fr-FR"/>
        </w:rPr>
        <w:t>. </w:t>
      </w:r>
      <w:r w:rsidRPr="00976C24">
        <w:rPr>
          <w:lang w:val="fr-FR"/>
        </w:rPr>
        <w:t>15).</w:t>
      </w:r>
    </w:p>
    <w:p w:rsidR="00903547" w:rsidRPr="00976C24" w:rsidRDefault="00903547" w:rsidP="0071086E">
      <w:pPr>
        <w:pStyle w:val="H23G"/>
        <w:rPr>
          <w:bCs/>
          <w:iCs/>
          <w:lang w:val="fr-FR"/>
        </w:rPr>
      </w:pPr>
      <w:r w:rsidRPr="00976C24">
        <w:rPr>
          <w:bCs/>
          <w:i/>
          <w:iCs/>
          <w:lang w:val="fr-FR"/>
        </w:rPr>
        <w:tab/>
      </w:r>
      <w:r w:rsidRPr="00976C24">
        <w:rPr>
          <w:bCs/>
          <w:iCs/>
          <w:lang w:val="fr-FR"/>
        </w:rPr>
        <w:t>4.</w:t>
      </w:r>
      <w:r w:rsidRPr="00976C24">
        <w:rPr>
          <w:bCs/>
          <w:iCs/>
          <w:lang w:val="fr-FR"/>
        </w:rPr>
        <w:tab/>
        <w:t>Si l’</w:t>
      </w:r>
      <w:r>
        <w:rPr>
          <w:bCs/>
          <w:iCs/>
          <w:lang w:val="fr-FR"/>
        </w:rPr>
        <w:t>État</w:t>
      </w:r>
      <w:r w:rsidRPr="00976C24">
        <w:rPr>
          <w:bCs/>
          <w:iCs/>
          <w:lang w:val="fr-FR"/>
        </w:rPr>
        <w:t xml:space="preserve"> partie est un pays en développement, fournir des informations sur toute restriction imposée </w:t>
      </w:r>
      <w:r>
        <w:rPr>
          <w:bCs/>
          <w:iCs/>
          <w:lang w:val="fr-FR"/>
        </w:rPr>
        <w:t>en vertu du</w:t>
      </w:r>
      <w:r w:rsidRPr="00976C24">
        <w:rPr>
          <w:bCs/>
          <w:iCs/>
          <w:lang w:val="fr-FR"/>
        </w:rPr>
        <w:t xml:space="preserve"> paragraphe 3 de l’article 2 du Pacte à l’exercice par des non-ressortissants des droits économiques </w:t>
      </w:r>
      <w:r w:rsidRPr="00635455">
        <w:rPr>
          <w:bCs/>
          <w:iCs/>
          <w:lang w:val="fr-FR"/>
        </w:rPr>
        <w:t>reconnus dans le Pacte</w:t>
      </w:r>
      <w:r w:rsidRPr="00976C24">
        <w:rPr>
          <w:bCs/>
          <w:iCs/>
          <w:lang w:val="fr-FR"/>
        </w:rPr>
        <w:t xml:space="preserve"> (</w:t>
      </w:r>
      <w:r w:rsidRPr="00976C24">
        <w:rPr>
          <w:lang w:val="fr-FR"/>
        </w:rPr>
        <w:t>E/2009/22-E/C.12/2008/3, annexe VIII, par.</w:t>
      </w:r>
      <w:r>
        <w:rPr>
          <w:lang w:val="fr-FR"/>
        </w:rPr>
        <w:t> </w:t>
      </w:r>
      <w:r w:rsidRPr="00976C24">
        <w:rPr>
          <w:lang w:val="fr-FR"/>
        </w:rPr>
        <w:t>11)</w:t>
      </w:r>
      <w:r w:rsidRPr="00976C24">
        <w:rPr>
          <w:bCs/>
          <w:iCs/>
          <w:lang w:val="fr-FR"/>
        </w:rPr>
        <w:t xml:space="preserve"> </w:t>
      </w:r>
    </w:p>
    <w:p w:rsidR="00903547" w:rsidRPr="00976C24" w:rsidRDefault="00903547" w:rsidP="00982FD0">
      <w:pPr>
        <w:pStyle w:val="SingleTxtG"/>
        <w:rPr>
          <w:lang w:val="fr-FR"/>
        </w:rPr>
      </w:pPr>
      <w:r>
        <w:rPr>
          <w:lang w:val="fr-FR"/>
        </w:rPr>
        <w:t>129.</w:t>
      </w:r>
      <w:r>
        <w:rPr>
          <w:lang w:val="fr-FR"/>
        </w:rPr>
        <w:tab/>
        <w:t>Sans objet</w:t>
      </w:r>
      <w:r w:rsidRPr="00976C24">
        <w:rPr>
          <w:lang w:val="fr-FR"/>
        </w:rPr>
        <w:t>.</w:t>
      </w:r>
    </w:p>
    <w:p w:rsidR="00903547" w:rsidRPr="00976C24" w:rsidRDefault="00903547" w:rsidP="0071086E">
      <w:pPr>
        <w:pStyle w:val="H1G"/>
        <w:rPr>
          <w:lang w:val="fr-FR"/>
        </w:rPr>
      </w:pPr>
      <w:bookmarkStart w:id="37" w:name="_Toc239660514"/>
      <w:bookmarkStart w:id="38" w:name="_Toc265062220"/>
      <w:r w:rsidRPr="00976C24">
        <w:rPr>
          <w:lang w:val="fr-FR"/>
        </w:rPr>
        <w:tab/>
      </w:r>
      <w:r w:rsidRPr="00976C24">
        <w:rPr>
          <w:lang w:val="fr-FR"/>
        </w:rPr>
        <w:tab/>
      </w:r>
      <w:bookmarkStart w:id="39" w:name="_Toc286326367"/>
      <w:r w:rsidRPr="00976C24">
        <w:rPr>
          <w:lang w:val="fr-FR"/>
        </w:rPr>
        <w:t>Article 3</w:t>
      </w:r>
      <w:bookmarkStart w:id="40" w:name="_Toc239660515"/>
      <w:bookmarkEnd w:id="37"/>
      <w:r>
        <w:rPr>
          <w:lang w:val="fr-FR"/>
        </w:rPr>
        <w:br/>
        <w:t>Égalité</w:t>
      </w:r>
      <w:r w:rsidRPr="00976C24">
        <w:rPr>
          <w:lang w:val="fr-FR"/>
        </w:rPr>
        <w:t xml:space="preserve"> des sexes</w:t>
      </w:r>
      <w:bookmarkEnd w:id="38"/>
      <w:bookmarkEnd w:id="39"/>
    </w:p>
    <w:p w:rsidR="00903547" w:rsidRPr="00976C24" w:rsidRDefault="00903547" w:rsidP="0071086E">
      <w:pPr>
        <w:pStyle w:val="H23G"/>
        <w:rPr>
          <w:bCs/>
          <w:iCs/>
          <w:lang w:val="fr-FR"/>
        </w:rPr>
      </w:pPr>
      <w:r w:rsidRPr="00976C24">
        <w:rPr>
          <w:bCs/>
          <w:i/>
          <w:iCs/>
          <w:lang w:val="fr-FR"/>
        </w:rPr>
        <w:tab/>
      </w:r>
      <w:r w:rsidRPr="00976C24">
        <w:rPr>
          <w:bCs/>
          <w:iCs/>
          <w:lang w:val="fr-FR"/>
        </w:rPr>
        <w:t>1.</w:t>
      </w:r>
      <w:r w:rsidRPr="00976C24">
        <w:rPr>
          <w:bCs/>
          <w:iCs/>
          <w:lang w:val="fr-FR"/>
        </w:rPr>
        <w:tab/>
      </w:r>
      <w:r>
        <w:rPr>
          <w:bCs/>
          <w:iCs/>
          <w:lang w:val="fr-FR"/>
        </w:rPr>
        <w:t>M</w:t>
      </w:r>
      <w:r w:rsidRPr="00976C24">
        <w:rPr>
          <w:bCs/>
          <w:iCs/>
          <w:lang w:val="fr-FR"/>
        </w:rPr>
        <w:t xml:space="preserve">esures prises pour éliminer la discrimination directe et indirecte fondée sur le sexe en ce qui concerne chacun des droits </w:t>
      </w:r>
      <w:r w:rsidRPr="00635455">
        <w:rPr>
          <w:bCs/>
          <w:iCs/>
          <w:lang w:val="fr-FR"/>
        </w:rPr>
        <w:t>reconnus dans le Pacte</w:t>
      </w:r>
      <w:r w:rsidRPr="00976C24">
        <w:rPr>
          <w:bCs/>
          <w:iCs/>
          <w:lang w:val="fr-FR"/>
        </w:rPr>
        <w:t xml:space="preserve"> et pour faire en sorte que les hommes et les femmes exercent ces droits dans des conditions d’égalité, en droit comme dans les faits (</w:t>
      </w:r>
      <w:r w:rsidRPr="00976C24">
        <w:rPr>
          <w:lang w:val="fr-FR"/>
        </w:rPr>
        <w:t>E/2009/22-E/C.12/2008/3, annexe VIII, par.</w:t>
      </w:r>
      <w:r>
        <w:rPr>
          <w:lang w:val="fr-FR"/>
        </w:rPr>
        <w:t> </w:t>
      </w:r>
      <w:r w:rsidRPr="00976C24">
        <w:rPr>
          <w:lang w:val="fr-FR"/>
        </w:rPr>
        <w:t>12)</w:t>
      </w:r>
    </w:p>
    <w:p w:rsidR="00903547" w:rsidRPr="00976C24" w:rsidRDefault="00903547" w:rsidP="00982FD0">
      <w:pPr>
        <w:pStyle w:val="SingleTxtG"/>
        <w:rPr>
          <w:lang w:val="fr-FR"/>
        </w:rPr>
      </w:pPr>
      <w:r>
        <w:rPr>
          <w:lang w:val="fr-FR"/>
        </w:rPr>
        <w:t>130.</w:t>
      </w:r>
      <w:r>
        <w:rPr>
          <w:lang w:val="fr-FR"/>
        </w:rPr>
        <w:tab/>
      </w:r>
      <w:r w:rsidRPr="00976C24">
        <w:rPr>
          <w:lang w:val="fr-FR"/>
        </w:rPr>
        <w:t>Depuis la fin des années</w:t>
      </w:r>
      <w:r>
        <w:rPr>
          <w:lang w:val="fr-FR"/>
        </w:rPr>
        <w:t> </w:t>
      </w:r>
      <w:r w:rsidRPr="00976C24">
        <w:rPr>
          <w:lang w:val="fr-FR"/>
        </w:rPr>
        <w:t xml:space="preserve">80, la Norvège met en œuvre des programmes </w:t>
      </w:r>
      <w:r>
        <w:rPr>
          <w:lang w:val="fr-FR"/>
        </w:rPr>
        <w:t>en faveur de</w:t>
      </w:r>
      <w:r w:rsidRPr="00976C24">
        <w:rPr>
          <w:lang w:val="fr-FR"/>
        </w:rPr>
        <w:t xml:space="preserve"> l</w:t>
      </w:r>
      <w:r>
        <w:rPr>
          <w:lang w:val="fr-FR"/>
        </w:rPr>
        <w:t>a prise en compte</w:t>
      </w:r>
      <w:r w:rsidRPr="00976C24">
        <w:rPr>
          <w:lang w:val="fr-FR"/>
        </w:rPr>
        <w:t xml:space="preserve"> de l’égalité des sexes dans tous les </w:t>
      </w:r>
      <w:r>
        <w:rPr>
          <w:lang w:val="fr-FR"/>
        </w:rPr>
        <w:t>domaines</w:t>
      </w:r>
      <w:r w:rsidRPr="00976C24">
        <w:rPr>
          <w:lang w:val="fr-FR"/>
        </w:rPr>
        <w:t xml:space="preserve"> d</w:t>
      </w:r>
      <w:r>
        <w:rPr>
          <w:lang w:val="fr-FR"/>
        </w:rPr>
        <w:t>’action des pouvoirs publics</w:t>
      </w:r>
      <w:r w:rsidRPr="00976C24">
        <w:rPr>
          <w:lang w:val="fr-FR"/>
        </w:rPr>
        <w:t xml:space="preserve">. La Norvège </w:t>
      </w:r>
      <w:r>
        <w:rPr>
          <w:lang w:val="fr-FR"/>
        </w:rPr>
        <w:t>suit</w:t>
      </w:r>
      <w:r w:rsidRPr="00976C24">
        <w:rPr>
          <w:lang w:val="fr-FR"/>
        </w:rPr>
        <w:t xml:space="preserve"> la recommandation de la quatrième Conférence mondiale sur les femmes, tenue à Beijing en 1995</w:t>
      </w:r>
      <w:r>
        <w:rPr>
          <w:lang w:val="fr-FR"/>
        </w:rPr>
        <w:t>,</w:t>
      </w:r>
      <w:r w:rsidRPr="00976C24">
        <w:rPr>
          <w:lang w:val="fr-FR"/>
        </w:rPr>
        <w:t xml:space="preserve"> </w:t>
      </w:r>
      <w:r>
        <w:rPr>
          <w:lang w:val="fr-FR"/>
        </w:rPr>
        <w:t>qui avait préconisé d’intégrer</w:t>
      </w:r>
      <w:r w:rsidRPr="00976C24">
        <w:rPr>
          <w:lang w:val="fr-FR"/>
        </w:rPr>
        <w:t xml:space="preserve"> la notion d’égalité des sexes dans la plupart des domaines et secteurs, </w:t>
      </w:r>
      <w:r>
        <w:rPr>
          <w:lang w:val="fr-FR"/>
        </w:rPr>
        <w:t>au moyen de</w:t>
      </w:r>
      <w:r w:rsidRPr="00976C24">
        <w:rPr>
          <w:lang w:val="fr-FR"/>
        </w:rPr>
        <w:t xml:space="preserve"> politiques </w:t>
      </w:r>
      <w:r>
        <w:rPr>
          <w:lang w:val="fr-FR"/>
        </w:rPr>
        <w:t xml:space="preserve">et mesures </w:t>
      </w:r>
      <w:r w:rsidRPr="00976C24">
        <w:rPr>
          <w:lang w:val="fr-FR"/>
        </w:rPr>
        <w:t xml:space="preserve">ciblées. </w:t>
      </w:r>
    </w:p>
    <w:p w:rsidR="00903547" w:rsidRPr="00976C24" w:rsidRDefault="00903547" w:rsidP="00982FD0">
      <w:pPr>
        <w:pStyle w:val="SingleTxtG"/>
        <w:rPr>
          <w:spacing w:val="-2"/>
          <w:lang w:val="fr-FR"/>
        </w:rPr>
      </w:pPr>
      <w:r>
        <w:rPr>
          <w:spacing w:val="-2"/>
          <w:lang w:val="fr-FR"/>
        </w:rPr>
        <w:t>131.</w:t>
      </w:r>
      <w:r>
        <w:rPr>
          <w:spacing w:val="-2"/>
          <w:lang w:val="fr-FR"/>
        </w:rPr>
        <w:tab/>
      </w:r>
      <w:r w:rsidRPr="00976C24">
        <w:rPr>
          <w:spacing w:val="-2"/>
          <w:lang w:val="fr-FR"/>
        </w:rPr>
        <w:t>C</w:t>
      </w:r>
      <w:r>
        <w:rPr>
          <w:spacing w:val="-2"/>
          <w:lang w:val="fr-FR"/>
        </w:rPr>
        <w:t>haque ministère est responsable</w:t>
      </w:r>
      <w:r w:rsidRPr="00976C24">
        <w:rPr>
          <w:spacing w:val="-2"/>
          <w:lang w:val="fr-FR"/>
        </w:rPr>
        <w:t xml:space="preserve"> de questions </w:t>
      </w:r>
      <w:r>
        <w:rPr>
          <w:spacing w:val="-2"/>
          <w:lang w:val="fr-FR"/>
        </w:rPr>
        <w:t>liées</w:t>
      </w:r>
      <w:r w:rsidRPr="00976C24">
        <w:rPr>
          <w:spacing w:val="-2"/>
          <w:lang w:val="fr-FR"/>
        </w:rPr>
        <w:t xml:space="preserve"> à l’égalité des sexes </w:t>
      </w:r>
      <w:r>
        <w:rPr>
          <w:spacing w:val="-2"/>
          <w:lang w:val="fr-FR"/>
        </w:rPr>
        <w:t>selon</w:t>
      </w:r>
      <w:r w:rsidRPr="00976C24">
        <w:rPr>
          <w:spacing w:val="-2"/>
          <w:lang w:val="fr-FR"/>
        </w:rPr>
        <w:t xml:space="preserve"> son propre domaine de compétence. En 2005, la principale circulaire relative au budget du Ministère des finances </w:t>
      </w:r>
      <w:r>
        <w:rPr>
          <w:spacing w:val="-2"/>
          <w:lang w:val="fr-FR"/>
        </w:rPr>
        <w:t>a offert aux</w:t>
      </w:r>
      <w:r w:rsidRPr="00976C24">
        <w:rPr>
          <w:spacing w:val="-2"/>
          <w:lang w:val="fr-FR"/>
        </w:rPr>
        <w:t xml:space="preserve"> ministère </w:t>
      </w:r>
      <w:r>
        <w:rPr>
          <w:spacing w:val="-2"/>
          <w:lang w:val="fr-FR"/>
        </w:rPr>
        <w:t xml:space="preserve">la possibilité </w:t>
      </w:r>
      <w:r w:rsidRPr="00976C24">
        <w:rPr>
          <w:spacing w:val="-2"/>
          <w:lang w:val="fr-FR"/>
        </w:rPr>
        <w:t>d’effectuer une évaluation de l’égalité des sexes dans leurs domaines budgétaires propres. Il appartient à cha</w:t>
      </w:r>
      <w:r>
        <w:rPr>
          <w:spacing w:val="-2"/>
          <w:lang w:val="fr-FR"/>
        </w:rPr>
        <w:t>cun</w:t>
      </w:r>
      <w:r w:rsidRPr="00976C24">
        <w:rPr>
          <w:spacing w:val="-2"/>
          <w:lang w:val="fr-FR"/>
        </w:rPr>
        <w:t xml:space="preserve"> de dé</w:t>
      </w:r>
      <w:r>
        <w:rPr>
          <w:spacing w:val="-2"/>
          <w:lang w:val="fr-FR"/>
        </w:rPr>
        <w:t>terminer les</w:t>
      </w:r>
      <w:r w:rsidRPr="00976C24">
        <w:rPr>
          <w:spacing w:val="-2"/>
          <w:lang w:val="fr-FR"/>
        </w:rPr>
        <w:t xml:space="preserve"> secteurs de la politique </w:t>
      </w:r>
      <w:r>
        <w:rPr>
          <w:spacing w:val="-2"/>
          <w:lang w:val="fr-FR"/>
        </w:rPr>
        <w:t xml:space="preserve">qui devraient </w:t>
      </w:r>
      <w:r w:rsidRPr="00976C24">
        <w:rPr>
          <w:spacing w:val="-2"/>
          <w:lang w:val="fr-FR"/>
        </w:rPr>
        <w:t xml:space="preserve">faire l’objet d’une analyse et </w:t>
      </w:r>
      <w:r>
        <w:rPr>
          <w:spacing w:val="-2"/>
          <w:lang w:val="fr-FR"/>
        </w:rPr>
        <w:t>d’intégrer cette analyse</w:t>
      </w:r>
      <w:r w:rsidRPr="00976C24">
        <w:rPr>
          <w:spacing w:val="-2"/>
          <w:lang w:val="fr-FR"/>
        </w:rPr>
        <w:t xml:space="preserve"> dans leurs propositions budgétaires. </w:t>
      </w:r>
      <w:r>
        <w:rPr>
          <w:spacing w:val="-2"/>
          <w:lang w:val="fr-FR"/>
        </w:rPr>
        <w:t>Il s’agit</w:t>
      </w:r>
      <w:r w:rsidRPr="00976C24">
        <w:rPr>
          <w:spacing w:val="-2"/>
          <w:lang w:val="fr-FR"/>
        </w:rPr>
        <w:t xml:space="preserve"> d’examiner l</w:t>
      </w:r>
      <w:r>
        <w:rPr>
          <w:spacing w:val="-2"/>
          <w:lang w:val="fr-FR"/>
        </w:rPr>
        <w:t>’incidence de</w:t>
      </w:r>
      <w:r w:rsidRPr="00976C24">
        <w:rPr>
          <w:spacing w:val="-2"/>
          <w:lang w:val="fr-FR"/>
        </w:rPr>
        <w:t xml:space="preserve"> diverses décisions politiques sur les femmes, les hommes, les filles et les garçons.</w:t>
      </w:r>
    </w:p>
    <w:p w:rsidR="00903547" w:rsidRPr="00976C24" w:rsidRDefault="00903547" w:rsidP="00982FD0">
      <w:pPr>
        <w:pStyle w:val="SingleTxtG"/>
        <w:rPr>
          <w:lang w:val="fr-FR"/>
        </w:rPr>
      </w:pPr>
      <w:r>
        <w:rPr>
          <w:lang w:val="fr-FR"/>
        </w:rPr>
        <w:t>132.</w:t>
      </w:r>
      <w:r>
        <w:rPr>
          <w:lang w:val="fr-FR"/>
        </w:rPr>
        <w:tab/>
      </w:r>
      <w:r w:rsidRPr="00976C24">
        <w:rPr>
          <w:lang w:val="fr-FR"/>
        </w:rPr>
        <w:t>La Norvège a également mis en œuvre différent</w:t>
      </w:r>
      <w:r>
        <w:rPr>
          <w:lang w:val="fr-FR"/>
        </w:rPr>
        <w:t>e</w:t>
      </w:r>
      <w:r w:rsidRPr="00976C24">
        <w:rPr>
          <w:lang w:val="fr-FR"/>
        </w:rPr>
        <w:t>s politiques et mesures p</w:t>
      </w:r>
      <w:r>
        <w:rPr>
          <w:lang w:val="fr-FR"/>
        </w:rPr>
        <w:t>ropres à</w:t>
      </w:r>
      <w:r w:rsidRPr="00976C24">
        <w:rPr>
          <w:lang w:val="fr-FR"/>
        </w:rPr>
        <w:t xml:space="preserve"> concilier la vie familiale et professionnelle, </w:t>
      </w:r>
      <w:r>
        <w:rPr>
          <w:lang w:val="fr-FR"/>
        </w:rPr>
        <w:t>notamment</w:t>
      </w:r>
      <w:r w:rsidRPr="00976C24">
        <w:rPr>
          <w:lang w:val="fr-FR"/>
        </w:rPr>
        <w:t xml:space="preserve"> des mesures préférentielles pour accroître la participation des femmes aux processus décisionnels. </w:t>
      </w:r>
    </w:p>
    <w:p w:rsidR="00903547" w:rsidRPr="00976C24" w:rsidRDefault="00903547" w:rsidP="0071086E">
      <w:pPr>
        <w:pStyle w:val="H23G"/>
        <w:rPr>
          <w:bCs/>
          <w:iCs/>
          <w:lang w:val="fr-FR"/>
        </w:rPr>
      </w:pPr>
      <w:r w:rsidRPr="00976C24">
        <w:rPr>
          <w:bCs/>
          <w:i/>
          <w:iCs/>
          <w:lang w:val="fr-FR"/>
        </w:rPr>
        <w:tab/>
      </w:r>
      <w:r w:rsidRPr="00976C24">
        <w:rPr>
          <w:bCs/>
          <w:iCs/>
          <w:lang w:val="fr-FR"/>
        </w:rPr>
        <w:t>2.</w:t>
      </w:r>
      <w:r w:rsidRPr="00976C24">
        <w:rPr>
          <w:bCs/>
          <w:iCs/>
          <w:lang w:val="fr-FR"/>
        </w:rPr>
        <w:tab/>
      </w:r>
      <w:r>
        <w:rPr>
          <w:bCs/>
          <w:iCs/>
          <w:lang w:val="fr-FR"/>
        </w:rPr>
        <w:t>Adoption</w:t>
      </w:r>
      <w:r w:rsidRPr="00976C24">
        <w:rPr>
          <w:bCs/>
          <w:iCs/>
          <w:lang w:val="fr-FR"/>
        </w:rPr>
        <w:t xml:space="preserve"> et mis</w:t>
      </w:r>
      <w:r>
        <w:rPr>
          <w:bCs/>
          <w:iCs/>
          <w:lang w:val="fr-FR"/>
        </w:rPr>
        <w:t>e</w:t>
      </w:r>
      <w:r w:rsidRPr="00976C24">
        <w:rPr>
          <w:bCs/>
          <w:iCs/>
          <w:lang w:val="fr-FR"/>
        </w:rPr>
        <w:t xml:space="preserve"> en </w:t>
      </w:r>
      <w:r>
        <w:rPr>
          <w:bCs/>
          <w:iCs/>
          <w:lang w:val="fr-FR"/>
        </w:rPr>
        <w:t>œuv</w:t>
      </w:r>
      <w:r w:rsidRPr="00976C24">
        <w:rPr>
          <w:bCs/>
          <w:iCs/>
          <w:lang w:val="fr-FR"/>
        </w:rPr>
        <w:t xml:space="preserve">re </w:t>
      </w:r>
      <w:r>
        <w:rPr>
          <w:bCs/>
          <w:iCs/>
          <w:lang w:val="fr-FR"/>
        </w:rPr>
        <w:t>d’</w:t>
      </w:r>
      <w:r w:rsidRPr="00976C24">
        <w:rPr>
          <w:bCs/>
          <w:iCs/>
          <w:lang w:val="fr-FR"/>
        </w:rPr>
        <w:t>une législ</w:t>
      </w:r>
      <w:r>
        <w:rPr>
          <w:bCs/>
          <w:iCs/>
          <w:lang w:val="fr-FR"/>
        </w:rPr>
        <w:t>ation sur l’égalité des sexes;</w:t>
      </w:r>
      <w:r w:rsidRPr="00976C24">
        <w:rPr>
          <w:bCs/>
          <w:iCs/>
          <w:lang w:val="fr-FR"/>
        </w:rPr>
        <w:t xml:space="preserve"> évaluation des effets de la législation et des politiques </w:t>
      </w:r>
      <w:r>
        <w:rPr>
          <w:bCs/>
          <w:iCs/>
          <w:lang w:val="fr-FR"/>
        </w:rPr>
        <w:t xml:space="preserve">pour </w:t>
      </w:r>
      <w:r w:rsidRPr="00976C24">
        <w:rPr>
          <w:bCs/>
          <w:iCs/>
          <w:lang w:val="fr-FR"/>
        </w:rPr>
        <w:t>en finir avec les stéréotypes culturels traditionnels qui continuent de nuir</w:t>
      </w:r>
      <w:r>
        <w:rPr>
          <w:bCs/>
          <w:iCs/>
          <w:lang w:val="fr-FR"/>
        </w:rPr>
        <w:t>e à l’égalité entre hommes et f</w:t>
      </w:r>
      <w:r w:rsidRPr="00976C24">
        <w:rPr>
          <w:bCs/>
          <w:iCs/>
          <w:lang w:val="fr-FR"/>
        </w:rPr>
        <w:t>emmes en ce qui concerne l’exercice des droits économiques, sociaux et culturels (</w:t>
      </w:r>
      <w:r w:rsidRPr="00976C24">
        <w:rPr>
          <w:lang w:val="fr-FR"/>
        </w:rPr>
        <w:t>E/2009/22-E/C.12/2008/3, annexe VIII, par.</w:t>
      </w:r>
      <w:r>
        <w:rPr>
          <w:lang w:val="fr-FR"/>
        </w:rPr>
        <w:t> </w:t>
      </w:r>
      <w:r w:rsidRPr="00976C24">
        <w:rPr>
          <w:lang w:val="fr-FR"/>
        </w:rPr>
        <w:t>13)</w:t>
      </w:r>
    </w:p>
    <w:p w:rsidR="00903547" w:rsidRPr="00976C24" w:rsidRDefault="00903547" w:rsidP="00982FD0">
      <w:pPr>
        <w:pStyle w:val="SingleTxtG"/>
        <w:rPr>
          <w:lang w:val="fr-FR"/>
        </w:rPr>
      </w:pPr>
      <w:r>
        <w:rPr>
          <w:lang w:val="fr-FR"/>
        </w:rPr>
        <w:t>133.</w:t>
      </w:r>
      <w:r>
        <w:rPr>
          <w:lang w:val="fr-FR"/>
        </w:rPr>
        <w:tab/>
      </w:r>
      <w:r w:rsidRPr="00976C24">
        <w:rPr>
          <w:lang w:val="fr-FR"/>
        </w:rPr>
        <w:t>En 2009</w:t>
      </w:r>
      <w:r>
        <w:rPr>
          <w:lang w:val="fr-FR"/>
        </w:rPr>
        <w:t>,</w:t>
      </w:r>
      <w:r w:rsidRPr="00976C24">
        <w:rPr>
          <w:lang w:val="fr-FR"/>
        </w:rPr>
        <w:t xml:space="preserve"> la Convention sur l’élimination de toutes les formes de discrimination à l’égard des femmes (CEDAW) a été incorporé</w:t>
      </w:r>
      <w:r>
        <w:rPr>
          <w:lang w:val="fr-FR"/>
        </w:rPr>
        <w:t>e</w:t>
      </w:r>
      <w:r w:rsidRPr="00976C24">
        <w:rPr>
          <w:lang w:val="fr-FR"/>
        </w:rPr>
        <w:t xml:space="preserve"> dans la loi sur les droits de l’homme (loi</w:t>
      </w:r>
      <w:r>
        <w:rPr>
          <w:lang w:val="fr-FR"/>
        </w:rPr>
        <w:t xml:space="preserve"> du 21 mai 1999 n</w:t>
      </w:r>
      <w:r w:rsidRPr="000A7EEA">
        <w:rPr>
          <w:vertAlign w:val="superscript"/>
          <w:lang w:val="fr-FR"/>
        </w:rPr>
        <w:t>o</w:t>
      </w:r>
      <w:r>
        <w:rPr>
          <w:lang w:val="fr-FR"/>
        </w:rPr>
        <w:t> </w:t>
      </w:r>
      <w:r w:rsidRPr="00976C24">
        <w:rPr>
          <w:lang w:val="fr-FR"/>
        </w:rPr>
        <w:t>30)</w:t>
      </w:r>
      <w:r>
        <w:rPr>
          <w:lang w:val="fr-FR"/>
        </w:rPr>
        <w:t>;</w:t>
      </w:r>
      <w:r w:rsidRPr="00976C24">
        <w:rPr>
          <w:lang w:val="fr-FR"/>
        </w:rPr>
        <w:t xml:space="preserve"> la Convention </w:t>
      </w:r>
      <w:r>
        <w:rPr>
          <w:lang w:val="fr-FR"/>
        </w:rPr>
        <w:t>prime toute autre loi</w:t>
      </w:r>
      <w:r w:rsidRPr="00976C24">
        <w:rPr>
          <w:lang w:val="fr-FR"/>
        </w:rPr>
        <w:t xml:space="preserve"> (voir le paragraphe 106</w:t>
      </w:r>
      <w:r>
        <w:rPr>
          <w:lang w:val="fr-FR"/>
        </w:rPr>
        <w:t xml:space="preserve"> du </w:t>
      </w:r>
      <w:r w:rsidRPr="00976C24">
        <w:rPr>
          <w:lang w:val="fr-FR"/>
        </w:rPr>
        <w:t>document de base commun).</w:t>
      </w:r>
    </w:p>
    <w:p w:rsidR="00903547" w:rsidRPr="00976C24" w:rsidRDefault="00903547" w:rsidP="00982FD0">
      <w:pPr>
        <w:pStyle w:val="SingleTxtG"/>
        <w:rPr>
          <w:lang w:val="fr-FR"/>
        </w:rPr>
      </w:pPr>
      <w:r>
        <w:rPr>
          <w:lang w:val="fr-FR"/>
        </w:rPr>
        <w:t>134.</w:t>
      </w:r>
      <w:r>
        <w:rPr>
          <w:lang w:val="fr-FR"/>
        </w:rPr>
        <w:tab/>
      </w:r>
      <w:r w:rsidRPr="00976C24">
        <w:rPr>
          <w:lang w:val="fr-FR"/>
        </w:rPr>
        <w:t>La loi norvégienne sur l’égalité des sexes interdit la discrimination sexiste dans tous les secteurs de la société. En vertu de la</w:t>
      </w:r>
      <w:r>
        <w:rPr>
          <w:lang w:val="fr-FR"/>
        </w:rPr>
        <w:t>dite</w:t>
      </w:r>
      <w:r w:rsidRPr="00976C24">
        <w:rPr>
          <w:lang w:val="fr-FR"/>
        </w:rPr>
        <w:t xml:space="preserve"> loi, </w:t>
      </w:r>
      <w:r>
        <w:rPr>
          <w:lang w:val="fr-FR"/>
        </w:rPr>
        <w:t xml:space="preserve">de </w:t>
      </w:r>
      <w:r w:rsidRPr="00976C24">
        <w:rPr>
          <w:lang w:val="fr-FR"/>
        </w:rPr>
        <w:t xml:space="preserve">la loi </w:t>
      </w:r>
      <w:r>
        <w:rPr>
          <w:lang w:val="fr-FR"/>
        </w:rPr>
        <w:t>anti</w:t>
      </w:r>
      <w:r w:rsidRPr="00976C24">
        <w:rPr>
          <w:lang w:val="fr-FR"/>
        </w:rPr>
        <w:t xml:space="preserve">discrimination et </w:t>
      </w:r>
      <w:r>
        <w:rPr>
          <w:lang w:val="fr-FR"/>
        </w:rPr>
        <w:t xml:space="preserve">de </w:t>
      </w:r>
      <w:r w:rsidRPr="00976C24">
        <w:rPr>
          <w:lang w:val="fr-FR"/>
        </w:rPr>
        <w:t>la loi contre la discrimination et pour l’accessibil</w:t>
      </w:r>
      <w:r>
        <w:rPr>
          <w:lang w:val="fr-FR"/>
        </w:rPr>
        <w:t xml:space="preserve">ité, les autorités sont tenues </w:t>
      </w:r>
      <w:r w:rsidRPr="00976C24">
        <w:rPr>
          <w:lang w:val="fr-FR"/>
        </w:rPr>
        <w:t>–</w:t>
      </w:r>
      <w:r>
        <w:rPr>
          <w:lang w:val="fr-FR"/>
        </w:rPr>
        <w:t xml:space="preserve"> </w:t>
      </w:r>
      <w:r w:rsidRPr="00976C24">
        <w:rPr>
          <w:lang w:val="fr-FR"/>
        </w:rPr>
        <w:t>dans t</w:t>
      </w:r>
      <w:r>
        <w:rPr>
          <w:lang w:val="fr-FR"/>
        </w:rPr>
        <w:t xml:space="preserve">ous les secteurs de la société </w:t>
      </w:r>
      <w:r w:rsidRPr="00976C24">
        <w:rPr>
          <w:lang w:val="fr-FR"/>
        </w:rPr>
        <w:t xml:space="preserve">– de prendre des mesures énergiques pour promouvoir et faire progresser </w:t>
      </w:r>
      <w:r w:rsidRPr="003E2512">
        <w:rPr>
          <w:lang w:val="fr-FR"/>
        </w:rPr>
        <w:t>l'égalité en matière d'origine ethnique, de sexe ou d'incapacité</w:t>
      </w:r>
      <w:r w:rsidRPr="00976C24">
        <w:rPr>
          <w:lang w:val="fr-FR"/>
        </w:rPr>
        <w:t xml:space="preserve">. Ces lois imposent également aux employeurs publics et privés de rendre compte chaque année des mesures qu’ils </w:t>
      </w:r>
      <w:r>
        <w:rPr>
          <w:lang w:val="fr-FR"/>
        </w:rPr>
        <w:t>aur</w:t>
      </w:r>
      <w:r w:rsidRPr="00976C24">
        <w:rPr>
          <w:lang w:val="fr-FR"/>
        </w:rPr>
        <w:t xml:space="preserve">ont prises pour faire progresser l’égalité dans ces domaines. </w:t>
      </w:r>
      <w:r>
        <w:rPr>
          <w:lang w:val="fr-FR"/>
        </w:rPr>
        <w:t>L</w:t>
      </w:r>
      <w:r w:rsidRPr="00976C24">
        <w:rPr>
          <w:lang w:val="fr-FR"/>
        </w:rPr>
        <w:t xml:space="preserve">es entreprises sont </w:t>
      </w:r>
      <w:r>
        <w:rPr>
          <w:lang w:val="fr-FR"/>
        </w:rPr>
        <w:t xml:space="preserve">en outre </w:t>
      </w:r>
      <w:r w:rsidRPr="00976C24">
        <w:rPr>
          <w:lang w:val="fr-FR"/>
        </w:rPr>
        <w:t>tenu</w:t>
      </w:r>
      <w:r>
        <w:rPr>
          <w:lang w:val="fr-FR"/>
        </w:rPr>
        <w:t>e</w:t>
      </w:r>
      <w:r w:rsidRPr="00976C24">
        <w:rPr>
          <w:lang w:val="fr-FR"/>
        </w:rPr>
        <w:t xml:space="preserve">s de soumettre un rapport annuel </w:t>
      </w:r>
      <w:r>
        <w:rPr>
          <w:lang w:val="fr-FR"/>
        </w:rPr>
        <w:t>sur le degré de parité au sein de leur structure</w:t>
      </w:r>
      <w:r w:rsidRPr="00976C24">
        <w:rPr>
          <w:lang w:val="fr-FR"/>
        </w:rPr>
        <w:t>.</w:t>
      </w:r>
    </w:p>
    <w:p w:rsidR="00903547" w:rsidRPr="00976C24" w:rsidRDefault="00903547" w:rsidP="00982FD0">
      <w:pPr>
        <w:pStyle w:val="SingleTxtG"/>
        <w:rPr>
          <w:lang w:val="fr-FR"/>
        </w:rPr>
      </w:pPr>
      <w:r>
        <w:rPr>
          <w:lang w:val="fr-FR"/>
        </w:rPr>
        <w:t>135.</w:t>
      </w:r>
      <w:r>
        <w:rPr>
          <w:lang w:val="fr-FR"/>
        </w:rPr>
        <w:tab/>
      </w:r>
      <w:r w:rsidRPr="00976C24">
        <w:rPr>
          <w:lang w:val="fr-FR"/>
        </w:rPr>
        <w:t xml:space="preserve">Le Comité pourra </w:t>
      </w:r>
      <w:r>
        <w:rPr>
          <w:lang w:val="fr-FR"/>
        </w:rPr>
        <w:t>se reporter à l’</w:t>
      </w:r>
      <w:r w:rsidRPr="00976C24">
        <w:rPr>
          <w:lang w:val="fr-FR"/>
        </w:rPr>
        <w:t>article 3.2.1</w:t>
      </w:r>
      <w:r>
        <w:rPr>
          <w:lang w:val="fr-FR"/>
        </w:rPr>
        <w:t xml:space="preserve"> du rapport</w:t>
      </w:r>
      <w:r w:rsidRPr="00976C24">
        <w:rPr>
          <w:lang w:val="fr-FR"/>
        </w:rPr>
        <w:t xml:space="preserve"> de la Norvège soumis </w:t>
      </w:r>
      <w:r>
        <w:rPr>
          <w:lang w:val="fr-FR"/>
        </w:rPr>
        <w:t>au titre de l’EPU concernant</w:t>
      </w:r>
      <w:r w:rsidRPr="00976C24">
        <w:rPr>
          <w:lang w:val="fr-FR"/>
        </w:rPr>
        <w:t xml:space="preserve"> l’égalité des sexes. Voir également le</w:t>
      </w:r>
      <w:r>
        <w:rPr>
          <w:lang w:val="fr-FR"/>
        </w:rPr>
        <w:t xml:space="preserve">s </w:t>
      </w:r>
      <w:r w:rsidRPr="00976C24">
        <w:rPr>
          <w:lang w:val="fr-FR"/>
        </w:rPr>
        <w:t>paragraphes 192</w:t>
      </w:r>
      <w:r>
        <w:rPr>
          <w:lang w:val="fr-FR"/>
        </w:rPr>
        <w:t xml:space="preserve"> à </w:t>
      </w:r>
      <w:r w:rsidRPr="00976C24">
        <w:rPr>
          <w:lang w:val="fr-FR"/>
        </w:rPr>
        <w:t>195</w:t>
      </w:r>
      <w:r>
        <w:rPr>
          <w:lang w:val="fr-FR"/>
        </w:rPr>
        <w:t xml:space="preserve"> du</w:t>
      </w:r>
      <w:r w:rsidRPr="00976C24">
        <w:rPr>
          <w:lang w:val="fr-FR"/>
        </w:rPr>
        <w:t xml:space="preserve"> document de base commun </w:t>
      </w:r>
      <w:r>
        <w:rPr>
          <w:lang w:val="fr-FR"/>
        </w:rPr>
        <w:t xml:space="preserve">relatifs à </w:t>
      </w:r>
      <w:r w:rsidRPr="00976C24">
        <w:rPr>
          <w:lang w:val="fr-FR"/>
        </w:rPr>
        <w:t>la loi sur l’égalité des sexes et les paragraphes 234</w:t>
      </w:r>
      <w:r>
        <w:rPr>
          <w:lang w:val="fr-FR"/>
        </w:rPr>
        <w:t xml:space="preserve"> à </w:t>
      </w:r>
      <w:r w:rsidRPr="00976C24">
        <w:rPr>
          <w:lang w:val="fr-FR"/>
        </w:rPr>
        <w:t>237 concernant l’égalité des sexes</w:t>
      </w:r>
      <w:r>
        <w:rPr>
          <w:lang w:val="fr-FR"/>
        </w:rPr>
        <w:t>,</w:t>
      </w:r>
      <w:r w:rsidRPr="00976C24">
        <w:rPr>
          <w:lang w:val="fr-FR"/>
        </w:rPr>
        <w:t xml:space="preserve"> </w:t>
      </w:r>
      <w:r>
        <w:rPr>
          <w:lang w:val="fr-FR"/>
        </w:rPr>
        <w:t xml:space="preserve">les paragraphes 23 à </w:t>
      </w:r>
      <w:r w:rsidRPr="00976C24">
        <w:rPr>
          <w:lang w:val="fr-FR"/>
        </w:rPr>
        <w:t>32</w:t>
      </w:r>
      <w:r>
        <w:rPr>
          <w:lang w:val="fr-FR"/>
        </w:rPr>
        <w:t xml:space="preserve"> du </w:t>
      </w:r>
      <w:r w:rsidRPr="00976C24">
        <w:rPr>
          <w:lang w:val="fr-FR"/>
        </w:rPr>
        <w:t>sixième rapport périodique de la Norvège</w:t>
      </w:r>
      <w:r>
        <w:rPr>
          <w:lang w:val="fr-FR"/>
        </w:rPr>
        <w:t xml:space="preserve"> soumis en vertu du Pacte international relatif aux droits civils et politiques</w:t>
      </w:r>
      <w:r w:rsidRPr="00976C24">
        <w:rPr>
          <w:lang w:val="fr-FR"/>
        </w:rPr>
        <w:t xml:space="preserve"> sur la situation actuelle des femmes</w:t>
      </w:r>
      <w:r>
        <w:rPr>
          <w:lang w:val="fr-FR"/>
        </w:rPr>
        <w:t xml:space="preserve"> et le</w:t>
      </w:r>
      <w:r w:rsidRPr="00976C24">
        <w:rPr>
          <w:lang w:val="fr-FR"/>
        </w:rPr>
        <w:t xml:space="preserve"> paragraphe 249 sur la loi sur l’égalité des</w:t>
      </w:r>
      <w:r>
        <w:rPr>
          <w:lang w:val="fr-FR"/>
        </w:rPr>
        <w:t xml:space="preserve"> sexes, ainsi que les paragraphes 59 à 65 et 141 à </w:t>
      </w:r>
      <w:r w:rsidRPr="00976C24">
        <w:rPr>
          <w:lang w:val="fr-FR"/>
        </w:rPr>
        <w:t>149</w:t>
      </w:r>
      <w:r>
        <w:rPr>
          <w:lang w:val="fr-FR"/>
        </w:rPr>
        <w:t xml:space="preserve"> du </w:t>
      </w:r>
      <w:r w:rsidRPr="00976C24">
        <w:rPr>
          <w:lang w:val="fr-FR"/>
        </w:rPr>
        <w:t xml:space="preserve">quatrième rapport périodique </w:t>
      </w:r>
      <w:r>
        <w:rPr>
          <w:lang w:val="fr-FR"/>
        </w:rPr>
        <w:t>soumis en vertu</w:t>
      </w:r>
      <w:r w:rsidRPr="00976C24">
        <w:rPr>
          <w:lang w:val="fr-FR"/>
        </w:rPr>
        <w:t xml:space="preserve"> du Pacte international relatif aux droits économiques, sociaux et culturels.</w:t>
      </w:r>
    </w:p>
    <w:p w:rsidR="00903547" w:rsidRPr="00976C24" w:rsidRDefault="00903547" w:rsidP="00982FD0">
      <w:pPr>
        <w:pStyle w:val="SingleTxtG"/>
        <w:rPr>
          <w:lang w:val="fr-FR"/>
        </w:rPr>
      </w:pPr>
      <w:r>
        <w:rPr>
          <w:lang w:val="fr-FR"/>
        </w:rPr>
        <w:t>136.</w:t>
      </w:r>
      <w:r>
        <w:rPr>
          <w:lang w:val="fr-FR"/>
        </w:rPr>
        <w:tab/>
      </w:r>
      <w:r w:rsidRPr="00976C24">
        <w:rPr>
          <w:lang w:val="fr-FR"/>
        </w:rPr>
        <w:t xml:space="preserve">Promouvoir l’égalité et veiller à ce que les femmes et les hommes bénéficient des mêmes opportunités demeurent des priorités politiques. </w:t>
      </w:r>
    </w:p>
    <w:p w:rsidR="00903547" w:rsidRPr="00976C24" w:rsidRDefault="00903547" w:rsidP="00982FD0">
      <w:pPr>
        <w:pStyle w:val="SingleTxtG"/>
        <w:rPr>
          <w:lang w:val="fr-FR"/>
        </w:rPr>
      </w:pPr>
      <w:r>
        <w:rPr>
          <w:lang w:val="fr-FR"/>
        </w:rPr>
        <w:t>137.</w:t>
      </w:r>
      <w:r>
        <w:rPr>
          <w:lang w:val="fr-FR"/>
        </w:rPr>
        <w:tab/>
        <w:t>À</w:t>
      </w:r>
      <w:r w:rsidRPr="00976C24">
        <w:rPr>
          <w:lang w:val="fr-FR"/>
        </w:rPr>
        <w:t xml:space="preserve"> l’heure actuelle, davantage de femmes que d’hommes entament et achèvent des études supérieures. Ceci est en soi un fait historique. Il reste que les jeunes filles et les jeunes hommes s’engagent traditionnellemen</w:t>
      </w:r>
      <w:r>
        <w:rPr>
          <w:lang w:val="fr-FR"/>
        </w:rPr>
        <w:t>t dans des filières différentes</w:t>
      </w:r>
      <w:r w:rsidRPr="00976C24">
        <w:rPr>
          <w:lang w:val="fr-FR"/>
        </w:rPr>
        <w:t xml:space="preserve"> et la </w:t>
      </w:r>
      <w:r>
        <w:rPr>
          <w:lang w:val="fr-FR"/>
        </w:rPr>
        <w:t>population active norvégienne compte parmi</w:t>
      </w:r>
      <w:r w:rsidRPr="00976C24">
        <w:rPr>
          <w:lang w:val="fr-FR"/>
        </w:rPr>
        <w:t xml:space="preserve"> </w:t>
      </w:r>
      <w:r>
        <w:rPr>
          <w:lang w:val="fr-FR"/>
        </w:rPr>
        <w:t xml:space="preserve">celles d’Europe où persiste une </w:t>
      </w:r>
      <w:r w:rsidRPr="00976C24">
        <w:rPr>
          <w:lang w:val="fr-FR"/>
        </w:rPr>
        <w:t xml:space="preserve">ségrégation sexuelle. S’agissant de l’égalité et de l’éducation, </w:t>
      </w:r>
      <w:r>
        <w:rPr>
          <w:lang w:val="fr-FR"/>
        </w:rPr>
        <w:t xml:space="preserve">le Comité pourra se </w:t>
      </w:r>
      <w:r w:rsidRPr="00976C24">
        <w:rPr>
          <w:lang w:val="fr-FR"/>
        </w:rPr>
        <w:t>reporter à la réponse du Gouvernement</w:t>
      </w:r>
      <w:r>
        <w:rPr>
          <w:lang w:val="fr-FR"/>
        </w:rPr>
        <w:t xml:space="preserve"> relative</w:t>
      </w:r>
      <w:r w:rsidRPr="00976C24">
        <w:rPr>
          <w:lang w:val="fr-FR"/>
        </w:rPr>
        <w:t xml:space="preserve"> à l’article 13 </w:t>
      </w:r>
      <w:r>
        <w:rPr>
          <w:lang w:val="fr-FR"/>
        </w:rPr>
        <w:t>figurant dans le</w:t>
      </w:r>
      <w:r w:rsidRPr="00976C24">
        <w:rPr>
          <w:lang w:val="fr-FR"/>
        </w:rPr>
        <w:t xml:space="preserve"> présent rapport. </w:t>
      </w:r>
      <w:r>
        <w:rPr>
          <w:lang w:val="fr-FR"/>
        </w:rPr>
        <w:t>Quant à</w:t>
      </w:r>
      <w:r w:rsidRPr="00976C24">
        <w:rPr>
          <w:lang w:val="fr-FR"/>
        </w:rPr>
        <w:t xml:space="preserve"> la participation au marché du travail, voir la réponse du Gouvernement au paragraphe 30 des observations finales </w:t>
      </w:r>
      <w:r>
        <w:rPr>
          <w:lang w:val="fr-FR"/>
        </w:rPr>
        <w:t xml:space="preserve">figurant dans le présent rapport (par. 42 à </w:t>
      </w:r>
      <w:r w:rsidRPr="00976C24">
        <w:rPr>
          <w:lang w:val="fr-FR"/>
        </w:rPr>
        <w:t xml:space="preserve">45 ci-dessus). </w:t>
      </w:r>
    </w:p>
    <w:p w:rsidR="00903547" w:rsidRPr="00976C24" w:rsidRDefault="00903547" w:rsidP="00982FD0">
      <w:pPr>
        <w:pStyle w:val="SingleTxtG"/>
        <w:rPr>
          <w:lang w:val="fr-FR"/>
        </w:rPr>
      </w:pPr>
      <w:r>
        <w:rPr>
          <w:lang w:val="fr-FR"/>
        </w:rPr>
        <w:t>138.</w:t>
      </w:r>
      <w:r>
        <w:rPr>
          <w:lang w:val="fr-FR"/>
        </w:rPr>
        <w:tab/>
        <w:t>R</w:t>
      </w:r>
      <w:r w:rsidRPr="00976C24">
        <w:rPr>
          <w:lang w:val="fr-FR"/>
        </w:rPr>
        <w:t>éaliser l’égalité des sexes</w:t>
      </w:r>
      <w:r>
        <w:rPr>
          <w:lang w:val="fr-FR"/>
        </w:rPr>
        <w:t xml:space="preserve"> implique</w:t>
      </w:r>
      <w:r w:rsidRPr="00976C24">
        <w:rPr>
          <w:lang w:val="fr-FR"/>
        </w:rPr>
        <w:t xml:space="preserve"> d’améliorer les conditions-cadres de la participation des hommes à la vie familiale. Les parents bénéficient de 46 semaines de congés payés à la naissance d’un enfant (56 semaines avec 80</w:t>
      </w:r>
      <w:r>
        <w:rPr>
          <w:lang w:val="fr-FR"/>
        </w:rPr>
        <w:t> </w:t>
      </w:r>
      <w:r w:rsidRPr="00976C24">
        <w:rPr>
          <w:lang w:val="fr-FR"/>
        </w:rPr>
        <w:t xml:space="preserve">% du salaire). Ce sont les parents qui décident </w:t>
      </w:r>
      <w:r>
        <w:rPr>
          <w:lang w:val="fr-FR"/>
        </w:rPr>
        <w:t xml:space="preserve">de quelle façon </w:t>
      </w:r>
      <w:r w:rsidRPr="00976C24">
        <w:rPr>
          <w:lang w:val="fr-FR"/>
        </w:rPr>
        <w:t>partage</w:t>
      </w:r>
      <w:r>
        <w:rPr>
          <w:lang w:val="fr-FR"/>
        </w:rPr>
        <w:t>r</w:t>
      </w:r>
      <w:r w:rsidRPr="00976C24">
        <w:rPr>
          <w:lang w:val="fr-FR"/>
        </w:rPr>
        <w:t xml:space="preserve"> cette période, exception faite des </w:t>
      </w:r>
      <w:r>
        <w:rPr>
          <w:lang w:val="fr-FR"/>
        </w:rPr>
        <w:t>trois semaines précédant et des six semaines suivant l’accouchement</w:t>
      </w:r>
      <w:r w:rsidRPr="00976C24">
        <w:rPr>
          <w:lang w:val="fr-FR"/>
        </w:rPr>
        <w:t xml:space="preserve"> qui sont réservées à la mère. Dix semaines sont maintenant r</w:t>
      </w:r>
      <w:r>
        <w:rPr>
          <w:lang w:val="fr-FR"/>
        </w:rPr>
        <w:t>éservées au père après que le «quota paternel</w:t>
      </w:r>
      <w:r w:rsidRPr="00976C24">
        <w:rPr>
          <w:lang w:val="fr-FR"/>
        </w:rPr>
        <w:t xml:space="preserve">» a été </w:t>
      </w:r>
      <w:r>
        <w:rPr>
          <w:lang w:val="fr-FR"/>
        </w:rPr>
        <w:t>prolongé</w:t>
      </w:r>
      <w:r w:rsidRPr="00976C24">
        <w:rPr>
          <w:lang w:val="fr-FR"/>
        </w:rPr>
        <w:t xml:space="preserve"> le </w:t>
      </w:r>
      <w:r>
        <w:rPr>
          <w:lang w:val="fr-FR"/>
        </w:rPr>
        <w:t>1</w:t>
      </w:r>
      <w:r w:rsidRPr="000A7EEA">
        <w:rPr>
          <w:vertAlign w:val="superscript"/>
          <w:lang w:val="fr-FR"/>
        </w:rPr>
        <w:t>er</w:t>
      </w:r>
      <w:r>
        <w:rPr>
          <w:lang w:val="fr-FR"/>
        </w:rPr>
        <w:t xml:space="preserve"> </w:t>
      </w:r>
      <w:r w:rsidRPr="00976C24">
        <w:rPr>
          <w:lang w:val="fr-FR"/>
        </w:rPr>
        <w:t>juillet 2009. Ces semaines sont perdues si le père ne les utilise pas.</w:t>
      </w:r>
    </w:p>
    <w:p w:rsidR="00903547" w:rsidRPr="00976C24" w:rsidRDefault="00903547" w:rsidP="00982FD0">
      <w:pPr>
        <w:pStyle w:val="SingleTxtG"/>
        <w:rPr>
          <w:lang w:val="fr-FR"/>
        </w:rPr>
      </w:pPr>
      <w:r>
        <w:rPr>
          <w:lang w:val="fr-FR"/>
        </w:rPr>
        <w:t>139.</w:t>
      </w:r>
      <w:r>
        <w:rPr>
          <w:lang w:val="fr-FR"/>
        </w:rPr>
        <w:tab/>
      </w:r>
      <w:r w:rsidRPr="00976C24">
        <w:rPr>
          <w:lang w:val="fr-FR"/>
        </w:rPr>
        <w:t>En 2003</w:t>
      </w:r>
      <w:r>
        <w:rPr>
          <w:lang w:val="fr-FR"/>
        </w:rPr>
        <w:t xml:space="preserve"> a été adoptée</w:t>
      </w:r>
      <w:r w:rsidRPr="00976C24">
        <w:rPr>
          <w:lang w:val="fr-FR"/>
        </w:rPr>
        <w:t xml:space="preserve"> une loi</w:t>
      </w:r>
      <w:r w:rsidRPr="00976C24">
        <w:rPr>
          <w:rStyle w:val="FootnoteReference"/>
          <w:lang w:val="fr-FR"/>
        </w:rPr>
        <w:footnoteReference w:id="8"/>
      </w:r>
      <w:r w:rsidRPr="00976C24">
        <w:rPr>
          <w:lang w:val="fr-FR"/>
        </w:rPr>
        <w:t xml:space="preserve"> </w:t>
      </w:r>
      <w:r>
        <w:rPr>
          <w:lang w:val="fr-FR"/>
        </w:rPr>
        <w:t>qui a fait</w:t>
      </w:r>
      <w:r w:rsidRPr="00976C24">
        <w:rPr>
          <w:lang w:val="fr-FR"/>
        </w:rPr>
        <w:t xml:space="preserve"> de la Norvège le premier pays du monde à fixer des c</w:t>
      </w:r>
      <w:r>
        <w:rPr>
          <w:lang w:val="fr-FR"/>
        </w:rPr>
        <w:t>ritères d’</w:t>
      </w:r>
      <w:r w:rsidRPr="00976C24">
        <w:rPr>
          <w:lang w:val="fr-FR"/>
        </w:rPr>
        <w:t>équilibre entre les sexes dans les conseils d’administration. Les conseils d’administration des sociétés anonymes et de certaines entreprises privées doivent compte</w:t>
      </w:r>
      <w:r>
        <w:rPr>
          <w:lang w:val="fr-FR"/>
        </w:rPr>
        <w:t>r</w:t>
      </w:r>
      <w:r w:rsidRPr="00976C24">
        <w:rPr>
          <w:lang w:val="fr-FR"/>
        </w:rPr>
        <w:t xml:space="preserve"> au moins 40</w:t>
      </w:r>
      <w:r>
        <w:rPr>
          <w:lang w:val="fr-FR"/>
        </w:rPr>
        <w:t> </w:t>
      </w:r>
      <w:r w:rsidRPr="00976C24">
        <w:rPr>
          <w:lang w:val="fr-FR"/>
        </w:rPr>
        <w:t>% de femmes et 40</w:t>
      </w:r>
      <w:r>
        <w:rPr>
          <w:lang w:val="fr-FR"/>
        </w:rPr>
        <w:t> </w:t>
      </w:r>
      <w:r w:rsidRPr="00976C24">
        <w:rPr>
          <w:lang w:val="fr-FR"/>
        </w:rPr>
        <w:t xml:space="preserve">% d’hommes. </w:t>
      </w:r>
      <w:r>
        <w:rPr>
          <w:lang w:val="fr-FR"/>
        </w:rPr>
        <w:t>L</w:t>
      </w:r>
      <w:r w:rsidRPr="00976C24">
        <w:rPr>
          <w:lang w:val="fr-FR"/>
        </w:rPr>
        <w:t>a loi</w:t>
      </w:r>
      <w:r>
        <w:rPr>
          <w:lang w:val="fr-FR"/>
        </w:rPr>
        <w:t xml:space="preserve"> a permis de faire passer la proportion de</w:t>
      </w:r>
      <w:r w:rsidRPr="00976C24">
        <w:rPr>
          <w:lang w:val="fr-FR"/>
        </w:rPr>
        <w:t xml:space="preserve"> femmes </w:t>
      </w:r>
      <w:r>
        <w:rPr>
          <w:lang w:val="fr-FR"/>
        </w:rPr>
        <w:t>siégeant</w:t>
      </w:r>
      <w:r w:rsidRPr="00976C24">
        <w:rPr>
          <w:lang w:val="fr-FR"/>
        </w:rPr>
        <w:t xml:space="preserve"> dans les conseils d’administration de 7</w:t>
      </w:r>
      <w:r>
        <w:rPr>
          <w:lang w:val="fr-FR"/>
        </w:rPr>
        <w:t> </w:t>
      </w:r>
      <w:r w:rsidRPr="00976C24">
        <w:rPr>
          <w:lang w:val="fr-FR"/>
        </w:rPr>
        <w:t>% en 2003 à 40</w:t>
      </w:r>
      <w:r>
        <w:rPr>
          <w:lang w:val="fr-FR"/>
        </w:rPr>
        <w:t> </w:t>
      </w:r>
      <w:r w:rsidRPr="00976C24">
        <w:rPr>
          <w:lang w:val="fr-FR"/>
        </w:rPr>
        <w:t xml:space="preserve">% en 2009. </w:t>
      </w:r>
      <w:r>
        <w:rPr>
          <w:lang w:val="fr-FR"/>
        </w:rPr>
        <w:t>La proportion de</w:t>
      </w:r>
      <w:r w:rsidRPr="00976C24">
        <w:rPr>
          <w:lang w:val="fr-FR"/>
        </w:rPr>
        <w:t xml:space="preserve"> </w:t>
      </w:r>
      <w:r>
        <w:rPr>
          <w:lang w:val="fr-FR"/>
        </w:rPr>
        <w:t>p</w:t>
      </w:r>
      <w:r w:rsidRPr="00976C24">
        <w:rPr>
          <w:lang w:val="fr-FR"/>
        </w:rPr>
        <w:t>résidentes est passée de 2</w:t>
      </w:r>
      <w:r>
        <w:rPr>
          <w:lang w:val="fr-FR"/>
        </w:rPr>
        <w:t> </w:t>
      </w:r>
      <w:r w:rsidRPr="00976C24">
        <w:rPr>
          <w:lang w:val="fr-FR"/>
        </w:rPr>
        <w:t>% en 2005 à 7</w:t>
      </w:r>
      <w:r>
        <w:rPr>
          <w:lang w:val="fr-FR"/>
        </w:rPr>
        <w:t> </w:t>
      </w:r>
      <w:r w:rsidRPr="00976C24">
        <w:rPr>
          <w:lang w:val="fr-FR"/>
        </w:rPr>
        <w:t>% en 2009.</w:t>
      </w:r>
    </w:p>
    <w:p w:rsidR="00903547" w:rsidRPr="00976C24" w:rsidRDefault="00903547" w:rsidP="0071086E">
      <w:pPr>
        <w:pStyle w:val="H1G"/>
        <w:rPr>
          <w:lang w:val="fr-FR"/>
        </w:rPr>
      </w:pPr>
      <w:bookmarkStart w:id="41" w:name="_Toc265062221"/>
      <w:r w:rsidRPr="00976C24">
        <w:rPr>
          <w:lang w:val="fr-FR"/>
        </w:rPr>
        <w:tab/>
      </w:r>
      <w:r w:rsidRPr="00976C24">
        <w:rPr>
          <w:lang w:val="fr-FR"/>
        </w:rPr>
        <w:tab/>
      </w:r>
      <w:bookmarkStart w:id="42" w:name="_Toc286326368"/>
      <w:r w:rsidRPr="00976C24">
        <w:rPr>
          <w:lang w:val="fr-FR"/>
        </w:rPr>
        <w:t>Article 4</w:t>
      </w:r>
      <w:bookmarkEnd w:id="40"/>
      <w:r>
        <w:rPr>
          <w:lang w:val="fr-FR"/>
        </w:rPr>
        <w:br/>
      </w:r>
      <w:r w:rsidRPr="00976C24">
        <w:rPr>
          <w:lang w:val="fr-FR"/>
        </w:rPr>
        <w:t>Limitations</w:t>
      </w:r>
      <w:bookmarkEnd w:id="41"/>
      <w:bookmarkEnd w:id="42"/>
    </w:p>
    <w:p w:rsidR="00903547" w:rsidRPr="00976C24" w:rsidRDefault="00903547" w:rsidP="00982FD0">
      <w:pPr>
        <w:pStyle w:val="SingleTxtG"/>
        <w:rPr>
          <w:lang w:val="fr-FR"/>
        </w:rPr>
      </w:pPr>
      <w:r>
        <w:rPr>
          <w:lang w:val="fr-FR"/>
        </w:rPr>
        <w:t>140.</w:t>
      </w:r>
      <w:r>
        <w:rPr>
          <w:lang w:val="fr-FR"/>
        </w:rPr>
        <w:tab/>
      </w:r>
      <w:r w:rsidRPr="00976C24">
        <w:rPr>
          <w:lang w:val="fr-FR"/>
        </w:rPr>
        <w:t xml:space="preserve">Le Comité pourra se reporter au document de base commun. </w:t>
      </w:r>
    </w:p>
    <w:p w:rsidR="00903547" w:rsidRPr="00976C24" w:rsidRDefault="00903547" w:rsidP="0071086E">
      <w:pPr>
        <w:pStyle w:val="H1G"/>
        <w:rPr>
          <w:lang w:val="fr-FR"/>
        </w:rPr>
      </w:pPr>
      <w:bookmarkStart w:id="43" w:name="_Toc239660516"/>
      <w:bookmarkStart w:id="44" w:name="_Toc265062222"/>
      <w:r w:rsidRPr="00976C24">
        <w:rPr>
          <w:lang w:val="fr-FR"/>
        </w:rPr>
        <w:tab/>
      </w:r>
      <w:r w:rsidRPr="00976C24">
        <w:rPr>
          <w:lang w:val="fr-FR"/>
        </w:rPr>
        <w:tab/>
      </w:r>
      <w:bookmarkStart w:id="45" w:name="_Toc286326369"/>
      <w:r w:rsidRPr="00976C24">
        <w:rPr>
          <w:lang w:val="fr-FR"/>
        </w:rPr>
        <w:t>Article 5</w:t>
      </w:r>
      <w:bookmarkEnd w:id="43"/>
      <w:bookmarkEnd w:id="44"/>
      <w:bookmarkEnd w:id="45"/>
      <w:r>
        <w:rPr>
          <w:lang w:val="fr-FR"/>
        </w:rPr>
        <w:br/>
      </w:r>
      <w:r w:rsidRPr="00976C24">
        <w:rPr>
          <w:lang w:val="fr-FR"/>
        </w:rPr>
        <w:t>Interprétation</w:t>
      </w:r>
    </w:p>
    <w:p w:rsidR="00903547" w:rsidRPr="00976C24" w:rsidRDefault="00903547" w:rsidP="00982FD0">
      <w:pPr>
        <w:pStyle w:val="SingleTxtG"/>
        <w:rPr>
          <w:lang w:val="fr-FR"/>
        </w:rPr>
      </w:pPr>
      <w:r>
        <w:rPr>
          <w:lang w:val="fr-FR"/>
        </w:rPr>
        <w:t>141.</w:t>
      </w:r>
      <w:r>
        <w:rPr>
          <w:lang w:val="fr-FR"/>
        </w:rPr>
        <w:tab/>
      </w:r>
      <w:r w:rsidRPr="00976C24">
        <w:rPr>
          <w:lang w:val="fr-FR"/>
        </w:rPr>
        <w:t>Le Comité pourra se reporter au document de base commun.</w:t>
      </w:r>
    </w:p>
    <w:p w:rsidR="00903547" w:rsidRPr="00976C24" w:rsidRDefault="00903547" w:rsidP="0071086E">
      <w:pPr>
        <w:pStyle w:val="HChG"/>
        <w:rPr>
          <w:lang w:val="fr-FR"/>
        </w:rPr>
      </w:pPr>
      <w:bookmarkStart w:id="46" w:name="_Toc265062223"/>
      <w:r w:rsidRPr="00976C24">
        <w:rPr>
          <w:lang w:val="fr-FR"/>
        </w:rPr>
        <w:tab/>
      </w:r>
      <w:bookmarkStart w:id="47" w:name="_Toc286326370"/>
      <w:r w:rsidRPr="00976C24">
        <w:rPr>
          <w:lang w:val="fr-FR"/>
        </w:rPr>
        <w:t>IV.</w:t>
      </w:r>
      <w:r w:rsidRPr="00976C24">
        <w:rPr>
          <w:lang w:val="fr-FR"/>
        </w:rPr>
        <w:tab/>
        <w:t xml:space="preserve">Partie du rapport </w:t>
      </w:r>
      <w:r>
        <w:rPr>
          <w:lang w:val="fr-FR"/>
        </w:rPr>
        <w:t>relative à des droits précis</w:t>
      </w:r>
      <w:bookmarkEnd w:id="46"/>
      <w:bookmarkEnd w:id="47"/>
    </w:p>
    <w:p w:rsidR="00903547" w:rsidRPr="00976C24" w:rsidRDefault="00903547" w:rsidP="0071086E">
      <w:pPr>
        <w:pStyle w:val="H1G"/>
        <w:rPr>
          <w:lang w:val="fr-FR"/>
        </w:rPr>
      </w:pPr>
      <w:bookmarkStart w:id="48" w:name="_Toc265062224"/>
      <w:r w:rsidRPr="00976C24">
        <w:rPr>
          <w:lang w:val="fr-FR"/>
        </w:rPr>
        <w:tab/>
      </w:r>
      <w:r w:rsidRPr="00976C24">
        <w:rPr>
          <w:lang w:val="fr-FR"/>
        </w:rPr>
        <w:tab/>
      </w:r>
      <w:bookmarkStart w:id="49" w:name="_Toc286326371"/>
      <w:r w:rsidRPr="00976C24">
        <w:rPr>
          <w:lang w:val="fr-FR"/>
        </w:rPr>
        <w:t>Article 6</w:t>
      </w:r>
      <w:r>
        <w:rPr>
          <w:lang w:val="fr-FR"/>
        </w:rPr>
        <w:br/>
      </w:r>
      <w:r w:rsidRPr="00976C24">
        <w:rPr>
          <w:lang w:val="fr-FR"/>
        </w:rPr>
        <w:t>Droit au travail</w:t>
      </w:r>
      <w:bookmarkEnd w:id="48"/>
      <w:bookmarkEnd w:id="49"/>
    </w:p>
    <w:p w:rsidR="00903547" w:rsidRPr="00976C24" w:rsidRDefault="00903547" w:rsidP="0071086E">
      <w:pPr>
        <w:pStyle w:val="H23G"/>
        <w:rPr>
          <w:bCs/>
          <w:iCs/>
          <w:lang w:val="fr-FR"/>
        </w:rPr>
      </w:pPr>
      <w:r w:rsidRPr="00976C24">
        <w:rPr>
          <w:bCs/>
          <w:iCs/>
          <w:lang w:val="fr-FR"/>
        </w:rPr>
        <w:tab/>
        <w:t>1.</w:t>
      </w:r>
      <w:r w:rsidRPr="00976C24">
        <w:rPr>
          <w:bCs/>
          <w:iCs/>
          <w:lang w:val="fr-FR"/>
        </w:rPr>
        <w:tab/>
        <w:t>Informations sur les mesures effectives prises pour réduire le chômage (</w:t>
      </w:r>
      <w:r w:rsidRPr="00976C24">
        <w:rPr>
          <w:lang w:val="fr-FR"/>
        </w:rPr>
        <w:t>E/2009/22-E/C.12/2008/3, annexe VIII, par.</w:t>
      </w:r>
      <w:r>
        <w:rPr>
          <w:lang w:val="fr-FR"/>
        </w:rPr>
        <w:t> </w:t>
      </w:r>
      <w:r w:rsidRPr="00976C24">
        <w:rPr>
          <w:lang w:val="fr-FR"/>
        </w:rPr>
        <w:t>15)</w:t>
      </w:r>
    </w:p>
    <w:p w:rsidR="00903547" w:rsidRPr="00976C24" w:rsidRDefault="00903547" w:rsidP="0071086E">
      <w:pPr>
        <w:pStyle w:val="H23G"/>
        <w:rPr>
          <w:bCs/>
          <w:iCs/>
          <w:lang w:val="fr-FR"/>
        </w:rPr>
      </w:pPr>
      <w:r w:rsidRPr="00976C24">
        <w:rPr>
          <w:bCs/>
          <w:iCs/>
          <w:lang w:val="fr-FR"/>
        </w:rPr>
        <w:tab/>
        <w:t>a)</w:t>
      </w:r>
      <w:r w:rsidRPr="00976C24">
        <w:rPr>
          <w:bCs/>
          <w:iCs/>
          <w:lang w:val="fr-FR"/>
        </w:rPr>
        <w:tab/>
        <w:t xml:space="preserve">Impact des programmes d’emploi ciblés mis en place pour parvenir au plein emploi productif chez les personnes et les groupes considérés comme particulièrement défavorisés, notamment les femmes, les jeunes, les personnes âgées, les personnes handicapées et les minorités ethniques, dans les zones rurales et les zones urbaines déshéritées </w:t>
      </w:r>
    </w:p>
    <w:p w:rsidR="00903547" w:rsidRPr="00976C24" w:rsidRDefault="00903547" w:rsidP="00982FD0">
      <w:pPr>
        <w:pStyle w:val="SingleTxtG"/>
        <w:rPr>
          <w:lang w:val="fr-FR"/>
        </w:rPr>
      </w:pPr>
      <w:r>
        <w:rPr>
          <w:lang w:val="fr-FR"/>
        </w:rPr>
        <w:t>142.</w:t>
      </w:r>
      <w:r>
        <w:rPr>
          <w:lang w:val="fr-FR"/>
        </w:rPr>
        <w:tab/>
      </w:r>
      <w:r w:rsidRPr="00976C24">
        <w:rPr>
          <w:lang w:val="fr-FR"/>
        </w:rPr>
        <w:t xml:space="preserve">Selon l’Etude économique </w:t>
      </w:r>
      <w:r>
        <w:rPr>
          <w:lang w:val="fr-FR"/>
        </w:rPr>
        <w:t>de l’OCDE consacrée à</w:t>
      </w:r>
      <w:r w:rsidRPr="00976C24">
        <w:rPr>
          <w:lang w:val="fr-FR"/>
        </w:rPr>
        <w:t xml:space="preserve"> la Norvège</w:t>
      </w:r>
      <w:r>
        <w:rPr>
          <w:lang w:val="fr-FR"/>
        </w:rPr>
        <w:t xml:space="preserve"> </w:t>
      </w:r>
      <w:r w:rsidRPr="00976C24">
        <w:rPr>
          <w:lang w:val="fr-FR"/>
        </w:rPr>
        <w:t xml:space="preserve">en 2010, </w:t>
      </w:r>
      <w:r>
        <w:rPr>
          <w:lang w:val="fr-FR"/>
        </w:rPr>
        <w:t>«l</w:t>
      </w:r>
      <w:r w:rsidRPr="00903841">
        <w:rPr>
          <w:lang w:val="fr-FR"/>
        </w:rPr>
        <w:t xml:space="preserve">’économie norvégienne a particulièrement bien résisté à la crise financière, confrontée à une récession relativement peu profonde et </w:t>
      </w:r>
      <w:r>
        <w:rPr>
          <w:lang w:val="fr-FR"/>
        </w:rPr>
        <w:t>à une hausse modérée du chômage».</w:t>
      </w:r>
      <w:r w:rsidRPr="00903841">
        <w:rPr>
          <w:lang w:val="fr-FR"/>
        </w:rPr>
        <w:t xml:space="preserve"> </w:t>
      </w:r>
      <w:r w:rsidRPr="00976C24">
        <w:rPr>
          <w:lang w:val="fr-FR"/>
        </w:rPr>
        <w:t xml:space="preserve">La réponse rapide et adaptée du Gouvernement y est mise en avant </w:t>
      </w:r>
      <w:r>
        <w:rPr>
          <w:lang w:val="fr-FR"/>
        </w:rPr>
        <w:t>«</w:t>
      </w:r>
      <w:r w:rsidRPr="00976C24">
        <w:rPr>
          <w:lang w:val="fr-FR"/>
        </w:rPr>
        <w:t>la Norvège s’</w:t>
      </w:r>
      <w:r>
        <w:rPr>
          <w:lang w:val="fr-FR"/>
        </w:rPr>
        <w:t>achemine vers une reprise qui s’annonce vigoureuse».</w:t>
      </w:r>
      <w:r w:rsidRPr="00976C24">
        <w:rPr>
          <w:lang w:val="fr-FR"/>
        </w:rPr>
        <w:t xml:space="preserve"> Les chiffres de l’emploi sont présentés au paragraphe</w:t>
      </w:r>
      <w:r>
        <w:rPr>
          <w:lang w:val="fr-FR"/>
        </w:rPr>
        <w:t> </w:t>
      </w:r>
      <w:r w:rsidRPr="00976C24">
        <w:rPr>
          <w:lang w:val="fr-FR"/>
        </w:rPr>
        <w:t>20 du document de base commun.</w:t>
      </w:r>
    </w:p>
    <w:p w:rsidR="00903547" w:rsidRPr="00976C24" w:rsidRDefault="00903547" w:rsidP="00982FD0">
      <w:pPr>
        <w:pStyle w:val="SingleTxtG"/>
        <w:rPr>
          <w:lang w:val="fr-FR"/>
        </w:rPr>
      </w:pPr>
      <w:r>
        <w:rPr>
          <w:lang w:val="fr-FR"/>
        </w:rPr>
        <w:t>143.</w:t>
      </w:r>
      <w:r>
        <w:rPr>
          <w:lang w:val="fr-FR"/>
        </w:rPr>
        <w:tab/>
        <w:t>Le Comité pourra également se r</w:t>
      </w:r>
      <w:r w:rsidRPr="00976C24">
        <w:rPr>
          <w:lang w:val="fr-FR"/>
        </w:rPr>
        <w:t xml:space="preserve">eporter à la réponse du Gouvernement </w:t>
      </w:r>
      <w:r>
        <w:rPr>
          <w:lang w:val="fr-FR"/>
        </w:rPr>
        <w:t>relative à</w:t>
      </w:r>
      <w:r w:rsidRPr="00976C24">
        <w:rPr>
          <w:lang w:val="fr-FR"/>
        </w:rPr>
        <w:t xml:space="preserve"> l’article 3 </w:t>
      </w:r>
      <w:r>
        <w:rPr>
          <w:lang w:val="fr-FR"/>
        </w:rPr>
        <w:t>figurant dans le</w:t>
      </w:r>
      <w:r w:rsidRPr="00976C24">
        <w:rPr>
          <w:lang w:val="fr-FR"/>
        </w:rPr>
        <w:t xml:space="preserve"> présent rapport concernant l’égalité des sexes et le marché du travail.</w:t>
      </w:r>
    </w:p>
    <w:p w:rsidR="00903547" w:rsidRPr="00976C24" w:rsidRDefault="00903547" w:rsidP="00982FD0">
      <w:pPr>
        <w:pStyle w:val="SingleTxtG"/>
        <w:rPr>
          <w:lang w:val="fr-FR"/>
        </w:rPr>
      </w:pPr>
      <w:r>
        <w:rPr>
          <w:lang w:val="fr-FR"/>
        </w:rPr>
        <w:t>144.</w:t>
      </w:r>
      <w:r>
        <w:rPr>
          <w:lang w:val="fr-FR"/>
        </w:rPr>
        <w:tab/>
      </w:r>
      <w:r w:rsidRPr="00976C24">
        <w:rPr>
          <w:lang w:val="fr-FR"/>
        </w:rPr>
        <w:t xml:space="preserve">L’administration des services sociaux des municipalités, </w:t>
      </w:r>
      <w:r>
        <w:rPr>
          <w:lang w:val="fr-FR"/>
        </w:rPr>
        <w:t>le</w:t>
      </w:r>
      <w:r w:rsidRPr="00976C24">
        <w:rPr>
          <w:lang w:val="fr-FR"/>
        </w:rPr>
        <w:t xml:space="preserve"> service national de l’emploi (Aetat) et </w:t>
      </w:r>
      <w:r>
        <w:rPr>
          <w:lang w:val="fr-FR"/>
        </w:rPr>
        <w:t>le</w:t>
      </w:r>
      <w:r w:rsidRPr="00976C24">
        <w:rPr>
          <w:lang w:val="fr-FR"/>
        </w:rPr>
        <w:t xml:space="preserve"> service national d’assurance (RTV) ont été réorganisés et</w:t>
      </w:r>
      <w:r>
        <w:rPr>
          <w:lang w:val="fr-FR"/>
        </w:rPr>
        <w:t xml:space="preserve"> regroupés</w:t>
      </w:r>
      <w:r w:rsidRPr="00976C24">
        <w:rPr>
          <w:lang w:val="fr-FR"/>
        </w:rPr>
        <w:t xml:space="preserve"> le </w:t>
      </w:r>
      <w:r>
        <w:rPr>
          <w:lang w:val="fr-FR"/>
        </w:rPr>
        <w:t>1</w:t>
      </w:r>
      <w:r w:rsidRPr="00D52E44">
        <w:rPr>
          <w:vertAlign w:val="superscript"/>
          <w:lang w:val="fr-FR"/>
        </w:rPr>
        <w:t>er</w:t>
      </w:r>
      <w:r>
        <w:rPr>
          <w:lang w:val="fr-FR"/>
        </w:rPr>
        <w:t xml:space="preserve"> </w:t>
      </w:r>
      <w:r w:rsidRPr="00976C24">
        <w:rPr>
          <w:lang w:val="fr-FR"/>
        </w:rPr>
        <w:t>juillet</w:t>
      </w:r>
      <w:r>
        <w:rPr>
          <w:lang w:val="fr-FR"/>
        </w:rPr>
        <w:t xml:space="preserve"> 2006</w:t>
      </w:r>
      <w:r w:rsidRPr="00976C24">
        <w:rPr>
          <w:lang w:val="fr-FR"/>
        </w:rPr>
        <w:t xml:space="preserve"> </w:t>
      </w:r>
      <w:r>
        <w:rPr>
          <w:lang w:val="fr-FR"/>
        </w:rPr>
        <w:t>en</w:t>
      </w:r>
      <w:r w:rsidRPr="00976C24">
        <w:rPr>
          <w:lang w:val="fr-FR"/>
        </w:rPr>
        <w:t xml:space="preserve"> une nouvelle administration du travail et de la protection sociale (NAV). Les principes régissant la nouvelle administration ont été dé</w:t>
      </w:r>
      <w:r>
        <w:rPr>
          <w:lang w:val="fr-FR"/>
        </w:rPr>
        <w:t>finis</w:t>
      </w:r>
      <w:r w:rsidRPr="00976C24">
        <w:rPr>
          <w:lang w:val="fr-FR"/>
        </w:rPr>
        <w:t xml:space="preserve"> </w:t>
      </w:r>
      <w:r>
        <w:rPr>
          <w:lang w:val="fr-FR"/>
        </w:rPr>
        <w:t>à l’occasion de</w:t>
      </w:r>
      <w:r w:rsidRPr="00976C24">
        <w:rPr>
          <w:lang w:val="fr-FR"/>
        </w:rPr>
        <w:t xml:space="preserve"> l’examen par le </w:t>
      </w:r>
      <w:r w:rsidRPr="00B52B8E">
        <w:rPr>
          <w:i/>
          <w:lang w:val="fr-FR"/>
        </w:rPr>
        <w:t>Storting</w:t>
      </w:r>
      <w:r w:rsidRPr="00976C24">
        <w:rPr>
          <w:lang w:val="fr-FR"/>
        </w:rPr>
        <w:t xml:space="preserve"> du livre blanc </w:t>
      </w:r>
      <w:r>
        <w:rPr>
          <w:lang w:val="fr-FR"/>
        </w:rPr>
        <w:t>concernant</w:t>
      </w:r>
      <w:r w:rsidRPr="00976C24">
        <w:rPr>
          <w:lang w:val="fr-FR"/>
        </w:rPr>
        <w:t xml:space="preserve"> une nouvelle administration de l’emploi et de la protection sociale (Rapport </w:t>
      </w:r>
      <w:r>
        <w:rPr>
          <w:lang w:val="fr-FR"/>
        </w:rPr>
        <w:t>n</w:t>
      </w:r>
      <w:r w:rsidRPr="000A7EEA">
        <w:rPr>
          <w:vertAlign w:val="superscript"/>
          <w:lang w:val="fr-FR"/>
        </w:rPr>
        <w:t>o</w:t>
      </w:r>
      <w:r>
        <w:rPr>
          <w:lang w:val="fr-FR"/>
        </w:rPr>
        <w:t> </w:t>
      </w:r>
      <w:r w:rsidRPr="00976C24">
        <w:rPr>
          <w:lang w:val="fr-FR"/>
        </w:rPr>
        <w:t>46 (2004</w:t>
      </w:r>
      <w:r>
        <w:rPr>
          <w:lang w:val="fr-FR"/>
        </w:rPr>
        <w:t>-</w:t>
      </w:r>
      <w:r w:rsidRPr="00976C24">
        <w:rPr>
          <w:lang w:val="fr-FR"/>
        </w:rPr>
        <w:t xml:space="preserve">2005) au </w:t>
      </w:r>
      <w:r w:rsidRPr="00B52B8E">
        <w:rPr>
          <w:i/>
          <w:lang w:val="fr-FR"/>
        </w:rPr>
        <w:t>Storting</w:t>
      </w:r>
      <w:r w:rsidRPr="00976C24">
        <w:rPr>
          <w:lang w:val="fr-FR"/>
        </w:rPr>
        <w:t xml:space="preserve">). La réforme </w:t>
      </w:r>
      <w:r>
        <w:rPr>
          <w:lang w:val="fr-FR"/>
        </w:rPr>
        <w:t xml:space="preserve">vise d’abord à augmenter le nombre </w:t>
      </w:r>
      <w:r w:rsidRPr="00976C24">
        <w:rPr>
          <w:lang w:val="fr-FR"/>
        </w:rPr>
        <w:t xml:space="preserve">de personnes </w:t>
      </w:r>
      <w:r>
        <w:rPr>
          <w:lang w:val="fr-FR"/>
        </w:rPr>
        <w:t>ayant un emploi et une activité</w:t>
      </w:r>
      <w:r w:rsidRPr="00976C24">
        <w:rPr>
          <w:lang w:val="fr-FR"/>
        </w:rPr>
        <w:t xml:space="preserve"> et </w:t>
      </w:r>
      <w:r>
        <w:rPr>
          <w:lang w:val="fr-FR"/>
        </w:rPr>
        <w:t>à réduire</w:t>
      </w:r>
      <w:r w:rsidRPr="00976C24">
        <w:rPr>
          <w:lang w:val="fr-FR"/>
        </w:rPr>
        <w:t xml:space="preserve"> </w:t>
      </w:r>
      <w:r>
        <w:rPr>
          <w:lang w:val="fr-FR"/>
        </w:rPr>
        <w:t>celui des bénéficiaires de</w:t>
      </w:r>
      <w:r w:rsidRPr="00976C24">
        <w:rPr>
          <w:lang w:val="fr-FR"/>
        </w:rPr>
        <w:t xml:space="preserve"> prestations, </w:t>
      </w:r>
      <w:r>
        <w:rPr>
          <w:lang w:val="fr-FR"/>
        </w:rPr>
        <w:t xml:space="preserve">à mieux adapter le </w:t>
      </w:r>
      <w:r w:rsidRPr="00976C24">
        <w:rPr>
          <w:lang w:val="fr-FR"/>
        </w:rPr>
        <w:t xml:space="preserve">système </w:t>
      </w:r>
      <w:r>
        <w:rPr>
          <w:lang w:val="fr-FR"/>
        </w:rPr>
        <w:t xml:space="preserve">à l’usager et à établir une </w:t>
      </w:r>
      <w:r w:rsidRPr="00976C24">
        <w:rPr>
          <w:lang w:val="fr-FR"/>
        </w:rPr>
        <w:t>administration de l’emploi et de la protection sociale coordonnée et efficace.</w:t>
      </w:r>
    </w:p>
    <w:p w:rsidR="00903547" w:rsidRPr="00976C24" w:rsidRDefault="00903547" w:rsidP="00982FD0">
      <w:pPr>
        <w:pStyle w:val="SingleTxtG"/>
        <w:rPr>
          <w:lang w:val="fr-FR"/>
        </w:rPr>
      </w:pPr>
      <w:r>
        <w:rPr>
          <w:lang w:val="fr-FR"/>
        </w:rPr>
        <w:t>145.</w:t>
      </w:r>
      <w:r>
        <w:rPr>
          <w:lang w:val="fr-FR"/>
        </w:rPr>
        <w:tab/>
      </w:r>
      <w:r w:rsidRPr="00976C24">
        <w:rPr>
          <w:lang w:val="fr-FR"/>
        </w:rPr>
        <w:t>Les immigrés, les jeunes, les chômeurs de longue durée et les personnes handicapées sont les principaux groupes cible</w:t>
      </w:r>
      <w:r>
        <w:rPr>
          <w:lang w:val="fr-FR"/>
        </w:rPr>
        <w:t>s</w:t>
      </w:r>
      <w:r w:rsidRPr="00976C24">
        <w:rPr>
          <w:lang w:val="fr-FR"/>
        </w:rPr>
        <w:t xml:space="preserve"> de la politique du marché du travail. </w:t>
      </w:r>
      <w:r>
        <w:rPr>
          <w:lang w:val="fr-FR"/>
        </w:rPr>
        <w:t>Ils</w:t>
      </w:r>
      <w:r w:rsidRPr="00976C24">
        <w:rPr>
          <w:lang w:val="fr-FR"/>
        </w:rPr>
        <w:t xml:space="preserve"> sont également </w:t>
      </w:r>
      <w:r>
        <w:rPr>
          <w:lang w:val="fr-FR"/>
        </w:rPr>
        <w:t>les premiers à bénéficier d</w:t>
      </w:r>
      <w:r w:rsidRPr="00976C24">
        <w:rPr>
          <w:lang w:val="fr-FR"/>
        </w:rPr>
        <w:t xml:space="preserve">es mesures pour l’emploi. En mai 2009, les immigrés </w:t>
      </w:r>
      <w:r>
        <w:rPr>
          <w:lang w:val="fr-FR"/>
        </w:rPr>
        <w:t>représentaient</w:t>
      </w:r>
      <w:r w:rsidRPr="00976C24">
        <w:rPr>
          <w:lang w:val="fr-FR"/>
        </w:rPr>
        <w:t xml:space="preserve"> 26</w:t>
      </w:r>
      <w:r>
        <w:rPr>
          <w:lang w:val="fr-FR"/>
        </w:rPr>
        <w:t> </w:t>
      </w:r>
      <w:r w:rsidRPr="00976C24">
        <w:rPr>
          <w:lang w:val="fr-FR"/>
        </w:rPr>
        <w:t>% des chômeurs mais 36</w:t>
      </w:r>
      <w:r>
        <w:rPr>
          <w:lang w:val="fr-FR"/>
        </w:rPr>
        <w:t> %</w:t>
      </w:r>
      <w:r w:rsidRPr="00976C24">
        <w:rPr>
          <w:lang w:val="fr-FR"/>
        </w:rPr>
        <w:t xml:space="preserve"> </w:t>
      </w:r>
      <w:r>
        <w:rPr>
          <w:lang w:val="fr-FR"/>
        </w:rPr>
        <w:t>participaient aux</w:t>
      </w:r>
      <w:r w:rsidRPr="00976C24">
        <w:rPr>
          <w:lang w:val="fr-FR"/>
        </w:rPr>
        <w:t xml:space="preserve"> mesures pour l’emploi. La politique norvégienne du marché du travail prévoit également des garanties particulières pour les groupes vulnérables. Les jeunes de 20 à 24 ans </w:t>
      </w:r>
      <w:r>
        <w:rPr>
          <w:lang w:val="fr-FR"/>
        </w:rPr>
        <w:t>sont</w:t>
      </w:r>
      <w:r w:rsidRPr="00976C24">
        <w:rPr>
          <w:lang w:val="fr-FR"/>
        </w:rPr>
        <w:t xml:space="preserve"> suivi</w:t>
      </w:r>
      <w:r>
        <w:rPr>
          <w:lang w:val="fr-FR"/>
        </w:rPr>
        <w:t>s par le</w:t>
      </w:r>
      <w:r w:rsidRPr="00976C24">
        <w:rPr>
          <w:lang w:val="fr-FR"/>
        </w:rPr>
        <w:t xml:space="preserve"> service de l’emploi et de la protection sociale et </w:t>
      </w:r>
      <w:r>
        <w:rPr>
          <w:lang w:val="fr-FR"/>
        </w:rPr>
        <w:t>invités à participer aux</w:t>
      </w:r>
      <w:r w:rsidRPr="00976C24">
        <w:rPr>
          <w:lang w:val="fr-FR"/>
        </w:rPr>
        <w:t xml:space="preserve"> mesures. Les chômeurs de longue durée </w:t>
      </w:r>
      <w:r>
        <w:rPr>
          <w:lang w:val="fr-FR"/>
        </w:rPr>
        <w:t>sont également concernés</w:t>
      </w:r>
      <w:r w:rsidRPr="00976C24">
        <w:rPr>
          <w:lang w:val="fr-FR"/>
        </w:rPr>
        <w:t>.</w:t>
      </w:r>
    </w:p>
    <w:p w:rsidR="00903547" w:rsidRPr="00976C24" w:rsidRDefault="00903547" w:rsidP="00982FD0">
      <w:pPr>
        <w:pStyle w:val="SingleTxtG"/>
        <w:rPr>
          <w:lang w:val="fr-FR"/>
        </w:rPr>
      </w:pPr>
      <w:r>
        <w:rPr>
          <w:lang w:val="fr-FR"/>
        </w:rPr>
        <w:t>146.</w:t>
      </w:r>
      <w:r>
        <w:rPr>
          <w:lang w:val="fr-FR"/>
        </w:rPr>
        <w:tab/>
      </w:r>
      <w:r w:rsidRPr="00976C24">
        <w:rPr>
          <w:lang w:val="fr-FR"/>
        </w:rPr>
        <w:t>Le Comité pourra se reporter à la réponse du Gouvernement au paragraphe</w:t>
      </w:r>
      <w:r>
        <w:rPr>
          <w:lang w:val="fr-FR"/>
        </w:rPr>
        <w:t> </w:t>
      </w:r>
      <w:r w:rsidRPr="00976C24">
        <w:rPr>
          <w:lang w:val="fr-FR"/>
        </w:rPr>
        <w:t xml:space="preserve">28 des observations finales </w:t>
      </w:r>
      <w:r>
        <w:rPr>
          <w:lang w:val="fr-FR"/>
        </w:rPr>
        <w:t xml:space="preserve">figurant dans le présent rapport (par. 35 à </w:t>
      </w:r>
      <w:r w:rsidRPr="00976C24">
        <w:rPr>
          <w:lang w:val="fr-FR"/>
        </w:rPr>
        <w:t>39 ci-dessus) concernant les programmes d’emploi cibl</w:t>
      </w:r>
      <w:r>
        <w:rPr>
          <w:lang w:val="fr-FR"/>
        </w:rPr>
        <w:t>ant</w:t>
      </w:r>
      <w:r w:rsidRPr="00976C24">
        <w:rPr>
          <w:lang w:val="fr-FR"/>
        </w:rPr>
        <w:t xml:space="preserve"> les minorités ethniques. Les </w:t>
      </w:r>
      <w:r>
        <w:rPr>
          <w:lang w:val="fr-FR"/>
        </w:rPr>
        <w:t>organes gouvernementaux</w:t>
      </w:r>
      <w:r w:rsidRPr="00976C24">
        <w:rPr>
          <w:lang w:val="fr-FR"/>
        </w:rPr>
        <w:t xml:space="preserve"> sont également tenus d</w:t>
      </w:r>
      <w:r>
        <w:rPr>
          <w:lang w:val="fr-FR"/>
        </w:rPr>
        <w:t>e convoquer</w:t>
      </w:r>
      <w:r w:rsidRPr="00976C24">
        <w:rPr>
          <w:lang w:val="fr-FR"/>
        </w:rPr>
        <w:t xml:space="preserve"> au moins un candidat qualifié issu de l’immigration </w:t>
      </w:r>
      <w:r>
        <w:rPr>
          <w:lang w:val="fr-FR"/>
        </w:rPr>
        <w:t xml:space="preserve">lors des </w:t>
      </w:r>
      <w:r w:rsidRPr="00976C24">
        <w:rPr>
          <w:lang w:val="fr-FR"/>
        </w:rPr>
        <w:t>entretien</w:t>
      </w:r>
      <w:r>
        <w:rPr>
          <w:lang w:val="fr-FR"/>
        </w:rPr>
        <w:t>s d’embauche</w:t>
      </w:r>
      <w:r w:rsidRPr="00976C24">
        <w:rPr>
          <w:lang w:val="fr-FR"/>
        </w:rPr>
        <w:t>. Selon les informations recueillies par le Ministère de l’administration publique, de la réforme et du culte, 32</w:t>
      </w:r>
      <w:r>
        <w:rPr>
          <w:lang w:val="fr-FR"/>
        </w:rPr>
        <w:t> %</w:t>
      </w:r>
      <w:r w:rsidRPr="00976C24">
        <w:rPr>
          <w:lang w:val="fr-FR"/>
        </w:rPr>
        <w:t xml:space="preserve"> de la population issue de l’immigration non occidentale ayant </w:t>
      </w:r>
      <w:r>
        <w:rPr>
          <w:lang w:val="fr-FR"/>
        </w:rPr>
        <w:t>passé</w:t>
      </w:r>
      <w:r w:rsidRPr="00976C24">
        <w:rPr>
          <w:lang w:val="fr-FR"/>
        </w:rPr>
        <w:t xml:space="preserve"> un entretien </w:t>
      </w:r>
      <w:r>
        <w:rPr>
          <w:lang w:val="fr-FR"/>
        </w:rPr>
        <w:t>d’embauche</w:t>
      </w:r>
      <w:r w:rsidRPr="00976C24">
        <w:rPr>
          <w:lang w:val="fr-FR"/>
        </w:rPr>
        <w:t xml:space="preserve"> </w:t>
      </w:r>
      <w:r>
        <w:rPr>
          <w:lang w:val="fr-FR"/>
        </w:rPr>
        <w:t>ont été</w:t>
      </w:r>
      <w:r w:rsidRPr="00976C24">
        <w:rPr>
          <w:lang w:val="fr-FR"/>
        </w:rPr>
        <w:t xml:space="preserve"> effectivement </w:t>
      </w:r>
      <w:r>
        <w:rPr>
          <w:lang w:val="fr-FR"/>
        </w:rPr>
        <w:t>recrutés</w:t>
      </w:r>
      <w:r w:rsidRPr="00976C24">
        <w:rPr>
          <w:lang w:val="fr-FR"/>
        </w:rPr>
        <w:t xml:space="preserve"> au cours de la période considérée. Le Ministère a également lancé un projet dans 12 organismes publics en 2008</w:t>
      </w:r>
      <w:r>
        <w:rPr>
          <w:lang w:val="fr-FR"/>
        </w:rPr>
        <w:t>-</w:t>
      </w:r>
      <w:r w:rsidRPr="00976C24">
        <w:rPr>
          <w:lang w:val="fr-FR"/>
        </w:rPr>
        <w:t xml:space="preserve">2009 </w:t>
      </w:r>
      <w:r>
        <w:rPr>
          <w:lang w:val="fr-FR"/>
        </w:rPr>
        <w:t>pour vérifier</w:t>
      </w:r>
      <w:r w:rsidRPr="00976C24">
        <w:rPr>
          <w:lang w:val="fr-FR"/>
        </w:rPr>
        <w:t xml:space="preserve"> l’</w:t>
      </w:r>
      <w:r>
        <w:rPr>
          <w:lang w:val="fr-FR"/>
        </w:rPr>
        <w:t>incidence</w:t>
      </w:r>
      <w:r w:rsidRPr="00976C24">
        <w:rPr>
          <w:lang w:val="fr-FR"/>
        </w:rPr>
        <w:t xml:space="preserve"> d’un</w:t>
      </w:r>
      <w:r>
        <w:rPr>
          <w:lang w:val="fr-FR"/>
        </w:rPr>
        <w:t>e</w:t>
      </w:r>
      <w:r w:rsidRPr="00976C24">
        <w:rPr>
          <w:lang w:val="fr-FR"/>
        </w:rPr>
        <w:t xml:space="preserve"> </w:t>
      </w:r>
      <w:r>
        <w:rPr>
          <w:lang w:val="fr-FR"/>
        </w:rPr>
        <w:t>«entorse légère»</w:t>
      </w:r>
      <w:r w:rsidRPr="00976C24">
        <w:rPr>
          <w:lang w:val="fr-FR"/>
        </w:rPr>
        <w:t xml:space="preserve"> au principe de qualification. La législation antidiscrimination dispose </w:t>
      </w:r>
      <w:r>
        <w:rPr>
          <w:lang w:val="fr-FR"/>
        </w:rPr>
        <w:t>que les employeurs peuvent, au moment du choix</w:t>
      </w:r>
      <w:r w:rsidRPr="00976C24">
        <w:rPr>
          <w:lang w:val="fr-FR"/>
        </w:rPr>
        <w:t xml:space="preserve"> entre des candidats également qualifiés, recruter un candidat issu de l’immigration non occidentale, même si </w:t>
      </w:r>
      <w:r>
        <w:rPr>
          <w:lang w:val="fr-FR"/>
        </w:rPr>
        <w:t>ce dernier</w:t>
      </w:r>
      <w:r w:rsidRPr="00976C24">
        <w:rPr>
          <w:lang w:val="fr-FR"/>
        </w:rPr>
        <w:t xml:space="preserve"> était placé </w:t>
      </w:r>
      <w:r>
        <w:rPr>
          <w:lang w:val="fr-FR"/>
        </w:rPr>
        <w:t>derrière</w:t>
      </w:r>
      <w:r w:rsidRPr="00976C24">
        <w:rPr>
          <w:lang w:val="fr-FR"/>
        </w:rPr>
        <w:t xml:space="preserve"> le candidat le plus qualifié. Le projet a </w:t>
      </w:r>
      <w:r>
        <w:rPr>
          <w:lang w:val="fr-FR"/>
        </w:rPr>
        <w:t>donné lieu</w:t>
      </w:r>
      <w:r w:rsidRPr="00976C24">
        <w:rPr>
          <w:lang w:val="fr-FR"/>
        </w:rPr>
        <w:t xml:space="preserve"> à une sensibilisation accrue à l’importance de recruter des personnes du groupe cible et à la complexité des processus de recrutement.</w:t>
      </w:r>
    </w:p>
    <w:p w:rsidR="00903547" w:rsidRPr="00976C24" w:rsidRDefault="00903547" w:rsidP="00982FD0">
      <w:pPr>
        <w:pStyle w:val="SingleTxtG"/>
        <w:rPr>
          <w:i/>
          <w:lang w:val="fr-FR"/>
        </w:rPr>
      </w:pPr>
      <w:r>
        <w:rPr>
          <w:lang w:val="fr-FR"/>
        </w:rPr>
        <w:t>147.</w:t>
      </w:r>
      <w:r>
        <w:rPr>
          <w:lang w:val="fr-FR"/>
        </w:rPr>
        <w:tab/>
      </w:r>
      <w:r w:rsidRPr="00976C24">
        <w:rPr>
          <w:lang w:val="fr-FR"/>
        </w:rPr>
        <w:t>Un plan d’action a été lancé par le Ministère de l’administration publique, de la réforme et du culte en vue de recruter davantage de personnes handicapées dans l</w:t>
      </w:r>
      <w:r>
        <w:rPr>
          <w:lang w:val="fr-FR"/>
        </w:rPr>
        <w:t>a fonction</w:t>
      </w:r>
      <w:r w:rsidRPr="00976C24">
        <w:rPr>
          <w:lang w:val="fr-FR"/>
        </w:rPr>
        <w:t xml:space="preserve"> publi</w:t>
      </w:r>
      <w:r>
        <w:rPr>
          <w:lang w:val="fr-FR"/>
        </w:rPr>
        <w:t>que</w:t>
      </w:r>
      <w:r w:rsidRPr="00976C24">
        <w:rPr>
          <w:lang w:val="fr-FR"/>
        </w:rPr>
        <w:t xml:space="preserve">. </w:t>
      </w:r>
      <w:r>
        <w:rPr>
          <w:lang w:val="fr-FR"/>
        </w:rPr>
        <w:t>U</w:t>
      </w:r>
      <w:r w:rsidRPr="00976C24">
        <w:rPr>
          <w:lang w:val="fr-FR"/>
        </w:rPr>
        <w:t xml:space="preserve">n programme de formation a </w:t>
      </w:r>
      <w:r>
        <w:rPr>
          <w:lang w:val="fr-FR"/>
        </w:rPr>
        <w:t xml:space="preserve">ainsi </w:t>
      </w:r>
      <w:r w:rsidRPr="00976C24">
        <w:rPr>
          <w:lang w:val="fr-FR"/>
        </w:rPr>
        <w:t xml:space="preserve">été mis en place dans les ministères (un stagiaire </w:t>
      </w:r>
      <w:r>
        <w:rPr>
          <w:lang w:val="fr-FR"/>
        </w:rPr>
        <w:t>par</w:t>
      </w:r>
      <w:r w:rsidRPr="00976C24">
        <w:rPr>
          <w:lang w:val="fr-FR"/>
        </w:rPr>
        <w:t xml:space="preserve"> ministère) pour 16 personnes handicapées </w:t>
      </w:r>
      <w:r>
        <w:rPr>
          <w:lang w:val="fr-FR"/>
        </w:rPr>
        <w:t>diplômées de l’enseignement supérieur</w:t>
      </w:r>
      <w:r w:rsidRPr="00976C24">
        <w:rPr>
          <w:lang w:val="fr-FR"/>
        </w:rPr>
        <w:t xml:space="preserve">. La Direction de la santé a lancé un programme analogue pour 19 stagiaires dans d’autres organes </w:t>
      </w:r>
      <w:r>
        <w:rPr>
          <w:lang w:val="fr-FR"/>
        </w:rPr>
        <w:t>au titre du</w:t>
      </w:r>
      <w:r w:rsidRPr="00976C24">
        <w:rPr>
          <w:lang w:val="fr-FR"/>
        </w:rPr>
        <w:t xml:space="preserve"> même plan d’action. Les programmes de formation on</w:t>
      </w:r>
      <w:r>
        <w:rPr>
          <w:lang w:val="fr-FR"/>
        </w:rPr>
        <w:t>t</w:t>
      </w:r>
      <w:r w:rsidRPr="00976C24">
        <w:rPr>
          <w:lang w:val="fr-FR"/>
        </w:rPr>
        <w:t xml:space="preserve"> </w:t>
      </w:r>
      <w:r>
        <w:rPr>
          <w:lang w:val="fr-FR"/>
        </w:rPr>
        <w:t>permis d’améliorer les</w:t>
      </w:r>
      <w:r w:rsidRPr="00976C24">
        <w:rPr>
          <w:lang w:val="fr-FR"/>
        </w:rPr>
        <w:t xml:space="preserve"> compétence</w:t>
      </w:r>
      <w:r>
        <w:rPr>
          <w:lang w:val="fr-FR"/>
        </w:rPr>
        <w:t>s</w:t>
      </w:r>
      <w:r w:rsidRPr="00976C24">
        <w:rPr>
          <w:lang w:val="fr-FR"/>
        </w:rPr>
        <w:t xml:space="preserve"> et l’expérience des organes </w:t>
      </w:r>
      <w:r>
        <w:rPr>
          <w:lang w:val="fr-FR"/>
        </w:rPr>
        <w:t>en matière de recrutement de</w:t>
      </w:r>
      <w:r w:rsidRPr="00976C24">
        <w:rPr>
          <w:lang w:val="fr-FR"/>
        </w:rPr>
        <w:t xml:space="preserve"> personnes handicapées et </w:t>
      </w:r>
      <w:r>
        <w:rPr>
          <w:lang w:val="fr-FR"/>
        </w:rPr>
        <w:t>de les sensibiliser au fait que ces personnes</w:t>
      </w:r>
      <w:r w:rsidRPr="00976C24">
        <w:rPr>
          <w:lang w:val="fr-FR"/>
        </w:rPr>
        <w:t xml:space="preserve"> </w:t>
      </w:r>
      <w:r>
        <w:rPr>
          <w:lang w:val="fr-FR"/>
        </w:rPr>
        <w:t>sont</w:t>
      </w:r>
      <w:r w:rsidRPr="00976C24">
        <w:rPr>
          <w:lang w:val="fr-FR"/>
        </w:rPr>
        <w:t xml:space="preserve"> source de main-d’œuvre.</w:t>
      </w:r>
    </w:p>
    <w:p w:rsidR="00903547" w:rsidRPr="00976C24" w:rsidRDefault="00903547" w:rsidP="00982FD0">
      <w:pPr>
        <w:pStyle w:val="SingleTxtG"/>
        <w:rPr>
          <w:lang w:val="fr-FR"/>
        </w:rPr>
      </w:pPr>
      <w:r>
        <w:rPr>
          <w:lang w:val="fr-FR"/>
        </w:rPr>
        <w:t>148.</w:t>
      </w:r>
      <w:r>
        <w:rPr>
          <w:lang w:val="fr-FR"/>
        </w:rPr>
        <w:tab/>
        <w:t>L</w:t>
      </w:r>
      <w:r w:rsidRPr="00976C24">
        <w:rPr>
          <w:lang w:val="fr-FR"/>
        </w:rPr>
        <w:t>a loi sur l’environnement de travail</w:t>
      </w:r>
      <w:r>
        <w:rPr>
          <w:lang w:val="fr-FR"/>
        </w:rPr>
        <w:t xml:space="preserve"> protège</w:t>
      </w:r>
      <w:r w:rsidRPr="00976C24">
        <w:rPr>
          <w:lang w:val="fr-FR"/>
        </w:rPr>
        <w:t xml:space="preserve"> les personnes âgées contre la discrimination dans la vie professionnelle. La discrimination directe et indirecte est interdite, ainsi que le harcèlement et l’incitation à la discrimination. L’interdiction s’applique à tous les aspects de l</w:t>
      </w:r>
      <w:r>
        <w:rPr>
          <w:lang w:val="fr-FR"/>
        </w:rPr>
        <w:t>a relation de travail, depuis la publication de</w:t>
      </w:r>
      <w:r w:rsidRPr="00976C24">
        <w:rPr>
          <w:lang w:val="fr-FR"/>
        </w:rPr>
        <w:t xml:space="preserve"> l’annonce jusqu’à la fin d</w:t>
      </w:r>
      <w:r>
        <w:rPr>
          <w:lang w:val="fr-FR"/>
        </w:rPr>
        <w:t>u contrat</w:t>
      </w:r>
      <w:r w:rsidRPr="00976C24">
        <w:rPr>
          <w:lang w:val="fr-FR"/>
        </w:rPr>
        <w:t xml:space="preserve">. </w:t>
      </w:r>
      <w:r>
        <w:rPr>
          <w:lang w:val="fr-FR"/>
        </w:rPr>
        <w:t>Il incombe au</w:t>
      </w:r>
      <w:r w:rsidRPr="00976C24">
        <w:rPr>
          <w:lang w:val="fr-FR"/>
        </w:rPr>
        <w:t xml:space="preserve"> médiateur pour l’égalité et contre la discrimination et </w:t>
      </w:r>
      <w:r>
        <w:rPr>
          <w:lang w:val="fr-FR"/>
        </w:rPr>
        <w:t>aux</w:t>
      </w:r>
      <w:r w:rsidRPr="00976C24">
        <w:rPr>
          <w:lang w:val="fr-FR"/>
        </w:rPr>
        <w:t xml:space="preserve"> tribunaux</w:t>
      </w:r>
      <w:r>
        <w:rPr>
          <w:lang w:val="fr-FR"/>
        </w:rPr>
        <w:t xml:space="preserve"> de faire respecter cette interdiction</w:t>
      </w:r>
      <w:r w:rsidRPr="00976C24">
        <w:rPr>
          <w:lang w:val="fr-FR"/>
        </w:rPr>
        <w:t>.</w:t>
      </w:r>
    </w:p>
    <w:p w:rsidR="00903547" w:rsidRPr="00976C24" w:rsidRDefault="00903547" w:rsidP="00982FD0">
      <w:pPr>
        <w:pStyle w:val="SingleTxtG"/>
        <w:rPr>
          <w:i/>
          <w:lang w:val="fr-FR"/>
        </w:rPr>
      </w:pPr>
      <w:r>
        <w:rPr>
          <w:lang w:val="fr-FR"/>
        </w:rPr>
        <w:t>149.</w:t>
      </w:r>
      <w:r>
        <w:rPr>
          <w:lang w:val="fr-FR"/>
        </w:rPr>
        <w:tab/>
      </w:r>
      <w:r w:rsidRPr="00976C24">
        <w:rPr>
          <w:lang w:val="fr-FR"/>
        </w:rPr>
        <w:t>Un plan stratégique national pour le travail et la santé mentale (2007</w:t>
      </w:r>
      <w:r>
        <w:rPr>
          <w:lang w:val="fr-FR"/>
        </w:rPr>
        <w:t>-</w:t>
      </w:r>
      <w:r w:rsidRPr="00976C24">
        <w:rPr>
          <w:lang w:val="fr-FR"/>
        </w:rPr>
        <w:t xml:space="preserve">2012) a été présenté en septembre 2007 et </w:t>
      </w:r>
      <w:r>
        <w:rPr>
          <w:lang w:val="fr-FR"/>
        </w:rPr>
        <w:t>concerne les</w:t>
      </w:r>
      <w:r w:rsidRPr="00976C24">
        <w:rPr>
          <w:lang w:val="fr-FR"/>
        </w:rPr>
        <w:t xml:space="preserve"> personnes </w:t>
      </w:r>
      <w:r>
        <w:rPr>
          <w:lang w:val="fr-FR"/>
        </w:rPr>
        <w:t xml:space="preserve">qui </w:t>
      </w:r>
      <w:r w:rsidRPr="00976C24">
        <w:rPr>
          <w:lang w:val="fr-FR"/>
        </w:rPr>
        <w:t>souffr</w:t>
      </w:r>
      <w:r>
        <w:rPr>
          <w:lang w:val="fr-FR"/>
        </w:rPr>
        <w:t>e</w:t>
      </w:r>
      <w:r w:rsidRPr="00976C24">
        <w:rPr>
          <w:lang w:val="fr-FR"/>
        </w:rPr>
        <w:t>nt de troubles mentaux</w:t>
      </w:r>
      <w:r>
        <w:rPr>
          <w:lang w:val="fr-FR"/>
        </w:rPr>
        <w:t xml:space="preserve"> quels qu’ils soient</w:t>
      </w:r>
      <w:r w:rsidRPr="00976C24">
        <w:rPr>
          <w:lang w:val="fr-FR"/>
        </w:rPr>
        <w:t xml:space="preserve"> </w:t>
      </w:r>
      <w:r>
        <w:rPr>
          <w:lang w:val="fr-FR"/>
        </w:rPr>
        <w:t>ou</w:t>
      </w:r>
      <w:r w:rsidRPr="00976C24">
        <w:rPr>
          <w:lang w:val="fr-FR"/>
        </w:rPr>
        <w:t xml:space="preserve"> qui ont des problèmes de toxicomanie ou </w:t>
      </w:r>
      <w:r>
        <w:rPr>
          <w:lang w:val="fr-FR"/>
        </w:rPr>
        <w:t>d’</w:t>
      </w:r>
      <w:r w:rsidRPr="00976C24">
        <w:rPr>
          <w:lang w:val="fr-FR"/>
        </w:rPr>
        <w:t xml:space="preserve">autres problèmes analogues. </w:t>
      </w:r>
      <w:r>
        <w:rPr>
          <w:lang w:val="fr-FR"/>
        </w:rPr>
        <w:t>L’essentiel</w:t>
      </w:r>
      <w:r w:rsidRPr="00976C24">
        <w:rPr>
          <w:lang w:val="fr-FR"/>
        </w:rPr>
        <w:t xml:space="preserve"> de la stratégie vise à </w:t>
      </w:r>
      <w:r>
        <w:rPr>
          <w:lang w:val="fr-FR"/>
        </w:rPr>
        <w:t>lancer une initiative publique</w:t>
      </w:r>
      <w:r w:rsidRPr="00976C24">
        <w:rPr>
          <w:lang w:val="fr-FR"/>
        </w:rPr>
        <w:t xml:space="preserve"> solidaire en faveur des personnes atteintes de troubles mentaux et </w:t>
      </w:r>
      <w:r>
        <w:rPr>
          <w:lang w:val="fr-FR"/>
        </w:rPr>
        <w:t>à</w:t>
      </w:r>
      <w:r w:rsidRPr="00976C24">
        <w:rPr>
          <w:lang w:val="fr-FR"/>
        </w:rPr>
        <w:t xml:space="preserve"> mettre à profit les mesures d</w:t>
      </w:r>
      <w:r>
        <w:rPr>
          <w:lang w:val="fr-FR"/>
        </w:rPr>
        <w:t>e</w:t>
      </w:r>
      <w:r w:rsidRPr="00976C24">
        <w:rPr>
          <w:lang w:val="fr-FR"/>
        </w:rPr>
        <w:t xml:space="preserve"> la nouvelle administration de l’emploi et de la protection sociale.</w:t>
      </w:r>
      <w:r>
        <w:rPr>
          <w:lang w:val="fr-FR"/>
        </w:rPr>
        <w:t xml:space="preserve"> L</w:t>
      </w:r>
      <w:r w:rsidRPr="00976C24">
        <w:rPr>
          <w:lang w:val="fr-FR"/>
        </w:rPr>
        <w:t xml:space="preserve">a stratégie </w:t>
      </w:r>
      <w:r>
        <w:rPr>
          <w:lang w:val="fr-FR"/>
        </w:rPr>
        <w:t>s’intéresse</w:t>
      </w:r>
      <w:r w:rsidRPr="00976C24">
        <w:rPr>
          <w:lang w:val="fr-FR"/>
        </w:rPr>
        <w:t xml:space="preserve"> notamment </w:t>
      </w:r>
      <w:r>
        <w:rPr>
          <w:lang w:val="fr-FR"/>
        </w:rPr>
        <w:t>aux</w:t>
      </w:r>
      <w:r w:rsidRPr="00976C24">
        <w:rPr>
          <w:lang w:val="fr-FR"/>
        </w:rPr>
        <w:t xml:space="preserve"> domaines suivants</w:t>
      </w:r>
      <w:r>
        <w:rPr>
          <w:lang w:val="fr-FR"/>
        </w:rPr>
        <w:t>:</w:t>
      </w:r>
      <w:r w:rsidRPr="00976C24">
        <w:rPr>
          <w:lang w:val="fr-FR"/>
        </w:rPr>
        <w:t xml:space="preserve"> participation d</w:t>
      </w:r>
      <w:r>
        <w:rPr>
          <w:lang w:val="fr-FR"/>
        </w:rPr>
        <w:t>e l’usager</w:t>
      </w:r>
      <w:r w:rsidRPr="00976C24">
        <w:rPr>
          <w:lang w:val="fr-FR"/>
        </w:rPr>
        <w:t xml:space="preserve"> et efforts individuels</w:t>
      </w:r>
      <w:r>
        <w:rPr>
          <w:lang w:val="fr-FR"/>
        </w:rPr>
        <w:t>;</w:t>
      </w:r>
      <w:r w:rsidRPr="00976C24">
        <w:rPr>
          <w:lang w:val="fr-FR"/>
        </w:rPr>
        <w:t xml:space="preserve"> mesures et services</w:t>
      </w:r>
      <w:r>
        <w:rPr>
          <w:lang w:val="fr-FR"/>
        </w:rPr>
        <w:t>;</w:t>
      </w:r>
      <w:r w:rsidRPr="00976C24">
        <w:rPr>
          <w:lang w:val="fr-FR"/>
        </w:rPr>
        <w:t xml:space="preserve"> compétence</w:t>
      </w:r>
      <w:r>
        <w:rPr>
          <w:lang w:val="fr-FR"/>
        </w:rPr>
        <w:t>s</w:t>
      </w:r>
      <w:r w:rsidRPr="00976C24">
        <w:rPr>
          <w:lang w:val="fr-FR"/>
        </w:rPr>
        <w:t xml:space="preserve"> et réseaux</w:t>
      </w:r>
      <w:r>
        <w:rPr>
          <w:lang w:val="fr-FR"/>
        </w:rPr>
        <w:t>;</w:t>
      </w:r>
      <w:r w:rsidRPr="00976C24">
        <w:rPr>
          <w:lang w:val="fr-FR"/>
        </w:rPr>
        <w:t xml:space="preserve"> </w:t>
      </w:r>
      <w:r>
        <w:rPr>
          <w:lang w:val="fr-FR"/>
        </w:rPr>
        <w:t>recherche-</w:t>
      </w:r>
      <w:r w:rsidRPr="00976C24">
        <w:rPr>
          <w:lang w:val="fr-FR"/>
        </w:rPr>
        <w:t>développement.</w:t>
      </w:r>
    </w:p>
    <w:p w:rsidR="00903547" w:rsidRPr="00976C24" w:rsidRDefault="00903547" w:rsidP="0071086E">
      <w:pPr>
        <w:pStyle w:val="H23G"/>
        <w:rPr>
          <w:lang w:val="fr-FR"/>
        </w:rPr>
      </w:pPr>
      <w:r w:rsidRPr="00976C24">
        <w:rPr>
          <w:lang w:val="fr-FR"/>
        </w:rPr>
        <w:tab/>
        <w:t>b)</w:t>
      </w:r>
      <w:r w:rsidRPr="00976C24">
        <w:rPr>
          <w:lang w:val="fr-FR"/>
        </w:rPr>
        <w:tab/>
        <w:t>Impact des mesures adoptées pour faciliter le reclassement des travailleurs, en particuli</w:t>
      </w:r>
      <w:r>
        <w:rPr>
          <w:lang w:val="fr-FR"/>
        </w:rPr>
        <w:t xml:space="preserve">er des femmes et des chômeurs de </w:t>
      </w:r>
      <w:r w:rsidRPr="00976C24">
        <w:rPr>
          <w:lang w:val="fr-FR"/>
        </w:rPr>
        <w:t>longue durée, qui ont été licenciés à la suite de privatisations</w:t>
      </w:r>
      <w:r>
        <w:rPr>
          <w:lang w:val="fr-FR"/>
        </w:rPr>
        <w:t>, de compressions d’effectifs ou</w:t>
      </w:r>
      <w:r w:rsidRPr="00976C24">
        <w:rPr>
          <w:lang w:val="fr-FR"/>
        </w:rPr>
        <w:t xml:space="preserve"> de la restructuration économique d’entreprises publiques ou privées </w:t>
      </w:r>
    </w:p>
    <w:p w:rsidR="00903547" w:rsidRPr="00976C24" w:rsidRDefault="00903547" w:rsidP="00982FD0">
      <w:pPr>
        <w:pStyle w:val="SingleTxtG"/>
        <w:rPr>
          <w:lang w:val="fr-FR"/>
        </w:rPr>
      </w:pPr>
      <w:r>
        <w:rPr>
          <w:lang w:val="fr-FR"/>
        </w:rPr>
        <w:t>150.</w:t>
      </w:r>
      <w:r>
        <w:rPr>
          <w:lang w:val="fr-FR"/>
        </w:rPr>
        <w:tab/>
        <w:t>Des cours d’adaptation au marché du travail, des stages et des subventions salariales figurent parmi les mesures destinées à faciliter le reclassement des travailleurs. Les chômeurs de longue durée ont l’assurance de bénéficier de ces mesures</w:t>
      </w:r>
      <w:r w:rsidRPr="00976C24">
        <w:rPr>
          <w:lang w:val="fr-FR"/>
        </w:rPr>
        <w:t>.</w:t>
      </w:r>
    </w:p>
    <w:p w:rsidR="00903547" w:rsidRPr="00976C24" w:rsidRDefault="00903547" w:rsidP="0071086E">
      <w:pPr>
        <w:pStyle w:val="H23G"/>
        <w:rPr>
          <w:lang w:val="fr-FR"/>
        </w:rPr>
      </w:pPr>
      <w:r w:rsidRPr="00976C24">
        <w:rPr>
          <w:lang w:val="fr-FR"/>
        </w:rPr>
        <w:tab/>
        <w:t>2.</w:t>
      </w:r>
      <w:r w:rsidRPr="00976C24">
        <w:rPr>
          <w:lang w:val="fr-FR"/>
        </w:rPr>
        <w:tab/>
        <w:t>Informations sur le travail dans l’économie informelle dans l’</w:t>
      </w:r>
      <w:r>
        <w:rPr>
          <w:lang w:val="fr-FR"/>
        </w:rPr>
        <w:t>État</w:t>
      </w:r>
      <w:r w:rsidRPr="00976C24">
        <w:rPr>
          <w:lang w:val="fr-FR"/>
        </w:rPr>
        <w:t xml:space="preserve"> partie et mesures prises pour permettre aux travailleurs informels, en particulier les plu</w:t>
      </w:r>
      <w:r>
        <w:rPr>
          <w:lang w:val="fr-FR"/>
        </w:rPr>
        <w:t xml:space="preserve">s âgés et les femmes, d’avoir </w:t>
      </w:r>
      <w:r w:rsidRPr="00976C24">
        <w:rPr>
          <w:lang w:val="fr-FR"/>
        </w:rPr>
        <w:t>accès aux services de base et à la protection sociale (E/2009/22-E/C.12/2008/3, annexe VIII, par.</w:t>
      </w:r>
      <w:r>
        <w:rPr>
          <w:lang w:val="fr-FR"/>
        </w:rPr>
        <w:t> </w:t>
      </w:r>
      <w:r w:rsidRPr="00976C24">
        <w:rPr>
          <w:lang w:val="fr-FR"/>
        </w:rPr>
        <w:t>16)</w:t>
      </w:r>
    </w:p>
    <w:p w:rsidR="00903547" w:rsidRPr="00976C24" w:rsidRDefault="00903547" w:rsidP="00982FD0">
      <w:pPr>
        <w:pStyle w:val="SingleTxtG"/>
        <w:rPr>
          <w:lang w:val="fr-FR"/>
        </w:rPr>
      </w:pPr>
      <w:r>
        <w:rPr>
          <w:lang w:val="fr-FR"/>
        </w:rPr>
        <w:t>151.</w:t>
      </w:r>
      <w:r>
        <w:rPr>
          <w:lang w:val="fr-FR"/>
        </w:rPr>
        <w:tab/>
      </w:r>
      <w:r w:rsidRPr="00976C24">
        <w:rPr>
          <w:lang w:val="fr-FR"/>
        </w:rPr>
        <w:t>L’augmentation de l’immigration de travail pos</w:t>
      </w:r>
      <w:r>
        <w:rPr>
          <w:lang w:val="fr-FR"/>
        </w:rPr>
        <w:t>e</w:t>
      </w:r>
      <w:r w:rsidRPr="00976C24">
        <w:rPr>
          <w:lang w:val="fr-FR"/>
        </w:rPr>
        <w:t xml:space="preserve"> le problème du dumping social dans certaines branches. </w:t>
      </w:r>
      <w:r>
        <w:rPr>
          <w:lang w:val="fr-FR"/>
        </w:rPr>
        <w:t>Il s’agit d’</w:t>
      </w:r>
      <w:r w:rsidRPr="00976C24">
        <w:rPr>
          <w:lang w:val="fr-FR"/>
        </w:rPr>
        <w:t xml:space="preserve">une pratique conjuguant salaires bas au point d’en être inacceptables et manquements aux normes relatives aux salaires, à la santé et à la sécurité. La Norvège attache une grande importance </w:t>
      </w:r>
      <w:r>
        <w:rPr>
          <w:lang w:val="fr-FR"/>
        </w:rPr>
        <w:t xml:space="preserve">au fait </w:t>
      </w:r>
      <w:r w:rsidRPr="00976C24">
        <w:rPr>
          <w:lang w:val="fr-FR"/>
        </w:rPr>
        <w:t xml:space="preserve">que les travailleurs migrants aient des salaires et des conditions de travail identiques à ceux des travailleurs norvégiens. En 2006, le Gouvernement a présenté un plan d’action contre le dumping social. </w:t>
      </w:r>
      <w:r>
        <w:rPr>
          <w:lang w:val="fr-FR"/>
        </w:rPr>
        <w:t>Le p</w:t>
      </w:r>
      <w:r w:rsidRPr="000F129B">
        <w:rPr>
          <w:lang w:val="fr-FR"/>
        </w:rPr>
        <w:t xml:space="preserve">lan d’action s’est bien déroulé mais l’Inspection du travail continue </w:t>
      </w:r>
      <w:r>
        <w:rPr>
          <w:lang w:val="fr-FR"/>
        </w:rPr>
        <w:t>de mettre à jour des pratiques</w:t>
      </w:r>
      <w:r w:rsidRPr="000F129B">
        <w:rPr>
          <w:lang w:val="fr-FR"/>
        </w:rPr>
        <w:t xml:space="preserve"> de dumping social. La crise financière a conféré un surcroît d’importance à la lutte pour le travail décent et le combat contre le dumping social doit s’intensifier. Le Gouvernement a donc lancé un nouveau </w:t>
      </w:r>
      <w:r>
        <w:rPr>
          <w:lang w:val="fr-FR"/>
        </w:rPr>
        <w:t>p</w:t>
      </w:r>
      <w:r w:rsidRPr="000F129B">
        <w:rPr>
          <w:lang w:val="fr-FR"/>
        </w:rPr>
        <w:t xml:space="preserve">lan d’action contre </w:t>
      </w:r>
      <w:r>
        <w:rPr>
          <w:lang w:val="fr-FR"/>
        </w:rPr>
        <w:t>ce phénomène en</w:t>
      </w:r>
      <w:r w:rsidRPr="000F129B">
        <w:rPr>
          <w:lang w:val="fr-FR"/>
        </w:rPr>
        <w:t xml:space="preserve"> 2008</w:t>
      </w:r>
      <w:r w:rsidRPr="00976C24">
        <w:rPr>
          <w:lang w:val="fr-FR"/>
        </w:rPr>
        <w:t xml:space="preserve">. </w:t>
      </w:r>
    </w:p>
    <w:p w:rsidR="00903547" w:rsidRPr="00976C24" w:rsidRDefault="00903547" w:rsidP="00982FD0">
      <w:pPr>
        <w:pStyle w:val="SingleTxtG"/>
        <w:rPr>
          <w:lang w:val="fr-FR"/>
        </w:rPr>
      </w:pPr>
      <w:r>
        <w:rPr>
          <w:lang w:val="fr-FR"/>
        </w:rPr>
        <w:t>152.</w:t>
      </w:r>
      <w:r>
        <w:rPr>
          <w:lang w:val="fr-FR"/>
        </w:rPr>
        <w:tab/>
      </w:r>
      <w:r w:rsidRPr="00976C24">
        <w:rPr>
          <w:lang w:val="fr-FR"/>
        </w:rPr>
        <w:t xml:space="preserve">Les règles concernant la santé, la sécurité et l’environnement de travail </w:t>
      </w:r>
      <w:r>
        <w:rPr>
          <w:lang w:val="fr-FR"/>
        </w:rPr>
        <w:t>sont valables pour</w:t>
      </w:r>
      <w:r w:rsidRPr="00976C24">
        <w:rPr>
          <w:lang w:val="fr-FR"/>
        </w:rPr>
        <w:t xml:space="preserve"> tous les travailleurs. </w:t>
      </w:r>
      <w:r>
        <w:rPr>
          <w:lang w:val="fr-FR"/>
        </w:rPr>
        <w:t>L</w:t>
      </w:r>
      <w:r w:rsidRPr="00976C24">
        <w:rPr>
          <w:lang w:val="fr-FR"/>
        </w:rPr>
        <w:t xml:space="preserve">es </w:t>
      </w:r>
      <w:r>
        <w:rPr>
          <w:lang w:val="fr-FR"/>
        </w:rPr>
        <w:t xml:space="preserve">principales </w:t>
      </w:r>
      <w:r w:rsidRPr="00976C24">
        <w:rPr>
          <w:lang w:val="fr-FR"/>
        </w:rPr>
        <w:t>dispositions relatives à la relation de travail s’appliquent aussi aux travailleurs étrangers par le biais de</w:t>
      </w:r>
      <w:r>
        <w:rPr>
          <w:lang w:val="fr-FR"/>
        </w:rPr>
        <w:t>s dispositions de</w:t>
      </w:r>
      <w:r w:rsidRPr="00976C24">
        <w:rPr>
          <w:lang w:val="fr-FR"/>
        </w:rPr>
        <w:t xml:space="preserve"> la loi sur l’environnement de travail</w:t>
      </w:r>
      <w:r>
        <w:rPr>
          <w:lang w:val="fr-FR"/>
        </w:rPr>
        <w:t xml:space="preserve"> qui concernent les salariés détachés</w:t>
      </w:r>
      <w:r w:rsidRPr="00976C24">
        <w:rPr>
          <w:lang w:val="fr-FR"/>
        </w:rPr>
        <w:t>. La Commission tarifair</w:t>
      </w:r>
      <w:r>
        <w:rPr>
          <w:lang w:val="fr-FR"/>
        </w:rPr>
        <w:t>e a publié un règlement sur l’application générale d</w:t>
      </w:r>
      <w:r w:rsidRPr="00976C24">
        <w:rPr>
          <w:lang w:val="fr-FR"/>
        </w:rPr>
        <w:t>es conventions collectives</w:t>
      </w:r>
      <w:r>
        <w:rPr>
          <w:lang w:val="fr-FR"/>
        </w:rPr>
        <w:t>,</w:t>
      </w:r>
      <w:r w:rsidRPr="00976C24">
        <w:rPr>
          <w:lang w:val="fr-FR"/>
        </w:rPr>
        <w:t xml:space="preserve"> qui donnent droit aux travailleurs étrangers, dans le </w:t>
      </w:r>
      <w:r>
        <w:rPr>
          <w:lang w:val="fr-FR"/>
        </w:rPr>
        <w:t xml:space="preserve">cadre </w:t>
      </w:r>
      <w:r w:rsidRPr="00976C24">
        <w:rPr>
          <w:lang w:val="fr-FR"/>
        </w:rPr>
        <w:t>d’application d</w:t>
      </w:r>
      <w:r>
        <w:rPr>
          <w:lang w:val="fr-FR"/>
        </w:rPr>
        <w:t>u règlement</w:t>
      </w:r>
      <w:r w:rsidRPr="00976C24">
        <w:rPr>
          <w:lang w:val="fr-FR"/>
        </w:rPr>
        <w:t xml:space="preserve">, aux rémunérations et conditions de travail </w:t>
      </w:r>
      <w:r>
        <w:rPr>
          <w:lang w:val="fr-FR"/>
        </w:rPr>
        <w:t xml:space="preserve">en </w:t>
      </w:r>
      <w:r w:rsidRPr="00976C24">
        <w:rPr>
          <w:lang w:val="fr-FR"/>
        </w:rPr>
        <w:t>découlant.</w:t>
      </w:r>
    </w:p>
    <w:p w:rsidR="00903547" w:rsidRPr="00976C24" w:rsidRDefault="00903547" w:rsidP="00982FD0">
      <w:pPr>
        <w:pStyle w:val="SingleTxtG"/>
        <w:rPr>
          <w:lang w:val="fr-FR"/>
        </w:rPr>
      </w:pPr>
      <w:r>
        <w:rPr>
          <w:lang w:val="fr-FR"/>
        </w:rPr>
        <w:t>153.</w:t>
      </w:r>
      <w:r>
        <w:rPr>
          <w:lang w:val="fr-FR"/>
        </w:rPr>
        <w:tab/>
      </w:r>
      <w:r w:rsidRPr="00976C24">
        <w:rPr>
          <w:lang w:val="fr-FR"/>
        </w:rPr>
        <w:t xml:space="preserve">L’inspection du travail norvégienne et l’Autorité de sûreté pétrolière </w:t>
      </w:r>
      <w:r>
        <w:rPr>
          <w:lang w:val="fr-FR"/>
        </w:rPr>
        <w:t>joue</w:t>
      </w:r>
      <w:r w:rsidRPr="00976C24">
        <w:rPr>
          <w:lang w:val="fr-FR"/>
        </w:rPr>
        <w:t xml:space="preserve">nt </w:t>
      </w:r>
      <w:r>
        <w:rPr>
          <w:lang w:val="fr-FR"/>
        </w:rPr>
        <w:t>un rôle important dans la lutte</w:t>
      </w:r>
      <w:r w:rsidRPr="00976C24">
        <w:rPr>
          <w:lang w:val="fr-FR"/>
        </w:rPr>
        <w:t xml:space="preserve"> contre le dumping social. Outre le fait d</w:t>
      </w:r>
      <w:r>
        <w:rPr>
          <w:lang w:val="fr-FR"/>
        </w:rPr>
        <w:t>e veiller au respect des</w:t>
      </w:r>
      <w:r w:rsidRPr="00976C24">
        <w:rPr>
          <w:lang w:val="fr-FR"/>
        </w:rPr>
        <w:t xml:space="preserve"> règles HSE</w:t>
      </w:r>
      <w:r>
        <w:rPr>
          <w:lang w:val="fr-FR"/>
        </w:rPr>
        <w:t xml:space="preserve"> (hygiène, sécurité, environnement)</w:t>
      </w:r>
      <w:r w:rsidRPr="00976C24">
        <w:rPr>
          <w:lang w:val="fr-FR"/>
        </w:rPr>
        <w:t xml:space="preserve">, les autorités </w:t>
      </w:r>
      <w:r>
        <w:rPr>
          <w:lang w:val="fr-FR"/>
        </w:rPr>
        <w:t>veillent à ce que les</w:t>
      </w:r>
      <w:r w:rsidRPr="00976C24">
        <w:rPr>
          <w:lang w:val="fr-FR"/>
        </w:rPr>
        <w:t xml:space="preserve"> conditions d’obtention des permis de travail </w:t>
      </w:r>
      <w:r>
        <w:rPr>
          <w:lang w:val="fr-FR"/>
        </w:rPr>
        <w:t xml:space="preserve">selon </w:t>
      </w:r>
      <w:r w:rsidRPr="00976C24">
        <w:rPr>
          <w:lang w:val="fr-FR"/>
        </w:rPr>
        <w:t xml:space="preserve">la loi sur l’immigration </w:t>
      </w:r>
      <w:r>
        <w:rPr>
          <w:lang w:val="fr-FR"/>
        </w:rPr>
        <w:t xml:space="preserve">soient respectées </w:t>
      </w:r>
      <w:r w:rsidRPr="00976C24">
        <w:rPr>
          <w:lang w:val="fr-FR"/>
        </w:rPr>
        <w:t xml:space="preserve">et que les salariées </w:t>
      </w:r>
      <w:r>
        <w:rPr>
          <w:lang w:val="fr-FR"/>
        </w:rPr>
        <w:t>bénéficient d</w:t>
      </w:r>
      <w:r w:rsidRPr="00976C24">
        <w:rPr>
          <w:lang w:val="fr-FR"/>
        </w:rPr>
        <w:t xml:space="preserve">es rémunérations et des conditions de travail auxquelles ils ont droit </w:t>
      </w:r>
      <w:r>
        <w:rPr>
          <w:lang w:val="fr-FR"/>
        </w:rPr>
        <w:t>en vertu du règlement</w:t>
      </w:r>
      <w:r w:rsidRPr="00976C24">
        <w:rPr>
          <w:lang w:val="fr-FR"/>
        </w:rPr>
        <w:t xml:space="preserve"> </w:t>
      </w:r>
      <w:r>
        <w:rPr>
          <w:lang w:val="fr-FR"/>
        </w:rPr>
        <w:t>sur</w:t>
      </w:r>
      <w:r w:rsidRPr="00976C24">
        <w:rPr>
          <w:lang w:val="fr-FR"/>
        </w:rPr>
        <w:t xml:space="preserve"> l’application</w:t>
      </w:r>
      <w:r>
        <w:rPr>
          <w:lang w:val="fr-FR"/>
        </w:rPr>
        <w:t xml:space="preserve"> générale</w:t>
      </w:r>
      <w:r w:rsidRPr="00976C24">
        <w:rPr>
          <w:lang w:val="fr-FR"/>
        </w:rPr>
        <w:t xml:space="preserve"> des conventions collectives.</w:t>
      </w:r>
    </w:p>
    <w:p w:rsidR="00903547" w:rsidRPr="00976C24" w:rsidRDefault="00903547" w:rsidP="0071086E">
      <w:pPr>
        <w:pStyle w:val="H23G"/>
        <w:rPr>
          <w:lang w:val="fr-FR"/>
        </w:rPr>
      </w:pPr>
      <w:r w:rsidRPr="00976C24">
        <w:rPr>
          <w:lang w:val="fr-FR"/>
        </w:rPr>
        <w:tab/>
        <w:t>3.</w:t>
      </w:r>
      <w:r w:rsidRPr="00976C24">
        <w:rPr>
          <w:lang w:val="fr-FR"/>
        </w:rPr>
        <w:tab/>
        <w:t>Garanties judiciaires mises en place pour protéger les travailleurs contre les licenciements abusifs (E/2009/22-E/C.12/2008/3, annexe VIII, par.</w:t>
      </w:r>
      <w:r>
        <w:rPr>
          <w:lang w:val="fr-FR"/>
        </w:rPr>
        <w:t> </w:t>
      </w:r>
      <w:r w:rsidRPr="00976C24">
        <w:rPr>
          <w:lang w:val="fr-FR"/>
        </w:rPr>
        <w:t>17)</w:t>
      </w:r>
    </w:p>
    <w:p w:rsidR="00903547" w:rsidRPr="00976C24" w:rsidRDefault="00903547" w:rsidP="00982FD0">
      <w:pPr>
        <w:pStyle w:val="SingleTxtG"/>
        <w:rPr>
          <w:lang w:val="fr-FR"/>
        </w:rPr>
      </w:pPr>
      <w:r>
        <w:rPr>
          <w:lang w:val="fr-FR"/>
        </w:rPr>
        <w:t>154.</w:t>
      </w:r>
      <w:r>
        <w:rPr>
          <w:lang w:val="fr-FR"/>
        </w:rPr>
        <w:tab/>
        <w:t>Le règlement</w:t>
      </w:r>
      <w:r w:rsidRPr="00976C24">
        <w:rPr>
          <w:lang w:val="fr-FR"/>
        </w:rPr>
        <w:t xml:space="preserve"> </w:t>
      </w:r>
      <w:r>
        <w:rPr>
          <w:lang w:val="fr-FR"/>
        </w:rPr>
        <w:t xml:space="preserve">relatif à </w:t>
      </w:r>
      <w:r w:rsidRPr="00976C24">
        <w:rPr>
          <w:lang w:val="fr-FR"/>
        </w:rPr>
        <w:t>la résiliation d</w:t>
      </w:r>
      <w:r>
        <w:rPr>
          <w:lang w:val="fr-FR"/>
        </w:rPr>
        <w:t>’</w:t>
      </w:r>
      <w:r w:rsidRPr="00976C24">
        <w:rPr>
          <w:lang w:val="fr-FR"/>
        </w:rPr>
        <w:t>u</w:t>
      </w:r>
      <w:r>
        <w:rPr>
          <w:lang w:val="fr-FR"/>
        </w:rPr>
        <w:t>n contrat de travail figure</w:t>
      </w:r>
      <w:r w:rsidRPr="00976C24">
        <w:rPr>
          <w:lang w:val="fr-FR"/>
        </w:rPr>
        <w:t xml:space="preserve"> </w:t>
      </w:r>
      <w:r>
        <w:rPr>
          <w:lang w:val="fr-FR"/>
        </w:rPr>
        <w:t xml:space="preserve">au chapitre 15 de </w:t>
      </w:r>
      <w:r w:rsidRPr="00976C24">
        <w:rPr>
          <w:lang w:val="fr-FR"/>
        </w:rPr>
        <w:t>la loi sur l’environnement de travail de 2005 et</w:t>
      </w:r>
      <w:r>
        <w:rPr>
          <w:lang w:val="fr-FR"/>
        </w:rPr>
        <w:t xml:space="preserve"> les dispositions sur la procédure à respecter</w:t>
      </w:r>
      <w:r w:rsidRPr="00976C24">
        <w:rPr>
          <w:lang w:val="fr-FR"/>
        </w:rPr>
        <w:t xml:space="preserve"> </w:t>
      </w:r>
      <w:r>
        <w:rPr>
          <w:lang w:val="fr-FR"/>
        </w:rPr>
        <w:t xml:space="preserve">sont </w:t>
      </w:r>
      <w:r w:rsidRPr="00976C24">
        <w:rPr>
          <w:lang w:val="fr-FR"/>
        </w:rPr>
        <w:t>au chapitre 17 (annexe V).</w:t>
      </w:r>
    </w:p>
    <w:p w:rsidR="00903547" w:rsidRPr="00976C24" w:rsidRDefault="00903547" w:rsidP="00982FD0">
      <w:pPr>
        <w:pStyle w:val="SingleTxtG"/>
        <w:rPr>
          <w:lang w:val="fr-FR"/>
        </w:rPr>
      </w:pPr>
      <w:r>
        <w:rPr>
          <w:lang w:val="fr-FR"/>
        </w:rPr>
        <w:t>155.</w:t>
      </w:r>
      <w:r>
        <w:rPr>
          <w:lang w:val="fr-FR"/>
        </w:rPr>
        <w:tab/>
        <w:t>L</w:t>
      </w:r>
      <w:r w:rsidRPr="00976C24">
        <w:rPr>
          <w:lang w:val="fr-FR"/>
        </w:rPr>
        <w:t>’article 15-4 de la loi sur l’environnement de travail</w:t>
      </w:r>
      <w:r>
        <w:rPr>
          <w:lang w:val="fr-FR"/>
        </w:rPr>
        <w:t xml:space="preserve"> dispose qu’</w:t>
      </w:r>
      <w:r w:rsidRPr="00976C24">
        <w:rPr>
          <w:lang w:val="fr-FR"/>
        </w:rPr>
        <w:t>un licenciement doit être notifié par écrit et respecter certaines conditions légales. Si la notification ne re</w:t>
      </w:r>
      <w:r>
        <w:rPr>
          <w:lang w:val="fr-FR"/>
        </w:rPr>
        <w:t>mplit p</w:t>
      </w:r>
      <w:r w:rsidRPr="00976C24">
        <w:rPr>
          <w:lang w:val="fr-FR"/>
        </w:rPr>
        <w:t>as ces conditions, l</w:t>
      </w:r>
      <w:r>
        <w:rPr>
          <w:lang w:val="fr-FR"/>
        </w:rPr>
        <w:t>e salarié</w:t>
      </w:r>
      <w:r w:rsidRPr="00976C24">
        <w:rPr>
          <w:lang w:val="fr-FR"/>
        </w:rPr>
        <w:t xml:space="preserve"> peut intenter une action en justice contre l’employeur pour </w:t>
      </w:r>
      <w:r>
        <w:rPr>
          <w:lang w:val="fr-FR"/>
        </w:rPr>
        <w:t>la faire annuler</w:t>
      </w:r>
      <w:r w:rsidRPr="00976C24">
        <w:rPr>
          <w:lang w:val="fr-FR"/>
        </w:rPr>
        <w:t xml:space="preserve">. </w:t>
      </w:r>
    </w:p>
    <w:p w:rsidR="00903547" w:rsidRPr="00976C24" w:rsidRDefault="00903547" w:rsidP="00982FD0">
      <w:pPr>
        <w:pStyle w:val="SingleTxtG"/>
        <w:rPr>
          <w:lang w:val="fr-FR"/>
        </w:rPr>
      </w:pPr>
      <w:r>
        <w:rPr>
          <w:lang w:val="fr-FR"/>
        </w:rPr>
        <w:t>156.</w:t>
      </w:r>
      <w:r>
        <w:rPr>
          <w:lang w:val="fr-FR"/>
        </w:rPr>
        <w:tab/>
      </w:r>
      <w:r w:rsidRPr="00976C24">
        <w:rPr>
          <w:lang w:val="fr-FR"/>
        </w:rPr>
        <w:t xml:space="preserve">La principale disposition </w:t>
      </w:r>
      <w:r>
        <w:rPr>
          <w:lang w:val="fr-FR"/>
        </w:rPr>
        <w:t>assurant</w:t>
      </w:r>
      <w:r w:rsidRPr="00976C24">
        <w:rPr>
          <w:lang w:val="fr-FR"/>
        </w:rPr>
        <w:t xml:space="preserve"> </w:t>
      </w:r>
      <w:r>
        <w:rPr>
          <w:lang w:val="fr-FR"/>
        </w:rPr>
        <w:t>une</w:t>
      </w:r>
      <w:r w:rsidRPr="00976C24">
        <w:rPr>
          <w:lang w:val="fr-FR"/>
        </w:rPr>
        <w:t xml:space="preserve"> protection contre les licenciements abusifs est l’article</w:t>
      </w:r>
      <w:r>
        <w:rPr>
          <w:lang w:val="fr-FR"/>
        </w:rPr>
        <w:t xml:space="preserve"> 15-7</w:t>
      </w:r>
      <w:r w:rsidRPr="00976C24">
        <w:rPr>
          <w:lang w:val="fr-FR"/>
        </w:rPr>
        <w:t xml:space="preserve"> qui établit qu</w:t>
      </w:r>
      <w:r>
        <w:rPr>
          <w:lang w:val="fr-FR"/>
        </w:rPr>
        <w:t>’un salarié</w:t>
      </w:r>
      <w:r w:rsidRPr="00976C24">
        <w:rPr>
          <w:lang w:val="fr-FR"/>
        </w:rPr>
        <w:t xml:space="preserve"> ne peut être licen</w:t>
      </w:r>
      <w:r>
        <w:rPr>
          <w:lang w:val="fr-FR"/>
        </w:rPr>
        <w:t>cié</w:t>
      </w:r>
      <w:r w:rsidRPr="00976C24">
        <w:rPr>
          <w:lang w:val="fr-FR"/>
        </w:rPr>
        <w:t xml:space="preserve"> à moins que cela ne soit objectivement justifié </w:t>
      </w:r>
      <w:r>
        <w:rPr>
          <w:lang w:val="fr-FR"/>
        </w:rPr>
        <w:t>par des</w:t>
      </w:r>
      <w:r w:rsidRPr="00976C24">
        <w:rPr>
          <w:lang w:val="fr-FR"/>
        </w:rPr>
        <w:t xml:space="preserve"> circonstances liées à l’entreprise, </w:t>
      </w:r>
      <w:r>
        <w:rPr>
          <w:lang w:val="fr-FR"/>
        </w:rPr>
        <w:t xml:space="preserve">à </w:t>
      </w:r>
      <w:r w:rsidRPr="00976C24">
        <w:rPr>
          <w:lang w:val="fr-FR"/>
        </w:rPr>
        <w:t xml:space="preserve">l’employeur ou </w:t>
      </w:r>
      <w:r>
        <w:rPr>
          <w:lang w:val="fr-FR"/>
        </w:rPr>
        <w:t xml:space="preserve">à </w:t>
      </w:r>
      <w:r w:rsidRPr="00976C24">
        <w:rPr>
          <w:lang w:val="fr-FR"/>
        </w:rPr>
        <w:t>l’employé. La protection contre les licenciements s’applique à tous les salariés</w:t>
      </w:r>
      <w:r>
        <w:rPr>
          <w:lang w:val="fr-FR"/>
        </w:rPr>
        <w:t xml:space="preserve"> quel que soit leur niveau hiérarchique</w:t>
      </w:r>
      <w:r w:rsidRPr="00976C24">
        <w:rPr>
          <w:lang w:val="fr-FR"/>
        </w:rPr>
        <w:t>, qu’ils occupent un poste à temps plein ou à temps partiel.</w:t>
      </w:r>
    </w:p>
    <w:p w:rsidR="00903547" w:rsidRPr="00976C24" w:rsidRDefault="00903547" w:rsidP="00982FD0">
      <w:pPr>
        <w:pStyle w:val="SingleTxtG"/>
        <w:rPr>
          <w:lang w:val="fr-FR"/>
        </w:rPr>
      </w:pPr>
      <w:r>
        <w:rPr>
          <w:lang w:val="fr-FR"/>
        </w:rPr>
        <w:t>157.</w:t>
      </w:r>
      <w:r>
        <w:rPr>
          <w:lang w:val="fr-FR"/>
        </w:rPr>
        <w:tab/>
      </w:r>
      <w:r w:rsidRPr="00976C24">
        <w:rPr>
          <w:lang w:val="fr-FR"/>
        </w:rPr>
        <w:t xml:space="preserve">Les motifs de licenciement doivent être très sérieux et l’employeur doit prouver qu’il </w:t>
      </w:r>
      <w:r>
        <w:rPr>
          <w:lang w:val="fr-FR"/>
        </w:rPr>
        <w:t>existe</w:t>
      </w:r>
      <w:r w:rsidRPr="00976C24">
        <w:rPr>
          <w:lang w:val="fr-FR"/>
        </w:rPr>
        <w:t xml:space="preserve"> de bonnes raisons d’y </w:t>
      </w:r>
      <w:r>
        <w:rPr>
          <w:lang w:val="fr-FR"/>
        </w:rPr>
        <w:t>recourir</w:t>
      </w:r>
      <w:r w:rsidRPr="00976C24">
        <w:rPr>
          <w:lang w:val="fr-FR"/>
        </w:rPr>
        <w:t xml:space="preserve">. Dans la pratique, les licenciements se </w:t>
      </w:r>
      <w:r>
        <w:rPr>
          <w:lang w:val="fr-FR"/>
        </w:rPr>
        <w:t>divisent</w:t>
      </w:r>
      <w:r w:rsidRPr="00976C24">
        <w:rPr>
          <w:lang w:val="fr-FR"/>
        </w:rPr>
        <w:t xml:space="preserve"> en deux catégories</w:t>
      </w:r>
      <w:r>
        <w:rPr>
          <w:lang w:val="fr-FR"/>
        </w:rPr>
        <w:t>:</w:t>
      </w:r>
      <w:r w:rsidRPr="00976C24">
        <w:rPr>
          <w:lang w:val="fr-FR"/>
        </w:rPr>
        <w:t xml:space="preserve"> licenciement lié </w:t>
      </w:r>
      <w:r>
        <w:rPr>
          <w:lang w:val="fr-FR"/>
        </w:rPr>
        <w:t>au salarié</w:t>
      </w:r>
      <w:r w:rsidRPr="00976C24">
        <w:rPr>
          <w:lang w:val="fr-FR"/>
        </w:rPr>
        <w:t xml:space="preserve"> et licenciement lié aux besoins de l’entreprise. </w:t>
      </w:r>
    </w:p>
    <w:p w:rsidR="00903547" w:rsidRPr="00976C24" w:rsidRDefault="00903547" w:rsidP="00982FD0">
      <w:pPr>
        <w:pStyle w:val="SingleTxtG"/>
        <w:rPr>
          <w:lang w:val="fr-FR"/>
        </w:rPr>
      </w:pPr>
      <w:r>
        <w:rPr>
          <w:lang w:val="fr-FR"/>
        </w:rPr>
        <w:t>158.</w:t>
      </w:r>
      <w:r>
        <w:rPr>
          <w:lang w:val="fr-FR"/>
        </w:rPr>
        <w:tab/>
      </w:r>
      <w:r w:rsidRPr="00976C24">
        <w:rPr>
          <w:lang w:val="fr-FR"/>
        </w:rPr>
        <w:t xml:space="preserve">La première catégorie résulte d’un comportement inacceptable de l’employé. Comme ce type de licenciement </w:t>
      </w:r>
      <w:r>
        <w:rPr>
          <w:lang w:val="fr-FR"/>
        </w:rPr>
        <w:t>a un caractère</w:t>
      </w:r>
      <w:r w:rsidRPr="00976C24">
        <w:rPr>
          <w:lang w:val="fr-FR"/>
        </w:rPr>
        <w:t xml:space="preserve"> diffamatoire, les c</w:t>
      </w:r>
      <w:r>
        <w:rPr>
          <w:lang w:val="fr-FR"/>
        </w:rPr>
        <w:t>ritères fixé</w:t>
      </w:r>
      <w:r w:rsidRPr="00976C24">
        <w:rPr>
          <w:lang w:val="fr-FR"/>
        </w:rPr>
        <w:t xml:space="preserve">s par les tribunaux sont particulièrement stricts. Les règles </w:t>
      </w:r>
      <w:r>
        <w:rPr>
          <w:lang w:val="fr-FR"/>
        </w:rPr>
        <w:t xml:space="preserve">traitent de </w:t>
      </w:r>
      <w:r w:rsidRPr="00976C24">
        <w:rPr>
          <w:lang w:val="fr-FR"/>
        </w:rPr>
        <w:t xml:space="preserve">la résiliation d’un contrat de travail </w:t>
      </w:r>
      <w:r>
        <w:rPr>
          <w:lang w:val="fr-FR"/>
        </w:rPr>
        <w:t>en cas de manquement de la part du salarié dans le cadre de ses fonctions</w:t>
      </w:r>
      <w:r w:rsidRPr="00976C24">
        <w:rPr>
          <w:lang w:val="fr-FR"/>
        </w:rPr>
        <w:t xml:space="preserve">. Un manquement grave peut donner lieu à un renvoi sans préavis tandis qu’un manquement moins grave peut </w:t>
      </w:r>
      <w:r>
        <w:rPr>
          <w:lang w:val="fr-FR"/>
        </w:rPr>
        <w:t xml:space="preserve">entraîner </w:t>
      </w:r>
      <w:r w:rsidRPr="00976C24">
        <w:rPr>
          <w:lang w:val="fr-FR"/>
        </w:rPr>
        <w:t xml:space="preserve">un licenciement simple. </w:t>
      </w:r>
      <w:r>
        <w:rPr>
          <w:lang w:val="fr-FR"/>
        </w:rPr>
        <w:t>Il</w:t>
      </w:r>
      <w:r w:rsidRPr="00976C24">
        <w:rPr>
          <w:lang w:val="fr-FR"/>
        </w:rPr>
        <w:t xml:space="preserve"> est </w:t>
      </w:r>
      <w:r>
        <w:rPr>
          <w:lang w:val="fr-FR"/>
        </w:rPr>
        <w:t xml:space="preserve">toutefois </w:t>
      </w:r>
      <w:r w:rsidRPr="00976C24">
        <w:rPr>
          <w:lang w:val="fr-FR"/>
        </w:rPr>
        <w:t xml:space="preserve">très clair que </w:t>
      </w:r>
      <w:r>
        <w:rPr>
          <w:lang w:val="fr-FR"/>
        </w:rPr>
        <w:t>de</w:t>
      </w:r>
      <w:r w:rsidRPr="00976C24">
        <w:rPr>
          <w:lang w:val="fr-FR"/>
        </w:rPr>
        <w:t xml:space="preserve"> légers débordements ne peuvent </w:t>
      </w:r>
      <w:r>
        <w:rPr>
          <w:lang w:val="fr-FR"/>
        </w:rPr>
        <w:t>justifier</w:t>
      </w:r>
      <w:r w:rsidRPr="00976C24">
        <w:rPr>
          <w:lang w:val="fr-FR"/>
        </w:rPr>
        <w:t xml:space="preserve"> un licenciement. Les motifs de licenciement doivent être très sérieux et il en faut vraiment beaucoup pour résilier un contrat de travail sur cette base. Les </w:t>
      </w:r>
      <w:r>
        <w:rPr>
          <w:lang w:val="fr-FR"/>
        </w:rPr>
        <w:t>critères subjectifs du caractère raisonnable</w:t>
      </w:r>
      <w:r w:rsidRPr="00976C24">
        <w:rPr>
          <w:lang w:val="fr-FR"/>
        </w:rPr>
        <w:t xml:space="preserve">, </w:t>
      </w:r>
      <w:r>
        <w:rPr>
          <w:lang w:val="fr-FR"/>
        </w:rPr>
        <w:t>tels que</w:t>
      </w:r>
      <w:r w:rsidRPr="00976C24">
        <w:rPr>
          <w:lang w:val="fr-FR"/>
        </w:rPr>
        <w:t xml:space="preserve"> le fait que le licenciement aura de lourdes conséquences pour l’employé, ont moins de poids lorsque le licenciement est lié </w:t>
      </w:r>
      <w:r>
        <w:rPr>
          <w:lang w:val="fr-FR"/>
        </w:rPr>
        <w:t xml:space="preserve">au salarié </w:t>
      </w:r>
      <w:r w:rsidRPr="00976C24">
        <w:rPr>
          <w:lang w:val="fr-FR"/>
        </w:rPr>
        <w:t xml:space="preserve">que lorsqu’il s’agit de compressions d’effectifs, de mesures de </w:t>
      </w:r>
      <w:r>
        <w:rPr>
          <w:lang w:val="fr-FR"/>
        </w:rPr>
        <w:t>restructuration</w:t>
      </w:r>
      <w:r w:rsidRPr="00976C24">
        <w:rPr>
          <w:lang w:val="fr-FR"/>
        </w:rPr>
        <w:t>, etc. Le comportement en dehors du lieu de travail peut également, selon les circonstances, être pertinent. Le pos</w:t>
      </w:r>
      <w:r>
        <w:rPr>
          <w:lang w:val="fr-FR"/>
        </w:rPr>
        <w:t>t</w:t>
      </w:r>
      <w:r w:rsidRPr="00976C24">
        <w:rPr>
          <w:lang w:val="fr-FR"/>
        </w:rPr>
        <w:t>e occupé par l</w:t>
      </w:r>
      <w:r>
        <w:rPr>
          <w:lang w:val="fr-FR"/>
        </w:rPr>
        <w:t>e salarié</w:t>
      </w:r>
      <w:r w:rsidRPr="00976C24">
        <w:rPr>
          <w:lang w:val="fr-FR"/>
        </w:rPr>
        <w:t xml:space="preserve"> est un aspect dont </w:t>
      </w:r>
      <w:r>
        <w:rPr>
          <w:lang w:val="fr-FR"/>
        </w:rPr>
        <w:t xml:space="preserve">il faut tenir compte. En réalité, </w:t>
      </w:r>
      <w:r w:rsidRPr="00976C24">
        <w:rPr>
          <w:lang w:val="fr-FR"/>
        </w:rPr>
        <w:t>plusieurs motifs liés à l’employé peuvent donner lieu à un licenciement, comme</w:t>
      </w:r>
      <w:r>
        <w:rPr>
          <w:lang w:val="fr-FR"/>
        </w:rPr>
        <w:t xml:space="preserve"> le manque de qualification ou</w:t>
      </w:r>
      <w:r w:rsidRPr="00976C24">
        <w:rPr>
          <w:lang w:val="fr-FR"/>
        </w:rPr>
        <w:t xml:space="preserve"> d’aptitude professionnelle, </w:t>
      </w:r>
      <w:r>
        <w:rPr>
          <w:lang w:val="fr-FR"/>
        </w:rPr>
        <w:t>le</w:t>
      </w:r>
      <w:r w:rsidRPr="00976C24">
        <w:rPr>
          <w:lang w:val="fr-FR"/>
        </w:rPr>
        <w:t xml:space="preserve"> refus d’obtempérer, l’absentéisme et l’alcoolisme, la malhonnêteté, </w:t>
      </w:r>
      <w:r>
        <w:rPr>
          <w:lang w:val="fr-FR"/>
        </w:rPr>
        <w:t>la commission d’</w:t>
      </w:r>
      <w:r w:rsidRPr="00976C24">
        <w:rPr>
          <w:lang w:val="fr-FR"/>
        </w:rPr>
        <w:t>un</w:t>
      </w:r>
      <w:r>
        <w:rPr>
          <w:lang w:val="fr-FR"/>
        </w:rPr>
        <w:t>e faute</w:t>
      </w:r>
      <w:r w:rsidRPr="00976C24">
        <w:rPr>
          <w:lang w:val="fr-FR"/>
        </w:rPr>
        <w:t xml:space="preserve"> ou des problèmes de collaboration. Il reste qu’un tribunal n</w:t>
      </w:r>
      <w:r>
        <w:rPr>
          <w:lang w:val="fr-FR"/>
        </w:rPr>
        <w:t>e laissera</w:t>
      </w:r>
      <w:r w:rsidRPr="00976C24">
        <w:rPr>
          <w:lang w:val="fr-FR"/>
        </w:rPr>
        <w:t xml:space="preserve"> pas </w:t>
      </w:r>
      <w:r>
        <w:rPr>
          <w:lang w:val="fr-FR"/>
        </w:rPr>
        <w:t xml:space="preserve">un </w:t>
      </w:r>
      <w:r w:rsidRPr="00976C24">
        <w:rPr>
          <w:lang w:val="fr-FR"/>
        </w:rPr>
        <w:t xml:space="preserve">employeur </w:t>
      </w:r>
      <w:r>
        <w:rPr>
          <w:lang w:val="fr-FR"/>
        </w:rPr>
        <w:t>avancer</w:t>
      </w:r>
      <w:r w:rsidRPr="00976C24">
        <w:rPr>
          <w:lang w:val="fr-FR"/>
        </w:rPr>
        <w:t xml:space="preserve"> des considérations </w:t>
      </w:r>
      <w:r>
        <w:rPr>
          <w:lang w:val="fr-FR"/>
        </w:rPr>
        <w:t>non pertinentes</w:t>
      </w:r>
      <w:r w:rsidRPr="00976C24">
        <w:rPr>
          <w:lang w:val="fr-FR"/>
        </w:rPr>
        <w:t xml:space="preserve"> lors de l’examen du cas d’un </w:t>
      </w:r>
      <w:r>
        <w:rPr>
          <w:lang w:val="fr-FR"/>
        </w:rPr>
        <w:t>salarié</w:t>
      </w:r>
      <w:r w:rsidRPr="00976C24">
        <w:rPr>
          <w:lang w:val="fr-FR"/>
        </w:rPr>
        <w:t>. Cela signifie qu’il est interdit d</w:t>
      </w:r>
      <w:r>
        <w:rPr>
          <w:lang w:val="fr-FR"/>
        </w:rPr>
        <w:t>’invoquer</w:t>
      </w:r>
      <w:r w:rsidRPr="00976C24">
        <w:rPr>
          <w:lang w:val="fr-FR"/>
        </w:rPr>
        <w:t xml:space="preserve"> le sexe, la race, la religion, l’identité ethnique, l’appartenance politique ou d’autres facteurs analogues</w:t>
      </w:r>
      <w:r>
        <w:rPr>
          <w:lang w:val="fr-FR"/>
        </w:rPr>
        <w:t>;</w:t>
      </w:r>
      <w:r w:rsidRPr="00976C24">
        <w:rPr>
          <w:lang w:val="fr-FR"/>
        </w:rPr>
        <w:t xml:space="preserve"> voir la loi sur l</w:t>
      </w:r>
      <w:r>
        <w:rPr>
          <w:lang w:val="fr-FR"/>
        </w:rPr>
        <w:t>’environnement de</w:t>
      </w:r>
      <w:r w:rsidRPr="00976C24">
        <w:rPr>
          <w:lang w:val="fr-FR"/>
        </w:rPr>
        <w:t xml:space="preserve"> travail, articles 13-1 et 13-2.</w:t>
      </w:r>
    </w:p>
    <w:p w:rsidR="00903547" w:rsidRPr="00976C24" w:rsidRDefault="00903547" w:rsidP="00982FD0">
      <w:pPr>
        <w:pStyle w:val="SingleTxtG"/>
        <w:rPr>
          <w:lang w:val="fr-FR"/>
        </w:rPr>
      </w:pPr>
      <w:r>
        <w:rPr>
          <w:lang w:val="fr-FR"/>
        </w:rPr>
        <w:t>159.</w:t>
      </w:r>
      <w:r>
        <w:rPr>
          <w:lang w:val="fr-FR"/>
        </w:rPr>
        <w:tab/>
      </w:r>
      <w:r w:rsidRPr="00976C24">
        <w:rPr>
          <w:lang w:val="fr-FR"/>
        </w:rPr>
        <w:t xml:space="preserve">La seconde catégorie de licenciement concerne les salariés d’entreprises qui doivent se restructurer. Lorsque cette nécessité est légitime et démontrée, et sous réserve que l’employeur ait par ailleurs agi </w:t>
      </w:r>
      <w:r>
        <w:rPr>
          <w:lang w:val="fr-FR"/>
        </w:rPr>
        <w:t>de manière appropriée</w:t>
      </w:r>
      <w:r w:rsidRPr="00976C24">
        <w:rPr>
          <w:lang w:val="fr-FR"/>
        </w:rPr>
        <w:t>, un tribunal accepte</w:t>
      </w:r>
      <w:r>
        <w:rPr>
          <w:lang w:val="fr-FR"/>
        </w:rPr>
        <w:t xml:space="preserve"> normalement l</w:t>
      </w:r>
      <w:r w:rsidRPr="00976C24">
        <w:rPr>
          <w:lang w:val="fr-FR"/>
        </w:rPr>
        <w:t xml:space="preserve">es licenciements </w:t>
      </w:r>
      <w:r>
        <w:rPr>
          <w:lang w:val="fr-FR"/>
        </w:rPr>
        <w:t xml:space="preserve">motivés par </w:t>
      </w:r>
      <w:r w:rsidRPr="00976C24">
        <w:rPr>
          <w:lang w:val="fr-FR"/>
        </w:rPr>
        <w:t>les besoins de l’entreprise.</w:t>
      </w:r>
    </w:p>
    <w:p w:rsidR="00903547" w:rsidRPr="00976C24" w:rsidRDefault="00903547" w:rsidP="00982FD0">
      <w:pPr>
        <w:pStyle w:val="SingleTxtG"/>
        <w:rPr>
          <w:i/>
          <w:lang w:val="fr-FR"/>
        </w:rPr>
      </w:pPr>
      <w:r>
        <w:rPr>
          <w:lang w:val="fr-FR"/>
        </w:rPr>
        <w:t>160.</w:t>
      </w:r>
      <w:r>
        <w:rPr>
          <w:lang w:val="fr-FR"/>
        </w:rPr>
        <w:tab/>
      </w:r>
      <w:r w:rsidRPr="00976C24">
        <w:rPr>
          <w:lang w:val="fr-FR"/>
        </w:rPr>
        <w:t>Les compressions d’effectifs, les mesures de rationalisation ou d’autres formes de restruct</w:t>
      </w:r>
      <w:r>
        <w:rPr>
          <w:lang w:val="fr-FR"/>
        </w:rPr>
        <w:t>ur</w:t>
      </w:r>
      <w:r w:rsidRPr="00976C24">
        <w:rPr>
          <w:lang w:val="fr-FR"/>
        </w:rPr>
        <w:t xml:space="preserve">ation sont les motifs </w:t>
      </w:r>
      <w:r>
        <w:rPr>
          <w:lang w:val="fr-FR"/>
        </w:rPr>
        <w:t xml:space="preserve">de licenciement </w:t>
      </w:r>
      <w:r w:rsidRPr="00976C24">
        <w:rPr>
          <w:lang w:val="fr-FR"/>
        </w:rPr>
        <w:t xml:space="preserve">les plus courants </w:t>
      </w:r>
      <w:r>
        <w:rPr>
          <w:lang w:val="fr-FR"/>
        </w:rPr>
        <w:t>liés à</w:t>
      </w:r>
      <w:r w:rsidRPr="00976C24">
        <w:rPr>
          <w:lang w:val="fr-FR"/>
        </w:rPr>
        <w:t xml:space="preserve"> la situation de l’entreprise. Ces mesures constituent normalement un motif objectivement justifié de licenciement dès lors que l’employeur n’a pas </w:t>
      </w:r>
      <w:r>
        <w:rPr>
          <w:lang w:val="fr-FR"/>
        </w:rPr>
        <w:t>un autre «emploi</w:t>
      </w:r>
      <w:r w:rsidRPr="00976C24">
        <w:rPr>
          <w:lang w:val="fr-FR"/>
        </w:rPr>
        <w:t xml:space="preserve"> adapté</w:t>
      </w:r>
      <w:r>
        <w:rPr>
          <w:lang w:val="fr-FR"/>
        </w:rPr>
        <w:t>»</w:t>
      </w:r>
      <w:r w:rsidRPr="00976C24">
        <w:rPr>
          <w:lang w:val="fr-FR"/>
        </w:rPr>
        <w:t xml:space="preserve"> à proposer </w:t>
      </w:r>
      <w:r>
        <w:rPr>
          <w:lang w:val="fr-FR"/>
        </w:rPr>
        <w:t>au salarié</w:t>
      </w:r>
      <w:r w:rsidRPr="00976C24">
        <w:rPr>
          <w:lang w:val="fr-FR"/>
        </w:rPr>
        <w:t xml:space="preserve">. Ce qui peut être considéré comme </w:t>
      </w:r>
      <w:r>
        <w:rPr>
          <w:lang w:val="fr-FR"/>
        </w:rPr>
        <w:t>un «emploi adapté</w:t>
      </w:r>
      <w:r w:rsidRPr="00976C24">
        <w:rPr>
          <w:lang w:val="fr-FR"/>
        </w:rPr>
        <w:t>» dans ce contexte dépend d’une évaluation globale</w:t>
      </w:r>
      <w:r>
        <w:rPr>
          <w:lang w:val="fr-FR"/>
        </w:rPr>
        <w:t>;</w:t>
      </w:r>
      <w:r w:rsidRPr="00976C24">
        <w:rPr>
          <w:lang w:val="fr-FR"/>
        </w:rPr>
        <w:t xml:space="preserve"> voir la loi sur l’environnement de travail, paragraphe</w:t>
      </w:r>
      <w:r>
        <w:rPr>
          <w:lang w:val="fr-FR"/>
        </w:rPr>
        <w:t> </w:t>
      </w:r>
      <w:r w:rsidRPr="00976C24">
        <w:rPr>
          <w:lang w:val="fr-FR"/>
        </w:rPr>
        <w:t>2</w:t>
      </w:r>
      <w:r>
        <w:rPr>
          <w:lang w:val="fr-FR"/>
        </w:rPr>
        <w:t xml:space="preserve"> de l’</w:t>
      </w:r>
      <w:r w:rsidRPr="00976C24">
        <w:rPr>
          <w:lang w:val="fr-FR"/>
        </w:rPr>
        <w:t>article 15-7.</w:t>
      </w:r>
    </w:p>
    <w:p w:rsidR="00903547" w:rsidRPr="00976C24" w:rsidRDefault="00903547" w:rsidP="00982FD0">
      <w:pPr>
        <w:pStyle w:val="SingleTxtG"/>
        <w:rPr>
          <w:i/>
          <w:lang w:val="fr-FR"/>
        </w:rPr>
      </w:pPr>
      <w:r>
        <w:rPr>
          <w:lang w:val="fr-FR"/>
        </w:rPr>
        <w:t>161.</w:t>
      </w:r>
      <w:r>
        <w:rPr>
          <w:lang w:val="fr-FR"/>
        </w:rPr>
        <w:tab/>
      </w:r>
      <w:r w:rsidRPr="00976C24">
        <w:rPr>
          <w:lang w:val="fr-FR"/>
        </w:rPr>
        <w:t>Lorsque le licenciement est dû à des compressions d</w:t>
      </w:r>
      <w:r>
        <w:rPr>
          <w:lang w:val="fr-FR"/>
        </w:rPr>
        <w:t>’effectifs</w:t>
      </w:r>
      <w:r w:rsidRPr="00976C24">
        <w:rPr>
          <w:lang w:val="fr-FR"/>
        </w:rPr>
        <w:t>, des mesures d</w:t>
      </w:r>
      <w:r>
        <w:rPr>
          <w:lang w:val="fr-FR"/>
        </w:rPr>
        <w:t>e rationalisation</w:t>
      </w:r>
      <w:r w:rsidRPr="00976C24">
        <w:rPr>
          <w:lang w:val="fr-FR"/>
        </w:rPr>
        <w:t xml:space="preserve"> ou d’autres opérations liées à l’entreprise, </w:t>
      </w:r>
      <w:r>
        <w:rPr>
          <w:lang w:val="fr-FR"/>
        </w:rPr>
        <w:t xml:space="preserve">il faut mettre </w:t>
      </w:r>
      <w:r w:rsidRPr="00976C24">
        <w:rPr>
          <w:lang w:val="fr-FR"/>
        </w:rPr>
        <w:t xml:space="preserve">les besoins de celle-ci en balance avec les inconvénients </w:t>
      </w:r>
      <w:r>
        <w:rPr>
          <w:lang w:val="fr-FR"/>
        </w:rPr>
        <w:t>en résultant pour le salarié. Le choix</w:t>
      </w:r>
      <w:r w:rsidRPr="00976C24">
        <w:rPr>
          <w:lang w:val="fr-FR"/>
        </w:rPr>
        <w:t xml:space="preserve"> du personnel qui doit être licencié doit être</w:t>
      </w:r>
      <w:r>
        <w:rPr>
          <w:lang w:val="fr-FR"/>
        </w:rPr>
        <w:t xml:space="preserve"> objectivement justifié</w:t>
      </w:r>
      <w:r w:rsidRPr="00976C24">
        <w:rPr>
          <w:lang w:val="fr-FR"/>
        </w:rPr>
        <w:t xml:space="preserve">. </w:t>
      </w:r>
      <w:r>
        <w:rPr>
          <w:lang w:val="fr-FR"/>
        </w:rPr>
        <w:t>A</w:t>
      </w:r>
      <w:r w:rsidRPr="00976C24">
        <w:rPr>
          <w:lang w:val="fr-FR"/>
        </w:rPr>
        <w:t xml:space="preserve">ucun traitement différencié injuste </w:t>
      </w:r>
      <w:r>
        <w:rPr>
          <w:lang w:val="fr-FR"/>
        </w:rPr>
        <w:t xml:space="preserve">ne doit être toléré </w:t>
      </w:r>
      <w:r w:rsidRPr="00976C24">
        <w:rPr>
          <w:lang w:val="fr-FR"/>
        </w:rPr>
        <w:t>et il faut tenir compte des carrières particulièrement longues. Les critères de sélection les plus courants associ</w:t>
      </w:r>
      <w:r>
        <w:rPr>
          <w:lang w:val="fr-FR"/>
        </w:rPr>
        <w:t>ent ancienneté et qualification</w:t>
      </w:r>
      <w:r w:rsidRPr="00976C24">
        <w:rPr>
          <w:lang w:val="fr-FR"/>
        </w:rPr>
        <w:t xml:space="preserve">. </w:t>
      </w:r>
    </w:p>
    <w:p w:rsidR="00903547" w:rsidRPr="00976C24" w:rsidRDefault="00903547" w:rsidP="00982FD0">
      <w:pPr>
        <w:pStyle w:val="SingleTxtG"/>
        <w:rPr>
          <w:lang w:val="fr-FR"/>
        </w:rPr>
      </w:pPr>
      <w:r>
        <w:rPr>
          <w:lang w:val="fr-FR"/>
        </w:rPr>
        <w:t>162.</w:t>
      </w:r>
      <w:r>
        <w:rPr>
          <w:lang w:val="fr-FR"/>
        </w:rPr>
        <w:tab/>
      </w:r>
      <w:r w:rsidRPr="00976C24">
        <w:rPr>
          <w:lang w:val="fr-FR"/>
        </w:rPr>
        <w:t xml:space="preserve">Les travailleurs qui sont totalement ou partiellement absents du travail en raison d’un accident, d’une maladie, d’une grossesse, d’un congé </w:t>
      </w:r>
      <w:r>
        <w:rPr>
          <w:lang w:val="fr-FR"/>
        </w:rPr>
        <w:t xml:space="preserve">de </w:t>
      </w:r>
      <w:r w:rsidRPr="00976C24">
        <w:rPr>
          <w:lang w:val="fr-FR"/>
        </w:rPr>
        <w:t xml:space="preserve">maternité ou </w:t>
      </w:r>
      <w:r>
        <w:rPr>
          <w:lang w:val="fr-FR"/>
        </w:rPr>
        <w:t xml:space="preserve">de </w:t>
      </w:r>
      <w:r w:rsidRPr="00976C24">
        <w:rPr>
          <w:lang w:val="fr-FR"/>
        </w:rPr>
        <w:t>paternité ou du service militaire bénéficient d’une protection renforcée contre les licenciements</w:t>
      </w:r>
      <w:r>
        <w:rPr>
          <w:lang w:val="fr-FR"/>
        </w:rPr>
        <w:t>;</w:t>
      </w:r>
      <w:r w:rsidRPr="00976C24">
        <w:rPr>
          <w:lang w:val="fr-FR"/>
        </w:rPr>
        <w:t xml:space="preserve"> voir la loi sur l’environnement de travail, articles 15-8, 15-9 et 15-10. </w:t>
      </w:r>
    </w:p>
    <w:p w:rsidR="00903547" w:rsidRPr="00976C24" w:rsidRDefault="00903547" w:rsidP="00982FD0">
      <w:pPr>
        <w:pStyle w:val="SingleTxtG"/>
        <w:rPr>
          <w:lang w:val="fr-FR"/>
        </w:rPr>
      </w:pPr>
      <w:r>
        <w:rPr>
          <w:lang w:val="fr-FR"/>
        </w:rPr>
        <w:t>163.</w:t>
      </w:r>
      <w:r>
        <w:rPr>
          <w:lang w:val="fr-FR"/>
        </w:rPr>
        <w:tab/>
        <w:t>Un salarié</w:t>
      </w:r>
      <w:r w:rsidRPr="00976C24">
        <w:rPr>
          <w:lang w:val="fr-FR"/>
        </w:rPr>
        <w:t xml:space="preserve"> </w:t>
      </w:r>
      <w:r>
        <w:rPr>
          <w:lang w:val="fr-FR"/>
        </w:rPr>
        <w:t xml:space="preserve">qui </w:t>
      </w:r>
      <w:r w:rsidRPr="00976C24">
        <w:rPr>
          <w:lang w:val="fr-FR"/>
        </w:rPr>
        <w:t xml:space="preserve">estime que le licenciement est abusif peut demander un entretien avec l’employeur dans les deux semaines suivant la réception de la notification écrite. </w:t>
      </w:r>
      <w:r>
        <w:rPr>
          <w:lang w:val="fr-FR"/>
        </w:rPr>
        <w:t>Il</w:t>
      </w:r>
      <w:r w:rsidRPr="00976C24">
        <w:rPr>
          <w:lang w:val="fr-FR"/>
        </w:rPr>
        <w:t xml:space="preserve"> peut intenter</w:t>
      </w:r>
      <w:r>
        <w:rPr>
          <w:lang w:val="fr-FR"/>
        </w:rPr>
        <w:t xml:space="preserve"> une action en justice contre l</w:t>
      </w:r>
      <w:r w:rsidRPr="00976C24">
        <w:rPr>
          <w:lang w:val="fr-FR"/>
        </w:rPr>
        <w:t>’employeur dans un délai prescrit. Dans ce</w:t>
      </w:r>
      <w:r>
        <w:rPr>
          <w:lang w:val="fr-FR"/>
        </w:rPr>
        <w:t xml:space="preserve"> cas</w:t>
      </w:r>
      <w:r w:rsidRPr="00976C24">
        <w:rPr>
          <w:lang w:val="fr-FR"/>
        </w:rPr>
        <w:t>, le tribunal dé</w:t>
      </w:r>
      <w:r>
        <w:rPr>
          <w:lang w:val="fr-FR"/>
        </w:rPr>
        <w:t>termine</w:t>
      </w:r>
      <w:r w:rsidRPr="00976C24">
        <w:rPr>
          <w:lang w:val="fr-FR"/>
        </w:rPr>
        <w:t xml:space="preserve"> si le licenciement est objectivement justifié. Si l</w:t>
      </w:r>
      <w:r>
        <w:rPr>
          <w:lang w:val="fr-FR"/>
        </w:rPr>
        <w:t>e salarié</w:t>
      </w:r>
      <w:r w:rsidRPr="00976C24">
        <w:rPr>
          <w:lang w:val="fr-FR"/>
        </w:rPr>
        <w:t xml:space="preserve"> est débouté, il peut f</w:t>
      </w:r>
      <w:r>
        <w:rPr>
          <w:lang w:val="fr-FR"/>
        </w:rPr>
        <w:t>ormer un recours et saisir la C</w:t>
      </w:r>
      <w:r w:rsidRPr="00976C24">
        <w:rPr>
          <w:lang w:val="fr-FR"/>
        </w:rPr>
        <w:t>our d’appel. Ce</w:t>
      </w:r>
      <w:r>
        <w:rPr>
          <w:lang w:val="fr-FR"/>
        </w:rPr>
        <w:t xml:space="preserve"> droit</w:t>
      </w:r>
      <w:r w:rsidRPr="00976C24">
        <w:rPr>
          <w:lang w:val="fr-FR"/>
        </w:rPr>
        <w:t xml:space="preserve"> s’applique également </w:t>
      </w:r>
      <w:r>
        <w:rPr>
          <w:lang w:val="fr-FR"/>
        </w:rPr>
        <w:t>à un employeur</w:t>
      </w:r>
      <w:r w:rsidRPr="00976C24">
        <w:rPr>
          <w:lang w:val="fr-FR"/>
        </w:rPr>
        <w:t xml:space="preserve"> débouté</w:t>
      </w:r>
      <w:r w:rsidRPr="00976C24">
        <w:rPr>
          <w:i/>
          <w:lang w:val="fr-FR"/>
        </w:rPr>
        <w:t>.</w:t>
      </w:r>
    </w:p>
    <w:p w:rsidR="00903547" w:rsidRPr="00976C24" w:rsidRDefault="00903547" w:rsidP="00982FD0">
      <w:pPr>
        <w:pStyle w:val="SingleTxtG"/>
        <w:rPr>
          <w:i/>
          <w:lang w:val="fr-FR"/>
        </w:rPr>
      </w:pPr>
      <w:r>
        <w:rPr>
          <w:lang w:val="fr-FR"/>
        </w:rPr>
        <w:t>164.</w:t>
      </w:r>
      <w:r>
        <w:rPr>
          <w:lang w:val="fr-FR"/>
        </w:rPr>
        <w:tab/>
        <w:t>Lorsqu’un salarié</w:t>
      </w:r>
      <w:r w:rsidRPr="00976C24">
        <w:rPr>
          <w:lang w:val="fr-FR"/>
        </w:rPr>
        <w:t xml:space="preserve"> </w:t>
      </w:r>
      <w:r>
        <w:rPr>
          <w:lang w:val="fr-FR"/>
        </w:rPr>
        <w:t>intente</w:t>
      </w:r>
      <w:r w:rsidRPr="00976C24">
        <w:rPr>
          <w:lang w:val="fr-FR"/>
        </w:rPr>
        <w:t xml:space="preserve"> une action contre l’employeur, il est normalement en droit de continuer à travailler à son poste jusqu’à ce que l’affaire soit tranchée par la justice</w:t>
      </w:r>
      <w:r>
        <w:rPr>
          <w:lang w:val="fr-FR"/>
        </w:rPr>
        <w:t>;</w:t>
      </w:r>
      <w:r w:rsidRPr="00976C24">
        <w:rPr>
          <w:lang w:val="fr-FR"/>
        </w:rPr>
        <w:t xml:space="preserve"> voir la loi sur l</w:t>
      </w:r>
      <w:r>
        <w:rPr>
          <w:lang w:val="fr-FR"/>
        </w:rPr>
        <w:t>’environnement de travail</w:t>
      </w:r>
      <w:r w:rsidRPr="00976C24">
        <w:rPr>
          <w:lang w:val="fr-FR"/>
        </w:rPr>
        <w:t xml:space="preserve">, article 15-11. </w:t>
      </w:r>
    </w:p>
    <w:p w:rsidR="00903547" w:rsidRPr="00976C24" w:rsidRDefault="00903547" w:rsidP="00982FD0">
      <w:pPr>
        <w:pStyle w:val="SingleTxtG"/>
        <w:rPr>
          <w:lang w:val="fr-FR"/>
        </w:rPr>
      </w:pPr>
      <w:r>
        <w:rPr>
          <w:lang w:val="fr-FR"/>
        </w:rPr>
        <w:t>165.</w:t>
      </w:r>
      <w:r>
        <w:rPr>
          <w:lang w:val="fr-FR"/>
        </w:rPr>
        <w:tab/>
      </w:r>
      <w:r w:rsidRPr="00976C24">
        <w:rPr>
          <w:lang w:val="fr-FR"/>
        </w:rPr>
        <w:t>Si l’action intentée par l</w:t>
      </w:r>
      <w:r>
        <w:rPr>
          <w:lang w:val="fr-FR"/>
        </w:rPr>
        <w:t>e salarié</w:t>
      </w:r>
      <w:r w:rsidRPr="00976C24">
        <w:rPr>
          <w:lang w:val="fr-FR"/>
        </w:rPr>
        <w:t xml:space="preserve"> aboutit, il est en droit de continuer à </w:t>
      </w:r>
      <w:r>
        <w:rPr>
          <w:lang w:val="fr-FR"/>
        </w:rPr>
        <w:t>occuper</w:t>
      </w:r>
      <w:r w:rsidRPr="00976C24">
        <w:rPr>
          <w:lang w:val="fr-FR"/>
        </w:rPr>
        <w:t xml:space="preserve"> à son poste ou, s’il a temporairement cessé d</w:t>
      </w:r>
      <w:r>
        <w:rPr>
          <w:lang w:val="fr-FR"/>
        </w:rPr>
        <w:t>e travailler</w:t>
      </w:r>
      <w:r w:rsidRPr="00976C24">
        <w:rPr>
          <w:lang w:val="fr-FR"/>
        </w:rPr>
        <w:t>, de re</w:t>
      </w:r>
      <w:r>
        <w:rPr>
          <w:lang w:val="fr-FR"/>
        </w:rPr>
        <w:t>gagner</w:t>
      </w:r>
      <w:r w:rsidRPr="00976C24">
        <w:rPr>
          <w:lang w:val="fr-FR"/>
        </w:rPr>
        <w:t xml:space="preserve"> son poste</w:t>
      </w:r>
      <w:r>
        <w:rPr>
          <w:lang w:val="fr-FR"/>
        </w:rPr>
        <w:t>;</w:t>
      </w:r>
      <w:r w:rsidRPr="00976C24">
        <w:rPr>
          <w:lang w:val="fr-FR"/>
        </w:rPr>
        <w:t xml:space="preserve"> voir la loi sur l’environnement de travail, article 15-12. </w:t>
      </w:r>
      <w:r>
        <w:rPr>
          <w:lang w:val="fr-FR"/>
        </w:rPr>
        <w:t xml:space="preserve">Un </w:t>
      </w:r>
      <w:r w:rsidRPr="00976C24">
        <w:rPr>
          <w:lang w:val="fr-FR"/>
        </w:rPr>
        <w:t>employé débouté doit quitter son poste à la date fixée par le tribunal.</w:t>
      </w:r>
    </w:p>
    <w:p w:rsidR="00903547" w:rsidRPr="00976C24" w:rsidRDefault="00903547" w:rsidP="0071086E">
      <w:pPr>
        <w:pStyle w:val="H23G"/>
        <w:rPr>
          <w:lang w:val="fr-FR"/>
        </w:rPr>
      </w:pPr>
      <w:r w:rsidRPr="00976C24">
        <w:rPr>
          <w:lang w:val="fr-FR"/>
        </w:rPr>
        <w:tab/>
        <w:t>4.</w:t>
      </w:r>
      <w:r w:rsidRPr="00976C24">
        <w:rPr>
          <w:lang w:val="fr-FR"/>
        </w:rPr>
        <w:tab/>
        <w:t xml:space="preserve">Programmes de formation technique et professionnelle </w:t>
      </w:r>
      <w:r>
        <w:rPr>
          <w:lang w:val="fr-FR"/>
        </w:rPr>
        <w:t xml:space="preserve">mis </w:t>
      </w:r>
      <w:r w:rsidRPr="00976C24">
        <w:rPr>
          <w:lang w:val="fr-FR"/>
        </w:rPr>
        <w:t>en place dans l’</w:t>
      </w:r>
      <w:r>
        <w:rPr>
          <w:lang w:val="fr-FR"/>
        </w:rPr>
        <w:t>État</w:t>
      </w:r>
      <w:r w:rsidRPr="00976C24">
        <w:rPr>
          <w:lang w:val="fr-FR"/>
        </w:rPr>
        <w:t xml:space="preserve"> partie et impact </w:t>
      </w:r>
      <w:r>
        <w:rPr>
          <w:lang w:val="fr-FR"/>
        </w:rPr>
        <w:t xml:space="preserve">de ces programmes </w:t>
      </w:r>
      <w:r w:rsidRPr="00976C24">
        <w:rPr>
          <w:lang w:val="fr-FR"/>
        </w:rPr>
        <w:t>sur la capacité des travailleurs, en particulier des personnes défavorisées et marginalisées, d’accéder au marché du travail ou d’y revenir (E/2009/22-E/C.12/2008/3, annexe VIII, par.</w:t>
      </w:r>
      <w:r>
        <w:rPr>
          <w:lang w:val="fr-FR"/>
        </w:rPr>
        <w:t> </w:t>
      </w:r>
      <w:r w:rsidRPr="00976C24">
        <w:rPr>
          <w:lang w:val="fr-FR"/>
        </w:rPr>
        <w:t>18)</w:t>
      </w:r>
    </w:p>
    <w:p w:rsidR="00903547" w:rsidRPr="00976C24" w:rsidRDefault="00903547" w:rsidP="00982FD0">
      <w:pPr>
        <w:pStyle w:val="SingleTxtG"/>
        <w:rPr>
          <w:lang w:val="fr-FR"/>
        </w:rPr>
      </w:pPr>
      <w:r>
        <w:rPr>
          <w:lang w:val="fr-FR"/>
        </w:rPr>
        <w:t>166.</w:t>
      </w:r>
      <w:r>
        <w:rPr>
          <w:lang w:val="fr-FR"/>
        </w:rPr>
        <w:tab/>
      </w:r>
      <w:r w:rsidRPr="00976C24">
        <w:rPr>
          <w:lang w:val="fr-FR"/>
        </w:rPr>
        <w:t>La politique norvégienne du marché du travail co</w:t>
      </w:r>
      <w:r>
        <w:rPr>
          <w:lang w:val="fr-FR"/>
        </w:rPr>
        <w:t>mprend</w:t>
      </w:r>
      <w:r w:rsidRPr="00976C24">
        <w:rPr>
          <w:lang w:val="fr-FR"/>
        </w:rPr>
        <w:t xml:space="preserve"> des garanties spécifiques </w:t>
      </w:r>
      <w:r>
        <w:rPr>
          <w:lang w:val="fr-FR"/>
        </w:rPr>
        <w:t>en faveur d</w:t>
      </w:r>
      <w:r w:rsidRPr="00976C24">
        <w:rPr>
          <w:lang w:val="fr-FR"/>
        </w:rPr>
        <w:t>es groupes vulnérables.</w:t>
      </w:r>
    </w:p>
    <w:p w:rsidR="00903547" w:rsidRPr="00976C24" w:rsidRDefault="00903547" w:rsidP="00982FD0">
      <w:pPr>
        <w:pStyle w:val="SingleTxtG"/>
        <w:rPr>
          <w:lang w:val="fr-FR"/>
        </w:rPr>
      </w:pPr>
      <w:r>
        <w:rPr>
          <w:lang w:val="fr-FR"/>
        </w:rPr>
        <w:t>167.</w:t>
      </w:r>
      <w:r>
        <w:rPr>
          <w:lang w:val="fr-FR"/>
        </w:rPr>
        <w:tab/>
        <w:t>Le programme</w:t>
      </w:r>
      <w:r w:rsidRPr="00976C24">
        <w:rPr>
          <w:lang w:val="fr-FR"/>
        </w:rPr>
        <w:t xml:space="preserve"> </w:t>
      </w:r>
      <w:r>
        <w:rPr>
          <w:lang w:val="fr-FR"/>
        </w:rPr>
        <w:t>qui vise l’acquisition de</w:t>
      </w:r>
      <w:r w:rsidRPr="00976C24">
        <w:rPr>
          <w:lang w:val="fr-FR"/>
        </w:rPr>
        <w:t xml:space="preserve"> co</w:t>
      </w:r>
      <w:r>
        <w:rPr>
          <w:lang w:val="fr-FR"/>
        </w:rPr>
        <w:t>mpétences</w:t>
      </w:r>
      <w:r w:rsidRPr="00976C24">
        <w:rPr>
          <w:lang w:val="fr-FR"/>
        </w:rPr>
        <w:t xml:space="preserve"> de base </w:t>
      </w:r>
      <w:r>
        <w:rPr>
          <w:lang w:val="fr-FR"/>
        </w:rPr>
        <w:t>pour</w:t>
      </w:r>
      <w:r w:rsidRPr="00976C24">
        <w:rPr>
          <w:lang w:val="fr-FR"/>
        </w:rPr>
        <w:t xml:space="preserve"> la vie </w:t>
      </w:r>
      <w:r>
        <w:rPr>
          <w:lang w:val="fr-FR"/>
        </w:rPr>
        <w:t>active</w:t>
      </w:r>
      <w:r w:rsidRPr="00976C24">
        <w:rPr>
          <w:lang w:val="fr-FR"/>
        </w:rPr>
        <w:t xml:space="preserve"> </w:t>
      </w:r>
      <w:r>
        <w:rPr>
          <w:lang w:val="fr-FR"/>
        </w:rPr>
        <w:t>a</w:t>
      </w:r>
      <w:r w:rsidRPr="00976C24">
        <w:rPr>
          <w:lang w:val="fr-FR"/>
        </w:rPr>
        <w:t xml:space="preserve"> été mis en place en 2006. </w:t>
      </w:r>
      <w:r>
        <w:rPr>
          <w:lang w:val="fr-FR"/>
        </w:rPr>
        <w:t xml:space="preserve">Il a pour vocation </w:t>
      </w:r>
      <w:r w:rsidRPr="00976C24">
        <w:rPr>
          <w:lang w:val="fr-FR"/>
        </w:rPr>
        <w:t xml:space="preserve">de prévenir l’exclusion des </w:t>
      </w:r>
      <w:r>
        <w:rPr>
          <w:lang w:val="fr-FR"/>
        </w:rPr>
        <w:t>salariés</w:t>
      </w:r>
      <w:r w:rsidRPr="00976C24">
        <w:rPr>
          <w:lang w:val="fr-FR"/>
        </w:rPr>
        <w:t xml:space="preserve"> et des demandeurs d’emploi d’un marché du travail </w:t>
      </w:r>
      <w:r>
        <w:rPr>
          <w:lang w:val="fr-FR"/>
        </w:rPr>
        <w:t>faisant</w:t>
      </w:r>
      <w:r w:rsidRPr="00976C24">
        <w:rPr>
          <w:lang w:val="fr-FR"/>
        </w:rPr>
        <w:t xml:space="preserve"> de plus en plus </w:t>
      </w:r>
      <w:r>
        <w:rPr>
          <w:lang w:val="fr-FR"/>
        </w:rPr>
        <w:t>appel au</w:t>
      </w:r>
      <w:r w:rsidRPr="00976C24">
        <w:rPr>
          <w:lang w:val="fr-FR"/>
        </w:rPr>
        <w:t xml:space="preserve"> savoir. Les entreprises privées et publiques peuvent demander des subventions pour des programmes de motivation et des formations à la lecture, l’écriture, l’arithmétique et les TIC. </w:t>
      </w:r>
      <w:r>
        <w:rPr>
          <w:lang w:val="fr-FR"/>
        </w:rPr>
        <w:t>Entre</w:t>
      </w:r>
      <w:r w:rsidRPr="00976C24">
        <w:rPr>
          <w:lang w:val="fr-FR"/>
        </w:rPr>
        <w:t xml:space="preserve"> 200</w:t>
      </w:r>
      <w:r>
        <w:rPr>
          <w:lang w:val="fr-FR"/>
        </w:rPr>
        <w:t xml:space="preserve">6 et </w:t>
      </w:r>
      <w:r w:rsidRPr="00976C24">
        <w:rPr>
          <w:lang w:val="fr-FR"/>
        </w:rPr>
        <w:t>2009, 5</w:t>
      </w:r>
      <w:r>
        <w:rPr>
          <w:lang w:val="fr-FR"/>
        </w:rPr>
        <w:t> </w:t>
      </w:r>
      <w:r w:rsidRPr="00976C24">
        <w:rPr>
          <w:lang w:val="fr-FR"/>
        </w:rPr>
        <w:t xml:space="preserve">700 personnes ont suivi une formation dans le cadre de 337 projets. Le programme </w:t>
      </w:r>
      <w:r>
        <w:rPr>
          <w:lang w:val="fr-FR"/>
        </w:rPr>
        <w:t>doit s’étoffer et a déjà vu s</w:t>
      </w:r>
      <w:r w:rsidRPr="00976C24">
        <w:rPr>
          <w:lang w:val="fr-FR"/>
        </w:rPr>
        <w:t xml:space="preserve">on budget </w:t>
      </w:r>
      <w:r>
        <w:rPr>
          <w:lang w:val="fr-FR"/>
        </w:rPr>
        <w:t>doubler</w:t>
      </w:r>
      <w:r w:rsidRPr="00976C24">
        <w:rPr>
          <w:lang w:val="fr-FR"/>
        </w:rPr>
        <w:t xml:space="preserve"> entre 2008 et 2010.</w:t>
      </w:r>
    </w:p>
    <w:p w:rsidR="00903547" w:rsidRPr="00976C24" w:rsidRDefault="00903547" w:rsidP="00982FD0">
      <w:pPr>
        <w:pStyle w:val="SingleTxtG"/>
        <w:rPr>
          <w:lang w:val="fr-FR"/>
        </w:rPr>
      </w:pPr>
      <w:r>
        <w:rPr>
          <w:lang w:val="fr-FR"/>
        </w:rPr>
        <w:t>168.</w:t>
      </w:r>
      <w:r>
        <w:rPr>
          <w:lang w:val="fr-FR"/>
        </w:rPr>
        <w:tab/>
        <w:t>U</w:t>
      </w:r>
      <w:r w:rsidRPr="00976C24">
        <w:rPr>
          <w:lang w:val="fr-FR"/>
        </w:rPr>
        <w:t xml:space="preserve">n programme et une </w:t>
      </w:r>
      <w:r>
        <w:rPr>
          <w:lang w:val="fr-FR"/>
        </w:rPr>
        <w:t>allocation de</w:t>
      </w:r>
      <w:r w:rsidRPr="00976C24">
        <w:rPr>
          <w:lang w:val="fr-FR"/>
        </w:rPr>
        <w:t xml:space="preserve"> qualification, prévus dans la loi sur les services sociaux</w:t>
      </w:r>
      <w:r>
        <w:rPr>
          <w:lang w:val="fr-FR"/>
        </w:rPr>
        <w:t>,</w:t>
      </w:r>
      <w:r w:rsidRPr="00976C24">
        <w:rPr>
          <w:lang w:val="fr-FR"/>
        </w:rPr>
        <w:t xml:space="preserve"> ont été mis en place </w:t>
      </w:r>
      <w:r>
        <w:rPr>
          <w:lang w:val="fr-FR"/>
        </w:rPr>
        <w:t>le</w:t>
      </w:r>
      <w:r w:rsidRPr="00976C24">
        <w:rPr>
          <w:lang w:val="fr-FR"/>
        </w:rPr>
        <w:t xml:space="preserve"> </w:t>
      </w:r>
      <w:r>
        <w:rPr>
          <w:lang w:val="fr-FR"/>
        </w:rPr>
        <w:t>1</w:t>
      </w:r>
      <w:r w:rsidRPr="000A7EEA">
        <w:rPr>
          <w:vertAlign w:val="superscript"/>
          <w:lang w:val="fr-FR"/>
        </w:rPr>
        <w:t>er</w:t>
      </w:r>
      <w:r>
        <w:rPr>
          <w:lang w:val="fr-FR"/>
        </w:rPr>
        <w:t xml:space="preserve"> </w:t>
      </w:r>
      <w:r w:rsidRPr="00976C24">
        <w:rPr>
          <w:lang w:val="fr-FR"/>
        </w:rPr>
        <w:t>novembre 2007</w:t>
      </w:r>
      <w:r w:rsidRPr="00D06CB0">
        <w:rPr>
          <w:lang w:val="fr-FR"/>
        </w:rPr>
        <w:t xml:space="preserve"> </w:t>
      </w:r>
      <w:r>
        <w:rPr>
          <w:lang w:val="fr-FR"/>
        </w:rPr>
        <w:t>d</w:t>
      </w:r>
      <w:r w:rsidRPr="00976C24">
        <w:rPr>
          <w:lang w:val="fr-FR"/>
        </w:rPr>
        <w:t xml:space="preserve">ans le cadre du plan d’action gouvernemental contre la pauvreté. Le groupe cible est constitué d’individus </w:t>
      </w:r>
      <w:r>
        <w:rPr>
          <w:lang w:val="fr-FR"/>
        </w:rPr>
        <w:t xml:space="preserve">confrontés à </w:t>
      </w:r>
      <w:r w:rsidRPr="00976C24">
        <w:rPr>
          <w:lang w:val="fr-FR"/>
        </w:rPr>
        <w:t>de</w:t>
      </w:r>
      <w:r>
        <w:rPr>
          <w:lang w:val="fr-FR"/>
        </w:rPr>
        <w:t xml:space="preserve"> graves et difficiles</w:t>
      </w:r>
      <w:r w:rsidRPr="00976C24">
        <w:rPr>
          <w:lang w:val="fr-FR"/>
        </w:rPr>
        <w:t xml:space="preserve"> problèmes</w:t>
      </w:r>
      <w:r>
        <w:rPr>
          <w:lang w:val="fr-FR"/>
        </w:rPr>
        <w:t xml:space="preserve"> et</w:t>
      </w:r>
      <w:r w:rsidRPr="00976C24">
        <w:rPr>
          <w:lang w:val="fr-FR"/>
        </w:rPr>
        <w:t xml:space="preserve"> </w:t>
      </w:r>
      <w:r>
        <w:rPr>
          <w:lang w:val="fr-FR"/>
        </w:rPr>
        <w:t xml:space="preserve">à </w:t>
      </w:r>
      <w:r w:rsidRPr="00976C24">
        <w:rPr>
          <w:lang w:val="fr-FR"/>
        </w:rPr>
        <w:t xml:space="preserve">une capacité </w:t>
      </w:r>
      <w:r>
        <w:rPr>
          <w:lang w:val="fr-FR"/>
        </w:rPr>
        <w:t xml:space="preserve">fortement </w:t>
      </w:r>
      <w:r w:rsidRPr="00976C24">
        <w:rPr>
          <w:lang w:val="fr-FR"/>
        </w:rPr>
        <w:t>r</w:t>
      </w:r>
      <w:r>
        <w:rPr>
          <w:lang w:val="fr-FR"/>
        </w:rPr>
        <w:t>éduit</w:t>
      </w:r>
      <w:r w:rsidRPr="00976C24">
        <w:rPr>
          <w:lang w:val="fr-FR"/>
        </w:rPr>
        <w:t xml:space="preserve">e </w:t>
      </w:r>
      <w:r>
        <w:rPr>
          <w:lang w:val="fr-FR"/>
        </w:rPr>
        <w:t>de travailler et de gagner leur</w:t>
      </w:r>
      <w:r w:rsidRPr="00976C24">
        <w:rPr>
          <w:lang w:val="fr-FR"/>
        </w:rPr>
        <w:t xml:space="preserve"> vie, </w:t>
      </w:r>
      <w:r>
        <w:rPr>
          <w:lang w:val="fr-FR"/>
        </w:rPr>
        <w:t>tributaires</w:t>
      </w:r>
      <w:r w:rsidRPr="00976C24">
        <w:rPr>
          <w:lang w:val="fr-FR"/>
        </w:rPr>
        <w:t xml:space="preserve"> des prestations sociales et</w:t>
      </w:r>
      <w:r>
        <w:rPr>
          <w:lang w:val="fr-FR"/>
        </w:rPr>
        <w:t xml:space="preserve"> piégés, ou</w:t>
      </w:r>
      <w:r w:rsidRPr="00976C24">
        <w:rPr>
          <w:lang w:val="fr-FR"/>
        </w:rPr>
        <w:t xml:space="preserve"> </w:t>
      </w:r>
      <w:r>
        <w:rPr>
          <w:lang w:val="fr-FR"/>
        </w:rPr>
        <w:t xml:space="preserve">en passe </w:t>
      </w:r>
      <w:r w:rsidRPr="00976C24">
        <w:rPr>
          <w:lang w:val="fr-FR"/>
        </w:rPr>
        <w:t>de l’être</w:t>
      </w:r>
      <w:r>
        <w:rPr>
          <w:lang w:val="fr-FR"/>
        </w:rPr>
        <w:t>,</w:t>
      </w:r>
      <w:r w:rsidRPr="00976C24">
        <w:rPr>
          <w:lang w:val="fr-FR"/>
        </w:rPr>
        <w:t xml:space="preserve"> dans une situa</w:t>
      </w:r>
      <w:r>
        <w:rPr>
          <w:lang w:val="fr-FR"/>
        </w:rPr>
        <w:t>tion passive caractérisée par une</w:t>
      </w:r>
      <w:r w:rsidRPr="00976C24">
        <w:rPr>
          <w:lang w:val="fr-FR"/>
        </w:rPr>
        <w:t xml:space="preserve"> pauvreté monétaire. Peuvent </w:t>
      </w:r>
      <w:r>
        <w:rPr>
          <w:lang w:val="fr-FR"/>
        </w:rPr>
        <w:t>en bénéficier</w:t>
      </w:r>
      <w:r w:rsidRPr="00976C24">
        <w:rPr>
          <w:lang w:val="fr-FR"/>
        </w:rPr>
        <w:t xml:space="preserve"> les personnes jugées aptes à s’insérer dans le marché du travail après un encadrement plus étroit et plus contraignant. L’objectif est de permettre à davantage de personnes correspondant à ce profil de trouver un emploi grâce à un </w:t>
      </w:r>
      <w:r>
        <w:rPr>
          <w:lang w:val="fr-FR"/>
        </w:rPr>
        <w:t xml:space="preserve">accompagnement </w:t>
      </w:r>
      <w:r w:rsidRPr="00976C24">
        <w:rPr>
          <w:lang w:val="fr-FR"/>
        </w:rPr>
        <w:t>individualisé d’un ou deux ans.</w:t>
      </w:r>
    </w:p>
    <w:p w:rsidR="00903547" w:rsidRPr="00976C24" w:rsidRDefault="00903547" w:rsidP="00982FD0">
      <w:pPr>
        <w:pStyle w:val="SingleTxtG"/>
        <w:rPr>
          <w:lang w:val="fr-FR"/>
        </w:rPr>
      </w:pPr>
      <w:r>
        <w:rPr>
          <w:lang w:val="fr-FR"/>
        </w:rPr>
        <w:t>169.</w:t>
      </w:r>
      <w:r>
        <w:rPr>
          <w:lang w:val="fr-FR"/>
        </w:rPr>
        <w:tab/>
      </w:r>
      <w:r w:rsidRPr="00976C24">
        <w:rPr>
          <w:lang w:val="fr-FR"/>
        </w:rPr>
        <w:t xml:space="preserve">La loi dispose que les personnes qui remplissent les conditions </w:t>
      </w:r>
      <w:r>
        <w:rPr>
          <w:lang w:val="fr-FR"/>
        </w:rPr>
        <w:t>peuvent</w:t>
      </w:r>
      <w:r w:rsidRPr="00976C24">
        <w:rPr>
          <w:lang w:val="fr-FR"/>
        </w:rPr>
        <w:t xml:space="preserve"> participer au programme sur une base volontaire. Le programme est adapté à chaque individu selon ses besoins et ses capacités. Les participants perçoivent </w:t>
      </w:r>
      <w:r>
        <w:rPr>
          <w:lang w:val="fr-FR"/>
        </w:rPr>
        <w:t>tous la même</w:t>
      </w:r>
      <w:r w:rsidRPr="00976C24">
        <w:rPr>
          <w:lang w:val="fr-FR"/>
        </w:rPr>
        <w:t xml:space="preserve"> a</w:t>
      </w:r>
      <w:r>
        <w:rPr>
          <w:lang w:val="fr-FR"/>
        </w:rPr>
        <w:t>llocation mensuelle de</w:t>
      </w:r>
      <w:r w:rsidRPr="00976C24">
        <w:rPr>
          <w:lang w:val="fr-FR"/>
        </w:rPr>
        <w:t xml:space="preserve"> qualification. Une prestation sociale supplémentaire peut</w:t>
      </w:r>
      <w:r>
        <w:rPr>
          <w:lang w:val="fr-FR"/>
        </w:rPr>
        <w:t xml:space="preserve"> être accordée</w:t>
      </w:r>
      <w:r w:rsidRPr="00976C24">
        <w:rPr>
          <w:lang w:val="fr-FR"/>
        </w:rPr>
        <w:t xml:space="preserve"> sous condition de ressources</w:t>
      </w:r>
      <w:r w:rsidRPr="00976C24">
        <w:rPr>
          <w:iCs/>
          <w:lang w:val="fr-FR"/>
        </w:rPr>
        <w:t xml:space="preserve">. </w:t>
      </w:r>
    </w:p>
    <w:p w:rsidR="00903547" w:rsidRPr="00976C24" w:rsidRDefault="00903547" w:rsidP="00982FD0">
      <w:pPr>
        <w:pStyle w:val="SingleTxtG"/>
        <w:rPr>
          <w:lang w:val="fr-FR"/>
        </w:rPr>
      </w:pPr>
      <w:r>
        <w:rPr>
          <w:lang w:val="fr-FR"/>
        </w:rPr>
        <w:t>170.</w:t>
      </w:r>
      <w:r>
        <w:rPr>
          <w:lang w:val="fr-FR"/>
        </w:rPr>
        <w:tab/>
      </w:r>
      <w:r w:rsidRPr="00976C24">
        <w:rPr>
          <w:lang w:val="fr-FR"/>
        </w:rPr>
        <w:t xml:space="preserve">Entre le </w:t>
      </w:r>
      <w:r>
        <w:rPr>
          <w:lang w:val="fr-FR"/>
        </w:rPr>
        <w:t>1</w:t>
      </w:r>
      <w:r w:rsidRPr="0032250D">
        <w:rPr>
          <w:vertAlign w:val="superscript"/>
          <w:lang w:val="fr-FR"/>
        </w:rPr>
        <w:t>er</w:t>
      </w:r>
      <w:r>
        <w:rPr>
          <w:lang w:val="fr-FR"/>
        </w:rPr>
        <w:t xml:space="preserve"> </w:t>
      </w:r>
      <w:r w:rsidRPr="00976C24">
        <w:rPr>
          <w:lang w:val="fr-FR"/>
        </w:rPr>
        <w:t>janvier 2008 et le 28 février 2010, ce sont quelque 12</w:t>
      </w:r>
      <w:r>
        <w:rPr>
          <w:lang w:val="fr-FR"/>
        </w:rPr>
        <w:t> </w:t>
      </w:r>
      <w:r w:rsidRPr="00976C24">
        <w:rPr>
          <w:lang w:val="fr-FR"/>
        </w:rPr>
        <w:t xml:space="preserve">400 personnes qui ont participé au programme. </w:t>
      </w:r>
      <w:r>
        <w:rPr>
          <w:lang w:val="fr-FR"/>
        </w:rPr>
        <w:t>Les autorités</w:t>
      </w:r>
      <w:r w:rsidRPr="00976C24">
        <w:rPr>
          <w:lang w:val="fr-FR"/>
        </w:rPr>
        <w:t xml:space="preserve"> ne sav</w:t>
      </w:r>
      <w:r>
        <w:rPr>
          <w:lang w:val="fr-FR"/>
        </w:rPr>
        <w:t>ent</w:t>
      </w:r>
      <w:r w:rsidRPr="00976C24">
        <w:rPr>
          <w:lang w:val="fr-FR"/>
        </w:rPr>
        <w:t xml:space="preserve"> pas encore </w:t>
      </w:r>
      <w:r>
        <w:rPr>
          <w:lang w:val="fr-FR"/>
        </w:rPr>
        <w:t>précisément</w:t>
      </w:r>
      <w:r w:rsidRPr="00976C24">
        <w:rPr>
          <w:lang w:val="fr-FR"/>
        </w:rPr>
        <w:t xml:space="preserve"> combien </w:t>
      </w:r>
      <w:r>
        <w:rPr>
          <w:lang w:val="fr-FR"/>
        </w:rPr>
        <w:t>de participants ont ensuite trouvé</w:t>
      </w:r>
      <w:r w:rsidRPr="00976C24">
        <w:rPr>
          <w:lang w:val="fr-FR"/>
        </w:rPr>
        <w:t xml:space="preserve"> un emploi normal. Une évaluation du programme est en cours et se poursuivra jusqu’en 2012.</w:t>
      </w:r>
    </w:p>
    <w:p w:rsidR="00903547" w:rsidRPr="00976C24" w:rsidRDefault="00903547" w:rsidP="00982FD0">
      <w:pPr>
        <w:pStyle w:val="SingleTxtG"/>
        <w:rPr>
          <w:lang w:val="fr-FR"/>
        </w:rPr>
      </w:pPr>
      <w:r>
        <w:rPr>
          <w:lang w:val="fr-FR"/>
        </w:rPr>
        <w:t>171.</w:t>
      </w:r>
      <w:r>
        <w:rPr>
          <w:lang w:val="fr-FR"/>
        </w:rPr>
        <w:tab/>
      </w:r>
      <w:r w:rsidRPr="00976C24">
        <w:rPr>
          <w:lang w:val="fr-FR"/>
        </w:rPr>
        <w:t>Comme indiqué dans la réponse de la Norvège au paragraphe</w:t>
      </w:r>
      <w:r>
        <w:rPr>
          <w:lang w:val="fr-FR"/>
        </w:rPr>
        <w:t> </w:t>
      </w:r>
      <w:r w:rsidRPr="00976C24">
        <w:rPr>
          <w:lang w:val="fr-FR"/>
        </w:rPr>
        <w:t xml:space="preserve">28 des observations finales </w:t>
      </w:r>
      <w:r>
        <w:rPr>
          <w:lang w:val="fr-FR"/>
        </w:rPr>
        <w:t>figurant dans le</w:t>
      </w:r>
      <w:r w:rsidRPr="00976C24">
        <w:rPr>
          <w:lang w:val="fr-FR"/>
        </w:rPr>
        <w:t xml:space="preserve"> présent rapport, un programme </w:t>
      </w:r>
      <w:r>
        <w:rPr>
          <w:lang w:val="fr-FR"/>
        </w:rPr>
        <w:t>d’insertion</w:t>
      </w:r>
      <w:r w:rsidRPr="00976C24">
        <w:rPr>
          <w:lang w:val="fr-FR"/>
        </w:rPr>
        <w:t xml:space="preserve"> a été lancé </w:t>
      </w:r>
      <w:r>
        <w:rPr>
          <w:lang w:val="fr-FR"/>
        </w:rPr>
        <w:t>en direction d</w:t>
      </w:r>
      <w:r w:rsidRPr="00976C24">
        <w:rPr>
          <w:lang w:val="fr-FR"/>
        </w:rPr>
        <w:t xml:space="preserve">es </w:t>
      </w:r>
      <w:r>
        <w:rPr>
          <w:lang w:val="fr-FR"/>
        </w:rPr>
        <w:t>immigrés récents</w:t>
      </w:r>
      <w:r w:rsidRPr="00976C24">
        <w:rPr>
          <w:lang w:val="fr-FR"/>
        </w:rPr>
        <w:t xml:space="preserve"> (loi sur l’insertion) pour améliorer leurs chances de participer au marché du travail et à la vie sociale. La loi garantit l’offre d’un programme d’insertion aux réfugiés</w:t>
      </w:r>
      <w:r>
        <w:rPr>
          <w:lang w:val="fr-FR"/>
        </w:rPr>
        <w:t xml:space="preserve"> et de</w:t>
      </w:r>
      <w:r w:rsidRPr="00976C24">
        <w:rPr>
          <w:lang w:val="fr-FR"/>
        </w:rPr>
        <w:t xml:space="preserve"> cours de langue norvégienne et d’études sociales </w:t>
      </w:r>
      <w:r>
        <w:rPr>
          <w:lang w:val="fr-FR"/>
        </w:rPr>
        <w:t>aux</w:t>
      </w:r>
      <w:r w:rsidRPr="00976C24">
        <w:rPr>
          <w:lang w:val="fr-FR"/>
        </w:rPr>
        <w:t xml:space="preserve"> immigrés adultes. </w:t>
      </w:r>
      <w:r>
        <w:rPr>
          <w:lang w:val="fr-FR"/>
        </w:rPr>
        <w:t>Les</w:t>
      </w:r>
      <w:r w:rsidRPr="00976C24">
        <w:rPr>
          <w:lang w:val="fr-FR"/>
        </w:rPr>
        <w:t xml:space="preserve"> résultats de ce programme d’insertion</w:t>
      </w:r>
      <w:r>
        <w:rPr>
          <w:lang w:val="fr-FR"/>
        </w:rPr>
        <w:t xml:space="preserve"> sont encourageants</w:t>
      </w:r>
      <w:r w:rsidRPr="00976C24">
        <w:rPr>
          <w:lang w:val="fr-FR"/>
        </w:rPr>
        <w:t xml:space="preserve">. </w:t>
      </w:r>
    </w:p>
    <w:p w:rsidR="00903547" w:rsidRPr="00976C24" w:rsidRDefault="00903547" w:rsidP="00982FD0">
      <w:pPr>
        <w:pStyle w:val="SingleTxtG"/>
        <w:rPr>
          <w:i/>
          <w:lang w:val="fr-FR"/>
        </w:rPr>
      </w:pPr>
      <w:r>
        <w:rPr>
          <w:lang w:val="fr-FR"/>
        </w:rPr>
        <w:t>172.</w:t>
      </w:r>
      <w:r>
        <w:rPr>
          <w:lang w:val="fr-FR"/>
        </w:rPr>
        <w:tab/>
      </w:r>
      <w:r w:rsidRPr="00976C24">
        <w:rPr>
          <w:lang w:val="fr-FR"/>
        </w:rPr>
        <w:t>Le programme de la deuxième chance, lancé en 2005, est un programme test de qual</w:t>
      </w:r>
      <w:r>
        <w:rPr>
          <w:lang w:val="fr-FR"/>
        </w:rPr>
        <w:t>ification pour les immigrés qui,</w:t>
      </w:r>
      <w:r w:rsidRPr="00976C24">
        <w:rPr>
          <w:lang w:val="fr-FR"/>
        </w:rPr>
        <w:t xml:space="preserve"> après plusieurs années passées en Norvège, n’ont pas vraiment pris pied sur le marché du travail et sont </w:t>
      </w:r>
      <w:r>
        <w:rPr>
          <w:lang w:val="fr-FR"/>
        </w:rPr>
        <w:t>tributaires</w:t>
      </w:r>
      <w:r w:rsidRPr="00976C24">
        <w:rPr>
          <w:lang w:val="fr-FR"/>
        </w:rPr>
        <w:t xml:space="preserve"> de longue date des prestations de la sécurité sociale.</w:t>
      </w:r>
    </w:p>
    <w:p w:rsidR="00903547" w:rsidRPr="00976C24" w:rsidRDefault="00903547" w:rsidP="0071086E">
      <w:pPr>
        <w:pStyle w:val="H1G"/>
        <w:rPr>
          <w:lang w:val="fr-FR"/>
        </w:rPr>
      </w:pPr>
      <w:bookmarkStart w:id="50" w:name="_Toc265062225"/>
      <w:r w:rsidRPr="00976C24">
        <w:rPr>
          <w:lang w:val="fr-FR"/>
        </w:rPr>
        <w:tab/>
      </w:r>
      <w:r w:rsidRPr="00976C24">
        <w:rPr>
          <w:lang w:val="fr-FR"/>
        </w:rPr>
        <w:tab/>
      </w:r>
      <w:bookmarkStart w:id="51" w:name="_Toc286326372"/>
      <w:r w:rsidRPr="00976C24">
        <w:rPr>
          <w:lang w:val="fr-FR"/>
        </w:rPr>
        <w:t>Art</w:t>
      </w:r>
      <w:r>
        <w:rPr>
          <w:lang w:val="fr-FR"/>
        </w:rPr>
        <w:t>icle 7</w:t>
      </w:r>
      <w:r>
        <w:rPr>
          <w:lang w:val="fr-FR"/>
        </w:rPr>
        <w:br/>
      </w:r>
      <w:r w:rsidRPr="00976C24">
        <w:rPr>
          <w:lang w:val="fr-FR"/>
        </w:rPr>
        <w:t>Droit à des conditions de travail justes</w:t>
      </w:r>
      <w:bookmarkEnd w:id="50"/>
      <w:bookmarkEnd w:id="51"/>
    </w:p>
    <w:p w:rsidR="00903547" w:rsidRPr="00976C24" w:rsidRDefault="00903547" w:rsidP="0071086E">
      <w:pPr>
        <w:pStyle w:val="H23G"/>
        <w:rPr>
          <w:lang w:val="fr-FR"/>
        </w:rPr>
      </w:pPr>
      <w:bookmarkStart w:id="52" w:name="_Toc265062226"/>
      <w:r w:rsidRPr="00976C24">
        <w:rPr>
          <w:lang w:val="fr-FR"/>
        </w:rPr>
        <w:tab/>
        <w:t>1.</w:t>
      </w:r>
      <w:r w:rsidRPr="00976C24">
        <w:rPr>
          <w:lang w:val="fr-FR"/>
        </w:rPr>
        <w:tab/>
      </w:r>
      <w:bookmarkStart w:id="53" w:name="_Toc286326373"/>
      <w:r w:rsidRPr="00976C24">
        <w:rPr>
          <w:lang w:val="fr-FR"/>
        </w:rPr>
        <w:t xml:space="preserve">Responsabilité </w:t>
      </w:r>
      <w:r>
        <w:rPr>
          <w:lang w:val="fr-FR"/>
        </w:rPr>
        <w:t>sociale</w:t>
      </w:r>
      <w:r w:rsidRPr="00976C24">
        <w:rPr>
          <w:lang w:val="fr-FR"/>
        </w:rPr>
        <w:t xml:space="preserve"> de </w:t>
      </w:r>
      <w:r>
        <w:rPr>
          <w:lang w:val="fr-FR"/>
        </w:rPr>
        <w:t>l’</w:t>
      </w:r>
      <w:r w:rsidRPr="00976C24">
        <w:rPr>
          <w:lang w:val="fr-FR"/>
        </w:rPr>
        <w:t>entreprise</w:t>
      </w:r>
      <w:bookmarkEnd w:id="52"/>
      <w:bookmarkEnd w:id="53"/>
    </w:p>
    <w:p w:rsidR="00903547" w:rsidRPr="00976C24" w:rsidRDefault="00903547" w:rsidP="00982FD0">
      <w:pPr>
        <w:pStyle w:val="SingleTxtG"/>
        <w:rPr>
          <w:lang w:val="fr-FR"/>
        </w:rPr>
      </w:pPr>
      <w:r>
        <w:rPr>
          <w:lang w:val="fr-FR"/>
        </w:rPr>
        <w:t>173.</w:t>
      </w:r>
      <w:r>
        <w:rPr>
          <w:lang w:val="fr-FR"/>
        </w:rPr>
        <w:tab/>
      </w:r>
      <w:r w:rsidRPr="00976C24">
        <w:rPr>
          <w:lang w:val="fr-FR"/>
        </w:rPr>
        <w:t>Le</w:t>
      </w:r>
      <w:r>
        <w:rPr>
          <w:lang w:val="fr-FR"/>
        </w:rPr>
        <w:t>s autorités gouvernementales</w:t>
      </w:r>
      <w:r w:rsidRPr="00976C24">
        <w:rPr>
          <w:lang w:val="fr-FR"/>
        </w:rPr>
        <w:t xml:space="preserve"> </w:t>
      </w:r>
      <w:r>
        <w:rPr>
          <w:lang w:val="fr-FR"/>
        </w:rPr>
        <w:t>ont</w:t>
      </w:r>
      <w:r w:rsidRPr="00976C24">
        <w:rPr>
          <w:lang w:val="fr-FR"/>
        </w:rPr>
        <w:t xml:space="preserve"> présenté </w:t>
      </w:r>
      <w:r>
        <w:rPr>
          <w:lang w:val="fr-FR"/>
        </w:rPr>
        <w:t xml:space="preserve">en janvier 2009 </w:t>
      </w:r>
      <w:r w:rsidRPr="00976C24">
        <w:rPr>
          <w:lang w:val="fr-FR"/>
        </w:rPr>
        <w:t xml:space="preserve">un livre blanc sur la responsabilité </w:t>
      </w:r>
      <w:r>
        <w:rPr>
          <w:lang w:val="fr-FR"/>
        </w:rPr>
        <w:t>sociale</w:t>
      </w:r>
      <w:r w:rsidRPr="00976C24">
        <w:rPr>
          <w:lang w:val="fr-FR"/>
        </w:rPr>
        <w:t xml:space="preserve"> de</w:t>
      </w:r>
      <w:r>
        <w:rPr>
          <w:lang w:val="fr-FR"/>
        </w:rPr>
        <w:t xml:space="preserve"> l’entreprise dans une économie mondialisée</w:t>
      </w:r>
      <w:r w:rsidRPr="00976C24">
        <w:rPr>
          <w:rStyle w:val="FootnoteReference"/>
          <w:lang w:val="fr-FR"/>
        </w:rPr>
        <w:footnoteReference w:id="9"/>
      </w:r>
      <w:r>
        <w:rPr>
          <w:lang w:val="fr-FR"/>
        </w:rPr>
        <w:t>.</w:t>
      </w:r>
      <w:r w:rsidRPr="00976C24">
        <w:rPr>
          <w:lang w:val="fr-FR"/>
        </w:rPr>
        <w:t xml:space="preserve"> </w:t>
      </w:r>
      <w:r>
        <w:rPr>
          <w:lang w:val="fr-FR"/>
        </w:rPr>
        <w:t>Il s’agissait</w:t>
      </w:r>
      <w:r w:rsidRPr="00976C24">
        <w:rPr>
          <w:lang w:val="fr-FR"/>
        </w:rPr>
        <w:t xml:space="preserve"> d</w:t>
      </w:r>
      <w:r>
        <w:rPr>
          <w:lang w:val="fr-FR"/>
        </w:rPr>
        <w:t>’accroître l’engagement et les connaissances en matière de</w:t>
      </w:r>
      <w:r w:rsidRPr="00976C24">
        <w:rPr>
          <w:lang w:val="fr-FR"/>
        </w:rPr>
        <w:t xml:space="preserve"> responsabilité </w:t>
      </w:r>
      <w:r>
        <w:rPr>
          <w:lang w:val="fr-FR"/>
        </w:rPr>
        <w:t>sociale</w:t>
      </w:r>
      <w:r w:rsidRPr="00976C24">
        <w:rPr>
          <w:lang w:val="fr-FR"/>
        </w:rPr>
        <w:t xml:space="preserve"> des entreprises dans les secteurs public et privé</w:t>
      </w:r>
      <w:r>
        <w:rPr>
          <w:lang w:val="fr-FR"/>
        </w:rPr>
        <w:t>,</w:t>
      </w:r>
      <w:r w:rsidRPr="00976C24">
        <w:rPr>
          <w:lang w:val="fr-FR"/>
        </w:rPr>
        <w:t xml:space="preserve"> de formuler et </w:t>
      </w:r>
      <w:r>
        <w:rPr>
          <w:lang w:val="fr-FR"/>
        </w:rPr>
        <w:t>préciser</w:t>
      </w:r>
      <w:r w:rsidRPr="00976C24">
        <w:rPr>
          <w:lang w:val="fr-FR"/>
        </w:rPr>
        <w:t xml:space="preserve"> les attentes </w:t>
      </w:r>
      <w:r>
        <w:rPr>
          <w:lang w:val="fr-FR"/>
        </w:rPr>
        <w:t>du</w:t>
      </w:r>
      <w:r w:rsidRPr="00976C24">
        <w:rPr>
          <w:lang w:val="fr-FR"/>
        </w:rPr>
        <w:t xml:space="preserve"> Gouvernement </w:t>
      </w:r>
      <w:r>
        <w:rPr>
          <w:lang w:val="fr-FR"/>
        </w:rPr>
        <w:t xml:space="preserve">à l’égard </w:t>
      </w:r>
      <w:r w:rsidRPr="00976C24">
        <w:rPr>
          <w:lang w:val="fr-FR"/>
        </w:rPr>
        <w:t>des entreprises norvégiennes et d</w:t>
      </w:r>
      <w:r>
        <w:rPr>
          <w:lang w:val="fr-FR"/>
        </w:rPr>
        <w:t>’établir</w:t>
      </w:r>
      <w:r w:rsidRPr="00976C24">
        <w:rPr>
          <w:lang w:val="fr-FR"/>
        </w:rPr>
        <w:t xml:space="preserve"> les rôles et </w:t>
      </w:r>
      <w:r>
        <w:rPr>
          <w:lang w:val="fr-FR"/>
        </w:rPr>
        <w:t>responsabilités des pouvoirs publics</w:t>
      </w:r>
      <w:r w:rsidRPr="00976C24">
        <w:rPr>
          <w:lang w:val="fr-FR"/>
        </w:rPr>
        <w:t>, du secteur privé et d’autres acteurs. L</w:t>
      </w:r>
      <w:r>
        <w:rPr>
          <w:lang w:val="fr-FR"/>
        </w:rPr>
        <w:t>a mise en œuvre d</w:t>
      </w:r>
      <w:r w:rsidRPr="00976C24">
        <w:rPr>
          <w:lang w:val="fr-FR"/>
        </w:rPr>
        <w:t xml:space="preserve">es mesures énoncées dans le livre blanc </w:t>
      </w:r>
      <w:r>
        <w:rPr>
          <w:lang w:val="fr-FR"/>
        </w:rPr>
        <w:t>sera poursuivie. À</w:t>
      </w:r>
      <w:r w:rsidRPr="00976C24">
        <w:rPr>
          <w:lang w:val="fr-FR"/>
        </w:rPr>
        <w:t xml:space="preserve"> cet</w:t>
      </w:r>
      <w:r>
        <w:rPr>
          <w:lang w:val="fr-FR"/>
        </w:rPr>
        <w:t>te fin,</w:t>
      </w:r>
      <w:r w:rsidRPr="00976C24">
        <w:rPr>
          <w:lang w:val="fr-FR"/>
        </w:rPr>
        <w:t xml:space="preserve"> le point de contact national désigné conformément aux Principes directeurs de l’OCDE à l’intention des entreprises multinationales sera restructuré et renforcé et la loi sur la </w:t>
      </w:r>
      <w:r>
        <w:rPr>
          <w:lang w:val="fr-FR"/>
        </w:rPr>
        <w:t>responsabilité</w:t>
      </w:r>
      <w:r w:rsidRPr="00976C24">
        <w:rPr>
          <w:lang w:val="fr-FR"/>
        </w:rPr>
        <w:t xml:space="preserve"> des entreprises sera révisée.</w:t>
      </w:r>
    </w:p>
    <w:p w:rsidR="00903547" w:rsidRPr="00976C24" w:rsidRDefault="00903547" w:rsidP="00982FD0">
      <w:pPr>
        <w:pStyle w:val="SingleTxtG"/>
        <w:rPr>
          <w:lang w:val="fr-FR"/>
        </w:rPr>
      </w:pPr>
      <w:r>
        <w:rPr>
          <w:lang w:val="fr-FR"/>
        </w:rPr>
        <w:t>174.</w:t>
      </w:r>
      <w:r>
        <w:rPr>
          <w:lang w:val="fr-FR"/>
        </w:rPr>
        <w:tab/>
      </w:r>
      <w:r w:rsidRPr="00976C24">
        <w:rPr>
          <w:lang w:val="fr-FR"/>
        </w:rPr>
        <w:t xml:space="preserve">Le Fonds de pension global du Gouvernement est un instrument </w:t>
      </w:r>
      <w:r>
        <w:rPr>
          <w:lang w:val="fr-FR"/>
        </w:rPr>
        <w:t xml:space="preserve">qui </w:t>
      </w:r>
      <w:r w:rsidRPr="00976C24">
        <w:rPr>
          <w:lang w:val="fr-FR"/>
        </w:rPr>
        <w:t xml:space="preserve">a pour vocation d’affecter une part raisonnable de la manne pétrolière norvégienne au bien-être des générations futures et au financement des pensions nationales. Les avoirs financiers doivent être gérés </w:t>
      </w:r>
      <w:r>
        <w:rPr>
          <w:lang w:val="fr-FR"/>
        </w:rPr>
        <w:t xml:space="preserve">de manière à </w:t>
      </w:r>
      <w:r w:rsidRPr="00976C24">
        <w:rPr>
          <w:lang w:val="fr-FR"/>
        </w:rPr>
        <w:t>obtenir le meilleur rendement à long terme, ce qui supp</w:t>
      </w:r>
      <w:r>
        <w:rPr>
          <w:lang w:val="fr-FR"/>
        </w:rPr>
        <w:t>ose un développement durable au</w:t>
      </w:r>
      <w:r w:rsidRPr="00976C24">
        <w:rPr>
          <w:lang w:val="fr-FR"/>
        </w:rPr>
        <w:t xml:space="preserve"> sens économique, environnemental et social. Des critères éthiques pour la gestion du Fonds ont été adoptés en 2004 et révisés en 2009. La gestion responsable du Fonds </w:t>
      </w:r>
      <w:r>
        <w:rPr>
          <w:lang w:val="fr-FR"/>
        </w:rPr>
        <w:t>doit</w:t>
      </w:r>
      <w:r w:rsidRPr="00976C24">
        <w:rPr>
          <w:lang w:val="fr-FR"/>
        </w:rPr>
        <w:t xml:space="preserve"> notamment promouvoir une bonne gouvernance d’entreprise et une sensib</w:t>
      </w:r>
      <w:r>
        <w:rPr>
          <w:lang w:val="fr-FR"/>
        </w:rPr>
        <w:t>ilisation</w:t>
      </w:r>
      <w:r w:rsidRPr="00976C24">
        <w:rPr>
          <w:lang w:val="fr-FR"/>
        </w:rPr>
        <w:t xml:space="preserve"> accrue aux questions sociales et environnementales au sein des entreprises dans lesquelles le Fonds a des actifs</w:t>
      </w:r>
      <w:r>
        <w:rPr>
          <w:lang w:val="fr-FR"/>
        </w:rPr>
        <w:t>,</w:t>
      </w:r>
      <w:r w:rsidRPr="00976C24">
        <w:rPr>
          <w:lang w:val="fr-FR"/>
        </w:rPr>
        <w:t xml:space="preserve"> et aider les compagnies f</w:t>
      </w:r>
      <w:r>
        <w:rPr>
          <w:lang w:val="fr-FR"/>
        </w:rPr>
        <w:t xml:space="preserve">igurant dans son portefeuille à </w:t>
      </w:r>
      <w:r w:rsidRPr="00976C24">
        <w:rPr>
          <w:lang w:val="fr-FR"/>
        </w:rPr>
        <w:t>adhérer aux normes éthiques fondamentales. Le Fonds doit éviter d’investir dans des entreprises qui ont des activités manif</w:t>
      </w:r>
      <w:r>
        <w:rPr>
          <w:lang w:val="fr-FR"/>
        </w:rPr>
        <w:t>estement contraires à l’éthique</w:t>
      </w:r>
      <w:r w:rsidRPr="00976C24">
        <w:rPr>
          <w:lang w:val="fr-FR"/>
        </w:rPr>
        <w:t xml:space="preserve"> </w:t>
      </w:r>
      <w:r>
        <w:rPr>
          <w:lang w:val="fr-FR"/>
        </w:rPr>
        <w:t>telles que:</w:t>
      </w:r>
      <w:r w:rsidRPr="00976C24">
        <w:rPr>
          <w:lang w:val="fr-FR"/>
        </w:rPr>
        <w:t xml:space="preserve"> violations graves ou systém</w:t>
      </w:r>
      <w:r>
        <w:rPr>
          <w:lang w:val="fr-FR"/>
        </w:rPr>
        <w:t xml:space="preserve">atiques des droits de l’homme, </w:t>
      </w:r>
      <w:r w:rsidRPr="00976C24">
        <w:rPr>
          <w:lang w:val="fr-FR"/>
        </w:rPr>
        <w:t xml:space="preserve">meurtres, actes de torture, privation de liberté, travail forcé, pires formes de travail des enfants et autres formes d’exploitation des enfants. La base éthique de la gestion du Fonds est promue par différents moyens, comme l’exercice des droits de propriété et l’exclusion d’entreprises de son portefeuille. On </w:t>
      </w:r>
      <w:r>
        <w:rPr>
          <w:lang w:val="fr-FR"/>
        </w:rPr>
        <w:t>constate</w:t>
      </w:r>
      <w:r w:rsidRPr="00976C24">
        <w:rPr>
          <w:lang w:val="fr-FR"/>
        </w:rPr>
        <w:t xml:space="preserve"> un</w:t>
      </w:r>
      <w:r>
        <w:rPr>
          <w:lang w:val="fr-FR"/>
        </w:rPr>
        <w:t>e adhésion active, en particulier au regard de la</w:t>
      </w:r>
      <w:r w:rsidRPr="00976C24">
        <w:rPr>
          <w:lang w:val="fr-FR"/>
        </w:rPr>
        <w:t xml:space="preserve"> gouvernance d’entreprise, </w:t>
      </w:r>
      <w:r>
        <w:rPr>
          <w:lang w:val="fr-FR"/>
        </w:rPr>
        <w:t>des droits des enfants, d</w:t>
      </w:r>
      <w:r w:rsidRPr="00976C24">
        <w:rPr>
          <w:lang w:val="fr-FR"/>
        </w:rPr>
        <w:t xml:space="preserve">es changements climatiques et </w:t>
      </w:r>
      <w:r>
        <w:rPr>
          <w:lang w:val="fr-FR"/>
        </w:rPr>
        <w:t xml:space="preserve">de </w:t>
      </w:r>
      <w:r w:rsidRPr="00976C24">
        <w:rPr>
          <w:lang w:val="fr-FR"/>
        </w:rPr>
        <w:t xml:space="preserve">la gestion de l’eau. </w:t>
      </w:r>
      <w:r>
        <w:rPr>
          <w:lang w:val="fr-FR"/>
        </w:rPr>
        <w:t>Il arrive que</w:t>
      </w:r>
      <w:r w:rsidRPr="00976C24">
        <w:rPr>
          <w:lang w:val="fr-FR"/>
        </w:rPr>
        <w:t xml:space="preserve"> le Conseil d’ét</w:t>
      </w:r>
      <w:r>
        <w:rPr>
          <w:lang w:val="fr-FR"/>
        </w:rPr>
        <w:t>h</w:t>
      </w:r>
      <w:r w:rsidRPr="00976C24">
        <w:rPr>
          <w:lang w:val="fr-FR"/>
        </w:rPr>
        <w:t xml:space="preserve">ique du Fonds recommande l’exclusion de certaines entreprises si l’investissement dans </w:t>
      </w:r>
      <w:r>
        <w:rPr>
          <w:lang w:val="fr-FR"/>
        </w:rPr>
        <w:t>ces</w:t>
      </w:r>
      <w:r w:rsidRPr="00976C24">
        <w:rPr>
          <w:lang w:val="fr-FR"/>
        </w:rPr>
        <w:t xml:space="preserve"> entreprises ne répond pas aux règles éthiques. En juin 2009, 48</w:t>
      </w:r>
      <w:r>
        <w:rPr>
          <w:lang w:val="fr-FR"/>
        </w:rPr>
        <w:t> </w:t>
      </w:r>
      <w:r w:rsidRPr="00976C24">
        <w:rPr>
          <w:lang w:val="fr-FR"/>
        </w:rPr>
        <w:t>entreprises avaient été exclues du portefeuille du Fonds.</w:t>
      </w:r>
    </w:p>
    <w:p w:rsidR="00903547" w:rsidRPr="00976C24" w:rsidRDefault="00903547" w:rsidP="00982FD0">
      <w:pPr>
        <w:pStyle w:val="SingleTxtG"/>
        <w:rPr>
          <w:lang w:val="fr-FR"/>
        </w:rPr>
      </w:pPr>
      <w:r>
        <w:rPr>
          <w:lang w:val="fr-FR"/>
        </w:rPr>
        <w:t>175.</w:t>
      </w:r>
      <w:r>
        <w:rPr>
          <w:lang w:val="fr-FR"/>
        </w:rPr>
        <w:tab/>
      </w:r>
      <w:r w:rsidRPr="00976C24">
        <w:rPr>
          <w:lang w:val="fr-FR"/>
        </w:rPr>
        <w:t xml:space="preserve">La Norvège conduit les négociations des Nations Unies </w:t>
      </w:r>
      <w:r>
        <w:rPr>
          <w:lang w:val="fr-FR"/>
        </w:rPr>
        <w:t xml:space="preserve">menées </w:t>
      </w:r>
      <w:r w:rsidRPr="00976C24">
        <w:rPr>
          <w:lang w:val="fr-FR"/>
        </w:rPr>
        <w:t xml:space="preserve">au sein du Conseil des droits de l’homme sur le mandat du Représentant spécial du Secrétaire général </w:t>
      </w:r>
      <w:r>
        <w:rPr>
          <w:lang w:val="fr-FR"/>
        </w:rPr>
        <w:t>po</w:t>
      </w:r>
      <w:r w:rsidRPr="00976C24">
        <w:rPr>
          <w:lang w:val="fr-FR"/>
        </w:rPr>
        <w:t xml:space="preserve">ur la question des droits de l’homme, des </w:t>
      </w:r>
      <w:r>
        <w:rPr>
          <w:lang w:val="fr-FR"/>
        </w:rPr>
        <w:t>sociétés</w:t>
      </w:r>
      <w:r w:rsidRPr="00976C24">
        <w:rPr>
          <w:lang w:val="fr-FR"/>
        </w:rPr>
        <w:t xml:space="preserve"> transnation</w:t>
      </w:r>
      <w:r>
        <w:rPr>
          <w:lang w:val="fr-FR"/>
        </w:rPr>
        <w:t>ales et autres entreprises, le p</w:t>
      </w:r>
      <w:r w:rsidRPr="00976C24">
        <w:rPr>
          <w:lang w:val="fr-FR"/>
        </w:rPr>
        <w:t xml:space="preserve">rofesseur John Ruggie, chargé de </w:t>
      </w:r>
      <w:r>
        <w:rPr>
          <w:lang w:val="fr-FR"/>
        </w:rPr>
        <w:t>clarifier</w:t>
      </w:r>
      <w:r w:rsidRPr="00976C24">
        <w:rPr>
          <w:lang w:val="fr-FR"/>
        </w:rPr>
        <w:t xml:space="preserve"> les responsabilités en matière de droits de l’homme des gouvernements et des entreprises. La Norvège soutient sans réserve le cadre </w:t>
      </w:r>
      <w:r>
        <w:rPr>
          <w:lang w:val="fr-FR"/>
        </w:rPr>
        <w:t xml:space="preserve">d’action </w:t>
      </w:r>
      <w:r w:rsidRPr="00976C24">
        <w:rPr>
          <w:lang w:val="fr-FR"/>
        </w:rPr>
        <w:t>d</w:t>
      </w:r>
      <w:r>
        <w:rPr>
          <w:lang w:val="fr-FR"/>
        </w:rPr>
        <w:t>es Nations Unies élaboré par M. </w:t>
      </w:r>
      <w:r w:rsidRPr="00976C24">
        <w:rPr>
          <w:lang w:val="fr-FR"/>
        </w:rPr>
        <w:t>Ruggie, qui repose sur trois piliers</w:t>
      </w:r>
      <w:r>
        <w:rPr>
          <w:lang w:val="fr-FR"/>
        </w:rPr>
        <w:t>:</w:t>
      </w:r>
      <w:r w:rsidRPr="00976C24">
        <w:rPr>
          <w:lang w:val="fr-FR"/>
        </w:rPr>
        <w:t xml:space="preserve"> prot</w:t>
      </w:r>
      <w:r>
        <w:rPr>
          <w:lang w:val="fr-FR"/>
        </w:rPr>
        <w:t>ection</w:t>
      </w:r>
      <w:r w:rsidRPr="00976C24">
        <w:rPr>
          <w:lang w:val="fr-FR"/>
        </w:rPr>
        <w:t xml:space="preserve">, respect et </w:t>
      </w:r>
      <w:r>
        <w:rPr>
          <w:lang w:val="fr-FR"/>
        </w:rPr>
        <w:t>recours</w:t>
      </w:r>
      <w:r w:rsidRPr="00976C24">
        <w:rPr>
          <w:lang w:val="fr-FR"/>
        </w:rPr>
        <w:t>, élaboration de principes directeurs. La Norvège soutien</w:t>
      </w:r>
      <w:r>
        <w:rPr>
          <w:lang w:val="fr-FR"/>
        </w:rPr>
        <w:t>t</w:t>
      </w:r>
      <w:r w:rsidRPr="00976C24">
        <w:rPr>
          <w:lang w:val="fr-FR"/>
        </w:rPr>
        <w:t xml:space="preserve"> également différents projets </w:t>
      </w:r>
      <w:r>
        <w:rPr>
          <w:lang w:val="fr-FR"/>
        </w:rPr>
        <w:t xml:space="preserve">lancés </w:t>
      </w:r>
      <w:r w:rsidRPr="00976C24">
        <w:rPr>
          <w:lang w:val="fr-FR"/>
        </w:rPr>
        <w:t>dans le cadre de son mandat.</w:t>
      </w:r>
    </w:p>
    <w:p w:rsidR="00903547" w:rsidRPr="00976C24" w:rsidRDefault="00903547" w:rsidP="00982FD0">
      <w:pPr>
        <w:pStyle w:val="SingleTxtG"/>
        <w:rPr>
          <w:lang w:val="fr-FR"/>
        </w:rPr>
      </w:pPr>
      <w:r>
        <w:rPr>
          <w:lang w:val="fr-FR"/>
        </w:rPr>
        <w:t>176.</w:t>
      </w:r>
      <w:r>
        <w:rPr>
          <w:lang w:val="fr-FR"/>
        </w:rPr>
        <w:tab/>
      </w:r>
      <w:r w:rsidRPr="00976C24">
        <w:rPr>
          <w:lang w:val="fr-FR"/>
        </w:rPr>
        <w:t xml:space="preserve">La Norvège apporte son concours financier </w:t>
      </w:r>
      <w:r>
        <w:rPr>
          <w:lang w:val="fr-FR"/>
        </w:rPr>
        <w:t xml:space="preserve">à l’initiative relative </w:t>
      </w:r>
      <w:r w:rsidRPr="00976C24">
        <w:rPr>
          <w:lang w:val="fr-FR"/>
        </w:rPr>
        <w:t xml:space="preserve">au Pacte mondial pour les entreprises et s’emploie activement à </w:t>
      </w:r>
      <w:r>
        <w:rPr>
          <w:lang w:val="fr-FR"/>
        </w:rPr>
        <w:t>la renforcer et à la</w:t>
      </w:r>
      <w:r w:rsidRPr="00976C24">
        <w:rPr>
          <w:lang w:val="fr-FR"/>
        </w:rPr>
        <w:t xml:space="preserve"> développer</w:t>
      </w:r>
      <w:r>
        <w:rPr>
          <w:lang w:val="fr-FR"/>
        </w:rPr>
        <w:t>. L</w:t>
      </w:r>
      <w:r w:rsidRPr="00976C24">
        <w:rPr>
          <w:lang w:val="fr-FR"/>
        </w:rPr>
        <w:t xml:space="preserve">e Pacte </w:t>
      </w:r>
      <w:r>
        <w:rPr>
          <w:lang w:val="fr-FR"/>
        </w:rPr>
        <w:t>engage</w:t>
      </w:r>
      <w:r w:rsidRPr="00976C24">
        <w:rPr>
          <w:lang w:val="fr-FR"/>
        </w:rPr>
        <w:t xml:space="preserve"> les entreprises à soutenir dix principes fondamentaux fondés sur des conventions et des déclarations reconnues internationalement, y compris le Pacte international relatif aux droits économiques, sociaux et culturels. Les entreprises doivent notamment appuyer et adopter un ensemble de valeurs essentielles dans les domaines des droits de l’homme, des normes du travail, de l’environnement et de la lutte contre la corruption. La stratégie d’investissement du </w:t>
      </w:r>
      <w:r>
        <w:rPr>
          <w:lang w:val="fr-FR"/>
        </w:rPr>
        <w:t xml:space="preserve">Fonds de pension global </w:t>
      </w:r>
      <w:r w:rsidRPr="00976C24">
        <w:rPr>
          <w:lang w:val="fr-FR"/>
        </w:rPr>
        <w:t xml:space="preserve">repose notamment sur les principes énoncés dans le Pacte mondial et s’attache en particulier à exercer une influence sur les entreprises </w:t>
      </w:r>
      <w:r>
        <w:rPr>
          <w:lang w:val="fr-FR"/>
        </w:rPr>
        <w:t>qui sont dans le</w:t>
      </w:r>
      <w:r w:rsidRPr="00976C24">
        <w:rPr>
          <w:lang w:val="fr-FR"/>
        </w:rPr>
        <w:t xml:space="preserve"> portefeuille du Fonds en vue de prévenir et de combattre le travail des enfants dans ces entreprises. </w:t>
      </w:r>
    </w:p>
    <w:p w:rsidR="00903547" w:rsidRPr="00976C24" w:rsidRDefault="00903547" w:rsidP="00982FD0">
      <w:pPr>
        <w:pStyle w:val="SingleTxtG"/>
        <w:rPr>
          <w:lang w:val="fr-FR"/>
        </w:rPr>
      </w:pPr>
      <w:r>
        <w:rPr>
          <w:lang w:val="fr-FR"/>
        </w:rPr>
        <w:t>177.</w:t>
      </w:r>
      <w:r>
        <w:rPr>
          <w:lang w:val="fr-FR"/>
        </w:rPr>
        <w:tab/>
      </w:r>
      <w:r w:rsidRPr="00976C24">
        <w:rPr>
          <w:lang w:val="fr-FR"/>
        </w:rPr>
        <w:t xml:space="preserve">La Norvège supporte fermement le Programme </w:t>
      </w:r>
      <w:r>
        <w:rPr>
          <w:lang w:val="fr-FR"/>
        </w:rPr>
        <w:t xml:space="preserve">de l’OIT </w:t>
      </w:r>
      <w:r w:rsidRPr="00976C24">
        <w:rPr>
          <w:lang w:val="fr-FR"/>
        </w:rPr>
        <w:t>pour un travail décent</w:t>
      </w:r>
      <w:r>
        <w:rPr>
          <w:lang w:val="fr-FR"/>
        </w:rPr>
        <w:t xml:space="preserve"> et</w:t>
      </w:r>
      <w:r w:rsidRPr="00976C24">
        <w:rPr>
          <w:lang w:val="fr-FR"/>
        </w:rPr>
        <w:t xml:space="preserve"> ses quatre piliers que sont la création d’emploi, les droits des travailleurs, le dialogue social et la protection sociale, </w:t>
      </w:r>
      <w:r>
        <w:rPr>
          <w:lang w:val="fr-FR"/>
        </w:rPr>
        <w:t>sans oublier</w:t>
      </w:r>
      <w:r w:rsidRPr="00976C24">
        <w:rPr>
          <w:lang w:val="fr-FR"/>
        </w:rPr>
        <w:t xml:space="preserve"> </w:t>
      </w:r>
      <w:r>
        <w:rPr>
          <w:lang w:val="fr-FR"/>
        </w:rPr>
        <w:t>les mesures en faveur</w:t>
      </w:r>
      <w:r w:rsidRPr="00976C24">
        <w:rPr>
          <w:lang w:val="fr-FR"/>
        </w:rPr>
        <w:t xml:space="preserve"> </w:t>
      </w:r>
      <w:r>
        <w:rPr>
          <w:lang w:val="fr-FR"/>
        </w:rPr>
        <w:t>d’</w:t>
      </w:r>
      <w:r w:rsidRPr="00976C24">
        <w:rPr>
          <w:lang w:val="fr-FR"/>
        </w:rPr>
        <w:t xml:space="preserve">une </w:t>
      </w:r>
      <w:r>
        <w:rPr>
          <w:lang w:val="fr-FR"/>
        </w:rPr>
        <w:t xml:space="preserve">plus grande </w:t>
      </w:r>
      <w:r w:rsidRPr="00976C24">
        <w:rPr>
          <w:lang w:val="fr-FR"/>
        </w:rPr>
        <w:t>cohérence d</w:t>
      </w:r>
      <w:r>
        <w:rPr>
          <w:lang w:val="fr-FR"/>
        </w:rPr>
        <w:t>e la</w:t>
      </w:r>
      <w:r w:rsidRPr="00976C24">
        <w:rPr>
          <w:lang w:val="fr-FR"/>
        </w:rPr>
        <w:t xml:space="preserve"> gouvernance économique mondiale.</w:t>
      </w:r>
    </w:p>
    <w:p w:rsidR="00903547" w:rsidRPr="00976C24" w:rsidRDefault="00903547" w:rsidP="00982FD0">
      <w:pPr>
        <w:pStyle w:val="SingleTxtG"/>
        <w:rPr>
          <w:lang w:val="fr-FR"/>
        </w:rPr>
      </w:pPr>
      <w:r>
        <w:rPr>
          <w:lang w:val="fr-FR"/>
        </w:rPr>
        <w:t>178.</w:t>
      </w:r>
      <w:r>
        <w:rPr>
          <w:lang w:val="fr-FR"/>
        </w:rPr>
        <w:tab/>
      </w:r>
      <w:r w:rsidRPr="00976C24">
        <w:rPr>
          <w:lang w:val="fr-FR"/>
        </w:rPr>
        <w:t>La Norvège p</w:t>
      </w:r>
      <w:r>
        <w:rPr>
          <w:lang w:val="fr-FR"/>
        </w:rPr>
        <w:t>rend</w:t>
      </w:r>
      <w:r w:rsidRPr="00976C24">
        <w:rPr>
          <w:lang w:val="fr-FR"/>
        </w:rPr>
        <w:t xml:space="preserve"> également </w:t>
      </w:r>
      <w:r>
        <w:rPr>
          <w:lang w:val="fr-FR"/>
        </w:rPr>
        <w:t xml:space="preserve">une part </w:t>
      </w:r>
      <w:r w:rsidRPr="00976C24">
        <w:rPr>
          <w:lang w:val="fr-FR"/>
        </w:rPr>
        <w:t xml:space="preserve">active à plusieurs initiatives multinationales et/ou multipartites. </w:t>
      </w:r>
    </w:p>
    <w:p w:rsidR="00903547" w:rsidRPr="00976C24" w:rsidRDefault="00903547" w:rsidP="00982FD0">
      <w:pPr>
        <w:pStyle w:val="SingleTxtG"/>
        <w:rPr>
          <w:lang w:val="fr-FR"/>
        </w:rPr>
      </w:pPr>
      <w:r>
        <w:rPr>
          <w:lang w:val="fr-FR"/>
        </w:rPr>
        <w:t>179.</w:t>
      </w:r>
      <w:r>
        <w:rPr>
          <w:lang w:val="fr-FR"/>
        </w:rPr>
        <w:tab/>
      </w:r>
      <w:r w:rsidRPr="00976C24">
        <w:rPr>
          <w:lang w:val="fr-FR"/>
        </w:rPr>
        <w:t xml:space="preserve">La Norvège </w:t>
      </w:r>
      <w:r>
        <w:rPr>
          <w:lang w:val="fr-FR"/>
        </w:rPr>
        <w:t>est l’hôte du</w:t>
      </w:r>
      <w:r w:rsidRPr="00976C24">
        <w:rPr>
          <w:lang w:val="fr-FR"/>
        </w:rPr>
        <w:t xml:space="preserve"> secrétariat de l’Initiative pour la transparence des industries extractives (ITIE), une initiative publique/privée qui tend à renforcer la gouvernance en </w:t>
      </w:r>
      <w:r>
        <w:rPr>
          <w:lang w:val="fr-FR"/>
        </w:rPr>
        <w:t>favorisant</w:t>
      </w:r>
      <w:r w:rsidRPr="00976C24">
        <w:rPr>
          <w:lang w:val="fr-FR"/>
        </w:rPr>
        <w:t xml:space="preserve"> la transparence </w:t>
      </w:r>
      <w:r>
        <w:rPr>
          <w:lang w:val="fr-FR"/>
        </w:rPr>
        <w:t>des</w:t>
      </w:r>
      <w:r w:rsidRPr="00976C24">
        <w:rPr>
          <w:lang w:val="fr-FR"/>
        </w:rPr>
        <w:t xml:space="preserve"> flux monétaire</w:t>
      </w:r>
      <w:r>
        <w:rPr>
          <w:lang w:val="fr-FR"/>
        </w:rPr>
        <w:t>s</w:t>
      </w:r>
      <w:r w:rsidRPr="00976C24">
        <w:rPr>
          <w:lang w:val="fr-FR"/>
        </w:rPr>
        <w:t xml:space="preserve"> entre les </w:t>
      </w:r>
      <w:r>
        <w:rPr>
          <w:lang w:val="fr-FR"/>
        </w:rPr>
        <w:t>compagnies</w:t>
      </w:r>
      <w:r w:rsidRPr="00976C24">
        <w:rPr>
          <w:lang w:val="fr-FR"/>
        </w:rPr>
        <w:t xml:space="preserve"> pétrolières et minières et les gouvernements des pays dans lesquels elles opèrent. La Norvège soutient également sans réserve les Principes volontaires relatifs à la sécurité et aux droits de l’homme, une autre initiative multipartite </w:t>
      </w:r>
      <w:r>
        <w:rPr>
          <w:lang w:val="fr-FR"/>
        </w:rPr>
        <w:t>concernant l</w:t>
      </w:r>
      <w:r w:rsidRPr="00976C24">
        <w:rPr>
          <w:lang w:val="fr-FR"/>
        </w:rPr>
        <w:t xml:space="preserve">es industries extractives, le processus de Kimberley, les Principes directeurs de l’OCDE à l’intention des entreprises multinationales, </w:t>
      </w:r>
      <w:r>
        <w:rPr>
          <w:lang w:val="fr-FR"/>
        </w:rPr>
        <w:t>l</w:t>
      </w:r>
      <w:r w:rsidRPr="00976C24">
        <w:rPr>
          <w:lang w:val="fr-FR"/>
        </w:rPr>
        <w:t>’Initiative mondiale sur les rapports de performance, la Société financière internationale, ISO</w:t>
      </w:r>
      <w:r>
        <w:rPr>
          <w:lang w:val="fr-FR"/>
        </w:rPr>
        <w:t> </w:t>
      </w:r>
      <w:r w:rsidRPr="00976C24">
        <w:rPr>
          <w:lang w:val="fr-FR"/>
        </w:rPr>
        <w:t xml:space="preserve">26000 et d’autres initiatives propres à </w:t>
      </w:r>
      <w:r>
        <w:rPr>
          <w:lang w:val="fr-FR"/>
        </w:rPr>
        <w:t>aider</w:t>
      </w:r>
      <w:r w:rsidRPr="00976C24">
        <w:rPr>
          <w:lang w:val="fr-FR"/>
        </w:rPr>
        <w:t xml:space="preserve"> les </w:t>
      </w:r>
      <w:r>
        <w:rPr>
          <w:lang w:val="fr-FR"/>
        </w:rPr>
        <w:t>États</w:t>
      </w:r>
      <w:r w:rsidRPr="00976C24">
        <w:rPr>
          <w:lang w:val="fr-FR"/>
        </w:rPr>
        <w:t xml:space="preserve"> et les entreprises. </w:t>
      </w:r>
    </w:p>
    <w:p w:rsidR="00903547" w:rsidRPr="00976C24" w:rsidRDefault="00903547" w:rsidP="0071086E">
      <w:pPr>
        <w:pStyle w:val="H23G"/>
        <w:numPr>
          <w:ilvl w:val="0"/>
          <w:numId w:val="13"/>
        </w:numPr>
        <w:rPr>
          <w:lang w:val="fr-FR"/>
        </w:rPr>
      </w:pPr>
      <w:r w:rsidRPr="00976C24">
        <w:rPr>
          <w:lang w:val="fr-FR"/>
        </w:rPr>
        <w:t>Salaire minimum national</w:t>
      </w:r>
    </w:p>
    <w:p w:rsidR="00903547" w:rsidRPr="00976C24" w:rsidRDefault="00903547" w:rsidP="0071086E">
      <w:pPr>
        <w:pStyle w:val="H23G"/>
        <w:ind w:left="1100" w:firstLine="0"/>
        <w:rPr>
          <w:rFonts w:ascii="Times New Roman Bold" w:hAnsi="Times New Roman Bold"/>
          <w:spacing w:val="-2"/>
          <w:lang w:val="fr-FR"/>
        </w:rPr>
      </w:pPr>
      <w:r w:rsidRPr="00976C24">
        <w:rPr>
          <w:rFonts w:ascii="Times New Roman Bold" w:hAnsi="Times New Roman Bold"/>
          <w:spacing w:val="-2"/>
          <w:lang w:val="fr-FR"/>
        </w:rPr>
        <w:t>Système d’indexation et d</w:t>
      </w:r>
      <w:r>
        <w:rPr>
          <w:rFonts w:ascii="Times New Roman Bold" w:hAnsi="Times New Roman Bold"/>
          <w:spacing w:val="-2"/>
          <w:lang w:val="fr-FR"/>
        </w:rPr>
        <w:t>’ajustement périodique en place</w:t>
      </w:r>
      <w:r w:rsidRPr="00976C24">
        <w:rPr>
          <w:rFonts w:ascii="Times New Roman Bold" w:hAnsi="Times New Roman Bold"/>
          <w:spacing w:val="-2"/>
          <w:lang w:val="fr-FR"/>
        </w:rPr>
        <w:t xml:space="preserve">; autres mécanismes en place, en l’absence d’un salaire minimum national, pour </w:t>
      </w:r>
      <w:r>
        <w:rPr>
          <w:rFonts w:ascii="Times New Roman Bold" w:hAnsi="Times New Roman Bold"/>
          <w:spacing w:val="-2"/>
          <w:lang w:val="fr-FR"/>
        </w:rPr>
        <w:t>veiller à ce</w:t>
      </w:r>
      <w:r w:rsidRPr="00976C24">
        <w:rPr>
          <w:rFonts w:ascii="Times New Roman Bold" w:hAnsi="Times New Roman Bold"/>
          <w:spacing w:val="-2"/>
          <w:lang w:val="fr-FR"/>
        </w:rPr>
        <w:t xml:space="preserve"> que tous les travailleurs perçoivent des rémunérations suffisantes pour leur assurer, ainsi qu’à leur famille, un niveau de vie adéquat (E/2009/22-E/C.12/2008/3, annexe VIII, par.</w:t>
      </w:r>
      <w:r>
        <w:rPr>
          <w:rFonts w:ascii="Times New Roman Bold" w:hAnsi="Times New Roman Bold"/>
          <w:spacing w:val="-2"/>
          <w:lang w:val="fr-FR"/>
        </w:rPr>
        <w:t> </w:t>
      </w:r>
      <w:r w:rsidRPr="00976C24">
        <w:rPr>
          <w:rFonts w:ascii="Times New Roman Bold" w:hAnsi="Times New Roman Bold"/>
          <w:spacing w:val="-2"/>
          <w:lang w:val="fr-FR"/>
        </w:rPr>
        <w:t>19)</w:t>
      </w:r>
    </w:p>
    <w:p w:rsidR="00903547" w:rsidRPr="00976C24" w:rsidRDefault="00903547" w:rsidP="00354A36">
      <w:pPr>
        <w:pStyle w:val="SingleTxtG"/>
        <w:rPr>
          <w:lang w:val="fr-FR"/>
        </w:rPr>
      </w:pPr>
      <w:r>
        <w:rPr>
          <w:lang w:val="fr-FR"/>
        </w:rPr>
        <w:t>180.</w:t>
      </w:r>
      <w:r>
        <w:rPr>
          <w:lang w:val="fr-FR"/>
        </w:rPr>
        <w:tab/>
        <w:t xml:space="preserve">La Norvège a mis en place </w:t>
      </w:r>
      <w:r w:rsidRPr="00976C24">
        <w:rPr>
          <w:lang w:val="fr-FR"/>
        </w:rPr>
        <w:t xml:space="preserve">une coopération tripartite active sur les questions </w:t>
      </w:r>
      <w:r>
        <w:rPr>
          <w:lang w:val="fr-FR"/>
        </w:rPr>
        <w:t>liées à la vie professionnelle. Le «modèle norvégien</w:t>
      </w:r>
      <w:r w:rsidRPr="00976C24">
        <w:rPr>
          <w:lang w:val="fr-FR"/>
        </w:rPr>
        <w:t xml:space="preserve">» se </w:t>
      </w:r>
      <w:r>
        <w:rPr>
          <w:lang w:val="fr-FR"/>
        </w:rPr>
        <w:t>distingue</w:t>
      </w:r>
      <w:r w:rsidRPr="00976C24">
        <w:rPr>
          <w:lang w:val="fr-FR"/>
        </w:rPr>
        <w:t xml:space="preserve"> par des syndicats puissants, des organisatio</w:t>
      </w:r>
      <w:r>
        <w:rPr>
          <w:lang w:val="fr-FR"/>
        </w:rPr>
        <w:t>ns patronales également puissant</w:t>
      </w:r>
      <w:r w:rsidRPr="00976C24">
        <w:rPr>
          <w:lang w:val="fr-FR"/>
        </w:rPr>
        <w:t>es, une coopération tripartite entre les auto</w:t>
      </w:r>
      <w:r>
        <w:rPr>
          <w:lang w:val="fr-FR"/>
        </w:rPr>
        <w:t>rités et les partenaires sociaux</w:t>
      </w:r>
      <w:r w:rsidRPr="00976C24">
        <w:rPr>
          <w:lang w:val="fr-FR"/>
        </w:rPr>
        <w:t xml:space="preserve"> et une coopération étro</w:t>
      </w:r>
      <w:r>
        <w:rPr>
          <w:lang w:val="fr-FR"/>
        </w:rPr>
        <w:t>ite entre les travailleurs et leurs</w:t>
      </w:r>
      <w:r w:rsidRPr="00976C24">
        <w:rPr>
          <w:lang w:val="fr-FR"/>
        </w:rPr>
        <w:t xml:space="preserve"> direction</w:t>
      </w:r>
      <w:r>
        <w:rPr>
          <w:lang w:val="fr-FR"/>
        </w:rPr>
        <w:t>s</w:t>
      </w:r>
      <w:r w:rsidRPr="00976C24">
        <w:rPr>
          <w:lang w:val="fr-FR"/>
        </w:rPr>
        <w:t xml:space="preserve">. </w:t>
      </w:r>
    </w:p>
    <w:p w:rsidR="00903547" w:rsidRPr="00976C24" w:rsidRDefault="00903547" w:rsidP="00354A36">
      <w:pPr>
        <w:pStyle w:val="SingleTxtG"/>
        <w:rPr>
          <w:lang w:val="fr-FR"/>
        </w:rPr>
      </w:pPr>
      <w:r>
        <w:rPr>
          <w:lang w:val="fr-FR"/>
        </w:rPr>
        <w:t>181.</w:t>
      </w:r>
      <w:r>
        <w:rPr>
          <w:lang w:val="fr-FR"/>
        </w:rPr>
        <w:tab/>
      </w:r>
      <w:r w:rsidRPr="00976C24">
        <w:rPr>
          <w:lang w:val="fr-FR"/>
        </w:rPr>
        <w:t xml:space="preserve">Il n’y a pas de salaire minimum en Norvège. L’une des raisons en est que le droit </w:t>
      </w:r>
      <w:r>
        <w:rPr>
          <w:lang w:val="fr-FR"/>
        </w:rPr>
        <w:t xml:space="preserve">de négociation </w:t>
      </w:r>
      <w:r w:rsidRPr="00976C24">
        <w:rPr>
          <w:lang w:val="fr-FR"/>
        </w:rPr>
        <w:t xml:space="preserve">des partenaires sociaux est considéré comme un principe fondamental dans l’ordre juridique norvégien et qu’il s’agit d’une question traitée </w:t>
      </w:r>
      <w:r>
        <w:rPr>
          <w:lang w:val="fr-FR"/>
        </w:rPr>
        <w:t>au mieux</w:t>
      </w:r>
      <w:r w:rsidRPr="00976C24">
        <w:rPr>
          <w:lang w:val="fr-FR"/>
        </w:rPr>
        <w:t xml:space="preserve"> par les parties elles-mêmes. L</w:t>
      </w:r>
      <w:r>
        <w:rPr>
          <w:lang w:val="fr-FR"/>
        </w:rPr>
        <w:t>e moyen</w:t>
      </w:r>
      <w:r w:rsidRPr="00976C24">
        <w:rPr>
          <w:lang w:val="fr-FR"/>
        </w:rPr>
        <w:t xml:space="preserve"> d</w:t>
      </w:r>
      <w:r>
        <w:rPr>
          <w:lang w:val="fr-FR"/>
        </w:rPr>
        <w:t>’établir une disposition relative au</w:t>
      </w:r>
      <w:r w:rsidRPr="00976C24">
        <w:rPr>
          <w:lang w:val="fr-FR"/>
        </w:rPr>
        <w:t xml:space="preserve"> salaire minimum est </w:t>
      </w:r>
      <w:r>
        <w:rPr>
          <w:lang w:val="fr-FR"/>
        </w:rPr>
        <w:t>de conférer une applicabilité générale aux</w:t>
      </w:r>
      <w:r w:rsidRPr="00976C24">
        <w:rPr>
          <w:lang w:val="fr-FR"/>
        </w:rPr>
        <w:t xml:space="preserve"> conventions collectives</w:t>
      </w:r>
      <w:r>
        <w:rPr>
          <w:lang w:val="fr-FR"/>
        </w:rPr>
        <w:t xml:space="preserve"> qui sont</w:t>
      </w:r>
      <w:r w:rsidRPr="00976C24">
        <w:rPr>
          <w:lang w:val="fr-FR"/>
        </w:rPr>
        <w:t xml:space="preserve"> négociées par les partenaires sociaux. Le cadre jurid</w:t>
      </w:r>
      <w:r>
        <w:rPr>
          <w:lang w:val="fr-FR"/>
        </w:rPr>
        <w:t>ique est la loi du 4 juin 1993 n</w:t>
      </w:r>
      <w:r w:rsidRPr="000A7EEA">
        <w:rPr>
          <w:vertAlign w:val="superscript"/>
          <w:lang w:val="fr-FR"/>
        </w:rPr>
        <w:t>o</w:t>
      </w:r>
      <w:r>
        <w:rPr>
          <w:lang w:val="fr-FR"/>
        </w:rPr>
        <w:t> </w:t>
      </w:r>
      <w:r w:rsidRPr="00976C24">
        <w:rPr>
          <w:lang w:val="fr-FR"/>
        </w:rPr>
        <w:t xml:space="preserve">58 sur l’application générale des accords salariaux etc. (loi sur l’application générale). </w:t>
      </w:r>
    </w:p>
    <w:p w:rsidR="00903547" w:rsidRPr="00976C24" w:rsidRDefault="00903547" w:rsidP="00354A36">
      <w:pPr>
        <w:pStyle w:val="SingleTxtG"/>
        <w:rPr>
          <w:lang w:val="fr-FR"/>
        </w:rPr>
      </w:pPr>
      <w:r>
        <w:rPr>
          <w:lang w:val="fr-FR"/>
        </w:rPr>
        <w:t>182.</w:t>
      </w:r>
      <w:r>
        <w:rPr>
          <w:lang w:val="fr-FR"/>
        </w:rPr>
        <w:tab/>
      </w:r>
      <w:r w:rsidRPr="00976C24">
        <w:rPr>
          <w:lang w:val="fr-FR"/>
        </w:rPr>
        <w:t>Dans les domaines où les conventions collectives n</w:t>
      </w:r>
      <w:r>
        <w:rPr>
          <w:lang w:val="fr-FR"/>
        </w:rPr>
        <w:t>’ont p</w:t>
      </w:r>
      <w:r w:rsidRPr="00976C24">
        <w:rPr>
          <w:lang w:val="fr-FR"/>
        </w:rPr>
        <w:t xml:space="preserve">as d’application générale, il appartient aux partenaires au contrat (c’est-à-dire l’employeur et le salarié) de s’entendre sur un niveau de rémunération adapté au poste, </w:t>
      </w:r>
      <w:r>
        <w:rPr>
          <w:lang w:val="fr-FR"/>
        </w:rPr>
        <w:t>à l’aide</w:t>
      </w:r>
      <w:r w:rsidRPr="00976C24">
        <w:rPr>
          <w:lang w:val="fr-FR"/>
        </w:rPr>
        <w:t xml:space="preserve"> des conventions collectives ou d’accords individuels. Le salaire moyen en Norvège est relativement élevé. Selon le Bureau norvégien de statistique, le salaire mensuel moyen</w:t>
      </w:r>
      <w:r>
        <w:rPr>
          <w:lang w:val="fr-FR"/>
        </w:rPr>
        <w:t>,</w:t>
      </w:r>
      <w:r w:rsidRPr="00976C24">
        <w:rPr>
          <w:lang w:val="fr-FR"/>
        </w:rPr>
        <w:t xml:space="preserve"> toutes </w:t>
      </w:r>
      <w:r>
        <w:rPr>
          <w:lang w:val="fr-FR"/>
        </w:rPr>
        <w:t>a</w:t>
      </w:r>
      <w:r w:rsidRPr="00976C24">
        <w:rPr>
          <w:lang w:val="fr-FR"/>
        </w:rPr>
        <w:t xml:space="preserve">ctivités professionnelles </w:t>
      </w:r>
      <w:r>
        <w:rPr>
          <w:lang w:val="fr-FR"/>
        </w:rPr>
        <w:t xml:space="preserve">confondues, </w:t>
      </w:r>
      <w:r w:rsidRPr="00976C24">
        <w:rPr>
          <w:lang w:val="fr-FR"/>
        </w:rPr>
        <w:t>était en 2008 de 34 200 couronnes. Le salaire mensuel moyen</w:t>
      </w:r>
      <w:r>
        <w:rPr>
          <w:lang w:val="fr-FR"/>
        </w:rPr>
        <w:t>,</w:t>
      </w:r>
      <w:r w:rsidRPr="00976C24">
        <w:rPr>
          <w:lang w:val="fr-FR"/>
        </w:rPr>
        <w:t xml:space="preserve"> tous salariés </w:t>
      </w:r>
      <w:r>
        <w:rPr>
          <w:lang w:val="fr-FR"/>
        </w:rPr>
        <w:t xml:space="preserve">confondus, </w:t>
      </w:r>
      <w:r w:rsidRPr="00976C24">
        <w:rPr>
          <w:lang w:val="fr-FR"/>
        </w:rPr>
        <w:t>était de</w:t>
      </w:r>
      <w:r w:rsidRPr="00976C24">
        <w:rPr>
          <w:bCs/>
          <w:lang w:val="fr-FR"/>
        </w:rPr>
        <w:t xml:space="preserve"> 32</w:t>
      </w:r>
      <w:r>
        <w:rPr>
          <w:bCs/>
          <w:lang w:val="fr-FR"/>
        </w:rPr>
        <w:t> </w:t>
      </w:r>
      <w:r w:rsidRPr="00976C24">
        <w:rPr>
          <w:bCs/>
          <w:lang w:val="fr-FR"/>
        </w:rPr>
        <w:t>300</w:t>
      </w:r>
      <w:r w:rsidRPr="00976C24">
        <w:rPr>
          <w:lang w:val="fr-FR"/>
        </w:rPr>
        <w:t xml:space="preserve"> couronnes en 2007. Les 10</w:t>
      </w:r>
      <w:r>
        <w:rPr>
          <w:lang w:val="fr-FR"/>
        </w:rPr>
        <w:t> </w:t>
      </w:r>
      <w:r w:rsidRPr="00976C24">
        <w:rPr>
          <w:lang w:val="fr-FR"/>
        </w:rPr>
        <w:t xml:space="preserve">% de salariés qui </w:t>
      </w:r>
      <w:r>
        <w:rPr>
          <w:lang w:val="fr-FR"/>
        </w:rPr>
        <w:t>perçoivent</w:t>
      </w:r>
      <w:r w:rsidRPr="00976C24">
        <w:rPr>
          <w:lang w:val="fr-FR"/>
        </w:rPr>
        <w:t xml:space="preserve"> le salaire le plus bas </w:t>
      </w:r>
      <w:r>
        <w:rPr>
          <w:lang w:val="fr-FR"/>
        </w:rPr>
        <w:t>gagnaient</w:t>
      </w:r>
      <w:r w:rsidRPr="00976C24">
        <w:rPr>
          <w:lang w:val="fr-FR"/>
        </w:rPr>
        <w:t xml:space="preserve"> 19</w:t>
      </w:r>
      <w:r>
        <w:rPr>
          <w:lang w:val="fr-FR"/>
        </w:rPr>
        <w:t> </w:t>
      </w:r>
      <w:r w:rsidRPr="00976C24">
        <w:rPr>
          <w:lang w:val="fr-FR"/>
        </w:rPr>
        <w:t>300 couronnes par mois en</w:t>
      </w:r>
      <w:r>
        <w:rPr>
          <w:lang w:val="fr-FR"/>
        </w:rPr>
        <w:t xml:space="preserve"> 2008</w:t>
      </w:r>
      <w:r w:rsidRPr="00976C24">
        <w:rPr>
          <w:lang w:val="fr-FR"/>
        </w:rPr>
        <w:t xml:space="preserve"> </w:t>
      </w:r>
      <w:r>
        <w:rPr>
          <w:lang w:val="fr-FR"/>
        </w:rPr>
        <w:t>contre</w:t>
      </w:r>
      <w:r w:rsidRPr="00976C24">
        <w:rPr>
          <w:lang w:val="fr-FR"/>
        </w:rPr>
        <w:t xml:space="preserve"> 18</w:t>
      </w:r>
      <w:r>
        <w:rPr>
          <w:lang w:val="fr-FR"/>
        </w:rPr>
        <w:t> </w:t>
      </w:r>
      <w:r w:rsidRPr="00976C24">
        <w:rPr>
          <w:lang w:val="fr-FR"/>
        </w:rPr>
        <w:t xml:space="preserve">600 en 2007. La hausse des salaires entre 2006 et 2007 a été en moyenne de </w:t>
      </w:r>
      <w:r w:rsidRPr="00976C24">
        <w:rPr>
          <w:bCs/>
          <w:lang w:val="fr-FR"/>
        </w:rPr>
        <w:t>5,6</w:t>
      </w:r>
      <w:r>
        <w:rPr>
          <w:bCs/>
          <w:lang w:val="fr-FR"/>
        </w:rPr>
        <w:t> </w:t>
      </w:r>
      <w:r w:rsidRPr="00976C24">
        <w:rPr>
          <w:bCs/>
          <w:lang w:val="fr-FR"/>
        </w:rPr>
        <w:t>% contre</w:t>
      </w:r>
      <w:r w:rsidRPr="00976C24">
        <w:rPr>
          <w:lang w:val="fr-FR"/>
        </w:rPr>
        <w:t xml:space="preserve"> 4,8</w:t>
      </w:r>
      <w:r>
        <w:rPr>
          <w:lang w:val="fr-FR"/>
        </w:rPr>
        <w:t> </w:t>
      </w:r>
      <w:r w:rsidRPr="00976C24">
        <w:rPr>
          <w:lang w:val="fr-FR"/>
        </w:rPr>
        <w:t xml:space="preserve">% l’année précédente. Les </w:t>
      </w:r>
      <w:r>
        <w:rPr>
          <w:lang w:val="fr-FR"/>
        </w:rPr>
        <w:t>revenus mensuels</w:t>
      </w:r>
      <w:r w:rsidRPr="00976C24">
        <w:rPr>
          <w:lang w:val="fr-FR"/>
        </w:rPr>
        <w:t xml:space="preserve"> comprennent les salaires </w:t>
      </w:r>
      <w:r>
        <w:rPr>
          <w:lang w:val="fr-FR"/>
        </w:rPr>
        <w:t>de base</w:t>
      </w:r>
      <w:r w:rsidRPr="00976C24">
        <w:rPr>
          <w:lang w:val="fr-FR"/>
        </w:rPr>
        <w:t>, les hausses ponctuelles de salaire</w:t>
      </w:r>
      <w:r>
        <w:rPr>
          <w:lang w:val="fr-FR"/>
        </w:rPr>
        <w:t>,</w:t>
      </w:r>
      <w:r w:rsidRPr="00976C24">
        <w:rPr>
          <w:lang w:val="fr-FR"/>
        </w:rPr>
        <w:t xml:space="preserve"> les primes et les commissions. Les heures supplémentaires </w:t>
      </w:r>
      <w:r>
        <w:rPr>
          <w:lang w:val="fr-FR"/>
        </w:rPr>
        <w:t>en sont exclues</w:t>
      </w:r>
      <w:r w:rsidRPr="00976C24">
        <w:rPr>
          <w:lang w:val="fr-FR"/>
        </w:rPr>
        <w:t xml:space="preserve">. </w:t>
      </w:r>
    </w:p>
    <w:p w:rsidR="00903547" w:rsidRPr="00976C24" w:rsidRDefault="00903547" w:rsidP="0071086E">
      <w:pPr>
        <w:pStyle w:val="H23G"/>
        <w:rPr>
          <w:lang w:val="fr-FR"/>
        </w:rPr>
      </w:pPr>
      <w:r w:rsidRPr="00976C24">
        <w:rPr>
          <w:lang w:val="fr-FR"/>
        </w:rPr>
        <w:tab/>
        <w:t>3.</w:t>
      </w:r>
      <w:r w:rsidRPr="00976C24">
        <w:rPr>
          <w:lang w:val="fr-FR"/>
        </w:rPr>
        <w:tab/>
        <w:t>Informations sur les conditions de travail de tous les travailleurs, notamment sur les heures supplé</w:t>
      </w:r>
      <w:r>
        <w:rPr>
          <w:lang w:val="fr-FR"/>
        </w:rPr>
        <w:t>mentaires et les congés payés ou</w:t>
      </w:r>
      <w:r w:rsidRPr="00976C24">
        <w:rPr>
          <w:lang w:val="fr-FR"/>
        </w:rPr>
        <w:t xml:space="preserve"> non payés, ainsi que sur les mesures prises pour concilier vie professionnel</w:t>
      </w:r>
      <w:r>
        <w:rPr>
          <w:lang w:val="fr-FR"/>
        </w:rPr>
        <w:t>le</w:t>
      </w:r>
      <w:r w:rsidRPr="00976C24">
        <w:rPr>
          <w:lang w:val="fr-FR"/>
        </w:rPr>
        <w:t>, vie de famille et vie personnelle (</w:t>
      </w:r>
      <w:r w:rsidRPr="00976C24">
        <w:rPr>
          <w:rFonts w:ascii="Times New Roman Bold" w:hAnsi="Times New Roman Bold"/>
          <w:spacing w:val="-2"/>
          <w:lang w:val="fr-FR"/>
        </w:rPr>
        <w:t>E/2009/22-E/C.12/2008/3, annexe VIII, par.</w:t>
      </w:r>
      <w:r>
        <w:rPr>
          <w:rFonts w:ascii="Times New Roman Bold" w:hAnsi="Times New Roman Bold"/>
          <w:spacing w:val="-2"/>
          <w:lang w:val="fr-FR"/>
        </w:rPr>
        <w:t> </w:t>
      </w:r>
      <w:r w:rsidRPr="00976C24">
        <w:rPr>
          <w:rFonts w:ascii="Times New Roman Bold" w:hAnsi="Times New Roman Bold"/>
          <w:spacing w:val="-2"/>
          <w:lang w:val="fr-FR"/>
        </w:rPr>
        <w:t>20)</w:t>
      </w:r>
    </w:p>
    <w:p w:rsidR="00903547" w:rsidRPr="00976C24" w:rsidRDefault="00903547" w:rsidP="00354A36">
      <w:pPr>
        <w:pStyle w:val="SingleTxtG"/>
        <w:rPr>
          <w:lang w:val="fr-FR"/>
        </w:rPr>
      </w:pPr>
      <w:r>
        <w:rPr>
          <w:lang w:val="fr-FR"/>
        </w:rPr>
        <w:t>183.</w:t>
      </w:r>
      <w:r>
        <w:rPr>
          <w:lang w:val="fr-FR"/>
        </w:rPr>
        <w:tab/>
        <w:t>A</w:t>
      </w:r>
      <w:r w:rsidRPr="00976C24">
        <w:rPr>
          <w:lang w:val="fr-FR"/>
        </w:rPr>
        <w:t xml:space="preserve">ux termes de </w:t>
      </w:r>
      <w:r>
        <w:rPr>
          <w:lang w:val="fr-FR"/>
        </w:rPr>
        <w:t>l’</w:t>
      </w:r>
      <w:r w:rsidRPr="00976C24">
        <w:rPr>
          <w:lang w:val="fr-FR"/>
        </w:rPr>
        <w:t>article 1-1</w:t>
      </w:r>
      <w:r>
        <w:rPr>
          <w:lang w:val="fr-FR"/>
        </w:rPr>
        <w:t xml:space="preserve">, </w:t>
      </w:r>
      <w:r w:rsidRPr="00976C24">
        <w:rPr>
          <w:lang w:val="fr-FR"/>
        </w:rPr>
        <w:t>la loi norvégienne sur l</w:t>
      </w:r>
      <w:r>
        <w:rPr>
          <w:lang w:val="fr-FR"/>
        </w:rPr>
        <w:t>’environnement de travail vise à</w:t>
      </w:r>
      <w:r w:rsidRPr="00976C24">
        <w:rPr>
          <w:lang w:val="fr-FR"/>
        </w:rPr>
        <w:t xml:space="preserve">: </w:t>
      </w:r>
    </w:p>
    <w:p w:rsidR="00903547" w:rsidRPr="00976C24" w:rsidRDefault="00903547" w:rsidP="00890AC7">
      <w:pPr>
        <w:pStyle w:val="SingleTxtG"/>
        <w:ind w:firstLine="567"/>
        <w:rPr>
          <w:lang w:val="fr-FR"/>
        </w:rPr>
      </w:pPr>
      <w:r w:rsidRPr="00976C24">
        <w:rPr>
          <w:lang w:val="fr-FR"/>
        </w:rPr>
        <w:t>a)</w:t>
      </w:r>
      <w:r w:rsidRPr="00976C24">
        <w:rPr>
          <w:lang w:val="fr-FR"/>
        </w:rPr>
        <w:tab/>
      </w:r>
      <w:r>
        <w:rPr>
          <w:lang w:val="fr-FR"/>
        </w:rPr>
        <w:t>G</w:t>
      </w:r>
      <w:r w:rsidRPr="00976C24">
        <w:rPr>
          <w:lang w:val="fr-FR"/>
        </w:rPr>
        <w:t xml:space="preserve">arantir un </w:t>
      </w:r>
      <w:r>
        <w:rPr>
          <w:lang w:val="fr-FR"/>
        </w:rPr>
        <w:t>environnement</w:t>
      </w:r>
      <w:r w:rsidRPr="00976C24">
        <w:rPr>
          <w:lang w:val="fr-FR"/>
        </w:rPr>
        <w:t xml:space="preserve"> de travail qui </w:t>
      </w:r>
      <w:r>
        <w:rPr>
          <w:lang w:val="fr-FR"/>
        </w:rPr>
        <w:t xml:space="preserve">offre </w:t>
      </w:r>
      <w:r w:rsidRPr="00976C24">
        <w:rPr>
          <w:lang w:val="fr-FR"/>
        </w:rPr>
        <w:t xml:space="preserve">des conditions de travail saines et satisfaisantes, qui assure </w:t>
      </w:r>
      <w:r>
        <w:rPr>
          <w:lang w:val="fr-FR"/>
        </w:rPr>
        <w:t>toute</w:t>
      </w:r>
      <w:r w:rsidRPr="00976C24">
        <w:rPr>
          <w:lang w:val="fr-FR"/>
        </w:rPr>
        <w:t xml:space="preserve"> sécurité contre les </w:t>
      </w:r>
      <w:r>
        <w:rPr>
          <w:lang w:val="fr-FR"/>
        </w:rPr>
        <w:t>effets</w:t>
      </w:r>
      <w:r w:rsidRPr="00976C24">
        <w:rPr>
          <w:lang w:val="fr-FR"/>
        </w:rPr>
        <w:t xml:space="preserve"> physiques </w:t>
      </w:r>
      <w:r>
        <w:rPr>
          <w:lang w:val="fr-FR"/>
        </w:rPr>
        <w:t>et</w:t>
      </w:r>
      <w:r w:rsidRPr="00976C24">
        <w:rPr>
          <w:lang w:val="fr-FR"/>
        </w:rPr>
        <w:t xml:space="preserve"> </w:t>
      </w:r>
      <w:r>
        <w:rPr>
          <w:lang w:val="fr-FR"/>
        </w:rPr>
        <w:t>psychiques néfastes et</w:t>
      </w:r>
      <w:r w:rsidRPr="00976C24">
        <w:rPr>
          <w:lang w:val="fr-FR"/>
        </w:rPr>
        <w:t xml:space="preserve"> un</w:t>
      </w:r>
      <w:r>
        <w:rPr>
          <w:lang w:val="fr-FR"/>
        </w:rPr>
        <w:t>e protection permanente</w:t>
      </w:r>
      <w:r w:rsidRPr="00976C24">
        <w:rPr>
          <w:lang w:val="fr-FR"/>
        </w:rPr>
        <w:t xml:space="preserve"> conforme au niveau de développement technologique et social de la </w:t>
      </w:r>
      <w:r>
        <w:rPr>
          <w:lang w:val="fr-FR"/>
        </w:rPr>
        <w:t>collectivité</w:t>
      </w:r>
      <w:r w:rsidRPr="00976C24">
        <w:rPr>
          <w:lang w:val="fr-FR"/>
        </w:rPr>
        <w:t>;</w:t>
      </w:r>
    </w:p>
    <w:p w:rsidR="00903547" w:rsidRPr="00976C24" w:rsidRDefault="00903547" w:rsidP="00890AC7">
      <w:pPr>
        <w:pStyle w:val="SingleTxtG"/>
        <w:ind w:firstLine="567"/>
        <w:rPr>
          <w:lang w:val="fr-FR"/>
        </w:rPr>
      </w:pPr>
      <w:r w:rsidRPr="00976C24">
        <w:rPr>
          <w:lang w:val="fr-FR"/>
        </w:rPr>
        <w:t>b)</w:t>
      </w:r>
      <w:r w:rsidRPr="00976C24">
        <w:rPr>
          <w:lang w:val="fr-FR"/>
        </w:rPr>
        <w:tab/>
      </w:r>
      <w:r>
        <w:rPr>
          <w:lang w:val="fr-FR"/>
        </w:rPr>
        <w:t>Garantir</w:t>
      </w:r>
      <w:r w:rsidRPr="00976C24">
        <w:rPr>
          <w:lang w:val="fr-FR"/>
        </w:rPr>
        <w:t xml:space="preserve"> des conditions de travail saines et l’é</w:t>
      </w:r>
      <w:r>
        <w:rPr>
          <w:lang w:val="fr-FR"/>
        </w:rPr>
        <w:t>galité de traitement au travail</w:t>
      </w:r>
      <w:r w:rsidRPr="00976C24">
        <w:rPr>
          <w:lang w:val="fr-FR"/>
        </w:rPr>
        <w:t>;</w:t>
      </w:r>
    </w:p>
    <w:p w:rsidR="00903547" w:rsidRPr="00976C24" w:rsidRDefault="00903547" w:rsidP="00890AC7">
      <w:pPr>
        <w:pStyle w:val="SingleTxtG"/>
        <w:ind w:firstLine="567"/>
        <w:rPr>
          <w:lang w:val="fr-FR"/>
        </w:rPr>
      </w:pPr>
      <w:r>
        <w:rPr>
          <w:lang w:val="fr-FR"/>
        </w:rPr>
        <w:t>c)</w:t>
      </w:r>
      <w:r>
        <w:rPr>
          <w:lang w:val="fr-FR"/>
        </w:rPr>
        <w:tab/>
        <w:t>F</w:t>
      </w:r>
      <w:r w:rsidRPr="00976C24">
        <w:rPr>
          <w:lang w:val="fr-FR"/>
        </w:rPr>
        <w:t xml:space="preserve">aciliter </w:t>
      </w:r>
      <w:r>
        <w:rPr>
          <w:lang w:val="fr-FR"/>
        </w:rPr>
        <w:t>l’</w:t>
      </w:r>
      <w:r w:rsidRPr="00976C24">
        <w:rPr>
          <w:lang w:val="fr-FR"/>
        </w:rPr>
        <w:t>adaptation de</w:t>
      </w:r>
      <w:r>
        <w:rPr>
          <w:lang w:val="fr-FR"/>
        </w:rPr>
        <w:t>s conditions de travail</w:t>
      </w:r>
      <w:r w:rsidRPr="00976C24">
        <w:rPr>
          <w:lang w:val="fr-FR"/>
        </w:rPr>
        <w:t xml:space="preserve"> </w:t>
      </w:r>
      <w:r>
        <w:rPr>
          <w:lang w:val="fr-FR"/>
        </w:rPr>
        <w:t>du salarié</w:t>
      </w:r>
      <w:r w:rsidRPr="00976C24">
        <w:rPr>
          <w:lang w:val="fr-FR"/>
        </w:rPr>
        <w:t xml:space="preserve"> en</w:t>
      </w:r>
      <w:r>
        <w:rPr>
          <w:lang w:val="fr-FR"/>
        </w:rPr>
        <w:t xml:space="preserve"> fonction de ses capacités et de sa situation personnelle</w:t>
      </w:r>
      <w:r w:rsidRPr="00976C24">
        <w:rPr>
          <w:lang w:val="fr-FR"/>
        </w:rPr>
        <w:t>;</w:t>
      </w:r>
    </w:p>
    <w:p w:rsidR="00903547" w:rsidRPr="00976C24" w:rsidRDefault="00903547" w:rsidP="00890AC7">
      <w:pPr>
        <w:pStyle w:val="SingleTxtG"/>
        <w:ind w:firstLine="567"/>
        <w:rPr>
          <w:lang w:val="fr-FR"/>
        </w:rPr>
      </w:pPr>
      <w:r>
        <w:rPr>
          <w:lang w:val="fr-FR"/>
        </w:rPr>
        <w:t>d)</w:t>
      </w:r>
      <w:r>
        <w:rPr>
          <w:lang w:val="fr-FR"/>
        </w:rPr>
        <w:tab/>
        <w:t>P</w:t>
      </w:r>
      <w:r w:rsidRPr="00976C24">
        <w:rPr>
          <w:lang w:val="fr-FR"/>
        </w:rPr>
        <w:t>ermett</w:t>
      </w:r>
      <w:r>
        <w:rPr>
          <w:lang w:val="fr-FR"/>
        </w:rPr>
        <w:t>r</w:t>
      </w:r>
      <w:r w:rsidRPr="00976C24">
        <w:rPr>
          <w:lang w:val="fr-FR"/>
        </w:rPr>
        <w:t xml:space="preserve">e à l’employeur et </w:t>
      </w:r>
      <w:r>
        <w:rPr>
          <w:lang w:val="fr-FR"/>
        </w:rPr>
        <w:t>aux salariés</w:t>
      </w:r>
      <w:r w:rsidRPr="00976C24">
        <w:rPr>
          <w:lang w:val="fr-FR"/>
        </w:rPr>
        <w:t xml:space="preserve"> de pr</w:t>
      </w:r>
      <w:r>
        <w:rPr>
          <w:lang w:val="fr-FR"/>
        </w:rPr>
        <w:t>éserver</w:t>
      </w:r>
      <w:r w:rsidRPr="00976C24">
        <w:rPr>
          <w:lang w:val="fr-FR"/>
        </w:rPr>
        <w:t xml:space="preserve"> et développer </w:t>
      </w:r>
      <w:r>
        <w:rPr>
          <w:lang w:val="fr-FR"/>
        </w:rPr>
        <w:t>eux-mêmes leur environnement</w:t>
      </w:r>
      <w:r w:rsidRPr="00976C24">
        <w:rPr>
          <w:lang w:val="fr-FR"/>
        </w:rPr>
        <w:t xml:space="preserve"> de travail en coopération avec les organisations salariales et patronales</w:t>
      </w:r>
      <w:r>
        <w:rPr>
          <w:lang w:val="fr-FR"/>
        </w:rPr>
        <w:t>,</w:t>
      </w:r>
      <w:r w:rsidRPr="00976C24">
        <w:rPr>
          <w:lang w:val="fr-FR"/>
        </w:rPr>
        <w:t xml:space="preserve"> </w:t>
      </w:r>
      <w:r>
        <w:rPr>
          <w:lang w:val="fr-FR"/>
        </w:rPr>
        <w:t>selon les orientations et sous</w:t>
      </w:r>
      <w:r w:rsidRPr="00976C24">
        <w:rPr>
          <w:lang w:val="fr-FR"/>
        </w:rPr>
        <w:t xml:space="preserve"> la supervision indispensa</w:t>
      </w:r>
      <w:r>
        <w:rPr>
          <w:lang w:val="fr-FR"/>
        </w:rPr>
        <w:t>bles des autorités publiques</w:t>
      </w:r>
      <w:r w:rsidRPr="00976C24">
        <w:rPr>
          <w:lang w:val="fr-FR"/>
        </w:rPr>
        <w:t>;</w:t>
      </w:r>
    </w:p>
    <w:p w:rsidR="00903547" w:rsidRPr="00976C24" w:rsidRDefault="00903547" w:rsidP="00890AC7">
      <w:pPr>
        <w:pStyle w:val="SingleTxtG"/>
        <w:ind w:firstLine="567"/>
        <w:rPr>
          <w:lang w:val="fr-FR"/>
        </w:rPr>
      </w:pPr>
      <w:r>
        <w:rPr>
          <w:lang w:val="fr-FR"/>
        </w:rPr>
        <w:t>e)</w:t>
      </w:r>
      <w:r>
        <w:rPr>
          <w:lang w:val="fr-FR"/>
        </w:rPr>
        <w:tab/>
        <w:t>F</w:t>
      </w:r>
      <w:r w:rsidRPr="00976C24">
        <w:rPr>
          <w:lang w:val="fr-FR"/>
        </w:rPr>
        <w:t xml:space="preserve">avoriser des conditions de travail </w:t>
      </w:r>
      <w:r>
        <w:rPr>
          <w:lang w:val="fr-FR"/>
        </w:rPr>
        <w:t>inclusives</w:t>
      </w:r>
      <w:r w:rsidRPr="00976C24">
        <w:rPr>
          <w:lang w:val="fr-FR"/>
        </w:rPr>
        <w:t>.</w:t>
      </w:r>
    </w:p>
    <w:p w:rsidR="00903547" w:rsidRPr="00976C24" w:rsidRDefault="00903547" w:rsidP="00354A36">
      <w:pPr>
        <w:pStyle w:val="SingleTxtG"/>
        <w:rPr>
          <w:lang w:val="fr-FR"/>
        </w:rPr>
      </w:pPr>
      <w:r>
        <w:rPr>
          <w:lang w:val="fr-FR"/>
        </w:rPr>
        <w:t>184.</w:t>
      </w:r>
      <w:r>
        <w:rPr>
          <w:lang w:val="fr-FR"/>
        </w:rPr>
        <w:tab/>
        <w:t>L</w:t>
      </w:r>
      <w:r w:rsidRPr="00976C24">
        <w:rPr>
          <w:lang w:val="fr-FR"/>
        </w:rPr>
        <w:t xml:space="preserve">a loi </w:t>
      </w:r>
      <w:r>
        <w:rPr>
          <w:lang w:val="fr-FR"/>
        </w:rPr>
        <w:t>comprend des dispositions détaillées concernant des</w:t>
      </w:r>
      <w:r w:rsidRPr="00976C24">
        <w:rPr>
          <w:lang w:val="fr-FR"/>
        </w:rPr>
        <w:t xml:space="preserve"> mesures en matière d</w:t>
      </w:r>
      <w:r>
        <w:rPr>
          <w:lang w:val="fr-FR"/>
        </w:rPr>
        <w:t>’environnement</w:t>
      </w:r>
      <w:r w:rsidRPr="00976C24">
        <w:rPr>
          <w:lang w:val="fr-FR"/>
        </w:rPr>
        <w:t xml:space="preserve"> de travail, </w:t>
      </w:r>
      <w:r>
        <w:rPr>
          <w:lang w:val="fr-FR"/>
        </w:rPr>
        <w:t>l</w:t>
      </w:r>
      <w:r w:rsidRPr="00976C24">
        <w:rPr>
          <w:lang w:val="fr-FR"/>
        </w:rPr>
        <w:t xml:space="preserve">’information et </w:t>
      </w:r>
      <w:r>
        <w:rPr>
          <w:lang w:val="fr-FR"/>
        </w:rPr>
        <w:t>la</w:t>
      </w:r>
      <w:r w:rsidRPr="00976C24">
        <w:rPr>
          <w:lang w:val="fr-FR"/>
        </w:rPr>
        <w:t xml:space="preserve"> consultation</w:t>
      </w:r>
      <w:r>
        <w:rPr>
          <w:lang w:val="fr-FR"/>
        </w:rPr>
        <w:t xml:space="preserve">, les </w:t>
      </w:r>
      <w:r w:rsidRPr="00976C24">
        <w:rPr>
          <w:lang w:val="fr-FR"/>
        </w:rPr>
        <w:t xml:space="preserve">horaires et </w:t>
      </w:r>
      <w:r>
        <w:rPr>
          <w:lang w:val="fr-FR"/>
        </w:rPr>
        <w:t xml:space="preserve">les </w:t>
      </w:r>
      <w:r w:rsidRPr="00976C24">
        <w:rPr>
          <w:lang w:val="fr-FR"/>
        </w:rPr>
        <w:t xml:space="preserve">heures supplémentaires, </w:t>
      </w:r>
      <w:r>
        <w:rPr>
          <w:lang w:val="fr-FR"/>
        </w:rPr>
        <w:t>l</w:t>
      </w:r>
      <w:r w:rsidRPr="00976C24">
        <w:rPr>
          <w:lang w:val="fr-FR"/>
        </w:rPr>
        <w:t>’e</w:t>
      </w:r>
      <w:r>
        <w:rPr>
          <w:lang w:val="fr-FR"/>
        </w:rPr>
        <w:t>mploi d’enfants et de jeunes, le</w:t>
      </w:r>
      <w:r w:rsidRPr="00976C24">
        <w:rPr>
          <w:lang w:val="fr-FR"/>
        </w:rPr>
        <w:t xml:space="preserve"> droit à un congé, </w:t>
      </w:r>
      <w:r>
        <w:rPr>
          <w:lang w:val="fr-FR"/>
        </w:rPr>
        <w:t xml:space="preserve">la </w:t>
      </w:r>
      <w:r w:rsidRPr="00976C24">
        <w:rPr>
          <w:lang w:val="fr-FR"/>
        </w:rPr>
        <w:t xml:space="preserve">protection contre la discrimination, </w:t>
      </w:r>
      <w:r>
        <w:rPr>
          <w:lang w:val="fr-FR"/>
        </w:rPr>
        <w:t>la résiliation du</w:t>
      </w:r>
      <w:r w:rsidRPr="00976C24">
        <w:rPr>
          <w:lang w:val="fr-FR"/>
        </w:rPr>
        <w:t xml:space="preserve"> contrat, etc.</w:t>
      </w:r>
    </w:p>
    <w:p w:rsidR="00903547" w:rsidRPr="00976C24" w:rsidRDefault="00903547" w:rsidP="00354A36">
      <w:pPr>
        <w:pStyle w:val="SingleTxtG"/>
        <w:rPr>
          <w:lang w:val="fr-FR"/>
        </w:rPr>
      </w:pPr>
      <w:r>
        <w:rPr>
          <w:lang w:val="fr-FR"/>
        </w:rPr>
        <w:t>185.</w:t>
      </w:r>
      <w:r>
        <w:rPr>
          <w:lang w:val="fr-FR"/>
        </w:rPr>
        <w:tab/>
        <w:t xml:space="preserve">Le </w:t>
      </w:r>
      <w:r w:rsidRPr="00976C24">
        <w:rPr>
          <w:lang w:val="fr-FR"/>
        </w:rPr>
        <w:t xml:space="preserve">paragraphe 11 </w:t>
      </w:r>
      <w:r>
        <w:rPr>
          <w:lang w:val="fr-FR"/>
        </w:rPr>
        <w:t xml:space="preserve">de </w:t>
      </w:r>
      <w:r w:rsidRPr="00976C24">
        <w:rPr>
          <w:lang w:val="fr-FR"/>
        </w:rPr>
        <w:t>l’article 10-6</w:t>
      </w:r>
      <w:r>
        <w:rPr>
          <w:lang w:val="fr-FR"/>
        </w:rPr>
        <w:t xml:space="preserve"> de la loi sur l’environnement de travail dispose qu’</w:t>
      </w:r>
      <w:r w:rsidRPr="00976C24">
        <w:rPr>
          <w:lang w:val="fr-FR"/>
        </w:rPr>
        <w:t>une majoration de salaire d’au moins 40</w:t>
      </w:r>
      <w:r>
        <w:rPr>
          <w:lang w:val="fr-FR"/>
        </w:rPr>
        <w:t> </w:t>
      </w:r>
      <w:r w:rsidRPr="00976C24">
        <w:rPr>
          <w:lang w:val="fr-FR"/>
        </w:rPr>
        <w:t xml:space="preserve">% </w:t>
      </w:r>
      <w:r>
        <w:rPr>
          <w:lang w:val="fr-FR"/>
        </w:rPr>
        <w:t>doit être</w:t>
      </w:r>
      <w:r w:rsidRPr="00976C24">
        <w:rPr>
          <w:lang w:val="fr-FR"/>
        </w:rPr>
        <w:t xml:space="preserve"> appliquée </w:t>
      </w:r>
      <w:r>
        <w:rPr>
          <w:lang w:val="fr-FR"/>
        </w:rPr>
        <w:t>aux</w:t>
      </w:r>
      <w:r w:rsidRPr="00976C24">
        <w:rPr>
          <w:lang w:val="fr-FR"/>
        </w:rPr>
        <w:t xml:space="preserve"> heures supplémentaires en plus du salaire perçu par le salarié pour </w:t>
      </w:r>
      <w:r>
        <w:rPr>
          <w:lang w:val="fr-FR"/>
        </w:rPr>
        <w:t>son</w:t>
      </w:r>
      <w:r w:rsidRPr="00976C24">
        <w:rPr>
          <w:lang w:val="fr-FR"/>
        </w:rPr>
        <w:t xml:space="preserve"> travail pendant les heures normales. Les dispositions </w:t>
      </w:r>
      <w:r>
        <w:rPr>
          <w:lang w:val="fr-FR"/>
        </w:rPr>
        <w:t>relatives à</w:t>
      </w:r>
      <w:r w:rsidRPr="00976C24">
        <w:rPr>
          <w:lang w:val="fr-FR"/>
        </w:rPr>
        <w:t xml:space="preserve"> </w:t>
      </w:r>
      <w:r>
        <w:rPr>
          <w:lang w:val="fr-FR"/>
        </w:rPr>
        <w:t>cette</w:t>
      </w:r>
      <w:r w:rsidRPr="00976C24">
        <w:rPr>
          <w:lang w:val="fr-FR"/>
        </w:rPr>
        <w:t xml:space="preserve"> majoration ne </w:t>
      </w:r>
      <w:r>
        <w:rPr>
          <w:lang w:val="fr-FR"/>
        </w:rPr>
        <w:t>concernent pas les</w:t>
      </w:r>
      <w:r w:rsidRPr="00976C24">
        <w:rPr>
          <w:lang w:val="fr-FR"/>
        </w:rPr>
        <w:t xml:space="preserve"> salariés </w:t>
      </w:r>
      <w:r>
        <w:rPr>
          <w:lang w:val="fr-FR"/>
        </w:rPr>
        <w:t xml:space="preserve">qui occupent </w:t>
      </w:r>
      <w:r w:rsidRPr="00976C24">
        <w:rPr>
          <w:lang w:val="fr-FR"/>
        </w:rPr>
        <w:t>des pos</w:t>
      </w:r>
      <w:r>
        <w:rPr>
          <w:lang w:val="fr-FR"/>
        </w:rPr>
        <w:t>t</w:t>
      </w:r>
      <w:r w:rsidRPr="00976C24">
        <w:rPr>
          <w:lang w:val="fr-FR"/>
        </w:rPr>
        <w:t xml:space="preserve">es de responsabilité ou très indépendants car les dispositions réglementant les heures de travail ne s’appliquent pas à eux. De nombreuses conventions collectives </w:t>
      </w:r>
      <w:r>
        <w:rPr>
          <w:lang w:val="fr-FR"/>
        </w:rPr>
        <w:t>prévoient</w:t>
      </w:r>
      <w:r w:rsidRPr="00976C24">
        <w:rPr>
          <w:lang w:val="fr-FR"/>
        </w:rPr>
        <w:t xml:space="preserve"> également la majoration </w:t>
      </w:r>
      <w:r>
        <w:rPr>
          <w:lang w:val="fr-FR"/>
        </w:rPr>
        <w:t>d</w:t>
      </w:r>
      <w:r w:rsidRPr="00976C24">
        <w:rPr>
          <w:lang w:val="fr-FR"/>
        </w:rPr>
        <w:t>es heures supplémentaires, qui dépasse souvent le minimum de 40</w:t>
      </w:r>
      <w:r>
        <w:rPr>
          <w:lang w:val="fr-FR"/>
        </w:rPr>
        <w:t> </w:t>
      </w:r>
      <w:r w:rsidRPr="00976C24">
        <w:rPr>
          <w:lang w:val="fr-FR"/>
        </w:rPr>
        <w:t xml:space="preserve">%. </w:t>
      </w:r>
    </w:p>
    <w:p w:rsidR="00903547" w:rsidRPr="00976C24" w:rsidRDefault="00903547" w:rsidP="00354A36">
      <w:pPr>
        <w:pStyle w:val="SingleTxtG"/>
        <w:rPr>
          <w:lang w:val="fr-FR"/>
        </w:rPr>
      </w:pPr>
      <w:r>
        <w:rPr>
          <w:lang w:val="fr-FR"/>
        </w:rPr>
        <w:t>186.</w:t>
      </w:r>
      <w:r>
        <w:rPr>
          <w:lang w:val="fr-FR"/>
        </w:rPr>
        <w:tab/>
      </w:r>
      <w:r w:rsidRPr="00976C24">
        <w:rPr>
          <w:lang w:val="fr-FR"/>
        </w:rPr>
        <w:t xml:space="preserve">Le chapitre 12 de </w:t>
      </w:r>
      <w:r>
        <w:rPr>
          <w:lang w:val="fr-FR"/>
        </w:rPr>
        <w:t xml:space="preserve">cette même </w:t>
      </w:r>
      <w:r w:rsidRPr="00976C24">
        <w:rPr>
          <w:lang w:val="fr-FR"/>
        </w:rPr>
        <w:t xml:space="preserve">loi réglemente le droit à un congé. </w:t>
      </w:r>
      <w:r>
        <w:rPr>
          <w:lang w:val="fr-FR"/>
        </w:rPr>
        <w:t>Sel</w:t>
      </w:r>
      <w:r w:rsidRPr="00976C24">
        <w:rPr>
          <w:lang w:val="fr-FR"/>
        </w:rPr>
        <w:t xml:space="preserve">on l’article 12-1, une salariée enceinte </w:t>
      </w:r>
      <w:r>
        <w:rPr>
          <w:lang w:val="fr-FR"/>
        </w:rPr>
        <w:t>peut s’absenter</w:t>
      </w:r>
      <w:r w:rsidRPr="00976C24">
        <w:rPr>
          <w:lang w:val="fr-FR"/>
        </w:rPr>
        <w:t xml:space="preserve"> </w:t>
      </w:r>
      <w:r>
        <w:rPr>
          <w:lang w:val="fr-FR"/>
        </w:rPr>
        <w:t>sans perte de salaire</w:t>
      </w:r>
      <w:r w:rsidRPr="00976C24">
        <w:rPr>
          <w:lang w:val="fr-FR"/>
        </w:rPr>
        <w:t xml:space="preserve"> pour des examens prénataux, si ces examens peuvent difficilement être réalisés en dehors des heures de travail. </w:t>
      </w:r>
    </w:p>
    <w:p w:rsidR="00903547" w:rsidRPr="00976C24" w:rsidRDefault="00903547" w:rsidP="00354A36">
      <w:pPr>
        <w:pStyle w:val="SingleTxtG"/>
        <w:rPr>
          <w:lang w:val="fr-FR"/>
        </w:rPr>
      </w:pPr>
      <w:r>
        <w:rPr>
          <w:lang w:val="fr-FR"/>
        </w:rPr>
        <w:t>187.</w:t>
      </w:r>
      <w:r>
        <w:rPr>
          <w:lang w:val="fr-FR"/>
        </w:rPr>
        <w:tab/>
      </w:r>
      <w:r w:rsidRPr="00976C24">
        <w:rPr>
          <w:lang w:val="fr-FR"/>
        </w:rPr>
        <w:t xml:space="preserve">L’article 12-2 indique qu’une salariée enceinte </w:t>
      </w:r>
      <w:r>
        <w:rPr>
          <w:lang w:val="fr-FR"/>
        </w:rPr>
        <w:t>peut s’absenter pendant</w:t>
      </w:r>
      <w:r w:rsidRPr="00976C24">
        <w:rPr>
          <w:lang w:val="fr-FR"/>
        </w:rPr>
        <w:t xml:space="preserve"> 12 semaines maximum au cours de sa grossesse, et l’article 12-3 précise que le père a droit à 2 semaines de congé pour accompagner la mère au moment de la naissance. Après </w:t>
      </w:r>
      <w:r>
        <w:rPr>
          <w:lang w:val="fr-FR"/>
        </w:rPr>
        <w:t>quoi</w:t>
      </w:r>
      <w:r w:rsidRPr="00976C24">
        <w:rPr>
          <w:lang w:val="fr-FR"/>
        </w:rPr>
        <w:t xml:space="preserve"> les parents </w:t>
      </w:r>
      <w:r>
        <w:rPr>
          <w:lang w:val="fr-FR"/>
        </w:rPr>
        <w:t>peuvent se mettre en disponibilité pendant une durée</w:t>
      </w:r>
      <w:r w:rsidRPr="00976C24">
        <w:rPr>
          <w:lang w:val="fr-FR"/>
        </w:rPr>
        <w:t xml:space="preserve"> </w:t>
      </w:r>
      <w:r>
        <w:rPr>
          <w:lang w:val="fr-FR"/>
        </w:rPr>
        <w:t xml:space="preserve">totale </w:t>
      </w:r>
      <w:r w:rsidRPr="00976C24">
        <w:rPr>
          <w:lang w:val="fr-FR"/>
        </w:rPr>
        <w:t xml:space="preserve">de 12 mois. En outre, chaque parent a droit à un congé de 12 mois pour chaque enfant. Les dispositions s’appliquent également aux parents adoptifs et aux parents nourriciers. Le Comité pourra se reporter à la réponse du Gouvernement </w:t>
      </w:r>
      <w:r>
        <w:rPr>
          <w:lang w:val="fr-FR"/>
        </w:rPr>
        <w:t>relative</w:t>
      </w:r>
      <w:r w:rsidRPr="00976C24">
        <w:rPr>
          <w:lang w:val="fr-FR"/>
        </w:rPr>
        <w:t xml:space="preserve"> à l’article 10 </w:t>
      </w:r>
      <w:r>
        <w:rPr>
          <w:lang w:val="fr-FR"/>
        </w:rPr>
        <w:t>figurant dans le</w:t>
      </w:r>
      <w:r w:rsidRPr="00976C24">
        <w:rPr>
          <w:lang w:val="fr-FR"/>
        </w:rPr>
        <w:t xml:space="preserve"> présent rapport concernant les prestations versées aux parents pendant le congé parental.</w:t>
      </w:r>
    </w:p>
    <w:p w:rsidR="00903547" w:rsidRPr="00976C24" w:rsidRDefault="00903547" w:rsidP="00354A36">
      <w:pPr>
        <w:pStyle w:val="SingleTxtG"/>
        <w:rPr>
          <w:lang w:val="fr-FR"/>
        </w:rPr>
      </w:pPr>
      <w:r>
        <w:rPr>
          <w:lang w:val="fr-FR"/>
        </w:rPr>
        <w:t>188.</w:t>
      </w:r>
      <w:r>
        <w:rPr>
          <w:lang w:val="fr-FR"/>
        </w:rPr>
        <w:tab/>
      </w:r>
      <w:r w:rsidRPr="00976C24">
        <w:rPr>
          <w:lang w:val="fr-FR"/>
        </w:rPr>
        <w:t xml:space="preserve">L’article 12-9 </w:t>
      </w:r>
      <w:r>
        <w:rPr>
          <w:lang w:val="fr-FR"/>
        </w:rPr>
        <w:t xml:space="preserve">précise que les salariés qui </w:t>
      </w:r>
      <w:r w:rsidRPr="00976C24">
        <w:rPr>
          <w:lang w:val="fr-FR"/>
        </w:rPr>
        <w:t xml:space="preserve">ont des enfants à charge </w:t>
      </w:r>
      <w:r>
        <w:rPr>
          <w:lang w:val="fr-FR"/>
        </w:rPr>
        <w:t>peuvent s’absenter</w:t>
      </w:r>
      <w:r w:rsidRPr="00976C24">
        <w:rPr>
          <w:lang w:val="fr-FR"/>
        </w:rPr>
        <w:t xml:space="preserve"> si </w:t>
      </w:r>
      <w:r>
        <w:rPr>
          <w:lang w:val="fr-FR"/>
        </w:rPr>
        <w:t>besoin est</w:t>
      </w:r>
      <w:r w:rsidRPr="00976C24">
        <w:rPr>
          <w:lang w:val="fr-FR"/>
        </w:rPr>
        <w:t xml:space="preserve"> pour garder un enfant malade.</w:t>
      </w:r>
    </w:p>
    <w:p w:rsidR="00903547" w:rsidRPr="00976C24" w:rsidRDefault="00903547" w:rsidP="00354A36">
      <w:pPr>
        <w:pStyle w:val="SingleTxtG"/>
        <w:rPr>
          <w:i/>
          <w:lang w:val="fr-FR"/>
        </w:rPr>
      </w:pPr>
      <w:r>
        <w:rPr>
          <w:lang w:val="fr-FR"/>
        </w:rPr>
        <w:t>189.</w:t>
      </w:r>
      <w:r>
        <w:rPr>
          <w:lang w:val="fr-FR"/>
        </w:rPr>
        <w:tab/>
      </w:r>
      <w:r w:rsidRPr="00976C24">
        <w:rPr>
          <w:lang w:val="fr-FR"/>
        </w:rPr>
        <w:t>Les travailleurs assumant des responsabilités familiales peuvent être exemptés du travail de nuit</w:t>
      </w:r>
      <w:r>
        <w:rPr>
          <w:lang w:val="fr-FR"/>
        </w:rPr>
        <w:t>,</w:t>
      </w:r>
      <w:r w:rsidRPr="00976C24">
        <w:rPr>
          <w:lang w:val="fr-FR"/>
        </w:rPr>
        <w:t xml:space="preserve"> </w:t>
      </w:r>
      <w:r>
        <w:rPr>
          <w:lang w:val="fr-FR"/>
        </w:rPr>
        <w:t>bénéficier d’</w:t>
      </w:r>
      <w:r w:rsidRPr="00976C24">
        <w:rPr>
          <w:lang w:val="fr-FR"/>
        </w:rPr>
        <w:t xml:space="preserve">horaires flexibles et </w:t>
      </w:r>
      <w:r>
        <w:rPr>
          <w:lang w:val="fr-FR"/>
        </w:rPr>
        <w:t xml:space="preserve">d’une diminution de </w:t>
      </w:r>
      <w:r w:rsidRPr="00976C24">
        <w:rPr>
          <w:lang w:val="fr-FR"/>
        </w:rPr>
        <w:t>leur</w:t>
      </w:r>
      <w:r>
        <w:rPr>
          <w:lang w:val="fr-FR"/>
        </w:rPr>
        <w:t xml:space="preserve"> temps de</w:t>
      </w:r>
      <w:r w:rsidRPr="00976C24">
        <w:rPr>
          <w:lang w:val="fr-FR"/>
        </w:rPr>
        <w:t xml:space="preserve"> travail norma</w:t>
      </w:r>
      <w:r>
        <w:rPr>
          <w:lang w:val="fr-FR"/>
        </w:rPr>
        <w:t>l</w:t>
      </w:r>
      <w:r w:rsidRPr="00976C24">
        <w:rPr>
          <w:lang w:val="fr-FR"/>
        </w:rPr>
        <w:t>, voir l’article 10-2</w:t>
      </w:r>
      <w:r>
        <w:rPr>
          <w:lang w:val="fr-FR"/>
        </w:rPr>
        <w:t xml:space="preserve"> à ce sujet</w:t>
      </w:r>
      <w:r w:rsidRPr="00976C24">
        <w:rPr>
          <w:lang w:val="fr-FR"/>
        </w:rPr>
        <w:t xml:space="preserve">. </w:t>
      </w:r>
    </w:p>
    <w:p w:rsidR="00903547" w:rsidRPr="00976C24" w:rsidRDefault="00903547" w:rsidP="00354A36">
      <w:pPr>
        <w:pStyle w:val="SingleTxtG"/>
        <w:rPr>
          <w:lang w:val="fr-FR"/>
        </w:rPr>
      </w:pPr>
      <w:r>
        <w:rPr>
          <w:lang w:val="fr-FR"/>
        </w:rPr>
        <w:t>190.</w:t>
      </w:r>
      <w:r>
        <w:rPr>
          <w:lang w:val="fr-FR"/>
        </w:rPr>
        <w:tab/>
      </w:r>
      <w:r w:rsidRPr="00976C24">
        <w:rPr>
          <w:lang w:val="fr-FR"/>
        </w:rPr>
        <w:t>Le droit aux congés est réglemen</w:t>
      </w:r>
      <w:r>
        <w:rPr>
          <w:lang w:val="fr-FR"/>
        </w:rPr>
        <w:t>té par la loi du 29 avril 1988 n</w:t>
      </w:r>
      <w:r w:rsidRPr="00D52E44">
        <w:rPr>
          <w:vertAlign w:val="superscript"/>
          <w:lang w:val="fr-FR"/>
        </w:rPr>
        <w:t>o</w:t>
      </w:r>
      <w:r>
        <w:rPr>
          <w:lang w:val="fr-FR"/>
        </w:rPr>
        <w:t> </w:t>
      </w:r>
      <w:r w:rsidRPr="00976C24">
        <w:rPr>
          <w:lang w:val="fr-FR"/>
        </w:rPr>
        <w:t>21. L’objet de la loi est d</w:t>
      </w:r>
      <w:r>
        <w:rPr>
          <w:lang w:val="fr-FR"/>
        </w:rPr>
        <w:t>e garantir le bénéfice</w:t>
      </w:r>
      <w:r w:rsidRPr="00976C24">
        <w:rPr>
          <w:lang w:val="fr-FR"/>
        </w:rPr>
        <w:t xml:space="preserve"> de congés annuels payés</w:t>
      </w:r>
      <w:r>
        <w:rPr>
          <w:lang w:val="fr-FR"/>
        </w:rPr>
        <w:t xml:space="preserve"> aux salariés</w:t>
      </w:r>
      <w:r w:rsidRPr="00976C24">
        <w:rPr>
          <w:lang w:val="fr-FR"/>
        </w:rPr>
        <w:t xml:space="preserve">. </w:t>
      </w:r>
      <w:r>
        <w:rPr>
          <w:lang w:val="fr-FR"/>
        </w:rPr>
        <w:t>L</w:t>
      </w:r>
      <w:r w:rsidRPr="00976C24">
        <w:rPr>
          <w:lang w:val="fr-FR"/>
        </w:rPr>
        <w:t>’article 5</w:t>
      </w:r>
      <w:r>
        <w:rPr>
          <w:lang w:val="fr-FR"/>
        </w:rPr>
        <w:t xml:space="preserve"> dispose que</w:t>
      </w:r>
      <w:r w:rsidRPr="00976C24">
        <w:rPr>
          <w:lang w:val="fr-FR"/>
        </w:rPr>
        <w:t xml:space="preserve"> les employeurs doivent </w:t>
      </w:r>
      <w:r>
        <w:rPr>
          <w:lang w:val="fr-FR"/>
        </w:rPr>
        <w:t>veiller à ce</w:t>
      </w:r>
      <w:r w:rsidRPr="00976C24">
        <w:rPr>
          <w:lang w:val="fr-FR"/>
        </w:rPr>
        <w:t xml:space="preserve"> que les salariés </w:t>
      </w:r>
      <w:r>
        <w:rPr>
          <w:lang w:val="fr-FR"/>
        </w:rPr>
        <w:t>aie</w:t>
      </w:r>
      <w:r w:rsidRPr="00976C24">
        <w:rPr>
          <w:lang w:val="fr-FR"/>
        </w:rPr>
        <w:t xml:space="preserve">nt 25 jours de congés (jours ouvrés) annuels. Le salarié ne perçoit pas </w:t>
      </w:r>
      <w:r>
        <w:rPr>
          <w:lang w:val="fr-FR"/>
        </w:rPr>
        <w:t>son</w:t>
      </w:r>
      <w:r w:rsidRPr="00976C24">
        <w:rPr>
          <w:lang w:val="fr-FR"/>
        </w:rPr>
        <w:t xml:space="preserve"> salaire ordinaire pendant son absence mais une indemnité de congé qui</w:t>
      </w:r>
      <w:r>
        <w:rPr>
          <w:lang w:val="fr-FR"/>
        </w:rPr>
        <w:t xml:space="preserve"> s’y substitue</w:t>
      </w:r>
      <w:r w:rsidRPr="00976C24">
        <w:rPr>
          <w:lang w:val="fr-FR"/>
        </w:rPr>
        <w:t xml:space="preserve">. L’indemnité de congé versée par l’employeur est calculée sur la base des rémunérations versées au cours d’une année normale, en principe l’année précédente. Un salarié a droit à </w:t>
      </w:r>
      <w:r>
        <w:rPr>
          <w:lang w:val="fr-FR"/>
        </w:rPr>
        <w:t xml:space="preserve">une </w:t>
      </w:r>
      <w:r w:rsidRPr="00976C24">
        <w:rPr>
          <w:lang w:val="fr-FR"/>
        </w:rPr>
        <w:t xml:space="preserve">indemnité de congé de son employeur </w:t>
      </w:r>
      <w:r>
        <w:rPr>
          <w:lang w:val="fr-FR"/>
        </w:rPr>
        <w:t>représentant</w:t>
      </w:r>
      <w:r w:rsidRPr="00976C24">
        <w:rPr>
          <w:lang w:val="fr-FR"/>
        </w:rPr>
        <w:t xml:space="preserve"> 10,2</w:t>
      </w:r>
      <w:r>
        <w:rPr>
          <w:lang w:val="fr-FR"/>
        </w:rPr>
        <w:t> </w:t>
      </w:r>
      <w:r w:rsidRPr="00976C24">
        <w:rPr>
          <w:lang w:val="fr-FR"/>
        </w:rPr>
        <w:t xml:space="preserve">% de la base sur laquelle l’indemnité est calculée. </w:t>
      </w:r>
    </w:p>
    <w:p w:rsidR="00903547" w:rsidRPr="00976C24" w:rsidRDefault="00903547" w:rsidP="0071086E">
      <w:pPr>
        <w:pStyle w:val="H23G"/>
        <w:rPr>
          <w:lang w:val="fr-FR"/>
        </w:rPr>
      </w:pPr>
      <w:r w:rsidRPr="00976C24">
        <w:rPr>
          <w:lang w:val="fr-FR"/>
        </w:rPr>
        <w:tab/>
        <w:t>4.</w:t>
      </w:r>
      <w:r w:rsidRPr="00976C24">
        <w:rPr>
          <w:lang w:val="fr-FR"/>
        </w:rPr>
        <w:tab/>
        <w:t>Impact des mesures prises pour faire en</w:t>
      </w:r>
      <w:r>
        <w:rPr>
          <w:lang w:val="fr-FR"/>
        </w:rPr>
        <w:t xml:space="preserve"> sorte que, selon le principe «à travail égal salaire égal</w:t>
      </w:r>
      <w:r w:rsidRPr="00976C24">
        <w:rPr>
          <w:lang w:val="fr-FR"/>
        </w:rPr>
        <w:t>» les femmes disposant des mêmes qualifications que des hommes n’occupent pas des emplois moins bien rémunérés (E/2009/22-E/C.12/2008/3, annexe</w:t>
      </w:r>
      <w:r>
        <w:rPr>
          <w:lang w:val="fr-FR"/>
        </w:rPr>
        <w:t> </w:t>
      </w:r>
      <w:r w:rsidRPr="00976C24">
        <w:rPr>
          <w:lang w:val="fr-FR"/>
        </w:rPr>
        <w:t>VIII, par.</w:t>
      </w:r>
      <w:r>
        <w:rPr>
          <w:lang w:val="fr-FR"/>
        </w:rPr>
        <w:t> </w:t>
      </w:r>
      <w:r w:rsidRPr="00976C24">
        <w:rPr>
          <w:lang w:val="fr-FR"/>
        </w:rPr>
        <w:t>21)</w:t>
      </w:r>
    </w:p>
    <w:p w:rsidR="00903547" w:rsidRPr="00976C24" w:rsidRDefault="00903547" w:rsidP="00354A36">
      <w:pPr>
        <w:pStyle w:val="SingleTxtG"/>
        <w:rPr>
          <w:lang w:val="fr-FR"/>
        </w:rPr>
      </w:pPr>
      <w:r>
        <w:rPr>
          <w:lang w:val="fr-FR"/>
        </w:rPr>
        <w:t>191.</w:t>
      </w:r>
      <w:r>
        <w:rPr>
          <w:lang w:val="fr-FR"/>
        </w:rPr>
        <w:tab/>
      </w:r>
      <w:r w:rsidRPr="00976C24">
        <w:rPr>
          <w:lang w:val="fr-FR"/>
        </w:rPr>
        <w:t>Le Comité pourra se reporter à la réponse du Gouvernement au paragraphe</w:t>
      </w:r>
      <w:r>
        <w:rPr>
          <w:lang w:val="fr-FR"/>
        </w:rPr>
        <w:t> </w:t>
      </w:r>
      <w:r w:rsidRPr="00976C24">
        <w:rPr>
          <w:lang w:val="fr-FR"/>
        </w:rPr>
        <w:t xml:space="preserve">30 des observations finales </w:t>
      </w:r>
      <w:r>
        <w:rPr>
          <w:lang w:val="fr-FR"/>
        </w:rPr>
        <w:t>figurant dans le</w:t>
      </w:r>
      <w:r w:rsidRPr="00976C24">
        <w:rPr>
          <w:lang w:val="fr-FR"/>
        </w:rPr>
        <w:t xml:space="preserve"> présent rapport</w:t>
      </w:r>
      <w:r>
        <w:rPr>
          <w:lang w:val="fr-FR"/>
        </w:rPr>
        <w:t>,</w:t>
      </w:r>
      <w:r w:rsidRPr="00976C24">
        <w:rPr>
          <w:lang w:val="fr-FR"/>
        </w:rPr>
        <w:t xml:space="preserve"> </w:t>
      </w:r>
      <w:r>
        <w:rPr>
          <w:lang w:val="fr-FR"/>
        </w:rPr>
        <w:t>s’agissant d</w:t>
      </w:r>
      <w:r w:rsidRPr="00976C24">
        <w:rPr>
          <w:lang w:val="fr-FR"/>
        </w:rPr>
        <w:t xml:space="preserve">es différences entre </w:t>
      </w:r>
      <w:r>
        <w:rPr>
          <w:lang w:val="fr-FR"/>
        </w:rPr>
        <w:t>hommes et femmes</w:t>
      </w:r>
      <w:r w:rsidRPr="00976C24">
        <w:rPr>
          <w:lang w:val="fr-FR"/>
        </w:rPr>
        <w:t xml:space="preserve"> dans la vie prof</w:t>
      </w:r>
      <w:r>
        <w:rPr>
          <w:lang w:val="fr-FR"/>
        </w:rPr>
        <w:t xml:space="preserve">essionnelle en Norvège (par. 42 à </w:t>
      </w:r>
      <w:r w:rsidRPr="00976C24">
        <w:rPr>
          <w:lang w:val="fr-FR"/>
        </w:rPr>
        <w:t>45 ci-dessus).</w:t>
      </w:r>
    </w:p>
    <w:p w:rsidR="00903547" w:rsidRPr="00976C24" w:rsidRDefault="00903547" w:rsidP="00354A36">
      <w:pPr>
        <w:pStyle w:val="SingleTxtG"/>
        <w:rPr>
          <w:lang w:val="fr-FR"/>
        </w:rPr>
      </w:pPr>
      <w:r>
        <w:rPr>
          <w:lang w:val="fr-FR"/>
        </w:rPr>
        <w:t>192.</w:t>
      </w:r>
      <w:r>
        <w:rPr>
          <w:lang w:val="fr-FR"/>
        </w:rPr>
        <w:tab/>
      </w:r>
      <w:r w:rsidRPr="00976C24">
        <w:rPr>
          <w:lang w:val="fr-FR"/>
        </w:rPr>
        <w:t xml:space="preserve">Un salaire égal pour un travail égal est une priorité des </w:t>
      </w:r>
      <w:r>
        <w:rPr>
          <w:lang w:val="fr-FR"/>
        </w:rPr>
        <w:t xml:space="preserve">orientations </w:t>
      </w:r>
      <w:r w:rsidRPr="00976C24">
        <w:rPr>
          <w:lang w:val="fr-FR"/>
        </w:rPr>
        <w:t>politiques gouvernementales.</w:t>
      </w:r>
    </w:p>
    <w:p w:rsidR="00903547" w:rsidRPr="00976C24" w:rsidRDefault="00903547" w:rsidP="00354A36">
      <w:pPr>
        <w:pStyle w:val="SingleTxtG"/>
        <w:rPr>
          <w:lang w:val="fr-FR"/>
        </w:rPr>
      </w:pPr>
      <w:r>
        <w:rPr>
          <w:lang w:val="fr-FR"/>
        </w:rPr>
        <w:t>193.</w:t>
      </w:r>
      <w:r>
        <w:rPr>
          <w:lang w:val="fr-FR"/>
        </w:rPr>
        <w:tab/>
        <w:t>L</w:t>
      </w:r>
      <w:r w:rsidRPr="00976C24">
        <w:rPr>
          <w:lang w:val="fr-FR"/>
        </w:rPr>
        <w:t xml:space="preserve">’accord collectif </w:t>
      </w:r>
      <w:r>
        <w:rPr>
          <w:lang w:val="fr-FR"/>
        </w:rPr>
        <w:t xml:space="preserve">de 2010 </w:t>
      </w:r>
      <w:r w:rsidRPr="00976C24">
        <w:rPr>
          <w:lang w:val="fr-FR"/>
        </w:rPr>
        <w:t>sur les salaires dans les secteurs public et privé</w:t>
      </w:r>
      <w:r>
        <w:rPr>
          <w:lang w:val="fr-FR"/>
        </w:rPr>
        <w:t xml:space="preserve"> prévoit</w:t>
      </w:r>
      <w:r w:rsidRPr="00976C24">
        <w:rPr>
          <w:lang w:val="fr-FR"/>
        </w:rPr>
        <w:t xml:space="preserve"> une </w:t>
      </w:r>
      <w:r>
        <w:rPr>
          <w:lang w:val="fr-FR"/>
        </w:rPr>
        <w:t xml:space="preserve">hausse des bas salaires et une autre pour équilibrer les salaires, </w:t>
      </w:r>
      <w:r w:rsidRPr="00976C24">
        <w:rPr>
          <w:lang w:val="fr-FR"/>
        </w:rPr>
        <w:t>entraînant une augmentation plus importante pour les femmes que pour les hommes. Dans les activités à forte compétitivité et dans d’autres domaines du secteur privé, une augmentation générale visant à revaloriser les bas salaires et à corrig</w:t>
      </w:r>
      <w:r>
        <w:rPr>
          <w:lang w:val="fr-FR"/>
        </w:rPr>
        <w:t>er les inégalités salariales a été accordée</w:t>
      </w:r>
      <w:r w:rsidRPr="00976C24">
        <w:rPr>
          <w:lang w:val="fr-FR"/>
        </w:rPr>
        <w:t xml:space="preserve"> afin de réduire les écarts de rémunération entre hommes et femmes au niveau de chaque entreprise. </w:t>
      </w:r>
      <w:r>
        <w:rPr>
          <w:lang w:val="fr-FR"/>
        </w:rPr>
        <w:t>U</w:t>
      </w:r>
      <w:r w:rsidRPr="00976C24">
        <w:rPr>
          <w:lang w:val="fr-FR"/>
        </w:rPr>
        <w:t xml:space="preserve">n accord a été conclu </w:t>
      </w:r>
      <w:r>
        <w:rPr>
          <w:lang w:val="fr-FR"/>
        </w:rPr>
        <w:t>sur</w:t>
      </w:r>
      <w:r w:rsidRPr="00976C24">
        <w:rPr>
          <w:lang w:val="fr-FR"/>
        </w:rPr>
        <w:t xml:space="preserve"> une déclaration commune </w:t>
      </w:r>
      <w:r>
        <w:rPr>
          <w:lang w:val="fr-FR"/>
        </w:rPr>
        <w:t>relative à l’égalité des sexes. Dans la fonction publique</w:t>
      </w:r>
      <w:r w:rsidRPr="00976C24">
        <w:rPr>
          <w:lang w:val="fr-FR"/>
        </w:rPr>
        <w:t xml:space="preserve">, la priorité a été donnée aux postes </w:t>
      </w:r>
      <w:r>
        <w:rPr>
          <w:lang w:val="fr-FR"/>
        </w:rPr>
        <w:t xml:space="preserve">occupés à plus de 60 % par des </w:t>
      </w:r>
      <w:r w:rsidRPr="00976C24">
        <w:rPr>
          <w:lang w:val="fr-FR"/>
        </w:rPr>
        <w:t>femmes</w:t>
      </w:r>
      <w:r>
        <w:rPr>
          <w:lang w:val="fr-FR"/>
        </w:rPr>
        <w:t>. En ce qui concerne le secteur municipal et les entreprises de santé qui emploient beaucoup de femmes</w:t>
      </w:r>
      <w:r w:rsidRPr="00976C24">
        <w:rPr>
          <w:lang w:val="fr-FR"/>
        </w:rPr>
        <w:t xml:space="preserve">, une priorité spéciale a été </w:t>
      </w:r>
      <w:r>
        <w:rPr>
          <w:lang w:val="fr-FR"/>
        </w:rPr>
        <w:t>accordée</w:t>
      </w:r>
      <w:r w:rsidRPr="00976C24">
        <w:rPr>
          <w:lang w:val="fr-FR"/>
        </w:rPr>
        <w:t xml:space="preserve"> aux professions </w:t>
      </w:r>
      <w:r>
        <w:rPr>
          <w:lang w:val="fr-FR"/>
        </w:rPr>
        <w:t xml:space="preserve">majoritairement </w:t>
      </w:r>
      <w:r w:rsidRPr="00976C24">
        <w:rPr>
          <w:lang w:val="fr-FR"/>
        </w:rPr>
        <w:t>féminine</w:t>
      </w:r>
      <w:r>
        <w:rPr>
          <w:lang w:val="fr-FR"/>
        </w:rPr>
        <w:t>s</w:t>
      </w:r>
      <w:r w:rsidRPr="00976C24">
        <w:rPr>
          <w:lang w:val="fr-FR"/>
        </w:rPr>
        <w:t xml:space="preserve"> qui exigent un niveau d’études supérieures.</w:t>
      </w:r>
    </w:p>
    <w:p w:rsidR="00903547" w:rsidRPr="00976C24" w:rsidRDefault="00903547" w:rsidP="0071086E">
      <w:pPr>
        <w:pStyle w:val="H23G"/>
        <w:rPr>
          <w:lang w:val="fr-FR"/>
        </w:rPr>
      </w:pPr>
      <w:r w:rsidRPr="00976C24">
        <w:rPr>
          <w:lang w:val="fr-FR"/>
        </w:rPr>
        <w:tab/>
        <w:t>5.</w:t>
      </w:r>
      <w:r w:rsidRPr="00976C24">
        <w:rPr>
          <w:lang w:val="fr-FR"/>
        </w:rPr>
        <w:tab/>
        <w:t>Adoption et application d’une législation qui incrimine spécifiquement le harcèlement sexuel sur le lieu de travail</w:t>
      </w:r>
      <w:r>
        <w:rPr>
          <w:lang w:val="fr-FR"/>
        </w:rPr>
        <w:t>;</w:t>
      </w:r>
      <w:r w:rsidRPr="00976C24">
        <w:rPr>
          <w:lang w:val="fr-FR"/>
        </w:rPr>
        <w:t xml:space="preserve"> mécanismes permettant</w:t>
      </w:r>
      <w:r>
        <w:rPr>
          <w:lang w:val="fr-FR"/>
        </w:rPr>
        <w:t xml:space="preserve"> de contrôler cette application</w:t>
      </w:r>
      <w:r w:rsidRPr="00976C24">
        <w:rPr>
          <w:lang w:val="fr-FR"/>
        </w:rPr>
        <w:t xml:space="preserve"> et nombre d’affaires enregistrées, sanctions prises à l’encontre des responsables et mesures adoptées pour indemniser et aider les victimes de harcèlement sexuel (</w:t>
      </w:r>
      <w:r w:rsidRPr="00976C24">
        <w:rPr>
          <w:rFonts w:ascii="Times New Roman Bold" w:hAnsi="Times New Roman Bold"/>
          <w:spacing w:val="-2"/>
          <w:lang w:val="fr-FR"/>
        </w:rPr>
        <w:t>E/2009/22-E/C.12/2008/3, annexe VIII, par.</w:t>
      </w:r>
      <w:r>
        <w:rPr>
          <w:rFonts w:ascii="Times New Roman Bold" w:hAnsi="Times New Roman Bold"/>
          <w:spacing w:val="-2"/>
          <w:lang w:val="fr-FR"/>
        </w:rPr>
        <w:t> </w:t>
      </w:r>
      <w:r w:rsidRPr="00976C24">
        <w:rPr>
          <w:rFonts w:ascii="Times New Roman Bold" w:hAnsi="Times New Roman Bold"/>
          <w:spacing w:val="-2"/>
          <w:lang w:val="fr-FR"/>
        </w:rPr>
        <w:t>22)</w:t>
      </w:r>
    </w:p>
    <w:p w:rsidR="00903547" w:rsidRPr="00976C24" w:rsidRDefault="00903547" w:rsidP="00354A36">
      <w:pPr>
        <w:pStyle w:val="SingleTxtG"/>
        <w:rPr>
          <w:lang w:val="fr-FR"/>
        </w:rPr>
      </w:pPr>
      <w:r>
        <w:rPr>
          <w:lang w:val="fr-FR"/>
        </w:rPr>
        <w:t>194.</w:t>
      </w:r>
      <w:r>
        <w:rPr>
          <w:lang w:val="fr-FR"/>
        </w:rPr>
        <w:tab/>
      </w:r>
      <w:r w:rsidRPr="00976C24">
        <w:rPr>
          <w:lang w:val="fr-FR"/>
        </w:rPr>
        <w:t xml:space="preserve">Toute personne qui, en actes ou en paroles, </w:t>
      </w:r>
      <w:r>
        <w:rPr>
          <w:lang w:val="fr-FR"/>
        </w:rPr>
        <w:t>affiche une agressivité sexuelle ou</w:t>
      </w:r>
      <w:r w:rsidRPr="00976C24">
        <w:rPr>
          <w:lang w:val="fr-FR"/>
        </w:rPr>
        <w:t xml:space="preserve"> indécente dans un lieu public ou en présence</w:t>
      </w:r>
      <w:r>
        <w:rPr>
          <w:lang w:val="fr-FR"/>
        </w:rPr>
        <w:t>/</w:t>
      </w:r>
      <w:r w:rsidRPr="00976C24">
        <w:rPr>
          <w:lang w:val="fr-FR"/>
        </w:rPr>
        <w:t xml:space="preserve">à l’égard d’une personne qui n’y a pas consenti encourt </w:t>
      </w:r>
      <w:r>
        <w:rPr>
          <w:lang w:val="fr-FR"/>
        </w:rPr>
        <w:t>une amende</w:t>
      </w:r>
      <w:r w:rsidRPr="00976C24">
        <w:rPr>
          <w:lang w:val="fr-FR"/>
        </w:rPr>
        <w:t xml:space="preserve"> ou une peine d’emprisonnement d’une durée maximale d’un an, voir </w:t>
      </w:r>
      <w:r>
        <w:rPr>
          <w:lang w:val="fr-FR"/>
        </w:rPr>
        <w:t>l’</w:t>
      </w:r>
      <w:r w:rsidRPr="00976C24">
        <w:rPr>
          <w:lang w:val="fr-FR"/>
        </w:rPr>
        <w:t>article 201 du Code général civil et pénal.</w:t>
      </w:r>
    </w:p>
    <w:p w:rsidR="00903547" w:rsidRPr="00976C24" w:rsidRDefault="00903547" w:rsidP="00354A36">
      <w:pPr>
        <w:pStyle w:val="SingleTxtG"/>
        <w:rPr>
          <w:lang w:val="fr-FR"/>
        </w:rPr>
      </w:pPr>
      <w:r>
        <w:rPr>
          <w:lang w:val="fr-FR"/>
        </w:rPr>
        <w:t>195.</w:t>
      </w:r>
      <w:r>
        <w:rPr>
          <w:lang w:val="fr-FR"/>
        </w:rPr>
        <w:tab/>
      </w:r>
      <w:r w:rsidRPr="00D2535A">
        <w:rPr>
          <w:lang w:val="fr-FR"/>
        </w:rPr>
        <w:t>En vertu de la loi sur l’égalité des sexes, l’employeur a l’obligation de prévenir le harcèlement sexuel et de s’employer à empêcher toute possibilité de harcèlement sur le lieu de travail</w:t>
      </w:r>
      <w:r>
        <w:rPr>
          <w:lang w:val="fr-FR"/>
        </w:rPr>
        <w:t xml:space="preserve">. </w:t>
      </w:r>
      <w:r w:rsidRPr="00D2535A">
        <w:rPr>
          <w:lang w:val="fr-FR"/>
        </w:rPr>
        <w:t xml:space="preserve">Tout employé </w:t>
      </w:r>
      <w:r>
        <w:rPr>
          <w:lang w:val="fr-FR"/>
        </w:rPr>
        <w:t xml:space="preserve">qui en est </w:t>
      </w:r>
      <w:r w:rsidRPr="00D2535A">
        <w:rPr>
          <w:lang w:val="fr-FR"/>
        </w:rPr>
        <w:t xml:space="preserve">victime peut demander dédommagement et réparation, </w:t>
      </w:r>
      <w:r w:rsidRPr="00976C24">
        <w:rPr>
          <w:lang w:val="fr-FR"/>
        </w:rPr>
        <w:t>que l</w:t>
      </w:r>
      <w:r>
        <w:rPr>
          <w:lang w:val="fr-FR"/>
        </w:rPr>
        <w:t>a responsabilité de l</w:t>
      </w:r>
      <w:r w:rsidRPr="00976C24">
        <w:rPr>
          <w:lang w:val="fr-FR"/>
        </w:rPr>
        <w:t xml:space="preserve">’employeur soit ou non </w:t>
      </w:r>
      <w:r>
        <w:rPr>
          <w:lang w:val="fr-FR"/>
        </w:rPr>
        <w:t>engagée</w:t>
      </w:r>
      <w:r w:rsidRPr="00976C24">
        <w:rPr>
          <w:lang w:val="fr-FR"/>
        </w:rPr>
        <w:t xml:space="preserve">. </w:t>
      </w:r>
      <w:r w:rsidRPr="00D2535A">
        <w:rPr>
          <w:lang w:val="fr-FR"/>
        </w:rPr>
        <w:t>L’application de l’interdiction du harcèlement sexuel relève de la compétence des tribunaux</w:t>
      </w:r>
      <w:r w:rsidRPr="00976C24">
        <w:rPr>
          <w:lang w:val="fr-FR"/>
        </w:rPr>
        <w:t xml:space="preserve">. </w:t>
      </w:r>
      <w:r>
        <w:rPr>
          <w:lang w:val="fr-FR"/>
        </w:rPr>
        <w:t>Jusqu'à présent</w:t>
      </w:r>
      <w:r w:rsidRPr="00D2535A">
        <w:rPr>
          <w:lang w:val="fr-FR"/>
        </w:rPr>
        <w:t xml:space="preserve"> il y a eu très peu de procès </w:t>
      </w:r>
      <w:r>
        <w:rPr>
          <w:lang w:val="fr-FR"/>
        </w:rPr>
        <w:t>pour</w:t>
      </w:r>
      <w:r w:rsidRPr="00D2535A">
        <w:rPr>
          <w:lang w:val="fr-FR"/>
        </w:rPr>
        <w:t xml:space="preserve"> harcèlement sexuel</w:t>
      </w:r>
      <w:r>
        <w:rPr>
          <w:lang w:val="fr-FR"/>
        </w:rPr>
        <w:t>.</w:t>
      </w:r>
    </w:p>
    <w:p w:rsidR="00903547" w:rsidRPr="00976C24" w:rsidRDefault="00903547" w:rsidP="00354A36">
      <w:pPr>
        <w:pStyle w:val="SingleTxtG"/>
        <w:rPr>
          <w:lang w:val="fr-FR"/>
        </w:rPr>
      </w:pPr>
      <w:r>
        <w:rPr>
          <w:lang w:val="fr-FR"/>
        </w:rPr>
        <w:t>196.</w:t>
      </w:r>
      <w:r>
        <w:rPr>
          <w:lang w:val="fr-FR"/>
        </w:rPr>
        <w:tab/>
      </w:r>
      <w:r w:rsidRPr="00976C24">
        <w:rPr>
          <w:lang w:val="fr-FR"/>
        </w:rPr>
        <w:t xml:space="preserve">Outre la loi sur l’égalité des sexes, le chapitre 4 de la loi sur l’environnement de travail </w:t>
      </w:r>
      <w:r>
        <w:rPr>
          <w:lang w:val="fr-FR"/>
        </w:rPr>
        <w:t xml:space="preserve">de </w:t>
      </w:r>
      <w:r w:rsidRPr="00976C24">
        <w:rPr>
          <w:lang w:val="fr-FR"/>
        </w:rPr>
        <w:t xml:space="preserve">2005 énonce des conditions applicables </w:t>
      </w:r>
      <w:r>
        <w:rPr>
          <w:lang w:val="fr-FR"/>
        </w:rPr>
        <w:t>au cadre de travail</w:t>
      </w:r>
      <w:r w:rsidRPr="00976C24">
        <w:rPr>
          <w:lang w:val="fr-FR"/>
        </w:rPr>
        <w:t xml:space="preserve">. L’article 4-3 de la loi dispose que les </w:t>
      </w:r>
      <w:r>
        <w:rPr>
          <w:lang w:val="fr-FR"/>
        </w:rPr>
        <w:t>salariés</w:t>
      </w:r>
      <w:r w:rsidRPr="00976C24">
        <w:rPr>
          <w:lang w:val="fr-FR"/>
        </w:rPr>
        <w:t xml:space="preserve"> ne peuvent faire l’objet de harcèlement ou de comportements in</w:t>
      </w:r>
      <w:r>
        <w:rPr>
          <w:lang w:val="fr-FR"/>
        </w:rPr>
        <w:t>décents</w:t>
      </w:r>
      <w:r w:rsidRPr="00976C24">
        <w:rPr>
          <w:lang w:val="fr-FR"/>
        </w:rPr>
        <w:t xml:space="preserve"> sur le lieu de travail. Les dispositions spécifiques de l’article 4-3 concernant l’environnement de travail psychologique viennent compléter les conditions générales stipulées à l’article 4-1. </w:t>
      </w:r>
      <w:r>
        <w:rPr>
          <w:lang w:val="fr-FR"/>
        </w:rPr>
        <w:t>Sont visés</w:t>
      </w:r>
      <w:r w:rsidRPr="00976C24">
        <w:rPr>
          <w:lang w:val="fr-FR"/>
        </w:rPr>
        <w:t xml:space="preserve"> le harcèlement et l’intimidation de toutes sortes, y compris le harcèlement sexue</w:t>
      </w:r>
      <w:r>
        <w:rPr>
          <w:lang w:val="fr-FR"/>
        </w:rPr>
        <w:t>l ou les attentions à caractère</w:t>
      </w:r>
      <w:r w:rsidRPr="00976C24">
        <w:rPr>
          <w:lang w:val="fr-FR"/>
        </w:rPr>
        <w:t xml:space="preserve"> sexuel non désirées sur le lieu de travail. </w:t>
      </w:r>
    </w:p>
    <w:p w:rsidR="00903547" w:rsidRPr="00976C24" w:rsidRDefault="00903547" w:rsidP="00354A36">
      <w:pPr>
        <w:pStyle w:val="SingleTxtG"/>
        <w:rPr>
          <w:lang w:val="fr-FR"/>
        </w:rPr>
      </w:pPr>
      <w:r>
        <w:rPr>
          <w:lang w:val="fr-FR"/>
        </w:rPr>
        <w:t>197.</w:t>
      </w:r>
      <w:r>
        <w:rPr>
          <w:lang w:val="fr-FR"/>
        </w:rPr>
        <w:tab/>
      </w:r>
      <w:r w:rsidRPr="00976C24">
        <w:rPr>
          <w:lang w:val="fr-FR"/>
        </w:rPr>
        <w:t xml:space="preserve">La principale mission de l’Inspection du travail est d’aider les entreprises et de veiller à ce qu’elles se conforment aux dispositions de la loi sur l’environnement de travail. Si </w:t>
      </w:r>
      <w:r>
        <w:rPr>
          <w:lang w:val="fr-FR"/>
        </w:rPr>
        <w:t>l’Inspection</w:t>
      </w:r>
      <w:r w:rsidRPr="00976C24">
        <w:rPr>
          <w:lang w:val="fr-FR"/>
        </w:rPr>
        <w:t xml:space="preserve"> estime que la loi a été enfreinte, elle peut ordonner à l’entreprise de remédier à la</w:t>
      </w:r>
      <w:r>
        <w:rPr>
          <w:lang w:val="fr-FR"/>
        </w:rPr>
        <w:t xml:space="preserve"> situation dans un délai précis et</w:t>
      </w:r>
      <w:r w:rsidRPr="00976C24">
        <w:rPr>
          <w:lang w:val="fr-FR"/>
        </w:rPr>
        <w:t xml:space="preserve"> </w:t>
      </w:r>
      <w:r>
        <w:rPr>
          <w:lang w:val="fr-FR"/>
        </w:rPr>
        <w:t>s</w:t>
      </w:r>
      <w:r w:rsidRPr="00976C24">
        <w:rPr>
          <w:lang w:val="fr-FR"/>
        </w:rPr>
        <w:t xml:space="preserve">i l’entreprise n’obtempère pas, </w:t>
      </w:r>
      <w:r>
        <w:rPr>
          <w:lang w:val="fr-FR"/>
        </w:rPr>
        <w:t xml:space="preserve">l’Inspection peut lui infliger </w:t>
      </w:r>
      <w:r w:rsidRPr="00976C24">
        <w:rPr>
          <w:lang w:val="fr-FR"/>
        </w:rPr>
        <w:t xml:space="preserve">des astreintes. Une entreprise peut être immédiatement fermée si la vie et la santé de ses salariés sont menacées par un danger imminent. L’Inspection peut également, dans des cas </w:t>
      </w:r>
      <w:r>
        <w:rPr>
          <w:lang w:val="fr-FR"/>
        </w:rPr>
        <w:t>critiques</w:t>
      </w:r>
      <w:r w:rsidRPr="00976C24">
        <w:rPr>
          <w:lang w:val="fr-FR"/>
        </w:rPr>
        <w:t xml:space="preserve">, </w:t>
      </w:r>
      <w:r>
        <w:rPr>
          <w:lang w:val="fr-FR"/>
        </w:rPr>
        <w:t>dénoncer</w:t>
      </w:r>
      <w:r w:rsidRPr="00976C24">
        <w:rPr>
          <w:lang w:val="fr-FR"/>
        </w:rPr>
        <w:t xml:space="preserve"> l’entreprise à la police en cas de violations graves de la loi. </w:t>
      </w:r>
    </w:p>
    <w:p w:rsidR="00903547" w:rsidRPr="00976C24" w:rsidRDefault="00903547" w:rsidP="00354A36">
      <w:pPr>
        <w:pStyle w:val="SingleTxtG"/>
        <w:rPr>
          <w:lang w:val="fr-FR"/>
        </w:rPr>
      </w:pPr>
      <w:r>
        <w:rPr>
          <w:lang w:val="fr-FR"/>
        </w:rPr>
        <w:t>198.</w:t>
      </w:r>
      <w:r>
        <w:rPr>
          <w:lang w:val="fr-FR"/>
        </w:rPr>
        <w:tab/>
      </w:r>
      <w:r w:rsidRPr="00976C24">
        <w:rPr>
          <w:lang w:val="fr-FR"/>
        </w:rPr>
        <w:t xml:space="preserve">Les affaires de harcèlement sont difficiles et l’Inspection du travail a élaboré des outils pour aider les entreprises à résoudre les conflits intra-entreprise. On trouve des exemples de jurisprudence </w:t>
      </w:r>
      <w:r>
        <w:rPr>
          <w:lang w:val="fr-FR"/>
        </w:rPr>
        <w:t>sur</w:t>
      </w:r>
      <w:r w:rsidRPr="00976C24">
        <w:rPr>
          <w:lang w:val="fr-FR"/>
        </w:rPr>
        <w:t xml:space="preserve"> le versement d’indemnisations pour harcèlement. Une étude réalisée par le Bureau norvégien de statistique en 2006 indique que 4</w:t>
      </w:r>
      <w:r>
        <w:rPr>
          <w:lang w:val="fr-FR"/>
        </w:rPr>
        <w:t> </w:t>
      </w:r>
      <w:r w:rsidRPr="00976C24">
        <w:rPr>
          <w:lang w:val="fr-FR"/>
        </w:rPr>
        <w:t>% des personnes interrogées ont fait l’objet d’attentions ou de commentaires à caractère sexuel non souhaités plusieurs fois par moi</w:t>
      </w:r>
      <w:r>
        <w:rPr>
          <w:lang w:val="fr-FR"/>
        </w:rPr>
        <w:t>s</w:t>
      </w:r>
      <w:r w:rsidRPr="00976C24">
        <w:rPr>
          <w:lang w:val="fr-FR"/>
        </w:rPr>
        <w:t xml:space="preserve"> ou davantage.</w:t>
      </w:r>
    </w:p>
    <w:p w:rsidR="00903547" w:rsidRPr="00976C24" w:rsidRDefault="00903547" w:rsidP="0071086E">
      <w:pPr>
        <w:pStyle w:val="H23G"/>
        <w:rPr>
          <w:lang w:val="fr-FR"/>
        </w:rPr>
      </w:pPr>
      <w:r w:rsidRPr="00976C24">
        <w:rPr>
          <w:lang w:val="fr-FR"/>
        </w:rPr>
        <w:tab/>
        <w:t>6.</w:t>
      </w:r>
      <w:r w:rsidRPr="00976C24">
        <w:rPr>
          <w:lang w:val="fr-FR"/>
        </w:rPr>
        <w:tab/>
        <w:t>Dispositions législatives, administratives ou autres prises pour garantir la sécurité et l’hygiène au travail et mise en œuvre de ces dispositions dans la pratique (</w:t>
      </w:r>
      <w:r w:rsidRPr="00976C24">
        <w:rPr>
          <w:rFonts w:ascii="Times New Roman Bold" w:hAnsi="Times New Roman Bold"/>
          <w:spacing w:val="-2"/>
          <w:lang w:val="fr-FR"/>
        </w:rPr>
        <w:t>E/2009/22-E/C.12/2008/3, annexe VIII, par.</w:t>
      </w:r>
      <w:r>
        <w:rPr>
          <w:rFonts w:ascii="Times New Roman Bold" w:hAnsi="Times New Roman Bold"/>
          <w:spacing w:val="-2"/>
          <w:lang w:val="fr-FR"/>
        </w:rPr>
        <w:t> </w:t>
      </w:r>
      <w:r w:rsidRPr="00976C24">
        <w:rPr>
          <w:rFonts w:ascii="Times New Roman Bold" w:hAnsi="Times New Roman Bold"/>
          <w:spacing w:val="-2"/>
          <w:lang w:val="fr-FR"/>
        </w:rPr>
        <w:t>23)</w:t>
      </w:r>
    </w:p>
    <w:p w:rsidR="00903547" w:rsidRPr="00976C24" w:rsidRDefault="00903547" w:rsidP="00354A36">
      <w:pPr>
        <w:pStyle w:val="SingleTxtG"/>
        <w:rPr>
          <w:lang w:val="fr-FR"/>
        </w:rPr>
      </w:pPr>
      <w:r>
        <w:rPr>
          <w:lang w:val="fr-FR"/>
        </w:rPr>
        <w:t>199.</w:t>
      </w:r>
      <w:r>
        <w:rPr>
          <w:lang w:val="fr-FR"/>
        </w:rPr>
        <w:tab/>
      </w:r>
      <w:r w:rsidRPr="00976C24">
        <w:rPr>
          <w:lang w:val="fr-FR"/>
        </w:rPr>
        <w:t>En principe, il est de la responsabilité de l’employeur de veiller à ce que les conditions de travail soient conformes à la loi sur l’environnement de travail, dont l’article</w:t>
      </w:r>
      <w:r>
        <w:rPr>
          <w:lang w:val="fr-FR"/>
        </w:rPr>
        <w:t> </w:t>
      </w:r>
      <w:r w:rsidRPr="00976C24">
        <w:rPr>
          <w:lang w:val="fr-FR"/>
        </w:rPr>
        <w:t>3-1 dispose que l’employeur doit s’assurer qu</w:t>
      </w:r>
      <w:r>
        <w:rPr>
          <w:lang w:val="fr-FR"/>
        </w:rPr>
        <w:t>e des interventions</w:t>
      </w:r>
      <w:r w:rsidRPr="00976C24">
        <w:rPr>
          <w:lang w:val="fr-FR"/>
        </w:rPr>
        <w:t xml:space="preserve"> systématique</w:t>
      </w:r>
      <w:r>
        <w:rPr>
          <w:lang w:val="fr-FR"/>
        </w:rPr>
        <w:t>s ont bien lieu</w:t>
      </w:r>
      <w:r w:rsidRPr="00976C24">
        <w:rPr>
          <w:lang w:val="fr-FR"/>
        </w:rPr>
        <w:t xml:space="preserve"> au </w:t>
      </w:r>
      <w:r>
        <w:rPr>
          <w:lang w:val="fr-FR"/>
        </w:rPr>
        <w:t>regard</w:t>
      </w:r>
      <w:r w:rsidRPr="00976C24">
        <w:rPr>
          <w:lang w:val="fr-FR"/>
        </w:rPr>
        <w:t xml:space="preserve"> de l’hygiène, </w:t>
      </w:r>
      <w:r>
        <w:rPr>
          <w:lang w:val="fr-FR"/>
        </w:rPr>
        <w:t xml:space="preserve">de </w:t>
      </w:r>
      <w:r w:rsidRPr="00976C24">
        <w:rPr>
          <w:lang w:val="fr-FR"/>
        </w:rPr>
        <w:t xml:space="preserve">l’environnement et </w:t>
      </w:r>
      <w:r>
        <w:rPr>
          <w:lang w:val="fr-FR"/>
        </w:rPr>
        <w:t xml:space="preserve">de </w:t>
      </w:r>
      <w:r w:rsidRPr="00976C24">
        <w:rPr>
          <w:lang w:val="fr-FR"/>
        </w:rPr>
        <w:t>la sécurité à tous le</w:t>
      </w:r>
      <w:r>
        <w:rPr>
          <w:lang w:val="fr-FR"/>
        </w:rPr>
        <w:t>s niveaux de l’entreprise. Ces</w:t>
      </w:r>
      <w:r w:rsidRPr="00976C24">
        <w:rPr>
          <w:lang w:val="fr-FR"/>
        </w:rPr>
        <w:t xml:space="preserve"> opération</w:t>
      </w:r>
      <w:r>
        <w:rPr>
          <w:lang w:val="fr-FR"/>
        </w:rPr>
        <w:t>s</w:t>
      </w:r>
      <w:r w:rsidRPr="00976C24">
        <w:rPr>
          <w:lang w:val="fr-FR"/>
        </w:rPr>
        <w:t xml:space="preserve"> doi</w:t>
      </w:r>
      <w:r>
        <w:rPr>
          <w:lang w:val="fr-FR"/>
        </w:rPr>
        <w:t>ven</w:t>
      </w:r>
      <w:r w:rsidRPr="00976C24">
        <w:rPr>
          <w:lang w:val="fr-FR"/>
        </w:rPr>
        <w:t>t être menée</w:t>
      </w:r>
      <w:r>
        <w:rPr>
          <w:lang w:val="fr-FR"/>
        </w:rPr>
        <w:t>s</w:t>
      </w:r>
      <w:r w:rsidRPr="00976C24">
        <w:rPr>
          <w:lang w:val="fr-FR"/>
        </w:rPr>
        <w:t xml:space="preserve"> </w:t>
      </w:r>
      <w:r>
        <w:rPr>
          <w:lang w:val="fr-FR"/>
        </w:rPr>
        <w:t>avec la participation d</w:t>
      </w:r>
      <w:r w:rsidRPr="00976C24">
        <w:rPr>
          <w:lang w:val="fr-FR"/>
        </w:rPr>
        <w:t xml:space="preserve">es salariés et </w:t>
      </w:r>
      <w:r>
        <w:rPr>
          <w:lang w:val="fr-FR"/>
        </w:rPr>
        <w:t xml:space="preserve">de </w:t>
      </w:r>
      <w:r w:rsidRPr="00976C24">
        <w:rPr>
          <w:lang w:val="fr-FR"/>
        </w:rPr>
        <w:t xml:space="preserve">leurs représentants élus. </w:t>
      </w:r>
    </w:p>
    <w:p w:rsidR="00903547" w:rsidRPr="00976C24" w:rsidRDefault="00903547" w:rsidP="00354A36">
      <w:pPr>
        <w:pStyle w:val="SingleTxtG"/>
        <w:rPr>
          <w:lang w:val="fr-FR"/>
        </w:rPr>
      </w:pPr>
      <w:r>
        <w:rPr>
          <w:lang w:val="fr-FR"/>
        </w:rPr>
        <w:t>200.</w:t>
      </w:r>
      <w:r>
        <w:rPr>
          <w:lang w:val="fr-FR"/>
        </w:rPr>
        <w:tab/>
      </w:r>
      <w:r w:rsidRPr="00976C24">
        <w:rPr>
          <w:lang w:val="fr-FR"/>
        </w:rPr>
        <w:t>Les représen</w:t>
      </w:r>
      <w:r>
        <w:rPr>
          <w:lang w:val="fr-FR"/>
        </w:rPr>
        <w:t>tants HSE sont élus (art. </w:t>
      </w:r>
      <w:r w:rsidRPr="00976C24">
        <w:rPr>
          <w:lang w:val="fr-FR"/>
        </w:rPr>
        <w:t>6-1 de la loi sur l</w:t>
      </w:r>
      <w:r>
        <w:rPr>
          <w:lang w:val="fr-FR"/>
        </w:rPr>
        <w:t>’environnement de travail</w:t>
      </w:r>
      <w:r w:rsidRPr="00976C24">
        <w:rPr>
          <w:lang w:val="fr-FR"/>
        </w:rPr>
        <w:t xml:space="preserve">). Ils ont pour mission de défendre les intérêts des salariés </w:t>
      </w:r>
      <w:r>
        <w:rPr>
          <w:lang w:val="fr-FR"/>
        </w:rPr>
        <w:t>en matière d’environnement</w:t>
      </w:r>
      <w:r w:rsidRPr="00976C24">
        <w:rPr>
          <w:lang w:val="fr-FR"/>
        </w:rPr>
        <w:t xml:space="preserve"> de travail et d</w:t>
      </w:r>
      <w:r>
        <w:rPr>
          <w:lang w:val="fr-FR"/>
        </w:rPr>
        <w:t>e veiller à ce</w:t>
      </w:r>
      <w:r w:rsidRPr="00976C24">
        <w:rPr>
          <w:lang w:val="fr-FR"/>
        </w:rPr>
        <w:t xml:space="preserve"> que l’entreprise </w:t>
      </w:r>
      <w:r>
        <w:rPr>
          <w:lang w:val="fr-FR"/>
        </w:rPr>
        <w:t>soit</w:t>
      </w:r>
      <w:r w:rsidRPr="00976C24">
        <w:rPr>
          <w:lang w:val="fr-FR"/>
        </w:rPr>
        <w:t xml:space="preserve"> </w:t>
      </w:r>
      <w:r>
        <w:rPr>
          <w:lang w:val="fr-FR"/>
        </w:rPr>
        <w:t>organisée</w:t>
      </w:r>
      <w:r w:rsidRPr="00976C24">
        <w:rPr>
          <w:lang w:val="fr-FR"/>
        </w:rPr>
        <w:t xml:space="preserve"> et </w:t>
      </w:r>
      <w:r>
        <w:rPr>
          <w:lang w:val="fr-FR"/>
        </w:rPr>
        <w:t xml:space="preserve">gérée comme il se doit </w:t>
      </w:r>
      <w:r w:rsidRPr="00976C24">
        <w:rPr>
          <w:lang w:val="fr-FR"/>
        </w:rPr>
        <w:t xml:space="preserve">et que le </w:t>
      </w:r>
      <w:r>
        <w:rPr>
          <w:lang w:val="fr-FR"/>
        </w:rPr>
        <w:t xml:space="preserve">mode d’exécution du </w:t>
      </w:r>
      <w:r w:rsidRPr="00976C24">
        <w:rPr>
          <w:lang w:val="fr-FR"/>
        </w:rPr>
        <w:t xml:space="preserve">travail </w:t>
      </w:r>
      <w:r>
        <w:rPr>
          <w:lang w:val="fr-FR"/>
        </w:rPr>
        <w:t>protège</w:t>
      </w:r>
      <w:r w:rsidRPr="00976C24">
        <w:rPr>
          <w:lang w:val="fr-FR"/>
        </w:rPr>
        <w:t xml:space="preserve"> la sécurité, la santé et le bien-être des salariés conformément à la loi </w:t>
      </w:r>
      <w:r>
        <w:rPr>
          <w:lang w:val="fr-FR"/>
        </w:rPr>
        <w:t>y relative</w:t>
      </w:r>
      <w:r w:rsidRPr="00976C24">
        <w:rPr>
          <w:lang w:val="fr-FR"/>
        </w:rPr>
        <w:t xml:space="preserve">. </w:t>
      </w:r>
    </w:p>
    <w:p w:rsidR="00903547" w:rsidRPr="00976C24" w:rsidRDefault="00903547" w:rsidP="00354A36">
      <w:pPr>
        <w:pStyle w:val="SingleTxtG"/>
        <w:rPr>
          <w:lang w:val="fr-FR"/>
        </w:rPr>
      </w:pPr>
      <w:r>
        <w:rPr>
          <w:lang w:val="fr-FR"/>
        </w:rPr>
        <w:t>201.</w:t>
      </w:r>
      <w:r>
        <w:rPr>
          <w:lang w:val="fr-FR"/>
        </w:rPr>
        <w:tab/>
      </w:r>
      <w:r w:rsidRPr="00976C24">
        <w:rPr>
          <w:lang w:val="fr-FR"/>
        </w:rPr>
        <w:t xml:space="preserve">Les entreprises qui emploient régulièrement au moins 50 salariés doivent être dotées d’un comité chargé de l’environnement de travail </w:t>
      </w:r>
      <w:r>
        <w:rPr>
          <w:lang w:val="fr-FR"/>
        </w:rPr>
        <w:t>constitué de</w:t>
      </w:r>
      <w:r w:rsidRPr="00976C24">
        <w:rPr>
          <w:lang w:val="fr-FR"/>
        </w:rPr>
        <w:t xml:space="preserve"> l’employeur, </w:t>
      </w:r>
      <w:r>
        <w:rPr>
          <w:lang w:val="fr-FR"/>
        </w:rPr>
        <w:t>d</w:t>
      </w:r>
      <w:r w:rsidRPr="00976C24">
        <w:rPr>
          <w:lang w:val="fr-FR"/>
        </w:rPr>
        <w:t xml:space="preserve">e </w:t>
      </w:r>
      <w:r>
        <w:rPr>
          <w:lang w:val="fr-FR"/>
        </w:rPr>
        <w:t>salariés et des représentants</w:t>
      </w:r>
      <w:r w:rsidRPr="00976C24">
        <w:rPr>
          <w:lang w:val="fr-FR"/>
        </w:rPr>
        <w:t xml:space="preserve"> HSE (loi sur l’e</w:t>
      </w:r>
      <w:r>
        <w:rPr>
          <w:lang w:val="fr-FR"/>
        </w:rPr>
        <w:t>nvironnement de travail, art. </w:t>
      </w:r>
      <w:r w:rsidRPr="00976C24">
        <w:rPr>
          <w:lang w:val="fr-FR"/>
        </w:rPr>
        <w:t xml:space="preserve">7-1). </w:t>
      </w:r>
      <w:r>
        <w:rPr>
          <w:lang w:val="fr-FR"/>
        </w:rPr>
        <w:t xml:space="preserve">Il appartient notamment au comité </w:t>
      </w:r>
      <w:r w:rsidRPr="00976C24">
        <w:rPr>
          <w:lang w:val="fr-FR"/>
        </w:rPr>
        <w:t xml:space="preserve">de </w:t>
      </w:r>
      <w:r>
        <w:rPr>
          <w:lang w:val="fr-FR"/>
        </w:rPr>
        <w:t>tout mettre en œuvre pour</w:t>
      </w:r>
      <w:r w:rsidRPr="00976C24">
        <w:rPr>
          <w:lang w:val="fr-FR"/>
        </w:rPr>
        <w:t xml:space="preserve"> créer un </w:t>
      </w:r>
      <w:r>
        <w:rPr>
          <w:lang w:val="fr-FR"/>
        </w:rPr>
        <w:t>environnement de travail</w:t>
      </w:r>
      <w:r w:rsidRPr="00976C24">
        <w:rPr>
          <w:lang w:val="fr-FR"/>
        </w:rPr>
        <w:t xml:space="preserve"> pleinement satisfaisant au sein de l’entreprise. </w:t>
      </w:r>
    </w:p>
    <w:p w:rsidR="00903547" w:rsidRPr="00976C24" w:rsidRDefault="00903547" w:rsidP="00354A36">
      <w:pPr>
        <w:pStyle w:val="SingleTxtG"/>
        <w:rPr>
          <w:bCs/>
          <w:lang w:val="fr-FR"/>
        </w:rPr>
      </w:pPr>
      <w:r>
        <w:rPr>
          <w:lang w:val="fr-FR"/>
        </w:rPr>
        <w:t>202.</w:t>
      </w:r>
      <w:r>
        <w:rPr>
          <w:lang w:val="fr-FR"/>
        </w:rPr>
        <w:tab/>
      </w:r>
      <w:r w:rsidRPr="00976C24">
        <w:rPr>
          <w:lang w:val="fr-FR"/>
        </w:rPr>
        <w:t xml:space="preserve">L’Inspection du travail est </w:t>
      </w:r>
      <w:r>
        <w:rPr>
          <w:lang w:val="fr-FR"/>
        </w:rPr>
        <w:t>chargée</w:t>
      </w:r>
      <w:r w:rsidRPr="00976C24">
        <w:rPr>
          <w:lang w:val="fr-FR"/>
        </w:rPr>
        <w:t xml:space="preserve"> du contrôle de la conformité </w:t>
      </w:r>
      <w:r>
        <w:rPr>
          <w:lang w:val="fr-FR"/>
        </w:rPr>
        <w:t>aux</w:t>
      </w:r>
      <w:r w:rsidRPr="00976C24">
        <w:rPr>
          <w:lang w:val="fr-FR"/>
        </w:rPr>
        <w:t xml:space="preserve"> dispositions de la loi sur l’environnement de travail</w:t>
      </w:r>
      <w:r>
        <w:rPr>
          <w:lang w:val="fr-FR"/>
        </w:rPr>
        <w:t>, qui</w:t>
      </w:r>
      <w:r w:rsidRPr="00976C24">
        <w:rPr>
          <w:lang w:val="fr-FR"/>
        </w:rPr>
        <w:t xml:space="preserve"> repose essentiellement sur une évaluation du risque, c’est-à-dire sur une é</w:t>
      </w:r>
      <w:r>
        <w:rPr>
          <w:lang w:val="fr-FR"/>
        </w:rPr>
        <w:t>valuation approfondie</w:t>
      </w:r>
      <w:r w:rsidRPr="00976C24">
        <w:rPr>
          <w:lang w:val="fr-FR"/>
        </w:rPr>
        <w:t xml:space="preserve"> des entreprises qui </w:t>
      </w:r>
      <w:r>
        <w:rPr>
          <w:lang w:val="fr-FR"/>
        </w:rPr>
        <w:t>risquent d’être à l’origine de</w:t>
      </w:r>
      <w:r w:rsidRPr="00976C24">
        <w:rPr>
          <w:lang w:val="fr-FR"/>
        </w:rPr>
        <w:t xml:space="preserve"> problèmes de santé et d’accidents. Le contrôle vise également les entreprises </w:t>
      </w:r>
      <w:r>
        <w:rPr>
          <w:lang w:val="fr-FR"/>
        </w:rPr>
        <w:t>q</w:t>
      </w:r>
      <w:r w:rsidRPr="00976C24">
        <w:rPr>
          <w:lang w:val="fr-FR"/>
        </w:rPr>
        <w:t>ui o</w:t>
      </w:r>
      <w:r>
        <w:rPr>
          <w:lang w:val="fr-FR"/>
        </w:rPr>
        <w:t>ffre</w:t>
      </w:r>
      <w:r w:rsidRPr="00976C24">
        <w:rPr>
          <w:lang w:val="fr-FR"/>
        </w:rPr>
        <w:t xml:space="preserve">nt les conditions de travail les </w:t>
      </w:r>
      <w:r>
        <w:rPr>
          <w:lang w:val="fr-FR"/>
        </w:rPr>
        <w:t>plus difficiles</w:t>
      </w:r>
      <w:r w:rsidRPr="00976C24">
        <w:rPr>
          <w:lang w:val="fr-FR"/>
        </w:rPr>
        <w:t xml:space="preserve">, </w:t>
      </w:r>
      <w:r>
        <w:rPr>
          <w:lang w:val="fr-FR"/>
        </w:rPr>
        <w:t>qui sont</w:t>
      </w:r>
      <w:r w:rsidRPr="00976C24">
        <w:rPr>
          <w:lang w:val="fr-FR"/>
        </w:rPr>
        <w:t xml:space="preserve"> peu disposé</w:t>
      </w:r>
      <w:r>
        <w:rPr>
          <w:lang w:val="fr-FR"/>
        </w:rPr>
        <w:t>es</w:t>
      </w:r>
      <w:r w:rsidRPr="00976C24">
        <w:rPr>
          <w:lang w:val="fr-FR"/>
        </w:rPr>
        <w:t xml:space="preserve"> à remédier aux problèmes et </w:t>
      </w:r>
      <w:r>
        <w:rPr>
          <w:lang w:val="fr-FR"/>
        </w:rPr>
        <w:t xml:space="preserve">où </w:t>
      </w:r>
      <w:r w:rsidRPr="00976C24">
        <w:rPr>
          <w:lang w:val="fr-FR"/>
        </w:rPr>
        <w:t>l’action de</w:t>
      </w:r>
      <w:r>
        <w:rPr>
          <w:lang w:val="fr-FR"/>
        </w:rPr>
        <w:t>s autorités</w:t>
      </w:r>
      <w:r w:rsidRPr="00976C24">
        <w:rPr>
          <w:lang w:val="fr-FR"/>
        </w:rPr>
        <w:t xml:space="preserve"> aura </w:t>
      </w:r>
      <w:r>
        <w:rPr>
          <w:lang w:val="fr-FR"/>
        </w:rPr>
        <w:t>l’impact le plus fort</w:t>
      </w:r>
      <w:r w:rsidRPr="00976C24">
        <w:rPr>
          <w:lang w:val="fr-FR"/>
        </w:rPr>
        <w:t xml:space="preserve">. Les méthodes de contrôle sont fondées sur des audits internes, </w:t>
      </w:r>
      <w:r>
        <w:rPr>
          <w:lang w:val="fr-FR"/>
        </w:rPr>
        <w:t xml:space="preserve">des </w:t>
      </w:r>
      <w:r w:rsidRPr="00976C24">
        <w:rPr>
          <w:bCs/>
          <w:lang w:val="fr-FR"/>
        </w:rPr>
        <w:t xml:space="preserve">vérifications/inspections, </w:t>
      </w:r>
      <w:r>
        <w:rPr>
          <w:bCs/>
          <w:lang w:val="fr-FR"/>
        </w:rPr>
        <w:t xml:space="preserve">des </w:t>
      </w:r>
      <w:r w:rsidRPr="00976C24">
        <w:rPr>
          <w:bCs/>
          <w:lang w:val="fr-FR"/>
        </w:rPr>
        <w:t>enquête</w:t>
      </w:r>
      <w:r>
        <w:rPr>
          <w:bCs/>
          <w:lang w:val="fr-FR"/>
        </w:rPr>
        <w:t>s</w:t>
      </w:r>
      <w:r w:rsidRPr="00976C24">
        <w:rPr>
          <w:bCs/>
          <w:lang w:val="fr-FR"/>
        </w:rPr>
        <w:t xml:space="preserve"> sur les accidents, </w:t>
      </w:r>
      <w:r>
        <w:rPr>
          <w:bCs/>
          <w:lang w:val="fr-FR"/>
        </w:rPr>
        <w:t>des recommandations et des indications</w:t>
      </w:r>
      <w:r w:rsidRPr="00976C24">
        <w:rPr>
          <w:bCs/>
          <w:lang w:val="fr-FR"/>
        </w:rPr>
        <w:t xml:space="preserve">. Des informations plus détaillées sur l’Inspection du travail figurent dans le dernier rapport du Gouvernement sur </w:t>
      </w:r>
      <w:r>
        <w:rPr>
          <w:bCs/>
          <w:lang w:val="fr-FR"/>
        </w:rPr>
        <w:t>l’application de la Convention n</w:t>
      </w:r>
      <w:r w:rsidRPr="000A7EEA">
        <w:rPr>
          <w:bCs/>
          <w:vertAlign w:val="superscript"/>
          <w:lang w:val="fr-FR"/>
        </w:rPr>
        <w:t>o</w:t>
      </w:r>
      <w:r>
        <w:rPr>
          <w:bCs/>
          <w:lang w:val="fr-FR"/>
        </w:rPr>
        <w:t> </w:t>
      </w:r>
      <w:r w:rsidRPr="00976C24">
        <w:rPr>
          <w:bCs/>
          <w:lang w:val="fr-FR"/>
        </w:rPr>
        <w:t xml:space="preserve">81 de l’OIT </w:t>
      </w:r>
      <w:r>
        <w:rPr>
          <w:bCs/>
          <w:lang w:val="fr-FR"/>
        </w:rPr>
        <w:t>concernant</w:t>
      </w:r>
      <w:r w:rsidRPr="00976C24">
        <w:rPr>
          <w:bCs/>
          <w:lang w:val="fr-FR"/>
        </w:rPr>
        <w:t xml:space="preserve"> l’inspection du travail dans l’industrie et le commerce. </w:t>
      </w:r>
    </w:p>
    <w:p w:rsidR="00903547" w:rsidRPr="00976C24" w:rsidRDefault="00903547" w:rsidP="0071086E">
      <w:pPr>
        <w:pStyle w:val="H1G"/>
        <w:rPr>
          <w:lang w:val="fr-FR"/>
        </w:rPr>
      </w:pPr>
      <w:bookmarkStart w:id="54" w:name="_Toc265062227"/>
      <w:r w:rsidRPr="00976C24">
        <w:rPr>
          <w:lang w:val="fr-FR"/>
        </w:rPr>
        <w:tab/>
      </w:r>
      <w:r w:rsidRPr="00976C24">
        <w:rPr>
          <w:lang w:val="fr-FR"/>
        </w:rPr>
        <w:tab/>
      </w:r>
      <w:bookmarkStart w:id="55" w:name="_Toc286326374"/>
      <w:r>
        <w:rPr>
          <w:lang w:val="fr-FR"/>
        </w:rPr>
        <w:t>Article 8</w:t>
      </w:r>
      <w:r>
        <w:rPr>
          <w:lang w:val="fr-FR"/>
        </w:rPr>
        <w:br/>
      </w:r>
      <w:r w:rsidRPr="00976C24">
        <w:rPr>
          <w:lang w:val="fr-FR"/>
        </w:rPr>
        <w:t>Droit de former des syndicats et de s’y affilier</w:t>
      </w:r>
      <w:bookmarkEnd w:id="54"/>
      <w:bookmarkEnd w:id="55"/>
    </w:p>
    <w:p w:rsidR="00903547" w:rsidRPr="00976C24" w:rsidRDefault="00903547" w:rsidP="0071086E">
      <w:pPr>
        <w:pStyle w:val="H23G"/>
        <w:rPr>
          <w:bCs/>
          <w:i/>
          <w:iCs/>
          <w:lang w:val="fr-FR"/>
        </w:rPr>
      </w:pPr>
      <w:r w:rsidRPr="00976C24">
        <w:rPr>
          <w:lang w:val="fr-FR"/>
        </w:rPr>
        <w:tab/>
      </w:r>
      <w:r w:rsidRPr="00976C24">
        <w:rPr>
          <w:bCs/>
          <w:i/>
          <w:iCs/>
          <w:lang w:val="fr-FR"/>
        </w:rPr>
        <w:tab/>
      </w:r>
      <w:r w:rsidRPr="00976C24">
        <w:rPr>
          <w:bCs/>
          <w:iCs/>
          <w:lang w:val="fr-FR"/>
        </w:rPr>
        <w:t xml:space="preserve">Informations concernant le droit de former des syndicats et de s’y affilier </w:t>
      </w:r>
      <w:r w:rsidRPr="00976C24">
        <w:rPr>
          <w:lang w:val="fr-FR"/>
        </w:rPr>
        <w:t>(</w:t>
      </w:r>
      <w:r w:rsidRPr="00976C24">
        <w:rPr>
          <w:rFonts w:ascii="Times New Roman Bold" w:hAnsi="Times New Roman Bold"/>
          <w:spacing w:val="-2"/>
          <w:lang w:val="fr-FR"/>
        </w:rPr>
        <w:t>E/2009/22-E/C.12/2008/3, annexe VIII, paras.</w:t>
      </w:r>
      <w:r>
        <w:rPr>
          <w:rFonts w:ascii="Times New Roman Bold" w:hAnsi="Times New Roman Bold"/>
          <w:spacing w:val="-2"/>
          <w:lang w:val="fr-FR"/>
        </w:rPr>
        <w:t> </w:t>
      </w:r>
      <w:r w:rsidRPr="00976C24">
        <w:rPr>
          <w:rFonts w:ascii="Times New Roman Bold" w:hAnsi="Times New Roman Bold"/>
          <w:spacing w:val="-2"/>
          <w:lang w:val="fr-FR"/>
        </w:rPr>
        <w:t>24</w:t>
      </w:r>
      <w:r>
        <w:rPr>
          <w:rFonts w:ascii="Times New Roman Bold" w:hAnsi="Times New Roman Bold"/>
          <w:spacing w:val="-2"/>
          <w:lang w:val="fr-FR"/>
        </w:rPr>
        <w:t>-</w:t>
      </w:r>
      <w:r w:rsidRPr="00976C24">
        <w:rPr>
          <w:rFonts w:ascii="Times New Roman Bold" w:hAnsi="Times New Roman Bold"/>
          <w:spacing w:val="-2"/>
          <w:lang w:val="fr-FR"/>
        </w:rPr>
        <w:t>26)</w:t>
      </w:r>
    </w:p>
    <w:p w:rsidR="00903547" w:rsidRPr="00976C24" w:rsidRDefault="00903547" w:rsidP="00354A36">
      <w:pPr>
        <w:pStyle w:val="SingleTxtG"/>
        <w:rPr>
          <w:lang w:val="fr-FR"/>
        </w:rPr>
      </w:pPr>
      <w:r>
        <w:rPr>
          <w:lang w:val="fr-FR"/>
        </w:rPr>
        <w:t>203.</w:t>
      </w:r>
      <w:r>
        <w:rPr>
          <w:lang w:val="fr-FR"/>
        </w:rPr>
        <w:tab/>
      </w:r>
      <w:r w:rsidRPr="00976C24">
        <w:rPr>
          <w:lang w:val="fr-FR"/>
        </w:rPr>
        <w:t xml:space="preserve">Le Comité pourra se reporter aux rapports du Gouvernement norvégien sur </w:t>
      </w:r>
      <w:r>
        <w:rPr>
          <w:lang w:val="fr-FR"/>
        </w:rPr>
        <w:t>l’application de la Convention n</w:t>
      </w:r>
      <w:r w:rsidRPr="000A7EEA">
        <w:rPr>
          <w:vertAlign w:val="superscript"/>
          <w:lang w:val="fr-FR"/>
        </w:rPr>
        <w:t>o</w:t>
      </w:r>
      <w:r>
        <w:rPr>
          <w:lang w:val="fr-FR"/>
        </w:rPr>
        <w:t> </w:t>
      </w:r>
      <w:r w:rsidRPr="00976C24">
        <w:rPr>
          <w:lang w:val="fr-FR"/>
        </w:rPr>
        <w:t>87 de l’OIT sur la liberté syndicale et la protection du droi</w:t>
      </w:r>
      <w:r>
        <w:rPr>
          <w:lang w:val="fr-FR"/>
        </w:rPr>
        <w:t>t syndical et de la Convention n</w:t>
      </w:r>
      <w:r w:rsidRPr="000A7EEA">
        <w:rPr>
          <w:vertAlign w:val="superscript"/>
          <w:lang w:val="fr-FR"/>
        </w:rPr>
        <w:t>o</w:t>
      </w:r>
      <w:r>
        <w:rPr>
          <w:lang w:val="fr-FR"/>
        </w:rPr>
        <w:t> </w:t>
      </w:r>
      <w:r w:rsidRPr="00976C24">
        <w:rPr>
          <w:lang w:val="fr-FR"/>
        </w:rPr>
        <w:t>98 sur le droit d’organisation et de négociation collective.</w:t>
      </w:r>
    </w:p>
    <w:p w:rsidR="00903547" w:rsidRPr="00976C24" w:rsidRDefault="00903547" w:rsidP="0071086E">
      <w:pPr>
        <w:pStyle w:val="H1G"/>
        <w:rPr>
          <w:lang w:val="fr-FR"/>
        </w:rPr>
      </w:pPr>
      <w:bookmarkStart w:id="56" w:name="_Toc265062228"/>
      <w:r w:rsidRPr="00976C24">
        <w:rPr>
          <w:lang w:val="fr-FR"/>
        </w:rPr>
        <w:tab/>
      </w:r>
      <w:r w:rsidRPr="00976C24">
        <w:rPr>
          <w:lang w:val="fr-FR"/>
        </w:rPr>
        <w:tab/>
      </w:r>
      <w:bookmarkStart w:id="57" w:name="_Toc286326375"/>
      <w:r>
        <w:rPr>
          <w:lang w:val="fr-FR"/>
        </w:rPr>
        <w:t>Article 9</w:t>
      </w:r>
      <w:r>
        <w:rPr>
          <w:lang w:val="fr-FR"/>
        </w:rPr>
        <w:br/>
      </w:r>
      <w:r w:rsidRPr="00976C24">
        <w:rPr>
          <w:lang w:val="fr-FR"/>
        </w:rPr>
        <w:t>Droit à la sécurité sociale</w:t>
      </w:r>
      <w:bookmarkEnd w:id="56"/>
      <w:bookmarkEnd w:id="57"/>
    </w:p>
    <w:p w:rsidR="00903547" w:rsidRPr="00976C24" w:rsidRDefault="00903547" w:rsidP="0071086E">
      <w:pPr>
        <w:pStyle w:val="H23G"/>
        <w:rPr>
          <w:lang w:val="fr-FR"/>
        </w:rPr>
      </w:pPr>
      <w:r w:rsidRPr="00976C24">
        <w:rPr>
          <w:lang w:val="fr-FR"/>
        </w:rPr>
        <w:tab/>
        <w:t>1.</w:t>
      </w:r>
      <w:r w:rsidRPr="00976C24">
        <w:rPr>
          <w:lang w:val="fr-FR"/>
        </w:rPr>
        <w:tab/>
        <w:t>Système de sécurité sociale de couverture universelle dans l’</w:t>
      </w:r>
      <w:r>
        <w:rPr>
          <w:lang w:val="fr-FR"/>
        </w:rPr>
        <w:t>État</w:t>
      </w:r>
      <w:r w:rsidRPr="00976C24">
        <w:rPr>
          <w:lang w:val="fr-FR"/>
        </w:rPr>
        <w:t xml:space="preserve"> partie</w:t>
      </w:r>
      <w:r>
        <w:rPr>
          <w:lang w:val="fr-FR"/>
        </w:rPr>
        <w:t>;</w:t>
      </w:r>
      <w:r w:rsidRPr="00976C24">
        <w:rPr>
          <w:lang w:val="fr-FR"/>
        </w:rPr>
        <w:t xml:space="preserve"> branches de la sécurité sociale concernées (E/2009/22-E/C.12/2008/3, annexe VIII, par.</w:t>
      </w:r>
      <w:r>
        <w:rPr>
          <w:lang w:val="fr-FR"/>
        </w:rPr>
        <w:t> </w:t>
      </w:r>
      <w:r w:rsidRPr="00976C24">
        <w:rPr>
          <w:lang w:val="fr-FR"/>
        </w:rPr>
        <w:t>27)</w:t>
      </w:r>
    </w:p>
    <w:p w:rsidR="00903547" w:rsidRPr="00976C24" w:rsidRDefault="00903547" w:rsidP="00354A36">
      <w:pPr>
        <w:pStyle w:val="SingleTxtG"/>
        <w:rPr>
          <w:lang w:val="fr-FR"/>
        </w:rPr>
      </w:pPr>
      <w:r>
        <w:rPr>
          <w:lang w:val="fr-FR"/>
        </w:rPr>
        <w:t>204.</w:t>
      </w:r>
      <w:r>
        <w:rPr>
          <w:lang w:val="fr-FR"/>
        </w:rPr>
        <w:tab/>
      </w:r>
      <w:r w:rsidRPr="00976C24">
        <w:rPr>
          <w:lang w:val="fr-FR"/>
        </w:rPr>
        <w:t xml:space="preserve">Le Comité pourra se reporter au </w:t>
      </w:r>
      <w:r>
        <w:rPr>
          <w:lang w:val="fr-FR"/>
        </w:rPr>
        <w:t xml:space="preserve">chapitre 4 du </w:t>
      </w:r>
      <w:r w:rsidRPr="00976C24">
        <w:rPr>
          <w:lang w:val="fr-FR"/>
        </w:rPr>
        <w:t>document de base commun concernant le régime d’assurance national ainsi qu’au dernier rapport de la Norvège sur l</w:t>
      </w:r>
      <w:r>
        <w:rPr>
          <w:lang w:val="fr-FR"/>
        </w:rPr>
        <w:t>’application de la Convention n</w:t>
      </w:r>
      <w:r w:rsidRPr="000A7EEA">
        <w:rPr>
          <w:vertAlign w:val="superscript"/>
          <w:lang w:val="fr-FR"/>
        </w:rPr>
        <w:t>o</w:t>
      </w:r>
      <w:r>
        <w:rPr>
          <w:lang w:val="fr-FR"/>
        </w:rPr>
        <w:t> </w:t>
      </w:r>
      <w:r w:rsidRPr="00976C24">
        <w:rPr>
          <w:lang w:val="fr-FR"/>
        </w:rPr>
        <w:t>102 de l’OIT.</w:t>
      </w:r>
    </w:p>
    <w:p w:rsidR="00903547" w:rsidRPr="00976C24" w:rsidRDefault="00903547" w:rsidP="00354A36">
      <w:pPr>
        <w:pStyle w:val="SingleTxtG"/>
        <w:rPr>
          <w:lang w:val="fr-FR"/>
        </w:rPr>
      </w:pPr>
      <w:r>
        <w:rPr>
          <w:lang w:val="fr-FR"/>
        </w:rPr>
        <w:t>205.</w:t>
      </w:r>
      <w:r>
        <w:rPr>
          <w:lang w:val="fr-FR"/>
        </w:rPr>
        <w:tab/>
      </w:r>
      <w:r w:rsidRPr="00976C24">
        <w:rPr>
          <w:lang w:val="fr-FR"/>
        </w:rPr>
        <w:t xml:space="preserve">En Norvège, le cadre juridique des services de santé publique vise à garantir à </w:t>
      </w:r>
      <w:r>
        <w:rPr>
          <w:lang w:val="fr-FR"/>
        </w:rPr>
        <w:t>tous</w:t>
      </w:r>
      <w:r w:rsidRPr="00976C24">
        <w:rPr>
          <w:lang w:val="fr-FR"/>
        </w:rPr>
        <w:t xml:space="preserve"> </w:t>
      </w:r>
      <w:r>
        <w:rPr>
          <w:lang w:val="fr-FR"/>
        </w:rPr>
        <w:t>des</w:t>
      </w:r>
      <w:r w:rsidRPr="00976C24">
        <w:rPr>
          <w:lang w:val="fr-FR"/>
        </w:rPr>
        <w:t xml:space="preserve"> services </w:t>
      </w:r>
      <w:r>
        <w:rPr>
          <w:lang w:val="fr-FR"/>
        </w:rPr>
        <w:t xml:space="preserve">de santé </w:t>
      </w:r>
      <w:r w:rsidRPr="00976C24">
        <w:rPr>
          <w:lang w:val="fr-FR"/>
        </w:rPr>
        <w:t xml:space="preserve">professionnels </w:t>
      </w:r>
      <w:r>
        <w:rPr>
          <w:lang w:val="fr-FR"/>
        </w:rPr>
        <w:t>dans des conditions d’</w:t>
      </w:r>
      <w:r w:rsidRPr="00976C24">
        <w:rPr>
          <w:lang w:val="fr-FR"/>
        </w:rPr>
        <w:t xml:space="preserve">égalité, sans </w:t>
      </w:r>
      <w:r>
        <w:rPr>
          <w:lang w:val="fr-FR"/>
        </w:rPr>
        <w:t>considération du sexe</w:t>
      </w:r>
      <w:r w:rsidRPr="00976C24">
        <w:rPr>
          <w:lang w:val="fr-FR"/>
        </w:rPr>
        <w:t>, d</w:t>
      </w:r>
      <w:r>
        <w:rPr>
          <w:lang w:val="fr-FR"/>
        </w:rPr>
        <w:t>e l’âge, du type de maladie, du lieu de résidence ou du</w:t>
      </w:r>
      <w:r w:rsidRPr="00976C24">
        <w:rPr>
          <w:lang w:val="fr-FR"/>
        </w:rPr>
        <w:t xml:space="preserve"> niveau de revenu. Les résidents norvégiens ont </w:t>
      </w:r>
      <w:r>
        <w:rPr>
          <w:lang w:val="fr-FR"/>
        </w:rPr>
        <w:t>un accès gratuit</w:t>
      </w:r>
      <w:r w:rsidRPr="00976C24">
        <w:rPr>
          <w:lang w:val="fr-FR"/>
        </w:rPr>
        <w:t xml:space="preserve"> aux services de santé publics, y compris les services de santé primaires et spécialisés.</w:t>
      </w:r>
    </w:p>
    <w:p w:rsidR="00903547" w:rsidRPr="00976C24" w:rsidRDefault="00903547" w:rsidP="00354A36">
      <w:pPr>
        <w:pStyle w:val="SingleTxtG"/>
        <w:rPr>
          <w:lang w:val="fr-FR"/>
        </w:rPr>
      </w:pPr>
      <w:r>
        <w:rPr>
          <w:lang w:val="fr-FR"/>
        </w:rPr>
        <w:t>206.</w:t>
      </w:r>
      <w:r>
        <w:rPr>
          <w:lang w:val="fr-FR"/>
        </w:rPr>
        <w:tab/>
      </w:r>
      <w:r w:rsidRPr="00976C24">
        <w:rPr>
          <w:lang w:val="fr-FR"/>
        </w:rPr>
        <w:t>Le Comité pourra se reporter au</w:t>
      </w:r>
      <w:r>
        <w:rPr>
          <w:lang w:val="fr-FR"/>
        </w:rPr>
        <w:t xml:space="preserve">x paragraphes 214 à </w:t>
      </w:r>
      <w:r w:rsidRPr="00976C24">
        <w:rPr>
          <w:lang w:val="fr-FR"/>
        </w:rPr>
        <w:t>221</w:t>
      </w:r>
      <w:r>
        <w:rPr>
          <w:lang w:val="fr-FR"/>
        </w:rPr>
        <w:t xml:space="preserve"> du </w:t>
      </w:r>
      <w:r w:rsidRPr="00976C24">
        <w:rPr>
          <w:lang w:val="fr-FR"/>
        </w:rPr>
        <w:t xml:space="preserve">quatrième rapport périodique de la Norvège </w:t>
      </w:r>
      <w:r>
        <w:rPr>
          <w:lang w:val="fr-FR"/>
        </w:rPr>
        <w:t xml:space="preserve">soumis </w:t>
      </w:r>
      <w:r w:rsidRPr="00976C24">
        <w:rPr>
          <w:lang w:val="fr-FR"/>
        </w:rPr>
        <w:t>a</w:t>
      </w:r>
      <w:r>
        <w:rPr>
          <w:lang w:val="fr-FR"/>
        </w:rPr>
        <w:t>u Comité des droits de l’enfant, relatifs au</w:t>
      </w:r>
      <w:r w:rsidRPr="00976C24">
        <w:rPr>
          <w:lang w:val="fr-FR"/>
        </w:rPr>
        <w:t xml:space="preserve"> </w:t>
      </w:r>
      <w:r>
        <w:rPr>
          <w:lang w:val="fr-FR"/>
        </w:rPr>
        <w:t>versement</w:t>
      </w:r>
      <w:r w:rsidRPr="00976C24">
        <w:rPr>
          <w:lang w:val="fr-FR"/>
        </w:rPr>
        <w:t xml:space="preserve"> des pensions alimentaire</w:t>
      </w:r>
      <w:r>
        <w:rPr>
          <w:lang w:val="fr-FR"/>
        </w:rPr>
        <w:t xml:space="preserve">s, ainsi qu’aux paragraphes 333 à </w:t>
      </w:r>
      <w:r w:rsidRPr="00976C24">
        <w:rPr>
          <w:lang w:val="fr-FR"/>
        </w:rPr>
        <w:t xml:space="preserve">339 </w:t>
      </w:r>
      <w:r>
        <w:rPr>
          <w:lang w:val="fr-FR"/>
        </w:rPr>
        <w:t>concernant les services de</w:t>
      </w:r>
      <w:r w:rsidRPr="00976C24">
        <w:rPr>
          <w:lang w:val="fr-FR"/>
        </w:rPr>
        <w:t xml:space="preserve"> sécurité sociale et de garde d’enfants.</w:t>
      </w:r>
    </w:p>
    <w:p w:rsidR="00903547" w:rsidRPr="00976C24" w:rsidRDefault="00903547" w:rsidP="00354A36">
      <w:pPr>
        <w:pStyle w:val="SingleTxtG"/>
        <w:rPr>
          <w:lang w:val="fr-FR"/>
        </w:rPr>
      </w:pPr>
      <w:r>
        <w:rPr>
          <w:lang w:val="fr-FR"/>
        </w:rPr>
        <w:t>207.</w:t>
      </w:r>
      <w:r>
        <w:rPr>
          <w:lang w:val="fr-FR"/>
        </w:rPr>
        <w:tab/>
      </w:r>
      <w:r w:rsidRPr="00976C24">
        <w:rPr>
          <w:lang w:val="fr-FR"/>
        </w:rPr>
        <w:t>Le Comité pourra également se reporter au paragraphe 48</w:t>
      </w:r>
      <w:r>
        <w:rPr>
          <w:lang w:val="fr-FR"/>
        </w:rPr>
        <w:t xml:space="preserve"> du </w:t>
      </w:r>
      <w:r w:rsidRPr="00976C24">
        <w:rPr>
          <w:lang w:val="fr-FR"/>
        </w:rPr>
        <w:t xml:space="preserve">document de base commun et à </w:t>
      </w:r>
      <w:r>
        <w:rPr>
          <w:lang w:val="fr-FR"/>
        </w:rPr>
        <w:t>l’</w:t>
      </w:r>
      <w:r w:rsidRPr="00976C24">
        <w:rPr>
          <w:lang w:val="fr-FR"/>
        </w:rPr>
        <w:t>article 9.3</w:t>
      </w:r>
      <w:r>
        <w:rPr>
          <w:lang w:val="fr-FR"/>
        </w:rPr>
        <w:t xml:space="preserve"> de l’étude intitulée «</w:t>
      </w:r>
      <w:r w:rsidRPr="00976C24">
        <w:rPr>
          <w:lang w:val="fr-FR"/>
        </w:rPr>
        <w:t xml:space="preserve">Le régime d’assurance </w:t>
      </w:r>
      <w:r>
        <w:rPr>
          <w:lang w:val="fr-FR"/>
        </w:rPr>
        <w:t xml:space="preserve">sociale </w:t>
      </w:r>
      <w:r w:rsidRPr="00976C24">
        <w:rPr>
          <w:lang w:val="fr-FR"/>
        </w:rPr>
        <w:t xml:space="preserve">norvégien </w:t>
      </w:r>
      <w:r>
        <w:rPr>
          <w:lang w:val="fr-FR"/>
        </w:rPr>
        <w:t>en 2010»</w:t>
      </w:r>
      <w:r w:rsidRPr="00976C24">
        <w:rPr>
          <w:lang w:val="fr-FR"/>
        </w:rPr>
        <w:t xml:space="preserve"> </w:t>
      </w:r>
      <w:r>
        <w:rPr>
          <w:lang w:val="fr-FR"/>
        </w:rPr>
        <w:t>concernant</w:t>
      </w:r>
      <w:r w:rsidRPr="00976C24">
        <w:rPr>
          <w:lang w:val="fr-FR"/>
        </w:rPr>
        <w:t xml:space="preserve"> les prestations en espèces dans les</w:t>
      </w:r>
      <w:r>
        <w:rPr>
          <w:lang w:val="fr-FR"/>
        </w:rPr>
        <w:t xml:space="preserve"> cas de maternité et d’adoption</w:t>
      </w:r>
      <w:r w:rsidRPr="00976C24">
        <w:rPr>
          <w:rStyle w:val="FootnoteReference"/>
          <w:lang w:val="fr-FR"/>
        </w:rPr>
        <w:footnoteReference w:id="10"/>
      </w:r>
      <w:r>
        <w:rPr>
          <w:lang w:val="fr-FR"/>
        </w:rPr>
        <w:t>.</w:t>
      </w:r>
    </w:p>
    <w:p w:rsidR="00903547" w:rsidRPr="00976C24" w:rsidRDefault="00903547" w:rsidP="0071086E">
      <w:pPr>
        <w:pStyle w:val="H23G"/>
        <w:rPr>
          <w:lang w:val="fr-FR"/>
        </w:rPr>
      </w:pPr>
      <w:r w:rsidRPr="00976C24">
        <w:rPr>
          <w:lang w:val="fr-FR"/>
        </w:rPr>
        <w:tab/>
        <w:t>2.</w:t>
      </w:r>
      <w:r w:rsidRPr="00976C24">
        <w:rPr>
          <w:lang w:val="fr-FR"/>
        </w:rPr>
        <w:tab/>
        <w:t>Montant minimal de prestations fixé par la loi et révisé à intervalles réguliers, notamment en ce qui concerne les pensions (E/2009/22-E/C.12/2008/3, annexe VIII, par.</w:t>
      </w:r>
      <w:r>
        <w:rPr>
          <w:lang w:val="fr-FR"/>
        </w:rPr>
        <w:t> </w:t>
      </w:r>
      <w:r w:rsidRPr="00976C24">
        <w:rPr>
          <w:lang w:val="fr-FR"/>
        </w:rPr>
        <w:t>28)</w:t>
      </w:r>
    </w:p>
    <w:p w:rsidR="00903547" w:rsidRPr="00976C24" w:rsidRDefault="00903547" w:rsidP="00354A36">
      <w:pPr>
        <w:pStyle w:val="SingleTxtG"/>
        <w:rPr>
          <w:lang w:val="fr-FR"/>
        </w:rPr>
      </w:pPr>
      <w:r>
        <w:rPr>
          <w:lang w:val="fr-FR"/>
        </w:rPr>
        <w:t>208.</w:t>
      </w:r>
      <w:r>
        <w:rPr>
          <w:lang w:val="fr-FR"/>
        </w:rPr>
        <w:tab/>
      </w:r>
      <w:r w:rsidRPr="00976C24">
        <w:rPr>
          <w:lang w:val="fr-FR"/>
        </w:rPr>
        <w:t>Le Comité pourra se reporter au</w:t>
      </w:r>
      <w:r>
        <w:rPr>
          <w:lang w:val="fr-FR"/>
        </w:rPr>
        <w:t>x</w:t>
      </w:r>
      <w:r w:rsidRPr="00976C24">
        <w:rPr>
          <w:lang w:val="fr-FR"/>
        </w:rPr>
        <w:t xml:space="preserve"> paragraphes </w:t>
      </w:r>
      <w:r>
        <w:rPr>
          <w:lang w:val="fr-FR"/>
        </w:rPr>
        <w:t xml:space="preserve">50 à </w:t>
      </w:r>
      <w:r w:rsidRPr="00976C24">
        <w:rPr>
          <w:lang w:val="fr-FR"/>
        </w:rPr>
        <w:t>59</w:t>
      </w:r>
      <w:r>
        <w:rPr>
          <w:lang w:val="fr-FR"/>
        </w:rPr>
        <w:t xml:space="preserve"> du </w:t>
      </w:r>
      <w:r w:rsidRPr="00976C24">
        <w:rPr>
          <w:lang w:val="fr-FR"/>
        </w:rPr>
        <w:t>document de base commun</w:t>
      </w:r>
      <w:r>
        <w:rPr>
          <w:lang w:val="fr-FR"/>
        </w:rPr>
        <w:t xml:space="preserve"> relatifs aux</w:t>
      </w:r>
      <w:r w:rsidRPr="00976C24">
        <w:rPr>
          <w:lang w:val="fr-FR"/>
        </w:rPr>
        <w:t xml:space="preserve"> pensions. La pension minimale actuelle s’élève à 279</w:t>
      </w:r>
      <w:r>
        <w:rPr>
          <w:lang w:val="fr-FR"/>
        </w:rPr>
        <w:t> </w:t>
      </w:r>
      <w:r w:rsidRPr="00976C24">
        <w:rPr>
          <w:lang w:val="fr-FR"/>
        </w:rPr>
        <w:t xml:space="preserve">864 couronnes par an pour un ménage composé de deux retraités </w:t>
      </w:r>
      <w:r>
        <w:rPr>
          <w:lang w:val="fr-FR"/>
        </w:rPr>
        <w:t>ayant</w:t>
      </w:r>
      <w:r w:rsidRPr="00976C24">
        <w:rPr>
          <w:lang w:val="fr-FR"/>
        </w:rPr>
        <w:t xml:space="preserve"> tous deux résidé en Norvège pendant au moins 40 ans entre </w:t>
      </w:r>
      <w:r>
        <w:rPr>
          <w:lang w:val="fr-FR"/>
        </w:rPr>
        <w:t xml:space="preserve">l’âge de </w:t>
      </w:r>
      <w:r w:rsidRPr="00976C24">
        <w:rPr>
          <w:lang w:val="fr-FR"/>
        </w:rPr>
        <w:t>16</w:t>
      </w:r>
      <w:r>
        <w:rPr>
          <w:lang w:val="fr-FR"/>
        </w:rPr>
        <w:t xml:space="preserve"> ans et l’âge de</w:t>
      </w:r>
      <w:r w:rsidRPr="00976C24">
        <w:rPr>
          <w:lang w:val="fr-FR"/>
        </w:rPr>
        <w:t xml:space="preserve"> 66 ans.</w:t>
      </w:r>
    </w:p>
    <w:p w:rsidR="00903547" w:rsidRPr="00976C24" w:rsidRDefault="00903547" w:rsidP="00354A36">
      <w:pPr>
        <w:pStyle w:val="SingleTxtG"/>
        <w:rPr>
          <w:lang w:val="fr-FR"/>
        </w:rPr>
      </w:pPr>
      <w:r>
        <w:rPr>
          <w:lang w:val="fr-FR"/>
        </w:rPr>
        <w:t>209.</w:t>
      </w:r>
      <w:r>
        <w:rPr>
          <w:lang w:val="fr-FR"/>
        </w:rPr>
        <w:tab/>
      </w:r>
      <w:r w:rsidRPr="00976C24">
        <w:rPr>
          <w:lang w:val="fr-FR"/>
        </w:rPr>
        <w:t xml:space="preserve">La plupart des prestations du régime d’assurance national sont fixées </w:t>
      </w:r>
      <w:r>
        <w:rPr>
          <w:lang w:val="fr-FR"/>
        </w:rPr>
        <w:t xml:space="preserve">en référence à </w:t>
      </w:r>
      <w:r w:rsidRPr="00976C24">
        <w:rPr>
          <w:lang w:val="fr-FR"/>
        </w:rPr>
        <w:t xml:space="preserve">un montant de base </w:t>
      </w:r>
      <w:r>
        <w:rPr>
          <w:lang w:val="fr-FR"/>
        </w:rPr>
        <w:t>révisé</w:t>
      </w:r>
      <w:r w:rsidRPr="00976C24">
        <w:rPr>
          <w:lang w:val="fr-FR"/>
        </w:rPr>
        <w:t xml:space="preserve"> au plus tard le 1er mai de chaque année</w:t>
      </w:r>
      <w:r w:rsidRPr="00D94F0A">
        <w:rPr>
          <w:lang w:val="fr-FR"/>
        </w:rPr>
        <w:t xml:space="preserve"> </w:t>
      </w:r>
      <w:r w:rsidRPr="00976C24">
        <w:rPr>
          <w:lang w:val="fr-FR"/>
        </w:rPr>
        <w:t xml:space="preserve">par le </w:t>
      </w:r>
      <w:r w:rsidRPr="00B52B8E">
        <w:rPr>
          <w:i/>
          <w:lang w:val="fr-FR"/>
        </w:rPr>
        <w:t>Storting</w:t>
      </w:r>
      <w:r w:rsidRPr="00976C24">
        <w:rPr>
          <w:lang w:val="fr-FR"/>
        </w:rPr>
        <w:t xml:space="preserve"> </w:t>
      </w:r>
      <w:r>
        <w:rPr>
          <w:lang w:val="fr-FR"/>
        </w:rPr>
        <w:t xml:space="preserve">en fonction de </w:t>
      </w:r>
      <w:r w:rsidRPr="00976C24">
        <w:rPr>
          <w:lang w:val="fr-FR"/>
        </w:rPr>
        <w:t xml:space="preserve">l’évolution du niveau de revenu général. Le montant de base au </w:t>
      </w:r>
      <w:r>
        <w:rPr>
          <w:lang w:val="fr-FR"/>
        </w:rPr>
        <w:t>1</w:t>
      </w:r>
      <w:r w:rsidRPr="00D52E44">
        <w:rPr>
          <w:vertAlign w:val="superscript"/>
          <w:lang w:val="fr-FR"/>
        </w:rPr>
        <w:t>er</w:t>
      </w:r>
      <w:r>
        <w:rPr>
          <w:lang w:val="fr-FR"/>
        </w:rPr>
        <w:t xml:space="preserve"> </w:t>
      </w:r>
      <w:r w:rsidRPr="00976C24">
        <w:rPr>
          <w:lang w:val="fr-FR"/>
        </w:rPr>
        <w:t xml:space="preserve">mai 2010 </w:t>
      </w:r>
      <w:r>
        <w:rPr>
          <w:lang w:val="fr-FR"/>
        </w:rPr>
        <w:t>s’élève à</w:t>
      </w:r>
      <w:r w:rsidRPr="00976C24">
        <w:rPr>
          <w:lang w:val="fr-FR"/>
        </w:rPr>
        <w:t xml:space="preserve"> 75 641 couronnes. Ces révisions annuelles donnent lieu à des augmentations des pensions </w:t>
      </w:r>
      <w:r>
        <w:rPr>
          <w:lang w:val="fr-FR"/>
        </w:rPr>
        <w:t>de retraite</w:t>
      </w:r>
      <w:r w:rsidRPr="00976C24">
        <w:rPr>
          <w:lang w:val="fr-FR"/>
        </w:rPr>
        <w:t xml:space="preserve">, y compris </w:t>
      </w:r>
      <w:r>
        <w:rPr>
          <w:lang w:val="fr-FR"/>
        </w:rPr>
        <w:t>des</w:t>
      </w:r>
      <w:r w:rsidRPr="00976C24">
        <w:rPr>
          <w:lang w:val="fr-FR"/>
        </w:rPr>
        <w:t xml:space="preserve"> pension</w:t>
      </w:r>
      <w:r>
        <w:rPr>
          <w:lang w:val="fr-FR"/>
        </w:rPr>
        <w:t>s</w:t>
      </w:r>
      <w:r w:rsidRPr="00976C24">
        <w:rPr>
          <w:lang w:val="fr-FR"/>
        </w:rPr>
        <w:t xml:space="preserve"> minimale</w:t>
      </w:r>
      <w:r>
        <w:rPr>
          <w:lang w:val="fr-FR"/>
        </w:rPr>
        <w:t>s</w:t>
      </w:r>
      <w:r w:rsidRPr="00976C24">
        <w:rPr>
          <w:lang w:val="fr-FR"/>
        </w:rPr>
        <w:t>.</w:t>
      </w:r>
    </w:p>
    <w:p w:rsidR="00903547" w:rsidRPr="00976C24" w:rsidRDefault="00903547" w:rsidP="00354A36">
      <w:pPr>
        <w:pStyle w:val="SingleTxtG"/>
        <w:rPr>
          <w:lang w:val="fr-FR"/>
        </w:rPr>
      </w:pPr>
      <w:r>
        <w:rPr>
          <w:lang w:val="fr-FR"/>
        </w:rPr>
        <w:t>210.</w:t>
      </w:r>
      <w:r>
        <w:rPr>
          <w:lang w:val="fr-FR"/>
        </w:rPr>
        <w:tab/>
        <w:t>Pour l</w:t>
      </w:r>
      <w:r w:rsidRPr="00976C24">
        <w:rPr>
          <w:lang w:val="fr-FR"/>
        </w:rPr>
        <w:t>’OCDE</w:t>
      </w:r>
      <w:r>
        <w:rPr>
          <w:lang w:val="fr-FR"/>
        </w:rPr>
        <w:t>, un ménage est considéré comme pauvre s’il dispose</w:t>
      </w:r>
      <w:r w:rsidRPr="00976C24">
        <w:rPr>
          <w:lang w:val="fr-FR"/>
        </w:rPr>
        <w:t xml:space="preserve"> d’un revenu inférieur à 50</w:t>
      </w:r>
      <w:r>
        <w:rPr>
          <w:lang w:val="fr-FR"/>
        </w:rPr>
        <w:t> </w:t>
      </w:r>
      <w:r w:rsidRPr="00976C24">
        <w:rPr>
          <w:lang w:val="fr-FR"/>
        </w:rPr>
        <w:t xml:space="preserve">% du revenu disponible médian par ménage. </w:t>
      </w:r>
      <w:r>
        <w:rPr>
          <w:lang w:val="fr-FR"/>
        </w:rPr>
        <w:t>Dans</w:t>
      </w:r>
      <w:r w:rsidRPr="00976C24">
        <w:rPr>
          <w:lang w:val="fr-FR"/>
        </w:rPr>
        <w:t xml:space="preserve"> l’UE, les personnes qui perçoivent moins de 60</w:t>
      </w:r>
      <w:r>
        <w:rPr>
          <w:lang w:val="fr-FR"/>
        </w:rPr>
        <w:t> </w:t>
      </w:r>
      <w:r w:rsidRPr="00976C24">
        <w:rPr>
          <w:lang w:val="fr-FR"/>
        </w:rPr>
        <w:t xml:space="preserve">% du revenu médian sont </w:t>
      </w:r>
      <w:r>
        <w:rPr>
          <w:lang w:val="fr-FR"/>
        </w:rPr>
        <w:t xml:space="preserve">considérées comme étant «menacées </w:t>
      </w:r>
      <w:r w:rsidRPr="00976C24">
        <w:rPr>
          <w:lang w:val="fr-FR"/>
        </w:rPr>
        <w:t>de pauvreté».</w:t>
      </w:r>
    </w:p>
    <w:p w:rsidR="00903547" w:rsidRPr="00976C24" w:rsidRDefault="00903547" w:rsidP="00354A36">
      <w:pPr>
        <w:pStyle w:val="SingleTxtG"/>
        <w:rPr>
          <w:lang w:val="fr-FR"/>
        </w:rPr>
      </w:pPr>
      <w:r>
        <w:rPr>
          <w:lang w:val="fr-FR"/>
        </w:rPr>
        <w:t>211.</w:t>
      </w:r>
      <w:r>
        <w:rPr>
          <w:lang w:val="fr-FR"/>
        </w:rPr>
        <w:tab/>
      </w:r>
      <w:r w:rsidRPr="00976C24">
        <w:rPr>
          <w:lang w:val="fr-FR"/>
        </w:rPr>
        <w:t xml:space="preserve">En 2008, le revenu médian </w:t>
      </w:r>
      <w:r>
        <w:rPr>
          <w:lang w:val="fr-FR"/>
        </w:rPr>
        <w:t xml:space="preserve">était </w:t>
      </w:r>
      <w:r w:rsidRPr="00976C24">
        <w:rPr>
          <w:lang w:val="fr-FR"/>
        </w:rPr>
        <w:t>en Norvège de 392 100</w:t>
      </w:r>
      <w:r>
        <w:rPr>
          <w:lang w:val="fr-FR"/>
        </w:rPr>
        <w:t xml:space="preserve"> couronnes par ménage</w:t>
      </w:r>
      <w:r w:rsidRPr="00976C24">
        <w:rPr>
          <w:lang w:val="fr-FR"/>
        </w:rPr>
        <w:t xml:space="preserve"> après imposition. 50</w:t>
      </w:r>
      <w:r>
        <w:rPr>
          <w:lang w:val="fr-FR"/>
        </w:rPr>
        <w:t> </w:t>
      </w:r>
      <w:r w:rsidRPr="00976C24">
        <w:rPr>
          <w:lang w:val="fr-FR"/>
        </w:rPr>
        <w:t>% de ce montant é</w:t>
      </w:r>
      <w:r>
        <w:rPr>
          <w:lang w:val="fr-FR"/>
        </w:rPr>
        <w:t>quivaut à</w:t>
      </w:r>
      <w:r w:rsidRPr="00976C24">
        <w:rPr>
          <w:lang w:val="fr-FR"/>
        </w:rPr>
        <w:t xml:space="preserve"> 196 050 couronnes et 60</w:t>
      </w:r>
      <w:r>
        <w:rPr>
          <w:lang w:val="fr-FR"/>
        </w:rPr>
        <w:t> </w:t>
      </w:r>
      <w:r w:rsidRPr="00976C24">
        <w:rPr>
          <w:lang w:val="fr-FR"/>
        </w:rPr>
        <w:t xml:space="preserve">% </w:t>
      </w:r>
      <w:r>
        <w:rPr>
          <w:lang w:val="fr-FR"/>
        </w:rPr>
        <w:t xml:space="preserve">à </w:t>
      </w:r>
      <w:r w:rsidRPr="00976C24">
        <w:rPr>
          <w:lang w:val="fr-FR"/>
        </w:rPr>
        <w:t>235 260 couronnes. Comme indiqué ci-dessus, un ménage composé de deux retraités recevra une pension minimale annuelle de 279 864 couronnes</w:t>
      </w:r>
      <w:r>
        <w:rPr>
          <w:lang w:val="fr-FR"/>
        </w:rPr>
        <w:t xml:space="preserve"> exonérée d’impôt</w:t>
      </w:r>
      <w:r w:rsidRPr="00976C24">
        <w:rPr>
          <w:lang w:val="fr-FR"/>
        </w:rPr>
        <w:t xml:space="preserve"> </w:t>
      </w:r>
      <w:r>
        <w:rPr>
          <w:lang w:val="fr-FR"/>
        </w:rPr>
        <w:t>et</w:t>
      </w:r>
      <w:r w:rsidRPr="00976C24">
        <w:rPr>
          <w:lang w:val="fr-FR"/>
        </w:rPr>
        <w:t xml:space="preserve"> </w:t>
      </w:r>
      <w:r>
        <w:rPr>
          <w:lang w:val="fr-FR"/>
        </w:rPr>
        <w:t>de</w:t>
      </w:r>
      <w:r w:rsidRPr="00976C24">
        <w:rPr>
          <w:lang w:val="fr-FR"/>
        </w:rPr>
        <w:t xml:space="preserve"> cotisations de sécurité sociale. Le</w:t>
      </w:r>
      <w:r>
        <w:rPr>
          <w:lang w:val="fr-FR"/>
        </w:rPr>
        <w:t>s autorités gouvernementales estiment</w:t>
      </w:r>
      <w:r w:rsidRPr="00976C24">
        <w:rPr>
          <w:lang w:val="fr-FR"/>
        </w:rPr>
        <w:t xml:space="preserve"> que les pensions minimales norvégiennes sont suffisantes pour assurer un niveau de vie convenable aux </w:t>
      </w:r>
      <w:r>
        <w:rPr>
          <w:lang w:val="fr-FR"/>
        </w:rPr>
        <w:t>bénéficiaires</w:t>
      </w:r>
      <w:r w:rsidRPr="00976C24">
        <w:rPr>
          <w:lang w:val="fr-FR"/>
        </w:rPr>
        <w:t xml:space="preserve"> et à leur famille.</w:t>
      </w:r>
    </w:p>
    <w:p w:rsidR="00903547" w:rsidRPr="00976C24" w:rsidRDefault="00903547" w:rsidP="00354A36">
      <w:pPr>
        <w:pStyle w:val="SingleTxtG"/>
        <w:rPr>
          <w:lang w:val="fr-FR"/>
        </w:rPr>
      </w:pPr>
      <w:r>
        <w:rPr>
          <w:lang w:val="fr-FR"/>
        </w:rPr>
        <w:t>212.</w:t>
      </w:r>
      <w:r>
        <w:rPr>
          <w:lang w:val="fr-FR"/>
        </w:rPr>
        <w:tab/>
      </w:r>
      <w:r w:rsidRPr="00976C24">
        <w:rPr>
          <w:lang w:val="fr-FR"/>
        </w:rPr>
        <w:t xml:space="preserve">Les femmes </w:t>
      </w:r>
      <w:r>
        <w:rPr>
          <w:lang w:val="fr-FR"/>
        </w:rPr>
        <w:t xml:space="preserve">qui </w:t>
      </w:r>
      <w:r w:rsidRPr="00976C24">
        <w:rPr>
          <w:lang w:val="fr-FR"/>
        </w:rPr>
        <w:t>ne rempliss</w:t>
      </w:r>
      <w:r>
        <w:rPr>
          <w:lang w:val="fr-FR"/>
        </w:rPr>
        <w:t>e</w:t>
      </w:r>
      <w:r w:rsidRPr="00976C24">
        <w:rPr>
          <w:lang w:val="fr-FR"/>
        </w:rPr>
        <w:t>nt pas les conditions voulues pour bénéficier des prestations parentales ont droit à une allocation de maternité forfaitaire d’un montant de 35</w:t>
      </w:r>
      <w:r>
        <w:rPr>
          <w:lang w:val="fr-FR"/>
        </w:rPr>
        <w:t> </w:t>
      </w:r>
      <w:r w:rsidRPr="00976C24">
        <w:rPr>
          <w:lang w:val="fr-FR"/>
        </w:rPr>
        <w:t xml:space="preserve">263 couronnes (2010). Le montant de l’allocation forfaitaire est fixé par le </w:t>
      </w:r>
      <w:r w:rsidRPr="00B52B8E">
        <w:rPr>
          <w:i/>
          <w:lang w:val="fr-FR"/>
        </w:rPr>
        <w:t>Storting</w:t>
      </w:r>
      <w:r w:rsidRPr="00976C24">
        <w:rPr>
          <w:lang w:val="fr-FR"/>
        </w:rPr>
        <w:t xml:space="preserve"> et n’est pas imposable. </w:t>
      </w:r>
      <w:r>
        <w:rPr>
          <w:lang w:val="fr-FR"/>
        </w:rPr>
        <w:t>En</w:t>
      </w:r>
      <w:r w:rsidRPr="00976C24">
        <w:rPr>
          <w:lang w:val="fr-FR"/>
        </w:rPr>
        <w:t xml:space="preserve"> cas de naissances ou d’adoptions multiples, l’allocation est versée pour chaque enfant. Les femmes qui ont droit à une allocation de maternité du Fonds national des prêts à l’éducation la </w:t>
      </w:r>
      <w:r>
        <w:rPr>
          <w:lang w:val="fr-FR"/>
        </w:rPr>
        <w:t>per</w:t>
      </w:r>
      <w:r w:rsidRPr="00976C24">
        <w:rPr>
          <w:lang w:val="fr-FR"/>
        </w:rPr>
        <w:t>çoivent en plus de l’allocation forfaitaire.</w:t>
      </w:r>
    </w:p>
    <w:p w:rsidR="00903547" w:rsidRPr="00976C24" w:rsidRDefault="00903547" w:rsidP="00354A36">
      <w:pPr>
        <w:pStyle w:val="SingleTxtG"/>
        <w:rPr>
          <w:lang w:val="fr-FR"/>
        </w:rPr>
      </w:pPr>
      <w:r>
        <w:rPr>
          <w:lang w:val="fr-FR"/>
        </w:rPr>
        <w:t>213.</w:t>
      </w:r>
      <w:r>
        <w:rPr>
          <w:lang w:val="fr-FR"/>
        </w:rPr>
        <w:tab/>
      </w:r>
      <w:r w:rsidRPr="00976C24">
        <w:rPr>
          <w:lang w:val="fr-FR"/>
        </w:rPr>
        <w:t>L’allocation pour enfant à charge est versée pour tous les enfants âgés de moins de 18 ans vivant en Norvège. Cette allocation est forfaitaire (970 couronnes) par enfant et par mois (soit un montant total de 11</w:t>
      </w:r>
      <w:r>
        <w:rPr>
          <w:lang w:val="fr-FR"/>
        </w:rPr>
        <w:t> </w:t>
      </w:r>
      <w:r w:rsidRPr="00976C24">
        <w:rPr>
          <w:lang w:val="fr-FR"/>
        </w:rPr>
        <w:t xml:space="preserve">640 couronnes par an). </w:t>
      </w:r>
      <w:r>
        <w:rPr>
          <w:lang w:val="fr-FR"/>
        </w:rPr>
        <w:t>Certains</w:t>
      </w:r>
      <w:r w:rsidRPr="00976C24">
        <w:rPr>
          <w:lang w:val="fr-FR"/>
        </w:rPr>
        <w:t xml:space="preserve"> parents </w:t>
      </w:r>
      <w:r>
        <w:rPr>
          <w:lang w:val="fr-FR"/>
        </w:rPr>
        <w:t xml:space="preserve">et des </w:t>
      </w:r>
      <w:r w:rsidRPr="00976C24">
        <w:rPr>
          <w:lang w:val="fr-FR"/>
        </w:rPr>
        <w:t>personnes isolé</w:t>
      </w:r>
      <w:r>
        <w:rPr>
          <w:lang w:val="fr-FR"/>
        </w:rPr>
        <w:t>e</w:t>
      </w:r>
      <w:r w:rsidRPr="00976C24">
        <w:rPr>
          <w:lang w:val="fr-FR"/>
        </w:rPr>
        <w:t xml:space="preserve">s </w:t>
      </w:r>
      <w:r>
        <w:rPr>
          <w:lang w:val="fr-FR"/>
        </w:rPr>
        <w:t>viva</w:t>
      </w:r>
      <w:r w:rsidRPr="00976C24">
        <w:rPr>
          <w:lang w:val="fr-FR"/>
        </w:rPr>
        <w:t>nt dans le Svalbard ou le comté du Finnmark</w:t>
      </w:r>
      <w:r>
        <w:rPr>
          <w:lang w:val="fr-FR"/>
        </w:rPr>
        <w:t xml:space="preserve"> peuvent bénéficier de prestations étendues et complémentaires</w:t>
      </w:r>
      <w:r w:rsidRPr="00976C24">
        <w:rPr>
          <w:lang w:val="fr-FR"/>
        </w:rPr>
        <w:t>.</w:t>
      </w:r>
    </w:p>
    <w:p w:rsidR="00903547" w:rsidRPr="00976C24" w:rsidRDefault="00903547" w:rsidP="00354A36">
      <w:pPr>
        <w:pStyle w:val="SingleTxtG"/>
        <w:rPr>
          <w:lang w:val="fr-FR"/>
        </w:rPr>
      </w:pPr>
      <w:r>
        <w:rPr>
          <w:lang w:val="fr-FR"/>
        </w:rPr>
        <w:t>214.</w:t>
      </w:r>
      <w:r>
        <w:rPr>
          <w:lang w:val="fr-FR"/>
        </w:rPr>
        <w:tab/>
      </w:r>
      <w:r w:rsidRPr="00976C24">
        <w:rPr>
          <w:lang w:val="fr-FR"/>
        </w:rPr>
        <w:t xml:space="preserve">Les autres prestations du régime d’assurance national, comme les allocations chômage ou </w:t>
      </w:r>
      <w:r>
        <w:rPr>
          <w:lang w:val="fr-FR"/>
        </w:rPr>
        <w:t xml:space="preserve">les prestations d’assurance </w:t>
      </w:r>
      <w:r w:rsidRPr="00976C24">
        <w:rPr>
          <w:lang w:val="fr-FR"/>
        </w:rPr>
        <w:t xml:space="preserve">maladie, </w:t>
      </w:r>
      <w:r>
        <w:rPr>
          <w:lang w:val="fr-FR"/>
        </w:rPr>
        <w:t xml:space="preserve">sont calculées en fonction des </w:t>
      </w:r>
      <w:r w:rsidRPr="00976C24">
        <w:rPr>
          <w:lang w:val="fr-FR"/>
        </w:rPr>
        <w:t xml:space="preserve">rémunérations antérieures. </w:t>
      </w:r>
    </w:p>
    <w:p w:rsidR="00903547" w:rsidRPr="00976C24" w:rsidRDefault="00903547" w:rsidP="0071086E">
      <w:pPr>
        <w:pStyle w:val="H23G"/>
        <w:rPr>
          <w:lang w:val="fr-FR"/>
        </w:rPr>
      </w:pPr>
      <w:r w:rsidRPr="00976C24">
        <w:rPr>
          <w:lang w:val="fr-FR"/>
        </w:rPr>
        <w:tab/>
        <w:t>3.</w:t>
      </w:r>
      <w:r w:rsidRPr="00976C24">
        <w:rPr>
          <w:lang w:val="fr-FR"/>
        </w:rPr>
        <w:tab/>
        <w:t xml:space="preserve">Prestations </w:t>
      </w:r>
      <w:r>
        <w:rPr>
          <w:lang w:val="fr-FR"/>
        </w:rPr>
        <w:t>d’assistance sociale</w:t>
      </w:r>
      <w:r w:rsidRPr="00976C24">
        <w:rPr>
          <w:lang w:val="fr-FR"/>
        </w:rPr>
        <w:t xml:space="preserve"> garanties non soumises à cotisation pour les personnes et les familles défavorisées et marginalisées qui ne sont pas couvertes par les régimes contributifs (E/2009/22-E/C.12/2008/3, annexe VIII, par.</w:t>
      </w:r>
      <w:r>
        <w:rPr>
          <w:lang w:val="fr-FR"/>
        </w:rPr>
        <w:t> </w:t>
      </w:r>
      <w:r w:rsidRPr="00976C24">
        <w:rPr>
          <w:lang w:val="fr-FR"/>
        </w:rPr>
        <w:t>29)</w:t>
      </w:r>
    </w:p>
    <w:p w:rsidR="00903547" w:rsidRPr="00976C24" w:rsidRDefault="00903547" w:rsidP="00354A36">
      <w:pPr>
        <w:pStyle w:val="SingleTxtG"/>
        <w:rPr>
          <w:lang w:val="fr-FR"/>
        </w:rPr>
      </w:pPr>
      <w:r>
        <w:rPr>
          <w:lang w:val="fr-FR"/>
        </w:rPr>
        <w:t>215.</w:t>
      </w:r>
      <w:r>
        <w:rPr>
          <w:lang w:val="fr-FR"/>
        </w:rPr>
        <w:tab/>
      </w:r>
      <w:r w:rsidRPr="00976C24">
        <w:rPr>
          <w:lang w:val="fr-FR"/>
        </w:rPr>
        <w:t>Les personnes dans l’incapacité de pourvoir à leurs besoins en travaillant ou en faisant valoir leurs droits économiques peuvent bénéficier d’une a</w:t>
      </w:r>
      <w:r>
        <w:rPr>
          <w:lang w:val="fr-FR"/>
        </w:rPr>
        <w:t>ide</w:t>
      </w:r>
      <w:r w:rsidRPr="00976C24">
        <w:rPr>
          <w:lang w:val="fr-FR"/>
        </w:rPr>
        <w:t xml:space="preserve"> financière. Ce droit est établi par la loi sur les services sociaux de l’administration norvégienne du travail et de la protection sociale de 2009, entrée en vigueur en janvier 2010. L’administration des services sociaux municipa</w:t>
      </w:r>
      <w:r>
        <w:rPr>
          <w:lang w:val="fr-FR"/>
        </w:rPr>
        <w:t>ux</w:t>
      </w:r>
      <w:r w:rsidRPr="00976C24">
        <w:rPr>
          <w:lang w:val="fr-FR"/>
        </w:rPr>
        <w:t xml:space="preserve"> est chargée de fournir l’a</w:t>
      </w:r>
      <w:r>
        <w:rPr>
          <w:lang w:val="fr-FR"/>
        </w:rPr>
        <w:t>ide</w:t>
      </w:r>
      <w:r w:rsidRPr="00976C24">
        <w:rPr>
          <w:lang w:val="fr-FR"/>
        </w:rPr>
        <w:t xml:space="preserve"> financière à toute personne vivant dans la municipalité. La loi ne formule aucune </w:t>
      </w:r>
      <w:r>
        <w:rPr>
          <w:lang w:val="fr-FR"/>
        </w:rPr>
        <w:t>recommandation</w:t>
      </w:r>
      <w:r w:rsidRPr="00976C24">
        <w:rPr>
          <w:lang w:val="fr-FR"/>
        </w:rPr>
        <w:t xml:space="preserve"> quant à son montant, mais part du principe que toute personne doit </w:t>
      </w:r>
      <w:r>
        <w:rPr>
          <w:lang w:val="fr-FR"/>
        </w:rPr>
        <w:t>pouvoir jouir d’</w:t>
      </w:r>
      <w:r w:rsidRPr="00976C24">
        <w:rPr>
          <w:lang w:val="fr-FR"/>
        </w:rPr>
        <w:t>un niveau de vie suffisant. La définition précise d’un niveau de vie suffisant est établie sur la base d’une évaluation des besoins de chaque demandeur. L’a</w:t>
      </w:r>
      <w:r>
        <w:rPr>
          <w:lang w:val="fr-FR"/>
        </w:rPr>
        <w:t>ide</w:t>
      </w:r>
      <w:r w:rsidRPr="00976C24">
        <w:rPr>
          <w:lang w:val="fr-FR"/>
        </w:rPr>
        <w:t xml:space="preserve"> financière constitue une prestation annexe dont bénéficient certaines personnes et représente le filet de protection financière minimum des régimes de sécurité sociale.</w:t>
      </w:r>
    </w:p>
    <w:p w:rsidR="00903547" w:rsidRPr="00976C24" w:rsidRDefault="00903547" w:rsidP="00354A36">
      <w:pPr>
        <w:pStyle w:val="SingleTxtG"/>
        <w:rPr>
          <w:lang w:val="fr-FR"/>
        </w:rPr>
      </w:pPr>
      <w:r>
        <w:rPr>
          <w:lang w:val="fr-FR"/>
        </w:rPr>
        <w:t>216.</w:t>
      </w:r>
      <w:r>
        <w:rPr>
          <w:lang w:val="fr-FR"/>
        </w:rPr>
        <w:tab/>
      </w:r>
      <w:r w:rsidRPr="00976C24">
        <w:rPr>
          <w:lang w:val="fr-FR"/>
        </w:rPr>
        <w:t>L’</w:t>
      </w:r>
      <w:r>
        <w:rPr>
          <w:lang w:val="fr-FR"/>
        </w:rPr>
        <w:t>État</w:t>
      </w:r>
      <w:r w:rsidRPr="00976C24">
        <w:rPr>
          <w:lang w:val="fr-FR"/>
        </w:rPr>
        <w:t xml:space="preserve"> a </w:t>
      </w:r>
      <w:r>
        <w:rPr>
          <w:lang w:val="fr-FR"/>
        </w:rPr>
        <w:t>formulé des recommandations aux</w:t>
      </w:r>
      <w:r w:rsidRPr="00976C24">
        <w:rPr>
          <w:lang w:val="fr-FR"/>
        </w:rPr>
        <w:t xml:space="preserve"> autorités municipales</w:t>
      </w:r>
      <w:r>
        <w:rPr>
          <w:lang w:val="fr-FR"/>
        </w:rPr>
        <w:t>, en l’espèce des instructions concernant</w:t>
      </w:r>
      <w:r w:rsidRPr="00976C24">
        <w:rPr>
          <w:lang w:val="fr-FR"/>
        </w:rPr>
        <w:t xml:space="preserve"> les dépenses qui correspondent à la notion de niveau de vie suffisant mentionnée </w:t>
      </w:r>
      <w:r>
        <w:rPr>
          <w:lang w:val="fr-FR"/>
        </w:rPr>
        <w:t xml:space="preserve">dans </w:t>
      </w:r>
      <w:r w:rsidRPr="00976C24">
        <w:rPr>
          <w:lang w:val="fr-FR"/>
        </w:rPr>
        <w:t xml:space="preserve">la loi sur les services sociaux. </w:t>
      </w:r>
    </w:p>
    <w:p w:rsidR="00903547" w:rsidRPr="00976C24" w:rsidRDefault="00903547" w:rsidP="00354A36">
      <w:pPr>
        <w:pStyle w:val="SingleTxtG"/>
        <w:rPr>
          <w:lang w:val="fr-FR"/>
        </w:rPr>
      </w:pPr>
      <w:r>
        <w:rPr>
          <w:lang w:val="fr-FR"/>
        </w:rPr>
        <w:t>217.</w:t>
      </w:r>
      <w:r>
        <w:rPr>
          <w:lang w:val="fr-FR"/>
        </w:rPr>
        <w:tab/>
      </w:r>
      <w:r w:rsidRPr="00976C24">
        <w:rPr>
          <w:lang w:val="fr-FR"/>
        </w:rPr>
        <w:t xml:space="preserve">En 2001, le Ministère a publié des directives quant aux montants préconisés des aides. </w:t>
      </w:r>
      <w:r>
        <w:rPr>
          <w:lang w:val="fr-FR"/>
        </w:rPr>
        <w:t>C</w:t>
      </w:r>
      <w:r w:rsidRPr="00976C24">
        <w:rPr>
          <w:lang w:val="fr-FR"/>
        </w:rPr>
        <w:t xml:space="preserve">es directives couvrent les dépenses courantes de subsistance. Par contre, les dépenses de logement, les frais d’électricité et de chauffage ainsi que les dépenses spéciales ne sont pas prises en compte dans la base de calcul mais sont couvertes à un autre titre. </w:t>
      </w:r>
    </w:p>
    <w:p w:rsidR="00903547" w:rsidRPr="00976C24" w:rsidRDefault="00903547" w:rsidP="00354A36">
      <w:pPr>
        <w:pStyle w:val="SingleTxtG"/>
        <w:rPr>
          <w:lang w:val="fr-FR"/>
        </w:rPr>
      </w:pPr>
      <w:r>
        <w:rPr>
          <w:lang w:val="fr-FR"/>
        </w:rPr>
        <w:t>218.</w:t>
      </w:r>
      <w:r>
        <w:rPr>
          <w:lang w:val="fr-FR"/>
        </w:rPr>
        <w:tab/>
      </w:r>
      <w:r w:rsidRPr="00976C24">
        <w:rPr>
          <w:lang w:val="fr-FR"/>
        </w:rPr>
        <w:t xml:space="preserve">Les taux sont révisés chaque année </w:t>
      </w:r>
      <w:r>
        <w:rPr>
          <w:lang w:val="fr-FR"/>
        </w:rPr>
        <w:t>en fonction de</w:t>
      </w:r>
      <w:r w:rsidRPr="00976C24">
        <w:rPr>
          <w:lang w:val="fr-FR"/>
        </w:rPr>
        <w:t xml:space="preserve"> l’inflation. S</w:t>
      </w:r>
      <w:r>
        <w:rPr>
          <w:lang w:val="fr-FR"/>
        </w:rPr>
        <w:t>oucieux</w:t>
      </w:r>
      <w:r w:rsidRPr="00976C24">
        <w:rPr>
          <w:lang w:val="fr-FR"/>
        </w:rPr>
        <w:t xml:space="preserve"> d’am</w:t>
      </w:r>
      <w:r>
        <w:rPr>
          <w:lang w:val="fr-FR"/>
        </w:rPr>
        <w:t>éliorer la situation économique</w:t>
      </w:r>
      <w:r w:rsidRPr="00976C24">
        <w:rPr>
          <w:lang w:val="fr-FR"/>
        </w:rPr>
        <w:t xml:space="preserve"> et les conditions d</w:t>
      </w:r>
      <w:r>
        <w:rPr>
          <w:lang w:val="fr-FR"/>
        </w:rPr>
        <w:t>’existence</w:t>
      </w:r>
      <w:r w:rsidRPr="00976C24">
        <w:rPr>
          <w:lang w:val="fr-FR"/>
        </w:rPr>
        <w:t xml:space="preserve"> des bénéficiaires des prestations sociales, le</w:t>
      </w:r>
      <w:r>
        <w:rPr>
          <w:lang w:val="fr-FR"/>
        </w:rPr>
        <w:t xml:space="preserve">s pouvoirs publics ont </w:t>
      </w:r>
      <w:r w:rsidRPr="00976C24">
        <w:rPr>
          <w:lang w:val="fr-FR"/>
        </w:rPr>
        <w:t>relevé le niveau de l’aide économique de subsistance de 5</w:t>
      </w:r>
      <w:r>
        <w:rPr>
          <w:lang w:val="fr-FR"/>
        </w:rPr>
        <w:t> </w:t>
      </w:r>
      <w:r w:rsidRPr="00976C24">
        <w:rPr>
          <w:lang w:val="fr-FR"/>
        </w:rPr>
        <w:t>% au-dessus de l’inflation moyenne en 2007 et en 2009.</w:t>
      </w:r>
    </w:p>
    <w:p w:rsidR="00903547" w:rsidRPr="00976C24" w:rsidRDefault="00903547" w:rsidP="00354A36">
      <w:pPr>
        <w:pStyle w:val="SingleTxtG"/>
        <w:rPr>
          <w:lang w:val="fr-FR"/>
        </w:rPr>
      </w:pPr>
      <w:r>
        <w:rPr>
          <w:lang w:val="fr-FR"/>
        </w:rPr>
        <w:t>219.</w:t>
      </w:r>
      <w:r>
        <w:rPr>
          <w:lang w:val="fr-FR"/>
        </w:rPr>
        <w:tab/>
      </w:r>
      <w:r w:rsidRPr="00976C24">
        <w:rPr>
          <w:lang w:val="fr-FR"/>
        </w:rPr>
        <w:t xml:space="preserve">Même si les municipalités </w:t>
      </w:r>
      <w:r>
        <w:rPr>
          <w:lang w:val="fr-FR"/>
        </w:rPr>
        <w:t>restent</w:t>
      </w:r>
      <w:r w:rsidRPr="00976C24">
        <w:rPr>
          <w:lang w:val="fr-FR"/>
        </w:rPr>
        <w:t xml:space="preserve"> libres de suivre ou non les directives gouvernementales, </w:t>
      </w:r>
      <w:r>
        <w:rPr>
          <w:lang w:val="fr-FR"/>
        </w:rPr>
        <w:t>on ne constate que de</w:t>
      </w:r>
      <w:r w:rsidRPr="00976C24">
        <w:rPr>
          <w:lang w:val="fr-FR"/>
        </w:rPr>
        <w:t xml:space="preserve"> faibles écarts entre les municipalités au niveau de l’aide économique</w:t>
      </w:r>
      <w:r>
        <w:rPr>
          <w:lang w:val="fr-FR"/>
        </w:rPr>
        <w:t xml:space="preserve"> moyenne octroyée</w:t>
      </w:r>
      <w:r w:rsidRPr="00976C24">
        <w:rPr>
          <w:lang w:val="fr-FR"/>
        </w:rPr>
        <w:t>. La majorité des municipalités applique des taux analogues à ceux préconisés par les directives gouvernementales. En 2007, 73</w:t>
      </w:r>
      <w:r>
        <w:rPr>
          <w:lang w:val="fr-FR"/>
        </w:rPr>
        <w:t> </w:t>
      </w:r>
      <w:r w:rsidRPr="00976C24">
        <w:rPr>
          <w:lang w:val="fr-FR"/>
        </w:rPr>
        <w:t>% des municipalités suivaient les taux préconisés pour les personnes seules, tandis que 13</w:t>
      </w:r>
      <w:r>
        <w:rPr>
          <w:lang w:val="fr-FR"/>
        </w:rPr>
        <w:t> </w:t>
      </w:r>
      <w:r w:rsidRPr="00976C24">
        <w:rPr>
          <w:lang w:val="fr-FR"/>
        </w:rPr>
        <w:t>% appliquaient des taux supérieurs et 15</w:t>
      </w:r>
      <w:r>
        <w:rPr>
          <w:lang w:val="fr-FR"/>
        </w:rPr>
        <w:t> </w:t>
      </w:r>
      <w:r w:rsidRPr="00976C24">
        <w:rPr>
          <w:lang w:val="fr-FR"/>
        </w:rPr>
        <w:t xml:space="preserve">% des taux inférieurs. </w:t>
      </w:r>
    </w:p>
    <w:p w:rsidR="00903547" w:rsidRPr="00976C24" w:rsidRDefault="00903547" w:rsidP="00354A36">
      <w:pPr>
        <w:pStyle w:val="SingleTxtG"/>
        <w:rPr>
          <w:lang w:val="fr-FR"/>
        </w:rPr>
      </w:pPr>
      <w:r>
        <w:rPr>
          <w:lang w:val="fr-FR"/>
        </w:rPr>
        <w:t>220.</w:t>
      </w:r>
      <w:r>
        <w:rPr>
          <w:lang w:val="fr-FR"/>
        </w:rPr>
        <w:tab/>
      </w:r>
      <w:r w:rsidRPr="00976C24">
        <w:rPr>
          <w:lang w:val="fr-FR"/>
        </w:rPr>
        <w:t>Les municipalités qui appliquent des taux bas s’écartent assez peu des taux recommandés. Il reste qu</w:t>
      </w:r>
      <w:r>
        <w:rPr>
          <w:lang w:val="fr-FR"/>
        </w:rPr>
        <w:t>’elles</w:t>
      </w:r>
      <w:r w:rsidRPr="00976C24">
        <w:rPr>
          <w:lang w:val="fr-FR"/>
        </w:rPr>
        <w:t xml:space="preserve"> ont tendance à inclure dans leurs prestations </w:t>
      </w:r>
      <w:r>
        <w:rPr>
          <w:lang w:val="fr-FR"/>
        </w:rPr>
        <w:t>davantage</w:t>
      </w:r>
      <w:r w:rsidRPr="00976C24">
        <w:rPr>
          <w:lang w:val="fr-FR"/>
        </w:rPr>
        <w:t xml:space="preserve"> d’éléments que </w:t>
      </w:r>
      <w:r>
        <w:rPr>
          <w:lang w:val="fr-FR"/>
        </w:rPr>
        <w:t>les taux nationaux</w:t>
      </w:r>
      <w:r w:rsidRPr="00976C24">
        <w:rPr>
          <w:lang w:val="fr-FR"/>
        </w:rPr>
        <w:t>.</w:t>
      </w:r>
    </w:p>
    <w:p w:rsidR="00903547" w:rsidRPr="00976C24" w:rsidRDefault="00903547" w:rsidP="00354A36">
      <w:pPr>
        <w:pStyle w:val="SingleTxtG"/>
        <w:rPr>
          <w:lang w:val="fr-FR"/>
        </w:rPr>
      </w:pPr>
      <w:r>
        <w:rPr>
          <w:lang w:val="fr-FR"/>
        </w:rPr>
        <w:t>221.</w:t>
      </w:r>
      <w:r>
        <w:rPr>
          <w:lang w:val="fr-FR"/>
        </w:rPr>
        <w:tab/>
      </w:r>
      <w:r w:rsidRPr="00976C24">
        <w:rPr>
          <w:lang w:val="fr-FR"/>
        </w:rPr>
        <w:t xml:space="preserve">Le Gouvernement </w:t>
      </w:r>
      <w:r>
        <w:rPr>
          <w:lang w:val="fr-FR"/>
        </w:rPr>
        <w:t xml:space="preserve">se dit prêt à </w:t>
      </w:r>
      <w:r w:rsidRPr="00976C24">
        <w:rPr>
          <w:lang w:val="fr-FR"/>
        </w:rPr>
        <w:t>examiner dans quelle mesure il convien</w:t>
      </w:r>
      <w:r>
        <w:rPr>
          <w:lang w:val="fr-FR"/>
        </w:rPr>
        <w:t>drai</w:t>
      </w:r>
      <w:r w:rsidRPr="00976C24">
        <w:rPr>
          <w:lang w:val="fr-FR"/>
        </w:rPr>
        <w:t xml:space="preserve">t de procéder à des ajustements des règles </w:t>
      </w:r>
      <w:r>
        <w:rPr>
          <w:lang w:val="fr-FR"/>
        </w:rPr>
        <w:t>actuelles</w:t>
      </w:r>
      <w:r w:rsidRPr="00976C24">
        <w:rPr>
          <w:lang w:val="fr-FR"/>
        </w:rPr>
        <w:t xml:space="preserve"> pour réduire les écarts arbitraires </w:t>
      </w:r>
      <w:r>
        <w:rPr>
          <w:lang w:val="fr-FR"/>
        </w:rPr>
        <w:t xml:space="preserve">existant </w:t>
      </w:r>
      <w:r w:rsidRPr="00976C24">
        <w:rPr>
          <w:lang w:val="fr-FR"/>
        </w:rPr>
        <w:t>dans et entre les municipalités.</w:t>
      </w:r>
    </w:p>
    <w:p w:rsidR="00903547" w:rsidRPr="00976C24" w:rsidRDefault="00903547" w:rsidP="0071086E">
      <w:pPr>
        <w:pStyle w:val="H23G"/>
        <w:rPr>
          <w:lang w:val="fr-FR"/>
        </w:rPr>
      </w:pPr>
      <w:r w:rsidRPr="00976C24">
        <w:rPr>
          <w:lang w:val="fr-FR"/>
        </w:rPr>
        <w:tab/>
        <w:t>4.</w:t>
      </w:r>
      <w:r w:rsidRPr="00976C24">
        <w:rPr>
          <w:lang w:val="fr-FR"/>
        </w:rPr>
        <w:tab/>
        <w:t>Compléments apportés aux régimes publics de sécurité sociale par des dispositifs privés ou des arrangements informels (E/2009/22-E/C.12/2008/3, annexe VIII, par.</w:t>
      </w:r>
      <w:r>
        <w:rPr>
          <w:lang w:val="fr-FR"/>
        </w:rPr>
        <w:t> </w:t>
      </w:r>
      <w:r w:rsidRPr="00976C24">
        <w:rPr>
          <w:lang w:val="fr-FR"/>
        </w:rPr>
        <w:t>30)</w:t>
      </w:r>
    </w:p>
    <w:p w:rsidR="00903547" w:rsidRPr="00976C24" w:rsidRDefault="00903547" w:rsidP="00354A36">
      <w:pPr>
        <w:pStyle w:val="SingleTxtG"/>
        <w:rPr>
          <w:lang w:val="fr-FR"/>
        </w:rPr>
      </w:pPr>
      <w:r>
        <w:rPr>
          <w:lang w:val="fr-FR"/>
        </w:rPr>
        <w:t>222.</w:t>
      </w:r>
      <w:r>
        <w:rPr>
          <w:lang w:val="fr-FR"/>
        </w:rPr>
        <w:tab/>
      </w:r>
      <w:r w:rsidRPr="00976C24">
        <w:rPr>
          <w:lang w:val="fr-FR"/>
        </w:rPr>
        <w:t>Les organisations, groupes et associations de bénévoles sont des sphères importantes pour la participation, l’</w:t>
      </w:r>
      <w:r>
        <w:rPr>
          <w:lang w:val="fr-FR"/>
        </w:rPr>
        <w:t xml:space="preserve">exercice d’une </w:t>
      </w:r>
      <w:r w:rsidRPr="00976C24">
        <w:rPr>
          <w:lang w:val="fr-FR"/>
        </w:rPr>
        <w:t>influence et la cohésion sociale. Ces organisations aide</w:t>
      </w:r>
      <w:r>
        <w:rPr>
          <w:lang w:val="fr-FR"/>
        </w:rPr>
        <w:t>nt</w:t>
      </w:r>
      <w:r w:rsidRPr="00976C24">
        <w:rPr>
          <w:lang w:val="fr-FR"/>
        </w:rPr>
        <w:t xml:space="preserve"> </w:t>
      </w:r>
      <w:r>
        <w:rPr>
          <w:lang w:val="fr-FR"/>
        </w:rPr>
        <w:t>les</w:t>
      </w:r>
      <w:r w:rsidRPr="00976C24">
        <w:rPr>
          <w:lang w:val="fr-FR"/>
        </w:rPr>
        <w:t xml:space="preserve"> personnes dans l’incapacité d’avoir des revenus </w:t>
      </w:r>
      <w:r>
        <w:rPr>
          <w:lang w:val="fr-FR"/>
        </w:rPr>
        <w:t xml:space="preserve">suffisants </w:t>
      </w:r>
      <w:r w:rsidRPr="00976C24">
        <w:rPr>
          <w:lang w:val="fr-FR"/>
        </w:rPr>
        <w:t>pour couvrir toutes leurs dépenses.</w:t>
      </w:r>
    </w:p>
    <w:p w:rsidR="00903547" w:rsidRPr="00976C24" w:rsidRDefault="00903547" w:rsidP="00354A36">
      <w:pPr>
        <w:pStyle w:val="SingleTxtG"/>
        <w:rPr>
          <w:lang w:val="fr-FR"/>
        </w:rPr>
      </w:pPr>
      <w:r>
        <w:rPr>
          <w:lang w:val="fr-FR"/>
        </w:rPr>
        <w:t>223.</w:t>
      </w:r>
      <w:r>
        <w:rPr>
          <w:lang w:val="fr-FR"/>
        </w:rPr>
        <w:tab/>
      </w:r>
      <w:r w:rsidRPr="00976C24">
        <w:rPr>
          <w:lang w:val="fr-FR"/>
        </w:rPr>
        <w:t xml:space="preserve">Le Gouvernement </w:t>
      </w:r>
      <w:r>
        <w:rPr>
          <w:lang w:val="fr-FR"/>
        </w:rPr>
        <w:t>prévoit de</w:t>
      </w:r>
      <w:r w:rsidRPr="00976C24">
        <w:rPr>
          <w:lang w:val="fr-FR"/>
        </w:rPr>
        <w:t xml:space="preserve"> renforcer et </w:t>
      </w:r>
      <w:r>
        <w:rPr>
          <w:lang w:val="fr-FR"/>
        </w:rPr>
        <w:t>d’approfondir</w:t>
      </w:r>
      <w:r w:rsidRPr="00976C24">
        <w:rPr>
          <w:lang w:val="fr-FR"/>
        </w:rPr>
        <w:t xml:space="preserve"> le dialogue avec les organisations de bénévoles et les représentants des groupes socialement et financièrement défavorisés. </w:t>
      </w:r>
      <w:r>
        <w:rPr>
          <w:lang w:val="fr-FR"/>
        </w:rPr>
        <w:t>2</w:t>
      </w:r>
      <w:r w:rsidRPr="00976C24">
        <w:rPr>
          <w:lang w:val="fr-FR"/>
        </w:rPr>
        <w:t xml:space="preserve">008 </w:t>
      </w:r>
      <w:r>
        <w:rPr>
          <w:lang w:val="fr-FR"/>
        </w:rPr>
        <w:t>a vu la création d’</w:t>
      </w:r>
      <w:r w:rsidRPr="00976C24">
        <w:rPr>
          <w:lang w:val="fr-FR"/>
        </w:rPr>
        <w:t>un comité de liaison entre le Gouvernement et plusieurs organisations œuvrant pour les groupes socialement et financièrement défavorisés et un forum de coopération co</w:t>
      </w:r>
      <w:r>
        <w:rPr>
          <w:lang w:val="fr-FR"/>
        </w:rPr>
        <w:t>nstitué</w:t>
      </w:r>
      <w:r w:rsidRPr="00976C24">
        <w:rPr>
          <w:lang w:val="fr-FR"/>
        </w:rPr>
        <w:t xml:space="preserve"> de ces organisations. Des fonds ont </w:t>
      </w:r>
      <w:r>
        <w:rPr>
          <w:lang w:val="fr-FR"/>
        </w:rPr>
        <w:t>été alloués au fonctionnement du</w:t>
      </w:r>
      <w:r w:rsidRPr="00976C24">
        <w:rPr>
          <w:lang w:val="fr-FR"/>
        </w:rPr>
        <w:t xml:space="preserve"> forum, </w:t>
      </w:r>
      <w:r>
        <w:rPr>
          <w:lang w:val="fr-FR"/>
        </w:rPr>
        <w:t>à l’ouverture et au</w:t>
      </w:r>
      <w:r w:rsidRPr="00976C24">
        <w:rPr>
          <w:lang w:val="fr-FR"/>
        </w:rPr>
        <w:t xml:space="preserve"> fonctionnement de nouveaux bureaux d’entraide dans d’autres régions de Norvège et </w:t>
      </w:r>
      <w:r>
        <w:rPr>
          <w:lang w:val="fr-FR"/>
        </w:rPr>
        <w:t>à</w:t>
      </w:r>
      <w:r w:rsidRPr="00976C24">
        <w:rPr>
          <w:lang w:val="fr-FR"/>
        </w:rPr>
        <w:t xml:space="preserve"> des organisations œuvrant pour la réduction de la pauvreté et de l’exclusion sociale.</w:t>
      </w:r>
    </w:p>
    <w:p w:rsidR="00903547" w:rsidRPr="00976C24" w:rsidRDefault="00903547" w:rsidP="0071086E">
      <w:pPr>
        <w:pStyle w:val="H23G"/>
        <w:rPr>
          <w:lang w:val="fr-FR"/>
        </w:rPr>
      </w:pPr>
      <w:r w:rsidRPr="00976C24">
        <w:rPr>
          <w:lang w:val="fr-FR"/>
        </w:rPr>
        <w:tab/>
        <w:t>5.</w:t>
      </w:r>
      <w:r w:rsidRPr="00976C24">
        <w:rPr>
          <w:lang w:val="fr-FR"/>
        </w:rPr>
        <w:tab/>
      </w:r>
      <w:r>
        <w:rPr>
          <w:lang w:val="fr-FR"/>
        </w:rPr>
        <w:t>Égalité</w:t>
      </w:r>
      <w:r w:rsidRPr="00976C24">
        <w:rPr>
          <w:lang w:val="fr-FR"/>
        </w:rPr>
        <w:t xml:space="preserve"> entre hommes et femmes en ce qui concerne l’exercice des droits à pension, en particulier pour ce qui est de l’âge d’accès à la pension, des périodes ouvrant droit à pension et du montant des prestations (E/2009/22-E/C.12/2008/3, annexe VIII, par.</w:t>
      </w:r>
      <w:r>
        <w:rPr>
          <w:lang w:val="fr-FR"/>
        </w:rPr>
        <w:t> </w:t>
      </w:r>
      <w:r w:rsidRPr="00976C24">
        <w:rPr>
          <w:lang w:val="fr-FR"/>
        </w:rPr>
        <w:t>31)</w:t>
      </w:r>
    </w:p>
    <w:p w:rsidR="00903547" w:rsidRPr="00976C24" w:rsidRDefault="00903547" w:rsidP="00354A36">
      <w:pPr>
        <w:pStyle w:val="SingleTxtG"/>
        <w:rPr>
          <w:lang w:val="fr-FR"/>
        </w:rPr>
      </w:pPr>
      <w:r>
        <w:rPr>
          <w:lang w:val="fr-FR"/>
        </w:rPr>
        <w:t>224.</w:t>
      </w:r>
      <w:r>
        <w:rPr>
          <w:lang w:val="fr-FR"/>
        </w:rPr>
        <w:tab/>
      </w:r>
      <w:r w:rsidRPr="00976C24">
        <w:rPr>
          <w:lang w:val="fr-FR"/>
        </w:rPr>
        <w:t>Les dispositions de la loi sur l’assurance nat</w:t>
      </w:r>
      <w:r>
        <w:rPr>
          <w:lang w:val="fr-FR"/>
        </w:rPr>
        <w:t>ionale (loi du 28 février 1997 n</w:t>
      </w:r>
      <w:r w:rsidRPr="000A7EEA">
        <w:rPr>
          <w:vertAlign w:val="superscript"/>
          <w:lang w:val="fr-FR"/>
        </w:rPr>
        <w:t>o</w:t>
      </w:r>
      <w:r>
        <w:rPr>
          <w:lang w:val="fr-FR"/>
        </w:rPr>
        <w:t> </w:t>
      </w:r>
      <w:r w:rsidRPr="00976C24">
        <w:rPr>
          <w:lang w:val="fr-FR"/>
        </w:rPr>
        <w:t>12) n’introduisent pas de différence entre les sexe</w:t>
      </w:r>
      <w:r>
        <w:rPr>
          <w:lang w:val="fr-FR"/>
        </w:rPr>
        <w:t>s et ne font référence qu’aux «affiliés</w:t>
      </w:r>
      <w:r w:rsidRPr="00976C24">
        <w:rPr>
          <w:lang w:val="fr-FR"/>
        </w:rPr>
        <w:t xml:space="preserve">» au régime. Ainsi, l’âge du départ à la retraite et les périodes ouvrant droit à pension etc. sont </w:t>
      </w:r>
      <w:r>
        <w:rPr>
          <w:lang w:val="fr-FR"/>
        </w:rPr>
        <w:t>les mêmes</w:t>
      </w:r>
      <w:r w:rsidRPr="00976C24">
        <w:rPr>
          <w:lang w:val="fr-FR"/>
        </w:rPr>
        <w:t xml:space="preserve"> pour les hommes et les femmes. Le montant des prestations est identique pour les personnes présentant des profils i</w:t>
      </w:r>
      <w:r>
        <w:rPr>
          <w:lang w:val="fr-FR"/>
        </w:rPr>
        <w:t>dentiques, sans considération de</w:t>
      </w:r>
      <w:r w:rsidRPr="00976C24">
        <w:rPr>
          <w:lang w:val="fr-FR"/>
        </w:rPr>
        <w:t xml:space="preserve"> sexe.</w:t>
      </w:r>
    </w:p>
    <w:p w:rsidR="00903547" w:rsidRPr="00976C24" w:rsidRDefault="00903547" w:rsidP="0071086E">
      <w:pPr>
        <w:pStyle w:val="H23G"/>
        <w:rPr>
          <w:lang w:val="fr-FR"/>
        </w:rPr>
      </w:pPr>
      <w:r w:rsidRPr="00976C24">
        <w:rPr>
          <w:lang w:val="fr-FR"/>
        </w:rPr>
        <w:tab/>
        <w:t>6.</w:t>
      </w:r>
      <w:r w:rsidRPr="00976C24">
        <w:rPr>
          <w:lang w:val="fr-FR"/>
        </w:rPr>
        <w:tab/>
        <w:t>Programmes de sécurité sociale, y compris les programmes informels, destinés à protéger les travailleurs de l’économie informelle, en particulier en ce qui concerne la santé, la maternité et la vieillesse (E/2009/22-E/C.12/2008/3, annexe VIII, par.</w:t>
      </w:r>
      <w:r>
        <w:rPr>
          <w:lang w:val="fr-FR"/>
        </w:rPr>
        <w:t> </w:t>
      </w:r>
      <w:r w:rsidRPr="00976C24">
        <w:rPr>
          <w:lang w:val="fr-FR"/>
        </w:rPr>
        <w:t>32)</w:t>
      </w:r>
    </w:p>
    <w:p w:rsidR="00903547" w:rsidRPr="00976C24" w:rsidRDefault="00903547" w:rsidP="00354A36">
      <w:pPr>
        <w:pStyle w:val="SingleTxtG"/>
        <w:rPr>
          <w:lang w:val="fr-FR"/>
        </w:rPr>
      </w:pPr>
      <w:r>
        <w:rPr>
          <w:lang w:val="fr-FR"/>
        </w:rPr>
        <w:t>225.</w:t>
      </w:r>
      <w:r>
        <w:rPr>
          <w:lang w:val="fr-FR"/>
        </w:rPr>
        <w:tab/>
      </w:r>
      <w:r w:rsidRPr="00976C24">
        <w:rPr>
          <w:lang w:val="fr-FR"/>
        </w:rPr>
        <w:t>Le Comité pourra se reporter au</w:t>
      </w:r>
      <w:r>
        <w:rPr>
          <w:lang w:val="fr-FR"/>
        </w:rPr>
        <w:t xml:space="preserve">x paragraphes 271 à </w:t>
      </w:r>
      <w:r w:rsidRPr="00976C24">
        <w:rPr>
          <w:lang w:val="fr-FR"/>
        </w:rPr>
        <w:t>277</w:t>
      </w:r>
      <w:r>
        <w:rPr>
          <w:lang w:val="fr-FR"/>
        </w:rPr>
        <w:t xml:space="preserve"> du </w:t>
      </w:r>
      <w:r w:rsidRPr="00976C24">
        <w:rPr>
          <w:lang w:val="fr-FR"/>
        </w:rPr>
        <w:t>document de base commun.</w:t>
      </w:r>
    </w:p>
    <w:p w:rsidR="00903547" w:rsidRPr="00976C24" w:rsidRDefault="00903547" w:rsidP="0071086E">
      <w:pPr>
        <w:pStyle w:val="H23G"/>
        <w:rPr>
          <w:lang w:val="fr-FR"/>
        </w:rPr>
      </w:pPr>
      <w:r w:rsidRPr="00976C24">
        <w:rPr>
          <w:lang w:val="fr-FR"/>
        </w:rPr>
        <w:tab/>
        <w:t>7.</w:t>
      </w:r>
      <w:r w:rsidRPr="00976C24">
        <w:rPr>
          <w:lang w:val="fr-FR"/>
        </w:rPr>
        <w:tab/>
        <w:t>Informations sur la façon dont les non-ressortissants bénéficient de régimes non contributifs de soutien du revenu et ont accès aux soins de santé et aux prestations familiales (E/2009/22-E/C.12/2008/3, annexe VIII, par.</w:t>
      </w:r>
      <w:r>
        <w:rPr>
          <w:lang w:val="fr-FR"/>
        </w:rPr>
        <w:t> </w:t>
      </w:r>
      <w:r w:rsidRPr="00976C24">
        <w:rPr>
          <w:lang w:val="fr-FR"/>
        </w:rPr>
        <w:t>33)</w:t>
      </w:r>
    </w:p>
    <w:p w:rsidR="00903547" w:rsidRPr="00976C24" w:rsidRDefault="00903547" w:rsidP="00354A36">
      <w:pPr>
        <w:pStyle w:val="SingleTxtG"/>
        <w:rPr>
          <w:lang w:val="fr-FR"/>
        </w:rPr>
      </w:pPr>
      <w:r>
        <w:rPr>
          <w:lang w:val="fr-FR"/>
        </w:rPr>
        <w:t>226.</w:t>
      </w:r>
      <w:r>
        <w:rPr>
          <w:lang w:val="fr-FR"/>
        </w:rPr>
        <w:tab/>
      </w:r>
      <w:r w:rsidRPr="00976C24">
        <w:rPr>
          <w:lang w:val="fr-FR"/>
        </w:rPr>
        <w:t xml:space="preserve">Les dispositions relatives aux services et mesures </w:t>
      </w:r>
      <w:r>
        <w:rPr>
          <w:lang w:val="fr-FR"/>
        </w:rPr>
        <w:t>énoncés dans</w:t>
      </w:r>
      <w:r w:rsidRPr="00976C24">
        <w:rPr>
          <w:lang w:val="fr-FR"/>
        </w:rPr>
        <w:t xml:space="preserve"> la loi de 2009 </w:t>
      </w:r>
      <w:r>
        <w:rPr>
          <w:lang w:val="fr-FR"/>
        </w:rPr>
        <w:t>sur les</w:t>
      </w:r>
      <w:r w:rsidRPr="00976C24">
        <w:rPr>
          <w:lang w:val="fr-FR"/>
        </w:rPr>
        <w:t xml:space="preserve"> services sociaux de l’administration du travail et de la protection sociale s’appliquent à toute personne résidant dans le royaume. La loi </w:t>
      </w:r>
      <w:r>
        <w:rPr>
          <w:lang w:val="fr-FR"/>
        </w:rPr>
        <w:t>fait obligation aux</w:t>
      </w:r>
      <w:r w:rsidRPr="00976C24">
        <w:rPr>
          <w:lang w:val="fr-FR"/>
        </w:rPr>
        <w:t xml:space="preserve"> autorités locales d’offrir une protection sociale à toutes les personnes vivant dans la municipalité. Les non-ressortissants ont les mêmes droits que les Nor</w:t>
      </w:r>
      <w:r>
        <w:rPr>
          <w:lang w:val="fr-FR"/>
        </w:rPr>
        <w:t>végiens (voir la réponse au paragraphe </w:t>
      </w:r>
      <w:r w:rsidRPr="00976C24">
        <w:rPr>
          <w:lang w:val="fr-FR"/>
        </w:rPr>
        <w:t xml:space="preserve">29 des directives), à quelques exceptions près. </w:t>
      </w:r>
      <w:r>
        <w:rPr>
          <w:lang w:val="fr-FR"/>
        </w:rPr>
        <w:t>L</w:t>
      </w:r>
      <w:r w:rsidRPr="00976C24">
        <w:rPr>
          <w:lang w:val="fr-FR"/>
        </w:rPr>
        <w:t xml:space="preserve">e règlement du 4 décembre, publié en application de l’article 2 de la loi, </w:t>
      </w:r>
      <w:r>
        <w:rPr>
          <w:lang w:val="fr-FR"/>
        </w:rPr>
        <w:t xml:space="preserve">établit </w:t>
      </w:r>
      <w:r w:rsidRPr="00976C24">
        <w:rPr>
          <w:lang w:val="fr-FR"/>
        </w:rPr>
        <w:t xml:space="preserve">une distinction entre les non-ressortissants qui sont simplement présents dans le pays et </w:t>
      </w:r>
      <w:r>
        <w:rPr>
          <w:lang w:val="fr-FR"/>
        </w:rPr>
        <w:t>ceux qui demeure</w:t>
      </w:r>
      <w:r w:rsidRPr="00976C24">
        <w:rPr>
          <w:lang w:val="fr-FR"/>
        </w:rPr>
        <w:t xml:space="preserve">nt sur le territoire en situation irrégulière. Les non-ressortissants qui </w:t>
      </w:r>
      <w:r>
        <w:rPr>
          <w:lang w:val="fr-FR"/>
        </w:rPr>
        <w:t>effectuent une visite</w:t>
      </w:r>
      <w:r w:rsidRPr="00976C24">
        <w:rPr>
          <w:lang w:val="fr-FR"/>
        </w:rPr>
        <w:t xml:space="preserve"> </w:t>
      </w:r>
      <w:r>
        <w:rPr>
          <w:lang w:val="fr-FR"/>
        </w:rPr>
        <w:t xml:space="preserve">dans </w:t>
      </w:r>
      <w:r w:rsidRPr="00976C24">
        <w:rPr>
          <w:lang w:val="fr-FR"/>
        </w:rPr>
        <w:t xml:space="preserve">le pays pendant une période limitée ont droit à une aide sociale d’urgence jusqu’à ce qu’ils soient en mesure de quitter le pays. Les personnes en situation irrégulière n’ont pas droit à une aide économique pour poursuivre leur séjour mais peuvent bénéficier d’une aide </w:t>
      </w:r>
      <w:r>
        <w:rPr>
          <w:lang w:val="fr-FR"/>
        </w:rPr>
        <w:t xml:space="preserve">sociale </w:t>
      </w:r>
      <w:r w:rsidRPr="00976C24">
        <w:rPr>
          <w:lang w:val="fr-FR"/>
        </w:rPr>
        <w:t xml:space="preserve">d’urgence jusqu’à leur départ, sauf si elles sont en droit de </w:t>
      </w:r>
      <w:r>
        <w:rPr>
          <w:lang w:val="fr-FR"/>
        </w:rPr>
        <w:t>séjourner</w:t>
      </w:r>
      <w:r w:rsidRPr="00976C24">
        <w:rPr>
          <w:lang w:val="fr-FR"/>
        </w:rPr>
        <w:t xml:space="preserve"> dans un centre d’accueil, comme indiqué au paragraphe </w:t>
      </w:r>
      <w:r>
        <w:rPr>
          <w:lang w:val="fr-FR"/>
        </w:rPr>
        <w:t>relatif à</w:t>
      </w:r>
      <w:r w:rsidRPr="00976C24">
        <w:rPr>
          <w:lang w:val="fr-FR"/>
        </w:rPr>
        <w:t xml:space="preserve"> l’article 11 </w:t>
      </w:r>
      <w:r>
        <w:rPr>
          <w:lang w:val="fr-FR"/>
        </w:rPr>
        <w:t>figurant dans le</w:t>
      </w:r>
      <w:r w:rsidRPr="00976C24">
        <w:rPr>
          <w:lang w:val="fr-FR"/>
        </w:rPr>
        <w:t xml:space="preserve"> présent rapport. Toute personne présente sur le territoire (</w:t>
      </w:r>
      <w:r>
        <w:rPr>
          <w:lang w:val="fr-FR"/>
        </w:rPr>
        <w:t>en situation régulière ou non</w:t>
      </w:r>
      <w:r w:rsidRPr="00976C24">
        <w:rPr>
          <w:lang w:val="fr-FR"/>
        </w:rPr>
        <w:t>) doit recevoir des informations, des conseils et des recommandations qui lui permett</w:t>
      </w:r>
      <w:r>
        <w:rPr>
          <w:lang w:val="fr-FR"/>
        </w:rPr>
        <w:t>ro</w:t>
      </w:r>
      <w:r w:rsidRPr="00976C24">
        <w:rPr>
          <w:lang w:val="fr-FR"/>
        </w:rPr>
        <w:t>nt de résoudre ou de prévenir des problèmes sociaux.</w:t>
      </w:r>
    </w:p>
    <w:p w:rsidR="00903547" w:rsidRPr="00976C24" w:rsidRDefault="00903547" w:rsidP="00354A36">
      <w:pPr>
        <w:pStyle w:val="SingleTxtG"/>
        <w:rPr>
          <w:lang w:val="fr-FR"/>
        </w:rPr>
      </w:pPr>
      <w:r>
        <w:rPr>
          <w:lang w:val="fr-FR"/>
        </w:rPr>
        <w:t>227.</w:t>
      </w:r>
      <w:r>
        <w:rPr>
          <w:lang w:val="fr-FR"/>
        </w:rPr>
        <w:tab/>
      </w:r>
      <w:r w:rsidRPr="00976C24">
        <w:rPr>
          <w:lang w:val="fr-FR"/>
        </w:rPr>
        <w:t xml:space="preserve">Les personnes demeurant en Norvège qui ne sont pas couvertes par le régime d’assurance national ou un accord de réciprocité correspondant signé avec un autre </w:t>
      </w:r>
      <w:r>
        <w:rPr>
          <w:lang w:val="fr-FR"/>
        </w:rPr>
        <w:t>État</w:t>
      </w:r>
      <w:r w:rsidRPr="00976C24">
        <w:rPr>
          <w:lang w:val="fr-FR"/>
        </w:rPr>
        <w:t xml:space="preserve"> doivent payer leur</w:t>
      </w:r>
      <w:r>
        <w:rPr>
          <w:lang w:val="fr-FR"/>
        </w:rPr>
        <w:t xml:space="preserve"> traitement médical; il en va de même pour</w:t>
      </w:r>
      <w:r w:rsidRPr="00976C24">
        <w:rPr>
          <w:lang w:val="fr-FR"/>
        </w:rPr>
        <w:t xml:space="preserve"> les </w:t>
      </w:r>
      <w:r>
        <w:rPr>
          <w:lang w:val="fr-FR"/>
        </w:rPr>
        <w:t>im</w:t>
      </w:r>
      <w:r w:rsidRPr="00976C24">
        <w:rPr>
          <w:lang w:val="fr-FR"/>
        </w:rPr>
        <w:t>migr</w:t>
      </w:r>
      <w:r>
        <w:rPr>
          <w:lang w:val="fr-FR"/>
        </w:rPr>
        <w:t>és</w:t>
      </w:r>
      <w:r w:rsidRPr="00976C24">
        <w:rPr>
          <w:lang w:val="fr-FR"/>
        </w:rPr>
        <w:t xml:space="preserve"> en situation irrégulière. Il est toutefois interdit de refuser des soins médicaux d’urgence à des personnes au motif qu’elles sont dans l’incapacité de les </w:t>
      </w:r>
      <w:r>
        <w:rPr>
          <w:lang w:val="fr-FR"/>
        </w:rPr>
        <w:t>régler</w:t>
      </w:r>
      <w:r w:rsidRPr="00976C24">
        <w:rPr>
          <w:lang w:val="fr-FR"/>
        </w:rPr>
        <w:t>.</w:t>
      </w:r>
    </w:p>
    <w:p w:rsidR="00903547" w:rsidRPr="00976C24" w:rsidRDefault="00903547" w:rsidP="0071086E">
      <w:pPr>
        <w:pStyle w:val="H1G"/>
        <w:rPr>
          <w:lang w:val="fr-FR"/>
        </w:rPr>
      </w:pPr>
      <w:bookmarkStart w:id="58" w:name="_Toc265062229"/>
      <w:r w:rsidRPr="00976C24">
        <w:rPr>
          <w:lang w:val="fr-FR"/>
        </w:rPr>
        <w:tab/>
      </w:r>
      <w:r w:rsidRPr="00976C24">
        <w:rPr>
          <w:lang w:val="fr-FR"/>
        </w:rPr>
        <w:tab/>
      </w:r>
      <w:bookmarkStart w:id="59" w:name="_Toc286326376"/>
      <w:r w:rsidRPr="00976C24">
        <w:rPr>
          <w:lang w:val="fr-FR"/>
        </w:rPr>
        <w:t>Article 1</w:t>
      </w:r>
      <w:r>
        <w:rPr>
          <w:lang w:val="fr-FR"/>
        </w:rPr>
        <w:t>0</w:t>
      </w:r>
      <w:r>
        <w:rPr>
          <w:lang w:val="fr-FR"/>
        </w:rPr>
        <w:br/>
      </w:r>
      <w:r w:rsidRPr="00976C24">
        <w:rPr>
          <w:lang w:val="fr-FR"/>
        </w:rPr>
        <w:t>Droit à une protection de la famille</w:t>
      </w:r>
      <w:bookmarkEnd w:id="58"/>
      <w:bookmarkEnd w:id="59"/>
    </w:p>
    <w:p w:rsidR="00903547" w:rsidRPr="00976C24" w:rsidRDefault="00903547" w:rsidP="0071086E">
      <w:pPr>
        <w:pStyle w:val="H23G"/>
        <w:rPr>
          <w:lang w:val="fr-FR"/>
        </w:rPr>
      </w:pPr>
      <w:r w:rsidRPr="00976C24">
        <w:rPr>
          <w:lang w:val="fr-FR"/>
        </w:rPr>
        <w:tab/>
        <w:t>1.</w:t>
      </w:r>
      <w:r w:rsidRPr="00976C24">
        <w:rPr>
          <w:lang w:val="fr-FR"/>
        </w:rPr>
        <w:tab/>
        <w:t>Garanties offertes par l’</w:t>
      </w:r>
      <w:r>
        <w:rPr>
          <w:lang w:val="fr-FR"/>
        </w:rPr>
        <w:t>État</w:t>
      </w:r>
      <w:r w:rsidRPr="00976C24">
        <w:rPr>
          <w:lang w:val="fr-FR"/>
        </w:rPr>
        <w:t xml:space="preserve"> partie en ce qui concerne le droit des hommes, et plus encore des femmes, de contracter mariage librement et de fonder une famille (E/2009/22-E/C.12/2008/3, annexe VIII, par.</w:t>
      </w:r>
      <w:r>
        <w:rPr>
          <w:lang w:val="fr-FR"/>
        </w:rPr>
        <w:t> </w:t>
      </w:r>
      <w:r w:rsidRPr="00976C24">
        <w:rPr>
          <w:lang w:val="fr-FR"/>
        </w:rPr>
        <w:t>34)</w:t>
      </w:r>
    </w:p>
    <w:p w:rsidR="00903547" w:rsidRPr="00976C24" w:rsidRDefault="00903547" w:rsidP="00354A36">
      <w:pPr>
        <w:pStyle w:val="SingleTxtG"/>
        <w:rPr>
          <w:lang w:val="fr-FR"/>
        </w:rPr>
      </w:pPr>
      <w:r>
        <w:rPr>
          <w:lang w:val="fr-FR"/>
        </w:rPr>
        <w:t>228.</w:t>
      </w:r>
      <w:r>
        <w:rPr>
          <w:lang w:val="fr-FR"/>
        </w:rPr>
        <w:tab/>
      </w:r>
      <w:r w:rsidRPr="00976C24">
        <w:rPr>
          <w:lang w:val="fr-FR"/>
        </w:rPr>
        <w:t>Une nouvelle loi sur le mariage</w:t>
      </w:r>
      <w:r>
        <w:rPr>
          <w:lang w:val="fr-FR"/>
        </w:rPr>
        <w:t>,</w:t>
      </w:r>
      <w:r w:rsidRPr="00976C24">
        <w:rPr>
          <w:lang w:val="fr-FR"/>
        </w:rPr>
        <w:t xml:space="preserve"> entrée en vigueur le </w:t>
      </w:r>
      <w:r>
        <w:rPr>
          <w:lang w:val="fr-FR"/>
        </w:rPr>
        <w:t>1</w:t>
      </w:r>
      <w:r w:rsidRPr="00D52E44">
        <w:rPr>
          <w:vertAlign w:val="superscript"/>
          <w:lang w:val="fr-FR"/>
        </w:rPr>
        <w:t>er</w:t>
      </w:r>
      <w:r>
        <w:rPr>
          <w:lang w:val="fr-FR"/>
        </w:rPr>
        <w:t> </w:t>
      </w:r>
      <w:r w:rsidRPr="00976C24">
        <w:rPr>
          <w:lang w:val="fr-FR"/>
        </w:rPr>
        <w:t>janvier 2009</w:t>
      </w:r>
      <w:r>
        <w:rPr>
          <w:lang w:val="fr-FR"/>
        </w:rPr>
        <w:t>,</w:t>
      </w:r>
      <w:r w:rsidRPr="00976C24">
        <w:rPr>
          <w:lang w:val="fr-FR"/>
        </w:rPr>
        <w:t xml:space="preserve"> accorde aux couples homosexuels et hétérosexuels le même droit de contracter mariage. Les couples vivant en partenariat civil peuvent, par le biais d’une procédure simple, demander </w:t>
      </w:r>
      <w:r>
        <w:rPr>
          <w:lang w:val="fr-FR"/>
        </w:rPr>
        <w:t xml:space="preserve">la modification de </w:t>
      </w:r>
      <w:r w:rsidRPr="00976C24">
        <w:rPr>
          <w:lang w:val="fr-FR"/>
        </w:rPr>
        <w:t xml:space="preserve">leur </w:t>
      </w:r>
      <w:r>
        <w:rPr>
          <w:lang w:val="fr-FR"/>
        </w:rPr>
        <w:t>situation en faveur d’</w:t>
      </w:r>
      <w:r w:rsidRPr="00976C24">
        <w:rPr>
          <w:lang w:val="fr-FR"/>
        </w:rPr>
        <w:t>un mariage reconnu par la loi. Les</w:t>
      </w:r>
      <w:r>
        <w:rPr>
          <w:lang w:val="fr-FR"/>
        </w:rPr>
        <w:t xml:space="preserve"> couples homosexuels peuvent </w:t>
      </w:r>
      <w:r w:rsidRPr="00976C24">
        <w:rPr>
          <w:lang w:val="fr-FR"/>
        </w:rPr>
        <w:t xml:space="preserve">adopter </w:t>
      </w:r>
      <w:r>
        <w:rPr>
          <w:lang w:val="fr-FR"/>
        </w:rPr>
        <w:t xml:space="preserve">au même titre </w:t>
      </w:r>
      <w:r w:rsidRPr="00976C24">
        <w:rPr>
          <w:lang w:val="fr-FR"/>
        </w:rPr>
        <w:t>que les coup</w:t>
      </w:r>
      <w:r>
        <w:rPr>
          <w:lang w:val="fr-FR"/>
        </w:rPr>
        <w:t>l</w:t>
      </w:r>
      <w:r w:rsidRPr="00976C24">
        <w:rPr>
          <w:lang w:val="fr-FR"/>
        </w:rPr>
        <w:t xml:space="preserve">es hétérosexuels. Les couples de lesbiennes ont droit </w:t>
      </w:r>
      <w:r>
        <w:rPr>
          <w:lang w:val="fr-FR"/>
        </w:rPr>
        <w:t>de recourir à</w:t>
      </w:r>
      <w:r w:rsidRPr="00976C24">
        <w:rPr>
          <w:lang w:val="fr-FR"/>
        </w:rPr>
        <w:t xml:space="preserve"> la procréation médicalement assistée.</w:t>
      </w:r>
    </w:p>
    <w:p w:rsidR="00903547" w:rsidRPr="00976C24" w:rsidRDefault="00903547" w:rsidP="00354A36">
      <w:pPr>
        <w:pStyle w:val="SingleTxtG"/>
        <w:rPr>
          <w:lang w:val="fr-FR"/>
        </w:rPr>
      </w:pPr>
      <w:r>
        <w:rPr>
          <w:lang w:val="fr-FR"/>
        </w:rPr>
        <w:t>229.</w:t>
      </w:r>
      <w:r>
        <w:rPr>
          <w:lang w:val="fr-FR"/>
        </w:rPr>
        <w:tab/>
      </w:r>
      <w:r w:rsidRPr="00976C24">
        <w:rPr>
          <w:lang w:val="fr-FR"/>
        </w:rPr>
        <w:t xml:space="preserve">Selon l’alinéa </w:t>
      </w:r>
      <w:r w:rsidRPr="00504D94">
        <w:rPr>
          <w:i/>
          <w:lang w:val="fr-FR"/>
        </w:rPr>
        <w:t>a</w:t>
      </w:r>
      <w:r w:rsidRPr="00976C24">
        <w:rPr>
          <w:lang w:val="fr-FR"/>
        </w:rPr>
        <w:t xml:space="preserve"> de l’article l de la loi sur le mariage, toute personne de moins de 18</w:t>
      </w:r>
      <w:r>
        <w:rPr>
          <w:lang w:val="fr-FR"/>
        </w:rPr>
        <w:t> </w:t>
      </w:r>
      <w:r w:rsidRPr="00976C24">
        <w:rPr>
          <w:lang w:val="fr-FR"/>
        </w:rPr>
        <w:t xml:space="preserve">ans ne peut contracter mariage sans le consentement de son représentant légal et l’autorisation du gouverneur du comté qui peut </w:t>
      </w:r>
      <w:r>
        <w:rPr>
          <w:lang w:val="fr-FR"/>
        </w:rPr>
        <w:t xml:space="preserve">la </w:t>
      </w:r>
      <w:r w:rsidRPr="00976C24">
        <w:rPr>
          <w:lang w:val="fr-FR"/>
        </w:rPr>
        <w:t>refuser si le demandeur est âgé de moins de 16 ans. En 2007, les règles permettant au gouverneur du comté d’accorder une dérogation à l’âge minimum ont été modifiées et durcies afin de prévenir les mariages d’enfants et les mariages forcés. Entre 2007 et 2009, quelque 25</w:t>
      </w:r>
      <w:r>
        <w:rPr>
          <w:lang w:val="fr-FR"/>
        </w:rPr>
        <w:t> </w:t>
      </w:r>
      <w:r w:rsidRPr="00976C24">
        <w:rPr>
          <w:lang w:val="fr-FR"/>
        </w:rPr>
        <w:t>000 mariages ont été contractés chaque année en</w:t>
      </w:r>
      <w:r>
        <w:rPr>
          <w:lang w:val="fr-FR"/>
        </w:rPr>
        <w:t xml:space="preserve"> Norvège et ce sont en moyenne cinq</w:t>
      </w:r>
      <w:r w:rsidRPr="00976C24">
        <w:rPr>
          <w:lang w:val="fr-FR"/>
        </w:rPr>
        <w:t xml:space="preserve"> dérogations à l’âge minimum qui ont été accordées chaque année.</w:t>
      </w:r>
    </w:p>
    <w:p w:rsidR="00903547" w:rsidRPr="00976C24" w:rsidRDefault="00903547" w:rsidP="00354A36">
      <w:pPr>
        <w:pStyle w:val="SingleTxtG"/>
        <w:rPr>
          <w:lang w:val="fr-FR"/>
        </w:rPr>
      </w:pPr>
      <w:r>
        <w:rPr>
          <w:lang w:val="fr-FR"/>
        </w:rPr>
        <w:t>230.</w:t>
      </w:r>
      <w:r>
        <w:rPr>
          <w:lang w:val="fr-FR"/>
        </w:rPr>
        <w:tab/>
      </w:r>
      <w:r w:rsidRPr="00976C24">
        <w:rPr>
          <w:lang w:val="fr-FR"/>
        </w:rPr>
        <w:t xml:space="preserve">Forcer une personne à se marier constitue une violation des droits fondamentaux et de la législation norvégienne. Les mariages forcés </w:t>
      </w:r>
      <w:r>
        <w:rPr>
          <w:lang w:val="fr-FR"/>
        </w:rPr>
        <w:t>restent</w:t>
      </w:r>
      <w:r w:rsidRPr="00976C24">
        <w:rPr>
          <w:lang w:val="fr-FR"/>
        </w:rPr>
        <w:t xml:space="preserve"> un problème et le Gouvernement est </w:t>
      </w:r>
      <w:r>
        <w:rPr>
          <w:lang w:val="fr-FR"/>
        </w:rPr>
        <w:t>fermement</w:t>
      </w:r>
      <w:r w:rsidRPr="00976C24">
        <w:rPr>
          <w:lang w:val="fr-FR"/>
        </w:rPr>
        <w:t xml:space="preserve"> résolu à lutter contre cette pratique. Le Comité pourra se reporter au paragraphe 120</w:t>
      </w:r>
      <w:r>
        <w:rPr>
          <w:lang w:val="fr-FR"/>
        </w:rPr>
        <w:t xml:space="preserve"> du </w:t>
      </w:r>
      <w:r w:rsidRPr="00976C24">
        <w:rPr>
          <w:lang w:val="fr-FR"/>
        </w:rPr>
        <w:t xml:space="preserve">quatrième rapport de la Norvège soumis </w:t>
      </w:r>
      <w:r>
        <w:rPr>
          <w:lang w:val="fr-FR"/>
        </w:rPr>
        <w:t>en vertu du</w:t>
      </w:r>
      <w:r w:rsidRPr="00976C24">
        <w:rPr>
          <w:lang w:val="fr-FR"/>
        </w:rPr>
        <w:t xml:space="preserve"> Pacte international relatif aux droits économiques, sociaux et culturels,</w:t>
      </w:r>
      <w:r>
        <w:rPr>
          <w:lang w:val="fr-FR"/>
        </w:rPr>
        <w:t xml:space="preserve"> à l’article 3.7</w:t>
      </w:r>
      <w:r w:rsidRPr="00976C24">
        <w:rPr>
          <w:lang w:val="fr-FR"/>
        </w:rPr>
        <w:t xml:space="preserve"> </w:t>
      </w:r>
      <w:r>
        <w:rPr>
          <w:lang w:val="fr-FR"/>
        </w:rPr>
        <w:t>d</w:t>
      </w:r>
      <w:r w:rsidRPr="00976C24">
        <w:rPr>
          <w:lang w:val="fr-FR"/>
        </w:rPr>
        <w:t xml:space="preserve">u rapport soumis </w:t>
      </w:r>
      <w:r>
        <w:rPr>
          <w:lang w:val="fr-FR"/>
        </w:rPr>
        <w:t>au titre de l’EPU</w:t>
      </w:r>
      <w:r w:rsidRPr="00976C24">
        <w:rPr>
          <w:lang w:val="fr-FR"/>
        </w:rPr>
        <w:t>, au</w:t>
      </w:r>
      <w:r>
        <w:rPr>
          <w:lang w:val="fr-FR"/>
        </w:rPr>
        <w:t>x</w:t>
      </w:r>
      <w:r w:rsidRPr="00976C24">
        <w:rPr>
          <w:lang w:val="fr-FR"/>
        </w:rPr>
        <w:t xml:space="preserve"> paragraphes 227</w:t>
      </w:r>
      <w:r>
        <w:rPr>
          <w:lang w:val="fr-FR"/>
        </w:rPr>
        <w:t xml:space="preserve"> à </w:t>
      </w:r>
      <w:r w:rsidRPr="00976C24">
        <w:rPr>
          <w:lang w:val="fr-FR"/>
        </w:rPr>
        <w:t>233</w:t>
      </w:r>
      <w:r>
        <w:rPr>
          <w:lang w:val="fr-FR"/>
        </w:rPr>
        <w:t xml:space="preserve"> du </w:t>
      </w:r>
      <w:r w:rsidRPr="00976C24">
        <w:rPr>
          <w:lang w:val="fr-FR"/>
        </w:rPr>
        <w:t>sixième rapport périodique de la Norvège soumis au Comité des droits de l’homme et au</w:t>
      </w:r>
      <w:r>
        <w:rPr>
          <w:lang w:val="fr-FR"/>
        </w:rPr>
        <w:t xml:space="preserve"> paragraphe 144 des</w:t>
      </w:r>
      <w:r w:rsidRPr="00976C24">
        <w:rPr>
          <w:lang w:val="fr-FR"/>
        </w:rPr>
        <w:t xml:space="preserve"> dix-neuvième et vingtième rapports périodiques soumis au Comité pour l’élimination de la discrimination raciale</w:t>
      </w:r>
      <w:r>
        <w:rPr>
          <w:lang w:val="fr-FR"/>
        </w:rPr>
        <w:t xml:space="preserve"> en ce qui concerne les a</w:t>
      </w:r>
      <w:r w:rsidRPr="00976C24">
        <w:rPr>
          <w:lang w:val="fr-FR"/>
        </w:rPr>
        <w:t xml:space="preserve">ctions </w:t>
      </w:r>
      <w:r>
        <w:rPr>
          <w:lang w:val="fr-FR"/>
        </w:rPr>
        <w:t>engagées</w:t>
      </w:r>
      <w:r w:rsidRPr="00976C24">
        <w:rPr>
          <w:lang w:val="fr-FR"/>
        </w:rPr>
        <w:t xml:space="preserve"> pour lutter contre le</w:t>
      </w:r>
      <w:r>
        <w:rPr>
          <w:lang w:val="fr-FR"/>
        </w:rPr>
        <w:t>s</w:t>
      </w:r>
      <w:r w:rsidRPr="00976C24">
        <w:rPr>
          <w:lang w:val="fr-FR"/>
        </w:rPr>
        <w:t xml:space="preserve"> mariage</w:t>
      </w:r>
      <w:r>
        <w:rPr>
          <w:lang w:val="fr-FR"/>
        </w:rPr>
        <w:t>s</w:t>
      </w:r>
      <w:r w:rsidRPr="00976C24">
        <w:rPr>
          <w:lang w:val="fr-FR"/>
        </w:rPr>
        <w:t xml:space="preserve"> forcé</w:t>
      </w:r>
      <w:r>
        <w:rPr>
          <w:lang w:val="fr-FR"/>
        </w:rPr>
        <w:t>s</w:t>
      </w:r>
      <w:r w:rsidRPr="00976C24">
        <w:rPr>
          <w:lang w:val="fr-FR"/>
        </w:rPr>
        <w:t>.</w:t>
      </w:r>
    </w:p>
    <w:p w:rsidR="00903547" w:rsidRPr="00976C24" w:rsidRDefault="00903547" w:rsidP="00354A36">
      <w:pPr>
        <w:pStyle w:val="SingleTxtG"/>
        <w:rPr>
          <w:lang w:val="fr-FR"/>
        </w:rPr>
      </w:pPr>
      <w:r>
        <w:rPr>
          <w:lang w:val="fr-FR"/>
        </w:rPr>
        <w:t>231.</w:t>
      </w:r>
      <w:r>
        <w:rPr>
          <w:lang w:val="fr-FR"/>
        </w:rPr>
        <w:tab/>
      </w:r>
      <w:r w:rsidRPr="00976C24">
        <w:rPr>
          <w:lang w:val="fr-FR"/>
        </w:rPr>
        <w:t xml:space="preserve">Un nouveau plan </w:t>
      </w:r>
      <w:r>
        <w:rPr>
          <w:lang w:val="fr-FR"/>
        </w:rPr>
        <w:t>de lutte</w:t>
      </w:r>
      <w:r w:rsidRPr="00976C24">
        <w:rPr>
          <w:lang w:val="fr-FR"/>
        </w:rPr>
        <w:t xml:space="preserve"> contre le</w:t>
      </w:r>
      <w:r>
        <w:rPr>
          <w:lang w:val="fr-FR"/>
        </w:rPr>
        <w:t>s</w:t>
      </w:r>
      <w:r w:rsidRPr="00976C24">
        <w:rPr>
          <w:lang w:val="fr-FR"/>
        </w:rPr>
        <w:t xml:space="preserve"> mariage</w:t>
      </w:r>
      <w:r>
        <w:rPr>
          <w:lang w:val="fr-FR"/>
        </w:rPr>
        <w:t>s</w:t>
      </w:r>
      <w:r w:rsidRPr="00976C24">
        <w:rPr>
          <w:lang w:val="fr-FR"/>
        </w:rPr>
        <w:t xml:space="preserve"> forcé</w:t>
      </w:r>
      <w:r>
        <w:rPr>
          <w:lang w:val="fr-FR"/>
        </w:rPr>
        <w:t>s</w:t>
      </w:r>
      <w:r w:rsidRPr="00976C24">
        <w:rPr>
          <w:lang w:val="fr-FR"/>
        </w:rPr>
        <w:t xml:space="preserve"> </w:t>
      </w:r>
      <w:r>
        <w:rPr>
          <w:lang w:val="fr-FR"/>
        </w:rPr>
        <w:t>porte sur</w:t>
      </w:r>
      <w:r w:rsidRPr="00976C24">
        <w:rPr>
          <w:lang w:val="fr-FR"/>
        </w:rPr>
        <w:t xml:space="preserve"> la période 2008</w:t>
      </w:r>
      <w:r>
        <w:rPr>
          <w:lang w:val="fr-FR"/>
        </w:rPr>
        <w:t>-</w:t>
      </w:r>
      <w:r w:rsidRPr="00976C24">
        <w:rPr>
          <w:lang w:val="fr-FR"/>
        </w:rPr>
        <w:t>2012. Le principal groupe cible est constitué de</w:t>
      </w:r>
      <w:r>
        <w:rPr>
          <w:lang w:val="fr-FR"/>
        </w:rPr>
        <w:t>s</w:t>
      </w:r>
      <w:r w:rsidRPr="00976C24">
        <w:rPr>
          <w:lang w:val="fr-FR"/>
        </w:rPr>
        <w:t xml:space="preserve"> jeunes menacés ou victimes d’un mariage forcé. Le plan d’action compte 40 mesures et vise en particulier à a</w:t>
      </w:r>
      <w:r>
        <w:rPr>
          <w:lang w:val="fr-FR"/>
        </w:rPr>
        <w:t>méliorer</w:t>
      </w:r>
      <w:r w:rsidRPr="00976C24">
        <w:rPr>
          <w:lang w:val="fr-FR"/>
        </w:rPr>
        <w:t xml:space="preserve"> l</w:t>
      </w:r>
      <w:r>
        <w:rPr>
          <w:lang w:val="fr-FR"/>
        </w:rPr>
        <w:t>es échanges et les compétences</w:t>
      </w:r>
      <w:r w:rsidRPr="00976C24">
        <w:rPr>
          <w:lang w:val="fr-FR"/>
        </w:rPr>
        <w:t xml:space="preserve"> des autorités publiques, </w:t>
      </w:r>
      <w:r>
        <w:rPr>
          <w:lang w:val="fr-FR"/>
        </w:rPr>
        <w:t>à assurer l’obtention d’</w:t>
      </w:r>
      <w:r w:rsidRPr="00976C24">
        <w:rPr>
          <w:lang w:val="fr-FR"/>
        </w:rPr>
        <w:t xml:space="preserve">un logement sûr et </w:t>
      </w:r>
      <w:r>
        <w:rPr>
          <w:lang w:val="fr-FR"/>
        </w:rPr>
        <w:t xml:space="preserve">à renforcer </w:t>
      </w:r>
      <w:r w:rsidRPr="00976C24">
        <w:rPr>
          <w:lang w:val="fr-FR"/>
        </w:rPr>
        <w:t>le rôle des missions étrangères et des établissements scolaires. Le</w:t>
      </w:r>
      <w:r>
        <w:rPr>
          <w:lang w:val="fr-FR"/>
        </w:rPr>
        <w:t>s autorités ont</w:t>
      </w:r>
      <w:r w:rsidRPr="00976C24">
        <w:rPr>
          <w:lang w:val="fr-FR"/>
        </w:rPr>
        <w:t xml:space="preserve"> </w:t>
      </w:r>
      <w:r>
        <w:rPr>
          <w:lang w:val="fr-FR"/>
        </w:rPr>
        <w:t>lancé</w:t>
      </w:r>
      <w:r w:rsidRPr="00976C24">
        <w:rPr>
          <w:lang w:val="fr-FR"/>
        </w:rPr>
        <w:t xml:space="preserve"> une évaluation annuelle des mesures du plan d’action</w:t>
      </w:r>
      <w:r>
        <w:rPr>
          <w:lang w:val="fr-FR"/>
        </w:rPr>
        <w:t xml:space="preserve"> dont le bilan actuel est positif</w:t>
      </w:r>
      <w:r w:rsidRPr="00976C24">
        <w:rPr>
          <w:lang w:val="fr-FR"/>
        </w:rPr>
        <w:t>.</w:t>
      </w:r>
    </w:p>
    <w:p w:rsidR="00903547" w:rsidRPr="00976C24" w:rsidRDefault="00903547" w:rsidP="00354A36">
      <w:pPr>
        <w:pStyle w:val="SingleTxtG"/>
        <w:rPr>
          <w:lang w:val="fr-FR"/>
        </w:rPr>
      </w:pPr>
      <w:r>
        <w:rPr>
          <w:lang w:val="fr-FR"/>
        </w:rPr>
        <w:t>232.</w:t>
      </w:r>
      <w:r>
        <w:rPr>
          <w:lang w:val="fr-FR"/>
        </w:rPr>
        <w:tab/>
      </w:r>
      <w:r w:rsidRPr="00976C24">
        <w:rPr>
          <w:lang w:val="fr-FR"/>
        </w:rPr>
        <w:t>Une nouvelle loi</w:t>
      </w:r>
      <w:r>
        <w:rPr>
          <w:lang w:val="fr-FR"/>
        </w:rPr>
        <w:t xml:space="preserve"> sur les centres d’accueil d’urgence est</w:t>
      </w:r>
      <w:r w:rsidRPr="00976C24">
        <w:rPr>
          <w:lang w:val="fr-FR"/>
        </w:rPr>
        <w:t xml:space="preserve"> entrée en vigueur le </w:t>
      </w:r>
      <w:r>
        <w:rPr>
          <w:lang w:val="fr-FR"/>
        </w:rPr>
        <w:t>1</w:t>
      </w:r>
      <w:r w:rsidRPr="00D52E44">
        <w:rPr>
          <w:vertAlign w:val="superscript"/>
          <w:lang w:val="fr-FR"/>
        </w:rPr>
        <w:t>er</w:t>
      </w:r>
      <w:r>
        <w:rPr>
          <w:lang w:val="fr-FR"/>
        </w:rPr>
        <w:t> </w:t>
      </w:r>
      <w:r w:rsidRPr="00976C24">
        <w:rPr>
          <w:lang w:val="fr-FR"/>
        </w:rPr>
        <w:t>janvier 2010</w:t>
      </w:r>
      <w:r>
        <w:rPr>
          <w:lang w:val="fr-FR"/>
        </w:rPr>
        <w:t>; elle</w:t>
      </w:r>
      <w:r w:rsidRPr="00976C24">
        <w:rPr>
          <w:lang w:val="fr-FR"/>
        </w:rPr>
        <w:t xml:space="preserve"> impose aux autorités locales l’obligation de fournir des services d’accueil et </w:t>
      </w:r>
      <w:r>
        <w:rPr>
          <w:lang w:val="fr-FR"/>
        </w:rPr>
        <w:t>d’assistance coordonnés</w:t>
      </w:r>
      <w:r w:rsidRPr="00976C24">
        <w:rPr>
          <w:lang w:val="fr-FR"/>
        </w:rPr>
        <w:t xml:space="preserve"> aux victimes de violence. Les </w:t>
      </w:r>
      <w:r>
        <w:rPr>
          <w:lang w:val="fr-FR"/>
        </w:rPr>
        <w:t>foyers</w:t>
      </w:r>
      <w:r w:rsidRPr="00976C24">
        <w:rPr>
          <w:lang w:val="fr-FR"/>
        </w:rPr>
        <w:t xml:space="preserve"> sont ouverts à tou</w:t>
      </w:r>
      <w:r>
        <w:rPr>
          <w:lang w:val="fr-FR"/>
        </w:rPr>
        <w:t>te personne menacée de</w:t>
      </w:r>
      <w:r w:rsidRPr="00976C24">
        <w:rPr>
          <w:lang w:val="fr-FR"/>
        </w:rPr>
        <w:t xml:space="preserve"> violence familiale et aux jeunes victimes de mariage</w:t>
      </w:r>
      <w:r>
        <w:rPr>
          <w:lang w:val="fr-FR"/>
        </w:rPr>
        <w:t>s</w:t>
      </w:r>
      <w:r w:rsidRPr="00976C24">
        <w:rPr>
          <w:lang w:val="fr-FR"/>
        </w:rPr>
        <w:t xml:space="preserve"> forcé</w:t>
      </w:r>
      <w:r>
        <w:rPr>
          <w:lang w:val="fr-FR"/>
        </w:rPr>
        <w:t>s</w:t>
      </w:r>
      <w:r w:rsidRPr="00976C24">
        <w:rPr>
          <w:lang w:val="fr-FR"/>
        </w:rPr>
        <w:t xml:space="preserve"> ou de traite. Les autorités locales </w:t>
      </w:r>
      <w:r>
        <w:rPr>
          <w:lang w:val="fr-FR"/>
        </w:rPr>
        <w:t>doivent donc</w:t>
      </w:r>
      <w:r w:rsidRPr="00976C24">
        <w:rPr>
          <w:lang w:val="fr-FR"/>
        </w:rPr>
        <w:t xml:space="preserve"> veiller à ce que les femmes, les hommes et les enfants bénéficient d’une assistance </w:t>
      </w:r>
      <w:r>
        <w:rPr>
          <w:lang w:val="fr-FR"/>
        </w:rPr>
        <w:t>e</w:t>
      </w:r>
      <w:r w:rsidRPr="00976C24">
        <w:rPr>
          <w:lang w:val="fr-FR"/>
        </w:rPr>
        <w:t xml:space="preserve">t de mesures de suivi </w:t>
      </w:r>
      <w:r>
        <w:rPr>
          <w:lang w:val="fr-FR"/>
        </w:rPr>
        <w:t>complètes assurées par des</w:t>
      </w:r>
      <w:r w:rsidRPr="00976C24">
        <w:rPr>
          <w:lang w:val="fr-FR"/>
        </w:rPr>
        <w:t xml:space="preserve"> </w:t>
      </w:r>
      <w:r>
        <w:rPr>
          <w:lang w:val="fr-FR"/>
        </w:rPr>
        <w:t xml:space="preserve">services </w:t>
      </w:r>
      <w:r w:rsidRPr="00976C24">
        <w:rPr>
          <w:lang w:val="fr-FR"/>
        </w:rPr>
        <w:t xml:space="preserve">d’accueil </w:t>
      </w:r>
      <w:r>
        <w:rPr>
          <w:lang w:val="fr-FR"/>
        </w:rPr>
        <w:t xml:space="preserve">d’urgence </w:t>
      </w:r>
      <w:r w:rsidRPr="00976C24">
        <w:rPr>
          <w:lang w:val="fr-FR"/>
        </w:rPr>
        <w:t>coordonnés.</w:t>
      </w:r>
    </w:p>
    <w:p w:rsidR="00903547" w:rsidRPr="00976C24" w:rsidRDefault="00903547" w:rsidP="00354A36">
      <w:pPr>
        <w:pStyle w:val="SingleTxtG"/>
        <w:rPr>
          <w:lang w:val="fr-FR"/>
        </w:rPr>
      </w:pPr>
      <w:r>
        <w:rPr>
          <w:lang w:val="fr-FR"/>
        </w:rPr>
        <w:t>233.</w:t>
      </w:r>
      <w:r>
        <w:rPr>
          <w:lang w:val="fr-FR"/>
        </w:rPr>
        <w:tab/>
        <w:t>La</w:t>
      </w:r>
      <w:r w:rsidRPr="00976C24">
        <w:rPr>
          <w:lang w:val="fr-FR"/>
        </w:rPr>
        <w:t xml:space="preserve"> loi répond à deux préoccupations </w:t>
      </w:r>
      <w:r>
        <w:rPr>
          <w:lang w:val="fr-FR"/>
        </w:rPr>
        <w:t>en matière d’égalité des</w:t>
      </w:r>
      <w:r w:rsidRPr="00976C24">
        <w:rPr>
          <w:lang w:val="fr-FR"/>
        </w:rPr>
        <w:t xml:space="preserve"> sexes</w:t>
      </w:r>
      <w:r>
        <w:rPr>
          <w:lang w:val="fr-FR"/>
        </w:rPr>
        <w:t>:</w:t>
      </w:r>
      <w:r w:rsidRPr="00976C24">
        <w:rPr>
          <w:lang w:val="fr-FR"/>
        </w:rPr>
        <w:t xml:space="preserve"> la première est </w:t>
      </w:r>
      <w:r>
        <w:rPr>
          <w:lang w:val="fr-FR"/>
        </w:rPr>
        <w:t>la promotion de</w:t>
      </w:r>
      <w:r w:rsidRPr="00976C24">
        <w:rPr>
          <w:lang w:val="fr-FR"/>
        </w:rPr>
        <w:t xml:space="preserve"> l’égalité des femmes en garantissant une protection spécifique au groupe le plus exposé à la violence familiale. La seconde</w:t>
      </w:r>
      <w:r>
        <w:rPr>
          <w:lang w:val="fr-FR"/>
        </w:rPr>
        <w:t xml:space="preserve"> </w:t>
      </w:r>
      <w:r w:rsidRPr="00976C24">
        <w:rPr>
          <w:lang w:val="fr-FR"/>
        </w:rPr>
        <w:t xml:space="preserve">est </w:t>
      </w:r>
      <w:r>
        <w:rPr>
          <w:lang w:val="fr-FR"/>
        </w:rPr>
        <w:t>la promotion de</w:t>
      </w:r>
      <w:r w:rsidRPr="00976C24">
        <w:rPr>
          <w:lang w:val="fr-FR"/>
        </w:rPr>
        <w:t xml:space="preserve"> l’égalité </w:t>
      </w:r>
      <w:r>
        <w:rPr>
          <w:lang w:val="fr-FR"/>
        </w:rPr>
        <w:t xml:space="preserve">de manière générale car les </w:t>
      </w:r>
      <w:r w:rsidRPr="00976C24">
        <w:rPr>
          <w:lang w:val="fr-FR"/>
        </w:rPr>
        <w:t xml:space="preserve">hommes et </w:t>
      </w:r>
      <w:r>
        <w:rPr>
          <w:lang w:val="fr-FR"/>
        </w:rPr>
        <w:t xml:space="preserve">les </w:t>
      </w:r>
      <w:r w:rsidRPr="00976C24">
        <w:rPr>
          <w:lang w:val="fr-FR"/>
        </w:rPr>
        <w:t xml:space="preserve">femmes exposés à la violence </w:t>
      </w:r>
      <w:r>
        <w:rPr>
          <w:lang w:val="fr-FR"/>
        </w:rPr>
        <w:t>conjugale</w:t>
      </w:r>
      <w:r w:rsidRPr="00976C24">
        <w:rPr>
          <w:lang w:val="fr-FR"/>
        </w:rPr>
        <w:t xml:space="preserve"> </w:t>
      </w:r>
      <w:r>
        <w:rPr>
          <w:lang w:val="fr-FR"/>
        </w:rPr>
        <w:t>doivent bénéficier de la même protection en fonction de leur besoin d’</w:t>
      </w:r>
      <w:r w:rsidRPr="00976C24">
        <w:rPr>
          <w:lang w:val="fr-FR"/>
        </w:rPr>
        <w:t>aide</w:t>
      </w:r>
      <w:r>
        <w:rPr>
          <w:lang w:val="fr-FR"/>
        </w:rPr>
        <w:t xml:space="preserve"> d’urgence</w:t>
      </w:r>
      <w:r w:rsidRPr="00976C24">
        <w:rPr>
          <w:lang w:val="fr-FR"/>
        </w:rPr>
        <w:t xml:space="preserve">. La loi </w:t>
      </w:r>
      <w:r>
        <w:rPr>
          <w:lang w:val="fr-FR"/>
        </w:rPr>
        <w:t>dispose que l’h</w:t>
      </w:r>
      <w:r w:rsidRPr="00976C24">
        <w:rPr>
          <w:lang w:val="fr-FR"/>
        </w:rPr>
        <w:t>ébergement des femmes et des hommes doit être séparé.</w:t>
      </w:r>
    </w:p>
    <w:p w:rsidR="00903547" w:rsidRPr="00976C24" w:rsidRDefault="00903547" w:rsidP="00354A36">
      <w:pPr>
        <w:pStyle w:val="SingleTxtG"/>
        <w:rPr>
          <w:lang w:val="fr-FR"/>
        </w:rPr>
      </w:pPr>
      <w:r>
        <w:rPr>
          <w:lang w:val="fr-FR"/>
        </w:rPr>
        <w:t>234.</w:t>
      </w:r>
      <w:r>
        <w:rPr>
          <w:lang w:val="fr-FR"/>
        </w:rPr>
        <w:tab/>
      </w:r>
      <w:r w:rsidRPr="00976C24">
        <w:rPr>
          <w:lang w:val="fr-FR"/>
        </w:rPr>
        <w:t xml:space="preserve">Le Gouvernement </w:t>
      </w:r>
      <w:r>
        <w:rPr>
          <w:lang w:val="fr-FR"/>
        </w:rPr>
        <w:t xml:space="preserve">a </w:t>
      </w:r>
      <w:r w:rsidRPr="00976C24">
        <w:rPr>
          <w:lang w:val="fr-FR"/>
        </w:rPr>
        <w:t>all</w:t>
      </w:r>
      <w:r>
        <w:rPr>
          <w:lang w:val="fr-FR"/>
        </w:rPr>
        <w:t>oué</w:t>
      </w:r>
      <w:r w:rsidRPr="00976C24">
        <w:rPr>
          <w:lang w:val="fr-FR"/>
        </w:rPr>
        <w:t xml:space="preserve"> 64 millions de couronnes en 2010 </w:t>
      </w:r>
      <w:r>
        <w:rPr>
          <w:lang w:val="fr-FR"/>
        </w:rPr>
        <w:t>à la couverture d</w:t>
      </w:r>
      <w:r w:rsidRPr="00976C24">
        <w:rPr>
          <w:lang w:val="fr-FR"/>
        </w:rPr>
        <w:t xml:space="preserve">es dépenses supplémentaires engagées par les municipalités en </w:t>
      </w:r>
      <w:r>
        <w:rPr>
          <w:lang w:val="fr-FR"/>
        </w:rPr>
        <w:t>raison</w:t>
      </w:r>
      <w:r w:rsidRPr="00976C24">
        <w:rPr>
          <w:lang w:val="fr-FR"/>
        </w:rPr>
        <w:t xml:space="preserve"> de l’obligation légale qui leur est faite d’offrir des services d’</w:t>
      </w:r>
      <w:r>
        <w:rPr>
          <w:lang w:val="fr-FR"/>
        </w:rPr>
        <w:t>accueil</w:t>
      </w:r>
      <w:r w:rsidRPr="00976C24">
        <w:rPr>
          <w:lang w:val="fr-FR"/>
        </w:rPr>
        <w:t xml:space="preserve"> </w:t>
      </w:r>
      <w:r>
        <w:rPr>
          <w:lang w:val="fr-FR"/>
        </w:rPr>
        <w:t>en dehors de toute considération de sexe</w:t>
      </w:r>
      <w:r w:rsidRPr="00976C24">
        <w:rPr>
          <w:lang w:val="fr-FR"/>
        </w:rPr>
        <w:t xml:space="preserve">. Sur cette somme, 19 millions sont des </w:t>
      </w:r>
      <w:r>
        <w:rPr>
          <w:lang w:val="fr-FR"/>
        </w:rPr>
        <w:t xml:space="preserve">frais </w:t>
      </w:r>
      <w:r w:rsidRPr="00976C24">
        <w:rPr>
          <w:lang w:val="fr-FR"/>
        </w:rPr>
        <w:t>exceptionnel</w:t>
      </w:r>
      <w:r>
        <w:rPr>
          <w:lang w:val="fr-FR"/>
        </w:rPr>
        <w:t>s lié</w:t>
      </w:r>
      <w:r w:rsidRPr="00976C24">
        <w:rPr>
          <w:lang w:val="fr-FR"/>
        </w:rPr>
        <w:t xml:space="preserve">s aux </w:t>
      </w:r>
      <w:r>
        <w:rPr>
          <w:lang w:val="fr-FR"/>
        </w:rPr>
        <w:t>dépenses d’administration</w:t>
      </w:r>
      <w:r w:rsidRPr="00976C24">
        <w:rPr>
          <w:lang w:val="fr-FR"/>
        </w:rPr>
        <w:t xml:space="preserve"> </w:t>
      </w:r>
      <w:r>
        <w:rPr>
          <w:lang w:val="fr-FR"/>
        </w:rPr>
        <w:t>pour</w:t>
      </w:r>
      <w:r w:rsidRPr="00976C24">
        <w:rPr>
          <w:lang w:val="fr-FR"/>
        </w:rPr>
        <w:t xml:space="preserve"> 2010. </w:t>
      </w:r>
    </w:p>
    <w:p w:rsidR="00903547" w:rsidRPr="00976C24" w:rsidRDefault="00903547" w:rsidP="0071086E">
      <w:pPr>
        <w:pStyle w:val="H23G"/>
        <w:rPr>
          <w:bCs/>
          <w:iCs/>
          <w:lang w:val="fr-FR"/>
        </w:rPr>
      </w:pPr>
      <w:r w:rsidRPr="00976C24">
        <w:rPr>
          <w:bCs/>
          <w:iCs/>
          <w:lang w:val="fr-FR"/>
        </w:rPr>
        <w:tab/>
        <w:t>2.</w:t>
      </w:r>
      <w:r w:rsidRPr="00976C24">
        <w:rPr>
          <w:bCs/>
          <w:iCs/>
          <w:lang w:val="fr-FR"/>
        </w:rPr>
        <w:tab/>
      </w:r>
      <w:r>
        <w:rPr>
          <w:bCs/>
          <w:iCs/>
          <w:lang w:val="fr-FR"/>
        </w:rPr>
        <w:t>Renseignements</w:t>
      </w:r>
      <w:r w:rsidRPr="00976C24">
        <w:rPr>
          <w:bCs/>
          <w:iCs/>
          <w:lang w:val="fr-FR"/>
        </w:rPr>
        <w:t xml:space="preserve"> sur la disponibilité, le niveau de couverture et le financement de services sociaux destinés à venir en aide aux familles, ainsi que sur les dispositions juridiques qui ont été mises en place pour garantir l’égalité des chances pour toutes les familles, en particulier les familles pauvres, les familles de minorités ethniques et les familles monoparentales, dans les domaines suivants</w:t>
      </w:r>
      <w:r>
        <w:rPr>
          <w:bCs/>
          <w:iCs/>
          <w:lang w:val="fr-FR"/>
        </w:rPr>
        <w:t>:</w:t>
      </w:r>
      <w:r w:rsidRPr="00976C24">
        <w:rPr>
          <w:lang w:val="fr-FR"/>
        </w:rPr>
        <w:t xml:space="preserve"> </w:t>
      </w:r>
      <w:r w:rsidRPr="00976C24">
        <w:rPr>
          <w:bCs/>
          <w:iCs/>
          <w:lang w:val="fr-FR"/>
        </w:rPr>
        <w:t>a)</w:t>
      </w:r>
      <w:r>
        <w:rPr>
          <w:bCs/>
          <w:iCs/>
          <w:lang w:val="fr-FR"/>
        </w:rPr>
        <w:t> </w:t>
      </w:r>
      <w:r w:rsidRPr="00976C24">
        <w:rPr>
          <w:bCs/>
          <w:iCs/>
          <w:lang w:val="fr-FR"/>
        </w:rPr>
        <w:t>services de garde d’enfants</w:t>
      </w:r>
      <w:r w:rsidRPr="00976C24">
        <w:rPr>
          <w:lang w:val="fr-FR"/>
        </w:rPr>
        <w:t xml:space="preserve"> </w:t>
      </w:r>
      <w:r w:rsidRPr="00976C24">
        <w:rPr>
          <w:bCs/>
          <w:iCs/>
          <w:lang w:val="fr-FR"/>
        </w:rPr>
        <w:t>et</w:t>
      </w:r>
      <w:r w:rsidRPr="00976C24">
        <w:rPr>
          <w:lang w:val="fr-FR"/>
        </w:rPr>
        <w:t xml:space="preserve"> </w:t>
      </w:r>
      <w:r w:rsidRPr="00976C24">
        <w:rPr>
          <w:bCs/>
          <w:iCs/>
          <w:lang w:val="fr-FR"/>
        </w:rPr>
        <w:t>b)</w:t>
      </w:r>
      <w:r>
        <w:rPr>
          <w:bCs/>
          <w:iCs/>
          <w:lang w:val="fr-FR"/>
        </w:rPr>
        <w:t> </w:t>
      </w:r>
      <w:r w:rsidRPr="00976C24">
        <w:rPr>
          <w:bCs/>
          <w:iCs/>
          <w:lang w:val="fr-FR"/>
        </w:rPr>
        <w:t xml:space="preserve">services sociaux permettant aux personnes âgées et aux personnes handicapées de rester dans leur cadre de vie habituel le plus longtemps possible et de bénéficier de soins de santé et de services sociaux adaptés lorsqu’elles sont dépendantes </w:t>
      </w:r>
      <w:r w:rsidRPr="00976C24">
        <w:rPr>
          <w:lang w:val="fr-FR"/>
        </w:rPr>
        <w:t>(E/2009/22-E/C.12/2008/3, annexe VIII, par.</w:t>
      </w:r>
      <w:r>
        <w:rPr>
          <w:lang w:val="fr-FR"/>
        </w:rPr>
        <w:t> </w:t>
      </w:r>
      <w:r w:rsidRPr="00976C24">
        <w:rPr>
          <w:lang w:val="fr-FR"/>
        </w:rPr>
        <w:t>35)</w:t>
      </w:r>
    </w:p>
    <w:p w:rsidR="00903547" w:rsidRPr="00976C24" w:rsidRDefault="00903547" w:rsidP="00354A36">
      <w:pPr>
        <w:pStyle w:val="SingleTxtG"/>
        <w:rPr>
          <w:lang w:val="fr-FR"/>
        </w:rPr>
      </w:pPr>
      <w:r>
        <w:rPr>
          <w:lang w:val="fr-FR"/>
        </w:rPr>
        <w:t>235.</w:t>
      </w:r>
      <w:r>
        <w:rPr>
          <w:lang w:val="fr-FR"/>
        </w:rPr>
        <w:tab/>
      </w:r>
      <w:r w:rsidRPr="00976C24">
        <w:rPr>
          <w:lang w:val="fr-FR"/>
        </w:rPr>
        <w:t xml:space="preserve">Le Comité pourra se reporter à la réponse du Gouvernement </w:t>
      </w:r>
      <w:r>
        <w:rPr>
          <w:lang w:val="fr-FR"/>
        </w:rPr>
        <w:t>relative aux</w:t>
      </w:r>
      <w:r w:rsidRPr="00976C24">
        <w:rPr>
          <w:lang w:val="fr-FR"/>
        </w:rPr>
        <w:t xml:space="preserve"> articles 9 et 11 </w:t>
      </w:r>
      <w:r>
        <w:rPr>
          <w:lang w:val="fr-FR"/>
        </w:rPr>
        <w:t>figurant dans le</w:t>
      </w:r>
      <w:r w:rsidRPr="00976C24">
        <w:rPr>
          <w:lang w:val="fr-FR"/>
        </w:rPr>
        <w:t xml:space="preserve"> présent rapport.</w:t>
      </w:r>
    </w:p>
    <w:p w:rsidR="00903547" w:rsidRPr="00976C24" w:rsidRDefault="00903547" w:rsidP="0071086E">
      <w:pPr>
        <w:pStyle w:val="H23G"/>
        <w:rPr>
          <w:lang w:val="fr-FR"/>
        </w:rPr>
      </w:pPr>
      <w:r w:rsidRPr="00976C24">
        <w:rPr>
          <w:lang w:val="fr-FR"/>
        </w:rPr>
        <w:tab/>
        <w:t>3.</w:t>
      </w:r>
      <w:r w:rsidRPr="00976C24">
        <w:rPr>
          <w:lang w:val="fr-FR"/>
        </w:rPr>
        <w:tab/>
        <w:t>Informations sur le système de protection de la maternité dans l’</w:t>
      </w:r>
      <w:r>
        <w:rPr>
          <w:lang w:val="fr-FR"/>
        </w:rPr>
        <w:t>État</w:t>
      </w:r>
      <w:r w:rsidRPr="00976C24">
        <w:rPr>
          <w:lang w:val="fr-FR"/>
        </w:rPr>
        <w:t xml:space="preserve"> partie, y compris les conditions de travail et l’interdiction de licenciement pendant la grossesse (E/2009/22-E/C.12/2008/3, annexe VIII, par.</w:t>
      </w:r>
      <w:r>
        <w:rPr>
          <w:lang w:val="fr-FR"/>
        </w:rPr>
        <w:t> </w:t>
      </w:r>
      <w:r w:rsidRPr="00976C24">
        <w:rPr>
          <w:lang w:val="fr-FR"/>
        </w:rPr>
        <w:t>36)</w:t>
      </w:r>
    </w:p>
    <w:p w:rsidR="00903547" w:rsidRPr="00976C24" w:rsidRDefault="00903547" w:rsidP="00354A36">
      <w:pPr>
        <w:pStyle w:val="SingleTxtG"/>
        <w:rPr>
          <w:lang w:val="fr-FR"/>
        </w:rPr>
      </w:pPr>
      <w:r>
        <w:rPr>
          <w:lang w:val="fr-FR"/>
        </w:rPr>
        <w:t>236.</w:t>
      </w:r>
      <w:r>
        <w:rPr>
          <w:lang w:val="fr-FR"/>
        </w:rPr>
        <w:tab/>
      </w:r>
      <w:r w:rsidRPr="00976C24">
        <w:rPr>
          <w:lang w:val="fr-FR"/>
        </w:rPr>
        <w:t xml:space="preserve">Le Comité pourra se reporter </w:t>
      </w:r>
      <w:r>
        <w:rPr>
          <w:lang w:val="fr-FR"/>
        </w:rPr>
        <w:t>à l’</w:t>
      </w:r>
      <w:r w:rsidRPr="00976C24">
        <w:rPr>
          <w:lang w:val="fr-FR"/>
        </w:rPr>
        <w:t>article 1.3.2</w:t>
      </w:r>
      <w:r>
        <w:rPr>
          <w:lang w:val="fr-FR"/>
        </w:rPr>
        <w:t xml:space="preserve"> d</w:t>
      </w:r>
      <w:r w:rsidRPr="00976C24">
        <w:rPr>
          <w:lang w:val="fr-FR"/>
        </w:rPr>
        <w:t>u septième rapport périodique de la Norvège au CEDAW concernant la protection du rôle procréat</w:t>
      </w:r>
      <w:r>
        <w:rPr>
          <w:lang w:val="fr-FR"/>
        </w:rPr>
        <w:t>eur</w:t>
      </w:r>
      <w:r w:rsidRPr="00976C24">
        <w:rPr>
          <w:lang w:val="fr-FR"/>
        </w:rPr>
        <w:t xml:space="preserve"> des femmes</w:t>
      </w:r>
      <w:r>
        <w:rPr>
          <w:lang w:val="fr-FR"/>
        </w:rPr>
        <w:t>,</w:t>
      </w:r>
      <w:r w:rsidRPr="00976C24">
        <w:rPr>
          <w:lang w:val="fr-FR"/>
        </w:rPr>
        <w:t xml:space="preserve"> et aux articles 2.5.6 et 2.5.7 </w:t>
      </w:r>
      <w:r>
        <w:rPr>
          <w:lang w:val="fr-FR"/>
        </w:rPr>
        <w:t xml:space="preserve">de ce même rapport </w:t>
      </w:r>
      <w:r w:rsidRPr="00976C24">
        <w:rPr>
          <w:lang w:val="fr-FR"/>
        </w:rPr>
        <w:t>concernant la discrimination fondée sur le statut maternel</w:t>
      </w:r>
      <w:r>
        <w:rPr>
          <w:lang w:val="fr-FR"/>
        </w:rPr>
        <w:t>,</w:t>
      </w:r>
      <w:r w:rsidRPr="00976C24">
        <w:rPr>
          <w:lang w:val="fr-FR"/>
        </w:rPr>
        <w:t xml:space="preserve"> la grossesse et le congé </w:t>
      </w:r>
      <w:r>
        <w:rPr>
          <w:lang w:val="fr-FR"/>
        </w:rPr>
        <w:t>lié à la grossesse et à la naissance</w:t>
      </w:r>
      <w:r w:rsidRPr="00976C24">
        <w:rPr>
          <w:lang w:val="fr-FR"/>
        </w:rPr>
        <w:t>.</w:t>
      </w:r>
    </w:p>
    <w:p w:rsidR="00903547" w:rsidRPr="00976C24" w:rsidRDefault="00903547" w:rsidP="00354A36">
      <w:pPr>
        <w:pStyle w:val="SingleTxtG"/>
        <w:rPr>
          <w:lang w:val="fr-FR"/>
        </w:rPr>
      </w:pPr>
      <w:r>
        <w:rPr>
          <w:lang w:val="fr-FR"/>
        </w:rPr>
        <w:t>237.</w:t>
      </w:r>
      <w:r>
        <w:rPr>
          <w:lang w:val="fr-FR"/>
        </w:rPr>
        <w:tab/>
        <w:t>Comme indiqué dans</w:t>
      </w:r>
      <w:r w:rsidRPr="00976C24">
        <w:rPr>
          <w:lang w:val="fr-FR"/>
        </w:rPr>
        <w:t xml:space="preserve"> l</w:t>
      </w:r>
      <w:r>
        <w:rPr>
          <w:lang w:val="fr-FR"/>
        </w:rPr>
        <w:t>a partie du présent rapport relative à l</w:t>
      </w:r>
      <w:r w:rsidRPr="00976C24">
        <w:rPr>
          <w:lang w:val="fr-FR"/>
        </w:rPr>
        <w:t>’article</w:t>
      </w:r>
      <w:r>
        <w:rPr>
          <w:lang w:val="fr-FR"/>
        </w:rPr>
        <w:t> </w:t>
      </w:r>
      <w:r w:rsidRPr="00976C24">
        <w:rPr>
          <w:lang w:val="fr-FR"/>
        </w:rPr>
        <w:t xml:space="preserve">7, les parents ont droit à un congé de </w:t>
      </w:r>
      <w:r>
        <w:rPr>
          <w:lang w:val="fr-FR"/>
        </w:rPr>
        <w:t xml:space="preserve">46 ou </w:t>
      </w:r>
      <w:r w:rsidRPr="00976C24">
        <w:rPr>
          <w:lang w:val="fr-FR"/>
        </w:rPr>
        <w:t xml:space="preserve">56 semaines après une naissance ou une adoption. Les parents eux-mêmes décident </w:t>
      </w:r>
      <w:r>
        <w:rPr>
          <w:lang w:val="fr-FR"/>
        </w:rPr>
        <w:t>de quelle façon</w:t>
      </w:r>
      <w:r w:rsidRPr="00976C24">
        <w:rPr>
          <w:lang w:val="fr-FR"/>
        </w:rPr>
        <w:t xml:space="preserve"> partager cette période, exception faite des </w:t>
      </w:r>
      <w:r>
        <w:rPr>
          <w:lang w:val="fr-FR"/>
        </w:rPr>
        <w:t>trois semaines précédant et des six semaines suivant l’accouchement qui sont</w:t>
      </w:r>
      <w:r w:rsidRPr="00976C24">
        <w:rPr>
          <w:lang w:val="fr-FR"/>
        </w:rPr>
        <w:t xml:space="preserve"> réservées à la mère. Dix semaines sont mai</w:t>
      </w:r>
      <w:r>
        <w:rPr>
          <w:lang w:val="fr-FR"/>
        </w:rPr>
        <w:t>ntenant réservées au père, le «quota paternel</w:t>
      </w:r>
      <w:r w:rsidRPr="00976C24">
        <w:rPr>
          <w:lang w:val="fr-FR"/>
        </w:rPr>
        <w:t xml:space="preserve">» ayant été allongé à partir du </w:t>
      </w:r>
      <w:r>
        <w:rPr>
          <w:lang w:val="fr-FR"/>
        </w:rPr>
        <w:t>1</w:t>
      </w:r>
      <w:r w:rsidRPr="00B378D7">
        <w:rPr>
          <w:vertAlign w:val="superscript"/>
          <w:lang w:val="fr-FR"/>
        </w:rPr>
        <w:t>er</w:t>
      </w:r>
      <w:r>
        <w:rPr>
          <w:lang w:val="fr-FR"/>
        </w:rPr>
        <w:t xml:space="preserve"> </w:t>
      </w:r>
      <w:r w:rsidRPr="00976C24">
        <w:rPr>
          <w:lang w:val="fr-FR"/>
        </w:rPr>
        <w:t xml:space="preserve">juillet 2009. </w:t>
      </w:r>
    </w:p>
    <w:p w:rsidR="00903547" w:rsidRPr="00976C24" w:rsidRDefault="00903547" w:rsidP="00354A36">
      <w:pPr>
        <w:pStyle w:val="SingleTxtG"/>
        <w:rPr>
          <w:lang w:val="fr-FR"/>
        </w:rPr>
      </w:pPr>
      <w:r>
        <w:rPr>
          <w:lang w:val="fr-FR"/>
        </w:rPr>
        <w:t>238.</w:t>
      </w:r>
      <w:r>
        <w:rPr>
          <w:lang w:val="fr-FR"/>
        </w:rPr>
        <w:tab/>
      </w:r>
      <w:r w:rsidRPr="00976C24">
        <w:rPr>
          <w:lang w:val="fr-FR"/>
        </w:rPr>
        <w:t>L</w:t>
      </w:r>
      <w:r>
        <w:rPr>
          <w:lang w:val="fr-FR"/>
        </w:rPr>
        <w:t>’allocation parentale assure</w:t>
      </w:r>
      <w:r w:rsidRPr="00976C24">
        <w:rPr>
          <w:lang w:val="fr-FR"/>
        </w:rPr>
        <w:t xml:space="preserve"> à la mère et au père le droit de percevoir un revenu durant leur congé. Ces prestations sont </w:t>
      </w:r>
      <w:r>
        <w:rPr>
          <w:lang w:val="fr-FR"/>
        </w:rPr>
        <w:t>destinées aux personnes</w:t>
      </w:r>
      <w:r w:rsidRPr="00976C24">
        <w:rPr>
          <w:lang w:val="fr-FR"/>
        </w:rPr>
        <w:t xml:space="preserve"> qui </w:t>
      </w:r>
      <w:r>
        <w:rPr>
          <w:lang w:val="fr-FR"/>
        </w:rPr>
        <w:t>exerçaient</w:t>
      </w:r>
      <w:r w:rsidRPr="00976C24">
        <w:rPr>
          <w:lang w:val="fr-FR"/>
        </w:rPr>
        <w:t xml:space="preserve"> une activité professionnelle et per</w:t>
      </w:r>
      <w:r>
        <w:rPr>
          <w:lang w:val="fr-FR"/>
        </w:rPr>
        <w:t xml:space="preserve">cevaient </w:t>
      </w:r>
      <w:r w:rsidRPr="00976C24">
        <w:rPr>
          <w:lang w:val="fr-FR"/>
        </w:rPr>
        <w:t>un</w:t>
      </w:r>
      <w:r>
        <w:rPr>
          <w:lang w:val="fr-FR"/>
        </w:rPr>
        <w:t>e rémunération prise en compte aux fins de la pension</w:t>
      </w:r>
      <w:r w:rsidRPr="00976C24">
        <w:rPr>
          <w:lang w:val="fr-FR"/>
        </w:rPr>
        <w:t xml:space="preserve"> pendant au moins six des dix mois </w:t>
      </w:r>
      <w:r>
        <w:rPr>
          <w:lang w:val="fr-FR"/>
        </w:rPr>
        <w:t>précédant</w:t>
      </w:r>
      <w:r w:rsidRPr="00976C24">
        <w:rPr>
          <w:lang w:val="fr-FR"/>
        </w:rPr>
        <w:t xml:space="preserve"> le début de la période d’allocation. En 2009, le Gouvernement a fait passer le congé parental </w:t>
      </w:r>
      <w:r>
        <w:rPr>
          <w:lang w:val="fr-FR"/>
        </w:rPr>
        <w:t>sans perte de salaire</w:t>
      </w:r>
      <w:r w:rsidRPr="00976C24">
        <w:rPr>
          <w:lang w:val="fr-FR"/>
        </w:rPr>
        <w:t xml:space="preserve"> de 44 à 46 semaines et de 54 à 56 semaines avec </w:t>
      </w:r>
      <w:r>
        <w:rPr>
          <w:lang w:val="fr-FR"/>
        </w:rPr>
        <w:t xml:space="preserve">une rémunération correspondant à </w:t>
      </w:r>
      <w:r w:rsidRPr="00976C24">
        <w:rPr>
          <w:lang w:val="fr-FR"/>
        </w:rPr>
        <w:t>80</w:t>
      </w:r>
      <w:r>
        <w:rPr>
          <w:lang w:val="fr-FR"/>
        </w:rPr>
        <w:t> </w:t>
      </w:r>
      <w:r w:rsidRPr="00976C24">
        <w:rPr>
          <w:lang w:val="fr-FR"/>
        </w:rPr>
        <w:t xml:space="preserve">% du salaire. </w:t>
      </w:r>
    </w:p>
    <w:p w:rsidR="00903547" w:rsidRPr="00976C24" w:rsidRDefault="00903547" w:rsidP="00354A36">
      <w:pPr>
        <w:pStyle w:val="SingleTxtG"/>
        <w:rPr>
          <w:lang w:val="fr-FR"/>
        </w:rPr>
      </w:pPr>
      <w:r>
        <w:rPr>
          <w:lang w:val="fr-FR"/>
        </w:rPr>
        <w:t>239.</w:t>
      </w:r>
      <w:r>
        <w:rPr>
          <w:lang w:val="fr-FR"/>
        </w:rPr>
        <w:tab/>
      </w:r>
      <w:r w:rsidRPr="00976C24">
        <w:rPr>
          <w:lang w:val="fr-FR"/>
        </w:rPr>
        <w:t>Les travailleurs qui sont totalement ou partiellement absents du travail en raison d’un accident, d’une maladie, d’une grossesse, d’un congé maternité ou paternité ou du service militaire bénéficient d’une protection renforcée contre les licenciements</w:t>
      </w:r>
      <w:r>
        <w:rPr>
          <w:lang w:val="fr-FR"/>
        </w:rPr>
        <w:t>;</w:t>
      </w:r>
      <w:r w:rsidRPr="00976C24">
        <w:rPr>
          <w:lang w:val="fr-FR"/>
        </w:rPr>
        <w:t xml:space="preserve"> voir la loi sur l’environnement de travail, articles 15-8, 15-9 et 15-10. </w:t>
      </w:r>
    </w:p>
    <w:p w:rsidR="00903547" w:rsidRPr="00976C24" w:rsidRDefault="00903547" w:rsidP="00354A36">
      <w:pPr>
        <w:pStyle w:val="SingleTxtG"/>
        <w:rPr>
          <w:lang w:val="fr-FR"/>
        </w:rPr>
      </w:pPr>
      <w:r>
        <w:rPr>
          <w:lang w:val="fr-FR"/>
        </w:rPr>
        <w:t>240.</w:t>
      </w:r>
      <w:r>
        <w:rPr>
          <w:lang w:val="fr-FR"/>
        </w:rPr>
        <w:tab/>
      </w:r>
      <w:r w:rsidRPr="00976C24">
        <w:rPr>
          <w:lang w:val="fr-FR"/>
        </w:rPr>
        <w:t xml:space="preserve">Le 23 mars 2010, le </w:t>
      </w:r>
      <w:r w:rsidRPr="00B52B8E">
        <w:rPr>
          <w:i/>
          <w:lang w:val="fr-FR"/>
        </w:rPr>
        <w:t>Storting</w:t>
      </w:r>
      <w:r w:rsidRPr="00976C24">
        <w:rPr>
          <w:lang w:val="fr-FR"/>
        </w:rPr>
        <w:t xml:space="preserve"> a voté un projet de loi portant modification de la loi sur l’environnement de travail et de la loi sur l’égalité des sexes</w:t>
      </w:r>
      <w:r>
        <w:rPr>
          <w:lang w:val="fr-FR"/>
        </w:rPr>
        <w:t>,</w:t>
      </w:r>
      <w:r w:rsidRPr="00976C24">
        <w:rPr>
          <w:lang w:val="fr-FR"/>
        </w:rPr>
        <w:t xml:space="preserve"> interdisant aux employeurs de poser des questions </w:t>
      </w:r>
      <w:r>
        <w:rPr>
          <w:lang w:val="fr-FR"/>
        </w:rPr>
        <w:t>touchant à une éventuelle grossesse ou</w:t>
      </w:r>
      <w:r w:rsidRPr="00976C24">
        <w:rPr>
          <w:lang w:val="fr-FR"/>
        </w:rPr>
        <w:t xml:space="preserve"> adoption</w:t>
      </w:r>
      <w:r>
        <w:rPr>
          <w:lang w:val="fr-FR"/>
        </w:rPr>
        <w:t>,</w:t>
      </w:r>
      <w:r w:rsidRPr="00976C24">
        <w:rPr>
          <w:lang w:val="fr-FR"/>
        </w:rPr>
        <w:t xml:space="preserve"> ou </w:t>
      </w:r>
      <w:r>
        <w:rPr>
          <w:lang w:val="fr-FR"/>
        </w:rPr>
        <w:t>à des projets à cet égard</w:t>
      </w:r>
      <w:r w:rsidRPr="00976C24">
        <w:rPr>
          <w:lang w:val="fr-FR"/>
        </w:rPr>
        <w:t xml:space="preserve"> lors des entretiens d’embauche.</w:t>
      </w:r>
    </w:p>
    <w:p w:rsidR="00903547" w:rsidRPr="00976C24" w:rsidRDefault="00903547" w:rsidP="00354A36">
      <w:pPr>
        <w:pStyle w:val="SingleTxtG"/>
        <w:rPr>
          <w:lang w:val="fr-FR"/>
        </w:rPr>
      </w:pPr>
      <w:r>
        <w:rPr>
          <w:lang w:val="fr-FR"/>
        </w:rPr>
        <w:t>241.</w:t>
      </w:r>
      <w:r>
        <w:rPr>
          <w:lang w:val="fr-FR"/>
        </w:rPr>
        <w:tab/>
      </w:r>
      <w:r w:rsidRPr="00976C24">
        <w:rPr>
          <w:lang w:val="fr-FR"/>
        </w:rPr>
        <w:t xml:space="preserve">En 2008, l’Institut de recherche sur le travail a </w:t>
      </w:r>
      <w:r>
        <w:rPr>
          <w:lang w:val="fr-FR"/>
        </w:rPr>
        <w:t>publié un rapport (Rapport n</w:t>
      </w:r>
      <w:r w:rsidRPr="000A7EEA">
        <w:rPr>
          <w:vertAlign w:val="superscript"/>
          <w:lang w:val="fr-FR"/>
        </w:rPr>
        <w:t>o</w:t>
      </w:r>
      <w:r>
        <w:rPr>
          <w:lang w:val="fr-FR"/>
        </w:rPr>
        <w:t> 2 de</w:t>
      </w:r>
      <w:r w:rsidRPr="00976C24">
        <w:rPr>
          <w:lang w:val="fr-FR"/>
        </w:rPr>
        <w:t xml:space="preserve"> 2008) sur l</w:t>
      </w:r>
      <w:r>
        <w:rPr>
          <w:lang w:val="fr-FR"/>
        </w:rPr>
        <w:t>’impact de la grossesse et de l’utilisation du</w:t>
      </w:r>
      <w:r w:rsidRPr="00976C24">
        <w:rPr>
          <w:lang w:val="fr-FR"/>
        </w:rPr>
        <w:t xml:space="preserve"> congé parental sur le marché du travail </w:t>
      </w:r>
      <w:r>
        <w:rPr>
          <w:lang w:val="fr-FR"/>
        </w:rPr>
        <w:t>norvégien</w:t>
      </w:r>
      <w:r w:rsidRPr="00976C24">
        <w:rPr>
          <w:lang w:val="fr-FR"/>
        </w:rPr>
        <w:t xml:space="preserve">. Le rapport </w:t>
      </w:r>
      <w:r>
        <w:rPr>
          <w:lang w:val="fr-FR"/>
        </w:rPr>
        <w:t>s’intéresse aux</w:t>
      </w:r>
      <w:r w:rsidRPr="00976C24">
        <w:rPr>
          <w:lang w:val="fr-FR"/>
        </w:rPr>
        <w:t xml:space="preserve"> raisons pour lesquelles les mères norvégiennes restent à l’écart des hautes responsabilités.</w:t>
      </w:r>
    </w:p>
    <w:p w:rsidR="00903547" w:rsidRPr="00976C24" w:rsidRDefault="00903547" w:rsidP="0071086E">
      <w:pPr>
        <w:pStyle w:val="H23G"/>
        <w:rPr>
          <w:lang w:val="fr-FR"/>
        </w:rPr>
      </w:pPr>
      <w:r w:rsidRPr="00976C24">
        <w:rPr>
          <w:lang w:val="fr-FR"/>
        </w:rPr>
        <w:tab/>
        <w:t>4.</w:t>
      </w:r>
      <w:r w:rsidRPr="00976C24">
        <w:rPr>
          <w:lang w:val="fr-FR"/>
        </w:rPr>
        <w:tab/>
        <w:t>Informations sur les mesures de protection et d’assistance en faveur des enfants et des jeunes (E/2009/22-E/C.12/2008/3, annexe VIII, par.</w:t>
      </w:r>
      <w:r>
        <w:rPr>
          <w:lang w:val="fr-FR"/>
        </w:rPr>
        <w:t> </w:t>
      </w:r>
      <w:r w:rsidRPr="00976C24">
        <w:rPr>
          <w:lang w:val="fr-FR"/>
        </w:rPr>
        <w:t>37)</w:t>
      </w:r>
    </w:p>
    <w:p w:rsidR="00903547" w:rsidRPr="00976C24" w:rsidRDefault="00903547" w:rsidP="00354A36">
      <w:pPr>
        <w:pStyle w:val="SingleTxtG"/>
        <w:rPr>
          <w:i/>
          <w:lang w:val="fr-FR"/>
        </w:rPr>
      </w:pPr>
      <w:r>
        <w:rPr>
          <w:lang w:val="fr-FR"/>
        </w:rPr>
        <w:t>242.</w:t>
      </w:r>
      <w:r>
        <w:rPr>
          <w:lang w:val="fr-FR"/>
        </w:rPr>
        <w:tab/>
      </w:r>
      <w:r w:rsidRPr="00976C24">
        <w:rPr>
          <w:lang w:val="fr-FR"/>
        </w:rPr>
        <w:t>Le Comité pourra se reporter au</w:t>
      </w:r>
      <w:r>
        <w:rPr>
          <w:lang w:val="fr-FR"/>
        </w:rPr>
        <w:t xml:space="preserve">x paragraphes 150 à </w:t>
      </w:r>
      <w:r w:rsidRPr="00976C24">
        <w:rPr>
          <w:lang w:val="fr-FR"/>
        </w:rPr>
        <w:t>162</w:t>
      </w:r>
      <w:r>
        <w:rPr>
          <w:lang w:val="fr-FR"/>
        </w:rPr>
        <w:t xml:space="preserve"> du </w:t>
      </w:r>
      <w:r w:rsidRPr="00976C24">
        <w:rPr>
          <w:lang w:val="fr-FR"/>
        </w:rPr>
        <w:t xml:space="preserve">quatrième rapport périodique soumis </w:t>
      </w:r>
      <w:r>
        <w:rPr>
          <w:lang w:val="fr-FR"/>
        </w:rPr>
        <w:t>en vertu</w:t>
      </w:r>
      <w:r w:rsidRPr="00976C24">
        <w:rPr>
          <w:lang w:val="fr-FR"/>
        </w:rPr>
        <w:t xml:space="preserve"> du Pacte international relatif aux droits économiques, sociaux et culturels et au quatrième rapport périodique de la Norvège au Comité des droits de l’enfant. </w:t>
      </w:r>
    </w:p>
    <w:p w:rsidR="00903547" w:rsidRPr="00976C24" w:rsidRDefault="00903547" w:rsidP="0071086E">
      <w:pPr>
        <w:pStyle w:val="H23G"/>
        <w:rPr>
          <w:lang w:val="fr-FR"/>
        </w:rPr>
      </w:pPr>
      <w:r w:rsidRPr="00976C24">
        <w:rPr>
          <w:lang w:val="fr-FR"/>
        </w:rPr>
        <w:tab/>
        <w:t>5.</w:t>
      </w:r>
      <w:r w:rsidRPr="00976C24">
        <w:rPr>
          <w:lang w:val="fr-FR"/>
        </w:rPr>
        <w:tab/>
      </w:r>
      <w:r>
        <w:rPr>
          <w:lang w:val="fr-FR"/>
        </w:rPr>
        <w:t>Renseignements</w:t>
      </w:r>
      <w:r w:rsidRPr="00976C24">
        <w:rPr>
          <w:lang w:val="fr-FR"/>
        </w:rPr>
        <w:t xml:space="preserve"> sur la législation et les mécanismes qui ont été mis en place pour protéger les droits économiques, sociaux et culturels des personnes âgées dans l’</w:t>
      </w:r>
      <w:r>
        <w:rPr>
          <w:lang w:val="fr-FR"/>
        </w:rPr>
        <w:t>État</w:t>
      </w:r>
      <w:r w:rsidRPr="00976C24">
        <w:rPr>
          <w:lang w:val="fr-FR"/>
        </w:rPr>
        <w:t xml:space="preserve"> partie, et en particulier sur l’application des lois et programmes visant à lutter contre les violences, l’abandon, la négligence et la maltraitance envers cette catégorie de </w:t>
      </w:r>
      <w:r>
        <w:rPr>
          <w:lang w:val="fr-FR"/>
        </w:rPr>
        <w:t xml:space="preserve">population </w:t>
      </w:r>
      <w:r w:rsidRPr="00976C24">
        <w:rPr>
          <w:lang w:val="fr-FR"/>
        </w:rPr>
        <w:t>(E/2009/22-E/C.12/2008/3, annexe VIII, par.</w:t>
      </w:r>
      <w:r>
        <w:rPr>
          <w:lang w:val="fr-FR"/>
        </w:rPr>
        <w:t> </w:t>
      </w:r>
      <w:r w:rsidRPr="00976C24">
        <w:rPr>
          <w:lang w:val="fr-FR"/>
        </w:rPr>
        <w:t>38)</w:t>
      </w:r>
    </w:p>
    <w:p w:rsidR="00903547" w:rsidRPr="00976C24" w:rsidRDefault="00903547" w:rsidP="00354A36">
      <w:pPr>
        <w:pStyle w:val="SingleTxtG"/>
        <w:rPr>
          <w:lang w:val="fr-FR"/>
        </w:rPr>
      </w:pPr>
      <w:r>
        <w:rPr>
          <w:lang w:val="fr-FR"/>
        </w:rPr>
        <w:t>243.</w:t>
      </w:r>
      <w:r>
        <w:rPr>
          <w:lang w:val="fr-FR"/>
        </w:rPr>
        <w:tab/>
      </w:r>
      <w:r w:rsidRPr="00976C24">
        <w:rPr>
          <w:lang w:val="fr-FR"/>
        </w:rPr>
        <w:t>Le plan d’action pour lutter contre la violence domestique (2008</w:t>
      </w:r>
      <w:r>
        <w:rPr>
          <w:lang w:val="fr-FR"/>
        </w:rPr>
        <w:t>-</w:t>
      </w:r>
      <w:r w:rsidRPr="00976C24">
        <w:rPr>
          <w:lang w:val="fr-FR"/>
        </w:rPr>
        <w:t xml:space="preserve">2011) inclut la violence à l’égard des personnes âgées, qui est souvent le fait des enfants ou petits-enfants, mais peut également </w:t>
      </w:r>
      <w:r>
        <w:rPr>
          <w:lang w:val="fr-FR"/>
        </w:rPr>
        <w:t>être celui d’</w:t>
      </w:r>
      <w:r w:rsidRPr="00976C24">
        <w:rPr>
          <w:lang w:val="fr-FR"/>
        </w:rPr>
        <w:t xml:space="preserve">un partenaire. Des études </w:t>
      </w:r>
      <w:r>
        <w:rPr>
          <w:lang w:val="fr-FR"/>
        </w:rPr>
        <w:t xml:space="preserve">locales plus </w:t>
      </w:r>
      <w:r w:rsidRPr="00976C24">
        <w:rPr>
          <w:lang w:val="fr-FR"/>
        </w:rPr>
        <w:t>restreintes indiquent qu’entre 3 et 5</w:t>
      </w:r>
      <w:r>
        <w:rPr>
          <w:lang w:val="fr-FR"/>
        </w:rPr>
        <w:t> %</w:t>
      </w:r>
      <w:r w:rsidRPr="00976C24">
        <w:rPr>
          <w:lang w:val="fr-FR"/>
        </w:rPr>
        <w:t xml:space="preserve"> de la population de plus de 60</w:t>
      </w:r>
      <w:r>
        <w:rPr>
          <w:lang w:val="fr-FR"/>
        </w:rPr>
        <w:t> </w:t>
      </w:r>
      <w:r w:rsidRPr="00976C24">
        <w:rPr>
          <w:lang w:val="fr-FR"/>
        </w:rPr>
        <w:t>ans est victime de violence, et dans la majorité des cas l’agresseur est connu de la victime.</w:t>
      </w:r>
    </w:p>
    <w:p w:rsidR="00903547" w:rsidRPr="00976C24" w:rsidRDefault="00903547" w:rsidP="00354A36">
      <w:pPr>
        <w:pStyle w:val="SingleTxtG"/>
        <w:rPr>
          <w:lang w:val="fr-FR"/>
        </w:rPr>
      </w:pPr>
      <w:r>
        <w:rPr>
          <w:lang w:val="fr-FR"/>
        </w:rPr>
        <w:t>244.</w:t>
      </w:r>
      <w:r>
        <w:rPr>
          <w:lang w:val="fr-FR"/>
        </w:rPr>
        <w:tab/>
      </w:r>
      <w:r w:rsidRPr="00976C24">
        <w:rPr>
          <w:lang w:val="fr-FR"/>
        </w:rPr>
        <w:t xml:space="preserve">En 2007, le Gouvernement a lancé un troisième plan d’action pour lutter contre la </w:t>
      </w:r>
      <w:r>
        <w:rPr>
          <w:lang w:val="fr-FR"/>
        </w:rPr>
        <w:t>violence conjugale</w:t>
      </w:r>
      <w:r w:rsidRPr="00976C24">
        <w:rPr>
          <w:lang w:val="fr-FR"/>
        </w:rPr>
        <w:t xml:space="preserve"> </w:t>
      </w:r>
      <w:r>
        <w:rPr>
          <w:lang w:val="fr-FR"/>
        </w:rPr>
        <w:t>pour la période 2008-2011 («Le tournant»</w:t>
      </w:r>
      <w:r w:rsidRPr="00976C24">
        <w:rPr>
          <w:lang w:val="fr-FR"/>
        </w:rPr>
        <w:t xml:space="preserve">). Une sanction pénale spéciale applicable à la violence </w:t>
      </w:r>
      <w:r>
        <w:rPr>
          <w:lang w:val="fr-FR"/>
        </w:rPr>
        <w:t>conjugale</w:t>
      </w:r>
      <w:r w:rsidRPr="00976C24">
        <w:rPr>
          <w:lang w:val="fr-FR"/>
        </w:rPr>
        <w:t xml:space="preserve"> est entrée en vigueur le </w:t>
      </w:r>
      <w:r>
        <w:rPr>
          <w:lang w:val="fr-FR"/>
        </w:rPr>
        <w:t>1</w:t>
      </w:r>
      <w:r w:rsidRPr="00B378D7">
        <w:rPr>
          <w:vertAlign w:val="superscript"/>
          <w:lang w:val="fr-FR"/>
        </w:rPr>
        <w:t>er</w:t>
      </w:r>
      <w:r>
        <w:rPr>
          <w:lang w:val="fr-FR"/>
        </w:rPr>
        <w:t xml:space="preserve"> </w:t>
      </w:r>
      <w:r w:rsidRPr="00976C24">
        <w:rPr>
          <w:lang w:val="fr-FR"/>
        </w:rPr>
        <w:t>janvier 2006. Le Comité pourra se reporter au</w:t>
      </w:r>
      <w:r>
        <w:rPr>
          <w:lang w:val="fr-FR"/>
        </w:rPr>
        <w:t xml:space="preserve">x paragraphes 91 à </w:t>
      </w:r>
      <w:r w:rsidRPr="00976C24">
        <w:rPr>
          <w:lang w:val="fr-FR"/>
        </w:rPr>
        <w:t xml:space="preserve">96 </w:t>
      </w:r>
      <w:r>
        <w:rPr>
          <w:lang w:val="fr-FR"/>
        </w:rPr>
        <w:t xml:space="preserve">du </w:t>
      </w:r>
      <w:r w:rsidRPr="00976C24">
        <w:rPr>
          <w:lang w:val="fr-FR"/>
        </w:rPr>
        <w:t>sixième rapport de la Norvège au Comité des droits de l’homme.</w:t>
      </w:r>
    </w:p>
    <w:p w:rsidR="00903547" w:rsidRPr="00976C24" w:rsidRDefault="00903547" w:rsidP="00354A36">
      <w:pPr>
        <w:pStyle w:val="SingleTxtG"/>
        <w:rPr>
          <w:lang w:val="fr-FR"/>
        </w:rPr>
      </w:pPr>
      <w:r>
        <w:rPr>
          <w:lang w:val="fr-FR"/>
        </w:rPr>
        <w:t>245.</w:t>
      </w:r>
      <w:r>
        <w:rPr>
          <w:lang w:val="fr-FR"/>
        </w:rPr>
        <w:tab/>
      </w:r>
      <w:r w:rsidRPr="00976C24">
        <w:rPr>
          <w:lang w:val="fr-FR"/>
        </w:rPr>
        <w:t xml:space="preserve">Un programme </w:t>
      </w:r>
      <w:r>
        <w:rPr>
          <w:lang w:val="fr-FR"/>
        </w:rPr>
        <w:t>a été mis au point pour</w:t>
      </w:r>
      <w:r w:rsidRPr="00976C24">
        <w:rPr>
          <w:lang w:val="fr-FR"/>
        </w:rPr>
        <w:t xml:space="preserve"> apprendre aux personnes violentes </w:t>
      </w:r>
      <w:r>
        <w:rPr>
          <w:lang w:val="fr-FR"/>
        </w:rPr>
        <w:t>à changer de comportement</w:t>
      </w:r>
      <w:r w:rsidRPr="00976C24">
        <w:rPr>
          <w:lang w:val="fr-FR"/>
        </w:rPr>
        <w:t xml:space="preserve"> </w:t>
      </w:r>
      <w:r>
        <w:rPr>
          <w:lang w:val="fr-FR"/>
        </w:rPr>
        <w:t xml:space="preserve">et </w:t>
      </w:r>
      <w:r w:rsidRPr="00976C24">
        <w:rPr>
          <w:lang w:val="fr-FR"/>
        </w:rPr>
        <w:t xml:space="preserve">gérer leur agressivité. Une enquête </w:t>
      </w:r>
      <w:r>
        <w:rPr>
          <w:lang w:val="fr-FR"/>
        </w:rPr>
        <w:t>doit être</w:t>
      </w:r>
      <w:r w:rsidRPr="00976C24">
        <w:rPr>
          <w:lang w:val="fr-FR"/>
        </w:rPr>
        <w:t xml:space="preserve"> réalisée pour connaître la fréquence de la violence domestique.</w:t>
      </w:r>
    </w:p>
    <w:p w:rsidR="00903547" w:rsidRPr="00976C24" w:rsidRDefault="00903547" w:rsidP="0071086E">
      <w:pPr>
        <w:pStyle w:val="H23G"/>
        <w:rPr>
          <w:lang w:val="fr-FR"/>
        </w:rPr>
      </w:pPr>
      <w:r w:rsidRPr="00976C24">
        <w:rPr>
          <w:lang w:val="fr-FR"/>
        </w:rPr>
        <w:tab/>
        <w:t>6.</w:t>
      </w:r>
      <w:r w:rsidRPr="00976C24">
        <w:rPr>
          <w:lang w:val="fr-FR"/>
        </w:rPr>
        <w:tab/>
        <w:t xml:space="preserve">Informations sur les droits économiques et sociaux des demandeurs d’asile et de leur famille, ainsi que sur la législation et les mécanismes relatifs au regroupement familial des </w:t>
      </w:r>
      <w:r>
        <w:rPr>
          <w:lang w:val="fr-FR"/>
        </w:rPr>
        <w:t>migrants</w:t>
      </w:r>
      <w:r w:rsidRPr="00976C24">
        <w:rPr>
          <w:lang w:val="fr-FR"/>
        </w:rPr>
        <w:t xml:space="preserve"> (E/2009/22-E/C.12/2008/3, annexe VIII, par.</w:t>
      </w:r>
      <w:r>
        <w:rPr>
          <w:lang w:val="fr-FR"/>
        </w:rPr>
        <w:t> </w:t>
      </w:r>
      <w:r w:rsidRPr="00976C24">
        <w:rPr>
          <w:lang w:val="fr-FR"/>
        </w:rPr>
        <w:t>39)</w:t>
      </w:r>
    </w:p>
    <w:p w:rsidR="00903547" w:rsidRPr="00976C24" w:rsidRDefault="00903547" w:rsidP="0071086E">
      <w:pPr>
        <w:pStyle w:val="H23G"/>
        <w:rPr>
          <w:lang w:val="fr-FR"/>
        </w:rPr>
      </w:pPr>
      <w:r w:rsidRPr="00976C24">
        <w:rPr>
          <w:lang w:val="fr-FR"/>
        </w:rPr>
        <w:tab/>
        <w:t>a)</w:t>
      </w:r>
      <w:r w:rsidRPr="00976C24">
        <w:rPr>
          <w:lang w:val="fr-FR"/>
        </w:rPr>
        <w:tab/>
      </w:r>
      <w:bookmarkStart w:id="60" w:name="_Toc286326377"/>
      <w:r w:rsidRPr="00976C24">
        <w:rPr>
          <w:lang w:val="fr-FR"/>
        </w:rPr>
        <w:t>Hébergement des demandeurs d’asile</w:t>
      </w:r>
      <w:bookmarkEnd w:id="60"/>
    </w:p>
    <w:p w:rsidR="00903547" w:rsidRPr="00976C24" w:rsidRDefault="00903547" w:rsidP="00354A36">
      <w:pPr>
        <w:pStyle w:val="SingleTxtG"/>
        <w:rPr>
          <w:lang w:val="fr-FR"/>
        </w:rPr>
      </w:pPr>
      <w:r>
        <w:rPr>
          <w:lang w:val="fr-FR"/>
        </w:rPr>
        <w:t>246.</w:t>
      </w:r>
      <w:r>
        <w:rPr>
          <w:lang w:val="fr-FR"/>
        </w:rPr>
        <w:tab/>
        <w:t>À cet égard</w:t>
      </w:r>
      <w:r w:rsidRPr="00976C24">
        <w:rPr>
          <w:lang w:val="fr-FR"/>
        </w:rPr>
        <w:t xml:space="preserve">, le Comité pourra se reporter au paragraphe 220 du quatrième rapport de la Norvège soumis </w:t>
      </w:r>
      <w:r>
        <w:rPr>
          <w:lang w:val="fr-FR"/>
        </w:rPr>
        <w:t>en vertu</w:t>
      </w:r>
      <w:r w:rsidRPr="00976C24">
        <w:rPr>
          <w:lang w:val="fr-FR"/>
        </w:rPr>
        <w:t xml:space="preserve"> du Pacte international relatif aux droits économiques, sociaux et culturels. Tous les demandeurs d’asile ont droit à un hébergement pendant le traitement de leur demande, c’est-à-dire pendant toute la période courant depuis le dépôt de la demande jusqu’à la décision finale. L’</w:t>
      </w:r>
      <w:r>
        <w:rPr>
          <w:lang w:val="fr-FR"/>
        </w:rPr>
        <w:t>État</w:t>
      </w:r>
      <w:r w:rsidRPr="00976C24">
        <w:rPr>
          <w:lang w:val="fr-FR"/>
        </w:rPr>
        <w:t xml:space="preserve"> </w:t>
      </w:r>
      <w:r>
        <w:rPr>
          <w:lang w:val="fr-FR"/>
        </w:rPr>
        <w:t xml:space="preserve">leur </w:t>
      </w:r>
      <w:r w:rsidRPr="00976C24">
        <w:rPr>
          <w:lang w:val="fr-FR"/>
        </w:rPr>
        <w:t xml:space="preserve">offre </w:t>
      </w:r>
      <w:r>
        <w:rPr>
          <w:lang w:val="fr-FR"/>
        </w:rPr>
        <w:t>un logement dans l</w:t>
      </w:r>
      <w:r w:rsidRPr="00976C24">
        <w:rPr>
          <w:lang w:val="fr-FR"/>
        </w:rPr>
        <w:t xml:space="preserve">es centres d’accueil </w:t>
      </w:r>
      <w:r>
        <w:rPr>
          <w:lang w:val="fr-FR"/>
        </w:rPr>
        <w:t>ouverts</w:t>
      </w:r>
      <w:r w:rsidRPr="00976C24">
        <w:rPr>
          <w:lang w:val="fr-FR"/>
        </w:rPr>
        <w:t xml:space="preserve"> dans tout le pays. Les structures d’accueil sont différentes </w:t>
      </w:r>
      <w:r>
        <w:rPr>
          <w:lang w:val="fr-FR"/>
        </w:rPr>
        <w:t>selon</w:t>
      </w:r>
      <w:r w:rsidRPr="00976C24">
        <w:rPr>
          <w:lang w:val="fr-FR"/>
        </w:rPr>
        <w:t xml:space="preserve"> l’avancée du processus (</w:t>
      </w:r>
      <w:r>
        <w:rPr>
          <w:lang w:val="fr-FR"/>
        </w:rPr>
        <w:t>immigrés récents</w:t>
      </w:r>
      <w:r w:rsidRPr="00976C24">
        <w:rPr>
          <w:lang w:val="fr-FR"/>
        </w:rPr>
        <w:t xml:space="preserve">, en attente de décision ou déboutés) et </w:t>
      </w:r>
      <w:r>
        <w:rPr>
          <w:lang w:val="fr-FR"/>
        </w:rPr>
        <w:t>l</w:t>
      </w:r>
      <w:r w:rsidRPr="00976C24">
        <w:rPr>
          <w:lang w:val="fr-FR"/>
        </w:rPr>
        <w:t xml:space="preserve">es besoins du demandeur. On compte 100 places réservées aux demandeurs ayant des besoins spéciaux, </w:t>
      </w:r>
      <w:r>
        <w:rPr>
          <w:lang w:val="fr-FR"/>
        </w:rPr>
        <w:t>comme</w:t>
      </w:r>
      <w:r w:rsidRPr="00976C24">
        <w:rPr>
          <w:lang w:val="fr-FR"/>
        </w:rPr>
        <w:t xml:space="preserve"> les personnes souffrant de problèmes psychiatriques ou handicapées</w:t>
      </w:r>
      <w:r>
        <w:rPr>
          <w:lang w:val="fr-FR"/>
        </w:rPr>
        <w:t>,</w:t>
      </w:r>
      <w:r w:rsidRPr="00976C24">
        <w:rPr>
          <w:lang w:val="fr-FR"/>
        </w:rPr>
        <w:t xml:space="preserve"> </w:t>
      </w:r>
      <w:r>
        <w:rPr>
          <w:lang w:val="fr-FR"/>
        </w:rPr>
        <w:t xml:space="preserve">qui </w:t>
      </w:r>
      <w:r w:rsidRPr="00976C24">
        <w:rPr>
          <w:lang w:val="fr-FR"/>
        </w:rPr>
        <w:t xml:space="preserve">vivent dans des services spécialisés mieux dotés en </w:t>
      </w:r>
      <w:r>
        <w:rPr>
          <w:lang w:val="fr-FR"/>
        </w:rPr>
        <w:t>personnel</w:t>
      </w:r>
      <w:r w:rsidRPr="00976C24">
        <w:rPr>
          <w:lang w:val="fr-FR"/>
        </w:rPr>
        <w:t xml:space="preserve"> que les centres ordinaires. </w:t>
      </w:r>
      <w:r>
        <w:rPr>
          <w:lang w:val="fr-FR"/>
        </w:rPr>
        <w:t>Il reste qu’</w:t>
      </w:r>
      <w:r w:rsidRPr="00976C24">
        <w:rPr>
          <w:lang w:val="fr-FR"/>
        </w:rPr>
        <w:t xml:space="preserve">il </w:t>
      </w:r>
      <w:r>
        <w:rPr>
          <w:lang w:val="fr-FR"/>
        </w:rPr>
        <w:t>faut toujours du temps</w:t>
      </w:r>
      <w:r w:rsidRPr="00976C24">
        <w:rPr>
          <w:lang w:val="fr-FR"/>
        </w:rPr>
        <w:t xml:space="preserve"> pour diagnostiquer et </w:t>
      </w:r>
      <w:r>
        <w:rPr>
          <w:lang w:val="fr-FR"/>
        </w:rPr>
        <w:t>soigner</w:t>
      </w:r>
      <w:r w:rsidRPr="00976C24">
        <w:rPr>
          <w:lang w:val="fr-FR"/>
        </w:rPr>
        <w:t xml:space="preserve"> les demandeurs d’asile ayant des besoins psychiatriques. </w:t>
      </w:r>
    </w:p>
    <w:p w:rsidR="00903547" w:rsidRPr="00976C24" w:rsidRDefault="00903547" w:rsidP="00354A36">
      <w:pPr>
        <w:pStyle w:val="SingleTxtG"/>
        <w:rPr>
          <w:lang w:val="fr-FR"/>
        </w:rPr>
      </w:pPr>
      <w:r>
        <w:rPr>
          <w:lang w:val="fr-FR"/>
        </w:rPr>
        <w:t>247.</w:t>
      </w:r>
      <w:r>
        <w:rPr>
          <w:lang w:val="fr-FR"/>
        </w:rPr>
        <w:tab/>
      </w:r>
      <w:r w:rsidRPr="00976C24">
        <w:rPr>
          <w:lang w:val="fr-FR"/>
        </w:rPr>
        <w:t xml:space="preserve">Si le séjour en centre d’accueil </w:t>
      </w:r>
      <w:r>
        <w:rPr>
          <w:lang w:val="fr-FR"/>
        </w:rPr>
        <w:t>est volontaire,</w:t>
      </w:r>
      <w:r w:rsidRPr="00976C24">
        <w:rPr>
          <w:lang w:val="fr-FR"/>
        </w:rPr>
        <w:t xml:space="preserve"> les demandeurs d’asile </w:t>
      </w:r>
      <w:r>
        <w:rPr>
          <w:lang w:val="fr-FR"/>
        </w:rPr>
        <w:t>doivent y demeurer s’ils veulent bénéficier des prestations</w:t>
      </w:r>
      <w:r w:rsidRPr="00976C24">
        <w:rPr>
          <w:lang w:val="fr-FR"/>
        </w:rPr>
        <w:t xml:space="preserve">. </w:t>
      </w:r>
    </w:p>
    <w:p w:rsidR="00903547" w:rsidRPr="00976C24" w:rsidRDefault="00903547" w:rsidP="00354A36">
      <w:pPr>
        <w:pStyle w:val="SingleTxtG"/>
        <w:rPr>
          <w:lang w:val="fr-FR"/>
        </w:rPr>
      </w:pPr>
      <w:r>
        <w:rPr>
          <w:lang w:val="fr-FR"/>
        </w:rPr>
        <w:t>248.</w:t>
      </w:r>
      <w:r>
        <w:rPr>
          <w:lang w:val="fr-FR"/>
        </w:rPr>
        <w:tab/>
      </w:r>
      <w:r w:rsidRPr="00976C24">
        <w:rPr>
          <w:lang w:val="fr-FR"/>
        </w:rPr>
        <w:t>Le</w:t>
      </w:r>
      <w:r>
        <w:rPr>
          <w:lang w:val="fr-FR"/>
        </w:rPr>
        <w:t>s autorités</w:t>
      </w:r>
      <w:r w:rsidRPr="00976C24">
        <w:rPr>
          <w:lang w:val="fr-FR"/>
        </w:rPr>
        <w:t xml:space="preserve"> norvégien</w:t>
      </w:r>
      <w:r>
        <w:rPr>
          <w:lang w:val="fr-FR"/>
        </w:rPr>
        <w:t>nes</w:t>
      </w:r>
      <w:r w:rsidRPr="00976C24">
        <w:rPr>
          <w:lang w:val="fr-FR"/>
        </w:rPr>
        <w:t xml:space="preserve"> </w:t>
      </w:r>
      <w:r>
        <w:rPr>
          <w:lang w:val="fr-FR"/>
        </w:rPr>
        <w:t>ont</w:t>
      </w:r>
      <w:r w:rsidRPr="00976C24">
        <w:rPr>
          <w:lang w:val="fr-FR"/>
        </w:rPr>
        <w:t xml:space="preserve"> désigné un comité chargé d’évaluer les dispositifs d’accueil </w:t>
      </w:r>
      <w:r>
        <w:rPr>
          <w:lang w:val="fr-FR"/>
        </w:rPr>
        <w:t>d</w:t>
      </w:r>
      <w:r w:rsidRPr="00976C24">
        <w:rPr>
          <w:lang w:val="fr-FR"/>
        </w:rPr>
        <w:t>es</w:t>
      </w:r>
      <w:r>
        <w:rPr>
          <w:lang w:val="fr-FR"/>
        </w:rPr>
        <w:t>tinés aux</w:t>
      </w:r>
      <w:r w:rsidRPr="00976C24">
        <w:rPr>
          <w:lang w:val="fr-FR"/>
        </w:rPr>
        <w:t xml:space="preserve"> demandeurs d’asile. Cette évaluation s’intéresse aux principaux objectifs et considérations ayant présidé aux </w:t>
      </w:r>
      <w:r>
        <w:rPr>
          <w:lang w:val="fr-FR"/>
        </w:rPr>
        <w:t>modalités</w:t>
      </w:r>
      <w:r w:rsidRPr="00976C24">
        <w:rPr>
          <w:lang w:val="fr-FR"/>
        </w:rPr>
        <w:t xml:space="preserve"> actuel</w:t>
      </w:r>
      <w:r>
        <w:rPr>
          <w:lang w:val="fr-FR"/>
        </w:rPr>
        <w:t>le</w:t>
      </w:r>
      <w:r w:rsidRPr="00976C24">
        <w:rPr>
          <w:lang w:val="fr-FR"/>
        </w:rPr>
        <w:t xml:space="preserve">s, y compris les prestations sociales prévues pour ce groupe, </w:t>
      </w:r>
      <w:r>
        <w:rPr>
          <w:lang w:val="fr-FR"/>
        </w:rPr>
        <w:t xml:space="preserve">ainsi qu’à </w:t>
      </w:r>
      <w:r w:rsidRPr="00976C24">
        <w:rPr>
          <w:lang w:val="fr-FR"/>
        </w:rPr>
        <w:t xml:space="preserve">la répartition des responsabilités entre </w:t>
      </w:r>
      <w:r>
        <w:rPr>
          <w:lang w:val="fr-FR"/>
        </w:rPr>
        <w:t xml:space="preserve">les </w:t>
      </w:r>
      <w:r w:rsidRPr="00976C24">
        <w:rPr>
          <w:lang w:val="fr-FR"/>
        </w:rPr>
        <w:t xml:space="preserve">différents organes gouvernementaux et non gouvernementaux. Dans le cadre de son mandat, le comité étudiera les dispositifs d’accueil </w:t>
      </w:r>
      <w:r>
        <w:rPr>
          <w:lang w:val="fr-FR"/>
        </w:rPr>
        <w:t xml:space="preserve">mis </w:t>
      </w:r>
      <w:r w:rsidRPr="00976C24">
        <w:rPr>
          <w:lang w:val="fr-FR"/>
        </w:rPr>
        <w:t xml:space="preserve">en place dans d’autres pays nordiques et de l’UE. Il doit remettre son rapport au plus tard le </w:t>
      </w:r>
      <w:r>
        <w:rPr>
          <w:lang w:val="fr-FR"/>
        </w:rPr>
        <w:t>1</w:t>
      </w:r>
      <w:r w:rsidRPr="00B378D7">
        <w:rPr>
          <w:vertAlign w:val="superscript"/>
          <w:lang w:val="fr-FR"/>
        </w:rPr>
        <w:t>er</w:t>
      </w:r>
      <w:r>
        <w:rPr>
          <w:lang w:val="fr-FR"/>
        </w:rPr>
        <w:t xml:space="preserve"> </w:t>
      </w:r>
      <w:r w:rsidRPr="00976C24">
        <w:rPr>
          <w:lang w:val="fr-FR"/>
        </w:rPr>
        <w:t>juin 2011.</w:t>
      </w:r>
    </w:p>
    <w:p w:rsidR="00903547" w:rsidRPr="00976C24" w:rsidRDefault="00903547" w:rsidP="0071086E">
      <w:pPr>
        <w:pStyle w:val="H23G"/>
        <w:rPr>
          <w:lang w:val="fr-FR"/>
        </w:rPr>
      </w:pPr>
      <w:r w:rsidRPr="00976C24">
        <w:rPr>
          <w:lang w:val="fr-FR"/>
        </w:rPr>
        <w:tab/>
        <w:t>b)</w:t>
      </w:r>
      <w:r w:rsidRPr="00976C24">
        <w:rPr>
          <w:lang w:val="fr-FR"/>
        </w:rPr>
        <w:tab/>
      </w:r>
      <w:bookmarkStart w:id="61" w:name="_Toc286326378"/>
      <w:r w:rsidRPr="00976C24">
        <w:rPr>
          <w:lang w:val="fr-FR"/>
        </w:rPr>
        <w:t>Représentation en justice</w:t>
      </w:r>
      <w:bookmarkEnd w:id="61"/>
    </w:p>
    <w:p w:rsidR="00903547" w:rsidRPr="00976C24" w:rsidRDefault="00903547" w:rsidP="00354A36">
      <w:pPr>
        <w:pStyle w:val="SingleTxtG"/>
        <w:rPr>
          <w:i/>
          <w:lang w:val="fr-FR"/>
        </w:rPr>
      </w:pPr>
      <w:r>
        <w:rPr>
          <w:lang w:val="fr-FR"/>
        </w:rPr>
        <w:t>249.</w:t>
      </w:r>
      <w:r>
        <w:rPr>
          <w:lang w:val="fr-FR"/>
        </w:rPr>
        <w:tab/>
      </w:r>
      <w:r w:rsidRPr="00976C24">
        <w:rPr>
          <w:lang w:val="fr-FR"/>
        </w:rPr>
        <w:t xml:space="preserve">L’Organisation norvégienne d’aide aux demandeurs d’asile est une organisation indépendante qui fournit renseignements et </w:t>
      </w:r>
      <w:r>
        <w:rPr>
          <w:lang w:val="fr-FR"/>
        </w:rPr>
        <w:t>conseils</w:t>
      </w:r>
      <w:r w:rsidRPr="00976C24">
        <w:rPr>
          <w:lang w:val="fr-FR"/>
        </w:rPr>
        <w:t xml:space="preserve"> aux demandeurs d’asile adultes. Les décisions sur les demandes d’asile sont prises en première instance par la Direction de l’immigration. Les demandeurs d’asile n’ont pas droit aux services d’un avocat avant que la Direction ne rende sa décision. </w:t>
      </w:r>
    </w:p>
    <w:p w:rsidR="00903547" w:rsidRPr="00976C24" w:rsidRDefault="00903547" w:rsidP="00354A36">
      <w:pPr>
        <w:pStyle w:val="SingleTxtG"/>
        <w:rPr>
          <w:bCs/>
          <w:lang w:val="fr-FR"/>
        </w:rPr>
      </w:pPr>
      <w:r>
        <w:rPr>
          <w:lang w:val="fr-FR"/>
        </w:rPr>
        <w:t>250.</w:t>
      </w:r>
      <w:r>
        <w:rPr>
          <w:lang w:val="fr-FR"/>
        </w:rPr>
        <w:tab/>
      </w:r>
      <w:r w:rsidRPr="00976C24">
        <w:rPr>
          <w:lang w:val="fr-FR"/>
        </w:rPr>
        <w:t>Les demandeurs d’asile adultes bénéficient de l’a</w:t>
      </w:r>
      <w:r>
        <w:rPr>
          <w:lang w:val="fr-FR"/>
        </w:rPr>
        <w:t>ide juridictionnelle</w:t>
      </w:r>
      <w:r w:rsidRPr="00976C24">
        <w:rPr>
          <w:lang w:val="fr-FR"/>
        </w:rPr>
        <w:t xml:space="preserve"> sans condition de ressources uniquement après qu’une décision négative aura été rendue et contestée. Néanmoins, un avocat sera commis avant que la décision en première instance ne soit prise</w:t>
      </w:r>
      <w:r>
        <w:rPr>
          <w:lang w:val="fr-FR"/>
        </w:rPr>
        <w:t xml:space="preserve"> dans les cas de</w:t>
      </w:r>
      <w:r w:rsidRPr="00976C24">
        <w:rPr>
          <w:lang w:val="fr-FR"/>
        </w:rPr>
        <w:t xml:space="preserve"> demandes déposées par des demandeurs d’asile mineurs non accompagnés ou des demandeurs d’asile qui </w:t>
      </w:r>
      <w:r>
        <w:rPr>
          <w:lang w:val="fr-FR"/>
        </w:rPr>
        <w:t>risquent d’</w:t>
      </w:r>
      <w:r w:rsidRPr="00976C24">
        <w:rPr>
          <w:lang w:val="fr-FR"/>
        </w:rPr>
        <w:t xml:space="preserve">être privés du droit au statut de réfugié, et dans les cas </w:t>
      </w:r>
      <w:r>
        <w:rPr>
          <w:lang w:val="fr-FR"/>
        </w:rPr>
        <w:t>faisant intervenir</w:t>
      </w:r>
      <w:r w:rsidRPr="00976C24">
        <w:rPr>
          <w:lang w:val="fr-FR"/>
        </w:rPr>
        <w:t xml:space="preserve"> des considérations de politique étrangère et des intérêts nationaux fondamentaux. Un demandeur d’asile a droit aux services d’un avocat sans condition de ressources en vertu des procédures de plainte de la Commission de recours en matière d’immigration</w:t>
      </w:r>
      <w:r>
        <w:rPr>
          <w:lang w:val="fr-FR"/>
        </w:rPr>
        <w:t xml:space="preserve"> (UNE)</w:t>
      </w:r>
      <w:r w:rsidRPr="00976C24">
        <w:rPr>
          <w:lang w:val="fr-FR"/>
        </w:rPr>
        <w:t>. Ce</w:t>
      </w:r>
      <w:r>
        <w:rPr>
          <w:lang w:val="fr-FR"/>
        </w:rPr>
        <w:t>tte disposition ne s’applique pas</w:t>
      </w:r>
      <w:r w:rsidRPr="00976C24">
        <w:rPr>
          <w:lang w:val="fr-FR"/>
        </w:rPr>
        <w:t xml:space="preserve"> si le demandeur a obtenu un titre de séjour pour des raisons humanitaires et a </w:t>
      </w:r>
      <w:r>
        <w:rPr>
          <w:lang w:val="fr-FR"/>
        </w:rPr>
        <w:t>fait appel du</w:t>
      </w:r>
      <w:r w:rsidRPr="00976C24">
        <w:rPr>
          <w:lang w:val="fr-FR"/>
        </w:rPr>
        <w:t xml:space="preserve"> rejet de sa demande d’asile.</w:t>
      </w:r>
    </w:p>
    <w:p w:rsidR="00903547" w:rsidRPr="00976C24" w:rsidRDefault="00903547" w:rsidP="0071086E">
      <w:pPr>
        <w:pStyle w:val="H23G"/>
        <w:rPr>
          <w:lang w:val="fr-FR"/>
        </w:rPr>
      </w:pPr>
      <w:r w:rsidRPr="00976C24">
        <w:rPr>
          <w:lang w:val="fr-FR"/>
        </w:rPr>
        <w:tab/>
        <w:t>c)</w:t>
      </w:r>
      <w:r w:rsidRPr="00976C24">
        <w:rPr>
          <w:lang w:val="fr-FR"/>
        </w:rPr>
        <w:tab/>
      </w:r>
      <w:bookmarkStart w:id="62" w:name="_Toc286326379"/>
      <w:r w:rsidRPr="00976C24">
        <w:rPr>
          <w:lang w:val="fr-FR"/>
        </w:rPr>
        <w:t>Mineurs demandeurs d’asile</w:t>
      </w:r>
      <w:bookmarkEnd w:id="62"/>
      <w:r w:rsidRPr="00976C24">
        <w:rPr>
          <w:lang w:val="fr-FR"/>
        </w:rPr>
        <w:t xml:space="preserve"> non accompagnés</w:t>
      </w:r>
    </w:p>
    <w:p w:rsidR="00903547" w:rsidRPr="00976C24" w:rsidRDefault="00903547" w:rsidP="00354A36">
      <w:pPr>
        <w:pStyle w:val="SingleTxtG"/>
        <w:rPr>
          <w:lang w:val="fr-FR"/>
        </w:rPr>
      </w:pPr>
      <w:r>
        <w:rPr>
          <w:lang w:val="fr-FR"/>
        </w:rPr>
        <w:t>251.</w:t>
      </w:r>
      <w:r>
        <w:rPr>
          <w:lang w:val="fr-FR"/>
        </w:rPr>
        <w:tab/>
        <w:t>Tout</w:t>
      </w:r>
      <w:r w:rsidRPr="00976C24">
        <w:rPr>
          <w:lang w:val="fr-FR"/>
        </w:rPr>
        <w:t xml:space="preserve"> </w:t>
      </w:r>
      <w:r>
        <w:rPr>
          <w:lang w:val="fr-FR"/>
        </w:rPr>
        <w:t>enfant non accompagné</w:t>
      </w:r>
      <w:r w:rsidRPr="00976C24">
        <w:rPr>
          <w:lang w:val="fr-FR"/>
        </w:rPr>
        <w:t xml:space="preserve"> de moins de 18 ans </w:t>
      </w:r>
      <w:r>
        <w:rPr>
          <w:lang w:val="fr-FR"/>
        </w:rPr>
        <w:t>a</w:t>
      </w:r>
      <w:r w:rsidRPr="00976C24">
        <w:rPr>
          <w:lang w:val="fr-FR"/>
        </w:rPr>
        <w:t xml:space="preserve"> droit à la même protection que </w:t>
      </w:r>
      <w:r>
        <w:rPr>
          <w:lang w:val="fr-FR"/>
        </w:rPr>
        <w:t>n’importe quel</w:t>
      </w:r>
      <w:r w:rsidRPr="00976C24">
        <w:rPr>
          <w:lang w:val="fr-FR"/>
        </w:rPr>
        <w:t xml:space="preserve"> autre enfant sur le sol norvégien</w:t>
      </w:r>
      <w:r w:rsidRPr="00014D79">
        <w:rPr>
          <w:lang w:val="fr-FR"/>
        </w:rPr>
        <w:t xml:space="preserve"> </w:t>
      </w:r>
      <w:r w:rsidRPr="00976C24">
        <w:rPr>
          <w:lang w:val="fr-FR"/>
        </w:rPr>
        <w:t xml:space="preserve">en vertu de la loi sur la protection de l’enfance. Offrir une protection </w:t>
      </w:r>
      <w:r w:rsidRPr="00976C24">
        <w:rPr>
          <w:i/>
          <w:lang w:val="fr-FR"/>
        </w:rPr>
        <w:t>de facto</w:t>
      </w:r>
      <w:r w:rsidRPr="00976C24">
        <w:rPr>
          <w:lang w:val="fr-FR"/>
        </w:rPr>
        <w:t xml:space="preserve"> à ces enfants vulnérables </w:t>
      </w:r>
      <w:r>
        <w:rPr>
          <w:lang w:val="fr-FR"/>
        </w:rPr>
        <w:t>reste cependant problématique</w:t>
      </w:r>
      <w:r w:rsidRPr="00976C24">
        <w:rPr>
          <w:lang w:val="fr-FR"/>
        </w:rPr>
        <w:t xml:space="preserve">. </w:t>
      </w:r>
    </w:p>
    <w:p w:rsidR="00903547" w:rsidRPr="00976C24" w:rsidRDefault="00903547" w:rsidP="00354A36">
      <w:pPr>
        <w:pStyle w:val="SingleTxtG"/>
        <w:rPr>
          <w:lang w:val="fr-FR"/>
        </w:rPr>
      </w:pPr>
      <w:r>
        <w:rPr>
          <w:lang w:val="fr-FR"/>
        </w:rPr>
        <w:t>252.</w:t>
      </w:r>
      <w:r>
        <w:rPr>
          <w:lang w:val="fr-FR"/>
        </w:rPr>
        <w:tab/>
      </w:r>
      <w:r w:rsidRPr="00976C24">
        <w:rPr>
          <w:lang w:val="fr-FR"/>
        </w:rPr>
        <w:t>S’agissant d</w:t>
      </w:r>
      <w:r>
        <w:rPr>
          <w:lang w:val="fr-FR"/>
        </w:rPr>
        <w:t>’</w:t>
      </w:r>
      <w:r w:rsidRPr="00976C24">
        <w:rPr>
          <w:lang w:val="fr-FR"/>
        </w:rPr>
        <w:t>hébergement, le Comité pourra se reporter au paragraphe</w:t>
      </w:r>
      <w:r>
        <w:rPr>
          <w:lang w:val="fr-FR"/>
        </w:rPr>
        <w:t> </w:t>
      </w:r>
      <w:r w:rsidRPr="00976C24">
        <w:rPr>
          <w:lang w:val="fr-FR"/>
        </w:rPr>
        <w:t>242 du sixième rapport périodique de la Norvège soumis au Comité des droits de l’homme. En décembre 2007, la prise en charge des enfants non accompagnés de moins de 15 ans a été transférée au</w:t>
      </w:r>
      <w:r>
        <w:rPr>
          <w:lang w:val="fr-FR"/>
        </w:rPr>
        <w:t>x</w:t>
      </w:r>
      <w:r w:rsidRPr="00976C24">
        <w:rPr>
          <w:lang w:val="fr-FR"/>
        </w:rPr>
        <w:t xml:space="preserve"> ser</w:t>
      </w:r>
      <w:r>
        <w:rPr>
          <w:lang w:val="fr-FR"/>
        </w:rPr>
        <w:t>vices de protection de l’enfance, ce qui</w:t>
      </w:r>
      <w:r w:rsidRPr="00976C24">
        <w:rPr>
          <w:lang w:val="fr-FR"/>
        </w:rPr>
        <w:t xml:space="preserve"> signifie que ce</w:t>
      </w:r>
      <w:r>
        <w:rPr>
          <w:lang w:val="fr-FR"/>
        </w:rPr>
        <w:t>s enfants sont</w:t>
      </w:r>
      <w:r w:rsidRPr="00976C24">
        <w:rPr>
          <w:lang w:val="fr-FR"/>
        </w:rPr>
        <w:t xml:space="preserve"> logé</w:t>
      </w:r>
      <w:r>
        <w:rPr>
          <w:lang w:val="fr-FR"/>
        </w:rPr>
        <w:t>s</w:t>
      </w:r>
      <w:r w:rsidRPr="00976C24">
        <w:rPr>
          <w:lang w:val="fr-FR"/>
        </w:rPr>
        <w:t xml:space="preserve"> dans des centres d</w:t>
      </w:r>
      <w:r>
        <w:rPr>
          <w:lang w:val="fr-FR"/>
        </w:rPr>
        <w:t>u service</w:t>
      </w:r>
      <w:r w:rsidRPr="00976C24">
        <w:rPr>
          <w:lang w:val="fr-FR"/>
        </w:rPr>
        <w:t xml:space="preserve">. Les enfants non accompagnés de plus de 15 ans sont </w:t>
      </w:r>
      <w:r>
        <w:rPr>
          <w:lang w:val="fr-FR"/>
        </w:rPr>
        <w:t>hébergés dans l</w:t>
      </w:r>
      <w:r w:rsidRPr="00976C24">
        <w:rPr>
          <w:lang w:val="fr-FR"/>
        </w:rPr>
        <w:t xml:space="preserve">es </w:t>
      </w:r>
      <w:r>
        <w:rPr>
          <w:lang w:val="fr-FR"/>
        </w:rPr>
        <w:t>centre</w:t>
      </w:r>
      <w:r w:rsidRPr="00976C24">
        <w:rPr>
          <w:lang w:val="fr-FR"/>
        </w:rPr>
        <w:t>s d’accueil gérés par les services de l’immigration. S</w:t>
      </w:r>
      <w:r>
        <w:rPr>
          <w:lang w:val="fr-FR"/>
        </w:rPr>
        <w:t>i l’on en croit les grandes orientations politiques définies en o</w:t>
      </w:r>
      <w:r w:rsidRPr="00976C24">
        <w:rPr>
          <w:lang w:val="fr-FR"/>
        </w:rPr>
        <w:t xml:space="preserve">ctobre 2009, la responsabilité de l’hébergement des enfants non accompagnés de plus de 15 ans restera aux mains des services de l’immigration lors du prochain mandat </w:t>
      </w:r>
      <w:r>
        <w:rPr>
          <w:lang w:val="fr-FR"/>
        </w:rPr>
        <w:t>g</w:t>
      </w:r>
      <w:r w:rsidRPr="00976C24">
        <w:rPr>
          <w:lang w:val="fr-FR"/>
        </w:rPr>
        <w:t>ouvernement</w:t>
      </w:r>
      <w:r>
        <w:rPr>
          <w:lang w:val="fr-FR"/>
        </w:rPr>
        <w:t>al</w:t>
      </w:r>
      <w:r w:rsidRPr="00976C24">
        <w:rPr>
          <w:lang w:val="fr-FR"/>
        </w:rPr>
        <w:t xml:space="preserve"> (2009</w:t>
      </w:r>
      <w:r>
        <w:rPr>
          <w:lang w:val="fr-FR"/>
        </w:rPr>
        <w:t>-</w:t>
      </w:r>
      <w:r w:rsidRPr="00976C24">
        <w:rPr>
          <w:lang w:val="fr-FR"/>
        </w:rPr>
        <w:t>2013).</w:t>
      </w:r>
    </w:p>
    <w:p w:rsidR="00903547" w:rsidRPr="00976C24" w:rsidRDefault="00903547" w:rsidP="00354A36">
      <w:pPr>
        <w:pStyle w:val="SingleTxtG"/>
        <w:rPr>
          <w:lang w:val="fr-FR"/>
        </w:rPr>
      </w:pPr>
      <w:r>
        <w:rPr>
          <w:lang w:val="fr-FR"/>
        </w:rPr>
        <w:t>253.</w:t>
      </w:r>
      <w:r>
        <w:rPr>
          <w:lang w:val="fr-FR"/>
        </w:rPr>
        <w:tab/>
      </w:r>
      <w:r w:rsidRPr="00976C24">
        <w:rPr>
          <w:lang w:val="fr-FR"/>
        </w:rPr>
        <w:t>Les conditions de vie des enfants non accompagnés de plus de 15 ans dans les centres d’accueil sont adaptées aux besoins de ce groupe de population</w:t>
      </w:r>
      <w:r>
        <w:rPr>
          <w:lang w:val="fr-FR"/>
        </w:rPr>
        <w:t xml:space="preserve"> et ont été</w:t>
      </w:r>
      <w:r w:rsidRPr="00976C24">
        <w:rPr>
          <w:lang w:val="fr-FR"/>
        </w:rPr>
        <w:t xml:space="preserve"> améliorées en 2008 et 2009. Ainsi, les centres sont dotés d’un personnel plus nombreux pour assurer un niveau correct de prise en charge</w:t>
      </w:r>
      <w:r>
        <w:rPr>
          <w:lang w:val="fr-FR"/>
        </w:rPr>
        <w:t>;</w:t>
      </w:r>
      <w:r w:rsidRPr="00976C24">
        <w:rPr>
          <w:lang w:val="fr-FR"/>
        </w:rPr>
        <w:t xml:space="preserve"> ils proposent des loisirs et d’autres activités intéressantes. </w:t>
      </w:r>
    </w:p>
    <w:p w:rsidR="00903547" w:rsidRPr="00976C24" w:rsidRDefault="00903547" w:rsidP="00354A36">
      <w:pPr>
        <w:pStyle w:val="SingleTxtG"/>
        <w:rPr>
          <w:lang w:val="fr-FR"/>
        </w:rPr>
      </w:pPr>
      <w:r>
        <w:rPr>
          <w:lang w:val="fr-FR"/>
        </w:rPr>
        <w:t>254.</w:t>
      </w:r>
      <w:r>
        <w:rPr>
          <w:lang w:val="fr-FR"/>
        </w:rPr>
        <w:tab/>
        <w:t>Un représentant légal est nommé pour chaque enfant demandeur</w:t>
      </w:r>
      <w:r w:rsidRPr="00976C24">
        <w:rPr>
          <w:lang w:val="fr-FR"/>
        </w:rPr>
        <w:t xml:space="preserve"> d’asile non acco</w:t>
      </w:r>
      <w:r>
        <w:rPr>
          <w:lang w:val="fr-FR"/>
        </w:rPr>
        <w:t>mpagné</w:t>
      </w:r>
      <w:r w:rsidRPr="00976C24">
        <w:rPr>
          <w:lang w:val="fr-FR"/>
        </w:rPr>
        <w:t>. Il doit notamment veiller à ce que la prise en charge et la protection juridique soient assurées d’une manière responsable.</w:t>
      </w:r>
    </w:p>
    <w:p w:rsidR="00903547" w:rsidRPr="00976C24" w:rsidRDefault="00903547" w:rsidP="00354A36">
      <w:pPr>
        <w:pStyle w:val="SingleTxtG"/>
        <w:rPr>
          <w:lang w:val="fr-FR"/>
        </w:rPr>
      </w:pPr>
      <w:r>
        <w:rPr>
          <w:lang w:val="fr-FR"/>
        </w:rPr>
        <w:t>255.</w:t>
      </w:r>
      <w:r>
        <w:rPr>
          <w:lang w:val="fr-FR"/>
        </w:rPr>
        <w:tab/>
      </w:r>
      <w:r w:rsidRPr="00976C24">
        <w:rPr>
          <w:lang w:val="fr-FR"/>
        </w:rPr>
        <w:t xml:space="preserve">Un projet de nouvelle loi sur le régime de tutelle a été soumis au </w:t>
      </w:r>
      <w:r w:rsidRPr="00B52B8E">
        <w:rPr>
          <w:i/>
          <w:lang w:val="fr-FR"/>
        </w:rPr>
        <w:t>Storting</w:t>
      </w:r>
      <w:r w:rsidRPr="00976C24">
        <w:rPr>
          <w:lang w:val="fr-FR"/>
        </w:rPr>
        <w:t xml:space="preserve"> en 2009.</w:t>
      </w:r>
    </w:p>
    <w:p w:rsidR="00903547" w:rsidRPr="00976C24" w:rsidRDefault="00903547" w:rsidP="00354A36">
      <w:pPr>
        <w:pStyle w:val="SingleTxtG"/>
        <w:rPr>
          <w:lang w:val="fr-FR"/>
        </w:rPr>
      </w:pPr>
      <w:r>
        <w:rPr>
          <w:lang w:val="fr-FR"/>
        </w:rPr>
        <w:t>256.</w:t>
      </w:r>
      <w:r>
        <w:rPr>
          <w:lang w:val="fr-FR"/>
        </w:rPr>
        <w:tab/>
      </w:r>
      <w:r w:rsidRPr="00976C24">
        <w:rPr>
          <w:lang w:val="fr-FR"/>
        </w:rPr>
        <w:t>Le Comité pourra se reporter au</w:t>
      </w:r>
      <w:r>
        <w:rPr>
          <w:lang w:val="fr-FR"/>
        </w:rPr>
        <w:t>x</w:t>
      </w:r>
      <w:r w:rsidRPr="0015768E">
        <w:rPr>
          <w:lang w:val="fr-FR"/>
        </w:rPr>
        <w:t xml:space="preserve"> </w:t>
      </w:r>
      <w:r>
        <w:rPr>
          <w:lang w:val="fr-FR"/>
        </w:rPr>
        <w:t xml:space="preserve">paragraphes 186 à </w:t>
      </w:r>
      <w:r w:rsidRPr="00976C24">
        <w:rPr>
          <w:lang w:val="fr-FR"/>
        </w:rPr>
        <w:t xml:space="preserve">188 </w:t>
      </w:r>
      <w:r>
        <w:rPr>
          <w:lang w:val="fr-FR"/>
        </w:rPr>
        <w:t xml:space="preserve">du </w:t>
      </w:r>
      <w:r w:rsidRPr="00976C24">
        <w:rPr>
          <w:lang w:val="fr-FR"/>
        </w:rPr>
        <w:t>sixième rapport périodique de la Norvège soumis au Comité des droits de l’homme.</w:t>
      </w:r>
    </w:p>
    <w:p w:rsidR="00903547" w:rsidRPr="00976C24" w:rsidRDefault="00903547" w:rsidP="00354A36">
      <w:pPr>
        <w:pStyle w:val="SingleTxtG"/>
        <w:rPr>
          <w:lang w:val="fr-FR"/>
        </w:rPr>
      </w:pPr>
      <w:r>
        <w:rPr>
          <w:lang w:val="fr-FR"/>
        </w:rPr>
        <w:t>257.</w:t>
      </w:r>
      <w:r>
        <w:rPr>
          <w:lang w:val="fr-FR"/>
        </w:rPr>
        <w:tab/>
      </w:r>
      <w:r w:rsidRPr="00976C24">
        <w:rPr>
          <w:lang w:val="fr-FR"/>
        </w:rPr>
        <w:t xml:space="preserve">Au cours des deux dernières années, la Norvège a accueilli un nombre croissant de demandeurs d’asile déclarant être des enfants non accompagnés. En 2007, </w:t>
      </w:r>
      <w:r>
        <w:rPr>
          <w:lang w:val="fr-FR"/>
        </w:rPr>
        <w:t>elle</w:t>
      </w:r>
      <w:r w:rsidRPr="00976C24">
        <w:rPr>
          <w:lang w:val="fr-FR"/>
        </w:rPr>
        <w:t xml:space="preserve"> a accueilli 403 de ces demandeurs d’asile, tandis que le chiffre pour 2009 </w:t>
      </w:r>
      <w:r>
        <w:rPr>
          <w:lang w:val="fr-FR"/>
        </w:rPr>
        <w:t>est</w:t>
      </w:r>
      <w:r w:rsidRPr="00976C24">
        <w:rPr>
          <w:lang w:val="fr-FR"/>
        </w:rPr>
        <w:t xml:space="preserve"> </w:t>
      </w:r>
      <w:r>
        <w:rPr>
          <w:lang w:val="fr-FR"/>
        </w:rPr>
        <w:t>passé à</w:t>
      </w:r>
      <w:r w:rsidRPr="00976C24">
        <w:rPr>
          <w:lang w:val="fr-FR"/>
        </w:rPr>
        <w:t xml:space="preserve"> 2</w:t>
      </w:r>
      <w:r>
        <w:rPr>
          <w:lang w:val="fr-FR"/>
        </w:rPr>
        <w:t> </w:t>
      </w:r>
      <w:r w:rsidRPr="00976C24">
        <w:rPr>
          <w:lang w:val="fr-FR"/>
        </w:rPr>
        <w:t xml:space="preserve">500. La Norvège se préoccupe de ce qui </w:t>
      </w:r>
      <w:r>
        <w:rPr>
          <w:lang w:val="fr-FR"/>
        </w:rPr>
        <w:t>apparaît être</w:t>
      </w:r>
      <w:r w:rsidRPr="00976C24">
        <w:rPr>
          <w:lang w:val="fr-FR"/>
        </w:rPr>
        <w:t xml:space="preserve"> une augmentation du nombre d’enfants </w:t>
      </w:r>
      <w:r>
        <w:rPr>
          <w:lang w:val="fr-FR"/>
        </w:rPr>
        <w:t>é</w:t>
      </w:r>
      <w:r w:rsidRPr="00976C24">
        <w:rPr>
          <w:lang w:val="fr-FR"/>
        </w:rPr>
        <w:t xml:space="preserve">migrant seuls et du risque qu’ils encourent pendant leur voyage. La Norvège est tenue de prendre en compte l’intérêt supérieur de l’enfant conformément à la Convention </w:t>
      </w:r>
      <w:r>
        <w:rPr>
          <w:lang w:val="fr-FR"/>
        </w:rPr>
        <w:t xml:space="preserve">y </w:t>
      </w:r>
      <w:r w:rsidRPr="00976C24">
        <w:rPr>
          <w:lang w:val="fr-FR"/>
        </w:rPr>
        <w:t>relative</w:t>
      </w:r>
      <w:r w:rsidRPr="00826737">
        <w:rPr>
          <w:lang w:val="fr-FR"/>
        </w:rPr>
        <w:t xml:space="preserve"> </w:t>
      </w:r>
      <w:r>
        <w:rPr>
          <w:lang w:val="fr-FR"/>
        </w:rPr>
        <w:t>l</w:t>
      </w:r>
      <w:r w:rsidRPr="00976C24">
        <w:rPr>
          <w:lang w:val="fr-FR"/>
        </w:rPr>
        <w:t xml:space="preserve">ors de l’examen des demandes émanant de ces enfants. </w:t>
      </w:r>
    </w:p>
    <w:p w:rsidR="00903547" w:rsidRPr="00976C24" w:rsidRDefault="00903547" w:rsidP="00354A36">
      <w:pPr>
        <w:pStyle w:val="SingleTxtG"/>
        <w:rPr>
          <w:lang w:val="fr-FR"/>
        </w:rPr>
      </w:pPr>
      <w:r>
        <w:rPr>
          <w:lang w:val="fr-FR"/>
        </w:rPr>
        <w:t>258.</w:t>
      </w:r>
      <w:r>
        <w:rPr>
          <w:lang w:val="fr-FR"/>
        </w:rPr>
        <w:tab/>
        <w:t>À</w:t>
      </w:r>
      <w:r w:rsidRPr="00976C24">
        <w:rPr>
          <w:lang w:val="fr-FR"/>
        </w:rPr>
        <w:t xml:space="preserve"> l’heure actuelle, la majorité de ces enfants obtiennent un permis de séjour </w:t>
      </w:r>
      <w:r>
        <w:rPr>
          <w:lang w:val="fr-FR"/>
        </w:rPr>
        <w:t xml:space="preserve">car </w:t>
      </w:r>
      <w:r w:rsidRPr="00976C24">
        <w:rPr>
          <w:lang w:val="fr-FR"/>
        </w:rPr>
        <w:t xml:space="preserve">ils déclarent n’avoir personne </w:t>
      </w:r>
      <w:r>
        <w:rPr>
          <w:lang w:val="fr-FR"/>
        </w:rPr>
        <w:t>qui puisse</w:t>
      </w:r>
      <w:r w:rsidRPr="00976C24">
        <w:rPr>
          <w:lang w:val="fr-FR"/>
        </w:rPr>
        <w:t xml:space="preserve"> s’occuper d’eux dans leur pays d’origine. L’expérience des professionnels </w:t>
      </w:r>
      <w:r>
        <w:rPr>
          <w:lang w:val="fr-FR"/>
        </w:rPr>
        <w:t>en matière d’a</w:t>
      </w:r>
      <w:r w:rsidRPr="00976C24">
        <w:rPr>
          <w:lang w:val="fr-FR"/>
        </w:rPr>
        <w:t xml:space="preserve">sile et les travaux de recherche montrent néanmoins que la majorité de ces enfants </w:t>
      </w:r>
      <w:r>
        <w:rPr>
          <w:lang w:val="fr-FR"/>
        </w:rPr>
        <w:t>s</w:t>
      </w:r>
      <w:r w:rsidRPr="00976C24">
        <w:rPr>
          <w:lang w:val="fr-FR"/>
        </w:rPr>
        <w:t xml:space="preserve">ont envoyés par leur famille pour qu’ils leur </w:t>
      </w:r>
      <w:r>
        <w:rPr>
          <w:lang w:val="fr-FR"/>
        </w:rPr>
        <w:t>procurent</w:t>
      </w:r>
      <w:r w:rsidRPr="00976C24">
        <w:rPr>
          <w:lang w:val="fr-FR"/>
        </w:rPr>
        <w:t xml:space="preserve"> un revenu. </w:t>
      </w:r>
      <w:r>
        <w:rPr>
          <w:lang w:val="fr-FR"/>
        </w:rPr>
        <w:t>C</w:t>
      </w:r>
      <w:r w:rsidRPr="00976C24">
        <w:rPr>
          <w:lang w:val="fr-FR"/>
        </w:rPr>
        <w:t>ontinue</w:t>
      </w:r>
      <w:r>
        <w:rPr>
          <w:lang w:val="fr-FR"/>
        </w:rPr>
        <w:t>r</w:t>
      </w:r>
      <w:r w:rsidRPr="00976C24">
        <w:rPr>
          <w:lang w:val="fr-FR"/>
        </w:rPr>
        <w:t xml:space="preserve"> à octroyer à </w:t>
      </w:r>
      <w:r>
        <w:rPr>
          <w:lang w:val="fr-FR"/>
        </w:rPr>
        <w:t>ces enfants un permis de séjour</w:t>
      </w:r>
      <w:r w:rsidRPr="00976C24">
        <w:rPr>
          <w:lang w:val="fr-FR"/>
        </w:rPr>
        <w:t xml:space="preserve"> </w:t>
      </w:r>
      <w:r>
        <w:rPr>
          <w:lang w:val="fr-FR"/>
        </w:rPr>
        <w:t>risque d’encourager les</w:t>
      </w:r>
      <w:r w:rsidRPr="00976C24">
        <w:rPr>
          <w:lang w:val="fr-FR"/>
        </w:rPr>
        <w:t xml:space="preserve"> parents qui </w:t>
      </w:r>
      <w:r>
        <w:rPr>
          <w:lang w:val="fr-FR"/>
        </w:rPr>
        <w:t xml:space="preserve">songent à </w:t>
      </w:r>
      <w:r w:rsidRPr="00976C24">
        <w:rPr>
          <w:lang w:val="fr-FR"/>
        </w:rPr>
        <w:t>envoyer leurs enfants non accompagnés demander l’asile dans un autre pays. C’est pourquoi la Norvège estime qu’il faut prendre des mesures pour favoriser le r</w:t>
      </w:r>
      <w:r>
        <w:rPr>
          <w:lang w:val="fr-FR"/>
        </w:rPr>
        <w:t>apatriement</w:t>
      </w:r>
      <w:r w:rsidRPr="00976C24">
        <w:rPr>
          <w:lang w:val="fr-FR"/>
        </w:rPr>
        <w:t xml:space="preserve"> des mineurs non accompagnés dans leur pays d’origine et ainsi endiguer le flux de migrants appartenant à cette catégorie particulière. </w:t>
      </w:r>
    </w:p>
    <w:p w:rsidR="00903547" w:rsidRPr="00976C24" w:rsidRDefault="00903547" w:rsidP="00B254D6">
      <w:pPr>
        <w:pStyle w:val="SingleTxtG"/>
        <w:rPr>
          <w:lang w:val="fr-FR"/>
        </w:rPr>
      </w:pPr>
      <w:r>
        <w:rPr>
          <w:lang w:val="fr-FR"/>
        </w:rPr>
        <w:t>259.</w:t>
      </w:r>
      <w:r>
        <w:rPr>
          <w:lang w:val="fr-FR"/>
        </w:rPr>
        <w:tab/>
      </w:r>
      <w:r w:rsidRPr="00976C24">
        <w:rPr>
          <w:lang w:val="fr-FR"/>
        </w:rPr>
        <w:t xml:space="preserve">L’objectif premier de la Norvège est de réunir ces enfants </w:t>
      </w:r>
      <w:r>
        <w:rPr>
          <w:lang w:val="fr-FR"/>
        </w:rPr>
        <w:t>et</w:t>
      </w:r>
      <w:r w:rsidRPr="00976C24">
        <w:rPr>
          <w:lang w:val="fr-FR"/>
        </w:rPr>
        <w:t xml:space="preserve"> les personnes qui s’en occupent dans leur pays d’origine. Il est néanmoins difficile de localiser les membres de la famille</w:t>
      </w:r>
      <w:r>
        <w:rPr>
          <w:lang w:val="fr-FR"/>
        </w:rPr>
        <w:t>,</w:t>
      </w:r>
      <w:r w:rsidRPr="00976C24">
        <w:rPr>
          <w:lang w:val="fr-FR"/>
        </w:rPr>
        <w:t xml:space="preserve"> beau</w:t>
      </w:r>
      <w:r>
        <w:rPr>
          <w:lang w:val="fr-FR"/>
        </w:rPr>
        <w:t>coup de ces enfants ne fournissa</w:t>
      </w:r>
      <w:r w:rsidRPr="00976C24">
        <w:rPr>
          <w:lang w:val="fr-FR"/>
        </w:rPr>
        <w:t xml:space="preserve">nt </w:t>
      </w:r>
      <w:r>
        <w:rPr>
          <w:lang w:val="fr-FR"/>
        </w:rPr>
        <w:t>aucune</w:t>
      </w:r>
      <w:r w:rsidRPr="00976C24">
        <w:rPr>
          <w:lang w:val="fr-FR"/>
        </w:rPr>
        <w:t xml:space="preserve"> </w:t>
      </w:r>
      <w:r>
        <w:rPr>
          <w:lang w:val="fr-FR"/>
        </w:rPr>
        <w:t>information</w:t>
      </w:r>
      <w:r w:rsidRPr="00976C24">
        <w:rPr>
          <w:lang w:val="fr-FR"/>
        </w:rPr>
        <w:t xml:space="preserve"> </w:t>
      </w:r>
      <w:r>
        <w:rPr>
          <w:lang w:val="fr-FR"/>
        </w:rPr>
        <w:t>à ce sujet</w:t>
      </w:r>
      <w:r w:rsidRPr="00976C24">
        <w:rPr>
          <w:lang w:val="fr-FR"/>
        </w:rPr>
        <w:t xml:space="preserve"> dans</w:t>
      </w:r>
      <w:r>
        <w:rPr>
          <w:lang w:val="fr-FR"/>
        </w:rPr>
        <w:t xml:space="preserve"> </w:t>
      </w:r>
      <w:r w:rsidRPr="00976C24">
        <w:rPr>
          <w:lang w:val="fr-FR"/>
        </w:rPr>
        <w:t xml:space="preserve">le but d’obtenir un permis de séjour. </w:t>
      </w:r>
    </w:p>
    <w:p w:rsidR="00903547" w:rsidRPr="00976C24" w:rsidRDefault="00903547" w:rsidP="00B254D6">
      <w:pPr>
        <w:pStyle w:val="SingleTxtG"/>
        <w:rPr>
          <w:lang w:val="fr-FR"/>
        </w:rPr>
      </w:pPr>
      <w:r>
        <w:rPr>
          <w:lang w:val="fr-FR"/>
        </w:rPr>
        <w:t>260.</w:t>
      </w:r>
      <w:r>
        <w:rPr>
          <w:lang w:val="fr-FR"/>
        </w:rPr>
        <w:tab/>
        <w:t>À</w:t>
      </w:r>
      <w:r w:rsidRPr="00976C24">
        <w:rPr>
          <w:lang w:val="fr-FR"/>
        </w:rPr>
        <w:t xml:space="preserve"> titre d’alternative au retour, le Gouvernement norvégien projette d’ouvrir des centres de prise en charge et d’éducation dans les pays d’origine où </w:t>
      </w:r>
      <w:r>
        <w:rPr>
          <w:lang w:val="fr-FR"/>
        </w:rPr>
        <w:t xml:space="preserve">ils </w:t>
      </w:r>
      <w:r w:rsidRPr="00976C24">
        <w:rPr>
          <w:lang w:val="fr-FR"/>
        </w:rPr>
        <w:t xml:space="preserve">n’existent pas ou </w:t>
      </w:r>
      <w:r>
        <w:rPr>
          <w:lang w:val="fr-FR"/>
        </w:rPr>
        <w:t>sont inadaptés</w:t>
      </w:r>
      <w:r w:rsidRPr="00976C24">
        <w:rPr>
          <w:lang w:val="fr-FR"/>
        </w:rPr>
        <w:t>. Ces centres prendront convenablement en charge les mineurs non accompagnés r</w:t>
      </w:r>
      <w:r>
        <w:rPr>
          <w:lang w:val="fr-FR"/>
        </w:rPr>
        <w:t>apatriés</w:t>
      </w:r>
      <w:r w:rsidRPr="00976C24">
        <w:rPr>
          <w:lang w:val="fr-FR"/>
        </w:rPr>
        <w:t xml:space="preserve"> de Norvège sous bonne escorte</w:t>
      </w:r>
      <w:r>
        <w:rPr>
          <w:lang w:val="fr-FR"/>
        </w:rPr>
        <w:t xml:space="preserve"> et</w:t>
      </w:r>
      <w:r w:rsidRPr="00976C24">
        <w:rPr>
          <w:lang w:val="fr-FR"/>
        </w:rPr>
        <w:t xml:space="preserve"> proposeront </w:t>
      </w:r>
      <w:r>
        <w:rPr>
          <w:lang w:val="fr-FR"/>
        </w:rPr>
        <w:t>u</w:t>
      </w:r>
      <w:r w:rsidRPr="00976C24">
        <w:rPr>
          <w:lang w:val="fr-FR"/>
        </w:rPr>
        <w:t>n enseignement ou une fo</w:t>
      </w:r>
      <w:r>
        <w:rPr>
          <w:lang w:val="fr-FR"/>
        </w:rPr>
        <w:t>rmation professionnelle pour que c</w:t>
      </w:r>
      <w:r w:rsidRPr="00976C24">
        <w:rPr>
          <w:lang w:val="fr-FR"/>
        </w:rPr>
        <w:t xml:space="preserve">es enfants </w:t>
      </w:r>
      <w:r>
        <w:rPr>
          <w:lang w:val="fr-FR"/>
        </w:rPr>
        <w:t>puissent</w:t>
      </w:r>
      <w:r w:rsidRPr="00976C24">
        <w:rPr>
          <w:lang w:val="fr-FR"/>
        </w:rPr>
        <w:t xml:space="preserve"> subvenir à leurs besoins. Les centres </w:t>
      </w:r>
      <w:r>
        <w:rPr>
          <w:lang w:val="fr-FR"/>
        </w:rPr>
        <w:t>réserveront</w:t>
      </w:r>
      <w:r w:rsidRPr="00976C24">
        <w:rPr>
          <w:lang w:val="fr-FR"/>
        </w:rPr>
        <w:t xml:space="preserve"> de</w:t>
      </w:r>
      <w:r>
        <w:rPr>
          <w:lang w:val="fr-FR"/>
        </w:rPr>
        <w:t>s</w:t>
      </w:r>
      <w:r w:rsidRPr="00976C24">
        <w:rPr>
          <w:lang w:val="fr-FR"/>
        </w:rPr>
        <w:t xml:space="preserve"> places </w:t>
      </w:r>
      <w:r>
        <w:rPr>
          <w:lang w:val="fr-FR"/>
        </w:rPr>
        <w:t>aux</w:t>
      </w:r>
      <w:r w:rsidRPr="00976C24">
        <w:rPr>
          <w:lang w:val="fr-FR"/>
        </w:rPr>
        <w:t xml:space="preserve"> enfants de</w:t>
      </w:r>
      <w:r>
        <w:rPr>
          <w:lang w:val="fr-FR"/>
        </w:rPr>
        <w:t>s environs</w:t>
      </w:r>
      <w:r w:rsidRPr="00976C24">
        <w:rPr>
          <w:lang w:val="fr-FR"/>
        </w:rPr>
        <w:t xml:space="preserve">. </w:t>
      </w:r>
    </w:p>
    <w:p w:rsidR="00903547" w:rsidRPr="00976C24" w:rsidRDefault="00903547" w:rsidP="0071086E">
      <w:pPr>
        <w:pStyle w:val="H23G"/>
        <w:rPr>
          <w:lang w:val="fr-FR"/>
        </w:rPr>
      </w:pPr>
      <w:r w:rsidRPr="00976C24">
        <w:rPr>
          <w:lang w:val="fr-FR"/>
        </w:rPr>
        <w:tab/>
        <w:t>d)</w:t>
      </w:r>
      <w:r w:rsidRPr="00976C24">
        <w:rPr>
          <w:lang w:val="fr-FR"/>
        </w:rPr>
        <w:tab/>
      </w:r>
      <w:r>
        <w:rPr>
          <w:lang w:val="fr-FR"/>
        </w:rPr>
        <w:t>Éducation</w:t>
      </w:r>
    </w:p>
    <w:p w:rsidR="00903547" w:rsidRPr="00976C24" w:rsidRDefault="00903547" w:rsidP="00B254D6">
      <w:pPr>
        <w:pStyle w:val="SingleTxtG"/>
        <w:rPr>
          <w:lang w:val="fr-FR"/>
        </w:rPr>
      </w:pPr>
      <w:r>
        <w:rPr>
          <w:lang w:val="fr-FR"/>
        </w:rPr>
        <w:t>261.</w:t>
      </w:r>
      <w:r>
        <w:rPr>
          <w:lang w:val="fr-FR"/>
        </w:rPr>
        <w:tab/>
      </w:r>
      <w:r w:rsidRPr="00976C24">
        <w:rPr>
          <w:lang w:val="fr-FR"/>
        </w:rPr>
        <w:t>Bien que les enfants demandeurs d’asile n’aient pas droit à une place en maternelle, tous les enfants âgés de 2 à 6 ans ont accès aux salles de jeu des centres d’accueil, et les 4/5</w:t>
      </w:r>
      <w:r>
        <w:rPr>
          <w:lang w:val="fr-FR"/>
        </w:rPr>
        <w:t> </w:t>
      </w:r>
      <w:r w:rsidRPr="00976C24">
        <w:rPr>
          <w:lang w:val="fr-FR"/>
        </w:rPr>
        <w:t xml:space="preserve">ans </w:t>
      </w:r>
      <w:r>
        <w:rPr>
          <w:lang w:val="fr-FR"/>
        </w:rPr>
        <w:t>bénéficient d’</w:t>
      </w:r>
      <w:r w:rsidRPr="00976C24">
        <w:rPr>
          <w:lang w:val="fr-FR"/>
        </w:rPr>
        <w:t xml:space="preserve">une place en maternelle. Selon les chiffres de la Direction de l’immigration, il semble que la majorité des enfants de 4 et 5 ans vivant dans un centre d’accueil fréquente une maternelle. </w:t>
      </w:r>
      <w:r>
        <w:rPr>
          <w:lang w:val="fr-FR"/>
        </w:rPr>
        <w:t>Il en va de même pour</w:t>
      </w:r>
      <w:r w:rsidRPr="00976C24">
        <w:rPr>
          <w:lang w:val="fr-FR"/>
        </w:rPr>
        <w:t xml:space="preserve"> certains enfants de 2 et 3 ans car certains centres </w:t>
      </w:r>
      <w:r>
        <w:rPr>
          <w:lang w:val="fr-FR"/>
        </w:rPr>
        <w:t xml:space="preserve">préfèrent </w:t>
      </w:r>
      <w:r w:rsidRPr="00976C24">
        <w:rPr>
          <w:lang w:val="fr-FR"/>
        </w:rPr>
        <w:t xml:space="preserve">cette option </w:t>
      </w:r>
      <w:r>
        <w:rPr>
          <w:lang w:val="fr-FR"/>
        </w:rPr>
        <w:t>à</w:t>
      </w:r>
      <w:r w:rsidRPr="00976C24">
        <w:rPr>
          <w:lang w:val="fr-FR"/>
        </w:rPr>
        <w:t xml:space="preserve"> celle de l’accès aux salles de jeu.</w:t>
      </w:r>
    </w:p>
    <w:p w:rsidR="00903547" w:rsidRPr="00976C24" w:rsidRDefault="00903547" w:rsidP="00B254D6">
      <w:pPr>
        <w:pStyle w:val="SingleTxtG"/>
        <w:rPr>
          <w:lang w:val="fr-FR"/>
        </w:rPr>
      </w:pPr>
      <w:r>
        <w:rPr>
          <w:lang w:val="fr-FR"/>
        </w:rPr>
        <w:t>262.</w:t>
      </w:r>
      <w:r>
        <w:rPr>
          <w:lang w:val="fr-FR"/>
        </w:rPr>
        <w:tab/>
      </w:r>
      <w:r w:rsidRPr="00976C24">
        <w:rPr>
          <w:lang w:val="fr-FR"/>
        </w:rPr>
        <w:t xml:space="preserve">La loi sur l’éducation s’applique à tous les enfants qui résident en Norvège, qu’ils aient ou non la qualité de résident. Les enfants d’âge scolaire qui restent plus de trois mois dans le pays ont le droit et l’obligation de fréquenter l’école primaire. </w:t>
      </w:r>
      <w:r>
        <w:rPr>
          <w:lang w:val="fr-FR"/>
        </w:rPr>
        <w:t>Ainsi,</w:t>
      </w:r>
      <w:r w:rsidRPr="00976C24">
        <w:rPr>
          <w:lang w:val="fr-FR"/>
        </w:rPr>
        <w:t xml:space="preserve"> tous les enfants demandeurs d’asile en âge de fréquenter l’école primaire ou le premier cycle du secondaire sont inscrits dans des écoles dès qu’il </w:t>
      </w:r>
      <w:r>
        <w:rPr>
          <w:lang w:val="fr-FR"/>
        </w:rPr>
        <w:t>apparaît</w:t>
      </w:r>
      <w:r w:rsidRPr="00976C24">
        <w:rPr>
          <w:lang w:val="fr-FR"/>
        </w:rPr>
        <w:t xml:space="preserve"> qu’ils séjourner</w:t>
      </w:r>
      <w:r>
        <w:rPr>
          <w:lang w:val="fr-FR"/>
        </w:rPr>
        <w:t>ont</w:t>
      </w:r>
      <w:r w:rsidRPr="00976C24">
        <w:rPr>
          <w:lang w:val="fr-FR"/>
        </w:rPr>
        <w:t xml:space="preserve"> plus de trois mois dans le pays, indépendamment du lieu où ils se trouvent </w:t>
      </w:r>
      <w:r>
        <w:rPr>
          <w:lang w:val="fr-FR"/>
        </w:rPr>
        <w:t>sur le territoire</w:t>
      </w:r>
      <w:r w:rsidRPr="00976C24">
        <w:rPr>
          <w:lang w:val="fr-FR"/>
        </w:rPr>
        <w:t xml:space="preserve">. Selon le règlement </w:t>
      </w:r>
      <w:r>
        <w:rPr>
          <w:lang w:val="fr-FR"/>
        </w:rPr>
        <w:t>d’</w:t>
      </w:r>
      <w:r w:rsidRPr="00976C24">
        <w:rPr>
          <w:lang w:val="fr-FR"/>
        </w:rPr>
        <w:t xml:space="preserve">application de l’article 6-9 de la loi sur l’éducation, les candidats à l’entrée dans le deuxième cycle de l’enseignement secondaire âgés de plus de 16 ans et </w:t>
      </w:r>
      <w:r>
        <w:rPr>
          <w:lang w:val="fr-FR"/>
        </w:rPr>
        <w:t>pour les</w:t>
      </w:r>
      <w:r w:rsidRPr="00976C24">
        <w:rPr>
          <w:lang w:val="fr-FR"/>
        </w:rPr>
        <w:t>quels aucune décision n’a été prise quant à l’octroi d’un titre de séjour n</w:t>
      </w:r>
      <w:r>
        <w:rPr>
          <w:lang w:val="fr-FR"/>
        </w:rPr>
        <w:t>e peuvent y être admis</w:t>
      </w:r>
      <w:r w:rsidRPr="00976C24">
        <w:rPr>
          <w:lang w:val="fr-FR"/>
        </w:rPr>
        <w:t>. Un rapport établi par l’Université de sciences et de technologie (NTNU) de Samfunnsforskning en 2009</w:t>
      </w:r>
      <w:r>
        <w:rPr>
          <w:lang w:val="fr-FR"/>
        </w:rPr>
        <w:t xml:space="preserve"> indique toutefois qu’environ</w:t>
      </w:r>
      <w:r w:rsidRPr="00976C24">
        <w:rPr>
          <w:lang w:val="fr-FR"/>
        </w:rPr>
        <w:t xml:space="preserve"> 20</w:t>
      </w:r>
      <w:r>
        <w:rPr>
          <w:lang w:val="fr-FR"/>
        </w:rPr>
        <w:t xml:space="preserve"> </w:t>
      </w:r>
      <w:r w:rsidRPr="00976C24">
        <w:rPr>
          <w:lang w:val="fr-FR"/>
        </w:rPr>
        <w:t>% de</w:t>
      </w:r>
      <w:r>
        <w:rPr>
          <w:lang w:val="fr-FR"/>
        </w:rPr>
        <w:t>s</w:t>
      </w:r>
      <w:r w:rsidRPr="00976C24">
        <w:rPr>
          <w:lang w:val="fr-FR"/>
        </w:rPr>
        <w:t xml:space="preserve"> demandeurs d’asile âgés </w:t>
      </w:r>
      <w:r>
        <w:rPr>
          <w:lang w:val="fr-FR"/>
        </w:rPr>
        <w:t>de</w:t>
      </w:r>
      <w:r w:rsidRPr="00976C24">
        <w:rPr>
          <w:lang w:val="fr-FR"/>
        </w:rPr>
        <w:t xml:space="preserve"> 16 </w:t>
      </w:r>
      <w:r>
        <w:rPr>
          <w:lang w:val="fr-FR"/>
        </w:rPr>
        <w:t>à</w:t>
      </w:r>
      <w:r w:rsidRPr="00976C24">
        <w:rPr>
          <w:lang w:val="fr-FR"/>
        </w:rPr>
        <w:t xml:space="preserve"> 18 ans </w:t>
      </w:r>
      <w:r>
        <w:rPr>
          <w:lang w:val="fr-FR"/>
        </w:rPr>
        <w:t>suivent</w:t>
      </w:r>
      <w:r w:rsidRPr="00976C24">
        <w:rPr>
          <w:lang w:val="fr-FR"/>
        </w:rPr>
        <w:t xml:space="preserve"> le deuxième cycle de l’enseignement secondaire. </w:t>
      </w:r>
    </w:p>
    <w:p w:rsidR="00903547" w:rsidRPr="00976C24" w:rsidRDefault="00903547" w:rsidP="00B254D6">
      <w:pPr>
        <w:pStyle w:val="SingleTxtG"/>
        <w:rPr>
          <w:lang w:val="fr-FR"/>
        </w:rPr>
      </w:pPr>
      <w:r>
        <w:rPr>
          <w:lang w:val="fr-FR"/>
        </w:rPr>
        <w:t>263.</w:t>
      </w:r>
      <w:r>
        <w:rPr>
          <w:lang w:val="fr-FR"/>
        </w:rPr>
        <w:tab/>
      </w:r>
      <w:r w:rsidRPr="00976C24">
        <w:rPr>
          <w:lang w:val="fr-FR"/>
        </w:rPr>
        <w:t>Les demandeurs d’asile de moins de 18 ans peuvent être admis dans le deuxième cycle d</w:t>
      </w:r>
      <w:r>
        <w:rPr>
          <w:lang w:val="fr-FR"/>
        </w:rPr>
        <w:t>u</w:t>
      </w:r>
      <w:r w:rsidRPr="00976C24">
        <w:rPr>
          <w:lang w:val="fr-FR"/>
        </w:rPr>
        <w:t xml:space="preserve"> secondaire pendant l’examen de leur demande de permis de séjour, mais n</w:t>
      </w:r>
      <w:r>
        <w:rPr>
          <w:lang w:val="fr-FR"/>
        </w:rPr>
        <w:t>e pourront pas</w:t>
      </w:r>
      <w:r w:rsidRPr="00976C24">
        <w:rPr>
          <w:lang w:val="fr-FR"/>
        </w:rPr>
        <w:t xml:space="preserve"> terminer l</w:t>
      </w:r>
      <w:r>
        <w:rPr>
          <w:lang w:val="fr-FR"/>
        </w:rPr>
        <w:t>’</w:t>
      </w:r>
      <w:r w:rsidRPr="00976C24">
        <w:rPr>
          <w:lang w:val="fr-FR"/>
        </w:rPr>
        <w:t xml:space="preserve">année scolaire si leur demande est rejetée. Même </w:t>
      </w:r>
      <w:r>
        <w:rPr>
          <w:lang w:val="fr-FR"/>
        </w:rPr>
        <w:t>en l’absence d’un</w:t>
      </w:r>
      <w:r w:rsidRPr="00976C24">
        <w:rPr>
          <w:lang w:val="fr-FR"/>
        </w:rPr>
        <w:t xml:space="preserve"> droit formel à l’éducation, un programme d</w:t>
      </w:r>
      <w:r>
        <w:rPr>
          <w:lang w:val="fr-FR"/>
        </w:rPr>
        <w:t xml:space="preserve">e subvention </w:t>
      </w:r>
      <w:r w:rsidRPr="00976C24">
        <w:rPr>
          <w:lang w:val="fr-FR"/>
        </w:rPr>
        <w:t xml:space="preserve">a été mis en place </w:t>
      </w:r>
      <w:r>
        <w:rPr>
          <w:lang w:val="fr-FR"/>
        </w:rPr>
        <w:t>pour les autorités locales et ainsi leur permettre de dispenser</w:t>
      </w:r>
      <w:r w:rsidRPr="00976C24">
        <w:rPr>
          <w:lang w:val="fr-FR"/>
        </w:rPr>
        <w:t xml:space="preserve"> un enseignement primaire aux demandeurs d’asile âgés de 16 à 18 ans qui vivent dans des centres d’accueil et autres centres de prise en charge.</w:t>
      </w:r>
    </w:p>
    <w:p w:rsidR="00903547" w:rsidRPr="00976C24" w:rsidRDefault="00903547" w:rsidP="00B254D6">
      <w:pPr>
        <w:pStyle w:val="SingleTxtG"/>
        <w:rPr>
          <w:lang w:val="fr-FR"/>
        </w:rPr>
      </w:pPr>
      <w:r>
        <w:rPr>
          <w:lang w:val="fr-FR"/>
        </w:rPr>
        <w:t>264.</w:t>
      </w:r>
      <w:r>
        <w:rPr>
          <w:lang w:val="fr-FR"/>
        </w:rPr>
        <w:tab/>
        <w:t>Certains étudiants d</w:t>
      </w:r>
      <w:r w:rsidRPr="00976C24">
        <w:rPr>
          <w:lang w:val="fr-FR"/>
        </w:rPr>
        <w:t xml:space="preserve">u niveau supérieur peuvent avoir besoin d’une formation plus poussée en langue. C’est pourquoi certaines institutions d’enseignement supérieur ont </w:t>
      </w:r>
      <w:r>
        <w:rPr>
          <w:lang w:val="fr-FR"/>
        </w:rPr>
        <w:t>instauré</w:t>
      </w:r>
      <w:r w:rsidRPr="00976C24">
        <w:rPr>
          <w:lang w:val="fr-FR"/>
        </w:rPr>
        <w:t xml:space="preserve"> un cycle préparatoire de deux ans qui </w:t>
      </w:r>
      <w:r>
        <w:rPr>
          <w:lang w:val="fr-FR"/>
        </w:rPr>
        <w:t xml:space="preserve">propose </w:t>
      </w:r>
      <w:r w:rsidRPr="00976C24">
        <w:rPr>
          <w:lang w:val="fr-FR"/>
        </w:rPr>
        <w:t xml:space="preserve">des cours intensifs d’anglais et de norvégien. Les demandeurs d’asile vivant dans des centres d’accueil peuvent suivre des cours de langue norvégienne sauf si leur demande est traitée </w:t>
      </w:r>
      <w:r>
        <w:rPr>
          <w:lang w:val="fr-FR"/>
        </w:rPr>
        <w:t>selon le</w:t>
      </w:r>
      <w:r w:rsidRPr="00976C24">
        <w:rPr>
          <w:lang w:val="fr-FR"/>
        </w:rPr>
        <w:t xml:space="preserve"> Règlement de Dublin.</w:t>
      </w:r>
    </w:p>
    <w:p w:rsidR="00903547" w:rsidRPr="00976C24" w:rsidRDefault="00903547" w:rsidP="0071086E">
      <w:pPr>
        <w:pStyle w:val="H23G"/>
        <w:rPr>
          <w:lang w:val="fr-FR"/>
        </w:rPr>
      </w:pPr>
      <w:r w:rsidRPr="00976C24">
        <w:rPr>
          <w:lang w:val="fr-FR"/>
        </w:rPr>
        <w:tab/>
        <w:t>e)</w:t>
      </w:r>
      <w:r w:rsidRPr="00976C24">
        <w:rPr>
          <w:lang w:val="fr-FR"/>
        </w:rPr>
        <w:tab/>
      </w:r>
      <w:bookmarkStart w:id="63" w:name="_Toc286326381"/>
      <w:r w:rsidRPr="00976C24">
        <w:rPr>
          <w:lang w:val="fr-FR"/>
        </w:rPr>
        <w:t>Moyens de subsistance</w:t>
      </w:r>
      <w:bookmarkEnd w:id="63"/>
    </w:p>
    <w:p w:rsidR="00903547" w:rsidRPr="00976C24" w:rsidRDefault="00903547" w:rsidP="00B254D6">
      <w:pPr>
        <w:pStyle w:val="SingleTxtG"/>
        <w:rPr>
          <w:lang w:val="fr-FR"/>
        </w:rPr>
      </w:pPr>
      <w:r>
        <w:rPr>
          <w:lang w:val="fr-FR"/>
        </w:rPr>
        <w:t>265.</w:t>
      </w:r>
      <w:r>
        <w:rPr>
          <w:lang w:val="fr-FR"/>
        </w:rPr>
        <w:tab/>
      </w:r>
      <w:r w:rsidRPr="00976C24">
        <w:rPr>
          <w:lang w:val="fr-FR"/>
        </w:rPr>
        <w:t xml:space="preserve">Les demandeurs d’asile </w:t>
      </w:r>
      <w:r>
        <w:rPr>
          <w:lang w:val="fr-FR"/>
        </w:rPr>
        <w:t>séjournant</w:t>
      </w:r>
      <w:r w:rsidRPr="00976C24">
        <w:rPr>
          <w:lang w:val="fr-FR"/>
        </w:rPr>
        <w:t xml:space="preserve"> dans des centres d’accueil reçoivent des vêtements et d’autres produits </w:t>
      </w:r>
      <w:r>
        <w:rPr>
          <w:lang w:val="fr-FR"/>
        </w:rPr>
        <w:t>de première n</w:t>
      </w:r>
      <w:r w:rsidRPr="00976C24">
        <w:rPr>
          <w:lang w:val="fr-FR"/>
        </w:rPr>
        <w:t>écess</w:t>
      </w:r>
      <w:r>
        <w:rPr>
          <w:lang w:val="fr-FR"/>
        </w:rPr>
        <w:t>ité</w:t>
      </w:r>
      <w:r w:rsidRPr="00976C24">
        <w:rPr>
          <w:lang w:val="fr-FR"/>
        </w:rPr>
        <w:t xml:space="preserve"> à leur arrivée et perçoivent des prestations </w:t>
      </w:r>
      <w:r>
        <w:rPr>
          <w:lang w:val="fr-FR"/>
        </w:rPr>
        <w:t xml:space="preserve">mensuelles </w:t>
      </w:r>
      <w:r w:rsidRPr="00976C24">
        <w:rPr>
          <w:lang w:val="fr-FR"/>
        </w:rPr>
        <w:t xml:space="preserve">en espèces. </w:t>
      </w:r>
      <w:r>
        <w:rPr>
          <w:lang w:val="fr-FR"/>
        </w:rPr>
        <w:t>À</w:t>
      </w:r>
      <w:r w:rsidRPr="00976C24">
        <w:rPr>
          <w:lang w:val="fr-FR"/>
        </w:rPr>
        <w:t xml:space="preserve"> l’exception de</w:t>
      </w:r>
      <w:r>
        <w:rPr>
          <w:lang w:val="fr-FR"/>
        </w:rPr>
        <w:t xml:space="preserve"> ceux qui ont</w:t>
      </w:r>
      <w:r w:rsidRPr="00976C24">
        <w:rPr>
          <w:lang w:val="fr-FR"/>
        </w:rPr>
        <w:t xml:space="preserve"> obtenu l’autorisation de la Direction de l’immigration de</w:t>
      </w:r>
      <w:r>
        <w:rPr>
          <w:lang w:val="fr-FR"/>
        </w:rPr>
        <w:t xml:space="preserve"> vivre avec leur conjoint résida</w:t>
      </w:r>
      <w:r w:rsidRPr="00976C24">
        <w:rPr>
          <w:lang w:val="fr-FR"/>
        </w:rPr>
        <w:t xml:space="preserve">nt en Norvège, ou des mineurs demandeurs d’asile non accompagnés vivant avec un membre de la famille proche ou une </w:t>
      </w:r>
      <w:r>
        <w:rPr>
          <w:lang w:val="fr-FR"/>
        </w:rPr>
        <w:t xml:space="preserve">autre </w:t>
      </w:r>
      <w:r w:rsidRPr="00976C24">
        <w:rPr>
          <w:lang w:val="fr-FR"/>
        </w:rPr>
        <w:t xml:space="preserve">personne </w:t>
      </w:r>
      <w:r>
        <w:rPr>
          <w:lang w:val="fr-FR"/>
        </w:rPr>
        <w:t>responsable</w:t>
      </w:r>
      <w:r w:rsidRPr="00976C24">
        <w:rPr>
          <w:lang w:val="fr-FR"/>
        </w:rPr>
        <w:t xml:space="preserve"> d’eux, </w:t>
      </w:r>
      <w:r>
        <w:rPr>
          <w:lang w:val="fr-FR"/>
        </w:rPr>
        <w:t>tous ceux</w:t>
      </w:r>
      <w:r w:rsidRPr="00976C24">
        <w:rPr>
          <w:lang w:val="fr-FR"/>
        </w:rPr>
        <w:t xml:space="preserve"> qui choisissent de ne pas </w:t>
      </w:r>
      <w:r>
        <w:rPr>
          <w:lang w:val="fr-FR"/>
        </w:rPr>
        <w:t xml:space="preserve">rester en </w:t>
      </w:r>
      <w:r w:rsidRPr="00976C24">
        <w:rPr>
          <w:lang w:val="fr-FR"/>
        </w:rPr>
        <w:t xml:space="preserve">centre d’accueil </w:t>
      </w:r>
      <w:r>
        <w:rPr>
          <w:lang w:val="fr-FR"/>
        </w:rPr>
        <w:t xml:space="preserve">ont droit à </w:t>
      </w:r>
      <w:r w:rsidRPr="00976C24">
        <w:rPr>
          <w:lang w:val="fr-FR"/>
        </w:rPr>
        <w:t>une a</w:t>
      </w:r>
      <w:r>
        <w:rPr>
          <w:lang w:val="fr-FR"/>
        </w:rPr>
        <w:t>ide</w:t>
      </w:r>
      <w:r w:rsidRPr="00976C24">
        <w:rPr>
          <w:lang w:val="fr-FR"/>
        </w:rPr>
        <w:t xml:space="preserve"> sociale d’urgence mais ne peuvent percevoir les prestations d’</w:t>
      </w:r>
      <w:r>
        <w:rPr>
          <w:lang w:val="fr-FR"/>
        </w:rPr>
        <w:t>aide</w:t>
      </w:r>
      <w:r w:rsidRPr="00976C24">
        <w:rPr>
          <w:lang w:val="fr-FR"/>
        </w:rPr>
        <w:t xml:space="preserve"> sociale</w:t>
      </w:r>
      <w:r>
        <w:rPr>
          <w:lang w:val="fr-FR"/>
        </w:rPr>
        <w:t>, conformément à</w:t>
      </w:r>
      <w:r w:rsidRPr="00976C24">
        <w:rPr>
          <w:lang w:val="fr-FR"/>
        </w:rPr>
        <w:t xml:space="preserve"> la loi sur les services sociaux.</w:t>
      </w:r>
    </w:p>
    <w:p w:rsidR="00903547" w:rsidRPr="00976C24" w:rsidRDefault="00903547" w:rsidP="0071086E">
      <w:pPr>
        <w:pStyle w:val="H23G"/>
        <w:rPr>
          <w:lang w:val="fr-FR"/>
        </w:rPr>
      </w:pPr>
      <w:r w:rsidRPr="00976C24">
        <w:rPr>
          <w:lang w:val="fr-FR"/>
        </w:rPr>
        <w:tab/>
        <w:t>f)</w:t>
      </w:r>
      <w:r w:rsidRPr="00976C24">
        <w:rPr>
          <w:lang w:val="fr-FR"/>
        </w:rPr>
        <w:tab/>
      </w:r>
      <w:bookmarkStart w:id="64" w:name="_Toc286326382"/>
      <w:r w:rsidRPr="00976C24">
        <w:rPr>
          <w:lang w:val="fr-FR"/>
        </w:rPr>
        <w:t>Permis de travail</w:t>
      </w:r>
      <w:bookmarkEnd w:id="64"/>
    </w:p>
    <w:p w:rsidR="00903547" w:rsidRPr="00976C24" w:rsidRDefault="00903547" w:rsidP="00B254D6">
      <w:pPr>
        <w:pStyle w:val="SingleTxtG"/>
        <w:rPr>
          <w:lang w:val="fr-FR"/>
        </w:rPr>
      </w:pPr>
      <w:r>
        <w:rPr>
          <w:lang w:val="fr-FR"/>
        </w:rPr>
        <w:t>266.</w:t>
      </w:r>
      <w:r>
        <w:rPr>
          <w:lang w:val="fr-FR"/>
        </w:rPr>
        <w:tab/>
      </w:r>
      <w:r w:rsidRPr="00976C24">
        <w:rPr>
          <w:lang w:val="fr-FR"/>
        </w:rPr>
        <w:t>Les demandeurs d’asile adultes peuvent obtenir un permis de travail temporaire pendant l’examen de leur demande, dès lors qu’ils p</w:t>
      </w:r>
      <w:r>
        <w:rPr>
          <w:lang w:val="fr-FR"/>
        </w:rPr>
        <w:t>euv</w:t>
      </w:r>
      <w:r w:rsidRPr="00976C24">
        <w:rPr>
          <w:lang w:val="fr-FR"/>
        </w:rPr>
        <w:t xml:space="preserve">ent prouver leur identité. Les demandeurs venus de pays qui ne délivrent pas de documents d’identité peuvent obtenir un permis de travail temporaire </w:t>
      </w:r>
      <w:r>
        <w:rPr>
          <w:lang w:val="fr-FR"/>
        </w:rPr>
        <w:t>s’ils peuvent</w:t>
      </w:r>
      <w:r w:rsidRPr="00976C24">
        <w:rPr>
          <w:lang w:val="fr-FR"/>
        </w:rPr>
        <w:t xml:space="preserve"> justifier leur identité. Cette politique vise à </w:t>
      </w:r>
      <w:r>
        <w:rPr>
          <w:lang w:val="fr-FR"/>
        </w:rPr>
        <w:t xml:space="preserve">les </w:t>
      </w:r>
      <w:r w:rsidRPr="00976C24">
        <w:rPr>
          <w:lang w:val="fr-FR"/>
        </w:rPr>
        <w:t xml:space="preserve">inciter à se munir de pièces d’identité. </w:t>
      </w:r>
    </w:p>
    <w:p w:rsidR="00903547" w:rsidRPr="00976C24" w:rsidRDefault="00903547" w:rsidP="0071086E">
      <w:pPr>
        <w:pStyle w:val="H23G"/>
        <w:rPr>
          <w:lang w:val="fr-FR"/>
        </w:rPr>
      </w:pPr>
      <w:r w:rsidRPr="00976C24">
        <w:rPr>
          <w:lang w:val="fr-FR"/>
        </w:rPr>
        <w:tab/>
        <w:t>g)</w:t>
      </w:r>
      <w:r w:rsidRPr="00976C24">
        <w:rPr>
          <w:lang w:val="fr-FR"/>
        </w:rPr>
        <w:tab/>
      </w:r>
      <w:bookmarkStart w:id="65" w:name="_Toc286326383"/>
      <w:r w:rsidRPr="00976C24">
        <w:rPr>
          <w:lang w:val="fr-FR"/>
        </w:rPr>
        <w:t>Soins de santé</w:t>
      </w:r>
      <w:bookmarkEnd w:id="65"/>
    </w:p>
    <w:p w:rsidR="00903547" w:rsidRPr="00976C24" w:rsidRDefault="00903547" w:rsidP="00B254D6">
      <w:pPr>
        <w:pStyle w:val="SingleTxtG"/>
        <w:rPr>
          <w:lang w:val="fr-FR"/>
        </w:rPr>
      </w:pPr>
      <w:r>
        <w:rPr>
          <w:lang w:val="fr-FR"/>
        </w:rPr>
        <w:t>267.</w:t>
      </w:r>
      <w:r>
        <w:rPr>
          <w:lang w:val="fr-FR"/>
        </w:rPr>
        <w:tab/>
      </w:r>
      <w:r w:rsidRPr="00976C24">
        <w:rPr>
          <w:lang w:val="fr-FR"/>
        </w:rPr>
        <w:t>Les autorités sanitaires sont chargées d’offrir les mêmes services de santé aux demandeurs d’asile qu’au reste de la population</w:t>
      </w:r>
      <w:r>
        <w:rPr>
          <w:lang w:val="fr-FR"/>
        </w:rPr>
        <w:t>, que ce soit les soins de santé primaires ou</w:t>
      </w:r>
      <w:r w:rsidRPr="00976C24">
        <w:rPr>
          <w:lang w:val="fr-FR"/>
        </w:rPr>
        <w:t xml:space="preserve"> spécialisés, y compris les soins de santé mentale. Les demandeurs d’asile sont affiliés au régime d’assurance national à quelques exceptions près (ils n’ont pas droit à une pension ou </w:t>
      </w:r>
      <w:r>
        <w:rPr>
          <w:lang w:val="fr-FR"/>
        </w:rPr>
        <w:t xml:space="preserve">à </w:t>
      </w:r>
      <w:r w:rsidRPr="00976C24">
        <w:rPr>
          <w:lang w:val="fr-FR"/>
        </w:rPr>
        <w:t xml:space="preserve">l’allocation forfaitaire de maternité pour une naissance). </w:t>
      </w:r>
      <w:r>
        <w:rPr>
          <w:lang w:val="fr-FR"/>
        </w:rPr>
        <w:t>Les personnes d</w:t>
      </w:r>
      <w:r w:rsidRPr="00976C24">
        <w:rPr>
          <w:lang w:val="fr-FR"/>
        </w:rPr>
        <w:t>ont la demande a été définitivement rejetée doivent quitter le pays et n</w:t>
      </w:r>
      <w:r>
        <w:rPr>
          <w:lang w:val="fr-FR"/>
        </w:rPr>
        <w:t>e peuvent bénéficier que de</w:t>
      </w:r>
      <w:r w:rsidRPr="00976C24">
        <w:rPr>
          <w:lang w:val="fr-FR"/>
        </w:rPr>
        <w:t xml:space="preserve"> soins </w:t>
      </w:r>
      <w:r>
        <w:rPr>
          <w:lang w:val="fr-FR"/>
        </w:rPr>
        <w:t>médicaux</w:t>
      </w:r>
      <w:r w:rsidRPr="00976C24">
        <w:rPr>
          <w:lang w:val="fr-FR"/>
        </w:rPr>
        <w:t xml:space="preserve"> d’urgence.</w:t>
      </w:r>
    </w:p>
    <w:p w:rsidR="00903547" w:rsidRPr="00976C24" w:rsidRDefault="00903547" w:rsidP="0071086E">
      <w:pPr>
        <w:pStyle w:val="H23G"/>
        <w:rPr>
          <w:lang w:val="fr-FR"/>
        </w:rPr>
      </w:pPr>
      <w:r w:rsidRPr="00976C24">
        <w:rPr>
          <w:lang w:val="fr-FR"/>
        </w:rPr>
        <w:tab/>
        <w:t>h)</w:t>
      </w:r>
      <w:r w:rsidRPr="00976C24">
        <w:rPr>
          <w:lang w:val="fr-FR"/>
        </w:rPr>
        <w:tab/>
      </w:r>
      <w:bookmarkStart w:id="66" w:name="_Toc286326384"/>
      <w:r w:rsidRPr="00976C24">
        <w:rPr>
          <w:lang w:val="fr-FR"/>
        </w:rPr>
        <w:t>Réunification familiale/</w:t>
      </w:r>
      <w:r>
        <w:rPr>
          <w:lang w:val="fr-FR"/>
        </w:rPr>
        <w:t>union familiale</w:t>
      </w:r>
      <w:bookmarkEnd w:id="66"/>
    </w:p>
    <w:p w:rsidR="00903547" w:rsidRPr="00976C24" w:rsidRDefault="00903547" w:rsidP="00B254D6">
      <w:pPr>
        <w:pStyle w:val="SingleTxtG"/>
        <w:rPr>
          <w:lang w:val="fr-FR"/>
        </w:rPr>
      </w:pPr>
      <w:r>
        <w:rPr>
          <w:lang w:val="fr-FR"/>
        </w:rPr>
        <w:t>268.</w:t>
      </w:r>
      <w:r>
        <w:rPr>
          <w:lang w:val="fr-FR"/>
        </w:rPr>
        <w:tab/>
      </w:r>
      <w:r w:rsidRPr="00976C24">
        <w:rPr>
          <w:lang w:val="fr-FR"/>
        </w:rPr>
        <w:t>Le Comité pourra se reporter au</w:t>
      </w:r>
      <w:r>
        <w:rPr>
          <w:lang w:val="fr-FR"/>
        </w:rPr>
        <w:t xml:space="preserve">x paragraphes 221 à </w:t>
      </w:r>
      <w:r w:rsidRPr="00976C24">
        <w:rPr>
          <w:lang w:val="fr-FR"/>
        </w:rPr>
        <w:t>226</w:t>
      </w:r>
      <w:r>
        <w:rPr>
          <w:lang w:val="fr-FR"/>
        </w:rPr>
        <w:t xml:space="preserve"> du </w:t>
      </w:r>
      <w:r w:rsidRPr="00976C24">
        <w:rPr>
          <w:lang w:val="fr-FR"/>
        </w:rPr>
        <w:t>sixième rapport périodique de la Norvège soumis au Comité des droits de l’homme</w:t>
      </w:r>
      <w:r>
        <w:rPr>
          <w:lang w:val="fr-FR"/>
        </w:rPr>
        <w:t xml:space="preserve"> </w:t>
      </w:r>
      <w:r w:rsidRPr="00976C24">
        <w:rPr>
          <w:lang w:val="fr-FR"/>
        </w:rPr>
        <w:t>concernant le droit à la</w:t>
      </w:r>
      <w:r>
        <w:rPr>
          <w:lang w:val="fr-FR"/>
        </w:rPr>
        <w:t xml:space="preserve"> réunification familiale et à l’union familiale</w:t>
      </w:r>
      <w:r w:rsidRPr="00976C24">
        <w:rPr>
          <w:lang w:val="fr-FR"/>
        </w:rPr>
        <w:t xml:space="preserve">. </w:t>
      </w:r>
      <w:r>
        <w:rPr>
          <w:lang w:val="fr-FR"/>
        </w:rPr>
        <w:t>La</w:t>
      </w:r>
      <w:r w:rsidRPr="00976C24">
        <w:rPr>
          <w:lang w:val="fr-FR"/>
        </w:rPr>
        <w:t xml:space="preserve"> condition </w:t>
      </w:r>
      <w:r>
        <w:rPr>
          <w:lang w:val="fr-FR"/>
        </w:rPr>
        <w:t>de ressources</w:t>
      </w:r>
      <w:r w:rsidRPr="00976C24">
        <w:rPr>
          <w:lang w:val="fr-FR"/>
        </w:rPr>
        <w:t xml:space="preserve"> est entrée en vigueur le </w:t>
      </w:r>
      <w:r>
        <w:rPr>
          <w:lang w:val="fr-FR"/>
        </w:rPr>
        <w:t>1</w:t>
      </w:r>
      <w:r w:rsidRPr="00B378D7">
        <w:rPr>
          <w:vertAlign w:val="superscript"/>
          <w:lang w:val="fr-FR"/>
        </w:rPr>
        <w:t>er</w:t>
      </w:r>
      <w:r>
        <w:rPr>
          <w:lang w:val="fr-FR"/>
        </w:rPr>
        <w:t xml:space="preserve"> </w:t>
      </w:r>
      <w:r w:rsidRPr="00976C24">
        <w:rPr>
          <w:lang w:val="fr-FR"/>
        </w:rPr>
        <w:t>janvier 2010.</w:t>
      </w:r>
    </w:p>
    <w:p w:rsidR="00903547" w:rsidRPr="00976C24" w:rsidRDefault="00903547" w:rsidP="00B254D6">
      <w:pPr>
        <w:pStyle w:val="SingleTxtG"/>
        <w:rPr>
          <w:lang w:val="fr-FR"/>
        </w:rPr>
      </w:pPr>
      <w:r>
        <w:rPr>
          <w:lang w:val="fr-FR"/>
        </w:rPr>
        <w:t>269.</w:t>
      </w:r>
      <w:r>
        <w:rPr>
          <w:lang w:val="fr-FR"/>
        </w:rPr>
        <w:tab/>
      </w:r>
      <w:r w:rsidRPr="00976C24">
        <w:rPr>
          <w:lang w:val="fr-FR"/>
        </w:rPr>
        <w:t>S’agissant de protéger les immigrées contre les hommes connus pour être violents et qui ont déjà fait venir des femmes en Norvège en les épousant, une nouvelle condition s’applique à l’immigration familiale depuis</w:t>
      </w:r>
      <w:r>
        <w:rPr>
          <w:lang w:val="fr-FR"/>
        </w:rPr>
        <w:t xml:space="preserve"> 2006, à savoir que</w:t>
      </w:r>
      <w:r w:rsidRPr="00976C24">
        <w:rPr>
          <w:lang w:val="fr-FR"/>
        </w:rPr>
        <w:t xml:space="preserve"> </w:t>
      </w:r>
      <w:r>
        <w:rPr>
          <w:lang w:val="fr-FR"/>
        </w:rPr>
        <w:t>s</w:t>
      </w:r>
      <w:r w:rsidRPr="00976C24">
        <w:rPr>
          <w:lang w:val="fr-FR"/>
        </w:rPr>
        <w:t xml:space="preserve">’il existe des motifs sérieux de craindre que l’intéressée soit victime de violence ou d’abus, </w:t>
      </w:r>
      <w:r>
        <w:rPr>
          <w:lang w:val="fr-FR"/>
        </w:rPr>
        <w:t>le</w:t>
      </w:r>
      <w:r w:rsidRPr="00976C24">
        <w:rPr>
          <w:lang w:val="fr-FR"/>
        </w:rPr>
        <w:t xml:space="preserve"> visa de tourisme ou </w:t>
      </w:r>
      <w:r>
        <w:rPr>
          <w:lang w:val="fr-FR"/>
        </w:rPr>
        <w:t>le</w:t>
      </w:r>
      <w:r w:rsidRPr="00976C24">
        <w:rPr>
          <w:lang w:val="fr-FR"/>
        </w:rPr>
        <w:t xml:space="preserve"> titre de séjour pourra lui être refusé.</w:t>
      </w:r>
    </w:p>
    <w:p w:rsidR="00903547" w:rsidRPr="00976C24" w:rsidRDefault="00903547" w:rsidP="00B254D6">
      <w:pPr>
        <w:pStyle w:val="SingleTxtG"/>
        <w:rPr>
          <w:lang w:val="fr-FR"/>
        </w:rPr>
      </w:pPr>
      <w:r>
        <w:rPr>
          <w:lang w:val="fr-FR"/>
        </w:rPr>
        <w:t>270.</w:t>
      </w:r>
      <w:r>
        <w:rPr>
          <w:lang w:val="fr-FR"/>
        </w:rPr>
        <w:tab/>
      </w:r>
      <w:r w:rsidRPr="00976C24">
        <w:rPr>
          <w:lang w:val="fr-FR"/>
        </w:rPr>
        <w:t>Le Comité pourra se reporter à la réponse du Gouvernement au paragraphe</w:t>
      </w:r>
      <w:r>
        <w:rPr>
          <w:lang w:val="fr-FR"/>
        </w:rPr>
        <w:t> </w:t>
      </w:r>
      <w:r w:rsidRPr="00976C24">
        <w:rPr>
          <w:lang w:val="fr-FR"/>
        </w:rPr>
        <w:t xml:space="preserve">35 des observations finales </w:t>
      </w:r>
      <w:r>
        <w:rPr>
          <w:lang w:val="fr-FR"/>
        </w:rPr>
        <w:t>figurant dans le</w:t>
      </w:r>
      <w:r w:rsidRPr="00976C24">
        <w:rPr>
          <w:lang w:val="fr-FR"/>
        </w:rPr>
        <w:t xml:space="preserve"> présent rapport concernant l’immigration familiale, la condition </w:t>
      </w:r>
      <w:r>
        <w:rPr>
          <w:lang w:val="fr-FR"/>
        </w:rPr>
        <w:t>de ressources et la règle des quatre</w:t>
      </w:r>
      <w:r w:rsidRPr="00976C24">
        <w:rPr>
          <w:lang w:val="fr-FR"/>
        </w:rPr>
        <w:t xml:space="preserve"> ans.</w:t>
      </w:r>
    </w:p>
    <w:p w:rsidR="00903547" w:rsidRPr="00976C24" w:rsidRDefault="00903547" w:rsidP="00B254D6">
      <w:pPr>
        <w:pStyle w:val="SingleTxtG"/>
        <w:rPr>
          <w:lang w:val="fr-FR"/>
        </w:rPr>
      </w:pPr>
      <w:r>
        <w:rPr>
          <w:lang w:val="fr-FR"/>
        </w:rPr>
        <w:t>271.</w:t>
      </w:r>
      <w:r>
        <w:rPr>
          <w:lang w:val="fr-FR"/>
        </w:rPr>
        <w:tab/>
      </w:r>
      <w:r w:rsidRPr="00976C24">
        <w:rPr>
          <w:lang w:val="fr-FR"/>
        </w:rPr>
        <w:t xml:space="preserve">Une disposition visant à empêcher les mariages forcés </w:t>
      </w:r>
      <w:r>
        <w:rPr>
          <w:lang w:val="fr-FR"/>
        </w:rPr>
        <w:t>s’applique</w:t>
      </w:r>
      <w:r w:rsidRPr="00976C24">
        <w:rPr>
          <w:lang w:val="fr-FR"/>
        </w:rPr>
        <w:t xml:space="preserve"> depuis 2009. Une condition à la réunification familiale d’époux </w:t>
      </w:r>
      <w:r>
        <w:rPr>
          <w:lang w:val="fr-FR"/>
        </w:rPr>
        <w:t>s’étant</w:t>
      </w:r>
      <w:r w:rsidRPr="00976C24">
        <w:rPr>
          <w:lang w:val="fr-FR"/>
        </w:rPr>
        <w:t xml:space="preserve"> mariés à l’étranger impose que l</w:t>
      </w:r>
      <w:r>
        <w:rPr>
          <w:lang w:val="fr-FR"/>
        </w:rPr>
        <w:t>e conjoint</w:t>
      </w:r>
      <w:r w:rsidRPr="00976C24">
        <w:rPr>
          <w:lang w:val="fr-FR"/>
        </w:rPr>
        <w:t xml:space="preserve"> résidant en Norvège </w:t>
      </w:r>
      <w:r>
        <w:rPr>
          <w:lang w:val="fr-FR"/>
        </w:rPr>
        <w:t xml:space="preserve">y </w:t>
      </w:r>
      <w:r w:rsidRPr="00976C24">
        <w:rPr>
          <w:lang w:val="fr-FR"/>
        </w:rPr>
        <w:t xml:space="preserve">soit revenu et ait </w:t>
      </w:r>
      <w:r>
        <w:rPr>
          <w:lang w:val="fr-FR"/>
        </w:rPr>
        <w:t>été auditionné par</w:t>
      </w:r>
      <w:r w:rsidRPr="00976C24">
        <w:rPr>
          <w:lang w:val="fr-FR"/>
        </w:rPr>
        <w:t xml:space="preserve"> les services de l’immigration (condition de l’entretien). Si le conjoint réside</w:t>
      </w:r>
      <w:r>
        <w:rPr>
          <w:lang w:val="fr-FR"/>
        </w:rPr>
        <w:t>nt norvégien</w:t>
      </w:r>
      <w:r w:rsidRPr="00976C24">
        <w:rPr>
          <w:lang w:val="fr-FR"/>
        </w:rPr>
        <w:t xml:space="preserve"> </w:t>
      </w:r>
      <w:r>
        <w:rPr>
          <w:lang w:val="fr-FR"/>
        </w:rPr>
        <w:t>s’oppose à</w:t>
      </w:r>
      <w:r w:rsidRPr="00976C24">
        <w:rPr>
          <w:lang w:val="fr-FR"/>
        </w:rPr>
        <w:t xml:space="preserve"> l’octroi d’un</w:t>
      </w:r>
      <w:r>
        <w:rPr>
          <w:lang w:val="fr-FR"/>
        </w:rPr>
        <w:t xml:space="preserve"> </w:t>
      </w:r>
      <w:r w:rsidRPr="00976C24">
        <w:rPr>
          <w:lang w:val="fr-FR"/>
        </w:rPr>
        <w:t xml:space="preserve">permis de séjour, ou s’il s’avère que le mariage a été contracté contre la volonté de l’une des parties, la demande de réunification familiale sera rejetée. </w:t>
      </w:r>
      <w:r>
        <w:rPr>
          <w:lang w:val="fr-FR"/>
        </w:rPr>
        <w:t>Cela étant, des</w:t>
      </w:r>
      <w:r w:rsidRPr="00976C24">
        <w:rPr>
          <w:lang w:val="fr-FR"/>
        </w:rPr>
        <w:t xml:space="preserve"> dérogations à la condition de l’entretien</w:t>
      </w:r>
      <w:r>
        <w:rPr>
          <w:lang w:val="fr-FR"/>
        </w:rPr>
        <w:t xml:space="preserve"> sont possibles</w:t>
      </w:r>
      <w:r w:rsidRPr="00976C24">
        <w:rPr>
          <w:lang w:val="fr-FR"/>
        </w:rPr>
        <w:t xml:space="preserve">, </w:t>
      </w:r>
      <w:r>
        <w:rPr>
          <w:lang w:val="fr-FR"/>
        </w:rPr>
        <w:t>par exemple si le partenaire est un «migrant pour le travail</w:t>
      </w:r>
      <w:r w:rsidRPr="00976C24">
        <w:rPr>
          <w:lang w:val="fr-FR"/>
        </w:rPr>
        <w:t xml:space="preserve">» ou était âgé de 25 ans révolus au moment du mariage. </w:t>
      </w:r>
    </w:p>
    <w:p w:rsidR="00903547" w:rsidRPr="00976C24" w:rsidRDefault="00903547" w:rsidP="0071086E">
      <w:pPr>
        <w:pStyle w:val="H23G"/>
        <w:rPr>
          <w:lang w:val="fr-FR"/>
        </w:rPr>
      </w:pPr>
      <w:r w:rsidRPr="00976C24">
        <w:rPr>
          <w:lang w:val="fr-FR"/>
        </w:rPr>
        <w:tab/>
        <w:t>7.</w:t>
      </w:r>
      <w:r w:rsidRPr="00976C24">
        <w:rPr>
          <w:lang w:val="fr-FR"/>
        </w:rPr>
        <w:tab/>
      </w:r>
      <w:r>
        <w:rPr>
          <w:lang w:val="fr-FR"/>
        </w:rPr>
        <w:t>Indiquer s’il existe</w:t>
      </w:r>
      <w:r w:rsidRPr="00976C24">
        <w:rPr>
          <w:lang w:val="fr-FR"/>
        </w:rPr>
        <w:t xml:space="preserve"> dans l’</w:t>
      </w:r>
      <w:r>
        <w:rPr>
          <w:lang w:val="fr-FR"/>
        </w:rPr>
        <w:t>État</w:t>
      </w:r>
      <w:r w:rsidRPr="00976C24">
        <w:rPr>
          <w:lang w:val="fr-FR"/>
        </w:rPr>
        <w:t xml:space="preserve"> partie </w:t>
      </w:r>
      <w:r>
        <w:rPr>
          <w:lang w:val="fr-FR"/>
        </w:rPr>
        <w:t xml:space="preserve">une loi </w:t>
      </w:r>
      <w:r w:rsidRPr="00976C24">
        <w:rPr>
          <w:lang w:val="fr-FR"/>
        </w:rPr>
        <w:t>incriminant spécifiquement les actes de vi</w:t>
      </w:r>
      <w:r>
        <w:rPr>
          <w:lang w:val="fr-FR"/>
        </w:rPr>
        <w:t>olence au sein de la famille, en</w:t>
      </w:r>
      <w:r w:rsidRPr="00976C24">
        <w:rPr>
          <w:lang w:val="fr-FR"/>
        </w:rPr>
        <w:t xml:space="preserve"> particulier la violence contre les femmes et les enfants, y compris le viol entre époux et les violences sexuelles commises à l’encontre des femmes et des enfants, en précisant le nombre de cas enregistrés et les sanctions prises à l’encontre des auteurs (E/2009/22-E/C.12/2008/3, annexe VIII, par.</w:t>
      </w:r>
      <w:r>
        <w:rPr>
          <w:lang w:val="fr-FR"/>
        </w:rPr>
        <w:t> </w:t>
      </w:r>
      <w:r w:rsidRPr="00976C24">
        <w:rPr>
          <w:lang w:val="fr-FR"/>
        </w:rPr>
        <w:t>40 a))</w:t>
      </w:r>
    </w:p>
    <w:p w:rsidR="00903547" w:rsidRPr="00976C24" w:rsidRDefault="00903547" w:rsidP="00B254D6">
      <w:pPr>
        <w:pStyle w:val="SingleTxtG"/>
        <w:rPr>
          <w:lang w:val="fr-FR"/>
        </w:rPr>
      </w:pPr>
      <w:r>
        <w:rPr>
          <w:lang w:val="fr-FR"/>
        </w:rPr>
        <w:t>272.</w:t>
      </w:r>
      <w:r>
        <w:rPr>
          <w:lang w:val="fr-FR"/>
        </w:rPr>
        <w:tab/>
      </w:r>
      <w:r w:rsidRPr="00976C24">
        <w:rPr>
          <w:lang w:val="fr-FR"/>
        </w:rPr>
        <w:t>Le Comité pourra se reporter au</w:t>
      </w:r>
      <w:r>
        <w:rPr>
          <w:lang w:val="fr-FR"/>
        </w:rPr>
        <w:t xml:space="preserve">x paragraphes 92 et </w:t>
      </w:r>
      <w:r w:rsidRPr="00976C24">
        <w:rPr>
          <w:lang w:val="fr-FR"/>
        </w:rPr>
        <w:t>93</w:t>
      </w:r>
      <w:r>
        <w:rPr>
          <w:lang w:val="fr-FR"/>
        </w:rPr>
        <w:t xml:space="preserve"> du </w:t>
      </w:r>
      <w:r w:rsidRPr="00976C24">
        <w:rPr>
          <w:lang w:val="fr-FR"/>
        </w:rPr>
        <w:t>sixième rapport périodique de la Norvège soumis au Comité des droits de l’homme et au</w:t>
      </w:r>
      <w:r>
        <w:rPr>
          <w:lang w:val="fr-FR"/>
        </w:rPr>
        <w:t>x</w:t>
      </w:r>
      <w:r w:rsidRPr="00976C24">
        <w:rPr>
          <w:lang w:val="fr-FR"/>
        </w:rPr>
        <w:t xml:space="preserve"> article</w:t>
      </w:r>
      <w:r>
        <w:rPr>
          <w:lang w:val="fr-FR"/>
        </w:rPr>
        <w:t>s</w:t>
      </w:r>
      <w:r w:rsidRPr="00976C24">
        <w:rPr>
          <w:lang w:val="fr-FR"/>
        </w:rPr>
        <w:t xml:space="preserve"> 3.4 et 3.5</w:t>
      </w:r>
      <w:r>
        <w:rPr>
          <w:lang w:val="fr-FR"/>
        </w:rPr>
        <w:t xml:space="preserve"> du </w:t>
      </w:r>
      <w:r w:rsidRPr="00976C24">
        <w:rPr>
          <w:lang w:val="fr-FR"/>
        </w:rPr>
        <w:t xml:space="preserve">rapport de la Norvège soumis </w:t>
      </w:r>
      <w:r>
        <w:rPr>
          <w:lang w:val="fr-FR"/>
        </w:rPr>
        <w:t>au titre de l’EPU</w:t>
      </w:r>
      <w:r w:rsidRPr="00976C24">
        <w:rPr>
          <w:lang w:val="fr-FR"/>
        </w:rPr>
        <w:t xml:space="preserve"> </w:t>
      </w:r>
      <w:r>
        <w:rPr>
          <w:lang w:val="fr-FR"/>
        </w:rPr>
        <w:t>s’agissant de</w:t>
      </w:r>
      <w:r w:rsidRPr="00976C24">
        <w:rPr>
          <w:lang w:val="fr-FR"/>
        </w:rPr>
        <w:t xml:space="preserve"> la violence </w:t>
      </w:r>
      <w:r>
        <w:rPr>
          <w:lang w:val="fr-FR"/>
        </w:rPr>
        <w:t>dans la famille</w:t>
      </w:r>
      <w:r w:rsidRPr="00976C24">
        <w:rPr>
          <w:lang w:val="fr-FR"/>
        </w:rPr>
        <w:t xml:space="preserve"> et à l’égard des enfants.</w:t>
      </w:r>
    </w:p>
    <w:p w:rsidR="00903547" w:rsidRPr="00976C24" w:rsidRDefault="00903547" w:rsidP="00B254D6">
      <w:pPr>
        <w:pStyle w:val="SingleTxtG"/>
        <w:rPr>
          <w:lang w:val="fr-FR"/>
        </w:rPr>
      </w:pPr>
      <w:r>
        <w:rPr>
          <w:lang w:val="fr-FR"/>
        </w:rPr>
        <w:t>273.</w:t>
      </w:r>
      <w:r>
        <w:rPr>
          <w:lang w:val="fr-FR"/>
        </w:rPr>
        <w:tab/>
      </w:r>
      <w:r w:rsidRPr="00976C24">
        <w:rPr>
          <w:lang w:val="fr-FR"/>
        </w:rPr>
        <w:t>Le viol entre époux est considéré comme un viol par la législation norvégienne.</w:t>
      </w:r>
    </w:p>
    <w:p w:rsidR="00903547" w:rsidRPr="00976C24" w:rsidRDefault="00903547" w:rsidP="00B254D6">
      <w:pPr>
        <w:pStyle w:val="SingleTxtG"/>
        <w:rPr>
          <w:lang w:val="fr-FR"/>
        </w:rPr>
      </w:pPr>
      <w:r>
        <w:rPr>
          <w:lang w:val="fr-FR"/>
        </w:rPr>
        <w:t>274.</w:t>
      </w:r>
      <w:r>
        <w:rPr>
          <w:lang w:val="fr-FR"/>
        </w:rPr>
        <w:tab/>
      </w:r>
      <w:r w:rsidRPr="00976C24">
        <w:rPr>
          <w:lang w:val="fr-FR"/>
        </w:rPr>
        <w:t>Pour de plus amples informations, le Comité pourra se reporter au</w:t>
      </w:r>
      <w:r>
        <w:rPr>
          <w:lang w:val="fr-FR"/>
        </w:rPr>
        <w:t>x</w:t>
      </w:r>
      <w:r w:rsidRPr="00976C24">
        <w:rPr>
          <w:lang w:val="fr-FR"/>
        </w:rPr>
        <w:t xml:space="preserve"> </w:t>
      </w:r>
      <w:r>
        <w:rPr>
          <w:lang w:val="fr-FR"/>
        </w:rPr>
        <w:t xml:space="preserve">paragraphes 83, 88 à </w:t>
      </w:r>
      <w:r w:rsidRPr="00976C24">
        <w:rPr>
          <w:lang w:val="fr-FR"/>
        </w:rPr>
        <w:t>90 (nombre d’affaires), 86 et</w:t>
      </w:r>
      <w:r>
        <w:rPr>
          <w:lang w:val="fr-FR"/>
        </w:rPr>
        <w:t xml:space="preserve"> 93 (sanctions)</w:t>
      </w:r>
      <w:r w:rsidRPr="00976C24">
        <w:rPr>
          <w:lang w:val="fr-FR"/>
        </w:rPr>
        <w:t xml:space="preserve"> et 84 (mesures visant à améliorer la situation des victimes de viol)</w:t>
      </w:r>
      <w:r w:rsidRPr="004E789B">
        <w:rPr>
          <w:lang w:val="fr-FR"/>
        </w:rPr>
        <w:t xml:space="preserve"> </w:t>
      </w:r>
      <w:r>
        <w:rPr>
          <w:lang w:val="fr-FR"/>
        </w:rPr>
        <w:t xml:space="preserve">du </w:t>
      </w:r>
      <w:r w:rsidRPr="00976C24">
        <w:rPr>
          <w:lang w:val="fr-FR"/>
        </w:rPr>
        <w:t xml:space="preserve">sixième rapport périodique de la Norvège soumis au Comité des droits de l’homme. En 2006, le Gouvernement a </w:t>
      </w:r>
      <w:r>
        <w:rPr>
          <w:lang w:val="fr-FR"/>
        </w:rPr>
        <w:t>désigné</w:t>
      </w:r>
      <w:r w:rsidRPr="00976C24">
        <w:rPr>
          <w:lang w:val="fr-FR"/>
        </w:rPr>
        <w:t xml:space="preserve"> un</w:t>
      </w:r>
      <w:r>
        <w:rPr>
          <w:lang w:val="fr-FR"/>
        </w:rPr>
        <w:t>e commission</w:t>
      </w:r>
      <w:r w:rsidRPr="00976C24">
        <w:rPr>
          <w:lang w:val="fr-FR"/>
        </w:rPr>
        <w:t xml:space="preserve"> chargé</w:t>
      </w:r>
      <w:r>
        <w:rPr>
          <w:lang w:val="fr-FR"/>
        </w:rPr>
        <w:t>e</w:t>
      </w:r>
      <w:r w:rsidRPr="00976C24">
        <w:rPr>
          <w:lang w:val="fr-FR"/>
        </w:rPr>
        <w:t xml:space="preserve"> d’examiner la situation des victimes de viol (</w:t>
      </w:r>
      <w:r>
        <w:rPr>
          <w:lang w:val="fr-FR"/>
        </w:rPr>
        <w:t>c</w:t>
      </w:r>
      <w:r w:rsidRPr="00976C24">
        <w:rPr>
          <w:lang w:val="fr-FR"/>
        </w:rPr>
        <w:t>ommission chargée des affaires de viol) et proposé des mesures pour lutter contre la violence sexuelle. Le rapport de la commission a été publié en janvier 2008 (NOU 2008:4)</w:t>
      </w:r>
      <w:r>
        <w:rPr>
          <w:lang w:val="fr-FR"/>
        </w:rPr>
        <w:t>.</w:t>
      </w:r>
      <w:r w:rsidRPr="00976C24">
        <w:rPr>
          <w:lang w:val="fr-FR"/>
        </w:rPr>
        <w:t xml:space="preserve"> Outre les mesures préventives et </w:t>
      </w:r>
      <w:r>
        <w:rPr>
          <w:lang w:val="fr-FR"/>
        </w:rPr>
        <w:t>celles</w:t>
      </w:r>
      <w:r w:rsidRPr="00976C24">
        <w:rPr>
          <w:lang w:val="fr-FR"/>
        </w:rPr>
        <w:t xml:space="preserve"> visant à assurer que les victimes sont mieux traitées et d’une façon plus concertée par les services publics, le rapport </w:t>
      </w:r>
      <w:r>
        <w:rPr>
          <w:lang w:val="fr-FR"/>
        </w:rPr>
        <w:t>énonce</w:t>
      </w:r>
      <w:r w:rsidRPr="00976C24">
        <w:rPr>
          <w:lang w:val="fr-FR"/>
        </w:rPr>
        <w:t xml:space="preserve"> </w:t>
      </w:r>
      <w:r>
        <w:rPr>
          <w:lang w:val="fr-FR"/>
        </w:rPr>
        <w:t>d’autres</w:t>
      </w:r>
      <w:r w:rsidRPr="00976C24">
        <w:rPr>
          <w:lang w:val="fr-FR"/>
        </w:rPr>
        <w:t xml:space="preserve"> mesures p</w:t>
      </w:r>
      <w:r>
        <w:rPr>
          <w:lang w:val="fr-FR"/>
        </w:rPr>
        <w:t>ropres à</w:t>
      </w:r>
      <w:r w:rsidRPr="00976C24">
        <w:rPr>
          <w:lang w:val="fr-FR"/>
        </w:rPr>
        <w:t xml:space="preserve"> </w:t>
      </w:r>
      <w:r>
        <w:rPr>
          <w:lang w:val="fr-FR"/>
        </w:rPr>
        <w:t>faciliter</w:t>
      </w:r>
      <w:r w:rsidRPr="00976C24">
        <w:rPr>
          <w:lang w:val="fr-FR"/>
        </w:rPr>
        <w:t xml:space="preserve"> l</w:t>
      </w:r>
      <w:r>
        <w:rPr>
          <w:lang w:val="fr-FR"/>
        </w:rPr>
        <w:t>e traitement des affaires de viol par le</w:t>
      </w:r>
      <w:r w:rsidRPr="00976C24">
        <w:rPr>
          <w:lang w:val="fr-FR"/>
        </w:rPr>
        <w:t xml:space="preserve">s tribunaux, </w:t>
      </w:r>
      <w:r>
        <w:rPr>
          <w:lang w:val="fr-FR"/>
        </w:rPr>
        <w:t xml:space="preserve">par exemple </w:t>
      </w:r>
      <w:r w:rsidRPr="00976C24">
        <w:rPr>
          <w:lang w:val="fr-FR"/>
        </w:rPr>
        <w:t xml:space="preserve">pour </w:t>
      </w:r>
      <w:r>
        <w:rPr>
          <w:lang w:val="fr-FR"/>
        </w:rPr>
        <w:t>améliorer les procédures d’enquête</w:t>
      </w:r>
      <w:r w:rsidRPr="00976C24">
        <w:rPr>
          <w:lang w:val="fr-FR"/>
        </w:rPr>
        <w:t xml:space="preserve">, </w:t>
      </w:r>
      <w:r>
        <w:rPr>
          <w:lang w:val="fr-FR"/>
        </w:rPr>
        <w:t>renforcer la compétence</w:t>
      </w:r>
      <w:r w:rsidRPr="00976C24">
        <w:rPr>
          <w:lang w:val="fr-FR"/>
        </w:rPr>
        <w:t xml:space="preserve"> des tribunaux et </w:t>
      </w:r>
      <w:r>
        <w:rPr>
          <w:lang w:val="fr-FR"/>
        </w:rPr>
        <w:t>investiguer</w:t>
      </w:r>
      <w:r w:rsidRPr="00976C24">
        <w:rPr>
          <w:lang w:val="fr-FR"/>
        </w:rPr>
        <w:t xml:space="preserve"> sur les non-lieux prononcés dans des affaires de viol. En mars 2010, le Ministère de la justice et </w:t>
      </w:r>
      <w:r>
        <w:rPr>
          <w:lang w:val="fr-FR"/>
        </w:rPr>
        <w:t>la</w:t>
      </w:r>
      <w:r w:rsidRPr="00976C24">
        <w:rPr>
          <w:lang w:val="fr-FR"/>
        </w:rPr>
        <w:t xml:space="preserve"> police ont demandé à la direction de la police </w:t>
      </w:r>
      <w:r>
        <w:rPr>
          <w:lang w:val="fr-FR"/>
        </w:rPr>
        <w:t xml:space="preserve">d’établir </w:t>
      </w:r>
      <w:r w:rsidRPr="00976C24">
        <w:rPr>
          <w:lang w:val="fr-FR"/>
        </w:rPr>
        <w:t xml:space="preserve">un groupe spécial chargé d’enquêter et de poursuivre les auteurs de viol sous l’autorité du Bureau national des enquêtes criminelles. </w:t>
      </w:r>
    </w:p>
    <w:p w:rsidR="00903547" w:rsidRPr="00976C24" w:rsidRDefault="00903547" w:rsidP="0071086E">
      <w:pPr>
        <w:pStyle w:val="H23G"/>
        <w:rPr>
          <w:lang w:val="fr-FR"/>
        </w:rPr>
      </w:pPr>
      <w:r w:rsidRPr="00976C24">
        <w:rPr>
          <w:lang w:val="fr-FR"/>
        </w:rPr>
        <w:tab/>
        <w:t>8.</w:t>
      </w:r>
      <w:r w:rsidRPr="00976C24">
        <w:rPr>
          <w:lang w:val="fr-FR"/>
        </w:rPr>
        <w:tab/>
        <w:t>Existence d’un plan d’action national pour lutter contre la violence dans la famille et mesures mises en place pour soutenir les victimes et les aider à se réadapter</w:t>
      </w:r>
      <w:r>
        <w:rPr>
          <w:lang w:val="fr-FR"/>
        </w:rPr>
        <w:t>;</w:t>
      </w:r>
      <w:r w:rsidRPr="00976C24">
        <w:rPr>
          <w:lang w:val="fr-FR"/>
        </w:rPr>
        <w:t xml:space="preserve"> mesures prises pour sensibiliser le grand public au caractère criminel des actes de violence familiale et dispenser une formation en la matière aux responsables de l’application des lois et aux autres professionnels concernés (E/2009/22-E/C.12/2008/3, annexe VIII, par.</w:t>
      </w:r>
      <w:r>
        <w:rPr>
          <w:lang w:val="fr-FR"/>
        </w:rPr>
        <w:t> </w:t>
      </w:r>
      <w:r w:rsidRPr="00976C24">
        <w:rPr>
          <w:lang w:val="fr-FR"/>
        </w:rPr>
        <w:t>40 b) et c))</w:t>
      </w:r>
    </w:p>
    <w:p w:rsidR="00903547" w:rsidRPr="00976C24" w:rsidRDefault="00903547" w:rsidP="00B254D6">
      <w:pPr>
        <w:pStyle w:val="SingleTxtG"/>
        <w:rPr>
          <w:lang w:val="fr-FR"/>
        </w:rPr>
      </w:pPr>
      <w:r>
        <w:rPr>
          <w:lang w:val="fr-FR"/>
        </w:rPr>
        <w:t>275.</w:t>
      </w:r>
      <w:r>
        <w:rPr>
          <w:lang w:val="fr-FR"/>
        </w:rPr>
        <w:tab/>
      </w:r>
      <w:r w:rsidRPr="00976C24">
        <w:rPr>
          <w:lang w:val="fr-FR"/>
        </w:rPr>
        <w:t xml:space="preserve">Le Gouvernement est fermement résolu à lutter contre la </w:t>
      </w:r>
      <w:r>
        <w:rPr>
          <w:lang w:val="fr-FR"/>
        </w:rPr>
        <w:t>violence conjugale</w:t>
      </w:r>
      <w:r w:rsidRPr="00976C24">
        <w:rPr>
          <w:lang w:val="fr-FR"/>
        </w:rPr>
        <w:t>. Le Comité pourra se reporter au paragraphe 91</w:t>
      </w:r>
      <w:r>
        <w:rPr>
          <w:lang w:val="fr-FR"/>
        </w:rPr>
        <w:t xml:space="preserve"> du </w:t>
      </w:r>
      <w:r w:rsidRPr="00976C24">
        <w:rPr>
          <w:lang w:val="fr-FR"/>
        </w:rPr>
        <w:t xml:space="preserve">sixième rapport périodique de la Norvège soumis au Comité des droits de l’homme concernant le plan d’action </w:t>
      </w:r>
      <w:r>
        <w:rPr>
          <w:lang w:val="fr-FR"/>
        </w:rPr>
        <w:t>pour</w:t>
      </w:r>
      <w:r w:rsidRPr="00976C24">
        <w:rPr>
          <w:lang w:val="fr-FR"/>
        </w:rPr>
        <w:t xml:space="preserve"> lutter contre la </w:t>
      </w:r>
      <w:r>
        <w:rPr>
          <w:lang w:val="fr-FR"/>
        </w:rPr>
        <w:t>violence conjugale («Le tournant»</w:t>
      </w:r>
      <w:r w:rsidRPr="00976C24">
        <w:rPr>
          <w:lang w:val="fr-FR"/>
        </w:rPr>
        <w:t xml:space="preserve">) et </w:t>
      </w:r>
      <w:r>
        <w:rPr>
          <w:lang w:val="fr-FR"/>
        </w:rPr>
        <w:t>à l’article 3.4 du</w:t>
      </w:r>
      <w:r w:rsidRPr="00976C24">
        <w:rPr>
          <w:lang w:val="fr-FR"/>
        </w:rPr>
        <w:t xml:space="preserve"> rapport de la Norvège soumis </w:t>
      </w:r>
      <w:r>
        <w:rPr>
          <w:lang w:val="fr-FR"/>
        </w:rPr>
        <w:t xml:space="preserve">au titre de l’EPU, de même qu’aux paragraphes 94 à </w:t>
      </w:r>
      <w:r w:rsidRPr="00976C24">
        <w:rPr>
          <w:lang w:val="fr-FR"/>
        </w:rPr>
        <w:t>100</w:t>
      </w:r>
      <w:r>
        <w:rPr>
          <w:lang w:val="fr-FR"/>
        </w:rPr>
        <w:t xml:space="preserve"> du</w:t>
      </w:r>
      <w:r w:rsidRPr="00976C24">
        <w:rPr>
          <w:lang w:val="fr-FR"/>
        </w:rPr>
        <w:t xml:space="preserve"> sixième rapport de la Norvège soumis au Comité des droits de l’homme concernant les mesures de sensibilisation du public et la formation des </w:t>
      </w:r>
      <w:r>
        <w:rPr>
          <w:lang w:val="fr-FR"/>
        </w:rPr>
        <w:t>forces de l’ordre</w:t>
      </w:r>
      <w:r w:rsidRPr="00976C24">
        <w:rPr>
          <w:lang w:val="fr-FR"/>
        </w:rPr>
        <w:t xml:space="preserve"> et d’autres professionnels concernés.</w:t>
      </w:r>
    </w:p>
    <w:p w:rsidR="00903547" w:rsidRPr="00976C24" w:rsidRDefault="00903547" w:rsidP="0071086E">
      <w:pPr>
        <w:pStyle w:val="H23G"/>
        <w:rPr>
          <w:lang w:val="fr-FR"/>
        </w:rPr>
      </w:pPr>
      <w:r w:rsidRPr="00976C24">
        <w:rPr>
          <w:bCs/>
          <w:i/>
          <w:iCs/>
          <w:lang w:val="fr-FR"/>
        </w:rPr>
        <w:tab/>
      </w:r>
      <w:r w:rsidRPr="00976C24">
        <w:rPr>
          <w:lang w:val="fr-FR"/>
        </w:rPr>
        <w:t>9.</w:t>
      </w:r>
      <w:r w:rsidRPr="00976C24">
        <w:rPr>
          <w:lang w:val="fr-FR"/>
        </w:rPr>
        <w:tab/>
      </w:r>
      <w:r>
        <w:rPr>
          <w:lang w:val="fr-FR"/>
        </w:rPr>
        <w:t>Indiquer si l’État partie s’est doté</w:t>
      </w:r>
      <w:r w:rsidRPr="00976C24">
        <w:rPr>
          <w:lang w:val="fr-FR"/>
        </w:rPr>
        <w:t xml:space="preserve"> d’une législation érige</w:t>
      </w:r>
      <w:r>
        <w:rPr>
          <w:lang w:val="fr-FR"/>
        </w:rPr>
        <w:t>ant</w:t>
      </w:r>
      <w:r w:rsidRPr="00976C24">
        <w:rPr>
          <w:lang w:val="fr-FR"/>
        </w:rPr>
        <w:t xml:space="preserve"> spécifiquement en infraction la traite des personnes et</w:t>
      </w:r>
      <w:r>
        <w:rPr>
          <w:lang w:val="fr-FR"/>
        </w:rPr>
        <w:t xml:space="preserve"> si </w:t>
      </w:r>
      <w:r w:rsidRPr="00976C24">
        <w:rPr>
          <w:lang w:val="fr-FR"/>
        </w:rPr>
        <w:t>de</w:t>
      </w:r>
      <w:r>
        <w:rPr>
          <w:lang w:val="fr-FR"/>
        </w:rPr>
        <w:t>s</w:t>
      </w:r>
      <w:r w:rsidRPr="00976C24">
        <w:rPr>
          <w:lang w:val="fr-FR"/>
        </w:rPr>
        <w:t xml:space="preserve"> mécanismes </w:t>
      </w:r>
      <w:r>
        <w:rPr>
          <w:lang w:val="fr-FR"/>
        </w:rPr>
        <w:t xml:space="preserve">ont été mis en place </w:t>
      </w:r>
      <w:r w:rsidRPr="00976C24">
        <w:rPr>
          <w:lang w:val="fr-FR"/>
        </w:rPr>
        <w:t>pour en contrôler la stricte application</w:t>
      </w:r>
      <w:r>
        <w:rPr>
          <w:lang w:val="fr-FR"/>
        </w:rPr>
        <w:t>;</w:t>
      </w:r>
      <w:r w:rsidRPr="00976C24">
        <w:rPr>
          <w:lang w:val="fr-FR"/>
        </w:rPr>
        <w:t xml:space="preserve"> </w:t>
      </w:r>
      <w:r>
        <w:rPr>
          <w:lang w:val="fr-FR"/>
        </w:rPr>
        <w:t xml:space="preserve">indiquer également le </w:t>
      </w:r>
      <w:r w:rsidRPr="00976C24">
        <w:rPr>
          <w:lang w:val="fr-FR"/>
        </w:rPr>
        <w:t>nombre de cas de traite signalés, que l’</w:t>
      </w:r>
      <w:r>
        <w:rPr>
          <w:lang w:val="fr-FR"/>
        </w:rPr>
        <w:t>État</w:t>
      </w:r>
      <w:r w:rsidRPr="00976C24">
        <w:rPr>
          <w:lang w:val="fr-FR"/>
        </w:rPr>
        <w:t xml:space="preserve"> partie soit pays d’origine, de destination ou de transit, </w:t>
      </w:r>
      <w:r>
        <w:rPr>
          <w:lang w:val="fr-FR"/>
        </w:rPr>
        <w:t>et les</w:t>
      </w:r>
      <w:r w:rsidRPr="00976C24">
        <w:rPr>
          <w:lang w:val="fr-FR"/>
        </w:rPr>
        <w:t xml:space="preserve"> peines infligées aux auteurs (E/2009/22-E/C.12/2008/3, annexe VIII, par.</w:t>
      </w:r>
      <w:r>
        <w:rPr>
          <w:lang w:val="fr-FR"/>
        </w:rPr>
        <w:t> </w:t>
      </w:r>
      <w:r w:rsidRPr="00976C24">
        <w:rPr>
          <w:lang w:val="fr-FR"/>
        </w:rPr>
        <w:t>41 a))</w:t>
      </w:r>
    </w:p>
    <w:p w:rsidR="00903547" w:rsidRPr="00976C24" w:rsidRDefault="00903547" w:rsidP="00B254D6">
      <w:pPr>
        <w:pStyle w:val="SingleTxtG"/>
        <w:rPr>
          <w:lang w:val="fr-FR"/>
        </w:rPr>
      </w:pPr>
      <w:r>
        <w:rPr>
          <w:lang w:val="fr-FR"/>
        </w:rPr>
        <w:t>276.</w:t>
      </w:r>
      <w:r>
        <w:rPr>
          <w:lang w:val="fr-FR"/>
        </w:rPr>
        <w:tab/>
      </w:r>
      <w:r w:rsidRPr="00976C24">
        <w:rPr>
          <w:lang w:val="fr-FR"/>
        </w:rPr>
        <w:t xml:space="preserve">Le Comité pourra </w:t>
      </w:r>
      <w:r>
        <w:rPr>
          <w:lang w:val="fr-FR"/>
        </w:rPr>
        <w:t>se référer à l’article 3.8 du rapport</w:t>
      </w:r>
      <w:r w:rsidRPr="00976C24">
        <w:rPr>
          <w:lang w:val="fr-FR"/>
        </w:rPr>
        <w:t xml:space="preserve"> de la Norvège soumis </w:t>
      </w:r>
      <w:r>
        <w:rPr>
          <w:lang w:val="fr-FR"/>
        </w:rPr>
        <w:t>au titre de l’EPU</w:t>
      </w:r>
      <w:r w:rsidRPr="00976C24">
        <w:rPr>
          <w:lang w:val="fr-FR"/>
        </w:rPr>
        <w:t>.</w:t>
      </w:r>
    </w:p>
    <w:p w:rsidR="00903547" w:rsidRPr="00976C24" w:rsidRDefault="00903547" w:rsidP="00B254D6">
      <w:pPr>
        <w:pStyle w:val="SingleTxtG"/>
        <w:rPr>
          <w:lang w:val="fr-FR"/>
        </w:rPr>
      </w:pPr>
      <w:r>
        <w:rPr>
          <w:lang w:val="fr-FR"/>
        </w:rPr>
        <w:t>277.</w:t>
      </w:r>
      <w:r>
        <w:rPr>
          <w:lang w:val="fr-FR"/>
        </w:rPr>
        <w:tab/>
        <w:t>En Norvège, l</w:t>
      </w:r>
      <w:r w:rsidRPr="00976C24">
        <w:rPr>
          <w:lang w:val="fr-FR"/>
        </w:rPr>
        <w:t xml:space="preserve">a traite des êtres humains est un délit. En 2009, 38 affaires de traite ont été </w:t>
      </w:r>
      <w:r>
        <w:rPr>
          <w:lang w:val="fr-FR"/>
        </w:rPr>
        <w:t>signalées à</w:t>
      </w:r>
      <w:r w:rsidRPr="00976C24">
        <w:rPr>
          <w:lang w:val="fr-FR"/>
        </w:rPr>
        <w:t xml:space="preserve"> la police. </w:t>
      </w:r>
      <w:r>
        <w:rPr>
          <w:lang w:val="fr-FR"/>
        </w:rPr>
        <w:t>D</w:t>
      </w:r>
      <w:r w:rsidRPr="00976C24">
        <w:rPr>
          <w:lang w:val="fr-FR"/>
        </w:rPr>
        <w:t>es directives ont été élaborées et publiées en 2008</w:t>
      </w:r>
      <w:r>
        <w:rPr>
          <w:lang w:val="fr-FR"/>
        </w:rPr>
        <w:t xml:space="preserve"> pour </w:t>
      </w:r>
      <w:r w:rsidRPr="00976C24">
        <w:rPr>
          <w:lang w:val="fr-FR"/>
        </w:rPr>
        <w:t>aider les autorités et les organisations à repérer les victimes. Ce</w:t>
      </w:r>
      <w:r>
        <w:rPr>
          <w:lang w:val="fr-FR"/>
        </w:rPr>
        <w:t>tte tâche a été menée</w:t>
      </w:r>
      <w:r w:rsidRPr="00976C24">
        <w:rPr>
          <w:lang w:val="fr-FR"/>
        </w:rPr>
        <w:t xml:space="preserve"> par l’Unité de coordination pour les victimes de la traite</w:t>
      </w:r>
      <w:r>
        <w:rPr>
          <w:lang w:val="fr-FR"/>
        </w:rPr>
        <w:t xml:space="preserve"> et</w:t>
      </w:r>
      <w:r w:rsidRPr="00976C24">
        <w:rPr>
          <w:lang w:val="fr-FR"/>
        </w:rPr>
        <w:t xml:space="preserve"> </w:t>
      </w:r>
      <w:r>
        <w:rPr>
          <w:lang w:val="fr-FR"/>
        </w:rPr>
        <w:t>répond à</w:t>
      </w:r>
      <w:r w:rsidRPr="00976C24">
        <w:rPr>
          <w:lang w:val="fr-FR"/>
        </w:rPr>
        <w:t xml:space="preserve"> un projet de coordination nationale de l’assistance </w:t>
      </w:r>
      <w:r>
        <w:rPr>
          <w:lang w:val="fr-FR"/>
        </w:rPr>
        <w:t>aux</w:t>
      </w:r>
      <w:r w:rsidRPr="00976C24">
        <w:rPr>
          <w:lang w:val="fr-FR"/>
        </w:rPr>
        <w:t xml:space="preserve"> victimes</w:t>
      </w:r>
      <w:r>
        <w:rPr>
          <w:lang w:val="fr-FR"/>
        </w:rPr>
        <w:t xml:space="preserve"> et de leur protection</w:t>
      </w:r>
      <w:r w:rsidRPr="00976C24">
        <w:rPr>
          <w:lang w:val="fr-FR"/>
        </w:rPr>
        <w:t>. Ce projet, lancé en 2006, a considérablement amélioré la qualité de la coopération interdisciplinaire dans ce domaine.</w:t>
      </w:r>
    </w:p>
    <w:p w:rsidR="00903547" w:rsidRPr="00976C24" w:rsidRDefault="00903547" w:rsidP="00B254D6">
      <w:pPr>
        <w:pStyle w:val="SingleTxtG"/>
        <w:rPr>
          <w:lang w:val="fr-FR"/>
        </w:rPr>
      </w:pPr>
      <w:r>
        <w:rPr>
          <w:lang w:val="fr-FR"/>
        </w:rPr>
        <w:t>278.</w:t>
      </w:r>
      <w:r>
        <w:rPr>
          <w:lang w:val="fr-FR"/>
        </w:rPr>
        <w:tab/>
      </w:r>
      <w:r w:rsidRPr="00976C24">
        <w:rPr>
          <w:lang w:val="fr-FR"/>
        </w:rPr>
        <w:t xml:space="preserve">Des unités de police spécialisées ont été créées à Oslo et Bergen pour améliorer l’efficacité de la </w:t>
      </w:r>
      <w:r>
        <w:rPr>
          <w:lang w:val="fr-FR"/>
        </w:rPr>
        <w:t>police au regard de la traite, en particulier de l’enregistrement d</w:t>
      </w:r>
      <w:r w:rsidRPr="00976C24">
        <w:rPr>
          <w:lang w:val="fr-FR"/>
        </w:rPr>
        <w:t>es dépositions des victimes</w:t>
      </w:r>
      <w:r>
        <w:rPr>
          <w:lang w:val="fr-FR"/>
        </w:rPr>
        <w:t>,</w:t>
      </w:r>
      <w:r w:rsidRPr="00976C24">
        <w:rPr>
          <w:lang w:val="fr-FR"/>
        </w:rPr>
        <w:t xml:space="preserve"> qui pe</w:t>
      </w:r>
      <w:r>
        <w:rPr>
          <w:lang w:val="fr-FR"/>
        </w:rPr>
        <w:t>uvent</w:t>
      </w:r>
      <w:r w:rsidRPr="00976C24">
        <w:rPr>
          <w:lang w:val="fr-FR"/>
        </w:rPr>
        <w:t xml:space="preserve"> </w:t>
      </w:r>
      <w:r>
        <w:rPr>
          <w:lang w:val="fr-FR"/>
        </w:rPr>
        <w:t>permettre</w:t>
      </w:r>
      <w:r w:rsidRPr="00976C24">
        <w:rPr>
          <w:lang w:val="fr-FR"/>
        </w:rPr>
        <w:t xml:space="preserve"> d’enquêter et de poursuivre les responsables. </w:t>
      </w:r>
    </w:p>
    <w:p w:rsidR="00903547" w:rsidRPr="00976C24" w:rsidRDefault="00903547" w:rsidP="00B254D6">
      <w:pPr>
        <w:pStyle w:val="SingleTxtG"/>
        <w:rPr>
          <w:lang w:val="fr-FR"/>
        </w:rPr>
      </w:pPr>
      <w:r>
        <w:rPr>
          <w:lang w:val="fr-FR"/>
        </w:rPr>
        <w:t>279.</w:t>
      </w:r>
      <w:r>
        <w:rPr>
          <w:lang w:val="fr-FR"/>
        </w:rPr>
        <w:tab/>
        <w:t>E</w:t>
      </w:r>
      <w:r w:rsidRPr="00976C24">
        <w:rPr>
          <w:lang w:val="fr-FR"/>
        </w:rPr>
        <w:t>n coopération avec des unités spéciales des forces de l’ordre</w:t>
      </w:r>
      <w:r>
        <w:rPr>
          <w:lang w:val="fr-FR"/>
        </w:rPr>
        <w:t>,</w:t>
      </w:r>
      <w:r w:rsidRPr="00976C24">
        <w:rPr>
          <w:lang w:val="fr-FR"/>
        </w:rPr>
        <w:t xml:space="preserve"> </w:t>
      </w:r>
      <w:r>
        <w:rPr>
          <w:lang w:val="fr-FR"/>
        </w:rPr>
        <w:t>l</w:t>
      </w:r>
      <w:r w:rsidRPr="00976C24">
        <w:rPr>
          <w:lang w:val="fr-FR"/>
        </w:rPr>
        <w:t xml:space="preserve">’unité de police d’Oslo chargée de la lutte contre la traite est </w:t>
      </w:r>
      <w:r>
        <w:rPr>
          <w:lang w:val="fr-FR"/>
        </w:rPr>
        <w:t>chargée</w:t>
      </w:r>
      <w:r w:rsidRPr="00976C24">
        <w:rPr>
          <w:lang w:val="fr-FR"/>
        </w:rPr>
        <w:t xml:space="preserve"> de la lutte c</w:t>
      </w:r>
      <w:r>
        <w:rPr>
          <w:lang w:val="fr-FR"/>
        </w:rPr>
        <w:t>ontre la criminalité économique</w:t>
      </w:r>
      <w:r w:rsidRPr="00976C24">
        <w:rPr>
          <w:lang w:val="fr-FR"/>
        </w:rPr>
        <w:t xml:space="preserve"> et a obtenu cinq condamnations pour blanchiment d’argent </w:t>
      </w:r>
      <w:r>
        <w:rPr>
          <w:lang w:val="fr-FR"/>
        </w:rPr>
        <w:t>à l’encontre de</w:t>
      </w:r>
      <w:r w:rsidRPr="00976C24">
        <w:rPr>
          <w:lang w:val="fr-FR"/>
        </w:rPr>
        <w:t xml:space="preserve"> </w:t>
      </w:r>
      <w:r>
        <w:rPr>
          <w:lang w:val="fr-FR"/>
        </w:rPr>
        <w:t>membres</w:t>
      </w:r>
      <w:r w:rsidRPr="00976C24">
        <w:rPr>
          <w:lang w:val="fr-FR"/>
        </w:rPr>
        <w:t xml:space="preserve"> de la communauté nigériane </w:t>
      </w:r>
      <w:r>
        <w:rPr>
          <w:lang w:val="fr-FR"/>
        </w:rPr>
        <w:t>d’</w:t>
      </w:r>
      <w:r w:rsidRPr="00976C24">
        <w:rPr>
          <w:lang w:val="fr-FR"/>
        </w:rPr>
        <w:t>Oslo suspectés de traite.</w:t>
      </w:r>
    </w:p>
    <w:p w:rsidR="00903547" w:rsidRPr="00976C24" w:rsidRDefault="00903547" w:rsidP="00B254D6">
      <w:pPr>
        <w:pStyle w:val="SingleTxtG"/>
        <w:rPr>
          <w:lang w:val="fr-FR"/>
        </w:rPr>
      </w:pPr>
      <w:r>
        <w:rPr>
          <w:lang w:val="fr-FR"/>
        </w:rPr>
        <w:t>280.</w:t>
      </w:r>
      <w:r>
        <w:rPr>
          <w:lang w:val="fr-FR"/>
        </w:rPr>
        <w:tab/>
      </w:r>
      <w:r w:rsidRPr="00976C24">
        <w:rPr>
          <w:lang w:val="fr-FR"/>
        </w:rPr>
        <w:t xml:space="preserve">Un projet spécial d’assistance aux victimes </w:t>
      </w:r>
      <w:r>
        <w:rPr>
          <w:lang w:val="fr-FR"/>
        </w:rPr>
        <w:t>(</w:t>
      </w:r>
      <w:r w:rsidRPr="00976C24">
        <w:rPr>
          <w:lang w:val="fr-FR"/>
        </w:rPr>
        <w:t>projet ROSA</w:t>
      </w:r>
      <w:r>
        <w:rPr>
          <w:lang w:val="fr-FR"/>
        </w:rPr>
        <w:t>)</w:t>
      </w:r>
      <w:r w:rsidRPr="00976C24">
        <w:rPr>
          <w:lang w:val="fr-FR"/>
        </w:rPr>
        <w:t xml:space="preserve"> a permis d’</w:t>
      </w:r>
      <w:r>
        <w:rPr>
          <w:lang w:val="fr-FR"/>
        </w:rPr>
        <w:t xml:space="preserve">aider </w:t>
      </w:r>
      <w:r w:rsidRPr="00976C24">
        <w:rPr>
          <w:lang w:val="fr-FR"/>
        </w:rPr>
        <w:t>51</w:t>
      </w:r>
      <w:r>
        <w:rPr>
          <w:lang w:val="fr-FR"/>
        </w:rPr>
        <w:t> </w:t>
      </w:r>
      <w:r w:rsidRPr="00976C24">
        <w:rPr>
          <w:lang w:val="fr-FR"/>
        </w:rPr>
        <w:t>femmes en 2009</w:t>
      </w:r>
      <w:r>
        <w:rPr>
          <w:lang w:val="fr-FR"/>
        </w:rPr>
        <w:t xml:space="preserve"> en leur offrant </w:t>
      </w:r>
      <w:r w:rsidRPr="00976C24">
        <w:rPr>
          <w:lang w:val="fr-FR"/>
        </w:rPr>
        <w:t xml:space="preserve">un hébergement sûr et </w:t>
      </w:r>
      <w:r>
        <w:rPr>
          <w:lang w:val="fr-FR"/>
        </w:rPr>
        <w:t xml:space="preserve">par </w:t>
      </w:r>
      <w:r w:rsidRPr="00976C24">
        <w:rPr>
          <w:lang w:val="fr-FR"/>
        </w:rPr>
        <w:t>d’autres mesures.</w:t>
      </w:r>
    </w:p>
    <w:p w:rsidR="00903547" w:rsidRPr="00976C24" w:rsidRDefault="00903547" w:rsidP="00B254D6">
      <w:pPr>
        <w:pStyle w:val="SingleTxtG"/>
        <w:rPr>
          <w:lang w:val="fr-FR"/>
        </w:rPr>
      </w:pPr>
      <w:r>
        <w:rPr>
          <w:lang w:val="fr-FR"/>
        </w:rPr>
        <w:t>281.</w:t>
      </w:r>
      <w:r>
        <w:rPr>
          <w:lang w:val="fr-FR"/>
        </w:rPr>
        <w:tab/>
      </w:r>
      <w:r w:rsidRPr="00976C24">
        <w:rPr>
          <w:lang w:val="fr-FR"/>
        </w:rPr>
        <w:t xml:space="preserve">Une loi interdisant </w:t>
      </w:r>
      <w:r>
        <w:rPr>
          <w:lang w:val="fr-FR"/>
        </w:rPr>
        <w:t>l’achat de</w:t>
      </w:r>
      <w:r w:rsidRPr="00976C24">
        <w:rPr>
          <w:lang w:val="fr-FR"/>
        </w:rPr>
        <w:t xml:space="preserve"> services sexuels en Norvège, entrée en vigueur le </w:t>
      </w:r>
      <w:r>
        <w:rPr>
          <w:lang w:val="fr-FR"/>
        </w:rPr>
        <w:t>1</w:t>
      </w:r>
      <w:r w:rsidRPr="00B378D7">
        <w:rPr>
          <w:vertAlign w:val="superscript"/>
          <w:lang w:val="fr-FR"/>
        </w:rPr>
        <w:t>er</w:t>
      </w:r>
      <w:r>
        <w:rPr>
          <w:lang w:val="fr-FR"/>
        </w:rPr>
        <w:t> </w:t>
      </w:r>
      <w:r w:rsidRPr="00976C24">
        <w:rPr>
          <w:lang w:val="fr-FR"/>
        </w:rPr>
        <w:t>janvier 2009, vise en partie à prévenir la traite.</w:t>
      </w:r>
    </w:p>
    <w:p w:rsidR="00903547" w:rsidRPr="00976C24" w:rsidRDefault="00903547" w:rsidP="00B254D6">
      <w:pPr>
        <w:pStyle w:val="SingleTxtG"/>
        <w:rPr>
          <w:lang w:val="fr-FR"/>
        </w:rPr>
      </w:pPr>
      <w:r>
        <w:rPr>
          <w:lang w:val="fr-FR"/>
        </w:rPr>
        <w:t>282.</w:t>
      </w:r>
      <w:r>
        <w:rPr>
          <w:lang w:val="fr-FR"/>
        </w:rPr>
        <w:tab/>
      </w:r>
      <w:r w:rsidRPr="00976C24">
        <w:rPr>
          <w:lang w:val="fr-FR"/>
        </w:rPr>
        <w:t xml:space="preserve">Le </w:t>
      </w:r>
      <w:r w:rsidRPr="00B52B8E">
        <w:rPr>
          <w:i/>
          <w:lang w:val="fr-FR"/>
        </w:rPr>
        <w:t>Storting</w:t>
      </w:r>
      <w:r w:rsidRPr="00976C24">
        <w:rPr>
          <w:lang w:val="fr-FR"/>
        </w:rPr>
        <w:t xml:space="preserve"> a créé un fonds de 10</w:t>
      </w:r>
      <w:r>
        <w:rPr>
          <w:lang w:val="fr-FR"/>
        </w:rPr>
        <w:t> </w:t>
      </w:r>
      <w:r w:rsidRPr="00976C24">
        <w:rPr>
          <w:lang w:val="fr-FR"/>
        </w:rPr>
        <w:t>millions de couronnes destiné à des mesures/projets visant à améliorer la situation des prostitué(e)s, aider les femmes et les hommes à sortir de la prostitution et réduire la demande en matière de commerce du sexe.</w:t>
      </w:r>
    </w:p>
    <w:p w:rsidR="00903547" w:rsidRPr="00976C24" w:rsidRDefault="00903547" w:rsidP="00B254D6">
      <w:pPr>
        <w:pStyle w:val="SingleTxtG"/>
        <w:rPr>
          <w:lang w:val="fr-FR"/>
        </w:rPr>
      </w:pPr>
      <w:r>
        <w:rPr>
          <w:lang w:val="fr-FR"/>
        </w:rPr>
        <w:t>283.</w:t>
      </w:r>
      <w:r>
        <w:rPr>
          <w:lang w:val="fr-FR"/>
        </w:rPr>
        <w:tab/>
      </w:r>
      <w:r w:rsidRPr="00976C24">
        <w:rPr>
          <w:lang w:val="fr-FR"/>
        </w:rPr>
        <w:t xml:space="preserve">Les </w:t>
      </w:r>
      <w:r>
        <w:rPr>
          <w:lang w:val="fr-FR"/>
        </w:rPr>
        <w:t>crédits</w:t>
      </w:r>
      <w:r w:rsidRPr="00976C24">
        <w:rPr>
          <w:lang w:val="fr-FR"/>
        </w:rPr>
        <w:t xml:space="preserve"> sont </w:t>
      </w:r>
      <w:r>
        <w:rPr>
          <w:lang w:val="fr-FR"/>
        </w:rPr>
        <w:t>alloués</w:t>
      </w:r>
      <w:r w:rsidRPr="00976C24">
        <w:rPr>
          <w:lang w:val="fr-FR"/>
        </w:rPr>
        <w:t xml:space="preserve"> chaque année par le Ministère de la justice et la</w:t>
      </w:r>
      <w:r>
        <w:rPr>
          <w:lang w:val="fr-FR"/>
        </w:rPr>
        <w:t xml:space="preserve"> p</w:t>
      </w:r>
      <w:r w:rsidRPr="00976C24">
        <w:rPr>
          <w:lang w:val="fr-FR"/>
        </w:rPr>
        <w:t xml:space="preserve">olice </w:t>
      </w:r>
      <w:r>
        <w:rPr>
          <w:lang w:val="fr-FR"/>
        </w:rPr>
        <w:t>en fonction</w:t>
      </w:r>
      <w:r w:rsidRPr="00976C24">
        <w:rPr>
          <w:lang w:val="fr-FR"/>
        </w:rPr>
        <w:t xml:space="preserve"> des demandes présentées par les autorités et les ONG. Pour 2009 et 2010, des </w:t>
      </w:r>
      <w:r>
        <w:rPr>
          <w:lang w:val="fr-FR"/>
        </w:rPr>
        <w:t>fonds ont été affectés</w:t>
      </w:r>
      <w:r w:rsidRPr="00976C24">
        <w:rPr>
          <w:lang w:val="fr-FR"/>
        </w:rPr>
        <w:t xml:space="preserve"> à plusieurs mesures </w:t>
      </w:r>
      <w:r>
        <w:rPr>
          <w:lang w:val="fr-FR"/>
        </w:rPr>
        <w:t>pour l’emploi</w:t>
      </w:r>
      <w:r w:rsidRPr="00976C24">
        <w:rPr>
          <w:lang w:val="fr-FR"/>
        </w:rPr>
        <w:t xml:space="preserve"> </w:t>
      </w:r>
      <w:r>
        <w:rPr>
          <w:lang w:val="fr-FR"/>
        </w:rPr>
        <w:t>en faveur</w:t>
      </w:r>
      <w:r w:rsidRPr="00976C24">
        <w:rPr>
          <w:lang w:val="fr-FR"/>
        </w:rPr>
        <w:t xml:space="preserve"> des personnes qui veulent sortir de la prostitution.</w:t>
      </w:r>
    </w:p>
    <w:p w:rsidR="00903547" w:rsidRPr="00976C24" w:rsidRDefault="00903547" w:rsidP="00B254D6">
      <w:pPr>
        <w:pStyle w:val="SingleTxtG"/>
        <w:rPr>
          <w:lang w:val="fr-FR"/>
        </w:rPr>
      </w:pPr>
      <w:r>
        <w:rPr>
          <w:lang w:val="fr-FR"/>
        </w:rPr>
        <w:t>284.</w:t>
      </w:r>
      <w:r>
        <w:rPr>
          <w:lang w:val="fr-FR"/>
        </w:rPr>
        <w:tab/>
      </w:r>
      <w:r w:rsidRPr="00976C24">
        <w:rPr>
          <w:lang w:val="fr-FR"/>
        </w:rPr>
        <w:t xml:space="preserve">La disposition </w:t>
      </w:r>
      <w:r>
        <w:rPr>
          <w:lang w:val="fr-FR"/>
        </w:rPr>
        <w:t xml:space="preserve">juridique relative à l’interdiction de </w:t>
      </w:r>
      <w:r w:rsidRPr="00976C24">
        <w:rPr>
          <w:lang w:val="fr-FR"/>
        </w:rPr>
        <w:t>l’achat de services sexuels sera évaluée afin d’élaborer des mesures a</w:t>
      </w:r>
      <w:r>
        <w:rPr>
          <w:lang w:val="fr-FR"/>
        </w:rPr>
        <w:t>daptées</w:t>
      </w:r>
      <w:r w:rsidRPr="00976C24">
        <w:rPr>
          <w:lang w:val="fr-FR"/>
        </w:rPr>
        <w:t xml:space="preserve"> et ciblées p</w:t>
      </w:r>
      <w:r>
        <w:rPr>
          <w:lang w:val="fr-FR"/>
        </w:rPr>
        <w:t>ropres à</w:t>
      </w:r>
      <w:r w:rsidRPr="00976C24">
        <w:rPr>
          <w:lang w:val="fr-FR"/>
        </w:rPr>
        <w:t xml:space="preserve"> aider les personnes à sortir de la prostitution.</w:t>
      </w:r>
    </w:p>
    <w:p w:rsidR="00903547" w:rsidRPr="00976C24" w:rsidRDefault="00903547" w:rsidP="0071086E">
      <w:pPr>
        <w:pStyle w:val="H23G"/>
        <w:rPr>
          <w:lang w:val="fr-FR"/>
        </w:rPr>
      </w:pPr>
      <w:r w:rsidRPr="00976C24">
        <w:rPr>
          <w:lang w:val="fr-FR"/>
        </w:rPr>
        <w:tab/>
        <w:t>10.</w:t>
      </w:r>
      <w:r w:rsidRPr="00976C24">
        <w:rPr>
          <w:lang w:val="fr-FR"/>
        </w:rPr>
        <w:tab/>
      </w:r>
      <w:r>
        <w:rPr>
          <w:lang w:val="fr-FR"/>
        </w:rPr>
        <w:t xml:space="preserve">Indiquer s’il existe </w:t>
      </w:r>
      <w:r w:rsidRPr="00976C24">
        <w:rPr>
          <w:lang w:val="fr-FR"/>
        </w:rPr>
        <w:t xml:space="preserve">un plan d’action national pour lutter contre la traite et </w:t>
      </w:r>
      <w:r>
        <w:rPr>
          <w:lang w:val="fr-FR"/>
        </w:rPr>
        <w:t xml:space="preserve">quelles sont les </w:t>
      </w:r>
      <w:r w:rsidRPr="00976C24">
        <w:rPr>
          <w:lang w:val="fr-FR"/>
        </w:rPr>
        <w:t>mesures prises pour apporter une aide aux victimes, notamment sur les plans médical, social et juridique (E/2009/22-E/C.12/2008/3, annexe VIII, par.</w:t>
      </w:r>
      <w:r>
        <w:rPr>
          <w:lang w:val="fr-FR"/>
        </w:rPr>
        <w:t> </w:t>
      </w:r>
      <w:r w:rsidRPr="00976C24">
        <w:rPr>
          <w:lang w:val="fr-FR"/>
        </w:rPr>
        <w:t>41 b))</w:t>
      </w:r>
    </w:p>
    <w:p w:rsidR="00903547" w:rsidRPr="00976C24" w:rsidRDefault="00903547" w:rsidP="00B254D6">
      <w:pPr>
        <w:pStyle w:val="SingleTxtG"/>
        <w:rPr>
          <w:lang w:val="fr-FR"/>
        </w:rPr>
      </w:pPr>
      <w:r>
        <w:rPr>
          <w:lang w:val="fr-FR"/>
        </w:rPr>
        <w:t>285.</w:t>
      </w:r>
      <w:r>
        <w:rPr>
          <w:lang w:val="fr-FR"/>
        </w:rPr>
        <w:tab/>
      </w:r>
      <w:r w:rsidRPr="00976C24">
        <w:rPr>
          <w:lang w:val="fr-FR"/>
        </w:rPr>
        <w:t>En 2006, le Gouvernement a prése</w:t>
      </w:r>
      <w:r>
        <w:rPr>
          <w:lang w:val="fr-FR"/>
        </w:rPr>
        <w:t>nté un plan d’action intitulé «Halte à la traite</w:t>
      </w:r>
      <w:r w:rsidRPr="00976C24">
        <w:rPr>
          <w:lang w:val="fr-FR"/>
        </w:rPr>
        <w:t>», qui s’est achevé en 2009. Ce plan d’action est en cours de révision.</w:t>
      </w:r>
    </w:p>
    <w:p w:rsidR="00903547" w:rsidRPr="00976C24" w:rsidRDefault="00903547" w:rsidP="00B254D6">
      <w:pPr>
        <w:pStyle w:val="SingleTxtG"/>
        <w:rPr>
          <w:lang w:val="fr-FR"/>
        </w:rPr>
      </w:pPr>
      <w:r>
        <w:rPr>
          <w:lang w:val="fr-FR"/>
        </w:rPr>
        <w:t>286.</w:t>
      </w:r>
      <w:r>
        <w:rPr>
          <w:lang w:val="fr-FR"/>
        </w:rPr>
        <w:tab/>
      </w:r>
      <w:r w:rsidRPr="00976C24">
        <w:rPr>
          <w:lang w:val="fr-FR"/>
        </w:rPr>
        <w:t>Le Comité pourra se reporter au</w:t>
      </w:r>
      <w:r>
        <w:rPr>
          <w:lang w:val="fr-FR"/>
        </w:rPr>
        <w:t xml:space="preserve">x paragraphes 117 à </w:t>
      </w:r>
      <w:r w:rsidRPr="00976C24">
        <w:rPr>
          <w:lang w:val="fr-FR"/>
        </w:rPr>
        <w:t>121</w:t>
      </w:r>
      <w:r>
        <w:rPr>
          <w:lang w:val="fr-FR"/>
        </w:rPr>
        <w:t xml:space="preserve"> du </w:t>
      </w:r>
      <w:r w:rsidRPr="00976C24">
        <w:rPr>
          <w:lang w:val="fr-FR"/>
        </w:rPr>
        <w:t>sixième rapport périodique de la Norvège soumis au Comité des droits de l’homme concernant le plan d</w:t>
      </w:r>
      <w:r>
        <w:rPr>
          <w:lang w:val="fr-FR"/>
        </w:rPr>
        <w:t>e lutte</w:t>
      </w:r>
      <w:r w:rsidRPr="00976C24">
        <w:rPr>
          <w:lang w:val="fr-FR"/>
        </w:rPr>
        <w:t xml:space="preserve"> contre la traite et les mesures </w:t>
      </w:r>
      <w:r>
        <w:rPr>
          <w:lang w:val="fr-FR"/>
        </w:rPr>
        <w:t xml:space="preserve">prises </w:t>
      </w:r>
      <w:r w:rsidRPr="00976C24">
        <w:rPr>
          <w:lang w:val="fr-FR"/>
        </w:rPr>
        <w:t xml:space="preserve">pour apporter une aide aux victimes, et </w:t>
      </w:r>
      <w:r>
        <w:rPr>
          <w:lang w:val="fr-FR"/>
        </w:rPr>
        <w:t>à l’article 3.8 d</w:t>
      </w:r>
      <w:r w:rsidRPr="00976C24">
        <w:rPr>
          <w:lang w:val="fr-FR"/>
        </w:rPr>
        <w:t>u rapport de la Norvège</w:t>
      </w:r>
      <w:r>
        <w:rPr>
          <w:lang w:val="fr-FR"/>
        </w:rPr>
        <w:t xml:space="preserve"> soumis</w:t>
      </w:r>
      <w:r w:rsidRPr="00976C24">
        <w:rPr>
          <w:lang w:val="fr-FR"/>
        </w:rPr>
        <w:t xml:space="preserve"> </w:t>
      </w:r>
      <w:r>
        <w:rPr>
          <w:lang w:val="fr-FR"/>
        </w:rPr>
        <w:t>au titre de l’EPU</w:t>
      </w:r>
      <w:r w:rsidRPr="00976C24">
        <w:rPr>
          <w:lang w:val="fr-FR"/>
        </w:rPr>
        <w:t>.</w:t>
      </w:r>
    </w:p>
    <w:p w:rsidR="00903547" w:rsidRPr="00976C24" w:rsidRDefault="00903547" w:rsidP="00B254D6">
      <w:pPr>
        <w:pStyle w:val="SingleTxtG"/>
        <w:rPr>
          <w:lang w:val="fr-FR"/>
        </w:rPr>
      </w:pPr>
      <w:r>
        <w:rPr>
          <w:lang w:val="fr-FR"/>
        </w:rPr>
        <w:t>287.</w:t>
      </w:r>
      <w:r>
        <w:rPr>
          <w:lang w:val="fr-FR"/>
        </w:rPr>
        <w:tab/>
      </w:r>
      <w:r w:rsidRPr="00976C24">
        <w:rPr>
          <w:lang w:val="fr-FR"/>
        </w:rPr>
        <w:t xml:space="preserve">Les parties lésées qui envisagent de signaler des délits tels que la traite bénéficient des services </w:t>
      </w:r>
      <w:r>
        <w:rPr>
          <w:lang w:val="fr-FR"/>
        </w:rPr>
        <w:t xml:space="preserve">gratuits </w:t>
      </w:r>
      <w:r w:rsidRPr="00976C24">
        <w:rPr>
          <w:lang w:val="fr-FR"/>
        </w:rPr>
        <w:t xml:space="preserve">d’un avocat </w:t>
      </w:r>
      <w:r>
        <w:rPr>
          <w:lang w:val="fr-FR"/>
        </w:rPr>
        <w:t>qui les aide à</w:t>
      </w:r>
      <w:r w:rsidRPr="00976C24">
        <w:rPr>
          <w:lang w:val="fr-FR"/>
        </w:rPr>
        <w:t xml:space="preserve"> e</w:t>
      </w:r>
      <w:r>
        <w:rPr>
          <w:lang w:val="fr-FR"/>
        </w:rPr>
        <w:t>xaminer</w:t>
      </w:r>
      <w:r w:rsidRPr="00976C24">
        <w:rPr>
          <w:lang w:val="fr-FR"/>
        </w:rPr>
        <w:t xml:space="preserve"> les conséquences du signalement d’un délit à la police. </w:t>
      </w:r>
      <w:r>
        <w:rPr>
          <w:lang w:val="fr-FR"/>
        </w:rPr>
        <w:t>U</w:t>
      </w:r>
      <w:r w:rsidRPr="00976C24">
        <w:rPr>
          <w:lang w:val="fr-FR"/>
        </w:rPr>
        <w:t xml:space="preserve">ne partie lésée </w:t>
      </w:r>
      <w:r>
        <w:rPr>
          <w:lang w:val="fr-FR"/>
        </w:rPr>
        <w:t>qui s’y résout</w:t>
      </w:r>
      <w:r w:rsidRPr="00976C24">
        <w:rPr>
          <w:lang w:val="fr-FR"/>
        </w:rPr>
        <w:t xml:space="preserve"> bénéficie des services d’un avocat indépendant pendant l’enquête et le procès.</w:t>
      </w:r>
    </w:p>
    <w:p w:rsidR="00903547" w:rsidRPr="00976C24" w:rsidRDefault="00903547" w:rsidP="00B254D6">
      <w:pPr>
        <w:pStyle w:val="SingleTxtG"/>
        <w:rPr>
          <w:lang w:val="fr-FR"/>
        </w:rPr>
      </w:pPr>
      <w:r>
        <w:rPr>
          <w:lang w:val="fr-FR"/>
        </w:rPr>
        <w:t>288.</w:t>
      </w:r>
      <w:r>
        <w:rPr>
          <w:lang w:val="fr-FR"/>
        </w:rPr>
        <w:tab/>
        <w:t>Nombre</w:t>
      </w:r>
      <w:r w:rsidRPr="00976C24">
        <w:rPr>
          <w:lang w:val="fr-FR"/>
        </w:rPr>
        <w:t xml:space="preserve"> de victimes peuvent refuser de coopérer avec la police pour </w:t>
      </w:r>
      <w:r>
        <w:rPr>
          <w:lang w:val="fr-FR"/>
        </w:rPr>
        <w:t>bien des</w:t>
      </w:r>
      <w:r w:rsidRPr="00976C24">
        <w:rPr>
          <w:lang w:val="fr-FR"/>
        </w:rPr>
        <w:t xml:space="preserve"> raisons, comme la crainte de représailles de la part des trafiquants. </w:t>
      </w:r>
      <w:r>
        <w:rPr>
          <w:lang w:val="fr-FR"/>
        </w:rPr>
        <w:t>Il est primordial de donner aux victimes</w:t>
      </w:r>
      <w:r w:rsidRPr="00976C24">
        <w:rPr>
          <w:lang w:val="fr-FR"/>
        </w:rPr>
        <w:t xml:space="preserve"> </w:t>
      </w:r>
      <w:r>
        <w:rPr>
          <w:lang w:val="fr-FR"/>
        </w:rPr>
        <w:t>des</w:t>
      </w:r>
      <w:r w:rsidRPr="00976C24">
        <w:rPr>
          <w:lang w:val="fr-FR"/>
        </w:rPr>
        <w:t xml:space="preserve"> renseignements </w:t>
      </w:r>
      <w:r>
        <w:rPr>
          <w:lang w:val="fr-FR"/>
        </w:rPr>
        <w:t>exacts</w:t>
      </w:r>
      <w:r w:rsidRPr="00976C24">
        <w:rPr>
          <w:lang w:val="fr-FR"/>
        </w:rPr>
        <w:t xml:space="preserve"> sur les conséquences d’un dépôt de plainte ou d’une </w:t>
      </w:r>
      <w:r>
        <w:rPr>
          <w:lang w:val="fr-FR"/>
        </w:rPr>
        <w:t xml:space="preserve">autre forme de </w:t>
      </w:r>
      <w:r w:rsidRPr="00976C24">
        <w:rPr>
          <w:lang w:val="fr-FR"/>
        </w:rPr>
        <w:t xml:space="preserve">coopération avec la police et </w:t>
      </w:r>
      <w:r>
        <w:rPr>
          <w:lang w:val="fr-FR"/>
        </w:rPr>
        <w:t>d’encourager la confiance des victimes potentielles envers</w:t>
      </w:r>
      <w:r w:rsidRPr="00976C24">
        <w:rPr>
          <w:lang w:val="fr-FR"/>
        </w:rPr>
        <w:t xml:space="preserve"> les ONG. </w:t>
      </w:r>
    </w:p>
    <w:p w:rsidR="00903547" w:rsidRPr="00976C24" w:rsidRDefault="00903547" w:rsidP="00B254D6">
      <w:pPr>
        <w:pStyle w:val="SingleTxtG"/>
        <w:rPr>
          <w:lang w:val="fr-FR"/>
        </w:rPr>
      </w:pPr>
      <w:r>
        <w:rPr>
          <w:lang w:val="fr-FR"/>
        </w:rPr>
        <w:t>289.</w:t>
      </w:r>
      <w:r>
        <w:rPr>
          <w:lang w:val="fr-FR"/>
        </w:rPr>
        <w:tab/>
      </w:r>
      <w:r w:rsidRPr="00976C24">
        <w:rPr>
          <w:lang w:val="fr-FR"/>
        </w:rPr>
        <w:t xml:space="preserve">Le Comité pourra également se reporter à la réponse du Gouvernement au paragraphe 36 des observations finales </w:t>
      </w:r>
      <w:r>
        <w:rPr>
          <w:lang w:val="fr-FR"/>
        </w:rPr>
        <w:t>figurant dans le</w:t>
      </w:r>
      <w:r w:rsidRPr="00976C24">
        <w:rPr>
          <w:lang w:val="fr-FR"/>
        </w:rPr>
        <w:t xml:space="preserve"> présent rapport.</w:t>
      </w:r>
    </w:p>
    <w:p w:rsidR="00903547" w:rsidRPr="00976C24" w:rsidRDefault="00903547" w:rsidP="0071086E">
      <w:pPr>
        <w:pStyle w:val="H1G"/>
        <w:rPr>
          <w:lang w:val="fr-FR"/>
        </w:rPr>
      </w:pPr>
      <w:bookmarkStart w:id="67" w:name="_Toc265062230"/>
      <w:r w:rsidRPr="00976C24">
        <w:rPr>
          <w:lang w:val="fr-FR"/>
        </w:rPr>
        <w:tab/>
      </w:r>
      <w:r w:rsidRPr="00976C24">
        <w:rPr>
          <w:lang w:val="fr-FR"/>
        </w:rPr>
        <w:tab/>
      </w:r>
      <w:bookmarkStart w:id="68" w:name="_Toc286326385"/>
      <w:r>
        <w:rPr>
          <w:lang w:val="fr-FR"/>
        </w:rPr>
        <w:t>Article 11</w:t>
      </w:r>
      <w:r>
        <w:rPr>
          <w:lang w:val="fr-FR"/>
        </w:rPr>
        <w:br/>
      </w:r>
      <w:r w:rsidRPr="00976C24">
        <w:rPr>
          <w:lang w:val="fr-FR"/>
        </w:rPr>
        <w:t>Droit à un niveau de vie suffisant</w:t>
      </w:r>
      <w:bookmarkEnd w:id="67"/>
      <w:bookmarkEnd w:id="68"/>
    </w:p>
    <w:p w:rsidR="00903547" w:rsidRPr="00976C24" w:rsidRDefault="00903547" w:rsidP="0071086E">
      <w:pPr>
        <w:pStyle w:val="H23G"/>
        <w:rPr>
          <w:lang w:val="fr-FR"/>
        </w:rPr>
      </w:pPr>
      <w:bookmarkStart w:id="69" w:name="_Toc265062231"/>
      <w:r w:rsidRPr="00976C24">
        <w:rPr>
          <w:lang w:val="fr-FR"/>
        </w:rPr>
        <w:tab/>
        <w:t>1.</w:t>
      </w:r>
      <w:r w:rsidRPr="00976C24">
        <w:rPr>
          <w:lang w:val="fr-FR"/>
        </w:rPr>
        <w:tab/>
      </w:r>
      <w:bookmarkStart w:id="70" w:name="_Toc286326386"/>
      <w:r>
        <w:rPr>
          <w:lang w:val="fr-FR"/>
        </w:rPr>
        <w:t>D</w:t>
      </w:r>
      <w:r w:rsidRPr="00976C24">
        <w:rPr>
          <w:lang w:val="fr-FR"/>
        </w:rPr>
        <w:t>roit à l’amélioration constante de ses conditions d’existence</w:t>
      </w:r>
      <w:bookmarkEnd w:id="69"/>
      <w:bookmarkEnd w:id="70"/>
    </w:p>
    <w:p w:rsidR="00903547" w:rsidRPr="00976C24" w:rsidRDefault="00903547" w:rsidP="0071086E">
      <w:pPr>
        <w:pStyle w:val="H23G"/>
        <w:rPr>
          <w:lang w:val="fr-FR"/>
        </w:rPr>
      </w:pPr>
      <w:r w:rsidRPr="00976C24">
        <w:rPr>
          <w:lang w:val="fr-FR"/>
        </w:rPr>
        <w:tab/>
        <w:t>a)</w:t>
      </w:r>
      <w:r w:rsidRPr="00976C24">
        <w:rPr>
          <w:lang w:val="fr-FR"/>
        </w:rPr>
        <w:tab/>
        <w:t>Mécanismes utilisés pour mesurer et surveiller l’incidence et la gravité de la pauvreté (E/2009/22-E/C.12/2008/3, annexe VIII, par.</w:t>
      </w:r>
      <w:r>
        <w:rPr>
          <w:lang w:val="fr-FR"/>
        </w:rPr>
        <w:t> </w:t>
      </w:r>
      <w:r w:rsidRPr="00976C24">
        <w:rPr>
          <w:lang w:val="fr-FR"/>
        </w:rPr>
        <w:t>42)</w:t>
      </w:r>
    </w:p>
    <w:p w:rsidR="00903547" w:rsidRPr="00976C24" w:rsidRDefault="00903547" w:rsidP="00B254D6">
      <w:pPr>
        <w:pStyle w:val="SingleTxtG"/>
        <w:rPr>
          <w:lang w:val="fr-FR"/>
        </w:rPr>
      </w:pPr>
      <w:r>
        <w:rPr>
          <w:lang w:val="fr-FR"/>
        </w:rPr>
        <w:t>290.</w:t>
      </w:r>
      <w:r>
        <w:rPr>
          <w:lang w:val="fr-FR"/>
        </w:rPr>
        <w:tab/>
      </w:r>
      <w:r w:rsidRPr="00976C24">
        <w:rPr>
          <w:lang w:val="fr-FR"/>
        </w:rPr>
        <w:t>Il n’</w:t>
      </w:r>
      <w:r>
        <w:rPr>
          <w:lang w:val="fr-FR"/>
        </w:rPr>
        <w:t>existe</w:t>
      </w:r>
      <w:r w:rsidRPr="00976C24">
        <w:rPr>
          <w:lang w:val="fr-FR"/>
        </w:rPr>
        <w:t xml:space="preserve"> pas de seuil de pauvreté officiel en Norvège. La politique g</w:t>
      </w:r>
      <w:r>
        <w:rPr>
          <w:lang w:val="fr-FR"/>
        </w:rPr>
        <w:t>ouvernementale s’inscrit dans la perspective</w:t>
      </w:r>
      <w:r w:rsidRPr="00976C24">
        <w:rPr>
          <w:lang w:val="fr-FR"/>
        </w:rPr>
        <w:t xml:space="preserve"> des droits de l’homme et repose sur une </w:t>
      </w:r>
      <w:r>
        <w:rPr>
          <w:lang w:val="fr-FR"/>
        </w:rPr>
        <w:t>compréhension</w:t>
      </w:r>
      <w:r w:rsidRPr="00976C24">
        <w:rPr>
          <w:lang w:val="fr-FR"/>
        </w:rPr>
        <w:t xml:space="preserve"> de la pauvreté comme un problème complexe multidimensionnel aux niveaux individuel et collectif. </w:t>
      </w:r>
      <w:r>
        <w:rPr>
          <w:lang w:val="fr-FR"/>
        </w:rPr>
        <w:t>L</w:t>
      </w:r>
      <w:r w:rsidRPr="00976C24">
        <w:rPr>
          <w:lang w:val="fr-FR"/>
        </w:rPr>
        <w:t xml:space="preserve">a situation </w:t>
      </w:r>
      <w:r>
        <w:rPr>
          <w:lang w:val="fr-FR"/>
        </w:rPr>
        <w:t xml:space="preserve">à cet égard </w:t>
      </w:r>
      <w:r w:rsidRPr="00976C24">
        <w:rPr>
          <w:lang w:val="fr-FR"/>
        </w:rPr>
        <w:t>est surveillée au moyen d’un ensemble d’indicateurs, notamment</w:t>
      </w:r>
      <w:r>
        <w:rPr>
          <w:lang w:val="fr-FR"/>
        </w:rPr>
        <w:t>:</w:t>
      </w:r>
      <w:r w:rsidRPr="00976C24">
        <w:rPr>
          <w:lang w:val="fr-FR"/>
        </w:rPr>
        <w:t xml:space="preserve"> </w:t>
      </w:r>
      <w:r>
        <w:rPr>
          <w:lang w:val="fr-FR"/>
        </w:rPr>
        <w:t>inégalités</w:t>
      </w:r>
      <w:r w:rsidRPr="00976C24">
        <w:rPr>
          <w:lang w:val="fr-FR"/>
        </w:rPr>
        <w:t xml:space="preserve"> de revenu, revenu</w:t>
      </w:r>
      <w:r>
        <w:rPr>
          <w:lang w:val="fr-FR"/>
        </w:rPr>
        <w:t>s</w:t>
      </w:r>
      <w:r w:rsidRPr="00976C24">
        <w:rPr>
          <w:lang w:val="fr-FR"/>
        </w:rPr>
        <w:t xml:space="preserve"> </w:t>
      </w:r>
      <w:r>
        <w:rPr>
          <w:lang w:val="fr-FR"/>
        </w:rPr>
        <w:t>obstinément bas</w:t>
      </w:r>
      <w:r w:rsidRPr="00976C24">
        <w:rPr>
          <w:lang w:val="fr-FR"/>
        </w:rPr>
        <w:t>, nombre d’enfants vivant dans des foyers à faible revenu, participation à l’activité économique, chômage, nombre de bénéficiaires de prestations d’a</w:t>
      </w:r>
      <w:r>
        <w:rPr>
          <w:lang w:val="fr-FR"/>
        </w:rPr>
        <w:t>ide</w:t>
      </w:r>
      <w:r w:rsidRPr="00976C24">
        <w:rPr>
          <w:lang w:val="fr-FR"/>
        </w:rPr>
        <w:t xml:space="preserve"> sociale et de sécurité sociale, conditions d’existence </w:t>
      </w:r>
      <w:r>
        <w:rPr>
          <w:lang w:val="fr-FR"/>
        </w:rPr>
        <w:t xml:space="preserve">en matière de </w:t>
      </w:r>
      <w:r w:rsidRPr="00976C24">
        <w:rPr>
          <w:lang w:val="fr-FR"/>
        </w:rPr>
        <w:t>logement, santé, charge de la dette et autres problèmes économiques</w:t>
      </w:r>
      <w:r>
        <w:rPr>
          <w:lang w:val="fr-FR"/>
        </w:rPr>
        <w:t>, etc</w:t>
      </w:r>
      <w:r w:rsidRPr="00976C24">
        <w:rPr>
          <w:lang w:val="fr-FR"/>
        </w:rPr>
        <w:t xml:space="preserve">. </w:t>
      </w:r>
    </w:p>
    <w:p w:rsidR="00903547" w:rsidRPr="00976C24" w:rsidRDefault="00903547" w:rsidP="00B254D6">
      <w:pPr>
        <w:pStyle w:val="SingleTxtG"/>
        <w:rPr>
          <w:lang w:val="fr-FR"/>
        </w:rPr>
      </w:pPr>
      <w:r>
        <w:rPr>
          <w:lang w:val="fr-FR"/>
        </w:rPr>
        <w:t>291.</w:t>
      </w:r>
      <w:r>
        <w:rPr>
          <w:lang w:val="fr-FR"/>
        </w:rPr>
        <w:tab/>
      </w:r>
      <w:r w:rsidRPr="00976C24">
        <w:rPr>
          <w:lang w:val="fr-FR"/>
        </w:rPr>
        <w:t xml:space="preserve">Les indicateurs sont vérifiés chaque année et les résultats publiés dans des rapports annuels du Bureau norvégien de statistique sur les conditions économiques et d’existence de divers groupes vulnérables. Des études spéciales sont </w:t>
      </w:r>
      <w:r>
        <w:rPr>
          <w:lang w:val="fr-FR"/>
        </w:rPr>
        <w:t>conduites</w:t>
      </w:r>
      <w:r w:rsidRPr="00976C24">
        <w:rPr>
          <w:lang w:val="fr-FR"/>
        </w:rPr>
        <w:t xml:space="preserve"> pour compléter les statistiques, </w:t>
      </w:r>
      <w:r>
        <w:rPr>
          <w:lang w:val="fr-FR"/>
        </w:rPr>
        <w:t>par exemple</w:t>
      </w:r>
      <w:r w:rsidRPr="00976C24">
        <w:rPr>
          <w:lang w:val="fr-FR"/>
        </w:rPr>
        <w:t xml:space="preserve"> sur le nombre de sans-abri et d’expulsions de lo</w:t>
      </w:r>
      <w:r>
        <w:rPr>
          <w:lang w:val="fr-FR"/>
        </w:rPr>
        <w:t>cataires</w:t>
      </w:r>
      <w:r w:rsidRPr="00976C24">
        <w:rPr>
          <w:lang w:val="fr-FR"/>
        </w:rPr>
        <w:t xml:space="preserve">. Les statistiques et les travaux de recherche </w:t>
      </w:r>
      <w:r>
        <w:rPr>
          <w:lang w:val="fr-FR"/>
        </w:rPr>
        <w:t>visent à donner une idée plus générale</w:t>
      </w:r>
      <w:r w:rsidRPr="00976C24">
        <w:rPr>
          <w:lang w:val="fr-FR"/>
        </w:rPr>
        <w:t xml:space="preserve"> de la situation et des tendances </w:t>
      </w:r>
      <w:r>
        <w:rPr>
          <w:lang w:val="fr-FR"/>
        </w:rPr>
        <w:t>au regard d</w:t>
      </w:r>
      <w:r w:rsidRPr="00976C24">
        <w:rPr>
          <w:lang w:val="fr-FR"/>
        </w:rPr>
        <w:t>es différents aspects de la pau</w:t>
      </w:r>
      <w:r>
        <w:rPr>
          <w:lang w:val="fr-FR"/>
        </w:rPr>
        <w:t>vreté et de l’exclusion sociale</w:t>
      </w:r>
      <w:r w:rsidRPr="00976C24">
        <w:rPr>
          <w:rStyle w:val="FootnoteReference"/>
          <w:lang w:val="fr-FR"/>
        </w:rPr>
        <w:footnoteReference w:id="11"/>
      </w:r>
      <w:r>
        <w:rPr>
          <w:lang w:val="fr-FR"/>
        </w:rPr>
        <w:t>.</w:t>
      </w:r>
    </w:p>
    <w:p w:rsidR="00903547" w:rsidRPr="00976C24" w:rsidRDefault="00903547" w:rsidP="00B254D6">
      <w:pPr>
        <w:pStyle w:val="SingleTxtG"/>
        <w:rPr>
          <w:lang w:val="fr-FR"/>
        </w:rPr>
      </w:pPr>
      <w:r>
        <w:rPr>
          <w:lang w:val="fr-FR"/>
        </w:rPr>
        <w:t>292.</w:t>
      </w:r>
      <w:r>
        <w:rPr>
          <w:lang w:val="fr-FR"/>
        </w:rPr>
        <w:tab/>
      </w:r>
      <w:r w:rsidRPr="00976C24">
        <w:rPr>
          <w:lang w:val="fr-FR"/>
        </w:rPr>
        <w:t xml:space="preserve">Les personnes qui vivent dans la pauvreté en Norvège ne constituent pas des groupes sociaux précis et aisément identifiables. Certains groupes affichent cependant une surreprésentation de personnes ayant un très faible revenu par rapport </w:t>
      </w:r>
      <w:r>
        <w:rPr>
          <w:lang w:val="fr-FR"/>
        </w:rPr>
        <w:t>à</w:t>
      </w:r>
      <w:r w:rsidRPr="00976C24">
        <w:rPr>
          <w:lang w:val="fr-FR"/>
        </w:rPr>
        <w:t xml:space="preserve"> l’ensemble de la population. On peut citer les jeunes personnes seules, les parents isolés, les couples avec de jeunes enfants, les familles de trois enfants ou plus, les immigrés, les chômeurs de longue durée et les personnes en congé de maladie de longue durée. Certaines de ces personnes </w:t>
      </w:r>
      <w:r>
        <w:rPr>
          <w:lang w:val="fr-FR"/>
        </w:rPr>
        <w:t>sont confrontées de longue date à</w:t>
      </w:r>
      <w:r w:rsidRPr="00976C24">
        <w:rPr>
          <w:lang w:val="fr-FR"/>
        </w:rPr>
        <w:t xml:space="preserve"> des problèmes </w:t>
      </w:r>
      <w:r>
        <w:rPr>
          <w:lang w:val="fr-FR"/>
        </w:rPr>
        <w:t>difficiles</w:t>
      </w:r>
      <w:r w:rsidRPr="00976C24">
        <w:rPr>
          <w:lang w:val="fr-FR"/>
        </w:rPr>
        <w:t xml:space="preserve"> liés à leurs conditions d’existence, comme les sans-abri, les toxicomanes, les détenus et les prostitué(e)s.</w:t>
      </w:r>
    </w:p>
    <w:p w:rsidR="00903547" w:rsidRPr="00976C24" w:rsidRDefault="00903547" w:rsidP="00B254D6">
      <w:pPr>
        <w:pStyle w:val="SingleTxtG"/>
        <w:rPr>
          <w:lang w:val="fr-FR"/>
        </w:rPr>
      </w:pPr>
      <w:r>
        <w:rPr>
          <w:lang w:val="fr-FR"/>
        </w:rPr>
        <w:t>293.</w:t>
      </w:r>
      <w:r>
        <w:rPr>
          <w:lang w:val="fr-FR"/>
        </w:rPr>
        <w:tab/>
      </w:r>
      <w:r w:rsidRPr="00976C24">
        <w:rPr>
          <w:lang w:val="fr-FR"/>
        </w:rPr>
        <w:t>Sur la période 2006</w:t>
      </w:r>
      <w:r>
        <w:rPr>
          <w:lang w:val="fr-FR"/>
        </w:rPr>
        <w:t>-</w:t>
      </w:r>
      <w:r w:rsidRPr="00976C24">
        <w:rPr>
          <w:lang w:val="fr-FR"/>
        </w:rPr>
        <w:t>2008, 3,2</w:t>
      </w:r>
      <w:r>
        <w:rPr>
          <w:lang w:val="fr-FR"/>
        </w:rPr>
        <w:t> </w:t>
      </w:r>
      <w:r w:rsidRPr="00976C24">
        <w:rPr>
          <w:lang w:val="fr-FR"/>
        </w:rPr>
        <w:t>% de la population (près de 141</w:t>
      </w:r>
      <w:r>
        <w:rPr>
          <w:lang w:val="fr-FR"/>
        </w:rPr>
        <w:t> </w:t>
      </w:r>
      <w:r w:rsidRPr="00976C24">
        <w:rPr>
          <w:lang w:val="fr-FR"/>
        </w:rPr>
        <w:t xml:space="preserve">000 personnes) </w:t>
      </w:r>
      <w:r>
        <w:rPr>
          <w:lang w:val="fr-FR"/>
        </w:rPr>
        <w:t>disposait d’</w:t>
      </w:r>
      <w:r w:rsidRPr="00976C24">
        <w:rPr>
          <w:lang w:val="fr-FR"/>
        </w:rPr>
        <w:t xml:space="preserve">un </w:t>
      </w:r>
      <w:r>
        <w:rPr>
          <w:lang w:val="fr-FR"/>
        </w:rPr>
        <w:t xml:space="preserve">faible </w:t>
      </w:r>
      <w:r w:rsidRPr="00976C24">
        <w:rPr>
          <w:lang w:val="fr-FR"/>
        </w:rPr>
        <w:t>revenu, défini par un r</w:t>
      </w:r>
      <w:r>
        <w:rPr>
          <w:lang w:val="fr-FR"/>
        </w:rPr>
        <w:t>evenu moyen sur trois</w:t>
      </w:r>
      <w:r w:rsidRPr="00976C24">
        <w:rPr>
          <w:lang w:val="fr-FR"/>
        </w:rPr>
        <w:t xml:space="preserve"> ans inférieur de 50</w:t>
      </w:r>
      <w:r>
        <w:rPr>
          <w:lang w:val="fr-FR"/>
        </w:rPr>
        <w:t> </w:t>
      </w:r>
      <w:r w:rsidRPr="00976C24">
        <w:rPr>
          <w:lang w:val="fr-FR"/>
        </w:rPr>
        <w:t>% au revenu médian selon l’échelle d’équivalence de l’OCDE. Selon l’échelle d’équivalence de l’UE, 8,2</w:t>
      </w:r>
      <w:r>
        <w:rPr>
          <w:lang w:val="fr-FR"/>
        </w:rPr>
        <w:t> %</w:t>
      </w:r>
      <w:r w:rsidRPr="00976C24">
        <w:rPr>
          <w:lang w:val="fr-FR"/>
        </w:rPr>
        <w:t xml:space="preserve"> de la population (soit quelque 360</w:t>
      </w:r>
      <w:r>
        <w:rPr>
          <w:lang w:val="fr-FR"/>
        </w:rPr>
        <w:t> </w:t>
      </w:r>
      <w:r w:rsidRPr="00976C24">
        <w:rPr>
          <w:lang w:val="fr-FR"/>
        </w:rPr>
        <w:t>000 personnes) avait un revenu moyen inféri</w:t>
      </w:r>
      <w:r>
        <w:rPr>
          <w:lang w:val="fr-FR"/>
        </w:rPr>
        <w:t>eur d’au moins</w:t>
      </w:r>
      <w:r w:rsidRPr="00976C24">
        <w:rPr>
          <w:lang w:val="fr-FR"/>
        </w:rPr>
        <w:t xml:space="preserve"> 60</w:t>
      </w:r>
      <w:r>
        <w:rPr>
          <w:lang w:val="fr-FR"/>
        </w:rPr>
        <w:t> </w:t>
      </w:r>
      <w:r w:rsidRPr="00976C24">
        <w:rPr>
          <w:lang w:val="fr-FR"/>
        </w:rPr>
        <w:t xml:space="preserve">% au revenu médian sur la même période. Le pourcentage de la population </w:t>
      </w:r>
      <w:r>
        <w:rPr>
          <w:lang w:val="fr-FR"/>
        </w:rPr>
        <w:t xml:space="preserve">à faible </w:t>
      </w:r>
      <w:r w:rsidRPr="00976C24">
        <w:rPr>
          <w:lang w:val="fr-FR"/>
        </w:rPr>
        <w:t xml:space="preserve">revenu a </w:t>
      </w:r>
      <w:r>
        <w:rPr>
          <w:lang w:val="fr-FR"/>
        </w:rPr>
        <w:t xml:space="preserve">légèrement </w:t>
      </w:r>
      <w:r w:rsidRPr="00976C24">
        <w:rPr>
          <w:lang w:val="fr-FR"/>
        </w:rPr>
        <w:t>augmenté depuis la période 2004</w:t>
      </w:r>
      <w:r>
        <w:rPr>
          <w:lang w:val="fr-FR"/>
        </w:rPr>
        <w:t>-</w:t>
      </w:r>
      <w:r w:rsidRPr="00976C24">
        <w:rPr>
          <w:lang w:val="fr-FR"/>
        </w:rPr>
        <w:t xml:space="preserve">2008. </w:t>
      </w:r>
      <w:r>
        <w:rPr>
          <w:lang w:val="fr-FR"/>
        </w:rPr>
        <w:t>Cette situation s’est détériorée en ce qui concerne la population immigrée</w:t>
      </w:r>
      <w:r w:rsidRPr="00976C24">
        <w:rPr>
          <w:rStyle w:val="FootnoteReference"/>
          <w:lang w:val="fr-FR"/>
        </w:rPr>
        <w:footnoteReference w:id="12"/>
      </w:r>
      <w:r>
        <w:rPr>
          <w:lang w:val="fr-FR"/>
        </w:rPr>
        <w:t>,</w:t>
      </w:r>
      <w:r w:rsidRPr="00976C24">
        <w:rPr>
          <w:lang w:val="fr-FR"/>
        </w:rPr>
        <w:t xml:space="preserve"> les familles nombreuses et les parents isolés</w:t>
      </w:r>
      <w:r>
        <w:rPr>
          <w:lang w:val="fr-FR"/>
        </w:rPr>
        <w:t xml:space="preserve"> mais s’est améliorée pour</w:t>
      </w:r>
      <w:r w:rsidRPr="00976C24">
        <w:rPr>
          <w:lang w:val="fr-FR"/>
        </w:rPr>
        <w:t xml:space="preserve"> les retraités. </w:t>
      </w:r>
    </w:p>
    <w:p w:rsidR="00903547" w:rsidRPr="00976C24" w:rsidRDefault="00903547" w:rsidP="00B254D6">
      <w:pPr>
        <w:pStyle w:val="SingleTxtG"/>
        <w:rPr>
          <w:lang w:val="fr-FR"/>
        </w:rPr>
      </w:pPr>
      <w:r>
        <w:rPr>
          <w:lang w:val="fr-FR"/>
        </w:rPr>
        <w:t>294.</w:t>
      </w:r>
      <w:r>
        <w:rPr>
          <w:lang w:val="fr-FR"/>
        </w:rPr>
        <w:tab/>
      </w:r>
      <w:r w:rsidRPr="00976C24">
        <w:rPr>
          <w:lang w:val="fr-FR"/>
        </w:rPr>
        <w:t>En 2008, 2,3</w:t>
      </w:r>
      <w:r>
        <w:rPr>
          <w:lang w:val="fr-FR"/>
        </w:rPr>
        <w:t> </w:t>
      </w:r>
      <w:r w:rsidRPr="00976C24">
        <w:rPr>
          <w:lang w:val="fr-FR"/>
        </w:rPr>
        <w:t>% de la population (109</w:t>
      </w:r>
      <w:r>
        <w:rPr>
          <w:lang w:val="fr-FR"/>
        </w:rPr>
        <w:t> </w:t>
      </w:r>
      <w:r w:rsidRPr="00976C24">
        <w:rPr>
          <w:lang w:val="fr-FR"/>
        </w:rPr>
        <w:t xml:space="preserve">300 personnes) percevait des prestations </w:t>
      </w:r>
      <w:r>
        <w:rPr>
          <w:lang w:val="fr-FR"/>
        </w:rPr>
        <w:t>d’aide sociale</w:t>
      </w:r>
      <w:r w:rsidRPr="00976C24">
        <w:rPr>
          <w:lang w:val="fr-FR"/>
        </w:rPr>
        <w:t>. Le nombre de bénéficiaires a diminué de 10</w:t>
      </w:r>
      <w:r>
        <w:rPr>
          <w:lang w:val="fr-FR"/>
        </w:rPr>
        <w:t> </w:t>
      </w:r>
      <w:r w:rsidRPr="00976C24">
        <w:rPr>
          <w:lang w:val="fr-FR"/>
        </w:rPr>
        <w:t>% entre 2006 et 2007, mais était resté relativement stable dans les années antérieures. Environ 40</w:t>
      </w:r>
      <w:r>
        <w:rPr>
          <w:lang w:val="fr-FR"/>
        </w:rPr>
        <w:t> </w:t>
      </w:r>
      <w:r w:rsidRPr="00976C24">
        <w:rPr>
          <w:lang w:val="fr-FR"/>
        </w:rPr>
        <w:t>% d’entre eux perçoivent des prestations pendant six mois ou plus sur une année.</w:t>
      </w:r>
    </w:p>
    <w:p w:rsidR="00903547" w:rsidRPr="00976C24" w:rsidRDefault="00903547" w:rsidP="00B254D6">
      <w:pPr>
        <w:pStyle w:val="SingleTxtG"/>
        <w:rPr>
          <w:lang w:val="fr-FR"/>
        </w:rPr>
      </w:pPr>
      <w:r>
        <w:rPr>
          <w:lang w:val="fr-FR"/>
        </w:rPr>
        <w:t>295.</w:t>
      </w:r>
      <w:r>
        <w:rPr>
          <w:lang w:val="fr-FR"/>
        </w:rPr>
        <w:tab/>
      </w:r>
      <w:r w:rsidRPr="00976C24">
        <w:rPr>
          <w:lang w:val="fr-FR"/>
        </w:rPr>
        <w:t>Au cours de la période 2005</w:t>
      </w:r>
      <w:r>
        <w:rPr>
          <w:lang w:val="fr-FR"/>
        </w:rPr>
        <w:t>-</w:t>
      </w:r>
      <w:r w:rsidRPr="00976C24">
        <w:rPr>
          <w:lang w:val="fr-FR"/>
        </w:rPr>
        <w:t>2007, 4,7</w:t>
      </w:r>
      <w:r>
        <w:rPr>
          <w:lang w:val="fr-FR"/>
        </w:rPr>
        <w:t> </w:t>
      </w:r>
      <w:r w:rsidRPr="00976C24">
        <w:rPr>
          <w:lang w:val="fr-FR"/>
        </w:rPr>
        <w:t>% de tous les mineurs de moins de 18 ans, (environ 45</w:t>
      </w:r>
      <w:r>
        <w:rPr>
          <w:lang w:val="fr-FR"/>
        </w:rPr>
        <w:t> </w:t>
      </w:r>
      <w:r w:rsidRPr="00976C24">
        <w:rPr>
          <w:lang w:val="fr-FR"/>
        </w:rPr>
        <w:t xml:space="preserve">000 enfants), vivaient dans des foyers </w:t>
      </w:r>
      <w:r>
        <w:rPr>
          <w:lang w:val="fr-FR"/>
        </w:rPr>
        <w:t>à faible</w:t>
      </w:r>
      <w:r w:rsidRPr="00976C24">
        <w:rPr>
          <w:lang w:val="fr-FR"/>
        </w:rPr>
        <w:t xml:space="preserve"> revenu</w:t>
      </w:r>
      <w:r>
        <w:rPr>
          <w:lang w:val="fr-FR"/>
        </w:rPr>
        <w:t xml:space="preserve"> </w:t>
      </w:r>
      <w:r w:rsidRPr="00976C24">
        <w:rPr>
          <w:lang w:val="fr-FR"/>
        </w:rPr>
        <w:t>selon l’échelle d’équivalence de l’OCDE. Le pourcentage correspondant selon l’échelle d’équivalence de l’UE était de 7,</w:t>
      </w:r>
      <w:r>
        <w:rPr>
          <w:lang w:val="fr-FR"/>
        </w:rPr>
        <w:t>3</w:t>
      </w:r>
      <w:r w:rsidRPr="00976C24">
        <w:rPr>
          <w:lang w:val="fr-FR"/>
        </w:rPr>
        <w:t xml:space="preserve"> (quelque 70</w:t>
      </w:r>
      <w:r>
        <w:rPr>
          <w:lang w:val="fr-FR"/>
        </w:rPr>
        <w:t> </w:t>
      </w:r>
      <w:r w:rsidRPr="00976C24">
        <w:rPr>
          <w:lang w:val="fr-FR"/>
        </w:rPr>
        <w:t>000 enfants). Les en</w:t>
      </w:r>
      <w:r>
        <w:rPr>
          <w:lang w:val="fr-FR"/>
        </w:rPr>
        <w:t>fants dont les parents ont un f</w:t>
      </w:r>
      <w:r w:rsidRPr="00976C24">
        <w:rPr>
          <w:lang w:val="fr-FR"/>
        </w:rPr>
        <w:t>aible niveau d’instruction ou particip</w:t>
      </w:r>
      <w:r>
        <w:rPr>
          <w:lang w:val="fr-FR"/>
        </w:rPr>
        <w:t>ent peu</w:t>
      </w:r>
      <w:r w:rsidRPr="00976C24">
        <w:rPr>
          <w:lang w:val="fr-FR"/>
        </w:rPr>
        <w:t xml:space="preserve"> au marché du travail, les enfants issus de l’immigration, les enfants vivant avec un seul parent et ceux qui appartiennent à une famille nombreuse </w:t>
      </w:r>
      <w:r>
        <w:rPr>
          <w:lang w:val="fr-FR"/>
        </w:rPr>
        <w:t>risquent tout</w:t>
      </w:r>
      <w:r w:rsidRPr="00976C24">
        <w:rPr>
          <w:lang w:val="fr-FR"/>
        </w:rPr>
        <w:t xml:space="preserve"> particulièrement de connaître la pauvreté.</w:t>
      </w:r>
    </w:p>
    <w:p w:rsidR="00903547" w:rsidRPr="00976C24" w:rsidRDefault="00903547" w:rsidP="0071086E">
      <w:pPr>
        <w:pStyle w:val="H23G"/>
        <w:rPr>
          <w:lang w:val="fr-FR"/>
        </w:rPr>
      </w:pPr>
      <w:r w:rsidRPr="00976C24">
        <w:rPr>
          <w:lang w:val="fr-FR"/>
        </w:rPr>
        <w:tab/>
        <w:t>b)</w:t>
      </w:r>
      <w:r w:rsidRPr="00976C24">
        <w:rPr>
          <w:lang w:val="fr-FR"/>
        </w:rPr>
        <w:tab/>
      </w:r>
      <w:r>
        <w:rPr>
          <w:lang w:val="fr-FR"/>
        </w:rPr>
        <w:t xml:space="preserve">Indiquer si l’Etat partie a adopté </w:t>
      </w:r>
      <w:r w:rsidRPr="00976C24">
        <w:rPr>
          <w:lang w:val="fr-FR"/>
        </w:rPr>
        <w:t>un plan d’action national ou une stratégie de lut</w:t>
      </w:r>
      <w:r>
        <w:rPr>
          <w:lang w:val="fr-FR"/>
        </w:rPr>
        <w:t>t</w:t>
      </w:r>
      <w:r w:rsidRPr="00976C24">
        <w:rPr>
          <w:lang w:val="fr-FR"/>
        </w:rPr>
        <w:t>e contre la pauvreté qui tienne pleinement compte des droits économique</w:t>
      </w:r>
      <w:r>
        <w:rPr>
          <w:lang w:val="fr-FR"/>
        </w:rPr>
        <w:t>s</w:t>
      </w:r>
      <w:r w:rsidRPr="00976C24">
        <w:rPr>
          <w:lang w:val="fr-FR"/>
        </w:rPr>
        <w:t>, sociaux et culturels et</w:t>
      </w:r>
      <w:r>
        <w:rPr>
          <w:lang w:val="fr-FR"/>
        </w:rPr>
        <w:t xml:space="preserve"> si</w:t>
      </w:r>
      <w:r w:rsidRPr="00976C24">
        <w:rPr>
          <w:lang w:val="fr-FR"/>
        </w:rPr>
        <w:t xml:space="preserve"> de</w:t>
      </w:r>
      <w:r>
        <w:rPr>
          <w:lang w:val="fr-FR"/>
        </w:rPr>
        <w:t>s</w:t>
      </w:r>
      <w:r w:rsidRPr="00976C24">
        <w:rPr>
          <w:lang w:val="fr-FR"/>
        </w:rPr>
        <w:t xml:space="preserve"> mécanismes et procédures spécifiques </w:t>
      </w:r>
      <w:r>
        <w:rPr>
          <w:lang w:val="fr-FR"/>
        </w:rPr>
        <w:t xml:space="preserve">ont été mis en place </w:t>
      </w:r>
      <w:r w:rsidRPr="00976C24">
        <w:rPr>
          <w:lang w:val="fr-FR"/>
        </w:rPr>
        <w:t>pour suivre l’application du plan ou de la stratégie et évaluer les progrès réalisés dans le combat contre la pauvreté (E/2009/22-E/C.12/2008/3, annexe VIII, par.</w:t>
      </w:r>
      <w:r>
        <w:rPr>
          <w:lang w:val="fr-FR"/>
        </w:rPr>
        <w:t> </w:t>
      </w:r>
      <w:r w:rsidRPr="00976C24">
        <w:rPr>
          <w:lang w:val="fr-FR"/>
        </w:rPr>
        <w:t>43 a))</w:t>
      </w:r>
    </w:p>
    <w:p w:rsidR="00903547" w:rsidRPr="00976C24" w:rsidRDefault="00903547" w:rsidP="00B254D6">
      <w:pPr>
        <w:pStyle w:val="SingleTxtG"/>
        <w:rPr>
          <w:lang w:val="fr-FR"/>
        </w:rPr>
      </w:pPr>
      <w:r>
        <w:rPr>
          <w:lang w:val="fr-FR"/>
        </w:rPr>
        <w:t>296.</w:t>
      </w:r>
      <w:r>
        <w:rPr>
          <w:lang w:val="fr-FR"/>
        </w:rPr>
        <w:tab/>
      </w:r>
      <w:r w:rsidRPr="00976C24">
        <w:rPr>
          <w:lang w:val="fr-FR"/>
        </w:rPr>
        <w:t>Le</w:t>
      </w:r>
      <w:r>
        <w:rPr>
          <w:lang w:val="fr-FR"/>
        </w:rPr>
        <w:t>s autorités</w:t>
      </w:r>
      <w:r w:rsidRPr="00976C24">
        <w:rPr>
          <w:lang w:val="fr-FR"/>
        </w:rPr>
        <w:t xml:space="preserve"> met</w:t>
      </w:r>
      <w:r>
        <w:rPr>
          <w:lang w:val="fr-FR"/>
        </w:rPr>
        <w:t>tent</w:t>
      </w:r>
      <w:r w:rsidRPr="00976C24">
        <w:rPr>
          <w:lang w:val="fr-FR"/>
        </w:rPr>
        <w:t xml:space="preserve"> actuellement en place une approche préventive </w:t>
      </w:r>
      <w:r>
        <w:rPr>
          <w:lang w:val="fr-FR"/>
        </w:rPr>
        <w:t xml:space="preserve">globale associant des mesures visant à réduire </w:t>
      </w:r>
      <w:r w:rsidRPr="00976C24">
        <w:rPr>
          <w:lang w:val="fr-FR"/>
        </w:rPr>
        <w:t xml:space="preserve">la pauvreté et </w:t>
      </w:r>
      <w:r>
        <w:rPr>
          <w:lang w:val="fr-FR"/>
        </w:rPr>
        <w:t xml:space="preserve">à </w:t>
      </w:r>
      <w:r w:rsidRPr="00976C24">
        <w:rPr>
          <w:lang w:val="fr-FR"/>
        </w:rPr>
        <w:t xml:space="preserve">améliorer la vie des personnes qui </w:t>
      </w:r>
      <w:r>
        <w:rPr>
          <w:lang w:val="fr-FR"/>
        </w:rPr>
        <w:t>en sont victimes</w:t>
      </w:r>
      <w:r w:rsidRPr="00976C24">
        <w:rPr>
          <w:lang w:val="fr-FR"/>
        </w:rPr>
        <w:t xml:space="preserve">. Les principales stratégies </w:t>
      </w:r>
      <w:r>
        <w:rPr>
          <w:lang w:val="fr-FR"/>
        </w:rPr>
        <w:t>de prévention et de lutte contre</w:t>
      </w:r>
      <w:r w:rsidRPr="00976C24">
        <w:rPr>
          <w:lang w:val="fr-FR"/>
        </w:rPr>
        <w:t xml:space="preserve"> la pauvreté passent par des politiques d</w:t>
      </w:r>
      <w:r>
        <w:rPr>
          <w:lang w:val="fr-FR"/>
        </w:rPr>
        <w:t>e l’emploi</w:t>
      </w:r>
      <w:r w:rsidRPr="00976C24">
        <w:rPr>
          <w:lang w:val="fr-FR"/>
        </w:rPr>
        <w:t xml:space="preserve"> pour tous, des politiques de la famille, de l’éducation, de la protection et de l’assurance sociales et des politiques de la santé et des services sociaux. Le Gouvernement a présenté un plan d’action contre la pauvreté </w:t>
      </w:r>
      <w:r>
        <w:rPr>
          <w:lang w:val="fr-FR"/>
        </w:rPr>
        <w:t>avec le</w:t>
      </w:r>
      <w:r w:rsidRPr="00976C24">
        <w:rPr>
          <w:lang w:val="fr-FR"/>
        </w:rPr>
        <w:t xml:space="preserve"> budget </w:t>
      </w:r>
      <w:r>
        <w:rPr>
          <w:lang w:val="fr-FR"/>
        </w:rPr>
        <w:t xml:space="preserve">de l’État </w:t>
      </w:r>
      <w:r w:rsidRPr="00976C24">
        <w:rPr>
          <w:lang w:val="fr-FR"/>
        </w:rPr>
        <w:t>pour 2007. Ce plan d’action a été prolongé dans le</w:t>
      </w:r>
      <w:r>
        <w:rPr>
          <w:lang w:val="fr-FR"/>
        </w:rPr>
        <w:t>s</w:t>
      </w:r>
      <w:r w:rsidRPr="00976C24">
        <w:rPr>
          <w:lang w:val="fr-FR"/>
        </w:rPr>
        <w:t xml:space="preserve"> budget</w:t>
      </w:r>
      <w:r>
        <w:rPr>
          <w:lang w:val="fr-FR"/>
        </w:rPr>
        <w:t>s</w:t>
      </w:r>
      <w:r w:rsidRPr="00976C24">
        <w:rPr>
          <w:lang w:val="fr-FR"/>
        </w:rPr>
        <w:t xml:space="preserve"> </w:t>
      </w:r>
      <w:r>
        <w:rPr>
          <w:lang w:val="fr-FR"/>
        </w:rPr>
        <w:t>de</w:t>
      </w:r>
      <w:r w:rsidRPr="00976C24">
        <w:rPr>
          <w:lang w:val="fr-FR"/>
        </w:rPr>
        <w:t xml:space="preserve"> 2008, 2009 et 2010 avec une hausse des crédits alloués aux mesures de lutte contre la pauvreté.</w:t>
      </w:r>
    </w:p>
    <w:p w:rsidR="00903547" w:rsidRPr="00976C24" w:rsidRDefault="00903547" w:rsidP="00B254D6">
      <w:pPr>
        <w:pStyle w:val="SingleTxtG"/>
        <w:rPr>
          <w:lang w:val="fr-FR"/>
        </w:rPr>
      </w:pPr>
      <w:r>
        <w:rPr>
          <w:lang w:val="fr-FR"/>
        </w:rPr>
        <w:t>297.</w:t>
      </w:r>
      <w:r>
        <w:rPr>
          <w:lang w:val="fr-FR"/>
        </w:rPr>
        <w:tab/>
      </w:r>
      <w:r w:rsidRPr="00976C24">
        <w:rPr>
          <w:lang w:val="fr-FR"/>
        </w:rPr>
        <w:t xml:space="preserve">La </w:t>
      </w:r>
      <w:r>
        <w:rPr>
          <w:lang w:val="fr-FR"/>
        </w:rPr>
        <w:t>publication «</w:t>
      </w:r>
      <w:r w:rsidRPr="00976C24">
        <w:rPr>
          <w:lang w:val="fr-FR"/>
        </w:rPr>
        <w:t>Plan</w:t>
      </w:r>
      <w:r>
        <w:rPr>
          <w:lang w:val="fr-FR"/>
        </w:rPr>
        <w:t xml:space="preserve"> d’action</w:t>
      </w:r>
      <w:r w:rsidRPr="00976C24">
        <w:rPr>
          <w:lang w:val="fr-FR"/>
        </w:rPr>
        <w:t xml:space="preserve"> contre la pauvreté – </w:t>
      </w:r>
      <w:r>
        <w:rPr>
          <w:lang w:val="fr-FR"/>
        </w:rPr>
        <w:t>situation en</w:t>
      </w:r>
      <w:r w:rsidRPr="00976C24">
        <w:rPr>
          <w:lang w:val="fr-FR"/>
        </w:rPr>
        <w:t xml:space="preserve"> 2008 </w:t>
      </w:r>
      <w:r>
        <w:rPr>
          <w:lang w:val="fr-FR"/>
        </w:rPr>
        <w:t>et renforcement des mesures pour 2009» (Annexe au rapport n</w:t>
      </w:r>
      <w:r w:rsidRPr="00B378D7">
        <w:rPr>
          <w:vertAlign w:val="superscript"/>
          <w:lang w:val="fr-FR"/>
        </w:rPr>
        <w:t>o</w:t>
      </w:r>
      <w:r w:rsidRPr="00B378D7">
        <w:rPr>
          <w:lang w:val="fr-FR"/>
        </w:rPr>
        <w:t> </w:t>
      </w:r>
      <w:r w:rsidRPr="00976C24">
        <w:rPr>
          <w:lang w:val="fr-FR"/>
        </w:rPr>
        <w:t>1 (2008</w:t>
      </w:r>
      <w:r>
        <w:rPr>
          <w:lang w:val="fr-FR"/>
        </w:rPr>
        <w:t>-</w:t>
      </w:r>
      <w:r w:rsidRPr="00976C24">
        <w:rPr>
          <w:lang w:val="fr-FR"/>
        </w:rPr>
        <w:t xml:space="preserve">2009) au </w:t>
      </w:r>
      <w:r w:rsidRPr="00B52B8E">
        <w:rPr>
          <w:i/>
          <w:lang w:val="fr-FR"/>
        </w:rPr>
        <w:t>Storting</w:t>
      </w:r>
      <w:r w:rsidRPr="00976C24">
        <w:rPr>
          <w:lang w:val="fr-FR"/>
        </w:rPr>
        <w:t xml:space="preserve"> sur le budget de l’</w:t>
      </w:r>
      <w:r>
        <w:rPr>
          <w:lang w:val="fr-FR"/>
        </w:rPr>
        <w:t>État</w:t>
      </w:r>
      <w:r w:rsidRPr="00976C24">
        <w:rPr>
          <w:lang w:val="fr-FR"/>
        </w:rPr>
        <w:t xml:space="preserve">) donne un aperçu des mesures ciblées </w:t>
      </w:r>
      <w:r>
        <w:rPr>
          <w:lang w:val="fr-FR"/>
        </w:rPr>
        <w:t xml:space="preserve">prises </w:t>
      </w:r>
      <w:r w:rsidRPr="00976C24">
        <w:rPr>
          <w:lang w:val="fr-FR"/>
        </w:rPr>
        <w:t>contre la pauvreté. La public</w:t>
      </w:r>
      <w:r>
        <w:rPr>
          <w:lang w:val="fr-FR"/>
        </w:rPr>
        <w:t>ation a été traduite en anglais</w:t>
      </w:r>
      <w:r w:rsidRPr="00976C24">
        <w:rPr>
          <w:rStyle w:val="FootnoteReference"/>
          <w:lang w:val="fr-FR"/>
        </w:rPr>
        <w:footnoteReference w:id="13"/>
      </w:r>
      <w:r>
        <w:rPr>
          <w:lang w:val="fr-FR"/>
        </w:rPr>
        <w:t>.</w:t>
      </w:r>
    </w:p>
    <w:p w:rsidR="00903547" w:rsidRPr="00976C24" w:rsidRDefault="00903547" w:rsidP="00B254D6">
      <w:pPr>
        <w:pStyle w:val="SingleTxtG"/>
        <w:rPr>
          <w:lang w:val="fr-FR"/>
        </w:rPr>
      </w:pPr>
      <w:r>
        <w:rPr>
          <w:lang w:val="fr-FR"/>
        </w:rPr>
        <w:t>298.</w:t>
      </w:r>
      <w:r>
        <w:rPr>
          <w:lang w:val="fr-FR"/>
        </w:rPr>
        <w:tab/>
      </w:r>
      <w:r w:rsidRPr="00976C24">
        <w:rPr>
          <w:lang w:val="fr-FR"/>
        </w:rPr>
        <w:t>Le plan d’action contre la pauvreté fait partie d’une politique globale de promotion de la cohésion et de l’inclusion sociale</w:t>
      </w:r>
      <w:r>
        <w:rPr>
          <w:lang w:val="fr-FR"/>
        </w:rPr>
        <w:t>s</w:t>
      </w:r>
      <w:r w:rsidRPr="00976C24">
        <w:rPr>
          <w:lang w:val="fr-FR"/>
        </w:rPr>
        <w:t xml:space="preserve"> et de réduction des disparités sociales et de la pauvreté. Il comporte </w:t>
      </w:r>
      <w:r>
        <w:rPr>
          <w:lang w:val="fr-FR"/>
        </w:rPr>
        <w:t>notamment</w:t>
      </w:r>
      <w:r w:rsidRPr="00976C24">
        <w:rPr>
          <w:lang w:val="fr-FR"/>
        </w:rPr>
        <w:t xml:space="preserve"> des mesures spéciales en faveur des jeunes, des immigrés, des détenus et d’autres groupes vulnérables. Le plan d’action contre la pauvreté doit être considéré </w:t>
      </w:r>
      <w:r>
        <w:rPr>
          <w:lang w:val="fr-FR"/>
        </w:rPr>
        <w:t>en parallèle à</w:t>
      </w:r>
      <w:r w:rsidRPr="00976C24">
        <w:rPr>
          <w:lang w:val="fr-FR"/>
        </w:rPr>
        <w:t xml:space="preserve"> d’autres documents tels que les livres blancs </w:t>
      </w:r>
      <w:r w:rsidRPr="00976C24">
        <w:rPr>
          <w:i/>
          <w:lang w:val="fr-FR"/>
        </w:rPr>
        <w:t>Travail, protection et inclusion sociales</w:t>
      </w:r>
      <w:r w:rsidRPr="00976C24">
        <w:rPr>
          <w:lang w:val="fr-FR"/>
        </w:rPr>
        <w:t xml:space="preserve"> (Rapport</w:t>
      </w:r>
      <w:r>
        <w:rPr>
          <w:lang w:val="fr-FR"/>
        </w:rPr>
        <w:t xml:space="preserve"> n</w:t>
      </w:r>
      <w:r w:rsidRPr="000A7EEA">
        <w:rPr>
          <w:vertAlign w:val="superscript"/>
          <w:lang w:val="fr-FR"/>
        </w:rPr>
        <w:t>o</w:t>
      </w:r>
      <w:r>
        <w:rPr>
          <w:lang w:val="fr-FR"/>
        </w:rPr>
        <w:t> </w:t>
      </w:r>
      <w:r w:rsidRPr="00976C24">
        <w:rPr>
          <w:lang w:val="fr-FR"/>
        </w:rPr>
        <w:t>9 (2006</w:t>
      </w:r>
      <w:r>
        <w:rPr>
          <w:lang w:val="fr-FR"/>
        </w:rPr>
        <w:t>-</w:t>
      </w:r>
      <w:r w:rsidRPr="00976C24">
        <w:rPr>
          <w:lang w:val="fr-FR"/>
        </w:rPr>
        <w:t xml:space="preserve">2007) au </w:t>
      </w:r>
      <w:r w:rsidRPr="00B52B8E">
        <w:rPr>
          <w:i/>
          <w:lang w:val="fr-FR"/>
        </w:rPr>
        <w:t>Storting</w:t>
      </w:r>
      <w:r w:rsidRPr="00976C24">
        <w:rPr>
          <w:lang w:val="fr-FR"/>
        </w:rPr>
        <w:t xml:space="preserve">) et </w:t>
      </w:r>
      <w:r w:rsidRPr="00976C24">
        <w:rPr>
          <w:i/>
          <w:lang w:val="fr-FR"/>
        </w:rPr>
        <w:t xml:space="preserve">Stratégie nationale </w:t>
      </w:r>
      <w:r>
        <w:rPr>
          <w:i/>
          <w:lang w:val="fr-FR"/>
        </w:rPr>
        <w:t>de réduction d</w:t>
      </w:r>
      <w:r w:rsidRPr="00976C24">
        <w:rPr>
          <w:i/>
          <w:lang w:val="fr-FR"/>
        </w:rPr>
        <w:t>es disparités sociales en matière de santé</w:t>
      </w:r>
      <w:r>
        <w:rPr>
          <w:lang w:val="fr-FR"/>
        </w:rPr>
        <w:t xml:space="preserve"> (Rapport n</w:t>
      </w:r>
      <w:r w:rsidRPr="000A7EEA">
        <w:rPr>
          <w:vertAlign w:val="superscript"/>
          <w:lang w:val="fr-FR"/>
        </w:rPr>
        <w:t>o</w:t>
      </w:r>
      <w:r>
        <w:rPr>
          <w:lang w:val="fr-FR"/>
        </w:rPr>
        <w:t> </w:t>
      </w:r>
      <w:r w:rsidRPr="00976C24">
        <w:rPr>
          <w:lang w:val="fr-FR"/>
        </w:rPr>
        <w:t>20 (2006</w:t>
      </w:r>
      <w:r>
        <w:rPr>
          <w:lang w:val="fr-FR"/>
        </w:rPr>
        <w:t>-</w:t>
      </w:r>
      <w:r w:rsidRPr="00976C24">
        <w:rPr>
          <w:lang w:val="fr-FR"/>
        </w:rPr>
        <w:t xml:space="preserve">2007) au </w:t>
      </w:r>
      <w:r w:rsidRPr="00B52B8E">
        <w:rPr>
          <w:i/>
          <w:lang w:val="fr-FR"/>
        </w:rPr>
        <w:t>Storting</w:t>
      </w:r>
      <w:r w:rsidRPr="00976C24">
        <w:rPr>
          <w:lang w:val="fr-FR"/>
        </w:rPr>
        <w:t xml:space="preserve">), le plan d’action pour l’intégration et l’inclusion sociale de </w:t>
      </w:r>
      <w:r>
        <w:rPr>
          <w:lang w:val="fr-FR"/>
        </w:rPr>
        <w:t>la population immigrée, les o</w:t>
      </w:r>
      <w:r w:rsidRPr="00976C24">
        <w:rPr>
          <w:lang w:val="fr-FR"/>
        </w:rPr>
        <w:t>bjectifs relatifs à l’inclusion sociale et le p</w:t>
      </w:r>
      <w:r>
        <w:rPr>
          <w:lang w:val="fr-FR"/>
        </w:rPr>
        <w:t>l</w:t>
      </w:r>
      <w:r w:rsidRPr="00976C24">
        <w:rPr>
          <w:lang w:val="fr-FR"/>
        </w:rPr>
        <w:t>an d’action national sur l’alcool et les drogues</w:t>
      </w:r>
      <w:r w:rsidRPr="00976C24">
        <w:rPr>
          <w:i/>
          <w:lang w:val="fr-FR"/>
        </w:rPr>
        <w:t xml:space="preserve">. </w:t>
      </w:r>
      <w:r w:rsidRPr="00976C24">
        <w:rPr>
          <w:lang w:val="fr-FR"/>
        </w:rPr>
        <w:t xml:space="preserve">Les crédits alloués au plan d’action national sur l’alcool et les drogues ont été augmentés pour améliorer l’accès </w:t>
      </w:r>
      <w:r>
        <w:rPr>
          <w:lang w:val="fr-FR"/>
        </w:rPr>
        <w:t xml:space="preserve">des toxicomanes </w:t>
      </w:r>
      <w:r w:rsidRPr="00976C24">
        <w:rPr>
          <w:lang w:val="fr-FR"/>
        </w:rPr>
        <w:t xml:space="preserve">aux services de santé </w:t>
      </w:r>
      <w:r>
        <w:rPr>
          <w:lang w:val="fr-FR"/>
        </w:rPr>
        <w:t xml:space="preserve">et favoriser leur </w:t>
      </w:r>
      <w:r w:rsidRPr="00976C24">
        <w:rPr>
          <w:lang w:val="fr-FR"/>
        </w:rPr>
        <w:t>in</w:t>
      </w:r>
      <w:r>
        <w:rPr>
          <w:lang w:val="fr-FR"/>
        </w:rPr>
        <w:t>sertion</w:t>
      </w:r>
      <w:r w:rsidRPr="00976C24">
        <w:rPr>
          <w:lang w:val="fr-FR"/>
        </w:rPr>
        <w:t xml:space="preserve"> sociale. </w:t>
      </w:r>
    </w:p>
    <w:p w:rsidR="00903547" w:rsidRPr="00976C24" w:rsidRDefault="00903547" w:rsidP="00B254D6">
      <w:pPr>
        <w:pStyle w:val="SingleTxtG"/>
        <w:rPr>
          <w:lang w:val="fr-FR"/>
        </w:rPr>
      </w:pPr>
      <w:r>
        <w:rPr>
          <w:lang w:val="fr-FR"/>
        </w:rPr>
        <w:t>299.</w:t>
      </w:r>
      <w:r>
        <w:rPr>
          <w:lang w:val="fr-FR"/>
        </w:rPr>
        <w:tab/>
      </w:r>
      <w:r w:rsidRPr="00976C24">
        <w:rPr>
          <w:lang w:val="fr-FR"/>
        </w:rPr>
        <w:t xml:space="preserve">Différents moyens sont mis en œuvre pour suivre l’application du plan d’action contre la pauvreté et évaluer les progrès accomplis. Ainsi, les indicateurs sociaux </w:t>
      </w:r>
      <w:r>
        <w:rPr>
          <w:lang w:val="fr-FR"/>
        </w:rPr>
        <w:t xml:space="preserve">permettent de suivre les tendances </w:t>
      </w:r>
      <w:r w:rsidRPr="00976C24">
        <w:rPr>
          <w:lang w:val="fr-FR"/>
        </w:rPr>
        <w:t xml:space="preserve">des différents </w:t>
      </w:r>
      <w:r>
        <w:rPr>
          <w:lang w:val="fr-FR"/>
        </w:rPr>
        <w:t xml:space="preserve">aspects </w:t>
      </w:r>
      <w:r w:rsidRPr="00976C24">
        <w:rPr>
          <w:lang w:val="fr-FR"/>
        </w:rPr>
        <w:t>de la pauvret</w:t>
      </w:r>
      <w:r>
        <w:rPr>
          <w:lang w:val="fr-FR"/>
        </w:rPr>
        <w:t>é et de l’exclusion sociale et de</w:t>
      </w:r>
      <w:r w:rsidRPr="00976C24">
        <w:rPr>
          <w:lang w:val="fr-FR"/>
        </w:rPr>
        <w:t xml:space="preserve"> </w:t>
      </w:r>
      <w:r>
        <w:rPr>
          <w:lang w:val="fr-FR"/>
        </w:rPr>
        <w:t>vérifier</w:t>
      </w:r>
      <w:r w:rsidRPr="00976C24">
        <w:rPr>
          <w:lang w:val="fr-FR"/>
        </w:rPr>
        <w:t xml:space="preserve"> </w:t>
      </w:r>
      <w:r>
        <w:rPr>
          <w:lang w:val="fr-FR"/>
        </w:rPr>
        <w:t>la réalisation de progrès au regard des</w:t>
      </w:r>
      <w:r w:rsidRPr="00976C24">
        <w:rPr>
          <w:lang w:val="fr-FR"/>
        </w:rPr>
        <w:t xml:space="preserve"> objectifs poursuivis. Les ministères compétents rendent compte au Ministère du travail, chargé de coordonner la mise en œuvre du plan d’action contre la pauvreté</w:t>
      </w:r>
      <w:r>
        <w:rPr>
          <w:lang w:val="fr-FR"/>
        </w:rPr>
        <w:t xml:space="preserve"> et d</w:t>
      </w:r>
      <w:r w:rsidRPr="00976C24">
        <w:rPr>
          <w:lang w:val="fr-FR"/>
        </w:rPr>
        <w:t xml:space="preserve">es mesures ciblées, y compris le nombre de participants/bénéficiaires, etc. Des </w:t>
      </w:r>
      <w:r>
        <w:rPr>
          <w:lang w:val="fr-FR"/>
        </w:rPr>
        <w:t>instituts de recherche procèdent également à des évaluations</w:t>
      </w:r>
      <w:r w:rsidRPr="00976C24">
        <w:rPr>
          <w:lang w:val="fr-FR"/>
        </w:rPr>
        <w:t xml:space="preserve">. Les </w:t>
      </w:r>
      <w:r>
        <w:rPr>
          <w:lang w:val="fr-FR"/>
        </w:rPr>
        <w:t xml:space="preserve">évaluations des résultats et de la recherche </w:t>
      </w:r>
      <w:r w:rsidRPr="00976C24">
        <w:rPr>
          <w:lang w:val="fr-FR"/>
        </w:rPr>
        <w:t xml:space="preserve">sont des </w:t>
      </w:r>
      <w:r>
        <w:rPr>
          <w:lang w:val="fr-FR"/>
        </w:rPr>
        <w:t>outils</w:t>
      </w:r>
      <w:r w:rsidRPr="00976C24">
        <w:rPr>
          <w:lang w:val="fr-FR"/>
        </w:rPr>
        <w:t xml:space="preserve"> importants </w:t>
      </w:r>
      <w:r>
        <w:rPr>
          <w:lang w:val="fr-FR"/>
        </w:rPr>
        <w:t xml:space="preserve">pour </w:t>
      </w:r>
      <w:r w:rsidRPr="00976C24">
        <w:rPr>
          <w:lang w:val="fr-FR"/>
        </w:rPr>
        <w:t>amélior</w:t>
      </w:r>
      <w:r>
        <w:rPr>
          <w:lang w:val="fr-FR"/>
        </w:rPr>
        <w:t>er</w:t>
      </w:r>
      <w:r w:rsidRPr="00976C24">
        <w:rPr>
          <w:lang w:val="fr-FR"/>
        </w:rPr>
        <w:t xml:space="preserve"> et élabor</w:t>
      </w:r>
      <w:r>
        <w:rPr>
          <w:lang w:val="fr-FR"/>
        </w:rPr>
        <w:t>er</w:t>
      </w:r>
      <w:r w:rsidRPr="00976C24">
        <w:rPr>
          <w:lang w:val="fr-FR"/>
        </w:rPr>
        <w:t xml:space="preserve"> de nouveaux instruments politiques.</w:t>
      </w:r>
    </w:p>
    <w:p w:rsidR="00903547" w:rsidRPr="00976C24" w:rsidRDefault="00903547" w:rsidP="0071086E">
      <w:pPr>
        <w:pStyle w:val="H23G"/>
        <w:rPr>
          <w:lang w:val="fr-FR"/>
        </w:rPr>
      </w:pPr>
      <w:r w:rsidRPr="00976C24">
        <w:rPr>
          <w:lang w:val="fr-FR"/>
        </w:rPr>
        <w:tab/>
        <w:t>c)</w:t>
      </w:r>
      <w:r w:rsidRPr="00976C24">
        <w:rPr>
          <w:lang w:val="fr-FR"/>
        </w:rPr>
        <w:tab/>
      </w:r>
      <w:r>
        <w:rPr>
          <w:lang w:val="fr-FR"/>
        </w:rPr>
        <w:t>Indiquer quels sont les p</w:t>
      </w:r>
      <w:r w:rsidRPr="00976C24">
        <w:rPr>
          <w:lang w:val="fr-FR"/>
        </w:rPr>
        <w:t>olitiques et programmes ciblés visant à lutter co</w:t>
      </w:r>
      <w:r>
        <w:rPr>
          <w:lang w:val="fr-FR"/>
        </w:rPr>
        <w:t>ntre la pauvreté, notamment chez</w:t>
      </w:r>
      <w:r w:rsidRPr="00976C24">
        <w:rPr>
          <w:lang w:val="fr-FR"/>
        </w:rPr>
        <w:t xml:space="preserve"> les femmes et les enfants, et contre l’exclusion économique et sociale des personnes et des familles appartenant à des groupes défavorisés et marginalisés, en particulier les minorités ethniques, les peuples autochtones et les habitants des zones rurales et des zones urbaines déshéritées (E/2009/22-E/C.12/2008/3, annexe VIII, par.</w:t>
      </w:r>
      <w:r>
        <w:rPr>
          <w:lang w:val="fr-FR"/>
        </w:rPr>
        <w:t> </w:t>
      </w:r>
      <w:r w:rsidRPr="00976C24">
        <w:rPr>
          <w:lang w:val="fr-FR"/>
        </w:rPr>
        <w:t>43 b))</w:t>
      </w:r>
    </w:p>
    <w:p w:rsidR="00903547" w:rsidRPr="00976C24" w:rsidRDefault="00903547" w:rsidP="0071086E">
      <w:pPr>
        <w:pStyle w:val="H4G"/>
        <w:rPr>
          <w:lang w:val="fr-FR"/>
        </w:rPr>
      </w:pPr>
      <w:r w:rsidRPr="00976C24">
        <w:rPr>
          <w:lang w:val="fr-FR"/>
        </w:rPr>
        <w:tab/>
        <w:t>i)</w:t>
      </w:r>
      <w:r w:rsidRPr="00976C24">
        <w:rPr>
          <w:lang w:val="fr-FR"/>
        </w:rPr>
        <w:tab/>
      </w:r>
      <w:r>
        <w:rPr>
          <w:lang w:val="fr-FR"/>
        </w:rPr>
        <w:t>P</w:t>
      </w:r>
      <w:r w:rsidRPr="00976C24">
        <w:rPr>
          <w:lang w:val="fr-FR"/>
        </w:rPr>
        <w:t>lan d’action contre la pauvreté</w:t>
      </w:r>
    </w:p>
    <w:p w:rsidR="00903547" w:rsidRPr="00976C24" w:rsidRDefault="00903547" w:rsidP="00B254D6">
      <w:pPr>
        <w:pStyle w:val="SingleTxtG"/>
        <w:rPr>
          <w:lang w:val="fr-FR"/>
        </w:rPr>
      </w:pPr>
      <w:r>
        <w:rPr>
          <w:lang w:val="fr-FR"/>
        </w:rPr>
        <w:t>300.</w:t>
      </w:r>
      <w:r>
        <w:rPr>
          <w:lang w:val="fr-FR"/>
        </w:rPr>
        <w:tab/>
      </w:r>
      <w:r w:rsidRPr="00976C24">
        <w:rPr>
          <w:lang w:val="fr-FR"/>
        </w:rPr>
        <w:t xml:space="preserve">Dans </w:t>
      </w:r>
      <w:r>
        <w:rPr>
          <w:lang w:val="fr-FR"/>
        </w:rPr>
        <w:t>ses grandes orientations politiques</w:t>
      </w:r>
      <w:r w:rsidRPr="00976C24">
        <w:rPr>
          <w:lang w:val="fr-FR"/>
        </w:rPr>
        <w:t xml:space="preserve"> adopté</w:t>
      </w:r>
      <w:r>
        <w:rPr>
          <w:lang w:val="fr-FR"/>
        </w:rPr>
        <w:t>es</w:t>
      </w:r>
      <w:r w:rsidRPr="00976C24">
        <w:rPr>
          <w:lang w:val="fr-FR"/>
        </w:rPr>
        <w:t xml:space="preserve"> en 2005 et re</w:t>
      </w:r>
      <w:r>
        <w:rPr>
          <w:lang w:val="fr-FR"/>
        </w:rPr>
        <w:t>conduites</w:t>
      </w:r>
      <w:r w:rsidRPr="00976C24">
        <w:rPr>
          <w:lang w:val="fr-FR"/>
        </w:rPr>
        <w:t xml:space="preserve"> en 2009, le Gouvernement a exprimé s</w:t>
      </w:r>
      <w:r>
        <w:rPr>
          <w:lang w:val="fr-FR"/>
        </w:rPr>
        <w:t>a ferme</w:t>
      </w:r>
      <w:r w:rsidRPr="00976C24">
        <w:rPr>
          <w:lang w:val="fr-FR"/>
        </w:rPr>
        <w:t xml:space="preserve"> intention de combattre et de réduire la pauvreté </w:t>
      </w:r>
      <w:r>
        <w:rPr>
          <w:lang w:val="fr-FR"/>
        </w:rPr>
        <w:t>au sein de</w:t>
      </w:r>
      <w:r w:rsidRPr="00976C24">
        <w:rPr>
          <w:lang w:val="fr-FR"/>
        </w:rPr>
        <w:t xml:space="preserve"> la population. Le plan d’action contre la pauvreté énonce trois objectifs </w:t>
      </w:r>
      <w:r>
        <w:rPr>
          <w:lang w:val="fr-FR"/>
        </w:rPr>
        <w:t>autour desquels s’articulent</w:t>
      </w:r>
      <w:r w:rsidRPr="00976C24">
        <w:rPr>
          <w:lang w:val="fr-FR"/>
        </w:rPr>
        <w:t xml:space="preserve"> les </w:t>
      </w:r>
      <w:r>
        <w:rPr>
          <w:lang w:val="fr-FR"/>
        </w:rPr>
        <w:t>domaines</w:t>
      </w:r>
      <w:r w:rsidRPr="00976C24">
        <w:rPr>
          <w:lang w:val="fr-FR"/>
        </w:rPr>
        <w:t xml:space="preserve"> </w:t>
      </w:r>
      <w:r>
        <w:rPr>
          <w:lang w:val="fr-FR"/>
        </w:rPr>
        <w:t xml:space="preserve">et mesures </w:t>
      </w:r>
      <w:r w:rsidRPr="00976C24">
        <w:rPr>
          <w:lang w:val="fr-FR"/>
        </w:rPr>
        <w:t>prioritaires pour 2009</w:t>
      </w:r>
      <w:r>
        <w:rPr>
          <w:lang w:val="fr-FR"/>
        </w:rPr>
        <w:t>:</w:t>
      </w:r>
      <w:r w:rsidRPr="00976C24">
        <w:rPr>
          <w:lang w:val="fr-FR"/>
        </w:rPr>
        <w:t xml:space="preserve"> </w:t>
      </w:r>
      <w:r>
        <w:rPr>
          <w:lang w:val="fr-FR"/>
        </w:rPr>
        <w:t>permettre</w:t>
      </w:r>
      <w:r w:rsidRPr="00976C24">
        <w:rPr>
          <w:lang w:val="fr-FR"/>
        </w:rPr>
        <w:t xml:space="preserve"> à chacun de participer au marché du travail, offrir à tous les enfants et les jeunes la possibilité de participer et de s’épanouir et améliorer les conditions d’existence des groupes les plus défavorisés.</w:t>
      </w:r>
    </w:p>
    <w:p w:rsidR="00903547" w:rsidRPr="00976C24" w:rsidRDefault="00903547" w:rsidP="00B254D6">
      <w:pPr>
        <w:pStyle w:val="SingleTxtG"/>
        <w:rPr>
          <w:lang w:val="fr-FR"/>
        </w:rPr>
      </w:pPr>
      <w:r>
        <w:rPr>
          <w:lang w:val="fr-FR"/>
        </w:rPr>
        <w:t>301.</w:t>
      </w:r>
      <w:r>
        <w:rPr>
          <w:lang w:val="fr-FR"/>
        </w:rPr>
        <w:tab/>
      </w:r>
      <w:r w:rsidRPr="00976C24">
        <w:rPr>
          <w:lang w:val="fr-FR"/>
        </w:rPr>
        <w:t xml:space="preserve">Des mesures spéciales sont </w:t>
      </w:r>
      <w:r>
        <w:rPr>
          <w:lang w:val="fr-FR"/>
        </w:rPr>
        <w:t xml:space="preserve">actuellement </w:t>
      </w:r>
      <w:r w:rsidRPr="00976C24">
        <w:rPr>
          <w:lang w:val="fr-FR"/>
        </w:rPr>
        <w:t xml:space="preserve">mises en </w:t>
      </w:r>
      <w:r>
        <w:rPr>
          <w:lang w:val="fr-FR"/>
        </w:rPr>
        <w:t>œuvr</w:t>
      </w:r>
      <w:r w:rsidRPr="00976C24">
        <w:rPr>
          <w:lang w:val="fr-FR"/>
        </w:rPr>
        <w:t xml:space="preserve">e pour prévenir et réduire la pauvreté des enfants. L’Administration du travail et de la protection sociale et la direction chargée des questions relatives à l’enfance, à la jeunesse et à la famille ont élaboré </w:t>
      </w:r>
      <w:r>
        <w:rPr>
          <w:lang w:val="fr-FR"/>
        </w:rPr>
        <w:t>conjointement</w:t>
      </w:r>
      <w:r w:rsidRPr="00976C24">
        <w:rPr>
          <w:lang w:val="fr-FR"/>
        </w:rPr>
        <w:t xml:space="preserve"> un plan</w:t>
      </w:r>
      <w:r>
        <w:rPr>
          <w:lang w:val="fr-FR"/>
        </w:rPr>
        <w:t xml:space="preserve"> destiné</w:t>
      </w:r>
      <w:r w:rsidRPr="00976C24">
        <w:rPr>
          <w:lang w:val="fr-FR"/>
        </w:rPr>
        <w:t xml:space="preserve"> à améliorer les compétences des services de protection sociale et de protection de l’enfance. Il s’agit de permettre aux enfants et aux jeunes des familles défavorisées et d</w:t>
      </w:r>
      <w:r>
        <w:rPr>
          <w:lang w:val="fr-FR"/>
        </w:rPr>
        <w:t>es</w:t>
      </w:r>
      <w:r w:rsidRPr="00976C24">
        <w:rPr>
          <w:lang w:val="fr-FR"/>
        </w:rPr>
        <w:t xml:space="preserve"> </w:t>
      </w:r>
      <w:r>
        <w:rPr>
          <w:lang w:val="fr-FR"/>
        </w:rPr>
        <w:t>zones déshéritées</w:t>
      </w:r>
      <w:r w:rsidRPr="00976C24">
        <w:rPr>
          <w:lang w:val="fr-FR"/>
        </w:rPr>
        <w:t xml:space="preserve"> de participer à la société </w:t>
      </w:r>
      <w:r>
        <w:rPr>
          <w:lang w:val="fr-FR"/>
        </w:rPr>
        <w:t>dans des conditions</w:t>
      </w:r>
      <w:r w:rsidRPr="00976C24">
        <w:rPr>
          <w:lang w:val="fr-FR"/>
        </w:rPr>
        <w:t xml:space="preserve"> d’égalité, de prévenir et réduire la pauvreté chez les enfants et les jeunes et de lutter contre la marginalisation, l’isolement social et la reproduction intergénérationnelle de la pauvreté. Il faut pour cela des mesures et des modèles à l’échelle locale pour </w:t>
      </w:r>
      <w:r>
        <w:rPr>
          <w:lang w:val="fr-FR"/>
        </w:rPr>
        <w:t>désigner et coordonner d</w:t>
      </w:r>
      <w:r w:rsidRPr="00976C24">
        <w:rPr>
          <w:lang w:val="fr-FR"/>
        </w:rPr>
        <w:t xml:space="preserve">es services </w:t>
      </w:r>
      <w:r>
        <w:rPr>
          <w:lang w:val="fr-FR"/>
        </w:rPr>
        <w:t>en mesure d’aider</w:t>
      </w:r>
      <w:r w:rsidRPr="00976C24">
        <w:rPr>
          <w:lang w:val="fr-FR"/>
        </w:rPr>
        <w:t xml:space="preserve"> les enfants et les familles </w:t>
      </w:r>
      <w:r>
        <w:rPr>
          <w:lang w:val="fr-FR"/>
        </w:rPr>
        <w:t>pauvres</w:t>
      </w:r>
      <w:r w:rsidRPr="00976C24">
        <w:rPr>
          <w:lang w:val="fr-FR"/>
        </w:rPr>
        <w:t>.</w:t>
      </w:r>
    </w:p>
    <w:p w:rsidR="00903547" w:rsidRPr="00976C24" w:rsidRDefault="00903547" w:rsidP="00B254D6">
      <w:pPr>
        <w:pStyle w:val="SingleTxtG"/>
        <w:rPr>
          <w:lang w:val="fr-FR"/>
        </w:rPr>
      </w:pPr>
      <w:r>
        <w:rPr>
          <w:lang w:val="fr-FR"/>
        </w:rPr>
        <w:t>302.</w:t>
      </w:r>
      <w:r>
        <w:rPr>
          <w:lang w:val="fr-FR"/>
        </w:rPr>
        <w:tab/>
      </w:r>
      <w:r w:rsidRPr="00976C24">
        <w:rPr>
          <w:lang w:val="fr-FR"/>
        </w:rPr>
        <w:t xml:space="preserve">Le Comité pourra </w:t>
      </w:r>
      <w:r>
        <w:rPr>
          <w:lang w:val="fr-FR"/>
        </w:rPr>
        <w:t xml:space="preserve">se référer aux paragraphes 345 et </w:t>
      </w:r>
      <w:r w:rsidRPr="00976C24">
        <w:rPr>
          <w:lang w:val="fr-FR"/>
        </w:rPr>
        <w:t>346</w:t>
      </w:r>
      <w:r>
        <w:rPr>
          <w:lang w:val="fr-FR"/>
        </w:rPr>
        <w:t>,</w:t>
      </w:r>
      <w:r w:rsidRPr="00976C24">
        <w:rPr>
          <w:lang w:val="fr-FR"/>
        </w:rPr>
        <w:t xml:space="preserve"> 440</w:t>
      </w:r>
      <w:r>
        <w:rPr>
          <w:lang w:val="fr-FR"/>
        </w:rPr>
        <w:t xml:space="preserve"> et </w:t>
      </w:r>
      <w:r w:rsidRPr="00976C24">
        <w:rPr>
          <w:lang w:val="fr-FR"/>
        </w:rPr>
        <w:t>441</w:t>
      </w:r>
      <w:r>
        <w:rPr>
          <w:lang w:val="fr-FR"/>
        </w:rPr>
        <w:t xml:space="preserve"> du</w:t>
      </w:r>
      <w:r w:rsidRPr="00976C24">
        <w:rPr>
          <w:lang w:val="fr-FR"/>
        </w:rPr>
        <w:t xml:space="preserve"> rapport soumis au Comité des droits de l’enfant</w:t>
      </w:r>
      <w:r>
        <w:rPr>
          <w:lang w:val="fr-FR"/>
        </w:rPr>
        <w:t>.</w:t>
      </w:r>
    </w:p>
    <w:p w:rsidR="00903547" w:rsidRPr="00976C24" w:rsidRDefault="00903547" w:rsidP="00B254D6">
      <w:pPr>
        <w:pStyle w:val="SingleTxtG"/>
        <w:rPr>
          <w:lang w:val="fr-FR"/>
        </w:rPr>
      </w:pPr>
      <w:r>
        <w:rPr>
          <w:lang w:val="fr-FR"/>
        </w:rPr>
        <w:t>303.</w:t>
      </w:r>
      <w:r>
        <w:rPr>
          <w:lang w:val="fr-FR"/>
        </w:rPr>
        <w:tab/>
        <w:t>Il conviendrait par</w:t>
      </w:r>
      <w:r w:rsidRPr="00976C24">
        <w:rPr>
          <w:lang w:val="fr-FR"/>
        </w:rPr>
        <w:t xml:space="preserve"> ailleurs</w:t>
      </w:r>
      <w:r>
        <w:rPr>
          <w:lang w:val="fr-FR"/>
        </w:rPr>
        <w:t xml:space="preserve"> de réviser </w:t>
      </w:r>
      <w:r w:rsidRPr="00976C24">
        <w:rPr>
          <w:lang w:val="fr-FR"/>
        </w:rPr>
        <w:t>les programmes de protection universel</w:t>
      </w:r>
      <w:r>
        <w:rPr>
          <w:lang w:val="fr-FR"/>
        </w:rPr>
        <w:t>s</w:t>
      </w:r>
      <w:r w:rsidRPr="00976C24">
        <w:rPr>
          <w:lang w:val="fr-FR"/>
        </w:rPr>
        <w:t xml:space="preserve"> en </w:t>
      </w:r>
      <w:r>
        <w:rPr>
          <w:lang w:val="fr-FR"/>
        </w:rPr>
        <w:t>faveur</w:t>
      </w:r>
      <w:r w:rsidRPr="00976C24">
        <w:rPr>
          <w:lang w:val="fr-FR"/>
        </w:rPr>
        <w:t xml:space="preserve"> des enfants, tels que la scolarité gratuite, les maternelles subventionnées et les allocations familiales</w:t>
      </w:r>
      <w:r>
        <w:rPr>
          <w:lang w:val="fr-FR"/>
        </w:rPr>
        <w:t>,</w:t>
      </w:r>
      <w:r w:rsidRPr="00976C24">
        <w:rPr>
          <w:lang w:val="fr-FR"/>
        </w:rPr>
        <w:t xml:space="preserve"> en fonction de l’indice des prix à la consommation afin d’améliorer le niveau de vie national. Un projet de recherche sur la pauvreté des enfants devrait être </w:t>
      </w:r>
      <w:r>
        <w:rPr>
          <w:lang w:val="fr-FR"/>
        </w:rPr>
        <w:t>achevé</w:t>
      </w:r>
      <w:r w:rsidRPr="00976C24">
        <w:rPr>
          <w:lang w:val="fr-FR"/>
        </w:rPr>
        <w:t xml:space="preserve"> en 2010. Le</w:t>
      </w:r>
      <w:r>
        <w:rPr>
          <w:lang w:val="fr-FR"/>
        </w:rPr>
        <w:t>s autorités</w:t>
      </w:r>
      <w:r w:rsidRPr="00976C24">
        <w:rPr>
          <w:lang w:val="fr-FR"/>
        </w:rPr>
        <w:t xml:space="preserve"> </w:t>
      </w:r>
      <w:r>
        <w:rPr>
          <w:lang w:val="fr-FR"/>
        </w:rPr>
        <w:t>prévoient</w:t>
      </w:r>
      <w:r w:rsidRPr="00976C24">
        <w:rPr>
          <w:lang w:val="fr-FR"/>
        </w:rPr>
        <w:t xml:space="preserve"> d’utiliser les conclusions d</w:t>
      </w:r>
      <w:r>
        <w:rPr>
          <w:lang w:val="fr-FR"/>
        </w:rPr>
        <w:t>u</w:t>
      </w:r>
      <w:r w:rsidRPr="00976C24">
        <w:rPr>
          <w:lang w:val="fr-FR"/>
        </w:rPr>
        <w:t xml:space="preserve"> projet lors</w:t>
      </w:r>
      <w:r>
        <w:rPr>
          <w:lang w:val="fr-FR"/>
        </w:rPr>
        <w:t xml:space="preserve"> de l’examen</w:t>
      </w:r>
      <w:r w:rsidRPr="00976C24">
        <w:rPr>
          <w:lang w:val="fr-FR"/>
        </w:rPr>
        <w:t xml:space="preserve"> d’autres mesures </w:t>
      </w:r>
      <w:r>
        <w:rPr>
          <w:lang w:val="fr-FR"/>
        </w:rPr>
        <w:t>en faveur des enfants et d</w:t>
      </w:r>
      <w:r w:rsidRPr="00976C24">
        <w:rPr>
          <w:lang w:val="fr-FR"/>
        </w:rPr>
        <w:t>es jeunes des familles les plus pauvres.</w:t>
      </w:r>
    </w:p>
    <w:p w:rsidR="00903547" w:rsidRPr="00976C24" w:rsidRDefault="00903547" w:rsidP="00B254D6">
      <w:pPr>
        <w:pStyle w:val="SingleTxtG"/>
        <w:rPr>
          <w:lang w:val="fr-FR"/>
        </w:rPr>
      </w:pPr>
      <w:r>
        <w:rPr>
          <w:lang w:val="fr-FR"/>
        </w:rPr>
        <w:t>304.</w:t>
      </w:r>
      <w:r>
        <w:rPr>
          <w:lang w:val="fr-FR"/>
        </w:rPr>
        <w:tab/>
        <w:t>À cet égard, l</w:t>
      </w:r>
      <w:r w:rsidRPr="00976C24">
        <w:rPr>
          <w:lang w:val="fr-FR"/>
        </w:rPr>
        <w:t xml:space="preserve">’Administration du travail et de la protection sociale </w:t>
      </w:r>
      <w:r>
        <w:rPr>
          <w:lang w:val="fr-FR"/>
        </w:rPr>
        <w:t>verse</w:t>
      </w:r>
      <w:r w:rsidRPr="00976C24">
        <w:rPr>
          <w:lang w:val="fr-FR"/>
        </w:rPr>
        <w:t xml:space="preserve"> des subventions aux municipalités pour co</w:t>
      </w:r>
      <w:r>
        <w:rPr>
          <w:lang w:val="fr-FR"/>
        </w:rPr>
        <w:t>uvrir le coût des cotisations, des équipements, d</w:t>
      </w:r>
      <w:r w:rsidRPr="00976C24">
        <w:rPr>
          <w:lang w:val="fr-FR"/>
        </w:rPr>
        <w:t xml:space="preserve">es </w:t>
      </w:r>
      <w:r>
        <w:rPr>
          <w:lang w:val="fr-FR"/>
        </w:rPr>
        <w:t>sorties</w:t>
      </w:r>
      <w:r w:rsidRPr="00976C24">
        <w:rPr>
          <w:lang w:val="fr-FR"/>
        </w:rPr>
        <w:t>, etc. en rapport avec les activités de loisirs</w:t>
      </w:r>
      <w:r>
        <w:rPr>
          <w:lang w:val="fr-FR"/>
        </w:rPr>
        <w:t>, ainsi que</w:t>
      </w:r>
      <w:r w:rsidRPr="00976C24">
        <w:rPr>
          <w:lang w:val="fr-FR"/>
        </w:rPr>
        <w:t xml:space="preserve"> le coût des activités scolaires, de l’aide aux devoirs et des activités extrascolaires.</w:t>
      </w:r>
    </w:p>
    <w:p w:rsidR="00903547" w:rsidRPr="00976C24" w:rsidRDefault="00903547" w:rsidP="00B254D6">
      <w:pPr>
        <w:pStyle w:val="SingleTxtG"/>
        <w:rPr>
          <w:lang w:val="fr-FR"/>
        </w:rPr>
      </w:pPr>
      <w:r>
        <w:rPr>
          <w:lang w:val="fr-FR"/>
        </w:rPr>
        <w:t>305.</w:t>
      </w:r>
      <w:r>
        <w:rPr>
          <w:lang w:val="fr-FR"/>
        </w:rPr>
        <w:tab/>
      </w:r>
      <w:r w:rsidRPr="00976C24">
        <w:rPr>
          <w:lang w:val="fr-FR"/>
        </w:rPr>
        <w:t xml:space="preserve">Des subventions sont également accordées à des groupes de jeunes, des </w:t>
      </w:r>
      <w:r>
        <w:rPr>
          <w:lang w:val="fr-FR"/>
        </w:rPr>
        <w:t>districts urbains</w:t>
      </w:r>
      <w:r w:rsidRPr="00976C24">
        <w:rPr>
          <w:lang w:val="fr-FR"/>
        </w:rPr>
        <w:t>, des ONG, des organismes et institutions publics et privés pour des vacances et des activités de loisirs, des mesures en faveur de l</w:t>
      </w:r>
      <w:r>
        <w:rPr>
          <w:lang w:val="fr-FR"/>
        </w:rPr>
        <w:t>’emploi</w:t>
      </w:r>
      <w:r w:rsidRPr="00976C24">
        <w:rPr>
          <w:lang w:val="fr-FR"/>
        </w:rPr>
        <w:t xml:space="preserve"> des jeunes peu instruits ou n’ayant pas achevé leurs études, et des mesures à long terme pour lutter contre la marginalisation des enfants et des jeunes qui vivent dans la pauvreté. </w:t>
      </w:r>
    </w:p>
    <w:p w:rsidR="00903547" w:rsidRPr="00976C24" w:rsidRDefault="00903547" w:rsidP="00B254D6">
      <w:pPr>
        <w:pStyle w:val="SingleTxtG"/>
        <w:rPr>
          <w:lang w:val="fr-FR"/>
        </w:rPr>
      </w:pPr>
      <w:r>
        <w:rPr>
          <w:lang w:val="fr-FR"/>
        </w:rPr>
        <w:t>306.</w:t>
      </w:r>
      <w:r>
        <w:rPr>
          <w:lang w:val="fr-FR"/>
        </w:rPr>
        <w:tab/>
      </w:r>
      <w:r w:rsidRPr="00976C24">
        <w:rPr>
          <w:lang w:val="fr-FR"/>
        </w:rPr>
        <w:t xml:space="preserve">Le Gouvernement a </w:t>
      </w:r>
      <w:r>
        <w:rPr>
          <w:lang w:val="fr-FR"/>
        </w:rPr>
        <w:t>pris des dispositions</w:t>
      </w:r>
      <w:r w:rsidRPr="00976C24">
        <w:rPr>
          <w:lang w:val="fr-FR"/>
        </w:rPr>
        <w:t xml:space="preserve"> pour améliorer les conditions d’existence des plus défavorisés et les possibilités qui leur sont ouvertes. Ainsi, un nouveau programme d’allocation logement </w:t>
      </w:r>
      <w:r>
        <w:rPr>
          <w:lang w:val="fr-FR"/>
        </w:rPr>
        <w:t>a vu le jour</w:t>
      </w:r>
      <w:r w:rsidRPr="00976C24">
        <w:rPr>
          <w:lang w:val="fr-FR"/>
        </w:rPr>
        <w:t xml:space="preserve"> le </w:t>
      </w:r>
      <w:r>
        <w:rPr>
          <w:lang w:val="fr-FR"/>
        </w:rPr>
        <w:t>1</w:t>
      </w:r>
      <w:r w:rsidRPr="00B378D7">
        <w:rPr>
          <w:vertAlign w:val="superscript"/>
          <w:lang w:val="fr-FR"/>
        </w:rPr>
        <w:t>er</w:t>
      </w:r>
      <w:r>
        <w:rPr>
          <w:lang w:val="fr-FR"/>
        </w:rPr>
        <w:t xml:space="preserve"> </w:t>
      </w:r>
      <w:r w:rsidRPr="00976C24">
        <w:rPr>
          <w:lang w:val="fr-FR"/>
        </w:rPr>
        <w:t>juillet 2009</w:t>
      </w:r>
      <w:r>
        <w:rPr>
          <w:lang w:val="fr-FR"/>
        </w:rPr>
        <w:t xml:space="preserve"> et l</w:t>
      </w:r>
      <w:r w:rsidRPr="00976C24">
        <w:rPr>
          <w:lang w:val="fr-FR"/>
        </w:rPr>
        <w:t xml:space="preserve">es actions visant à </w:t>
      </w:r>
      <w:r>
        <w:rPr>
          <w:lang w:val="fr-FR"/>
        </w:rPr>
        <w:t>réduire le nombre de</w:t>
      </w:r>
      <w:r w:rsidRPr="00976C24">
        <w:rPr>
          <w:lang w:val="fr-FR"/>
        </w:rPr>
        <w:t xml:space="preserve"> sans-abri se sont intensifiées. Le Comité pourra se reporter au paragraphe 55 du présent rapport.</w:t>
      </w:r>
    </w:p>
    <w:p w:rsidR="00903547" w:rsidRPr="00976C24" w:rsidRDefault="00903547" w:rsidP="0071086E">
      <w:pPr>
        <w:pStyle w:val="H4G"/>
        <w:rPr>
          <w:lang w:val="fr-FR"/>
        </w:rPr>
      </w:pPr>
      <w:r w:rsidRPr="00976C24">
        <w:rPr>
          <w:lang w:val="fr-FR"/>
        </w:rPr>
        <w:tab/>
        <w:t>ii)</w:t>
      </w:r>
      <w:r w:rsidRPr="00976C24">
        <w:rPr>
          <w:lang w:val="fr-FR"/>
        </w:rPr>
        <w:tab/>
      </w:r>
      <w:r>
        <w:rPr>
          <w:lang w:val="fr-FR"/>
        </w:rPr>
        <w:t>Éducation</w:t>
      </w:r>
    </w:p>
    <w:p w:rsidR="00903547" w:rsidRPr="00976C24" w:rsidRDefault="00903547" w:rsidP="00B254D6">
      <w:pPr>
        <w:pStyle w:val="SingleTxtG"/>
        <w:rPr>
          <w:lang w:val="fr-FR"/>
        </w:rPr>
      </w:pPr>
      <w:r>
        <w:rPr>
          <w:lang w:val="fr-FR"/>
        </w:rPr>
        <w:t>307.</w:t>
      </w:r>
      <w:r>
        <w:rPr>
          <w:lang w:val="fr-FR"/>
        </w:rPr>
        <w:tab/>
      </w:r>
      <w:r w:rsidRPr="00976C24">
        <w:rPr>
          <w:lang w:val="fr-FR"/>
        </w:rPr>
        <w:t xml:space="preserve">L’éducation joue un rôle </w:t>
      </w:r>
      <w:r>
        <w:rPr>
          <w:lang w:val="fr-FR"/>
        </w:rPr>
        <w:t>primordial</w:t>
      </w:r>
      <w:r w:rsidRPr="00976C24">
        <w:rPr>
          <w:lang w:val="fr-FR"/>
        </w:rPr>
        <w:t xml:space="preserve"> dans la lutte contre la pauvreté et la réduction des inégalités sociales. En 2006, le Gouvernement a </w:t>
      </w:r>
      <w:r>
        <w:rPr>
          <w:lang w:val="fr-FR"/>
        </w:rPr>
        <w:t>publié</w:t>
      </w:r>
      <w:r w:rsidRPr="00976C24">
        <w:rPr>
          <w:lang w:val="fr-FR"/>
        </w:rPr>
        <w:t xml:space="preserve"> un livre blanc intitulé </w:t>
      </w:r>
      <w:r w:rsidRPr="00976C24">
        <w:rPr>
          <w:i/>
          <w:lang w:val="fr-FR"/>
        </w:rPr>
        <w:t xml:space="preserve">Intervention précoce pour un apprentissage tout au long de la vie </w:t>
      </w:r>
      <w:r>
        <w:rPr>
          <w:lang w:val="fr-FR"/>
        </w:rPr>
        <w:t>(Rapport n</w:t>
      </w:r>
      <w:r w:rsidRPr="000A7EEA">
        <w:rPr>
          <w:vertAlign w:val="superscript"/>
          <w:lang w:val="fr-FR"/>
        </w:rPr>
        <w:t>o</w:t>
      </w:r>
      <w:r>
        <w:rPr>
          <w:lang w:val="fr-FR"/>
        </w:rPr>
        <w:t> </w:t>
      </w:r>
      <w:r w:rsidRPr="00976C24">
        <w:rPr>
          <w:lang w:val="fr-FR"/>
        </w:rPr>
        <w:t>16 (2006</w:t>
      </w:r>
      <w:r>
        <w:rPr>
          <w:lang w:val="fr-FR"/>
        </w:rPr>
        <w:t>-</w:t>
      </w:r>
      <w:r w:rsidRPr="00976C24">
        <w:rPr>
          <w:lang w:val="fr-FR"/>
        </w:rPr>
        <w:t xml:space="preserve">2007) au </w:t>
      </w:r>
      <w:r w:rsidRPr="00B52B8E">
        <w:rPr>
          <w:i/>
          <w:lang w:val="fr-FR"/>
        </w:rPr>
        <w:t>Storting</w:t>
      </w:r>
      <w:r w:rsidRPr="00976C24">
        <w:rPr>
          <w:lang w:val="fr-FR"/>
        </w:rPr>
        <w:t>), dans l</w:t>
      </w:r>
      <w:r>
        <w:rPr>
          <w:lang w:val="fr-FR"/>
        </w:rPr>
        <w:t xml:space="preserve">equel il présente </w:t>
      </w:r>
      <w:r w:rsidRPr="00976C24">
        <w:rPr>
          <w:lang w:val="fr-FR"/>
        </w:rPr>
        <w:t>la façon dont le système éducatif peut davantage contribuer à la réduction des différen</w:t>
      </w:r>
      <w:r>
        <w:rPr>
          <w:lang w:val="fr-FR"/>
        </w:rPr>
        <w:t>ces entres les classes sociales</w:t>
      </w:r>
      <w:r w:rsidRPr="00976C24">
        <w:rPr>
          <w:lang w:val="fr-FR"/>
        </w:rPr>
        <w:t xml:space="preserve"> </w:t>
      </w:r>
      <w:r>
        <w:rPr>
          <w:lang w:val="fr-FR"/>
        </w:rPr>
        <w:t>et</w:t>
      </w:r>
      <w:r w:rsidRPr="00976C24">
        <w:rPr>
          <w:lang w:val="fr-FR"/>
        </w:rPr>
        <w:t xml:space="preserve"> de</w:t>
      </w:r>
      <w:r>
        <w:rPr>
          <w:lang w:val="fr-FR"/>
        </w:rPr>
        <w:t>s</w:t>
      </w:r>
      <w:r w:rsidRPr="00976C24">
        <w:rPr>
          <w:lang w:val="fr-FR"/>
        </w:rPr>
        <w:t xml:space="preserve"> inégalités économiques et à la lutte contre la pauvreté et d’autres formes de marginalisation. </w:t>
      </w:r>
      <w:r>
        <w:rPr>
          <w:lang w:val="fr-FR"/>
        </w:rPr>
        <w:t>Chacun</w:t>
      </w:r>
      <w:r w:rsidRPr="00976C24">
        <w:rPr>
          <w:lang w:val="fr-FR"/>
        </w:rPr>
        <w:t xml:space="preserve"> sai</w:t>
      </w:r>
      <w:r>
        <w:rPr>
          <w:lang w:val="fr-FR"/>
        </w:rPr>
        <w:t>t qu’il existe des écart</w:t>
      </w:r>
      <w:r w:rsidRPr="00976C24">
        <w:rPr>
          <w:lang w:val="fr-FR"/>
        </w:rPr>
        <w:t xml:space="preserve">s </w:t>
      </w:r>
      <w:r>
        <w:rPr>
          <w:lang w:val="fr-FR"/>
        </w:rPr>
        <w:t>entre le</w:t>
      </w:r>
      <w:r w:rsidRPr="00976C24">
        <w:rPr>
          <w:lang w:val="fr-FR"/>
        </w:rPr>
        <w:t xml:space="preserve">s connaissances et compétences que les enfants, les élèves et les étudiants et les adultes acquièrent </w:t>
      </w:r>
      <w:r>
        <w:rPr>
          <w:lang w:val="fr-FR"/>
        </w:rPr>
        <w:t>par</w:t>
      </w:r>
      <w:r w:rsidRPr="00976C24">
        <w:rPr>
          <w:lang w:val="fr-FR"/>
        </w:rPr>
        <w:t xml:space="preserve"> le système éducatif, et donc aussi </w:t>
      </w:r>
      <w:r>
        <w:rPr>
          <w:lang w:val="fr-FR"/>
        </w:rPr>
        <w:t>entre les</w:t>
      </w:r>
      <w:r w:rsidRPr="00976C24">
        <w:rPr>
          <w:lang w:val="fr-FR"/>
        </w:rPr>
        <w:t xml:space="preserve"> possibilités qui leur sont offertes ultérieurement dans la société et sur le marché du travail. Il semble évident que les différences sont étroitement liées au milieu familial, c’est-à-dire au niveau d’instruction et de revenu des parents, et au fait que l’élève ou l’étudiant est issu d’un groupe majoritaire ou minoritaire. Le livre blanc s’intéresse à des moyens de relever ces défis et présente deux</w:t>
      </w:r>
      <w:r>
        <w:rPr>
          <w:lang w:val="fr-FR"/>
        </w:rPr>
        <w:t xml:space="preserve"> objectifs: accroître le n</w:t>
      </w:r>
      <w:r w:rsidRPr="00976C24">
        <w:rPr>
          <w:lang w:val="fr-FR"/>
        </w:rPr>
        <w:t>ombre de personnes qui réalisent leurs objectifs et veiller à ce que le système éducatif ne reproduise ou ne renforce pas les différences sociales. L’un des grands principes à cet égard est l’intervention précoce, à la fois en termes d’</w:t>
      </w:r>
      <w:r>
        <w:rPr>
          <w:lang w:val="fr-FR"/>
        </w:rPr>
        <w:t>appui</w:t>
      </w:r>
      <w:r w:rsidRPr="00976C24">
        <w:rPr>
          <w:lang w:val="fr-FR"/>
        </w:rPr>
        <w:t xml:space="preserve"> </w:t>
      </w:r>
      <w:r>
        <w:rPr>
          <w:lang w:val="fr-FR"/>
        </w:rPr>
        <w:t>au début</w:t>
      </w:r>
      <w:r w:rsidRPr="00976C24">
        <w:rPr>
          <w:lang w:val="fr-FR"/>
        </w:rPr>
        <w:t xml:space="preserve"> de la vie de l’enfant et d’intervention lorsque des problèmes se posent ou sont détectés à l’âge préscolaire, </w:t>
      </w:r>
      <w:r>
        <w:rPr>
          <w:lang w:val="fr-FR"/>
        </w:rPr>
        <w:t>au cours de</w:t>
      </w:r>
      <w:r w:rsidRPr="00976C24">
        <w:rPr>
          <w:lang w:val="fr-FR"/>
        </w:rPr>
        <w:t xml:space="preserve"> la scolarité obligatoire ou à l’âge adulte. </w:t>
      </w:r>
    </w:p>
    <w:p w:rsidR="00903547" w:rsidRPr="00976C24" w:rsidRDefault="00903547" w:rsidP="00B254D6">
      <w:pPr>
        <w:pStyle w:val="SingleTxtG"/>
        <w:rPr>
          <w:lang w:val="fr-FR"/>
        </w:rPr>
      </w:pPr>
      <w:r>
        <w:rPr>
          <w:lang w:val="fr-FR"/>
        </w:rPr>
        <w:t>308.</w:t>
      </w:r>
      <w:r>
        <w:rPr>
          <w:lang w:val="fr-FR"/>
        </w:rPr>
        <w:tab/>
      </w:r>
      <w:r w:rsidRPr="00976C24">
        <w:rPr>
          <w:lang w:val="fr-FR"/>
        </w:rPr>
        <w:t xml:space="preserve">La stratégie </w:t>
      </w:r>
      <w:r>
        <w:rPr>
          <w:lang w:val="fr-FR"/>
        </w:rPr>
        <w:t>d’</w:t>
      </w:r>
      <w:r w:rsidRPr="00976C24">
        <w:rPr>
          <w:lang w:val="fr-FR"/>
        </w:rPr>
        <w:t xml:space="preserve">intervention précoce a été développée dans le livre blanc </w:t>
      </w:r>
      <w:r w:rsidRPr="00976C24">
        <w:rPr>
          <w:i/>
          <w:lang w:val="fr-FR"/>
        </w:rPr>
        <w:t xml:space="preserve">La qualité à l’école </w:t>
      </w:r>
      <w:r>
        <w:rPr>
          <w:lang w:val="fr-FR"/>
        </w:rPr>
        <w:t>(Rapport n</w:t>
      </w:r>
      <w:r w:rsidRPr="000A7EEA">
        <w:rPr>
          <w:vertAlign w:val="superscript"/>
          <w:lang w:val="fr-FR"/>
        </w:rPr>
        <w:t>o</w:t>
      </w:r>
      <w:r>
        <w:rPr>
          <w:lang w:val="fr-FR"/>
        </w:rPr>
        <w:t> </w:t>
      </w:r>
      <w:r w:rsidRPr="00976C24">
        <w:rPr>
          <w:lang w:val="fr-FR"/>
        </w:rPr>
        <w:t>31 (2007</w:t>
      </w:r>
      <w:r>
        <w:rPr>
          <w:lang w:val="fr-FR"/>
        </w:rPr>
        <w:t>-</w:t>
      </w:r>
      <w:r w:rsidRPr="00976C24">
        <w:rPr>
          <w:lang w:val="fr-FR"/>
        </w:rPr>
        <w:t xml:space="preserve">2008) au </w:t>
      </w:r>
      <w:r w:rsidRPr="00B52B8E">
        <w:rPr>
          <w:i/>
          <w:lang w:val="fr-FR"/>
        </w:rPr>
        <w:t>Storting</w:t>
      </w:r>
      <w:r w:rsidRPr="00976C24">
        <w:rPr>
          <w:lang w:val="fr-FR"/>
        </w:rPr>
        <w:t xml:space="preserve">). </w:t>
      </w:r>
      <w:r>
        <w:rPr>
          <w:lang w:val="fr-FR"/>
        </w:rPr>
        <w:t>L</w:t>
      </w:r>
      <w:r w:rsidRPr="00976C24">
        <w:rPr>
          <w:lang w:val="fr-FR"/>
        </w:rPr>
        <w:t xml:space="preserve">e livre blanc intitulé </w:t>
      </w:r>
      <w:r w:rsidRPr="00976C24">
        <w:rPr>
          <w:i/>
          <w:lang w:val="fr-FR"/>
        </w:rPr>
        <w:t>Stratégie éducative</w:t>
      </w:r>
      <w:r>
        <w:rPr>
          <w:lang w:val="fr-FR"/>
        </w:rPr>
        <w:t xml:space="preserve"> (Rapport n</w:t>
      </w:r>
      <w:r w:rsidRPr="000A7EEA">
        <w:rPr>
          <w:vertAlign w:val="superscript"/>
          <w:lang w:val="fr-FR"/>
        </w:rPr>
        <w:t>o</w:t>
      </w:r>
      <w:r>
        <w:rPr>
          <w:lang w:val="fr-FR"/>
        </w:rPr>
        <w:t> </w:t>
      </w:r>
      <w:r w:rsidRPr="00976C24">
        <w:rPr>
          <w:lang w:val="fr-FR"/>
        </w:rPr>
        <w:t>44 (2008</w:t>
      </w:r>
      <w:r>
        <w:rPr>
          <w:lang w:val="fr-FR"/>
        </w:rPr>
        <w:t>-</w:t>
      </w:r>
      <w:r w:rsidRPr="00976C24">
        <w:rPr>
          <w:lang w:val="fr-FR"/>
        </w:rPr>
        <w:t xml:space="preserve">2009) au </w:t>
      </w:r>
      <w:r w:rsidRPr="00B52B8E">
        <w:rPr>
          <w:i/>
          <w:lang w:val="fr-FR"/>
        </w:rPr>
        <w:t>Storting</w:t>
      </w:r>
      <w:r w:rsidRPr="00976C24">
        <w:rPr>
          <w:lang w:val="fr-FR"/>
        </w:rPr>
        <w:t xml:space="preserve">) </w:t>
      </w:r>
      <w:r>
        <w:rPr>
          <w:lang w:val="fr-FR"/>
        </w:rPr>
        <w:t xml:space="preserve">met </w:t>
      </w:r>
      <w:r w:rsidRPr="00976C24">
        <w:rPr>
          <w:lang w:val="fr-FR"/>
        </w:rPr>
        <w:t xml:space="preserve">l’accent sur l’égalité des chances pour tous d’achever des études. Il faut que davantage de </w:t>
      </w:r>
      <w:r>
        <w:rPr>
          <w:lang w:val="fr-FR"/>
        </w:rPr>
        <w:t>jeunes</w:t>
      </w:r>
      <w:r w:rsidRPr="00976C24">
        <w:rPr>
          <w:lang w:val="fr-FR"/>
        </w:rPr>
        <w:t xml:space="preserve"> mènent à bien leur</w:t>
      </w:r>
      <w:r>
        <w:rPr>
          <w:lang w:val="fr-FR"/>
        </w:rPr>
        <w:t xml:space="preserve"> formation</w:t>
      </w:r>
      <w:r w:rsidRPr="00976C24">
        <w:rPr>
          <w:lang w:val="fr-FR"/>
        </w:rPr>
        <w:t xml:space="preserve"> pour entrer sur le marché du travail et pren</w:t>
      </w:r>
      <w:r>
        <w:rPr>
          <w:lang w:val="fr-FR"/>
        </w:rPr>
        <w:t>dre</w:t>
      </w:r>
      <w:r w:rsidRPr="00976C24">
        <w:rPr>
          <w:lang w:val="fr-FR"/>
        </w:rPr>
        <w:t xml:space="preserve"> fermement pied dans la vie </w:t>
      </w:r>
      <w:r>
        <w:rPr>
          <w:lang w:val="fr-FR"/>
        </w:rPr>
        <w:t>active</w:t>
      </w:r>
      <w:r w:rsidRPr="00976C24">
        <w:rPr>
          <w:lang w:val="fr-FR"/>
        </w:rPr>
        <w:t xml:space="preserve">. Il s’agit d’une condition préalable </w:t>
      </w:r>
      <w:r>
        <w:rPr>
          <w:lang w:val="fr-FR"/>
        </w:rPr>
        <w:t>à la pérennité et au</w:t>
      </w:r>
      <w:r w:rsidRPr="00976C24">
        <w:rPr>
          <w:lang w:val="fr-FR"/>
        </w:rPr>
        <w:t xml:space="preserve"> développement de l’</w:t>
      </w:r>
      <w:r>
        <w:rPr>
          <w:lang w:val="fr-FR"/>
        </w:rPr>
        <w:t>État</w:t>
      </w:r>
      <w:r w:rsidRPr="00976C24">
        <w:rPr>
          <w:lang w:val="fr-FR"/>
        </w:rPr>
        <w:t xml:space="preserve"> providence s</w:t>
      </w:r>
      <w:r>
        <w:rPr>
          <w:lang w:val="fr-FR"/>
        </w:rPr>
        <w:t>elon le</w:t>
      </w:r>
      <w:r w:rsidRPr="00976C24">
        <w:rPr>
          <w:lang w:val="fr-FR"/>
        </w:rPr>
        <w:t xml:space="preserve"> modèle norvégien, caractérisé par des différences sociales mineures au sein de la population.</w:t>
      </w:r>
    </w:p>
    <w:p w:rsidR="00903547" w:rsidRPr="00976C24" w:rsidRDefault="00903547" w:rsidP="0071086E">
      <w:pPr>
        <w:pStyle w:val="H4G"/>
        <w:rPr>
          <w:lang w:val="fr-FR"/>
        </w:rPr>
      </w:pPr>
      <w:r w:rsidRPr="00976C24">
        <w:rPr>
          <w:lang w:val="fr-FR"/>
        </w:rPr>
        <w:tab/>
        <w:t>iii)</w:t>
      </w:r>
      <w:r w:rsidRPr="00976C24">
        <w:rPr>
          <w:lang w:val="fr-FR"/>
        </w:rPr>
        <w:tab/>
        <w:t>Droit à une place en école maternelle</w:t>
      </w:r>
    </w:p>
    <w:p w:rsidR="00903547" w:rsidRPr="00976C24" w:rsidRDefault="00903547" w:rsidP="00B254D6">
      <w:pPr>
        <w:pStyle w:val="SingleTxtG"/>
        <w:rPr>
          <w:lang w:val="fr-FR"/>
        </w:rPr>
      </w:pPr>
      <w:r>
        <w:rPr>
          <w:lang w:val="fr-FR"/>
        </w:rPr>
        <w:t>309.</w:t>
      </w:r>
      <w:r>
        <w:rPr>
          <w:lang w:val="fr-FR"/>
        </w:rPr>
        <w:tab/>
      </w:r>
      <w:r w:rsidRPr="00976C24">
        <w:rPr>
          <w:lang w:val="fr-FR"/>
        </w:rPr>
        <w:t xml:space="preserve">Ces dernières années, l’un des objectifs politiques </w:t>
      </w:r>
      <w:r>
        <w:rPr>
          <w:lang w:val="fr-FR"/>
        </w:rPr>
        <w:t>majeurs</w:t>
      </w:r>
      <w:r w:rsidRPr="00976C24">
        <w:rPr>
          <w:lang w:val="fr-FR"/>
        </w:rPr>
        <w:t xml:space="preserve"> du Gouvernement a été d</w:t>
      </w:r>
      <w:r>
        <w:rPr>
          <w:lang w:val="fr-FR"/>
        </w:rPr>
        <w:t>’ouvrir sur l’ensemble du territoire</w:t>
      </w:r>
      <w:r w:rsidRPr="00976C24">
        <w:rPr>
          <w:lang w:val="fr-FR"/>
        </w:rPr>
        <w:t xml:space="preserve"> des écoles maternelles de bonne qualité et peu coûteuses. </w:t>
      </w:r>
      <w:r>
        <w:rPr>
          <w:lang w:val="fr-FR"/>
        </w:rPr>
        <w:t>L’augmentation du nombre de places en maternelle a été sensible a</w:t>
      </w:r>
      <w:r w:rsidRPr="00976C24">
        <w:rPr>
          <w:lang w:val="fr-FR"/>
        </w:rPr>
        <w:t>u c</w:t>
      </w:r>
      <w:r>
        <w:rPr>
          <w:lang w:val="fr-FR"/>
        </w:rPr>
        <w:t>ours des quatre années écoulées</w:t>
      </w:r>
      <w:r w:rsidRPr="00976C24">
        <w:rPr>
          <w:lang w:val="fr-FR"/>
        </w:rPr>
        <w:t xml:space="preserve"> et 90</w:t>
      </w:r>
      <w:r>
        <w:rPr>
          <w:lang w:val="fr-FR"/>
        </w:rPr>
        <w:t> </w:t>
      </w:r>
      <w:r w:rsidRPr="00976C24">
        <w:rPr>
          <w:lang w:val="fr-FR"/>
        </w:rPr>
        <w:t xml:space="preserve">% des enfants de 1 à 5 ans y étaient inscrits en 2008. Depuis le </w:t>
      </w:r>
      <w:r>
        <w:rPr>
          <w:lang w:val="fr-FR"/>
        </w:rPr>
        <w:t>1</w:t>
      </w:r>
      <w:r w:rsidRPr="0086484E">
        <w:rPr>
          <w:vertAlign w:val="superscript"/>
          <w:lang w:val="fr-FR"/>
        </w:rPr>
        <w:t>er</w:t>
      </w:r>
      <w:r>
        <w:rPr>
          <w:lang w:val="fr-FR"/>
        </w:rPr>
        <w:t xml:space="preserve"> </w:t>
      </w:r>
      <w:r w:rsidRPr="00976C24">
        <w:rPr>
          <w:lang w:val="fr-FR"/>
        </w:rPr>
        <w:t xml:space="preserve">janvier 2009, les enfants </w:t>
      </w:r>
      <w:r>
        <w:rPr>
          <w:lang w:val="fr-FR"/>
        </w:rPr>
        <w:t xml:space="preserve">ont droit à une </w:t>
      </w:r>
      <w:r w:rsidRPr="00976C24">
        <w:rPr>
          <w:lang w:val="fr-FR"/>
        </w:rPr>
        <w:t>place en maternelle</w:t>
      </w:r>
      <w:r>
        <w:rPr>
          <w:lang w:val="fr-FR"/>
        </w:rPr>
        <w:t xml:space="preserve"> en vertu de la loi</w:t>
      </w:r>
      <w:r w:rsidRPr="00976C24">
        <w:rPr>
          <w:lang w:val="fr-FR"/>
        </w:rPr>
        <w:t>. Le Comité pourra se reporter à la réponse du Gouvernement au paragraphe</w:t>
      </w:r>
      <w:r>
        <w:rPr>
          <w:lang w:val="fr-FR"/>
        </w:rPr>
        <w:t> </w:t>
      </w:r>
      <w:r w:rsidRPr="00976C24">
        <w:rPr>
          <w:lang w:val="fr-FR"/>
        </w:rPr>
        <w:t>33 des observations finales</w:t>
      </w:r>
      <w:r>
        <w:rPr>
          <w:lang w:val="fr-FR"/>
        </w:rPr>
        <w:t xml:space="preserve"> figurant dans le présent rapport</w:t>
      </w:r>
      <w:r w:rsidRPr="00976C24">
        <w:rPr>
          <w:lang w:val="fr-FR"/>
        </w:rPr>
        <w:t>.</w:t>
      </w:r>
    </w:p>
    <w:p w:rsidR="00903547" w:rsidRPr="00976C24" w:rsidRDefault="00903547" w:rsidP="00B254D6">
      <w:pPr>
        <w:pStyle w:val="SingleTxtG"/>
        <w:rPr>
          <w:lang w:val="fr-FR"/>
        </w:rPr>
      </w:pPr>
      <w:r>
        <w:rPr>
          <w:lang w:val="fr-FR"/>
        </w:rPr>
        <w:t>310.</w:t>
      </w:r>
      <w:r>
        <w:rPr>
          <w:lang w:val="fr-FR"/>
        </w:rPr>
        <w:tab/>
      </w:r>
      <w:r w:rsidRPr="00976C24">
        <w:rPr>
          <w:lang w:val="fr-FR"/>
        </w:rPr>
        <w:t xml:space="preserve">La disposition relative </w:t>
      </w:r>
      <w:r>
        <w:rPr>
          <w:lang w:val="fr-FR"/>
        </w:rPr>
        <w:t>aux</w:t>
      </w:r>
      <w:r w:rsidRPr="00976C24">
        <w:rPr>
          <w:lang w:val="fr-FR"/>
        </w:rPr>
        <w:t xml:space="preserve"> garderies de qualité est particuli</w:t>
      </w:r>
      <w:r>
        <w:rPr>
          <w:lang w:val="fr-FR"/>
        </w:rPr>
        <w:t>èrement</w:t>
      </w:r>
      <w:r w:rsidRPr="00976C24">
        <w:rPr>
          <w:lang w:val="fr-FR"/>
        </w:rPr>
        <w:t xml:space="preserve"> intéressante pour les enfants </w:t>
      </w:r>
      <w:r>
        <w:rPr>
          <w:lang w:val="fr-FR"/>
        </w:rPr>
        <w:t xml:space="preserve">issus </w:t>
      </w:r>
      <w:r w:rsidRPr="00976C24">
        <w:rPr>
          <w:lang w:val="fr-FR"/>
        </w:rPr>
        <w:t>de familles à faible revenu</w:t>
      </w:r>
      <w:r>
        <w:rPr>
          <w:lang w:val="fr-FR"/>
        </w:rPr>
        <w:t>,</w:t>
      </w:r>
      <w:r w:rsidRPr="00976C24">
        <w:rPr>
          <w:lang w:val="fr-FR"/>
        </w:rPr>
        <w:t xml:space="preserve"> ou susceptibles d’éprouver des difficultés à maîtriser des disciplines scolaires</w:t>
      </w:r>
      <w:r>
        <w:rPr>
          <w:lang w:val="fr-FR"/>
        </w:rPr>
        <w:t>.</w:t>
      </w:r>
      <w:r w:rsidRPr="00976C24">
        <w:rPr>
          <w:lang w:val="fr-FR"/>
        </w:rPr>
        <w:t xml:space="preserve"> Ce</w:t>
      </w:r>
      <w:r>
        <w:rPr>
          <w:lang w:val="fr-FR"/>
        </w:rPr>
        <w:t xml:space="preserve"> sont notamment l</w:t>
      </w:r>
      <w:r w:rsidRPr="00976C24">
        <w:rPr>
          <w:lang w:val="fr-FR"/>
        </w:rPr>
        <w:t xml:space="preserve">es enfants de familles </w:t>
      </w:r>
      <w:r>
        <w:rPr>
          <w:lang w:val="fr-FR"/>
        </w:rPr>
        <w:t xml:space="preserve">peu soutenues </w:t>
      </w:r>
      <w:r w:rsidRPr="00976C24">
        <w:rPr>
          <w:lang w:val="fr-FR"/>
        </w:rPr>
        <w:t xml:space="preserve">à </w:t>
      </w:r>
      <w:r>
        <w:rPr>
          <w:lang w:val="fr-FR"/>
        </w:rPr>
        <w:t>domicile</w:t>
      </w:r>
      <w:r w:rsidRPr="00976C24">
        <w:rPr>
          <w:lang w:val="fr-FR"/>
        </w:rPr>
        <w:t xml:space="preserve"> et </w:t>
      </w:r>
      <w:r>
        <w:rPr>
          <w:lang w:val="fr-FR"/>
        </w:rPr>
        <w:t>ceux</w:t>
      </w:r>
      <w:r w:rsidRPr="00976C24">
        <w:rPr>
          <w:lang w:val="fr-FR"/>
        </w:rPr>
        <w:t xml:space="preserve"> qui ne parlent pas la langue majorit</w:t>
      </w:r>
      <w:r>
        <w:rPr>
          <w:lang w:val="fr-FR"/>
        </w:rPr>
        <w:t>aire chez eux</w:t>
      </w:r>
      <w:r w:rsidRPr="00976C24">
        <w:rPr>
          <w:lang w:val="fr-FR"/>
        </w:rPr>
        <w:t xml:space="preserve">. Dans le cadre du plan d’action pour l’intégration et l’inclusion sociale de la population immigrée, certaines zones urbaines ayant un pourcentage élevé d’immigrés </w:t>
      </w:r>
      <w:r>
        <w:rPr>
          <w:lang w:val="fr-FR"/>
        </w:rPr>
        <w:t xml:space="preserve">proposent des plages </w:t>
      </w:r>
      <w:r w:rsidRPr="00976C24">
        <w:rPr>
          <w:lang w:val="fr-FR"/>
        </w:rPr>
        <w:t>horaires gratuit</w:t>
      </w:r>
      <w:r>
        <w:rPr>
          <w:lang w:val="fr-FR"/>
        </w:rPr>
        <w:t>e</w:t>
      </w:r>
      <w:r w:rsidRPr="00976C24">
        <w:rPr>
          <w:lang w:val="fr-FR"/>
        </w:rPr>
        <w:t>s dans les maternelles (jusqu’à 20 heures par semaine) pour les enfants de 4 et 5 ans. En 2010, ce programme s</w:t>
      </w:r>
      <w:r>
        <w:rPr>
          <w:lang w:val="fr-FR"/>
        </w:rPr>
        <w:t>'</w:t>
      </w:r>
      <w:r w:rsidRPr="00976C24">
        <w:rPr>
          <w:lang w:val="fr-FR"/>
        </w:rPr>
        <w:t xml:space="preserve">est étendu aux enfants de 3 ans dans certains quartiers d’Oslo et de Drammen. </w:t>
      </w:r>
      <w:r>
        <w:rPr>
          <w:lang w:val="fr-FR"/>
        </w:rPr>
        <w:t>Soixante</w:t>
      </w:r>
      <w:r w:rsidRPr="00976C24">
        <w:rPr>
          <w:lang w:val="fr-FR"/>
        </w:rPr>
        <w:t xml:space="preserve"> million</w:t>
      </w:r>
      <w:r>
        <w:rPr>
          <w:lang w:val="fr-FR"/>
        </w:rPr>
        <w:t>s de couronnes ont</w:t>
      </w:r>
      <w:r w:rsidRPr="00976C24">
        <w:rPr>
          <w:lang w:val="fr-FR"/>
        </w:rPr>
        <w:t xml:space="preserve"> été alloué</w:t>
      </w:r>
      <w:r>
        <w:rPr>
          <w:lang w:val="fr-FR"/>
        </w:rPr>
        <w:t>s</w:t>
      </w:r>
      <w:r w:rsidRPr="00976C24">
        <w:rPr>
          <w:lang w:val="fr-FR"/>
        </w:rPr>
        <w:t xml:space="preserve"> à ce programme.</w:t>
      </w:r>
    </w:p>
    <w:p w:rsidR="00903547" w:rsidRPr="00976C24" w:rsidRDefault="00903547" w:rsidP="00B254D6">
      <w:pPr>
        <w:pStyle w:val="SingleTxtG"/>
        <w:rPr>
          <w:lang w:val="fr-FR"/>
        </w:rPr>
      </w:pPr>
      <w:r>
        <w:rPr>
          <w:lang w:val="fr-FR"/>
        </w:rPr>
        <w:t>311.</w:t>
      </w:r>
      <w:r>
        <w:rPr>
          <w:lang w:val="fr-FR"/>
        </w:rPr>
        <w:tab/>
      </w:r>
      <w:r w:rsidRPr="00976C24">
        <w:rPr>
          <w:lang w:val="fr-FR"/>
        </w:rPr>
        <w:t xml:space="preserve">Le Comité pourra se reporter au paragraphe 96 du rapport soumis par la Norvège </w:t>
      </w:r>
      <w:r>
        <w:rPr>
          <w:lang w:val="fr-FR"/>
        </w:rPr>
        <w:t xml:space="preserve">au titre de l’EPU et aux paragraphes 186 et </w:t>
      </w:r>
      <w:r w:rsidRPr="00976C24">
        <w:rPr>
          <w:lang w:val="fr-FR"/>
        </w:rPr>
        <w:t>187 du rapport soumis au Comité pour l’élimination de la discrimination raciale.</w:t>
      </w:r>
    </w:p>
    <w:p w:rsidR="00903547" w:rsidRPr="00976C24" w:rsidRDefault="00903547" w:rsidP="0071086E">
      <w:pPr>
        <w:pStyle w:val="H23G"/>
        <w:rPr>
          <w:lang w:val="fr-FR"/>
        </w:rPr>
      </w:pPr>
      <w:bookmarkStart w:id="71" w:name="_Toc265062232"/>
      <w:r w:rsidRPr="00976C24">
        <w:rPr>
          <w:lang w:val="fr-FR"/>
        </w:rPr>
        <w:tab/>
        <w:t>2.</w:t>
      </w:r>
      <w:r w:rsidRPr="00976C24">
        <w:rPr>
          <w:lang w:val="fr-FR"/>
        </w:rPr>
        <w:tab/>
      </w:r>
      <w:bookmarkStart w:id="72" w:name="_Toc286326387"/>
      <w:r w:rsidRPr="00976C24">
        <w:rPr>
          <w:lang w:val="fr-FR"/>
        </w:rPr>
        <w:t>Le droit à une nourriture suffisante</w:t>
      </w:r>
      <w:bookmarkEnd w:id="71"/>
      <w:bookmarkEnd w:id="72"/>
    </w:p>
    <w:p w:rsidR="00903547" w:rsidRPr="00976C24" w:rsidRDefault="00903547" w:rsidP="0071086E">
      <w:pPr>
        <w:pStyle w:val="H23G"/>
        <w:rPr>
          <w:lang w:val="fr-FR"/>
        </w:rPr>
      </w:pPr>
      <w:r w:rsidRPr="00976C24">
        <w:rPr>
          <w:lang w:val="fr-FR"/>
        </w:rPr>
        <w:tab/>
        <w:t>a)</w:t>
      </w:r>
      <w:r w:rsidRPr="00976C24">
        <w:rPr>
          <w:lang w:val="fr-FR"/>
        </w:rPr>
        <w:tab/>
        <w:t>Mesures prises pour garantir la disponibilité, à un</w:t>
      </w:r>
      <w:r>
        <w:rPr>
          <w:lang w:val="fr-FR"/>
        </w:rPr>
        <w:t xml:space="preserve"> </w:t>
      </w:r>
      <w:r w:rsidRPr="00976C24">
        <w:rPr>
          <w:lang w:val="fr-FR"/>
        </w:rPr>
        <w:t>prix abordable, de nourriture exempte de substances nocives et culturellement acceptable, en quantité suffisante et d’une qualité propre à satisfaire les besoins alimentaires de chacun (E/2009/22-E/C.12/2008/3, annexe VIII, par.</w:t>
      </w:r>
      <w:r>
        <w:rPr>
          <w:lang w:val="fr-FR"/>
        </w:rPr>
        <w:t> </w:t>
      </w:r>
      <w:r w:rsidRPr="00976C24">
        <w:rPr>
          <w:lang w:val="fr-FR"/>
        </w:rPr>
        <w:t>44)</w:t>
      </w:r>
    </w:p>
    <w:p w:rsidR="00903547" w:rsidRPr="00976C24" w:rsidRDefault="00903547" w:rsidP="00B254D6">
      <w:pPr>
        <w:pStyle w:val="SingleTxtG"/>
        <w:rPr>
          <w:lang w:val="fr-FR"/>
        </w:rPr>
      </w:pPr>
      <w:r>
        <w:rPr>
          <w:lang w:val="fr-FR"/>
        </w:rPr>
        <w:t>312.</w:t>
      </w:r>
      <w:r>
        <w:rPr>
          <w:lang w:val="fr-FR"/>
        </w:rPr>
        <w:tab/>
      </w:r>
      <w:r w:rsidRPr="00976C24">
        <w:rPr>
          <w:lang w:val="fr-FR"/>
        </w:rPr>
        <w:t xml:space="preserve">En Norvège, l’offre alimentaire est </w:t>
      </w:r>
      <w:r>
        <w:rPr>
          <w:lang w:val="fr-FR"/>
        </w:rPr>
        <w:t>satisfaisante et</w:t>
      </w:r>
      <w:r w:rsidRPr="00976C24">
        <w:rPr>
          <w:lang w:val="fr-FR"/>
        </w:rPr>
        <w:t xml:space="preserve"> </w:t>
      </w:r>
      <w:r>
        <w:rPr>
          <w:lang w:val="fr-FR"/>
        </w:rPr>
        <w:t>stable</w:t>
      </w:r>
      <w:r w:rsidRPr="00976C24">
        <w:rPr>
          <w:lang w:val="fr-FR"/>
        </w:rPr>
        <w:t xml:space="preserve"> </w:t>
      </w:r>
      <w:r>
        <w:rPr>
          <w:lang w:val="fr-FR"/>
        </w:rPr>
        <w:t>pour</w:t>
      </w:r>
      <w:r w:rsidRPr="00976C24">
        <w:rPr>
          <w:lang w:val="fr-FR"/>
        </w:rPr>
        <w:t xml:space="preserve"> l’ensemble de la population</w:t>
      </w:r>
      <w:r>
        <w:rPr>
          <w:lang w:val="fr-FR"/>
        </w:rPr>
        <w:t>.</w:t>
      </w:r>
      <w:r w:rsidRPr="00976C24">
        <w:rPr>
          <w:lang w:val="fr-FR"/>
        </w:rPr>
        <w:t xml:space="preserve"> Le taux d’autosuffisance en produits agricoles se situait autour de 50 à 55</w:t>
      </w:r>
      <w:r>
        <w:rPr>
          <w:lang w:val="fr-FR"/>
        </w:rPr>
        <w:t> %</w:t>
      </w:r>
      <w:r w:rsidRPr="00976C24">
        <w:rPr>
          <w:lang w:val="fr-FR"/>
        </w:rPr>
        <w:t xml:space="preserve"> ces dernières années. L</w:t>
      </w:r>
      <w:r>
        <w:rPr>
          <w:lang w:val="fr-FR"/>
        </w:rPr>
        <w:t>e pays</w:t>
      </w:r>
      <w:r w:rsidRPr="00976C24">
        <w:rPr>
          <w:lang w:val="fr-FR"/>
        </w:rPr>
        <w:t xml:space="preserve"> </w:t>
      </w:r>
      <w:r>
        <w:rPr>
          <w:lang w:val="fr-FR"/>
        </w:rPr>
        <w:t>dispose de</w:t>
      </w:r>
      <w:r w:rsidRPr="00976C24">
        <w:rPr>
          <w:lang w:val="fr-FR"/>
        </w:rPr>
        <w:t xml:space="preserve"> systèmes de transformation et de commercialisation </w:t>
      </w:r>
      <w:r>
        <w:rPr>
          <w:lang w:val="fr-FR"/>
        </w:rPr>
        <w:t>dynamiques</w:t>
      </w:r>
      <w:r w:rsidRPr="00976C24">
        <w:rPr>
          <w:lang w:val="fr-FR"/>
        </w:rPr>
        <w:t xml:space="preserve"> qui permettent d’acheminer la nourriture depuis le site de production jusqu’au lieu de destination </w:t>
      </w:r>
      <w:r>
        <w:rPr>
          <w:lang w:val="fr-FR"/>
        </w:rPr>
        <w:t>en fonction de</w:t>
      </w:r>
      <w:r w:rsidRPr="00976C24">
        <w:rPr>
          <w:lang w:val="fr-FR"/>
        </w:rPr>
        <w:t xml:space="preserve"> la demande.</w:t>
      </w:r>
    </w:p>
    <w:p w:rsidR="00903547" w:rsidRPr="00976C24" w:rsidRDefault="00903547" w:rsidP="00B254D6">
      <w:pPr>
        <w:pStyle w:val="SingleTxtG"/>
        <w:rPr>
          <w:lang w:val="fr-FR"/>
        </w:rPr>
      </w:pPr>
      <w:r>
        <w:rPr>
          <w:lang w:val="fr-FR"/>
        </w:rPr>
        <w:t>313.</w:t>
      </w:r>
      <w:r>
        <w:rPr>
          <w:lang w:val="fr-FR"/>
        </w:rPr>
        <w:tab/>
      </w:r>
      <w:r w:rsidRPr="00976C24">
        <w:rPr>
          <w:lang w:val="fr-FR"/>
        </w:rPr>
        <w:t>Les objectifs de la politique alimentaire et nutritionnelle de la Norvège demeurent inchangés et le Comité pourra se reporter au</w:t>
      </w:r>
      <w:r>
        <w:rPr>
          <w:lang w:val="fr-FR"/>
        </w:rPr>
        <w:t xml:space="preserve">x paragraphes 191 à </w:t>
      </w:r>
      <w:r w:rsidRPr="00976C24">
        <w:rPr>
          <w:lang w:val="fr-FR"/>
        </w:rPr>
        <w:t>202</w:t>
      </w:r>
      <w:r>
        <w:rPr>
          <w:lang w:val="fr-FR"/>
        </w:rPr>
        <w:t xml:space="preserve"> du </w:t>
      </w:r>
      <w:r w:rsidRPr="00976C24">
        <w:rPr>
          <w:lang w:val="fr-FR"/>
        </w:rPr>
        <w:t xml:space="preserve">quatrième rapport soumis </w:t>
      </w:r>
      <w:r>
        <w:rPr>
          <w:lang w:val="fr-FR"/>
        </w:rPr>
        <w:t>en vertu du</w:t>
      </w:r>
      <w:r w:rsidRPr="00976C24">
        <w:rPr>
          <w:lang w:val="fr-FR"/>
        </w:rPr>
        <w:t xml:space="preserve"> Pacte international relatif aux droits économique</w:t>
      </w:r>
      <w:r>
        <w:rPr>
          <w:lang w:val="fr-FR"/>
        </w:rPr>
        <w:t>s, sociaux et culturels.</w:t>
      </w:r>
    </w:p>
    <w:p w:rsidR="00903547" w:rsidRPr="00976C24" w:rsidRDefault="00903547" w:rsidP="00B254D6">
      <w:pPr>
        <w:pStyle w:val="SingleTxtG"/>
        <w:rPr>
          <w:lang w:val="fr-FR"/>
        </w:rPr>
      </w:pPr>
      <w:r>
        <w:rPr>
          <w:lang w:val="fr-FR"/>
        </w:rPr>
        <w:t>314.</w:t>
      </w:r>
      <w:r>
        <w:rPr>
          <w:lang w:val="fr-FR"/>
        </w:rPr>
        <w:tab/>
      </w:r>
      <w:r w:rsidRPr="00976C24">
        <w:rPr>
          <w:lang w:val="fr-FR"/>
        </w:rPr>
        <w:t>Le droit à l</w:t>
      </w:r>
      <w:r>
        <w:rPr>
          <w:lang w:val="fr-FR"/>
        </w:rPr>
        <w:t>’alimentation</w:t>
      </w:r>
      <w:r w:rsidRPr="00976C24">
        <w:rPr>
          <w:lang w:val="fr-FR"/>
        </w:rPr>
        <w:t xml:space="preserve"> </w:t>
      </w:r>
      <w:r>
        <w:rPr>
          <w:lang w:val="fr-FR"/>
        </w:rPr>
        <w:t>s’étend à</w:t>
      </w:r>
      <w:r w:rsidRPr="00976C24">
        <w:rPr>
          <w:lang w:val="fr-FR"/>
        </w:rPr>
        <w:t xml:space="preserve"> la sécurité alimentaire. Des enquêtes ont été réalisées </w:t>
      </w:r>
      <w:r>
        <w:rPr>
          <w:lang w:val="fr-FR"/>
        </w:rPr>
        <w:t>auprès d’</w:t>
      </w:r>
      <w:r w:rsidRPr="00976C24">
        <w:rPr>
          <w:lang w:val="fr-FR"/>
        </w:rPr>
        <w:t>enfants de différents groupes d’âge</w:t>
      </w:r>
      <w:r>
        <w:rPr>
          <w:lang w:val="fr-FR"/>
        </w:rPr>
        <w:t>,</w:t>
      </w:r>
      <w:r w:rsidRPr="00976C24">
        <w:rPr>
          <w:lang w:val="fr-FR"/>
        </w:rPr>
        <w:t xml:space="preserve"> d</w:t>
      </w:r>
      <w:r>
        <w:rPr>
          <w:lang w:val="fr-FR"/>
        </w:rPr>
        <w:t>’adultes et de</w:t>
      </w:r>
      <w:r w:rsidRPr="00976C24">
        <w:rPr>
          <w:lang w:val="fr-FR"/>
        </w:rPr>
        <w:t xml:space="preserve"> personnes âgées</w:t>
      </w:r>
      <w:r>
        <w:rPr>
          <w:lang w:val="fr-FR"/>
        </w:rPr>
        <w:t xml:space="preserve"> et</w:t>
      </w:r>
      <w:r w:rsidRPr="00976C24">
        <w:rPr>
          <w:lang w:val="fr-FR"/>
        </w:rPr>
        <w:t xml:space="preserve"> </w:t>
      </w:r>
      <w:r>
        <w:rPr>
          <w:lang w:val="fr-FR"/>
        </w:rPr>
        <w:t>permettent de</w:t>
      </w:r>
      <w:r w:rsidRPr="00976C24">
        <w:rPr>
          <w:lang w:val="fr-FR"/>
        </w:rPr>
        <w:t xml:space="preserve"> calculer la teneur en nutriments et </w:t>
      </w:r>
      <w:r>
        <w:rPr>
          <w:lang w:val="fr-FR"/>
        </w:rPr>
        <w:t>d’</w:t>
      </w:r>
      <w:r w:rsidRPr="00976C24">
        <w:rPr>
          <w:lang w:val="fr-FR"/>
        </w:rPr>
        <w:t>évalu</w:t>
      </w:r>
      <w:r>
        <w:rPr>
          <w:lang w:val="fr-FR"/>
        </w:rPr>
        <w:t>er</w:t>
      </w:r>
      <w:r w:rsidRPr="00976C24">
        <w:rPr>
          <w:lang w:val="fr-FR"/>
        </w:rPr>
        <w:t xml:space="preserve"> l’exposition aux contaminants, additifs, etc. par l’alimentation</w:t>
      </w:r>
      <w:r>
        <w:rPr>
          <w:lang w:val="fr-FR"/>
        </w:rPr>
        <w:t>. L</w:t>
      </w:r>
      <w:r w:rsidRPr="00976C24">
        <w:rPr>
          <w:lang w:val="fr-FR"/>
        </w:rPr>
        <w:t>es évaluations montrent qu</w:t>
      </w:r>
      <w:r>
        <w:rPr>
          <w:lang w:val="fr-FR"/>
        </w:rPr>
        <w:t>’en règle</w:t>
      </w:r>
      <w:r w:rsidRPr="00976C24">
        <w:rPr>
          <w:lang w:val="fr-FR"/>
        </w:rPr>
        <w:t xml:space="preserve"> générale la nourriture offerte sur le marché norvégien est saine</w:t>
      </w:r>
      <w:r>
        <w:rPr>
          <w:lang w:val="fr-FR"/>
        </w:rPr>
        <w:t>.</w:t>
      </w:r>
      <w:r w:rsidRPr="00976C24">
        <w:rPr>
          <w:lang w:val="fr-FR"/>
        </w:rPr>
        <w:t xml:space="preserve"> Dans le cadre de la stratégie nationale sur le droit à une nourriture suffisante, </w:t>
      </w:r>
      <w:r>
        <w:rPr>
          <w:lang w:val="fr-FR"/>
        </w:rPr>
        <w:t xml:space="preserve">s’agissant </w:t>
      </w:r>
      <w:r w:rsidRPr="00976C24">
        <w:rPr>
          <w:lang w:val="fr-FR"/>
        </w:rPr>
        <w:t xml:space="preserve">de </w:t>
      </w:r>
      <w:r>
        <w:rPr>
          <w:lang w:val="fr-FR"/>
        </w:rPr>
        <w:t xml:space="preserve">la </w:t>
      </w:r>
      <w:r w:rsidRPr="00976C24">
        <w:rPr>
          <w:lang w:val="fr-FR"/>
        </w:rPr>
        <w:t>sécurité alimentaire et de</w:t>
      </w:r>
      <w:r>
        <w:rPr>
          <w:lang w:val="fr-FR"/>
        </w:rPr>
        <w:t xml:space="preserve"> la</w:t>
      </w:r>
      <w:r w:rsidRPr="00976C24">
        <w:rPr>
          <w:lang w:val="fr-FR"/>
        </w:rPr>
        <w:t xml:space="preserve"> </w:t>
      </w:r>
      <w:r>
        <w:rPr>
          <w:lang w:val="fr-FR"/>
        </w:rPr>
        <w:t>protection des consommateurs,</w:t>
      </w:r>
      <w:r w:rsidRPr="00976C24">
        <w:rPr>
          <w:lang w:val="fr-FR"/>
        </w:rPr>
        <w:t xml:space="preserve"> une nouvelle loi sur la sécurité alimentaire a été adoptée et est entrée en vigueur le </w:t>
      </w:r>
      <w:r>
        <w:rPr>
          <w:lang w:val="fr-FR"/>
        </w:rPr>
        <w:t>1</w:t>
      </w:r>
      <w:r w:rsidRPr="00B378D7">
        <w:rPr>
          <w:vertAlign w:val="superscript"/>
          <w:lang w:val="fr-FR"/>
        </w:rPr>
        <w:t>er</w:t>
      </w:r>
      <w:r>
        <w:rPr>
          <w:lang w:val="fr-FR"/>
        </w:rPr>
        <w:t xml:space="preserve"> </w:t>
      </w:r>
      <w:r w:rsidRPr="00976C24">
        <w:rPr>
          <w:lang w:val="fr-FR"/>
        </w:rPr>
        <w:t xml:space="preserve">janvier 2004. L’autorité norvégienne de sécurité alimentaire a été créée à la même date. </w:t>
      </w:r>
      <w:bookmarkStart w:id="73" w:name="hit1"/>
      <w:bookmarkStart w:id="74" w:name="hit2"/>
      <w:bookmarkStart w:id="75" w:name="hit_last"/>
      <w:bookmarkEnd w:id="73"/>
      <w:bookmarkEnd w:id="74"/>
      <w:bookmarkEnd w:id="75"/>
    </w:p>
    <w:p w:rsidR="00903547" w:rsidRPr="00976C24" w:rsidRDefault="00903547" w:rsidP="00B254D6">
      <w:pPr>
        <w:pStyle w:val="SingleTxtG"/>
        <w:rPr>
          <w:lang w:val="fr-FR"/>
        </w:rPr>
      </w:pPr>
      <w:r>
        <w:rPr>
          <w:lang w:val="fr-FR"/>
        </w:rPr>
        <w:t>315.</w:t>
      </w:r>
      <w:r>
        <w:rPr>
          <w:lang w:val="fr-FR"/>
        </w:rPr>
        <w:tab/>
      </w:r>
      <w:r w:rsidRPr="00976C24">
        <w:rPr>
          <w:lang w:val="fr-FR"/>
        </w:rPr>
        <w:t xml:space="preserve">La loi sur la sécurité alimentaire et l’autorité de sécurité alimentaire constituent un système global de contrôle qui assure la protection des consommateurs et la sécurité </w:t>
      </w:r>
      <w:r>
        <w:rPr>
          <w:lang w:val="fr-FR"/>
        </w:rPr>
        <w:t>dans</w:t>
      </w:r>
      <w:r w:rsidRPr="00976C24">
        <w:rPr>
          <w:lang w:val="fr-FR"/>
        </w:rPr>
        <w:t xml:space="preserve"> l’ensemble de la chaîne alimentaire</w:t>
      </w:r>
      <w:r>
        <w:rPr>
          <w:lang w:val="fr-FR"/>
        </w:rPr>
        <w:t>.</w:t>
      </w:r>
      <w:r w:rsidRPr="00976C24">
        <w:rPr>
          <w:lang w:val="fr-FR"/>
        </w:rPr>
        <w:t xml:space="preserve"> Ce système </w:t>
      </w:r>
      <w:r>
        <w:rPr>
          <w:lang w:val="fr-FR"/>
        </w:rPr>
        <w:t>a</w:t>
      </w:r>
      <w:r w:rsidRPr="00976C24">
        <w:rPr>
          <w:lang w:val="fr-FR"/>
        </w:rPr>
        <w:t xml:space="preserve"> également </w:t>
      </w:r>
      <w:r>
        <w:rPr>
          <w:lang w:val="fr-FR"/>
        </w:rPr>
        <w:t>pour vocation d’</w:t>
      </w:r>
      <w:r w:rsidRPr="00976C24">
        <w:rPr>
          <w:lang w:val="fr-FR"/>
        </w:rPr>
        <w:t xml:space="preserve">encourager une production respectueuse de l’environnement et des pratiques agricoles éthiques et </w:t>
      </w:r>
      <w:r>
        <w:rPr>
          <w:lang w:val="fr-FR"/>
        </w:rPr>
        <w:t xml:space="preserve">de </w:t>
      </w:r>
      <w:r w:rsidRPr="00976C24">
        <w:rPr>
          <w:lang w:val="fr-FR"/>
        </w:rPr>
        <w:t>promouvoir la santé des humains, des végétaux, des poissons et des animaux</w:t>
      </w:r>
      <w:r>
        <w:rPr>
          <w:lang w:val="fr-FR"/>
        </w:rPr>
        <w:t xml:space="preserve"> en général</w:t>
      </w:r>
      <w:r w:rsidRPr="00976C24">
        <w:rPr>
          <w:lang w:val="fr-FR"/>
        </w:rPr>
        <w:t xml:space="preserve">. </w:t>
      </w:r>
    </w:p>
    <w:p w:rsidR="00903547" w:rsidRPr="00976C24" w:rsidRDefault="00903547" w:rsidP="00B254D6">
      <w:pPr>
        <w:pStyle w:val="SingleTxtG"/>
        <w:rPr>
          <w:lang w:val="fr-FR"/>
        </w:rPr>
      </w:pPr>
      <w:r>
        <w:rPr>
          <w:lang w:val="fr-FR"/>
        </w:rPr>
        <w:t>316.</w:t>
      </w:r>
      <w:r>
        <w:rPr>
          <w:lang w:val="fr-FR"/>
        </w:rPr>
        <w:tab/>
        <w:t>L’organisation et la structure</w:t>
      </w:r>
      <w:r w:rsidRPr="00976C24">
        <w:rPr>
          <w:lang w:val="fr-FR"/>
        </w:rPr>
        <w:t xml:space="preserve"> de la chaîne alimentaire ont fait l’objet d’une attention considérable dans le cadre de la politique agricole et de la concurrence</w:t>
      </w:r>
      <w:r>
        <w:rPr>
          <w:lang w:val="fr-FR"/>
        </w:rPr>
        <w:t>.</w:t>
      </w:r>
      <w:r w:rsidRPr="00976C24">
        <w:rPr>
          <w:lang w:val="fr-FR"/>
        </w:rPr>
        <w:t xml:space="preserve"> La réglementation des marchés agricoles contribue à renforcer la position des agriculteurs sur les marchés de produits alimentaires </w:t>
      </w:r>
      <w:r>
        <w:rPr>
          <w:lang w:val="fr-FR"/>
        </w:rPr>
        <w:t>et la réglementation de l’offre au moyen de</w:t>
      </w:r>
      <w:r w:rsidRPr="00976C24">
        <w:rPr>
          <w:lang w:val="fr-FR"/>
        </w:rPr>
        <w:t xml:space="preserve"> prix indicatifs contribue à stabiliser les prix à la production. </w:t>
      </w:r>
    </w:p>
    <w:p w:rsidR="00903547" w:rsidRPr="00976C24" w:rsidRDefault="00903547" w:rsidP="00B254D6">
      <w:pPr>
        <w:pStyle w:val="SingleTxtG"/>
        <w:rPr>
          <w:lang w:val="fr-FR"/>
        </w:rPr>
      </w:pPr>
      <w:r>
        <w:rPr>
          <w:lang w:val="fr-FR"/>
        </w:rPr>
        <w:t>317.</w:t>
      </w:r>
      <w:r>
        <w:rPr>
          <w:lang w:val="fr-FR"/>
        </w:rPr>
        <w:tab/>
      </w:r>
      <w:r w:rsidRPr="00976C24">
        <w:rPr>
          <w:lang w:val="fr-FR"/>
        </w:rPr>
        <w:t xml:space="preserve">Les océans sont une contribution essentielle à la sécurité alimentaire mondiale. La Norvège produit chaque année plus de 3 millions de tonnes de produits de la mer. La pêche et la production durables de </w:t>
      </w:r>
      <w:r>
        <w:rPr>
          <w:lang w:val="fr-FR"/>
        </w:rPr>
        <w:t xml:space="preserve">ces </w:t>
      </w:r>
      <w:r w:rsidRPr="00976C24">
        <w:rPr>
          <w:lang w:val="fr-FR"/>
        </w:rPr>
        <w:t xml:space="preserve">produits </w:t>
      </w:r>
      <w:r>
        <w:rPr>
          <w:lang w:val="fr-FR"/>
        </w:rPr>
        <w:t>sont</w:t>
      </w:r>
      <w:r w:rsidRPr="00976C24">
        <w:rPr>
          <w:lang w:val="fr-FR"/>
        </w:rPr>
        <w:t xml:space="preserve"> une condition préalable à l’utilisation pleine et entière du potentiel des</w:t>
      </w:r>
      <w:r>
        <w:rPr>
          <w:lang w:val="fr-FR"/>
        </w:rPr>
        <w:t xml:space="preserve"> océans et des zones côtières. Une meilleure exploitation</w:t>
      </w:r>
      <w:r w:rsidRPr="00976C24">
        <w:rPr>
          <w:lang w:val="fr-FR"/>
        </w:rPr>
        <w:t xml:space="preserve"> des ressources en produits de la mer implique également de réduire le gaspillage, de mieux utiliser les produits dérivés et de réduire les pratiques non durables, comme les prises accessoires et les déchets de la pêche. La lutte contre la pêche illicite, non déclarée et non réglementée en est un autre aspect qui </w:t>
      </w:r>
      <w:r>
        <w:rPr>
          <w:lang w:val="fr-FR"/>
        </w:rPr>
        <w:t>est repris dans le nouvel A</w:t>
      </w:r>
      <w:r w:rsidRPr="00976C24">
        <w:rPr>
          <w:lang w:val="fr-FR"/>
        </w:rPr>
        <w:t>ccord de contrôle des navires par l’</w:t>
      </w:r>
      <w:r>
        <w:rPr>
          <w:lang w:val="fr-FR"/>
        </w:rPr>
        <w:t>État</w:t>
      </w:r>
      <w:r w:rsidRPr="00976C24">
        <w:rPr>
          <w:lang w:val="fr-FR"/>
        </w:rPr>
        <w:t xml:space="preserve"> du port, négocié sous les auspices de l’Organisation des Nations Unies pour l’alimentation et l’agriculture (FAO). </w:t>
      </w:r>
    </w:p>
    <w:p w:rsidR="00903547" w:rsidRPr="00976C24" w:rsidRDefault="00903547" w:rsidP="00B254D6">
      <w:pPr>
        <w:pStyle w:val="SingleTxtG"/>
        <w:rPr>
          <w:lang w:val="fr-FR"/>
        </w:rPr>
      </w:pPr>
      <w:r>
        <w:rPr>
          <w:lang w:val="fr-FR"/>
        </w:rPr>
        <w:t>318.</w:t>
      </w:r>
      <w:r>
        <w:rPr>
          <w:lang w:val="fr-FR"/>
        </w:rPr>
        <w:tab/>
      </w:r>
      <w:r w:rsidRPr="00976C24">
        <w:rPr>
          <w:lang w:val="fr-FR"/>
        </w:rPr>
        <w:t xml:space="preserve">La production aquacole, sur terre et dans l’eau, peut contribuer à la sécurité alimentaire et constitue de plus en plus une source protéique et alimentaire. </w:t>
      </w:r>
      <w:r>
        <w:rPr>
          <w:lang w:val="fr-FR"/>
        </w:rPr>
        <w:t>Chacun</w:t>
      </w:r>
      <w:r w:rsidRPr="00976C24">
        <w:rPr>
          <w:lang w:val="fr-FR"/>
        </w:rPr>
        <w:t xml:space="preserve"> sait qu</w:t>
      </w:r>
      <w:r>
        <w:rPr>
          <w:lang w:val="fr-FR"/>
        </w:rPr>
        <w:t>’il est de la plus haute importance de mieux gérer</w:t>
      </w:r>
      <w:r w:rsidRPr="00976C24">
        <w:rPr>
          <w:lang w:val="fr-FR"/>
        </w:rPr>
        <w:t xml:space="preserve"> ce secteur </w:t>
      </w:r>
      <w:r>
        <w:rPr>
          <w:lang w:val="fr-FR"/>
        </w:rPr>
        <w:t>en s’attachant à s</w:t>
      </w:r>
      <w:r w:rsidRPr="00976C24">
        <w:rPr>
          <w:lang w:val="fr-FR"/>
        </w:rPr>
        <w:t>a durabilité.</w:t>
      </w:r>
    </w:p>
    <w:p w:rsidR="00903547" w:rsidRPr="00976C24" w:rsidRDefault="00903547" w:rsidP="00B254D6">
      <w:pPr>
        <w:pStyle w:val="SingleTxtG"/>
        <w:rPr>
          <w:lang w:val="fr-FR"/>
        </w:rPr>
      </w:pPr>
      <w:r>
        <w:rPr>
          <w:lang w:val="fr-FR"/>
        </w:rPr>
        <w:t>319.</w:t>
      </w:r>
      <w:r>
        <w:rPr>
          <w:lang w:val="fr-FR"/>
        </w:rPr>
        <w:tab/>
      </w:r>
      <w:r w:rsidRPr="00976C24">
        <w:rPr>
          <w:lang w:val="fr-FR"/>
        </w:rPr>
        <w:t xml:space="preserve">Les prix sont </w:t>
      </w:r>
      <w:r>
        <w:rPr>
          <w:lang w:val="fr-FR"/>
        </w:rPr>
        <w:t>contrôlés</w:t>
      </w:r>
      <w:r w:rsidRPr="00976C24">
        <w:rPr>
          <w:lang w:val="fr-FR"/>
        </w:rPr>
        <w:t xml:space="preserve"> régulièrement pour avoir une idée de la formation des prix sur les marchés alimentaires et promouvoir une concurrence efficace. La loi sur la concurrence </w:t>
      </w:r>
      <w:r>
        <w:rPr>
          <w:lang w:val="fr-FR"/>
        </w:rPr>
        <w:t>demande à</w:t>
      </w:r>
      <w:r w:rsidRPr="00976C24">
        <w:rPr>
          <w:lang w:val="fr-FR"/>
        </w:rPr>
        <w:t xml:space="preserve"> l’autorité norvégienne de la concurrence de surveiller le marché, notamment pour prévenir des abus </w:t>
      </w:r>
      <w:r>
        <w:rPr>
          <w:lang w:val="fr-FR"/>
        </w:rPr>
        <w:t>de</w:t>
      </w:r>
      <w:r w:rsidRPr="00976C24">
        <w:rPr>
          <w:lang w:val="fr-FR"/>
        </w:rPr>
        <w:t xml:space="preserve"> puissances commerciales. Les affaires de concurrence </w:t>
      </w:r>
      <w:r>
        <w:rPr>
          <w:lang w:val="fr-FR"/>
        </w:rPr>
        <w:t>f</w:t>
      </w:r>
      <w:r w:rsidRPr="00976C24">
        <w:rPr>
          <w:lang w:val="fr-FR"/>
        </w:rPr>
        <w:t xml:space="preserve">ont </w:t>
      </w:r>
      <w:r>
        <w:rPr>
          <w:lang w:val="fr-FR"/>
        </w:rPr>
        <w:t>souvent l’objet</w:t>
      </w:r>
      <w:r w:rsidRPr="00976C24">
        <w:rPr>
          <w:lang w:val="fr-FR"/>
        </w:rPr>
        <w:t xml:space="preserve"> d’actions en justice.</w:t>
      </w:r>
    </w:p>
    <w:p w:rsidR="00903547" w:rsidRPr="00976C24" w:rsidRDefault="00903547" w:rsidP="00B254D6">
      <w:pPr>
        <w:pStyle w:val="SingleTxtG"/>
        <w:rPr>
          <w:lang w:val="fr-FR"/>
        </w:rPr>
      </w:pPr>
      <w:r>
        <w:rPr>
          <w:lang w:val="fr-FR"/>
        </w:rPr>
        <w:t>320.</w:t>
      </w:r>
      <w:r>
        <w:rPr>
          <w:lang w:val="fr-FR"/>
        </w:rPr>
        <w:tab/>
      </w:r>
      <w:r w:rsidRPr="00976C24">
        <w:rPr>
          <w:lang w:val="fr-FR"/>
        </w:rPr>
        <w:t>Les habitudes alimentaires norvégiennes se sont améliorées tout au long des 20</w:t>
      </w:r>
      <w:r>
        <w:rPr>
          <w:lang w:val="fr-FR"/>
        </w:rPr>
        <w:t> </w:t>
      </w:r>
      <w:r w:rsidRPr="00976C24">
        <w:rPr>
          <w:lang w:val="fr-FR"/>
        </w:rPr>
        <w:t>dernières années et des études mettent en évidence la qualité de l’alimentation de la grande majorité de la population. Toutefois des progrès sont encore possible</w:t>
      </w:r>
      <w:r>
        <w:rPr>
          <w:lang w:val="fr-FR"/>
        </w:rPr>
        <w:t>s</w:t>
      </w:r>
      <w:r w:rsidRPr="00976C24">
        <w:rPr>
          <w:lang w:val="fr-FR"/>
        </w:rPr>
        <w:t xml:space="preserve">. La consommation actuelle de fruits et légumes demeure </w:t>
      </w:r>
      <w:r>
        <w:rPr>
          <w:lang w:val="fr-FR"/>
        </w:rPr>
        <w:t>insuffisante et celle</w:t>
      </w:r>
      <w:r w:rsidRPr="00976C24">
        <w:rPr>
          <w:lang w:val="fr-FR"/>
        </w:rPr>
        <w:t xml:space="preserve"> de graisses excessive. </w:t>
      </w:r>
    </w:p>
    <w:p w:rsidR="00903547" w:rsidRPr="00976C24" w:rsidRDefault="00903547" w:rsidP="00B254D6">
      <w:pPr>
        <w:pStyle w:val="SingleTxtG"/>
        <w:rPr>
          <w:lang w:val="fr-FR"/>
        </w:rPr>
      </w:pPr>
      <w:r>
        <w:rPr>
          <w:lang w:val="fr-FR"/>
        </w:rPr>
        <w:t>321.</w:t>
      </w:r>
      <w:r>
        <w:rPr>
          <w:lang w:val="fr-FR"/>
        </w:rPr>
        <w:tab/>
        <w:t>L</w:t>
      </w:r>
      <w:r w:rsidRPr="00976C24">
        <w:rPr>
          <w:lang w:val="fr-FR"/>
        </w:rPr>
        <w:t>e plan d’action sur la nutrition (2001</w:t>
      </w:r>
      <w:r>
        <w:rPr>
          <w:lang w:val="fr-FR"/>
        </w:rPr>
        <w:t>-</w:t>
      </w:r>
      <w:r w:rsidRPr="00976C24">
        <w:rPr>
          <w:lang w:val="fr-FR"/>
        </w:rPr>
        <w:t xml:space="preserve">2011), </w:t>
      </w:r>
      <w:r>
        <w:rPr>
          <w:lang w:val="fr-FR"/>
        </w:rPr>
        <w:t>«</w:t>
      </w:r>
      <w:r w:rsidRPr="00976C24">
        <w:rPr>
          <w:lang w:val="fr-FR"/>
        </w:rPr>
        <w:t>Recette pour un régime plus sain</w:t>
      </w:r>
      <w:r>
        <w:rPr>
          <w:lang w:val="fr-FR"/>
        </w:rPr>
        <w:t>»</w:t>
      </w:r>
      <w:r w:rsidRPr="00976C24">
        <w:rPr>
          <w:lang w:val="fr-FR"/>
        </w:rPr>
        <w:t xml:space="preserve">, </w:t>
      </w:r>
      <w:r>
        <w:rPr>
          <w:lang w:val="fr-FR"/>
        </w:rPr>
        <w:t xml:space="preserve">comprend </w:t>
      </w:r>
      <w:r w:rsidRPr="00976C24">
        <w:rPr>
          <w:lang w:val="fr-FR"/>
        </w:rPr>
        <w:t xml:space="preserve">des mesures pour améliorer le régime alimentaire de la population par des incitations économiques, comme l’introduction d’une taxe sur les aliments présentant des risques pour la santé. En 2007, une taxe sur les boissons sans alcool a été restructurée </w:t>
      </w:r>
      <w:r>
        <w:rPr>
          <w:lang w:val="fr-FR"/>
        </w:rPr>
        <w:t>pour s’appliquer</w:t>
      </w:r>
      <w:r w:rsidRPr="00976C24">
        <w:rPr>
          <w:lang w:val="fr-FR"/>
        </w:rPr>
        <w:t xml:space="preserve"> uniquement </w:t>
      </w:r>
      <w:r>
        <w:rPr>
          <w:lang w:val="fr-FR"/>
        </w:rPr>
        <w:t>aux</w:t>
      </w:r>
      <w:r w:rsidRPr="00976C24">
        <w:rPr>
          <w:lang w:val="fr-FR"/>
        </w:rPr>
        <w:t xml:space="preserve"> boissons sucrées et non </w:t>
      </w:r>
      <w:r>
        <w:rPr>
          <w:lang w:val="fr-FR"/>
        </w:rPr>
        <w:t xml:space="preserve">à </w:t>
      </w:r>
      <w:r w:rsidRPr="00976C24">
        <w:rPr>
          <w:lang w:val="fr-FR"/>
        </w:rPr>
        <w:t xml:space="preserve">l’eau en bouteille. Cette taxe a ensuite été augmentée au niveau </w:t>
      </w:r>
      <w:r>
        <w:rPr>
          <w:lang w:val="fr-FR"/>
        </w:rPr>
        <w:t>d</w:t>
      </w:r>
      <w:r w:rsidRPr="00976C24">
        <w:rPr>
          <w:lang w:val="fr-FR"/>
        </w:rPr>
        <w:t xml:space="preserve">e </w:t>
      </w:r>
      <w:r>
        <w:rPr>
          <w:lang w:val="fr-FR"/>
        </w:rPr>
        <w:t>celle qui frappe</w:t>
      </w:r>
      <w:r w:rsidRPr="00976C24">
        <w:rPr>
          <w:lang w:val="fr-FR"/>
        </w:rPr>
        <w:t xml:space="preserve"> la bière peu alcoolisée.</w:t>
      </w:r>
    </w:p>
    <w:p w:rsidR="00903547" w:rsidRPr="00976C24" w:rsidRDefault="00903547" w:rsidP="0071086E">
      <w:pPr>
        <w:pStyle w:val="H23G"/>
        <w:rPr>
          <w:lang w:val="fr-FR"/>
        </w:rPr>
      </w:pPr>
      <w:r w:rsidRPr="00976C24">
        <w:rPr>
          <w:lang w:val="fr-FR"/>
        </w:rPr>
        <w:tab/>
        <w:t>b)</w:t>
      </w:r>
      <w:r w:rsidRPr="00976C24">
        <w:rPr>
          <w:lang w:val="fr-FR"/>
        </w:rPr>
        <w:tab/>
        <w:t>Mesures prises pour diffuser la connaissance des principes nutritionnels, notamment des régimes alimentaires sains (E/2009/22-E/C.12/2008/3, annexe VIII, par.</w:t>
      </w:r>
      <w:r>
        <w:rPr>
          <w:lang w:val="fr-FR"/>
        </w:rPr>
        <w:t> </w:t>
      </w:r>
      <w:r w:rsidRPr="00976C24">
        <w:rPr>
          <w:lang w:val="fr-FR"/>
        </w:rPr>
        <w:t xml:space="preserve">45) </w:t>
      </w:r>
    </w:p>
    <w:p w:rsidR="00903547" w:rsidRPr="00976C24" w:rsidRDefault="00903547" w:rsidP="00B254D6">
      <w:pPr>
        <w:pStyle w:val="SingleTxtG"/>
        <w:rPr>
          <w:lang w:val="fr-FR"/>
        </w:rPr>
      </w:pPr>
      <w:r>
        <w:rPr>
          <w:lang w:val="fr-FR"/>
        </w:rPr>
        <w:t>322.</w:t>
      </w:r>
      <w:r>
        <w:rPr>
          <w:lang w:val="fr-FR"/>
        </w:rPr>
        <w:tab/>
      </w:r>
      <w:r w:rsidRPr="00976C24">
        <w:rPr>
          <w:lang w:val="fr-FR"/>
        </w:rPr>
        <w:t>En 2007, le plan d’action sur la nutrition (2007</w:t>
      </w:r>
      <w:r>
        <w:rPr>
          <w:lang w:val="fr-FR"/>
        </w:rPr>
        <w:t>-</w:t>
      </w:r>
      <w:r w:rsidRPr="00976C24">
        <w:rPr>
          <w:lang w:val="fr-FR"/>
        </w:rPr>
        <w:t xml:space="preserve">2011) a </w:t>
      </w:r>
      <w:r>
        <w:rPr>
          <w:lang w:val="fr-FR"/>
        </w:rPr>
        <w:t xml:space="preserve">instauré </w:t>
      </w:r>
      <w:r w:rsidRPr="00976C24">
        <w:rPr>
          <w:lang w:val="fr-FR"/>
        </w:rPr>
        <w:t xml:space="preserve">une coopération entre 12 ministères. Les principaux objectifs </w:t>
      </w:r>
      <w:r>
        <w:rPr>
          <w:lang w:val="fr-FR"/>
        </w:rPr>
        <w:t>s</w:t>
      </w:r>
      <w:r w:rsidRPr="00976C24">
        <w:rPr>
          <w:lang w:val="fr-FR"/>
        </w:rPr>
        <w:t>ont les suivants</w:t>
      </w:r>
      <w:r>
        <w:rPr>
          <w:lang w:val="fr-FR"/>
        </w:rPr>
        <w:t>:</w:t>
      </w:r>
      <w:r w:rsidRPr="00976C24">
        <w:rPr>
          <w:lang w:val="fr-FR"/>
        </w:rPr>
        <w:t xml:space="preserve"> adapter le régime alimentaire aux recommandations des autorités sanitaires et réduire les inégalités sociales en matière d’habitudes alimentaires. </w:t>
      </w:r>
      <w:r>
        <w:rPr>
          <w:lang w:val="fr-FR"/>
        </w:rPr>
        <w:t>Le G</w:t>
      </w:r>
      <w:r w:rsidRPr="00976C24">
        <w:rPr>
          <w:lang w:val="fr-FR"/>
        </w:rPr>
        <w:t xml:space="preserve">ouvernement alloue </w:t>
      </w:r>
      <w:r>
        <w:rPr>
          <w:lang w:val="fr-FR"/>
        </w:rPr>
        <w:t xml:space="preserve">chaque année </w:t>
      </w:r>
      <w:r w:rsidRPr="00976C24">
        <w:rPr>
          <w:lang w:val="fr-FR"/>
        </w:rPr>
        <w:t xml:space="preserve">36 millions de couronnes </w:t>
      </w:r>
      <w:r>
        <w:rPr>
          <w:lang w:val="fr-FR"/>
        </w:rPr>
        <w:t>à</w:t>
      </w:r>
      <w:r w:rsidRPr="00976C24">
        <w:rPr>
          <w:lang w:val="fr-FR"/>
        </w:rPr>
        <w:t xml:space="preserve"> la mise en œuvre du plan.</w:t>
      </w:r>
    </w:p>
    <w:p w:rsidR="00903547" w:rsidRPr="00976C24" w:rsidRDefault="00903547" w:rsidP="00B254D6">
      <w:pPr>
        <w:pStyle w:val="SingleTxtG"/>
        <w:rPr>
          <w:lang w:val="fr-FR"/>
        </w:rPr>
      </w:pPr>
      <w:r>
        <w:rPr>
          <w:lang w:val="fr-FR"/>
        </w:rPr>
        <w:t>323.</w:t>
      </w:r>
      <w:r>
        <w:rPr>
          <w:lang w:val="fr-FR"/>
        </w:rPr>
        <w:tab/>
        <w:t>Le</w:t>
      </w:r>
      <w:r w:rsidRPr="00976C24">
        <w:rPr>
          <w:lang w:val="fr-FR"/>
        </w:rPr>
        <w:t xml:space="preserve"> plan d’action </w:t>
      </w:r>
      <w:r>
        <w:rPr>
          <w:lang w:val="fr-FR"/>
        </w:rPr>
        <w:t>comprend des stratégies destinées à</w:t>
      </w:r>
      <w:r w:rsidRPr="00976C24">
        <w:rPr>
          <w:lang w:val="fr-FR"/>
        </w:rPr>
        <w:t xml:space="preserve"> renforcer les connaissances des consommateurs en matière de nutrition </w:t>
      </w:r>
      <w:r>
        <w:rPr>
          <w:lang w:val="fr-FR"/>
        </w:rPr>
        <w:t>et</w:t>
      </w:r>
      <w:r w:rsidRPr="00976C24">
        <w:rPr>
          <w:lang w:val="fr-FR"/>
        </w:rPr>
        <w:t xml:space="preserve"> les </w:t>
      </w:r>
      <w:r>
        <w:rPr>
          <w:lang w:val="fr-FR"/>
        </w:rPr>
        <w:t>compétences</w:t>
      </w:r>
      <w:r w:rsidRPr="00976C24">
        <w:rPr>
          <w:lang w:val="fr-FR"/>
        </w:rPr>
        <w:t xml:space="preserve"> du personnel d’encadrement. </w:t>
      </w:r>
    </w:p>
    <w:p w:rsidR="00903547" w:rsidRPr="00976C24" w:rsidRDefault="00903547" w:rsidP="00B254D6">
      <w:pPr>
        <w:pStyle w:val="SingleTxtG"/>
        <w:rPr>
          <w:lang w:val="fr-FR"/>
        </w:rPr>
      </w:pPr>
      <w:r>
        <w:rPr>
          <w:lang w:val="fr-FR"/>
        </w:rPr>
        <w:t>324.</w:t>
      </w:r>
      <w:r>
        <w:rPr>
          <w:lang w:val="fr-FR"/>
        </w:rPr>
        <w:tab/>
        <w:t xml:space="preserve">Il s’agit notamment </w:t>
      </w:r>
      <w:r w:rsidRPr="00976C24">
        <w:rPr>
          <w:lang w:val="fr-FR"/>
        </w:rPr>
        <w:t>de documents d’information</w:t>
      </w:r>
      <w:r>
        <w:rPr>
          <w:lang w:val="fr-FR"/>
        </w:rPr>
        <w:t xml:space="preserve"> ciblant les consommateurs, de</w:t>
      </w:r>
      <w:r w:rsidRPr="00976C24">
        <w:rPr>
          <w:lang w:val="fr-FR"/>
        </w:rPr>
        <w:t xml:space="preserve"> </w:t>
      </w:r>
      <w:r>
        <w:rPr>
          <w:lang w:val="fr-FR"/>
        </w:rPr>
        <w:t>communications aux médias et de</w:t>
      </w:r>
      <w:r w:rsidRPr="00976C24">
        <w:rPr>
          <w:lang w:val="fr-FR"/>
        </w:rPr>
        <w:t xml:space="preserve"> programmes de formation pour le personnel d’encadrement dans les domaines de la santé, de l’éducation et de la production vivrière. Les groupes </w:t>
      </w:r>
      <w:r>
        <w:rPr>
          <w:lang w:val="fr-FR"/>
        </w:rPr>
        <w:t>visés</w:t>
      </w:r>
      <w:r w:rsidRPr="00976C24">
        <w:rPr>
          <w:lang w:val="fr-FR"/>
        </w:rPr>
        <w:t xml:space="preserve"> varient en fonction du sujet mais les informations générales s’adressent à l’ensemble de la population. Les élèves sont considérés comme un groupe cible </w:t>
      </w:r>
      <w:r>
        <w:rPr>
          <w:lang w:val="fr-FR"/>
        </w:rPr>
        <w:t>majeur</w:t>
      </w:r>
      <w:r w:rsidRPr="00976C24">
        <w:rPr>
          <w:lang w:val="fr-FR"/>
        </w:rPr>
        <w:t>.</w:t>
      </w:r>
    </w:p>
    <w:p w:rsidR="00903547" w:rsidRPr="00976C24" w:rsidRDefault="00903547" w:rsidP="00B254D6">
      <w:pPr>
        <w:pStyle w:val="SingleTxtG"/>
        <w:rPr>
          <w:lang w:val="fr-FR"/>
        </w:rPr>
      </w:pPr>
      <w:r>
        <w:rPr>
          <w:lang w:val="fr-FR"/>
        </w:rPr>
        <w:t>325.</w:t>
      </w:r>
      <w:r>
        <w:rPr>
          <w:lang w:val="fr-FR"/>
        </w:rPr>
        <w:tab/>
      </w:r>
      <w:r w:rsidRPr="00976C24">
        <w:rPr>
          <w:lang w:val="fr-FR"/>
        </w:rPr>
        <w:t>L’une des principales activités des deux dernières années a été l</w:t>
      </w:r>
      <w:r>
        <w:rPr>
          <w:lang w:val="fr-FR"/>
        </w:rPr>
        <w:t>’introduction</w:t>
      </w:r>
      <w:r w:rsidRPr="00976C24">
        <w:rPr>
          <w:lang w:val="fr-FR"/>
        </w:rPr>
        <w:t xml:space="preserve"> d’un label alimentaire qui doit permettre de choisir des aliments sains. Il s’agit d’un trou de serrure vert et ce label est désormais en place sur le marché norvégien.</w:t>
      </w:r>
    </w:p>
    <w:p w:rsidR="00903547" w:rsidRPr="00976C24" w:rsidRDefault="00903547" w:rsidP="0071086E">
      <w:pPr>
        <w:pStyle w:val="H23G"/>
        <w:rPr>
          <w:lang w:val="fr-FR"/>
        </w:rPr>
      </w:pPr>
      <w:r w:rsidRPr="00976C24">
        <w:rPr>
          <w:lang w:val="fr-FR"/>
        </w:rPr>
        <w:tab/>
        <w:t>c)</w:t>
      </w:r>
      <w:r w:rsidRPr="00976C24">
        <w:rPr>
          <w:lang w:val="fr-FR"/>
        </w:rPr>
        <w:tab/>
        <w:t xml:space="preserve">Mesures prises pour faire en sorte que les individus et groupes défavorisés et marginalisés, notamment les paysans sans terre et les personnes appartenant à des minorités, aient accès, dans des conditions d’égalité, à la nourriture, à la terre, au crédit, aux ressources naturelles et à la technologie </w:t>
      </w:r>
      <w:r>
        <w:rPr>
          <w:lang w:val="fr-FR"/>
        </w:rPr>
        <w:t>au titre de</w:t>
      </w:r>
      <w:r w:rsidRPr="00976C24">
        <w:rPr>
          <w:lang w:val="fr-FR"/>
        </w:rPr>
        <w:t xml:space="preserve"> la production de nourriture (E/2009/22-E/C.12/2008/3, annexe VIII, par.</w:t>
      </w:r>
      <w:r>
        <w:rPr>
          <w:lang w:val="fr-FR"/>
        </w:rPr>
        <w:t> </w:t>
      </w:r>
      <w:r w:rsidRPr="00976C24">
        <w:rPr>
          <w:lang w:val="fr-FR"/>
        </w:rPr>
        <w:t>46)</w:t>
      </w:r>
    </w:p>
    <w:p w:rsidR="00903547" w:rsidRPr="00976C24" w:rsidRDefault="00903547" w:rsidP="00B254D6">
      <w:pPr>
        <w:pStyle w:val="SingleTxtG"/>
        <w:rPr>
          <w:lang w:val="fr-FR"/>
        </w:rPr>
      </w:pPr>
      <w:r>
        <w:rPr>
          <w:lang w:val="fr-FR"/>
        </w:rPr>
        <w:t>326.</w:t>
      </w:r>
      <w:r>
        <w:rPr>
          <w:lang w:val="fr-FR"/>
        </w:rPr>
        <w:tab/>
      </w:r>
      <w:r w:rsidRPr="00976C24">
        <w:rPr>
          <w:lang w:val="fr-FR"/>
        </w:rPr>
        <w:t>L’agriculture norvégienne bénéficie d</w:t>
      </w:r>
      <w:r>
        <w:rPr>
          <w:lang w:val="fr-FR"/>
        </w:rPr>
        <w:t>’une structure solide</w:t>
      </w:r>
      <w:r w:rsidRPr="00976C24">
        <w:rPr>
          <w:lang w:val="fr-FR"/>
        </w:rPr>
        <w:t xml:space="preserve"> et les terres agricoles sont essentiellement privées. L’insécurité et les conflits </w:t>
      </w:r>
      <w:r>
        <w:rPr>
          <w:lang w:val="fr-FR"/>
        </w:rPr>
        <w:t>autour des droits de propriété et l’exploitation des terres sont</w:t>
      </w:r>
      <w:r w:rsidRPr="00976C24">
        <w:rPr>
          <w:lang w:val="fr-FR"/>
        </w:rPr>
        <w:t xml:space="preserve"> minim</w:t>
      </w:r>
      <w:r>
        <w:rPr>
          <w:lang w:val="fr-FR"/>
        </w:rPr>
        <w:t>es</w:t>
      </w:r>
      <w:r w:rsidRPr="00976C24">
        <w:rPr>
          <w:lang w:val="fr-FR"/>
        </w:rPr>
        <w:t>. Le nombre total d’exploitations agricoles s’est réd</w:t>
      </w:r>
      <w:r>
        <w:rPr>
          <w:lang w:val="fr-FR"/>
        </w:rPr>
        <w:t>uit au fil des années en raison</w:t>
      </w:r>
      <w:r w:rsidRPr="00976C24">
        <w:rPr>
          <w:lang w:val="fr-FR"/>
        </w:rPr>
        <w:t xml:space="preserve"> d’une meilleure productivité, mais la superficie agricole reste stable ou a légèrement augmenté</w:t>
      </w:r>
      <w:r>
        <w:rPr>
          <w:lang w:val="fr-FR"/>
        </w:rPr>
        <w:t>,</w:t>
      </w:r>
      <w:r w:rsidRPr="00976C24">
        <w:rPr>
          <w:lang w:val="fr-FR"/>
        </w:rPr>
        <w:t xml:space="preserve"> les terres des agriculteurs </w:t>
      </w:r>
      <w:r>
        <w:rPr>
          <w:lang w:val="fr-FR"/>
        </w:rPr>
        <w:t>retraités</w:t>
      </w:r>
      <w:r w:rsidRPr="00976C24">
        <w:rPr>
          <w:lang w:val="fr-FR"/>
        </w:rPr>
        <w:t xml:space="preserve"> </w:t>
      </w:r>
      <w:r>
        <w:rPr>
          <w:lang w:val="fr-FR"/>
        </w:rPr>
        <w:t>étant</w:t>
      </w:r>
      <w:r w:rsidRPr="00976C24">
        <w:rPr>
          <w:lang w:val="fr-FR"/>
        </w:rPr>
        <w:t xml:space="preserve"> louées ou vendues.</w:t>
      </w:r>
    </w:p>
    <w:p w:rsidR="00903547" w:rsidRPr="00976C24" w:rsidRDefault="00903547" w:rsidP="00B254D6">
      <w:pPr>
        <w:pStyle w:val="SingleTxtG"/>
        <w:rPr>
          <w:lang w:val="fr-FR"/>
        </w:rPr>
      </w:pPr>
      <w:r>
        <w:rPr>
          <w:lang w:val="fr-FR"/>
        </w:rPr>
        <w:t>327.</w:t>
      </w:r>
      <w:r>
        <w:rPr>
          <w:lang w:val="fr-FR"/>
        </w:rPr>
        <w:tab/>
        <w:t>Depuis plusieurs décennies, l</w:t>
      </w:r>
      <w:r w:rsidRPr="00976C24">
        <w:rPr>
          <w:lang w:val="fr-FR"/>
        </w:rPr>
        <w:t xml:space="preserve">a Norvège </w:t>
      </w:r>
      <w:r>
        <w:rPr>
          <w:lang w:val="fr-FR"/>
        </w:rPr>
        <w:t>mène</w:t>
      </w:r>
      <w:r w:rsidRPr="00976C24">
        <w:rPr>
          <w:lang w:val="fr-FR"/>
        </w:rPr>
        <w:t xml:space="preserve"> une politique agricole qui vise à assurer une production da</w:t>
      </w:r>
      <w:r>
        <w:rPr>
          <w:lang w:val="fr-FR"/>
        </w:rPr>
        <w:t>ns tout le pays et à préserver d</w:t>
      </w:r>
      <w:r w:rsidRPr="00976C24">
        <w:rPr>
          <w:lang w:val="fr-FR"/>
        </w:rPr>
        <w:t xml:space="preserve">es terres agricoles pour la production vivrière. La politique agricole doit parallèlement laisser </w:t>
      </w:r>
      <w:r>
        <w:rPr>
          <w:lang w:val="fr-FR"/>
        </w:rPr>
        <w:t>une</w:t>
      </w:r>
      <w:r w:rsidRPr="00976C24">
        <w:rPr>
          <w:lang w:val="fr-FR"/>
        </w:rPr>
        <w:t xml:space="preserve"> place à la diversité et aux petites exploitations. Cet aspect est rég</w:t>
      </w:r>
      <w:r>
        <w:rPr>
          <w:lang w:val="fr-FR"/>
        </w:rPr>
        <w:t xml:space="preserve">i </w:t>
      </w:r>
      <w:r w:rsidRPr="00976C24">
        <w:rPr>
          <w:lang w:val="fr-FR"/>
        </w:rPr>
        <w:t>par tout un ensemble de règlements.</w:t>
      </w:r>
    </w:p>
    <w:p w:rsidR="00903547" w:rsidRPr="00976C24" w:rsidRDefault="00903547" w:rsidP="00B254D6">
      <w:pPr>
        <w:pStyle w:val="SingleTxtG"/>
        <w:rPr>
          <w:lang w:val="fr-FR"/>
        </w:rPr>
      </w:pPr>
      <w:r>
        <w:rPr>
          <w:lang w:val="fr-FR"/>
        </w:rPr>
        <w:t>328.</w:t>
      </w:r>
      <w:r>
        <w:rPr>
          <w:lang w:val="fr-FR"/>
        </w:rPr>
        <w:tab/>
      </w:r>
      <w:r w:rsidRPr="00976C24">
        <w:rPr>
          <w:lang w:val="fr-FR"/>
        </w:rPr>
        <w:t>Dans une perspective comparative mondiale, l’agriculture norvégienne se caractérise par des petites structures</w:t>
      </w:r>
      <w:r>
        <w:rPr>
          <w:lang w:val="fr-FR"/>
        </w:rPr>
        <w:t xml:space="preserve"> confrontées à</w:t>
      </w:r>
      <w:r w:rsidRPr="00976C24">
        <w:rPr>
          <w:lang w:val="fr-FR"/>
        </w:rPr>
        <w:t xml:space="preserve"> des conditions climatiques, topographiques et opérationnelles contraignantes. </w:t>
      </w:r>
      <w:r>
        <w:rPr>
          <w:lang w:val="fr-FR"/>
        </w:rPr>
        <w:t>Au titre de</w:t>
      </w:r>
      <w:r w:rsidRPr="00976C24">
        <w:rPr>
          <w:lang w:val="fr-FR"/>
        </w:rPr>
        <w:t xml:space="preserve"> sa politique agricole, le Gouvernement a utilisé différentes formes d’aide à la</w:t>
      </w:r>
      <w:r>
        <w:rPr>
          <w:lang w:val="fr-FR"/>
        </w:rPr>
        <w:t xml:space="preserve"> production pour réaliser s</w:t>
      </w:r>
      <w:r w:rsidRPr="00976C24">
        <w:rPr>
          <w:lang w:val="fr-FR"/>
        </w:rPr>
        <w:t xml:space="preserve">es objectifs. L’aide a été </w:t>
      </w:r>
      <w:r>
        <w:rPr>
          <w:lang w:val="fr-FR"/>
        </w:rPr>
        <w:t>énormément</w:t>
      </w:r>
      <w:r w:rsidRPr="00976C24">
        <w:rPr>
          <w:lang w:val="fr-FR"/>
        </w:rPr>
        <w:t xml:space="preserve"> modulée </w:t>
      </w:r>
      <w:r>
        <w:rPr>
          <w:lang w:val="fr-FR"/>
        </w:rPr>
        <w:t>suivant</w:t>
      </w:r>
      <w:r w:rsidRPr="00976C24">
        <w:rPr>
          <w:lang w:val="fr-FR"/>
        </w:rPr>
        <w:t xml:space="preserve"> la structure et la situation géographique des </w:t>
      </w:r>
      <w:r>
        <w:rPr>
          <w:lang w:val="fr-FR"/>
        </w:rPr>
        <w:t>exploitations et a ainsi</w:t>
      </w:r>
      <w:r w:rsidRPr="00976C24">
        <w:rPr>
          <w:lang w:val="fr-FR"/>
        </w:rPr>
        <w:t xml:space="preserve"> permis de poursuivre des activités agricoles dans des régions </w:t>
      </w:r>
      <w:r>
        <w:rPr>
          <w:lang w:val="fr-FR"/>
        </w:rPr>
        <w:t xml:space="preserve">et des exploitations </w:t>
      </w:r>
      <w:r w:rsidRPr="00976C24">
        <w:rPr>
          <w:lang w:val="fr-FR"/>
        </w:rPr>
        <w:t>reculées</w:t>
      </w:r>
      <w:r>
        <w:rPr>
          <w:lang w:val="fr-FR"/>
        </w:rPr>
        <w:t>,</w:t>
      </w:r>
      <w:r w:rsidRPr="00976C24">
        <w:rPr>
          <w:lang w:val="fr-FR"/>
        </w:rPr>
        <w:t xml:space="preserve"> handic</w:t>
      </w:r>
      <w:r>
        <w:rPr>
          <w:lang w:val="fr-FR"/>
        </w:rPr>
        <w:t>apées par d</w:t>
      </w:r>
      <w:r w:rsidRPr="00976C24">
        <w:rPr>
          <w:lang w:val="fr-FR"/>
        </w:rPr>
        <w:t>es problèmes opérationnels et climatiques. Une aide spécial</w:t>
      </w:r>
      <w:r>
        <w:rPr>
          <w:lang w:val="fr-FR"/>
        </w:rPr>
        <w:t>e</w:t>
      </w:r>
      <w:r w:rsidRPr="00976C24">
        <w:rPr>
          <w:lang w:val="fr-FR"/>
        </w:rPr>
        <w:t xml:space="preserve"> </w:t>
      </w:r>
      <w:r>
        <w:rPr>
          <w:lang w:val="fr-FR"/>
        </w:rPr>
        <w:t>vient soutenir</w:t>
      </w:r>
      <w:r w:rsidRPr="00976C24">
        <w:rPr>
          <w:lang w:val="fr-FR"/>
        </w:rPr>
        <w:t xml:space="preserve"> l’agriculture dans la partie la plus septentrionale du pays.</w:t>
      </w:r>
    </w:p>
    <w:p w:rsidR="00903547" w:rsidRPr="00976C24" w:rsidRDefault="00903547" w:rsidP="00B254D6">
      <w:pPr>
        <w:pStyle w:val="SingleTxtG"/>
        <w:rPr>
          <w:lang w:val="fr-FR"/>
        </w:rPr>
      </w:pPr>
      <w:r>
        <w:rPr>
          <w:lang w:val="fr-FR"/>
        </w:rPr>
        <w:t>329.</w:t>
      </w:r>
      <w:r>
        <w:rPr>
          <w:lang w:val="fr-FR"/>
        </w:rPr>
        <w:tab/>
      </w:r>
      <w:r w:rsidRPr="00976C24">
        <w:rPr>
          <w:lang w:val="fr-FR"/>
        </w:rPr>
        <w:t xml:space="preserve">La Norvège </w:t>
      </w:r>
      <w:r>
        <w:rPr>
          <w:lang w:val="fr-FR"/>
        </w:rPr>
        <w:t xml:space="preserve">mène </w:t>
      </w:r>
      <w:r w:rsidRPr="00976C24">
        <w:rPr>
          <w:lang w:val="fr-FR"/>
        </w:rPr>
        <w:t xml:space="preserve">une politique agricole diversifiée pour assurer la pérennité des exploitations les moins viables économiquement </w:t>
      </w:r>
      <w:r>
        <w:rPr>
          <w:lang w:val="fr-FR"/>
        </w:rPr>
        <w:t>depuis</w:t>
      </w:r>
      <w:r w:rsidRPr="00976C24">
        <w:rPr>
          <w:lang w:val="fr-FR"/>
        </w:rPr>
        <w:t xml:space="preserve"> plusieurs décennies. Cette politique a été </w:t>
      </w:r>
      <w:r>
        <w:rPr>
          <w:lang w:val="fr-FR"/>
        </w:rPr>
        <w:t>poursuivie</w:t>
      </w:r>
      <w:r w:rsidRPr="00976C24">
        <w:rPr>
          <w:lang w:val="fr-FR"/>
        </w:rPr>
        <w:t xml:space="preserve"> pendant la période</w:t>
      </w:r>
      <w:r>
        <w:rPr>
          <w:lang w:val="fr-FR"/>
        </w:rPr>
        <w:t xml:space="preserve"> agitée qu’ont</w:t>
      </w:r>
      <w:r w:rsidRPr="00976C24">
        <w:rPr>
          <w:lang w:val="fr-FR"/>
        </w:rPr>
        <w:t xml:space="preserve"> connue les marchés de produits alimentaires mondiaux ces dernières années et </w:t>
      </w:r>
      <w:r>
        <w:rPr>
          <w:lang w:val="fr-FR"/>
        </w:rPr>
        <w:t>s’appuie sur</w:t>
      </w:r>
      <w:r w:rsidRPr="00976C24">
        <w:rPr>
          <w:lang w:val="fr-FR"/>
        </w:rPr>
        <w:t xml:space="preserve"> des mesures de protection tarifaire pour pr</w:t>
      </w:r>
      <w:r>
        <w:rPr>
          <w:lang w:val="fr-FR"/>
        </w:rPr>
        <w:t>éserver</w:t>
      </w:r>
      <w:r w:rsidRPr="00976C24">
        <w:rPr>
          <w:lang w:val="fr-FR"/>
        </w:rPr>
        <w:t xml:space="preserve"> les</w:t>
      </w:r>
      <w:r>
        <w:rPr>
          <w:lang w:val="fr-FR"/>
        </w:rPr>
        <w:t xml:space="preserve"> principaux</w:t>
      </w:r>
      <w:r w:rsidRPr="00976C24">
        <w:rPr>
          <w:lang w:val="fr-FR"/>
        </w:rPr>
        <w:t xml:space="preserve"> secteurs agricoles norvégiens.</w:t>
      </w:r>
    </w:p>
    <w:p w:rsidR="00903547" w:rsidRPr="00976C24" w:rsidRDefault="00903547" w:rsidP="0071086E">
      <w:pPr>
        <w:pStyle w:val="H23G"/>
        <w:rPr>
          <w:lang w:val="fr-FR"/>
        </w:rPr>
      </w:pPr>
      <w:r w:rsidRPr="00976C24">
        <w:rPr>
          <w:lang w:val="fr-FR"/>
        </w:rPr>
        <w:tab/>
        <w:t>d)</w:t>
      </w:r>
      <w:r w:rsidRPr="00976C24">
        <w:rPr>
          <w:lang w:val="fr-FR"/>
        </w:rPr>
        <w:tab/>
        <w:t>Adoption des Directives volontaires à l’appui de la concrétisation progressive du droit à une alimentation suffisante dans le contexte de la sécurité alimentaire nationale (E/2009/22-E/C.12/2008/3, annexe VIII, par.</w:t>
      </w:r>
      <w:r>
        <w:rPr>
          <w:lang w:val="fr-FR"/>
        </w:rPr>
        <w:t> </w:t>
      </w:r>
      <w:r w:rsidRPr="00976C24">
        <w:rPr>
          <w:lang w:val="fr-FR"/>
        </w:rPr>
        <w:t>47)</w:t>
      </w:r>
    </w:p>
    <w:p w:rsidR="00903547" w:rsidRPr="00976C24" w:rsidRDefault="00903547" w:rsidP="00B254D6">
      <w:pPr>
        <w:pStyle w:val="SingleTxtG"/>
        <w:rPr>
          <w:lang w:val="fr-FR"/>
        </w:rPr>
      </w:pPr>
      <w:r>
        <w:rPr>
          <w:lang w:val="fr-FR"/>
        </w:rPr>
        <w:t>330.</w:t>
      </w:r>
      <w:r>
        <w:rPr>
          <w:lang w:val="fr-FR"/>
        </w:rPr>
        <w:tab/>
      </w:r>
      <w:r w:rsidRPr="00976C24">
        <w:rPr>
          <w:lang w:val="fr-FR"/>
        </w:rPr>
        <w:t xml:space="preserve">Les Directives volontaires à l’appui de la concrétisation progressive du droit à une alimentation suffisante dans le contexte de la sécurité alimentaire nationale ont été, dans une large mesure, adoptées </w:t>
      </w:r>
      <w:r w:rsidRPr="00976C24">
        <w:rPr>
          <w:i/>
          <w:lang w:val="fr-FR"/>
        </w:rPr>
        <w:t>de facto</w:t>
      </w:r>
      <w:r w:rsidRPr="00976C24">
        <w:rPr>
          <w:lang w:val="fr-FR"/>
        </w:rPr>
        <w:t xml:space="preserve"> par le biais de la loi sur la sécurité alimentaire et les</w:t>
      </w:r>
      <w:r>
        <w:rPr>
          <w:lang w:val="fr-FR"/>
        </w:rPr>
        <w:t xml:space="preserve"> politiques nationales agricole</w:t>
      </w:r>
      <w:r w:rsidRPr="00976C24">
        <w:rPr>
          <w:lang w:val="fr-FR"/>
        </w:rPr>
        <w:t xml:space="preserve"> et de la concurrence.</w:t>
      </w:r>
    </w:p>
    <w:p w:rsidR="00903547" w:rsidRPr="00976C24" w:rsidRDefault="00903547" w:rsidP="0071086E">
      <w:pPr>
        <w:pStyle w:val="H23G"/>
        <w:rPr>
          <w:lang w:val="fr-FR"/>
        </w:rPr>
      </w:pPr>
      <w:bookmarkStart w:id="76" w:name="_Toc265062233"/>
      <w:r w:rsidRPr="00976C24">
        <w:rPr>
          <w:lang w:val="fr-FR"/>
        </w:rPr>
        <w:tab/>
        <w:t>3.</w:t>
      </w:r>
      <w:r w:rsidRPr="00976C24">
        <w:rPr>
          <w:lang w:val="fr-FR"/>
        </w:rPr>
        <w:tab/>
      </w:r>
      <w:bookmarkStart w:id="77" w:name="_Toc286326388"/>
      <w:r w:rsidRPr="00976C24">
        <w:rPr>
          <w:lang w:val="fr-FR"/>
        </w:rPr>
        <w:t>Le droit à l’eau</w:t>
      </w:r>
      <w:bookmarkEnd w:id="76"/>
      <w:bookmarkEnd w:id="77"/>
    </w:p>
    <w:p w:rsidR="00903547" w:rsidRPr="00976C24" w:rsidRDefault="00903547" w:rsidP="0071086E">
      <w:pPr>
        <w:pStyle w:val="H23G"/>
        <w:rPr>
          <w:lang w:val="fr-FR"/>
        </w:rPr>
      </w:pPr>
      <w:r w:rsidRPr="00976C24">
        <w:rPr>
          <w:lang w:val="fr-FR"/>
        </w:rPr>
        <w:tab/>
        <w:t>a)</w:t>
      </w:r>
      <w:r w:rsidRPr="00976C24">
        <w:rPr>
          <w:lang w:val="fr-FR"/>
        </w:rPr>
        <w:tab/>
        <w:t>Mesures prises pour assurer à tous un accès adéquat, à un prix abordable, à une eau salubre en quantité suffisante pour les usages personnels et domestiques (E/2009/22-E/C.12/2008/3, annexe VIII, par.</w:t>
      </w:r>
      <w:r>
        <w:rPr>
          <w:lang w:val="fr-FR"/>
        </w:rPr>
        <w:t> </w:t>
      </w:r>
      <w:r w:rsidRPr="00976C24">
        <w:rPr>
          <w:lang w:val="fr-FR"/>
        </w:rPr>
        <w:t>48)</w:t>
      </w:r>
    </w:p>
    <w:p w:rsidR="00903547" w:rsidRPr="00976C24" w:rsidRDefault="00903547" w:rsidP="00B254D6">
      <w:pPr>
        <w:pStyle w:val="SingleTxtG"/>
        <w:rPr>
          <w:lang w:val="fr-FR"/>
        </w:rPr>
      </w:pPr>
      <w:r>
        <w:rPr>
          <w:lang w:val="fr-FR"/>
        </w:rPr>
        <w:t>331.</w:t>
      </w:r>
      <w:r>
        <w:rPr>
          <w:lang w:val="fr-FR"/>
        </w:rPr>
        <w:tab/>
      </w:r>
      <w:r w:rsidRPr="00976C24">
        <w:rPr>
          <w:lang w:val="fr-FR"/>
        </w:rPr>
        <w:t xml:space="preserve">En Norvège, l’eau potable est fournie par les services publics d’approvisionnement en eau. La majorité des </w:t>
      </w:r>
      <w:r>
        <w:rPr>
          <w:lang w:val="fr-FR"/>
        </w:rPr>
        <w:t>foyers</w:t>
      </w:r>
      <w:r w:rsidRPr="00976C24">
        <w:rPr>
          <w:lang w:val="fr-FR"/>
        </w:rPr>
        <w:t xml:space="preserve"> norvégiens (90</w:t>
      </w:r>
      <w:r>
        <w:rPr>
          <w:lang w:val="fr-FR"/>
        </w:rPr>
        <w:t> %</w:t>
      </w:r>
      <w:r w:rsidRPr="00976C24">
        <w:rPr>
          <w:lang w:val="fr-FR"/>
        </w:rPr>
        <w:t xml:space="preserve">) </w:t>
      </w:r>
      <w:r>
        <w:rPr>
          <w:lang w:val="fr-FR"/>
        </w:rPr>
        <w:t>est raccordée</w:t>
      </w:r>
      <w:r w:rsidRPr="00976C24">
        <w:rPr>
          <w:lang w:val="fr-FR"/>
        </w:rPr>
        <w:t xml:space="preserve"> à ces services qui sont la propriété de la municipalité ou d’une coopérative d’usagers. La loi sur les réseaux hydrographiques et les eaux souterraines</w:t>
      </w:r>
      <w:r w:rsidRPr="00976C24">
        <w:rPr>
          <w:rStyle w:val="FootnoteReference"/>
          <w:lang w:val="fr-FR"/>
        </w:rPr>
        <w:footnoteReference w:id="14"/>
      </w:r>
      <w:r w:rsidRPr="00976C24">
        <w:rPr>
          <w:lang w:val="fr-FR"/>
        </w:rPr>
        <w:t xml:space="preserve"> </w:t>
      </w:r>
      <w:r>
        <w:rPr>
          <w:lang w:val="fr-FR"/>
        </w:rPr>
        <w:t>assure l’accès des</w:t>
      </w:r>
      <w:r w:rsidRPr="00976C24">
        <w:rPr>
          <w:lang w:val="fr-FR"/>
        </w:rPr>
        <w:t xml:space="preserve"> propriétaire</w:t>
      </w:r>
      <w:r>
        <w:rPr>
          <w:lang w:val="fr-FR"/>
        </w:rPr>
        <w:t>s</w:t>
      </w:r>
      <w:r w:rsidRPr="00976C24">
        <w:rPr>
          <w:lang w:val="fr-FR"/>
        </w:rPr>
        <w:t xml:space="preserve"> à des quantités d’eau suffisantes pour un usage domestique à partir d’une source d’eaux superficielles ou d’une nappe phréatique situées sur ses terres. Ce droit peut être exproprié dans le cas de propriétés sans accès direct à une source d’eaux superficielles ou souterraines. </w:t>
      </w:r>
    </w:p>
    <w:p w:rsidR="00903547" w:rsidRPr="00976C24" w:rsidRDefault="00903547" w:rsidP="00B254D6">
      <w:pPr>
        <w:pStyle w:val="SingleTxtG"/>
        <w:rPr>
          <w:lang w:val="fr-FR"/>
        </w:rPr>
      </w:pPr>
      <w:r>
        <w:rPr>
          <w:bCs/>
          <w:lang w:val="fr-FR"/>
        </w:rPr>
        <w:t>332.</w:t>
      </w:r>
      <w:r>
        <w:rPr>
          <w:bCs/>
          <w:lang w:val="fr-FR"/>
        </w:rPr>
        <w:tab/>
        <w:t xml:space="preserve">Quatre-vingt-dix pour cent </w:t>
      </w:r>
      <w:r w:rsidRPr="00976C24">
        <w:rPr>
          <w:bCs/>
          <w:lang w:val="fr-FR"/>
        </w:rPr>
        <w:t xml:space="preserve">de la population norvégienne </w:t>
      </w:r>
      <w:r>
        <w:rPr>
          <w:bCs/>
          <w:lang w:val="fr-FR"/>
        </w:rPr>
        <w:t>est alimentée</w:t>
      </w:r>
      <w:r w:rsidRPr="00976C24">
        <w:rPr>
          <w:bCs/>
          <w:lang w:val="fr-FR"/>
        </w:rPr>
        <w:t xml:space="preserve"> par des réseaux de distribution agréés </w:t>
      </w:r>
      <w:r>
        <w:rPr>
          <w:bCs/>
          <w:lang w:val="fr-FR"/>
        </w:rPr>
        <w:t>et</w:t>
      </w:r>
      <w:r w:rsidRPr="00976C24">
        <w:rPr>
          <w:bCs/>
          <w:lang w:val="fr-FR"/>
        </w:rPr>
        <w:t xml:space="preserve"> </w:t>
      </w:r>
      <w:r w:rsidRPr="00976C24">
        <w:rPr>
          <w:lang w:val="fr-FR"/>
        </w:rPr>
        <w:t xml:space="preserve">0,03 % </w:t>
      </w:r>
      <w:r>
        <w:rPr>
          <w:lang w:val="fr-FR"/>
        </w:rPr>
        <w:t xml:space="preserve">reçoit </w:t>
      </w:r>
      <w:r w:rsidRPr="00976C24">
        <w:rPr>
          <w:lang w:val="fr-FR"/>
        </w:rPr>
        <w:t xml:space="preserve">de temps à autre </w:t>
      </w:r>
      <w:r>
        <w:rPr>
          <w:lang w:val="fr-FR"/>
        </w:rPr>
        <w:t xml:space="preserve">une </w:t>
      </w:r>
      <w:r w:rsidRPr="00976C24">
        <w:rPr>
          <w:lang w:val="fr-FR"/>
        </w:rPr>
        <w:t xml:space="preserve">eau </w:t>
      </w:r>
      <w:r>
        <w:rPr>
          <w:lang w:val="fr-FR"/>
        </w:rPr>
        <w:t>non</w:t>
      </w:r>
      <w:r w:rsidRPr="00976C24">
        <w:rPr>
          <w:lang w:val="fr-FR"/>
        </w:rPr>
        <w:t xml:space="preserve"> conforme aux normes norvégiennes </w:t>
      </w:r>
      <w:r>
        <w:rPr>
          <w:lang w:val="fr-FR"/>
        </w:rPr>
        <w:t>correspondant à</w:t>
      </w:r>
      <w:r w:rsidRPr="00976C24">
        <w:rPr>
          <w:lang w:val="fr-FR"/>
        </w:rPr>
        <w:t xml:space="preserve"> une eau salubre sur le plan microbiologique. Ceci </w:t>
      </w:r>
      <w:r>
        <w:rPr>
          <w:lang w:val="fr-FR"/>
        </w:rPr>
        <w:t>concerne</w:t>
      </w:r>
      <w:r w:rsidRPr="00976C24">
        <w:rPr>
          <w:lang w:val="fr-FR"/>
        </w:rPr>
        <w:t xml:space="preserve"> principalement </w:t>
      </w:r>
      <w:r>
        <w:rPr>
          <w:lang w:val="fr-FR"/>
        </w:rPr>
        <w:t>les coopératives</w:t>
      </w:r>
      <w:r w:rsidRPr="00976C24">
        <w:rPr>
          <w:lang w:val="fr-FR"/>
        </w:rPr>
        <w:t xml:space="preserve"> et l’autorité chargée du contrôle des aliments mène des campagnes pour qu’elles traitent leur eau (désinfection). Il n’existe pas de surveillance centralisée des petits réseaux de distribution pour les 10</w:t>
      </w:r>
      <w:r>
        <w:rPr>
          <w:lang w:val="fr-FR"/>
        </w:rPr>
        <w:t> </w:t>
      </w:r>
      <w:r w:rsidRPr="00976C24">
        <w:rPr>
          <w:lang w:val="fr-FR"/>
        </w:rPr>
        <w:t>% de la population qui n</w:t>
      </w:r>
      <w:r>
        <w:rPr>
          <w:lang w:val="fr-FR"/>
        </w:rPr>
        <w:t>e sont pas alimentés</w:t>
      </w:r>
      <w:r w:rsidRPr="00976C24">
        <w:rPr>
          <w:lang w:val="fr-FR"/>
        </w:rPr>
        <w:t xml:space="preserve"> par des réseaux agréés, mais la municipalité (le médecin) et l’autorité locale de contrôle des aliments ont les moyens d’intervenir s’ils considèrent qu’un petit réseau présente des risques pour la santé. Les </w:t>
      </w:r>
      <w:r>
        <w:rPr>
          <w:lang w:val="fr-FR"/>
        </w:rPr>
        <w:t>foyers et</w:t>
      </w:r>
      <w:r w:rsidRPr="00976C24">
        <w:rPr>
          <w:lang w:val="fr-FR"/>
        </w:rPr>
        <w:t xml:space="preserve"> les exploitations agricoles iso</w:t>
      </w:r>
      <w:r>
        <w:rPr>
          <w:lang w:val="fr-FR"/>
        </w:rPr>
        <w:t>lé</w:t>
      </w:r>
      <w:r w:rsidRPr="00976C24">
        <w:rPr>
          <w:lang w:val="fr-FR"/>
        </w:rPr>
        <w:t xml:space="preserve">s et les très petits réseaux de distribution d’eau peuvent subir des coupures lors d’hivers froids et peu enneigés en raison du gel du sol et des canalisations. </w:t>
      </w:r>
    </w:p>
    <w:p w:rsidR="00903547" w:rsidRPr="00976C24" w:rsidRDefault="00903547" w:rsidP="00B254D6">
      <w:pPr>
        <w:pStyle w:val="SingleTxtG"/>
        <w:rPr>
          <w:lang w:val="fr-FR"/>
        </w:rPr>
      </w:pPr>
      <w:r>
        <w:rPr>
          <w:lang w:val="fr-FR"/>
        </w:rPr>
        <w:t>333.</w:t>
      </w:r>
      <w:r>
        <w:rPr>
          <w:lang w:val="fr-FR"/>
        </w:rPr>
        <w:tab/>
      </w:r>
      <w:r w:rsidRPr="00976C24">
        <w:rPr>
          <w:lang w:val="fr-FR"/>
        </w:rPr>
        <w:t>Selon un rapport publié le 6 mai 2010 par l’Insti</w:t>
      </w:r>
      <w:r>
        <w:rPr>
          <w:lang w:val="fr-FR"/>
        </w:rPr>
        <w:t>tut norvégien de santé publique</w:t>
      </w:r>
      <w:r w:rsidRPr="00976C24">
        <w:rPr>
          <w:rStyle w:val="FootnoteReference"/>
          <w:lang w:val="fr-FR"/>
        </w:rPr>
        <w:footnoteReference w:id="15"/>
      </w:r>
      <w:r>
        <w:rPr>
          <w:lang w:val="fr-FR"/>
        </w:rPr>
        <w:t>,</w:t>
      </w:r>
      <w:r w:rsidRPr="00976C24">
        <w:rPr>
          <w:lang w:val="fr-FR"/>
        </w:rPr>
        <w:t xml:space="preserve"> la Norvège </w:t>
      </w:r>
      <w:r>
        <w:rPr>
          <w:lang w:val="fr-FR"/>
        </w:rPr>
        <w:t>fait</w:t>
      </w:r>
      <w:r w:rsidRPr="00976C24">
        <w:rPr>
          <w:lang w:val="fr-FR"/>
        </w:rPr>
        <w:t xml:space="preserve"> face à un problème grandissant d’alimentation en eau salubre en qu</w:t>
      </w:r>
      <w:r>
        <w:rPr>
          <w:lang w:val="fr-FR"/>
        </w:rPr>
        <w:t>antité</w:t>
      </w:r>
      <w:r w:rsidRPr="00976C24">
        <w:rPr>
          <w:lang w:val="fr-FR"/>
        </w:rPr>
        <w:t xml:space="preserve"> suffisante en raison du mauvais état des canalisations </w:t>
      </w:r>
      <w:r>
        <w:rPr>
          <w:lang w:val="fr-FR"/>
        </w:rPr>
        <w:t>qui datent de l’après-</w:t>
      </w:r>
      <w:r w:rsidRPr="00976C24">
        <w:rPr>
          <w:lang w:val="fr-FR"/>
        </w:rPr>
        <w:t>guerre.</w:t>
      </w:r>
    </w:p>
    <w:p w:rsidR="00903547" w:rsidRPr="00976C24" w:rsidRDefault="00903547" w:rsidP="00B254D6">
      <w:pPr>
        <w:pStyle w:val="SingleTxtG"/>
        <w:rPr>
          <w:lang w:val="fr-FR"/>
        </w:rPr>
      </w:pPr>
      <w:r>
        <w:rPr>
          <w:lang w:val="fr-FR"/>
        </w:rPr>
        <w:t>334.</w:t>
      </w:r>
      <w:r>
        <w:rPr>
          <w:lang w:val="fr-FR"/>
        </w:rPr>
        <w:tab/>
      </w:r>
      <w:r w:rsidRPr="00976C24">
        <w:rPr>
          <w:lang w:val="fr-FR"/>
        </w:rPr>
        <w:t xml:space="preserve">Les municipalités n’ont légalement aucun droit de tirer des bénéfices des services d’adduction d’eau et les coopératives agissent conformément à l’intérêt de leurs propriétaires, qui sont les utilisateurs. Ceci </w:t>
      </w:r>
      <w:r>
        <w:rPr>
          <w:lang w:val="fr-FR"/>
        </w:rPr>
        <w:t xml:space="preserve">garantit un faible coût </w:t>
      </w:r>
      <w:r w:rsidRPr="00976C24">
        <w:rPr>
          <w:lang w:val="fr-FR"/>
        </w:rPr>
        <w:t>et des services abordables</w:t>
      </w:r>
      <w:r>
        <w:rPr>
          <w:lang w:val="fr-FR"/>
        </w:rPr>
        <w:t xml:space="preserve"> pour les usagers</w:t>
      </w:r>
      <w:r w:rsidRPr="00976C24">
        <w:rPr>
          <w:lang w:val="fr-FR"/>
        </w:rPr>
        <w:t xml:space="preserve">. Les ménages </w:t>
      </w:r>
      <w:r>
        <w:rPr>
          <w:lang w:val="fr-FR"/>
        </w:rPr>
        <w:t>disposant d’</w:t>
      </w:r>
      <w:r w:rsidRPr="00976C24">
        <w:rPr>
          <w:lang w:val="fr-FR"/>
        </w:rPr>
        <w:t xml:space="preserve">un très faible revenu peuvent demander une aide de l’assistance sociale pour couvrir ces dépenses. </w:t>
      </w:r>
    </w:p>
    <w:p w:rsidR="00903547" w:rsidRPr="00976C24" w:rsidRDefault="00903547" w:rsidP="00B254D6">
      <w:pPr>
        <w:pStyle w:val="SingleTxtG"/>
        <w:rPr>
          <w:lang w:val="fr-FR"/>
        </w:rPr>
      </w:pPr>
      <w:r>
        <w:rPr>
          <w:lang w:val="fr-FR"/>
        </w:rPr>
        <w:t>335.</w:t>
      </w:r>
      <w:r>
        <w:rPr>
          <w:lang w:val="fr-FR"/>
        </w:rPr>
        <w:tab/>
        <w:t>Le r</w:t>
      </w:r>
      <w:r w:rsidRPr="00976C24">
        <w:rPr>
          <w:lang w:val="fr-FR"/>
        </w:rPr>
        <w:t>èglement sur l’utilisation et la salubrité de l’eau</w:t>
      </w:r>
      <w:r w:rsidRPr="00976C24">
        <w:rPr>
          <w:rStyle w:val="FootnoteReference"/>
          <w:lang w:val="fr-FR"/>
        </w:rPr>
        <w:footnoteReference w:id="16"/>
      </w:r>
      <w:r w:rsidRPr="00976C24">
        <w:rPr>
          <w:lang w:val="fr-FR"/>
        </w:rPr>
        <w:t xml:space="preserve"> énonce des critères minimum </w:t>
      </w:r>
      <w:r>
        <w:rPr>
          <w:lang w:val="fr-FR"/>
        </w:rPr>
        <w:t>applicables à la surveillance de</w:t>
      </w:r>
      <w:r w:rsidRPr="00976C24">
        <w:rPr>
          <w:lang w:val="fr-FR"/>
        </w:rPr>
        <w:t xml:space="preserve"> la qualité de l’eau potable </w:t>
      </w:r>
      <w:r>
        <w:rPr>
          <w:lang w:val="fr-FR"/>
        </w:rPr>
        <w:t>dans</w:t>
      </w:r>
      <w:r w:rsidRPr="00976C24">
        <w:rPr>
          <w:lang w:val="fr-FR"/>
        </w:rPr>
        <w:t xml:space="preserve"> tous les réseaux alimentant plus de 50 personnes, mais tous les fournisseurs doivent respecter les valeurs paramétriques spécifiées dans le</w:t>
      </w:r>
      <w:r>
        <w:rPr>
          <w:lang w:val="fr-FR"/>
        </w:rPr>
        <w:t>s</w:t>
      </w:r>
      <w:r w:rsidRPr="00976C24">
        <w:rPr>
          <w:lang w:val="fr-FR"/>
        </w:rPr>
        <w:t xml:space="preserve"> règlement</w:t>
      </w:r>
      <w:r>
        <w:rPr>
          <w:lang w:val="fr-FR"/>
        </w:rPr>
        <w:t>s</w:t>
      </w:r>
      <w:r w:rsidRPr="00976C24">
        <w:rPr>
          <w:lang w:val="fr-FR"/>
        </w:rPr>
        <w:t xml:space="preserve">. La seule exception concerne la fourniture d’eau aux </w:t>
      </w:r>
      <w:r>
        <w:rPr>
          <w:lang w:val="fr-FR"/>
        </w:rPr>
        <w:t>foyers isolés</w:t>
      </w:r>
      <w:r w:rsidRPr="00976C24">
        <w:rPr>
          <w:lang w:val="fr-FR"/>
        </w:rPr>
        <w:t>, auquel cas le règlement n’est qu’une simple recommandation.</w:t>
      </w:r>
    </w:p>
    <w:p w:rsidR="00903547" w:rsidRPr="00976C24" w:rsidRDefault="00903547" w:rsidP="0071086E">
      <w:pPr>
        <w:pStyle w:val="H23G"/>
        <w:rPr>
          <w:lang w:val="fr-FR"/>
        </w:rPr>
      </w:pPr>
      <w:r w:rsidRPr="00976C24">
        <w:rPr>
          <w:lang w:val="fr-FR"/>
        </w:rPr>
        <w:tab/>
        <w:t>b)</w:t>
      </w:r>
      <w:r w:rsidRPr="00976C24">
        <w:rPr>
          <w:lang w:val="fr-FR"/>
        </w:rPr>
        <w:tab/>
        <w:t>Diffusion d’informations concernant l’utilisation hygiénique de l’eau, la protection des sources d’eau et les méthodes propres à réduire le gaspillage (E/2009/22-E/C.12/2008/3, annexe VIII, par.</w:t>
      </w:r>
      <w:r>
        <w:rPr>
          <w:lang w:val="fr-FR"/>
        </w:rPr>
        <w:t> </w:t>
      </w:r>
      <w:r w:rsidRPr="00976C24">
        <w:rPr>
          <w:lang w:val="fr-FR"/>
        </w:rPr>
        <w:t>49)</w:t>
      </w:r>
    </w:p>
    <w:p w:rsidR="00903547" w:rsidRPr="00976C24" w:rsidRDefault="00903547" w:rsidP="00B254D6">
      <w:pPr>
        <w:pStyle w:val="SingleTxtG"/>
        <w:rPr>
          <w:lang w:val="fr-FR"/>
        </w:rPr>
      </w:pPr>
      <w:r>
        <w:rPr>
          <w:lang w:val="fr-FR"/>
        </w:rPr>
        <w:t>336.</w:t>
      </w:r>
      <w:r>
        <w:rPr>
          <w:lang w:val="fr-FR"/>
        </w:rPr>
        <w:tab/>
        <w:t>D</w:t>
      </w:r>
      <w:r w:rsidRPr="00976C24">
        <w:rPr>
          <w:lang w:val="fr-FR"/>
        </w:rPr>
        <w:t xml:space="preserve">es informations sur l’utilisation et la salubrité de l’eau </w:t>
      </w:r>
      <w:r>
        <w:rPr>
          <w:lang w:val="fr-FR"/>
        </w:rPr>
        <w:t>sont intégrées dans le</w:t>
      </w:r>
      <w:r w:rsidRPr="00976C24">
        <w:rPr>
          <w:lang w:val="fr-FR"/>
        </w:rPr>
        <w:t xml:space="preserve"> programme scolaire général. En Norvège, il n’est pas vraiment nécessaire d’appliquer des mesures d’économie d’eau car le pays dispose d’amples ressources en eau, à l’exception de quelques communautés insulaires.</w:t>
      </w:r>
    </w:p>
    <w:p w:rsidR="00903547" w:rsidRPr="00976C24" w:rsidRDefault="00903547" w:rsidP="0071086E">
      <w:pPr>
        <w:pStyle w:val="H23G"/>
        <w:rPr>
          <w:lang w:val="fr-FR"/>
        </w:rPr>
      </w:pPr>
      <w:bookmarkStart w:id="78" w:name="_Toc265062234"/>
      <w:r w:rsidRPr="00976C24">
        <w:rPr>
          <w:lang w:val="fr-FR"/>
        </w:rPr>
        <w:tab/>
        <w:t>4.</w:t>
      </w:r>
      <w:r w:rsidRPr="00976C24">
        <w:rPr>
          <w:lang w:val="fr-FR"/>
        </w:rPr>
        <w:tab/>
      </w:r>
      <w:bookmarkStart w:id="79" w:name="_Toc286326389"/>
      <w:r w:rsidRPr="00976C24">
        <w:rPr>
          <w:lang w:val="fr-FR"/>
        </w:rPr>
        <w:t xml:space="preserve">Le droit à un logement </w:t>
      </w:r>
      <w:r>
        <w:rPr>
          <w:lang w:val="fr-FR"/>
        </w:rPr>
        <w:t>adéquat</w:t>
      </w:r>
      <w:bookmarkEnd w:id="78"/>
      <w:bookmarkEnd w:id="79"/>
    </w:p>
    <w:p w:rsidR="00903547" w:rsidRPr="00976C24" w:rsidRDefault="00903547" w:rsidP="00B254D6">
      <w:pPr>
        <w:pStyle w:val="SingleTxtG"/>
        <w:rPr>
          <w:lang w:val="fr-FR"/>
        </w:rPr>
      </w:pPr>
      <w:r>
        <w:rPr>
          <w:lang w:val="fr-FR"/>
        </w:rPr>
        <w:t>337.</w:t>
      </w:r>
      <w:r>
        <w:rPr>
          <w:lang w:val="fr-FR"/>
        </w:rPr>
        <w:tab/>
      </w:r>
      <w:r w:rsidRPr="00976C24">
        <w:rPr>
          <w:lang w:val="fr-FR"/>
        </w:rPr>
        <w:t>La Norvège est à la première place d</w:t>
      </w:r>
      <w:r>
        <w:rPr>
          <w:lang w:val="fr-FR"/>
        </w:rPr>
        <w:t>e l’I</w:t>
      </w:r>
      <w:r w:rsidRPr="00976C24">
        <w:rPr>
          <w:lang w:val="fr-FR"/>
        </w:rPr>
        <w:t>ndice de développement humain pour 2009 du Programme des Nations Unies pour le développement (PNUD). S’agissant d</w:t>
      </w:r>
      <w:r>
        <w:rPr>
          <w:lang w:val="fr-FR"/>
        </w:rPr>
        <w:t>u n</w:t>
      </w:r>
      <w:r w:rsidRPr="00976C24">
        <w:rPr>
          <w:lang w:val="fr-FR"/>
        </w:rPr>
        <w:t xml:space="preserve">iveau de vie en Norvège, le Comité pourra se reporter à l’appendice statistique </w:t>
      </w:r>
      <w:r>
        <w:rPr>
          <w:lang w:val="fr-FR"/>
        </w:rPr>
        <w:t>d</w:t>
      </w:r>
      <w:r w:rsidRPr="00976C24">
        <w:rPr>
          <w:lang w:val="fr-FR"/>
        </w:rPr>
        <w:t xml:space="preserve">u rapport du PNUD sur le développement humain </w:t>
      </w:r>
      <w:r w:rsidRPr="00D407D0">
        <w:rPr>
          <w:lang w:val="fr-FR"/>
        </w:rPr>
        <w:t>2009</w:t>
      </w:r>
      <w:r w:rsidRPr="00976C24">
        <w:rPr>
          <w:rStyle w:val="FootnoteReference"/>
          <w:lang w:val="fr-FR"/>
        </w:rPr>
        <w:footnoteReference w:id="17"/>
      </w:r>
      <w:r>
        <w:rPr>
          <w:lang w:val="fr-FR"/>
        </w:rPr>
        <w:t>.</w:t>
      </w:r>
      <w:r w:rsidRPr="00976C24">
        <w:rPr>
          <w:lang w:val="fr-FR"/>
        </w:rPr>
        <w:t xml:space="preserve"> Néanmoins, même si le niveau de vie général est élevé en Norvège, il reste des problèmes à résoudre concernant certains groupes vulnérables. </w:t>
      </w:r>
    </w:p>
    <w:p w:rsidR="00903547" w:rsidRPr="00976C24" w:rsidRDefault="00903547" w:rsidP="0071086E">
      <w:pPr>
        <w:pStyle w:val="H23G"/>
        <w:rPr>
          <w:lang w:val="fr-FR"/>
        </w:rPr>
      </w:pPr>
      <w:r w:rsidRPr="00976C24">
        <w:rPr>
          <w:lang w:val="fr-FR"/>
        </w:rPr>
        <w:tab/>
        <w:t>a)</w:t>
      </w:r>
      <w:r w:rsidRPr="00976C24">
        <w:rPr>
          <w:lang w:val="fr-FR"/>
        </w:rPr>
        <w:tab/>
        <w:t>Problème des sans-abri</w:t>
      </w:r>
    </w:p>
    <w:p w:rsidR="00903547" w:rsidRPr="00976C24" w:rsidRDefault="00903547" w:rsidP="00B254D6">
      <w:pPr>
        <w:pStyle w:val="SingleTxtG"/>
        <w:rPr>
          <w:lang w:val="fr-FR"/>
        </w:rPr>
      </w:pPr>
      <w:r>
        <w:rPr>
          <w:lang w:val="fr-FR"/>
        </w:rPr>
        <w:t>338.</w:t>
      </w:r>
      <w:r>
        <w:rPr>
          <w:lang w:val="fr-FR"/>
        </w:rPr>
        <w:tab/>
      </w:r>
      <w:r w:rsidRPr="00976C24">
        <w:rPr>
          <w:lang w:val="fr-FR"/>
        </w:rPr>
        <w:t xml:space="preserve">Les actions menées pour prévenir et </w:t>
      </w:r>
      <w:r>
        <w:rPr>
          <w:lang w:val="fr-FR"/>
        </w:rPr>
        <w:t>combattre</w:t>
      </w:r>
      <w:r w:rsidRPr="00976C24">
        <w:rPr>
          <w:lang w:val="fr-FR"/>
        </w:rPr>
        <w:t xml:space="preserve"> le problème des sans-abri émanent de plusieurs ministères et administrations publiques et de nombreux instruments et mesures ont été élaborés pour s’attaquer au problème. Les municipalités jouent un rôle majeur à cet égard. Conformément à la législation sur les services sociaux, les autorités municipales sont chargées d’aider les personnes les plus défavorisées à trouver un logement et d’offrir des services sociaux à la population de la municipalité. Les sans-abri et les personnes qui risquent de le devenir ont souvent des problèmes sous-jacents, comme la toxicomanie, des dettes ou une mauvaise santé. Il est important de conseiller les personnes endettées, d</w:t>
      </w:r>
      <w:r>
        <w:rPr>
          <w:lang w:val="fr-FR"/>
        </w:rPr>
        <w:t>e fournir</w:t>
      </w:r>
      <w:r w:rsidRPr="00976C24">
        <w:rPr>
          <w:lang w:val="fr-FR"/>
        </w:rPr>
        <w:t xml:space="preserve"> une assistance pratique, des soins médicaux et </w:t>
      </w:r>
      <w:r>
        <w:rPr>
          <w:lang w:val="fr-FR"/>
        </w:rPr>
        <w:t>un</w:t>
      </w:r>
      <w:r w:rsidRPr="00976C24">
        <w:rPr>
          <w:lang w:val="fr-FR"/>
        </w:rPr>
        <w:t xml:space="preserve"> suivi en matière de logement pour permettre à </w:t>
      </w:r>
      <w:r>
        <w:rPr>
          <w:lang w:val="fr-FR"/>
        </w:rPr>
        <w:t>chacun</w:t>
      </w:r>
      <w:r w:rsidRPr="00976C24">
        <w:rPr>
          <w:lang w:val="fr-FR"/>
        </w:rPr>
        <w:t xml:space="preserve"> de continuer à vivre </w:t>
      </w:r>
      <w:r>
        <w:rPr>
          <w:lang w:val="fr-FR"/>
        </w:rPr>
        <w:t>à son domicile</w:t>
      </w:r>
      <w:r w:rsidRPr="00976C24">
        <w:rPr>
          <w:lang w:val="fr-FR"/>
        </w:rPr>
        <w:t>.</w:t>
      </w:r>
    </w:p>
    <w:p w:rsidR="00903547" w:rsidRPr="00976C24" w:rsidRDefault="00903547" w:rsidP="0071086E">
      <w:pPr>
        <w:pStyle w:val="H23G"/>
        <w:rPr>
          <w:lang w:val="fr-FR"/>
        </w:rPr>
      </w:pPr>
      <w:r w:rsidRPr="00976C24">
        <w:rPr>
          <w:lang w:val="fr-FR"/>
        </w:rPr>
        <w:tab/>
        <w:t>b)</w:t>
      </w:r>
      <w:r w:rsidRPr="00976C24">
        <w:rPr>
          <w:lang w:val="fr-FR"/>
        </w:rPr>
        <w:tab/>
        <w:t>Hébergement des demandeurs d’asile déboutés avant leur r</w:t>
      </w:r>
      <w:r>
        <w:rPr>
          <w:lang w:val="fr-FR"/>
        </w:rPr>
        <w:t>apatriement</w:t>
      </w:r>
    </w:p>
    <w:p w:rsidR="00903547" w:rsidRPr="00976C24" w:rsidRDefault="00903547" w:rsidP="00B254D6">
      <w:pPr>
        <w:pStyle w:val="SingleTxtG"/>
        <w:rPr>
          <w:lang w:val="fr-FR"/>
        </w:rPr>
      </w:pPr>
      <w:r>
        <w:rPr>
          <w:lang w:val="fr-FR"/>
        </w:rPr>
        <w:t>339.</w:t>
      </w:r>
      <w:r>
        <w:rPr>
          <w:lang w:val="fr-FR"/>
        </w:rPr>
        <w:tab/>
      </w:r>
      <w:r w:rsidRPr="00976C24">
        <w:rPr>
          <w:lang w:val="fr-FR"/>
        </w:rPr>
        <w:t>En 2005, le Comité des droits économiques, sociaux et culturels s’est dit préoccupé par le fait que les demandeurs d’asile déboutés qui ne peuvent être renvoyés dans leur pays d’origine ne bénéficient pas d’un hébergement en centre d’accueil après le délai fixé pour leur départ. Le Comité pourra se reporter à la réponse du Gouvernement</w:t>
      </w:r>
      <w:r w:rsidRPr="00D407D0">
        <w:rPr>
          <w:lang w:val="fr-FR"/>
        </w:rPr>
        <w:t xml:space="preserve"> </w:t>
      </w:r>
      <w:r w:rsidRPr="00976C24">
        <w:rPr>
          <w:lang w:val="fr-FR"/>
        </w:rPr>
        <w:t>au paragraphe</w:t>
      </w:r>
      <w:r>
        <w:rPr>
          <w:lang w:val="fr-FR"/>
        </w:rPr>
        <w:t> </w:t>
      </w:r>
      <w:r w:rsidRPr="00976C24">
        <w:rPr>
          <w:lang w:val="fr-FR"/>
        </w:rPr>
        <w:t>38 des observations finales</w:t>
      </w:r>
      <w:r>
        <w:rPr>
          <w:lang w:val="fr-FR"/>
        </w:rPr>
        <w:t xml:space="preserve"> figurant</w:t>
      </w:r>
      <w:r w:rsidRPr="00976C24">
        <w:rPr>
          <w:lang w:val="fr-FR"/>
        </w:rPr>
        <w:t xml:space="preserve"> dans le présent rapport. Le Comité a également </w:t>
      </w:r>
      <w:r>
        <w:rPr>
          <w:lang w:val="fr-FR"/>
        </w:rPr>
        <w:t>engagé</w:t>
      </w:r>
      <w:r w:rsidRPr="00976C24">
        <w:rPr>
          <w:lang w:val="fr-FR"/>
        </w:rPr>
        <w:t xml:space="preserve"> la Norvège </w:t>
      </w:r>
      <w:r>
        <w:rPr>
          <w:lang w:val="fr-FR"/>
        </w:rPr>
        <w:t>à</w:t>
      </w:r>
      <w:r w:rsidRPr="00976C24">
        <w:rPr>
          <w:lang w:val="fr-FR"/>
        </w:rPr>
        <w:t xml:space="preserve"> renforcer </w:t>
      </w:r>
      <w:r>
        <w:rPr>
          <w:lang w:val="fr-FR"/>
        </w:rPr>
        <w:t>son action</w:t>
      </w:r>
      <w:r w:rsidRPr="00976C24">
        <w:rPr>
          <w:lang w:val="fr-FR"/>
        </w:rPr>
        <w:t xml:space="preserve"> </w:t>
      </w:r>
      <w:r>
        <w:rPr>
          <w:lang w:val="fr-FR"/>
        </w:rPr>
        <w:t xml:space="preserve">en faveur des </w:t>
      </w:r>
      <w:r w:rsidRPr="00976C24">
        <w:rPr>
          <w:lang w:val="fr-FR"/>
        </w:rPr>
        <w:t xml:space="preserve">sans-abri. </w:t>
      </w:r>
    </w:p>
    <w:p w:rsidR="00903547" w:rsidRPr="00976C24" w:rsidRDefault="00903547" w:rsidP="00B254D6">
      <w:pPr>
        <w:pStyle w:val="SingleTxtG"/>
        <w:rPr>
          <w:lang w:val="fr-FR"/>
        </w:rPr>
      </w:pPr>
      <w:r>
        <w:rPr>
          <w:lang w:val="fr-FR"/>
        </w:rPr>
        <w:t>340.</w:t>
      </w:r>
      <w:r>
        <w:rPr>
          <w:lang w:val="fr-FR"/>
        </w:rPr>
        <w:tab/>
      </w:r>
      <w:r w:rsidRPr="00976C24">
        <w:rPr>
          <w:lang w:val="fr-FR"/>
        </w:rPr>
        <w:t xml:space="preserve">La Norvège a modifié sa pratique </w:t>
      </w:r>
      <w:r>
        <w:rPr>
          <w:lang w:val="fr-FR"/>
        </w:rPr>
        <w:t>qui consistait à</w:t>
      </w:r>
      <w:r w:rsidRPr="00976C24">
        <w:rPr>
          <w:lang w:val="fr-FR"/>
        </w:rPr>
        <w:t xml:space="preserve"> ne pas offrir d’hébergement aux demandeurs d’asile déboutés en 2005. </w:t>
      </w:r>
      <w:r>
        <w:rPr>
          <w:lang w:val="fr-FR"/>
        </w:rPr>
        <w:t>Elle</w:t>
      </w:r>
      <w:r w:rsidRPr="00976C24">
        <w:rPr>
          <w:lang w:val="fr-FR"/>
        </w:rPr>
        <w:t xml:space="preserve"> </w:t>
      </w:r>
      <w:r>
        <w:rPr>
          <w:lang w:val="fr-FR"/>
        </w:rPr>
        <w:t>s’est ralliée aux</w:t>
      </w:r>
      <w:r w:rsidRPr="00976C24">
        <w:rPr>
          <w:lang w:val="fr-FR"/>
        </w:rPr>
        <w:t xml:space="preserve"> préoccupations du Comité et du Haut-Commissariat pour les réfugiés et </w:t>
      </w:r>
      <w:r>
        <w:rPr>
          <w:lang w:val="fr-FR"/>
        </w:rPr>
        <w:t xml:space="preserve">a </w:t>
      </w:r>
      <w:r w:rsidRPr="00976C24">
        <w:rPr>
          <w:lang w:val="fr-FR"/>
        </w:rPr>
        <w:t xml:space="preserve">rétabli l’hébergement </w:t>
      </w:r>
      <w:r>
        <w:rPr>
          <w:lang w:val="fr-FR"/>
        </w:rPr>
        <w:t>des</w:t>
      </w:r>
      <w:r w:rsidRPr="00976C24">
        <w:rPr>
          <w:lang w:val="fr-FR"/>
        </w:rPr>
        <w:t xml:space="preserve"> demandeurs d’asile déboutés jusqu’à </w:t>
      </w:r>
      <w:r>
        <w:rPr>
          <w:lang w:val="fr-FR"/>
        </w:rPr>
        <w:t>ce qu’ils quittent le pays</w:t>
      </w:r>
      <w:r w:rsidRPr="00976C24">
        <w:rPr>
          <w:lang w:val="fr-FR"/>
        </w:rPr>
        <w:t xml:space="preserve">. En mars 2006 a été ouvert le premier </w:t>
      </w:r>
      <w:r>
        <w:rPr>
          <w:lang w:val="fr-FR"/>
        </w:rPr>
        <w:t>centre de rapatriement</w:t>
      </w:r>
      <w:r w:rsidRPr="00976C24">
        <w:rPr>
          <w:lang w:val="fr-FR"/>
        </w:rPr>
        <w:t xml:space="preserve"> destiné aux demandeurs d’asile déboutés. </w:t>
      </w:r>
      <w:r>
        <w:rPr>
          <w:lang w:val="fr-FR"/>
        </w:rPr>
        <w:t>U</w:t>
      </w:r>
      <w:r w:rsidRPr="00976C24">
        <w:rPr>
          <w:lang w:val="fr-FR"/>
        </w:rPr>
        <w:t xml:space="preserve">n autre </w:t>
      </w:r>
      <w:r>
        <w:rPr>
          <w:lang w:val="fr-FR"/>
        </w:rPr>
        <w:t xml:space="preserve">centre </w:t>
      </w:r>
      <w:r w:rsidRPr="00976C24">
        <w:rPr>
          <w:lang w:val="fr-FR"/>
        </w:rPr>
        <w:t xml:space="preserve">a été ouvert </w:t>
      </w:r>
      <w:r>
        <w:rPr>
          <w:lang w:val="fr-FR"/>
        </w:rPr>
        <w:t xml:space="preserve">en 2007 </w:t>
      </w:r>
      <w:r w:rsidRPr="00976C24">
        <w:rPr>
          <w:lang w:val="fr-FR"/>
        </w:rPr>
        <w:t xml:space="preserve">et à l’heure actuelle ces deux centres </w:t>
      </w:r>
      <w:r>
        <w:rPr>
          <w:lang w:val="fr-FR"/>
        </w:rPr>
        <w:t>peuvent accueillir jusqu’à</w:t>
      </w:r>
      <w:r w:rsidRPr="00976C24">
        <w:rPr>
          <w:lang w:val="fr-FR"/>
        </w:rPr>
        <w:t xml:space="preserve"> 200 personnes. Les enfants, les familles avec des enfants de moins de 18 ans et les personnes vulnérables peuvent séjourner dans les centres d’accueil ordinaires jusqu’à l</w:t>
      </w:r>
      <w:r>
        <w:rPr>
          <w:lang w:val="fr-FR"/>
        </w:rPr>
        <w:t>’exécution</w:t>
      </w:r>
      <w:r w:rsidRPr="00976C24">
        <w:rPr>
          <w:lang w:val="fr-FR"/>
        </w:rPr>
        <w:t xml:space="preserve"> de la décision définitive de les débouter.</w:t>
      </w:r>
    </w:p>
    <w:p w:rsidR="00903547" w:rsidRPr="00976C24" w:rsidRDefault="00903547" w:rsidP="00B254D6">
      <w:pPr>
        <w:pStyle w:val="SingleTxtG"/>
        <w:rPr>
          <w:lang w:val="fr-FR"/>
        </w:rPr>
      </w:pPr>
      <w:r>
        <w:rPr>
          <w:lang w:val="fr-FR"/>
        </w:rPr>
        <w:t>341.</w:t>
      </w:r>
      <w:r>
        <w:rPr>
          <w:lang w:val="fr-FR"/>
        </w:rPr>
        <w:tab/>
      </w:r>
      <w:r w:rsidRPr="00976C24">
        <w:rPr>
          <w:lang w:val="fr-FR"/>
        </w:rPr>
        <w:t xml:space="preserve">La qualité des </w:t>
      </w:r>
      <w:r>
        <w:rPr>
          <w:lang w:val="fr-FR"/>
        </w:rPr>
        <w:t>centres de rapatriement</w:t>
      </w:r>
      <w:r w:rsidRPr="00976C24">
        <w:rPr>
          <w:lang w:val="fr-FR"/>
        </w:rPr>
        <w:t xml:space="preserve"> n’est pas très bonne ma</w:t>
      </w:r>
      <w:r>
        <w:rPr>
          <w:lang w:val="fr-FR"/>
        </w:rPr>
        <w:t>is ils offrent de la nourriture et</w:t>
      </w:r>
      <w:r w:rsidRPr="00976C24">
        <w:rPr>
          <w:lang w:val="fr-FR"/>
        </w:rPr>
        <w:t xml:space="preserve"> un hébergement et subviennent aux besoins essentiels. Les soins de santé primaires sont également fournis dans l’enceinte du centre. En outre les résidents perçoivent une allocation </w:t>
      </w:r>
      <w:r>
        <w:rPr>
          <w:lang w:val="fr-FR"/>
        </w:rPr>
        <w:t xml:space="preserve">mensuelle </w:t>
      </w:r>
      <w:r w:rsidRPr="00976C24">
        <w:rPr>
          <w:lang w:val="fr-FR"/>
        </w:rPr>
        <w:t>(actuellement</w:t>
      </w:r>
      <w:r>
        <w:rPr>
          <w:lang w:val="fr-FR"/>
        </w:rPr>
        <w:t xml:space="preserve"> 400</w:t>
      </w:r>
      <w:r w:rsidRPr="00976C24">
        <w:rPr>
          <w:lang w:val="fr-FR"/>
        </w:rPr>
        <w:t xml:space="preserve"> couronnes).</w:t>
      </w:r>
    </w:p>
    <w:p w:rsidR="00903547" w:rsidRPr="00976C24" w:rsidRDefault="00903547" w:rsidP="00B254D6">
      <w:pPr>
        <w:pStyle w:val="SingleTxtG"/>
        <w:rPr>
          <w:lang w:val="fr-FR"/>
        </w:rPr>
      </w:pPr>
      <w:r>
        <w:rPr>
          <w:lang w:val="fr-FR"/>
        </w:rPr>
        <w:t>342.</w:t>
      </w:r>
      <w:r>
        <w:rPr>
          <w:lang w:val="fr-FR"/>
        </w:rPr>
        <w:tab/>
      </w:r>
      <w:r w:rsidRPr="00976C24">
        <w:rPr>
          <w:lang w:val="fr-FR"/>
        </w:rPr>
        <w:t>La politique norvégienne n’a pas changé, à savoir que les personnes dont la demande d</w:t>
      </w:r>
      <w:r>
        <w:rPr>
          <w:lang w:val="fr-FR"/>
        </w:rPr>
        <w:t>e</w:t>
      </w:r>
      <w:r w:rsidRPr="00976C24">
        <w:rPr>
          <w:lang w:val="fr-FR"/>
        </w:rPr>
        <w:t xml:space="preserve"> permis de séjour a été rejetée sont tenues de respecter la décision et de quitter le pays. Il reste que beaucoup d’entre eux refusent d’obtempérer, même s’ils peuvent rentrer dans leur pays d’origine.</w:t>
      </w:r>
      <w:r>
        <w:rPr>
          <w:lang w:val="fr-FR"/>
        </w:rPr>
        <w:t xml:space="preserve"> Ceux qui refusent de quitter la Norvège</w:t>
      </w:r>
      <w:r w:rsidRPr="00976C24">
        <w:rPr>
          <w:lang w:val="fr-FR"/>
        </w:rPr>
        <w:t xml:space="preserve"> malgré une décision négative se voient proposer un hébergement soit dans un centre d’accueil ordinaire soit dans un </w:t>
      </w:r>
      <w:r>
        <w:rPr>
          <w:lang w:val="fr-FR"/>
        </w:rPr>
        <w:t>centre de rapatriement</w:t>
      </w:r>
      <w:r w:rsidRPr="00976C24">
        <w:rPr>
          <w:lang w:val="fr-FR"/>
        </w:rPr>
        <w:t xml:space="preserve"> pour demandeurs d’asile déboutés. Les familles avec enfants, les mineurs non accompagnés, les personnes ayant des problèmes de santé et celles qui coopèrent avec les autorit</w:t>
      </w:r>
      <w:r>
        <w:rPr>
          <w:lang w:val="fr-FR"/>
        </w:rPr>
        <w:t>és pour leur retour peuvent d</w:t>
      </w:r>
      <w:r w:rsidRPr="00976C24">
        <w:rPr>
          <w:lang w:val="fr-FR"/>
        </w:rPr>
        <w:t xml:space="preserve">emeurer dans un centre d’accueil ordinaire. Les autres personnes dont la demande a été rejetée </w:t>
      </w:r>
      <w:r>
        <w:rPr>
          <w:lang w:val="fr-FR"/>
        </w:rPr>
        <w:t>peuvent séjourner</w:t>
      </w:r>
      <w:r w:rsidRPr="00976C24">
        <w:rPr>
          <w:lang w:val="fr-FR"/>
        </w:rPr>
        <w:t xml:space="preserve"> dans un </w:t>
      </w:r>
      <w:r>
        <w:rPr>
          <w:lang w:val="fr-FR"/>
        </w:rPr>
        <w:t>centre de rapatriement et utiliser c</w:t>
      </w:r>
      <w:r w:rsidRPr="00976C24">
        <w:rPr>
          <w:lang w:val="fr-FR"/>
        </w:rPr>
        <w:t xml:space="preserve">ette </w:t>
      </w:r>
      <w:r>
        <w:rPr>
          <w:lang w:val="fr-FR"/>
        </w:rPr>
        <w:t>possibilité</w:t>
      </w:r>
      <w:r w:rsidRPr="00976C24">
        <w:rPr>
          <w:lang w:val="fr-FR"/>
        </w:rPr>
        <w:t xml:space="preserve"> jusqu’à ce qu</w:t>
      </w:r>
      <w:r>
        <w:rPr>
          <w:lang w:val="fr-FR"/>
        </w:rPr>
        <w:t>’ils</w:t>
      </w:r>
      <w:r w:rsidRPr="00976C24">
        <w:rPr>
          <w:lang w:val="fr-FR"/>
        </w:rPr>
        <w:t xml:space="preserve"> quittent la Norvège.</w:t>
      </w:r>
    </w:p>
    <w:p w:rsidR="00903547" w:rsidRPr="00976C24" w:rsidRDefault="00903547" w:rsidP="0071086E">
      <w:pPr>
        <w:pStyle w:val="H23G"/>
        <w:rPr>
          <w:lang w:val="fr-FR"/>
        </w:rPr>
      </w:pPr>
      <w:r w:rsidRPr="00976C24">
        <w:rPr>
          <w:lang w:val="fr-FR"/>
        </w:rPr>
        <w:tab/>
        <w:t>c)</w:t>
      </w:r>
      <w:r w:rsidRPr="00976C24">
        <w:rPr>
          <w:lang w:val="fr-FR"/>
        </w:rPr>
        <w:tab/>
      </w:r>
      <w:r>
        <w:rPr>
          <w:lang w:val="fr-FR"/>
        </w:rPr>
        <w:t>E</w:t>
      </w:r>
      <w:r w:rsidRPr="00976C24">
        <w:rPr>
          <w:lang w:val="fr-FR"/>
        </w:rPr>
        <w:t>trangers sans permis de séjour</w:t>
      </w:r>
    </w:p>
    <w:p w:rsidR="00903547" w:rsidRPr="00976C24" w:rsidRDefault="00903547" w:rsidP="00B254D6">
      <w:pPr>
        <w:pStyle w:val="SingleTxtG"/>
        <w:rPr>
          <w:lang w:val="fr-FR"/>
        </w:rPr>
      </w:pPr>
      <w:r>
        <w:rPr>
          <w:lang w:val="fr-FR"/>
        </w:rPr>
        <w:t>343.</w:t>
      </w:r>
      <w:r>
        <w:rPr>
          <w:lang w:val="fr-FR"/>
        </w:rPr>
        <w:tab/>
      </w:r>
      <w:r w:rsidRPr="00976C24">
        <w:rPr>
          <w:lang w:val="fr-FR"/>
        </w:rPr>
        <w:t xml:space="preserve">Dans une société ouverte telle que la société norvégienne, il y aura toujours des individus </w:t>
      </w:r>
      <w:r>
        <w:rPr>
          <w:lang w:val="fr-FR"/>
        </w:rPr>
        <w:t>en situation irrégulière</w:t>
      </w:r>
      <w:r w:rsidRPr="00976C24">
        <w:rPr>
          <w:lang w:val="fr-FR"/>
        </w:rPr>
        <w:t xml:space="preserve"> </w:t>
      </w:r>
      <w:r>
        <w:rPr>
          <w:lang w:val="fr-FR"/>
        </w:rPr>
        <w:t>sur le territoire</w:t>
      </w:r>
      <w:r w:rsidRPr="00976C24">
        <w:rPr>
          <w:lang w:val="fr-FR"/>
        </w:rPr>
        <w:t>. Le</w:t>
      </w:r>
      <w:r>
        <w:rPr>
          <w:lang w:val="fr-FR"/>
        </w:rPr>
        <w:t>s autorités sont</w:t>
      </w:r>
      <w:r w:rsidRPr="00976C24">
        <w:rPr>
          <w:lang w:val="fr-FR"/>
        </w:rPr>
        <w:t xml:space="preserve"> conscient</w:t>
      </w:r>
      <w:r>
        <w:rPr>
          <w:lang w:val="fr-FR"/>
        </w:rPr>
        <w:t>es</w:t>
      </w:r>
      <w:r w:rsidRPr="00976C24">
        <w:rPr>
          <w:lang w:val="fr-FR"/>
        </w:rPr>
        <w:t xml:space="preserve"> des difficultés rencontrées par ces individus et s’emploie</w:t>
      </w:r>
      <w:r>
        <w:rPr>
          <w:lang w:val="fr-FR"/>
        </w:rPr>
        <w:t>nt</w:t>
      </w:r>
      <w:r w:rsidRPr="00976C24">
        <w:rPr>
          <w:lang w:val="fr-FR"/>
        </w:rPr>
        <w:t xml:space="preserve"> à recueillir des renseignements sur ce groupe.</w:t>
      </w:r>
    </w:p>
    <w:p w:rsidR="00903547" w:rsidRPr="00976C24" w:rsidRDefault="00903547" w:rsidP="00B254D6">
      <w:pPr>
        <w:pStyle w:val="SingleTxtG"/>
        <w:rPr>
          <w:lang w:val="fr-FR"/>
        </w:rPr>
      </w:pPr>
      <w:r>
        <w:rPr>
          <w:lang w:val="fr-FR"/>
        </w:rPr>
        <w:t>344.</w:t>
      </w:r>
      <w:r>
        <w:rPr>
          <w:lang w:val="fr-FR"/>
        </w:rPr>
        <w:tab/>
      </w:r>
      <w:r w:rsidRPr="00976C24">
        <w:rPr>
          <w:lang w:val="fr-FR"/>
        </w:rPr>
        <w:t>Le Bureau norvégien de statistique a estimé leur nombre à environ 18</w:t>
      </w:r>
      <w:r>
        <w:rPr>
          <w:lang w:val="fr-FR"/>
        </w:rPr>
        <w:t> </w:t>
      </w:r>
      <w:r w:rsidRPr="00976C24">
        <w:rPr>
          <w:lang w:val="fr-FR"/>
        </w:rPr>
        <w:t xml:space="preserve">000 au </w:t>
      </w:r>
      <w:r>
        <w:rPr>
          <w:lang w:val="fr-FR"/>
        </w:rPr>
        <w:t>1</w:t>
      </w:r>
      <w:r w:rsidRPr="00DD15BA">
        <w:rPr>
          <w:vertAlign w:val="superscript"/>
          <w:lang w:val="fr-FR"/>
        </w:rPr>
        <w:t>er</w:t>
      </w:r>
      <w:r>
        <w:rPr>
          <w:lang w:val="fr-FR"/>
        </w:rPr>
        <w:t> </w:t>
      </w:r>
      <w:r w:rsidRPr="00976C24">
        <w:rPr>
          <w:lang w:val="fr-FR"/>
        </w:rPr>
        <w:t xml:space="preserve">janvier 2006. Il s’agit de personnes sans titre de séjour </w:t>
      </w:r>
      <w:r>
        <w:rPr>
          <w:lang w:val="fr-FR"/>
        </w:rPr>
        <w:t>et non</w:t>
      </w:r>
      <w:r w:rsidRPr="00976C24">
        <w:rPr>
          <w:lang w:val="fr-FR"/>
        </w:rPr>
        <w:t xml:space="preserve"> enregistrées auprès des autorités, de personnes ayant un </w:t>
      </w:r>
      <w:r>
        <w:rPr>
          <w:lang w:val="fr-FR"/>
        </w:rPr>
        <w:t>faux visa ou permis de séjour ou</w:t>
      </w:r>
      <w:r w:rsidRPr="00976C24">
        <w:rPr>
          <w:lang w:val="fr-FR"/>
        </w:rPr>
        <w:t xml:space="preserve"> de personnes ayant un visa ou permis de séjour expiré. Sur ces 18</w:t>
      </w:r>
      <w:r>
        <w:rPr>
          <w:lang w:val="fr-FR"/>
        </w:rPr>
        <w:t> </w:t>
      </w:r>
      <w:r w:rsidRPr="00976C24">
        <w:rPr>
          <w:lang w:val="fr-FR"/>
        </w:rPr>
        <w:t xml:space="preserve">000 personnes séjournant illégalement en Norvège, </w:t>
      </w:r>
      <w:r>
        <w:rPr>
          <w:lang w:val="fr-FR"/>
        </w:rPr>
        <w:t>on estime qu’environ</w:t>
      </w:r>
      <w:r w:rsidRPr="00976C24">
        <w:rPr>
          <w:lang w:val="fr-FR"/>
        </w:rPr>
        <w:t xml:space="preserve"> 12</w:t>
      </w:r>
      <w:r>
        <w:rPr>
          <w:lang w:val="fr-FR"/>
        </w:rPr>
        <w:t> </w:t>
      </w:r>
      <w:r w:rsidRPr="00976C24">
        <w:rPr>
          <w:lang w:val="fr-FR"/>
        </w:rPr>
        <w:t xml:space="preserve">000 sont d’anciens demandeurs d’asile. </w:t>
      </w:r>
    </w:p>
    <w:p w:rsidR="00903547" w:rsidRPr="00976C24" w:rsidRDefault="00903547" w:rsidP="00B254D6">
      <w:pPr>
        <w:pStyle w:val="SingleTxtG"/>
        <w:rPr>
          <w:lang w:val="fr-FR"/>
        </w:rPr>
      </w:pPr>
      <w:r>
        <w:rPr>
          <w:lang w:val="fr-FR"/>
        </w:rPr>
        <w:t>345.</w:t>
      </w:r>
      <w:r>
        <w:rPr>
          <w:lang w:val="fr-FR"/>
        </w:rPr>
        <w:tab/>
      </w:r>
      <w:r w:rsidRPr="00976C24">
        <w:rPr>
          <w:lang w:val="fr-FR"/>
        </w:rPr>
        <w:t xml:space="preserve">Il existe toutefois une disposition légale qui </w:t>
      </w:r>
      <w:r>
        <w:rPr>
          <w:lang w:val="fr-FR"/>
        </w:rPr>
        <w:t>permet</w:t>
      </w:r>
      <w:r w:rsidRPr="00976C24">
        <w:rPr>
          <w:lang w:val="fr-FR"/>
        </w:rPr>
        <w:t xml:space="preserve"> à un ressortissant étranger d’obtenir un titre de séjour dès lors qu’il </w:t>
      </w:r>
      <w:r>
        <w:rPr>
          <w:lang w:val="fr-FR"/>
        </w:rPr>
        <w:t>vit</w:t>
      </w:r>
      <w:r w:rsidRPr="00976C24">
        <w:rPr>
          <w:lang w:val="fr-FR"/>
        </w:rPr>
        <w:t xml:space="preserve"> dans le pays depuis au moins trois ans et au moins un an </w:t>
      </w:r>
      <w:r>
        <w:rPr>
          <w:lang w:val="fr-FR"/>
        </w:rPr>
        <w:t>depuis</w:t>
      </w:r>
      <w:r w:rsidRPr="00976C24">
        <w:rPr>
          <w:lang w:val="fr-FR"/>
        </w:rPr>
        <w:t xml:space="preserve"> le rejet définitif de la demande et qu’il ne peut pas rentrer dans son pays, </w:t>
      </w:r>
      <w:r>
        <w:rPr>
          <w:lang w:val="fr-FR"/>
        </w:rPr>
        <w:t xml:space="preserve">quand bien </w:t>
      </w:r>
      <w:r w:rsidRPr="00976C24">
        <w:rPr>
          <w:lang w:val="fr-FR"/>
        </w:rPr>
        <w:t xml:space="preserve">même </w:t>
      </w:r>
      <w:r>
        <w:rPr>
          <w:lang w:val="fr-FR"/>
        </w:rPr>
        <w:t>il devrait s’y résoudre</w:t>
      </w:r>
      <w:r w:rsidRPr="00976C24">
        <w:rPr>
          <w:lang w:val="fr-FR"/>
        </w:rPr>
        <w:t xml:space="preserve">. </w:t>
      </w:r>
      <w:r>
        <w:rPr>
          <w:lang w:val="fr-FR"/>
        </w:rPr>
        <w:t>C</w:t>
      </w:r>
      <w:r w:rsidRPr="00976C24">
        <w:rPr>
          <w:lang w:val="fr-FR"/>
        </w:rPr>
        <w:t>ette disposition n’a pas encore été appliquée.</w:t>
      </w:r>
    </w:p>
    <w:p w:rsidR="00903547" w:rsidRPr="00976C24" w:rsidRDefault="00903547" w:rsidP="00B254D6">
      <w:pPr>
        <w:pStyle w:val="SingleTxtG"/>
        <w:rPr>
          <w:lang w:val="fr-FR"/>
        </w:rPr>
      </w:pPr>
      <w:r>
        <w:rPr>
          <w:lang w:val="fr-FR"/>
        </w:rPr>
        <w:t>346.</w:t>
      </w:r>
      <w:r>
        <w:rPr>
          <w:lang w:val="fr-FR"/>
        </w:rPr>
        <w:tab/>
      </w:r>
      <w:r w:rsidRPr="00976C24">
        <w:rPr>
          <w:lang w:val="fr-FR"/>
        </w:rPr>
        <w:t>Le</w:t>
      </w:r>
      <w:r>
        <w:rPr>
          <w:lang w:val="fr-FR"/>
        </w:rPr>
        <w:t>s pouvoirs publics prévoient d’</w:t>
      </w:r>
      <w:r w:rsidRPr="00976C24">
        <w:rPr>
          <w:lang w:val="fr-FR"/>
        </w:rPr>
        <w:t>élaborer des mesures plus efficaces pour prévenir l’immigration illégale, notamment par</w:t>
      </w:r>
      <w:r>
        <w:rPr>
          <w:lang w:val="fr-FR"/>
        </w:rPr>
        <w:t>:</w:t>
      </w:r>
      <w:r w:rsidRPr="00976C24">
        <w:rPr>
          <w:lang w:val="fr-FR"/>
        </w:rPr>
        <w:t xml:space="preserve"> </w:t>
      </w:r>
    </w:p>
    <w:p w:rsidR="00903547" w:rsidRPr="00976C24" w:rsidRDefault="00903547" w:rsidP="0071086E">
      <w:pPr>
        <w:pStyle w:val="Bullet1G"/>
        <w:numPr>
          <w:ilvl w:val="0"/>
          <w:numId w:val="3"/>
        </w:numPr>
        <w:rPr>
          <w:lang w:val="fr-FR"/>
        </w:rPr>
      </w:pPr>
      <w:r>
        <w:rPr>
          <w:lang w:val="fr-FR"/>
        </w:rPr>
        <w:t>L</w:t>
      </w:r>
      <w:r w:rsidRPr="00976C24">
        <w:rPr>
          <w:lang w:val="fr-FR"/>
        </w:rPr>
        <w:t>a lutte contre le travail au noir</w:t>
      </w:r>
      <w:r>
        <w:rPr>
          <w:lang w:val="fr-FR"/>
        </w:rPr>
        <w:t>;</w:t>
      </w:r>
    </w:p>
    <w:p w:rsidR="00903547" w:rsidRPr="00976C24" w:rsidRDefault="00903547" w:rsidP="0071086E">
      <w:pPr>
        <w:pStyle w:val="Bullet1G"/>
        <w:numPr>
          <w:ilvl w:val="0"/>
          <w:numId w:val="3"/>
        </w:numPr>
        <w:rPr>
          <w:lang w:val="fr-FR"/>
        </w:rPr>
      </w:pPr>
      <w:r>
        <w:rPr>
          <w:lang w:val="fr-FR"/>
        </w:rPr>
        <w:t>L’expulsion</w:t>
      </w:r>
      <w:r w:rsidRPr="00976C24">
        <w:rPr>
          <w:lang w:val="fr-FR"/>
        </w:rPr>
        <w:t xml:space="preserve"> des demandeurs d’asile dont les demandes ont été définitivement rejetées</w:t>
      </w:r>
      <w:r>
        <w:rPr>
          <w:lang w:val="fr-FR"/>
        </w:rPr>
        <w:t>;</w:t>
      </w:r>
    </w:p>
    <w:p w:rsidR="00903547" w:rsidRPr="00976C24" w:rsidRDefault="00903547" w:rsidP="0071086E">
      <w:pPr>
        <w:pStyle w:val="Bullet1G"/>
        <w:numPr>
          <w:ilvl w:val="0"/>
          <w:numId w:val="3"/>
        </w:numPr>
        <w:rPr>
          <w:lang w:val="fr-FR"/>
        </w:rPr>
      </w:pPr>
      <w:r>
        <w:rPr>
          <w:lang w:val="fr-FR"/>
        </w:rPr>
        <w:t>L</w:t>
      </w:r>
      <w:r w:rsidRPr="00976C24">
        <w:rPr>
          <w:lang w:val="fr-FR"/>
        </w:rPr>
        <w:t xml:space="preserve">’application </w:t>
      </w:r>
      <w:r>
        <w:rPr>
          <w:lang w:val="fr-FR"/>
        </w:rPr>
        <w:t xml:space="preserve">de mesures de contrôle ciblées </w:t>
      </w:r>
      <w:r w:rsidRPr="00976C24">
        <w:rPr>
          <w:lang w:val="fr-FR"/>
        </w:rPr>
        <w:t>par la police, d</w:t>
      </w:r>
      <w:r>
        <w:rPr>
          <w:lang w:val="fr-FR"/>
        </w:rPr>
        <w:t>’autres</w:t>
      </w:r>
      <w:r w:rsidRPr="00976C24">
        <w:rPr>
          <w:lang w:val="fr-FR"/>
        </w:rPr>
        <w:t xml:space="preserve"> autorités et les employeurs</w:t>
      </w:r>
      <w:r>
        <w:rPr>
          <w:lang w:val="fr-FR"/>
        </w:rPr>
        <w:t>.</w:t>
      </w:r>
    </w:p>
    <w:p w:rsidR="00903547" w:rsidRPr="00976C24" w:rsidRDefault="00903547" w:rsidP="0071086E">
      <w:pPr>
        <w:pStyle w:val="H23G"/>
        <w:rPr>
          <w:lang w:val="fr-FR"/>
        </w:rPr>
      </w:pPr>
      <w:r w:rsidRPr="00976C24">
        <w:rPr>
          <w:lang w:val="fr-FR"/>
        </w:rPr>
        <w:tab/>
        <w:t>d)</w:t>
      </w:r>
      <w:r w:rsidRPr="00976C24">
        <w:rPr>
          <w:lang w:val="fr-FR"/>
        </w:rPr>
        <w:tab/>
        <w:t xml:space="preserve">Enquête nationale sur les sans-abri et le logement </w:t>
      </w:r>
      <w:r>
        <w:rPr>
          <w:lang w:val="fr-FR"/>
        </w:rPr>
        <w:t>inadéquat</w:t>
      </w:r>
      <w:r w:rsidRPr="00976C24">
        <w:rPr>
          <w:lang w:val="fr-FR"/>
        </w:rPr>
        <w:t xml:space="preserve"> (E/2009/22-E/C.12/2008/3, annexe VIII, par.</w:t>
      </w:r>
      <w:r>
        <w:rPr>
          <w:lang w:val="fr-FR"/>
        </w:rPr>
        <w:t> </w:t>
      </w:r>
      <w:r w:rsidRPr="00976C24">
        <w:rPr>
          <w:lang w:val="fr-FR"/>
        </w:rPr>
        <w:t>50)</w:t>
      </w:r>
    </w:p>
    <w:p w:rsidR="00903547" w:rsidRPr="00976C24" w:rsidRDefault="00903547" w:rsidP="0071086E">
      <w:pPr>
        <w:pStyle w:val="H4G"/>
        <w:rPr>
          <w:lang w:val="fr-FR"/>
        </w:rPr>
      </w:pPr>
      <w:r w:rsidRPr="00976C24">
        <w:rPr>
          <w:lang w:val="fr-FR"/>
        </w:rPr>
        <w:tab/>
        <w:t>i)</w:t>
      </w:r>
      <w:r w:rsidRPr="00976C24">
        <w:rPr>
          <w:lang w:val="fr-FR"/>
        </w:rPr>
        <w:tab/>
        <w:t>Sans-abri</w:t>
      </w:r>
    </w:p>
    <w:p w:rsidR="00903547" w:rsidRPr="00976C24" w:rsidRDefault="00903547" w:rsidP="00B254D6">
      <w:pPr>
        <w:pStyle w:val="SingleTxtG"/>
        <w:rPr>
          <w:lang w:val="fr-FR"/>
        </w:rPr>
      </w:pPr>
      <w:r>
        <w:rPr>
          <w:lang w:val="fr-FR"/>
        </w:rPr>
        <w:t>347.</w:t>
      </w:r>
      <w:r>
        <w:rPr>
          <w:lang w:val="fr-FR"/>
        </w:rPr>
        <w:tab/>
      </w:r>
      <w:r w:rsidRPr="00976C24">
        <w:rPr>
          <w:lang w:val="fr-FR"/>
        </w:rPr>
        <w:t>Le Comité pourra se reporter à la réponse du Gouvernement</w:t>
      </w:r>
      <w:r w:rsidRPr="00FE7A0D">
        <w:rPr>
          <w:lang w:val="fr-FR"/>
        </w:rPr>
        <w:t xml:space="preserve"> </w:t>
      </w:r>
      <w:r w:rsidRPr="00976C24">
        <w:rPr>
          <w:lang w:val="fr-FR"/>
        </w:rPr>
        <w:t>au paragraphe</w:t>
      </w:r>
      <w:r>
        <w:rPr>
          <w:lang w:val="fr-FR"/>
        </w:rPr>
        <w:t> </w:t>
      </w:r>
      <w:r w:rsidRPr="00976C24">
        <w:rPr>
          <w:lang w:val="fr-FR"/>
        </w:rPr>
        <w:t>38 des observations finales</w:t>
      </w:r>
      <w:r>
        <w:rPr>
          <w:lang w:val="fr-FR"/>
        </w:rPr>
        <w:t xml:space="preserve"> figurant dans </w:t>
      </w:r>
      <w:r w:rsidRPr="00976C24">
        <w:rPr>
          <w:lang w:val="fr-FR"/>
        </w:rPr>
        <w:t>le présent rapport.</w:t>
      </w:r>
    </w:p>
    <w:p w:rsidR="00903547" w:rsidRPr="00976C24" w:rsidRDefault="00903547" w:rsidP="00B254D6">
      <w:pPr>
        <w:pStyle w:val="SingleTxtG"/>
        <w:rPr>
          <w:lang w:val="fr-FR"/>
        </w:rPr>
      </w:pPr>
      <w:r>
        <w:rPr>
          <w:lang w:val="fr-FR"/>
        </w:rPr>
        <w:t>348.</w:t>
      </w:r>
      <w:r>
        <w:rPr>
          <w:lang w:val="fr-FR"/>
        </w:rPr>
        <w:tab/>
      </w:r>
      <w:r w:rsidRPr="00976C24">
        <w:rPr>
          <w:lang w:val="fr-FR"/>
        </w:rPr>
        <w:t>Quatre études nationales ont été réalisées sur les sans-abri en Norvège, la première en 1996</w:t>
      </w:r>
      <w:r>
        <w:rPr>
          <w:lang w:val="fr-FR"/>
        </w:rPr>
        <w:t xml:space="preserve"> </w:t>
      </w:r>
      <w:r w:rsidRPr="00976C24">
        <w:rPr>
          <w:lang w:val="fr-FR"/>
        </w:rPr>
        <w:t xml:space="preserve">et la dernière en 2008. Les enquêtes évaluent le contact des sans-abri </w:t>
      </w:r>
      <w:r>
        <w:rPr>
          <w:lang w:val="fr-FR"/>
        </w:rPr>
        <w:t>avec les autorités sanitaires et</w:t>
      </w:r>
      <w:r w:rsidRPr="00976C24">
        <w:rPr>
          <w:lang w:val="fr-FR"/>
        </w:rPr>
        <w:t xml:space="preserve"> sociales et d’autres organisations/services compétents.</w:t>
      </w:r>
    </w:p>
    <w:p w:rsidR="00903547" w:rsidRPr="00976C24" w:rsidRDefault="00903547" w:rsidP="00B254D6">
      <w:pPr>
        <w:pStyle w:val="SingleTxtG"/>
        <w:rPr>
          <w:lang w:val="fr-FR"/>
        </w:rPr>
      </w:pPr>
      <w:r>
        <w:rPr>
          <w:lang w:val="fr-FR"/>
        </w:rPr>
        <w:t>349.</w:t>
      </w:r>
      <w:r>
        <w:rPr>
          <w:lang w:val="fr-FR"/>
        </w:rPr>
        <w:tab/>
      </w:r>
      <w:r w:rsidRPr="00976C24">
        <w:rPr>
          <w:lang w:val="fr-FR"/>
        </w:rPr>
        <w:t>En Norvège, un</w:t>
      </w:r>
      <w:r>
        <w:rPr>
          <w:lang w:val="fr-FR"/>
        </w:rPr>
        <w:t xml:space="preserve"> individu est considéré</w:t>
      </w:r>
      <w:r w:rsidRPr="00976C24">
        <w:rPr>
          <w:lang w:val="fr-FR"/>
        </w:rPr>
        <w:t xml:space="preserve"> c</w:t>
      </w:r>
      <w:r>
        <w:rPr>
          <w:lang w:val="fr-FR"/>
        </w:rPr>
        <w:t xml:space="preserve">omme sans </w:t>
      </w:r>
      <w:r w:rsidRPr="00976C24">
        <w:rPr>
          <w:lang w:val="fr-FR"/>
        </w:rPr>
        <w:t>abri s</w:t>
      </w:r>
      <w:r>
        <w:rPr>
          <w:lang w:val="fr-FR"/>
        </w:rPr>
        <w:t>’il</w:t>
      </w:r>
      <w:r w:rsidRPr="00976C24">
        <w:rPr>
          <w:lang w:val="fr-FR"/>
        </w:rPr>
        <w:t xml:space="preserve"> n</w:t>
      </w:r>
      <w:r>
        <w:rPr>
          <w:lang w:val="fr-FR"/>
        </w:rPr>
        <w:t>e dispose</w:t>
      </w:r>
      <w:r w:rsidRPr="00976C24">
        <w:rPr>
          <w:lang w:val="fr-FR"/>
        </w:rPr>
        <w:t xml:space="preserve"> </w:t>
      </w:r>
      <w:r>
        <w:rPr>
          <w:lang w:val="fr-FR"/>
        </w:rPr>
        <w:t>pas de</w:t>
      </w:r>
      <w:r w:rsidRPr="00976C24">
        <w:rPr>
          <w:lang w:val="fr-FR"/>
        </w:rPr>
        <w:t xml:space="preserve"> logement, </w:t>
      </w:r>
      <w:r>
        <w:rPr>
          <w:lang w:val="fr-FR"/>
        </w:rPr>
        <w:t>en tant que locataire ou propriétaire</w:t>
      </w:r>
      <w:r w:rsidRPr="00976C24">
        <w:rPr>
          <w:lang w:val="fr-FR"/>
        </w:rPr>
        <w:t>, et 1)</w:t>
      </w:r>
      <w:r>
        <w:rPr>
          <w:lang w:val="fr-FR"/>
        </w:rPr>
        <w:t> </w:t>
      </w:r>
      <w:r w:rsidRPr="00976C24">
        <w:rPr>
          <w:lang w:val="fr-FR"/>
        </w:rPr>
        <w:t>ne dispose d’aucun lieu pour la nuit, ou 2)</w:t>
      </w:r>
      <w:r>
        <w:rPr>
          <w:lang w:val="fr-FR"/>
        </w:rPr>
        <w:t> est adressé</w:t>
      </w:r>
      <w:r w:rsidRPr="00976C24">
        <w:rPr>
          <w:lang w:val="fr-FR"/>
        </w:rPr>
        <w:t xml:space="preserve"> aux hébergements d’urgence ou temporaires, ou 3)</w:t>
      </w:r>
      <w:r>
        <w:rPr>
          <w:lang w:val="fr-FR"/>
        </w:rPr>
        <w:t> est détenu</w:t>
      </w:r>
      <w:r w:rsidRPr="00976C24">
        <w:rPr>
          <w:lang w:val="fr-FR"/>
        </w:rPr>
        <w:t xml:space="preserve"> dans un service pénitentiaire ou d</w:t>
      </w:r>
      <w:r>
        <w:rPr>
          <w:lang w:val="fr-FR"/>
        </w:rPr>
        <w:t>e probation et doit être libéré</w:t>
      </w:r>
      <w:r w:rsidRPr="00976C24">
        <w:rPr>
          <w:lang w:val="fr-FR"/>
        </w:rPr>
        <w:t xml:space="preserve"> au plus tard dans les deux mois suivants ou 4)</w:t>
      </w:r>
      <w:r>
        <w:rPr>
          <w:lang w:val="fr-FR"/>
        </w:rPr>
        <w:t> réside dans une</w:t>
      </w:r>
      <w:r w:rsidRPr="00976C24">
        <w:rPr>
          <w:lang w:val="fr-FR"/>
        </w:rPr>
        <w:t xml:space="preserve"> institution qu’</w:t>
      </w:r>
      <w:r>
        <w:rPr>
          <w:lang w:val="fr-FR"/>
        </w:rPr>
        <w:t>il</w:t>
      </w:r>
      <w:r w:rsidRPr="00976C24">
        <w:rPr>
          <w:lang w:val="fr-FR"/>
        </w:rPr>
        <w:t xml:space="preserve"> doit quitter au plus tard dans les deux mois suivants, ou 5)</w:t>
      </w:r>
      <w:r>
        <w:rPr>
          <w:lang w:val="fr-FR"/>
        </w:rPr>
        <w:t> </w:t>
      </w:r>
      <w:r w:rsidRPr="00976C24">
        <w:rPr>
          <w:lang w:val="fr-FR"/>
        </w:rPr>
        <w:t>habite provisoirement chez des amis, des connaissances ou des membres de la famille.</w:t>
      </w:r>
    </w:p>
    <w:p w:rsidR="00903547" w:rsidRPr="00976C24" w:rsidRDefault="00903547" w:rsidP="00B254D6">
      <w:pPr>
        <w:pStyle w:val="SingleTxtG"/>
        <w:rPr>
          <w:lang w:val="fr-FR"/>
        </w:rPr>
      </w:pPr>
      <w:r>
        <w:rPr>
          <w:lang w:val="fr-FR"/>
        </w:rPr>
        <w:t>350.</w:t>
      </w:r>
      <w:r>
        <w:rPr>
          <w:lang w:val="fr-FR"/>
        </w:rPr>
        <w:tab/>
        <w:t>Fin novembre 2008, l</w:t>
      </w:r>
      <w:r w:rsidRPr="00976C24">
        <w:rPr>
          <w:lang w:val="fr-FR"/>
        </w:rPr>
        <w:t>e nombre total des sans-abri était de 6</w:t>
      </w:r>
      <w:r>
        <w:rPr>
          <w:lang w:val="fr-FR"/>
        </w:rPr>
        <w:t> </w:t>
      </w:r>
      <w:r w:rsidRPr="00976C24">
        <w:rPr>
          <w:lang w:val="fr-FR"/>
        </w:rPr>
        <w:t>091, soit 1,27 sans-abri pour 1</w:t>
      </w:r>
      <w:r>
        <w:rPr>
          <w:lang w:val="fr-FR"/>
        </w:rPr>
        <w:t> </w:t>
      </w:r>
      <w:r w:rsidRPr="00976C24">
        <w:rPr>
          <w:lang w:val="fr-FR"/>
        </w:rPr>
        <w:t>000 habitants.</w:t>
      </w:r>
    </w:p>
    <w:p w:rsidR="00903547" w:rsidRPr="00976C24" w:rsidRDefault="00903547" w:rsidP="00B254D6">
      <w:pPr>
        <w:pStyle w:val="SingleTxtG"/>
        <w:rPr>
          <w:lang w:val="fr-FR"/>
        </w:rPr>
      </w:pPr>
      <w:r>
        <w:rPr>
          <w:lang w:val="fr-FR"/>
        </w:rPr>
        <w:t>351.</w:t>
      </w:r>
      <w:r>
        <w:rPr>
          <w:lang w:val="fr-FR"/>
        </w:rPr>
        <w:tab/>
        <w:t xml:space="preserve">Soixante-treize pour cent </w:t>
      </w:r>
      <w:r w:rsidRPr="00976C24">
        <w:rPr>
          <w:lang w:val="fr-FR"/>
        </w:rPr>
        <w:t>des sans-abri sont des hommes. L’âge moyen est de 35</w:t>
      </w:r>
      <w:r>
        <w:rPr>
          <w:lang w:val="fr-FR"/>
        </w:rPr>
        <w:t> </w:t>
      </w:r>
      <w:r w:rsidRPr="00976C24">
        <w:rPr>
          <w:lang w:val="fr-FR"/>
        </w:rPr>
        <w:t>ans. Un quart a moins de 25 ans et 26</w:t>
      </w:r>
      <w:r>
        <w:rPr>
          <w:lang w:val="fr-FR"/>
        </w:rPr>
        <w:t> %</w:t>
      </w:r>
      <w:r w:rsidRPr="00976C24">
        <w:rPr>
          <w:lang w:val="fr-FR"/>
        </w:rPr>
        <w:t xml:space="preserve"> sont âgés de 55 ans ou plus. La moitié d’entre eux </w:t>
      </w:r>
      <w:r>
        <w:rPr>
          <w:lang w:val="fr-FR"/>
        </w:rPr>
        <w:t>est</w:t>
      </w:r>
      <w:r w:rsidRPr="00976C24">
        <w:rPr>
          <w:lang w:val="fr-FR"/>
        </w:rPr>
        <w:t xml:space="preserve"> dans cette situation depuis longtemps</w:t>
      </w:r>
      <w:r>
        <w:rPr>
          <w:lang w:val="fr-FR"/>
        </w:rPr>
        <w:t>:</w:t>
      </w:r>
      <w:r w:rsidRPr="00976C24">
        <w:rPr>
          <w:lang w:val="fr-FR"/>
        </w:rPr>
        <w:t xml:space="preserve"> 20</w:t>
      </w:r>
      <w:r>
        <w:rPr>
          <w:lang w:val="fr-FR"/>
        </w:rPr>
        <w:t> %</w:t>
      </w:r>
      <w:r w:rsidRPr="00976C24">
        <w:rPr>
          <w:lang w:val="fr-FR"/>
        </w:rPr>
        <w:t xml:space="preserve"> sont </w:t>
      </w:r>
      <w:r>
        <w:rPr>
          <w:lang w:val="fr-FR"/>
        </w:rPr>
        <w:t xml:space="preserve">sans </w:t>
      </w:r>
      <w:r w:rsidRPr="00976C24">
        <w:rPr>
          <w:lang w:val="fr-FR"/>
        </w:rPr>
        <w:t>abri par intermittence depuis plusieurs années</w:t>
      </w:r>
      <w:r>
        <w:rPr>
          <w:lang w:val="fr-FR"/>
        </w:rPr>
        <w:t>;</w:t>
      </w:r>
      <w:r w:rsidRPr="00976C24">
        <w:rPr>
          <w:lang w:val="fr-FR"/>
        </w:rPr>
        <w:t xml:space="preserve"> 25</w:t>
      </w:r>
      <w:r>
        <w:rPr>
          <w:lang w:val="fr-FR"/>
        </w:rPr>
        <w:t> %</w:t>
      </w:r>
      <w:r w:rsidRPr="00976C24">
        <w:rPr>
          <w:lang w:val="fr-FR"/>
        </w:rPr>
        <w:t xml:space="preserve"> depuis plus de 6 mois. La grande majorité des sans-abri (81</w:t>
      </w:r>
      <w:r>
        <w:rPr>
          <w:lang w:val="fr-FR"/>
        </w:rPr>
        <w:t> %</w:t>
      </w:r>
      <w:r w:rsidRPr="00976C24">
        <w:rPr>
          <w:lang w:val="fr-FR"/>
        </w:rPr>
        <w:t xml:space="preserve">) </w:t>
      </w:r>
      <w:r>
        <w:rPr>
          <w:lang w:val="fr-FR"/>
        </w:rPr>
        <w:t>est née</w:t>
      </w:r>
      <w:r w:rsidRPr="00976C24">
        <w:rPr>
          <w:lang w:val="fr-FR"/>
        </w:rPr>
        <w:t xml:space="preserve"> en Norvège. </w:t>
      </w:r>
      <w:r>
        <w:rPr>
          <w:lang w:val="fr-FR"/>
        </w:rPr>
        <w:t>Viennent ensuite les</w:t>
      </w:r>
      <w:r w:rsidRPr="00976C24">
        <w:rPr>
          <w:lang w:val="fr-FR"/>
        </w:rPr>
        <w:t xml:space="preserve"> personnes d’origine africaine</w:t>
      </w:r>
      <w:r>
        <w:rPr>
          <w:lang w:val="fr-FR"/>
        </w:rPr>
        <w:t xml:space="preserve"> (7 %)</w:t>
      </w:r>
      <w:r w:rsidRPr="00976C24">
        <w:rPr>
          <w:lang w:val="fr-FR"/>
        </w:rPr>
        <w:t xml:space="preserve"> </w:t>
      </w:r>
      <w:r>
        <w:rPr>
          <w:lang w:val="fr-FR"/>
        </w:rPr>
        <w:t>et</w:t>
      </w:r>
      <w:r w:rsidRPr="00976C24">
        <w:rPr>
          <w:lang w:val="fr-FR"/>
        </w:rPr>
        <w:t xml:space="preserve"> asiatique (5</w:t>
      </w:r>
      <w:r>
        <w:rPr>
          <w:lang w:val="fr-FR"/>
        </w:rPr>
        <w:t> %</w:t>
      </w:r>
      <w:r w:rsidRPr="00976C24">
        <w:rPr>
          <w:lang w:val="fr-FR"/>
        </w:rPr>
        <w:t>).</w:t>
      </w:r>
    </w:p>
    <w:p w:rsidR="00903547" w:rsidRPr="00976C24" w:rsidRDefault="00903547" w:rsidP="00A15920">
      <w:pPr>
        <w:pStyle w:val="SingleTxtG"/>
        <w:rPr>
          <w:lang w:val="fr-FR"/>
        </w:rPr>
      </w:pPr>
      <w:r>
        <w:rPr>
          <w:lang w:val="fr-FR"/>
        </w:rPr>
        <w:t>352.</w:t>
      </w:r>
      <w:r>
        <w:rPr>
          <w:lang w:val="fr-FR"/>
        </w:rPr>
        <w:tab/>
        <w:t xml:space="preserve">Cinquante-deux pour cent </w:t>
      </w:r>
      <w:r w:rsidRPr="00976C24">
        <w:rPr>
          <w:lang w:val="fr-FR"/>
        </w:rPr>
        <w:t>des sans-abri ont achevé leurs études secondaires et sont titulaires d’un certificat d’aptitude professionnelle</w:t>
      </w:r>
      <w:r>
        <w:rPr>
          <w:lang w:val="fr-FR"/>
        </w:rPr>
        <w:t>;</w:t>
      </w:r>
      <w:r w:rsidRPr="00976C24">
        <w:rPr>
          <w:lang w:val="fr-FR"/>
        </w:rPr>
        <w:t xml:space="preserve"> 4</w:t>
      </w:r>
      <w:r>
        <w:rPr>
          <w:lang w:val="fr-FR"/>
        </w:rPr>
        <w:t> %</w:t>
      </w:r>
      <w:r w:rsidRPr="00976C24">
        <w:rPr>
          <w:lang w:val="fr-FR"/>
        </w:rPr>
        <w:t xml:space="preserve"> ont fait des études au-delà du secondaire. Le niveau d’instruction des sans-abri est nettement inférieur à celui de la moyenne norvégienne.</w:t>
      </w:r>
    </w:p>
    <w:p w:rsidR="00903547" w:rsidRPr="00976C24" w:rsidRDefault="00903547" w:rsidP="00A15920">
      <w:pPr>
        <w:pStyle w:val="SingleTxtG"/>
        <w:rPr>
          <w:lang w:val="fr-FR"/>
        </w:rPr>
      </w:pPr>
      <w:r>
        <w:rPr>
          <w:lang w:val="fr-FR"/>
        </w:rPr>
        <w:t>353.</w:t>
      </w:r>
      <w:r>
        <w:rPr>
          <w:lang w:val="fr-FR"/>
        </w:rPr>
        <w:tab/>
      </w:r>
      <w:r w:rsidRPr="00976C24">
        <w:rPr>
          <w:lang w:val="fr-FR"/>
        </w:rPr>
        <w:t>Les prestations sociales sont la principale source de revenu pour 40</w:t>
      </w:r>
      <w:r>
        <w:rPr>
          <w:lang w:val="fr-FR"/>
        </w:rPr>
        <w:t> %</w:t>
      </w:r>
      <w:r w:rsidRPr="00976C24">
        <w:rPr>
          <w:lang w:val="fr-FR"/>
        </w:rPr>
        <w:t xml:space="preserve"> d’entre eux. Un pourcentage légèrement inférieur, 37</w:t>
      </w:r>
      <w:r>
        <w:rPr>
          <w:lang w:val="fr-FR"/>
        </w:rPr>
        <w:t> %</w:t>
      </w:r>
      <w:r w:rsidRPr="00976C24">
        <w:rPr>
          <w:lang w:val="fr-FR"/>
        </w:rPr>
        <w:t>, perçoit une pension quelconque. Parmi eux, 23</w:t>
      </w:r>
      <w:r>
        <w:rPr>
          <w:lang w:val="fr-FR"/>
        </w:rPr>
        <w:t> %</w:t>
      </w:r>
      <w:r w:rsidRPr="00976C24">
        <w:rPr>
          <w:lang w:val="fr-FR"/>
        </w:rPr>
        <w:t xml:space="preserve"> sont bénéficiaires d’une pension d’invalidité ou de retraite et 14</w:t>
      </w:r>
      <w:r>
        <w:rPr>
          <w:lang w:val="fr-FR"/>
        </w:rPr>
        <w:t> %</w:t>
      </w:r>
      <w:r w:rsidRPr="00976C24">
        <w:rPr>
          <w:lang w:val="fr-FR"/>
        </w:rPr>
        <w:t xml:space="preserve"> </w:t>
      </w:r>
      <w:r>
        <w:rPr>
          <w:lang w:val="fr-FR"/>
        </w:rPr>
        <w:t>d’</w:t>
      </w:r>
      <w:r w:rsidRPr="00976C24">
        <w:rPr>
          <w:lang w:val="fr-FR"/>
        </w:rPr>
        <w:t>une allocation de rééducation. 8</w:t>
      </w:r>
      <w:r>
        <w:rPr>
          <w:lang w:val="fr-FR"/>
        </w:rPr>
        <w:t xml:space="preserve"> %</w:t>
      </w:r>
      <w:r w:rsidRPr="00976C24">
        <w:rPr>
          <w:lang w:val="fr-FR"/>
        </w:rPr>
        <w:t xml:space="preserve"> occupent un emploi rémunéré, perçoivent une indemnité de chômage ou des prestations de l’assurance maladie.</w:t>
      </w:r>
    </w:p>
    <w:p w:rsidR="00903547" w:rsidRPr="00976C24" w:rsidRDefault="00903547" w:rsidP="00A15920">
      <w:pPr>
        <w:pStyle w:val="SingleTxtG"/>
        <w:rPr>
          <w:lang w:val="fr-FR"/>
        </w:rPr>
      </w:pPr>
      <w:r>
        <w:rPr>
          <w:lang w:val="fr-FR"/>
        </w:rPr>
        <w:t>354.</w:t>
      </w:r>
      <w:r>
        <w:rPr>
          <w:lang w:val="fr-FR"/>
        </w:rPr>
        <w:tab/>
        <w:t xml:space="preserve">Quatre-vingt-huit pour cent </w:t>
      </w:r>
      <w:r w:rsidRPr="00976C24">
        <w:rPr>
          <w:lang w:val="fr-FR"/>
        </w:rPr>
        <w:t>des sans-abri sont célibataires. Plus d’un quart a des enfants de moins de 18 ans. Les parents a</w:t>
      </w:r>
      <w:r>
        <w:rPr>
          <w:lang w:val="fr-FR"/>
        </w:rPr>
        <w:t>yant</w:t>
      </w:r>
      <w:r w:rsidRPr="00976C24">
        <w:rPr>
          <w:lang w:val="fr-FR"/>
        </w:rPr>
        <w:t xml:space="preserve"> des enfants à charge habitent plus souvent que les autres chez des amis, des connaissances ou des membres de la famille. 16</w:t>
      </w:r>
      <w:r>
        <w:rPr>
          <w:lang w:val="fr-FR"/>
        </w:rPr>
        <w:t> %</w:t>
      </w:r>
      <w:r w:rsidRPr="00976C24">
        <w:rPr>
          <w:lang w:val="fr-FR"/>
        </w:rPr>
        <w:t xml:space="preserve"> de ces parents </w:t>
      </w:r>
      <w:r>
        <w:rPr>
          <w:lang w:val="fr-FR"/>
        </w:rPr>
        <w:t>ont la garde exclusive ou</w:t>
      </w:r>
      <w:r w:rsidRPr="00976C24">
        <w:rPr>
          <w:lang w:val="fr-FR"/>
        </w:rPr>
        <w:t xml:space="preserve"> partagée de leurs enfants. 378 enfants </w:t>
      </w:r>
      <w:r>
        <w:rPr>
          <w:lang w:val="fr-FR"/>
        </w:rPr>
        <w:t>vivent ainsi avec</w:t>
      </w:r>
      <w:r w:rsidRPr="00976C24">
        <w:rPr>
          <w:lang w:val="fr-FR"/>
        </w:rPr>
        <w:t xml:space="preserve"> leurs parents, mais aucun parent ayant des enfants </w:t>
      </w:r>
      <w:r>
        <w:rPr>
          <w:lang w:val="fr-FR"/>
        </w:rPr>
        <w:t>à charge ne vit dans la rue ou n’</w:t>
      </w:r>
      <w:r w:rsidRPr="00976C24">
        <w:rPr>
          <w:lang w:val="fr-FR"/>
        </w:rPr>
        <w:t>a recours aux foyers d’urgence. Le</w:t>
      </w:r>
      <w:r>
        <w:rPr>
          <w:lang w:val="fr-FR"/>
        </w:rPr>
        <w:t>s</w:t>
      </w:r>
      <w:r w:rsidRPr="00976C24">
        <w:rPr>
          <w:lang w:val="fr-FR"/>
        </w:rPr>
        <w:t xml:space="preserve"> service</w:t>
      </w:r>
      <w:r>
        <w:rPr>
          <w:lang w:val="fr-FR"/>
        </w:rPr>
        <w:t>s de protection de l’enfance sont</w:t>
      </w:r>
      <w:r w:rsidRPr="00976C24">
        <w:rPr>
          <w:lang w:val="fr-FR"/>
        </w:rPr>
        <w:t xml:space="preserve"> tout </w:t>
      </w:r>
      <w:r>
        <w:rPr>
          <w:lang w:val="fr-FR"/>
        </w:rPr>
        <w:t>spécialement</w:t>
      </w:r>
      <w:r w:rsidRPr="00976C24">
        <w:rPr>
          <w:lang w:val="fr-FR"/>
        </w:rPr>
        <w:t xml:space="preserve"> chargé</w:t>
      </w:r>
      <w:r>
        <w:rPr>
          <w:lang w:val="fr-FR"/>
        </w:rPr>
        <w:t>s</w:t>
      </w:r>
      <w:r w:rsidRPr="00976C24">
        <w:rPr>
          <w:lang w:val="fr-FR"/>
        </w:rPr>
        <w:t xml:space="preserve"> de suivre ces enfants.</w:t>
      </w:r>
    </w:p>
    <w:p w:rsidR="00903547" w:rsidRPr="00976C24" w:rsidRDefault="00903547" w:rsidP="00A15920">
      <w:pPr>
        <w:pStyle w:val="SingleTxtG"/>
        <w:rPr>
          <w:lang w:val="fr-FR"/>
        </w:rPr>
      </w:pPr>
      <w:r>
        <w:rPr>
          <w:lang w:val="fr-FR"/>
        </w:rPr>
        <w:t>355.</w:t>
      </w:r>
      <w:r>
        <w:rPr>
          <w:lang w:val="fr-FR"/>
        </w:rPr>
        <w:tab/>
        <w:t xml:space="preserve">Trente-sept pour cent </w:t>
      </w:r>
      <w:r w:rsidRPr="00976C24">
        <w:rPr>
          <w:lang w:val="fr-FR"/>
        </w:rPr>
        <w:t>des sans-abri habitent temporairement chez des amis, des connaissances ou des membres de la famille. Un quart vit dans un logement provisoire, comme les asiles de nuit, les centres d’hébergement, les chambres d’hôte, les campings, etc. 17</w:t>
      </w:r>
      <w:r>
        <w:rPr>
          <w:lang w:val="fr-FR"/>
        </w:rPr>
        <w:t> %</w:t>
      </w:r>
      <w:r w:rsidRPr="00976C24">
        <w:rPr>
          <w:lang w:val="fr-FR"/>
        </w:rPr>
        <w:t xml:space="preserve"> sont en institution mais doivent la quitter au bout de deux mois. 5</w:t>
      </w:r>
      <w:r>
        <w:rPr>
          <w:lang w:val="fr-FR"/>
        </w:rPr>
        <w:t> %</w:t>
      </w:r>
      <w:r w:rsidRPr="00976C24">
        <w:rPr>
          <w:lang w:val="fr-FR"/>
        </w:rPr>
        <w:t xml:space="preserve"> sont dans la rue ou ont recours à divers dispositifs d’urgence dont les heures d’ouverture sont très limitées.</w:t>
      </w:r>
    </w:p>
    <w:p w:rsidR="00903547" w:rsidRPr="00976C24" w:rsidRDefault="00903547" w:rsidP="00A15920">
      <w:pPr>
        <w:pStyle w:val="SingleTxtG"/>
        <w:rPr>
          <w:lang w:val="fr-FR"/>
        </w:rPr>
      </w:pPr>
      <w:r>
        <w:rPr>
          <w:lang w:val="fr-FR"/>
        </w:rPr>
        <w:t>356.</w:t>
      </w:r>
      <w:r>
        <w:rPr>
          <w:lang w:val="fr-FR"/>
        </w:rPr>
        <w:tab/>
      </w:r>
      <w:r w:rsidRPr="00976C24">
        <w:rPr>
          <w:lang w:val="fr-FR"/>
        </w:rPr>
        <w:t>L’enquête a révélé des écarts systématiques entre les types d</w:t>
      </w:r>
      <w:r>
        <w:rPr>
          <w:lang w:val="fr-FR"/>
        </w:rPr>
        <w:t>’hébergement</w:t>
      </w:r>
      <w:r w:rsidRPr="00976C24">
        <w:rPr>
          <w:lang w:val="fr-FR"/>
        </w:rPr>
        <w:t xml:space="preserve"> utilisés par les jeunes ou les personnes âgées. Plus de la moitié des sans-abri de moins de 25 ans vit chez des amis, des connaissances ou des membres de la famille, mais seulement 15</w:t>
      </w:r>
      <w:r>
        <w:rPr>
          <w:lang w:val="fr-FR"/>
        </w:rPr>
        <w:t> %</w:t>
      </w:r>
      <w:r w:rsidRPr="00976C24">
        <w:rPr>
          <w:lang w:val="fr-FR"/>
        </w:rPr>
        <w:t xml:space="preserve"> de ceux qui sont âgés de 65</w:t>
      </w:r>
      <w:r>
        <w:rPr>
          <w:lang w:val="fr-FR"/>
        </w:rPr>
        <w:t> </w:t>
      </w:r>
      <w:r w:rsidRPr="00976C24">
        <w:rPr>
          <w:lang w:val="fr-FR"/>
        </w:rPr>
        <w:t>ans et plus. Une minorité des plus jeunes vit dans des logements temporaires. La proportion d</w:t>
      </w:r>
      <w:r>
        <w:rPr>
          <w:lang w:val="fr-FR"/>
        </w:rPr>
        <w:t>’occupants de</w:t>
      </w:r>
      <w:r w:rsidRPr="00976C24">
        <w:rPr>
          <w:lang w:val="fr-FR"/>
        </w:rPr>
        <w:t xml:space="preserve"> logements temporaires covarie avec l’âge et 40</w:t>
      </w:r>
      <w:r>
        <w:rPr>
          <w:lang w:val="fr-FR"/>
        </w:rPr>
        <w:t> %</w:t>
      </w:r>
      <w:r w:rsidRPr="00976C24">
        <w:rPr>
          <w:lang w:val="fr-FR"/>
        </w:rPr>
        <w:t xml:space="preserve"> de ceux qui ont 55 ans et plus disposent de solutions provisoires. L’écart d’âge s’amplifie encore en ce qui concerne le </w:t>
      </w:r>
      <w:r>
        <w:rPr>
          <w:lang w:val="fr-FR"/>
        </w:rPr>
        <w:t>recours aux foyers d’urgence. Le pourcentage</w:t>
      </w:r>
      <w:r w:rsidRPr="00976C24">
        <w:rPr>
          <w:lang w:val="fr-FR"/>
        </w:rPr>
        <w:t xml:space="preserve"> des sans-abri les plus âgés (55 et plus) qui passent la nuit dans un hébergement d’urgence est t</w:t>
      </w:r>
      <w:r>
        <w:rPr>
          <w:lang w:val="fr-FR"/>
        </w:rPr>
        <w:t>rois fois plus élevé que celui</w:t>
      </w:r>
      <w:r w:rsidRPr="00976C24">
        <w:rPr>
          <w:lang w:val="fr-FR"/>
        </w:rPr>
        <w:t xml:space="preserve"> des plus jeunes (moins de 35 ans). 12</w:t>
      </w:r>
      <w:r>
        <w:rPr>
          <w:lang w:val="fr-FR"/>
        </w:rPr>
        <w:t xml:space="preserve"> %</w:t>
      </w:r>
      <w:r w:rsidRPr="00976C24">
        <w:rPr>
          <w:lang w:val="fr-FR"/>
        </w:rPr>
        <w:t xml:space="preserve"> </w:t>
      </w:r>
      <w:r>
        <w:rPr>
          <w:lang w:val="fr-FR"/>
        </w:rPr>
        <w:t>étaient</w:t>
      </w:r>
      <w:r w:rsidRPr="00976C24">
        <w:rPr>
          <w:lang w:val="fr-FR"/>
        </w:rPr>
        <w:t xml:space="preserve"> dans la même situation depuis </w:t>
      </w:r>
      <w:r>
        <w:rPr>
          <w:lang w:val="fr-FR"/>
        </w:rPr>
        <w:t xml:space="preserve">au moins </w:t>
      </w:r>
      <w:r w:rsidRPr="00976C24">
        <w:rPr>
          <w:lang w:val="fr-FR"/>
        </w:rPr>
        <w:t xml:space="preserve">trois semaines </w:t>
      </w:r>
      <w:r>
        <w:rPr>
          <w:lang w:val="fr-FR"/>
        </w:rPr>
        <w:t>au moment de</w:t>
      </w:r>
      <w:r w:rsidRPr="00976C24">
        <w:rPr>
          <w:lang w:val="fr-FR"/>
        </w:rPr>
        <w:t xml:space="preserve"> la collecte des informations, 42</w:t>
      </w:r>
      <w:r>
        <w:rPr>
          <w:lang w:val="fr-FR"/>
        </w:rPr>
        <w:t> %</w:t>
      </w:r>
      <w:r w:rsidRPr="00976C24">
        <w:rPr>
          <w:lang w:val="fr-FR"/>
        </w:rPr>
        <w:t xml:space="preserve"> entre trois semaines et six mois et 41</w:t>
      </w:r>
      <w:r>
        <w:rPr>
          <w:lang w:val="fr-FR"/>
        </w:rPr>
        <w:t xml:space="preserve"> %</w:t>
      </w:r>
      <w:r w:rsidRPr="00976C24">
        <w:rPr>
          <w:lang w:val="fr-FR"/>
        </w:rPr>
        <w:t xml:space="preserve"> depuis plus de six mois.</w:t>
      </w:r>
    </w:p>
    <w:p w:rsidR="00903547" w:rsidRPr="00976C24" w:rsidRDefault="00903547" w:rsidP="00A15920">
      <w:pPr>
        <w:pStyle w:val="SingleTxtG"/>
        <w:rPr>
          <w:lang w:val="fr-FR"/>
        </w:rPr>
      </w:pPr>
      <w:r>
        <w:rPr>
          <w:lang w:val="fr-FR"/>
        </w:rPr>
        <w:t>357.</w:t>
      </w:r>
      <w:r>
        <w:rPr>
          <w:lang w:val="fr-FR"/>
        </w:rPr>
        <w:tab/>
        <w:t>En Norvège,</w:t>
      </w:r>
      <w:r w:rsidRPr="00976C24">
        <w:rPr>
          <w:lang w:val="fr-FR"/>
        </w:rPr>
        <w:t xml:space="preserve"> la majorité des sans-abri </w:t>
      </w:r>
      <w:r>
        <w:rPr>
          <w:lang w:val="fr-FR"/>
        </w:rPr>
        <w:t>vit dans cette situation</w:t>
      </w:r>
      <w:r w:rsidRPr="00976C24">
        <w:rPr>
          <w:lang w:val="fr-FR"/>
        </w:rPr>
        <w:t xml:space="preserve"> </w:t>
      </w:r>
      <w:r>
        <w:rPr>
          <w:lang w:val="fr-FR"/>
        </w:rPr>
        <w:t>en quasi-permanence</w:t>
      </w:r>
      <w:r w:rsidRPr="00976C24">
        <w:rPr>
          <w:lang w:val="fr-FR"/>
        </w:rPr>
        <w:t xml:space="preserve">. Près d’un quart </w:t>
      </w:r>
      <w:r>
        <w:rPr>
          <w:lang w:val="fr-FR"/>
        </w:rPr>
        <w:t>était</w:t>
      </w:r>
      <w:r w:rsidRPr="00976C24">
        <w:rPr>
          <w:lang w:val="fr-FR"/>
        </w:rPr>
        <w:t xml:space="preserve"> s</w:t>
      </w:r>
      <w:r>
        <w:rPr>
          <w:lang w:val="fr-FR"/>
        </w:rPr>
        <w:t xml:space="preserve">ans </w:t>
      </w:r>
      <w:r w:rsidRPr="00976C24">
        <w:rPr>
          <w:lang w:val="fr-FR"/>
        </w:rPr>
        <w:t>abri depuis plus de six mois et un tiers par intermittence depuis plusieurs années</w:t>
      </w:r>
      <w:r>
        <w:rPr>
          <w:lang w:val="fr-FR"/>
        </w:rPr>
        <w:t xml:space="preserve"> au moment de la collecte des données</w:t>
      </w:r>
      <w:r w:rsidRPr="00976C24">
        <w:rPr>
          <w:lang w:val="fr-FR"/>
        </w:rPr>
        <w:t xml:space="preserve">. Un quart considère sa situation comme un problème dramatique. Les femmes </w:t>
      </w:r>
      <w:r>
        <w:rPr>
          <w:lang w:val="fr-FR"/>
        </w:rPr>
        <w:t>sont</w:t>
      </w:r>
      <w:r w:rsidRPr="00976C24">
        <w:rPr>
          <w:lang w:val="fr-FR"/>
        </w:rPr>
        <w:t xml:space="preserve"> plus souvent </w:t>
      </w:r>
      <w:r>
        <w:rPr>
          <w:lang w:val="fr-FR"/>
        </w:rPr>
        <w:t>confrontées</w:t>
      </w:r>
      <w:r w:rsidRPr="00976C24">
        <w:rPr>
          <w:lang w:val="fr-FR"/>
        </w:rPr>
        <w:t xml:space="preserve"> à une absence </w:t>
      </w:r>
      <w:r>
        <w:rPr>
          <w:lang w:val="fr-FR"/>
        </w:rPr>
        <w:t xml:space="preserve">temporaire </w:t>
      </w:r>
      <w:r w:rsidRPr="00976C24">
        <w:rPr>
          <w:lang w:val="fr-FR"/>
        </w:rPr>
        <w:t xml:space="preserve">de domicile </w:t>
      </w:r>
      <w:r>
        <w:rPr>
          <w:lang w:val="fr-FR"/>
        </w:rPr>
        <w:t>que les hommes, mais ces derniers</w:t>
      </w:r>
      <w:r w:rsidRPr="00976C24">
        <w:rPr>
          <w:lang w:val="fr-FR"/>
        </w:rPr>
        <w:t xml:space="preserve"> </w:t>
      </w:r>
      <w:r>
        <w:rPr>
          <w:lang w:val="fr-FR"/>
        </w:rPr>
        <w:t>sont</w:t>
      </w:r>
      <w:r w:rsidRPr="00976C24">
        <w:rPr>
          <w:lang w:val="fr-FR"/>
        </w:rPr>
        <w:t xml:space="preserve"> </w:t>
      </w:r>
      <w:r>
        <w:rPr>
          <w:lang w:val="fr-FR"/>
        </w:rPr>
        <w:t>davantage</w:t>
      </w:r>
      <w:r w:rsidRPr="00976C24">
        <w:rPr>
          <w:lang w:val="fr-FR"/>
        </w:rPr>
        <w:t xml:space="preserve"> des sans-abri de longue durée. L’enquête montre également que l’absence </w:t>
      </w:r>
      <w:r>
        <w:rPr>
          <w:lang w:val="fr-FR"/>
        </w:rPr>
        <w:t xml:space="preserve">temporaire </w:t>
      </w:r>
      <w:r w:rsidRPr="00976C24">
        <w:rPr>
          <w:lang w:val="fr-FR"/>
        </w:rPr>
        <w:t>de domicile touche beaucoup plus les plus jeunes</w:t>
      </w:r>
      <w:r>
        <w:rPr>
          <w:lang w:val="fr-FR"/>
        </w:rPr>
        <w:t xml:space="preserve">, par ailleurs moins susceptibles </w:t>
      </w:r>
      <w:r w:rsidRPr="00976C24">
        <w:rPr>
          <w:lang w:val="fr-FR"/>
        </w:rPr>
        <w:t>que le groupe des plus âgés</w:t>
      </w:r>
      <w:r>
        <w:rPr>
          <w:lang w:val="fr-FR"/>
        </w:rPr>
        <w:t xml:space="preserve"> de </w:t>
      </w:r>
      <w:r w:rsidRPr="00976C24">
        <w:rPr>
          <w:lang w:val="fr-FR"/>
        </w:rPr>
        <w:t>reste</w:t>
      </w:r>
      <w:r>
        <w:rPr>
          <w:lang w:val="fr-FR"/>
        </w:rPr>
        <w:t>r</w:t>
      </w:r>
      <w:r w:rsidRPr="00976C24">
        <w:rPr>
          <w:lang w:val="fr-FR"/>
        </w:rPr>
        <w:t xml:space="preserve"> </w:t>
      </w:r>
      <w:r>
        <w:rPr>
          <w:lang w:val="fr-FR"/>
        </w:rPr>
        <w:t xml:space="preserve">sans </w:t>
      </w:r>
      <w:r w:rsidRPr="00976C24">
        <w:rPr>
          <w:lang w:val="fr-FR"/>
        </w:rPr>
        <w:t xml:space="preserve">abri </w:t>
      </w:r>
      <w:r>
        <w:rPr>
          <w:lang w:val="fr-FR"/>
        </w:rPr>
        <w:t>pendant plusieurs années</w:t>
      </w:r>
      <w:r w:rsidRPr="00976C24">
        <w:rPr>
          <w:lang w:val="fr-FR"/>
        </w:rPr>
        <w:t>.</w:t>
      </w:r>
    </w:p>
    <w:p w:rsidR="00903547" w:rsidRPr="00976C24" w:rsidRDefault="00903547" w:rsidP="00A15920">
      <w:pPr>
        <w:pStyle w:val="SingleTxtG"/>
        <w:rPr>
          <w:lang w:val="fr-FR"/>
        </w:rPr>
      </w:pPr>
      <w:r>
        <w:rPr>
          <w:lang w:val="fr-FR"/>
        </w:rPr>
        <w:t>358.</w:t>
      </w:r>
      <w:r>
        <w:rPr>
          <w:lang w:val="fr-FR"/>
        </w:rPr>
        <w:tab/>
      </w:r>
      <w:r w:rsidRPr="00976C24">
        <w:rPr>
          <w:lang w:val="fr-FR"/>
        </w:rPr>
        <w:t xml:space="preserve">Parmi les sans-abri ayant la garde exclusive ou partagée de leurs enfants, plus de la moitié </w:t>
      </w:r>
      <w:r>
        <w:rPr>
          <w:lang w:val="fr-FR"/>
        </w:rPr>
        <w:t>est</w:t>
      </w:r>
      <w:r w:rsidRPr="00976C24">
        <w:rPr>
          <w:lang w:val="fr-FR"/>
        </w:rPr>
        <w:t xml:space="preserve"> momenta</w:t>
      </w:r>
      <w:r>
        <w:rPr>
          <w:lang w:val="fr-FR"/>
        </w:rPr>
        <w:t xml:space="preserve">nément sans </w:t>
      </w:r>
      <w:r w:rsidRPr="00976C24">
        <w:rPr>
          <w:lang w:val="fr-FR"/>
        </w:rPr>
        <w:t>abri. 13</w:t>
      </w:r>
      <w:r>
        <w:rPr>
          <w:lang w:val="fr-FR"/>
        </w:rPr>
        <w:t> %</w:t>
      </w:r>
      <w:r w:rsidRPr="00976C24">
        <w:rPr>
          <w:lang w:val="fr-FR"/>
        </w:rPr>
        <w:t xml:space="preserve"> des parents </w:t>
      </w:r>
      <w:r>
        <w:rPr>
          <w:lang w:val="fr-FR"/>
        </w:rPr>
        <w:t xml:space="preserve">sans </w:t>
      </w:r>
      <w:r w:rsidRPr="00976C24">
        <w:rPr>
          <w:lang w:val="fr-FR"/>
        </w:rPr>
        <w:t xml:space="preserve">abri </w:t>
      </w:r>
      <w:r>
        <w:rPr>
          <w:lang w:val="fr-FR"/>
        </w:rPr>
        <w:t>accompagnés quotidiennement de leurs</w:t>
      </w:r>
      <w:r w:rsidRPr="00976C24">
        <w:rPr>
          <w:lang w:val="fr-FR"/>
        </w:rPr>
        <w:t xml:space="preserve"> enfants </w:t>
      </w:r>
      <w:r>
        <w:rPr>
          <w:lang w:val="fr-FR"/>
        </w:rPr>
        <w:t>ét</w:t>
      </w:r>
      <w:r w:rsidRPr="00976C24">
        <w:rPr>
          <w:lang w:val="fr-FR"/>
        </w:rPr>
        <w:t>aient dans cette situation depuis plus de six mois au moment de la collecte des informations. 14</w:t>
      </w:r>
      <w:r>
        <w:rPr>
          <w:lang w:val="fr-FR"/>
        </w:rPr>
        <w:t xml:space="preserve"> %</w:t>
      </w:r>
      <w:r w:rsidRPr="00976C24">
        <w:rPr>
          <w:lang w:val="fr-FR"/>
        </w:rPr>
        <w:t xml:space="preserve"> </w:t>
      </w:r>
      <w:r>
        <w:rPr>
          <w:lang w:val="fr-FR"/>
        </w:rPr>
        <w:t xml:space="preserve">sont sans </w:t>
      </w:r>
      <w:r w:rsidRPr="00976C24">
        <w:rPr>
          <w:lang w:val="fr-FR"/>
        </w:rPr>
        <w:t>abri par intermittence depuis plusieurs années.</w:t>
      </w:r>
    </w:p>
    <w:p w:rsidR="00903547" w:rsidRPr="00976C24" w:rsidRDefault="00903547" w:rsidP="00A15920">
      <w:pPr>
        <w:pStyle w:val="SingleTxtG"/>
        <w:rPr>
          <w:lang w:val="fr-FR"/>
        </w:rPr>
      </w:pPr>
      <w:r>
        <w:rPr>
          <w:lang w:val="fr-FR"/>
        </w:rPr>
        <w:t>359.</w:t>
      </w:r>
      <w:r>
        <w:rPr>
          <w:lang w:val="fr-FR"/>
        </w:rPr>
        <w:tab/>
      </w:r>
      <w:r w:rsidRPr="00976C24">
        <w:rPr>
          <w:lang w:val="fr-FR"/>
        </w:rPr>
        <w:t>La majorité des sans-abri (59</w:t>
      </w:r>
      <w:r>
        <w:rPr>
          <w:lang w:val="fr-FR"/>
        </w:rPr>
        <w:t> %</w:t>
      </w:r>
      <w:r w:rsidRPr="00976C24">
        <w:rPr>
          <w:lang w:val="fr-FR"/>
        </w:rPr>
        <w:t xml:space="preserve">) </w:t>
      </w:r>
      <w:r>
        <w:rPr>
          <w:lang w:val="fr-FR"/>
        </w:rPr>
        <w:t>est dépendante</w:t>
      </w:r>
      <w:r w:rsidRPr="00976C24">
        <w:rPr>
          <w:lang w:val="fr-FR"/>
        </w:rPr>
        <w:t xml:space="preserve"> aux drogues ou à l’alcool. La dépendance tend à covarier avec la durée de la situation</w:t>
      </w:r>
      <w:r>
        <w:rPr>
          <w:lang w:val="fr-FR"/>
        </w:rPr>
        <w:t>:</w:t>
      </w:r>
      <w:r w:rsidRPr="00976C24">
        <w:rPr>
          <w:lang w:val="fr-FR"/>
        </w:rPr>
        <w:t xml:space="preserve"> quatre </w:t>
      </w:r>
      <w:r>
        <w:rPr>
          <w:lang w:val="fr-FR"/>
        </w:rPr>
        <w:t>cinquièmes</w:t>
      </w:r>
      <w:r w:rsidRPr="00976C24">
        <w:rPr>
          <w:lang w:val="fr-FR"/>
        </w:rPr>
        <w:t xml:space="preserve"> des sans-abri de longue durée (plusieurs années) sont dépendants aux drogues ou à l’alcool, contre deux cinq</w:t>
      </w:r>
      <w:r>
        <w:rPr>
          <w:lang w:val="fr-FR"/>
        </w:rPr>
        <w:t>uièmes ce ceux qui sont</w:t>
      </w:r>
      <w:r w:rsidRPr="00976C24">
        <w:rPr>
          <w:lang w:val="fr-FR"/>
        </w:rPr>
        <w:t xml:space="preserve"> passagèrement sans abri. Un tiers est atteint d’une maladie mentale diagnostiquée ou manifeste. On constate une incidence plus élevée des maladies mentales chez les sans-abri de longue durée.</w:t>
      </w:r>
    </w:p>
    <w:p w:rsidR="00903547" w:rsidRPr="00976C24" w:rsidRDefault="00903547" w:rsidP="0071086E">
      <w:pPr>
        <w:pStyle w:val="H4G"/>
        <w:rPr>
          <w:lang w:val="fr-FR"/>
        </w:rPr>
      </w:pPr>
      <w:r w:rsidRPr="00976C24">
        <w:rPr>
          <w:lang w:val="fr-FR"/>
        </w:rPr>
        <w:tab/>
        <w:t>ii)</w:t>
      </w:r>
      <w:r w:rsidRPr="00976C24">
        <w:rPr>
          <w:lang w:val="fr-FR"/>
        </w:rPr>
        <w:tab/>
        <w:t>Logement i</w:t>
      </w:r>
      <w:r>
        <w:rPr>
          <w:lang w:val="fr-FR"/>
        </w:rPr>
        <w:t>nadéquat</w:t>
      </w:r>
    </w:p>
    <w:p w:rsidR="00903547" w:rsidRPr="00976C24" w:rsidRDefault="00903547" w:rsidP="00A15920">
      <w:pPr>
        <w:pStyle w:val="SingleTxtG"/>
        <w:rPr>
          <w:lang w:val="fr-FR"/>
        </w:rPr>
      </w:pPr>
      <w:r>
        <w:rPr>
          <w:lang w:val="fr-FR"/>
        </w:rPr>
        <w:t>360.</w:t>
      </w:r>
      <w:r>
        <w:rPr>
          <w:lang w:val="fr-FR"/>
        </w:rPr>
        <w:tab/>
      </w:r>
      <w:r w:rsidRPr="00976C24">
        <w:rPr>
          <w:lang w:val="fr-FR"/>
        </w:rPr>
        <w:t>La question du logement in</w:t>
      </w:r>
      <w:r>
        <w:rPr>
          <w:lang w:val="fr-FR"/>
        </w:rPr>
        <w:t>adéquat</w:t>
      </w:r>
      <w:r w:rsidRPr="00976C24">
        <w:rPr>
          <w:lang w:val="fr-FR"/>
        </w:rPr>
        <w:t xml:space="preserve"> est traitée dans la dernière étude de 2008 du Bureau norvégien de statistique sur le niveau d</w:t>
      </w:r>
      <w:r>
        <w:rPr>
          <w:lang w:val="fr-FR"/>
        </w:rPr>
        <w:t>e vie</w:t>
      </w:r>
      <w:r w:rsidRPr="00976C24">
        <w:rPr>
          <w:lang w:val="fr-FR"/>
        </w:rPr>
        <w:t>. L’étude révèle que 3</w:t>
      </w:r>
      <w:r>
        <w:rPr>
          <w:lang w:val="fr-FR"/>
        </w:rPr>
        <w:t> </w:t>
      </w:r>
      <w:r w:rsidRPr="00976C24">
        <w:rPr>
          <w:lang w:val="fr-FR"/>
        </w:rPr>
        <w:t>% des Norvégiens vivent dans des logements humides</w:t>
      </w:r>
      <w:r w:rsidRPr="00976C24">
        <w:rPr>
          <w:rStyle w:val="FootnoteReference"/>
          <w:lang w:val="fr-FR"/>
        </w:rPr>
        <w:footnoteReference w:id="18"/>
      </w:r>
      <w:r w:rsidRPr="00976C24">
        <w:rPr>
          <w:lang w:val="fr-FR"/>
        </w:rPr>
        <w:t xml:space="preserve"> et 6</w:t>
      </w:r>
      <w:r>
        <w:rPr>
          <w:lang w:val="fr-FR"/>
        </w:rPr>
        <w:t> % dans les logements surpeuplés</w:t>
      </w:r>
      <w:r w:rsidRPr="00976C24">
        <w:rPr>
          <w:rStyle w:val="FootnoteReference"/>
          <w:lang w:val="fr-FR"/>
        </w:rPr>
        <w:footnoteReference w:id="19"/>
      </w:r>
      <w:r>
        <w:rPr>
          <w:lang w:val="fr-FR"/>
        </w:rPr>
        <w:t>.</w:t>
      </w:r>
      <w:r w:rsidRPr="00976C24">
        <w:rPr>
          <w:lang w:val="fr-FR"/>
        </w:rPr>
        <w:t xml:space="preserve"> 5</w:t>
      </w:r>
      <w:r>
        <w:rPr>
          <w:lang w:val="fr-FR"/>
        </w:rPr>
        <w:t> </w:t>
      </w:r>
      <w:r w:rsidRPr="00976C24">
        <w:rPr>
          <w:lang w:val="fr-FR"/>
        </w:rPr>
        <w:t>% sont soumis à une pollution sonore liée à l’activité industrielle et 4</w:t>
      </w:r>
      <w:r>
        <w:rPr>
          <w:lang w:val="fr-FR"/>
        </w:rPr>
        <w:t> %</w:t>
      </w:r>
      <w:r w:rsidRPr="00976C24">
        <w:rPr>
          <w:lang w:val="fr-FR"/>
        </w:rPr>
        <w:t xml:space="preserve"> souffrent de troubles dus à la pollution de l’air liée à l’activité industrielle et autre. L’accès aux infrastructures et services de base comme l’eau courante, le chauffage, l’é</w:t>
      </w:r>
      <w:r>
        <w:rPr>
          <w:lang w:val="fr-FR"/>
        </w:rPr>
        <w:t>vacuation</w:t>
      </w:r>
      <w:r w:rsidRPr="00976C24">
        <w:rPr>
          <w:lang w:val="fr-FR"/>
        </w:rPr>
        <w:t xml:space="preserve"> des déchets et l’électricité n’a pas fait l’objet d’une évaluation. En 2001, 97</w:t>
      </w:r>
      <w:r>
        <w:rPr>
          <w:lang w:val="fr-FR"/>
        </w:rPr>
        <w:t> </w:t>
      </w:r>
      <w:r w:rsidRPr="00976C24">
        <w:rPr>
          <w:lang w:val="fr-FR"/>
        </w:rPr>
        <w:t>% des ménages norvégiens disposaient d’une salle de bain et de toilettes et 99</w:t>
      </w:r>
      <w:r>
        <w:rPr>
          <w:lang w:val="fr-FR"/>
        </w:rPr>
        <w:t> </w:t>
      </w:r>
      <w:r w:rsidRPr="00976C24">
        <w:rPr>
          <w:lang w:val="fr-FR"/>
        </w:rPr>
        <w:t>% d’une cuisine ou d</w:t>
      </w:r>
      <w:r>
        <w:rPr>
          <w:lang w:val="fr-FR"/>
        </w:rPr>
        <w:t>’</w:t>
      </w:r>
      <w:r w:rsidRPr="00976C24">
        <w:rPr>
          <w:lang w:val="fr-FR"/>
        </w:rPr>
        <w:t>appareils de cuisson</w:t>
      </w:r>
      <w:r>
        <w:rPr>
          <w:lang w:val="fr-FR"/>
        </w:rPr>
        <w:t xml:space="preserve"> personnels</w:t>
      </w:r>
      <w:r w:rsidRPr="00976C24">
        <w:rPr>
          <w:lang w:val="fr-FR"/>
        </w:rPr>
        <w:t>. La majorité des logements est équipée d’un système de chauffage convenable et tous les ménages ont accès à l’eau salubre (recensement de la population et de l’habitation de 2001).</w:t>
      </w:r>
    </w:p>
    <w:p w:rsidR="00903547" w:rsidRPr="00976C24" w:rsidRDefault="00903547" w:rsidP="00A15920">
      <w:pPr>
        <w:pStyle w:val="SingleTxtG"/>
        <w:rPr>
          <w:lang w:val="fr-FR"/>
        </w:rPr>
      </w:pPr>
      <w:r>
        <w:rPr>
          <w:lang w:val="fr-FR"/>
        </w:rPr>
        <w:t>361.</w:t>
      </w:r>
      <w:r>
        <w:rPr>
          <w:lang w:val="fr-FR"/>
        </w:rPr>
        <w:tab/>
      </w:r>
      <w:r w:rsidRPr="00976C24">
        <w:rPr>
          <w:lang w:val="fr-FR"/>
        </w:rPr>
        <w:t xml:space="preserve">On ne dispose d’aucune information </w:t>
      </w:r>
      <w:r>
        <w:rPr>
          <w:lang w:val="fr-FR"/>
        </w:rPr>
        <w:t>ou</w:t>
      </w:r>
      <w:r w:rsidRPr="00976C24">
        <w:rPr>
          <w:lang w:val="fr-FR"/>
        </w:rPr>
        <w:t xml:space="preserve"> statistique sur les personnes qui vivent dans des logements peu solides. S</w:t>
      </w:r>
      <w:r>
        <w:rPr>
          <w:lang w:val="fr-FR"/>
        </w:rPr>
        <w:t>’appuyant</w:t>
      </w:r>
      <w:r w:rsidRPr="00976C24">
        <w:rPr>
          <w:lang w:val="fr-FR"/>
        </w:rPr>
        <w:t xml:space="preserve"> sur les conclusions de l’enquête sur le niveau de vie, le</w:t>
      </w:r>
      <w:r>
        <w:rPr>
          <w:lang w:val="fr-FR"/>
        </w:rPr>
        <w:t>s pouvoirs publics</w:t>
      </w:r>
      <w:r w:rsidRPr="00976C24">
        <w:rPr>
          <w:lang w:val="fr-FR"/>
        </w:rPr>
        <w:t xml:space="preserve"> estime</w:t>
      </w:r>
      <w:r>
        <w:rPr>
          <w:lang w:val="fr-FR"/>
        </w:rPr>
        <w:t>nt</w:t>
      </w:r>
      <w:r w:rsidRPr="00976C24">
        <w:rPr>
          <w:lang w:val="fr-FR"/>
        </w:rPr>
        <w:t xml:space="preserve"> que le</w:t>
      </w:r>
      <w:r>
        <w:rPr>
          <w:lang w:val="fr-FR"/>
        </w:rPr>
        <w:t>ur</w:t>
      </w:r>
      <w:r w:rsidRPr="00976C24">
        <w:rPr>
          <w:lang w:val="fr-FR"/>
        </w:rPr>
        <w:t xml:space="preserve"> nombre est très faible.</w:t>
      </w:r>
    </w:p>
    <w:p w:rsidR="00903547" w:rsidRPr="00976C24" w:rsidRDefault="00903547" w:rsidP="0071086E">
      <w:pPr>
        <w:pStyle w:val="H23G"/>
        <w:rPr>
          <w:bCs/>
          <w:i/>
          <w:iCs/>
          <w:lang w:val="fr-FR"/>
        </w:rPr>
      </w:pPr>
      <w:r w:rsidRPr="00976C24">
        <w:rPr>
          <w:lang w:val="fr-FR"/>
        </w:rPr>
        <w:tab/>
        <w:t>e)</w:t>
      </w:r>
      <w:r w:rsidRPr="00976C24">
        <w:rPr>
          <w:lang w:val="fr-FR"/>
        </w:rPr>
        <w:tab/>
        <w:t>Logement adéquat, abordable et accessible</w:t>
      </w:r>
      <w:r w:rsidRPr="00976C24">
        <w:rPr>
          <w:bCs/>
          <w:iCs/>
          <w:lang w:val="fr-FR"/>
        </w:rPr>
        <w:t xml:space="preserve"> </w:t>
      </w:r>
      <w:r w:rsidRPr="00976C24">
        <w:rPr>
          <w:lang w:val="fr-FR"/>
        </w:rPr>
        <w:t>(E/2009/22-E/C.12/2008/3, annexe VIII, par.</w:t>
      </w:r>
      <w:r>
        <w:rPr>
          <w:lang w:val="fr-FR"/>
        </w:rPr>
        <w:t> </w:t>
      </w:r>
      <w:r w:rsidRPr="00976C24">
        <w:rPr>
          <w:lang w:val="fr-FR"/>
        </w:rPr>
        <w:t>51)</w:t>
      </w:r>
    </w:p>
    <w:p w:rsidR="00903547" w:rsidRPr="00976C24" w:rsidRDefault="00903547" w:rsidP="00A15920">
      <w:pPr>
        <w:pStyle w:val="SingleTxtG"/>
        <w:rPr>
          <w:lang w:val="fr-FR"/>
        </w:rPr>
      </w:pPr>
      <w:r>
        <w:rPr>
          <w:lang w:val="fr-FR"/>
        </w:rPr>
        <w:t>362.</w:t>
      </w:r>
      <w:r>
        <w:rPr>
          <w:lang w:val="fr-FR"/>
        </w:rPr>
        <w:tab/>
      </w:r>
      <w:r w:rsidRPr="00976C24">
        <w:rPr>
          <w:lang w:val="fr-FR"/>
        </w:rPr>
        <w:t xml:space="preserve">Trois membres du </w:t>
      </w:r>
      <w:r w:rsidRPr="00B52B8E">
        <w:rPr>
          <w:i/>
          <w:lang w:val="fr-FR"/>
        </w:rPr>
        <w:t>Storting</w:t>
      </w:r>
      <w:r w:rsidRPr="00976C24">
        <w:rPr>
          <w:lang w:val="fr-FR"/>
        </w:rPr>
        <w:t xml:space="preserve"> ont proposé en 2008 d’inclure le droit au logement dans la Constitution norvégienne</w:t>
      </w:r>
      <w:r>
        <w:rPr>
          <w:lang w:val="fr-FR"/>
        </w:rPr>
        <w:t>;</w:t>
      </w:r>
      <w:r w:rsidRPr="00976C24">
        <w:rPr>
          <w:lang w:val="fr-FR"/>
        </w:rPr>
        <w:t xml:space="preserve"> cette proposition n’a pas encore été examinée.</w:t>
      </w:r>
    </w:p>
    <w:p w:rsidR="00903547" w:rsidRPr="00976C24" w:rsidRDefault="00903547" w:rsidP="00A15920">
      <w:pPr>
        <w:pStyle w:val="SingleTxtG"/>
        <w:rPr>
          <w:lang w:val="fr-FR"/>
        </w:rPr>
      </w:pPr>
      <w:r>
        <w:rPr>
          <w:lang w:val="fr-FR"/>
        </w:rPr>
        <w:t>363.</w:t>
      </w:r>
      <w:r>
        <w:rPr>
          <w:lang w:val="fr-FR"/>
        </w:rPr>
        <w:tab/>
      </w:r>
      <w:r w:rsidRPr="00976C24">
        <w:rPr>
          <w:lang w:val="fr-FR"/>
        </w:rPr>
        <w:t>En Norvège</w:t>
      </w:r>
      <w:r>
        <w:rPr>
          <w:lang w:val="fr-FR"/>
        </w:rPr>
        <w:t>,</w:t>
      </w:r>
      <w:r w:rsidRPr="00976C24">
        <w:rPr>
          <w:lang w:val="fr-FR"/>
        </w:rPr>
        <w:t xml:space="preserve"> tous les adultes sont en principe supposés être capables d’acquérir un logement adéquat pour eux-mêmes et leur famille. Les parents </w:t>
      </w:r>
      <w:r>
        <w:rPr>
          <w:lang w:val="fr-FR"/>
        </w:rPr>
        <w:t>sont tenus</w:t>
      </w:r>
      <w:r w:rsidRPr="00976C24">
        <w:rPr>
          <w:lang w:val="fr-FR"/>
        </w:rPr>
        <w:t xml:space="preserve"> de fournir à leurs enfants un logement convenable jusqu’à leur majorité. Dans le cas contraire, il appartient à l’autorité municipale d’aider </w:t>
      </w:r>
      <w:r>
        <w:rPr>
          <w:lang w:val="fr-FR"/>
        </w:rPr>
        <w:t>les personnes</w:t>
      </w:r>
      <w:r w:rsidRPr="00976C24">
        <w:rPr>
          <w:lang w:val="fr-FR"/>
        </w:rPr>
        <w:t xml:space="preserve"> dans l’incapacité d’acquérir un logement pour e</w:t>
      </w:r>
      <w:r>
        <w:rPr>
          <w:lang w:val="fr-FR"/>
        </w:rPr>
        <w:t>lles</w:t>
      </w:r>
      <w:r w:rsidRPr="00976C24">
        <w:rPr>
          <w:lang w:val="fr-FR"/>
        </w:rPr>
        <w:t>-mêmes.</w:t>
      </w:r>
    </w:p>
    <w:p w:rsidR="00903547" w:rsidRPr="00976C24" w:rsidRDefault="00903547" w:rsidP="00A15920">
      <w:pPr>
        <w:pStyle w:val="SingleTxtG"/>
        <w:rPr>
          <w:lang w:val="fr-FR"/>
        </w:rPr>
      </w:pPr>
      <w:r>
        <w:rPr>
          <w:lang w:val="fr-FR"/>
        </w:rPr>
        <w:t>364.</w:t>
      </w:r>
      <w:r>
        <w:rPr>
          <w:lang w:val="fr-FR"/>
        </w:rPr>
        <w:tab/>
      </w:r>
      <w:r w:rsidRPr="00976C24">
        <w:rPr>
          <w:lang w:val="fr-FR"/>
        </w:rPr>
        <w:t xml:space="preserve">Ces dernières années, beaucoup a été fait pour améliorer la législation relative au logement et à l’immobilier. La loi sur les locations de 1999 a renforcé les droits du locataire et protégé les intérêts des deux parties. La loi sur les parcelles </w:t>
      </w:r>
      <w:r>
        <w:rPr>
          <w:lang w:val="fr-FR"/>
        </w:rPr>
        <w:t>de propriétaire-</w:t>
      </w:r>
      <w:r w:rsidRPr="00976C24">
        <w:rPr>
          <w:lang w:val="fr-FR"/>
        </w:rPr>
        <w:t>locataire</w:t>
      </w:r>
      <w:r w:rsidRPr="00976C24">
        <w:rPr>
          <w:rStyle w:val="FootnoteReference"/>
          <w:lang w:val="fr-FR"/>
        </w:rPr>
        <w:footnoteReference w:id="20"/>
      </w:r>
      <w:r w:rsidRPr="00976C24">
        <w:rPr>
          <w:lang w:val="fr-FR"/>
        </w:rPr>
        <w:t xml:space="preserve"> de 1997 </w:t>
      </w:r>
      <w:r>
        <w:rPr>
          <w:lang w:val="fr-FR"/>
        </w:rPr>
        <w:t>offre</w:t>
      </w:r>
      <w:r w:rsidRPr="00976C24">
        <w:rPr>
          <w:lang w:val="fr-FR"/>
        </w:rPr>
        <w:t xml:space="preserve"> de meilleures garanties </w:t>
      </w:r>
      <w:r>
        <w:rPr>
          <w:lang w:val="fr-FR"/>
        </w:rPr>
        <w:t>aux</w:t>
      </w:r>
      <w:r w:rsidRPr="00976C24">
        <w:rPr>
          <w:lang w:val="fr-FR"/>
        </w:rPr>
        <w:t xml:space="preserve"> particuliers propriétaires</w:t>
      </w:r>
      <w:r>
        <w:rPr>
          <w:lang w:val="fr-FR"/>
        </w:rPr>
        <w:t>-</w:t>
      </w:r>
      <w:r w:rsidRPr="00976C24">
        <w:rPr>
          <w:lang w:val="fr-FR"/>
        </w:rPr>
        <w:t xml:space="preserve">locataires. Deux lois sur les associations d’immeubles coopératifs </w:t>
      </w:r>
      <w:r w:rsidRPr="00670ECD">
        <w:rPr>
          <w:iCs/>
          <w:lang w:val="fr-FR"/>
        </w:rPr>
        <w:t>(</w:t>
      </w:r>
      <w:r w:rsidRPr="00976C24">
        <w:rPr>
          <w:i/>
          <w:iCs/>
          <w:lang w:val="fr-FR"/>
        </w:rPr>
        <w:t>boligbyggelag</w:t>
      </w:r>
      <w:r w:rsidRPr="00670ECD">
        <w:rPr>
          <w:iCs/>
          <w:lang w:val="fr-FR"/>
        </w:rPr>
        <w:t>)</w:t>
      </w:r>
      <w:r w:rsidRPr="004B3395">
        <w:rPr>
          <w:lang w:val="fr-FR"/>
        </w:rPr>
        <w:t xml:space="preserve"> </w:t>
      </w:r>
      <w:r w:rsidRPr="00976C24">
        <w:rPr>
          <w:lang w:val="fr-FR"/>
        </w:rPr>
        <w:t xml:space="preserve">et les coopératives de logement </w:t>
      </w:r>
      <w:r w:rsidRPr="00670ECD">
        <w:rPr>
          <w:iCs/>
          <w:lang w:val="fr-FR"/>
        </w:rPr>
        <w:t>(</w:t>
      </w:r>
      <w:r w:rsidRPr="00976C24">
        <w:rPr>
          <w:i/>
          <w:iCs/>
          <w:lang w:val="fr-FR"/>
        </w:rPr>
        <w:t>borettslag</w:t>
      </w:r>
      <w:r w:rsidRPr="00670ECD">
        <w:rPr>
          <w:iCs/>
          <w:lang w:val="fr-FR"/>
        </w:rPr>
        <w:t>)</w:t>
      </w:r>
      <w:r w:rsidRPr="004B3395">
        <w:rPr>
          <w:lang w:val="fr-FR"/>
        </w:rPr>
        <w:t xml:space="preserve"> </w:t>
      </w:r>
      <w:r>
        <w:rPr>
          <w:lang w:val="fr-FR"/>
        </w:rPr>
        <w:t>(lois du 6 juin 2003 n</w:t>
      </w:r>
      <w:r>
        <w:rPr>
          <w:vertAlign w:val="superscript"/>
          <w:lang w:val="fr-FR"/>
        </w:rPr>
        <w:t>os</w:t>
      </w:r>
      <w:r>
        <w:rPr>
          <w:lang w:val="fr-FR"/>
        </w:rPr>
        <w:t> </w:t>
      </w:r>
      <w:r w:rsidRPr="00976C24">
        <w:rPr>
          <w:lang w:val="fr-FR"/>
        </w:rPr>
        <w:t xml:space="preserve">38 et 39) </w:t>
      </w:r>
      <w:r>
        <w:rPr>
          <w:lang w:val="fr-FR"/>
        </w:rPr>
        <w:t xml:space="preserve">sont </w:t>
      </w:r>
      <w:r w:rsidRPr="00976C24">
        <w:rPr>
          <w:lang w:val="fr-FR"/>
        </w:rPr>
        <w:t xml:space="preserve">entrées en vigueur en 2004. </w:t>
      </w:r>
      <w:r>
        <w:rPr>
          <w:lang w:val="fr-FR"/>
        </w:rPr>
        <w:t>Regroupées,</w:t>
      </w:r>
      <w:r w:rsidRPr="00976C24">
        <w:rPr>
          <w:lang w:val="fr-FR"/>
        </w:rPr>
        <w:t xml:space="preserve"> elles son</w:t>
      </w:r>
      <w:r>
        <w:rPr>
          <w:lang w:val="fr-FR"/>
        </w:rPr>
        <w:t>t connues sous le nom de l</w:t>
      </w:r>
      <w:r w:rsidRPr="00976C24">
        <w:rPr>
          <w:lang w:val="fr-FR"/>
        </w:rPr>
        <w:t xml:space="preserve">oi sur le logement coopératif </w:t>
      </w:r>
      <w:r w:rsidRPr="00670ECD">
        <w:rPr>
          <w:iCs/>
          <w:lang w:val="fr-FR"/>
        </w:rPr>
        <w:t>(</w:t>
      </w:r>
      <w:r w:rsidRPr="00976C24">
        <w:rPr>
          <w:i/>
          <w:iCs/>
          <w:lang w:val="fr-FR"/>
        </w:rPr>
        <w:t>Borettslover</w:t>
      </w:r>
      <w:r w:rsidRPr="00670ECD">
        <w:rPr>
          <w:iCs/>
          <w:lang w:val="fr-FR"/>
        </w:rPr>
        <w:t>)</w:t>
      </w:r>
      <w:r w:rsidRPr="00976C24">
        <w:rPr>
          <w:i/>
          <w:iCs/>
          <w:lang w:val="fr-FR"/>
        </w:rPr>
        <w:t>.</w:t>
      </w:r>
    </w:p>
    <w:p w:rsidR="00903547" w:rsidRPr="00976C24" w:rsidRDefault="00903547" w:rsidP="00A15920">
      <w:pPr>
        <w:pStyle w:val="SingleTxtG"/>
        <w:rPr>
          <w:lang w:val="fr-FR"/>
        </w:rPr>
      </w:pPr>
      <w:r>
        <w:rPr>
          <w:lang w:val="fr-FR"/>
        </w:rPr>
        <w:t>365.</w:t>
      </w:r>
      <w:r>
        <w:rPr>
          <w:lang w:val="fr-FR"/>
        </w:rPr>
        <w:tab/>
      </w:r>
      <w:r w:rsidRPr="00976C24">
        <w:rPr>
          <w:lang w:val="fr-FR"/>
        </w:rPr>
        <w:t>L’</w:t>
      </w:r>
      <w:r>
        <w:rPr>
          <w:lang w:val="fr-FR"/>
        </w:rPr>
        <w:t>État</w:t>
      </w:r>
      <w:r w:rsidRPr="00976C24">
        <w:rPr>
          <w:lang w:val="fr-FR"/>
        </w:rPr>
        <w:t xml:space="preserve"> contribue à la fourniture de logements </w:t>
      </w:r>
      <w:r>
        <w:rPr>
          <w:lang w:val="fr-FR"/>
        </w:rPr>
        <w:t>aux</w:t>
      </w:r>
      <w:r w:rsidRPr="00976C24">
        <w:rPr>
          <w:lang w:val="fr-FR"/>
        </w:rPr>
        <w:t xml:space="preserve"> personnes défavorisées et marginalisées par le biais de la </w:t>
      </w:r>
      <w:r>
        <w:rPr>
          <w:lang w:val="fr-FR"/>
        </w:rPr>
        <w:t>Banque d’État norvégienne</w:t>
      </w:r>
      <w:r w:rsidRPr="00976C24">
        <w:rPr>
          <w:lang w:val="fr-FR"/>
        </w:rPr>
        <w:t xml:space="preserve"> pour le logement qui </w:t>
      </w:r>
      <w:r>
        <w:rPr>
          <w:lang w:val="fr-FR"/>
        </w:rPr>
        <w:t>propose plusieurs types de prêt et d’aide</w:t>
      </w:r>
      <w:r w:rsidRPr="00976C24">
        <w:rPr>
          <w:lang w:val="fr-FR"/>
        </w:rPr>
        <w:t xml:space="preserve"> aux </w:t>
      </w:r>
      <w:r>
        <w:rPr>
          <w:lang w:val="fr-FR"/>
        </w:rPr>
        <w:t>particuliers</w:t>
      </w:r>
      <w:r w:rsidRPr="00976C24">
        <w:rPr>
          <w:lang w:val="fr-FR"/>
        </w:rPr>
        <w:t xml:space="preserve"> et aux autorités municipales ainsi qu’aux organisations et institutions qui offrent un logement aux groupes de population à faible revenu.</w:t>
      </w:r>
    </w:p>
    <w:p w:rsidR="00903547" w:rsidRPr="00976C24" w:rsidRDefault="00903547" w:rsidP="00A15920">
      <w:pPr>
        <w:pStyle w:val="SingleTxtG"/>
        <w:rPr>
          <w:lang w:val="fr-FR"/>
        </w:rPr>
      </w:pPr>
      <w:r>
        <w:rPr>
          <w:lang w:val="fr-FR"/>
        </w:rPr>
        <w:t>366.</w:t>
      </w:r>
      <w:r>
        <w:rPr>
          <w:lang w:val="fr-FR"/>
        </w:rPr>
        <w:tab/>
      </w:r>
      <w:r w:rsidRPr="00976C24">
        <w:rPr>
          <w:lang w:val="fr-FR"/>
        </w:rPr>
        <w:t>Le système d’allocation logement est un programme financé par l’</w:t>
      </w:r>
      <w:r>
        <w:rPr>
          <w:lang w:val="fr-FR"/>
        </w:rPr>
        <w:t>État</w:t>
      </w:r>
      <w:r w:rsidRPr="00976C24">
        <w:rPr>
          <w:lang w:val="fr-FR"/>
        </w:rPr>
        <w:t xml:space="preserve"> pour couvrir </w:t>
      </w:r>
      <w:r>
        <w:rPr>
          <w:lang w:val="fr-FR"/>
        </w:rPr>
        <w:t>une partie d</w:t>
      </w:r>
      <w:r w:rsidRPr="00976C24">
        <w:rPr>
          <w:lang w:val="fr-FR"/>
        </w:rPr>
        <w:t xml:space="preserve">es dépenses de logement des ménages </w:t>
      </w:r>
      <w:r>
        <w:rPr>
          <w:lang w:val="fr-FR"/>
        </w:rPr>
        <w:t>ayant un</w:t>
      </w:r>
      <w:r w:rsidRPr="00976C24">
        <w:rPr>
          <w:lang w:val="fr-FR"/>
        </w:rPr>
        <w:t xml:space="preserve"> faible revenu </w:t>
      </w:r>
      <w:r>
        <w:rPr>
          <w:lang w:val="fr-FR"/>
        </w:rPr>
        <w:t>mais</w:t>
      </w:r>
      <w:r w:rsidRPr="00976C24">
        <w:rPr>
          <w:lang w:val="fr-FR"/>
        </w:rPr>
        <w:t xml:space="preserve"> des dépenses de logement élevées. </w:t>
      </w:r>
      <w:r>
        <w:rPr>
          <w:lang w:val="fr-FR"/>
        </w:rPr>
        <w:t>Le programme a été amélioré en 2009 avec la simplification des conditions requises.</w:t>
      </w:r>
      <w:r w:rsidRPr="00976C24">
        <w:rPr>
          <w:lang w:val="fr-FR"/>
        </w:rPr>
        <w:t xml:space="preserve"> Ce programme s’adresse </w:t>
      </w:r>
      <w:r>
        <w:rPr>
          <w:lang w:val="fr-FR"/>
        </w:rPr>
        <w:t xml:space="preserve">désormais </w:t>
      </w:r>
      <w:r w:rsidRPr="00976C24">
        <w:rPr>
          <w:lang w:val="fr-FR"/>
        </w:rPr>
        <w:t>à tous les ménages en fonction d’un plafond de ressources et de</w:t>
      </w:r>
      <w:r>
        <w:rPr>
          <w:lang w:val="fr-FR"/>
        </w:rPr>
        <w:t>s</w:t>
      </w:r>
      <w:r w:rsidRPr="00976C24">
        <w:rPr>
          <w:lang w:val="fr-FR"/>
        </w:rPr>
        <w:t xml:space="preserve"> dépenses de logement. Certaines municipalités accordent également des allocations logement. La Norvège compte quelque 2</w:t>
      </w:r>
      <w:r>
        <w:rPr>
          <w:lang w:val="fr-FR"/>
        </w:rPr>
        <w:t> </w:t>
      </w:r>
      <w:r w:rsidRPr="00976C24">
        <w:rPr>
          <w:lang w:val="fr-FR"/>
        </w:rPr>
        <w:t>140</w:t>
      </w:r>
      <w:r>
        <w:rPr>
          <w:lang w:val="fr-FR"/>
        </w:rPr>
        <w:t> </w:t>
      </w:r>
      <w:r w:rsidRPr="00976C24">
        <w:rPr>
          <w:lang w:val="fr-FR"/>
        </w:rPr>
        <w:t>000 ménages. 5,7</w:t>
      </w:r>
      <w:r>
        <w:rPr>
          <w:lang w:val="fr-FR"/>
        </w:rPr>
        <w:t> %</w:t>
      </w:r>
      <w:r w:rsidRPr="00976C24">
        <w:rPr>
          <w:lang w:val="fr-FR"/>
        </w:rPr>
        <w:t xml:space="preserve"> d’entre eux percevaient des allocations logement en 2009.</w:t>
      </w:r>
    </w:p>
    <w:p w:rsidR="00903547" w:rsidRPr="00976C24" w:rsidRDefault="00903547" w:rsidP="00A15920">
      <w:pPr>
        <w:pStyle w:val="SingleTxtG"/>
        <w:rPr>
          <w:lang w:val="fr-FR"/>
        </w:rPr>
      </w:pPr>
      <w:r>
        <w:rPr>
          <w:lang w:val="fr-FR"/>
        </w:rPr>
        <w:t>367.</w:t>
      </w:r>
      <w:r>
        <w:rPr>
          <w:lang w:val="fr-FR"/>
        </w:rPr>
        <w:tab/>
      </w:r>
      <w:r w:rsidRPr="00976C24">
        <w:rPr>
          <w:lang w:val="fr-FR"/>
        </w:rPr>
        <w:t xml:space="preserve">L’objet de l’aide au logement accordée aux particuliers est d’aider les ménages particulièrement défavorisés à obtenir et </w:t>
      </w:r>
      <w:r>
        <w:rPr>
          <w:lang w:val="fr-FR"/>
        </w:rPr>
        <w:t>conserver</w:t>
      </w:r>
      <w:r w:rsidRPr="00976C24">
        <w:rPr>
          <w:lang w:val="fr-FR"/>
        </w:rPr>
        <w:t xml:space="preserve"> un logement acceptable. Une aide au logement peut être accordée pour rendre un logement </w:t>
      </w:r>
      <w:r>
        <w:rPr>
          <w:lang w:val="fr-FR"/>
        </w:rPr>
        <w:t xml:space="preserve">habitable et </w:t>
      </w:r>
      <w:r w:rsidRPr="00976C24">
        <w:rPr>
          <w:lang w:val="fr-FR"/>
        </w:rPr>
        <w:t>accessible à des personnes ayant des besoins</w:t>
      </w:r>
      <w:r>
        <w:rPr>
          <w:lang w:val="fr-FR"/>
        </w:rPr>
        <w:t xml:space="preserve"> spéciaux, comme l</w:t>
      </w:r>
      <w:r w:rsidRPr="00976C24">
        <w:rPr>
          <w:lang w:val="fr-FR"/>
        </w:rPr>
        <w:t>es personnes âgées ou handicapées. En 2008, 1</w:t>
      </w:r>
      <w:r>
        <w:rPr>
          <w:lang w:val="fr-FR"/>
        </w:rPr>
        <w:t> </w:t>
      </w:r>
      <w:r w:rsidRPr="00976C24">
        <w:rPr>
          <w:lang w:val="fr-FR"/>
        </w:rPr>
        <w:t>412 ménages percevaient une aide au logement.</w:t>
      </w:r>
    </w:p>
    <w:p w:rsidR="00903547" w:rsidRPr="00976C24" w:rsidRDefault="00903547" w:rsidP="00A15920">
      <w:pPr>
        <w:pStyle w:val="SingleTxtG"/>
        <w:rPr>
          <w:lang w:val="fr-FR"/>
        </w:rPr>
      </w:pPr>
      <w:r>
        <w:rPr>
          <w:lang w:val="fr-FR"/>
        </w:rPr>
        <w:t>368.</w:t>
      </w:r>
      <w:r>
        <w:rPr>
          <w:lang w:val="fr-FR"/>
        </w:rPr>
        <w:tab/>
      </w:r>
      <w:r w:rsidRPr="00976C24">
        <w:rPr>
          <w:lang w:val="fr-FR"/>
        </w:rPr>
        <w:t xml:space="preserve">Les municipalités peuvent bénéficier de subventions pour construire et améliorer des maisons de retraite et des foyers protégés. Cette mesure vise à offrir </w:t>
      </w:r>
      <w:r>
        <w:rPr>
          <w:lang w:val="fr-FR"/>
        </w:rPr>
        <w:t>une place aux</w:t>
      </w:r>
      <w:r w:rsidRPr="00976C24">
        <w:rPr>
          <w:lang w:val="fr-FR"/>
        </w:rPr>
        <w:t xml:space="preserve"> 12</w:t>
      </w:r>
      <w:r>
        <w:rPr>
          <w:lang w:val="fr-FR"/>
        </w:rPr>
        <w:t> </w:t>
      </w:r>
      <w:r w:rsidRPr="00976C24">
        <w:rPr>
          <w:lang w:val="fr-FR"/>
        </w:rPr>
        <w:t xml:space="preserve">000 </w:t>
      </w:r>
      <w:r>
        <w:rPr>
          <w:lang w:val="fr-FR"/>
        </w:rPr>
        <w:t xml:space="preserve">nouvelles </w:t>
      </w:r>
      <w:r w:rsidRPr="00976C24">
        <w:rPr>
          <w:lang w:val="fr-FR"/>
        </w:rPr>
        <w:t xml:space="preserve">personnes </w:t>
      </w:r>
      <w:r>
        <w:rPr>
          <w:lang w:val="fr-FR"/>
        </w:rPr>
        <w:t>qui en auront besoin</w:t>
      </w:r>
      <w:r w:rsidRPr="00976C24">
        <w:rPr>
          <w:lang w:val="fr-FR"/>
        </w:rPr>
        <w:t xml:space="preserve"> d’ici à 2015.</w:t>
      </w:r>
    </w:p>
    <w:p w:rsidR="00903547" w:rsidRPr="00976C24" w:rsidRDefault="00903547" w:rsidP="00A15920">
      <w:pPr>
        <w:pStyle w:val="SingleTxtG"/>
        <w:rPr>
          <w:lang w:val="fr-FR"/>
        </w:rPr>
      </w:pPr>
      <w:r>
        <w:rPr>
          <w:lang w:val="fr-FR"/>
        </w:rPr>
        <w:t>369.</w:t>
      </w:r>
      <w:r>
        <w:rPr>
          <w:lang w:val="fr-FR"/>
        </w:rPr>
        <w:tab/>
      </w:r>
      <w:r w:rsidRPr="00976C24">
        <w:rPr>
          <w:lang w:val="fr-FR"/>
        </w:rPr>
        <w:t xml:space="preserve">Les prêts de départ sont des prêts hypothécaires immobiliers gérés par les municipalités, qui servent à </w:t>
      </w:r>
      <w:r>
        <w:rPr>
          <w:lang w:val="fr-FR"/>
        </w:rPr>
        <w:t>favoriser</w:t>
      </w:r>
      <w:r w:rsidRPr="00976C24">
        <w:rPr>
          <w:lang w:val="fr-FR"/>
        </w:rPr>
        <w:t xml:space="preserve"> l’accession à la propriété des jeunes et </w:t>
      </w:r>
      <w:r>
        <w:rPr>
          <w:lang w:val="fr-FR"/>
        </w:rPr>
        <w:t>de</w:t>
      </w:r>
      <w:r w:rsidRPr="00976C24">
        <w:rPr>
          <w:lang w:val="fr-FR"/>
        </w:rPr>
        <w:t>s ménages à faible revenu. Les personnes qui ne peuvent pas obtenir un prêt de banques privées</w:t>
      </w:r>
      <w:r>
        <w:rPr>
          <w:lang w:val="fr-FR"/>
        </w:rPr>
        <w:t>, et</w:t>
      </w:r>
      <w:r w:rsidRPr="00976C24">
        <w:rPr>
          <w:lang w:val="fr-FR"/>
        </w:rPr>
        <w:t xml:space="preserve"> se voient </w:t>
      </w:r>
      <w:r>
        <w:rPr>
          <w:lang w:val="fr-FR"/>
        </w:rPr>
        <w:t>proposer</w:t>
      </w:r>
      <w:r w:rsidRPr="00976C24">
        <w:rPr>
          <w:lang w:val="fr-FR"/>
        </w:rPr>
        <w:t xml:space="preserve"> </w:t>
      </w:r>
      <w:r>
        <w:rPr>
          <w:lang w:val="fr-FR"/>
        </w:rPr>
        <w:t xml:space="preserve">uniquement </w:t>
      </w:r>
      <w:r w:rsidRPr="00976C24">
        <w:rPr>
          <w:lang w:val="fr-FR"/>
        </w:rPr>
        <w:t>des prêts hypothécaires à taux élevé</w:t>
      </w:r>
      <w:r>
        <w:rPr>
          <w:lang w:val="fr-FR"/>
        </w:rPr>
        <w:t>,</w:t>
      </w:r>
      <w:r w:rsidRPr="00976C24">
        <w:rPr>
          <w:lang w:val="fr-FR"/>
        </w:rPr>
        <w:t xml:space="preserve"> </w:t>
      </w:r>
      <w:r>
        <w:rPr>
          <w:lang w:val="fr-FR"/>
        </w:rPr>
        <w:t>ou</w:t>
      </w:r>
      <w:r w:rsidRPr="00976C24">
        <w:rPr>
          <w:lang w:val="fr-FR"/>
        </w:rPr>
        <w:t xml:space="preserve"> qui ne disposent de capitaux propres</w:t>
      </w:r>
      <w:r>
        <w:rPr>
          <w:lang w:val="fr-FR"/>
        </w:rPr>
        <w:t>,</w:t>
      </w:r>
      <w:r w:rsidRPr="00976C24">
        <w:rPr>
          <w:lang w:val="fr-FR"/>
        </w:rPr>
        <w:t xml:space="preserve"> peuvent demander un prêt de départ. Les emprunteurs doivent prouver leur capacité à rembourser l’hypothèque et </w:t>
      </w:r>
      <w:r>
        <w:rPr>
          <w:lang w:val="fr-FR"/>
        </w:rPr>
        <w:t>bénéficient alors d’</w:t>
      </w:r>
      <w:r w:rsidRPr="00976C24">
        <w:rPr>
          <w:lang w:val="fr-FR"/>
        </w:rPr>
        <w:t>un prêt à un taux d’intérêt proche des taux du marché. 6</w:t>
      </w:r>
      <w:r>
        <w:rPr>
          <w:lang w:val="fr-FR"/>
        </w:rPr>
        <w:t> </w:t>
      </w:r>
      <w:r w:rsidRPr="00976C24">
        <w:rPr>
          <w:lang w:val="fr-FR"/>
        </w:rPr>
        <w:t>490 ménages ont bénéficié d’un prêt de départ en 2008.</w:t>
      </w:r>
    </w:p>
    <w:p w:rsidR="00903547" w:rsidRPr="00976C24" w:rsidRDefault="00903547" w:rsidP="00A15920">
      <w:pPr>
        <w:pStyle w:val="SingleTxtG"/>
        <w:rPr>
          <w:lang w:val="fr-FR"/>
        </w:rPr>
      </w:pPr>
      <w:r>
        <w:rPr>
          <w:lang w:val="fr-FR"/>
        </w:rPr>
        <w:t>370.</w:t>
      </w:r>
      <w:r>
        <w:rPr>
          <w:lang w:val="fr-FR"/>
        </w:rPr>
        <w:tab/>
      </w:r>
      <w:r w:rsidRPr="00976C24">
        <w:rPr>
          <w:lang w:val="fr-FR"/>
        </w:rPr>
        <w:t>Le but du programme de prêt de base est d</w:t>
      </w:r>
      <w:r>
        <w:rPr>
          <w:lang w:val="fr-FR"/>
        </w:rPr>
        <w:t>e financer les</w:t>
      </w:r>
      <w:r w:rsidRPr="00976C24">
        <w:rPr>
          <w:lang w:val="fr-FR"/>
        </w:rPr>
        <w:t xml:space="preserve"> districts ruraux où il est difficile d’obtenir des prêts hypothécaires à des taux d’intérêt normaux. Un prêt de base peut être accordé pour la construction de nouveaux logements, la rénovation, la reconstruction ou l’achat d’un logement locatif neuf ou ancien. </w:t>
      </w:r>
      <w:r>
        <w:rPr>
          <w:lang w:val="fr-FR"/>
        </w:rPr>
        <w:t xml:space="preserve">Il s’agit également de </w:t>
      </w:r>
      <w:r w:rsidRPr="00976C24">
        <w:rPr>
          <w:lang w:val="fr-FR"/>
        </w:rPr>
        <w:t>rendre davantage de logemen</w:t>
      </w:r>
      <w:r>
        <w:rPr>
          <w:lang w:val="fr-FR"/>
        </w:rPr>
        <w:t>ts physiquement accessibles et de</w:t>
      </w:r>
      <w:r w:rsidRPr="00976C24">
        <w:rPr>
          <w:lang w:val="fr-FR"/>
        </w:rPr>
        <w:t xml:space="preserve"> promouvoir la conception universelle de manière générale. Le</w:t>
      </w:r>
      <w:r>
        <w:rPr>
          <w:lang w:val="fr-FR"/>
        </w:rPr>
        <w:t>s</w:t>
      </w:r>
      <w:r w:rsidRPr="00976C24">
        <w:rPr>
          <w:lang w:val="fr-FR"/>
        </w:rPr>
        <w:t xml:space="preserve"> coût</w:t>
      </w:r>
      <w:r>
        <w:rPr>
          <w:lang w:val="fr-FR"/>
        </w:rPr>
        <w:t>s</w:t>
      </w:r>
      <w:r w:rsidRPr="00976C24">
        <w:rPr>
          <w:lang w:val="fr-FR"/>
        </w:rPr>
        <w:t xml:space="preserve"> </w:t>
      </w:r>
      <w:r>
        <w:rPr>
          <w:lang w:val="fr-FR"/>
        </w:rPr>
        <w:t>liés à la</w:t>
      </w:r>
      <w:r w:rsidRPr="00976C24">
        <w:rPr>
          <w:lang w:val="fr-FR"/>
        </w:rPr>
        <w:t xml:space="preserve"> conception universelle des </w:t>
      </w:r>
      <w:r>
        <w:rPr>
          <w:lang w:val="fr-FR"/>
        </w:rPr>
        <w:t>habitations</w:t>
      </w:r>
      <w:r w:rsidRPr="00976C24">
        <w:rPr>
          <w:lang w:val="fr-FR"/>
        </w:rPr>
        <w:t xml:space="preserve"> co</w:t>
      </w:r>
      <w:r>
        <w:rPr>
          <w:lang w:val="fr-FR"/>
        </w:rPr>
        <w:t>ncernent</w:t>
      </w:r>
      <w:r w:rsidRPr="00976C24">
        <w:rPr>
          <w:lang w:val="fr-FR"/>
        </w:rPr>
        <w:t xml:space="preserve"> d’abord l’installation d’ascenseurs et la modification des accès.</w:t>
      </w:r>
    </w:p>
    <w:p w:rsidR="00903547" w:rsidRPr="00976C24" w:rsidRDefault="00903547" w:rsidP="00A15920">
      <w:pPr>
        <w:pStyle w:val="SingleTxtG"/>
        <w:rPr>
          <w:lang w:val="fr-FR"/>
        </w:rPr>
      </w:pPr>
      <w:r>
        <w:rPr>
          <w:lang w:val="fr-FR"/>
        </w:rPr>
        <w:t>371.</w:t>
      </w:r>
      <w:r>
        <w:rPr>
          <w:lang w:val="fr-FR"/>
        </w:rPr>
        <w:tab/>
      </w:r>
      <w:r w:rsidRPr="00976C24">
        <w:rPr>
          <w:lang w:val="fr-FR"/>
        </w:rPr>
        <w:t xml:space="preserve">Les autorités municipales sont chargées de fournir des logements sociaux à bas coût aux personnes et aux familles défavorisées et marginalisées. Les municipalités peuvent demander des aides à la </w:t>
      </w:r>
      <w:r>
        <w:rPr>
          <w:lang w:val="fr-FR"/>
        </w:rPr>
        <w:t>Banque d’État norvégienne</w:t>
      </w:r>
      <w:r w:rsidRPr="00976C24">
        <w:rPr>
          <w:lang w:val="fr-FR"/>
        </w:rPr>
        <w:t xml:space="preserve"> pour le logement lorsqu’elles construisent de</w:t>
      </w:r>
      <w:r>
        <w:rPr>
          <w:lang w:val="fr-FR"/>
        </w:rPr>
        <w:t xml:space="preserve"> tel</w:t>
      </w:r>
      <w:r w:rsidRPr="00976C24">
        <w:rPr>
          <w:lang w:val="fr-FR"/>
        </w:rPr>
        <w:t xml:space="preserve">s logements. </w:t>
      </w:r>
      <w:r>
        <w:rPr>
          <w:lang w:val="fr-FR"/>
        </w:rPr>
        <w:t>À</w:t>
      </w:r>
      <w:r w:rsidRPr="00976C24">
        <w:rPr>
          <w:lang w:val="fr-FR"/>
        </w:rPr>
        <w:t xml:space="preserve"> la suite d’une campagne ciblée lancée par les pouvoirs publics, 2</w:t>
      </w:r>
      <w:r>
        <w:rPr>
          <w:lang w:val="fr-FR"/>
        </w:rPr>
        <w:t> </w:t>
      </w:r>
      <w:r w:rsidRPr="00976C24">
        <w:rPr>
          <w:lang w:val="fr-FR"/>
        </w:rPr>
        <w:t xml:space="preserve">500 logements </w:t>
      </w:r>
      <w:r>
        <w:rPr>
          <w:lang w:val="fr-FR"/>
        </w:rPr>
        <w:t>sociaux</w:t>
      </w:r>
      <w:r w:rsidRPr="00976C24">
        <w:rPr>
          <w:lang w:val="fr-FR"/>
        </w:rPr>
        <w:t xml:space="preserve"> ont été construits avec l’aide de l’</w:t>
      </w:r>
      <w:r>
        <w:rPr>
          <w:lang w:val="fr-FR"/>
        </w:rPr>
        <w:t>État</w:t>
      </w:r>
      <w:r w:rsidRPr="00976C24">
        <w:rPr>
          <w:lang w:val="fr-FR"/>
        </w:rPr>
        <w:t xml:space="preserve"> en 2009. </w:t>
      </w:r>
      <w:r>
        <w:rPr>
          <w:lang w:val="fr-FR"/>
        </w:rPr>
        <w:t>Les postulants doivent d’abord s’inscrire sur une liste</w:t>
      </w:r>
      <w:r w:rsidRPr="00976C24">
        <w:rPr>
          <w:lang w:val="fr-FR"/>
        </w:rPr>
        <w:t xml:space="preserve"> d’attente </w:t>
      </w:r>
      <w:r>
        <w:rPr>
          <w:lang w:val="fr-FR"/>
        </w:rPr>
        <w:t xml:space="preserve">avant de se voir attribuer </w:t>
      </w:r>
      <w:r w:rsidRPr="00976C24">
        <w:rPr>
          <w:lang w:val="fr-FR"/>
        </w:rPr>
        <w:t xml:space="preserve">un logement mais on ne dispose </w:t>
      </w:r>
      <w:r>
        <w:rPr>
          <w:lang w:val="fr-FR"/>
        </w:rPr>
        <w:t>d’aucune donnée agrégée</w:t>
      </w:r>
      <w:r w:rsidRPr="00976C24">
        <w:rPr>
          <w:lang w:val="fr-FR"/>
        </w:rPr>
        <w:t xml:space="preserve"> </w:t>
      </w:r>
      <w:r>
        <w:rPr>
          <w:lang w:val="fr-FR"/>
        </w:rPr>
        <w:t>quant au</w:t>
      </w:r>
      <w:r w:rsidRPr="00976C24">
        <w:rPr>
          <w:lang w:val="fr-FR"/>
        </w:rPr>
        <w:t xml:space="preserve"> nombre de personnes inscrites sur </w:t>
      </w:r>
      <w:r>
        <w:rPr>
          <w:lang w:val="fr-FR"/>
        </w:rPr>
        <w:t>c</w:t>
      </w:r>
      <w:r w:rsidRPr="00976C24">
        <w:rPr>
          <w:lang w:val="fr-FR"/>
        </w:rPr>
        <w:t xml:space="preserve">es listes ou </w:t>
      </w:r>
      <w:r>
        <w:rPr>
          <w:lang w:val="fr-FR"/>
        </w:rPr>
        <w:t>à</w:t>
      </w:r>
      <w:r w:rsidRPr="00976C24">
        <w:rPr>
          <w:lang w:val="fr-FR"/>
        </w:rPr>
        <w:t xml:space="preserve"> la durée moyenne du délai d’attente.</w:t>
      </w:r>
    </w:p>
    <w:p w:rsidR="00903547" w:rsidRPr="00976C24" w:rsidRDefault="00903547" w:rsidP="0071086E">
      <w:pPr>
        <w:pStyle w:val="H23G"/>
        <w:rPr>
          <w:lang w:val="fr-FR"/>
        </w:rPr>
      </w:pPr>
      <w:r w:rsidRPr="00976C24">
        <w:rPr>
          <w:lang w:val="fr-FR"/>
        </w:rPr>
        <w:tab/>
        <w:t>f)</w:t>
      </w:r>
      <w:r w:rsidRPr="00976C24">
        <w:rPr>
          <w:lang w:val="fr-FR"/>
        </w:rPr>
        <w:tab/>
        <w:t>Mesures législatives et autres adoptées pour veiller à ce que les logements ne soient pas construits sur des sites pollués ou à proximité immédiate de sources de pollution dangereuse</w:t>
      </w:r>
      <w:r>
        <w:rPr>
          <w:lang w:val="fr-FR"/>
        </w:rPr>
        <w:t>s</w:t>
      </w:r>
      <w:r w:rsidRPr="00976C24">
        <w:rPr>
          <w:lang w:val="fr-FR"/>
        </w:rPr>
        <w:t xml:space="preserve"> pour la santé des habitants (E/2009/22-E/C.12/2008/3, annexe VIII, par.</w:t>
      </w:r>
      <w:r>
        <w:rPr>
          <w:lang w:val="fr-FR"/>
        </w:rPr>
        <w:t> </w:t>
      </w:r>
      <w:r w:rsidRPr="00976C24">
        <w:rPr>
          <w:lang w:val="fr-FR"/>
        </w:rPr>
        <w:t>52)</w:t>
      </w:r>
    </w:p>
    <w:p w:rsidR="00903547" w:rsidRPr="00976C24" w:rsidRDefault="00903547" w:rsidP="00A15920">
      <w:pPr>
        <w:pStyle w:val="SingleTxtG"/>
        <w:rPr>
          <w:lang w:val="fr-FR"/>
        </w:rPr>
      </w:pPr>
      <w:r>
        <w:rPr>
          <w:lang w:val="fr-FR"/>
        </w:rPr>
        <w:t>372.</w:t>
      </w:r>
      <w:r>
        <w:rPr>
          <w:lang w:val="fr-FR"/>
        </w:rPr>
        <w:tab/>
      </w:r>
      <w:r w:rsidRPr="00976C24">
        <w:rPr>
          <w:lang w:val="fr-FR"/>
        </w:rPr>
        <w:t>La Norvège s’est dotée d’une loi sur l’aménagement du territoire et la construction</w:t>
      </w:r>
      <w:r>
        <w:rPr>
          <w:lang w:val="fr-FR"/>
        </w:rPr>
        <w:t>,</w:t>
      </w:r>
      <w:r w:rsidRPr="00976C24">
        <w:rPr>
          <w:lang w:val="fr-FR"/>
        </w:rPr>
        <w:t xml:space="preserve"> </w:t>
      </w:r>
      <w:r>
        <w:rPr>
          <w:lang w:val="fr-FR"/>
        </w:rPr>
        <w:t>administrée par</w:t>
      </w:r>
      <w:r w:rsidRPr="00976C24">
        <w:rPr>
          <w:lang w:val="fr-FR"/>
        </w:rPr>
        <w:t xml:space="preserve"> deux ministères. La partie aménagement du territoire est du ressort du Ministère de l’environnement tandis que la partie construction est l’affaire du Ministère des administrations locales et du développement ré</w:t>
      </w:r>
      <w:r>
        <w:rPr>
          <w:lang w:val="fr-FR"/>
        </w:rPr>
        <w:t>gional. La partie construction règlemente les modalités de réalisation des projets prévus</w:t>
      </w:r>
      <w:r w:rsidRPr="00976C24">
        <w:rPr>
          <w:lang w:val="fr-FR"/>
        </w:rPr>
        <w:t xml:space="preserve">. La loi </w:t>
      </w:r>
      <w:r>
        <w:rPr>
          <w:lang w:val="fr-FR"/>
        </w:rPr>
        <w:t xml:space="preserve">dispose également les conditions d’approbation des règlements destinés à garantir la qualité des normes techniques de construction, en tenant dûment compte des aspects sanitaires et </w:t>
      </w:r>
      <w:r w:rsidRPr="00976C24">
        <w:rPr>
          <w:lang w:val="fr-FR"/>
        </w:rPr>
        <w:t>environnement</w:t>
      </w:r>
      <w:r>
        <w:rPr>
          <w:lang w:val="fr-FR"/>
        </w:rPr>
        <w:t>aux</w:t>
      </w:r>
      <w:r w:rsidRPr="00976C24">
        <w:rPr>
          <w:lang w:val="fr-FR"/>
        </w:rPr>
        <w:t xml:space="preserve">. Les règlements </w:t>
      </w:r>
      <w:r>
        <w:rPr>
          <w:lang w:val="fr-FR"/>
        </w:rPr>
        <w:t>concernent</w:t>
      </w:r>
      <w:r w:rsidRPr="00976C24">
        <w:rPr>
          <w:lang w:val="fr-FR"/>
        </w:rPr>
        <w:t xml:space="preserve"> en premier lieu la sécurité des personnes. </w:t>
      </w:r>
      <w:r>
        <w:rPr>
          <w:lang w:val="fr-FR"/>
        </w:rPr>
        <w:t>B</w:t>
      </w:r>
      <w:r w:rsidRPr="00976C24">
        <w:rPr>
          <w:lang w:val="fr-FR"/>
        </w:rPr>
        <w:t xml:space="preserve">âtiments et installations doivent être conçus et </w:t>
      </w:r>
      <w:r>
        <w:rPr>
          <w:lang w:val="fr-FR"/>
        </w:rPr>
        <w:t>réalisés</w:t>
      </w:r>
      <w:r w:rsidRPr="00976C24">
        <w:rPr>
          <w:lang w:val="fr-FR"/>
        </w:rPr>
        <w:t xml:space="preserve"> de manière à </w:t>
      </w:r>
      <w:r>
        <w:rPr>
          <w:lang w:val="fr-FR"/>
        </w:rPr>
        <w:t>ne présenter</w:t>
      </w:r>
      <w:r w:rsidRPr="00976C24">
        <w:rPr>
          <w:lang w:val="fr-FR"/>
        </w:rPr>
        <w:t xml:space="preserve"> aucun danger </w:t>
      </w:r>
      <w:r>
        <w:rPr>
          <w:lang w:val="fr-FR"/>
        </w:rPr>
        <w:t>ou inconvénient notable</w:t>
      </w:r>
      <w:r w:rsidRPr="00976C24">
        <w:rPr>
          <w:lang w:val="fr-FR"/>
        </w:rPr>
        <w:t xml:space="preserve"> pour les personnes, </w:t>
      </w:r>
      <w:r>
        <w:rPr>
          <w:lang w:val="fr-FR"/>
        </w:rPr>
        <w:t>que ce soit</w:t>
      </w:r>
      <w:r w:rsidRPr="00976C24">
        <w:rPr>
          <w:lang w:val="fr-FR"/>
        </w:rPr>
        <w:t xml:space="preserve"> pendant la construction </w:t>
      </w:r>
      <w:r>
        <w:rPr>
          <w:lang w:val="fr-FR"/>
        </w:rPr>
        <w:t>ou en cours d’utilisation</w:t>
      </w:r>
      <w:r w:rsidRPr="00976C24">
        <w:rPr>
          <w:lang w:val="fr-FR"/>
        </w:rPr>
        <w:t>.</w:t>
      </w:r>
    </w:p>
    <w:p w:rsidR="00903547" w:rsidRPr="00976C24" w:rsidRDefault="00903547" w:rsidP="00A15920">
      <w:pPr>
        <w:pStyle w:val="SingleTxtG"/>
        <w:rPr>
          <w:lang w:val="fr-FR"/>
        </w:rPr>
      </w:pPr>
      <w:r>
        <w:rPr>
          <w:lang w:val="fr-FR"/>
        </w:rPr>
        <w:t>373.</w:t>
      </w:r>
      <w:r>
        <w:rPr>
          <w:lang w:val="fr-FR"/>
        </w:rPr>
        <w:tab/>
      </w:r>
      <w:r w:rsidRPr="00976C24">
        <w:rPr>
          <w:lang w:val="fr-FR"/>
        </w:rPr>
        <w:t xml:space="preserve">L’article 68 de la loi sur l’aménagement du territoire et la construction ne permet pas d’édifier des bâtiments sur des sites </w:t>
      </w:r>
      <w:r>
        <w:rPr>
          <w:lang w:val="fr-FR"/>
        </w:rPr>
        <w:t>susceptibles d’être une source de</w:t>
      </w:r>
      <w:r w:rsidRPr="00976C24">
        <w:rPr>
          <w:lang w:val="fr-FR"/>
        </w:rPr>
        <w:t xml:space="preserve"> danger</w:t>
      </w:r>
      <w:r>
        <w:rPr>
          <w:lang w:val="fr-FR"/>
        </w:rPr>
        <w:t>s</w:t>
      </w:r>
      <w:r w:rsidRPr="00976C24">
        <w:rPr>
          <w:lang w:val="fr-FR"/>
        </w:rPr>
        <w:t xml:space="preserve"> ou </w:t>
      </w:r>
      <w:r>
        <w:rPr>
          <w:lang w:val="fr-FR"/>
        </w:rPr>
        <w:t>de</w:t>
      </w:r>
      <w:r w:rsidRPr="00976C24">
        <w:rPr>
          <w:lang w:val="fr-FR"/>
        </w:rPr>
        <w:t xml:space="preserve"> désagréments majeurs en raison de conditions naturelles ou </w:t>
      </w:r>
      <w:r>
        <w:rPr>
          <w:lang w:val="fr-FR"/>
        </w:rPr>
        <w:t>d’</w:t>
      </w:r>
      <w:r w:rsidRPr="00976C24">
        <w:rPr>
          <w:lang w:val="fr-FR"/>
        </w:rPr>
        <w:t>environnement.</w:t>
      </w:r>
    </w:p>
    <w:p w:rsidR="00903547" w:rsidRPr="00976C24" w:rsidRDefault="00903547" w:rsidP="00A15920">
      <w:pPr>
        <w:pStyle w:val="SingleTxtG"/>
        <w:rPr>
          <w:lang w:val="fr-FR"/>
        </w:rPr>
      </w:pPr>
      <w:r>
        <w:rPr>
          <w:lang w:val="fr-FR"/>
        </w:rPr>
        <w:t>374.</w:t>
      </w:r>
      <w:r>
        <w:rPr>
          <w:lang w:val="fr-FR"/>
        </w:rPr>
        <w:tab/>
      </w:r>
      <w:r w:rsidRPr="00976C24">
        <w:rPr>
          <w:lang w:val="fr-FR"/>
        </w:rPr>
        <w:t xml:space="preserve">Les conditions </w:t>
      </w:r>
      <w:r>
        <w:rPr>
          <w:lang w:val="fr-FR"/>
        </w:rPr>
        <w:t>d’</w:t>
      </w:r>
      <w:r w:rsidRPr="00976C24">
        <w:rPr>
          <w:lang w:val="fr-FR"/>
        </w:rPr>
        <w:t xml:space="preserve">environnement peuvent </w:t>
      </w:r>
      <w:r>
        <w:rPr>
          <w:lang w:val="fr-FR"/>
        </w:rPr>
        <w:t>être d</w:t>
      </w:r>
      <w:r w:rsidRPr="00976C24">
        <w:rPr>
          <w:lang w:val="fr-FR"/>
        </w:rPr>
        <w:t xml:space="preserve">es désagréments ou atteintes à la santé dus à la pollution du sol. L’article 68 doit être lu en parallèle à l’article 8-52 </w:t>
      </w:r>
      <w:r>
        <w:rPr>
          <w:lang w:val="fr-FR"/>
        </w:rPr>
        <w:t>du règlement technique d’application de</w:t>
      </w:r>
      <w:r w:rsidRPr="00976C24">
        <w:rPr>
          <w:lang w:val="fr-FR"/>
        </w:rPr>
        <w:t xml:space="preserve"> la loi sur l’aménagement du territoire et la construction (TEK), qui indique que </w:t>
      </w:r>
      <w:r>
        <w:rPr>
          <w:lang w:val="fr-FR"/>
        </w:rPr>
        <w:t>s’agissant de l’emplacement</w:t>
      </w:r>
      <w:r w:rsidRPr="00976C24">
        <w:rPr>
          <w:lang w:val="fr-FR"/>
        </w:rPr>
        <w:t xml:space="preserve">, </w:t>
      </w:r>
      <w:r>
        <w:rPr>
          <w:lang w:val="fr-FR"/>
        </w:rPr>
        <w:t xml:space="preserve">de </w:t>
      </w:r>
      <w:r w:rsidRPr="00976C24">
        <w:rPr>
          <w:lang w:val="fr-FR"/>
        </w:rPr>
        <w:t xml:space="preserve">la conception et </w:t>
      </w:r>
      <w:r>
        <w:rPr>
          <w:lang w:val="fr-FR"/>
        </w:rPr>
        <w:t xml:space="preserve">de </w:t>
      </w:r>
      <w:r w:rsidRPr="00976C24">
        <w:rPr>
          <w:lang w:val="fr-FR"/>
        </w:rPr>
        <w:t xml:space="preserve">l’exécution de travaux de construction, </w:t>
      </w:r>
      <w:r>
        <w:rPr>
          <w:lang w:val="fr-FR"/>
        </w:rPr>
        <w:t xml:space="preserve">il est obligatoire de réaliser </w:t>
      </w:r>
      <w:r w:rsidRPr="00976C24">
        <w:rPr>
          <w:lang w:val="fr-FR"/>
        </w:rPr>
        <w:t xml:space="preserve">une étude sur l’éventuelle contamination du sol </w:t>
      </w:r>
      <w:r>
        <w:rPr>
          <w:lang w:val="fr-FR"/>
        </w:rPr>
        <w:t>et d’en tenir compte</w:t>
      </w:r>
      <w:r w:rsidRPr="00976C24">
        <w:rPr>
          <w:lang w:val="fr-FR"/>
        </w:rPr>
        <w:t>.</w:t>
      </w:r>
    </w:p>
    <w:p w:rsidR="00903547" w:rsidRPr="00976C24" w:rsidRDefault="00903547" w:rsidP="00A15920">
      <w:pPr>
        <w:pStyle w:val="SingleTxtG"/>
        <w:rPr>
          <w:lang w:val="fr-FR"/>
        </w:rPr>
      </w:pPr>
      <w:r>
        <w:rPr>
          <w:lang w:val="fr-FR"/>
        </w:rPr>
        <w:t>375.</w:t>
      </w:r>
      <w:r>
        <w:rPr>
          <w:lang w:val="fr-FR"/>
        </w:rPr>
        <w:tab/>
      </w:r>
      <w:r w:rsidRPr="00976C24">
        <w:rPr>
          <w:lang w:val="fr-FR"/>
        </w:rPr>
        <w:t xml:space="preserve">Le </w:t>
      </w:r>
      <w:r>
        <w:rPr>
          <w:lang w:val="fr-FR"/>
        </w:rPr>
        <w:t>chapitre 2 du r</w:t>
      </w:r>
      <w:r w:rsidRPr="00976C24">
        <w:rPr>
          <w:lang w:val="fr-FR"/>
        </w:rPr>
        <w:t xml:space="preserve">èglement du </w:t>
      </w:r>
      <w:r>
        <w:rPr>
          <w:lang w:val="fr-FR"/>
        </w:rPr>
        <w:t>1</w:t>
      </w:r>
      <w:r w:rsidRPr="00B378D7">
        <w:rPr>
          <w:vertAlign w:val="superscript"/>
          <w:lang w:val="fr-FR"/>
        </w:rPr>
        <w:t>er</w:t>
      </w:r>
      <w:r>
        <w:rPr>
          <w:lang w:val="fr-FR"/>
        </w:rPr>
        <w:t xml:space="preserve"> </w:t>
      </w:r>
      <w:r w:rsidRPr="00976C24">
        <w:rPr>
          <w:lang w:val="fr-FR"/>
        </w:rPr>
        <w:t xml:space="preserve">juillet 2004 sur le contrôle de la pollution comporte des dispositions </w:t>
      </w:r>
      <w:r>
        <w:rPr>
          <w:lang w:val="fr-FR"/>
        </w:rPr>
        <w:t>relatives au</w:t>
      </w:r>
      <w:r w:rsidRPr="00976C24">
        <w:rPr>
          <w:lang w:val="fr-FR"/>
        </w:rPr>
        <w:t xml:space="preserve"> nettoyage d’un sol contaminé dans le cadre de travaux de construction et d’excavation.</w:t>
      </w:r>
    </w:p>
    <w:p w:rsidR="00903547" w:rsidRPr="00976C24" w:rsidRDefault="00903547" w:rsidP="00A15920">
      <w:pPr>
        <w:pStyle w:val="SingleTxtG"/>
        <w:rPr>
          <w:lang w:val="fr-FR"/>
        </w:rPr>
      </w:pPr>
      <w:r>
        <w:rPr>
          <w:lang w:val="fr-FR"/>
        </w:rPr>
        <w:t>376.</w:t>
      </w:r>
      <w:r>
        <w:rPr>
          <w:lang w:val="fr-FR"/>
        </w:rPr>
        <w:tab/>
        <w:t>Quant aux</w:t>
      </w:r>
      <w:r w:rsidRPr="00976C24">
        <w:rPr>
          <w:lang w:val="fr-FR"/>
        </w:rPr>
        <w:t xml:space="preserve"> sites où tout porte à cr</w:t>
      </w:r>
      <w:r>
        <w:rPr>
          <w:lang w:val="fr-FR"/>
        </w:rPr>
        <w:t>aindre une contamination</w:t>
      </w:r>
      <w:r w:rsidRPr="00976C24">
        <w:rPr>
          <w:lang w:val="fr-FR"/>
        </w:rPr>
        <w:t xml:space="preserve">, le règlement </w:t>
      </w:r>
      <w:r>
        <w:rPr>
          <w:lang w:val="fr-FR"/>
        </w:rPr>
        <w:t>fait</w:t>
      </w:r>
      <w:r w:rsidRPr="00976C24">
        <w:rPr>
          <w:lang w:val="fr-FR"/>
        </w:rPr>
        <w:t xml:space="preserve"> obligation à l’entrepreneur </w:t>
      </w:r>
      <w:r>
        <w:rPr>
          <w:lang w:val="fr-FR"/>
        </w:rPr>
        <w:t>de procéder à une étude de sol</w:t>
      </w:r>
      <w:r w:rsidRPr="00976C24">
        <w:rPr>
          <w:lang w:val="fr-FR"/>
        </w:rPr>
        <w:t>. Si la contamination est avérée, l’entrepreneur doit nettoyer le site avant de commencer les travaux de construction.</w:t>
      </w:r>
    </w:p>
    <w:p w:rsidR="00903547" w:rsidRPr="00976C24" w:rsidRDefault="00903547" w:rsidP="0071086E">
      <w:pPr>
        <w:pStyle w:val="H23G"/>
        <w:rPr>
          <w:lang w:val="fr-FR"/>
        </w:rPr>
      </w:pPr>
      <w:r w:rsidRPr="00976C24">
        <w:rPr>
          <w:lang w:val="fr-FR"/>
        </w:rPr>
        <w:tab/>
        <w:t>g)</w:t>
      </w:r>
      <w:r w:rsidRPr="00976C24">
        <w:rPr>
          <w:lang w:val="fr-FR"/>
        </w:rPr>
        <w:tab/>
        <w:t>In</w:t>
      </w:r>
      <w:r>
        <w:rPr>
          <w:lang w:val="fr-FR"/>
        </w:rPr>
        <w:t>diquer si</w:t>
      </w:r>
      <w:r w:rsidRPr="00976C24">
        <w:rPr>
          <w:lang w:val="fr-FR"/>
        </w:rPr>
        <w:t xml:space="preserve"> certains individus ou groupes </w:t>
      </w:r>
      <w:r>
        <w:rPr>
          <w:lang w:val="fr-FR"/>
        </w:rPr>
        <w:t xml:space="preserve">défavorisés et </w:t>
      </w:r>
      <w:r w:rsidRPr="00976C24">
        <w:rPr>
          <w:lang w:val="fr-FR"/>
        </w:rPr>
        <w:t>marginalisés, comme les minorités ethniques, sont particulièrement touchés par les expulsions forcées et les mesures prises pour éviter toute forme de discrimination en cas d’expulsion (E/2009/22-E/C.12/2008/3, annexe VIII, par.</w:t>
      </w:r>
      <w:r>
        <w:rPr>
          <w:lang w:val="fr-FR"/>
        </w:rPr>
        <w:t> </w:t>
      </w:r>
      <w:r w:rsidRPr="00976C24">
        <w:rPr>
          <w:lang w:val="fr-FR"/>
        </w:rPr>
        <w:t>53)</w:t>
      </w:r>
    </w:p>
    <w:p w:rsidR="00903547" w:rsidRPr="00976C24" w:rsidRDefault="00903547" w:rsidP="00A15920">
      <w:pPr>
        <w:pStyle w:val="SingleTxtG"/>
        <w:rPr>
          <w:lang w:val="fr-FR"/>
        </w:rPr>
      </w:pPr>
      <w:r>
        <w:rPr>
          <w:lang w:val="fr-FR"/>
        </w:rPr>
        <w:t>377.</w:t>
      </w:r>
      <w:r>
        <w:rPr>
          <w:lang w:val="fr-FR"/>
        </w:rPr>
        <w:tab/>
      </w:r>
      <w:r w:rsidRPr="00976C24">
        <w:rPr>
          <w:lang w:val="fr-FR"/>
        </w:rPr>
        <w:t>Des dispositions de la législation norvégienne relative au logement (</w:t>
      </w:r>
      <w:r>
        <w:rPr>
          <w:lang w:val="fr-FR"/>
        </w:rPr>
        <w:t>loi sur les locations</w:t>
      </w:r>
      <w:r w:rsidRPr="00976C24">
        <w:rPr>
          <w:lang w:val="fr-FR"/>
        </w:rPr>
        <w:t xml:space="preserve">, loi sur les logements coopératifs et loi sur la propriété immobilière), interdisent la discrimination fondée sur la religion, la couleur de peau, la langue, l’origine nationale ou ethnique, l’orientation sexuelle ou le mode de vie. </w:t>
      </w:r>
      <w:r>
        <w:rPr>
          <w:lang w:val="fr-FR"/>
        </w:rPr>
        <w:t>L’interdiction s’applique</w:t>
      </w:r>
      <w:r w:rsidRPr="00976C24">
        <w:rPr>
          <w:lang w:val="fr-FR"/>
        </w:rPr>
        <w:t xml:space="preserve"> à la location de logements. Ces </w:t>
      </w:r>
      <w:r>
        <w:rPr>
          <w:lang w:val="fr-FR"/>
        </w:rPr>
        <w:t>critères</w:t>
      </w:r>
      <w:r w:rsidRPr="00976C24">
        <w:rPr>
          <w:lang w:val="fr-FR"/>
        </w:rPr>
        <w:t xml:space="preserve"> ne sont pas considérés comme des motifs </w:t>
      </w:r>
      <w:r>
        <w:rPr>
          <w:lang w:val="fr-FR"/>
        </w:rPr>
        <w:t>valables</w:t>
      </w:r>
      <w:r w:rsidRPr="00976C24">
        <w:rPr>
          <w:lang w:val="fr-FR"/>
        </w:rPr>
        <w:t xml:space="preserve"> de refus </w:t>
      </w:r>
      <w:r>
        <w:rPr>
          <w:lang w:val="fr-FR"/>
        </w:rPr>
        <w:t>de louer à des familles</w:t>
      </w:r>
      <w:r w:rsidRPr="00976C24">
        <w:rPr>
          <w:lang w:val="fr-FR"/>
        </w:rPr>
        <w:t xml:space="preserve"> ou de changer de locataire en vert</w:t>
      </w:r>
      <w:r>
        <w:rPr>
          <w:lang w:val="fr-FR"/>
        </w:rPr>
        <w:t>u d’un contrat de sous-location;</w:t>
      </w:r>
      <w:r w:rsidRPr="00976C24">
        <w:rPr>
          <w:lang w:val="fr-FR"/>
        </w:rPr>
        <w:t xml:space="preserve"> de même ils ne peuvent </w:t>
      </w:r>
      <w:r>
        <w:rPr>
          <w:lang w:val="fr-FR"/>
        </w:rPr>
        <w:t>justifier la</w:t>
      </w:r>
      <w:r w:rsidRPr="00976C24">
        <w:rPr>
          <w:lang w:val="fr-FR"/>
        </w:rPr>
        <w:t xml:space="preserve"> résiliation d’un bail. L</w:t>
      </w:r>
      <w:r>
        <w:rPr>
          <w:lang w:val="fr-FR"/>
        </w:rPr>
        <w:t>e problème</w:t>
      </w:r>
      <w:r w:rsidRPr="00976C24">
        <w:rPr>
          <w:lang w:val="fr-FR"/>
        </w:rPr>
        <w:t xml:space="preserve"> de la discrimination dans le secteur du logement fait l’objet d’une observation </w:t>
      </w:r>
      <w:r>
        <w:rPr>
          <w:lang w:val="fr-FR"/>
        </w:rPr>
        <w:t>permanente</w:t>
      </w:r>
      <w:r w:rsidRPr="00976C24">
        <w:rPr>
          <w:lang w:val="fr-FR"/>
        </w:rPr>
        <w:t xml:space="preserve"> e</w:t>
      </w:r>
      <w:r>
        <w:rPr>
          <w:lang w:val="fr-FR"/>
        </w:rPr>
        <w:t>t les autorités s’emploient à le</w:t>
      </w:r>
      <w:r w:rsidRPr="00976C24">
        <w:rPr>
          <w:lang w:val="fr-FR"/>
        </w:rPr>
        <w:t xml:space="preserve"> prévenir par différentes mesures </w:t>
      </w:r>
      <w:r>
        <w:rPr>
          <w:lang w:val="fr-FR"/>
        </w:rPr>
        <w:t>mises en œuvre</w:t>
      </w:r>
      <w:r w:rsidRPr="00976C24">
        <w:rPr>
          <w:lang w:val="fr-FR"/>
        </w:rPr>
        <w:t xml:space="preserve"> par la </w:t>
      </w:r>
      <w:r>
        <w:rPr>
          <w:lang w:val="fr-FR"/>
        </w:rPr>
        <w:t>Banque d’État norvégienne</w:t>
      </w:r>
      <w:r w:rsidRPr="00976C24">
        <w:rPr>
          <w:lang w:val="fr-FR"/>
        </w:rPr>
        <w:t xml:space="preserve"> pour le logement et les municipalités.</w:t>
      </w:r>
    </w:p>
    <w:p w:rsidR="00903547" w:rsidRPr="00976C24" w:rsidRDefault="00903547" w:rsidP="0071086E">
      <w:pPr>
        <w:pStyle w:val="H23G"/>
        <w:rPr>
          <w:lang w:val="fr-FR"/>
        </w:rPr>
      </w:pPr>
      <w:r w:rsidRPr="00976C24">
        <w:rPr>
          <w:lang w:val="fr-FR"/>
        </w:rPr>
        <w:tab/>
        <w:t>h)</w:t>
      </w:r>
      <w:r w:rsidRPr="00976C24">
        <w:rPr>
          <w:lang w:val="fr-FR"/>
        </w:rPr>
        <w:tab/>
      </w:r>
      <w:r>
        <w:rPr>
          <w:lang w:val="fr-FR"/>
        </w:rPr>
        <w:t>Indiquer le n</w:t>
      </w:r>
      <w:r w:rsidRPr="00976C24">
        <w:rPr>
          <w:lang w:val="fr-FR"/>
        </w:rPr>
        <w:t xml:space="preserve">ombre de personnes et de familles expulsées au cours des cinq dernières années et </w:t>
      </w:r>
      <w:r>
        <w:rPr>
          <w:lang w:val="fr-FR"/>
        </w:rPr>
        <w:t xml:space="preserve">les </w:t>
      </w:r>
      <w:r w:rsidRPr="00976C24">
        <w:rPr>
          <w:lang w:val="fr-FR"/>
        </w:rPr>
        <w:t xml:space="preserve">dispositions légales </w:t>
      </w:r>
      <w:r>
        <w:rPr>
          <w:lang w:val="fr-FR"/>
        </w:rPr>
        <w:t>qui définisse</w:t>
      </w:r>
      <w:r w:rsidRPr="00976C24">
        <w:rPr>
          <w:lang w:val="fr-FR"/>
        </w:rPr>
        <w:t>nt les circonstances dans lesquelles des expulsions peuvent être effectuées ainsi que les droits des locataires à la sécurité de jouissance et à la protection contre les expulsions (E/2009/22-E/C.12/2008/3, annexe VIII, par.</w:t>
      </w:r>
      <w:r>
        <w:rPr>
          <w:lang w:val="fr-FR"/>
        </w:rPr>
        <w:t> </w:t>
      </w:r>
      <w:r w:rsidRPr="00976C24">
        <w:rPr>
          <w:lang w:val="fr-FR"/>
        </w:rPr>
        <w:t xml:space="preserve">54) </w:t>
      </w:r>
    </w:p>
    <w:p w:rsidR="00903547" w:rsidRPr="00976C24" w:rsidRDefault="00903547" w:rsidP="0071086E">
      <w:pPr>
        <w:pStyle w:val="H4G"/>
        <w:rPr>
          <w:lang w:val="fr-FR"/>
        </w:rPr>
      </w:pPr>
      <w:r w:rsidRPr="00976C24">
        <w:rPr>
          <w:lang w:val="fr-FR"/>
        </w:rPr>
        <w:tab/>
        <w:t>i)</w:t>
      </w:r>
      <w:r w:rsidRPr="00976C24">
        <w:rPr>
          <w:lang w:val="fr-FR"/>
        </w:rPr>
        <w:tab/>
        <w:t>Expulsions</w:t>
      </w:r>
    </w:p>
    <w:p w:rsidR="00903547" w:rsidRPr="00976C24" w:rsidRDefault="00903547" w:rsidP="00A15920">
      <w:pPr>
        <w:pStyle w:val="SingleTxtG"/>
        <w:rPr>
          <w:lang w:val="fr-FR"/>
        </w:rPr>
      </w:pPr>
      <w:r>
        <w:rPr>
          <w:lang w:val="fr-FR"/>
        </w:rPr>
        <w:t>378.</w:t>
      </w:r>
      <w:r>
        <w:rPr>
          <w:lang w:val="fr-FR"/>
        </w:rPr>
        <w:tab/>
        <w:t>U</w:t>
      </w:r>
      <w:r w:rsidRPr="00976C24">
        <w:rPr>
          <w:lang w:val="fr-FR"/>
        </w:rPr>
        <w:t xml:space="preserve">ne enquête </w:t>
      </w:r>
      <w:r>
        <w:rPr>
          <w:lang w:val="fr-FR"/>
        </w:rPr>
        <w:t>de</w:t>
      </w:r>
      <w:r w:rsidRPr="00976C24">
        <w:rPr>
          <w:lang w:val="fr-FR"/>
        </w:rPr>
        <w:t xml:space="preserve"> 2009 montre qu’il </w:t>
      </w:r>
      <w:r>
        <w:rPr>
          <w:lang w:val="fr-FR"/>
        </w:rPr>
        <w:t>a été procédé à</w:t>
      </w:r>
      <w:r w:rsidRPr="00976C24">
        <w:rPr>
          <w:lang w:val="fr-FR"/>
        </w:rPr>
        <w:t xml:space="preserve"> 1</w:t>
      </w:r>
      <w:r>
        <w:rPr>
          <w:lang w:val="fr-FR"/>
        </w:rPr>
        <w:t> </w:t>
      </w:r>
      <w:r w:rsidRPr="00976C24">
        <w:rPr>
          <w:lang w:val="fr-FR"/>
        </w:rPr>
        <w:t>830 expulsions en 2006, 2</w:t>
      </w:r>
      <w:r>
        <w:rPr>
          <w:lang w:val="fr-FR"/>
        </w:rPr>
        <w:t> </w:t>
      </w:r>
      <w:r w:rsidRPr="00976C24">
        <w:rPr>
          <w:lang w:val="fr-FR"/>
        </w:rPr>
        <w:t>230 en 2007 et 2</w:t>
      </w:r>
      <w:r>
        <w:rPr>
          <w:lang w:val="fr-FR"/>
        </w:rPr>
        <w:t> </w:t>
      </w:r>
      <w:r w:rsidRPr="00976C24">
        <w:rPr>
          <w:lang w:val="fr-FR"/>
        </w:rPr>
        <w:t>109 en 2008.</w:t>
      </w:r>
    </w:p>
    <w:p w:rsidR="00903547" w:rsidRPr="00976C24" w:rsidRDefault="00903547" w:rsidP="00A15920">
      <w:pPr>
        <w:pStyle w:val="SingleTxtG"/>
        <w:rPr>
          <w:lang w:val="fr-FR"/>
        </w:rPr>
      </w:pPr>
      <w:r>
        <w:rPr>
          <w:lang w:val="fr-FR"/>
        </w:rPr>
        <w:t>379.</w:t>
      </w:r>
      <w:r>
        <w:rPr>
          <w:lang w:val="fr-FR"/>
        </w:rPr>
        <w:tab/>
      </w:r>
      <w:r w:rsidRPr="00976C24">
        <w:rPr>
          <w:lang w:val="fr-FR"/>
        </w:rPr>
        <w:t xml:space="preserve">L’étude révèle que </w:t>
      </w:r>
      <w:r>
        <w:rPr>
          <w:lang w:val="fr-FR"/>
        </w:rPr>
        <w:t>les locataires</w:t>
      </w:r>
      <w:r w:rsidRPr="00976C24">
        <w:rPr>
          <w:lang w:val="fr-FR"/>
        </w:rPr>
        <w:t xml:space="preserve"> expulsés se divisent en quatre catégories</w:t>
      </w:r>
      <w:r>
        <w:rPr>
          <w:lang w:val="fr-FR"/>
        </w:rPr>
        <w:t>:</w:t>
      </w:r>
      <w:r w:rsidRPr="00976C24">
        <w:rPr>
          <w:lang w:val="fr-FR"/>
        </w:rPr>
        <w:t xml:space="preserve"> 1)</w:t>
      </w:r>
      <w:r>
        <w:rPr>
          <w:lang w:val="fr-FR"/>
        </w:rPr>
        <w:t> </w:t>
      </w:r>
      <w:r w:rsidRPr="00976C24">
        <w:rPr>
          <w:lang w:val="fr-FR"/>
        </w:rPr>
        <w:t xml:space="preserve">personnes dans </w:t>
      </w:r>
      <w:r>
        <w:rPr>
          <w:lang w:val="fr-FR"/>
        </w:rPr>
        <w:t>l’incapacité</w:t>
      </w:r>
      <w:r w:rsidRPr="00976C24">
        <w:rPr>
          <w:lang w:val="fr-FR"/>
        </w:rPr>
        <w:t xml:space="preserve"> de </w:t>
      </w:r>
      <w:r>
        <w:rPr>
          <w:lang w:val="fr-FR"/>
        </w:rPr>
        <w:t>faire face aux échéances</w:t>
      </w:r>
      <w:r w:rsidRPr="00976C24">
        <w:rPr>
          <w:lang w:val="fr-FR"/>
        </w:rPr>
        <w:t>, 2)</w:t>
      </w:r>
      <w:r>
        <w:rPr>
          <w:lang w:val="fr-FR"/>
        </w:rPr>
        <w:t> </w:t>
      </w:r>
      <w:r w:rsidRPr="00976C24">
        <w:rPr>
          <w:lang w:val="fr-FR"/>
        </w:rPr>
        <w:t xml:space="preserve">personnes </w:t>
      </w:r>
      <w:r>
        <w:rPr>
          <w:lang w:val="fr-FR"/>
        </w:rPr>
        <w:t>en</w:t>
      </w:r>
      <w:r w:rsidRPr="00976C24">
        <w:rPr>
          <w:lang w:val="fr-FR"/>
        </w:rPr>
        <w:t xml:space="preserve"> situation financière difficile, 3)</w:t>
      </w:r>
      <w:r>
        <w:rPr>
          <w:lang w:val="fr-FR"/>
        </w:rPr>
        <w:t> </w:t>
      </w:r>
      <w:r w:rsidRPr="00976C24">
        <w:rPr>
          <w:lang w:val="fr-FR"/>
        </w:rPr>
        <w:t>personnes atteintes de maladie mentale et 4)</w:t>
      </w:r>
      <w:r>
        <w:rPr>
          <w:lang w:val="fr-FR"/>
        </w:rPr>
        <w:t> </w:t>
      </w:r>
      <w:r w:rsidRPr="00976C24">
        <w:rPr>
          <w:lang w:val="fr-FR"/>
        </w:rPr>
        <w:t>personnes dépendantes aux drogues et à l’alcool.</w:t>
      </w:r>
    </w:p>
    <w:p w:rsidR="00903547" w:rsidRPr="00976C24" w:rsidRDefault="00903547" w:rsidP="00A15920">
      <w:pPr>
        <w:pStyle w:val="SingleTxtG"/>
        <w:rPr>
          <w:lang w:val="fr-FR"/>
        </w:rPr>
      </w:pPr>
      <w:r>
        <w:rPr>
          <w:lang w:val="fr-FR"/>
        </w:rPr>
        <w:t>380.</w:t>
      </w:r>
      <w:r>
        <w:rPr>
          <w:lang w:val="fr-FR"/>
        </w:rPr>
        <w:tab/>
      </w:r>
      <w:r w:rsidRPr="00976C24">
        <w:rPr>
          <w:lang w:val="fr-FR"/>
        </w:rPr>
        <w:t>Les diffic</w:t>
      </w:r>
      <w:r>
        <w:rPr>
          <w:lang w:val="fr-FR"/>
        </w:rPr>
        <w:t>ultés financières ne sont pas le principal motif</w:t>
      </w:r>
      <w:r w:rsidRPr="00976C24">
        <w:rPr>
          <w:lang w:val="fr-FR"/>
        </w:rPr>
        <w:t xml:space="preserve"> d’une expulsion. </w:t>
      </w:r>
      <w:r>
        <w:rPr>
          <w:lang w:val="fr-FR"/>
        </w:rPr>
        <w:t xml:space="preserve">Il semble que les personnes </w:t>
      </w:r>
      <w:r w:rsidRPr="00976C24">
        <w:rPr>
          <w:lang w:val="fr-FR"/>
        </w:rPr>
        <w:t xml:space="preserve">qui cumulent les problèmes, </w:t>
      </w:r>
      <w:r>
        <w:rPr>
          <w:lang w:val="fr-FR"/>
        </w:rPr>
        <w:t xml:space="preserve">associant </w:t>
      </w:r>
      <w:r w:rsidRPr="00976C24">
        <w:rPr>
          <w:lang w:val="fr-FR"/>
        </w:rPr>
        <w:t>souvent toxicomanie, alcoolisme et maladie mentale</w:t>
      </w:r>
      <w:r>
        <w:rPr>
          <w:lang w:val="fr-FR"/>
        </w:rPr>
        <w:t>,</w:t>
      </w:r>
      <w:r w:rsidRPr="00976C24">
        <w:rPr>
          <w:lang w:val="fr-FR"/>
        </w:rPr>
        <w:t xml:space="preserve"> risquent davantage que les autres d’être expulsées.</w:t>
      </w:r>
    </w:p>
    <w:p w:rsidR="00903547" w:rsidRPr="00976C24" w:rsidRDefault="00903547" w:rsidP="0071086E">
      <w:pPr>
        <w:pStyle w:val="H4G"/>
        <w:rPr>
          <w:lang w:val="fr-FR"/>
        </w:rPr>
      </w:pPr>
      <w:r w:rsidRPr="00976C24">
        <w:rPr>
          <w:lang w:val="fr-FR"/>
        </w:rPr>
        <w:tab/>
        <w:t>ii)</w:t>
      </w:r>
      <w:r w:rsidRPr="00976C24">
        <w:rPr>
          <w:lang w:val="fr-FR"/>
        </w:rPr>
        <w:tab/>
        <w:t>Droits des locataires à la sécurité de jouissance</w:t>
      </w:r>
    </w:p>
    <w:p w:rsidR="00903547" w:rsidRPr="00976C24" w:rsidRDefault="00903547" w:rsidP="00A15920">
      <w:pPr>
        <w:pStyle w:val="SingleTxtG"/>
        <w:rPr>
          <w:lang w:val="fr-FR"/>
        </w:rPr>
      </w:pPr>
      <w:r>
        <w:rPr>
          <w:lang w:val="fr-FR"/>
        </w:rPr>
        <w:t>381.</w:t>
      </w:r>
      <w:r>
        <w:rPr>
          <w:lang w:val="fr-FR"/>
        </w:rPr>
        <w:tab/>
      </w:r>
      <w:r w:rsidRPr="00976C24">
        <w:rPr>
          <w:lang w:val="fr-FR"/>
        </w:rPr>
        <w:t>Le rapport juridique existant entre un propriétaire</w:t>
      </w:r>
      <w:r>
        <w:rPr>
          <w:lang w:val="fr-FR"/>
        </w:rPr>
        <w:t xml:space="preserve"> et un locataire est réglementé</w:t>
      </w:r>
      <w:r w:rsidRPr="00976C24">
        <w:rPr>
          <w:lang w:val="fr-FR"/>
        </w:rPr>
        <w:t xml:space="preserve"> par la </w:t>
      </w:r>
      <w:r>
        <w:rPr>
          <w:lang w:val="fr-FR"/>
        </w:rPr>
        <w:t>loi sur les locations</w:t>
      </w:r>
      <w:r w:rsidRPr="00976C24">
        <w:rPr>
          <w:lang w:val="fr-FR"/>
        </w:rPr>
        <w:t xml:space="preserve"> de 1999. Un contrat de location peut être résilié uniquement sur la base de motifs objectifs et raisonna</w:t>
      </w:r>
      <w:r>
        <w:rPr>
          <w:lang w:val="fr-FR"/>
        </w:rPr>
        <w:t>bl</w:t>
      </w:r>
      <w:r w:rsidRPr="00976C24">
        <w:rPr>
          <w:lang w:val="fr-FR"/>
        </w:rPr>
        <w:t xml:space="preserve">es. Si le locataire conteste cette résiliation, celle-ci est sans valeur à moins que le propriétaire n’intente une action en justice contre le locataire. Même si le tribunal estime la résiliation légale, </w:t>
      </w:r>
      <w:r>
        <w:rPr>
          <w:lang w:val="fr-FR"/>
        </w:rPr>
        <w:t>elle peut</w:t>
      </w:r>
      <w:r w:rsidRPr="00976C24">
        <w:rPr>
          <w:lang w:val="fr-FR"/>
        </w:rPr>
        <w:t xml:space="preserve"> </w:t>
      </w:r>
      <w:r>
        <w:rPr>
          <w:lang w:val="fr-FR"/>
        </w:rPr>
        <w:t>néanmoins être annulée</w:t>
      </w:r>
      <w:r w:rsidRPr="00976C24">
        <w:rPr>
          <w:lang w:val="fr-FR"/>
        </w:rPr>
        <w:t xml:space="preserve"> si le tribunal, </w:t>
      </w:r>
      <w:r>
        <w:rPr>
          <w:lang w:val="fr-FR"/>
        </w:rPr>
        <w:t>au vu d</w:t>
      </w:r>
      <w:r w:rsidRPr="00976C24">
        <w:rPr>
          <w:lang w:val="fr-FR"/>
        </w:rPr>
        <w:t>es circonstances</w:t>
      </w:r>
      <w:r>
        <w:rPr>
          <w:lang w:val="fr-FR"/>
        </w:rPr>
        <w:t>,</w:t>
      </w:r>
      <w:r w:rsidRPr="00976C24">
        <w:rPr>
          <w:lang w:val="fr-FR"/>
        </w:rPr>
        <w:t xml:space="preserve"> l</w:t>
      </w:r>
      <w:r>
        <w:rPr>
          <w:lang w:val="fr-FR"/>
        </w:rPr>
        <w:t>a juge</w:t>
      </w:r>
      <w:r w:rsidRPr="00976C24">
        <w:rPr>
          <w:lang w:val="fr-FR"/>
        </w:rPr>
        <w:t xml:space="preserve"> injustifiée. </w:t>
      </w:r>
      <w:r>
        <w:rPr>
          <w:lang w:val="fr-FR"/>
        </w:rPr>
        <w:t>Dans le cas d’un</w:t>
      </w:r>
      <w:r w:rsidRPr="00976C24">
        <w:rPr>
          <w:lang w:val="fr-FR"/>
        </w:rPr>
        <w:t xml:space="preserve"> bail </w:t>
      </w:r>
      <w:r>
        <w:rPr>
          <w:lang w:val="fr-FR"/>
        </w:rPr>
        <w:t>d’une durée déterminée,</w:t>
      </w:r>
      <w:r w:rsidRPr="00976C24">
        <w:rPr>
          <w:lang w:val="fr-FR"/>
        </w:rPr>
        <w:t xml:space="preserve"> </w:t>
      </w:r>
      <w:r>
        <w:rPr>
          <w:lang w:val="fr-FR"/>
        </w:rPr>
        <w:t>celle-ci</w:t>
      </w:r>
      <w:r w:rsidRPr="00976C24">
        <w:rPr>
          <w:lang w:val="fr-FR"/>
        </w:rPr>
        <w:t xml:space="preserve"> doit, en règle générale, être d’</w:t>
      </w:r>
      <w:r>
        <w:rPr>
          <w:lang w:val="fr-FR"/>
        </w:rPr>
        <w:t>au moins</w:t>
      </w:r>
      <w:r w:rsidRPr="00976C24">
        <w:rPr>
          <w:lang w:val="fr-FR"/>
        </w:rPr>
        <w:t xml:space="preserve"> trois ans. </w:t>
      </w:r>
      <w:r>
        <w:rPr>
          <w:lang w:val="fr-FR"/>
        </w:rPr>
        <w:t>L</w:t>
      </w:r>
      <w:r w:rsidRPr="00976C24">
        <w:rPr>
          <w:lang w:val="fr-FR"/>
        </w:rPr>
        <w:t xml:space="preserve">e locataire est </w:t>
      </w:r>
      <w:r>
        <w:rPr>
          <w:lang w:val="fr-FR"/>
        </w:rPr>
        <w:t xml:space="preserve">ainsi </w:t>
      </w:r>
      <w:r w:rsidRPr="00976C24">
        <w:rPr>
          <w:lang w:val="fr-FR"/>
        </w:rPr>
        <w:t>bien protégé contre une résiliation du bail par le propriétaire.</w:t>
      </w:r>
    </w:p>
    <w:p w:rsidR="00903547" w:rsidRPr="00976C24" w:rsidRDefault="00903547" w:rsidP="00A15920">
      <w:pPr>
        <w:pStyle w:val="SingleTxtG"/>
        <w:rPr>
          <w:lang w:val="fr-FR"/>
        </w:rPr>
      </w:pPr>
      <w:r>
        <w:rPr>
          <w:lang w:val="fr-FR"/>
        </w:rPr>
        <w:t>382.</w:t>
      </w:r>
      <w:r>
        <w:rPr>
          <w:lang w:val="fr-FR"/>
        </w:rPr>
        <w:tab/>
      </w:r>
      <w:r w:rsidRPr="00976C24">
        <w:rPr>
          <w:lang w:val="fr-FR"/>
        </w:rPr>
        <w:t xml:space="preserve">Le loyer convenu entre les parties peut être diminué par le tribunal si celui-ci le considère excessif. Le propriétaire peut augmenter le loyer tous les ans mais seulement en fonction de l’indice des prix à la consommation. Tous les trois ans, l’une ou l’autre partie peut demander que le loyer soit adapté au niveau actuel des loyers, </w:t>
      </w:r>
      <w:r>
        <w:rPr>
          <w:lang w:val="fr-FR"/>
        </w:rPr>
        <w:t>soit</w:t>
      </w:r>
      <w:r w:rsidRPr="00976C24">
        <w:rPr>
          <w:lang w:val="fr-FR"/>
        </w:rPr>
        <w:t xml:space="preserve"> une moyenne représentative du </w:t>
      </w:r>
      <w:r>
        <w:rPr>
          <w:lang w:val="fr-FR"/>
        </w:rPr>
        <w:t xml:space="preserve">niveau de </w:t>
      </w:r>
      <w:r w:rsidRPr="00976C24">
        <w:rPr>
          <w:lang w:val="fr-FR"/>
        </w:rPr>
        <w:t xml:space="preserve">loyer déjà fixé </w:t>
      </w:r>
      <w:r>
        <w:rPr>
          <w:lang w:val="fr-FR"/>
        </w:rPr>
        <w:t>au même lieu</w:t>
      </w:r>
      <w:r w:rsidRPr="00976C24">
        <w:rPr>
          <w:lang w:val="fr-FR"/>
        </w:rPr>
        <w:t xml:space="preserve"> p</w:t>
      </w:r>
      <w:r>
        <w:rPr>
          <w:lang w:val="fr-FR"/>
        </w:rPr>
        <w:t>our</w:t>
      </w:r>
      <w:r w:rsidRPr="00976C24">
        <w:rPr>
          <w:lang w:val="fr-FR"/>
        </w:rPr>
        <w:t xml:space="preserve"> la location de logements similaires dans des conditions </w:t>
      </w:r>
      <w:r>
        <w:rPr>
          <w:lang w:val="fr-FR"/>
        </w:rPr>
        <w:t>analogues</w:t>
      </w:r>
      <w:r w:rsidRPr="00976C24">
        <w:rPr>
          <w:lang w:val="fr-FR"/>
        </w:rPr>
        <w:t xml:space="preserve">. </w:t>
      </w:r>
      <w:r>
        <w:rPr>
          <w:lang w:val="fr-FR"/>
        </w:rPr>
        <w:t>L</w:t>
      </w:r>
      <w:r w:rsidRPr="00976C24">
        <w:rPr>
          <w:lang w:val="fr-FR"/>
        </w:rPr>
        <w:t xml:space="preserve">e loyer est </w:t>
      </w:r>
      <w:r>
        <w:rPr>
          <w:lang w:val="fr-FR"/>
        </w:rPr>
        <w:t xml:space="preserve">ainsi </w:t>
      </w:r>
      <w:r w:rsidRPr="00976C24">
        <w:rPr>
          <w:lang w:val="fr-FR"/>
        </w:rPr>
        <w:t>beaucoup moins sensible aux cycles économiques que les loyers aux prix du marché.</w:t>
      </w:r>
    </w:p>
    <w:p w:rsidR="00903547" w:rsidRPr="00976C24" w:rsidRDefault="00903547" w:rsidP="00A15920">
      <w:pPr>
        <w:pStyle w:val="SingleTxtG"/>
        <w:rPr>
          <w:lang w:val="fr-FR"/>
        </w:rPr>
      </w:pPr>
      <w:r>
        <w:rPr>
          <w:lang w:val="fr-FR"/>
        </w:rPr>
        <w:t>383.</w:t>
      </w:r>
      <w:r>
        <w:rPr>
          <w:lang w:val="fr-FR"/>
        </w:rPr>
        <w:tab/>
      </w:r>
      <w:r w:rsidRPr="00976C24">
        <w:rPr>
          <w:lang w:val="fr-FR"/>
        </w:rPr>
        <w:t xml:space="preserve">La </w:t>
      </w:r>
      <w:r>
        <w:rPr>
          <w:lang w:val="fr-FR"/>
        </w:rPr>
        <w:t>loi sur les locations</w:t>
      </w:r>
      <w:r w:rsidRPr="00976C24">
        <w:rPr>
          <w:lang w:val="fr-FR"/>
        </w:rPr>
        <w:t xml:space="preserve"> vient d’être révisée et des modifications mineures </w:t>
      </w:r>
      <w:r>
        <w:rPr>
          <w:lang w:val="fr-FR"/>
        </w:rPr>
        <w:t xml:space="preserve">lui </w:t>
      </w:r>
      <w:r w:rsidRPr="00976C24">
        <w:rPr>
          <w:lang w:val="fr-FR"/>
        </w:rPr>
        <w:t xml:space="preserve">ont été apportées pour </w:t>
      </w:r>
      <w:r>
        <w:rPr>
          <w:lang w:val="fr-FR"/>
        </w:rPr>
        <w:t>renforcer</w:t>
      </w:r>
      <w:r w:rsidRPr="00976C24">
        <w:rPr>
          <w:lang w:val="fr-FR"/>
        </w:rPr>
        <w:t xml:space="preserve"> les droits des locataires à la sécurité de jouissance.</w:t>
      </w:r>
    </w:p>
    <w:p w:rsidR="00903547" w:rsidRPr="00976C24" w:rsidRDefault="00903547" w:rsidP="0071086E">
      <w:pPr>
        <w:pStyle w:val="H4G"/>
        <w:rPr>
          <w:lang w:val="fr-FR"/>
        </w:rPr>
      </w:pPr>
      <w:r w:rsidRPr="00976C24">
        <w:rPr>
          <w:lang w:val="fr-FR"/>
        </w:rPr>
        <w:tab/>
        <w:t>iii)</w:t>
      </w:r>
      <w:r w:rsidRPr="00976C24">
        <w:rPr>
          <w:lang w:val="fr-FR"/>
        </w:rPr>
        <w:tab/>
        <w:t>Législation relative aux expulsions</w:t>
      </w:r>
    </w:p>
    <w:p w:rsidR="00903547" w:rsidRPr="00BC0953" w:rsidRDefault="00903547" w:rsidP="00A15920">
      <w:pPr>
        <w:pStyle w:val="SingleTxtG"/>
        <w:rPr>
          <w:b/>
          <w:lang w:val="fr-FR"/>
        </w:rPr>
      </w:pPr>
      <w:r>
        <w:rPr>
          <w:lang w:val="fr-FR"/>
        </w:rPr>
        <w:t>384.</w:t>
      </w:r>
      <w:r>
        <w:rPr>
          <w:lang w:val="fr-FR"/>
        </w:rPr>
        <w:tab/>
        <w:t xml:space="preserve">La législation norvégienne ne contient </w:t>
      </w:r>
      <w:r w:rsidRPr="00976C24">
        <w:rPr>
          <w:lang w:val="fr-FR"/>
        </w:rPr>
        <w:t xml:space="preserve">aucune </w:t>
      </w:r>
      <w:r>
        <w:rPr>
          <w:lang w:val="fr-FR"/>
        </w:rPr>
        <w:t>disposition interdisant explicitement les expulsions de locataires</w:t>
      </w:r>
      <w:r w:rsidRPr="00976C24">
        <w:rPr>
          <w:lang w:val="fr-FR"/>
        </w:rPr>
        <w:t xml:space="preserve">. Les expulsions sont réglementées par la </w:t>
      </w:r>
      <w:r>
        <w:rPr>
          <w:lang w:val="fr-FR"/>
        </w:rPr>
        <w:t>loi d’application (loi du 26 juin 1992 n</w:t>
      </w:r>
      <w:r>
        <w:rPr>
          <w:vertAlign w:val="superscript"/>
          <w:lang w:val="fr-FR"/>
        </w:rPr>
        <w:t>o</w:t>
      </w:r>
      <w:r w:rsidRPr="000A7EEA">
        <w:rPr>
          <w:lang w:val="fr-FR"/>
        </w:rPr>
        <w:t> </w:t>
      </w:r>
      <w:r w:rsidRPr="00976C24">
        <w:rPr>
          <w:lang w:val="fr-FR"/>
        </w:rPr>
        <w:t xml:space="preserve">86). </w:t>
      </w:r>
      <w:r>
        <w:rPr>
          <w:lang w:val="fr-FR"/>
        </w:rPr>
        <w:t xml:space="preserve">Certaines </w:t>
      </w:r>
      <w:r w:rsidRPr="00976C24">
        <w:rPr>
          <w:lang w:val="fr-FR"/>
        </w:rPr>
        <w:t>conditions matérielles</w:t>
      </w:r>
      <w:r>
        <w:rPr>
          <w:lang w:val="fr-FR"/>
        </w:rPr>
        <w:t xml:space="preserve"> doivent être réunies pour que l’expulsion puisse avoir lieu, c’est-à-dire qu’elle doit être justifiée. Parmi les exemples de justification figure</w:t>
      </w:r>
      <w:r w:rsidRPr="00976C24">
        <w:rPr>
          <w:lang w:val="fr-FR"/>
        </w:rPr>
        <w:t xml:space="preserve"> le défaut de paiement du loyer. En règle générale, le propriétaire doit obtenir une décision de justice </w:t>
      </w:r>
      <w:r>
        <w:rPr>
          <w:lang w:val="fr-FR"/>
        </w:rPr>
        <w:t>constatant</w:t>
      </w:r>
      <w:r w:rsidRPr="00976C24">
        <w:rPr>
          <w:lang w:val="fr-FR"/>
        </w:rPr>
        <w:t xml:space="preserve"> que le locataire n’a pas payé son loyer avant </w:t>
      </w:r>
      <w:r>
        <w:rPr>
          <w:lang w:val="fr-FR"/>
        </w:rPr>
        <w:t>de pouvoir demander</w:t>
      </w:r>
      <w:r w:rsidRPr="00976C24">
        <w:rPr>
          <w:lang w:val="fr-FR"/>
        </w:rPr>
        <w:t xml:space="preserve"> l’expulsion. L</w:t>
      </w:r>
      <w:r>
        <w:rPr>
          <w:lang w:val="fr-FR"/>
        </w:rPr>
        <w:t>es services de police doivent</w:t>
      </w:r>
      <w:r w:rsidRPr="00976C24">
        <w:rPr>
          <w:lang w:val="fr-FR"/>
        </w:rPr>
        <w:t xml:space="preserve"> suivre une procédure </w:t>
      </w:r>
      <w:r>
        <w:rPr>
          <w:lang w:val="fr-FR"/>
        </w:rPr>
        <w:t>spécifique en cas d’autorisation de l’</w:t>
      </w:r>
      <w:r w:rsidRPr="00976C24">
        <w:rPr>
          <w:lang w:val="fr-FR"/>
        </w:rPr>
        <w:t>expulsion</w:t>
      </w:r>
      <w:r>
        <w:rPr>
          <w:lang w:val="fr-FR"/>
        </w:rPr>
        <w:t>.</w:t>
      </w:r>
    </w:p>
    <w:p w:rsidR="00903547" w:rsidRPr="00BC0953" w:rsidRDefault="00903547" w:rsidP="00185C6E">
      <w:pPr>
        <w:pStyle w:val="H1G"/>
        <w:rPr>
          <w:lang w:val="fr-FR"/>
        </w:rPr>
      </w:pPr>
      <w:r>
        <w:rPr>
          <w:lang w:val="fr-FR"/>
        </w:rPr>
        <w:tab/>
      </w:r>
      <w:r>
        <w:rPr>
          <w:lang w:val="fr-FR"/>
        </w:rPr>
        <w:tab/>
        <w:t>Article 12</w:t>
      </w:r>
      <w:r>
        <w:rPr>
          <w:lang w:val="fr-FR"/>
        </w:rPr>
        <w:br/>
      </w:r>
      <w:r w:rsidRPr="00BC0953">
        <w:rPr>
          <w:lang w:val="fr-FR"/>
        </w:rPr>
        <w:t>Droit à la santé</w:t>
      </w:r>
    </w:p>
    <w:p w:rsidR="00903547" w:rsidRPr="00976C24" w:rsidRDefault="00903547" w:rsidP="00185C6E">
      <w:pPr>
        <w:pStyle w:val="H23G"/>
        <w:rPr>
          <w:lang w:val="fr-FR"/>
        </w:rPr>
      </w:pPr>
      <w:r>
        <w:rPr>
          <w:lang w:val="fr-FR"/>
        </w:rPr>
        <w:tab/>
        <w:t>1.</w:t>
      </w:r>
      <w:r>
        <w:rPr>
          <w:lang w:val="fr-FR"/>
        </w:rPr>
        <w:tab/>
        <w:t>P</w:t>
      </w:r>
      <w:r w:rsidRPr="00976C24">
        <w:rPr>
          <w:lang w:val="fr-FR"/>
        </w:rPr>
        <w:t>olitique nationale en matière de santé</w:t>
      </w:r>
      <w:r>
        <w:rPr>
          <w:lang w:val="fr-FR"/>
        </w:rPr>
        <w:t>;</w:t>
      </w:r>
      <w:r w:rsidRPr="00976C24">
        <w:rPr>
          <w:lang w:val="fr-FR"/>
        </w:rPr>
        <w:t xml:space="preserve"> système national de santé garantissant l’accès universel aux soins de santé primaires (E/2009/22-E/C.12/2008/3, annexe VIII, par.</w:t>
      </w:r>
      <w:r>
        <w:rPr>
          <w:lang w:val="fr-FR"/>
        </w:rPr>
        <w:t> 55)</w:t>
      </w:r>
    </w:p>
    <w:p w:rsidR="00903547" w:rsidRPr="00976C24" w:rsidRDefault="00903547" w:rsidP="00A15920">
      <w:pPr>
        <w:pStyle w:val="SingleTxtG"/>
        <w:rPr>
          <w:lang w:val="fr-FR"/>
        </w:rPr>
      </w:pPr>
      <w:r>
        <w:rPr>
          <w:lang w:val="fr-FR"/>
        </w:rPr>
        <w:t>385.</w:t>
      </w:r>
      <w:r>
        <w:rPr>
          <w:lang w:val="fr-FR"/>
        </w:rPr>
        <w:tab/>
      </w:r>
      <w:r w:rsidRPr="00976C24">
        <w:rPr>
          <w:lang w:val="fr-FR"/>
        </w:rPr>
        <w:t xml:space="preserve">En Norvège, le cadre juridique des services de santé publique vise à garantir à chacun des services professionnels adéquats </w:t>
      </w:r>
      <w:r>
        <w:rPr>
          <w:lang w:val="fr-FR"/>
        </w:rPr>
        <w:t>dans des conditions d’</w:t>
      </w:r>
      <w:r w:rsidRPr="00976C24">
        <w:rPr>
          <w:lang w:val="fr-FR"/>
        </w:rPr>
        <w:t xml:space="preserve">égalité, sans distinction de </w:t>
      </w:r>
      <w:r>
        <w:rPr>
          <w:lang w:val="fr-FR"/>
        </w:rPr>
        <w:t>sexe</w:t>
      </w:r>
      <w:r w:rsidRPr="00976C24">
        <w:rPr>
          <w:lang w:val="fr-FR"/>
        </w:rPr>
        <w:t>, d’âge, de type de maladie, de lieu de résidence ou de niveau de revenu</w:t>
      </w:r>
      <w:r>
        <w:rPr>
          <w:lang w:val="fr-FR"/>
        </w:rPr>
        <w:t>.</w:t>
      </w:r>
    </w:p>
    <w:p w:rsidR="00903547" w:rsidRPr="00976C24" w:rsidRDefault="00903547" w:rsidP="00A15920">
      <w:pPr>
        <w:pStyle w:val="SingleTxtG"/>
        <w:rPr>
          <w:lang w:val="fr-FR"/>
        </w:rPr>
      </w:pPr>
      <w:r>
        <w:rPr>
          <w:lang w:val="fr-FR"/>
        </w:rPr>
        <w:t>386.</w:t>
      </w:r>
      <w:r>
        <w:rPr>
          <w:lang w:val="fr-FR"/>
        </w:rPr>
        <w:tab/>
      </w:r>
      <w:r w:rsidRPr="00976C24">
        <w:rPr>
          <w:lang w:val="fr-FR"/>
        </w:rPr>
        <w:t xml:space="preserve">Le plan national </w:t>
      </w:r>
      <w:r>
        <w:rPr>
          <w:lang w:val="fr-FR"/>
        </w:rPr>
        <w:t>de</w:t>
      </w:r>
      <w:r w:rsidRPr="00976C24">
        <w:rPr>
          <w:lang w:val="fr-FR"/>
        </w:rPr>
        <w:t xml:space="preserve"> santé </w:t>
      </w:r>
      <w:r>
        <w:rPr>
          <w:lang w:val="fr-FR"/>
        </w:rPr>
        <w:t xml:space="preserve">pour la Norvège </w:t>
      </w:r>
      <w:r w:rsidRPr="00976C24">
        <w:rPr>
          <w:lang w:val="fr-FR"/>
        </w:rPr>
        <w:t>(2007</w:t>
      </w:r>
      <w:r>
        <w:rPr>
          <w:lang w:val="fr-FR"/>
        </w:rPr>
        <w:t>-</w:t>
      </w:r>
      <w:r w:rsidRPr="00976C24">
        <w:rPr>
          <w:lang w:val="fr-FR"/>
        </w:rPr>
        <w:t xml:space="preserve">2010) présente l’état des services de santé </w:t>
      </w:r>
      <w:r>
        <w:rPr>
          <w:lang w:val="fr-FR"/>
        </w:rPr>
        <w:t>à l’heure actuelle et suggère</w:t>
      </w:r>
      <w:r w:rsidRPr="00976C24">
        <w:rPr>
          <w:lang w:val="fr-FR"/>
        </w:rPr>
        <w:t xml:space="preserve"> des mesures politiques propres à </w:t>
      </w:r>
      <w:r>
        <w:rPr>
          <w:lang w:val="fr-FR"/>
        </w:rPr>
        <w:t>les améliorer</w:t>
      </w:r>
      <w:r w:rsidRPr="00976C24">
        <w:rPr>
          <w:lang w:val="fr-FR"/>
        </w:rPr>
        <w:t>, ce qui signifie aussi de prévenir les maladies et de faciliter la participation des patients et de leurs proches.</w:t>
      </w:r>
    </w:p>
    <w:p w:rsidR="00903547" w:rsidRPr="00976C24" w:rsidRDefault="00903547" w:rsidP="00A15920">
      <w:pPr>
        <w:pStyle w:val="SingleTxtG"/>
        <w:rPr>
          <w:lang w:val="fr-FR"/>
        </w:rPr>
      </w:pPr>
      <w:r>
        <w:rPr>
          <w:lang w:val="fr-FR"/>
        </w:rPr>
        <w:t>387.</w:t>
      </w:r>
      <w:r>
        <w:rPr>
          <w:lang w:val="fr-FR"/>
        </w:rPr>
        <w:tab/>
      </w:r>
      <w:r w:rsidRPr="00976C24">
        <w:rPr>
          <w:lang w:val="fr-FR"/>
        </w:rPr>
        <w:t xml:space="preserve">Les services de santé norvégiens sont confrontés à des défis considérables, à la fois </w:t>
      </w:r>
      <w:r>
        <w:rPr>
          <w:lang w:val="fr-FR"/>
        </w:rPr>
        <w:t>présents et futurs.</w:t>
      </w:r>
      <w:r w:rsidRPr="00976C24">
        <w:rPr>
          <w:lang w:val="fr-FR"/>
        </w:rPr>
        <w:t xml:space="preserve"> L’augmentation du nombre de personnes âgées, l’évolution de la prévalence et de la répartition des maladies, les nouveaux médicaments et les nouveaux traitements </w:t>
      </w:r>
      <w:r>
        <w:rPr>
          <w:lang w:val="fr-FR"/>
        </w:rPr>
        <w:t xml:space="preserve">coûteux </w:t>
      </w:r>
      <w:r w:rsidRPr="00976C24">
        <w:rPr>
          <w:lang w:val="fr-FR"/>
        </w:rPr>
        <w:t xml:space="preserve">en font partie. Pour relever ces défis, le </w:t>
      </w:r>
      <w:r>
        <w:rPr>
          <w:lang w:val="fr-FR"/>
        </w:rPr>
        <w:t xml:space="preserve">plan quadriennal du </w:t>
      </w:r>
      <w:r w:rsidRPr="00976C24">
        <w:rPr>
          <w:lang w:val="fr-FR"/>
        </w:rPr>
        <w:t xml:space="preserve">Gouvernement </w:t>
      </w:r>
      <w:r>
        <w:rPr>
          <w:lang w:val="fr-FR"/>
        </w:rPr>
        <w:t>met</w:t>
      </w:r>
      <w:r w:rsidRPr="00976C24">
        <w:rPr>
          <w:lang w:val="fr-FR"/>
        </w:rPr>
        <w:t xml:space="preserve"> l’a</w:t>
      </w:r>
      <w:r>
        <w:rPr>
          <w:lang w:val="fr-FR"/>
        </w:rPr>
        <w:t xml:space="preserve">ccent </w:t>
      </w:r>
      <w:r w:rsidRPr="00976C24">
        <w:rPr>
          <w:lang w:val="fr-FR"/>
        </w:rPr>
        <w:t>sur six aspects clés qui doivent caractériser tou</w:t>
      </w:r>
      <w:r>
        <w:rPr>
          <w:lang w:val="fr-FR"/>
        </w:rPr>
        <w:t>s</w:t>
      </w:r>
      <w:r w:rsidRPr="00976C24">
        <w:rPr>
          <w:lang w:val="fr-FR"/>
        </w:rPr>
        <w:t xml:space="preserve"> les services de santé</w:t>
      </w:r>
      <w:r>
        <w:rPr>
          <w:lang w:val="fr-FR"/>
        </w:rPr>
        <w:t>:</w:t>
      </w:r>
    </w:p>
    <w:p w:rsidR="00903547" w:rsidRPr="00976C24" w:rsidRDefault="00903547" w:rsidP="0071086E">
      <w:pPr>
        <w:pStyle w:val="Bullet1G"/>
        <w:numPr>
          <w:ilvl w:val="0"/>
          <w:numId w:val="3"/>
        </w:numPr>
        <w:rPr>
          <w:lang w:val="fr-FR"/>
        </w:rPr>
      </w:pPr>
      <w:r w:rsidRPr="00976C24">
        <w:rPr>
          <w:lang w:val="fr-FR"/>
        </w:rPr>
        <w:t>Cohé</w:t>
      </w:r>
      <w:r>
        <w:rPr>
          <w:lang w:val="fr-FR"/>
        </w:rPr>
        <w:t>sion</w:t>
      </w:r>
      <w:r w:rsidRPr="00976C24">
        <w:rPr>
          <w:lang w:val="fr-FR"/>
        </w:rPr>
        <w:t xml:space="preserve"> et interaction</w:t>
      </w:r>
      <w:r>
        <w:rPr>
          <w:lang w:val="fr-FR"/>
        </w:rPr>
        <w:t>;</w:t>
      </w:r>
    </w:p>
    <w:p w:rsidR="00903547" w:rsidRPr="00976C24" w:rsidRDefault="00903547" w:rsidP="0071086E">
      <w:pPr>
        <w:pStyle w:val="Bullet1G"/>
        <w:numPr>
          <w:ilvl w:val="0"/>
          <w:numId w:val="3"/>
        </w:numPr>
        <w:rPr>
          <w:lang w:val="fr-FR"/>
        </w:rPr>
      </w:pPr>
      <w:r w:rsidRPr="00976C24">
        <w:rPr>
          <w:lang w:val="fr-FR"/>
        </w:rPr>
        <w:t>Démocratie et légitimité</w:t>
      </w:r>
      <w:r>
        <w:rPr>
          <w:lang w:val="fr-FR"/>
        </w:rPr>
        <w:t>;</w:t>
      </w:r>
    </w:p>
    <w:p w:rsidR="00903547" w:rsidRPr="00976C24" w:rsidRDefault="00903547" w:rsidP="0071086E">
      <w:pPr>
        <w:pStyle w:val="Bullet1G"/>
        <w:numPr>
          <w:ilvl w:val="0"/>
          <w:numId w:val="3"/>
        </w:numPr>
        <w:rPr>
          <w:lang w:val="fr-FR"/>
        </w:rPr>
      </w:pPr>
      <w:r w:rsidRPr="00976C24">
        <w:rPr>
          <w:lang w:val="fr-FR"/>
        </w:rPr>
        <w:t>Proximité et sécurité</w:t>
      </w:r>
      <w:r>
        <w:rPr>
          <w:lang w:val="fr-FR"/>
        </w:rPr>
        <w:t>;</w:t>
      </w:r>
    </w:p>
    <w:p w:rsidR="00903547" w:rsidRPr="00976C24" w:rsidRDefault="00903547" w:rsidP="0071086E">
      <w:pPr>
        <w:pStyle w:val="Bullet1G"/>
        <w:numPr>
          <w:ilvl w:val="0"/>
          <w:numId w:val="3"/>
        </w:numPr>
        <w:rPr>
          <w:lang w:val="fr-FR"/>
        </w:rPr>
      </w:pPr>
      <w:r w:rsidRPr="00976C24">
        <w:rPr>
          <w:lang w:val="fr-FR"/>
        </w:rPr>
        <w:t>Renforcement du rôle du patient</w:t>
      </w:r>
      <w:r>
        <w:rPr>
          <w:lang w:val="fr-FR"/>
        </w:rPr>
        <w:t>;</w:t>
      </w:r>
    </w:p>
    <w:p w:rsidR="00903547" w:rsidRPr="00976C24" w:rsidRDefault="00903547" w:rsidP="0071086E">
      <w:pPr>
        <w:pStyle w:val="Bullet1G"/>
        <w:numPr>
          <w:ilvl w:val="0"/>
          <w:numId w:val="3"/>
        </w:numPr>
        <w:rPr>
          <w:lang w:val="fr-FR"/>
        </w:rPr>
      </w:pPr>
      <w:r w:rsidRPr="00976C24">
        <w:rPr>
          <w:lang w:val="fr-FR"/>
        </w:rPr>
        <w:t>Professionnalisme et qualité</w:t>
      </w:r>
      <w:r>
        <w:rPr>
          <w:lang w:val="fr-FR"/>
        </w:rPr>
        <w:t>;</w:t>
      </w:r>
    </w:p>
    <w:p w:rsidR="00903547" w:rsidRPr="00976C24" w:rsidRDefault="00903547" w:rsidP="0071086E">
      <w:pPr>
        <w:pStyle w:val="Bullet1G"/>
        <w:numPr>
          <w:ilvl w:val="0"/>
          <w:numId w:val="3"/>
        </w:numPr>
        <w:rPr>
          <w:lang w:val="fr-FR"/>
        </w:rPr>
      </w:pPr>
      <w:r w:rsidRPr="00976C24">
        <w:rPr>
          <w:lang w:val="fr-FR"/>
        </w:rPr>
        <w:t>Travail et santé</w:t>
      </w:r>
      <w:r>
        <w:rPr>
          <w:lang w:val="fr-FR"/>
        </w:rPr>
        <w:t>.</w:t>
      </w:r>
    </w:p>
    <w:p w:rsidR="00903547" w:rsidRPr="00976C24" w:rsidRDefault="00903547" w:rsidP="00A15920">
      <w:pPr>
        <w:pStyle w:val="SingleTxtG"/>
        <w:rPr>
          <w:lang w:val="fr-FR"/>
        </w:rPr>
      </w:pPr>
      <w:r>
        <w:rPr>
          <w:lang w:val="fr-FR"/>
        </w:rPr>
        <w:t>388.</w:t>
      </w:r>
      <w:r>
        <w:rPr>
          <w:lang w:val="fr-FR"/>
        </w:rPr>
        <w:tab/>
        <w:t>L</w:t>
      </w:r>
      <w:r w:rsidRPr="00976C24">
        <w:rPr>
          <w:lang w:val="fr-FR"/>
        </w:rPr>
        <w:t xml:space="preserve">a Norvège </w:t>
      </w:r>
      <w:r>
        <w:rPr>
          <w:lang w:val="fr-FR"/>
        </w:rPr>
        <w:t>vise une répartition juste et équitable des services de santé</w:t>
      </w:r>
      <w:r w:rsidRPr="00976C24">
        <w:rPr>
          <w:lang w:val="fr-FR"/>
        </w:rPr>
        <w:t xml:space="preserve">. </w:t>
      </w:r>
      <w:r>
        <w:rPr>
          <w:lang w:val="fr-FR"/>
        </w:rPr>
        <w:t xml:space="preserve">Il reste qu’on constate </w:t>
      </w:r>
      <w:r w:rsidRPr="00976C24">
        <w:rPr>
          <w:lang w:val="fr-FR"/>
        </w:rPr>
        <w:t>encore des délais d’attente inacceptables dans certaines zones géographique</w:t>
      </w:r>
      <w:r>
        <w:rPr>
          <w:lang w:val="fr-FR"/>
        </w:rPr>
        <w:t>s</w:t>
      </w:r>
      <w:r w:rsidRPr="00976C24">
        <w:rPr>
          <w:lang w:val="fr-FR"/>
        </w:rPr>
        <w:t xml:space="preserve"> et spécialités médicales. Les disparités sociales en matière de santé ont </w:t>
      </w:r>
      <w:r>
        <w:rPr>
          <w:lang w:val="fr-FR"/>
        </w:rPr>
        <w:t>été documentées et se retrouvent</w:t>
      </w:r>
      <w:r w:rsidRPr="00976C24">
        <w:rPr>
          <w:lang w:val="fr-FR"/>
        </w:rPr>
        <w:t xml:space="preserve"> dans l’utilisation des services de sant</w:t>
      </w:r>
      <w:r>
        <w:rPr>
          <w:lang w:val="fr-FR"/>
        </w:rPr>
        <w:t>é. Les patients et leur famille, ainsi que</w:t>
      </w:r>
      <w:r w:rsidRPr="00976C24">
        <w:rPr>
          <w:lang w:val="fr-FR"/>
        </w:rPr>
        <w:t xml:space="preserve"> les rapports de leurs organisations respectives, </w:t>
      </w:r>
      <w:r>
        <w:rPr>
          <w:lang w:val="fr-FR"/>
        </w:rPr>
        <w:t>qualifient</w:t>
      </w:r>
      <w:r w:rsidRPr="00976C24">
        <w:rPr>
          <w:lang w:val="fr-FR"/>
        </w:rPr>
        <w:t xml:space="preserve"> les services de santé </w:t>
      </w:r>
      <w:r>
        <w:rPr>
          <w:lang w:val="fr-FR"/>
        </w:rPr>
        <w:t>de</w:t>
      </w:r>
      <w:r w:rsidRPr="00976C24">
        <w:rPr>
          <w:lang w:val="fr-FR"/>
        </w:rPr>
        <w:t xml:space="preserve"> </w:t>
      </w:r>
      <w:r>
        <w:rPr>
          <w:lang w:val="fr-FR"/>
        </w:rPr>
        <w:t xml:space="preserve">très </w:t>
      </w:r>
      <w:r w:rsidRPr="00976C24">
        <w:rPr>
          <w:lang w:val="fr-FR"/>
        </w:rPr>
        <w:t>compartimentés</w:t>
      </w:r>
      <w:r>
        <w:rPr>
          <w:lang w:val="fr-FR"/>
        </w:rPr>
        <w:t>,</w:t>
      </w:r>
      <w:r w:rsidRPr="00976C24">
        <w:rPr>
          <w:lang w:val="fr-FR"/>
        </w:rPr>
        <w:t xml:space="preserve"> sans claire </w:t>
      </w:r>
      <w:r>
        <w:rPr>
          <w:lang w:val="fr-FR"/>
        </w:rPr>
        <w:t>répartition des</w:t>
      </w:r>
      <w:r w:rsidRPr="00976C24">
        <w:rPr>
          <w:lang w:val="fr-FR"/>
        </w:rPr>
        <w:t xml:space="preserve"> responsabilité</w:t>
      </w:r>
      <w:r>
        <w:rPr>
          <w:lang w:val="fr-FR"/>
        </w:rPr>
        <w:t>s</w:t>
      </w:r>
      <w:r w:rsidRPr="00976C24">
        <w:rPr>
          <w:lang w:val="fr-FR"/>
        </w:rPr>
        <w:t xml:space="preserve"> </w:t>
      </w:r>
      <w:r>
        <w:rPr>
          <w:lang w:val="fr-FR"/>
        </w:rPr>
        <w:t xml:space="preserve">au regard de </w:t>
      </w:r>
      <w:r w:rsidRPr="00976C24">
        <w:rPr>
          <w:lang w:val="fr-FR"/>
        </w:rPr>
        <w:t xml:space="preserve">l’interaction </w:t>
      </w:r>
      <w:r>
        <w:rPr>
          <w:lang w:val="fr-FR"/>
        </w:rPr>
        <w:t>d</w:t>
      </w:r>
      <w:r w:rsidRPr="00976C24">
        <w:rPr>
          <w:lang w:val="fr-FR"/>
        </w:rPr>
        <w:t xml:space="preserve">es différents intervenants. </w:t>
      </w:r>
    </w:p>
    <w:p w:rsidR="00903547" w:rsidRPr="00976C24" w:rsidRDefault="00903547" w:rsidP="00A15920">
      <w:pPr>
        <w:pStyle w:val="SingleTxtG"/>
        <w:rPr>
          <w:lang w:val="fr-FR"/>
        </w:rPr>
      </w:pPr>
      <w:r>
        <w:rPr>
          <w:lang w:val="fr-FR"/>
        </w:rPr>
        <w:t>389.</w:t>
      </w:r>
      <w:r>
        <w:rPr>
          <w:lang w:val="fr-FR"/>
        </w:rPr>
        <w:tab/>
      </w:r>
      <w:r w:rsidRPr="00976C24">
        <w:rPr>
          <w:lang w:val="fr-FR"/>
        </w:rPr>
        <w:t>Ce</w:t>
      </w:r>
      <w:r>
        <w:rPr>
          <w:lang w:val="fr-FR"/>
        </w:rPr>
        <w:t>s aspects ont été pris en considération dans</w:t>
      </w:r>
      <w:r w:rsidRPr="00976C24">
        <w:rPr>
          <w:lang w:val="fr-FR"/>
        </w:rPr>
        <w:t xml:space="preserve"> la réforme de la coordination des services de santé et de so</w:t>
      </w:r>
      <w:r>
        <w:rPr>
          <w:lang w:val="fr-FR"/>
        </w:rPr>
        <w:t>ins, présentée dans le Rapport n</w:t>
      </w:r>
      <w:r w:rsidRPr="000A7EEA">
        <w:rPr>
          <w:vertAlign w:val="superscript"/>
          <w:lang w:val="fr-FR"/>
        </w:rPr>
        <w:t>o</w:t>
      </w:r>
      <w:r>
        <w:rPr>
          <w:lang w:val="fr-FR"/>
        </w:rPr>
        <w:t> </w:t>
      </w:r>
      <w:r w:rsidRPr="00976C24">
        <w:rPr>
          <w:lang w:val="fr-FR"/>
        </w:rPr>
        <w:t>47 (2008</w:t>
      </w:r>
      <w:r>
        <w:rPr>
          <w:lang w:val="fr-FR"/>
        </w:rPr>
        <w:t>-</w:t>
      </w:r>
      <w:r w:rsidRPr="00976C24">
        <w:rPr>
          <w:lang w:val="fr-FR"/>
        </w:rPr>
        <w:t xml:space="preserve">2009) au </w:t>
      </w:r>
      <w:r w:rsidRPr="00B52B8E">
        <w:rPr>
          <w:i/>
          <w:lang w:val="fr-FR"/>
        </w:rPr>
        <w:t>Storting</w:t>
      </w:r>
      <w:r w:rsidRPr="00976C24">
        <w:rPr>
          <w:lang w:val="fr-FR"/>
        </w:rPr>
        <w:t xml:space="preserve">. Les problèmes susmentionnés associés </w:t>
      </w:r>
      <w:r>
        <w:rPr>
          <w:lang w:val="fr-FR"/>
        </w:rPr>
        <w:t>au coût croissant</w:t>
      </w:r>
      <w:r w:rsidRPr="00976C24">
        <w:rPr>
          <w:lang w:val="fr-FR"/>
        </w:rPr>
        <w:t xml:space="preserve"> des services de santé spécialisés appellent une meilleure coordination entre les niveaux primaires et secondaires du système de santé et de soins. </w:t>
      </w:r>
      <w:r>
        <w:rPr>
          <w:lang w:val="fr-FR"/>
        </w:rPr>
        <w:t>L</w:t>
      </w:r>
      <w:r w:rsidRPr="00976C24">
        <w:rPr>
          <w:lang w:val="fr-FR"/>
        </w:rPr>
        <w:t xml:space="preserve">a réforme </w:t>
      </w:r>
      <w:r>
        <w:rPr>
          <w:lang w:val="fr-FR"/>
        </w:rPr>
        <w:t>porte principalement sur d</w:t>
      </w:r>
      <w:r w:rsidRPr="00976C24">
        <w:rPr>
          <w:lang w:val="fr-FR"/>
        </w:rPr>
        <w:t xml:space="preserve">es mesures </w:t>
      </w:r>
      <w:r>
        <w:rPr>
          <w:lang w:val="fr-FR"/>
        </w:rPr>
        <w:t>propres à identifier de façon</w:t>
      </w:r>
      <w:r w:rsidRPr="00976C24">
        <w:rPr>
          <w:lang w:val="fr-FR"/>
        </w:rPr>
        <w:t xml:space="preserve"> précoce et </w:t>
      </w:r>
      <w:r>
        <w:rPr>
          <w:lang w:val="fr-FR"/>
        </w:rPr>
        <w:t>à suivre</w:t>
      </w:r>
      <w:r w:rsidRPr="00976C24">
        <w:rPr>
          <w:lang w:val="fr-FR"/>
        </w:rPr>
        <w:t xml:space="preserve"> la population qui risque de développer les maladies les plus courantes </w:t>
      </w:r>
      <w:r>
        <w:rPr>
          <w:lang w:val="fr-FR"/>
        </w:rPr>
        <w:t xml:space="preserve">et </w:t>
      </w:r>
      <w:r w:rsidRPr="00976C24">
        <w:rPr>
          <w:lang w:val="fr-FR"/>
        </w:rPr>
        <w:t xml:space="preserve">qui menacent la qualité de vie. Il faut renforcer le rôle des municipalités </w:t>
      </w:r>
      <w:r>
        <w:rPr>
          <w:lang w:val="fr-FR"/>
        </w:rPr>
        <w:t>en matière de</w:t>
      </w:r>
      <w:r w:rsidRPr="00976C24">
        <w:rPr>
          <w:lang w:val="fr-FR"/>
        </w:rPr>
        <w:t xml:space="preserve"> prévention et </w:t>
      </w:r>
      <w:r>
        <w:rPr>
          <w:lang w:val="fr-FR"/>
        </w:rPr>
        <w:t>de</w:t>
      </w:r>
      <w:r w:rsidRPr="00976C24">
        <w:rPr>
          <w:lang w:val="fr-FR"/>
        </w:rPr>
        <w:t xml:space="preserve"> traitement afin d’améliorer la santé et la qualité de vie de la population et de réduire l’augmentation très coûteuse des hospitalisations et des dépenses engagées pour les traitements spécialisés.</w:t>
      </w:r>
    </w:p>
    <w:p w:rsidR="00903547" w:rsidRPr="00976C24" w:rsidRDefault="00903547" w:rsidP="00A15920">
      <w:pPr>
        <w:pStyle w:val="SingleTxtG"/>
        <w:rPr>
          <w:lang w:val="fr-FR"/>
        </w:rPr>
      </w:pPr>
      <w:r>
        <w:rPr>
          <w:lang w:val="fr-FR"/>
        </w:rPr>
        <w:t>390.</w:t>
      </w:r>
      <w:r>
        <w:rPr>
          <w:lang w:val="fr-FR"/>
        </w:rPr>
        <w:tab/>
      </w:r>
      <w:r w:rsidRPr="00976C24">
        <w:rPr>
          <w:lang w:val="fr-FR"/>
        </w:rPr>
        <w:t xml:space="preserve">Un nouveau plan national </w:t>
      </w:r>
      <w:r>
        <w:rPr>
          <w:lang w:val="fr-FR"/>
        </w:rPr>
        <w:t>de</w:t>
      </w:r>
      <w:r w:rsidRPr="00976C24">
        <w:rPr>
          <w:lang w:val="fr-FR"/>
        </w:rPr>
        <w:t xml:space="preserve"> santé est actuellement en préparation. Il fera suite aux </w:t>
      </w:r>
      <w:r>
        <w:rPr>
          <w:lang w:val="fr-FR"/>
        </w:rPr>
        <w:t>actions menées au titre du</w:t>
      </w:r>
      <w:r w:rsidRPr="00976C24">
        <w:rPr>
          <w:lang w:val="fr-FR"/>
        </w:rPr>
        <w:t xml:space="preserve"> plan actuel et tiendra compte des éléments et défis principaux de la réforme de la coordination.</w:t>
      </w:r>
    </w:p>
    <w:p w:rsidR="00903547" w:rsidRPr="00976C24" w:rsidRDefault="00903547" w:rsidP="0071086E">
      <w:pPr>
        <w:pStyle w:val="H23G"/>
        <w:rPr>
          <w:lang w:val="fr-FR"/>
        </w:rPr>
      </w:pPr>
      <w:r w:rsidRPr="00976C24">
        <w:rPr>
          <w:lang w:val="fr-FR"/>
        </w:rPr>
        <w:tab/>
        <w:t>2.</w:t>
      </w:r>
      <w:r w:rsidRPr="00976C24">
        <w:rPr>
          <w:lang w:val="fr-FR"/>
        </w:rPr>
        <w:tab/>
        <w:t xml:space="preserve">Mesures prises pour faire en sorte que les installations, les biens et les services en matière de santé, qu’ils soient destinés à la prévention, aux soins ou à la </w:t>
      </w:r>
      <w:r>
        <w:rPr>
          <w:lang w:val="fr-FR"/>
        </w:rPr>
        <w:t>réadaptation</w:t>
      </w:r>
      <w:r w:rsidRPr="00976C24">
        <w:rPr>
          <w:lang w:val="fr-FR"/>
        </w:rPr>
        <w:t>, soient physiquement accessibles sans danger pour tous, y compris les personnes âgées et les personnes handicapées (E/2009/22-E/C.12/2008/3, annexe VIII, par.</w:t>
      </w:r>
      <w:r>
        <w:rPr>
          <w:lang w:val="fr-FR"/>
        </w:rPr>
        <w:t> </w:t>
      </w:r>
      <w:r w:rsidRPr="00976C24">
        <w:rPr>
          <w:lang w:val="fr-FR"/>
        </w:rPr>
        <w:t>56 a))</w:t>
      </w:r>
    </w:p>
    <w:p w:rsidR="00903547" w:rsidRPr="00976C24" w:rsidRDefault="00903547" w:rsidP="00A15920">
      <w:pPr>
        <w:pStyle w:val="SingleTxtG"/>
        <w:rPr>
          <w:lang w:val="fr-FR"/>
        </w:rPr>
      </w:pPr>
      <w:r>
        <w:rPr>
          <w:lang w:val="fr-FR"/>
        </w:rPr>
        <w:t>391.</w:t>
      </w:r>
      <w:r>
        <w:rPr>
          <w:lang w:val="fr-FR"/>
        </w:rPr>
        <w:tab/>
        <w:t>D’une manière générale, l</w:t>
      </w:r>
      <w:r w:rsidRPr="00976C24">
        <w:rPr>
          <w:lang w:val="fr-FR"/>
        </w:rPr>
        <w:t>a</w:t>
      </w:r>
      <w:r>
        <w:rPr>
          <w:lang w:val="fr-FR"/>
        </w:rPr>
        <w:t xml:space="preserve"> population norvégienne jouit</w:t>
      </w:r>
      <w:r w:rsidRPr="00976C24">
        <w:rPr>
          <w:lang w:val="fr-FR"/>
        </w:rPr>
        <w:t xml:space="preserve"> d’une bonne santé. Il reste que des inégalités structurelles persistent. La santé est inégalement répartie entre les groupes sociaux. Le</w:t>
      </w:r>
      <w:r>
        <w:rPr>
          <w:lang w:val="fr-FR"/>
        </w:rPr>
        <w:t>s pouvoirs publics</w:t>
      </w:r>
      <w:r w:rsidRPr="00976C24">
        <w:rPr>
          <w:lang w:val="fr-FR"/>
        </w:rPr>
        <w:t xml:space="preserve"> estime</w:t>
      </w:r>
      <w:r>
        <w:rPr>
          <w:lang w:val="fr-FR"/>
        </w:rPr>
        <w:t>nt</w:t>
      </w:r>
      <w:r w:rsidRPr="00976C24">
        <w:rPr>
          <w:lang w:val="fr-FR"/>
        </w:rPr>
        <w:t xml:space="preserve"> que les actions </w:t>
      </w:r>
      <w:r>
        <w:rPr>
          <w:lang w:val="fr-FR"/>
        </w:rPr>
        <w:t>en faveur</w:t>
      </w:r>
      <w:r w:rsidRPr="00976C24">
        <w:rPr>
          <w:lang w:val="fr-FR"/>
        </w:rPr>
        <w:t xml:space="preserve"> de la santé publique doi</w:t>
      </w:r>
      <w:r>
        <w:rPr>
          <w:lang w:val="fr-FR"/>
        </w:rPr>
        <w:t>ven</w:t>
      </w:r>
      <w:r w:rsidRPr="00976C24">
        <w:rPr>
          <w:lang w:val="fr-FR"/>
        </w:rPr>
        <w:t xml:space="preserve">t </w:t>
      </w:r>
      <w:r>
        <w:rPr>
          <w:lang w:val="fr-FR"/>
        </w:rPr>
        <w:t>s’appuyer sur</w:t>
      </w:r>
      <w:r w:rsidRPr="00976C24">
        <w:rPr>
          <w:lang w:val="fr-FR"/>
        </w:rPr>
        <w:t xml:space="preserve"> une responsabilité accrue </w:t>
      </w:r>
      <w:r>
        <w:rPr>
          <w:lang w:val="fr-FR"/>
        </w:rPr>
        <w:t>de la société en la matière</w:t>
      </w:r>
      <w:r w:rsidRPr="00976C24">
        <w:rPr>
          <w:lang w:val="fr-FR"/>
        </w:rPr>
        <w:t xml:space="preserve">. </w:t>
      </w:r>
      <w:r>
        <w:rPr>
          <w:lang w:val="fr-FR"/>
        </w:rPr>
        <w:t>La</w:t>
      </w:r>
      <w:r w:rsidRPr="00976C24">
        <w:rPr>
          <w:lang w:val="fr-FR"/>
        </w:rPr>
        <w:t xml:space="preserve"> répartition équitable des ressources est </w:t>
      </w:r>
      <w:r>
        <w:rPr>
          <w:lang w:val="fr-FR"/>
        </w:rPr>
        <w:t>positive à cet égard</w:t>
      </w:r>
      <w:r w:rsidRPr="00976C24">
        <w:rPr>
          <w:lang w:val="fr-FR"/>
        </w:rPr>
        <w:t xml:space="preserve">. La défense de la santé publique </w:t>
      </w:r>
      <w:r>
        <w:rPr>
          <w:lang w:val="fr-FR"/>
        </w:rPr>
        <w:t>nécessite</w:t>
      </w:r>
      <w:r w:rsidRPr="00976C24">
        <w:rPr>
          <w:lang w:val="fr-FR"/>
        </w:rPr>
        <w:t xml:space="preserve"> des initiatives propres à assurer une répartition sociale plus juste des facteurs qui ont </w:t>
      </w:r>
      <w:r>
        <w:rPr>
          <w:lang w:val="fr-FR"/>
        </w:rPr>
        <w:t>une influence</w:t>
      </w:r>
      <w:r w:rsidRPr="00976C24">
        <w:rPr>
          <w:lang w:val="fr-FR"/>
        </w:rPr>
        <w:t xml:space="preserve"> sur la santé. </w:t>
      </w:r>
      <w:r>
        <w:rPr>
          <w:lang w:val="fr-FR"/>
        </w:rPr>
        <w:t>B</w:t>
      </w:r>
      <w:r w:rsidRPr="00976C24">
        <w:rPr>
          <w:lang w:val="fr-FR"/>
        </w:rPr>
        <w:t xml:space="preserve">ien des causes </w:t>
      </w:r>
      <w:r>
        <w:rPr>
          <w:lang w:val="fr-FR"/>
        </w:rPr>
        <w:t xml:space="preserve">expliquent les </w:t>
      </w:r>
      <w:r w:rsidRPr="00976C24">
        <w:rPr>
          <w:lang w:val="fr-FR"/>
        </w:rPr>
        <w:t>inégalités, depuis les facteurs de base tels que le mode de vie et l</w:t>
      </w:r>
      <w:r>
        <w:rPr>
          <w:lang w:val="fr-FR"/>
        </w:rPr>
        <w:t>a condition de l’enfance</w:t>
      </w:r>
      <w:r w:rsidRPr="00976C24">
        <w:rPr>
          <w:lang w:val="fr-FR"/>
        </w:rPr>
        <w:t>, en passant par les facteurs de risque comme l’environnement de travail et les conditions d</w:t>
      </w:r>
      <w:r>
        <w:rPr>
          <w:lang w:val="fr-FR"/>
        </w:rPr>
        <w:t>e vie</w:t>
      </w:r>
      <w:r w:rsidRPr="00976C24">
        <w:rPr>
          <w:lang w:val="fr-FR"/>
        </w:rPr>
        <w:t xml:space="preserve"> jusqu’à des causes plus directes comme l</w:t>
      </w:r>
      <w:r>
        <w:rPr>
          <w:lang w:val="fr-FR"/>
        </w:rPr>
        <w:t>’hygiène de vie</w:t>
      </w:r>
      <w:r w:rsidRPr="00976C24">
        <w:rPr>
          <w:lang w:val="fr-FR"/>
        </w:rPr>
        <w:t xml:space="preserve"> et l’accès local</w:t>
      </w:r>
      <w:r>
        <w:rPr>
          <w:lang w:val="fr-FR"/>
        </w:rPr>
        <w:t>/</w:t>
      </w:r>
      <w:r w:rsidRPr="00976C24">
        <w:rPr>
          <w:lang w:val="fr-FR"/>
        </w:rPr>
        <w:t xml:space="preserve">le recours </w:t>
      </w:r>
      <w:r>
        <w:rPr>
          <w:lang w:val="fr-FR"/>
        </w:rPr>
        <w:t>à des</w:t>
      </w:r>
      <w:r w:rsidRPr="00976C24">
        <w:rPr>
          <w:lang w:val="fr-FR"/>
        </w:rPr>
        <w:t xml:space="preserve"> services de santé. Les problèmes complexes appellent des solutions globales. </w:t>
      </w:r>
    </w:p>
    <w:p w:rsidR="00903547" w:rsidRPr="00976C24" w:rsidRDefault="00903547" w:rsidP="00A15920">
      <w:pPr>
        <w:pStyle w:val="SingleTxtG"/>
        <w:rPr>
          <w:lang w:val="fr-FR"/>
        </w:rPr>
      </w:pPr>
      <w:r>
        <w:rPr>
          <w:lang w:val="fr-FR"/>
        </w:rPr>
        <w:t>392.</w:t>
      </w:r>
      <w:r>
        <w:rPr>
          <w:lang w:val="fr-FR"/>
        </w:rPr>
        <w:tab/>
        <w:t>Dans le Rapport n</w:t>
      </w:r>
      <w:r w:rsidRPr="000A7EEA">
        <w:rPr>
          <w:vertAlign w:val="superscript"/>
          <w:lang w:val="fr-FR"/>
        </w:rPr>
        <w:t>o</w:t>
      </w:r>
      <w:r>
        <w:rPr>
          <w:lang w:val="fr-FR"/>
        </w:rPr>
        <w:t> </w:t>
      </w:r>
      <w:r w:rsidRPr="00976C24">
        <w:rPr>
          <w:lang w:val="fr-FR"/>
        </w:rPr>
        <w:t>20 (2006</w:t>
      </w:r>
      <w:r>
        <w:rPr>
          <w:lang w:val="fr-FR"/>
        </w:rPr>
        <w:t>-</w:t>
      </w:r>
      <w:r w:rsidRPr="00976C24">
        <w:rPr>
          <w:lang w:val="fr-FR"/>
        </w:rPr>
        <w:t xml:space="preserve">2007) au </w:t>
      </w:r>
      <w:r w:rsidRPr="00B52B8E">
        <w:rPr>
          <w:i/>
          <w:lang w:val="fr-FR"/>
        </w:rPr>
        <w:t>Storting</w:t>
      </w:r>
      <w:r w:rsidRPr="00976C24">
        <w:rPr>
          <w:lang w:val="fr-FR"/>
        </w:rPr>
        <w:t xml:space="preserve">, </w:t>
      </w:r>
      <w:r>
        <w:rPr>
          <w:lang w:val="fr-FR"/>
        </w:rPr>
        <w:t>l</w:t>
      </w:r>
      <w:r w:rsidRPr="00976C24">
        <w:rPr>
          <w:lang w:val="fr-FR"/>
        </w:rPr>
        <w:t xml:space="preserve">e Gouvernement </w:t>
      </w:r>
      <w:r>
        <w:rPr>
          <w:lang w:val="fr-FR"/>
        </w:rPr>
        <w:t>norvégien a</w:t>
      </w:r>
      <w:r w:rsidRPr="00976C24">
        <w:rPr>
          <w:lang w:val="fr-FR"/>
        </w:rPr>
        <w:t xml:space="preserve"> présenté une stratégie axée sur les quatre domaines prioritaires suivants</w:t>
      </w:r>
      <w:r>
        <w:rPr>
          <w:lang w:val="fr-FR"/>
        </w:rPr>
        <w:t xml:space="preserve"> et</w:t>
      </w:r>
      <w:r w:rsidRPr="00976C24">
        <w:rPr>
          <w:lang w:val="fr-FR"/>
        </w:rPr>
        <w:t xml:space="preserve"> </w:t>
      </w:r>
      <w:r>
        <w:rPr>
          <w:lang w:val="fr-FR"/>
        </w:rPr>
        <w:t>qui tient compte de la nécessité d’une approche globale:</w:t>
      </w:r>
      <w:r w:rsidRPr="00976C24">
        <w:rPr>
          <w:lang w:val="fr-FR"/>
        </w:rPr>
        <w:t xml:space="preserve"> 1)</w:t>
      </w:r>
      <w:r>
        <w:rPr>
          <w:lang w:val="fr-FR"/>
        </w:rPr>
        <w:t> </w:t>
      </w:r>
      <w:r w:rsidRPr="00976C24">
        <w:rPr>
          <w:lang w:val="fr-FR"/>
        </w:rPr>
        <w:t xml:space="preserve">Réduire les inégalités sociales qui </w:t>
      </w:r>
      <w:r>
        <w:rPr>
          <w:lang w:val="fr-FR"/>
        </w:rPr>
        <w:t>induisent des</w:t>
      </w:r>
      <w:r w:rsidRPr="00976C24">
        <w:rPr>
          <w:lang w:val="fr-FR"/>
        </w:rPr>
        <w:t xml:space="preserve"> inégalités en matière de santé, 2)</w:t>
      </w:r>
      <w:r>
        <w:rPr>
          <w:lang w:val="fr-FR"/>
        </w:rPr>
        <w:t> </w:t>
      </w:r>
      <w:r w:rsidRPr="00976C24">
        <w:rPr>
          <w:lang w:val="fr-FR"/>
        </w:rPr>
        <w:t xml:space="preserve">Réduire les inégalité sociales </w:t>
      </w:r>
      <w:r>
        <w:rPr>
          <w:lang w:val="fr-FR"/>
        </w:rPr>
        <w:t xml:space="preserve">en matière d’hygiène de vie </w:t>
      </w:r>
      <w:r w:rsidRPr="00976C24">
        <w:rPr>
          <w:lang w:val="fr-FR"/>
        </w:rPr>
        <w:t>et d’utilisation des services de santé, 3)</w:t>
      </w:r>
      <w:r>
        <w:rPr>
          <w:lang w:val="fr-FR"/>
        </w:rPr>
        <w:t> Lancer des i</w:t>
      </w:r>
      <w:r w:rsidRPr="00976C24">
        <w:rPr>
          <w:lang w:val="fr-FR"/>
        </w:rPr>
        <w:t xml:space="preserve">nitiatives ciblées </w:t>
      </w:r>
      <w:r>
        <w:rPr>
          <w:lang w:val="fr-FR"/>
        </w:rPr>
        <w:t>en faveur de</w:t>
      </w:r>
      <w:r w:rsidRPr="00976C24">
        <w:rPr>
          <w:lang w:val="fr-FR"/>
        </w:rPr>
        <w:t xml:space="preserve"> l’inclusion sociale et 4)</w:t>
      </w:r>
      <w:r>
        <w:rPr>
          <w:lang w:val="fr-FR"/>
        </w:rPr>
        <w:t> </w:t>
      </w:r>
      <w:r w:rsidRPr="00976C24">
        <w:rPr>
          <w:lang w:val="fr-FR"/>
        </w:rPr>
        <w:t>Développer le</w:t>
      </w:r>
      <w:r>
        <w:rPr>
          <w:lang w:val="fr-FR"/>
        </w:rPr>
        <w:t>s connaissances</w:t>
      </w:r>
      <w:r w:rsidRPr="00976C24">
        <w:rPr>
          <w:lang w:val="fr-FR"/>
        </w:rPr>
        <w:t xml:space="preserve"> et des instruments intersectoriels. </w:t>
      </w:r>
    </w:p>
    <w:p w:rsidR="00903547" w:rsidRPr="00976C24" w:rsidRDefault="00903547" w:rsidP="00A15920">
      <w:pPr>
        <w:pStyle w:val="SingleTxtG"/>
        <w:rPr>
          <w:lang w:val="fr-FR"/>
        </w:rPr>
      </w:pPr>
      <w:r>
        <w:rPr>
          <w:lang w:val="fr-FR"/>
        </w:rPr>
        <w:t>393.</w:t>
      </w:r>
      <w:r>
        <w:rPr>
          <w:lang w:val="fr-FR"/>
        </w:rPr>
        <w:tab/>
        <w:t>Le rôle</w:t>
      </w:r>
      <w:r w:rsidRPr="00976C24">
        <w:rPr>
          <w:lang w:val="fr-FR"/>
        </w:rPr>
        <w:t xml:space="preserve"> du médiateur pour les patients est de défendre les besoins, les intérêts et les droits de tous les usage</w:t>
      </w:r>
      <w:r>
        <w:rPr>
          <w:lang w:val="fr-FR"/>
        </w:rPr>
        <w:t>r</w:t>
      </w:r>
      <w:r w:rsidRPr="00976C24">
        <w:rPr>
          <w:lang w:val="fr-FR"/>
        </w:rPr>
        <w:t>s des services de soins de santé et des services sociaux norvégiens et d’améliorer la qualité de ces services. Depuis 2009, le</w:t>
      </w:r>
      <w:r>
        <w:rPr>
          <w:lang w:val="fr-FR"/>
        </w:rPr>
        <w:t xml:space="preserve"> mandat</w:t>
      </w:r>
      <w:r w:rsidRPr="00976C24">
        <w:rPr>
          <w:lang w:val="fr-FR"/>
        </w:rPr>
        <w:t xml:space="preserve"> du médiateur </w:t>
      </w:r>
      <w:r>
        <w:rPr>
          <w:lang w:val="fr-FR"/>
        </w:rPr>
        <w:t>couvre</w:t>
      </w:r>
      <w:r w:rsidRPr="00976C24">
        <w:rPr>
          <w:lang w:val="fr-FR"/>
        </w:rPr>
        <w:t xml:space="preserve"> les services de soins de santé primaires et les services sociaux</w:t>
      </w:r>
      <w:r>
        <w:rPr>
          <w:lang w:val="fr-FR"/>
        </w:rPr>
        <w:t xml:space="preserve"> mais ne concerne pas </w:t>
      </w:r>
      <w:r w:rsidRPr="00976C24">
        <w:rPr>
          <w:lang w:val="fr-FR"/>
        </w:rPr>
        <w:t>les questions relatives aux prestations sociales.</w:t>
      </w:r>
    </w:p>
    <w:p w:rsidR="00903547" w:rsidRPr="00976C24" w:rsidRDefault="00903547" w:rsidP="0071086E">
      <w:pPr>
        <w:pStyle w:val="H23G"/>
        <w:rPr>
          <w:lang w:val="fr-FR"/>
        </w:rPr>
      </w:pPr>
      <w:r w:rsidRPr="00976C24">
        <w:rPr>
          <w:lang w:val="fr-FR"/>
        </w:rPr>
        <w:tab/>
        <w:t>3.</w:t>
      </w:r>
      <w:r w:rsidRPr="00976C24">
        <w:rPr>
          <w:lang w:val="fr-FR"/>
        </w:rPr>
        <w:tab/>
        <w:t>Mesures prises pour assurer que le coût des services de santé et de l’assurance santé, qu’ils soient fournis par le secteur privé ou par le secteur public, soit abordable pour tous, y compris pour les groupes socialement défavorisés (E/2009/22-E/C.12/2008/3, annexe VIII, par.</w:t>
      </w:r>
      <w:r>
        <w:rPr>
          <w:lang w:val="fr-FR"/>
        </w:rPr>
        <w:t> </w:t>
      </w:r>
      <w:r w:rsidRPr="00976C24">
        <w:rPr>
          <w:lang w:val="fr-FR"/>
        </w:rPr>
        <w:t>56 b))</w:t>
      </w:r>
    </w:p>
    <w:p w:rsidR="00903547" w:rsidRPr="00976C24" w:rsidRDefault="00903547" w:rsidP="00A15920">
      <w:pPr>
        <w:pStyle w:val="SingleTxtG"/>
        <w:rPr>
          <w:lang w:val="fr-FR"/>
        </w:rPr>
      </w:pPr>
      <w:r>
        <w:rPr>
          <w:lang w:val="fr-FR"/>
        </w:rPr>
        <w:t>394.</w:t>
      </w:r>
      <w:r>
        <w:rPr>
          <w:lang w:val="fr-FR"/>
        </w:rPr>
        <w:tab/>
      </w:r>
      <w:r w:rsidRPr="00976C24">
        <w:rPr>
          <w:lang w:val="fr-FR"/>
        </w:rPr>
        <w:t xml:space="preserve">Les services de santé publique sont gratuits pour tous les </w:t>
      </w:r>
      <w:r>
        <w:rPr>
          <w:lang w:val="fr-FR"/>
        </w:rPr>
        <w:t>ressortissants norvégiens</w:t>
      </w:r>
      <w:r w:rsidRPr="00976C24">
        <w:rPr>
          <w:lang w:val="fr-FR"/>
        </w:rPr>
        <w:t>. Le</w:t>
      </w:r>
      <w:r>
        <w:rPr>
          <w:lang w:val="fr-FR"/>
        </w:rPr>
        <w:t>s</w:t>
      </w:r>
      <w:r w:rsidRPr="00976C24">
        <w:rPr>
          <w:lang w:val="fr-FR"/>
        </w:rPr>
        <w:t xml:space="preserve"> soins de santé spécialisés </w:t>
      </w:r>
      <w:r>
        <w:rPr>
          <w:lang w:val="fr-FR"/>
        </w:rPr>
        <w:t>sont</w:t>
      </w:r>
      <w:r w:rsidRPr="00976C24">
        <w:rPr>
          <w:lang w:val="fr-FR"/>
        </w:rPr>
        <w:t xml:space="preserve"> pris en charge par l’</w:t>
      </w:r>
      <w:r>
        <w:rPr>
          <w:lang w:val="fr-FR"/>
        </w:rPr>
        <w:t>État</w:t>
      </w:r>
      <w:r w:rsidRPr="00976C24">
        <w:rPr>
          <w:lang w:val="fr-FR"/>
        </w:rPr>
        <w:t xml:space="preserve">. Ceci </w:t>
      </w:r>
      <w:r>
        <w:rPr>
          <w:lang w:val="fr-FR"/>
        </w:rPr>
        <w:t>vaut</w:t>
      </w:r>
      <w:r w:rsidRPr="00976C24">
        <w:rPr>
          <w:lang w:val="fr-FR"/>
        </w:rPr>
        <w:t xml:space="preserve"> également </w:t>
      </w:r>
      <w:r>
        <w:rPr>
          <w:lang w:val="fr-FR"/>
        </w:rPr>
        <w:t>pour les</w:t>
      </w:r>
      <w:r w:rsidRPr="00976C24">
        <w:rPr>
          <w:lang w:val="fr-FR"/>
        </w:rPr>
        <w:t xml:space="preserve"> services privés si le patient est en droit</w:t>
      </w:r>
      <w:r>
        <w:rPr>
          <w:lang w:val="fr-FR"/>
        </w:rPr>
        <w:t xml:space="preserve"> de recevoir d</w:t>
      </w:r>
      <w:r w:rsidRPr="00976C24">
        <w:rPr>
          <w:lang w:val="fr-FR"/>
        </w:rPr>
        <w:t xml:space="preserve">es soins de santé spécialisés </w:t>
      </w:r>
      <w:r>
        <w:rPr>
          <w:lang w:val="fr-FR"/>
        </w:rPr>
        <w:t>alors que le</w:t>
      </w:r>
      <w:r w:rsidRPr="00976C24">
        <w:rPr>
          <w:lang w:val="fr-FR"/>
        </w:rPr>
        <w:t xml:space="preserve"> traitement ne peut être </w:t>
      </w:r>
      <w:r>
        <w:rPr>
          <w:lang w:val="fr-FR"/>
        </w:rPr>
        <w:t>assuré</w:t>
      </w:r>
      <w:r w:rsidRPr="00976C24">
        <w:rPr>
          <w:lang w:val="fr-FR"/>
        </w:rPr>
        <w:t xml:space="preserve"> par les hôpitaux publics. S’agissant des soins de santé primaires, les patients règlent habituellement une faible part du coût. Les médicaments ne sont pas gratuits mais sont remboursés s’ils </w:t>
      </w:r>
      <w:r>
        <w:rPr>
          <w:lang w:val="fr-FR"/>
        </w:rPr>
        <w:t>portent une</w:t>
      </w:r>
      <w:r w:rsidRPr="00976C24">
        <w:rPr>
          <w:lang w:val="fr-FR"/>
        </w:rPr>
        <w:t xml:space="preserve"> vignette ble</w:t>
      </w:r>
      <w:r>
        <w:rPr>
          <w:lang w:val="fr-FR"/>
        </w:rPr>
        <w:t>ue. Les dépenses engagées pour d</w:t>
      </w:r>
      <w:r w:rsidRPr="00976C24">
        <w:rPr>
          <w:lang w:val="fr-FR"/>
        </w:rPr>
        <w:t xml:space="preserve">es soins médicaux </w:t>
      </w:r>
      <w:r>
        <w:rPr>
          <w:lang w:val="fr-FR"/>
        </w:rPr>
        <w:t>au-delà d’</w:t>
      </w:r>
      <w:r w:rsidRPr="00976C24">
        <w:rPr>
          <w:lang w:val="fr-FR"/>
        </w:rPr>
        <w:t xml:space="preserve">un certain </w:t>
      </w:r>
      <w:r>
        <w:rPr>
          <w:lang w:val="fr-FR"/>
        </w:rPr>
        <w:t>plafond</w:t>
      </w:r>
      <w:r w:rsidRPr="00976C24">
        <w:rPr>
          <w:lang w:val="fr-FR"/>
        </w:rPr>
        <w:t xml:space="preserve"> annuel sont couvert</w:t>
      </w:r>
      <w:r>
        <w:rPr>
          <w:lang w:val="fr-FR"/>
        </w:rPr>
        <w:t>e</w:t>
      </w:r>
      <w:r w:rsidRPr="00976C24">
        <w:rPr>
          <w:lang w:val="fr-FR"/>
        </w:rPr>
        <w:t xml:space="preserve">s par le régime d’assurance national, notamment pour garantir des coûts abordables </w:t>
      </w:r>
      <w:r>
        <w:rPr>
          <w:lang w:val="fr-FR"/>
        </w:rPr>
        <w:t>aux</w:t>
      </w:r>
      <w:r w:rsidRPr="00976C24">
        <w:rPr>
          <w:lang w:val="fr-FR"/>
        </w:rPr>
        <w:t xml:space="preserve"> p</w:t>
      </w:r>
      <w:r>
        <w:rPr>
          <w:lang w:val="fr-FR"/>
        </w:rPr>
        <w:t>ersonnes qui ont besoin</w:t>
      </w:r>
      <w:r w:rsidRPr="00976C24">
        <w:rPr>
          <w:lang w:val="fr-FR"/>
        </w:rPr>
        <w:t xml:space="preserve"> de soins </w:t>
      </w:r>
      <w:r>
        <w:rPr>
          <w:lang w:val="fr-FR"/>
        </w:rPr>
        <w:t xml:space="preserve">réguliers </w:t>
      </w:r>
      <w:r w:rsidRPr="00976C24">
        <w:rPr>
          <w:lang w:val="fr-FR"/>
        </w:rPr>
        <w:t>ou disposent d’un faible revenu.</w:t>
      </w:r>
    </w:p>
    <w:p w:rsidR="00903547" w:rsidRPr="00976C24" w:rsidRDefault="00903547" w:rsidP="00A15920">
      <w:pPr>
        <w:pStyle w:val="SingleTxtG"/>
        <w:rPr>
          <w:lang w:val="fr-FR"/>
        </w:rPr>
      </w:pPr>
      <w:r>
        <w:rPr>
          <w:lang w:val="fr-FR"/>
        </w:rPr>
        <w:t>395.</w:t>
      </w:r>
      <w:r>
        <w:rPr>
          <w:lang w:val="fr-FR"/>
        </w:rPr>
        <w:tab/>
      </w:r>
      <w:r w:rsidRPr="00976C24">
        <w:rPr>
          <w:lang w:val="fr-FR"/>
        </w:rPr>
        <w:t xml:space="preserve">Les personnes séjournant en Norvège qui ne sont pas couvertes par le régime d’assurance national ou un accord de réciprocité correspondant conclu avec un autre pays doivent </w:t>
      </w:r>
      <w:r>
        <w:rPr>
          <w:lang w:val="fr-FR"/>
        </w:rPr>
        <w:t>régler</w:t>
      </w:r>
      <w:r w:rsidRPr="00976C24">
        <w:rPr>
          <w:lang w:val="fr-FR"/>
        </w:rPr>
        <w:t xml:space="preserve"> leur traitement médical. Ceci concerne également les immigrés en situation irrégulière. Il est toutefois interdit de refuser des soins de santé à une personne </w:t>
      </w:r>
      <w:r>
        <w:rPr>
          <w:lang w:val="fr-FR"/>
        </w:rPr>
        <w:t>au motif qu’elle</w:t>
      </w:r>
      <w:r w:rsidRPr="00976C24">
        <w:rPr>
          <w:lang w:val="fr-FR"/>
        </w:rPr>
        <w:t xml:space="preserve"> ne serait pas en mesure de les payer.</w:t>
      </w:r>
    </w:p>
    <w:p w:rsidR="00903547" w:rsidRPr="00976C24" w:rsidRDefault="00903547" w:rsidP="0071086E">
      <w:pPr>
        <w:pStyle w:val="H23G"/>
        <w:rPr>
          <w:lang w:val="fr-FR"/>
        </w:rPr>
      </w:pPr>
      <w:r w:rsidRPr="00976C24">
        <w:rPr>
          <w:lang w:val="fr-FR"/>
        </w:rPr>
        <w:tab/>
        <w:t>4.</w:t>
      </w:r>
      <w:r w:rsidRPr="00976C24">
        <w:rPr>
          <w:lang w:val="fr-FR"/>
        </w:rPr>
        <w:tab/>
        <w:t>Mesures prises pour faire en sorte que les médicaments et le matériel hospitalier soient approuvés par les instances scientifiques et ne soient pas périmés, ou qu’ils n’aient pas perdu leur efficacité (E/2009/22-E/C.12/2008/3, annexe VIII, par.</w:t>
      </w:r>
      <w:r>
        <w:rPr>
          <w:lang w:val="fr-FR"/>
        </w:rPr>
        <w:t> </w:t>
      </w:r>
      <w:r w:rsidRPr="00976C24">
        <w:rPr>
          <w:lang w:val="fr-FR"/>
        </w:rPr>
        <w:t>56 c))</w:t>
      </w:r>
    </w:p>
    <w:p w:rsidR="00903547" w:rsidRPr="00976C24" w:rsidRDefault="00903547" w:rsidP="00A15920">
      <w:pPr>
        <w:pStyle w:val="SingleTxtG"/>
        <w:rPr>
          <w:lang w:val="fr-FR"/>
        </w:rPr>
      </w:pPr>
      <w:r>
        <w:rPr>
          <w:lang w:val="fr-FR"/>
        </w:rPr>
        <w:t>396.</w:t>
      </w:r>
      <w:r>
        <w:rPr>
          <w:lang w:val="fr-FR"/>
        </w:rPr>
        <w:tab/>
      </w:r>
      <w:r w:rsidRPr="00976C24">
        <w:rPr>
          <w:lang w:val="fr-FR"/>
        </w:rPr>
        <w:t xml:space="preserve">L’Agence norvégienne des médicaments est l’autorité de contrôle des </w:t>
      </w:r>
      <w:r>
        <w:rPr>
          <w:lang w:val="fr-FR"/>
        </w:rPr>
        <w:t xml:space="preserve">nouveaux médicaments et des </w:t>
      </w:r>
      <w:r w:rsidRPr="00976C24">
        <w:rPr>
          <w:lang w:val="fr-FR"/>
        </w:rPr>
        <w:t xml:space="preserve">médicaments </w:t>
      </w:r>
      <w:r>
        <w:rPr>
          <w:lang w:val="fr-FR"/>
        </w:rPr>
        <w:t>déjà sur le marché, ainsi que</w:t>
      </w:r>
      <w:r w:rsidRPr="00976C24">
        <w:rPr>
          <w:lang w:val="fr-FR"/>
        </w:rPr>
        <w:t xml:space="preserve"> </w:t>
      </w:r>
      <w:r>
        <w:rPr>
          <w:lang w:val="fr-FR"/>
        </w:rPr>
        <w:t xml:space="preserve">de </w:t>
      </w:r>
      <w:r w:rsidRPr="00976C24">
        <w:rPr>
          <w:lang w:val="fr-FR"/>
        </w:rPr>
        <w:t xml:space="preserve">la chaîne d’approvisionnement. Elle est chargée de superviser la production, les </w:t>
      </w:r>
      <w:r>
        <w:rPr>
          <w:lang w:val="fr-FR"/>
        </w:rPr>
        <w:t>tests</w:t>
      </w:r>
      <w:r w:rsidRPr="00976C24">
        <w:rPr>
          <w:lang w:val="fr-FR"/>
        </w:rPr>
        <w:t xml:space="preserve"> et la mise sur le marché de</w:t>
      </w:r>
      <w:r>
        <w:rPr>
          <w:lang w:val="fr-FR"/>
        </w:rPr>
        <w:t>s médicaments. Elle autorise leur commercialisation</w:t>
      </w:r>
      <w:r w:rsidRPr="00976C24">
        <w:rPr>
          <w:lang w:val="fr-FR"/>
        </w:rPr>
        <w:t xml:space="preserve"> et suit leur utilisation.</w:t>
      </w:r>
    </w:p>
    <w:p w:rsidR="00903547" w:rsidRPr="00976C24" w:rsidRDefault="00903547" w:rsidP="0071086E">
      <w:pPr>
        <w:pStyle w:val="H23G"/>
        <w:rPr>
          <w:lang w:val="fr-FR"/>
        </w:rPr>
      </w:pPr>
      <w:r w:rsidRPr="00976C24">
        <w:rPr>
          <w:lang w:val="fr-FR"/>
        </w:rPr>
        <w:tab/>
        <w:t>5.</w:t>
      </w:r>
      <w:r w:rsidRPr="00976C24">
        <w:rPr>
          <w:lang w:val="fr-FR"/>
        </w:rPr>
        <w:tab/>
        <w:t xml:space="preserve">Organisation d’une formation appropriée </w:t>
      </w:r>
      <w:r>
        <w:rPr>
          <w:lang w:val="fr-FR"/>
        </w:rPr>
        <w:t>pour le</w:t>
      </w:r>
      <w:r w:rsidRPr="00976C24">
        <w:rPr>
          <w:lang w:val="fr-FR"/>
        </w:rPr>
        <w:t xml:space="preserve"> personnel de santé, notamment sur le droit à la santé et les droits de l’homme (E/2009/22-E/C.12/2008/3, annexe VIII, par.</w:t>
      </w:r>
      <w:r>
        <w:rPr>
          <w:lang w:val="fr-FR"/>
        </w:rPr>
        <w:t> </w:t>
      </w:r>
      <w:r w:rsidRPr="00976C24">
        <w:rPr>
          <w:lang w:val="fr-FR"/>
        </w:rPr>
        <w:t>56 d))</w:t>
      </w:r>
    </w:p>
    <w:p w:rsidR="00903547" w:rsidRPr="00976C24" w:rsidRDefault="00903547" w:rsidP="00A15920">
      <w:pPr>
        <w:pStyle w:val="SingleTxtG"/>
        <w:rPr>
          <w:lang w:val="fr-FR"/>
        </w:rPr>
      </w:pPr>
      <w:r>
        <w:rPr>
          <w:lang w:val="fr-FR"/>
        </w:rPr>
        <w:t>397.</w:t>
      </w:r>
      <w:r>
        <w:rPr>
          <w:lang w:val="fr-FR"/>
        </w:rPr>
        <w:tab/>
      </w:r>
      <w:r w:rsidRPr="00976C24">
        <w:rPr>
          <w:lang w:val="fr-FR"/>
        </w:rPr>
        <w:t xml:space="preserve">Les </w:t>
      </w:r>
      <w:r>
        <w:rPr>
          <w:lang w:val="fr-FR"/>
        </w:rPr>
        <w:t>programmes de formation organisés en direction du</w:t>
      </w:r>
      <w:r w:rsidRPr="00976C24">
        <w:rPr>
          <w:lang w:val="fr-FR"/>
        </w:rPr>
        <w:t xml:space="preserve"> personnel de santé sont en cour</w:t>
      </w:r>
      <w:r>
        <w:rPr>
          <w:lang w:val="fr-FR"/>
        </w:rPr>
        <w:t>s</w:t>
      </w:r>
      <w:r w:rsidRPr="00976C24">
        <w:rPr>
          <w:lang w:val="fr-FR"/>
        </w:rPr>
        <w:t xml:space="preserve"> de révisio</w:t>
      </w:r>
      <w:r>
        <w:rPr>
          <w:lang w:val="fr-FR"/>
        </w:rPr>
        <w:t xml:space="preserve">n par les autorités sanitaires dans la perspective de l’évolution prévue ou éventuelle des </w:t>
      </w:r>
      <w:r w:rsidRPr="00976C24">
        <w:rPr>
          <w:lang w:val="fr-FR"/>
        </w:rPr>
        <w:t xml:space="preserve">besoins </w:t>
      </w:r>
      <w:r>
        <w:rPr>
          <w:lang w:val="fr-FR"/>
        </w:rPr>
        <w:t>en personnel</w:t>
      </w:r>
      <w:r w:rsidRPr="00976C24">
        <w:rPr>
          <w:lang w:val="fr-FR"/>
        </w:rPr>
        <w:t xml:space="preserve">. Les instituts de formation sont tenus de transmettre aux </w:t>
      </w:r>
      <w:r>
        <w:rPr>
          <w:lang w:val="fr-FR"/>
        </w:rPr>
        <w:t>étudiants</w:t>
      </w:r>
      <w:r w:rsidRPr="00976C24">
        <w:rPr>
          <w:lang w:val="fr-FR"/>
        </w:rPr>
        <w:t xml:space="preserve"> les compétences </w:t>
      </w:r>
      <w:r>
        <w:rPr>
          <w:lang w:val="fr-FR"/>
        </w:rPr>
        <w:t>requises pour obtenir l’autorisation d’</w:t>
      </w:r>
      <w:r w:rsidRPr="00976C24">
        <w:rPr>
          <w:lang w:val="fr-FR"/>
        </w:rPr>
        <w:t xml:space="preserve">exercer. La déontologie et la participation des usagers font partie intégrante des programmes d’éducation sanitaire. </w:t>
      </w:r>
    </w:p>
    <w:p w:rsidR="00903547" w:rsidRPr="00976C24" w:rsidRDefault="00903547" w:rsidP="0071086E">
      <w:pPr>
        <w:pStyle w:val="H23G"/>
        <w:rPr>
          <w:lang w:val="fr-FR"/>
        </w:rPr>
      </w:pPr>
      <w:r w:rsidRPr="00976C24">
        <w:rPr>
          <w:lang w:val="fr-FR"/>
        </w:rPr>
        <w:tab/>
        <w:t>6.</w:t>
      </w:r>
      <w:r w:rsidRPr="00976C24">
        <w:rPr>
          <w:lang w:val="fr-FR"/>
        </w:rPr>
        <w:tab/>
        <w:t>Mesures prises pour améliorer les soins de santé infantile et maternelle ainsi que les services et programmes de santé de la sexualité et de la procréation (E/2009/22-E/C.12/2008/3, annexe VIII, par.</w:t>
      </w:r>
      <w:r>
        <w:rPr>
          <w:lang w:val="fr-FR"/>
        </w:rPr>
        <w:t> </w:t>
      </w:r>
      <w:r w:rsidRPr="00976C24">
        <w:rPr>
          <w:lang w:val="fr-FR"/>
        </w:rPr>
        <w:t>57 a))</w:t>
      </w:r>
    </w:p>
    <w:p w:rsidR="00903547" w:rsidRPr="00976C24" w:rsidRDefault="00903547" w:rsidP="00A15920">
      <w:pPr>
        <w:pStyle w:val="SingleTxtG"/>
        <w:rPr>
          <w:lang w:val="fr-FR"/>
        </w:rPr>
      </w:pPr>
      <w:r>
        <w:rPr>
          <w:lang w:val="fr-FR"/>
        </w:rPr>
        <w:t>398.</w:t>
      </w:r>
      <w:r>
        <w:rPr>
          <w:lang w:val="fr-FR"/>
        </w:rPr>
        <w:tab/>
      </w:r>
      <w:r w:rsidRPr="00976C24">
        <w:rPr>
          <w:lang w:val="fr-FR"/>
        </w:rPr>
        <w:t xml:space="preserve">En juin 2001, la Norvège a mis en place un programme permettant à </w:t>
      </w:r>
      <w:r>
        <w:rPr>
          <w:lang w:val="fr-FR"/>
        </w:rPr>
        <w:t xml:space="preserve">l’ensemble de la population </w:t>
      </w:r>
      <w:r w:rsidRPr="00976C24">
        <w:rPr>
          <w:lang w:val="fr-FR"/>
        </w:rPr>
        <w:t xml:space="preserve">d’avoir </w:t>
      </w:r>
      <w:r>
        <w:rPr>
          <w:lang w:val="fr-FR"/>
        </w:rPr>
        <w:t>un</w:t>
      </w:r>
      <w:r w:rsidRPr="00976C24">
        <w:rPr>
          <w:lang w:val="fr-FR"/>
        </w:rPr>
        <w:t xml:space="preserve"> médecin </w:t>
      </w:r>
      <w:r>
        <w:rPr>
          <w:lang w:val="fr-FR"/>
        </w:rPr>
        <w:t>généraliste référent</w:t>
      </w:r>
      <w:r w:rsidRPr="00976C24">
        <w:rPr>
          <w:lang w:val="fr-FR"/>
        </w:rPr>
        <w:t xml:space="preserve">. Les médecins généralistes </w:t>
      </w:r>
      <w:r>
        <w:rPr>
          <w:lang w:val="fr-FR"/>
        </w:rPr>
        <w:t>offrent</w:t>
      </w:r>
      <w:r w:rsidRPr="00976C24">
        <w:rPr>
          <w:lang w:val="fr-FR"/>
        </w:rPr>
        <w:t xml:space="preserve"> à leurs patients des services de santé sexuelle et génésique, y compris en matière de planification familiale. </w:t>
      </w:r>
    </w:p>
    <w:p w:rsidR="00903547" w:rsidRPr="00976C24" w:rsidRDefault="00903547" w:rsidP="00A15920">
      <w:pPr>
        <w:pStyle w:val="SingleTxtG"/>
        <w:rPr>
          <w:lang w:val="fr-FR"/>
        </w:rPr>
      </w:pPr>
      <w:r>
        <w:rPr>
          <w:lang w:val="fr-FR"/>
        </w:rPr>
        <w:t>399.</w:t>
      </w:r>
      <w:r>
        <w:rPr>
          <w:lang w:val="fr-FR"/>
        </w:rPr>
        <w:tab/>
      </w:r>
      <w:r w:rsidRPr="00976C24">
        <w:rPr>
          <w:lang w:val="fr-FR"/>
        </w:rPr>
        <w:t>Les infirmières et sages-femmes publiques employées dans des centres de santé pour adolescents dispensent des services de santé sexuelle et génésique</w:t>
      </w:r>
      <w:r>
        <w:rPr>
          <w:lang w:val="fr-FR"/>
        </w:rPr>
        <w:t>, y compris en  matière de planification familiale</w:t>
      </w:r>
      <w:r w:rsidRPr="00976C24">
        <w:rPr>
          <w:lang w:val="fr-FR"/>
        </w:rPr>
        <w:t xml:space="preserve">. Les filles âgées de 16 à 19 ans ont droit à des contraceptifs oraux subventionnés. </w:t>
      </w:r>
    </w:p>
    <w:p w:rsidR="00903547" w:rsidRPr="00976C24" w:rsidRDefault="00903547" w:rsidP="00A15920">
      <w:pPr>
        <w:pStyle w:val="SingleTxtG"/>
        <w:rPr>
          <w:lang w:val="fr-FR"/>
        </w:rPr>
      </w:pPr>
      <w:r>
        <w:rPr>
          <w:lang w:val="fr-FR"/>
        </w:rPr>
        <w:t>400.</w:t>
      </w:r>
      <w:r>
        <w:rPr>
          <w:lang w:val="fr-FR"/>
        </w:rPr>
        <w:tab/>
      </w:r>
      <w:r w:rsidRPr="00976C24">
        <w:rPr>
          <w:lang w:val="fr-FR"/>
        </w:rPr>
        <w:t>La Norvège met régulièrement en œuvre des plans d’action en faveur de la santé sexuelle et génésique. Le plan d’action pour 2010</w:t>
      </w:r>
      <w:r>
        <w:rPr>
          <w:lang w:val="fr-FR"/>
        </w:rPr>
        <w:t>-</w:t>
      </w:r>
      <w:r w:rsidRPr="00976C24">
        <w:rPr>
          <w:lang w:val="fr-FR"/>
        </w:rPr>
        <w:t xml:space="preserve">2015 comporte un </w:t>
      </w:r>
      <w:r>
        <w:rPr>
          <w:lang w:val="fr-FR"/>
        </w:rPr>
        <w:t>volet</w:t>
      </w:r>
      <w:r w:rsidRPr="00976C24">
        <w:rPr>
          <w:lang w:val="fr-FR"/>
        </w:rPr>
        <w:t xml:space="preserve"> de mesures visant à prévenir les grossesses non désirées et les avortements, qui cible les jeunes, les adultes et les groupes ayant des besoins spéciaux. Le</w:t>
      </w:r>
      <w:r>
        <w:rPr>
          <w:lang w:val="fr-FR"/>
        </w:rPr>
        <w:t>s municipalités en assurent la mise en œuvre</w:t>
      </w:r>
      <w:r w:rsidRPr="00976C24">
        <w:rPr>
          <w:lang w:val="fr-FR"/>
        </w:rPr>
        <w:t xml:space="preserve">. </w:t>
      </w:r>
    </w:p>
    <w:p w:rsidR="00903547" w:rsidRPr="00976C24" w:rsidRDefault="00903547" w:rsidP="0071086E">
      <w:pPr>
        <w:pStyle w:val="H23G"/>
        <w:rPr>
          <w:lang w:val="fr-FR"/>
        </w:rPr>
      </w:pPr>
      <w:r w:rsidRPr="00976C24">
        <w:rPr>
          <w:lang w:val="fr-FR"/>
        </w:rPr>
        <w:tab/>
        <w:t>7.</w:t>
      </w:r>
      <w:r w:rsidRPr="00976C24">
        <w:rPr>
          <w:lang w:val="fr-FR"/>
        </w:rPr>
        <w:tab/>
        <w:t>Mesures prises pour prévenir, traiter et combattre les maladies d’origine hydrique et assurer l’accès à des installations d’assainissement adéquates (E/2009/22-E/C.12/2008/3, annexe VIII, par.</w:t>
      </w:r>
      <w:r>
        <w:rPr>
          <w:lang w:val="fr-FR"/>
        </w:rPr>
        <w:t> </w:t>
      </w:r>
      <w:r w:rsidRPr="00976C24">
        <w:rPr>
          <w:lang w:val="fr-FR"/>
        </w:rPr>
        <w:t xml:space="preserve">57 b)) </w:t>
      </w:r>
    </w:p>
    <w:p w:rsidR="00903547" w:rsidRPr="00976C24" w:rsidRDefault="00903547" w:rsidP="00A15920">
      <w:pPr>
        <w:pStyle w:val="SingleTxtG"/>
        <w:rPr>
          <w:lang w:val="fr-FR"/>
        </w:rPr>
      </w:pPr>
      <w:r>
        <w:rPr>
          <w:lang w:val="fr-FR"/>
        </w:rPr>
        <w:t>401.</w:t>
      </w:r>
      <w:r>
        <w:rPr>
          <w:lang w:val="fr-FR"/>
        </w:rPr>
        <w:tab/>
      </w:r>
      <w:r w:rsidRPr="00976C24">
        <w:rPr>
          <w:lang w:val="fr-FR"/>
        </w:rPr>
        <w:t>Le Comité pourra se reporter à la réponse du Gouvernement</w:t>
      </w:r>
      <w:r>
        <w:rPr>
          <w:lang w:val="fr-FR"/>
        </w:rPr>
        <w:t xml:space="preserve"> figurant</w:t>
      </w:r>
      <w:r w:rsidRPr="00976C24">
        <w:rPr>
          <w:lang w:val="fr-FR"/>
        </w:rPr>
        <w:t xml:space="preserve"> dans le présent rapport concernant le droit à l’eau.</w:t>
      </w:r>
    </w:p>
    <w:p w:rsidR="00903547" w:rsidRPr="00976C24" w:rsidRDefault="00903547" w:rsidP="00A15920">
      <w:pPr>
        <w:pStyle w:val="SingleTxtG"/>
        <w:rPr>
          <w:lang w:val="fr-FR"/>
        </w:rPr>
      </w:pPr>
      <w:r>
        <w:rPr>
          <w:lang w:val="fr-FR"/>
        </w:rPr>
        <w:t>402.</w:t>
      </w:r>
      <w:r>
        <w:rPr>
          <w:lang w:val="fr-FR"/>
        </w:rPr>
        <w:tab/>
      </w:r>
      <w:r w:rsidRPr="00976C24">
        <w:rPr>
          <w:lang w:val="fr-FR"/>
        </w:rPr>
        <w:t>On signale peu d</w:t>
      </w:r>
      <w:r>
        <w:rPr>
          <w:lang w:val="fr-FR"/>
        </w:rPr>
        <w:t>e cas</w:t>
      </w:r>
      <w:r w:rsidRPr="00976C24">
        <w:rPr>
          <w:lang w:val="fr-FR"/>
        </w:rPr>
        <w:t xml:space="preserve"> de maladie</w:t>
      </w:r>
      <w:r>
        <w:rPr>
          <w:lang w:val="fr-FR"/>
        </w:rPr>
        <w:t>s</w:t>
      </w:r>
      <w:r w:rsidRPr="00976C24">
        <w:rPr>
          <w:lang w:val="fr-FR"/>
        </w:rPr>
        <w:t xml:space="preserve"> directement liée</w:t>
      </w:r>
      <w:r>
        <w:rPr>
          <w:lang w:val="fr-FR"/>
        </w:rPr>
        <w:t>s</w:t>
      </w:r>
      <w:r w:rsidRPr="00976C24">
        <w:rPr>
          <w:lang w:val="fr-FR"/>
        </w:rPr>
        <w:t xml:space="preserve"> à une eau infectée ou à une mauvaise qualité de l’eau en Norvège. La grande majorité des infections bactériennes </w:t>
      </w:r>
      <w:r>
        <w:rPr>
          <w:lang w:val="fr-FR"/>
        </w:rPr>
        <w:t>courantes</w:t>
      </w:r>
      <w:r w:rsidRPr="00976C24">
        <w:rPr>
          <w:lang w:val="fr-FR"/>
        </w:rPr>
        <w:t xml:space="preserve"> vient de la consommation d’eau et de nourriture à l’extérieur du pays. L’eau du robinet est considérée comme potable dans tout le pays.</w:t>
      </w:r>
    </w:p>
    <w:p w:rsidR="00903547" w:rsidRPr="00976C24" w:rsidRDefault="00903547" w:rsidP="00A15920">
      <w:pPr>
        <w:pStyle w:val="SingleTxtG"/>
        <w:rPr>
          <w:lang w:val="fr-FR"/>
        </w:rPr>
      </w:pPr>
      <w:r>
        <w:rPr>
          <w:lang w:val="fr-FR"/>
        </w:rPr>
        <w:t>403.</w:t>
      </w:r>
      <w:r>
        <w:rPr>
          <w:lang w:val="fr-FR"/>
        </w:rPr>
        <w:tab/>
      </w:r>
      <w:r w:rsidRPr="00976C24">
        <w:rPr>
          <w:lang w:val="fr-FR"/>
        </w:rPr>
        <w:t xml:space="preserve">L’autorité norvégienne de sécurité des aliments intensifie </w:t>
      </w:r>
      <w:r>
        <w:rPr>
          <w:lang w:val="fr-FR"/>
        </w:rPr>
        <w:t>actuellement l</w:t>
      </w:r>
      <w:r w:rsidRPr="00976C24">
        <w:rPr>
          <w:lang w:val="fr-FR"/>
        </w:rPr>
        <w:t xml:space="preserve">a surveillance et </w:t>
      </w:r>
      <w:r>
        <w:rPr>
          <w:lang w:val="fr-FR"/>
        </w:rPr>
        <w:t>le</w:t>
      </w:r>
      <w:r w:rsidRPr="00976C24">
        <w:rPr>
          <w:lang w:val="fr-FR"/>
        </w:rPr>
        <w:t xml:space="preserve"> contrôle des systèmes d’adduction d’eau. En 2008, toutes les adductions d’eau officielles d</w:t>
      </w:r>
      <w:r>
        <w:rPr>
          <w:lang w:val="fr-FR"/>
        </w:rPr>
        <w:t>u pays</w:t>
      </w:r>
      <w:r w:rsidRPr="00976C24">
        <w:rPr>
          <w:lang w:val="fr-FR"/>
        </w:rPr>
        <w:t xml:space="preserve"> ont été contrôlées en vue de détecter d’éventuels problèmes d’hygiène. </w:t>
      </w:r>
      <w:r>
        <w:rPr>
          <w:lang w:val="fr-FR"/>
        </w:rPr>
        <w:t>U</w:t>
      </w:r>
      <w:r w:rsidRPr="00976C24">
        <w:rPr>
          <w:lang w:val="fr-FR"/>
        </w:rPr>
        <w:t xml:space="preserve">n échantillon représentatif des adductions d’eau non </w:t>
      </w:r>
      <w:r>
        <w:rPr>
          <w:lang w:val="fr-FR"/>
        </w:rPr>
        <w:t>officielles</w:t>
      </w:r>
      <w:r w:rsidRPr="00976C24">
        <w:rPr>
          <w:lang w:val="fr-FR"/>
        </w:rPr>
        <w:t xml:space="preserve"> a </w:t>
      </w:r>
      <w:r>
        <w:rPr>
          <w:lang w:val="fr-FR"/>
        </w:rPr>
        <w:t xml:space="preserve">également </w:t>
      </w:r>
      <w:r w:rsidRPr="00976C24">
        <w:rPr>
          <w:lang w:val="fr-FR"/>
        </w:rPr>
        <w:t xml:space="preserve">été contrôlé. Les efforts accrus de l’autorité de sécurité des aliments ne sont toutefois pas </w:t>
      </w:r>
      <w:r>
        <w:rPr>
          <w:lang w:val="fr-FR"/>
        </w:rPr>
        <w:t>suffisants</w:t>
      </w:r>
      <w:r w:rsidRPr="00976C24">
        <w:rPr>
          <w:lang w:val="fr-FR"/>
        </w:rPr>
        <w:t xml:space="preserve">. </w:t>
      </w:r>
      <w:r>
        <w:rPr>
          <w:lang w:val="fr-FR"/>
        </w:rPr>
        <w:t>Parvenir à d</w:t>
      </w:r>
      <w:r w:rsidRPr="00976C24">
        <w:rPr>
          <w:lang w:val="fr-FR"/>
        </w:rPr>
        <w:t>es résultats</w:t>
      </w:r>
      <w:r>
        <w:rPr>
          <w:lang w:val="fr-FR"/>
        </w:rPr>
        <w:t xml:space="preserve"> tangibles demande</w:t>
      </w:r>
      <w:r w:rsidRPr="00976C24">
        <w:rPr>
          <w:lang w:val="fr-FR"/>
        </w:rPr>
        <w:t xml:space="preserve"> des investissements importants dans les infrast</w:t>
      </w:r>
      <w:r>
        <w:rPr>
          <w:lang w:val="fr-FR"/>
        </w:rPr>
        <w:t>ructures, c’est-à-dire dans les systèmes d’épuration et l</w:t>
      </w:r>
      <w:r w:rsidRPr="00976C24">
        <w:rPr>
          <w:lang w:val="fr-FR"/>
        </w:rPr>
        <w:t>es conduites d’eau.</w:t>
      </w:r>
    </w:p>
    <w:p w:rsidR="00903547" w:rsidRPr="00976C24" w:rsidRDefault="00903547" w:rsidP="0071086E">
      <w:pPr>
        <w:pStyle w:val="H23G"/>
        <w:rPr>
          <w:lang w:val="fr-FR"/>
        </w:rPr>
      </w:pPr>
      <w:r w:rsidRPr="00976C24">
        <w:rPr>
          <w:lang w:val="fr-FR"/>
        </w:rPr>
        <w:tab/>
        <w:t>8.</w:t>
      </w:r>
      <w:r w:rsidRPr="00976C24">
        <w:rPr>
          <w:lang w:val="fr-FR"/>
        </w:rPr>
        <w:tab/>
        <w:t>Mesures prises pour appliquer et renforcer les programmes de vaccination et les autres stratégies de lutte contre les maladies infectieuses (E/2009/22-E/C.12/2008/3, annexe VIII, par.</w:t>
      </w:r>
      <w:r>
        <w:rPr>
          <w:lang w:val="fr-FR"/>
        </w:rPr>
        <w:t> </w:t>
      </w:r>
      <w:r w:rsidRPr="00976C24">
        <w:rPr>
          <w:lang w:val="fr-FR"/>
        </w:rPr>
        <w:t>57 c))</w:t>
      </w:r>
    </w:p>
    <w:p w:rsidR="00903547" w:rsidRPr="00976C24" w:rsidRDefault="00903547" w:rsidP="00A15920">
      <w:pPr>
        <w:pStyle w:val="SingleTxtG"/>
        <w:rPr>
          <w:lang w:val="fr-FR"/>
        </w:rPr>
      </w:pPr>
      <w:r>
        <w:rPr>
          <w:lang w:val="fr-FR"/>
        </w:rPr>
        <w:t>404.</w:t>
      </w:r>
      <w:r>
        <w:rPr>
          <w:lang w:val="fr-FR"/>
        </w:rPr>
        <w:tab/>
      </w:r>
      <w:r w:rsidRPr="00976C24">
        <w:rPr>
          <w:lang w:val="fr-FR"/>
        </w:rPr>
        <w:t>En 2009, l’Institut norvégien de santé publique a mis en place un nouveau système d</w:t>
      </w:r>
      <w:r>
        <w:rPr>
          <w:lang w:val="fr-FR"/>
        </w:rPr>
        <w:t>e surveillance</w:t>
      </w:r>
      <w:r w:rsidRPr="00976C24">
        <w:rPr>
          <w:lang w:val="fr-FR"/>
        </w:rPr>
        <w:t xml:space="preserve"> des vaccinations (SYSVAK)</w:t>
      </w:r>
      <w:r>
        <w:rPr>
          <w:lang w:val="fr-FR"/>
        </w:rPr>
        <w:t>, qui doit fournir des info</w:t>
      </w:r>
      <w:r w:rsidRPr="00976C24">
        <w:rPr>
          <w:lang w:val="fr-FR"/>
        </w:rPr>
        <w:t xml:space="preserve">rmations sur la protection de la population contre les maladies infectieuses et </w:t>
      </w:r>
      <w:r>
        <w:rPr>
          <w:lang w:val="fr-FR"/>
        </w:rPr>
        <w:t xml:space="preserve">sur </w:t>
      </w:r>
      <w:r w:rsidRPr="00976C24">
        <w:rPr>
          <w:lang w:val="fr-FR"/>
        </w:rPr>
        <w:t xml:space="preserve">les réactions aux vaccins. </w:t>
      </w:r>
      <w:r>
        <w:rPr>
          <w:lang w:val="fr-FR"/>
        </w:rPr>
        <w:t>L’Institut identifie</w:t>
      </w:r>
      <w:r w:rsidRPr="00976C24">
        <w:rPr>
          <w:lang w:val="fr-FR"/>
        </w:rPr>
        <w:t xml:space="preserve"> </w:t>
      </w:r>
      <w:r>
        <w:rPr>
          <w:lang w:val="fr-FR"/>
        </w:rPr>
        <w:t xml:space="preserve">chaque année </w:t>
      </w:r>
      <w:r w:rsidRPr="00976C24">
        <w:rPr>
          <w:lang w:val="fr-FR"/>
        </w:rPr>
        <w:t xml:space="preserve">plusieurs </w:t>
      </w:r>
      <w:r>
        <w:rPr>
          <w:lang w:val="fr-FR"/>
        </w:rPr>
        <w:t>flambées</w:t>
      </w:r>
      <w:r w:rsidRPr="00976C24">
        <w:rPr>
          <w:lang w:val="fr-FR"/>
        </w:rPr>
        <w:t xml:space="preserve"> de maladies infectieuses </w:t>
      </w:r>
      <w:r>
        <w:rPr>
          <w:lang w:val="fr-FR"/>
        </w:rPr>
        <w:t>à l’aide d</w:t>
      </w:r>
      <w:r w:rsidRPr="00976C24">
        <w:rPr>
          <w:lang w:val="fr-FR"/>
        </w:rPr>
        <w:t xml:space="preserve">es informations du système de </w:t>
      </w:r>
      <w:r>
        <w:rPr>
          <w:lang w:val="fr-FR"/>
        </w:rPr>
        <w:t xml:space="preserve">surveillance des </w:t>
      </w:r>
      <w:r w:rsidRPr="00976C24">
        <w:rPr>
          <w:lang w:val="fr-FR"/>
        </w:rPr>
        <w:t xml:space="preserve">maladies infectieuses (MSIS) et </w:t>
      </w:r>
      <w:r>
        <w:rPr>
          <w:lang w:val="fr-FR"/>
        </w:rPr>
        <w:t>de s</w:t>
      </w:r>
      <w:r w:rsidRPr="00976C24">
        <w:rPr>
          <w:lang w:val="fr-FR"/>
        </w:rPr>
        <w:t xml:space="preserve">es </w:t>
      </w:r>
      <w:r>
        <w:rPr>
          <w:lang w:val="fr-FR"/>
        </w:rPr>
        <w:t xml:space="preserve">propres </w:t>
      </w:r>
      <w:r w:rsidRPr="00976C24">
        <w:rPr>
          <w:lang w:val="fr-FR"/>
        </w:rPr>
        <w:t>analyses microbiologiques. La tuberculose a été intégré</w:t>
      </w:r>
      <w:r>
        <w:rPr>
          <w:lang w:val="fr-FR"/>
        </w:rPr>
        <w:t>e</w:t>
      </w:r>
      <w:r w:rsidRPr="00976C24">
        <w:rPr>
          <w:lang w:val="fr-FR"/>
        </w:rPr>
        <w:t xml:space="preserve"> au MSIS en 2009. </w:t>
      </w:r>
    </w:p>
    <w:p w:rsidR="00903547" w:rsidRPr="00976C24" w:rsidRDefault="00903547" w:rsidP="00A15920">
      <w:pPr>
        <w:pStyle w:val="SingleTxtG"/>
        <w:rPr>
          <w:lang w:val="fr-FR"/>
        </w:rPr>
      </w:pPr>
      <w:r>
        <w:rPr>
          <w:lang w:val="fr-FR"/>
        </w:rPr>
        <w:t>405.</w:t>
      </w:r>
      <w:r>
        <w:rPr>
          <w:lang w:val="fr-FR"/>
        </w:rPr>
        <w:tab/>
      </w:r>
      <w:r w:rsidRPr="00976C24">
        <w:rPr>
          <w:lang w:val="fr-FR"/>
        </w:rPr>
        <w:t xml:space="preserve">En 2008, l’Institut s’est employé à créer un système de surveillance des infections dans les services hospitaliers (NOIS). Un nombre croissant d’hôpitaux </w:t>
      </w:r>
      <w:r>
        <w:rPr>
          <w:lang w:val="fr-FR"/>
        </w:rPr>
        <w:t>contribue à renseigner</w:t>
      </w:r>
      <w:r w:rsidRPr="00976C24">
        <w:rPr>
          <w:lang w:val="fr-FR"/>
        </w:rPr>
        <w:t xml:space="preserve"> sur différentes infections nosocomiales. Les entreprises du secteur de la santé </w:t>
      </w:r>
      <w:r>
        <w:rPr>
          <w:lang w:val="fr-FR"/>
        </w:rPr>
        <w:t>évaluent</w:t>
      </w:r>
      <w:r w:rsidRPr="00976C24">
        <w:rPr>
          <w:lang w:val="fr-FR"/>
        </w:rPr>
        <w:t xml:space="preserve"> alors </w:t>
      </w:r>
      <w:r>
        <w:rPr>
          <w:lang w:val="fr-FR"/>
        </w:rPr>
        <w:t>ce</w:t>
      </w:r>
      <w:r w:rsidRPr="00976C24">
        <w:rPr>
          <w:lang w:val="fr-FR"/>
        </w:rPr>
        <w:t xml:space="preserve">s </w:t>
      </w:r>
      <w:r>
        <w:rPr>
          <w:lang w:val="fr-FR"/>
        </w:rPr>
        <w:t>résultats</w:t>
      </w:r>
      <w:r w:rsidRPr="00976C24">
        <w:rPr>
          <w:lang w:val="fr-FR"/>
        </w:rPr>
        <w:t xml:space="preserve"> </w:t>
      </w:r>
      <w:r>
        <w:rPr>
          <w:lang w:val="fr-FR"/>
        </w:rPr>
        <w:t>pour</w:t>
      </w:r>
      <w:r w:rsidRPr="00976C24">
        <w:rPr>
          <w:lang w:val="fr-FR"/>
        </w:rPr>
        <w:t xml:space="preserve"> lutter contre les infections et la résistance aux antibiotiques. </w:t>
      </w:r>
    </w:p>
    <w:p w:rsidR="00903547" w:rsidRPr="00976C24" w:rsidRDefault="00903547" w:rsidP="00A15920">
      <w:pPr>
        <w:pStyle w:val="SingleTxtG"/>
        <w:rPr>
          <w:lang w:val="fr-FR"/>
        </w:rPr>
      </w:pPr>
      <w:r>
        <w:rPr>
          <w:lang w:val="fr-FR"/>
        </w:rPr>
        <w:t>406.</w:t>
      </w:r>
      <w:r>
        <w:rPr>
          <w:lang w:val="fr-FR"/>
        </w:rPr>
        <w:tab/>
      </w:r>
      <w:r w:rsidRPr="00976C24">
        <w:rPr>
          <w:lang w:val="fr-FR"/>
        </w:rPr>
        <w:t>L’Institut a également mis en place un système d</w:t>
      </w:r>
      <w:r>
        <w:rPr>
          <w:lang w:val="fr-FR"/>
        </w:rPr>
        <w:t>’étude</w:t>
      </w:r>
      <w:r w:rsidRPr="00976C24">
        <w:rPr>
          <w:lang w:val="fr-FR"/>
        </w:rPr>
        <w:t xml:space="preserve"> de</w:t>
      </w:r>
      <w:r>
        <w:rPr>
          <w:lang w:val="fr-FR"/>
        </w:rPr>
        <w:t xml:space="preserve"> la résistance au virus de</w:t>
      </w:r>
      <w:r w:rsidRPr="00976C24">
        <w:rPr>
          <w:lang w:val="fr-FR"/>
        </w:rPr>
        <w:t xml:space="preserve"> l’hépatite</w:t>
      </w:r>
      <w:r>
        <w:rPr>
          <w:lang w:val="fr-FR"/>
        </w:rPr>
        <w:t> </w:t>
      </w:r>
      <w:r w:rsidRPr="00976C24">
        <w:rPr>
          <w:lang w:val="fr-FR"/>
        </w:rPr>
        <w:t>C et au VIH</w:t>
      </w:r>
      <w:r>
        <w:rPr>
          <w:lang w:val="fr-FR"/>
        </w:rPr>
        <w:t>, et lui a intégré le</w:t>
      </w:r>
      <w:r w:rsidRPr="00976C24">
        <w:rPr>
          <w:lang w:val="fr-FR"/>
        </w:rPr>
        <w:t xml:space="preserve"> virus de la grippe en 2008.</w:t>
      </w:r>
    </w:p>
    <w:p w:rsidR="00903547" w:rsidRPr="00976C24" w:rsidRDefault="00903547" w:rsidP="00A15920">
      <w:pPr>
        <w:pStyle w:val="SingleTxtG"/>
        <w:rPr>
          <w:lang w:val="fr-FR"/>
        </w:rPr>
      </w:pPr>
      <w:r>
        <w:rPr>
          <w:lang w:val="fr-FR"/>
        </w:rPr>
        <w:t>407.</w:t>
      </w:r>
      <w:r>
        <w:rPr>
          <w:lang w:val="fr-FR"/>
        </w:rPr>
        <w:tab/>
      </w:r>
      <w:r w:rsidRPr="00976C24">
        <w:rPr>
          <w:lang w:val="fr-FR"/>
        </w:rPr>
        <w:t>La Direction de la santé et l’Institut national de santé publique jouent un rôle important dans la prévention et le traitement des épidémies et pandémies.</w:t>
      </w:r>
    </w:p>
    <w:p w:rsidR="00903547" w:rsidRPr="00976C24" w:rsidRDefault="00903547" w:rsidP="00A15920">
      <w:pPr>
        <w:pStyle w:val="SingleTxtG"/>
        <w:rPr>
          <w:lang w:val="fr-FR"/>
        </w:rPr>
      </w:pPr>
      <w:r>
        <w:rPr>
          <w:lang w:val="fr-FR"/>
        </w:rPr>
        <w:t>408.</w:t>
      </w:r>
      <w:r>
        <w:rPr>
          <w:lang w:val="fr-FR"/>
        </w:rPr>
        <w:tab/>
      </w:r>
      <w:r w:rsidRPr="00976C24">
        <w:rPr>
          <w:lang w:val="fr-FR"/>
        </w:rPr>
        <w:t>Au cours de la pandémie de grippe de 2009, un vaccin contre le virus a été proposé à l’ensemble de la population norvégienne</w:t>
      </w:r>
      <w:r>
        <w:rPr>
          <w:lang w:val="fr-FR"/>
        </w:rPr>
        <w:t xml:space="preserve"> et accepté par q</w:t>
      </w:r>
      <w:r w:rsidRPr="00976C24">
        <w:rPr>
          <w:lang w:val="fr-FR"/>
        </w:rPr>
        <w:t>uelque 40</w:t>
      </w:r>
      <w:r>
        <w:rPr>
          <w:lang w:val="fr-FR"/>
        </w:rPr>
        <w:t> %</w:t>
      </w:r>
      <w:r w:rsidRPr="00976C24">
        <w:rPr>
          <w:lang w:val="fr-FR"/>
        </w:rPr>
        <w:t xml:space="preserve"> d’entre</w:t>
      </w:r>
      <w:r>
        <w:rPr>
          <w:lang w:val="fr-FR"/>
        </w:rPr>
        <w:t xml:space="preserve"> elle</w:t>
      </w:r>
      <w:r w:rsidRPr="00976C24">
        <w:rPr>
          <w:lang w:val="fr-FR"/>
        </w:rPr>
        <w:t>.</w:t>
      </w:r>
    </w:p>
    <w:p w:rsidR="00903547" w:rsidRPr="00976C24" w:rsidRDefault="00903547" w:rsidP="0071086E">
      <w:pPr>
        <w:pStyle w:val="H23G"/>
        <w:rPr>
          <w:lang w:val="fr-FR"/>
        </w:rPr>
      </w:pPr>
      <w:r w:rsidRPr="00976C24">
        <w:rPr>
          <w:lang w:val="fr-FR"/>
        </w:rPr>
        <w:tab/>
        <w:t>9.</w:t>
      </w:r>
      <w:r w:rsidRPr="00976C24">
        <w:rPr>
          <w:lang w:val="fr-FR"/>
        </w:rPr>
        <w:tab/>
        <w:t>Mesures prises pour prévenir l’abus d’alcool et de tabac et l’utilisation de drogues illicites et autres substances nocives, en particulier chez les enfants et les adolescents, veiller au traitement et à la réinsertion des toxicomanes et apporter un soutien à leur famille (E/2009/22-E/C.12/2008/3, annexe VIII, par.</w:t>
      </w:r>
      <w:r>
        <w:rPr>
          <w:lang w:val="fr-FR"/>
        </w:rPr>
        <w:t> </w:t>
      </w:r>
      <w:r w:rsidRPr="00976C24">
        <w:rPr>
          <w:lang w:val="fr-FR"/>
        </w:rPr>
        <w:t>57 d))</w:t>
      </w:r>
    </w:p>
    <w:p w:rsidR="00903547" w:rsidRPr="00976C24" w:rsidRDefault="00903547" w:rsidP="00A15920">
      <w:pPr>
        <w:pStyle w:val="SingleTxtG"/>
        <w:rPr>
          <w:lang w:val="fr-FR"/>
        </w:rPr>
      </w:pPr>
      <w:r>
        <w:rPr>
          <w:lang w:val="fr-FR"/>
        </w:rPr>
        <w:t>409.</w:t>
      </w:r>
      <w:r>
        <w:rPr>
          <w:lang w:val="fr-FR"/>
        </w:rPr>
        <w:tab/>
      </w:r>
      <w:r w:rsidRPr="00976C24">
        <w:rPr>
          <w:lang w:val="fr-FR"/>
        </w:rPr>
        <w:t>En 2005, 835 millions de couronnes supplémentaires ont été alloués à des mesures de prévention, de traitement et de réduction des effets nocifs de l</w:t>
      </w:r>
      <w:r>
        <w:rPr>
          <w:lang w:val="fr-FR"/>
        </w:rPr>
        <w:t xml:space="preserve">’abus des drogues dans le cadre du plan </w:t>
      </w:r>
      <w:r w:rsidRPr="00976C24">
        <w:rPr>
          <w:lang w:val="fr-FR"/>
        </w:rPr>
        <w:t>d’intensification de la lutte contre la toxicomanie (2006</w:t>
      </w:r>
      <w:r>
        <w:rPr>
          <w:lang w:val="fr-FR"/>
        </w:rPr>
        <w:t>-</w:t>
      </w:r>
      <w:r w:rsidRPr="00976C24">
        <w:rPr>
          <w:lang w:val="fr-FR"/>
        </w:rPr>
        <w:t xml:space="preserve">2010). </w:t>
      </w:r>
      <w:r>
        <w:rPr>
          <w:lang w:val="fr-FR"/>
        </w:rPr>
        <w:t>Davantage d</w:t>
      </w:r>
      <w:r w:rsidRPr="00976C24">
        <w:rPr>
          <w:lang w:val="fr-FR"/>
        </w:rPr>
        <w:t xml:space="preserve">e </w:t>
      </w:r>
      <w:r>
        <w:rPr>
          <w:lang w:val="fr-FR"/>
        </w:rPr>
        <w:t>toxicodépendants</w:t>
      </w:r>
      <w:r w:rsidRPr="00976C24">
        <w:rPr>
          <w:lang w:val="fr-FR"/>
        </w:rPr>
        <w:t xml:space="preserve"> </w:t>
      </w:r>
      <w:r>
        <w:rPr>
          <w:lang w:val="fr-FR"/>
        </w:rPr>
        <w:t>ont</w:t>
      </w:r>
      <w:r w:rsidRPr="00976C24">
        <w:rPr>
          <w:lang w:val="fr-FR"/>
        </w:rPr>
        <w:t xml:space="preserve"> suivi un traitement </w:t>
      </w:r>
      <w:r>
        <w:rPr>
          <w:lang w:val="fr-FR"/>
        </w:rPr>
        <w:t>a</w:t>
      </w:r>
      <w:r w:rsidRPr="00976C24">
        <w:rPr>
          <w:lang w:val="fr-FR"/>
        </w:rPr>
        <w:t xml:space="preserve">près que </w:t>
      </w:r>
      <w:r>
        <w:rPr>
          <w:lang w:val="fr-FR"/>
        </w:rPr>
        <w:t xml:space="preserve">cette </w:t>
      </w:r>
      <w:r w:rsidRPr="00976C24">
        <w:rPr>
          <w:lang w:val="fr-FR"/>
        </w:rPr>
        <w:t xml:space="preserve">dépendance a obtenu le statut légal de maladie en 2004, </w:t>
      </w:r>
      <w:r>
        <w:rPr>
          <w:lang w:val="fr-FR"/>
        </w:rPr>
        <w:t>disposant ainsi d</w:t>
      </w:r>
      <w:r w:rsidRPr="00976C24">
        <w:rPr>
          <w:lang w:val="fr-FR"/>
        </w:rPr>
        <w:t>es mêm</w:t>
      </w:r>
      <w:r>
        <w:rPr>
          <w:lang w:val="fr-FR"/>
        </w:rPr>
        <w:t>es droits aux soins de santé que les</w:t>
      </w:r>
      <w:r w:rsidRPr="00976C24">
        <w:rPr>
          <w:lang w:val="fr-FR"/>
        </w:rPr>
        <w:t xml:space="preserve"> autres patients. </w:t>
      </w:r>
      <w:r>
        <w:rPr>
          <w:lang w:val="fr-FR"/>
        </w:rPr>
        <w:t>L</w:t>
      </w:r>
      <w:r w:rsidRPr="00976C24">
        <w:rPr>
          <w:lang w:val="fr-FR"/>
        </w:rPr>
        <w:t>e nombre d’</w:t>
      </w:r>
      <w:r>
        <w:rPr>
          <w:lang w:val="fr-FR"/>
        </w:rPr>
        <w:t>admissions en</w:t>
      </w:r>
      <w:r w:rsidRPr="00976C24">
        <w:rPr>
          <w:lang w:val="fr-FR"/>
        </w:rPr>
        <w:t xml:space="preserve"> traitement a </w:t>
      </w:r>
      <w:r>
        <w:rPr>
          <w:lang w:val="fr-FR"/>
        </w:rPr>
        <w:t xml:space="preserve">de ce fait </w:t>
      </w:r>
      <w:r w:rsidRPr="00976C24">
        <w:rPr>
          <w:lang w:val="fr-FR"/>
        </w:rPr>
        <w:t xml:space="preserve">augmenté </w:t>
      </w:r>
      <w:r>
        <w:rPr>
          <w:lang w:val="fr-FR"/>
        </w:rPr>
        <w:t>ces</w:t>
      </w:r>
      <w:r w:rsidRPr="00976C24">
        <w:rPr>
          <w:lang w:val="fr-FR"/>
        </w:rPr>
        <w:t xml:space="preserve"> cinq dernières années et les délais d’attente sont malheureusement de plus en plus longs. Une grande partie du problème </w:t>
      </w:r>
      <w:r>
        <w:rPr>
          <w:lang w:val="fr-FR"/>
        </w:rPr>
        <w:t>vient</w:t>
      </w:r>
      <w:r w:rsidRPr="00976C24">
        <w:rPr>
          <w:lang w:val="fr-FR"/>
        </w:rPr>
        <w:t xml:space="preserve"> </w:t>
      </w:r>
      <w:r>
        <w:rPr>
          <w:lang w:val="fr-FR"/>
        </w:rPr>
        <w:t>d</w:t>
      </w:r>
      <w:r w:rsidRPr="00976C24">
        <w:rPr>
          <w:lang w:val="fr-FR"/>
        </w:rPr>
        <w:t xml:space="preserve">u manque de coordination et </w:t>
      </w:r>
      <w:r>
        <w:rPr>
          <w:lang w:val="fr-FR"/>
        </w:rPr>
        <w:t>des obstacles</w:t>
      </w:r>
      <w:r w:rsidRPr="00976C24">
        <w:rPr>
          <w:lang w:val="fr-FR"/>
        </w:rPr>
        <w:t xml:space="preserve"> professionnels et organisationnels entre les différents intervenants dans le </w:t>
      </w:r>
      <w:r>
        <w:rPr>
          <w:lang w:val="fr-FR"/>
        </w:rPr>
        <w:t>cadre</w:t>
      </w:r>
      <w:r w:rsidRPr="00976C24">
        <w:rPr>
          <w:lang w:val="fr-FR"/>
        </w:rPr>
        <w:t xml:space="preserve"> du traitement. </w:t>
      </w:r>
      <w:r>
        <w:rPr>
          <w:lang w:val="fr-FR"/>
        </w:rPr>
        <w:t>Pour les autorités gouvernementales, l</w:t>
      </w:r>
      <w:r w:rsidRPr="00976C24">
        <w:rPr>
          <w:lang w:val="fr-FR"/>
        </w:rPr>
        <w:t xml:space="preserve">a </w:t>
      </w:r>
      <w:r>
        <w:rPr>
          <w:lang w:val="fr-FR"/>
        </w:rPr>
        <w:t xml:space="preserve">lutte contre la </w:t>
      </w:r>
      <w:r w:rsidRPr="00976C24">
        <w:rPr>
          <w:lang w:val="fr-FR"/>
        </w:rPr>
        <w:t xml:space="preserve">toxicomanie est </w:t>
      </w:r>
      <w:r>
        <w:rPr>
          <w:lang w:val="fr-FR"/>
        </w:rPr>
        <w:t>une priorité des</w:t>
      </w:r>
      <w:r w:rsidRPr="00976C24">
        <w:rPr>
          <w:lang w:val="fr-FR"/>
        </w:rPr>
        <w:t xml:space="preserve"> années à venir, à la fois en termes de ressources et d’organisation (</w:t>
      </w:r>
      <w:r>
        <w:rPr>
          <w:lang w:val="fr-FR"/>
        </w:rPr>
        <w:t>v</w:t>
      </w:r>
      <w:r w:rsidRPr="00976C24">
        <w:rPr>
          <w:lang w:val="fr-FR"/>
        </w:rPr>
        <w:t>oir la réforme de la coordination).</w:t>
      </w:r>
    </w:p>
    <w:p w:rsidR="00903547" w:rsidRPr="00976C24" w:rsidRDefault="00903547" w:rsidP="00A15920">
      <w:pPr>
        <w:pStyle w:val="SingleTxtG"/>
        <w:rPr>
          <w:lang w:val="fr-FR"/>
        </w:rPr>
      </w:pPr>
      <w:r>
        <w:rPr>
          <w:lang w:val="fr-FR"/>
        </w:rPr>
        <w:t>410.</w:t>
      </w:r>
      <w:r>
        <w:rPr>
          <w:lang w:val="fr-FR"/>
        </w:rPr>
        <w:tab/>
      </w:r>
      <w:r w:rsidRPr="00976C24">
        <w:rPr>
          <w:lang w:val="fr-FR"/>
        </w:rPr>
        <w:t>La Norvège a été l’un des premiers pays du monde à interdire de fumer dans les restaurants, les bars et les cafés. La vente de tabac ou de produits assimilés est interdite aux moins de 18 ans.</w:t>
      </w:r>
    </w:p>
    <w:p w:rsidR="00903547" w:rsidRPr="00976C24" w:rsidRDefault="00903547" w:rsidP="0071086E">
      <w:pPr>
        <w:pStyle w:val="H23G"/>
        <w:rPr>
          <w:lang w:val="fr-FR"/>
        </w:rPr>
      </w:pPr>
      <w:r w:rsidRPr="00976C24">
        <w:rPr>
          <w:lang w:val="fr-FR"/>
        </w:rPr>
        <w:tab/>
        <w:t>10.</w:t>
      </w:r>
      <w:r w:rsidRPr="00976C24">
        <w:rPr>
          <w:lang w:val="fr-FR"/>
        </w:rPr>
        <w:tab/>
        <w:t xml:space="preserve">Mesures prises pour prévenir le VIH/sida et </w:t>
      </w:r>
      <w:r>
        <w:rPr>
          <w:lang w:val="fr-FR"/>
        </w:rPr>
        <w:t xml:space="preserve">les </w:t>
      </w:r>
      <w:r w:rsidRPr="00976C24">
        <w:rPr>
          <w:lang w:val="fr-FR"/>
        </w:rPr>
        <w:t>autres maladies sexuellement transmissibles, informer les groupes à haut risque, les enfants et les adolescents, ainsi que le grand public, sur leurs modes de transmission, apporter un soutien aux personnes touchées par le VIH/sida et à leur famille et lutter contre la stigmatisation et la discrimination sociales (E/2009/22-E/C.12/2008/3, annexe VIII, par.</w:t>
      </w:r>
      <w:r>
        <w:rPr>
          <w:lang w:val="fr-FR"/>
        </w:rPr>
        <w:t> </w:t>
      </w:r>
      <w:r w:rsidRPr="00976C24">
        <w:rPr>
          <w:lang w:val="fr-FR"/>
        </w:rPr>
        <w:t>57 e))</w:t>
      </w:r>
    </w:p>
    <w:p w:rsidR="00903547" w:rsidRPr="00976C24" w:rsidRDefault="00903547" w:rsidP="00A15920">
      <w:pPr>
        <w:pStyle w:val="SingleTxtG"/>
        <w:rPr>
          <w:lang w:val="fr-FR"/>
        </w:rPr>
      </w:pPr>
      <w:r>
        <w:rPr>
          <w:lang w:val="fr-FR"/>
        </w:rPr>
        <w:t>411.</w:t>
      </w:r>
      <w:r>
        <w:rPr>
          <w:lang w:val="fr-FR"/>
        </w:rPr>
        <w:tab/>
      </w:r>
      <w:r w:rsidRPr="00976C24">
        <w:rPr>
          <w:lang w:val="fr-FR"/>
        </w:rPr>
        <w:t xml:space="preserve">En juin 2009, six ministères ont lancé une nouvelle stratégie de </w:t>
      </w:r>
      <w:r>
        <w:rPr>
          <w:lang w:val="fr-FR"/>
        </w:rPr>
        <w:t>lutte contre le VIH intitulée «Accepter et faire face</w:t>
      </w:r>
      <w:r w:rsidRPr="00976C24">
        <w:rPr>
          <w:lang w:val="fr-FR"/>
        </w:rPr>
        <w:t>». Elle vis</w:t>
      </w:r>
      <w:r>
        <w:rPr>
          <w:lang w:val="fr-FR"/>
        </w:rPr>
        <w:t>e notamment à</w:t>
      </w:r>
      <w:r w:rsidRPr="00976C24">
        <w:rPr>
          <w:lang w:val="fr-FR"/>
        </w:rPr>
        <w:t>:</w:t>
      </w:r>
    </w:p>
    <w:p w:rsidR="00903547" w:rsidRPr="00976C24" w:rsidRDefault="00903547" w:rsidP="0071086E">
      <w:pPr>
        <w:pStyle w:val="Bullet1G"/>
        <w:numPr>
          <w:ilvl w:val="0"/>
          <w:numId w:val="3"/>
        </w:numPr>
        <w:rPr>
          <w:lang w:val="fr-FR"/>
        </w:rPr>
      </w:pPr>
      <w:r w:rsidRPr="00976C24">
        <w:rPr>
          <w:lang w:val="fr-FR"/>
        </w:rPr>
        <w:t xml:space="preserve">Renforcer </w:t>
      </w:r>
      <w:r>
        <w:rPr>
          <w:lang w:val="fr-FR"/>
        </w:rPr>
        <w:t>la coopération intersectorielle;</w:t>
      </w:r>
    </w:p>
    <w:p w:rsidR="00903547" w:rsidRPr="00976C24" w:rsidRDefault="00903547" w:rsidP="0071086E">
      <w:pPr>
        <w:pStyle w:val="Bullet1G"/>
        <w:numPr>
          <w:ilvl w:val="0"/>
          <w:numId w:val="3"/>
        </w:numPr>
        <w:rPr>
          <w:lang w:val="fr-FR"/>
        </w:rPr>
      </w:pPr>
      <w:r w:rsidRPr="00976C24">
        <w:rPr>
          <w:lang w:val="fr-FR"/>
        </w:rPr>
        <w:t>Réduire le nom</w:t>
      </w:r>
      <w:r>
        <w:rPr>
          <w:lang w:val="fr-FR"/>
        </w:rPr>
        <w:t xml:space="preserve">bre de nouvelles infections et </w:t>
      </w:r>
      <w:r w:rsidRPr="00976C24">
        <w:rPr>
          <w:lang w:val="fr-FR"/>
        </w:rPr>
        <w:t xml:space="preserve">veiller à ce que toutes les personnes séropositives </w:t>
      </w:r>
      <w:r>
        <w:rPr>
          <w:lang w:val="fr-FR"/>
        </w:rPr>
        <w:t>b</w:t>
      </w:r>
      <w:r w:rsidRPr="00976C24">
        <w:rPr>
          <w:lang w:val="fr-FR"/>
        </w:rPr>
        <w:t>énéficient de</w:t>
      </w:r>
      <w:r>
        <w:rPr>
          <w:lang w:val="fr-FR"/>
        </w:rPr>
        <w:t xml:space="preserve"> soins et d’un suivi de qualité;</w:t>
      </w:r>
    </w:p>
    <w:p w:rsidR="00903547" w:rsidRPr="00976C24" w:rsidRDefault="00903547" w:rsidP="0071086E">
      <w:pPr>
        <w:pStyle w:val="Bullet1G"/>
        <w:numPr>
          <w:ilvl w:val="0"/>
          <w:numId w:val="3"/>
        </w:numPr>
        <w:rPr>
          <w:lang w:val="fr-FR"/>
        </w:rPr>
      </w:pPr>
      <w:r w:rsidRPr="00976C24">
        <w:rPr>
          <w:lang w:val="fr-FR"/>
        </w:rPr>
        <w:t xml:space="preserve">Améliorer le niveau de connaissance de la population </w:t>
      </w:r>
      <w:r>
        <w:rPr>
          <w:lang w:val="fr-FR"/>
        </w:rPr>
        <w:t>sur le VIH;</w:t>
      </w:r>
    </w:p>
    <w:p w:rsidR="00903547" w:rsidRPr="00976C24" w:rsidRDefault="00903547" w:rsidP="0071086E">
      <w:pPr>
        <w:pStyle w:val="Bullet1G"/>
        <w:numPr>
          <w:ilvl w:val="0"/>
          <w:numId w:val="3"/>
        </w:numPr>
        <w:rPr>
          <w:lang w:val="fr-FR"/>
        </w:rPr>
      </w:pPr>
      <w:r w:rsidRPr="00976C24">
        <w:rPr>
          <w:lang w:val="fr-FR"/>
        </w:rPr>
        <w:t>Assurer la participation des personne</w:t>
      </w:r>
      <w:r>
        <w:rPr>
          <w:lang w:val="fr-FR"/>
        </w:rPr>
        <w:t>s séropositives à la vie active;</w:t>
      </w:r>
    </w:p>
    <w:p w:rsidR="00903547" w:rsidRPr="00976C24" w:rsidRDefault="00903547" w:rsidP="0071086E">
      <w:pPr>
        <w:pStyle w:val="Bullet1G"/>
        <w:numPr>
          <w:ilvl w:val="0"/>
          <w:numId w:val="3"/>
        </w:numPr>
        <w:rPr>
          <w:lang w:val="fr-FR"/>
        </w:rPr>
      </w:pPr>
      <w:r w:rsidRPr="00976C24">
        <w:rPr>
          <w:lang w:val="fr-FR"/>
        </w:rPr>
        <w:t>Poursuivre les travaux au niveau internatio</w:t>
      </w:r>
      <w:r>
        <w:rPr>
          <w:lang w:val="fr-FR"/>
        </w:rPr>
        <w:t>nal dans le domaine du VIH/sida;</w:t>
      </w:r>
    </w:p>
    <w:p w:rsidR="00903547" w:rsidRPr="00976C24" w:rsidRDefault="00903547" w:rsidP="0071086E">
      <w:pPr>
        <w:pStyle w:val="Bullet1G"/>
        <w:numPr>
          <w:ilvl w:val="0"/>
          <w:numId w:val="3"/>
        </w:numPr>
        <w:rPr>
          <w:lang w:val="fr-FR"/>
        </w:rPr>
      </w:pPr>
      <w:r w:rsidRPr="00976C24">
        <w:rPr>
          <w:lang w:val="fr-FR"/>
        </w:rPr>
        <w:t>Intensifier la recher</w:t>
      </w:r>
      <w:r>
        <w:rPr>
          <w:lang w:val="fr-FR"/>
        </w:rPr>
        <w:t>che sur les mesures préventives;</w:t>
      </w:r>
    </w:p>
    <w:p w:rsidR="00903547" w:rsidRPr="00976C24" w:rsidRDefault="00903547" w:rsidP="0071086E">
      <w:pPr>
        <w:pStyle w:val="Bullet1G"/>
        <w:numPr>
          <w:ilvl w:val="0"/>
          <w:numId w:val="3"/>
        </w:numPr>
        <w:rPr>
          <w:lang w:val="fr-FR"/>
        </w:rPr>
      </w:pPr>
      <w:r w:rsidRPr="00976C24">
        <w:rPr>
          <w:lang w:val="fr-FR"/>
        </w:rPr>
        <w:t xml:space="preserve">Améliorer la coopération entre la personne séropositive, son médecin généraliste et le médecin spécialiste et assurer davantage de suivi au niveau municipal, grâce à une meilleure coordination des services. </w:t>
      </w:r>
    </w:p>
    <w:p w:rsidR="00903547" w:rsidRPr="00976C24" w:rsidRDefault="00903547" w:rsidP="00A15920">
      <w:pPr>
        <w:pStyle w:val="SingleTxtG"/>
        <w:rPr>
          <w:lang w:val="fr-FR"/>
        </w:rPr>
      </w:pPr>
      <w:r>
        <w:rPr>
          <w:lang w:val="fr-FR"/>
        </w:rPr>
        <w:t>412.</w:t>
      </w:r>
      <w:r>
        <w:rPr>
          <w:lang w:val="fr-FR"/>
        </w:rPr>
        <w:tab/>
      </w:r>
      <w:r w:rsidRPr="00976C24">
        <w:rPr>
          <w:lang w:val="fr-FR"/>
        </w:rPr>
        <w:t>L’individu est responsable et tenu de se protéger contre les infections et de s’abstenir de contaminer autrui, en Norvège et à l’étranger</w:t>
      </w:r>
      <w:r>
        <w:rPr>
          <w:lang w:val="fr-FR"/>
        </w:rPr>
        <w:t>;</w:t>
      </w:r>
      <w:r w:rsidRPr="00976C24">
        <w:rPr>
          <w:lang w:val="fr-FR"/>
        </w:rPr>
        <w:t xml:space="preserve"> cela vaut en particulier pour les personnes séropositives ou atteintes d’autres maladies infectieuses, conformément à la loi sur la lutte contre les maladies transmissibles et le Code pénal norvégien. </w:t>
      </w:r>
    </w:p>
    <w:p w:rsidR="00903547" w:rsidRPr="00976C24" w:rsidRDefault="00903547" w:rsidP="00A15920">
      <w:pPr>
        <w:pStyle w:val="SingleTxtG"/>
        <w:rPr>
          <w:lang w:val="fr-FR"/>
        </w:rPr>
      </w:pPr>
      <w:r>
        <w:rPr>
          <w:lang w:val="fr-FR"/>
        </w:rPr>
        <w:t>413.</w:t>
      </w:r>
      <w:r>
        <w:rPr>
          <w:lang w:val="fr-FR"/>
        </w:rPr>
        <w:tab/>
      </w:r>
      <w:r w:rsidRPr="00976C24">
        <w:rPr>
          <w:lang w:val="fr-FR"/>
        </w:rPr>
        <w:t>Les autorités ne sont pas tenues d’informer les conjoints des personnes séropositives, mais les personnes contaminées et leur famille peuvent bénéficier de services de consultation.</w:t>
      </w:r>
    </w:p>
    <w:p w:rsidR="00903547" w:rsidRPr="00976C24" w:rsidRDefault="00903547" w:rsidP="0071086E">
      <w:pPr>
        <w:pStyle w:val="H23G"/>
        <w:rPr>
          <w:lang w:val="fr-FR"/>
        </w:rPr>
      </w:pPr>
      <w:r w:rsidRPr="00976C24">
        <w:rPr>
          <w:lang w:val="fr-FR"/>
        </w:rPr>
        <w:tab/>
        <w:t>11.</w:t>
      </w:r>
      <w:r w:rsidRPr="00976C24">
        <w:rPr>
          <w:lang w:val="fr-FR"/>
        </w:rPr>
        <w:tab/>
        <w:t>Garantir l’accès à un coût abordable aux médicaments essentiels, tels que définis par l’OMS, notamment aux antirétroviraux et aux médicaments prescrits pour des maladies chroniques (E/2009/22-E/C.12/2008/3, annexe VIII, par.</w:t>
      </w:r>
      <w:r>
        <w:rPr>
          <w:lang w:val="fr-FR"/>
        </w:rPr>
        <w:t> </w:t>
      </w:r>
      <w:r w:rsidRPr="00976C24">
        <w:rPr>
          <w:lang w:val="fr-FR"/>
        </w:rPr>
        <w:t>57 (f))</w:t>
      </w:r>
    </w:p>
    <w:p w:rsidR="00903547" w:rsidRPr="00976C24" w:rsidRDefault="00903547" w:rsidP="00A15920">
      <w:pPr>
        <w:pStyle w:val="SingleTxtG"/>
        <w:rPr>
          <w:lang w:val="fr-FR"/>
        </w:rPr>
      </w:pPr>
      <w:r>
        <w:rPr>
          <w:lang w:val="fr-FR"/>
        </w:rPr>
        <w:t>414.</w:t>
      </w:r>
      <w:r>
        <w:rPr>
          <w:lang w:val="fr-FR"/>
        </w:rPr>
        <w:tab/>
      </w:r>
      <w:r w:rsidRPr="00976C24">
        <w:rPr>
          <w:lang w:val="fr-FR"/>
        </w:rPr>
        <w:t>Le Comité pourra se reporter à la réponse du Gouvernement au paragraphe 56</w:t>
      </w:r>
      <w:r>
        <w:rPr>
          <w:lang w:val="fr-FR"/>
        </w:rPr>
        <w:t xml:space="preserve"> b) (par. 394 et </w:t>
      </w:r>
      <w:r w:rsidRPr="00976C24">
        <w:rPr>
          <w:lang w:val="fr-FR"/>
        </w:rPr>
        <w:t>395 du présent rapport).</w:t>
      </w:r>
    </w:p>
    <w:p w:rsidR="00903547" w:rsidRPr="00976C24" w:rsidRDefault="00903547" w:rsidP="0071086E">
      <w:pPr>
        <w:pStyle w:val="H23G"/>
        <w:rPr>
          <w:lang w:val="fr-FR"/>
        </w:rPr>
      </w:pPr>
      <w:r w:rsidRPr="00976C24">
        <w:rPr>
          <w:lang w:val="fr-FR"/>
        </w:rPr>
        <w:tab/>
        <w:t>12.</w:t>
      </w:r>
      <w:r w:rsidRPr="00976C24">
        <w:rPr>
          <w:lang w:val="fr-FR"/>
        </w:rPr>
        <w:tab/>
        <w:t>Assurer un traitement et des so</w:t>
      </w:r>
      <w:r>
        <w:rPr>
          <w:lang w:val="fr-FR"/>
        </w:rPr>
        <w:t>i</w:t>
      </w:r>
      <w:r w:rsidRPr="00976C24">
        <w:rPr>
          <w:lang w:val="fr-FR"/>
        </w:rPr>
        <w:t>ns appropriés dans les établissements psychiatriques pour les patients souffrant de troubles mentaux, ainsi que l’examen régulier et un contrôle judiciaire effectif de l’internement (E/2009/22-E/C.12/2008/3, annexe VIII, par.</w:t>
      </w:r>
      <w:r>
        <w:rPr>
          <w:lang w:val="fr-FR"/>
        </w:rPr>
        <w:t> </w:t>
      </w:r>
      <w:r w:rsidRPr="00976C24">
        <w:rPr>
          <w:lang w:val="fr-FR"/>
        </w:rPr>
        <w:t>57 g))</w:t>
      </w:r>
    </w:p>
    <w:p w:rsidR="00903547" w:rsidRPr="00976C24" w:rsidRDefault="00903547" w:rsidP="00A15920">
      <w:pPr>
        <w:pStyle w:val="SingleTxtG"/>
        <w:rPr>
          <w:lang w:val="fr-FR"/>
        </w:rPr>
      </w:pPr>
      <w:r>
        <w:rPr>
          <w:lang w:val="fr-FR"/>
        </w:rPr>
        <w:t>415.</w:t>
      </w:r>
      <w:r>
        <w:rPr>
          <w:lang w:val="fr-FR"/>
        </w:rPr>
        <w:tab/>
        <w:t>U</w:t>
      </w:r>
      <w:r w:rsidRPr="00976C24">
        <w:rPr>
          <w:lang w:val="fr-FR"/>
        </w:rPr>
        <w:t xml:space="preserve">n vaste plan d’amélioration des services de santé mentale </w:t>
      </w:r>
      <w:r>
        <w:rPr>
          <w:lang w:val="fr-FR"/>
        </w:rPr>
        <w:t>mis en œuvre entre</w:t>
      </w:r>
      <w:r w:rsidRPr="00976C24">
        <w:rPr>
          <w:lang w:val="fr-FR"/>
        </w:rPr>
        <w:t xml:space="preserve"> 1998</w:t>
      </w:r>
      <w:r>
        <w:rPr>
          <w:lang w:val="fr-FR"/>
        </w:rPr>
        <w:t xml:space="preserve"> et </w:t>
      </w:r>
      <w:r w:rsidRPr="00976C24">
        <w:rPr>
          <w:lang w:val="fr-FR"/>
        </w:rPr>
        <w:t>2008</w:t>
      </w:r>
      <w:r>
        <w:rPr>
          <w:lang w:val="fr-FR"/>
        </w:rPr>
        <w:t xml:space="preserve"> </w:t>
      </w:r>
      <w:r w:rsidRPr="00976C24">
        <w:rPr>
          <w:lang w:val="fr-FR"/>
        </w:rPr>
        <w:t xml:space="preserve">a </w:t>
      </w:r>
      <w:r>
        <w:rPr>
          <w:lang w:val="fr-FR"/>
        </w:rPr>
        <w:t>produit</w:t>
      </w:r>
      <w:r w:rsidRPr="00976C24">
        <w:rPr>
          <w:lang w:val="fr-FR"/>
        </w:rPr>
        <w:t xml:space="preserve"> des résultats </w:t>
      </w:r>
      <w:r>
        <w:rPr>
          <w:lang w:val="fr-FR"/>
        </w:rPr>
        <w:t>à de nombreux égards</w:t>
      </w:r>
      <w:r w:rsidRPr="00976C24">
        <w:rPr>
          <w:lang w:val="fr-FR"/>
        </w:rPr>
        <w:t xml:space="preserve">. </w:t>
      </w:r>
    </w:p>
    <w:p w:rsidR="00903547" w:rsidRPr="00976C24" w:rsidRDefault="00903547" w:rsidP="00A15920">
      <w:pPr>
        <w:pStyle w:val="SingleTxtG"/>
        <w:rPr>
          <w:lang w:val="fr-FR"/>
        </w:rPr>
      </w:pPr>
      <w:r>
        <w:rPr>
          <w:lang w:val="fr-FR"/>
        </w:rPr>
        <w:t>416.</w:t>
      </w:r>
      <w:r>
        <w:rPr>
          <w:lang w:val="fr-FR"/>
        </w:rPr>
        <w:tab/>
        <w:t xml:space="preserve">À </w:t>
      </w:r>
      <w:r w:rsidRPr="00976C24">
        <w:rPr>
          <w:lang w:val="fr-FR"/>
        </w:rPr>
        <w:t>l</w:t>
      </w:r>
      <w:r>
        <w:rPr>
          <w:lang w:val="fr-FR"/>
        </w:rPr>
        <w:t xml:space="preserve">’achèvement </w:t>
      </w:r>
      <w:r w:rsidRPr="00976C24">
        <w:rPr>
          <w:lang w:val="fr-FR"/>
        </w:rPr>
        <w:t>du plan, environ deux fois plus de p</w:t>
      </w:r>
      <w:r>
        <w:rPr>
          <w:lang w:val="fr-FR"/>
        </w:rPr>
        <w:t>atients</w:t>
      </w:r>
      <w:r w:rsidRPr="00976C24">
        <w:rPr>
          <w:lang w:val="fr-FR"/>
        </w:rPr>
        <w:t xml:space="preserve"> étaient </w:t>
      </w:r>
      <w:r>
        <w:rPr>
          <w:lang w:val="fr-FR"/>
        </w:rPr>
        <w:t>soignés</w:t>
      </w:r>
      <w:r w:rsidRPr="00976C24">
        <w:rPr>
          <w:lang w:val="fr-FR"/>
        </w:rPr>
        <w:t xml:space="preserve"> pour une maladie mentale qu’avant </w:t>
      </w:r>
      <w:r>
        <w:rPr>
          <w:lang w:val="fr-FR"/>
        </w:rPr>
        <w:t>son</w:t>
      </w:r>
      <w:r w:rsidRPr="00976C24">
        <w:rPr>
          <w:lang w:val="fr-FR"/>
        </w:rPr>
        <w:t xml:space="preserve"> lancement. Les dépenses totales des services de santé mentale ont augmenté de plus de 6 milliards de couronnes par rapport à 1999, 75</w:t>
      </w:r>
      <w:r>
        <w:rPr>
          <w:lang w:val="fr-FR"/>
        </w:rPr>
        <w:t> </w:t>
      </w:r>
      <w:r w:rsidRPr="00976C24">
        <w:rPr>
          <w:lang w:val="fr-FR"/>
        </w:rPr>
        <w:t>centre</w:t>
      </w:r>
      <w:r>
        <w:rPr>
          <w:lang w:val="fr-FR"/>
        </w:rPr>
        <w:t>s</w:t>
      </w:r>
      <w:r w:rsidRPr="00976C24">
        <w:rPr>
          <w:lang w:val="fr-FR"/>
        </w:rPr>
        <w:t xml:space="preserve"> psychiatriques de district ont été ouverts et des locaux</w:t>
      </w:r>
      <w:r>
        <w:rPr>
          <w:lang w:val="fr-FR"/>
        </w:rPr>
        <w:t xml:space="preserve"> municipaux supplémentaires </w:t>
      </w:r>
      <w:r w:rsidRPr="00976C24">
        <w:rPr>
          <w:lang w:val="fr-FR"/>
        </w:rPr>
        <w:t xml:space="preserve">ont été construits pour </w:t>
      </w:r>
      <w:r>
        <w:rPr>
          <w:lang w:val="fr-FR"/>
        </w:rPr>
        <w:t xml:space="preserve">accueillir </w:t>
      </w:r>
      <w:r w:rsidRPr="00976C24">
        <w:rPr>
          <w:lang w:val="fr-FR"/>
        </w:rPr>
        <w:t>quelque 3</w:t>
      </w:r>
      <w:r>
        <w:rPr>
          <w:lang w:val="fr-FR"/>
        </w:rPr>
        <w:t> </w:t>
      </w:r>
      <w:r w:rsidRPr="00976C24">
        <w:rPr>
          <w:lang w:val="fr-FR"/>
        </w:rPr>
        <w:t xml:space="preserve">000 </w:t>
      </w:r>
      <w:r>
        <w:rPr>
          <w:lang w:val="fr-FR"/>
        </w:rPr>
        <w:t>patients</w:t>
      </w:r>
      <w:r w:rsidRPr="00976C24">
        <w:rPr>
          <w:lang w:val="fr-FR"/>
        </w:rPr>
        <w:t xml:space="preserve">. Des problèmes persistent malgré tout. </w:t>
      </w:r>
      <w:r>
        <w:rPr>
          <w:lang w:val="fr-FR"/>
        </w:rPr>
        <w:t>Nombre</w:t>
      </w:r>
      <w:r w:rsidRPr="00976C24">
        <w:rPr>
          <w:lang w:val="fr-FR"/>
        </w:rPr>
        <w:t xml:space="preserve"> de patients doivent attendre avant d’être </w:t>
      </w:r>
      <w:r>
        <w:rPr>
          <w:lang w:val="fr-FR"/>
        </w:rPr>
        <w:t>pris en charge ou</w:t>
      </w:r>
      <w:r w:rsidRPr="00976C24">
        <w:rPr>
          <w:lang w:val="fr-FR"/>
        </w:rPr>
        <w:t xml:space="preserve"> ne reçoivent pas le</w:t>
      </w:r>
      <w:r>
        <w:rPr>
          <w:lang w:val="fr-FR"/>
        </w:rPr>
        <w:t>s soins</w:t>
      </w:r>
      <w:r w:rsidRPr="00976C24">
        <w:rPr>
          <w:lang w:val="fr-FR"/>
        </w:rPr>
        <w:t xml:space="preserve"> adapté</w:t>
      </w:r>
      <w:r>
        <w:rPr>
          <w:lang w:val="fr-FR"/>
        </w:rPr>
        <w:t>s</w:t>
      </w:r>
      <w:r w:rsidRPr="00976C24">
        <w:rPr>
          <w:lang w:val="fr-FR"/>
        </w:rPr>
        <w:t xml:space="preserve"> à des besoins plus complexes. </w:t>
      </w:r>
      <w:r>
        <w:rPr>
          <w:lang w:val="fr-FR"/>
        </w:rPr>
        <w:t>Il reste beaucoup à faire en termes de</w:t>
      </w:r>
      <w:r w:rsidRPr="00976C24">
        <w:rPr>
          <w:lang w:val="fr-FR"/>
        </w:rPr>
        <w:t xml:space="preserve"> communication et </w:t>
      </w:r>
      <w:r>
        <w:rPr>
          <w:lang w:val="fr-FR"/>
        </w:rPr>
        <w:t>de</w:t>
      </w:r>
      <w:r w:rsidRPr="00976C24">
        <w:rPr>
          <w:lang w:val="fr-FR"/>
        </w:rPr>
        <w:t xml:space="preserve"> coopération entre les niveaux de </w:t>
      </w:r>
      <w:r>
        <w:rPr>
          <w:lang w:val="fr-FR"/>
        </w:rPr>
        <w:t>soins</w:t>
      </w:r>
      <w:r w:rsidRPr="00976C24">
        <w:rPr>
          <w:lang w:val="fr-FR"/>
        </w:rPr>
        <w:t xml:space="preserve"> primaire</w:t>
      </w:r>
      <w:r>
        <w:rPr>
          <w:lang w:val="fr-FR"/>
        </w:rPr>
        <w:t>s</w:t>
      </w:r>
      <w:r w:rsidRPr="00976C24">
        <w:rPr>
          <w:lang w:val="fr-FR"/>
        </w:rPr>
        <w:t xml:space="preserve"> et secondaire</w:t>
      </w:r>
      <w:r>
        <w:rPr>
          <w:lang w:val="fr-FR"/>
        </w:rPr>
        <w:t>s</w:t>
      </w:r>
      <w:r w:rsidRPr="00976C24">
        <w:rPr>
          <w:lang w:val="fr-FR"/>
        </w:rPr>
        <w:t>.</w:t>
      </w:r>
    </w:p>
    <w:p w:rsidR="00903547" w:rsidRPr="00976C24" w:rsidRDefault="00903547" w:rsidP="00A15920">
      <w:pPr>
        <w:pStyle w:val="SingleTxtG"/>
        <w:rPr>
          <w:lang w:val="fr-FR"/>
        </w:rPr>
      </w:pPr>
      <w:r>
        <w:rPr>
          <w:lang w:val="fr-FR"/>
        </w:rPr>
        <w:t>417.</w:t>
      </w:r>
      <w:r>
        <w:rPr>
          <w:lang w:val="fr-FR"/>
        </w:rPr>
        <w:tab/>
      </w:r>
      <w:r w:rsidRPr="00054518">
        <w:rPr>
          <w:lang w:val="fr-FR"/>
        </w:rPr>
        <w:t xml:space="preserve">Plusieurs mesures ont été </w:t>
      </w:r>
      <w:r>
        <w:rPr>
          <w:lang w:val="fr-FR"/>
        </w:rPr>
        <w:t>engagées</w:t>
      </w:r>
      <w:r w:rsidRPr="00054518">
        <w:rPr>
          <w:lang w:val="fr-FR"/>
        </w:rPr>
        <w:t xml:space="preserve"> en vue de recueillir des données sur l’u</w:t>
      </w:r>
      <w:r>
        <w:rPr>
          <w:lang w:val="fr-FR"/>
        </w:rPr>
        <w:t>tilisation</w:t>
      </w:r>
      <w:r w:rsidRPr="00054518">
        <w:rPr>
          <w:lang w:val="fr-FR"/>
        </w:rPr>
        <w:t xml:space="preserve"> de la contrainte dans les services de santé mentale. Un groupe de travail </w:t>
      </w:r>
      <w:r>
        <w:rPr>
          <w:lang w:val="fr-FR"/>
        </w:rPr>
        <w:t>s’est penché sur la nécessité de</w:t>
      </w:r>
      <w:r w:rsidRPr="00054518">
        <w:rPr>
          <w:lang w:val="fr-FR"/>
        </w:rPr>
        <w:t xml:space="preserve"> critère</w:t>
      </w:r>
      <w:r>
        <w:rPr>
          <w:lang w:val="fr-FR"/>
        </w:rPr>
        <w:t>s</w:t>
      </w:r>
      <w:r w:rsidRPr="00054518">
        <w:rPr>
          <w:lang w:val="fr-FR"/>
        </w:rPr>
        <w:t xml:space="preserve"> de traitement dans la loi relative aux soins de santé mentale et </w:t>
      </w:r>
      <w:r>
        <w:rPr>
          <w:lang w:val="fr-FR"/>
        </w:rPr>
        <w:t>a suggéré</w:t>
      </w:r>
      <w:r w:rsidRPr="00054518">
        <w:rPr>
          <w:lang w:val="fr-FR"/>
        </w:rPr>
        <w:t xml:space="preserve"> de nouvelles mesures</w:t>
      </w:r>
      <w:r>
        <w:rPr>
          <w:lang w:val="fr-FR"/>
        </w:rPr>
        <w:t xml:space="preserve"> </w:t>
      </w:r>
      <w:r w:rsidRPr="00976C24">
        <w:rPr>
          <w:lang w:val="fr-FR"/>
        </w:rPr>
        <w:t>propres à réduire le recours à la contrainte. Conformément aux recommandations du groupe de travail, un</w:t>
      </w:r>
      <w:r>
        <w:rPr>
          <w:lang w:val="fr-FR"/>
        </w:rPr>
        <w:t xml:space="preserve">e nouvelle stratégie nationale </w:t>
      </w:r>
      <w:r w:rsidRPr="00976C24">
        <w:rPr>
          <w:lang w:val="fr-FR"/>
        </w:rPr>
        <w:t>pour un</w:t>
      </w:r>
      <w:r>
        <w:rPr>
          <w:lang w:val="fr-FR"/>
        </w:rPr>
        <w:t>e</w:t>
      </w:r>
      <w:r w:rsidRPr="00976C24">
        <w:rPr>
          <w:lang w:val="fr-FR"/>
        </w:rPr>
        <w:t xml:space="preserve"> </w:t>
      </w:r>
      <w:r>
        <w:rPr>
          <w:lang w:val="fr-FR"/>
        </w:rPr>
        <w:t>utilisation limitée</w:t>
      </w:r>
      <w:r w:rsidRPr="00976C24">
        <w:rPr>
          <w:lang w:val="fr-FR"/>
        </w:rPr>
        <w:t xml:space="preserve"> </w:t>
      </w:r>
      <w:r>
        <w:rPr>
          <w:lang w:val="fr-FR"/>
        </w:rPr>
        <w:t>et appropriée de</w:t>
      </w:r>
      <w:r w:rsidRPr="00976C24">
        <w:rPr>
          <w:lang w:val="fr-FR"/>
        </w:rPr>
        <w:t xml:space="preserve"> la contrainte dans les services de santé mentale a été lancée au premier semestre de 2010. </w:t>
      </w:r>
      <w:r>
        <w:rPr>
          <w:lang w:val="fr-FR"/>
        </w:rPr>
        <w:t>Elle</w:t>
      </w:r>
      <w:r w:rsidRPr="00976C24">
        <w:rPr>
          <w:lang w:val="fr-FR"/>
        </w:rPr>
        <w:t xml:space="preserve"> oblige les entreprises locales et régionales du secteur de la santé à élaborer des plans régionaux et locaux pour réd</w:t>
      </w:r>
      <w:r>
        <w:rPr>
          <w:lang w:val="fr-FR"/>
        </w:rPr>
        <w:t xml:space="preserve">uire le recours à la contrainte et à </w:t>
      </w:r>
      <w:r w:rsidRPr="00976C24">
        <w:rPr>
          <w:lang w:val="fr-FR"/>
        </w:rPr>
        <w:t xml:space="preserve">en rendre compte de manière régulière aux autorités sanitaires. La stratégie </w:t>
      </w:r>
      <w:r>
        <w:rPr>
          <w:lang w:val="fr-FR"/>
        </w:rPr>
        <w:t>décrit les tâches et l</w:t>
      </w:r>
      <w:r w:rsidRPr="00976C24">
        <w:rPr>
          <w:lang w:val="fr-FR"/>
        </w:rPr>
        <w:t>es mesures</w:t>
      </w:r>
      <w:r>
        <w:rPr>
          <w:lang w:val="fr-FR"/>
        </w:rPr>
        <w:t xml:space="preserve"> et désigne</w:t>
      </w:r>
      <w:r w:rsidRPr="00976C24">
        <w:rPr>
          <w:lang w:val="fr-FR"/>
        </w:rPr>
        <w:t xml:space="preserve"> les acteurs et les représentants qui doivent participer </w:t>
      </w:r>
      <w:r>
        <w:rPr>
          <w:lang w:val="fr-FR"/>
        </w:rPr>
        <w:t>à l’élaboration</w:t>
      </w:r>
      <w:r w:rsidRPr="00976C24">
        <w:rPr>
          <w:lang w:val="fr-FR"/>
        </w:rPr>
        <w:t xml:space="preserve"> et au suivi des plans aux deux niveaux. </w:t>
      </w:r>
      <w:r>
        <w:rPr>
          <w:lang w:val="fr-FR"/>
        </w:rPr>
        <w:t>S’appuyant sur l</w:t>
      </w:r>
      <w:r w:rsidRPr="00976C24">
        <w:rPr>
          <w:lang w:val="fr-FR"/>
        </w:rPr>
        <w:t xml:space="preserve">es recommandations du groupe de travail et de la direction de la santé, un comité a été mis sur pied en 2010 pour revoir les aspects éthiques, professionnels et juridiques des règles et pratiques en place au sein des services de santé mentale. Un nouveau chapitre (4A) concernant les </w:t>
      </w:r>
      <w:r>
        <w:rPr>
          <w:lang w:val="fr-FR"/>
        </w:rPr>
        <w:t xml:space="preserve">personnes refusant les soins de santé alors même qu’elles ne sont pas en mesure d’exprimer leur consentement </w:t>
      </w:r>
      <w:r w:rsidRPr="00976C24">
        <w:rPr>
          <w:lang w:val="fr-FR"/>
        </w:rPr>
        <w:t>a été ajouté à la loi sur les droits des patients. Le nouveau chapitre</w:t>
      </w:r>
      <w:r>
        <w:rPr>
          <w:lang w:val="fr-FR"/>
        </w:rPr>
        <w:t>, entré en vigueur</w:t>
      </w:r>
      <w:r w:rsidRPr="00976C24">
        <w:rPr>
          <w:lang w:val="fr-FR"/>
        </w:rPr>
        <w:t xml:space="preserve"> le </w:t>
      </w:r>
      <w:r>
        <w:rPr>
          <w:lang w:val="fr-FR"/>
        </w:rPr>
        <w:t>1</w:t>
      </w:r>
      <w:r w:rsidRPr="00185C6E">
        <w:rPr>
          <w:vertAlign w:val="superscript"/>
          <w:lang w:val="fr-FR"/>
        </w:rPr>
        <w:t>er</w:t>
      </w:r>
      <w:r>
        <w:rPr>
          <w:lang w:val="fr-FR"/>
        </w:rPr>
        <w:t xml:space="preserve"> </w:t>
      </w:r>
      <w:r w:rsidRPr="00976C24">
        <w:rPr>
          <w:lang w:val="fr-FR"/>
        </w:rPr>
        <w:t>janvier 2009</w:t>
      </w:r>
      <w:r>
        <w:rPr>
          <w:lang w:val="fr-FR"/>
        </w:rPr>
        <w:t>, définit l</w:t>
      </w:r>
      <w:r w:rsidRPr="00976C24">
        <w:rPr>
          <w:lang w:val="fr-FR"/>
        </w:rPr>
        <w:t xml:space="preserve">es critères permettant d’évaluer si un patient </w:t>
      </w:r>
      <w:r>
        <w:rPr>
          <w:lang w:val="fr-FR"/>
        </w:rPr>
        <w:t>est apte à donner</w:t>
      </w:r>
      <w:r w:rsidRPr="00976C24">
        <w:rPr>
          <w:lang w:val="fr-FR"/>
        </w:rPr>
        <w:t xml:space="preserve"> son consentement.</w:t>
      </w:r>
    </w:p>
    <w:p w:rsidR="00903547" w:rsidRPr="00976C24" w:rsidRDefault="00903547" w:rsidP="00A15920">
      <w:pPr>
        <w:pStyle w:val="SingleTxtG"/>
        <w:rPr>
          <w:lang w:val="fr-FR"/>
        </w:rPr>
      </w:pPr>
      <w:r>
        <w:rPr>
          <w:lang w:val="fr-FR"/>
        </w:rPr>
        <w:t>418.</w:t>
      </w:r>
      <w:r>
        <w:rPr>
          <w:lang w:val="fr-FR"/>
        </w:rPr>
        <w:tab/>
      </w:r>
      <w:r w:rsidRPr="00976C24">
        <w:rPr>
          <w:lang w:val="fr-FR"/>
        </w:rPr>
        <w:t xml:space="preserve">Les nouvelles dispositions visent à </w:t>
      </w:r>
      <w:r>
        <w:rPr>
          <w:lang w:val="fr-FR"/>
        </w:rPr>
        <w:t xml:space="preserve">dispenser </w:t>
      </w:r>
      <w:r w:rsidRPr="00976C24">
        <w:rPr>
          <w:lang w:val="fr-FR"/>
        </w:rPr>
        <w:t xml:space="preserve">les soins de santé requis </w:t>
      </w:r>
      <w:r>
        <w:rPr>
          <w:lang w:val="fr-FR"/>
        </w:rPr>
        <w:t>pour éviter une détérioration significative de l’état de santé de la personne tout en prévenant et en limitant</w:t>
      </w:r>
      <w:r w:rsidRPr="00976C24">
        <w:rPr>
          <w:lang w:val="fr-FR"/>
        </w:rPr>
        <w:t xml:space="preserve"> l’utilisation de la force. Les soins de santé </w:t>
      </w:r>
      <w:r>
        <w:rPr>
          <w:lang w:val="fr-FR"/>
        </w:rPr>
        <w:t xml:space="preserve">doivent </w:t>
      </w:r>
      <w:r w:rsidRPr="00976C24">
        <w:rPr>
          <w:lang w:val="fr-FR"/>
        </w:rPr>
        <w:t>respect</w:t>
      </w:r>
      <w:r>
        <w:rPr>
          <w:lang w:val="fr-FR"/>
        </w:rPr>
        <w:t>er</w:t>
      </w:r>
      <w:r w:rsidRPr="00976C24">
        <w:rPr>
          <w:lang w:val="fr-FR"/>
        </w:rPr>
        <w:t xml:space="preserve"> l’intégrité physique et mentale de l’individu et</w:t>
      </w:r>
      <w:r>
        <w:rPr>
          <w:lang w:val="fr-FR"/>
        </w:rPr>
        <w:t xml:space="preserve">, autant que </w:t>
      </w:r>
      <w:r w:rsidRPr="00976C24">
        <w:rPr>
          <w:lang w:val="fr-FR"/>
        </w:rPr>
        <w:t>possible</w:t>
      </w:r>
      <w:r>
        <w:rPr>
          <w:lang w:val="fr-FR"/>
        </w:rPr>
        <w:t>,</w:t>
      </w:r>
      <w:r w:rsidRPr="00976C24">
        <w:rPr>
          <w:lang w:val="fr-FR"/>
        </w:rPr>
        <w:t xml:space="preserve"> </w:t>
      </w:r>
      <w:r>
        <w:rPr>
          <w:lang w:val="fr-FR"/>
        </w:rPr>
        <w:t>le</w:t>
      </w:r>
      <w:r w:rsidRPr="00976C24">
        <w:rPr>
          <w:lang w:val="fr-FR"/>
        </w:rPr>
        <w:t xml:space="preserve"> droit du patient à l’autodétermination. Cette nouvelle législation </w:t>
      </w:r>
      <w:r>
        <w:rPr>
          <w:lang w:val="fr-FR"/>
        </w:rPr>
        <w:t>ne s’applique qu’</w:t>
      </w:r>
      <w:r w:rsidRPr="00976C24">
        <w:rPr>
          <w:lang w:val="fr-FR"/>
        </w:rPr>
        <w:t xml:space="preserve">aux soins de santé </w:t>
      </w:r>
      <w:r>
        <w:rPr>
          <w:lang w:val="fr-FR"/>
        </w:rPr>
        <w:t>somatique</w:t>
      </w:r>
      <w:r w:rsidRPr="00976C24">
        <w:rPr>
          <w:lang w:val="fr-FR"/>
        </w:rPr>
        <w:t xml:space="preserve">. </w:t>
      </w:r>
      <w:r>
        <w:rPr>
          <w:lang w:val="fr-FR"/>
        </w:rPr>
        <w:t>Dans le domaine de la maladie</w:t>
      </w:r>
      <w:r w:rsidRPr="00976C24">
        <w:rPr>
          <w:lang w:val="fr-FR"/>
        </w:rPr>
        <w:t xml:space="preserve"> mentale, l’intervention </w:t>
      </w:r>
      <w:r>
        <w:rPr>
          <w:lang w:val="fr-FR"/>
        </w:rPr>
        <w:t>forcée</w:t>
      </w:r>
      <w:r w:rsidRPr="00976C24">
        <w:rPr>
          <w:lang w:val="fr-FR"/>
        </w:rPr>
        <w:t xml:space="preserve"> est réglementée séparément </w:t>
      </w:r>
      <w:r>
        <w:rPr>
          <w:lang w:val="fr-FR"/>
        </w:rPr>
        <w:t>par</w:t>
      </w:r>
      <w:r w:rsidRPr="00976C24">
        <w:rPr>
          <w:lang w:val="fr-FR"/>
        </w:rPr>
        <w:t xml:space="preserve"> la loi sur les soins de santé mentale. Le Comité pourra se reporter au</w:t>
      </w:r>
      <w:r>
        <w:rPr>
          <w:lang w:val="fr-FR"/>
        </w:rPr>
        <w:t>x</w:t>
      </w:r>
      <w:r w:rsidRPr="00976C24">
        <w:rPr>
          <w:lang w:val="fr-FR"/>
        </w:rPr>
        <w:t xml:space="preserve"> paragra</w:t>
      </w:r>
      <w:r>
        <w:rPr>
          <w:lang w:val="fr-FR"/>
        </w:rPr>
        <w:t xml:space="preserve">phes 62 à </w:t>
      </w:r>
      <w:r w:rsidRPr="00976C24">
        <w:rPr>
          <w:lang w:val="fr-FR"/>
        </w:rPr>
        <w:t>78</w:t>
      </w:r>
      <w:r>
        <w:rPr>
          <w:lang w:val="fr-FR"/>
        </w:rPr>
        <w:t xml:space="preserve"> du s</w:t>
      </w:r>
      <w:r w:rsidRPr="00976C24">
        <w:rPr>
          <w:lang w:val="fr-FR"/>
        </w:rPr>
        <w:t>ixième rapport périodique de la Norvège soumis au Comité des droits de l’homme concernant les mesures coercitives et la privation de liberté dans les soins de santé.</w:t>
      </w:r>
    </w:p>
    <w:p w:rsidR="00903547" w:rsidRPr="00976C24" w:rsidRDefault="00903547" w:rsidP="00A15920">
      <w:pPr>
        <w:pStyle w:val="SingleTxtG"/>
        <w:rPr>
          <w:lang w:val="fr-FR"/>
        </w:rPr>
      </w:pPr>
      <w:r>
        <w:rPr>
          <w:lang w:val="fr-FR"/>
        </w:rPr>
        <w:t>419.</w:t>
      </w:r>
      <w:r>
        <w:rPr>
          <w:lang w:val="fr-FR"/>
        </w:rPr>
        <w:tab/>
      </w:r>
      <w:r w:rsidRPr="00976C24">
        <w:rPr>
          <w:lang w:val="fr-FR"/>
        </w:rPr>
        <w:t xml:space="preserve">S’agissant des détenus souffrant de problèmes de santé mentale, le Comité pourra </w:t>
      </w:r>
      <w:r>
        <w:rPr>
          <w:lang w:val="fr-FR"/>
        </w:rPr>
        <w:t>se référer à l’article 3.13 du rapport</w:t>
      </w:r>
      <w:r w:rsidRPr="00976C24">
        <w:rPr>
          <w:lang w:val="fr-FR"/>
        </w:rPr>
        <w:t xml:space="preserve"> soumis </w:t>
      </w:r>
      <w:r>
        <w:rPr>
          <w:lang w:val="fr-FR"/>
        </w:rPr>
        <w:t>au titre de l’EPU</w:t>
      </w:r>
      <w:r w:rsidRPr="00976C24">
        <w:rPr>
          <w:lang w:val="fr-FR"/>
        </w:rPr>
        <w:t xml:space="preserve">. </w:t>
      </w:r>
    </w:p>
    <w:p w:rsidR="00903547" w:rsidRPr="00976C24" w:rsidRDefault="00903547" w:rsidP="00A15920">
      <w:pPr>
        <w:pStyle w:val="SingleTxtG"/>
        <w:rPr>
          <w:lang w:val="fr-FR"/>
        </w:rPr>
      </w:pPr>
      <w:r>
        <w:rPr>
          <w:lang w:val="fr-FR"/>
        </w:rPr>
        <w:t>420.</w:t>
      </w:r>
      <w:r>
        <w:rPr>
          <w:lang w:val="fr-FR"/>
        </w:rPr>
        <w:tab/>
      </w:r>
      <w:r w:rsidRPr="00976C24">
        <w:rPr>
          <w:lang w:val="fr-FR"/>
        </w:rPr>
        <w:t xml:space="preserve">Le Gouvernement </w:t>
      </w:r>
      <w:r>
        <w:rPr>
          <w:lang w:val="fr-FR"/>
        </w:rPr>
        <w:t>est décidé à</w:t>
      </w:r>
      <w:r w:rsidRPr="00976C24">
        <w:rPr>
          <w:lang w:val="fr-FR"/>
        </w:rPr>
        <w:t xml:space="preserve"> mettre en œuvre la réforme de la coordination, </w:t>
      </w:r>
      <w:r>
        <w:rPr>
          <w:lang w:val="fr-FR"/>
        </w:rPr>
        <w:t>appliquer</w:t>
      </w:r>
      <w:r w:rsidRPr="00976C24">
        <w:rPr>
          <w:lang w:val="fr-FR"/>
        </w:rPr>
        <w:t xml:space="preserve"> des mesures concrètes pour </w:t>
      </w:r>
      <w:r>
        <w:rPr>
          <w:lang w:val="fr-FR"/>
        </w:rPr>
        <w:t>limiter l’utilisation de</w:t>
      </w:r>
      <w:r w:rsidRPr="00976C24">
        <w:rPr>
          <w:lang w:val="fr-FR"/>
        </w:rPr>
        <w:t xml:space="preserve"> la contrainte, renforcer</w:t>
      </w:r>
      <w:r>
        <w:rPr>
          <w:lang w:val="fr-FR"/>
        </w:rPr>
        <w:t xml:space="preserve"> la participation </w:t>
      </w:r>
      <w:r w:rsidRPr="00976C24">
        <w:rPr>
          <w:lang w:val="fr-FR"/>
        </w:rPr>
        <w:t xml:space="preserve">des </w:t>
      </w:r>
      <w:r>
        <w:rPr>
          <w:lang w:val="fr-FR"/>
        </w:rPr>
        <w:t>patients</w:t>
      </w:r>
      <w:r w:rsidRPr="00976C24">
        <w:rPr>
          <w:lang w:val="fr-FR"/>
        </w:rPr>
        <w:t xml:space="preserve"> dans les services de santé et achever la restructuration du système global de traitement qui a commencé avec le plan d’amélioration des services de santé mentale. </w:t>
      </w:r>
      <w:r>
        <w:rPr>
          <w:lang w:val="fr-FR"/>
        </w:rPr>
        <w:t>Il faut donc</w:t>
      </w:r>
      <w:r w:rsidRPr="00976C24">
        <w:rPr>
          <w:lang w:val="fr-FR"/>
        </w:rPr>
        <w:t xml:space="preserve"> continuer à s’écarter d</w:t>
      </w:r>
      <w:r>
        <w:rPr>
          <w:lang w:val="fr-FR"/>
        </w:rPr>
        <w:t>u schéma</w:t>
      </w:r>
      <w:r w:rsidRPr="00976C24">
        <w:rPr>
          <w:lang w:val="fr-FR"/>
        </w:rPr>
        <w:t xml:space="preserve"> traditionnel</w:t>
      </w:r>
      <w:r>
        <w:rPr>
          <w:lang w:val="fr-FR"/>
        </w:rPr>
        <w:t xml:space="preserve"> qui consiste à soigner la majorité de la population dans de</w:t>
      </w:r>
      <w:r w:rsidRPr="00976C24">
        <w:rPr>
          <w:lang w:val="fr-FR"/>
        </w:rPr>
        <w:t xml:space="preserve">s institutions centralisées pour s’attacher davantage aux traitements ambulatoires de proximité et </w:t>
      </w:r>
      <w:r>
        <w:rPr>
          <w:lang w:val="fr-FR"/>
        </w:rPr>
        <w:t>aux</w:t>
      </w:r>
      <w:r w:rsidRPr="00976C24">
        <w:rPr>
          <w:lang w:val="fr-FR"/>
        </w:rPr>
        <w:t xml:space="preserve"> services de suivi </w:t>
      </w:r>
      <w:r>
        <w:rPr>
          <w:lang w:val="fr-FR"/>
        </w:rPr>
        <w:t>ac</w:t>
      </w:r>
      <w:r w:rsidRPr="00976C24">
        <w:rPr>
          <w:lang w:val="fr-FR"/>
        </w:rPr>
        <w:t xml:space="preserve">cessibles </w:t>
      </w:r>
      <w:r>
        <w:rPr>
          <w:lang w:val="fr-FR"/>
        </w:rPr>
        <w:t>sur place</w:t>
      </w:r>
      <w:r w:rsidRPr="00976C24">
        <w:rPr>
          <w:lang w:val="fr-FR"/>
        </w:rPr>
        <w:t xml:space="preserve">. Le personnel de santé doit contribuer à protéger les besoins des enfants en matière d’information et d’assistance </w:t>
      </w:r>
      <w:r>
        <w:rPr>
          <w:lang w:val="fr-FR"/>
        </w:rPr>
        <w:t xml:space="preserve">face à </w:t>
      </w:r>
      <w:r w:rsidRPr="00976C24">
        <w:rPr>
          <w:lang w:val="fr-FR"/>
        </w:rPr>
        <w:t>un parent</w:t>
      </w:r>
      <w:r>
        <w:rPr>
          <w:lang w:val="fr-FR"/>
        </w:rPr>
        <w:t xml:space="preserve"> malade</w:t>
      </w:r>
      <w:r w:rsidRPr="00976C24">
        <w:rPr>
          <w:lang w:val="fr-FR"/>
        </w:rPr>
        <w:t xml:space="preserve">. </w:t>
      </w:r>
    </w:p>
    <w:p w:rsidR="00903547" w:rsidRPr="00976C24" w:rsidRDefault="00903547" w:rsidP="0071086E">
      <w:pPr>
        <w:pStyle w:val="H1G"/>
        <w:rPr>
          <w:lang w:val="fr-FR"/>
        </w:rPr>
      </w:pPr>
      <w:bookmarkStart w:id="80" w:name="_Toc265062236"/>
      <w:r w:rsidRPr="00976C24">
        <w:rPr>
          <w:lang w:val="fr-FR"/>
        </w:rPr>
        <w:tab/>
      </w:r>
      <w:r w:rsidRPr="00976C24">
        <w:rPr>
          <w:lang w:val="fr-FR"/>
        </w:rPr>
        <w:tab/>
      </w:r>
      <w:bookmarkStart w:id="81" w:name="_Toc286326391"/>
      <w:r>
        <w:rPr>
          <w:lang w:val="fr-FR"/>
        </w:rPr>
        <w:t>Articles 13 et 14</w:t>
      </w:r>
      <w:r>
        <w:rPr>
          <w:lang w:val="fr-FR"/>
        </w:rPr>
        <w:br/>
      </w:r>
      <w:r w:rsidRPr="00976C24">
        <w:rPr>
          <w:lang w:val="fr-FR"/>
        </w:rPr>
        <w:t>Droit à l’éducation</w:t>
      </w:r>
      <w:bookmarkEnd w:id="80"/>
      <w:bookmarkEnd w:id="81"/>
    </w:p>
    <w:p w:rsidR="00903547" w:rsidRPr="00976C24" w:rsidRDefault="00903547" w:rsidP="00A15920">
      <w:pPr>
        <w:pStyle w:val="SingleTxtG"/>
        <w:rPr>
          <w:lang w:val="fr-FR"/>
        </w:rPr>
      </w:pPr>
      <w:r>
        <w:rPr>
          <w:lang w:val="fr-FR"/>
        </w:rPr>
        <w:t>421.</w:t>
      </w:r>
      <w:r>
        <w:rPr>
          <w:lang w:val="fr-FR"/>
        </w:rPr>
        <w:tab/>
      </w:r>
      <w:r w:rsidRPr="00976C24">
        <w:rPr>
          <w:lang w:val="fr-FR"/>
        </w:rPr>
        <w:t>Le Comité pourra se reporter au</w:t>
      </w:r>
      <w:r>
        <w:rPr>
          <w:lang w:val="fr-FR"/>
        </w:rPr>
        <w:t xml:space="preserve">x paragraphes 370 à </w:t>
      </w:r>
      <w:r w:rsidRPr="00976C24">
        <w:rPr>
          <w:lang w:val="fr-FR"/>
        </w:rPr>
        <w:t>453</w:t>
      </w:r>
      <w:r>
        <w:rPr>
          <w:lang w:val="fr-FR"/>
        </w:rPr>
        <w:t xml:space="preserve"> du </w:t>
      </w:r>
      <w:r w:rsidRPr="00976C24">
        <w:rPr>
          <w:lang w:val="fr-FR"/>
        </w:rPr>
        <w:t xml:space="preserve">quatrième rapport de la Norvège soumis </w:t>
      </w:r>
      <w:r>
        <w:rPr>
          <w:lang w:val="fr-FR"/>
        </w:rPr>
        <w:t>en vertu du</w:t>
      </w:r>
      <w:r w:rsidRPr="00976C24">
        <w:rPr>
          <w:lang w:val="fr-FR"/>
        </w:rPr>
        <w:t xml:space="preserve"> Pacte international relatif aux droits économiques, sociaux et culturels. </w:t>
      </w:r>
      <w:r>
        <w:rPr>
          <w:lang w:val="fr-FR"/>
        </w:rPr>
        <w:t>Des renseignements à</w:t>
      </w:r>
      <w:r w:rsidRPr="00976C24">
        <w:rPr>
          <w:lang w:val="fr-FR"/>
        </w:rPr>
        <w:t xml:space="preserve"> jour sur la politique norvégienne de l’éducation au cours </w:t>
      </w:r>
      <w:r>
        <w:rPr>
          <w:lang w:val="fr-FR"/>
        </w:rPr>
        <w:t>de la première décennie du XXI</w:t>
      </w:r>
      <w:r w:rsidRPr="0002444A">
        <w:rPr>
          <w:vertAlign w:val="superscript"/>
          <w:lang w:val="fr-FR"/>
        </w:rPr>
        <w:t>e</w:t>
      </w:r>
      <w:r>
        <w:rPr>
          <w:lang w:val="fr-FR"/>
        </w:rPr>
        <w:t> </w:t>
      </w:r>
      <w:r w:rsidRPr="00976C24">
        <w:rPr>
          <w:lang w:val="fr-FR"/>
        </w:rPr>
        <w:t xml:space="preserve">siècle figurent dans la brochure intitulée </w:t>
      </w:r>
      <w:r w:rsidRPr="00976C24">
        <w:rPr>
          <w:i/>
          <w:lang w:val="fr-FR"/>
        </w:rPr>
        <w:t>L’éducation en Norvège</w:t>
      </w:r>
      <w:r w:rsidRPr="00976C24">
        <w:rPr>
          <w:rStyle w:val="FootnoteReference"/>
          <w:lang w:val="fr-FR"/>
        </w:rPr>
        <w:footnoteReference w:id="21"/>
      </w:r>
      <w:r>
        <w:rPr>
          <w:i/>
          <w:lang w:val="fr-FR"/>
        </w:rPr>
        <w:t>,</w:t>
      </w:r>
      <w:r w:rsidRPr="00976C24">
        <w:rPr>
          <w:lang w:val="fr-FR"/>
        </w:rPr>
        <w:t xml:space="preserve"> </w:t>
      </w:r>
      <w:r>
        <w:rPr>
          <w:lang w:val="fr-FR"/>
        </w:rPr>
        <w:t xml:space="preserve">dans </w:t>
      </w:r>
      <w:r w:rsidRPr="00976C24">
        <w:rPr>
          <w:lang w:val="fr-FR"/>
        </w:rPr>
        <w:t xml:space="preserve">plusieurs rapports </w:t>
      </w:r>
      <w:r>
        <w:rPr>
          <w:lang w:val="fr-FR"/>
        </w:rPr>
        <w:t>du</w:t>
      </w:r>
      <w:r w:rsidRPr="00976C24">
        <w:rPr>
          <w:lang w:val="fr-FR"/>
        </w:rPr>
        <w:t xml:space="preserve"> Ministère de l’éducation et de la recherche </w:t>
      </w:r>
      <w:r>
        <w:rPr>
          <w:lang w:val="fr-FR"/>
        </w:rPr>
        <w:t>destinés à</w:t>
      </w:r>
      <w:r w:rsidRPr="00976C24">
        <w:rPr>
          <w:lang w:val="fr-FR"/>
        </w:rPr>
        <w:t xml:space="preserve"> la base de </w:t>
      </w:r>
      <w:r>
        <w:rPr>
          <w:lang w:val="fr-FR"/>
        </w:rPr>
        <w:t>d</w:t>
      </w:r>
      <w:r w:rsidRPr="00976C24">
        <w:rPr>
          <w:lang w:val="fr-FR"/>
        </w:rPr>
        <w:t xml:space="preserve">onnées sur les systèmes d’enseignement en Europe (EURYBASE), </w:t>
      </w:r>
      <w:r>
        <w:rPr>
          <w:lang w:val="fr-FR"/>
        </w:rPr>
        <w:t>notamment</w:t>
      </w:r>
      <w:r w:rsidRPr="00976C24">
        <w:rPr>
          <w:lang w:val="fr-FR"/>
        </w:rPr>
        <w:t xml:space="preserve"> </w:t>
      </w:r>
      <w:r w:rsidRPr="00976C24">
        <w:rPr>
          <w:i/>
          <w:lang w:val="fr-FR"/>
        </w:rPr>
        <w:t>Le système d’enseignement en Norvège 2007/2008</w:t>
      </w:r>
      <w:r w:rsidRPr="00976C24">
        <w:rPr>
          <w:rStyle w:val="FootnoteReference"/>
          <w:lang w:val="fr-FR"/>
        </w:rPr>
        <w:footnoteReference w:id="22"/>
      </w:r>
      <w:r>
        <w:rPr>
          <w:i/>
          <w:lang w:val="fr-FR"/>
        </w:rPr>
        <w:t xml:space="preserve">, </w:t>
      </w:r>
      <w:r w:rsidRPr="001A1F73">
        <w:rPr>
          <w:lang w:val="fr-FR"/>
        </w:rPr>
        <w:t>et</w:t>
      </w:r>
      <w:r w:rsidRPr="00976C24">
        <w:rPr>
          <w:i/>
          <w:lang w:val="fr-FR"/>
        </w:rPr>
        <w:t xml:space="preserve"> </w:t>
      </w:r>
      <w:r w:rsidRPr="00976C24">
        <w:rPr>
          <w:lang w:val="fr-FR"/>
        </w:rPr>
        <w:t>les fiches nationales de synthèse des systèmes éducatifs en Europe et des réformes en</w:t>
      </w:r>
      <w:r>
        <w:rPr>
          <w:lang w:val="fr-FR"/>
        </w:rPr>
        <w:t xml:space="preserve"> cours – Norvège, décembre 2008</w:t>
      </w:r>
      <w:r w:rsidRPr="00976C24">
        <w:rPr>
          <w:rStyle w:val="FootnoteReference"/>
          <w:lang w:val="fr-FR"/>
        </w:rPr>
        <w:footnoteReference w:id="23"/>
      </w:r>
      <w:r>
        <w:rPr>
          <w:lang w:val="fr-FR"/>
        </w:rPr>
        <w:t>.</w:t>
      </w:r>
    </w:p>
    <w:p w:rsidR="00903547" w:rsidRPr="00976C24" w:rsidRDefault="00903547" w:rsidP="0071086E">
      <w:pPr>
        <w:pStyle w:val="H23G"/>
        <w:rPr>
          <w:lang w:val="fr-FR"/>
        </w:rPr>
      </w:pPr>
      <w:r w:rsidRPr="00976C24">
        <w:rPr>
          <w:lang w:val="fr-FR"/>
        </w:rPr>
        <w:tab/>
        <w:t>1.</w:t>
      </w:r>
      <w:r w:rsidRPr="00976C24">
        <w:rPr>
          <w:lang w:val="fr-FR"/>
        </w:rPr>
        <w:tab/>
      </w:r>
      <w:r>
        <w:rPr>
          <w:lang w:val="fr-FR"/>
        </w:rPr>
        <w:t>Indiquer dans quelle m</w:t>
      </w:r>
      <w:r w:rsidRPr="00976C24">
        <w:rPr>
          <w:lang w:val="fr-FR"/>
        </w:rPr>
        <w:t>esure l’enseignement dans l’</w:t>
      </w:r>
      <w:r>
        <w:rPr>
          <w:lang w:val="fr-FR"/>
        </w:rPr>
        <w:t>État</w:t>
      </w:r>
      <w:r w:rsidRPr="00976C24">
        <w:rPr>
          <w:lang w:val="fr-FR"/>
        </w:rPr>
        <w:t xml:space="preserve"> partie tend, dans la forme et sur le fond, à la réalisation des buts et objectifs énoncés au paragraphe 1 de l’article 13 et </w:t>
      </w:r>
      <w:r>
        <w:rPr>
          <w:lang w:val="fr-FR"/>
        </w:rPr>
        <w:t xml:space="preserve">si </w:t>
      </w:r>
      <w:r w:rsidRPr="00976C24">
        <w:rPr>
          <w:lang w:val="fr-FR"/>
        </w:rPr>
        <w:t>les programmes scolaires prévoient l’enseignement des droits économiques, sociaux et culturels (E/2009/22-E/C.12/2008/3, annexe VIII, par.</w:t>
      </w:r>
      <w:r>
        <w:rPr>
          <w:lang w:val="fr-FR"/>
        </w:rPr>
        <w:t> </w:t>
      </w:r>
      <w:r w:rsidRPr="00976C24">
        <w:rPr>
          <w:lang w:val="fr-FR"/>
        </w:rPr>
        <w:t>58)</w:t>
      </w:r>
    </w:p>
    <w:p w:rsidR="00903547" w:rsidRPr="00976C24" w:rsidRDefault="00903547" w:rsidP="00A15920">
      <w:pPr>
        <w:pStyle w:val="SingleTxtG"/>
        <w:rPr>
          <w:lang w:val="fr-FR"/>
        </w:rPr>
      </w:pPr>
      <w:r>
        <w:rPr>
          <w:lang w:val="fr-FR"/>
        </w:rPr>
        <w:t>422.</w:t>
      </w:r>
      <w:r>
        <w:rPr>
          <w:lang w:val="fr-FR"/>
        </w:rPr>
        <w:tab/>
      </w:r>
      <w:r w:rsidRPr="00976C24">
        <w:rPr>
          <w:lang w:val="fr-FR"/>
        </w:rPr>
        <w:t xml:space="preserve">En </w:t>
      </w:r>
      <w:r>
        <w:rPr>
          <w:lang w:val="fr-FR"/>
        </w:rPr>
        <w:t>vertu de la loi sur l’éducation</w:t>
      </w:r>
      <w:r w:rsidRPr="00976C24">
        <w:rPr>
          <w:rStyle w:val="FootnoteReference"/>
          <w:lang w:val="fr-FR"/>
        </w:rPr>
        <w:footnoteReference w:id="24"/>
      </w:r>
      <w:r>
        <w:rPr>
          <w:lang w:val="fr-FR"/>
        </w:rPr>
        <w:t>,</w:t>
      </w:r>
      <w:r w:rsidRPr="00976C24">
        <w:rPr>
          <w:lang w:val="fr-FR"/>
        </w:rPr>
        <w:t xml:space="preserve"> tous les enfants et </w:t>
      </w:r>
      <w:r>
        <w:rPr>
          <w:lang w:val="fr-FR"/>
        </w:rPr>
        <w:t xml:space="preserve">adolescents </w:t>
      </w:r>
      <w:r w:rsidRPr="00976C24">
        <w:rPr>
          <w:lang w:val="fr-FR"/>
        </w:rPr>
        <w:t xml:space="preserve">sont en droit de recevoir une </w:t>
      </w:r>
      <w:r>
        <w:rPr>
          <w:lang w:val="fr-FR"/>
        </w:rPr>
        <w:t>instruction</w:t>
      </w:r>
      <w:r w:rsidRPr="00976C24">
        <w:rPr>
          <w:lang w:val="fr-FR"/>
        </w:rPr>
        <w:t xml:space="preserve"> primaire et secondaire. L’enseignement primaire et le premier cycle du secondaire sont obligatoires </w:t>
      </w:r>
      <w:r>
        <w:rPr>
          <w:lang w:val="fr-FR"/>
        </w:rPr>
        <w:t>(</w:t>
      </w:r>
      <w:r w:rsidRPr="00976C24">
        <w:rPr>
          <w:lang w:val="fr-FR"/>
        </w:rPr>
        <w:t>6 à 16 ans</w:t>
      </w:r>
      <w:r>
        <w:rPr>
          <w:lang w:val="fr-FR"/>
        </w:rPr>
        <w:t>)</w:t>
      </w:r>
      <w:r w:rsidRPr="00976C24">
        <w:rPr>
          <w:lang w:val="fr-FR"/>
        </w:rPr>
        <w:t xml:space="preserve">. La loi interdit toute discrimination en cela qu’elle garantit l’accès à l’enseignement </w:t>
      </w:r>
      <w:r>
        <w:rPr>
          <w:lang w:val="fr-FR"/>
        </w:rPr>
        <w:t>de</w:t>
      </w:r>
      <w:r w:rsidRPr="00976C24">
        <w:rPr>
          <w:lang w:val="fr-FR"/>
        </w:rPr>
        <w:t xml:space="preserve"> tous les enfants et </w:t>
      </w:r>
      <w:r>
        <w:rPr>
          <w:lang w:val="fr-FR"/>
        </w:rPr>
        <w:t>adolescents</w:t>
      </w:r>
      <w:r w:rsidRPr="00976C24">
        <w:rPr>
          <w:lang w:val="fr-FR"/>
        </w:rPr>
        <w:t xml:space="preserve"> sans considération de race, couleur de peau, sexe, langue, religion, opinions politiques ou autres, origine nationale ou sociale, situation économique ou naissance. L’enseignement obligatoire est général et mixte. L’objectif est d’offrir à tous les élèves une instruction adaptée à leurs aptitudes individuelles. Le principe s’applique aux élèves ayant des difficultés d’apprentissage ou d’autres handicaps comme à ceux qui ont des capacités spéciales, qu’elles soient théoriques, pratiques, physiques ou esthétiques. </w:t>
      </w:r>
    </w:p>
    <w:p w:rsidR="00903547" w:rsidRPr="00976C24" w:rsidRDefault="00903547" w:rsidP="00A15920">
      <w:pPr>
        <w:pStyle w:val="SingleTxtG"/>
        <w:rPr>
          <w:lang w:val="fr-FR"/>
        </w:rPr>
      </w:pPr>
      <w:r>
        <w:rPr>
          <w:lang w:val="fr-FR"/>
        </w:rPr>
        <w:t>423.</w:t>
      </w:r>
      <w:r>
        <w:rPr>
          <w:lang w:val="fr-FR"/>
        </w:rPr>
        <w:tab/>
      </w:r>
      <w:r w:rsidRPr="00976C24">
        <w:rPr>
          <w:lang w:val="fr-FR"/>
        </w:rPr>
        <w:t>Les objectifs de l’enseignement et de la formation sont précisés à l’article</w:t>
      </w:r>
      <w:r>
        <w:rPr>
          <w:lang w:val="fr-FR"/>
        </w:rPr>
        <w:t> </w:t>
      </w:r>
      <w:r w:rsidRPr="00976C24">
        <w:rPr>
          <w:lang w:val="fr-FR"/>
        </w:rPr>
        <w:t>1-1 de la loi sur l’éducation.</w:t>
      </w:r>
    </w:p>
    <w:p w:rsidR="00903547" w:rsidRPr="00976C24" w:rsidRDefault="00903547" w:rsidP="00A15920">
      <w:pPr>
        <w:pStyle w:val="SingleTxtG"/>
        <w:rPr>
          <w:lang w:val="fr-FR"/>
        </w:rPr>
      </w:pPr>
      <w:r>
        <w:rPr>
          <w:lang w:val="fr-FR"/>
        </w:rPr>
        <w:t>424.</w:t>
      </w:r>
      <w:r>
        <w:rPr>
          <w:lang w:val="fr-FR"/>
        </w:rPr>
        <w:tab/>
      </w:r>
      <w:r w:rsidRPr="00976C24">
        <w:rPr>
          <w:lang w:val="fr-FR"/>
        </w:rPr>
        <w:t>L’éducation aux droits de l’homme, y compris aux droits économiques, sociaux et culturels</w:t>
      </w:r>
      <w:r>
        <w:rPr>
          <w:lang w:val="fr-FR"/>
        </w:rPr>
        <w:t>,</w:t>
      </w:r>
      <w:r w:rsidRPr="00976C24">
        <w:rPr>
          <w:lang w:val="fr-FR"/>
        </w:rPr>
        <w:t xml:space="preserve"> est inscrite dans les programmes scolaires. Le Comité pourra se reporter à la réponse du Gouvernement au paragraphe</w:t>
      </w:r>
      <w:r>
        <w:rPr>
          <w:lang w:val="fr-FR"/>
        </w:rPr>
        <w:t> </w:t>
      </w:r>
      <w:r w:rsidRPr="00976C24">
        <w:rPr>
          <w:lang w:val="fr-FR"/>
        </w:rPr>
        <w:t>23 des observations finales</w:t>
      </w:r>
      <w:r>
        <w:rPr>
          <w:lang w:val="fr-FR"/>
        </w:rPr>
        <w:t xml:space="preserve"> figurant dans le présent rapport</w:t>
      </w:r>
      <w:r w:rsidRPr="00976C24">
        <w:rPr>
          <w:lang w:val="fr-FR"/>
        </w:rPr>
        <w:t xml:space="preserve">. </w:t>
      </w:r>
    </w:p>
    <w:p w:rsidR="00903547" w:rsidRPr="00976C24" w:rsidRDefault="00903547" w:rsidP="00A15920">
      <w:pPr>
        <w:pStyle w:val="SingleTxtG"/>
        <w:rPr>
          <w:lang w:val="fr-FR"/>
        </w:rPr>
      </w:pPr>
      <w:r>
        <w:rPr>
          <w:lang w:val="fr-FR"/>
        </w:rPr>
        <w:t>425.</w:t>
      </w:r>
      <w:r>
        <w:rPr>
          <w:lang w:val="fr-FR"/>
        </w:rPr>
        <w:tab/>
      </w:r>
      <w:r w:rsidRPr="00976C24">
        <w:rPr>
          <w:lang w:val="fr-FR"/>
        </w:rPr>
        <w:t xml:space="preserve">Des mesures ont été prises pour </w:t>
      </w:r>
      <w:r>
        <w:rPr>
          <w:lang w:val="fr-FR"/>
        </w:rPr>
        <w:t>modifier</w:t>
      </w:r>
      <w:r w:rsidRPr="00976C24">
        <w:rPr>
          <w:lang w:val="fr-FR"/>
        </w:rPr>
        <w:t xml:space="preserve"> la disposition juridique relative </w:t>
      </w:r>
      <w:r>
        <w:rPr>
          <w:lang w:val="fr-FR"/>
        </w:rPr>
        <w:t>à</w:t>
      </w:r>
      <w:r w:rsidRPr="00976C24">
        <w:rPr>
          <w:lang w:val="fr-FR"/>
        </w:rPr>
        <w:t xml:space="preserve"> l’enseignement des religions, des philosophies de la vie et </w:t>
      </w:r>
      <w:r>
        <w:rPr>
          <w:lang w:val="fr-FR"/>
        </w:rPr>
        <w:t xml:space="preserve">de </w:t>
      </w:r>
      <w:r w:rsidRPr="00976C24">
        <w:rPr>
          <w:lang w:val="fr-FR"/>
        </w:rPr>
        <w:t>la morale. Jusqu’en 2008, cet enseignement était dispensé dans le cadre de l’a</w:t>
      </w:r>
      <w:r>
        <w:rPr>
          <w:lang w:val="fr-FR"/>
        </w:rPr>
        <w:t>ncienne discipline obligatoire «</w:t>
      </w:r>
      <w:r w:rsidRPr="00976C24">
        <w:rPr>
          <w:lang w:val="fr-FR"/>
        </w:rPr>
        <w:t>Connaissance chrétienne et éducation religieuse et morale</w:t>
      </w:r>
      <w:r>
        <w:rPr>
          <w:lang w:val="fr-FR"/>
        </w:rPr>
        <w:t>»</w:t>
      </w:r>
      <w:r w:rsidRPr="00976C24">
        <w:rPr>
          <w:lang w:val="fr-FR"/>
        </w:rPr>
        <w:t xml:space="preserve">. </w:t>
      </w:r>
      <w:r>
        <w:rPr>
          <w:lang w:val="fr-FR"/>
        </w:rPr>
        <w:t>Des</w:t>
      </w:r>
      <w:r w:rsidRPr="00976C24">
        <w:rPr>
          <w:lang w:val="fr-FR"/>
        </w:rPr>
        <w:t xml:space="preserve"> plaintes </w:t>
      </w:r>
      <w:r>
        <w:rPr>
          <w:lang w:val="fr-FR"/>
        </w:rPr>
        <w:t>déposées</w:t>
      </w:r>
      <w:r w:rsidRPr="00976C24">
        <w:rPr>
          <w:lang w:val="fr-FR"/>
        </w:rPr>
        <w:t xml:space="preserve"> par des groupes de parents à la fois auprès du Comité des droits de l’homme et de la Cour européenne des droits de l’homme, y compris un arrêt de la Cour européenne des droits de l’homme en juin 2007 (affaire KRL), </w:t>
      </w:r>
      <w:r>
        <w:rPr>
          <w:lang w:val="fr-FR"/>
        </w:rPr>
        <w:t xml:space="preserve">ont donné lieu à </w:t>
      </w:r>
      <w:r w:rsidRPr="00976C24">
        <w:rPr>
          <w:lang w:val="fr-FR"/>
        </w:rPr>
        <w:t>une r</w:t>
      </w:r>
      <w:r>
        <w:rPr>
          <w:lang w:val="fr-FR"/>
        </w:rPr>
        <w:t>efonte de cet enseignement</w:t>
      </w:r>
      <w:r w:rsidRPr="00976C24">
        <w:rPr>
          <w:lang w:val="fr-FR"/>
        </w:rPr>
        <w:t>. En 2008, l’article 2-4 de la loi sur l’éducation a été remanié et la discipline en question est devenu</w:t>
      </w:r>
      <w:r>
        <w:rPr>
          <w:lang w:val="fr-FR"/>
        </w:rPr>
        <w:t>e «</w:t>
      </w:r>
      <w:r w:rsidRPr="00976C24">
        <w:rPr>
          <w:lang w:val="fr-FR"/>
        </w:rPr>
        <w:t>Religion, p</w:t>
      </w:r>
      <w:r>
        <w:rPr>
          <w:lang w:val="fr-FR"/>
        </w:rPr>
        <w:t>hilosophies de la vie et morale»</w:t>
      </w:r>
      <w:r w:rsidRPr="00976C24">
        <w:rPr>
          <w:lang w:val="fr-FR"/>
        </w:rPr>
        <w:t xml:space="preserve">. Le nouvel article de la loi </w:t>
      </w:r>
      <w:r>
        <w:rPr>
          <w:lang w:val="fr-FR"/>
        </w:rPr>
        <w:t>précise</w:t>
      </w:r>
      <w:r w:rsidRPr="00976C24">
        <w:rPr>
          <w:lang w:val="fr-FR"/>
        </w:rPr>
        <w:t xml:space="preserve"> qu</w:t>
      </w:r>
      <w:r>
        <w:rPr>
          <w:lang w:val="fr-FR"/>
        </w:rPr>
        <w:t>’elle</w:t>
      </w:r>
      <w:r w:rsidRPr="00976C24">
        <w:rPr>
          <w:lang w:val="fr-FR"/>
        </w:rPr>
        <w:t xml:space="preserve"> doit être enseignée d’une manière objective, critique et pluraliste. Le programme a été modifié </w:t>
      </w:r>
      <w:r>
        <w:rPr>
          <w:lang w:val="fr-FR"/>
        </w:rPr>
        <w:t>en conséquence</w:t>
      </w:r>
      <w:r w:rsidRPr="00976C24">
        <w:rPr>
          <w:lang w:val="fr-FR"/>
        </w:rPr>
        <w:t>. Le Gouvernement considère qu</w:t>
      </w:r>
      <w:r>
        <w:rPr>
          <w:lang w:val="fr-FR"/>
        </w:rPr>
        <w:t>e la nouvelle</w:t>
      </w:r>
      <w:r w:rsidRPr="00976C24">
        <w:rPr>
          <w:lang w:val="fr-FR"/>
        </w:rPr>
        <w:t xml:space="preserve"> discipline scolaire fondée sur la connaissance</w:t>
      </w:r>
      <w:r>
        <w:rPr>
          <w:lang w:val="fr-FR"/>
        </w:rPr>
        <w:t xml:space="preserve"> contribuera à renforcer la compréhension</w:t>
      </w:r>
      <w:r w:rsidRPr="00976C24">
        <w:rPr>
          <w:lang w:val="fr-FR"/>
        </w:rPr>
        <w:t xml:space="preserve">, la tolérance et le respect mutuel entre les groupes d’élèves, </w:t>
      </w:r>
      <w:r>
        <w:rPr>
          <w:lang w:val="fr-FR"/>
        </w:rPr>
        <w:t>indépendamment de leur</w:t>
      </w:r>
      <w:r w:rsidRPr="00976C24">
        <w:rPr>
          <w:lang w:val="fr-FR"/>
        </w:rPr>
        <w:t xml:space="preserve"> religion </w:t>
      </w:r>
      <w:r>
        <w:rPr>
          <w:lang w:val="fr-FR"/>
        </w:rPr>
        <w:t xml:space="preserve">ou </w:t>
      </w:r>
      <w:r w:rsidRPr="00976C24">
        <w:rPr>
          <w:lang w:val="fr-FR"/>
        </w:rPr>
        <w:t xml:space="preserve">origine ethnique. </w:t>
      </w:r>
    </w:p>
    <w:p w:rsidR="00903547" w:rsidRPr="00976C24" w:rsidRDefault="00903547" w:rsidP="0071086E">
      <w:pPr>
        <w:pStyle w:val="H23G"/>
        <w:rPr>
          <w:lang w:val="fr-FR"/>
        </w:rPr>
      </w:pPr>
      <w:r w:rsidRPr="00976C24">
        <w:rPr>
          <w:lang w:val="fr-FR"/>
        </w:rPr>
        <w:tab/>
        <w:t>2.</w:t>
      </w:r>
      <w:r w:rsidRPr="00976C24">
        <w:rPr>
          <w:lang w:val="fr-FR"/>
        </w:rPr>
        <w:tab/>
      </w:r>
      <w:r>
        <w:rPr>
          <w:lang w:val="fr-FR"/>
        </w:rPr>
        <w:t>Moyens par lesquels</w:t>
      </w:r>
      <w:r w:rsidRPr="00976C24">
        <w:rPr>
          <w:lang w:val="fr-FR"/>
        </w:rPr>
        <w:t xml:space="preserve"> l’</w:t>
      </w:r>
      <w:r>
        <w:rPr>
          <w:lang w:val="fr-FR"/>
        </w:rPr>
        <w:t>État</w:t>
      </w:r>
      <w:r w:rsidRPr="00976C24">
        <w:rPr>
          <w:lang w:val="fr-FR"/>
        </w:rPr>
        <w:t xml:space="preserve"> partie s’acquitte de l’obligation d’assurer un enseignement primaire obligatoire et gratuit pour tous (E/2009/22-E/C.12/2008/3, annexe VIII, par.</w:t>
      </w:r>
      <w:r>
        <w:rPr>
          <w:lang w:val="fr-FR"/>
        </w:rPr>
        <w:t> </w:t>
      </w:r>
      <w:r w:rsidRPr="00976C24">
        <w:rPr>
          <w:lang w:val="fr-FR"/>
        </w:rPr>
        <w:t>59)</w:t>
      </w:r>
    </w:p>
    <w:p w:rsidR="00903547" w:rsidRPr="00976C24" w:rsidRDefault="00903547" w:rsidP="00A15920">
      <w:pPr>
        <w:pStyle w:val="SingleTxtG"/>
        <w:rPr>
          <w:i/>
          <w:lang w:val="fr-FR"/>
        </w:rPr>
      </w:pPr>
      <w:r>
        <w:rPr>
          <w:lang w:val="fr-FR"/>
        </w:rPr>
        <w:t>426.</w:t>
      </w:r>
      <w:r>
        <w:rPr>
          <w:lang w:val="fr-FR"/>
        </w:rPr>
        <w:tab/>
      </w:r>
      <w:r w:rsidRPr="00976C24">
        <w:rPr>
          <w:lang w:val="fr-FR"/>
        </w:rPr>
        <w:t>L</w:t>
      </w:r>
      <w:r>
        <w:rPr>
          <w:lang w:val="fr-FR"/>
        </w:rPr>
        <w:t>’éducation</w:t>
      </w:r>
      <w:r w:rsidRPr="00976C24">
        <w:rPr>
          <w:lang w:val="fr-FR"/>
        </w:rPr>
        <w:t xml:space="preserve"> de base est obligatoire et gratuite (de 6 à 16 ans) en Norvège. L’admission dans l’enseignement primaire et le premier cycle du secondaire est réglementée par l’article 2-1 de la loi qui </w:t>
      </w:r>
      <w:r>
        <w:rPr>
          <w:lang w:val="fr-FR"/>
        </w:rPr>
        <w:t>dispose</w:t>
      </w:r>
      <w:r w:rsidRPr="00976C24">
        <w:rPr>
          <w:lang w:val="fr-FR"/>
        </w:rPr>
        <w:t xml:space="preserve"> que les enfants et les jeunes sont tenus de suivre les cours de l’enseignement primaire et du premier cycle du secondaire et en droit de recevoir une instruction publique à ces niveaux.</w:t>
      </w:r>
    </w:p>
    <w:p w:rsidR="00903547" w:rsidRPr="00976C24" w:rsidRDefault="00903547" w:rsidP="00A15920">
      <w:pPr>
        <w:pStyle w:val="SingleTxtG"/>
        <w:rPr>
          <w:lang w:val="fr-FR"/>
        </w:rPr>
      </w:pPr>
      <w:r>
        <w:rPr>
          <w:lang w:val="fr-FR"/>
        </w:rPr>
        <w:t>427.</w:t>
      </w:r>
      <w:r>
        <w:rPr>
          <w:lang w:val="fr-FR"/>
        </w:rPr>
        <w:tab/>
      </w:r>
      <w:r w:rsidRPr="00976C24">
        <w:rPr>
          <w:lang w:val="fr-FR"/>
        </w:rPr>
        <w:t xml:space="preserve">Tous les résidents de Norvège </w:t>
      </w:r>
      <w:r>
        <w:rPr>
          <w:lang w:val="fr-FR"/>
        </w:rPr>
        <w:t>peuvent suivre l’enseignement</w:t>
      </w:r>
      <w:r w:rsidRPr="00976C24">
        <w:rPr>
          <w:lang w:val="fr-FR"/>
        </w:rPr>
        <w:t xml:space="preserve"> primaire lorsqu’il apparaît qu’ils résideront en Norvège pendant une période supérieure à trois mois. Après ces premiers trois mois</w:t>
      </w:r>
      <w:r>
        <w:rPr>
          <w:lang w:val="fr-FR"/>
        </w:rPr>
        <w:t xml:space="preserve"> ils sont tenus</w:t>
      </w:r>
      <w:r w:rsidRPr="00976C24">
        <w:rPr>
          <w:lang w:val="fr-FR"/>
        </w:rPr>
        <w:t xml:space="preserve"> de suivre les cours de l’enseignement primaire et du premier cycle du secondaire. </w:t>
      </w:r>
    </w:p>
    <w:p w:rsidR="00903547" w:rsidRPr="00976C24" w:rsidRDefault="00903547" w:rsidP="00A15920">
      <w:pPr>
        <w:pStyle w:val="SingleTxtG"/>
        <w:rPr>
          <w:i/>
          <w:lang w:val="fr-FR"/>
        </w:rPr>
      </w:pPr>
      <w:r>
        <w:rPr>
          <w:lang w:val="fr-FR"/>
        </w:rPr>
        <w:t>428.</w:t>
      </w:r>
      <w:r>
        <w:rPr>
          <w:lang w:val="fr-FR"/>
        </w:rPr>
        <w:tab/>
      </w:r>
      <w:r w:rsidRPr="00976C24">
        <w:rPr>
          <w:lang w:val="fr-FR"/>
        </w:rPr>
        <w:t xml:space="preserve">L’enseignement primaire et le premier cycle du secondaire sont gratuits, voir </w:t>
      </w:r>
      <w:r>
        <w:rPr>
          <w:lang w:val="fr-FR"/>
        </w:rPr>
        <w:t>l’</w:t>
      </w:r>
      <w:r w:rsidRPr="00976C24">
        <w:rPr>
          <w:lang w:val="fr-FR"/>
        </w:rPr>
        <w:t xml:space="preserve">article 2-15 de la loi sur l’éducation, de même que l’enseignement et la formation dispensés </w:t>
      </w:r>
      <w:r>
        <w:rPr>
          <w:lang w:val="fr-FR"/>
        </w:rPr>
        <w:t>au niveau du</w:t>
      </w:r>
      <w:r w:rsidRPr="00976C24">
        <w:rPr>
          <w:lang w:val="fr-FR"/>
        </w:rPr>
        <w:t xml:space="preserve"> deuxième cycle du secondaire public ou </w:t>
      </w:r>
      <w:r>
        <w:rPr>
          <w:lang w:val="fr-FR"/>
        </w:rPr>
        <w:t xml:space="preserve">dans </w:t>
      </w:r>
      <w:r w:rsidRPr="00976C24">
        <w:rPr>
          <w:lang w:val="fr-FR"/>
        </w:rPr>
        <w:t>les établissements de formation.</w:t>
      </w:r>
    </w:p>
    <w:p w:rsidR="00903547" w:rsidRPr="00976C24" w:rsidRDefault="00903547" w:rsidP="00A15920">
      <w:pPr>
        <w:pStyle w:val="SingleTxtG"/>
        <w:rPr>
          <w:i/>
          <w:lang w:val="fr-FR"/>
        </w:rPr>
      </w:pPr>
      <w:r>
        <w:rPr>
          <w:lang w:val="fr-FR"/>
        </w:rPr>
        <w:t>429.</w:t>
      </w:r>
      <w:r>
        <w:rPr>
          <w:lang w:val="fr-FR"/>
        </w:rPr>
        <w:tab/>
      </w:r>
      <w:r w:rsidRPr="00976C24">
        <w:rPr>
          <w:lang w:val="fr-FR"/>
        </w:rPr>
        <w:t xml:space="preserve">Conformément à </w:t>
      </w:r>
      <w:r>
        <w:rPr>
          <w:lang w:val="fr-FR"/>
        </w:rPr>
        <w:t>l’</w:t>
      </w:r>
      <w:r w:rsidRPr="00976C24">
        <w:rPr>
          <w:lang w:val="fr-FR"/>
        </w:rPr>
        <w:t>article 1-3</w:t>
      </w:r>
      <w:r>
        <w:rPr>
          <w:lang w:val="fr-FR"/>
        </w:rPr>
        <w:t xml:space="preserve"> de </w:t>
      </w:r>
      <w:r w:rsidRPr="00976C24">
        <w:rPr>
          <w:lang w:val="fr-FR"/>
        </w:rPr>
        <w:t>la loi sur l’éducation, l’enseignement doit être adapté aux capacités et aptitude</w:t>
      </w:r>
      <w:r>
        <w:rPr>
          <w:lang w:val="fr-FR"/>
        </w:rPr>
        <w:t>s</w:t>
      </w:r>
      <w:r w:rsidRPr="00976C24">
        <w:rPr>
          <w:lang w:val="fr-FR"/>
        </w:rPr>
        <w:t xml:space="preserve"> de chaque élève, apprenti ou candidat à une formation. </w:t>
      </w:r>
      <w:r>
        <w:rPr>
          <w:lang w:val="fr-FR"/>
        </w:rPr>
        <w:t xml:space="preserve">La loi prévoit le droit à </w:t>
      </w:r>
      <w:r w:rsidRPr="00976C24">
        <w:rPr>
          <w:lang w:val="fr-FR"/>
        </w:rPr>
        <w:t>un</w:t>
      </w:r>
      <w:r>
        <w:rPr>
          <w:lang w:val="fr-FR"/>
        </w:rPr>
        <w:t xml:space="preserve"> enseignement spécial si</w:t>
      </w:r>
      <w:r w:rsidRPr="00976C24">
        <w:rPr>
          <w:lang w:val="fr-FR"/>
        </w:rPr>
        <w:t xml:space="preserve"> l’école est dans l’incapacité d’adapter </w:t>
      </w:r>
      <w:r>
        <w:rPr>
          <w:lang w:val="fr-FR"/>
        </w:rPr>
        <w:t>sa pédagogie</w:t>
      </w:r>
      <w:r w:rsidRPr="00976C24">
        <w:rPr>
          <w:lang w:val="fr-FR"/>
        </w:rPr>
        <w:t xml:space="preserve"> </w:t>
      </w:r>
      <w:r>
        <w:rPr>
          <w:lang w:val="fr-FR"/>
        </w:rPr>
        <w:t>pour</w:t>
      </w:r>
      <w:r w:rsidRPr="00976C24">
        <w:rPr>
          <w:lang w:val="fr-FR"/>
        </w:rPr>
        <w:t xml:space="preserve"> que l’élève puisse </w:t>
      </w:r>
      <w:r>
        <w:rPr>
          <w:lang w:val="fr-FR"/>
        </w:rPr>
        <w:t>tirer parti</w:t>
      </w:r>
      <w:r w:rsidRPr="00976C24">
        <w:rPr>
          <w:lang w:val="fr-FR"/>
        </w:rPr>
        <w:t xml:space="preserve"> </w:t>
      </w:r>
      <w:r>
        <w:rPr>
          <w:lang w:val="fr-FR"/>
        </w:rPr>
        <w:t>des cours ordinaires</w:t>
      </w:r>
      <w:r w:rsidRPr="00976C24">
        <w:rPr>
          <w:lang w:val="fr-FR"/>
        </w:rPr>
        <w:t xml:space="preserve">. Ainsi, le droit n’est pas lié à un </w:t>
      </w:r>
      <w:r>
        <w:rPr>
          <w:lang w:val="fr-FR"/>
        </w:rPr>
        <w:t xml:space="preserve">retard ou à des </w:t>
      </w:r>
      <w:r w:rsidRPr="00976C24">
        <w:rPr>
          <w:lang w:val="fr-FR"/>
        </w:rPr>
        <w:t>problème</w:t>
      </w:r>
      <w:r>
        <w:rPr>
          <w:lang w:val="fr-FR"/>
        </w:rPr>
        <w:t>s de</w:t>
      </w:r>
      <w:r w:rsidRPr="00976C24">
        <w:rPr>
          <w:lang w:val="fr-FR"/>
        </w:rPr>
        <w:t xml:space="preserve"> l’enfant mais à la question de savoir s’il peut bénéficier</w:t>
      </w:r>
      <w:r>
        <w:rPr>
          <w:lang w:val="fr-FR"/>
        </w:rPr>
        <w:t xml:space="preserve"> de façon satisfaisante</w:t>
      </w:r>
      <w:r w:rsidRPr="00976C24">
        <w:rPr>
          <w:lang w:val="fr-FR"/>
        </w:rPr>
        <w:t xml:space="preserve"> de cours ordinaires adaptés</w:t>
      </w:r>
      <w:r>
        <w:rPr>
          <w:lang w:val="fr-FR"/>
        </w:rPr>
        <w:t>;</w:t>
      </w:r>
      <w:r w:rsidRPr="00976C24">
        <w:rPr>
          <w:lang w:val="fr-FR"/>
        </w:rPr>
        <w:t xml:space="preserve"> voir l’article 5-1 de la loi sur l’éducation. </w:t>
      </w:r>
    </w:p>
    <w:p w:rsidR="00903547" w:rsidRPr="00976C24" w:rsidRDefault="00903547" w:rsidP="00A15920">
      <w:pPr>
        <w:pStyle w:val="SingleTxtG"/>
        <w:rPr>
          <w:lang w:val="fr-FR"/>
        </w:rPr>
      </w:pPr>
      <w:r>
        <w:rPr>
          <w:lang w:val="fr-FR"/>
        </w:rPr>
        <w:t>430.</w:t>
      </w:r>
      <w:r>
        <w:rPr>
          <w:lang w:val="fr-FR"/>
        </w:rPr>
        <w:tab/>
      </w:r>
      <w:r w:rsidRPr="00976C24">
        <w:rPr>
          <w:lang w:val="fr-FR"/>
        </w:rPr>
        <w:t xml:space="preserve">Les enfants d’âge scolaire obligatoire ayant </w:t>
      </w:r>
      <w:r>
        <w:rPr>
          <w:lang w:val="fr-FR"/>
        </w:rPr>
        <w:t>des besoins éducatifs spéciaux</w:t>
      </w:r>
      <w:r w:rsidRPr="00976C24">
        <w:rPr>
          <w:lang w:val="fr-FR"/>
        </w:rPr>
        <w:t xml:space="preserve"> ont droit à cette aide conformément à l’article 5-7</w:t>
      </w:r>
      <w:r>
        <w:rPr>
          <w:lang w:val="fr-FR"/>
        </w:rPr>
        <w:t xml:space="preserve"> de la loi</w:t>
      </w:r>
      <w:r w:rsidRPr="00976C24">
        <w:rPr>
          <w:lang w:val="fr-FR"/>
        </w:rPr>
        <w:t xml:space="preserve">. L’aide peut être apportée dans des structures d’accueil de jour, des écoles, des institutions médico-sociales, etc., ou être organisée en </w:t>
      </w:r>
      <w:r>
        <w:rPr>
          <w:lang w:val="fr-FR"/>
        </w:rPr>
        <w:t>marge</w:t>
      </w:r>
      <w:r w:rsidRPr="00976C24">
        <w:rPr>
          <w:lang w:val="fr-FR"/>
        </w:rPr>
        <w:t xml:space="preserve">. </w:t>
      </w:r>
      <w:r>
        <w:rPr>
          <w:lang w:val="fr-FR"/>
        </w:rPr>
        <w:t>O</w:t>
      </w:r>
      <w:r w:rsidRPr="00976C24">
        <w:rPr>
          <w:lang w:val="fr-FR"/>
        </w:rPr>
        <w:t xml:space="preserve">utre un </w:t>
      </w:r>
      <w:r>
        <w:rPr>
          <w:lang w:val="fr-FR"/>
        </w:rPr>
        <w:t>soutien</w:t>
      </w:r>
      <w:r w:rsidRPr="00976C24">
        <w:rPr>
          <w:lang w:val="fr-FR"/>
        </w:rPr>
        <w:t xml:space="preserve"> et une assistance spécifique</w:t>
      </w:r>
      <w:r>
        <w:rPr>
          <w:lang w:val="fr-FR"/>
        </w:rPr>
        <w:t>s,</w:t>
      </w:r>
      <w:r w:rsidRPr="00976C24">
        <w:rPr>
          <w:lang w:val="fr-FR"/>
        </w:rPr>
        <w:t xml:space="preserve"> </w:t>
      </w:r>
      <w:r>
        <w:rPr>
          <w:lang w:val="fr-FR"/>
        </w:rPr>
        <w:t>l</w:t>
      </w:r>
      <w:r w:rsidRPr="00976C24">
        <w:rPr>
          <w:lang w:val="fr-FR"/>
        </w:rPr>
        <w:t>es enfants handicapés se voient offrir</w:t>
      </w:r>
      <w:r>
        <w:rPr>
          <w:lang w:val="fr-FR"/>
        </w:rPr>
        <w:t xml:space="preserve"> tout</w:t>
      </w:r>
      <w:r w:rsidRPr="00976C24">
        <w:rPr>
          <w:lang w:val="fr-FR"/>
        </w:rPr>
        <w:t xml:space="preserve"> un</w:t>
      </w:r>
      <w:r>
        <w:rPr>
          <w:lang w:val="fr-FR"/>
        </w:rPr>
        <w:t xml:space="preserve"> éventail</w:t>
      </w:r>
      <w:r w:rsidRPr="00976C24">
        <w:rPr>
          <w:lang w:val="fr-FR"/>
        </w:rPr>
        <w:t xml:space="preserve"> d</w:t>
      </w:r>
      <w:r>
        <w:rPr>
          <w:lang w:val="fr-FR"/>
        </w:rPr>
        <w:t>e formations</w:t>
      </w:r>
      <w:r w:rsidRPr="00976C24">
        <w:rPr>
          <w:lang w:val="fr-FR"/>
        </w:rPr>
        <w:t xml:space="preserve"> </w:t>
      </w:r>
      <w:r>
        <w:rPr>
          <w:lang w:val="fr-FR"/>
        </w:rPr>
        <w:t>par</w:t>
      </w:r>
      <w:r w:rsidRPr="00976C24">
        <w:rPr>
          <w:lang w:val="fr-FR"/>
        </w:rPr>
        <w:t xml:space="preserve"> certaines municipalités, comme la natation, l’</w:t>
      </w:r>
      <w:r>
        <w:rPr>
          <w:lang w:val="fr-FR"/>
        </w:rPr>
        <w:t>aqua</w:t>
      </w:r>
      <w:r w:rsidRPr="00976C24">
        <w:rPr>
          <w:lang w:val="fr-FR"/>
        </w:rPr>
        <w:t xml:space="preserve">thérapie et l’équitation. </w:t>
      </w:r>
    </w:p>
    <w:p w:rsidR="00903547" w:rsidRPr="00976C24" w:rsidRDefault="00903547" w:rsidP="00A15920">
      <w:pPr>
        <w:pStyle w:val="SingleTxtG"/>
        <w:rPr>
          <w:lang w:val="fr-FR"/>
        </w:rPr>
      </w:pPr>
      <w:r>
        <w:rPr>
          <w:lang w:val="fr-FR"/>
        </w:rPr>
        <w:t>431.</w:t>
      </w:r>
      <w:r>
        <w:rPr>
          <w:lang w:val="fr-FR"/>
        </w:rPr>
        <w:tab/>
      </w:r>
      <w:r w:rsidRPr="00976C24">
        <w:rPr>
          <w:lang w:val="fr-FR"/>
        </w:rPr>
        <w:t xml:space="preserve">Cette disposition vise notamment à </w:t>
      </w:r>
      <w:r>
        <w:rPr>
          <w:lang w:val="fr-FR"/>
        </w:rPr>
        <w:t>ce</w:t>
      </w:r>
      <w:r w:rsidRPr="00976C24">
        <w:rPr>
          <w:lang w:val="fr-FR"/>
        </w:rPr>
        <w:t xml:space="preserve"> que les enfants reçoivent l’aide dont ils ont besoin pour suivre l’enseignement primaire et </w:t>
      </w:r>
      <w:r>
        <w:rPr>
          <w:lang w:val="fr-FR"/>
        </w:rPr>
        <w:t xml:space="preserve">à </w:t>
      </w:r>
      <w:r w:rsidRPr="00976C24">
        <w:rPr>
          <w:lang w:val="fr-FR"/>
        </w:rPr>
        <w:t>réduire l</w:t>
      </w:r>
      <w:r>
        <w:rPr>
          <w:lang w:val="fr-FR"/>
        </w:rPr>
        <w:t xml:space="preserve">a fréquentation des </w:t>
      </w:r>
      <w:r w:rsidRPr="00976C24">
        <w:rPr>
          <w:lang w:val="fr-FR"/>
        </w:rPr>
        <w:t xml:space="preserve">écoles spécialisées. </w:t>
      </w:r>
    </w:p>
    <w:p w:rsidR="00903547" w:rsidRPr="00976C24" w:rsidRDefault="00903547" w:rsidP="0071086E">
      <w:pPr>
        <w:pStyle w:val="H23G"/>
        <w:rPr>
          <w:lang w:val="fr-FR"/>
        </w:rPr>
      </w:pPr>
      <w:r w:rsidRPr="00976C24">
        <w:rPr>
          <w:lang w:val="fr-FR"/>
        </w:rPr>
        <w:tab/>
        <w:t>3.</w:t>
      </w:r>
      <w:r w:rsidRPr="00976C24">
        <w:rPr>
          <w:lang w:val="fr-FR"/>
        </w:rPr>
        <w:tab/>
        <w:t>Mesures prises pour rendre l’enseignement secondaire sous ses différentes formes, y compris l’enseignement secondaire technique et professionnel, disponible et accessible à tous (E/2009/22-E/C.12/2008/3, annexe VIII, par.</w:t>
      </w:r>
      <w:r>
        <w:rPr>
          <w:lang w:val="fr-FR"/>
        </w:rPr>
        <w:t> </w:t>
      </w:r>
      <w:r w:rsidRPr="00976C24">
        <w:rPr>
          <w:lang w:val="fr-FR"/>
        </w:rPr>
        <w:t>60)</w:t>
      </w:r>
    </w:p>
    <w:p w:rsidR="00903547" w:rsidRPr="00976C24" w:rsidRDefault="00903547" w:rsidP="00A15920">
      <w:pPr>
        <w:pStyle w:val="SingleTxtG"/>
        <w:rPr>
          <w:i/>
          <w:lang w:val="fr-FR"/>
        </w:rPr>
      </w:pPr>
      <w:r>
        <w:rPr>
          <w:lang w:val="fr-FR"/>
        </w:rPr>
        <w:t>432.</w:t>
      </w:r>
      <w:r>
        <w:rPr>
          <w:lang w:val="fr-FR"/>
        </w:rPr>
        <w:tab/>
      </w:r>
      <w:r w:rsidRPr="00976C24">
        <w:rPr>
          <w:lang w:val="fr-FR"/>
        </w:rPr>
        <w:t>Le droit à l’</w:t>
      </w:r>
      <w:r>
        <w:rPr>
          <w:lang w:val="fr-FR"/>
        </w:rPr>
        <w:t>éducation au niveau</w:t>
      </w:r>
      <w:r w:rsidRPr="00976C24">
        <w:rPr>
          <w:lang w:val="fr-FR"/>
        </w:rPr>
        <w:t xml:space="preserve"> du deuxième cycle du secondaire, y compris la formation professionnelle, est régi par l’article 3-1 de la loi sur l’éducation.</w:t>
      </w:r>
    </w:p>
    <w:p w:rsidR="00903547" w:rsidRPr="00976C24" w:rsidRDefault="00903547" w:rsidP="00A15920">
      <w:pPr>
        <w:pStyle w:val="SingleTxtG"/>
        <w:rPr>
          <w:lang w:val="fr-FR"/>
        </w:rPr>
      </w:pPr>
      <w:r>
        <w:rPr>
          <w:lang w:val="fr-FR"/>
        </w:rPr>
        <w:t>433.</w:t>
      </w:r>
      <w:r>
        <w:rPr>
          <w:lang w:val="fr-FR"/>
        </w:rPr>
        <w:tab/>
      </w:r>
      <w:r w:rsidRPr="00976C24">
        <w:rPr>
          <w:lang w:val="fr-FR"/>
        </w:rPr>
        <w:t xml:space="preserve">Tous les jeunes qui ont achevé l’enseignement primaire et le premier cycle du secondaire </w:t>
      </w:r>
      <w:r>
        <w:rPr>
          <w:lang w:val="fr-FR"/>
        </w:rPr>
        <w:t>peuvent</w:t>
      </w:r>
      <w:r w:rsidRPr="00976C24">
        <w:rPr>
          <w:lang w:val="fr-FR"/>
        </w:rPr>
        <w:t xml:space="preserve"> suivre les cours du deuxième cycle du secondaire. L’admission dans les é</w:t>
      </w:r>
      <w:r>
        <w:rPr>
          <w:lang w:val="fr-FR"/>
        </w:rPr>
        <w:t>tablissements</w:t>
      </w:r>
      <w:r w:rsidRPr="00976C24">
        <w:rPr>
          <w:lang w:val="fr-FR"/>
        </w:rPr>
        <w:t xml:space="preserve"> </w:t>
      </w:r>
      <w:r>
        <w:rPr>
          <w:lang w:val="fr-FR"/>
        </w:rPr>
        <w:t>dépend</w:t>
      </w:r>
      <w:r w:rsidRPr="00976C24">
        <w:rPr>
          <w:lang w:val="fr-FR"/>
        </w:rPr>
        <w:t xml:space="preserve"> du secteur géographique et des résultats scolaires. </w:t>
      </w:r>
    </w:p>
    <w:p w:rsidR="00903547" w:rsidRPr="00976C24" w:rsidRDefault="00903547" w:rsidP="00A15920">
      <w:pPr>
        <w:pStyle w:val="SingleTxtG"/>
        <w:rPr>
          <w:lang w:val="fr-FR"/>
        </w:rPr>
      </w:pPr>
      <w:r>
        <w:rPr>
          <w:lang w:val="fr-FR"/>
        </w:rPr>
        <w:t>434.</w:t>
      </w:r>
      <w:r>
        <w:rPr>
          <w:lang w:val="fr-FR"/>
        </w:rPr>
        <w:tab/>
      </w:r>
      <w:r w:rsidRPr="00976C24">
        <w:rPr>
          <w:lang w:val="fr-FR"/>
        </w:rPr>
        <w:t>L’enseignement et la formation dispensés dans les établissements secondaires et les centres de formation publics sont gratuits conformément à l’article 3-1 de la loi sur l’éducation. L’autorité du comté peut demander aux élèves, aux apprentis et aux candidats à une formation de se procurer le matériel personnel dont ils auront besoin pour les cours, comme de quoi</w:t>
      </w:r>
      <w:r>
        <w:rPr>
          <w:lang w:val="fr-FR"/>
        </w:rPr>
        <w:t xml:space="preserve"> écrire, une calculette ou</w:t>
      </w:r>
      <w:r w:rsidRPr="00976C24">
        <w:rPr>
          <w:lang w:val="fr-FR"/>
        </w:rPr>
        <w:t xml:space="preserve"> un</w:t>
      </w:r>
      <w:r>
        <w:rPr>
          <w:lang w:val="fr-FR"/>
        </w:rPr>
        <w:t xml:space="preserve"> ordinateur portable</w:t>
      </w:r>
      <w:r w:rsidRPr="00976C24">
        <w:rPr>
          <w:lang w:val="fr-FR"/>
        </w:rPr>
        <w:t xml:space="preserve">. Cela </w:t>
      </w:r>
      <w:r>
        <w:rPr>
          <w:lang w:val="fr-FR"/>
        </w:rPr>
        <w:t>dit</w:t>
      </w:r>
      <w:r w:rsidRPr="00976C24">
        <w:rPr>
          <w:lang w:val="fr-FR"/>
        </w:rPr>
        <w:t xml:space="preserve">, les élèves reçoivent une bourse destinée à couvrir ce type de dépenses. </w:t>
      </w:r>
    </w:p>
    <w:p w:rsidR="00903547" w:rsidRPr="00976C24" w:rsidRDefault="00903547" w:rsidP="00A15920">
      <w:pPr>
        <w:pStyle w:val="SingleTxtG"/>
        <w:rPr>
          <w:lang w:val="fr-FR"/>
        </w:rPr>
      </w:pPr>
      <w:r>
        <w:rPr>
          <w:lang w:val="fr-FR"/>
        </w:rPr>
        <w:t>435.</w:t>
      </w:r>
      <w:r>
        <w:rPr>
          <w:lang w:val="fr-FR"/>
        </w:rPr>
        <w:tab/>
      </w:r>
      <w:r w:rsidRPr="00976C24">
        <w:rPr>
          <w:lang w:val="fr-FR"/>
        </w:rPr>
        <w:t>L</w:t>
      </w:r>
      <w:r>
        <w:rPr>
          <w:lang w:val="fr-FR"/>
        </w:rPr>
        <w:t>a gestion d’entreprise</w:t>
      </w:r>
      <w:r w:rsidRPr="00976C24">
        <w:rPr>
          <w:lang w:val="fr-FR"/>
        </w:rPr>
        <w:t xml:space="preserve"> </w:t>
      </w:r>
      <w:r>
        <w:rPr>
          <w:lang w:val="fr-FR"/>
        </w:rPr>
        <w:t>dans l’</w:t>
      </w:r>
      <w:r w:rsidRPr="00976C24">
        <w:rPr>
          <w:lang w:val="fr-FR"/>
        </w:rPr>
        <w:t xml:space="preserve">éducation et </w:t>
      </w:r>
      <w:r>
        <w:rPr>
          <w:lang w:val="fr-FR"/>
        </w:rPr>
        <w:t>la</w:t>
      </w:r>
      <w:r w:rsidRPr="00976C24">
        <w:rPr>
          <w:lang w:val="fr-FR"/>
        </w:rPr>
        <w:t xml:space="preserve"> formation </w:t>
      </w:r>
      <w:r>
        <w:rPr>
          <w:lang w:val="fr-FR"/>
        </w:rPr>
        <w:t>a pour objet de mettre en place</w:t>
      </w:r>
      <w:r w:rsidRPr="00976C24">
        <w:rPr>
          <w:lang w:val="fr-FR"/>
        </w:rPr>
        <w:t xml:space="preserve"> de nouvelles activités et </w:t>
      </w:r>
      <w:r>
        <w:rPr>
          <w:lang w:val="fr-FR"/>
        </w:rPr>
        <w:t>d’identifier</w:t>
      </w:r>
      <w:r w:rsidRPr="00976C24">
        <w:rPr>
          <w:lang w:val="fr-FR"/>
        </w:rPr>
        <w:t xml:space="preserve"> de nouvelles</w:t>
      </w:r>
      <w:r>
        <w:rPr>
          <w:lang w:val="fr-FR"/>
        </w:rPr>
        <w:t xml:space="preserve"> opportunités dans </w:t>
      </w:r>
      <w:r w:rsidRPr="00976C24">
        <w:rPr>
          <w:lang w:val="fr-FR"/>
        </w:rPr>
        <w:t xml:space="preserve">un certain nombre de domaines sociaux. </w:t>
      </w:r>
      <w:r>
        <w:rPr>
          <w:lang w:val="fr-FR"/>
        </w:rPr>
        <w:t>L’</w:t>
      </w:r>
      <w:r w:rsidRPr="00976C24">
        <w:rPr>
          <w:lang w:val="fr-FR"/>
        </w:rPr>
        <w:t>e</w:t>
      </w:r>
      <w:r>
        <w:rPr>
          <w:lang w:val="fr-FR"/>
        </w:rPr>
        <w:t>sprit d’entreprise</w:t>
      </w:r>
      <w:r w:rsidRPr="00976C24">
        <w:rPr>
          <w:lang w:val="fr-FR"/>
        </w:rPr>
        <w:t xml:space="preserve"> peut être </w:t>
      </w:r>
      <w:r>
        <w:rPr>
          <w:lang w:val="fr-FR"/>
        </w:rPr>
        <w:t>axé sur</w:t>
      </w:r>
      <w:r w:rsidRPr="00976C24">
        <w:rPr>
          <w:lang w:val="fr-FR"/>
        </w:rPr>
        <w:t xml:space="preserve"> la théorie ou </w:t>
      </w:r>
      <w:r>
        <w:rPr>
          <w:lang w:val="fr-FR"/>
        </w:rPr>
        <w:t>sur</w:t>
      </w:r>
      <w:r w:rsidRPr="00976C24">
        <w:rPr>
          <w:lang w:val="fr-FR"/>
        </w:rPr>
        <w:t xml:space="preserve"> la pratique.</w:t>
      </w:r>
    </w:p>
    <w:p w:rsidR="00903547" w:rsidRPr="00976C24" w:rsidRDefault="00903547" w:rsidP="00A15920">
      <w:pPr>
        <w:pStyle w:val="SingleTxtG"/>
        <w:rPr>
          <w:lang w:val="fr-FR"/>
        </w:rPr>
      </w:pPr>
      <w:r>
        <w:rPr>
          <w:lang w:val="fr-FR"/>
        </w:rPr>
        <w:t>436.</w:t>
      </w:r>
      <w:r>
        <w:rPr>
          <w:lang w:val="fr-FR"/>
        </w:rPr>
        <w:tab/>
      </w:r>
      <w:r w:rsidRPr="00976C24">
        <w:rPr>
          <w:lang w:val="fr-FR"/>
        </w:rPr>
        <w:t>L</w:t>
      </w:r>
      <w:r>
        <w:rPr>
          <w:lang w:val="fr-FR"/>
        </w:rPr>
        <w:t>a formation à la gestion d’entreprise</w:t>
      </w:r>
      <w:r w:rsidRPr="00976C24">
        <w:rPr>
          <w:lang w:val="fr-FR"/>
        </w:rPr>
        <w:t xml:space="preserve"> doit respecter les principes fondamentaux de la politique norvégienne de l’éducation. Elle doit être prioritaire, </w:t>
      </w:r>
      <w:r>
        <w:rPr>
          <w:lang w:val="fr-FR"/>
        </w:rPr>
        <w:t>disponible pour</w:t>
      </w:r>
      <w:r w:rsidRPr="00976C24">
        <w:rPr>
          <w:lang w:val="fr-FR"/>
        </w:rPr>
        <w:t xml:space="preserve"> tous et adaptée aux capacités et besoins individu</w:t>
      </w:r>
      <w:r>
        <w:rPr>
          <w:lang w:val="fr-FR"/>
        </w:rPr>
        <w:t>el</w:t>
      </w:r>
      <w:r w:rsidRPr="00976C24">
        <w:rPr>
          <w:lang w:val="fr-FR"/>
        </w:rPr>
        <w:t xml:space="preserve">s. Chaque établissement d’enseignement est chargé d’organiser la formation en </w:t>
      </w:r>
      <w:r>
        <w:rPr>
          <w:lang w:val="fr-FR"/>
        </w:rPr>
        <w:t>gestion</w:t>
      </w:r>
      <w:r w:rsidRPr="00976C24">
        <w:rPr>
          <w:lang w:val="fr-FR"/>
        </w:rPr>
        <w:t xml:space="preserve"> d’entrepri</w:t>
      </w:r>
      <w:r>
        <w:rPr>
          <w:lang w:val="fr-FR"/>
        </w:rPr>
        <w:t>se. De plus, l’Organisation «</w:t>
      </w:r>
      <w:r w:rsidRPr="00B700B2">
        <w:rPr>
          <w:i/>
          <w:lang w:val="fr-FR"/>
        </w:rPr>
        <w:t>Junior Achievement-Young Enterprise Norway</w:t>
      </w:r>
      <w:r w:rsidRPr="00976C24">
        <w:rPr>
          <w:lang w:val="fr-FR"/>
        </w:rPr>
        <w:t xml:space="preserve">» </w:t>
      </w:r>
      <w:r>
        <w:rPr>
          <w:lang w:val="fr-FR"/>
        </w:rPr>
        <w:t>forme aux compétences requises dans c</w:t>
      </w:r>
      <w:r w:rsidRPr="00976C24">
        <w:rPr>
          <w:lang w:val="fr-FR"/>
        </w:rPr>
        <w:t xml:space="preserve">e domaine aux élèves âgés de 6 à 25 ans </w:t>
      </w:r>
      <w:r>
        <w:rPr>
          <w:lang w:val="fr-FR"/>
        </w:rPr>
        <w:t>pendant les horaires scolaires</w:t>
      </w:r>
      <w:r w:rsidRPr="00976C24">
        <w:rPr>
          <w:lang w:val="fr-FR"/>
        </w:rPr>
        <w:t xml:space="preserve">. Ces programmes </w:t>
      </w:r>
      <w:r>
        <w:rPr>
          <w:lang w:val="fr-FR"/>
        </w:rPr>
        <w:t xml:space="preserve">donnent </w:t>
      </w:r>
      <w:r w:rsidRPr="00976C24">
        <w:rPr>
          <w:lang w:val="fr-FR"/>
        </w:rPr>
        <w:t xml:space="preserve">aux étudiants </w:t>
      </w:r>
      <w:r>
        <w:rPr>
          <w:lang w:val="fr-FR"/>
        </w:rPr>
        <w:t xml:space="preserve">la possibilité </w:t>
      </w:r>
      <w:r w:rsidRPr="00976C24">
        <w:rPr>
          <w:lang w:val="fr-FR"/>
        </w:rPr>
        <w:t xml:space="preserve">de créer leur propre entreprise et </w:t>
      </w:r>
      <w:r>
        <w:rPr>
          <w:lang w:val="fr-FR"/>
        </w:rPr>
        <w:t xml:space="preserve">de </w:t>
      </w:r>
      <w:r w:rsidRPr="00976C24">
        <w:rPr>
          <w:lang w:val="fr-FR"/>
        </w:rPr>
        <w:t>développer leurs compétences en la matière avec d’autres étudiants.</w:t>
      </w:r>
    </w:p>
    <w:p w:rsidR="00903547" w:rsidRPr="00976C24" w:rsidRDefault="00903547" w:rsidP="0071086E">
      <w:pPr>
        <w:pStyle w:val="H23G"/>
        <w:rPr>
          <w:lang w:val="fr-FR"/>
        </w:rPr>
      </w:pPr>
      <w:r w:rsidRPr="00976C24">
        <w:rPr>
          <w:lang w:val="fr-FR"/>
        </w:rPr>
        <w:tab/>
        <w:t>4.</w:t>
      </w:r>
      <w:r w:rsidRPr="00976C24">
        <w:rPr>
          <w:lang w:val="fr-FR"/>
        </w:rPr>
        <w:tab/>
        <w:t>Mesures prises pour rendre l’enseignement supérieur accessible à tous dans des conditions d’égalité, sans discrimination, et mesures concrètes prises pour instaurer progressivement la gratuité de l’enseignement supérieur (E/2009/22-E/C.12/2008/3, annexe VIII, par.</w:t>
      </w:r>
      <w:r>
        <w:rPr>
          <w:lang w:val="fr-FR"/>
        </w:rPr>
        <w:t> </w:t>
      </w:r>
      <w:r w:rsidRPr="00976C24">
        <w:rPr>
          <w:lang w:val="fr-FR"/>
        </w:rPr>
        <w:t>61)</w:t>
      </w:r>
    </w:p>
    <w:p w:rsidR="00903547" w:rsidRPr="00976C24" w:rsidRDefault="00903547" w:rsidP="00A15920">
      <w:pPr>
        <w:pStyle w:val="SingleTxtG"/>
        <w:rPr>
          <w:lang w:val="fr-FR"/>
        </w:rPr>
      </w:pPr>
      <w:r>
        <w:rPr>
          <w:lang w:val="fr-FR"/>
        </w:rPr>
        <w:t>437.</w:t>
      </w:r>
      <w:r>
        <w:rPr>
          <w:lang w:val="fr-FR"/>
        </w:rPr>
        <w:tab/>
      </w:r>
      <w:r w:rsidRPr="00976C24">
        <w:rPr>
          <w:lang w:val="fr-FR"/>
        </w:rPr>
        <w:t xml:space="preserve">L’un des premiers objectifs de la politique norvégienne </w:t>
      </w:r>
      <w:r>
        <w:rPr>
          <w:lang w:val="fr-FR"/>
        </w:rPr>
        <w:t xml:space="preserve">en faveur </w:t>
      </w:r>
      <w:r w:rsidRPr="00976C24">
        <w:rPr>
          <w:lang w:val="fr-FR"/>
        </w:rPr>
        <w:t xml:space="preserve">de l’enseignement supérieur est </w:t>
      </w:r>
      <w:r>
        <w:rPr>
          <w:lang w:val="fr-FR"/>
        </w:rPr>
        <w:t xml:space="preserve">sa gratuité et son accessibilité pour </w:t>
      </w:r>
      <w:r w:rsidRPr="00976C24">
        <w:rPr>
          <w:lang w:val="fr-FR"/>
        </w:rPr>
        <w:t xml:space="preserve">tous, sans considération de l’origine sociale ou culturelle. Pour y parvenir, </w:t>
      </w:r>
      <w:r>
        <w:rPr>
          <w:lang w:val="fr-FR"/>
        </w:rPr>
        <w:t>aucun droit</w:t>
      </w:r>
      <w:r w:rsidRPr="00976C24">
        <w:rPr>
          <w:lang w:val="fr-FR"/>
        </w:rPr>
        <w:t xml:space="preserve"> d’inscription </w:t>
      </w:r>
      <w:r>
        <w:rPr>
          <w:lang w:val="fr-FR"/>
        </w:rPr>
        <w:t>n’est exigé pour les</w:t>
      </w:r>
      <w:r w:rsidRPr="00976C24">
        <w:rPr>
          <w:lang w:val="fr-FR"/>
        </w:rPr>
        <w:t xml:space="preserve"> études régulières et il existe </w:t>
      </w:r>
      <w:r>
        <w:rPr>
          <w:lang w:val="fr-FR"/>
        </w:rPr>
        <w:t>u</w:t>
      </w:r>
      <w:r w:rsidRPr="00976C24">
        <w:rPr>
          <w:lang w:val="fr-FR"/>
        </w:rPr>
        <w:t>n système performant de prêts et d’allocations</w:t>
      </w:r>
      <w:r>
        <w:rPr>
          <w:lang w:val="fr-FR"/>
        </w:rPr>
        <w:t xml:space="preserve"> pour</w:t>
      </w:r>
      <w:r w:rsidRPr="00976C24">
        <w:rPr>
          <w:lang w:val="fr-FR"/>
        </w:rPr>
        <w:t xml:space="preserve"> couvrir le</w:t>
      </w:r>
      <w:r>
        <w:rPr>
          <w:lang w:val="fr-FR"/>
        </w:rPr>
        <w:t>s frais de subsistance</w:t>
      </w:r>
      <w:r w:rsidRPr="00976C24">
        <w:rPr>
          <w:lang w:val="fr-FR"/>
        </w:rPr>
        <w:t xml:space="preserve">, </w:t>
      </w:r>
      <w:r>
        <w:rPr>
          <w:lang w:val="fr-FR"/>
        </w:rPr>
        <w:t>dont</w:t>
      </w:r>
      <w:r w:rsidRPr="00976C24">
        <w:rPr>
          <w:lang w:val="fr-FR"/>
        </w:rPr>
        <w:t xml:space="preserve"> tous les étudiants </w:t>
      </w:r>
      <w:r>
        <w:rPr>
          <w:lang w:val="fr-FR"/>
        </w:rPr>
        <w:t xml:space="preserve">peuvent bénéficier </w:t>
      </w:r>
      <w:r w:rsidRPr="00976C24">
        <w:rPr>
          <w:lang w:val="fr-FR"/>
        </w:rPr>
        <w:t>par le biais du Fonds national des prêts à l’éducation.</w:t>
      </w:r>
    </w:p>
    <w:p w:rsidR="00903547" w:rsidRPr="00976C24" w:rsidRDefault="00903547" w:rsidP="0071086E">
      <w:pPr>
        <w:pStyle w:val="H23G"/>
        <w:rPr>
          <w:lang w:val="fr-FR"/>
        </w:rPr>
      </w:pPr>
      <w:r w:rsidRPr="00976C24">
        <w:rPr>
          <w:lang w:val="fr-FR"/>
        </w:rPr>
        <w:tab/>
        <w:t>5.</w:t>
      </w:r>
      <w:r w:rsidRPr="00976C24">
        <w:rPr>
          <w:lang w:val="fr-FR"/>
        </w:rPr>
        <w:tab/>
        <w:t xml:space="preserve">Mesures prises pour promouvoir l’alphabétisation, ainsi que </w:t>
      </w:r>
      <w:r>
        <w:rPr>
          <w:lang w:val="fr-FR"/>
        </w:rPr>
        <w:t>la formation des adultes</w:t>
      </w:r>
      <w:r w:rsidRPr="00976C24">
        <w:rPr>
          <w:lang w:val="fr-FR"/>
        </w:rPr>
        <w:t xml:space="preserve"> et l’éducation permanente tout au long de la vie (E/2009/22-E/C.12/2008/3, annexe VIII, par.</w:t>
      </w:r>
      <w:r>
        <w:rPr>
          <w:lang w:val="fr-FR"/>
        </w:rPr>
        <w:t> </w:t>
      </w:r>
      <w:r w:rsidRPr="00976C24">
        <w:rPr>
          <w:lang w:val="fr-FR"/>
        </w:rPr>
        <w:t>62)</w:t>
      </w:r>
    </w:p>
    <w:p w:rsidR="00903547" w:rsidRPr="00976C24" w:rsidRDefault="00903547" w:rsidP="0071086E">
      <w:pPr>
        <w:pStyle w:val="H23G"/>
        <w:rPr>
          <w:lang w:val="fr-FR"/>
        </w:rPr>
      </w:pPr>
      <w:r w:rsidRPr="00976C24">
        <w:rPr>
          <w:lang w:val="fr-FR"/>
        </w:rPr>
        <w:tab/>
        <w:t>a)</w:t>
      </w:r>
      <w:r w:rsidRPr="00976C24">
        <w:rPr>
          <w:lang w:val="fr-FR"/>
        </w:rPr>
        <w:tab/>
      </w:r>
      <w:bookmarkStart w:id="82" w:name="_Toc286326392"/>
      <w:r w:rsidRPr="00976C24">
        <w:rPr>
          <w:lang w:val="fr-FR"/>
        </w:rPr>
        <w:t>Promotion de l’alphabétisation</w:t>
      </w:r>
      <w:bookmarkEnd w:id="82"/>
    </w:p>
    <w:p w:rsidR="00903547" w:rsidRPr="00976C24" w:rsidRDefault="00903547" w:rsidP="00A15920">
      <w:pPr>
        <w:pStyle w:val="SingleTxtG"/>
        <w:rPr>
          <w:lang w:val="fr-FR"/>
        </w:rPr>
      </w:pPr>
      <w:r>
        <w:rPr>
          <w:lang w:val="fr-FR"/>
        </w:rPr>
        <w:t>438.</w:t>
      </w:r>
      <w:r>
        <w:rPr>
          <w:lang w:val="fr-FR"/>
        </w:rPr>
        <w:tab/>
      </w:r>
      <w:r w:rsidRPr="00976C24">
        <w:rPr>
          <w:lang w:val="fr-FR"/>
        </w:rPr>
        <w:t>En 2006, le</w:t>
      </w:r>
      <w:r>
        <w:rPr>
          <w:lang w:val="fr-FR"/>
        </w:rPr>
        <w:t xml:space="preserve">s autorités </w:t>
      </w:r>
      <w:r w:rsidRPr="00976C24">
        <w:rPr>
          <w:lang w:val="fr-FR"/>
        </w:rPr>
        <w:t>norvégien</w:t>
      </w:r>
      <w:r>
        <w:rPr>
          <w:lang w:val="fr-FR"/>
        </w:rPr>
        <w:t>nes ont</w:t>
      </w:r>
      <w:r w:rsidRPr="00976C24">
        <w:rPr>
          <w:lang w:val="fr-FR"/>
        </w:rPr>
        <w:t xml:space="preserve"> établi le programme </w:t>
      </w:r>
      <w:r>
        <w:rPr>
          <w:lang w:val="fr-FR"/>
        </w:rPr>
        <w:t>en faveur de l’acquisition de</w:t>
      </w:r>
      <w:r w:rsidRPr="00976C24">
        <w:rPr>
          <w:lang w:val="fr-FR"/>
        </w:rPr>
        <w:t xml:space="preserve"> co</w:t>
      </w:r>
      <w:r>
        <w:rPr>
          <w:lang w:val="fr-FR"/>
        </w:rPr>
        <w:t>mpétences</w:t>
      </w:r>
      <w:r w:rsidRPr="00976C24">
        <w:rPr>
          <w:lang w:val="fr-FR"/>
        </w:rPr>
        <w:t xml:space="preserve"> de base </w:t>
      </w:r>
      <w:r>
        <w:rPr>
          <w:lang w:val="fr-FR"/>
        </w:rPr>
        <w:t>pour</w:t>
      </w:r>
      <w:r w:rsidRPr="00976C24">
        <w:rPr>
          <w:lang w:val="fr-FR"/>
        </w:rPr>
        <w:t xml:space="preserve"> la vie </w:t>
      </w:r>
      <w:r>
        <w:rPr>
          <w:lang w:val="fr-FR"/>
        </w:rPr>
        <w:t>active</w:t>
      </w:r>
      <w:r w:rsidRPr="00976C24">
        <w:rPr>
          <w:lang w:val="fr-FR"/>
        </w:rPr>
        <w:t xml:space="preserve">. Le Comité pourra se reporter à la réponse du Gouvernement </w:t>
      </w:r>
      <w:r>
        <w:rPr>
          <w:lang w:val="fr-FR"/>
        </w:rPr>
        <w:t>relative à</w:t>
      </w:r>
      <w:r w:rsidRPr="00976C24">
        <w:rPr>
          <w:lang w:val="fr-FR"/>
        </w:rPr>
        <w:t xml:space="preserve"> l’article 6 </w:t>
      </w:r>
      <w:r>
        <w:rPr>
          <w:lang w:val="fr-FR"/>
        </w:rPr>
        <w:t>figurant dans le</w:t>
      </w:r>
      <w:r w:rsidRPr="00976C24">
        <w:rPr>
          <w:lang w:val="fr-FR"/>
        </w:rPr>
        <w:t xml:space="preserve"> présent rapport. Le programme se fonde sur le constat que la formation en cours d’emploi est généralement le moyen le plus efficace de former des personnes ayant un faible niveau d’</w:t>
      </w:r>
      <w:r>
        <w:rPr>
          <w:lang w:val="fr-FR"/>
        </w:rPr>
        <w:t>instruction</w:t>
      </w:r>
      <w:r w:rsidRPr="00976C24">
        <w:rPr>
          <w:lang w:val="fr-FR"/>
        </w:rPr>
        <w:t xml:space="preserve">. La formation </w:t>
      </w:r>
      <w:r>
        <w:rPr>
          <w:lang w:val="fr-FR"/>
        </w:rPr>
        <w:t>est en lien avec</w:t>
      </w:r>
      <w:r w:rsidRPr="00976C24">
        <w:rPr>
          <w:lang w:val="fr-FR"/>
        </w:rPr>
        <w:t xml:space="preserve"> l’emploi occupé et se déroule sur le lieu de travail. </w:t>
      </w:r>
    </w:p>
    <w:p w:rsidR="00903547" w:rsidRPr="00976C24" w:rsidRDefault="00903547" w:rsidP="0071086E">
      <w:pPr>
        <w:pStyle w:val="H23G"/>
        <w:rPr>
          <w:lang w:val="fr-FR"/>
        </w:rPr>
      </w:pPr>
      <w:r w:rsidRPr="00976C24">
        <w:rPr>
          <w:lang w:val="fr-FR"/>
        </w:rPr>
        <w:tab/>
        <w:t>b)</w:t>
      </w:r>
      <w:r w:rsidRPr="00976C24">
        <w:rPr>
          <w:lang w:val="fr-FR"/>
        </w:rPr>
        <w:tab/>
      </w:r>
      <w:bookmarkStart w:id="83" w:name="_Toc286326393"/>
      <w:r w:rsidRPr="00976C24">
        <w:rPr>
          <w:lang w:val="fr-FR"/>
        </w:rPr>
        <w:t>Droit des adultes à un enseignement primaire et secondaire</w:t>
      </w:r>
      <w:bookmarkEnd w:id="83"/>
    </w:p>
    <w:p w:rsidR="00903547" w:rsidRPr="00976C24" w:rsidRDefault="00903547" w:rsidP="00A15920">
      <w:pPr>
        <w:pStyle w:val="SingleTxtG"/>
        <w:rPr>
          <w:lang w:val="fr-FR"/>
        </w:rPr>
      </w:pPr>
      <w:r>
        <w:rPr>
          <w:lang w:val="fr-FR"/>
        </w:rPr>
        <w:t>439.</w:t>
      </w:r>
      <w:r>
        <w:rPr>
          <w:lang w:val="fr-FR"/>
        </w:rPr>
        <w:tab/>
      </w:r>
      <w:r w:rsidRPr="00976C24">
        <w:rPr>
          <w:lang w:val="fr-FR"/>
        </w:rPr>
        <w:t xml:space="preserve">Conformément à l’article 4A-1 de la loi sur l’éducation, les personnes </w:t>
      </w:r>
      <w:r>
        <w:rPr>
          <w:lang w:val="fr-FR"/>
        </w:rPr>
        <w:t>ayant dépassé</w:t>
      </w:r>
      <w:r w:rsidRPr="00976C24">
        <w:rPr>
          <w:lang w:val="fr-FR"/>
        </w:rPr>
        <w:t xml:space="preserve"> l’âge scolaire obligatoire qui demandent à suivre l’enseignement primaire et </w:t>
      </w:r>
      <w:r>
        <w:rPr>
          <w:lang w:val="fr-FR"/>
        </w:rPr>
        <w:t>le</w:t>
      </w:r>
      <w:r w:rsidRPr="00976C24">
        <w:rPr>
          <w:lang w:val="fr-FR"/>
        </w:rPr>
        <w:t xml:space="preserve"> premier cycle du secondaire </w:t>
      </w:r>
      <w:r>
        <w:rPr>
          <w:lang w:val="fr-FR"/>
        </w:rPr>
        <w:t xml:space="preserve">y </w:t>
      </w:r>
      <w:r w:rsidRPr="00976C24">
        <w:rPr>
          <w:lang w:val="fr-FR"/>
        </w:rPr>
        <w:t xml:space="preserve">ont droit sauf s’ils </w:t>
      </w:r>
      <w:r>
        <w:rPr>
          <w:lang w:val="fr-FR"/>
        </w:rPr>
        <w:t>peuvent entrer dans le</w:t>
      </w:r>
      <w:r w:rsidRPr="00976C24">
        <w:rPr>
          <w:lang w:val="fr-FR"/>
        </w:rPr>
        <w:t xml:space="preserve"> deuxième cycle du secondaire ou une formation. Le droit à l’éducation couvre normalement les disciplines req</w:t>
      </w:r>
      <w:r>
        <w:rPr>
          <w:lang w:val="fr-FR"/>
        </w:rPr>
        <w:t>uises pour le certificat de fin</w:t>
      </w:r>
      <w:r w:rsidRPr="00976C24">
        <w:rPr>
          <w:lang w:val="fr-FR"/>
        </w:rPr>
        <w:t xml:space="preserve"> d’études </w:t>
      </w:r>
      <w:r>
        <w:rPr>
          <w:lang w:val="fr-FR"/>
        </w:rPr>
        <w:t xml:space="preserve">de l’enseignement primaire et </w:t>
      </w:r>
      <w:r w:rsidRPr="00976C24">
        <w:rPr>
          <w:lang w:val="fr-FR"/>
        </w:rPr>
        <w:t xml:space="preserve">du premier cycle du secondaire pour adultes. La loi sur l’éducation </w:t>
      </w:r>
      <w:r>
        <w:rPr>
          <w:lang w:val="fr-FR"/>
        </w:rPr>
        <w:t>précise</w:t>
      </w:r>
      <w:r w:rsidRPr="00976C24">
        <w:rPr>
          <w:lang w:val="fr-FR"/>
        </w:rPr>
        <w:t xml:space="preserve"> que l’enseignement doit être adapté aux besoins individuels et qu’aucun</w:t>
      </w:r>
      <w:r>
        <w:rPr>
          <w:lang w:val="fr-FR"/>
        </w:rPr>
        <w:t>e somme ne sera demandée pour les cours</w:t>
      </w:r>
      <w:r w:rsidRPr="00976C24">
        <w:rPr>
          <w:lang w:val="fr-FR"/>
        </w:rPr>
        <w:t xml:space="preserve"> ou le matériel didactique.</w:t>
      </w:r>
    </w:p>
    <w:p w:rsidR="00903547" w:rsidRPr="00976C24" w:rsidRDefault="00903547" w:rsidP="006273F9">
      <w:pPr>
        <w:pStyle w:val="SingleTxtG"/>
        <w:rPr>
          <w:lang w:val="fr-FR"/>
        </w:rPr>
      </w:pPr>
      <w:r>
        <w:rPr>
          <w:lang w:val="fr-FR"/>
        </w:rPr>
        <w:t>440.</w:t>
      </w:r>
      <w:r>
        <w:rPr>
          <w:lang w:val="fr-FR"/>
        </w:rPr>
        <w:tab/>
        <w:t>L</w:t>
      </w:r>
      <w:r w:rsidRPr="00976C24">
        <w:rPr>
          <w:lang w:val="fr-FR"/>
        </w:rPr>
        <w:t>’article 4A-3 de la loi sur l’éducation</w:t>
      </w:r>
      <w:r>
        <w:rPr>
          <w:lang w:val="fr-FR"/>
        </w:rPr>
        <w:t xml:space="preserve"> dispose que</w:t>
      </w:r>
      <w:r w:rsidRPr="00976C24">
        <w:rPr>
          <w:lang w:val="fr-FR"/>
        </w:rPr>
        <w:t xml:space="preserve"> les adultes </w:t>
      </w:r>
      <w:r>
        <w:rPr>
          <w:lang w:val="fr-FR"/>
        </w:rPr>
        <w:t>ayant</w:t>
      </w:r>
      <w:r w:rsidRPr="00976C24">
        <w:rPr>
          <w:lang w:val="fr-FR"/>
        </w:rPr>
        <w:t xml:space="preserve"> achevé l’enseignement primaire et le premier cycle du secondaire</w:t>
      </w:r>
      <w:r>
        <w:rPr>
          <w:lang w:val="fr-FR"/>
        </w:rPr>
        <w:t>,</w:t>
      </w:r>
      <w:r w:rsidRPr="00976C24">
        <w:rPr>
          <w:lang w:val="fr-FR"/>
        </w:rPr>
        <w:t xml:space="preserve"> </w:t>
      </w:r>
      <w:r>
        <w:rPr>
          <w:lang w:val="fr-FR"/>
        </w:rPr>
        <w:t>à l’exclusion du</w:t>
      </w:r>
      <w:r w:rsidRPr="00976C24">
        <w:rPr>
          <w:lang w:val="fr-FR"/>
        </w:rPr>
        <w:t xml:space="preserve"> deuxième </w:t>
      </w:r>
      <w:r>
        <w:rPr>
          <w:lang w:val="fr-FR"/>
        </w:rPr>
        <w:t xml:space="preserve">cycle </w:t>
      </w:r>
      <w:r w:rsidRPr="00976C24">
        <w:rPr>
          <w:lang w:val="fr-FR"/>
        </w:rPr>
        <w:t xml:space="preserve">ou </w:t>
      </w:r>
      <w:r>
        <w:rPr>
          <w:lang w:val="fr-FR"/>
        </w:rPr>
        <w:t>de l’équivalent,</w:t>
      </w:r>
      <w:r w:rsidRPr="00976C24">
        <w:rPr>
          <w:lang w:val="fr-FR"/>
        </w:rPr>
        <w:t xml:space="preserve"> peuvent </w:t>
      </w:r>
      <w:r>
        <w:rPr>
          <w:lang w:val="fr-FR"/>
        </w:rPr>
        <w:t>suivre</w:t>
      </w:r>
      <w:r w:rsidRPr="00976C24">
        <w:rPr>
          <w:lang w:val="fr-FR"/>
        </w:rPr>
        <w:t xml:space="preserve"> le deuxième cycle du secondaire. Ce droit s’applique aux adultes </w:t>
      </w:r>
      <w:r>
        <w:rPr>
          <w:lang w:val="fr-FR"/>
        </w:rPr>
        <w:t>l’année de leurs 25 ans</w:t>
      </w:r>
      <w:r w:rsidRPr="00976C24">
        <w:rPr>
          <w:lang w:val="fr-FR"/>
        </w:rPr>
        <w:t>. L’enseignement doit être adapté aux besoins individuels.</w:t>
      </w:r>
    </w:p>
    <w:p w:rsidR="00903547" w:rsidRPr="00976C24" w:rsidRDefault="00903547" w:rsidP="0071086E">
      <w:pPr>
        <w:pStyle w:val="H23G"/>
        <w:rPr>
          <w:lang w:val="fr-FR"/>
        </w:rPr>
      </w:pPr>
      <w:r w:rsidRPr="00976C24">
        <w:rPr>
          <w:lang w:val="fr-FR"/>
        </w:rPr>
        <w:tab/>
        <w:t>c)</w:t>
      </w:r>
      <w:r w:rsidRPr="00976C24">
        <w:rPr>
          <w:lang w:val="fr-FR"/>
        </w:rPr>
        <w:tab/>
      </w:r>
      <w:bookmarkStart w:id="84" w:name="_Toc286326394"/>
      <w:r w:rsidRPr="00976C24">
        <w:rPr>
          <w:lang w:val="fr-FR"/>
        </w:rPr>
        <w:t>Formation continue</w:t>
      </w:r>
      <w:bookmarkEnd w:id="84"/>
    </w:p>
    <w:p w:rsidR="00903547" w:rsidRPr="00976C24" w:rsidRDefault="00903547" w:rsidP="006273F9">
      <w:pPr>
        <w:pStyle w:val="SingleTxtG"/>
        <w:rPr>
          <w:lang w:val="fr-FR"/>
        </w:rPr>
      </w:pPr>
      <w:r>
        <w:rPr>
          <w:lang w:val="fr-FR"/>
        </w:rPr>
        <w:t>441.</w:t>
      </w:r>
      <w:r>
        <w:rPr>
          <w:lang w:val="fr-FR"/>
        </w:rPr>
        <w:tab/>
      </w:r>
      <w:r w:rsidRPr="00976C24">
        <w:rPr>
          <w:lang w:val="fr-FR"/>
        </w:rPr>
        <w:t>L</w:t>
      </w:r>
      <w:r>
        <w:rPr>
          <w:lang w:val="fr-FR"/>
        </w:rPr>
        <w:t xml:space="preserve">a </w:t>
      </w:r>
      <w:r w:rsidRPr="00976C24">
        <w:rPr>
          <w:lang w:val="fr-FR"/>
        </w:rPr>
        <w:t>loi sur l</w:t>
      </w:r>
      <w:r>
        <w:rPr>
          <w:lang w:val="fr-FR"/>
        </w:rPr>
        <w:t>a formation des</w:t>
      </w:r>
      <w:r w:rsidRPr="00976C24">
        <w:rPr>
          <w:lang w:val="fr-FR"/>
        </w:rPr>
        <w:t xml:space="preserve"> adultes</w:t>
      </w:r>
      <w:r>
        <w:rPr>
          <w:lang w:val="fr-FR"/>
        </w:rPr>
        <w:t xml:space="preserve"> (loi du 28 mai 1976 n</w:t>
      </w:r>
      <w:r w:rsidRPr="00185C6E">
        <w:rPr>
          <w:vertAlign w:val="superscript"/>
          <w:lang w:val="fr-FR"/>
        </w:rPr>
        <w:t>o</w:t>
      </w:r>
      <w:r>
        <w:rPr>
          <w:lang w:val="fr-FR"/>
        </w:rPr>
        <w:t> 35) et</w:t>
      </w:r>
      <w:r w:rsidRPr="00976C24">
        <w:rPr>
          <w:lang w:val="fr-FR"/>
        </w:rPr>
        <w:t xml:space="preserve"> la loi sur l’</w:t>
      </w:r>
      <w:r>
        <w:rPr>
          <w:lang w:val="fr-FR"/>
        </w:rPr>
        <w:t>éducation (loi du 13 juin 1969 n</w:t>
      </w:r>
      <w:r w:rsidRPr="00185C6E">
        <w:rPr>
          <w:vertAlign w:val="superscript"/>
          <w:lang w:val="fr-FR"/>
        </w:rPr>
        <w:t>o</w:t>
      </w:r>
      <w:r>
        <w:rPr>
          <w:lang w:val="fr-FR"/>
        </w:rPr>
        <w:t> </w:t>
      </w:r>
      <w:r w:rsidRPr="00976C24">
        <w:rPr>
          <w:lang w:val="fr-FR"/>
        </w:rPr>
        <w:t>24)</w:t>
      </w:r>
      <w:r>
        <w:rPr>
          <w:lang w:val="fr-FR"/>
        </w:rPr>
        <w:t xml:space="preserve"> régissent l’enseignement aux adultes</w:t>
      </w:r>
      <w:r w:rsidRPr="00976C24">
        <w:rPr>
          <w:lang w:val="fr-FR"/>
        </w:rPr>
        <w:t>. La</w:t>
      </w:r>
      <w:r>
        <w:rPr>
          <w:lang w:val="fr-FR"/>
        </w:rPr>
        <w:t xml:space="preserve"> première</w:t>
      </w:r>
      <w:r w:rsidRPr="00976C24">
        <w:rPr>
          <w:lang w:val="fr-FR"/>
        </w:rPr>
        <w:t xml:space="preserve"> réglemente les cours organisés par des associations d’éducation et des centres d’enseignement à distance</w:t>
      </w:r>
      <w:r>
        <w:rPr>
          <w:lang w:val="fr-FR"/>
        </w:rPr>
        <w:t xml:space="preserve"> et</w:t>
      </w:r>
      <w:r w:rsidRPr="00976C24">
        <w:rPr>
          <w:lang w:val="fr-FR"/>
        </w:rPr>
        <w:t xml:space="preserve"> </w:t>
      </w:r>
      <w:r>
        <w:rPr>
          <w:lang w:val="fr-FR"/>
        </w:rPr>
        <w:t>dispose</w:t>
      </w:r>
      <w:r w:rsidRPr="00976C24">
        <w:rPr>
          <w:lang w:val="fr-FR"/>
        </w:rPr>
        <w:t xml:space="preserve"> que les cours </w:t>
      </w:r>
      <w:r>
        <w:rPr>
          <w:lang w:val="fr-FR"/>
        </w:rPr>
        <w:t>doivent être</w:t>
      </w:r>
      <w:r w:rsidRPr="00976C24">
        <w:rPr>
          <w:lang w:val="fr-FR"/>
        </w:rPr>
        <w:t xml:space="preserve"> dispensés sous la responsabilité des autorités compétentes aux différents niveaux de l’enseignement. La </w:t>
      </w:r>
      <w:r>
        <w:rPr>
          <w:lang w:val="fr-FR"/>
        </w:rPr>
        <w:t>seconde</w:t>
      </w:r>
      <w:r w:rsidRPr="00976C24">
        <w:rPr>
          <w:lang w:val="fr-FR"/>
        </w:rPr>
        <w:t xml:space="preserve"> régit l’enseignement primaire et les deux cycles de l’enseignement secondaire pour les enfants, les jeunes et les adultes. </w:t>
      </w:r>
    </w:p>
    <w:p w:rsidR="00903547" w:rsidRPr="00976C24" w:rsidRDefault="00903547" w:rsidP="006273F9">
      <w:pPr>
        <w:pStyle w:val="SingleTxtG"/>
        <w:rPr>
          <w:lang w:val="fr-FR"/>
        </w:rPr>
      </w:pPr>
      <w:r>
        <w:rPr>
          <w:lang w:val="fr-FR"/>
        </w:rPr>
        <w:t>442.</w:t>
      </w:r>
      <w:r>
        <w:rPr>
          <w:lang w:val="fr-FR"/>
        </w:rPr>
        <w:tab/>
      </w:r>
      <w:r w:rsidRPr="00976C24">
        <w:rPr>
          <w:lang w:val="fr-FR"/>
        </w:rPr>
        <w:t xml:space="preserve">Les autorités éducatives coopèrent avec des associations d’éducation représentant des ONG, comme l’université populaire et l’association d’éducation des travailleurs (AOF). L’autorité du comté assume une </w:t>
      </w:r>
      <w:r>
        <w:rPr>
          <w:lang w:val="fr-FR"/>
        </w:rPr>
        <w:t>part de</w:t>
      </w:r>
      <w:r w:rsidRPr="00976C24">
        <w:rPr>
          <w:lang w:val="fr-FR"/>
        </w:rPr>
        <w:t xml:space="preserve"> responsabilité </w:t>
      </w:r>
      <w:r>
        <w:rPr>
          <w:lang w:val="fr-FR"/>
        </w:rPr>
        <w:t>en matière de</w:t>
      </w:r>
      <w:r w:rsidRPr="00976C24">
        <w:rPr>
          <w:lang w:val="fr-FR"/>
        </w:rPr>
        <w:t xml:space="preserve"> coordination et </w:t>
      </w:r>
      <w:r>
        <w:rPr>
          <w:lang w:val="fr-FR"/>
        </w:rPr>
        <w:t xml:space="preserve">de </w:t>
      </w:r>
      <w:r w:rsidRPr="00976C24">
        <w:rPr>
          <w:lang w:val="fr-FR"/>
        </w:rPr>
        <w:t xml:space="preserve">coopération entre les différents acteurs de </w:t>
      </w:r>
      <w:r>
        <w:rPr>
          <w:lang w:val="fr-FR"/>
        </w:rPr>
        <w:t>la formation des adultes</w:t>
      </w:r>
      <w:r w:rsidRPr="00976C24">
        <w:rPr>
          <w:lang w:val="fr-FR"/>
        </w:rPr>
        <w:t xml:space="preserve">. </w:t>
      </w:r>
    </w:p>
    <w:p w:rsidR="00903547" w:rsidRPr="00976C24" w:rsidRDefault="00903547" w:rsidP="006273F9">
      <w:pPr>
        <w:pStyle w:val="SingleTxtG"/>
        <w:rPr>
          <w:lang w:val="fr-FR"/>
        </w:rPr>
      </w:pPr>
      <w:r>
        <w:rPr>
          <w:lang w:val="fr-FR"/>
        </w:rPr>
        <w:t>443.</w:t>
      </w:r>
      <w:r>
        <w:rPr>
          <w:lang w:val="fr-FR"/>
        </w:rPr>
        <w:tab/>
      </w:r>
      <w:r w:rsidRPr="00976C24">
        <w:rPr>
          <w:lang w:val="fr-FR"/>
        </w:rPr>
        <w:t>Les associations d</w:t>
      </w:r>
      <w:r>
        <w:rPr>
          <w:lang w:val="fr-FR"/>
        </w:rPr>
        <w:t>e formation</w:t>
      </w:r>
      <w:r w:rsidRPr="00976C24">
        <w:rPr>
          <w:lang w:val="fr-FR"/>
        </w:rPr>
        <w:t xml:space="preserve"> non gouvernementales proposent des </w:t>
      </w:r>
      <w:r>
        <w:rPr>
          <w:lang w:val="fr-FR"/>
        </w:rPr>
        <w:t>stages</w:t>
      </w:r>
      <w:r w:rsidRPr="00976C24">
        <w:rPr>
          <w:lang w:val="fr-FR"/>
        </w:rPr>
        <w:t xml:space="preserve"> et des groupes d’études </w:t>
      </w:r>
      <w:r>
        <w:rPr>
          <w:lang w:val="fr-FR"/>
        </w:rPr>
        <w:t>aux</w:t>
      </w:r>
      <w:r w:rsidRPr="00976C24">
        <w:rPr>
          <w:lang w:val="fr-FR"/>
        </w:rPr>
        <w:t xml:space="preserve"> adultes. Elles sont responsables du contenu des cours, </w:t>
      </w:r>
      <w:r>
        <w:rPr>
          <w:lang w:val="fr-FR"/>
        </w:rPr>
        <w:t>qui ne sont généralement pas tenus de</w:t>
      </w:r>
      <w:r w:rsidRPr="00976C24">
        <w:rPr>
          <w:lang w:val="fr-FR"/>
        </w:rPr>
        <w:t xml:space="preserve"> suivre les systèmes nationaux de programme et d’examen. Les </w:t>
      </w:r>
      <w:r>
        <w:rPr>
          <w:lang w:val="fr-FR"/>
        </w:rPr>
        <w:t>stages</w:t>
      </w:r>
      <w:r w:rsidRPr="00976C24">
        <w:rPr>
          <w:lang w:val="fr-FR"/>
        </w:rPr>
        <w:t xml:space="preserve"> couvrent un grand nombre d’activités, depuis les loisirs jusqu’aux disciplines scolaires et professionnelles. Certaines associations proposent des </w:t>
      </w:r>
      <w:r>
        <w:rPr>
          <w:lang w:val="fr-FR"/>
        </w:rPr>
        <w:t>stages</w:t>
      </w:r>
      <w:r w:rsidRPr="00976C24">
        <w:rPr>
          <w:lang w:val="fr-FR"/>
        </w:rPr>
        <w:t xml:space="preserve"> </w:t>
      </w:r>
      <w:r>
        <w:rPr>
          <w:lang w:val="fr-FR"/>
        </w:rPr>
        <w:t>permetta</w:t>
      </w:r>
      <w:r w:rsidRPr="00976C24">
        <w:rPr>
          <w:lang w:val="fr-FR"/>
        </w:rPr>
        <w:t>nt d’</w:t>
      </w:r>
      <w:r>
        <w:rPr>
          <w:lang w:val="fr-FR"/>
        </w:rPr>
        <w:t>obtenir</w:t>
      </w:r>
      <w:r w:rsidRPr="00976C24">
        <w:rPr>
          <w:lang w:val="fr-FR"/>
        </w:rPr>
        <w:t xml:space="preserve"> des points qui seront affectés à l’obtention d’un certificat de fin de premier ou de deuxième cycle de l’enseignement secondaire ou à un diplôme d</w:t>
      </w:r>
      <w:r>
        <w:rPr>
          <w:lang w:val="fr-FR"/>
        </w:rPr>
        <w:t>e l</w:t>
      </w:r>
      <w:r w:rsidRPr="00976C24">
        <w:rPr>
          <w:lang w:val="fr-FR"/>
        </w:rPr>
        <w:t>’</w:t>
      </w:r>
      <w:r>
        <w:rPr>
          <w:lang w:val="fr-FR"/>
        </w:rPr>
        <w:t>enseignement supérieur</w:t>
      </w:r>
      <w:r w:rsidRPr="00976C24">
        <w:rPr>
          <w:lang w:val="fr-FR"/>
        </w:rPr>
        <w:t xml:space="preserve">. </w:t>
      </w:r>
    </w:p>
    <w:p w:rsidR="00903547" w:rsidRPr="00976C24" w:rsidRDefault="00903547" w:rsidP="006273F9">
      <w:pPr>
        <w:pStyle w:val="SingleTxtG"/>
        <w:rPr>
          <w:lang w:val="fr-FR"/>
        </w:rPr>
      </w:pPr>
      <w:r>
        <w:rPr>
          <w:lang w:val="fr-FR"/>
        </w:rPr>
        <w:t>444.</w:t>
      </w:r>
      <w:r>
        <w:rPr>
          <w:lang w:val="fr-FR"/>
        </w:rPr>
        <w:tab/>
      </w:r>
      <w:r w:rsidRPr="00976C24">
        <w:rPr>
          <w:lang w:val="fr-FR"/>
        </w:rPr>
        <w:t xml:space="preserve">Les centres privés d’enseignement à distance ont </w:t>
      </w:r>
      <w:r>
        <w:rPr>
          <w:lang w:val="fr-FR"/>
        </w:rPr>
        <w:t>démarré avec</w:t>
      </w:r>
      <w:r w:rsidRPr="00976C24">
        <w:rPr>
          <w:lang w:val="fr-FR"/>
        </w:rPr>
        <w:t xml:space="preserve"> des cours par correspondance, mais ont très </w:t>
      </w:r>
      <w:r>
        <w:rPr>
          <w:lang w:val="fr-FR"/>
        </w:rPr>
        <w:t>vite</w:t>
      </w:r>
      <w:r w:rsidRPr="00976C24">
        <w:rPr>
          <w:lang w:val="fr-FR"/>
        </w:rPr>
        <w:t xml:space="preserve"> utilisé les nouveaux médias (TV, vidéo, TIC) et proposent maintenant nombre de programmes multimédia. Les cours </w:t>
      </w:r>
      <w:r>
        <w:rPr>
          <w:lang w:val="fr-FR"/>
        </w:rPr>
        <w:t>portent sur</w:t>
      </w:r>
      <w:r w:rsidRPr="00976C24">
        <w:rPr>
          <w:lang w:val="fr-FR"/>
        </w:rPr>
        <w:t xml:space="preserve"> des domaines allant des loisirs aux </w:t>
      </w:r>
      <w:r>
        <w:rPr>
          <w:lang w:val="fr-FR"/>
        </w:rPr>
        <w:t>disciplines</w:t>
      </w:r>
      <w:r w:rsidRPr="00976C24">
        <w:rPr>
          <w:lang w:val="fr-FR"/>
        </w:rPr>
        <w:t xml:space="preserve"> du niveau universitaire ou des collèges, mais la plupart </w:t>
      </w:r>
      <w:r>
        <w:rPr>
          <w:lang w:val="fr-FR"/>
        </w:rPr>
        <w:t>couvrent le</w:t>
      </w:r>
      <w:r w:rsidRPr="00976C24">
        <w:rPr>
          <w:lang w:val="fr-FR"/>
        </w:rPr>
        <w:t xml:space="preserve"> deuxième cycle du secondaire et </w:t>
      </w:r>
      <w:r>
        <w:rPr>
          <w:lang w:val="fr-FR"/>
        </w:rPr>
        <w:t>le</w:t>
      </w:r>
      <w:r w:rsidRPr="00976C24">
        <w:rPr>
          <w:lang w:val="fr-FR"/>
        </w:rPr>
        <w:t xml:space="preserve"> niveau universitaire. </w:t>
      </w:r>
      <w:r>
        <w:rPr>
          <w:lang w:val="fr-FR"/>
        </w:rPr>
        <w:t>Un nombre croissant de cours porte sur la formation professionnelle en cours d’emploi.</w:t>
      </w:r>
    </w:p>
    <w:p w:rsidR="00903547" w:rsidRPr="00976C24" w:rsidRDefault="00903547" w:rsidP="006273F9">
      <w:pPr>
        <w:pStyle w:val="SingleTxtG"/>
        <w:rPr>
          <w:lang w:val="fr-FR"/>
        </w:rPr>
      </w:pPr>
      <w:r>
        <w:rPr>
          <w:lang w:val="fr-FR"/>
        </w:rPr>
        <w:t>445.</w:t>
      </w:r>
      <w:r>
        <w:rPr>
          <w:lang w:val="fr-FR"/>
        </w:rPr>
        <w:tab/>
      </w:r>
      <w:r w:rsidRPr="00976C24">
        <w:rPr>
          <w:lang w:val="fr-FR"/>
        </w:rPr>
        <w:t>Vingt associations d</w:t>
      </w:r>
      <w:r>
        <w:rPr>
          <w:lang w:val="fr-FR"/>
        </w:rPr>
        <w:t xml:space="preserve">e formation </w:t>
      </w:r>
      <w:r w:rsidRPr="00976C24">
        <w:rPr>
          <w:lang w:val="fr-FR"/>
        </w:rPr>
        <w:t>non gouvernementales reçoivent une aide de l’</w:t>
      </w:r>
      <w:r>
        <w:rPr>
          <w:lang w:val="fr-FR"/>
        </w:rPr>
        <w:t>État</w:t>
      </w:r>
      <w:r w:rsidRPr="00976C24">
        <w:rPr>
          <w:lang w:val="fr-FR"/>
        </w:rPr>
        <w:t xml:space="preserve"> pour organiser et proposer des cours aux adultes. Douze centres privés d’enseignement à distance </w:t>
      </w:r>
      <w:r>
        <w:rPr>
          <w:lang w:val="fr-FR"/>
        </w:rPr>
        <w:t>bénéficient également d’</w:t>
      </w:r>
      <w:r w:rsidRPr="00976C24">
        <w:rPr>
          <w:lang w:val="fr-FR"/>
        </w:rPr>
        <w:t>une aide de l’</w:t>
      </w:r>
      <w:r>
        <w:rPr>
          <w:lang w:val="fr-FR"/>
        </w:rPr>
        <w:t>État</w:t>
      </w:r>
      <w:r w:rsidRPr="00976C24">
        <w:rPr>
          <w:lang w:val="fr-FR"/>
        </w:rPr>
        <w:t>. Les associations d</w:t>
      </w:r>
      <w:r>
        <w:rPr>
          <w:lang w:val="fr-FR"/>
        </w:rPr>
        <w:t>e formation</w:t>
      </w:r>
      <w:r w:rsidRPr="00976C24">
        <w:rPr>
          <w:lang w:val="fr-FR"/>
        </w:rPr>
        <w:t xml:space="preserve"> et les centres d’enseignement à distance peuvent </w:t>
      </w:r>
      <w:r>
        <w:rPr>
          <w:lang w:val="fr-FR"/>
        </w:rPr>
        <w:t>aussi</w:t>
      </w:r>
      <w:r w:rsidRPr="00976C24">
        <w:rPr>
          <w:lang w:val="fr-FR"/>
        </w:rPr>
        <w:t xml:space="preserve"> </w:t>
      </w:r>
      <w:r>
        <w:rPr>
          <w:lang w:val="fr-FR"/>
        </w:rPr>
        <w:t>obtenir</w:t>
      </w:r>
      <w:r w:rsidRPr="00976C24">
        <w:rPr>
          <w:lang w:val="fr-FR"/>
        </w:rPr>
        <w:t xml:space="preserve"> des subventions sur des fonds publics </w:t>
      </w:r>
      <w:r>
        <w:rPr>
          <w:lang w:val="fr-FR"/>
        </w:rPr>
        <w:t>selon l</w:t>
      </w:r>
      <w:r w:rsidRPr="00976C24">
        <w:rPr>
          <w:lang w:val="fr-FR"/>
        </w:rPr>
        <w:t xml:space="preserve">es règles énoncées dans la loi sur </w:t>
      </w:r>
      <w:r>
        <w:rPr>
          <w:lang w:val="fr-FR"/>
        </w:rPr>
        <w:t>la formation des adultes</w:t>
      </w:r>
      <w:r w:rsidRPr="00976C24">
        <w:rPr>
          <w:lang w:val="fr-FR"/>
        </w:rPr>
        <w:t>. Les participants acquittent des droits d’inscription.</w:t>
      </w:r>
    </w:p>
    <w:p w:rsidR="00903547" w:rsidRPr="00976C24" w:rsidRDefault="00903547" w:rsidP="0071086E">
      <w:pPr>
        <w:pStyle w:val="H23G"/>
        <w:rPr>
          <w:lang w:val="fr-FR"/>
        </w:rPr>
      </w:pPr>
      <w:r w:rsidRPr="00976C24">
        <w:rPr>
          <w:lang w:val="fr-FR"/>
        </w:rPr>
        <w:tab/>
        <w:t>6.</w:t>
      </w:r>
      <w:r w:rsidRPr="00976C24">
        <w:rPr>
          <w:lang w:val="fr-FR"/>
        </w:rPr>
        <w:tab/>
        <w:t>Possibilités offertes aux enfants appartenant à des minorités et aux enfants autochtones de recevoir une instruction dans leur langue natale ou d’apprendre cette langue et mesures prises pour éviter que les normes éducatives ne soient inférieures pour ces enfants et que ceux-ci soient relégués dans des classes spéciales et exclus du système d’enseignement ordinaire (E/2009/22-E/C.12/2008/3, annexe VIII, par.</w:t>
      </w:r>
      <w:r>
        <w:rPr>
          <w:lang w:val="fr-FR"/>
        </w:rPr>
        <w:t> </w:t>
      </w:r>
      <w:r w:rsidRPr="00976C24">
        <w:rPr>
          <w:lang w:val="fr-FR"/>
        </w:rPr>
        <w:t>63)</w:t>
      </w:r>
    </w:p>
    <w:p w:rsidR="00903547" w:rsidRPr="00976C24" w:rsidRDefault="00903547" w:rsidP="006273F9">
      <w:pPr>
        <w:pStyle w:val="SingleTxtG"/>
        <w:rPr>
          <w:lang w:val="fr-FR"/>
        </w:rPr>
      </w:pPr>
      <w:r>
        <w:rPr>
          <w:lang w:val="fr-FR"/>
        </w:rPr>
        <w:t>446.</w:t>
      </w:r>
      <w:r>
        <w:rPr>
          <w:lang w:val="fr-FR"/>
        </w:rPr>
        <w:tab/>
      </w:r>
      <w:r w:rsidRPr="00976C24">
        <w:rPr>
          <w:lang w:val="fr-FR"/>
        </w:rPr>
        <w:t xml:space="preserve">Les articles 2-8 et 3-12 de la loi sur l’éducation régissent le droit à </w:t>
      </w:r>
      <w:r>
        <w:rPr>
          <w:lang w:val="fr-FR"/>
        </w:rPr>
        <w:t>des cours de langue spéciaux pour les élèves issus de</w:t>
      </w:r>
      <w:r w:rsidRPr="00976C24">
        <w:rPr>
          <w:lang w:val="fr-FR"/>
        </w:rPr>
        <w:t xml:space="preserve"> minorités linguistiques dans l’enseignement primaire et secondaire. Les élèves qui ont une autre langue maternelle que le norvégien ou le sami ont droit à des cours </w:t>
      </w:r>
      <w:r>
        <w:rPr>
          <w:lang w:val="fr-FR"/>
        </w:rPr>
        <w:t>d</w:t>
      </w:r>
      <w:r w:rsidRPr="00976C24">
        <w:rPr>
          <w:lang w:val="fr-FR"/>
        </w:rPr>
        <w:t xml:space="preserve">e norvégien jusqu'à ce qu’ils aient un niveau suffisant pour suivre les cours normaux de l’établissement. </w:t>
      </w:r>
      <w:r>
        <w:rPr>
          <w:lang w:val="fr-FR"/>
        </w:rPr>
        <w:t>Si besoin est</w:t>
      </w:r>
      <w:r w:rsidRPr="00976C24">
        <w:rPr>
          <w:lang w:val="fr-FR"/>
        </w:rPr>
        <w:t xml:space="preserve">, ces élèves </w:t>
      </w:r>
      <w:r>
        <w:rPr>
          <w:lang w:val="fr-FR"/>
        </w:rPr>
        <w:t>peuvent bénéficier de</w:t>
      </w:r>
      <w:r w:rsidRPr="00976C24">
        <w:rPr>
          <w:lang w:val="fr-FR"/>
        </w:rPr>
        <w:t xml:space="preserve"> cours</w:t>
      </w:r>
      <w:r>
        <w:rPr>
          <w:lang w:val="fr-FR"/>
        </w:rPr>
        <w:t xml:space="preserve"> de leur</w:t>
      </w:r>
      <w:r w:rsidRPr="00976C24">
        <w:rPr>
          <w:lang w:val="fr-FR"/>
        </w:rPr>
        <w:t xml:space="preserve"> langue maternelle, </w:t>
      </w:r>
      <w:r>
        <w:rPr>
          <w:lang w:val="fr-FR"/>
        </w:rPr>
        <w:t>de</w:t>
      </w:r>
      <w:r w:rsidRPr="00976C24">
        <w:rPr>
          <w:lang w:val="fr-FR"/>
        </w:rPr>
        <w:t xml:space="preserve"> l’ens</w:t>
      </w:r>
      <w:r>
        <w:rPr>
          <w:lang w:val="fr-FR"/>
        </w:rPr>
        <w:t>eignement de disciplines dans leur</w:t>
      </w:r>
      <w:r w:rsidRPr="00976C24">
        <w:rPr>
          <w:lang w:val="fr-FR"/>
        </w:rPr>
        <w:t xml:space="preserve"> langue maternelle </w:t>
      </w:r>
      <w:r>
        <w:rPr>
          <w:lang w:val="fr-FR"/>
        </w:rPr>
        <w:t>et</w:t>
      </w:r>
      <w:r w:rsidRPr="00976C24">
        <w:rPr>
          <w:lang w:val="fr-FR"/>
        </w:rPr>
        <w:t xml:space="preserve"> en norvégien, ou les deux. </w:t>
      </w:r>
    </w:p>
    <w:p w:rsidR="00903547" w:rsidRPr="00976C24" w:rsidRDefault="00903547" w:rsidP="006273F9">
      <w:pPr>
        <w:pStyle w:val="SingleTxtG"/>
        <w:rPr>
          <w:lang w:val="fr-FR"/>
        </w:rPr>
      </w:pPr>
      <w:r>
        <w:rPr>
          <w:lang w:val="fr-FR"/>
        </w:rPr>
        <w:t>447.</w:t>
      </w:r>
      <w:r>
        <w:rPr>
          <w:lang w:val="fr-FR"/>
        </w:rPr>
        <w:tab/>
      </w:r>
      <w:r w:rsidRPr="00976C24">
        <w:rPr>
          <w:lang w:val="fr-FR"/>
        </w:rPr>
        <w:t xml:space="preserve">En </w:t>
      </w:r>
      <w:r>
        <w:rPr>
          <w:lang w:val="fr-FR"/>
        </w:rPr>
        <w:t>2006, le programme «Promotion du savoir</w:t>
      </w:r>
      <w:r w:rsidRPr="00976C24">
        <w:rPr>
          <w:lang w:val="fr-FR"/>
        </w:rPr>
        <w:t>» a introduit deux nouvelles composantes dans l’enseignement primaire et secondaire et les formations</w:t>
      </w:r>
      <w:r>
        <w:rPr>
          <w:lang w:val="fr-FR"/>
        </w:rPr>
        <w:t>:</w:t>
      </w:r>
      <w:r w:rsidRPr="00976C24">
        <w:rPr>
          <w:lang w:val="fr-FR"/>
        </w:rPr>
        <w:t xml:space="preserve"> des </w:t>
      </w:r>
      <w:r>
        <w:rPr>
          <w:lang w:val="fr-FR"/>
        </w:rPr>
        <w:t>cours de norvégien de base et de la</w:t>
      </w:r>
      <w:r w:rsidRPr="00976C24">
        <w:rPr>
          <w:lang w:val="fr-FR"/>
        </w:rPr>
        <w:t xml:space="preserve"> langue maternelle pour les minorités linguistiques. Le nouveau programme s’attache à renforcer les compétences des élèves en langue norvégienne en adaptant l’enseignement au niveau de norvégien </w:t>
      </w:r>
      <w:r>
        <w:rPr>
          <w:lang w:val="fr-FR"/>
        </w:rPr>
        <w:t>nécessaire</w:t>
      </w:r>
      <w:r w:rsidRPr="00976C24">
        <w:rPr>
          <w:lang w:val="fr-FR"/>
        </w:rPr>
        <w:t xml:space="preserve">. La mise en œuvre du programme fait l’objet d’une évaluation permanente. </w:t>
      </w:r>
    </w:p>
    <w:p w:rsidR="00903547" w:rsidRPr="00976C24" w:rsidRDefault="00903547" w:rsidP="006273F9">
      <w:pPr>
        <w:pStyle w:val="SingleTxtG"/>
        <w:rPr>
          <w:lang w:val="fr-FR"/>
        </w:rPr>
      </w:pPr>
      <w:r>
        <w:rPr>
          <w:lang w:val="fr-FR"/>
        </w:rPr>
        <w:t>448.</w:t>
      </w:r>
      <w:r>
        <w:rPr>
          <w:lang w:val="fr-FR"/>
        </w:rPr>
        <w:tab/>
        <w:t>L</w:t>
      </w:r>
      <w:r w:rsidRPr="00976C24">
        <w:rPr>
          <w:lang w:val="fr-FR"/>
        </w:rPr>
        <w:t xml:space="preserve">es élèves/étudiants des minorités linguistiques suivent les mêmes programmes que les élèves norvégiens </w:t>
      </w:r>
      <w:r>
        <w:rPr>
          <w:lang w:val="fr-FR"/>
        </w:rPr>
        <w:t xml:space="preserve">une fois qu’ils </w:t>
      </w:r>
      <w:r w:rsidRPr="00976C24">
        <w:rPr>
          <w:lang w:val="fr-FR"/>
        </w:rPr>
        <w:t xml:space="preserve">ont atteint le niveau requis en langue norvégienne. </w:t>
      </w:r>
    </w:p>
    <w:p w:rsidR="00903547" w:rsidRPr="00976C24" w:rsidRDefault="00903547" w:rsidP="006273F9">
      <w:pPr>
        <w:pStyle w:val="SingleTxtG"/>
        <w:rPr>
          <w:lang w:val="fr-FR"/>
        </w:rPr>
      </w:pPr>
      <w:r>
        <w:rPr>
          <w:lang w:val="fr-FR"/>
        </w:rPr>
        <w:t>449.</w:t>
      </w:r>
      <w:r>
        <w:rPr>
          <w:lang w:val="fr-FR"/>
        </w:rPr>
        <w:tab/>
      </w:r>
      <w:r w:rsidRPr="00976C24">
        <w:rPr>
          <w:lang w:val="fr-FR"/>
        </w:rPr>
        <w:t xml:space="preserve">L’article 8-2 de la loi sur l’éducation régit l’organisation des classes </w:t>
      </w:r>
      <w:r>
        <w:rPr>
          <w:lang w:val="fr-FR"/>
        </w:rPr>
        <w:t>et</w:t>
      </w:r>
      <w:r w:rsidRPr="00976C24">
        <w:rPr>
          <w:lang w:val="fr-FR"/>
        </w:rPr>
        <w:t xml:space="preserve"> groupes d’élèves. Il précise que pendant le</w:t>
      </w:r>
      <w:r>
        <w:rPr>
          <w:lang w:val="fr-FR"/>
        </w:rPr>
        <w:t>s cours</w:t>
      </w:r>
      <w:r w:rsidRPr="00976C24">
        <w:rPr>
          <w:lang w:val="fr-FR"/>
        </w:rPr>
        <w:t xml:space="preserve">, les élèves sont répartis dans des classes ou des groupes qui </w:t>
      </w:r>
      <w:r>
        <w:rPr>
          <w:lang w:val="fr-FR"/>
        </w:rPr>
        <w:t>doivent répondre à</w:t>
      </w:r>
      <w:r w:rsidRPr="00976C24">
        <w:rPr>
          <w:lang w:val="fr-FR"/>
        </w:rPr>
        <w:t xml:space="preserve"> leur besoin d’inclusion sociale. </w:t>
      </w:r>
      <w:r>
        <w:rPr>
          <w:lang w:val="fr-FR"/>
        </w:rPr>
        <w:t>Dans certaines disciplines</w:t>
      </w:r>
      <w:r w:rsidRPr="00976C24">
        <w:rPr>
          <w:lang w:val="fr-FR"/>
        </w:rPr>
        <w:t xml:space="preserve">, les élèves peuvent être répartis dans des groupes différents s’il y a lieu. </w:t>
      </w:r>
      <w:r>
        <w:rPr>
          <w:lang w:val="fr-FR"/>
        </w:rPr>
        <w:t>Plusieurs</w:t>
      </w:r>
      <w:r w:rsidRPr="00976C24">
        <w:rPr>
          <w:lang w:val="fr-FR"/>
        </w:rPr>
        <w:t xml:space="preserve"> municipalités et comtés</w:t>
      </w:r>
      <w:r>
        <w:rPr>
          <w:lang w:val="fr-FR"/>
        </w:rPr>
        <w:t xml:space="preserve"> proposent des cours aux</w:t>
      </w:r>
      <w:r w:rsidRPr="00976C24">
        <w:rPr>
          <w:lang w:val="fr-FR"/>
        </w:rPr>
        <w:t xml:space="preserve"> </w:t>
      </w:r>
      <w:r>
        <w:rPr>
          <w:lang w:val="fr-FR"/>
        </w:rPr>
        <w:t>immigrés récents au sein</w:t>
      </w:r>
      <w:r w:rsidRPr="00976C24">
        <w:rPr>
          <w:lang w:val="fr-FR"/>
        </w:rPr>
        <w:t xml:space="preserve"> de groupes spéciaux pendant 6 mois </w:t>
      </w:r>
      <w:r>
        <w:rPr>
          <w:lang w:val="fr-FR"/>
        </w:rPr>
        <w:t>à 1 an, jusqu’à</w:t>
      </w:r>
      <w:r w:rsidRPr="00976C24">
        <w:rPr>
          <w:lang w:val="fr-FR"/>
        </w:rPr>
        <w:t xml:space="preserve"> ce qu</w:t>
      </w:r>
      <w:r>
        <w:rPr>
          <w:lang w:val="fr-FR"/>
        </w:rPr>
        <w:t>’ils s</w:t>
      </w:r>
      <w:r w:rsidRPr="00976C24">
        <w:rPr>
          <w:lang w:val="fr-FR"/>
        </w:rPr>
        <w:t xml:space="preserve">oient </w:t>
      </w:r>
      <w:r>
        <w:rPr>
          <w:lang w:val="fr-FR"/>
        </w:rPr>
        <w:t>jugés</w:t>
      </w:r>
      <w:r w:rsidRPr="00976C24">
        <w:rPr>
          <w:lang w:val="fr-FR"/>
        </w:rPr>
        <w:t xml:space="preserve"> capables d’</w:t>
      </w:r>
      <w:r>
        <w:rPr>
          <w:lang w:val="fr-FR"/>
        </w:rPr>
        <w:t>intégrer</w:t>
      </w:r>
      <w:r w:rsidRPr="00976C24">
        <w:rPr>
          <w:lang w:val="fr-FR"/>
        </w:rPr>
        <w:t xml:space="preserve"> un groupe de leur âge et de suivre le programme scolaire ordinaire en norvégien. Normalement, les élèves ne sont pas regroupés selon leur niveau d’aptitude, leur sexe ou leur appartenance ethnique. Les classes et groupes ne doivent pas </w:t>
      </w:r>
      <w:r>
        <w:rPr>
          <w:lang w:val="fr-FR"/>
        </w:rPr>
        <w:t>compter plus d’élèves</w:t>
      </w:r>
      <w:r w:rsidRPr="00976C24">
        <w:rPr>
          <w:lang w:val="fr-FR"/>
        </w:rPr>
        <w:t xml:space="preserve"> qu</w:t>
      </w:r>
      <w:r>
        <w:rPr>
          <w:lang w:val="fr-FR"/>
        </w:rPr>
        <w:t>e nécessaire</w:t>
      </w:r>
      <w:r w:rsidRPr="00976C24">
        <w:rPr>
          <w:lang w:val="fr-FR"/>
        </w:rPr>
        <w:t xml:space="preserve"> </w:t>
      </w:r>
      <w:r>
        <w:rPr>
          <w:lang w:val="fr-FR"/>
        </w:rPr>
        <w:t>compte tenu</w:t>
      </w:r>
      <w:r w:rsidRPr="00976C24">
        <w:rPr>
          <w:lang w:val="fr-FR"/>
        </w:rPr>
        <w:t xml:space="preserve"> des </w:t>
      </w:r>
      <w:r>
        <w:rPr>
          <w:lang w:val="fr-FR"/>
        </w:rPr>
        <w:t>projets pédagogiques</w:t>
      </w:r>
      <w:r w:rsidRPr="00976C24">
        <w:rPr>
          <w:lang w:val="fr-FR"/>
        </w:rPr>
        <w:t xml:space="preserve"> et de la sécurité.</w:t>
      </w:r>
    </w:p>
    <w:p w:rsidR="00903547" w:rsidRPr="00976C24" w:rsidRDefault="00903547" w:rsidP="006273F9">
      <w:pPr>
        <w:pStyle w:val="SingleTxtG"/>
        <w:rPr>
          <w:lang w:val="fr-FR"/>
        </w:rPr>
      </w:pPr>
      <w:r>
        <w:rPr>
          <w:lang w:val="fr-FR"/>
        </w:rPr>
        <w:t>450.</w:t>
      </w:r>
      <w:r>
        <w:rPr>
          <w:lang w:val="fr-FR"/>
        </w:rPr>
        <w:tab/>
      </w:r>
      <w:r w:rsidRPr="00976C24">
        <w:rPr>
          <w:lang w:val="fr-FR"/>
        </w:rPr>
        <w:t>Selon l’article 2-7 de la loi sur l’éducation, les élèves d’origine kv</w:t>
      </w:r>
      <w:r>
        <w:rPr>
          <w:lang w:val="fr-FR"/>
        </w:rPr>
        <w:t>en</w:t>
      </w:r>
      <w:r w:rsidRPr="00976C24">
        <w:rPr>
          <w:lang w:val="fr-FR"/>
        </w:rPr>
        <w:t>-finnoise fréquentant des établissements primaires et secondaires du premier cycle dans le Troms et le Finnmark ont droit à un enseignement en finnois si au moins trois élèves de l’établissement en font la demande. Le contenu de</w:t>
      </w:r>
      <w:r>
        <w:rPr>
          <w:lang w:val="fr-FR"/>
        </w:rPr>
        <w:t>s cours</w:t>
      </w:r>
      <w:r w:rsidRPr="00976C24">
        <w:rPr>
          <w:lang w:val="fr-FR"/>
        </w:rPr>
        <w:t xml:space="preserve"> et le temps consacré sont prévus dans un règlement </w:t>
      </w:r>
      <w:r>
        <w:rPr>
          <w:lang w:val="fr-FR"/>
        </w:rPr>
        <w:t>d’application des</w:t>
      </w:r>
      <w:r w:rsidRPr="00976C24">
        <w:rPr>
          <w:lang w:val="fr-FR"/>
        </w:rPr>
        <w:t xml:space="preserve"> articles 2-2 et 2-3 de ladite loi. </w:t>
      </w:r>
      <w:r>
        <w:rPr>
          <w:lang w:val="fr-FR"/>
        </w:rPr>
        <w:t>À partir de la huitième</w:t>
      </w:r>
      <w:r w:rsidRPr="00976C24">
        <w:rPr>
          <w:lang w:val="fr-FR"/>
        </w:rPr>
        <w:t xml:space="preserve"> classe, </w:t>
      </w:r>
      <w:r>
        <w:rPr>
          <w:lang w:val="fr-FR"/>
        </w:rPr>
        <w:t xml:space="preserve">ce sont </w:t>
      </w:r>
      <w:r w:rsidRPr="00976C24">
        <w:rPr>
          <w:lang w:val="fr-FR"/>
        </w:rPr>
        <w:t xml:space="preserve">les élèves eux-mêmes </w:t>
      </w:r>
      <w:r>
        <w:rPr>
          <w:lang w:val="fr-FR"/>
        </w:rPr>
        <w:t>qui décident de</w:t>
      </w:r>
      <w:r w:rsidRPr="00976C24">
        <w:rPr>
          <w:lang w:val="fr-FR"/>
        </w:rPr>
        <w:t xml:space="preserve"> suivre </w:t>
      </w:r>
      <w:r>
        <w:rPr>
          <w:lang w:val="fr-FR"/>
        </w:rPr>
        <w:t xml:space="preserve">ou non </w:t>
      </w:r>
      <w:r w:rsidRPr="00976C24">
        <w:rPr>
          <w:lang w:val="fr-FR"/>
        </w:rPr>
        <w:t xml:space="preserve">des cours en finnois. </w:t>
      </w:r>
    </w:p>
    <w:p w:rsidR="00903547" w:rsidRPr="00976C24" w:rsidRDefault="00903547" w:rsidP="006273F9">
      <w:pPr>
        <w:pStyle w:val="SingleTxtG"/>
        <w:rPr>
          <w:lang w:val="fr-FR"/>
        </w:rPr>
      </w:pPr>
      <w:r>
        <w:rPr>
          <w:lang w:val="fr-FR"/>
        </w:rPr>
        <w:t>451.</w:t>
      </w:r>
      <w:r>
        <w:rPr>
          <w:lang w:val="fr-FR"/>
        </w:rPr>
        <w:tab/>
      </w:r>
      <w:r w:rsidRPr="00976C24">
        <w:rPr>
          <w:lang w:val="fr-FR"/>
        </w:rPr>
        <w:t xml:space="preserve">Le Ministère peut </w:t>
      </w:r>
      <w:r>
        <w:rPr>
          <w:lang w:val="fr-FR"/>
        </w:rPr>
        <w:t>adopter des règlements sur</w:t>
      </w:r>
      <w:r w:rsidRPr="00976C24">
        <w:rPr>
          <w:lang w:val="fr-FR"/>
        </w:rPr>
        <w:t xml:space="preserve"> d</w:t>
      </w:r>
      <w:r>
        <w:rPr>
          <w:lang w:val="fr-FR"/>
        </w:rPr>
        <w:t>’autres</w:t>
      </w:r>
      <w:r w:rsidRPr="00976C24">
        <w:rPr>
          <w:lang w:val="fr-FR"/>
        </w:rPr>
        <w:t xml:space="preserve"> modes d’</w:t>
      </w:r>
      <w:r>
        <w:rPr>
          <w:lang w:val="fr-FR"/>
        </w:rPr>
        <w:t>enseignement,</w:t>
      </w:r>
      <w:r w:rsidRPr="00976C24">
        <w:rPr>
          <w:lang w:val="fr-FR"/>
        </w:rPr>
        <w:t xml:space="preserve"> conformément à ce qui précède</w:t>
      </w:r>
      <w:r>
        <w:rPr>
          <w:lang w:val="fr-FR"/>
        </w:rPr>
        <w:t>,</w:t>
      </w:r>
      <w:r w:rsidRPr="00976C24">
        <w:rPr>
          <w:lang w:val="fr-FR"/>
        </w:rPr>
        <w:t xml:space="preserve"> lorsque cette instruction ne peut être </w:t>
      </w:r>
      <w:r>
        <w:rPr>
          <w:lang w:val="fr-FR"/>
        </w:rPr>
        <w:t>assurée</w:t>
      </w:r>
      <w:r w:rsidRPr="00976C24">
        <w:rPr>
          <w:lang w:val="fr-FR"/>
        </w:rPr>
        <w:t xml:space="preserve"> par des enseignants de l’établissement. </w:t>
      </w:r>
    </w:p>
    <w:p w:rsidR="00903547" w:rsidRPr="00976C24" w:rsidRDefault="00903547" w:rsidP="006273F9">
      <w:pPr>
        <w:pStyle w:val="SingleTxtG"/>
        <w:rPr>
          <w:lang w:val="fr-FR"/>
        </w:rPr>
      </w:pPr>
      <w:r>
        <w:rPr>
          <w:lang w:val="fr-FR"/>
        </w:rPr>
        <w:t>452.</w:t>
      </w:r>
      <w:r>
        <w:rPr>
          <w:lang w:val="fr-FR"/>
        </w:rPr>
        <w:tab/>
      </w:r>
      <w:r w:rsidRPr="00976C24">
        <w:rPr>
          <w:lang w:val="fr-FR"/>
        </w:rPr>
        <w:t xml:space="preserve">Au cours de l’année scolaire 2009/2010, 765 élèves d’âge scolaire obligatoire ont suivi ces cours. Selon l’autorité du comté du Finnmark, 545 élèves du comté ont suivi des cours de finnois comme deuxième langue, </w:t>
      </w:r>
      <w:r>
        <w:rPr>
          <w:lang w:val="fr-FR"/>
        </w:rPr>
        <w:t>dont</w:t>
      </w:r>
      <w:r w:rsidRPr="00976C24">
        <w:rPr>
          <w:lang w:val="fr-FR"/>
        </w:rPr>
        <w:t xml:space="preserve"> 40 des cours de kv</w:t>
      </w:r>
      <w:r>
        <w:rPr>
          <w:lang w:val="fr-FR"/>
        </w:rPr>
        <w:t>en</w:t>
      </w:r>
      <w:r w:rsidRPr="00976C24">
        <w:rPr>
          <w:lang w:val="fr-FR"/>
        </w:rPr>
        <w:t xml:space="preserve">-finnois. L’autorité du comté de Troms déclare </w:t>
      </w:r>
      <w:r>
        <w:rPr>
          <w:lang w:val="fr-FR"/>
        </w:rPr>
        <w:t>avoir constaté</w:t>
      </w:r>
      <w:r w:rsidRPr="00976C24">
        <w:rPr>
          <w:lang w:val="fr-FR"/>
        </w:rPr>
        <w:t xml:space="preserve"> </w:t>
      </w:r>
      <w:r>
        <w:rPr>
          <w:lang w:val="fr-FR"/>
        </w:rPr>
        <w:t>c</w:t>
      </w:r>
      <w:r w:rsidRPr="00976C24">
        <w:rPr>
          <w:lang w:val="fr-FR"/>
        </w:rPr>
        <w:t xml:space="preserve">es trois dernières années une </w:t>
      </w:r>
      <w:r>
        <w:rPr>
          <w:lang w:val="fr-FR"/>
        </w:rPr>
        <w:t>baisse</w:t>
      </w:r>
      <w:r w:rsidRPr="00976C24">
        <w:rPr>
          <w:lang w:val="fr-FR"/>
        </w:rPr>
        <w:t xml:space="preserve"> </w:t>
      </w:r>
      <w:r>
        <w:rPr>
          <w:lang w:val="fr-FR"/>
        </w:rPr>
        <w:t>régulière</w:t>
      </w:r>
      <w:r w:rsidRPr="00976C24">
        <w:rPr>
          <w:lang w:val="fr-FR"/>
        </w:rPr>
        <w:t xml:space="preserve"> du nombre d’élèves de l’enseignement primaire et du premier cycle du secondaire </w:t>
      </w:r>
      <w:r>
        <w:rPr>
          <w:lang w:val="fr-FR"/>
        </w:rPr>
        <w:t xml:space="preserve">inscrits dans </w:t>
      </w:r>
      <w:r w:rsidRPr="00976C24">
        <w:rPr>
          <w:lang w:val="fr-FR"/>
        </w:rPr>
        <w:t xml:space="preserve">des cours </w:t>
      </w:r>
      <w:r>
        <w:rPr>
          <w:lang w:val="fr-FR"/>
        </w:rPr>
        <w:t>de</w:t>
      </w:r>
      <w:r w:rsidRPr="00976C24">
        <w:rPr>
          <w:lang w:val="fr-FR"/>
        </w:rPr>
        <w:t xml:space="preserve"> kven-finnois</w:t>
      </w:r>
      <w:r>
        <w:rPr>
          <w:lang w:val="fr-FR"/>
        </w:rPr>
        <w:t>,</w:t>
      </w:r>
      <w:r w:rsidRPr="00976C24">
        <w:rPr>
          <w:lang w:val="fr-FR"/>
        </w:rPr>
        <w:t xml:space="preserve"> et à l’heure actuelle aucun élève ou </w:t>
      </w:r>
      <w:r>
        <w:rPr>
          <w:lang w:val="fr-FR"/>
        </w:rPr>
        <w:t>parent</w:t>
      </w:r>
      <w:r w:rsidRPr="00976C24">
        <w:rPr>
          <w:lang w:val="fr-FR"/>
        </w:rPr>
        <w:t xml:space="preserve"> n’</w:t>
      </w:r>
      <w:r>
        <w:rPr>
          <w:lang w:val="fr-FR"/>
        </w:rPr>
        <w:t xml:space="preserve">en </w:t>
      </w:r>
      <w:r w:rsidRPr="00976C24">
        <w:rPr>
          <w:lang w:val="fr-FR"/>
        </w:rPr>
        <w:t xml:space="preserve">a </w:t>
      </w:r>
      <w:r>
        <w:rPr>
          <w:lang w:val="fr-FR"/>
        </w:rPr>
        <w:t>fait la demande</w:t>
      </w:r>
      <w:r w:rsidRPr="00976C24">
        <w:rPr>
          <w:lang w:val="fr-FR"/>
        </w:rPr>
        <w:t xml:space="preserve">. En ce qui concerne le deuxième cycle du secondaire, 21 élèves </w:t>
      </w:r>
      <w:r>
        <w:rPr>
          <w:lang w:val="fr-FR"/>
        </w:rPr>
        <w:t>ont pris</w:t>
      </w:r>
      <w:r w:rsidRPr="00976C24">
        <w:rPr>
          <w:lang w:val="fr-FR"/>
        </w:rPr>
        <w:t xml:space="preserve"> le finnois comme deuxième langue </w:t>
      </w:r>
      <w:r>
        <w:rPr>
          <w:lang w:val="fr-FR"/>
        </w:rPr>
        <w:t>pour</w:t>
      </w:r>
      <w:r w:rsidRPr="00976C24">
        <w:rPr>
          <w:lang w:val="fr-FR"/>
        </w:rPr>
        <w:t xml:space="preserve"> l’année scolaire 2009/2010. </w:t>
      </w:r>
    </w:p>
    <w:p w:rsidR="00903547" w:rsidRPr="00976C24" w:rsidRDefault="00903547" w:rsidP="006273F9">
      <w:pPr>
        <w:pStyle w:val="SingleTxtG"/>
        <w:rPr>
          <w:lang w:val="fr-FR"/>
        </w:rPr>
      </w:pPr>
      <w:r>
        <w:rPr>
          <w:lang w:val="fr-FR"/>
        </w:rPr>
        <w:t>453.</w:t>
      </w:r>
      <w:r>
        <w:rPr>
          <w:lang w:val="fr-FR"/>
        </w:rPr>
        <w:tab/>
        <w:t xml:space="preserve">La Direction norvégienne </w:t>
      </w:r>
      <w:r w:rsidRPr="00976C24">
        <w:rPr>
          <w:lang w:val="fr-FR"/>
        </w:rPr>
        <w:t xml:space="preserve">de l’éducation et de la formation peut allouer des fonds à l’élaboration de matériel pédagogique en finnois ou en kven-finnois comme deuxième langue. Les autorités des deux comtés concernés (Troms et Finnmark) ont signalé </w:t>
      </w:r>
      <w:r>
        <w:rPr>
          <w:lang w:val="fr-FR"/>
        </w:rPr>
        <w:t xml:space="preserve">qu’elles avaient </w:t>
      </w:r>
      <w:r w:rsidRPr="00976C24">
        <w:rPr>
          <w:lang w:val="fr-FR"/>
        </w:rPr>
        <w:t xml:space="preserve">besoin </w:t>
      </w:r>
      <w:r>
        <w:rPr>
          <w:lang w:val="fr-FR"/>
        </w:rPr>
        <w:t xml:space="preserve">de l’appui </w:t>
      </w:r>
      <w:r w:rsidRPr="00976C24">
        <w:rPr>
          <w:lang w:val="fr-FR"/>
        </w:rPr>
        <w:t>d</w:t>
      </w:r>
      <w:r>
        <w:rPr>
          <w:lang w:val="fr-FR"/>
        </w:rPr>
        <w:t>’</w:t>
      </w:r>
      <w:r w:rsidRPr="00976C24">
        <w:rPr>
          <w:lang w:val="fr-FR"/>
        </w:rPr>
        <w:t xml:space="preserve">ONG compétentes pour </w:t>
      </w:r>
      <w:r>
        <w:rPr>
          <w:lang w:val="fr-FR"/>
        </w:rPr>
        <w:t>cela</w:t>
      </w:r>
      <w:r w:rsidRPr="00976C24">
        <w:rPr>
          <w:lang w:val="fr-FR"/>
        </w:rPr>
        <w:t>.</w:t>
      </w:r>
    </w:p>
    <w:p w:rsidR="00903547" w:rsidRPr="00976C24" w:rsidRDefault="00903547" w:rsidP="006273F9">
      <w:pPr>
        <w:pStyle w:val="SingleTxtG"/>
        <w:rPr>
          <w:lang w:val="fr-FR"/>
        </w:rPr>
      </w:pPr>
      <w:r>
        <w:rPr>
          <w:lang w:val="fr-FR"/>
        </w:rPr>
        <w:t>454.</w:t>
      </w:r>
      <w:r>
        <w:rPr>
          <w:lang w:val="fr-FR"/>
        </w:rPr>
        <w:tab/>
      </w:r>
      <w:r w:rsidRPr="00976C24">
        <w:rPr>
          <w:lang w:val="fr-FR"/>
        </w:rPr>
        <w:t xml:space="preserve">L’article 6-2 de la loi sur l’éducation régit l’enseignement sami au niveau du primaire et du premier cycle du secondaire. L’article dispose que dans les districts samis, tous les enfants suivant l’enseignement primaire et le premier cycle du secondaire </w:t>
      </w:r>
      <w:r>
        <w:rPr>
          <w:lang w:val="fr-FR"/>
        </w:rPr>
        <w:t>peuvent bénéficier d’un enseignement de</w:t>
      </w:r>
      <w:r w:rsidRPr="00976C24">
        <w:rPr>
          <w:lang w:val="fr-FR"/>
        </w:rPr>
        <w:t xml:space="preserve"> </w:t>
      </w:r>
      <w:r>
        <w:rPr>
          <w:lang w:val="fr-FR"/>
        </w:rPr>
        <w:t xml:space="preserve">la langue </w:t>
      </w:r>
      <w:r w:rsidRPr="00976C24">
        <w:rPr>
          <w:lang w:val="fr-FR"/>
        </w:rPr>
        <w:t xml:space="preserve">sami et </w:t>
      </w:r>
      <w:r>
        <w:rPr>
          <w:lang w:val="fr-FR"/>
        </w:rPr>
        <w:t>en langue</w:t>
      </w:r>
      <w:r w:rsidRPr="00976C24">
        <w:rPr>
          <w:lang w:val="fr-FR"/>
        </w:rPr>
        <w:t xml:space="preserve"> sami. En dehors des districts samis, </w:t>
      </w:r>
      <w:r>
        <w:rPr>
          <w:lang w:val="fr-FR"/>
        </w:rPr>
        <w:t>il faut qu’au moins</w:t>
      </w:r>
      <w:r w:rsidRPr="00976C24">
        <w:rPr>
          <w:lang w:val="fr-FR"/>
        </w:rPr>
        <w:t xml:space="preserve"> dix élèves d’une municipalité </w:t>
      </w:r>
      <w:r>
        <w:rPr>
          <w:lang w:val="fr-FR"/>
        </w:rPr>
        <w:t>en fassent la demande et que le groupe compte un minimum de six</w:t>
      </w:r>
      <w:r w:rsidRPr="00976C24">
        <w:rPr>
          <w:lang w:val="fr-FR"/>
        </w:rPr>
        <w:t xml:space="preserve"> élèves. Indépendamment de cela, les enfants samis vivant à l’extérieur des districts samis </w:t>
      </w:r>
      <w:r>
        <w:rPr>
          <w:lang w:val="fr-FR"/>
        </w:rPr>
        <w:t>inscrits dans le</w:t>
      </w:r>
      <w:r w:rsidRPr="00976C24">
        <w:rPr>
          <w:lang w:val="fr-FR"/>
        </w:rPr>
        <w:t xml:space="preserve"> primaire ou le premier cycle </w:t>
      </w:r>
      <w:r>
        <w:rPr>
          <w:lang w:val="fr-FR"/>
        </w:rPr>
        <w:t>du</w:t>
      </w:r>
      <w:r w:rsidRPr="00976C24">
        <w:rPr>
          <w:lang w:val="fr-FR"/>
        </w:rPr>
        <w:t xml:space="preserve"> secondaire ont droit </w:t>
      </w:r>
      <w:r>
        <w:rPr>
          <w:lang w:val="fr-FR"/>
        </w:rPr>
        <w:t>à des cours de langue</w:t>
      </w:r>
      <w:r w:rsidRPr="00976C24">
        <w:rPr>
          <w:lang w:val="fr-FR"/>
        </w:rPr>
        <w:t xml:space="preserve"> sami.</w:t>
      </w:r>
    </w:p>
    <w:p w:rsidR="00903547" w:rsidRPr="00976C24" w:rsidRDefault="00903547" w:rsidP="006273F9">
      <w:pPr>
        <w:pStyle w:val="SingleTxtG"/>
        <w:rPr>
          <w:lang w:val="fr-FR"/>
        </w:rPr>
      </w:pPr>
      <w:r>
        <w:rPr>
          <w:lang w:val="fr-FR"/>
        </w:rPr>
        <w:t>455.</w:t>
      </w:r>
      <w:r>
        <w:rPr>
          <w:lang w:val="fr-FR"/>
        </w:rPr>
        <w:tab/>
      </w:r>
      <w:r w:rsidRPr="00976C24">
        <w:rPr>
          <w:lang w:val="fr-FR"/>
        </w:rPr>
        <w:t xml:space="preserve">Pour l’année scolaire 2009/2010, trois élèves ont </w:t>
      </w:r>
      <w:r>
        <w:rPr>
          <w:lang w:val="fr-FR"/>
        </w:rPr>
        <w:t>bénéficié d’</w:t>
      </w:r>
      <w:r w:rsidRPr="00976C24">
        <w:rPr>
          <w:lang w:val="fr-FR"/>
        </w:rPr>
        <w:t>u</w:t>
      </w:r>
      <w:r>
        <w:rPr>
          <w:lang w:val="fr-FR"/>
        </w:rPr>
        <w:t>n enseignement dans</w:t>
      </w:r>
      <w:r w:rsidRPr="00976C24">
        <w:rPr>
          <w:lang w:val="fr-FR"/>
        </w:rPr>
        <w:t xml:space="preserve"> leur langue maternelle, le romani, et un élève a suivi un enseignement bilingue romani/</w:t>
      </w:r>
      <w:r>
        <w:rPr>
          <w:lang w:val="fr-FR"/>
        </w:rPr>
        <w:t>norvégien. Un projet intitulé «</w:t>
      </w:r>
      <w:r w:rsidRPr="00976C24">
        <w:rPr>
          <w:lang w:val="fr-FR"/>
        </w:rPr>
        <w:t>Le peuple ro</w:t>
      </w:r>
      <w:r>
        <w:rPr>
          <w:lang w:val="fr-FR"/>
        </w:rPr>
        <w:t>m – de l’enfance à l’âge adulte</w:t>
      </w:r>
      <w:r w:rsidRPr="00976C24">
        <w:rPr>
          <w:lang w:val="fr-FR"/>
        </w:rPr>
        <w:t xml:space="preserve">» </w:t>
      </w:r>
      <w:r>
        <w:rPr>
          <w:lang w:val="fr-FR"/>
        </w:rPr>
        <w:t xml:space="preserve">s’est </w:t>
      </w:r>
      <w:r w:rsidRPr="00976C24">
        <w:rPr>
          <w:lang w:val="fr-FR"/>
        </w:rPr>
        <w:t>achevé de manière satisfaisante</w:t>
      </w:r>
      <w:r>
        <w:rPr>
          <w:lang w:val="fr-FR"/>
        </w:rPr>
        <w:t>;</w:t>
      </w:r>
      <w:r w:rsidRPr="00976C24">
        <w:rPr>
          <w:lang w:val="fr-FR"/>
        </w:rPr>
        <w:t xml:space="preserve"> les autorités </w:t>
      </w:r>
      <w:r>
        <w:rPr>
          <w:lang w:val="fr-FR"/>
        </w:rPr>
        <w:t>examinent</w:t>
      </w:r>
      <w:r w:rsidRPr="00976C24">
        <w:rPr>
          <w:lang w:val="fr-FR"/>
        </w:rPr>
        <w:t xml:space="preserve"> actuellement si les </w:t>
      </w:r>
      <w:r>
        <w:rPr>
          <w:lang w:val="fr-FR"/>
        </w:rPr>
        <w:t>résultats</w:t>
      </w:r>
      <w:r w:rsidRPr="00976C24">
        <w:rPr>
          <w:lang w:val="fr-FR"/>
        </w:rPr>
        <w:t xml:space="preserve"> de ce projet p</w:t>
      </w:r>
      <w:r>
        <w:rPr>
          <w:lang w:val="fr-FR"/>
        </w:rPr>
        <w:t>euvent</w:t>
      </w:r>
      <w:r w:rsidRPr="00976C24">
        <w:rPr>
          <w:lang w:val="fr-FR"/>
        </w:rPr>
        <w:t xml:space="preserve"> servir à </w:t>
      </w:r>
      <w:r>
        <w:rPr>
          <w:lang w:val="fr-FR"/>
        </w:rPr>
        <w:t>l’élaboration d’</w:t>
      </w:r>
      <w:r w:rsidRPr="00976C24">
        <w:rPr>
          <w:lang w:val="fr-FR"/>
        </w:rPr>
        <w:t>un programme permanent.</w:t>
      </w:r>
    </w:p>
    <w:p w:rsidR="00903547" w:rsidRPr="00976C24" w:rsidRDefault="00903547" w:rsidP="006273F9">
      <w:pPr>
        <w:pStyle w:val="SingleTxtG"/>
        <w:rPr>
          <w:lang w:val="fr-FR"/>
        </w:rPr>
      </w:pPr>
      <w:r>
        <w:rPr>
          <w:lang w:val="fr-FR"/>
        </w:rPr>
        <w:t>456.</w:t>
      </w:r>
      <w:r>
        <w:rPr>
          <w:lang w:val="fr-FR"/>
        </w:rPr>
        <w:tab/>
      </w:r>
      <w:r w:rsidRPr="00976C24">
        <w:rPr>
          <w:lang w:val="fr-FR"/>
        </w:rPr>
        <w:t>En février 2007, le Gouvernement a publié une édition</w:t>
      </w:r>
      <w:r>
        <w:rPr>
          <w:lang w:val="fr-FR"/>
        </w:rPr>
        <w:t xml:space="preserve"> remaniée du plan stratégique «Égalité</w:t>
      </w:r>
      <w:r w:rsidRPr="00976C24">
        <w:rPr>
          <w:lang w:val="fr-FR"/>
        </w:rPr>
        <w:t xml:space="preserve"> d’accès à l’éducati</w:t>
      </w:r>
      <w:r>
        <w:rPr>
          <w:lang w:val="fr-FR"/>
        </w:rPr>
        <w:t>on dans la pratique! 2007-2009</w:t>
      </w:r>
      <w:r w:rsidRPr="00976C24">
        <w:rPr>
          <w:lang w:val="fr-FR"/>
        </w:rPr>
        <w:t>».</w:t>
      </w:r>
      <w:r w:rsidRPr="00976C24">
        <w:rPr>
          <w:i/>
          <w:lang w:val="fr-FR"/>
        </w:rPr>
        <w:t xml:space="preserve"> </w:t>
      </w:r>
      <w:r w:rsidRPr="00976C24">
        <w:rPr>
          <w:lang w:val="fr-FR"/>
        </w:rPr>
        <w:t xml:space="preserve">Le plan était destiné à promouvoir des </w:t>
      </w:r>
      <w:r>
        <w:rPr>
          <w:lang w:val="fr-FR"/>
        </w:rPr>
        <w:t>actions</w:t>
      </w:r>
      <w:r w:rsidRPr="00976C24">
        <w:rPr>
          <w:lang w:val="fr-FR"/>
        </w:rPr>
        <w:t xml:space="preserve"> </w:t>
      </w:r>
      <w:r>
        <w:rPr>
          <w:lang w:val="fr-FR"/>
        </w:rPr>
        <w:t>concertées en faveur d</w:t>
      </w:r>
      <w:r w:rsidRPr="00976C24">
        <w:rPr>
          <w:lang w:val="fr-FR"/>
        </w:rPr>
        <w:t xml:space="preserve">es enfants et </w:t>
      </w:r>
      <w:r>
        <w:rPr>
          <w:lang w:val="fr-FR"/>
        </w:rPr>
        <w:t>d</w:t>
      </w:r>
      <w:r w:rsidRPr="00976C24">
        <w:rPr>
          <w:lang w:val="fr-FR"/>
        </w:rPr>
        <w:t>es jeunes issus de minorités dans les établissements d’enseignement</w:t>
      </w:r>
      <w:r>
        <w:rPr>
          <w:lang w:val="fr-FR"/>
        </w:rPr>
        <w:t>, depuis la maternelle</w:t>
      </w:r>
      <w:r w:rsidRPr="00976C24">
        <w:rPr>
          <w:lang w:val="fr-FR"/>
        </w:rPr>
        <w:t xml:space="preserve"> jusqu’au niveau supérieur. Pour de plus amples informations, le Comité pourra se reporter </w:t>
      </w:r>
      <w:r>
        <w:rPr>
          <w:lang w:val="fr-FR"/>
        </w:rPr>
        <w:t>à l’</w:t>
      </w:r>
      <w:r w:rsidRPr="00976C24">
        <w:rPr>
          <w:lang w:val="fr-FR"/>
        </w:rPr>
        <w:t>article 5</w:t>
      </w:r>
      <w:r>
        <w:rPr>
          <w:lang w:val="fr-FR"/>
        </w:rPr>
        <w:t> </w:t>
      </w:r>
      <w:r w:rsidRPr="00976C24">
        <w:rPr>
          <w:lang w:val="fr-FR"/>
        </w:rPr>
        <w:t>I</w:t>
      </w:r>
      <w:r>
        <w:rPr>
          <w:lang w:val="fr-FR"/>
        </w:rPr>
        <w:t> </w:t>
      </w:r>
      <w:r w:rsidRPr="00976C24">
        <w:rPr>
          <w:lang w:val="fr-FR"/>
        </w:rPr>
        <w:t xml:space="preserve">E </w:t>
      </w:r>
      <w:r>
        <w:rPr>
          <w:lang w:val="fr-FR"/>
        </w:rPr>
        <w:t>des</w:t>
      </w:r>
      <w:r w:rsidRPr="00976C24">
        <w:rPr>
          <w:lang w:val="fr-FR"/>
        </w:rPr>
        <w:t xml:space="preserve"> dix-neuvième et vingtième rapports de la Norvège soumis en vertu de la Convention internationale sur l’élimination de toutes les formes de discrimination raciale.</w:t>
      </w:r>
    </w:p>
    <w:p w:rsidR="00903547" w:rsidRPr="00976C24" w:rsidRDefault="00903547" w:rsidP="0071086E">
      <w:pPr>
        <w:pStyle w:val="H23G"/>
        <w:rPr>
          <w:lang w:val="fr-FR"/>
        </w:rPr>
      </w:pPr>
      <w:r w:rsidRPr="00976C24">
        <w:rPr>
          <w:lang w:val="fr-FR"/>
        </w:rPr>
        <w:tab/>
        <w:t>7.</w:t>
      </w:r>
      <w:r w:rsidRPr="00976C24">
        <w:rPr>
          <w:lang w:val="fr-FR"/>
        </w:rPr>
        <w:tab/>
        <w:t>Mesures prises pour garantir les mêmes critères d’admission pour les garçons et pour les filles, quel que soit le niveau d’enseignement, et pour sensibiliser les parents, les enseignants et les décideurs à l’importance de l’éducation des filles (E/2009/22-E/C.12/2008/3, annexe VIII, par.</w:t>
      </w:r>
      <w:r>
        <w:rPr>
          <w:lang w:val="fr-FR"/>
        </w:rPr>
        <w:t> </w:t>
      </w:r>
      <w:r w:rsidRPr="00976C24">
        <w:rPr>
          <w:lang w:val="fr-FR"/>
        </w:rPr>
        <w:t>64)</w:t>
      </w:r>
    </w:p>
    <w:p w:rsidR="00903547" w:rsidRPr="00976C24" w:rsidRDefault="00903547" w:rsidP="006273F9">
      <w:pPr>
        <w:pStyle w:val="SingleTxtG"/>
        <w:rPr>
          <w:lang w:val="fr-FR"/>
        </w:rPr>
      </w:pPr>
      <w:r>
        <w:rPr>
          <w:lang w:val="fr-FR"/>
        </w:rPr>
        <w:t>457.</w:t>
      </w:r>
      <w:r>
        <w:rPr>
          <w:lang w:val="fr-FR"/>
        </w:rPr>
        <w:tab/>
      </w:r>
      <w:r w:rsidRPr="00976C24">
        <w:rPr>
          <w:lang w:val="fr-FR"/>
        </w:rPr>
        <w:t xml:space="preserve">En Norvège, tous les enfants, sans considération de sexe, ont les mêmes droits et obligations de suivre des études primaires et le premier cycle du secondaire et le droit de suivre le deuxième cycle du secondaire. Les critères d’admission </w:t>
      </w:r>
      <w:r>
        <w:rPr>
          <w:lang w:val="fr-FR"/>
        </w:rPr>
        <w:t>des garçons et d</w:t>
      </w:r>
      <w:r w:rsidRPr="00976C24">
        <w:rPr>
          <w:lang w:val="fr-FR"/>
        </w:rPr>
        <w:t>e</w:t>
      </w:r>
      <w:r>
        <w:rPr>
          <w:lang w:val="fr-FR"/>
        </w:rPr>
        <w:t>s</w:t>
      </w:r>
      <w:r w:rsidRPr="00976C24">
        <w:rPr>
          <w:lang w:val="fr-FR"/>
        </w:rPr>
        <w:t xml:space="preserve"> filles </w:t>
      </w:r>
      <w:r>
        <w:rPr>
          <w:lang w:val="fr-FR"/>
        </w:rPr>
        <w:t>sont identiques</w:t>
      </w:r>
      <w:r w:rsidRPr="00976C24">
        <w:rPr>
          <w:lang w:val="fr-FR"/>
        </w:rPr>
        <w:t xml:space="preserve"> à tous les niveaux. Des efforts sont déployés pour que le contenu des programmes scolaires traite suffisamment de la question de l’égalité des sexes, que les garçons et les filles soient traités de la même façon à l’école et que la </w:t>
      </w:r>
      <w:r>
        <w:rPr>
          <w:lang w:val="fr-FR"/>
        </w:rPr>
        <w:t xml:space="preserve">parité au sein </w:t>
      </w:r>
      <w:r w:rsidRPr="00976C24">
        <w:rPr>
          <w:lang w:val="fr-FR"/>
        </w:rPr>
        <w:t xml:space="preserve">du personnel soit </w:t>
      </w:r>
      <w:r>
        <w:rPr>
          <w:lang w:val="fr-FR"/>
        </w:rPr>
        <w:t>davantage respectée</w:t>
      </w:r>
      <w:r w:rsidRPr="00976C24">
        <w:rPr>
          <w:lang w:val="fr-FR"/>
        </w:rPr>
        <w:t>.</w:t>
      </w:r>
    </w:p>
    <w:p w:rsidR="00903547" w:rsidRPr="00976C24" w:rsidRDefault="00903547" w:rsidP="006273F9">
      <w:pPr>
        <w:pStyle w:val="SingleTxtG"/>
        <w:rPr>
          <w:lang w:val="fr-FR"/>
        </w:rPr>
      </w:pPr>
      <w:r>
        <w:rPr>
          <w:lang w:val="fr-FR"/>
        </w:rPr>
        <w:t>458.</w:t>
      </w:r>
      <w:r>
        <w:rPr>
          <w:lang w:val="fr-FR"/>
        </w:rPr>
        <w:tab/>
      </w:r>
      <w:r w:rsidRPr="00976C24">
        <w:rPr>
          <w:lang w:val="fr-FR"/>
        </w:rPr>
        <w:t xml:space="preserve">Le Comité pourra se reporter à la réponse du Gouvernement </w:t>
      </w:r>
      <w:r>
        <w:rPr>
          <w:lang w:val="fr-FR"/>
        </w:rPr>
        <w:t xml:space="preserve">relative </w:t>
      </w:r>
      <w:r w:rsidRPr="00976C24">
        <w:rPr>
          <w:lang w:val="fr-FR"/>
        </w:rPr>
        <w:t xml:space="preserve">à l’article 3 </w:t>
      </w:r>
      <w:r>
        <w:rPr>
          <w:lang w:val="fr-FR"/>
        </w:rPr>
        <w:t>figurant dans le</w:t>
      </w:r>
      <w:r w:rsidRPr="00976C24">
        <w:rPr>
          <w:lang w:val="fr-FR"/>
        </w:rPr>
        <w:t xml:space="preserve"> présent rapport concernant l’égalité des chances </w:t>
      </w:r>
      <w:r>
        <w:rPr>
          <w:lang w:val="fr-FR"/>
        </w:rPr>
        <w:t>hommes-</w:t>
      </w:r>
      <w:r w:rsidRPr="00976C24">
        <w:rPr>
          <w:lang w:val="fr-FR"/>
        </w:rPr>
        <w:t xml:space="preserve">femmes. </w:t>
      </w:r>
    </w:p>
    <w:p w:rsidR="00903547" w:rsidRPr="00976C24" w:rsidRDefault="00903547" w:rsidP="006273F9">
      <w:pPr>
        <w:pStyle w:val="SingleTxtG"/>
        <w:rPr>
          <w:i/>
          <w:lang w:val="fr-FR"/>
        </w:rPr>
      </w:pPr>
      <w:r>
        <w:rPr>
          <w:lang w:val="fr-FR"/>
        </w:rPr>
        <w:t>459.</w:t>
      </w:r>
      <w:r>
        <w:rPr>
          <w:lang w:val="fr-FR"/>
        </w:rPr>
        <w:tab/>
      </w:r>
      <w:r w:rsidRPr="00976C24">
        <w:rPr>
          <w:lang w:val="fr-FR"/>
        </w:rPr>
        <w:t>Les choix d’études et de carrière fondés sur les stéréotypes sexistes sont pour beaucoup à l’origine des différences systématiques entre les hommes et les femmes dans le monde professionnel et la société de manière générale. Le Ministère de l’éducation et de la recherche a relevé ce défi en adoptant un plan d’action pour l’égalité dans l’éducation prés</w:t>
      </w:r>
      <w:r>
        <w:rPr>
          <w:lang w:val="fr-FR"/>
        </w:rPr>
        <w:t>colaire et primaire (2008-2010)</w:t>
      </w:r>
      <w:r w:rsidRPr="00976C24">
        <w:rPr>
          <w:rStyle w:val="FootnoteReference"/>
          <w:lang w:val="fr-FR"/>
        </w:rPr>
        <w:footnoteReference w:id="25"/>
      </w:r>
      <w:r>
        <w:rPr>
          <w:lang w:val="fr-FR"/>
        </w:rPr>
        <w:t>,</w:t>
      </w:r>
      <w:r w:rsidRPr="00976C24">
        <w:rPr>
          <w:lang w:val="fr-FR"/>
        </w:rPr>
        <w:t xml:space="preserve"> qui s’</w:t>
      </w:r>
      <w:r>
        <w:rPr>
          <w:lang w:val="fr-FR"/>
        </w:rPr>
        <w:t>articule autour d</w:t>
      </w:r>
      <w:r w:rsidRPr="00976C24">
        <w:rPr>
          <w:lang w:val="fr-FR"/>
        </w:rPr>
        <w:t>es objectifs suivants</w:t>
      </w:r>
      <w:r>
        <w:rPr>
          <w:lang w:val="fr-FR"/>
        </w:rPr>
        <w:t>:</w:t>
      </w:r>
      <w:r w:rsidRPr="00976C24">
        <w:rPr>
          <w:lang w:val="fr-FR"/>
        </w:rPr>
        <w:t xml:space="preserve"> l’environnement scolaire des maternelles et de l’éducation de base doit promouvoir l’égalité entre les garçons et les filles, un meilleur équilibre entre les sexes au moment du choix de la filière d’études et de la carrière – avec un accent particulier sur l’enseignement et la formation professionnels</w:t>
      </w:r>
      <w:r>
        <w:rPr>
          <w:lang w:val="fr-FR"/>
        </w:rPr>
        <w:t xml:space="preserve"> </w:t>
      </w:r>
      <w:r w:rsidRPr="00976C24">
        <w:rPr>
          <w:lang w:val="fr-FR"/>
        </w:rPr>
        <w:t>–</w:t>
      </w:r>
      <w:r>
        <w:rPr>
          <w:lang w:val="fr-FR"/>
        </w:rPr>
        <w:t>,</w:t>
      </w:r>
      <w:r w:rsidRPr="00976C24">
        <w:rPr>
          <w:lang w:val="fr-FR"/>
        </w:rPr>
        <w:t xml:space="preserve"> le recrutement de filles dans des filières scientifiques </w:t>
      </w:r>
      <w:r>
        <w:rPr>
          <w:lang w:val="fr-FR"/>
        </w:rPr>
        <w:t>et technologiques</w:t>
      </w:r>
      <w:r w:rsidRPr="00976C24">
        <w:rPr>
          <w:lang w:val="fr-FR"/>
        </w:rPr>
        <w:t xml:space="preserve"> et un</w:t>
      </w:r>
      <w:r>
        <w:rPr>
          <w:lang w:val="fr-FR"/>
        </w:rPr>
        <w:t>e parité</w:t>
      </w:r>
      <w:r w:rsidRPr="00976C24">
        <w:rPr>
          <w:lang w:val="fr-FR"/>
        </w:rPr>
        <w:t xml:space="preserve"> </w:t>
      </w:r>
      <w:r>
        <w:rPr>
          <w:lang w:val="fr-FR"/>
        </w:rPr>
        <w:t>plus complète au sein d</w:t>
      </w:r>
      <w:r w:rsidRPr="00976C24">
        <w:rPr>
          <w:lang w:val="fr-FR"/>
        </w:rPr>
        <w:t>u personne</w:t>
      </w:r>
      <w:r>
        <w:rPr>
          <w:lang w:val="fr-FR"/>
        </w:rPr>
        <w:t>l</w:t>
      </w:r>
      <w:r w:rsidRPr="00976C24">
        <w:rPr>
          <w:lang w:val="fr-FR"/>
        </w:rPr>
        <w:t xml:space="preserve"> des maternelles, de l’enseignement primaire et secondaire.</w:t>
      </w:r>
    </w:p>
    <w:p w:rsidR="00903547" w:rsidRPr="00976C24" w:rsidRDefault="00903547" w:rsidP="0071086E">
      <w:pPr>
        <w:pStyle w:val="H23G"/>
        <w:rPr>
          <w:lang w:val="fr-FR"/>
        </w:rPr>
      </w:pPr>
      <w:r w:rsidRPr="00976C24">
        <w:rPr>
          <w:lang w:val="fr-FR"/>
        </w:rPr>
        <w:tab/>
        <w:t>8.</w:t>
      </w:r>
      <w:r w:rsidRPr="00976C24">
        <w:rPr>
          <w:lang w:val="fr-FR"/>
        </w:rPr>
        <w:tab/>
        <w:t>Mesures prises pour faire baisser le taux d’abandon scolaire, dans le primaire et dans le secondaire, pour les enfants et les jeunes, en particulier les filles, les enfants issus de minorités ethniques, de communautés autochtones ou de familles pauvres, ainsi que les enfants migrants, réfugiés ou déplacés à l’intérieur du pays (E/2009/22-E/C.12/2008/3, annexe VIII, par.</w:t>
      </w:r>
      <w:r>
        <w:rPr>
          <w:lang w:val="fr-FR"/>
        </w:rPr>
        <w:t> </w:t>
      </w:r>
      <w:r w:rsidRPr="00976C24">
        <w:rPr>
          <w:lang w:val="fr-FR"/>
        </w:rPr>
        <w:t>65)</w:t>
      </w:r>
    </w:p>
    <w:p w:rsidR="00903547" w:rsidRPr="00976C24" w:rsidRDefault="00903547" w:rsidP="006273F9">
      <w:pPr>
        <w:pStyle w:val="SingleTxtG"/>
        <w:rPr>
          <w:lang w:val="fr-FR"/>
        </w:rPr>
      </w:pPr>
      <w:r>
        <w:rPr>
          <w:lang w:val="fr-FR"/>
        </w:rPr>
        <w:t>460.</w:t>
      </w:r>
      <w:r>
        <w:rPr>
          <w:lang w:val="fr-FR"/>
        </w:rPr>
        <w:tab/>
      </w:r>
      <w:r w:rsidRPr="00976C24">
        <w:rPr>
          <w:lang w:val="fr-FR"/>
        </w:rPr>
        <w:t xml:space="preserve">L’intervention précoce est l’une des principales stratégies </w:t>
      </w:r>
      <w:r>
        <w:rPr>
          <w:lang w:val="fr-FR"/>
        </w:rPr>
        <w:t>mises en œuvre</w:t>
      </w:r>
      <w:r w:rsidRPr="00976C24">
        <w:rPr>
          <w:lang w:val="fr-FR"/>
        </w:rPr>
        <w:t xml:space="preserve"> pour assurer une éducation de qualité </w:t>
      </w:r>
      <w:r>
        <w:rPr>
          <w:lang w:val="fr-FR"/>
        </w:rPr>
        <w:t>pour tous</w:t>
      </w:r>
      <w:r w:rsidRPr="00976C24">
        <w:rPr>
          <w:lang w:val="fr-FR"/>
        </w:rPr>
        <w:t xml:space="preserve"> et prévenir </w:t>
      </w:r>
      <w:r>
        <w:rPr>
          <w:lang w:val="fr-FR"/>
        </w:rPr>
        <w:t>l’</w:t>
      </w:r>
      <w:r w:rsidRPr="00976C24">
        <w:rPr>
          <w:lang w:val="fr-FR"/>
        </w:rPr>
        <w:t>abandon scolaire pré</w:t>
      </w:r>
      <w:r>
        <w:rPr>
          <w:lang w:val="fr-FR"/>
        </w:rPr>
        <w:t>maturé, qui</w:t>
      </w:r>
      <w:r w:rsidRPr="00976C24">
        <w:rPr>
          <w:lang w:val="fr-FR"/>
        </w:rPr>
        <w:t xml:space="preserve"> </w:t>
      </w:r>
      <w:r>
        <w:rPr>
          <w:lang w:val="fr-FR"/>
        </w:rPr>
        <w:t>implique</w:t>
      </w:r>
      <w:r w:rsidRPr="00976C24">
        <w:rPr>
          <w:lang w:val="fr-FR"/>
        </w:rPr>
        <w:t xml:space="preserve"> d’intervenir et d’agir </w:t>
      </w:r>
      <w:r>
        <w:rPr>
          <w:lang w:val="fr-FR"/>
        </w:rPr>
        <w:t>dès qu’un problème</w:t>
      </w:r>
      <w:r w:rsidRPr="00976C24">
        <w:rPr>
          <w:lang w:val="fr-FR"/>
        </w:rPr>
        <w:t xml:space="preserve"> se pose au cours de l</w:t>
      </w:r>
      <w:r>
        <w:rPr>
          <w:lang w:val="fr-FR"/>
        </w:rPr>
        <w:t>a scolarité</w:t>
      </w:r>
      <w:r w:rsidRPr="00976C24">
        <w:rPr>
          <w:lang w:val="fr-FR"/>
        </w:rPr>
        <w:t xml:space="preserve"> d’un enfant. </w:t>
      </w:r>
    </w:p>
    <w:p w:rsidR="00903547" w:rsidRPr="00976C24" w:rsidRDefault="00903547" w:rsidP="006273F9">
      <w:pPr>
        <w:pStyle w:val="SingleTxtG"/>
        <w:rPr>
          <w:lang w:val="fr-FR"/>
        </w:rPr>
      </w:pPr>
      <w:r>
        <w:rPr>
          <w:lang w:val="fr-FR"/>
        </w:rPr>
        <w:t>461.</w:t>
      </w:r>
      <w:r>
        <w:rPr>
          <w:lang w:val="fr-FR"/>
        </w:rPr>
        <w:tab/>
      </w:r>
      <w:r w:rsidRPr="00976C24">
        <w:rPr>
          <w:lang w:val="fr-FR"/>
        </w:rPr>
        <w:t xml:space="preserve">Le taux d’abandon scolaire est </w:t>
      </w:r>
      <w:r>
        <w:rPr>
          <w:lang w:val="fr-FR"/>
        </w:rPr>
        <w:t>préoccupant</w:t>
      </w:r>
      <w:r w:rsidRPr="00976C24">
        <w:rPr>
          <w:lang w:val="fr-FR"/>
        </w:rPr>
        <w:t xml:space="preserve"> dans le deuxième cycle du secondaire</w:t>
      </w:r>
      <w:r>
        <w:rPr>
          <w:lang w:val="fr-FR"/>
        </w:rPr>
        <w:t xml:space="preserve"> et</w:t>
      </w:r>
      <w:r w:rsidRPr="00976C24">
        <w:rPr>
          <w:lang w:val="fr-FR"/>
        </w:rPr>
        <w:t xml:space="preserve"> particulièrement aigu dans la formation technique et professionnelle. </w:t>
      </w:r>
      <w:r>
        <w:rPr>
          <w:lang w:val="fr-FR"/>
        </w:rPr>
        <w:t>Il</w:t>
      </w:r>
      <w:r w:rsidRPr="00976C24">
        <w:rPr>
          <w:lang w:val="fr-FR"/>
        </w:rPr>
        <w:t xml:space="preserve"> est </w:t>
      </w:r>
      <w:r>
        <w:rPr>
          <w:lang w:val="fr-FR"/>
        </w:rPr>
        <w:t>plus élevé</w:t>
      </w:r>
      <w:r w:rsidRPr="00976C24">
        <w:rPr>
          <w:lang w:val="fr-FR"/>
        </w:rPr>
        <w:t xml:space="preserve"> </w:t>
      </w:r>
      <w:r>
        <w:rPr>
          <w:lang w:val="fr-FR"/>
        </w:rPr>
        <w:t>chez</w:t>
      </w:r>
      <w:r w:rsidRPr="00976C24">
        <w:rPr>
          <w:lang w:val="fr-FR"/>
        </w:rPr>
        <w:t xml:space="preserve"> les garçons </w:t>
      </w:r>
      <w:r>
        <w:rPr>
          <w:lang w:val="fr-FR"/>
        </w:rPr>
        <w:t>que chez les filles, ainsi que chez</w:t>
      </w:r>
      <w:r w:rsidRPr="00976C24">
        <w:rPr>
          <w:lang w:val="fr-FR"/>
        </w:rPr>
        <w:t xml:space="preserve"> les élèves issus de minorités. Les jeunes qui n’acquièrent pas de bonnes connaissances de base pendant le primaire et le premier cycle du secondaire sont particulièrement vulnérables. Le nombre d’emplois qui n’exigent</w:t>
      </w:r>
      <w:r>
        <w:rPr>
          <w:lang w:val="fr-FR"/>
        </w:rPr>
        <w:t xml:space="preserve"> pas un niveau de</w:t>
      </w:r>
      <w:r w:rsidRPr="00976C24">
        <w:rPr>
          <w:lang w:val="fr-FR"/>
        </w:rPr>
        <w:t xml:space="preserve"> deuxième cycle du secondaire ou supérieur est en diminution con</w:t>
      </w:r>
      <w:r>
        <w:rPr>
          <w:lang w:val="fr-FR"/>
        </w:rPr>
        <w:t>stante</w:t>
      </w:r>
      <w:r w:rsidRPr="00976C24">
        <w:rPr>
          <w:lang w:val="fr-FR"/>
        </w:rPr>
        <w:t>. Le</w:t>
      </w:r>
      <w:r>
        <w:rPr>
          <w:lang w:val="fr-FR"/>
        </w:rPr>
        <w:t>s pouvoirs publics</w:t>
      </w:r>
      <w:r w:rsidRPr="00976C24">
        <w:rPr>
          <w:lang w:val="fr-FR"/>
        </w:rPr>
        <w:t xml:space="preserve"> considère</w:t>
      </w:r>
      <w:r>
        <w:rPr>
          <w:lang w:val="fr-FR"/>
        </w:rPr>
        <w:t>nt</w:t>
      </w:r>
      <w:r w:rsidRPr="00976C24">
        <w:rPr>
          <w:lang w:val="fr-FR"/>
        </w:rPr>
        <w:t xml:space="preserve"> qu’il est </w:t>
      </w:r>
      <w:r>
        <w:rPr>
          <w:lang w:val="fr-FR"/>
        </w:rPr>
        <w:t>de la plus haute importance</w:t>
      </w:r>
      <w:r w:rsidRPr="00976C24">
        <w:rPr>
          <w:lang w:val="fr-FR"/>
        </w:rPr>
        <w:t xml:space="preserve"> que davantage d</w:t>
      </w:r>
      <w:r>
        <w:rPr>
          <w:lang w:val="fr-FR"/>
        </w:rPr>
        <w:t>’élèves</w:t>
      </w:r>
      <w:r w:rsidRPr="00976C24">
        <w:rPr>
          <w:lang w:val="fr-FR"/>
        </w:rPr>
        <w:t xml:space="preserve"> achèvent </w:t>
      </w:r>
      <w:r>
        <w:rPr>
          <w:lang w:val="fr-FR"/>
        </w:rPr>
        <w:t>c</w:t>
      </w:r>
      <w:r w:rsidRPr="00976C24">
        <w:rPr>
          <w:lang w:val="fr-FR"/>
        </w:rPr>
        <w:t xml:space="preserve">e deuxième cycle. Ces défis ont récemment </w:t>
      </w:r>
      <w:r>
        <w:rPr>
          <w:lang w:val="fr-FR"/>
        </w:rPr>
        <w:t>fait l’objet d’un examen approfondi</w:t>
      </w:r>
      <w:r w:rsidRPr="00976C24">
        <w:rPr>
          <w:lang w:val="fr-FR"/>
        </w:rPr>
        <w:t xml:space="preserve"> dans un livre blanc sur </w:t>
      </w:r>
      <w:r>
        <w:rPr>
          <w:lang w:val="fr-FR"/>
        </w:rPr>
        <w:t>une</w:t>
      </w:r>
      <w:r w:rsidRPr="00976C24">
        <w:rPr>
          <w:lang w:val="fr-FR"/>
        </w:rPr>
        <w:t xml:space="preserve"> strat</w:t>
      </w:r>
      <w:r>
        <w:rPr>
          <w:lang w:val="fr-FR"/>
        </w:rPr>
        <w:t>égie pour l’éducation (Rapport n</w:t>
      </w:r>
      <w:r w:rsidRPr="00165F4A">
        <w:rPr>
          <w:vertAlign w:val="superscript"/>
          <w:lang w:val="fr-FR"/>
        </w:rPr>
        <w:t>o</w:t>
      </w:r>
      <w:r>
        <w:rPr>
          <w:lang w:val="fr-FR"/>
        </w:rPr>
        <w:t> </w:t>
      </w:r>
      <w:r w:rsidRPr="00976C24">
        <w:rPr>
          <w:lang w:val="fr-FR"/>
        </w:rPr>
        <w:t>44 (2008</w:t>
      </w:r>
      <w:r>
        <w:rPr>
          <w:lang w:val="fr-FR"/>
        </w:rPr>
        <w:t>-</w:t>
      </w:r>
      <w:r w:rsidRPr="00976C24">
        <w:rPr>
          <w:lang w:val="fr-FR"/>
        </w:rPr>
        <w:t xml:space="preserve">2009) au </w:t>
      </w:r>
      <w:r w:rsidRPr="00B52B8E">
        <w:rPr>
          <w:i/>
          <w:lang w:val="fr-FR"/>
        </w:rPr>
        <w:t>Storting</w:t>
      </w:r>
      <w:r w:rsidRPr="00976C24">
        <w:rPr>
          <w:lang w:val="fr-FR"/>
        </w:rPr>
        <w:t>).</w:t>
      </w:r>
    </w:p>
    <w:p w:rsidR="00903547" w:rsidRPr="00976C24" w:rsidRDefault="00903547" w:rsidP="006273F9">
      <w:pPr>
        <w:pStyle w:val="SingleTxtG"/>
        <w:rPr>
          <w:lang w:val="fr-FR"/>
        </w:rPr>
      </w:pPr>
      <w:r>
        <w:rPr>
          <w:lang w:val="fr-FR"/>
        </w:rPr>
        <w:t>462.</w:t>
      </w:r>
      <w:r>
        <w:rPr>
          <w:lang w:val="fr-FR"/>
        </w:rPr>
        <w:tab/>
      </w:r>
      <w:r w:rsidRPr="00976C24">
        <w:rPr>
          <w:lang w:val="fr-FR"/>
        </w:rPr>
        <w:t xml:space="preserve">Le Gouvernement a adopté plusieurs mesures </w:t>
      </w:r>
      <w:r>
        <w:rPr>
          <w:lang w:val="fr-FR"/>
        </w:rPr>
        <w:t>pour</w:t>
      </w:r>
      <w:r w:rsidRPr="00976C24">
        <w:rPr>
          <w:lang w:val="fr-FR"/>
        </w:rPr>
        <w:t xml:space="preserve"> </w:t>
      </w:r>
      <w:r>
        <w:rPr>
          <w:lang w:val="fr-FR"/>
        </w:rPr>
        <w:t>que le maximum d’élèves achève</w:t>
      </w:r>
      <w:r w:rsidRPr="00976C24">
        <w:rPr>
          <w:lang w:val="fr-FR"/>
        </w:rPr>
        <w:t xml:space="preserve"> le deuxième cycle du secon</w:t>
      </w:r>
      <w:r>
        <w:rPr>
          <w:lang w:val="fr-FR"/>
        </w:rPr>
        <w:t>daire, et en particulier</w:t>
      </w:r>
      <w:r w:rsidRPr="00976C24">
        <w:rPr>
          <w:lang w:val="fr-FR"/>
        </w:rPr>
        <w:t>:</w:t>
      </w:r>
    </w:p>
    <w:p w:rsidR="00903547" w:rsidRPr="00976C24" w:rsidRDefault="00903547" w:rsidP="0071086E">
      <w:pPr>
        <w:pStyle w:val="Bullet1G"/>
        <w:numPr>
          <w:ilvl w:val="0"/>
          <w:numId w:val="3"/>
        </w:numPr>
        <w:rPr>
          <w:lang w:val="fr-FR"/>
        </w:rPr>
      </w:pPr>
      <w:r>
        <w:rPr>
          <w:lang w:val="fr-FR"/>
        </w:rPr>
        <w:t>Contribuer à un s</w:t>
      </w:r>
      <w:r w:rsidRPr="00976C24">
        <w:rPr>
          <w:lang w:val="fr-FR"/>
        </w:rPr>
        <w:t>uivi individuel plus étr</w:t>
      </w:r>
      <w:r>
        <w:rPr>
          <w:lang w:val="fr-FR"/>
        </w:rPr>
        <w:t>oit des élèves et des apprentis;</w:t>
      </w:r>
    </w:p>
    <w:p w:rsidR="00903547" w:rsidRPr="00976C24" w:rsidRDefault="00903547" w:rsidP="0071086E">
      <w:pPr>
        <w:pStyle w:val="Bullet1G"/>
        <w:numPr>
          <w:ilvl w:val="0"/>
          <w:numId w:val="3"/>
        </w:numPr>
        <w:rPr>
          <w:lang w:val="fr-FR"/>
        </w:rPr>
      </w:pPr>
      <w:r w:rsidRPr="00976C24">
        <w:rPr>
          <w:lang w:val="fr-FR"/>
        </w:rPr>
        <w:t xml:space="preserve">Rendre les cours et les stages de formation plus </w:t>
      </w:r>
      <w:r>
        <w:rPr>
          <w:lang w:val="fr-FR"/>
        </w:rPr>
        <w:t>concrets</w:t>
      </w:r>
      <w:r w:rsidRPr="00976C24">
        <w:rPr>
          <w:lang w:val="fr-FR"/>
        </w:rPr>
        <w:t xml:space="preserve"> et plus </w:t>
      </w:r>
      <w:r>
        <w:rPr>
          <w:lang w:val="fr-FR"/>
        </w:rPr>
        <w:t>axés sur le</w:t>
      </w:r>
      <w:r w:rsidRPr="00976C24">
        <w:rPr>
          <w:lang w:val="fr-FR"/>
        </w:rPr>
        <w:t xml:space="preserve"> travail</w:t>
      </w:r>
      <w:r>
        <w:rPr>
          <w:lang w:val="fr-FR"/>
        </w:rPr>
        <w:t xml:space="preserve"> et</w:t>
      </w:r>
      <w:r w:rsidRPr="00976C24">
        <w:rPr>
          <w:lang w:val="fr-FR"/>
        </w:rPr>
        <w:t xml:space="preserve"> </w:t>
      </w:r>
      <w:r>
        <w:rPr>
          <w:lang w:val="fr-FR"/>
        </w:rPr>
        <w:t>donner plus de souplesse</w:t>
      </w:r>
      <w:r w:rsidRPr="00976C24">
        <w:rPr>
          <w:lang w:val="fr-FR"/>
        </w:rPr>
        <w:t xml:space="preserve"> </w:t>
      </w:r>
      <w:r>
        <w:rPr>
          <w:lang w:val="fr-FR"/>
        </w:rPr>
        <w:t>de manière à mieux prendre en compte les</w:t>
      </w:r>
      <w:r w:rsidRPr="00976C24">
        <w:rPr>
          <w:lang w:val="fr-FR"/>
        </w:rPr>
        <w:t xml:space="preserve"> </w:t>
      </w:r>
      <w:r>
        <w:rPr>
          <w:lang w:val="fr-FR"/>
        </w:rPr>
        <w:t>besoins individuels;</w:t>
      </w:r>
    </w:p>
    <w:p w:rsidR="00903547" w:rsidRPr="00976C24" w:rsidRDefault="00903547" w:rsidP="0071086E">
      <w:pPr>
        <w:pStyle w:val="Bullet1G"/>
        <w:numPr>
          <w:ilvl w:val="0"/>
          <w:numId w:val="3"/>
        </w:numPr>
        <w:rPr>
          <w:lang w:val="fr-FR"/>
        </w:rPr>
      </w:pPr>
      <w:r>
        <w:rPr>
          <w:lang w:val="fr-FR"/>
        </w:rPr>
        <w:t>Au niveau du</w:t>
      </w:r>
      <w:r w:rsidRPr="00976C24">
        <w:rPr>
          <w:lang w:val="fr-FR"/>
        </w:rPr>
        <w:t xml:space="preserve"> premier cycle du secondaire, une sélection de municipalités est invitée à tester un programme plus diversifié et plus pragmatique à partir de l’année scolaire 2009/2010. Le programme doit </w:t>
      </w:r>
      <w:r>
        <w:rPr>
          <w:lang w:val="fr-FR"/>
        </w:rPr>
        <w:t>inculquer</w:t>
      </w:r>
      <w:r w:rsidRPr="00976C24">
        <w:rPr>
          <w:lang w:val="fr-FR"/>
        </w:rPr>
        <w:t xml:space="preserve"> aux élèves intéressés le goût de la formation technique et professionnelle </w:t>
      </w:r>
      <w:r>
        <w:rPr>
          <w:lang w:val="fr-FR"/>
        </w:rPr>
        <w:t>pour le deuxième cycle du secondaire;</w:t>
      </w:r>
    </w:p>
    <w:p w:rsidR="00903547" w:rsidRPr="00976C24" w:rsidRDefault="00903547" w:rsidP="0071086E">
      <w:pPr>
        <w:pStyle w:val="Bullet1G"/>
        <w:numPr>
          <w:ilvl w:val="0"/>
          <w:numId w:val="3"/>
        </w:numPr>
        <w:rPr>
          <w:lang w:val="fr-FR"/>
        </w:rPr>
      </w:pPr>
      <w:r>
        <w:rPr>
          <w:lang w:val="fr-FR"/>
        </w:rPr>
        <w:t>É</w:t>
      </w:r>
      <w:r w:rsidRPr="00976C24">
        <w:rPr>
          <w:lang w:val="fr-FR"/>
        </w:rPr>
        <w:t xml:space="preserve">tude de systèmes de </w:t>
      </w:r>
      <w:r>
        <w:rPr>
          <w:lang w:val="fr-FR"/>
        </w:rPr>
        <w:t>communication</w:t>
      </w:r>
      <w:r w:rsidRPr="00976C24">
        <w:rPr>
          <w:lang w:val="fr-FR"/>
        </w:rPr>
        <w:t xml:space="preserve"> d</w:t>
      </w:r>
      <w:r>
        <w:rPr>
          <w:lang w:val="fr-FR"/>
        </w:rPr>
        <w:t>’</w:t>
      </w:r>
      <w:r w:rsidRPr="00976C24">
        <w:rPr>
          <w:lang w:val="fr-FR"/>
        </w:rPr>
        <w:t xml:space="preserve">informations pertinentes </w:t>
      </w:r>
      <w:r>
        <w:rPr>
          <w:lang w:val="fr-FR"/>
        </w:rPr>
        <w:t>sur les</w:t>
      </w:r>
      <w:r w:rsidRPr="00976C24">
        <w:rPr>
          <w:lang w:val="fr-FR"/>
        </w:rPr>
        <w:t xml:space="preserve"> élèves entre le premier et le deuxième cycle du secondaire.</w:t>
      </w:r>
    </w:p>
    <w:p w:rsidR="00903547" w:rsidRPr="00976C24" w:rsidRDefault="00903547" w:rsidP="006273F9">
      <w:pPr>
        <w:pStyle w:val="SingleTxtG"/>
        <w:rPr>
          <w:lang w:val="fr-FR"/>
        </w:rPr>
      </w:pPr>
      <w:r>
        <w:rPr>
          <w:lang w:val="fr-FR"/>
        </w:rPr>
        <w:t>463.</w:t>
      </w:r>
      <w:r>
        <w:rPr>
          <w:lang w:val="fr-FR"/>
        </w:rPr>
        <w:tab/>
      </w:r>
      <w:r w:rsidRPr="00976C24">
        <w:rPr>
          <w:lang w:val="fr-FR"/>
        </w:rPr>
        <w:t xml:space="preserve">Ces mesures </w:t>
      </w:r>
      <w:r>
        <w:rPr>
          <w:lang w:val="fr-FR"/>
        </w:rPr>
        <w:t>visent</w:t>
      </w:r>
      <w:r w:rsidRPr="00976C24">
        <w:rPr>
          <w:lang w:val="fr-FR"/>
        </w:rPr>
        <w:t xml:space="preserve"> l’ensemble des élèves. S’agissant de réduire le taux d’abandon scolaire </w:t>
      </w:r>
      <w:r>
        <w:rPr>
          <w:lang w:val="fr-FR"/>
        </w:rPr>
        <w:t>d</w:t>
      </w:r>
      <w:r w:rsidRPr="00976C24">
        <w:rPr>
          <w:lang w:val="fr-FR"/>
        </w:rPr>
        <w:t xml:space="preserve">es immigrés, des projets ont été lancés </w:t>
      </w:r>
      <w:r>
        <w:rPr>
          <w:lang w:val="fr-FR"/>
        </w:rPr>
        <w:t>en vue d’</w:t>
      </w:r>
      <w:r w:rsidRPr="00976C24">
        <w:rPr>
          <w:lang w:val="fr-FR"/>
        </w:rPr>
        <w:t xml:space="preserve">améliorer la coopération entre les deux cycles du secondaire et </w:t>
      </w:r>
      <w:r>
        <w:rPr>
          <w:lang w:val="fr-FR"/>
        </w:rPr>
        <w:t>d’</w:t>
      </w:r>
      <w:r w:rsidRPr="00976C24">
        <w:rPr>
          <w:lang w:val="fr-FR"/>
        </w:rPr>
        <w:t xml:space="preserve">assurer une meilleure orientation des élèves pour les aider à trouver leur voie et </w:t>
      </w:r>
      <w:r>
        <w:rPr>
          <w:lang w:val="fr-FR"/>
        </w:rPr>
        <w:t>ainsi rester à l’école</w:t>
      </w:r>
      <w:r w:rsidRPr="00976C24">
        <w:rPr>
          <w:lang w:val="fr-FR"/>
        </w:rPr>
        <w:t xml:space="preserve">. </w:t>
      </w:r>
      <w:r>
        <w:rPr>
          <w:lang w:val="fr-FR"/>
        </w:rPr>
        <w:t>N</w:t>
      </w:r>
      <w:r w:rsidRPr="00976C24">
        <w:rPr>
          <w:lang w:val="fr-FR"/>
        </w:rPr>
        <w:t xml:space="preserve">ombre des projets </w:t>
      </w:r>
      <w:r>
        <w:rPr>
          <w:lang w:val="fr-FR"/>
        </w:rPr>
        <w:t>ont</w:t>
      </w:r>
      <w:r w:rsidRPr="00976C24">
        <w:rPr>
          <w:lang w:val="fr-FR"/>
        </w:rPr>
        <w:t xml:space="preserve"> été </w:t>
      </w:r>
      <w:r>
        <w:rPr>
          <w:lang w:val="fr-FR"/>
        </w:rPr>
        <w:t>initiés</w:t>
      </w:r>
      <w:r w:rsidRPr="00976C24">
        <w:rPr>
          <w:lang w:val="fr-FR"/>
        </w:rPr>
        <w:t xml:space="preserve"> dans le cadre de la stratégie </w:t>
      </w:r>
      <w:r>
        <w:rPr>
          <w:i/>
          <w:lang w:val="fr-FR"/>
        </w:rPr>
        <w:t>Égalité</w:t>
      </w:r>
      <w:r w:rsidRPr="00976C24">
        <w:rPr>
          <w:i/>
          <w:lang w:val="fr-FR"/>
        </w:rPr>
        <w:t xml:space="preserve"> d’accès à l’éducation dans la pratique</w:t>
      </w:r>
      <w:r w:rsidRPr="00E90B73">
        <w:rPr>
          <w:i/>
          <w:lang w:val="fr-FR"/>
        </w:rPr>
        <w:t>!</w:t>
      </w:r>
    </w:p>
    <w:p w:rsidR="00903547" w:rsidRPr="00976C24" w:rsidRDefault="00903547" w:rsidP="006273F9">
      <w:pPr>
        <w:pStyle w:val="SingleTxtG"/>
        <w:rPr>
          <w:lang w:val="fr-FR"/>
        </w:rPr>
      </w:pPr>
      <w:r>
        <w:rPr>
          <w:lang w:val="fr-FR"/>
        </w:rPr>
        <w:t>464.</w:t>
      </w:r>
      <w:r>
        <w:rPr>
          <w:lang w:val="fr-FR"/>
        </w:rPr>
        <w:tab/>
        <w:t>A</w:t>
      </w:r>
      <w:r w:rsidRPr="00976C24">
        <w:rPr>
          <w:lang w:val="fr-FR"/>
        </w:rPr>
        <w:t>méliorer les résultats</w:t>
      </w:r>
      <w:r>
        <w:rPr>
          <w:lang w:val="fr-FR"/>
        </w:rPr>
        <w:t xml:space="preserve"> du</w:t>
      </w:r>
      <w:r w:rsidRPr="00976C24">
        <w:rPr>
          <w:lang w:val="fr-FR"/>
        </w:rPr>
        <w:t xml:space="preserve"> deuxième cycle du secondaire </w:t>
      </w:r>
      <w:r>
        <w:rPr>
          <w:lang w:val="fr-FR"/>
        </w:rPr>
        <w:t>demande d’intensifier</w:t>
      </w:r>
      <w:r w:rsidRPr="00976C24">
        <w:rPr>
          <w:lang w:val="fr-FR"/>
        </w:rPr>
        <w:t xml:space="preserve"> et </w:t>
      </w:r>
      <w:r>
        <w:rPr>
          <w:lang w:val="fr-FR"/>
        </w:rPr>
        <w:t xml:space="preserve">de </w:t>
      </w:r>
      <w:r w:rsidRPr="00976C24">
        <w:rPr>
          <w:lang w:val="fr-FR"/>
        </w:rPr>
        <w:t xml:space="preserve">mieux coordonner les efforts engagés par toutes les parties prenantes. Le Ministère de l’éducation et de la recherche </w:t>
      </w:r>
      <w:r>
        <w:rPr>
          <w:lang w:val="fr-FR"/>
        </w:rPr>
        <w:t xml:space="preserve">s’apprête à </w:t>
      </w:r>
      <w:r w:rsidRPr="00976C24">
        <w:rPr>
          <w:lang w:val="fr-FR"/>
        </w:rPr>
        <w:t xml:space="preserve">lancer un projet </w:t>
      </w:r>
      <w:r>
        <w:rPr>
          <w:lang w:val="fr-FR"/>
        </w:rPr>
        <w:t>qui permettra à</w:t>
      </w:r>
      <w:r w:rsidRPr="00976C24">
        <w:rPr>
          <w:lang w:val="fr-FR"/>
        </w:rPr>
        <w:t xml:space="preserve"> l’</w:t>
      </w:r>
      <w:r>
        <w:rPr>
          <w:lang w:val="fr-FR"/>
        </w:rPr>
        <w:t>État</w:t>
      </w:r>
      <w:r w:rsidRPr="00976C24">
        <w:rPr>
          <w:lang w:val="fr-FR"/>
        </w:rPr>
        <w:t xml:space="preserve"> et </w:t>
      </w:r>
      <w:r>
        <w:rPr>
          <w:lang w:val="fr-FR"/>
        </w:rPr>
        <w:t>aux</w:t>
      </w:r>
      <w:r w:rsidRPr="00976C24">
        <w:rPr>
          <w:lang w:val="fr-FR"/>
        </w:rPr>
        <w:t xml:space="preserve"> autorités compétentes des comtés </w:t>
      </w:r>
      <w:r>
        <w:rPr>
          <w:lang w:val="fr-FR"/>
        </w:rPr>
        <w:t>d’échanger sur d</w:t>
      </w:r>
      <w:r w:rsidRPr="00976C24">
        <w:rPr>
          <w:lang w:val="fr-FR"/>
        </w:rPr>
        <w:t xml:space="preserve">es objectifs </w:t>
      </w:r>
      <w:r>
        <w:rPr>
          <w:lang w:val="fr-FR"/>
        </w:rPr>
        <w:t>propres à améliorer l</w:t>
      </w:r>
      <w:r w:rsidRPr="00976C24">
        <w:rPr>
          <w:lang w:val="fr-FR"/>
        </w:rPr>
        <w:t xml:space="preserve">es taux de réussite scolaire. Des mesures seront prises pour faciliter l’échange de données de l’expérience et de l’apprentissage dans les municipalités et les comtés, par exemple par le biais de conférences nationales </w:t>
      </w:r>
      <w:r>
        <w:rPr>
          <w:lang w:val="fr-FR"/>
        </w:rPr>
        <w:t>annuelles consacrées à l’examen des</w:t>
      </w:r>
      <w:r w:rsidRPr="00976C24">
        <w:rPr>
          <w:lang w:val="fr-FR"/>
        </w:rPr>
        <w:t xml:space="preserve"> actions menées au niveau national et régional. </w:t>
      </w:r>
    </w:p>
    <w:p w:rsidR="00903547" w:rsidRPr="00976C24" w:rsidRDefault="00903547" w:rsidP="006273F9">
      <w:pPr>
        <w:pStyle w:val="SingleTxtG"/>
        <w:rPr>
          <w:lang w:val="fr-FR"/>
        </w:rPr>
      </w:pPr>
      <w:r>
        <w:rPr>
          <w:lang w:val="fr-FR"/>
        </w:rPr>
        <w:t>465.</w:t>
      </w:r>
      <w:r>
        <w:rPr>
          <w:lang w:val="fr-FR"/>
        </w:rPr>
        <w:tab/>
      </w:r>
      <w:r w:rsidRPr="00976C24">
        <w:rPr>
          <w:lang w:val="fr-FR"/>
        </w:rPr>
        <w:t>En 2011, le Gouvernement présentera un livre blanc sur le premier cycle du secondaire. Il s’agira notamment d</w:t>
      </w:r>
      <w:r>
        <w:rPr>
          <w:lang w:val="fr-FR"/>
        </w:rPr>
        <w:t>e réfléchir à une organisation de</w:t>
      </w:r>
      <w:r w:rsidRPr="00976C24">
        <w:rPr>
          <w:lang w:val="fr-FR"/>
        </w:rPr>
        <w:t xml:space="preserve"> ce niveau </w:t>
      </w:r>
      <w:r>
        <w:rPr>
          <w:lang w:val="fr-FR"/>
        </w:rPr>
        <w:t>qui permette de réduir</w:t>
      </w:r>
      <w:r w:rsidRPr="00976C24">
        <w:rPr>
          <w:lang w:val="fr-FR"/>
        </w:rPr>
        <w:t xml:space="preserve">e le taux d’abandon dans le deuxième cycle. </w:t>
      </w:r>
    </w:p>
    <w:p w:rsidR="00903547" w:rsidRPr="00976C24" w:rsidRDefault="00903547" w:rsidP="0071086E">
      <w:pPr>
        <w:pStyle w:val="H23G"/>
        <w:rPr>
          <w:lang w:val="fr-FR"/>
        </w:rPr>
      </w:pPr>
      <w:r w:rsidRPr="00976C24">
        <w:rPr>
          <w:lang w:val="fr-FR"/>
        </w:rPr>
        <w:tab/>
        <w:t>9.</w:t>
      </w:r>
      <w:r w:rsidRPr="00976C24">
        <w:rPr>
          <w:lang w:val="fr-FR"/>
        </w:rPr>
        <w:tab/>
        <w:t>Si l’enseignement primaire n’est pas obligatoire et gratuit à l’heure actuelle dans l’</w:t>
      </w:r>
      <w:r>
        <w:rPr>
          <w:lang w:val="fr-FR"/>
        </w:rPr>
        <w:t>État</w:t>
      </w:r>
      <w:r w:rsidRPr="00976C24">
        <w:rPr>
          <w:lang w:val="fr-FR"/>
        </w:rPr>
        <w:t xml:space="preserve"> partie, fournir des informations sur le plan d’action requis en vue de l’application progressive de ce droit, dans un nombre raisonnable d’années fixé par ce plan (E/2009/22-E/C.12/2008/3, annexe VIII, par.</w:t>
      </w:r>
      <w:r>
        <w:rPr>
          <w:lang w:val="fr-FR"/>
        </w:rPr>
        <w:t> </w:t>
      </w:r>
      <w:r w:rsidRPr="00976C24">
        <w:rPr>
          <w:lang w:val="fr-FR"/>
        </w:rPr>
        <w:t xml:space="preserve">66) </w:t>
      </w:r>
    </w:p>
    <w:p w:rsidR="00903547" w:rsidRPr="00976C24" w:rsidRDefault="00903547" w:rsidP="006273F9">
      <w:pPr>
        <w:pStyle w:val="SingleTxtG"/>
        <w:rPr>
          <w:lang w:val="fr-FR"/>
        </w:rPr>
      </w:pPr>
      <w:r>
        <w:rPr>
          <w:lang w:val="fr-FR"/>
        </w:rPr>
        <w:t>466.</w:t>
      </w:r>
      <w:r>
        <w:rPr>
          <w:lang w:val="fr-FR"/>
        </w:rPr>
        <w:tab/>
      </w:r>
      <w:r w:rsidRPr="00976C24">
        <w:rPr>
          <w:lang w:val="fr-FR"/>
        </w:rPr>
        <w:t>Sans objet.</w:t>
      </w:r>
    </w:p>
    <w:p w:rsidR="00903547" w:rsidRPr="00976C24" w:rsidRDefault="00903547" w:rsidP="0071086E">
      <w:pPr>
        <w:pStyle w:val="H1G"/>
        <w:rPr>
          <w:lang w:val="fr-FR"/>
        </w:rPr>
      </w:pPr>
      <w:bookmarkStart w:id="85" w:name="_Toc265062238"/>
      <w:r w:rsidRPr="00976C24">
        <w:rPr>
          <w:lang w:val="fr-FR"/>
        </w:rPr>
        <w:tab/>
      </w:r>
      <w:r w:rsidRPr="00976C24">
        <w:rPr>
          <w:lang w:val="fr-FR"/>
        </w:rPr>
        <w:tab/>
      </w:r>
      <w:bookmarkStart w:id="86" w:name="_Toc286326396"/>
      <w:r>
        <w:rPr>
          <w:lang w:val="fr-FR"/>
        </w:rPr>
        <w:t>Article 15</w:t>
      </w:r>
      <w:r>
        <w:rPr>
          <w:lang w:val="fr-FR"/>
        </w:rPr>
        <w:br/>
      </w:r>
      <w:r w:rsidRPr="00976C24">
        <w:rPr>
          <w:lang w:val="fr-FR"/>
        </w:rPr>
        <w:t>Droit à la culture</w:t>
      </w:r>
      <w:bookmarkEnd w:id="85"/>
      <w:bookmarkEnd w:id="86"/>
    </w:p>
    <w:p w:rsidR="00903547" w:rsidRPr="00976C24" w:rsidRDefault="00903547" w:rsidP="0071086E">
      <w:pPr>
        <w:pStyle w:val="H23G"/>
        <w:rPr>
          <w:lang w:val="fr-FR"/>
        </w:rPr>
      </w:pPr>
      <w:r w:rsidRPr="00976C24">
        <w:rPr>
          <w:lang w:val="fr-FR"/>
        </w:rPr>
        <w:tab/>
        <w:t>1.</w:t>
      </w:r>
      <w:r w:rsidRPr="00976C24">
        <w:rPr>
          <w:lang w:val="fr-FR"/>
        </w:rPr>
        <w:tab/>
        <w:t>Informations sur les infrastructures institutionnelles mises en place pour promouvoir la participation et l’accès de tous à la vie culturelle, en particulier au niveau communautaire, y compris dans les zones rurales et les zones urbaines déshéritées</w:t>
      </w:r>
      <w:r>
        <w:rPr>
          <w:lang w:val="fr-FR"/>
        </w:rPr>
        <w:t>;</w:t>
      </w:r>
      <w:r w:rsidRPr="00976C24">
        <w:rPr>
          <w:lang w:val="fr-FR"/>
        </w:rPr>
        <w:t xml:space="preserve"> mesures prises pour promouvoir une large participation et l’accès aux biens, institutions et activités culturels (E/2009/22-E/C.12/2008/3, annexe VIII, par.</w:t>
      </w:r>
      <w:r>
        <w:rPr>
          <w:lang w:val="fr-FR"/>
        </w:rPr>
        <w:t> </w:t>
      </w:r>
      <w:r w:rsidRPr="00976C24">
        <w:rPr>
          <w:lang w:val="fr-FR"/>
        </w:rPr>
        <w:t>67)</w:t>
      </w:r>
    </w:p>
    <w:p w:rsidR="00903547" w:rsidRPr="00976C24" w:rsidRDefault="00903547" w:rsidP="006273F9">
      <w:pPr>
        <w:pStyle w:val="SingleTxtG"/>
        <w:rPr>
          <w:lang w:val="fr-FR"/>
        </w:rPr>
      </w:pPr>
      <w:r>
        <w:rPr>
          <w:lang w:val="fr-FR"/>
        </w:rPr>
        <w:t>467.</w:t>
      </w:r>
      <w:r>
        <w:rPr>
          <w:lang w:val="fr-FR"/>
        </w:rPr>
        <w:tab/>
      </w:r>
      <w:r w:rsidRPr="00976C24">
        <w:rPr>
          <w:lang w:val="fr-FR"/>
        </w:rPr>
        <w:t>Le Comité pourra se reporter au</w:t>
      </w:r>
      <w:r>
        <w:rPr>
          <w:lang w:val="fr-FR"/>
        </w:rPr>
        <w:t>x</w:t>
      </w:r>
      <w:r w:rsidRPr="00EA7826">
        <w:rPr>
          <w:lang w:val="fr-FR"/>
        </w:rPr>
        <w:t xml:space="preserve"> </w:t>
      </w:r>
      <w:r>
        <w:rPr>
          <w:lang w:val="fr-FR"/>
        </w:rPr>
        <w:t xml:space="preserve">paragraphes 457 à </w:t>
      </w:r>
      <w:r w:rsidRPr="00976C24">
        <w:rPr>
          <w:lang w:val="fr-FR"/>
        </w:rPr>
        <w:t xml:space="preserve">461 </w:t>
      </w:r>
      <w:r>
        <w:rPr>
          <w:lang w:val="fr-FR"/>
        </w:rPr>
        <w:t xml:space="preserve">du </w:t>
      </w:r>
      <w:r w:rsidRPr="00976C24">
        <w:rPr>
          <w:lang w:val="fr-FR"/>
        </w:rPr>
        <w:t xml:space="preserve">quatrième rapport de la Norvège soumis </w:t>
      </w:r>
      <w:r>
        <w:rPr>
          <w:lang w:val="fr-FR"/>
        </w:rPr>
        <w:t>en vertu du</w:t>
      </w:r>
      <w:r w:rsidRPr="00976C24">
        <w:rPr>
          <w:lang w:val="fr-FR"/>
        </w:rPr>
        <w:t xml:space="preserve"> Pacte international relatif aux droits économiques, sociaux et culturels.</w:t>
      </w:r>
    </w:p>
    <w:p w:rsidR="00903547" w:rsidRPr="00976C24" w:rsidRDefault="00903547" w:rsidP="006273F9">
      <w:pPr>
        <w:pStyle w:val="SingleTxtG"/>
        <w:rPr>
          <w:lang w:val="fr-FR"/>
        </w:rPr>
      </w:pPr>
      <w:r>
        <w:rPr>
          <w:lang w:val="fr-FR"/>
        </w:rPr>
        <w:t>468.</w:t>
      </w:r>
      <w:r>
        <w:rPr>
          <w:lang w:val="fr-FR"/>
        </w:rPr>
        <w:tab/>
      </w:r>
      <w:r w:rsidRPr="00976C24">
        <w:rPr>
          <w:lang w:val="fr-FR"/>
        </w:rPr>
        <w:t xml:space="preserve">En 2007 est entrée en </w:t>
      </w:r>
      <w:r>
        <w:rPr>
          <w:lang w:val="fr-FR"/>
        </w:rPr>
        <w:t>vigueur la loi du 29 juin 2007 n</w:t>
      </w:r>
      <w:r w:rsidRPr="00165F4A">
        <w:rPr>
          <w:vertAlign w:val="superscript"/>
          <w:lang w:val="fr-FR"/>
        </w:rPr>
        <w:t>o</w:t>
      </w:r>
      <w:r>
        <w:rPr>
          <w:lang w:val="fr-FR"/>
        </w:rPr>
        <w:t> </w:t>
      </w:r>
      <w:r w:rsidRPr="00976C24">
        <w:rPr>
          <w:lang w:val="fr-FR"/>
        </w:rPr>
        <w:t>89 sur l’obligation faite aux autorités publiques de promouvoir et d’</w:t>
      </w:r>
      <w:r>
        <w:rPr>
          <w:lang w:val="fr-FR"/>
        </w:rPr>
        <w:t>organiser</w:t>
      </w:r>
      <w:r w:rsidRPr="00976C24">
        <w:rPr>
          <w:lang w:val="fr-FR"/>
        </w:rPr>
        <w:t xml:space="preserve"> la vie culturelle (loi sur la culture). L’obje</w:t>
      </w:r>
      <w:r>
        <w:rPr>
          <w:lang w:val="fr-FR"/>
        </w:rPr>
        <w:t>t</w:t>
      </w:r>
      <w:r w:rsidRPr="00976C24">
        <w:rPr>
          <w:lang w:val="fr-FR"/>
        </w:rPr>
        <w:t xml:space="preserve"> de la loi est d’affirmer l’obligation faite aux autorités publiques de promouvoir et d’</w:t>
      </w:r>
      <w:r>
        <w:rPr>
          <w:lang w:val="fr-FR"/>
        </w:rPr>
        <w:t>organiser</w:t>
      </w:r>
      <w:r w:rsidRPr="00976C24">
        <w:rPr>
          <w:lang w:val="fr-FR"/>
        </w:rPr>
        <w:t xml:space="preserve"> un large éventail d’activités culturelles, de garantir </w:t>
      </w:r>
      <w:r>
        <w:rPr>
          <w:lang w:val="fr-FR"/>
        </w:rPr>
        <w:t xml:space="preserve">à tous </w:t>
      </w:r>
      <w:r w:rsidRPr="00976C24">
        <w:rPr>
          <w:lang w:val="fr-FR"/>
        </w:rPr>
        <w:t xml:space="preserve">la possibilité de prendre part </w:t>
      </w:r>
      <w:r>
        <w:rPr>
          <w:lang w:val="fr-FR"/>
        </w:rPr>
        <w:t>à ces</w:t>
      </w:r>
      <w:r w:rsidRPr="00976C24">
        <w:rPr>
          <w:lang w:val="fr-FR"/>
        </w:rPr>
        <w:t xml:space="preserve"> activités et de découvrir di</w:t>
      </w:r>
      <w:r>
        <w:rPr>
          <w:lang w:val="fr-FR"/>
        </w:rPr>
        <w:t>fférentes</w:t>
      </w:r>
      <w:r w:rsidRPr="00976C24">
        <w:rPr>
          <w:lang w:val="fr-FR"/>
        </w:rPr>
        <w:t xml:space="preserve"> expressions culturelles.</w:t>
      </w:r>
    </w:p>
    <w:p w:rsidR="00903547" w:rsidRPr="00976C24" w:rsidRDefault="00903547" w:rsidP="0071086E">
      <w:pPr>
        <w:pStyle w:val="H23G"/>
        <w:rPr>
          <w:lang w:val="fr-FR"/>
        </w:rPr>
      </w:pPr>
      <w:r w:rsidRPr="00976C24">
        <w:rPr>
          <w:lang w:val="fr-FR"/>
        </w:rPr>
        <w:tab/>
        <w:t>a)</w:t>
      </w:r>
      <w:r w:rsidRPr="00976C24">
        <w:rPr>
          <w:lang w:val="fr-FR"/>
        </w:rPr>
        <w:tab/>
        <w:t xml:space="preserve">Mesures prises pour faire en sorte que les concerts, le théâtre, le cinéma, les manifestations sportives et les autres activités culturelles soient abordables pour tous les segments de la population </w:t>
      </w:r>
    </w:p>
    <w:p w:rsidR="00903547" w:rsidRPr="00976C24" w:rsidRDefault="00903547" w:rsidP="006273F9">
      <w:pPr>
        <w:pStyle w:val="SingleTxtG"/>
        <w:rPr>
          <w:lang w:val="fr-FR"/>
        </w:rPr>
      </w:pPr>
      <w:r>
        <w:rPr>
          <w:lang w:val="fr-FR"/>
        </w:rPr>
        <w:t>469.</w:t>
      </w:r>
      <w:r>
        <w:rPr>
          <w:lang w:val="fr-FR"/>
        </w:rPr>
        <w:tab/>
      </w:r>
      <w:r w:rsidRPr="00976C24">
        <w:rPr>
          <w:lang w:val="fr-FR"/>
        </w:rPr>
        <w:t>En Norvège</w:t>
      </w:r>
      <w:r>
        <w:rPr>
          <w:lang w:val="fr-FR"/>
        </w:rPr>
        <w:t xml:space="preserve">, </w:t>
      </w:r>
      <w:r w:rsidRPr="00976C24">
        <w:rPr>
          <w:lang w:val="fr-FR"/>
        </w:rPr>
        <w:t>la politique culturelle de l’</w:t>
      </w:r>
      <w:r>
        <w:rPr>
          <w:lang w:val="fr-FR"/>
        </w:rPr>
        <w:t>État</w:t>
      </w:r>
      <w:r w:rsidRPr="00976C24">
        <w:rPr>
          <w:lang w:val="fr-FR"/>
        </w:rPr>
        <w:t xml:space="preserve"> </w:t>
      </w:r>
      <w:r>
        <w:rPr>
          <w:lang w:val="fr-FR"/>
        </w:rPr>
        <w:t xml:space="preserve">vise </w:t>
      </w:r>
      <w:r w:rsidRPr="00976C24">
        <w:rPr>
          <w:lang w:val="fr-FR"/>
        </w:rPr>
        <w:t>la plus grande partie de la chaîne de production et de diffusion par le biais de différents programmes d’aide aux producteurs, artistes, interprètes, organisateurs, maisons d’édition et de production de disques, etc. L’aide de l’</w:t>
      </w:r>
      <w:r>
        <w:rPr>
          <w:lang w:val="fr-FR"/>
        </w:rPr>
        <w:t>État</w:t>
      </w:r>
      <w:r w:rsidRPr="00976C24">
        <w:rPr>
          <w:lang w:val="fr-FR"/>
        </w:rPr>
        <w:t xml:space="preserve"> p</w:t>
      </w:r>
      <w:r>
        <w:rPr>
          <w:lang w:val="fr-FR"/>
        </w:rPr>
        <w:t>ermet de diminuer le</w:t>
      </w:r>
      <w:r w:rsidRPr="00976C24">
        <w:rPr>
          <w:lang w:val="fr-FR"/>
        </w:rPr>
        <w:t xml:space="preserve"> prix des tickets et rend la culture abordable pour tous les segments de la population.</w:t>
      </w:r>
    </w:p>
    <w:p w:rsidR="00903547" w:rsidRPr="00976C24" w:rsidRDefault="00903547" w:rsidP="0071086E">
      <w:pPr>
        <w:pStyle w:val="H23G"/>
        <w:rPr>
          <w:lang w:val="fr-FR"/>
        </w:rPr>
      </w:pPr>
      <w:r w:rsidRPr="00976C24">
        <w:rPr>
          <w:lang w:val="fr-FR"/>
        </w:rPr>
        <w:tab/>
        <w:t>b)</w:t>
      </w:r>
      <w:r w:rsidRPr="00976C24">
        <w:rPr>
          <w:lang w:val="fr-FR"/>
        </w:rPr>
        <w:tab/>
        <w:t>Mesures prises pour renforcer l’accès au patrimoine culturel de l’humanité, notamment grâce aux nouvelles technologies de l’information comme Internet</w:t>
      </w:r>
    </w:p>
    <w:p w:rsidR="00903547" w:rsidRPr="00976C24" w:rsidRDefault="00903547" w:rsidP="006273F9">
      <w:pPr>
        <w:pStyle w:val="SingleTxtG"/>
        <w:rPr>
          <w:lang w:val="fr-FR"/>
        </w:rPr>
      </w:pPr>
      <w:r>
        <w:rPr>
          <w:lang w:val="fr-FR"/>
        </w:rPr>
        <w:t>470.</w:t>
      </w:r>
      <w:r>
        <w:rPr>
          <w:lang w:val="fr-FR"/>
        </w:rPr>
        <w:tab/>
      </w:r>
      <w:r w:rsidRPr="00976C24">
        <w:rPr>
          <w:lang w:val="fr-FR"/>
        </w:rPr>
        <w:t>La loi sur le patrimoine culturel, présentée dans le troisième rapport périodique de la Norvège soumis en vertu du Pacte international relatif aux droits économiques, sociaux et culturels, paragraphes 481 et 482, et le quatrième rapport pé</w:t>
      </w:r>
      <w:r>
        <w:rPr>
          <w:lang w:val="fr-FR"/>
        </w:rPr>
        <w:t>riodique</w:t>
      </w:r>
      <w:r w:rsidRPr="00976C24">
        <w:rPr>
          <w:lang w:val="fr-FR"/>
        </w:rPr>
        <w:t>, paragraphe</w:t>
      </w:r>
      <w:r>
        <w:rPr>
          <w:lang w:val="fr-FR"/>
        </w:rPr>
        <w:t> </w:t>
      </w:r>
      <w:r w:rsidRPr="00976C24">
        <w:rPr>
          <w:lang w:val="fr-FR"/>
        </w:rPr>
        <w:t>474, définit le fondement juridique de la conservation du patrimoine culturel.</w:t>
      </w:r>
    </w:p>
    <w:p w:rsidR="00903547" w:rsidRPr="00976C24" w:rsidRDefault="00903547" w:rsidP="006273F9">
      <w:pPr>
        <w:pStyle w:val="SingleTxtG"/>
        <w:rPr>
          <w:lang w:val="fr-FR"/>
        </w:rPr>
      </w:pPr>
      <w:r>
        <w:rPr>
          <w:lang w:val="fr-FR"/>
        </w:rPr>
        <w:t>471.</w:t>
      </w:r>
      <w:r>
        <w:rPr>
          <w:lang w:val="fr-FR"/>
        </w:rPr>
        <w:tab/>
      </w:r>
      <w:r w:rsidRPr="00976C24">
        <w:rPr>
          <w:lang w:val="fr-FR"/>
        </w:rPr>
        <w:t>La conservation du patrimoine culturel, qui est un élément essentiel des attributions du Ministère de la culture, consiste notamment à accorder des subventions aux archives, aux bibliothèques et aux musées. Un organe administratif spécial, l’Autorité norvégienne pour les archives, les bibliothèques et les musées, a été institué pour assurer la responsabilité de la gestion globale de ce secteur. L’Autorité joue également un rôle particulier dans l’application de la Convention de 2003 de l’UN</w:t>
      </w:r>
      <w:r>
        <w:rPr>
          <w:lang w:val="fr-FR"/>
        </w:rPr>
        <w:t>ES</w:t>
      </w:r>
      <w:r w:rsidRPr="00976C24">
        <w:rPr>
          <w:lang w:val="fr-FR"/>
        </w:rPr>
        <w:t>CO pour la sauvegarde du patrimoine culturel immatériel.</w:t>
      </w:r>
    </w:p>
    <w:p w:rsidR="00903547" w:rsidRPr="00976C24" w:rsidRDefault="00903547" w:rsidP="006273F9">
      <w:pPr>
        <w:pStyle w:val="SingleTxtG"/>
        <w:rPr>
          <w:lang w:val="fr-FR"/>
        </w:rPr>
      </w:pPr>
      <w:r>
        <w:rPr>
          <w:lang w:val="fr-FR"/>
        </w:rPr>
        <w:t>472.</w:t>
      </w:r>
      <w:r>
        <w:rPr>
          <w:lang w:val="fr-FR"/>
        </w:rPr>
        <w:tab/>
      </w:r>
      <w:r w:rsidRPr="00976C24">
        <w:rPr>
          <w:lang w:val="fr-FR"/>
        </w:rPr>
        <w:t xml:space="preserve">Au cours de la décennie écoulée, la Norvège a </w:t>
      </w:r>
      <w:r>
        <w:rPr>
          <w:lang w:val="fr-FR"/>
        </w:rPr>
        <w:t>déployé</w:t>
      </w:r>
      <w:r w:rsidRPr="00976C24">
        <w:rPr>
          <w:lang w:val="fr-FR"/>
        </w:rPr>
        <w:t xml:space="preserve"> et intensifié ses efforts </w:t>
      </w:r>
      <w:r>
        <w:rPr>
          <w:lang w:val="fr-FR"/>
        </w:rPr>
        <w:t>de numérisation de</w:t>
      </w:r>
      <w:r w:rsidRPr="00976C24">
        <w:rPr>
          <w:lang w:val="fr-FR"/>
        </w:rPr>
        <w:t xml:space="preserve"> son patrimoine culturel. En 2009, le Ministère de la culture a publié un livre blanc intitulé </w:t>
      </w:r>
      <w:r w:rsidRPr="00976C24">
        <w:rPr>
          <w:i/>
          <w:lang w:val="fr-FR"/>
        </w:rPr>
        <w:t xml:space="preserve">Stratégie nationale de la Norvège pour la préservation et la médiation du patrimoine culturel </w:t>
      </w:r>
      <w:r>
        <w:rPr>
          <w:lang w:val="fr-FR"/>
        </w:rPr>
        <w:t>(Rapport n</w:t>
      </w:r>
      <w:r w:rsidRPr="00165F4A">
        <w:rPr>
          <w:vertAlign w:val="superscript"/>
          <w:lang w:val="fr-FR"/>
        </w:rPr>
        <w:t>o</w:t>
      </w:r>
      <w:r>
        <w:rPr>
          <w:lang w:val="fr-FR"/>
        </w:rPr>
        <w:t> </w:t>
      </w:r>
      <w:r w:rsidRPr="00976C24">
        <w:rPr>
          <w:lang w:val="fr-FR"/>
        </w:rPr>
        <w:t>24 (2008</w:t>
      </w:r>
      <w:r>
        <w:rPr>
          <w:lang w:val="fr-FR"/>
        </w:rPr>
        <w:t>-</w:t>
      </w:r>
      <w:r w:rsidRPr="00976C24">
        <w:rPr>
          <w:lang w:val="fr-FR"/>
        </w:rPr>
        <w:t xml:space="preserve">2009) au </w:t>
      </w:r>
      <w:r w:rsidRPr="00B52B8E">
        <w:rPr>
          <w:i/>
          <w:lang w:val="fr-FR"/>
        </w:rPr>
        <w:t>Storting</w:t>
      </w:r>
      <w:r w:rsidRPr="00976C24">
        <w:rPr>
          <w:lang w:val="fr-FR"/>
        </w:rPr>
        <w:t xml:space="preserve">). Le livre blanc, appuyé par le </w:t>
      </w:r>
      <w:r w:rsidRPr="00B52B8E">
        <w:rPr>
          <w:i/>
          <w:lang w:val="fr-FR"/>
        </w:rPr>
        <w:t>Storting</w:t>
      </w:r>
      <w:r w:rsidRPr="00976C24">
        <w:rPr>
          <w:lang w:val="fr-FR"/>
        </w:rPr>
        <w:t>, d</w:t>
      </w:r>
      <w:r>
        <w:rPr>
          <w:lang w:val="fr-FR"/>
        </w:rPr>
        <w:t>éfinit d</w:t>
      </w:r>
      <w:r w:rsidRPr="00976C24">
        <w:rPr>
          <w:lang w:val="fr-FR"/>
        </w:rPr>
        <w:t>es p</w:t>
      </w:r>
      <w:r>
        <w:rPr>
          <w:lang w:val="fr-FR"/>
        </w:rPr>
        <w:t>rojets</w:t>
      </w:r>
      <w:r w:rsidRPr="00976C24">
        <w:rPr>
          <w:lang w:val="fr-FR"/>
        </w:rPr>
        <w:t xml:space="preserve"> à long terme pour la numérisation du patrimoine culturel en vue de le rendre accessible à tous les </w:t>
      </w:r>
      <w:r>
        <w:rPr>
          <w:lang w:val="fr-FR"/>
        </w:rPr>
        <w:t>groupes</w:t>
      </w:r>
      <w:r w:rsidRPr="00976C24">
        <w:rPr>
          <w:lang w:val="fr-FR"/>
        </w:rPr>
        <w:t xml:space="preserve"> de la population. La stratégie nationale </w:t>
      </w:r>
      <w:r>
        <w:rPr>
          <w:lang w:val="fr-FR"/>
        </w:rPr>
        <w:t>porte sur</w:t>
      </w:r>
      <w:r w:rsidRPr="00976C24">
        <w:rPr>
          <w:lang w:val="fr-FR"/>
        </w:rPr>
        <w:t xml:space="preserve"> trois principaux domaines</w:t>
      </w:r>
      <w:r>
        <w:rPr>
          <w:lang w:val="fr-FR"/>
        </w:rPr>
        <w:t>:</w:t>
      </w:r>
      <w:r w:rsidRPr="00976C24">
        <w:rPr>
          <w:lang w:val="fr-FR"/>
        </w:rPr>
        <w:t xml:space="preserve"> les archives, les bibliothèques et les musées</w:t>
      </w:r>
      <w:r>
        <w:rPr>
          <w:lang w:val="fr-FR"/>
        </w:rPr>
        <w:t>.</w:t>
      </w:r>
    </w:p>
    <w:p w:rsidR="00903547" w:rsidRPr="00976C24" w:rsidRDefault="00903547" w:rsidP="0071086E">
      <w:pPr>
        <w:pStyle w:val="SingleTxtG"/>
        <w:tabs>
          <w:tab w:val="left" w:pos="1701"/>
        </w:tabs>
        <w:ind w:hanging="334"/>
        <w:rPr>
          <w:lang w:val="fr-FR"/>
        </w:rPr>
      </w:pPr>
      <w:r w:rsidRPr="00976C24">
        <w:rPr>
          <w:b/>
          <w:lang w:val="fr-FR"/>
        </w:rPr>
        <w:t>c)</w:t>
      </w:r>
      <w:r w:rsidRPr="00976C24">
        <w:rPr>
          <w:lang w:val="fr-FR"/>
        </w:rPr>
        <w:tab/>
      </w:r>
      <w:r w:rsidRPr="00976C24">
        <w:rPr>
          <w:b/>
          <w:lang w:val="fr-FR"/>
        </w:rPr>
        <w:t xml:space="preserve">Mesures prises pour encourager la participation des enfants, notamment les enfants de familles pauvres et les enfants immigrés ou réfugiés, à la vie culturelle </w:t>
      </w:r>
    </w:p>
    <w:p w:rsidR="00903547" w:rsidRPr="00976C24" w:rsidRDefault="00903547" w:rsidP="006273F9">
      <w:pPr>
        <w:pStyle w:val="SingleTxtG"/>
        <w:rPr>
          <w:lang w:val="fr-FR"/>
        </w:rPr>
      </w:pPr>
      <w:r>
        <w:rPr>
          <w:lang w:val="fr-FR"/>
        </w:rPr>
        <w:t>473.</w:t>
      </w:r>
      <w:r>
        <w:rPr>
          <w:lang w:val="fr-FR"/>
        </w:rPr>
        <w:tab/>
      </w:r>
      <w:r w:rsidRPr="00976C24">
        <w:rPr>
          <w:lang w:val="fr-FR"/>
        </w:rPr>
        <w:t xml:space="preserve">Les principaux instruments de la politique </w:t>
      </w:r>
      <w:r>
        <w:rPr>
          <w:lang w:val="fr-FR"/>
        </w:rPr>
        <w:t>en faveur de</w:t>
      </w:r>
      <w:r w:rsidRPr="00976C24">
        <w:rPr>
          <w:lang w:val="fr-FR"/>
        </w:rPr>
        <w:t xml:space="preserve"> la participation des enfants à la vie culturelle sont les écoles municipales de musique et d’art, les festivals artis</w:t>
      </w:r>
      <w:r>
        <w:rPr>
          <w:lang w:val="fr-FR"/>
        </w:rPr>
        <w:t>tiques pour la jeunesse et le «bagage culturel</w:t>
      </w:r>
      <w:r w:rsidRPr="00976C24">
        <w:rPr>
          <w:lang w:val="fr-FR"/>
        </w:rPr>
        <w:t xml:space="preserve">». Ces trois instruments </w:t>
      </w:r>
      <w:r>
        <w:rPr>
          <w:lang w:val="fr-FR"/>
        </w:rPr>
        <w:t>ont</w:t>
      </w:r>
      <w:r w:rsidRPr="00976C24">
        <w:rPr>
          <w:lang w:val="fr-FR"/>
        </w:rPr>
        <w:t xml:space="preserve"> des objectifs différents. Les écoles municipales de musique et d’art sont destinées à </w:t>
      </w:r>
      <w:r>
        <w:rPr>
          <w:lang w:val="fr-FR"/>
        </w:rPr>
        <w:t xml:space="preserve">familiariser les </w:t>
      </w:r>
      <w:r w:rsidRPr="00976C24">
        <w:rPr>
          <w:lang w:val="fr-FR"/>
        </w:rPr>
        <w:t>enfants avec le processus créatif</w:t>
      </w:r>
      <w:r>
        <w:rPr>
          <w:lang w:val="fr-FR"/>
        </w:rPr>
        <w:t xml:space="preserve">, la pratique de </w:t>
      </w:r>
      <w:r w:rsidRPr="00976C24">
        <w:rPr>
          <w:lang w:val="fr-FR"/>
        </w:rPr>
        <w:t xml:space="preserve">la musique et d’autres formes d’art </w:t>
      </w:r>
      <w:r>
        <w:rPr>
          <w:lang w:val="fr-FR"/>
        </w:rPr>
        <w:t>en complément d</w:t>
      </w:r>
      <w:r w:rsidRPr="00976C24">
        <w:rPr>
          <w:lang w:val="fr-FR"/>
        </w:rPr>
        <w:t xml:space="preserve">es disciplines artistiques </w:t>
      </w:r>
      <w:r>
        <w:rPr>
          <w:lang w:val="fr-FR"/>
        </w:rPr>
        <w:t>enseignées à l’école</w:t>
      </w:r>
      <w:r w:rsidRPr="00976C24">
        <w:rPr>
          <w:lang w:val="fr-FR"/>
        </w:rPr>
        <w:t xml:space="preserve">. </w:t>
      </w:r>
    </w:p>
    <w:p w:rsidR="00903547" w:rsidRPr="00976C24" w:rsidRDefault="00903547" w:rsidP="006273F9">
      <w:pPr>
        <w:pStyle w:val="SingleTxtG"/>
        <w:rPr>
          <w:lang w:val="fr-FR"/>
        </w:rPr>
      </w:pPr>
      <w:r>
        <w:rPr>
          <w:lang w:val="fr-FR"/>
        </w:rPr>
        <w:t>474.</w:t>
      </w:r>
      <w:r>
        <w:rPr>
          <w:lang w:val="fr-FR"/>
        </w:rPr>
        <w:tab/>
      </w:r>
      <w:r w:rsidRPr="00976C24">
        <w:rPr>
          <w:lang w:val="fr-FR"/>
        </w:rPr>
        <w:t>Les festivals artistiques p</w:t>
      </w:r>
      <w:r>
        <w:rPr>
          <w:lang w:val="fr-FR"/>
        </w:rPr>
        <w:t>our la jeunesse sont</w:t>
      </w:r>
      <w:r w:rsidRPr="00976C24">
        <w:rPr>
          <w:lang w:val="fr-FR"/>
        </w:rPr>
        <w:t xml:space="preserve"> un programme culturel national visant à stimuler la créativité et l</w:t>
      </w:r>
      <w:r>
        <w:rPr>
          <w:lang w:val="fr-FR"/>
        </w:rPr>
        <w:t>’activité</w:t>
      </w:r>
      <w:r w:rsidRPr="00976C24">
        <w:rPr>
          <w:lang w:val="fr-FR"/>
        </w:rPr>
        <w:t xml:space="preserve"> culturelle des enfants et des jeunes. </w:t>
      </w:r>
      <w:r>
        <w:rPr>
          <w:lang w:val="fr-FR"/>
        </w:rPr>
        <w:t>Les</w:t>
      </w:r>
      <w:r w:rsidRPr="00976C24">
        <w:rPr>
          <w:lang w:val="fr-FR"/>
        </w:rPr>
        <w:t xml:space="preserve"> festivals régionaux et locaux</w:t>
      </w:r>
      <w:r>
        <w:rPr>
          <w:lang w:val="fr-FR"/>
        </w:rPr>
        <w:t xml:space="preserve"> leur offrent la possibilité de</w:t>
      </w:r>
      <w:r w:rsidRPr="00976C24">
        <w:rPr>
          <w:lang w:val="fr-FR"/>
        </w:rPr>
        <w:t xml:space="preserve"> participer à des activités culturelles et </w:t>
      </w:r>
      <w:r>
        <w:rPr>
          <w:lang w:val="fr-FR"/>
        </w:rPr>
        <w:t xml:space="preserve">de </w:t>
      </w:r>
      <w:r w:rsidRPr="00976C24">
        <w:rPr>
          <w:lang w:val="fr-FR"/>
        </w:rPr>
        <w:t xml:space="preserve">rencontrer d’autres enfants et jeunes de leur âge qui partagent les mêmes intérêts. </w:t>
      </w:r>
    </w:p>
    <w:p w:rsidR="00903547" w:rsidRPr="00976C24" w:rsidRDefault="00903547" w:rsidP="006273F9">
      <w:pPr>
        <w:pStyle w:val="SingleTxtG"/>
        <w:rPr>
          <w:lang w:val="fr-FR"/>
        </w:rPr>
      </w:pPr>
      <w:r>
        <w:rPr>
          <w:lang w:val="fr-FR"/>
        </w:rPr>
        <w:t>475.</w:t>
      </w:r>
      <w:r>
        <w:rPr>
          <w:lang w:val="fr-FR"/>
        </w:rPr>
        <w:tab/>
        <w:t>Le «bagage culturel</w:t>
      </w:r>
      <w:r w:rsidRPr="00976C24">
        <w:rPr>
          <w:lang w:val="fr-FR"/>
        </w:rPr>
        <w:t>» est un programme national culturel et artistique destiné aux écoles privées et publiques</w:t>
      </w:r>
      <w:r>
        <w:rPr>
          <w:lang w:val="fr-FR"/>
        </w:rPr>
        <w:t>; il</w:t>
      </w:r>
      <w:r w:rsidRPr="00976C24">
        <w:rPr>
          <w:lang w:val="fr-FR"/>
        </w:rPr>
        <w:t xml:space="preserve"> est au centre de la politique gouvernementale</w:t>
      </w:r>
      <w:r>
        <w:rPr>
          <w:lang w:val="fr-FR"/>
        </w:rPr>
        <w:t xml:space="preserve"> visant à</w:t>
      </w:r>
      <w:r w:rsidRPr="00976C24">
        <w:rPr>
          <w:lang w:val="fr-FR"/>
        </w:rPr>
        <w:t xml:space="preserve"> rendre la culture et les arts accessibles à tous les enfants et les jeunes</w:t>
      </w:r>
      <w:r>
        <w:rPr>
          <w:lang w:val="fr-FR"/>
        </w:rPr>
        <w:t xml:space="preserve"> et</w:t>
      </w:r>
      <w:r w:rsidRPr="00976C24">
        <w:rPr>
          <w:lang w:val="fr-FR"/>
        </w:rPr>
        <w:t xml:space="preserve"> </w:t>
      </w:r>
      <w:r>
        <w:rPr>
          <w:lang w:val="fr-FR"/>
        </w:rPr>
        <w:t>doit</w:t>
      </w:r>
      <w:r w:rsidRPr="00976C24">
        <w:rPr>
          <w:lang w:val="fr-FR"/>
        </w:rPr>
        <w:t xml:space="preserve"> permettre aux élèves de se familiariser avec les différentes formes d’expression artistique et culturelle au niveau professionnel, de les comprendre et de les apprécier. Le programme bénéficie chaque année d</w:t>
      </w:r>
      <w:r>
        <w:rPr>
          <w:lang w:val="fr-FR"/>
        </w:rPr>
        <w:t>’un crédit d</w:t>
      </w:r>
      <w:r w:rsidRPr="00976C24">
        <w:rPr>
          <w:lang w:val="fr-FR"/>
        </w:rPr>
        <w:t xml:space="preserve">e 160 à 180 millions de couronnes (20 à 23 millions d’euros) alloué aux autorités régionales et locales et ensuite </w:t>
      </w:r>
      <w:r>
        <w:rPr>
          <w:lang w:val="fr-FR"/>
        </w:rPr>
        <w:t>redistribué</w:t>
      </w:r>
      <w:r w:rsidRPr="00976C24">
        <w:rPr>
          <w:lang w:val="fr-FR"/>
        </w:rPr>
        <w:t xml:space="preserve"> par celles-ci. Le bagage culturel, qui fait partie de la politique cultur</w:t>
      </w:r>
      <w:r>
        <w:rPr>
          <w:lang w:val="fr-FR"/>
        </w:rPr>
        <w:t>elle nationale en faveur des é</w:t>
      </w:r>
      <w:r w:rsidRPr="00976C24">
        <w:rPr>
          <w:lang w:val="fr-FR"/>
        </w:rPr>
        <w:t xml:space="preserve">coles primaires et </w:t>
      </w:r>
      <w:r>
        <w:rPr>
          <w:lang w:val="fr-FR"/>
        </w:rPr>
        <w:t>du</w:t>
      </w:r>
      <w:r w:rsidRPr="00976C24">
        <w:rPr>
          <w:lang w:val="fr-FR"/>
        </w:rPr>
        <w:t xml:space="preserve"> premier cycle du secondaire </w:t>
      </w:r>
      <w:r>
        <w:rPr>
          <w:lang w:val="fr-FR"/>
        </w:rPr>
        <w:t>depuis 2001</w:t>
      </w:r>
      <w:r w:rsidRPr="00976C24">
        <w:rPr>
          <w:lang w:val="fr-FR"/>
        </w:rPr>
        <w:t xml:space="preserve"> a récemment été étendu au deuxième cycle du secondaire. </w:t>
      </w:r>
      <w:r>
        <w:rPr>
          <w:lang w:val="fr-FR"/>
        </w:rPr>
        <w:t>T</w:t>
      </w:r>
      <w:r w:rsidRPr="00976C24">
        <w:rPr>
          <w:lang w:val="fr-FR"/>
        </w:rPr>
        <w:t xml:space="preserve">ous les élèves de 6 à 19 ans peuvent </w:t>
      </w:r>
      <w:r>
        <w:rPr>
          <w:lang w:val="fr-FR"/>
        </w:rPr>
        <w:t xml:space="preserve">donc en </w:t>
      </w:r>
      <w:r w:rsidRPr="00976C24">
        <w:rPr>
          <w:lang w:val="fr-FR"/>
        </w:rPr>
        <w:t>bénéficier.</w:t>
      </w:r>
    </w:p>
    <w:p w:rsidR="00903547" w:rsidRPr="00976C24" w:rsidRDefault="00903547" w:rsidP="006273F9">
      <w:pPr>
        <w:pStyle w:val="SingleTxtG"/>
        <w:rPr>
          <w:lang w:val="fr-FR"/>
        </w:rPr>
      </w:pPr>
      <w:r>
        <w:rPr>
          <w:lang w:val="fr-FR"/>
        </w:rPr>
        <w:t>476.</w:t>
      </w:r>
      <w:r>
        <w:rPr>
          <w:lang w:val="fr-FR"/>
        </w:rPr>
        <w:tab/>
      </w:r>
      <w:r w:rsidRPr="00976C24">
        <w:rPr>
          <w:lang w:val="fr-FR"/>
        </w:rPr>
        <w:t>D’autres instruments font partie de la politique cult</w:t>
      </w:r>
      <w:r>
        <w:rPr>
          <w:lang w:val="fr-FR"/>
        </w:rPr>
        <w:t>urelle du Gouvernement, comme «Frifond» (l’allocation de «Norsk Tipping</w:t>
      </w:r>
      <w:r w:rsidRPr="00976C24">
        <w:rPr>
          <w:lang w:val="fr-FR"/>
        </w:rPr>
        <w:t xml:space="preserve">», société de jeu publique, ciblant les enfants et les jeunes), des subventions </w:t>
      </w:r>
      <w:r>
        <w:rPr>
          <w:lang w:val="fr-FR"/>
        </w:rPr>
        <w:t>allouées</w:t>
      </w:r>
      <w:r w:rsidRPr="00976C24">
        <w:rPr>
          <w:lang w:val="fr-FR"/>
        </w:rPr>
        <w:t xml:space="preserve"> à des salles de répétition pour la musique rythmique, à l’achat d’instruments de musique pour des groupes scolaires et </w:t>
      </w:r>
      <w:r>
        <w:rPr>
          <w:lang w:val="fr-FR"/>
        </w:rPr>
        <w:t xml:space="preserve">à </w:t>
      </w:r>
      <w:r w:rsidRPr="00976C24">
        <w:rPr>
          <w:lang w:val="fr-FR"/>
        </w:rPr>
        <w:t xml:space="preserve">un programme mis en place dans dix municipalités </w:t>
      </w:r>
      <w:r>
        <w:rPr>
          <w:lang w:val="fr-FR"/>
        </w:rPr>
        <w:t xml:space="preserve">et </w:t>
      </w:r>
      <w:r w:rsidRPr="00976C24">
        <w:rPr>
          <w:lang w:val="fr-FR"/>
        </w:rPr>
        <w:t>soutenu par le Gouvernement</w:t>
      </w:r>
      <w:r>
        <w:rPr>
          <w:lang w:val="fr-FR"/>
        </w:rPr>
        <w:t>, qui offre aux jeunes</w:t>
      </w:r>
      <w:r w:rsidRPr="00976C24">
        <w:rPr>
          <w:lang w:val="fr-FR"/>
        </w:rPr>
        <w:t xml:space="preserve"> des réductions sur une large gamme d’activités culturelles.</w:t>
      </w:r>
    </w:p>
    <w:p w:rsidR="00903547" w:rsidRPr="00976C24" w:rsidRDefault="00903547" w:rsidP="0071086E">
      <w:pPr>
        <w:pStyle w:val="H4G"/>
        <w:ind w:firstLine="0"/>
        <w:rPr>
          <w:lang w:val="fr-FR"/>
        </w:rPr>
      </w:pPr>
      <w:bookmarkStart w:id="87" w:name="_Toc286326397"/>
      <w:r w:rsidRPr="00976C24">
        <w:rPr>
          <w:lang w:val="fr-FR"/>
        </w:rPr>
        <w:t xml:space="preserve">Programme d’inclusion et d’intégration </w:t>
      </w:r>
      <w:r>
        <w:rPr>
          <w:lang w:val="fr-FR"/>
        </w:rPr>
        <w:t>par le</w:t>
      </w:r>
      <w:r w:rsidRPr="00976C24">
        <w:rPr>
          <w:lang w:val="fr-FR"/>
        </w:rPr>
        <w:t xml:space="preserve"> sport</w:t>
      </w:r>
      <w:bookmarkEnd w:id="87"/>
    </w:p>
    <w:p w:rsidR="00903547" w:rsidRPr="00976C24" w:rsidRDefault="00903547" w:rsidP="006273F9">
      <w:pPr>
        <w:pStyle w:val="SingleTxtG"/>
        <w:rPr>
          <w:lang w:val="fr-FR"/>
        </w:rPr>
      </w:pPr>
      <w:r>
        <w:rPr>
          <w:lang w:val="fr-FR"/>
        </w:rPr>
        <w:t>477.</w:t>
      </w:r>
      <w:r>
        <w:rPr>
          <w:lang w:val="fr-FR"/>
        </w:rPr>
        <w:tab/>
      </w:r>
      <w:r w:rsidRPr="00976C24">
        <w:rPr>
          <w:lang w:val="fr-FR"/>
        </w:rPr>
        <w:t xml:space="preserve">Depuis 1993, le Ministère de la culture </w:t>
      </w:r>
      <w:r>
        <w:rPr>
          <w:lang w:val="fr-FR"/>
        </w:rPr>
        <w:t>met en œuvre</w:t>
      </w:r>
      <w:r w:rsidRPr="00976C24">
        <w:rPr>
          <w:lang w:val="fr-FR"/>
        </w:rPr>
        <w:t xml:space="preserve"> un programme d’inclusion et d’intégration </w:t>
      </w:r>
      <w:r>
        <w:rPr>
          <w:lang w:val="fr-FR"/>
        </w:rPr>
        <w:t>par le</w:t>
      </w:r>
      <w:r w:rsidRPr="00976C24">
        <w:rPr>
          <w:lang w:val="fr-FR"/>
        </w:rPr>
        <w:t xml:space="preserve"> sport</w:t>
      </w:r>
      <w:r>
        <w:rPr>
          <w:lang w:val="fr-FR"/>
        </w:rPr>
        <w:t>, géré</w:t>
      </w:r>
      <w:r w:rsidRPr="00976C24">
        <w:rPr>
          <w:lang w:val="fr-FR"/>
        </w:rPr>
        <w:t xml:space="preserve"> par le Comité norvégien olympique et paralympique et la Confédération des sports (NOC). Les groupes cibles sont les enfants (de 6 à 12 ans) et les jeunes (de 13 à 19 ans) issus des minorités culturelles, </w:t>
      </w:r>
      <w:r>
        <w:rPr>
          <w:lang w:val="fr-FR"/>
        </w:rPr>
        <w:t>et tout spécialement</w:t>
      </w:r>
      <w:r w:rsidRPr="00976C24">
        <w:rPr>
          <w:lang w:val="fr-FR"/>
        </w:rPr>
        <w:t xml:space="preserve"> les filles. Un autre groupe cible est constitué d</w:t>
      </w:r>
      <w:r>
        <w:rPr>
          <w:lang w:val="fr-FR"/>
        </w:rPr>
        <w:t>’enfants et de jeunes de</w:t>
      </w:r>
      <w:r w:rsidRPr="00976C24">
        <w:rPr>
          <w:lang w:val="fr-FR"/>
        </w:rPr>
        <w:t xml:space="preserve"> familles à faible revenu. </w:t>
      </w:r>
      <w:r>
        <w:rPr>
          <w:lang w:val="fr-FR"/>
        </w:rPr>
        <w:t xml:space="preserve">Il s’agit </w:t>
      </w:r>
      <w:r w:rsidRPr="00976C24">
        <w:rPr>
          <w:lang w:val="fr-FR"/>
        </w:rPr>
        <w:t xml:space="preserve">de promouvoir </w:t>
      </w:r>
      <w:r>
        <w:rPr>
          <w:lang w:val="fr-FR"/>
        </w:rPr>
        <w:t xml:space="preserve">leur participation et leur </w:t>
      </w:r>
      <w:r w:rsidRPr="00976C24">
        <w:rPr>
          <w:lang w:val="fr-FR"/>
        </w:rPr>
        <w:t>intégration soci</w:t>
      </w:r>
      <w:r>
        <w:rPr>
          <w:lang w:val="fr-FR"/>
        </w:rPr>
        <w:t>o</w:t>
      </w:r>
      <w:r w:rsidRPr="00976C24">
        <w:rPr>
          <w:lang w:val="fr-FR"/>
        </w:rPr>
        <w:t xml:space="preserve">culturelle dans les clubs </w:t>
      </w:r>
      <w:r>
        <w:rPr>
          <w:lang w:val="fr-FR"/>
        </w:rPr>
        <w:t xml:space="preserve">et associations </w:t>
      </w:r>
      <w:r w:rsidRPr="00976C24">
        <w:rPr>
          <w:lang w:val="fr-FR"/>
        </w:rPr>
        <w:t>sport</w:t>
      </w:r>
      <w:r>
        <w:rPr>
          <w:lang w:val="fr-FR"/>
        </w:rPr>
        <w:t>if</w:t>
      </w:r>
      <w:r w:rsidRPr="00976C24">
        <w:rPr>
          <w:lang w:val="fr-FR"/>
        </w:rPr>
        <w:t xml:space="preserve">s locaux. </w:t>
      </w:r>
    </w:p>
    <w:p w:rsidR="00903547" w:rsidRPr="00976C24" w:rsidRDefault="00903547" w:rsidP="006273F9">
      <w:pPr>
        <w:pStyle w:val="SingleTxtG"/>
        <w:rPr>
          <w:lang w:val="fr-FR"/>
        </w:rPr>
      </w:pPr>
      <w:r>
        <w:rPr>
          <w:lang w:val="fr-FR"/>
        </w:rPr>
        <w:t>478.</w:t>
      </w:r>
      <w:r>
        <w:rPr>
          <w:lang w:val="fr-FR"/>
        </w:rPr>
        <w:tab/>
      </w:r>
      <w:r w:rsidRPr="00976C24">
        <w:rPr>
          <w:lang w:val="fr-FR"/>
        </w:rPr>
        <w:t xml:space="preserve">Hormis leur </w:t>
      </w:r>
      <w:r>
        <w:rPr>
          <w:lang w:val="fr-FR"/>
        </w:rPr>
        <w:t>adhésion</w:t>
      </w:r>
      <w:r w:rsidRPr="00976C24">
        <w:rPr>
          <w:lang w:val="fr-FR"/>
        </w:rPr>
        <w:t xml:space="preserve"> </w:t>
      </w:r>
      <w:r>
        <w:rPr>
          <w:lang w:val="fr-FR"/>
        </w:rPr>
        <w:t>à d</w:t>
      </w:r>
      <w:r w:rsidRPr="00976C24">
        <w:rPr>
          <w:lang w:val="fr-FR"/>
        </w:rPr>
        <w:t xml:space="preserve">es organisations religieuses, les personnes issues de l’immigration ou de minorités ethniques affichent une faible participation aux </w:t>
      </w:r>
      <w:r>
        <w:rPr>
          <w:lang w:val="fr-FR"/>
        </w:rPr>
        <w:t xml:space="preserve">associations de </w:t>
      </w:r>
      <w:r w:rsidRPr="00976C24">
        <w:rPr>
          <w:lang w:val="fr-FR"/>
        </w:rPr>
        <w:t xml:space="preserve">bénévoles par rapport au reste de la population. On manque toutefois de données à cet égard. Le projet </w:t>
      </w:r>
      <w:r w:rsidRPr="00976C24">
        <w:rPr>
          <w:i/>
          <w:iCs/>
          <w:lang w:val="fr-FR"/>
        </w:rPr>
        <w:t>Perspectives d’inclusion sociale dans les organisations bénévoles</w:t>
      </w:r>
      <w:r w:rsidRPr="00976C24">
        <w:rPr>
          <w:iCs/>
          <w:lang w:val="fr-FR"/>
        </w:rPr>
        <w:t xml:space="preserve"> doit examiner </w:t>
      </w:r>
      <w:r>
        <w:rPr>
          <w:iCs/>
          <w:lang w:val="fr-FR"/>
        </w:rPr>
        <w:t>dans quelle</w:t>
      </w:r>
      <w:r w:rsidRPr="00976C24">
        <w:rPr>
          <w:iCs/>
          <w:lang w:val="fr-FR"/>
        </w:rPr>
        <w:t xml:space="preserve"> mesure les</w:t>
      </w:r>
      <w:r w:rsidRPr="00976C24">
        <w:rPr>
          <w:lang w:val="fr-FR"/>
        </w:rPr>
        <w:t xml:space="preserve"> ONG sont ouvertes aux groupes </w:t>
      </w:r>
      <w:r>
        <w:rPr>
          <w:lang w:val="fr-FR"/>
        </w:rPr>
        <w:t>qui sont minoritaires</w:t>
      </w:r>
      <w:r w:rsidRPr="00976C24">
        <w:rPr>
          <w:lang w:val="fr-FR"/>
        </w:rPr>
        <w:t xml:space="preserve"> en termes de situation financière, </w:t>
      </w:r>
      <w:r>
        <w:rPr>
          <w:lang w:val="fr-FR"/>
        </w:rPr>
        <w:t>d’</w:t>
      </w:r>
      <w:r w:rsidRPr="00976C24">
        <w:rPr>
          <w:lang w:val="fr-FR"/>
        </w:rPr>
        <w:t xml:space="preserve">appartenance ethnique, </w:t>
      </w:r>
      <w:r>
        <w:rPr>
          <w:lang w:val="fr-FR"/>
        </w:rPr>
        <w:t xml:space="preserve">de </w:t>
      </w:r>
      <w:r w:rsidRPr="00976C24">
        <w:rPr>
          <w:lang w:val="fr-FR"/>
        </w:rPr>
        <w:t xml:space="preserve">culture ou </w:t>
      </w:r>
      <w:r>
        <w:rPr>
          <w:lang w:val="fr-FR"/>
        </w:rPr>
        <w:t xml:space="preserve">de </w:t>
      </w:r>
      <w:r w:rsidRPr="00976C24">
        <w:rPr>
          <w:lang w:val="fr-FR"/>
        </w:rPr>
        <w:t>sexe. De nouvelles données sur les minorités ethniques et la participation aux activités de loisirs seront disponibles en décembre 2010.</w:t>
      </w:r>
    </w:p>
    <w:p w:rsidR="00903547" w:rsidRPr="00976C24" w:rsidRDefault="00903547" w:rsidP="0071086E">
      <w:pPr>
        <w:pStyle w:val="H23G"/>
        <w:rPr>
          <w:lang w:val="fr-FR"/>
        </w:rPr>
      </w:pPr>
      <w:r w:rsidRPr="00976C24">
        <w:rPr>
          <w:lang w:val="fr-FR"/>
        </w:rPr>
        <w:tab/>
        <w:t>d)</w:t>
      </w:r>
      <w:r w:rsidRPr="00976C24">
        <w:rPr>
          <w:lang w:val="fr-FR"/>
        </w:rPr>
        <w:tab/>
        <w:t>Mesures prises pour supprimer les obstacles physiques et sociaux et les obstacles de communication qui empêchent les personnes âgées et les personnes handicapées de participer pleinement à la vie culturelle</w:t>
      </w:r>
    </w:p>
    <w:p w:rsidR="00903547" w:rsidRPr="00976C24" w:rsidRDefault="00903547" w:rsidP="006273F9">
      <w:pPr>
        <w:pStyle w:val="SingleTxtG"/>
        <w:rPr>
          <w:lang w:val="fr-FR"/>
        </w:rPr>
      </w:pPr>
      <w:r>
        <w:rPr>
          <w:lang w:val="fr-FR"/>
        </w:rPr>
        <w:t>479.</w:t>
      </w:r>
      <w:r>
        <w:rPr>
          <w:lang w:val="fr-FR"/>
        </w:rPr>
        <w:tab/>
      </w:r>
      <w:r w:rsidRPr="00976C24">
        <w:rPr>
          <w:lang w:val="fr-FR"/>
        </w:rPr>
        <w:t>Les demandes de subvention pour des bâtiments culture</w:t>
      </w:r>
      <w:r>
        <w:rPr>
          <w:lang w:val="fr-FR"/>
        </w:rPr>
        <w:t>ls</w:t>
      </w:r>
      <w:r w:rsidRPr="00976C24">
        <w:rPr>
          <w:lang w:val="fr-FR"/>
        </w:rPr>
        <w:t xml:space="preserve"> doivent </w:t>
      </w:r>
      <w:r>
        <w:rPr>
          <w:lang w:val="fr-FR"/>
        </w:rPr>
        <w:t>être accompagnées de</w:t>
      </w:r>
      <w:r w:rsidRPr="00976C24">
        <w:rPr>
          <w:lang w:val="fr-FR"/>
        </w:rPr>
        <w:t xml:space="preserve"> plans et de descriptifs qui montrent que les bâtiments répondent aux normes de la conception universelle.</w:t>
      </w:r>
    </w:p>
    <w:p w:rsidR="00903547" w:rsidRPr="00976C24" w:rsidRDefault="00903547" w:rsidP="0071086E">
      <w:pPr>
        <w:pStyle w:val="H23G"/>
        <w:rPr>
          <w:lang w:val="fr-FR"/>
        </w:rPr>
      </w:pPr>
      <w:r w:rsidRPr="00976C24">
        <w:rPr>
          <w:lang w:val="fr-FR"/>
        </w:rPr>
        <w:tab/>
        <w:t>2.</w:t>
      </w:r>
      <w:r w:rsidRPr="00976C24">
        <w:rPr>
          <w:lang w:val="fr-FR"/>
        </w:rPr>
        <w:tab/>
        <w:t>Mesures prises pour protéger la diversité culturelle, faire co</w:t>
      </w:r>
      <w:r>
        <w:rPr>
          <w:lang w:val="fr-FR"/>
        </w:rPr>
        <w:t>nnaître le patrimoine culturel</w:t>
      </w:r>
      <w:r w:rsidRPr="00976C24">
        <w:rPr>
          <w:lang w:val="fr-FR"/>
        </w:rPr>
        <w:t xml:space="preserve"> des minorités ethniques, religieuses ou linguistiques et des communautés autochtones et créer des conditions favorables à la protection, au développement, à l’expression et à la diffusion de leur identité, de leur histoire, de leur culture, de leur langue, de leurs traditions et de leurs coutumes (E/2009/22-E/C.12/2008/3, annexe VIII, par.</w:t>
      </w:r>
      <w:r>
        <w:rPr>
          <w:lang w:val="fr-FR"/>
        </w:rPr>
        <w:t> </w:t>
      </w:r>
      <w:r w:rsidRPr="00976C24">
        <w:rPr>
          <w:lang w:val="fr-FR"/>
        </w:rPr>
        <w:t>68)</w:t>
      </w:r>
    </w:p>
    <w:p w:rsidR="00903547" w:rsidRPr="00976C24" w:rsidRDefault="00903547" w:rsidP="006273F9">
      <w:pPr>
        <w:pStyle w:val="SingleTxtG"/>
        <w:rPr>
          <w:lang w:val="fr-FR"/>
        </w:rPr>
      </w:pPr>
      <w:r>
        <w:rPr>
          <w:lang w:val="fr-FR"/>
        </w:rPr>
        <w:t>480.</w:t>
      </w:r>
      <w:r>
        <w:rPr>
          <w:lang w:val="fr-FR"/>
        </w:rPr>
        <w:tab/>
      </w:r>
      <w:r w:rsidRPr="00976C24">
        <w:rPr>
          <w:lang w:val="fr-FR"/>
        </w:rPr>
        <w:t>L’Année norvégienne de la diversité culturelle a été célébrée en 2008 pour mettre en avant et promouvoir l</w:t>
      </w:r>
      <w:r>
        <w:rPr>
          <w:lang w:val="fr-FR"/>
        </w:rPr>
        <w:t>e multiculturalisme</w:t>
      </w:r>
      <w:r w:rsidRPr="00976C24">
        <w:rPr>
          <w:lang w:val="fr-FR"/>
        </w:rPr>
        <w:t xml:space="preserve"> </w:t>
      </w:r>
      <w:r>
        <w:rPr>
          <w:lang w:val="fr-FR"/>
        </w:rPr>
        <w:t>dans le pays</w:t>
      </w:r>
      <w:r w:rsidRPr="00976C24">
        <w:rPr>
          <w:lang w:val="fr-FR"/>
        </w:rPr>
        <w:t xml:space="preserve">. Cette </w:t>
      </w:r>
      <w:r>
        <w:rPr>
          <w:lang w:val="fr-FR"/>
        </w:rPr>
        <w:t>perspective</w:t>
      </w:r>
      <w:r w:rsidRPr="00976C24">
        <w:rPr>
          <w:lang w:val="fr-FR"/>
        </w:rPr>
        <w:t xml:space="preserve"> </w:t>
      </w:r>
      <w:r>
        <w:rPr>
          <w:lang w:val="fr-FR"/>
        </w:rPr>
        <w:t>restera l’une des priorités</w:t>
      </w:r>
      <w:r w:rsidRPr="00976C24">
        <w:rPr>
          <w:lang w:val="fr-FR"/>
        </w:rPr>
        <w:t xml:space="preserve"> de la politique culturelle du Gouvernement </w:t>
      </w:r>
      <w:r>
        <w:rPr>
          <w:lang w:val="fr-FR"/>
        </w:rPr>
        <w:t>dans</w:t>
      </w:r>
      <w:r w:rsidRPr="00976C24">
        <w:rPr>
          <w:lang w:val="fr-FR"/>
        </w:rPr>
        <w:t xml:space="preserve"> les années à venir. </w:t>
      </w:r>
      <w:r>
        <w:rPr>
          <w:lang w:val="fr-FR"/>
        </w:rPr>
        <w:t>Il s’agit en effet de renforcer la</w:t>
      </w:r>
      <w:r w:rsidRPr="00976C24">
        <w:rPr>
          <w:lang w:val="fr-FR"/>
        </w:rPr>
        <w:t xml:space="preserve"> compréhension et </w:t>
      </w:r>
      <w:r>
        <w:rPr>
          <w:lang w:val="fr-FR"/>
        </w:rPr>
        <w:t xml:space="preserve">le </w:t>
      </w:r>
      <w:r w:rsidRPr="00976C24">
        <w:rPr>
          <w:lang w:val="fr-FR"/>
        </w:rPr>
        <w:t>respect d</w:t>
      </w:r>
      <w:r>
        <w:rPr>
          <w:lang w:val="fr-FR"/>
        </w:rPr>
        <w:t>u multiculturalisme</w:t>
      </w:r>
      <w:r w:rsidRPr="00976C24">
        <w:rPr>
          <w:lang w:val="fr-FR"/>
        </w:rPr>
        <w:t xml:space="preserve"> dans les institutions, les </w:t>
      </w:r>
      <w:r>
        <w:rPr>
          <w:lang w:val="fr-FR"/>
        </w:rPr>
        <w:t>m</w:t>
      </w:r>
      <w:r w:rsidRPr="00976C24">
        <w:rPr>
          <w:lang w:val="fr-FR"/>
        </w:rPr>
        <w:t>édias</w:t>
      </w:r>
      <w:r>
        <w:rPr>
          <w:lang w:val="fr-FR"/>
        </w:rPr>
        <w:t>, la politique</w:t>
      </w:r>
      <w:r w:rsidRPr="00976C24">
        <w:rPr>
          <w:lang w:val="fr-FR"/>
        </w:rPr>
        <w:t xml:space="preserve"> et la société de manière générale</w:t>
      </w:r>
      <w:r>
        <w:rPr>
          <w:lang w:val="fr-FR"/>
        </w:rPr>
        <w:t xml:space="preserve"> et d’inciter</w:t>
      </w:r>
      <w:r w:rsidRPr="00976C24">
        <w:rPr>
          <w:lang w:val="fr-FR"/>
        </w:rPr>
        <w:t xml:space="preserve"> les personnes </w:t>
      </w:r>
      <w:r>
        <w:rPr>
          <w:lang w:val="fr-FR"/>
        </w:rPr>
        <w:t>issues de cultures différentes</w:t>
      </w:r>
      <w:r w:rsidRPr="00976C24">
        <w:rPr>
          <w:lang w:val="fr-FR"/>
        </w:rPr>
        <w:t xml:space="preserve"> à participer </w:t>
      </w:r>
      <w:r>
        <w:rPr>
          <w:lang w:val="fr-FR"/>
        </w:rPr>
        <w:t>à des</w:t>
      </w:r>
      <w:r w:rsidRPr="00976C24">
        <w:rPr>
          <w:lang w:val="fr-FR"/>
        </w:rPr>
        <w:t xml:space="preserve"> activités </w:t>
      </w:r>
      <w:r>
        <w:rPr>
          <w:lang w:val="fr-FR"/>
        </w:rPr>
        <w:t>dans ce domaine</w:t>
      </w:r>
      <w:r w:rsidRPr="00976C24">
        <w:rPr>
          <w:lang w:val="fr-FR"/>
        </w:rPr>
        <w:t>.</w:t>
      </w:r>
    </w:p>
    <w:p w:rsidR="00903547" w:rsidRPr="00976C24" w:rsidRDefault="00903547" w:rsidP="006273F9">
      <w:pPr>
        <w:pStyle w:val="SingleTxtG"/>
        <w:rPr>
          <w:lang w:val="fr-FR"/>
        </w:rPr>
      </w:pPr>
      <w:r>
        <w:rPr>
          <w:lang w:val="fr-FR"/>
        </w:rPr>
        <w:t>481.</w:t>
      </w:r>
      <w:r>
        <w:rPr>
          <w:lang w:val="fr-FR"/>
        </w:rPr>
        <w:tab/>
      </w:r>
      <w:r w:rsidRPr="00976C24">
        <w:rPr>
          <w:lang w:val="fr-FR"/>
        </w:rPr>
        <w:t xml:space="preserve">L’origine de la célébration a été un livre blanc présenté au </w:t>
      </w:r>
      <w:r w:rsidRPr="00B52B8E">
        <w:rPr>
          <w:i/>
          <w:lang w:val="fr-FR"/>
        </w:rPr>
        <w:t>Storting</w:t>
      </w:r>
      <w:r w:rsidRPr="00976C24">
        <w:rPr>
          <w:lang w:val="fr-FR"/>
        </w:rPr>
        <w:t xml:space="preserve"> en 2006. Les institutions qui </w:t>
      </w:r>
      <w:r>
        <w:rPr>
          <w:lang w:val="fr-FR"/>
        </w:rPr>
        <w:t>reçoivent</w:t>
      </w:r>
      <w:r w:rsidRPr="00976C24">
        <w:rPr>
          <w:lang w:val="fr-FR"/>
        </w:rPr>
        <w:t xml:space="preserve"> une aide financière du Ministère de la culture doivent ensuite rendre compte de la façon dont les stratégies </w:t>
      </w:r>
      <w:r>
        <w:rPr>
          <w:lang w:val="fr-FR"/>
        </w:rPr>
        <w:t>en faveur du multiculturalisme</w:t>
      </w:r>
      <w:r w:rsidRPr="00976C24">
        <w:rPr>
          <w:lang w:val="fr-FR"/>
        </w:rPr>
        <w:t xml:space="preserve"> sont </w:t>
      </w:r>
      <w:r>
        <w:rPr>
          <w:lang w:val="fr-FR"/>
        </w:rPr>
        <w:t>mises en œuvre</w:t>
      </w:r>
      <w:r w:rsidRPr="00976C24">
        <w:rPr>
          <w:lang w:val="fr-FR"/>
        </w:rPr>
        <w:t xml:space="preserve"> dans leurs activités régulières. </w:t>
      </w:r>
      <w:r>
        <w:rPr>
          <w:lang w:val="fr-FR"/>
        </w:rPr>
        <w:t xml:space="preserve">Des crédits supplémentaires ont été alloués </w:t>
      </w:r>
      <w:r w:rsidRPr="00976C24">
        <w:rPr>
          <w:lang w:val="fr-FR"/>
        </w:rPr>
        <w:t>sur le budget de l’</w:t>
      </w:r>
      <w:r>
        <w:rPr>
          <w:lang w:val="fr-FR"/>
        </w:rPr>
        <w:t>État</w:t>
      </w:r>
      <w:r w:rsidRPr="00976C24">
        <w:rPr>
          <w:lang w:val="fr-FR"/>
        </w:rPr>
        <w:t xml:space="preserve"> </w:t>
      </w:r>
      <w:r>
        <w:rPr>
          <w:lang w:val="fr-FR"/>
        </w:rPr>
        <w:t>aux</w:t>
      </w:r>
      <w:r w:rsidRPr="00976C24">
        <w:rPr>
          <w:lang w:val="fr-FR"/>
        </w:rPr>
        <w:t xml:space="preserve"> activités multiculturelles depuis la célébration de l’Année de la diversité culturelle.</w:t>
      </w:r>
      <w:r>
        <w:rPr>
          <w:lang w:val="fr-FR"/>
        </w:rPr>
        <w:t xml:space="preserve"> U</w:t>
      </w:r>
      <w:r w:rsidRPr="00976C24">
        <w:rPr>
          <w:lang w:val="fr-FR"/>
        </w:rPr>
        <w:t xml:space="preserve">n projet </w:t>
      </w:r>
      <w:r>
        <w:rPr>
          <w:lang w:val="fr-FR"/>
        </w:rPr>
        <w:t>de recherche-</w:t>
      </w:r>
      <w:r w:rsidRPr="00976C24">
        <w:rPr>
          <w:lang w:val="fr-FR"/>
        </w:rPr>
        <w:t xml:space="preserve">développement a </w:t>
      </w:r>
      <w:r>
        <w:rPr>
          <w:lang w:val="fr-FR"/>
        </w:rPr>
        <w:t xml:space="preserve">également </w:t>
      </w:r>
      <w:r w:rsidRPr="00976C24">
        <w:rPr>
          <w:lang w:val="fr-FR"/>
        </w:rPr>
        <w:t xml:space="preserve">été lancé pour </w:t>
      </w:r>
      <w:r>
        <w:rPr>
          <w:lang w:val="fr-FR"/>
        </w:rPr>
        <w:t>faire le point sur</w:t>
      </w:r>
      <w:r w:rsidRPr="00976C24">
        <w:rPr>
          <w:lang w:val="fr-FR"/>
        </w:rPr>
        <w:t xml:space="preserve"> la planification, la mise en œuvre et les </w:t>
      </w:r>
      <w:r>
        <w:rPr>
          <w:lang w:val="fr-FR"/>
        </w:rPr>
        <w:t xml:space="preserve">retombées </w:t>
      </w:r>
      <w:r w:rsidRPr="00976C24">
        <w:rPr>
          <w:lang w:val="fr-FR"/>
        </w:rPr>
        <w:t xml:space="preserve">à court terme de </w:t>
      </w:r>
      <w:r>
        <w:rPr>
          <w:lang w:val="fr-FR"/>
        </w:rPr>
        <w:t xml:space="preserve">cette </w:t>
      </w:r>
      <w:r w:rsidRPr="00976C24">
        <w:rPr>
          <w:lang w:val="fr-FR"/>
        </w:rPr>
        <w:t xml:space="preserve">Année. Le projet sera </w:t>
      </w:r>
      <w:r>
        <w:rPr>
          <w:lang w:val="fr-FR"/>
        </w:rPr>
        <w:t>achevé</w:t>
      </w:r>
      <w:r w:rsidRPr="00976C24">
        <w:rPr>
          <w:lang w:val="fr-FR"/>
        </w:rPr>
        <w:t xml:space="preserve"> au printemps 2010.</w:t>
      </w:r>
    </w:p>
    <w:p w:rsidR="00903547" w:rsidRPr="00976C24" w:rsidRDefault="00903547" w:rsidP="006273F9">
      <w:pPr>
        <w:pStyle w:val="SingleTxtG"/>
        <w:rPr>
          <w:lang w:val="fr-FR"/>
        </w:rPr>
      </w:pPr>
      <w:r>
        <w:rPr>
          <w:lang w:val="fr-FR"/>
        </w:rPr>
        <w:t>482.</w:t>
      </w:r>
      <w:r>
        <w:rPr>
          <w:lang w:val="fr-FR"/>
        </w:rPr>
        <w:tab/>
      </w:r>
      <w:r w:rsidRPr="00976C24">
        <w:rPr>
          <w:lang w:val="fr-FR"/>
        </w:rPr>
        <w:t>Le</w:t>
      </w:r>
      <w:r>
        <w:rPr>
          <w:lang w:val="fr-FR"/>
        </w:rPr>
        <w:t>s bases</w:t>
      </w:r>
      <w:r w:rsidRPr="00976C24">
        <w:rPr>
          <w:lang w:val="fr-FR"/>
        </w:rPr>
        <w:t xml:space="preserve"> d’une nouvelle politique linguistique globale </w:t>
      </w:r>
      <w:r>
        <w:rPr>
          <w:lang w:val="fr-FR"/>
        </w:rPr>
        <w:t>ont</w:t>
      </w:r>
      <w:r w:rsidRPr="00976C24">
        <w:rPr>
          <w:lang w:val="fr-FR"/>
        </w:rPr>
        <w:t xml:space="preserve"> été défini</w:t>
      </w:r>
      <w:r>
        <w:rPr>
          <w:lang w:val="fr-FR"/>
        </w:rPr>
        <w:t>es</w:t>
      </w:r>
      <w:r w:rsidRPr="00976C24">
        <w:rPr>
          <w:lang w:val="fr-FR"/>
        </w:rPr>
        <w:t xml:space="preserve"> dans un livre blanc présenté par le Gouvernement en 2008. La protection et la promotion de la langue sami et des langues des minorités nationales feront partie intégrante de cette politique</w:t>
      </w:r>
      <w:r>
        <w:rPr>
          <w:lang w:val="fr-FR"/>
        </w:rPr>
        <w:t xml:space="preserve"> et </w:t>
      </w:r>
      <w:r w:rsidRPr="00976C24">
        <w:rPr>
          <w:lang w:val="fr-FR"/>
        </w:rPr>
        <w:t>s’appliquer</w:t>
      </w:r>
      <w:r>
        <w:rPr>
          <w:lang w:val="fr-FR"/>
        </w:rPr>
        <w:t>ont</w:t>
      </w:r>
      <w:r w:rsidRPr="00976C24">
        <w:rPr>
          <w:lang w:val="fr-FR"/>
        </w:rPr>
        <w:t xml:space="preserve"> également à la langue des signes</w:t>
      </w:r>
      <w:r>
        <w:rPr>
          <w:lang w:val="fr-FR"/>
        </w:rPr>
        <w:t>,</w:t>
      </w:r>
      <w:r w:rsidRPr="00976C24">
        <w:rPr>
          <w:lang w:val="fr-FR"/>
        </w:rPr>
        <w:t xml:space="preserve"> officiellement reconnue comme une langue à part entière de plein droit dans le livre blanc. La nouvelle politique </w:t>
      </w:r>
      <w:r>
        <w:rPr>
          <w:lang w:val="fr-FR"/>
        </w:rPr>
        <w:t>prendra en considération l</w:t>
      </w:r>
      <w:r w:rsidRPr="00976C24">
        <w:rPr>
          <w:lang w:val="fr-FR"/>
        </w:rPr>
        <w:t xml:space="preserve">es groupes de Norvégiens </w:t>
      </w:r>
      <w:r>
        <w:rPr>
          <w:lang w:val="fr-FR"/>
        </w:rPr>
        <w:t>qui ont</w:t>
      </w:r>
      <w:r w:rsidRPr="00976C24">
        <w:rPr>
          <w:lang w:val="fr-FR"/>
        </w:rPr>
        <w:t xml:space="preserve"> une identité multilingu</w:t>
      </w:r>
      <w:r>
        <w:rPr>
          <w:lang w:val="fr-FR"/>
        </w:rPr>
        <w:t>e</w:t>
      </w:r>
      <w:r w:rsidRPr="00976C24">
        <w:rPr>
          <w:lang w:val="fr-FR"/>
        </w:rPr>
        <w:t xml:space="preserve"> en raison d’une immigration récente. </w:t>
      </w:r>
    </w:p>
    <w:p w:rsidR="00903547" w:rsidRPr="00976C24" w:rsidRDefault="00903547" w:rsidP="006273F9">
      <w:pPr>
        <w:pStyle w:val="SingleTxtG"/>
        <w:rPr>
          <w:lang w:val="fr-FR"/>
        </w:rPr>
      </w:pPr>
      <w:r>
        <w:rPr>
          <w:lang w:val="fr-FR"/>
        </w:rPr>
        <w:t>483.</w:t>
      </w:r>
      <w:r>
        <w:rPr>
          <w:lang w:val="fr-FR"/>
        </w:rPr>
        <w:tab/>
      </w:r>
      <w:r w:rsidRPr="00976C24">
        <w:rPr>
          <w:lang w:val="fr-FR"/>
        </w:rPr>
        <w:t>En 2009, plus de 630 communautés religieuses ou philosophiques comptant quelque 430</w:t>
      </w:r>
      <w:r>
        <w:rPr>
          <w:lang w:val="fr-FR"/>
        </w:rPr>
        <w:t> </w:t>
      </w:r>
      <w:r w:rsidRPr="00976C24">
        <w:rPr>
          <w:lang w:val="fr-FR"/>
        </w:rPr>
        <w:t>000 membres ont bénéficié de subventions de l’</w:t>
      </w:r>
      <w:r>
        <w:rPr>
          <w:lang w:val="fr-FR"/>
        </w:rPr>
        <w:t>État</w:t>
      </w:r>
      <w:r w:rsidRPr="00976C24">
        <w:rPr>
          <w:lang w:val="fr-FR"/>
        </w:rPr>
        <w:t xml:space="preserve"> et des municipalités. Au total, les </w:t>
      </w:r>
      <w:r>
        <w:rPr>
          <w:lang w:val="fr-FR"/>
        </w:rPr>
        <w:t>montants alloués par</w:t>
      </w:r>
      <w:r w:rsidRPr="00976C24">
        <w:rPr>
          <w:lang w:val="fr-FR"/>
        </w:rPr>
        <w:t xml:space="preserve"> l’</w:t>
      </w:r>
      <w:r>
        <w:rPr>
          <w:lang w:val="fr-FR"/>
        </w:rPr>
        <w:t>État</w:t>
      </w:r>
      <w:r w:rsidRPr="00976C24">
        <w:rPr>
          <w:lang w:val="fr-FR"/>
        </w:rPr>
        <w:t xml:space="preserve"> à ces communautés </w:t>
      </w:r>
      <w:r>
        <w:rPr>
          <w:lang w:val="fr-FR"/>
        </w:rPr>
        <w:t>ont atteint</w:t>
      </w:r>
      <w:r w:rsidRPr="00976C24">
        <w:rPr>
          <w:lang w:val="fr-FR"/>
        </w:rPr>
        <w:t xml:space="preserve"> environ 160</w:t>
      </w:r>
      <w:r>
        <w:rPr>
          <w:lang w:val="fr-FR"/>
        </w:rPr>
        <w:t> </w:t>
      </w:r>
      <w:r w:rsidRPr="00976C24">
        <w:rPr>
          <w:lang w:val="fr-FR"/>
        </w:rPr>
        <w:t>millions de couronnes en 2009</w:t>
      </w:r>
      <w:r>
        <w:rPr>
          <w:lang w:val="fr-FR"/>
        </w:rPr>
        <w:t>, soit l’équivalent des aides municipales</w:t>
      </w:r>
      <w:r w:rsidRPr="00976C24">
        <w:rPr>
          <w:lang w:val="fr-FR"/>
        </w:rPr>
        <w:t>.</w:t>
      </w:r>
    </w:p>
    <w:p w:rsidR="00903547" w:rsidRPr="00976C24" w:rsidRDefault="00903547" w:rsidP="0071086E">
      <w:pPr>
        <w:pStyle w:val="H23G"/>
        <w:ind w:firstLine="0"/>
        <w:rPr>
          <w:lang w:val="fr-FR"/>
        </w:rPr>
      </w:pPr>
      <w:bookmarkStart w:id="88" w:name="_Toc286326398"/>
      <w:r w:rsidRPr="00976C24">
        <w:rPr>
          <w:lang w:val="fr-FR"/>
        </w:rPr>
        <w:t>Minorités nationales</w:t>
      </w:r>
      <w:bookmarkEnd w:id="88"/>
    </w:p>
    <w:p w:rsidR="00903547" w:rsidRPr="00976C24" w:rsidRDefault="00903547" w:rsidP="006273F9">
      <w:pPr>
        <w:pStyle w:val="SingleTxtG"/>
        <w:rPr>
          <w:lang w:val="fr-FR"/>
        </w:rPr>
      </w:pPr>
      <w:r>
        <w:rPr>
          <w:lang w:val="fr-FR"/>
        </w:rPr>
        <w:t>484.</w:t>
      </w:r>
      <w:r>
        <w:rPr>
          <w:lang w:val="fr-FR"/>
        </w:rPr>
        <w:tab/>
        <w:t>Pour donner suite à</w:t>
      </w:r>
      <w:r w:rsidRPr="00976C24">
        <w:rPr>
          <w:lang w:val="fr-FR"/>
        </w:rPr>
        <w:t xml:space="preserve"> la Convention-cadre du Conseil de l’Europe pour la protection des minorités nationales, </w:t>
      </w:r>
      <w:r>
        <w:rPr>
          <w:lang w:val="fr-FR"/>
        </w:rPr>
        <w:t xml:space="preserve">la Norvège a mis en place </w:t>
      </w:r>
      <w:r w:rsidRPr="00976C24">
        <w:rPr>
          <w:lang w:val="fr-FR"/>
        </w:rPr>
        <w:t xml:space="preserve">un programme </w:t>
      </w:r>
      <w:r>
        <w:rPr>
          <w:lang w:val="fr-FR"/>
        </w:rPr>
        <w:t xml:space="preserve">spécial </w:t>
      </w:r>
      <w:r w:rsidRPr="00976C24">
        <w:rPr>
          <w:lang w:val="fr-FR"/>
        </w:rPr>
        <w:t xml:space="preserve">de subvention </w:t>
      </w:r>
      <w:r>
        <w:rPr>
          <w:lang w:val="fr-FR"/>
        </w:rPr>
        <w:t xml:space="preserve">en leur faveur </w:t>
      </w:r>
      <w:r w:rsidRPr="00976C24">
        <w:rPr>
          <w:lang w:val="fr-FR"/>
        </w:rPr>
        <w:t>(Juifs, Kvens, Roms et</w:t>
      </w:r>
      <w:r>
        <w:rPr>
          <w:lang w:val="fr-FR"/>
        </w:rPr>
        <w:t xml:space="preserve"> Romani/Tater</w:t>
      </w:r>
      <w:r w:rsidRPr="00976C24">
        <w:rPr>
          <w:lang w:val="fr-FR"/>
        </w:rPr>
        <w:t xml:space="preserve"> et Finlandais des forêts).</w:t>
      </w:r>
    </w:p>
    <w:p w:rsidR="00903547" w:rsidRPr="00976C24" w:rsidRDefault="00903547" w:rsidP="006273F9">
      <w:pPr>
        <w:pStyle w:val="SingleTxtG"/>
        <w:rPr>
          <w:lang w:val="fr-FR"/>
        </w:rPr>
      </w:pPr>
      <w:r>
        <w:rPr>
          <w:lang w:val="fr-FR"/>
        </w:rPr>
        <w:t>485.</w:t>
      </w:r>
      <w:r>
        <w:rPr>
          <w:lang w:val="fr-FR"/>
        </w:rPr>
        <w:tab/>
      </w:r>
      <w:r w:rsidRPr="00976C24">
        <w:rPr>
          <w:lang w:val="fr-FR"/>
        </w:rPr>
        <w:t xml:space="preserve">L’aide financière est </w:t>
      </w:r>
      <w:r>
        <w:rPr>
          <w:lang w:val="fr-FR"/>
        </w:rPr>
        <w:t>destinée à</w:t>
      </w:r>
      <w:r w:rsidRPr="00976C24">
        <w:rPr>
          <w:lang w:val="fr-FR"/>
        </w:rPr>
        <w:t xml:space="preserve"> </w:t>
      </w:r>
      <w:r>
        <w:rPr>
          <w:lang w:val="fr-FR"/>
        </w:rPr>
        <w:t xml:space="preserve">des actions encourageant la </w:t>
      </w:r>
      <w:r w:rsidRPr="00976C24">
        <w:rPr>
          <w:lang w:val="fr-FR"/>
        </w:rPr>
        <w:t>participation active à la société, des mesures de lutte contre la discrimination</w:t>
      </w:r>
      <w:r>
        <w:rPr>
          <w:lang w:val="fr-FR"/>
        </w:rPr>
        <w:t>, ainsi que</w:t>
      </w:r>
      <w:r w:rsidRPr="00976C24">
        <w:rPr>
          <w:lang w:val="fr-FR"/>
        </w:rPr>
        <w:t xml:space="preserve"> l’auto-organisation et la défense de l’identité et de la culture</w:t>
      </w:r>
      <w:r>
        <w:rPr>
          <w:lang w:val="fr-FR"/>
        </w:rPr>
        <w:t xml:space="preserve">; elle </w:t>
      </w:r>
      <w:r w:rsidRPr="00976C24">
        <w:rPr>
          <w:lang w:val="fr-FR"/>
        </w:rPr>
        <w:t>peut être demandé</w:t>
      </w:r>
      <w:r>
        <w:rPr>
          <w:lang w:val="fr-FR"/>
        </w:rPr>
        <w:t>e</w:t>
      </w:r>
      <w:r w:rsidRPr="00976C24">
        <w:rPr>
          <w:lang w:val="fr-FR"/>
        </w:rPr>
        <w:t xml:space="preserve"> par des organisations bénévoles et des autorités régionales.</w:t>
      </w:r>
    </w:p>
    <w:p w:rsidR="00903547" w:rsidRPr="00976C24" w:rsidRDefault="00903547" w:rsidP="006273F9">
      <w:pPr>
        <w:pStyle w:val="SingleTxtG"/>
        <w:rPr>
          <w:lang w:val="fr-FR"/>
        </w:rPr>
      </w:pPr>
      <w:r>
        <w:rPr>
          <w:lang w:val="fr-FR"/>
        </w:rPr>
        <w:t>486.</w:t>
      </w:r>
      <w:r>
        <w:rPr>
          <w:lang w:val="fr-FR"/>
        </w:rPr>
        <w:tab/>
      </w:r>
      <w:r w:rsidRPr="00976C24">
        <w:rPr>
          <w:lang w:val="fr-FR"/>
        </w:rPr>
        <w:t xml:space="preserve">Ces dernières années, les autorités norvégiennes se sont employées à élaborer une politique inclusive en faveur des minorités nationales du pays. Le Forum de contact entre les minorités nationales et les autorités a été établi en 2003 pour garantir le droit à une </w:t>
      </w:r>
      <w:r>
        <w:rPr>
          <w:lang w:val="fr-FR"/>
        </w:rPr>
        <w:t>participation effective (art. </w:t>
      </w:r>
      <w:r w:rsidRPr="00976C24">
        <w:rPr>
          <w:lang w:val="fr-FR"/>
        </w:rPr>
        <w:t xml:space="preserve">15 de la Convention-cadre du Conseil de l’Europe pour la protection des minorités nationales). Du fait des différents intérêts représentés au sein des minorités nationales, le dialogue </w:t>
      </w:r>
      <w:r>
        <w:rPr>
          <w:lang w:val="fr-FR"/>
        </w:rPr>
        <w:t xml:space="preserve">engagé </w:t>
      </w:r>
      <w:r w:rsidRPr="00976C24">
        <w:rPr>
          <w:lang w:val="fr-FR"/>
        </w:rPr>
        <w:t>au sein du Forum</w:t>
      </w:r>
      <w:r>
        <w:rPr>
          <w:lang w:val="fr-FR"/>
        </w:rPr>
        <w:t xml:space="preserve"> bénéficie difficilement à</w:t>
      </w:r>
      <w:r w:rsidRPr="00976C24">
        <w:rPr>
          <w:lang w:val="fr-FR"/>
        </w:rPr>
        <w:t xml:space="preserve"> tous les groupes. Certains </w:t>
      </w:r>
      <w:r>
        <w:rPr>
          <w:lang w:val="fr-FR"/>
        </w:rPr>
        <w:t>thèmes</w:t>
      </w:r>
      <w:r w:rsidRPr="00976C24">
        <w:rPr>
          <w:lang w:val="fr-FR"/>
        </w:rPr>
        <w:t xml:space="preserve"> </w:t>
      </w:r>
      <w:r>
        <w:rPr>
          <w:lang w:val="fr-FR"/>
        </w:rPr>
        <w:t>relèvent davantage d’</w:t>
      </w:r>
      <w:r w:rsidRPr="00976C24">
        <w:rPr>
          <w:lang w:val="fr-FR"/>
        </w:rPr>
        <w:t xml:space="preserve">un dialogue bilatéral entre le groupe minoritaire et les pouvoirs publics. </w:t>
      </w:r>
    </w:p>
    <w:p w:rsidR="00903547" w:rsidRPr="00976C24" w:rsidRDefault="00903547" w:rsidP="006273F9">
      <w:pPr>
        <w:pStyle w:val="SingleTxtG"/>
        <w:rPr>
          <w:lang w:val="fr-FR"/>
        </w:rPr>
      </w:pPr>
      <w:r>
        <w:rPr>
          <w:lang w:val="fr-FR"/>
        </w:rPr>
        <w:t>487.</w:t>
      </w:r>
      <w:r>
        <w:rPr>
          <w:lang w:val="fr-FR"/>
        </w:rPr>
        <w:tab/>
        <w:t>Concernant</w:t>
      </w:r>
      <w:r w:rsidRPr="00976C24">
        <w:rPr>
          <w:lang w:val="fr-FR"/>
        </w:rPr>
        <w:t xml:space="preserve"> la situation des </w:t>
      </w:r>
      <w:r>
        <w:rPr>
          <w:lang w:val="fr-FR"/>
        </w:rPr>
        <w:t>différentes minorités nationales en Norvège</w:t>
      </w:r>
      <w:r w:rsidRPr="00976C24">
        <w:rPr>
          <w:lang w:val="fr-FR"/>
        </w:rPr>
        <w:t xml:space="preserve">: </w:t>
      </w:r>
    </w:p>
    <w:p w:rsidR="00903547" w:rsidRPr="00976C24" w:rsidRDefault="00903547" w:rsidP="0071086E">
      <w:pPr>
        <w:pStyle w:val="Bullet1G"/>
        <w:numPr>
          <w:ilvl w:val="0"/>
          <w:numId w:val="3"/>
        </w:numPr>
        <w:rPr>
          <w:lang w:val="fr-FR"/>
        </w:rPr>
      </w:pPr>
      <w:r>
        <w:rPr>
          <w:lang w:val="fr-FR"/>
        </w:rPr>
        <w:t>Culture kven</w:t>
      </w:r>
      <w:r w:rsidRPr="00976C24">
        <w:rPr>
          <w:lang w:val="fr-FR"/>
        </w:rPr>
        <w:t>: le Comité pourra se reporter au</w:t>
      </w:r>
      <w:r>
        <w:rPr>
          <w:lang w:val="fr-FR"/>
        </w:rPr>
        <w:t xml:space="preserve">x paragraphes 298 à </w:t>
      </w:r>
      <w:r w:rsidRPr="00976C24">
        <w:rPr>
          <w:lang w:val="fr-FR"/>
        </w:rPr>
        <w:t>303</w:t>
      </w:r>
      <w:r>
        <w:rPr>
          <w:lang w:val="fr-FR"/>
        </w:rPr>
        <w:t xml:space="preserve"> du </w:t>
      </w:r>
      <w:r w:rsidRPr="00976C24">
        <w:rPr>
          <w:lang w:val="fr-FR"/>
        </w:rPr>
        <w:t>sixième rapport soumis au Comité des droits de l’homme</w:t>
      </w:r>
      <w:r>
        <w:rPr>
          <w:lang w:val="fr-FR"/>
        </w:rPr>
        <w:t xml:space="preserve"> en vertu du Pacte international relatif aux droits civils et politiques;</w:t>
      </w:r>
    </w:p>
    <w:p w:rsidR="00903547" w:rsidRPr="00976C24" w:rsidRDefault="00903547" w:rsidP="0071086E">
      <w:pPr>
        <w:pStyle w:val="Bullet1G"/>
        <w:numPr>
          <w:ilvl w:val="0"/>
          <w:numId w:val="3"/>
        </w:numPr>
        <w:rPr>
          <w:lang w:val="fr-FR"/>
        </w:rPr>
      </w:pPr>
      <w:r w:rsidRPr="00976C24">
        <w:rPr>
          <w:lang w:val="fr-FR"/>
        </w:rPr>
        <w:t>Situation des Roms</w:t>
      </w:r>
      <w:r>
        <w:rPr>
          <w:lang w:val="fr-FR"/>
        </w:rPr>
        <w:t>:</w:t>
      </w:r>
      <w:r w:rsidRPr="00976C24">
        <w:rPr>
          <w:lang w:val="fr-FR"/>
        </w:rPr>
        <w:t xml:space="preserve"> le Comité pourra se reporter au</w:t>
      </w:r>
      <w:r>
        <w:rPr>
          <w:lang w:val="fr-FR"/>
        </w:rPr>
        <w:t xml:space="preserve">x paragraphes 304 à </w:t>
      </w:r>
      <w:r w:rsidRPr="00976C24">
        <w:rPr>
          <w:lang w:val="fr-FR"/>
        </w:rPr>
        <w:t xml:space="preserve">307 </w:t>
      </w:r>
      <w:r>
        <w:rPr>
          <w:lang w:val="fr-FR"/>
        </w:rPr>
        <w:t xml:space="preserve">du </w:t>
      </w:r>
      <w:r w:rsidRPr="00976C24">
        <w:rPr>
          <w:lang w:val="fr-FR"/>
        </w:rPr>
        <w:t xml:space="preserve">rapport soumis par la Norvège en vertu du </w:t>
      </w:r>
      <w:r>
        <w:rPr>
          <w:lang w:val="fr-FR"/>
        </w:rPr>
        <w:t>Pacte international relatif</w:t>
      </w:r>
      <w:r w:rsidRPr="00976C24">
        <w:rPr>
          <w:lang w:val="fr-FR"/>
        </w:rPr>
        <w:t xml:space="preserve"> aux droits civils et politiques</w:t>
      </w:r>
      <w:r>
        <w:rPr>
          <w:lang w:val="fr-FR"/>
        </w:rPr>
        <w:t>; le rapport indique que</w:t>
      </w:r>
      <w:r w:rsidRPr="00976C24">
        <w:rPr>
          <w:lang w:val="fr-FR"/>
        </w:rPr>
        <w:t xml:space="preserve"> le Gouvernement a présenté </w:t>
      </w:r>
      <w:r>
        <w:rPr>
          <w:lang w:val="fr-FR"/>
        </w:rPr>
        <w:t xml:space="preserve">en 2009 </w:t>
      </w:r>
      <w:r w:rsidRPr="00976C24">
        <w:rPr>
          <w:lang w:val="fr-FR"/>
        </w:rPr>
        <w:t>un plan d’action</w:t>
      </w:r>
      <w:r>
        <w:rPr>
          <w:lang w:val="fr-FR"/>
        </w:rPr>
        <w:t xml:space="preserve"> qui vise à</w:t>
      </w:r>
      <w:r w:rsidRPr="00976C24">
        <w:rPr>
          <w:lang w:val="fr-FR"/>
        </w:rPr>
        <w:t xml:space="preserve"> améliorer les cond</w:t>
      </w:r>
      <w:r>
        <w:rPr>
          <w:lang w:val="fr-FR"/>
        </w:rPr>
        <w:t>itions d</w:t>
      </w:r>
      <w:r w:rsidRPr="00976C24">
        <w:rPr>
          <w:lang w:val="fr-FR"/>
        </w:rPr>
        <w:t xml:space="preserve">e vie des Roms </w:t>
      </w:r>
      <w:r>
        <w:rPr>
          <w:lang w:val="fr-FR"/>
        </w:rPr>
        <w:t>de</w:t>
      </w:r>
      <w:r w:rsidRPr="00976C24">
        <w:rPr>
          <w:lang w:val="fr-FR"/>
        </w:rPr>
        <w:t xml:space="preserve"> nationalité norvégienne à Oslo. Le plan prévoyait notamment d’établir un organe consultatif pour les Roms</w:t>
      </w:r>
      <w:r>
        <w:rPr>
          <w:lang w:val="fr-FR"/>
        </w:rPr>
        <w:t>, composé de représentants</w:t>
      </w:r>
      <w:r w:rsidRPr="00976C24">
        <w:rPr>
          <w:lang w:val="fr-FR"/>
        </w:rPr>
        <w:t xml:space="preserve"> des Roms </w:t>
      </w:r>
      <w:r>
        <w:rPr>
          <w:lang w:val="fr-FR"/>
        </w:rPr>
        <w:t>et des autorités norvégiennes</w:t>
      </w:r>
      <w:r w:rsidRPr="00976C24">
        <w:rPr>
          <w:lang w:val="fr-FR"/>
        </w:rPr>
        <w:t>. L’organe consultatif s’est réuni pour l</w:t>
      </w:r>
      <w:r>
        <w:rPr>
          <w:lang w:val="fr-FR"/>
        </w:rPr>
        <w:t>a première fois le 8 avril 2010;</w:t>
      </w:r>
    </w:p>
    <w:p w:rsidR="00903547" w:rsidRPr="00976C24" w:rsidRDefault="00903547" w:rsidP="0071086E">
      <w:pPr>
        <w:pStyle w:val="Bullet1G"/>
        <w:numPr>
          <w:ilvl w:val="0"/>
          <w:numId w:val="3"/>
        </w:numPr>
        <w:rPr>
          <w:lang w:val="fr-FR"/>
        </w:rPr>
      </w:pPr>
      <w:r w:rsidRPr="00976C24">
        <w:rPr>
          <w:lang w:val="fr-FR"/>
        </w:rPr>
        <w:t>Situation des Romanis/Tater</w:t>
      </w:r>
      <w:r>
        <w:rPr>
          <w:lang w:val="fr-FR"/>
        </w:rPr>
        <w:t>:</w:t>
      </w:r>
      <w:r w:rsidRPr="00976C24">
        <w:rPr>
          <w:lang w:val="fr-FR"/>
        </w:rPr>
        <w:t xml:space="preserve"> le Comité pourra </w:t>
      </w:r>
      <w:r>
        <w:rPr>
          <w:lang w:val="fr-FR"/>
        </w:rPr>
        <w:t xml:space="preserve">se reporter aux paragraphes 308 à </w:t>
      </w:r>
      <w:r w:rsidRPr="00976C24">
        <w:rPr>
          <w:lang w:val="fr-FR"/>
        </w:rPr>
        <w:t xml:space="preserve">310 du rapport soumis en vertu du </w:t>
      </w:r>
      <w:r>
        <w:rPr>
          <w:lang w:val="fr-FR"/>
        </w:rPr>
        <w:t>Pacte international relatif</w:t>
      </w:r>
      <w:r w:rsidRPr="00976C24">
        <w:rPr>
          <w:lang w:val="fr-FR"/>
        </w:rPr>
        <w:t xml:space="preserve"> </w:t>
      </w:r>
      <w:r>
        <w:rPr>
          <w:lang w:val="fr-FR"/>
        </w:rPr>
        <w:t>aux droits civils et politiques;</w:t>
      </w:r>
    </w:p>
    <w:p w:rsidR="00903547" w:rsidRPr="00976C24" w:rsidRDefault="00903547" w:rsidP="0071086E">
      <w:pPr>
        <w:pStyle w:val="Bullet1G"/>
        <w:numPr>
          <w:ilvl w:val="0"/>
          <w:numId w:val="3"/>
        </w:numPr>
        <w:rPr>
          <w:lang w:val="fr-FR"/>
        </w:rPr>
      </w:pPr>
      <w:r w:rsidRPr="00976C24">
        <w:rPr>
          <w:lang w:val="fr-FR"/>
        </w:rPr>
        <w:t>Situation des Juifs</w:t>
      </w:r>
      <w:r>
        <w:rPr>
          <w:lang w:val="fr-FR"/>
        </w:rPr>
        <w:t>:</w:t>
      </w:r>
      <w:r w:rsidRPr="00976C24">
        <w:rPr>
          <w:lang w:val="fr-FR"/>
        </w:rPr>
        <w:t xml:space="preserve"> le Comité pourra </w:t>
      </w:r>
      <w:r>
        <w:rPr>
          <w:lang w:val="fr-FR"/>
        </w:rPr>
        <w:t xml:space="preserve">se référer au </w:t>
      </w:r>
      <w:r w:rsidRPr="00976C24">
        <w:rPr>
          <w:lang w:val="fr-FR"/>
        </w:rPr>
        <w:t>paragraphe 311</w:t>
      </w:r>
      <w:r>
        <w:rPr>
          <w:lang w:val="fr-FR"/>
        </w:rPr>
        <w:t xml:space="preserve"> du rapport</w:t>
      </w:r>
      <w:r w:rsidRPr="00976C24">
        <w:rPr>
          <w:lang w:val="fr-FR"/>
        </w:rPr>
        <w:t xml:space="preserve"> soumis en vertu du </w:t>
      </w:r>
      <w:r>
        <w:rPr>
          <w:lang w:val="fr-FR"/>
        </w:rPr>
        <w:t>Pacte international relatif</w:t>
      </w:r>
      <w:r w:rsidRPr="00976C24">
        <w:rPr>
          <w:lang w:val="fr-FR"/>
        </w:rPr>
        <w:t xml:space="preserve"> </w:t>
      </w:r>
      <w:r>
        <w:rPr>
          <w:lang w:val="fr-FR"/>
        </w:rPr>
        <w:t>aux droits civils et politiques;</w:t>
      </w:r>
    </w:p>
    <w:p w:rsidR="00903547" w:rsidRPr="00976C24" w:rsidRDefault="00903547" w:rsidP="0071086E">
      <w:pPr>
        <w:pStyle w:val="Bullet1G"/>
        <w:numPr>
          <w:ilvl w:val="0"/>
          <w:numId w:val="3"/>
        </w:numPr>
        <w:rPr>
          <w:lang w:val="fr-FR"/>
        </w:rPr>
      </w:pPr>
      <w:r w:rsidRPr="00976C24">
        <w:rPr>
          <w:lang w:val="fr-FR"/>
        </w:rPr>
        <w:t>Situation des Finlandais des forêts</w:t>
      </w:r>
      <w:r>
        <w:rPr>
          <w:lang w:val="fr-FR"/>
        </w:rPr>
        <w:t>:</w:t>
      </w:r>
      <w:r w:rsidRPr="00976C24">
        <w:rPr>
          <w:lang w:val="fr-FR"/>
        </w:rPr>
        <w:t xml:space="preserve"> le Comité pourra </w:t>
      </w:r>
      <w:r>
        <w:rPr>
          <w:lang w:val="fr-FR"/>
        </w:rPr>
        <w:t xml:space="preserve">se référer au </w:t>
      </w:r>
      <w:r w:rsidRPr="00976C24">
        <w:rPr>
          <w:lang w:val="fr-FR"/>
        </w:rPr>
        <w:t>paragraphe 312</w:t>
      </w:r>
      <w:r>
        <w:rPr>
          <w:lang w:val="fr-FR"/>
        </w:rPr>
        <w:t xml:space="preserve"> du rapport</w:t>
      </w:r>
      <w:r w:rsidRPr="00976C24">
        <w:rPr>
          <w:lang w:val="fr-FR"/>
        </w:rPr>
        <w:t xml:space="preserve"> soumis en vertu du </w:t>
      </w:r>
      <w:r>
        <w:rPr>
          <w:lang w:val="fr-FR"/>
        </w:rPr>
        <w:t>Pacte international relatif</w:t>
      </w:r>
      <w:r w:rsidRPr="00976C24">
        <w:rPr>
          <w:lang w:val="fr-FR"/>
        </w:rPr>
        <w:t xml:space="preserve"> </w:t>
      </w:r>
      <w:r>
        <w:rPr>
          <w:lang w:val="fr-FR"/>
        </w:rPr>
        <w:t>aux droits civils et politiques;</w:t>
      </w:r>
    </w:p>
    <w:p w:rsidR="00903547" w:rsidRPr="00976C24" w:rsidRDefault="00903547" w:rsidP="0071086E">
      <w:pPr>
        <w:pStyle w:val="Bullet1G"/>
        <w:numPr>
          <w:ilvl w:val="0"/>
          <w:numId w:val="3"/>
        </w:numPr>
        <w:rPr>
          <w:lang w:val="fr-FR"/>
        </w:rPr>
      </w:pPr>
      <w:r w:rsidRPr="00976C24">
        <w:rPr>
          <w:lang w:val="fr-FR"/>
        </w:rPr>
        <w:t>Centre d’étude de l’Holocauste</w:t>
      </w:r>
      <w:r>
        <w:rPr>
          <w:lang w:val="fr-FR"/>
        </w:rPr>
        <w:t>:</w:t>
      </w:r>
      <w:r w:rsidRPr="00976C24">
        <w:rPr>
          <w:lang w:val="fr-FR"/>
        </w:rPr>
        <w:t xml:space="preserve"> le Comité pourra </w:t>
      </w:r>
      <w:r>
        <w:rPr>
          <w:lang w:val="fr-FR"/>
        </w:rPr>
        <w:t xml:space="preserve">se référer au </w:t>
      </w:r>
      <w:r w:rsidRPr="00976C24">
        <w:rPr>
          <w:lang w:val="fr-FR"/>
        </w:rPr>
        <w:t>paragraphe 263</w:t>
      </w:r>
      <w:r>
        <w:rPr>
          <w:lang w:val="fr-FR"/>
        </w:rPr>
        <w:t xml:space="preserve"> du rapport</w:t>
      </w:r>
      <w:r w:rsidRPr="00976C24">
        <w:rPr>
          <w:lang w:val="fr-FR"/>
        </w:rPr>
        <w:t xml:space="preserve"> soumis au Comité pour l’éliminati</w:t>
      </w:r>
      <w:r>
        <w:rPr>
          <w:lang w:val="fr-FR"/>
        </w:rPr>
        <w:t>on de la discrimination raciale;</w:t>
      </w:r>
    </w:p>
    <w:p w:rsidR="00903547" w:rsidRPr="00976C24" w:rsidRDefault="00903547" w:rsidP="0071086E">
      <w:pPr>
        <w:pStyle w:val="Bullet1G"/>
        <w:numPr>
          <w:ilvl w:val="0"/>
          <w:numId w:val="3"/>
        </w:numPr>
        <w:rPr>
          <w:lang w:val="fr-FR"/>
        </w:rPr>
      </w:pPr>
      <w:r w:rsidRPr="00976C24">
        <w:rPr>
          <w:lang w:val="fr-FR"/>
        </w:rPr>
        <w:t>Mémorial de Falstad et centre des droits d</w:t>
      </w:r>
      <w:r>
        <w:rPr>
          <w:lang w:val="fr-FR"/>
        </w:rPr>
        <w:t>e</w:t>
      </w:r>
      <w:r w:rsidRPr="00976C24">
        <w:rPr>
          <w:lang w:val="fr-FR"/>
        </w:rPr>
        <w:t xml:space="preserve"> l’homme</w:t>
      </w:r>
      <w:r>
        <w:rPr>
          <w:lang w:val="fr-FR"/>
        </w:rPr>
        <w:t>:</w:t>
      </w:r>
      <w:r w:rsidRPr="00976C24">
        <w:rPr>
          <w:lang w:val="fr-FR"/>
        </w:rPr>
        <w:t xml:space="preserve"> le Comité pourra </w:t>
      </w:r>
      <w:r>
        <w:rPr>
          <w:lang w:val="fr-FR"/>
        </w:rPr>
        <w:t>se référer au paragraphe 264 du rapport</w:t>
      </w:r>
      <w:r w:rsidRPr="00976C24">
        <w:rPr>
          <w:lang w:val="fr-FR"/>
        </w:rPr>
        <w:t xml:space="preserve"> soumis au Comité pour l’éliminati</w:t>
      </w:r>
      <w:r>
        <w:rPr>
          <w:lang w:val="fr-FR"/>
        </w:rPr>
        <w:t>on de la discrimination raciale;</w:t>
      </w:r>
    </w:p>
    <w:p w:rsidR="00903547" w:rsidRPr="00976C24" w:rsidRDefault="00903547" w:rsidP="0071086E">
      <w:pPr>
        <w:pStyle w:val="Bullet1G"/>
        <w:numPr>
          <w:ilvl w:val="0"/>
          <w:numId w:val="3"/>
        </w:numPr>
        <w:rPr>
          <w:lang w:val="fr-FR"/>
        </w:rPr>
      </w:pPr>
      <w:r w:rsidRPr="00976C24">
        <w:rPr>
          <w:lang w:val="fr-FR"/>
        </w:rPr>
        <w:t xml:space="preserve">Mesures </w:t>
      </w:r>
      <w:r>
        <w:rPr>
          <w:lang w:val="fr-FR"/>
        </w:rPr>
        <w:t>ayant trait aux</w:t>
      </w:r>
      <w:r w:rsidRPr="00976C24">
        <w:rPr>
          <w:lang w:val="fr-FR"/>
        </w:rPr>
        <w:t xml:space="preserve"> médias ciblant les minorités en Norvège</w:t>
      </w:r>
      <w:r>
        <w:rPr>
          <w:lang w:val="fr-FR"/>
        </w:rPr>
        <w:t>:</w:t>
      </w:r>
      <w:r w:rsidRPr="00976C24">
        <w:rPr>
          <w:lang w:val="fr-FR"/>
        </w:rPr>
        <w:t xml:space="preserve"> le Comité pourra </w:t>
      </w:r>
      <w:r>
        <w:rPr>
          <w:lang w:val="fr-FR"/>
        </w:rPr>
        <w:t xml:space="preserve">se référer aux paragraphes 222 à </w:t>
      </w:r>
      <w:r w:rsidRPr="00976C24">
        <w:rPr>
          <w:lang w:val="fr-FR"/>
        </w:rPr>
        <w:t>228</w:t>
      </w:r>
      <w:r>
        <w:rPr>
          <w:lang w:val="fr-FR"/>
        </w:rPr>
        <w:t xml:space="preserve"> du rapport</w:t>
      </w:r>
      <w:r w:rsidRPr="00976C24">
        <w:rPr>
          <w:lang w:val="fr-FR"/>
        </w:rPr>
        <w:t xml:space="preserve"> soumis au Comité pour l’élimination de la discrimination raciale.</w:t>
      </w:r>
    </w:p>
    <w:p w:rsidR="00903547" w:rsidRPr="00976C24" w:rsidRDefault="00903547" w:rsidP="0071086E">
      <w:pPr>
        <w:pStyle w:val="H23G"/>
        <w:rPr>
          <w:lang w:val="fr-FR"/>
        </w:rPr>
      </w:pPr>
      <w:r w:rsidRPr="00976C24">
        <w:rPr>
          <w:lang w:val="fr-FR"/>
        </w:rPr>
        <w:tab/>
        <w:t>3.</w:t>
      </w:r>
      <w:r w:rsidRPr="00976C24">
        <w:rPr>
          <w:lang w:val="fr-FR"/>
        </w:rPr>
        <w:tab/>
        <w:t>Enseignement scolaire et professionnel dans le domaine de la culture et des arts (E/2009/22-E/C.12/2008/3, annexe VIII, par.</w:t>
      </w:r>
      <w:r>
        <w:rPr>
          <w:lang w:val="fr-FR"/>
        </w:rPr>
        <w:t> </w:t>
      </w:r>
      <w:r w:rsidRPr="00976C24">
        <w:rPr>
          <w:lang w:val="fr-FR"/>
        </w:rPr>
        <w:t>69)</w:t>
      </w:r>
    </w:p>
    <w:p w:rsidR="00903547" w:rsidRPr="00976C24" w:rsidRDefault="00903547" w:rsidP="006273F9">
      <w:pPr>
        <w:pStyle w:val="SingleTxtG"/>
        <w:rPr>
          <w:lang w:val="fr-FR"/>
        </w:rPr>
      </w:pPr>
      <w:r>
        <w:rPr>
          <w:lang w:val="fr-FR"/>
        </w:rPr>
        <w:t>488.</w:t>
      </w:r>
      <w:r>
        <w:rPr>
          <w:lang w:val="fr-FR"/>
        </w:rPr>
        <w:tab/>
      </w:r>
      <w:r w:rsidRPr="00976C24">
        <w:rPr>
          <w:lang w:val="fr-FR"/>
        </w:rPr>
        <w:t>Le programme de base de l’</w:t>
      </w:r>
      <w:r>
        <w:rPr>
          <w:lang w:val="fr-FR"/>
        </w:rPr>
        <w:t>éducation</w:t>
      </w:r>
      <w:r w:rsidRPr="00976C24">
        <w:rPr>
          <w:lang w:val="fr-FR"/>
        </w:rPr>
        <w:t xml:space="preserve"> primaire, secondaire et des adultes en Norvège </w:t>
      </w:r>
      <w:r>
        <w:rPr>
          <w:lang w:val="fr-FR"/>
        </w:rPr>
        <w:t>laisse une large place aux</w:t>
      </w:r>
      <w:r w:rsidRPr="00976C24">
        <w:rPr>
          <w:lang w:val="fr-FR"/>
        </w:rPr>
        <w:t xml:space="preserve"> compétences culturelles. Les écoles proposent ainsi plusieurs disciplines avec des objectifs de compétence</w:t>
      </w:r>
      <w:r>
        <w:rPr>
          <w:lang w:val="fr-FR"/>
        </w:rPr>
        <w:t>s</w:t>
      </w:r>
      <w:r w:rsidRPr="00976C24">
        <w:rPr>
          <w:lang w:val="fr-FR"/>
        </w:rPr>
        <w:t xml:space="preserve"> </w:t>
      </w:r>
      <w:r>
        <w:rPr>
          <w:lang w:val="fr-FR"/>
        </w:rPr>
        <w:t>en matière d’art</w:t>
      </w:r>
      <w:r w:rsidRPr="00976C24">
        <w:rPr>
          <w:lang w:val="fr-FR"/>
        </w:rPr>
        <w:t xml:space="preserve">, </w:t>
      </w:r>
      <w:r>
        <w:rPr>
          <w:lang w:val="fr-FR"/>
        </w:rPr>
        <w:t>de</w:t>
      </w:r>
      <w:r w:rsidRPr="00976C24">
        <w:rPr>
          <w:lang w:val="fr-FR"/>
        </w:rPr>
        <w:t xml:space="preserve"> culture et </w:t>
      </w:r>
      <w:r>
        <w:rPr>
          <w:lang w:val="fr-FR"/>
        </w:rPr>
        <w:t>d’esthétique</w:t>
      </w:r>
      <w:r w:rsidRPr="00976C24">
        <w:rPr>
          <w:lang w:val="fr-FR"/>
        </w:rPr>
        <w:t xml:space="preserve">. </w:t>
      </w:r>
    </w:p>
    <w:p w:rsidR="00903547" w:rsidRPr="00976C24" w:rsidRDefault="00903547" w:rsidP="006273F9">
      <w:pPr>
        <w:pStyle w:val="SingleTxtG"/>
        <w:rPr>
          <w:lang w:val="fr-FR"/>
        </w:rPr>
      </w:pPr>
      <w:r>
        <w:rPr>
          <w:lang w:val="fr-FR"/>
        </w:rPr>
        <w:t>489.</w:t>
      </w:r>
      <w:r>
        <w:rPr>
          <w:lang w:val="fr-FR"/>
        </w:rPr>
        <w:tab/>
        <w:t>Au niveau</w:t>
      </w:r>
      <w:r w:rsidRPr="00976C24">
        <w:rPr>
          <w:lang w:val="fr-FR"/>
        </w:rPr>
        <w:t xml:space="preserve"> du deuxième cycle d</w:t>
      </w:r>
      <w:r>
        <w:rPr>
          <w:lang w:val="fr-FR"/>
        </w:rPr>
        <w:t>’enseignement et de formation d</w:t>
      </w:r>
      <w:r w:rsidRPr="00976C24">
        <w:rPr>
          <w:lang w:val="fr-FR"/>
        </w:rPr>
        <w:t>u secondaire, l</w:t>
      </w:r>
      <w:r>
        <w:rPr>
          <w:lang w:val="fr-FR"/>
        </w:rPr>
        <w:t>e programme d’éducation en</w:t>
      </w:r>
      <w:r w:rsidRPr="00976C24">
        <w:rPr>
          <w:lang w:val="fr-FR"/>
        </w:rPr>
        <w:t xml:space="preserve"> musique, </w:t>
      </w:r>
      <w:r>
        <w:rPr>
          <w:lang w:val="fr-FR"/>
        </w:rPr>
        <w:t xml:space="preserve">danse et </w:t>
      </w:r>
      <w:r w:rsidRPr="00976C24">
        <w:rPr>
          <w:lang w:val="fr-FR"/>
        </w:rPr>
        <w:t xml:space="preserve">théâtre </w:t>
      </w:r>
      <w:r>
        <w:rPr>
          <w:lang w:val="fr-FR"/>
        </w:rPr>
        <w:t>représente l’une des trois</w:t>
      </w:r>
      <w:r w:rsidRPr="00976C24">
        <w:rPr>
          <w:lang w:val="fr-FR"/>
        </w:rPr>
        <w:t xml:space="preserve"> spécialisation</w:t>
      </w:r>
      <w:r>
        <w:rPr>
          <w:lang w:val="fr-FR"/>
        </w:rPr>
        <w:t>s</w:t>
      </w:r>
      <w:r w:rsidRPr="00976C24">
        <w:rPr>
          <w:lang w:val="fr-FR"/>
        </w:rPr>
        <w:t xml:space="preserve"> d</w:t>
      </w:r>
      <w:r>
        <w:rPr>
          <w:lang w:val="fr-FR"/>
        </w:rPr>
        <w:t>e</w:t>
      </w:r>
      <w:r w:rsidRPr="00976C24">
        <w:rPr>
          <w:lang w:val="fr-FR"/>
        </w:rPr>
        <w:t xml:space="preserve"> la filière générale. </w:t>
      </w:r>
      <w:r>
        <w:rPr>
          <w:lang w:val="fr-FR"/>
        </w:rPr>
        <w:t>I</w:t>
      </w:r>
      <w:r w:rsidRPr="00976C24">
        <w:rPr>
          <w:lang w:val="fr-FR"/>
        </w:rPr>
        <w:t>l est également possible de choisir des cours d’art, d’artisanat et de musique. En outre il existe une filière d’enseignement professionnel spécialisée dans l’esthétique industrielle et les métiers d’art.</w:t>
      </w:r>
    </w:p>
    <w:p w:rsidR="00903547" w:rsidRPr="00976C24" w:rsidRDefault="00903547" w:rsidP="006273F9">
      <w:pPr>
        <w:pStyle w:val="SingleTxtG"/>
        <w:rPr>
          <w:lang w:val="fr-FR"/>
        </w:rPr>
      </w:pPr>
      <w:r>
        <w:rPr>
          <w:lang w:val="fr-FR"/>
        </w:rPr>
        <w:t>490.</w:t>
      </w:r>
      <w:r>
        <w:rPr>
          <w:lang w:val="fr-FR"/>
        </w:rPr>
        <w:tab/>
      </w:r>
      <w:r w:rsidRPr="00976C24">
        <w:rPr>
          <w:lang w:val="fr-FR"/>
        </w:rPr>
        <w:t xml:space="preserve">La loi sur l’éducation </w:t>
      </w:r>
      <w:r>
        <w:rPr>
          <w:lang w:val="fr-FR"/>
        </w:rPr>
        <w:t>dispose</w:t>
      </w:r>
      <w:r w:rsidRPr="00976C24">
        <w:rPr>
          <w:lang w:val="fr-FR"/>
        </w:rPr>
        <w:t xml:space="preserve"> que toutes les municipalités, seules ou avec d’autres, doivent proposer des cours de musique et d’autres activités culturelles pour les enfants et les jeunes, organisés </w:t>
      </w:r>
      <w:r>
        <w:rPr>
          <w:lang w:val="fr-FR"/>
        </w:rPr>
        <w:t>conjointement</w:t>
      </w:r>
      <w:r w:rsidRPr="00976C24">
        <w:rPr>
          <w:lang w:val="fr-FR"/>
        </w:rPr>
        <w:t xml:space="preserve"> avec le</w:t>
      </w:r>
      <w:r>
        <w:rPr>
          <w:lang w:val="fr-FR"/>
        </w:rPr>
        <w:t>s établissements</w:t>
      </w:r>
      <w:r w:rsidRPr="00976C24">
        <w:rPr>
          <w:lang w:val="fr-FR"/>
        </w:rPr>
        <w:t xml:space="preserve"> scolaire</w:t>
      </w:r>
      <w:r>
        <w:rPr>
          <w:lang w:val="fr-FR"/>
        </w:rPr>
        <w:t>s</w:t>
      </w:r>
      <w:r w:rsidRPr="00976C24">
        <w:rPr>
          <w:lang w:val="fr-FR"/>
        </w:rPr>
        <w:t xml:space="preserve"> et la vie culturelle locale.</w:t>
      </w:r>
    </w:p>
    <w:p w:rsidR="00903547" w:rsidRPr="00976C24" w:rsidRDefault="00903547" w:rsidP="006273F9">
      <w:pPr>
        <w:pStyle w:val="SingleTxtG"/>
        <w:rPr>
          <w:lang w:val="fr-FR"/>
        </w:rPr>
      </w:pPr>
      <w:r>
        <w:rPr>
          <w:lang w:val="fr-FR"/>
        </w:rPr>
        <w:t>491.</w:t>
      </w:r>
      <w:r>
        <w:rPr>
          <w:lang w:val="fr-FR"/>
        </w:rPr>
        <w:tab/>
        <w:t>L</w:t>
      </w:r>
      <w:r w:rsidRPr="00976C24">
        <w:rPr>
          <w:lang w:val="fr-FR"/>
        </w:rPr>
        <w:t xml:space="preserve">es écoles municipales de musique et d’arts du spectacle jouent un rôle essentiel </w:t>
      </w:r>
      <w:r>
        <w:rPr>
          <w:lang w:val="fr-FR"/>
        </w:rPr>
        <w:t>au regard de</w:t>
      </w:r>
      <w:r w:rsidRPr="00976C24">
        <w:rPr>
          <w:lang w:val="fr-FR"/>
        </w:rPr>
        <w:t xml:space="preserve"> l’</w:t>
      </w:r>
      <w:r>
        <w:rPr>
          <w:lang w:val="fr-FR"/>
        </w:rPr>
        <w:t>éducation artistique et musicale des enfants et des</w:t>
      </w:r>
      <w:r w:rsidRPr="00976C24">
        <w:rPr>
          <w:lang w:val="fr-FR"/>
        </w:rPr>
        <w:t xml:space="preserve"> jeunes et renforce</w:t>
      </w:r>
      <w:r>
        <w:rPr>
          <w:lang w:val="fr-FR"/>
        </w:rPr>
        <w:t>nt</w:t>
      </w:r>
      <w:r w:rsidRPr="00976C24">
        <w:rPr>
          <w:lang w:val="fr-FR"/>
        </w:rPr>
        <w:t xml:space="preserve"> la compréhension interculturelle.</w:t>
      </w:r>
    </w:p>
    <w:p w:rsidR="00903547" w:rsidRPr="00976C24" w:rsidRDefault="00903547" w:rsidP="006273F9">
      <w:pPr>
        <w:pStyle w:val="SingleTxtG"/>
        <w:rPr>
          <w:lang w:val="fr-FR"/>
        </w:rPr>
      </w:pPr>
      <w:r>
        <w:rPr>
          <w:lang w:val="fr-FR"/>
        </w:rPr>
        <w:t>492.</w:t>
      </w:r>
      <w:r>
        <w:rPr>
          <w:lang w:val="fr-FR"/>
        </w:rPr>
        <w:tab/>
      </w:r>
      <w:r w:rsidRPr="00976C24">
        <w:rPr>
          <w:lang w:val="fr-FR"/>
        </w:rPr>
        <w:t>En 2007, le Ministère de l’éducation et de la recherche a lancé une stratégie nationale en faveur des arts et de la culture dans l’éducation pour la période 2007</w:t>
      </w:r>
      <w:r>
        <w:rPr>
          <w:lang w:val="fr-FR"/>
        </w:rPr>
        <w:t>-</w:t>
      </w:r>
      <w:r w:rsidRPr="00976C24">
        <w:rPr>
          <w:lang w:val="fr-FR"/>
        </w:rPr>
        <w:t xml:space="preserve">2010. L’objectif premier est de développer les compétences artistiques, culturelles, esthétiques et créatives des enfants et des élèves, </w:t>
      </w:r>
      <w:r>
        <w:rPr>
          <w:lang w:val="fr-FR"/>
        </w:rPr>
        <w:t>ainsi que</w:t>
      </w:r>
      <w:r w:rsidRPr="00976C24">
        <w:rPr>
          <w:lang w:val="fr-FR"/>
        </w:rPr>
        <w:t xml:space="preserve"> du personnel des maternelles, de l’enseignement primaire et secondaire</w:t>
      </w:r>
      <w:r>
        <w:rPr>
          <w:lang w:val="fr-FR"/>
        </w:rPr>
        <w:t>,</w:t>
      </w:r>
      <w:r w:rsidRPr="00976C24">
        <w:rPr>
          <w:lang w:val="fr-FR"/>
        </w:rPr>
        <w:t xml:space="preserve"> de la formation</w:t>
      </w:r>
      <w:r>
        <w:rPr>
          <w:lang w:val="fr-FR"/>
        </w:rPr>
        <w:t xml:space="preserve"> et</w:t>
      </w:r>
      <w:r w:rsidRPr="00976C24">
        <w:rPr>
          <w:lang w:val="fr-FR"/>
        </w:rPr>
        <w:t xml:space="preserve"> de l’enseignement supérieur. </w:t>
      </w:r>
      <w:r>
        <w:rPr>
          <w:lang w:val="fr-FR"/>
        </w:rPr>
        <w:t xml:space="preserve">Résolu à encourager </w:t>
      </w:r>
      <w:r w:rsidRPr="00976C24">
        <w:rPr>
          <w:lang w:val="fr-FR"/>
        </w:rPr>
        <w:t>les arts et la culture</w:t>
      </w:r>
      <w:r>
        <w:rPr>
          <w:lang w:val="fr-FR"/>
        </w:rPr>
        <w:t xml:space="preserve"> dans l’éducation, le Gouvernement a créé</w:t>
      </w:r>
      <w:r w:rsidRPr="00976C24">
        <w:rPr>
          <w:lang w:val="fr-FR"/>
        </w:rPr>
        <w:t xml:space="preserve"> </w:t>
      </w:r>
      <w:r>
        <w:rPr>
          <w:lang w:val="fr-FR"/>
        </w:rPr>
        <w:t xml:space="preserve">en 2007 </w:t>
      </w:r>
      <w:r w:rsidRPr="00976C24">
        <w:rPr>
          <w:lang w:val="fr-FR"/>
        </w:rPr>
        <w:t>le Centre norvégien pour les arts et la culture dans l’éducation</w:t>
      </w:r>
      <w:r>
        <w:rPr>
          <w:lang w:val="fr-FR"/>
        </w:rPr>
        <w:t>, qui joue le rôle de</w:t>
      </w:r>
      <w:r w:rsidRPr="00976C24">
        <w:rPr>
          <w:lang w:val="fr-FR"/>
        </w:rPr>
        <w:t xml:space="preserve"> centre de documentation</w:t>
      </w:r>
      <w:r>
        <w:rPr>
          <w:lang w:val="fr-FR"/>
        </w:rPr>
        <w:t xml:space="preserve"> national</w:t>
      </w:r>
      <w:r w:rsidRPr="00976C24">
        <w:rPr>
          <w:lang w:val="fr-FR"/>
        </w:rPr>
        <w:t>.</w:t>
      </w:r>
    </w:p>
    <w:p w:rsidR="00903547" w:rsidRPr="00976C24" w:rsidRDefault="00903547" w:rsidP="006273F9">
      <w:pPr>
        <w:pStyle w:val="SingleTxtG"/>
        <w:rPr>
          <w:lang w:val="fr-FR"/>
        </w:rPr>
      </w:pPr>
      <w:r>
        <w:rPr>
          <w:lang w:val="fr-FR"/>
        </w:rPr>
        <w:t>493.</w:t>
      </w:r>
      <w:r>
        <w:rPr>
          <w:lang w:val="fr-FR"/>
        </w:rPr>
        <w:tab/>
      </w:r>
      <w:r w:rsidRPr="00976C24">
        <w:rPr>
          <w:lang w:val="fr-FR"/>
        </w:rPr>
        <w:t xml:space="preserve">S’agissant de l’enseignement supérieur, certaines institutions proposent des programmes artistiques qui incluent des disciplines comme la danse, la musique, les beaux-arts et le théâtre. </w:t>
      </w:r>
    </w:p>
    <w:p w:rsidR="00903547" w:rsidRPr="00976C24" w:rsidRDefault="00903547" w:rsidP="0071086E">
      <w:pPr>
        <w:pStyle w:val="H23G"/>
        <w:rPr>
          <w:lang w:val="fr-FR"/>
        </w:rPr>
      </w:pPr>
      <w:r w:rsidRPr="00976C24">
        <w:rPr>
          <w:lang w:val="fr-FR"/>
        </w:rPr>
        <w:tab/>
        <w:t>4.</w:t>
      </w:r>
      <w:r w:rsidRPr="00976C24">
        <w:rPr>
          <w:lang w:val="fr-FR"/>
        </w:rPr>
        <w:tab/>
        <w:t>Mesures prises pour permettre à tous de bénéficier, à un coût abordable, du progrès scientifique et de ses applications et mesures prises pour empêcher que le progrès scientifique ne so</w:t>
      </w:r>
      <w:r>
        <w:rPr>
          <w:lang w:val="fr-FR"/>
        </w:rPr>
        <w:t>i</w:t>
      </w:r>
      <w:r w:rsidRPr="00976C24">
        <w:rPr>
          <w:lang w:val="fr-FR"/>
        </w:rPr>
        <w:t>t utilisé à des fins contraires à la dignité humaine et aux droits de l’homme (E/2009/22-E/C.12/2008/3, annexe VIII, par.</w:t>
      </w:r>
      <w:r>
        <w:rPr>
          <w:lang w:val="fr-FR"/>
        </w:rPr>
        <w:t> </w:t>
      </w:r>
      <w:r w:rsidRPr="00976C24">
        <w:rPr>
          <w:lang w:val="fr-FR"/>
        </w:rPr>
        <w:t>70)</w:t>
      </w:r>
    </w:p>
    <w:p w:rsidR="00903547" w:rsidRPr="00976C24" w:rsidRDefault="00903547" w:rsidP="006273F9">
      <w:pPr>
        <w:pStyle w:val="SingleTxtG"/>
        <w:rPr>
          <w:lang w:val="fr-FR"/>
        </w:rPr>
      </w:pPr>
      <w:r>
        <w:rPr>
          <w:lang w:val="fr-FR"/>
        </w:rPr>
        <w:t>494.</w:t>
      </w:r>
      <w:r>
        <w:rPr>
          <w:lang w:val="fr-FR"/>
        </w:rPr>
        <w:tab/>
      </w:r>
      <w:r w:rsidRPr="00976C24">
        <w:rPr>
          <w:lang w:val="fr-FR"/>
        </w:rPr>
        <w:t>Le</w:t>
      </w:r>
      <w:r>
        <w:rPr>
          <w:lang w:val="fr-FR"/>
        </w:rPr>
        <w:t>s pouvoirs publics s’emploient à promouvoir la plus large diffusion possible des</w:t>
      </w:r>
      <w:r w:rsidRPr="00976C24">
        <w:rPr>
          <w:lang w:val="fr-FR"/>
        </w:rPr>
        <w:t xml:space="preserve"> résultats des travaux de recherche, </w:t>
      </w:r>
      <w:r>
        <w:rPr>
          <w:lang w:val="fr-FR"/>
        </w:rPr>
        <w:t>dans</w:t>
      </w:r>
      <w:r w:rsidRPr="00976C24">
        <w:rPr>
          <w:lang w:val="fr-FR"/>
        </w:rPr>
        <w:t xml:space="preserve"> les limites fixées par les lois et les règlements et dans l</w:t>
      </w:r>
      <w:r>
        <w:rPr>
          <w:lang w:val="fr-FR"/>
        </w:rPr>
        <w:t>’optique</w:t>
      </w:r>
      <w:r w:rsidRPr="00976C24">
        <w:rPr>
          <w:lang w:val="fr-FR"/>
        </w:rPr>
        <w:t xml:space="preserve"> d’un avantage compétitif</w:t>
      </w:r>
      <w:r>
        <w:rPr>
          <w:lang w:val="fr-FR"/>
        </w:rPr>
        <w:t>, et sont décidés à</w:t>
      </w:r>
      <w:r w:rsidRPr="00976C24">
        <w:rPr>
          <w:lang w:val="fr-FR"/>
        </w:rPr>
        <w:t xml:space="preserve"> améliorer l’accès </w:t>
      </w:r>
      <w:r>
        <w:rPr>
          <w:lang w:val="fr-FR"/>
        </w:rPr>
        <w:t>aux</w:t>
      </w:r>
      <w:r w:rsidRPr="00976C24">
        <w:rPr>
          <w:lang w:val="fr-FR"/>
        </w:rPr>
        <w:t xml:space="preserve"> données et publications de</w:t>
      </w:r>
      <w:r>
        <w:rPr>
          <w:lang w:val="fr-FR"/>
        </w:rPr>
        <w:t xml:space="preserve"> la </w:t>
      </w:r>
      <w:r w:rsidRPr="00976C24">
        <w:rPr>
          <w:lang w:val="fr-FR"/>
        </w:rPr>
        <w:t>recherche financée par l’</w:t>
      </w:r>
      <w:r>
        <w:rPr>
          <w:lang w:val="fr-FR"/>
        </w:rPr>
        <w:t>État, ainsi que leur échange</w:t>
      </w:r>
      <w:r w:rsidRPr="00976C24">
        <w:rPr>
          <w:lang w:val="fr-FR"/>
        </w:rPr>
        <w:t xml:space="preserve">. </w:t>
      </w:r>
      <w:r>
        <w:rPr>
          <w:lang w:val="fr-FR"/>
        </w:rPr>
        <w:t>À</w:t>
      </w:r>
      <w:r w:rsidRPr="00976C24">
        <w:rPr>
          <w:lang w:val="fr-FR"/>
        </w:rPr>
        <w:t xml:space="preserve"> cet égard </w:t>
      </w:r>
      <w:r>
        <w:rPr>
          <w:lang w:val="fr-FR"/>
        </w:rPr>
        <w:t>il faut signaler</w:t>
      </w:r>
      <w:r w:rsidRPr="00976C24">
        <w:rPr>
          <w:lang w:val="fr-FR"/>
        </w:rPr>
        <w:t xml:space="preserve"> la création de l’Indice scientifique norvégien (NVI), un système d’information national de</w:t>
      </w:r>
      <w:r>
        <w:rPr>
          <w:lang w:val="fr-FR"/>
        </w:rPr>
        <w:t>stiné à la recherche,</w:t>
      </w:r>
      <w:r w:rsidRPr="00976C24">
        <w:rPr>
          <w:lang w:val="fr-FR"/>
        </w:rPr>
        <w:t xml:space="preserve"> qui devrait être mis en œuvr</w:t>
      </w:r>
      <w:r>
        <w:rPr>
          <w:lang w:val="fr-FR"/>
        </w:rPr>
        <w:t>e à partir de 2011. Le Rapport n</w:t>
      </w:r>
      <w:r w:rsidRPr="000A7EEA">
        <w:rPr>
          <w:vertAlign w:val="superscript"/>
          <w:lang w:val="fr-FR"/>
        </w:rPr>
        <w:t>o</w:t>
      </w:r>
      <w:r>
        <w:rPr>
          <w:lang w:val="fr-FR"/>
        </w:rPr>
        <w:t> </w:t>
      </w:r>
      <w:r w:rsidRPr="00976C24">
        <w:rPr>
          <w:lang w:val="fr-FR"/>
        </w:rPr>
        <w:t>30 (2008</w:t>
      </w:r>
      <w:r>
        <w:rPr>
          <w:lang w:val="fr-FR"/>
        </w:rPr>
        <w:t>-</w:t>
      </w:r>
      <w:r w:rsidRPr="00976C24">
        <w:rPr>
          <w:lang w:val="fr-FR"/>
        </w:rPr>
        <w:t xml:space="preserve">2009) au </w:t>
      </w:r>
      <w:r w:rsidRPr="00B52B8E">
        <w:rPr>
          <w:i/>
          <w:lang w:val="fr-FR"/>
        </w:rPr>
        <w:t>Storting</w:t>
      </w:r>
      <w:r w:rsidRPr="00976C24">
        <w:rPr>
          <w:lang w:val="fr-FR"/>
        </w:rPr>
        <w:t xml:space="preserve"> </w:t>
      </w:r>
      <w:r>
        <w:rPr>
          <w:lang w:val="fr-FR"/>
        </w:rPr>
        <w:t>«</w:t>
      </w:r>
      <w:r w:rsidRPr="00976C24">
        <w:rPr>
          <w:i/>
          <w:lang w:val="fr-FR"/>
        </w:rPr>
        <w:t>Conditions favorables à la recherche</w:t>
      </w:r>
      <w:r>
        <w:rPr>
          <w:i/>
          <w:lang w:val="fr-FR"/>
        </w:rPr>
        <w:t>»</w:t>
      </w:r>
      <w:r w:rsidRPr="00976C24">
        <w:rPr>
          <w:lang w:val="fr-FR"/>
        </w:rPr>
        <w:t xml:space="preserve"> indique que le Gouvernement </w:t>
      </w:r>
      <w:r>
        <w:rPr>
          <w:lang w:val="fr-FR"/>
        </w:rPr>
        <w:t>s’apprête à</w:t>
      </w:r>
      <w:r w:rsidRPr="00976C24">
        <w:rPr>
          <w:lang w:val="fr-FR"/>
        </w:rPr>
        <w:t xml:space="preserve"> désigner un comité </w:t>
      </w:r>
      <w:r>
        <w:rPr>
          <w:lang w:val="fr-FR"/>
        </w:rPr>
        <w:t xml:space="preserve">qui sera </w:t>
      </w:r>
      <w:r w:rsidRPr="00976C24">
        <w:rPr>
          <w:lang w:val="fr-FR"/>
        </w:rPr>
        <w:t>chargé d’examiner les différentes possibilités et difficultés liées à l’accès aux données des travaux de recherche financés par les pouvoirs publics</w:t>
      </w:r>
      <w:r>
        <w:rPr>
          <w:lang w:val="fr-FR"/>
        </w:rPr>
        <w:t>; les autorités entendent également veiller à ce que</w:t>
      </w:r>
      <w:r w:rsidRPr="00976C24">
        <w:rPr>
          <w:lang w:val="fr-FR"/>
        </w:rPr>
        <w:t xml:space="preserve"> certaines modalités et conditions de stockage et de consultation des données de recherche </w:t>
      </w:r>
      <w:r>
        <w:rPr>
          <w:lang w:val="fr-FR"/>
        </w:rPr>
        <w:t xml:space="preserve">s’appliquent </w:t>
      </w:r>
      <w:r w:rsidRPr="00976C24">
        <w:rPr>
          <w:lang w:val="fr-FR"/>
        </w:rPr>
        <w:t>aux projets financés par le Conseil norvégien de la recherche.</w:t>
      </w:r>
    </w:p>
    <w:p w:rsidR="00903547" w:rsidRPr="00976C24" w:rsidRDefault="00903547" w:rsidP="006273F9">
      <w:pPr>
        <w:pStyle w:val="SingleTxtG"/>
        <w:rPr>
          <w:lang w:val="fr-FR"/>
        </w:rPr>
      </w:pPr>
      <w:r>
        <w:rPr>
          <w:lang w:val="fr-FR"/>
        </w:rPr>
        <w:t>495.</w:t>
      </w:r>
      <w:r>
        <w:rPr>
          <w:lang w:val="fr-FR"/>
        </w:rPr>
        <w:tab/>
      </w:r>
      <w:r w:rsidRPr="00976C24">
        <w:rPr>
          <w:lang w:val="fr-FR"/>
        </w:rPr>
        <w:t xml:space="preserve">Le Conseil norvégien de la recherche joue un rôle clé dans l’organisation </w:t>
      </w:r>
      <w:r>
        <w:rPr>
          <w:lang w:val="fr-FR"/>
        </w:rPr>
        <w:t>sur tout le territoire</w:t>
      </w:r>
      <w:r w:rsidRPr="00976C24">
        <w:rPr>
          <w:lang w:val="fr-FR"/>
        </w:rPr>
        <w:t xml:space="preserve"> des Journées annuelles de la recherche, en coopération avec des institutions de l’enseignement supérieur et des instituts de recherche. Chaque année pendant une semaine, la recherche e</w:t>
      </w:r>
      <w:r>
        <w:rPr>
          <w:lang w:val="fr-FR"/>
        </w:rPr>
        <w:t>s</w:t>
      </w:r>
      <w:r w:rsidRPr="00976C24">
        <w:rPr>
          <w:lang w:val="fr-FR"/>
        </w:rPr>
        <w:t xml:space="preserve">t présentée au grand public </w:t>
      </w:r>
      <w:r>
        <w:rPr>
          <w:lang w:val="fr-FR"/>
        </w:rPr>
        <w:t>au moyen d’expositions, de</w:t>
      </w:r>
      <w:r w:rsidRPr="00976C24">
        <w:rPr>
          <w:lang w:val="fr-FR"/>
        </w:rPr>
        <w:t xml:space="preserve"> démonstrations de projets de recherche, etc. Le Conseil de la recherche a</w:t>
      </w:r>
      <w:r>
        <w:rPr>
          <w:lang w:val="fr-FR"/>
        </w:rPr>
        <w:t xml:space="preserve"> pris différentes mesures pour </w:t>
      </w:r>
      <w:r w:rsidRPr="00976C24">
        <w:rPr>
          <w:lang w:val="fr-FR"/>
        </w:rPr>
        <w:t xml:space="preserve">susciter </w:t>
      </w:r>
      <w:r>
        <w:rPr>
          <w:lang w:val="fr-FR"/>
        </w:rPr>
        <w:t>l’</w:t>
      </w:r>
      <w:r w:rsidRPr="00976C24">
        <w:rPr>
          <w:lang w:val="fr-FR"/>
        </w:rPr>
        <w:t xml:space="preserve">intérêt </w:t>
      </w:r>
      <w:r>
        <w:rPr>
          <w:lang w:val="fr-FR"/>
        </w:rPr>
        <w:t>des</w:t>
      </w:r>
      <w:r w:rsidRPr="00976C24">
        <w:rPr>
          <w:lang w:val="fr-FR"/>
        </w:rPr>
        <w:t xml:space="preserve"> écoles et </w:t>
      </w:r>
      <w:r>
        <w:rPr>
          <w:lang w:val="fr-FR"/>
        </w:rPr>
        <w:t>d</w:t>
      </w:r>
      <w:r w:rsidRPr="00976C24">
        <w:rPr>
          <w:lang w:val="fr-FR"/>
        </w:rPr>
        <w:t>es élèves.</w:t>
      </w:r>
      <w:r>
        <w:rPr>
          <w:lang w:val="fr-FR"/>
        </w:rPr>
        <w:t xml:space="preserve"> À noter</w:t>
      </w:r>
      <w:r w:rsidRPr="00976C24">
        <w:rPr>
          <w:lang w:val="fr-FR"/>
        </w:rPr>
        <w:t xml:space="preserve"> également </w:t>
      </w:r>
      <w:r>
        <w:rPr>
          <w:lang w:val="fr-FR"/>
        </w:rPr>
        <w:t>le concours de</w:t>
      </w:r>
      <w:r w:rsidRPr="00976C24">
        <w:rPr>
          <w:lang w:val="fr-FR"/>
        </w:rPr>
        <w:t xml:space="preserve"> jeunes chercheurs doté de prix annuels. Le prix Abel, un concours international de mathématiques, le prix international Holberg dans les domaines des arts et lettres, des sciences sociales, du droit et de la technologie et les Prix Kavli dans les domaines de l'astrophysique, des neurosciences et des nanosciences contribuent à sensibiliser le public aux sciences et à </w:t>
      </w:r>
      <w:r>
        <w:rPr>
          <w:lang w:val="fr-FR"/>
        </w:rPr>
        <w:t>éveiller</w:t>
      </w:r>
      <w:r w:rsidRPr="00976C24">
        <w:rPr>
          <w:lang w:val="fr-FR"/>
        </w:rPr>
        <w:t xml:space="preserve"> l’intérêt des jeunes pour la recherche.</w:t>
      </w:r>
    </w:p>
    <w:p w:rsidR="00903547" w:rsidRPr="00976C24" w:rsidRDefault="00903547" w:rsidP="006273F9">
      <w:pPr>
        <w:pStyle w:val="SingleTxtG"/>
        <w:rPr>
          <w:lang w:val="fr-FR"/>
        </w:rPr>
      </w:pPr>
      <w:r>
        <w:rPr>
          <w:lang w:val="fr-FR"/>
        </w:rPr>
        <w:t>496.</w:t>
      </w:r>
      <w:r>
        <w:rPr>
          <w:lang w:val="fr-FR"/>
        </w:rPr>
        <w:tab/>
      </w:r>
      <w:r w:rsidRPr="00976C24">
        <w:rPr>
          <w:lang w:val="fr-FR"/>
        </w:rPr>
        <w:t>La qualité d</w:t>
      </w:r>
      <w:r>
        <w:rPr>
          <w:lang w:val="fr-FR"/>
        </w:rPr>
        <w:t>es travaux de</w:t>
      </w:r>
      <w:r w:rsidRPr="00976C24">
        <w:rPr>
          <w:lang w:val="fr-FR"/>
        </w:rPr>
        <w:t xml:space="preserve"> recherche requiert l</w:t>
      </w:r>
      <w:r>
        <w:rPr>
          <w:lang w:val="fr-FR"/>
        </w:rPr>
        <w:t>a parité hommes-femmes. Dans le rapport n</w:t>
      </w:r>
      <w:r w:rsidRPr="00165F4A">
        <w:rPr>
          <w:vertAlign w:val="superscript"/>
          <w:lang w:val="fr-FR"/>
        </w:rPr>
        <w:t>o</w:t>
      </w:r>
      <w:r>
        <w:rPr>
          <w:lang w:val="fr-FR"/>
        </w:rPr>
        <w:t> </w:t>
      </w:r>
      <w:r w:rsidRPr="00976C24">
        <w:rPr>
          <w:lang w:val="fr-FR"/>
        </w:rPr>
        <w:t>30 (2008</w:t>
      </w:r>
      <w:r>
        <w:rPr>
          <w:lang w:val="fr-FR"/>
        </w:rPr>
        <w:t>-</w:t>
      </w:r>
      <w:r w:rsidRPr="00976C24">
        <w:rPr>
          <w:lang w:val="fr-FR"/>
        </w:rPr>
        <w:t xml:space="preserve">2009) au </w:t>
      </w:r>
      <w:r w:rsidRPr="00B52B8E">
        <w:rPr>
          <w:i/>
          <w:lang w:val="fr-FR"/>
        </w:rPr>
        <w:t>Storting</w:t>
      </w:r>
      <w:r w:rsidRPr="00976C24">
        <w:rPr>
          <w:lang w:val="fr-FR"/>
        </w:rPr>
        <w:t xml:space="preserve">, le Gouvernement a proposé </w:t>
      </w:r>
      <w:r>
        <w:rPr>
          <w:lang w:val="fr-FR"/>
        </w:rPr>
        <w:t>des mesures</w:t>
      </w:r>
      <w:r w:rsidRPr="00976C24">
        <w:rPr>
          <w:lang w:val="fr-FR"/>
        </w:rPr>
        <w:t xml:space="preserve"> d’</w:t>
      </w:r>
      <w:r>
        <w:rPr>
          <w:lang w:val="fr-FR"/>
        </w:rPr>
        <w:t>incitation en direction des femmes pour</w:t>
      </w:r>
      <w:r w:rsidRPr="00976C24">
        <w:rPr>
          <w:lang w:val="fr-FR"/>
        </w:rPr>
        <w:t xml:space="preserve"> accroître le</w:t>
      </w:r>
      <w:r>
        <w:rPr>
          <w:lang w:val="fr-FR"/>
        </w:rPr>
        <w:t>ur</w:t>
      </w:r>
      <w:r w:rsidRPr="00976C24">
        <w:rPr>
          <w:lang w:val="fr-FR"/>
        </w:rPr>
        <w:t xml:space="preserve"> nombre </w:t>
      </w:r>
      <w:r>
        <w:rPr>
          <w:lang w:val="fr-FR"/>
        </w:rPr>
        <w:t>d</w:t>
      </w:r>
      <w:r w:rsidRPr="00976C24">
        <w:rPr>
          <w:lang w:val="fr-FR"/>
        </w:rPr>
        <w:t>ans les domaines des mathématiques, des sciences naturelles et de la technologie et réfléchir à de nouvel</w:t>
      </w:r>
      <w:r>
        <w:rPr>
          <w:lang w:val="fr-FR"/>
        </w:rPr>
        <w:t>les filières de qualification. C</w:t>
      </w:r>
      <w:r w:rsidRPr="00976C24">
        <w:rPr>
          <w:lang w:val="fr-FR"/>
        </w:rPr>
        <w:t xml:space="preserve">es </w:t>
      </w:r>
      <w:r>
        <w:rPr>
          <w:lang w:val="fr-FR"/>
        </w:rPr>
        <w:t xml:space="preserve">mesures </w:t>
      </w:r>
      <w:r w:rsidRPr="00976C24">
        <w:rPr>
          <w:lang w:val="fr-FR"/>
        </w:rPr>
        <w:t>seront mis</w:t>
      </w:r>
      <w:r>
        <w:rPr>
          <w:lang w:val="fr-FR"/>
        </w:rPr>
        <w:t>es</w:t>
      </w:r>
      <w:r w:rsidRPr="00976C24">
        <w:rPr>
          <w:lang w:val="fr-FR"/>
        </w:rPr>
        <w:t xml:space="preserve"> en œuvre à partir de 2010.</w:t>
      </w:r>
    </w:p>
    <w:p w:rsidR="00903547" w:rsidRPr="00976C24" w:rsidRDefault="00903547" w:rsidP="0071086E">
      <w:pPr>
        <w:pStyle w:val="H23G"/>
        <w:rPr>
          <w:lang w:val="fr-FR"/>
        </w:rPr>
      </w:pPr>
      <w:r w:rsidRPr="00976C24">
        <w:rPr>
          <w:lang w:val="fr-FR"/>
        </w:rPr>
        <w:tab/>
        <w:t>5.</w:t>
      </w:r>
      <w:r w:rsidRPr="00976C24">
        <w:rPr>
          <w:lang w:val="fr-FR"/>
        </w:rPr>
        <w:tab/>
        <w:t xml:space="preserve">Mesures prises pour assurer la protection effective des intérêts moraux </w:t>
      </w:r>
      <w:r>
        <w:rPr>
          <w:lang w:val="fr-FR"/>
        </w:rPr>
        <w:t xml:space="preserve">et matériels </w:t>
      </w:r>
      <w:r w:rsidRPr="00976C24">
        <w:rPr>
          <w:lang w:val="fr-FR"/>
        </w:rPr>
        <w:t>des créateurs (E/2009/22-E/C.12/2008/3, annexe VIII, par.</w:t>
      </w:r>
      <w:r>
        <w:rPr>
          <w:lang w:val="fr-FR"/>
        </w:rPr>
        <w:t> </w:t>
      </w:r>
      <w:r w:rsidRPr="00976C24">
        <w:rPr>
          <w:lang w:val="fr-FR"/>
        </w:rPr>
        <w:t>71)</w:t>
      </w:r>
    </w:p>
    <w:p w:rsidR="00903547" w:rsidRPr="00976C24" w:rsidRDefault="00903547" w:rsidP="0071086E">
      <w:pPr>
        <w:pStyle w:val="H23G"/>
        <w:rPr>
          <w:lang w:val="fr-FR"/>
        </w:rPr>
      </w:pPr>
      <w:r w:rsidRPr="00976C24">
        <w:rPr>
          <w:lang w:val="fr-FR"/>
        </w:rPr>
        <w:tab/>
        <w:t>a)</w:t>
      </w:r>
      <w:r w:rsidRPr="00976C24">
        <w:rPr>
          <w:lang w:val="fr-FR"/>
        </w:rPr>
        <w:tab/>
        <w:t xml:space="preserve">Mesures </w:t>
      </w:r>
      <w:r>
        <w:rPr>
          <w:lang w:val="fr-FR"/>
        </w:rPr>
        <w:t>visant à</w:t>
      </w:r>
      <w:r w:rsidRPr="00976C24">
        <w:rPr>
          <w:lang w:val="fr-FR"/>
        </w:rPr>
        <w:t xml:space="preserve"> protéger le droit des auteurs d’être reconnus comme étant les créateurs de leurs productions scientifiques, littéraires et artistiques et l’intégrité de ces productions </w:t>
      </w:r>
    </w:p>
    <w:p w:rsidR="00903547" w:rsidRPr="00976C24" w:rsidRDefault="00903547" w:rsidP="006273F9">
      <w:pPr>
        <w:pStyle w:val="SingleTxtG"/>
        <w:rPr>
          <w:lang w:val="fr-FR"/>
        </w:rPr>
      </w:pPr>
      <w:r>
        <w:rPr>
          <w:lang w:val="fr-FR"/>
        </w:rPr>
        <w:t>497.</w:t>
      </w:r>
      <w:r>
        <w:rPr>
          <w:lang w:val="fr-FR"/>
        </w:rPr>
        <w:tab/>
      </w:r>
      <w:r w:rsidRPr="00976C24">
        <w:rPr>
          <w:lang w:val="fr-FR"/>
        </w:rPr>
        <w:t>Le Comité pourra se reporter au paragraphe 489</w:t>
      </w:r>
      <w:r>
        <w:rPr>
          <w:lang w:val="fr-FR"/>
        </w:rPr>
        <w:t xml:space="preserve"> du </w:t>
      </w:r>
      <w:r w:rsidRPr="00976C24">
        <w:rPr>
          <w:lang w:val="fr-FR"/>
        </w:rPr>
        <w:t>quatrième rapport soumis en vertu du Pacte international relatif aux droits économiques, sociaux et culturels.</w:t>
      </w:r>
    </w:p>
    <w:p w:rsidR="00903547" w:rsidRPr="00976C24" w:rsidRDefault="00903547" w:rsidP="006273F9">
      <w:pPr>
        <w:pStyle w:val="SingleTxtG"/>
        <w:rPr>
          <w:lang w:val="fr-FR"/>
        </w:rPr>
      </w:pPr>
      <w:r>
        <w:rPr>
          <w:lang w:val="fr-FR"/>
        </w:rPr>
        <w:t>498.</w:t>
      </w:r>
      <w:r>
        <w:rPr>
          <w:lang w:val="fr-FR"/>
        </w:rPr>
        <w:tab/>
      </w:r>
      <w:r w:rsidRPr="00976C24">
        <w:rPr>
          <w:lang w:val="fr-FR"/>
        </w:rPr>
        <w:t xml:space="preserve">Le principe de l’indépendance des parties </w:t>
      </w:r>
      <w:r>
        <w:rPr>
          <w:lang w:val="fr-FR"/>
        </w:rPr>
        <w:t>est respecté dans</w:t>
      </w:r>
      <w:r w:rsidRPr="00976C24">
        <w:rPr>
          <w:lang w:val="fr-FR"/>
        </w:rPr>
        <w:t xml:space="preserve"> la politique culturelle de la Norvège</w:t>
      </w:r>
      <w:r>
        <w:rPr>
          <w:lang w:val="fr-FR"/>
        </w:rPr>
        <w:t>, ce qui</w:t>
      </w:r>
      <w:r w:rsidRPr="00976C24">
        <w:rPr>
          <w:lang w:val="fr-FR"/>
        </w:rPr>
        <w:t xml:space="preserve"> signifie que les bourses et </w:t>
      </w:r>
      <w:r>
        <w:rPr>
          <w:lang w:val="fr-FR"/>
        </w:rPr>
        <w:t>autres</w:t>
      </w:r>
      <w:r w:rsidRPr="00976C24">
        <w:rPr>
          <w:lang w:val="fr-FR"/>
        </w:rPr>
        <w:t xml:space="preserve"> aides </w:t>
      </w:r>
      <w:r>
        <w:rPr>
          <w:lang w:val="fr-FR"/>
        </w:rPr>
        <w:t xml:space="preserve">octroyées </w:t>
      </w:r>
      <w:r w:rsidRPr="00976C24">
        <w:rPr>
          <w:lang w:val="fr-FR"/>
        </w:rPr>
        <w:t xml:space="preserve">aux artistes sont administrées par des conseils et des comités </w:t>
      </w:r>
      <w:r>
        <w:rPr>
          <w:lang w:val="fr-FR"/>
        </w:rPr>
        <w:t>constitués majoritairement</w:t>
      </w:r>
      <w:r w:rsidRPr="00976C24">
        <w:rPr>
          <w:lang w:val="fr-FR"/>
        </w:rPr>
        <w:t xml:space="preserve"> de représentants des groupes d’artistes concernés. Les </w:t>
      </w:r>
      <w:r>
        <w:rPr>
          <w:lang w:val="fr-FR"/>
        </w:rPr>
        <w:t>subventions</w:t>
      </w:r>
      <w:r w:rsidRPr="00976C24">
        <w:rPr>
          <w:lang w:val="fr-FR"/>
        </w:rPr>
        <w:t xml:space="preserve"> sont versées selon leur estimation professionnelle et ne peuvent être contestées par le Ministère de la culture. Le principe de l’indépendance des parties est protégé par des règlements et des directives </w:t>
      </w:r>
      <w:r>
        <w:rPr>
          <w:lang w:val="fr-FR"/>
        </w:rPr>
        <w:t>applicables aux</w:t>
      </w:r>
      <w:r w:rsidRPr="00976C24">
        <w:rPr>
          <w:lang w:val="fr-FR"/>
        </w:rPr>
        <w:t xml:space="preserve"> différents programmes d</w:t>
      </w:r>
      <w:r>
        <w:rPr>
          <w:lang w:val="fr-FR"/>
        </w:rPr>
        <w:t>’aide aux</w:t>
      </w:r>
      <w:r w:rsidRPr="00976C24">
        <w:rPr>
          <w:lang w:val="fr-FR"/>
        </w:rPr>
        <w:t xml:space="preserve"> artistes.</w:t>
      </w:r>
    </w:p>
    <w:p w:rsidR="00903547" w:rsidRPr="00976C24" w:rsidRDefault="00903547" w:rsidP="006273F9">
      <w:pPr>
        <w:pStyle w:val="SingleTxtG"/>
        <w:rPr>
          <w:lang w:val="fr-FR"/>
        </w:rPr>
      </w:pPr>
      <w:r>
        <w:rPr>
          <w:lang w:val="fr-FR"/>
        </w:rPr>
        <w:t>499.</w:t>
      </w:r>
      <w:r>
        <w:rPr>
          <w:lang w:val="fr-FR"/>
        </w:rPr>
        <w:tab/>
      </w:r>
      <w:r w:rsidRPr="00976C24">
        <w:rPr>
          <w:lang w:val="fr-FR"/>
        </w:rPr>
        <w:t xml:space="preserve">La Norvège protège les droits des auteurs </w:t>
      </w:r>
      <w:r>
        <w:rPr>
          <w:lang w:val="fr-FR"/>
        </w:rPr>
        <w:t>pour</w:t>
      </w:r>
      <w:r w:rsidRPr="00976C24">
        <w:rPr>
          <w:lang w:val="fr-FR"/>
        </w:rPr>
        <w:t xml:space="preserve"> que les artistes p</w:t>
      </w:r>
      <w:r>
        <w:rPr>
          <w:lang w:val="fr-FR"/>
        </w:rPr>
        <w:t>uiss</w:t>
      </w:r>
      <w:r w:rsidRPr="00976C24">
        <w:rPr>
          <w:lang w:val="fr-FR"/>
        </w:rPr>
        <w:t xml:space="preserve">ent retirer un bénéfice économique de leurs œuvres. La loi sur les droits d’auteur de 1961 établit un équilibre entre les droits économiques et moraux des auteurs, </w:t>
      </w:r>
      <w:r>
        <w:rPr>
          <w:lang w:val="fr-FR"/>
        </w:rPr>
        <w:t>prévu par</w:t>
      </w:r>
      <w:r w:rsidRPr="00976C24">
        <w:rPr>
          <w:lang w:val="fr-FR"/>
        </w:rPr>
        <w:t xml:space="preserve"> la </w:t>
      </w:r>
      <w:r>
        <w:rPr>
          <w:lang w:val="fr-FR"/>
        </w:rPr>
        <w:t>Conventi</w:t>
      </w:r>
      <w:r w:rsidRPr="00976C24">
        <w:rPr>
          <w:lang w:val="fr-FR"/>
        </w:rPr>
        <w:t xml:space="preserve">on de Berne pour la protection des œuvres littéraires et artistiques de </w:t>
      </w:r>
      <w:r>
        <w:rPr>
          <w:lang w:val="fr-FR"/>
        </w:rPr>
        <w:t>1886</w:t>
      </w:r>
      <w:r w:rsidRPr="00976C24">
        <w:rPr>
          <w:lang w:val="fr-FR"/>
        </w:rPr>
        <w:t xml:space="preserve"> (loi de Paris de 1971), et les besoins des autres groupes de la société, </w:t>
      </w:r>
      <w:r>
        <w:rPr>
          <w:lang w:val="fr-FR"/>
        </w:rPr>
        <w:t>à savoir en particulier</w:t>
      </w:r>
      <w:r w:rsidRPr="00976C24">
        <w:rPr>
          <w:lang w:val="fr-FR"/>
        </w:rPr>
        <w:t xml:space="preserve"> l’utilisation des œuvres dans l’éducation et les bibliothèques publiques et p</w:t>
      </w:r>
      <w:r>
        <w:rPr>
          <w:lang w:val="fr-FR"/>
        </w:rPr>
        <w:t>a</w:t>
      </w:r>
      <w:r w:rsidRPr="00976C24">
        <w:rPr>
          <w:lang w:val="fr-FR"/>
        </w:rPr>
        <w:t xml:space="preserve">r les personnes handicapées, ainsi que </w:t>
      </w:r>
      <w:r>
        <w:rPr>
          <w:lang w:val="fr-FR"/>
        </w:rPr>
        <w:t>pour les</w:t>
      </w:r>
      <w:r w:rsidRPr="00976C24">
        <w:rPr>
          <w:lang w:val="fr-FR"/>
        </w:rPr>
        <w:t xml:space="preserve"> copies à usage privé. </w:t>
      </w:r>
    </w:p>
    <w:p w:rsidR="00903547" w:rsidRPr="00976C24" w:rsidRDefault="00903547" w:rsidP="006273F9">
      <w:pPr>
        <w:pStyle w:val="SingleTxtG"/>
        <w:rPr>
          <w:lang w:val="fr-FR"/>
        </w:rPr>
      </w:pPr>
      <w:r>
        <w:rPr>
          <w:lang w:val="fr-FR"/>
        </w:rPr>
        <w:t>500.</w:t>
      </w:r>
      <w:r>
        <w:rPr>
          <w:lang w:val="fr-FR"/>
        </w:rPr>
        <w:tab/>
      </w:r>
      <w:r w:rsidRPr="00976C24">
        <w:rPr>
          <w:lang w:val="fr-FR"/>
        </w:rPr>
        <w:t>La loi sur les droits d’auteur a été modifiée en 2006, incorporant de nouvelles règles de l’UE sur les droits de revente des artistes. Un accord signé en 2008 ent</w:t>
      </w:r>
      <w:r>
        <w:rPr>
          <w:lang w:val="fr-FR"/>
        </w:rPr>
        <w:t>re les détenteurs de</w:t>
      </w:r>
      <w:r w:rsidRPr="00976C24">
        <w:rPr>
          <w:lang w:val="fr-FR"/>
        </w:rPr>
        <w:t xml:space="preserve"> droit</w:t>
      </w:r>
      <w:r>
        <w:rPr>
          <w:lang w:val="fr-FR"/>
        </w:rPr>
        <w:t>s</w:t>
      </w:r>
      <w:r w:rsidRPr="00976C24">
        <w:rPr>
          <w:lang w:val="fr-FR"/>
        </w:rPr>
        <w:t xml:space="preserve"> et d’autres groupes, </w:t>
      </w:r>
      <w:r>
        <w:rPr>
          <w:lang w:val="fr-FR"/>
        </w:rPr>
        <w:t>soutenu par les autorités</w:t>
      </w:r>
      <w:r w:rsidRPr="00976C24">
        <w:rPr>
          <w:lang w:val="fr-FR"/>
        </w:rPr>
        <w:t xml:space="preserve"> norvégien</w:t>
      </w:r>
      <w:r>
        <w:rPr>
          <w:lang w:val="fr-FR"/>
        </w:rPr>
        <w:t>nes</w:t>
      </w:r>
      <w:r w:rsidRPr="00976C24">
        <w:rPr>
          <w:lang w:val="fr-FR"/>
        </w:rPr>
        <w:t xml:space="preserve">, a permis la diffusion numérique de livres audio </w:t>
      </w:r>
      <w:r>
        <w:rPr>
          <w:lang w:val="fr-FR"/>
        </w:rPr>
        <w:t>auprès d’</w:t>
      </w:r>
      <w:r w:rsidRPr="00976C24">
        <w:rPr>
          <w:lang w:val="fr-FR"/>
        </w:rPr>
        <w:t>utilisateurs handicapés. Une légère modification intervenue en 2009 a actualisé les dispositions conformément à la Directive de l’UE sur les services. La loi sur les droits d’auteur (2010) est en cours de révision</w:t>
      </w:r>
      <w:r>
        <w:rPr>
          <w:lang w:val="fr-FR"/>
        </w:rPr>
        <w:t>:</w:t>
      </w:r>
      <w:r w:rsidRPr="00976C24">
        <w:rPr>
          <w:lang w:val="fr-FR"/>
        </w:rPr>
        <w:t xml:space="preserve"> il s’agit de la rendre plus compréhensible et ainsi </w:t>
      </w:r>
      <w:r>
        <w:rPr>
          <w:lang w:val="fr-FR"/>
        </w:rPr>
        <w:t>pl</w:t>
      </w:r>
      <w:r w:rsidRPr="00976C24">
        <w:rPr>
          <w:lang w:val="fr-FR"/>
        </w:rPr>
        <w:t>us accessible aux utilisateurs.</w:t>
      </w:r>
    </w:p>
    <w:p w:rsidR="00903547" w:rsidRPr="00976C24" w:rsidRDefault="00903547" w:rsidP="0071086E">
      <w:pPr>
        <w:pStyle w:val="H23G"/>
        <w:rPr>
          <w:lang w:val="fr-FR"/>
        </w:rPr>
      </w:pPr>
      <w:r w:rsidRPr="00976C24">
        <w:rPr>
          <w:lang w:val="fr-FR"/>
        </w:rPr>
        <w:tab/>
        <w:t>b)</w:t>
      </w:r>
      <w:r w:rsidRPr="00976C24">
        <w:rPr>
          <w:lang w:val="fr-FR"/>
        </w:rPr>
        <w:tab/>
        <w:t xml:space="preserve">Mesures </w:t>
      </w:r>
      <w:r>
        <w:rPr>
          <w:lang w:val="fr-FR"/>
        </w:rPr>
        <w:t>visant à</w:t>
      </w:r>
      <w:r w:rsidRPr="00976C24">
        <w:rPr>
          <w:lang w:val="fr-FR"/>
        </w:rPr>
        <w:t xml:space="preserve"> protéger les intérêts matériels fondamentaux des auteurs qui découlent de leurs productions et dont ils ont besoin pour pouvoir atteindre un niveau de vie suffisant </w:t>
      </w:r>
    </w:p>
    <w:p w:rsidR="00903547" w:rsidRPr="00976C24" w:rsidRDefault="00903547" w:rsidP="006273F9">
      <w:pPr>
        <w:pStyle w:val="SingleTxtG"/>
        <w:rPr>
          <w:lang w:val="fr-FR"/>
        </w:rPr>
      </w:pPr>
      <w:r>
        <w:rPr>
          <w:lang w:val="fr-FR"/>
        </w:rPr>
        <w:t>501.</w:t>
      </w:r>
      <w:r>
        <w:rPr>
          <w:lang w:val="fr-FR"/>
        </w:rPr>
        <w:tab/>
      </w:r>
      <w:r w:rsidRPr="00976C24">
        <w:rPr>
          <w:lang w:val="fr-FR"/>
        </w:rPr>
        <w:t>Le Comité pourra se reporter au</w:t>
      </w:r>
      <w:r>
        <w:rPr>
          <w:lang w:val="fr-FR"/>
        </w:rPr>
        <w:t xml:space="preserve">x paragraphes 461 à </w:t>
      </w:r>
      <w:r w:rsidRPr="00976C24">
        <w:rPr>
          <w:lang w:val="fr-FR"/>
        </w:rPr>
        <w:t>463</w:t>
      </w:r>
      <w:r>
        <w:rPr>
          <w:lang w:val="fr-FR"/>
        </w:rPr>
        <w:t xml:space="preserve"> du </w:t>
      </w:r>
      <w:r w:rsidRPr="00976C24">
        <w:rPr>
          <w:lang w:val="fr-FR"/>
        </w:rPr>
        <w:t>quatrième rapport soumis en vertu du Pacte international relatif aux droits économiques, sociaux et culturels.</w:t>
      </w:r>
    </w:p>
    <w:p w:rsidR="00903547" w:rsidRPr="00976C24" w:rsidRDefault="00903547" w:rsidP="0071086E">
      <w:pPr>
        <w:pStyle w:val="H23G"/>
        <w:rPr>
          <w:lang w:val="fr-FR"/>
        </w:rPr>
      </w:pPr>
      <w:r w:rsidRPr="00976C24">
        <w:rPr>
          <w:lang w:val="fr-FR"/>
        </w:rPr>
        <w:tab/>
        <w:t>c)</w:t>
      </w:r>
      <w:r w:rsidRPr="00976C24">
        <w:rPr>
          <w:lang w:val="fr-FR"/>
        </w:rPr>
        <w:tab/>
        <w:t xml:space="preserve">Mesures </w:t>
      </w:r>
      <w:r>
        <w:rPr>
          <w:lang w:val="fr-FR"/>
        </w:rPr>
        <w:t>visant à</w:t>
      </w:r>
      <w:r w:rsidRPr="00976C24">
        <w:rPr>
          <w:lang w:val="fr-FR"/>
        </w:rPr>
        <w:t xml:space="preserve"> protéger les intérêts moraux et matériels des peuples autochtones concernant leur patrimoine culturel et leurs connaissances traditionnelles </w:t>
      </w:r>
    </w:p>
    <w:p w:rsidR="00903547" w:rsidRPr="00976C24" w:rsidRDefault="00903547" w:rsidP="0071086E">
      <w:pPr>
        <w:pStyle w:val="H4G"/>
        <w:rPr>
          <w:lang w:val="fr-FR"/>
        </w:rPr>
      </w:pPr>
      <w:r w:rsidRPr="00976C24">
        <w:rPr>
          <w:lang w:val="fr-FR"/>
        </w:rPr>
        <w:tab/>
      </w:r>
      <w:r w:rsidRPr="00976C24">
        <w:rPr>
          <w:lang w:val="fr-FR"/>
        </w:rPr>
        <w:tab/>
        <w:t>Peuples autochtones</w:t>
      </w:r>
    </w:p>
    <w:p w:rsidR="00903547" w:rsidRPr="00976C24" w:rsidRDefault="00903547" w:rsidP="006273F9">
      <w:pPr>
        <w:pStyle w:val="SingleTxtG"/>
        <w:rPr>
          <w:lang w:val="fr-FR"/>
        </w:rPr>
      </w:pPr>
      <w:r>
        <w:rPr>
          <w:lang w:val="fr-FR"/>
        </w:rPr>
        <w:t>502.</w:t>
      </w:r>
      <w:r>
        <w:rPr>
          <w:lang w:val="fr-FR"/>
        </w:rPr>
        <w:tab/>
        <w:t>Le rapport n</w:t>
      </w:r>
      <w:r w:rsidRPr="00165F4A">
        <w:rPr>
          <w:vertAlign w:val="superscript"/>
          <w:lang w:val="fr-FR"/>
        </w:rPr>
        <w:t>o</w:t>
      </w:r>
      <w:r>
        <w:rPr>
          <w:lang w:val="fr-FR"/>
        </w:rPr>
        <w:t> </w:t>
      </w:r>
      <w:r w:rsidRPr="00976C24">
        <w:rPr>
          <w:lang w:val="fr-FR"/>
        </w:rPr>
        <w:t>28 (2007</w:t>
      </w:r>
      <w:r>
        <w:rPr>
          <w:lang w:val="fr-FR"/>
        </w:rPr>
        <w:t>-</w:t>
      </w:r>
      <w:r w:rsidRPr="00976C24">
        <w:rPr>
          <w:lang w:val="fr-FR"/>
        </w:rPr>
        <w:t xml:space="preserve">2008) au </w:t>
      </w:r>
      <w:r w:rsidRPr="00B52B8E">
        <w:rPr>
          <w:i/>
          <w:lang w:val="fr-FR"/>
        </w:rPr>
        <w:t>Storting</w:t>
      </w:r>
      <w:r w:rsidRPr="00976C24">
        <w:rPr>
          <w:lang w:val="fr-FR"/>
        </w:rPr>
        <w:t xml:space="preserve"> sur la politique </w:t>
      </w:r>
      <w:r>
        <w:rPr>
          <w:lang w:val="fr-FR"/>
        </w:rPr>
        <w:t>relative aux</w:t>
      </w:r>
      <w:r w:rsidRPr="00976C24">
        <w:rPr>
          <w:lang w:val="fr-FR"/>
        </w:rPr>
        <w:t xml:space="preserve"> Samis a été </w:t>
      </w:r>
      <w:r>
        <w:rPr>
          <w:lang w:val="fr-FR"/>
        </w:rPr>
        <w:t>soumis</w:t>
      </w:r>
      <w:r w:rsidRPr="00976C24">
        <w:rPr>
          <w:lang w:val="fr-FR"/>
        </w:rPr>
        <w:t xml:space="preserve"> au printemps 2008. Le livre blanc </w:t>
      </w:r>
      <w:r>
        <w:rPr>
          <w:lang w:val="fr-FR"/>
        </w:rPr>
        <w:t>présente</w:t>
      </w:r>
      <w:r w:rsidRPr="00976C24">
        <w:rPr>
          <w:lang w:val="fr-FR"/>
        </w:rPr>
        <w:t xml:space="preserve"> les mesures prises pour protéger et développer les langues, la culture et la société civile samis. Le Comité pourra </w:t>
      </w:r>
      <w:r>
        <w:rPr>
          <w:lang w:val="fr-FR"/>
        </w:rPr>
        <w:t>se référer à l’article 1.1 du rapport</w:t>
      </w:r>
      <w:r w:rsidRPr="00976C24">
        <w:rPr>
          <w:lang w:val="fr-FR"/>
        </w:rPr>
        <w:t xml:space="preserve"> de la Norvège sur </w:t>
      </w:r>
      <w:r>
        <w:rPr>
          <w:lang w:val="fr-FR"/>
        </w:rPr>
        <w:t>l’application de la Convention n</w:t>
      </w:r>
      <w:r w:rsidRPr="00165F4A">
        <w:rPr>
          <w:vertAlign w:val="superscript"/>
          <w:lang w:val="fr-FR"/>
        </w:rPr>
        <w:t>o</w:t>
      </w:r>
      <w:r>
        <w:rPr>
          <w:lang w:val="fr-FR"/>
        </w:rPr>
        <w:t> </w:t>
      </w:r>
      <w:r w:rsidRPr="00976C24">
        <w:rPr>
          <w:lang w:val="fr-FR"/>
        </w:rPr>
        <w:t>169 de l’OIT concernant les peuples indigènes et tribaux</w:t>
      </w:r>
      <w:r>
        <w:rPr>
          <w:lang w:val="fr-FR"/>
        </w:rPr>
        <w:t xml:space="preserve"> et aux paragraphes 70 à </w:t>
      </w:r>
      <w:r w:rsidRPr="00976C24">
        <w:rPr>
          <w:lang w:val="fr-FR"/>
        </w:rPr>
        <w:t>75</w:t>
      </w:r>
      <w:r>
        <w:rPr>
          <w:lang w:val="fr-FR"/>
        </w:rPr>
        <w:t xml:space="preserve"> des</w:t>
      </w:r>
      <w:r w:rsidRPr="00976C24">
        <w:rPr>
          <w:lang w:val="fr-FR"/>
        </w:rPr>
        <w:t xml:space="preserve"> dix-neuvième et vingtième rapports soumis au Comité pour l’élimination de la discrimination raciale.</w:t>
      </w:r>
    </w:p>
    <w:p w:rsidR="00903547" w:rsidRPr="00976C24" w:rsidRDefault="00903547" w:rsidP="006273F9">
      <w:pPr>
        <w:pStyle w:val="SingleTxtG"/>
        <w:rPr>
          <w:lang w:val="fr-FR"/>
        </w:rPr>
      </w:pPr>
      <w:r>
        <w:rPr>
          <w:lang w:val="fr-FR"/>
        </w:rPr>
        <w:t>503.</w:t>
      </w:r>
      <w:r>
        <w:rPr>
          <w:lang w:val="fr-FR"/>
        </w:rPr>
        <w:tab/>
      </w:r>
      <w:r w:rsidRPr="00976C24">
        <w:rPr>
          <w:lang w:val="fr-FR"/>
        </w:rPr>
        <w:t xml:space="preserve">La Norvège participe au Comité intergouvernemental de l’Organisation mondiale de la propriété intellectuelle </w:t>
      </w:r>
      <w:r>
        <w:rPr>
          <w:lang w:val="fr-FR"/>
        </w:rPr>
        <w:t xml:space="preserve">en vue d’instaurer </w:t>
      </w:r>
      <w:r w:rsidRPr="00976C24">
        <w:rPr>
          <w:lang w:val="fr-FR"/>
        </w:rPr>
        <w:t xml:space="preserve">une protection internationale spécifique </w:t>
      </w:r>
      <w:r>
        <w:rPr>
          <w:lang w:val="fr-FR"/>
        </w:rPr>
        <w:t>d</w:t>
      </w:r>
      <w:r w:rsidRPr="00976C24">
        <w:rPr>
          <w:lang w:val="fr-FR"/>
        </w:rPr>
        <w:t xml:space="preserve">es expressions culturelles traditionnelles et </w:t>
      </w:r>
      <w:r>
        <w:rPr>
          <w:lang w:val="fr-FR"/>
        </w:rPr>
        <w:t>d</w:t>
      </w:r>
      <w:r w:rsidRPr="00976C24">
        <w:rPr>
          <w:lang w:val="fr-FR"/>
        </w:rPr>
        <w:t>es connaissances traditionnelles. S</w:t>
      </w:r>
      <w:r>
        <w:rPr>
          <w:lang w:val="fr-FR"/>
        </w:rPr>
        <w:t>ur ce dernier point</w:t>
      </w:r>
      <w:r w:rsidRPr="00976C24">
        <w:rPr>
          <w:lang w:val="fr-FR"/>
        </w:rPr>
        <w:t xml:space="preserve">, le Comité pourra </w:t>
      </w:r>
      <w:r>
        <w:rPr>
          <w:lang w:val="fr-FR"/>
        </w:rPr>
        <w:t>se référer au paragraphe 4 du rapport</w:t>
      </w:r>
      <w:r w:rsidRPr="00976C24">
        <w:rPr>
          <w:lang w:val="fr-FR"/>
        </w:rPr>
        <w:t xml:space="preserve"> de la Norvège sur </w:t>
      </w:r>
      <w:r>
        <w:rPr>
          <w:lang w:val="fr-FR"/>
        </w:rPr>
        <w:t>l’application de la Convention n</w:t>
      </w:r>
      <w:r w:rsidRPr="00165F4A">
        <w:rPr>
          <w:vertAlign w:val="superscript"/>
          <w:lang w:val="fr-FR"/>
        </w:rPr>
        <w:t>o</w:t>
      </w:r>
      <w:r>
        <w:rPr>
          <w:lang w:val="fr-FR"/>
        </w:rPr>
        <w:t> </w:t>
      </w:r>
      <w:r w:rsidRPr="00976C24">
        <w:rPr>
          <w:lang w:val="fr-FR"/>
        </w:rPr>
        <w:t>169 de l’OIT concernant les peuples indigènes et tribaux</w:t>
      </w:r>
      <w:r>
        <w:rPr>
          <w:lang w:val="fr-FR"/>
        </w:rPr>
        <w:t xml:space="preserve"> et à l’article 2.2.4 du</w:t>
      </w:r>
      <w:r w:rsidRPr="00976C24">
        <w:rPr>
          <w:lang w:val="fr-FR"/>
        </w:rPr>
        <w:t xml:space="preserve"> quatrième rapport de la Norvège soumis en vertu de la Convention sur la diversité biologique.</w:t>
      </w:r>
    </w:p>
    <w:p w:rsidR="00903547" w:rsidRPr="00976C24" w:rsidRDefault="00903547" w:rsidP="006273F9">
      <w:pPr>
        <w:pStyle w:val="SingleTxtG"/>
        <w:rPr>
          <w:lang w:val="fr-FR"/>
        </w:rPr>
      </w:pPr>
      <w:r>
        <w:rPr>
          <w:lang w:val="fr-FR"/>
        </w:rPr>
        <w:t>504.</w:t>
      </w:r>
      <w:r>
        <w:rPr>
          <w:lang w:val="fr-FR"/>
        </w:rPr>
        <w:tab/>
      </w:r>
      <w:r w:rsidRPr="00976C24">
        <w:rPr>
          <w:lang w:val="fr-FR"/>
        </w:rPr>
        <w:t>Les langues samis sont toujours menacées</w:t>
      </w:r>
      <w:r>
        <w:rPr>
          <w:lang w:val="fr-FR"/>
        </w:rPr>
        <w:t xml:space="preserve"> mais constituent</w:t>
      </w:r>
      <w:r w:rsidRPr="00976C24">
        <w:rPr>
          <w:lang w:val="fr-FR"/>
        </w:rPr>
        <w:t xml:space="preserve"> un </w:t>
      </w:r>
      <w:r>
        <w:rPr>
          <w:lang w:val="fr-FR"/>
        </w:rPr>
        <w:t>vecteur</w:t>
      </w:r>
      <w:r w:rsidRPr="00976C24">
        <w:rPr>
          <w:lang w:val="fr-FR"/>
        </w:rPr>
        <w:t xml:space="preserve"> essentiel de la culture sami. Le plan d’action </w:t>
      </w:r>
      <w:r>
        <w:rPr>
          <w:lang w:val="fr-FR"/>
        </w:rPr>
        <w:t>g</w:t>
      </w:r>
      <w:r w:rsidRPr="00976C24">
        <w:rPr>
          <w:lang w:val="fr-FR"/>
        </w:rPr>
        <w:t>ouvernement</w:t>
      </w:r>
      <w:r>
        <w:rPr>
          <w:lang w:val="fr-FR"/>
        </w:rPr>
        <w:t>al</w:t>
      </w:r>
      <w:r w:rsidRPr="00976C24">
        <w:rPr>
          <w:lang w:val="fr-FR"/>
        </w:rPr>
        <w:t xml:space="preserve"> </w:t>
      </w:r>
      <w:r>
        <w:rPr>
          <w:lang w:val="fr-FR"/>
        </w:rPr>
        <w:t>visant à</w:t>
      </w:r>
      <w:r w:rsidRPr="00976C24">
        <w:rPr>
          <w:lang w:val="fr-FR"/>
        </w:rPr>
        <w:t xml:space="preserve"> renforcer les langues samis a ainsi été présenté en mai 2009</w:t>
      </w:r>
      <w:r>
        <w:rPr>
          <w:lang w:val="fr-FR"/>
        </w:rPr>
        <w:t xml:space="preserve"> en réponse au rapport n</w:t>
      </w:r>
      <w:r w:rsidRPr="00165F4A">
        <w:rPr>
          <w:vertAlign w:val="superscript"/>
          <w:lang w:val="fr-FR"/>
        </w:rPr>
        <w:t>o</w:t>
      </w:r>
      <w:r>
        <w:rPr>
          <w:lang w:val="fr-FR"/>
        </w:rPr>
        <w:t> </w:t>
      </w:r>
      <w:r w:rsidRPr="00976C24">
        <w:rPr>
          <w:lang w:val="fr-FR"/>
        </w:rPr>
        <w:t>28 (2007</w:t>
      </w:r>
      <w:r>
        <w:rPr>
          <w:lang w:val="fr-FR"/>
        </w:rPr>
        <w:t>-</w:t>
      </w:r>
      <w:r w:rsidRPr="00976C24">
        <w:rPr>
          <w:lang w:val="fr-FR"/>
        </w:rPr>
        <w:t xml:space="preserve">2008) au </w:t>
      </w:r>
      <w:r w:rsidRPr="00B52B8E">
        <w:rPr>
          <w:i/>
          <w:lang w:val="fr-FR"/>
        </w:rPr>
        <w:t>Storting</w:t>
      </w:r>
      <w:r w:rsidRPr="00976C24">
        <w:rPr>
          <w:lang w:val="fr-FR"/>
        </w:rPr>
        <w:t xml:space="preserve">, </w:t>
      </w:r>
      <w:r>
        <w:rPr>
          <w:lang w:val="fr-FR"/>
        </w:rPr>
        <w:t>«</w:t>
      </w:r>
      <w:r w:rsidRPr="00976C24">
        <w:rPr>
          <w:i/>
          <w:lang w:val="fr-FR"/>
        </w:rPr>
        <w:t>Politique relative aux Samis</w:t>
      </w:r>
      <w:r w:rsidRPr="000A7EEA">
        <w:rPr>
          <w:lang w:val="fr-FR"/>
        </w:rPr>
        <w:t>»</w:t>
      </w:r>
      <w:r w:rsidRPr="00976C24">
        <w:rPr>
          <w:lang w:val="fr-FR"/>
        </w:rPr>
        <w:t>. Le Comité pourra se reporter au</w:t>
      </w:r>
      <w:r>
        <w:rPr>
          <w:lang w:val="fr-FR"/>
        </w:rPr>
        <w:t xml:space="preserve">x paragraphes 282 à </w:t>
      </w:r>
      <w:r w:rsidRPr="00976C24">
        <w:rPr>
          <w:lang w:val="fr-FR"/>
        </w:rPr>
        <w:t>284</w:t>
      </w:r>
      <w:r>
        <w:rPr>
          <w:lang w:val="fr-FR"/>
        </w:rPr>
        <w:t xml:space="preserve"> du </w:t>
      </w:r>
      <w:r w:rsidRPr="00976C24">
        <w:rPr>
          <w:lang w:val="fr-FR"/>
        </w:rPr>
        <w:t xml:space="preserve">sixième rapport soumis en vertu du </w:t>
      </w:r>
      <w:r>
        <w:rPr>
          <w:lang w:val="fr-FR"/>
        </w:rPr>
        <w:t>Pacte international relatif</w:t>
      </w:r>
      <w:r w:rsidRPr="00976C24">
        <w:rPr>
          <w:lang w:val="fr-FR"/>
        </w:rPr>
        <w:t xml:space="preserve"> aux droits civils et politiques.</w:t>
      </w:r>
    </w:p>
    <w:p w:rsidR="00903547" w:rsidRPr="00976C24" w:rsidRDefault="00903547" w:rsidP="006273F9">
      <w:pPr>
        <w:pStyle w:val="SingleTxtG"/>
        <w:rPr>
          <w:lang w:val="fr-FR"/>
        </w:rPr>
      </w:pPr>
      <w:r>
        <w:rPr>
          <w:lang w:val="fr-FR"/>
        </w:rPr>
        <w:t>505.</w:t>
      </w:r>
      <w:r>
        <w:rPr>
          <w:lang w:val="fr-FR"/>
        </w:rPr>
        <w:tab/>
      </w:r>
      <w:r w:rsidRPr="00976C24">
        <w:rPr>
          <w:lang w:val="fr-FR"/>
        </w:rPr>
        <w:t>En 2005, le Ministère de la culture a créé une subvention annuelle en faveur des sports samis</w:t>
      </w:r>
      <w:r>
        <w:rPr>
          <w:lang w:val="fr-FR"/>
        </w:rPr>
        <w:t>; l</w:t>
      </w:r>
      <w:r w:rsidRPr="00F656E0">
        <w:rPr>
          <w:lang w:val="fr-FR"/>
        </w:rPr>
        <w:t xml:space="preserve">es fonds proviennent essentiellement </w:t>
      </w:r>
      <w:r>
        <w:rPr>
          <w:lang w:val="fr-FR"/>
        </w:rPr>
        <w:t xml:space="preserve">du dispositif </w:t>
      </w:r>
      <w:r w:rsidRPr="00F656E0">
        <w:rPr>
          <w:lang w:val="fr-FR"/>
        </w:rPr>
        <w:t>des excédents des jeux de la loterie nationale à des fins sportives</w:t>
      </w:r>
      <w:r w:rsidRPr="00976C24">
        <w:rPr>
          <w:lang w:val="fr-FR"/>
        </w:rPr>
        <w:t>. La subvention est administrée par le Parlement sami et versée à l’Organisation des sports samis.</w:t>
      </w:r>
    </w:p>
    <w:p w:rsidR="00903547" w:rsidRPr="00976C24" w:rsidRDefault="00903547" w:rsidP="006273F9">
      <w:pPr>
        <w:pStyle w:val="SingleTxtG"/>
        <w:rPr>
          <w:lang w:val="fr-FR"/>
        </w:rPr>
      </w:pPr>
      <w:r>
        <w:rPr>
          <w:lang w:val="fr-FR"/>
        </w:rPr>
        <w:t>506.</w:t>
      </w:r>
      <w:r>
        <w:rPr>
          <w:lang w:val="fr-FR"/>
        </w:rPr>
        <w:tab/>
      </w:r>
      <w:r w:rsidRPr="00976C24">
        <w:rPr>
          <w:lang w:val="fr-FR"/>
        </w:rPr>
        <w:t xml:space="preserve">La subvention annuelle a principalement pour vocation de défendre et de développer les activités sportives </w:t>
      </w:r>
      <w:r>
        <w:rPr>
          <w:lang w:val="fr-FR"/>
        </w:rPr>
        <w:t>originales</w:t>
      </w:r>
      <w:r w:rsidRPr="00976C24">
        <w:rPr>
          <w:lang w:val="fr-FR"/>
        </w:rPr>
        <w:t xml:space="preserve"> propres aux Samis</w:t>
      </w:r>
      <w:r>
        <w:rPr>
          <w:lang w:val="fr-FR"/>
        </w:rPr>
        <w:t>, qui font partie de leur</w:t>
      </w:r>
      <w:r w:rsidRPr="00976C24">
        <w:rPr>
          <w:lang w:val="fr-FR"/>
        </w:rPr>
        <w:t xml:space="preserve"> culture traditionnelle. Ce sont les courses de rennes, le ski avec lancer de lasso et le cross avec ou sans lancer de lasso. Les groupes cibles sont les </w:t>
      </w:r>
      <w:r>
        <w:rPr>
          <w:lang w:val="fr-FR"/>
        </w:rPr>
        <w:t>enfants</w:t>
      </w:r>
      <w:r w:rsidRPr="00976C24">
        <w:rPr>
          <w:lang w:val="fr-FR"/>
        </w:rPr>
        <w:t xml:space="preserve"> de 6 à 12 ans et les jeunes de 13 à 19 ans.</w:t>
      </w:r>
    </w:p>
    <w:p w:rsidR="00903547" w:rsidRPr="00976C24" w:rsidRDefault="00903547" w:rsidP="006273F9">
      <w:pPr>
        <w:pStyle w:val="SingleTxtG"/>
        <w:rPr>
          <w:lang w:val="fr-FR"/>
        </w:rPr>
      </w:pPr>
      <w:r>
        <w:rPr>
          <w:lang w:val="fr-FR"/>
        </w:rPr>
        <w:t>507.</w:t>
      </w:r>
      <w:r>
        <w:rPr>
          <w:lang w:val="fr-FR"/>
        </w:rPr>
        <w:tab/>
      </w:r>
      <w:r w:rsidRPr="00976C24">
        <w:rPr>
          <w:lang w:val="fr-FR"/>
        </w:rPr>
        <w:t xml:space="preserve">Autres questions </w:t>
      </w:r>
      <w:r>
        <w:rPr>
          <w:lang w:val="fr-FR"/>
        </w:rPr>
        <w:t xml:space="preserve">portant sur la </w:t>
      </w:r>
      <w:r w:rsidRPr="00976C24">
        <w:rPr>
          <w:lang w:val="fr-FR"/>
        </w:rPr>
        <w:t xml:space="preserve">politique </w:t>
      </w:r>
      <w:r>
        <w:rPr>
          <w:lang w:val="fr-FR"/>
        </w:rPr>
        <w:t>relative aux Samis</w:t>
      </w:r>
      <w:r w:rsidRPr="00976C24">
        <w:rPr>
          <w:lang w:val="fr-FR"/>
        </w:rPr>
        <w:t>:</w:t>
      </w:r>
    </w:p>
    <w:p w:rsidR="00903547" w:rsidRPr="00976C24" w:rsidRDefault="00903547" w:rsidP="000B6FD2">
      <w:pPr>
        <w:pStyle w:val="Bullet1G"/>
        <w:rPr>
          <w:lang w:val="fr-FR"/>
        </w:rPr>
      </w:pPr>
      <w:r>
        <w:rPr>
          <w:lang w:val="fr-FR"/>
        </w:rPr>
        <w:t>Élections</w:t>
      </w:r>
      <w:r w:rsidRPr="00976C24">
        <w:rPr>
          <w:lang w:val="fr-FR"/>
        </w:rPr>
        <w:t xml:space="preserve"> au Sámediggi (Parlement sami), </w:t>
      </w:r>
      <w:r>
        <w:rPr>
          <w:lang w:val="fr-FR"/>
        </w:rPr>
        <w:t xml:space="preserve">voir les paragraphes 277 et </w:t>
      </w:r>
      <w:r w:rsidRPr="00976C24">
        <w:rPr>
          <w:lang w:val="fr-FR"/>
        </w:rPr>
        <w:t>278</w:t>
      </w:r>
      <w:r>
        <w:rPr>
          <w:lang w:val="fr-FR"/>
        </w:rPr>
        <w:t xml:space="preserve"> du </w:t>
      </w:r>
      <w:r w:rsidRPr="00976C24">
        <w:rPr>
          <w:lang w:val="fr-FR"/>
        </w:rPr>
        <w:t xml:space="preserve">sixième rapport soumis en vertu du </w:t>
      </w:r>
      <w:r>
        <w:rPr>
          <w:lang w:val="fr-FR"/>
        </w:rPr>
        <w:t>Pacte international relatif</w:t>
      </w:r>
      <w:r w:rsidRPr="00976C24">
        <w:rPr>
          <w:lang w:val="fr-FR"/>
        </w:rPr>
        <w:t xml:space="preserve"> aux droits civils et politiques</w:t>
      </w:r>
      <w:r>
        <w:rPr>
          <w:lang w:val="fr-FR"/>
        </w:rPr>
        <w:t>;</w:t>
      </w:r>
    </w:p>
    <w:p w:rsidR="00903547" w:rsidRPr="00976C24" w:rsidRDefault="00903547" w:rsidP="0071086E">
      <w:pPr>
        <w:pStyle w:val="Bullet1G"/>
        <w:numPr>
          <w:ilvl w:val="0"/>
          <w:numId w:val="3"/>
        </w:numPr>
        <w:rPr>
          <w:lang w:val="fr-FR"/>
        </w:rPr>
      </w:pPr>
      <w:r>
        <w:rPr>
          <w:lang w:val="fr-FR"/>
        </w:rPr>
        <w:t>D</w:t>
      </w:r>
      <w:r w:rsidRPr="00976C24">
        <w:rPr>
          <w:lang w:val="fr-FR"/>
        </w:rPr>
        <w:t xml:space="preserve">istrict administratif des langues samis, </w:t>
      </w:r>
      <w:r>
        <w:rPr>
          <w:lang w:val="fr-FR"/>
        </w:rPr>
        <w:t xml:space="preserve">voir les paragraphes 285 et </w:t>
      </w:r>
      <w:r w:rsidRPr="00976C24">
        <w:rPr>
          <w:lang w:val="fr-FR"/>
        </w:rPr>
        <w:t>286</w:t>
      </w:r>
      <w:r>
        <w:rPr>
          <w:lang w:val="fr-FR"/>
        </w:rPr>
        <w:t xml:space="preserve"> du rapport</w:t>
      </w:r>
      <w:r w:rsidRPr="00976C24">
        <w:rPr>
          <w:lang w:val="fr-FR"/>
        </w:rPr>
        <w:t xml:space="preserve"> soumis en vertu du </w:t>
      </w:r>
      <w:r>
        <w:rPr>
          <w:lang w:val="fr-FR"/>
        </w:rPr>
        <w:t>Pacte international relatif</w:t>
      </w:r>
      <w:r w:rsidRPr="00976C24">
        <w:rPr>
          <w:lang w:val="fr-FR"/>
        </w:rPr>
        <w:t xml:space="preserve"> aux droits civils et politiques</w:t>
      </w:r>
      <w:r>
        <w:rPr>
          <w:lang w:val="fr-FR"/>
        </w:rPr>
        <w:t>;</w:t>
      </w:r>
    </w:p>
    <w:p w:rsidR="00903547" w:rsidRPr="00976C24" w:rsidRDefault="00903547" w:rsidP="0071086E">
      <w:pPr>
        <w:pStyle w:val="Bullet1G"/>
        <w:numPr>
          <w:ilvl w:val="0"/>
          <w:numId w:val="3"/>
        </w:numPr>
        <w:rPr>
          <w:lang w:val="fr-FR"/>
        </w:rPr>
      </w:pPr>
      <w:r w:rsidRPr="00976C24">
        <w:rPr>
          <w:lang w:val="fr-FR"/>
        </w:rPr>
        <w:t xml:space="preserve">Emploi des langues samis dans la sphère publique, </w:t>
      </w:r>
      <w:r>
        <w:rPr>
          <w:lang w:val="fr-FR"/>
        </w:rPr>
        <w:t xml:space="preserve">voir les paragraphes 287 à </w:t>
      </w:r>
      <w:r w:rsidRPr="00976C24">
        <w:rPr>
          <w:lang w:val="fr-FR"/>
        </w:rPr>
        <w:t>289</w:t>
      </w:r>
      <w:r>
        <w:rPr>
          <w:lang w:val="fr-FR"/>
        </w:rPr>
        <w:t xml:space="preserve"> du rapport</w:t>
      </w:r>
      <w:r w:rsidRPr="00976C24">
        <w:rPr>
          <w:lang w:val="fr-FR"/>
        </w:rPr>
        <w:t xml:space="preserve"> soumis en vertu du </w:t>
      </w:r>
      <w:r>
        <w:rPr>
          <w:lang w:val="fr-FR"/>
        </w:rPr>
        <w:t>Pacte international relatif</w:t>
      </w:r>
      <w:r w:rsidRPr="00976C24">
        <w:rPr>
          <w:lang w:val="fr-FR"/>
        </w:rPr>
        <w:t xml:space="preserve"> aux droits civils et politiques</w:t>
      </w:r>
      <w:r>
        <w:rPr>
          <w:lang w:val="fr-FR"/>
        </w:rPr>
        <w:t>;</w:t>
      </w:r>
    </w:p>
    <w:p w:rsidR="00903547" w:rsidRPr="00976C24" w:rsidRDefault="00903547" w:rsidP="0071086E">
      <w:pPr>
        <w:pStyle w:val="Bullet1G"/>
        <w:numPr>
          <w:ilvl w:val="0"/>
          <w:numId w:val="3"/>
        </w:numPr>
        <w:rPr>
          <w:lang w:val="fr-FR"/>
        </w:rPr>
      </w:pPr>
      <w:r w:rsidRPr="00976C24">
        <w:rPr>
          <w:lang w:val="fr-FR"/>
        </w:rPr>
        <w:t xml:space="preserve">Tribunal de district du Finnmark intérieur et terminologie juridique dans la langue sami du nord, </w:t>
      </w:r>
      <w:r>
        <w:rPr>
          <w:lang w:val="fr-FR"/>
        </w:rPr>
        <w:t xml:space="preserve">voir les paragraphes 93 et </w:t>
      </w:r>
      <w:r w:rsidRPr="00976C24">
        <w:rPr>
          <w:lang w:val="fr-FR"/>
        </w:rPr>
        <w:t>94</w:t>
      </w:r>
      <w:r>
        <w:rPr>
          <w:lang w:val="fr-FR"/>
        </w:rPr>
        <w:t xml:space="preserve"> du rapport</w:t>
      </w:r>
      <w:r w:rsidRPr="00976C24">
        <w:rPr>
          <w:lang w:val="fr-FR"/>
        </w:rPr>
        <w:t xml:space="preserve"> soumis en vertu du </w:t>
      </w:r>
      <w:r>
        <w:rPr>
          <w:lang w:val="fr-FR"/>
        </w:rPr>
        <w:t>Pacte international relatif</w:t>
      </w:r>
      <w:r w:rsidRPr="00976C24">
        <w:rPr>
          <w:lang w:val="fr-FR"/>
        </w:rPr>
        <w:t xml:space="preserve"> aux droits civils et politiques</w:t>
      </w:r>
      <w:r>
        <w:rPr>
          <w:lang w:val="fr-FR"/>
        </w:rPr>
        <w:t>;</w:t>
      </w:r>
    </w:p>
    <w:p w:rsidR="00903547" w:rsidRPr="00976C24" w:rsidRDefault="00903547" w:rsidP="0071086E">
      <w:pPr>
        <w:pStyle w:val="Bullet1G"/>
        <w:numPr>
          <w:ilvl w:val="0"/>
          <w:numId w:val="3"/>
        </w:numPr>
        <w:rPr>
          <w:lang w:val="fr-FR"/>
        </w:rPr>
      </w:pPr>
      <w:r w:rsidRPr="00976C24">
        <w:rPr>
          <w:lang w:val="fr-FR"/>
        </w:rPr>
        <w:t xml:space="preserve">Service norvégien de l’emploi et de la protection sociale, voir le </w:t>
      </w:r>
      <w:r>
        <w:rPr>
          <w:lang w:val="fr-FR"/>
        </w:rPr>
        <w:t xml:space="preserve">paragraphe 3 du </w:t>
      </w:r>
      <w:r w:rsidRPr="00976C24">
        <w:rPr>
          <w:lang w:val="fr-FR"/>
        </w:rPr>
        <w:t>rapport soumis à l’OIT</w:t>
      </w:r>
      <w:r>
        <w:rPr>
          <w:lang w:val="fr-FR"/>
        </w:rPr>
        <w:t>;</w:t>
      </w:r>
    </w:p>
    <w:p w:rsidR="00903547" w:rsidRPr="00976C24" w:rsidRDefault="00903547" w:rsidP="0071086E">
      <w:pPr>
        <w:pStyle w:val="Bullet1G"/>
        <w:numPr>
          <w:ilvl w:val="0"/>
          <w:numId w:val="3"/>
        </w:numPr>
        <w:rPr>
          <w:lang w:val="fr-FR"/>
        </w:rPr>
      </w:pPr>
      <w:r>
        <w:rPr>
          <w:lang w:val="fr-FR"/>
        </w:rPr>
        <w:t>Pr</w:t>
      </w:r>
      <w:r w:rsidRPr="00976C24">
        <w:rPr>
          <w:lang w:val="fr-FR"/>
        </w:rPr>
        <w:t>ojet éclaireurs samis, voir le</w:t>
      </w:r>
      <w:r w:rsidRPr="007A691A">
        <w:rPr>
          <w:lang w:val="fr-FR"/>
        </w:rPr>
        <w:t xml:space="preserve"> </w:t>
      </w:r>
      <w:r w:rsidRPr="00976C24">
        <w:rPr>
          <w:lang w:val="fr-FR"/>
        </w:rPr>
        <w:t>paragraphe 276</w:t>
      </w:r>
      <w:r>
        <w:rPr>
          <w:lang w:val="fr-FR"/>
        </w:rPr>
        <w:t xml:space="preserve"> du</w:t>
      </w:r>
      <w:r w:rsidRPr="00976C24">
        <w:rPr>
          <w:lang w:val="fr-FR"/>
        </w:rPr>
        <w:t xml:space="preserve"> rapport soumis au Comité pour l’élimination de la discrimination raciale</w:t>
      </w:r>
      <w:r>
        <w:rPr>
          <w:lang w:val="fr-FR"/>
        </w:rPr>
        <w:t>;</w:t>
      </w:r>
    </w:p>
    <w:p w:rsidR="00903547" w:rsidRPr="00976C24" w:rsidRDefault="00903547" w:rsidP="0071086E">
      <w:pPr>
        <w:pStyle w:val="Bullet1G"/>
        <w:numPr>
          <w:ilvl w:val="0"/>
          <w:numId w:val="3"/>
        </w:numPr>
        <w:rPr>
          <w:lang w:val="fr-FR"/>
        </w:rPr>
      </w:pPr>
      <w:r w:rsidRPr="00976C24">
        <w:rPr>
          <w:lang w:val="fr-FR"/>
        </w:rPr>
        <w:t>Questions relatives au peuple sami de l’est, voir le</w:t>
      </w:r>
      <w:r>
        <w:rPr>
          <w:lang w:val="fr-FR"/>
        </w:rPr>
        <w:t>s</w:t>
      </w:r>
      <w:r w:rsidRPr="00976C24">
        <w:rPr>
          <w:lang w:val="fr-FR"/>
        </w:rPr>
        <w:t xml:space="preserve"> paragraphes 16 et 17</w:t>
      </w:r>
      <w:r>
        <w:rPr>
          <w:lang w:val="fr-FR"/>
        </w:rPr>
        <w:t xml:space="preserve"> du </w:t>
      </w:r>
      <w:r w:rsidRPr="00976C24">
        <w:rPr>
          <w:lang w:val="fr-FR"/>
        </w:rPr>
        <w:t>rapport soumis au Comité pour l’élimination de la discrimination raciale</w:t>
      </w:r>
      <w:r>
        <w:rPr>
          <w:lang w:val="fr-FR"/>
        </w:rPr>
        <w:t>;</w:t>
      </w:r>
    </w:p>
    <w:p w:rsidR="00903547" w:rsidRPr="00976C24" w:rsidRDefault="00903547" w:rsidP="0071086E">
      <w:pPr>
        <w:pStyle w:val="Bullet1G"/>
        <w:numPr>
          <w:ilvl w:val="0"/>
          <w:numId w:val="3"/>
        </w:numPr>
        <w:rPr>
          <w:lang w:val="fr-FR"/>
        </w:rPr>
      </w:pPr>
      <w:r w:rsidRPr="00976C24">
        <w:rPr>
          <w:lang w:val="fr-FR"/>
        </w:rPr>
        <w:t>Gáldu – Centre de documentation pour les droits des peuples autochtones, voir le paragraphe 242</w:t>
      </w:r>
      <w:r>
        <w:rPr>
          <w:lang w:val="fr-FR"/>
        </w:rPr>
        <w:t xml:space="preserve"> du </w:t>
      </w:r>
      <w:r w:rsidRPr="00976C24">
        <w:rPr>
          <w:lang w:val="fr-FR"/>
        </w:rPr>
        <w:t xml:space="preserve">cinquième rapport soumis en vertu du </w:t>
      </w:r>
      <w:r>
        <w:rPr>
          <w:lang w:val="fr-FR"/>
        </w:rPr>
        <w:t>Pacte international relatif</w:t>
      </w:r>
      <w:r w:rsidRPr="00976C24">
        <w:rPr>
          <w:lang w:val="fr-FR"/>
        </w:rPr>
        <w:t xml:space="preserve"> aux droits civils et politiques</w:t>
      </w:r>
      <w:r>
        <w:rPr>
          <w:lang w:val="fr-FR"/>
        </w:rPr>
        <w:t>;</w:t>
      </w:r>
    </w:p>
    <w:p w:rsidR="00903547" w:rsidRPr="00976C24" w:rsidRDefault="00903547" w:rsidP="0071086E">
      <w:pPr>
        <w:pStyle w:val="Bullet1G"/>
        <w:numPr>
          <w:ilvl w:val="0"/>
          <w:numId w:val="3"/>
        </w:numPr>
        <w:rPr>
          <w:lang w:val="fr-FR"/>
        </w:rPr>
      </w:pPr>
      <w:r w:rsidRPr="00976C24">
        <w:rPr>
          <w:lang w:val="fr-FR"/>
        </w:rPr>
        <w:t xml:space="preserve">Centre international pour l’élevage du renne, </w:t>
      </w:r>
      <w:r>
        <w:rPr>
          <w:lang w:val="fr-FR"/>
        </w:rPr>
        <w:t xml:space="preserve">voir les paragraphes 290 et </w:t>
      </w:r>
      <w:r w:rsidRPr="00976C24">
        <w:rPr>
          <w:lang w:val="fr-FR"/>
        </w:rPr>
        <w:t>291</w:t>
      </w:r>
      <w:r>
        <w:rPr>
          <w:lang w:val="fr-FR"/>
        </w:rPr>
        <w:t xml:space="preserve"> du </w:t>
      </w:r>
      <w:r w:rsidRPr="00976C24">
        <w:rPr>
          <w:lang w:val="fr-FR"/>
        </w:rPr>
        <w:t xml:space="preserve">sixième rapport soumis </w:t>
      </w:r>
      <w:r>
        <w:rPr>
          <w:lang w:val="fr-FR"/>
        </w:rPr>
        <w:t>en vertu du Pacte international relatif aux droits civils et politiques;</w:t>
      </w:r>
    </w:p>
    <w:p w:rsidR="00903547" w:rsidRPr="00976C24" w:rsidRDefault="00903547" w:rsidP="0071086E">
      <w:pPr>
        <w:pStyle w:val="Bullet1G"/>
        <w:numPr>
          <w:ilvl w:val="0"/>
          <w:numId w:val="3"/>
        </w:numPr>
        <w:rPr>
          <w:lang w:val="fr-FR"/>
        </w:rPr>
      </w:pPr>
      <w:r w:rsidRPr="00976C24">
        <w:rPr>
          <w:lang w:val="fr-FR"/>
        </w:rPr>
        <w:t xml:space="preserve">Mesures </w:t>
      </w:r>
      <w:r>
        <w:rPr>
          <w:lang w:val="fr-FR"/>
        </w:rPr>
        <w:t>ayant trait</w:t>
      </w:r>
      <w:r w:rsidRPr="00976C24">
        <w:rPr>
          <w:lang w:val="fr-FR"/>
        </w:rPr>
        <w:t xml:space="preserve"> aux médias ciblant les Samis en Norvège, voir le</w:t>
      </w:r>
      <w:r>
        <w:rPr>
          <w:lang w:val="fr-FR"/>
        </w:rPr>
        <w:t xml:space="preserve">s paragraphes 222 à </w:t>
      </w:r>
      <w:r w:rsidRPr="00976C24">
        <w:rPr>
          <w:lang w:val="fr-FR"/>
        </w:rPr>
        <w:t>228</w:t>
      </w:r>
      <w:r>
        <w:rPr>
          <w:lang w:val="fr-FR"/>
        </w:rPr>
        <w:t xml:space="preserve"> du </w:t>
      </w:r>
      <w:r w:rsidRPr="00976C24">
        <w:rPr>
          <w:lang w:val="fr-FR"/>
        </w:rPr>
        <w:t>rapport soumis au Comité pour l’élimination de la discrimination raciale</w:t>
      </w:r>
      <w:r>
        <w:rPr>
          <w:lang w:val="fr-FR"/>
        </w:rPr>
        <w:t>;</w:t>
      </w:r>
    </w:p>
    <w:p w:rsidR="00903547" w:rsidRPr="00976C24" w:rsidRDefault="00903547" w:rsidP="0071086E">
      <w:pPr>
        <w:pStyle w:val="Bullet1G"/>
        <w:numPr>
          <w:ilvl w:val="0"/>
          <w:numId w:val="3"/>
        </w:numPr>
        <w:rPr>
          <w:lang w:val="fr-FR"/>
        </w:rPr>
      </w:pPr>
      <w:r w:rsidRPr="00976C24">
        <w:rPr>
          <w:lang w:val="fr-FR"/>
        </w:rPr>
        <w:t xml:space="preserve">Fonds en faveur du peuple sami, </w:t>
      </w:r>
      <w:r>
        <w:rPr>
          <w:lang w:val="fr-FR"/>
        </w:rPr>
        <w:t xml:space="preserve">voir le </w:t>
      </w:r>
      <w:r w:rsidRPr="00976C24">
        <w:rPr>
          <w:lang w:val="fr-FR"/>
        </w:rPr>
        <w:t>paragraphe 135</w:t>
      </w:r>
      <w:r>
        <w:rPr>
          <w:lang w:val="fr-FR"/>
        </w:rPr>
        <w:t xml:space="preserve"> des</w:t>
      </w:r>
      <w:r w:rsidRPr="00976C24">
        <w:rPr>
          <w:lang w:val="fr-FR"/>
        </w:rPr>
        <w:t xml:space="preserve"> dix-septième et dix-huitième rapports de la Norvège soumis au Comité pour l’élimination de la discrimination raciale et </w:t>
      </w:r>
      <w:r>
        <w:rPr>
          <w:lang w:val="fr-FR"/>
        </w:rPr>
        <w:t>le</w:t>
      </w:r>
      <w:r w:rsidRPr="00561749">
        <w:rPr>
          <w:lang w:val="fr-FR"/>
        </w:rPr>
        <w:t xml:space="preserve"> </w:t>
      </w:r>
      <w:r w:rsidRPr="00976C24">
        <w:rPr>
          <w:lang w:val="fr-FR"/>
        </w:rPr>
        <w:t xml:space="preserve">paragraphe 257 </w:t>
      </w:r>
      <w:r>
        <w:rPr>
          <w:lang w:val="fr-FR"/>
        </w:rPr>
        <w:t xml:space="preserve">des </w:t>
      </w:r>
      <w:r w:rsidRPr="00976C24">
        <w:rPr>
          <w:lang w:val="fr-FR"/>
        </w:rPr>
        <w:t>dix-neuvième et vingtième rapports soumis au Comité pour l’élimination de la discrimination raciale</w:t>
      </w:r>
      <w:r>
        <w:rPr>
          <w:lang w:val="fr-FR"/>
        </w:rPr>
        <w:t>;</w:t>
      </w:r>
    </w:p>
    <w:p w:rsidR="00903547" w:rsidRPr="00976C24" w:rsidRDefault="00903547" w:rsidP="0071086E">
      <w:pPr>
        <w:pStyle w:val="Bullet1G"/>
        <w:numPr>
          <w:ilvl w:val="0"/>
          <w:numId w:val="3"/>
        </w:numPr>
        <w:rPr>
          <w:lang w:val="fr-FR"/>
        </w:rPr>
      </w:pPr>
      <w:r w:rsidRPr="00976C24">
        <w:rPr>
          <w:lang w:val="fr-FR"/>
        </w:rPr>
        <w:t xml:space="preserve">Formation des enseignants et programme de formation des enseignants, </w:t>
      </w:r>
      <w:r>
        <w:rPr>
          <w:lang w:val="fr-FR"/>
        </w:rPr>
        <w:t xml:space="preserve">voir le </w:t>
      </w:r>
      <w:r w:rsidRPr="00976C24">
        <w:rPr>
          <w:lang w:val="fr-FR"/>
        </w:rPr>
        <w:t>paragraphe 282</w:t>
      </w:r>
      <w:r>
        <w:rPr>
          <w:lang w:val="fr-FR"/>
        </w:rPr>
        <w:t xml:space="preserve"> du rapport</w:t>
      </w:r>
      <w:r w:rsidRPr="00976C24">
        <w:rPr>
          <w:lang w:val="fr-FR"/>
        </w:rPr>
        <w:t xml:space="preserve"> soumis au Comité pour l’élimination de la discrimination raciale</w:t>
      </w:r>
      <w:r>
        <w:rPr>
          <w:lang w:val="fr-FR"/>
        </w:rPr>
        <w:t>.</w:t>
      </w:r>
    </w:p>
    <w:p w:rsidR="00903547" w:rsidRPr="00976C24" w:rsidRDefault="00903547" w:rsidP="0071086E">
      <w:pPr>
        <w:pStyle w:val="H23G"/>
        <w:rPr>
          <w:lang w:val="fr-FR"/>
        </w:rPr>
      </w:pPr>
      <w:r w:rsidRPr="00976C24">
        <w:rPr>
          <w:lang w:val="fr-FR"/>
        </w:rPr>
        <w:tab/>
        <w:t>d)</w:t>
      </w:r>
      <w:r w:rsidRPr="00976C24">
        <w:rPr>
          <w:lang w:val="fr-FR"/>
        </w:rPr>
        <w:tab/>
        <w:t>Mesures prises pour trouver un juste équilibre entre la nécessité d’assurer la protection efficace des intérêts moraux et matériels des auteurs et les obligations de l’</w:t>
      </w:r>
      <w:r>
        <w:rPr>
          <w:lang w:val="fr-FR"/>
        </w:rPr>
        <w:t>État</w:t>
      </w:r>
      <w:r w:rsidRPr="00976C24">
        <w:rPr>
          <w:lang w:val="fr-FR"/>
        </w:rPr>
        <w:t xml:space="preserve"> partie concernant les autres droits </w:t>
      </w:r>
      <w:r w:rsidRPr="00561749">
        <w:rPr>
          <w:lang w:val="fr-FR"/>
        </w:rPr>
        <w:t xml:space="preserve">reconnus </w:t>
      </w:r>
      <w:r>
        <w:rPr>
          <w:lang w:val="fr-FR"/>
        </w:rPr>
        <w:t>par</w:t>
      </w:r>
      <w:r w:rsidRPr="00561749">
        <w:rPr>
          <w:lang w:val="fr-FR"/>
        </w:rPr>
        <w:t xml:space="preserve"> le Pacte</w:t>
      </w:r>
      <w:r w:rsidRPr="00976C24">
        <w:rPr>
          <w:lang w:val="fr-FR"/>
        </w:rPr>
        <w:t xml:space="preserve"> </w:t>
      </w:r>
    </w:p>
    <w:p w:rsidR="00903547" w:rsidRPr="00976C24" w:rsidRDefault="00903547" w:rsidP="006273F9">
      <w:pPr>
        <w:pStyle w:val="SingleTxtG"/>
        <w:rPr>
          <w:lang w:val="fr-FR"/>
        </w:rPr>
      </w:pPr>
      <w:r>
        <w:rPr>
          <w:lang w:val="fr-FR"/>
        </w:rPr>
        <w:t>508.</w:t>
      </w:r>
      <w:r>
        <w:rPr>
          <w:lang w:val="fr-FR"/>
        </w:rPr>
        <w:tab/>
      </w:r>
      <w:r w:rsidRPr="00976C24">
        <w:rPr>
          <w:lang w:val="fr-FR"/>
        </w:rPr>
        <w:t xml:space="preserve">Le Comité pourra se reporter aux paragraphes 499 et 500 du présent rapport </w:t>
      </w:r>
      <w:r>
        <w:rPr>
          <w:lang w:val="fr-FR"/>
        </w:rPr>
        <w:t>relatifs aux</w:t>
      </w:r>
      <w:r w:rsidRPr="00976C24">
        <w:rPr>
          <w:lang w:val="fr-FR"/>
        </w:rPr>
        <w:t xml:space="preserve"> droits d’auteur.</w:t>
      </w:r>
    </w:p>
    <w:p w:rsidR="00903547" w:rsidRPr="00976C24" w:rsidRDefault="00903547" w:rsidP="000B6FD2">
      <w:pPr>
        <w:pStyle w:val="SingleTxtG"/>
        <w:rPr>
          <w:lang w:val="fr-FR"/>
        </w:rPr>
      </w:pPr>
      <w:r>
        <w:rPr>
          <w:lang w:val="fr-FR"/>
        </w:rPr>
        <w:t>509.</w:t>
      </w:r>
      <w:r>
        <w:rPr>
          <w:lang w:val="fr-FR"/>
        </w:rPr>
        <w:tab/>
      </w:r>
      <w:r w:rsidRPr="00976C24">
        <w:rPr>
          <w:lang w:val="fr-FR"/>
        </w:rPr>
        <w:t xml:space="preserve">En règle générale, les </w:t>
      </w:r>
      <w:r>
        <w:rPr>
          <w:lang w:val="fr-FR"/>
        </w:rPr>
        <w:t>salariés</w:t>
      </w:r>
      <w:r w:rsidRPr="00976C24">
        <w:rPr>
          <w:lang w:val="fr-FR"/>
        </w:rPr>
        <w:t xml:space="preserve"> ont les mêmes droits découlant de leurs inventions que les autres inventeurs, mais </w:t>
      </w:r>
      <w:r>
        <w:rPr>
          <w:lang w:val="fr-FR"/>
        </w:rPr>
        <w:t xml:space="preserve">si </w:t>
      </w:r>
      <w:r w:rsidRPr="00976C24">
        <w:rPr>
          <w:lang w:val="fr-FR"/>
        </w:rPr>
        <w:t xml:space="preserve">un </w:t>
      </w:r>
      <w:r>
        <w:rPr>
          <w:lang w:val="fr-FR"/>
        </w:rPr>
        <w:t>salarié principalement occupé à</w:t>
      </w:r>
      <w:r w:rsidRPr="00976C24">
        <w:rPr>
          <w:lang w:val="fr-FR"/>
        </w:rPr>
        <w:t xml:space="preserve"> des travaux de recherche ou d’invention fait une découverte dans le cadre de s</w:t>
      </w:r>
      <w:r>
        <w:rPr>
          <w:lang w:val="fr-FR"/>
        </w:rPr>
        <w:t>es fonctions</w:t>
      </w:r>
      <w:r w:rsidRPr="00976C24">
        <w:rPr>
          <w:lang w:val="fr-FR"/>
        </w:rPr>
        <w:t xml:space="preserve">, ou </w:t>
      </w:r>
      <w:r>
        <w:rPr>
          <w:lang w:val="fr-FR"/>
        </w:rPr>
        <w:t xml:space="preserve">si </w:t>
      </w:r>
      <w:r w:rsidRPr="00976C24">
        <w:rPr>
          <w:lang w:val="fr-FR"/>
        </w:rPr>
        <w:t xml:space="preserve">une découverte résulte d’une tâche </w:t>
      </w:r>
      <w:r>
        <w:rPr>
          <w:lang w:val="fr-FR"/>
        </w:rPr>
        <w:t>précise</w:t>
      </w:r>
      <w:r w:rsidRPr="00976C24">
        <w:rPr>
          <w:lang w:val="fr-FR"/>
        </w:rPr>
        <w:t xml:space="preserve"> </w:t>
      </w:r>
      <w:r>
        <w:rPr>
          <w:lang w:val="fr-FR"/>
        </w:rPr>
        <w:t xml:space="preserve">qui lui a été </w:t>
      </w:r>
      <w:r w:rsidRPr="00976C24">
        <w:rPr>
          <w:lang w:val="fr-FR"/>
        </w:rPr>
        <w:t xml:space="preserve">assignée, l’employeur est en droit de disposer de tout ou partie des droits découlant de l’invention si </w:t>
      </w:r>
      <w:r>
        <w:rPr>
          <w:lang w:val="fr-FR"/>
        </w:rPr>
        <w:t xml:space="preserve">son </w:t>
      </w:r>
      <w:r w:rsidRPr="00976C24">
        <w:rPr>
          <w:lang w:val="fr-FR"/>
        </w:rPr>
        <w:t>exploitation s’inscrit dans la sphère d’</w:t>
      </w:r>
      <w:r>
        <w:rPr>
          <w:lang w:val="fr-FR"/>
        </w:rPr>
        <w:t>activité</w:t>
      </w:r>
      <w:r w:rsidRPr="00976C24">
        <w:rPr>
          <w:lang w:val="fr-FR"/>
        </w:rPr>
        <w:t xml:space="preserve"> de </w:t>
      </w:r>
      <w:r>
        <w:rPr>
          <w:lang w:val="fr-FR"/>
        </w:rPr>
        <w:t>l’e</w:t>
      </w:r>
      <w:r w:rsidRPr="00976C24">
        <w:rPr>
          <w:lang w:val="fr-FR"/>
        </w:rPr>
        <w:t>ntreprise.</w:t>
      </w:r>
    </w:p>
    <w:p w:rsidR="00903547" w:rsidRPr="00976C24" w:rsidRDefault="00903547" w:rsidP="006273F9">
      <w:pPr>
        <w:pStyle w:val="SingleTxtG"/>
        <w:rPr>
          <w:lang w:val="fr-FR"/>
        </w:rPr>
      </w:pPr>
      <w:r>
        <w:rPr>
          <w:lang w:val="fr-FR"/>
        </w:rPr>
        <w:t>510.</w:t>
      </w:r>
      <w:r>
        <w:rPr>
          <w:lang w:val="fr-FR"/>
        </w:rPr>
        <w:tab/>
      </w:r>
      <w:r w:rsidRPr="00976C24">
        <w:rPr>
          <w:lang w:val="fr-FR"/>
        </w:rPr>
        <w:t xml:space="preserve">Si un employeur acquiert des droits sur l’invention d’un </w:t>
      </w:r>
      <w:r>
        <w:rPr>
          <w:lang w:val="fr-FR"/>
        </w:rPr>
        <w:t>salarié</w:t>
      </w:r>
      <w:r w:rsidRPr="00976C24">
        <w:rPr>
          <w:lang w:val="fr-FR"/>
        </w:rPr>
        <w:t xml:space="preserve">, ce dernier </w:t>
      </w:r>
      <w:r>
        <w:rPr>
          <w:lang w:val="fr-FR"/>
        </w:rPr>
        <w:t>peut prétendre à une</w:t>
      </w:r>
      <w:r w:rsidRPr="00976C24">
        <w:rPr>
          <w:lang w:val="fr-FR"/>
        </w:rPr>
        <w:t xml:space="preserve"> indemnité </w:t>
      </w:r>
      <w:r>
        <w:rPr>
          <w:lang w:val="fr-FR"/>
        </w:rPr>
        <w:t>appropriée</w:t>
      </w:r>
      <w:r w:rsidRPr="00976C24">
        <w:rPr>
          <w:lang w:val="fr-FR"/>
        </w:rPr>
        <w:t xml:space="preserve"> conformément à </w:t>
      </w:r>
      <w:r>
        <w:rPr>
          <w:lang w:val="fr-FR"/>
        </w:rPr>
        <w:t xml:space="preserve">l’article 7 de </w:t>
      </w:r>
      <w:r w:rsidRPr="00976C24">
        <w:rPr>
          <w:lang w:val="fr-FR"/>
        </w:rPr>
        <w:t xml:space="preserve">la loi sur les droits relatifs aux inventions des </w:t>
      </w:r>
      <w:r>
        <w:rPr>
          <w:lang w:val="fr-FR"/>
        </w:rPr>
        <w:t>salariés (loi du 17 avril 1970 n</w:t>
      </w:r>
      <w:r w:rsidRPr="00165F4A">
        <w:rPr>
          <w:vertAlign w:val="superscript"/>
          <w:lang w:val="fr-FR"/>
        </w:rPr>
        <w:t>o</w:t>
      </w:r>
      <w:r>
        <w:rPr>
          <w:lang w:val="fr-FR"/>
        </w:rPr>
        <w:t> </w:t>
      </w:r>
      <w:r w:rsidRPr="00976C24">
        <w:rPr>
          <w:lang w:val="fr-FR"/>
        </w:rPr>
        <w:t>21).</w:t>
      </w:r>
    </w:p>
    <w:p w:rsidR="00903547" w:rsidRPr="00976C24" w:rsidRDefault="00903547" w:rsidP="0071086E">
      <w:pPr>
        <w:pStyle w:val="H23G"/>
        <w:rPr>
          <w:lang w:val="fr-FR"/>
        </w:rPr>
      </w:pPr>
      <w:r w:rsidRPr="00976C24">
        <w:rPr>
          <w:lang w:val="fr-FR"/>
        </w:rPr>
        <w:tab/>
        <w:t>6.</w:t>
      </w:r>
      <w:r w:rsidRPr="00976C24">
        <w:rPr>
          <w:lang w:val="fr-FR"/>
        </w:rPr>
        <w:tab/>
        <w:t>Dispositions législatives adoptées pour protéger la liberté indispensable à la recherche scientifique et à l’activité créatrice et restrictions imposées à l’exercice de cette liberté (E/2009/22-E/C.12/2008/3, annexe VIII, par.</w:t>
      </w:r>
      <w:r>
        <w:rPr>
          <w:lang w:val="fr-FR"/>
        </w:rPr>
        <w:t> </w:t>
      </w:r>
      <w:r w:rsidRPr="00976C24">
        <w:rPr>
          <w:lang w:val="fr-FR"/>
        </w:rPr>
        <w:t>72)</w:t>
      </w:r>
    </w:p>
    <w:p w:rsidR="00903547" w:rsidRPr="00976C24" w:rsidRDefault="00903547" w:rsidP="006273F9">
      <w:pPr>
        <w:pStyle w:val="SingleTxtG"/>
        <w:rPr>
          <w:lang w:val="fr-FR"/>
        </w:rPr>
      </w:pPr>
      <w:r>
        <w:rPr>
          <w:lang w:val="fr-FR"/>
        </w:rPr>
        <w:t>511.</w:t>
      </w:r>
      <w:r>
        <w:rPr>
          <w:lang w:val="fr-FR"/>
        </w:rPr>
        <w:tab/>
      </w:r>
      <w:r w:rsidRPr="00976C24">
        <w:rPr>
          <w:lang w:val="fr-FR"/>
        </w:rPr>
        <w:t xml:space="preserve">En 2005, une commission a été désignée par le Ministère de l’éducation et de la recherche pour réfléchir </w:t>
      </w:r>
      <w:r>
        <w:rPr>
          <w:lang w:val="fr-FR"/>
        </w:rPr>
        <w:t xml:space="preserve">à la réglementation des </w:t>
      </w:r>
      <w:r w:rsidRPr="00976C24">
        <w:rPr>
          <w:lang w:val="fr-FR"/>
        </w:rPr>
        <w:t>liberté</w:t>
      </w:r>
      <w:r>
        <w:rPr>
          <w:lang w:val="fr-FR"/>
        </w:rPr>
        <w:t>s académiques</w:t>
      </w:r>
      <w:r w:rsidRPr="00976C24">
        <w:rPr>
          <w:lang w:val="fr-FR"/>
        </w:rPr>
        <w:t>. La commission a soumis son rapport au Ministre de l’éducation et de la recherche en 2006 (Rapport offi</w:t>
      </w:r>
      <w:r>
        <w:rPr>
          <w:lang w:val="fr-FR"/>
        </w:rPr>
        <w:t>ciel de la Norvège (NOU) 2006, n</w:t>
      </w:r>
      <w:r w:rsidRPr="00165F4A">
        <w:rPr>
          <w:vertAlign w:val="superscript"/>
          <w:lang w:val="fr-FR"/>
        </w:rPr>
        <w:t>o</w:t>
      </w:r>
      <w:r>
        <w:rPr>
          <w:lang w:val="fr-FR"/>
        </w:rPr>
        <w:t> </w:t>
      </w:r>
      <w:r w:rsidRPr="00976C24">
        <w:rPr>
          <w:lang w:val="fr-FR"/>
        </w:rPr>
        <w:t>19).</w:t>
      </w:r>
    </w:p>
    <w:p w:rsidR="00903547" w:rsidRPr="00976C24" w:rsidRDefault="00903547" w:rsidP="006273F9">
      <w:pPr>
        <w:pStyle w:val="SingleTxtG"/>
        <w:rPr>
          <w:lang w:val="fr-FR"/>
        </w:rPr>
      </w:pPr>
      <w:r>
        <w:rPr>
          <w:lang w:val="fr-FR"/>
        </w:rPr>
        <w:t>512.</w:t>
      </w:r>
      <w:r>
        <w:rPr>
          <w:lang w:val="fr-FR"/>
        </w:rPr>
        <w:tab/>
        <w:t>S’agissant des chercheurs</w:t>
      </w:r>
      <w:r w:rsidRPr="00976C24">
        <w:rPr>
          <w:lang w:val="fr-FR"/>
        </w:rPr>
        <w:t xml:space="preserve">, la commission </w:t>
      </w:r>
      <w:r>
        <w:rPr>
          <w:lang w:val="fr-FR"/>
        </w:rPr>
        <w:t>part du principe que les</w:t>
      </w:r>
      <w:r w:rsidRPr="00976C24">
        <w:rPr>
          <w:lang w:val="fr-FR"/>
        </w:rPr>
        <w:t xml:space="preserve"> liberté</w:t>
      </w:r>
      <w:r>
        <w:rPr>
          <w:lang w:val="fr-FR"/>
        </w:rPr>
        <w:t>s</w:t>
      </w:r>
      <w:r w:rsidRPr="00976C24">
        <w:rPr>
          <w:lang w:val="fr-FR"/>
        </w:rPr>
        <w:t xml:space="preserve"> </w:t>
      </w:r>
      <w:r>
        <w:rPr>
          <w:lang w:val="fr-FR"/>
        </w:rPr>
        <w:t>académiques</w:t>
      </w:r>
      <w:r w:rsidRPr="00976C24">
        <w:rPr>
          <w:lang w:val="fr-FR"/>
        </w:rPr>
        <w:t xml:space="preserve"> implique</w:t>
      </w:r>
      <w:r>
        <w:rPr>
          <w:lang w:val="fr-FR"/>
        </w:rPr>
        <w:t>nt</w:t>
      </w:r>
      <w:r w:rsidRPr="00976C24">
        <w:rPr>
          <w:lang w:val="fr-FR"/>
        </w:rPr>
        <w:t xml:space="preserve"> la liberté de poser des questions, de décider quel matériel et quelles méthodes utiliser </w:t>
      </w:r>
      <w:r>
        <w:rPr>
          <w:lang w:val="fr-FR"/>
        </w:rPr>
        <w:t>pour obtenir des réponses</w:t>
      </w:r>
      <w:r w:rsidRPr="00976C24">
        <w:rPr>
          <w:lang w:val="fr-FR"/>
        </w:rPr>
        <w:t xml:space="preserve"> et de publier des hypothèses, des résultats et des arguments.</w:t>
      </w:r>
    </w:p>
    <w:p w:rsidR="00903547" w:rsidRPr="00976C24" w:rsidRDefault="00903547" w:rsidP="006273F9">
      <w:pPr>
        <w:pStyle w:val="SingleTxtG"/>
        <w:rPr>
          <w:lang w:val="fr-FR"/>
        </w:rPr>
      </w:pPr>
      <w:r>
        <w:rPr>
          <w:lang w:val="fr-FR"/>
        </w:rPr>
        <w:t>513.</w:t>
      </w:r>
      <w:r>
        <w:rPr>
          <w:lang w:val="fr-FR"/>
        </w:rPr>
        <w:tab/>
      </w:r>
      <w:r w:rsidRPr="00976C24">
        <w:rPr>
          <w:lang w:val="fr-FR"/>
        </w:rPr>
        <w:t xml:space="preserve">Une modification juridique </w:t>
      </w:r>
      <w:r>
        <w:rPr>
          <w:lang w:val="fr-FR"/>
        </w:rPr>
        <w:t>relative aux libertés académiques</w:t>
      </w:r>
      <w:r w:rsidRPr="00976C24">
        <w:rPr>
          <w:lang w:val="fr-FR"/>
        </w:rPr>
        <w:t xml:space="preserve"> a pris effet en 2008</w:t>
      </w:r>
      <w:r>
        <w:rPr>
          <w:lang w:val="fr-FR"/>
        </w:rPr>
        <w:t xml:space="preserve"> et figure à l’article 1-5 de</w:t>
      </w:r>
      <w:r w:rsidRPr="00976C24">
        <w:rPr>
          <w:lang w:val="fr-FR"/>
        </w:rPr>
        <w:t xml:space="preserve"> la loi sur les universités et les collèges universitaires, </w:t>
      </w:r>
      <w:r>
        <w:rPr>
          <w:lang w:val="fr-FR"/>
        </w:rPr>
        <w:t>(</w:t>
      </w:r>
      <w:r w:rsidRPr="00976C24">
        <w:rPr>
          <w:lang w:val="fr-FR"/>
        </w:rPr>
        <w:t>Liberté</w:t>
      </w:r>
      <w:r>
        <w:rPr>
          <w:lang w:val="fr-FR"/>
        </w:rPr>
        <w:t>s</w:t>
      </w:r>
      <w:r w:rsidRPr="00976C24">
        <w:rPr>
          <w:lang w:val="fr-FR"/>
        </w:rPr>
        <w:t xml:space="preserve"> </w:t>
      </w:r>
      <w:r>
        <w:rPr>
          <w:lang w:val="fr-FR"/>
        </w:rPr>
        <w:t>académiques et</w:t>
      </w:r>
      <w:r w:rsidRPr="00976C24">
        <w:rPr>
          <w:lang w:val="fr-FR"/>
        </w:rPr>
        <w:t xml:space="preserve"> artistique</w:t>
      </w:r>
      <w:r>
        <w:rPr>
          <w:lang w:val="fr-FR"/>
        </w:rPr>
        <w:t>s</w:t>
      </w:r>
      <w:r w:rsidRPr="00976C24">
        <w:rPr>
          <w:lang w:val="fr-FR"/>
        </w:rPr>
        <w:t>).</w:t>
      </w:r>
    </w:p>
    <w:p w:rsidR="00903547" w:rsidRPr="00976C24" w:rsidRDefault="00903547" w:rsidP="0071086E">
      <w:pPr>
        <w:pStyle w:val="H23G"/>
        <w:rPr>
          <w:lang w:val="fr-FR"/>
        </w:rPr>
      </w:pPr>
      <w:r w:rsidRPr="00976C24">
        <w:rPr>
          <w:lang w:val="fr-FR"/>
        </w:rPr>
        <w:tab/>
        <w:t>7.</w:t>
      </w:r>
      <w:r w:rsidRPr="00976C24">
        <w:rPr>
          <w:lang w:val="fr-FR"/>
        </w:rPr>
        <w:tab/>
        <w:t>Mesures prises pour assurer le maintien, le développement et la diffusion de la science et de la culture ainsi que pour encourager et développer les contacts internationaux et la coopération internationale dans les domaines scientifique et culturel (E/2009/22-E/C.12/2008/3, annexe VIII, par.</w:t>
      </w:r>
      <w:r>
        <w:rPr>
          <w:lang w:val="fr-FR"/>
        </w:rPr>
        <w:t> </w:t>
      </w:r>
      <w:r w:rsidRPr="00976C24">
        <w:rPr>
          <w:lang w:val="fr-FR"/>
        </w:rPr>
        <w:t>73)</w:t>
      </w:r>
    </w:p>
    <w:p w:rsidR="00903547" w:rsidRPr="00976C24" w:rsidRDefault="00903547" w:rsidP="006273F9">
      <w:pPr>
        <w:pStyle w:val="SingleTxtG"/>
        <w:rPr>
          <w:lang w:val="fr-FR"/>
        </w:rPr>
      </w:pPr>
      <w:r>
        <w:rPr>
          <w:lang w:val="fr-FR"/>
        </w:rPr>
        <w:t>514.</w:t>
      </w:r>
      <w:r>
        <w:rPr>
          <w:lang w:val="fr-FR"/>
        </w:rPr>
        <w:tab/>
      </w:r>
      <w:r w:rsidRPr="00976C24">
        <w:rPr>
          <w:lang w:val="fr-FR"/>
        </w:rPr>
        <w:t>Les dépenses totales e</w:t>
      </w:r>
      <w:r>
        <w:rPr>
          <w:lang w:val="fr-FR"/>
        </w:rPr>
        <w:t>ngagées pour la recherche-</w:t>
      </w:r>
      <w:r w:rsidRPr="00976C24">
        <w:rPr>
          <w:lang w:val="fr-FR"/>
        </w:rPr>
        <w:t>développement en Norvège représentaient 1,6</w:t>
      </w:r>
      <w:r>
        <w:rPr>
          <w:lang w:val="fr-FR"/>
        </w:rPr>
        <w:t> </w:t>
      </w:r>
      <w:r w:rsidRPr="00976C24">
        <w:rPr>
          <w:lang w:val="fr-FR"/>
        </w:rPr>
        <w:t>% du PIB en 2008. Par rapport à d’autres pays, la Norvège affiche un niveau relativement</w:t>
      </w:r>
      <w:r>
        <w:rPr>
          <w:lang w:val="fr-FR"/>
        </w:rPr>
        <w:t xml:space="preserve"> élevé de recherche-</w:t>
      </w:r>
      <w:r w:rsidRPr="00976C24">
        <w:rPr>
          <w:lang w:val="fr-FR"/>
        </w:rPr>
        <w:t>développement</w:t>
      </w:r>
      <w:r>
        <w:rPr>
          <w:lang w:val="fr-FR"/>
        </w:rPr>
        <w:t xml:space="preserve"> financée</w:t>
      </w:r>
      <w:r w:rsidRPr="00976C24">
        <w:rPr>
          <w:lang w:val="fr-FR"/>
        </w:rPr>
        <w:t xml:space="preserve"> par l</w:t>
      </w:r>
      <w:r>
        <w:rPr>
          <w:lang w:val="fr-FR"/>
        </w:rPr>
        <w:t>es fonds publics</w:t>
      </w:r>
      <w:r w:rsidRPr="00976C24">
        <w:rPr>
          <w:lang w:val="fr-FR"/>
        </w:rPr>
        <w:t>.</w:t>
      </w:r>
    </w:p>
    <w:p w:rsidR="00903547" w:rsidRPr="00976C24" w:rsidRDefault="00903547" w:rsidP="006273F9">
      <w:pPr>
        <w:pStyle w:val="SingleTxtG"/>
        <w:rPr>
          <w:lang w:val="fr-FR"/>
        </w:rPr>
      </w:pPr>
      <w:r>
        <w:rPr>
          <w:lang w:val="fr-FR"/>
        </w:rPr>
        <w:t>515.</w:t>
      </w:r>
      <w:r>
        <w:rPr>
          <w:lang w:val="fr-FR"/>
        </w:rPr>
        <w:tab/>
        <w:t>Dans le rapport n</w:t>
      </w:r>
      <w:r w:rsidRPr="00165F4A">
        <w:rPr>
          <w:vertAlign w:val="superscript"/>
          <w:lang w:val="fr-FR"/>
        </w:rPr>
        <w:t>o</w:t>
      </w:r>
      <w:r>
        <w:rPr>
          <w:lang w:val="fr-FR"/>
        </w:rPr>
        <w:t> </w:t>
      </w:r>
      <w:r w:rsidRPr="00976C24">
        <w:rPr>
          <w:lang w:val="fr-FR"/>
        </w:rPr>
        <w:t>30 (2008</w:t>
      </w:r>
      <w:r>
        <w:rPr>
          <w:lang w:val="fr-FR"/>
        </w:rPr>
        <w:t>-</w:t>
      </w:r>
      <w:r w:rsidRPr="00976C24">
        <w:rPr>
          <w:lang w:val="fr-FR"/>
        </w:rPr>
        <w:t xml:space="preserve">2009) au </w:t>
      </w:r>
      <w:r w:rsidRPr="00B52B8E">
        <w:rPr>
          <w:i/>
          <w:lang w:val="fr-FR"/>
        </w:rPr>
        <w:t>Storting</w:t>
      </w:r>
      <w:r w:rsidRPr="00976C24">
        <w:rPr>
          <w:lang w:val="fr-FR"/>
        </w:rPr>
        <w:t xml:space="preserve">, </w:t>
      </w:r>
      <w:r>
        <w:rPr>
          <w:lang w:val="fr-FR"/>
        </w:rPr>
        <w:t>«</w:t>
      </w:r>
      <w:r w:rsidRPr="00976C24">
        <w:rPr>
          <w:i/>
          <w:lang w:val="fr-FR"/>
        </w:rPr>
        <w:t>Conditions favorables à la recherche</w:t>
      </w:r>
      <w:r w:rsidRPr="000A7EEA">
        <w:rPr>
          <w:lang w:val="fr-FR"/>
        </w:rPr>
        <w:t>»</w:t>
      </w:r>
      <w:r w:rsidRPr="00976C24">
        <w:rPr>
          <w:lang w:val="fr-FR"/>
        </w:rPr>
        <w:t xml:space="preserve">, le Gouvernement indique que le changement climatique anthropique </w:t>
      </w:r>
      <w:r>
        <w:rPr>
          <w:lang w:val="fr-FR"/>
        </w:rPr>
        <w:t>est aujourd’hui l’</w:t>
      </w:r>
      <w:r w:rsidRPr="00976C24">
        <w:rPr>
          <w:lang w:val="fr-FR"/>
        </w:rPr>
        <w:t>un de</w:t>
      </w:r>
      <w:r>
        <w:rPr>
          <w:lang w:val="fr-FR"/>
        </w:rPr>
        <w:t>s</w:t>
      </w:r>
      <w:r w:rsidRPr="00976C24">
        <w:rPr>
          <w:lang w:val="fr-FR"/>
        </w:rPr>
        <w:t xml:space="preserve"> </w:t>
      </w:r>
      <w:r>
        <w:rPr>
          <w:lang w:val="fr-FR"/>
        </w:rPr>
        <w:t>principaux enjeux de la planète, en conséquence de quoi les autorités</w:t>
      </w:r>
      <w:r w:rsidRPr="00976C24">
        <w:rPr>
          <w:lang w:val="fr-FR"/>
        </w:rPr>
        <w:t xml:space="preserve"> </w:t>
      </w:r>
      <w:r>
        <w:rPr>
          <w:lang w:val="fr-FR"/>
        </w:rPr>
        <w:t>sont décidées à</w:t>
      </w:r>
      <w:r w:rsidRPr="00976C24">
        <w:rPr>
          <w:lang w:val="fr-FR"/>
        </w:rPr>
        <w:t xml:space="preserve"> </w:t>
      </w:r>
      <w:r>
        <w:rPr>
          <w:lang w:val="fr-FR"/>
        </w:rPr>
        <w:t>intensifier</w:t>
      </w:r>
      <w:r w:rsidRPr="00976C24">
        <w:rPr>
          <w:lang w:val="fr-FR"/>
        </w:rPr>
        <w:t xml:space="preserve"> la recherche sur les énergies renouvelables et la captation et le stockage du carbone. Les problèmes liés à la pauvreté et d’autres questions </w:t>
      </w:r>
      <w:r>
        <w:rPr>
          <w:lang w:val="fr-FR"/>
        </w:rPr>
        <w:t>d’</w:t>
      </w:r>
      <w:r w:rsidRPr="00976C24">
        <w:rPr>
          <w:lang w:val="fr-FR"/>
        </w:rPr>
        <w:t>environnement</w:t>
      </w:r>
      <w:r>
        <w:rPr>
          <w:lang w:val="fr-FR"/>
        </w:rPr>
        <w:t xml:space="preserve"> sont également abordé</w:t>
      </w:r>
      <w:r w:rsidRPr="00976C24">
        <w:rPr>
          <w:lang w:val="fr-FR"/>
        </w:rPr>
        <w:t>s dans le rapport. Au cours des dernières années, le Gouvernement a quasiment quadruplé les crédits alloués à la recherche</w:t>
      </w:r>
      <w:r>
        <w:rPr>
          <w:lang w:val="fr-FR"/>
        </w:rPr>
        <w:t>-</w:t>
      </w:r>
      <w:r w:rsidRPr="00976C24">
        <w:rPr>
          <w:lang w:val="fr-FR"/>
        </w:rPr>
        <w:t xml:space="preserve">développement par le biais du Conseil norvégien de la recherche. </w:t>
      </w:r>
    </w:p>
    <w:p w:rsidR="00903547" w:rsidRPr="00976C24" w:rsidRDefault="00903547" w:rsidP="006273F9">
      <w:pPr>
        <w:pStyle w:val="SingleTxtG"/>
        <w:rPr>
          <w:lang w:val="fr-FR"/>
        </w:rPr>
      </w:pPr>
      <w:r>
        <w:rPr>
          <w:lang w:val="fr-FR"/>
        </w:rPr>
        <w:t>516.</w:t>
      </w:r>
      <w:r>
        <w:rPr>
          <w:lang w:val="fr-FR"/>
        </w:rPr>
        <w:tab/>
      </w:r>
      <w:r w:rsidRPr="00976C24">
        <w:rPr>
          <w:lang w:val="fr-FR"/>
        </w:rPr>
        <w:t xml:space="preserve">Depuis 2003, la recherche médicale et sanitaire est </w:t>
      </w:r>
      <w:r>
        <w:rPr>
          <w:lang w:val="fr-FR"/>
        </w:rPr>
        <w:t>le domaine qui</w:t>
      </w:r>
      <w:r w:rsidRPr="00976C24">
        <w:rPr>
          <w:lang w:val="fr-FR"/>
        </w:rPr>
        <w:t xml:space="preserve"> se développe le plus</w:t>
      </w:r>
      <w:r>
        <w:rPr>
          <w:lang w:val="fr-FR"/>
        </w:rPr>
        <w:t xml:space="preserve"> rapidement</w:t>
      </w:r>
      <w:r w:rsidRPr="00976C24">
        <w:rPr>
          <w:lang w:val="fr-FR"/>
        </w:rPr>
        <w:t xml:space="preserve">. </w:t>
      </w:r>
      <w:r>
        <w:rPr>
          <w:lang w:val="fr-FR"/>
        </w:rPr>
        <w:t>Pour</w:t>
      </w:r>
      <w:r w:rsidRPr="00976C24">
        <w:rPr>
          <w:lang w:val="fr-FR"/>
        </w:rPr>
        <w:t xml:space="preserve"> les </w:t>
      </w:r>
      <w:r>
        <w:rPr>
          <w:lang w:val="fr-FR"/>
        </w:rPr>
        <w:t xml:space="preserve">prochaines </w:t>
      </w:r>
      <w:r w:rsidRPr="00976C24">
        <w:rPr>
          <w:lang w:val="fr-FR"/>
        </w:rPr>
        <w:t>années, le</w:t>
      </w:r>
      <w:r>
        <w:rPr>
          <w:lang w:val="fr-FR"/>
        </w:rPr>
        <w:t>s pouvoirs publics</w:t>
      </w:r>
      <w:r w:rsidRPr="00976C24">
        <w:rPr>
          <w:lang w:val="fr-FR"/>
        </w:rPr>
        <w:t xml:space="preserve"> entend</w:t>
      </w:r>
      <w:r>
        <w:rPr>
          <w:lang w:val="fr-FR"/>
        </w:rPr>
        <w:t>ent</w:t>
      </w:r>
      <w:r w:rsidRPr="00976C24">
        <w:rPr>
          <w:lang w:val="fr-FR"/>
        </w:rPr>
        <w:t xml:space="preserve"> </w:t>
      </w:r>
      <w:r>
        <w:rPr>
          <w:lang w:val="fr-FR"/>
        </w:rPr>
        <w:t>privilégier les travaux de</w:t>
      </w:r>
      <w:r w:rsidRPr="00976C24">
        <w:rPr>
          <w:lang w:val="fr-FR"/>
        </w:rPr>
        <w:t xml:space="preserve"> recherche </w:t>
      </w:r>
      <w:r>
        <w:rPr>
          <w:lang w:val="fr-FR"/>
        </w:rPr>
        <w:t>susceptibles de</w:t>
      </w:r>
      <w:r w:rsidRPr="00976C24">
        <w:rPr>
          <w:lang w:val="fr-FR"/>
        </w:rPr>
        <w:t xml:space="preserve"> contribue</w:t>
      </w:r>
      <w:r>
        <w:rPr>
          <w:lang w:val="fr-FR"/>
        </w:rPr>
        <w:t>r</w:t>
      </w:r>
      <w:r w:rsidRPr="00976C24">
        <w:rPr>
          <w:lang w:val="fr-FR"/>
        </w:rPr>
        <w:t xml:space="preserve"> à </w:t>
      </w:r>
      <w:r>
        <w:rPr>
          <w:lang w:val="fr-FR"/>
        </w:rPr>
        <w:t xml:space="preserve">réduire </w:t>
      </w:r>
      <w:r w:rsidRPr="00976C24">
        <w:rPr>
          <w:lang w:val="fr-FR"/>
        </w:rPr>
        <w:t xml:space="preserve">les différences sociales en matière de santé. La recherche sur le système de services sociaux a été </w:t>
      </w:r>
      <w:r>
        <w:rPr>
          <w:lang w:val="fr-FR"/>
        </w:rPr>
        <w:t>renforcée</w:t>
      </w:r>
      <w:r w:rsidRPr="00976C24">
        <w:rPr>
          <w:lang w:val="fr-FR"/>
        </w:rPr>
        <w:t xml:space="preserve"> et le Gouvernement </w:t>
      </w:r>
      <w:r>
        <w:rPr>
          <w:lang w:val="fr-FR"/>
        </w:rPr>
        <w:t>est décidé à</w:t>
      </w:r>
      <w:r w:rsidRPr="00976C24">
        <w:rPr>
          <w:lang w:val="fr-FR"/>
        </w:rPr>
        <w:t xml:space="preserve"> mettre en place de nouveaux pro</w:t>
      </w:r>
      <w:r>
        <w:rPr>
          <w:lang w:val="fr-FR"/>
        </w:rPr>
        <w:t>jets</w:t>
      </w:r>
      <w:r w:rsidRPr="00976C24">
        <w:rPr>
          <w:lang w:val="fr-FR"/>
        </w:rPr>
        <w:t xml:space="preserve"> de recherche sur l’éducation, la protection sociale, la vie active et l’immigration.</w:t>
      </w:r>
    </w:p>
    <w:p w:rsidR="00903547" w:rsidRPr="00976C24" w:rsidRDefault="00903547" w:rsidP="006273F9">
      <w:pPr>
        <w:pStyle w:val="SingleTxtG"/>
        <w:rPr>
          <w:lang w:val="fr-FR"/>
        </w:rPr>
      </w:pPr>
      <w:r>
        <w:rPr>
          <w:lang w:val="fr-FR"/>
        </w:rPr>
        <w:t>517.</w:t>
      </w:r>
      <w:r>
        <w:rPr>
          <w:lang w:val="fr-FR"/>
        </w:rPr>
        <w:tab/>
      </w:r>
      <w:r w:rsidRPr="00976C24">
        <w:rPr>
          <w:lang w:val="fr-FR"/>
        </w:rPr>
        <w:t>L’un des pr</w:t>
      </w:r>
      <w:r>
        <w:rPr>
          <w:lang w:val="fr-FR"/>
        </w:rPr>
        <w:t>emiers</w:t>
      </w:r>
      <w:r w:rsidRPr="00976C24">
        <w:rPr>
          <w:lang w:val="fr-FR"/>
        </w:rPr>
        <w:t xml:space="preserve"> objectifs de la politique norvégienne est </w:t>
      </w:r>
      <w:r>
        <w:rPr>
          <w:lang w:val="fr-FR"/>
        </w:rPr>
        <w:t xml:space="preserve">de participer activement </w:t>
      </w:r>
      <w:r w:rsidRPr="00976C24">
        <w:rPr>
          <w:lang w:val="fr-FR"/>
        </w:rPr>
        <w:t xml:space="preserve">à la coopération internationale en matière de recherche. Outre la coopération </w:t>
      </w:r>
      <w:r>
        <w:rPr>
          <w:lang w:val="fr-FR"/>
        </w:rPr>
        <w:t>à des titres</w:t>
      </w:r>
      <w:r w:rsidRPr="00976C24">
        <w:rPr>
          <w:lang w:val="fr-FR"/>
        </w:rPr>
        <w:t xml:space="preserve"> individuel</w:t>
      </w:r>
      <w:r>
        <w:rPr>
          <w:lang w:val="fr-FR"/>
        </w:rPr>
        <w:t>s</w:t>
      </w:r>
      <w:r w:rsidRPr="00976C24">
        <w:rPr>
          <w:lang w:val="fr-FR"/>
        </w:rPr>
        <w:t>, on constate une hausse sensible de la participation officielle de la Norvège</w:t>
      </w:r>
      <w:r>
        <w:rPr>
          <w:lang w:val="fr-FR"/>
        </w:rPr>
        <w:t xml:space="preserve"> à cet égard</w:t>
      </w:r>
      <w:r w:rsidRPr="00976C24">
        <w:rPr>
          <w:lang w:val="fr-FR"/>
        </w:rPr>
        <w:t xml:space="preserve">. Le Gouvernement </w:t>
      </w:r>
      <w:r>
        <w:rPr>
          <w:lang w:val="fr-FR"/>
        </w:rPr>
        <w:t xml:space="preserve">est décidé à </w:t>
      </w:r>
      <w:r w:rsidRPr="00976C24">
        <w:rPr>
          <w:lang w:val="fr-FR"/>
        </w:rPr>
        <w:t xml:space="preserve">poursuivre l’internationalisation de la recherche norvégienne. La participation </w:t>
      </w:r>
      <w:r>
        <w:rPr>
          <w:lang w:val="fr-FR"/>
        </w:rPr>
        <w:t>au programme-cadre de l’UE et au</w:t>
      </w:r>
      <w:r w:rsidRPr="00976C24">
        <w:rPr>
          <w:lang w:val="fr-FR"/>
        </w:rPr>
        <w:t xml:space="preserve"> développement de l’Espace européen de la recherche (EER) font partie des </w:t>
      </w:r>
      <w:r>
        <w:rPr>
          <w:lang w:val="fr-FR"/>
        </w:rPr>
        <w:t>grandes</w:t>
      </w:r>
      <w:r w:rsidRPr="00976C24">
        <w:rPr>
          <w:lang w:val="fr-FR"/>
        </w:rPr>
        <w:t xml:space="preserve"> priorités. </w:t>
      </w:r>
    </w:p>
    <w:p w:rsidR="00903547" w:rsidRPr="00976C24" w:rsidRDefault="00903547" w:rsidP="006273F9">
      <w:pPr>
        <w:pStyle w:val="SingleTxtG"/>
        <w:rPr>
          <w:lang w:val="fr-FR"/>
        </w:rPr>
      </w:pPr>
      <w:r>
        <w:rPr>
          <w:lang w:val="fr-FR"/>
        </w:rPr>
        <w:t>518.</w:t>
      </w:r>
      <w:r>
        <w:rPr>
          <w:lang w:val="fr-FR"/>
        </w:rPr>
        <w:tab/>
      </w:r>
      <w:r w:rsidRPr="00976C24">
        <w:rPr>
          <w:lang w:val="fr-FR"/>
        </w:rPr>
        <w:t xml:space="preserve">La Norvège participe également à la coopération </w:t>
      </w:r>
      <w:r>
        <w:rPr>
          <w:lang w:val="fr-FR"/>
        </w:rPr>
        <w:t xml:space="preserve">nordique </w:t>
      </w:r>
      <w:r w:rsidRPr="00976C24">
        <w:rPr>
          <w:lang w:val="fr-FR"/>
        </w:rPr>
        <w:t>en matière de recherche par le biais du Conseil des ministres des pays nordiques, l’OCDE et d’autres organismes internationaux de recherche fondamentale comme l’Organisation européenne pour la Recherche nucléaire (CERN), le Laboratoire européen de biologie moléculaire (LEBM), l’Installation européenne de rayonnement synchrotron (ESRF) et le Centre international de recherche sur le cancer (CIRC).</w:t>
      </w:r>
    </w:p>
    <w:p w:rsidR="00903547" w:rsidRPr="00976C24" w:rsidRDefault="00903547" w:rsidP="006273F9">
      <w:pPr>
        <w:pStyle w:val="SingleTxtG"/>
        <w:rPr>
          <w:lang w:val="fr-FR"/>
        </w:rPr>
      </w:pPr>
      <w:r>
        <w:rPr>
          <w:lang w:val="fr-FR"/>
        </w:rPr>
        <w:t>519.</w:t>
      </w:r>
      <w:r>
        <w:rPr>
          <w:lang w:val="fr-FR"/>
        </w:rPr>
        <w:tab/>
        <w:t>Dans ce domaine, l</w:t>
      </w:r>
      <w:r w:rsidRPr="00976C24">
        <w:rPr>
          <w:lang w:val="fr-FR"/>
        </w:rPr>
        <w:t xml:space="preserve">a coopération au sein du Conseil des ministres des pays nordiques revêt une dimension régionale de la plus </w:t>
      </w:r>
      <w:r>
        <w:rPr>
          <w:lang w:val="fr-FR"/>
        </w:rPr>
        <w:t>haute</w:t>
      </w:r>
      <w:r w:rsidRPr="00976C24">
        <w:rPr>
          <w:lang w:val="fr-FR"/>
        </w:rPr>
        <w:t xml:space="preserve"> importance pour la Norvège. Un</w:t>
      </w:r>
      <w:r>
        <w:rPr>
          <w:lang w:val="fr-FR"/>
        </w:rPr>
        <w:t xml:space="preserve"> E</w:t>
      </w:r>
      <w:r w:rsidRPr="00976C24">
        <w:rPr>
          <w:lang w:val="fr-FR"/>
        </w:rPr>
        <w:t>space nordique de la recherche, parallèle à l’Espace européen de la recherche, e</w:t>
      </w:r>
      <w:r>
        <w:rPr>
          <w:lang w:val="fr-FR"/>
        </w:rPr>
        <w:t>s</w:t>
      </w:r>
      <w:r w:rsidRPr="00976C24">
        <w:rPr>
          <w:lang w:val="fr-FR"/>
        </w:rPr>
        <w:t>t en cours d</w:t>
      </w:r>
      <w:r>
        <w:rPr>
          <w:lang w:val="fr-FR"/>
        </w:rPr>
        <w:t>e création</w:t>
      </w:r>
      <w:r w:rsidRPr="00976C24">
        <w:rPr>
          <w:lang w:val="fr-FR"/>
        </w:rPr>
        <w:t xml:space="preserve">. Un </w:t>
      </w:r>
      <w:r>
        <w:rPr>
          <w:lang w:val="fr-FR"/>
        </w:rPr>
        <w:t xml:space="preserve">nouveau </w:t>
      </w:r>
      <w:r w:rsidRPr="00976C24">
        <w:rPr>
          <w:lang w:val="fr-FR"/>
        </w:rPr>
        <w:t>pro</w:t>
      </w:r>
      <w:r>
        <w:rPr>
          <w:lang w:val="fr-FR"/>
        </w:rPr>
        <w:t>jet</w:t>
      </w:r>
      <w:r w:rsidRPr="00976C24">
        <w:rPr>
          <w:lang w:val="fr-FR"/>
        </w:rPr>
        <w:t xml:space="preserve"> </w:t>
      </w:r>
      <w:r>
        <w:rPr>
          <w:lang w:val="fr-FR"/>
        </w:rPr>
        <w:t xml:space="preserve">nordique </w:t>
      </w:r>
      <w:r w:rsidRPr="00976C24">
        <w:rPr>
          <w:lang w:val="fr-FR"/>
        </w:rPr>
        <w:t xml:space="preserve">de recherche sur le climat et les énergies renouvelables </w:t>
      </w:r>
      <w:r>
        <w:rPr>
          <w:lang w:val="fr-FR"/>
        </w:rPr>
        <w:t>constitue</w:t>
      </w:r>
      <w:r w:rsidRPr="00976C24">
        <w:rPr>
          <w:lang w:val="fr-FR"/>
        </w:rPr>
        <w:t xml:space="preserve"> une priorité </w:t>
      </w:r>
      <w:r>
        <w:rPr>
          <w:lang w:val="fr-FR"/>
        </w:rPr>
        <w:t>de</w:t>
      </w:r>
      <w:r w:rsidRPr="00976C24">
        <w:rPr>
          <w:lang w:val="fr-FR"/>
        </w:rPr>
        <w:t xml:space="preserve"> la coopération </w:t>
      </w:r>
      <w:r>
        <w:rPr>
          <w:lang w:val="fr-FR"/>
        </w:rPr>
        <w:t>régionale</w:t>
      </w:r>
      <w:r w:rsidRPr="00976C24">
        <w:rPr>
          <w:lang w:val="fr-FR"/>
        </w:rPr>
        <w:t xml:space="preserve"> </w:t>
      </w:r>
      <w:r>
        <w:rPr>
          <w:lang w:val="fr-FR"/>
        </w:rPr>
        <w:t>p</w:t>
      </w:r>
      <w:r w:rsidRPr="00976C24">
        <w:rPr>
          <w:lang w:val="fr-FR"/>
        </w:rPr>
        <w:t xml:space="preserve">our les années à venir. Les </w:t>
      </w:r>
      <w:r>
        <w:rPr>
          <w:lang w:val="fr-FR"/>
        </w:rPr>
        <w:t>États</w:t>
      </w:r>
      <w:r w:rsidRPr="00976C24">
        <w:rPr>
          <w:lang w:val="fr-FR"/>
        </w:rPr>
        <w:t xml:space="preserve"> baltes </w:t>
      </w:r>
      <w:r>
        <w:rPr>
          <w:lang w:val="fr-FR"/>
        </w:rPr>
        <w:t>participent à</w:t>
      </w:r>
      <w:r w:rsidRPr="00976C24">
        <w:rPr>
          <w:lang w:val="fr-FR"/>
        </w:rPr>
        <w:t xml:space="preserve"> la coopération des pays nordiques </w:t>
      </w:r>
      <w:r>
        <w:rPr>
          <w:lang w:val="fr-FR"/>
        </w:rPr>
        <w:t>à différents titres</w:t>
      </w:r>
      <w:r w:rsidRPr="00976C24">
        <w:rPr>
          <w:lang w:val="fr-FR"/>
        </w:rPr>
        <w:t>.</w:t>
      </w:r>
    </w:p>
    <w:p w:rsidR="00903547" w:rsidRPr="00976C24" w:rsidRDefault="00903547" w:rsidP="006273F9">
      <w:pPr>
        <w:pStyle w:val="SingleTxtG"/>
        <w:rPr>
          <w:lang w:val="fr-FR"/>
        </w:rPr>
      </w:pPr>
      <w:r>
        <w:rPr>
          <w:lang w:val="fr-FR"/>
        </w:rPr>
        <w:t>520.</w:t>
      </w:r>
      <w:r>
        <w:rPr>
          <w:lang w:val="fr-FR"/>
        </w:rPr>
        <w:tab/>
      </w:r>
      <w:r w:rsidRPr="00976C24">
        <w:rPr>
          <w:lang w:val="fr-FR"/>
        </w:rPr>
        <w:t>La Norvège attache également une grande importance à la coopération multinationale et bilatérale. Le</w:t>
      </w:r>
      <w:r>
        <w:rPr>
          <w:lang w:val="fr-FR"/>
        </w:rPr>
        <w:t>s autorités ont</w:t>
      </w:r>
      <w:r w:rsidRPr="00976C24">
        <w:rPr>
          <w:lang w:val="fr-FR"/>
        </w:rPr>
        <w:t xml:space="preserve"> élaboré des stratégies générales </w:t>
      </w:r>
      <w:r>
        <w:rPr>
          <w:lang w:val="fr-FR"/>
        </w:rPr>
        <w:t>de</w:t>
      </w:r>
      <w:r w:rsidRPr="00976C24">
        <w:rPr>
          <w:lang w:val="fr-FR"/>
        </w:rPr>
        <w:t xml:space="preserve"> coopération avec </w:t>
      </w:r>
      <w:r>
        <w:rPr>
          <w:lang w:val="fr-FR"/>
        </w:rPr>
        <w:t>des</w:t>
      </w:r>
      <w:r w:rsidRPr="00976C24">
        <w:rPr>
          <w:lang w:val="fr-FR"/>
        </w:rPr>
        <w:t xml:space="preserve"> grands pays </w:t>
      </w:r>
      <w:r>
        <w:rPr>
          <w:lang w:val="fr-FR"/>
        </w:rPr>
        <w:t xml:space="preserve">qui soutiennent </w:t>
      </w:r>
      <w:r w:rsidRPr="00976C24">
        <w:rPr>
          <w:lang w:val="fr-FR"/>
        </w:rPr>
        <w:t xml:space="preserve">la recherche. La Norvège a signé des accords bilatéraux de recherche et de technologie avec l’Afrique du Sud, le Japon, les </w:t>
      </w:r>
      <w:r>
        <w:rPr>
          <w:lang w:val="fr-FR"/>
        </w:rPr>
        <w:t>Etats-Unis</w:t>
      </w:r>
      <w:r w:rsidRPr="00976C24">
        <w:rPr>
          <w:lang w:val="fr-FR"/>
        </w:rPr>
        <w:t xml:space="preserve">, l’Inde, la France et la Chine. Un fonds de recherche </w:t>
      </w:r>
      <w:r>
        <w:rPr>
          <w:lang w:val="fr-FR"/>
        </w:rPr>
        <w:t>polono-norvégien créé</w:t>
      </w:r>
      <w:r w:rsidRPr="00976C24">
        <w:rPr>
          <w:lang w:val="fr-FR"/>
        </w:rPr>
        <w:t xml:space="preserve"> en 2007 est </w:t>
      </w:r>
      <w:r>
        <w:rPr>
          <w:lang w:val="fr-FR"/>
        </w:rPr>
        <w:t>destiné à financer des projets dans les domaines</w:t>
      </w:r>
      <w:r w:rsidRPr="00976C24">
        <w:rPr>
          <w:lang w:val="fr-FR"/>
        </w:rPr>
        <w:t xml:space="preserve"> de l’environnement et de la santé.</w:t>
      </w:r>
    </w:p>
    <w:p w:rsidR="00903547" w:rsidRPr="0072477F" w:rsidRDefault="00903547" w:rsidP="006273F9">
      <w:pPr>
        <w:spacing w:before="240"/>
        <w:jc w:val="center"/>
        <w:rPr>
          <w:lang w:val="fr-CH"/>
        </w:rPr>
      </w:pPr>
      <w:bookmarkStart w:id="89" w:name="_GoBack"/>
      <w:bookmarkEnd w:id="89"/>
      <w:r w:rsidRPr="00976C24">
        <w:rPr>
          <w:u w:val="single"/>
          <w:lang w:val="fr-FR"/>
        </w:rPr>
        <w:tab/>
      </w:r>
      <w:r w:rsidRPr="00976C24">
        <w:rPr>
          <w:u w:val="single"/>
          <w:lang w:val="fr-FR"/>
        </w:rPr>
        <w:tab/>
      </w:r>
      <w:r w:rsidRPr="00976C24">
        <w:rPr>
          <w:u w:val="single"/>
          <w:lang w:val="fr-FR"/>
        </w:rPr>
        <w:tab/>
      </w:r>
    </w:p>
    <w:sectPr w:rsidR="00903547" w:rsidRPr="0072477F" w:rsidSect="0071086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E7" w:rsidRDefault="00F71CE7"/>
  </w:endnote>
  <w:endnote w:type="continuationSeparator" w:id="0">
    <w:p w:rsidR="00F71CE7" w:rsidRDefault="00F71CE7"/>
  </w:endnote>
  <w:endnote w:type="continuationNotice" w:id="1">
    <w:p w:rsidR="00F71CE7" w:rsidRDefault="00F71C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47" w:rsidRPr="0072477F" w:rsidRDefault="00903547" w:rsidP="0072477F">
    <w:pPr>
      <w:pStyle w:val="Footer"/>
      <w:tabs>
        <w:tab w:val="right" w:pos="9638"/>
      </w:tabs>
    </w:pPr>
    <w:r w:rsidRPr="0072477F">
      <w:rPr>
        <w:b/>
        <w:sz w:val="18"/>
      </w:rPr>
      <w:fldChar w:fldCharType="begin"/>
    </w:r>
    <w:r w:rsidRPr="0072477F">
      <w:rPr>
        <w:b/>
        <w:sz w:val="18"/>
      </w:rPr>
      <w:instrText xml:space="preserve"> PAGE  \* MERGEFORMAT </w:instrText>
    </w:r>
    <w:r w:rsidRPr="0072477F">
      <w:rPr>
        <w:b/>
        <w:sz w:val="18"/>
      </w:rPr>
      <w:fldChar w:fldCharType="separate"/>
    </w:r>
    <w:r w:rsidR="004B3395">
      <w:rPr>
        <w:b/>
        <w:noProof/>
        <w:sz w:val="18"/>
      </w:rPr>
      <w:t>72</w:t>
    </w:r>
    <w:r w:rsidRPr="0072477F">
      <w:rPr>
        <w:b/>
        <w:sz w:val="18"/>
      </w:rPr>
      <w:fldChar w:fldCharType="end"/>
    </w:r>
    <w:r>
      <w:rPr>
        <w:sz w:val="18"/>
      </w:rPr>
      <w:tab/>
    </w:r>
    <w:r w:rsidRPr="00CB5669">
      <w:rPr>
        <w:szCs w:val="16"/>
      </w:rPr>
      <w:t>GE.12-47172</w:t>
    </w:r>
    <w:r>
      <w:rPr>
        <w:szCs w:val="16"/>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47" w:rsidRPr="0072477F" w:rsidRDefault="00903547" w:rsidP="0072477F">
    <w:pPr>
      <w:pStyle w:val="Footer"/>
      <w:tabs>
        <w:tab w:val="right" w:pos="9638"/>
      </w:tabs>
      <w:rPr>
        <w:b/>
        <w:sz w:val="18"/>
      </w:rPr>
    </w:pPr>
    <w:r w:rsidRPr="00CB5669">
      <w:rPr>
        <w:szCs w:val="16"/>
      </w:rPr>
      <w:t>GE.12-47172  (EXT)</w:t>
    </w:r>
    <w:r>
      <w:rPr>
        <w:sz w:val="20"/>
      </w:rPr>
      <w:tab/>
    </w:r>
    <w:r w:rsidRPr="0072477F">
      <w:rPr>
        <w:b/>
        <w:sz w:val="18"/>
      </w:rPr>
      <w:fldChar w:fldCharType="begin"/>
    </w:r>
    <w:r w:rsidRPr="0072477F">
      <w:rPr>
        <w:b/>
        <w:sz w:val="18"/>
      </w:rPr>
      <w:instrText xml:space="preserve"> PAGE  \* MERGEFORMAT </w:instrText>
    </w:r>
    <w:r w:rsidRPr="0072477F">
      <w:rPr>
        <w:b/>
        <w:sz w:val="18"/>
      </w:rPr>
      <w:fldChar w:fldCharType="separate"/>
    </w:r>
    <w:r w:rsidR="004B3395">
      <w:rPr>
        <w:b/>
        <w:noProof/>
        <w:sz w:val="18"/>
      </w:rPr>
      <w:t>73</w:t>
    </w:r>
    <w:r w:rsidRPr="0072477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47" w:rsidRPr="0072477F" w:rsidRDefault="00903547">
    <w:pPr>
      <w:pStyle w:val="Footer"/>
      <w:rPr>
        <w:sz w:val="20"/>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recycle_French" style="position:absolute;margin-left:396.9pt;margin-top:-8.5pt;width:86.95pt;height:18.35pt;z-index:1;visibility:visible">
          <v:imagedata r:id="rId1" o:title=""/>
        </v:shape>
      </w:pict>
    </w:r>
    <w:r>
      <w:rPr>
        <w:sz w:val="20"/>
      </w:rPr>
      <w:t>GE.12-47172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E7" w:rsidRPr="000B175B" w:rsidRDefault="00F71CE7" w:rsidP="000B175B">
      <w:pPr>
        <w:tabs>
          <w:tab w:val="right" w:pos="2155"/>
        </w:tabs>
        <w:spacing w:after="80"/>
        <w:ind w:left="680"/>
        <w:rPr>
          <w:u w:val="single"/>
        </w:rPr>
      </w:pPr>
      <w:r>
        <w:rPr>
          <w:u w:val="single"/>
        </w:rPr>
        <w:tab/>
      </w:r>
    </w:p>
  </w:footnote>
  <w:footnote w:type="continuationSeparator" w:id="0">
    <w:p w:rsidR="00F71CE7" w:rsidRPr="00FC68B7" w:rsidRDefault="00F71CE7" w:rsidP="00FC68B7">
      <w:pPr>
        <w:tabs>
          <w:tab w:val="left" w:pos="2155"/>
        </w:tabs>
        <w:spacing w:after="80"/>
        <w:ind w:left="680"/>
        <w:rPr>
          <w:u w:val="single"/>
        </w:rPr>
      </w:pPr>
      <w:r>
        <w:rPr>
          <w:u w:val="single"/>
        </w:rPr>
        <w:tab/>
      </w:r>
    </w:p>
  </w:footnote>
  <w:footnote w:type="continuationNotice" w:id="1">
    <w:p w:rsidR="00F71CE7" w:rsidRDefault="00F71CE7"/>
  </w:footnote>
  <w:footnote w:id="2">
    <w:p w:rsidR="00903547" w:rsidRDefault="00903547" w:rsidP="0071086E">
      <w:pPr>
        <w:pStyle w:val="FootnoteText"/>
        <w:tabs>
          <w:tab w:val="clear" w:pos="1021"/>
          <w:tab w:val="right" w:pos="993"/>
        </w:tabs>
      </w:pPr>
      <w:r w:rsidRPr="00855E98">
        <w:tab/>
      </w:r>
      <w:r w:rsidRPr="00CB5669">
        <w:rPr>
          <w:rStyle w:val="FootnoteReference"/>
          <w:sz w:val="20"/>
          <w:vertAlign w:val="baseline"/>
        </w:rPr>
        <w:t>*</w:t>
      </w:r>
      <w:r w:rsidRPr="00855E98">
        <w:rPr>
          <w:sz w:val="20"/>
        </w:rPr>
        <w:tab/>
      </w:r>
      <w:r w:rsidRPr="00037DBD">
        <w:rPr>
          <w:szCs w:val="18"/>
          <w:lang w:val="fr-FR"/>
        </w:rPr>
        <w:t xml:space="preserve">Conformément aux informations communiquées aux </w:t>
      </w:r>
      <w:r>
        <w:rPr>
          <w:szCs w:val="18"/>
          <w:lang w:val="fr-FR"/>
        </w:rPr>
        <w:t>États</w:t>
      </w:r>
      <w:r w:rsidRPr="00037DBD">
        <w:rPr>
          <w:szCs w:val="18"/>
          <w:lang w:val="fr-FR"/>
        </w:rPr>
        <w:t xml:space="preserve"> parties concernant le traitement de leurs rapports, le présent document n’a pas été revu par les services d’édition avant d’être envoyé aux services de traduction de l’Organisation des Nations Unies</w:t>
      </w:r>
      <w:r w:rsidRPr="00855E98">
        <w:t>.</w:t>
      </w:r>
    </w:p>
  </w:footnote>
  <w:footnote w:id="3">
    <w:p w:rsidR="00903547" w:rsidRDefault="00903547" w:rsidP="0071086E">
      <w:pPr>
        <w:pStyle w:val="FootnoteText"/>
        <w:tabs>
          <w:tab w:val="clear" w:pos="1021"/>
          <w:tab w:val="right" w:pos="993"/>
        </w:tabs>
      </w:pPr>
      <w:r w:rsidRPr="00855E98">
        <w:tab/>
      </w:r>
      <w:r w:rsidRPr="00CB5669">
        <w:rPr>
          <w:rStyle w:val="FootnoteReference"/>
          <w:sz w:val="20"/>
          <w:vertAlign w:val="baseline"/>
        </w:rPr>
        <w:t>**</w:t>
      </w:r>
      <w:r w:rsidRPr="00855E98">
        <w:rPr>
          <w:sz w:val="20"/>
        </w:rPr>
        <w:tab/>
      </w:r>
      <w:r w:rsidRPr="00670ECD">
        <w:rPr>
          <w:szCs w:val="18"/>
          <w:lang w:val="fr-FR"/>
        </w:rPr>
        <w:t>Les</w:t>
      </w:r>
      <w:r w:rsidRPr="00037DBD">
        <w:rPr>
          <w:sz w:val="20"/>
          <w:lang w:val="fr-FR"/>
        </w:rPr>
        <w:t xml:space="preserve"> </w:t>
      </w:r>
      <w:r w:rsidRPr="00670ECD">
        <w:rPr>
          <w:szCs w:val="18"/>
          <w:lang w:val="fr-FR"/>
        </w:rPr>
        <w:t>a</w:t>
      </w:r>
      <w:r w:rsidRPr="00037DBD">
        <w:rPr>
          <w:lang w:val="fr-FR"/>
        </w:rPr>
        <w:t>nnexes peuvent être c</w:t>
      </w:r>
      <w:r>
        <w:rPr>
          <w:lang w:val="fr-FR"/>
        </w:rPr>
        <w:t>onsultées dans les archives du s</w:t>
      </w:r>
      <w:r w:rsidRPr="00037DBD">
        <w:rPr>
          <w:lang w:val="fr-FR"/>
        </w:rPr>
        <w:t>ecrétariat</w:t>
      </w:r>
      <w:r w:rsidRPr="00855E98">
        <w:t>.</w:t>
      </w:r>
    </w:p>
  </w:footnote>
  <w:footnote w:id="4">
    <w:p w:rsidR="00903547" w:rsidRDefault="00903547" w:rsidP="0071086E">
      <w:pPr>
        <w:pStyle w:val="FootnoteText"/>
        <w:widowControl w:val="0"/>
        <w:tabs>
          <w:tab w:val="clear" w:pos="1021"/>
          <w:tab w:val="right" w:pos="993"/>
        </w:tabs>
      </w:pPr>
      <w:r w:rsidRPr="00855E98">
        <w:tab/>
      </w:r>
      <w:r w:rsidRPr="00855E98">
        <w:rPr>
          <w:rStyle w:val="FootnoteReference"/>
        </w:rPr>
        <w:footnoteRef/>
      </w:r>
      <w:r w:rsidRPr="00855E98">
        <w:tab/>
      </w:r>
      <w:r w:rsidRPr="00EB1213">
        <w:rPr>
          <w:lang w:val="fr-FR"/>
        </w:rPr>
        <w:t>R</w:t>
      </w:r>
      <w:r>
        <w:rPr>
          <w:lang w:val="fr-FR"/>
        </w:rPr>
        <w:t xml:space="preserve">éponse du Gouvernement </w:t>
      </w:r>
      <w:r>
        <w:rPr>
          <w:szCs w:val="24"/>
          <w:lang w:val="fr-FR"/>
        </w:rPr>
        <w:t>norvégien</w:t>
      </w:r>
      <w:r w:rsidRPr="00EB1213">
        <w:rPr>
          <w:szCs w:val="24"/>
          <w:lang w:val="fr-FR"/>
        </w:rPr>
        <w:t xml:space="preserve"> </w:t>
      </w:r>
      <w:r>
        <w:rPr>
          <w:szCs w:val="24"/>
          <w:lang w:val="fr-FR"/>
        </w:rPr>
        <w:t>aux recommandations formulées dans le rapport du</w:t>
      </w:r>
      <w:r w:rsidRPr="00EB1213">
        <w:rPr>
          <w:szCs w:val="24"/>
          <w:lang w:val="fr-FR"/>
        </w:rPr>
        <w:t xml:space="preserve"> 4 janvier 2010</w:t>
      </w:r>
      <w:r>
        <w:rPr>
          <w:szCs w:val="24"/>
          <w:lang w:val="fr-FR"/>
        </w:rPr>
        <w:t xml:space="preserve"> du Groupe de travail sur l’Examen périodique universel </w:t>
      </w:r>
      <w:r w:rsidRPr="00EB1213">
        <w:rPr>
          <w:szCs w:val="24"/>
          <w:lang w:val="fr-FR"/>
        </w:rPr>
        <w:t>(A/HRC/13/5). Recommandation 1</w:t>
      </w:r>
      <w:r w:rsidRPr="00855E98">
        <w:rPr>
          <w:szCs w:val="24"/>
        </w:rPr>
        <w:t>.</w:t>
      </w:r>
    </w:p>
  </w:footnote>
  <w:footnote w:id="5">
    <w:p w:rsidR="00903547" w:rsidRDefault="00903547" w:rsidP="0071086E">
      <w:pPr>
        <w:pStyle w:val="FootnoteText"/>
        <w:widowControl w:val="0"/>
        <w:tabs>
          <w:tab w:val="clear" w:pos="1021"/>
          <w:tab w:val="right" w:pos="993"/>
        </w:tabs>
      </w:pPr>
      <w:r w:rsidRPr="00855E98">
        <w:tab/>
      </w:r>
      <w:r w:rsidRPr="00855E98">
        <w:rPr>
          <w:rStyle w:val="FootnoteReference"/>
        </w:rPr>
        <w:footnoteRef/>
      </w:r>
      <w:r w:rsidRPr="00855E98">
        <w:tab/>
      </w:r>
      <w:r w:rsidRPr="004C4FC8">
        <w:rPr>
          <w:lang w:val="fr-FR"/>
        </w:rPr>
        <w:t>Loi sur les droits de l’homme (</w:t>
      </w:r>
      <w:r>
        <w:rPr>
          <w:lang w:val="fr-FR"/>
        </w:rPr>
        <w:t>loi du 21 mai 1999, n</w:t>
      </w:r>
      <w:r w:rsidRPr="002F07F1">
        <w:rPr>
          <w:vertAlign w:val="superscript"/>
          <w:lang w:val="fr-FR"/>
        </w:rPr>
        <w:t>o</w:t>
      </w:r>
      <w:r>
        <w:rPr>
          <w:lang w:val="fr-FR"/>
        </w:rPr>
        <w:t> </w:t>
      </w:r>
      <w:r w:rsidRPr="004C4FC8">
        <w:rPr>
          <w:lang w:val="fr-FR"/>
        </w:rPr>
        <w:t>30).</w:t>
      </w:r>
    </w:p>
  </w:footnote>
  <w:footnote w:id="6">
    <w:p w:rsidR="00903547" w:rsidRDefault="00903547" w:rsidP="004B3395">
      <w:pPr>
        <w:pStyle w:val="FootnoteText"/>
        <w:widowControl w:val="0"/>
        <w:tabs>
          <w:tab w:val="clear" w:pos="1021"/>
          <w:tab w:val="right" w:pos="993"/>
        </w:tabs>
      </w:pPr>
      <w:r w:rsidRPr="00855E98">
        <w:tab/>
      </w:r>
      <w:r w:rsidRPr="00855E98">
        <w:rPr>
          <w:rStyle w:val="FootnoteReference"/>
        </w:rPr>
        <w:footnoteRef/>
      </w:r>
      <w:r w:rsidRPr="000B4E6A">
        <w:rPr>
          <w:lang w:val="fr-FR"/>
        </w:rPr>
        <w:tab/>
      </w:r>
      <w:r>
        <w:rPr>
          <w:lang w:val="fr-FR"/>
        </w:rPr>
        <w:t>Voir</w:t>
      </w:r>
      <w:r w:rsidRPr="000B4E6A">
        <w:rPr>
          <w:lang w:val="fr-FR"/>
        </w:rPr>
        <w:t xml:space="preserve"> </w:t>
      </w:r>
      <w:r>
        <w:rPr>
          <w:lang w:val="fr-FR"/>
        </w:rPr>
        <w:t>le rapport n</w:t>
      </w:r>
      <w:r w:rsidRPr="00F86574">
        <w:rPr>
          <w:vertAlign w:val="superscript"/>
          <w:lang w:val="fr-FR"/>
        </w:rPr>
        <w:t>o</w:t>
      </w:r>
      <w:r>
        <w:rPr>
          <w:lang w:val="fr-FR"/>
        </w:rPr>
        <w:t> </w:t>
      </w:r>
      <w:r w:rsidR="004B3395">
        <w:rPr>
          <w:lang w:val="fr-FR"/>
        </w:rPr>
        <w:t>35 (2003-</w:t>
      </w:r>
      <w:r w:rsidRPr="000B4E6A">
        <w:rPr>
          <w:lang w:val="fr-FR"/>
        </w:rPr>
        <w:t xml:space="preserve">2004) au </w:t>
      </w:r>
      <w:r w:rsidRPr="00B52B8E">
        <w:rPr>
          <w:i/>
          <w:lang w:val="fr-FR"/>
        </w:rPr>
        <w:t>Storting</w:t>
      </w:r>
      <w:r>
        <w:rPr>
          <w:lang w:val="fr-FR"/>
        </w:rPr>
        <w:t>:</w:t>
      </w:r>
      <w:r w:rsidRPr="000B4E6A">
        <w:rPr>
          <w:lang w:val="fr-FR"/>
        </w:rPr>
        <w:t xml:space="preserve"> </w:t>
      </w:r>
      <w:r w:rsidRPr="000B4E6A">
        <w:rPr>
          <w:i/>
          <w:lang w:val="fr-FR"/>
        </w:rPr>
        <w:t>Lutter ensemble contre la pauvreté</w:t>
      </w:r>
      <w:r>
        <w:rPr>
          <w:lang w:val="fr-FR"/>
        </w:rPr>
        <w:t xml:space="preserve"> et le rapport n</w:t>
      </w:r>
      <w:r w:rsidRPr="002F07F1">
        <w:rPr>
          <w:vertAlign w:val="superscript"/>
          <w:lang w:val="fr-FR"/>
        </w:rPr>
        <w:t>o</w:t>
      </w:r>
      <w:r>
        <w:rPr>
          <w:lang w:val="fr-FR"/>
        </w:rPr>
        <w:t> </w:t>
      </w:r>
      <w:r w:rsidRPr="000B4E6A">
        <w:rPr>
          <w:lang w:val="fr-FR"/>
        </w:rPr>
        <w:t>13 (2008</w:t>
      </w:r>
      <w:r w:rsidR="004B3395">
        <w:rPr>
          <w:lang w:val="fr-FR"/>
        </w:rPr>
        <w:t>-</w:t>
      </w:r>
      <w:r w:rsidRPr="000B4E6A">
        <w:rPr>
          <w:lang w:val="fr-FR"/>
        </w:rPr>
        <w:t xml:space="preserve">2009) au </w:t>
      </w:r>
      <w:r w:rsidRPr="00B52B8E">
        <w:rPr>
          <w:i/>
          <w:lang w:val="fr-FR"/>
        </w:rPr>
        <w:t>Storting</w:t>
      </w:r>
      <w:r>
        <w:rPr>
          <w:lang w:val="fr-FR"/>
        </w:rPr>
        <w:t>:</w:t>
      </w:r>
      <w:r w:rsidRPr="000B4E6A">
        <w:rPr>
          <w:lang w:val="fr-FR"/>
        </w:rPr>
        <w:t xml:space="preserve"> </w:t>
      </w:r>
      <w:r w:rsidRPr="000B4E6A">
        <w:rPr>
          <w:i/>
          <w:lang w:val="fr-FR"/>
        </w:rPr>
        <w:t>Climat, Conflit et Capital. Adaptation de la politique norvégienne de développement aux changements</w:t>
      </w:r>
      <w:r w:rsidRPr="00855E98">
        <w:t>.</w:t>
      </w:r>
    </w:p>
  </w:footnote>
  <w:footnote w:id="7">
    <w:p w:rsidR="00903547" w:rsidRDefault="00903547" w:rsidP="0071086E">
      <w:pPr>
        <w:pStyle w:val="FootnoteText"/>
        <w:widowControl w:val="0"/>
        <w:tabs>
          <w:tab w:val="clear" w:pos="1021"/>
          <w:tab w:val="right" w:pos="993"/>
        </w:tabs>
      </w:pPr>
      <w:r w:rsidRPr="00855E98">
        <w:tab/>
      </w:r>
      <w:r w:rsidRPr="00C73BB4">
        <w:rPr>
          <w:rStyle w:val="FootnoteReference"/>
          <w:lang w:val="fr-FR"/>
        </w:rPr>
        <w:footnoteRef/>
      </w:r>
      <w:r w:rsidRPr="00C73BB4">
        <w:rPr>
          <w:lang w:val="fr-FR"/>
        </w:rPr>
        <w:tab/>
        <w:t>Loi sur le</w:t>
      </w:r>
      <w:r>
        <w:rPr>
          <w:lang w:val="fr-FR"/>
        </w:rPr>
        <w:t xml:space="preserve"> Finnmark (loi du 17 juin 2005 n</w:t>
      </w:r>
      <w:r w:rsidRPr="00890AC7">
        <w:rPr>
          <w:vertAlign w:val="superscript"/>
          <w:lang w:val="fr-FR"/>
        </w:rPr>
        <w:t>o</w:t>
      </w:r>
      <w:r>
        <w:rPr>
          <w:lang w:val="fr-FR"/>
        </w:rPr>
        <w:t> </w:t>
      </w:r>
      <w:r w:rsidRPr="00C73BB4">
        <w:rPr>
          <w:lang w:val="fr-FR"/>
        </w:rPr>
        <w:t>85).</w:t>
      </w:r>
    </w:p>
  </w:footnote>
  <w:footnote w:id="8">
    <w:p w:rsidR="00903547" w:rsidRDefault="00903547" w:rsidP="0071086E">
      <w:pPr>
        <w:pStyle w:val="FootnoteText"/>
        <w:widowControl w:val="0"/>
        <w:tabs>
          <w:tab w:val="clear" w:pos="1021"/>
          <w:tab w:val="right" w:pos="993"/>
        </w:tabs>
      </w:pPr>
      <w:r w:rsidRPr="00855E98">
        <w:tab/>
      </w:r>
      <w:r w:rsidRPr="003861FF">
        <w:rPr>
          <w:rStyle w:val="FootnoteReference"/>
          <w:lang w:val="fr-FR"/>
        </w:rPr>
        <w:footnoteRef/>
      </w:r>
      <w:r w:rsidRPr="003861FF">
        <w:rPr>
          <w:lang w:val="fr-FR"/>
        </w:rPr>
        <w:tab/>
        <w:t xml:space="preserve">Loi </w:t>
      </w:r>
      <w:r>
        <w:rPr>
          <w:lang w:val="fr-FR"/>
        </w:rPr>
        <w:t>portant modification de</w:t>
      </w:r>
      <w:r w:rsidRPr="003861FF">
        <w:rPr>
          <w:lang w:val="fr-FR"/>
        </w:rPr>
        <w:t xml:space="preserve"> la</w:t>
      </w:r>
      <w:r>
        <w:rPr>
          <w:bCs/>
          <w:lang w:val="fr-FR"/>
        </w:rPr>
        <w:t xml:space="preserve"> loi du 13 juin 1997 n</w:t>
      </w:r>
      <w:r w:rsidRPr="00E01695">
        <w:rPr>
          <w:bCs/>
          <w:vertAlign w:val="superscript"/>
          <w:lang w:val="fr-FR"/>
        </w:rPr>
        <w:t>o</w:t>
      </w:r>
      <w:r>
        <w:rPr>
          <w:bCs/>
          <w:lang w:val="fr-FR"/>
        </w:rPr>
        <w:t> </w:t>
      </w:r>
      <w:r w:rsidRPr="003861FF">
        <w:rPr>
          <w:bCs/>
          <w:lang w:val="fr-FR"/>
        </w:rPr>
        <w:t xml:space="preserve">44 relative aux sociétés privées à responsabilité </w:t>
      </w:r>
      <w:r>
        <w:rPr>
          <w:bCs/>
          <w:lang w:val="fr-FR"/>
        </w:rPr>
        <w:t>limitée</w:t>
      </w:r>
      <w:r w:rsidRPr="003861FF">
        <w:rPr>
          <w:bCs/>
          <w:lang w:val="fr-FR"/>
        </w:rPr>
        <w:t xml:space="preserve">, </w:t>
      </w:r>
      <w:r>
        <w:rPr>
          <w:bCs/>
          <w:lang w:val="fr-FR"/>
        </w:rPr>
        <w:t>de la loi du 13 juin 1997 n</w:t>
      </w:r>
      <w:r w:rsidRPr="00E01695">
        <w:rPr>
          <w:bCs/>
          <w:vertAlign w:val="superscript"/>
          <w:lang w:val="fr-FR"/>
        </w:rPr>
        <w:t>o</w:t>
      </w:r>
      <w:r>
        <w:rPr>
          <w:bCs/>
          <w:lang w:val="fr-FR"/>
        </w:rPr>
        <w:t> </w:t>
      </w:r>
      <w:r w:rsidRPr="003861FF">
        <w:rPr>
          <w:bCs/>
          <w:lang w:val="fr-FR"/>
        </w:rPr>
        <w:t>45 relative aux sociétés anonym</w:t>
      </w:r>
      <w:r>
        <w:rPr>
          <w:bCs/>
          <w:lang w:val="fr-FR"/>
        </w:rPr>
        <w:t>e</w:t>
      </w:r>
      <w:r w:rsidRPr="003861FF">
        <w:rPr>
          <w:bCs/>
          <w:lang w:val="fr-FR"/>
        </w:rPr>
        <w:t>s et d’autres lois.</w:t>
      </w:r>
    </w:p>
  </w:footnote>
  <w:footnote w:id="9">
    <w:p w:rsidR="00903547" w:rsidRDefault="00903547" w:rsidP="0071086E">
      <w:pPr>
        <w:pStyle w:val="FootnoteText"/>
      </w:pPr>
      <w:r w:rsidRPr="00855E98">
        <w:tab/>
      </w:r>
      <w:r w:rsidRPr="00855E98">
        <w:rPr>
          <w:rStyle w:val="FootnoteReference"/>
        </w:rPr>
        <w:footnoteRef/>
      </w:r>
      <w:r w:rsidRPr="00E42C27">
        <w:rPr>
          <w:lang w:val="fr-FR"/>
        </w:rPr>
        <w:tab/>
        <w:t xml:space="preserve">Rapport </w:t>
      </w:r>
      <w:r>
        <w:rPr>
          <w:lang w:val="fr-FR"/>
        </w:rPr>
        <w:t>n</w:t>
      </w:r>
      <w:r w:rsidRPr="00F86574">
        <w:rPr>
          <w:vertAlign w:val="superscript"/>
          <w:lang w:val="fr-FR"/>
        </w:rPr>
        <w:t>o</w:t>
      </w:r>
      <w:r>
        <w:rPr>
          <w:lang w:val="fr-FR"/>
        </w:rPr>
        <w:t> </w:t>
      </w:r>
      <w:r w:rsidRPr="00E42C27">
        <w:rPr>
          <w:lang w:val="fr-FR"/>
        </w:rPr>
        <w:t xml:space="preserve">10 au </w:t>
      </w:r>
      <w:r w:rsidRPr="00B52B8E">
        <w:rPr>
          <w:i/>
          <w:lang w:val="fr-FR"/>
        </w:rPr>
        <w:t>Storting</w:t>
      </w:r>
      <w:r>
        <w:rPr>
          <w:lang w:val="fr-FR"/>
        </w:rPr>
        <w:t xml:space="preserve"> (2008-</w:t>
      </w:r>
      <w:r w:rsidRPr="00E42C27">
        <w:rPr>
          <w:lang w:val="fr-FR"/>
        </w:rPr>
        <w:t>2009).</w:t>
      </w:r>
    </w:p>
  </w:footnote>
  <w:footnote w:id="10">
    <w:p w:rsidR="00903547" w:rsidRDefault="00903547" w:rsidP="0071086E">
      <w:pPr>
        <w:pStyle w:val="FootnoteText"/>
        <w:widowControl w:val="0"/>
        <w:tabs>
          <w:tab w:val="clear" w:pos="1021"/>
          <w:tab w:val="right" w:pos="1020"/>
        </w:tabs>
      </w:pPr>
      <w:r w:rsidRPr="00855E98">
        <w:tab/>
      </w:r>
      <w:r w:rsidRPr="00831C57">
        <w:rPr>
          <w:rStyle w:val="FootnoteReference"/>
          <w:lang w:val="fr-FR"/>
        </w:rPr>
        <w:footnoteRef/>
      </w:r>
      <w:r w:rsidRPr="00831C57">
        <w:rPr>
          <w:lang w:val="fr-FR"/>
        </w:rPr>
        <w:tab/>
        <w:t>L’étude peut être consultée sur le site</w:t>
      </w:r>
      <w:r>
        <w:rPr>
          <w:lang w:val="fr-FR"/>
        </w:rPr>
        <w:t>:</w:t>
      </w:r>
      <w:r w:rsidRPr="00831C57">
        <w:rPr>
          <w:lang w:val="fr-FR"/>
        </w:rPr>
        <w:t xml:space="preserve"> http://www.regjeringen.no/upload/AD/publikasjoner/</w:t>
      </w:r>
      <w:r w:rsidRPr="00831C57">
        <w:rPr>
          <w:lang w:val="fr-FR"/>
        </w:rPr>
        <w:br/>
        <w:t>veiledninger</w:t>
      </w:r>
      <w:r>
        <w:rPr>
          <w:lang w:val="fr-FR"/>
        </w:rPr>
        <w:t>˗˗</w:t>
      </w:r>
      <w:r w:rsidRPr="00831C57">
        <w:rPr>
          <w:lang w:val="fr-FR"/>
        </w:rPr>
        <w:t>brosjyrer/2010/DNT_2010_eng.pdf.</w:t>
      </w:r>
    </w:p>
  </w:footnote>
  <w:footnote w:id="11">
    <w:p w:rsidR="00903547" w:rsidRDefault="00903547" w:rsidP="0071086E">
      <w:pPr>
        <w:pStyle w:val="FootnoteText"/>
        <w:widowControl w:val="0"/>
        <w:tabs>
          <w:tab w:val="clear" w:pos="1021"/>
          <w:tab w:val="right" w:pos="993"/>
        </w:tabs>
      </w:pPr>
      <w:r w:rsidRPr="00855E98">
        <w:tab/>
      </w:r>
      <w:r w:rsidRPr="00855E98">
        <w:rPr>
          <w:rStyle w:val="FootnoteReference"/>
        </w:rPr>
        <w:footnoteRef/>
      </w:r>
      <w:r w:rsidRPr="00855E98">
        <w:tab/>
      </w:r>
      <w:r w:rsidRPr="007F07FA">
        <w:rPr>
          <w:lang w:val="fr-FR"/>
        </w:rPr>
        <w:t>Ces statistiques peuv</w:t>
      </w:r>
      <w:r>
        <w:rPr>
          <w:lang w:val="fr-FR"/>
        </w:rPr>
        <w:t>ent être consultées sur le site</w:t>
      </w:r>
      <w:r w:rsidRPr="007F07FA">
        <w:rPr>
          <w:lang w:val="fr-FR"/>
        </w:rPr>
        <w:t>: http://www.ssb.no/emner/05/01/rapp_okonomi_</w:t>
      </w:r>
      <w:r>
        <w:rPr>
          <w:lang w:val="fr-FR"/>
        </w:rPr>
        <w:br/>
      </w:r>
      <w:r w:rsidRPr="007F07FA">
        <w:rPr>
          <w:lang w:val="fr-FR"/>
        </w:rPr>
        <w:t xml:space="preserve">levekaar/rapp_200901/rapp_200901.pdf et </w:t>
      </w:r>
      <w:r>
        <w:rPr>
          <w:lang w:val="fr-FR"/>
        </w:rPr>
        <w:t>sur le site:</w:t>
      </w:r>
      <w:r w:rsidRPr="007F07FA">
        <w:rPr>
          <w:lang w:val="fr-FR"/>
        </w:rPr>
        <w:t xml:space="preserve"> </w:t>
      </w:r>
      <w:hyperlink r:id="rId1" w:history="1">
        <w:r w:rsidRPr="007F07FA">
          <w:rPr>
            <w:rStyle w:val="Hyperlink"/>
            <w:lang w:val="fr-FR"/>
          </w:rPr>
          <w:t>http://www.ssb.no/english/subjects/05/01/</w:t>
        </w:r>
      </w:hyperlink>
      <w:r w:rsidRPr="007F07FA">
        <w:rPr>
          <w:lang w:val="fr-FR"/>
        </w:rPr>
        <w:t>.</w:t>
      </w:r>
    </w:p>
  </w:footnote>
  <w:footnote w:id="12">
    <w:p w:rsidR="00903547" w:rsidRDefault="00903547" w:rsidP="0071086E">
      <w:pPr>
        <w:pStyle w:val="FootnoteText"/>
        <w:widowControl w:val="0"/>
        <w:tabs>
          <w:tab w:val="clear" w:pos="1021"/>
          <w:tab w:val="right" w:pos="993"/>
        </w:tabs>
      </w:pPr>
      <w:r w:rsidRPr="00855E98">
        <w:tab/>
      </w:r>
      <w:r w:rsidRPr="00855E98">
        <w:rPr>
          <w:rStyle w:val="FootnoteReference"/>
        </w:rPr>
        <w:footnoteRef/>
      </w:r>
      <w:r w:rsidRPr="0038022D">
        <w:rPr>
          <w:lang w:val="fr-FR"/>
        </w:rPr>
        <w:tab/>
        <w:t>Voir les statistiques sur</w:t>
      </w:r>
      <w:r>
        <w:rPr>
          <w:lang w:val="fr-FR"/>
        </w:rPr>
        <w:t>:</w:t>
      </w:r>
      <w:r w:rsidRPr="0038022D">
        <w:rPr>
          <w:lang w:val="fr-FR"/>
        </w:rPr>
        <w:t xml:space="preserve"> </w:t>
      </w:r>
      <w:hyperlink r:id="rId2" w:history="1">
        <w:r w:rsidRPr="0038022D">
          <w:rPr>
            <w:rStyle w:val="Hyperlink"/>
            <w:lang w:val="fr-FR"/>
          </w:rPr>
          <w:t>http://www.ssb.no/english/subjects/05/01/inntind_en/</w:t>
        </w:r>
      </w:hyperlink>
      <w:r w:rsidRPr="0038022D">
        <w:rPr>
          <w:lang w:val="fr-FR"/>
        </w:rPr>
        <w:t>.</w:t>
      </w:r>
    </w:p>
  </w:footnote>
  <w:footnote w:id="13">
    <w:p w:rsidR="00903547" w:rsidRDefault="00903547" w:rsidP="004B3395">
      <w:pPr>
        <w:pStyle w:val="FootnoteText"/>
        <w:widowControl w:val="0"/>
        <w:tabs>
          <w:tab w:val="clear" w:pos="1021"/>
          <w:tab w:val="right" w:pos="993"/>
        </w:tabs>
      </w:pPr>
      <w:r w:rsidRPr="0038022D">
        <w:rPr>
          <w:lang w:val="fr-FR"/>
        </w:rPr>
        <w:tab/>
      </w:r>
      <w:r w:rsidRPr="0038022D">
        <w:rPr>
          <w:rStyle w:val="FootnoteReference"/>
          <w:lang w:val="fr-FR"/>
        </w:rPr>
        <w:footnoteRef/>
      </w:r>
      <w:r w:rsidRPr="0038022D">
        <w:rPr>
          <w:lang w:val="fr-FR"/>
        </w:rPr>
        <w:tab/>
        <w:t xml:space="preserve">La publication </w:t>
      </w:r>
      <w:r w:rsidRPr="0038022D">
        <w:rPr>
          <w:i/>
          <w:lang w:val="fr-FR"/>
        </w:rPr>
        <w:t>Plan</w:t>
      </w:r>
      <w:r>
        <w:rPr>
          <w:i/>
          <w:lang w:val="fr-FR"/>
        </w:rPr>
        <w:t xml:space="preserve"> d’action</w:t>
      </w:r>
      <w:r w:rsidRPr="0038022D">
        <w:rPr>
          <w:i/>
          <w:szCs w:val="24"/>
          <w:lang w:val="fr-FR"/>
        </w:rPr>
        <w:t xml:space="preserve"> </w:t>
      </w:r>
      <w:r>
        <w:rPr>
          <w:i/>
          <w:szCs w:val="24"/>
          <w:lang w:val="fr-FR"/>
        </w:rPr>
        <w:t>contre la pauvreté</w:t>
      </w:r>
      <w:r w:rsidRPr="0038022D">
        <w:rPr>
          <w:i/>
          <w:szCs w:val="24"/>
          <w:lang w:val="fr-FR"/>
        </w:rPr>
        <w:t xml:space="preserve"> – s</w:t>
      </w:r>
      <w:r>
        <w:rPr>
          <w:i/>
          <w:szCs w:val="24"/>
          <w:lang w:val="fr-FR"/>
        </w:rPr>
        <w:t>ituation en</w:t>
      </w:r>
      <w:r w:rsidRPr="0038022D">
        <w:rPr>
          <w:i/>
          <w:szCs w:val="24"/>
          <w:lang w:val="fr-FR"/>
        </w:rPr>
        <w:t xml:space="preserve"> 2008 </w:t>
      </w:r>
      <w:r>
        <w:rPr>
          <w:i/>
          <w:szCs w:val="24"/>
          <w:lang w:val="fr-FR"/>
        </w:rPr>
        <w:t>et renforcement des mesures pour</w:t>
      </w:r>
      <w:r w:rsidRPr="0038022D">
        <w:rPr>
          <w:i/>
          <w:szCs w:val="24"/>
          <w:lang w:val="fr-FR"/>
        </w:rPr>
        <w:t xml:space="preserve"> 2009</w:t>
      </w:r>
      <w:r w:rsidRPr="0038022D">
        <w:rPr>
          <w:szCs w:val="24"/>
          <w:lang w:val="fr-FR"/>
        </w:rPr>
        <w:t xml:space="preserve"> peut être consultée sur le site</w:t>
      </w:r>
      <w:r>
        <w:rPr>
          <w:szCs w:val="24"/>
          <w:lang w:val="fr-FR"/>
        </w:rPr>
        <w:t>:</w:t>
      </w:r>
      <w:r w:rsidRPr="0038022D">
        <w:rPr>
          <w:lang w:val="fr-FR"/>
        </w:rPr>
        <w:t xml:space="preserve"> </w:t>
      </w:r>
      <w:hyperlink r:id="rId3" w:history="1">
        <w:r w:rsidR="004B3395" w:rsidRPr="00661035">
          <w:rPr>
            <w:rStyle w:val="Hyperlink"/>
            <w:lang w:val="fr-FR"/>
          </w:rPr>
          <w:t>http://www.regjeringen.no/en/dep/aid/doc/rapporter_planer/</w:t>
        </w:r>
        <w:r w:rsidR="004B3395" w:rsidRPr="00661035">
          <w:rPr>
            <w:rStyle w:val="Hyperlink"/>
            <w:lang w:val="fr-FR"/>
          </w:rPr>
          <w:br/>
          <w:t>planer/2008/action-plan-against-poverty-2008.html?id=531068</w:t>
        </w:r>
      </w:hyperlink>
      <w:r w:rsidRPr="0038022D">
        <w:rPr>
          <w:lang w:val="fr-FR"/>
        </w:rPr>
        <w:t>.</w:t>
      </w:r>
    </w:p>
  </w:footnote>
  <w:footnote w:id="14">
    <w:p w:rsidR="00903547" w:rsidRDefault="00903547" w:rsidP="0071086E">
      <w:pPr>
        <w:pStyle w:val="FootnoteText"/>
        <w:widowControl w:val="0"/>
        <w:tabs>
          <w:tab w:val="clear" w:pos="1021"/>
          <w:tab w:val="right" w:pos="993"/>
        </w:tabs>
      </w:pPr>
      <w:r w:rsidRPr="00855E98">
        <w:tab/>
      </w:r>
      <w:r w:rsidRPr="00324E8E">
        <w:rPr>
          <w:rStyle w:val="FootnoteReference"/>
          <w:lang w:val="fr-FR"/>
        </w:rPr>
        <w:footnoteRef/>
      </w:r>
      <w:r>
        <w:rPr>
          <w:lang w:val="fr-FR"/>
        </w:rPr>
        <w:tab/>
        <w:t>24 novembre 2000 n</w:t>
      </w:r>
      <w:r w:rsidRPr="00F86574">
        <w:rPr>
          <w:vertAlign w:val="superscript"/>
          <w:lang w:val="fr-FR"/>
        </w:rPr>
        <w:t>o</w:t>
      </w:r>
      <w:r>
        <w:rPr>
          <w:lang w:val="fr-FR"/>
        </w:rPr>
        <w:t> </w:t>
      </w:r>
      <w:r w:rsidRPr="00324E8E">
        <w:rPr>
          <w:lang w:val="fr-FR"/>
        </w:rPr>
        <w:t>82.</w:t>
      </w:r>
    </w:p>
  </w:footnote>
  <w:footnote w:id="15">
    <w:p w:rsidR="00903547" w:rsidRDefault="00903547" w:rsidP="0071086E">
      <w:pPr>
        <w:pStyle w:val="FootnoteText"/>
        <w:widowControl w:val="0"/>
        <w:tabs>
          <w:tab w:val="clear" w:pos="1021"/>
          <w:tab w:val="right" w:pos="993"/>
        </w:tabs>
      </w:pPr>
      <w:r w:rsidRPr="00324E8E">
        <w:rPr>
          <w:lang w:val="fr-FR"/>
        </w:rPr>
        <w:tab/>
      </w:r>
      <w:r w:rsidRPr="00324E8E">
        <w:rPr>
          <w:rStyle w:val="FootnoteReference"/>
          <w:lang w:val="fr-FR"/>
        </w:rPr>
        <w:footnoteRef/>
      </w:r>
      <w:r w:rsidRPr="00324E8E">
        <w:rPr>
          <w:lang w:val="fr-FR"/>
        </w:rPr>
        <w:tab/>
      </w:r>
      <w:r w:rsidRPr="00324E8E">
        <w:rPr>
          <w:i/>
          <w:lang w:val="fr-FR"/>
        </w:rPr>
        <w:t>La santé publique en Norvège – Rapport sur la santé publique 2010</w:t>
      </w:r>
      <w:r w:rsidRPr="00324E8E">
        <w:rPr>
          <w:lang w:val="fr-FR"/>
        </w:rPr>
        <w:t xml:space="preserve">: </w:t>
      </w:r>
      <w:hyperlink r:id="rId4" w:history="1">
        <w:r w:rsidRPr="00324E8E">
          <w:rPr>
            <w:rStyle w:val="Hyperlink"/>
            <w:color w:val="000000"/>
            <w:lang w:val="fr-FR"/>
          </w:rPr>
          <w:t>http://www.fhi.no/eway/default.</w:t>
        </w:r>
        <w:r w:rsidRPr="00324E8E">
          <w:rPr>
            <w:rStyle w:val="Hyperlink"/>
            <w:color w:val="000000"/>
            <w:lang w:val="fr-FR"/>
          </w:rPr>
          <w:br/>
          <w:t>aspx?pid=233&amp;trg=Area_5774&amp;MainLeft_5669=5774:0:&amp;Area_5774=5544:84298::0:5776:1:::0:0</w:t>
        </w:r>
      </w:hyperlink>
      <w:r w:rsidRPr="00324E8E">
        <w:rPr>
          <w:lang w:val="fr-FR"/>
        </w:rPr>
        <w:t>.</w:t>
      </w:r>
    </w:p>
  </w:footnote>
  <w:footnote w:id="16">
    <w:p w:rsidR="00903547" w:rsidRDefault="00903547" w:rsidP="0071086E">
      <w:pPr>
        <w:pStyle w:val="FootnoteText"/>
        <w:widowControl w:val="0"/>
        <w:tabs>
          <w:tab w:val="clear" w:pos="1021"/>
          <w:tab w:val="right" w:pos="993"/>
        </w:tabs>
      </w:pPr>
      <w:r w:rsidRPr="00324E8E">
        <w:rPr>
          <w:lang w:val="fr-FR"/>
        </w:rPr>
        <w:tab/>
      </w:r>
      <w:r w:rsidRPr="00324E8E">
        <w:rPr>
          <w:rStyle w:val="FootnoteReference"/>
          <w:lang w:val="fr-FR"/>
        </w:rPr>
        <w:footnoteRef/>
      </w:r>
      <w:r w:rsidRPr="00324E8E">
        <w:rPr>
          <w:lang w:val="fr-FR"/>
        </w:rPr>
        <w:tab/>
      </w:r>
      <w:r w:rsidRPr="00324E8E">
        <w:rPr>
          <w:iCs/>
          <w:szCs w:val="24"/>
          <w:lang w:val="fr-FR" w:eastAsia="en-GB"/>
        </w:rPr>
        <w:t>FOR-2001-12-04-1372.</w:t>
      </w:r>
    </w:p>
  </w:footnote>
  <w:footnote w:id="17">
    <w:p w:rsidR="00903547" w:rsidRDefault="00903547" w:rsidP="0071086E">
      <w:pPr>
        <w:pStyle w:val="FootnoteText"/>
        <w:widowControl w:val="0"/>
        <w:tabs>
          <w:tab w:val="clear" w:pos="1021"/>
          <w:tab w:val="right" w:pos="993"/>
        </w:tabs>
      </w:pPr>
      <w:r w:rsidRPr="00324E8E">
        <w:rPr>
          <w:lang w:val="fr-FR"/>
        </w:rPr>
        <w:tab/>
      </w:r>
      <w:r w:rsidRPr="000248F0">
        <w:rPr>
          <w:rStyle w:val="FootnoteReference"/>
          <w:lang w:val="fr-FR"/>
        </w:rPr>
        <w:footnoteRef/>
      </w:r>
      <w:r w:rsidRPr="000248F0">
        <w:rPr>
          <w:lang w:val="fr-FR"/>
        </w:rPr>
        <w:tab/>
        <w:t>L’indice de développement humain peut être consulté sur le site: http://hdrstats.undp.org/en/countries/</w:t>
      </w:r>
      <w:r>
        <w:rPr>
          <w:lang w:val="fr-FR"/>
        </w:rPr>
        <w:br/>
      </w:r>
      <w:r w:rsidRPr="000248F0">
        <w:rPr>
          <w:lang w:val="fr-FR"/>
        </w:rPr>
        <w:t>country_fact_sheets/cty_fs_NOR.html.</w:t>
      </w:r>
    </w:p>
  </w:footnote>
  <w:footnote w:id="18">
    <w:p w:rsidR="00903547" w:rsidRDefault="00903547" w:rsidP="0071086E">
      <w:pPr>
        <w:pStyle w:val="FootnoteText"/>
        <w:widowControl w:val="0"/>
        <w:tabs>
          <w:tab w:val="clear" w:pos="1021"/>
          <w:tab w:val="right" w:pos="993"/>
        </w:tabs>
      </w:pPr>
      <w:r w:rsidRPr="00855E98">
        <w:tab/>
      </w:r>
      <w:r w:rsidRPr="00855E98">
        <w:rPr>
          <w:rStyle w:val="FootnoteReference"/>
        </w:rPr>
        <w:footnoteRef/>
      </w:r>
      <w:r w:rsidRPr="00855E98">
        <w:tab/>
      </w:r>
      <w:r w:rsidRPr="003D7DA3">
        <w:rPr>
          <w:lang w:val="fr-FR"/>
        </w:rPr>
        <w:t>Un logement humide est un logement endommagé par la présence de pourritures, moisissures, champignons dans toutes les pièces habitables ou une partie d’entre elles</w:t>
      </w:r>
      <w:r w:rsidRPr="003D7DA3">
        <w:rPr>
          <w:szCs w:val="24"/>
          <w:lang w:val="fr-FR" w:eastAsia="en-GB"/>
        </w:rPr>
        <w:t>.</w:t>
      </w:r>
    </w:p>
  </w:footnote>
  <w:footnote w:id="19">
    <w:p w:rsidR="00903547" w:rsidRDefault="00903547" w:rsidP="0071086E">
      <w:pPr>
        <w:pStyle w:val="FootnoteText"/>
        <w:widowControl w:val="0"/>
        <w:tabs>
          <w:tab w:val="clear" w:pos="1021"/>
          <w:tab w:val="right" w:pos="993"/>
        </w:tabs>
      </w:pPr>
      <w:r w:rsidRPr="003D7DA3">
        <w:rPr>
          <w:lang w:val="fr-FR"/>
        </w:rPr>
        <w:tab/>
      </w:r>
      <w:r w:rsidRPr="003D7DA3">
        <w:rPr>
          <w:rStyle w:val="FootnoteReference"/>
          <w:lang w:val="fr-FR"/>
        </w:rPr>
        <w:footnoteRef/>
      </w:r>
      <w:r w:rsidRPr="003D7DA3">
        <w:rPr>
          <w:lang w:val="fr-FR"/>
        </w:rPr>
        <w:tab/>
      </w:r>
      <w:r>
        <w:rPr>
          <w:lang w:val="fr-FR"/>
        </w:rPr>
        <w:t>Un logement surpeuplé est défini comme suit: une personne vivant seule dans une seule pièce ou dans un foyer comptant plus de personnes que de pièces habitables. La cuisine, la salle de bain, l’entrée et les pièces de moins de 6 m² ne sont pas considérées comme des pièces habitables</w:t>
      </w:r>
      <w:r w:rsidRPr="003D7DA3">
        <w:rPr>
          <w:szCs w:val="24"/>
          <w:lang w:val="fr-FR" w:eastAsia="en-GB"/>
        </w:rPr>
        <w:t>.</w:t>
      </w:r>
    </w:p>
  </w:footnote>
  <w:footnote w:id="20">
    <w:p w:rsidR="00903547" w:rsidRDefault="00903547" w:rsidP="0071086E">
      <w:pPr>
        <w:pStyle w:val="FootnoteText"/>
        <w:widowControl w:val="0"/>
        <w:tabs>
          <w:tab w:val="clear" w:pos="1021"/>
          <w:tab w:val="right" w:pos="993"/>
        </w:tabs>
      </w:pPr>
      <w:r w:rsidRPr="003D7DA3">
        <w:rPr>
          <w:lang w:val="fr-FR"/>
        </w:rPr>
        <w:tab/>
      </w:r>
      <w:r w:rsidRPr="003D7DA3">
        <w:rPr>
          <w:rStyle w:val="FootnoteReference"/>
          <w:lang w:val="fr-FR"/>
        </w:rPr>
        <w:footnoteRef/>
      </w:r>
      <w:r w:rsidRPr="003D7DA3">
        <w:rPr>
          <w:lang w:val="fr-FR"/>
        </w:rPr>
        <w:tab/>
        <w:t>Une parcelle de propriétaire-locataire est une partie d’un</w:t>
      </w:r>
      <w:r>
        <w:rPr>
          <w:lang w:val="fr-FR"/>
        </w:rPr>
        <w:t>e copropriété</w:t>
      </w:r>
      <w:r w:rsidRPr="003D7DA3">
        <w:rPr>
          <w:lang w:val="fr-FR"/>
        </w:rPr>
        <w:t xml:space="preserve"> assortie du seul droit d’occuper un logement ou une autre partie du bien immobilier</w:t>
      </w:r>
      <w:r w:rsidRPr="003D7DA3">
        <w:rPr>
          <w:szCs w:val="24"/>
          <w:lang w:val="fr-FR" w:eastAsia="en-GB"/>
        </w:rPr>
        <w:t>.</w:t>
      </w:r>
    </w:p>
  </w:footnote>
  <w:footnote w:id="21">
    <w:p w:rsidR="00903547" w:rsidRDefault="00903547" w:rsidP="0071086E">
      <w:pPr>
        <w:pStyle w:val="FootnoteText"/>
        <w:widowControl w:val="0"/>
        <w:tabs>
          <w:tab w:val="clear" w:pos="1021"/>
          <w:tab w:val="right" w:pos="993"/>
        </w:tabs>
      </w:pPr>
      <w:r w:rsidRPr="00855E98">
        <w:tab/>
      </w:r>
      <w:r w:rsidRPr="009018D4">
        <w:rPr>
          <w:rStyle w:val="FootnoteReference"/>
          <w:lang w:val="fr-FR"/>
        </w:rPr>
        <w:footnoteRef/>
      </w:r>
      <w:r w:rsidRPr="009018D4">
        <w:rPr>
          <w:lang w:val="fr-FR"/>
        </w:rPr>
        <w:tab/>
        <w:t xml:space="preserve">La brochure peut être consultée sur </w:t>
      </w:r>
      <w:r>
        <w:rPr>
          <w:lang w:val="fr-FR"/>
        </w:rPr>
        <w:t>le site</w:t>
      </w:r>
      <w:r w:rsidRPr="009018D4">
        <w:rPr>
          <w:lang w:val="fr-FR"/>
        </w:rPr>
        <w:t xml:space="preserve">: </w:t>
      </w:r>
      <w:hyperlink r:id="rId5" w:history="1">
        <w:r w:rsidRPr="00A76E93">
          <w:rPr>
            <w:rStyle w:val="Hyperlink"/>
            <w:lang w:val="fr-FR"/>
          </w:rPr>
          <w:t>http://www.regjeringen.no/upload/KD/Vedlegg/</w:t>
        </w:r>
        <w:r w:rsidRPr="00A76E93">
          <w:rPr>
            <w:rStyle w:val="Hyperlink"/>
            <w:lang w:val="fr-FR"/>
          </w:rPr>
          <w:br/>
          <w:t>Veiledninger%20og%20brosjyrer/</w:t>
        </w:r>
        <w:r>
          <w:rPr>
            <w:rStyle w:val="Hyperlink"/>
            <w:lang w:val="fr-FR"/>
          </w:rPr>
          <w:t>Éducation</w:t>
        </w:r>
        <w:r w:rsidRPr="00A76E93">
          <w:rPr>
            <w:rStyle w:val="Hyperlink"/>
            <w:lang w:val="fr-FR"/>
          </w:rPr>
          <w:t>_in_Norway_f-4133e.pdf</w:t>
        </w:r>
      </w:hyperlink>
      <w:r w:rsidRPr="009018D4">
        <w:rPr>
          <w:lang w:val="fr-FR"/>
        </w:rPr>
        <w:t>.</w:t>
      </w:r>
    </w:p>
  </w:footnote>
  <w:footnote w:id="22">
    <w:p w:rsidR="00903547" w:rsidRDefault="00903547" w:rsidP="0071086E">
      <w:pPr>
        <w:pStyle w:val="FootnoteText"/>
        <w:widowControl w:val="0"/>
        <w:tabs>
          <w:tab w:val="clear" w:pos="1021"/>
          <w:tab w:val="right" w:pos="1020"/>
        </w:tabs>
      </w:pPr>
      <w:r w:rsidRPr="009018D4">
        <w:rPr>
          <w:lang w:val="fr-FR"/>
        </w:rPr>
        <w:tab/>
      </w:r>
      <w:r w:rsidRPr="009018D4">
        <w:rPr>
          <w:rStyle w:val="FootnoteReference"/>
          <w:lang w:val="fr-FR"/>
        </w:rPr>
        <w:footnoteRef/>
      </w:r>
      <w:r w:rsidRPr="009018D4">
        <w:rPr>
          <w:lang w:val="fr-FR"/>
        </w:rPr>
        <w:tab/>
        <w:t xml:space="preserve">Le rapport peut être consulté sur </w:t>
      </w:r>
      <w:r>
        <w:rPr>
          <w:lang w:val="fr-FR"/>
        </w:rPr>
        <w:t>le site</w:t>
      </w:r>
      <w:r w:rsidRPr="009018D4">
        <w:rPr>
          <w:lang w:val="fr-FR"/>
        </w:rPr>
        <w:t xml:space="preserve">: </w:t>
      </w:r>
      <w:hyperlink r:id="rId6" w:history="1">
        <w:r w:rsidRPr="009018D4">
          <w:rPr>
            <w:rStyle w:val="Hyperlink"/>
            <w:color w:val="000000"/>
            <w:lang w:val="fr-FR"/>
          </w:rPr>
          <w:t>http://eacea.ec.europa.eu/education/eurydice/documents/</w:t>
        </w:r>
        <w:r w:rsidRPr="009018D4">
          <w:rPr>
            <w:rStyle w:val="Hyperlink"/>
            <w:color w:val="000000"/>
            <w:lang w:val="fr-FR"/>
          </w:rPr>
          <w:br/>
          <w:t>eurybase/eurybase_full_reports/NO_EN.pdf</w:t>
        </w:r>
      </w:hyperlink>
      <w:r w:rsidRPr="009018D4">
        <w:rPr>
          <w:lang w:val="fr-FR"/>
        </w:rPr>
        <w:t>.</w:t>
      </w:r>
    </w:p>
  </w:footnote>
  <w:footnote w:id="23">
    <w:p w:rsidR="00903547" w:rsidRDefault="00903547" w:rsidP="0071086E">
      <w:pPr>
        <w:pStyle w:val="FootnoteText"/>
        <w:widowControl w:val="0"/>
        <w:tabs>
          <w:tab w:val="clear" w:pos="1021"/>
          <w:tab w:val="right" w:pos="1020"/>
        </w:tabs>
      </w:pPr>
      <w:r w:rsidRPr="009018D4">
        <w:rPr>
          <w:lang w:val="fr-FR"/>
        </w:rPr>
        <w:tab/>
      </w:r>
      <w:r w:rsidRPr="009018D4">
        <w:rPr>
          <w:rStyle w:val="FootnoteReference"/>
          <w:lang w:val="fr-FR"/>
        </w:rPr>
        <w:footnoteRef/>
      </w:r>
      <w:r w:rsidRPr="009018D4">
        <w:rPr>
          <w:lang w:val="fr-FR"/>
        </w:rPr>
        <w:tab/>
        <w:t xml:space="preserve">Les fiches de synthèse sont sur </w:t>
      </w:r>
      <w:r>
        <w:rPr>
          <w:lang w:val="fr-FR"/>
        </w:rPr>
        <w:t>le site</w:t>
      </w:r>
      <w:r w:rsidRPr="009018D4">
        <w:rPr>
          <w:lang w:val="fr-FR"/>
        </w:rPr>
        <w:t xml:space="preserve">: </w:t>
      </w:r>
      <w:hyperlink r:id="rId7" w:history="1">
        <w:r w:rsidRPr="009018D4">
          <w:rPr>
            <w:rStyle w:val="Hyperlink"/>
            <w:color w:val="000000"/>
            <w:lang w:val="fr-FR"/>
          </w:rPr>
          <w:t>http://eacea.ec.europa.eu/education/eurydice/documents/</w:t>
        </w:r>
        <w:r w:rsidRPr="009018D4">
          <w:rPr>
            <w:rStyle w:val="Hyperlink"/>
            <w:color w:val="000000"/>
            <w:lang w:val="fr-FR"/>
          </w:rPr>
          <w:br/>
          <w:t>eurybase/national_summary_sheets/047_NO_EN.pdf</w:t>
        </w:r>
      </w:hyperlink>
      <w:r w:rsidRPr="009018D4">
        <w:rPr>
          <w:lang w:val="fr-FR"/>
        </w:rPr>
        <w:t>.</w:t>
      </w:r>
    </w:p>
  </w:footnote>
  <w:footnote w:id="24">
    <w:p w:rsidR="00903547" w:rsidRDefault="00903547" w:rsidP="0071086E">
      <w:pPr>
        <w:pStyle w:val="FootnoteText"/>
        <w:widowControl w:val="0"/>
        <w:tabs>
          <w:tab w:val="clear" w:pos="1021"/>
          <w:tab w:val="right" w:pos="1020"/>
        </w:tabs>
      </w:pPr>
      <w:r w:rsidRPr="009018D4">
        <w:rPr>
          <w:lang w:val="fr-FR"/>
        </w:rPr>
        <w:tab/>
      </w:r>
      <w:r w:rsidRPr="009018D4">
        <w:rPr>
          <w:rStyle w:val="FootnoteReference"/>
          <w:lang w:val="fr-FR"/>
        </w:rPr>
        <w:footnoteRef/>
      </w:r>
      <w:r w:rsidRPr="009018D4">
        <w:rPr>
          <w:lang w:val="fr-FR"/>
        </w:rPr>
        <w:tab/>
        <w:t>La loi sur l’éd</w:t>
      </w:r>
      <w:r>
        <w:rPr>
          <w:lang w:val="fr-FR"/>
        </w:rPr>
        <w:t xml:space="preserve">ucation peut être consultée sur: </w:t>
      </w:r>
      <w:r w:rsidRPr="000B6FD2">
        <w:rPr>
          <w:lang w:val="fr-FR"/>
        </w:rPr>
        <w:t>http://www.regjeringen.no/upload/KD/Vedlegg/</w:t>
      </w:r>
      <w:r>
        <w:rPr>
          <w:lang w:val="fr-FR"/>
        </w:rPr>
        <w:br/>
      </w:r>
      <w:r w:rsidRPr="000B6FD2">
        <w:rPr>
          <w:lang w:val="fr-FR"/>
        </w:rPr>
        <w:t>Grunnskole/</w:t>
      </w:r>
      <w:hyperlink r:id="rId8" w:history="1">
        <w:r w:rsidRPr="00562F6D">
          <w:rPr>
            <w:rStyle w:val="Hyperlink"/>
            <w:lang w:val="fr-FR"/>
          </w:rPr>
          <w:t>The_EducationAct_19_juin_2009_(2).pdf</w:t>
        </w:r>
      </w:hyperlink>
      <w:r w:rsidRPr="009018D4">
        <w:rPr>
          <w:lang w:val="fr-FR"/>
        </w:rPr>
        <w:t>.</w:t>
      </w:r>
    </w:p>
  </w:footnote>
  <w:footnote w:id="25">
    <w:p w:rsidR="00903547" w:rsidRDefault="00903547" w:rsidP="0071086E">
      <w:pPr>
        <w:pStyle w:val="FootnoteText"/>
        <w:widowControl w:val="0"/>
        <w:tabs>
          <w:tab w:val="clear" w:pos="1021"/>
          <w:tab w:val="right" w:pos="993"/>
        </w:tabs>
      </w:pPr>
      <w:r w:rsidRPr="00855E98">
        <w:tab/>
      </w:r>
      <w:r w:rsidRPr="00855E98">
        <w:rPr>
          <w:rStyle w:val="FootnoteReference"/>
        </w:rPr>
        <w:footnoteRef/>
      </w:r>
      <w:r w:rsidRPr="00976C24">
        <w:rPr>
          <w:lang w:val="fr-FR"/>
        </w:rPr>
        <w:tab/>
        <w:t>L’éducation de base comprend l’instruction obligatoire de la première à la dixième classe</w:t>
      </w:r>
      <w:r>
        <w:rPr>
          <w:lang w:val="fr-FR"/>
        </w:rPr>
        <w:t>,</w:t>
      </w:r>
      <w:r w:rsidRPr="00976C24">
        <w:rPr>
          <w:lang w:val="fr-FR"/>
        </w:rPr>
        <w:t xml:space="preserve"> plus le deuxième cycle du secondaire et les formations</w:t>
      </w:r>
      <w:r w:rsidRPr="00976C24">
        <w:rPr>
          <w:szCs w:val="24"/>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47" w:rsidRPr="0072477F" w:rsidRDefault="00903547">
    <w:pPr>
      <w:pStyle w:val="Header"/>
    </w:pPr>
    <w:r>
      <w:t>E/C.12/NOR/5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47" w:rsidRPr="0072477F" w:rsidRDefault="00903547" w:rsidP="0072477F">
    <w:pPr>
      <w:pStyle w:val="Header"/>
      <w:jc w:val="right"/>
    </w:pPr>
    <w:r>
      <w:t>E/C.12/NOR/5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avsnitt"/>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alfaliste"/>
      <w:lvlText w:val="%1."/>
      <w:lvlJc w:val="left"/>
      <w:pPr>
        <w:tabs>
          <w:tab w:val="num" w:pos="1209"/>
        </w:tabs>
        <w:ind w:left="1209" w:hanging="36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061AB"/>
    <w:multiLevelType w:val="singleLevel"/>
    <w:tmpl w:val="11B83F58"/>
    <w:lvl w:ilvl="0">
      <w:start w:val="1"/>
      <w:numFmt w:val="decimal"/>
      <w:pStyle w:val="Heading9"/>
      <w:lvlText w:val="%1."/>
      <w:lvlJc w:val="left"/>
      <w:pPr>
        <w:tabs>
          <w:tab w:val="num" w:pos="1494"/>
        </w:tabs>
        <w:ind w:left="1133" w:firstLine="1"/>
      </w:pPr>
      <w:rPr>
        <w:rFonts w:cs="Times New Roman" w:hint="default"/>
      </w:rPr>
    </w:lvl>
  </w:abstractNum>
  <w:abstractNum w:abstractNumId="7">
    <w:nsid w:val="3F36394B"/>
    <w:multiLevelType w:val="hybridMultilevel"/>
    <w:tmpl w:val="782EDAB6"/>
    <w:lvl w:ilvl="0" w:tplc="24F4048A">
      <w:start w:val="1"/>
      <w:numFmt w:val="bullet"/>
      <w:pStyle w:val="textepar"/>
      <w:lvlText w:val="­"/>
      <w:lvlJc w:val="left"/>
      <w:pPr>
        <w:ind w:left="1440" w:hanging="360"/>
      </w:pPr>
      <w:rPr>
        <w:rFonts w:ascii="DepCentury Old Style" w:hAnsi="DepCentury Old Style" w:hint="default"/>
        <w:b w:val="0"/>
        <w:i w:val="0"/>
        <w:color w:val="auto"/>
        <w:sz w:val="24"/>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8">
    <w:nsid w:val="5EF2405C"/>
    <w:multiLevelType w:val="hybridMultilevel"/>
    <w:tmpl w:val="8334CEE2"/>
    <w:lvl w:ilvl="0" w:tplc="8DF43C6C">
      <w:start w:val="2"/>
      <w:numFmt w:val="decimal"/>
      <w:lvlText w:val="%1."/>
      <w:lvlJc w:val="left"/>
      <w:pPr>
        <w:tabs>
          <w:tab w:val="num" w:pos="1140"/>
        </w:tabs>
        <w:ind w:left="1140" w:hanging="435"/>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D07B2"/>
    <w:multiLevelType w:val="hybridMultilevel"/>
    <w:tmpl w:val="D7D47906"/>
    <w:lvl w:ilvl="0" w:tplc="3B64B33E">
      <w:start w:val="1"/>
      <w:numFmt w:val="bullet"/>
      <w:pStyle w:val="TableGrid1"/>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3B365C3"/>
    <w:multiLevelType w:val="hybridMultilevel"/>
    <w:tmpl w:val="5BB0F214"/>
    <w:lvl w:ilvl="0" w:tplc="9C76CB30">
      <w:start w:val="1"/>
      <w:numFmt w:val="decimal"/>
      <w:lvlText w:val="%1."/>
      <w:lvlJc w:val="left"/>
      <w:pPr>
        <w:ind w:left="1360" w:hanging="360"/>
      </w:pPr>
      <w:rPr>
        <w:rFonts w:cs="Times New Roman"/>
        <w:i w:val="0"/>
      </w:rPr>
    </w:lvl>
    <w:lvl w:ilvl="1" w:tplc="91CA76C2">
      <w:start w:val="5"/>
      <w:numFmt w:val="lowerLetter"/>
      <w:lvlText w:val="%2)"/>
      <w:lvlJc w:val="left"/>
      <w:pPr>
        <w:tabs>
          <w:tab w:val="num" w:pos="2649"/>
        </w:tabs>
        <w:ind w:left="2649" w:hanging="435"/>
      </w:pPr>
      <w:rPr>
        <w:rFonts w:cs="Times New Roman" w:hint="default"/>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1"/>
  </w:num>
  <w:num w:numId="2">
    <w:abstractNumId w:val="0"/>
  </w:num>
  <w:num w:numId="3">
    <w:abstractNumId w:val="5"/>
  </w:num>
  <w:num w:numId="4">
    <w:abstractNumId w:val="2"/>
  </w:num>
  <w:num w:numId="5">
    <w:abstractNumId w:val="10"/>
  </w:num>
  <w:num w:numId="6">
    <w:abstractNumId w:val="11"/>
  </w:num>
  <w:num w:numId="7">
    <w:abstractNumId w:val="6"/>
  </w:num>
  <w:num w:numId="8">
    <w:abstractNumId w:val="9"/>
  </w:num>
  <w:num w:numId="9">
    <w:abstractNumId w:val="4"/>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756"/>
    <w:rsid w:val="00002A7D"/>
    <w:rsid w:val="000038A8"/>
    <w:rsid w:val="00006790"/>
    <w:rsid w:val="00014D79"/>
    <w:rsid w:val="0002444A"/>
    <w:rsid w:val="000248F0"/>
    <w:rsid w:val="00027624"/>
    <w:rsid w:val="000309AD"/>
    <w:rsid w:val="00034BE1"/>
    <w:rsid w:val="00037DBD"/>
    <w:rsid w:val="0004089F"/>
    <w:rsid w:val="000457EE"/>
    <w:rsid w:val="0004713F"/>
    <w:rsid w:val="00050F6B"/>
    <w:rsid w:val="000538A4"/>
    <w:rsid w:val="00054518"/>
    <w:rsid w:val="000550F8"/>
    <w:rsid w:val="000678CD"/>
    <w:rsid w:val="0007091A"/>
    <w:rsid w:val="00072C8C"/>
    <w:rsid w:val="00081CE0"/>
    <w:rsid w:val="00084D30"/>
    <w:rsid w:val="00087744"/>
    <w:rsid w:val="00090320"/>
    <w:rsid w:val="00091E95"/>
    <w:rsid w:val="000931C0"/>
    <w:rsid w:val="00093FF0"/>
    <w:rsid w:val="000A2E09"/>
    <w:rsid w:val="000A7EEA"/>
    <w:rsid w:val="000B175B"/>
    <w:rsid w:val="000B33CE"/>
    <w:rsid w:val="000B3A0F"/>
    <w:rsid w:val="000B4E6A"/>
    <w:rsid w:val="000B6FD2"/>
    <w:rsid w:val="000C16CE"/>
    <w:rsid w:val="000C7963"/>
    <w:rsid w:val="000D5CE6"/>
    <w:rsid w:val="000E0415"/>
    <w:rsid w:val="000E2FF9"/>
    <w:rsid w:val="000E3DCF"/>
    <w:rsid w:val="000F129B"/>
    <w:rsid w:val="000F56E2"/>
    <w:rsid w:val="000F7715"/>
    <w:rsid w:val="000F7B6F"/>
    <w:rsid w:val="000F7B76"/>
    <w:rsid w:val="00155D87"/>
    <w:rsid w:val="00156B99"/>
    <w:rsid w:val="0015768E"/>
    <w:rsid w:val="00165F4A"/>
    <w:rsid w:val="00166124"/>
    <w:rsid w:val="00166158"/>
    <w:rsid w:val="0018490B"/>
    <w:rsid w:val="00184DDA"/>
    <w:rsid w:val="00185C6E"/>
    <w:rsid w:val="001900CD"/>
    <w:rsid w:val="001A0452"/>
    <w:rsid w:val="001A1F73"/>
    <w:rsid w:val="001A3FA6"/>
    <w:rsid w:val="001A54B5"/>
    <w:rsid w:val="001B4B04"/>
    <w:rsid w:val="001B4F70"/>
    <w:rsid w:val="001B5875"/>
    <w:rsid w:val="001C4B9C"/>
    <w:rsid w:val="001C6663"/>
    <w:rsid w:val="001C7895"/>
    <w:rsid w:val="001D26DF"/>
    <w:rsid w:val="001E071D"/>
    <w:rsid w:val="001F089B"/>
    <w:rsid w:val="001F0C17"/>
    <w:rsid w:val="001F1599"/>
    <w:rsid w:val="001F19C4"/>
    <w:rsid w:val="002043F0"/>
    <w:rsid w:val="0020556D"/>
    <w:rsid w:val="00211E0B"/>
    <w:rsid w:val="0023098D"/>
    <w:rsid w:val="00232575"/>
    <w:rsid w:val="002373AF"/>
    <w:rsid w:val="00243F5A"/>
    <w:rsid w:val="00247258"/>
    <w:rsid w:val="00247D90"/>
    <w:rsid w:val="00257CAC"/>
    <w:rsid w:val="002974E9"/>
    <w:rsid w:val="002A7F94"/>
    <w:rsid w:val="002B109A"/>
    <w:rsid w:val="002B3DEE"/>
    <w:rsid w:val="002C6D45"/>
    <w:rsid w:val="002D06FB"/>
    <w:rsid w:val="002D6E53"/>
    <w:rsid w:val="002E3E4B"/>
    <w:rsid w:val="002F046D"/>
    <w:rsid w:val="002F07F1"/>
    <w:rsid w:val="00301764"/>
    <w:rsid w:val="0030564A"/>
    <w:rsid w:val="0032250D"/>
    <w:rsid w:val="003225DB"/>
    <w:rsid w:val="003229D8"/>
    <w:rsid w:val="00324E8E"/>
    <w:rsid w:val="00336C97"/>
    <w:rsid w:val="00342432"/>
    <w:rsid w:val="00352D4B"/>
    <w:rsid w:val="00354A36"/>
    <w:rsid w:val="0035638C"/>
    <w:rsid w:val="003709D8"/>
    <w:rsid w:val="0038022D"/>
    <w:rsid w:val="00380A9A"/>
    <w:rsid w:val="003812A1"/>
    <w:rsid w:val="003861FF"/>
    <w:rsid w:val="003A46BB"/>
    <w:rsid w:val="003A4EC7"/>
    <w:rsid w:val="003A7295"/>
    <w:rsid w:val="003B1F60"/>
    <w:rsid w:val="003C2CC4"/>
    <w:rsid w:val="003D4B23"/>
    <w:rsid w:val="003D7B07"/>
    <w:rsid w:val="003D7DA3"/>
    <w:rsid w:val="003E2512"/>
    <w:rsid w:val="003E278A"/>
    <w:rsid w:val="003E7F32"/>
    <w:rsid w:val="00401FC0"/>
    <w:rsid w:val="004116C7"/>
    <w:rsid w:val="00413520"/>
    <w:rsid w:val="004325CB"/>
    <w:rsid w:val="00440A07"/>
    <w:rsid w:val="004506F7"/>
    <w:rsid w:val="00451982"/>
    <w:rsid w:val="00462880"/>
    <w:rsid w:val="00476F24"/>
    <w:rsid w:val="00494310"/>
    <w:rsid w:val="004951FF"/>
    <w:rsid w:val="004B3395"/>
    <w:rsid w:val="004C4252"/>
    <w:rsid w:val="004C4FC8"/>
    <w:rsid w:val="004C55B0"/>
    <w:rsid w:val="004C6B7B"/>
    <w:rsid w:val="004E517A"/>
    <w:rsid w:val="004E789B"/>
    <w:rsid w:val="004F6BA0"/>
    <w:rsid w:val="00503BEA"/>
    <w:rsid w:val="00504D94"/>
    <w:rsid w:val="0051345E"/>
    <w:rsid w:val="00516A1F"/>
    <w:rsid w:val="00527756"/>
    <w:rsid w:val="00533616"/>
    <w:rsid w:val="00535ABA"/>
    <w:rsid w:val="0053768B"/>
    <w:rsid w:val="005420F2"/>
    <w:rsid w:val="0054285C"/>
    <w:rsid w:val="00546224"/>
    <w:rsid w:val="00561749"/>
    <w:rsid w:val="0056237B"/>
    <w:rsid w:val="00562F6D"/>
    <w:rsid w:val="00584173"/>
    <w:rsid w:val="00595520"/>
    <w:rsid w:val="005A3211"/>
    <w:rsid w:val="005A3A2D"/>
    <w:rsid w:val="005A3D23"/>
    <w:rsid w:val="005A4018"/>
    <w:rsid w:val="005A44B9"/>
    <w:rsid w:val="005A6042"/>
    <w:rsid w:val="005B1BA0"/>
    <w:rsid w:val="005B3DB3"/>
    <w:rsid w:val="005B4DBF"/>
    <w:rsid w:val="005C479D"/>
    <w:rsid w:val="005D15CA"/>
    <w:rsid w:val="005E09EB"/>
    <w:rsid w:val="005F3066"/>
    <w:rsid w:val="005F3E61"/>
    <w:rsid w:val="00604DDD"/>
    <w:rsid w:val="00605704"/>
    <w:rsid w:val="006115CC"/>
    <w:rsid w:val="00611FC4"/>
    <w:rsid w:val="006176FB"/>
    <w:rsid w:val="006273F9"/>
    <w:rsid w:val="00630FCB"/>
    <w:rsid w:val="00634656"/>
    <w:rsid w:val="00635455"/>
    <w:rsid w:val="00636011"/>
    <w:rsid w:val="00640B26"/>
    <w:rsid w:val="00641130"/>
    <w:rsid w:val="00670ECD"/>
    <w:rsid w:val="006770B2"/>
    <w:rsid w:val="006940E1"/>
    <w:rsid w:val="006A3C72"/>
    <w:rsid w:val="006A7392"/>
    <w:rsid w:val="006B03A1"/>
    <w:rsid w:val="006B240C"/>
    <w:rsid w:val="006B67D9"/>
    <w:rsid w:val="006B7944"/>
    <w:rsid w:val="006C5535"/>
    <w:rsid w:val="006D0196"/>
    <w:rsid w:val="006D0589"/>
    <w:rsid w:val="006D34A4"/>
    <w:rsid w:val="006E564B"/>
    <w:rsid w:val="006E7154"/>
    <w:rsid w:val="007003CD"/>
    <w:rsid w:val="0070701E"/>
    <w:rsid w:val="007070A5"/>
    <w:rsid w:val="0071067D"/>
    <w:rsid w:val="0071086E"/>
    <w:rsid w:val="0072477F"/>
    <w:rsid w:val="0072632A"/>
    <w:rsid w:val="007358E8"/>
    <w:rsid w:val="00736ECE"/>
    <w:rsid w:val="00740562"/>
    <w:rsid w:val="0074533B"/>
    <w:rsid w:val="007643BC"/>
    <w:rsid w:val="0076548B"/>
    <w:rsid w:val="00767EA7"/>
    <w:rsid w:val="00776A28"/>
    <w:rsid w:val="007959FE"/>
    <w:rsid w:val="007A0CF1"/>
    <w:rsid w:val="007A2454"/>
    <w:rsid w:val="007A691A"/>
    <w:rsid w:val="007B6BA5"/>
    <w:rsid w:val="007C3390"/>
    <w:rsid w:val="007C42D8"/>
    <w:rsid w:val="007C4F4B"/>
    <w:rsid w:val="007D7362"/>
    <w:rsid w:val="007F07FA"/>
    <w:rsid w:val="007F3174"/>
    <w:rsid w:val="007F5CE2"/>
    <w:rsid w:val="007F6611"/>
    <w:rsid w:val="00810BAC"/>
    <w:rsid w:val="008175E9"/>
    <w:rsid w:val="008242D7"/>
    <w:rsid w:val="0082577B"/>
    <w:rsid w:val="00826737"/>
    <w:rsid w:val="00831416"/>
    <w:rsid w:val="00831C57"/>
    <w:rsid w:val="00855E98"/>
    <w:rsid w:val="00860685"/>
    <w:rsid w:val="0086484E"/>
    <w:rsid w:val="00866893"/>
    <w:rsid w:val="00866F02"/>
    <w:rsid w:val="00867D18"/>
    <w:rsid w:val="008701A6"/>
    <w:rsid w:val="00871F9A"/>
    <w:rsid w:val="00871FD5"/>
    <w:rsid w:val="0088172E"/>
    <w:rsid w:val="00881EFA"/>
    <w:rsid w:val="00890AC7"/>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8F79F2"/>
    <w:rsid w:val="0090130F"/>
    <w:rsid w:val="009018D4"/>
    <w:rsid w:val="00903547"/>
    <w:rsid w:val="00903841"/>
    <w:rsid w:val="00913AB7"/>
    <w:rsid w:val="009265B3"/>
    <w:rsid w:val="00926E47"/>
    <w:rsid w:val="00947162"/>
    <w:rsid w:val="00952A2D"/>
    <w:rsid w:val="0096375C"/>
    <w:rsid w:val="009662E6"/>
    <w:rsid w:val="00966A16"/>
    <w:rsid w:val="0097095E"/>
    <w:rsid w:val="00976545"/>
    <w:rsid w:val="00976C24"/>
    <w:rsid w:val="0098127A"/>
    <w:rsid w:val="00982FD0"/>
    <w:rsid w:val="0098592B"/>
    <w:rsid w:val="00985FC4"/>
    <w:rsid w:val="00990766"/>
    <w:rsid w:val="00991261"/>
    <w:rsid w:val="009959FD"/>
    <w:rsid w:val="009964C4"/>
    <w:rsid w:val="009A45F8"/>
    <w:rsid w:val="009A7B81"/>
    <w:rsid w:val="009D01C0"/>
    <w:rsid w:val="009D6A08"/>
    <w:rsid w:val="009E0A16"/>
    <w:rsid w:val="009E7970"/>
    <w:rsid w:val="009F2EAC"/>
    <w:rsid w:val="009F57E3"/>
    <w:rsid w:val="00A10F4F"/>
    <w:rsid w:val="00A11067"/>
    <w:rsid w:val="00A15920"/>
    <w:rsid w:val="00A1704A"/>
    <w:rsid w:val="00A425EB"/>
    <w:rsid w:val="00A54B24"/>
    <w:rsid w:val="00A65B63"/>
    <w:rsid w:val="00A72F22"/>
    <w:rsid w:val="00A733BC"/>
    <w:rsid w:val="00A748A6"/>
    <w:rsid w:val="00A76A69"/>
    <w:rsid w:val="00A76E93"/>
    <w:rsid w:val="00A879A4"/>
    <w:rsid w:val="00AB2A4A"/>
    <w:rsid w:val="00AC0F2C"/>
    <w:rsid w:val="00AC502A"/>
    <w:rsid w:val="00AF58C1"/>
    <w:rsid w:val="00B01084"/>
    <w:rsid w:val="00B06643"/>
    <w:rsid w:val="00B15055"/>
    <w:rsid w:val="00B254D6"/>
    <w:rsid w:val="00B30179"/>
    <w:rsid w:val="00B31872"/>
    <w:rsid w:val="00B33A88"/>
    <w:rsid w:val="00B378D7"/>
    <w:rsid w:val="00B37B15"/>
    <w:rsid w:val="00B41127"/>
    <w:rsid w:val="00B45C02"/>
    <w:rsid w:val="00B52B8E"/>
    <w:rsid w:val="00B53C63"/>
    <w:rsid w:val="00B567C4"/>
    <w:rsid w:val="00B700B2"/>
    <w:rsid w:val="00B72A1E"/>
    <w:rsid w:val="00B81E12"/>
    <w:rsid w:val="00BA339B"/>
    <w:rsid w:val="00BA5E95"/>
    <w:rsid w:val="00BA6E3F"/>
    <w:rsid w:val="00BC021A"/>
    <w:rsid w:val="00BC0953"/>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3BB4"/>
    <w:rsid w:val="00C745C3"/>
    <w:rsid w:val="00C9069D"/>
    <w:rsid w:val="00CA24A4"/>
    <w:rsid w:val="00CA67D7"/>
    <w:rsid w:val="00CB348D"/>
    <w:rsid w:val="00CB5669"/>
    <w:rsid w:val="00CC4EDE"/>
    <w:rsid w:val="00CD318B"/>
    <w:rsid w:val="00CD46F5"/>
    <w:rsid w:val="00CE4A8F"/>
    <w:rsid w:val="00CF071D"/>
    <w:rsid w:val="00D06CB0"/>
    <w:rsid w:val="00D15B04"/>
    <w:rsid w:val="00D17363"/>
    <w:rsid w:val="00D2031B"/>
    <w:rsid w:val="00D2535A"/>
    <w:rsid w:val="00D25FE2"/>
    <w:rsid w:val="00D37DA9"/>
    <w:rsid w:val="00D406A7"/>
    <w:rsid w:val="00D407D0"/>
    <w:rsid w:val="00D40D70"/>
    <w:rsid w:val="00D43252"/>
    <w:rsid w:val="00D44D86"/>
    <w:rsid w:val="00D50B7D"/>
    <w:rsid w:val="00D52012"/>
    <w:rsid w:val="00D52E44"/>
    <w:rsid w:val="00D704E5"/>
    <w:rsid w:val="00D72727"/>
    <w:rsid w:val="00D7526D"/>
    <w:rsid w:val="00D87200"/>
    <w:rsid w:val="00D94F0A"/>
    <w:rsid w:val="00D973C4"/>
    <w:rsid w:val="00D978C6"/>
    <w:rsid w:val="00DA0956"/>
    <w:rsid w:val="00DA357F"/>
    <w:rsid w:val="00DA3E12"/>
    <w:rsid w:val="00DB2621"/>
    <w:rsid w:val="00DB58B5"/>
    <w:rsid w:val="00DC035C"/>
    <w:rsid w:val="00DC18AD"/>
    <w:rsid w:val="00DD15BA"/>
    <w:rsid w:val="00DD469C"/>
    <w:rsid w:val="00DE591A"/>
    <w:rsid w:val="00DF7CAE"/>
    <w:rsid w:val="00E01695"/>
    <w:rsid w:val="00E15023"/>
    <w:rsid w:val="00E423C0"/>
    <w:rsid w:val="00E42C27"/>
    <w:rsid w:val="00E450D1"/>
    <w:rsid w:val="00E6414C"/>
    <w:rsid w:val="00E7260F"/>
    <w:rsid w:val="00E77B38"/>
    <w:rsid w:val="00E81537"/>
    <w:rsid w:val="00E8702D"/>
    <w:rsid w:val="00E90B73"/>
    <w:rsid w:val="00E916A9"/>
    <w:rsid w:val="00E916DE"/>
    <w:rsid w:val="00E96630"/>
    <w:rsid w:val="00EA7826"/>
    <w:rsid w:val="00EB1213"/>
    <w:rsid w:val="00EB3798"/>
    <w:rsid w:val="00EB4B5F"/>
    <w:rsid w:val="00EB5B99"/>
    <w:rsid w:val="00ED18DC"/>
    <w:rsid w:val="00ED6201"/>
    <w:rsid w:val="00ED7A2A"/>
    <w:rsid w:val="00EF1D7F"/>
    <w:rsid w:val="00F0137E"/>
    <w:rsid w:val="00F035E5"/>
    <w:rsid w:val="00F17B25"/>
    <w:rsid w:val="00F21786"/>
    <w:rsid w:val="00F239F6"/>
    <w:rsid w:val="00F3742B"/>
    <w:rsid w:val="00F550F6"/>
    <w:rsid w:val="00F5683D"/>
    <w:rsid w:val="00F56D63"/>
    <w:rsid w:val="00F609A9"/>
    <w:rsid w:val="00F656E0"/>
    <w:rsid w:val="00F71CE7"/>
    <w:rsid w:val="00F75677"/>
    <w:rsid w:val="00F80C99"/>
    <w:rsid w:val="00F86574"/>
    <w:rsid w:val="00F867EC"/>
    <w:rsid w:val="00F91B2B"/>
    <w:rsid w:val="00FB1999"/>
    <w:rsid w:val="00FB205F"/>
    <w:rsid w:val="00FB77FF"/>
    <w:rsid w:val="00FC03CD"/>
    <w:rsid w:val="00FC0646"/>
    <w:rsid w:val="00FC509F"/>
    <w:rsid w:val="00FC68B7"/>
    <w:rsid w:val="00FD3520"/>
    <w:rsid w:val="00FE6985"/>
    <w:rsid w:val="00FE7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B99"/>
    <w:pPr>
      <w:suppressAutoHyphens/>
      <w:spacing w:line="240" w:lineRule="atLeast"/>
    </w:pPr>
    <w:rPr>
      <w:lang w:val="en-GB"/>
    </w:rPr>
  </w:style>
  <w:style w:type="paragraph" w:styleId="Heading1">
    <w:name w:val="heading 1"/>
    <w:aliases w:val="Table_G"/>
    <w:basedOn w:val="SingleTxtG"/>
    <w:next w:val="SingleTxtG"/>
    <w:qFormat/>
    <w:rsid w:val="00ED7A2A"/>
    <w:pPr>
      <w:tabs>
        <w:tab w:val="num" w:pos="1494"/>
      </w:tabs>
      <w:spacing w:after="0" w:line="240" w:lineRule="auto"/>
      <w:ind w:left="1133" w:right="0" w:firstLine="1"/>
      <w:jc w:val="left"/>
      <w:outlineLvl w:val="0"/>
    </w:pPr>
  </w:style>
  <w:style w:type="paragraph" w:styleId="Heading2">
    <w:name w:val="heading 2"/>
    <w:basedOn w:val="Normal"/>
    <w:next w:val="Normal"/>
    <w:qFormat/>
    <w:rsid w:val="00EB5B99"/>
    <w:pPr>
      <w:numPr>
        <w:ilvl w:val="1"/>
        <w:numId w:val="3"/>
      </w:numPr>
      <w:tabs>
        <w:tab w:val="clear" w:pos="1440"/>
        <w:tab w:val="num" w:pos="1494"/>
      </w:tabs>
      <w:spacing w:line="240" w:lineRule="auto"/>
      <w:ind w:left="1133" w:firstLine="1"/>
      <w:outlineLvl w:val="1"/>
    </w:pPr>
  </w:style>
  <w:style w:type="paragraph" w:styleId="Heading3">
    <w:name w:val="heading 3"/>
    <w:basedOn w:val="Normal"/>
    <w:next w:val="Normal"/>
    <w:qFormat/>
    <w:rsid w:val="00EB5B99"/>
    <w:pPr>
      <w:numPr>
        <w:ilvl w:val="2"/>
        <w:numId w:val="3"/>
      </w:numPr>
      <w:tabs>
        <w:tab w:val="clear" w:pos="2160"/>
        <w:tab w:val="num" w:pos="1494"/>
      </w:tabs>
      <w:spacing w:line="240" w:lineRule="auto"/>
      <w:ind w:left="1133" w:firstLine="1"/>
      <w:outlineLvl w:val="2"/>
    </w:pPr>
  </w:style>
  <w:style w:type="paragraph" w:styleId="Heading4">
    <w:name w:val="heading 4"/>
    <w:basedOn w:val="Normal"/>
    <w:next w:val="Normal"/>
    <w:qFormat/>
    <w:rsid w:val="00EB5B99"/>
    <w:pPr>
      <w:numPr>
        <w:ilvl w:val="3"/>
        <w:numId w:val="3"/>
      </w:numPr>
      <w:tabs>
        <w:tab w:val="clear" w:pos="2880"/>
        <w:tab w:val="num" w:pos="1494"/>
      </w:tabs>
      <w:spacing w:line="240" w:lineRule="auto"/>
      <w:ind w:left="1133" w:firstLine="1"/>
      <w:outlineLvl w:val="3"/>
    </w:pPr>
  </w:style>
  <w:style w:type="paragraph" w:styleId="Heading5">
    <w:name w:val="heading 5"/>
    <w:basedOn w:val="Normal"/>
    <w:next w:val="Normal"/>
    <w:qFormat/>
    <w:rsid w:val="00EB5B99"/>
    <w:pPr>
      <w:numPr>
        <w:ilvl w:val="4"/>
        <w:numId w:val="3"/>
      </w:numPr>
      <w:tabs>
        <w:tab w:val="clear" w:pos="3600"/>
        <w:tab w:val="num" w:pos="1494"/>
      </w:tabs>
      <w:spacing w:line="240" w:lineRule="auto"/>
      <w:ind w:left="1133" w:firstLine="1"/>
      <w:outlineLvl w:val="4"/>
    </w:pPr>
  </w:style>
  <w:style w:type="paragraph" w:styleId="Heading6">
    <w:name w:val="heading 6"/>
    <w:basedOn w:val="Normal"/>
    <w:next w:val="Normal"/>
    <w:qFormat/>
    <w:rsid w:val="00EB5B99"/>
    <w:pPr>
      <w:numPr>
        <w:ilvl w:val="5"/>
        <w:numId w:val="3"/>
      </w:numPr>
      <w:tabs>
        <w:tab w:val="clear" w:pos="4320"/>
        <w:tab w:val="num" w:pos="1494"/>
      </w:tabs>
      <w:spacing w:line="240" w:lineRule="auto"/>
      <w:ind w:left="1133" w:firstLine="1"/>
      <w:outlineLvl w:val="5"/>
    </w:pPr>
  </w:style>
  <w:style w:type="paragraph" w:styleId="Heading7">
    <w:name w:val="heading 7"/>
    <w:basedOn w:val="Normal"/>
    <w:next w:val="Normal"/>
    <w:qFormat/>
    <w:rsid w:val="00EB5B99"/>
    <w:pPr>
      <w:numPr>
        <w:ilvl w:val="6"/>
        <w:numId w:val="3"/>
      </w:numPr>
      <w:tabs>
        <w:tab w:val="clear" w:pos="5040"/>
        <w:tab w:val="num" w:pos="1494"/>
      </w:tabs>
      <w:spacing w:line="240" w:lineRule="auto"/>
      <w:ind w:left="1133" w:firstLine="1"/>
      <w:outlineLvl w:val="6"/>
    </w:pPr>
  </w:style>
  <w:style w:type="paragraph" w:styleId="Heading8">
    <w:name w:val="heading 8"/>
    <w:basedOn w:val="Normal"/>
    <w:next w:val="Normal"/>
    <w:qFormat/>
    <w:rsid w:val="00EB5B99"/>
    <w:pPr>
      <w:numPr>
        <w:ilvl w:val="7"/>
        <w:numId w:val="3"/>
      </w:numPr>
      <w:tabs>
        <w:tab w:val="clear" w:pos="5760"/>
        <w:tab w:val="num" w:pos="1494"/>
      </w:tabs>
      <w:spacing w:line="240" w:lineRule="auto"/>
      <w:ind w:left="1133" w:firstLine="1"/>
      <w:outlineLvl w:val="7"/>
    </w:pPr>
  </w:style>
  <w:style w:type="paragraph" w:styleId="Heading9">
    <w:name w:val="heading 9"/>
    <w:basedOn w:val="Normal"/>
    <w:next w:val="Normal"/>
    <w:qFormat/>
    <w:rsid w:val="00EB5B99"/>
    <w:pPr>
      <w:numPr>
        <w:ilvl w:val="8"/>
        <w:numId w:val="7"/>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EB5B99"/>
    <w:pPr>
      <w:spacing w:after="120"/>
      <w:ind w:left="1134" w:right="1134"/>
      <w:jc w:val="both"/>
    </w:pPr>
  </w:style>
  <w:style w:type="paragraph" w:customStyle="1" w:styleId="HMG">
    <w:name w:val="_ H __M_G"/>
    <w:basedOn w:val="Normal"/>
    <w:next w:val="Normal"/>
    <w:rsid w:val="00EB5B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B5B99"/>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sz w:val="18"/>
      <w:vertAlign w:val="superscript"/>
    </w:rPr>
  </w:style>
  <w:style w:type="character" w:styleId="FootnoteReference">
    <w:name w:val="footnote reference"/>
    <w:aliases w:val="4_G,Footnote symbol"/>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FooterChar">
    <w:name w:val="Footer Char"/>
    <w:aliases w:val="3_G Char"/>
    <w:link w:val="Footer"/>
    <w:locked/>
    <w:rsid w:val="0072477F"/>
    <w:rPr>
      <w:sz w:val="16"/>
      <w:lang w:val="en-GB" w:eastAsia="en-US"/>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link w:val="H1GChar"/>
    <w:rsid w:val="00EB5B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B5B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B5B99"/>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4"/>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5"/>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character" w:customStyle="1" w:styleId="FootnoteTextChar">
    <w:name w:val="Footnote Text Char"/>
    <w:aliases w:val="5_G Char"/>
    <w:link w:val="FootnoteText"/>
    <w:locked/>
    <w:rsid w:val="0071086E"/>
    <w:rPr>
      <w:sz w:val="18"/>
      <w:lang w:val="en-GB" w:eastAsia="en-US"/>
    </w:rPr>
  </w:style>
  <w:style w:type="character" w:customStyle="1" w:styleId="SingleTxtGChar">
    <w:name w:val="_ Single Txt_G Char"/>
    <w:link w:val="SingleTxtG"/>
    <w:locked/>
    <w:rsid w:val="0071086E"/>
    <w:rPr>
      <w:lang w:val="en-GB" w:eastAsia="en-US"/>
    </w:rPr>
  </w:style>
  <w:style w:type="table" w:styleId="TableGrid1">
    <w:name w:val="Table Grid 1"/>
    <w:basedOn w:val="TableNormal"/>
    <w:rsid w:val="0071086E"/>
    <w:pPr>
      <w:numPr>
        <w:numId w:val="29"/>
      </w:num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araNoG">
    <w:name w:val="_ParaNo._G"/>
    <w:basedOn w:val="SingleTxtG"/>
    <w:rsid w:val="0071086E"/>
  </w:style>
  <w:style w:type="paragraph" w:styleId="PlainText">
    <w:name w:val="Plain Text"/>
    <w:basedOn w:val="Normal"/>
    <w:link w:val="PlainTextChar"/>
    <w:rsid w:val="0071086E"/>
  </w:style>
  <w:style w:type="character" w:customStyle="1" w:styleId="PlainTextChar">
    <w:name w:val="Plain Text Char"/>
    <w:link w:val="PlainText"/>
    <w:locked/>
    <w:rsid w:val="0071086E"/>
    <w:rPr>
      <w:lang w:val="en-GB" w:eastAsia="en-US"/>
    </w:rPr>
  </w:style>
  <w:style w:type="paragraph" w:styleId="BodyText">
    <w:name w:val="Body Text"/>
    <w:basedOn w:val="Normal"/>
    <w:next w:val="Normal"/>
    <w:link w:val="BodyTextChar"/>
    <w:rsid w:val="0071086E"/>
  </w:style>
  <w:style w:type="character" w:customStyle="1" w:styleId="BodyTextChar">
    <w:name w:val="Body Text Char"/>
    <w:link w:val="BodyText"/>
    <w:locked/>
    <w:rsid w:val="0071086E"/>
    <w:rPr>
      <w:lang w:val="en-GB" w:eastAsia="en-US"/>
    </w:rPr>
  </w:style>
  <w:style w:type="paragraph" w:styleId="BodyTextIndent">
    <w:name w:val="Body Text Indent"/>
    <w:basedOn w:val="Normal"/>
    <w:link w:val="BodyTextIndentChar"/>
    <w:rsid w:val="0071086E"/>
    <w:pPr>
      <w:spacing w:after="120"/>
      <w:ind w:left="283"/>
    </w:pPr>
  </w:style>
  <w:style w:type="character" w:customStyle="1" w:styleId="BodyTextIndentChar">
    <w:name w:val="Body Text Indent Char"/>
    <w:link w:val="BodyTextIndent"/>
    <w:locked/>
    <w:rsid w:val="0071086E"/>
    <w:rPr>
      <w:lang w:val="en-GB" w:eastAsia="en-US"/>
    </w:rPr>
  </w:style>
  <w:style w:type="paragraph" w:styleId="BlockText">
    <w:name w:val="Block Text"/>
    <w:basedOn w:val="Normal"/>
    <w:rsid w:val="0071086E"/>
    <w:pPr>
      <w:ind w:left="1440" w:right="1440"/>
    </w:pPr>
  </w:style>
  <w:style w:type="character" w:styleId="CommentReference">
    <w:name w:val="annotation reference"/>
    <w:basedOn w:val="DefaultParagraphFont"/>
    <w:rsid w:val="0071086E"/>
    <w:rPr>
      <w:sz w:val="6"/>
    </w:rPr>
  </w:style>
  <w:style w:type="paragraph" w:styleId="CommentText">
    <w:name w:val="annotation text"/>
    <w:basedOn w:val="Normal"/>
    <w:link w:val="CommentTextChar"/>
    <w:rsid w:val="0071086E"/>
  </w:style>
  <w:style w:type="character" w:customStyle="1" w:styleId="CommentTextChar">
    <w:name w:val="Comment Text Char"/>
    <w:link w:val="CommentText"/>
    <w:locked/>
    <w:rsid w:val="0071086E"/>
    <w:rPr>
      <w:lang w:val="en-GB" w:eastAsia="en-US"/>
    </w:rPr>
  </w:style>
  <w:style w:type="character" w:styleId="LineNumber">
    <w:name w:val="line number"/>
    <w:basedOn w:val="DefaultParagraphFont"/>
    <w:rsid w:val="0071086E"/>
    <w:rPr>
      <w:sz w:val="14"/>
    </w:rPr>
  </w:style>
  <w:style w:type="paragraph" w:styleId="BodyText2">
    <w:name w:val="Body Text 2"/>
    <w:basedOn w:val="Normal"/>
    <w:link w:val="BodyText2Char"/>
    <w:rsid w:val="0071086E"/>
    <w:pPr>
      <w:spacing w:after="120" w:line="480" w:lineRule="auto"/>
    </w:pPr>
  </w:style>
  <w:style w:type="character" w:customStyle="1" w:styleId="BodyText2Char">
    <w:name w:val="Body Text 2 Char"/>
    <w:link w:val="BodyText2"/>
    <w:locked/>
    <w:rsid w:val="0071086E"/>
    <w:rPr>
      <w:lang w:val="en-GB" w:eastAsia="en-US"/>
    </w:rPr>
  </w:style>
  <w:style w:type="paragraph" w:styleId="BodyText3">
    <w:name w:val="Body Text 3"/>
    <w:basedOn w:val="Normal"/>
    <w:link w:val="BodyText3Char"/>
    <w:rsid w:val="0071086E"/>
    <w:pPr>
      <w:spacing w:after="120"/>
    </w:pPr>
    <w:rPr>
      <w:sz w:val="16"/>
    </w:rPr>
  </w:style>
  <w:style w:type="character" w:customStyle="1" w:styleId="BodyText3Char">
    <w:name w:val="Body Text 3 Char"/>
    <w:link w:val="BodyText3"/>
    <w:locked/>
    <w:rsid w:val="0071086E"/>
    <w:rPr>
      <w:sz w:val="16"/>
      <w:lang w:val="en-GB" w:eastAsia="en-US"/>
    </w:rPr>
  </w:style>
  <w:style w:type="paragraph" w:styleId="BodyTextFirstIndent">
    <w:name w:val="Body Text First Indent"/>
    <w:basedOn w:val="BodyText"/>
    <w:link w:val="BodyTextFirstIndentChar"/>
    <w:rsid w:val="0071086E"/>
    <w:pPr>
      <w:spacing w:after="120"/>
      <w:ind w:firstLine="210"/>
    </w:pPr>
  </w:style>
  <w:style w:type="character" w:customStyle="1" w:styleId="BodyTextFirstIndentChar">
    <w:name w:val="Body Text First Indent Char"/>
    <w:basedOn w:val="BodyTextChar"/>
    <w:link w:val="BodyTextFirstIndent"/>
    <w:locked/>
    <w:rsid w:val="0071086E"/>
    <w:rPr>
      <w:rFonts w:cs="Times New Roman"/>
    </w:rPr>
  </w:style>
  <w:style w:type="paragraph" w:styleId="BodyTextFirstIndent2">
    <w:name w:val="Body Text First Indent 2"/>
    <w:basedOn w:val="BodyTextIndent"/>
    <w:link w:val="BodyTextFirstIndent2Char"/>
    <w:rsid w:val="0071086E"/>
    <w:pPr>
      <w:ind w:firstLine="210"/>
    </w:pPr>
  </w:style>
  <w:style w:type="character" w:customStyle="1" w:styleId="BodyTextFirstIndent2Char">
    <w:name w:val="Body Text First Indent 2 Char"/>
    <w:basedOn w:val="BodyTextIndentChar"/>
    <w:link w:val="BodyTextFirstIndent2"/>
    <w:locked/>
    <w:rsid w:val="0071086E"/>
    <w:rPr>
      <w:rFonts w:cs="Times New Roman"/>
    </w:rPr>
  </w:style>
  <w:style w:type="paragraph" w:styleId="BodyTextIndent2">
    <w:name w:val="Body Text Indent 2"/>
    <w:basedOn w:val="Normal"/>
    <w:link w:val="BodyTextIndent2Char"/>
    <w:rsid w:val="0071086E"/>
    <w:pPr>
      <w:spacing w:after="120" w:line="480" w:lineRule="auto"/>
      <w:ind w:left="283"/>
    </w:pPr>
  </w:style>
  <w:style w:type="character" w:customStyle="1" w:styleId="BodyTextIndent2Char">
    <w:name w:val="Body Text Indent 2 Char"/>
    <w:link w:val="BodyTextIndent2"/>
    <w:locked/>
    <w:rsid w:val="0071086E"/>
    <w:rPr>
      <w:lang w:val="en-GB" w:eastAsia="en-US"/>
    </w:rPr>
  </w:style>
  <w:style w:type="paragraph" w:styleId="BodyTextIndent3">
    <w:name w:val="Body Text Indent 3"/>
    <w:basedOn w:val="Normal"/>
    <w:link w:val="BodyTextIndent3Char"/>
    <w:rsid w:val="0071086E"/>
    <w:pPr>
      <w:spacing w:after="120"/>
      <w:ind w:left="283"/>
    </w:pPr>
    <w:rPr>
      <w:sz w:val="16"/>
    </w:rPr>
  </w:style>
  <w:style w:type="character" w:customStyle="1" w:styleId="BodyTextIndent3Char">
    <w:name w:val="Body Text Indent 3 Char"/>
    <w:link w:val="BodyTextIndent3"/>
    <w:locked/>
    <w:rsid w:val="0071086E"/>
    <w:rPr>
      <w:sz w:val="16"/>
      <w:lang w:val="en-GB" w:eastAsia="en-US"/>
    </w:rPr>
  </w:style>
  <w:style w:type="paragraph" w:styleId="Closing">
    <w:name w:val="Closing"/>
    <w:basedOn w:val="Normal"/>
    <w:link w:val="ClosingChar"/>
    <w:rsid w:val="0071086E"/>
    <w:pPr>
      <w:ind w:left="4252"/>
    </w:pPr>
  </w:style>
  <w:style w:type="character" w:customStyle="1" w:styleId="ClosingChar">
    <w:name w:val="Closing Char"/>
    <w:link w:val="Closing"/>
    <w:locked/>
    <w:rsid w:val="0071086E"/>
    <w:rPr>
      <w:lang w:val="en-GB" w:eastAsia="en-US"/>
    </w:rPr>
  </w:style>
  <w:style w:type="paragraph" w:styleId="Date">
    <w:name w:val="Date"/>
    <w:basedOn w:val="Normal"/>
    <w:next w:val="Normal"/>
    <w:link w:val="DateChar"/>
    <w:rsid w:val="0071086E"/>
  </w:style>
  <w:style w:type="character" w:customStyle="1" w:styleId="DateChar">
    <w:name w:val="Date Char"/>
    <w:link w:val="Date"/>
    <w:locked/>
    <w:rsid w:val="0071086E"/>
    <w:rPr>
      <w:lang w:val="en-GB" w:eastAsia="en-US"/>
    </w:rPr>
  </w:style>
  <w:style w:type="paragraph" w:styleId="E-mailSignature">
    <w:name w:val="E-mail Signature"/>
    <w:basedOn w:val="Normal"/>
    <w:link w:val="E-mailSignatureChar"/>
    <w:rsid w:val="0071086E"/>
  </w:style>
  <w:style w:type="character" w:customStyle="1" w:styleId="E-mailSignatureChar">
    <w:name w:val="E-mail Signature Char"/>
    <w:link w:val="E-mailSignature"/>
    <w:locked/>
    <w:rsid w:val="0071086E"/>
    <w:rPr>
      <w:lang w:val="en-GB" w:eastAsia="en-US"/>
    </w:rPr>
  </w:style>
  <w:style w:type="character" w:styleId="Emphasis">
    <w:name w:val="Emphasis"/>
    <w:basedOn w:val="DefaultParagraphFont"/>
    <w:qFormat/>
    <w:rsid w:val="0071086E"/>
    <w:rPr>
      <w:i/>
    </w:rPr>
  </w:style>
  <w:style w:type="paragraph" w:styleId="EnvelopeReturn">
    <w:name w:val="envelope return"/>
    <w:basedOn w:val="Normal"/>
    <w:rsid w:val="0071086E"/>
    <w:rPr>
      <w:rFonts w:ascii="Arial" w:hAnsi="Arial" w:cs="Arial"/>
    </w:rPr>
  </w:style>
  <w:style w:type="character" w:styleId="HTMLAcronym">
    <w:name w:val="HTML Acronym"/>
    <w:basedOn w:val="DefaultParagraphFont"/>
    <w:rsid w:val="0071086E"/>
  </w:style>
  <w:style w:type="paragraph" w:styleId="HTMLAddress">
    <w:name w:val="HTML Address"/>
    <w:basedOn w:val="Normal"/>
    <w:link w:val="HTMLAddressChar"/>
    <w:rsid w:val="0071086E"/>
    <w:rPr>
      <w:i/>
    </w:rPr>
  </w:style>
  <w:style w:type="character" w:customStyle="1" w:styleId="HTMLAddressChar">
    <w:name w:val="HTML Address Char"/>
    <w:link w:val="HTMLAddress"/>
    <w:locked/>
    <w:rsid w:val="0071086E"/>
    <w:rPr>
      <w:i/>
      <w:lang w:val="en-GB" w:eastAsia="en-US"/>
    </w:rPr>
  </w:style>
  <w:style w:type="character" w:styleId="HTMLCite">
    <w:name w:val="HTML Cite"/>
    <w:basedOn w:val="DefaultParagraphFont"/>
    <w:rsid w:val="0071086E"/>
    <w:rPr>
      <w:i/>
    </w:rPr>
  </w:style>
  <w:style w:type="character" w:styleId="HTMLCode">
    <w:name w:val="HTML Code"/>
    <w:basedOn w:val="DefaultParagraphFont"/>
    <w:rsid w:val="0071086E"/>
    <w:rPr>
      <w:rFonts w:ascii="Courier New" w:hAnsi="Courier New"/>
      <w:sz w:val="20"/>
    </w:rPr>
  </w:style>
  <w:style w:type="character" w:styleId="HTMLDefinition">
    <w:name w:val="HTML Definition"/>
    <w:basedOn w:val="DefaultParagraphFont"/>
    <w:rsid w:val="0071086E"/>
    <w:rPr>
      <w:i/>
    </w:rPr>
  </w:style>
  <w:style w:type="character" w:styleId="HTMLKeyboard">
    <w:name w:val="HTML Keyboard"/>
    <w:basedOn w:val="DefaultParagraphFont"/>
    <w:rsid w:val="0071086E"/>
    <w:rPr>
      <w:rFonts w:ascii="Courier New" w:hAnsi="Courier New"/>
      <w:sz w:val="20"/>
    </w:rPr>
  </w:style>
  <w:style w:type="paragraph" w:styleId="HTMLPreformatted">
    <w:name w:val="HTML Preformatted"/>
    <w:basedOn w:val="Normal"/>
    <w:link w:val="HTMLPreformattedChar"/>
    <w:rsid w:val="0071086E"/>
    <w:rPr>
      <w:rFonts w:ascii="Courier New" w:hAnsi="Courier New"/>
    </w:rPr>
  </w:style>
  <w:style w:type="character" w:customStyle="1" w:styleId="HTMLPreformattedChar">
    <w:name w:val="HTML Preformatted Char"/>
    <w:link w:val="HTMLPreformatted"/>
    <w:locked/>
    <w:rsid w:val="0071086E"/>
    <w:rPr>
      <w:rFonts w:ascii="Courier New" w:hAnsi="Courier New"/>
      <w:lang w:val="en-GB" w:eastAsia="en-US"/>
    </w:rPr>
  </w:style>
  <w:style w:type="character" w:styleId="HTMLSample">
    <w:name w:val="HTML Sample"/>
    <w:basedOn w:val="DefaultParagraphFont"/>
    <w:rsid w:val="0071086E"/>
    <w:rPr>
      <w:rFonts w:ascii="Courier New" w:hAnsi="Courier New"/>
    </w:rPr>
  </w:style>
  <w:style w:type="character" w:styleId="HTMLTypewriter">
    <w:name w:val="HTML Typewriter"/>
    <w:basedOn w:val="DefaultParagraphFont"/>
    <w:rsid w:val="0071086E"/>
    <w:rPr>
      <w:rFonts w:ascii="Courier New" w:hAnsi="Courier New"/>
      <w:sz w:val="20"/>
    </w:rPr>
  </w:style>
  <w:style w:type="character" w:styleId="HTMLVariable">
    <w:name w:val="HTML Variable"/>
    <w:basedOn w:val="DefaultParagraphFont"/>
    <w:rsid w:val="0071086E"/>
    <w:rPr>
      <w:i/>
    </w:rPr>
  </w:style>
  <w:style w:type="paragraph" w:styleId="List">
    <w:name w:val="List"/>
    <w:basedOn w:val="Normal"/>
    <w:rsid w:val="0071086E"/>
    <w:pPr>
      <w:ind w:left="283" w:hanging="283"/>
    </w:pPr>
  </w:style>
  <w:style w:type="paragraph" w:styleId="List2">
    <w:name w:val="List 2"/>
    <w:basedOn w:val="Normal"/>
    <w:rsid w:val="0071086E"/>
    <w:pPr>
      <w:ind w:left="566" w:hanging="283"/>
    </w:pPr>
  </w:style>
  <w:style w:type="paragraph" w:styleId="List3">
    <w:name w:val="List 3"/>
    <w:basedOn w:val="Normal"/>
    <w:rsid w:val="0071086E"/>
    <w:pPr>
      <w:ind w:left="849" w:hanging="283"/>
    </w:pPr>
  </w:style>
  <w:style w:type="paragraph" w:styleId="List4">
    <w:name w:val="List 4"/>
    <w:basedOn w:val="Normal"/>
    <w:rsid w:val="0071086E"/>
    <w:pPr>
      <w:ind w:left="1132" w:hanging="283"/>
    </w:pPr>
  </w:style>
  <w:style w:type="paragraph" w:styleId="List5">
    <w:name w:val="List 5"/>
    <w:basedOn w:val="Normal"/>
    <w:rsid w:val="0071086E"/>
    <w:pPr>
      <w:ind w:left="1415" w:hanging="283"/>
    </w:pPr>
  </w:style>
  <w:style w:type="paragraph" w:styleId="ListBullet">
    <w:name w:val="List Bullet"/>
    <w:basedOn w:val="Normal"/>
    <w:rsid w:val="0071086E"/>
    <w:pPr>
      <w:tabs>
        <w:tab w:val="num" w:pos="360"/>
      </w:tabs>
      <w:ind w:left="360" w:hanging="360"/>
    </w:pPr>
  </w:style>
  <w:style w:type="paragraph" w:styleId="ListBullet2">
    <w:name w:val="List Bullet 2"/>
    <w:basedOn w:val="Normal"/>
    <w:rsid w:val="0071086E"/>
    <w:pPr>
      <w:tabs>
        <w:tab w:val="num" w:pos="643"/>
      </w:tabs>
      <w:ind w:left="643" w:hanging="360"/>
    </w:pPr>
  </w:style>
  <w:style w:type="paragraph" w:styleId="ListBullet3">
    <w:name w:val="List Bullet 3"/>
    <w:basedOn w:val="Normal"/>
    <w:rsid w:val="0071086E"/>
    <w:pPr>
      <w:tabs>
        <w:tab w:val="num" w:pos="926"/>
      </w:tabs>
      <w:ind w:left="926" w:hanging="360"/>
    </w:pPr>
  </w:style>
  <w:style w:type="paragraph" w:styleId="ListBullet4">
    <w:name w:val="List Bullet 4"/>
    <w:basedOn w:val="Normal"/>
    <w:rsid w:val="0071086E"/>
    <w:pPr>
      <w:tabs>
        <w:tab w:val="num" w:pos="1209"/>
      </w:tabs>
      <w:ind w:left="1209" w:hanging="360"/>
    </w:pPr>
  </w:style>
  <w:style w:type="paragraph" w:styleId="ListBullet5">
    <w:name w:val="List Bullet 5"/>
    <w:basedOn w:val="Normal"/>
    <w:rsid w:val="0071086E"/>
    <w:pPr>
      <w:tabs>
        <w:tab w:val="num" w:pos="1492"/>
      </w:tabs>
      <w:ind w:left="1492" w:hanging="360"/>
    </w:pPr>
  </w:style>
  <w:style w:type="paragraph" w:styleId="ListContinue">
    <w:name w:val="List Continue"/>
    <w:basedOn w:val="Normal"/>
    <w:rsid w:val="0071086E"/>
    <w:pPr>
      <w:spacing w:after="120"/>
      <w:ind w:left="283"/>
    </w:pPr>
  </w:style>
  <w:style w:type="paragraph" w:styleId="ListContinue2">
    <w:name w:val="List Continue 2"/>
    <w:basedOn w:val="Normal"/>
    <w:rsid w:val="0071086E"/>
    <w:pPr>
      <w:spacing w:after="120"/>
      <w:ind w:left="566"/>
    </w:pPr>
  </w:style>
  <w:style w:type="paragraph" w:styleId="ListContinue3">
    <w:name w:val="List Continue 3"/>
    <w:basedOn w:val="Normal"/>
    <w:rsid w:val="0071086E"/>
    <w:pPr>
      <w:spacing w:after="120"/>
      <w:ind w:left="849"/>
    </w:pPr>
  </w:style>
  <w:style w:type="paragraph" w:styleId="ListContinue4">
    <w:name w:val="List Continue 4"/>
    <w:basedOn w:val="Normal"/>
    <w:rsid w:val="0071086E"/>
    <w:pPr>
      <w:spacing w:after="120"/>
      <w:ind w:left="1132"/>
    </w:pPr>
  </w:style>
  <w:style w:type="paragraph" w:styleId="ListContinue5">
    <w:name w:val="List Continue 5"/>
    <w:basedOn w:val="Normal"/>
    <w:rsid w:val="0071086E"/>
    <w:pPr>
      <w:spacing w:after="120"/>
      <w:ind w:left="1415"/>
    </w:pPr>
  </w:style>
  <w:style w:type="paragraph" w:styleId="ListNumber">
    <w:name w:val="List Number"/>
    <w:basedOn w:val="Normal"/>
    <w:rsid w:val="0071086E"/>
    <w:pPr>
      <w:tabs>
        <w:tab w:val="num" w:pos="360"/>
      </w:tabs>
      <w:ind w:left="360" w:hanging="360"/>
    </w:pPr>
  </w:style>
  <w:style w:type="paragraph" w:styleId="ListNumber2">
    <w:name w:val="List Number 2"/>
    <w:basedOn w:val="Normal"/>
    <w:rsid w:val="0071086E"/>
    <w:pPr>
      <w:tabs>
        <w:tab w:val="num" w:pos="643"/>
      </w:tabs>
      <w:ind w:left="643" w:hanging="360"/>
    </w:pPr>
  </w:style>
  <w:style w:type="paragraph" w:styleId="ListNumber3">
    <w:name w:val="List Number 3"/>
    <w:basedOn w:val="Normal"/>
    <w:rsid w:val="0071086E"/>
    <w:pPr>
      <w:tabs>
        <w:tab w:val="num" w:pos="926"/>
      </w:tabs>
      <w:ind w:left="926" w:hanging="360"/>
    </w:pPr>
  </w:style>
  <w:style w:type="paragraph" w:styleId="ListNumber4">
    <w:name w:val="List Number 4"/>
    <w:basedOn w:val="Normal"/>
    <w:rsid w:val="0071086E"/>
    <w:pPr>
      <w:tabs>
        <w:tab w:val="num" w:pos="1209"/>
      </w:tabs>
      <w:ind w:left="1209" w:hanging="360"/>
    </w:pPr>
  </w:style>
  <w:style w:type="paragraph" w:styleId="ListNumber5">
    <w:name w:val="List Number 5"/>
    <w:basedOn w:val="Normal"/>
    <w:rsid w:val="0071086E"/>
    <w:pPr>
      <w:tabs>
        <w:tab w:val="num" w:pos="1492"/>
      </w:tabs>
      <w:ind w:left="1492" w:hanging="360"/>
    </w:pPr>
  </w:style>
  <w:style w:type="paragraph" w:styleId="MessageHeader">
    <w:name w:val="Message Header"/>
    <w:basedOn w:val="Normal"/>
    <w:link w:val="MessageHeaderChar"/>
    <w:rsid w:val="007108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locked/>
    <w:rsid w:val="0071086E"/>
    <w:rPr>
      <w:rFonts w:ascii="Arial" w:hAnsi="Arial"/>
      <w:sz w:val="24"/>
      <w:shd w:val="pct20" w:color="auto" w:fill="auto"/>
      <w:lang w:val="en-GB" w:eastAsia="en-US"/>
    </w:rPr>
  </w:style>
  <w:style w:type="paragraph" w:styleId="NormalWeb">
    <w:name w:val="Normal (Web)"/>
    <w:basedOn w:val="Normal"/>
    <w:rsid w:val="0071086E"/>
    <w:rPr>
      <w:sz w:val="24"/>
      <w:szCs w:val="24"/>
    </w:rPr>
  </w:style>
  <w:style w:type="paragraph" w:styleId="NormalIndent">
    <w:name w:val="Normal Indent"/>
    <w:basedOn w:val="Normal"/>
    <w:rsid w:val="0071086E"/>
    <w:pPr>
      <w:ind w:left="567"/>
    </w:pPr>
  </w:style>
  <w:style w:type="paragraph" w:styleId="NoteHeading">
    <w:name w:val="Note Heading"/>
    <w:basedOn w:val="Normal"/>
    <w:next w:val="Normal"/>
    <w:link w:val="NoteHeadingChar"/>
    <w:rsid w:val="0071086E"/>
  </w:style>
  <w:style w:type="character" w:customStyle="1" w:styleId="NoteHeadingChar">
    <w:name w:val="Note Heading Char"/>
    <w:link w:val="NoteHeading"/>
    <w:locked/>
    <w:rsid w:val="0071086E"/>
    <w:rPr>
      <w:lang w:val="en-GB" w:eastAsia="en-US"/>
    </w:rPr>
  </w:style>
  <w:style w:type="paragraph" w:styleId="Salutation">
    <w:name w:val="Salutation"/>
    <w:basedOn w:val="Normal"/>
    <w:next w:val="Normal"/>
    <w:link w:val="SalutationChar"/>
    <w:rsid w:val="0071086E"/>
  </w:style>
  <w:style w:type="character" w:customStyle="1" w:styleId="SalutationChar">
    <w:name w:val="Salutation Char"/>
    <w:link w:val="Salutation"/>
    <w:locked/>
    <w:rsid w:val="0071086E"/>
    <w:rPr>
      <w:lang w:val="en-GB" w:eastAsia="en-US"/>
    </w:rPr>
  </w:style>
  <w:style w:type="paragraph" w:styleId="Signature">
    <w:name w:val="Signature"/>
    <w:basedOn w:val="Normal"/>
    <w:link w:val="SignatureChar"/>
    <w:rsid w:val="0071086E"/>
    <w:pPr>
      <w:ind w:left="4252"/>
    </w:pPr>
  </w:style>
  <w:style w:type="character" w:customStyle="1" w:styleId="SignatureChar">
    <w:name w:val="Signature Char"/>
    <w:link w:val="Signature"/>
    <w:locked/>
    <w:rsid w:val="0071086E"/>
    <w:rPr>
      <w:lang w:val="en-GB" w:eastAsia="en-US"/>
    </w:rPr>
  </w:style>
  <w:style w:type="character" w:styleId="Strong">
    <w:name w:val="Strong"/>
    <w:basedOn w:val="DefaultParagraphFont"/>
    <w:qFormat/>
    <w:rsid w:val="0071086E"/>
    <w:rPr>
      <w:b/>
    </w:rPr>
  </w:style>
  <w:style w:type="paragraph" w:styleId="Subtitle">
    <w:name w:val="Subtitle"/>
    <w:basedOn w:val="Normal"/>
    <w:link w:val="SubtitleChar"/>
    <w:qFormat/>
    <w:rsid w:val="0071086E"/>
    <w:pPr>
      <w:spacing w:after="60"/>
      <w:jc w:val="center"/>
      <w:outlineLvl w:val="1"/>
    </w:pPr>
    <w:rPr>
      <w:rFonts w:ascii="Arial" w:hAnsi="Arial"/>
      <w:sz w:val="24"/>
    </w:rPr>
  </w:style>
  <w:style w:type="character" w:customStyle="1" w:styleId="SubtitleChar">
    <w:name w:val="Subtitle Char"/>
    <w:link w:val="Subtitle"/>
    <w:locked/>
    <w:rsid w:val="0071086E"/>
    <w:rPr>
      <w:rFonts w:ascii="Arial" w:hAnsi="Arial"/>
      <w:sz w:val="24"/>
      <w:lang w:val="en-GB" w:eastAsia="en-US"/>
    </w:rPr>
  </w:style>
  <w:style w:type="table" w:styleId="Table3Deffects1">
    <w:name w:val="Table 3D effects 1"/>
    <w:basedOn w:val="TableNormal"/>
    <w:rsid w:val="0071086E"/>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086E"/>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71086E"/>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71086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71086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71086E"/>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71086E"/>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71086E"/>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086E"/>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086E"/>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086E"/>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71086E"/>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71086E"/>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71086E"/>
    <w:pPr>
      <w:suppressAutoHyphens/>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71086E"/>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71086E"/>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086E"/>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rsid w:val="0071086E"/>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71086E"/>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71086E"/>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71086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1086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1086E"/>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1086E"/>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71086E"/>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71086E"/>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71086E"/>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71086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086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71086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086E"/>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086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086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086E"/>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086E"/>
    <w:pPr>
      <w:suppressAutoHyphens/>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086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086E"/>
    <w:pPr>
      <w:suppressAutoHyphens/>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71086E"/>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7108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086E"/>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71086E"/>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71086E"/>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71086E"/>
    <w:pPr>
      <w:spacing w:before="240" w:after="60"/>
      <w:jc w:val="center"/>
      <w:outlineLvl w:val="0"/>
    </w:pPr>
    <w:rPr>
      <w:rFonts w:ascii="Arial" w:hAnsi="Arial"/>
      <w:b/>
      <w:kern w:val="28"/>
      <w:sz w:val="32"/>
    </w:rPr>
  </w:style>
  <w:style w:type="character" w:customStyle="1" w:styleId="TitleChar">
    <w:name w:val="Title Char"/>
    <w:link w:val="Title"/>
    <w:locked/>
    <w:rsid w:val="0071086E"/>
    <w:rPr>
      <w:rFonts w:ascii="Arial" w:hAnsi="Arial"/>
      <w:b/>
      <w:kern w:val="28"/>
      <w:sz w:val="32"/>
      <w:lang w:val="en-GB" w:eastAsia="en-US"/>
    </w:rPr>
  </w:style>
  <w:style w:type="paragraph" w:styleId="EnvelopeAddress">
    <w:name w:val="envelope address"/>
    <w:basedOn w:val="Normal"/>
    <w:rsid w:val="0071086E"/>
    <w:pPr>
      <w:framePr w:w="7920" w:h="1980" w:hRule="exact" w:hSpace="180" w:wrap="auto" w:hAnchor="page" w:xAlign="center" w:yAlign="bottom"/>
      <w:ind w:left="2880"/>
    </w:pPr>
    <w:rPr>
      <w:rFonts w:ascii="Arial" w:hAnsi="Arial" w:cs="Arial"/>
      <w:sz w:val="24"/>
      <w:szCs w:val="24"/>
    </w:rPr>
  </w:style>
  <w:style w:type="paragraph" w:styleId="TOC1">
    <w:name w:val="toc 1"/>
    <w:basedOn w:val="Normal"/>
    <w:next w:val="Normal"/>
    <w:rsid w:val="0071086E"/>
    <w:pPr>
      <w:suppressAutoHyphens w:val="0"/>
      <w:spacing w:before="120" w:after="120" w:line="240" w:lineRule="auto"/>
    </w:pPr>
    <w:rPr>
      <w:b/>
      <w:bCs/>
      <w:caps/>
      <w:sz w:val="24"/>
      <w:szCs w:val="24"/>
    </w:rPr>
  </w:style>
  <w:style w:type="paragraph" w:styleId="TOC2">
    <w:name w:val="toc 2"/>
    <w:basedOn w:val="Normal"/>
    <w:next w:val="Normal"/>
    <w:autoRedefine/>
    <w:rsid w:val="0071086E"/>
    <w:pPr>
      <w:suppressAutoHyphens w:val="0"/>
      <w:spacing w:line="240" w:lineRule="auto"/>
      <w:ind w:left="240"/>
    </w:pPr>
    <w:rPr>
      <w:smallCaps/>
      <w:sz w:val="24"/>
      <w:szCs w:val="24"/>
    </w:rPr>
  </w:style>
  <w:style w:type="paragraph" w:styleId="TOC3">
    <w:name w:val="toc 3"/>
    <w:basedOn w:val="Normal"/>
    <w:next w:val="Normal"/>
    <w:autoRedefine/>
    <w:rsid w:val="0071086E"/>
    <w:pPr>
      <w:suppressAutoHyphens w:val="0"/>
      <w:spacing w:line="240" w:lineRule="auto"/>
      <w:ind w:left="480"/>
    </w:pPr>
    <w:rPr>
      <w:i/>
      <w:iCs/>
      <w:sz w:val="24"/>
      <w:szCs w:val="24"/>
    </w:rPr>
  </w:style>
  <w:style w:type="character" w:customStyle="1" w:styleId="CommentSubjectChar">
    <w:name w:val="Comment Subject Char"/>
    <w:link w:val="CommentSubject"/>
    <w:locked/>
    <w:rsid w:val="0071086E"/>
    <w:rPr>
      <w:b/>
      <w:lang w:val="en-GB" w:eastAsia="en-US"/>
    </w:rPr>
  </w:style>
  <w:style w:type="paragraph" w:styleId="CommentSubject">
    <w:name w:val="annotation subject"/>
    <w:basedOn w:val="CommentText"/>
    <w:next w:val="CommentText"/>
    <w:link w:val="CommentSubjectChar"/>
    <w:rsid w:val="0071086E"/>
    <w:pPr>
      <w:suppressAutoHyphens w:val="0"/>
      <w:spacing w:after="240" w:line="240" w:lineRule="auto"/>
    </w:pPr>
    <w:rPr>
      <w:b/>
    </w:rPr>
  </w:style>
  <w:style w:type="character" w:customStyle="1" w:styleId="ObjetducommentaireCar1">
    <w:name w:val="Objet du commentaire Car1"/>
    <w:rsid w:val="0071086E"/>
    <w:rPr>
      <w:b/>
      <w:lang w:val="en-GB" w:eastAsia="en-US"/>
    </w:rPr>
  </w:style>
  <w:style w:type="paragraph" w:customStyle="1" w:styleId="Rom1">
    <w:name w:val="Rom1"/>
    <w:basedOn w:val="Normal"/>
    <w:semiHidden/>
    <w:rsid w:val="0071086E"/>
    <w:pPr>
      <w:tabs>
        <w:tab w:val="num" w:pos="1440"/>
      </w:tabs>
      <w:suppressAutoHyphens w:val="0"/>
      <w:spacing w:after="240" w:line="240" w:lineRule="auto"/>
      <w:ind w:left="1441" w:hanging="590"/>
    </w:pPr>
    <w:rPr>
      <w:sz w:val="24"/>
    </w:rPr>
  </w:style>
  <w:style w:type="paragraph" w:customStyle="1" w:styleId="Rom2">
    <w:name w:val="Rom2"/>
    <w:basedOn w:val="Normal"/>
    <w:semiHidden/>
    <w:rsid w:val="0071086E"/>
    <w:pPr>
      <w:tabs>
        <w:tab w:val="num" w:pos="2160"/>
      </w:tabs>
      <w:suppressAutoHyphens w:val="0"/>
      <w:spacing w:after="240" w:line="240" w:lineRule="auto"/>
      <w:ind w:left="2160" w:hanging="516"/>
    </w:pPr>
    <w:rPr>
      <w:sz w:val="24"/>
    </w:rPr>
  </w:style>
  <w:style w:type="paragraph" w:customStyle="1" w:styleId="ParaNo">
    <w:name w:val="ParaNo."/>
    <w:basedOn w:val="Normal"/>
    <w:semiHidden/>
    <w:rsid w:val="0071086E"/>
    <w:pPr>
      <w:tabs>
        <w:tab w:val="left" w:pos="737"/>
      </w:tabs>
      <w:suppressAutoHyphens w:val="0"/>
      <w:spacing w:after="240" w:line="240" w:lineRule="auto"/>
      <w:ind w:left="-1" w:firstLine="1"/>
    </w:pPr>
    <w:rPr>
      <w:sz w:val="24"/>
      <w:lang w:val="fr-CH"/>
    </w:rPr>
  </w:style>
  <w:style w:type="paragraph" w:customStyle="1" w:styleId="alfaliste">
    <w:name w:val="alfaliste"/>
    <w:basedOn w:val="List"/>
    <w:semiHidden/>
    <w:rsid w:val="0071086E"/>
    <w:pPr>
      <w:numPr>
        <w:numId w:val="1"/>
      </w:numPr>
      <w:suppressAutoHyphens w:val="0"/>
      <w:spacing w:line="240" w:lineRule="auto"/>
    </w:pPr>
    <w:rPr>
      <w:spacing w:val="4"/>
      <w:sz w:val="24"/>
      <w:lang w:val="nb-NO" w:eastAsia="nb-NO"/>
    </w:rPr>
  </w:style>
  <w:style w:type="paragraph" w:customStyle="1" w:styleId="Listeavsnitt">
    <w:name w:val="Listeavsnitt"/>
    <w:basedOn w:val="Normal"/>
    <w:semiHidden/>
    <w:rsid w:val="0071086E"/>
    <w:pPr>
      <w:numPr>
        <w:numId w:val="2"/>
      </w:numPr>
      <w:suppressAutoHyphens w:val="0"/>
      <w:spacing w:line="240" w:lineRule="auto"/>
      <w:ind w:left="568" w:hanging="284"/>
      <w:contextualSpacing/>
    </w:pPr>
    <w:rPr>
      <w:rFonts w:ascii="DepCentury Old Style" w:hAnsi="DepCentury Old Style"/>
      <w:sz w:val="24"/>
      <w:lang w:val="nb-NO"/>
    </w:rPr>
  </w:style>
  <w:style w:type="paragraph" w:customStyle="1" w:styleId="Tittel1">
    <w:name w:val="Tittel1"/>
    <w:basedOn w:val="Listeavsnitt"/>
    <w:semiHidden/>
    <w:rsid w:val="0071086E"/>
    <w:pPr>
      <w:numPr>
        <w:numId w:val="0"/>
      </w:numPr>
      <w:tabs>
        <w:tab w:val="num" w:pos="926"/>
      </w:tabs>
      <w:ind w:left="567" w:hanging="567"/>
    </w:pPr>
    <w:rPr>
      <w:rFonts w:ascii="Times New Roman" w:hAnsi="Times New Roman"/>
      <w:b/>
      <w:szCs w:val="24"/>
      <w:lang w:val="en-GB" w:eastAsia="en-GB"/>
    </w:rPr>
  </w:style>
  <w:style w:type="paragraph" w:customStyle="1" w:styleId="Tittel2">
    <w:name w:val="Tittel2"/>
    <w:basedOn w:val="Tittel1"/>
    <w:semiHidden/>
    <w:rsid w:val="0071086E"/>
    <w:pPr>
      <w:numPr>
        <w:ilvl w:val="1"/>
      </w:numPr>
      <w:tabs>
        <w:tab w:val="num" w:pos="720"/>
        <w:tab w:val="num" w:pos="926"/>
      </w:tabs>
      <w:ind w:left="709" w:hanging="709"/>
    </w:pPr>
  </w:style>
  <w:style w:type="paragraph" w:customStyle="1" w:styleId="Tittel3">
    <w:name w:val="Tittel3"/>
    <w:basedOn w:val="Tittel2"/>
    <w:semiHidden/>
    <w:rsid w:val="0071086E"/>
    <w:pPr>
      <w:numPr>
        <w:ilvl w:val="2"/>
      </w:numPr>
      <w:tabs>
        <w:tab w:val="num" w:pos="720"/>
        <w:tab w:val="num" w:pos="1080"/>
      </w:tabs>
      <w:ind w:left="851" w:hanging="851"/>
    </w:pPr>
  </w:style>
  <w:style w:type="paragraph" w:customStyle="1" w:styleId="Tittel4">
    <w:name w:val="Tittel4"/>
    <w:basedOn w:val="Tittel1"/>
    <w:semiHidden/>
    <w:rsid w:val="0071086E"/>
    <w:pPr>
      <w:numPr>
        <w:ilvl w:val="3"/>
      </w:numPr>
      <w:tabs>
        <w:tab w:val="num" w:pos="926"/>
        <w:tab w:val="num" w:pos="1440"/>
      </w:tabs>
      <w:ind w:left="993" w:hanging="993"/>
    </w:pPr>
    <w:rPr>
      <w:lang w:val="en-US"/>
    </w:rPr>
  </w:style>
  <w:style w:type="paragraph" w:customStyle="1" w:styleId="k-a">
    <w:name w:val="k-a"/>
    <w:basedOn w:val="Normal"/>
    <w:semiHidden/>
    <w:rsid w:val="0071086E"/>
    <w:pPr>
      <w:suppressAutoHyphens w:val="0"/>
      <w:spacing w:before="122" w:line="240" w:lineRule="auto"/>
    </w:pPr>
    <w:rPr>
      <w:rFonts w:ascii="Arial Unicode MS" w:eastAsia="Arial Unicode MS" w:hAnsi="Arial Unicode MS" w:cs="Arial Unicode MS"/>
      <w:sz w:val="26"/>
      <w:szCs w:val="26"/>
      <w:lang w:val="nb-NO" w:eastAsia="nb-NO"/>
    </w:rPr>
  </w:style>
  <w:style w:type="character" w:customStyle="1" w:styleId="texteparChar">
    <w:name w:val="texte+par Char"/>
    <w:link w:val="textepar"/>
    <w:semiHidden/>
    <w:locked/>
    <w:rsid w:val="0071086E"/>
    <w:rPr>
      <w:rFonts w:ascii="Myriad Pro" w:hAnsi="Myriad Pro"/>
      <w:lang w:val="en-GB" w:eastAsia="en-US" w:bidi="ar-SA"/>
    </w:rPr>
  </w:style>
  <w:style w:type="paragraph" w:customStyle="1" w:styleId="textepar">
    <w:name w:val="texte+par"/>
    <w:basedOn w:val="Normal"/>
    <w:link w:val="texteparChar"/>
    <w:semiHidden/>
    <w:rsid w:val="0071086E"/>
    <w:pPr>
      <w:numPr>
        <w:numId w:val="11"/>
      </w:numPr>
      <w:suppressAutoHyphens w:val="0"/>
      <w:spacing w:before="160" w:line="288" w:lineRule="auto"/>
      <w:ind w:left="0" w:firstLine="0"/>
      <w:jc w:val="both"/>
    </w:pPr>
    <w:rPr>
      <w:rFonts w:ascii="Myriad Pro" w:hAnsi="Myriad Pro"/>
    </w:rPr>
  </w:style>
  <w:style w:type="paragraph" w:customStyle="1" w:styleId="Default">
    <w:name w:val="Default"/>
    <w:semiHidden/>
    <w:rsid w:val="0071086E"/>
    <w:pPr>
      <w:autoSpaceDE w:val="0"/>
      <w:autoSpaceDN w:val="0"/>
      <w:adjustRightInd w:val="0"/>
    </w:pPr>
    <w:rPr>
      <w:color w:val="000000"/>
      <w:sz w:val="24"/>
      <w:szCs w:val="24"/>
      <w:lang w:val="nb-NO" w:eastAsia="nb-NO"/>
    </w:rPr>
  </w:style>
  <w:style w:type="character" w:customStyle="1" w:styleId="black">
    <w:name w:val="black"/>
    <w:rsid w:val="0071086E"/>
  </w:style>
  <w:style w:type="character" w:customStyle="1" w:styleId="H1GChar">
    <w:name w:val="_ H_1_G Char"/>
    <w:link w:val="H1G"/>
    <w:locked/>
    <w:rsid w:val="0071086E"/>
    <w:rPr>
      <w:b/>
      <w:sz w:val="24"/>
      <w:lang w:val="en-GB" w:eastAsia="en-US"/>
    </w:rPr>
  </w:style>
  <w:style w:type="character" w:customStyle="1" w:styleId="H4GChar">
    <w:name w:val="_ H_4_G Char"/>
    <w:link w:val="H4G"/>
    <w:locked/>
    <w:rsid w:val="0071086E"/>
    <w:rPr>
      <w:i/>
      <w:lang w:val="en-GB" w:eastAsia="en-US"/>
    </w:rPr>
  </w:style>
  <w:style w:type="paragraph" w:styleId="BalloonText">
    <w:name w:val="Balloon Text"/>
    <w:basedOn w:val="Normal"/>
    <w:link w:val="BalloonTextChar"/>
    <w:rsid w:val="0071086E"/>
    <w:rPr>
      <w:rFonts w:ascii="Tahoma" w:hAnsi="Tahoma"/>
      <w:sz w:val="16"/>
    </w:rPr>
  </w:style>
  <w:style w:type="character" w:customStyle="1" w:styleId="BalloonTextChar">
    <w:name w:val="Balloon Text Char"/>
    <w:link w:val="BalloonText"/>
    <w:locked/>
    <w:rsid w:val="0071086E"/>
    <w:rPr>
      <w:rFonts w:ascii="Tahoma" w:hAnsi="Tahoma"/>
      <w:sz w:val="16"/>
      <w:lang w:val="en-GB" w:eastAsia="en-US"/>
    </w:rPr>
  </w:style>
  <w:style w:type="numbering" w:styleId="ArticleSection">
    <w:name w:val="Outline List 3"/>
    <w:basedOn w:val="NoList"/>
    <w:rsid w:val="00310DA2"/>
    <w:pPr>
      <w:numPr>
        <w:numId w:val="10"/>
      </w:numPr>
    </w:pPr>
  </w:style>
  <w:style w:type="numbering" w:styleId="1ai">
    <w:name w:val="Outline List 1"/>
    <w:basedOn w:val="NoList"/>
    <w:rsid w:val="00310DA2"/>
    <w:pPr>
      <w:numPr>
        <w:numId w:val="9"/>
      </w:numPr>
    </w:pPr>
  </w:style>
  <w:style w:type="numbering" w:styleId="111111">
    <w:name w:val="Outline List 2"/>
    <w:basedOn w:val="NoList"/>
    <w:rsid w:val="00310DA2"/>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b.n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regjeringen.no/upload/KD/Vedlegg/Grunnskole/The_EducationAct_19_juin_2009_(2).pdf" TargetMode="External"/><Relationship Id="rId3" Type="http://schemas.openxmlformats.org/officeDocument/2006/relationships/hyperlink" Target="http://www.regjeringen.no/en/dep/aid/doc/rapporter_planer/planer/2008/action-plan-against-poverty-2008.html?id=531068" TargetMode="External"/><Relationship Id="rId7" Type="http://schemas.openxmlformats.org/officeDocument/2006/relationships/hyperlink" Target="http://eacea.ec.europa.eu/education/eurydice/documents/eurybase/national_summary_sheets/047_NO_EN.pdf" TargetMode="External"/><Relationship Id="rId2" Type="http://schemas.openxmlformats.org/officeDocument/2006/relationships/hyperlink" Target="http://www.ssb.no/english/subjects/05/01/inntind_en/" TargetMode="External"/><Relationship Id="rId1" Type="http://schemas.openxmlformats.org/officeDocument/2006/relationships/hyperlink" Target="http://www.ssb.no/english/subjects/05/01/" TargetMode="External"/><Relationship Id="rId6" Type="http://schemas.openxmlformats.org/officeDocument/2006/relationships/hyperlink" Target="http://eacea.ec.europa.eu/education/eurydice/documents/eurybase/eurybase_full_reports/NO_EN.pdf" TargetMode="External"/><Relationship Id="rId5" Type="http://schemas.openxmlformats.org/officeDocument/2006/relationships/hyperlink" Target="http://www.regjeringen.no/upload/KD/Vedlegg/Veiledninger%20og%20brosjyrer/Education_in_Norway_f-4133e.pdf" TargetMode="External"/><Relationship Id="rId4" Type="http://schemas.openxmlformats.org/officeDocument/2006/relationships/hyperlink" Target="http://www.fhi.no/eway/default.aspx?pid=233&amp;trg=Area_5774&amp;MainLeft_5669=5774:0:&amp;Area_5774=5544:84298::0:5776: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e-c-12-NOR-5%20F%20format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e-c-12-NOR-5 F formatage.dot</Template>
  <TotalTime>8</TotalTime>
  <Pages>1</Pages>
  <Words>42458</Words>
  <Characters>242014</Characters>
  <Application>Microsoft Office Outlook</Application>
  <DocSecurity>4</DocSecurity>
  <Lines>2016</Lines>
  <Paragraphs>567</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283905</CharactersWithSpaces>
  <SharedDoc>false</SharedDoc>
  <HLinks>
    <vt:vector size="54" baseType="variant">
      <vt:variant>
        <vt:i4>8061026</vt:i4>
      </vt:variant>
      <vt:variant>
        <vt:i4>0</vt:i4>
      </vt:variant>
      <vt:variant>
        <vt:i4>0</vt:i4>
      </vt:variant>
      <vt:variant>
        <vt:i4>5</vt:i4>
      </vt:variant>
      <vt:variant>
        <vt:lpwstr>http://www.ssb.no/</vt:lpwstr>
      </vt:variant>
      <vt:variant>
        <vt:lpwstr/>
      </vt:variant>
      <vt:variant>
        <vt:i4>4259966</vt:i4>
      </vt:variant>
      <vt:variant>
        <vt:i4>21</vt:i4>
      </vt:variant>
      <vt:variant>
        <vt:i4>0</vt:i4>
      </vt:variant>
      <vt:variant>
        <vt:i4>5</vt:i4>
      </vt:variant>
      <vt:variant>
        <vt:lpwstr>http://www.regjeringen.no/upload/KD/Vedlegg/Grunnskole/The_EducationAct_19_juin_2009_(2).pdf</vt:lpwstr>
      </vt:variant>
      <vt:variant>
        <vt:lpwstr/>
      </vt:variant>
      <vt:variant>
        <vt:i4>3211313</vt:i4>
      </vt:variant>
      <vt:variant>
        <vt:i4>18</vt:i4>
      </vt:variant>
      <vt:variant>
        <vt:i4>0</vt:i4>
      </vt:variant>
      <vt:variant>
        <vt:i4>5</vt:i4>
      </vt:variant>
      <vt:variant>
        <vt:lpwstr>http://eacea.ec.europa.eu/education/eurydice/documents/eurybase/national_summary_sheets/047_NO_EN.pdf</vt:lpwstr>
      </vt:variant>
      <vt:variant>
        <vt:lpwstr/>
      </vt:variant>
      <vt:variant>
        <vt:i4>1507445</vt:i4>
      </vt:variant>
      <vt:variant>
        <vt:i4>15</vt:i4>
      </vt:variant>
      <vt:variant>
        <vt:i4>0</vt:i4>
      </vt:variant>
      <vt:variant>
        <vt:i4>5</vt:i4>
      </vt:variant>
      <vt:variant>
        <vt:lpwstr>http://eacea.ec.europa.eu/education/eurydice/documents/eurybase/eurybase_full_reports/NO_EN.pdf</vt:lpwstr>
      </vt:variant>
      <vt:variant>
        <vt:lpwstr/>
      </vt:variant>
      <vt:variant>
        <vt:i4>131118</vt:i4>
      </vt:variant>
      <vt:variant>
        <vt:i4>12</vt:i4>
      </vt:variant>
      <vt:variant>
        <vt:i4>0</vt:i4>
      </vt:variant>
      <vt:variant>
        <vt:i4>5</vt:i4>
      </vt:variant>
      <vt:variant>
        <vt:lpwstr>http://www.regjeringen.no/upload/KD/Vedlegg/Veiledninger og brosjyrer/Education_in_Norway_f-4133e.pdf</vt:lpwstr>
      </vt:variant>
      <vt:variant>
        <vt:lpwstr/>
      </vt:variant>
      <vt:variant>
        <vt:i4>6226043</vt:i4>
      </vt:variant>
      <vt:variant>
        <vt:i4>9</vt:i4>
      </vt:variant>
      <vt:variant>
        <vt:i4>0</vt:i4>
      </vt:variant>
      <vt:variant>
        <vt:i4>5</vt:i4>
      </vt:variant>
      <vt:variant>
        <vt:lpwstr>http://www.fhi.no/eway/default.aspx?pid=233&amp;trg=Area_5774&amp;MainLeft_5669=5774:0:&amp;Area_5774=5544:84298::0:5776:1:::0:0</vt:lpwstr>
      </vt:variant>
      <vt:variant>
        <vt:lpwstr/>
      </vt:variant>
      <vt:variant>
        <vt:i4>7864353</vt:i4>
      </vt:variant>
      <vt:variant>
        <vt:i4>6</vt:i4>
      </vt:variant>
      <vt:variant>
        <vt:i4>0</vt:i4>
      </vt:variant>
      <vt:variant>
        <vt:i4>5</vt:i4>
      </vt:variant>
      <vt:variant>
        <vt:lpwstr>http://www.regjeringen.no/en/dep/aid/doc/rapporter_planer/_x000b_planer/2008/action-plan-against-poverty-2008.html?id=531068</vt:lpwstr>
      </vt:variant>
      <vt:variant>
        <vt:lpwstr/>
      </vt:variant>
      <vt:variant>
        <vt:i4>4456481</vt:i4>
      </vt:variant>
      <vt:variant>
        <vt:i4>3</vt:i4>
      </vt:variant>
      <vt:variant>
        <vt:i4>0</vt:i4>
      </vt:variant>
      <vt:variant>
        <vt:i4>5</vt:i4>
      </vt:variant>
      <vt:variant>
        <vt:lpwstr>http://www.ssb.no/english/subjects/05/01/inntind_en/</vt:lpwstr>
      </vt:variant>
      <vt:variant>
        <vt:lpwstr/>
      </vt:variant>
      <vt:variant>
        <vt:i4>262219</vt:i4>
      </vt:variant>
      <vt:variant>
        <vt:i4>0</vt:i4>
      </vt:variant>
      <vt:variant>
        <vt:i4>0</vt:i4>
      </vt:variant>
      <vt:variant>
        <vt:i4>5</vt:i4>
      </vt:variant>
      <vt:variant>
        <vt:lpwstr>http://www.ssb.no/english/subjects/05/01/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Marie-claude</dc:creator>
  <cp:keywords/>
  <dc:description/>
  <cp:lastModifiedBy>DCM</cp:lastModifiedBy>
  <cp:revision>2</cp:revision>
  <cp:lastPrinted>2013-04-25T08:46:00Z</cp:lastPrinted>
  <dcterms:created xsi:type="dcterms:W3CDTF">2013-04-29T07:36:00Z</dcterms:created>
  <dcterms:modified xsi:type="dcterms:W3CDTF">2013-04-29T07:36:00Z</dcterms:modified>
</cp:coreProperties>
</file>