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A513D" w:rsidTr="006E27AD">
        <w:trPr>
          <w:trHeight w:hRule="exact" w:val="851"/>
        </w:trPr>
        <w:tc>
          <w:tcPr>
            <w:tcW w:w="1276" w:type="dxa"/>
            <w:tcBorders>
              <w:bottom w:val="single" w:sz="4" w:space="0" w:color="auto"/>
            </w:tcBorders>
          </w:tcPr>
          <w:p w:rsidR="002D5AAC" w:rsidRPr="003A513D" w:rsidRDefault="002D5AAC" w:rsidP="00E95C19">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3A513D" w:rsidRDefault="00BD33EE" w:rsidP="006E27AD">
            <w:pPr>
              <w:spacing w:after="80" w:line="300" w:lineRule="exact"/>
              <w:rPr>
                <w:sz w:val="28"/>
              </w:rPr>
            </w:pPr>
            <w:r w:rsidRPr="003A513D">
              <w:rPr>
                <w:sz w:val="28"/>
              </w:rPr>
              <w:t>Naciones Unidas</w:t>
            </w:r>
          </w:p>
        </w:tc>
        <w:tc>
          <w:tcPr>
            <w:tcW w:w="6073" w:type="dxa"/>
            <w:gridSpan w:val="2"/>
            <w:tcBorders>
              <w:bottom w:val="single" w:sz="4" w:space="0" w:color="auto"/>
            </w:tcBorders>
            <w:vAlign w:val="bottom"/>
          </w:tcPr>
          <w:p w:rsidR="002D5AAC" w:rsidRPr="003A513D" w:rsidRDefault="00E95C19" w:rsidP="00E95C19">
            <w:pPr>
              <w:jc w:val="right"/>
            </w:pPr>
            <w:r w:rsidRPr="003A513D">
              <w:rPr>
                <w:sz w:val="40"/>
              </w:rPr>
              <w:t>E</w:t>
            </w:r>
            <w:r w:rsidRPr="003A513D">
              <w:t>/C.12/NOR/QPR/6</w:t>
            </w:r>
          </w:p>
        </w:tc>
      </w:tr>
      <w:tr w:rsidR="002D5AAC" w:rsidRPr="003A513D" w:rsidTr="006E27AD">
        <w:trPr>
          <w:trHeight w:hRule="exact" w:val="2835"/>
        </w:trPr>
        <w:tc>
          <w:tcPr>
            <w:tcW w:w="1276" w:type="dxa"/>
            <w:tcBorders>
              <w:top w:val="single" w:sz="4" w:space="0" w:color="auto"/>
              <w:bottom w:val="single" w:sz="12" w:space="0" w:color="auto"/>
            </w:tcBorders>
          </w:tcPr>
          <w:p w:rsidR="002D5AAC" w:rsidRPr="003A513D" w:rsidRDefault="00DC6544" w:rsidP="006E27AD">
            <w:pPr>
              <w:spacing w:before="120"/>
              <w:jc w:val="center"/>
            </w:pPr>
            <w:r w:rsidRPr="003A513D">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3A513D" w:rsidRDefault="004B19F2" w:rsidP="006E27AD">
            <w:pPr>
              <w:spacing w:before="120" w:line="420" w:lineRule="exact"/>
              <w:rPr>
                <w:b/>
                <w:sz w:val="40"/>
                <w:szCs w:val="40"/>
              </w:rPr>
            </w:pPr>
            <w:r w:rsidRPr="003A513D">
              <w:rPr>
                <w:b/>
                <w:sz w:val="40"/>
                <w:szCs w:val="40"/>
              </w:rPr>
              <w:t>Consejo Económico y Social</w:t>
            </w:r>
          </w:p>
        </w:tc>
        <w:tc>
          <w:tcPr>
            <w:tcW w:w="2813" w:type="dxa"/>
            <w:tcBorders>
              <w:top w:val="single" w:sz="4" w:space="0" w:color="auto"/>
              <w:bottom w:val="single" w:sz="12" w:space="0" w:color="auto"/>
            </w:tcBorders>
          </w:tcPr>
          <w:p w:rsidR="002D5AAC" w:rsidRPr="003A513D" w:rsidRDefault="00E95C19" w:rsidP="006E27AD">
            <w:pPr>
              <w:spacing w:before="240"/>
            </w:pPr>
            <w:r w:rsidRPr="003A513D">
              <w:t>Distr. general</w:t>
            </w:r>
          </w:p>
          <w:p w:rsidR="00E95C19" w:rsidRPr="003A513D" w:rsidRDefault="00E95C19" w:rsidP="00E95C19">
            <w:pPr>
              <w:spacing w:line="240" w:lineRule="exact"/>
            </w:pPr>
            <w:r w:rsidRPr="003A513D">
              <w:t>12 de noviembre de 2018</w:t>
            </w:r>
          </w:p>
          <w:p w:rsidR="00E95C19" w:rsidRPr="003A513D" w:rsidRDefault="00E95C19" w:rsidP="00E95C19">
            <w:pPr>
              <w:spacing w:line="240" w:lineRule="exact"/>
            </w:pPr>
            <w:r w:rsidRPr="003A513D">
              <w:t>Español</w:t>
            </w:r>
          </w:p>
          <w:p w:rsidR="00E95C19" w:rsidRPr="003A513D" w:rsidRDefault="00E95C19" w:rsidP="00E95C19">
            <w:pPr>
              <w:spacing w:line="240" w:lineRule="exact"/>
            </w:pPr>
            <w:r w:rsidRPr="003A513D">
              <w:t>Original: inglés</w:t>
            </w:r>
          </w:p>
          <w:p w:rsidR="00E95C19" w:rsidRPr="003A513D" w:rsidRDefault="00E95C19" w:rsidP="00E95C19">
            <w:pPr>
              <w:spacing w:line="240" w:lineRule="exact"/>
            </w:pPr>
            <w:r w:rsidRPr="003A513D">
              <w:t>Español, francés e inglés únicamente</w:t>
            </w:r>
          </w:p>
        </w:tc>
      </w:tr>
    </w:tbl>
    <w:p w:rsidR="00DB42F9" w:rsidRPr="003A513D" w:rsidRDefault="00DB42F9" w:rsidP="00F72429">
      <w:pPr>
        <w:spacing w:before="120"/>
        <w:rPr>
          <w:b/>
          <w:bCs/>
          <w:sz w:val="24"/>
          <w:szCs w:val="24"/>
        </w:rPr>
      </w:pPr>
      <w:r w:rsidRPr="003A513D">
        <w:rPr>
          <w:b/>
          <w:bCs/>
          <w:sz w:val="24"/>
          <w:szCs w:val="24"/>
        </w:rPr>
        <w:t>Comité de Derechos Económicos, Sociales y Culturales</w:t>
      </w:r>
    </w:p>
    <w:p w:rsidR="00DB42F9" w:rsidRPr="003A513D" w:rsidRDefault="00DB42F9" w:rsidP="00F72429">
      <w:pPr>
        <w:pStyle w:val="HChG"/>
      </w:pPr>
      <w:r w:rsidRPr="003A513D">
        <w:tab/>
      </w:r>
      <w:r w:rsidRPr="003A513D">
        <w:tab/>
        <w:t>Lista de cuestiones anterior a la presentación del sexto informe periódico de Noruega</w:t>
      </w:r>
      <w:r w:rsidR="00F72429" w:rsidRPr="003A513D">
        <w:rPr>
          <w:rStyle w:val="Refdenotaalpie"/>
          <w:b w:val="0"/>
          <w:bCs/>
          <w:sz w:val="20"/>
          <w:vertAlign w:val="baseline"/>
        </w:rPr>
        <w:footnoteReference w:customMarkFollows="1" w:id="1"/>
        <w:t>*</w:t>
      </w:r>
    </w:p>
    <w:p w:rsidR="00DB42F9" w:rsidRPr="003A513D" w:rsidRDefault="00DB42F9" w:rsidP="00F72429">
      <w:pPr>
        <w:pStyle w:val="H1G"/>
      </w:pPr>
      <w:r w:rsidRPr="003A513D">
        <w:tab/>
        <w:t>A.</w:t>
      </w:r>
      <w:r w:rsidRPr="003A513D">
        <w:tab/>
        <w:t>Cuestiones de particular importancia</w:t>
      </w:r>
    </w:p>
    <w:p w:rsidR="00DB42F9" w:rsidRPr="003A513D" w:rsidRDefault="00DB42F9" w:rsidP="00F72429">
      <w:pPr>
        <w:pStyle w:val="SingleTxtG"/>
      </w:pPr>
      <w:r w:rsidRPr="003A513D">
        <w:t>1.</w:t>
      </w:r>
      <w:r w:rsidRPr="003A513D">
        <w:tab/>
        <w:t>Sírva</w:t>
      </w:r>
      <w:r w:rsidR="00F72429" w:rsidRPr="003A513D">
        <w:t>n</w:t>
      </w:r>
      <w:r w:rsidRPr="003A513D">
        <w:t>se facilitar información sobre los progresos realizados hacia la plena incorporación a la Constitución de los derechos enunciados en el Pacto, teniendo en cuenta la observación general núm. 9 (1998) del Comité sobre la aplicación interna del Pacto. Sírva</w:t>
      </w:r>
      <w:r w:rsidR="00F72429" w:rsidRPr="003A513D">
        <w:t>n</w:t>
      </w:r>
      <w:r w:rsidRPr="003A513D">
        <w:t xml:space="preserve">se también </w:t>
      </w:r>
      <w:r w:rsidR="00F72429" w:rsidRPr="003A513D">
        <w:t>facilitar</w:t>
      </w:r>
      <w:r w:rsidRPr="003A513D">
        <w:t xml:space="preserve"> información sobre los casos en los que los derechos consagrados en el Pacto han sido invocados ante los tribunales </w:t>
      </w:r>
      <w:r w:rsidR="00F72429" w:rsidRPr="003A513D">
        <w:t>nacionales</w:t>
      </w:r>
      <w:r w:rsidRPr="003A513D">
        <w:t xml:space="preserve"> durante el período que abarca el informe, </w:t>
      </w:r>
      <w:r w:rsidR="00F72429" w:rsidRPr="003A513D">
        <w:t>indicando el</w:t>
      </w:r>
      <w:r w:rsidRPr="003A513D">
        <w:t xml:space="preserve"> número de casos y </w:t>
      </w:r>
      <w:r w:rsidR="00F72429" w:rsidRPr="003A513D">
        <w:t xml:space="preserve">proporcionando </w:t>
      </w:r>
      <w:r w:rsidRPr="003A513D">
        <w:t xml:space="preserve">ejemplos. </w:t>
      </w:r>
      <w:r w:rsidR="00F72429" w:rsidRPr="003A513D">
        <w:t>Faciliten</w:t>
      </w:r>
      <w:r w:rsidRPr="003A513D">
        <w:t xml:space="preserve"> asimismo información sobre </w:t>
      </w:r>
      <w:r w:rsidR="00F72429" w:rsidRPr="003A513D">
        <w:t>la medida</w:t>
      </w:r>
      <w:r w:rsidRPr="003A513D">
        <w:t xml:space="preserve"> en que las </w:t>
      </w:r>
      <w:r w:rsidR="00F72429" w:rsidRPr="003A513D">
        <w:t>disposiciones</w:t>
      </w:r>
      <w:r w:rsidRPr="003A513D">
        <w:t xml:space="preserve"> adoptadas por el Estado parte mejoran la conciencia</w:t>
      </w:r>
      <w:r w:rsidR="00F72429" w:rsidRPr="003A513D">
        <w:t>ción</w:t>
      </w:r>
      <w:r w:rsidRPr="003A513D">
        <w:t xml:space="preserve"> y el conocimiento del Pacto y su aplicación entre los miembros </w:t>
      </w:r>
      <w:r w:rsidR="00F72429" w:rsidRPr="003A513D">
        <w:t>de la judicatura</w:t>
      </w:r>
      <w:r w:rsidRPr="003A513D">
        <w:t xml:space="preserve"> y los profesionales de</w:t>
      </w:r>
      <w:r w:rsidR="00F72429" w:rsidRPr="003A513D">
        <w:t xml:space="preserve"> </w:t>
      </w:r>
      <w:r w:rsidRPr="003A513D">
        <w:t>l</w:t>
      </w:r>
      <w:r w:rsidR="00F72429" w:rsidRPr="003A513D">
        <w:t>a abogacía</w:t>
      </w:r>
      <w:r w:rsidRPr="003A513D">
        <w:t xml:space="preserve"> (E/C.12/NOR/CO/5, párr. 4)</w:t>
      </w:r>
      <w:r w:rsidRPr="003A513D">
        <w:rPr>
          <w:rStyle w:val="Refdenotaalpie"/>
        </w:rPr>
        <w:footnoteReference w:id="2"/>
      </w:r>
      <w:r w:rsidRPr="003A513D">
        <w:t>.</w:t>
      </w:r>
    </w:p>
    <w:p w:rsidR="00DB42F9" w:rsidRPr="003A513D" w:rsidRDefault="00DB42F9" w:rsidP="00E11D3B">
      <w:pPr>
        <w:pStyle w:val="SingleTxtG"/>
      </w:pPr>
      <w:r w:rsidRPr="003A513D">
        <w:t>2.</w:t>
      </w:r>
      <w:r w:rsidRPr="003A513D">
        <w:tab/>
        <w:t xml:space="preserve">Se ruega proporcionen información sobre las medidas adoptadas para garantizar que las obligaciones relativas a los derechos humanos indicadas en el Pacto y en otras convenciones de derechos humanos se tienen en cuenta en los procesos legislativos y de </w:t>
      </w:r>
      <w:r w:rsidR="00086B64" w:rsidRPr="003A513D">
        <w:t>formulación</w:t>
      </w:r>
      <w:r w:rsidRPr="003A513D">
        <w:t xml:space="preserve"> de políticas, especialmente </w:t>
      </w:r>
      <w:r w:rsidR="00086B64" w:rsidRPr="003A513D">
        <w:t>después de</w:t>
      </w:r>
      <w:r w:rsidRPr="003A513D">
        <w:t xml:space="preserve"> la revisión de las instrucciones para los estudios e informes oficiales que se llevó a cabo en febrero de 2016. Indiquen los mecanismos o procedimientos establecidos o previstos </w:t>
      </w:r>
      <w:r w:rsidR="00086B64" w:rsidRPr="003A513D">
        <w:t>para dar</w:t>
      </w:r>
      <w:r w:rsidRPr="003A513D">
        <w:t xml:space="preserve"> cumplimiento </w:t>
      </w:r>
      <w:r w:rsidR="00086B64" w:rsidRPr="003A513D">
        <w:t>a</w:t>
      </w:r>
      <w:r w:rsidRPr="003A513D">
        <w:t xml:space="preserve"> las recomendaciones del Comité y otros mecanismos internacionales de derechos humanos. Indiquen también si el Estado parte, </w:t>
      </w:r>
      <w:r w:rsidR="00086B64" w:rsidRPr="003A513D">
        <w:t>en el marco</w:t>
      </w:r>
      <w:r w:rsidRPr="003A513D">
        <w:t xml:space="preserve"> de su proceso de reforma de la educación, ha revisado la enseñanza de los derechos humanos que se imparte en la escuela y en l</w:t>
      </w:r>
      <w:r w:rsidR="00086B64" w:rsidRPr="003A513D">
        <w:t>os c</w:t>
      </w:r>
      <w:r w:rsidR="00E11D3B">
        <w:t>ur</w:t>
      </w:r>
      <w:r w:rsidR="00086B64" w:rsidRPr="003A513D">
        <w:t>sos de</w:t>
      </w:r>
      <w:r w:rsidRPr="003A513D">
        <w:t xml:space="preserve"> formación de funcionarios públicos y profesionales, y, de ser así, facilit</w:t>
      </w:r>
      <w:r w:rsidR="00086B64" w:rsidRPr="003A513D">
        <w:t>en</w:t>
      </w:r>
      <w:r w:rsidRPr="003A513D">
        <w:t xml:space="preserve"> información al respecto</w:t>
      </w:r>
      <w:r w:rsidR="00086B64" w:rsidRPr="003A513D">
        <w:t>, e informen también acerca de las</w:t>
      </w:r>
      <w:r w:rsidRPr="003A513D">
        <w:t xml:space="preserve"> medidas adoptadas para reforzar la enseñanza de los derechos humanos.</w:t>
      </w:r>
    </w:p>
    <w:p w:rsidR="00DB42F9" w:rsidRPr="003A513D" w:rsidRDefault="00DB42F9" w:rsidP="00086B64">
      <w:pPr>
        <w:pStyle w:val="SingleTxtG"/>
      </w:pPr>
      <w:r w:rsidRPr="003A513D">
        <w:t>3.</w:t>
      </w:r>
      <w:r w:rsidRPr="003A513D">
        <w:tab/>
        <w:t xml:space="preserve">Sírvanse facilitar información sobre </w:t>
      </w:r>
      <w:r w:rsidR="00086B64" w:rsidRPr="003A513D">
        <w:t>la medida</w:t>
      </w:r>
      <w:r w:rsidRPr="003A513D">
        <w:t xml:space="preserve"> en que las </w:t>
      </w:r>
      <w:r w:rsidR="00086B64" w:rsidRPr="003A513D">
        <w:t>disposiciones</w:t>
      </w:r>
      <w:r w:rsidRPr="003A513D">
        <w:t xml:space="preserve"> adoptadas por el Estado parte impiden y combaten la persistente incidencia de </w:t>
      </w:r>
      <w:r w:rsidR="00086B64" w:rsidRPr="003A513D">
        <w:t xml:space="preserve">la </w:t>
      </w:r>
      <w:r w:rsidRPr="003A513D">
        <w:t xml:space="preserve">discriminación a que hacen frente las personas </w:t>
      </w:r>
      <w:r w:rsidR="00086B64" w:rsidRPr="003A513D">
        <w:t>de origen</w:t>
      </w:r>
      <w:r w:rsidRPr="003A513D">
        <w:t xml:space="preserve"> inmigra</w:t>
      </w:r>
      <w:r w:rsidR="00086B64" w:rsidRPr="003A513D">
        <w:t>nte</w:t>
      </w:r>
      <w:r w:rsidRPr="003A513D">
        <w:t xml:space="preserve"> en el acceso a la vivienda, el empleo, la educación y los servicios públicos de atención de la salud, incluid</w:t>
      </w:r>
      <w:r w:rsidR="00086B64" w:rsidRPr="003A513D">
        <w:t xml:space="preserve">a la interpretación </w:t>
      </w:r>
      <w:r w:rsidRPr="003A513D">
        <w:t xml:space="preserve">profesional en todos los servicios públicos, </w:t>
      </w:r>
      <w:r w:rsidR="00086B64" w:rsidRPr="003A513D">
        <w:t>entre ellos los de los</w:t>
      </w:r>
      <w:r w:rsidRPr="003A513D">
        <w:t xml:space="preserve"> sectores sanitario y jurídico (párrs. 7 y 17). Sírvanse aclara</w:t>
      </w:r>
      <w:r w:rsidR="00086B64" w:rsidRPr="003A513D">
        <w:t>r</w:t>
      </w:r>
      <w:r w:rsidRPr="003A513D">
        <w:t xml:space="preserve"> si el</w:t>
      </w:r>
      <w:r w:rsidR="00086B64" w:rsidRPr="003A513D">
        <w:t xml:space="preserve"> Estado parte ha tomado medidas, o proyecta tomarlas, </w:t>
      </w:r>
      <w:r w:rsidRPr="003A513D">
        <w:t xml:space="preserve">para revisar el artículo 21 de la Ley de Inmigración, que puede </w:t>
      </w:r>
      <w:r w:rsidR="00086B64" w:rsidRPr="003A513D">
        <w:t xml:space="preserve">hacer que la policía aplique perfiles étnicos a </w:t>
      </w:r>
      <w:r w:rsidRPr="003A513D">
        <w:t xml:space="preserve">personas </w:t>
      </w:r>
      <w:r w:rsidR="00086B64" w:rsidRPr="003A513D">
        <w:t>de origen inmigrante</w:t>
      </w:r>
      <w:r w:rsidRPr="003A513D">
        <w:t>.</w:t>
      </w:r>
    </w:p>
    <w:p w:rsidR="00DB42F9" w:rsidRPr="003A513D" w:rsidRDefault="00DB42F9" w:rsidP="00086B64">
      <w:pPr>
        <w:pStyle w:val="SingleTxtG"/>
      </w:pPr>
      <w:r w:rsidRPr="003A513D">
        <w:t>4.</w:t>
      </w:r>
      <w:r w:rsidRPr="003A513D">
        <w:tab/>
        <w:t>Se ruega eval</w:t>
      </w:r>
      <w:r w:rsidR="00086B64" w:rsidRPr="003A513D">
        <w:t>úen</w:t>
      </w:r>
      <w:r w:rsidRPr="003A513D">
        <w:t xml:space="preserve"> la reforma de las pensiones realizada por el Consejo de Investigación de Noruega, como indicó el Estado parte (E/C.12/NOR/Q/5/Add.1, párr. 86), </w:t>
      </w:r>
      <w:r w:rsidR="00086B64" w:rsidRPr="003A513D">
        <w:lastRenderedPageBreak/>
        <w:t>y den cuenta de</w:t>
      </w:r>
      <w:r w:rsidRPr="003A513D">
        <w:t xml:space="preserve"> las realizaciones y los problemas </w:t>
      </w:r>
      <w:r w:rsidR="00086B64" w:rsidRPr="003A513D">
        <w:t>surgidos</w:t>
      </w:r>
      <w:r w:rsidRPr="003A513D">
        <w:t xml:space="preserve"> durante el proceso de reforma y </w:t>
      </w:r>
      <w:r w:rsidR="00086B64" w:rsidRPr="003A513D">
        <w:t xml:space="preserve">de </w:t>
      </w:r>
      <w:r w:rsidRPr="003A513D">
        <w:t xml:space="preserve">las medidas adoptadas para </w:t>
      </w:r>
      <w:r w:rsidR="00086B64" w:rsidRPr="003A513D">
        <w:t>abordarlos</w:t>
      </w:r>
      <w:r w:rsidRPr="003A513D">
        <w:t xml:space="preserve">. Sírvanse facilitar información sobre las medidas adoptadas para hacer frente a las consecuencias, al parecer desfavorables, de la reforma de las pensiones para las personas con discapacidad cuyas prestaciones de ancianidad son inferiores a las de las </w:t>
      </w:r>
      <w:r w:rsidR="00086B64" w:rsidRPr="003A513D">
        <w:t xml:space="preserve">otras </w:t>
      </w:r>
      <w:r w:rsidRPr="003A513D">
        <w:t>personas, que siguen trabajando hasta los 67 años de edad. Se ruega proporcionen datos estadísticos sobre: a) la edad media de jubilación, y b) el número de personas que se han jubilado entre los 62 y los 75 años de edad, desglosados por edad, sexo e industria, des</w:t>
      </w:r>
      <w:r w:rsidR="00086B64" w:rsidRPr="003A513D">
        <w:t>pués de</w:t>
      </w:r>
      <w:r w:rsidRPr="003A513D">
        <w:t xml:space="preserve"> la reforma de las pensiones. Asimismo, faciliten información sobre la aplicación de las anteriores recomendaciones del Comité relacionadas con las prestaciones </w:t>
      </w:r>
      <w:r w:rsidR="00086B64" w:rsidRPr="003A513D">
        <w:t>por hijos</w:t>
      </w:r>
      <w:r w:rsidRPr="003A513D">
        <w:t xml:space="preserve"> (párr. 10).</w:t>
      </w:r>
    </w:p>
    <w:p w:rsidR="00DB42F9" w:rsidRPr="003A513D" w:rsidRDefault="00DB42F9" w:rsidP="00F72429">
      <w:pPr>
        <w:pStyle w:val="H1G"/>
      </w:pPr>
      <w:r w:rsidRPr="003A513D">
        <w:tab/>
        <w:t>B.</w:t>
      </w:r>
      <w:r w:rsidRPr="003A513D">
        <w:tab/>
        <w:t>Aplicación del Pac</w:t>
      </w:r>
      <w:r w:rsidR="00086B64" w:rsidRPr="003A513D">
        <w:t>t</w:t>
      </w:r>
      <w:r w:rsidRPr="003A513D">
        <w:t>o</w:t>
      </w:r>
    </w:p>
    <w:p w:rsidR="00DB42F9" w:rsidRPr="003A513D" w:rsidRDefault="00DB42F9" w:rsidP="00086B64">
      <w:pPr>
        <w:pStyle w:val="SingleTxtG"/>
      </w:pPr>
      <w:r w:rsidRPr="003A513D">
        <w:t>5.</w:t>
      </w:r>
      <w:r w:rsidRPr="003A513D">
        <w:tab/>
        <w:t xml:space="preserve">Aclaren si la Institución Nacional de Derechos Humanos de Noruega tiene el mandato de </w:t>
      </w:r>
      <w:r w:rsidR="00086B64" w:rsidRPr="003A513D">
        <w:t>ocuparse de</w:t>
      </w:r>
      <w:r w:rsidRPr="003A513D">
        <w:t xml:space="preserve"> las violaciones de los derechos económicos, sociales y culturales, previa recepción de denuncias o por iniciativa propia, </w:t>
      </w:r>
      <w:r w:rsidR="00086B64" w:rsidRPr="003A513D">
        <w:t>e informen</w:t>
      </w:r>
      <w:r w:rsidRPr="003A513D">
        <w:t xml:space="preserve"> sobre es</w:t>
      </w:r>
      <w:r w:rsidR="00086B64" w:rsidRPr="003A513D">
        <w:t>t</w:t>
      </w:r>
      <w:r w:rsidRPr="003A513D">
        <w:t>os casos, de haberlos, in</w:t>
      </w:r>
      <w:r w:rsidR="00086B64" w:rsidRPr="003A513D">
        <w:t>dicando</w:t>
      </w:r>
      <w:r w:rsidRPr="003A513D">
        <w:t xml:space="preserve"> el número de casos señalados a la atención de la </w:t>
      </w:r>
      <w:r w:rsidR="00086B64" w:rsidRPr="003A513D">
        <w:t>I</w:t>
      </w:r>
      <w:r w:rsidRPr="003A513D">
        <w:t xml:space="preserve">nstitución, así como </w:t>
      </w:r>
      <w:r w:rsidR="00086B64" w:rsidRPr="003A513D">
        <w:t>los</w:t>
      </w:r>
      <w:r w:rsidRPr="003A513D">
        <w:t xml:space="preserve"> resultados </w:t>
      </w:r>
      <w:r w:rsidR="00086B64" w:rsidRPr="003A513D">
        <w:t xml:space="preserve">habidos </w:t>
      </w:r>
      <w:r w:rsidRPr="003A513D">
        <w:t xml:space="preserve">y los principales motivos de preocupación. A la vista de las recomendaciones </w:t>
      </w:r>
      <w:r w:rsidR="00086B64" w:rsidRPr="003A513D">
        <w:t>de</w:t>
      </w:r>
      <w:r w:rsidRPr="003A513D">
        <w:t>l Subcomité de Acreditación de la Alianza Global de Instituciones Nacionales de Derechos Humanos, sírva</w:t>
      </w:r>
      <w:r w:rsidR="00086B64" w:rsidRPr="003A513D">
        <w:t>n</w:t>
      </w:r>
      <w:r w:rsidRPr="003A513D">
        <w:t xml:space="preserve">se proporcionar información sobre las medidas adoptadas para reforzar el marco jurídico de la Institución, en particular su mandato, </w:t>
      </w:r>
      <w:r w:rsidR="00086B64" w:rsidRPr="003A513D">
        <w:t xml:space="preserve">los </w:t>
      </w:r>
      <w:r w:rsidRPr="003A513D">
        <w:t xml:space="preserve">procesos de selección y destitución </w:t>
      </w:r>
      <w:r w:rsidR="00086B64" w:rsidRPr="003A513D">
        <w:t>y la</w:t>
      </w:r>
      <w:r w:rsidRPr="003A513D">
        <w:t xml:space="preserve"> inmunidad funcional. Proporcionen también información sobre </w:t>
      </w:r>
      <w:r w:rsidR="00086B64" w:rsidRPr="003A513D">
        <w:t>la medida</w:t>
      </w:r>
      <w:r w:rsidRPr="003A513D">
        <w:t xml:space="preserve"> en que las </w:t>
      </w:r>
      <w:r w:rsidR="00086B64" w:rsidRPr="003A513D">
        <w:t>disposiciones</w:t>
      </w:r>
      <w:r w:rsidRPr="003A513D">
        <w:t xml:space="preserve"> adoptadas por el Estado parte refuerzan la sinergia </w:t>
      </w:r>
      <w:r w:rsidR="00086B64" w:rsidRPr="003A513D">
        <w:t>laboral</w:t>
      </w:r>
      <w:r w:rsidRPr="003A513D">
        <w:t xml:space="preserve"> entre la </w:t>
      </w:r>
      <w:r w:rsidR="00086B64" w:rsidRPr="003A513D">
        <w:t>I</w:t>
      </w:r>
      <w:r w:rsidRPr="003A513D">
        <w:t xml:space="preserve">nstitución y las diversas instituciones de defensores del pueblo, </w:t>
      </w:r>
      <w:r w:rsidR="00086B64" w:rsidRPr="003A513D">
        <w:t>como</w:t>
      </w:r>
      <w:r w:rsidRPr="003A513D">
        <w:t xml:space="preserve"> el Ombudsman Parlamentario para la Administración Pública y el Ombudsman </w:t>
      </w:r>
      <w:r w:rsidR="00086B64" w:rsidRPr="003A513D">
        <w:t xml:space="preserve">de la Salud y </w:t>
      </w:r>
      <w:r w:rsidRPr="003A513D">
        <w:t xml:space="preserve">los Servicios Sociales, en la protección y promoción de los derechos enunciados en el Pacto, </w:t>
      </w:r>
      <w:r w:rsidR="00086B64" w:rsidRPr="003A513D">
        <w:t>e indiquen ejemplos positivos, de</w:t>
      </w:r>
      <w:r w:rsidRPr="003A513D">
        <w:t xml:space="preserve"> haberlos.</w:t>
      </w:r>
    </w:p>
    <w:p w:rsidR="00DB42F9" w:rsidRPr="003A513D" w:rsidRDefault="00DB42F9" w:rsidP="003B78B4">
      <w:pPr>
        <w:pStyle w:val="SingleTxtG"/>
      </w:pPr>
      <w:r w:rsidRPr="003A513D">
        <w:t>6.</w:t>
      </w:r>
      <w:r w:rsidRPr="003A513D">
        <w:tab/>
        <w:t xml:space="preserve">Sírvanse facilitar información sobre </w:t>
      </w:r>
      <w:r w:rsidR="00086B64" w:rsidRPr="003A513D">
        <w:t>la medida</w:t>
      </w:r>
      <w:r w:rsidRPr="003A513D">
        <w:t xml:space="preserve"> en que las </w:t>
      </w:r>
      <w:r w:rsidR="00086B64" w:rsidRPr="003A513D">
        <w:t>disposiciones</w:t>
      </w:r>
      <w:r w:rsidRPr="003A513D">
        <w:t xml:space="preserve"> adoptadas por el Estado parte amplían el alcance de su plan de </w:t>
      </w:r>
      <w:r w:rsidR="00086B64" w:rsidRPr="003A513D">
        <w:t>asistencia letrada,</w:t>
      </w:r>
      <w:r w:rsidRPr="003A513D">
        <w:t xml:space="preserve"> para atender mejor a las necesidades actuales de la población</w:t>
      </w:r>
      <w:r w:rsidR="00086B64" w:rsidRPr="003A513D">
        <w:t xml:space="preserve"> en la esfera jurídica</w:t>
      </w:r>
      <w:r w:rsidRPr="003A513D">
        <w:t xml:space="preserve">. Proporcionen también información sobre las medidas adoptadas para garantizar que los recursos </w:t>
      </w:r>
      <w:r w:rsidR="00086B64" w:rsidRPr="003A513D">
        <w:t>económicos efectivos</w:t>
      </w:r>
      <w:r w:rsidRPr="003A513D">
        <w:t xml:space="preserve"> de </w:t>
      </w:r>
      <w:r w:rsidR="00086B64" w:rsidRPr="003A513D">
        <w:t>los</w:t>
      </w:r>
      <w:r w:rsidRPr="003A513D">
        <w:t xml:space="preserve"> solicitante</w:t>
      </w:r>
      <w:r w:rsidR="00086B64" w:rsidRPr="003A513D">
        <w:t>s</w:t>
      </w:r>
      <w:r w:rsidRPr="003A513D">
        <w:t xml:space="preserve"> y los gastos </w:t>
      </w:r>
      <w:r w:rsidR="00086B64" w:rsidRPr="003A513D">
        <w:t>judiciales</w:t>
      </w:r>
      <w:r w:rsidRPr="003A513D">
        <w:t xml:space="preserve"> completos se tienen en cuenta cuando se evalúe la idoneidad de</w:t>
      </w:r>
      <w:r w:rsidR="00086B64" w:rsidRPr="003A513D">
        <w:t xml:space="preserve"> </w:t>
      </w:r>
      <w:r w:rsidRPr="003A513D">
        <w:t>l</w:t>
      </w:r>
      <w:r w:rsidR="00086B64" w:rsidRPr="003A513D">
        <w:t>os</w:t>
      </w:r>
      <w:r w:rsidRPr="003A513D">
        <w:t xml:space="preserve"> solicitante</w:t>
      </w:r>
      <w:r w:rsidR="00086B64" w:rsidRPr="003A513D">
        <w:t>s</w:t>
      </w:r>
      <w:r w:rsidRPr="003A513D">
        <w:t xml:space="preserve"> para recibir </w:t>
      </w:r>
      <w:r w:rsidR="00086B64" w:rsidRPr="003A513D">
        <w:t>asistencia letrada</w:t>
      </w:r>
      <w:r w:rsidRPr="003A513D">
        <w:t>, y aclar</w:t>
      </w:r>
      <w:r w:rsidR="003B78B4" w:rsidRPr="003A513D">
        <w:t>en</w:t>
      </w:r>
      <w:r w:rsidRPr="003A513D">
        <w:t xml:space="preserve"> si los criterios </w:t>
      </w:r>
      <w:r w:rsidR="003B78B4" w:rsidRPr="003A513D">
        <w:t>económicos</w:t>
      </w:r>
      <w:r w:rsidRPr="003A513D">
        <w:t xml:space="preserve"> se ajustan regularmente. </w:t>
      </w:r>
      <w:r w:rsidR="003B78B4" w:rsidRPr="003A513D">
        <w:t>P</w:t>
      </w:r>
      <w:r w:rsidRPr="003A513D">
        <w:t xml:space="preserve">roporcionen también información sobre los casos en que se concedió </w:t>
      </w:r>
      <w:r w:rsidR="003B78B4" w:rsidRPr="003A513D">
        <w:t>asistencia letrada</w:t>
      </w:r>
      <w:r w:rsidRPr="003A513D">
        <w:t xml:space="preserve"> pese a que no se reunían los criterios </w:t>
      </w:r>
      <w:r w:rsidR="003B78B4" w:rsidRPr="003A513D">
        <w:t>económicos</w:t>
      </w:r>
      <w:r w:rsidRPr="003A513D">
        <w:t xml:space="preserve"> para obtenerla, con arreglo a los artículos 11, párrafo 3, y 16, párrafo 3, de la Ley de Asistencia </w:t>
      </w:r>
      <w:r w:rsidR="003B78B4" w:rsidRPr="003A513D">
        <w:t>Letrada</w:t>
      </w:r>
      <w:r w:rsidRPr="003A513D">
        <w:t>.</w:t>
      </w:r>
    </w:p>
    <w:p w:rsidR="00DB42F9" w:rsidRPr="003A513D" w:rsidRDefault="00DB42F9" w:rsidP="003B78B4">
      <w:pPr>
        <w:pStyle w:val="SingleTxtG"/>
      </w:pPr>
      <w:r w:rsidRPr="003A513D">
        <w:t>7.</w:t>
      </w:r>
      <w:r w:rsidRPr="003A513D">
        <w:tab/>
        <w:t xml:space="preserve">Se ruega proporcionen información sobre la </w:t>
      </w:r>
      <w:r w:rsidR="003B78B4" w:rsidRPr="003A513D">
        <w:t>ejecución</w:t>
      </w:r>
      <w:r w:rsidRPr="003A513D">
        <w:t xml:space="preserve"> del Plan </w:t>
      </w:r>
      <w:r w:rsidR="003B78B4" w:rsidRPr="003A513D">
        <w:t xml:space="preserve">de Acción </w:t>
      </w:r>
      <w:r w:rsidRPr="003A513D">
        <w:t>Nacional para la Aplicación de los Principios Rectores sobre la</w:t>
      </w:r>
      <w:r w:rsidR="003B78B4" w:rsidRPr="003A513D">
        <w:t>s Empresas</w:t>
      </w:r>
      <w:r w:rsidRPr="003A513D">
        <w:t xml:space="preserve"> y los Derechos Humanos</w:t>
      </w:r>
      <w:r w:rsidR="003B78B4" w:rsidRPr="003A513D">
        <w:t>, aprobado</w:t>
      </w:r>
      <w:r w:rsidRPr="003A513D">
        <w:t xml:space="preserve"> en 2015, incluidas las realizaciones y los problemas planteados hasta </w:t>
      </w:r>
      <w:r w:rsidR="003B78B4" w:rsidRPr="003A513D">
        <w:t>la fecha</w:t>
      </w:r>
      <w:r w:rsidRPr="003A513D">
        <w:t xml:space="preserve">. </w:t>
      </w:r>
      <w:r w:rsidR="003B78B4" w:rsidRPr="003A513D">
        <w:t xml:space="preserve">Informen </w:t>
      </w:r>
      <w:r w:rsidRPr="003A513D">
        <w:t xml:space="preserve">también sobre </w:t>
      </w:r>
      <w:r w:rsidR="003B78B4" w:rsidRPr="003A513D">
        <w:t>la medida</w:t>
      </w:r>
      <w:r w:rsidRPr="003A513D">
        <w:t xml:space="preserve"> en que las </w:t>
      </w:r>
      <w:r w:rsidR="003B78B4" w:rsidRPr="003A513D">
        <w:t>disposiciones</w:t>
      </w:r>
      <w:r w:rsidRPr="003A513D">
        <w:t xml:space="preserve"> adoptadas por el Estado parte garantizan que las inversiones </w:t>
      </w:r>
      <w:r w:rsidR="003B78B4" w:rsidRPr="003A513D">
        <w:t>del Norges Bank Investment Management</w:t>
      </w:r>
      <w:r w:rsidRPr="003A513D">
        <w:t xml:space="preserve"> en empresas extranjeras que </w:t>
      </w:r>
      <w:r w:rsidR="003B78B4" w:rsidRPr="003A513D">
        <w:t>operan</w:t>
      </w:r>
      <w:r w:rsidRPr="003A513D">
        <w:t xml:space="preserve"> en terceros países son objeto de una evaluación </w:t>
      </w:r>
      <w:r w:rsidR="003B78B4" w:rsidRPr="003A513D">
        <w:t xml:space="preserve">global para determinar sus </w:t>
      </w:r>
      <w:r w:rsidRPr="003A513D">
        <w:t>efectos en los derechos humanos</w:t>
      </w:r>
      <w:r w:rsidR="003B78B4" w:rsidRPr="003A513D">
        <w:t>,</w:t>
      </w:r>
      <w:r w:rsidRPr="003A513D">
        <w:t xml:space="preserve"> e impiden las </w:t>
      </w:r>
      <w:r w:rsidR="003B78B4" w:rsidRPr="003A513D">
        <w:t>vulneraciones</w:t>
      </w:r>
      <w:r w:rsidRPr="003A513D">
        <w:t xml:space="preserve"> de los derechos humanos en el extranjero por empresas cuyas principales </w:t>
      </w:r>
      <w:r w:rsidR="003B78B4" w:rsidRPr="003A513D">
        <w:t>oficinas se encuentran</w:t>
      </w:r>
      <w:r w:rsidRPr="003A513D">
        <w:t xml:space="preserve"> bajo la jurisdicción del Estado parte, sin </w:t>
      </w:r>
      <w:r w:rsidR="003B78B4" w:rsidRPr="003A513D">
        <w:t>que por ello se viole</w:t>
      </w:r>
      <w:r w:rsidRPr="003A513D">
        <w:t xml:space="preserve"> la soberanía </w:t>
      </w:r>
      <w:r w:rsidR="003B78B4" w:rsidRPr="003A513D">
        <w:t>ni se reduzcan</w:t>
      </w:r>
      <w:r w:rsidRPr="003A513D">
        <w:t xml:space="preserve"> las obligaciones de los Estados </w:t>
      </w:r>
      <w:r w:rsidR="003B78B4" w:rsidRPr="003A513D">
        <w:t>anfitriones con arreglo al</w:t>
      </w:r>
      <w:r w:rsidRPr="003A513D">
        <w:t xml:space="preserve"> Pacto (párr. 6).</w:t>
      </w:r>
    </w:p>
    <w:p w:rsidR="00DB42F9" w:rsidRPr="003A513D" w:rsidRDefault="00DB42F9" w:rsidP="00E11D3B">
      <w:pPr>
        <w:pStyle w:val="SingleTxtG"/>
      </w:pPr>
      <w:r w:rsidRPr="003A513D">
        <w:t>8.</w:t>
      </w:r>
      <w:r w:rsidRPr="003A513D">
        <w:tab/>
        <w:t>Sírvanse facilitar información sobre los progresos hacia la consecución de su objetivo de reduc</w:t>
      </w:r>
      <w:r w:rsidR="00E44970" w:rsidRPr="003A513D">
        <w:t>ir las emisiones</w:t>
      </w:r>
      <w:r w:rsidRPr="003A513D">
        <w:t xml:space="preserve"> nacionales en un 40</w:t>
      </w:r>
      <w:r w:rsidR="00F72429" w:rsidRPr="003A513D">
        <w:t> </w:t>
      </w:r>
      <w:r w:rsidRPr="003A513D">
        <w:t xml:space="preserve">% por lo menos, </w:t>
      </w:r>
      <w:r w:rsidR="00E44970" w:rsidRPr="003A513D">
        <w:t>partiendo del</w:t>
      </w:r>
      <w:r w:rsidRPr="003A513D">
        <w:t xml:space="preserve"> nivel de 1990 hasta 2030, </w:t>
      </w:r>
      <w:r w:rsidR="00E44970" w:rsidRPr="003A513D">
        <w:t>como se establece en</w:t>
      </w:r>
      <w:r w:rsidRPr="003A513D">
        <w:t xml:space="preserve"> el Acuerdo de París; </w:t>
      </w:r>
      <w:r w:rsidR="00E44970" w:rsidRPr="003A513D">
        <w:t>digan qué</w:t>
      </w:r>
      <w:r w:rsidRPr="003A513D">
        <w:t xml:space="preserve"> actividades </w:t>
      </w:r>
      <w:r w:rsidR="00E44970" w:rsidRPr="003A513D">
        <w:t>ha realizado</w:t>
      </w:r>
      <w:r w:rsidRPr="003A513D">
        <w:t xml:space="preserve"> el Estado parte para conciliar su cifra</w:t>
      </w:r>
      <w:r w:rsidR="00E44970" w:rsidRPr="003A513D">
        <w:t>, continua y en aumento,</w:t>
      </w:r>
      <w:r w:rsidRPr="003A513D">
        <w:t xml:space="preserve"> de extracción de petróleo y gas, inclu</w:t>
      </w:r>
      <w:r w:rsidR="00E44970" w:rsidRPr="003A513D">
        <w:t>s</w:t>
      </w:r>
      <w:r w:rsidRPr="003A513D">
        <w:t xml:space="preserve">o en el Ártico, y </w:t>
      </w:r>
      <w:r w:rsidR="00E44970" w:rsidRPr="003A513D">
        <w:t>de</w:t>
      </w:r>
      <w:r w:rsidRPr="003A513D">
        <w:t xml:space="preserve"> exportación de combustibles fósiles, </w:t>
      </w:r>
      <w:r w:rsidR="00E44970" w:rsidRPr="003A513D">
        <w:t>con</w:t>
      </w:r>
      <w:r w:rsidRPr="003A513D">
        <w:t xml:space="preserve"> sus obligaciones en virtud del Pacto</w:t>
      </w:r>
      <w:r w:rsidR="00E44970" w:rsidRPr="003A513D">
        <w:t>,</w:t>
      </w:r>
      <w:r w:rsidRPr="003A513D">
        <w:t xml:space="preserve"> tanto en el Estado parte como extraterritorialmente. Faciliten también información sobre las contribuciones prometid</w:t>
      </w:r>
      <w:r w:rsidR="00E44970" w:rsidRPr="003A513D">
        <w:t>as</w:t>
      </w:r>
      <w:r w:rsidRPr="003A513D">
        <w:t xml:space="preserve"> y aportad</w:t>
      </w:r>
      <w:r w:rsidR="00E44970" w:rsidRPr="003A513D">
        <w:t>as por</w:t>
      </w:r>
      <w:r w:rsidRPr="003A513D">
        <w:t xml:space="preserve"> el Estado parte al Fondo Verde para el Clima.</w:t>
      </w:r>
    </w:p>
    <w:p w:rsidR="00DB42F9" w:rsidRPr="003A513D" w:rsidRDefault="00DB42F9" w:rsidP="00E66998">
      <w:pPr>
        <w:pStyle w:val="SingleTxtG"/>
      </w:pPr>
      <w:r w:rsidRPr="003A513D">
        <w:lastRenderedPageBreak/>
        <w:t>9.</w:t>
      </w:r>
      <w:r w:rsidRPr="003A513D">
        <w:tab/>
      </w:r>
      <w:r w:rsidR="00E44970" w:rsidRPr="003A513D">
        <w:t>P</w:t>
      </w:r>
      <w:r w:rsidRPr="003A513D">
        <w:t xml:space="preserve">roporcionen información sobre las medidas adoptadas para garantizar que la legislación, incluida la Ley </w:t>
      </w:r>
      <w:r w:rsidR="00E44970" w:rsidRPr="003A513D">
        <w:t>de Finnarmk</w:t>
      </w:r>
      <w:r w:rsidRPr="003A513D">
        <w:t xml:space="preserve">, la Ley de Minerales y la Ley de </w:t>
      </w:r>
      <w:r w:rsidR="00E66998" w:rsidRPr="003A513D">
        <w:t xml:space="preserve">la </w:t>
      </w:r>
      <w:r w:rsidRPr="003A513D">
        <w:t>Cría de Reno</w:t>
      </w:r>
      <w:r w:rsidR="00E66998" w:rsidRPr="003A513D">
        <w:t>s</w:t>
      </w:r>
      <w:r w:rsidRPr="003A513D">
        <w:t xml:space="preserve">, </w:t>
      </w:r>
      <w:r w:rsidR="00E66998" w:rsidRPr="003A513D">
        <w:t>prevea</w:t>
      </w:r>
      <w:r w:rsidRPr="003A513D">
        <w:t xml:space="preserve"> el requisito del consentimiento libre, previo e informado del pueblo sami afectado </w:t>
      </w:r>
      <w:r w:rsidR="00E66998" w:rsidRPr="003A513D">
        <w:t>a</w:t>
      </w:r>
      <w:r w:rsidRPr="003A513D">
        <w:t xml:space="preserve"> todas las concesiones y proyectos, incluidos los de desarrollo, y sobre la aplicación de esas leyes. Indiquen si el Estado parte ha evaluado la eficacia de los procedimientos para la celebración de consultas entre las autoridades del Estado y el Parlamento Sami y, en su caso, comuniquen el resultado de la evaluación, </w:t>
      </w:r>
      <w:r w:rsidR="00E66998" w:rsidRPr="003A513D">
        <w:t>con indicación de</w:t>
      </w:r>
      <w:r w:rsidRPr="003A513D">
        <w:t xml:space="preserve"> los problemas y deficiencias </w:t>
      </w:r>
      <w:r w:rsidR="00E66998" w:rsidRPr="003A513D">
        <w:t>detectados</w:t>
      </w:r>
      <w:r w:rsidRPr="003A513D">
        <w:t xml:space="preserve"> y las medidas adoptadas para </w:t>
      </w:r>
      <w:r w:rsidR="00E66998" w:rsidRPr="003A513D">
        <w:t>hacerles frente</w:t>
      </w:r>
      <w:r w:rsidRPr="003A513D">
        <w:t xml:space="preserve">. Sírvanse </w:t>
      </w:r>
      <w:r w:rsidR="00E66998" w:rsidRPr="003A513D">
        <w:t>facilitar</w:t>
      </w:r>
      <w:r w:rsidRPr="003A513D">
        <w:t xml:space="preserve"> también información sobre las medidas adoptadas para establecer marcos legales o mecanismos especializados con objeto de determinar los derechos de los sami a la tierra y los recursos fuera del condado de Finnmark, y </w:t>
      </w:r>
      <w:r w:rsidR="00E66998" w:rsidRPr="003A513D">
        <w:t xml:space="preserve">para </w:t>
      </w:r>
      <w:r w:rsidRPr="003A513D">
        <w:t xml:space="preserve">tener en cuenta en la legislación, incluida la Ley de Recursos Marinos, la Ley de Participación y la Ley de Finnmark, los derechos </w:t>
      </w:r>
      <w:r w:rsidR="00E66998" w:rsidRPr="003A513D">
        <w:t>de la población</w:t>
      </w:r>
      <w:r w:rsidRPr="003A513D">
        <w:t xml:space="preserve"> sami a la pesca y a otros recursos marinos renovables.</w:t>
      </w:r>
    </w:p>
    <w:p w:rsidR="00DB42F9" w:rsidRPr="003A513D" w:rsidRDefault="00DB42F9" w:rsidP="00E66998">
      <w:pPr>
        <w:pStyle w:val="SingleTxtG"/>
      </w:pPr>
      <w:r w:rsidRPr="003A513D">
        <w:t>10.</w:t>
      </w:r>
      <w:r w:rsidRPr="003A513D">
        <w:tab/>
      </w:r>
      <w:r w:rsidR="00E66998" w:rsidRPr="003A513D">
        <w:t>Suministren</w:t>
      </w:r>
      <w:r w:rsidRPr="003A513D">
        <w:t xml:space="preserve"> información sobre la evolución, en los </w:t>
      </w:r>
      <w:r w:rsidR="00E66998" w:rsidRPr="003A513D">
        <w:t xml:space="preserve">diez </w:t>
      </w:r>
      <w:r w:rsidRPr="003A513D">
        <w:t>últimos años, de:</w:t>
      </w:r>
    </w:p>
    <w:p w:rsidR="00DB42F9" w:rsidRPr="003A513D" w:rsidRDefault="00DB42F9" w:rsidP="00E66998">
      <w:pPr>
        <w:pStyle w:val="SingleTxtG"/>
      </w:pPr>
      <w:r w:rsidRPr="003A513D">
        <w:tab/>
        <w:t>a)</w:t>
      </w:r>
      <w:r w:rsidRPr="003A513D">
        <w:tab/>
        <w:t>La proporción de la población que vive por debajo del umbral de la pobreza, como se define a nivel nacional</w:t>
      </w:r>
      <w:r w:rsidR="00E66998" w:rsidRPr="003A513D">
        <w:t>,</w:t>
      </w:r>
      <w:r w:rsidRPr="003A513D">
        <w:t xml:space="preserve"> y los niveles de desigualdad, definidos como la relación entre el ingreso total del decil más rico de la población y el ingreso total del 40</w:t>
      </w:r>
      <w:r w:rsidR="00F72429" w:rsidRPr="003A513D">
        <w:t> </w:t>
      </w:r>
      <w:r w:rsidRPr="003A513D">
        <w:t>% más pobre;</w:t>
      </w:r>
    </w:p>
    <w:p w:rsidR="00DB42F9" w:rsidRPr="003A513D" w:rsidRDefault="00DB42F9" w:rsidP="00DB42F9">
      <w:pPr>
        <w:pStyle w:val="SingleTxtG"/>
      </w:pPr>
      <w:r w:rsidRPr="003A513D">
        <w:tab/>
        <w:t>b)</w:t>
      </w:r>
      <w:r w:rsidRPr="003A513D">
        <w:tab/>
        <w:t>La proporción del ingreso público financiado con impuestos;</w:t>
      </w:r>
    </w:p>
    <w:p w:rsidR="00DB42F9" w:rsidRPr="003A513D" w:rsidRDefault="00DB42F9" w:rsidP="00E66998">
      <w:pPr>
        <w:pStyle w:val="SingleTxtG"/>
      </w:pPr>
      <w:r w:rsidRPr="003A513D">
        <w:tab/>
        <w:t>c)</w:t>
      </w:r>
      <w:r w:rsidRPr="003A513D">
        <w:tab/>
        <w:t>Los tipos fiscales aplicados a los beneficios de las empresas y a los ingresos personales, y el impuesto de valor añadido (</w:t>
      </w:r>
      <w:r w:rsidR="00E66998" w:rsidRPr="003A513D">
        <w:t>sin contar</w:t>
      </w:r>
      <w:r w:rsidRPr="003A513D">
        <w:t xml:space="preserve"> el impuesto de valor añadido sobre los artículos de lujo, el tabaco, el alcohol, las bebidas </w:t>
      </w:r>
      <w:r w:rsidR="00E66998" w:rsidRPr="003A513D">
        <w:t xml:space="preserve">y los refrigerios </w:t>
      </w:r>
      <w:r w:rsidRPr="003A513D">
        <w:t>azucarad</w:t>
      </w:r>
      <w:r w:rsidR="00E66998" w:rsidRPr="003A513D">
        <w:t>o</w:t>
      </w:r>
      <w:r w:rsidRPr="003A513D">
        <w:t xml:space="preserve">s, así como el petróleo y el </w:t>
      </w:r>
      <w:r w:rsidR="00310BB0" w:rsidRPr="003A513D">
        <w:t>diésel</w:t>
      </w:r>
      <w:r w:rsidRPr="003A513D">
        <w:t>), y el porcentaje del ingreso total derivado del impuesto sobre la renta personal del decil más rico de la población;</w:t>
      </w:r>
    </w:p>
    <w:p w:rsidR="00DB42F9" w:rsidRPr="003A513D" w:rsidRDefault="00DB42F9" w:rsidP="00E66998">
      <w:pPr>
        <w:pStyle w:val="SingleTxtG"/>
      </w:pPr>
      <w:r w:rsidRPr="003A513D">
        <w:tab/>
        <w:t>d)</w:t>
      </w:r>
      <w:r w:rsidRPr="003A513D">
        <w:tab/>
        <w:t xml:space="preserve">Los gastos públicos </w:t>
      </w:r>
      <w:r w:rsidR="00E66998" w:rsidRPr="003A513D">
        <w:t>en</w:t>
      </w:r>
      <w:r w:rsidRPr="003A513D">
        <w:t xml:space="preserve"> porcentaje del producto interno bruto y, dentro del total de gastos públicos, la proporción del presupuesto público dedicada a las prioridades sociales (empleo, educación, alimentación, salud</w:t>
      </w:r>
      <w:r w:rsidR="00E11D3B">
        <w:t>, agua</w:t>
      </w:r>
      <w:r w:rsidRPr="003A513D">
        <w:t xml:space="preserve"> y saneamiento, seguridad social, vivienda y cultura);</w:t>
      </w:r>
    </w:p>
    <w:p w:rsidR="00DB42F9" w:rsidRPr="003A513D" w:rsidRDefault="00DB42F9" w:rsidP="00DB42F9">
      <w:pPr>
        <w:pStyle w:val="SingleTxtG"/>
      </w:pPr>
      <w:r w:rsidRPr="003A513D">
        <w:tab/>
        <w:t>e)</w:t>
      </w:r>
      <w:r w:rsidRPr="003A513D">
        <w:tab/>
        <w:t>Los niveles absolutos del gasto social, ajustados a la inflación.</w:t>
      </w:r>
    </w:p>
    <w:p w:rsidR="00DB42F9" w:rsidRPr="003A513D" w:rsidRDefault="00DB42F9" w:rsidP="00E11D3B">
      <w:pPr>
        <w:pStyle w:val="SingleTxtG"/>
      </w:pPr>
      <w:r w:rsidRPr="003A513D">
        <w:t>11.</w:t>
      </w:r>
      <w:r w:rsidRPr="003A513D">
        <w:tab/>
        <w:t xml:space="preserve">Se ruega proporcionen información sobre </w:t>
      </w:r>
      <w:r w:rsidR="00E66998" w:rsidRPr="003A513D">
        <w:t>la medida</w:t>
      </w:r>
      <w:r w:rsidRPr="003A513D">
        <w:t xml:space="preserve"> en que las </w:t>
      </w:r>
      <w:r w:rsidR="00E66998" w:rsidRPr="003A513D">
        <w:t>disposiciones</w:t>
      </w:r>
      <w:r w:rsidRPr="003A513D">
        <w:t xml:space="preserve"> adoptadas por el Estado parte </w:t>
      </w:r>
      <w:r w:rsidR="00E66998" w:rsidRPr="003A513D">
        <w:t>hacen más eficiente</w:t>
      </w:r>
      <w:r w:rsidRPr="003A513D">
        <w:t xml:space="preserve"> su asistencia oficial </w:t>
      </w:r>
      <w:r w:rsidR="00E11D3B">
        <w:t>para e</w:t>
      </w:r>
      <w:r w:rsidRPr="003A513D">
        <w:t xml:space="preserve">l desarrollo, incluso </w:t>
      </w:r>
      <w:r w:rsidR="00E66998" w:rsidRPr="003A513D">
        <w:t xml:space="preserve">en </w:t>
      </w:r>
      <w:r w:rsidRPr="003A513D">
        <w:t>lo relativo a la previsibilidad de los flujos de financiación para los países asociados, la coordinación y el apoyo con otros donantes y la armonización de los procesos de evaluación. Sírva</w:t>
      </w:r>
      <w:r w:rsidR="00E66998" w:rsidRPr="003A513D">
        <w:t>n</w:t>
      </w:r>
      <w:r w:rsidRPr="003A513D">
        <w:t>se facilitar información sobre la proporción de los costos de los donantes relacionados con los refugiados en el presupuesto oficial anual de a</w:t>
      </w:r>
      <w:r w:rsidR="00E66998" w:rsidRPr="003A513D">
        <w:t>sistencia</w:t>
      </w:r>
      <w:r w:rsidRPr="003A513D">
        <w:t xml:space="preserve"> al desarrollo durante el período examinado.</w:t>
      </w:r>
    </w:p>
    <w:p w:rsidR="00DB42F9" w:rsidRPr="003A513D" w:rsidRDefault="00DB42F9" w:rsidP="00E66998">
      <w:pPr>
        <w:pStyle w:val="SingleTxtG"/>
      </w:pPr>
      <w:r w:rsidRPr="003A513D">
        <w:t>12.</w:t>
      </w:r>
      <w:r w:rsidRPr="003A513D">
        <w:tab/>
        <w:t>Se ruega faciliten información sobre las medidas adoptadas o previstas para garantizar que la Ley de la Igualdad y la Lucha contra la Discriminación prohíb</w:t>
      </w:r>
      <w:r w:rsidR="00E66998" w:rsidRPr="003A513D">
        <w:t>a</w:t>
      </w:r>
      <w:r w:rsidRPr="003A513D">
        <w:t xml:space="preserve"> la discriminación por todos los motivos, con inclusión de la raza, las opiniones políticas y de otro tipo, la propiedad, el nacimiento o cualquier otra condición</w:t>
      </w:r>
      <w:r w:rsidR="00E66998" w:rsidRPr="003A513D">
        <w:t>,</w:t>
      </w:r>
      <w:r w:rsidRPr="003A513D">
        <w:t xml:space="preserve"> como se establece en el artículo 2, párrafo 2, del Pacto.</w:t>
      </w:r>
    </w:p>
    <w:p w:rsidR="00DB42F9" w:rsidRPr="003A513D" w:rsidRDefault="00DB42F9" w:rsidP="00E66998">
      <w:pPr>
        <w:pStyle w:val="SingleTxtG"/>
      </w:pPr>
      <w:r w:rsidRPr="003A513D">
        <w:t>13.</w:t>
      </w:r>
      <w:r w:rsidRPr="003A513D">
        <w:tab/>
        <w:t xml:space="preserve">Se ruega proporcionen información sobre el Ombudsman de la Igualdad y </w:t>
      </w:r>
      <w:r w:rsidR="00E66998" w:rsidRPr="003A513D">
        <w:t xml:space="preserve">la </w:t>
      </w:r>
      <w:r w:rsidRPr="003A513D">
        <w:t>Lucha contra la Discriminación</w:t>
      </w:r>
      <w:r w:rsidR="00E66998" w:rsidRPr="003A513D">
        <w:t xml:space="preserve"> y el Tribunal de la Igualdad y la Lucha contra la Discriminación</w:t>
      </w:r>
      <w:r w:rsidRPr="003A513D">
        <w:t>, en particular:</w:t>
      </w:r>
    </w:p>
    <w:p w:rsidR="00DB42F9" w:rsidRPr="003A513D" w:rsidRDefault="00DB42F9" w:rsidP="00E11D3B">
      <w:pPr>
        <w:pStyle w:val="SingleTxtG"/>
      </w:pPr>
      <w:r w:rsidRPr="003A513D">
        <w:tab/>
        <w:t>a)</w:t>
      </w:r>
      <w:r w:rsidRPr="003A513D">
        <w:tab/>
        <w:t xml:space="preserve">Las medidas adoptadas o previstas para </w:t>
      </w:r>
      <w:r w:rsidR="00E66998" w:rsidRPr="003A513D">
        <w:t>atribuir más</w:t>
      </w:r>
      <w:r w:rsidRPr="003A513D">
        <w:t xml:space="preserve"> competencia</w:t>
      </w:r>
      <w:r w:rsidR="00E66998" w:rsidRPr="003A513D">
        <w:t>s</w:t>
      </w:r>
      <w:r w:rsidRPr="003A513D">
        <w:t xml:space="preserve"> </w:t>
      </w:r>
      <w:r w:rsidR="00E66998" w:rsidRPr="003A513D">
        <w:t>a</w:t>
      </w:r>
      <w:r w:rsidRPr="003A513D">
        <w:t xml:space="preserve">l Ombudsman y </w:t>
      </w:r>
      <w:r w:rsidR="00E66998" w:rsidRPr="003A513D">
        <w:t>a</w:t>
      </w:r>
      <w:r w:rsidRPr="003A513D">
        <w:t xml:space="preserve">l </w:t>
      </w:r>
      <w:r w:rsidR="00E11D3B">
        <w:t>t</w:t>
      </w:r>
      <w:r w:rsidRPr="003A513D">
        <w:t xml:space="preserve">ribunal, incluso en lo relativo a la búsqueda de acuerdos amistosos y </w:t>
      </w:r>
      <w:r w:rsidR="00E66998" w:rsidRPr="003A513D">
        <w:t xml:space="preserve">a </w:t>
      </w:r>
      <w:r w:rsidRPr="003A513D">
        <w:t xml:space="preserve">la </w:t>
      </w:r>
      <w:r w:rsidR="00E66998" w:rsidRPr="003A513D">
        <w:t xml:space="preserve">concesión de asistencia letrada en </w:t>
      </w:r>
      <w:r w:rsidRPr="003A513D">
        <w:t>los casos que remiten a los tribunales, los casos que estas instituciones remitieron a los tribunales y recibieron a</w:t>
      </w:r>
      <w:r w:rsidR="00E66998" w:rsidRPr="003A513D">
        <w:t>sistencia letrada</w:t>
      </w:r>
      <w:r w:rsidRPr="003A513D">
        <w:t xml:space="preserve"> en virtud de la Ley del Procedimiento Civil, </w:t>
      </w:r>
      <w:r w:rsidR="00E66998" w:rsidRPr="003A513D">
        <w:t>de haberlos</w:t>
      </w:r>
      <w:r w:rsidRPr="003A513D">
        <w:t xml:space="preserve">, y los datos estadísticos pertinentes durante el período </w:t>
      </w:r>
      <w:r w:rsidR="00E66998" w:rsidRPr="003A513D">
        <w:t>a que se refiere</w:t>
      </w:r>
      <w:r w:rsidRPr="003A513D">
        <w:t xml:space="preserve"> el informe;</w:t>
      </w:r>
    </w:p>
    <w:p w:rsidR="00DB42F9" w:rsidRPr="003A513D" w:rsidRDefault="00DB42F9" w:rsidP="00E66998">
      <w:pPr>
        <w:pStyle w:val="SingleTxtG"/>
      </w:pPr>
      <w:r w:rsidRPr="003A513D">
        <w:tab/>
        <w:t>b)</w:t>
      </w:r>
      <w:r w:rsidRPr="003A513D">
        <w:tab/>
        <w:t xml:space="preserve">Las medidas adoptadas para garantizar que el procedimiento ante el Ombudsman </w:t>
      </w:r>
      <w:r w:rsidR="00E66998" w:rsidRPr="003A513D">
        <w:t>sea</w:t>
      </w:r>
      <w:r w:rsidRPr="003A513D">
        <w:t xml:space="preserve"> de fácil acceso, particularmente para </w:t>
      </w:r>
      <w:r w:rsidR="00E66998" w:rsidRPr="003A513D">
        <w:t>las personas de</w:t>
      </w:r>
      <w:r w:rsidRPr="003A513D">
        <w:t xml:space="preserve"> lengua materna </w:t>
      </w:r>
      <w:r w:rsidR="00E66998" w:rsidRPr="003A513D">
        <w:t>distinta del</w:t>
      </w:r>
      <w:r w:rsidRPr="003A513D">
        <w:t xml:space="preserve"> noruego;</w:t>
      </w:r>
    </w:p>
    <w:p w:rsidR="00DB42F9" w:rsidRPr="003A513D" w:rsidRDefault="00DB42F9" w:rsidP="00E66998">
      <w:pPr>
        <w:pStyle w:val="SingleTxtG"/>
      </w:pPr>
      <w:r w:rsidRPr="003A513D">
        <w:lastRenderedPageBreak/>
        <w:tab/>
        <w:t>c)</w:t>
      </w:r>
      <w:r w:rsidRPr="003A513D">
        <w:tab/>
        <w:t xml:space="preserve">Los casos de discriminación </w:t>
      </w:r>
      <w:r w:rsidR="00E66998" w:rsidRPr="003A513D">
        <w:t>sometidos al</w:t>
      </w:r>
      <w:r w:rsidRPr="003A513D">
        <w:t xml:space="preserve"> Ombudsman durante el período </w:t>
      </w:r>
      <w:r w:rsidR="00E66998" w:rsidRPr="003A513D">
        <w:t>de referencia</w:t>
      </w:r>
      <w:r w:rsidRPr="003A513D">
        <w:t xml:space="preserve">, incluido el número de casos comunicados anualmente y sus resultados, los principales motivos y los </w:t>
      </w:r>
      <w:r w:rsidR="00E66998" w:rsidRPr="003A513D">
        <w:t>ámbitos</w:t>
      </w:r>
      <w:r w:rsidRPr="003A513D">
        <w:t xml:space="preserve"> de discriminación determinados;</w:t>
      </w:r>
    </w:p>
    <w:p w:rsidR="00DB42F9" w:rsidRPr="003A513D" w:rsidRDefault="00DB42F9" w:rsidP="00DB42F9">
      <w:pPr>
        <w:pStyle w:val="SingleTxtG"/>
      </w:pPr>
      <w:r w:rsidRPr="003A513D">
        <w:tab/>
        <w:t>d)</w:t>
      </w:r>
      <w:r w:rsidRPr="003A513D">
        <w:tab/>
        <w:t>El presupuesto anual de esas instituciones durante el período comprendido por el informe.</w:t>
      </w:r>
    </w:p>
    <w:p w:rsidR="00DB42F9" w:rsidRPr="003A513D" w:rsidRDefault="00DB42F9" w:rsidP="00E66998">
      <w:pPr>
        <w:pStyle w:val="SingleTxtG"/>
      </w:pPr>
      <w:r w:rsidRPr="003A513D">
        <w:t>14.</w:t>
      </w:r>
      <w:r w:rsidRPr="003A513D">
        <w:tab/>
        <w:t xml:space="preserve">Sírvanse proporcionar información sobre los progresos en el seguimiento del informe que evalúa las políticas noruegas hacia las poblaciones tater/romaníes desde 1850 hasta </w:t>
      </w:r>
      <w:r w:rsidR="00E66998" w:rsidRPr="003A513D">
        <w:t>el presente</w:t>
      </w:r>
      <w:r w:rsidRPr="003A513D">
        <w:rPr>
          <w:rStyle w:val="Refdenotaalpie"/>
        </w:rPr>
        <w:footnoteReference w:id="3"/>
      </w:r>
      <w:r w:rsidRPr="003A513D">
        <w:t xml:space="preserve">. Sírvanse aclarar los informes </w:t>
      </w:r>
      <w:r w:rsidR="00E66998" w:rsidRPr="003A513D">
        <w:t>sobre un aumento del</w:t>
      </w:r>
      <w:r w:rsidRPr="003A513D">
        <w:t xml:space="preserve"> número de familias romaníes </w:t>
      </w:r>
      <w:r w:rsidR="00E66998" w:rsidRPr="003A513D">
        <w:t xml:space="preserve">que </w:t>
      </w:r>
      <w:r w:rsidRPr="003A513D">
        <w:t>han perdido la custodia de sus hijos; en algunos de es</w:t>
      </w:r>
      <w:r w:rsidR="00E66998" w:rsidRPr="003A513D">
        <w:t>t</w:t>
      </w:r>
      <w:r w:rsidRPr="003A513D">
        <w:t xml:space="preserve">os casos los padres obtienen derechos limitados de visita, </w:t>
      </w:r>
      <w:r w:rsidR="00E66998" w:rsidRPr="003A513D">
        <w:t>en otros</w:t>
      </w:r>
      <w:r w:rsidRPr="003A513D">
        <w:t xml:space="preserve"> ningún derecho, y los niños y sus padres no están autorizados a hablar el romanés durante las visitas, cuando se conceden. </w:t>
      </w:r>
      <w:r w:rsidR="00E66998" w:rsidRPr="003A513D">
        <w:t>F</w:t>
      </w:r>
      <w:r w:rsidRPr="003A513D">
        <w:t>acilit</w:t>
      </w:r>
      <w:r w:rsidR="00E66998" w:rsidRPr="003A513D">
        <w:t>en</w:t>
      </w:r>
      <w:r w:rsidRPr="003A513D">
        <w:t xml:space="preserve"> información sobre el establecimiento de una </w:t>
      </w:r>
      <w:r w:rsidR="00E11D3B" w:rsidRPr="003A513D">
        <w:t xml:space="preserve">comisión de la verdad y la reconciliación </w:t>
      </w:r>
      <w:r w:rsidRPr="003A513D">
        <w:t>encargada de examinar la anterior política de asimilación de los sami y los kvens</w:t>
      </w:r>
      <w:r w:rsidR="00E66998" w:rsidRPr="003A513D">
        <w:t xml:space="preserve"> en Noruega</w:t>
      </w:r>
      <w:r w:rsidRPr="003A513D">
        <w:t>, y sobre las actividades de la comisión.</w:t>
      </w:r>
    </w:p>
    <w:p w:rsidR="00DB42F9" w:rsidRPr="003A513D" w:rsidRDefault="00DB42F9" w:rsidP="00DB42F9">
      <w:pPr>
        <w:pStyle w:val="SingleTxtG"/>
      </w:pPr>
      <w:r w:rsidRPr="003A513D">
        <w:t>15.</w:t>
      </w:r>
      <w:r w:rsidRPr="003A513D">
        <w:tab/>
        <w:t>Sírvanse proporcionar información sobre la situación de los solicitantes de asilo, en particular:</w:t>
      </w:r>
    </w:p>
    <w:p w:rsidR="00DB42F9" w:rsidRPr="003A513D" w:rsidRDefault="00DB42F9" w:rsidP="00E66998">
      <w:pPr>
        <w:pStyle w:val="SingleTxtG"/>
      </w:pPr>
      <w:r w:rsidRPr="003A513D">
        <w:tab/>
        <w:t>a)</w:t>
      </w:r>
      <w:r w:rsidRPr="003A513D">
        <w:tab/>
        <w:t xml:space="preserve">Datos estadísticos del período comprendido por el informe, desglosados por sexo y país de origen, sobre el número anual de solicitantes de la condición de refugiado </w:t>
      </w:r>
      <w:r w:rsidR="00E66998" w:rsidRPr="003A513D">
        <w:t>o</w:t>
      </w:r>
      <w:r w:rsidRPr="003A513D">
        <w:t xml:space="preserve"> asilado, el número de personas a las que se concedió esta condición y el número de recursos contra las decisiones adoptadas;</w:t>
      </w:r>
    </w:p>
    <w:p w:rsidR="00DB42F9" w:rsidRPr="003A513D" w:rsidRDefault="00DB42F9" w:rsidP="00E66998">
      <w:pPr>
        <w:pStyle w:val="SingleTxtG"/>
      </w:pPr>
      <w:r w:rsidRPr="003A513D">
        <w:tab/>
        <w:t>b)</w:t>
      </w:r>
      <w:r w:rsidRPr="003A513D">
        <w:tab/>
        <w:t>Las medidas adoptadas o previstas para garantizar que la Ley de Servicios de Bienestar de</w:t>
      </w:r>
      <w:r w:rsidR="00E66998" w:rsidRPr="003A513D">
        <w:t xml:space="preserve"> </w:t>
      </w:r>
      <w:r w:rsidRPr="003A513D">
        <w:t>l</w:t>
      </w:r>
      <w:r w:rsidR="00E66998" w:rsidRPr="003A513D">
        <w:t>a Infancia</w:t>
      </w:r>
      <w:r w:rsidRPr="003A513D">
        <w:t xml:space="preserve"> prevé la protección y el cuidado de todos los niños no acompañados solicitantes de asilo, menores de 18 </w:t>
      </w:r>
      <w:r w:rsidR="00E11D3B">
        <w:t xml:space="preserve">años </w:t>
      </w:r>
      <w:r w:rsidRPr="003A513D">
        <w:t>de edad (párr. 12);</w:t>
      </w:r>
    </w:p>
    <w:p w:rsidR="00DB42F9" w:rsidRPr="003A513D" w:rsidRDefault="00DB42F9" w:rsidP="00B47DBC">
      <w:pPr>
        <w:pStyle w:val="SingleTxtG"/>
      </w:pPr>
      <w:r w:rsidRPr="003A513D">
        <w:tab/>
        <w:t>c)</w:t>
      </w:r>
      <w:r w:rsidRPr="003A513D">
        <w:tab/>
      </w:r>
      <w:r w:rsidR="00E66998" w:rsidRPr="003A513D">
        <w:t>Los c</w:t>
      </w:r>
      <w:r w:rsidRPr="003A513D">
        <w:t xml:space="preserve">asos de niños no acompañados </w:t>
      </w:r>
      <w:r w:rsidR="00E66998" w:rsidRPr="003A513D">
        <w:t>solicitantes de</w:t>
      </w:r>
      <w:r w:rsidRPr="003A513D">
        <w:t xml:space="preserve"> asilo que no se encuentran en los centros de </w:t>
      </w:r>
      <w:r w:rsidR="00B47DBC" w:rsidRPr="003A513D">
        <w:t>acogida</w:t>
      </w:r>
      <w:r w:rsidRPr="003A513D">
        <w:t xml:space="preserve">, incluido el número de esos casos comunicados e investigados y el resultado de las investigaciones, principales causas de que los niños no se encuentren en </w:t>
      </w:r>
      <w:r w:rsidR="00B47DBC" w:rsidRPr="003A513D">
        <w:t>est</w:t>
      </w:r>
      <w:r w:rsidRPr="003A513D">
        <w:t>os centros y medidas adoptadas para resolver la situación;</w:t>
      </w:r>
    </w:p>
    <w:p w:rsidR="00F72429" w:rsidRPr="003A513D" w:rsidRDefault="00F72429" w:rsidP="00B47DBC">
      <w:pPr>
        <w:pStyle w:val="SingleTxtG"/>
      </w:pPr>
      <w:r w:rsidRPr="003A513D">
        <w:tab/>
        <w:t>d)</w:t>
      </w:r>
      <w:r w:rsidRPr="003A513D">
        <w:tab/>
        <w:t xml:space="preserve">Las medidas adoptadas para garantizar que todas las solicitudes de asilo se examinen </w:t>
      </w:r>
      <w:r w:rsidR="00B47DBC" w:rsidRPr="003A513D">
        <w:t>según sus circunstancias, y para</w:t>
      </w:r>
      <w:r w:rsidRPr="003A513D">
        <w:t xml:space="preserve"> establecer procedimientos de </w:t>
      </w:r>
      <w:r w:rsidR="00B47DBC" w:rsidRPr="003A513D">
        <w:t>recurso</w:t>
      </w:r>
      <w:r w:rsidRPr="003A513D">
        <w:t xml:space="preserve"> en el país </w:t>
      </w:r>
      <w:r w:rsidR="00B47DBC" w:rsidRPr="003A513D">
        <w:t>respecto de</w:t>
      </w:r>
      <w:r w:rsidRPr="003A513D">
        <w:t xml:space="preserve"> las solicitudes rechazadas;</w:t>
      </w:r>
    </w:p>
    <w:p w:rsidR="00F72429" w:rsidRPr="003A513D" w:rsidRDefault="00F72429" w:rsidP="00B47DBC">
      <w:pPr>
        <w:pStyle w:val="SingleTxtG"/>
      </w:pPr>
      <w:r w:rsidRPr="003A513D">
        <w:tab/>
        <w:t>e)</w:t>
      </w:r>
      <w:r w:rsidRPr="003A513D">
        <w:tab/>
      </w:r>
      <w:r w:rsidR="00B47DBC" w:rsidRPr="003A513D">
        <w:t>La medida</w:t>
      </w:r>
      <w:r w:rsidRPr="003A513D">
        <w:t xml:space="preserve"> en que las </w:t>
      </w:r>
      <w:r w:rsidR="00B47DBC" w:rsidRPr="003A513D">
        <w:t>disposiciones</w:t>
      </w:r>
      <w:r w:rsidRPr="003A513D">
        <w:t xml:space="preserve"> adoptadas por el Estado parte garantizan que el principio de no devolución se apli</w:t>
      </w:r>
      <w:r w:rsidR="00B47DBC" w:rsidRPr="003A513D">
        <w:t>que</w:t>
      </w:r>
      <w:r w:rsidRPr="003A513D">
        <w:t xml:space="preserve"> estrictamente cuando los solicitantes de asilo </w:t>
      </w:r>
      <w:r w:rsidR="00B47DBC" w:rsidRPr="003A513D">
        <w:t>cuya solicitud no haya</w:t>
      </w:r>
      <w:r w:rsidRPr="003A513D">
        <w:t xml:space="preserve"> sido aceptad</w:t>
      </w:r>
      <w:r w:rsidR="00B47DBC" w:rsidRPr="003A513D">
        <w:t xml:space="preserve">a —particularmente los afganos— son enviados </w:t>
      </w:r>
      <w:r w:rsidRPr="003A513D">
        <w:t>a sus países de origen.</w:t>
      </w:r>
    </w:p>
    <w:p w:rsidR="00F72429" w:rsidRPr="003A513D" w:rsidRDefault="00F72429" w:rsidP="00F40ACA">
      <w:pPr>
        <w:pStyle w:val="SingleTxtG"/>
      </w:pPr>
      <w:r w:rsidRPr="003A513D">
        <w:t>16.</w:t>
      </w:r>
      <w:r w:rsidRPr="003A513D">
        <w:tab/>
        <w:t xml:space="preserve">Se ruega proporcionen información sobre las medidas adoptadas </w:t>
      </w:r>
      <w:r w:rsidR="00F40ACA" w:rsidRPr="003A513D">
        <w:t>respecto de la</w:t>
      </w:r>
      <w:r w:rsidRPr="003A513D">
        <w:t xml:space="preserve"> situación de los jóvenes transgénero que, </w:t>
      </w:r>
      <w:r w:rsidR="00F40ACA" w:rsidRPr="003A513D">
        <w:t xml:space="preserve">según </w:t>
      </w:r>
      <w:r w:rsidRPr="003A513D">
        <w:t xml:space="preserve">se informa, han sufrido discriminaciones y transfobia en la escuela y en el acceso a los servicios </w:t>
      </w:r>
      <w:r w:rsidR="00F40ACA" w:rsidRPr="003A513D">
        <w:t>de salud</w:t>
      </w:r>
      <w:r w:rsidRPr="003A513D">
        <w:t xml:space="preserve"> públic</w:t>
      </w:r>
      <w:r w:rsidR="00F40ACA" w:rsidRPr="003A513D">
        <w:t>a</w:t>
      </w:r>
      <w:r w:rsidRPr="003A513D">
        <w:t xml:space="preserve">. </w:t>
      </w:r>
      <w:r w:rsidR="00F40ACA" w:rsidRPr="003A513D">
        <w:t>Informen</w:t>
      </w:r>
      <w:r w:rsidRPr="003A513D">
        <w:t xml:space="preserve"> sobre las medidas adoptadas para ayudar a las personas que buscan asilo por </w:t>
      </w:r>
      <w:r w:rsidR="00F40ACA" w:rsidRPr="003A513D">
        <w:t>razón</w:t>
      </w:r>
      <w:r w:rsidRPr="003A513D">
        <w:t xml:space="preserve"> de su orientación sexual o </w:t>
      </w:r>
      <w:r w:rsidR="00F40ACA" w:rsidRPr="003A513D">
        <w:t>su</w:t>
      </w:r>
      <w:r w:rsidRPr="003A513D">
        <w:t xml:space="preserve"> identidad de género, </w:t>
      </w:r>
      <w:r w:rsidR="00F40ACA" w:rsidRPr="003A513D">
        <w:t>a fin de que puedan</w:t>
      </w:r>
      <w:r w:rsidRPr="003A513D">
        <w:t xml:space="preserve"> demostrar su orientación sexual o su identidad de género sin </w:t>
      </w:r>
      <w:r w:rsidR="00F40ACA" w:rsidRPr="003A513D">
        <w:t xml:space="preserve">ningún </w:t>
      </w:r>
      <w:r w:rsidRPr="003A513D">
        <w:t>obstáculo.</w:t>
      </w:r>
    </w:p>
    <w:p w:rsidR="00F72429" w:rsidRPr="003A513D" w:rsidRDefault="00F72429" w:rsidP="00E11D3B">
      <w:pPr>
        <w:pStyle w:val="SingleTxtG"/>
      </w:pPr>
      <w:r w:rsidRPr="003A513D">
        <w:t>17.</w:t>
      </w:r>
      <w:r w:rsidRPr="003A513D">
        <w:tab/>
        <w:t xml:space="preserve">Sírvanse proporcionar información sobre </w:t>
      </w:r>
      <w:r w:rsidR="00F40ACA" w:rsidRPr="003A513D">
        <w:t>la medida</w:t>
      </w:r>
      <w:r w:rsidRPr="003A513D">
        <w:t xml:space="preserve"> en que las </w:t>
      </w:r>
      <w:r w:rsidR="00F40ACA" w:rsidRPr="003A513D">
        <w:t>disposiciones</w:t>
      </w:r>
      <w:r w:rsidRPr="003A513D">
        <w:t xml:space="preserve"> adoptadas por el Estado parte mejoran la representación de la mujer en los puestos de responsabilidad </w:t>
      </w:r>
      <w:r w:rsidR="00F40ACA" w:rsidRPr="003A513D">
        <w:t>d</w:t>
      </w:r>
      <w:r w:rsidRPr="003A513D">
        <w:t xml:space="preserve">el sector privado, </w:t>
      </w:r>
      <w:r w:rsidR="00F40ACA" w:rsidRPr="003A513D">
        <w:t>en particular</w:t>
      </w:r>
      <w:r w:rsidRPr="003A513D">
        <w:t xml:space="preserve"> en las 200 principales empresas del Estado parte y </w:t>
      </w:r>
      <w:r w:rsidR="00F40ACA" w:rsidRPr="003A513D">
        <w:t xml:space="preserve">en </w:t>
      </w:r>
      <w:r w:rsidRPr="003A513D">
        <w:t xml:space="preserve">las sociedades limitadas privadas, y </w:t>
      </w:r>
      <w:r w:rsidR="00F40ACA" w:rsidRPr="003A513D">
        <w:t>facilit</w:t>
      </w:r>
      <w:r w:rsidR="00E11D3B">
        <w:t>e</w:t>
      </w:r>
      <w:r w:rsidR="00F40ACA" w:rsidRPr="003A513D">
        <w:t>n</w:t>
      </w:r>
      <w:r w:rsidRPr="003A513D">
        <w:t xml:space="preserve"> datos estadísticos pertinentes a</w:t>
      </w:r>
      <w:r w:rsidR="00F40ACA" w:rsidRPr="003A513D">
        <w:t>l</w:t>
      </w:r>
      <w:r w:rsidRPr="003A513D">
        <w:t xml:space="preserve"> respecto. </w:t>
      </w:r>
      <w:r w:rsidR="00F40ACA" w:rsidRPr="003A513D">
        <w:t>Faciliten</w:t>
      </w:r>
      <w:r w:rsidRPr="003A513D">
        <w:t xml:space="preserve"> también información sobre las medidas adoptadas para mejorar la representación de las mujeres de </w:t>
      </w:r>
      <w:r w:rsidR="00F40ACA" w:rsidRPr="003A513D">
        <w:t>orígenes</w:t>
      </w:r>
      <w:r w:rsidRPr="003A513D">
        <w:t xml:space="preserve"> étnicos y </w:t>
      </w:r>
      <w:r w:rsidR="00F40ACA" w:rsidRPr="003A513D">
        <w:t>minoritarios</w:t>
      </w:r>
      <w:r w:rsidRPr="003A513D">
        <w:t xml:space="preserve"> en el sector público</w:t>
      </w:r>
      <w:r w:rsidR="00F40ACA" w:rsidRPr="003A513D">
        <w:t>,</w:t>
      </w:r>
      <w:r w:rsidRPr="003A513D">
        <w:t xml:space="preserve"> y datos estadísticos pertinentes a</w:t>
      </w:r>
      <w:r w:rsidR="00F40ACA" w:rsidRPr="003A513D">
        <w:t>l</w:t>
      </w:r>
      <w:r w:rsidRPr="003A513D">
        <w:t xml:space="preserve"> respecto. A la vista de la aprobación de la Ley de la Igualdad y la Lucha contra la Discriminación, que ha suprimido la obligación de los empleadores </w:t>
      </w:r>
      <w:r w:rsidR="00F40ACA" w:rsidRPr="003A513D">
        <w:t>que emplean a</w:t>
      </w:r>
      <w:r w:rsidRPr="003A513D">
        <w:t xml:space="preserve"> menos de 50 </w:t>
      </w:r>
      <w:r w:rsidR="00F40ACA" w:rsidRPr="003A513D">
        <w:t>trabajadores</w:t>
      </w:r>
      <w:r w:rsidRPr="003A513D">
        <w:t xml:space="preserve"> de informar acerca de la igualdad de género, como se preveía anteriormente en la Ley de Igualdad de Género, sírvanse indicar </w:t>
      </w:r>
      <w:r w:rsidRPr="003A513D">
        <w:lastRenderedPageBreak/>
        <w:t>las medidas adoptadas para asegurar la igualdad de género en todas las actividades públicas y privadas que emple</w:t>
      </w:r>
      <w:r w:rsidR="00F40ACA" w:rsidRPr="003A513D">
        <w:t>e</w:t>
      </w:r>
      <w:r w:rsidRPr="003A513D">
        <w:t>n a menos de 50 personas.</w:t>
      </w:r>
    </w:p>
    <w:p w:rsidR="00F72429" w:rsidRPr="003A513D" w:rsidRDefault="00F72429" w:rsidP="00F40ACA">
      <w:pPr>
        <w:pStyle w:val="SingleTxtG"/>
      </w:pPr>
      <w:r w:rsidRPr="003A513D">
        <w:t>18.</w:t>
      </w:r>
      <w:r w:rsidRPr="003A513D">
        <w:tab/>
        <w:t xml:space="preserve">Se ruega faciliten información sobre la aplicación de las anteriores recomendaciones del Comité respecto de la elevada tasa </w:t>
      </w:r>
      <w:r w:rsidR="00F40ACA" w:rsidRPr="003A513D">
        <w:t xml:space="preserve">general </w:t>
      </w:r>
      <w:r w:rsidRPr="003A513D">
        <w:t>de desempleo a largo plazo</w:t>
      </w:r>
      <w:r w:rsidR="00F40ACA" w:rsidRPr="003A513D">
        <w:t>,</w:t>
      </w:r>
      <w:r w:rsidRPr="003A513D">
        <w:t xml:space="preserve"> y </w:t>
      </w:r>
      <w:r w:rsidR="00F40ACA" w:rsidRPr="003A513D">
        <w:t xml:space="preserve">de </w:t>
      </w:r>
      <w:r w:rsidRPr="003A513D">
        <w:t xml:space="preserve">la tasa de desempleo </w:t>
      </w:r>
      <w:r w:rsidR="00F40ACA" w:rsidRPr="003A513D">
        <w:t>mucho más elevada</w:t>
      </w:r>
      <w:r w:rsidRPr="003A513D">
        <w:t xml:space="preserve"> de las personas </w:t>
      </w:r>
      <w:r w:rsidR="00F40ACA" w:rsidRPr="003A513D">
        <w:t>de origen inmigrante</w:t>
      </w:r>
      <w:r w:rsidRPr="003A513D">
        <w:t xml:space="preserve"> (párr. 8). Informen también sobre el nuevo acuerdo </w:t>
      </w:r>
      <w:r w:rsidR="00F40ACA" w:rsidRPr="003A513D">
        <w:t>relativo a</w:t>
      </w:r>
      <w:r w:rsidRPr="003A513D">
        <w:t xml:space="preserve"> la vida laboral inclusiva 2014-2018 y otras medidas adoptadas para dar trabajo a las personas con discapacidad, e indi</w:t>
      </w:r>
      <w:r w:rsidR="00F40ACA" w:rsidRPr="003A513D">
        <w:t>quen</w:t>
      </w:r>
      <w:r w:rsidRPr="003A513D">
        <w:t xml:space="preserve"> los </w:t>
      </w:r>
      <w:r w:rsidR="00F40ACA" w:rsidRPr="003A513D">
        <w:t>progresos</w:t>
      </w:r>
      <w:r w:rsidRPr="003A513D">
        <w:t xml:space="preserve"> logrados y los problemas planteados.</w:t>
      </w:r>
    </w:p>
    <w:p w:rsidR="00F72429" w:rsidRPr="003A513D" w:rsidRDefault="00F72429" w:rsidP="00E11D3B">
      <w:pPr>
        <w:pStyle w:val="SingleTxtG"/>
      </w:pPr>
      <w:r w:rsidRPr="003A513D">
        <w:t>19.</w:t>
      </w:r>
      <w:r w:rsidRPr="003A513D">
        <w:tab/>
        <w:t xml:space="preserve">Sírvanse </w:t>
      </w:r>
      <w:r w:rsidR="00F40ACA" w:rsidRPr="003A513D">
        <w:t>indicar</w:t>
      </w:r>
      <w:r w:rsidRPr="003A513D">
        <w:t xml:space="preserve"> si los empleadores cumplen sus obligaciones dimanantes de los artículos 23 y 24 de la Ley de la Igualdad y la Lucha contra la Discriminación. Informen sobre las medidas adoptadas para abordar la </w:t>
      </w:r>
      <w:r w:rsidR="00F40ACA" w:rsidRPr="003A513D">
        <w:t xml:space="preserve">al parecer </w:t>
      </w:r>
      <w:r w:rsidRPr="003A513D">
        <w:t xml:space="preserve">elevada incidencia de la discriminación basada en el embarazo y </w:t>
      </w:r>
      <w:r w:rsidR="00F40ACA" w:rsidRPr="003A513D">
        <w:t>la licencia</w:t>
      </w:r>
      <w:r w:rsidRPr="003A513D">
        <w:t xml:space="preserve"> parental y los efectos de estas medidas, así como sobre </w:t>
      </w:r>
      <w:r w:rsidR="00F40ACA" w:rsidRPr="003A513D">
        <w:t>la utilización de la licencia</w:t>
      </w:r>
      <w:r w:rsidRPr="003A513D">
        <w:t xml:space="preserve"> parental por ambos progenitores. Se ruega proporcionen </w:t>
      </w:r>
      <w:r w:rsidR="00F40ACA" w:rsidRPr="003A513D">
        <w:t xml:space="preserve">también </w:t>
      </w:r>
      <w:r w:rsidRPr="003A513D">
        <w:t>información sobre los efectos del cambio introducido en 2017</w:t>
      </w:r>
      <w:r w:rsidR="00F40ACA" w:rsidRPr="003A513D">
        <w:t>, cuando la licencia</w:t>
      </w:r>
      <w:r w:rsidRPr="003A513D">
        <w:t xml:space="preserve"> parental </w:t>
      </w:r>
      <w:r w:rsidR="00F40ACA" w:rsidRPr="003A513D">
        <w:t xml:space="preserve">se redujo </w:t>
      </w:r>
      <w:r w:rsidRPr="003A513D">
        <w:t xml:space="preserve">de 14 a 10 semanas, que ambos progenitores </w:t>
      </w:r>
      <w:r w:rsidR="00F40ACA" w:rsidRPr="003A513D">
        <w:t xml:space="preserve">utilizan </w:t>
      </w:r>
      <w:r w:rsidRPr="003A513D">
        <w:t xml:space="preserve">por separado, sobre la participación de las mujeres en el mercado </w:t>
      </w:r>
      <w:r w:rsidR="00F40ACA" w:rsidRPr="003A513D">
        <w:t>del trabajo</w:t>
      </w:r>
      <w:r w:rsidRPr="003A513D">
        <w:t xml:space="preserve"> y la distribución de responsabilidades de prestación de cuidados entre hombres y mujeres.</w:t>
      </w:r>
    </w:p>
    <w:p w:rsidR="00F72429" w:rsidRPr="003A513D" w:rsidRDefault="00F72429" w:rsidP="00F40ACA">
      <w:pPr>
        <w:pStyle w:val="SingleTxtG"/>
      </w:pPr>
      <w:r w:rsidRPr="003A513D">
        <w:t>20.</w:t>
      </w:r>
      <w:r w:rsidRPr="003A513D">
        <w:tab/>
        <w:t xml:space="preserve">Sírvanse facilitar información sobre las medidas adoptadas para aplicar la recomendación del Comité respecto del salario mínimo nacional (párr. 9). </w:t>
      </w:r>
      <w:r w:rsidR="00F40ACA" w:rsidRPr="003A513D">
        <w:t>Digan en qué</w:t>
      </w:r>
      <w:r w:rsidRPr="003A513D">
        <w:t xml:space="preserve"> medida</w:t>
      </w:r>
      <w:r w:rsidR="00F40ACA" w:rsidRPr="003A513D">
        <w:t xml:space="preserve"> las disposiciones </w:t>
      </w:r>
      <w:r w:rsidRPr="003A513D">
        <w:t xml:space="preserve">adoptadas por el Estado parte han </w:t>
      </w:r>
      <w:r w:rsidR="00F40ACA" w:rsidRPr="003A513D">
        <w:t>cerrado la brecha</w:t>
      </w:r>
      <w:r w:rsidRPr="003A513D">
        <w:t xml:space="preserve"> de remuneración </w:t>
      </w:r>
      <w:r w:rsidR="00F40ACA" w:rsidRPr="003A513D">
        <w:t>entre los</w:t>
      </w:r>
      <w:r w:rsidRPr="003A513D">
        <w:t xml:space="preserve"> género</w:t>
      </w:r>
      <w:r w:rsidR="00F40ACA" w:rsidRPr="003A513D">
        <w:t>s</w:t>
      </w:r>
      <w:r w:rsidRPr="003A513D">
        <w:t xml:space="preserve">, que varía según los sectores y las industrias y, en particular, </w:t>
      </w:r>
      <w:r w:rsidR="00F40ACA" w:rsidRPr="003A513D">
        <w:t xml:space="preserve">informen </w:t>
      </w:r>
      <w:r w:rsidRPr="003A513D">
        <w:t xml:space="preserve">sobre la aplicación de la decisión parlamentaria núm. 612 y el plan de acción para la igualdad de género del Gobierno, con esta finalidad. Faciliten también información sobre la aplicación del artículo 34 de la Ley de </w:t>
      </w:r>
      <w:r w:rsidR="00F40ACA" w:rsidRPr="003A513D">
        <w:t xml:space="preserve">la </w:t>
      </w:r>
      <w:r w:rsidRPr="003A513D">
        <w:t xml:space="preserve">Igualdad y </w:t>
      </w:r>
      <w:r w:rsidR="00F40ACA" w:rsidRPr="003A513D">
        <w:t xml:space="preserve">la </w:t>
      </w:r>
      <w:r w:rsidRPr="003A513D">
        <w:t xml:space="preserve">Lucha contra la Discriminación, indicando los casos presentados ante los </w:t>
      </w:r>
      <w:r w:rsidR="00F40ACA" w:rsidRPr="003A513D">
        <w:t>órganos que velan por</w:t>
      </w:r>
      <w:r w:rsidRPr="003A513D">
        <w:t xml:space="preserve"> la igualdad o los tribunales.</w:t>
      </w:r>
    </w:p>
    <w:p w:rsidR="00F72429" w:rsidRPr="003A513D" w:rsidRDefault="00F72429" w:rsidP="0007161B">
      <w:pPr>
        <w:pStyle w:val="SingleTxtG"/>
      </w:pPr>
      <w:r w:rsidRPr="003A513D">
        <w:t>21.</w:t>
      </w:r>
      <w:r w:rsidRPr="003A513D">
        <w:tab/>
        <w:t xml:space="preserve">Sírvanse proporcionar información sobre </w:t>
      </w:r>
      <w:r w:rsidR="00F40ACA" w:rsidRPr="003A513D">
        <w:t>la medida</w:t>
      </w:r>
      <w:r w:rsidRPr="003A513D">
        <w:t xml:space="preserve"> en que las </w:t>
      </w:r>
      <w:r w:rsidR="00F40ACA" w:rsidRPr="003A513D">
        <w:t>disposiciones</w:t>
      </w:r>
      <w:r w:rsidRPr="003A513D">
        <w:t xml:space="preserve"> adoptadas por el Estado parte han impedido y reducido la exposición a los productos químicos, incluido el radón y el amianto, y han </w:t>
      </w:r>
      <w:r w:rsidR="00F40ACA" w:rsidRPr="003A513D">
        <w:t>combatido el riesgo, según se informa más elevado,</w:t>
      </w:r>
      <w:r w:rsidRPr="003A513D">
        <w:t xml:space="preserve"> de que los bomberos contraigan determinados cánceres. </w:t>
      </w:r>
      <w:r w:rsidR="00F40ACA" w:rsidRPr="003A513D">
        <w:t>P</w:t>
      </w:r>
      <w:r w:rsidRPr="003A513D">
        <w:t>roporcion</w:t>
      </w:r>
      <w:r w:rsidR="00F40ACA" w:rsidRPr="003A513D">
        <w:t>en</w:t>
      </w:r>
      <w:r w:rsidRPr="003A513D">
        <w:t xml:space="preserve"> información sobre las medidas adoptadas para </w:t>
      </w:r>
      <w:r w:rsidR="0007161B" w:rsidRPr="003A513D">
        <w:t>remediar</w:t>
      </w:r>
      <w:r w:rsidRPr="003A513D">
        <w:t xml:space="preserve"> la constante insuficiencia de información sobre </w:t>
      </w:r>
      <w:r w:rsidR="0007161B" w:rsidRPr="003A513D">
        <w:t xml:space="preserve">las </w:t>
      </w:r>
      <w:r w:rsidRPr="003A513D">
        <w:t xml:space="preserve">enfermedades </w:t>
      </w:r>
      <w:r w:rsidR="0007161B" w:rsidRPr="003A513D">
        <w:t>profesionales</w:t>
      </w:r>
      <w:r w:rsidRPr="003A513D">
        <w:t xml:space="preserve">, pese a la obligación legal establecida en la Ley </w:t>
      </w:r>
      <w:r w:rsidR="0007161B" w:rsidRPr="003A513D">
        <w:t xml:space="preserve">sobre </w:t>
      </w:r>
      <w:r w:rsidRPr="003A513D">
        <w:t xml:space="preserve">el Entorno </w:t>
      </w:r>
      <w:r w:rsidR="0007161B" w:rsidRPr="003A513D">
        <w:t>Laboral</w:t>
      </w:r>
      <w:r w:rsidRPr="003A513D">
        <w:t xml:space="preserve">, y </w:t>
      </w:r>
      <w:r w:rsidR="0007161B" w:rsidRPr="003A513D">
        <w:t>refuercen</w:t>
      </w:r>
      <w:r w:rsidRPr="003A513D">
        <w:t xml:space="preserve"> la recolección de datos sobre la seguridad y la salud en el trabajo. Se ruega faciliten información sobre los efectos de las medidas adoptadas para impedir los accidentes laborales, particularmente en la industria de la construcción y entre los trabajadores migrantes. </w:t>
      </w:r>
      <w:r w:rsidR="0007161B" w:rsidRPr="003A513D">
        <w:t>F</w:t>
      </w:r>
      <w:r w:rsidRPr="003A513D">
        <w:t>acilit</w:t>
      </w:r>
      <w:r w:rsidR="0007161B" w:rsidRPr="003A513D">
        <w:t>en</w:t>
      </w:r>
      <w:r w:rsidRPr="003A513D">
        <w:t xml:space="preserve"> datos estadísticos sobre las enfermedades y los accidentes del trabajo, desglosados por industria, causa y ámbito nacional/no nacional, durante el período </w:t>
      </w:r>
      <w:r w:rsidR="0007161B" w:rsidRPr="003A513D">
        <w:t>abarcado</w:t>
      </w:r>
      <w:r w:rsidRPr="003A513D">
        <w:t xml:space="preserve"> por el informe.</w:t>
      </w:r>
    </w:p>
    <w:p w:rsidR="00F72429" w:rsidRPr="003A513D" w:rsidRDefault="00F72429" w:rsidP="007E2079">
      <w:pPr>
        <w:pStyle w:val="SingleTxtG"/>
      </w:pPr>
      <w:r w:rsidRPr="003A513D">
        <w:t>22.</w:t>
      </w:r>
      <w:r w:rsidRPr="003A513D">
        <w:tab/>
        <w:t xml:space="preserve">Sírvanse aclarar si los trabajadores migrantes, incluidos los que trabajan en el sector doméstico, están incluidos en los acuerdos colectivos relativos a todos los aspectos de las condiciones de trabajo, y facilitar información sobre la legislación que protege </w:t>
      </w:r>
      <w:r w:rsidR="007E2079" w:rsidRPr="003A513D">
        <w:t>los</w:t>
      </w:r>
      <w:r w:rsidRPr="003A513D">
        <w:t xml:space="preserve"> derechos </w:t>
      </w:r>
      <w:r w:rsidR="007E2079" w:rsidRPr="003A513D">
        <w:t xml:space="preserve">de estos trabajadores </w:t>
      </w:r>
      <w:r w:rsidRPr="003A513D">
        <w:t xml:space="preserve">a condiciones de trabajo justas y favorables y a la </w:t>
      </w:r>
      <w:r w:rsidR="007E2079" w:rsidRPr="003A513D">
        <w:t>seguridad</w:t>
      </w:r>
      <w:r w:rsidRPr="003A513D">
        <w:t xml:space="preserve"> social, y sobre la aplicación de esas leyes. Sírvanse indicar, en particular, si los trabajadores migrantes </w:t>
      </w:r>
      <w:r w:rsidR="007E2079" w:rsidRPr="003A513D">
        <w:t>reciben el mismo trato</w:t>
      </w:r>
      <w:r w:rsidRPr="003A513D">
        <w:t xml:space="preserve"> que los nacionales en lo </w:t>
      </w:r>
      <w:r w:rsidR="007E2079" w:rsidRPr="003A513D">
        <w:t>relativo</w:t>
      </w:r>
      <w:r w:rsidRPr="003A513D">
        <w:t xml:space="preserve"> a la indemnización de accidentes del trabajo. Sírvanse facilitar información sobre las medidas adoptadas para impedir </w:t>
      </w:r>
      <w:r w:rsidR="007E2079" w:rsidRPr="003A513D">
        <w:t>estos</w:t>
      </w:r>
      <w:r w:rsidRPr="003A513D">
        <w:t xml:space="preserve"> accidentes. Proporcionen datos estadísticos correspondientes al período examinado, desglosados por nacionalidad e industria, sobre los trabajadores migrantes registrados en el Estado parte, </w:t>
      </w:r>
      <w:r w:rsidR="00E11D3B">
        <w:t xml:space="preserve">el </w:t>
      </w:r>
      <w:r w:rsidRPr="003A513D">
        <w:t xml:space="preserve">número de trabajadores migrantes que han fallecido o han sufrido lesiones en el trabajo y </w:t>
      </w:r>
      <w:r w:rsidR="00E11D3B">
        <w:t xml:space="preserve">el </w:t>
      </w:r>
      <w:r w:rsidRPr="003A513D">
        <w:t>número de trabajadores migrantes que reciben prestaciones por lesiones en el trabajo.</w:t>
      </w:r>
    </w:p>
    <w:p w:rsidR="00F72429" w:rsidRPr="003A513D" w:rsidRDefault="00F72429" w:rsidP="007E2079">
      <w:pPr>
        <w:pStyle w:val="SingleTxtG"/>
      </w:pPr>
      <w:r w:rsidRPr="003A513D">
        <w:t>23.</w:t>
      </w:r>
      <w:r w:rsidRPr="003A513D">
        <w:tab/>
        <w:t xml:space="preserve">Faciliten información sobre las </w:t>
      </w:r>
      <w:r w:rsidR="007E2079" w:rsidRPr="003A513D">
        <w:t xml:space="preserve">eventuales </w:t>
      </w:r>
      <w:r w:rsidRPr="003A513D">
        <w:t xml:space="preserve">investigaciones realizadas para determinar las causas </w:t>
      </w:r>
      <w:r w:rsidR="007E2079" w:rsidRPr="003A513D">
        <w:t>originarias</w:t>
      </w:r>
      <w:r w:rsidRPr="003A513D">
        <w:t xml:space="preserve"> de </w:t>
      </w:r>
      <w:r w:rsidR="007E2079" w:rsidRPr="003A513D">
        <w:t>la</w:t>
      </w:r>
      <w:r w:rsidRPr="003A513D">
        <w:t xml:space="preserve"> elevada </w:t>
      </w:r>
      <w:r w:rsidR="007E2079" w:rsidRPr="003A513D">
        <w:t xml:space="preserve">y persistente </w:t>
      </w:r>
      <w:r w:rsidRPr="003A513D">
        <w:t xml:space="preserve">incidencia de niños que son sustraídos a los cuidados familiares y se </w:t>
      </w:r>
      <w:r w:rsidR="007E2079" w:rsidRPr="003A513D">
        <w:t>internan</w:t>
      </w:r>
      <w:r w:rsidRPr="003A513D">
        <w:t xml:space="preserve"> en instituciones u hogares de </w:t>
      </w:r>
      <w:r w:rsidR="007E2079" w:rsidRPr="003A513D">
        <w:t>acogida</w:t>
      </w:r>
      <w:r w:rsidRPr="003A513D">
        <w:t xml:space="preserve">, y </w:t>
      </w:r>
      <w:r w:rsidR="007E2079" w:rsidRPr="003A513D">
        <w:t>la medida</w:t>
      </w:r>
      <w:r w:rsidRPr="003A513D">
        <w:t xml:space="preserve"> en que las </w:t>
      </w:r>
      <w:r w:rsidR="007E2079" w:rsidRPr="003A513D">
        <w:t>disposiciones</w:t>
      </w:r>
      <w:r w:rsidRPr="003A513D">
        <w:t xml:space="preserve"> adoptadas por el Estado parte </w:t>
      </w:r>
      <w:r w:rsidR="007E2079" w:rsidRPr="003A513D">
        <w:t xml:space="preserve">han </w:t>
      </w:r>
      <w:r w:rsidRPr="003A513D">
        <w:t>aborda</w:t>
      </w:r>
      <w:r w:rsidR="007E2079" w:rsidRPr="003A513D">
        <w:t>do estas</w:t>
      </w:r>
      <w:r w:rsidRPr="003A513D">
        <w:t xml:space="preserve"> causas </w:t>
      </w:r>
      <w:r w:rsidR="007E2079" w:rsidRPr="003A513D">
        <w:t>originarias</w:t>
      </w:r>
      <w:r w:rsidRPr="003A513D">
        <w:t>. Sírvanse informa</w:t>
      </w:r>
      <w:r w:rsidR="007E2079" w:rsidRPr="003A513D">
        <w:t>r</w:t>
      </w:r>
      <w:r w:rsidRPr="003A513D">
        <w:t xml:space="preserve"> también sobre las medidas adoptadas para llevar a cabo un examen exhaustivo periódico </w:t>
      </w:r>
      <w:r w:rsidR="007E2079" w:rsidRPr="003A513D">
        <w:t>de los niños internados</w:t>
      </w:r>
      <w:r w:rsidRPr="003A513D">
        <w:t xml:space="preserve"> en instituciones u hogares de </w:t>
      </w:r>
      <w:r w:rsidR="007E2079" w:rsidRPr="003A513D">
        <w:t>acogida</w:t>
      </w:r>
      <w:r w:rsidRPr="003A513D">
        <w:t xml:space="preserve"> </w:t>
      </w:r>
      <w:r w:rsidRPr="003A513D">
        <w:lastRenderedPageBreak/>
        <w:t xml:space="preserve">y sobre las medidas </w:t>
      </w:r>
      <w:r w:rsidR="007E2079" w:rsidRPr="003A513D">
        <w:t>destinadas a</w:t>
      </w:r>
      <w:r w:rsidRPr="003A513D">
        <w:t xml:space="preserve"> garantizar </w:t>
      </w:r>
      <w:r w:rsidR="007E2079" w:rsidRPr="003A513D">
        <w:t>la atención de</w:t>
      </w:r>
      <w:r w:rsidRPr="003A513D">
        <w:t xml:space="preserve"> las necesidades especiales de los niños pertenecientes a grupos minoritarios, en relación con sus identidades culturales, lingüísticas y religiosas. Se ruega proporcionen información sobre los efectos de las medidas adoptadas para </w:t>
      </w:r>
      <w:r w:rsidR="007E2079" w:rsidRPr="003A513D">
        <w:t>prestar</w:t>
      </w:r>
      <w:r w:rsidRPr="003A513D">
        <w:t xml:space="preserve"> asistencia y apoyo a las familias en </w:t>
      </w:r>
      <w:r w:rsidR="007E2079" w:rsidRPr="003A513D">
        <w:t>peligro, para que puedan ejercer</w:t>
      </w:r>
      <w:r w:rsidRPr="003A513D">
        <w:t xml:space="preserve"> sus funciones y responsabilidades </w:t>
      </w:r>
      <w:r w:rsidR="007E2079" w:rsidRPr="003A513D">
        <w:t>paternas</w:t>
      </w:r>
      <w:r w:rsidRPr="003A513D">
        <w:t xml:space="preserve"> (párr. 11).</w:t>
      </w:r>
    </w:p>
    <w:p w:rsidR="00F72429" w:rsidRPr="003A513D" w:rsidRDefault="00F72429" w:rsidP="00F72429">
      <w:pPr>
        <w:pStyle w:val="SingleTxtG"/>
      </w:pPr>
      <w:r w:rsidRPr="003A513D">
        <w:t>24.</w:t>
      </w:r>
      <w:r w:rsidRPr="003A513D">
        <w:tab/>
        <w:t>Se ruega proporcionen información sobre:</w:t>
      </w:r>
    </w:p>
    <w:p w:rsidR="00F72429" w:rsidRPr="003A513D" w:rsidRDefault="00F72429" w:rsidP="00E4471F">
      <w:pPr>
        <w:pStyle w:val="SingleTxtG"/>
      </w:pPr>
      <w:r w:rsidRPr="003A513D">
        <w:tab/>
        <w:t>a)</w:t>
      </w:r>
      <w:r w:rsidRPr="003A513D">
        <w:tab/>
        <w:t>Las medidas adoptadas para revisar la definición de violación del artículo</w:t>
      </w:r>
      <w:r w:rsidR="00E4471F">
        <w:t> </w:t>
      </w:r>
      <w:r w:rsidRPr="003A513D">
        <w:t>291 del Código Penal;</w:t>
      </w:r>
    </w:p>
    <w:p w:rsidR="00F72429" w:rsidRPr="003A513D" w:rsidRDefault="00F72429" w:rsidP="007E2079">
      <w:pPr>
        <w:pStyle w:val="SingleTxtG"/>
      </w:pPr>
      <w:r w:rsidRPr="003A513D">
        <w:tab/>
        <w:t>b)</w:t>
      </w:r>
      <w:r w:rsidRPr="003A513D">
        <w:tab/>
        <w:t xml:space="preserve">Las medidas adoptadas </w:t>
      </w:r>
      <w:r w:rsidR="007E2079" w:rsidRPr="003A513D">
        <w:t>a fin de crear</w:t>
      </w:r>
      <w:r w:rsidRPr="003A513D">
        <w:t xml:space="preserve"> un entorno propicio </w:t>
      </w:r>
      <w:r w:rsidR="007E2079" w:rsidRPr="003A513D">
        <w:t>para que las</w:t>
      </w:r>
      <w:r w:rsidRPr="003A513D">
        <w:t xml:space="preserve"> víctimas de violaciones y otras violencias sexuales y motivadas por el género</w:t>
      </w:r>
      <w:r w:rsidR="007E2079" w:rsidRPr="003A513D">
        <w:t xml:space="preserve"> puedan denunciar</w:t>
      </w:r>
      <w:r w:rsidRPr="003A513D">
        <w:t xml:space="preserve"> sus casos a la policía</w:t>
      </w:r>
      <w:r w:rsidR="007E2079" w:rsidRPr="003A513D">
        <w:t>,</w:t>
      </w:r>
      <w:r w:rsidRPr="003A513D">
        <w:t xml:space="preserve"> y </w:t>
      </w:r>
      <w:r w:rsidR="007E2079" w:rsidRPr="003A513D">
        <w:t>para reforzar</w:t>
      </w:r>
      <w:r w:rsidRPr="003A513D">
        <w:t xml:space="preserve"> la investigación y el enjuiciamiento de es</w:t>
      </w:r>
      <w:r w:rsidR="007E2079" w:rsidRPr="003A513D">
        <w:t>t</w:t>
      </w:r>
      <w:r w:rsidRPr="003A513D">
        <w:t>os casos, así como los resul</w:t>
      </w:r>
      <w:r w:rsidR="00676CC8">
        <w:t>tados de esas medidas;</w:t>
      </w:r>
    </w:p>
    <w:p w:rsidR="00F72429" w:rsidRPr="003A513D" w:rsidRDefault="00F72429" w:rsidP="00F72429">
      <w:pPr>
        <w:pStyle w:val="SingleTxtG"/>
      </w:pPr>
      <w:r w:rsidRPr="003A513D">
        <w:tab/>
        <w:t>c)</w:t>
      </w:r>
      <w:r w:rsidRPr="003A513D">
        <w:tab/>
        <w:t>Las medidas adoptadas para proceder al seguimiento del informe de policía sobre las denuncias de agresiones sexuales y violaciones de niños en el municipio ártico de Tysfjord, en 2017;</w:t>
      </w:r>
    </w:p>
    <w:p w:rsidR="00F72429" w:rsidRPr="003A513D" w:rsidRDefault="00F72429" w:rsidP="00121CB9">
      <w:pPr>
        <w:pStyle w:val="SingleTxtG"/>
      </w:pPr>
      <w:r w:rsidRPr="003A513D">
        <w:tab/>
        <w:t>d)</w:t>
      </w:r>
      <w:r w:rsidRPr="003A513D">
        <w:tab/>
        <w:t xml:space="preserve">Las medidas adoptadas para abordar la situación de las mujeres extranjeras que están casadas con nacionales de Noruega desde hace menos de tres años y son víctimas de violencias domésticas, y </w:t>
      </w:r>
      <w:r w:rsidR="00121CB9" w:rsidRPr="003A513D">
        <w:t>mantienen</w:t>
      </w:r>
      <w:r w:rsidRPr="003A513D">
        <w:t xml:space="preserve"> una relación abusiva por temor a perder su permiso de residencia;</w:t>
      </w:r>
    </w:p>
    <w:p w:rsidR="00F72429" w:rsidRPr="003A513D" w:rsidRDefault="00F72429" w:rsidP="00E11D3B">
      <w:pPr>
        <w:pStyle w:val="SingleTxtG"/>
      </w:pPr>
      <w:r w:rsidRPr="003A513D">
        <w:tab/>
        <w:t>e)</w:t>
      </w:r>
      <w:r w:rsidRPr="003A513D">
        <w:tab/>
        <w:t>La aplicación del Plan de Acción para Combatir el Control Social Negativo, los Matrimonios Forzados y la Mutilaci</w:t>
      </w:r>
      <w:r w:rsidR="00121CB9" w:rsidRPr="003A513D">
        <w:t>ón</w:t>
      </w:r>
      <w:r w:rsidRPr="003A513D">
        <w:t xml:space="preserve"> Genital Femenina (2017-20</w:t>
      </w:r>
      <w:r w:rsidR="00E11D3B">
        <w:t>2</w:t>
      </w:r>
      <w:r w:rsidRPr="003A513D">
        <w:t>0), y la incidencia de los matrimonios forzados y las mutilaciones genitales femeninas.</w:t>
      </w:r>
    </w:p>
    <w:p w:rsidR="00F72429" w:rsidRPr="003A513D" w:rsidRDefault="00F72429" w:rsidP="00F83027">
      <w:pPr>
        <w:pStyle w:val="SingleTxtG"/>
      </w:pPr>
      <w:r w:rsidRPr="003A513D">
        <w:t>25.</w:t>
      </w:r>
      <w:r w:rsidRPr="003A513D">
        <w:tab/>
        <w:t xml:space="preserve">Se ruega faciliten información sobre </w:t>
      </w:r>
      <w:r w:rsidR="00121CB9" w:rsidRPr="003A513D">
        <w:t>la medida</w:t>
      </w:r>
      <w:r w:rsidRPr="003A513D">
        <w:t xml:space="preserve"> en que las </w:t>
      </w:r>
      <w:r w:rsidR="00121CB9" w:rsidRPr="003A513D">
        <w:t>disposiciones</w:t>
      </w:r>
      <w:r w:rsidRPr="003A513D">
        <w:t xml:space="preserve"> adoptadas por el Estado parte a </w:t>
      </w:r>
      <w:r w:rsidR="00121CB9" w:rsidRPr="003A513D">
        <w:t xml:space="preserve">fin de </w:t>
      </w:r>
      <w:r w:rsidRPr="003A513D">
        <w:t xml:space="preserve">aplicar la </w:t>
      </w:r>
      <w:r w:rsidR="00F83027">
        <w:t>E</w:t>
      </w:r>
      <w:r w:rsidRPr="003A513D">
        <w:t xml:space="preserve">strategia del Gobierno </w:t>
      </w:r>
      <w:r w:rsidR="00121CB9" w:rsidRPr="003A513D">
        <w:t>para</w:t>
      </w:r>
      <w:r w:rsidRPr="003A513D">
        <w:t xml:space="preserve"> los Niños que Viven en la Pobreza (2015-2017) han tenido en cuenta la anterior recomendación del Comité sobre la pobreza </w:t>
      </w:r>
      <w:r w:rsidR="00121CB9" w:rsidRPr="003A513D">
        <w:t>infantil</w:t>
      </w:r>
      <w:r w:rsidRPr="003A513D">
        <w:t xml:space="preserve"> (párr. 14). Se ruega proporcionen datos estadísticos sobre la incidencia de la pobreza infantil durante el período </w:t>
      </w:r>
      <w:r w:rsidR="00121CB9" w:rsidRPr="003A513D">
        <w:t>abarcado</w:t>
      </w:r>
      <w:r w:rsidRPr="003A513D">
        <w:t xml:space="preserve"> por el informe.</w:t>
      </w:r>
    </w:p>
    <w:p w:rsidR="00F72429" w:rsidRPr="003A513D" w:rsidRDefault="00F72429" w:rsidP="00BE404B">
      <w:pPr>
        <w:pStyle w:val="SingleTxtG"/>
      </w:pPr>
      <w:r w:rsidRPr="003A513D">
        <w:t>26.</w:t>
      </w:r>
      <w:r w:rsidRPr="003A513D">
        <w:tab/>
        <w:t xml:space="preserve">Sírvanse indicar en qué </w:t>
      </w:r>
      <w:r w:rsidR="00121CB9" w:rsidRPr="003A513D">
        <w:t>medida</w:t>
      </w:r>
      <w:r w:rsidRPr="003A513D">
        <w:t xml:space="preserve"> las </w:t>
      </w:r>
      <w:r w:rsidR="00121CB9" w:rsidRPr="003A513D">
        <w:t>disposiciones</w:t>
      </w:r>
      <w:r w:rsidRPr="003A513D">
        <w:t xml:space="preserve"> adoptadas por el Estado parte, incluida la Estrategia Nacional para los Servicios de Apoyo a la Vivienda (2014-2020), han tratado de resolver el déficit de viviendas sociales y la </w:t>
      </w:r>
      <w:r w:rsidR="00121CB9" w:rsidRPr="003A513D">
        <w:t>carencia</w:t>
      </w:r>
      <w:r w:rsidRPr="003A513D">
        <w:t xml:space="preserve"> de hogar (párr. 15). Proporcionen información sobre los problemas planteados hasta la fecha. </w:t>
      </w:r>
      <w:r w:rsidR="00121CB9" w:rsidRPr="003A513D">
        <w:t>S</w:t>
      </w:r>
      <w:r w:rsidRPr="003A513D">
        <w:t xml:space="preserve">e ruega que proporcionen </w:t>
      </w:r>
      <w:r w:rsidR="00121CB9" w:rsidRPr="003A513D">
        <w:t xml:space="preserve">también </w:t>
      </w:r>
      <w:r w:rsidRPr="003A513D">
        <w:t xml:space="preserve">datos estadísticos, </w:t>
      </w:r>
      <w:r w:rsidR="00121CB9" w:rsidRPr="003A513D">
        <w:t xml:space="preserve">con carácter </w:t>
      </w:r>
      <w:r w:rsidRPr="003A513D">
        <w:t>anual</w:t>
      </w:r>
      <w:r w:rsidR="00121CB9" w:rsidRPr="003A513D">
        <w:t>,</w:t>
      </w:r>
      <w:r w:rsidRPr="003A513D">
        <w:t xml:space="preserve"> durante el período comprendido por el informe, sobre la demanda y la oferta de viviendas sociales, el plazo medio de espera y la incidencia de la </w:t>
      </w:r>
      <w:r w:rsidR="00121CB9" w:rsidRPr="003A513D">
        <w:t>carencia</w:t>
      </w:r>
      <w:r w:rsidRPr="003A513D">
        <w:t xml:space="preserve"> de hogar. Sírvanse informa</w:t>
      </w:r>
      <w:r w:rsidR="00BE404B" w:rsidRPr="003A513D">
        <w:t>r</w:t>
      </w:r>
      <w:r w:rsidRPr="003A513D">
        <w:t xml:space="preserve"> sobre las medidas adoptadas para combatir la discriminación a que hacen frente las personas </w:t>
      </w:r>
      <w:r w:rsidR="00BE404B" w:rsidRPr="003A513D">
        <w:t>de origen inmigrante en el</w:t>
      </w:r>
      <w:r w:rsidRPr="003A513D">
        <w:t xml:space="preserve"> mercado de la vivienda</w:t>
      </w:r>
      <w:r w:rsidR="00BE404B" w:rsidRPr="003A513D">
        <w:t>,</w:t>
      </w:r>
      <w:r w:rsidRPr="003A513D">
        <w:t xml:space="preserve"> y sobre la aplicación de la legislación pertinente (párr. 16).</w:t>
      </w:r>
    </w:p>
    <w:p w:rsidR="00F72429" w:rsidRPr="003A513D" w:rsidRDefault="00F72429" w:rsidP="00F72429">
      <w:pPr>
        <w:pStyle w:val="SingleTxtG"/>
      </w:pPr>
      <w:r w:rsidRPr="003A513D">
        <w:t>27.</w:t>
      </w:r>
      <w:r w:rsidRPr="003A513D">
        <w:tab/>
        <w:t>Sírva</w:t>
      </w:r>
      <w:r w:rsidR="00E11D3B">
        <w:t>n</w:t>
      </w:r>
      <w:r w:rsidRPr="003A513D">
        <w:t>se proporcionar información sobre:</w:t>
      </w:r>
    </w:p>
    <w:p w:rsidR="00F72429" w:rsidRPr="003A513D" w:rsidRDefault="00F72429" w:rsidP="00BE404B">
      <w:pPr>
        <w:pStyle w:val="SingleTxtG"/>
      </w:pPr>
      <w:r w:rsidRPr="003A513D">
        <w:tab/>
        <w:t>a)</w:t>
      </w:r>
      <w:r w:rsidRPr="003A513D">
        <w:tab/>
        <w:t xml:space="preserve">Los efectos de las medidas adoptadas para </w:t>
      </w:r>
      <w:r w:rsidR="00BE404B" w:rsidRPr="003A513D">
        <w:t xml:space="preserve">garantizar </w:t>
      </w:r>
      <w:r w:rsidRPr="003A513D">
        <w:t xml:space="preserve">el acceso efectivo de todos los migrantes </w:t>
      </w:r>
      <w:r w:rsidR="00BE404B" w:rsidRPr="003A513D">
        <w:t xml:space="preserve">en situación </w:t>
      </w:r>
      <w:r w:rsidRPr="003A513D">
        <w:t xml:space="preserve">irregular a los necesarios servicios </w:t>
      </w:r>
      <w:r w:rsidR="00BE404B" w:rsidRPr="003A513D">
        <w:t>de atención de la salud</w:t>
      </w:r>
      <w:r w:rsidRPr="003A513D">
        <w:t xml:space="preserve"> (párr. 21);</w:t>
      </w:r>
    </w:p>
    <w:p w:rsidR="00F72429" w:rsidRPr="003A513D" w:rsidRDefault="00F72429" w:rsidP="00BE404B">
      <w:pPr>
        <w:pStyle w:val="SingleTxtG"/>
      </w:pPr>
      <w:r w:rsidRPr="003A513D">
        <w:tab/>
        <w:t>b)</w:t>
      </w:r>
      <w:r w:rsidRPr="003A513D">
        <w:tab/>
        <w:t xml:space="preserve">Las medidas adoptadas para garantizar la plena aplicación de las directrices posnatales a todos los habitantes de </w:t>
      </w:r>
      <w:r w:rsidR="00BE404B" w:rsidRPr="003A513D">
        <w:t>cada</w:t>
      </w:r>
      <w:r w:rsidRPr="003A513D">
        <w:t xml:space="preserve"> municipio;</w:t>
      </w:r>
    </w:p>
    <w:p w:rsidR="00F72429" w:rsidRPr="003A513D" w:rsidRDefault="00F72429" w:rsidP="00BE404B">
      <w:pPr>
        <w:pStyle w:val="SingleTxtG"/>
      </w:pPr>
      <w:r w:rsidRPr="003A513D">
        <w:tab/>
        <w:t>c)</w:t>
      </w:r>
      <w:r w:rsidRPr="003A513D">
        <w:tab/>
      </w:r>
      <w:r w:rsidR="00BE404B" w:rsidRPr="003A513D">
        <w:t>La medida</w:t>
      </w:r>
      <w:r w:rsidRPr="003A513D">
        <w:t xml:space="preserve"> en que las </w:t>
      </w:r>
      <w:r w:rsidR="00BE404B" w:rsidRPr="003A513D">
        <w:t>disposiciones</w:t>
      </w:r>
      <w:r w:rsidRPr="003A513D">
        <w:t xml:space="preserve"> adoptadas por el Estado parte mejoran el estado de salud </w:t>
      </w:r>
      <w:r w:rsidR="00BE404B" w:rsidRPr="003A513D">
        <w:t>excesivamente</w:t>
      </w:r>
      <w:r w:rsidRPr="003A513D">
        <w:t xml:space="preserve"> deficiente de la población sami, particularmente las personas afectadas por lluvias radiactivas después del desastre de Chernóbil de 1986, y las mujeres sami que viven fuera de la zona asignada a </w:t>
      </w:r>
      <w:r w:rsidR="00BE404B" w:rsidRPr="003A513D">
        <w:t>su población</w:t>
      </w:r>
      <w:r w:rsidRPr="003A513D">
        <w:t>;</w:t>
      </w:r>
    </w:p>
    <w:p w:rsidR="00F72429" w:rsidRPr="003A513D" w:rsidRDefault="00F72429" w:rsidP="00BE404B">
      <w:pPr>
        <w:pStyle w:val="SingleTxtG"/>
      </w:pPr>
      <w:r w:rsidRPr="003A513D">
        <w:tab/>
        <w:t>d)</w:t>
      </w:r>
      <w:r w:rsidRPr="003A513D">
        <w:tab/>
        <w:t xml:space="preserve">Los efectos de las medidas adoptadas por el Estado parte, incluido el Plan de Acción Nacional sobre el </w:t>
      </w:r>
      <w:r w:rsidR="00BE404B" w:rsidRPr="003A513D">
        <w:t>A</w:t>
      </w:r>
      <w:r w:rsidRPr="003A513D">
        <w:t xml:space="preserve">lcohol y las </w:t>
      </w:r>
      <w:r w:rsidR="00BE404B" w:rsidRPr="003A513D">
        <w:t>D</w:t>
      </w:r>
      <w:r w:rsidRPr="003A513D">
        <w:t xml:space="preserve">rogas (2016-2020) y la Estrategia Nacional para las </w:t>
      </w:r>
      <w:r w:rsidR="00BE404B" w:rsidRPr="003A513D">
        <w:t>S</w:t>
      </w:r>
      <w:r w:rsidRPr="003A513D">
        <w:t xml:space="preserve">obredosis (2014-2017), con objeto de impedir y reducir el uso de drogas y otras sustancias psicotrópicas, particularmente por los niños y los adolescentes, y abordar el problema del alto </w:t>
      </w:r>
      <w:r w:rsidR="00BE404B" w:rsidRPr="003A513D">
        <w:t>número</w:t>
      </w:r>
      <w:r w:rsidRPr="003A513D">
        <w:t xml:space="preserve"> de fallecimientos debidos a sobredosis de drogas.</w:t>
      </w:r>
    </w:p>
    <w:p w:rsidR="00F72429" w:rsidRPr="003A513D" w:rsidRDefault="00F72429" w:rsidP="00F72429">
      <w:pPr>
        <w:pStyle w:val="SingleTxtG"/>
      </w:pPr>
      <w:r w:rsidRPr="003A513D">
        <w:lastRenderedPageBreak/>
        <w:t>28.</w:t>
      </w:r>
      <w:r w:rsidRPr="003A513D">
        <w:tab/>
        <w:t>Sírvanse facilitar información sobre:</w:t>
      </w:r>
    </w:p>
    <w:p w:rsidR="00F72429" w:rsidRPr="003A513D" w:rsidRDefault="00F72429" w:rsidP="00BE404B">
      <w:pPr>
        <w:pStyle w:val="SingleTxtG"/>
      </w:pPr>
      <w:r w:rsidRPr="003A513D">
        <w:tab/>
        <w:t>a)</w:t>
      </w:r>
      <w:r w:rsidRPr="003A513D">
        <w:tab/>
        <w:t xml:space="preserve">Las medidas adoptadas para garantizar la prestación de todos los servicios de salud mental </w:t>
      </w:r>
      <w:r w:rsidR="00BE404B" w:rsidRPr="003A513D">
        <w:t>con</w:t>
      </w:r>
      <w:r w:rsidRPr="003A513D">
        <w:t xml:space="preserve"> el consentimiento libre e informado de l</w:t>
      </w:r>
      <w:r w:rsidR="00BE404B" w:rsidRPr="003A513D">
        <w:t>os</w:t>
      </w:r>
      <w:r w:rsidRPr="003A513D">
        <w:t xml:space="preserve"> interesad</w:t>
      </w:r>
      <w:r w:rsidR="00BE404B" w:rsidRPr="003A513D">
        <w:t>o</w:t>
      </w:r>
      <w:r w:rsidRPr="003A513D">
        <w:t>s o de sus representantes legales, y derogar todas las disposiciones legales que autori</w:t>
      </w:r>
      <w:r w:rsidR="00BE404B" w:rsidRPr="003A513D">
        <w:t>ce</w:t>
      </w:r>
      <w:r w:rsidRPr="003A513D">
        <w:t>n intervenciones o tratamientos forzados o no consensuales en servicios de salud mental;</w:t>
      </w:r>
    </w:p>
    <w:p w:rsidR="00F72429" w:rsidRPr="003A513D" w:rsidRDefault="00F72429" w:rsidP="00BE404B">
      <w:pPr>
        <w:pStyle w:val="SingleTxtG"/>
      </w:pPr>
      <w:r w:rsidRPr="003A513D">
        <w:tab/>
        <w:t>b)</w:t>
      </w:r>
      <w:r w:rsidRPr="003A513D">
        <w:tab/>
        <w:t>Las medidas adoptadas para incorporar a la</w:t>
      </w:r>
      <w:r w:rsidR="00BE404B" w:rsidRPr="003A513D">
        <w:t>s leyes</w:t>
      </w:r>
      <w:r w:rsidRPr="003A513D">
        <w:t xml:space="preserve"> la prohibición del uso de medios </w:t>
      </w:r>
      <w:r w:rsidR="00BE404B" w:rsidRPr="003A513D">
        <w:t>de sujeción</w:t>
      </w:r>
      <w:r w:rsidRPr="003A513D">
        <w:t xml:space="preserve"> y la administración forzada de tratamientos intrusivos e irreversibles, como las drogas neurolépticas o la</w:t>
      </w:r>
      <w:r w:rsidR="00BE404B" w:rsidRPr="003A513D">
        <w:t>s</w:t>
      </w:r>
      <w:r w:rsidRPr="003A513D">
        <w:t xml:space="preserve"> terapia</w:t>
      </w:r>
      <w:r w:rsidR="00BE404B" w:rsidRPr="003A513D">
        <w:t>s</w:t>
      </w:r>
      <w:r w:rsidRPr="003A513D">
        <w:t xml:space="preserve"> electroconvulsiva</w:t>
      </w:r>
      <w:r w:rsidR="00BE404B" w:rsidRPr="003A513D">
        <w:t>s</w:t>
      </w:r>
      <w:r w:rsidRPr="003A513D">
        <w:t>;</w:t>
      </w:r>
    </w:p>
    <w:p w:rsidR="00F72429" w:rsidRPr="003A513D" w:rsidRDefault="00F72429" w:rsidP="00BE404B">
      <w:pPr>
        <w:pStyle w:val="SingleTxtG"/>
      </w:pPr>
      <w:r w:rsidRPr="003A513D">
        <w:tab/>
        <w:t>c)</w:t>
      </w:r>
      <w:r w:rsidRPr="003A513D">
        <w:tab/>
        <w:t xml:space="preserve">Las medidas adoptadas </w:t>
      </w:r>
      <w:r w:rsidR="00BE404B" w:rsidRPr="003A513D">
        <w:t>con objeto de</w:t>
      </w:r>
      <w:r w:rsidRPr="003A513D">
        <w:t xml:space="preserve"> aumentar la disponibilidad de servicios comunitarios, incluido el apoyo </w:t>
      </w:r>
      <w:r w:rsidR="00BE404B" w:rsidRPr="003A513D">
        <w:t>entre pares</w:t>
      </w:r>
      <w:r w:rsidRPr="003A513D">
        <w:t xml:space="preserve"> y otras alternativas al modelo médico, para personas con discapacidades psicosociales, y asignar los necesarios recursos financieros y humanos para el funcionamiento </w:t>
      </w:r>
      <w:r w:rsidR="00BE404B" w:rsidRPr="003A513D">
        <w:t>efectivo</w:t>
      </w:r>
      <w:r w:rsidRPr="003A513D">
        <w:t xml:space="preserve"> de es</w:t>
      </w:r>
      <w:r w:rsidR="00BE404B" w:rsidRPr="003A513D">
        <w:t>t</w:t>
      </w:r>
      <w:r w:rsidRPr="003A513D">
        <w:t>os servicios (párr. 19);</w:t>
      </w:r>
    </w:p>
    <w:p w:rsidR="00F72429" w:rsidRPr="003A513D" w:rsidRDefault="00F72429" w:rsidP="00BE404B">
      <w:pPr>
        <w:pStyle w:val="SingleTxtG"/>
      </w:pPr>
      <w:r w:rsidRPr="003A513D">
        <w:tab/>
        <w:t>d)</w:t>
      </w:r>
      <w:r w:rsidRPr="003A513D">
        <w:tab/>
        <w:t>Las medidas adoptadas para proceder al seguimiento de los informes del mecanismo nacional</w:t>
      </w:r>
      <w:r w:rsidR="00BE404B" w:rsidRPr="003A513D">
        <w:t xml:space="preserve"> de prevención</w:t>
      </w:r>
      <w:r w:rsidRPr="003A513D">
        <w:t>, después de su visita a las instituciones psiquiátricas;</w:t>
      </w:r>
    </w:p>
    <w:p w:rsidR="00F72429" w:rsidRPr="003A513D" w:rsidRDefault="00F72429" w:rsidP="00E11D3B">
      <w:pPr>
        <w:pStyle w:val="SingleTxtG"/>
      </w:pPr>
      <w:r w:rsidRPr="003A513D">
        <w:tab/>
        <w:t>e)</w:t>
      </w:r>
      <w:r w:rsidRPr="003A513D">
        <w:tab/>
        <w:t xml:space="preserve">Datos estadísticos sobre la administración forzada de medicación a pacientes internos o externos, incluido el número de pacientes y la duración de la medicación, así como la aplicación de tratamientos de electrochoque, medios </w:t>
      </w:r>
      <w:r w:rsidR="00BE404B" w:rsidRPr="003A513D">
        <w:t>de sujeción y regímenes de</w:t>
      </w:r>
      <w:r w:rsidRPr="003A513D">
        <w:t xml:space="preserve"> aislamiento</w:t>
      </w:r>
      <w:r w:rsidR="00E11D3B">
        <w:t>.</w:t>
      </w:r>
    </w:p>
    <w:p w:rsidR="00F72429" w:rsidRPr="003A513D" w:rsidRDefault="00F72429" w:rsidP="00BE404B">
      <w:pPr>
        <w:pStyle w:val="SingleTxtG"/>
      </w:pPr>
      <w:r w:rsidRPr="003A513D">
        <w:t>29.</w:t>
      </w:r>
      <w:r w:rsidRPr="003A513D">
        <w:tab/>
        <w:t xml:space="preserve">Sírvanse facilitar información sobre </w:t>
      </w:r>
      <w:r w:rsidR="00BE404B" w:rsidRPr="003A513D">
        <w:t>la medida</w:t>
      </w:r>
      <w:r w:rsidRPr="003A513D">
        <w:t xml:space="preserve"> en que las </w:t>
      </w:r>
      <w:r w:rsidR="00BE404B" w:rsidRPr="003A513D">
        <w:t>disposiciones</w:t>
      </w:r>
      <w:r w:rsidRPr="003A513D">
        <w:t xml:space="preserve"> adoptadas por el Estado parte para garantizar que los reclusos con problemas de salud mental reciben los servicios adecuados de atención de la salud mental, incluso mediante su traslado a un centro médico adecuado, y </w:t>
      </w:r>
      <w:r w:rsidR="00BE404B" w:rsidRPr="003A513D">
        <w:t>digan qué se ha hecho</w:t>
      </w:r>
      <w:r w:rsidRPr="003A513D">
        <w:t xml:space="preserve"> para aumentar el número de camas </w:t>
      </w:r>
      <w:r w:rsidR="00BE404B" w:rsidRPr="003A513D">
        <w:t xml:space="preserve">para pacientes internos </w:t>
      </w:r>
      <w:r w:rsidRPr="003A513D">
        <w:t xml:space="preserve">en los </w:t>
      </w:r>
      <w:r w:rsidR="00BE404B" w:rsidRPr="003A513D">
        <w:t>hospitales</w:t>
      </w:r>
      <w:r w:rsidRPr="003A513D">
        <w:t xml:space="preserve"> psiquiátricos</w:t>
      </w:r>
      <w:r w:rsidR="00BE404B" w:rsidRPr="003A513D">
        <w:t>,</w:t>
      </w:r>
      <w:r w:rsidRPr="003A513D">
        <w:t xml:space="preserve"> con objeto de atender a las necesidades de los reclusos que padecen graves problemas de salud mental (párr. 18). Sírvanse también facilitar información sobre las medidas adoptadas para garantizar que los niños solicitantes de asilo recib</w:t>
      </w:r>
      <w:r w:rsidR="00BE404B" w:rsidRPr="003A513D">
        <w:t>a</w:t>
      </w:r>
      <w:r w:rsidRPr="003A513D">
        <w:t xml:space="preserve">n los servicios psiquiátricos adecuados cuando </w:t>
      </w:r>
      <w:r w:rsidR="00BE404B" w:rsidRPr="003A513D">
        <w:t>los necesiten</w:t>
      </w:r>
      <w:r w:rsidRPr="003A513D">
        <w:t xml:space="preserve">, y </w:t>
      </w:r>
      <w:r w:rsidR="00BE404B" w:rsidRPr="003A513D">
        <w:t xml:space="preserve">para </w:t>
      </w:r>
      <w:r w:rsidRPr="003A513D">
        <w:t xml:space="preserve">mejorar la competencia y la preparación del personal </w:t>
      </w:r>
      <w:r w:rsidR="00BE404B" w:rsidRPr="003A513D">
        <w:t>en</w:t>
      </w:r>
      <w:r w:rsidRPr="003A513D">
        <w:t xml:space="preserve"> los centros de </w:t>
      </w:r>
      <w:r w:rsidR="00BE404B" w:rsidRPr="003A513D">
        <w:t>acogida</w:t>
      </w:r>
      <w:r w:rsidRPr="003A513D">
        <w:t xml:space="preserve"> con </w:t>
      </w:r>
      <w:r w:rsidR="00BE404B" w:rsidRPr="003A513D">
        <w:t xml:space="preserve">respecto a </w:t>
      </w:r>
      <w:r w:rsidRPr="003A513D">
        <w:t>la vulnerabilidad especial de los niños solicitantes de asilo (párr. 20).</w:t>
      </w:r>
    </w:p>
    <w:p w:rsidR="00F72429" w:rsidRPr="003A513D" w:rsidRDefault="00F72429" w:rsidP="00F72429">
      <w:pPr>
        <w:pStyle w:val="SingleTxtG"/>
      </w:pPr>
      <w:r w:rsidRPr="003A513D">
        <w:t>30.</w:t>
      </w:r>
      <w:r w:rsidRPr="003A513D">
        <w:tab/>
        <w:t>Sírvanse proporcionar información sobre:</w:t>
      </w:r>
    </w:p>
    <w:p w:rsidR="00F72429" w:rsidRPr="003A513D" w:rsidRDefault="00F72429" w:rsidP="003A513D">
      <w:pPr>
        <w:pStyle w:val="SingleTxtG"/>
      </w:pPr>
      <w:r w:rsidRPr="003A513D">
        <w:tab/>
        <w:t>a)</w:t>
      </w:r>
      <w:r w:rsidRPr="003A513D">
        <w:tab/>
        <w:t xml:space="preserve">Las medidas adoptadas para resolver las importantes diferencias entre municipios en cuanto a la calidad de la educación y los resultados de los </w:t>
      </w:r>
      <w:r w:rsidR="003A513D" w:rsidRPr="003A513D">
        <w:t>alumnos</w:t>
      </w:r>
      <w:r w:rsidRPr="003A513D">
        <w:t xml:space="preserve">, incluso en lo relativo a la contratación de personal docente cualificado y </w:t>
      </w:r>
      <w:r w:rsidR="003A513D" w:rsidRPr="003A513D">
        <w:t xml:space="preserve">a </w:t>
      </w:r>
      <w:r w:rsidRPr="003A513D">
        <w:t xml:space="preserve">la prestación de apoyo adecuado para </w:t>
      </w:r>
      <w:r w:rsidR="003A513D" w:rsidRPr="003A513D">
        <w:t>conseguir</w:t>
      </w:r>
      <w:r w:rsidRPr="003A513D">
        <w:t xml:space="preserve"> una educación de calidad (párr. 22);</w:t>
      </w:r>
    </w:p>
    <w:p w:rsidR="00F72429" w:rsidRPr="003A513D" w:rsidRDefault="00F72429" w:rsidP="00F72429">
      <w:pPr>
        <w:pStyle w:val="SingleTxtG"/>
      </w:pPr>
      <w:r w:rsidRPr="003A513D">
        <w:tab/>
        <w:t>b)</w:t>
      </w:r>
      <w:r w:rsidRPr="003A513D">
        <w:tab/>
        <w:t>Los efectos de las medidas adoptadas para abordar la persistente segregación de género en el sector de la educación;</w:t>
      </w:r>
    </w:p>
    <w:p w:rsidR="00F72429" w:rsidRPr="003A513D" w:rsidRDefault="00F72429" w:rsidP="00F72429">
      <w:pPr>
        <w:pStyle w:val="SingleTxtG"/>
      </w:pPr>
      <w:r w:rsidRPr="003A513D">
        <w:tab/>
        <w:t>c)</w:t>
      </w:r>
      <w:r w:rsidRPr="003A513D">
        <w:tab/>
        <w:t>Los efectos de las medidas adoptadas para reducir el número de abandonos escolares de los alumnos inmigrantes;</w:t>
      </w:r>
    </w:p>
    <w:p w:rsidR="00F72429" w:rsidRPr="003A513D" w:rsidRDefault="00F72429" w:rsidP="003A513D">
      <w:pPr>
        <w:pStyle w:val="SingleTxtG"/>
      </w:pPr>
      <w:r w:rsidRPr="003A513D">
        <w:tab/>
        <w:t>d)</w:t>
      </w:r>
      <w:r w:rsidRPr="003A513D">
        <w:tab/>
        <w:t xml:space="preserve">La situación educativa de los niños con discapacidad y su derecho a la educación, </w:t>
      </w:r>
      <w:r w:rsidR="003A513D" w:rsidRPr="003A513D">
        <w:t>así como a</w:t>
      </w:r>
      <w:r w:rsidRPr="003A513D">
        <w:t xml:space="preserve"> la educación inclusiva;</w:t>
      </w:r>
    </w:p>
    <w:p w:rsidR="00F72429" w:rsidRPr="003A513D" w:rsidRDefault="00F72429" w:rsidP="00F72429">
      <w:pPr>
        <w:pStyle w:val="SingleTxtG"/>
      </w:pPr>
      <w:r w:rsidRPr="003A513D">
        <w:tab/>
        <w:t>e)</w:t>
      </w:r>
      <w:r w:rsidRPr="003A513D">
        <w:tab/>
        <w:t xml:space="preserve">Datos estadísticos sobre el acoso escolar, desglosados por grupo étnico, y </w:t>
      </w:r>
      <w:r w:rsidR="00E11D3B">
        <w:t xml:space="preserve">las </w:t>
      </w:r>
      <w:r w:rsidRPr="003A513D">
        <w:t>medidas adoptadas para combatir el acoso escolar y sus efectos (párr. 23);</w:t>
      </w:r>
    </w:p>
    <w:p w:rsidR="00F72429" w:rsidRPr="003A513D" w:rsidRDefault="00F72429" w:rsidP="003A513D">
      <w:pPr>
        <w:pStyle w:val="SingleTxtG"/>
      </w:pPr>
      <w:r w:rsidRPr="003A513D">
        <w:tab/>
        <w:t>f)</w:t>
      </w:r>
      <w:r w:rsidRPr="003A513D">
        <w:tab/>
      </w:r>
      <w:r w:rsidR="003A513D" w:rsidRPr="003A513D">
        <w:t>La medida</w:t>
      </w:r>
      <w:r w:rsidRPr="003A513D">
        <w:t xml:space="preserve"> en que las </w:t>
      </w:r>
      <w:r w:rsidR="003A513D" w:rsidRPr="003A513D">
        <w:t>disposiciones</w:t>
      </w:r>
      <w:r w:rsidRPr="003A513D">
        <w:t xml:space="preserve"> adoptadas por el Estado parte han garantizado </w:t>
      </w:r>
      <w:r w:rsidR="003A513D" w:rsidRPr="003A513D">
        <w:t>que</w:t>
      </w:r>
      <w:r w:rsidRPr="003A513D">
        <w:t xml:space="preserve"> todos los niños romaníes</w:t>
      </w:r>
      <w:r w:rsidR="003A513D" w:rsidRPr="003A513D">
        <w:t xml:space="preserve"> reciben la enseñanza obligatoria</w:t>
      </w:r>
      <w:r w:rsidRPr="003A513D">
        <w:t xml:space="preserve">, incluidos los que viajan </w:t>
      </w:r>
      <w:r w:rsidR="003A513D" w:rsidRPr="003A513D">
        <w:t>una</w:t>
      </w:r>
      <w:r w:rsidRPr="003A513D">
        <w:t xml:space="preserve"> parte del año, y la aplicación de planes de acción relativos a la educación de los romaníes (párr. 24);</w:t>
      </w:r>
    </w:p>
    <w:p w:rsidR="00F72429" w:rsidRPr="003A513D" w:rsidRDefault="00F72429" w:rsidP="003A513D">
      <w:pPr>
        <w:pStyle w:val="SingleTxtG"/>
      </w:pPr>
      <w:r w:rsidRPr="003A513D">
        <w:tab/>
        <w:t>g)</w:t>
      </w:r>
      <w:r w:rsidRPr="003A513D">
        <w:tab/>
        <w:t xml:space="preserve">Las medidas adoptadas para garantizar que los menores solicitantes de asilo que han </w:t>
      </w:r>
      <w:r w:rsidR="003A513D" w:rsidRPr="003A513D">
        <w:t>superado</w:t>
      </w:r>
      <w:r w:rsidRPr="003A513D">
        <w:t xml:space="preserve"> la edad de </w:t>
      </w:r>
      <w:r w:rsidR="003A513D" w:rsidRPr="003A513D">
        <w:t>escolaridad</w:t>
      </w:r>
      <w:r w:rsidRPr="003A513D">
        <w:t xml:space="preserve"> obligatoria tienen acceso a la </w:t>
      </w:r>
      <w:r w:rsidR="003A513D" w:rsidRPr="003A513D">
        <w:t>enseñanza</w:t>
      </w:r>
      <w:r w:rsidRPr="003A513D">
        <w:t xml:space="preserve"> primaria y secundaria en igualdad </w:t>
      </w:r>
      <w:r w:rsidR="003A513D" w:rsidRPr="003A513D">
        <w:t>de condiciones con el resto de los</w:t>
      </w:r>
      <w:r w:rsidRPr="003A513D">
        <w:t xml:space="preserve"> niños (párr. 25);</w:t>
      </w:r>
    </w:p>
    <w:p w:rsidR="00F72429" w:rsidRPr="003A513D" w:rsidRDefault="00F72429" w:rsidP="003A513D">
      <w:pPr>
        <w:pStyle w:val="SingleTxtG"/>
      </w:pPr>
      <w:r w:rsidRPr="003A513D">
        <w:tab/>
        <w:t>h)</w:t>
      </w:r>
      <w:r w:rsidRPr="003A513D">
        <w:tab/>
        <w:t xml:space="preserve">Las medidas adoptadas para garantizar que todos los niños, en particular los que viven en centros de </w:t>
      </w:r>
      <w:r w:rsidR="003A513D" w:rsidRPr="003A513D">
        <w:t>acogida</w:t>
      </w:r>
      <w:r w:rsidRPr="003A513D">
        <w:t xml:space="preserve"> y los que hablan idiomas minoritarios, ten</w:t>
      </w:r>
      <w:r w:rsidR="003A513D" w:rsidRPr="003A513D">
        <w:t>ga</w:t>
      </w:r>
      <w:r w:rsidRPr="003A513D">
        <w:t>n acceso a la enseñanza preescolar con arreglo a la Ley de los Jardines de Infancia, y para abordar las diferencias regionales en la enseñanza preescolar.</w:t>
      </w:r>
    </w:p>
    <w:p w:rsidR="00F72429" w:rsidRPr="003A513D" w:rsidRDefault="00F72429" w:rsidP="003A513D">
      <w:pPr>
        <w:pStyle w:val="SingleTxtG"/>
      </w:pPr>
      <w:r w:rsidRPr="003A513D">
        <w:lastRenderedPageBreak/>
        <w:t>31.</w:t>
      </w:r>
      <w:r w:rsidRPr="003A513D">
        <w:tab/>
        <w:t xml:space="preserve">Sírvanse proporcionar información sobre </w:t>
      </w:r>
      <w:r w:rsidR="003A513D" w:rsidRPr="003A513D">
        <w:t>la medida</w:t>
      </w:r>
      <w:r w:rsidRPr="003A513D">
        <w:t xml:space="preserve"> en que las </w:t>
      </w:r>
      <w:r w:rsidR="003A513D" w:rsidRPr="003A513D">
        <w:t>disposiciones</w:t>
      </w:r>
      <w:r w:rsidRPr="003A513D">
        <w:t xml:space="preserve"> adoptadas por el Estado parte promueven y preservan la</w:t>
      </w:r>
      <w:r w:rsidR="00E11D3B">
        <w:t xml:space="preserve"> identidad cultural de los sami</w:t>
      </w:r>
      <w:r w:rsidRPr="003A513D">
        <w:t>, incluidos sus idiomas, particularmente los que corren peligro de extinción, como el finlandés kven/noruego, y garantizar que se proporciona enseñanza adecuada en la lengua materna a los niños sami y a los niños de minorías nacionales.</w:t>
      </w:r>
    </w:p>
    <w:p w:rsidR="00F72429" w:rsidRPr="003A513D" w:rsidRDefault="00F72429" w:rsidP="00F72429">
      <w:pPr>
        <w:pStyle w:val="H1G"/>
      </w:pPr>
      <w:r w:rsidRPr="003A513D">
        <w:tab/>
        <w:t>C.</w:t>
      </w:r>
      <w:r w:rsidRPr="003A513D">
        <w:tab/>
        <w:t>Buenas prácticas</w:t>
      </w:r>
    </w:p>
    <w:p w:rsidR="00F72429" w:rsidRPr="003A513D" w:rsidRDefault="00F72429" w:rsidP="003A513D">
      <w:pPr>
        <w:pStyle w:val="SingleTxtG"/>
      </w:pPr>
      <w:r w:rsidRPr="003A513D">
        <w:t>32.</w:t>
      </w:r>
      <w:r w:rsidRPr="003A513D">
        <w:tab/>
        <w:t xml:space="preserve">Sírvanse facilitar información sobre las buenas prácticas en </w:t>
      </w:r>
      <w:r w:rsidR="003A513D" w:rsidRPr="003A513D">
        <w:t>la</w:t>
      </w:r>
      <w:r w:rsidRPr="003A513D">
        <w:t xml:space="preserve"> formulación y aplicación de políticas, establecidas por el Estado parte durante el último período de presentación de informes, que han contribuido de manera efectiva al </w:t>
      </w:r>
      <w:r w:rsidR="003A513D" w:rsidRPr="003A513D">
        <w:t>disfrute</w:t>
      </w:r>
      <w:r w:rsidRPr="003A513D">
        <w:t xml:space="preserve"> de los derechos económicos, sociales y culturales, en particular de las personas y grupos marginados y desfavorecidos. Sírvanse indicar cómo se han tenido en cuenta las anteriores observaciones finales del Comité en la elaboración de esas prácticas.</w:t>
      </w:r>
    </w:p>
    <w:p w:rsidR="00381C24" w:rsidRPr="003A513D" w:rsidRDefault="00F72429" w:rsidP="00F72429">
      <w:pPr>
        <w:pStyle w:val="SingleTxtG"/>
        <w:suppressAutoHyphens/>
        <w:spacing w:before="240" w:after="0"/>
        <w:jc w:val="center"/>
        <w:rPr>
          <w:u w:val="single"/>
        </w:rPr>
      </w:pPr>
      <w:r w:rsidRPr="003A513D">
        <w:rPr>
          <w:u w:val="single"/>
        </w:rPr>
        <w:tab/>
      </w:r>
      <w:r w:rsidRPr="003A513D">
        <w:rPr>
          <w:u w:val="single"/>
        </w:rPr>
        <w:tab/>
      </w:r>
      <w:r w:rsidRPr="003A513D">
        <w:rPr>
          <w:u w:val="single"/>
        </w:rPr>
        <w:tab/>
      </w:r>
    </w:p>
    <w:sectPr w:rsidR="00381C24" w:rsidRPr="003A513D" w:rsidSect="00E95C1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3D" w:rsidRPr="00093664" w:rsidRDefault="003A513D" w:rsidP="00093664">
      <w:pPr>
        <w:pStyle w:val="Piedepgina"/>
      </w:pPr>
    </w:p>
  </w:endnote>
  <w:endnote w:type="continuationSeparator" w:id="0">
    <w:p w:rsidR="003A513D" w:rsidRPr="00093664" w:rsidRDefault="003A513D"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3D" w:rsidRPr="00E95C19" w:rsidRDefault="003A513D" w:rsidP="00E95C19">
    <w:pPr>
      <w:pStyle w:val="Piedepgina"/>
      <w:tabs>
        <w:tab w:val="right" w:pos="9638"/>
      </w:tabs>
    </w:pPr>
    <w:r w:rsidRPr="00E95C19">
      <w:rPr>
        <w:b/>
        <w:sz w:val="18"/>
      </w:rPr>
      <w:fldChar w:fldCharType="begin"/>
    </w:r>
    <w:r w:rsidRPr="00E95C19">
      <w:rPr>
        <w:b/>
        <w:sz w:val="18"/>
      </w:rPr>
      <w:instrText xml:space="preserve"> PAGE  \* MERGEFORMAT </w:instrText>
    </w:r>
    <w:r w:rsidRPr="00E95C19">
      <w:rPr>
        <w:b/>
        <w:sz w:val="18"/>
      </w:rPr>
      <w:fldChar w:fldCharType="separate"/>
    </w:r>
    <w:r w:rsidR="00B756B0">
      <w:rPr>
        <w:b/>
        <w:noProof/>
        <w:sz w:val="18"/>
      </w:rPr>
      <w:t>2</w:t>
    </w:r>
    <w:r w:rsidRPr="00E95C19">
      <w:rPr>
        <w:b/>
        <w:sz w:val="18"/>
      </w:rPr>
      <w:fldChar w:fldCharType="end"/>
    </w:r>
    <w:r>
      <w:rPr>
        <w:b/>
        <w:sz w:val="18"/>
      </w:rPr>
      <w:tab/>
    </w:r>
    <w:r>
      <w:t>GE.18-19085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3D" w:rsidRPr="00E95C19" w:rsidRDefault="003A513D" w:rsidP="00E95C19">
    <w:pPr>
      <w:pStyle w:val="Piedepgina"/>
      <w:tabs>
        <w:tab w:val="right" w:pos="9638"/>
      </w:tabs>
      <w:rPr>
        <w:b/>
        <w:sz w:val="18"/>
      </w:rPr>
    </w:pPr>
    <w:r>
      <w:t>GE.18-19085</w:t>
    </w:r>
    <w:r>
      <w:tab/>
    </w:r>
    <w:r w:rsidRPr="00E95C19">
      <w:rPr>
        <w:b/>
        <w:sz w:val="18"/>
      </w:rPr>
      <w:fldChar w:fldCharType="begin"/>
    </w:r>
    <w:r w:rsidRPr="00E95C19">
      <w:rPr>
        <w:b/>
        <w:sz w:val="18"/>
      </w:rPr>
      <w:instrText xml:space="preserve"> PAGE  \* MERGEFORMAT </w:instrText>
    </w:r>
    <w:r w:rsidRPr="00E95C19">
      <w:rPr>
        <w:b/>
        <w:sz w:val="18"/>
      </w:rPr>
      <w:fldChar w:fldCharType="separate"/>
    </w:r>
    <w:r w:rsidR="00B756B0">
      <w:rPr>
        <w:b/>
        <w:noProof/>
        <w:sz w:val="18"/>
      </w:rPr>
      <w:t>7</w:t>
    </w:r>
    <w:r w:rsidRPr="00E95C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3D" w:rsidRPr="00E95C19" w:rsidRDefault="003A513D" w:rsidP="00E95C19">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18-19085  (S)    041218    041218</w:t>
    </w:r>
    <w:r>
      <w:rPr>
        <w:sz w:val="20"/>
      </w:rPr>
      <w:br/>
    </w:r>
    <w:r w:rsidRPr="00E95C19">
      <w:rPr>
        <w:rFonts w:ascii="C39T30Lfz" w:hAnsi="C39T30Lfz"/>
        <w:sz w:val="56"/>
      </w:rPr>
      <w:t></w:t>
    </w:r>
    <w:r w:rsidRPr="00E95C19">
      <w:rPr>
        <w:rFonts w:ascii="C39T30Lfz" w:hAnsi="C39T30Lfz"/>
        <w:sz w:val="56"/>
      </w:rPr>
      <w:t></w:t>
    </w:r>
    <w:r w:rsidRPr="00E95C19">
      <w:rPr>
        <w:rFonts w:ascii="C39T30Lfz" w:hAnsi="C39T30Lfz"/>
        <w:sz w:val="56"/>
      </w:rPr>
      <w:t></w:t>
    </w:r>
    <w:r w:rsidRPr="00E95C19">
      <w:rPr>
        <w:rFonts w:ascii="C39T30Lfz" w:hAnsi="C39T30Lfz"/>
        <w:sz w:val="56"/>
      </w:rPr>
      <w:t></w:t>
    </w:r>
    <w:r w:rsidRPr="00E95C19">
      <w:rPr>
        <w:rFonts w:ascii="C39T30Lfz" w:hAnsi="C39T30Lfz"/>
        <w:sz w:val="56"/>
      </w:rPr>
      <w:t></w:t>
    </w:r>
    <w:r w:rsidRPr="00E95C19">
      <w:rPr>
        <w:rFonts w:ascii="C39T30Lfz" w:hAnsi="C39T30Lfz"/>
        <w:sz w:val="56"/>
      </w:rPr>
      <w:t></w:t>
    </w:r>
    <w:r w:rsidRPr="00E95C19">
      <w:rPr>
        <w:rFonts w:ascii="C39T30Lfz" w:hAnsi="C39T30Lfz"/>
        <w:sz w:val="56"/>
      </w:rPr>
      <w:t></w:t>
    </w:r>
    <w:r w:rsidRPr="00E95C19">
      <w:rPr>
        <w:rFonts w:ascii="C39T30Lfz" w:hAnsi="C39T30Lfz"/>
        <w:sz w:val="56"/>
      </w:rPr>
      <w:t></w:t>
    </w:r>
    <w:r w:rsidRPr="00E95C1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NOR/QP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OR/QP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3D" w:rsidRPr="001075E9" w:rsidRDefault="003A513D" w:rsidP="001075E9">
      <w:pPr>
        <w:tabs>
          <w:tab w:val="right" w:pos="2155"/>
        </w:tabs>
        <w:spacing w:after="80" w:line="240" w:lineRule="auto"/>
        <w:ind w:left="680"/>
        <w:rPr>
          <w:u w:val="single"/>
        </w:rPr>
      </w:pPr>
      <w:r>
        <w:rPr>
          <w:u w:val="single"/>
        </w:rPr>
        <w:tab/>
      </w:r>
    </w:p>
  </w:footnote>
  <w:footnote w:type="continuationSeparator" w:id="0">
    <w:p w:rsidR="003A513D" w:rsidRDefault="003A513D" w:rsidP="00093664">
      <w:pPr>
        <w:tabs>
          <w:tab w:val="right" w:pos="2155"/>
        </w:tabs>
        <w:spacing w:after="80" w:line="240" w:lineRule="auto"/>
        <w:ind w:left="680"/>
        <w:rPr>
          <w:u w:val="single"/>
        </w:rPr>
      </w:pPr>
      <w:r>
        <w:rPr>
          <w:u w:val="single"/>
        </w:rPr>
        <w:tab/>
      </w:r>
    </w:p>
  </w:footnote>
  <w:footnote w:id="1">
    <w:p w:rsidR="003A513D" w:rsidRPr="00F72429" w:rsidRDefault="003A513D" w:rsidP="00E11D3B">
      <w:pPr>
        <w:pStyle w:val="Textonotapie"/>
        <w:rPr>
          <w:sz w:val="20"/>
        </w:rPr>
      </w:pPr>
      <w:r>
        <w:tab/>
      </w:r>
      <w:r w:rsidRPr="00F72429">
        <w:rPr>
          <w:rStyle w:val="Refdenotaalpie"/>
          <w:sz w:val="20"/>
          <w:vertAlign w:val="baseline"/>
        </w:rPr>
        <w:t>*</w:t>
      </w:r>
      <w:r w:rsidRPr="00F72429">
        <w:rPr>
          <w:rStyle w:val="Refdenotaalpie"/>
          <w:vertAlign w:val="baseline"/>
        </w:rPr>
        <w:tab/>
      </w:r>
      <w:r w:rsidRPr="005D0ED3">
        <w:t>Aprobada por el grupo de trabajo anterior al período de sesiones en su 63</w:t>
      </w:r>
      <w:r w:rsidR="00E11D3B" w:rsidRPr="00E11D3B">
        <w:rPr>
          <w:vertAlign w:val="superscript"/>
        </w:rPr>
        <w:t>er</w:t>
      </w:r>
      <w:r w:rsidRPr="005D0ED3">
        <w:t xml:space="preserve"> período de sesiones (15 a 19 de octubre de 2018).</w:t>
      </w:r>
    </w:p>
  </w:footnote>
  <w:footnote w:id="2">
    <w:p w:rsidR="003A513D" w:rsidRPr="005D0ED3" w:rsidRDefault="003A513D" w:rsidP="00DB42F9">
      <w:pPr>
        <w:pStyle w:val="Textonotapie"/>
      </w:pPr>
      <w:r w:rsidRPr="005D0ED3">
        <w:tab/>
      </w:r>
      <w:r w:rsidRPr="007E0E04">
        <w:rPr>
          <w:rStyle w:val="Refdenotaalpie"/>
        </w:rPr>
        <w:footnoteRef/>
      </w:r>
      <w:r w:rsidRPr="005D0ED3">
        <w:tab/>
        <w:t>Salvo indicación en contrario, los números de párrafo que figuran entre paréntesis se refieren a las anteriores observaciones finales del Comité.</w:t>
      </w:r>
    </w:p>
  </w:footnote>
  <w:footnote w:id="3">
    <w:p w:rsidR="003A513D" w:rsidRPr="000A7115" w:rsidRDefault="003A513D" w:rsidP="00DB42F9">
      <w:pPr>
        <w:pStyle w:val="Textonotapie"/>
      </w:pPr>
      <w:r w:rsidRPr="000A7115">
        <w:tab/>
      </w:r>
      <w:r w:rsidRPr="00906799">
        <w:rPr>
          <w:rStyle w:val="Refdenotaalpie"/>
        </w:rPr>
        <w:footnoteRef/>
      </w:r>
      <w:r w:rsidRPr="000A7115">
        <w:tab/>
        <w:t xml:space="preserve">Noruega, Ministerio de Gobierno Local y Modernización, </w:t>
      </w:r>
      <w:r>
        <w:t>“</w:t>
      </w:r>
      <w:r w:rsidRPr="000A7115">
        <w:t>Políticas noruegas de asimilación y asistencia hacia las poblaciones tater/romaníes desde 1850 hasta el presente</w:t>
      </w:r>
      <w:r>
        <w:t>”</w:t>
      </w:r>
      <w:r w:rsidRPr="000A7115">
        <w:t xml:space="preserve"> (Oslo,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3D" w:rsidRPr="00E95C19" w:rsidRDefault="00E4471F">
    <w:pPr>
      <w:pStyle w:val="Encabezado"/>
    </w:pPr>
    <w:fldSimple w:instr=" TITLE  \* MERGEFORMAT ">
      <w:r w:rsidR="00B756B0">
        <w:t>E/C.12/NOR/QPR/6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3D" w:rsidRPr="00E95C19" w:rsidRDefault="00E4471F" w:rsidP="00E95C19">
    <w:pPr>
      <w:pStyle w:val="Encabezado"/>
      <w:jc w:val="right"/>
    </w:pPr>
    <w:fldSimple w:instr=" TITLE  \* MERGEFORMAT ">
      <w:r w:rsidR="00B756B0">
        <w:t>E/C.12/NOR/QPR/6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15"/>
    <w:rsid w:val="00010F3B"/>
    <w:rsid w:val="00032D03"/>
    <w:rsid w:val="00060246"/>
    <w:rsid w:val="0007161B"/>
    <w:rsid w:val="0008650D"/>
    <w:rsid w:val="00086B64"/>
    <w:rsid w:val="00093664"/>
    <w:rsid w:val="000B57E7"/>
    <w:rsid w:val="000D359E"/>
    <w:rsid w:val="000F09DF"/>
    <w:rsid w:val="000F61B2"/>
    <w:rsid w:val="001075E9"/>
    <w:rsid w:val="00121CB9"/>
    <w:rsid w:val="00143FE5"/>
    <w:rsid w:val="00180183"/>
    <w:rsid w:val="00196389"/>
    <w:rsid w:val="001C7A89"/>
    <w:rsid w:val="001F3EC3"/>
    <w:rsid w:val="00205748"/>
    <w:rsid w:val="002967E3"/>
    <w:rsid w:val="002A2EFC"/>
    <w:rsid w:val="002D16F0"/>
    <w:rsid w:val="002D5AAC"/>
    <w:rsid w:val="00301299"/>
    <w:rsid w:val="00310BB0"/>
    <w:rsid w:val="00313431"/>
    <w:rsid w:val="00322004"/>
    <w:rsid w:val="003402C2"/>
    <w:rsid w:val="003538EB"/>
    <w:rsid w:val="00381C24"/>
    <w:rsid w:val="003958D0"/>
    <w:rsid w:val="003A513D"/>
    <w:rsid w:val="003B78B4"/>
    <w:rsid w:val="003D064D"/>
    <w:rsid w:val="0041031F"/>
    <w:rsid w:val="00454E07"/>
    <w:rsid w:val="004B19F2"/>
    <w:rsid w:val="0050108D"/>
    <w:rsid w:val="005016AF"/>
    <w:rsid w:val="005076AF"/>
    <w:rsid w:val="0052159C"/>
    <w:rsid w:val="00572E19"/>
    <w:rsid w:val="005F0B42"/>
    <w:rsid w:val="0064421C"/>
    <w:rsid w:val="00676CC8"/>
    <w:rsid w:val="006E27AD"/>
    <w:rsid w:val="006F35EE"/>
    <w:rsid w:val="00710CF8"/>
    <w:rsid w:val="00716C6F"/>
    <w:rsid w:val="007464CC"/>
    <w:rsid w:val="007B57DB"/>
    <w:rsid w:val="007D6339"/>
    <w:rsid w:val="007E2079"/>
    <w:rsid w:val="007E66A5"/>
    <w:rsid w:val="00802199"/>
    <w:rsid w:val="00830923"/>
    <w:rsid w:val="00834B71"/>
    <w:rsid w:val="0086445C"/>
    <w:rsid w:val="008A08D7"/>
    <w:rsid w:val="008A2015"/>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47DBC"/>
    <w:rsid w:val="00B62458"/>
    <w:rsid w:val="00B6350A"/>
    <w:rsid w:val="00B756B0"/>
    <w:rsid w:val="00B771DD"/>
    <w:rsid w:val="00BC161C"/>
    <w:rsid w:val="00BD33EE"/>
    <w:rsid w:val="00BE404B"/>
    <w:rsid w:val="00C377E3"/>
    <w:rsid w:val="00C60F0C"/>
    <w:rsid w:val="00C805C9"/>
    <w:rsid w:val="00CA1679"/>
    <w:rsid w:val="00CE34F5"/>
    <w:rsid w:val="00D738F9"/>
    <w:rsid w:val="00D759B3"/>
    <w:rsid w:val="00D90138"/>
    <w:rsid w:val="00D97076"/>
    <w:rsid w:val="00DB42F9"/>
    <w:rsid w:val="00DC6544"/>
    <w:rsid w:val="00E11D3B"/>
    <w:rsid w:val="00E3587C"/>
    <w:rsid w:val="00E4471F"/>
    <w:rsid w:val="00E44970"/>
    <w:rsid w:val="00E66998"/>
    <w:rsid w:val="00E73F76"/>
    <w:rsid w:val="00E95C19"/>
    <w:rsid w:val="00EF1360"/>
    <w:rsid w:val="00EF3220"/>
    <w:rsid w:val="00F33585"/>
    <w:rsid w:val="00F40ACA"/>
    <w:rsid w:val="00F72429"/>
    <w:rsid w:val="00F83027"/>
    <w:rsid w:val="00FB6CD8"/>
    <w:rsid w:val="00FD2EF7"/>
    <w:rsid w:val="00FE1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C8A5B2-BC19-48BB-923E-F30E8747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7434-BB28-48FA-908C-9EF0F9B4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8</Pages>
  <Words>4426</Words>
  <Characters>24349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E/C.12/NOR/QPR/6</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E/C.12/NOR/QPR/6</dc:title>
  <dc:subject/>
  <dc:creator>Juan-Carlos KOROL</dc:creator>
  <cp:keywords/>
  <cp:lastModifiedBy>Maria De La Plaza</cp:lastModifiedBy>
  <cp:revision>3</cp:revision>
  <cp:lastPrinted>2018-12-04T15:06:00Z</cp:lastPrinted>
  <dcterms:created xsi:type="dcterms:W3CDTF">2018-12-04T15:06:00Z</dcterms:created>
  <dcterms:modified xsi:type="dcterms:W3CDTF">2018-12-04T15:06:00Z</dcterms:modified>
</cp:coreProperties>
</file>