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4A0F52"/>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4A0F52" w:rsidP="004A0F52">
            <w:pPr>
              <w:jc w:val="right"/>
            </w:pPr>
            <w:r w:rsidRPr="004A0F52">
              <w:rPr>
                <w:sz w:val="40"/>
              </w:rPr>
              <w:t>E</w:t>
            </w:r>
            <w:r>
              <w:t>/C.12/60/D/17/2016</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4A0F52" w:rsidP="0002432E">
            <w:pPr>
              <w:spacing w:before="240"/>
            </w:pPr>
            <w:r>
              <w:t>Distr. générale</w:t>
            </w:r>
          </w:p>
          <w:p w:rsidR="004A0F52" w:rsidRDefault="007A6436" w:rsidP="004A0F52">
            <w:pPr>
              <w:spacing w:line="240" w:lineRule="exact"/>
            </w:pPr>
            <w:r>
              <w:t>10 </w:t>
            </w:r>
            <w:r w:rsidR="004A0F52">
              <w:t>avril 2017</w:t>
            </w:r>
          </w:p>
          <w:p w:rsidR="004A0F52" w:rsidRDefault="004A0F52" w:rsidP="004A0F52">
            <w:pPr>
              <w:spacing w:line="240" w:lineRule="exact"/>
            </w:pPr>
            <w:r>
              <w:t>Français</w:t>
            </w:r>
          </w:p>
          <w:p w:rsidR="004A0F52" w:rsidRPr="00DB58B5" w:rsidRDefault="004A0F52" w:rsidP="004A0F52">
            <w:pPr>
              <w:spacing w:line="240" w:lineRule="exact"/>
            </w:pPr>
            <w:r>
              <w:t>Original : espagnol</w:t>
            </w:r>
          </w:p>
        </w:tc>
      </w:tr>
    </w:tbl>
    <w:p w:rsidR="004A0F52" w:rsidRPr="00E043FE" w:rsidRDefault="004A0F52" w:rsidP="00967489">
      <w:pPr>
        <w:spacing w:before="120"/>
        <w:rPr>
          <w:b/>
          <w:sz w:val="24"/>
          <w:szCs w:val="24"/>
        </w:rPr>
      </w:pPr>
      <w:r w:rsidRPr="00E043FE">
        <w:rPr>
          <w:b/>
          <w:sz w:val="24"/>
          <w:szCs w:val="24"/>
        </w:rPr>
        <w:t>Comité des droits économiques, sociaux et culturels</w:t>
      </w:r>
    </w:p>
    <w:p w:rsidR="004A0F52" w:rsidRDefault="004A0F52" w:rsidP="00F6146F">
      <w:pPr>
        <w:pStyle w:val="HChG"/>
        <w:rPr>
          <w:sz w:val="20"/>
        </w:rPr>
      </w:pPr>
      <w:r w:rsidRPr="00E043FE">
        <w:tab/>
      </w:r>
      <w:r w:rsidRPr="00E043FE">
        <w:tab/>
      </w:r>
      <w:r w:rsidRPr="00E75485">
        <w:rPr>
          <w:lang w:val="fr-FR"/>
        </w:rPr>
        <w:t>Constatations ado</w:t>
      </w:r>
      <w:r w:rsidR="00B2719F">
        <w:rPr>
          <w:lang w:val="fr-FR"/>
        </w:rPr>
        <w:t xml:space="preserve">ptées par le Comité au titre du </w:t>
      </w:r>
      <w:r w:rsidRPr="00E75485">
        <w:rPr>
          <w:lang w:val="fr-FR"/>
        </w:rPr>
        <w:t xml:space="preserve">Protocole facultatif se rapportant au Pacte international relatif </w:t>
      </w:r>
      <w:r w:rsidR="00B2719F">
        <w:rPr>
          <w:lang w:val="fr-FR"/>
        </w:rPr>
        <w:br/>
      </w:r>
      <w:r w:rsidRPr="00E75485">
        <w:rPr>
          <w:lang w:val="fr-FR"/>
        </w:rPr>
        <w:t xml:space="preserve">aux </w:t>
      </w:r>
      <w:r>
        <w:rPr>
          <w:lang w:val="fr-FR"/>
        </w:rPr>
        <w:t xml:space="preserve">droits économiques, sociaux et culturels concernant </w:t>
      </w:r>
      <w:r w:rsidR="00F6146F">
        <w:rPr>
          <w:lang w:val="fr-FR"/>
        </w:rPr>
        <w:br/>
      </w:r>
      <w:r>
        <w:rPr>
          <w:lang w:val="fr-FR"/>
        </w:rPr>
        <w:t xml:space="preserve">la communication </w:t>
      </w:r>
      <w:r w:rsidRPr="004A0F52">
        <w:rPr>
          <w:rFonts w:eastAsia="MS Mincho"/>
          <w:szCs w:val="22"/>
          <w:lang w:val="fr-FR"/>
        </w:rPr>
        <w:t>n</w:t>
      </w:r>
      <w:r w:rsidRPr="004A0F52">
        <w:rPr>
          <w:rFonts w:eastAsia="MS Mincho"/>
          <w:szCs w:val="22"/>
          <w:vertAlign w:val="superscript"/>
          <w:lang w:val="fr-FR"/>
        </w:rPr>
        <w:t>o</w:t>
      </w:r>
      <w:r>
        <w:rPr>
          <w:lang w:val="fr-FR"/>
        </w:rPr>
        <w:t> 17/2016</w:t>
      </w:r>
      <w:r w:rsidRPr="004A0F52">
        <w:rPr>
          <w:rStyle w:val="Appelnotedebasdep"/>
          <w:b w:val="0"/>
          <w:sz w:val="20"/>
          <w:vertAlign w:val="baseline"/>
        </w:rPr>
        <w:footnoteReference w:customMarkFollows="1" w:id="2"/>
        <w:t>*</w:t>
      </w:r>
      <w:r w:rsidRPr="00AC2E28">
        <w:rPr>
          <w:b w:val="0"/>
          <w:position w:val="6"/>
          <w:sz w:val="20"/>
        </w:rPr>
        <w:t>,</w:t>
      </w:r>
      <w:r>
        <w:rPr>
          <w:sz w:val="20"/>
        </w:rPr>
        <w:t xml:space="preserve"> </w:t>
      </w:r>
      <w:r w:rsidRPr="004A0F52">
        <w:rPr>
          <w:rStyle w:val="Appelnotedebasdep"/>
          <w:b w:val="0"/>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4A0F52" w:rsidTr="00216E0F">
        <w:tc>
          <w:tcPr>
            <w:tcW w:w="2552" w:type="dxa"/>
          </w:tcPr>
          <w:p w:rsidR="004A0F52" w:rsidRDefault="004A0F52" w:rsidP="00216E0F">
            <w:pPr>
              <w:pStyle w:val="SingleTxtG"/>
              <w:ind w:left="0" w:right="0"/>
              <w:jc w:val="left"/>
              <w:rPr>
                <w:i/>
              </w:rPr>
            </w:pPr>
            <w:r>
              <w:rPr>
                <w:i/>
              </w:rPr>
              <w:t>Communication p</w:t>
            </w:r>
            <w:r w:rsidRPr="00FD511F">
              <w:rPr>
                <w:i/>
              </w:rPr>
              <w:t>résentée par</w:t>
            </w:r>
            <w:r>
              <w:t> :</w:t>
            </w:r>
          </w:p>
        </w:tc>
        <w:tc>
          <w:tcPr>
            <w:tcW w:w="4253" w:type="dxa"/>
          </w:tcPr>
          <w:p w:rsidR="004A0F52" w:rsidRPr="00AE68FC" w:rsidRDefault="004A0F52" w:rsidP="004A0F52">
            <w:pPr>
              <w:pStyle w:val="SingleTxtG"/>
              <w:ind w:left="0" w:right="0"/>
              <w:jc w:val="left"/>
            </w:pPr>
            <w:r w:rsidRPr="00E75485">
              <w:rPr>
                <w:lang w:val="fr-FR"/>
              </w:rPr>
              <w:t>A</w:t>
            </w:r>
            <w:r>
              <w:rPr>
                <w:lang w:val="fr-FR"/>
              </w:rPr>
              <w:t xml:space="preserve">. C. G. </w:t>
            </w:r>
            <w:r w:rsidRPr="00E75485">
              <w:rPr>
                <w:lang w:val="fr-FR"/>
              </w:rPr>
              <w:t xml:space="preserve">et consorts (représentés </w:t>
            </w:r>
            <w:r>
              <w:rPr>
                <w:spacing w:val="-2"/>
                <w:lang w:val="fr-FR"/>
              </w:rPr>
              <w:t>par un conseil, Antonio </w:t>
            </w:r>
            <w:r w:rsidRPr="00E75485">
              <w:rPr>
                <w:spacing w:val="-2"/>
                <w:lang w:val="fr-FR"/>
              </w:rPr>
              <w:t>Álvarez</w:t>
            </w:r>
            <w:r>
              <w:rPr>
                <w:spacing w:val="-2"/>
                <w:lang w:val="fr-FR"/>
              </w:rPr>
              <w:noBreakHyphen/>
              <w:t>Ossorio </w:t>
            </w:r>
            <w:r w:rsidRPr="00E75485">
              <w:rPr>
                <w:spacing w:val="-2"/>
                <w:lang w:val="fr-FR"/>
              </w:rPr>
              <w:t>Gálvez)</w:t>
            </w:r>
          </w:p>
        </w:tc>
      </w:tr>
      <w:tr w:rsidR="004A0F52" w:rsidTr="00216E0F">
        <w:tc>
          <w:tcPr>
            <w:tcW w:w="2552" w:type="dxa"/>
          </w:tcPr>
          <w:p w:rsidR="004A0F52" w:rsidRPr="00FD511F" w:rsidRDefault="004A0F52" w:rsidP="00216E0F">
            <w:pPr>
              <w:pStyle w:val="SingleTxtG"/>
              <w:ind w:left="0" w:right="0"/>
              <w:jc w:val="left"/>
              <w:rPr>
                <w:i/>
              </w:rPr>
            </w:pPr>
            <w:r w:rsidRPr="00FD511F">
              <w:rPr>
                <w:i/>
              </w:rPr>
              <w:t>Au nom de</w:t>
            </w:r>
            <w:r>
              <w:t> :</w:t>
            </w:r>
          </w:p>
        </w:tc>
        <w:tc>
          <w:tcPr>
            <w:tcW w:w="4253" w:type="dxa"/>
          </w:tcPr>
          <w:p w:rsidR="004A0F52" w:rsidRDefault="004A0F52" w:rsidP="00216E0F">
            <w:pPr>
              <w:pStyle w:val="SingleTxtG"/>
              <w:ind w:left="0" w:right="0"/>
              <w:jc w:val="left"/>
            </w:pPr>
            <w:r w:rsidRPr="00E75485">
              <w:rPr>
                <w:lang w:val="fr-FR"/>
              </w:rPr>
              <w:t>Les auteurs</w:t>
            </w:r>
          </w:p>
        </w:tc>
      </w:tr>
      <w:tr w:rsidR="004A0F52" w:rsidTr="00216E0F">
        <w:tc>
          <w:tcPr>
            <w:tcW w:w="2552" w:type="dxa"/>
          </w:tcPr>
          <w:p w:rsidR="004A0F52" w:rsidRPr="00FD511F" w:rsidRDefault="004A0F52" w:rsidP="00216E0F">
            <w:pPr>
              <w:pStyle w:val="SingleTxtG"/>
              <w:ind w:left="0" w:right="0"/>
              <w:jc w:val="left"/>
              <w:rPr>
                <w:i/>
              </w:rPr>
            </w:pPr>
            <w:r w:rsidRPr="00FD511F">
              <w:rPr>
                <w:i/>
              </w:rPr>
              <w:t>État partie</w:t>
            </w:r>
            <w:r>
              <w:t> :</w:t>
            </w:r>
          </w:p>
        </w:tc>
        <w:tc>
          <w:tcPr>
            <w:tcW w:w="4253" w:type="dxa"/>
          </w:tcPr>
          <w:p w:rsidR="004A0F52" w:rsidRDefault="004A0F52" w:rsidP="00216E0F">
            <w:pPr>
              <w:pStyle w:val="SingleTxtG"/>
              <w:ind w:left="0" w:right="0"/>
              <w:jc w:val="left"/>
            </w:pPr>
            <w:r w:rsidRPr="00E75485">
              <w:rPr>
                <w:lang w:val="fr-FR"/>
              </w:rPr>
              <w:t>Espagne</w:t>
            </w:r>
          </w:p>
        </w:tc>
      </w:tr>
      <w:tr w:rsidR="004A0F52" w:rsidTr="00216E0F">
        <w:tc>
          <w:tcPr>
            <w:tcW w:w="2552" w:type="dxa"/>
          </w:tcPr>
          <w:p w:rsidR="004A0F52" w:rsidRPr="00FD511F" w:rsidRDefault="004A0F52" w:rsidP="00753224">
            <w:pPr>
              <w:pStyle w:val="SingleTxtG"/>
              <w:ind w:left="0" w:right="0"/>
              <w:jc w:val="left"/>
              <w:rPr>
                <w:i/>
              </w:rPr>
            </w:pPr>
            <w:r w:rsidRPr="00FD511F">
              <w:rPr>
                <w:i/>
              </w:rPr>
              <w:t xml:space="preserve">Date de la </w:t>
            </w:r>
            <w:r w:rsidR="00753224">
              <w:rPr>
                <w:i/>
              </w:rPr>
              <w:t>communication</w:t>
            </w:r>
            <w:r>
              <w:t> :</w:t>
            </w:r>
          </w:p>
        </w:tc>
        <w:tc>
          <w:tcPr>
            <w:tcW w:w="4253" w:type="dxa"/>
          </w:tcPr>
          <w:p w:rsidR="004A0F52" w:rsidRDefault="004A0F52" w:rsidP="00216E0F">
            <w:pPr>
              <w:pStyle w:val="SingleTxtG"/>
              <w:ind w:left="0" w:right="0"/>
              <w:jc w:val="left"/>
            </w:pPr>
            <w:r w:rsidRPr="00E75485">
              <w:rPr>
                <w:lang w:val="fr-FR"/>
              </w:rPr>
              <w:t>23 septembre 2016</w:t>
            </w:r>
          </w:p>
        </w:tc>
      </w:tr>
      <w:tr w:rsidR="004A0F52" w:rsidTr="00216E0F">
        <w:tc>
          <w:tcPr>
            <w:tcW w:w="2552" w:type="dxa"/>
          </w:tcPr>
          <w:p w:rsidR="004A0F52" w:rsidRPr="00FD511F" w:rsidRDefault="004A0F52" w:rsidP="00753224">
            <w:pPr>
              <w:pStyle w:val="SingleTxtG"/>
              <w:ind w:left="0" w:right="0"/>
              <w:jc w:val="left"/>
              <w:rPr>
                <w:i/>
              </w:rPr>
            </w:pPr>
            <w:r w:rsidRPr="00FD511F">
              <w:rPr>
                <w:i/>
              </w:rPr>
              <w:t xml:space="preserve">Date de </w:t>
            </w:r>
            <w:r w:rsidR="00753224">
              <w:rPr>
                <w:i/>
              </w:rPr>
              <w:t xml:space="preserve">l’adoption </w:t>
            </w:r>
            <w:r w:rsidR="00AC2E28">
              <w:rPr>
                <w:i/>
              </w:rPr>
              <w:br/>
            </w:r>
            <w:r w:rsidR="00753224">
              <w:rPr>
                <w:i/>
              </w:rPr>
              <w:t>de la décision</w:t>
            </w:r>
            <w:r>
              <w:t> :</w:t>
            </w:r>
          </w:p>
        </w:tc>
        <w:tc>
          <w:tcPr>
            <w:tcW w:w="4253" w:type="dxa"/>
            <w:vAlign w:val="bottom"/>
          </w:tcPr>
          <w:p w:rsidR="004A0F52" w:rsidRDefault="004A0F52" w:rsidP="00216E0F">
            <w:pPr>
              <w:pStyle w:val="SingleTxtG"/>
              <w:ind w:left="0" w:right="0"/>
              <w:jc w:val="left"/>
            </w:pPr>
            <w:r>
              <w:rPr>
                <w:lang w:val="fr-FR"/>
              </w:rPr>
              <w:t>22 f</w:t>
            </w:r>
            <w:r w:rsidRPr="00E75485">
              <w:rPr>
                <w:lang w:val="fr-FR"/>
              </w:rPr>
              <w:t>évrier 2017</w:t>
            </w:r>
          </w:p>
        </w:tc>
      </w:tr>
      <w:tr w:rsidR="004A0F52" w:rsidTr="00216E0F">
        <w:tc>
          <w:tcPr>
            <w:tcW w:w="2552" w:type="dxa"/>
          </w:tcPr>
          <w:p w:rsidR="004A0F52" w:rsidRPr="00FD511F" w:rsidRDefault="004A0F52" w:rsidP="00216E0F">
            <w:pPr>
              <w:pStyle w:val="SingleTxtG"/>
              <w:ind w:left="0" w:right="0"/>
              <w:jc w:val="left"/>
              <w:rPr>
                <w:i/>
              </w:rPr>
            </w:pPr>
            <w:r w:rsidRPr="00E75485">
              <w:rPr>
                <w:i/>
                <w:lang w:val="fr-FR"/>
              </w:rPr>
              <w:t>Objet</w:t>
            </w:r>
            <w:r>
              <w:rPr>
                <w:i/>
                <w:lang w:val="fr-FR"/>
              </w:rPr>
              <w:t> :</w:t>
            </w:r>
          </w:p>
        </w:tc>
        <w:tc>
          <w:tcPr>
            <w:tcW w:w="4253" w:type="dxa"/>
            <w:vAlign w:val="bottom"/>
          </w:tcPr>
          <w:p w:rsidR="004A0F52" w:rsidRDefault="004A0F52" w:rsidP="00216E0F">
            <w:pPr>
              <w:pStyle w:val="SingleTxtG"/>
              <w:ind w:left="0" w:right="0"/>
              <w:jc w:val="left"/>
              <w:rPr>
                <w:lang w:val="fr-FR"/>
              </w:rPr>
            </w:pPr>
            <w:r w:rsidRPr="00E75485">
              <w:rPr>
                <w:lang w:val="fr-FR"/>
              </w:rPr>
              <w:t>Prestations sociales complémentaires prévues par une convention collective</w:t>
            </w:r>
          </w:p>
        </w:tc>
      </w:tr>
      <w:tr w:rsidR="004A0F52" w:rsidTr="00216E0F">
        <w:tc>
          <w:tcPr>
            <w:tcW w:w="2552" w:type="dxa"/>
          </w:tcPr>
          <w:p w:rsidR="004A0F52" w:rsidRPr="00FD511F" w:rsidRDefault="004A0F52" w:rsidP="00216E0F">
            <w:pPr>
              <w:pStyle w:val="SingleTxtG"/>
              <w:ind w:left="0" w:right="0"/>
              <w:jc w:val="left"/>
              <w:rPr>
                <w:i/>
              </w:rPr>
            </w:pPr>
            <w:r w:rsidRPr="00E75485">
              <w:rPr>
                <w:i/>
                <w:lang w:val="fr-FR"/>
              </w:rPr>
              <w:t>Questions de procédure</w:t>
            </w:r>
            <w:r>
              <w:rPr>
                <w:i/>
                <w:lang w:val="fr-FR"/>
              </w:rPr>
              <w:t> :</w:t>
            </w:r>
          </w:p>
        </w:tc>
        <w:tc>
          <w:tcPr>
            <w:tcW w:w="4253" w:type="dxa"/>
            <w:vAlign w:val="bottom"/>
          </w:tcPr>
          <w:p w:rsidR="004A0F52" w:rsidRDefault="004A0F52" w:rsidP="00216E0F">
            <w:pPr>
              <w:pStyle w:val="SingleTxtG"/>
              <w:ind w:left="0" w:right="0"/>
              <w:jc w:val="left"/>
              <w:rPr>
                <w:lang w:val="fr-FR"/>
              </w:rPr>
            </w:pPr>
            <w:r w:rsidRPr="00E75485">
              <w:rPr>
                <w:lang w:val="fr-FR"/>
              </w:rPr>
              <w:t xml:space="preserve">Soumission de la communication dans un délai </w:t>
            </w:r>
            <w:r w:rsidRPr="00E75485">
              <w:rPr>
                <w:lang w:val="fr-FR"/>
              </w:rPr>
              <w:br/>
              <w:t>d</w:t>
            </w:r>
            <w:r>
              <w:rPr>
                <w:lang w:val="fr-FR"/>
              </w:rPr>
              <w:t>’</w:t>
            </w:r>
            <w:r w:rsidRPr="00E75485">
              <w:rPr>
                <w:lang w:val="fr-FR"/>
              </w:rPr>
              <w:t xml:space="preserve">un an après épuisement des recours internes ; compétence </w:t>
            </w:r>
            <w:r w:rsidRPr="00E75485">
              <w:rPr>
                <w:i/>
                <w:lang w:val="fr-FR"/>
              </w:rPr>
              <w:t>ratione temporis</w:t>
            </w:r>
            <w:r w:rsidRPr="00E75485">
              <w:rPr>
                <w:lang w:val="fr-FR"/>
              </w:rPr>
              <w:t xml:space="preserve"> du Comité ; compétence </w:t>
            </w:r>
            <w:r w:rsidRPr="00E75485">
              <w:rPr>
                <w:i/>
                <w:lang w:val="fr-FR"/>
              </w:rPr>
              <w:t>ratione materiae</w:t>
            </w:r>
            <w:r w:rsidRPr="00E75485">
              <w:rPr>
                <w:lang w:val="fr-FR"/>
              </w:rPr>
              <w:t xml:space="preserve"> du Comité</w:t>
            </w:r>
          </w:p>
        </w:tc>
      </w:tr>
      <w:tr w:rsidR="004A0F52" w:rsidTr="00216E0F">
        <w:tc>
          <w:tcPr>
            <w:tcW w:w="2552" w:type="dxa"/>
          </w:tcPr>
          <w:p w:rsidR="004A0F52" w:rsidRPr="00FD511F" w:rsidRDefault="004A0F52" w:rsidP="00216E0F">
            <w:pPr>
              <w:pStyle w:val="SingleTxtG"/>
              <w:ind w:left="0" w:right="0"/>
              <w:jc w:val="left"/>
              <w:rPr>
                <w:i/>
              </w:rPr>
            </w:pPr>
            <w:r w:rsidRPr="00F65A2B">
              <w:rPr>
                <w:i/>
                <w:lang w:val="fr-FR"/>
              </w:rPr>
              <w:t>Questions de fond</w:t>
            </w:r>
            <w:r>
              <w:rPr>
                <w:i/>
                <w:lang w:val="fr-FR"/>
              </w:rPr>
              <w:t> :</w:t>
            </w:r>
          </w:p>
        </w:tc>
        <w:tc>
          <w:tcPr>
            <w:tcW w:w="4253" w:type="dxa"/>
            <w:vAlign w:val="bottom"/>
          </w:tcPr>
          <w:p w:rsidR="004A0F52" w:rsidRDefault="004A0F52" w:rsidP="00216E0F">
            <w:pPr>
              <w:pStyle w:val="SingleTxtG"/>
              <w:ind w:left="0" w:right="0"/>
              <w:jc w:val="left"/>
              <w:rPr>
                <w:lang w:val="fr-FR"/>
              </w:rPr>
            </w:pPr>
            <w:r w:rsidRPr="00F65A2B">
              <w:rPr>
                <w:lang w:val="fr-FR"/>
              </w:rPr>
              <w:t>Droit de jouir de conditions de travail justes et favorables ; droit à la sécurité sociale</w:t>
            </w:r>
          </w:p>
        </w:tc>
      </w:tr>
      <w:tr w:rsidR="004A0F52" w:rsidTr="00216E0F">
        <w:tc>
          <w:tcPr>
            <w:tcW w:w="2552" w:type="dxa"/>
          </w:tcPr>
          <w:p w:rsidR="004A0F52" w:rsidRPr="00FD511F" w:rsidRDefault="004A0F52" w:rsidP="00216E0F">
            <w:pPr>
              <w:pStyle w:val="SingleTxtG"/>
              <w:ind w:left="0" w:right="0"/>
              <w:jc w:val="left"/>
              <w:rPr>
                <w:i/>
              </w:rPr>
            </w:pPr>
            <w:r w:rsidRPr="00E75485">
              <w:rPr>
                <w:i/>
                <w:lang w:val="fr-FR"/>
              </w:rPr>
              <w:t>Article(s) du Pacte</w:t>
            </w:r>
            <w:r>
              <w:rPr>
                <w:i/>
                <w:lang w:val="fr-FR"/>
              </w:rPr>
              <w:t> :</w:t>
            </w:r>
          </w:p>
        </w:tc>
        <w:tc>
          <w:tcPr>
            <w:tcW w:w="4253" w:type="dxa"/>
            <w:vAlign w:val="bottom"/>
          </w:tcPr>
          <w:p w:rsidR="004A0F52" w:rsidRDefault="004A0F52" w:rsidP="00216E0F">
            <w:pPr>
              <w:pStyle w:val="SingleTxtG"/>
              <w:ind w:left="0" w:right="0"/>
              <w:jc w:val="left"/>
              <w:rPr>
                <w:lang w:val="fr-FR"/>
              </w:rPr>
            </w:pPr>
            <w:r w:rsidRPr="00E75485">
              <w:rPr>
                <w:lang w:val="fr-FR"/>
              </w:rPr>
              <w:t>7 et 9</w:t>
            </w:r>
          </w:p>
        </w:tc>
      </w:tr>
      <w:tr w:rsidR="004A0F52" w:rsidTr="00216E0F">
        <w:tc>
          <w:tcPr>
            <w:tcW w:w="2552" w:type="dxa"/>
          </w:tcPr>
          <w:p w:rsidR="004A0F52" w:rsidRPr="00FD511F" w:rsidRDefault="004A0F52" w:rsidP="00216E0F">
            <w:pPr>
              <w:pStyle w:val="SingleTxtG"/>
              <w:ind w:left="0" w:right="0"/>
              <w:jc w:val="left"/>
              <w:rPr>
                <w:i/>
              </w:rPr>
            </w:pPr>
            <w:r w:rsidRPr="00E75485">
              <w:rPr>
                <w:i/>
                <w:lang w:val="fr-FR"/>
              </w:rPr>
              <w:t>Article(s) du Protocole facultatif</w:t>
            </w:r>
            <w:r>
              <w:rPr>
                <w:i/>
                <w:lang w:val="fr-FR"/>
              </w:rPr>
              <w:t> :</w:t>
            </w:r>
          </w:p>
        </w:tc>
        <w:tc>
          <w:tcPr>
            <w:tcW w:w="4253" w:type="dxa"/>
            <w:vAlign w:val="bottom"/>
          </w:tcPr>
          <w:p w:rsidR="004A0F52" w:rsidRDefault="004A0F52" w:rsidP="00216E0F">
            <w:pPr>
              <w:pStyle w:val="SingleTxtG"/>
              <w:ind w:left="0" w:right="0"/>
              <w:jc w:val="left"/>
              <w:rPr>
                <w:lang w:val="fr-FR"/>
              </w:rPr>
            </w:pPr>
            <w:r w:rsidRPr="00E75485">
              <w:rPr>
                <w:lang w:val="fr-FR"/>
              </w:rPr>
              <w:t>2 et 3 (par. 2</w:t>
            </w:r>
            <w:r>
              <w:rPr>
                <w:lang w:val="fr-FR"/>
              </w:rPr>
              <w:t>, al.</w:t>
            </w:r>
            <w:r w:rsidRPr="00E75485">
              <w:rPr>
                <w:lang w:val="fr-FR"/>
              </w:rPr>
              <w:t> a) et b))</w:t>
            </w:r>
          </w:p>
        </w:tc>
      </w:tr>
    </w:tbl>
    <w:p w:rsidR="00744E14" w:rsidRPr="00E75485" w:rsidRDefault="004A0F52" w:rsidP="00744E14">
      <w:pPr>
        <w:pStyle w:val="SingleTxtG"/>
        <w:rPr>
          <w:lang w:val="fr-FR"/>
        </w:rPr>
      </w:pPr>
      <w:r>
        <w:br w:type="page"/>
      </w:r>
      <w:r w:rsidR="00744E14" w:rsidRPr="00E75485">
        <w:rPr>
          <w:lang w:val="fr-FR"/>
        </w:rPr>
        <w:lastRenderedPageBreak/>
        <w:t>1.1</w:t>
      </w:r>
      <w:r w:rsidR="00744E14" w:rsidRPr="00E75485">
        <w:rPr>
          <w:lang w:val="fr-FR"/>
        </w:rPr>
        <w:tab/>
        <w:t xml:space="preserve">Les auteurs de la communication sont </w:t>
      </w:r>
      <w:r w:rsidR="00744E14" w:rsidRPr="0009189C">
        <w:rPr>
          <w:lang w:val="fr-FR"/>
        </w:rPr>
        <w:t>A.</w:t>
      </w:r>
      <w:r w:rsidR="008E7D00">
        <w:rPr>
          <w:lang w:val="fr-FR"/>
        </w:rPr>
        <w:t> </w:t>
      </w:r>
      <w:r w:rsidR="00744E14" w:rsidRPr="0009189C">
        <w:rPr>
          <w:lang w:val="fr-FR"/>
        </w:rPr>
        <w:t>C.</w:t>
      </w:r>
      <w:r w:rsidR="008E7D00">
        <w:rPr>
          <w:lang w:val="fr-FR"/>
        </w:rPr>
        <w:t> </w:t>
      </w:r>
      <w:r w:rsidR="00744E14" w:rsidRPr="0009189C">
        <w:rPr>
          <w:lang w:val="fr-FR"/>
        </w:rPr>
        <w:t>G., F.</w:t>
      </w:r>
      <w:r w:rsidR="008E7D00">
        <w:rPr>
          <w:lang w:val="fr-FR"/>
        </w:rPr>
        <w:t> </w:t>
      </w:r>
      <w:r w:rsidR="00744E14" w:rsidRPr="0009189C">
        <w:rPr>
          <w:lang w:val="fr-FR"/>
        </w:rPr>
        <w:t>J.</w:t>
      </w:r>
      <w:r w:rsidR="008E7D00">
        <w:rPr>
          <w:lang w:val="fr-FR"/>
        </w:rPr>
        <w:t> </w:t>
      </w:r>
      <w:r w:rsidR="00744E14" w:rsidRPr="0009189C">
        <w:rPr>
          <w:lang w:val="fr-FR"/>
        </w:rPr>
        <w:t>C.</w:t>
      </w:r>
      <w:r w:rsidR="008E7D00">
        <w:rPr>
          <w:lang w:val="fr-FR"/>
        </w:rPr>
        <w:t> </w:t>
      </w:r>
      <w:r w:rsidR="00744E14" w:rsidRPr="0009189C">
        <w:rPr>
          <w:lang w:val="fr-FR"/>
        </w:rPr>
        <w:t>M., J.</w:t>
      </w:r>
      <w:r w:rsidR="008E7D00">
        <w:rPr>
          <w:lang w:val="fr-FR"/>
        </w:rPr>
        <w:t> </w:t>
      </w:r>
      <w:r w:rsidR="00744E14" w:rsidRPr="0009189C">
        <w:rPr>
          <w:lang w:val="fr-FR"/>
        </w:rPr>
        <w:t>C.</w:t>
      </w:r>
      <w:r w:rsidR="008E7D00">
        <w:rPr>
          <w:lang w:val="fr-FR"/>
        </w:rPr>
        <w:t> </w:t>
      </w:r>
      <w:r w:rsidR="00744E14" w:rsidRPr="0009189C">
        <w:rPr>
          <w:lang w:val="fr-FR"/>
        </w:rPr>
        <w:t>G.</w:t>
      </w:r>
      <w:r w:rsidR="00744E14">
        <w:rPr>
          <w:lang w:val="fr-FR"/>
        </w:rPr>
        <w:t>, P.</w:t>
      </w:r>
      <w:r w:rsidR="008E7D00">
        <w:rPr>
          <w:lang w:val="fr-FR"/>
        </w:rPr>
        <w:t> </w:t>
      </w:r>
      <w:r w:rsidR="00744E14">
        <w:rPr>
          <w:lang w:val="fr-FR"/>
        </w:rPr>
        <w:t>L.</w:t>
      </w:r>
      <w:r w:rsidR="008E7D00">
        <w:rPr>
          <w:lang w:val="fr-FR"/>
        </w:rPr>
        <w:t> </w:t>
      </w:r>
      <w:r w:rsidR="00744E14">
        <w:rPr>
          <w:lang w:val="fr-FR"/>
        </w:rPr>
        <w:t>L</w:t>
      </w:r>
      <w:r w:rsidR="00744E14" w:rsidRPr="0009189C">
        <w:rPr>
          <w:lang w:val="fr-FR"/>
        </w:rPr>
        <w:t>., J.</w:t>
      </w:r>
      <w:r w:rsidR="008E7D00">
        <w:rPr>
          <w:lang w:val="fr-FR"/>
        </w:rPr>
        <w:t> </w:t>
      </w:r>
      <w:r w:rsidR="00744E14" w:rsidRPr="0009189C">
        <w:rPr>
          <w:lang w:val="fr-FR"/>
        </w:rPr>
        <w:t>M.</w:t>
      </w:r>
      <w:r w:rsidR="008E7D00">
        <w:rPr>
          <w:lang w:val="fr-FR"/>
        </w:rPr>
        <w:t> </w:t>
      </w:r>
      <w:r w:rsidR="00744E14" w:rsidRPr="0009189C">
        <w:rPr>
          <w:lang w:val="fr-FR"/>
        </w:rPr>
        <w:t>G., F.</w:t>
      </w:r>
      <w:r w:rsidR="008E7D00">
        <w:rPr>
          <w:lang w:val="fr-FR"/>
        </w:rPr>
        <w:t> </w:t>
      </w:r>
      <w:r w:rsidR="00744E14" w:rsidRPr="0009189C">
        <w:rPr>
          <w:lang w:val="fr-FR"/>
        </w:rPr>
        <w:t>M.</w:t>
      </w:r>
      <w:r w:rsidR="008E7D00">
        <w:rPr>
          <w:lang w:val="fr-FR"/>
        </w:rPr>
        <w:t> </w:t>
      </w:r>
      <w:r w:rsidR="00744E14" w:rsidRPr="0009189C">
        <w:rPr>
          <w:lang w:val="fr-FR"/>
        </w:rPr>
        <w:t>M., J.</w:t>
      </w:r>
      <w:r w:rsidR="008E7D00">
        <w:rPr>
          <w:lang w:val="fr-FR"/>
        </w:rPr>
        <w:t> </w:t>
      </w:r>
      <w:r w:rsidR="00744E14" w:rsidRPr="0009189C">
        <w:rPr>
          <w:lang w:val="fr-FR"/>
        </w:rPr>
        <w:t>A.</w:t>
      </w:r>
      <w:r w:rsidR="008E7D00">
        <w:rPr>
          <w:lang w:val="fr-FR"/>
        </w:rPr>
        <w:t> </w:t>
      </w:r>
      <w:r w:rsidR="00744E14" w:rsidRPr="0009189C">
        <w:rPr>
          <w:lang w:val="fr-FR"/>
        </w:rPr>
        <w:t>S.</w:t>
      </w:r>
      <w:r w:rsidR="008E7D00">
        <w:rPr>
          <w:lang w:val="fr-FR"/>
        </w:rPr>
        <w:t> </w:t>
      </w:r>
      <w:r w:rsidR="00744E14" w:rsidRPr="0009189C">
        <w:rPr>
          <w:lang w:val="fr-FR"/>
        </w:rPr>
        <w:t>M., C.</w:t>
      </w:r>
      <w:r w:rsidR="008E7D00">
        <w:rPr>
          <w:lang w:val="fr-FR"/>
        </w:rPr>
        <w:t> </w:t>
      </w:r>
      <w:r w:rsidR="00744E14" w:rsidRPr="0009189C">
        <w:rPr>
          <w:lang w:val="fr-FR"/>
        </w:rPr>
        <w:t>L.</w:t>
      </w:r>
      <w:r w:rsidR="008E7D00">
        <w:rPr>
          <w:lang w:val="fr-FR"/>
        </w:rPr>
        <w:t> </w:t>
      </w:r>
      <w:r w:rsidR="00744E14" w:rsidRPr="0009189C">
        <w:rPr>
          <w:lang w:val="fr-FR"/>
        </w:rPr>
        <w:t>G., F.</w:t>
      </w:r>
      <w:r w:rsidR="008E7D00">
        <w:rPr>
          <w:lang w:val="fr-FR"/>
        </w:rPr>
        <w:t> </w:t>
      </w:r>
      <w:r w:rsidR="00744E14" w:rsidRPr="0009189C">
        <w:rPr>
          <w:lang w:val="fr-FR"/>
        </w:rPr>
        <w:t>E.</w:t>
      </w:r>
      <w:r w:rsidR="008E7D00">
        <w:rPr>
          <w:lang w:val="fr-FR"/>
        </w:rPr>
        <w:t> </w:t>
      </w:r>
      <w:r w:rsidR="00744E14" w:rsidRPr="0009189C">
        <w:rPr>
          <w:lang w:val="fr-FR"/>
        </w:rPr>
        <w:t>P., E.</w:t>
      </w:r>
      <w:r w:rsidR="008E7D00">
        <w:rPr>
          <w:lang w:val="fr-FR"/>
        </w:rPr>
        <w:t> </w:t>
      </w:r>
      <w:r w:rsidR="00744E14" w:rsidRPr="0009189C">
        <w:rPr>
          <w:lang w:val="fr-FR"/>
        </w:rPr>
        <w:t>G.</w:t>
      </w:r>
      <w:r w:rsidR="008E7D00">
        <w:rPr>
          <w:lang w:val="fr-FR"/>
        </w:rPr>
        <w:t> </w:t>
      </w:r>
      <w:r w:rsidR="00744E14" w:rsidRPr="0009189C">
        <w:rPr>
          <w:lang w:val="fr-FR"/>
        </w:rPr>
        <w:t>H., J.</w:t>
      </w:r>
      <w:r w:rsidR="008E7D00">
        <w:rPr>
          <w:lang w:val="fr-FR"/>
        </w:rPr>
        <w:t> </w:t>
      </w:r>
      <w:r w:rsidR="00744E14" w:rsidRPr="0009189C">
        <w:rPr>
          <w:lang w:val="fr-FR"/>
        </w:rPr>
        <w:t>V.</w:t>
      </w:r>
      <w:r w:rsidR="008E7D00">
        <w:rPr>
          <w:lang w:val="fr-FR"/>
        </w:rPr>
        <w:t> </w:t>
      </w:r>
      <w:r w:rsidR="00744E14" w:rsidRPr="0009189C">
        <w:rPr>
          <w:lang w:val="fr-FR"/>
        </w:rPr>
        <w:t>S., J.</w:t>
      </w:r>
      <w:r w:rsidR="008E7D00">
        <w:rPr>
          <w:lang w:val="fr-FR"/>
        </w:rPr>
        <w:t> </w:t>
      </w:r>
      <w:r w:rsidR="00744E14" w:rsidRPr="0009189C">
        <w:rPr>
          <w:lang w:val="fr-FR"/>
        </w:rPr>
        <w:t>J.</w:t>
      </w:r>
      <w:r w:rsidR="008E7D00">
        <w:rPr>
          <w:lang w:val="fr-FR"/>
        </w:rPr>
        <w:t> </w:t>
      </w:r>
      <w:r w:rsidR="00744E14" w:rsidRPr="0009189C">
        <w:rPr>
          <w:lang w:val="fr-FR"/>
        </w:rPr>
        <w:t>B.</w:t>
      </w:r>
      <w:r w:rsidR="008E7D00">
        <w:rPr>
          <w:lang w:val="fr-FR"/>
        </w:rPr>
        <w:t> </w:t>
      </w:r>
      <w:r w:rsidR="00744E14" w:rsidRPr="0009189C">
        <w:rPr>
          <w:lang w:val="fr-FR"/>
        </w:rPr>
        <w:t>G., J.</w:t>
      </w:r>
      <w:r w:rsidR="008E7D00">
        <w:rPr>
          <w:lang w:val="fr-FR"/>
        </w:rPr>
        <w:t> </w:t>
      </w:r>
      <w:r w:rsidR="00744E14" w:rsidRPr="0009189C">
        <w:rPr>
          <w:lang w:val="fr-FR"/>
        </w:rPr>
        <w:t>G.</w:t>
      </w:r>
      <w:r w:rsidR="008E7D00">
        <w:rPr>
          <w:lang w:val="fr-FR"/>
        </w:rPr>
        <w:t> </w:t>
      </w:r>
      <w:r w:rsidR="00744E14" w:rsidRPr="0009189C">
        <w:rPr>
          <w:lang w:val="fr-FR"/>
        </w:rPr>
        <w:t>L.</w:t>
      </w:r>
      <w:r w:rsidR="008E7D00">
        <w:rPr>
          <w:lang w:val="fr-FR"/>
        </w:rPr>
        <w:t> </w:t>
      </w:r>
      <w:r w:rsidR="00744E14" w:rsidRPr="0009189C">
        <w:rPr>
          <w:lang w:val="fr-FR"/>
        </w:rPr>
        <w:t>O., F.</w:t>
      </w:r>
      <w:r w:rsidR="008E7D00">
        <w:rPr>
          <w:lang w:val="fr-FR"/>
        </w:rPr>
        <w:t> </w:t>
      </w:r>
      <w:r w:rsidR="00744E14" w:rsidRPr="0009189C">
        <w:rPr>
          <w:lang w:val="fr-FR"/>
        </w:rPr>
        <w:t>G.</w:t>
      </w:r>
      <w:r w:rsidR="008E7D00">
        <w:rPr>
          <w:lang w:val="fr-FR"/>
        </w:rPr>
        <w:t> </w:t>
      </w:r>
      <w:r w:rsidR="00744E14" w:rsidRPr="0009189C">
        <w:rPr>
          <w:lang w:val="fr-FR"/>
        </w:rPr>
        <w:t>S., J.</w:t>
      </w:r>
      <w:r w:rsidR="008E7D00">
        <w:rPr>
          <w:lang w:val="fr-FR"/>
        </w:rPr>
        <w:t> </w:t>
      </w:r>
      <w:r w:rsidR="00744E14" w:rsidRPr="0009189C">
        <w:rPr>
          <w:lang w:val="fr-FR"/>
        </w:rPr>
        <w:t>R.</w:t>
      </w:r>
      <w:r w:rsidR="008E7D00">
        <w:rPr>
          <w:lang w:val="fr-FR"/>
        </w:rPr>
        <w:t> </w:t>
      </w:r>
      <w:r w:rsidR="00744E14" w:rsidRPr="0009189C">
        <w:rPr>
          <w:lang w:val="fr-FR"/>
        </w:rPr>
        <w:t>R., J.</w:t>
      </w:r>
      <w:r w:rsidR="008E7D00">
        <w:rPr>
          <w:lang w:val="fr-FR"/>
        </w:rPr>
        <w:t> </w:t>
      </w:r>
      <w:r w:rsidR="00744E14" w:rsidRPr="0009189C">
        <w:rPr>
          <w:lang w:val="fr-FR"/>
        </w:rPr>
        <w:t>M.</w:t>
      </w:r>
      <w:r w:rsidR="008E7D00">
        <w:rPr>
          <w:lang w:val="fr-FR"/>
        </w:rPr>
        <w:t> </w:t>
      </w:r>
      <w:r w:rsidR="00744E14" w:rsidRPr="0009189C">
        <w:rPr>
          <w:lang w:val="fr-FR"/>
        </w:rPr>
        <w:t>Y.</w:t>
      </w:r>
      <w:r w:rsidR="008E7D00">
        <w:rPr>
          <w:lang w:val="fr-FR"/>
        </w:rPr>
        <w:t> </w:t>
      </w:r>
      <w:r w:rsidR="00744E14" w:rsidRPr="0009189C">
        <w:rPr>
          <w:lang w:val="fr-FR"/>
        </w:rPr>
        <w:t>F., A.</w:t>
      </w:r>
      <w:r w:rsidR="008E7D00">
        <w:rPr>
          <w:lang w:val="fr-FR"/>
        </w:rPr>
        <w:t> </w:t>
      </w:r>
      <w:r w:rsidR="00744E14" w:rsidRPr="0009189C">
        <w:rPr>
          <w:lang w:val="fr-FR"/>
        </w:rPr>
        <w:t>C.</w:t>
      </w:r>
      <w:r w:rsidR="008E7D00">
        <w:rPr>
          <w:lang w:val="fr-FR"/>
        </w:rPr>
        <w:t> </w:t>
      </w:r>
      <w:r w:rsidR="00744E14" w:rsidRPr="0009189C">
        <w:rPr>
          <w:lang w:val="fr-FR"/>
        </w:rPr>
        <w:t>R., J.</w:t>
      </w:r>
      <w:r w:rsidR="008E7D00">
        <w:rPr>
          <w:lang w:val="fr-FR"/>
        </w:rPr>
        <w:t> </w:t>
      </w:r>
      <w:r w:rsidR="00744E14" w:rsidRPr="0009189C">
        <w:rPr>
          <w:lang w:val="fr-FR"/>
        </w:rPr>
        <w:t>M.</w:t>
      </w:r>
      <w:r w:rsidR="008E7D00">
        <w:rPr>
          <w:lang w:val="fr-FR"/>
        </w:rPr>
        <w:t> </w:t>
      </w:r>
      <w:r w:rsidR="00744E14" w:rsidRPr="0009189C">
        <w:rPr>
          <w:lang w:val="fr-FR"/>
        </w:rPr>
        <w:t>F., O.</w:t>
      </w:r>
      <w:r w:rsidR="008E7D00">
        <w:rPr>
          <w:lang w:val="fr-FR"/>
        </w:rPr>
        <w:t> </w:t>
      </w:r>
      <w:r w:rsidR="00744E14" w:rsidRPr="0009189C">
        <w:rPr>
          <w:lang w:val="fr-FR"/>
        </w:rPr>
        <w:t>M.</w:t>
      </w:r>
      <w:r w:rsidR="008E7D00">
        <w:rPr>
          <w:lang w:val="fr-FR"/>
        </w:rPr>
        <w:t> </w:t>
      </w:r>
      <w:r w:rsidR="00744E14" w:rsidRPr="0009189C">
        <w:rPr>
          <w:lang w:val="fr-FR"/>
        </w:rPr>
        <w:t>R., M.</w:t>
      </w:r>
      <w:r w:rsidR="008E7D00">
        <w:rPr>
          <w:lang w:val="fr-FR"/>
        </w:rPr>
        <w:t> </w:t>
      </w:r>
      <w:r w:rsidR="00744E14" w:rsidRPr="0009189C">
        <w:rPr>
          <w:lang w:val="fr-FR"/>
        </w:rPr>
        <w:t>O.</w:t>
      </w:r>
      <w:r w:rsidR="008E7D00">
        <w:rPr>
          <w:lang w:val="fr-FR"/>
        </w:rPr>
        <w:t> </w:t>
      </w:r>
      <w:r w:rsidR="00744E14" w:rsidRPr="0009189C">
        <w:rPr>
          <w:lang w:val="fr-FR"/>
        </w:rPr>
        <w:t>M., A.</w:t>
      </w:r>
      <w:r w:rsidR="008E7D00">
        <w:rPr>
          <w:lang w:val="fr-FR"/>
        </w:rPr>
        <w:t> </w:t>
      </w:r>
      <w:r w:rsidR="00744E14" w:rsidRPr="0009189C">
        <w:rPr>
          <w:lang w:val="fr-FR"/>
        </w:rPr>
        <w:t>L.</w:t>
      </w:r>
      <w:r w:rsidR="008E7D00">
        <w:rPr>
          <w:lang w:val="fr-FR"/>
        </w:rPr>
        <w:t> </w:t>
      </w:r>
      <w:r w:rsidR="00744E14" w:rsidRPr="0009189C">
        <w:rPr>
          <w:lang w:val="fr-FR"/>
        </w:rPr>
        <w:t>M.</w:t>
      </w:r>
      <w:r w:rsidR="00744E14">
        <w:rPr>
          <w:lang w:val="fr-FR"/>
        </w:rPr>
        <w:t xml:space="preserve"> et</w:t>
      </w:r>
      <w:r w:rsidR="00744E14" w:rsidRPr="0009189C">
        <w:rPr>
          <w:lang w:val="fr-FR"/>
        </w:rPr>
        <w:t xml:space="preserve"> P.</w:t>
      </w:r>
      <w:r w:rsidR="008E7D00">
        <w:rPr>
          <w:lang w:val="fr-FR"/>
        </w:rPr>
        <w:t> </w:t>
      </w:r>
      <w:r w:rsidR="00744E14" w:rsidRPr="0009189C">
        <w:rPr>
          <w:lang w:val="fr-FR"/>
        </w:rPr>
        <w:t>R.</w:t>
      </w:r>
      <w:r w:rsidR="008E7D00">
        <w:rPr>
          <w:lang w:val="fr-FR"/>
        </w:rPr>
        <w:t> </w:t>
      </w:r>
      <w:r w:rsidR="00744E14" w:rsidRPr="0009189C">
        <w:rPr>
          <w:lang w:val="fr-FR"/>
        </w:rPr>
        <w:t>M.</w:t>
      </w:r>
      <w:r w:rsidR="00744E14" w:rsidRPr="00E75485">
        <w:rPr>
          <w:lang w:val="fr-FR"/>
        </w:rPr>
        <w:t>, tous de nationalité espagnole et majeurs. Les auteurs affirment que l</w:t>
      </w:r>
      <w:r w:rsidR="00744E14">
        <w:rPr>
          <w:lang w:val="fr-FR"/>
        </w:rPr>
        <w:t>’</w:t>
      </w:r>
      <w:r w:rsidR="00744E14" w:rsidRPr="00E75485">
        <w:rPr>
          <w:lang w:val="fr-FR"/>
        </w:rPr>
        <w:t>État partie a violé les droits qu</w:t>
      </w:r>
      <w:r w:rsidR="00744E14">
        <w:rPr>
          <w:lang w:val="fr-FR"/>
        </w:rPr>
        <w:t>’</w:t>
      </w:r>
      <w:r w:rsidR="00744E14" w:rsidRPr="00E75485">
        <w:rPr>
          <w:lang w:val="fr-FR"/>
        </w:rPr>
        <w:t xml:space="preserve">ils tiennent des articles 7 et 9 du Pacte. </w:t>
      </w:r>
      <w:r w:rsidR="00744E14">
        <w:rPr>
          <w:lang w:val="fr-FR"/>
        </w:rPr>
        <w:t>Le Protocole facultatif est entré en vigueur pour l’État partie le 5 mai 2013. Les auteurs</w:t>
      </w:r>
      <w:r w:rsidR="00744E14" w:rsidRPr="00E75485">
        <w:rPr>
          <w:lang w:val="fr-FR"/>
        </w:rPr>
        <w:t> soutiennent également que l</w:t>
      </w:r>
      <w:r w:rsidR="00744E14">
        <w:rPr>
          <w:lang w:val="fr-FR"/>
        </w:rPr>
        <w:t>’</w:t>
      </w:r>
      <w:r w:rsidR="00744E14" w:rsidRPr="00E75485">
        <w:rPr>
          <w:lang w:val="fr-FR"/>
        </w:rPr>
        <w:t>État partie a enfreint les droits prévus au paragraphe 1 de l</w:t>
      </w:r>
      <w:r w:rsidR="00744E14">
        <w:rPr>
          <w:lang w:val="fr-FR"/>
        </w:rPr>
        <w:t>’</w:t>
      </w:r>
      <w:r w:rsidR="00744E14" w:rsidRPr="00E75485">
        <w:rPr>
          <w:lang w:val="fr-FR"/>
        </w:rPr>
        <w:t xml:space="preserve">article 12 et à </w:t>
      </w:r>
      <w:r w:rsidR="00744E14" w:rsidRPr="008B1528">
        <w:rPr>
          <w:lang w:val="fr-FR"/>
        </w:rPr>
        <w:t>l</w:t>
      </w:r>
      <w:r w:rsidR="00744E14">
        <w:rPr>
          <w:lang w:val="fr-FR"/>
        </w:rPr>
        <w:t>’</w:t>
      </w:r>
      <w:r w:rsidR="00744E14" w:rsidRPr="008B1528">
        <w:rPr>
          <w:lang w:val="fr-FR"/>
        </w:rPr>
        <w:t>article 26 du Pacte international relatif aux droits civils et politiques. Les auteurs sont représentés par un conseil.</w:t>
      </w:r>
    </w:p>
    <w:p w:rsidR="00744E14" w:rsidRDefault="00744E14" w:rsidP="00744E14">
      <w:pPr>
        <w:pStyle w:val="SingleTxtG"/>
        <w:rPr>
          <w:lang w:val="fr-FR"/>
        </w:rPr>
      </w:pPr>
      <w:r w:rsidRPr="00E75485">
        <w:rPr>
          <w:lang w:val="fr-FR"/>
        </w:rPr>
        <w:t>1.2</w:t>
      </w:r>
      <w:r w:rsidRPr="00E75485">
        <w:rPr>
          <w:lang w:val="fr-FR"/>
        </w:rPr>
        <w:tab/>
        <w:t>Le 2 décembre 2016, le Groupe de travail des communications, agissant au nom du Comité, a estimé que les observations de l</w:t>
      </w:r>
      <w:r>
        <w:rPr>
          <w:lang w:val="fr-FR"/>
        </w:rPr>
        <w:t>’</w:t>
      </w:r>
      <w:r w:rsidRPr="00E75485">
        <w:rPr>
          <w:lang w:val="fr-FR"/>
        </w:rPr>
        <w:t>État partie ne lui étaient pas nécessaires pour se prononcer sur la recevabilité de la communication. En conséquence, la présente communication n</w:t>
      </w:r>
      <w:r>
        <w:rPr>
          <w:lang w:val="fr-FR"/>
        </w:rPr>
        <w:t>’</w:t>
      </w:r>
      <w:r w:rsidRPr="00E75485">
        <w:rPr>
          <w:lang w:val="fr-FR"/>
        </w:rPr>
        <w:t>a pas été transmise à l</w:t>
      </w:r>
      <w:r>
        <w:rPr>
          <w:lang w:val="fr-FR"/>
        </w:rPr>
        <w:t>’</w:t>
      </w:r>
      <w:r w:rsidRPr="00E75485">
        <w:rPr>
          <w:lang w:val="fr-FR"/>
        </w:rPr>
        <w:t>État partie conformément au paragraphe 1 de l</w:t>
      </w:r>
      <w:r>
        <w:rPr>
          <w:lang w:val="fr-FR"/>
        </w:rPr>
        <w:t>’</w:t>
      </w:r>
      <w:r w:rsidRPr="00E75485">
        <w:rPr>
          <w:lang w:val="fr-FR"/>
        </w:rPr>
        <w:t>article 6 du Protocole facultatif.</w:t>
      </w:r>
    </w:p>
    <w:p w:rsidR="00744E14" w:rsidRPr="00935DF3" w:rsidRDefault="00744E14" w:rsidP="00744E14">
      <w:pPr>
        <w:pStyle w:val="H1G"/>
        <w:rPr>
          <w:lang w:val="fr-FR"/>
        </w:rPr>
      </w:pPr>
      <w:r>
        <w:rPr>
          <w:lang w:val="fr-FR"/>
        </w:rPr>
        <w:tab/>
        <w:t>A.</w:t>
      </w:r>
      <w:r>
        <w:rPr>
          <w:lang w:val="fr-FR"/>
        </w:rPr>
        <w:tab/>
      </w:r>
      <w:r w:rsidRPr="00935DF3">
        <w:rPr>
          <w:lang w:val="fr-FR"/>
        </w:rPr>
        <w:t>Résumé des renseignements f</w:t>
      </w:r>
      <w:r>
        <w:rPr>
          <w:lang w:val="fr-FR"/>
        </w:rPr>
        <w:t xml:space="preserve">ournis et des arguments avancés </w:t>
      </w:r>
      <w:r>
        <w:rPr>
          <w:lang w:val="fr-FR"/>
        </w:rPr>
        <w:br/>
      </w:r>
      <w:r w:rsidRPr="00935DF3">
        <w:rPr>
          <w:lang w:val="fr-FR"/>
        </w:rPr>
        <w:t>par les parties</w:t>
      </w:r>
    </w:p>
    <w:p w:rsidR="00744E14" w:rsidRPr="00E75485" w:rsidRDefault="00744E14" w:rsidP="00744E14">
      <w:pPr>
        <w:pStyle w:val="H23G"/>
        <w:rPr>
          <w:lang w:val="fr-FR"/>
        </w:rPr>
      </w:pPr>
      <w:r w:rsidRPr="00E75485">
        <w:rPr>
          <w:lang w:val="fr-FR"/>
        </w:rPr>
        <w:tab/>
      </w:r>
      <w:r w:rsidRPr="00E75485">
        <w:rPr>
          <w:lang w:val="fr-FR"/>
        </w:rPr>
        <w:tab/>
        <w:t>Rappel des faits présentés par les auteurs</w:t>
      </w:r>
    </w:p>
    <w:p w:rsidR="00744E14" w:rsidRPr="00E75485" w:rsidRDefault="00744E14" w:rsidP="00744E14">
      <w:pPr>
        <w:pStyle w:val="SingleTxtG"/>
        <w:rPr>
          <w:lang w:val="fr-FR"/>
        </w:rPr>
      </w:pPr>
      <w:r w:rsidRPr="00E75485">
        <w:rPr>
          <w:lang w:val="fr-FR"/>
        </w:rPr>
        <w:t>2.1</w:t>
      </w:r>
      <w:r w:rsidRPr="00E75485">
        <w:rPr>
          <w:lang w:val="fr-FR"/>
        </w:rPr>
        <w:tab/>
        <w:t>Les auteurs ont travaillé dans un établissement bancaire plusieurs dizaines d</w:t>
      </w:r>
      <w:r>
        <w:rPr>
          <w:lang w:val="fr-FR"/>
        </w:rPr>
        <w:t>’</w:t>
      </w:r>
      <w:r w:rsidRPr="00E75485">
        <w:rPr>
          <w:lang w:val="fr-FR"/>
        </w:rPr>
        <w:t>années, le début de la relation de travail remontant à di</w:t>
      </w:r>
      <w:r w:rsidR="008E7D00">
        <w:rPr>
          <w:lang w:val="fr-FR"/>
        </w:rPr>
        <w:t xml:space="preserve">fférentes dates comprises entre </w:t>
      </w:r>
      <w:r w:rsidRPr="00E75485">
        <w:rPr>
          <w:lang w:val="fr-FR"/>
        </w:rPr>
        <w:t xml:space="preserve">1962 et 1998. La relation de travail des auteurs avec la banque a </w:t>
      </w:r>
      <w:r w:rsidR="008E7D00">
        <w:rPr>
          <w:lang w:val="fr-FR"/>
        </w:rPr>
        <w:t>pris fin pour différents motifs − </w:t>
      </w:r>
      <w:r w:rsidRPr="00E75485">
        <w:rPr>
          <w:lang w:val="fr-FR"/>
        </w:rPr>
        <w:t>licenciement abusif, départ volontaire et cessation de la relation de travail à la suite d</w:t>
      </w:r>
      <w:r>
        <w:rPr>
          <w:lang w:val="fr-FR"/>
        </w:rPr>
        <w:t>’</w:t>
      </w:r>
      <w:r w:rsidRPr="00E75485">
        <w:rPr>
          <w:lang w:val="fr-FR"/>
        </w:rPr>
        <w:t>un c</w:t>
      </w:r>
      <w:r w:rsidR="008E7D00">
        <w:rPr>
          <w:lang w:val="fr-FR"/>
        </w:rPr>
        <w:t>ongé de longue durée, notamment − </w:t>
      </w:r>
      <w:r w:rsidRPr="00E75485">
        <w:rPr>
          <w:lang w:val="fr-FR"/>
        </w:rPr>
        <w:t>entre 1982 et 2005.</w:t>
      </w:r>
    </w:p>
    <w:p w:rsidR="00744E14" w:rsidRPr="00E75485" w:rsidRDefault="00744E14" w:rsidP="00744E14">
      <w:pPr>
        <w:pStyle w:val="SingleTxtG"/>
        <w:rPr>
          <w:lang w:val="fr-FR"/>
        </w:rPr>
      </w:pPr>
      <w:r w:rsidRPr="00E75485">
        <w:rPr>
          <w:lang w:val="fr-FR"/>
        </w:rPr>
        <w:t>2.2</w:t>
      </w:r>
      <w:r w:rsidRPr="00E75485">
        <w:rPr>
          <w:lang w:val="fr-FR"/>
        </w:rPr>
        <w:tab/>
        <w:t>Aux dates d</w:t>
      </w:r>
      <w:r>
        <w:rPr>
          <w:lang w:val="fr-FR"/>
        </w:rPr>
        <w:t>’</w:t>
      </w:r>
      <w:r w:rsidRPr="00E75485">
        <w:rPr>
          <w:lang w:val="fr-FR"/>
        </w:rPr>
        <w:t>extinction de la relation de travail des auteurs, la banque entretenait en faveur de ses employés un régime de prévoyance résultant des conventions collectives successives du secteur de la banque privée. Celles</w:t>
      </w:r>
      <w:r w:rsidR="00467343">
        <w:rPr>
          <w:lang w:val="fr-FR"/>
        </w:rPr>
        <w:noBreakHyphen/>
      </w:r>
      <w:r w:rsidRPr="00E75485">
        <w:rPr>
          <w:lang w:val="fr-FR"/>
        </w:rPr>
        <w:t>ci ont toutes été publiées au Journal officiel de l</w:t>
      </w:r>
      <w:r>
        <w:rPr>
          <w:lang w:val="fr-FR"/>
        </w:rPr>
        <w:t>’</w:t>
      </w:r>
      <w:r w:rsidRPr="00E75485">
        <w:rPr>
          <w:lang w:val="fr-FR"/>
        </w:rPr>
        <w:t>État partie en temps opportun. En vertu de ces conventions, la banque s</w:t>
      </w:r>
      <w:r>
        <w:rPr>
          <w:lang w:val="fr-FR"/>
        </w:rPr>
        <w:t>’</w:t>
      </w:r>
      <w:r w:rsidRPr="00E75485">
        <w:rPr>
          <w:lang w:val="fr-FR"/>
        </w:rPr>
        <w:t>engageait à compléter les prestations de sécurité sociale perçues par ses employés ou leurs ayants droit en cas de maladie, d</w:t>
      </w:r>
      <w:r>
        <w:rPr>
          <w:lang w:val="fr-FR"/>
        </w:rPr>
        <w:t>’</w:t>
      </w:r>
      <w:r w:rsidRPr="00E75485">
        <w:rPr>
          <w:lang w:val="fr-FR"/>
        </w:rPr>
        <w:t>incapacité permanente, de départ à la retraite ou de décès d</w:t>
      </w:r>
      <w:r>
        <w:rPr>
          <w:lang w:val="fr-FR"/>
        </w:rPr>
        <w:t>’</w:t>
      </w:r>
      <w:r w:rsidRPr="00E75485">
        <w:rPr>
          <w:lang w:val="fr-FR"/>
        </w:rPr>
        <w:t>un membre du personnel. La banque a constitué une provision comptable (fonds interne global non individualisé) pour garantir le versement de ces prestations complémentaires.</w:t>
      </w:r>
    </w:p>
    <w:p w:rsidR="00744E14" w:rsidRPr="00E75485" w:rsidRDefault="00744E14" w:rsidP="00744E14">
      <w:pPr>
        <w:pStyle w:val="SingleTxtG"/>
        <w:rPr>
          <w:lang w:val="fr-FR"/>
        </w:rPr>
      </w:pPr>
      <w:r w:rsidRPr="00E75485">
        <w:rPr>
          <w:lang w:val="fr-FR"/>
        </w:rPr>
        <w:t>2.3</w:t>
      </w:r>
      <w:r w:rsidRPr="00E75485">
        <w:rPr>
          <w:lang w:val="fr-FR"/>
        </w:rPr>
        <w:tab/>
        <w:t>Par la suite, les auteurs ont fait valoir auprès de la banque un droit de créance sur la provision mathématique correspondant aux engagements de pension pris en leur nom. La banque n</w:t>
      </w:r>
      <w:r>
        <w:rPr>
          <w:lang w:val="fr-FR"/>
        </w:rPr>
        <w:t>’</w:t>
      </w:r>
      <w:r w:rsidRPr="00E75485">
        <w:rPr>
          <w:lang w:val="fr-FR"/>
        </w:rPr>
        <w:t>a pas accédé à leur demande.</w:t>
      </w:r>
    </w:p>
    <w:p w:rsidR="00744E14" w:rsidRPr="00E75485" w:rsidRDefault="00744E14" w:rsidP="00744E14">
      <w:pPr>
        <w:pStyle w:val="SingleTxtG"/>
        <w:rPr>
          <w:lang w:val="fr-FR"/>
        </w:rPr>
      </w:pPr>
      <w:r w:rsidRPr="00E75485">
        <w:rPr>
          <w:lang w:val="fr-FR"/>
        </w:rPr>
        <w:t>2.4</w:t>
      </w:r>
      <w:r w:rsidRPr="00E75485">
        <w:rPr>
          <w:lang w:val="fr-FR"/>
        </w:rPr>
        <w:tab/>
        <w:t xml:space="preserve">Le 5 décembre 2008, les auteurs ont engagé une procédure contre la banque devant le Tribunal des affaires sociales </w:t>
      </w:r>
      <w:r w:rsidR="00467343" w:rsidRPr="00467343">
        <w:rPr>
          <w:rFonts w:eastAsia="MS Mincho"/>
          <w:szCs w:val="22"/>
          <w:lang w:val="fr-FR"/>
        </w:rPr>
        <w:t>n</w:t>
      </w:r>
      <w:r w:rsidR="00467343" w:rsidRPr="00467343">
        <w:rPr>
          <w:rFonts w:eastAsia="MS Mincho"/>
          <w:szCs w:val="22"/>
          <w:vertAlign w:val="superscript"/>
          <w:lang w:val="fr-FR"/>
        </w:rPr>
        <w:t>o</w:t>
      </w:r>
      <w:r w:rsidR="00467343">
        <w:rPr>
          <w:lang w:val="fr-FR"/>
        </w:rPr>
        <w:t> </w:t>
      </w:r>
      <w:r w:rsidRPr="00467343">
        <w:rPr>
          <w:lang w:val="fr-FR"/>
        </w:rPr>
        <w:t>15</w:t>
      </w:r>
      <w:r w:rsidRPr="00E75485">
        <w:rPr>
          <w:lang w:val="fr-FR"/>
        </w:rPr>
        <w:t xml:space="preserve"> de Madrid et ont demandé la reconnaissance de leur droit de créance et de leur droit au transfert ou à la mobilisation de la dotation individuelle dont ils étaient créditeurs, à concurrence du montant constitué dans le fonds interne de la banque à la date de la cessation de la relation de travail.</w:t>
      </w:r>
    </w:p>
    <w:p w:rsidR="00744E14" w:rsidRPr="00E75485" w:rsidRDefault="00744E14" w:rsidP="00744E14">
      <w:pPr>
        <w:pStyle w:val="SingleTxtG"/>
        <w:rPr>
          <w:lang w:val="fr-FR"/>
        </w:rPr>
      </w:pPr>
      <w:r w:rsidRPr="00E75485">
        <w:rPr>
          <w:lang w:val="fr-FR"/>
        </w:rPr>
        <w:t>2.5</w:t>
      </w:r>
      <w:r w:rsidRPr="00E75485">
        <w:rPr>
          <w:lang w:val="fr-FR"/>
        </w:rPr>
        <w:tab/>
        <w:t xml:space="preserve">Le 9 décembre 2008, le Tribunal </w:t>
      </w:r>
      <w:r w:rsidR="00467343" w:rsidRPr="00467343">
        <w:rPr>
          <w:rFonts w:eastAsia="MS Mincho"/>
          <w:szCs w:val="22"/>
          <w:lang w:val="fr-FR"/>
        </w:rPr>
        <w:t>n</w:t>
      </w:r>
      <w:r w:rsidR="00467343" w:rsidRPr="00467343">
        <w:rPr>
          <w:rFonts w:eastAsia="MS Mincho"/>
          <w:szCs w:val="22"/>
          <w:vertAlign w:val="superscript"/>
          <w:lang w:val="fr-FR"/>
        </w:rPr>
        <w:t>o</w:t>
      </w:r>
      <w:r w:rsidR="00467343">
        <w:rPr>
          <w:lang w:val="fr-FR"/>
        </w:rPr>
        <w:t> </w:t>
      </w:r>
      <w:r w:rsidRPr="00467343">
        <w:rPr>
          <w:lang w:val="fr-FR"/>
        </w:rPr>
        <w:t>15</w:t>
      </w:r>
      <w:r w:rsidRPr="00E75485">
        <w:rPr>
          <w:lang w:val="fr-FR"/>
        </w:rPr>
        <w:t xml:space="preserve"> a demandé aux auteurs de rectifier les irrégularités que comportait la demande, liées à l</w:t>
      </w:r>
      <w:r>
        <w:rPr>
          <w:lang w:val="fr-FR"/>
        </w:rPr>
        <w:t>’</w:t>
      </w:r>
      <w:r w:rsidRPr="00E75485">
        <w:rPr>
          <w:lang w:val="fr-FR"/>
        </w:rPr>
        <w:t>absence de signature d</w:t>
      </w:r>
      <w:r>
        <w:rPr>
          <w:lang w:val="fr-FR"/>
        </w:rPr>
        <w:t>’</w:t>
      </w:r>
      <w:r w:rsidRPr="00E75485">
        <w:rPr>
          <w:lang w:val="fr-FR"/>
        </w:rPr>
        <w:t>un conseil et au défaut d</w:t>
      </w:r>
      <w:r>
        <w:rPr>
          <w:lang w:val="fr-FR"/>
        </w:rPr>
        <w:t>’</w:t>
      </w:r>
      <w:r w:rsidRPr="00E75485">
        <w:rPr>
          <w:lang w:val="fr-FR"/>
        </w:rPr>
        <w:t>accréditation des représentants des auteurs. Le 22 décembre 2008, les auteurs, à l</w:t>
      </w:r>
      <w:r>
        <w:rPr>
          <w:lang w:val="fr-FR"/>
        </w:rPr>
        <w:t>’</w:t>
      </w:r>
      <w:r w:rsidRPr="00E75485">
        <w:rPr>
          <w:lang w:val="fr-FR"/>
        </w:rPr>
        <w:t xml:space="preserve">exception de </w:t>
      </w:r>
      <w:r>
        <w:rPr>
          <w:lang w:val="es-ES"/>
        </w:rPr>
        <w:t>M.</w:t>
      </w:r>
      <w:r w:rsidR="00467343">
        <w:rPr>
          <w:lang w:val="es-ES"/>
        </w:rPr>
        <w:t> </w:t>
      </w:r>
      <w:r>
        <w:rPr>
          <w:lang w:val="es-ES"/>
        </w:rPr>
        <w:t>O.</w:t>
      </w:r>
      <w:r w:rsidR="00467343">
        <w:rPr>
          <w:lang w:val="es-ES"/>
        </w:rPr>
        <w:t> </w:t>
      </w:r>
      <w:r>
        <w:rPr>
          <w:lang w:val="es-ES"/>
        </w:rPr>
        <w:t>M., A.</w:t>
      </w:r>
      <w:r w:rsidR="00467343">
        <w:rPr>
          <w:lang w:val="es-ES"/>
        </w:rPr>
        <w:t> </w:t>
      </w:r>
      <w:r>
        <w:rPr>
          <w:lang w:val="es-ES"/>
        </w:rPr>
        <w:t>L.</w:t>
      </w:r>
      <w:r w:rsidR="00467343">
        <w:rPr>
          <w:lang w:val="es-ES"/>
        </w:rPr>
        <w:t> </w:t>
      </w:r>
      <w:r>
        <w:rPr>
          <w:lang w:val="es-ES"/>
        </w:rPr>
        <w:t>M., P.</w:t>
      </w:r>
      <w:r w:rsidR="00467343">
        <w:rPr>
          <w:lang w:val="es-ES"/>
        </w:rPr>
        <w:t> </w:t>
      </w:r>
      <w:r>
        <w:rPr>
          <w:lang w:val="es-ES"/>
        </w:rPr>
        <w:t>R.</w:t>
      </w:r>
      <w:r w:rsidR="00467343">
        <w:rPr>
          <w:lang w:val="es-ES"/>
        </w:rPr>
        <w:t> </w:t>
      </w:r>
      <w:r>
        <w:rPr>
          <w:lang w:val="es-ES"/>
        </w:rPr>
        <w:t>M. et J.</w:t>
      </w:r>
      <w:r w:rsidR="00467343">
        <w:rPr>
          <w:lang w:val="es-ES"/>
        </w:rPr>
        <w:t> </w:t>
      </w:r>
      <w:r>
        <w:rPr>
          <w:lang w:val="es-ES"/>
        </w:rPr>
        <w:t>A.</w:t>
      </w:r>
      <w:r w:rsidR="00467343">
        <w:rPr>
          <w:lang w:val="es-ES"/>
        </w:rPr>
        <w:t> </w:t>
      </w:r>
      <w:r>
        <w:rPr>
          <w:lang w:val="es-ES"/>
        </w:rPr>
        <w:t>S.</w:t>
      </w:r>
      <w:r w:rsidR="00467343">
        <w:rPr>
          <w:lang w:val="es-ES"/>
        </w:rPr>
        <w:t> </w:t>
      </w:r>
      <w:r>
        <w:rPr>
          <w:lang w:val="es-ES"/>
        </w:rPr>
        <w:t>M.</w:t>
      </w:r>
      <w:r w:rsidRPr="00E75485">
        <w:rPr>
          <w:lang w:val="fr-FR"/>
        </w:rPr>
        <w:t>, ont présenté le document rectificatif correspondant. Bien que ces quatre auteurs n</w:t>
      </w:r>
      <w:r>
        <w:rPr>
          <w:lang w:val="fr-FR"/>
        </w:rPr>
        <w:t>’</w:t>
      </w:r>
      <w:r w:rsidRPr="00E75485">
        <w:rPr>
          <w:lang w:val="fr-FR"/>
        </w:rPr>
        <w:t>ai</w:t>
      </w:r>
      <w:r w:rsidR="00467343">
        <w:rPr>
          <w:lang w:val="fr-FR"/>
        </w:rPr>
        <w:t>ent présenté aucun document, le </w:t>
      </w:r>
      <w:r w:rsidRPr="00E75485">
        <w:rPr>
          <w:lang w:val="fr-FR"/>
        </w:rPr>
        <w:t xml:space="preserve">Tribunal </w:t>
      </w:r>
      <w:r w:rsidR="00467343" w:rsidRPr="00467343">
        <w:rPr>
          <w:rFonts w:eastAsia="MS Mincho"/>
          <w:szCs w:val="22"/>
          <w:lang w:val="fr-FR"/>
        </w:rPr>
        <w:t>n</w:t>
      </w:r>
      <w:r w:rsidR="00467343" w:rsidRPr="00467343">
        <w:rPr>
          <w:rFonts w:eastAsia="MS Mincho"/>
          <w:szCs w:val="22"/>
          <w:vertAlign w:val="superscript"/>
          <w:lang w:val="fr-FR"/>
        </w:rPr>
        <w:t>o</w:t>
      </w:r>
      <w:r w:rsidR="00467343">
        <w:rPr>
          <w:lang w:val="fr-FR"/>
        </w:rPr>
        <w:t> </w:t>
      </w:r>
      <w:r w:rsidRPr="00467343">
        <w:rPr>
          <w:lang w:val="fr-FR"/>
        </w:rPr>
        <w:t>15</w:t>
      </w:r>
      <w:r w:rsidRPr="00E75485">
        <w:rPr>
          <w:lang w:val="fr-FR"/>
        </w:rPr>
        <w:t xml:space="preserve"> a estimé le 29 mai 2009 qu</w:t>
      </w:r>
      <w:r>
        <w:rPr>
          <w:lang w:val="fr-FR"/>
        </w:rPr>
        <w:t>’</w:t>
      </w:r>
      <w:r w:rsidRPr="00E75485">
        <w:rPr>
          <w:lang w:val="fr-FR"/>
        </w:rPr>
        <w:t>il avait été remédié généralement aux irrégularités et a ouvert le procès.</w:t>
      </w:r>
    </w:p>
    <w:p w:rsidR="00744E14" w:rsidRPr="00E75485" w:rsidRDefault="00744E14" w:rsidP="00744E14">
      <w:pPr>
        <w:pStyle w:val="SingleTxtG"/>
        <w:rPr>
          <w:lang w:val="fr-FR"/>
        </w:rPr>
      </w:pPr>
      <w:r w:rsidRPr="00E75485">
        <w:rPr>
          <w:lang w:val="fr-FR"/>
        </w:rPr>
        <w:t>2.6</w:t>
      </w:r>
      <w:r w:rsidRPr="00E75485">
        <w:rPr>
          <w:lang w:val="fr-FR"/>
        </w:rPr>
        <w:tab/>
        <w:t>Le 9 octobre 2009, le Tribunal n</w:t>
      </w:r>
      <w:r w:rsidRPr="00E75485">
        <w:rPr>
          <w:vertAlign w:val="superscript"/>
          <w:lang w:val="fr-FR"/>
        </w:rPr>
        <w:t>o</w:t>
      </w:r>
      <w:r w:rsidRPr="00E75485">
        <w:rPr>
          <w:lang w:val="fr-FR"/>
        </w:rPr>
        <w:t> 15 a débouté les auteurs de leur demande. Il a considéré que les conventions collectives établissaient un droit à prestations en faveur des salariés (prestations complémentaires) lorsque le fait ouvrant droit à prestations s</w:t>
      </w:r>
      <w:r>
        <w:rPr>
          <w:lang w:val="fr-FR"/>
        </w:rPr>
        <w:t>’</w:t>
      </w:r>
      <w:r w:rsidRPr="00E75485">
        <w:rPr>
          <w:lang w:val="fr-FR"/>
        </w:rPr>
        <w:t>était produit ; que les conventions ne comportaient aucune disposition établissant un droit de créance sur les sommes respectives si l</w:t>
      </w:r>
      <w:r>
        <w:rPr>
          <w:lang w:val="fr-FR"/>
        </w:rPr>
        <w:t>’</w:t>
      </w:r>
      <w:r w:rsidRPr="00E75485">
        <w:rPr>
          <w:lang w:val="fr-FR"/>
        </w:rPr>
        <w:t xml:space="preserve">extinction du contrat de travail précédait la réalisation du fait ouvrant droit à prestations ; et que, partant, aussi longtemps que ce fait ne </w:t>
      </w:r>
      <w:r>
        <w:rPr>
          <w:lang w:val="fr-FR"/>
        </w:rPr>
        <w:t>s’était pas produit</w:t>
      </w:r>
      <w:r w:rsidRPr="00E75485">
        <w:rPr>
          <w:lang w:val="fr-FR"/>
        </w:rPr>
        <w:t>, le salarié ne disposait que de l</w:t>
      </w:r>
      <w:r>
        <w:rPr>
          <w:lang w:val="fr-FR"/>
        </w:rPr>
        <w:t>’</w:t>
      </w:r>
      <w:r w:rsidRPr="00E75485">
        <w:rPr>
          <w:lang w:val="fr-FR"/>
        </w:rPr>
        <w:t>expectative d</w:t>
      </w:r>
      <w:r>
        <w:rPr>
          <w:lang w:val="fr-FR"/>
        </w:rPr>
        <w:t>’</w:t>
      </w:r>
      <w:r w:rsidRPr="00E75485">
        <w:rPr>
          <w:lang w:val="fr-FR"/>
        </w:rPr>
        <w:t>un droit.</w:t>
      </w:r>
    </w:p>
    <w:p w:rsidR="00744E14" w:rsidRPr="00E75485" w:rsidRDefault="00744E14" w:rsidP="00744E14">
      <w:pPr>
        <w:pStyle w:val="SingleTxtG"/>
        <w:rPr>
          <w:lang w:val="fr-FR"/>
        </w:rPr>
      </w:pPr>
      <w:r w:rsidRPr="00E75485">
        <w:rPr>
          <w:lang w:val="fr-FR"/>
        </w:rPr>
        <w:lastRenderedPageBreak/>
        <w:t>2.7</w:t>
      </w:r>
      <w:r w:rsidRPr="00E75485">
        <w:rPr>
          <w:lang w:val="fr-FR"/>
        </w:rPr>
        <w:tab/>
        <w:t>Le 1</w:t>
      </w:r>
      <w:r w:rsidRPr="00E75485">
        <w:rPr>
          <w:vertAlign w:val="superscript"/>
          <w:lang w:val="fr-FR"/>
        </w:rPr>
        <w:t>er</w:t>
      </w:r>
      <w:r w:rsidRPr="00E75485">
        <w:rPr>
          <w:lang w:val="fr-FR"/>
        </w:rPr>
        <w:t> décembre 2009, les auteurs ont déposé collectivement une demande d</w:t>
      </w:r>
      <w:r>
        <w:rPr>
          <w:lang w:val="fr-FR"/>
        </w:rPr>
        <w:t>’</w:t>
      </w:r>
      <w:r w:rsidRPr="00E75485">
        <w:rPr>
          <w:lang w:val="fr-FR"/>
        </w:rPr>
        <w:t>annulation du jugement devant le Tribunal n</w:t>
      </w:r>
      <w:r w:rsidRPr="00E75485">
        <w:rPr>
          <w:vertAlign w:val="superscript"/>
          <w:lang w:val="fr-FR"/>
        </w:rPr>
        <w:t>o</w:t>
      </w:r>
      <w:r w:rsidRPr="00E75485">
        <w:rPr>
          <w:lang w:val="fr-FR"/>
        </w:rPr>
        <w:t> 15, en faisant valoir que le jugement avait été prononcé en l</w:t>
      </w:r>
      <w:r>
        <w:rPr>
          <w:lang w:val="fr-FR"/>
        </w:rPr>
        <w:t>’</w:t>
      </w:r>
      <w:r w:rsidRPr="00E75485">
        <w:rPr>
          <w:lang w:val="fr-FR"/>
        </w:rPr>
        <w:t>absence de représentation au procès</w:t>
      </w:r>
      <w:r w:rsidR="004C78A5">
        <w:rPr>
          <w:lang w:val="fr-FR"/>
        </w:rPr>
        <w:t xml:space="preserve"> de quatre des demandeurs (voir </w:t>
      </w:r>
      <w:r w:rsidRPr="00E75485">
        <w:rPr>
          <w:lang w:val="fr-FR"/>
        </w:rPr>
        <w:t>par. 2.4). Le 28 décembre 2009, le Tribunal n</w:t>
      </w:r>
      <w:r w:rsidRPr="00E75485">
        <w:rPr>
          <w:vertAlign w:val="superscript"/>
          <w:lang w:val="fr-FR"/>
        </w:rPr>
        <w:t>o</w:t>
      </w:r>
      <w:r w:rsidRPr="00E75485">
        <w:rPr>
          <w:lang w:val="fr-FR"/>
        </w:rPr>
        <w:t> 15 a rejeté la demande d</w:t>
      </w:r>
      <w:r>
        <w:rPr>
          <w:lang w:val="fr-FR"/>
        </w:rPr>
        <w:t>’</w:t>
      </w:r>
      <w:r w:rsidRPr="00E75485">
        <w:rPr>
          <w:lang w:val="fr-FR"/>
        </w:rPr>
        <w:t>annulation, en considérant qu</w:t>
      </w:r>
      <w:r>
        <w:rPr>
          <w:lang w:val="fr-FR"/>
        </w:rPr>
        <w:t>’</w:t>
      </w:r>
      <w:r w:rsidRPr="00E75485">
        <w:rPr>
          <w:lang w:val="fr-FR"/>
        </w:rPr>
        <w:t>elle ne répondait à aucun des critères définis à l</w:t>
      </w:r>
      <w:r>
        <w:rPr>
          <w:lang w:val="fr-FR"/>
        </w:rPr>
        <w:t>’</w:t>
      </w:r>
      <w:r w:rsidRPr="00E75485">
        <w:rPr>
          <w:lang w:val="fr-FR"/>
        </w:rPr>
        <w:t>article 241 de la loi organique relative au pouvoir judiciaire, et que les auteurs eux-mêmes étaient à l</w:t>
      </w:r>
      <w:r>
        <w:rPr>
          <w:lang w:val="fr-FR"/>
        </w:rPr>
        <w:t>’</w:t>
      </w:r>
      <w:r w:rsidRPr="00E75485">
        <w:rPr>
          <w:lang w:val="fr-FR"/>
        </w:rPr>
        <w:t>origine du manquement invoqué.</w:t>
      </w:r>
    </w:p>
    <w:p w:rsidR="00744E14" w:rsidRPr="00E75485" w:rsidRDefault="00744E14" w:rsidP="00744E14">
      <w:pPr>
        <w:pStyle w:val="SingleTxtG"/>
        <w:rPr>
          <w:lang w:val="fr-FR"/>
        </w:rPr>
      </w:pPr>
      <w:r w:rsidRPr="00C63CE2">
        <w:rPr>
          <w:spacing w:val="-2"/>
          <w:lang w:val="fr-FR"/>
        </w:rPr>
        <w:t>2.8</w:t>
      </w:r>
      <w:r w:rsidRPr="00C63CE2">
        <w:rPr>
          <w:spacing w:val="-2"/>
          <w:lang w:val="fr-FR"/>
        </w:rPr>
        <w:tab/>
        <w:t xml:space="preserve">Les auteurs ont formé un recours en </w:t>
      </w:r>
      <w:r w:rsidRPr="00C63CE2">
        <w:rPr>
          <w:i/>
          <w:spacing w:val="-2"/>
          <w:lang w:val="fr-FR"/>
        </w:rPr>
        <w:t>amparo</w:t>
      </w:r>
      <w:r w:rsidRPr="00C63CE2">
        <w:rPr>
          <w:spacing w:val="-2"/>
          <w:lang w:val="fr-FR"/>
        </w:rPr>
        <w:t xml:space="preserve"> devant le Tribunal constitutionnel et invoqué la violation du droit à une protection juridictionnelle effective. Le 17 décembre 2010, le Tribunal constitutionnel a rejeté le recours en </w:t>
      </w:r>
      <w:r w:rsidRPr="00C63CE2">
        <w:rPr>
          <w:i/>
          <w:spacing w:val="-2"/>
          <w:lang w:val="fr-FR"/>
        </w:rPr>
        <w:t>amparo</w:t>
      </w:r>
      <w:r w:rsidRPr="00C63CE2">
        <w:rPr>
          <w:spacing w:val="-2"/>
          <w:lang w:val="fr-FR"/>
        </w:rPr>
        <w:t xml:space="preserve"> au motif que les auteurs n’avaient pas démontré l’importance constitutionnelle spéciale du recours, ainsi que le prescrit le paragraphe 1 de l’article 49 de la loi organique portant s</w:t>
      </w:r>
      <w:r w:rsidR="00467343" w:rsidRPr="00C63CE2">
        <w:rPr>
          <w:spacing w:val="-2"/>
          <w:lang w:val="fr-FR"/>
        </w:rPr>
        <w:t>ur le Tribunal </w:t>
      </w:r>
      <w:r w:rsidRPr="00C63CE2">
        <w:rPr>
          <w:spacing w:val="-2"/>
          <w:lang w:val="fr-FR"/>
        </w:rPr>
        <w:t>constitutionnel</w:t>
      </w:r>
      <w:r w:rsidRPr="00E75485">
        <w:rPr>
          <w:lang w:val="fr-FR"/>
        </w:rPr>
        <w:t>.</w:t>
      </w:r>
    </w:p>
    <w:p w:rsidR="00744E14" w:rsidRPr="00E75485" w:rsidRDefault="00744E14" w:rsidP="00744E14">
      <w:pPr>
        <w:pStyle w:val="SingleTxtG"/>
        <w:rPr>
          <w:lang w:val="fr-FR"/>
        </w:rPr>
      </w:pPr>
      <w:r w:rsidRPr="00E75485">
        <w:rPr>
          <w:lang w:val="fr-FR"/>
        </w:rPr>
        <w:t>2.9</w:t>
      </w:r>
      <w:r w:rsidRPr="00E75485">
        <w:rPr>
          <w:lang w:val="fr-FR"/>
        </w:rPr>
        <w:tab/>
        <w:t xml:space="preserve">Les auteurs font valoir que, le 22 juin 2011, ils avaient adressé une note à la Cour européenne des droits de </w:t>
      </w:r>
      <w:r>
        <w:rPr>
          <w:lang w:val="fr-FR"/>
        </w:rPr>
        <w:t>l’homme</w:t>
      </w:r>
      <w:r w:rsidRPr="00E75485">
        <w:rPr>
          <w:lang w:val="fr-FR"/>
        </w:rPr>
        <w:t xml:space="preserve"> informant celle-ci de leur intention de présenter une requête, et que le secrétariat de la </w:t>
      </w:r>
      <w:r>
        <w:rPr>
          <w:lang w:val="fr-FR"/>
        </w:rPr>
        <w:t xml:space="preserve">Cour européenne </w:t>
      </w:r>
      <w:r w:rsidRPr="00E75485">
        <w:rPr>
          <w:lang w:val="fr-FR"/>
        </w:rPr>
        <w:t>avait accusé réception de la note et leur avait envoyé un exemplaire du formulaire de requête officiel.</w:t>
      </w:r>
    </w:p>
    <w:p w:rsidR="00744E14" w:rsidRPr="00E75485" w:rsidRDefault="00744E14" w:rsidP="00744E14">
      <w:pPr>
        <w:pStyle w:val="H23G"/>
        <w:rPr>
          <w:lang w:val="fr-FR"/>
        </w:rPr>
      </w:pPr>
      <w:r w:rsidRPr="00E75485">
        <w:rPr>
          <w:lang w:val="fr-FR"/>
        </w:rPr>
        <w:tab/>
      </w:r>
      <w:r w:rsidRPr="00E75485">
        <w:rPr>
          <w:lang w:val="fr-FR"/>
        </w:rPr>
        <w:tab/>
        <w:t>Teneur de la plainte</w:t>
      </w:r>
    </w:p>
    <w:p w:rsidR="00744E14" w:rsidRPr="00E75485" w:rsidRDefault="00744E14" w:rsidP="00744E14">
      <w:pPr>
        <w:pStyle w:val="SingleTxtG"/>
        <w:rPr>
          <w:lang w:val="fr-FR"/>
        </w:rPr>
      </w:pPr>
      <w:r w:rsidRPr="00E75485">
        <w:rPr>
          <w:lang w:val="fr-FR"/>
        </w:rPr>
        <w:t>3.1</w:t>
      </w:r>
      <w:r w:rsidRPr="00E75485">
        <w:rPr>
          <w:lang w:val="fr-FR"/>
        </w:rPr>
        <w:tab/>
        <w:t>Les auteurs affirment que l</w:t>
      </w:r>
      <w:r>
        <w:rPr>
          <w:lang w:val="fr-FR"/>
        </w:rPr>
        <w:t>’</w:t>
      </w:r>
      <w:r w:rsidRPr="00E75485">
        <w:rPr>
          <w:lang w:val="fr-FR"/>
        </w:rPr>
        <w:t>État partie a violé les droits qu</w:t>
      </w:r>
      <w:r>
        <w:rPr>
          <w:lang w:val="fr-FR"/>
        </w:rPr>
        <w:t>’</w:t>
      </w:r>
      <w:r w:rsidRPr="00E75485">
        <w:rPr>
          <w:lang w:val="fr-FR"/>
        </w:rPr>
        <w:t>ils tiennent des articles 7 et 9 du Pacte. Ils soutiennent également que l</w:t>
      </w:r>
      <w:r>
        <w:rPr>
          <w:lang w:val="fr-FR"/>
        </w:rPr>
        <w:t>’</w:t>
      </w:r>
      <w:r w:rsidRPr="00E75485">
        <w:rPr>
          <w:lang w:val="fr-FR"/>
        </w:rPr>
        <w:t>État partie a enfreint les droits prévus au paragraphe 1 de l</w:t>
      </w:r>
      <w:r>
        <w:rPr>
          <w:lang w:val="fr-FR"/>
        </w:rPr>
        <w:t>’</w:t>
      </w:r>
      <w:r w:rsidRPr="00E75485">
        <w:rPr>
          <w:lang w:val="fr-FR"/>
        </w:rPr>
        <w:t>article 12 et à l</w:t>
      </w:r>
      <w:r>
        <w:rPr>
          <w:lang w:val="fr-FR"/>
        </w:rPr>
        <w:t>’</w:t>
      </w:r>
      <w:r w:rsidRPr="00E75485">
        <w:rPr>
          <w:lang w:val="fr-FR"/>
        </w:rPr>
        <w:t>article 26 du Pacte international relatif aux droits civils et politiques.</w:t>
      </w:r>
    </w:p>
    <w:p w:rsidR="00744E14" w:rsidRPr="00E75485" w:rsidRDefault="00744E14" w:rsidP="00744E14">
      <w:pPr>
        <w:pStyle w:val="SingleTxtG"/>
        <w:rPr>
          <w:lang w:val="fr-FR"/>
        </w:rPr>
      </w:pPr>
      <w:r w:rsidRPr="00E75485">
        <w:rPr>
          <w:lang w:val="fr-FR"/>
        </w:rPr>
        <w:t>3.2</w:t>
      </w:r>
      <w:r w:rsidRPr="00E75485">
        <w:rPr>
          <w:lang w:val="fr-FR"/>
        </w:rPr>
        <w:tab/>
        <w:t>Les auteurs demandent au Comité de constater la violation des articles invoqués et de prévoir une indemnisation au titre des dommages</w:t>
      </w:r>
      <w:r w:rsidR="00F77070">
        <w:rPr>
          <w:lang w:val="fr-FR"/>
        </w:rPr>
        <w:noBreakHyphen/>
      </w:r>
      <w:r w:rsidRPr="00E75485">
        <w:rPr>
          <w:lang w:val="fr-FR"/>
        </w:rPr>
        <w:t>intérêts et des frais de procédure.</w:t>
      </w:r>
    </w:p>
    <w:p w:rsidR="00744E14" w:rsidRPr="00CD6577" w:rsidRDefault="00744E14" w:rsidP="00744E14">
      <w:pPr>
        <w:pStyle w:val="H1G"/>
        <w:rPr>
          <w:bCs/>
          <w:lang w:val="fr-FR"/>
        </w:rPr>
      </w:pPr>
      <w:r>
        <w:rPr>
          <w:lang w:val="fr-FR"/>
        </w:rPr>
        <w:tab/>
        <w:t>B.</w:t>
      </w:r>
      <w:r>
        <w:rPr>
          <w:lang w:val="fr-FR"/>
        </w:rPr>
        <w:tab/>
      </w:r>
      <w:r w:rsidRPr="00E75485">
        <w:rPr>
          <w:lang w:val="fr-FR"/>
        </w:rPr>
        <w:t>Délibérations du Comité</w:t>
      </w:r>
      <w:r>
        <w:rPr>
          <w:lang w:val="fr-FR"/>
        </w:rPr>
        <w:t xml:space="preserve"> sur la recevabilité</w:t>
      </w:r>
    </w:p>
    <w:p w:rsidR="00744E14" w:rsidRPr="00E75485" w:rsidRDefault="00744E14" w:rsidP="00744E14">
      <w:pPr>
        <w:pStyle w:val="SingleTxtG"/>
        <w:rPr>
          <w:lang w:val="fr-FR"/>
        </w:rPr>
      </w:pPr>
      <w:r w:rsidRPr="00E75485">
        <w:rPr>
          <w:lang w:val="fr-FR"/>
        </w:rPr>
        <w:t>4.1</w:t>
      </w:r>
      <w:r w:rsidRPr="00E75485">
        <w:rPr>
          <w:lang w:val="fr-FR"/>
        </w:rPr>
        <w:tab/>
        <w:t>Avant d</w:t>
      </w:r>
      <w:r>
        <w:rPr>
          <w:lang w:val="fr-FR"/>
        </w:rPr>
        <w:t>’</w:t>
      </w:r>
      <w:r w:rsidRPr="00E75485">
        <w:rPr>
          <w:lang w:val="fr-FR"/>
        </w:rPr>
        <w:t>examiner toute plainte soumise dans une communication, le Comité doit, conformément à l</w:t>
      </w:r>
      <w:r>
        <w:rPr>
          <w:lang w:val="fr-FR"/>
        </w:rPr>
        <w:t>’</w:t>
      </w:r>
      <w:r w:rsidRPr="00E75485">
        <w:rPr>
          <w:lang w:val="fr-FR"/>
        </w:rPr>
        <w:t xml:space="preserve">article 9 de son règlement intérieur provisoire </w:t>
      </w:r>
      <w:r>
        <w:rPr>
          <w:lang w:val="fr-FR"/>
        </w:rPr>
        <w:t>relatif au Protocole facultatif</w:t>
      </w:r>
      <w:r w:rsidRPr="00E75485">
        <w:rPr>
          <w:lang w:val="fr-FR"/>
        </w:rPr>
        <w:t>, déterminer si la communication est recevable en vertu du Protocole facultatif.</w:t>
      </w:r>
      <w:bookmarkStart w:id="0" w:name="_Toc356915313"/>
      <w:bookmarkEnd w:id="0"/>
    </w:p>
    <w:p w:rsidR="00744E14" w:rsidRPr="00E75485" w:rsidRDefault="00744E14" w:rsidP="00744E14">
      <w:pPr>
        <w:pStyle w:val="SingleTxtG"/>
        <w:rPr>
          <w:lang w:val="fr-FR"/>
        </w:rPr>
      </w:pPr>
      <w:r w:rsidRPr="00E75485">
        <w:rPr>
          <w:lang w:val="fr-FR"/>
        </w:rPr>
        <w:t>4.2</w:t>
      </w:r>
      <w:r w:rsidRPr="00E75485">
        <w:rPr>
          <w:lang w:val="fr-FR"/>
        </w:rPr>
        <w:tab/>
        <w:t xml:space="preserve">Le Comité est compétent </w:t>
      </w:r>
      <w:r w:rsidRPr="00E75485">
        <w:rPr>
          <w:i/>
          <w:lang w:val="fr-FR"/>
        </w:rPr>
        <w:t>ratione materiae</w:t>
      </w:r>
      <w:r w:rsidRPr="00E75485">
        <w:rPr>
          <w:lang w:val="fr-FR"/>
        </w:rPr>
        <w:t xml:space="preserve"> pour examiner les allégations de violation de tout droit économique, social ou cul</w:t>
      </w:r>
      <w:r>
        <w:rPr>
          <w:lang w:val="fr-FR"/>
        </w:rPr>
        <w:t>turel visé par le Pacte</w:t>
      </w:r>
      <w:r w:rsidRPr="00E75485">
        <w:rPr>
          <w:lang w:val="fr-FR"/>
        </w:rPr>
        <w:t>. En conséquence, le Comité déclare irrecevables les plaintes des auteurs relatives au paragraphe 1 de l</w:t>
      </w:r>
      <w:r>
        <w:rPr>
          <w:lang w:val="fr-FR"/>
        </w:rPr>
        <w:t>’</w:t>
      </w:r>
      <w:r w:rsidRPr="00E75485">
        <w:rPr>
          <w:lang w:val="fr-FR"/>
        </w:rPr>
        <w:t>articl</w:t>
      </w:r>
      <w:r w:rsidR="00F77070">
        <w:rPr>
          <w:lang w:val="fr-FR"/>
        </w:rPr>
        <w:t>e </w:t>
      </w:r>
      <w:r>
        <w:rPr>
          <w:lang w:val="fr-FR"/>
        </w:rPr>
        <w:t xml:space="preserve">12 </w:t>
      </w:r>
      <w:r w:rsidR="00F77070">
        <w:rPr>
          <w:lang w:val="fr-FR"/>
        </w:rPr>
        <w:t>du </w:t>
      </w:r>
      <w:r>
        <w:rPr>
          <w:lang w:val="fr-FR"/>
        </w:rPr>
        <w:t xml:space="preserve">Pacte et à l’article 26 du Pacte </w:t>
      </w:r>
      <w:r w:rsidRPr="00E75485">
        <w:rPr>
          <w:lang w:val="fr-FR"/>
        </w:rPr>
        <w:t>international relatif aux droits civils et politiques, conformément à l</w:t>
      </w:r>
      <w:r>
        <w:rPr>
          <w:lang w:val="fr-FR"/>
        </w:rPr>
        <w:t>’</w:t>
      </w:r>
      <w:r w:rsidRPr="00E75485">
        <w:rPr>
          <w:lang w:val="fr-FR"/>
        </w:rPr>
        <w:t>alinéa d) du paragraphe 2 de l</w:t>
      </w:r>
      <w:r>
        <w:rPr>
          <w:lang w:val="fr-FR"/>
        </w:rPr>
        <w:t>’</w:t>
      </w:r>
      <w:r w:rsidRPr="00E75485">
        <w:rPr>
          <w:lang w:val="fr-FR"/>
        </w:rPr>
        <w:t>article 3 du Protocole facultatif</w:t>
      </w:r>
      <w:r w:rsidRPr="0054115E">
        <w:rPr>
          <w:rStyle w:val="Appelnotedebasdep"/>
        </w:rPr>
        <w:footnoteReference w:id="4"/>
      </w:r>
      <w:r w:rsidR="00F77070">
        <w:rPr>
          <w:lang w:val="fr-FR"/>
        </w:rPr>
        <w:t>.</w:t>
      </w:r>
    </w:p>
    <w:p w:rsidR="00744E14" w:rsidRDefault="00744E14" w:rsidP="00744E14">
      <w:pPr>
        <w:pStyle w:val="SingleTxtG"/>
        <w:rPr>
          <w:lang w:val="fr-FR"/>
        </w:rPr>
      </w:pPr>
      <w:r w:rsidRPr="00E75485">
        <w:rPr>
          <w:lang w:val="fr-FR"/>
        </w:rPr>
        <w:t>4.3</w:t>
      </w:r>
      <w:r w:rsidRPr="00E75485">
        <w:rPr>
          <w:lang w:val="fr-FR"/>
        </w:rPr>
        <w:tab/>
        <w:t>Le Comité rappelle que le Protocole facultatif est entré en vigueur pour l</w:t>
      </w:r>
      <w:r>
        <w:rPr>
          <w:lang w:val="fr-FR"/>
        </w:rPr>
        <w:t>’</w:t>
      </w:r>
      <w:r w:rsidRPr="00E75485">
        <w:rPr>
          <w:lang w:val="fr-FR"/>
        </w:rPr>
        <w:t>État partie le 5 mai 2013 et que, conformément à l</w:t>
      </w:r>
      <w:r>
        <w:rPr>
          <w:lang w:val="fr-FR"/>
        </w:rPr>
        <w:t>’</w:t>
      </w:r>
      <w:r w:rsidRPr="00E75485">
        <w:rPr>
          <w:lang w:val="fr-FR"/>
        </w:rPr>
        <w:t>alinéa b) du paragraphe 2 de l</w:t>
      </w:r>
      <w:r>
        <w:rPr>
          <w:lang w:val="fr-FR"/>
        </w:rPr>
        <w:t>’</w:t>
      </w:r>
      <w:r w:rsidRPr="00E75485">
        <w:rPr>
          <w:lang w:val="fr-FR"/>
        </w:rPr>
        <w:t>article 3 du Protocole facultatif, le Comité doit déclarer irrecevable toute communication portant sur des faits antérieurs à la date d</w:t>
      </w:r>
      <w:r>
        <w:rPr>
          <w:lang w:val="fr-FR"/>
        </w:rPr>
        <w:t>’</w:t>
      </w:r>
      <w:r w:rsidRPr="00E75485">
        <w:rPr>
          <w:lang w:val="fr-FR"/>
        </w:rPr>
        <w:t>entrée en vigueur du Protocole facultatif à l</w:t>
      </w:r>
      <w:r>
        <w:rPr>
          <w:lang w:val="fr-FR"/>
        </w:rPr>
        <w:t>’</w:t>
      </w:r>
      <w:r w:rsidRPr="00E75485">
        <w:rPr>
          <w:lang w:val="fr-FR"/>
        </w:rPr>
        <w:t>égard de l</w:t>
      </w:r>
      <w:r>
        <w:rPr>
          <w:lang w:val="fr-FR"/>
        </w:rPr>
        <w:t>’</w:t>
      </w:r>
      <w:r w:rsidRPr="00E75485">
        <w:rPr>
          <w:lang w:val="fr-FR"/>
        </w:rPr>
        <w:t>État partie intéressé, à moins que ces faits ne persistent après cette date. En l</w:t>
      </w:r>
      <w:r>
        <w:rPr>
          <w:lang w:val="fr-FR"/>
        </w:rPr>
        <w:t>’</w:t>
      </w:r>
      <w:r w:rsidRPr="00E75485">
        <w:rPr>
          <w:lang w:val="fr-FR"/>
        </w:rPr>
        <w:t>espèce, le Comité constate que les faits sur lesquels porte la communication, y compris l</w:t>
      </w:r>
      <w:r>
        <w:rPr>
          <w:lang w:val="fr-FR"/>
        </w:rPr>
        <w:t>’</w:t>
      </w:r>
      <w:r w:rsidRPr="00E75485">
        <w:rPr>
          <w:lang w:val="fr-FR"/>
        </w:rPr>
        <w:t>ensemble des décisions judiciaires des autorités nationales concernant l</w:t>
      </w:r>
      <w:r>
        <w:rPr>
          <w:lang w:val="fr-FR"/>
        </w:rPr>
        <w:t>’</w:t>
      </w:r>
      <w:r w:rsidRPr="00E75485">
        <w:rPr>
          <w:lang w:val="fr-FR"/>
        </w:rPr>
        <w:t>affaire, se sont produits avant le 5 mai 2013. Il ne ressort pas des informations fournies par les auteurs que des faits susceptibles de constituer en tant que tels une violation du Pacte aient persisté après l</w:t>
      </w:r>
      <w:r>
        <w:rPr>
          <w:lang w:val="fr-FR"/>
        </w:rPr>
        <w:t>’</w:t>
      </w:r>
      <w:r w:rsidRPr="00E75485">
        <w:rPr>
          <w:lang w:val="fr-FR"/>
        </w:rPr>
        <w:t xml:space="preserve">entrée en vigueur du Protocole facultatif. Par conséquent, le Comité se considère empêché </w:t>
      </w:r>
      <w:r w:rsidRPr="00E75485">
        <w:rPr>
          <w:i/>
          <w:lang w:val="fr-FR"/>
        </w:rPr>
        <w:t>ratione temporis</w:t>
      </w:r>
      <w:r w:rsidRPr="00E75485">
        <w:rPr>
          <w:lang w:val="fr-FR"/>
        </w:rPr>
        <w:t xml:space="preserve"> d</w:t>
      </w:r>
      <w:r>
        <w:rPr>
          <w:lang w:val="fr-FR"/>
        </w:rPr>
        <w:t>’</w:t>
      </w:r>
      <w:r w:rsidRPr="00E75485">
        <w:rPr>
          <w:lang w:val="fr-FR"/>
        </w:rPr>
        <w:t>examiner la présente communication et estime que celle-ci est irrecevable conformément à l</w:t>
      </w:r>
      <w:r>
        <w:rPr>
          <w:lang w:val="fr-FR"/>
        </w:rPr>
        <w:t>’</w:t>
      </w:r>
      <w:r w:rsidR="00994E57">
        <w:rPr>
          <w:lang w:val="fr-FR"/>
        </w:rPr>
        <w:t>alinéa b) du paragraphe </w:t>
      </w:r>
      <w:r w:rsidRPr="00E75485">
        <w:rPr>
          <w:lang w:val="fr-FR"/>
        </w:rPr>
        <w:t>2 de l</w:t>
      </w:r>
      <w:r>
        <w:rPr>
          <w:lang w:val="fr-FR"/>
        </w:rPr>
        <w:t>’</w:t>
      </w:r>
      <w:r w:rsidR="00994E57">
        <w:rPr>
          <w:lang w:val="fr-FR"/>
        </w:rPr>
        <w:t>article </w:t>
      </w:r>
      <w:r w:rsidRPr="00E75485">
        <w:rPr>
          <w:lang w:val="fr-FR"/>
        </w:rPr>
        <w:t>3 du Protocole facultatif</w:t>
      </w:r>
      <w:r w:rsidRPr="0054115E">
        <w:rPr>
          <w:rStyle w:val="Appelnotedebasdep"/>
        </w:rPr>
        <w:footnoteReference w:id="5"/>
      </w:r>
      <w:r w:rsidRPr="00E75485">
        <w:rPr>
          <w:lang w:val="fr-FR"/>
        </w:rPr>
        <w:t>.</w:t>
      </w:r>
    </w:p>
    <w:p w:rsidR="00744E14" w:rsidRDefault="00744E14" w:rsidP="00744E14">
      <w:pPr>
        <w:pStyle w:val="SingleTxtG"/>
        <w:rPr>
          <w:lang w:val="fr-FR"/>
        </w:rPr>
      </w:pPr>
      <w:r w:rsidRPr="005C2957">
        <w:rPr>
          <w:lang w:val="fr-FR"/>
        </w:rPr>
        <w:t>4.4.</w:t>
      </w:r>
      <w:r w:rsidRPr="005C2957">
        <w:rPr>
          <w:lang w:val="fr-FR"/>
        </w:rPr>
        <w:tab/>
        <w:t>Le Comité note que, conformément à l</w:t>
      </w:r>
      <w:r>
        <w:rPr>
          <w:lang w:val="fr-FR"/>
        </w:rPr>
        <w:t>’</w:t>
      </w:r>
      <w:r w:rsidR="00994E57">
        <w:rPr>
          <w:lang w:val="fr-FR"/>
        </w:rPr>
        <w:t>article </w:t>
      </w:r>
      <w:r w:rsidRPr="005C2957">
        <w:rPr>
          <w:lang w:val="fr-FR"/>
        </w:rPr>
        <w:t>6 du Protocole facultatif, il peut juger d</w:t>
      </w:r>
      <w:r>
        <w:rPr>
          <w:lang w:val="fr-FR"/>
        </w:rPr>
        <w:t>’</w:t>
      </w:r>
      <w:r w:rsidRPr="005C2957">
        <w:rPr>
          <w:lang w:val="fr-FR"/>
        </w:rPr>
        <w:t>office une communication irrecevable sans en référer à l</w:t>
      </w:r>
      <w:r>
        <w:rPr>
          <w:lang w:val="fr-FR"/>
        </w:rPr>
        <w:t>’</w:t>
      </w:r>
      <w:r w:rsidRPr="005C2957">
        <w:rPr>
          <w:lang w:val="fr-FR"/>
        </w:rPr>
        <w:t xml:space="preserve">État partie intéressé. </w:t>
      </w:r>
      <w:r w:rsidRPr="00BD4233">
        <w:rPr>
          <w:lang w:val="fr-FR"/>
        </w:rPr>
        <w:t>Dans le cas présent, les motifs sur lesquels il s</w:t>
      </w:r>
      <w:r>
        <w:rPr>
          <w:lang w:val="fr-FR"/>
        </w:rPr>
        <w:t>’</w:t>
      </w:r>
      <w:r w:rsidRPr="00BD4233">
        <w:rPr>
          <w:lang w:val="fr-FR"/>
        </w:rPr>
        <w:t>appuie pour conclure à l</w:t>
      </w:r>
      <w:r>
        <w:rPr>
          <w:lang w:val="fr-FR"/>
        </w:rPr>
        <w:t>’</w:t>
      </w:r>
      <w:r w:rsidRPr="00BD4233">
        <w:rPr>
          <w:lang w:val="fr-FR"/>
        </w:rPr>
        <w:t xml:space="preserve">irrecevabilité de la présente </w:t>
      </w:r>
      <w:r w:rsidRPr="00BD4233">
        <w:rPr>
          <w:lang w:val="fr-FR"/>
        </w:rPr>
        <w:lastRenderedPageBreak/>
        <w:t>communication ne figurent pas parmi ceux que l</w:t>
      </w:r>
      <w:r>
        <w:rPr>
          <w:lang w:val="fr-FR"/>
        </w:rPr>
        <w:t>’</w:t>
      </w:r>
      <w:r w:rsidRPr="00BD4233">
        <w:rPr>
          <w:lang w:val="fr-FR"/>
        </w:rPr>
        <w:t xml:space="preserve">État partie peut invoquer pour contester la recevabilité de la communication, </w:t>
      </w:r>
      <w:r>
        <w:rPr>
          <w:lang w:val="fr-FR"/>
        </w:rPr>
        <w:t>tels que ceux énoncés</w:t>
      </w:r>
      <w:r w:rsidRPr="00BD4233">
        <w:rPr>
          <w:lang w:val="fr-FR"/>
        </w:rPr>
        <w:t xml:space="preserve"> au</w:t>
      </w:r>
      <w:r w:rsidR="00994E57">
        <w:rPr>
          <w:lang w:val="fr-FR"/>
        </w:rPr>
        <w:t xml:space="preserve"> paragraphe </w:t>
      </w:r>
      <w:r w:rsidRPr="00BD4233">
        <w:rPr>
          <w:lang w:val="fr-FR"/>
        </w:rPr>
        <w:t xml:space="preserve">1 et </w:t>
      </w:r>
      <w:r w:rsidR="00994E57">
        <w:rPr>
          <w:lang w:val="fr-FR"/>
        </w:rPr>
        <w:t>aux alinéas </w:t>
      </w:r>
      <w:r w:rsidRPr="00BD4233">
        <w:rPr>
          <w:lang w:val="fr-FR"/>
        </w:rPr>
        <w:t xml:space="preserve">a), c), e), f) ou g) </w:t>
      </w:r>
      <w:r w:rsidR="00994E57">
        <w:rPr>
          <w:lang w:val="fr-FR"/>
        </w:rPr>
        <w:t>du paragraphe </w:t>
      </w:r>
      <w:r w:rsidR="001A61E4">
        <w:rPr>
          <w:lang w:val="fr-FR"/>
        </w:rPr>
        <w:t>2</w:t>
      </w:r>
      <w:r w:rsidR="00D44463">
        <w:rPr>
          <w:lang w:val="fr-FR"/>
        </w:rPr>
        <w:t xml:space="preserve"> de l’article 3 </w:t>
      </w:r>
      <w:r w:rsidRPr="00BD4233">
        <w:rPr>
          <w:lang w:val="fr-FR"/>
        </w:rPr>
        <w:t>du Protocole facultatif.</w:t>
      </w:r>
      <w:r>
        <w:rPr>
          <w:lang w:val="fr-FR"/>
        </w:rPr>
        <w:t xml:space="preserve"> </w:t>
      </w:r>
    </w:p>
    <w:p w:rsidR="00744E14" w:rsidRPr="00E75485" w:rsidRDefault="00744E14" w:rsidP="00744E14">
      <w:pPr>
        <w:pStyle w:val="H1G"/>
        <w:rPr>
          <w:lang w:val="fr-FR"/>
        </w:rPr>
      </w:pPr>
      <w:r>
        <w:rPr>
          <w:lang w:val="fr-FR"/>
        </w:rPr>
        <w:tab/>
        <w:t>C.</w:t>
      </w:r>
      <w:r>
        <w:rPr>
          <w:lang w:val="fr-FR"/>
        </w:rPr>
        <w:tab/>
        <w:t>Conclusion</w:t>
      </w:r>
    </w:p>
    <w:p w:rsidR="00744E14" w:rsidRPr="00E75485" w:rsidRDefault="00744E14" w:rsidP="00744E14">
      <w:pPr>
        <w:pStyle w:val="SingleTxtG"/>
        <w:rPr>
          <w:lang w:val="fr-FR"/>
        </w:rPr>
      </w:pPr>
      <w:r w:rsidRPr="00E75485">
        <w:rPr>
          <w:lang w:val="fr-FR"/>
        </w:rPr>
        <w:t>5.</w:t>
      </w:r>
      <w:r w:rsidRPr="00E75485">
        <w:rPr>
          <w:lang w:val="fr-FR"/>
        </w:rPr>
        <w:tab/>
        <w:t>En conséquence, le Comité décide :</w:t>
      </w:r>
    </w:p>
    <w:p w:rsidR="00744E14" w:rsidRPr="00E75485" w:rsidRDefault="00744E14" w:rsidP="00994E57">
      <w:pPr>
        <w:pStyle w:val="SingleTxtG"/>
        <w:ind w:firstLine="567"/>
        <w:rPr>
          <w:lang w:val="fr-FR"/>
        </w:rPr>
      </w:pPr>
      <w:r w:rsidRPr="00E75485">
        <w:rPr>
          <w:lang w:val="fr-FR"/>
        </w:rPr>
        <w:t>a)</w:t>
      </w:r>
      <w:r w:rsidRPr="00E75485">
        <w:rPr>
          <w:lang w:val="fr-FR"/>
        </w:rPr>
        <w:tab/>
        <w:t xml:space="preserve">Que la communication est irrecevable conformément aux alinéas b) </w:t>
      </w:r>
      <w:r w:rsidR="004C78A5">
        <w:rPr>
          <w:lang w:val="fr-FR"/>
        </w:rPr>
        <w:t>et d) du </w:t>
      </w:r>
      <w:r w:rsidRPr="00E75485">
        <w:rPr>
          <w:lang w:val="fr-FR"/>
        </w:rPr>
        <w:t>paragraphe 2 de l</w:t>
      </w:r>
      <w:r>
        <w:rPr>
          <w:lang w:val="fr-FR"/>
        </w:rPr>
        <w:t>’</w:t>
      </w:r>
      <w:r w:rsidRPr="00E75485">
        <w:rPr>
          <w:lang w:val="fr-FR"/>
        </w:rPr>
        <w:t>article 3 du Protocole facultatif ;</w:t>
      </w:r>
    </w:p>
    <w:p w:rsidR="004A0F52" w:rsidRDefault="00744E14" w:rsidP="00994E57">
      <w:pPr>
        <w:pStyle w:val="SingleTxtG"/>
        <w:ind w:firstLine="567"/>
        <w:rPr>
          <w:lang w:val="fr-FR"/>
        </w:rPr>
      </w:pPr>
      <w:r w:rsidRPr="00E75485">
        <w:rPr>
          <w:lang w:val="fr-FR"/>
        </w:rPr>
        <w:t>b)</w:t>
      </w:r>
      <w:r w:rsidRPr="00E75485">
        <w:rPr>
          <w:lang w:val="fr-FR"/>
        </w:rPr>
        <w:tab/>
        <w:t>Que la présente décision sera communiquée à l</w:t>
      </w:r>
      <w:r>
        <w:rPr>
          <w:lang w:val="fr-FR"/>
        </w:rPr>
        <w:t>’</w:t>
      </w:r>
      <w:r w:rsidRPr="00E75485">
        <w:rPr>
          <w:lang w:val="fr-FR"/>
        </w:rPr>
        <w:t>État partie et aux auteurs</w:t>
      </w:r>
      <w:r>
        <w:rPr>
          <w:lang w:val="fr-FR"/>
        </w:rPr>
        <w:t>.</w:t>
      </w:r>
    </w:p>
    <w:p w:rsidR="001D4269" w:rsidRPr="001D4269" w:rsidRDefault="001D4269" w:rsidP="001D4269">
      <w:pPr>
        <w:pStyle w:val="SingleTxtG"/>
        <w:spacing w:before="240" w:after="0"/>
        <w:jc w:val="center"/>
        <w:rPr>
          <w:u w:val="single"/>
        </w:rPr>
      </w:pPr>
      <w:r>
        <w:rPr>
          <w:u w:val="single"/>
        </w:rPr>
        <w:tab/>
      </w:r>
      <w:r>
        <w:rPr>
          <w:u w:val="single"/>
        </w:rPr>
        <w:tab/>
      </w:r>
      <w:r>
        <w:rPr>
          <w:u w:val="single"/>
        </w:rPr>
        <w:tab/>
      </w:r>
    </w:p>
    <w:p w:rsidR="004A0F52" w:rsidRDefault="004A0F52" w:rsidP="00AC3823">
      <w:bookmarkStart w:id="1" w:name="_GoBack"/>
      <w:bookmarkEnd w:id="1"/>
    </w:p>
    <w:sectPr w:rsidR="004A0F52" w:rsidSect="004A0F5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686" w:rsidRDefault="00845686" w:rsidP="00F95C08">
      <w:pPr>
        <w:spacing w:line="240" w:lineRule="auto"/>
      </w:pPr>
    </w:p>
  </w:endnote>
  <w:endnote w:type="continuationSeparator" w:id="0">
    <w:p w:rsidR="00845686" w:rsidRPr="00AC3823" w:rsidRDefault="00845686" w:rsidP="00AC3823">
      <w:pPr>
        <w:pStyle w:val="Pieddepage"/>
      </w:pPr>
    </w:p>
  </w:endnote>
  <w:endnote w:type="continuationNotice" w:id="1">
    <w:p w:rsidR="00845686" w:rsidRDefault="008456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52" w:rsidRPr="004A0F52" w:rsidRDefault="004A0F52" w:rsidP="004A0F52">
    <w:pPr>
      <w:pStyle w:val="Pieddepage"/>
      <w:tabs>
        <w:tab w:val="right" w:pos="9638"/>
      </w:tabs>
    </w:pPr>
    <w:r w:rsidRPr="004A0F52">
      <w:rPr>
        <w:b/>
        <w:sz w:val="18"/>
      </w:rPr>
      <w:fldChar w:fldCharType="begin"/>
    </w:r>
    <w:r w:rsidRPr="004A0F52">
      <w:rPr>
        <w:b/>
        <w:sz w:val="18"/>
      </w:rPr>
      <w:instrText xml:space="preserve"> PAGE  \* MERGEFORMAT </w:instrText>
    </w:r>
    <w:r w:rsidRPr="004A0F52">
      <w:rPr>
        <w:b/>
        <w:sz w:val="18"/>
      </w:rPr>
      <w:fldChar w:fldCharType="separate"/>
    </w:r>
    <w:r w:rsidR="00AC2E28">
      <w:rPr>
        <w:b/>
        <w:noProof/>
        <w:sz w:val="18"/>
      </w:rPr>
      <w:t>4</w:t>
    </w:r>
    <w:r w:rsidRPr="004A0F52">
      <w:rPr>
        <w:b/>
        <w:sz w:val="18"/>
      </w:rPr>
      <w:fldChar w:fldCharType="end"/>
    </w:r>
    <w:r>
      <w:rPr>
        <w:b/>
        <w:sz w:val="18"/>
      </w:rPr>
      <w:tab/>
    </w:r>
    <w:r>
      <w:t>GE.17-05775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52" w:rsidRPr="004A0F52" w:rsidRDefault="004A0F52" w:rsidP="004A0F52">
    <w:pPr>
      <w:pStyle w:val="Pieddepage"/>
      <w:tabs>
        <w:tab w:val="right" w:pos="9638"/>
      </w:tabs>
      <w:rPr>
        <w:b/>
        <w:sz w:val="18"/>
      </w:rPr>
    </w:pPr>
    <w:r>
      <w:t>GE.17-05775</w:t>
    </w:r>
    <w:r>
      <w:tab/>
    </w:r>
    <w:r w:rsidRPr="004A0F52">
      <w:rPr>
        <w:b/>
        <w:sz w:val="18"/>
      </w:rPr>
      <w:fldChar w:fldCharType="begin"/>
    </w:r>
    <w:r w:rsidRPr="004A0F52">
      <w:rPr>
        <w:b/>
        <w:sz w:val="18"/>
      </w:rPr>
      <w:instrText xml:space="preserve"> PAGE  \* MERGEFORMAT </w:instrText>
    </w:r>
    <w:r w:rsidRPr="004A0F52">
      <w:rPr>
        <w:b/>
        <w:sz w:val="18"/>
      </w:rPr>
      <w:fldChar w:fldCharType="separate"/>
    </w:r>
    <w:r w:rsidR="00AC2E28">
      <w:rPr>
        <w:b/>
        <w:noProof/>
        <w:sz w:val="18"/>
      </w:rPr>
      <w:t>3</w:t>
    </w:r>
    <w:r w:rsidRPr="004A0F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6C" w:rsidRPr="004A0F52" w:rsidRDefault="004A0F52" w:rsidP="004A0F52">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496647CE" wp14:editId="73DD950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17-05775  (F)</w:t>
    </w:r>
    <w:r w:rsidR="00B2719F">
      <w:rPr>
        <w:sz w:val="20"/>
      </w:rPr>
      <w:t xml:space="preserve">    300417    030517</w:t>
    </w:r>
    <w:r>
      <w:rPr>
        <w:sz w:val="20"/>
      </w:rPr>
      <w:br/>
    </w:r>
    <w:r w:rsidRPr="004A0F52">
      <w:rPr>
        <w:rFonts w:ascii="C39T30Lfz" w:hAnsi="C39T30Lfz"/>
        <w:sz w:val="56"/>
      </w:rPr>
      <w:t></w:t>
    </w:r>
    <w:r w:rsidRPr="004A0F52">
      <w:rPr>
        <w:rFonts w:ascii="C39T30Lfz" w:hAnsi="C39T30Lfz"/>
        <w:sz w:val="56"/>
      </w:rPr>
      <w:t></w:t>
    </w:r>
    <w:r w:rsidRPr="004A0F52">
      <w:rPr>
        <w:rFonts w:ascii="C39T30Lfz" w:hAnsi="C39T30Lfz"/>
        <w:sz w:val="56"/>
      </w:rPr>
      <w:t></w:t>
    </w:r>
    <w:r w:rsidRPr="004A0F52">
      <w:rPr>
        <w:rFonts w:ascii="C39T30Lfz" w:hAnsi="C39T30Lfz"/>
        <w:sz w:val="56"/>
      </w:rPr>
      <w:t></w:t>
    </w:r>
    <w:r w:rsidRPr="004A0F52">
      <w:rPr>
        <w:rFonts w:ascii="C39T30Lfz" w:hAnsi="C39T30Lfz"/>
        <w:sz w:val="56"/>
      </w:rPr>
      <w:t></w:t>
    </w:r>
    <w:r w:rsidRPr="004A0F52">
      <w:rPr>
        <w:rFonts w:ascii="C39T30Lfz" w:hAnsi="C39T30Lfz"/>
        <w:sz w:val="56"/>
      </w:rPr>
      <w:t></w:t>
    </w:r>
    <w:r w:rsidRPr="004A0F52">
      <w:rPr>
        <w:rFonts w:ascii="C39T30Lfz" w:hAnsi="C39T30Lfz"/>
        <w:sz w:val="56"/>
      </w:rPr>
      <w:t></w:t>
    </w:r>
    <w:r w:rsidRPr="004A0F52">
      <w:rPr>
        <w:rFonts w:ascii="C39T30Lfz" w:hAnsi="C39T30Lfz"/>
        <w:sz w:val="56"/>
      </w:rPr>
      <w:t></w:t>
    </w:r>
    <w:r w:rsidRPr="004A0F52">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60/D/17/20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0/D/17/20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686" w:rsidRPr="00AC3823" w:rsidRDefault="00845686" w:rsidP="00AC3823">
      <w:pPr>
        <w:pStyle w:val="Pieddepage"/>
        <w:tabs>
          <w:tab w:val="right" w:pos="2155"/>
        </w:tabs>
        <w:spacing w:after="80" w:line="240" w:lineRule="atLeast"/>
        <w:ind w:left="680"/>
        <w:rPr>
          <w:u w:val="single"/>
        </w:rPr>
      </w:pPr>
      <w:r>
        <w:rPr>
          <w:u w:val="single"/>
        </w:rPr>
        <w:tab/>
      </w:r>
    </w:p>
  </w:footnote>
  <w:footnote w:type="continuationSeparator" w:id="0">
    <w:p w:rsidR="00845686" w:rsidRPr="00AC3823" w:rsidRDefault="00845686" w:rsidP="00AC3823">
      <w:pPr>
        <w:pStyle w:val="Pieddepage"/>
        <w:tabs>
          <w:tab w:val="right" w:pos="2155"/>
        </w:tabs>
        <w:spacing w:after="80" w:line="240" w:lineRule="atLeast"/>
        <w:ind w:left="680"/>
        <w:rPr>
          <w:u w:val="single"/>
        </w:rPr>
      </w:pPr>
      <w:r>
        <w:rPr>
          <w:u w:val="single"/>
        </w:rPr>
        <w:tab/>
      </w:r>
    </w:p>
  </w:footnote>
  <w:footnote w:type="continuationNotice" w:id="1">
    <w:p w:rsidR="00845686" w:rsidRPr="00AC3823" w:rsidRDefault="00845686">
      <w:pPr>
        <w:spacing w:line="240" w:lineRule="auto"/>
        <w:rPr>
          <w:sz w:val="2"/>
          <w:szCs w:val="2"/>
        </w:rPr>
      </w:pPr>
    </w:p>
  </w:footnote>
  <w:footnote w:id="2">
    <w:p w:rsidR="004A0F52" w:rsidRPr="004A0F52" w:rsidRDefault="004A0F52">
      <w:pPr>
        <w:pStyle w:val="Notedebasdepage"/>
      </w:pPr>
      <w:r>
        <w:rPr>
          <w:rStyle w:val="Appelnotedebasdep"/>
        </w:rPr>
        <w:tab/>
      </w:r>
      <w:r w:rsidRPr="004A0F52">
        <w:rPr>
          <w:rStyle w:val="Appelnotedebasdep"/>
          <w:sz w:val="20"/>
          <w:vertAlign w:val="baseline"/>
        </w:rPr>
        <w:t>*</w:t>
      </w:r>
      <w:r>
        <w:rPr>
          <w:rStyle w:val="Appelnotedebasdep"/>
          <w:sz w:val="20"/>
          <w:vertAlign w:val="baseline"/>
        </w:rPr>
        <w:tab/>
      </w:r>
      <w:r>
        <w:t>Adoptées</w:t>
      </w:r>
      <w:r w:rsidR="00D15456">
        <w:t xml:space="preserve"> par le Comité à sa soixantième </w:t>
      </w:r>
      <w:r>
        <w:t>session (20</w:t>
      </w:r>
      <w:r>
        <w:noBreakHyphen/>
      </w:r>
      <w:r w:rsidR="00D15456">
        <w:t>24 </w:t>
      </w:r>
      <w:r>
        <w:t>février 2017)</w:t>
      </w:r>
      <w:r w:rsidR="00975021">
        <w:t>.</w:t>
      </w:r>
    </w:p>
  </w:footnote>
  <w:footnote w:id="3">
    <w:p w:rsidR="004A0F52" w:rsidRPr="004A0F52" w:rsidRDefault="004A0F52">
      <w:pPr>
        <w:pStyle w:val="Notedebasdepage"/>
      </w:pPr>
      <w:r>
        <w:rPr>
          <w:rStyle w:val="Appelnotedebasdep"/>
        </w:rPr>
        <w:tab/>
      </w:r>
      <w:r w:rsidRPr="004A0F52">
        <w:rPr>
          <w:rStyle w:val="Appelnotedebasdep"/>
          <w:sz w:val="20"/>
          <w:vertAlign w:val="baseline"/>
        </w:rPr>
        <w:t>**</w:t>
      </w:r>
      <w:r>
        <w:rPr>
          <w:rStyle w:val="Appelnotedebasdep"/>
          <w:sz w:val="20"/>
          <w:vertAlign w:val="baseline"/>
        </w:rPr>
        <w:tab/>
      </w:r>
      <w:r w:rsidRPr="00672DC9">
        <w:rPr>
          <w:szCs w:val="18"/>
        </w:rPr>
        <w:t>Conformément au paragrap</w:t>
      </w:r>
      <w:r w:rsidR="008E7D00">
        <w:rPr>
          <w:szCs w:val="18"/>
        </w:rPr>
        <w:t>he 1 c) de l’article </w:t>
      </w:r>
      <w:r w:rsidRPr="00672DC9">
        <w:rPr>
          <w:szCs w:val="18"/>
        </w:rPr>
        <w:t>5 du règlement intérieur provisoire relatif</w:t>
      </w:r>
      <w:r w:rsidR="00D15456">
        <w:rPr>
          <w:szCs w:val="18"/>
        </w:rPr>
        <w:t xml:space="preserve"> au Protocole facultatif, Mikel Mancisidor de la </w:t>
      </w:r>
      <w:r w:rsidRPr="00672DC9">
        <w:rPr>
          <w:szCs w:val="18"/>
        </w:rPr>
        <w:t xml:space="preserve">Fuente, membre du Comité, n’a pas participé à </w:t>
      </w:r>
      <w:r w:rsidR="008E7D00">
        <w:rPr>
          <w:szCs w:val="18"/>
        </w:rPr>
        <w:t>l’examen de la </w:t>
      </w:r>
      <w:r w:rsidRPr="00672DC9">
        <w:rPr>
          <w:szCs w:val="18"/>
        </w:rPr>
        <w:t>communication</w:t>
      </w:r>
      <w:r>
        <w:rPr>
          <w:lang w:val="fr-FR"/>
        </w:rPr>
        <w:t>.</w:t>
      </w:r>
    </w:p>
  </w:footnote>
  <w:footnote w:id="4">
    <w:p w:rsidR="00744E14" w:rsidRDefault="00744E14" w:rsidP="008E7D00">
      <w:pPr>
        <w:pStyle w:val="Notedebasdepage"/>
      </w:pPr>
      <w:r>
        <w:rPr>
          <w:lang w:val="fr-FR"/>
        </w:rPr>
        <w:tab/>
      </w:r>
      <w:r w:rsidRPr="0054115E">
        <w:rPr>
          <w:rStyle w:val="Appelnotedebasdep"/>
        </w:rPr>
        <w:footnoteRef/>
      </w:r>
      <w:r>
        <w:rPr>
          <w:lang w:val="fr-FR"/>
        </w:rPr>
        <w:tab/>
        <w:t xml:space="preserve">Communications </w:t>
      </w:r>
      <w:r>
        <w:rPr>
          <w:rFonts w:eastAsia="MS Mincho"/>
          <w:lang w:val="fr-FR"/>
        </w:rPr>
        <w:t>n</w:t>
      </w:r>
      <w:r w:rsidRPr="00715897">
        <w:rPr>
          <w:rFonts w:eastAsia="MS Mincho"/>
          <w:vertAlign w:val="superscript"/>
          <w:lang w:val="fr-FR"/>
        </w:rPr>
        <w:t>o</w:t>
      </w:r>
      <w:r>
        <w:rPr>
          <w:rFonts w:eastAsia="MS Mincho"/>
          <w:lang w:val="fr-FR"/>
        </w:rPr>
        <w:t> </w:t>
      </w:r>
      <w:r>
        <w:rPr>
          <w:lang w:val="fr-FR"/>
        </w:rPr>
        <w:t xml:space="preserve">6/2015, </w:t>
      </w:r>
      <w:r>
        <w:rPr>
          <w:i/>
          <w:lang w:val="fr-FR"/>
        </w:rPr>
        <w:t>V. T. F. et A. F. L.</w:t>
      </w:r>
      <w:r>
        <w:rPr>
          <w:lang w:val="fr-FR"/>
        </w:rPr>
        <w:t xml:space="preserve"> c.</w:t>
      </w:r>
      <w:r w:rsidR="00994E57">
        <w:rPr>
          <w:i/>
          <w:lang w:val="fr-FR"/>
        </w:rPr>
        <w:t> </w:t>
      </w:r>
      <w:r>
        <w:rPr>
          <w:i/>
          <w:lang w:val="fr-FR"/>
        </w:rPr>
        <w:t>Espagne</w:t>
      </w:r>
      <w:r>
        <w:rPr>
          <w:lang w:val="fr-FR"/>
        </w:rPr>
        <w:t xml:space="preserve">, décision d’irrecevabilité du 24 septembre 2015, par. 4.2 ; et </w:t>
      </w:r>
      <w:r>
        <w:rPr>
          <w:rFonts w:eastAsia="MS Mincho"/>
          <w:lang w:val="fr-FR"/>
        </w:rPr>
        <w:t>n</w:t>
      </w:r>
      <w:r>
        <w:rPr>
          <w:rFonts w:eastAsia="MS Mincho"/>
          <w:vertAlign w:val="superscript"/>
          <w:lang w:val="fr-FR"/>
        </w:rPr>
        <w:t>o</w:t>
      </w:r>
      <w:r>
        <w:rPr>
          <w:lang w:val="fr-FR"/>
        </w:rPr>
        <w:t xml:space="preserve"> 8/2015, </w:t>
      </w:r>
      <w:r>
        <w:rPr>
          <w:i/>
          <w:lang w:val="fr-FR"/>
        </w:rPr>
        <w:t xml:space="preserve">L. A. M. C. </w:t>
      </w:r>
      <w:r w:rsidR="00994E57">
        <w:rPr>
          <w:lang w:val="fr-FR"/>
        </w:rPr>
        <w:t>c. </w:t>
      </w:r>
      <w:r>
        <w:rPr>
          <w:i/>
          <w:lang w:val="fr-FR"/>
        </w:rPr>
        <w:t>Espagne</w:t>
      </w:r>
      <w:r>
        <w:rPr>
          <w:lang w:val="fr-FR"/>
        </w:rPr>
        <w:t>, décision d’irrecevabilité du 24 septembre 2015, par. 4.2.</w:t>
      </w:r>
    </w:p>
  </w:footnote>
  <w:footnote w:id="5">
    <w:p w:rsidR="00744E14" w:rsidRDefault="00744E14" w:rsidP="008E7D00">
      <w:pPr>
        <w:pStyle w:val="Notedebasdepage"/>
      </w:pPr>
      <w:r>
        <w:rPr>
          <w:lang w:val="fr-FR"/>
        </w:rPr>
        <w:tab/>
      </w:r>
      <w:r w:rsidRPr="0054115E">
        <w:rPr>
          <w:rStyle w:val="Appelnotedebasdep"/>
        </w:rPr>
        <w:footnoteRef/>
      </w:r>
      <w:r>
        <w:rPr>
          <w:lang w:val="fr-FR"/>
        </w:rPr>
        <w:tab/>
        <w:t xml:space="preserve">Communications </w:t>
      </w:r>
      <w:r>
        <w:rPr>
          <w:rFonts w:eastAsia="MS Mincho"/>
          <w:lang w:val="fr-FR"/>
        </w:rPr>
        <w:t>n</w:t>
      </w:r>
      <w:r>
        <w:rPr>
          <w:rFonts w:eastAsia="MS Mincho"/>
          <w:vertAlign w:val="superscript"/>
          <w:lang w:val="fr-FR"/>
        </w:rPr>
        <w:t>o</w:t>
      </w:r>
      <w:r>
        <w:rPr>
          <w:lang w:val="fr-FR"/>
        </w:rPr>
        <w:t xml:space="preserve"> 6/2015, par. 4.3 ; et </w:t>
      </w:r>
      <w:r>
        <w:rPr>
          <w:rFonts w:eastAsia="MS Mincho"/>
          <w:lang w:val="fr-FR"/>
        </w:rPr>
        <w:t>n</w:t>
      </w:r>
      <w:r>
        <w:rPr>
          <w:rFonts w:eastAsia="MS Mincho"/>
          <w:vertAlign w:val="superscript"/>
          <w:lang w:val="fr-FR"/>
        </w:rPr>
        <w:t>o</w:t>
      </w:r>
      <w:r>
        <w:rPr>
          <w:lang w:val="fr-FR"/>
        </w:rPr>
        <w:t> 8/2015, par.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52" w:rsidRPr="004A0F52" w:rsidRDefault="00357FA4">
    <w:pPr>
      <w:pStyle w:val="En-tte"/>
    </w:pPr>
    <w:r>
      <w:fldChar w:fldCharType="begin"/>
    </w:r>
    <w:r>
      <w:instrText xml:space="preserve"> TITLE  \* MERGEFORMAT </w:instrText>
    </w:r>
    <w:r>
      <w:fldChar w:fldCharType="separate"/>
    </w:r>
    <w:r w:rsidR="007A6436">
      <w:t>E/C.12/60/D/17/2016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52" w:rsidRPr="004A0F52" w:rsidRDefault="00357FA4" w:rsidP="004A0F52">
    <w:pPr>
      <w:pStyle w:val="En-tte"/>
      <w:jc w:val="right"/>
    </w:pPr>
    <w:r>
      <w:fldChar w:fldCharType="begin"/>
    </w:r>
    <w:r>
      <w:instrText xml:space="preserve"> TITLE  \* MERGEFORMAT </w:instrText>
    </w:r>
    <w:r>
      <w:fldChar w:fldCharType="separate"/>
    </w:r>
    <w:r w:rsidR="007A6436">
      <w:t>E/C.12/60/D/17/2016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86"/>
    <w:rsid w:val="00017F94"/>
    <w:rsid w:val="00023842"/>
    <w:rsid w:val="0002432E"/>
    <w:rsid w:val="000334F9"/>
    <w:rsid w:val="0007796D"/>
    <w:rsid w:val="000B7790"/>
    <w:rsid w:val="00111F2F"/>
    <w:rsid w:val="0014365E"/>
    <w:rsid w:val="00176178"/>
    <w:rsid w:val="001A61E4"/>
    <w:rsid w:val="001D4269"/>
    <w:rsid w:val="001F525A"/>
    <w:rsid w:val="00223272"/>
    <w:rsid w:val="0024779E"/>
    <w:rsid w:val="00266ACE"/>
    <w:rsid w:val="002832AC"/>
    <w:rsid w:val="002D7C93"/>
    <w:rsid w:val="00360F80"/>
    <w:rsid w:val="00441C3B"/>
    <w:rsid w:val="00446FE5"/>
    <w:rsid w:val="00452396"/>
    <w:rsid w:val="00467343"/>
    <w:rsid w:val="004A0F52"/>
    <w:rsid w:val="004C78A5"/>
    <w:rsid w:val="004E468C"/>
    <w:rsid w:val="005505B7"/>
    <w:rsid w:val="00573BE5"/>
    <w:rsid w:val="00586ED3"/>
    <w:rsid w:val="00596AA9"/>
    <w:rsid w:val="005F19D4"/>
    <w:rsid w:val="0071601D"/>
    <w:rsid w:val="00744E14"/>
    <w:rsid w:val="00753224"/>
    <w:rsid w:val="007A62E6"/>
    <w:rsid w:val="007A6436"/>
    <w:rsid w:val="0080236C"/>
    <w:rsid w:val="0080684C"/>
    <w:rsid w:val="00845686"/>
    <w:rsid w:val="00871C75"/>
    <w:rsid w:val="008776DC"/>
    <w:rsid w:val="008E7D00"/>
    <w:rsid w:val="00967489"/>
    <w:rsid w:val="009705C8"/>
    <w:rsid w:val="00975021"/>
    <w:rsid w:val="00994E57"/>
    <w:rsid w:val="009C1CF4"/>
    <w:rsid w:val="00A30353"/>
    <w:rsid w:val="00AA42FA"/>
    <w:rsid w:val="00AC2E28"/>
    <w:rsid w:val="00AC3823"/>
    <w:rsid w:val="00AE323C"/>
    <w:rsid w:val="00AF290F"/>
    <w:rsid w:val="00B00181"/>
    <w:rsid w:val="00B00B0D"/>
    <w:rsid w:val="00B2719F"/>
    <w:rsid w:val="00B765F7"/>
    <w:rsid w:val="00BA0CA9"/>
    <w:rsid w:val="00C02897"/>
    <w:rsid w:val="00C63CE2"/>
    <w:rsid w:val="00D15456"/>
    <w:rsid w:val="00D3439C"/>
    <w:rsid w:val="00D44463"/>
    <w:rsid w:val="00D75300"/>
    <w:rsid w:val="00DB1831"/>
    <w:rsid w:val="00DC1D2A"/>
    <w:rsid w:val="00DD3BFD"/>
    <w:rsid w:val="00DF6678"/>
    <w:rsid w:val="00E374FF"/>
    <w:rsid w:val="00EF2E22"/>
    <w:rsid w:val="00F6146F"/>
    <w:rsid w:val="00F660DF"/>
    <w:rsid w:val="00F77070"/>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customStyle="1" w:styleId="SingleTxtGChar">
    <w:name w:val="_ Single Txt_G Char"/>
    <w:link w:val="SingleTxtG"/>
    <w:rsid w:val="004A0F52"/>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customStyle="1" w:styleId="SingleTxtGChar">
    <w:name w:val="_ Single Txt_G Char"/>
    <w:link w:val="SingleTxtG"/>
    <w:rsid w:val="004A0F52"/>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4</Pages>
  <Words>1451</Words>
  <Characters>8332</Characters>
  <Application>Microsoft Office Word</Application>
  <DocSecurity>0</DocSecurity>
  <Lines>124</Lines>
  <Paragraphs>21</Paragraphs>
  <ScaleCrop>false</ScaleCrop>
  <HeadingPairs>
    <vt:vector size="2" baseType="variant">
      <vt:variant>
        <vt:lpstr>Titre</vt:lpstr>
      </vt:variant>
      <vt:variant>
        <vt:i4>1</vt:i4>
      </vt:variant>
    </vt:vector>
  </HeadingPairs>
  <TitlesOfParts>
    <vt:vector size="1" baseType="lpstr">
      <vt:lpstr>E/C.12/60/D/17/2016</vt:lpstr>
    </vt:vector>
  </TitlesOfParts>
  <Company>DCM</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E/C.12/60/D/17/2016</dc:title>
  <dc:subject/>
  <dc:creator>DEVOS</dc:creator>
  <cp:keywords/>
  <cp:lastModifiedBy>Bourion</cp:lastModifiedBy>
  <cp:revision>2</cp:revision>
  <cp:lastPrinted>2017-05-03T08:32:00Z</cp:lastPrinted>
  <dcterms:created xsi:type="dcterms:W3CDTF">2017-05-03T12:57:00Z</dcterms:created>
  <dcterms:modified xsi:type="dcterms:W3CDTF">2017-05-03T12:57:00Z</dcterms:modified>
</cp:coreProperties>
</file>