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044507" w:rsidP="00175485">
            <w:pPr>
              <w:bidi w:val="0"/>
              <w:spacing w:after="20"/>
              <w:jc w:val="left"/>
              <w:rPr>
                <w:szCs w:val="20"/>
              </w:rPr>
            </w:pPr>
            <w:r w:rsidRPr="00044507">
              <w:rPr>
                <w:sz w:val="40"/>
                <w:szCs w:val="20"/>
              </w:rPr>
              <w:t>E</w:t>
            </w:r>
            <w:r>
              <w:rPr>
                <w:szCs w:val="20"/>
              </w:rPr>
              <w:t>/C.12/60/D/17/2016</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175485" w:rsidP="00175485">
            <w:pPr>
              <w:bidi w:val="0"/>
              <w:spacing w:before="240"/>
              <w:jc w:val="left"/>
              <w:rPr>
                <w:szCs w:val="20"/>
              </w:rPr>
            </w:pPr>
            <w:r>
              <w:rPr>
                <w:szCs w:val="20"/>
              </w:rPr>
              <w:t>Distr.: General</w:t>
            </w:r>
          </w:p>
          <w:p w:rsidR="00175485" w:rsidRDefault="00CC46C4" w:rsidP="00175485">
            <w:pPr>
              <w:bidi w:val="0"/>
              <w:jc w:val="left"/>
              <w:rPr>
                <w:szCs w:val="20"/>
              </w:rPr>
            </w:pPr>
            <w:r>
              <w:rPr>
                <w:szCs w:val="20"/>
              </w:rPr>
              <w:t>10 April 2017</w:t>
            </w:r>
          </w:p>
          <w:p w:rsidR="00175485" w:rsidRDefault="00175485" w:rsidP="00175485">
            <w:pPr>
              <w:bidi w:val="0"/>
              <w:jc w:val="left"/>
              <w:rPr>
                <w:szCs w:val="20"/>
              </w:rPr>
            </w:pPr>
            <w:r>
              <w:rPr>
                <w:szCs w:val="20"/>
              </w:rPr>
              <w:t>Arabic</w:t>
            </w:r>
          </w:p>
          <w:p w:rsidR="00175485" w:rsidRPr="003E159A" w:rsidRDefault="00175485" w:rsidP="00CC46C4">
            <w:pPr>
              <w:bidi w:val="0"/>
              <w:jc w:val="left"/>
              <w:rPr>
                <w:szCs w:val="20"/>
              </w:rPr>
            </w:pPr>
            <w:r>
              <w:rPr>
                <w:szCs w:val="20"/>
              </w:rPr>
              <w:t xml:space="preserve">Original: </w:t>
            </w:r>
            <w:r w:rsidR="00CC46C4">
              <w:rPr>
                <w:szCs w:val="20"/>
              </w:rPr>
              <w:t>Spanish</w:t>
            </w:r>
          </w:p>
        </w:tc>
      </w:tr>
    </w:tbl>
    <w:p w:rsidR="00175485" w:rsidRPr="00175485" w:rsidRDefault="00175485" w:rsidP="00175485">
      <w:pPr>
        <w:spacing w:before="120" w:after="120" w:line="380" w:lineRule="exact"/>
        <w:rPr>
          <w:b/>
          <w:bCs/>
          <w:sz w:val="26"/>
          <w:szCs w:val="36"/>
          <w:rtl/>
        </w:rPr>
      </w:pPr>
      <w:r w:rsidRPr="00175485">
        <w:rPr>
          <w:rFonts w:hint="cs"/>
          <w:b/>
          <w:bCs/>
          <w:sz w:val="26"/>
          <w:szCs w:val="36"/>
          <w:rtl/>
        </w:rPr>
        <w:t>اللجنة المعنية بالحقوق الاقتصادية والاجتماعية والثقافية</w:t>
      </w:r>
    </w:p>
    <w:p w:rsidR="00175485" w:rsidRPr="00175485" w:rsidRDefault="00175485" w:rsidP="00175485">
      <w:pPr>
        <w:pStyle w:val="HChGA"/>
        <w:rPr>
          <w:rtl/>
          <w:lang w:bidi="ar-EG"/>
        </w:rPr>
      </w:pPr>
      <w:r w:rsidRPr="00DD7333">
        <w:rPr>
          <w:rFonts w:hint="cs"/>
          <w:rtl/>
        </w:rPr>
        <w:tab/>
      </w:r>
      <w:r w:rsidRPr="00DD7333">
        <w:rPr>
          <w:rFonts w:hint="cs"/>
          <w:rtl/>
        </w:rPr>
        <w:tab/>
      </w:r>
      <w:r>
        <w:rPr>
          <w:rFonts w:hint="cs"/>
          <w:rtl/>
        </w:rPr>
        <w:t>آراء اعتمدت</w:t>
      </w:r>
      <w:r w:rsidRPr="00DD7333">
        <w:rPr>
          <w:rFonts w:hint="cs"/>
          <w:rtl/>
        </w:rPr>
        <w:t>ه</w:t>
      </w:r>
      <w:r>
        <w:rPr>
          <w:rFonts w:hint="cs"/>
          <w:rtl/>
        </w:rPr>
        <w:t>ا الل</w:t>
      </w:r>
      <w:r w:rsidRPr="00DD7333">
        <w:rPr>
          <w:rFonts w:hint="cs"/>
          <w:rtl/>
        </w:rPr>
        <w:t xml:space="preserve">جنة بموجب البروتوكول الاختياري </w:t>
      </w:r>
      <w:r w:rsidRPr="00DD7333">
        <w:rPr>
          <w:rFonts w:hint="cs"/>
          <w:rtl/>
          <w:lang w:bidi="ar-EG"/>
        </w:rPr>
        <w:t>الملحق بالعهد ال</w:t>
      </w:r>
      <w:r>
        <w:rPr>
          <w:rFonts w:hint="cs"/>
          <w:rtl/>
          <w:lang w:bidi="ar-EG"/>
        </w:rPr>
        <w:t>دولي</w:t>
      </w:r>
      <w:r w:rsidRPr="00DD7333">
        <w:rPr>
          <w:rFonts w:hint="cs"/>
          <w:rtl/>
          <w:lang w:bidi="ar-EG"/>
        </w:rPr>
        <w:t xml:space="preserve"> الخاص بالحقوق الاقتصادية والاجتماعية والثقافية</w:t>
      </w:r>
      <w:r w:rsidR="00CC46C4">
        <w:rPr>
          <w:rFonts w:hint="cs"/>
          <w:rtl/>
          <w:lang w:bidi="ar-EG"/>
        </w:rPr>
        <w:t xml:space="preserve"> </w:t>
      </w:r>
      <w:r w:rsidRPr="00DD7333">
        <w:rPr>
          <w:rFonts w:hint="cs"/>
          <w:rtl/>
          <w:lang w:bidi="ar-EG"/>
        </w:rPr>
        <w:t>ب</w:t>
      </w:r>
      <w:r>
        <w:rPr>
          <w:rFonts w:hint="cs"/>
          <w:rtl/>
          <w:lang w:bidi="ar-EG"/>
        </w:rPr>
        <w:t xml:space="preserve">شأن </w:t>
      </w:r>
      <w:r w:rsidRPr="00DD7333">
        <w:rPr>
          <w:rFonts w:hint="cs"/>
          <w:rtl/>
          <w:lang w:bidi="ar-EG"/>
        </w:rPr>
        <w:t>البلاغ رقم 17/2016</w:t>
      </w:r>
      <w:r w:rsidRPr="00175485">
        <w:rPr>
          <w:rStyle w:val="FootnoteReference"/>
          <w:sz w:val="20"/>
          <w:vertAlign w:val="baseline"/>
          <w:rtl/>
          <w:lang w:bidi="ar-EG"/>
        </w:rPr>
        <w:footnoteReference w:customMarkFollows="1" w:id="1"/>
        <w:t>*</w:t>
      </w:r>
      <w:r>
        <w:rPr>
          <w:rFonts w:hint="cs"/>
          <w:rtl/>
          <w:lang w:bidi="ar-EG"/>
        </w:rPr>
        <w:t xml:space="preserve"> </w:t>
      </w:r>
      <w:r w:rsidRPr="00175485">
        <w:rPr>
          <w:rStyle w:val="FootnoteReference"/>
          <w:sz w:val="20"/>
          <w:vertAlign w:val="baseline"/>
          <w:rtl/>
          <w:lang w:bidi="ar-EG"/>
        </w:rPr>
        <w:footnoteReference w:customMarkFollows="1" w:id="2"/>
        <w:t>**</w:t>
      </w:r>
    </w:p>
    <w:p w:rsidR="00175485" w:rsidRDefault="00175485" w:rsidP="00175485">
      <w:pPr>
        <w:pStyle w:val="SingleTxtGA"/>
        <w:tabs>
          <w:tab w:val="clear" w:pos="2608"/>
          <w:tab w:val="clear" w:pos="3289"/>
          <w:tab w:val="clear" w:pos="3969"/>
        </w:tabs>
        <w:ind w:left="4649" w:hanging="2721"/>
        <w:rPr>
          <w:rtl/>
          <w:lang w:bidi="ar-EG"/>
        </w:rPr>
      </w:pPr>
      <w:r w:rsidRPr="00175485">
        <w:rPr>
          <w:rFonts w:hint="cs"/>
          <w:i/>
          <w:iCs/>
          <w:rtl/>
        </w:rPr>
        <w:t>بلاغ مقدم من</w:t>
      </w:r>
      <w:r w:rsidRPr="00175485">
        <w:rPr>
          <w:rFonts w:hint="cs"/>
          <w:rtl/>
        </w:rPr>
        <w:t>:</w:t>
      </w:r>
      <w:r>
        <w:rPr>
          <w:rFonts w:hint="cs"/>
          <w:rtl/>
        </w:rPr>
        <w:tab/>
      </w:r>
      <w:r>
        <w:rPr>
          <w:rFonts w:hint="cs"/>
          <w:rtl/>
          <w:lang w:bidi="ar-EG"/>
        </w:rPr>
        <w:t xml:space="preserve">أ. ك. غ. وآخرين (يمثلهم المحامي </w:t>
      </w:r>
      <w:proofErr w:type="spellStart"/>
      <w:r>
        <w:rPr>
          <w:rFonts w:hint="cs"/>
          <w:rtl/>
          <w:lang w:bidi="ar-EG"/>
        </w:rPr>
        <w:t>أنتونيو</w:t>
      </w:r>
      <w:proofErr w:type="spellEnd"/>
      <w:r>
        <w:rPr>
          <w:rFonts w:hint="cs"/>
          <w:rtl/>
          <w:lang w:bidi="ar-EG"/>
        </w:rPr>
        <w:t xml:space="preserve"> </w:t>
      </w:r>
      <w:proofErr w:type="spellStart"/>
      <w:r>
        <w:rPr>
          <w:rFonts w:hint="cs"/>
          <w:rtl/>
          <w:lang w:bidi="ar-EG"/>
        </w:rPr>
        <w:t>أَلباريث</w:t>
      </w:r>
      <w:proofErr w:type="spellEnd"/>
      <w:r>
        <w:rPr>
          <w:rFonts w:hint="cs"/>
          <w:rtl/>
          <w:lang w:bidi="ar-EG"/>
        </w:rPr>
        <w:t xml:space="preserve"> - </w:t>
      </w:r>
      <w:proofErr w:type="spellStart"/>
      <w:r>
        <w:rPr>
          <w:rFonts w:hint="cs"/>
          <w:rtl/>
          <w:lang w:bidi="ar-EG"/>
        </w:rPr>
        <w:t>أُوسوريو</w:t>
      </w:r>
      <w:proofErr w:type="spellEnd"/>
      <w:r>
        <w:rPr>
          <w:rFonts w:hint="cs"/>
          <w:rtl/>
          <w:lang w:bidi="ar-EG"/>
        </w:rPr>
        <w:t xml:space="preserve"> </w:t>
      </w:r>
      <w:proofErr w:type="spellStart"/>
      <w:r>
        <w:rPr>
          <w:rFonts w:hint="cs"/>
          <w:rtl/>
          <w:lang w:bidi="ar-EG"/>
        </w:rPr>
        <w:t>غَلبيث</w:t>
      </w:r>
      <w:proofErr w:type="spellEnd"/>
      <w:r>
        <w:rPr>
          <w:rFonts w:hint="cs"/>
          <w:rtl/>
          <w:lang w:bidi="ar-EG"/>
        </w:rPr>
        <w:t>)</w:t>
      </w:r>
    </w:p>
    <w:p w:rsidR="00175485" w:rsidRPr="00FD65BD" w:rsidRDefault="00175485" w:rsidP="00175485">
      <w:pPr>
        <w:pStyle w:val="SingleTxtGA"/>
        <w:tabs>
          <w:tab w:val="clear" w:pos="2608"/>
          <w:tab w:val="clear" w:pos="3289"/>
          <w:tab w:val="clear" w:pos="3969"/>
        </w:tabs>
        <w:ind w:left="4649" w:hanging="2721"/>
        <w:rPr>
          <w:rtl/>
        </w:rPr>
      </w:pPr>
      <w:r w:rsidRPr="00175485">
        <w:rPr>
          <w:rFonts w:hint="cs"/>
          <w:i/>
          <w:iCs/>
          <w:rtl/>
        </w:rPr>
        <w:t>الأشخاص المدعى أنهم ضحايا</w:t>
      </w:r>
      <w:r w:rsidRPr="004B3E03">
        <w:rPr>
          <w:rFonts w:hint="cs"/>
          <w:rtl/>
        </w:rPr>
        <w:t>:</w:t>
      </w:r>
      <w:r w:rsidRPr="00FD65BD">
        <w:rPr>
          <w:rFonts w:hint="cs"/>
          <w:rtl/>
        </w:rPr>
        <w:tab/>
        <w:t>أصحاب البلاغ</w:t>
      </w:r>
    </w:p>
    <w:p w:rsidR="00175485" w:rsidRDefault="00175485" w:rsidP="00175485">
      <w:pPr>
        <w:pStyle w:val="SingleTxtGA"/>
        <w:tabs>
          <w:tab w:val="clear" w:pos="2608"/>
          <w:tab w:val="clear" w:pos="3289"/>
          <w:tab w:val="clear" w:pos="3969"/>
        </w:tabs>
        <w:ind w:left="4649" w:hanging="2721"/>
        <w:rPr>
          <w:rtl/>
        </w:rPr>
      </w:pPr>
      <w:r w:rsidRPr="00175485">
        <w:rPr>
          <w:rFonts w:hint="cs"/>
          <w:i/>
          <w:iCs/>
          <w:rtl/>
        </w:rPr>
        <w:t>الدولة الطرف</w:t>
      </w:r>
      <w:r>
        <w:rPr>
          <w:rFonts w:hint="cs"/>
          <w:rtl/>
        </w:rPr>
        <w:t>:</w:t>
      </w:r>
      <w:r>
        <w:rPr>
          <w:rFonts w:hint="cs"/>
          <w:rtl/>
        </w:rPr>
        <w:tab/>
      </w:r>
      <w:r w:rsidRPr="00FD65BD">
        <w:rPr>
          <w:rFonts w:hint="cs"/>
          <w:rtl/>
        </w:rPr>
        <w:t>إسبانيا</w:t>
      </w:r>
    </w:p>
    <w:p w:rsidR="00175485" w:rsidRDefault="00175485" w:rsidP="00175485">
      <w:pPr>
        <w:pStyle w:val="SingleTxtGA"/>
        <w:tabs>
          <w:tab w:val="clear" w:pos="2608"/>
          <w:tab w:val="clear" w:pos="3289"/>
          <w:tab w:val="clear" w:pos="3969"/>
        </w:tabs>
        <w:ind w:left="4649" w:hanging="2721"/>
        <w:rPr>
          <w:i/>
          <w:iCs/>
          <w:rtl/>
        </w:rPr>
      </w:pPr>
      <w:r>
        <w:rPr>
          <w:rFonts w:hint="cs"/>
          <w:i/>
          <w:iCs/>
          <w:rtl/>
        </w:rPr>
        <w:t>تاريخ البلاغ</w:t>
      </w:r>
      <w:r w:rsidRPr="00175485">
        <w:rPr>
          <w:rFonts w:hint="cs"/>
          <w:rtl/>
        </w:rPr>
        <w:t>:</w:t>
      </w:r>
      <w:r>
        <w:rPr>
          <w:rFonts w:hint="cs"/>
          <w:i/>
          <w:iCs/>
          <w:rtl/>
        </w:rPr>
        <w:t xml:space="preserve"> </w:t>
      </w:r>
      <w:r>
        <w:rPr>
          <w:rFonts w:hint="cs"/>
          <w:i/>
          <w:iCs/>
          <w:rtl/>
        </w:rPr>
        <w:tab/>
      </w:r>
      <w:r w:rsidRPr="00FD65BD">
        <w:rPr>
          <w:rFonts w:hint="cs"/>
          <w:rtl/>
        </w:rPr>
        <w:t>23 أيلول/سبتمبر 2016</w:t>
      </w:r>
    </w:p>
    <w:p w:rsidR="00175485" w:rsidRDefault="00175485" w:rsidP="00175485">
      <w:pPr>
        <w:pStyle w:val="SingleTxtGA"/>
        <w:tabs>
          <w:tab w:val="clear" w:pos="2608"/>
          <w:tab w:val="clear" w:pos="3289"/>
          <w:tab w:val="clear" w:pos="3969"/>
        </w:tabs>
        <w:ind w:left="4649" w:hanging="2721"/>
        <w:rPr>
          <w:rtl/>
        </w:rPr>
      </w:pPr>
      <w:r w:rsidRPr="00175485">
        <w:rPr>
          <w:rFonts w:hint="cs"/>
          <w:i/>
          <w:iCs/>
          <w:rtl/>
        </w:rPr>
        <w:t>تاريخ اعتماد القرار</w:t>
      </w:r>
      <w:r>
        <w:rPr>
          <w:rFonts w:hint="cs"/>
          <w:rtl/>
        </w:rPr>
        <w:t>:</w:t>
      </w:r>
      <w:r>
        <w:rPr>
          <w:rFonts w:hint="cs"/>
          <w:rtl/>
        </w:rPr>
        <w:tab/>
      </w:r>
      <w:r w:rsidRPr="00FD65BD">
        <w:rPr>
          <w:rFonts w:hint="cs"/>
          <w:rtl/>
        </w:rPr>
        <w:t>22 شباط/فبراير 2017</w:t>
      </w:r>
    </w:p>
    <w:p w:rsidR="00175485" w:rsidRDefault="00175485" w:rsidP="00175485">
      <w:pPr>
        <w:pStyle w:val="SingleTxtGA"/>
        <w:tabs>
          <w:tab w:val="clear" w:pos="2608"/>
          <w:tab w:val="clear" w:pos="3289"/>
          <w:tab w:val="clear" w:pos="3969"/>
        </w:tabs>
        <w:ind w:left="4649" w:hanging="2721"/>
        <w:rPr>
          <w:rtl/>
        </w:rPr>
      </w:pPr>
      <w:r w:rsidRPr="00FD65BD">
        <w:rPr>
          <w:rFonts w:hint="cs"/>
          <w:i/>
          <w:iCs/>
          <w:rtl/>
        </w:rPr>
        <w:t>الموضوع</w:t>
      </w:r>
      <w:r w:rsidRPr="00175485">
        <w:rPr>
          <w:rFonts w:hint="cs"/>
          <w:rtl/>
        </w:rPr>
        <w:t>:</w:t>
      </w:r>
      <w:r>
        <w:rPr>
          <w:rFonts w:hint="cs"/>
          <w:i/>
          <w:iCs/>
          <w:rtl/>
        </w:rPr>
        <w:tab/>
      </w:r>
      <w:r w:rsidRPr="00A30CA9">
        <w:rPr>
          <w:rFonts w:hint="cs"/>
          <w:rtl/>
        </w:rPr>
        <w:t>الاستحقاقات الاجتماعية التكميلية الم</w:t>
      </w:r>
      <w:r>
        <w:rPr>
          <w:rFonts w:hint="cs"/>
          <w:rtl/>
        </w:rPr>
        <w:t>حددة</w:t>
      </w:r>
      <w:r w:rsidRPr="00A30CA9">
        <w:rPr>
          <w:rFonts w:hint="cs"/>
          <w:rtl/>
        </w:rPr>
        <w:t xml:space="preserve"> </w:t>
      </w:r>
      <w:r>
        <w:rPr>
          <w:rFonts w:hint="cs"/>
          <w:rtl/>
        </w:rPr>
        <w:t>في ا</w:t>
      </w:r>
      <w:r w:rsidRPr="00A30CA9">
        <w:rPr>
          <w:rFonts w:hint="cs"/>
          <w:rtl/>
        </w:rPr>
        <w:t>تفاق</w:t>
      </w:r>
      <w:proofErr w:type="spellStart"/>
      <w:r>
        <w:rPr>
          <w:rFonts w:hint="cs"/>
          <w:rtl/>
          <w:lang w:bidi="ar-EG"/>
        </w:rPr>
        <w:t>ات</w:t>
      </w:r>
      <w:proofErr w:type="spellEnd"/>
      <w:r w:rsidRPr="00A30CA9">
        <w:rPr>
          <w:rFonts w:hint="cs"/>
          <w:rtl/>
        </w:rPr>
        <w:t xml:space="preserve"> جماعي</w:t>
      </w:r>
      <w:r>
        <w:rPr>
          <w:rFonts w:hint="cs"/>
          <w:rtl/>
        </w:rPr>
        <w:t>ة</w:t>
      </w:r>
    </w:p>
    <w:p w:rsidR="00175485" w:rsidRPr="00175485" w:rsidRDefault="00175485" w:rsidP="00175485">
      <w:pPr>
        <w:pStyle w:val="SingleTxtGA"/>
        <w:tabs>
          <w:tab w:val="clear" w:pos="2608"/>
          <w:tab w:val="clear" w:pos="3289"/>
          <w:tab w:val="clear" w:pos="3969"/>
        </w:tabs>
        <w:ind w:left="4649" w:hanging="2721"/>
      </w:pPr>
      <w:r>
        <w:rPr>
          <w:rFonts w:hint="cs"/>
          <w:i/>
          <w:iCs/>
          <w:rtl/>
        </w:rPr>
        <w:t>المسائل الإجرائية</w:t>
      </w:r>
      <w:r w:rsidRPr="00175485">
        <w:rPr>
          <w:rFonts w:hint="cs"/>
          <w:rtl/>
        </w:rPr>
        <w:t>:</w:t>
      </w:r>
      <w:r>
        <w:rPr>
          <w:rFonts w:hint="cs"/>
          <w:i/>
          <w:iCs/>
          <w:rtl/>
        </w:rPr>
        <w:tab/>
      </w:r>
      <w:r w:rsidRPr="00175485">
        <w:rPr>
          <w:rFonts w:hint="cs"/>
          <w:rtl/>
        </w:rPr>
        <w:t xml:space="preserve">تقديم البلاغ بعد انقضاء عام على استنفاد سبل الانتصاف المحلية؛ والاختصاص الزمني </w:t>
      </w:r>
      <w:r w:rsidR="00CC46C4">
        <w:rPr>
          <w:rFonts w:hint="cs"/>
          <w:rtl/>
        </w:rPr>
        <w:t>للجنة</w:t>
      </w:r>
      <w:r w:rsidRPr="00175485">
        <w:rPr>
          <w:rFonts w:hint="cs"/>
          <w:rtl/>
        </w:rPr>
        <w:t xml:space="preserve">؛ والاختصاص الموضوعي للجنة </w:t>
      </w:r>
    </w:p>
    <w:p w:rsidR="00175485" w:rsidRPr="00175485" w:rsidRDefault="00175485" w:rsidP="00175485">
      <w:pPr>
        <w:pStyle w:val="SingleTxtGA"/>
        <w:tabs>
          <w:tab w:val="clear" w:pos="2608"/>
          <w:tab w:val="clear" w:pos="3289"/>
          <w:tab w:val="clear" w:pos="3969"/>
        </w:tabs>
        <w:ind w:left="4649" w:hanging="2721"/>
        <w:rPr>
          <w:rtl/>
        </w:rPr>
      </w:pPr>
      <w:r w:rsidRPr="00175485">
        <w:rPr>
          <w:rFonts w:hint="cs"/>
          <w:i/>
          <w:iCs/>
          <w:rtl/>
        </w:rPr>
        <w:t>المسائل الموضوعية</w:t>
      </w:r>
      <w:r w:rsidRPr="00175485">
        <w:rPr>
          <w:rFonts w:hint="cs"/>
          <w:rtl/>
        </w:rPr>
        <w:t>:</w:t>
      </w:r>
      <w:r w:rsidRPr="00175485">
        <w:rPr>
          <w:rFonts w:hint="cs"/>
          <w:i/>
          <w:iCs/>
          <w:rtl/>
        </w:rPr>
        <w:tab/>
      </w:r>
      <w:r w:rsidRPr="00175485">
        <w:rPr>
          <w:rFonts w:hint="cs"/>
          <w:rtl/>
        </w:rPr>
        <w:t xml:space="preserve">الحق في التمتع بظروف عمل عادلة ومواتية؛ والحق في الضمان الاجتماعي </w:t>
      </w:r>
    </w:p>
    <w:p w:rsidR="00175485" w:rsidRPr="00175485" w:rsidRDefault="00175485" w:rsidP="00175485">
      <w:pPr>
        <w:pStyle w:val="SingleTxtGA"/>
        <w:tabs>
          <w:tab w:val="clear" w:pos="2608"/>
          <w:tab w:val="clear" w:pos="3289"/>
          <w:tab w:val="clear" w:pos="3969"/>
        </w:tabs>
        <w:ind w:left="4649" w:hanging="2721"/>
        <w:rPr>
          <w:rtl/>
        </w:rPr>
      </w:pPr>
      <w:r>
        <w:rPr>
          <w:rFonts w:hint="cs"/>
          <w:i/>
          <w:iCs/>
          <w:rtl/>
        </w:rPr>
        <w:t>مواد العهد</w:t>
      </w:r>
      <w:r w:rsidRPr="00175485">
        <w:rPr>
          <w:rFonts w:hint="cs"/>
          <w:rtl/>
        </w:rPr>
        <w:t>:</w:t>
      </w:r>
      <w:r w:rsidRPr="00175485">
        <w:rPr>
          <w:rFonts w:hint="cs"/>
          <w:i/>
          <w:iCs/>
          <w:rtl/>
        </w:rPr>
        <w:tab/>
      </w:r>
      <w:r w:rsidRPr="00175485">
        <w:rPr>
          <w:rFonts w:hint="cs"/>
          <w:rtl/>
        </w:rPr>
        <w:t>المادتان 7 و9</w:t>
      </w:r>
    </w:p>
    <w:p w:rsidR="00175485" w:rsidRPr="00175485" w:rsidRDefault="00175485" w:rsidP="00175485">
      <w:pPr>
        <w:pStyle w:val="SingleTxtGA"/>
        <w:tabs>
          <w:tab w:val="clear" w:pos="2608"/>
          <w:tab w:val="clear" w:pos="3289"/>
          <w:tab w:val="clear" w:pos="3969"/>
        </w:tabs>
        <w:ind w:left="4649" w:hanging="2721"/>
        <w:rPr>
          <w:rtl/>
        </w:rPr>
      </w:pPr>
      <w:r>
        <w:rPr>
          <w:rFonts w:hint="cs"/>
          <w:i/>
          <w:iCs/>
          <w:rtl/>
        </w:rPr>
        <w:t>مواد البروتوكول</w:t>
      </w:r>
      <w:r w:rsidRPr="00175485">
        <w:rPr>
          <w:rFonts w:hint="cs"/>
          <w:rtl/>
        </w:rPr>
        <w:t>:</w:t>
      </w:r>
      <w:r>
        <w:rPr>
          <w:rFonts w:hint="cs"/>
          <w:i/>
          <w:iCs/>
          <w:rtl/>
        </w:rPr>
        <w:tab/>
      </w:r>
      <w:r w:rsidRPr="00175485">
        <w:rPr>
          <w:rFonts w:hint="cs"/>
          <w:rtl/>
        </w:rPr>
        <w:t>المادة 2 والفقرة 2</w:t>
      </w:r>
      <w:r w:rsidRPr="00175485">
        <w:rPr>
          <w:rtl/>
        </w:rPr>
        <w:t>(أ) و(ب)</w:t>
      </w:r>
      <w:r w:rsidRPr="00175485">
        <w:rPr>
          <w:rFonts w:hint="cs"/>
          <w:rtl/>
        </w:rPr>
        <w:t xml:space="preserve"> من المادة 3</w:t>
      </w:r>
    </w:p>
    <w:p w:rsidR="00175485" w:rsidRPr="00D87AD1" w:rsidRDefault="00175485" w:rsidP="00D87AD1">
      <w:pPr>
        <w:pStyle w:val="SingleTxtGA"/>
        <w:rPr>
          <w:spacing w:val="-3"/>
          <w:rtl/>
          <w:lang w:bidi="ar-EG"/>
        </w:rPr>
      </w:pPr>
      <w:r w:rsidRPr="00FC58F2">
        <w:rPr>
          <w:rFonts w:hint="cs"/>
          <w:spacing w:val="-4"/>
          <w:rtl/>
          <w:lang w:bidi="ar-EG"/>
        </w:rPr>
        <w:lastRenderedPageBreak/>
        <w:t>1-1</w:t>
      </w:r>
      <w:r w:rsidRPr="00FC58F2">
        <w:rPr>
          <w:rFonts w:hint="cs"/>
          <w:spacing w:val="-4"/>
          <w:rtl/>
          <w:lang w:bidi="ar-EG"/>
        </w:rPr>
        <w:tab/>
        <w:t>أصحاب البلاغ هم أ. ك. غ.، ف. خ. ك. م.، خ. ك. غ.، ب. ل. م.، خ. م. غ.،</w:t>
      </w:r>
      <w:r>
        <w:rPr>
          <w:rFonts w:hint="cs"/>
          <w:rtl/>
          <w:lang w:bidi="ar-EG"/>
        </w:rPr>
        <w:t xml:space="preserve"> </w:t>
      </w:r>
      <w:r w:rsidRPr="00FC58F2">
        <w:rPr>
          <w:rFonts w:hint="cs"/>
          <w:spacing w:val="-10"/>
          <w:rtl/>
          <w:lang w:bidi="ar-EG"/>
        </w:rPr>
        <w:t>ف. م. م.، خ. أ. س. م.، ك. ل. غ.، ف. إي. ب.، إي. غ. ح، خ. ب. س.، خ. خ. ب. غ.،</w:t>
      </w:r>
      <w:r>
        <w:rPr>
          <w:rFonts w:hint="cs"/>
          <w:rtl/>
          <w:lang w:bidi="ar-EG"/>
        </w:rPr>
        <w:t xml:space="preserve"> </w:t>
      </w:r>
      <w:r w:rsidRPr="00FC58F2">
        <w:rPr>
          <w:rFonts w:hint="cs"/>
          <w:spacing w:val="-4"/>
          <w:rtl/>
          <w:lang w:bidi="ar-EG"/>
        </w:rPr>
        <w:t>خ. غ. ل. أو، ف. غ. س.، خ. ر. ر.، خ. م. ي. ف.، أ. ك. ر.، خ. م. ف.، أو. م. ر.،</w:t>
      </w:r>
      <w:r>
        <w:rPr>
          <w:rFonts w:hint="cs"/>
          <w:rtl/>
          <w:lang w:bidi="ar-EG"/>
        </w:rPr>
        <w:t xml:space="preserve"> </w:t>
      </w:r>
      <w:r w:rsidRPr="00D87AD1">
        <w:rPr>
          <w:rFonts w:hint="cs"/>
          <w:spacing w:val="-3"/>
          <w:rtl/>
          <w:lang w:bidi="ar-EG"/>
        </w:rPr>
        <w:t xml:space="preserve">م. أو. م.، أ. ل. م.، ب. ر. م.، وجميعهم بالغون </w:t>
      </w:r>
      <w:proofErr w:type="spellStart"/>
      <w:r w:rsidRPr="00D87AD1">
        <w:rPr>
          <w:rFonts w:hint="cs"/>
          <w:spacing w:val="-3"/>
          <w:rtl/>
          <w:lang w:bidi="ar-EG"/>
        </w:rPr>
        <w:t>إسبانيو</w:t>
      </w:r>
      <w:proofErr w:type="spellEnd"/>
      <w:r w:rsidRPr="00D87AD1">
        <w:rPr>
          <w:rFonts w:hint="cs"/>
          <w:spacing w:val="-3"/>
          <w:rtl/>
          <w:lang w:bidi="ar-EG"/>
        </w:rPr>
        <w:t xml:space="preserve"> الجنسية. ويؤكد أصحاب البلاغ أن الدولة الطرف قد انتهكت حقوقهم المكفولة بموجب المادتين 7 و9 من العهد. وقد دخل البروتوكول الاختياري حيز النفاذ في الدولة الطرف في 5 أيار/مايو 2013. وعلاوة على ذلك، يدّعي أصحاب البلاغ أن الدولة الطرف انتهكت أيضاً حقوقهم الواردة في الفقرة 1 من المادة</w:t>
      </w:r>
      <w:r w:rsidR="00D87AD1" w:rsidRPr="00D87AD1">
        <w:rPr>
          <w:rFonts w:hint="eastAsia"/>
          <w:spacing w:val="-3"/>
          <w:rtl/>
          <w:lang w:bidi="ar-EG"/>
        </w:rPr>
        <w:t> </w:t>
      </w:r>
      <w:r w:rsidRPr="00D87AD1">
        <w:rPr>
          <w:rFonts w:hint="cs"/>
          <w:spacing w:val="-3"/>
          <w:rtl/>
          <w:lang w:bidi="ar-EG"/>
        </w:rPr>
        <w:t xml:space="preserve">12، والمادة 26 من العهد الدولي الخاص بالحقوق المدنية والسياسية. ويمثل أصحاب </w:t>
      </w:r>
      <w:r w:rsidR="00447D2D">
        <w:rPr>
          <w:rFonts w:hint="cs"/>
          <w:spacing w:val="-3"/>
          <w:rtl/>
          <w:lang w:bidi="ar-EG"/>
        </w:rPr>
        <w:t xml:space="preserve">              </w:t>
      </w:r>
      <w:r w:rsidRPr="00D87AD1">
        <w:rPr>
          <w:rFonts w:hint="cs"/>
          <w:spacing w:val="-3"/>
          <w:rtl/>
          <w:lang w:bidi="ar-EG"/>
        </w:rPr>
        <w:t>البلاغ محامٍ.</w:t>
      </w:r>
    </w:p>
    <w:p w:rsidR="00175485" w:rsidRDefault="00175485" w:rsidP="00175485">
      <w:pPr>
        <w:pStyle w:val="SingleTxtGA"/>
        <w:rPr>
          <w:rtl/>
          <w:lang w:bidi="ar-EG"/>
        </w:rPr>
      </w:pPr>
      <w:r>
        <w:rPr>
          <w:rFonts w:hint="cs"/>
          <w:rtl/>
          <w:lang w:bidi="ar-EG"/>
        </w:rPr>
        <w:t>1-2</w:t>
      </w:r>
      <w:r>
        <w:rPr>
          <w:rFonts w:hint="cs"/>
          <w:rtl/>
          <w:lang w:bidi="ar-EG"/>
        </w:rPr>
        <w:tab/>
        <w:t>وفي 2 كانون الأول/ديسمبر 2016، قرر الفريق العامل المعني بالبلاغات، متصرّفاً باسم اللجنة، عدم ضرورة تلقّي ملاحظات من الدولة الطرف لإقرار مقبولية هذا البلاغ. ومن ثم، لم يُحَل إليها وفقاً للفقرة 1 من المادة 6 من البروتوكول الاختياري.</w:t>
      </w:r>
    </w:p>
    <w:p w:rsidR="00175485" w:rsidRPr="00F76B4D" w:rsidRDefault="00175485" w:rsidP="00175485">
      <w:pPr>
        <w:pStyle w:val="H1GA"/>
        <w:rPr>
          <w:rtl/>
          <w:lang w:bidi="ar-EG"/>
        </w:rPr>
      </w:pPr>
      <w:r>
        <w:rPr>
          <w:rtl/>
          <w:lang w:bidi="ar-EG"/>
        </w:rPr>
        <w:tab/>
      </w:r>
      <w:r w:rsidRPr="00F76B4D">
        <w:rPr>
          <w:rFonts w:hint="cs"/>
          <w:rtl/>
          <w:lang w:bidi="ar-EG"/>
        </w:rPr>
        <w:t>ألف-</w:t>
      </w:r>
      <w:r w:rsidRPr="00F76B4D">
        <w:rPr>
          <w:rFonts w:hint="cs"/>
          <w:rtl/>
          <w:lang w:bidi="ar-EG"/>
        </w:rPr>
        <w:tab/>
        <w:t>موجز</w:t>
      </w:r>
      <w:r>
        <w:rPr>
          <w:rFonts w:hint="cs"/>
          <w:rtl/>
          <w:lang w:bidi="ar-EG"/>
        </w:rPr>
        <w:t xml:space="preserve"> المعلومات والحجج المقدمة من الأطراف</w:t>
      </w:r>
    </w:p>
    <w:p w:rsidR="00175485" w:rsidRPr="00BD206C" w:rsidRDefault="00175485" w:rsidP="00175485">
      <w:pPr>
        <w:pStyle w:val="H23GA"/>
        <w:rPr>
          <w:rtl/>
          <w:lang w:bidi="ar-EG"/>
        </w:rPr>
      </w:pPr>
      <w:r>
        <w:rPr>
          <w:rtl/>
          <w:lang w:bidi="ar-EG"/>
        </w:rPr>
        <w:tab/>
      </w:r>
      <w:r>
        <w:rPr>
          <w:rtl/>
          <w:lang w:bidi="ar-EG"/>
        </w:rPr>
        <w:tab/>
      </w:r>
      <w:r w:rsidRPr="00BD206C">
        <w:rPr>
          <w:rFonts w:hint="cs"/>
          <w:rtl/>
          <w:lang w:bidi="ar-EG"/>
        </w:rPr>
        <w:t>الوقائع كما عرضها أصحاب البلاغ</w:t>
      </w:r>
    </w:p>
    <w:p w:rsidR="00175485" w:rsidRDefault="00175485" w:rsidP="00175485">
      <w:pPr>
        <w:pStyle w:val="SingleTxtGA"/>
        <w:rPr>
          <w:rtl/>
          <w:lang w:bidi="ar-EG"/>
        </w:rPr>
      </w:pPr>
      <w:r>
        <w:rPr>
          <w:rFonts w:hint="cs"/>
          <w:rtl/>
          <w:lang w:bidi="ar-EG"/>
        </w:rPr>
        <w:t>2-1</w:t>
      </w:r>
      <w:r>
        <w:rPr>
          <w:rFonts w:hint="cs"/>
          <w:rtl/>
          <w:lang w:bidi="ar-EG"/>
        </w:rPr>
        <w:tab/>
        <w:t>عمل أصحاب البلاغ لعدة عقود في كيان مصرفي في تواريخ مختلفة لبدء علاقة العمل بين كل منهم والمصرف، في الفترة ما بين عامي 1962 و1998. ثم انتهت علاقة العمل هذه</w:t>
      </w:r>
      <w:r w:rsidRPr="00BD206C">
        <w:rPr>
          <w:rFonts w:hint="cs"/>
          <w:rtl/>
          <w:lang w:bidi="ar-EG"/>
        </w:rPr>
        <w:t xml:space="preserve"> </w:t>
      </w:r>
      <w:r>
        <w:rPr>
          <w:rFonts w:hint="cs"/>
          <w:rtl/>
          <w:lang w:bidi="ar-EG"/>
        </w:rPr>
        <w:t>في الفترة ما بين عامي 1982 و2005 لأسباب مختلفة كالفصل التعسفي والمغادرة الطوعية للعمل والإجازة من دون راتب.</w:t>
      </w:r>
    </w:p>
    <w:p w:rsidR="00175485" w:rsidRPr="00CC46C4" w:rsidRDefault="00175485" w:rsidP="00175485">
      <w:pPr>
        <w:pStyle w:val="SingleTxtGA"/>
        <w:rPr>
          <w:spacing w:val="-2"/>
          <w:rtl/>
          <w:lang w:bidi="ar-EG"/>
        </w:rPr>
      </w:pPr>
      <w:r w:rsidRPr="00CC46C4">
        <w:rPr>
          <w:rFonts w:hint="cs"/>
          <w:spacing w:val="-2"/>
          <w:rtl/>
          <w:lang w:bidi="ar-EG"/>
        </w:rPr>
        <w:t>2-2</w:t>
      </w:r>
      <w:r w:rsidRPr="00CC46C4">
        <w:rPr>
          <w:rFonts w:hint="cs"/>
          <w:spacing w:val="-2"/>
          <w:rtl/>
          <w:lang w:bidi="ar-EG"/>
        </w:rPr>
        <w:tab/>
        <w:t xml:space="preserve"> و</w:t>
      </w:r>
      <w:r w:rsidRPr="00CC46C4">
        <w:rPr>
          <w:spacing w:val="-2"/>
          <w:rtl/>
          <w:lang w:bidi="ar-EG"/>
        </w:rPr>
        <w:t xml:space="preserve">عند انقضاء علاقة العمل </w:t>
      </w:r>
      <w:r w:rsidRPr="00CC46C4">
        <w:rPr>
          <w:rFonts w:hint="cs"/>
          <w:spacing w:val="-2"/>
          <w:rtl/>
          <w:lang w:bidi="ar-EG"/>
        </w:rPr>
        <w:t>بين المصرف و</w:t>
      </w:r>
      <w:r w:rsidRPr="00CC46C4">
        <w:rPr>
          <w:spacing w:val="-2"/>
          <w:rtl/>
          <w:lang w:bidi="ar-EG"/>
        </w:rPr>
        <w:t>أصحاب البلاغ،</w:t>
      </w:r>
      <w:r w:rsidRPr="00CC46C4">
        <w:rPr>
          <w:rFonts w:hint="cs"/>
          <w:spacing w:val="-2"/>
          <w:rtl/>
          <w:lang w:bidi="ar-EG"/>
        </w:rPr>
        <w:t xml:space="preserve"> كان قد أنشأ لصالح العاملين فيه</w:t>
      </w:r>
      <w:r w:rsidR="00CC46C4" w:rsidRPr="00CC46C4">
        <w:rPr>
          <w:rFonts w:hint="cs"/>
          <w:spacing w:val="-2"/>
          <w:rtl/>
          <w:lang w:bidi="ar-EG"/>
        </w:rPr>
        <w:t xml:space="preserve"> </w:t>
      </w:r>
      <w:r w:rsidRPr="00CC46C4">
        <w:rPr>
          <w:rFonts w:hint="cs"/>
          <w:spacing w:val="-2"/>
          <w:rtl/>
          <w:lang w:bidi="ar-EG"/>
        </w:rPr>
        <w:t xml:space="preserve">نظاماً للضمان الاجتماعي بموجب اتفاقات جماعية متتالية أُبرمت في القطاع المصرفي الخاص. وقد نُشرت كلها في </w:t>
      </w:r>
      <w:r w:rsidRPr="00CC46C4">
        <w:rPr>
          <w:rFonts w:hint="cs"/>
          <w:i/>
          <w:iCs/>
          <w:spacing w:val="-2"/>
          <w:rtl/>
          <w:lang w:bidi="ar-EG"/>
        </w:rPr>
        <w:t>الجريدة الرسمية</w:t>
      </w:r>
      <w:r w:rsidRPr="00CC46C4">
        <w:rPr>
          <w:rFonts w:hint="cs"/>
          <w:spacing w:val="-2"/>
          <w:rtl/>
          <w:lang w:bidi="ar-EG"/>
        </w:rPr>
        <w:t xml:space="preserve"> للدولة في الوقت المحدد. فموجب هذه الاتفاقات، كان المصرف مُلزماً بتكملة استحقاقات الضمان الاجتماعي التي يحصل عليها العاملون فيه أو ذوو حقوقهم في حالة مرضهم أو إصابتهم بإعاقة دائمة أو تقاعدهم أو وفاتهم. وأنشأ المصرف اعتماداً محاسبياً أو صندوقاً داخلياً جماعياً عاماً لتغطية هذه الاستحقاقات التكميلية.</w:t>
      </w:r>
    </w:p>
    <w:p w:rsidR="00175485" w:rsidRDefault="00175485" w:rsidP="00175485">
      <w:pPr>
        <w:pStyle w:val="SingleTxtGA"/>
        <w:rPr>
          <w:rtl/>
          <w:lang w:bidi="ar-EG"/>
        </w:rPr>
      </w:pPr>
      <w:r>
        <w:rPr>
          <w:rFonts w:hint="cs"/>
          <w:rtl/>
          <w:lang w:bidi="ar-EG"/>
        </w:rPr>
        <w:t>2-3</w:t>
      </w:r>
      <w:r>
        <w:rPr>
          <w:rFonts w:hint="cs"/>
          <w:rtl/>
          <w:lang w:bidi="ar-EG"/>
        </w:rPr>
        <w:tab/>
        <w:t>وبعد مغادرة أصحاب البلاغ المصرف، طلبوا إليه استرداد الاحتياطيات الحسابية</w:t>
      </w:r>
      <w:r w:rsidR="00CC46C4">
        <w:rPr>
          <w:rFonts w:hint="cs"/>
          <w:rtl/>
          <w:lang w:bidi="ar-EG"/>
        </w:rPr>
        <w:t xml:space="preserve"> </w:t>
      </w:r>
      <w:r>
        <w:rPr>
          <w:rFonts w:hint="cs"/>
          <w:rtl/>
          <w:lang w:bidi="ar-EG"/>
        </w:rPr>
        <w:t xml:space="preserve">المقابلة </w:t>
      </w:r>
      <w:r w:rsidRPr="00802208">
        <w:rPr>
          <w:rFonts w:hint="cs"/>
          <w:rtl/>
          <w:lang w:bidi="ar-EG"/>
        </w:rPr>
        <w:t>لمستحقاتهم من</w:t>
      </w:r>
      <w:r w:rsidRPr="0087490D">
        <w:rPr>
          <w:rFonts w:hint="cs"/>
          <w:rtl/>
          <w:lang w:bidi="ar-EG"/>
        </w:rPr>
        <w:t xml:space="preserve"> المعاش</w:t>
      </w:r>
      <w:r>
        <w:rPr>
          <w:rFonts w:hint="cs"/>
          <w:rtl/>
          <w:lang w:bidi="ar-EG"/>
        </w:rPr>
        <w:t>. إلا أن المصرف لم يُجب طلبهم.</w:t>
      </w:r>
    </w:p>
    <w:p w:rsidR="00175485" w:rsidRDefault="00175485" w:rsidP="00CC46C4">
      <w:pPr>
        <w:pStyle w:val="SingleTxtGA"/>
        <w:rPr>
          <w:rtl/>
          <w:lang w:bidi="ar-EG"/>
        </w:rPr>
      </w:pPr>
      <w:r>
        <w:rPr>
          <w:rFonts w:hint="cs"/>
          <w:rtl/>
          <w:lang w:bidi="ar-EG"/>
        </w:rPr>
        <w:t>2-4</w:t>
      </w:r>
      <w:r>
        <w:rPr>
          <w:rFonts w:hint="cs"/>
          <w:rtl/>
          <w:lang w:bidi="ar-EG"/>
        </w:rPr>
        <w:tab/>
        <w:t>وفي 5 كانون الأول/ديسمبر 2008، أقام أصحاب البلاغ دعوى ضد المصرف أمام محكمة مدريد</w:t>
      </w:r>
      <w:r w:rsidR="00CC46C4">
        <w:rPr>
          <w:rFonts w:hint="cs"/>
          <w:rtl/>
          <w:lang w:bidi="ar-EG"/>
        </w:rPr>
        <w:t xml:space="preserve"> </w:t>
      </w:r>
      <w:r>
        <w:rPr>
          <w:rFonts w:hint="cs"/>
          <w:rtl/>
          <w:lang w:bidi="ar-EG"/>
        </w:rPr>
        <w:t>للمسائل الاجتماعية (رقم 15) وطلبوا إقرار حقهم في استرداد أو تحويل أو</w:t>
      </w:r>
      <w:r w:rsidR="00CC46C4">
        <w:rPr>
          <w:rFonts w:hint="eastAsia"/>
          <w:rtl/>
          <w:lang w:bidi="ar-EG"/>
        </w:rPr>
        <w:t> </w:t>
      </w:r>
      <w:r>
        <w:rPr>
          <w:rFonts w:hint="cs"/>
          <w:rtl/>
          <w:lang w:bidi="ar-EG"/>
        </w:rPr>
        <w:t>توظيف المبلغ المستحق لكل منهم من رصيد الصندوق الداخلي للمصرف في تاريخ انقضاء علاقة العمل بينهما.</w:t>
      </w:r>
    </w:p>
    <w:p w:rsidR="00175485" w:rsidRDefault="00175485" w:rsidP="00CC46C4">
      <w:pPr>
        <w:pStyle w:val="SingleTxtGA"/>
        <w:rPr>
          <w:rtl/>
          <w:lang w:bidi="ar-EG"/>
        </w:rPr>
      </w:pPr>
      <w:r>
        <w:rPr>
          <w:rFonts w:hint="cs"/>
          <w:rtl/>
          <w:lang w:bidi="ar-EG"/>
        </w:rPr>
        <w:t>2-5</w:t>
      </w:r>
      <w:r>
        <w:rPr>
          <w:rFonts w:hint="cs"/>
          <w:rtl/>
          <w:lang w:bidi="ar-EG"/>
        </w:rPr>
        <w:tab/>
        <w:t xml:space="preserve">وفي 9 كانون الأول/ديسمبر 2008، طلبت المحكمة رقم 15 إلى أصحاب البلاغ تصحيح بعض أوجه الخلل الإجرائي في الدعوى والمتعلقة بعدم توقيع المحامي على صحيفة الدعوى وعدم إثبات تمثيل المدَّعين. وفي 22 كانون الأول/ديسمبر 2008، قدم أصحاب البلاغ، عدا </w:t>
      </w:r>
      <w:proofErr w:type="spellStart"/>
      <w:r>
        <w:rPr>
          <w:rFonts w:hint="cs"/>
          <w:rtl/>
          <w:lang w:bidi="ar-EG"/>
        </w:rPr>
        <w:t>م.أو.م</w:t>
      </w:r>
      <w:proofErr w:type="spellEnd"/>
      <w:r>
        <w:rPr>
          <w:rFonts w:hint="cs"/>
          <w:rtl/>
          <w:lang w:bidi="ar-EG"/>
        </w:rPr>
        <w:t xml:space="preserve">.، </w:t>
      </w:r>
      <w:proofErr w:type="spellStart"/>
      <w:r>
        <w:rPr>
          <w:rFonts w:hint="cs"/>
          <w:rtl/>
          <w:lang w:bidi="ar-EG"/>
        </w:rPr>
        <w:t>وأ</w:t>
      </w:r>
      <w:proofErr w:type="spellEnd"/>
      <w:r>
        <w:rPr>
          <w:rFonts w:hint="cs"/>
          <w:rtl/>
          <w:lang w:bidi="ar-EG"/>
        </w:rPr>
        <w:t xml:space="preserve">. ل. م.، وب. ر. م.، </w:t>
      </w:r>
      <w:proofErr w:type="spellStart"/>
      <w:r>
        <w:rPr>
          <w:rFonts w:hint="cs"/>
          <w:rtl/>
          <w:lang w:bidi="ar-EG"/>
        </w:rPr>
        <w:t>وخ</w:t>
      </w:r>
      <w:proofErr w:type="spellEnd"/>
      <w:r>
        <w:rPr>
          <w:rFonts w:hint="cs"/>
          <w:rtl/>
          <w:lang w:bidi="ar-EG"/>
        </w:rPr>
        <w:t xml:space="preserve">. أ. س. م.، وثيقة التصحيح اللازمة. وعلى </w:t>
      </w:r>
      <w:r>
        <w:rPr>
          <w:rFonts w:hint="cs"/>
          <w:rtl/>
          <w:lang w:bidi="ar-EG"/>
        </w:rPr>
        <w:lastRenderedPageBreak/>
        <w:t>الرغم من أن أصحاب البلاغ الأربعة هؤلاء لم يقدموا أي وثيقة تصحيح، اعتبرت المحكمة رقم</w:t>
      </w:r>
      <w:r w:rsidR="00CC46C4">
        <w:rPr>
          <w:rFonts w:hint="eastAsia"/>
          <w:rtl/>
          <w:lang w:bidi="ar-EG"/>
        </w:rPr>
        <w:t> </w:t>
      </w:r>
      <w:r>
        <w:rPr>
          <w:rFonts w:hint="cs"/>
          <w:rtl/>
          <w:lang w:bidi="ar-EG"/>
        </w:rPr>
        <w:t xml:space="preserve">15، في 29 أيار/مايو 2009، أن أوجه الخلل قد صُححت عموماً وشرعت في عقد </w:t>
      </w:r>
      <w:r w:rsidRPr="000B7EDD">
        <w:rPr>
          <w:rFonts w:hint="cs"/>
          <w:rtl/>
          <w:lang w:bidi="ar-EG"/>
        </w:rPr>
        <w:t>جلسة المحاكمة الشفوية</w:t>
      </w:r>
      <w:r>
        <w:rPr>
          <w:rFonts w:hint="cs"/>
          <w:rtl/>
          <w:lang w:bidi="ar-EG"/>
        </w:rPr>
        <w:t>.</w:t>
      </w:r>
    </w:p>
    <w:p w:rsidR="00175485" w:rsidRDefault="00175485" w:rsidP="00175485">
      <w:pPr>
        <w:pStyle w:val="SingleTxtGA"/>
        <w:rPr>
          <w:rtl/>
          <w:lang w:bidi="ar-EG"/>
        </w:rPr>
      </w:pPr>
      <w:r>
        <w:rPr>
          <w:rFonts w:hint="cs"/>
          <w:rtl/>
          <w:lang w:bidi="ar-EG"/>
        </w:rPr>
        <w:t>2-6</w:t>
      </w:r>
      <w:r>
        <w:rPr>
          <w:rFonts w:hint="cs"/>
          <w:rtl/>
          <w:lang w:bidi="ar-EG"/>
        </w:rPr>
        <w:tab/>
        <w:t>وفي 9 تشرين الأول/أكتوبر 2009، رفضت المحكمة رقم 15 دعوى أصحاب البلاغ؛ إذ قضت</w:t>
      </w:r>
      <w:r w:rsidR="00CC46C4">
        <w:rPr>
          <w:rFonts w:hint="cs"/>
          <w:rtl/>
          <w:lang w:bidi="ar-EG"/>
        </w:rPr>
        <w:t xml:space="preserve"> </w:t>
      </w:r>
      <w:r>
        <w:rPr>
          <w:rFonts w:hint="cs"/>
          <w:rtl/>
          <w:lang w:bidi="ar-EG"/>
        </w:rPr>
        <w:t>بأن الاتفاقات الجماعية تُقر حق العامل في الحصول على (استحقاق</w:t>
      </w:r>
      <w:r w:rsidR="00923B94">
        <w:rPr>
          <w:rFonts w:hint="cs"/>
          <w:rtl/>
          <w:lang w:bidi="ar-EG"/>
        </w:rPr>
        <w:t>ات تكميلية) بعد وقوع الحادث الم</w:t>
      </w:r>
      <w:r>
        <w:rPr>
          <w:rFonts w:hint="cs"/>
          <w:rtl/>
          <w:lang w:bidi="ar-EG"/>
        </w:rPr>
        <w:t>نشئ لهذا الاستحقاق، وبأنه ليس بهذه الاتفاقات أي قاعدة تقر حقه في استرداد مبلغ الاستحقاق التكميلي في حال انتها</w:t>
      </w:r>
      <w:r w:rsidR="00F46091">
        <w:rPr>
          <w:rFonts w:hint="cs"/>
          <w:rtl/>
          <w:lang w:bidi="ar-EG"/>
        </w:rPr>
        <w:t>ء عقد العمل قبل وقوع الحادث الم</w:t>
      </w:r>
      <w:r>
        <w:rPr>
          <w:rFonts w:hint="cs"/>
          <w:rtl/>
          <w:lang w:bidi="ar-EG"/>
        </w:rPr>
        <w:t>نشئ لهذا الاستحقاق، وعليه، فليس للعامل ما دام لم يقع هذا الحادث سوى حق متوقع.</w:t>
      </w:r>
      <w:r w:rsidR="00CC46C4">
        <w:rPr>
          <w:rFonts w:hint="cs"/>
          <w:rtl/>
          <w:lang w:bidi="ar-EG"/>
        </w:rPr>
        <w:t xml:space="preserve"> </w:t>
      </w:r>
    </w:p>
    <w:p w:rsidR="00175485" w:rsidRDefault="00175485" w:rsidP="00175485">
      <w:pPr>
        <w:pStyle w:val="SingleTxtGA"/>
        <w:rPr>
          <w:rtl/>
          <w:lang w:bidi="ar-EG"/>
        </w:rPr>
      </w:pPr>
      <w:r>
        <w:rPr>
          <w:rFonts w:hint="cs"/>
          <w:rtl/>
          <w:lang w:bidi="ar-EG"/>
        </w:rPr>
        <w:t>2-7</w:t>
      </w:r>
      <w:r>
        <w:rPr>
          <w:rFonts w:hint="cs"/>
          <w:rtl/>
          <w:lang w:bidi="ar-EG"/>
        </w:rPr>
        <w:tab/>
        <w:t>وفي 1 كانون الأول/ديسمبر 2009، أقام جميع أصحاب البلاغ دعوى إلغاء للحكم الصادر من المحكمة رقم 15، مدّعين أنه قد صدر في غياب الممثل القانوني لأربعة من المدّعين (انظر الفقرة 2-4). وفي 28 كانون الأول/ديسمبر 2009، رفضت المحكمة رقم 15 دعوى الإلغاء لعدم استيفائها شروط إقامتها المحددة في المادة 241 من القانون الأساسي للسلطة القضائية ولأن المدعين أنفسهم، أصحاب البلاغ، كانوا المتسببين في أوجه الخلل الإجرائي تلك.</w:t>
      </w:r>
    </w:p>
    <w:p w:rsidR="00175485" w:rsidRDefault="00175485" w:rsidP="00175485">
      <w:pPr>
        <w:pStyle w:val="SingleTxtGA"/>
        <w:rPr>
          <w:rtl/>
          <w:lang w:bidi="ar-EG"/>
        </w:rPr>
      </w:pPr>
      <w:r>
        <w:rPr>
          <w:rFonts w:hint="cs"/>
          <w:rtl/>
          <w:lang w:bidi="ar-EG"/>
        </w:rPr>
        <w:t>2-8</w:t>
      </w:r>
      <w:r>
        <w:rPr>
          <w:rFonts w:hint="cs"/>
          <w:rtl/>
          <w:lang w:bidi="ar-EG"/>
        </w:rPr>
        <w:tab/>
        <w:t xml:space="preserve">وأقام أصحاب البلاغ دعوى </w:t>
      </w:r>
      <w:r w:rsidRPr="00802208">
        <w:rPr>
          <w:rFonts w:hint="cs"/>
          <w:rtl/>
          <w:lang w:bidi="ar-EG"/>
        </w:rPr>
        <w:t>لطلب الحماية الدستورية أمام المحكمة</w:t>
      </w:r>
      <w:r>
        <w:rPr>
          <w:rFonts w:hint="cs"/>
          <w:rtl/>
          <w:lang w:bidi="ar-EG"/>
        </w:rPr>
        <w:t xml:space="preserve"> الدستورية وادّعوا انتهاك حقهم في حماية قضائية فعالة. وفي 17 كانون الأول/ديسمبر 2010، رفضت المحكمة الدستورية دعوى الحماية لأن أصحاب البلاغ لم يفوا بعبء إثبات خصوصية أهميتها الدستورية، وفقا</w:t>
      </w:r>
      <w:r w:rsidR="00CC46C4">
        <w:rPr>
          <w:rFonts w:hint="cs"/>
          <w:rtl/>
          <w:lang w:bidi="ar-EG"/>
        </w:rPr>
        <w:t xml:space="preserve">ً </w:t>
      </w:r>
      <w:r>
        <w:rPr>
          <w:rFonts w:hint="cs"/>
          <w:rtl/>
          <w:lang w:bidi="ar-EG"/>
        </w:rPr>
        <w:t xml:space="preserve">لما </w:t>
      </w:r>
      <w:proofErr w:type="spellStart"/>
      <w:r>
        <w:rPr>
          <w:rFonts w:hint="cs"/>
          <w:rtl/>
          <w:lang w:bidi="ar-EG"/>
        </w:rPr>
        <w:t>تقتضيه</w:t>
      </w:r>
      <w:proofErr w:type="spellEnd"/>
      <w:r>
        <w:rPr>
          <w:rFonts w:hint="cs"/>
          <w:rtl/>
          <w:lang w:bidi="ar-EG"/>
        </w:rPr>
        <w:t xml:space="preserve"> الفقرة 1 من المادة 49 من القانون الأساسي للمحكمة الدستورية. </w:t>
      </w:r>
    </w:p>
    <w:p w:rsidR="00175485" w:rsidRDefault="00175485" w:rsidP="006C6C61">
      <w:pPr>
        <w:pStyle w:val="SingleTxtGA"/>
        <w:rPr>
          <w:rtl/>
          <w:lang w:bidi="ar-EG"/>
        </w:rPr>
      </w:pPr>
      <w:r>
        <w:rPr>
          <w:rFonts w:hint="cs"/>
          <w:rtl/>
          <w:lang w:bidi="ar-EG"/>
        </w:rPr>
        <w:t>2-9</w:t>
      </w:r>
      <w:r>
        <w:rPr>
          <w:rFonts w:hint="cs"/>
          <w:rtl/>
          <w:lang w:bidi="ar-EG"/>
        </w:rPr>
        <w:tab/>
        <w:t>ويدّعي أصحاب البلاغ أنهم قد بعثوا برسالة إلى</w:t>
      </w:r>
      <w:r w:rsidRPr="00802208">
        <w:rPr>
          <w:rFonts w:hint="cs"/>
          <w:rtl/>
          <w:lang w:bidi="ar-EG"/>
        </w:rPr>
        <w:t xml:space="preserve"> المحكمة الأوروبية لحقوق الإنسان</w:t>
      </w:r>
      <w:r>
        <w:rPr>
          <w:rFonts w:hint="cs"/>
          <w:rtl/>
          <w:lang w:bidi="ar-EG"/>
        </w:rPr>
        <w:t>،</w:t>
      </w:r>
      <w:r w:rsidRPr="00802208">
        <w:rPr>
          <w:rFonts w:hint="cs"/>
          <w:rtl/>
          <w:lang w:bidi="ar-EG"/>
        </w:rPr>
        <w:t xml:space="preserve"> في</w:t>
      </w:r>
      <w:r w:rsidR="006C6C61">
        <w:rPr>
          <w:rFonts w:hint="eastAsia"/>
          <w:rtl/>
          <w:lang w:bidi="ar-EG"/>
        </w:rPr>
        <w:t> </w:t>
      </w:r>
      <w:r w:rsidRPr="00802208">
        <w:rPr>
          <w:rFonts w:hint="cs"/>
          <w:rtl/>
          <w:lang w:bidi="ar-EG"/>
        </w:rPr>
        <w:t>22 حزيران/يونيه 2011</w:t>
      </w:r>
      <w:r>
        <w:rPr>
          <w:rFonts w:hint="cs"/>
          <w:rtl/>
          <w:lang w:bidi="ar-EG"/>
        </w:rPr>
        <w:t>،</w:t>
      </w:r>
      <w:r w:rsidRPr="00802208">
        <w:rPr>
          <w:rFonts w:hint="cs"/>
          <w:rtl/>
          <w:lang w:bidi="ar-EG"/>
        </w:rPr>
        <w:t xml:space="preserve"> لإبلاغها باعتزامهم إقامة دعوى أمامها، وأن أمانة المحكمة أكدت تلقي</w:t>
      </w:r>
      <w:r>
        <w:rPr>
          <w:rFonts w:hint="cs"/>
          <w:rtl/>
          <w:lang w:bidi="ar-EG"/>
        </w:rPr>
        <w:t xml:space="preserve"> الرسالة </w:t>
      </w:r>
      <w:r w:rsidRPr="00802208">
        <w:rPr>
          <w:rFonts w:hint="cs"/>
          <w:rtl/>
          <w:lang w:bidi="ar-EG"/>
        </w:rPr>
        <w:t xml:space="preserve">وأرسلت </w:t>
      </w:r>
      <w:r>
        <w:rPr>
          <w:rFonts w:hint="cs"/>
          <w:rtl/>
          <w:lang w:bidi="ar-EG"/>
        </w:rPr>
        <w:t>إ</w:t>
      </w:r>
      <w:r w:rsidRPr="00802208">
        <w:rPr>
          <w:rFonts w:hint="cs"/>
          <w:rtl/>
          <w:lang w:bidi="ar-EG"/>
        </w:rPr>
        <w:t>ل</w:t>
      </w:r>
      <w:r>
        <w:rPr>
          <w:rFonts w:hint="cs"/>
          <w:rtl/>
          <w:lang w:bidi="ar-EG"/>
        </w:rPr>
        <w:t>ي</w:t>
      </w:r>
      <w:r w:rsidRPr="00802208">
        <w:rPr>
          <w:rFonts w:hint="cs"/>
          <w:rtl/>
          <w:lang w:bidi="ar-EG"/>
        </w:rPr>
        <w:t>هم نسخة من النموذج الرسمي لصحيفة الدعوى.</w:t>
      </w:r>
    </w:p>
    <w:p w:rsidR="00175485" w:rsidRDefault="00175485" w:rsidP="00175485">
      <w:pPr>
        <w:pStyle w:val="H23GA"/>
        <w:rPr>
          <w:rtl/>
          <w:lang w:bidi="ar-EG"/>
        </w:rPr>
      </w:pPr>
      <w:r>
        <w:rPr>
          <w:rtl/>
          <w:lang w:bidi="ar-EG"/>
        </w:rPr>
        <w:tab/>
      </w:r>
      <w:r>
        <w:rPr>
          <w:rtl/>
          <w:lang w:bidi="ar-EG"/>
        </w:rPr>
        <w:tab/>
      </w:r>
      <w:r w:rsidRPr="00F82B00">
        <w:rPr>
          <w:rFonts w:hint="cs"/>
          <w:rtl/>
          <w:lang w:bidi="ar-EG"/>
        </w:rPr>
        <w:t>ال</w:t>
      </w:r>
      <w:r>
        <w:rPr>
          <w:rFonts w:hint="cs"/>
          <w:rtl/>
          <w:lang w:bidi="ar-EG"/>
        </w:rPr>
        <w:t>شكوى</w:t>
      </w:r>
    </w:p>
    <w:p w:rsidR="00175485" w:rsidRDefault="00175485" w:rsidP="00175485">
      <w:pPr>
        <w:pStyle w:val="SingleTxtGA"/>
        <w:rPr>
          <w:rtl/>
          <w:lang w:bidi="ar-EG"/>
        </w:rPr>
      </w:pPr>
      <w:r>
        <w:rPr>
          <w:rFonts w:hint="cs"/>
          <w:rtl/>
          <w:lang w:bidi="ar-EG"/>
        </w:rPr>
        <w:t>3-1</w:t>
      </w:r>
      <w:r>
        <w:rPr>
          <w:rFonts w:hint="cs"/>
          <w:rtl/>
          <w:lang w:bidi="ar-EG"/>
        </w:rPr>
        <w:tab/>
        <w:t>يؤكد أصحاب البلاغ أن الدولة الطرف قد انتهكت حقوقهم المكفولة بموجب المادتين</w:t>
      </w:r>
      <w:r>
        <w:rPr>
          <w:rFonts w:hint="eastAsia"/>
          <w:rtl/>
          <w:lang w:bidi="ar-EG"/>
        </w:rPr>
        <w:t> </w:t>
      </w:r>
      <w:r>
        <w:rPr>
          <w:rFonts w:hint="cs"/>
          <w:rtl/>
          <w:lang w:bidi="ar-EG"/>
        </w:rPr>
        <w:t>7 و9 من العهد.</w:t>
      </w:r>
      <w:r w:rsidR="00CC46C4">
        <w:rPr>
          <w:rFonts w:hint="cs"/>
          <w:rtl/>
          <w:lang w:bidi="ar-EG"/>
        </w:rPr>
        <w:t xml:space="preserve"> </w:t>
      </w:r>
      <w:r>
        <w:rPr>
          <w:rFonts w:hint="cs"/>
          <w:rtl/>
          <w:lang w:bidi="ar-EG"/>
        </w:rPr>
        <w:t>وعلاوة على ذلك، يدّعي أصحاب البلاغ أن الدولة الطرف انتهكت أيضاً حقوقهم الواردة في الفقرة 1 من المادة 12، والمادة 26 من العهد الدولي الخاص بالحقوق المدنية والسياسية.</w:t>
      </w:r>
    </w:p>
    <w:p w:rsidR="00175485" w:rsidRDefault="00175485" w:rsidP="00175485">
      <w:pPr>
        <w:pStyle w:val="SingleTxtGA"/>
        <w:rPr>
          <w:rtl/>
          <w:lang w:bidi="ar-EG"/>
        </w:rPr>
      </w:pPr>
      <w:r>
        <w:rPr>
          <w:rFonts w:hint="cs"/>
          <w:rtl/>
          <w:lang w:bidi="ar-EG"/>
        </w:rPr>
        <w:t>3-2</w:t>
      </w:r>
      <w:r>
        <w:rPr>
          <w:rFonts w:hint="cs"/>
          <w:rtl/>
          <w:lang w:bidi="ar-EG"/>
        </w:rPr>
        <w:tab/>
        <w:t>ويطلب أصحاب البلاغ إلى اللجنة إقرار انتهاك المواد المحتج بها، وإقرار حقهم في الحصول على تعويض عن الأضرار التي لحقت بهم وعن التكاليف المتكبّدة في الدعاوى.</w:t>
      </w:r>
    </w:p>
    <w:p w:rsidR="00175485" w:rsidRPr="007B7257" w:rsidRDefault="00175485" w:rsidP="00175485">
      <w:pPr>
        <w:pStyle w:val="H1GA"/>
        <w:rPr>
          <w:rtl/>
          <w:lang w:bidi="ar-EG"/>
        </w:rPr>
      </w:pPr>
      <w:r>
        <w:rPr>
          <w:rtl/>
          <w:lang w:bidi="ar-EG"/>
        </w:rPr>
        <w:tab/>
      </w:r>
      <w:r w:rsidRPr="007B7257">
        <w:rPr>
          <w:rFonts w:hint="cs"/>
          <w:rtl/>
          <w:lang w:bidi="ar-EG"/>
        </w:rPr>
        <w:t>باء-</w:t>
      </w:r>
      <w:r w:rsidRPr="007B7257">
        <w:rPr>
          <w:rFonts w:hint="cs"/>
          <w:rtl/>
          <w:lang w:bidi="ar-EG"/>
        </w:rPr>
        <w:tab/>
      </w:r>
      <w:r>
        <w:rPr>
          <w:rFonts w:hint="cs"/>
          <w:rtl/>
          <w:lang w:bidi="ar-EG"/>
        </w:rPr>
        <w:t xml:space="preserve">ملاحظات </w:t>
      </w:r>
      <w:r w:rsidRPr="007B7257">
        <w:rPr>
          <w:rFonts w:hint="cs"/>
          <w:rtl/>
          <w:lang w:bidi="ar-EG"/>
        </w:rPr>
        <w:t xml:space="preserve">اللجنة بشأن </w:t>
      </w:r>
      <w:r>
        <w:rPr>
          <w:rFonts w:hint="cs"/>
          <w:rtl/>
          <w:lang w:bidi="ar-EG"/>
        </w:rPr>
        <w:t>ال</w:t>
      </w:r>
      <w:r w:rsidRPr="007B7257">
        <w:rPr>
          <w:rFonts w:hint="cs"/>
          <w:rtl/>
          <w:lang w:bidi="ar-EG"/>
        </w:rPr>
        <w:t>مقبولية</w:t>
      </w:r>
    </w:p>
    <w:p w:rsidR="00175485" w:rsidRDefault="00175485" w:rsidP="00175485">
      <w:pPr>
        <w:pStyle w:val="SingleTxtGA"/>
        <w:rPr>
          <w:rtl/>
          <w:lang w:eastAsia="ar-SA"/>
        </w:rPr>
      </w:pPr>
      <w:r>
        <w:rPr>
          <w:rFonts w:hint="cs"/>
          <w:sz w:val="30"/>
          <w:rtl/>
          <w:lang w:bidi="ar-EG"/>
        </w:rPr>
        <w:t>4-1</w:t>
      </w:r>
      <w:r>
        <w:rPr>
          <w:rFonts w:hint="cs"/>
          <w:sz w:val="30"/>
          <w:rtl/>
          <w:lang w:bidi="ar-EG"/>
        </w:rPr>
        <w:tab/>
      </w:r>
      <w:r>
        <w:rPr>
          <w:rFonts w:hint="cs"/>
          <w:rtl/>
          <w:lang w:eastAsia="ar-SA"/>
        </w:rPr>
        <w:t>قبل النظر في أي ادعاءات ترد في بلاغ ما</w:t>
      </w:r>
      <w:r w:rsidRPr="009349B2">
        <w:rPr>
          <w:rFonts w:hint="cs"/>
          <w:rtl/>
          <w:lang w:eastAsia="ar-SA"/>
        </w:rPr>
        <w:t>، يجب على اللجنة أن تقرر</w:t>
      </w:r>
      <w:r>
        <w:rPr>
          <w:rFonts w:hint="cs"/>
          <w:rtl/>
          <w:lang w:eastAsia="ar-SA"/>
        </w:rPr>
        <w:t xml:space="preserve">، طبقاً للمادة 9 من نظامها </w:t>
      </w:r>
      <w:r w:rsidRPr="00802208">
        <w:rPr>
          <w:rFonts w:hint="cs"/>
          <w:rtl/>
          <w:lang w:eastAsia="ar-SA"/>
        </w:rPr>
        <w:t>الداخلي المؤقت</w:t>
      </w:r>
      <w:r w:rsidRPr="00802208">
        <w:rPr>
          <w:rFonts w:hint="cs"/>
          <w:rtl/>
          <w:lang w:eastAsia="ar-SA" w:bidi="ar-EG"/>
        </w:rPr>
        <w:t xml:space="preserve"> المعتمد</w:t>
      </w:r>
      <w:r w:rsidRPr="00802208">
        <w:rPr>
          <w:rFonts w:hint="cs"/>
          <w:rtl/>
          <w:lang w:eastAsia="ar-SA"/>
        </w:rPr>
        <w:t xml:space="preserve"> </w:t>
      </w:r>
      <w:r>
        <w:rPr>
          <w:rFonts w:hint="cs"/>
          <w:rtl/>
          <w:lang w:eastAsia="ar-SA"/>
        </w:rPr>
        <w:t xml:space="preserve">في إطار </w:t>
      </w:r>
      <w:r w:rsidRPr="00802208">
        <w:rPr>
          <w:rFonts w:hint="cs"/>
          <w:rtl/>
          <w:lang w:eastAsia="ar-SA"/>
        </w:rPr>
        <w:t>البروتوكول</w:t>
      </w:r>
      <w:r>
        <w:rPr>
          <w:rFonts w:hint="cs"/>
          <w:rtl/>
          <w:lang w:eastAsia="ar-SA"/>
        </w:rPr>
        <w:t xml:space="preserve"> الاختياري، ما إذا كان البلاغ </w:t>
      </w:r>
      <w:r w:rsidRPr="00243EAE">
        <w:rPr>
          <w:rFonts w:hint="cs"/>
          <w:rtl/>
          <w:lang w:eastAsia="ar-SA"/>
        </w:rPr>
        <w:t>مقبولاً أم</w:t>
      </w:r>
      <w:r w:rsidRPr="00243EAE">
        <w:rPr>
          <w:rFonts w:hint="eastAsia"/>
          <w:rtl/>
          <w:lang w:eastAsia="ar-SA"/>
        </w:rPr>
        <w:t> </w:t>
      </w:r>
      <w:r w:rsidRPr="00243EAE">
        <w:rPr>
          <w:rFonts w:hint="cs"/>
          <w:rtl/>
          <w:lang w:eastAsia="ar-SA"/>
        </w:rPr>
        <w:t>لا</w:t>
      </w:r>
      <w:r w:rsidRPr="00243EAE">
        <w:rPr>
          <w:rFonts w:hint="eastAsia"/>
          <w:rtl/>
          <w:lang w:eastAsia="ar-SA"/>
        </w:rPr>
        <w:t> </w:t>
      </w:r>
      <w:r w:rsidRPr="00243EAE">
        <w:rPr>
          <w:rFonts w:hint="cs"/>
          <w:rtl/>
          <w:lang w:eastAsia="ar-SA"/>
        </w:rPr>
        <w:t>بموجب البروتوكول</w:t>
      </w:r>
      <w:r>
        <w:rPr>
          <w:rFonts w:hint="cs"/>
          <w:rtl/>
          <w:lang w:eastAsia="ar-SA"/>
        </w:rPr>
        <w:t xml:space="preserve"> الاختياري.</w:t>
      </w:r>
    </w:p>
    <w:p w:rsidR="00175485" w:rsidRDefault="00175485" w:rsidP="00CC46C4">
      <w:pPr>
        <w:pStyle w:val="SingleTxtGA"/>
        <w:rPr>
          <w:sz w:val="30"/>
          <w:rtl/>
          <w:lang w:bidi="ar-EG"/>
        </w:rPr>
      </w:pPr>
      <w:r>
        <w:rPr>
          <w:rFonts w:hint="cs"/>
          <w:rtl/>
          <w:lang w:eastAsia="ar-SA"/>
        </w:rPr>
        <w:t>4-2</w:t>
      </w:r>
      <w:r>
        <w:rPr>
          <w:rFonts w:hint="cs"/>
          <w:rtl/>
          <w:lang w:eastAsia="ar-SA"/>
        </w:rPr>
        <w:tab/>
        <w:t>وللجنة الاختصاص الموضوعي للنظر في ادعاءات انتهاك أي من الحقوق الاقتصادية أو</w:t>
      </w:r>
      <w:r w:rsidR="00CC46C4">
        <w:rPr>
          <w:rFonts w:hint="eastAsia"/>
          <w:rtl/>
          <w:lang w:eastAsia="ar-SA"/>
        </w:rPr>
        <w:t> </w:t>
      </w:r>
      <w:r>
        <w:rPr>
          <w:rFonts w:hint="cs"/>
          <w:rtl/>
          <w:lang w:eastAsia="ar-SA"/>
        </w:rPr>
        <w:t xml:space="preserve">الاجتماعية أو الثقافية المنصوص عليها في العهد. ومن ثم، تقرر اللجنة أن شكاوى أصحاب </w:t>
      </w:r>
      <w:r>
        <w:rPr>
          <w:rFonts w:hint="cs"/>
          <w:rtl/>
          <w:lang w:eastAsia="ar-SA"/>
        </w:rPr>
        <w:lastRenderedPageBreak/>
        <w:t xml:space="preserve">البلاغ المتعلقة بالفقرة 1 من المادة 12 وبالمادة 26 من </w:t>
      </w:r>
      <w:r>
        <w:rPr>
          <w:rFonts w:hint="cs"/>
          <w:sz w:val="30"/>
          <w:rtl/>
          <w:lang w:bidi="ar-EG"/>
        </w:rPr>
        <w:t>العهد غير مقبولة بموجب الفقرة 2</w:t>
      </w:r>
      <w:r w:rsidRPr="008032BD">
        <w:rPr>
          <w:sz w:val="30"/>
          <w:rtl/>
          <w:lang w:bidi="ar-EG"/>
        </w:rPr>
        <w:t>(د)</w:t>
      </w:r>
      <w:r>
        <w:rPr>
          <w:rFonts w:hint="cs"/>
          <w:sz w:val="30"/>
          <w:rtl/>
          <w:lang w:bidi="ar-EG"/>
        </w:rPr>
        <w:t xml:space="preserve"> من المادة 3 من البروتوكول الاختياري</w:t>
      </w:r>
      <w:r w:rsidRPr="00560936">
        <w:rPr>
          <w:sz w:val="30"/>
          <w:vertAlign w:val="superscript"/>
          <w:rtl/>
          <w:lang w:bidi="ar-EG"/>
        </w:rPr>
        <w:t>(</w:t>
      </w:r>
      <w:r w:rsidRPr="00981E7E">
        <w:rPr>
          <w:rStyle w:val="FootnoteReference"/>
          <w:sz w:val="30"/>
          <w:rtl/>
          <w:lang w:bidi="ar-EG"/>
        </w:rPr>
        <w:footnoteReference w:id="3"/>
      </w:r>
      <w:r w:rsidRPr="00560936">
        <w:rPr>
          <w:sz w:val="30"/>
          <w:vertAlign w:val="superscript"/>
          <w:rtl/>
          <w:lang w:bidi="ar-EG"/>
        </w:rPr>
        <w:t>)</w:t>
      </w:r>
      <w:r>
        <w:rPr>
          <w:rFonts w:hint="cs"/>
          <w:sz w:val="30"/>
          <w:rtl/>
          <w:lang w:bidi="ar-EG"/>
        </w:rPr>
        <w:t>.</w:t>
      </w:r>
    </w:p>
    <w:p w:rsidR="00175485" w:rsidRDefault="00175485" w:rsidP="00175485">
      <w:pPr>
        <w:pStyle w:val="SingleTxtGA"/>
        <w:rPr>
          <w:rtl/>
          <w:lang w:bidi="ar-EG"/>
        </w:rPr>
      </w:pPr>
      <w:r>
        <w:rPr>
          <w:rFonts w:hint="cs"/>
          <w:rtl/>
          <w:lang w:bidi="ar-EG"/>
        </w:rPr>
        <w:t>4-3</w:t>
      </w:r>
      <w:r>
        <w:rPr>
          <w:rFonts w:hint="cs"/>
          <w:rtl/>
          <w:lang w:bidi="ar-EG"/>
        </w:rPr>
        <w:tab/>
        <w:t>وتذكّر اللجنة بأن البروتوكول الاختياري قد دخل حيز النفاذ في الدولة الطرف في 5 أيار/مايو 2013، وبأنه وفقاً للفقرة 2</w:t>
      </w:r>
      <w:r w:rsidRPr="008032BD">
        <w:rPr>
          <w:rtl/>
          <w:lang w:bidi="ar-EG"/>
        </w:rPr>
        <w:t>(ب)</w:t>
      </w:r>
      <w:r>
        <w:rPr>
          <w:rFonts w:hint="cs"/>
          <w:rtl/>
          <w:lang w:bidi="ar-EG"/>
        </w:rPr>
        <w:t xml:space="preserve"> من المادة 3 منه، تقر اللجنة عدم مقبولية أي بلاغ يردها إذا كان يُحيل إلى وقائع حدثت قبل دخول البروتوكول الاختياري حيز النفاذ في الدولة الطرف، ما لم يستمر حدوثها بعد هذا التاريخ. وفي هذه الحالة، تلاحظ اللجنة أن الوقائع موضوع البلاغ، بما في ذلك جميع القرارات القضائية الصادرة بشأنها من السلطات الوطنية، قد حدثت قبل 5 أيار/مايو 2013. ولا يُستنتج من المعلومات المقدمة من أصحاب البلاغ وجود وقائع استمر حدوثها بعد دخول البروتوكول الاختياري حيز النفاذ قد تشكل، في حد ذاتها، انتهاكاً لأحكام العهد. وعليه، ترى اللجنة أنها لا يجوز لها بحكم الاختصاص الزمني النظر في هذا البلاغ وأنه غير مقبول بموجب الفقرة 2</w:t>
      </w:r>
      <w:r w:rsidRPr="008032BD">
        <w:rPr>
          <w:rtl/>
          <w:lang w:bidi="ar-EG"/>
        </w:rPr>
        <w:t>(ب)</w:t>
      </w:r>
      <w:r>
        <w:rPr>
          <w:rFonts w:hint="cs"/>
          <w:rtl/>
          <w:lang w:bidi="ar-EG"/>
        </w:rPr>
        <w:t xml:space="preserve"> من المادة 3 من البروتوكول الاختياري</w:t>
      </w:r>
      <w:r w:rsidRPr="00560936">
        <w:rPr>
          <w:vertAlign w:val="superscript"/>
          <w:rtl/>
          <w:lang w:bidi="ar-EG"/>
        </w:rPr>
        <w:t>(</w:t>
      </w:r>
      <w:r w:rsidRPr="00146B43">
        <w:rPr>
          <w:rStyle w:val="FootnoteReference"/>
          <w:sz w:val="30"/>
          <w:rtl/>
          <w:lang w:bidi="ar-EG"/>
        </w:rPr>
        <w:footnoteReference w:id="4"/>
      </w:r>
      <w:r w:rsidRPr="00560936">
        <w:rPr>
          <w:vertAlign w:val="superscript"/>
          <w:rtl/>
          <w:lang w:bidi="ar-EG"/>
        </w:rPr>
        <w:t>)</w:t>
      </w:r>
      <w:r>
        <w:rPr>
          <w:rFonts w:hint="cs"/>
          <w:rtl/>
          <w:lang w:bidi="ar-EG"/>
        </w:rPr>
        <w:t xml:space="preserve">. </w:t>
      </w:r>
    </w:p>
    <w:p w:rsidR="00175485" w:rsidRDefault="00175485" w:rsidP="00CC46C4">
      <w:pPr>
        <w:pStyle w:val="SingleTxtGA"/>
        <w:rPr>
          <w:rtl/>
          <w:lang w:bidi="ar-EG"/>
        </w:rPr>
      </w:pPr>
      <w:r>
        <w:rPr>
          <w:rFonts w:hint="cs"/>
          <w:rtl/>
          <w:lang w:bidi="ar-EG"/>
        </w:rPr>
        <w:t>4-4</w:t>
      </w:r>
      <w:r>
        <w:rPr>
          <w:rFonts w:hint="cs"/>
          <w:rtl/>
          <w:lang w:bidi="ar-EG"/>
        </w:rPr>
        <w:tab/>
        <w:t xml:space="preserve">وتشير اللجنة إلى أن لها بموجب المادة 6 من البروتوكول الاختياري أن تعتبر أي بلاغ يردها غير مقبول دون الرجوع إلى الدولة الطرف المعنية. وفي </w:t>
      </w:r>
      <w:bookmarkStart w:id="0" w:name="_GoBack"/>
      <w:bookmarkEnd w:id="0"/>
      <w:r>
        <w:rPr>
          <w:rFonts w:hint="cs"/>
          <w:rtl/>
          <w:lang w:bidi="ar-EG"/>
        </w:rPr>
        <w:t>هذه الحالة، لا تشكل الأسباب التي تستند إليها اللجنة في الانتهاء إلى عدم مقبولية البلاغ جزءاً من تلك التي قد تحتج بها الدولة الطرف للاعتراض على مقبولية البلاغ، كما قد تكون أحكام الفقرة 1 والفقرة 2</w:t>
      </w:r>
      <w:r w:rsidRPr="008032BD">
        <w:rPr>
          <w:rtl/>
          <w:lang w:bidi="ar-EG"/>
        </w:rPr>
        <w:t>(أ) أو</w:t>
      </w:r>
      <w:r w:rsidR="00CC46C4">
        <w:rPr>
          <w:rFonts w:hint="cs"/>
          <w:rtl/>
          <w:lang w:bidi="ar-EG"/>
        </w:rPr>
        <w:t> </w:t>
      </w:r>
      <w:r w:rsidRPr="008032BD">
        <w:rPr>
          <w:rtl/>
          <w:lang w:bidi="ar-EG"/>
        </w:rPr>
        <w:t>(ج) أو (هـ) أو (و) أو (ز)</w:t>
      </w:r>
      <w:r>
        <w:rPr>
          <w:rFonts w:hint="cs"/>
          <w:rtl/>
          <w:lang w:bidi="ar-EG"/>
        </w:rPr>
        <w:t xml:space="preserve"> من المادة 3</w:t>
      </w:r>
      <w:r w:rsidR="00CC46C4">
        <w:rPr>
          <w:rFonts w:hint="cs"/>
          <w:rtl/>
          <w:lang w:bidi="ar-EG"/>
        </w:rPr>
        <w:t xml:space="preserve"> </w:t>
      </w:r>
      <w:r>
        <w:rPr>
          <w:rFonts w:hint="cs"/>
          <w:rtl/>
          <w:lang w:bidi="ar-EG"/>
        </w:rPr>
        <w:t>من البروتوكول الاختياري.</w:t>
      </w:r>
      <w:r w:rsidR="00CC46C4">
        <w:rPr>
          <w:rFonts w:hint="cs"/>
          <w:rtl/>
          <w:lang w:bidi="ar-EG"/>
        </w:rPr>
        <w:t xml:space="preserve"> </w:t>
      </w:r>
    </w:p>
    <w:p w:rsidR="00175485" w:rsidRPr="00C85289" w:rsidRDefault="00175485" w:rsidP="00175485">
      <w:pPr>
        <w:pStyle w:val="H1GA"/>
        <w:rPr>
          <w:rtl/>
          <w:lang w:bidi="ar-EG"/>
        </w:rPr>
      </w:pPr>
      <w:r>
        <w:rPr>
          <w:rtl/>
          <w:lang w:bidi="ar-EG"/>
        </w:rPr>
        <w:tab/>
      </w:r>
      <w:r w:rsidRPr="00C85289">
        <w:rPr>
          <w:rFonts w:hint="cs"/>
          <w:rtl/>
          <w:lang w:bidi="ar-EG"/>
        </w:rPr>
        <w:t>جيم-</w:t>
      </w:r>
      <w:r w:rsidRPr="00C85289">
        <w:rPr>
          <w:rFonts w:hint="cs"/>
          <w:rtl/>
          <w:lang w:bidi="ar-EG"/>
        </w:rPr>
        <w:tab/>
        <w:t>الاستنتاج</w:t>
      </w:r>
    </w:p>
    <w:p w:rsidR="00175485" w:rsidRDefault="00175485" w:rsidP="00175485">
      <w:pPr>
        <w:pStyle w:val="SingleTxtGA"/>
        <w:rPr>
          <w:rtl/>
          <w:lang w:bidi="ar-EG"/>
        </w:rPr>
      </w:pPr>
      <w:r>
        <w:rPr>
          <w:rFonts w:hint="cs"/>
          <w:rtl/>
          <w:lang w:bidi="ar-EG"/>
        </w:rPr>
        <w:t>5-</w:t>
      </w:r>
      <w:r>
        <w:rPr>
          <w:rFonts w:hint="cs"/>
          <w:rtl/>
          <w:lang w:bidi="ar-EG"/>
        </w:rPr>
        <w:tab/>
        <w:t xml:space="preserve">بناءً على ذلك، تقرر اللجنة ما يلي: </w:t>
      </w:r>
    </w:p>
    <w:p w:rsidR="00175485" w:rsidRDefault="00175485" w:rsidP="00175485">
      <w:pPr>
        <w:pStyle w:val="SingleTxtGA"/>
        <w:rPr>
          <w:rtl/>
          <w:lang w:bidi="ar-EG"/>
        </w:rPr>
      </w:pPr>
      <w:r>
        <w:rPr>
          <w:rFonts w:hint="cs"/>
          <w:rtl/>
          <w:lang w:bidi="ar-EG"/>
        </w:rPr>
        <w:tab/>
        <w:t>(أ)</w:t>
      </w:r>
      <w:r>
        <w:rPr>
          <w:rFonts w:hint="cs"/>
          <w:rtl/>
          <w:lang w:bidi="ar-EG"/>
        </w:rPr>
        <w:tab/>
        <w:t>أن البلاغ غير مقبول بموجب الفقرة 2</w:t>
      </w:r>
      <w:r w:rsidRPr="008032BD">
        <w:rPr>
          <w:rtl/>
          <w:lang w:bidi="ar-EG"/>
        </w:rPr>
        <w:t>(ب) و(د)</w:t>
      </w:r>
      <w:r>
        <w:rPr>
          <w:rFonts w:hint="cs"/>
          <w:rtl/>
          <w:lang w:bidi="ar-EG"/>
        </w:rPr>
        <w:t xml:space="preserve"> من المادة 3 من البروتوكول الاختياري؛</w:t>
      </w:r>
    </w:p>
    <w:p w:rsidR="00175485" w:rsidRDefault="00175485" w:rsidP="00175485">
      <w:pPr>
        <w:pStyle w:val="SingleTxtGA"/>
        <w:rPr>
          <w:rtl/>
          <w:lang w:bidi="ar-EG"/>
        </w:rPr>
      </w:pPr>
      <w:r>
        <w:rPr>
          <w:rFonts w:hint="cs"/>
          <w:rtl/>
          <w:lang w:bidi="ar-EG"/>
        </w:rPr>
        <w:tab/>
        <w:t>(ب)</w:t>
      </w:r>
      <w:r>
        <w:rPr>
          <w:rFonts w:hint="cs"/>
          <w:rtl/>
          <w:lang w:bidi="ar-EG"/>
        </w:rPr>
        <w:tab/>
        <w:t xml:space="preserve">أن يُحال </w:t>
      </w:r>
      <w:r w:rsidRPr="00146B43">
        <w:rPr>
          <w:rtl/>
          <w:lang w:bidi="ar-EG"/>
        </w:rPr>
        <w:t>هذا القرار</w:t>
      </w:r>
      <w:r>
        <w:rPr>
          <w:rFonts w:hint="cs"/>
          <w:rtl/>
          <w:lang w:bidi="ar-EG"/>
        </w:rPr>
        <w:t xml:space="preserve"> إلى كل من الدولة الطرف وأصحاب البلاغ. </w:t>
      </w:r>
    </w:p>
    <w:p w:rsidR="00175485" w:rsidRPr="00175485" w:rsidRDefault="00175485" w:rsidP="00175485">
      <w:pPr>
        <w:spacing w:before="120"/>
        <w:jc w:val="center"/>
        <w:rPr>
          <w:u w:val="single"/>
          <w:rtl/>
        </w:rPr>
      </w:pPr>
      <w:r>
        <w:rPr>
          <w:u w:val="single"/>
          <w:rtl/>
        </w:rPr>
        <w:tab/>
      </w:r>
      <w:r>
        <w:rPr>
          <w:u w:val="single"/>
          <w:rtl/>
        </w:rPr>
        <w:tab/>
      </w:r>
      <w:r>
        <w:rPr>
          <w:u w:val="single"/>
          <w:rtl/>
        </w:rPr>
        <w:tab/>
      </w:r>
    </w:p>
    <w:sectPr w:rsidR="00175485" w:rsidRPr="00175485" w:rsidSect="0004450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AD" w:rsidRPr="002901D9" w:rsidRDefault="002E04AD" w:rsidP="002901D9">
      <w:pPr>
        <w:spacing w:after="60" w:line="240" w:lineRule="auto"/>
        <w:rPr>
          <w:i/>
          <w:iCs/>
        </w:rPr>
      </w:pPr>
      <w:r>
        <w:rPr>
          <w:rFonts w:hint="cs"/>
          <w:i/>
          <w:iCs/>
          <w:rtl/>
        </w:rPr>
        <w:t>الحواشي</w:t>
      </w:r>
    </w:p>
  </w:endnote>
  <w:endnote w:type="continuationSeparator" w:id="0">
    <w:p w:rsidR="002E04AD" w:rsidRDefault="002E04A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07" w:rsidRPr="00175485" w:rsidRDefault="00175485" w:rsidP="00175485">
    <w:pPr>
      <w:pStyle w:val="Footer"/>
      <w:tabs>
        <w:tab w:val="right" w:pos="9598"/>
      </w:tabs>
      <w:rPr>
        <w:sz w:val="17"/>
      </w:rPr>
    </w:pPr>
    <w:r>
      <w:rPr>
        <w:sz w:val="17"/>
      </w:rPr>
      <w:t>GE.17-05775</w:t>
    </w:r>
    <w:r>
      <w:rPr>
        <w:sz w:val="17"/>
      </w:rPr>
      <w:tab/>
    </w:r>
    <w:r w:rsidRPr="00175485">
      <w:rPr>
        <w:b/>
        <w:sz w:val="18"/>
      </w:rPr>
      <w:fldChar w:fldCharType="begin"/>
    </w:r>
    <w:r w:rsidRPr="00175485">
      <w:rPr>
        <w:b/>
        <w:sz w:val="18"/>
      </w:rPr>
      <w:instrText xml:space="preserve"> PAGE  \* MERGEFORMAT </w:instrText>
    </w:r>
    <w:r w:rsidRPr="00175485">
      <w:rPr>
        <w:b/>
        <w:sz w:val="18"/>
      </w:rPr>
      <w:fldChar w:fldCharType="separate"/>
    </w:r>
    <w:r w:rsidR="00447D2D">
      <w:rPr>
        <w:b/>
        <w:noProof/>
        <w:sz w:val="18"/>
      </w:rPr>
      <w:t>4</w:t>
    </w:r>
    <w:r w:rsidRPr="0017548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175485" w:rsidRDefault="00175485" w:rsidP="006959B0">
    <w:pPr>
      <w:pStyle w:val="Footer"/>
      <w:tabs>
        <w:tab w:val="right" w:pos="9599"/>
      </w:tabs>
      <w:jc w:val="left"/>
      <w:rPr>
        <w:b/>
        <w:sz w:val="18"/>
        <w:lang w:val="en-US"/>
      </w:rPr>
    </w:pPr>
    <w:r w:rsidRPr="00175485">
      <w:rPr>
        <w:b/>
        <w:sz w:val="18"/>
        <w:lang w:val="en-US"/>
      </w:rPr>
      <w:fldChar w:fldCharType="begin"/>
    </w:r>
    <w:r w:rsidRPr="00175485">
      <w:rPr>
        <w:b/>
        <w:sz w:val="18"/>
        <w:lang w:val="en-US"/>
      </w:rPr>
      <w:instrText xml:space="preserve"> PAGE  \* MERGEFORMAT </w:instrText>
    </w:r>
    <w:r w:rsidRPr="00175485">
      <w:rPr>
        <w:b/>
        <w:sz w:val="18"/>
        <w:lang w:val="en-US"/>
      </w:rPr>
      <w:fldChar w:fldCharType="separate"/>
    </w:r>
    <w:r w:rsidR="00447D2D">
      <w:rPr>
        <w:b/>
        <w:noProof/>
        <w:sz w:val="18"/>
        <w:lang w:val="en-US"/>
      </w:rPr>
      <w:t>3</w:t>
    </w:r>
    <w:r w:rsidRPr="00175485">
      <w:rPr>
        <w:b/>
        <w:sz w:val="18"/>
        <w:lang w:val="en-US"/>
      </w:rPr>
      <w:fldChar w:fldCharType="end"/>
    </w:r>
    <w:r>
      <w:rPr>
        <w:b/>
        <w:sz w:val="18"/>
        <w:lang w:val="en-US"/>
      </w:rPr>
      <w:tab/>
    </w:r>
    <w:r>
      <w:rPr>
        <w:sz w:val="17"/>
        <w:lang w:val="en-US"/>
      </w:rPr>
      <w:t>GE.17-05775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044507" w:rsidP="00EE2AFF">
    <w:pPr>
      <w:pStyle w:val="Footer"/>
      <w:spacing w:before="360"/>
      <w:jc w:val="right"/>
      <w:rPr>
        <w:sz w:val="20"/>
        <w:szCs w:val="20"/>
      </w:rPr>
    </w:pPr>
    <w:r>
      <w:rPr>
        <w:sz w:val="20"/>
        <w:szCs w:val="20"/>
      </w:rPr>
      <w:t>GE.17-05775</w:t>
    </w:r>
    <w:r w:rsidR="00FD4BC9">
      <w:rPr>
        <w:noProof/>
        <w:lang w:val="en-US"/>
      </w:rPr>
      <w:drawing>
        <wp:anchor distT="0" distB="0" distL="114300" distR="114300" simplePos="0" relativeHeight="251665408"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044507" w:rsidRPr="00044507" w:rsidRDefault="00044507" w:rsidP="0004450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745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AD" w:rsidRPr="0054762C" w:rsidRDefault="002E04AD" w:rsidP="000E524A">
      <w:pPr>
        <w:pStyle w:val="Footer"/>
        <w:bidi/>
        <w:spacing w:after="80" w:line="200" w:lineRule="exact"/>
        <w:ind w:left="680"/>
      </w:pPr>
      <w:r>
        <w:rPr>
          <w:rtl/>
        </w:rPr>
        <w:t>__________</w:t>
      </w:r>
    </w:p>
  </w:footnote>
  <w:footnote w:type="continuationSeparator" w:id="0">
    <w:p w:rsidR="002E04AD" w:rsidRDefault="002E04AD" w:rsidP="00656392">
      <w:pPr>
        <w:spacing w:line="240" w:lineRule="auto"/>
      </w:pPr>
      <w:r>
        <w:continuationSeparator/>
      </w:r>
    </w:p>
  </w:footnote>
  <w:footnote w:id="1">
    <w:p w:rsidR="00175485" w:rsidRPr="00175485" w:rsidRDefault="00175485" w:rsidP="00FC58F2">
      <w:pPr>
        <w:pStyle w:val="FootnoteText1"/>
        <w:rPr>
          <w:rtl/>
          <w:lang w:bidi="ar-EG"/>
        </w:rPr>
      </w:pPr>
      <w:r w:rsidRPr="00175485">
        <w:rPr>
          <w:rtl/>
        </w:rPr>
        <w:t>*</w:t>
      </w:r>
      <w:r w:rsidRPr="00175485">
        <w:rPr>
          <w:rtl/>
        </w:rPr>
        <w:tab/>
      </w:r>
      <w:r w:rsidRPr="00175485">
        <w:rPr>
          <w:rtl/>
          <w:lang w:bidi="ar-EG"/>
        </w:rPr>
        <w:t>اعتمدتها اللجنة في دورتها الستين (</w:t>
      </w:r>
      <w:r w:rsidR="00FC58F2">
        <w:rPr>
          <w:rFonts w:hint="cs"/>
          <w:rtl/>
          <w:lang w:bidi="ar-EG"/>
        </w:rPr>
        <w:t>20</w:t>
      </w:r>
      <w:r w:rsidR="00FC58F2">
        <w:rPr>
          <w:rtl/>
          <w:lang w:bidi="ar-EG"/>
        </w:rPr>
        <w:noBreakHyphen/>
      </w:r>
      <w:r w:rsidR="00FC58F2">
        <w:rPr>
          <w:rFonts w:hint="cs"/>
          <w:rtl/>
          <w:lang w:bidi="ar-EG"/>
        </w:rPr>
        <w:t>24</w:t>
      </w:r>
      <w:r w:rsidRPr="00175485">
        <w:rPr>
          <w:rtl/>
          <w:lang w:bidi="ar-EG"/>
        </w:rPr>
        <w:t xml:space="preserve"> شباط/فبراير 2017).</w:t>
      </w:r>
    </w:p>
  </w:footnote>
  <w:footnote w:id="2">
    <w:p w:rsidR="00175485" w:rsidRPr="00175485" w:rsidRDefault="00175485" w:rsidP="00175485">
      <w:pPr>
        <w:pStyle w:val="FootnoteText1"/>
      </w:pPr>
      <w:r w:rsidRPr="00175485">
        <w:rPr>
          <w:rtl/>
        </w:rPr>
        <w:t>**</w:t>
      </w:r>
      <w:r w:rsidRPr="00175485">
        <w:rPr>
          <w:rtl/>
        </w:rPr>
        <w:tab/>
        <w:t xml:space="preserve">عملاً بالفقرة 1(ج) من المادة 5 من النظام الداخلي المؤقت المعتمد في إطار البروتوكول الاختياري، لم يشارك عضو اللجنة السيد </w:t>
      </w:r>
      <w:proofErr w:type="spellStart"/>
      <w:r w:rsidRPr="00175485">
        <w:rPr>
          <w:rtl/>
        </w:rPr>
        <w:t>ميكيل</w:t>
      </w:r>
      <w:proofErr w:type="spellEnd"/>
      <w:r w:rsidRPr="00175485">
        <w:rPr>
          <w:rtl/>
        </w:rPr>
        <w:t xml:space="preserve"> </w:t>
      </w:r>
      <w:proofErr w:type="spellStart"/>
      <w:r w:rsidRPr="00175485">
        <w:rPr>
          <w:rtl/>
        </w:rPr>
        <w:t>مانثيسيدور</w:t>
      </w:r>
      <w:proofErr w:type="spellEnd"/>
      <w:r w:rsidRPr="00175485">
        <w:rPr>
          <w:rtl/>
        </w:rPr>
        <w:t xml:space="preserve"> دي لا فوينتي في النظر في هذا البلاغ.</w:t>
      </w:r>
    </w:p>
  </w:footnote>
  <w:footnote w:id="3">
    <w:p w:rsidR="00175485" w:rsidRPr="00175485" w:rsidRDefault="00175485" w:rsidP="00CC46C4">
      <w:pPr>
        <w:pStyle w:val="FootnoteText"/>
        <w:spacing w:after="60" w:line="300" w:lineRule="exact"/>
        <w:ind w:left="1247" w:right="1247" w:hanging="567"/>
        <w:rPr>
          <w:sz w:val="18"/>
          <w:szCs w:val="26"/>
          <w:lang w:bidi="ar-EG"/>
        </w:rPr>
      </w:pPr>
      <w:r w:rsidRPr="00175485">
        <w:rPr>
          <w:sz w:val="18"/>
          <w:szCs w:val="26"/>
          <w:rtl/>
          <w:lang w:bidi="ar-EG"/>
        </w:rPr>
        <w:t>(</w:t>
      </w:r>
      <w:r w:rsidRPr="00175485">
        <w:rPr>
          <w:rStyle w:val="FootnoteReference"/>
          <w:szCs w:val="26"/>
          <w:vertAlign w:val="baseline"/>
          <w:rtl/>
          <w:lang w:bidi="ar-EG"/>
        </w:rPr>
        <w:footnoteRef/>
      </w:r>
      <w:r w:rsidRPr="00175485">
        <w:rPr>
          <w:sz w:val="18"/>
          <w:szCs w:val="26"/>
          <w:rtl/>
          <w:lang w:bidi="ar-EG"/>
        </w:rPr>
        <w:t>)</w:t>
      </w:r>
      <w:r w:rsidRPr="00175485">
        <w:rPr>
          <w:sz w:val="18"/>
          <w:szCs w:val="26"/>
          <w:rtl/>
          <w:lang w:bidi="ar-EG"/>
        </w:rPr>
        <w:tab/>
      </w:r>
      <w:r w:rsidRPr="00175485">
        <w:rPr>
          <w:sz w:val="18"/>
          <w:szCs w:val="26"/>
          <w:rtl/>
        </w:rPr>
        <w:t>البلاغان رق</w:t>
      </w:r>
      <w:r w:rsidRPr="00175485">
        <w:rPr>
          <w:rFonts w:hint="cs"/>
          <w:sz w:val="18"/>
          <w:szCs w:val="26"/>
          <w:rtl/>
        </w:rPr>
        <w:t xml:space="preserve">م </w:t>
      </w:r>
      <w:r w:rsidRPr="00175485">
        <w:rPr>
          <w:sz w:val="18"/>
          <w:szCs w:val="26"/>
          <w:rtl/>
        </w:rPr>
        <w:t xml:space="preserve">6/2015، </w:t>
      </w:r>
      <w:r w:rsidRPr="00175485">
        <w:rPr>
          <w:i/>
          <w:iCs/>
          <w:sz w:val="18"/>
          <w:szCs w:val="26"/>
          <w:rtl/>
        </w:rPr>
        <w:t>ب. ت. ف</w:t>
      </w:r>
      <w:r w:rsidR="00CC46C4">
        <w:rPr>
          <w:rFonts w:hint="cs"/>
          <w:i/>
          <w:iCs/>
          <w:sz w:val="18"/>
          <w:szCs w:val="26"/>
          <w:rtl/>
        </w:rPr>
        <w:t>.</w:t>
      </w:r>
      <w:r w:rsidRPr="00175485">
        <w:rPr>
          <w:rFonts w:hint="cs"/>
          <w:i/>
          <w:iCs/>
          <w:sz w:val="18"/>
          <w:szCs w:val="26"/>
          <w:rtl/>
        </w:rPr>
        <w:t>،</w:t>
      </w:r>
      <w:r w:rsidRPr="00175485">
        <w:rPr>
          <w:i/>
          <w:iCs/>
          <w:sz w:val="18"/>
          <w:szCs w:val="26"/>
          <w:rtl/>
        </w:rPr>
        <w:t xml:space="preserve"> </w:t>
      </w:r>
      <w:proofErr w:type="spellStart"/>
      <w:r w:rsidRPr="00175485">
        <w:rPr>
          <w:i/>
          <w:iCs/>
          <w:sz w:val="18"/>
          <w:szCs w:val="26"/>
          <w:rtl/>
        </w:rPr>
        <w:t>وأ</w:t>
      </w:r>
      <w:proofErr w:type="spellEnd"/>
      <w:r w:rsidRPr="00175485">
        <w:rPr>
          <w:i/>
          <w:iCs/>
          <w:sz w:val="18"/>
          <w:szCs w:val="26"/>
          <w:rtl/>
        </w:rPr>
        <w:t>. ف. ل. ضد إسبانيا</w:t>
      </w:r>
      <w:r w:rsidRPr="00175485">
        <w:rPr>
          <w:sz w:val="18"/>
          <w:szCs w:val="26"/>
          <w:rtl/>
        </w:rPr>
        <w:t>، قرار عدم المقبولية المؤرخ 24 أيلول/</w:t>
      </w:r>
      <w:r>
        <w:rPr>
          <w:rFonts w:hint="cs"/>
          <w:sz w:val="18"/>
          <w:szCs w:val="26"/>
          <w:rtl/>
        </w:rPr>
        <w:t xml:space="preserve"> </w:t>
      </w:r>
      <w:r w:rsidRPr="00175485">
        <w:rPr>
          <w:sz w:val="18"/>
          <w:szCs w:val="26"/>
          <w:rtl/>
        </w:rPr>
        <w:t>سبتمبر 2015، الفقرة 4-2، و</w:t>
      </w:r>
      <w:r w:rsidRPr="00175485">
        <w:rPr>
          <w:rFonts w:hint="cs"/>
          <w:sz w:val="18"/>
          <w:szCs w:val="26"/>
          <w:rtl/>
        </w:rPr>
        <w:t xml:space="preserve">رقم </w:t>
      </w:r>
      <w:r w:rsidRPr="00175485">
        <w:rPr>
          <w:sz w:val="18"/>
          <w:szCs w:val="26"/>
          <w:rtl/>
        </w:rPr>
        <w:t xml:space="preserve">8/2015، </w:t>
      </w:r>
      <w:r w:rsidRPr="00175485">
        <w:rPr>
          <w:i/>
          <w:iCs/>
          <w:sz w:val="18"/>
          <w:szCs w:val="26"/>
          <w:rtl/>
        </w:rPr>
        <w:t xml:space="preserve">ل. أ. م. ك. ضد </w:t>
      </w:r>
      <w:proofErr w:type="spellStart"/>
      <w:r w:rsidRPr="00175485">
        <w:rPr>
          <w:i/>
          <w:iCs/>
          <w:sz w:val="18"/>
          <w:szCs w:val="26"/>
          <w:rtl/>
        </w:rPr>
        <w:t>إسبانبا</w:t>
      </w:r>
      <w:proofErr w:type="spellEnd"/>
      <w:r w:rsidRPr="00175485">
        <w:rPr>
          <w:sz w:val="18"/>
          <w:szCs w:val="26"/>
          <w:rtl/>
        </w:rPr>
        <w:t>، قرار عدم المقبولية المؤرخ 24 أيلول/سبتمبر 2015، الفقرة 4-2.</w:t>
      </w:r>
    </w:p>
  </w:footnote>
  <w:footnote w:id="4">
    <w:p w:rsidR="00175485" w:rsidRPr="00175485" w:rsidRDefault="00175485" w:rsidP="00175485">
      <w:pPr>
        <w:pStyle w:val="FootnoteText"/>
        <w:spacing w:after="60" w:line="300" w:lineRule="exact"/>
        <w:ind w:left="1247" w:right="1247" w:hanging="567"/>
        <w:rPr>
          <w:sz w:val="18"/>
          <w:szCs w:val="26"/>
          <w:lang w:bidi="ar-EG"/>
        </w:rPr>
      </w:pPr>
      <w:r w:rsidRPr="00175485">
        <w:rPr>
          <w:sz w:val="18"/>
          <w:szCs w:val="26"/>
          <w:rtl/>
          <w:lang w:bidi="ar-EG"/>
        </w:rPr>
        <w:t>(</w:t>
      </w:r>
      <w:r w:rsidRPr="00175485">
        <w:rPr>
          <w:rStyle w:val="FootnoteReference"/>
          <w:szCs w:val="26"/>
          <w:vertAlign w:val="baseline"/>
          <w:rtl/>
          <w:lang w:bidi="ar-EG"/>
        </w:rPr>
        <w:footnoteRef/>
      </w:r>
      <w:r w:rsidRPr="00175485">
        <w:rPr>
          <w:sz w:val="18"/>
          <w:szCs w:val="26"/>
          <w:rtl/>
          <w:lang w:bidi="ar-EG"/>
        </w:rPr>
        <w:t>)</w:t>
      </w:r>
      <w:r w:rsidRPr="00175485">
        <w:rPr>
          <w:sz w:val="18"/>
          <w:szCs w:val="26"/>
          <w:rtl/>
          <w:lang w:bidi="ar-EG"/>
        </w:rPr>
        <w:tab/>
      </w:r>
      <w:r w:rsidRPr="00175485">
        <w:rPr>
          <w:rFonts w:hint="cs"/>
          <w:sz w:val="18"/>
          <w:szCs w:val="26"/>
          <w:rtl/>
          <w:lang w:bidi="ar-EG"/>
        </w:rPr>
        <w:t>البلاغان رقم 6/2015، الفقرة 4-3، ورقم 8/2015، الفقرة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07" w:rsidRPr="00175485" w:rsidRDefault="00175485" w:rsidP="00175485">
    <w:pPr>
      <w:pStyle w:val="Header"/>
      <w:jc w:val="right"/>
    </w:pPr>
    <w:r w:rsidRPr="00175485">
      <w:t>E/C.12/60/D/17/2016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07" w:rsidRPr="00175485" w:rsidRDefault="00175485" w:rsidP="00175485">
    <w:pPr>
      <w:pStyle w:val="Header"/>
      <w:jc w:val="left"/>
    </w:pPr>
    <w:r w:rsidRPr="00175485">
      <w:t>E/C.12/60/D/17/2016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E04AD"/>
    <w:rsid w:val="000076D5"/>
    <w:rsid w:val="00043663"/>
    <w:rsid w:val="00044507"/>
    <w:rsid w:val="000505CF"/>
    <w:rsid w:val="000D701C"/>
    <w:rsid w:val="000E2A71"/>
    <w:rsid w:val="000E524A"/>
    <w:rsid w:val="00160263"/>
    <w:rsid w:val="00175485"/>
    <w:rsid w:val="00181F96"/>
    <w:rsid w:val="001A1371"/>
    <w:rsid w:val="001B346A"/>
    <w:rsid w:val="001E1CAD"/>
    <w:rsid w:val="001E290D"/>
    <w:rsid w:val="002144FA"/>
    <w:rsid w:val="0023469A"/>
    <w:rsid w:val="00243C8A"/>
    <w:rsid w:val="00267A0E"/>
    <w:rsid w:val="002901D9"/>
    <w:rsid w:val="002976C2"/>
    <w:rsid w:val="002E04AD"/>
    <w:rsid w:val="00325CC1"/>
    <w:rsid w:val="003260FF"/>
    <w:rsid w:val="00343D95"/>
    <w:rsid w:val="00374341"/>
    <w:rsid w:val="003D1062"/>
    <w:rsid w:val="003E159A"/>
    <w:rsid w:val="004205C7"/>
    <w:rsid w:val="00420D7B"/>
    <w:rsid w:val="00447D2D"/>
    <w:rsid w:val="00450B21"/>
    <w:rsid w:val="00453B63"/>
    <w:rsid w:val="00455780"/>
    <w:rsid w:val="004B0A1C"/>
    <w:rsid w:val="004D298E"/>
    <w:rsid w:val="004E32F4"/>
    <w:rsid w:val="00517BC9"/>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6C6C61"/>
    <w:rsid w:val="00733704"/>
    <w:rsid w:val="00740188"/>
    <w:rsid w:val="0078071A"/>
    <w:rsid w:val="007A70BB"/>
    <w:rsid w:val="00852A9A"/>
    <w:rsid w:val="00871544"/>
    <w:rsid w:val="008930DB"/>
    <w:rsid w:val="00895D16"/>
    <w:rsid w:val="008F49E1"/>
    <w:rsid w:val="0090370F"/>
    <w:rsid w:val="00923B94"/>
    <w:rsid w:val="009269D2"/>
    <w:rsid w:val="00942135"/>
    <w:rsid w:val="009521B0"/>
    <w:rsid w:val="009A7E9F"/>
    <w:rsid w:val="009E5018"/>
    <w:rsid w:val="00A12B37"/>
    <w:rsid w:val="00A50EC0"/>
    <w:rsid w:val="00A74331"/>
    <w:rsid w:val="00AB6758"/>
    <w:rsid w:val="00B13763"/>
    <w:rsid w:val="00B477A4"/>
    <w:rsid w:val="00B54045"/>
    <w:rsid w:val="00C022F5"/>
    <w:rsid w:val="00C438D7"/>
    <w:rsid w:val="00C53FE8"/>
    <w:rsid w:val="00C81B50"/>
    <w:rsid w:val="00CA655B"/>
    <w:rsid w:val="00CB3C3C"/>
    <w:rsid w:val="00CC46C4"/>
    <w:rsid w:val="00CD1801"/>
    <w:rsid w:val="00D10EF1"/>
    <w:rsid w:val="00D42810"/>
    <w:rsid w:val="00D87AD1"/>
    <w:rsid w:val="00D914A7"/>
    <w:rsid w:val="00DD13C3"/>
    <w:rsid w:val="00DD596E"/>
    <w:rsid w:val="00DD621E"/>
    <w:rsid w:val="00DF0575"/>
    <w:rsid w:val="00E70E04"/>
    <w:rsid w:val="00EC05A7"/>
    <w:rsid w:val="00EC4B6B"/>
    <w:rsid w:val="00ED7442"/>
    <w:rsid w:val="00EE0B18"/>
    <w:rsid w:val="00EE2AFF"/>
    <w:rsid w:val="00EF1EE5"/>
    <w:rsid w:val="00F46091"/>
    <w:rsid w:val="00F763B4"/>
    <w:rsid w:val="00F900C3"/>
    <w:rsid w:val="00FC58F2"/>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4108-53FC-4FE9-BEFA-205A46BE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E/C.12/60/D/17/2016</vt:lpstr>
    </vt:vector>
  </TitlesOfParts>
  <Company>DCM</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E/C.12/60/D/17/2016</dc:title>
  <dc:subject>GE.1705775A</dc:subject>
  <dc:creator>bah/AGH</dc:creator>
  <cp:keywords>ODS No.1708801</cp:keywords>
  <dc:description>Distr.: General
10 April 2017
Original: Spanish</dc:description>
  <cp:lastModifiedBy>Tpsara</cp:lastModifiedBy>
  <cp:revision>2</cp:revision>
  <cp:lastPrinted>2017-06-23T09:34:00Z</cp:lastPrinted>
  <dcterms:created xsi:type="dcterms:W3CDTF">2017-06-27T11:43:00Z</dcterms:created>
  <dcterms:modified xsi:type="dcterms:W3CDTF">2017-06-27T11:43:00Z</dcterms:modified>
  <cp:category>Final</cp:category>
</cp:coreProperties>
</file>