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E341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E3419" w:rsidP="00AE3419">
            <w:pPr>
              <w:jc w:val="right"/>
            </w:pPr>
            <w:r w:rsidRPr="00AE3419">
              <w:rPr>
                <w:sz w:val="40"/>
              </w:rPr>
              <w:t>E</w:t>
            </w:r>
            <w:r>
              <w:t>/C.12/60/D/18/2016</w:t>
            </w:r>
          </w:p>
        </w:tc>
      </w:tr>
      <w:tr w:rsidR="002D5AAC" w:rsidRPr="00934C8E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E3419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E3419" w:rsidRDefault="00AE3419" w:rsidP="00AE34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AE3419" w:rsidRDefault="00AE3419" w:rsidP="00AE34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E3419" w:rsidRPr="00D62A45" w:rsidRDefault="00AE3419" w:rsidP="00AE341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:rsidR="00AE3419" w:rsidRPr="00C40436" w:rsidRDefault="00AE3419" w:rsidP="00C40436">
      <w:pPr>
        <w:spacing w:before="120"/>
        <w:rPr>
          <w:b/>
          <w:sz w:val="24"/>
          <w:szCs w:val="24"/>
        </w:rPr>
      </w:pPr>
      <w:bookmarkStart w:id="0" w:name="_GoBack"/>
      <w:bookmarkEnd w:id="0"/>
      <w:r w:rsidRPr="00C40436">
        <w:rPr>
          <w:b/>
          <w:bCs/>
          <w:sz w:val="24"/>
          <w:szCs w:val="24"/>
        </w:rPr>
        <w:t xml:space="preserve">Комитет по экономическим, социальным </w:t>
      </w:r>
      <w:r w:rsidR="00C40436" w:rsidRPr="00C40436">
        <w:rPr>
          <w:b/>
          <w:bCs/>
          <w:sz w:val="24"/>
          <w:szCs w:val="24"/>
        </w:rPr>
        <w:br/>
      </w:r>
      <w:r w:rsidRPr="00C40436">
        <w:rPr>
          <w:b/>
          <w:bCs/>
          <w:sz w:val="24"/>
          <w:szCs w:val="24"/>
        </w:rPr>
        <w:t>и культурным правам</w:t>
      </w:r>
    </w:p>
    <w:p w:rsidR="00AE3419" w:rsidRPr="00C40436" w:rsidRDefault="00AE3419" w:rsidP="00C40436">
      <w:pPr>
        <w:pStyle w:val="HChGR"/>
      </w:pPr>
      <w:r w:rsidRPr="00AE3419">
        <w:tab/>
      </w:r>
      <w:r w:rsidRPr="00AE3419">
        <w:tab/>
        <w:t>Соображения, принятые Комитетом в соответствии с</w:t>
      </w:r>
      <w:r w:rsidR="00DB577C">
        <w:t> </w:t>
      </w:r>
      <w:r w:rsidRPr="00AE3419">
        <w:t>Факультативным протоколом к Международному пакту об экономических, социальных и культурных правах относительно сообщения №</w:t>
      </w:r>
      <w:r w:rsidR="00DB577C">
        <w:t xml:space="preserve"> </w:t>
      </w:r>
      <w:r w:rsidRPr="00AE3419">
        <w:t>18/2016</w:t>
      </w:r>
      <w:r w:rsidR="00DB577C" w:rsidRPr="00DB577C">
        <w:rPr>
          <w:rStyle w:val="a8"/>
          <w:b w:val="0"/>
          <w:spacing w:val="5"/>
          <w:w w:val="104"/>
          <w:sz w:val="20"/>
          <w:vertAlign w:val="baseline"/>
        </w:rPr>
        <w:footnoteReference w:customMarkFollows="1" w:id="1"/>
        <w:t xml:space="preserve">* </w:t>
      </w:r>
      <w:r w:rsidR="00DB577C" w:rsidRPr="00DB577C">
        <w:rPr>
          <w:rStyle w:val="a8"/>
          <w:b w:val="0"/>
          <w:spacing w:val="5"/>
          <w:w w:val="104"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C40436" w:rsidRPr="0064331C" w:rsidRDefault="00DB577C">
            <w:pPr>
              <w:suppressAutoHyphens/>
              <w:spacing w:after="120"/>
            </w:pPr>
            <w:r>
              <w:t>Ф.М.</w:t>
            </w:r>
            <w:r w:rsidR="00C40436" w:rsidRPr="00C40436">
              <w:t>Б. и другими (представлены адвокатом Антонио Альваресом-Оссорио Гальвесом)</w:t>
            </w:r>
          </w:p>
        </w:tc>
      </w:tr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 w:rsidP="00C4043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 жертвы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C40436" w:rsidRPr="0064331C" w:rsidRDefault="00C40436">
            <w:pPr>
              <w:suppressAutoHyphens/>
              <w:spacing w:after="120"/>
            </w:pPr>
            <w:r w:rsidRPr="00C40436">
              <w:t>авторы сообщения</w:t>
            </w:r>
          </w:p>
        </w:tc>
      </w:tr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C40436" w:rsidRPr="0064331C" w:rsidRDefault="00C40436">
            <w:pPr>
              <w:suppressAutoHyphens/>
              <w:spacing w:after="120"/>
            </w:pPr>
            <w:r w:rsidRPr="00C40436">
              <w:t>Испания</w:t>
            </w:r>
          </w:p>
        </w:tc>
      </w:tr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C40436" w:rsidRPr="0064331C" w:rsidRDefault="00831F1A">
            <w:pPr>
              <w:suppressAutoHyphens/>
              <w:spacing w:after="120"/>
            </w:pPr>
            <w:r w:rsidRPr="00831F1A">
              <w:t>23 сентября 2016 года</w:t>
            </w:r>
          </w:p>
        </w:tc>
      </w:tr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 w:rsidP="00F27BE3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r w:rsidR="00F27BE3">
              <w:rPr>
                <w:i/>
              </w:rPr>
              <w:t>Соображений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  <w:vAlign w:val="bottom"/>
          </w:tcPr>
          <w:p w:rsidR="00C40436" w:rsidRPr="0064331C" w:rsidRDefault="00831F1A">
            <w:pPr>
              <w:suppressAutoHyphens/>
              <w:spacing w:after="120"/>
            </w:pPr>
            <w:r w:rsidRPr="00831F1A">
              <w:t>22 февраля 2017 года</w:t>
            </w:r>
          </w:p>
        </w:tc>
      </w:tr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>
            <w:pPr>
              <w:suppressAutoHyphens/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:rsidR="00C40436" w:rsidRPr="00831F1A" w:rsidRDefault="00831F1A">
            <w:pPr>
              <w:suppressAutoHyphens/>
              <w:spacing w:after="120"/>
            </w:pPr>
            <w:r w:rsidRPr="00831F1A">
              <w:t>дополнительные социальные пособия, предусмотренные коллективным соглашением</w:t>
            </w:r>
          </w:p>
        </w:tc>
      </w:tr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Процедурные вопросы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C40436" w:rsidRPr="0064331C" w:rsidRDefault="00F27BE3">
            <w:pPr>
              <w:suppressAutoHyphens/>
              <w:spacing w:after="120"/>
            </w:pPr>
            <w:r w:rsidRPr="00F27BE3">
              <w:t>представление сообщения в течение года с момента исчерпания внутренних средств правовой защиты; компетенция Комитета ratione temporis; компетенция Комитета ratione materiae</w:t>
            </w:r>
          </w:p>
        </w:tc>
      </w:tr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:rsidR="00C40436" w:rsidRPr="0064331C" w:rsidRDefault="00F27BE3">
            <w:pPr>
              <w:suppressAutoHyphens/>
              <w:spacing w:after="120"/>
            </w:pPr>
            <w:r w:rsidRPr="00F27BE3">
              <w:t>право на справедливые и благоприятные условия труда; право на социальное обеспечение</w:t>
            </w:r>
          </w:p>
        </w:tc>
      </w:tr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:rsidR="00C40436" w:rsidRPr="0064331C" w:rsidRDefault="00F27BE3" w:rsidP="00DB577C">
            <w:pPr>
              <w:suppressAutoHyphens/>
              <w:spacing w:after="120"/>
            </w:pPr>
            <w:r w:rsidRPr="00F27BE3">
              <w:t>7 и 9</w:t>
            </w:r>
          </w:p>
        </w:tc>
      </w:tr>
      <w:tr w:rsidR="00C40436" w:rsidRPr="0064331C" w:rsidTr="00F27BE3">
        <w:tc>
          <w:tcPr>
            <w:tcW w:w="2936" w:type="dxa"/>
            <w:hideMark/>
          </w:tcPr>
          <w:p w:rsidR="00C40436" w:rsidRPr="0064331C" w:rsidRDefault="00C40436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4" w:type="dxa"/>
          </w:tcPr>
          <w:p w:rsidR="00C40436" w:rsidRPr="0064331C" w:rsidRDefault="00F27BE3">
            <w:pPr>
              <w:suppressAutoHyphens/>
              <w:spacing w:after="120"/>
            </w:pPr>
            <w:r w:rsidRPr="00F27BE3">
              <w:t>статья 2 и подпункты а) и b) пункта 2 статьи 3</w:t>
            </w:r>
          </w:p>
        </w:tc>
      </w:tr>
    </w:tbl>
    <w:p w:rsidR="00F27BE3" w:rsidRDefault="00F27BE3" w:rsidP="00C40436">
      <w:pPr>
        <w:pStyle w:val="SingleTxtGR"/>
      </w:pPr>
    </w:p>
    <w:p w:rsidR="00DB577C" w:rsidRPr="00DB577C" w:rsidRDefault="00F27BE3" w:rsidP="00DB577C">
      <w:pPr>
        <w:pStyle w:val="SingleTxtGR"/>
      </w:pPr>
      <w:r>
        <w:br w:type="page"/>
      </w:r>
      <w:r w:rsidR="00DB577C" w:rsidRPr="00DB577C">
        <w:lastRenderedPageBreak/>
        <w:t>1.1</w:t>
      </w:r>
      <w:r w:rsidR="00DB577C" w:rsidRPr="00DB577C">
        <w:tab/>
        <w:t>Авторами сообщения являются совершеннолетние граждане Испании Ф.М.Б., Х.М.</w:t>
      </w:r>
      <w:r w:rsidR="000B5173">
        <w:t>Х.Б., Х.</w:t>
      </w:r>
      <w:r w:rsidR="00DB577C" w:rsidRPr="00DB577C">
        <w:t>М.Г.</w:t>
      </w:r>
      <w:r w:rsidR="000B5173">
        <w:t>С., В.</w:t>
      </w:r>
      <w:r w:rsidR="00DB577C" w:rsidRPr="00DB577C">
        <w:t>Б.</w:t>
      </w:r>
      <w:r w:rsidR="000B5173">
        <w:t>Б. и Л.</w:t>
      </w:r>
      <w:r w:rsidR="00DB577C" w:rsidRPr="00DB577C">
        <w:t>А.В.А. Авторы сообщения утверждают, что государство-участник нарушило их права, предусмотренные в статьях 7 и 9 Пакта. Факультативный протокол вступил в силу для государства-участника 5</w:t>
      </w:r>
      <w:r w:rsidR="000B5173">
        <w:t> </w:t>
      </w:r>
      <w:r w:rsidR="00DB577C" w:rsidRPr="00DB577C">
        <w:t>мая 2013 года. Кроме того, они заявляют, что государство-участник также нарушило их права, закрепленные в пункте 1 статьи 12 и статье 26 Междун</w:t>
      </w:r>
      <w:r w:rsidR="00DB577C" w:rsidRPr="00DB577C">
        <w:t>а</w:t>
      </w:r>
      <w:r w:rsidR="00DB577C" w:rsidRPr="00DB577C">
        <w:t>родного пакта о гражданских и политических правах. Авторы представлены а</w:t>
      </w:r>
      <w:r w:rsidR="00DB577C" w:rsidRPr="00DB577C">
        <w:t>д</w:t>
      </w:r>
      <w:r w:rsidR="00DB577C" w:rsidRPr="00DB577C">
        <w:t>вокатом.</w:t>
      </w:r>
    </w:p>
    <w:p w:rsidR="00DB577C" w:rsidRPr="00DB577C" w:rsidRDefault="00DB577C" w:rsidP="00DB577C">
      <w:pPr>
        <w:pStyle w:val="SingleTxtGR"/>
      </w:pPr>
      <w:r w:rsidRPr="00DB577C">
        <w:t>1.2</w:t>
      </w:r>
      <w:r w:rsidRPr="00DB577C">
        <w:tab/>
        <w:t>2 декабря 2016 года Рабочая группа по сообщениям, действуя от имени Комитета, постановила, что для решения вопроса о приемлемости данного с</w:t>
      </w:r>
      <w:r w:rsidRPr="00DB577C">
        <w:t>о</w:t>
      </w:r>
      <w:r w:rsidRPr="00DB577C">
        <w:t>общения в замечаниях государства-участника нет необходимости. В этой связи данное сообщение не препровождалось государству-участнику в соответствии с пунктом 1 статьи 6 Факультативного протокола.</w:t>
      </w:r>
    </w:p>
    <w:p w:rsidR="00DB577C" w:rsidRPr="00DB577C" w:rsidRDefault="00221853" w:rsidP="00221853">
      <w:pPr>
        <w:pStyle w:val="H1GR"/>
      </w:pPr>
      <w:r>
        <w:tab/>
      </w:r>
      <w:r w:rsidR="00DB577C" w:rsidRPr="00DB577C">
        <w:t>A.</w:t>
      </w:r>
      <w:r w:rsidR="00DB577C" w:rsidRPr="00DB577C">
        <w:tab/>
        <w:t>Резюме информации и утверждения сторон</w:t>
      </w:r>
    </w:p>
    <w:p w:rsidR="00DB577C" w:rsidRPr="00DB577C" w:rsidRDefault="00DB577C" w:rsidP="00221853">
      <w:pPr>
        <w:pStyle w:val="H23GR"/>
      </w:pPr>
      <w:r w:rsidRPr="00DB577C">
        <w:tab/>
      </w:r>
      <w:r w:rsidRPr="00DB577C">
        <w:tab/>
        <w:t>Факты в изложении авторов</w:t>
      </w:r>
    </w:p>
    <w:p w:rsidR="00DB577C" w:rsidRPr="00DB577C" w:rsidRDefault="00DB577C" w:rsidP="00DB577C">
      <w:pPr>
        <w:pStyle w:val="SingleTxtGR"/>
      </w:pPr>
      <w:r w:rsidRPr="00DB577C">
        <w:t>2.1</w:t>
      </w:r>
      <w:r w:rsidRPr="00DB577C">
        <w:tab/>
        <w:t>Авторы сообщения в течение многих лет работали в банковском учр</w:t>
      </w:r>
      <w:r w:rsidRPr="00DB577C">
        <w:t>е</w:t>
      </w:r>
      <w:r w:rsidRPr="00DB577C">
        <w:t>ждении, начав свою трудовую деятельность в нем в различные даты между 1974 и 1979 год</w:t>
      </w:r>
      <w:r w:rsidR="00E75C33">
        <w:t>ом</w:t>
      </w:r>
      <w:r w:rsidRPr="00DB577C">
        <w:t>. Х.М.Х.</w:t>
      </w:r>
      <w:r w:rsidR="00221853">
        <w:t>Б., Х.</w:t>
      </w:r>
      <w:r w:rsidRPr="00DB577C">
        <w:t>М.Г.</w:t>
      </w:r>
      <w:r w:rsidR="00221853">
        <w:t>С., В.</w:t>
      </w:r>
      <w:r w:rsidRPr="00DB577C">
        <w:t>Б.Б., Ф.М.</w:t>
      </w:r>
      <w:r w:rsidR="00221853">
        <w:t>Б. и Л.</w:t>
      </w:r>
      <w:r w:rsidR="00976391">
        <w:t>А.В.</w:t>
      </w:r>
      <w:r w:rsidRPr="00DB577C">
        <w:t>А. были непр</w:t>
      </w:r>
      <w:r w:rsidRPr="00DB577C">
        <w:t>а</w:t>
      </w:r>
      <w:r w:rsidRPr="00DB577C">
        <w:t>вомерно уволены банком соответственно 1 апреля 1976 года, 15 апреля 1996 г</w:t>
      </w:r>
      <w:r w:rsidRPr="00DB577C">
        <w:t>о</w:t>
      </w:r>
      <w:r w:rsidRPr="00DB577C">
        <w:t>да, 17</w:t>
      </w:r>
      <w:r w:rsidR="00514895">
        <w:t> </w:t>
      </w:r>
      <w:r w:rsidRPr="00DB577C">
        <w:t>апреля 1998 года, 18 мая 1999 года и 13 марта 2000 года.</w:t>
      </w:r>
    </w:p>
    <w:p w:rsidR="00DB577C" w:rsidRPr="00DB577C" w:rsidRDefault="00DB577C" w:rsidP="00DB577C">
      <w:pPr>
        <w:pStyle w:val="SingleTxtGR"/>
      </w:pPr>
      <w:r w:rsidRPr="00DB577C">
        <w:t>2.2</w:t>
      </w:r>
      <w:r w:rsidRPr="00DB577C">
        <w:tab/>
        <w:t>На даты прекращения трудовых отношений с авторами банк распростр</w:t>
      </w:r>
      <w:r w:rsidRPr="00DB577C">
        <w:t>а</w:t>
      </w:r>
      <w:r w:rsidRPr="00DB577C">
        <w:t>нял на своих работников систему социального обеспечения на основании ряда коллективных соглашений с частными банковскими учреждениями. Соотве</w:t>
      </w:r>
      <w:r w:rsidRPr="00DB577C">
        <w:t>т</w:t>
      </w:r>
      <w:r w:rsidRPr="00DB577C">
        <w:t>ствующие соглашения были своевременно опубликованы в Официальном вес</w:t>
      </w:r>
      <w:r w:rsidRPr="00DB577C">
        <w:t>т</w:t>
      </w:r>
      <w:r w:rsidRPr="00DB577C">
        <w:t>нике. В соответствии с ними банк был обязан осуществлять параллельные взносы по линии социального обеспечения наряду с отчислениями с самих р</w:t>
      </w:r>
      <w:r w:rsidRPr="00DB577C">
        <w:t>а</w:t>
      </w:r>
      <w:r w:rsidRPr="00DB577C">
        <w:t>ботников или правообладателей в счет пособий на случай болезни, инвалидн</w:t>
      </w:r>
      <w:r w:rsidRPr="00DB577C">
        <w:t>о</w:t>
      </w:r>
      <w:r w:rsidRPr="00DB577C">
        <w:t>сти, выхода на пенсию или смерти. С этой целью банк создал бухгалтерский р</w:t>
      </w:r>
      <w:r w:rsidRPr="00DB577C">
        <w:t>е</w:t>
      </w:r>
      <w:r w:rsidRPr="00DB577C">
        <w:t>зерв или внутренний общий фонд для накопления таких средств без их индив</w:t>
      </w:r>
      <w:r w:rsidRPr="00DB577C">
        <w:t>и</w:t>
      </w:r>
      <w:r w:rsidRPr="00DB577C">
        <w:t>дуального распределения.</w:t>
      </w:r>
    </w:p>
    <w:p w:rsidR="00DB577C" w:rsidRPr="00DB577C" w:rsidRDefault="00DB577C" w:rsidP="00DB577C">
      <w:pPr>
        <w:pStyle w:val="SingleTxtGR"/>
      </w:pPr>
      <w:r w:rsidRPr="00DB577C">
        <w:t>2.3</w:t>
      </w:r>
      <w:r w:rsidRPr="00DB577C">
        <w:tab/>
        <w:t>Вслед за увольнением авторы сообщения обратились в банк с просьбой выплатить причитающуюся им актуарную долю пенсионных взносов на их имя. Однако банк не удовлетворил их просьбу.</w:t>
      </w:r>
    </w:p>
    <w:p w:rsidR="00DB577C" w:rsidRPr="00DB577C" w:rsidRDefault="00DB577C" w:rsidP="00DB577C">
      <w:pPr>
        <w:pStyle w:val="SingleTxtGR"/>
      </w:pPr>
      <w:r w:rsidRPr="00DB577C">
        <w:t>2.4</w:t>
      </w:r>
      <w:r w:rsidRPr="00DB577C">
        <w:tab/>
        <w:t xml:space="preserve">28 ноября </w:t>
      </w:r>
      <w:r w:rsidR="00221853">
        <w:t>2008 года Ф.</w:t>
      </w:r>
      <w:r w:rsidRPr="00DB577C">
        <w:t>М.</w:t>
      </w:r>
      <w:r w:rsidR="00221853">
        <w:t>Б. и Х.</w:t>
      </w:r>
      <w:r w:rsidRPr="00DB577C">
        <w:t>М.Х.Б. подали иск против банка в суд по социальным делам № 33 Мадрида и просили суд подтвердить их право на во</w:t>
      </w:r>
      <w:r w:rsidRPr="00DB577C">
        <w:t>з</w:t>
      </w:r>
      <w:r w:rsidRPr="00DB577C">
        <w:t>мещение и получение накопленной индивидуальной суммы в размере актуа</w:t>
      </w:r>
      <w:r w:rsidRPr="00DB577C">
        <w:t>р</w:t>
      </w:r>
      <w:r w:rsidRPr="00DB577C">
        <w:t>ной доли внутреннего фонда банка на момент прекращения трудовых отнош</w:t>
      </w:r>
      <w:r w:rsidRPr="00DB577C">
        <w:t>е</w:t>
      </w:r>
      <w:r w:rsidRPr="00DB577C">
        <w:t>ний. 5</w:t>
      </w:r>
      <w:r w:rsidR="00514895">
        <w:t> </w:t>
      </w:r>
      <w:r w:rsidRPr="00DB577C">
        <w:t>декабря 2008 года Х.М.Г.С., В.Б.</w:t>
      </w:r>
      <w:r w:rsidR="00221853">
        <w:t>Б. и Л.</w:t>
      </w:r>
      <w:r w:rsidRPr="00DB577C">
        <w:t>А.В.А. подали еще один анал</w:t>
      </w:r>
      <w:r w:rsidRPr="00DB577C">
        <w:t>о</w:t>
      </w:r>
      <w:r w:rsidRPr="00DB577C">
        <w:t>гичный иск в суд № 33. 8 января 2009 года суд согласился объединить оба иска в одно производство, с тем чтобы вынести по ним единое решение.</w:t>
      </w:r>
    </w:p>
    <w:p w:rsidR="00DB577C" w:rsidRPr="00DB577C" w:rsidRDefault="00DB577C" w:rsidP="00DB577C">
      <w:pPr>
        <w:pStyle w:val="SingleTxtGR"/>
      </w:pPr>
      <w:r w:rsidRPr="00DB577C">
        <w:t>2.5</w:t>
      </w:r>
      <w:r w:rsidRPr="00DB577C">
        <w:tab/>
        <w:t>4 марта 2009 года суд № 33 отклонил иски авторов. Суд указал, что с</w:t>
      </w:r>
      <w:r w:rsidRPr="00DB577C">
        <w:t>о</w:t>
      </w:r>
      <w:r w:rsidRPr="00DB577C">
        <w:t>гласно коллективным соглашениям работники наделяются правом на получение вознаграждения (дополнительного пособия) после наступления события, кот</w:t>
      </w:r>
      <w:r w:rsidRPr="00DB577C">
        <w:t>о</w:t>
      </w:r>
      <w:r w:rsidRPr="00DB577C">
        <w:t>рое является основой появления такого права; что никакими правилами согл</w:t>
      </w:r>
      <w:r w:rsidRPr="00DB577C">
        <w:t>а</w:t>
      </w:r>
      <w:r w:rsidRPr="00DB577C">
        <w:t>шений не предусматривается право требовать возмещения соответствующей суммы в случае расторжения трудового договора работника до наступления с</w:t>
      </w:r>
      <w:r w:rsidRPr="00DB577C">
        <w:t>о</w:t>
      </w:r>
      <w:r w:rsidRPr="00DB577C">
        <w:t>бытия, дающего ему право на получение пособия; и что, соответственно, до наступления такого события у работника имеется лишь ожидание получить т</w:t>
      </w:r>
      <w:r w:rsidRPr="00DB577C">
        <w:t>а</w:t>
      </w:r>
      <w:r w:rsidRPr="00DB577C">
        <w:t>кое право. 21 апреля 2009 года авторы сообщения обратились в Высокий суд Мадрида с ходатайством об отмене судебного решения.</w:t>
      </w:r>
    </w:p>
    <w:p w:rsidR="00DB577C" w:rsidRPr="00DB577C" w:rsidRDefault="00DB577C" w:rsidP="00CE5571">
      <w:pPr>
        <w:pStyle w:val="SingleTxtGR"/>
      </w:pPr>
      <w:r w:rsidRPr="00DB577C">
        <w:t>2.6</w:t>
      </w:r>
      <w:r w:rsidRPr="00DB577C">
        <w:tab/>
        <w:t>16 ноября 2009 года Суд отклонил данное ходатайство и оставил в силе решение, вынесенное судом № 33. В своем решении Высокий суд указал, что таковое можно будет обжаловать в кассационном порядке на основании отсу</w:t>
      </w:r>
      <w:r w:rsidRPr="00DB577C">
        <w:t>т</w:t>
      </w:r>
      <w:r w:rsidRPr="00DB577C">
        <w:lastRenderedPageBreak/>
        <w:t xml:space="preserve">ствия единообразия судебной практики, обратившись с соответствующим письменным заявлением в сам Суд в течение </w:t>
      </w:r>
      <w:r w:rsidR="00677F21">
        <w:t>10</w:t>
      </w:r>
      <w:r w:rsidRPr="00DB577C">
        <w:t xml:space="preserve"> дней с момента уведомления о принятом решении.</w:t>
      </w:r>
    </w:p>
    <w:p w:rsidR="00DB577C" w:rsidRPr="00DB577C" w:rsidRDefault="00DB577C" w:rsidP="00DB577C">
      <w:pPr>
        <w:pStyle w:val="SingleTxtGR"/>
      </w:pPr>
      <w:r w:rsidRPr="00DB577C">
        <w:t>2.7</w:t>
      </w:r>
      <w:r w:rsidRPr="00DB577C">
        <w:tab/>
        <w:t>10 декабря 2009 года авторы подали кассационную жалобу на основании отсутствия единообразия судебной практики в Верховный суд. 18</w:t>
      </w:r>
      <w:r w:rsidR="00514895">
        <w:t> </w:t>
      </w:r>
      <w:r w:rsidRPr="00DB577C">
        <w:t>декабря 2009</w:t>
      </w:r>
      <w:r w:rsidR="00221853">
        <w:t> </w:t>
      </w:r>
      <w:r w:rsidRPr="00DB577C">
        <w:t>года Суд вынес постановление, на основании которого решение от 16</w:t>
      </w:r>
      <w:r w:rsidR="00514895">
        <w:t> </w:t>
      </w:r>
      <w:r w:rsidRPr="00DB577C">
        <w:t>ноября 2009 года было оставлено в силе; уведомление о вынесенном пост</w:t>
      </w:r>
      <w:r w:rsidRPr="00DB577C">
        <w:t>а</w:t>
      </w:r>
      <w:r w:rsidRPr="00DB577C">
        <w:t>новлении было препровождено сторонам 23 дек</w:t>
      </w:r>
      <w:r w:rsidR="00934C8E">
        <w:t>абря 2009 года. 30 декабря 2009</w:t>
      </w:r>
      <w:r w:rsidR="00934C8E">
        <w:rPr>
          <w:lang w:val="en-US"/>
        </w:rPr>
        <w:t> </w:t>
      </w:r>
      <w:r w:rsidRPr="00DB577C">
        <w:t>года в Высокий суд Мадрида поступила кассационная жалоба. 4 января 2010 года Суд постановил отклонить кассационную жалобу, представляемую на о</w:t>
      </w:r>
      <w:r w:rsidRPr="00DB577C">
        <w:t>с</w:t>
      </w:r>
      <w:r w:rsidRPr="00DB577C">
        <w:t>новании отсутствия единообразия судебной практики.</w:t>
      </w:r>
    </w:p>
    <w:p w:rsidR="00DB577C" w:rsidRPr="00DB577C" w:rsidRDefault="00DB577C" w:rsidP="00DB577C">
      <w:pPr>
        <w:pStyle w:val="SingleTxtGR"/>
      </w:pPr>
      <w:r w:rsidRPr="00DB577C">
        <w:t>2.8</w:t>
      </w:r>
      <w:r w:rsidRPr="00DB577C">
        <w:tab/>
        <w:t>20 января 2010 года авторы сообщения обратились в Высокий суд Ма</w:t>
      </w:r>
      <w:r w:rsidRPr="00DB577C">
        <w:t>д</w:t>
      </w:r>
      <w:r w:rsidRPr="00DB577C">
        <w:t>рида с ходатайством об отмене судебного решения от 4 января 2010 года. 4</w:t>
      </w:r>
      <w:r w:rsidR="00514895">
        <w:t> </w:t>
      </w:r>
      <w:r w:rsidRPr="00DB577C">
        <w:t>февраля 2010 года Суд отклонил ходатайство об отмене судебного решения, поданное авторами, и постановил не принимать к рассмотрению кассационную жалобу, представляемую на основании отсутствия единообразия судебной пра</w:t>
      </w:r>
      <w:r w:rsidRPr="00DB577C">
        <w:t>к</w:t>
      </w:r>
      <w:r w:rsidRPr="00DB577C">
        <w:t>тики. Суд указал, что, несмотря на то, что кассационная жалоба была подана в установленные законом сроки, она не была представлена в надлежащий комп</w:t>
      </w:r>
      <w:r w:rsidRPr="00DB577C">
        <w:t>е</w:t>
      </w:r>
      <w:r w:rsidRPr="00DB577C">
        <w:t>тентный орган, и что данное процедурное упущение не было никак обосновано авторами. 10</w:t>
      </w:r>
      <w:r w:rsidR="00514895">
        <w:t> </w:t>
      </w:r>
      <w:r w:rsidRPr="00DB577C">
        <w:t xml:space="preserve">февраля 2010 года авторы сообщения обратились в сам Высокий суд с ходатайством о подаче </w:t>
      </w:r>
      <w:r w:rsidR="0034030D">
        <w:t>«</w:t>
      </w:r>
      <w:r w:rsidRPr="00DB577C">
        <w:t>протеста в порядке надзора</w:t>
      </w:r>
      <w:r w:rsidR="0034030D">
        <w:t>»</w:t>
      </w:r>
      <w:r w:rsidRPr="00DB577C">
        <w:t>, которое было о</w:t>
      </w:r>
      <w:r w:rsidRPr="00DB577C">
        <w:t>т</w:t>
      </w:r>
      <w:r w:rsidRPr="00DB577C">
        <w:t>клонено 22</w:t>
      </w:r>
      <w:r w:rsidR="00514895">
        <w:t> </w:t>
      </w:r>
      <w:r w:rsidRPr="00DB577C">
        <w:t>февраля 2010</w:t>
      </w:r>
      <w:r w:rsidR="00514895">
        <w:t> </w:t>
      </w:r>
      <w:r w:rsidRPr="00DB577C">
        <w:t>года. Вслед за этим авторы подали жалобу в Верхо</w:t>
      </w:r>
      <w:r w:rsidRPr="00DB577C">
        <w:t>в</w:t>
      </w:r>
      <w:r w:rsidRPr="00DB577C">
        <w:t>ный суд, но</w:t>
      </w:r>
      <w:r w:rsidR="00514895">
        <w:t xml:space="preserve"> </w:t>
      </w:r>
      <w:r w:rsidRPr="00DB577C">
        <w:t>она была признана неприемлемой 13 июля 2010 года.</w:t>
      </w:r>
    </w:p>
    <w:p w:rsidR="00DB577C" w:rsidRPr="00DB577C" w:rsidRDefault="00DB577C" w:rsidP="00DB577C">
      <w:pPr>
        <w:pStyle w:val="SingleTxtGR"/>
      </w:pPr>
      <w:r w:rsidRPr="00DB577C">
        <w:t>2.9</w:t>
      </w:r>
      <w:r w:rsidRPr="00DB577C">
        <w:tab/>
        <w:t>Авторы заявляют, что 1 марта 2011 года они направили письмо в Евр</w:t>
      </w:r>
      <w:r w:rsidRPr="00DB577C">
        <w:t>о</w:t>
      </w:r>
      <w:r w:rsidRPr="00DB577C">
        <w:t>пейский суд по правам человека, в котором сообщили о своем намерении пре</w:t>
      </w:r>
      <w:r w:rsidRPr="00DB577C">
        <w:t>д</w:t>
      </w:r>
      <w:r w:rsidRPr="00DB577C">
        <w:t>ставить жалобу, и что секретариат Европейского суда подтвердил получение письма и переслал им официальный формуляр жалобы.</w:t>
      </w:r>
    </w:p>
    <w:p w:rsidR="00DB577C" w:rsidRPr="00DB577C" w:rsidRDefault="00DB577C" w:rsidP="00221853">
      <w:pPr>
        <w:pStyle w:val="H23GR"/>
      </w:pPr>
      <w:r w:rsidRPr="00DB577C">
        <w:tab/>
      </w:r>
      <w:r w:rsidRPr="00DB577C">
        <w:tab/>
        <w:t>Жалоба</w:t>
      </w:r>
    </w:p>
    <w:p w:rsidR="00DB577C" w:rsidRPr="00DB577C" w:rsidRDefault="00DB577C" w:rsidP="00DB577C">
      <w:pPr>
        <w:pStyle w:val="SingleTxtGR"/>
      </w:pPr>
      <w:r w:rsidRPr="00DB577C">
        <w:t>3.1</w:t>
      </w:r>
      <w:r w:rsidRPr="00DB577C">
        <w:tab/>
        <w:t>Авторы утверждают, что государство-участник нарушило их права, предусмотренные статьями 7 и 9 Пакта. Кроме того, они заявляют, что госуда</w:t>
      </w:r>
      <w:r w:rsidRPr="00DB577C">
        <w:t>р</w:t>
      </w:r>
      <w:r w:rsidRPr="00DB577C">
        <w:t>ство-участник также нарушило их права, закрепленные в пункте 1 статьи 12 и статье</w:t>
      </w:r>
      <w:r w:rsidR="005378A7">
        <w:t> </w:t>
      </w:r>
      <w:r w:rsidRPr="00DB577C">
        <w:t>26 Международного пакта о гражданских и политических правах.</w:t>
      </w:r>
    </w:p>
    <w:p w:rsidR="00DB577C" w:rsidRPr="00DB577C" w:rsidRDefault="00DB577C" w:rsidP="00DB577C">
      <w:pPr>
        <w:pStyle w:val="SingleTxtGR"/>
      </w:pPr>
      <w:r w:rsidRPr="00DB577C">
        <w:t>3.2</w:t>
      </w:r>
      <w:r w:rsidRPr="00DB577C">
        <w:tab/>
        <w:t>Авторы просят Комитет признать факт нарушения указанных статей и распорядиться о возмещении причиненного ущерба и вреда и судебных изде</w:t>
      </w:r>
      <w:r w:rsidRPr="00DB577C">
        <w:t>р</w:t>
      </w:r>
      <w:r w:rsidRPr="00DB577C">
        <w:t>жек.</w:t>
      </w:r>
    </w:p>
    <w:p w:rsidR="00DB577C" w:rsidRPr="00DB577C" w:rsidRDefault="00221853" w:rsidP="00221853">
      <w:pPr>
        <w:pStyle w:val="H1GR"/>
      </w:pPr>
      <w:r>
        <w:tab/>
      </w:r>
      <w:r w:rsidR="00DB577C" w:rsidRPr="00DB577C">
        <w:t>B.</w:t>
      </w:r>
      <w:r w:rsidR="00DB577C" w:rsidRPr="00DB577C">
        <w:tab/>
        <w:t>Рассмотрение Комитетом вопроса о приемлемости</w:t>
      </w:r>
    </w:p>
    <w:p w:rsidR="00DB577C" w:rsidRPr="00DB577C" w:rsidRDefault="00DB577C" w:rsidP="00221853">
      <w:pPr>
        <w:pStyle w:val="SingleTxtGR"/>
      </w:pPr>
      <w:r w:rsidRPr="00DB577C">
        <w:t>4.1</w:t>
      </w:r>
      <w:r w:rsidRPr="00DB577C">
        <w:tab/>
        <w:t>Согласно статье 9 своих временных правил процедуры в соответствии с Факультативным протоколом, прежде чем приступить к рассмотрению утве</w:t>
      </w:r>
      <w:r w:rsidRPr="00DB577C">
        <w:t>р</w:t>
      </w:r>
      <w:r w:rsidRPr="00DB577C">
        <w:t>ждения, содержащегося в сообщении, Комитет должен решить, является ли оно приемлемым по смыслу Факультативного протокола</w:t>
      </w:r>
      <w:bookmarkStart w:id="1" w:name="_Toc356915313"/>
      <w:bookmarkEnd w:id="1"/>
      <w:r w:rsidRPr="00DB577C">
        <w:t>.</w:t>
      </w:r>
    </w:p>
    <w:p w:rsidR="00DB577C" w:rsidRPr="00DB577C" w:rsidRDefault="00DB577C" w:rsidP="00DB577C">
      <w:pPr>
        <w:pStyle w:val="SingleTxtGR"/>
      </w:pPr>
      <w:r w:rsidRPr="00DB577C">
        <w:t>4.2</w:t>
      </w:r>
      <w:r w:rsidRPr="00DB577C">
        <w:tab/>
        <w:t xml:space="preserve">Комитет обладает компетенцией </w:t>
      </w:r>
      <w:r w:rsidRPr="00221853">
        <w:rPr>
          <w:iCs/>
        </w:rPr>
        <w:t>ratione materiae</w:t>
      </w:r>
      <w:r w:rsidRPr="00DB577C">
        <w:t xml:space="preserve"> рассматривать утве</w:t>
      </w:r>
      <w:r w:rsidRPr="00DB577C">
        <w:t>р</w:t>
      </w:r>
      <w:r w:rsidRPr="00DB577C">
        <w:t>ждения о нарушениях экономических, социальных и культурных прав, закре</w:t>
      </w:r>
      <w:r w:rsidRPr="00DB577C">
        <w:t>п</w:t>
      </w:r>
      <w:r w:rsidRPr="00DB577C">
        <w:t>ленных в Международном пакте об экономических, социальных и культурных правах. Ввиду этого в соответствии с подпунктом d) пункта 2 статьи 3 Факул</w:t>
      </w:r>
      <w:r w:rsidRPr="00DB577C">
        <w:t>ь</w:t>
      </w:r>
      <w:r w:rsidRPr="00DB577C">
        <w:t>тативного протокола Комитет объявляет жалобы авторов по пункту 1 статьи 12 и по статье</w:t>
      </w:r>
      <w:r w:rsidR="005378A7">
        <w:t> </w:t>
      </w:r>
      <w:r w:rsidRPr="00DB577C">
        <w:t>26 Международного пакта о гражданских и политических правах неприемлемыми</w:t>
      </w:r>
      <w:r w:rsidRPr="007E044D">
        <w:rPr>
          <w:sz w:val="18"/>
          <w:szCs w:val="18"/>
          <w:vertAlign w:val="superscript"/>
        </w:rPr>
        <w:footnoteReference w:id="3"/>
      </w:r>
      <w:r w:rsidRPr="00DB577C">
        <w:t>.</w:t>
      </w:r>
    </w:p>
    <w:p w:rsidR="00DB577C" w:rsidRPr="00DB577C" w:rsidRDefault="00DB577C" w:rsidP="00DB577C">
      <w:pPr>
        <w:pStyle w:val="SingleTxtGR"/>
      </w:pPr>
      <w:r w:rsidRPr="00DB577C">
        <w:lastRenderedPageBreak/>
        <w:t>4.3</w:t>
      </w:r>
      <w:r w:rsidRPr="00DB577C">
        <w:tab/>
        <w:t>Комитет напоминает, что Факультативный протокол вступил в силу для государства-участника 5 мая 2013 года и что в соответствии с подпунктом</w:t>
      </w:r>
      <w:r w:rsidR="00EE2381">
        <w:t> </w:t>
      </w:r>
      <w:r w:rsidRPr="00DB577C">
        <w:t>b) пункта 2 статьи 3 Факультативного протокола Комитет должен признать соо</w:t>
      </w:r>
      <w:r w:rsidRPr="00DB577C">
        <w:t>б</w:t>
      </w:r>
      <w:r w:rsidRPr="00DB577C">
        <w:t>щение неприемлемым, если факты, являющиеся предметом сообщения, имели место до вступления Факультативного протокола в силу для соответствующего государства-участника, если только эти факты не продолжались после этой д</w:t>
      </w:r>
      <w:r w:rsidRPr="00DB577C">
        <w:t>а</w:t>
      </w:r>
      <w:r w:rsidRPr="00DB577C">
        <w:t>ты. В</w:t>
      </w:r>
      <w:r w:rsidR="00EE2381">
        <w:t> </w:t>
      </w:r>
      <w:r w:rsidRPr="00DB577C">
        <w:t>данном случае Комитет отмечает, что все факты, ставшие предметом с</w:t>
      </w:r>
      <w:r w:rsidRPr="00DB577C">
        <w:t>о</w:t>
      </w:r>
      <w:r w:rsidRPr="00DB577C">
        <w:t>общения, включая все соответствующие судебные решения национальных о</w:t>
      </w:r>
      <w:r w:rsidRPr="00DB577C">
        <w:t>р</w:t>
      </w:r>
      <w:r w:rsidRPr="00DB577C">
        <w:t>ганов, имели место до 5 мая 2013 года. Информация, приведенная авторами, не</w:t>
      </w:r>
      <w:r w:rsidR="00677F21">
        <w:t> </w:t>
      </w:r>
      <w:r w:rsidRPr="00DB577C">
        <w:t>указывает на то, что эти факты продолжались после вступления Факульт</w:t>
      </w:r>
      <w:r w:rsidRPr="00DB577C">
        <w:t>а</w:t>
      </w:r>
      <w:r w:rsidRPr="00DB577C">
        <w:t xml:space="preserve">тивного протокола в силу и могли сами по себе представлять нарушение Пакта. Исходя из вышеизложенного, Комитет не считает возможным рассмотреть настоящее сообщение </w:t>
      </w:r>
      <w:r w:rsidRPr="007E044D">
        <w:rPr>
          <w:iCs/>
        </w:rPr>
        <w:t>ratione temporis</w:t>
      </w:r>
      <w:r w:rsidRPr="00DB577C">
        <w:rPr>
          <w:i/>
          <w:iCs/>
        </w:rPr>
        <w:t xml:space="preserve"> </w:t>
      </w:r>
      <w:r w:rsidRPr="00DB577C">
        <w:t>и объявляет его неприемлемым по смы</w:t>
      </w:r>
      <w:r w:rsidRPr="00DB577C">
        <w:t>с</w:t>
      </w:r>
      <w:r w:rsidRPr="00DB577C">
        <w:t>лу подпункта</w:t>
      </w:r>
      <w:r w:rsidR="00EE2381">
        <w:t> </w:t>
      </w:r>
      <w:r w:rsidRPr="00DB577C">
        <w:t>b) пункта 2 статьи 3 Факультативного протокола</w:t>
      </w:r>
      <w:r w:rsidRPr="007E044D">
        <w:rPr>
          <w:sz w:val="18"/>
          <w:szCs w:val="18"/>
          <w:vertAlign w:val="superscript"/>
        </w:rPr>
        <w:footnoteReference w:id="4"/>
      </w:r>
      <w:r w:rsidRPr="00DB577C">
        <w:t>.</w:t>
      </w:r>
    </w:p>
    <w:p w:rsidR="00DB577C" w:rsidRPr="00DB577C" w:rsidRDefault="00DB577C" w:rsidP="00DB577C">
      <w:pPr>
        <w:pStyle w:val="SingleTxtGR"/>
      </w:pPr>
      <w:r w:rsidRPr="00DB577C">
        <w:t>4.4</w:t>
      </w:r>
      <w:r w:rsidRPr="00DB577C">
        <w:tab/>
        <w:t>Комитет отмечает, что в соответствии со статьей 6 Факультативного пр</w:t>
      </w:r>
      <w:r w:rsidRPr="00DB577C">
        <w:t>о</w:t>
      </w:r>
      <w:r w:rsidRPr="00DB577C">
        <w:t>токола он может признать сообщение неприемлемым без упоминания соотве</w:t>
      </w:r>
      <w:r w:rsidRPr="00DB577C">
        <w:t>т</w:t>
      </w:r>
      <w:r w:rsidRPr="00DB577C">
        <w:t>ствующего государства-участника. В данном случае основания, в силу которых Комитет признает настоящее сообщение неприемлемым, не входят в число о</w:t>
      </w:r>
      <w:r w:rsidRPr="00DB577C">
        <w:t>с</w:t>
      </w:r>
      <w:r w:rsidRPr="00DB577C">
        <w:t>нований, на которые государство-участник может сослаться при попытке осп</w:t>
      </w:r>
      <w:r w:rsidRPr="00DB577C">
        <w:t>о</w:t>
      </w:r>
      <w:r w:rsidRPr="00DB577C">
        <w:t>рить приемлемость сообщения, как это могло бы иметь место в случае основ</w:t>
      </w:r>
      <w:r w:rsidRPr="00DB577C">
        <w:t>а</w:t>
      </w:r>
      <w:r w:rsidRPr="00DB577C">
        <w:t>ний, перечисленных в пункте 1 и подпунктах а), c), e), f) или g) пункта 2 ст</w:t>
      </w:r>
      <w:r w:rsidRPr="00DB577C">
        <w:t>а</w:t>
      </w:r>
      <w:r w:rsidRPr="00DB577C">
        <w:t>тьи</w:t>
      </w:r>
      <w:r w:rsidR="007E044D">
        <w:t> </w:t>
      </w:r>
      <w:r w:rsidRPr="00DB577C">
        <w:t>3 Факультативного протокола.</w:t>
      </w:r>
    </w:p>
    <w:p w:rsidR="00DB577C" w:rsidRPr="00DB577C" w:rsidRDefault="00221853" w:rsidP="00677F21">
      <w:pPr>
        <w:pStyle w:val="H1GR"/>
      </w:pPr>
      <w:r>
        <w:tab/>
      </w:r>
      <w:r w:rsidR="00DB577C" w:rsidRPr="00DB577C">
        <w:t>C.</w:t>
      </w:r>
      <w:r w:rsidR="00DB577C" w:rsidRPr="00DB577C">
        <w:tab/>
        <w:t>Заключение</w:t>
      </w:r>
    </w:p>
    <w:p w:rsidR="00DB577C" w:rsidRPr="00DB577C" w:rsidRDefault="00DB577C" w:rsidP="00DB577C">
      <w:pPr>
        <w:pStyle w:val="SingleTxtGR"/>
      </w:pPr>
      <w:r w:rsidRPr="00DB577C">
        <w:t>5.</w:t>
      </w:r>
      <w:r w:rsidRPr="00DB577C">
        <w:tab/>
        <w:t>В связи с этим Комитет по экономическим, социальным и культурным правам постановляет:</w:t>
      </w:r>
    </w:p>
    <w:p w:rsidR="00DB577C" w:rsidRPr="00DB577C" w:rsidRDefault="00DB577C" w:rsidP="00221853">
      <w:pPr>
        <w:pStyle w:val="SingleTxtGR"/>
        <w:ind w:firstLine="567"/>
      </w:pPr>
      <w:r w:rsidRPr="00DB577C">
        <w:t>a)</w:t>
      </w:r>
      <w:r w:rsidRPr="00DB577C">
        <w:tab/>
        <w:t>признать сообщение неприемлемым согласно подпунктам</w:t>
      </w:r>
      <w:r w:rsidR="00EE2381">
        <w:t> </w:t>
      </w:r>
      <w:r w:rsidRPr="00DB577C">
        <w:t>b) и</w:t>
      </w:r>
      <w:r w:rsidR="00EE2381">
        <w:t> </w:t>
      </w:r>
      <w:r w:rsidRPr="00DB577C">
        <w:t>d) пункта 2 статьи 3 Факультативного протокола;</w:t>
      </w:r>
    </w:p>
    <w:p w:rsidR="00DB577C" w:rsidRPr="00221853" w:rsidRDefault="00DB577C" w:rsidP="00221853">
      <w:pPr>
        <w:pStyle w:val="SingleTxtGR"/>
        <w:ind w:firstLine="567"/>
        <w:rPr>
          <w:spacing w:val="2"/>
        </w:rPr>
      </w:pPr>
      <w:r w:rsidRPr="00DB577C">
        <w:t>b)</w:t>
      </w:r>
      <w:r w:rsidRPr="00DB577C">
        <w:tab/>
      </w:r>
      <w:r w:rsidRPr="00221853">
        <w:rPr>
          <w:spacing w:val="2"/>
        </w:rPr>
        <w:t>препроводить настоящее решение государству-участнику и авторам.</w:t>
      </w:r>
    </w:p>
    <w:p w:rsidR="00C40436" w:rsidRPr="00221853" w:rsidRDefault="00221853" w:rsidP="0022185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0436" w:rsidRPr="00221853" w:rsidSect="00AE3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42" w:rsidRPr="00A312BC" w:rsidRDefault="005F3E42" w:rsidP="00A312BC"/>
  </w:endnote>
  <w:endnote w:type="continuationSeparator" w:id="0">
    <w:p w:rsidR="005F3E42" w:rsidRPr="00A312BC" w:rsidRDefault="005F3E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9" w:rsidRPr="00AE3419" w:rsidRDefault="00AE3419">
    <w:pPr>
      <w:pStyle w:val="aa"/>
    </w:pPr>
    <w:r w:rsidRPr="00AE3419">
      <w:rPr>
        <w:b/>
        <w:sz w:val="18"/>
      </w:rPr>
      <w:fldChar w:fldCharType="begin"/>
    </w:r>
    <w:r w:rsidRPr="00AE3419">
      <w:rPr>
        <w:b/>
        <w:sz w:val="18"/>
      </w:rPr>
      <w:instrText xml:space="preserve"> PAGE  \* MERGEFORMAT </w:instrText>
    </w:r>
    <w:r w:rsidRPr="00AE3419">
      <w:rPr>
        <w:b/>
        <w:sz w:val="18"/>
      </w:rPr>
      <w:fldChar w:fldCharType="separate"/>
    </w:r>
    <w:r w:rsidR="00E13FA4">
      <w:rPr>
        <w:b/>
        <w:noProof/>
        <w:sz w:val="18"/>
      </w:rPr>
      <w:t>4</w:t>
    </w:r>
    <w:r w:rsidRPr="00AE3419">
      <w:rPr>
        <w:b/>
        <w:sz w:val="18"/>
      </w:rPr>
      <w:fldChar w:fldCharType="end"/>
    </w:r>
    <w:r>
      <w:rPr>
        <w:b/>
        <w:sz w:val="18"/>
      </w:rPr>
      <w:tab/>
    </w:r>
    <w:r>
      <w:t>GE.17-05776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9" w:rsidRPr="00AE3419" w:rsidRDefault="00AE3419" w:rsidP="00AE3419">
    <w:pPr>
      <w:pStyle w:val="aa"/>
      <w:tabs>
        <w:tab w:val="clear" w:pos="9639"/>
        <w:tab w:val="right" w:pos="9638"/>
      </w:tabs>
      <w:rPr>
        <w:b/>
        <w:sz w:val="18"/>
      </w:rPr>
    </w:pPr>
    <w:r>
      <w:t>GE.17-05776</w:t>
    </w:r>
    <w:r>
      <w:tab/>
    </w:r>
    <w:r w:rsidRPr="00AE3419">
      <w:rPr>
        <w:b/>
        <w:sz w:val="18"/>
      </w:rPr>
      <w:fldChar w:fldCharType="begin"/>
    </w:r>
    <w:r w:rsidRPr="00AE3419">
      <w:rPr>
        <w:b/>
        <w:sz w:val="18"/>
      </w:rPr>
      <w:instrText xml:space="preserve"> PAGE  \* MERGEFORMAT </w:instrText>
    </w:r>
    <w:r w:rsidRPr="00AE3419">
      <w:rPr>
        <w:b/>
        <w:sz w:val="18"/>
      </w:rPr>
      <w:fldChar w:fldCharType="separate"/>
    </w:r>
    <w:r w:rsidR="00E13FA4">
      <w:rPr>
        <w:b/>
        <w:noProof/>
        <w:sz w:val="18"/>
      </w:rPr>
      <w:t>3</w:t>
    </w:r>
    <w:r w:rsidRPr="00AE34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E3419" w:rsidRDefault="00AE3419" w:rsidP="00AE341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17-05776  (R)</w:t>
    </w:r>
    <w:r w:rsidR="00DB577C">
      <w:t xml:space="preserve">  090517  090517</w:t>
    </w:r>
    <w:r>
      <w:br/>
    </w:r>
    <w:r w:rsidRPr="00AE3419">
      <w:rPr>
        <w:rFonts w:ascii="C39T30Lfz" w:hAnsi="C39T30Lfz"/>
        <w:spacing w:val="0"/>
        <w:w w:val="100"/>
        <w:sz w:val="56"/>
      </w:rPr>
      <w:t></w:t>
    </w:r>
    <w:r w:rsidRPr="00AE3419">
      <w:rPr>
        <w:rFonts w:ascii="C39T30Lfz" w:hAnsi="C39T30Lfz"/>
        <w:spacing w:val="0"/>
        <w:w w:val="100"/>
        <w:sz w:val="56"/>
      </w:rPr>
      <w:t></w:t>
    </w:r>
    <w:r w:rsidRPr="00AE3419">
      <w:rPr>
        <w:rFonts w:ascii="C39T30Lfz" w:hAnsi="C39T30Lfz"/>
        <w:spacing w:val="0"/>
        <w:w w:val="100"/>
        <w:sz w:val="56"/>
      </w:rPr>
      <w:t></w:t>
    </w:r>
    <w:r w:rsidRPr="00AE3419">
      <w:rPr>
        <w:rFonts w:ascii="C39T30Lfz" w:hAnsi="C39T30Lfz"/>
        <w:spacing w:val="0"/>
        <w:w w:val="100"/>
        <w:sz w:val="56"/>
      </w:rPr>
      <w:t></w:t>
    </w:r>
    <w:r w:rsidRPr="00AE3419">
      <w:rPr>
        <w:rFonts w:ascii="C39T30Lfz" w:hAnsi="C39T30Lfz"/>
        <w:spacing w:val="0"/>
        <w:w w:val="100"/>
        <w:sz w:val="56"/>
      </w:rPr>
      <w:t></w:t>
    </w:r>
    <w:r w:rsidRPr="00AE3419">
      <w:rPr>
        <w:rFonts w:ascii="C39T30Lfz" w:hAnsi="C39T30Lfz"/>
        <w:spacing w:val="0"/>
        <w:w w:val="100"/>
        <w:sz w:val="56"/>
      </w:rPr>
      <w:t></w:t>
    </w:r>
    <w:r w:rsidRPr="00AE3419">
      <w:rPr>
        <w:rFonts w:ascii="C39T30Lfz" w:hAnsi="C39T30Lfz"/>
        <w:spacing w:val="0"/>
        <w:w w:val="100"/>
        <w:sz w:val="56"/>
      </w:rPr>
      <w:t></w:t>
    </w:r>
    <w:r w:rsidRPr="00AE3419">
      <w:rPr>
        <w:rFonts w:ascii="C39T30Lfz" w:hAnsi="C39T30Lfz"/>
        <w:spacing w:val="0"/>
        <w:w w:val="100"/>
        <w:sz w:val="56"/>
      </w:rPr>
      <w:t></w:t>
    </w:r>
    <w:r w:rsidRPr="00AE341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60/D/18/20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0/D/18/20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42" w:rsidRPr="001075E9" w:rsidRDefault="005F3E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3E42" w:rsidRDefault="005F3E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B577C" w:rsidRPr="00DB577C" w:rsidRDefault="00DB577C">
      <w:pPr>
        <w:pStyle w:val="af"/>
        <w:rPr>
          <w:sz w:val="20"/>
          <w:lang w:val="ru-RU"/>
        </w:rPr>
      </w:pPr>
      <w:r>
        <w:tab/>
      </w:r>
      <w:r w:rsidRPr="00DB577C">
        <w:rPr>
          <w:rStyle w:val="a8"/>
          <w:sz w:val="20"/>
          <w:vertAlign w:val="baseline"/>
          <w:lang w:val="ru-RU"/>
        </w:rPr>
        <w:t>*</w:t>
      </w:r>
      <w:r w:rsidRPr="00DB577C">
        <w:rPr>
          <w:rStyle w:val="a8"/>
          <w:vertAlign w:val="baseline"/>
          <w:lang w:val="ru-RU"/>
        </w:rPr>
        <w:tab/>
      </w:r>
      <w:r w:rsidRPr="00DB577C">
        <w:rPr>
          <w:lang w:val="ru-RU"/>
        </w:rPr>
        <w:t>Приняты Комитетом на его шестидесятой сессии (20–24 февраля 2017 года).</w:t>
      </w:r>
    </w:p>
  </w:footnote>
  <w:footnote w:id="2">
    <w:p w:rsidR="00DB577C" w:rsidRPr="00DB577C" w:rsidRDefault="00DB577C">
      <w:pPr>
        <w:pStyle w:val="af"/>
        <w:rPr>
          <w:sz w:val="20"/>
          <w:lang w:val="ru-RU"/>
        </w:rPr>
      </w:pPr>
      <w:r w:rsidRPr="00976391">
        <w:rPr>
          <w:lang w:val="ru-RU"/>
        </w:rPr>
        <w:tab/>
      </w:r>
      <w:r w:rsidRPr="00DB577C">
        <w:rPr>
          <w:rStyle w:val="a8"/>
          <w:sz w:val="20"/>
          <w:vertAlign w:val="baseline"/>
          <w:lang w:val="ru-RU"/>
        </w:rPr>
        <w:t>**</w:t>
      </w:r>
      <w:r w:rsidRPr="00DB577C">
        <w:rPr>
          <w:rStyle w:val="a8"/>
          <w:vertAlign w:val="baseline"/>
          <w:lang w:val="ru-RU"/>
        </w:rPr>
        <w:tab/>
      </w:r>
      <w:r w:rsidRPr="00DB577C">
        <w:rPr>
          <w:lang w:val="ru-RU"/>
        </w:rPr>
        <w:t>Согласно подпункту с) пункта 1 статьи 5 временных правил процедуры в соответствии с Факультативным протоколом член Комитета г-н Микель Мансисидор де ла Фуэнте не участвовал в рассмотрении сообщения.</w:t>
      </w:r>
    </w:p>
  </w:footnote>
  <w:footnote w:id="3">
    <w:p w:rsidR="00DB577C" w:rsidRPr="00036A71" w:rsidRDefault="00DB577C" w:rsidP="007E044D">
      <w:pPr>
        <w:pStyle w:val="af"/>
        <w:widowControl w:val="0"/>
        <w:tabs>
          <w:tab w:val="clear" w:pos="1021"/>
          <w:tab w:val="right" w:pos="1020"/>
        </w:tabs>
        <w:rPr>
          <w:lang w:val="ru-RU"/>
        </w:rPr>
      </w:pPr>
      <w:r w:rsidRPr="008412B6">
        <w:rPr>
          <w:lang w:val="ru-RU"/>
        </w:rPr>
        <w:tab/>
      </w:r>
      <w:r>
        <w:rPr>
          <w:rStyle w:val="a8"/>
          <w:lang w:val="ru-RU"/>
        </w:rPr>
        <w:footnoteRef/>
      </w:r>
      <w:r>
        <w:rPr>
          <w:lang w:val="ru-RU"/>
        </w:rPr>
        <w:tab/>
        <w:t>Сообщение № 6/2015,</w:t>
      </w:r>
      <w:r>
        <w:rPr>
          <w:i/>
          <w:iCs/>
          <w:lang w:val="ru-RU"/>
        </w:rPr>
        <w:t xml:space="preserve"> В</w:t>
      </w:r>
      <w:r w:rsidR="00677F21">
        <w:rPr>
          <w:i/>
          <w:iCs/>
          <w:lang w:val="ru-RU"/>
        </w:rPr>
        <w:t>.</w:t>
      </w:r>
      <w:r>
        <w:rPr>
          <w:i/>
          <w:iCs/>
          <w:lang w:val="ru-RU"/>
        </w:rPr>
        <w:t>Т.Ф. и А.</w:t>
      </w:r>
      <w:r w:rsidR="007A656A">
        <w:rPr>
          <w:i/>
          <w:iCs/>
          <w:lang w:val="ru-RU"/>
        </w:rPr>
        <w:t>Ф.</w:t>
      </w:r>
      <w:r>
        <w:rPr>
          <w:i/>
          <w:iCs/>
          <w:lang w:val="ru-RU"/>
        </w:rPr>
        <w:t>Л.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против Испании</w:t>
      </w:r>
      <w:r>
        <w:rPr>
          <w:lang w:val="ru-RU"/>
        </w:rPr>
        <w:t>, решение о неприемлемости от</w:t>
      </w:r>
      <w:r w:rsidR="007931A6">
        <w:rPr>
          <w:lang w:val="ru-RU"/>
        </w:rPr>
        <w:t> </w:t>
      </w:r>
      <w:r>
        <w:rPr>
          <w:lang w:val="ru-RU"/>
        </w:rPr>
        <w:t xml:space="preserve">24 сентября 2015 года, пункт 4.2, и сообщение № 8/2015, </w:t>
      </w:r>
      <w:r>
        <w:rPr>
          <w:i/>
          <w:iCs/>
          <w:lang w:val="ru-RU"/>
        </w:rPr>
        <w:t>Л.А.М.К. против Испании</w:t>
      </w:r>
      <w:r>
        <w:rPr>
          <w:lang w:val="ru-RU"/>
        </w:rPr>
        <w:t>, решение о неприемлемости от 24 сентября 2015 года, пункт 4.2.</w:t>
      </w:r>
    </w:p>
  </w:footnote>
  <w:footnote w:id="4">
    <w:p w:rsidR="00DB577C" w:rsidRPr="00036A71" w:rsidRDefault="00DB577C" w:rsidP="007E044D">
      <w:pPr>
        <w:pStyle w:val="af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8"/>
          <w:lang w:val="ru-RU"/>
        </w:rPr>
        <w:footnoteRef/>
      </w:r>
      <w:r>
        <w:rPr>
          <w:lang w:val="ru-RU"/>
        </w:rPr>
        <w:tab/>
        <w:t>См. сообщение № 6/2015, пункт 4.3, и сообщение № 8/2015, пункт 4.3.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9" w:rsidRPr="00AE3419" w:rsidRDefault="00E13FA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E/C.12/60/D/18/2016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19" w:rsidRPr="00AE3419" w:rsidRDefault="00E13FA4" w:rsidP="00AE3419">
    <w:pPr>
      <w:pStyle w:val="a5"/>
      <w:jc w:val="right"/>
    </w:pPr>
    <w:r>
      <w:fldChar w:fldCharType="begin"/>
    </w:r>
    <w:r>
      <w:instrText xml:space="preserve"> T</w:instrText>
    </w:r>
    <w:r>
      <w:instrText xml:space="preserve">ITLE  \* MERGEFORMAT </w:instrText>
    </w:r>
    <w:r>
      <w:fldChar w:fldCharType="separate"/>
    </w:r>
    <w:r>
      <w:t>E/C.12/60/D/18/2016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7C" w:rsidRDefault="00DB577C" w:rsidP="00DB577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42"/>
    <w:rsid w:val="00033EE1"/>
    <w:rsid w:val="00042B72"/>
    <w:rsid w:val="00043B08"/>
    <w:rsid w:val="000558BD"/>
    <w:rsid w:val="000857D2"/>
    <w:rsid w:val="000B5173"/>
    <w:rsid w:val="000B57E7"/>
    <w:rsid w:val="000B6373"/>
    <w:rsid w:val="000F09DF"/>
    <w:rsid w:val="000F61B2"/>
    <w:rsid w:val="001075E9"/>
    <w:rsid w:val="0014152F"/>
    <w:rsid w:val="00142F5E"/>
    <w:rsid w:val="00165BC9"/>
    <w:rsid w:val="00180183"/>
    <w:rsid w:val="0018024D"/>
    <w:rsid w:val="0018649F"/>
    <w:rsid w:val="00196389"/>
    <w:rsid w:val="001B3EF6"/>
    <w:rsid w:val="001C7A89"/>
    <w:rsid w:val="001D5C5A"/>
    <w:rsid w:val="001E77B7"/>
    <w:rsid w:val="00221853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4030D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6284D"/>
    <w:rsid w:val="00472C5C"/>
    <w:rsid w:val="0050108D"/>
    <w:rsid w:val="00513081"/>
    <w:rsid w:val="00514895"/>
    <w:rsid w:val="00517901"/>
    <w:rsid w:val="00526683"/>
    <w:rsid w:val="005378A7"/>
    <w:rsid w:val="0055149A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5F3E42"/>
    <w:rsid w:val="00640F49"/>
    <w:rsid w:val="00677F21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31A6"/>
    <w:rsid w:val="007A656A"/>
    <w:rsid w:val="007E044D"/>
    <w:rsid w:val="00806737"/>
    <w:rsid w:val="00811570"/>
    <w:rsid w:val="00825F8D"/>
    <w:rsid w:val="00831F1A"/>
    <w:rsid w:val="00834B71"/>
    <w:rsid w:val="0086445C"/>
    <w:rsid w:val="00894693"/>
    <w:rsid w:val="008A08D7"/>
    <w:rsid w:val="008B6909"/>
    <w:rsid w:val="008C30BC"/>
    <w:rsid w:val="00906890"/>
    <w:rsid w:val="00911BE4"/>
    <w:rsid w:val="00934C8E"/>
    <w:rsid w:val="00951972"/>
    <w:rsid w:val="00953552"/>
    <w:rsid w:val="009608F3"/>
    <w:rsid w:val="00976391"/>
    <w:rsid w:val="009A24AC"/>
    <w:rsid w:val="00A14DA8"/>
    <w:rsid w:val="00A21F00"/>
    <w:rsid w:val="00A22D5C"/>
    <w:rsid w:val="00A312BC"/>
    <w:rsid w:val="00A84021"/>
    <w:rsid w:val="00A84D35"/>
    <w:rsid w:val="00A917B3"/>
    <w:rsid w:val="00AB4B51"/>
    <w:rsid w:val="00AC3430"/>
    <w:rsid w:val="00AE3419"/>
    <w:rsid w:val="00B10CC7"/>
    <w:rsid w:val="00B36DF7"/>
    <w:rsid w:val="00B539E7"/>
    <w:rsid w:val="00B62458"/>
    <w:rsid w:val="00BC18B2"/>
    <w:rsid w:val="00BD33EE"/>
    <w:rsid w:val="00BF21E1"/>
    <w:rsid w:val="00C106D6"/>
    <w:rsid w:val="00C40436"/>
    <w:rsid w:val="00C60F0C"/>
    <w:rsid w:val="00C805C9"/>
    <w:rsid w:val="00C92939"/>
    <w:rsid w:val="00CA1679"/>
    <w:rsid w:val="00CB151C"/>
    <w:rsid w:val="00CE5571"/>
    <w:rsid w:val="00CE5A1A"/>
    <w:rsid w:val="00CF55F6"/>
    <w:rsid w:val="00D33D63"/>
    <w:rsid w:val="00D5253A"/>
    <w:rsid w:val="00D62A45"/>
    <w:rsid w:val="00D90028"/>
    <w:rsid w:val="00D90138"/>
    <w:rsid w:val="00DB577C"/>
    <w:rsid w:val="00DD44B1"/>
    <w:rsid w:val="00DD78D1"/>
    <w:rsid w:val="00DE32CD"/>
    <w:rsid w:val="00DF71B9"/>
    <w:rsid w:val="00E13FA4"/>
    <w:rsid w:val="00E73F76"/>
    <w:rsid w:val="00E75C33"/>
    <w:rsid w:val="00E90403"/>
    <w:rsid w:val="00EA2C9F"/>
    <w:rsid w:val="00EA420E"/>
    <w:rsid w:val="00EC416D"/>
    <w:rsid w:val="00ED0BDA"/>
    <w:rsid w:val="00EE142A"/>
    <w:rsid w:val="00EE2381"/>
    <w:rsid w:val="00EF1360"/>
    <w:rsid w:val="00EF3220"/>
    <w:rsid w:val="00F27BE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742B-B08C-4F11-BD13-B79C1A70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4</Pages>
  <Words>1138</Words>
  <Characters>8428</Characters>
  <Application>Microsoft Office Word</Application>
  <DocSecurity>0</DocSecurity>
  <Lines>227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E/C.12/60/D/18/2016</vt:lpstr>
      <vt:lpstr>A/</vt:lpstr>
    </vt:vector>
  </TitlesOfParts>
  <Company>DCM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E/C.12/60/D/18/2016</dc:title>
  <dc:subject/>
  <dc:creator>SHUVALOVA Natalia</dc:creator>
  <cp:keywords/>
  <cp:lastModifiedBy>TPSRUS2</cp:lastModifiedBy>
  <cp:revision>3</cp:revision>
  <cp:lastPrinted>2017-05-09T13:35:00Z</cp:lastPrinted>
  <dcterms:created xsi:type="dcterms:W3CDTF">2017-05-09T13:35:00Z</dcterms:created>
  <dcterms:modified xsi:type="dcterms:W3CDTF">2017-05-09T13:35:00Z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