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39CC">
      <w:r>
        <w:rPr>
          <w:rFonts w:hint="eastAsia"/>
        </w:rPr>
        <w:t>经济、社会、文化权利委员会</w:t>
      </w:r>
    </w:p>
    <w:p w:rsidR="00000000" w:rsidRDefault="008739CC">
      <w:pPr>
        <w:rPr>
          <w:rFonts w:hint="eastAsia"/>
        </w:rPr>
      </w:pPr>
      <w:r>
        <w:rPr>
          <w:rFonts w:hint="eastAsia"/>
        </w:rPr>
        <w:t>第三十八届会议</w:t>
      </w:r>
    </w:p>
    <w:p w:rsidR="00000000" w:rsidRDefault="008739CC">
      <w:pPr>
        <w:spacing w:after="320"/>
      </w:pPr>
      <w:r>
        <w:rPr>
          <w:rFonts w:hint="eastAsia"/>
        </w:rPr>
        <w:t>2007</w:t>
      </w:r>
      <w:r>
        <w:rPr>
          <w:rFonts w:hint="eastAsia"/>
        </w:rPr>
        <w:t>年</w:t>
      </w:r>
      <w:r>
        <w:rPr>
          <w:rFonts w:hint="eastAsia"/>
        </w:rPr>
        <w:t>4</w:t>
      </w:r>
      <w:r>
        <w:rPr>
          <w:rFonts w:hint="eastAsia"/>
        </w:rPr>
        <w:t>月</w:t>
      </w:r>
      <w:r>
        <w:rPr>
          <w:rFonts w:hint="eastAsia"/>
        </w:rPr>
        <w:t>30</w:t>
      </w:r>
      <w:r>
        <w:rPr>
          <w:rFonts w:hint="eastAsia"/>
        </w:rPr>
        <w:t>日至</w:t>
      </w:r>
      <w:r>
        <w:rPr>
          <w:rFonts w:hint="eastAsia"/>
        </w:rPr>
        <w:t>5</w:t>
      </w:r>
      <w:r>
        <w:rPr>
          <w:rFonts w:hint="eastAsia"/>
        </w:rPr>
        <w:t>月</w:t>
      </w:r>
      <w:r>
        <w:rPr>
          <w:rFonts w:hint="eastAsia"/>
        </w:rPr>
        <w:t>18</w:t>
      </w:r>
      <w:r>
        <w:rPr>
          <w:rFonts w:hint="eastAsia"/>
        </w:rPr>
        <w:t>日，日内瓦</w:t>
      </w:r>
    </w:p>
    <w:p w:rsidR="00000000" w:rsidRDefault="008739CC">
      <w:pPr>
        <w:pStyle w:val="Heading2"/>
        <w:rPr>
          <w:rStyle w:val="Strong"/>
        </w:rPr>
      </w:pPr>
      <w:r>
        <w:rPr>
          <w:rFonts w:hint="eastAsia"/>
        </w:rPr>
        <w:t>《经济、社会、文化权利国际公约》执行情况</w:t>
      </w:r>
    </w:p>
    <w:p w:rsidR="00000000" w:rsidRDefault="008739CC">
      <w:pPr>
        <w:pStyle w:val="Heading2"/>
        <w:rPr>
          <w:rStyle w:val="Strong"/>
        </w:rPr>
      </w:pPr>
      <w:r>
        <w:rPr>
          <w:rStyle w:val="Strong"/>
          <w:rFonts w:hint="eastAsia"/>
          <w:b w:val="0"/>
          <w:bCs w:val="0"/>
        </w:rPr>
        <w:t>审议缔约国根据</w:t>
      </w:r>
      <w:r>
        <w:rPr>
          <w:rFonts w:hint="eastAsia"/>
        </w:rPr>
        <w:t>《经济、社会、文化权利国际公约》</w:t>
      </w:r>
      <w:r>
        <w:br/>
      </w:r>
      <w:r>
        <w:rPr>
          <w:rFonts w:hint="eastAsia"/>
        </w:rPr>
        <w:t>第十六条提交的报告</w:t>
      </w:r>
    </w:p>
    <w:p w:rsidR="00000000" w:rsidRDefault="008739CC">
      <w:pPr>
        <w:pStyle w:val="Heading2"/>
        <w:rPr>
          <w:rStyle w:val="Strong"/>
        </w:rPr>
      </w:pPr>
      <w:r>
        <w:rPr>
          <w:rStyle w:val="Strong"/>
          <w:rFonts w:hint="eastAsia"/>
          <w:b w:val="0"/>
          <w:bCs w:val="0"/>
        </w:rPr>
        <w:t>尼泊尔政府关于在</w:t>
      </w:r>
      <w:r>
        <w:rPr>
          <w:rFonts w:hint="eastAsia"/>
        </w:rPr>
        <w:t>审议尼泊尔就《经济、社会、文化权利</w:t>
      </w:r>
      <w:r>
        <w:br/>
      </w:r>
      <w:r>
        <w:rPr>
          <w:rFonts w:hint="eastAsia"/>
        </w:rPr>
        <w:t>国际公约》第一至十五条所述权利执行情况</w:t>
      </w:r>
      <w:r>
        <w:br/>
      </w:r>
      <w:r>
        <w:rPr>
          <w:rFonts w:hint="eastAsia"/>
        </w:rPr>
        <w:t>提交的第二次定期报告</w:t>
      </w:r>
      <w:r>
        <w:rPr>
          <w:rFonts w:hint="eastAsia"/>
          <w:b/>
          <w:bCs/>
        </w:rPr>
        <w:t>(</w:t>
      </w:r>
      <w:r>
        <w:rPr>
          <w:rStyle w:val="Strong"/>
          <w:b w:val="0"/>
          <w:bCs w:val="0"/>
        </w:rPr>
        <w:t>E/C.12/NPL/2</w:t>
      </w:r>
      <w:r>
        <w:rPr>
          <w:b/>
          <w:bCs/>
        </w:rPr>
        <w:t>)</w:t>
      </w:r>
      <w:r>
        <w:rPr>
          <w:rFonts w:hint="eastAsia"/>
        </w:rPr>
        <w:t>时</w:t>
      </w:r>
      <w:r>
        <w:br/>
      </w:r>
      <w:r>
        <w:rPr>
          <w:rFonts w:hint="eastAsia"/>
        </w:rPr>
        <w:t>提出的问题单</w:t>
      </w:r>
      <w:r>
        <w:t>(E/C.12/NPL/Q/2)</w:t>
      </w:r>
      <w:r>
        <w:rPr>
          <w:rFonts w:hint="eastAsia"/>
        </w:rPr>
        <w:t>的答复</w:t>
      </w:r>
    </w:p>
    <w:p w:rsidR="00000000" w:rsidRDefault="008739CC">
      <w:pPr>
        <w:rPr>
          <w:rStyle w:val="Strong"/>
          <w:b w:val="0"/>
          <w:bCs w:val="0"/>
        </w:rPr>
      </w:pPr>
    </w:p>
    <w:p w:rsidR="00000000" w:rsidRDefault="008739CC">
      <w:pPr>
        <w:ind w:left="6760"/>
        <w:rPr>
          <w:rStyle w:val="Strong"/>
          <w:b w:val="0"/>
          <w:bCs w:val="0"/>
        </w:rPr>
      </w:pPr>
      <w:r>
        <w:rPr>
          <w:rStyle w:val="Strong"/>
          <w:b w:val="0"/>
          <w:bCs w:val="0"/>
        </w:rPr>
        <w:t>[</w:t>
      </w:r>
      <w:r>
        <w:rPr>
          <w:rStyle w:val="Strong"/>
          <w:rFonts w:hint="eastAsia"/>
          <w:b w:val="0"/>
          <w:bCs w:val="0"/>
        </w:rPr>
        <w:t>2007</w:t>
      </w:r>
      <w:r>
        <w:rPr>
          <w:rStyle w:val="Strong"/>
          <w:rFonts w:hint="eastAsia"/>
          <w:b w:val="0"/>
          <w:bCs w:val="0"/>
        </w:rPr>
        <w:t>年</w:t>
      </w:r>
      <w:r>
        <w:rPr>
          <w:rStyle w:val="Strong"/>
          <w:rFonts w:hint="eastAsia"/>
          <w:b w:val="0"/>
          <w:bCs w:val="0"/>
        </w:rPr>
        <w:t>2</w:t>
      </w:r>
      <w:r>
        <w:rPr>
          <w:rStyle w:val="Strong"/>
          <w:rFonts w:hint="eastAsia"/>
          <w:b w:val="0"/>
          <w:bCs w:val="0"/>
        </w:rPr>
        <w:t>月</w:t>
      </w:r>
      <w:r>
        <w:rPr>
          <w:rStyle w:val="Strong"/>
          <w:b w:val="0"/>
          <w:bCs w:val="0"/>
        </w:rPr>
        <w:t>28</w:t>
      </w:r>
      <w:r>
        <w:rPr>
          <w:rStyle w:val="Strong"/>
          <w:rFonts w:hint="eastAsia"/>
          <w:b w:val="0"/>
          <w:bCs w:val="0"/>
        </w:rPr>
        <w:t>日</w:t>
      </w:r>
      <w:r>
        <w:rPr>
          <w:rStyle w:val="Strong"/>
          <w:b w:val="0"/>
          <w:bCs w:val="0"/>
        </w:rPr>
        <w:t>]</w:t>
      </w:r>
    </w:p>
    <w:p w:rsidR="00000000" w:rsidRDefault="008739CC">
      <w:pPr>
        <w:rPr>
          <w:rStyle w:val="Strong"/>
          <w:b w:val="0"/>
          <w:bCs w:val="0"/>
        </w:rPr>
      </w:pPr>
    </w:p>
    <w:p w:rsidR="00000000" w:rsidRDefault="008739CC">
      <w:pPr>
        <w:pStyle w:val="Heading2"/>
        <w:rPr>
          <w:b/>
        </w:rPr>
      </w:pPr>
      <w:r>
        <w:rPr>
          <w:rStyle w:val="Strong"/>
          <w:b w:val="0"/>
          <w:bCs w:val="0"/>
        </w:rPr>
        <w:br w:type="page"/>
      </w:r>
      <w:r>
        <w:rPr>
          <w:rFonts w:hint="eastAsia"/>
        </w:rPr>
        <w:t>尼泊尔执行《经济、社会、文化权利国际公约》的情况</w:t>
      </w:r>
    </w:p>
    <w:p w:rsidR="00000000" w:rsidRDefault="008739CC">
      <w:pPr>
        <w:pStyle w:val="Heading2"/>
      </w:pPr>
      <w:r>
        <w:rPr>
          <w:rFonts w:hint="eastAsia"/>
        </w:rPr>
        <w:t>尼泊尔政府对审议尼泊尔第二次报告时</w:t>
      </w:r>
      <w:r>
        <w:br/>
      </w:r>
      <w:r>
        <w:rPr>
          <w:rFonts w:hint="eastAsia"/>
        </w:rPr>
        <w:t>所</w:t>
      </w:r>
      <w:r>
        <w:rPr>
          <w:rFonts w:hint="eastAsia"/>
        </w:rPr>
        <w:t>要处理的问题的意见</w:t>
      </w:r>
      <w:r>
        <w:t>(E/C.12/NPL/2)</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w:t>
      </w:r>
      <w:r>
        <w:rPr>
          <w:rFonts w:ascii="Time New Roman" w:eastAsia="SimHei" w:hAnsi="Time New Roman"/>
          <w:u w:val="none"/>
        </w:rPr>
        <w:t xml:space="preserve">.  </w:t>
      </w:r>
      <w:r>
        <w:rPr>
          <w:rFonts w:ascii="Time New Roman" w:eastAsia="SimHei" w:hAnsi="Time New Roman" w:hint="eastAsia"/>
          <w:u w:val="none"/>
        </w:rPr>
        <w:t>《</w:t>
      </w:r>
      <w:r>
        <w:rPr>
          <w:rFonts w:ascii="Time New Roman" w:eastAsia="SimHei" w:hAnsi="Time New Roman" w:hint="eastAsia"/>
          <w:b/>
          <w:u w:val="none"/>
        </w:rPr>
        <w:t>2007</w:t>
      </w:r>
      <w:r>
        <w:rPr>
          <w:rFonts w:ascii="Time New Roman" w:eastAsia="SimHei" w:hAnsi="Time New Roman" w:hint="eastAsia"/>
          <w:u w:val="none"/>
        </w:rPr>
        <w:t>年尼泊尔临时宪法》中的经济、社会及文化权利</w:t>
      </w:r>
    </w:p>
    <w:p w:rsidR="00000000" w:rsidRDefault="008739CC">
      <w:pPr>
        <w:ind w:firstLine="510"/>
      </w:pPr>
      <w:r>
        <w:t>1.</w:t>
      </w:r>
      <w:r>
        <w:tab/>
      </w:r>
      <w:r>
        <w:rPr>
          <w:rFonts w:hint="eastAsia"/>
        </w:rPr>
        <w:t>2007</w:t>
      </w:r>
      <w:r>
        <w:rPr>
          <w:rFonts w:hint="eastAsia"/>
        </w:rPr>
        <w:t>年</w:t>
      </w:r>
      <w:r>
        <w:rPr>
          <w:rFonts w:hint="eastAsia"/>
        </w:rPr>
        <w:t>1</w:t>
      </w:r>
      <w:r>
        <w:rPr>
          <w:rFonts w:hint="eastAsia"/>
        </w:rPr>
        <w:t>月</w:t>
      </w:r>
      <w:r>
        <w:rPr>
          <w:rFonts w:hint="eastAsia"/>
        </w:rPr>
        <w:t>15</w:t>
      </w:r>
      <w:r>
        <w:rPr>
          <w:rFonts w:hint="eastAsia"/>
        </w:rPr>
        <w:t>日正式生效的</w:t>
      </w:r>
      <w:r>
        <w:rPr>
          <w:rFonts w:hint="eastAsia"/>
          <w:bCs/>
        </w:rPr>
        <w:t>《</w:t>
      </w:r>
      <w:r>
        <w:rPr>
          <w:rFonts w:hint="eastAsia"/>
          <w:bCs/>
        </w:rPr>
        <w:t>2007</w:t>
      </w:r>
      <w:r>
        <w:rPr>
          <w:rFonts w:hint="eastAsia"/>
          <w:bCs/>
        </w:rPr>
        <w:t>年尼泊尔临时宪法》</w:t>
      </w:r>
      <w:r>
        <w:rPr>
          <w:rFonts w:hint="eastAsia"/>
        </w:rPr>
        <w:t>承认并保护《经济、社会、文化权利国际公约》所包含的主要经济、社会及文化权利。该《宪法》规定尼泊尔的主权和国家权力属于尼泊尔人民。它保证尼泊尔人民在免于恐惧的环境中参加制宪议会的自由和公平选举以及为了塑造自己的命运拟定一份宪法的基本权利。</w:t>
      </w:r>
    </w:p>
    <w:p w:rsidR="00000000" w:rsidRDefault="008739CC">
      <w:pPr>
        <w:ind w:firstLine="510"/>
      </w:pPr>
      <w:r>
        <w:t>2.</w:t>
      </w:r>
      <w:r>
        <w:tab/>
      </w:r>
      <w:r>
        <w:rPr>
          <w:rFonts w:hint="eastAsia"/>
        </w:rPr>
        <w:t>《宪法》第</w:t>
      </w:r>
      <w:r>
        <w:t>33</w:t>
      </w:r>
      <w:r>
        <w:rPr>
          <w:rFonts w:hint="eastAsia"/>
        </w:rPr>
        <w:t>条责成国家把所有注意力专注于在</w:t>
      </w:r>
      <w:r>
        <w:rPr>
          <w:rFonts w:hint="eastAsia"/>
        </w:rPr>
        <w:t>2007</w:t>
      </w:r>
      <w:r>
        <w:rPr>
          <w:rFonts w:hint="eastAsia"/>
        </w:rPr>
        <w:t>年</w:t>
      </w:r>
      <w:r>
        <w:rPr>
          <w:rFonts w:hint="eastAsia"/>
        </w:rPr>
        <w:t>6</w:t>
      </w:r>
      <w:r>
        <w:rPr>
          <w:rFonts w:hint="eastAsia"/>
        </w:rPr>
        <w:t>月</w:t>
      </w:r>
      <w:r>
        <w:rPr>
          <w:rFonts w:hint="eastAsia"/>
        </w:rPr>
        <w:t>15</w:t>
      </w:r>
      <w:r>
        <w:rPr>
          <w:rFonts w:hint="eastAsia"/>
        </w:rPr>
        <w:t>日以前为制宪议会的成员举行一</w:t>
      </w:r>
      <w:r>
        <w:rPr>
          <w:rFonts w:hint="eastAsia"/>
        </w:rPr>
        <w:t>次自由和公平的选举，实际保证尼泊尔人民固有的国家主权权力。</w:t>
      </w:r>
    </w:p>
    <w:p w:rsidR="00000000" w:rsidRDefault="008739CC">
      <w:pPr>
        <w:ind w:firstLine="510"/>
      </w:pPr>
      <w:r>
        <w:t>3.</w:t>
      </w:r>
      <w:r>
        <w:tab/>
      </w:r>
      <w:r>
        <w:rPr>
          <w:rFonts w:hint="eastAsia"/>
        </w:rPr>
        <w:t>《宪法》第</w:t>
      </w:r>
      <w:r>
        <w:t>33</w:t>
      </w:r>
      <w:r>
        <w:rPr>
          <w:rFonts w:hint="eastAsia"/>
        </w:rPr>
        <w:t>条</w:t>
      </w:r>
      <w:r>
        <w:t>(h)</w:t>
      </w:r>
      <w:r>
        <w:rPr>
          <w:rFonts w:hint="eastAsia"/>
        </w:rPr>
        <w:t>项规定国家应履行义务，实行政策，确定所有公民获得教育、保健、住房、就业和粮食的主权。第</w:t>
      </w:r>
      <w:r>
        <w:rPr>
          <w:rFonts w:hint="eastAsia"/>
        </w:rPr>
        <w:t>33</w:t>
      </w:r>
      <w:r>
        <w:rPr>
          <w:rFonts w:hint="eastAsia"/>
        </w:rPr>
        <w:t>条</w:t>
      </w:r>
      <w:r>
        <w:t>(o)</w:t>
      </w:r>
      <w:r>
        <w:rPr>
          <w:rFonts w:hint="eastAsia"/>
        </w:rPr>
        <w:t>项还规定水资源等国内的现有自然资源应该基于国家的利益予以使用。</w:t>
      </w:r>
    </w:p>
    <w:p w:rsidR="00000000" w:rsidRDefault="008739CC">
      <w:pPr>
        <w:ind w:firstLine="510"/>
      </w:pPr>
      <w:r>
        <w:t>4.</w:t>
      </w:r>
      <w:r>
        <w:tab/>
      </w:r>
      <w:r>
        <w:rPr>
          <w:rFonts w:hint="eastAsia"/>
        </w:rPr>
        <w:t>此外，《宪法》第</w:t>
      </w:r>
      <w:r>
        <w:t>13</w:t>
      </w:r>
      <w:r>
        <w:rPr>
          <w:rFonts w:hint="eastAsia"/>
        </w:rPr>
        <w:t>条确保争取平等的权利。在法律的普遍适用上，国家不应基于宗教、种族、种姓、性别、社会出身、语言、意识形态的信念或任何此类因素而对公民实行歧视。</w:t>
      </w:r>
    </w:p>
    <w:p w:rsidR="00000000" w:rsidRDefault="008739CC">
      <w:pPr>
        <w:ind w:firstLine="510"/>
      </w:pPr>
      <w:r>
        <w:t>5.</w:t>
      </w:r>
      <w:r>
        <w:tab/>
      </w:r>
      <w:r>
        <w:rPr>
          <w:rFonts w:hint="eastAsia"/>
        </w:rPr>
        <w:t>另外，《宪法》第</w:t>
      </w:r>
      <w:r>
        <w:t>14</w:t>
      </w:r>
      <w:r>
        <w:rPr>
          <w:rFonts w:hint="eastAsia"/>
        </w:rPr>
        <w:t>条规定禁止贱民制度和基于种姓的歧视制度。第</w:t>
      </w:r>
      <w:r>
        <w:t>20</w:t>
      </w:r>
      <w:r>
        <w:rPr>
          <w:rFonts w:hint="eastAsia"/>
        </w:rPr>
        <w:t>条承认一套个别的权利，</w:t>
      </w:r>
      <w:r>
        <w:rPr>
          <w:rFonts w:hint="eastAsia"/>
        </w:rPr>
        <w:t>作为妇女的权利。《宪法》第</w:t>
      </w:r>
      <w:r>
        <w:t>18</w:t>
      </w:r>
      <w:r>
        <w:rPr>
          <w:rFonts w:hint="eastAsia"/>
        </w:rPr>
        <w:t>条规定关于就业和社会保险的权利。妇女、劳工、老年公民、残疾人以及不能工作的和无助的公民应该有获得社会保险的权利，每一公民应该有获得该法中所规定的粮食主权的权利。《宪法》第</w:t>
      </w:r>
      <w:r>
        <w:t>29</w:t>
      </w:r>
      <w:r>
        <w:rPr>
          <w:rFonts w:hint="eastAsia"/>
        </w:rPr>
        <w:t>条保证不受剥削的权利。第</w:t>
      </w:r>
      <w:r>
        <w:t>30</w:t>
      </w:r>
      <w:r>
        <w:rPr>
          <w:rFonts w:hint="eastAsia"/>
        </w:rPr>
        <w:t>条确保每一雇员和工人应该有获得适当工作实践的权利。每一雇员和工人应该有组成工会、组织起来、为根据法律保护其权利而实行集体谈判的权利。《宪法》第</w:t>
      </w:r>
      <w:r>
        <w:t>16</w:t>
      </w:r>
      <w:r>
        <w:rPr>
          <w:rFonts w:hint="eastAsia"/>
        </w:rPr>
        <w:t>条规定人人应有居住在干净环境中的权利。它还规定每一公民应有权从国家免费获得法律规定的基本保健服务。《宪法》第</w:t>
      </w:r>
      <w:r>
        <w:t>17</w:t>
      </w:r>
      <w:r>
        <w:rPr>
          <w:rFonts w:hint="eastAsia"/>
        </w:rPr>
        <w:t>条确保每一族群应有权获</w:t>
      </w:r>
      <w:r>
        <w:rPr>
          <w:rFonts w:hint="eastAsia"/>
        </w:rPr>
        <w:t>得以母语授课的基本教育，而且每一公民应有权获得法律规定的不高于中学程度的免费教育。它也确保居住在尼泊尔的每一族群应有权保存和促进其语言、文字、文化、传统文明和遗产。</w:t>
      </w:r>
    </w:p>
    <w:p w:rsidR="00000000" w:rsidRDefault="008739CC">
      <w:pPr>
        <w:ind w:firstLine="510"/>
      </w:pPr>
      <w:r>
        <w:t>6.</w:t>
      </w:r>
      <w:r>
        <w:tab/>
      </w:r>
      <w:r>
        <w:rPr>
          <w:rFonts w:hint="eastAsia"/>
        </w:rPr>
        <w:t>遇有侵害上述权利的情事，《宪法》第</w:t>
      </w:r>
      <w:r>
        <w:rPr>
          <w:rFonts w:hint="eastAsia"/>
        </w:rPr>
        <w:t>32</w:t>
      </w:r>
      <w:r>
        <w:rPr>
          <w:rFonts w:hint="eastAsia"/>
        </w:rPr>
        <w:t>条规定了补救办法。</w:t>
      </w:r>
    </w:p>
    <w:p w:rsidR="00000000" w:rsidRDefault="008739CC">
      <w:pPr>
        <w:spacing w:after="240"/>
        <w:ind w:firstLine="510"/>
      </w:pPr>
      <w:r>
        <w:t>7.</w:t>
      </w:r>
      <w:r>
        <w:tab/>
      </w:r>
      <w:r>
        <w:rPr>
          <w:rFonts w:hint="eastAsia"/>
        </w:rPr>
        <w:t>因此，《</w:t>
      </w:r>
      <w:r>
        <w:rPr>
          <w:rFonts w:hint="eastAsia"/>
        </w:rPr>
        <w:t>2007</w:t>
      </w:r>
      <w:r>
        <w:rPr>
          <w:rFonts w:hint="eastAsia"/>
        </w:rPr>
        <w:t>年尼泊尔临时宪法》扩大并且提高了比以往在尼泊尔生效的任何宪法保证更多的经济、社会及文化权利的基础。</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hint="eastAsia"/>
          <w:b/>
          <w:u w:val="none"/>
        </w:rPr>
        <w:t>2</w:t>
      </w:r>
      <w:r>
        <w:rPr>
          <w:rFonts w:ascii="Time New Roman" w:eastAsia="SimHei" w:hAnsi="Time New Roman"/>
          <w:u w:val="none"/>
        </w:rPr>
        <w:t xml:space="preserve">.  </w:t>
      </w:r>
      <w:r>
        <w:rPr>
          <w:rFonts w:ascii="Time New Roman" w:eastAsia="SimHei" w:hAnsi="Time New Roman" w:hint="eastAsia"/>
          <w:u w:val="none"/>
        </w:rPr>
        <w:t>《尼泊尔国家人权行动计划》执行情况</w:t>
      </w:r>
    </w:p>
    <w:p w:rsidR="00000000" w:rsidRDefault="008739CC">
      <w:pPr>
        <w:ind w:firstLine="510"/>
      </w:pPr>
      <w:r>
        <w:t>8.</w:t>
      </w:r>
      <w:r>
        <w:tab/>
      </w:r>
      <w:r>
        <w:rPr>
          <w:rFonts w:hint="eastAsia"/>
        </w:rPr>
        <w:t>《国家人权行动计划》于</w:t>
      </w:r>
      <w:r>
        <w:rPr>
          <w:rFonts w:hint="eastAsia"/>
        </w:rPr>
        <w:t>2004</w:t>
      </w:r>
      <w:r>
        <w:rPr>
          <w:rFonts w:hint="eastAsia"/>
        </w:rPr>
        <w:t>年</w:t>
      </w:r>
      <w:r>
        <w:rPr>
          <w:rFonts w:hint="eastAsia"/>
        </w:rPr>
        <w:t>4</w:t>
      </w:r>
      <w:r>
        <w:rPr>
          <w:rFonts w:hint="eastAsia"/>
        </w:rPr>
        <w:t>月获得通过。它于</w:t>
      </w:r>
      <w:r>
        <w:rPr>
          <w:rFonts w:hint="eastAsia"/>
        </w:rPr>
        <w:t>2004</w:t>
      </w:r>
      <w:r>
        <w:rPr>
          <w:rFonts w:hint="eastAsia"/>
        </w:rPr>
        <w:t>年</w:t>
      </w:r>
      <w:r>
        <w:rPr>
          <w:rFonts w:hint="eastAsia"/>
        </w:rPr>
        <w:t>7</w:t>
      </w:r>
      <w:r>
        <w:rPr>
          <w:rFonts w:hint="eastAsia"/>
        </w:rPr>
        <w:t>月中正式生效。该《行动计划》确定了</w:t>
      </w:r>
      <w:r>
        <w:rPr>
          <w:rFonts w:hint="eastAsia"/>
        </w:rPr>
        <w:t>12</w:t>
      </w:r>
      <w:r>
        <w:rPr>
          <w:rFonts w:hint="eastAsia"/>
        </w:rPr>
        <w:t>个关注</w:t>
      </w:r>
      <w:r>
        <w:rPr>
          <w:rFonts w:hint="eastAsia"/>
        </w:rPr>
        <w:t>领域，例如教育和文化、保健、环境与可持续发展；达利特人、具有特殊能力的土著居民和老年公民的权利；妇女赋权；性别平等和公平以及妇女权利；儿童权利和发展；法律改革；司法行政和管理；监狱管理和改革；劳动就业；冲突管理；以及体制加固。</w:t>
      </w:r>
    </w:p>
    <w:p w:rsidR="00000000" w:rsidRDefault="008739CC">
      <w:pPr>
        <w:ind w:firstLine="510"/>
      </w:pPr>
      <w:r>
        <w:t>9.</w:t>
      </w:r>
      <w:r>
        <w:tab/>
      </w:r>
      <w:r>
        <w:rPr>
          <w:rFonts w:hint="eastAsia"/>
        </w:rPr>
        <w:t>尽管国家处于内部武装冲突和紧急状态，缺乏代表性机构，例如民选议会和在执行《国家人权行动计划》的两年半期间对人民负责的政府，却为执行《国家人权行动计划》采取了许多具体步骤，在年度预算中获得较高的优先地位，已经采用性别预算概念。</w:t>
      </w:r>
    </w:p>
    <w:p w:rsidR="00000000" w:rsidRDefault="008739CC">
      <w:pPr>
        <w:ind w:firstLine="510"/>
      </w:pPr>
      <w:r>
        <w:t>10.</w:t>
      </w:r>
      <w:r>
        <w:tab/>
      </w:r>
      <w:r>
        <w:rPr>
          <w:rFonts w:hint="eastAsia"/>
        </w:rPr>
        <w:t>已经修改《教育法令和条例》，向全民普及基本教</w:t>
      </w:r>
      <w:r>
        <w:rPr>
          <w:rFonts w:hint="eastAsia"/>
        </w:rPr>
        <w:t>育。妇女、边缘化的达利特人和贫困的土著居民可以获得奖学金和</w:t>
      </w:r>
      <w:r>
        <w:rPr>
          <w:rFonts w:hint="eastAsia"/>
        </w:rPr>
        <w:t>(</w:t>
      </w:r>
      <w:r>
        <w:rPr>
          <w:rFonts w:hint="eastAsia"/>
        </w:rPr>
        <w:t>或</w:t>
      </w:r>
      <w:r>
        <w:rPr>
          <w:rFonts w:hint="eastAsia"/>
        </w:rPr>
        <w:t>)</w:t>
      </w:r>
      <w:r>
        <w:rPr>
          <w:rFonts w:hint="eastAsia"/>
        </w:rPr>
        <w:t>不超过中学程度的免费教育，技术教育方案为有特殊需要的人民保留配额。虽然获得基本保健的权利不曾得到以往《宪法》或任何法律的承认，妇女生殖健康、小儿麻痹症疫苗和维生素甲等婴儿及儿童用品的设施、设备、人力资源和服务却增加了。结果，产妇和儿童及婴儿的死亡率大为下降。</w:t>
      </w:r>
    </w:p>
    <w:p w:rsidR="00000000" w:rsidRDefault="008739CC">
      <w:pPr>
        <w:ind w:firstLine="510"/>
      </w:pPr>
      <w:r>
        <w:t>11.</w:t>
      </w:r>
      <w:r>
        <w:tab/>
      </w:r>
      <w:r>
        <w:rPr>
          <w:rFonts w:hint="eastAsia"/>
        </w:rPr>
        <w:t>在这段期间开办了各种各样的环境宣传计划。尼泊尔加入为《气候变化框架公约京都议定书》的缔约国。</w:t>
      </w:r>
    </w:p>
    <w:p w:rsidR="00000000" w:rsidRDefault="008739CC">
      <w:pPr>
        <w:ind w:firstLine="510"/>
      </w:pPr>
      <w:r>
        <w:t>12.</w:t>
      </w:r>
      <w:r>
        <w:tab/>
      </w:r>
      <w:r>
        <w:rPr>
          <w:rFonts w:hint="eastAsia"/>
        </w:rPr>
        <w:t>另外，在本次审查所涉期间内，已经规定：基于种姓的歧视或贱民制度是犯罪行为。最近</w:t>
      </w:r>
      <w:r>
        <w:rPr>
          <w:rFonts w:hint="eastAsia"/>
        </w:rPr>
        <w:t>，议会制定了保护全国老年公民的《</w:t>
      </w:r>
      <w:r>
        <w:rPr>
          <w:rFonts w:hint="eastAsia"/>
        </w:rPr>
        <w:t>2006</w:t>
      </w:r>
      <w:r>
        <w:rPr>
          <w:rFonts w:hint="eastAsia"/>
        </w:rPr>
        <w:t>年老年公民法》。将妇女、达利特人、土著人民、平原人和其他边缘化族群列入保护范围以后，将形成国家改革和社会正义的基础。《</w:t>
      </w:r>
      <w:r>
        <w:rPr>
          <w:rFonts w:hint="eastAsia"/>
        </w:rPr>
        <w:t>2006</w:t>
      </w:r>
      <w:r>
        <w:rPr>
          <w:rFonts w:hint="eastAsia"/>
        </w:rPr>
        <w:t>年青少年司法程序规则》已经获得通过。</w:t>
      </w:r>
    </w:p>
    <w:p w:rsidR="00000000" w:rsidRDefault="008739CC">
      <w:pPr>
        <w:ind w:firstLine="510"/>
        <w:rPr>
          <w:rFonts w:hint="eastAsia"/>
        </w:rPr>
      </w:pPr>
      <w:r>
        <w:t>13.</w:t>
      </w:r>
      <w:r>
        <w:tab/>
      </w:r>
      <w:r>
        <w:rPr>
          <w:rFonts w:hint="eastAsia"/>
        </w:rPr>
        <w:t>《宪法》第</w:t>
      </w:r>
      <w:r>
        <w:t>20</w:t>
      </w:r>
      <w:r>
        <w:rPr>
          <w:rFonts w:hint="eastAsia"/>
        </w:rPr>
        <w:t>条确保妇女的权利，其中包括继承父母财产的权利。已经在</w:t>
      </w:r>
      <w:r>
        <w:rPr>
          <w:rFonts w:hint="eastAsia"/>
        </w:rPr>
        <w:t>2006</w:t>
      </w:r>
      <w:r>
        <w:rPr>
          <w:rFonts w:hint="eastAsia"/>
        </w:rPr>
        <w:t>年制定新的《公民法》，以消除基于性别的歧视性规定。目前，根据该法的规定，儿童有权根据母亲的公民权取得公民资格。</w:t>
      </w:r>
      <w:r>
        <w:rPr>
          <w:rFonts w:hint="eastAsia"/>
        </w:rPr>
        <w:t>2007</w:t>
      </w:r>
      <w:r>
        <w:rPr>
          <w:rFonts w:hint="eastAsia"/>
        </w:rPr>
        <w:t>年，在对若干条例进行修订以后所制定的《维持性别平等条例》在很大程度上消除了各种法律中的一切歧视性规定，包括《</w:t>
      </w:r>
      <w:r>
        <w:rPr>
          <w:rFonts w:hint="eastAsia"/>
        </w:rPr>
        <w:t>王国法》。已经规定：婚内强奸和性骚扰是犯罪行为。《全国妇女事务委员会条例》已经颁布。</w:t>
      </w:r>
    </w:p>
    <w:p w:rsidR="00000000" w:rsidRDefault="008739CC">
      <w:pPr>
        <w:ind w:firstLine="510"/>
      </w:pPr>
      <w:r>
        <w:t>14.</w:t>
      </w:r>
      <w:r>
        <w:tab/>
      </w:r>
      <w:r>
        <w:rPr>
          <w:rFonts w:hint="eastAsia"/>
        </w:rPr>
        <w:t>司法部制定了使全民能够利用司法的《五年战略计划》。简化了法院程序并且采用调停等替代性解决争端方式。法律、司法和议会事务部，作为调和国内法和国际人权文书的程序的一部分，进行了一项研究。因此，开始了对有关法律的修订程序。此外，还在</w:t>
      </w:r>
      <w:r>
        <w:rPr>
          <w:rFonts w:hint="eastAsia"/>
        </w:rPr>
        <w:t>4</w:t>
      </w:r>
      <w:r>
        <w:rPr>
          <w:rFonts w:hint="eastAsia"/>
        </w:rPr>
        <w:t>个区域中心为执法机构的工作人员，包括安全官员、地方机关的行政干事、法院人员和政府的法律事务代理人举办人权法律培训班。</w:t>
      </w:r>
    </w:p>
    <w:p w:rsidR="00000000" w:rsidRDefault="008739CC">
      <w:pPr>
        <w:ind w:firstLine="510"/>
        <w:rPr>
          <w:color w:val="FF0000"/>
        </w:rPr>
      </w:pPr>
      <w:r>
        <w:t>15.</w:t>
      </w:r>
      <w:r>
        <w:tab/>
      </w:r>
      <w:r>
        <w:rPr>
          <w:rFonts w:hint="eastAsia"/>
        </w:rPr>
        <w:t>已经修订《监狱法》，首次在尼泊尔采用开放监狱和社区监狱系统的概念</w:t>
      </w:r>
      <w:r>
        <w:rPr>
          <w:rFonts w:hint="eastAsia"/>
        </w:rPr>
        <w:t>。正在兴建具有较佳设施的一些新牢房。</w:t>
      </w:r>
    </w:p>
    <w:p w:rsidR="00000000" w:rsidRDefault="008739CC">
      <w:pPr>
        <w:ind w:firstLine="510"/>
      </w:pPr>
      <w:r>
        <w:t>16.</w:t>
      </w:r>
      <w:r>
        <w:tab/>
      </w:r>
      <w:r>
        <w:rPr>
          <w:rFonts w:hint="eastAsia"/>
        </w:rPr>
        <w:t>尼泊尔政府和尼泊尔共产党</w:t>
      </w:r>
      <w:r>
        <w:rPr>
          <w:rFonts w:hint="eastAsia"/>
        </w:rPr>
        <w:t>(</w:t>
      </w:r>
      <w:r>
        <w:rPr>
          <w:rFonts w:hint="eastAsia"/>
        </w:rPr>
        <w:t>毛派</w:t>
      </w:r>
      <w:r>
        <w:rPr>
          <w:rFonts w:hint="eastAsia"/>
        </w:rPr>
        <w:t>)</w:t>
      </w:r>
      <w:r>
        <w:rPr>
          <w:rFonts w:hint="eastAsia"/>
        </w:rPr>
        <w:t>于</w:t>
      </w:r>
      <w:r>
        <w:rPr>
          <w:rFonts w:hint="eastAsia"/>
        </w:rPr>
        <w:t>2006</w:t>
      </w:r>
      <w:r>
        <w:rPr>
          <w:rFonts w:hint="eastAsia"/>
        </w:rPr>
        <w:t>年</w:t>
      </w:r>
      <w:r>
        <w:rPr>
          <w:rFonts w:hint="eastAsia"/>
        </w:rPr>
        <w:t>11</w:t>
      </w:r>
      <w:r>
        <w:rPr>
          <w:rFonts w:hint="eastAsia"/>
        </w:rPr>
        <w:t>月</w:t>
      </w:r>
      <w:r>
        <w:rPr>
          <w:rFonts w:hint="eastAsia"/>
        </w:rPr>
        <w:t>21</w:t>
      </w:r>
      <w:r>
        <w:rPr>
          <w:rFonts w:hint="eastAsia"/>
        </w:rPr>
        <w:t>日缔结的《全面和平协定》规定设立国家和平与恢复正常生活委员会以及真相与和解委员会。已经作出安排，将国内流离失所人员送回原籍地。政府为了促进归返的过程，向归返者提供财政援助，并为归返创设有利环境。料想这一切努力有助于忘记以往的痛苦冲突，并且有助于在全国建立恢复持久和平的过程。</w:t>
      </w:r>
    </w:p>
    <w:p w:rsidR="00000000" w:rsidRDefault="008739CC">
      <w:pPr>
        <w:spacing w:after="240"/>
        <w:ind w:firstLine="510"/>
      </w:pPr>
      <w:r>
        <w:t>17.</w:t>
      </w:r>
      <w:r>
        <w:tab/>
      </w:r>
      <w:r>
        <w:rPr>
          <w:rFonts w:hint="eastAsia"/>
        </w:rPr>
        <w:t>政府已经审查《国家人权行动计划》，考虑将其延长三年。将人权部分纳入《</w:t>
      </w:r>
      <w:r>
        <w:rPr>
          <w:rFonts w:hint="eastAsia"/>
        </w:rPr>
        <w:t>2007</w:t>
      </w:r>
      <w:r>
        <w:t>-</w:t>
      </w:r>
      <w:r>
        <w:rPr>
          <w:rFonts w:hint="eastAsia"/>
        </w:rPr>
        <w:t>2010</w:t>
      </w:r>
      <w:r>
        <w:rPr>
          <w:rFonts w:hint="eastAsia"/>
        </w:rPr>
        <w:t>年临时发展计划》的工作正在进行。</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3</w:t>
      </w:r>
      <w:r>
        <w:rPr>
          <w:rFonts w:ascii="Time New Roman" w:eastAsia="SimHei" w:hAnsi="Time New Roman"/>
          <w:u w:val="none"/>
        </w:rPr>
        <w:t>.</w:t>
      </w:r>
      <w:r>
        <w:rPr>
          <w:rFonts w:ascii="Time New Roman" w:eastAsia="SimHei" w:hAnsi="Time New Roman"/>
          <w:u w:val="none"/>
        </w:rPr>
        <w:t xml:space="preserve">  </w:t>
      </w:r>
      <w:r>
        <w:rPr>
          <w:rFonts w:ascii="Time New Roman" w:eastAsia="SimHei" w:hAnsi="Time New Roman" w:hint="eastAsia"/>
          <w:u w:val="none"/>
        </w:rPr>
        <w:t>对各项人权原则承担义务</w:t>
      </w:r>
    </w:p>
    <w:p w:rsidR="00000000" w:rsidRDefault="008739CC">
      <w:pPr>
        <w:ind w:firstLine="510"/>
      </w:pPr>
      <w:r>
        <w:t>18.</w:t>
      </w:r>
      <w:r>
        <w:tab/>
      </w:r>
      <w:r>
        <w:rPr>
          <w:rFonts w:hint="eastAsia"/>
        </w:rPr>
        <w:t>提出</w:t>
      </w:r>
      <w:r>
        <w:t>25</w:t>
      </w:r>
      <w:r>
        <w:rPr>
          <w:rFonts w:hint="eastAsia"/>
        </w:rPr>
        <w:t>点承诺</w:t>
      </w:r>
      <w:r>
        <w:t>(</w:t>
      </w:r>
      <w:r>
        <w:rPr>
          <w:rFonts w:hint="eastAsia"/>
        </w:rPr>
        <w:t>见本报告附件一</w:t>
      </w:r>
      <w:r>
        <w:t>)</w:t>
      </w:r>
      <w:r>
        <w:rPr>
          <w:rFonts w:hint="eastAsia"/>
        </w:rPr>
        <w:t>的时候，国内冲突处于高峰状态，没有负责任的政府或民选的议会，全国处于紧急状态。这些承诺是从当时的</w:t>
      </w:r>
      <w:r>
        <w:t>1990</w:t>
      </w:r>
      <w:r>
        <w:rPr>
          <w:rFonts w:hint="eastAsia"/>
        </w:rPr>
        <w:t>年《宪法》衍生出来的，就是说，承诺中所提到的大部分规定已经载于该《宪法》。目前被列入《</w:t>
      </w:r>
      <w:r>
        <w:t>2007</w:t>
      </w:r>
      <w:r>
        <w:rPr>
          <w:rFonts w:hint="eastAsia"/>
        </w:rPr>
        <w:t>年临时宪法》和其他法律，包括《</w:t>
      </w:r>
      <w:r>
        <w:t>1992</w:t>
      </w:r>
      <w:r>
        <w:rPr>
          <w:rFonts w:hint="eastAsia"/>
        </w:rPr>
        <w:t>年国家案例法》、《王国法》、《</w:t>
      </w:r>
      <w:r>
        <w:t>1954</w:t>
      </w:r>
      <w:r>
        <w:rPr>
          <w:rFonts w:hint="eastAsia"/>
        </w:rPr>
        <w:t>年公民自由法》、《</w:t>
      </w:r>
      <w:r>
        <w:rPr>
          <w:rFonts w:hint="eastAsia"/>
        </w:rPr>
        <w:t>1963</w:t>
      </w:r>
      <w:r>
        <w:rPr>
          <w:rFonts w:hint="eastAsia"/>
        </w:rPr>
        <w:t>年监狱法》、《</w:t>
      </w:r>
      <w:r>
        <w:t>1992</w:t>
      </w:r>
      <w:r>
        <w:rPr>
          <w:rFonts w:hint="eastAsia"/>
        </w:rPr>
        <w:t>年司法裁判法》、《</w:t>
      </w:r>
      <w:r>
        <w:t>1992</w:t>
      </w:r>
      <w:r>
        <w:rPr>
          <w:rFonts w:hint="eastAsia"/>
        </w:rPr>
        <w:t>年最高法院法》和《</w:t>
      </w:r>
      <w:r>
        <w:t>1997</w:t>
      </w:r>
      <w:r>
        <w:rPr>
          <w:rFonts w:hint="eastAsia"/>
        </w:rPr>
        <w:t>年人权委员会条例》。</w:t>
      </w:r>
    </w:p>
    <w:p w:rsidR="00000000" w:rsidRDefault="008739CC">
      <w:pPr>
        <w:ind w:firstLine="510"/>
        <w:rPr>
          <w:color w:val="0000FF"/>
        </w:rPr>
      </w:pPr>
      <w:r>
        <w:t>19.</w:t>
      </w:r>
      <w:r>
        <w:tab/>
      </w:r>
      <w:r>
        <w:rPr>
          <w:rFonts w:hint="eastAsia"/>
        </w:rPr>
        <w:t>在冲突期间被囚禁在监狱里的所有人员已经释</w:t>
      </w:r>
      <w:r>
        <w:rPr>
          <w:rFonts w:hint="eastAsia"/>
        </w:rPr>
        <w:t>放，提交法院审理的案件也已撤销。尼泊尔政府和尼泊尔共产党</w:t>
      </w:r>
      <w:r>
        <w:rPr>
          <w:rFonts w:hint="eastAsia"/>
        </w:rPr>
        <w:t>(</w:t>
      </w:r>
      <w:r>
        <w:rPr>
          <w:rFonts w:hint="eastAsia"/>
        </w:rPr>
        <w:t>毛派</w:t>
      </w:r>
      <w:r>
        <w:rPr>
          <w:rFonts w:hint="eastAsia"/>
        </w:rPr>
        <w:t>)</w:t>
      </w:r>
      <w:r>
        <w:rPr>
          <w:rFonts w:hint="eastAsia"/>
        </w:rPr>
        <w:t>于</w:t>
      </w:r>
      <w:r>
        <w:rPr>
          <w:rFonts w:hint="eastAsia"/>
        </w:rPr>
        <w:t>2006</w:t>
      </w:r>
      <w:r>
        <w:rPr>
          <w:rFonts w:hint="eastAsia"/>
        </w:rPr>
        <w:t>年</w:t>
      </w:r>
      <w:r>
        <w:rPr>
          <w:rFonts w:hint="eastAsia"/>
        </w:rPr>
        <w:t>11</w:t>
      </w:r>
      <w:r>
        <w:rPr>
          <w:rFonts w:hint="eastAsia"/>
        </w:rPr>
        <w:t>月</w:t>
      </w:r>
      <w:r>
        <w:rPr>
          <w:rFonts w:hint="eastAsia"/>
        </w:rPr>
        <w:t>21</w:t>
      </w:r>
      <w:r>
        <w:rPr>
          <w:rFonts w:hint="eastAsia"/>
        </w:rPr>
        <w:t>日签署的《全面和平协定》表示愿意披露在冲突期间所有失踪或被杀害人员的姓名和地址。</w:t>
      </w:r>
    </w:p>
    <w:p w:rsidR="00000000" w:rsidRDefault="008739CC">
      <w:pPr>
        <w:spacing w:after="240"/>
        <w:ind w:firstLine="510"/>
      </w:pPr>
      <w:r>
        <w:t>20.</w:t>
      </w:r>
      <w:r>
        <w:tab/>
      </w:r>
      <w:r>
        <w:rPr>
          <w:rFonts w:hint="eastAsia"/>
        </w:rPr>
        <w:t>如上所述，《全面和平协定》中规定成立高级别的真相与和解委员会，负责调查冲突期间参加大规模侵害人权事件人员和危害人类罪行人员，在社会上创造和谐与和解。该《协定》也规定成立国家和平与恢复正常生活委员会，以便推动恢复的进程，并向冲突中的受害人员提供救济支助，使困难的局势恢复正常和稳定。国家人权委员会已经升格为宪政机关，具有更高的自主性和权力</w:t>
      </w:r>
      <w:r>
        <w:rPr>
          <w:rFonts w:hint="eastAsia"/>
        </w:rPr>
        <w:t>。</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4</w:t>
      </w:r>
      <w:r>
        <w:rPr>
          <w:rFonts w:ascii="Time New Roman" w:eastAsia="SimHei" w:hAnsi="Time New Roman"/>
          <w:u w:val="none"/>
        </w:rPr>
        <w:t xml:space="preserve">.  </w:t>
      </w:r>
      <w:r>
        <w:rPr>
          <w:rFonts w:ascii="Time New Roman" w:eastAsia="SimHei" w:hAnsi="Time New Roman" w:hint="eastAsia"/>
          <w:u w:val="none"/>
        </w:rPr>
        <w:t>《全面和平协定》中考虑到的经济、社会及文化权利的有关资料</w:t>
      </w:r>
      <w:r>
        <w:rPr>
          <w:rFonts w:ascii="Time New Roman" w:eastAsia="SimHei" w:hAnsi="Time New Roman"/>
          <w:u w:val="none"/>
        </w:rPr>
        <w:t xml:space="preserve"> </w:t>
      </w:r>
    </w:p>
    <w:p w:rsidR="00000000" w:rsidRDefault="008739CC">
      <w:pPr>
        <w:ind w:firstLine="510"/>
      </w:pPr>
      <w:r>
        <w:t>21.</w:t>
      </w:r>
      <w:r>
        <w:tab/>
      </w:r>
      <w:r>
        <w:rPr>
          <w:rFonts w:hint="eastAsia"/>
        </w:rPr>
        <w:t>尼泊尔政府和尼泊尔共产党</w:t>
      </w:r>
      <w:r>
        <w:rPr>
          <w:rFonts w:hint="eastAsia"/>
        </w:rPr>
        <w:t>(</w:t>
      </w:r>
      <w:r>
        <w:rPr>
          <w:rFonts w:hint="eastAsia"/>
        </w:rPr>
        <w:t>毛派</w:t>
      </w:r>
      <w:r>
        <w:rPr>
          <w:rFonts w:hint="eastAsia"/>
        </w:rPr>
        <w:t>)</w:t>
      </w:r>
      <w:r>
        <w:rPr>
          <w:rFonts w:hint="eastAsia"/>
        </w:rPr>
        <w:t>于</w:t>
      </w:r>
      <w:r>
        <w:rPr>
          <w:rFonts w:hint="eastAsia"/>
        </w:rPr>
        <w:t>2006</w:t>
      </w:r>
      <w:r>
        <w:rPr>
          <w:rFonts w:hint="eastAsia"/>
        </w:rPr>
        <w:t>年</w:t>
      </w:r>
      <w:r>
        <w:rPr>
          <w:rFonts w:hint="eastAsia"/>
        </w:rPr>
        <w:t>11</w:t>
      </w:r>
      <w:r>
        <w:rPr>
          <w:rFonts w:hint="eastAsia"/>
        </w:rPr>
        <w:t>月</w:t>
      </w:r>
      <w:r>
        <w:rPr>
          <w:rFonts w:hint="eastAsia"/>
        </w:rPr>
        <w:t>21</w:t>
      </w:r>
      <w:r>
        <w:rPr>
          <w:rFonts w:hint="eastAsia"/>
        </w:rPr>
        <w:t>日缔结的《全面和平协定》中有若干规定涉及经济、社会及文化权利。双方同意停止一切形式的封建主义、根据共同的理解阐明并执行关于社会经济改革的最低限度共同计划、制定科学的土地改革政策、保障有关教育、保健、住房、就业和粮食安全的权利。同样，他们也已经同意采取政策，向没有土地的债役工、农夫、牧人和在社会经济上落后的其他此类族群提供土地和社会经济安全。</w:t>
      </w:r>
    </w:p>
    <w:p w:rsidR="00000000" w:rsidRDefault="008739CC">
      <w:pPr>
        <w:ind w:firstLine="510"/>
      </w:pPr>
      <w:r>
        <w:t>22.</w:t>
      </w:r>
      <w:r>
        <w:tab/>
      </w:r>
      <w:r>
        <w:rPr>
          <w:rFonts w:hint="eastAsia"/>
        </w:rPr>
        <w:t>此外，还保证拟订一套共</w:t>
      </w:r>
      <w:r>
        <w:rPr>
          <w:rFonts w:hint="eastAsia"/>
        </w:rPr>
        <w:t>同发展观念，规划国家的社会、经济改革路线；以较快的速度促进国家的经济繁荣；终结目前的中央集权和单一的国家体系，为此实行改组，使它成为一个具有包容性的民主、进步制度，解决与性别、达利特人、土著族群、平原人、被压迫人民和被边缘化人民以及少数族群和落后地区有关的问题，首先必须终结当前盛行的阶级、族裔、语言、性别、文化、宗教和区域歧视，这些是《协定》中一些重要的规定。</w:t>
      </w:r>
    </w:p>
    <w:p w:rsidR="00000000" w:rsidRDefault="008739CC">
      <w:pPr>
        <w:ind w:firstLine="510"/>
      </w:pPr>
      <w:r>
        <w:t>23.</w:t>
      </w:r>
      <w:r>
        <w:tab/>
      </w:r>
      <w:r>
        <w:rPr>
          <w:rFonts w:hint="eastAsia"/>
        </w:rPr>
        <w:t>以下是《协定》的一些显著特征：</w:t>
      </w:r>
    </w:p>
    <w:p w:rsidR="00000000" w:rsidRDefault="008739CC">
      <w:pPr>
        <w:numPr>
          <w:ilvl w:val="0"/>
          <w:numId w:val="171"/>
        </w:numPr>
        <w:tabs>
          <w:tab w:val="clear" w:pos="1190"/>
          <w:tab w:val="num" w:pos="1450"/>
        </w:tabs>
        <w:ind w:left="1450"/>
      </w:pPr>
      <w:r>
        <w:rPr>
          <w:rFonts w:hint="eastAsia"/>
        </w:rPr>
        <w:t>《协定》保证终止为期十年，已经导致一万三千人丧生的武装冲突，重新展示可持续的和平，使普世公认的人权，包括经济</w:t>
      </w:r>
      <w:r>
        <w:rPr>
          <w:rFonts w:hint="eastAsia"/>
        </w:rPr>
        <w:t>、社会、文化权利，充分得到遵守和尊重。《和平协定》将保护和促进人权列为最高优先事项，作为特殊条款将其列入单独的一章。认识到民主、发展和和平无法在经济、社会和文化权利不受尊重的社会中滋长，《协定》规定终止一切形式的歧视，使边缘化和受排斥的人融入国家的主流社会。它也着重指出，双方保证充分遵守《世界人权宣言》、国际人道主义法和涉及经济、社会及文化权利等人权的基本原则</w:t>
      </w:r>
      <w:r>
        <w:t>(</w:t>
      </w:r>
      <w:r>
        <w:rPr>
          <w:rFonts w:hint="eastAsia"/>
        </w:rPr>
        <w:t>第五序言段，和第</w:t>
      </w:r>
      <w:r>
        <w:t>3</w:t>
      </w:r>
      <w:r>
        <w:rPr>
          <w:rFonts w:hint="eastAsia"/>
        </w:rPr>
        <w:t>条</w:t>
      </w:r>
      <w:r>
        <w:t>)</w:t>
      </w:r>
      <w:r>
        <w:rPr>
          <w:rFonts w:hint="eastAsia"/>
        </w:rPr>
        <w:t>。尊重公认的基本人权、人民的主权、法治、社会正义、平等和人民的参与，这些规定载于该《协定》</w:t>
      </w:r>
      <w:r>
        <w:t xml:space="preserve"> (</w:t>
      </w:r>
      <w:r>
        <w:rPr>
          <w:rFonts w:hint="eastAsia"/>
        </w:rPr>
        <w:t>第</w:t>
      </w:r>
      <w:r>
        <w:t>3</w:t>
      </w:r>
      <w:r>
        <w:rPr>
          <w:rFonts w:hint="eastAsia"/>
        </w:rPr>
        <w:t>条、第</w:t>
      </w:r>
      <w:r>
        <w:t>4</w:t>
      </w:r>
      <w:r>
        <w:rPr>
          <w:rFonts w:hint="eastAsia"/>
        </w:rPr>
        <w:t>条</w:t>
      </w:r>
      <w:r>
        <w:t>)</w:t>
      </w:r>
      <w:r>
        <w:t>；</w:t>
      </w:r>
    </w:p>
    <w:p w:rsidR="00000000" w:rsidRDefault="008739CC">
      <w:pPr>
        <w:numPr>
          <w:ilvl w:val="0"/>
          <w:numId w:val="171"/>
        </w:numPr>
        <w:tabs>
          <w:tab w:val="clear" w:pos="1190"/>
          <w:tab w:val="num" w:pos="1450"/>
        </w:tabs>
        <w:ind w:left="1450"/>
      </w:pPr>
      <w:r>
        <w:rPr>
          <w:rFonts w:hint="eastAsia"/>
        </w:rPr>
        <w:t>《协定》保证</w:t>
      </w:r>
      <w:r>
        <w:rPr>
          <w:rFonts w:hint="eastAsia"/>
        </w:rPr>
        <w:t>执行促进经济和社会改革的最低限度共同计划，终止一切形式的封建主义；制定政策，执行科学土地改革计划；制定政策，规定所有公民有权受教育、获得保健、住房、就业和粮食安全；制定政策，向没有土地的占居者、债役工、</w:t>
      </w:r>
      <w:r>
        <w:t>Halia, Harwa, Charwa (</w:t>
      </w:r>
      <w:r>
        <w:rPr>
          <w:rFonts w:hint="eastAsia"/>
        </w:rPr>
        <w:t>养牛人</w:t>
      </w:r>
      <w:r>
        <w:t xml:space="preserve">) </w:t>
      </w:r>
      <w:r>
        <w:rPr>
          <w:rFonts w:hint="eastAsia"/>
        </w:rPr>
        <w:t>和社会上经济落后的另外一些阶层提供土地和其他经济保护；</w:t>
      </w:r>
      <w:r>
        <w:t xml:space="preserve"> </w:t>
      </w:r>
      <w:r>
        <w:rPr>
          <w:rFonts w:hint="eastAsia"/>
        </w:rPr>
        <w:t>为促进社会经济发展制定共同发展计划；制定在工业、贸易和出口促进方面增进投资的政策，确保劳动者的职业权利，从而增加挣取收入的机会</w:t>
      </w:r>
      <w:r>
        <w:t>(</w:t>
      </w:r>
      <w:r>
        <w:rPr>
          <w:rFonts w:hint="eastAsia"/>
        </w:rPr>
        <w:t>第</w:t>
      </w:r>
      <w:r>
        <w:t>3.6-3.10</w:t>
      </w:r>
      <w:r>
        <w:rPr>
          <w:rFonts w:hint="eastAsia"/>
        </w:rPr>
        <w:t>条、第</w:t>
      </w:r>
      <w:r>
        <w:t>3.12</w:t>
      </w:r>
      <w:r>
        <w:rPr>
          <w:rFonts w:hint="eastAsia"/>
        </w:rPr>
        <w:t>条和第</w:t>
      </w:r>
      <w:r>
        <w:t>3.13</w:t>
      </w:r>
      <w:r>
        <w:rPr>
          <w:rFonts w:hint="eastAsia"/>
        </w:rPr>
        <w:t>条</w:t>
      </w:r>
      <w:r>
        <w:t>)</w:t>
      </w:r>
      <w:r>
        <w:t>；</w:t>
      </w:r>
    </w:p>
    <w:p w:rsidR="00000000" w:rsidRDefault="008739CC">
      <w:pPr>
        <w:numPr>
          <w:ilvl w:val="0"/>
          <w:numId w:val="171"/>
        </w:numPr>
        <w:tabs>
          <w:tab w:val="clear" w:pos="1190"/>
          <w:tab w:val="num" w:pos="1450"/>
        </w:tabs>
        <w:ind w:left="1450"/>
      </w:pPr>
      <w:r>
        <w:rPr>
          <w:rFonts w:hint="eastAsia"/>
        </w:rPr>
        <w:t>《协定》中载有一项</w:t>
      </w:r>
      <w:r>
        <w:rPr>
          <w:rFonts w:hint="eastAsia"/>
        </w:rPr>
        <w:t>单独的规定，重申双方愿意保护和促进人权，尊重国际人道主义法和社会、文化、宗教敏感性、以及宗教遗址和个人的宗教信仰；</w:t>
      </w:r>
    </w:p>
    <w:p w:rsidR="00000000" w:rsidRDefault="008739CC">
      <w:pPr>
        <w:numPr>
          <w:ilvl w:val="0"/>
          <w:numId w:val="171"/>
        </w:numPr>
        <w:tabs>
          <w:tab w:val="clear" w:pos="1190"/>
          <w:tab w:val="num" w:pos="1450"/>
        </w:tabs>
        <w:ind w:left="1450"/>
      </w:pPr>
      <w:r>
        <w:rPr>
          <w:rFonts w:hint="eastAsia"/>
        </w:rPr>
        <w:t>《协定》第</w:t>
      </w:r>
      <w:r>
        <w:t>7.5</w:t>
      </w:r>
      <w:r>
        <w:rPr>
          <w:rFonts w:hint="eastAsia"/>
        </w:rPr>
        <w:t>条明文规定，双方充分保证保护和促进人民的经济和社会权利。该条文的内容如下：</w:t>
      </w:r>
    </w:p>
    <w:p w:rsidR="00000000" w:rsidRDefault="008739CC">
      <w:pPr>
        <w:ind w:left="2080" w:firstLine="510"/>
        <w:rPr>
          <w:color w:val="000000"/>
        </w:rPr>
      </w:pPr>
      <w:r>
        <w:rPr>
          <w:rFonts w:hint="eastAsia"/>
          <w:color w:val="000000"/>
        </w:rPr>
        <w:t>“</w:t>
      </w:r>
      <w:r>
        <w:rPr>
          <w:color w:val="000000"/>
        </w:rPr>
        <w:t xml:space="preserve">7.5.1. </w:t>
      </w:r>
      <w:r>
        <w:rPr>
          <w:rFonts w:hint="eastAsia"/>
          <w:color w:val="000000"/>
        </w:rPr>
        <w:t xml:space="preserve"> </w:t>
      </w:r>
      <w:r>
        <w:rPr>
          <w:rFonts w:hint="eastAsia"/>
          <w:color w:val="000000"/>
        </w:rPr>
        <w:t>双方保证尊重和保护个人通过自己的选择或接受而就业的谋生权利。</w:t>
      </w:r>
    </w:p>
    <w:p w:rsidR="00000000" w:rsidRDefault="008739CC">
      <w:pPr>
        <w:ind w:left="2080" w:firstLine="510"/>
      </w:pPr>
      <w:r>
        <w:t>7.5.2.</w:t>
      </w:r>
      <w:r>
        <w:rPr>
          <w:rFonts w:hint="eastAsia"/>
        </w:rPr>
        <w:t xml:space="preserve"> </w:t>
      </w:r>
      <w:r>
        <w:t xml:space="preserve"> </w:t>
      </w:r>
      <w:r>
        <w:rPr>
          <w:rFonts w:hint="eastAsia"/>
        </w:rPr>
        <w:t>双方保证尊重和保证所有人民的粮食安全权利。双方仍然愿意承担义务，确保自由装船出货以及粮食、粮食产品和粮食谷物的使用和分配。</w:t>
      </w:r>
    </w:p>
    <w:p w:rsidR="00000000" w:rsidRDefault="008739CC">
      <w:pPr>
        <w:ind w:left="2080" w:firstLine="510"/>
      </w:pPr>
      <w:r>
        <w:t>7.5.3.</w:t>
      </w:r>
      <w:r>
        <w:rPr>
          <w:rFonts w:hint="eastAsia"/>
        </w:rPr>
        <w:t xml:space="preserve"> </w:t>
      </w:r>
      <w:r>
        <w:t xml:space="preserve"> </w:t>
      </w:r>
      <w:r>
        <w:rPr>
          <w:rFonts w:hint="eastAsia"/>
        </w:rPr>
        <w:t>双方都认识到公民的保健权利应该受到尊重和保护。不应该在医药的供应、保</w:t>
      </w:r>
      <w:r>
        <w:rPr>
          <w:rFonts w:hint="eastAsia"/>
        </w:rPr>
        <w:t>健服务和宣传教育方面设置障碍。双方也表示愿意对冲突期间受到伤害的人的治疗和复健承担义务。</w:t>
      </w:r>
    </w:p>
    <w:p w:rsidR="00000000" w:rsidRDefault="008739CC">
      <w:pPr>
        <w:ind w:left="2080" w:firstLine="510"/>
      </w:pPr>
      <w:r>
        <w:t xml:space="preserve">7.5.4. </w:t>
      </w:r>
      <w:r>
        <w:rPr>
          <w:rFonts w:hint="eastAsia"/>
        </w:rPr>
        <w:t xml:space="preserve"> </w:t>
      </w:r>
      <w:r>
        <w:rPr>
          <w:rFonts w:hint="eastAsia"/>
        </w:rPr>
        <w:t>认识到受教育的权利应该受到保证和尊重，双方都保证经常在教育机构中维持有利的学术环境。双方都同意立即停止妨碍教育工作的活动，例如诱拐教师和学生以及把校舍当作军营，作为军事用途。</w:t>
      </w:r>
    </w:p>
    <w:p w:rsidR="00000000" w:rsidRDefault="008739CC">
      <w:pPr>
        <w:ind w:left="2080" w:firstLine="510"/>
      </w:pPr>
      <w:r>
        <w:t>7.5.5.</w:t>
      </w:r>
      <w:r>
        <w:rPr>
          <w:rFonts w:hint="eastAsia"/>
        </w:rPr>
        <w:t xml:space="preserve"> </w:t>
      </w:r>
      <w:r>
        <w:t xml:space="preserve"> </w:t>
      </w:r>
      <w:r>
        <w:rPr>
          <w:rFonts w:hint="eastAsia"/>
        </w:rPr>
        <w:t>双方同意不应没收任何个人的私人财产。</w:t>
      </w:r>
    </w:p>
    <w:p w:rsidR="00000000" w:rsidRDefault="008739CC">
      <w:pPr>
        <w:ind w:left="2080" w:firstLine="510"/>
      </w:pPr>
      <w:r>
        <w:t xml:space="preserve">7.5.6. </w:t>
      </w:r>
      <w:r>
        <w:rPr>
          <w:rFonts w:hint="eastAsia"/>
        </w:rPr>
        <w:t xml:space="preserve"> </w:t>
      </w:r>
      <w:r>
        <w:rPr>
          <w:rFonts w:hint="eastAsia"/>
        </w:rPr>
        <w:t>双方都认为工业投资不应该受到阻扰，集体谈判的权利和社会保险应该受到尊重。它们也认为，如果发生劳资纠纷，应该以和平方式予以解决。双方同意尊重国际劳工组织所规定的工</w:t>
      </w:r>
      <w:r>
        <w:rPr>
          <w:rFonts w:hint="eastAsia"/>
        </w:rPr>
        <w:t>作权利。”</w:t>
      </w:r>
      <w:r>
        <w:t>；</w:t>
      </w:r>
    </w:p>
    <w:p w:rsidR="00000000" w:rsidRDefault="008739CC">
      <w:pPr>
        <w:numPr>
          <w:ilvl w:val="0"/>
          <w:numId w:val="171"/>
        </w:numPr>
        <w:tabs>
          <w:tab w:val="clear" w:pos="1190"/>
          <w:tab w:val="num" w:pos="1450"/>
        </w:tabs>
        <w:ind w:left="1450"/>
      </w:pPr>
      <w:r>
        <w:rPr>
          <w:rFonts w:hint="eastAsia"/>
        </w:rPr>
        <w:t>为了确保尊重经济、社会和文化权利，《协定》还规定继续由联合国人权高专办驻尼泊尔人员监督人权情况</w:t>
      </w:r>
      <w:r>
        <w:t>(</w:t>
      </w:r>
      <w:r>
        <w:rPr>
          <w:rFonts w:hint="eastAsia"/>
        </w:rPr>
        <w:t>第</w:t>
      </w:r>
      <w:r>
        <w:t>9.1</w:t>
      </w:r>
      <w:r>
        <w:rPr>
          <w:rFonts w:hint="eastAsia"/>
        </w:rPr>
        <w:t>条</w:t>
      </w:r>
      <w:r>
        <w:t>)</w:t>
      </w:r>
      <w:r>
        <w:rPr>
          <w:rFonts w:hint="eastAsia"/>
        </w:rPr>
        <w:t>。此外，也指定国家人权委员会继续监督人权情况</w:t>
      </w:r>
      <w:r>
        <w:t>(</w:t>
      </w:r>
      <w:r>
        <w:rPr>
          <w:rFonts w:hint="eastAsia"/>
        </w:rPr>
        <w:t>第</w:t>
      </w:r>
      <w:r>
        <w:t>9.4</w:t>
      </w:r>
      <w:r>
        <w:rPr>
          <w:rFonts w:hint="eastAsia"/>
        </w:rPr>
        <w:t>条</w:t>
      </w:r>
      <w:r>
        <w:t>)</w:t>
      </w:r>
      <w:r>
        <w:rPr>
          <w:rFonts w:hint="eastAsia"/>
        </w:rPr>
        <w:t>。</w:t>
      </w:r>
    </w:p>
    <w:p w:rsidR="00000000" w:rsidRDefault="008739CC">
      <w:pPr>
        <w:spacing w:after="240"/>
        <w:ind w:firstLine="510"/>
      </w:pPr>
      <w:r>
        <w:t>24.</w:t>
      </w:r>
      <w:r>
        <w:tab/>
      </w:r>
      <w:r>
        <w:rPr>
          <w:rFonts w:hint="eastAsia"/>
        </w:rPr>
        <w:t>以上所述说明该《协定》适当地纳入了《经济、社会、文化权利国际公约》中所载述的权利。</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5</w:t>
      </w:r>
      <w:r>
        <w:rPr>
          <w:rFonts w:ascii="Time New Roman" w:eastAsia="SimHei" w:hAnsi="Time New Roman"/>
          <w:u w:val="none"/>
        </w:rPr>
        <w:t xml:space="preserve">.  </w:t>
      </w:r>
      <w:r>
        <w:rPr>
          <w:rFonts w:ascii="Time New Roman" w:eastAsia="SimHei" w:hAnsi="Time New Roman" w:hint="eastAsia"/>
          <w:u w:val="none"/>
        </w:rPr>
        <w:t>涉及经济、社会和文化权利的案例法</w:t>
      </w:r>
    </w:p>
    <w:p w:rsidR="00000000" w:rsidRDefault="008739CC">
      <w:pPr>
        <w:spacing w:after="240"/>
        <w:ind w:firstLine="510"/>
      </w:pPr>
      <w:r>
        <w:t>25.</w:t>
      </w:r>
      <w:r>
        <w:tab/>
      </w:r>
      <w:r>
        <w:rPr>
          <w:u w:val="single"/>
        </w:rPr>
        <w:t>Madhav Basnet</w:t>
      </w:r>
      <w:r>
        <w:rPr>
          <w:rFonts w:hint="eastAsia"/>
          <w:u w:val="single"/>
        </w:rPr>
        <w:t>诉政府</w:t>
      </w:r>
      <w:r>
        <w:rPr>
          <w:rFonts w:hint="eastAsia"/>
        </w:rPr>
        <w:t>案提请法院注意政府未能对居住在边远地区的人民提供粮食的情况，法院驳斥了这个案件，认为政府参与对逗留上述地区的人民提供粮食用品时无需发布书面命令。</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6</w:t>
      </w:r>
      <w:r>
        <w:rPr>
          <w:rFonts w:ascii="Time New Roman" w:eastAsia="SimHei" w:hAnsi="Time New Roman"/>
          <w:u w:val="none"/>
        </w:rPr>
        <w:t xml:space="preserve">.  </w:t>
      </w:r>
      <w:r>
        <w:rPr>
          <w:rFonts w:ascii="Time New Roman" w:eastAsia="SimHei" w:hAnsi="Time New Roman" w:hint="eastAsia"/>
          <w:u w:val="none"/>
        </w:rPr>
        <w:t>执行《本国和国际非政府组织行为守则》的情况</w:t>
      </w:r>
    </w:p>
    <w:p w:rsidR="00000000" w:rsidRDefault="008739CC">
      <w:pPr>
        <w:spacing w:after="240"/>
        <w:ind w:firstLine="510"/>
        <w:rPr>
          <w:rFonts w:hint="eastAsia"/>
        </w:rPr>
      </w:pPr>
      <w:r>
        <w:t>26.</w:t>
      </w:r>
      <w:r>
        <w:tab/>
      </w:r>
      <w:r>
        <w:rPr>
          <w:rFonts w:hint="eastAsia"/>
        </w:rPr>
        <w:t>国王领政期间所公布的《本国和国际非政府组织行为守则》已经废止。这项通知载于</w:t>
      </w:r>
      <w:r>
        <w:rPr>
          <w:rFonts w:hint="eastAsia"/>
        </w:rPr>
        <w:t>2006</w:t>
      </w:r>
      <w:r>
        <w:rPr>
          <w:rFonts w:hint="eastAsia"/>
        </w:rPr>
        <w:t>年</w:t>
      </w:r>
      <w:r>
        <w:rPr>
          <w:rFonts w:hint="eastAsia"/>
        </w:rPr>
        <w:t>5</w:t>
      </w:r>
      <w:r>
        <w:rPr>
          <w:rFonts w:hint="eastAsia"/>
        </w:rPr>
        <w:t>月</w:t>
      </w:r>
      <w:r>
        <w:rPr>
          <w:rFonts w:hint="eastAsia"/>
        </w:rPr>
        <w:t>12</w:t>
      </w:r>
      <w:r>
        <w:rPr>
          <w:rFonts w:hint="eastAsia"/>
        </w:rPr>
        <w:t>日</w:t>
      </w:r>
      <w:r>
        <w:t>(2063/1/29 B.S.)</w:t>
      </w:r>
      <w:r>
        <w:rPr>
          <w:rFonts w:hint="eastAsia"/>
        </w:rPr>
        <w:t>和</w:t>
      </w:r>
      <w:r>
        <w:rPr>
          <w:rFonts w:hint="eastAsia"/>
        </w:rPr>
        <w:t>2006</w:t>
      </w:r>
      <w:r>
        <w:rPr>
          <w:rFonts w:hint="eastAsia"/>
        </w:rPr>
        <w:t>年</w:t>
      </w:r>
      <w:r>
        <w:rPr>
          <w:rFonts w:hint="eastAsia"/>
        </w:rPr>
        <w:t>8</w:t>
      </w:r>
      <w:r>
        <w:rPr>
          <w:rFonts w:hint="eastAsia"/>
        </w:rPr>
        <w:t>月</w:t>
      </w:r>
      <w:r>
        <w:rPr>
          <w:rFonts w:hint="eastAsia"/>
        </w:rPr>
        <w:t>8</w:t>
      </w:r>
      <w:r>
        <w:rPr>
          <w:rFonts w:hint="eastAsia"/>
        </w:rPr>
        <w:t>日的《尼泊尔公报》</w:t>
      </w:r>
      <w:r>
        <w:t>(2063/4/23 B.S.)</w:t>
      </w:r>
      <w:r>
        <w:rPr>
          <w:rFonts w:hint="eastAsia"/>
        </w:rPr>
        <w:t>。</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7</w:t>
      </w:r>
      <w:r>
        <w:rPr>
          <w:rFonts w:ascii="Time New Roman" w:eastAsia="SimHei" w:hAnsi="Time New Roman"/>
          <w:u w:val="none"/>
        </w:rPr>
        <w:t xml:space="preserve">.  </w:t>
      </w:r>
      <w:r>
        <w:rPr>
          <w:rFonts w:ascii="Time New Roman" w:eastAsia="SimHei" w:hAnsi="Time New Roman" w:hint="eastAsia"/>
          <w:u w:val="none"/>
        </w:rPr>
        <w:t>为打击基于种姓的歧视所采取的措施</w:t>
      </w:r>
    </w:p>
    <w:p w:rsidR="00000000" w:rsidRDefault="008739CC">
      <w:pPr>
        <w:ind w:firstLine="510"/>
      </w:pPr>
      <w:r>
        <w:t>27.</w:t>
      </w:r>
      <w:r>
        <w:tab/>
      </w:r>
      <w:r>
        <w:rPr>
          <w:rFonts w:hint="eastAsia"/>
        </w:rPr>
        <w:t>《宪法》规定所有尼泊尔人一律平等，不应基于种姓和阶级实行任何形式的歧视。尼泊尔政府保证执行消除种姓歧视的宪法规定。《临时宪法》第</w:t>
      </w:r>
      <w:r>
        <w:t>14</w:t>
      </w:r>
      <w:r>
        <w:rPr>
          <w:rFonts w:hint="eastAsia"/>
        </w:rPr>
        <w:t>条为禁止贱民制度和种姓歧视作了全面的规定。</w:t>
      </w:r>
    </w:p>
    <w:p w:rsidR="00000000" w:rsidRDefault="008739CC">
      <w:pPr>
        <w:spacing w:after="240"/>
        <w:ind w:firstLine="510"/>
      </w:pPr>
      <w:r>
        <w:t>28.</w:t>
      </w:r>
      <w:r>
        <w:tab/>
      </w:r>
      <w:r>
        <w:rPr>
          <w:rFonts w:hint="eastAsia"/>
        </w:rPr>
        <w:t>《王国法》明文禁</w:t>
      </w:r>
      <w:r>
        <w:rPr>
          <w:rFonts w:hint="eastAsia"/>
        </w:rPr>
        <w:t>止任何种类的种姓歧视。拒绝任何人进入公共场所和公共设施的行为应该受到惩罚，并且将其归类为不可保释的罪行。它也规定了对违规者的处罚办法，也规定了对受害人的补偿办法。《王国法》授权地区法院审理种姓歧视案件。</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8</w:t>
      </w:r>
      <w:r>
        <w:rPr>
          <w:rFonts w:ascii="Time New Roman" w:eastAsia="SimHei" w:hAnsi="Time New Roman"/>
          <w:u w:val="none"/>
        </w:rPr>
        <w:t xml:space="preserve">.  </w:t>
      </w:r>
      <w:r>
        <w:rPr>
          <w:rFonts w:ascii="Time New Roman" w:eastAsia="SimHei" w:hAnsi="Time New Roman" w:hint="eastAsia"/>
          <w:u w:val="none"/>
        </w:rPr>
        <w:t>为处理诸如虐待达利特人的习例所采取的步骤</w:t>
      </w:r>
    </w:p>
    <w:p w:rsidR="00000000" w:rsidRDefault="008739CC">
      <w:pPr>
        <w:ind w:firstLine="510"/>
      </w:pPr>
      <w:r>
        <w:t>29.</w:t>
      </w:r>
      <w:r>
        <w:tab/>
      </w:r>
      <w:r>
        <w:rPr>
          <w:rFonts w:hint="eastAsia"/>
        </w:rPr>
        <w:t>公共管理当局没有涉及虐待达利特人的情事。贱民制度和轻视贱民的做法应该受到法律处罚。达利特人的住宅区没有受到隔离。他们对住所和第一类公用事业设施，例如供水设施的选择并没有受到任何限制。国家的现行法律不禁止种姓间的婚姻。执法当局随时注意阻止社会上对种</w:t>
      </w:r>
      <w:r>
        <w:rPr>
          <w:rFonts w:hint="eastAsia"/>
        </w:rPr>
        <w:t>姓通婚的排斥行为，并且消除种姓间通婚的人在就业机会方面遇到的阻碍。拒绝他们使用公共场所、礼拜地点、粮食和水的公共来源的行为，是应该依法惩处的罪行。实行贱民制度的行为是不可保释的罪行。</w:t>
      </w:r>
    </w:p>
    <w:p w:rsidR="00000000" w:rsidRDefault="008739CC">
      <w:pPr>
        <w:spacing w:after="240"/>
        <w:ind w:firstLine="510"/>
      </w:pPr>
      <w:r>
        <w:t>30.</w:t>
      </w:r>
      <w:r>
        <w:tab/>
      </w:r>
      <w:r>
        <w:rPr>
          <w:rFonts w:hint="eastAsia"/>
        </w:rPr>
        <w:t>政府采取了严格的措施取缔任何形式的贱民制度，最近宣布禁止在尼泊尔实行这种制度。政府保证建立具有包容性的民主制度，保障和促进社会上各阶层，包括达利特人、妇女和少数人的利益。正在努力采取有效措施，确保他们对基本权利和自由的享受。政府正在填补国家达利特人事务委员会的空缺，委托该委员会切实工作，以促进达利特人的权利。</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9</w:t>
      </w:r>
      <w:r>
        <w:rPr>
          <w:rFonts w:ascii="Time New Roman" w:eastAsia="SimHei" w:hAnsi="Time New Roman"/>
          <w:u w:val="none"/>
        </w:rPr>
        <w:t>.</w:t>
      </w:r>
      <w:r>
        <w:rPr>
          <w:rFonts w:ascii="Time New Roman" w:eastAsia="SimHei" w:hAnsi="Time New Roman"/>
          <w:u w:val="none"/>
        </w:rPr>
        <w:t xml:space="preserve">  </w:t>
      </w:r>
      <w:r>
        <w:rPr>
          <w:rFonts w:ascii="Time New Roman" w:eastAsia="SimHei" w:hAnsi="Time New Roman" w:hint="eastAsia"/>
          <w:u w:val="none"/>
        </w:rPr>
        <w:t>关于难民和寻求庇护者的问题</w:t>
      </w:r>
    </w:p>
    <w:p w:rsidR="00000000" w:rsidRDefault="008739CC">
      <w:pPr>
        <w:ind w:firstLine="510"/>
      </w:pPr>
      <w:r>
        <w:t>31.</w:t>
      </w:r>
      <w:r>
        <w:tab/>
      </w:r>
      <w:r>
        <w:rPr>
          <w:rFonts w:hint="eastAsia"/>
        </w:rPr>
        <w:t>尼泊尔政府历来遵守土地法，相当注意寻求庇护者的权利。只有根据现行移民法被认定有罪的外国人才会被驱逐出境。《</w:t>
      </w:r>
      <w:r>
        <w:rPr>
          <w:rFonts w:hint="eastAsia"/>
        </w:rPr>
        <w:t>1988</w:t>
      </w:r>
      <w:r>
        <w:rPr>
          <w:rFonts w:hint="eastAsia"/>
        </w:rPr>
        <w:t>年引渡法》容许政府引渡犯有与任何外国的引渡条约所明文规定之罪行的人，但政治罪行除外。《</w:t>
      </w:r>
      <w:r>
        <w:rPr>
          <w:rFonts w:hint="eastAsia"/>
        </w:rPr>
        <w:t>1992</w:t>
      </w:r>
      <w:r>
        <w:rPr>
          <w:rFonts w:hint="eastAsia"/>
        </w:rPr>
        <w:t>年移民法》规定，除非持有有效护照和签证，任何外国人不得进入尼泊尔并且逗留下来。同样，持用假护照或签证的任何外国人不得进入、逗留和离开尼泊尔。</w:t>
      </w:r>
    </w:p>
    <w:p w:rsidR="00000000" w:rsidRDefault="008739CC">
      <w:pPr>
        <w:spacing w:after="240"/>
        <w:ind w:firstLine="510"/>
      </w:pPr>
      <w:r>
        <w:t>32.</w:t>
      </w:r>
      <w:r>
        <w:tab/>
      </w:r>
      <w:r>
        <w:rPr>
          <w:rFonts w:hint="eastAsia"/>
        </w:rPr>
        <w:t>关于驱逐的权力，《</w:t>
      </w:r>
      <w:r>
        <w:rPr>
          <w:rFonts w:hint="eastAsia"/>
        </w:rPr>
        <w:t>1992</w:t>
      </w:r>
      <w:r>
        <w:rPr>
          <w:rFonts w:hint="eastAsia"/>
        </w:rPr>
        <w:t>年移民法》第</w:t>
      </w:r>
      <w:r>
        <w:t>9</w:t>
      </w:r>
      <w:r>
        <w:rPr>
          <w:rFonts w:hint="eastAsia"/>
        </w:rPr>
        <w:t>节授权移民局长根据移民局官员进行的调查结果在获得尼泊尔政府核准的情况下采取</w:t>
      </w:r>
      <w:r>
        <w:rPr>
          <w:rFonts w:hint="eastAsia"/>
        </w:rPr>
        <w:t>行动，将该外国人驱逐出境，在一定期限内或永远取消其重新进入尼泊尔的资格。任何外国人的权利若受到该决定的侵害，有权在该决定作出后</w:t>
      </w:r>
      <w:r>
        <w:rPr>
          <w:rFonts w:hint="eastAsia"/>
        </w:rPr>
        <w:t>35</w:t>
      </w:r>
      <w:r>
        <w:rPr>
          <w:rFonts w:hint="eastAsia"/>
        </w:rPr>
        <w:t>天内援引上诉法院的管辖权。</w:t>
      </w:r>
    </w:p>
    <w:p w:rsidR="00000000" w:rsidRDefault="008739CC">
      <w:pPr>
        <w:pStyle w:val="Heading4"/>
      </w:pPr>
      <w:r>
        <w:rPr>
          <w:rFonts w:hint="eastAsia"/>
        </w:rPr>
        <w:t>寻求庇护者</w:t>
      </w:r>
    </w:p>
    <w:p w:rsidR="00000000" w:rsidRDefault="008739CC">
      <w:pPr>
        <w:spacing w:after="240"/>
        <w:ind w:firstLine="510"/>
      </w:pPr>
      <w:r>
        <w:t>33.</w:t>
      </w:r>
      <w:r>
        <w:tab/>
      </w:r>
      <w:r>
        <w:rPr>
          <w:rFonts w:hint="eastAsia"/>
        </w:rPr>
        <w:t>尼泊尔不是《</w:t>
      </w:r>
      <w:r>
        <w:rPr>
          <w:rFonts w:hint="eastAsia"/>
        </w:rPr>
        <w:t>1951</w:t>
      </w:r>
      <w:r>
        <w:rPr>
          <w:rFonts w:hint="eastAsia"/>
        </w:rPr>
        <w:t>年联合国关于难民地位的公约及其</w:t>
      </w:r>
      <w:r>
        <w:rPr>
          <w:rFonts w:hint="eastAsia"/>
        </w:rPr>
        <w:t>1967</w:t>
      </w:r>
      <w:r>
        <w:rPr>
          <w:rFonts w:hint="eastAsia"/>
        </w:rPr>
        <w:t>年议定书》的缔约国，因此，在法律上不受执行其规定之国际义务的限制。但是，作为对联合国和许多其他国际组织负责的成员，尼泊尔光是基于人道主义立场就为</w:t>
      </w:r>
      <w:r>
        <w:rPr>
          <w:rFonts w:hint="eastAsia"/>
        </w:rPr>
        <w:t>10</w:t>
      </w:r>
      <w:r>
        <w:rPr>
          <w:rFonts w:hint="eastAsia"/>
        </w:rPr>
        <w:t>万</w:t>
      </w:r>
      <w:r>
        <w:rPr>
          <w:rFonts w:hint="eastAsia"/>
        </w:rPr>
        <w:t>7</w:t>
      </w:r>
      <w:r>
        <w:rPr>
          <w:rFonts w:hint="eastAsia"/>
        </w:rPr>
        <w:t>千多名不丹难民和</w:t>
      </w:r>
      <w:r>
        <w:rPr>
          <w:rFonts w:hint="eastAsia"/>
        </w:rPr>
        <w:t>1</w:t>
      </w:r>
      <w:r>
        <w:rPr>
          <w:rFonts w:hint="eastAsia"/>
        </w:rPr>
        <w:t>万</w:t>
      </w:r>
      <w:r>
        <w:rPr>
          <w:rFonts w:hint="eastAsia"/>
        </w:rPr>
        <w:t>5</w:t>
      </w:r>
      <w:r>
        <w:rPr>
          <w:rFonts w:hint="eastAsia"/>
        </w:rPr>
        <w:t>千多名西藏难民提供了住所。而且，还发给难民旅行文件，便利他们于必要时离开尼泊尔，在尼泊尔－印度的边境点</w:t>
      </w:r>
      <w:r>
        <w:t>Kakarbhitta, Jhapa</w:t>
      </w:r>
      <w:r>
        <w:rPr>
          <w:rFonts w:hint="eastAsia"/>
        </w:rPr>
        <w:t>设立了难民筛选中心，询问要求登记为难民的不丹人。</w:t>
      </w:r>
    </w:p>
    <w:p w:rsidR="00000000" w:rsidRDefault="008739CC">
      <w:pPr>
        <w:pStyle w:val="Heading4"/>
      </w:pPr>
      <w:r>
        <w:rPr>
          <w:rFonts w:hint="eastAsia"/>
        </w:rPr>
        <w:t>遣返的努力</w:t>
      </w:r>
    </w:p>
    <w:p w:rsidR="00000000" w:rsidRDefault="008739CC">
      <w:pPr>
        <w:spacing w:after="240"/>
        <w:ind w:firstLine="510"/>
      </w:pPr>
      <w:r>
        <w:t>34.</w:t>
      </w:r>
      <w:r>
        <w:tab/>
      </w:r>
      <w:r>
        <w:rPr>
          <w:rFonts w:hint="eastAsia"/>
        </w:rPr>
        <w:t>为了遣返不丹难民，尼泊尔政府达成了在</w:t>
      </w:r>
      <w:r>
        <w:t>1993</w:t>
      </w:r>
      <w:r>
        <w:rPr>
          <w:rFonts w:hint="eastAsia"/>
        </w:rPr>
        <w:t>年</w:t>
      </w:r>
      <w:r>
        <w:t>7</w:t>
      </w:r>
      <w:r>
        <w:rPr>
          <w:rFonts w:hint="eastAsia"/>
        </w:rPr>
        <w:t>月成立一个部委联合委员会的协议。</w:t>
      </w:r>
      <w:r>
        <w:t>2000</w:t>
      </w:r>
      <w:r>
        <w:rPr>
          <w:rFonts w:hint="eastAsia"/>
        </w:rPr>
        <w:t>年</w:t>
      </w:r>
      <w:r>
        <w:t>12</w:t>
      </w:r>
      <w:r>
        <w:rPr>
          <w:rFonts w:hint="eastAsia"/>
        </w:rPr>
        <w:t>月在加德满都举行的第</w:t>
      </w:r>
      <w:r>
        <w:t>10</w:t>
      </w:r>
      <w:r>
        <w:rPr>
          <w:rFonts w:hint="eastAsia"/>
        </w:rPr>
        <w:t>次会议中决定为不丹难民的核实和分类设立一个联合工作组。</w:t>
      </w:r>
      <w:r>
        <w:t>2003</w:t>
      </w:r>
      <w:r>
        <w:rPr>
          <w:rFonts w:hint="eastAsia"/>
        </w:rPr>
        <w:t>年</w:t>
      </w:r>
      <w:r>
        <w:t>10</w:t>
      </w:r>
      <w:r>
        <w:rPr>
          <w:rFonts w:hint="eastAsia"/>
        </w:rPr>
        <w:t>月在</w:t>
      </w:r>
      <w:r>
        <w:t>Thimpu</w:t>
      </w:r>
      <w:r>
        <w:rPr>
          <w:rFonts w:hint="eastAsia"/>
        </w:rPr>
        <w:t>举行的部委级联合委员会会议上描绘了在不损害尊严和荣誉的情形下将难民遣返家园的路线图。但是这份路线图还有待具体实现。从一开始，尼泊尔就对不丹难民问题持一贯的立场</w:t>
      </w:r>
      <w:r>
        <w:rPr>
          <w:rFonts w:hint="eastAsia"/>
          <w:spacing w:val="-50"/>
        </w:rPr>
        <w:t>―</w:t>
      </w:r>
      <w:r>
        <w:rPr>
          <w:rFonts w:hint="eastAsia"/>
        </w:rPr>
        <w:t>―应该在不损害其尊严和荣誉的情形下容许他们安</w:t>
      </w:r>
      <w:r>
        <w:rPr>
          <w:rFonts w:hint="eastAsia"/>
        </w:rPr>
        <w:t>全地回返家园。尼泊尔来自不丹的压制性政策使尼泊尔首当其冲，不是出于自己的过错而被逐出不丹的居民中有六分之一住在尼泊尔。</w:t>
      </w:r>
    </w:p>
    <w:p w:rsidR="00000000" w:rsidRDefault="008739CC">
      <w:pPr>
        <w:pStyle w:val="Heading4"/>
      </w:pPr>
      <w:r>
        <w:rPr>
          <w:rFonts w:hint="eastAsia"/>
        </w:rPr>
        <w:t>不丹难民的叙述</w:t>
      </w:r>
    </w:p>
    <w:p w:rsidR="00000000" w:rsidRDefault="008739CC">
      <w:pPr>
        <w:spacing w:after="240"/>
        <w:ind w:firstLine="510"/>
      </w:pPr>
      <w:r>
        <w:t>35.</w:t>
      </w:r>
      <w:r>
        <w:tab/>
      </w:r>
      <w:r>
        <w:rPr>
          <w:rFonts w:hint="eastAsia"/>
        </w:rPr>
        <w:t>不丹难民的叙述是在尼泊尔政府和联合国难民高专办合作下从</w:t>
      </w:r>
      <w:r>
        <w:rPr>
          <w:rFonts w:hint="eastAsia"/>
        </w:rPr>
        <w:t>2006</w:t>
      </w:r>
      <w:r>
        <w:rPr>
          <w:rFonts w:hint="eastAsia"/>
        </w:rPr>
        <w:t>年</w:t>
      </w:r>
      <w:r>
        <w:rPr>
          <w:rFonts w:hint="eastAsia"/>
        </w:rPr>
        <w:t>11</w:t>
      </w:r>
      <w:r>
        <w:rPr>
          <w:rFonts w:hint="eastAsia"/>
        </w:rPr>
        <w:t>月</w:t>
      </w:r>
      <w:r>
        <w:rPr>
          <w:rFonts w:hint="eastAsia"/>
        </w:rPr>
        <w:t>15</w:t>
      </w:r>
      <w:r>
        <w:rPr>
          <w:rFonts w:hint="eastAsia"/>
        </w:rPr>
        <w:t>日开办的。这项联合作业将在今后几个月普及到七个营地。一旦完成这项作业，尼泊尔政府和难民署将有关于他们的最新完整资料，可用于为尼泊尔北部的大约</w:t>
      </w:r>
      <w:r>
        <w:t>10</w:t>
      </w:r>
      <w:r>
        <w:rPr>
          <w:rFonts w:hint="eastAsia"/>
        </w:rPr>
        <w:t>万</w:t>
      </w:r>
      <w:r>
        <w:t>7</w:t>
      </w:r>
      <w:r>
        <w:rPr>
          <w:rFonts w:hint="eastAsia"/>
        </w:rPr>
        <w:t>千名难民服务。将在叙述结束以后，向每一位难民核发身份证。</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10</w:t>
      </w:r>
      <w:r>
        <w:rPr>
          <w:rFonts w:ascii="Time New Roman" w:eastAsia="SimHei" w:hAnsi="Time New Roman"/>
          <w:u w:val="none"/>
        </w:rPr>
        <w:t xml:space="preserve">.  </w:t>
      </w:r>
      <w:r>
        <w:rPr>
          <w:rFonts w:ascii="Time New Roman" w:eastAsia="SimHei" w:hAnsi="Time New Roman" w:hint="eastAsia"/>
          <w:u w:val="none"/>
        </w:rPr>
        <w:t>国内流离失所者问题</w:t>
      </w:r>
    </w:p>
    <w:p w:rsidR="00000000" w:rsidRDefault="008739CC">
      <w:pPr>
        <w:ind w:firstLine="510"/>
      </w:pPr>
      <w:r>
        <w:t>36.</w:t>
      </w:r>
      <w:r>
        <w:tab/>
      </w:r>
      <w:r>
        <w:rPr>
          <w:rFonts w:hint="eastAsia"/>
        </w:rPr>
        <w:t>尼泊尔国内流离失所问题同</w:t>
      </w:r>
      <w:r>
        <w:rPr>
          <w:rFonts w:hint="eastAsia"/>
        </w:rPr>
        <w:t>1996</w:t>
      </w:r>
      <w:r>
        <w:rPr>
          <w:rFonts w:hint="eastAsia"/>
        </w:rPr>
        <w:t>年以来毛派的叛</w:t>
      </w:r>
      <w:r>
        <w:rPr>
          <w:rFonts w:hint="eastAsia"/>
        </w:rPr>
        <w:t>乱密切相关。流离失所状况是由以下各项因素直接引起的：受害者个人受到暴力或威胁；财产被非法没收；拒绝强迫征募自己的儿女；强迫捐献现金和实物；担心陷身于交叉战火；普遍感觉不安全和不安定，冲突引起基本设施和村庄内部应付机制崩溃以及出现自卫团体。</w:t>
      </w:r>
    </w:p>
    <w:p w:rsidR="00000000" w:rsidRDefault="008739CC">
      <w:pPr>
        <w:ind w:firstLine="510"/>
      </w:pPr>
      <w:r>
        <w:t>37.</w:t>
      </w:r>
      <w:r>
        <w:tab/>
      </w:r>
      <w:r>
        <w:rPr>
          <w:rFonts w:hint="eastAsia"/>
        </w:rPr>
        <w:t>在大多数情况下，流离失所者个人同家人一起或小规模地分批离开村庄或小镇。他们有许多是政党工作者、村庄发展委员会的官员、安全人员的家庭成员、地主或富农、要不就是在村庄里有影响力的人。这样一种趋势使得</w:t>
      </w:r>
      <w:r>
        <w:t xml:space="preserve"> Terai</w:t>
      </w:r>
      <w:r>
        <w:rPr>
          <w:rFonts w:hint="eastAsia"/>
        </w:rPr>
        <w:t>的都市和半都市地区人口增加。已经登记的尼泊尔国内流离失所人</w:t>
      </w:r>
      <w:r>
        <w:rPr>
          <w:rFonts w:hint="eastAsia"/>
        </w:rPr>
        <w:t>口总数为</w:t>
      </w:r>
      <w:r>
        <w:t>1</w:t>
      </w:r>
      <w:r>
        <w:rPr>
          <w:rFonts w:hint="eastAsia"/>
        </w:rPr>
        <w:t>万</w:t>
      </w:r>
      <w:r>
        <w:t>9</w:t>
      </w:r>
      <w:r>
        <w:rPr>
          <w:rFonts w:hint="eastAsia"/>
        </w:rPr>
        <w:t>千人，牵涉到</w:t>
      </w:r>
      <w:r>
        <w:t>5</w:t>
      </w:r>
      <w:r>
        <w:rPr>
          <w:rFonts w:hint="eastAsia"/>
        </w:rPr>
        <w:t>千个家庭。</w:t>
      </w:r>
    </w:p>
    <w:p w:rsidR="00000000" w:rsidRDefault="008739CC">
      <w:pPr>
        <w:spacing w:after="320"/>
        <w:ind w:firstLine="510"/>
      </w:pPr>
      <w:r>
        <w:t>38.</w:t>
      </w:r>
      <w:r>
        <w:tab/>
      </w:r>
      <w:r>
        <w:rPr>
          <w:rFonts w:hint="eastAsia"/>
        </w:rPr>
        <w:t>尼泊尔政府彻底认识到国内流离失所问题，力求以下列措施作为持久解决的办法：</w:t>
      </w:r>
    </w:p>
    <w:p w:rsidR="00000000" w:rsidRDefault="008739CC">
      <w:pPr>
        <w:pStyle w:val="Heading3"/>
      </w:pPr>
      <w:r>
        <w:rPr>
          <w:u w:val="none"/>
        </w:rPr>
        <w:t xml:space="preserve">A.  </w:t>
      </w:r>
      <w:r>
        <w:rPr>
          <w:rFonts w:hint="eastAsia"/>
        </w:rPr>
        <w:t>关于国内流离失所人员的国家政策</w:t>
      </w:r>
    </w:p>
    <w:p w:rsidR="00000000" w:rsidRDefault="008739CC">
      <w:pPr>
        <w:spacing w:after="320"/>
        <w:ind w:firstLine="510"/>
      </w:pPr>
      <w:r>
        <w:t>39.</w:t>
      </w:r>
      <w:r>
        <w:tab/>
      </w:r>
      <w:r>
        <w:rPr>
          <w:rFonts w:hint="eastAsia"/>
        </w:rPr>
        <w:t>尼泊尔政府于</w:t>
      </w:r>
      <w:r>
        <w:rPr>
          <w:rFonts w:hint="eastAsia"/>
        </w:rPr>
        <w:t>2005</w:t>
      </w:r>
      <w:r>
        <w:rPr>
          <w:rFonts w:hint="eastAsia"/>
        </w:rPr>
        <w:t>年制定了关于国内流离失所人员的国家政策。这项政策的目标是：确保流离失所人员的基本权利；提供必要的救济援助，尽量减少流离失所问题，在原籍地恢复流离失所人员的正常生活。经常审查这项政策，使其适应经常变动的尼泊尔政治现状。</w:t>
      </w:r>
    </w:p>
    <w:p w:rsidR="00000000" w:rsidRDefault="008739CC">
      <w:pPr>
        <w:pStyle w:val="Heading3"/>
      </w:pPr>
      <w:r>
        <w:rPr>
          <w:u w:val="none"/>
        </w:rPr>
        <w:t xml:space="preserve">B.  </w:t>
      </w:r>
      <w:r>
        <w:rPr>
          <w:rFonts w:hint="eastAsia"/>
        </w:rPr>
        <w:t>管理救济援助的单位</w:t>
      </w:r>
    </w:p>
    <w:p w:rsidR="00000000" w:rsidRDefault="008739CC">
      <w:pPr>
        <w:spacing w:after="320"/>
        <w:ind w:firstLine="510"/>
      </w:pPr>
      <w:r>
        <w:t>40.</w:t>
      </w:r>
      <w:r>
        <w:tab/>
      </w:r>
      <w:r>
        <w:rPr>
          <w:rFonts w:hint="eastAsia"/>
        </w:rPr>
        <w:t>在内政部设立了一个单位，推动对国内流离失所人员和其他冲突事件受害者的</w:t>
      </w:r>
      <w:r>
        <w:rPr>
          <w:rFonts w:hint="eastAsia"/>
        </w:rPr>
        <w:t>救济援助工作。它是一个顶点机关，负责制定计划和方案并且协调和监督全国的救济援助工作。由在内政部任职的一位联合秘书领导这个单位。</w:t>
      </w:r>
    </w:p>
    <w:p w:rsidR="00000000" w:rsidRDefault="008739CC">
      <w:pPr>
        <w:pStyle w:val="Heading3"/>
      </w:pPr>
      <w:r>
        <w:rPr>
          <w:u w:val="none"/>
        </w:rPr>
        <w:t xml:space="preserve">C.  </w:t>
      </w:r>
      <w:r>
        <w:rPr>
          <w:rFonts w:hint="eastAsia"/>
        </w:rPr>
        <w:t>和平秘书处</w:t>
      </w:r>
    </w:p>
    <w:p w:rsidR="00000000" w:rsidRDefault="008739CC">
      <w:pPr>
        <w:spacing w:after="320"/>
        <w:ind w:firstLine="510"/>
      </w:pPr>
      <w:r>
        <w:t>41.</w:t>
      </w:r>
      <w:r>
        <w:tab/>
      </w:r>
      <w:r>
        <w:rPr>
          <w:rFonts w:hint="eastAsia"/>
        </w:rPr>
        <w:t>政府于</w:t>
      </w:r>
      <w:r>
        <w:rPr>
          <w:rFonts w:hint="eastAsia"/>
        </w:rPr>
        <w:t>2002</w:t>
      </w:r>
      <w:r>
        <w:rPr>
          <w:rFonts w:hint="eastAsia"/>
        </w:rPr>
        <w:t>年设立了一个和平秘书处，以促进尼泊尔通盘的和平进程，除其他外，它也监督、协调和指挥对国内流离失所人员和其他受害者的救济援助工作。</w:t>
      </w:r>
    </w:p>
    <w:p w:rsidR="00000000" w:rsidRDefault="008739CC">
      <w:pPr>
        <w:pStyle w:val="Heading3"/>
      </w:pPr>
      <w:r>
        <w:rPr>
          <w:u w:val="none"/>
        </w:rPr>
        <w:t xml:space="preserve">D.  </w:t>
      </w:r>
      <w:r>
        <w:rPr>
          <w:rFonts w:hint="eastAsia"/>
        </w:rPr>
        <w:t>对冲突事件引起的流离失所者的救济援助计划</w:t>
      </w:r>
    </w:p>
    <w:p w:rsidR="00000000" w:rsidRDefault="008739CC">
      <w:pPr>
        <w:spacing w:after="320"/>
        <w:ind w:firstLine="510"/>
      </w:pPr>
      <w:r>
        <w:t>42.</w:t>
      </w:r>
      <w:r>
        <w:tab/>
      </w:r>
      <w:r>
        <w:rPr>
          <w:rFonts w:hint="eastAsia"/>
        </w:rPr>
        <w:t>为了向国内流离失所者提供救济援助，内政部于</w:t>
      </w:r>
      <w:r>
        <w:rPr>
          <w:rFonts w:hint="eastAsia"/>
        </w:rPr>
        <w:t>2004</w:t>
      </w:r>
      <w:r>
        <w:rPr>
          <w:rFonts w:hint="eastAsia"/>
        </w:rPr>
        <w:t>年为冲突引起的流离失所者制定并且执行了许多救济援助计划。政府在</w:t>
      </w:r>
      <w:r>
        <w:t>2005/06</w:t>
      </w:r>
      <w:r>
        <w:rPr>
          <w:rFonts w:hint="eastAsia"/>
        </w:rPr>
        <w:t>财政年度为国内流离失所者编列</w:t>
      </w:r>
      <w:r>
        <w:rPr>
          <w:rFonts w:hint="eastAsia"/>
        </w:rPr>
        <w:t>了</w:t>
      </w:r>
      <w:r>
        <w:rPr>
          <w:rFonts w:hint="eastAsia"/>
        </w:rPr>
        <w:t>5</w:t>
      </w:r>
      <w:r>
        <w:rPr>
          <w:rFonts w:hint="eastAsia"/>
        </w:rPr>
        <w:t>千万卢比的预算。除了其他事项以外，这项计划包括下列项目：</w:t>
      </w:r>
    </w:p>
    <w:p w:rsidR="00000000" w:rsidRDefault="008739CC">
      <w:pPr>
        <w:pStyle w:val="Heading3"/>
      </w:pPr>
      <w:r>
        <w:rPr>
          <w:u w:val="none"/>
        </w:rPr>
        <w:t xml:space="preserve">1.  </w:t>
      </w:r>
      <w:r>
        <w:rPr>
          <w:rFonts w:hint="eastAsia"/>
        </w:rPr>
        <w:t>恢复正常生活计划</w:t>
      </w:r>
    </w:p>
    <w:p w:rsidR="00000000" w:rsidRDefault="008739CC">
      <w:pPr>
        <w:pStyle w:val="Heading4"/>
        <w:rPr>
          <w:rFonts w:hint="eastAsia"/>
        </w:rPr>
      </w:pPr>
      <w:r>
        <w:rPr>
          <w:rFonts w:hint="eastAsia"/>
        </w:rPr>
        <w:t>帮助流离失所者回到原籍地</w:t>
      </w:r>
    </w:p>
    <w:p w:rsidR="00000000" w:rsidRDefault="008739CC">
      <w:pPr>
        <w:spacing w:after="240"/>
        <w:ind w:firstLine="510"/>
      </w:pPr>
      <w:r>
        <w:t>43.</w:t>
      </w:r>
      <w:r>
        <w:tab/>
      </w:r>
      <w:r>
        <w:rPr>
          <w:rFonts w:hint="eastAsia"/>
        </w:rPr>
        <w:t>为此目的，尼泊尔政府决定向每一个流离失所的家庭提供</w:t>
      </w:r>
      <w:r>
        <w:rPr>
          <w:rFonts w:hint="eastAsia"/>
        </w:rPr>
        <w:t>5</w:t>
      </w:r>
      <w:r>
        <w:rPr>
          <w:rFonts w:hint="eastAsia"/>
        </w:rPr>
        <w:t>千卢比，作为使其安全返回原籍地的救济援助。</w:t>
      </w:r>
      <w:r>
        <w:t>2006/2007</w:t>
      </w:r>
      <w:r>
        <w:rPr>
          <w:rFonts w:hint="eastAsia"/>
        </w:rPr>
        <w:t>财政年度的预算报表为此编列了经费。有关地区的干事长将按照流离失所人员鉴定委员会的建议发放这笔数额。内政部是这项计划的执行机构。</w:t>
      </w:r>
    </w:p>
    <w:p w:rsidR="00000000" w:rsidRDefault="008739CC">
      <w:pPr>
        <w:pStyle w:val="Heading4"/>
      </w:pPr>
      <w:r>
        <w:rPr>
          <w:rFonts w:hint="eastAsia"/>
        </w:rPr>
        <w:t>提供职业培训</w:t>
      </w:r>
    </w:p>
    <w:p w:rsidR="00000000" w:rsidRDefault="008739CC">
      <w:pPr>
        <w:spacing w:after="240"/>
        <w:ind w:firstLine="510"/>
      </w:pPr>
      <w:r>
        <w:t>44.</w:t>
      </w:r>
      <w:r>
        <w:tab/>
      </w:r>
      <w:r>
        <w:rPr>
          <w:rFonts w:hint="eastAsia"/>
        </w:rPr>
        <w:t>按照地区干事长的建议，流离失所人员免费接受职业培训。地区妇女发展办事处、技能发展和培训中心以及技术教育和职业培训理事会对这些人员</w:t>
      </w:r>
      <w:r>
        <w:rPr>
          <w:rFonts w:hint="eastAsia"/>
        </w:rPr>
        <w:t>提供培训。</w:t>
      </w:r>
    </w:p>
    <w:p w:rsidR="00000000" w:rsidRDefault="008739CC">
      <w:pPr>
        <w:pStyle w:val="Heading4"/>
      </w:pPr>
      <w:r>
        <w:rPr>
          <w:rFonts w:hint="eastAsia"/>
        </w:rPr>
        <w:t>提供软贷款</w:t>
      </w:r>
    </w:p>
    <w:p w:rsidR="00000000" w:rsidRDefault="008739CC">
      <w:pPr>
        <w:ind w:firstLine="510"/>
      </w:pPr>
      <w:r>
        <w:t>45.</w:t>
      </w:r>
      <w:r>
        <w:tab/>
      </w:r>
      <w:r>
        <w:rPr>
          <w:rFonts w:hint="eastAsia"/>
        </w:rPr>
        <w:t>政府为使流离失所人员到国外就业向他们提供软贷款。还在农业方面核发这种贷款。</w:t>
      </w:r>
    </w:p>
    <w:p w:rsidR="00000000" w:rsidRDefault="008739CC">
      <w:pPr>
        <w:spacing w:after="320"/>
        <w:ind w:firstLine="510"/>
      </w:pPr>
      <w:r>
        <w:t>46.</w:t>
      </w:r>
      <w:r>
        <w:tab/>
      </w:r>
      <w:r>
        <w:rPr>
          <w:rFonts w:hint="eastAsia"/>
        </w:rPr>
        <w:t>这些计划将在六个月内实施。恢复正常生活计划所需要的预算约为</w:t>
      </w:r>
      <w:r>
        <w:rPr>
          <w:rFonts w:hint="eastAsia"/>
        </w:rPr>
        <w:t>1</w:t>
      </w:r>
      <w:r>
        <w:rPr>
          <w:rFonts w:hint="eastAsia"/>
        </w:rPr>
        <w:t>亿卢比。</w:t>
      </w:r>
    </w:p>
    <w:p w:rsidR="00000000" w:rsidRDefault="008739CC">
      <w:pPr>
        <w:pStyle w:val="Heading3"/>
      </w:pPr>
      <w:r>
        <w:rPr>
          <w:u w:val="none"/>
        </w:rPr>
        <w:t xml:space="preserve">2.  </w:t>
      </w:r>
      <w:r>
        <w:rPr>
          <w:rFonts w:hint="eastAsia"/>
        </w:rPr>
        <w:t>社会保险</w:t>
      </w:r>
    </w:p>
    <w:p w:rsidR="00000000" w:rsidRDefault="008739CC">
      <w:pPr>
        <w:spacing w:after="240"/>
        <w:ind w:firstLine="510"/>
      </w:pPr>
      <w:r>
        <w:t>47.</w:t>
      </w:r>
      <w:r>
        <w:tab/>
      </w:r>
      <w:r>
        <w:rPr>
          <w:rFonts w:hint="eastAsia"/>
        </w:rPr>
        <w:t>为了确实保证流离失所人员的社会保险，政府采取了下列措施。</w:t>
      </w:r>
    </w:p>
    <w:p w:rsidR="00000000" w:rsidRDefault="008739CC">
      <w:pPr>
        <w:pStyle w:val="Heading4"/>
      </w:pPr>
      <w:r>
        <w:rPr>
          <w:rFonts w:hint="eastAsia"/>
        </w:rPr>
        <w:t>奖学金</w:t>
      </w:r>
    </w:p>
    <w:p w:rsidR="00000000" w:rsidRDefault="008739CC">
      <w:pPr>
        <w:ind w:firstLine="510"/>
      </w:pPr>
      <w:r>
        <w:t>48.</w:t>
      </w:r>
      <w:r>
        <w:tab/>
      </w:r>
      <w:r>
        <w:rPr>
          <w:rFonts w:hint="eastAsia"/>
        </w:rPr>
        <w:t>推行</w:t>
      </w:r>
      <w:r>
        <w:t>Ganesh Man Singh</w:t>
      </w:r>
      <w:r>
        <w:rPr>
          <w:rFonts w:hint="eastAsia"/>
        </w:rPr>
        <w:t>和平运动</w:t>
      </w:r>
      <w:r>
        <w:rPr>
          <w:rFonts w:hint="eastAsia"/>
          <w:lang w:val="en-GB"/>
        </w:rPr>
        <w:t>，</w:t>
      </w:r>
      <w:r>
        <w:rPr>
          <w:rFonts w:hint="eastAsia"/>
        </w:rPr>
        <w:t>向下列冲突期间受害者的子女提供奖学金</w:t>
      </w:r>
      <w:r>
        <w:rPr>
          <w:rFonts w:hint="eastAsia"/>
          <w:lang w:val="en-GB"/>
        </w:rPr>
        <w:t>：</w:t>
      </w:r>
    </w:p>
    <w:p w:rsidR="00000000" w:rsidRDefault="008739CC">
      <w:pPr>
        <w:ind w:left="520" w:firstLine="510"/>
        <w:rPr>
          <w:bCs/>
          <w:u w:val="single"/>
        </w:rPr>
      </w:pPr>
      <w:r>
        <w:rPr>
          <w:rFonts w:hint="eastAsia"/>
          <w:bCs/>
          <w:u w:val="single"/>
        </w:rPr>
        <w:t>教育程度</w:t>
      </w:r>
      <w:r>
        <w:rPr>
          <w:b/>
        </w:rPr>
        <w:tab/>
      </w:r>
      <w:r>
        <w:rPr>
          <w:b/>
        </w:rPr>
        <w:tab/>
      </w:r>
      <w:r>
        <w:rPr>
          <w:b/>
        </w:rPr>
        <w:tab/>
      </w:r>
      <w:r>
        <w:rPr>
          <w:rFonts w:hint="eastAsia"/>
          <w:bCs/>
          <w:u w:val="single"/>
        </w:rPr>
        <w:t>尼泊尔卢比数额</w:t>
      </w:r>
    </w:p>
    <w:p w:rsidR="00000000" w:rsidRDefault="008739CC">
      <w:pPr>
        <w:ind w:left="520" w:firstLine="510"/>
      </w:pPr>
      <w:r>
        <w:rPr>
          <w:rFonts w:hint="eastAsia"/>
        </w:rPr>
        <w:t>小学</w:t>
      </w:r>
      <w:r>
        <w:tab/>
      </w:r>
      <w:r>
        <w:tab/>
      </w:r>
      <w:r>
        <w:tab/>
      </w:r>
      <w:r>
        <w:tab/>
      </w:r>
      <w:r>
        <w:tab/>
        <w:t>10,000</w:t>
      </w:r>
    </w:p>
    <w:p w:rsidR="00000000" w:rsidRDefault="008739CC">
      <w:pPr>
        <w:ind w:left="520" w:firstLine="510"/>
      </w:pPr>
      <w:r>
        <w:rPr>
          <w:rFonts w:hint="eastAsia"/>
        </w:rPr>
        <w:t>初级中学</w:t>
      </w:r>
      <w:r>
        <w:tab/>
      </w:r>
      <w:r>
        <w:tab/>
      </w:r>
      <w:r>
        <w:tab/>
      </w:r>
      <w:r>
        <w:tab/>
        <w:t>12,000</w:t>
      </w:r>
    </w:p>
    <w:p w:rsidR="00000000" w:rsidRDefault="008739CC">
      <w:pPr>
        <w:ind w:left="520" w:firstLine="510"/>
      </w:pPr>
      <w:r>
        <w:rPr>
          <w:rFonts w:hint="eastAsia"/>
        </w:rPr>
        <w:t>中学</w:t>
      </w:r>
      <w:r>
        <w:tab/>
      </w:r>
      <w:r>
        <w:tab/>
      </w:r>
      <w:r>
        <w:tab/>
      </w:r>
      <w:r>
        <w:tab/>
      </w:r>
      <w:r>
        <w:tab/>
        <w:t>14,000</w:t>
      </w:r>
    </w:p>
    <w:p w:rsidR="00000000" w:rsidRDefault="008739CC">
      <w:pPr>
        <w:ind w:left="520" w:firstLine="510"/>
      </w:pPr>
      <w:r>
        <w:rPr>
          <w:rFonts w:hint="eastAsia"/>
        </w:rPr>
        <w:t>高级中学</w:t>
      </w:r>
      <w:r>
        <w:tab/>
      </w:r>
      <w:r>
        <w:tab/>
      </w:r>
      <w:r>
        <w:tab/>
      </w:r>
      <w:r>
        <w:tab/>
        <w:t>16,0</w:t>
      </w:r>
      <w:r>
        <w:t>00</w:t>
      </w:r>
    </w:p>
    <w:p w:rsidR="00000000" w:rsidRDefault="008739CC">
      <w:pPr>
        <w:ind w:left="520" w:firstLine="510"/>
      </w:pPr>
      <w:r>
        <w:rPr>
          <w:rFonts w:hint="eastAsia"/>
        </w:rPr>
        <w:t>学士</w:t>
      </w:r>
      <w:r>
        <w:tab/>
      </w:r>
      <w:r>
        <w:tab/>
      </w:r>
      <w:r>
        <w:tab/>
      </w:r>
      <w:r>
        <w:tab/>
      </w:r>
      <w:r>
        <w:tab/>
        <w:t>18,000</w:t>
      </w:r>
    </w:p>
    <w:p w:rsidR="00000000" w:rsidRDefault="008739CC">
      <w:pPr>
        <w:ind w:left="520" w:firstLine="510"/>
      </w:pPr>
      <w:r>
        <w:rPr>
          <w:rFonts w:hint="eastAsia"/>
        </w:rPr>
        <w:t>硕士</w:t>
      </w:r>
      <w:r>
        <w:tab/>
      </w:r>
      <w:r>
        <w:tab/>
      </w:r>
      <w:r>
        <w:tab/>
      </w:r>
      <w:r>
        <w:tab/>
      </w:r>
      <w:r>
        <w:tab/>
        <w:t>20,000</w:t>
      </w:r>
    </w:p>
    <w:p w:rsidR="00000000" w:rsidRDefault="008739CC">
      <w:pPr>
        <w:spacing w:after="240"/>
        <w:ind w:firstLine="510"/>
      </w:pPr>
      <w:r>
        <w:rPr>
          <w:rFonts w:hint="eastAsia"/>
        </w:rPr>
        <w:t>于</w:t>
      </w:r>
      <w:r>
        <w:t>2005/06</w:t>
      </w:r>
      <w:r>
        <w:rPr>
          <w:rFonts w:hint="eastAsia"/>
        </w:rPr>
        <w:t>财政年度向</w:t>
      </w:r>
      <w:r>
        <w:rPr>
          <w:rFonts w:hint="eastAsia"/>
        </w:rPr>
        <w:t>1,012</w:t>
      </w:r>
      <w:r>
        <w:rPr>
          <w:rFonts w:hint="eastAsia"/>
        </w:rPr>
        <w:t>名学生提供了</w:t>
      </w:r>
      <w:r>
        <w:rPr>
          <w:rFonts w:hint="eastAsia"/>
        </w:rPr>
        <w:t>1,300</w:t>
      </w:r>
      <w:r>
        <w:rPr>
          <w:rFonts w:hint="eastAsia"/>
        </w:rPr>
        <w:t>万卢比的奖学金。</w:t>
      </w:r>
    </w:p>
    <w:p w:rsidR="00000000" w:rsidRDefault="008739CC">
      <w:pPr>
        <w:pStyle w:val="Heading4"/>
      </w:pPr>
      <w:r>
        <w:rPr>
          <w:rFonts w:hint="eastAsia"/>
        </w:rPr>
        <w:t>寡妇津贴</w:t>
      </w:r>
    </w:p>
    <w:p w:rsidR="00000000" w:rsidRDefault="008739CC">
      <w:pPr>
        <w:spacing w:after="240"/>
        <w:ind w:firstLine="510"/>
      </w:pPr>
      <w:r>
        <w:t>49.</w:t>
      </w:r>
      <w:r>
        <w:tab/>
      </w:r>
      <w:r>
        <w:rPr>
          <w:rFonts w:hint="eastAsia"/>
        </w:rPr>
        <w:t>冲突期间受害者的寡妇和</w:t>
      </w:r>
      <w:r>
        <w:rPr>
          <w:rFonts w:hint="eastAsia"/>
        </w:rPr>
        <w:t>(</w:t>
      </w:r>
      <w:r>
        <w:rPr>
          <w:rFonts w:hint="eastAsia"/>
        </w:rPr>
        <w:t>或</w:t>
      </w:r>
      <w:r>
        <w:rPr>
          <w:rFonts w:hint="eastAsia"/>
        </w:rPr>
        <w:t>)</w:t>
      </w:r>
      <w:r>
        <w:rPr>
          <w:rFonts w:hint="eastAsia"/>
        </w:rPr>
        <w:t>鳏夫每月获得</w:t>
      </w:r>
      <w:r>
        <w:rPr>
          <w:rFonts w:hint="eastAsia"/>
        </w:rPr>
        <w:t>100</w:t>
      </w:r>
      <w:r>
        <w:rPr>
          <w:rFonts w:hint="eastAsia"/>
        </w:rPr>
        <w:t>卢比的生活津贴。</w:t>
      </w:r>
      <w:r>
        <w:t>2005/06</w:t>
      </w:r>
      <w:r>
        <w:rPr>
          <w:rFonts w:hint="eastAsia"/>
        </w:rPr>
        <w:t>财政年度向</w:t>
      </w:r>
      <w:r>
        <w:rPr>
          <w:rFonts w:hint="eastAsia"/>
        </w:rPr>
        <w:t>1,135</w:t>
      </w:r>
      <w:r>
        <w:rPr>
          <w:rFonts w:hint="eastAsia"/>
        </w:rPr>
        <w:t>名此类人员发放了</w:t>
      </w:r>
      <w:r>
        <w:t>136.2</w:t>
      </w:r>
      <w:r>
        <w:rPr>
          <w:rFonts w:hint="eastAsia"/>
        </w:rPr>
        <w:t>万卢比。</w:t>
      </w:r>
    </w:p>
    <w:p w:rsidR="00000000" w:rsidRDefault="008739CC">
      <w:pPr>
        <w:pStyle w:val="Heading4"/>
      </w:pPr>
      <w:r>
        <w:rPr>
          <w:rFonts w:hint="eastAsia"/>
        </w:rPr>
        <w:t>基金的支应</w:t>
      </w:r>
    </w:p>
    <w:p w:rsidR="00000000" w:rsidRDefault="008739CC">
      <w:pPr>
        <w:ind w:firstLine="510"/>
      </w:pPr>
      <w:r>
        <w:t>50.</w:t>
      </w:r>
      <w:r>
        <w:tab/>
      </w:r>
      <w:r>
        <w:rPr>
          <w:rFonts w:hint="eastAsia"/>
        </w:rPr>
        <w:t>政府着手设立信托基金，以便援助冲突事件的受害者。政府将为这项基金提供一些种子款项，另外一些愿意这样做的非政府组织和国际非政府组织或许会自愿捐助这项基金。</w:t>
      </w:r>
    </w:p>
    <w:p w:rsidR="00000000" w:rsidRDefault="008739CC">
      <w:pPr>
        <w:spacing w:after="320"/>
        <w:ind w:firstLine="510"/>
      </w:pPr>
      <w:r>
        <w:t>51.</w:t>
      </w:r>
      <w:r>
        <w:tab/>
      </w:r>
      <w:r>
        <w:rPr>
          <w:rFonts w:hint="eastAsia"/>
        </w:rPr>
        <w:t>目前同财政、教育和体育以及地方发展部密切合</w:t>
      </w:r>
      <w:r>
        <w:rPr>
          <w:rFonts w:hint="eastAsia"/>
        </w:rPr>
        <w:t>作，实施上述活动。实施这些措施所需预算约为</w:t>
      </w:r>
      <w:r>
        <w:rPr>
          <w:rFonts w:hint="eastAsia"/>
        </w:rPr>
        <w:t>9</w:t>
      </w:r>
      <w:r>
        <w:rPr>
          <w:rFonts w:hint="eastAsia"/>
        </w:rPr>
        <w:t>千</w:t>
      </w:r>
      <w:r>
        <w:rPr>
          <w:rFonts w:hint="eastAsia"/>
        </w:rPr>
        <w:t>1</w:t>
      </w:r>
      <w:r>
        <w:rPr>
          <w:rFonts w:hint="eastAsia"/>
        </w:rPr>
        <w:t>百万卢比。这些措施是一年到头都执行的。</w:t>
      </w:r>
    </w:p>
    <w:p w:rsidR="00000000" w:rsidRDefault="008739CC">
      <w:pPr>
        <w:pStyle w:val="Heading3"/>
        <w:rPr>
          <w:rFonts w:hint="eastAsia"/>
        </w:rPr>
      </w:pPr>
      <w:r>
        <w:rPr>
          <w:u w:val="none"/>
        </w:rPr>
        <w:t xml:space="preserve">3.  </w:t>
      </w:r>
      <w:r>
        <w:rPr>
          <w:rFonts w:hint="eastAsia"/>
        </w:rPr>
        <w:t>重</w:t>
      </w:r>
      <w:r>
        <w:t xml:space="preserve">  </w:t>
      </w:r>
      <w:r>
        <w:rPr>
          <w:rFonts w:hint="eastAsia"/>
        </w:rPr>
        <w:t>建</w:t>
      </w:r>
    </w:p>
    <w:p w:rsidR="00000000" w:rsidRDefault="008739CC">
      <w:pPr>
        <w:spacing w:after="320"/>
        <w:ind w:firstLine="510"/>
      </w:pPr>
      <w:r>
        <w:t>52.</w:t>
      </w:r>
      <w:r>
        <w:tab/>
      </w:r>
      <w:r>
        <w:rPr>
          <w:rFonts w:hint="eastAsia"/>
        </w:rPr>
        <w:t>尼泊尔政府为冲突期间损坏的公共基本设施拨款</w:t>
      </w:r>
      <w:r>
        <w:rPr>
          <w:rFonts w:hint="eastAsia"/>
        </w:rPr>
        <w:t>7</w:t>
      </w:r>
      <w:r>
        <w:rPr>
          <w:rFonts w:hint="eastAsia"/>
        </w:rPr>
        <w:t>亿卢比。</w:t>
      </w:r>
    </w:p>
    <w:p w:rsidR="00000000" w:rsidRDefault="008739CC">
      <w:pPr>
        <w:pStyle w:val="Heading3"/>
        <w:rPr>
          <w:rFonts w:hint="eastAsia"/>
        </w:rPr>
      </w:pPr>
      <w:r>
        <w:rPr>
          <w:u w:val="none"/>
        </w:rPr>
        <w:t xml:space="preserve">4.  </w:t>
      </w:r>
      <w:r>
        <w:rPr>
          <w:rFonts w:hint="eastAsia"/>
        </w:rPr>
        <w:t>国内流离失所人员有关资料的管理、监督和评估</w:t>
      </w:r>
    </w:p>
    <w:p w:rsidR="00000000" w:rsidRDefault="008739CC">
      <w:pPr>
        <w:ind w:firstLine="510"/>
      </w:pPr>
      <w:r>
        <w:t>53.</w:t>
      </w:r>
      <w:r>
        <w:tab/>
      </w:r>
      <w:r>
        <w:rPr>
          <w:rFonts w:hint="eastAsia"/>
        </w:rPr>
        <w:t>已经拟订表格，发给全国</w:t>
      </w:r>
      <w:r>
        <w:rPr>
          <w:rFonts w:hint="eastAsia"/>
        </w:rPr>
        <w:t>75</w:t>
      </w:r>
      <w:r>
        <w:rPr>
          <w:rFonts w:hint="eastAsia"/>
        </w:rPr>
        <w:t>个地区，以便收集流离失所人员的有关数据。在鉴定和收集数据的方法还在设计的时候，收集资料、保持最新记录、监督和评估等工作已经开始进行。</w:t>
      </w:r>
    </w:p>
    <w:p w:rsidR="00000000" w:rsidRDefault="008739CC">
      <w:pPr>
        <w:spacing w:after="240"/>
        <w:ind w:firstLine="510"/>
      </w:pPr>
      <w:r>
        <w:t>54.</w:t>
      </w:r>
      <w:r>
        <w:tab/>
      </w:r>
      <w:r>
        <w:rPr>
          <w:rFonts w:hint="eastAsia"/>
        </w:rPr>
        <w:t>由于全国的冲突已经正式结束，无论从恢复正常生活以及人权和生活状况持续改善来说，都会对流离失所人员问题的质与量产生影响</w:t>
      </w:r>
      <w:r>
        <w:rPr>
          <w:rFonts w:hint="eastAsia"/>
        </w:rPr>
        <w:t>。《全面和平协定》也为流离失所人员返回原籍地事宜作了规定。</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 xml:space="preserve">11  </w:t>
      </w:r>
      <w:r>
        <w:rPr>
          <w:rFonts w:ascii="Time New Roman" w:eastAsia="SimHei" w:hAnsi="Time New Roman" w:hint="eastAsia"/>
          <w:u w:val="none"/>
        </w:rPr>
        <w:t>妇女地位</w:t>
      </w:r>
    </w:p>
    <w:p w:rsidR="00000000" w:rsidRDefault="008739CC">
      <w:pPr>
        <w:ind w:firstLine="510"/>
      </w:pPr>
      <w:r>
        <w:t>55.</w:t>
      </w:r>
      <w:r>
        <w:tab/>
      </w:r>
      <w:r>
        <w:rPr>
          <w:rFonts w:hint="eastAsia"/>
        </w:rPr>
        <w:t>最近，众议院制定了一项新的《建立性别公平条例》。根据该《条例》，修改了十六项条例和《王国法》的许多歧视性规定。有一个强制性条款规定必须在议会和地方机构的选举中保留候选人的名额。</w:t>
      </w:r>
    </w:p>
    <w:p w:rsidR="00000000" w:rsidRDefault="008739CC">
      <w:pPr>
        <w:spacing w:after="240"/>
        <w:ind w:firstLine="510"/>
      </w:pPr>
      <w:r>
        <w:t>56.</w:t>
      </w:r>
      <w:r>
        <w:tab/>
      </w:r>
      <w:r>
        <w:rPr>
          <w:rFonts w:hint="eastAsia"/>
        </w:rPr>
        <w:t>另外，众议院通过一项引起公众关注的决议，保证所有地区和所有层级至少为妇女保留</w:t>
      </w:r>
      <w:r>
        <w:rPr>
          <w:rFonts w:hint="eastAsia"/>
        </w:rPr>
        <w:t>33%</w:t>
      </w:r>
      <w:r>
        <w:rPr>
          <w:rFonts w:hint="eastAsia"/>
        </w:rPr>
        <w:t>的席次。最近通过一项新的《公民资格条例》，保证在获得公民资格方面妇女有同男子一样的平等权利。</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12</w:t>
      </w:r>
      <w:r>
        <w:rPr>
          <w:rFonts w:ascii="Time New Roman" w:eastAsia="SimHei" w:hAnsi="Time New Roman"/>
          <w:u w:val="none"/>
        </w:rPr>
        <w:t xml:space="preserve">.  </w:t>
      </w:r>
      <w:r>
        <w:rPr>
          <w:rFonts w:ascii="Time New Roman" w:eastAsia="SimHei" w:hAnsi="Time New Roman" w:hint="eastAsia"/>
          <w:u w:val="none"/>
        </w:rPr>
        <w:t>批准《保护所有移徙工人及其家庭成员的权利国际公</w:t>
      </w:r>
      <w:r>
        <w:rPr>
          <w:rFonts w:ascii="Time New Roman" w:eastAsia="SimHei" w:hAnsi="Time New Roman" w:hint="eastAsia"/>
          <w:u w:val="none"/>
        </w:rPr>
        <w:t>约》</w:t>
      </w:r>
    </w:p>
    <w:p w:rsidR="00000000" w:rsidRDefault="008739CC">
      <w:pPr>
        <w:spacing w:after="240"/>
        <w:ind w:firstLine="510"/>
      </w:pPr>
      <w:r>
        <w:t>57.</w:t>
      </w:r>
      <w:r>
        <w:tab/>
      </w:r>
      <w:r>
        <w:rPr>
          <w:rFonts w:hint="eastAsia"/>
        </w:rPr>
        <w:t>尼泊尔已经在国内外承认工人的权利，最近获得国际移民组织的正式成员资格。将为移徙工人的利益开展更多的工作。</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13</w:t>
      </w:r>
      <w:r>
        <w:rPr>
          <w:rFonts w:ascii="Time New Roman" w:eastAsia="SimHei" w:hAnsi="Time New Roman"/>
          <w:u w:val="none"/>
        </w:rPr>
        <w:t xml:space="preserve">.  </w:t>
      </w:r>
      <w:r>
        <w:rPr>
          <w:rFonts w:ascii="Time New Roman" w:eastAsia="SimHei" w:hAnsi="Time New Roman" w:hint="eastAsia"/>
          <w:u w:val="none"/>
        </w:rPr>
        <w:t>批准国际劳工组织第</w:t>
      </w:r>
      <w:r>
        <w:rPr>
          <w:rFonts w:ascii="Time New Roman" w:eastAsia="SimHei" w:hAnsi="Time New Roman" w:hint="eastAsia"/>
          <w:b/>
          <w:u w:val="none"/>
        </w:rPr>
        <w:t>87</w:t>
      </w:r>
      <w:r>
        <w:rPr>
          <w:rFonts w:ascii="Time New Roman" w:eastAsia="SimHei" w:hAnsi="Time New Roman" w:hint="eastAsia"/>
          <w:u w:val="none"/>
        </w:rPr>
        <w:t>号、第</w:t>
      </w:r>
      <w:r>
        <w:rPr>
          <w:rFonts w:ascii="Time New Roman" w:eastAsia="SimHei" w:hAnsi="Time New Roman" w:hint="eastAsia"/>
          <w:b/>
          <w:u w:val="none"/>
        </w:rPr>
        <w:t>105</w:t>
      </w:r>
      <w:r>
        <w:rPr>
          <w:rFonts w:ascii="Time New Roman" w:eastAsia="SimHei" w:hAnsi="Time New Roman" w:hint="eastAsia"/>
          <w:u w:val="none"/>
        </w:rPr>
        <w:t>号和第</w:t>
      </w:r>
      <w:r>
        <w:rPr>
          <w:rFonts w:ascii="Time New Roman" w:eastAsia="SimHei" w:hAnsi="Time New Roman" w:hint="eastAsia"/>
          <w:b/>
          <w:u w:val="none"/>
        </w:rPr>
        <w:t>169</w:t>
      </w:r>
      <w:r>
        <w:rPr>
          <w:rFonts w:ascii="Time New Roman" w:eastAsia="SimHei" w:hAnsi="Time New Roman" w:hint="eastAsia"/>
          <w:u w:val="none"/>
        </w:rPr>
        <w:t>号公约</w:t>
      </w:r>
    </w:p>
    <w:p w:rsidR="00000000" w:rsidRDefault="008739CC">
      <w:pPr>
        <w:ind w:firstLine="510"/>
      </w:pPr>
      <w:r>
        <w:t>58.</w:t>
      </w:r>
      <w:r>
        <w:tab/>
      </w:r>
      <w:r>
        <w:rPr>
          <w:rFonts w:hint="eastAsia"/>
        </w:rPr>
        <w:t>虽然尼泊尔还没有批准上述公约，我国已经承认这些公约，将其规定纳入刚刚被替换的《</w:t>
      </w:r>
      <w:r>
        <w:rPr>
          <w:rFonts w:hint="eastAsia"/>
        </w:rPr>
        <w:t>1990</w:t>
      </w:r>
      <w:r>
        <w:rPr>
          <w:rFonts w:hint="eastAsia"/>
        </w:rPr>
        <w:t>年尼泊尔王国宪法》、新近公布的《</w:t>
      </w:r>
      <w:r>
        <w:rPr>
          <w:rFonts w:hint="eastAsia"/>
        </w:rPr>
        <w:t>2007</w:t>
      </w:r>
      <w:r>
        <w:rPr>
          <w:rFonts w:hint="eastAsia"/>
        </w:rPr>
        <w:t>年临时宪法》以及现行规则与规章。《临时宪法》禁止基于阶级、种姓、宗教、性别、部落和职业的一切形式的歧视。同样，《</w:t>
      </w:r>
      <w:r>
        <w:rPr>
          <w:rFonts w:hint="eastAsia"/>
        </w:rPr>
        <w:t>1991</w:t>
      </w:r>
      <w:r>
        <w:rPr>
          <w:rFonts w:hint="eastAsia"/>
        </w:rPr>
        <w:t>年劳工条例》保证结社自由和集体谈判的自由。《</w:t>
      </w:r>
      <w:r>
        <w:rPr>
          <w:rFonts w:hint="eastAsia"/>
        </w:rPr>
        <w:t>2006</w:t>
      </w:r>
      <w:r>
        <w:rPr>
          <w:rFonts w:hint="eastAsia"/>
        </w:rPr>
        <w:t>年劳动就业政策》为</w:t>
      </w:r>
      <w:r>
        <w:rPr>
          <w:rFonts w:hint="eastAsia"/>
        </w:rPr>
        <w:t>各种工会和劳工活动提供主要框架。同样，《</w:t>
      </w:r>
      <w:r>
        <w:rPr>
          <w:rFonts w:hint="eastAsia"/>
        </w:rPr>
        <w:t>2001</w:t>
      </w:r>
      <w:r>
        <w:rPr>
          <w:rFonts w:hint="eastAsia"/>
        </w:rPr>
        <w:t>年债役劳工</w:t>
      </w:r>
      <w:r>
        <w:rPr>
          <w:rFonts w:hint="eastAsia"/>
        </w:rPr>
        <w:t>(</w:t>
      </w:r>
      <w:r>
        <w:rPr>
          <w:rFonts w:hint="eastAsia"/>
        </w:rPr>
        <w:t>禁止</w:t>
      </w:r>
      <w:r>
        <w:rPr>
          <w:rFonts w:hint="eastAsia"/>
        </w:rPr>
        <w:t>)</w:t>
      </w:r>
      <w:r>
        <w:rPr>
          <w:rFonts w:hint="eastAsia"/>
        </w:rPr>
        <w:t>条例》解放了传统上为地主劳动的所有债役工。</w:t>
      </w:r>
    </w:p>
    <w:p w:rsidR="00000000" w:rsidRDefault="008739CC">
      <w:pPr>
        <w:spacing w:after="240"/>
        <w:ind w:firstLine="510"/>
      </w:pPr>
      <w:r>
        <w:t>59.</w:t>
      </w:r>
      <w:r>
        <w:tab/>
      </w:r>
      <w:r>
        <w:rPr>
          <w:rFonts w:hint="eastAsia"/>
        </w:rPr>
        <w:t>政府已经设立一个工作组，研究批准上述《公约》引起的义务所涉及的问题。</w:t>
      </w:r>
    </w:p>
    <w:p w:rsidR="00000000" w:rsidRDefault="008739CC" w:rsidP="008739CC">
      <w:pPr>
        <w:pStyle w:val="Heading4"/>
        <w:ind w:left="31680" w:hangingChars="463" w:firstLine="31680"/>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14</w:t>
      </w:r>
      <w:r>
        <w:rPr>
          <w:rFonts w:ascii="Time New Roman" w:eastAsia="SimHei" w:hAnsi="Time New Roman"/>
          <w:u w:val="none"/>
        </w:rPr>
        <w:t xml:space="preserve">.  </w:t>
      </w:r>
      <w:r>
        <w:rPr>
          <w:rFonts w:ascii="Time New Roman" w:eastAsia="SimHei" w:hAnsi="Time New Roman" w:hint="eastAsia"/>
          <w:u w:val="none"/>
        </w:rPr>
        <w:t>在立法和其他方面为拆除就业时遇到的基于种姓或性别的壁垒所作的努力及其成果</w:t>
      </w:r>
    </w:p>
    <w:p w:rsidR="00000000" w:rsidRDefault="008739CC">
      <w:pPr>
        <w:spacing w:after="240"/>
        <w:ind w:firstLine="510"/>
      </w:pPr>
      <w:r>
        <w:t>60.</w:t>
      </w:r>
      <w:r>
        <w:tab/>
      </w:r>
      <w:r>
        <w:rPr>
          <w:rFonts w:hint="eastAsia"/>
        </w:rPr>
        <w:t>任何人在就业和</w:t>
      </w:r>
      <w:r>
        <w:rPr>
          <w:rFonts w:hint="eastAsia"/>
        </w:rPr>
        <w:t>(</w:t>
      </w:r>
      <w:r>
        <w:rPr>
          <w:rFonts w:hint="eastAsia"/>
        </w:rPr>
        <w:t>或</w:t>
      </w:r>
      <w:r>
        <w:rPr>
          <w:rFonts w:hint="eastAsia"/>
        </w:rPr>
        <w:t>)</w:t>
      </w:r>
      <w:r>
        <w:rPr>
          <w:rFonts w:hint="eastAsia"/>
        </w:rPr>
        <w:t>加入任何职业时不会遇到任何壁垒和</w:t>
      </w:r>
      <w:r>
        <w:rPr>
          <w:rFonts w:hint="eastAsia"/>
        </w:rPr>
        <w:t>(</w:t>
      </w:r>
      <w:r>
        <w:rPr>
          <w:rFonts w:hint="eastAsia"/>
        </w:rPr>
        <w:t>或</w:t>
      </w:r>
      <w:r>
        <w:rPr>
          <w:rFonts w:hint="eastAsia"/>
        </w:rPr>
        <w:t>)</w:t>
      </w:r>
      <w:r>
        <w:rPr>
          <w:rFonts w:hint="eastAsia"/>
        </w:rPr>
        <w:t>限制。为促使妇女、达利特人和土著以及其他边缘族群广泛参加、并且为这种参与创造辅助环境，政府考虑采取积极扶助政策。为了落实这个构想，临时议会正在审议《</w:t>
      </w:r>
      <w:r>
        <w:rPr>
          <w:rFonts w:hint="eastAsia"/>
        </w:rPr>
        <w:t>1992</w:t>
      </w:r>
      <w:r>
        <w:rPr>
          <w:rFonts w:hint="eastAsia"/>
        </w:rPr>
        <w:t>年公务员服务条</w:t>
      </w:r>
      <w:r>
        <w:rPr>
          <w:rFonts w:hint="eastAsia"/>
        </w:rPr>
        <w:t>例法案》，其中载有在公务员制度中扶持妇女、达利特人、平原人、</w:t>
      </w:r>
      <w:r>
        <w:t>Janajatis</w:t>
      </w:r>
      <w:r>
        <w:rPr>
          <w:rFonts w:hint="eastAsia"/>
        </w:rPr>
        <w:t>和残疾人的规定。</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15</w:t>
      </w:r>
      <w:r>
        <w:rPr>
          <w:rFonts w:ascii="Time New Roman" w:eastAsia="SimHei" w:hAnsi="Time New Roman"/>
          <w:u w:val="none"/>
        </w:rPr>
        <w:t xml:space="preserve">.  </w:t>
      </w:r>
      <w:r>
        <w:rPr>
          <w:rFonts w:ascii="Time New Roman" w:eastAsia="SimHei" w:hAnsi="Time New Roman" w:hint="eastAsia"/>
          <w:color w:val="000000"/>
          <w:u w:val="none"/>
        </w:rPr>
        <w:t>为</w:t>
      </w:r>
      <w:r>
        <w:rPr>
          <w:rFonts w:ascii="Time New Roman" w:eastAsia="SimHei" w:hAnsi="Time New Roman" w:hint="eastAsia"/>
          <w:u w:val="none"/>
        </w:rPr>
        <w:t>有效促进就业采取的措施</w:t>
      </w:r>
    </w:p>
    <w:p w:rsidR="00000000" w:rsidRDefault="008739CC">
      <w:pPr>
        <w:spacing w:after="240"/>
        <w:ind w:firstLine="510"/>
      </w:pPr>
      <w:r>
        <w:t>61.</w:t>
      </w:r>
      <w:r>
        <w:tab/>
      </w:r>
      <w:r>
        <w:rPr>
          <w:rFonts w:hint="eastAsia"/>
        </w:rPr>
        <w:t>尼泊尔政府已经强调重视职业及技能培训，使学员在毕业以后能够成为个体经营者，从而解决就业不足和失业问题。有一些机构能够提供这种培训，包括职业及技能发展培训学院、技术教育及职业培训理事会以及村舍和小型工业培训中心。除此以外，个别人士也受到外国就业机会的吸引。</w:t>
      </w:r>
    </w:p>
    <w:p w:rsidR="00000000" w:rsidRDefault="008739CC">
      <w:pPr>
        <w:pStyle w:val="Heading4"/>
        <w:rPr>
          <w:rFonts w:ascii="Time New Roman" w:eastAsia="SimHei" w:hAnsi="Time New Roman"/>
          <w:spacing w:val="6"/>
          <w:u w:val="none"/>
        </w:rPr>
      </w:pPr>
      <w:r>
        <w:rPr>
          <w:rFonts w:ascii="Time New Roman" w:eastAsia="SimHei" w:hAnsi="Time New Roman" w:hint="eastAsia"/>
          <w:spacing w:val="6"/>
          <w:u w:val="none"/>
        </w:rPr>
        <w:t>问题</w:t>
      </w:r>
      <w:r>
        <w:rPr>
          <w:rFonts w:ascii="Time New Roman" w:eastAsia="SimHei" w:hAnsi="Time New Roman"/>
          <w:b/>
          <w:spacing w:val="6"/>
          <w:u w:val="none"/>
        </w:rPr>
        <w:t>16</w:t>
      </w:r>
      <w:r>
        <w:rPr>
          <w:rFonts w:ascii="Time New Roman" w:eastAsia="SimHei" w:hAnsi="Time New Roman"/>
          <w:spacing w:val="6"/>
          <w:u w:val="none"/>
        </w:rPr>
        <w:t xml:space="preserve">. </w:t>
      </w:r>
      <w:r>
        <w:rPr>
          <w:rFonts w:ascii="Time New Roman" w:eastAsia="SimHei" w:hAnsi="Time New Roman" w:hint="eastAsia"/>
          <w:spacing w:val="6"/>
          <w:u w:val="none"/>
        </w:rPr>
        <w:t xml:space="preserve"> </w:t>
      </w:r>
      <w:r>
        <w:rPr>
          <w:rFonts w:ascii="Time New Roman" w:eastAsia="SimHei" w:hAnsi="Time New Roman" w:hint="eastAsia"/>
          <w:spacing w:val="6"/>
          <w:u w:val="none"/>
        </w:rPr>
        <w:t>努力确保在国外就业的尼泊尔移徙工人能够享受其经济、社会及文化权利</w:t>
      </w:r>
    </w:p>
    <w:p w:rsidR="00000000" w:rsidRDefault="008739CC">
      <w:pPr>
        <w:ind w:firstLine="510"/>
      </w:pPr>
      <w:r>
        <w:t>62.</w:t>
      </w:r>
      <w:r>
        <w:tab/>
      </w:r>
      <w:r>
        <w:rPr>
          <w:rFonts w:hint="eastAsia"/>
        </w:rPr>
        <w:t>尼泊尔政府同卡塔尔国缔结</w:t>
      </w:r>
      <w:r>
        <w:rPr>
          <w:rFonts w:hint="eastAsia"/>
        </w:rPr>
        <w:t>了劳工问题《谅解备忘录》。政府也打算同有许多尼泊尔工人前往就业的另一些国家缔结同样的《谅解备忘录》。尼泊尔与印度的国民，互相往来，无需办理签证手续。尼泊尔的国外使、领馆历来在其驻在国为保护尼泊尔移徙工人的利益而努力。</w:t>
      </w:r>
    </w:p>
    <w:p w:rsidR="00000000" w:rsidRDefault="008739CC">
      <w:pPr>
        <w:spacing w:after="240"/>
        <w:ind w:firstLine="510"/>
      </w:pPr>
      <w:r>
        <w:t>63.</w:t>
      </w:r>
      <w:r>
        <w:tab/>
      </w:r>
      <w:r>
        <w:rPr>
          <w:rFonts w:hint="eastAsia"/>
        </w:rPr>
        <w:t>尼泊尔加入国际移民组织以来，显然期望保证移徙工人的经济、社会及文化权利。</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17</w:t>
      </w:r>
      <w:r>
        <w:rPr>
          <w:rFonts w:ascii="Time New Roman" w:eastAsia="SimHei" w:hAnsi="Time New Roman"/>
          <w:u w:val="none"/>
        </w:rPr>
        <w:t xml:space="preserve">.  </w:t>
      </w:r>
      <w:r>
        <w:rPr>
          <w:rFonts w:ascii="Time New Roman" w:eastAsia="SimHei" w:hAnsi="Time New Roman" w:hint="eastAsia"/>
          <w:u w:val="none"/>
        </w:rPr>
        <w:t>关于就业、失业和就业不足的情况、程度和趋势的资料</w:t>
      </w:r>
    </w:p>
    <w:p w:rsidR="00000000" w:rsidRDefault="008739CC">
      <w:pPr>
        <w:spacing w:after="240"/>
        <w:ind w:firstLine="510"/>
      </w:pPr>
      <w:r>
        <w:t>64.</w:t>
      </w:r>
      <w:r>
        <w:tab/>
      </w:r>
      <w:r>
        <w:rPr>
          <w:rFonts w:hint="eastAsia"/>
        </w:rPr>
        <w:t>尼泊尔政府计划在今年举行劳工调查。</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18</w:t>
      </w:r>
      <w:r>
        <w:rPr>
          <w:rFonts w:ascii="Time New Roman" w:eastAsia="SimHei" w:hAnsi="Time New Roman"/>
          <w:u w:val="none"/>
        </w:rPr>
        <w:t xml:space="preserve">.  </w:t>
      </w:r>
      <w:r>
        <w:rPr>
          <w:rFonts w:ascii="Time New Roman" w:eastAsia="SimHei" w:hAnsi="Time New Roman" w:hint="eastAsia"/>
          <w:b/>
          <w:u w:val="none"/>
        </w:rPr>
        <w:t>1995</w:t>
      </w:r>
      <w:r>
        <w:rPr>
          <w:rFonts w:ascii="Time New Roman" w:eastAsia="SimHei" w:hAnsi="Time New Roman" w:hint="eastAsia"/>
          <w:u w:val="none"/>
        </w:rPr>
        <w:t>年实施的社会保险计划</w:t>
      </w:r>
    </w:p>
    <w:p w:rsidR="00000000" w:rsidRDefault="008739CC">
      <w:pPr>
        <w:spacing w:after="240"/>
        <w:ind w:firstLine="510"/>
      </w:pPr>
      <w:r>
        <w:t>65.</w:t>
      </w:r>
      <w:r>
        <w:tab/>
      </w:r>
      <w:r>
        <w:rPr>
          <w:rFonts w:hint="eastAsia"/>
        </w:rPr>
        <w:t>全国</w:t>
      </w:r>
      <w:r>
        <w:rPr>
          <w:rFonts w:hint="eastAsia"/>
        </w:rPr>
        <w:t>75</w:t>
      </w:r>
      <w:r>
        <w:rPr>
          <w:rFonts w:hint="eastAsia"/>
        </w:rPr>
        <w:t>个地区都实行了社会保险。这项计划针对各阶级和</w:t>
      </w:r>
      <w:r>
        <w:rPr>
          <w:rFonts w:hint="eastAsia"/>
        </w:rPr>
        <w:t>种姓的老年人、寡妇和残疾的男子和妇女。超过</w:t>
      </w:r>
      <w:r>
        <w:rPr>
          <w:rFonts w:hint="eastAsia"/>
        </w:rPr>
        <w:t>75</w:t>
      </w:r>
      <w:r>
        <w:rPr>
          <w:rFonts w:hint="eastAsia"/>
        </w:rPr>
        <w:t>岁的老年公民、超过</w:t>
      </w:r>
      <w:r>
        <w:rPr>
          <w:rFonts w:hint="eastAsia"/>
        </w:rPr>
        <w:t>60</w:t>
      </w:r>
      <w:r>
        <w:rPr>
          <w:rFonts w:hint="eastAsia"/>
        </w:rPr>
        <w:t>岁的寡妇以及完全残疾的人根据这项计划每月获得津贴。</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19</w:t>
      </w:r>
      <w:r>
        <w:rPr>
          <w:rFonts w:ascii="Time New Roman" w:eastAsia="SimHei" w:hAnsi="Time New Roman"/>
          <w:u w:val="none"/>
        </w:rPr>
        <w:t xml:space="preserve">.  </w:t>
      </w:r>
      <w:r>
        <w:rPr>
          <w:rFonts w:ascii="Time New Roman" w:eastAsia="SimHei" w:hAnsi="Time New Roman" w:hint="eastAsia"/>
          <w:u w:val="none"/>
        </w:rPr>
        <w:t>为使被迫入伍的儿童复员所采取的措施</w:t>
      </w:r>
    </w:p>
    <w:p w:rsidR="00000000" w:rsidRDefault="008739CC">
      <w:pPr>
        <w:ind w:firstLine="510"/>
      </w:pPr>
      <w:r>
        <w:t>66.</w:t>
      </w:r>
      <w:r>
        <w:tab/>
      </w:r>
      <w:r>
        <w:rPr>
          <w:rFonts w:hint="eastAsia"/>
        </w:rPr>
        <w:t>妇女、儿童及社会福利部以及中央儿童福利局历来同儿童基金会、拯救儿童联盟</w:t>
      </w:r>
      <w:r>
        <w:rPr>
          <w:rFonts w:hint="eastAsia"/>
        </w:rPr>
        <w:t>(</w:t>
      </w:r>
      <w:r>
        <w:rPr>
          <w:rFonts w:hint="eastAsia"/>
        </w:rPr>
        <w:t>挪威、美利坚合众国和日本</w:t>
      </w:r>
      <w:r>
        <w:rPr>
          <w:rFonts w:hint="eastAsia"/>
        </w:rPr>
        <w:t>)</w:t>
      </w:r>
      <w:r>
        <w:rPr>
          <w:rFonts w:hint="eastAsia"/>
        </w:rPr>
        <w:t>、国际拯救委员会、贫困儿童教育方案、尼泊尔关切中心的童工</w:t>
      </w:r>
      <w:r>
        <w:rPr>
          <w:rFonts w:hint="eastAsia"/>
        </w:rPr>
        <w:t>(</w:t>
      </w:r>
      <w:r>
        <w:rPr>
          <w:rFonts w:hint="eastAsia"/>
        </w:rPr>
        <w:t>他们组织了一个叫做与军队和武装团体有关的儿童的团体</w:t>
      </w:r>
      <w:r>
        <w:rPr>
          <w:rFonts w:hint="eastAsia"/>
        </w:rPr>
        <w:t>)</w:t>
      </w:r>
      <w:r>
        <w:rPr>
          <w:rFonts w:hint="eastAsia"/>
        </w:rPr>
        <w:t>进行协调，以期解决这个问题。</w:t>
      </w:r>
    </w:p>
    <w:p w:rsidR="00000000" w:rsidRDefault="008739CC">
      <w:pPr>
        <w:ind w:firstLine="510"/>
      </w:pPr>
      <w:r>
        <w:t>67.</w:t>
      </w:r>
      <w:r>
        <w:tab/>
      </w:r>
      <w:r>
        <w:rPr>
          <w:rFonts w:hint="eastAsia"/>
        </w:rPr>
        <w:t>妇女、儿童及社会福利部已经指定一位联合秘书担任联络员，中央儿童福利委员会也成立了一个部委</w:t>
      </w:r>
      <w:r>
        <w:rPr>
          <w:rFonts w:hint="eastAsia"/>
        </w:rPr>
        <w:t>级的联合委员会，协助与军队和武装团体有关的儿童团体进行工作。</w:t>
      </w:r>
    </w:p>
    <w:p w:rsidR="00000000" w:rsidRDefault="008739CC">
      <w:pPr>
        <w:ind w:firstLine="510"/>
      </w:pPr>
      <w:r>
        <w:t>68.</w:t>
      </w:r>
      <w:r>
        <w:tab/>
      </w:r>
      <w:r>
        <w:rPr>
          <w:rFonts w:hint="eastAsia"/>
        </w:rPr>
        <w:t>中央儿童福利委员会为来自</w:t>
      </w:r>
      <w:r>
        <w:rPr>
          <w:rFonts w:hint="eastAsia"/>
        </w:rPr>
        <w:t>31</w:t>
      </w:r>
      <w:r>
        <w:rPr>
          <w:rFonts w:hint="eastAsia"/>
        </w:rPr>
        <w:t>个地区的</w:t>
      </w:r>
      <w:r>
        <w:rPr>
          <w:rFonts w:hint="eastAsia"/>
        </w:rPr>
        <w:t>31</w:t>
      </w:r>
      <w:r>
        <w:rPr>
          <w:rFonts w:hint="eastAsia"/>
        </w:rPr>
        <w:t>名保护干事实行辅导计划，告诉他们如何切实有效地处理这些问题。政府仍然致力于在一切情况下保护和促进儿童的权利，并且无条件保证致力于确保儿童不致于被征召入伍，从而丧失受教育和其他应该享有的特权的机会。</w:t>
      </w:r>
    </w:p>
    <w:p w:rsidR="00000000" w:rsidRDefault="008739CC">
      <w:pPr>
        <w:ind w:firstLine="510"/>
      </w:pPr>
      <w:r>
        <w:t>69.</w:t>
      </w:r>
      <w:r>
        <w:tab/>
      </w:r>
      <w:r>
        <w:rPr>
          <w:rFonts w:hint="eastAsia"/>
        </w:rPr>
        <w:t>《和平协定》中清楚地说明，毛派战斗员仍将留在军营内，已经开始核查和登记其详细情况。政府确保儿童不致被登记为士兵，如果发现有这样的情事，就应该立即复员。</w:t>
      </w:r>
    </w:p>
    <w:p w:rsidR="00000000" w:rsidRDefault="008739CC">
      <w:pPr>
        <w:spacing w:after="240"/>
        <w:ind w:firstLine="510"/>
      </w:pPr>
      <w:r>
        <w:t>70.</w:t>
      </w:r>
      <w:r>
        <w:tab/>
      </w:r>
      <w:r>
        <w:rPr>
          <w:rFonts w:hint="eastAsia"/>
        </w:rPr>
        <w:t>《和平协定》</w:t>
      </w:r>
      <w:r>
        <w:t>(</w:t>
      </w:r>
      <w:r>
        <w:rPr>
          <w:rFonts w:hint="eastAsia"/>
        </w:rPr>
        <w:t>第</w:t>
      </w:r>
      <w:r>
        <w:t>7.6</w:t>
      </w:r>
      <w:r>
        <w:rPr>
          <w:rFonts w:hint="eastAsia"/>
        </w:rPr>
        <w:t>条</w:t>
      </w:r>
      <w:r>
        <w:t>)</w:t>
      </w:r>
      <w:r>
        <w:rPr>
          <w:rFonts w:hint="eastAsia"/>
        </w:rPr>
        <w:t>确切说明，</w:t>
      </w:r>
      <w:r>
        <w:rPr>
          <w:rFonts w:hint="eastAsia"/>
        </w:rPr>
        <w:t>保护儿童是一个优先领域。</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20</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u w:val="none"/>
        </w:rPr>
        <w:t xml:space="preserve"> </w:t>
      </w:r>
      <w:r>
        <w:rPr>
          <w:rFonts w:ascii="Time New Roman" w:eastAsia="SimHei" w:hAnsi="Time New Roman" w:hint="eastAsia"/>
          <w:u w:val="none"/>
        </w:rPr>
        <w:t>儿童新娘问题及其取缔措施</w:t>
      </w:r>
    </w:p>
    <w:p w:rsidR="00000000" w:rsidRDefault="008739CC">
      <w:pPr>
        <w:spacing w:after="240"/>
        <w:ind w:firstLine="510"/>
      </w:pPr>
      <w:r>
        <w:t>71.</w:t>
      </w:r>
      <w:r>
        <w:tab/>
      </w:r>
      <w:r>
        <w:rPr>
          <w:rFonts w:hint="eastAsia"/>
        </w:rPr>
        <w:t>禁止儿童结婚，应该依法予以处罚。地区儿童福利委员会正在宣传取缔儿童结婚问题。不但鼓励人们避免发生这种情事，还展开宣传教育，反对这种做法。实行这些计划和教育以后，向地区儿童福利委员会报告的儿童结婚案件大为减少。许多非政府组织和社区性组织成为这种宣传教育的工作伙伴。中央儿童福利委员会向来支持</w:t>
      </w:r>
      <w:r>
        <w:t>8,847</w:t>
      </w:r>
      <w:r>
        <w:rPr>
          <w:rFonts w:hint="eastAsia"/>
        </w:rPr>
        <w:t>名儿童的俱乐部采取消除这个问题的主动行动。这项行动是尼泊尔政府和公民社会组织以及与儿童有关的组织的联合倡议。</w:t>
      </w:r>
    </w:p>
    <w:p w:rsidR="00000000" w:rsidRDefault="008739CC">
      <w:pPr>
        <w:pStyle w:val="Heading4"/>
        <w:rPr>
          <w:rFonts w:ascii="Time New Roman" w:eastAsia="SimHei" w:hAnsi="Time New Roman" w:hint="eastAsia"/>
          <w:u w:val="none"/>
        </w:rPr>
      </w:pPr>
      <w:r>
        <w:rPr>
          <w:rFonts w:ascii="Time New Roman" w:eastAsia="SimHei" w:hAnsi="Time New Roman" w:hint="eastAsia"/>
          <w:u w:val="none"/>
        </w:rPr>
        <w:t>问题</w:t>
      </w:r>
      <w:r>
        <w:rPr>
          <w:rFonts w:ascii="Time New Roman" w:eastAsia="SimHei" w:hAnsi="Time New Roman"/>
          <w:b/>
          <w:u w:val="none"/>
        </w:rPr>
        <w:t>21</w:t>
      </w:r>
      <w:r>
        <w:rPr>
          <w:rFonts w:ascii="Time New Roman" w:eastAsia="SimHei" w:hAnsi="Time New Roman"/>
          <w:u w:val="none"/>
        </w:rPr>
        <w:t xml:space="preserve">.  </w:t>
      </w:r>
      <w:r>
        <w:rPr>
          <w:rFonts w:ascii="Time New Roman" w:eastAsia="SimHei" w:hAnsi="Time New Roman" w:hint="eastAsia"/>
          <w:u w:val="none"/>
        </w:rPr>
        <w:t>贩运和性剥削</w:t>
      </w:r>
    </w:p>
    <w:p w:rsidR="00000000" w:rsidRDefault="008739CC">
      <w:pPr>
        <w:ind w:firstLine="510"/>
      </w:pPr>
      <w:r>
        <w:t>7</w:t>
      </w:r>
      <w:r>
        <w:t>2.</w:t>
      </w:r>
      <w:r>
        <w:tab/>
      </w:r>
      <w:r>
        <w:rPr>
          <w:rFonts w:hint="eastAsia"/>
        </w:rPr>
        <w:t>尼泊尔政府为了通盘控制贩运人口和具体控制性剥削的人口，采取了一系列的政策和计划。对于这个问题的全盘解决，已经拟定具有广泛基础和多轨道的战略，涉及防止、加强管理及执法措施、以及援救和复健。在防止方面，贫困问题，尤其是妇女的贫困问题，将在第十个五年发展计划</w:t>
      </w:r>
      <w:r>
        <w:t>(2002-2007)</w:t>
      </w:r>
      <w:r>
        <w:rPr>
          <w:rFonts w:hint="eastAsia"/>
        </w:rPr>
        <w:t>的框架内予以解决。此外，</w:t>
      </w:r>
      <w:r>
        <w:t>1997-2017</w:t>
      </w:r>
      <w:r>
        <w:rPr>
          <w:rFonts w:hint="eastAsia"/>
        </w:rPr>
        <w:t>年《农业前景计划》和政府各部门的各种计划及方案，包括宏观财政计划，都涉及妇女的减贫问题。实行技能促进计划和职业培训计划，以期增加妇女挣取收入的机会和向女童提供受教育机会，是对这些努力的支持。</w:t>
      </w:r>
      <w:r>
        <w:rPr>
          <w:rFonts w:hint="eastAsia"/>
        </w:rPr>
        <w:t>具体的重点是同时在正式和非正式的层级增加女童的教育机会。主要的一些计划包括提高女童的就学率、奖励父母送女儿入学、向高中的女学生提供奖学金、向来自贫困、处境不利和边缘化族群的女学生提供上大学的奖学金、减免学费、实行全民小学义务教育、向学童供应免费午餐、实行非正式的教育计划和中辍生教育。</w:t>
      </w:r>
    </w:p>
    <w:p w:rsidR="00000000" w:rsidRDefault="008739CC">
      <w:pPr>
        <w:spacing w:after="240"/>
        <w:ind w:firstLine="510"/>
      </w:pPr>
      <w:r>
        <w:t>73.</w:t>
      </w:r>
      <w:r>
        <w:tab/>
      </w:r>
      <w:r>
        <w:rPr>
          <w:rFonts w:hint="eastAsia"/>
        </w:rPr>
        <w:t>政府也与公民社会组织、社会工作者、媒体人、和女学生合作，促进对人民的宣传教育，着重贩运人口方面。媒体展开反对贩运人口的宣传教育。此外，贩运问题工作组和贩运问题机构间工作组也积极参加解决贩运问题的斗争。基于伙伴精神的这一</w:t>
      </w:r>
      <w:r>
        <w:rPr>
          <w:rFonts w:hint="eastAsia"/>
        </w:rPr>
        <w:t>切努力的目标是防止从尼泊尔贩运妇女和儿童。</w:t>
      </w:r>
    </w:p>
    <w:p w:rsidR="00000000" w:rsidRDefault="008739CC">
      <w:pPr>
        <w:pStyle w:val="Heading4"/>
      </w:pPr>
      <w:r>
        <w:rPr>
          <w:rFonts w:hint="eastAsia"/>
        </w:rPr>
        <w:t>承担法律义务、体制安排和执行</w:t>
      </w:r>
    </w:p>
    <w:p w:rsidR="00000000" w:rsidRDefault="008739CC">
      <w:pPr>
        <w:ind w:firstLine="510"/>
        <w:rPr>
          <w:bCs/>
        </w:rPr>
      </w:pPr>
      <w:r>
        <w:rPr>
          <w:bCs/>
        </w:rPr>
        <w:t>74.</w:t>
      </w:r>
      <w:r>
        <w:rPr>
          <w:bCs/>
        </w:rPr>
        <w:tab/>
      </w:r>
      <w:r>
        <w:rPr>
          <w:rFonts w:hint="eastAsia"/>
          <w:bCs/>
        </w:rPr>
        <w:t>关于承担义务，控制和防止妇女和儿童被贩运，以供性剥削</w:t>
      </w:r>
      <w:r>
        <w:rPr>
          <w:rFonts w:hint="eastAsia"/>
          <w:bCs/>
          <w:lang w:val="en-GB"/>
        </w:rPr>
        <w:t>，</w:t>
      </w:r>
      <w:r>
        <w:rPr>
          <w:rFonts w:hint="eastAsia"/>
          <w:bCs/>
        </w:rPr>
        <w:t>尼泊尔已经在这个领域内加入许多国际和区域文书</w:t>
      </w:r>
      <w:r>
        <w:rPr>
          <w:rFonts w:hint="eastAsia"/>
          <w:bCs/>
          <w:lang w:val="en-GB"/>
        </w:rPr>
        <w:t>，</w:t>
      </w:r>
      <w:r>
        <w:rPr>
          <w:rFonts w:hint="eastAsia"/>
          <w:bCs/>
        </w:rPr>
        <w:t>包括</w:t>
      </w:r>
      <w:r>
        <w:rPr>
          <w:rFonts w:hint="eastAsia"/>
          <w:bCs/>
        </w:rPr>
        <w:t>1989</w:t>
      </w:r>
      <w:r>
        <w:rPr>
          <w:rFonts w:hint="eastAsia"/>
          <w:bCs/>
        </w:rPr>
        <w:t>年</w:t>
      </w:r>
      <w:r>
        <w:rPr>
          <w:rFonts w:hint="eastAsia"/>
          <w:bCs/>
          <w:lang w:val="en-GB"/>
        </w:rPr>
        <w:t>《</w:t>
      </w:r>
      <w:r>
        <w:rPr>
          <w:rFonts w:hint="eastAsia"/>
          <w:bCs/>
        </w:rPr>
        <w:t>儿童权利公约》</w:t>
      </w:r>
      <w:r>
        <w:rPr>
          <w:rFonts w:hint="eastAsia"/>
          <w:bCs/>
          <w:lang w:val="en-GB"/>
        </w:rPr>
        <w:t>、</w:t>
      </w:r>
      <w:r>
        <w:rPr>
          <w:rFonts w:hint="eastAsia"/>
          <w:bCs/>
        </w:rPr>
        <w:t>1979</w:t>
      </w:r>
      <w:r>
        <w:rPr>
          <w:rFonts w:hint="eastAsia"/>
          <w:bCs/>
        </w:rPr>
        <w:t>年《消除对妇女一切形式歧视公约》、以及</w:t>
      </w:r>
      <w:r>
        <w:rPr>
          <w:rFonts w:hint="eastAsia"/>
          <w:bCs/>
        </w:rPr>
        <w:t>1956</w:t>
      </w:r>
      <w:r>
        <w:rPr>
          <w:rFonts w:hint="eastAsia"/>
          <w:bCs/>
        </w:rPr>
        <w:t>年《废止奴隶制度、奴隶贩卖及类似奴隶制的制度与习俗补充公约》。尼泊尔也于</w:t>
      </w:r>
      <w:r>
        <w:rPr>
          <w:rFonts w:hint="eastAsia"/>
          <w:bCs/>
        </w:rPr>
        <w:t>2001</w:t>
      </w:r>
      <w:r>
        <w:rPr>
          <w:rFonts w:hint="eastAsia"/>
          <w:bCs/>
        </w:rPr>
        <w:t>年批准</w:t>
      </w:r>
      <w:r>
        <w:rPr>
          <w:rFonts w:hint="eastAsia"/>
          <w:bCs/>
        </w:rPr>
        <w:t>1999</w:t>
      </w:r>
      <w:r>
        <w:rPr>
          <w:rFonts w:hint="eastAsia"/>
          <w:bCs/>
        </w:rPr>
        <w:t>年《消除对妇女一切形式歧视公约附加议定书》。</w:t>
      </w:r>
    </w:p>
    <w:p w:rsidR="00000000" w:rsidRDefault="008739CC">
      <w:pPr>
        <w:ind w:firstLine="510"/>
        <w:rPr>
          <w:b/>
        </w:rPr>
      </w:pPr>
      <w:r>
        <w:rPr>
          <w:bCs/>
        </w:rPr>
        <w:t>75.</w:t>
      </w:r>
      <w:r>
        <w:rPr>
          <w:bCs/>
        </w:rPr>
        <w:tab/>
      </w:r>
      <w:r>
        <w:rPr>
          <w:rFonts w:hint="eastAsia"/>
          <w:bCs/>
        </w:rPr>
        <w:t>在区域一级上，尼泊尔是南亚区域合作协会国家元首和政府首脑于</w:t>
      </w:r>
      <w:r>
        <w:rPr>
          <w:rFonts w:hint="eastAsia"/>
          <w:bCs/>
        </w:rPr>
        <w:t>2002</w:t>
      </w:r>
      <w:r>
        <w:rPr>
          <w:rFonts w:hint="eastAsia"/>
          <w:bCs/>
        </w:rPr>
        <w:t>年签署的《禁止贩卖人口及取缔意</w:t>
      </w:r>
      <w:r>
        <w:rPr>
          <w:rFonts w:hint="eastAsia"/>
          <w:bCs/>
        </w:rPr>
        <w:t>图营利使人卖淫的区域公约》的缔约国。尼泊尔根据其承诺制定、修改并改革了本国法律，并且为有效处理问题拟订了行动计划。</w:t>
      </w:r>
      <w:r>
        <w:rPr>
          <w:rFonts w:hint="eastAsia"/>
          <w:bCs/>
        </w:rPr>
        <w:t>1987</w:t>
      </w:r>
      <w:r>
        <w:rPr>
          <w:rFonts w:hint="eastAsia"/>
          <w:bCs/>
        </w:rPr>
        <w:t>年《贩运人口</w:t>
      </w:r>
      <w:r>
        <w:rPr>
          <w:rFonts w:hint="eastAsia"/>
          <w:bCs/>
        </w:rPr>
        <w:t>(</w:t>
      </w:r>
      <w:r>
        <w:rPr>
          <w:rFonts w:hint="eastAsia"/>
          <w:bCs/>
        </w:rPr>
        <w:t>控制</w:t>
      </w:r>
      <w:r>
        <w:rPr>
          <w:rFonts w:hint="eastAsia"/>
          <w:bCs/>
        </w:rPr>
        <w:t>)</w:t>
      </w:r>
      <w:r>
        <w:rPr>
          <w:rFonts w:hint="eastAsia"/>
          <w:bCs/>
        </w:rPr>
        <w:t>条例》的</w:t>
      </w:r>
      <w:r>
        <w:rPr>
          <w:rFonts w:hint="eastAsia"/>
          <w:bCs/>
        </w:rPr>
        <w:t>2003</w:t>
      </w:r>
      <w:r>
        <w:rPr>
          <w:rFonts w:hint="eastAsia"/>
          <w:bCs/>
        </w:rPr>
        <w:t>年修正案文规定对犯人实行更加严厉的处罚，并且为了处理复杂的贩运人口新情况，拟订了一些条文，它是一个综合的法律框架，是据以调查、起诉和处罚有关贩卖人口罪行，包括贩卖妇女和女童的罪行的指导方针。</w:t>
      </w:r>
    </w:p>
    <w:p w:rsidR="00000000" w:rsidRDefault="008739CC">
      <w:pPr>
        <w:ind w:firstLine="510"/>
      </w:pPr>
      <w:r>
        <w:t>76.</w:t>
      </w:r>
      <w:r>
        <w:tab/>
        <w:t>1998</w:t>
      </w:r>
      <w:r>
        <w:rPr>
          <w:rFonts w:hint="eastAsia"/>
        </w:rPr>
        <w:t>年</w:t>
      </w:r>
      <w:r>
        <w:t>，</w:t>
      </w:r>
      <w:r>
        <w:rPr>
          <w:rFonts w:hint="eastAsia"/>
        </w:rPr>
        <w:t>尼泊尔政府在同不同的利益相关人进行了广泛的协商以后，拟定了《禁止贩运儿童及其商业性剥削国家行动计划》。</w:t>
      </w:r>
      <w:r>
        <w:rPr>
          <w:rFonts w:hint="eastAsia"/>
        </w:rPr>
        <w:t>1995</w:t>
      </w:r>
      <w:r>
        <w:rPr>
          <w:rFonts w:hint="eastAsia"/>
        </w:rPr>
        <w:t>年设立了妇女和社会福利部，后来又</w:t>
      </w:r>
      <w:r>
        <w:rPr>
          <w:rFonts w:hint="eastAsia"/>
        </w:rPr>
        <w:t>予以扩大，以便包括儿童的组成部分，并于</w:t>
      </w:r>
      <w:r>
        <w:rPr>
          <w:rFonts w:hint="eastAsia"/>
        </w:rPr>
        <w:t>2000</w:t>
      </w:r>
      <w:r>
        <w:rPr>
          <w:rFonts w:hint="eastAsia"/>
        </w:rPr>
        <w:t>年改名为妇女、儿童和社会福利部，为加强政府在打击贩运方面的体制能力提供了进一步的推动力。</w:t>
      </w:r>
    </w:p>
    <w:p w:rsidR="00000000" w:rsidRDefault="008739CC">
      <w:pPr>
        <w:spacing w:after="240"/>
        <w:ind w:firstLine="510"/>
      </w:pPr>
      <w:r>
        <w:t>77.</w:t>
      </w:r>
      <w:r>
        <w:tab/>
        <w:t>2001</w:t>
      </w:r>
      <w:r>
        <w:rPr>
          <w:rFonts w:hint="eastAsia"/>
        </w:rPr>
        <w:t>年</w:t>
      </w:r>
      <w:r>
        <w:rPr>
          <w:rFonts w:hint="eastAsia"/>
        </w:rPr>
        <w:t>7</w:t>
      </w:r>
      <w:r>
        <w:rPr>
          <w:rFonts w:hint="eastAsia"/>
        </w:rPr>
        <w:t>月</w:t>
      </w:r>
      <w:r>
        <w:t>，</w:t>
      </w:r>
      <w:r>
        <w:rPr>
          <w:rFonts w:hint="eastAsia"/>
        </w:rPr>
        <w:t>对《国家综合方案》作了彻底的审查，以便将贩运的变动状态纳入人权和从南亚区域合作协会《禁止贩卖人口及取缔意图营利使人卖淫的区域公约》中演变出来的新义务中，并且加强执行《行动计划》。已将贩运妇女问题列入《国家行动计划》，使它更加具有包容性和更加全面，足以处理问题的所有方面。</w:t>
      </w:r>
    </w:p>
    <w:p w:rsidR="00000000" w:rsidRDefault="008739CC">
      <w:pPr>
        <w:pStyle w:val="Heading4"/>
      </w:pPr>
      <w:r>
        <w:rPr>
          <w:rFonts w:hint="eastAsia"/>
        </w:rPr>
        <w:t>锁定目标的活动</w:t>
      </w:r>
    </w:p>
    <w:p w:rsidR="00000000" w:rsidRDefault="008739CC">
      <w:pPr>
        <w:ind w:firstLine="510"/>
      </w:pPr>
      <w:r>
        <w:t>78.</w:t>
      </w:r>
      <w:r>
        <w:tab/>
      </w:r>
      <w:r>
        <w:rPr>
          <w:rFonts w:hint="eastAsia"/>
        </w:rPr>
        <w:t>妇女、儿童和社会福利部目前担任执行《国家行动计划》和与打</w:t>
      </w:r>
      <w:r>
        <w:rPr>
          <w:rFonts w:hint="eastAsia"/>
        </w:rPr>
        <w:t>击贩运妇女和儿童有关的所有其他活动有关的联络机构。已经有一个由妇女、儿童和社会福利部部长领导的有</w:t>
      </w:r>
      <w:r>
        <w:rPr>
          <w:rFonts w:hint="eastAsia"/>
        </w:rPr>
        <w:t>16</w:t>
      </w:r>
      <w:r>
        <w:rPr>
          <w:rFonts w:hint="eastAsia"/>
        </w:rPr>
        <w:t>名成员的高级别的控制妇女和儿童贩运全国协调委员会</w:t>
      </w:r>
      <w:r>
        <w:t>，</w:t>
      </w:r>
      <w:r>
        <w:rPr>
          <w:rFonts w:hint="eastAsia"/>
        </w:rPr>
        <w:t>包括来自各部委和非政府组织的代表。在全国协调委员会之下，有一个包含广泛的全国工作队，由有关政府部门和在这个领域工作的非政府组织和国际非政府组织的代表组成。全国工作队在国家一级上协调各项活动，并且为取缔贩运活动的协调提供指导方针。有一个由</w:t>
      </w:r>
      <w:r>
        <w:rPr>
          <w:rFonts w:hint="eastAsia"/>
        </w:rPr>
        <w:t>18</w:t>
      </w:r>
      <w:r>
        <w:rPr>
          <w:rFonts w:hint="eastAsia"/>
        </w:rPr>
        <w:t>名成员组成的地区工作队是各种政府及非政府组织的代表，每一个都在选定的</w:t>
      </w:r>
      <w:r>
        <w:rPr>
          <w:rFonts w:hint="eastAsia"/>
        </w:rPr>
        <w:t>26</w:t>
      </w:r>
      <w:r>
        <w:rPr>
          <w:rFonts w:hint="eastAsia"/>
        </w:rPr>
        <w:t>个极为贫困的地区进行活动。地区工作队在地区一级协调</w:t>
      </w:r>
      <w:r>
        <w:rPr>
          <w:rFonts w:hint="eastAsia"/>
        </w:rPr>
        <w:t>和执行预防性和治疗性的反贩运活动。同样，在相关村庄和</w:t>
      </w:r>
      <w:r>
        <w:rPr>
          <w:rFonts w:hint="eastAsia"/>
        </w:rPr>
        <w:t>(</w:t>
      </w:r>
      <w:r>
        <w:rPr>
          <w:rFonts w:hint="eastAsia"/>
        </w:rPr>
        <w:t>或</w:t>
      </w:r>
      <w:r>
        <w:rPr>
          <w:rFonts w:hint="eastAsia"/>
        </w:rPr>
        <w:t>)</w:t>
      </w:r>
      <w:r>
        <w:rPr>
          <w:rFonts w:hint="eastAsia"/>
        </w:rPr>
        <w:t>城镇，也有村庄和</w:t>
      </w:r>
      <w:r>
        <w:rPr>
          <w:rFonts w:hint="eastAsia"/>
        </w:rPr>
        <w:t>(</w:t>
      </w:r>
      <w:r>
        <w:rPr>
          <w:rFonts w:hint="eastAsia"/>
        </w:rPr>
        <w:t>或</w:t>
      </w:r>
      <w:r>
        <w:rPr>
          <w:rFonts w:hint="eastAsia"/>
        </w:rPr>
        <w:t>)</w:t>
      </w:r>
      <w:r>
        <w:rPr>
          <w:rFonts w:hint="eastAsia"/>
        </w:rPr>
        <w:t>城市级别的工作队，分别包含</w:t>
      </w:r>
      <w:r>
        <w:rPr>
          <w:rFonts w:hint="eastAsia"/>
        </w:rPr>
        <w:t>12</w:t>
      </w:r>
      <w:r>
        <w:rPr>
          <w:rFonts w:hint="eastAsia"/>
        </w:rPr>
        <w:t>个和</w:t>
      </w:r>
      <w:r>
        <w:rPr>
          <w:rFonts w:hint="eastAsia"/>
        </w:rPr>
        <w:t>13</w:t>
      </w:r>
      <w:r>
        <w:rPr>
          <w:rFonts w:hint="eastAsia"/>
        </w:rPr>
        <w:t>个成员，他们代表政府组织、非政府组织和地方一级的公民社会团体，基本上进行预防性活动和减少贩运的推出因素。一共有</w:t>
      </w:r>
      <w:r>
        <w:rPr>
          <w:rFonts w:hint="eastAsia"/>
        </w:rPr>
        <w:t>67</w:t>
      </w:r>
      <w:r>
        <w:rPr>
          <w:rFonts w:hint="eastAsia"/>
        </w:rPr>
        <w:t>个地区一级的妇女发展办事处，目前受托担任地区一级秘书处。秘书处虽然是一个很卖力工作的业务单位，从事执行、监督和评估地区一级的反贩运活动，它也同全国、地区、村庄和城市的工作队保持联络。</w:t>
      </w:r>
    </w:p>
    <w:p w:rsidR="00000000" w:rsidRDefault="008739CC">
      <w:pPr>
        <w:ind w:firstLine="510"/>
      </w:pPr>
      <w:r>
        <w:t>79.</w:t>
      </w:r>
      <w:r>
        <w:tab/>
      </w:r>
      <w:r>
        <w:rPr>
          <w:rFonts w:hint="eastAsia"/>
        </w:rPr>
        <w:t>尼泊尔警察在总部创设了一个女牢房。在同儿童基金会取得协调的情形下，这个牢房在若干地区针对</w:t>
      </w:r>
      <w:r>
        <w:rPr>
          <w:rFonts w:hint="eastAsia"/>
        </w:rPr>
        <w:t>贩运妇女和有关的剥削开办了宣传教育计划。这个项目也有另一些组成部分，例如为警官的能力建设和这方面犯罪活动的数据管理。到目前为止，尼泊尔警察也在</w:t>
      </w:r>
      <w:r>
        <w:rPr>
          <w:rFonts w:hint="eastAsia"/>
        </w:rPr>
        <w:t>16</w:t>
      </w:r>
      <w:r>
        <w:rPr>
          <w:rFonts w:hint="eastAsia"/>
        </w:rPr>
        <w:t>个地区一级的安全单位设立了妇女牢房。实行五年计划，对警察实行培训和动员，提高认识和预防贩运。</w:t>
      </w:r>
    </w:p>
    <w:p w:rsidR="00000000" w:rsidRDefault="008739CC">
      <w:pPr>
        <w:ind w:firstLine="510"/>
      </w:pPr>
      <w:r>
        <w:t>80.</w:t>
      </w:r>
      <w:r>
        <w:tab/>
      </w:r>
      <w:r>
        <w:rPr>
          <w:rFonts w:hint="eastAsia"/>
        </w:rPr>
        <w:t>此外，尼泊尔政府在加德满都、</w:t>
      </w:r>
      <w:r>
        <w:t>Jhapa</w:t>
      </w:r>
      <w:r>
        <w:rPr>
          <w:rFonts w:hint="eastAsia"/>
        </w:rPr>
        <w:t>、</w:t>
      </w:r>
      <w:r>
        <w:t>Parsa</w:t>
      </w:r>
      <w:r>
        <w:rPr>
          <w:rFonts w:hint="eastAsia"/>
        </w:rPr>
        <w:t>、</w:t>
      </w:r>
      <w:r>
        <w:t>Rupandehi</w:t>
      </w:r>
      <w:r>
        <w:rPr>
          <w:rFonts w:hint="eastAsia"/>
        </w:rPr>
        <w:t>和</w:t>
      </w:r>
      <w:r>
        <w:t>Banke</w:t>
      </w:r>
      <w:r>
        <w:rPr>
          <w:rFonts w:hint="eastAsia"/>
        </w:rPr>
        <w:t>等地区设立了援救和</w:t>
      </w:r>
      <w:r>
        <w:rPr>
          <w:rFonts w:hint="eastAsia"/>
        </w:rPr>
        <w:t>(</w:t>
      </w:r>
      <w:r>
        <w:rPr>
          <w:rFonts w:hint="eastAsia"/>
        </w:rPr>
        <w:t>或</w:t>
      </w:r>
      <w:r>
        <w:rPr>
          <w:rFonts w:hint="eastAsia"/>
        </w:rPr>
        <w:t>)</w:t>
      </w:r>
      <w:r>
        <w:rPr>
          <w:rFonts w:hint="eastAsia"/>
        </w:rPr>
        <w:t>紧急基金，人们认为这些地区是被贩运者的主要过境点。举行了广泛的协商以后，在</w:t>
      </w:r>
      <w:r>
        <w:t>Jhapa</w:t>
      </w:r>
      <w:r>
        <w:rPr>
          <w:rFonts w:hint="eastAsia"/>
        </w:rPr>
        <w:t>、</w:t>
      </w:r>
      <w:r>
        <w:t>Parsa</w:t>
      </w:r>
      <w:r>
        <w:rPr>
          <w:rFonts w:hint="eastAsia"/>
        </w:rPr>
        <w:t>、</w:t>
      </w:r>
      <w:r>
        <w:t>Rupandehi</w:t>
      </w:r>
      <w:r>
        <w:rPr>
          <w:rFonts w:hint="eastAsia"/>
        </w:rPr>
        <w:t>和</w:t>
      </w:r>
      <w:r>
        <w:t>Banke</w:t>
      </w:r>
      <w:r>
        <w:rPr>
          <w:rFonts w:hint="eastAsia"/>
        </w:rPr>
        <w:t>等四个主要过境地区制定了地区一</w:t>
      </w:r>
      <w:r>
        <w:rPr>
          <w:rFonts w:hint="eastAsia"/>
        </w:rPr>
        <w:t>级的行动计划。</w:t>
      </w:r>
    </w:p>
    <w:p w:rsidR="00000000" w:rsidRDefault="008739CC">
      <w:pPr>
        <w:spacing w:after="240"/>
        <w:ind w:firstLine="510"/>
        <w:rPr>
          <w:bCs/>
        </w:rPr>
      </w:pPr>
      <w:r>
        <w:rPr>
          <w:bCs/>
        </w:rPr>
        <w:t>81.</w:t>
      </w:r>
      <w:r>
        <w:rPr>
          <w:bCs/>
        </w:rPr>
        <w:tab/>
      </w:r>
      <w:r>
        <w:rPr>
          <w:rFonts w:hint="eastAsia"/>
          <w:bCs/>
        </w:rPr>
        <w:t>鉴于与贩运有关的罪行受害者需要特殊照顾和保护，妇女、儿童和社会福利部于</w:t>
      </w:r>
      <w:r>
        <w:rPr>
          <w:rFonts w:hint="eastAsia"/>
          <w:bCs/>
        </w:rPr>
        <w:t>1998</w:t>
      </w:r>
      <w:r>
        <w:rPr>
          <w:rFonts w:hint="eastAsia"/>
          <w:bCs/>
        </w:rPr>
        <w:t>年开办“妇女自力更生和复原之家”。鼓励公民社会团体开办同样的中心。许多非政府组织除其他外，正在动员，发动国际捐赠者支持。而且，许多非政府组织为了预防贩运而在基层努力工作。为了解决危险中的女学生问题，有些非政府组织开办了儿童照料所，收容街道女童、无家女童、孤儿、贫困女童、和被贩运者。联合国的一些机构目前在这方面提供援助。政府已经为这种活动创设有利的政策环境。</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22</w:t>
      </w:r>
      <w:r>
        <w:rPr>
          <w:rFonts w:ascii="Time New Roman" w:eastAsia="SimHei" w:hAnsi="Time New Roman"/>
          <w:u w:val="none"/>
        </w:rPr>
        <w:t xml:space="preserve">.  </w:t>
      </w:r>
      <w:r>
        <w:rPr>
          <w:rFonts w:ascii="Time New Roman" w:eastAsia="SimHei" w:hAnsi="Time New Roman" w:hint="eastAsia"/>
          <w:u w:val="none"/>
        </w:rPr>
        <w:t>为消除童工采取的措施</w:t>
      </w:r>
    </w:p>
    <w:p w:rsidR="00000000" w:rsidRDefault="008739CC">
      <w:pPr>
        <w:spacing w:after="240"/>
        <w:ind w:firstLine="510"/>
      </w:pPr>
      <w:r>
        <w:t>82.</w:t>
      </w:r>
      <w:r>
        <w:tab/>
      </w:r>
      <w:r>
        <w:rPr>
          <w:rFonts w:hint="eastAsia"/>
        </w:rPr>
        <w:t>为了在</w:t>
      </w:r>
      <w:r>
        <w:rPr>
          <w:rFonts w:hint="eastAsia"/>
        </w:rPr>
        <w:t>全国消除童工，已经实施《</w:t>
      </w:r>
      <w:r>
        <w:rPr>
          <w:rFonts w:hint="eastAsia"/>
        </w:rPr>
        <w:t>1999</w:t>
      </w:r>
      <w:r>
        <w:rPr>
          <w:rFonts w:hint="eastAsia"/>
        </w:rPr>
        <w:t>年禁止和调整童工条例》，也实施了《</w:t>
      </w:r>
      <w:r>
        <w:rPr>
          <w:rFonts w:hint="eastAsia"/>
        </w:rPr>
        <w:t>2004</w:t>
      </w:r>
      <w:r>
        <w:t>-</w:t>
      </w:r>
      <w:r>
        <w:rPr>
          <w:rFonts w:hint="eastAsia"/>
        </w:rPr>
        <w:t>2014</w:t>
      </w:r>
      <w:r>
        <w:rPr>
          <w:rFonts w:hint="eastAsia"/>
        </w:rPr>
        <w:t>年禁用童工总计划》。</w:t>
      </w:r>
    </w:p>
    <w:p w:rsidR="00000000" w:rsidRDefault="008739CC">
      <w:pPr>
        <w:pStyle w:val="Heading4"/>
      </w:pPr>
      <w:r>
        <w:rPr>
          <w:rFonts w:hint="eastAsia"/>
        </w:rPr>
        <w:t>修订关于最低工资的资料</w:t>
      </w:r>
    </w:p>
    <w:p w:rsidR="00000000" w:rsidRDefault="008739CC">
      <w:pPr>
        <w:spacing w:after="320"/>
        <w:ind w:firstLine="510"/>
      </w:pPr>
      <w:r>
        <w:t>83.</w:t>
      </w:r>
      <w:r>
        <w:tab/>
      </w:r>
      <w:r>
        <w:rPr>
          <w:rFonts w:hint="eastAsia"/>
        </w:rPr>
        <w:t>尼泊尔政府最近修订产业和公司雇员的最低工资和生活津贴。从</w:t>
      </w:r>
      <w:r>
        <w:rPr>
          <w:rFonts w:hint="eastAsia"/>
        </w:rPr>
        <w:t>2006</w:t>
      </w:r>
      <w:r>
        <w:rPr>
          <w:rFonts w:hint="eastAsia"/>
        </w:rPr>
        <w:t>年</w:t>
      </w:r>
      <w:r>
        <w:rPr>
          <w:rFonts w:hint="eastAsia"/>
        </w:rPr>
        <w:t>8</w:t>
      </w:r>
      <w:r>
        <w:rPr>
          <w:rFonts w:hint="eastAsia"/>
        </w:rPr>
        <w:t>月</w:t>
      </w:r>
      <w:r>
        <w:rPr>
          <w:rFonts w:hint="eastAsia"/>
        </w:rPr>
        <w:t>15</w:t>
      </w:r>
      <w:r>
        <w:rPr>
          <w:rFonts w:hint="eastAsia"/>
        </w:rPr>
        <w:t>日起，新订的费率如下表所示。</w:t>
      </w:r>
    </w:p>
    <w:p w:rsidR="00000000" w:rsidRDefault="008739CC">
      <w:pPr>
        <w:pStyle w:val="Heading3"/>
      </w:pPr>
      <w:r>
        <w:rPr>
          <w:rFonts w:hint="eastAsia"/>
        </w:rPr>
        <w:t>表</w:t>
      </w:r>
      <w:r>
        <w:t xml:space="preserve">  1</w:t>
      </w:r>
      <w:r>
        <w:br/>
      </w:r>
      <w:r>
        <w:rPr>
          <w:rFonts w:hint="eastAsia"/>
        </w:rPr>
        <w:t>最低工资</w:t>
      </w:r>
    </w:p>
    <w:tbl>
      <w:tblPr>
        <w:tblW w:w="0" w:type="auto"/>
        <w:tblInd w:w="533" w:type="dxa"/>
        <w:tblLayout w:type="fixed"/>
        <w:tblCellMar>
          <w:left w:w="0" w:type="dxa"/>
          <w:right w:w="0" w:type="dxa"/>
        </w:tblCellMar>
        <w:tblLook w:val="0000" w:firstRow="0" w:lastRow="0" w:firstColumn="0" w:lastColumn="0" w:noHBand="0" w:noVBand="0"/>
      </w:tblPr>
      <w:tblGrid>
        <w:gridCol w:w="735"/>
        <w:gridCol w:w="4200"/>
        <w:gridCol w:w="3150"/>
        <w:gridCol w:w="34"/>
      </w:tblGrid>
      <w:tr w:rsidR="00000000">
        <w:tblPrEx>
          <w:tblCellMar>
            <w:top w:w="0" w:type="dxa"/>
            <w:left w:w="0" w:type="dxa"/>
            <w:bottom w:w="0" w:type="dxa"/>
            <w:right w:w="0" w:type="dxa"/>
          </w:tblCellMar>
        </w:tblPrEx>
        <w:tc>
          <w:tcPr>
            <w:tcW w:w="735" w:type="dxa"/>
          </w:tcPr>
          <w:p w:rsidR="00000000" w:rsidRDefault="008739CC">
            <w:pPr>
              <w:pStyle w:val="ac"/>
              <w:spacing w:after="80" w:line="400" w:lineRule="exact"/>
              <w:rPr>
                <w:rFonts w:ascii="Time New Roman" w:eastAsia="SimHei" w:hAnsi="Time New Roman"/>
                <w:sz w:val="22"/>
              </w:rPr>
            </w:pPr>
          </w:p>
        </w:tc>
        <w:tc>
          <w:tcPr>
            <w:tcW w:w="4200"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雇员或工人分类</w:t>
            </w:r>
          </w:p>
        </w:tc>
        <w:tc>
          <w:tcPr>
            <w:tcW w:w="3184" w:type="dxa"/>
            <w:gridSpan w:val="2"/>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每月最低薪酬</w:t>
            </w:r>
            <w:r>
              <w:rPr>
                <w:rFonts w:ascii="Time New Roman" w:eastAsia="SimHei" w:hAnsi="Time New Roman"/>
                <w:sz w:val="22"/>
              </w:rPr>
              <w:t>(</w:t>
            </w:r>
            <w:r>
              <w:rPr>
                <w:rFonts w:ascii="Time New Roman" w:eastAsia="SimHei" w:hAnsi="Time New Roman" w:hint="eastAsia"/>
                <w:sz w:val="22"/>
              </w:rPr>
              <w:t>卢比</w:t>
            </w:r>
            <w:r>
              <w:rPr>
                <w:rFonts w:ascii="Time New Roman" w:eastAsia="SimHei" w:hAnsi="Time New Roman"/>
                <w:sz w:val="22"/>
              </w:rPr>
              <w:t>)</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a</w:t>
            </w:r>
          </w:p>
        </w:tc>
        <w:tc>
          <w:tcPr>
            <w:tcW w:w="4200" w:type="dxa"/>
          </w:tcPr>
          <w:p w:rsidR="00000000" w:rsidRDefault="008739CC">
            <w:pPr>
              <w:pStyle w:val="ac"/>
              <w:spacing w:line="400" w:lineRule="exact"/>
              <w:rPr>
                <w:sz w:val="22"/>
              </w:rPr>
            </w:pPr>
            <w:r>
              <w:rPr>
                <w:rFonts w:hint="eastAsia"/>
                <w:sz w:val="22"/>
              </w:rPr>
              <w:t>不熟练</w:t>
            </w:r>
            <w:r>
              <w:rPr>
                <w:sz w:val="22"/>
              </w:rPr>
              <w:t xml:space="preserve"> </w:t>
            </w:r>
          </w:p>
        </w:tc>
        <w:tc>
          <w:tcPr>
            <w:tcW w:w="3184" w:type="dxa"/>
            <w:gridSpan w:val="2"/>
          </w:tcPr>
          <w:p w:rsidR="00000000" w:rsidRDefault="008739CC">
            <w:pPr>
              <w:pStyle w:val="ac"/>
              <w:spacing w:line="400" w:lineRule="exact"/>
              <w:rPr>
                <w:sz w:val="22"/>
              </w:rPr>
            </w:pPr>
            <w:r>
              <w:rPr>
                <w:sz w:val="22"/>
              </w:rPr>
              <w:t>2,200.00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b</w:t>
            </w:r>
          </w:p>
        </w:tc>
        <w:tc>
          <w:tcPr>
            <w:tcW w:w="4200" w:type="dxa"/>
          </w:tcPr>
          <w:p w:rsidR="00000000" w:rsidRDefault="008739CC">
            <w:pPr>
              <w:pStyle w:val="ac"/>
              <w:spacing w:line="400" w:lineRule="exact"/>
              <w:rPr>
                <w:sz w:val="22"/>
              </w:rPr>
            </w:pPr>
            <w:r>
              <w:rPr>
                <w:rFonts w:hint="eastAsia"/>
                <w:sz w:val="22"/>
              </w:rPr>
              <w:t>半熟练</w:t>
            </w:r>
            <w:r>
              <w:rPr>
                <w:sz w:val="22"/>
              </w:rPr>
              <w:t xml:space="preserve"> </w:t>
            </w:r>
          </w:p>
        </w:tc>
        <w:tc>
          <w:tcPr>
            <w:tcW w:w="3184" w:type="dxa"/>
            <w:gridSpan w:val="2"/>
          </w:tcPr>
          <w:p w:rsidR="00000000" w:rsidRDefault="008739CC">
            <w:pPr>
              <w:pStyle w:val="ac"/>
              <w:spacing w:line="400" w:lineRule="exact"/>
              <w:rPr>
                <w:sz w:val="22"/>
              </w:rPr>
            </w:pPr>
            <w:r>
              <w:rPr>
                <w:sz w:val="22"/>
              </w:rPr>
              <w:t>2,250.00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c</w:t>
            </w:r>
          </w:p>
        </w:tc>
        <w:tc>
          <w:tcPr>
            <w:tcW w:w="4200" w:type="dxa"/>
          </w:tcPr>
          <w:p w:rsidR="00000000" w:rsidRDefault="008739CC">
            <w:pPr>
              <w:pStyle w:val="ac"/>
              <w:spacing w:line="400" w:lineRule="exact"/>
              <w:rPr>
                <w:sz w:val="22"/>
              </w:rPr>
            </w:pPr>
            <w:r>
              <w:rPr>
                <w:rFonts w:hint="eastAsia"/>
                <w:sz w:val="22"/>
              </w:rPr>
              <w:t>熟练</w:t>
            </w:r>
          </w:p>
        </w:tc>
        <w:tc>
          <w:tcPr>
            <w:tcW w:w="3184" w:type="dxa"/>
            <w:gridSpan w:val="2"/>
          </w:tcPr>
          <w:p w:rsidR="00000000" w:rsidRDefault="008739CC">
            <w:pPr>
              <w:pStyle w:val="ac"/>
              <w:spacing w:line="400" w:lineRule="exact"/>
              <w:rPr>
                <w:sz w:val="22"/>
              </w:rPr>
            </w:pPr>
            <w:r>
              <w:rPr>
                <w:sz w:val="22"/>
              </w:rPr>
              <w:t>2,360.00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d</w:t>
            </w:r>
          </w:p>
        </w:tc>
        <w:tc>
          <w:tcPr>
            <w:tcW w:w="4200" w:type="dxa"/>
          </w:tcPr>
          <w:p w:rsidR="00000000" w:rsidRDefault="008739CC">
            <w:pPr>
              <w:pStyle w:val="ac"/>
              <w:spacing w:line="400" w:lineRule="exact"/>
              <w:rPr>
                <w:sz w:val="22"/>
              </w:rPr>
            </w:pPr>
            <w:r>
              <w:rPr>
                <w:rFonts w:hint="eastAsia"/>
                <w:sz w:val="22"/>
              </w:rPr>
              <w:t>极熟练</w:t>
            </w:r>
          </w:p>
        </w:tc>
        <w:tc>
          <w:tcPr>
            <w:tcW w:w="3184" w:type="dxa"/>
            <w:gridSpan w:val="2"/>
          </w:tcPr>
          <w:p w:rsidR="00000000" w:rsidRDefault="008739CC">
            <w:pPr>
              <w:pStyle w:val="ac"/>
              <w:spacing w:line="400" w:lineRule="exact"/>
              <w:rPr>
                <w:sz w:val="22"/>
              </w:rPr>
            </w:pPr>
            <w:r>
              <w:rPr>
                <w:sz w:val="22"/>
              </w:rPr>
              <w:t>2,550.00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e</w:t>
            </w:r>
          </w:p>
        </w:tc>
        <w:tc>
          <w:tcPr>
            <w:tcW w:w="4200" w:type="dxa"/>
          </w:tcPr>
          <w:p w:rsidR="00000000" w:rsidRDefault="008739CC">
            <w:pPr>
              <w:pStyle w:val="ac"/>
              <w:spacing w:line="400" w:lineRule="exact"/>
              <w:rPr>
                <w:rFonts w:hint="eastAsia"/>
                <w:sz w:val="22"/>
              </w:rPr>
            </w:pPr>
            <w:r>
              <w:rPr>
                <w:rFonts w:hint="eastAsia"/>
                <w:sz w:val="22"/>
              </w:rPr>
              <w:t>未成年人</w:t>
            </w:r>
          </w:p>
        </w:tc>
        <w:tc>
          <w:tcPr>
            <w:tcW w:w="3184" w:type="dxa"/>
            <w:gridSpan w:val="2"/>
          </w:tcPr>
          <w:p w:rsidR="00000000" w:rsidRDefault="008739CC">
            <w:pPr>
              <w:pStyle w:val="ac"/>
              <w:spacing w:line="400" w:lineRule="exact"/>
              <w:rPr>
                <w:sz w:val="22"/>
              </w:rPr>
            </w:pPr>
            <w:r>
              <w:rPr>
                <w:sz w:val="22"/>
              </w:rPr>
              <w:t>1,785.00</w:t>
            </w:r>
          </w:p>
        </w:tc>
      </w:tr>
      <w:tr w:rsidR="00000000">
        <w:tblPrEx>
          <w:tblCellMar>
            <w:top w:w="0" w:type="dxa"/>
            <w:left w:w="0" w:type="dxa"/>
            <w:bottom w:w="0" w:type="dxa"/>
            <w:right w:w="0" w:type="dxa"/>
          </w:tblCellMar>
        </w:tblPrEx>
        <w:tc>
          <w:tcPr>
            <w:tcW w:w="8119" w:type="dxa"/>
            <w:gridSpan w:val="4"/>
          </w:tcPr>
          <w:p w:rsidR="00000000" w:rsidRDefault="008739CC">
            <w:pPr>
              <w:pStyle w:val="ac"/>
              <w:spacing w:before="80" w:after="80" w:line="400" w:lineRule="exact"/>
              <w:rPr>
                <w:rFonts w:ascii="Time New Roman" w:eastAsia="SimHei" w:hAnsi="Time New Roman"/>
                <w:sz w:val="22"/>
              </w:rPr>
            </w:pPr>
            <w:r>
              <w:rPr>
                <w:rFonts w:ascii="Time New Roman" w:eastAsia="SimHei" w:hAnsi="Time New Roman" w:hint="eastAsia"/>
                <w:sz w:val="22"/>
              </w:rPr>
              <w:t>除了上列薪酬以外，按下列费率发给附加生活津贴</w:t>
            </w:r>
            <w:r>
              <w:rPr>
                <w:rFonts w:ascii="Time New Roman" w:eastAsia="SimHei" w:hAnsi="Time New Roman" w:hint="eastAsia"/>
                <w:sz w:val="22"/>
              </w:rPr>
              <w:t>是可以容许的：</w:t>
            </w:r>
          </w:p>
        </w:tc>
      </w:tr>
      <w:tr w:rsidR="00000000">
        <w:tblPrEx>
          <w:tblCellMar>
            <w:top w:w="0" w:type="dxa"/>
            <w:left w:w="0" w:type="dxa"/>
            <w:bottom w:w="0" w:type="dxa"/>
            <w:right w:w="0" w:type="dxa"/>
          </w:tblCellMar>
        </w:tblPrEx>
        <w:tc>
          <w:tcPr>
            <w:tcW w:w="735" w:type="dxa"/>
          </w:tcPr>
          <w:p w:rsidR="00000000" w:rsidRDefault="008739CC">
            <w:pPr>
              <w:pStyle w:val="ac"/>
              <w:spacing w:after="80" w:line="400" w:lineRule="exact"/>
              <w:rPr>
                <w:rFonts w:ascii="Time New Roman" w:eastAsia="SimHei" w:hAnsi="Time New Roman"/>
                <w:sz w:val="22"/>
              </w:rPr>
            </w:pPr>
          </w:p>
        </w:tc>
        <w:tc>
          <w:tcPr>
            <w:tcW w:w="4200"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雇员或工人分类</w:t>
            </w:r>
          </w:p>
        </w:tc>
        <w:tc>
          <w:tcPr>
            <w:tcW w:w="3184" w:type="dxa"/>
            <w:gridSpan w:val="2"/>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物价津贴</w:t>
            </w:r>
            <w:r>
              <w:rPr>
                <w:rFonts w:ascii="Time New Roman" w:eastAsia="SimHei" w:hAnsi="Time New Roman"/>
                <w:sz w:val="22"/>
              </w:rPr>
              <w:t>(</w:t>
            </w:r>
            <w:r>
              <w:rPr>
                <w:rFonts w:ascii="Time New Roman" w:eastAsia="SimHei" w:hAnsi="Time New Roman" w:hint="eastAsia"/>
                <w:sz w:val="22"/>
              </w:rPr>
              <w:t>卢比</w:t>
            </w:r>
            <w:r>
              <w:rPr>
                <w:rFonts w:ascii="Time New Roman" w:eastAsia="SimHei" w:hAnsi="Time New Roman"/>
                <w:sz w:val="22"/>
              </w:rPr>
              <w:t>)</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a</w:t>
            </w:r>
          </w:p>
        </w:tc>
        <w:tc>
          <w:tcPr>
            <w:tcW w:w="4200" w:type="dxa"/>
          </w:tcPr>
          <w:p w:rsidR="00000000" w:rsidRDefault="008739CC">
            <w:pPr>
              <w:pStyle w:val="ac"/>
              <w:spacing w:line="400" w:lineRule="exact"/>
              <w:rPr>
                <w:rFonts w:hint="eastAsia"/>
                <w:sz w:val="22"/>
              </w:rPr>
            </w:pPr>
            <w:r>
              <w:rPr>
                <w:rFonts w:hint="eastAsia"/>
                <w:sz w:val="22"/>
              </w:rPr>
              <w:t>成年人</w:t>
            </w:r>
          </w:p>
        </w:tc>
        <w:tc>
          <w:tcPr>
            <w:tcW w:w="3184" w:type="dxa"/>
            <w:gridSpan w:val="2"/>
          </w:tcPr>
          <w:p w:rsidR="00000000" w:rsidRDefault="008739CC">
            <w:pPr>
              <w:pStyle w:val="ac"/>
              <w:spacing w:line="400" w:lineRule="exact"/>
              <w:rPr>
                <w:sz w:val="22"/>
              </w:rPr>
            </w:pPr>
            <w:r>
              <w:rPr>
                <w:sz w:val="22"/>
              </w:rPr>
              <w:t>1,100.00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b</w:t>
            </w:r>
          </w:p>
        </w:tc>
        <w:tc>
          <w:tcPr>
            <w:tcW w:w="4200" w:type="dxa"/>
          </w:tcPr>
          <w:p w:rsidR="00000000" w:rsidRDefault="008739CC">
            <w:pPr>
              <w:pStyle w:val="ac"/>
              <w:spacing w:line="400" w:lineRule="exact"/>
              <w:rPr>
                <w:rFonts w:hint="eastAsia"/>
                <w:sz w:val="22"/>
              </w:rPr>
            </w:pPr>
            <w:r>
              <w:rPr>
                <w:rFonts w:hint="eastAsia"/>
                <w:sz w:val="22"/>
              </w:rPr>
              <w:t>未成年人</w:t>
            </w:r>
          </w:p>
        </w:tc>
        <w:tc>
          <w:tcPr>
            <w:tcW w:w="3184" w:type="dxa"/>
            <w:gridSpan w:val="2"/>
          </w:tcPr>
          <w:p w:rsidR="00000000" w:rsidRDefault="008739CC">
            <w:pPr>
              <w:pStyle w:val="ac"/>
              <w:spacing w:line="400" w:lineRule="exact"/>
              <w:rPr>
                <w:sz w:val="22"/>
              </w:rPr>
            </w:pPr>
            <w:r>
              <w:rPr>
                <w:sz w:val="22"/>
              </w:rPr>
              <w:t>830.00</w:t>
            </w:r>
          </w:p>
        </w:tc>
      </w:tr>
      <w:tr w:rsidR="00000000">
        <w:tblPrEx>
          <w:tblCellMar>
            <w:top w:w="0" w:type="dxa"/>
            <w:left w:w="0" w:type="dxa"/>
            <w:bottom w:w="0" w:type="dxa"/>
            <w:right w:w="0" w:type="dxa"/>
          </w:tblCellMar>
        </w:tblPrEx>
        <w:tc>
          <w:tcPr>
            <w:tcW w:w="8119" w:type="dxa"/>
            <w:gridSpan w:val="4"/>
          </w:tcPr>
          <w:p w:rsidR="00000000" w:rsidRDefault="008739CC">
            <w:pPr>
              <w:pStyle w:val="ac"/>
              <w:spacing w:before="80" w:after="80" w:line="400" w:lineRule="exact"/>
              <w:rPr>
                <w:rFonts w:ascii="Time New Roman" w:eastAsia="SimHei" w:hAnsi="Time New Roman"/>
                <w:sz w:val="22"/>
              </w:rPr>
            </w:pPr>
            <w:r>
              <w:rPr>
                <w:rFonts w:ascii="Time New Roman" w:eastAsia="SimHei" w:hAnsi="Time New Roman" w:hint="eastAsia"/>
                <w:sz w:val="22"/>
              </w:rPr>
              <w:t>按日计算工资的最低限度工资</w:t>
            </w:r>
          </w:p>
        </w:tc>
      </w:tr>
      <w:tr w:rsidR="00000000">
        <w:tblPrEx>
          <w:tblCellMar>
            <w:top w:w="0" w:type="dxa"/>
            <w:left w:w="0" w:type="dxa"/>
            <w:bottom w:w="0" w:type="dxa"/>
            <w:right w:w="0" w:type="dxa"/>
          </w:tblCellMar>
        </w:tblPrEx>
        <w:tc>
          <w:tcPr>
            <w:tcW w:w="735" w:type="dxa"/>
          </w:tcPr>
          <w:p w:rsidR="00000000" w:rsidRDefault="008739CC">
            <w:pPr>
              <w:pStyle w:val="ac"/>
              <w:spacing w:after="80" w:line="400" w:lineRule="exact"/>
              <w:rPr>
                <w:rFonts w:ascii="Time New Roman" w:eastAsia="SimHei" w:hAnsi="Time New Roman"/>
                <w:sz w:val="22"/>
              </w:rPr>
            </w:pPr>
          </w:p>
        </w:tc>
        <w:tc>
          <w:tcPr>
            <w:tcW w:w="4200"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雇员或工人</w:t>
            </w:r>
          </w:p>
        </w:tc>
        <w:tc>
          <w:tcPr>
            <w:tcW w:w="3184" w:type="dxa"/>
            <w:gridSpan w:val="2"/>
          </w:tcPr>
          <w:p w:rsidR="00000000" w:rsidRDefault="008739CC">
            <w:pPr>
              <w:pStyle w:val="ac"/>
              <w:spacing w:after="80" w:line="400" w:lineRule="exact"/>
              <w:rPr>
                <w:rFonts w:ascii="Time New Roman" w:eastAsia="SimHei" w:hAnsi="Time New Roman" w:hint="eastAsia"/>
                <w:sz w:val="22"/>
              </w:rPr>
            </w:pPr>
            <w:r>
              <w:rPr>
                <w:rFonts w:ascii="Time New Roman" w:eastAsia="SimHei" w:hAnsi="Time New Roman" w:hint="eastAsia"/>
                <w:sz w:val="22"/>
              </w:rPr>
              <w:t>每日最低薪酬</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a</w:t>
            </w:r>
          </w:p>
        </w:tc>
        <w:tc>
          <w:tcPr>
            <w:tcW w:w="4200" w:type="dxa"/>
          </w:tcPr>
          <w:p w:rsidR="00000000" w:rsidRDefault="008739CC">
            <w:pPr>
              <w:pStyle w:val="ac"/>
              <w:spacing w:line="400" w:lineRule="exact"/>
              <w:rPr>
                <w:sz w:val="22"/>
              </w:rPr>
            </w:pPr>
            <w:r>
              <w:rPr>
                <w:rFonts w:hint="eastAsia"/>
                <w:sz w:val="22"/>
              </w:rPr>
              <w:t>成年人</w:t>
            </w:r>
            <w:r>
              <w:rPr>
                <w:sz w:val="22"/>
              </w:rPr>
              <w:t xml:space="preserve"> </w:t>
            </w:r>
          </w:p>
        </w:tc>
        <w:tc>
          <w:tcPr>
            <w:tcW w:w="3184" w:type="dxa"/>
            <w:gridSpan w:val="2"/>
          </w:tcPr>
          <w:p w:rsidR="00000000" w:rsidRDefault="008739CC">
            <w:pPr>
              <w:pStyle w:val="ac"/>
              <w:spacing w:line="400" w:lineRule="exact"/>
              <w:rPr>
                <w:sz w:val="22"/>
              </w:rPr>
            </w:pPr>
            <w:r>
              <w:rPr>
                <w:sz w:val="22"/>
              </w:rPr>
              <w:t>125.00</w:t>
            </w:r>
          </w:p>
        </w:tc>
      </w:tr>
      <w:tr w:rsidR="00000000">
        <w:tblPrEx>
          <w:tblCellMar>
            <w:top w:w="0" w:type="dxa"/>
            <w:left w:w="0" w:type="dxa"/>
            <w:bottom w:w="0" w:type="dxa"/>
            <w:right w:w="0" w:type="dxa"/>
          </w:tblCellMar>
        </w:tblPrEx>
        <w:tc>
          <w:tcPr>
            <w:tcW w:w="735" w:type="dxa"/>
          </w:tcPr>
          <w:p w:rsidR="00000000" w:rsidRDefault="008739CC">
            <w:pPr>
              <w:pStyle w:val="ac"/>
              <w:spacing w:line="400" w:lineRule="exact"/>
              <w:rPr>
                <w:sz w:val="22"/>
              </w:rPr>
            </w:pPr>
            <w:r>
              <w:rPr>
                <w:sz w:val="22"/>
              </w:rPr>
              <w:t>b</w:t>
            </w:r>
          </w:p>
        </w:tc>
        <w:tc>
          <w:tcPr>
            <w:tcW w:w="4200" w:type="dxa"/>
          </w:tcPr>
          <w:p w:rsidR="00000000" w:rsidRDefault="008739CC">
            <w:pPr>
              <w:pStyle w:val="ac"/>
              <w:spacing w:line="400" w:lineRule="exact"/>
              <w:rPr>
                <w:rFonts w:hint="eastAsia"/>
                <w:sz w:val="22"/>
              </w:rPr>
            </w:pPr>
            <w:r>
              <w:rPr>
                <w:rFonts w:hint="eastAsia"/>
                <w:sz w:val="22"/>
              </w:rPr>
              <w:t>未成年人</w:t>
            </w:r>
          </w:p>
        </w:tc>
        <w:tc>
          <w:tcPr>
            <w:tcW w:w="3184" w:type="dxa"/>
            <w:gridSpan w:val="2"/>
          </w:tcPr>
          <w:p w:rsidR="00000000" w:rsidRDefault="008739CC">
            <w:pPr>
              <w:pStyle w:val="ac"/>
              <w:spacing w:line="400" w:lineRule="exact"/>
              <w:rPr>
                <w:sz w:val="22"/>
              </w:rPr>
            </w:pPr>
            <w:r>
              <w:rPr>
                <w:sz w:val="22"/>
              </w:rPr>
              <w:t>100.00</w:t>
            </w:r>
          </w:p>
        </w:tc>
      </w:tr>
      <w:tr w:rsidR="00000000">
        <w:tblPrEx>
          <w:tblCellMar>
            <w:top w:w="0" w:type="dxa"/>
            <w:left w:w="0" w:type="dxa"/>
            <w:bottom w:w="0" w:type="dxa"/>
            <w:right w:w="0" w:type="dxa"/>
          </w:tblCellMar>
        </w:tblPrEx>
        <w:tc>
          <w:tcPr>
            <w:tcW w:w="8119" w:type="dxa"/>
            <w:gridSpan w:val="4"/>
          </w:tcPr>
          <w:p w:rsidR="00000000" w:rsidRDefault="008739CC">
            <w:pPr>
              <w:pStyle w:val="ac"/>
              <w:spacing w:before="80" w:after="80" w:line="400" w:lineRule="exact"/>
              <w:rPr>
                <w:rFonts w:ascii="Time New Roman" w:eastAsia="SimHei" w:hAnsi="Time New Roman"/>
                <w:sz w:val="22"/>
              </w:rPr>
            </w:pPr>
            <w:r>
              <w:rPr>
                <w:rFonts w:ascii="Time New Roman" w:eastAsia="SimHei" w:hAnsi="Time New Roman" w:hint="eastAsia"/>
                <w:sz w:val="22"/>
              </w:rPr>
              <w:t>采茶工人的每日最低限度工资</w:t>
            </w:r>
            <w:r>
              <w:rPr>
                <w:rFonts w:ascii="Time New Roman" w:eastAsia="SimHei" w:hAnsi="Time New Roman"/>
                <w:sz w:val="22"/>
              </w:rPr>
              <w:t xml:space="preserve"> </w:t>
            </w:r>
          </w:p>
        </w:tc>
      </w:tr>
      <w:tr w:rsidR="00000000">
        <w:tblPrEx>
          <w:tblCellMar>
            <w:top w:w="0" w:type="dxa"/>
            <w:left w:w="0" w:type="dxa"/>
            <w:bottom w:w="0" w:type="dxa"/>
            <w:right w:w="0" w:type="dxa"/>
          </w:tblCellMar>
        </w:tblPrEx>
        <w:trPr>
          <w:gridAfter w:val="1"/>
          <w:wAfter w:w="34" w:type="dxa"/>
        </w:trPr>
        <w:tc>
          <w:tcPr>
            <w:tcW w:w="735" w:type="dxa"/>
          </w:tcPr>
          <w:p w:rsidR="00000000" w:rsidRDefault="008739CC">
            <w:pPr>
              <w:pStyle w:val="ac"/>
              <w:spacing w:after="80" w:line="400" w:lineRule="exact"/>
              <w:rPr>
                <w:rFonts w:ascii="Time New Roman" w:eastAsia="SimHei" w:hAnsi="Time New Roman"/>
                <w:sz w:val="22"/>
              </w:rPr>
            </w:pPr>
          </w:p>
        </w:tc>
        <w:tc>
          <w:tcPr>
            <w:tcW w:w="4200"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雇员或工人分类</w:t>
            </w:r>
          </w:p>
        </w:tc>
        <w:tc>
          <w:tcPr>
            <w:tcW w:w="3150"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每日最低薪酬</w:t>
            </w:r>
            <w:r>
              <w:rPr>
                <w:rFonts w:ascii="Time New Roman" w:eastAsia="SimHei" w:hAnsi="Time New Roman"/>
                <w:sz w:val="22"/>
              </w:rPr>
              <w:t>(</w:t>
            </w:r>
            <w:r>
              <w:rPr>
                <w:rFonts w:ascii="Time New Roman" w:eastAsia="SimHei" w:hAnsi="Time New Roman" w:hint="eastAsia"/>
                <w:sz w:val="22"/>
              </w:rPr>
              <w:t>卢比</w:t>
            </w:r>
            <w:r>
              <w:rPr>
                <w:rFonts w:ascii="Time New Roman" w:eastAsia="SimHei" w:hAnsi="Time New Roman"/>
                <w:sz w:val="22"/>
              </w:rPr>
              <w:t>)</w:t>
            </w:r>
          </w:p>
        </w:tc>
      </w:tr>
      <w:tr w:rsidR="00000000">
        <w:tblPrEx>
          <w:tblCellMar>
            <w:top w:w="0" w:type="dxa"/>
            <w:left w:w="0" w:type="dxa"/>
            <w:bottom w:w="0" w:type="dxa"/>
            <w:right w:w="0" w:type="dxa"/>
          </w:tblCellMar>
        </w:tblPrEx>
        <w:trPr>
          <w:gridAfter w:val="1"/>
          <w:wAfter w:w="34" w:type="dxa"/>
        </w:trPr>
        <w:tc>
          <w:tcPr>
            <w:tcW w:w="735" w:type="dxa"/>
          </w:tcPr>
          <w:p w:rsidR="00000000" w:rsidRDefault="008739CC">
            <w:pPr>
              <w:pStyle w:val="ac"/>
              <w:spacing w:line="400" w:lineRule="exact"/>
              <w:rPr>
                <w:sz w:val="22"/>
              </w:rPr>
            </w:pPr>
            <w:r>
              <w:rPr>
                <w:sz w:val="22"/>
              </w:rPr>
              <w:t>a</w:t>
            </w:r>
          </w:p>
        </w:tc>
        <w:tc>
          <w:tcPr>
            <w:tcW w:w="4200" w:type="dxa"/>
          </w:tcPr>
          <w:p w:rsidR="00000000" w:rsidRDefault="008739CC">
            <w:pPr>
              <w:pStyle w:val="ac"/>
              <w:spacing w:line="400" w:lineRule="exact"/>
              <w:rPr>
                <w:sz w:val="22"/>
              </w:rPr>
            </w:pPr>
            <w:r>
              <w:rPr>
                <w:rFonts w:hint="eastAsia"/>
                <w:sz w:val="22"/>
              </w:rPr>
              <w:t>成年人</w:t>
            </w:r>
          </w:p>
        </w:tc>
        <w:tc>
          <w:tcPr>
            <w:tcW w:w="3150" w:type="dxa"/>
          </w:tcPr>
          <w:p w:rsidR="00000000" w:rsidRDefault="008739CC">
            <w:pPr>
              <w:pStyle w:val="ac"/>
              <w:spacing w:line="400" w:lineRule="exact"/>
              <w:rPr>
                <w:sz w:val="22"/>
              </w:rPr>
            </w:pPr>
            <w:r>
              <w:rPr>
                <w:sz w:val="22"/>
              </w:rPr>
              <w:t>95.00</w:t>
            </w:r>
          </w:p>
        </w:tc>
      </w:tr>
      <w:tr w:rsidR="00000000">
        <w:tblPrEx>
          <w:tblCellMar>
            <w:top w:w="0" w:type="dxa"/>
            <w:left w:w="0" w:type="dxa"/>
            <w:bottom w:w="0" w:type="dxa"/>
            <w:right w:w="0" w:type="dxa"/>
          </w:tblCellMar>
        </w:tblPrEx>
        <w:trPr>
          <w:gridAfter w:val="1"/>
          <w:wAfter w:w="34" w:type="dxa"/>
        </w:trPr>
        <w:tc>
          <w:tcPr>
            <w:tcW w:w="735" w:type="dxa"/>
          </w:tcPr>
          <w:p w:rsidR="00000000" w:rsidRDefault="008739CC">
            <w:pPr>
              <w:pStyle w:val="ac"/>
              <w:spacing w:line="400" w:lineRule="exact"/>
              <w:rPr>
                <w:sz w:val="22"/>
              </w:rPr>
            </w:pPr>
            <w:r>
              <w:rPr>
                <w:sz w:val="22"/>
              </w:rPr>
              <w:t>b</w:t>
            </w:r>
          </w:p>
        </w:tc>
        <w:tc>
          <w:tcPr>
            <w:tcW w:w="4200" w:type="dxa"/>
          </w:tcPr>
          <w:p w:rsidR="00000000" w:rsidRDefault="008739CC">
            <w:pPr>
              <w:pStyle w:val="ac"/>
              <w:spacing w:line="400" w:lineRule="exact"/>
              <w:rPr>
                <w:rFonts w:hint="eastAsia"/>
                <w:sz w:val="22"/>
              </w:rPr>
            </w:pPr>
            <w:r>
              <w:rPr>
                <w:rFonts w:hint="eastAsia"/>
                <w:sz w:val="22"/>
              </w:rPr>
              <w:t>未成年人</w:t>
            </w:r>
          </w:p>
        </w:tc>
        <w:tc>
          <w:tcPr>
            <w:tcW w:w="3150" w:type="dxa"/>
          </w:tcPr>
          <w:p w:rsidR="00000000" w:rsidRDefault="008739CC">
            <w:pPr>
              <w:pStyle w:val="ac"/>
              <w:spacing w:line="400" w:lineRule="exact"/>
              <w:rPr>
                <w:sz w:val="22"/>
              </w:rPr>
            </w:pPr>
            <w:r>
              <w:rPr>
                <w:sz w:val="22"/>
              </w:rPr>
              <w:t>72.00</w:t>
            </w:r>
          </w:p>
        </w:tc>
      </w:tr>
    </w:tbl>
    <w:p w:rsidR="00000000" w:rsidRDefault="008739CC">
      <w:pPr>
        <w:rPr>
          <w:b/>
        </w:rPr>
      </w:pP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23</w:t>
      </w:r>
      <w:r>
        <w:rPr>
          <w:rFonts w:ascii="Time New Roman" w:eastAsia="SimHei" w:hAnsi="Time New Roman"/>
          <w:u w:val="none"/>
        </w:rPr>
        <w:t xml:space="preserve">.  </w:t>
      </w:r>
      <w:r>
        <w:rPr>
          <w:rFonts w:ascii="Time New Roman" w:eastAsia="SimHei" w:hAnsi="Time New Roman" w:hint="eastAsia"/>
          <w:u w:val="none"/>
        </w:rPr>
        <w:t>贫穷和经济机会</w:t>
      </w:r>
    </w:p>
    <w:p w:rsidR="00000000" w:rsidRDefault="008739CC">
      <w:pPr>
        <w:ind w:firstLine="510"/>
      </w:pPr>
      <w:r>
        <w:t>84.</w:t>
      </w:r>
      <w:r>
        <w:tab/>
      </w:r>
      <w:r>
        <w:rPr>
          <w:rFonts w:hint="eastAsia"/>
        </w:rPr>
        <w:t>2002</w:t>
      </w:r>
      <w:r>
        <w:t>/</w:t>
      </w:r>
      <w:r>
        <w:rPr>
          <w:rFonts w:hint="eastAsia"/>
        </w:rPr>
        <w:t>2003</w:t>
      </w:r>
      <w:r>
        <w:rPr>
          <w:rFonts w:hint="eastAsia"/>
        </w:rPr>
        <w:t>财政年度以来，《第十计划》已经列为《尼泊尔减贫战略文件文件》付诸实施。《第十计划》是</w:t>
      </w:r>
      <w:r>
        <w:rPr>
          <w:rFonts w:hint="eastAsia"/>
        </w:rPr>
        <w:t>19</w:t>
      </w:r>
      <w:r>
        <w:rPr>
          <w:rFonts w:hint="eastAsia"/>
        </w:rPr>
        <w:t>90</w:t>
      </w:r>
      <w:r>
        <w:rPr>
          <w:rFonts w:hint="eastAsia"/>
        </w:rPr>
        <w:t>年恢复民主以后为了解决尼泊尔贫穷问题而实行的《第十计划》。作为扶贫的一项主要政策革新，这项计划打算加速减贫，因而优先重视高度经济成长、社会部门发展、良好管理、和包容性的社会正义。根据过去的经验，减贫和社会正义方案正在比较有效地进行。这方面的战略目标是通过参与式的发展程序实现设定的目标，同时确立妇女在国家经济及社会发展的有效作用，将受到压制的阶层和各种族群纳入发展进程的主流，并且明确规定政府、地方机关、私人企业、非政府组织和公民社会团体的功能。</w:t>
      </w:r>
    </w:p>
    <w:p w:rsidR="00000000" w:rsidRDefault="008739CC">
      <w:pPr>
        <w:ind w:firstLine="510"/>
      </w:pPr>
      <w:r>
        <w:t>85.</w:t>
      </w:r>
      <w:r>
        <w:tab/>
      </w:r>
      <w:r>
        <w:rPr>
          <w:rFonts w:hint="eastAsia"/>
        </w:rPr>
        <w:t>《第十计划》中期评估的主要结论如下：</w:t>
      </w:r>
    </w:p>
    <w:p w:rsidR="00000000" w:rsidRDefault="008739CC">
      <w:pPr>
        <w:pStyle w:val="a"/>
        <w:ind w:left="1550"/>
      </w:pPr>
      <w:r>
        <w:rPr>
          <w:rFonts w:hint="eastAsia"/>
        </w:rPr>
        <w:t>从</w:t>
      </w:r>
      <w:r>
        <w:rPr>
          <w:rFonts w:hint="eastAsia"/>
        </w:rPr>
        <w:t>2003</w:t>
      </w:r>
      <w:r>
        <w:t>/2</w:t>
      </w:r>
      <w:r>
        <w:t>004</w:t>
      </w:r>
      <w:r>
        <w:rPr>
          <w:rFonts w:hint="eastAsia"/>
        </w:rPr>
        <w:t>年进行的生活水平调查的资料看来，按照基本需求费用方法计算，在全国贫穷线以下生活的人数占</w:t>
      </w:r>
      <w:r>
        <w:rPr>
          <w:rFonts w:hint="eastAsia"/>
        </w:rPr>
        <w:t>30</w:t>
      </w:r>
      <w:r>
        <w:t>.8%</w:t>
      </w:r>
      <w:r>
        <w:rPr>
          <w:rFonts w:hint="eastAsia"/>
        </w:rPr>
        <w:t>；</w:t>
      </w:r>
    </w:p>
    <w:p w:rsidR="00000000" w:rsidRDefault="008739CC">
      <w:pPr>
        <w:pStyle w:val="a"/>
        <w:ind w:left="1550"/>
      </w:pPr>
      <w:r>
        <w:rPr>
          <w:rFonts w:hint="eastAsia"/>
        </w:rPr>
        <w:t>从每日一美元</w:t>
      </w:r>
      <w:r>
        <w:t>(2003/2004)</w:t>
      </w:r>
      <w:r>
        <w:rPr>
          <w:rFonts w:hint="eastAsia"/>
        </w:rPr>
        <w:t>的定义看来，在贫穷线以下生活的人数为</w:t>
      </w:r>
      <w:r>
        <w:t>24.1</w:t>
      </w:r>
      <w:r>
        <w:rPr>
          <w:rFonts w:hint="eastAsia"/>
        </w:rPr>
        <w:t>%</w:t>
      </w:r>
      <w:r>
        <w:rPr>
          <w:rFonts w:hint="eastAsia"/>
        </w:rPr>
        <w:t>；</w:t>
      </w:r>
    </w:p>
    <w:p w:rsidR="00000000" w:rsidRDefault="008739CC">
      <w:pPr>
        <w:pStyle w:val="a"/>
        <w:ind w:left="1550"/>
      </w:pPr>
      <w:r>
        <w:rPr>
          <w:rFonts w:hint="eastAsia"/>
        </w:rPr>
        <w:t>社会包容及锁定目标方案是尼泊尔的一项主要减贫战略；</w:t>
      </w:r>
    </w:p>
    <w:p w:rsidR="00000000" w:rsidRDefault="008739CC">
      <w:pPr>
        <w:pStyle w:val="a"/>
        <w:ind w:left="1550"/>
      </w:pPr>
      <w:r>
        <w:rPr>
          <w:rFonts w:hint="eastAsia"/>
        </w:rPr>
        <w:t>除了致力于经济成长和涉及该社会部门其他因素的计划以外，大约有</w:t>
      </w:r>
      <w:r>
        <w:t>30</w:t>
      </w:r>
      <w:r>
        <w:rPr>
          <w:rFonts w:hint="eastAsia"/>
        </w:rPr>
        <w:t>项计划是以贫穷和处境不利的群体和</w:t>
      </w:r>
      <w:r>
        <w:rPr>
          <w:rFonts w:hint="eastAsia"/>
        </w:rPr>
        <w:t>(</w:t>
      </w:r>
      <w:r>
        <w:rPr>
          <w:rFonts w:hint="eastAsia"/>
        </w:rPr>
        <w:t>或</w:t>
      </w:r>
      <w:r>
        <w:rPr>
          <w:rFonts w:hint="eastAsia"/>
        </w:rPr>
        <w:t>)</w:t>
      </w:r>
      <w:r>
        <w:rPr>
          <w:rFonts w:hint="eastAsia"/>
        </w:rPr>
        <w:t>区域为直接的目标；</w:t>
      </w:r>
    </w:p>
    <w:p w:rsidR="00000000" w:rsidRDefault="008739CC">
      <w:pPr>
        <w:pStyle w:val="a"/>
        <w:ind w:left="1550"/>
      </w:pPr>
      <w:r>
        <w:rPr>
          <w:rFonts w:hint="eastAsia"/>
        </w:rPr>
        <w:t>为促进包容性的教育发展，正在实施奖学金计划和其他锁定目标的奖励措施；</w:t>
      </w:r>
    </w:p>
    <w:p w:rsidR="00000000" w:rsidRDefault="008739CC">
      <w:pPr>
        <w:pStyle w:val="a"/>
        <w:ind w:left="1550"/>
      </w:pPr>
      <w:r>
        <w:rPr>
          <w:rFonts w:hint="eastAsia"/>
        </w:rPr>
        <w:t>锁定目标的包容性计划同时把重点放在边远的地理区域和社会群体、性别群体及其他处境</w:t>
      </w:r>
      <w:r>
        <w:rPr>
          <w:rFonts w:hint="eastAsia"/>
        </w:rPr>
        <w:t>不利的群体；</w:t>
      </w:r>
    </w:p>
    <w:p w:rsidR="00000000" w:rsidRDefault="008739CC">
      <w:pPr>
        <w:pStyle w:val="a"/>
        <w:ind w:left="1550"/>
      </w:pPr>
      <w:r>
        <w:rPr>
          <w:rFonts w:hint="eastAsia"/>
        </w:rPr>
        <w:t>实施着重改善残疾人、老年公民和处理不利儿童的生计的社会保险方案；</w:t>
      </w:r>
    </w:p>
    <w:p w:rsidR="00000000" w:rsidRDefault="008739CC">
      <w:pPr>
        <w:pStyle w:val="a"/>
        <w:ind w:left="1550"/>
      </w:pPr>
      <w:r>
        <w:rPr>
          <w:rFonts w:hint="eastAsia"/>
        </w:rPr>
        <w:t>以社会动员为基础而锁定目标、具有社会包容性的方案，把重点放在增加就业、收入、以及能力建设和贫困及处境不利群体的技能培养；</w:t>
      </w:r>
    </w:p>
    <w:p w:rsidR="00000000" w:rsidRDefault="008739CC">
      <w:pPr>
        <w:pStyle w:val="a"/>
        <w:ind w:left="1550"/>
      </w:pPr>
      <w:r>
        <w:rPr>
          <w:rFonts w:hint="eastAsia"/>
        </w:rPr>
        <w:t>所编列的总预算中，大约有</w:t>
      </w:r>
      <w:r>
        <w:t>30</w:t>
      </w:r>
      <w:r>
        <w:rPr>
          <w:rFonts w:hint="eastAsia"/>
        </w:rPr>
        <w:t>%</w:t>
      </w:r>
      <w:r>
        <w:rPr>
          <w:rFonts w:hint="eastAsia"/>
        </w:rPr>
        <w:t>用于扶贫活动</w:t>
      </w:r>
      <w:r>
        <w:t>(2005/2006)</w:t>
      </w:r>
      <w:r>
        <w:rPr>
          <w:rFonts w:hint="eastAsia"/>
        </w:rPr>
        <w:t>；</w:t>
      </w:r>
    </w:p>
    <w:p w:rsidR="00000000" w:rsidRDefault="008739CC">
      <w:pPr>
        <w:pStyle w:val="a"/>
        <w:ind w:left="1550"/>
      </w:pPr>
      <w:r>
        <w:t>2002/2003-2005/2006</w:t>
      </w:r>
      <w:r>
        <w:rPr>
          <w:rFonts w:hint="eastAsia"/>
        </w:rPr>
        <w:t>期间，社会部门的开支约占</w:t>
      </w:r>
      <w:r>
        <w:t>GDP</w:t>
      </w:r>
      <w:r>
        <w:rPr>
          <w:rFonts w:hint="eastAsia"/>
        </w:rPr>
        <w:t>(</w:t>
      </w:r>
      <w:r>
        <w:rPr>
          <w:rFonts w:hint="eastAsia"/>
        </w:rPr>
        <w:t>国内生产总值</w:t>
      </w:r>
      <w:r>
        <w:rPr>
          <w:rFonts w:hint="eastAsia"/>
        </w:rPr>
        <w:t>)</w:t>
      </w:r>
      <w:r>
        <w:rPr>
          <w:rFonts w:hint="eastAsia"/>
        </w:rPr>
        <w:t>的</w:t>
      </w:r>
      <w:r>
        <w:t>5.83%</w:t>
      </w:r>
      <w:r>
        <w:rPr>
          <w:rFonts w:hint="eastAsia"/>
        </w:rPr>
        <w:t>；</w:t>
      </w:r>
    </w:p>
    <w:p w:rsidR="00000000" w:rsidRDefault="008739CC">
      <w:pPr>
        <w:pStyle w:val="a"/>
        <w:spacing w:after="240"/>
        <w:ind w:left="1550"/>
      </w:pPr>
      <w:r>
        <w:rPr>
          <w:rFonts w:hint="eastAsia"/>
        </w:rPr>
        <w:t>从</w:t>
      </w:r>
      <w:r>
        <w:t>2002-03</w:t>
      </w:r>
      <w:r>
        <w:rPr>
          <w:rFonts w:hint="eastAsia"/>
        </w:rPr>
        <w:t>财政年度起，政府公布了</w:t>
      </w:r>
      <w:r>
        <w:rPr>
          <w:rFonts w:hint="eastAsia"/>
        </w:rPr>
        <w:t>PRSP</w:t>
      </w:r>
      <w:r>
        <w:rPr>
          <w:rFonts w:hint="eastAsia"/>
        </w:rPr>
        <w:t>的年度进度报告，到目前为止，已经公布四次报告。这样做有利于确保发展进程透明。</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24</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u w:val="none"/>
        </w:rPr>
        <w:t xml:space="preserve"> </w:t>
      </w:r>
      <w:r>
        <w:rPr>
          <w:rFonts w:ascii="Time New Roman" w:eastAsia="SimHei" w:hAnsi="Time New Roman" w:hint="eastAsia"/>
          <w:u w:val="none"/>
        </w:rPr>
        <w:t>享受</w:t>
      </w:r>
      <w:r>
        <w:rPr>
          <w:rFonts w:ascii="Time New Roman" w:eastAsia="SimHei" w:hAnsi="Time New Roman" w:hint="eastAsia"/>
          <w:u w:val="none"/>
        </w:rPr>
        <w:t>适当生活水平的权利</w:t>
      </w:r>
    </w:p>
    <w:p w:rsidR="00000000" w:rsidRDefault="008739CC">
      <w:pPr>
        <w:ind w:firstLine="510"/>
      </w:pPr>
      <w:r>
        <w:t>86.</w:t>
      </w:r>
      <w:r>
        <w:tab/>
      </w:r>
      <w:r>
        <w:rPr>
          <w:rFonts w:hint="eastAsia"/>
        </w:rPr>
        <w:t>过去十年，全国的毛派叛乱和冲突情况导致乡村人口移徙，尤其是农村青年和家庭中的男性成员从农村搬到城市地区。这种情况也是从前毛派战斗员放在公路上和边远地区的一些路障造成的。这种情况促使农业阴性化，影响区域的农业生产和粮食安全。</w:t>
      </w:r>
    </w:p>
    <w:p w:rsidR="00000000" w:rsidRDefault="008739CC">
      <w:pPr>
        <w:ind w:firstLine="510"/>
      </w:pPr>
      <w:r>
        <w:t>87.</w:t>
      </w:r>
      <w:r>
        <w:tab/>
      </w:r>
      <w:r>
        <w:rPr>
          <w:rFonts w:hint="eastAsia"/>
        </w:rPr>
        <w:t>政府实施了使农村人口留在农村地区的挣取收入计划，以及增加粮食生产和保障粮食安全的若干计划。在全国范围内实施经常性的农业和牲畜发展计划，例如：</w:t>
      </w:r>
    </w:p>
    <w:p w:rsidR="00000000" w:rsidRDefault="008739CC">
      <w:pPr>
        <w:pStyle w:val="a"/>
        <w:ind w:left="1550"/>
      </w:pPr>
      <w:r>
        <w:rPr>
          <w:rFonts w:hint="eastAsia"/>
        </w:rPr>
        <w:t>园艺发展、土豆及香料发展、作物发展、农业商业促进及行销</w:t>
      </w:r>
      <w:r>
        <w:t>(</w:t>
      </w:r>
      <w:r>
        <w:rPr>
          <w:rFonts w:hint="eastAsia"/>
        </w:rPr>
        <w:t>在农业部之下</w:t>
      </w:r>
      <w:r>
        <w:t>)</w:t>
      </w:r>
      <w:r>
        <w:rPr>
          <w:rFonts w:hint="eastAsia"/>
        </w:rPr>
        <w:t>的有关方案；</w:t>
      </w:r>
    </w:p>
    <w:p w:rsidR="00000000" w:rsidRDefault="008739CC">
      <w:pPr>
        <w:pStyle w:val="a"/>
        <w:ind w:left="1550"/>
      </w:pPr>
      <w:r>
        <w:rPr>
          <w:rFonts w:hint="eastAsia"/>
        </w:rPr>
        <w:t>牲畜保健服务、牲畜发展、牲</w:t>
      </w:r>
      <w:r>
        <w:rPr>
          <w:rFonts w:hint="eastAsia"/>
        </w:rPr>
        <w:t>畜促销</w:t>
      </w:r>
      <w:r>
        <w:rPr>
          <w:rFonts w:hint="eastAsia"/>
        </w:rPr>
        <w:t>(</w:t>
      </w:r>
      <w:r>
        <w:rPr>
          <w:rFonts w:hint="eastAsia"/>
        </w:rPr>
        <w:t>在畜牧部之下</w:t>
      </w:r>
      <w:r>
        <w:rPr>
          <w:rFonts w:hint="eastAsia"/>
        </w:rPr>
        <w:t>)</w:t>
      </w:r>
      <w:r>
        <w:rPr>
          <w:rFonts w:hint="eastAsia"/>
        </w:rPr>
        <w:t>。</w:t>
      </w:r>
    </w:p>
    <w:p w:rsidR="00000000" w:rsidRDefault="008739CC">
      <w:pPr>
        <w:ind w:firstLine="510"/>
      </w:pPr>
      <w:r>
        <w:t>88.</w:t>
      </w:r>
      <w:r>
        <w:tab/>
      </w:r>
      <w:r>
        <w:rPr>
          <w:rFonts w:hint="eastAsia"/>
        </w:rPr>
        <w:t>此外，农业及合作社部也已经实施下列一些锁定目标的计划：</w:t>
      </w:r>
    </w:p>
    <w:p w:rsidR="00000000" w:rsidRDefault="008739CC">
      <w:pPr>
        <w:pStyle w:val="a"/>
        <w:ind w:left="1550"/>
      </w:pPr>
      <w:r>
        <w:rPr>
          <w:rFonts w:hint="eastAsia"/>
        </w:rPr>
        <w:t>粮食安全项目；</w:t>
      </w:r>
    </w:p>
    <w:p w:rsidR="00000000" w:rsidRDefault="008739CC">
      <w:pPr>
        <w:pStyle w:val="a"/>
        <w:ind w:left="1550"/>
      </w:pPr>
      <w:r>
        <w:rPr>
          <w:rFonts w:hint="eastAsia"/>
        </w:rPr>
        <w:t>在中西部和远西地区实施作物多样化项目；</w:t>
      </w:r>
    </w:p>
    <w:p w:rsidR="00000000" w:rsidRDefault="008739CC">
      <w:pPr>
        <w:pStyle w:val="a"/>
        <w:ind w:left="1550"/>
      </w:pPr>
      <w:r>
        <w:t>Karnali</w:t>
      </w:r>
      <w:r>
        <w:rPr>
          <w:rFonts w:hint="eastAsia"/>
        </w:rPr>
        <w:t>区特别农业发展项目</w:t>
      </w:r>
      <w:r>
        <w:t>(</w:t>
      </w:r>
      <w:r>
        <w:rPr>
          <w:rFonts w:hint="eastAsia"/>
        </w:rPr>
        <w:t>在农业、牲畜和合作社部之下</w:t>
      </w:r>
      <w:r>
        <w:t>)</w:t>
      </w:r>
      <w:r>
        <w:rPr>
          <w:rFonts w:hint="eastAsia"/>
        </w:rPr>
        <w:t>；</w:t>
      </w:r>
    </w:p>
    <w:p w:rsidR="00000000" w:rsidRDefault="008739CC">
      <w:pPr>
        <w:pStyle w:val="a"/>
        <w:ind w:left="1550"/>
      </w:pPr>
      <w:r>
        <w:rPr>
          <w:rFonts w:hint="eastAsia"/>
        </w:rPr>
        <w:t>社区牲畜发展项目；</w:t>
      </w:r>
    </w:p>
    <w:p w:rsidR="00000000" w:rsidRDefault="008739CC">
      <w:pPr>
        <w:pStyle w:val="a"/>
        <w:spacing w:after="240"/>
        <w:ind w:left="1550"/>
      </w:pPr>
      <w:r>
        <w:rPr>
          <w:rFonts w:hint="eastAsia"/>
        </w:rPr>
        <w:t>租赁期林业和牲畜发展项目。</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25</w:t>
      </w:r>
      <w:r>
        <w:rPr>
          <w:rFonts w:ascii="Time New Roman" w:eastAsia="SimHei" w:hAnsi="Time New Roman"/>
          <w:u w:val="none"/>
        </w:rPr>
        <w:t xml:space="preserve">.  </w:t>
      </w:r>
      <w:r>
        <w:rPr>
          <w:rFonts w:ascii="Time New Roman" w:eastAsia="SimHei" w:hAnsi="Time New Roman" w:hint="eastAsia"/>
          <w:u w:val="none"/>
        </w:rPr>
        <w:t>农业部门遇到的困难</w:t>
      </w:r>
    </w:p>
    <w:p w:rsidR="00000000" w:rsidRDefault="008739CC">
      <w:pPr>
        <w:ind w:firstLine="510"/>
      </w:pPr>
      <w:r>
        <w:t>89.</w:t>
      </w:r>
      <w:r>
        <w:tab/>
      </w:r>
      <w:r>
        <w:rPr>
          <w:rFonts w:hint="eastAsia"/>
        </w:rPr>
        <w:t>了解到农业部门遇到的困难，包括灌溉不良、产量低和农产品价格低，国家优先重视增加生产率，把重点放在投入，包括化学肥料和灌溉以及可持续的土壤管理。发展行销、为农产品的促销组织农业合作社、和在丰收后管理产品都在农业发</w:t>
      </w:r>
      <w:r>
        <w:rPr>
          <w:rFonts w:hint="eastAsia"/>
        </w:rPr>
        <w:t>展方案中得到适当的强调，以确保产品的较佳价格和品质。</w:t>
      </w:r>
    </w:p>
    <w:p w:rsidR="00000000" w:rsidRDefault="008739CC">
      <w:pPr>
        <w:ind w:firstLine="510"/>
      </w:pPr>
      <w:r>
        <w:t>90.</w:t>
      </w:r>
      <w:r>
        <w:tab/>
      </w:r>
      <w:r>
        <w:rPr>
          <w:rFonts w:hint="eastAsia"/>
        </w:rPr>
        <w:t>正在执行下列特别锁定目标的计划：</w:t>
      </w:r>
    </w:p>
    <w:p w:rsidR="00000000" w:rsidRDefault="008739CC">
      <w:pPr>
        <w:pStyle w:val="a"/>
        <w:ind w:left="1550"/>
      </w:pPr>
      <w:r>
        <w:rPr>
          <w:rFonts w:hint="eastAsia"/>
        </w:rPr>
        <w:t>把肥料运到边远地区的津贴；</w:t>
      </w:r>
    </w:p>
    <w:p w:rsidR="00000000" w:rsidRDefault="008739CC">
      <w:pPr>
        <w:pStyle w:val="a"/>
        <w:ind w:left="1550"/>
      </w:pPr>
      <w:r>
        <w:rPr>
          <w:rFonts w:hint="eastAsia"/>
        </w:rPr>
        <w:t>小型灌溉特别计划；</w:t>
      </w:r>
    </w:p>
    <w:p w:rsidR="00000000" w:rsidRDefault="008739CC">
      <w:pPr>
        <w:pStyle w:val="a"/>
        <w:ind w:left="1550"/>
      </w:pPr>
      <w:r>
        <w:rPr>
          <w:rFonts w:hint="eastAsia"/>
        </w:rPr>
        <w:t>土壤改进和可持续土壤管理计划；</w:t>
      </w:r>
    </w:p>
    <w:p w:rsidR="00000000" w:rsidRDefault="008739CC">
      <w:pPr>
        <w:pStyle w:val="a"/>
        <w:ind w:left="1550"/>
      </w:pPr>
      <w:r>
        <w:rPr>
          <w:rFonts w:hint="eastAsia"/>
        </w:rPr>
        <w:t>保证获得优质种子的繁殖方案；</w:t>
      </w:r>
    </w:p>
    <w:p w:rsidR="00000000" w:rsidRDefault="008739CC">
      <w:pPr>
        <w:pStyle w:val="a"/>
        <w:ind w:left="1550"/>
      </w:pPr>
      <w:r>
        <w:rPr>
          <w:rFonts w:hint="eastAsia"/>
        </w:rPr>
        <w:t>牲畜品种改良计划；</w:t>
      </w:r>
    </w:p>
    <w:p w:rsidR="00000000" w:rsidRDefault="008739CC">
      <w:pPr>
        <w:pStyle w:val="a"/>
        <w:ind w:left="1550"/>
      </w:pPr>
      <w:r>
        <w:rPr>
          <w:rFonts w:hint="eastAsia"/>
        </w:rPr>
        <w:t>促进作物和牲畜产品的农业商业。</w:t>
      </w:r>
    </w:p>
    <w:p w:rsidR="00000000" w:rsidRDefault="008739CC">
      <w:pPr>
        <w:ind w:firstLine="510"/>
      </w:pPr>
      <w:r>
        <w:t>91.</w:t>
      </w:r>
      <w:r>
        <w:tab/>
      </w:r>
      <w:r>
        <w:rPr>
          <w:rFonts w:hint="eastAsia"/>
        </w:rPr>
        <w:t>尼泊尔粮食公司历来运输粮食以保证粮食供应，特别是在缺乏粮食的边远地区的丘陵地和山区。此外，世界粮食计划署在缺乏粮食期间通过乡村社区基本设施工作的“以粮食换工作”方案支持边远地区。</w:t>
      </w:r>
    </w:p>
    <w:p w:rsidR="00000000" w:rsidRDefault="008739CC">
      <w:pPr>
        <w:spacing w:after="240"/>
        <w:ind w:firstLine="510"/>
      </w:pPr>
      <w:r>
        <w:t>92.</w:t>
      </w:r>
      <w:r>
        <w:tab/>
      </w:r>
      <w:r>
        <w:rPr>
          <w:rFonts w:hint="eastAsia"/>
        </w:rPr>
        <w:t>为了保证公民享有适当生活水平的权利，尼泊尔政府采取政策，促</w:t>
      </w:r>
      <w:r>
        <w:rPr>
          <w:rFonts w:hint="eastAsia"/>
        </w:rPr>
        <w:t>使处境不利的、在社会上受到排斥的、和被边缘化的社会阶层参加主流社会的一切发展计划，包括农业部门的计划。</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26</w:t>
      </w:r>
      <w:r>
        <w:rPr>
          <w:rFonts w:ascii="Time New Roman" w:eastAsia="SimHei" w:hAnsi="Time New Roman"/>
          <w:u w:val="none"/>
        </w:rPr>
        <w:t xml:space="preserve">.  </w:t>
      </w:r>
      <w:r>
        <w:rPr>
          <w:rFonts w:ascii="Time New Roman" w:eastAsia="SimHei" w:hAnsi="Time New Roman" w:hint="eastAsia"/>
          <w:u w:val="none"/>
        </w:rPr>
        <w:t>结核病和儿童罹患痢疾情况的有关资料</w:t>
      </w:r>
    </w:p>
    <w:p w:rsidR="00000000" w:rsidRDefault="008739CC">
      <w:pPr>
        <w:ind w:firstLine="510"/>
      </w:pPr>
      <w:r>
        <w:t>93.</w:t>
      </w:r>
      <w:r>
        <w:tab/>
      </w:r>
      <w:r>
        <w:rPr>
          <w:rFonts w:hint="eastAsia"/>
        </w:rPr>
        <w:t>防治结核病是尼泊尔的主要保健计划。总人口中大约有</w:t>
      </w:r>
      <w:r>
        <w:t>4.5%</w:t>
      </w:r>
      <w:r>
        <w:rPr>
          <w:rFonts w:hint="eastAsia"/>
        </w:rPr>
        <w:t>感染结核病，其中</w:t>
      </w:r>
      <w:r>
        <w:t>60</w:t>
      </w:r>
      <w:r>
        <w:rPr>
          <w:rFonts w:hint="eastAsia"/>
        </w:rPr>
        <w:t>%</w:t>
      </w:r>
      <w:r>
        <w:rPr>
          <w:rFonts w:hint="eastAsia"/>
        </w:rPr>
        <w:t>为成年人。据报，每年有</w:t>
      </w:r>
      <w:r>
        <w:t>4</w:t>
      </w:r>
      <w:r>
        <w:rPr>
          <w:rFonts w:hint="eastAsia"/>
        </w:rPr>
        <w:t>万人呈现开放性肺结核，其中</w:t>
      </w:r>
      <w:r>
        <w:rPr>
          <w:rFonts w:hint="eastAsia"/>
        </w:rPr>
        <w:t>2</w:t>
      </w:r>
      <w:r>
        <w:rPr>
          <w:rFonts w:hint="eastAsia"/>
        </w:rPr>
        <w:t>万人有传染性肺病。这些人会将疾病传染给别人。采取直接观察治疗的短期疗法有助于减少死亡人数；但是，尼泊尔每年仍有</w:t>
      </w:r>
      <w:r>
        <w:t>5</w:t>
      </w:r>
      <w:r>
        <w:rPr>
          <w:rFonts w:hint="eastAsia"/>
        </w:rPr>
        <w:t>千至</w:t>
      </w:r>
      <w:r>
        <w:t>7</w:t>
      </w:r>
      <w:r>
        <w:rPr>
          <w:rFonts w:hint="eastAsia"/>
        </w:rPr>
        <w:t>千人死于肺结核。全面目标是诊断出新感染病例的</w:t>
      </w:r>
      <w:r>
        <w:rPr>
          <w:rFonts w:hint="eastAsia"/>
        </w:rPr>
        <w:t>70%</w:t>
      </w:r>
      <w:r>
        <w:rPr>
          <w:rFonts w:hint="eastAsia"/>
        </w:rPr>
        <w:t>和治好这些病人中的</w:t>
      </w:r>
      <w:r>
        <w:rPr>
          <w:rFonts w:hint="eastAsia"/>
        </w:rPr>
        <w:t>85%</w:t>
      </w:r>
      <w:r>
        <w:rPr>
          <w:rFonts w:hint="eastAsia"/>
        </w:rPr>
        <w:t>，这一目标一旦达到，就能够在</w:t>
      </w:r>
      <w:r>
        <w:rPr>
          <w:rFonts w:hint="eastAsia"/>
        </w:rPr>
        <w:t>今后的五年内防止</w:t>
      </w:r>
      <w:r>
        <w:rPr>
          <w:rFonts w:hint="eastAsia"/>
        </w:rPr>
        <w:t>5</w:t>
      </w:r>
      <w:r>
        <w:rPr>
          <w:rFonts w:hint="eastAsia"/>
        </w:rPr>
        <w:t>万人死亡。每年对唾液涂片呈现阳性反应的新事例为</w:t>
      </w:r>
      <w:r>
        <w:rPr>
          <w:rFonts w:hint="eastAsia"/>
        </w:rPr>
        <w:t>10</w:t>
      </w:r>
      <w:r>
        <w:rPr>
          <w:rFonts w:hint="eastAsia"/>
        </w:rPr>
        <w:t>万分之</w:t>
      </w:r>
      <w:r>
        <w:rPr>
          <w:rFonts w:hint="eastAsia"/>
        </w:rPr>
        <w:t>55,</w:t>
      </w:r>
      <w:r>
        <w:t xml:space="preserve"> </w:t>
      </w:r>
      <w:r>
        <w:rPr>
          <w:rFonts w:hint="eastAsia"/>
        </w:rPr>
        <w:t>据报，</w:t>
      </w:r>
      <w:r>
        <w:rPr>
          <w:rFonts w:hint="eastAsia"/>
        </w:rPr>
        <w:t>2005</w:t>
      </w:r>
      <w:r>
        <w:t>/</w:t>
      </w:r>
      <w:r>
        <w:rPr>
          <w:rFonts w:hint="eastAsia"/>
        </w:rPr>
        <w:t>2006</w:t>
      </w:r>
      <w:r>
        <w:rPr>
          <w:rFonts w:hint="eastAsia"/>
        </w:rPr>
        <w:t>年罹患结核病的病例总数为</w:t>
      </w:r>
      <w:r>
        <w:t>127</w:t>
      </w:r>
      <w:r>
        <w:rPr>
          <w:rFonts w:hint="eastAsia"/>
        </w:rPr>
        <w:t>。</w:t>
      </w:r>
    </w:p>
    <w:p w:rsidR="00000000" w:rsidRDefault="008739CC">
      <w:pPr>
        <w:spacing w:after="240"/>
        <w:ind w:firstLine="510"/>
        <w:rPr>
          <w:rFonts w:hint="eastAsia"/>
        </w:rPr>
      </w:pPr>
      <w:r>
        <w:t>94.</w:t>
      </w:r>
      <w:r>
        <w:tab/>
      </w:r>
      <w:r>
        <w:rPr>
          <w:rFonts w:hint="eastAsia"/>
        </w:rPr>
        <w:t>痢疾是尼泊尔五岁以下儿童的主要病症。政府历来实施全国防治痢疾方案以便作为基本保健方案的一个整体部分治疗与痢疾有关的疾病。全国防治痢疾方案的主要目标是降低痢疾和脱水致死的比率，从以往每年大约</w:t>
      </w:r>
      <w:r>
        <w:rPr>
          <w:rFonts w:hint="eastAsia"/>
        </w:rPr>
        <w:t>3</w:t>
      </w:r>
      <w:r>
        <w:rPr>
          <w:rFonts w:hint="eastAsia"/>
        </w:rPr>
        <w:t>万件降到最低限度，并使发病率从每个儿童</w:t>
      </w:r>
      <w:r>
        <w:t>3.3</w:t>
      </w:r>
      <w:r>
        <w:rPr>
          <w:rFonts w:hint="eastAsia"/>
        </w:rPr>
        <w:t>次降到最低限度。虽然全国痢疾瘟疫已经比几年前少，罹患痢疾的数据显示痢疾的看病人数日益增加。</w:t>
      </w:r>
      <w:r>
        <w:t>2004/2005</w:t>
      </w:r>
      <w:r>
        <w:rPr>
          <w:rFonts w:hint="eastAsia"/>
        </w:rPr>
        <w:t>同</w:t>
      </w:r>
      <w:r>
        <w:t>2003/2004</w:t>
      </w:r>
      <w:r>
        <w:rPr>
          <w:rFonts w:hint="eastAsia"/>
        </w:rPr>
        <w:t>财</w:t>
      </w:r>
      <w:r>
        <w:rPr>
          <w:rFonts w:hint="eastAsia"/>
        </w:rPr>
        <w:t>政年度比较，痢疾的看病总数稍为减少。但是，据报，同</w:t>
      </w:r>
      <w:r>
        <w:t>2002/2003</w:t>
      </w:r>
      <w:r>
        <w:rPr>
          <w:rFonts w:hint="eastAsia"/>
        </w:rPr>
        <w:t>和</w:t>
      </w:r>
      <w:r>
        <w:t>2003/2004</w:t>
      </w:r>
      <w:r>
        <w:rPr>
          <w:rFonts w:hint="eastAsia"/>
        </w:rPr>
        <w:t>财政年度比较，</w:t>
      </w:r>
      <w:r>
        <w:t>2005/2006</w:t>
      </w:r>
      <w:r>
        <w:rPr>
          <w:rFonts w:hint="eastAsia"/>
        </w:rPr>
        <w:t>财政年度的痢疾死亡率有所增加。据报，全国五岁以下儿童中，每</w:t>
      </w:r>
      <w:r>
        <w:rPr>
          <w:rFonts w:hint="eastAsia"/>
        </w:rPr>
        <w:t>1000</w:t>
      </w:r>
      <w:r>
        <w:rPr>
          <w:rFonts w:hint="eastAsia"/>
        </w:rPr>
        <w:t>人罹患痢疾的比率，同</w:t>
      </w:r>
      <w:r>
        <w:rPr>
          <w:rFonts w:hint="eastAsia"/>
        </w:rPr>
        <w:t>2004</w:t>
      </w:r>
      <w:r>
        <w:t>/2005</w:t>
      </w:r>
      <w:r>
        <w:rPr>
          <w:rFonts w:hint="eastAsia"/>
        </w:rPr>
        <w:t>财政年度比较，几乎还是同</w:t>
      </w:r>
      <w:r>
        <w:t>2005/2006</w:t>
      </w:r>
      <w:r>
        <w:rPr>
          <w:rFonts w:hint="eastAsia"/>
        </w:rPr>
        <w:t>年度一样。</w:t>
      </w:r>
      <w:r>
        <w:t>2002/2003</w:t>
      </w:r>
      <w:r>
        <w:rPr>
          <w:rFonts w:hint="eastAsia"/>
        </w:rPr>
        <w:t>年痢疾的看病人总数为</w:t>
      </w:r>
      <w:r>
        <w:t>724,300</w:t>
      </w:r>
      <w:r>
        <w:rPr>
          <w:rFonts w:hint="eastAsia"/>
        </w:rPr>
        <w:t>次，</w:t>
      </w:r>
      <w:r>
        <w:t>2003/2004</w:t>
      </w:r>
      <w:r>
        <w:rPr>
          <w:rFonts w:hint="eastAsia"/>
        </w:rPr>
        <w:t>为</w:t>
      </w:r>
      <w:r>
        <w:t>787,600</w:t>
      </w:r>
      <w:r>
        <w:rPr>
          <w:rFonts w:hint="eastAsia"/>
        </w:rPr>
        <w:t>次，</w:t>
      </w:r>
      <w:r>
        <w:t>2004/2005</w:t>
      </w:r>
      <w:r>
        <w:rPr>
          <w:rFonts w:hint="eastAsia"/>
        </w:rPr>
        <w:t>则为</w:t>
      </w:r>
      <w:r>
        <w:t>785,300</w:t>
      </w:r>
      <w:r>
        <w:rPr>
          <w:rFonts w:hint="eastAsia"/>
        </w:rPr>
        <w:t>次。</w:t>
      </w:r>
      <w:r>
        <w:t>2002/2003</w:t>
      </w:r>
      <w:r>
        <w:rPr>
          <w:rFonts w:hint="eastAsia"/>
        </w:rPr>
        <w:t>财政年度因痢疾致死的人数为</w:t>
      </w:r>
      <w:r>
        <w:t>148</w:t>
      </w:r>
      <w:r>
        <w:rPr>
          <w:rFonts w:hint="eastAsia"/>
        </w:rPr>
        <w:t>人，</w:t>
      </w:r>
      <w:r>
        <w:t>2003/2004</w:t>
      </w:r>
      <w:r>
        <w:rPr>
          <w:rFonts w:hint="eastAsia"/>
        </w:rPr>
        <w:t>为</w:t>
      </w:r>
      <w:r>
        <w:rPr>
          <w:rFonts w:hint="eastAsia"/>
        </w:rPr>
        <w:t>194</w:t>
      </w:r>
      <w:r>
        <w:rPr>
          <w:rFonts w:hint="eastAsia"/>
        </w:rPr>
        <w:t>人，</w:t>
      </w:r>
      <w:r>
        <w:t>2004/2005</w:t>
      </w:r>
      <w:r>
        <w:rPr>
          <w:rFonts w:hint="eastAsia"/>
        </w:rPr>
        <w:t>则为</w:t>
      </w:r>
      <w:r>
        <w:rPr>
          <w:rFonts w:hint="eastAsia"/>
        </w:rPr>
        <w:t>244</w:t>
      </w:r>
      <w:r>
        <w:rPr>
          <w:rFonts w:hint="eastAsia"/>
        </w:rPr>
        <w:t>人。</w:t>
      </w:r>
      <w:r>
        <w:t>2002/2003</w:t>
      </w:r>
      <w:r>
        <w:rPr>
          <w:rFonts w:hint="eastAsia"/>
        </w:rPr>
        <w:t>财政年度，五岁以下幼童罹患痢疾的为每</w:t>
      </w:r>
      <w:r>
        <w:rPr>
          <w:rFonts w:hint="eastAsia"/>
        </w:rPr>
        <w:t>1000</w:t>
      </w:r>
      <w:r>
        <w:rPr>
          <w:rFonts w:hint="eastAsia"/>
        </w:rPr>
        <w:t>人</w:t>
      </w:r>
      <w:r>
        <w:rPr>
          <w:rFonts w:hint="eastAsia"/>
        </w:rPr>
        <w:t>209</w:t>
      </w:r>
      <w:r>
        <w:rPr>
          <w:rFonts w:hint="eastAsia"/>
        </w:rPr>
        <w:t>人，</w:t>
      </w:r>
      <w:r>
        <w:t>2003/2004</w:t>
      </w:r>
      <w:r>
        <w:rPr>
          <w:rFonts w:hint="eastAsia"/>
        </w:rPr>
        <w:t>为</w:t>
      </w:r>
      <w:r>
        <w:t>222</w:t>
      </w:r>
      <w:r>
        <w:rPr>
          <w:rFonts w:hint="eastAsia"/>
        </w:rPr>
        <w:t>人，</w:t>
      </w:r>
      <w:r>
        <w:t>2004/2005</w:t>
      </w:r>
      <w:r>
        <w:rPr>
          <w:rFonts w:hint="eastAsia"/>
        </w:rPr>
        <w:t>则为</w:t>
      </w:r>
      <w:r>
        <w:rPr>
          <w:rFonts w:hint="eastAsia"/>
        </w:rPr>
        <w:t>219</w:t>
      </w:r>
      <w:r>
        <w:rPr>
          <w:rFonts w:hint="eastAsia"/>
        </w:rPr>
        <w:t>人。</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27</w:t>
      </w:r>
      <w:r>
        <w:rPr>
          <w:rFonts w:ascii="Time New Roman" w:eastAsia="SimHei" w:hAnsi="Time New Roman"/>
          <w:u w:val="none"/>
        </w:rPr>
        <w:t xml:space="preserve">.  </w:t>
      </w:r>
      <w:r>
        <w:rPr>
          <w:rFonts w:ascii="Time New Roman" w:eastAsia="SimHei" w:hAnsi="Time New Roman" w:hint="eastAsia"/>
          <w:u w:val="none"/>
        </w:rPr>
        <w:t>刷新生殖和性健康有关资料以及使精神残疾人恢复正常生活方案</w:t>
      </w:r>
    </w:p>
    <w:p w:rsidR="00000000" w:rsidRDefault="008739CC">
      <w:pPr>
        <w:ind w:firstLine="510"/>
      </w:pPr>
      <w:r>
        <w:t>95.</w:t>
      </w:r>
      <w:r>
        <w:tab/>
      </w:r>
      <w:r>
        <w:rPr>
          <w:rFonts w:hint="eastAsia"/>
        </w:rPr>
        <w:t>1978</w:t>
      </w:r>
      <w:r>
        <w:rPr>
          <w:rFonts w:hint="eastAsia"/>
        </w:rPr>
        <w:t>年通过《阿拉木图宣言》以来，人们认为妇幼保健是基本卫生保健的一个重要环节，仍然是在尼泊尔具有高度优先地位的计划。在</w:t>
      </w:r>
      <w:r>
        <w:rPr>
          <w:rFonts w:hint="eastAsia"/>
        </w:rPr>
        <w:t>1991</w:t>
      </w:r>
      <w:r>
        <w:rPr>
          <w:rFonts w:hint="eastAsia"/>
        </w:rPr>
        <w:t>年制定新的国家保健政策以后，妇幼保健获得最高优先地位，扩大了有关服务，并且将其推广到农村地区，以便改善人民的健康。在卫生部之下设立了家庭保健司，以便在</w:t>
      </w:r>
      <w:r>
        <w:rPr>
          <w:rFonts w:hint="eastAsia"/>
        </w:rPr>
        <w:t>全国执行妇幼保健方案。计划生育、善待母亲、青少年保健、女性社区保健自愿者方案和基本卫生保健延展诊所是照顾生殖和性健康的一些方案。</w:t>
      </w:r>
    </w:p>
    <w:p w:rsidR="00000000" w:rsidRDefault="008739CC">
      <w:pPr>
        <w:spacing w:after="240"/>
        <w:ind w:firstLine="510"/>
      </w:pPr>
      <w:r>
        <w:t>96.</w:t>
      </w:r>
      <w:r>
        <w:tab/>
      </w:r>
      <w:r>
        <w:rPr>
          <w:rFonts w:hint="eastAsia"/>
        </w:rPr>
        <w:t>在这些方案中，计划生育是生殖卫生保健方案的主要项目。几年来，避孕用具的使用已经显示情况有所改善。可以在全国各地获得诸如醋甲孕酮、口服避孕药片和避孕套等用品。可以在</w:t>
      </w:r>
      <w:r>
        <w:rPr>
          <w:rFonts w:hint="eastAsia"/>
        </w:rPr>
        <w:t>68</w:t>
      </w:r>
      <w:r>
        <w:rPr>
          <w:rFonts w:hint="eastAsia"/>
        </w:rPr>
        <w:t>个地区获得宫内节育器服务并在</w:t>
      </w:r>
      <w:r>
        <w:rPr>
          <w:rFonts w:hint="eastAsia"/>
        </w:rPr>
        <w:t>60</w:t>
      </w:r>
      <w:r>
        <w:rPr>
          <w:rFonts w:hint="eastAsia"/>
        </w:rPr>
        <w:t>个地区获得诺普兰激素皮下植入服务。通过静止的门诊部和动态的外延服务计划，都可以获得自愿外科手术避孕服务。</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28</w:t>
      </w:r>
      <w:r>
        <w:rPr>
          <w:rFonts w:ascii="Time New Roman" w:eastAsia="SimHei" w:hAnsi="Time New Roman"/>
          <w:u w:val="none"/>
        </w:rPr>
        <w:t xml:space="preserve">.  </w:t>
      </w:r>
      <w:r>
        <w:rPr>
          <w:rFonts w:ascii="Time New Roman" w:eastAsia="SimHei" w:hAnsi="Time New Roman" w:hint="eastAsia"/>
          <w:u w:val="none"/>
        </w:rPr>
        <w:t>防止艾滋病</w:t>
      </w:r>
      <w:r>
        <w:rPr>
          <w:rFonts w:ascii="Time New Roman" w:eastAsia="SimHei" w:hAnsi="Time New Roman"/>
          <w:u w:val="none"/>
        </w:rPr>
        <w:t>/</w:t>
      </w:r>
      <w:r>
        <w:rPr>
          <w:rFonts w:ascii="Time New Roman" w:eastAsia="SimHei" w:hAnsi="Time New Roman" w:hint="eastAsia"/>
          <w:u w:val="none"/>
        </w:rPr>
        <w:t>艾滋病毒蔓延的结果的有关资料</w:t>
      </w:r>
    </w:p>
    <w:p w:rsidR="00000000" w:rsidRDefault="008739CC">
      <w:pPr>
        <w:ind w:firstLine="510"/>
      </w:pPr>
      <w:r>
        <w:t>97.</w:t>
      </w:r>
      <w:r>
        <w:tab/>
      </w:r>
      <w:r>
        <w:rPr>
          <w:rFonts w:hint="eastAsia"/>
        </w:rPr>
        <w:t>尼泊尔</w:t>
      </w:r>
      <w:r>
        <w:rPr>
          <w:rFonts w:hint="eastAsia"/>
        </w:rPr>
        <w:t>的艾滋病现况与</w:t>
      </w:r>
      <w:r>
        <w:rPr>
          <w:rFonts w:hint="eastAsia"/>
        </w:rPr>
        <w:t>1988</w:t>
      </w:r>
      <w:r>
        <w:rPr>
          <w:rFonts w:hint="eastAsia"/>
        </w:rPr>
        <w:t>年初次诊断第一个病例时的情况不一样。在防治艾滋病方面，还需要弥补差距，对付挑战。尼泊尔是艾滋病流行率低</w:t>
      </w:r>
      <w:r>
        <w:rPr>
          <w:rFonts w:hint="eastAsia"/>
        </w:rPr>
        <w:t>(</w:t>
      </w:r>
      <w:r>
        <w:rPr>
          <w:rFonts w:hint="eastAsia"/>
        </w:rPr>
        <w:t>占人口的</w:t>
      </w:r>
      <w:r>
        <w:t>0.5%</w:t>
      </w:r>
      <w:r>
        <w:rPr>
          <w:rFonts w:hint="eastAsia"/>
        </w:rPr>
        <w:t>)</w:t>
      </w:r>
      <w:r>
        <w:rPr>
          <w:rFonts w:hint="eastAsia"/>
        </w:rPr>
        <w:t>的国家。但是，有些群体显示艾滋病流行集中的证据，例如性工作者</w:t>
      </w:r>
      <w:r>
        <w:t>(19.5</w:t>
      </w:r>
      <w:r>
        <w:rPr>
          <w:rFonts w:hint="eastAsia"/>
        </w:rPr>
        <w:t>%</w:t>
      </w:r>
      <w:r>
        <w:t>)</w:t>
      </w:r>
      <w:r>
        <w:rPr>
          <w:rFonts w:hint="eastAsia"/>
        </w:rPr>
        <w:t>、移徙人口</w:t>
      </w:r>
      <w:r>
        <w:t>(4-10</w:t>
      </w:r>
      <w:r>
        <w:rPr>
          <w:rFonts w:hint="eastAsia"/>
        </w:rPr>
        <w:t>%</w:t>
      </w:r>
      <w:r>
        <w:t>)</w:t>
      </w:r>
      <w:r>
        <w:rPr>
          <w:rFonts w:hint="eastAsia"/>
        </w:rPr>
        <w:t>和农村及城市地区的静脉毒品使用者</w:t>
      </w:r>
      <w:r>
        <w:t>(68</w:t>
      </w:r>
      <w:r>
        <w:rPr>
          <w:rFonts w:hint="eastAsia"/>
        </w:rPr>
        <w:t>%</w:t>
      </w:r>
      <w:r>
        <w:t>)</w:t>
      </w:r>
      <w:r>
        <w:rPr>
          <w:rFonts w:hint="eastAsia"/>
        </w:rPr>
        <w:t>。</w:t>
      </w:r>
      <w:r>
        <w:t>1988</w:t>
      </w:r>
      <w:r>
        <w:rPr>
          <w:rFonts w:hint="eastAsia"/>
        </w:rPr>
        <w:t>以来，不同的利益攸关者出面解决艾滋病和艾滋病毒问题。历来把主要焦点放在预防方面。现在，罹患艾滋病的人数大约</w:t>
      </w:r>
      <w:r>
        <w:t>75,000</w:t>
      </w:r>
      <w:r>
        <w:rPr>
          <w:rFonts w:hint="eastAsia"/>
        </w:rPr>
        <w:t>人</w:t>
      </w:r>
      <w:r>
        <w:t>，</w:t>
      </w:r>
      <w:r>
        <w:rPr>
          <w:rFonts w:hint="eastAsia"/>
        </w:rPr>
        <w:t>其中</w:t>
      </w:r>
      <w:r>
        <w:t>16,000</w:t>
      </w:r>
      <w:r>
        <w:rPr>
          <w:rFonts w:hint="eastAsia"/>
        </w:rPr>
        <w:t>人为妇女。据估计，到目前为止，已经有</w:t>
      </w:r>
      <w:r>
        <w:t>5,100</w:t>
      </w:r>
      <w:r>
        <w:rPr>
          <w:rFonts w:hint="eastAsia"/>
        </w:rPr>
        <w:t>人死于艾滋病。</w:t>
      </w:r>
    </w:p>
    <w:p w:rsidR="00000000" w:rsidRDefault="008739CC">
      <w:pPr>
        <w:ind w:firstLine="510"/>
      </w:pPr>
      <w:r>
        <w:t>98.</w:t>
      </w:r>
      <w:r>
        <w:tab/>
      </w:r>
      <w:r>
        <w:rPr>
          <w:rFonts w:hint="eastAsia"/>
        </w:rPr>
        <w:t>为了保证针</w:t>
      </w:r>
      <w:r>
        <w:rPr>
          <w:rFonts w:hint="eastAsia"/>
        </w:rPr>
        <w:t>对</w:t>
      </w:r>
      <w:r>
        <w:t>HIV/AIDS</w:t>
      </w:r>
      <w:r>
        <w:rPr>
          <w:rFonts w:hint="eastAsia"/>
        </w:rPr>
        <w:t>的具有高度优先地位的多部门承诺，在总理的主持下设立一个高级别的艾滋病全国理事会。还设立由卫生和人口部主持的艾滋病全国协调委员会。</w:t>
      </w:r>
    </w:p>
    <w:p w:rsidR="00000000" w:rsidRDefault="008739CC">
      <w:pPr>
        <w:ind w:firstLine="510"/>
        <w:rPr>
          <w:rFonts w:hint="eastAsia"/>
        </w:rPr>
      </w:pPr>
      <w:r>
        <w:t>99.</w:t>
      </w:r>
      <w:r>
        <w:tab/>
      </w:r>
      <w:r>
        <w:rPr>
          <w:rFonts w:hint="eastAsia"/>
        </w:rPr>
        <w:t>卫生及人口部是针对</w:t>
      </w:r>
      <w:r>
        <w:t>HIV/AIDS</w:t>
      </w:r>
      <w:r>
        <w:rPr>
          <w:rFonts w:hint="eastAsia"/>
        </w:rPr>
        <w:t>的领导机构。在该部之下设立了全国艾滋病和性传染疾病防治中心，负责执行</w:t>
      </w:r>
      <w:r>
        <w:t>HIV/AIDS</w:t>
      </w:r>
      <w:r>
        <w:rPr>
          <w:rFonts w:hint="eastAsia"/>
        </w:rPr>
        <w:t>国家方案。全国</w:t>
      </w:r>
      <w:r>
        <w:t>HIV/AIDS</w:t>
      </w:r>
      <w:r>
        <w:rPr>
          <w:rFonts w:hint="eastAsia"/>
        </w:rPr>
        <w:t>方案由年度计划予以指导，该年度计划以《</w:t>
      </w:r>
      <w:r>
        <w:t>HIV/AIDS</w:t>
      </w:r>
      <w:r>
        <w:rPr>
          <w:rFonts w:hint="eastAsia"/>
        </w:rPr>
        <w:t>国家战略</w:t>
      </w:r>
      <w:r>
        <w:t>(2002-2006)</w:t>
      </w:r>
      <w:r>
        <w:rPr>
          <w:rFonts w:hint="eastAsia"/>
        </w:rPr>
        <w:t>》和《</w:t>
      </w:r>
      <w:r>
        <w:t>HIV/AIDS</w:t>
      </w:r>
      <w:r>
        <w:rPr>
          <w:rFonts w:hint="eastAsia"/>
        </w:rPr>
        <w:t>防治工作全国作业计划</w:t>
      </w:r>
      <w:r>
        <w:t>(2003-2007)</w:t>
      </w:r>
      <w:r>
        <w:rPr>
          <w:rFonts w:hint="eastAsia"/>
        </w:rPr>
        <w:t>》作为准绳。</w:t>
      </w:r>
    </w:p>
    <w:p w:rsidR="00000000" w:rsidRDefault="008739CC">
      <w:pPr>
        <w:spacing w:after="240"/>
        <w:ind w:firstLine="510"/>
      </w:pPr>
      <w:r>
        <w:t xml:space="preserve">100.  </w:t>
      </w:r>
      <w:r>
        <w:rPr>
          <w:rFonts w:hint="eastAsia"/>
        </w:rPr>
        <w:t>尼泊尔的国际社会，包括联合国系统、</w:t>
      </w:r>
      <w:r>
        <w:rPr>
          <w:rFonts w:hint="eastAsia"/>
        </w:rPr>
        <w:t>双边捐款者和国际及本地非政府组织都同卫生及人口部和全国艾滋病和性传染病防治中心密切合作，在部门范围内协调尼泊尔瘟疫的防治工作。</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29</w:t>
      </w:r>
      <w:r>
        <w:rPr>
          <w:rFonts w:ascii="Time New Roman" w:eastAsia="SimHei" w:hAnsi="Time New Roman"/>
          <w:u w:val="none"/>
        </w:rPr>
        <w:t xml:space="preserve">.  </w:t>
      </w:r>
      <w:r>
        <w:rPr>
          <w:rFonts w:ascii="Time New Roman" w:eastAsia="SimHei" w:hAnsi="Time New Roman" w:hint="eastAsia"/>
          <w:u w:val="none"/>
        </w:rPr>
        <w:t>受教育的权利</w:t>
      </w:r>
    </w:p>
    <w:p w:rsidR="00000000" w:rsidRDefault="008739CC">
      <w:pPr>
        <w:ind w:firstLine="510"/>
      </w:pPr>
      <w:r>
        <w:t xml:space="preserve">101.  </w:t>
      </w:r>
      <w:r>
        <w:rPr>
          <w:rFonts w:hint="eastAsia"/>
        </w:rPr>
        <w:t>《宪法》保证教育是每一位儿童的基本权利。“指示原则”强制规定以学生的母语提供基本教育，尤其将重点放在对女性、孤儿、残疾儿童、族裔或宗教少数以及其他处境不利群体的教育。</w:t>
      </w:r>
    </w:p>
    <w:p w:rsidR="00000000" w:rsidRDefault="008739CC">
      <w:pPr>
        <w:ind w:firstLine="510"/>
      </w:pPr>
      <w:r>
        <w:t xml:space="preserve">102.  </w:t>
      </w:r>
      <w:r>
        <w:rPr>
          <w:rFonts w:hint="eastAsia"/>
        </w:rPr>
        <w:t>在这方面，《</w:t>
      </w:r>
      <w:r>
        <w:rPr>
          <w:rFonts w:hint="eastAsia"/>
        </w:rPr>
        <w:t>2000</w:t>
      </w:r>
      <w:r>
        <w:rPr>
          <w:rFonts w:hint="eastAsia"/>
        </w:rPr>
        <w:t>年教育法》和《教育规章》也明确承认，作为一项强制性的责任，国家必须向每一位儿童提供免费接受并完成优秀基本教育的权利。</w:t>
      </w:r>
    </w:p>
    <w:p w:rsidR="00000000" w:rsidRDefault="008739CC">
      <w:pPr>
        <w:spacing w:after="240"/>
        <w:ind w:firstLine="510"/>
      </w:pPr>
      <w:r>
        <w:t xml:space="preserve">103.  </w:t>
      </w:r>
      <w:r>
        <w:rPr>
          <w:rFonts w:hint="eastAsia"/>
        </w:rPr>
        <w:t>还有，《第十计</w:t>
      </w:r>
      <w:r>
        <w:rPr>
          <w:rFonts w:hint="eastAsia"/>
        </w:rPr>
        <w:t>划》着眼于在</w:t>
      </w:r>
      <w:r>
        <w:rPr>
          <w:rFonts w:hint="eastAsia"/>
        </w:rPr>
        <w:t>2007</w:t>
      </w:r>
      <w:r>
        <w:rPr>
          <w:rFonts w:hint="eastAsia"/>
        </w:rPr>
        <w:t>年中计划终了以前使小学的净入学率达到</w:t>
      </w:r>
      <w:r>
        <w:rPr>
          <w:rFonts w:hint="eastAsia"/>
        </w:rPr>
        <w:t>90%</w:t>
      </w:r>
      <w:r>
        <w:rPr>
          <w:rFonts w:hint="eastAsia"/>
        </w:rPr>
        <w:t>，《</w:t>
      </w:r>
      <w:r>
        <w:rPr>
          <w:rFonts w:hint="eastAsia"/>
        </w:rPr>
        <w:t>2001</w:t>
      </w:r>
      <w:r>
        <w:t>-2015</w:t>
      </w:r>
      <w:r>
        <w:rPr>
          <w:rFonts w:hint="eastAsia"/>
        </w:rPr>
        <w:t>年国家行动计划》的目标时间表则是在</w:t>
      </w:r>
      <w:r>
        <w:rPr>
          <w:rFonts w:hint="eastAsia"/>
        </w:rPr>
        <w:t>2005</w:t>
      </w:r>
      <w:r>
        <w:rPr>
          <w:rFonts w:hint="eastAsia"/>
        </w:rPr>
        <w:t>、</w:t>
      </w:r>
      <w:r>
        <w:rPr>
          <w:rFonts w:hint="eastAsia"/>
        </w:rPr>
        <w:t>2007</w:t>
      </w:r>
      <w:r>
        <w:rPr>
          <w:rFonts w:hint="eastAsia"/>
        </w:rPr>
        <w:t>、</w:t>
      </w:r>
      <w:r>
        <w:rPr>
          <w:rFonts w:hint="eastAsia"/>
        </w:rPr>
        <w:t>2012</w:t>
      </w:r>
      <w:r>
        <w:rPr>
          <w:rFonts w:hint="eastAsia"/>
        </w:rPr>
        <w:t>和</w:t>
      </w:r>
      <w:r>
        <w:rPr>
          <w:rFonts w:hint="eastAsia"/>
        </w:rPr>
        <w:t>2015</w:t>
      </w:r>
      <w:r>
        <w:rPr>
          <w:rFonts w:hint="eastAsia"/>
        </w:rPr>
        <w:t>年终了时，使净入学率接连达到</w:t>
      </w:r>
      <w:r>
        <w:t>88</w:t>
      </w:r>
      <w:r>
        <w:rPr>
          <w:rFonts w:hint="eastAsia"/>
        </w:rPr>
        <w:t>、</w:t>
      </w:r>
      <w:r>
        <w:t>90</w:t>
      </w:r>
      <w:r>
        <w:rPr>
          <w:rFonts w:hint="eastAsia"/>
        </w:rPr>
        <w:t>、</w:t>
      </w:r>
      <w:r>
        <w:t>95</w:t>
      </w:r>
      <w:r>
        <w:rPr>
          <w:rFonts w:hint="eastAsia"/>
        </w:rPr>
        <w:t>和</w:t>
      </w:r>
      <w:r>
        <w:t>100</w:t>
      </w:r>
      <w:r>
        <w:rPr>
          <w:rFonts w:hint="eastAsia"/>
        </w:rPr>
        <w:t>%</w:t>
      </w:r>
      <w:r>
        <w:rPr>
          <w:rFonts w:hint="eastAsia"/>
        </w:rPr>
        <w:t>。</w:t>
      </w:r>
    </w:p>
    <w:p w:rsidR="00000000" w:rsidRDefault="008739CC">
      <w:pPr>
        <w:pStyle w:val="Heading4"/>
      </w:pPr>
      <w:r>
        <w:rPr>
          <w:rFonts w:hint="eastAsia"/>
        </w:rPr>
        <w:t>采取的主要倡议</w:t>
      </w:r>
    </w:p>
    <w:p w:rsidR="00000000" w:rsidRDefault="008739CC">
      <w:pPr>
        <w:ind w:firstLine="510"/>
      </w:pPr>
      <w:r>
        <w:t xml:space="preserve">104.  </w:t>
      </w:r>
      <w:r>
        <w:rPr>
          <w:rFonts w:hint="eastAsia"/>
        </w:rPr>
        <w:t>尼泊尔采取一些倡议，以</w:t>
      </w:r>
      <w:r>
        <w:rPr>
          <w:rFonts w:hint="eastAsia"/>
          <w:lang w:val="fr-CH"/>
        </w:rPr>
        <w:t>扩大和确保所有学龄儿童接受和参与优秀小学教育的机会</w:t>
      </w:r>
      <w:r>
        <w:rPr>
          <w:rFonts w:hint="eastAsia"/>
        </w:rPr>
        <w:t>，</w:t>
      </w:r>
      <w:r>
        <w:rPr>
          <w:rFonts w:hint="eastAsia"/>
          <w:lang w:val="fr-CH"/>
        </w:rPr>
        <w:t>以女童、处境不利和边缘群体为其重点对象。在这方面，《</w:t>
      </w:r>
      <w:r>
        <w:rPr>
          <w:rFonts w:hint="eastAsia"/>
        </w:rPr>
        <w:t>2004</w:t>
      </w:r>
      <w:r>
        <w:t>-</w:t>
      </w:r>
      <w:r>
        <w:rPr>
          <w:rFonts w:hint="eastAsia"/>
        </w:rPr>
        <w:t>09</w:t>
      </w:r>
      <w:r>
        <w:rPr>
          <w:rFonts w:hint="eastAsia"/>
        </w:rPr>
        <w:t>年全民教育》和</w:t>
      </w:r>
      <w:r>
        <w:t>2003-08</w:t>
      </w:r>
      <w:r>
        <w:rPr>
          <w:rFonts w:hint="eastAsia"/>
        </w:rPr>
        <w:t>年中学教育支助方案意图向全国所有学校提供支助的两项主要的教育改革计划。此外，</w:t>
      </w:r>
      <w:r>
        <w:rPr>
          <w:rFonts w:hint="eastAsia"/>
        </w:rPr>
        <w:t>2002</w:t>
      </w:r>
      <w:r>
        <w:t>-</w:t>
      </w:r>
      <w:r>
        <w:rPr>
          <w:rFonts w:hint="eastAsia"/>
        </w:rPr>
        <w:t>2007</w:t>
      </w:r>
      <w:r>
        <w:rPr>
          <w:rFonts w:hint="eastAsia"/>
        </w:rPr>
        <w:t>年教师教</w:t>
      </w:r>
      <w:r>
        <w:rPr>
          <w:rFonts w:hint="eastAsia"/>
        </w:rPr>
        <w:t>育项目向全国所有小学教师提供为期十个月的培训课程，帮助提高小学教育的质量。</w:t>
      </w:r>
      <w:r>
        <w:rPr>
          <w:rFonts w:hint="eastAsia"/>
        </w:rPr>
        <w:t>2003</w:t>
      </w:r>
      <w:r>
        <w:t>-</w:t>
      </w:r>
      <w:r>
        <w:rPr>
          <w:rFonts w:hint="eastAsia"/>
        </w:rPr>
        <w:t>2006</w:t>
      </w:r>
      <w:r>
        <w:rPr>
          <w:rFonts w:hint="eastAsia"/>
        </w:rPr>
        <w:t>年社区学校支持项目仍然是使社区有权接手学校管理责任的里程碑。虽然《</w:t>
      </w:r>
      <w:r>
        <w:rPr>
          <w:rFonts w:hint="eastAsia"/>
        </w:rPr>
        <w:t>2002</w:t>
      </w:r>
      <w:r>
        <w:t>-</w:t>
      </w:r>
      <w:r>
        <w:rPr>
          <w:rFonts w:hint="eastAsia"/>
        </w:rPr>
        <w:t>2006</w:t>
      </w:r>
      <w:r>
        <w:rPr>
          <w:rFonts w:hint="eastAsia"/>
        </w:rPr>
        <w:t>年送粮劝学计划》着眼于在全国最贫困地区锁定帮助的目标，以期通过增加入学和保持上学机会的办法达到普及小学教育的目的，为支持</w:t>
      </w:r>
      <w:r>
        <w:t>2003-2006</w:t>
      </w:r>
      <w:r>
        <w:rPr>
          <w:rFonts w:hint="eastAsia"/>
        </w:rPr>
        <w:t>年全民教育兴建小学的措施着眼于在全国选定的地区增加校舍，为小学学童提供适当的学习环境。</w:t>
      </w:r>
    </w:p>
    <w:p w:rsidR="00000000" w:rsidRDefault="008739CC">
      <w:pPr>
        <w:ind w:firstLine="510"/>
      </w:pPr>
      <w:r>
        <w:t xml:space="preserve">105.  </w:t>
      </w:r>
      <w:r>
        <w:rPr>
          <w:rFonts w:hint="eastAsia"/>
        </w:rPr>
        <w:t>再者，《教育条例》明文规定采取旨在增加女性教师的扶持行动。根据这项规定，每一所小学至少将专门为女性</w:t>
      </w:r>
      <w:r>
        <w:rPr>
          <w:rFonts w:hint="eastAsia"/>
        </w:rPr>
        <w:t>教师保留一个名额。实行这项规定的结果，核定的小学教师员额有所增加。</w:t>
      </w:r>
    </w:p>
    <w:p w:rsidR="00000000" w:rsidRDefault="008739CC">
      <w:pPr>
        <w:ind w:firstLine="510"/>
      </w:pPr>
      <w:r>
        <w:t xml:space="preserve">106.  </w:t>
      </w:r>
      <w:r>
        <w:rPr>
          <w:rFonts w:hint="eastAsia"/>
        </w:rPr>
        <w:t>而且，在本财政年度内，按照《</w:t>
      </w:r>
      <w:r>
        <w:rPr>
          <w:rFonts w:hint="eastAsia"/>
        </w:rPr>
        <w:t>2006-07</w:t>
      </w:r>
      <w:r>
        <w:rPr>
          <w:rFonts w:hint="eastAsia"/>
        </w:rPr>
        <w:t>年预算报表》中所指拨的名额，至少将招聘</w:t>
      </w:r>
      <w:r>
        <w:t>3,000</w:t>
      </w:r>
      <w:r>
        <w:rPr>
          <w:rFonts w:hint="eastAsia"/>
        </w:rPr>
        <w:t>名女性教师，以弥补教师员额中的性别差距。尼泊尔民主政府如同人们所期望的，更加致力于在校园创造和谐和有利环境，以便在全国确保学校自由和教师及学童的安全。</w:t>
      </w:r>
    </w:p>
    <w:p w:rsidR="00000000" w:rsidRDefault="008739CC">
      <w:pPr>
        <w:ind w:firstLine="510"/>
      </w:pPr>
      <w:r>
        <w:t xml:space="preserve">107.  </w:t>
      </w:r>
      <w:r>
        <w:rPr>
          <w:rFonts w:hint="eastAsia"/>
        </w:rPr>
        <w:t>绩效指数显示鼓励的结果，如以下表</w:t>
      </w:r>
      <w:r>
        <w:rPr>
          <w:rFonts w:hint="eastAsia"/>
        </w:rPr>
        <w:t>2</w:t>
      </w:r>
      <w:r>
        <w:rPr>
          <w:rFonts w:hint="eastAsia"/>
        </w:rPr>
        <w:t>和表</w:t>
      </w:r>
      <w:r>
        <w:rPr>
          <w:rFonts w:hint="eastAsia"/>
        </w:rPr>
        <w:t>3</w:t>
      </w:r>
      <w:r>
        <w:rPr>
          <w:rFonts w:hint="eastAsia"/>
        </w:rPr>
        <w:t>所示。</w:t>
      </w:r>
    </w:p>
    <w:p w:rsidR="00000000" w:rsidRDefault="008739CC">
      <w:pPr>
        <w:pStyle w:val="Heading3"/>
      </w:pPr>
      <w:r>
        <w:rPr>
          <w:rFonts w:hint="eastAsia"/>
        </w:rPr>
        <w:t>表</w:t>
      </w:r>
      <w:r>
        <w:t xml:space="preserve">  2</w:t>
      </w:r>
      <w:r>
        <w:br/>
      </w:r>
      <w:r>
        <w:rPr>
          <w:rFonts w:hint="eastAsia"/>
        </w:rPr>
        <w:t>小学的绩效指标</w:t>
      </w:r>
    </w:p>
    <w:tbl>
      <w:tblPr>
        <w:tblW w:w="0" w:type="auto"/>
        <w:tblInd w:w="23" w:type="dxa"/>
        <w:tblLayout w:type="fixed"/>
        <w:tblCellMar>
          <w:left w:w="0" w:type="dxa"/>
          <w:right w:w="0" w:type="dxa"/>
        </w:tblCellMar>
        <w:tblLook w:val="0000" w:firstRow="0" w:lastRow="0" w:firstColumn="0" w:lastColumn="0" w:noHBand="0" w:noVBand="0"/>
      </w:tblPr>
      <w:tblGrid>
        <w:gridCol w:w="615"/>
        <w:gridCol w:w="4109"/>
        <w:gridCol w:w="730"/>
        <w:gridCol w:w="730"/>
        <w:gridCol w:w="731"/>
        <w:gridCol w:w="750"/>
        <w:gridCol w:w="750"/>
        <w:gridCol w:w="750"/>
      </w:tblGrid>
      <w:tr w:rsidR="00000000">
        <w:tblPrEx>
          <w:tblCellMar>
            <w:top w:w="0" w:type="dxa"/>
            <w:left w:w="0" w:type="dxa"/>
            <w:bottom w:w="0" w:type="dxa"/>
            <w:right w:w="0" w:type="dxa"/>
          </w:tblCellMar>
        </w:tblPrEx>
        <w:trPr>
          <w:cantSplit/>
        </w:trPr>
        <w:tc>
          <w:tcPr>
            <w:tcW w:w="615" w:type="dxa"/>
            <w:vMerge w:val="restart"/>
          </w:tcPr>
          <w:p w:rsidR="00000000" w:rsidRDefault="008739CC">
            <w:pPr>
              <w:pStyle w:val="ac"/>
              <w:spacing w:before="160"/>
              <w:jc w:val="left"/>
              <w:rPr>
                <w:rFonts w:ascii="Time New Roman" w:eastAsia="SimHei" w:hAnsi="Time New Roman" w:hint="eastAsia"/>
              </w:rPr>
            </w:pPr>
            <w:r>
              <w:rPr>
                <w:rFonts w:ascii="Time New Roman" w:eastAsia="SimHei" w:hAnsi="Time New Roman" w:hint="eastAsia"/>
              </w:rPr>
              <w:t>序号</w:t>
            </w:r>
          </w:p>
        </w:tc>
        <w:tc>
          <w:tcPr>
            <w:tcW w:w="4109" w:type="dxa"/>
            <w:vMerge w:val="restart"/>
          </w:tcPr>
          <w:p w:rsidR="00000000" w:rsidRDefault="008739CC">
            <w:pPr>
              <w:pStyle w:val="ac"/>
              <w:spacing w:before="160"/>
              <w:ind w:left="680"/>
              <w:rPr>
                <w:rFonts w:ascii="Time New Roman" w:eastAsia="SimHei" w:hAnsi="Time New Roman"/>
                <w:bCs/>
              </w:rPr>
            </w:pPr>
            <w:r>
              <w:rPr>
                <w:rFonts w:ascii="Time New Roman" w:eastAsia="SimHei" w:hAnsi="Time New Roman" w:hint="eastAsia"/>
                <w:bCs/>
              </w:rPr>
              <w:t>指</w:t>
            </w:r>
            <w:r>
              <w:rPr>
                <w:rFonts w:ascii="Time New Roman" w:eastAsia="SimHei" w:hAnsi="Time New Roman"/>
                <w:bCs/>
              </w:rPr>
              <w:t xml:space="preserve">  </w:t>
            </w:r>
            <w:r>
              <w:rPr>
                <w:rFonts w:ascii="Time New Roman" w:eastAsia="SimHei" w:hAnsi="Time New Roman" w:hint="eastAsia"/>
                <w:bCs/>
              </w:rPr>
              <w:t>标</w:t>
            </w:r>
          </w:p>
        </w:tc>
        <w:tc>
          <w:tcPr>
            <w:tcW w:w="2191" w:type="dxa"/>
            <w:gridSpan w:val="3"/>
          </w:tcPr>
          <w:p w:rsidR="00000000" w:rsidRDefault="008739CC">
            <w:pPr>
              <w:pStyle w:val="ac"/>
              <w:jc w:val="center"/>
              <w:rPr>
                <w:rFonts w:ascii="Time New Roman" w:eastAsia="SimHei" w:hAnsi="Time New Roman"/>
              </w:rPr>
            </w:pPr>
            <w:r>
              <w:rPr>
                <w:rFonts w:ascii="Time New Roman" w:eastAsia="SimHei" w:hAnsi="Time New Roman"/>
                <w:b/>
              </w:rPr>
              <w:t>2002</w:t>
            </w:r>
          </w:p>
        </w:tc>
        <w:tc>
          <w:tcPr>
            <w:tcW w:w="2250" w:type="dxa"/>
            <w:gridSpan w:val="3"/>
          </w:tcPr>
          <w:p w:rsidR="00000000" w:rsidRDefault="008739CC">
            <w:pPr>
              <w:pStyle w:val="ac"/>
              <w:jc w:val="center"/>
              <w:rPr>
                <w:rFonts w:ascii="Time New Roman" w:eastAsia="SimHei" w:hAnsi="Time New Roman"/>
              </w:rPr>
            </w:pPr>
            <w:r>
              <w:rPr>
                <w:rFonts w:ascii="Time New Roman" w:eastAsia="SimHei" w:hAnsi="Time New Roman"/>
                <w:b/>
              </w:rPr>
              <w:t>2006</w:t>
            </w:r>
          </w:p>
        </w:tc>
      </w:tr>
      <w:tr w:rsidR="00000000">
        <w:tblPrEx>
          <w:tblCellMar>
            <w:top w:w="0" w:type="dxa"/>
            <w:left w:w="0" w:type="dxa"/>
            <w:bottom w:w="0" w:type="dxa"/>
            <w:right w:w="0" w:type="dxa"/>
          </w:tblCellMar>
        </w:tblPrEx>
        <w:trPr>
          <w:cantSplit/>
        </w:trPr>
        <w:tc>
          <w:tcPr>
            <w:tcW w:w="615" w:type="dxa"/>
            <w:vMerge/>
            <w:vAlign w:val="center"/>
          </w:tcPr>
          <w:p w:rsidR="00000000" w:rsidRDefault="008739CC">
            <w:pPr>
              <w:pStyle w:val="ac"/>
              <w:jc w:val="left"/>
              <w:rPr>
                <w:rFonts w:ascii="Time New Roman" w:eastAsia="SimHei" w:hAnsi="Time New Roman"/>
              </w:rPr>
            </w:pPr>
          </w:p>
        </w:tc>
        <w:tc>
          <w:tcPr>
            <w:tcW w:w="4109" w:type="dxa"/>
            <w:vMerge/>
            <w:vAlign w:val="center"/>
          </w:tcPr>
          <w:p w:rsidR="00000000" w:rsidRDefault="008739CC">
            <w:pPr>
              <w:pStyle w:val="ac"/>
              <w:jc w:val="left"/>
              <w:rPr>
                <w:rFonts w:ascii="Time New Roman" w:eastAsia="SimHei" w:hAnsi="Time New Roman"/>
              </w:rPr>
            </w:pPr>
          </w:p>
        </w:tc>
        <w:tc>
          <w:tcPr>
            <w:tcW w:w="730" w:type="dxa"/>
          </w:tcPr>
          <w:p w:rsidR="00000000" w:rsidRDefault="008739CC">
            <w:pPr>
              <w:pStyle w:val="ac"/>
              <w:spacing w:after="80"/>
              <w:jc w:val="left"/>
              <w:rPr>
                <w:rFonts w:ascii="Time New Roman" w:eastAsia="SimHei" w:hAnsi="Time New Roman"/>
                <w:bCs/>
              </w:rPr>
            </w:pPr>
            <w:r>
              <w:rPr>
                <w:rFonts w:ascii="Time New Roman" w:eastAsia="SimHei" w:hAnsi="Time New Roman" w:hint="eastAsia"/>
                <w:bCs/>
              </w:rPr>
              <w:t>总数</w:t>
            </w:r>
          </w:p>
        </w:tc>
        <w:tc>
          <w:tcPr>
            <w:tcW w:w="730" w:type="dxa"/>
          </w:tcPr>
          <w:p w:rsidR="00000000" w:rsidRDefault="008739CC">
            <w:pPr>
              <w:pStyle w:val="ac"/>
              <w:spacing w:after="80"/>
              <w:jc w:val="left"/>
              <w:rPr>
                <w:rFonts w:ascii="Time New Roman" w:eastAsia="SimHei" w:hAnsi="Time New Roman" w:hint="eastAsia"/>
                <w:bCs/>
              </w:rPr>
            </w:pPr>
            <w:r>
              <w:rPr>
                <w:rFonts w:ascii="Time New Roman" w:eastAsia="SimHei" w:hAnsi="Time New Roman" w:hint="eastAsia"/>
                <w:bCs/>
              </w:rPr>
              <w:t>男童</w:t>
            </w:r>
          </w:p>
        </w:tc>
        <w:tc>
          <w:tcPr>
            <w:tcW w:w="731" w:type="dxa"/>
          </w:tcPr>
          <w:p w:rsidR="00000000" w:rsidRDefault="008739CC">
            <w:pPr>
              <w:pStyle w:val="ac"/>
              <w:spacing w:after="80"/>
              <w:jc w:val="left"/>
              <w:rPr>
                <w:rFonts w:ascii="Time New Roman" w:eastAsia="SimHei" w:hAnsi="Time New Roman"/>
                <w:bCs/>
              </w:rPr>
            </w:pPr>
            <w:r>
              <w:rPr>
                <w:rFonts w:ascii="Time New Roman" w:eastAsia="SimHei" w:hAnsi="Time New Roman" w:hint="eastAsia"/>
                <w:bCs/>
              </w:rPr>
              <w:t>女童</w:t>
            </w:r>
          </w:p>
        </w:tc>
        <w:tc>
          <w:tcPr>
            <w:tcW w:w="750" w:type="dxa"/>
          </w:tcPr>
          <w:p w:rsidR="00000000" w:rsidRDefault="008739CC">
            <w:pPr>
              <w:pStyle w:val="ac"/>
              <w:spacing w:after="80"/>
              <w:jc w:val="left"/>
              <w:rPr>
                <w:rFonts w:ascii="Time New Roman" w:eastAsia="SimHei" w:hAnsi="Time New Roman"/>
                <w:bCs/>
              </w:rPr>
            </w:pPr>
            <w:r>
              <w:rPr>
                <w:rFonts w:ascii="Time New Roman" w:eastAsia="SimHei" w:hAnsi="Time New Roman" w:hint="eastAsia"/>
                <w:bCs/>
              </w:rPr>
              <w:t>总数</w:t>
            </w:r>
          </w:p>
        </w:tc>
        <w:tc>
          <w:tcPr>
            <w:tcW w:w="750" w:type="dxa"/>
          </w:tcPr>
          <w:p w:rsidR="00000000" w:rsidRDefault="008739CC">
            <w:pPr>
              <w:pStyle w:val="ac"/>
              <w:spacing w:after="80"/>
              <w:jc w:val="left"/>
              <w:rPr>
                <w:rFonts w:ascii="Time New Roman" w:eastAsia="SimHei" w:hAnsi="Time New Roman"/>
                <w:bCs/>
              </w:rPr>
            </w:pPr>
            <w:r>
              <w:rPr>
                <w:rFonts w:ascii="Time New Roman" w:eastAsia="SimHei" w:hAnsi="Time New Roman" w:hint="eastAsia"/>
                <w:bCs/>
              </w:rPr>
              <w:t>男童</w:t>
            </w:r>
          </w:p>
        </w:tc>
        <w:tc>
          <w:tcPr>
            <w:tcW w:w="750" w:type="dxa"/>
          </w:tcPr>
          <w:p w:rsidR="00000000" w:rsidRDefault="008739CC">
            <w:pPr>
              <w:pStyle w:val="ac"/>
              <w:spacing w:after="80"/>
              <w:jc w:val="left"/>
              <w:rPr>
                <w:rFonts w:ascii="Time New Roman" w:eastAsia="SimHei" w:hAnsi="Time New Roman"/>
                <w:bCs/>
              </w:rPr>
            </w:pPr>
            <w:r>
              <w:rPr>
                <w:rFonts w:ascii="Time New Roman" w:eastAsia="SimHei" w:hAnsi="Time New Roman" w:hint="eastAsia"/>
                <w:bCs/>
              </w:rPr>
              <w:t>女童</w:t>
            </w:r>
          </w:p>
        </w:tc>
      </w:tr>
      <w:tr w:rsidR="00000000">
        <w:tblPrEx>
          <w:tblCellMar>
            <w:top w:w="0" w:type="dxa"/>
            <w:left w:w="0" w:type="dxa"/>
            <w:bottom w:w="0" w:type="dxa"/>
            <w:right w:w="0" w:type="dxa"/>
          </w:tblCellMar>
        </w:tblPrEx>
        <w:tc>
          <w:tcPr>
            <w:tcW w:w="615" w:type="dxa"/>
          </w:tcPr>
          <w:p w:rsidR="00000000" w:rsidRDefault="008739CC">
            <w:pPr>
              <w:pStyle w:val="ac"/>
              <w:jc w:val="left"/>
            </w:pPr>
            <w:r>
              <w:t>1</w:t>
            </w:r>
          </w:p>
        </w:tc>
        <w:tc>
          <w:tcPr>
            <w:tcW w:w="4109" w:type="dxa"/>
          </w:tcPr>
          <w:p w:rsidR="00000000" w:rsidRDefault="008739CC">
            <w:pPr>
              <w:pStyle w:val="ac"/>
              <w:jc w:val="left"/>
              <w:rPr>
                <w:rFonts w:hint="eastAsia"/>
              </w:rPr>
            </w:pPr>
            <w:r>
              <w:rPr>
                <w:rFonts w:hint="eastAsia"/>
              </w:rPr>
              <w:t>学龄前幼儿的毛入学率</w:t>
            </w:r>
          </w:p>
        </w:tc>
        <w:tc>
          <w:tcPr>
            <w:tcW w:w="730" w:type="dxa"/>
          </w:tcPr>
          <w:p w:rsidR="00000000" w:rsidRDefault="008739CC">
            <w:pPr>
              <w:pStyle w:val="ac"/>
              <w:jc w:val="left"/>
            </w:pPr>
            <w:r>
              <w:t>19.8</w:t>
            </w:r>
          </w:p>
        </w:tc>
        <w:tc>
          <w:tcPr>
            <w:tcW w:w="730" w:type="dxa"/>
          </w:tcPr>
          <w:p w:rsidR="00000000" w:rsidRDefault="008739CC">
            <w:pPr>
              <w:pStyle w:val="ac"/>
              <w:jc w:val="left"/>
            </w:pPr>
            <w:r>
              <w:t>22.0</w:t>
            </w:r>
          </w:p>
        </w:tc>
        <w:tc>
          <w:tcPr>
            <w:tcW w:w="731" w:type="dxa"/>
          </w:tcPr>
          <w:p w:rsidR="00000000" w:rsidRDefault="008739CC">
            <w:pPr>
              <w:pStyle w:val="ac"/>
              <w:jc w:val="left"/>
            </w:pPr>
            <w:r>
              <w:t>17.6</w:t>
            </w:r>
          </w:p>
        </w:tc>
        <w:tc>
          <w:tcPr>
            <w:tcW w:w="750" w:type="dxa"/>
          </w:tcPr>
          <w:p w:rsidR="00000000" w:rsidRDefault="008739CC">
            <w:pPr>
              <w:pStyle w:val="ac"/>
              <w:jc w:val="left"/>
            </w:pPr>
            <w:r>
              <w:t>41.4</w:t>
            </w:r>
          </w:p>
        </w:tc>
        <w:tc>
          <w:tcPr>
            <w:tcW w:w="750" w:type="dxa"/>
          </w:tcPr>
          <w:p w:rsidR="00000000" w:rsidRDefault="008739CC">
            <w:pPr>
              <w:pStyle w:val="ac"/>
              <w:jc w:val="left"/>
            </w:pPr>
            <w:r>
              <w:t>41.9</w:t>
            </w:r>
          </w:p>
        </w:tc>
        <w:tc>
          <w:tcPr>
            <w:tcW w:w="750" w:type="dxa"/>
          </w:tcPr>
          <w:p w:rsidR="00000000" w:rsidRDefault="008739CC">
            <w:pPr>
              <w:pStyle w:val="ac"/>
              <w:jc w:val="left"/>
            </w:pPr>
            <w:r>
              <w:t>40.9</w:t>
            </w:r>
          </w:p>
        </w:tc>
      </w:tr>
      <w:tr w:rsidR="00000000">
        <w:tblPrEx>
          <w:tblCellMar>
            <w:top w:w="0" w:type="dxa"/>
            <w:left w:w="0" w:type="dxa"/>
            <w:bottom w:w="0" w:type="dxa"/>
            <w:right w:w="0" w:type="dxa"/>
          </w:tblCellMar>
        </w:tblPrEx>
        <w:tc>
          <w:tcPr>
            <w:tcW w:w="615" w:type="dxa"/>
          </w:tcPr>
          <w:p w:rsidR="00000000" w:rsidRDefault="008739CC">
            <w:pPr>
              <w:pStyle w:val="ac"/>
              <w:jc w:val="left"/>
            </w:pPr>
            <w:r>
              <w:t>2</w:t>
            </w:r>
          </w:p>
        </w:tc>
        <w:tc>
          <w:tcPr>
            <w:tcW w:w="4109" w:type="dxa"/>
          </w:tcPr>
          <w:p w:rsidR="00000000" w:rsidRDefault="008739CC">
            <w:pPr>
              <w:pStyle w:val="ac"/>
              <w:jc w:val="left"/>
              <w:rPr>
                <w:rFonts w:hint="eastAsia"/>
              </w:rPr>
            </w:pPr>
            <w:r>
              <w:rPr>
                <w:rFonts w:hint="eastAsia"/>
              </w:rPr>
              <w:t>新进入幼儿发展班</w:t>
            </w:r>
            <w:r>
              <w:rPr>
                <w:rFonts w:hint="eastAsia"/>
              </w:rPr>
              <w:t>1</w:t>
            </w:r>
            <w:r>
              <w:rPr>
                <w:rFonts w:hint="eastAsia"/>
              </w:rPr>
              <w:t>年级的百分率</w:t>
            </w:r>
          </w:p>
        </w:tc>
        <w:tc>
          <w:tcPr>
            <w:tcW w:w="730" w:type="dxa"/>
          </w:tcPr>
          <w:p w:rsidR="00000000" w:rsidRDefault="008739CC">
            <w:pPr>
              <w:pStyle w:val="ac"/>
              <w:jc w:val="left"/>
            </w:pPr>
            <w:r>
              <w:t>09.6</w:t>
            </w:r>
          </w:p>
        </w:tc>
        <w:tc>
          <w:tcPr>
            <w:tcW w:w="730" w:type="dxa"/>
          </w:tcPr>
          <w:p w:rsidR="00000000" w:rsidRDefault="008739CC">
            <w:pPr>
              <w:pStyle w:val="ac"/>
              <w:jc w:val="left"/>
            </w:pPr>
            <w:r>
              <w:t>09.8</w:t>
            </w:r>
          </w:p>
        </w:tc>
        <w:tc>
          <w:tcPr>
            <w:tcW w:w="731" w:type="dxa"/>
          </w:tcPr>
          <w:p w:rsidR="00000000" w:rsidRDefault="008739CC">
            <w:pPr>
              <w:pStyle w:val="ac"/>
              <w:jc w:val="left"/>
            </w:pPr>
            <w:r>
              <w:t>09.4</w:t>
            </w:r>
          </w:p>
        </w:tc>
        <w:tc>
          <w:tcPr>
            <w:tcW w:w="750" w:type="dxa"/>
          </w:tcPr>
          <w:p w:rsidR="00000000" w:rsidRDefault="008739CC">
            <w:pPr>
              <w:pStyle w:val="ac"/>
              <w:jc w:val="left"/>
            </w:pPr>
            <w:r>
              <w:t>18.0</w:t>
            </w:r>
          </w:p>
        </w:tc>
        <w:tc>
          <w:tcPr>
            <w:tcW w:w="750" w:type="dxa"/>
          </w:tcPr>
          <w:p w:rsidR="00000000" w:rsidRDefault="008739CC">
            <w:pPr>
              <w:pStyle w:val="ac"/>
              <w:jc w:val="left"/>
            </w:pPr>
            <w:r>
              <w:t>18.5</w:t>
            </w:r>
          </w:p>
        </w:tc>
        <w:tc>
          <w:tcPr>
            <w:tcW w:w="750" w:type="dxa"/>
          </w:tcPr>
          <w:p w:rsidR="00000000" w:rsidRDefault="008739CC">
            <w:pPr>
              <w:pStyle w:val="ac"/>
              <w:jc w:val="left"/>
            </w:pPr>
            <w:r>
              <w:t>18.3</w:t>
            </w:r>
          </w:p>
        </w:tc>
      </w:tr>
      <w:tr w:rsidR="00000000">
        <w:tblPrEx>
          <w:tblCellMar>
            <w:top w:w="0" w:type="dxa"/>
            <w:left w:w="0" w:type="dxa"/>
            <w:bottom w:w="0" w:type="dxa"/>
            <w:right w:w="0" w:type="dxa"/>
          </w:tblCellMar>
        </w:tblPrEx>
        <w:tc>
          <w:tcPr>
            <w:tcW w:w="615" w:type="dxa"/>
          </w:tcPr>
          <w:p w:rsidR="00000000" w:rsidRDefault="008739CC">
            <w:pPr>
              <w:pStyle w:val="ac"/>
              <w:jc w:val="left"/>
            </w:pPr>
            <w:r>
              <w:t>3</w:t>
            </w:r>
          </w:p>
        </w:tc>
        <w:tc>
          <w:tcPr>
            <w:tcW w:w="4109" w:type="dxa"/>
          </w:tcPr>
          <w:p w:rsidR="00000000" w:rsidRDefault="008739CC">
            <w:pPr>
              <w:pStyle w:val="ac"/>
              <w:jc w:val="left"/>
            </w:pPr>
            <w:r>
              <w:rPr>
                <w:rFonts w:hint="eastAsia"/>
              </w:rPr>
              <w:t>1</w:t>
            </w:r>
            <w:r>
              <w:rPr>
                <w:rFonts w:hint="eastAsia"/>
              </w:rPr>
              <w:t>年级的毛引入率</w:t>
            </w:r>
          </w:p>
        </w:tc>
        <w:tc>
          <w:tcPr>
            <w:tcW w:w="730" w:type="dxa"/>
          </w:tcPr>
          <w:p w:rsidR="00000000" w:rsidRDefault="008739CC">
            <w:pPr>
              <w:pStyle w:val="ac"/>
              <w:jc w:val="left"/>
            </w:pPr>
            <w:r>
              <w:t>101.3</w:t>
            </w:r>
          </w:p>
        </w:tc>
        <w:tc>
          <w:tcPr>
            <w:tcW w:w="730" w:type="dxa"/>
          </w:tcPr>
          <w:p w:rsidR="00000000" w:rsidRDefault="008739CC">
            <w:pPr>
              <w:pStyle w:val="ac"/>
              <w:jc w:val="left"/>
            </w:pPr>
            <w:r>
              <w:t>107.0</w:t>
            </w:r>
          </w:p>
        </w:tc>
        <w:tc>
          <w:tcPr>
            <w:tcW w:w="731" w:type="dxa"/>
          </w:tcPr>
          <w:p w:rsidR="00000000" w:rsidRDefault="008739CC">
            <w:pPr>
              <w:pStyle w:val="ac"/>
              <w:jc w:val="left"/>
            </w:pPr>
            <w:r>
              <w:t>95.3</w:t>
            </w:r>
          </w:p>
        </w:tc>
        <w:tc>
          <w:tcPr>
            <w:tcW w:w="750" w:type="dxa"/>
          </w:tcPr>
          <w:p w:rsidR="00000000" w:rsidRDefault="008739CC">
            <w:pPr>
              <w:pStyle w:val="ac"/>
              <w:jc w:val="left"/>
            </w:pPr>
            <w:r>
              <w:t>148</w:t>
            </w:r>
          </w:p>
        </w:tc>
        <w:tc>
          <w:tcPr>
            <w:tcW w:w="750" w:type="dxa"/>
          </w:tcPr>
          <w:p w:rsidR="00000000" w:rsidRDefault="008739CC">
            <w:pPr>
              <w:pStyle w:val="ac"/>
              <w:jc w:val="left"/>
            </w:pPr>
            <w:r>
              <w:t>157</w:t>
            </w:r>
          </w:p>
        </w:tc>
        <w:tc>
          <w:tcPr>
            <w:tcW w:w="750" w:type="dxa"/>
          </w:tcPr>
          <w:p w:rsidR="00000000" w:rsidRDefault="008739CC">
            <w:pPr>
              <w:pStyle w:val="ac"/>
              <w:jc w:val="left"/>
            </w:pPr>
            <w:r>
              <w:t>140</w:t>
            </w:r>
          </w:p>
        </w:tc>
      </w:tr>
      <w:tr w:rsidR="00000000">
        <w:tblPrEx>
          <w:tblCellMar>
            <w:top w:w="0" w:type="dxa"/>
            <w:left w:w="0" w:type="dxa"/>
            <w:bottom w:w="0" w:type="dxa"/>
            <w:right w:w="0" w:type="dxa"/>
          </w:tblCellMar>
        </w:tblPrEx>
        <w:tc>
          <w:tcPr>
            <w:tcW w:w="615" w:type="dxa"/>
          </w:tcPr>
          <w:p w:rsidR="00000000" w:rsidRDefault="008739CC">
            <w:pPr>
              <w:pStyle w:val="ac"/>
              <w:jc w:val="left"/>
            </w:pPr>
            <w:r>
              <w:t>4</w:t>
            </w:r>
          </w:p>
        </w:tc>
        <w:tc>
          <w:tcPr>
            <w:tcW w:w="4109" w:type="dxa"/>
          </w:tcPr>
          <w:p w:rsidR="00000000" w:rsidRDefault="008739CC">
            <w:pPr>
              <w:pStyle w:val="ac"/>
              <w:jc w:val="left"/>
            </w:pPr>
            <w:r>
              <w:rPr>
                <w:rFonts w:hint="eastAsia"/>
              </w:rPr>
              <w:t>1</w:t>
            </w:r>
            <w:r>
              <w:rPr>
                <w:rFonts w:hint="eastAsia"/>
              </w:rPr>
              <w:t>年级的净引入率</w:t>
            </w:r>
          </w:p>
        </w:tc>
        <w:tc>
          <w:tcPr>
            <w:tcW w:w="730" w:type="dxa"/>
          </w:tcPr>
          <w:p w:rsidR="00000000" w:rsidRDefault="008739CC">
            <w:pPr>
              <w:pStyle w:val="ac"/>
              <w:jc w:val="left"/>
            </w:pPr>
            <w:r>
              <w:t>74.0</w:t>
            </w:r>
          </w:p>
        </w:tc>
        <w:tc>
          <w:tcPr>
            <w:tcW w:w="730" w:type="dxa"/>
          </w:tcPr>
          <w:p w:rsidR="00000000" w:rsidRDefault="008739CC">
            <w:pPr>
              <w:pStyle w:val="ac"/>
              <w:jc w:val="left"/>
            </w:pPr>
            <w:r>
              <w:t>77.3</w:t>
            </w:r>
          </w:p>
        </w:tc>
        <w:tc>
          <w:tcPr>
            <w:tcW w:w="731" w:type="dxa"/>
          </w:tcPr>
          <w:p w:rsidR="00000000" w:rsidRDefault="008739CC">
            <w:pPr>
              <w:pStyle w:val="ac"/>
              <w:jc w:val="left"/>
            </w:pPr>
            <w:r>
              <w:t>70.7</w:t>
            </w:r>
          </w:p>
        </w:tc>
        <w:tc>
          <w:tcPr>
            <w:tcW w:w="750" w:type="dxa"/>
          </w:tcPr>
          <w:p w:rsidR="00000000" w:rsidRDefault="008739CC">
            <w:pPr>
              <w:pStyle w:val="ac"/>
              <w:jc w:val="left"/>
            </w:pPr>
            <w:r>
              <w:t>-</w:t>
            </w:r>
          </w:p>
        </w:tc>
        <w:tc>
          <w:tcPr>
            <w:tcW w:w="750" w:type="dxa"/>
          </w:tcPr>
          <w:p w:rsidR="00000000" w:rsidRDefault="008739CC">
            <w:pPr>
              <w:pStyle w:val="ac"/>
              <w:jc w:val="left"/>
            </w:pPr>
            <w:r>
              <w:t>-</w:t>
            </w:r>
          </w:p>
        </w:tc>
        <w:tc>
          <w:tcPr>
            <w:tcW w:w="750" w:type="dxa"/>
          </w:tcPr>
          <w:p w:rsidR="00000000" w:rsidRDefault="008739CC">
            <w:pPr>
              <w:pStyle w:val="ac"/>
              <w:jc w:val="left"/>
            </w:pPr>
            <w:r>
              <w:t>-</w:t>
            </w:r>
          </w:p>
        </w:tc>
      </w:tr>
      <w:tr w:rsidR="00000000">
        <w:tblPrEx>
          <w:tblCellMar>
            <w:top w:w="0" w:type="dxa"/>
            <w:left w:w="0" w:type="dxa"/>
            <w:bottom w:w="0" w:type="dxa"/>
            <w:right w:w="0" w:type="dxa"/>
          </w:tblCellMar>
        </w:tblPrEx>
        <w:tc>
          <w:tcPr>
            <w:tcW w:w="615" w:type="dxa"/>
          </w:tcPr>
          <w:p w:rsidR="00000000" w:rsidRDefault="008739CC">
            <w:pPr>
              <w:pStyle w:val="ac"/>
              <w:jc w:val="left"/>
            </w:pPr>
            <w:r>
              <w:t>5</w:t>
            </w:r>
          </w:p>
        </w:tc>
        <w:tc>
          <w:tcPr>
            <w:tcW w:w="4109" w:type="dxa"/>
          </w:tcPr>
          <w:p w:rsidR="00000000" w:rsidRDefault="008739CC">
            <w:pPr>
              <w:pStyle w:val="ac"/>
              <w:jc w:val="left"/>
            </w:pPr>
            <w:r>
              <w:rPr>
                <w:rFonts w:hint="eastAsia"/>
              </w:rPr>
              <w:t>毛入学率</w:t>
            </w:r>
            <w:r>
              <w:t>(</w:t>
            </w:r>
            <w:r>
              <w:rPr>
                <w:rFonts w:hint="eastAsia"/>
              </w:rPr>
              <w:t>小学</w:t>
            </w:r>
            <w:r>
              <w:t>)</w:t>
            </w:r>
          </w:p>
        </w:tc>
        <w:tc>
          <w:tcPr>
            <w:tcW w:w="730" w:type="dxa"/>
          </w:tcPr>
          <w:p w:rsidR="00000000" w:rsidRDefault="008739CC">
            <w:pPr>
              <w:pStyle w:val="ac"/>
              <w:jc w:val="left"/>
            </w:pPr>
            <w:r>
              <w:t>118.4</w:t>
            </w:r>
          </w:p>
        </w:tc>
        <w:tc>
          <w:tcPr>
            <w:tcW w:w="730" w:type="dxa"/>
          </w:tcPr>
          <w:p w:rsidR="00000000" w:rsidRDefault="008739CC">
            <w:pPr>
              <w:pStyle w:val="ac"/>
              <w:jc w:val="left"/>
            </w:pPr>
            <w:r>
              <w:t>127.1</w:t>
            </w:r>
          </w:p>
        </w:tc>
        <w:tc>
          <w:tcPr>
            <w:tcW w:w="731" w:type="dxa"/>
          </w:tcPr>
          <w:p w:rsidR="00000000" w:rsidRDefault="008739CC">
            <w:pPr>
              <w:pStyle w:val="ac"/>
              <w:jc w:val="left"/>
            </w:pPr>
            <w:r>
              <w:t>109.4</w:t>
            </w:r>
          </w:p>
        </w:tc>
        <w:tc>
          <w:tcPr>
            <w:tcW w:w="750" w:type="dxa"/>
          </w:tcPr>
          <w:p w:rsidR="00000000" w:rsidRDefault="008739CC">
            <w:pPr>
              <w:pStyle w:val="ac"/>
              <w:jc w:val="left"/>
            </w:pPr>
            <w:r>
              <w:t>138.8</w:t>
            </w:r>
          </w:p>
        </w:tc>
        <w:tc>
          <w:tcPr>
            <w:tcW w:w="750" w:type="dxa"/>
          </w:tcPr>
          <w:p w:rsidR="00000000" w:rsidRDefault="008739CC">
            <w:pPr>
              <w:pStyle w:val="ac"/>
              <w:jc w:val="left"/>
            </w:pPr>
            <w:r>
              <w:t>139.2</w:t>
            </w:r>
          </w:p>
        </w:tc>
        <w:tc>
          <w:tcPr>
            <w:tcW w:w="750" w:type="dxa"/>
          </w:tcPr>
          <w:p w:rsidR="00000000" w:rsidRDefault="008739CC">
            <w:pPr>
              <w:pStyle w:val="ac"/>
              <w:jc w:val="left"/>
            </w:pPr>
            <w:r>
              <w:t>138.4</w:t>
            </w:r>
          </w:p>
        </w:tc>
      </w:tr>
      <w:tr w:rsidR="00000000">
        <w:tblPrEx>
          <w:tblCellMar>
            <w:top w:w="0" w:type="dxa"/>
            <w:left w:w="0" w:type="dxa"/>
            <w:bottom w:w="0" w:type="dxa"/>
            <w:right w:w="0" w:type="dxa"/>
          </w:tblCellMar>
        </w:tblPrEx>
        <w:tc>
          <w:tcPr>
            <w:tcW w:w="615" w:type="dxa"/>
          </w:tcPr>
          <w:p w:rsidR="00000000" w:rsidRDefault="008739CC">
            <w:pPr>
              <w:pStyle w:val="ac"/>
              <w:jc w:val="left"/>
            </w:pPr>
          </w:p>
        </w:tc>
        <w:tc>
          <w:tcPr>
            <w:tcW w:w="4109" w:type="dxa"/>
          </w:tcPr>
          <w:p w:rsidR="00000000" w:rsidRDefault="008739CC">
            <w:pPr>
              <w:pStyle w:val="ac"/>
              <w:jc w:val="left"/>
            </w:pPr>
            <w:r>
              <w:rPr>
                <w:rFonts w:hint="eastAsia"/>
              </w:rPr>
              <w:t>毛入学率</w:t>
            </w:r>
            <w:r>
              <w:t>(</w:t>
            </w:r>
            <w:r>
              <w:rPr>
                <w:rFonts w:hint="eastAsia"/>
              </w:rPr>
              <w:t>初中</w:t>
            </w:r>
            <w:r>
              <w:t>)</w:t>
            </w:r>
          </w:p>
        </w:tc>
        <w:tc>
          <w:tcPr>
            <w:tcW w:w="730" w:type="dxa"/>
          </w:tcPr>
          <w:p w:rsidR="00000000" w:rsidRDefault="008739CC">
            <w:pPr>
              <w:pStyle w:val="ac"/>
              <w:jc w:val="left"/>
            </w:pPr>
            <w:r>
              <w:t>57.5</w:t>
            </w:r>
          </w:p>
        </w:tc>
        <w:tc>
          <w:tcPr>
            <w:tcW w:w="730" w:type="dxa"/>
          </w:tcPr>
          <w:p w:rsidR="00000000" w:rsidRDefault="008739CC">
            <w:pPr>
              <w:pStyle w:val="ac"/>
              <w:jc w:val="left"/>
            </w:pPr>
            <w:r>
              <w:t>63.4</w:t>
            </w:r>
          </w:p>
        </w:tc>
        <w:tc>
          <w:tcPr>
            <w:tcW w:w="731" w:type="dxa"/>
          </w:tcPr>
          <w:p w:rsidR="00000000" w:rsidRDefault="008739CC">
            <w:pPr>
              <w:pStyle w:val="ac"/>
              <w:jc w:val="left"/>
            </w:pPr>
            <w:r>
              <w:t>51.2</w:t>
            </w:r>
          </w:p>
        </w:tc>
        <w:tc>
          <w:tcPr>
            <w:tcW w:w="750" w:type="dxa"/>
          </w:tcPr>
          <w:p w:rsidR="00000000" w:rsidRDefault="008739CC">
            <w:pPr>
              <w:pStyle w:val="ac"/>
              <w:jc w:val="left"/>
            </w:pPr>
            <w:r>
              <w:t>71.5</w:t>
            </w:r>
          </w:p>
        </w:tc>
        <w:tc>
          <w:tcPr>
            <w:tcW w:w="750" w:type="dxa"/>
          </w:tcPr>
          <w:p w:rsidR="00000000" w:rsidRDefault="008739CC">
            <w:pPr>
              <w:pStyle w:val="ac"/>
              <w:jc w:val="left"/>
            </w:pPr>
            <w:r>
              <w:t>77.9</w:t>
            </w:r>
          </w:p>
        </w:tc>
        <w:tc>
          <w:tcPr>
            <w:tcW w:w="750" w:type="dxa"/>
          </w:tcPr>
          <w:p w:rsidR="00000000" w:rsidRDefault="008739CC">
            <w:pPr>
              <w:pStyle w:val="ac"/>
              <w:jc w:val="left"/>
            </w:pPr>
            <w:r>
              <w:t>65.4</w:t>
            </w:r>
          </w:p>
        </w:tc>
      </w:tr>
      <w:tr w:rsidR="00000000">
        <w:tblPrEx>
          <w:tblCellMar>
            <w:top w:w="0" w:type="dxa"/>
            <w:left w:w="0" w:type="dxa"/>
            <w:bottom w:w="0" w:type="dxa"/>
            <w:right w:w="0" w:type="dxa"/>
          </w:tblCellMar>
        </w:tblPrEx>
        <w:tc>
          <w:tcPr>
            <w:tcW w:w="615" w:type="dxa"/>
          </w:tcPr>
          <w:p w:rsidR="00000000" w:rsidRDefault="008739CC">
            <w:pPr>
              <w:pStyle w:val="ac"/>
              <w:jc w:val="left"/>
            </w:pPr>
          </w:p>
        </w:tc>
        <w:tc>
          <w:tcPr>
            <w:tcW w:w="4109" w:type="dxa"/>
          </w:tcPr>
          <w:p w:rsidR="00000000" w:rsidRDefault="008739CC">
            <w:pPr>
              <w:pStyle w:val="ac"/>
              <w:jc w:val="left"/>
            </w:pPr>
            <w:r>
              <w:rPr>
                <w:rFonts w:hint="eastAsia"/>
              </w:rPr>
              <w:t>毛入学率</w:t>
            </w:r>
            <w:r>
              <w:t>(</w:t>
            </w:r>
            <w:r>
              <w:rPr>
                <w:rFonts w:hint="eastAsia"/>
              </w:rPr>
              <w:t>中学</w:t>
            </w:r>
            <w:r>
              <w:t>)</w:t>
            </w:r>
          </w:p>
        </w:tc>
        <w:tc>
          <w:tcPr>
            <w:tcW w:w="730" w:type="dxa"/>
          </w:tcPr>
          <w:p w:rsidR="00000000" w:rsidRDefault="008739CC">
            <w:pPr>
              <w:pStyle w:val="ac"/>
              <w:jc w:val="left"/>
            </w:pPr>
            <w:r>
              <w:t>44</w:t>
            </w:r>
            <w:r>
              <w:t>.8</w:t>
            </w:r>
          </w:p>
        </w:tc>
        <w:tc>
          <w:tcPr>
            <w:tcW w:w="730" w:type="dxa"/>
          </w:tcPr>
          <w:p w:rsidR="00000000" w:rsidRDefault="008739CC">
            <w:pPr>
              <w:pStyle w:val="ac"/>
              <w:jc w:val="left"/>
            </w:pPr>
            <w:r>
              <w:t>50.7</w:t>
            </w:r>
          </w:p>
        </w:tc>
        <w:tc>
          <w:tcPr>
            <w:tcW w:w="731" w:type="dxa"/>
          </w:tcPr>
          <w:p w:rsidR="00000000" w:rsidRDefault="008739CC">
            <w:pPr>
              <w:pStyle w:val="ac"/>
              <w:jc w:val="left"/>
            </w:pPr>
            <w:r>
              <w:t>38.7</w:t>
            </w:r>
          </w:p>
        </w:tc>
        <w:tc>
          <w:tcPr>
            <w:tcW w:w="750" w:type="dxa"/>
          </w:tcPr>
          <w:p w:rsidR="00000000" w:rsidRDefault="008739CC">
            <w:pPr>
              <w:pStyle w:val="ac"/>
              <w:jc w:val="left"/>
            </w:pPr>
            <w:r>
              <w:t>56.7</w:t>
            </w:r>
          </w:p>
        </w:tc>
        <w:tc>
          <w:tcPr>
            <w:tcW w:w="750" w:type="dxa"/>
          </w:tcPr>
          <w:p w:rsidR="00000000" w:rsidRDefault="008739CC">
            <w:pPr>
              <w:pStyle w:val="ac"/>
              <w:jc w:val="left"/>
            </w:pPr>
            <w:r>
              <w:t>60.2</w:t>
            </w:r>
          </w:p>
        </w:tc>
        <w:tc>
          <w:tcPr>
            <w:tcW w:w="750" w:type="dxa"/>
          </w:tcPr>
          <w:p w:rsidR="00000000" w:rsidRDefault="008739CC">
            <w:pPr>
              <w:pStyle w:val="ac"/>
              <w:jc w:val="left"/>
            </w:pPr>
            <w:r>
              <w:t>53.1</w:t>
            </w:r>
          </w:p>
        </w:tc>
      </w:tr>
      <w:tr w:rsidR="00000000">
        <w:tblPrEx>
          <w:tblCellMar>
            <w:top w:w="0" w:type="dxa"/>
            <w:left w:w="0" w:type="dxa"/>
            <w:bottom w:w="0" w:type="dxa"/>
            <w:right w:w="0" w:type="dxa"/>
          </w:tblCellMar>
        </w:tblPrEx>
        <w:tc>
          <w:tcPr>
            <w:tcW w:w="615" w:type="dxa"/>
          </w:tcPr>
          <w:p w:rsidR="00000000" w:rsidRDefault="008739CC">
            <w:pPr>
              <w:pStyle w:val="ac"/>
              <w:jc w:val="left"/>
            </w:pPr>
            <w:r>
              <w:t>6</w:t>
            </w:r>
          </w:p>
        </w:tc>
        <w:tc>
          <w:tcPr>
            <w:tcW w:w="4109" w:type="dxa"/>
          </w:tcPr>
          <w:p w:rsidR="00000000" w:rsidRDefault="008739CC">
            <w:pPr>
              <w:pStyle w:val="ac"/>
              <w:jc w:val="left"/>
            </w:pPr>
            <w:r>
              <w:rPr>
                <w:rFonts w:hint="eastAsia"/>
              </w:rPr>
              <w:t>净入学率</w:t>
            </w:r>
            <w:r>
              <w:t>(</w:t>
            </w:r>
            <w:r>
              <w:rPr>
                <w:rFonts w:hint="eastAsia"/>
              </w:rPr>
              <w:t>小学</w:t>
            </w:r>
            <w:r>
              <w:t>)</w:t>
            </w:r>
          </w:p>
        </w:tc>
        <w:tc>
          <w:tcPr>
            <w:tcW w:w="730" w:type="dxa"/>
          </w:tcPr>
          <w:p w:rsidR="00000000" w:rsidRDefault="008739CC">
            <w:pPr>
              <w:pStyle w:val="ac"/>
              <w:jc w:val="left"/>
            </w:pPr>
            <w:r>
              <w:t>82.4</w:t>
            </w:r>
          </w:p>
        </w:tc>
        <w:tc>
          <w:tcPr>
            <w:tcW w:w="730" w:type="dxa"/>
          </w:tcPr>
          <w:p w:rsidR="00000000" w:rsidRDefault="008739CC">
            <w:pPr>
              <w:pStyle w:val="ac"/>
              <w:jc w:val="left"/>
            </w:pPr>
            <w:r>
              <w:t>88.7</w:t>
            </w:r>
          </w:p>
        </w:tc>
        <w:tc>
          <w:tcPr>
            <w:tcW w:w="731" w:type="dxa"/>
          </w:tcPr>
          <w:p w:rsidR="00000000" w:rsidRDefault="008739CC">
            <w:pPr>
              <w:pStyle w:val="ac"/>
              <w:jc w:val="left"/>
            </w:pPr>
            <w:r>
              <w:t>76.8</w:t>
            </w:r>
          </w:p>
        </w:tc>
        <w:tc>
          <w:tcPr>
            <w:tcW w:w="750" w:type="dxa"/>
          </w:tcPr>
          <w:p w:rsidR="00000000" w:rsidRDefault="008739CC">
            <w:pPr>
              <w:pStyle w:val="ac"/>
              <w:jc w:val="left"/>
            </w:pPr>
            <w:r>
              <w:t>87.4</w:t>
            </w:r>
          </w:p>
        </w:tc>
        <w:tc>
          <w:tcPr>
            <w:tcW w:w="750" w:type="dxa"/>
          </w:tcPr>
          <w:p w:rsidR="00000000" w:rsidRDefault="008739CC">
            <w:pPr>
              <w:pStyle w:val="ac"/>
              <w:jc w:val="left"/>
            </w:pPr>
            <w:r>
              <w:t>89.3</w:t>
            </w:r>
          </w:p>
        </w:tc>
        <w:tc>
          <w:tcPr>
            <w:tcW w:w="750" w:type="dxa"/>
          </w:tcPr>
          <w:p w:rsidR="00000000" w:rsidRDefault="008739CC">
            <w:pPr>
              <w:pStyle w:val="ac"/>
              <w:jc w:val="left"/>
            </w:pPr>
            <w:r>
              <w:t>85.5</w:t>
            </w:r>
          </w:p>
        </w:tc>
      </w:tr>
      <w:tr w:rsidR="00000000">
        <w:tblPrEx>
          <w:tblCellMar>
            <w:top w:w="0" w:type="dxa"/>
            <w:left w:w="0" w:type="dxa"/>
            <w:bottom w:w="0" w:type="dxa"/>
            <w:right w:w="0" w:type="dxa"/>
          </w:tblCellMar>
        </w:tblPrEx>
        <w:tc>
          <w:tcPr>
            <w:tcW w:w="615" w:type="dxa"/>
          </w:tcPr>
          <w:p w:rsidR="00000000" w:rsidRDefault="008739CC">
            <w:pPr>
              <w:pStyle w:val="ac"/>
              <w:jc w:val="left"/>
            </w:pPr>
          </w:p>
        </w:tc>
        <w:tc>
          <w:tcPr>
            <w:tcW w:w="4109" w:type="dxa"/>
          </w:tcPr>
          <w:p w:rsidR="00000000" w:rsidRDefault="008739CC">
            <w:pPr>
              <w:pStyle w:val="ac"/>
              <w:jc w:val="left"/>
            </w:pPr>
            <w:r>
              <w:rPr>
                <w:rFonts w:hint="eastAsia"/>
              </w:rPr>
              <w:t>净入学率</w:t>
            </w:r>
            <w:r>
              <w:t>(</w:t>
            </w:r>
            <w:r>
              <w:rPr>
                <w:rFonts w:hint="eastAsia"/>
              </w:rPr>
              <w:t>初中</w:t>
            </w:r>
            <w:r>
              <w:t>)</w:t>
            </w:r>
          </w:p>
        </w:tc>
        <w:tc>
          <w:tcPr>
            <w:tcW w:w="730" w:type="dxa"/>
          </w:tcPr>
          <w:p w:rsidR="00000000" w:rsidRDefault="008739CC">
            <w:pPr>
              <w:pStyle w:val="ac"/>
              <w:jc w:val="left"/>
            </w:pPr>
            <w:r>
              <w:t>40.4</w:t>
            </w:r>
          </w:p>
        </w:tc>
        <w:tc>
          <w:tcPr>
            <w:tcW w:w="730" w:type="dxa"/>
          </w:tcPr>
          <w:p w:rsidR="00000000" w:rsidRDefault="008739CC">
            <w:pPr>
              <w:pStyle w:val="ac"/>
              <w:jc w:val="left"/>
            </w:pPr>
            <w:r>
              <w:t>44.7</w:t>
            </w:r>
          </w:p>
        </w:tc>
        <w:tc>
          <w:tcPr>
            <w:tcW w:w="731" w:type="dxa"/>
          </w:tcPr>
          <w:p w:rsidR="00000000" w:rsidRDefault="008739CC">
            <w:pPr>
              <w:pStyle w:val="ac"/>
              <w:jc w:val="left"/>
            </w:pPr>
            <w:r>
              <w:t>35.8</w:t>
            </w:r>
          </w:p>
        </w:tc>
        <w:tc>
          <w:tcPr>
            <w:tcW w:w="750" w:type="dxa"/>
          </w:tcPr>
          <w:p w:rsidR="00000000" w:rsidRDefault="008739CC">
            <w:pPr>
              <w:pStyle w:val="ac"/>
              <w:jc w:val="left"/>
            </w:pPr>
            <w:r>
              <w:t>52.3</w:t>
            </w:r>
          </w:p>
        </w:tc>
        <w:tc>
          <w:tcPr>
            <w:tcW w:w="750" w:type="dxa"/>
          </w:tcPr>
          <w:p w:rsidR="00000000" w:rsidRDefault="008739CC">
            <w:pPr>
              <w:pStyle w:val="ac"/>
              <w:jc w:val="left"/>
            </w:pPr>
            <w:r>
              <w:t>57.1</w:t>
            </w:r>
          </w:p>
        </w:tc>
        <w:tc>
          <w:tcPr>
            <w:tcW w:w="750" w:type="dxa"/>
          </w:tcPr>
          <w:p w:rsidR="00000000" w:rsidRDefault="008739CC">
            <w:pPr>
              <w:pStyle w:val="ac"/>
              <w:jc w:val="left"/>
            </w:pPr>
            <w:r>
              <w:t>47.8</w:t>
            </w:r>
          </w:p>
        </w:tc>
      </w:tr>
      <w:tr w:rsidR="00000000">
        <w:tblPrEx>
          <w:tblCellMar>
            <w:top w:w="0" w:type="dxa"/>
            <w:left w:w="0" w:type="dxa"/>
            <w:bottom w:w="0" w:type="dxa"/>
            <w:right w:w="0" w:type="dxa"/>
          </w:tblCellMar>
        </w:tblPrEx>
        <w:tc>
          <w:tcPr>
            <w:tcW w:w="615" w:type="dxa"/>
          </w:tcPr>
          <w:p w:rsidR="00000000" w:rsidRDefault="008739CC">
            <w:pPr>
              <w:pStyle w:val="ac"/>
              <w:jc w:val="left"/>
            </w:pPr>
          </w:p>
        </w:tc>
        <w:tc>
          <w:tcPr>
            <w:tcW w:w="4109" w:type="dxa"/>
          </w:tcPr>
          <w:p w:rsidR="00000000" w:rsidRDefault="008739CC">
            <w:pPr>
              <w:pStyle w:val="ac"/>
              <w:jc w:val="left"/>
            </w:pPr>
            <w:r>
              <w:rPr>
                <w:rFonts w:hint="eastAsia"/>
              </w:rPr>
              <w:t>净入学率</w:t>
            </w:r>
            <w:r>
              <w:t>(</w:t>
            </w:r>
            <w:r>
              <w:rPr>
                <w:rFonts w:hint="eastAsia"/>
              </w:rPr>
              <w:t>中学</w:t>
            </w:r>
            <w:r>
              <w:t>)</w:t>
            </w:r>
          </w:p>
        </w:tc>
        <w:tc>
          <w:tcPr>
            <w:tcW w:w="730" w:type="dxa"/>
          </w:tcPr>
          <w:p w:rsidR="00000000" w:rsidRDefault="008739CC">
            <w:pPr>
              <w:pStyle w:val="ac"/>
              <w:jc w:val="left"/>
            </w:pPr>
            <w:r>
              <w:t>27.5</w:t>
            </w:r>
          </w:p>
        </w:tc>
        <w:tc>
          <w:tcPr>
            <w:tcW w:w="730" w:type="dxa"/>
          </w:tcPr>
          <w:p w:rsidR="00000000" w:rsidRDefault="008739CC">
            <w:pPr>
              <w:pStyle w:val="ac"/>
              <w:jc w:val="left"/>
            </w:pPr>
            <w:r>
              <w:t>31.0</w:t>
            </w:r>
          </w:p>
        </w:tc>
        <w:tc>
          <w:tcPr>
            <w:tcW w:w="731" w:type="dxa"/>
          </w:tcPr>
          <w:p w:rsidR="00000000" w:rsidRDefault="008739CC">
            <w:pPr>
              <w:pStyle w:val="ac"/>
              <w:jc w:val="left"/>
            </w:pPr>
            <w:r>
              <w:t>23.9</w:t>
            </w:r>
          </w:p>
        </w:tc>
        <w:tc>
          <w:tcPr>
            <w:tcW w:w="750" w:type="dxa"/>
          </w:tcPr>
          <w:p w:rsidR="00000000" w:rsidRDefault="008739CC">
            <w:pPr>
              <w:pStyle w:val="ac"/>
              <w:jc w:val="left"/>
            </w:pPr>
            <w:r>
              <w:t>34.7</w:t>
            </w:r>
          </w:p>
        </w:tc>
        <w:tc>
          <w:tcPr>
            <w:tcW w:w="750" w:type="dxa"/>
          </w:tcPr>
          <w:p w:rsidR="00000000" w:rsidRDefault="008739CC">
            <w:pPr>
              <w:pStyle w:val="ac"/>
              <w:jc w:val="left"/>
            </w:pPr>
            <w:r>
              <w:t>37.0</w:t>
            </w:r>
          </w:p>
        </w:tc>
        <w:tc>
          <w:tcPr>
            <w:tcW w:w="750" w:type="dxa"/>
          </w:tcPr>
          <w:p w:rsidR="00000000" w:rsidRDefault="008739CC">
            <w:pPr>
              <w:pStyle w:val="ac"/>
              <w:jc w:val="left"/>
            </w:pPr>
            <w:r>
              <w:t>32.4</w:t>
            </w:r>
          </w:p>
        </w:tc>
      </w:tr>
      <w:tr w:rsidR="00000000">
        <w:tblPrEx>
          <w:tblCellMar>
            <w:top w:w="0" w:type="dxa"/>
            <w:left w:w="0" w:type="dxa"/>
            <w:bottom w:w="0" w:type="dxa"/>
            <w:right w:w="0" w:type="dxa"/>
          </w:tblCellMar>
        </w:tblPrEx>
        <w:tc>
          <w:tcPr>
            <w:tcW w:w="615" w:type="dxa"/>
          </w:tcPr>
          <w:p w:rsidR="00000000" w:rsidRDefault="008739CC">
            <w:pPr>
              <w:pStyle w:val="ac"/>
              <w:jc w:val="left"/>
            </w:pPr>
            <w:r>
              <w:t>7</w:t>
            </w:r>
          </w:p>
        </w:tc>
        <w:tc>
          <w:tcPr>
            <w:tcW w:w="4109" w:type="dxa"/>
          </w:tcPr>
          <w:p w:rsidR="00000000" w:rsidRDefault="008739CC">
            <w:pPr>
              <w:pStyle w:val="ac"/>
              <w:jc w:val="left"/>
            </w:pPr>
            <w:r>
              <w:rPr>
                <w:rFonts w:hint="eastAsia"/>
              </w:rPr>
              <w:t>注入小学教育分部门的资源占国民生产</w:t>
            </w:r>
            <w:r>
              <w:br/>
            </w:r>
            <w:r>
              <w:rPr>
                <w:rFonts w:hint="eastAsia"/>
              </w:rPr>
              <w:t>总值的百分率</w:t>
            </w:r>
          </w:p>
        </w:tc>
        <w:tc>
          <w:tcPr>
            <w:tcW w:w="730" w:type="dxa"/>
          </w:tcPr>
          <w:p w:rsidR="00000000" w:rsidRDefault="008739CC">
            <w:pPr>
              <w:pStyle w:val="ac"/>
              <w:jc w:val="left"/>
            </w:pPr>
            <w:r>
              <w:t>2.0</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8</w:t>
            </w:r>
          </w:p>
        </w:tc>
        <w:tc>
          <w:tcPr>
            <w:tcW w:w="4109" w:type="dxa"/>
          </w:tcPr>
          <w:p w:rsidR="00000000" w:rsidRDefault="008739CC">
            <w:pPr>
              <w:pStyle w:val="ac"/>
              <w:jc w:val="left"/>
            </w:pPr>
            <w:r>
              <w:rPr>
                <w:rFonts w:hint="eastAsia"/>
              </w:rPr>
              <w:t>教育预算总额占小学教育分部门的百分率</w:t>
            </w:r>
          </w:p>
        </w:tc>
        <w:tc>
          <w:tcPr>
            <w:tcW w:w="730" w:type="dxa"/>
          </w:tcPr>
          <w:p w:rsidR="00000000" w:rsidRDefault="008739CC">
            <w:pPr>
              <w:pStyle w:val="ac"/>
              <w:jc w:val="left"/>
            </w:pPr>
            <w:r>
              <w:t>60</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9</w:t>
            </w:r>
          </w:p>
        </w:tc>
        <w:tc>
          <w:tcPr>
            <w:tcW w:w="4109" w:type="dxa"/>
          </w:tcPr>
          <w:p w:rsidR="00000000" w:rsidRDefault="008739CC">
            <w:pPr>
              <w:pStyle w:val="ac"/>
              <w:jc w:val="left"/>
            </w:pPr>
            <w:r>
              <w:rPr>
                <w:rFonts w:hint="eastAsia"/>
              </w:rPr>
              <w:t>具备所需资格和培训的教师的百分率</w:t>
            </w:r>
          </w:p>
        </w:tc>
        <w:tc>
          <w:tcPr>
            <w:tcW w:w="730" w:type="dxa"/>
          </w:tcPr>
          <w:p w:rsidR="00000000" w:rsidRDefault="008739CC">
            <w:pPr>
              <w:pStyle w:val="ac"/>
              <w:jc w:val="left"/>
            </w:pPr>
            <w:r>
              <w:t>-</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r>
              <w:t>58.5</w:t>
            </w:r>
          </w:p>
        </w:tc>
        <w:tc>
          <w:tcPr>
            <w:tcW w:w="750" w:type="dxa"/>
          </w:tcPr>
          <w:p w:rsidR="00000000" w:rsidRDefault="008739CC">
            <w:pPr>
              <w:pStyle w:val="ac"/>
              <w:jc w:val="left"/>
            </w:pPr>
            <w:r>
              <w:t>59</w:t>
            </w:r>
            <w:r>
              <w:t>.1</w:t>
            </w:r>
          </w:p>
        </w:tc>
        <w:tc>
          <w:tcPr>
            <w:tcW w:w="750" w:type="dxa"/>
          </w:tcPr>
          <w:p w:rsidR="00000000" w:rsidRDefault="008739CC">
            <w:pPr>
              <w:pStyle w:val="ac"/>
              <w:jc w:val="left"/>
            </w:pPr>
            <w:r>
              <w:t>56.8</w:t>
            </w:r>
          </w:p>
        </w:tc>
      </w:tr>
      <w:tr w:rsidR="00000000">
        <w:tblPrEx>
          <w:tblCellMar>
            <w:top w:w="0" w:type="dxa"/>
            <w:left w:w="0" w:type="dxa"/>
            <w:bottom w:w="0" w:type="dxa"/>
            <w:right w:w="0" w:type="dxa"/>
          </w:tblCellMar>
        </w:tblPrEx>
        <w:tc>
          <w:tcPr>
            <w:tcW w:w="615" w:type="dxa"/>
          </w:tcPr>
          <w:p w:rsidR="00000000" w:rsidRDefault="008739CC">
            <w:pPr>
              <w:pStyle w:val="ac"/>
              <w:jc w:val="left"/>
            </w:pPr>
            <w:r>
              <w:t>10</w:t>
            </w:r>
          </w:p>
        </w:tc>
        <w:tc>
          <w:tcPr>
            <w:tcW w:w="4109" w:type="dxa"/>
          </w:tcPr>
          <w:p w:rsidR="00000000" w:rsidRDefault="008739CC">
            <w:pPr>
              <w:pStyle w:val="ac"/>
              <w:jc w:val="left"/>
            </w:pPr>
            <w:r>
              <w:rPr>
                <w:rFonts w:hint="eastAsia"/>
              </w:rPr>
              <w:t>经过认证的教师百分率</w:t>
            </w:r>
          </w:p>
        </w:tc>
        <w:tc>
          <w:tcPr>
            <w:tcW w:w="730" w:type="dxa"/>
          </w:tcPr>
          <w:p w:rsidR="00000000" w:rsidRDefault="008739CC">
            <w:pPr>
              <w:pStyle w:val="ac"/>
              <w:jc w:val="left"/>
            </w:pPr>
            <w:r>
              <w:t>-</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r>
              <w:t>100</w:t>
            </w:r>
          </w:p>
        </w:tc>
        <w:tc>
          <w:tcPr>
            <w:tcW w:w="750" w:type="dxa"/>
          </w:tcPr>
          <w:p w:rsidR="00000000" w:rsidRDefault="008739CC">
            <w:pPr>
              <w:pStyle w:val="ac"/>
              <w:jc w:val="left"/>
            </w:pPr>
            <w:r>
              <w:t>100</w:t>
            </w:r>
          </w:p>
        </w:tc>
        <w:tc>
          <w:tcPr>
            <w:tcW w:w="750" w:type="dxa"/>
          </w:tcPr>
          <w:p w:rsidR="00000000" w:rsidRDefault="008739CC">
            <w:pPr>
              <w:pStyle w:val="ac"/>
              <w:jc w:val="left"/>
            </w:pPr>
            <w:r>
              <w:t>100</w:t>
            </w:r>
          </w:p>
        </w:tc>
      </w:tr>
      <w:tr w:rsidR="00000000">
        <w:tblPrEx>
          <w:tblCellMar>
            <w:top w:w="0" w:type="dxa"/>
            <w:left w:w="0" w:type="dxa"/>
            <w:bottom w:w="0" w:type="dxa"/>
            <w:right w:w="0" w:type="dxa"/>
          </w:tblCellMar>
        </w:tblPrEx>
        <w:tc>
          <w:tcPr>
            <w:tcW w:w="615" w:type="dxa"/>
          </w:tcPr>
          <w:p w:rsidR="00000000" w:rsidRDefault="008739CC">
            <w:pPr>
              <w:pStyle w:val="ac"/>
              <w:jc w:val="left"/>
            </w:pPr>
            <w:r>
              <w:t>11</w:t>
            </w:r>
          </w:p>
        </w:tc>
        <w:tc>
          <w:tcPr>
            <w:tcW w:w="4109" w:type="dxa"/>
          </w:tcPr>
          <w:p w:rsidR="00000000" w:rsidRDefault="008739CC">
            <w:pPr>
              <w:pStyle w:val="ac"/>
              <w:jc w:val="left"/>
              <w:rPr>
                <w:rFonts w:hint="eastAsia"/>
              </w:rPr>
            </w:pPr>
            <w:r>
              <w:rPr>
                <w:rFonts w:hint="eastAsia"/>
              </w:rPr>
              <w:t>学生与教师的比率</w:t>
            </w:r>
          </w:p>
        </w:tc>
        <w:tc>
          <w:tcPr>
            <w:tcW w:w="730" w:type="dxa"/>
          </w:tcPr>
          <w:p w:rsidR="00000000" w:rsidRDefault="008739CC">
            <w:pPr>
              <w:pStyle w:val="ac"/>
              <w:jc w:val="left"/>
            </w:pPr>
            <w:r>
              <w:t>35.7</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r>
              <w:t>44.5</w:t>
            </w: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12</w:t>
            </w:r>
          </w:p>
        </w:tc>
        <w:tc>
          <w:tcPr>
            <w:tcW w:w="4109" w:type="dxa"/>
          </w:tcPr>
          <w:p w:rsidR="00000000" w:rsidRDefault="008739CC">
            <w:pPr>
              <w:pStyle w:val="ac"/>
              <w:ind w:left="680"/>
              <w:jc w:val="left"/>
              <w:rPr>
                <w:rFonts w:ascii="Time New Roman" w:eastAsia="SimHei" w:hAnsi="Time New Roman"/>
              </w:rPr>
            </w:pPr>
            <w:r>
              <w:rPr>
                <w:rFonts w:ascii="Time New Roman" w:eastAsia="SimHei" w:hAnsi="Time New Roman" w:hint="eastAsia"/>
              </w:rPr>
              <w:t>复读比率</w:t>
            </w:r>
            <w:r>
              <w:rPr>
                <w:rFonts w:ascii="Time New Roman" w:eastAsia="SimHei" w:hAnsi="Time New Roman"/>
              </w:rPr>
              <w:t>：</w:t>
            </w:r>
          </w:p>
        </w:tc>
        <w:tc>
          <w:tcPr>
            <w:tcW w:w="730" w:type="dxa"/>
          </w:tcPr>
          <w:p w:rsidR="00000000" w:rsidRDefault="008739CC">
            <w:pPr>
              <w:pStyle w:val="ac"/>
              <w:jc w:val="left"/>
            </w:pPr>
          </w:p>
        </w:tc>
        <w:tc>
          <w:tcPr>
            <w:tcW w:w="730" w:type="dxa"/>
          </w:tcPr>
          <w:p w:rsidR="00000000" w:rsidRDefault="008739CC">
            <w:pPr>
              <w:pStyle w:val="ac"/>
              <w:jc w:val="left"/>
            </w:pPr>
          </w:p>
        </w:tc>
        <w:tc>
          <w:tcPr>
            <w:tcW w:w="731"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12.1</w:t>
            </w:r>
          </w:p>
        </w:tc>
        <w:tc>
          <w:tcPr>
            <w:tcW w:w="4109" w:type="dxa"/>
          </w:tcPr>
          <w:p w:rsidR="00000000" w:rsidRDefault="008739CC">
            <w:pPr>
              <w:pStyle w:val="ac"/>
              <w:jc w:val="left"/>
            </w:pPr>
            <w:r>
              <w:rPr>
                <w:rFonts w:hint="eastAsia"/>
              </w:rPr>
              <w:t>1</w:t>
            </w:r>
            <w:r>
              <w:rPr>
                <w:rFonts w:hint="eastAsia"/>
              </w:rPr>
              <w:t>年级</w:t>
            </w:r>
          </w:p>
        </w:tc>
        <w:tc>
          <w:tcPr>
            <w:tcW w:w="730" w:type="dxa"/>
          </w:tcPr>
          <w:p w:rsidR="00000000" w:rsidRDefault="008739CC">
            <w:pPr>
              <w:pStyle w:val="ac"/>
              <w:jc w:val="left"/>
            </w:pPr>
            <w:r>
              <w:t>36.8</w:t>
            </w:r>
          </w:p>
        </w:tc>
        <w:tc>
          <w:tcPr>
            <w:tcW w:w="730" w:type="dxa"/>
          </w:tcPr>
          <w:p w:rsidR="00000000" w:rsidRDefault="008739CC">
            <w:pPr>
              <w:pStyle w:val="ac"/>
              <w:jc w:val="left"/>
            </w:pPr>
            <w:r>
              <w:t>36.9</w:t>
            </w:r>
          </w:p>
        </w:tc>
        <w:tc>
          <w:tcPr>
            <w:tcW w:w="731" w:type="dxa"/>
          </w:tcPr>
          <w:p w:rsidR="00000000" w:rsidRDefault="008739CC">
            <w:pPr>
              <w:pStyle w:val="ac"/>
              <w:jc w:val="left"/>
            </w:pPr>
            <w:r>
              <w:t>36.6</w:t>
            </w:r>
          </w:p>
        </w:tc>
        <w:tc>
          <w:tcPr>
            <w:tcW w:w="750" w:type="dxa"/>
          </w:tcPr>
          <w:p w:rsidR="00000000" w:rsidRDefault="008739CC">
            <w:pPr>
              <w:pStyle w:val="ac"/>
              <w:jc w:val="left"/>
            </w:pPr>
            <w:r>
              <w:t>29.8</w:t>
            </w:r>
          </w:p>
        </w:tc>
        <w:tc>
          <w:tcPr>
            <w:tcW w:w="750" w:type="dxa"/>
          </w:tcPr>
          <w:p w:rsidR="00000000" w:rsidRDefault="008739CC">
            <w:pPr>
              <w:pStyle w:val="ac"/>
              <w:jc w:val="left"/>
            </w:pPr>
            <w:r>
              <w:t>27.7</w:t>
            </w:r>
          </w:p>
        </w:tc>
        <w:tc>
          <w:tcPr>
            <w:tcW w:w="750" w:type="dxa"/>
          </w:tcPr>
          <w:p w:rsidR="00000000" w:rsidRDefault="008739CC">
            <w:pPr>
              <w:pStyle w:val="ac"/>
              <w:jc w:val="left"/>
            </w:pPr>
            <w:r>
              <w:t>32.0</w:t>
            </w:r>
          </w:p>
        </w:tc>
      </w:tr>
      <w:tr w:rsidR="00000000">
        <w:tblPrEx>
          <w:tblCellMar>
            <w:top w:w="0" w:type="dxa"/>
            <w:left w:w="0" w:type="dxa"/>
            <w:bottom w:w="0" w:type="dxa"/>
            <w:right w:w="0" w:type="dxa"/>
          </w:tblCellMar>
        </w:tblPrEx>
        <w:tc>
          <w:tcPr>
            <w:tcW w:w="615" w:type="dxa"/>
          </w:tcPr>
          <w:p w:rsidR="00000000" w:rsidRDefault="008739CC">
            <w:pPr>
              <w:pStyle w:val="ac"/>
              <w:jc w:val="left"/>
            </w:pPr>
            <w:r>
              <w:t>12.2</w:t>
            </w:r>
          </w:p>
        </w:tc>
        <w:tc>
          <w:tcPr>
            <w:tcW w:w="4109" w:type="dxa"/>
          </w:tcPr>
          <w:p w:rsidR="00000000" w:rsidRDefault="008739CC">
            <w:pPr>
              <w:pStyle w:val="ac"/>
              <w:jc w:val="left"/>
            </w:pPr>
            <w:r>
              <w:rPr>
                <w:rFonts w:hint="eastAsia"/>
              </w:rPr>
              <w:t>5</w:t>
            </w:r>
            <w:r>
              <w:rPr>
                <w:rFonts w:hint="eastAsia"/>
              </w:rPr>
              <w:t>年级</w:t>
            </w:r>
          </w:p>
        </w:tc>
        <w:tc>
          <w:tcPr>
            <w:tcW w:w="730" w:type="dxa"/>
          </w:tcPr>
          <w:p w:rsidR="00000000" w:rsidRDefault="008739CC">
            <w:pPr>
              <w:pStyle w:val="ac"/>
              <w:jc w:val="left"/>
            </w:pPr>
            <w:r>
              <w:t>11</w:t>
            </w:r>
          </w:p>
        </w:tc>
        <w:tc>
          <w:tcPr>
            <w:tcW w:w="730" w:type="dxa"/>
          </w:tcPr>
          <w:p w:rsidR="00000000" w:rsidRDefault="008739CC">
            <w:pPr>
              <w:pStyle w:val="ac"/>
              <w:jc w:val="left"/>
            </w:pPr>
            <w:r>
              <w:t>10.9</w:t>
            </w:r>
          </w:p>
        </w:tc>
        <w:tc>
          <w:tcPr>
            <w:tcW w:w="731" w:type="dxa"/>
          </w:tcPr>
          <w:p w:rsidR="00000000" w:rsidRDefault="008739CC">
            <w:pPr>
              <w:pStyle w:val="ac"/>
              <w:jc w:val="left"/>
            </w:pPr>
            <w:r>
              <w:t>11.1</w:t>
            </w:r>
          </w:p>
        </w:tc>
        <w:tc>
          <w:tcPr>
            <w:tcW w:w="750" w:type="dxa"/>
          </w:tcPr>
          <w:p w:rsidR="00000000" w:rsidRDefault="008739CC">
            <w:pPr>
              <w:pStyle w:val="ac"/>
              <w:jc w:val="left"/>
            </w:pPr>
            <w:r>
              <w:t>10.4</w:t>
            </w:r>
          </w:p>
        </w:tc>
        <w:tc>
          <w:tcPr>
            <w:tcW w:w="750" w:type="dxa"/>
          </w:tcPr>
          <w:p w:rsidR="00000000" w:rsidRDefault="008739CC">
            <w:pPr>
              <w:pStyle w:val="ac"/>
              <w:jc w:val="left"/>
            </w:pPr>
            <w:r>
              <w:t>10.7</w:t>
            </w:r>
          </w:p>
        </w:tc>
        <w:tc>
          <w:tcPr>
            <w:tcW w:w="750" w:type="dxa"/>
          </w:tcPr>
          <w:p w:rsidR="00000000" w:rsidRDefault="008739CC">
            <w:pPr>
              <w:pStyle w:val="ac"/>
              <w:jc w:val="left"/>
            </w:pPr>
            <w:r>
              <w:t>10.2</w:t>
            </w:r>
          </w:p>
        </w:tc>
      </w:tr>
      <w:tr w:rsidR="00000000">
        <w:tblPrEx>
          <w:tblCellMar>
            <w:top w:w="0" w:type="dxa"/>
            <w:left w:w="0" w:type="dxa"/>
            <w:bottom w:w="0" w:type="dxa"/>
            <w:right w:w="0" w:type="dxa"/>
          </w:tblCellMar>
        </w:tblPrEx>
        <w:tc>
          <w:tcPr>
            <w:tcW w:w="615" w:type="dxa"/>
          </w:tcPr>
          <w:p w:rsidR="00000000" w:rsidRDefault="008739CC">
            <w:pPr>
              <w:pStyle w:val="ac"/>
              <w:jc w:val="left"/>
            </w:pPr>
            <w:r>
              <w:t>13</w:t>
            </w:r>
          </w:p>
        </w:tc>
        <w:tc>
          <w:tcPr>
            <w:tcW w:w="4109" w:type="dxa"/>
          </w:tcPr>
          <w:p w:rsidR="00000000" w:rsidRDefault="008739CC">
            <w:pPr>
              <w:pStyle w:val="ac"/>
              <w:jc w:val="left"/>
              <w:rPr>
                <w:rFonts w:hint="eastAsia"/>
              </w:rPr>
            </w:pPr>
            <w:r>
              <w:rPr>
                <w:rFonts w:hint="eastAsia"/>
              </w:rPr>
              <w:t>念完</w:t>
            </w:r>
            <w:r>
              <w:rPr>
                <w:rFonts w:hint="eastAsia"/>
              </w:rPr>
              <w:t>5</w:t>
            </w:r>
            <w:r>
              <w:rPr>
                <w:rFonts w:hint="eastAsia"/>
              </w:rPr>
              <w:t>年级的百分率</w:t>
            </w:r>
          </w:p>
        </w:tc>
        <w:tc>
          <w:tcPr>
            <w:tcW w:w="730" w:type="dxa"/>
          </w:tcPr>
          <w:p w:rsidR="00000000" w:rsidRDefault="008739CC">
            <w:pPr>
              <w:pStyle w:val="ac"/>
              <w:jc w:val="left"/>
            </w:pPr>
            <w:r>
              <w:t>67.6</w:t>
            </w:r>
          </w:p>
        </w:tc>
        <w:tc>
          <w:tcPr>
            <w:tcW w:w="730" w:type="dxa"/>
          </w:tcPr>
          <w:p w:rsidR="00000000" w:rsidRDefault="008739CC">
            <w:pPr>
              <w:pStyle w:val="ac"/>
              <w:jc w:val="left"/>
            </w:pPr>
            <w:r>
              <w:t>66.1</w:t>
            </w:r>
          </w:p>
        </w:tc>
        <w:tc>
          <w:tcPr>
            <w:tcW w:w="731" w:type="dxa"/>
          </w:tcPr>
          <w:p w:rsidR="00000000" w:rsidRDefault="008739CC">
            <w:pPr>
              <w:pStyle w:val="ac"/>
              <w:jc w:val="left"/>
            </w:pPr>
            <w:r>
              <w:t>69.4</w:t>
            </w:r>
          </w:p>
        </w:tc>
        <w:tc>
          <w:tcPr>
            <w:tcW w:w="750" w:type="dxa"/>
          </w:tcPr>
          <w:p w:rsidR="00000000" w:rsidRDefault="008739CC">
            <w:pPr>
              <w:pStyle w:val="ac"/>
              <w:jc w:val="left"/>
            </w:pPr>
            <w:r>
              <w:t>47.0</w:t>
            </w:r>
          </w:p>
        </w:tc>
        <w:tc>
          <w:tcPr>
            <w:tcW w:w="750" w:type="dxa"/>
          </w:tcPr>
          <w:p w:rsidR="00000000" w:rsidRDefault="008739CC">
            <w:pPr>
              <w:pStyle w:val="ac"/>
              <w:jc w:val="left"/>
            </w:pPr>
            <w:r>
              <w:t>44.9</w:t>
            </w:r>
          </w:p>
        </w:tc>
        <w:tc>
          <w:tcPr>
            <w:tcW w:w="750" w:type="dxa"/>
          </w:tcPr>
          <w:p w:rsidR="00000000" w:rsidRDefault="008739CC">
            <w:pPr>
              <w:pStyle w:val="ac"/>
              <w:jc w:val="left"/>
            </w:pPr>
            <w:r>
              <w:t>49.5</w:t>
            </w:r>
          </w:p>
        </w:tc>
      </w:tr>
      <w:tr w:rsidR="00000000">
        <w:tblPrEx>
          <w:tblCellMar>
            <w:top w:w="0" w:type="dxa"/>
            <w:left w:w="0" w:type="dxa"/>
            <w:bottom w:w="0" w:type="dxa"/>
            <w:right w:w="0" w:type="dxa"/>
          </w:tblCellMar>
        </w:tblPrEx>
        <w:tc>
          <w:tcPr>
            <w:tcW w:w="615" w:type="dxa"/>
          </w:tcPr>
          <w:p w:rsidR="00000000" w:rsidRDefault="008739CC">
            <w:pPr>
              <w:pStyle w:val="ac"/>
              <w:jc w:val="left"/>
            </w:pPr>
            <w:r>
              <w:t>14</w:t>
            </w:r>
          </w:p>
        </w:tc>
        <w:tc>
          <w:tcPr>
            <w:tcW w:w="4109" w:type="dxa"/>
          </w:tcPr>
          <w:p w:rsidR="00000000" w:rsidRDefault="008739CC">
            <w:pPr>
              <w:pStyle w:val="ac"/>
              <w:jc w:val="left"/>
            </w:pPr>
            <w:r>
              <w:rPr>
                <w:rFonts w:hint="eastAsia"/>
              </w:rPr>
              <w:t>效率系数</w:t>
            </w:r>
          </w:p>
        </w:tc>
        <w:tc>
          <w:tcPr>
            <w:tcW w:w="730" w:type="dxa"/>
          </w:tcPr>
          <w:p w:rsidR="00000000" w:rsidRDefault="008739CC">
            <w:pPr>
              <w:pStyle w:val="ac"/>
              <w:jc w:val="left"/>
            </w:pPr>
            <w:r>
              <w:t>57.2</w:t>
            </w:r>
          </w:p>
        </w:tc>
        <w:tc>
          <w:tcPr>
            <w:tcW w:w="730" w:type="dxa"/>
          </w:tcPr>
          <w:p w:rsidR="00000000" w:rsidRDefault="008739CC">
            <w:pPr>
              <w:pStyle w:val="ac"/>
              <w:jc w:val="left"/>
            </w:pPr>
            <w:r>
              <w:t>57.0</w:t>
            </w:r>
          </w:p>
        </w:tc>
        <w:tc>
          <w:tcPr>
            <w:tcW w:w="731" w:type="dxa"/>
          </w:tcPr>
          <w:p w:rsidR="00000000" w:rsidRDefault="008739CC">
            <w:pPr>
              <w:pStyle w:val="ac"/>
              <w:jc w:val="left"/>
            </w:pPr>
            <w:r>
              <w:t>57.4</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w:t>
            </w:r>
          </w:p>
        </w:tc>
        <w:tc>
          <w:tcPr>
            <w:tcW w:w="4109" w:type="dxa"/>
          </w:tcPr>
          <w:p w:rsidR="00000000" w:rsidRDefault="008739CC">
            <w:pPr>
              <w:pStyle w:val="ac"/>
              <w:ind w:left="680"/>
              <w:jc w:val="left"/>
              <w:rPr>
                <w:rFonts w:ascii="Time New Roman" w:eastAsia="SimHei" w:hAnsi="Time New Roman"/>
                <w:bCs/>
              </w:rPr>
            </w:pPr>
            <w:r>
              <w:rPr>
                <w:rFonts w:ascii="Time New Roman" w:eastAsia="SimHei" w:hAnsi="Time New Roman" w:hint="eastAsia"/>
              </w:rPr>
              <w:t>念完</w:t>
            </w:r>
            <w:r>
              <w:rPr>
                <w:rFonts w:ascii="Time New Roman" w:eastAsia="SimHei" w:hAnsi="Time New Roman" w:hint="eastAsia"/>
                <w:b/>
              </w:rPr>
              <w:t>5</w:t>
            </w:r>
            <w:r>
              <w:rPr>
                <w:rFonts w:ascii="Time New Roman" w:eastAsia="SimHei" w:hAnsi="Time New Roman" w:hint="eastAsia"/>
              </w:rPr>
              <w:t>年级的百分率</w:t>
            </w:r>
            <w:r>
              <w:rPr>
                <w:rFonts w:ascii="Time New Roman" w:eastAsia="SimHei" w:hAnsi="Time New Roman"/>
                <w:bCs/>
              </w:rPr>
              <w:t>：</w:t>
            </w:r>
          </w:p>
        </w:tc>
        <w:tc>
          <w:tcPr>
            <w:tcW w:w="730" w:type="dxa"/>
          </w:tcPr>
          <w:p w:rsidR="00000000" w:rsidRDefault="008739CC">
            <w:pPr>
              <w:pStyle w:val="ac"/>
              <w:jc w:val="left"/>
            </w:pPr>
          </w:p>
        </w:tc>
        <w:tc>
          <w:tcPr>
            <w:tcW w:w="730" w:type="dxa"/>
          </w:tcPr>
          <w:p w:rsidR="00000000" w:rsidRDefault="008739CC">
            <w:pPr>
              <w:pStyle w:val="ac"/>
              <w:jc w:val="left"/>
            </w:pPr>
          </w:p>
        </w:tc>
        <w:tc>
          <w:tcPr>
            <w:tcW w:w="731"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15.1</w:t>
            </w:r>
          </w:p>
        </w:tc>
        <w:tc>
          <w:tcPr>
            <w:tcW w:w="4109" w:type="dxa"/>
          </w:tcPr>
          <w:p w:rsidR="00000000" w:rsidRDefault="008739CC">
            <w:pPr>
              <w:pStyle w:val="ac"/>
              <w:jc w:val="left"/>
            </w:pPr>
            <w:r>
              <w:rPr>
                <w:rFonts w:hint="eastAsia"/>
              </w:rPr>
              <w:t>尼泊尔文</w:t>
            </w:r>
          </w:p>
        </w:tc>
        <w:tc>
          <w:tcPr>
            <w:tcW w:w="730" w:type="dxa"/>
          </w:tcPr>
          <w:p w:rsidR="00000000" w:rsidRDefault="008739CC">
            <w:pPr>
              <w:pStyle w:val="ac"/>
              <w:jc w:val="left"/>
            </w:pPr>
            <w:r>
              <w:t>55.8</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15.1</w:t>
            </w:r>
          </w:p>
        </w:tc>
        <w:tc>
          <w:tcPr>
            <w:tcW w:w="4109" w:type="dxa"/>
          </w:tcPr>
          <w:p w:rsidR="00000000" w:rsidRDefault="008739CC">
            <w:pPr>
              <w:pStyle w:val="ac"/>
              <w:jc w:val="left"/>
            </w:pPr>
            <w:r>
              <w:rPr>
                <w:rFonts w:hint="eastAsia"/>
              </w:rPr>
              <w:t>数学</w:t>
            </w:r>
          </w:p>
        </w:tc>
        <w:tc>
          <w:tcPr>
            <w:tcW w:w="730" w:type="dxa"/>
          </w:tcPr>
          <w:p w:rsidR="00000000" w:rsidRDefault="008739CC">
            <w:pPr>
              <w:pStyle w:val="ac"/>
              <w:jc w:val="left"/>
            </w:pPr>
            <w:r>
              <w:t>33.3</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15.2</w:t>
            </w:r>
          </w:p>
        </w:tc>
        <w:tc>
          <w:tcPr>
            <w:tcW w:w="4109" w:type="dxa"/>
          </w:tcPr>
          <w:p w:rsidR="00000000" w:rsidRDefault="008739CC">
            <w:pPr>
              <w:pStyle w:val="ac"/>
              <w:jc w:val="left"/>
            </w:pPr>
            <w:r>
              <w:rPr>
                <w:rFonts w:hint="eastAsia"/>
              </w:rPr>
              <w:t>社会学科</w:t>
            </w:r>
          </w:p>
        </w:tc>
        <w:tc>
          <w:tcPr>
            <w:tcW w:w="730" w:type="dxa"/>
          </w:tcPr>
          <w:p w:rsidR="00000000" w:rsidRDefault="008739CC">
            <w:pPr>
              <w:pStyle w:val="ac"/>
              <w:jc w:val="left"/>
            </w:pPr>
            <w:r>
              <w:t>61.1</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15.3</w:t>
            </w:r>
          </w:p>
        </w:tc>
        <w:tc>
          <w:tcPr>
            <w:tcW w:w="4109" w:type="dxa"/>
          </w:tcPr>
          <w:p w:rsidR="00000000" w:rsidRDefault="008739CC">
            <w:pPr>
              <w:pStyle w:val="ac"/>
              <w:jc w:val="left"/>
            </w:pPr>
            <w:r>
              <w:rPr>
                <w:rFonts w:hint="eastAsia"/>
              </w:rPr>
              <w:t>英语</w:t>
            </w:r>
          </w:p>
        </w:tc>
        <w:tc>
          <w:tcPr>
            <w:tcW w:w="730" w:type="dxa"/>
          </w:tcPr>
          <w:p w:rsidR="00000000" w:rsidRDefault="008739CC">
            <w:pPr>
              <w:pStyle w:val="ac"/>
              <w:jc w:val="left"/>
            </w:pPr>
            <w:r>
              <w:t>44.8</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15.4</w:t>
            </w:r>
          </w:p>
        </w:tc>
        <w:tc>
          <w:tcPr>
            <w:tcW w:w="4109" w:type="dxa"/>
          </w:tcPr>
          <w:p w:rsidR="00000000" w:rsidRDefault="008739CC">
            <w:pPr>
              <w:pStyle w:val="ac"/>
              <w:jc w:val="left"/>
            </w:pPr>
            <w:r>
              <w:rPr>
                <w:rFonts w:hint="eastAsia"/>
              </w:rPr>
              <w:t>环境科学和保健教育</w:t>
            </w:r>
          </w:p>
        </w:tc>
        <w:tc>
          <w:tcPr>
            <w:tcW w:w="730" w:type="dxa"/>
          </w:tcPr>
          <w:p w:rsidR="00000000" w:rsidRDefault="008739CC">
            <w:pPr>
              <w:pStyle w:val="ac"/>
              <w:jc w:val="left"/>
            </w:pPr>
            <w:r>
              <w:t>67.3</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16</w:t>
            </w:r>
          </w:p>
        </w:tc>
        <w:tc>
          <w:tcPr>
            <w:tcW w:w="4109" w:type="dxa"/>
          </w:tcPr>
          <w:p w:rsidR="00000000" w:rsidRDefault="008739CC">
            <w:pPr>
              <w:pStyle w:val="ac"/>
              <w:ind w:left="680"/>
              <w:jc w:val="left"/>
              <w:rPr>
                <w:rFonts w:ascii="Time New Roman" w:eastAsia="SimHei" w:hAnsi="Time New Roman"/>
                <w:bCs/>
              </w:rPr>
            </w:pPr>
            <w:r>
              <w:rPr>
                <w:rFonts w:ascii="Time New Roman" w:eastAsia="SimHei" w:hAnsi="Time New Roman" w:hint="eastAsia"/>
              </w:rPr>
              <w:t>识</w:t>
            </w:r>
            <w:r>
              <w:rPr>
                <w:rFonts w:ascii="Time New Roman" w:eastAsia="SimHei" w:hAnsi="Time New Roman"/>
              </w:rPr>
              <w:t xml:space="preserve"> </w:t>
            </w:r>
            <w:r>
              <w:rPr>
                <w:rFonts w:ascii="Time New Roman" w:eastAsia="SimHei" w:hAnsi="Time New Roman" w:hint="eastAsia"/>
              </w:rPr>
              <w:t>字</w:t>
            </w:r>
            <w:r>
              <w:rPr>
                <w:rFonts w:ascii="Time New Roman" w:eastAsia="SimHei" w:hAnsi="Time New Roman"/>
              </w:rPr>
              <w:t xml:space="preserve"> </w:t>
            </w:r>
            <w:r>
              <w:rPr>
                <w:rFonts w:ascii="Time New Roman" w:eastAsia="SimHei" w:hAnsi="Time New Roman" w:hint="eastAsia"/>
              </w:rPr>
              <w:t>率</w:t>
            </w:r>
            <w:r>
              <w:rPr>
                <w:rFonts w:ascii="Time New Roman" w:eastAsia="SimHei" w:hAnsi="Time New Roman"/>
                <w:bCs/>
              </w:rPr>
              <w:t>*</w:t>
            </w:r>
          </w:p>
        </w:tc>
        <w:tc>
          <w:tcPr>
            <w:tcW w:w="730" w:type="dxa"/>
          </w:tcPr>
          <w:p w:rsidR="00000000" w:rsidRDefault="008739CC">
            <w:pPr>
              <w:pStyle w:val="ac"/>
              <w:jc w:val="left"/>
            </w:pPr>
          </w:p>
        </w:tc>
        <w:tc>
          <w:tcPr>
            <w:tcW w:w="730" w:type="dxa"/>
          </w:tcPr>
          <w:p w:rsidR="00000000" w:rsidRDefault="008739CC">
            <w:pPr>
              <w:pStyle w:val="ac"/>
              <w:jc w:val="left"/>
            </w:pPr>
          </w:p>
        </w:tc>
        <w:tc>
          <w:tcPr>
            <w:tcW w:w="731"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16.1</w:t>
            </w:r>
          </w:p>
        </w:tc>
        <w:tc>
          <w:tcPr>
            <w:tcW w:w="4109" w:type="dxa"/>
          </w:tcPr>
          <w:p w:rsidR="00000000" w:rsidRDefault="008739CC">
            <w:pPr>
              <w:pStyle w:val="ac"/>
              <w:jc w:val="left"/>
              <w:rPr>
                <w:rFonts w:hint="eastAsia"/>
              </w:rPr>
            </w:pPr>
            <w:r>
              <w:t>15-24</w:t>
            </w:r>
            <w:r>
              <w:rPr>
                <w:rFonts w:hint="eastAsia"/>
              </w:rPr>
              <w:t>年龄组</w:t>
            </w:r>
          </w:p>
        </w:tc>
        <w:tc>
          <w:tcPr>
            <w:tcW w:w="730" w:type="dxa"/>
          </w:tcPr>
          <w:p w:rsidR="00000000" w:rsidRDefault="008739CC">
            <w:pPr>
              <w:pStyle w:val="ac"/>
              <w:jc w:val="left"/>
            </w:pPr>
            <w:r>
              <w:t>70</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16.2</w:t>
            </w:r>
          </w:p>
        </w:tc>
        <w:tc>
          <w:tcPr>
            <w:tcW w:w="4109" w:type="dxa"/>
          </w:tcPr>
          <w:p w:rsidR="00000000" w:rsidRDefault="008739CC">
            <w:pPr>
              <w:pStyle w:val="ac"/>
              <w:jc w:val="left"/>
            </w:pPr>
            <w:r>
              <w:rPr>
                <w:rFonts w:hint="eastAsia"/>
              </w:rPr>
              <w:t>6</w:t>
            </w:r>
            <w:r>
              <w:rPr>
                <w:rFonts w:hint="eastAsia"/>
              </w:rPr>
              <w:t>岁以上年龄组</w:t>
            </w:r>
          </w:p>
        </w:tc>
        <w:tc>
          <w:tcPr>
            <w:tcW w:w="730" w:type="dxa"/>
          </w:tcPr>
          <w:p w:rsidR="00000000" w:rsidRDefault="008739CC">
            <w:pPr>
              <w:pStyle w:val="ac"/>
              <w:jc w:val="left"/>
            </w:pPr>
            <w:r>
              <w:t>54</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17</w:t>
            </w:r>
          </w:p>
        </w:tc>
        <w:tc>
          <w:tcPr>
            <w:tcW w:w="4109" w:type="dxa"/>
          </w:tcPr>
          <w:p w:rsidR="00000000" w:rsidRDefault="008739CC">
            <w:pPr>
              <w:pStyle w:val="ac"/>
              <w:jc w:val="left"/>
            </w:pPr>
            <w:r>
              <w:rPr>
                <w:rFonts w:hint="eastAsia"/>
              </w:rPr>
              <w:t>成年识字率</w:t>
            </w:r>
            <w:r>
              <w:t>(15</w:t>
            </w:r>
            <w:r>
              <w:rPr>
                <w:rFonts w:hint="eastAsia"/>
              </w:rPr>
              <w:t>岁以上</w:t>
            </w:r>
            <w:r>
              <w:t>)</w:t>
            </w:r>
          </w:p>
        </w:tc>
        <w:tc>
          <w:tcPr>
            <w:tcW w:w="730" w:type="dxa"/>
          </w:tcPr>
          <w:p w:rsidR="00000000" w:rsidRDefault="008739CC">
            <w:pPr>
              <w:pStyle w:val="ac"/>
              <w:jc w:val="left"/>
            </w:pPr>
            <w:r>
              <w:t>48</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r w:rsidR="00000000">
        <w:tblPrEx>
          <w:tblCellMar>
            <w:top w:w="0" w:type="dxa"/>
            <w:left w:w="0" w:type="dxa"/>
            <w:bottom w:w="0" w:type="dxa"/>
            <w:right w:w="0" w:type="dxa"/>
          </w:tblCellMar>
        </w:tblPrEx>
        <w:tc>
          <w:tcPr>
            <w:tcW w:w="615" w:type="dxa"/>
          </w:tcPr>
          <w:p w:rsidR="00000000" w:rsidRDefault="008739CC">
            <w:pPr>
              <w:pStyle w:val="ac"/>
              <w:jc w:val="left"/>
            </w:pPr>
            <w:r>
              <w:t>18</w:t>
            </w:r>
          </w:p>
        </w:tc>
        <w:tc>
          <w:tcPr>
            <w:tcW w:w="4109" w:type="dxa"/>
          </w:tcPr>
          <w:p w:rsidR="00000000" w:rsidRDefault="008739CC">
            <w:pPr>
              <w:pStyle w:val="ac"/>
              <w:jc w:val="left"/>
            </w:pPr>
            <w:r>
              <w:rPr>
                <w:rFonts w:hint="eastAsia"/>
              </w:rPr>
              <w:t>识字率性别奇偶指数</w:t>
            </w:r>
            <w:r>
              <w:t>(15</w:t>
            </w:r>
            <w:r>
              <w:rPr>
                <w:rFonts w:hint="eastAsia"/>
              </w:rPr>
              <w:t>岁以上</w:t>
            </w:r>
            <w:r>
              <w:t>)</w:t>
            </w:r>
          </w:p>
        </w:tc>
        <w:tc>
          <w:tcPr>
            <w:tcW w:w="730" w:type="dxa"/>
          </w:tcPr>
          <w:p w:rsidR="00000000" w:rsidRDefault="008739CC">
            <w:pPr>
              <w:pStyle w:val="ac"/>
              <w:jc w:val="left"/>
            </w:pPr>
            <w:r>
              <w:t>0.6</w:t>
            </w:r>
          </w:p>
        </w:tc>
        <w:tc>
          <w:tcPr>
            <w:tcW w:w="730" w:type="dxa"/>
          </w:tcPr>
          <w:p w:rsidR="00000000" w:rsidRDefault="008739CC">
            <w:pPr>
              <w:pStyle w:val="ac"/>
              <w:jc w:val="left"/>
            </w:pPr>
            <w:r>
              <w:t>-</w:t>
            </w:r>
          </w:p>
        </w:tc>
        <w:tc>
          <w:tcPr>
            <w:tcW w:w="731" w:type="dxa"/>
          </w:tcPr>
          <w:p w:rsidR="00000000" w:rsidRDefault="008739CC">
            <w:pPr>
              <w:pStyle w:val="ac"/>
              <w:jc w:val="left"/>
            </w:pPr>
            <w:r>
              <w:t>-</w:t>
            </w:r>
          </w:p>
        </w:tc>
        <w:tc>
          <w:tcPr>
            <w:tcW w:w="750" w:type="dxa"/>
          </w:tcPr>
          <w:p w:rsidR="00000000" w:rsidRDefault="008739CC">
            <w:pPr>
              <w:pStyle w:val="ac"/>
              <w:jc w:val="left"/>
            </w:pPr>
          </w:p>
        </w:tc>
        <w:tc>
          <w:tcPr>
            <w:tcW w:w="750" w:type="dxa"/>
          </w:tcPr>
          <w:p w:rsidR="00000000" w:rsidRDefault="008739CC">
            <w:pPr>
              <w:pStyle w:val="ac"/>
              <w:jc w:val="left"/>
            </w:pPr>
          </w:p>
        </w:tc>
        <w:tc>
          <w:tcPr>
            <w:tcW w:w="750" w:type="dxa"/>
          </w:tcPr>
          <w:p w:rsidR="00000000" w:rsidRDefault="008739CC">
            <w:pPr>
              <w:pStyle w:val="ac"/>
              <w:jc w:val="left"/>
            </w:pPr>
          </w:p>
        </w:tc>
      </w:tr>
    </w:tbl>
    <w:p w:rsidR="00000000" w:rsidRDefault="008739CC">
      <w:pPr>
        <w:rPr>
          <w:b/>
        </w:rPr>
      </w:pPr>
    </w:p>
    <w:p w:rsidR="00000000" w:rsidRDefault="008739CC">
      <w:pPr>
        <w:pStyle w:val="Heading3"/>
        <w:rPr>
          <w:b/>
        </w:rPr>
      </w:pPr>
      <w:r>
        <w:rPr>
          <w:rFonts w:hint="eastAsia"/>
        </w:rPr>
        <w:t>表</w:t>
      </w:r>
      <w:r>
        <w:t xml:space="preserve">  3</w:t>
      </w:r>
      <w:r>
        <w:br/>
      </w:r>
      <w:r>
        <w:rPr>
          <w:rFonts w:hint="eastAsia"/>
        </w:rPr>
        <w:t>中学的绩效指标</w:t>
      </w:r>
    </w:p>
    <w:tbl>
      <w:tblPr>
        <w:tblW w:w="0" w:type="auto"/>
        <w:tblInd w:w="533" w:type="dxa"/>
        <w:tblLayout w:type="fixed"/>
        <w:tblCellMar>
          <w:left w:w="0" w:type="dxa"/>
          <w:right w:w="0" w:type="dxa"/>
        </w:tblCellMar>
        <w:tblLook w:val="0000" w:firstRow="0" w:lastRow="0" w:firstColumn="0" w:lastColumn="0" w:noHBand="0" w:noVBand="0"/>
      </w:tblPr>
      <w:tblGrid>
        <w:gridCol w:w="840"/>
        <w:gridCol w:w="5825"/>
        <w:gridCol w:w="898"/>
        <w:gridCol w:w="732"/>
      </w:tblGrid>
      <w:tr w:rsidR="00000000">
        <w:tblPrEx>
          <w:tblCellMar>
            <w:top w:w="0" w:type="dxa"/>
            <w:left w:w="0" w:type="dxa"/>
            <w:bottom w:w="0" w:type="dxa"/>
            <w:right w:w="0" w:type="dxa"/>
          </w:tblCellMar>
        </w:tblPrEx>
        <w:tc>
          <w:tcPr>
            <w:tcW w:w="840" w:type="dxa"/>
          </w:tcPr>
          <w:p w:rsidR="00000000" w:rsidRDefault="008739CC">
            <w:pPr>
              <w:pStyle w:val="ac"/>
              <w:spacing w:after="80" w:line="400" w:lineRule="exact"/>
              <w:rPr>
                <w:rFonts w:ascii="Time New Roman" w:eastAsia="SimHei" w:hAnsi="Time New Roman" w:hint="eastAsia"/>
                <w:sz w:val="22"/>
              </w:rPr>
            </w:pPr>
            <w:r>
              <w:rPr>
                <w:rFonts w:ascii="Time New Roman" w:eastAsia="SimHei" w:hAnsi="Time New Roman" w:hint="eastAsia"/>
                <w:sz w:val="22"/>
              </w:rPr>
              <w:t>序号</w:t>
            </w:r>
          </w:p>
        </w:tc>
        <w:tc>
          <w:tcPr>
            <w:tcW w:w="5825"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hint="eastAsia"/>
                <w:sz w:val="22"/>
              </w:rPr>
              <w:t>指</w:t>
            </w:r>
            <w:r>
              <w:rPr>
                <w:rFonts w:ascii="Time New Roman" w:eastAsia="SimHei" w:hAnsi="Time New Roman"/>
                <w:sz w:val="22"/>
              </w:rPr>
              <w:t xml:space="preserve">  </w:t>
            </w:r>
            <w:r>
              <w:rPr>
                <w:rFonts w:ascii="Time New Roman" w:eastAsia="SimHei" w:hAnsi="Time New Roman" w:hint="eastAsia"/>
                <w:sz w:val="22"/>
              </w:rPr>
              <w:t>标</w:t>
            </w:r>
          </w:p>
        </w:tc>
        <w:tc>
          <w:tcPr>
            <w:tcW w:w="898"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b/>
                <w:sz w:val="22"/>
              </w:rPr>
              <w:t>2002</w:t>
            </w:r>
          </w:p>
        </w:tc>
        <w:tc>
          <w:tcPr>
            <w:tcW w:w="732" w:type="dxa"/>
          </w:tcPr>
          <w:p w:rsidR="00000000" w:rsidRDefault="008739CC">
            <w:pPr>
              <w:pStyle w:val="ac"/>
              <w:spacing w:after="80" w:line="400" w:lineRule="exact"/>
              <w:rPr>
                <w:rFonts w:ascii="Time New Roman" w:eastAsia="SimHei" w:hAnsi="Time New Roman"/>
                <w:sz w:val="22"/>
              </w:rPr>
            </w:pPr>
            <w:r>
              <w:rPr>
                <w:rFonts w:ascii="Time New Roman" w:eastAsia="SimHei" w:hAnsi="Time New Roman"/>
                <w:b/>
                <w:sz w:val="22"/>
              </w:rPr>
              <w:t>2006</w:t>
            </w:r>
          </w:p>
        </w:tc>
      </w:tr>
      <w:tr w:rsidR="00000000">
        <w:tblPrEx>
          <w:tblCellMar>
            <w:top w:w="0" w:type="dxa"/>
            <w:left w:w="0" w:type="dxa"/>
            <w:bottom w:w="0" w:type="dxa"/>
            <w:right w:w="0" w:type="dxa"/>
          </w:tblCellMar>
        </w:tblPrEx>
        <w:tc>
          <w:tcPr>
            <w:tcW w:w="840" w:type="dxa"/>
          </w:tcPr>
          <w:p w:rsidR="00000000" w:rsidRDefault="008739CC">
            <w:pPr>
              <w:pStyle w:val="ac"/>
              <w:spacing w:line="400" w:lineRule="exact"/>
              <w:rPr>
                <w:sz w:val="22"/>
              </w:rPr>
            </w:pPr>
            <w:r>
              <w:rPr>
                <w:sz w:val="22"/>
              </w:rPr>
              <w:t>1</w:t>
            </w:r>
          </w:p>
        </w:tc>
        <w:tc>
          <w:tcPr>
            <w:tcW w:w="5825" w:type="dxa"/>
          </w:tcPr>
          <w:p w:rsidR="00000000" w:rsidRDefault="008739CC">
            <w:pPr>
              <w:pStyle w:val="ac"/>
              <w:spacing w:line="400" w:lineRule="exact"/>
              <w:rPr>
                <w:sz w:val="22"/>
              </w:rPr>
            </w:pPr>
            <w:r>
              <w:rPr>
                <w:rFonts w:hint="eastAsia"/>
                <w:sz w:val="22"/>
              </w:rPr>
              <w:t>学生与教师的比率－初中</w:t>
            </w:r>
          </w:p>
        </w:tc>
        <w:tc>
          <w:tcPr>
            <w:tcW w:w="898" w:type="dxa"/>
          </w:tcPr>
          <w:p w:rsidR="00000000" w:rsidRDefault="008739CC">
            <w:pPr>
              <w:pStyle w:val="ac"/>
              <w:spacing w:line="400" w:lineRule="exact"/>
              <w:rPr>
                <w:sz w:val="22"/>
              </w:rPr>
            </w:pPr>
            <w:r>
              <w:rPr>
                <w:sz w:val="22"/>
              </w:rPr>
              <w:t>40.2</w:t>
            </w:r>
          </w:p>
        </w:tc>
        <w:tc>
          <w:tcPr>
            <w:tcW w:w="732" w:type="dxa"/>
          </w:tcPr>
          <w:p w:rsidR="00000000" w:rsidRDefault="008739CC">
            <w:pPr>
              <w:pStyle w:val="ac"/>
              <w:spacing w:line="400" w:lineRule="exact"/>
              <w:rPr>
                <w:sz w:val="22"/>
              </w:rPr>
            </w:pPr>
            <w:r>
              <w:rPr>
                <w:sz w:val="22"/>
              </w:rPr>
              <w:t>48.7</w:t>
            </w:r>
          </w:p>
        </w:tc>
      </w:tr>
      <w:tr w:rsidR="00000000">
        <w:tblPrEx>
          <w:tblCellMar>
            <w:top w:w="0" w:type="dxa"/>
            <w:left w:w="0" w:type="dxa"/>
            <w:bottom w:w="0" w:type="dxa"/>
            <w:right w:w="0" w:type="dxa"/>
          </w:tblCellMar>
        </w:tblPrEx>
        <w:tc>
          <w:tcPr>
            <w:tcW w:w="840" w:type="dxa"/>
          </w:tcPr>
          <w:p w:rsidR="00000000" w:rsidRDefault="008739CC">
            <w:pPr>
              <w:pStyle w:val="ac"/>
              <w:spacing w:line="400" w:lineRule="exact"/>
              <w:rPr>
                <w:sz w:val="22"/>
              </w:rPr>
            </w:pPr>
            <w:r>
              <w:rPr>
                <w:sz w:val="22"/>
              </w:rPr>
              <w:t>2</w:t>
            </w:r>
          </w:p>
        </w:tc>
        <w:tc>
          <w:tcPr>
            <w:tcW w:w="5825" w:type="dxa"/>
          </w:tcPr>
          <w:p w:rsidR="00000000" w:rsidRDefault="008739CC">
            <w:pPr>
              <w:pStyle w:val="ac"/>
              <w:spacing w:line="400" w:lineRule="exact"/>
              <w:rPr>
                <w:sz w:val="22"/>
              </w:rPr>
            </w:pPr>
            <w:r>
              <w:rPr>
                <w:rFonts w:hint="eastAsia"/>
                <w:sz w:val="22"/>
              </w:rPr>
              <w:t>学生与教师的比率－中学</w:t>
            </w:r>
          </w:p>
        </w:tc>
        <w:tc>
          <w:tcPr>
            <w:tcW w:w="898" w:type="dxa"/>
          </w:tcPr>
          <w:p w:rsidR="00000000" w:rsidRDefault="008739CC">
            <w:pPr>
              <w:pStyle w:val="ac"/>
              <w:spacing w:line="400" w:lineRule="exact"/>
              <w:rPr>
                <w:sz w:val="22"/>
              </w:rPr>
            </w:pPr>
            <w:r>
              <w:rPr>
                <w:sz w:val="22"/>
              </w:rPr>
              <w:t>21.1</w:t>
            </w:r>
          </w:p>
        </w:tc>
        <w:tc>
          <w:tcPr>
            <w:tcW w:w="732" w:type="dxa"/>
          </w:tcPr>
          <w:p w:rsidR="00000000" w:rsidRDefault="008739CC">
            <w:pPr>
              <w:pStyle w:val="ac"/>
              <w:spacing w:line="400" w:lineRule="exact"/>
              <w:rPr>
                <w:sz w:val="22"/>
              </w:rPr>
            </w:pPr>
            <w:r>
              <w:rPr>
                <w:sz w:val="22"/>
              </w:rPr>
              <w:t>35.0</w:t>
            </w:r>
          </w:p>
        </w:tc>
      </w:tr>
      <w:tr w:rsidR="00000000">
        <w:tblPrEx>
          <w:tblCellMar>
            <w:top w:w="0" w:type="dxa"/>
            <w:left w:w="0" w:type="dxa"/>
            <w:bottom w:w="0" w:type="dxa"/>
            <w:right w:w="0" w:type="dxa"/>
          </w:tblCellMar>
        </w:tblPrEx>
        <w:tc>
          <w:tcPr>
            <w:tcW w:w="840" w:type="dxa"/>
          </w:tcPr>
          <w:p w:rsidR="00000000" w:rsidRDefault="008739CC">
            <w:pPr>
              <w:pStyle w:val="ac"/>
              <w:spacing w:line="400" w:lineRule="exact"/>
              <w:rPr>
                <w:sz w:val="22"/>
              </w:rPr>
            </w:pPr>
            <w:r>
              <w:rPr>
                <w:sz w:val="22"/>
              </w:rPr>
              <w:t>3</w:t>
            </w:r>
          </w:p>
        </w:tc>
        <w:tc>
          <w:tcPr>
            <w:tcW w:w="5825" w:type="dxa"/>
          </w:tcPr>
          <w:p w:rsidR="00000000" w:rsidRDefault="008739CC">
            <w:pPr>
              <w:pStyle w:val="ac"/>
              <w:spacing w:line="400" w:lineRule="exact"/>
              <w:rPr>
                <w:sz w:val="22"/>
              </w:rPr>
            </w:pPr>
            <w:r>
              <w:rPr>
                <w:rFonts w:hint="eastAsia"/>
                <w:sz w:val="22"/>
              </w:rPr>
              <w:t>复读率－</w:t>
            </w:r>
            <w:r>
              <w:rPr>
                <w:rFonts w:hint="eastAsia"/>
                <w:sz w:val="22"/>
              </w:rPr>
              <w:t>8</w:t>
            </w:r>
            <w:r>
              <w:rPr>
                <w:rFonts w:hint="eastAsia"/>
                <w:sz w:val="22"/>
              </w:rPr>
              <w:t>年级</w:t>
            </w:r>
          </w:p>
        </w:tc>
        <w:tc>
          <w:tcPr>
            <w:tcW w:w="898" w:type="dxa"/>
          </w:tcPr>
          <w:p w:rsidR="00000000" w:rsidRDefault="008739CC">
            <w:pPr>
              <w:pStyle w:val="ac"/>
              <w:spacing w:line="400" w:lineRule="exact"/>
              <w:rPr>
                <w:sz w:val="22"/>
              </w:rPr>
            </w:pPr>
            <w:r>
              <w:rPr>
                <w:sz w:val="22"/>
              </w:rPr>
              <w:t>15.2</w:t>
            </w:r>
          </w:p>
        </w:tc>
        <w:tc>
          <w:tcPr>
            <w:tcW w:w="732" w:type="dxa"/>
          </w:tcPr>
          <w:p w:rsidR="00000000" w:rsidRDefault="008739CC">
            <w:pPr>
              <w:pStyle w:val="ac"/>
              <w:spacing w:line="400" w:lineRule="exact"/>
              <w:rPr>
                <w:sz w:val="22"/>
              </w:rPr>
            </w:pPr>
            <w:r>
              <w:rPr>
                <w:sz w:val="22"/>
              </w:rPr>
              <w:t>-</w:t>
            </w:r>
          </w:p>
        </w:tc>
      </w:tr>
      <w:tr w:rsidR="00000000">
        <w:tblPrEx>
          <w:tblCellMar>
            <w:top w:w="0" w:type="dxa"/>
            <w:left w:w="0" w:type="dxa"/>
            <w:bottom w:w="0" w:type="dxa"/>
            <w:right w:w="0" w:type="dxa"/>
          </w:tblCellMar>
        </w:tblPrEx>
        <w:tc>
          <w:tcPr>
            <w:tcW w:w="840" w:type="dxa"/>
          </w:tcPr>
          <w:p w:rsidR="00000000" w:rsidRDefault="008739CC">
            <w:pPr>
              <w:pStyle w:val="ac"/>
              <w:spacing w:line="400" w:lineRule="exact"/>
              <w:rPr>
                <w:sz w:val="22"/>
              </w:rPr>
            </w:pPr>
            <w:r>
              <w:rPr>
                <w:sz w:val="22"/>
              </w:rPr>
              <w:t>4</w:t>
            </w:r>
          </w:p>
        </w:tc>
        <w:tc>
          <w:tcPr>
            <w:tcW w:w="5825" w:type="dxa"/>
          </w:tcPr>
          <w:p w:rsidR="00000000" w:rsidRDefault="008739CC">
            <w:pPr>
              <w:pStyle w:val="ac"/>
              <w:spacing w:line="400" w:lineRule="exact"/>
              <w:rPr>
                <w:sz w:val="22"/>
              </w:rPr>
            </w:pPr>
            <w:r>
              <w:rPr>
                <w:rFonts w:hint="eastAsia"/>
                <w:sz w:val="22"/>
              </w:rPr>
              <w:t>复读率－</w:t>
            </w:r>
            <w:r>
              <w:rPr>
                <w:rFonts w:hint="eastAsia"/>
                <w:sz w:val="22"/>
              </w:rPr>
              <w:t>10</w:t>
            </w:r>
            <w:r>
              <w:rPr>
                <w:rFonts w:hint="eastAsia"/>
                <w:sz w:val="22"/>
              </w:rPr>
              <w:t>年级</w:t>
            </w:r>
          </w:p>
        </w:tc>
        <w:tc>
          <w:tcPr>
            <w:tcW w:w="898" w:type="dxa"/>
          </w:tcPr>
          <w:p w:rsidR="00000000" w:rsidRDefault="008739CC">
            <w:pPr>
              <w:pStyle w:val="ac"/>
              <w:spacing w:line="400" w:lineRule="exact"/>
              <w:rPr>
                <w:sz w:val="22"/>
              </w:rPr>
            </w:pPr>
            <w:r>
              <w:rPr>
                <w:sz w:val="22"/>
              </w:rPr>
              <w:t>13.9</w:t>
            </w:r>
          </w:p>
        </w:tc>
        <w:tc>
          <w:tcPr>
            <w:tcW w:w="732" w:type="dxa"/>
          </w:tcPr>
          <w:p w:rsidR="00000000" w:rsidRDefault="008739CC">
            <w:pPr>
              <w:pStyle w:val="ac"/>
              <w:spacing w:line="400" w:lineRule="exact"/>
              <w:rPr>
                <w:sz w:val="22"/>
              </w:rPr>
            </w:pPr>
            <w:r>
              <w:rPr>
                <w:sz w:val="22"/>
              </w:rPr>
              <w:t>-</w:t>
            </w:r>
          </w:p>
        </w:tc>
      </w:tr>
    </w:tbl>
    <w:p w:rsidR="00000000" w:rsidRDefault="008739CC">
      <w:pPr>
        <w:rPr>
          <w:b/>
        </w:rPr>
      </w:pP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b/>
          <w:u w:val="none"/>
        </w:rPr>
        <w:t>30</w:t>
      </w:r>
      <w:r>
        <w:rPr>
          <w:rFonts w:ascii="Time New Roman" w:eastAsia="SimHei" w:hAnsi="Time New Roman"/>
          <w:u w:val="none"/>
        </w:rPr>
        <w:t xml:space="preserve">.  </w:t>
      </w:r>
      <w:r>
        <w:rPr>
          <w:rFonts w:ascii="Time New Roman" w:eastAsia="SimHei" w:hAnsi="Time New Roman" w:hint="eastAsia"/>
          <w:u w:val="none"/>
        </w:rPr>
        <w:t>入学人数</w:t>
      </w:r>
    </w:p>
    <w:p w:rsidR="00000000" w:rsidRDefault="008739CC">
      <w:pPr>
        <w:spacing w:after="240"/>
        <w:ind w:firstLine="510"/>
      </w:pPr>
      <w:r>
        <w:t xml:space="preserve">108.  </w:t>
      </w:r>
      <w:r>
        <w:rPr>
          <w:rFonts w:hint="eastAsia"/>
        </w:rPr>
        <w:t>国家采取了一些倡议，以增加达利特人、女童和赤贫学童的入学人数。详细情况载于以下各段。</w:t>
      </w:r>
    </w:p>
    <w:p w:rsidR="00000000" w:rsidRDefault="008739CC">
      <w:pPr>
        <w:pStyle w:val="Heading4"/>
      </w:pPr>
      <w:r>
        <w:rPr>
          <w:rFonts w:hint="eastAsia"/>
        </w:rPr>
        <w:t>为贫困生和被边缘化人群的学生提供的奖学金</w:t>
      </w:r>
    </w:p>
    <w:p w:rsidR="00000000" w:rsidRDefault="008739CC">
      <w:pPr>
        <w:spacing w:after="240"/>
        <w:ind w:firstLine="510"/>
      </w:pPr>
      <w:r>
        <w:t xml:space="preserve">109.  </w:t>
      </w:r>
      <w:r>
        <w:rPr>
          <w:rFonts w:hint="eastAsia"/>
        </w:rPr>
        <w:t>所有达利特人小学的学童都获得奖学金</w:t>
      </w:r>
      <w:r>
        <w:t>(</w:t>
      </w:r>
      <w:r>
        <w:rPr>
          <w:rFonts w:hint="eastAsia"/>
        </w:rPr>
        <w:t>例如</w:t>
      </w:r>
      <w:r>
        <w:t>58</w:t>
      </w:r>
      <w:r>
        <w:rPr>
          <w:rFonts w:hint="eastAsia"/>
        </w:rPr>
        <w:t>万</w:t>
      </w:r>
      <w:r>
        <w:t>3</w:t>
      </w:r>
      <w:r>
        <w:rPr>
          <w:rFonts w:hint="eastAsia"/>
        </w:rPr>
        <w:t>千名达利特人学童每年获得</w:t>
      </w:r>
      <w:r>
        <w:t>350</w:t>
      </w:r>
      <w:r>
        <w:rPr>
          <w:rFonts w:hint="eastAsia"/>
        </w:rPr>
        <w:t>卢比</w:t>
      </w:r>
      <w:r>
        <w:t>)</w:t>
      </w:r>
      <w:r>
        <w:rPr>
          <w:rFonts w:hint="eastAsia"/>
        </w:rPr>
        <w:t>。同样，进入小学的所有女童</w:t>
      </w:r>
      <w:r>
        <w:t>(70</w:t>
      </w:r>
      <w:r>
        <w:rPr>
          <w:rFonts w:hint="eastAsia"/>
        </w:rPr>
        <w:t>万名</w:t>
      </w:r>
      <w:r>
        <w:t>)</w:t>
      </w:r>
      <w:r>
        <w:rPr>
          <w:rFonts w:hint="eastAsia"/>
        </w:rPr>
        <w:t>中，有</w:t>
      </w:r>
      <w:r>
        <w:t>50</w:t>
      </w:r>
      <w:r>
        <w:rPr>
          <w:rFonts w:hint="eastAsia"/>
        </w:rPr>
        <w:t>%</w:t>
      </w:r>
      <w:r>
        <w:rPr>
          <w:rFonts w:hint="eastAsia"/>
        </w:rPr>
        <w:t>获得同样的津贴。再有，</w:t>
      </w:r>
      <w:r>
        <w:t>Karnali</w:t>
      </w:r>
      <w:r>
        <w:rPr>
          <w:rFonts w:hint="eastAsia"/>
        </w:rPr>
        <w:t>区</w:t>
      </w:r>
      <w:r>
        <w:t>(</w:t>
      </w:r>
      <w:r>
        <w:rPr>
          <w:rFonts w:hint="eastAsia"/>
        </w:rPr>
        <w:t>地理偏远和贫困的地区</w:t>
      </w:r>
      <w:r>
        <w:t>)</w:t>
      </w:r>
      <w:r>
        <w:rPr>
          <w:rFonts w:hint="eastAsia"/>
        </w:rPr>
        <w:t>所有在小学就读的女童在</w:t>
      </w:r>
      <w:r>
        <w:rPr>
          <w:rFonts w:hint="eastAsia"/>
        </w:rPr>
        <w:t>10</w:t>
      </w:r>
      <w:r>
        <w:rPr>
          <w:rFonts w:hint="eastAsia"/>
        </w:rPr>
        <w:t>个月内每月获得</w:t>
      </w:r>
      <w:r>
        <w:t>100</w:t>
      </w:r>
      <w:r>
        <w:rPr>
          <w:rFonts w:hint="eastAsia"/>
        </w:rPr>
        <w:t>卢比，而初中和中学的女童则在同一期间获得</w:t>
      </w:r>
      <w:r>
        <w:t>150</w:t>
      </w:r>
      <w:r>
        <w:rPr>
          <w:rFonts w:hint="eastAsia"/>
        </w:rPr>
        <w:t>卢比。</w:t>
      </w:r>
    </w:p>
    <w:p w:rsidR="00000000" w:rsidRDefault="008739CC">
      <w:pPr>
        <w:pStyle w:val="Heading4"/>
        <w:rPr>
          <w:rFonts w:hint="eastAsia"/>
        </w:rPr>
      </w:pPr>
      <w:r>
        <w:rPr>
          <w:rFonts w:hint="eastAsia"/>
        </w:rPr>
        <w:t>改善学校计划赠款</w:t>
      </w:r>
    </w:p>
    <w:p w:rsidR="00000000" w:rsidRDefault="008739CC">
      <w:pPr>
        <w:spacing w:after="240"/>
        <w:ind w:firstLine="510"/>
        <w:rPr>
          <w:rFonts w:hint="eastAsia"/>
        </w:rPr>
      </w:pPr>
      <w:r>
        <w:t xml:space="preserve">110.  </w:t>
      </w:r>
      <w:r>
        <w:rPr>
          <w:rFonts w:hint="eastAsia"/>
        </w:rPr>
        <w:t>根据小学学童人数发放的</w:t>
      </w:r>
      <w:r>
        <w:rPr>
          <w:rFonts w:hint="eastAsia"/>
        </w:rPr>
        <w:t>SIP</w:t>
      </w:r>
      <w:r>
        <w:rPr>
          <w:rFonts w:hint="eastAsia"/>
        </w:rPr>
        <w:t>赠款，是为了确保教科书和学习材料</w:t>
      </w:r>
      <w:r>
        <w:t>(</w:t>
      </w:r>
      <w:r>
        <w:rPr>
          <w:rFonts w:hint="eastAsia"/>
        </w:rPr>
        <w:t>例如来自山区、丘陵和</w:t>
      </w:r>
      <w:r>
        <w:rPr>
          <w:rFonts w:hint="eastAsia"/>
        </w:rPr>
        <w:t>Tarai</w:t>
      </w:r>
      <w:r>
        <w:rPr>
          <w:rFonts w:hint="eastAsia"/>
        </w:rPr>
        <w:t>地区的</w:t>
      </w:r>
      <w:r>
        <w:rPr>
          <w:rFonts w:hint="eastAsia"/>
        </w:rPr>
        <w:t>370</w:t>
      </w:r>
      <w:r>
        <w:rPr>
          <w:rFonts w:hint="eastAsia"/>
        </w:rPr>
        <w:t>万学童每人每年分别获得</w:t>
      </w:r>
      <w:r>
        <w:t>325</w:t>
      </w:r>
      <w:r>
        <w:rPr>
          <w:rFonts w:hint="eastAsia"/>
        </w:rPr>
        <w:t>、</w:t>
      </w:r>
      <w:r>
        <w:t>300</w:t>
      </w:r>
      <w:r>
        <w:rPr>
          <w:rFonts w:hint="eastAsia"/>
        </w:rPr>
        <w:t>和</w:t>
      </w:r>
      <w:r>
        <w:t>275</w:t>
      </w:r>
      <w:r>
        <w:rPr>
          <w:rFonts w:hint="eastAsia"/>
        </w:rPr>
        <w:t>卢比</w:t>
      </w:r>
      <w:r>
        <w:t>)</w:t>
      </w:r>
      <w:r>
        <w:rPr>
          <w:rFonts w:hint="eastAsia"/>
        </w:rPr>
        <w:t>。</w:t>
      </w:r>
    </w:p>
    <w:p w:rsidR="00000000" w:rsidRDefault="008739CC">
      <w:pPr>
        <w:pStyle w:val="Heading4"/>
      </w:pPr>
      <w:r>
        <w:rPr>
          <w:rFonts w:hint="eastAsia"/>
        </w:rPr>
        <w:t>增加入学的机会和改善学校环境的质量</w:t>
      </w:r>
    </w:p>
    <w:p w:rsidR="00000000" w:rsidRDefault="008739CC">
      <w:pPr>
        <w:spacing w:after="240"/>
        <w:ind w:firstLine="510"/>
        <w:rPr>
          <w:rFonts w:hint="eastAsia"/>
        </w:rPr>
      </w:pPr>
      <w:r>
        <w:t xml:space="preserve">111.  </w:t>
      </w:r>
      <w:r>
        <w:rPr>
          <w:rFonts w:hint="eastAsia"/>
        </w:rPr>
        <w:t>为了增加就学机会和改善学校环境的质量，例如在本财政年度内为兴建新教室、复原和维修教室、改善校园、和创设</w:t>
      </w:r>
      <w:r>
        <w:rPr>
          <w:rFonts w:hint="eastAsia"/>
        </w:rPr>
        <w:t>教师职位编列了经费</w:t>
      </w:r>
      <w:r>
        <w:t>(</w:t>
      </w:r>
      <w:r>
        <w:rPr>
          <w:rFonts w:hint="eastAsia"/>
        </w:rPr>
        <w:t>例如兴建</w:t>
      </w:r>
      <w:r>
        <w:t>3,918</w:t>
      </w:r>
      <w:r>
        <w:rPr>
          <w:rFonts w:hint="eastAsia"/>
        </w:rPr>
        <w:t>间新教室、复原和维修</w:t>
      </w:r>
      <w:r>
        <w:t>1,150</w:t>
      </w:r>
      <w:r>
        <w:rPr>
          <w:rFonts w:hint="eastAsia"/>
        </w:rPr>
        <w:t>间教室、改善</w:t>
      </w:r>
      <w:r>
        <w:t>400</w:t>
      </w:r>
      <w:r>
        <w:rPr>
          <w:rFonts w:hint="eastAsia"/>
        </w:rPr>
        <w:t>所学校的外在环境并且为</w:t>
      </w:r>
      <w:r>
        <w:t>4,800</w:t>
      </w:r>
      <w:r>
        <w:rPr>
          <w:rFonts w:hint="eastAsia"/>
        </w:rPr>
        <w:t>名教师提供赠款</w:t>
      </w:r>
      <w:r>
        <w:t>)</w:t>
      </w:r>
      <w:r>
        <w:rPr>
          <w:rFonts w:hint="eastAsia"/>
        </w:rPr>
        <w:t>。</w:t>
      </w:r>
    </w:p>
    <w:p w:rsidR="00000000" w:rsidRDefault="008739CC">
      <w:pPr>
        <w:pStyle w:val="Heading4"/>
      </w:pPr>
      <w:r>
        <w:rPr>
          <w:rFonts w:hint="eastAsia"/>
        </w:rPr>
        <w:t>改善幼童成长计划</w:t>
      </w:r>
    </w:p>
    <w:p w:rsidR="00000000" w:rsidRDefault="008739CC">
      <w:pPr>
        <w:spacing w:after="240"/>
        <w:ind w:firstLine="510"/>
        <w:rPr>
          <w:rFonts w:hint="eastAsia"/>
        </w:rPr>
      </w:pPr>
      <w:r>
        <w:t xml:space="preserve">112.  </w:t>
      </w:r>
      <w:r>
        <w:rPr>
          <w:rFonts w:hint="eastAsia"/>
        </w:rPr>
        <w:t>国家也为了儿童的整体培养，开办了幼儿成长中心</w:t>
      </w:r>
      <w:r>
        <w:t>(</w:t>
      </w:r>
      <w:r>
        <w:rPr>
          <w:rFonts w:hint="eastAsia"/>
        </w:rPr>
        <w:t>例如在全国开办了</w:t>
      </w:r>
      <w:r>
        <w:t>16,523</w:t>
      </w:r>
      <w:r>
        <w:rPr>
          <w:rFonts w:hint="eastAsia"/>
        </w:rPr>
        <w:t>个幼儿成长中心，以一些贫困地区作为重点对象</w:t>
      </w:r>
      <w:r>
        <w:t>)</w:t>
      </w:r>
      <w:r>
        <w:rPr>
          <w:rFonts w:hint="eastAsia"/>
        </w:rPr>
        <w:t>。</w:t>
      </w:r>
    </w:p>
    <w:p w:rsidR="00000000" w:rsidRDefault="008739CC">
      <w:pPr>
        <w:pStyle w:val="Heading4"/>
      </w:pPr>
      <w:r>
        <w:rPr>
          <w:rFonts w:hint="eastAsia"/>
        </w:rPr>
        <w:t>送粮劝学计划</w:t>
      </w:r>
    </w:p>
    <w:p w:rsidR="00000000" w:rsidRDefault="008739CC">
      <w:pPr>
        <w:spacing w:after="240"/>
        <w:ind w:firstLine="510"/>
        <w:rPr>
          <w:rFonts w:hint="eastAsia"/>
        </w:rPr>
      </w:pPr>
      <w:r>
        <w:t xml:space="preserve">113.  </w:t>
      </w:r>
      <w:r>
        <w:rPr>
          <w:rFonts w:hint="eastAsia"/>
        </w:rPr>
        <w:t>送粮劝学计划包含人文发展指数最低的</w:t>
      </w:r>
      <w:r>
        <w:rPr>
          <w:rFonts w:hint="eastAsia"/>
        </w:rPr>
        <w:t>21</w:t>
      </w:r>
      <w:r>
        <w:rPr>
          <w:rFonts w:hint="eastAsia"/>
        </w:rPr>
        <w:t>个地区，发给每日的膳食、烹饪用油、驱虫药片和向产妇提供营养食品，以便增加到小学入学和持续学习的学童人数</w:t>
      </w:r>
      <w:r>
        <w:t xml:space="preserve"> (</w:t>
      </w:r>
      <w:r>
        <w:rPr>
          <w:rFonts w:hint="eastAsia"/>
        </w:rPr>
        <w:t>例如向</w:t>
      </w:r>
      <w:r>
        <w:t>450,000</w:t>
      </w:r>
      <w:r>
        <w:rPr>
          <w:rFonts w:hint="eastAsia"/>
        </w:rPr>
        <w:t>名学童供应午餐、向</w:t>
      </w:r>
      <w:r>
        <w:t>144,300</w:t>
      </w:r>
      <w:r>
        <w:rPr>
          <w:rFonts w:hint="eastAsia"/>
        </w:rPr>
        <w:t>名女童发放奖品、并且向</w:t>
      </w:r>
      <w:r>
        <w:t>450,000</w:t>
      </w:r>
      <w:r>
        <w:rPr>
          <w:rFonts w:hint="eastAsia"/>
        </w:rPr>
        <w:t>名儿童发放驱虫药片</w:t>
      </w:r>
      <w:r>
        <w:t>)</w:t>
      </w:r>
      <w:r>
        <w:rPr>
          <w:rFonts w:hint="eastAsia"/>
        </w:rPr>
        <w:t>。</w:t>
      </w:r>
    </w:p>
    <w:p w:rsidR="00000000" w:rsidRDefault="008739CC">
      <w:pPr>
        <w:pStyle w:val="Heading4"/>
      </w:pPr>
      <w:r>
        <w:rPr>
          <w:rFonts w:hint="eastAsia"/>
        </w:rPr>
        <w:t>减少冲突事件的影响</w:t>
      </w:r>
    </w:p>
    <w:p w:rsidR="00000000" w:rsidRDefault="008739CC">
      <w:pPr>
        <w:spacing w:after="240"/>
        <w:ind w:firstLine="510"/>
      </w:pPr>
      <w:r>
        <w:t xml:space="preserve">114.  </w:t>
      </w:r>
      <w:r>
        <w:rPr>
          <w:rFonts w:hint="eastAsia"/>
        </w:rPr>
        <w:t>为了支助受冲突影响的学童，发放了奖学金、学校复原费和教师支持费。详细情况还有待计算。</w:t>
      </w:r>
    </w:p>
    <w:p w:rsidR="00000000" w:rsidRDefault="008739CC">
      <w:pPr>
        <w:pStyle w:val="Heading4"/>
      </w:pPr>
      <w:r>
        <w:rPr>
          <w:rFonts w:hint="eastAsia"/>
        </w:rPr>
        <w:t>对寻求庇护之儿童的支助</w:t>
      </w:r>
    </w:p>
    <w:p w:rsidR="00000000" w:rsidRDefault="008739CC">
      <w:pPr>
        <w:ind w:firstLine="510"/>
      </w:pPr>
      <w:r>
        <w:t xml:space="preserve">115.  </w:t>
      </w:r>
      <w:r>
        <w:rPr>
          <w:rFonts w:hint="eastAsia"/>
        </w:rPr>
        <w:t>但是，对于这些儿童，没有任何计划，也没有关于这些儿童的任何数据。</w:t>
      </w:r>
    </w:p>
    <w:p w:rsidR="00000000" w:rsidRDefault="008739CC">
      <w:pPr>
        <w:ind w:firstLine="510"/>
      </w:pPr>
    </w:p>
    <w:p w:rsidR="00000000" w:rsidRDefault="008739CC">
      <w:pPr>
        <w:ind w:firstLine="510"/>
        <w:sectPr w:rsidR="00000000">
          <w:headerReference w:type="even" r:id="rId7"/>
          <w:headerReference w:type="default" r:id="rId8"/>
          <w:footerReference w:type="default" r:id="rId9"/>
          <w:headerReference w:type="first" r:id="rId10"/>
          <w:footerReference w:type="first" r:id="rId11"/>
          <w:pgSz w:w="11906" w:h="16838" w:code="9"/>
          <w:pgMar w:top="1985" w:right="851" w:bottom="1985" w:left="1701" w:header="794" w:footer="1588" w:gutter="0"/>
          <w:cols w:space="425"/>
          <w:titlePg/>
          <w:docGrid w:type="lines" w:linePitch="312"/>
        </w:sectPr>
      </w:pPr>
    </w:p>
    <w:p w:rsidR="00000000" w:rsidRDefault="008739CC">
      <w:pPr>
        <w:pStyle w:val="Heading3"/>
        <w:rPr>
          <w:sz w:val="22"/>
        </w:rPr>
      </w:pPr>
      <w:r>
        <w:rPr>
          <w:rFonts w:hint="eastAsia"/>
          <w:sz w:val="22"/>
        </w:rPr>
        <w:t>表</w:t>
      </w:r>
      <w:r>
        <w:rPr>
          <w:sz w:val="22"/>
        </w:rPr>
        <w:t xml:space="preserve">  4</w:t>
      </w:r>
      <w:r>
        <w:rPr>
          <w:sz w:val="22"/>
        </w:rPr>
        <w:br/>
      </w:r>
      <w:r>
        <w:rPr>
          <w:rFonts w:hint="eastAsia"/>
          <w:sz w:val="22"/>
        </w:rPr>
        <w:t>小学程度的达利特人儿童：</w:t>
      </w:r>
      <w:r>
        <w:rPr>
          <w:rFonts w:hint="eastAsia"/>
          <w:sz w:val="22"/>
        </w:rPr>
        <w:t>2006</w:t>
      </w:r>
      <w:r>
        <w:rPr>
          <w:rFonts w:hint="eastAsia"/>
          <w:sz w:val="22"/>
        </w:rPr>
        <w:t>年按地区开列的注册人数</w:t>
      </w:r>
    </w:p>
    <w:tbl>
      <w:tblPr>
        <w:tblW w:w="13530" w:type="dxa"/>
        <w:tblLayout w:type="fixed"/>
        <w:tblCellMar>
          <w:left w:w="0" w:type="dxa"/>
          <w:right w:w="0" w:type="dxa"/>
        </w:tblCellMar>
        <w:tblLook w:val="0000" w:firstRow="0" w:lastRow="0" w:firstColumn="0" w:lastColumn="0" w:noHBand="0" w:noVBand="0"/>
      </w:tblPr>
      <w:tblGrid>
        <w:gridCol w:w="743"/>
        <w:gridCol w:w="744"/>
        <w:gridCol w:w="744"/>
        <w:gridCol w:w="799"/>
        <w:gridCol w:w="700"/>
        <w:gridCol w:w="700"/>
        <w:gridCol w:w="700"/>
        <w:gridCol w:w="700"/>
        <w:gridCol w:w="700"/>
        <w:gridCol w:w="700"/>
        <w:gridCol w:w="700"/>
        <w:gridCol w:w="700"/>
        <w:gridCol w:w="700"/>
        <w:gridCol w:w="700"/>
        <w:gridCol w:w="700"/>
        <w:gridCol w:w="700"/>
        <w:gridCol w:w="700"/>
        <w:gridCol w:w="700"/>
        <w:gridCol w:w="700"/>
      </w:tblGrid>
      <w:tr w:rsidR="00000000">
        <w:tblPrEx>
          <w:tblCellMar>
            <w:top w:w="0" w:type="dxa"/>
            <w:left w:w="0" w:type="dxa"/>
            <w:bottom w:w="0" w:type="dxa"/>
            <w:right w:w="0" w:type="dxa"/>
          </w:tblCellMar>
        </w:tblPrEx>
        <w:trPr>
          <w:cantSplit/>
        </w:trPr>
        <w:tc>
          <w:tcPr>
            <w:tcW w:w="743"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Regions</w:t>
            </w:r>
          </w:p>
        </w:tc>
        <w:tc>
          <w:tcPr>
            <w:tcW w:w="2287"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w:t>
            </w:r>
            <w:r>
              <w:rPr>
                <w:rFonts w:ascii="Time New Roman" w:eastAsia="SimHei" w:hAnsi="Time New Roman"/>
                <w:sz w:val="16"/>
              </w:rPr>
              <w:t xml:space="preserve"> </w:t>
            </w:r>
            <w:r>
              <w:rPr>
                <w:rFonts w:ascii="Time New Roman" w:eastAsia="SimHei" w:hAnsi="Time New Roman"/>
                <w:b/>
                <w:sz w:val="16"/>
              </w:rPr>
              <w:t>1</w:t>
            </w:r>
          </w:p>
        </w:tc>
        <w:tc>
          <w:tcPr>
            <w:tcW w:w="210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2</w:t>
            </w:r>
          </w:p>
        </w:tc>
        <w:tc>
          <w:tcPr>
            <w:tcW w:w="210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3</w:t>
            </w:r>
          </w:p>
        </w:tc>
        <w:tc>
          <w:tcPr>
            <w:tcW w:w="210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4</w:t>
            </w:r>
          </w:p>
        </w:tc>
        <w:tc>
          <w:tcPr>
            <w:tcW w:w="210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5</w:t>
            </w:r>
          </w:p>
        </w:tc>
        <w:tc>
          <w:tcPr>
            <w:tcW w:w="210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1-5</w:t>
            </w:r>
          </w:p>
        </w:tc>
      </w:tr>
      <w:tr w:rsidR="00000000">
        <w:tblPrEx>
          <w:tblCellMar>
            <w:top w:w="0" w:type="dxa"/>
            <w:left w:w="0" w:type="dxa"/>
            <w:bottom w:w="0" w:type="dxa"/>
            <w:right w:w="0" w:type="dxa"/>
          </w:tblCellMar>
        </w:tblPrEx>
        <w:trPr>
          <w:cantSplit/>
        </w:trPr>
        <w:tc>
          <w:tcPr>
            <w:tcW w:w="743"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8739CC">
            <w:pPr>
              <w:pStyle w:val="ac"/>
              <w:rPr>
                <w:rFonts w:ascii="Time New Roman" w:eastAsia="SimHei" w:hAnsi="Time New Roman"/>
                <w:sz w:val="16"/>
              </w:rPr>
            </w:pP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w:t>
            </w:r>
            <w:r>
              <w:rPr>
                <w:rFonts w:ascii="Time New Roman" w:eastAsia="SimHei" w:hAnsi="Time New Roman"/>
                <w:b/>
                <w:sz w:val="16"/>
              </w:rPr>
              <w:t>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r>
      <w:tr w:rsidR="00000000">
        <w:tblPrEx>
          <w:tblCellMar>
            <w:top w:w="0" w:type="dxa"/>
            <w:left w:w="0" w:type="dxa"/>
            <w:bottom w:w="0" w:type="dxa"/>
            <w:right w:w="0" w:type="dxa"/>
          </w:tblCellMar>
        </w:tblPrEx>
        <w:tc>
          <w:tcPr>
            <w:tcW w:w="7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Mountain</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12,969</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13,607</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26,576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4,855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5,738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10,593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2,895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4,120</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7,015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1,996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2,603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4,599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1,588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2,403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3,991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24,303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28,471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52,774</w:t>
            </w:r>
          </w:p>
        </w:tc>
      </w:tr>
      <w:tr w:rsidR="00000000">
        <w:tblPrEx>
          <w:tblCellMar>
            <w:top w:w="0" w:type="dxa"/>
            <w:left w:w="0" w:type="dxa"/>
            <w:bottom w:w="0" w:type="dxa"/>
            <w:right w:w="0" w:type="dxa"/>
          </w:tblCellMar>
        </w:tblPrEx>
        <w:tc>
          <w:tcPr>
            <w:tcW w:w="7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Hill</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66,668</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67,951</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134,619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36,147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35,555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71,702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w:t>
            </w:r>
            <w:r>
              <w:rPr>
                <w:sz w:val="16"/>
              </w:rPr>
              <w:t>5,967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27,004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52,971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21,042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21,426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42,468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17,266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18,317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35,583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167,090</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170,253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337,343</w:t>
            </w:r>
          </w:p>
        </w:tc>
      </w:tr>
      <w:tr w:rsidR="00000000">
        <w:tblPrEx>
          <w:tblCellMar>
            <w:top w:w="0" w:type="dxa"/>
            <w:left w:w="0" w:type="dxa"/>
            <w:bottom w:w="0" w:type="dxa"/>
            <w:right w:w="0" w:type="dxa"/>
          </w:tblCellMar>
        </w:tblPrEx>
        <w:tc>
          <w:tcPr>
            <w:tcW w:w="7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Valley</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1,722</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1,593</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3,315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1,279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1,188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2,467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1,128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1,121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2,249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1,102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1,121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2,223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1,088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994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2,082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6,319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6,017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12,336</w:t>
            </w:r>
          </w:p>
        </w:tc>
      </w:tr>
      <w:tr w:rsidR="00000000">
        <w:tblPrEx>
          <w:tblCellMar>
            <w:top w:w="0" w:type="dxa"/>
            <w:left w:w="0" w:type="dxa"/>
            <w:bottom w:w="0" w:type="dxa"/>
            <w:right w:w="0" w:type="dxa"/>
          </w:tblCellMar>
        </w:tblPrEx>
        <w:tc>
          <w:tcPr>
            <w:tcW w:w="7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Terai</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66,094</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69,842</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135,936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47,104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49,242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96,346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25,75</w:t>
            </w:r>
            <w:r>
              <w:rPr>
                <w:sz w:val="16"/>
              </w:rPr>
              <w:t>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31,421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57,174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18,124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21,044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39,168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14,178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18,953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33,131</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171,253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190,502</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361,755</w:t>
            </w:r>
          </w:p>
        </w:tc>
      </w:tr>
      <w:tr w:rsidR="00000000">
        <w:tblPrEx>
          <w:tblCellMar>
            <w:top w:w="0" w:type="dxa"/>
            <w:left w:w="0" w:type="dxa"/>
            <w:bottom w:w="0" w:type="dxa"/>
            <w:right w:w="0" w:type="dxa"/>
          </w:tblCellMar>
        </w:tblPrEx>
        <w:trPr>
          <w:trHeight w:val="280"/>
        </w:trPr>
        <w:tc>
          <w:tcPr>
            <w:tcW w:w="7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Total</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147,453</w:t>
            </w:r>
          </w:p>
        </w:tc>
        <w:tc>
          <w:tcPr>
            <w:tcW w:w="74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152,993</w:t>
            </w:r>
          </w:p>
        </w:tc>
        <w:tc>
          <w:tcPr>
            <w:tcW w:w="79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300,446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89,385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91,723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181,108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55,743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63,666</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119,409</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42,264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46,194</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88,458</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34,120</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40,667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74,787</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368,965</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395,243</w:t>
            </w:r>
          </w:p>
        </w:tc>
        <w:tc>
          <w:tcPr>
            <w:tcW w:w="70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764,208</w:t>
            </w:r>
          </w:p>
        </w:tc>
      </w:tr>
    </w:tbl>
    <w:p w:rsidR="00000000" w:rsidRDefault="008739CC">
      <w:pPr>
        <w:spacing w:after="160"/>
      </w:pPr>
    </w:p>
    <w:p w:rsidR="00000000" w:rsidRDefault="008739CC">
      <w:pPr>
        <w:pStyle w:val="Heading3"/>
        <w:rPr>
          <w:sz w:val="22"/>
        </w:rPr>
      </w:pPr>
      <w:r>
        <w:rPr>
          <w:rFonts w:hint="eastAsia"/>
          <w:sz w:val="22"/>
        </w:rPr>
        <w:t>表</w:t>
      </w:r>
      <w:r>
        <w:rPr>
          <w:sz w:val="22"/>
        </w:rPr>
        <w:t xml:space="preserve">  5</w:t>
      </w:r>
      <w:r>
        <w:rPr>
          <w:sz w:val="22"/>
        </w:rPr>
        <w:br/>
      </w:r>
      <w:r>
        <w:rPr>
          <w:rFonts w:hint="eastAsia"/>
          <w:sz w:val="22"/>
        </w:rPr>
        <w:t>初中和中学程度的达利特人儿童：</w:t>
      </w:r>
      <w:r>
        <w:rPr>
          <w:rFonts w:hint="eastAsia"/>
          <w:sz w:val="22"/>
        </w:rPr>
        <w:t>2006</w:t>
      </w:r>
      <w:r>
        <w:rPr>
          <w:rFonts w:hint="eastAsia"/>
          <w:sz w:val="22"/>
        </w:rPr>
        <w:t>年按地区开列</w:t>
      </w:r>
    </w:p>
    <w:tbl>
      <w:tblPr>
        <w:tblW w:w="13028" w:type="dxa"/>
        <w:tblInd w:w="-337" w:type="dxa"/>
        <w:tblLayout w:type="fixed"/>
        <w:tblCellMar>
          <w:left w:w="0" w:type="dxa"/>
          <w:right w:w="0" w:type="dxa"/>
        </w:tblCellMar>
        <w:tblLook w:val="0000" w:firstRow="0" w:lastRow="0" w:firstColumn="0" w:lastColumn="0" w:noHBand="0" w:noVBand="0"/>
      </w:tblPr>
      <w:tblGrid>
        <w:gridCol w:w="720"/>
        <w:gridCol w:w="537"/>
        <w:gridCol w:w="537"/>
        <w:gridCol w:w="671"/>
        <w:gridCol w:w="537"/>
        <w:gridCol w:w="537"/>
        <w:gridCol w:w="671"/>
        <w:gridCol w:w="740"/>
        <w:gridCol w:w="608"/>
        <w:gridCol w:w="671"/>
        <w:gridCol w:w="536"/>
        <w:gridCol w:w="536"/>
        <w:gridCol w:w="18"/>
        <w:gridCol w:w="714"/>
        <w:gridCol w:w="543"/>
        <w:gridCol w:w="23"/>
        <w:gridCol w:w="552"/>
        <w:gridCol w:w="38"/>
        <w:gridCol w:w="570"/>
        <w:gridCol w:w="509"/>
        <w:gridCol w:w="536"/>
        <w:gridCol w:w="571"/>
        <w:gridCol w:w="536"/>
        <w:gridCol w:w="536"/>
        <w:gridCol w:w="581"/>
      </w:tblGrid>
      <w:tr w:rsidR="00000000">
        <w:tblPrEx>
          <w:tblCellMar>
            <w:top w:w="0" w:type="dxa"/>
            <w:left w:w="0" w:type="dxa"/>
            <w:bottom w:w="0" w:type="dxa"/>
            <w:right w:w="0" w:type="dxa"/>
          </w:tblCellMar>
        </w:tblPrEx>
        <w:trPr>
          <w:cantSplit/>
        </w:trPr>
        <w:tc>
          <w:tcPr>
            <w:tcW w:w="720"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Regions</w:t>
            </w:r>
          </w:p>
        </w:tc>
        <w:tc>
          <w:tcPr>
            <w:tcW w:w="1745"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6</w:t>
            </w:r>
          </w:p>
        </w:tc>
        <w:tc>
          <w:tcPr>
            <w:tcW w:w="1745"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7</w:t>
            </w:r>
          </w:p>
        </w:tc>
        <w:tc>
          <w:tcPr>
            <w:tcW w:w="2019"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8</w:t>
            </w:r>
          </w:p>
        </w:tc>
        <w:tc>
          <w:tcPr>
            <w:tcW w:w="1804" w:type="dxa"/>
            <w:gridSpan w:val="4"/>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6</w:t>
            </w:r>
            <w:r>
              <w:rPr>
                <w:rFonts w:ascii="Time New Roman" w:eastAsia="SimHei" w:hAnsi="Time New Roman"/>
                <w:sz w:val="16"/>
                <w:lang w:val="fr-FR"/>
              </w:rPr>
              <w:t>-</w:t>
            </w:r>
            <w:r>
              <w:rPr>
                <w:rFonts w:ascii="Time New Roman" w:eastAsia="SimHei" w:hAnsi="Time New Roman"/>
                <w:b/>
                <w:sz w:val="16"/>
                <w:lang w:val="fr-FR"/>
              </w:rPr>
              <w:t>8</w:t>
            </w:r>
          </w:p>
        </w:tc>
        <w:tc>
          <w:tcPr>
            <w:tcW w:w="1726" w:type="dxa"/>
            <w:gridSpan w:val="5"/>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9</w:t>
            </w:r>
          </w:p>
        </w:tc>
        <w:tc>
          <w:tcPr>
            <w:tcW w:w="1616"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10</w:t>
            </w:r>
          </w:p>
        </w:tc>
        <w:tc>
          <w:tcPr>
            <w:tcW w:w="1653"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9</w:t>
            </w:r>
            <w:r>
              <w:rPr>
                <w:rFonts w:ascii="Time New Roman" w:eastAsia="SimHei" w:hAnsi="Time New Roman"/>
                <w:sz w:val="16"/>
                <w:lang w:val="fr-FR"/>
              </w:rPr>
              <w:t>-</w:t>
            </w:r>
            <w:r>
              <w:rPr>
                <w:rFonts w:ascii="Time New Roman" w:eastAsia="SimHei" w:hAnsi="Time New Roman"/>
                <w:b/>
                <w:sz w:val="16"/>
                <w:lang w:val="fr-FR"/>
              </w:rPr>
              <w:t>10</w:t>
            </w:r>
          </w:p>
        </w:tc>
      </w:tr>
      <w:tr w:rsidR="00000000">
        <w:tblPrEx>
          <w:tblCellMar>
            <w:top w:w="0" w:type="dxa"/>
            <w:left w:w="0" w:type="dxa"/>
            <w:bottom w:w="0" w:type="dxa"/>
            <w:right w:w="0" w:type="dxa"/>
          </w:tblCellMar>
        </w:tblPrEx>
        <w:trPr>
          <w:cantSplit/>
        </w:trPr>
        <w:tc>
          <w:tcPr>
            <w:tcW w:w="720"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8739CC">
            <w:pPr>
              <w:pStyle w:val="ac"/>
              <w:rPr>
                <w:rFonts w:ascii="Time New Roman" w:eastAsia="SimHei" w:hAnsi="Time New Roman"/>
                <w:sz w:val="16"/>
                <w:lang w:val="fr-FR"/>
              </w:rPr>
            </w:pP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54"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14"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4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13"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57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Mountain</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960</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1,655</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2,615</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656</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1,214</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1,870</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528</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989</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1,517</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2,144</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3,8</w:t>
            </w:r>
            <w:r>
              <w:rPr>
                <w:sz w:val="16"/>
              </w:rPr>
              <w:t>58</w:t>
            </w:r>
          </w:p>
        </w:tc>
        <w:tc>
          <w:tcPr>
            <w:tcW w:w="732"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6,002</w:t>
            </w:r>
          </w:p>
        </w:tc>
        <w:tc>
          <w:tcPr>
            <w:tcW w:w="566"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356</w:t>
            </w:r>
          </w:p>
        </w:tc>
        <w:tc>
          <w:tcPr>
            <w:tcW w:w="552"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689</w:t>
            </w:r>
          </w:p>
        </w:tc>
        <w:tc>
          <w:tcPr>
            <w:tcW w:w="608"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1,045</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204</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393</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597</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560</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1,082</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1,642</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Hill</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12,023</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13,046</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25,069</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8,260</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10,608</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18,868</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7,008</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8,235</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15,243</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27,291</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31,889</w:t>
            </w:r>
          </w:p>
        </w:tc>
        <w:tc>
          <w:tcPr>
            <w:tcW w:w="732"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59,180</w:t>
            </w:r>
          </w:p>
        </w:tc>
        <w:tc>
          <w:tcPr>
            <w:tcW w:w="566"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4,095</w:t>
            </w:r>
          </w:p>
        </w:tc>
        <w:tc>
          <w:tcPr>
            <w:tcW w:w="552"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5,720</w:t>
            </w:r>
          </w:p>
        </w:tc>
        <w:tc>
          <w:tcPr>
            <w:tcW w:w="608"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9,815</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2,713</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3,619</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6,332</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6,808</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9,339</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16,147</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Valley</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827</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720</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1,547</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696</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661</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1,357</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693</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662</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1,355</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2,216</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2,043</w:t>
            </w:r>
          </w:p>
        </w:tc>
        <w:tc>
          <w:tcPr>
            <w:tcW w:w="732"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w:t>
            </w:r>
            <w:r>
              <w:rPr>
                <w:sz w:val="16"/>
                <w:lang w:val="fr-FR"/>
              </w:rPr>
              <w:t>,259</w:t>
            </w:r>
          </w:p>
        </w:tc>
        <w:tc>
          <w:tcPr>
            <w:tcW w:w="566"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683</w:t>
            </w:r>
          </w:p>
        </w:tc>
        <w:tc>
          <w:tcPr>
            <w:tcW w:w="552"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572</w:t>
            </w:r>
          </w:p>
        </w:tc>
        <w:tc>
          <w:tcPr>
            <w:tcW w:w="608"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1,255</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598</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434</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1,032</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1,281</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1,006</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2,287</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Terai</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9,491</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12,663</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22,154</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6,829</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9,724</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16,553</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6,433</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8,797</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15,230</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22,753</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31,184</w:t>
            </w:r>
          </w:p>
        </w:tc>
        <w:tc>
          <w:tcPr>
            <w:tcW w:w="732"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53,937</w:t>
            </w:r>
          </w:p>
        </w:tc>
        <w:tc>
          <w:tcPr>
            <w:tcW w:w="566"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3,728</w:t>
            </w:r>
          </w:p>
        </w:tc>
        <w:tc>
          <w:tcPr>
            <w:tcW w:w="552"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5,469</w:t>
            </w:r>
          </w:p>
        </w:tc>
        <w:tc>
          <w:tcPr>
            <w:tcW w:w="608"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9,197</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2,659</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4,093</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6,752</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6,387</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9,562</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15,949</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Total</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23,301</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28,084</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51,385</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16,441</w:t>
            </w:r>
          </w:p>
        </w:tc>
        <w:tc>
          <w:tcPr>
            <w:tcW w:w="53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22,207</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38,648</w:t>
            </w:r>
          </w:p>
        </w:tc>
        <w:tc>
          <w:tcPr>
            <w:tcW w:w="74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14,662</w:t>
            </w:r>
          </w:p>
        </w:tc>
        <w:tc>
          <w:tcPr>
            <w:tcW w:w="60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18,683</w:t>
            </w:r>
          </w:p>
        </w:tc>
        <w:tc>
          <w:tcPr>
            <w:tcW w:w="6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w:t>
            </w:r>
            <w:r>
              <w:rPr>
                <w:sz w:val="16"/>
                <w:lang w:val="fr-FR"/>
              </w:rPr>
              <w:t>3,345</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54,404</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68,974</w:t>
            </w:r>
          </w:p>
        </w:tc>
        <w:tc>
          <w:tcPr>
            <w:tcW w:w="732"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123,378</w:t>
            </w:r>
          </w:p>
        </w:tc>
        <w:tc>
          <w:tcPr>
            <w:tcW w:w="566"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8,862</w:t>
            </w:r>
          </w:p>
        </w:tc>
        <w:tc>
          <w:tcPr>
            <w:tcW w:w="552"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1,2450</w:t>
            </w:r>
          </w:p>
        </w:tc>
        <w:tc>
          <w:tcPr>
            <w:tcW w:w="608" w:type="dxa"/>
            <w:gridSpan w:val="2"/>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21,312</w:t>
            </w:r>
          </w:p>
        </w:tc>
        <w:tc>
          <w:tcPr>
            <w:tcW w:w="509"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6,174</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8,539</w:t>
            </w:r>
          </w:p>
        </w:tc>
        <w:tc>
          <w:tcPr>
            <w:tcW w:w="57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14,713</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15,036</w:t>
            </w:r>
          </w:p>
        </w:tc>
        <w:tc>
          <w:tcPr>
            <w:tcW w:w="53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20,989</w:t>
            </w:r>
          </w:p>
        </w:tc>
        <w:tc>
          <w:tcPr>
            <w:tcW w:w="58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36,025</w:t>
            </w:r>
          </w:p>
        </w:tc>
      </w:tr>
    </w:tbl>
    <w:p w:rsidR="00000000" w:rsidRDefault="008739CC">
      <w:pPr>
        <w:rPr>
          <w:lang w:val="fr-FR"/>
        </w:rPr>
      </w:pPr>
    </w:p>
    <w:p w:rsidR="00000000" w:rsidRDefault="008739CC">
      <w:pPr>
        <w:pStyle w:val="Heading3"/>
        <w:rPr>
          <w:sz w:val="22"/>
        </w:rPr>
      </w:pPr>
      <w:r>
        <w:rPr>
          <w:rFonts w:hint="eastAsia"/>
          <w:sz w:val="22"/>
          <w:lang w:val="fr-FR"/>
        </w:rPr>
        <w:t>表</w:t>
      </w:r>
      <w:r>
        <w:rPr>
          <w:sz w:val="22"/>
          <w:lang w:val="fr-FR"/>
        </w:rPr>
        <w:t xml:space="preserve">  6</w:t>
      </w:r>
      <w:r>
        <w:rPr>
          <w:sz w:val="22"/>
          <w:lang w:val="fr-FR"/>
        </w:rPr>
        <w:br/>
      </w:r>
      <w:r>
        <w:rPr>
          <w:rFonts w:hint="eastAsia"/>
          <w:sz w:val="22"/>
        </w:rPr>
        <w:t>2006</w:t>
      </w:r>
      <w:r>
        <w:rPr>
          <w:rFonts w:hint="eastAsia"/>
          <w:sz w:val="22"/>
        </w:rPr>
        <w:t>年按地区开列的小学处入学总数</w:t>
      </w:r>
    </w:p>
    <w:tbl>
      <w:tblPr>
        <w:tblW w:w="14244" w:type="dxa"/>
        <w:tblInd w:w="-427" w:type="dxa"/>
        <w:tblLayout w:type="fixed"/>
        <w:tblCellMar>
          <w:left w:w="0" w:type="dxa"/>
          <w:right w:w="0" w:type="dxa"/>
        </w:tblCellMar>
        <w:tblLook w:val="0000" w:firstRow="0" w:lastRow="0" w:firstColumn="0" w:lastColumn="0" w:noHBand="0" w:noVBand="0"/>
      </w:tblPr>
      <w:tblGrid>
        <w:gridCol w:w="720"/>
        <w:gridCol w:w="710"/>
        <w:gridCol w:w="710"/>
        <w:gridCol w:w="920"/>
        <w:gridCol w:w="710"/>
        <w:gridCol w:w="710"/>
        <w:gridCol w:w="710"/>
        <w:gridCol w:w="710"/>
        <w:gridCol w:w="710"/>
        <w:gridCol w:w="710"/>
        <w:gridCol w:w="710"/>
        <w:gridCol w:w="710"/>
        <w:gridCol w:w="710"/>
        <w:gridCol w:w="710"/>
        <w:gridCol w:w="710"/>
        <w:gridCol w:w="710"/>
        <w:gridCol w:w="878"/>
        <w:gridCol w:w="888"/>
        <w:gridCol w:w="898"/>
      </w:tblGrid>
      <w:tr w:rsidR="00000000">
        <w:tblPrEx>
          <w:tblCellMar>
            <w:top w:w="0" w:type="dxa"/>
            <w:left w:w="0" w:type="dxa"/>
            <w:bottom w:w="0" w:type="dxa"/>
            <w:right w:w="0" w:type="dxa"/>
          </w:tblCellMar>
        </w:tblPrEx>
        <w:trPr>
          <w:cantSplit/>
        </w:trPr>
        <w:tc>
          <w:tcPr>
            <w:tcW w:w="720"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Regions</w:t>
            </w:r>
          </w:p>
        </w:tc>
        <w:tc>
          <w:tcPr>
            <w:tcW w:w="234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1</w:t>
            </w:r>
          </w:p>
        </w:tc>
        <w:tc>
          <w:tcPr>
            <w:tcW w:w="213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2</w:t>
            </w:r>
          </w:p>
        </w:tc>
        <w:tc>
          <w:tcPr>
            <w:tcW w:w="213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3</w:t>
            </w:r>
          </w:p>
        </w:tc>
        <w:tc>
          <w:tcPr>
            <w:tcW w:w="213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4</w:t>
            </w:r>
          </w:p>
        </w:tc>
        <w:tc>
          <w:tcPr>
            <w:tcW w:w="213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5</w:t>
            </w:r>
          </w:p>
        </w:tc>
        <w:tc>
          <w:tcPr>
            <w:tcW w:w="2664"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Grade 1-5</w:t>
            </w:r>
          </w:p>
        </w:tc>
      </w:tr>
      <w:tr w:rsidR="00000000">
        <w:tblPrEx>
          <w:tblCellMar>
            <w:top w:w="0" w:type="dxa"/>
            <w:left w:w="0" w:type="dxa"/>
            <w:bottom w:w="0" w:type="dxa"/>
            <w:right w:w="0" w:type="dxa"/>
          </w:tblCellMar>
        </w:tblPrEx>
        <w:trPr>
          <w:cantSplit/>
        </w:trPr>
        <w:tc>
          <w:tcPr>
            <w:tcW w:w="720"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8739CC">
            <w:pPr>
              <w:pStyle w:val="ac"/>
              <w:rPr>
                <w:rFonts w:ascii="Time New Roman" w:eastAsia="SimHei" w:hAnsi="Time New Roman"/>
                <w:sz w:val="16"/>
              </w:rPr>
            </w:pP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Mountain</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76,574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78,393</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154,967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34,373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37,737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72,110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25,164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29,500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54,</w:t>
            </w:r>
            <w:r>
              <w:rPr>
                <w:sz w:val="16"/>
              </w:rPr>
              <w:t>664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20,388</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24,890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45,278</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17,712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21,981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39,693</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17,4211</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19,2501</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36,6712</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Hill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310,836</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321,206</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632,042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194,993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189,087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384,080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153,483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154,801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308,284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135,170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138,227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273,397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119,170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122,963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242,133</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91,3652</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92,6284</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183,9936</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Valley</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23,547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25,003</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48,550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19,863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20,940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40,803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19,122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20,130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39,252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19,039</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20,382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39,421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19,062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20,565</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39,627</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100,633</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107,020</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207,653</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Terai</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290,114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315,787</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605,901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222,586</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236,671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459,257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149,303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171,643</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320,946</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126,220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149,009</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275,229</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111,366</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133,715</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245,081</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899,589</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1,006,825</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1,906,414</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Total</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701,071</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740,389</w:t>
            </w:r>
          </w:p>
        </w:tc>
        <w:tc>
          <w:tcPr>
            <w:tcW w:w="9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1,441,460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471,815</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484,435</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956,250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347,072</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376,074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723,146</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300,817</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332,508</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633,325</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267,310</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299,224</w:t>
            </w:r>
          </w:p>
        </w:tc>
        <w:tc>
          <w:tcPr>
            <w:tcW w:w="71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566,534</w:t>
            </w:r>
          </w:p>
        </w:tc>
        <w:tc>
          <w:tcPr>
            <w:tcW w:w="87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2,088,085</w:t>
            </w:r>
          </w:p>
        </w:tc>
        <w:tc>
          <w:tcPr>
            <w:tcW w:w="88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2,232,630</w:t>
            </w:r>
          </w:p>
        </w:tc>
        <w:tc>
          <w:tcPr>
            <w:tcW w:w="8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4,320,715</w:t>
            </w:r>
          </w:p>
        </w:tc>
      </w:tr>
    </w:tbl>
    <w:p w:rsidR="00000000" w:rsidRDefault="008739CC">
      <w:pPr>
        <w:spacing w:after="160"/>
      </w:pPr>
    </w:p>
    <w:p w:rsidR="00000000" w:rsidRDefault="008739CC">
      <w:pPr>
        <w:pStyle w:val="Heading3"/>
        <w:rPr>
          <w:sz w:val="22"/>
        </w:rPr>
      </w:pPr>
      <w:r>
        <w:rPr>
          <w:rFonts w:hint="eastAsia"/>
          <w:sz w:val="22"/>
        </w:rPr>
        <w:t>表</w:t>
      </w:r>
      <w:r>
        <w:rPr>
          <w:sz w:val="22"/>
        </w:rPr>
        <w:t xml:space="preserve">  7</w:t>
      </w:r>
      <w:r>
        <w:rPr>
          <w:sz w:val="22"/>
        </w:rPr>
        <w:br/>
      </w:r>
      <w:r>
        <w:rPr>
          <w:rFonts w:hint="eastAsia"/>
          <w:sz w:val="22"/>
        </w:rPr>
        <w:t>2006</w:t>
      </w:r>
      <w:r>
        <w:rPr>
          <w:rFonts w:hint="eastAsia"/>
          <w:sz w:val="22"/>
        </w:rPr>
        <w:t>年按地区开列的初中和中学注册总人数</w:t>
      </w:r>
    </w:p>
    <w:tbl>
      <w:tblPr>
        <w:tblW w:w="13960" w:type="dxa"/>
        <w:tblInd w:w="-427" w:type="dxa"/>
        <w:tblLayout w:type="fixed"/>
        <w:tblCellMar>
          <w:left w:w="0" w:type="dxa"/>
          <w:right w:w="0" w:type="dxa"/>
        </w:tblCellMar>
        <w:tblLook w:val="0000" w:firstRow="0" w:lastRow="0" w:firstColumn="0" w:lastColumn="0" w:noHBand="0" w:noVBand="0"/>
      </w:tblPr>
      <w:tblGrid>
        <w:gridCol w:w="720"/>
        <w:gridCol w:w="627"/>
        <w:gridCol w:w="627"/>
        <w:gridCol w:w="666"/>
        <w:gridCol w:w="627"/>
        <w:gridCol w:w="627"/>
        <w:gridCol w:w="666"/>
        <w:gridCol w:w="583"/>
        <w:gridCol w:w="583"/>
        <w:gridCol w:w="583"/>
        <w:gridCol w:w="621"/>
        <w:gridCol w:w="630"/>
        <w:gridCol w:w="720"/>
        <w:gridCol w:w="630"/>
        <w:gridCol w:w="630"/>
        <w:gridCol w:w="630"/>
        <w:gridCol w:w="666"/>
        <w:gridCol w:w="583"/>
        <w:gridCol w:w="583"/>
        <w:gridCol w:w="698"/>
        <w:gridCol w:w="630"/>
        <w:gridCol w:w="630"/>
      </w:tblGrid>
      <w:tr w:rsidR="00000000">
        <w:tblPrEx>
          <w:tblCellMar>
            <w:top w:w="0" w:type="dxa"/>
            <w:left w:w="0" w:type="dxa"/>
            <w:bottom w:w="0" w:type="dxa"/>
            <w:right w:w="0" w:type="dxa"/>
          </w:tblCellMar>
        </w:tblPrEx>
        <w:trPr>
          <w:cantSplit/>
        </w:trPr>
        <w:tc>
          <w:tcPr>
            <w:tcW w:w="720"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Regions</w:t>
            </w:r>
          </w:p>
        </w:tc>
        <w:tc>
          <w:tcPr>
            <w:tcW w:w="192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6</w:t>
            </w:r>
          </w:p>
        </w:tc>
        <w:tc>
          <w:tcPr>
            <w:tcW w:w="192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7</w:t>
            </w:r>
          </w:p>
        </w:tc>
        <w:tc>
          <w:tcPr>
            <w:tcW w:w="1749"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8</w:t>
            </w:r>
          </w:p>
        </w:tc>
        <w:tc>
          <w:tcPr>
            <w:tcW w:w="1971"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6</w:t>
            </w:r>
            <w:r>
              <w:rPr>
                <w:rFonts w:ascii="Time New Roman" w:eastAsia="SimHei" w:hAnsi="Time New Roman"/>
                <w:sz w:val="16"/>
                <w:lang w:val="fr-FR"/>
              </w:rPr>
              <w:t>-</w:t>
            </w:r>
            <w:r>
              <w:rPr>
                <w:rFonts w:ascii="Time New Roman" w:eastAsia="SimHei" w:hAnsi="Time New Roman"/>
                <w:b/>
                <w:sz w:val="16"/>
                <w:lang w:val="fr-FR"/>
              </w:rPr>
              <w:t>8</w:t>
            </w:r>
          </w:p>
        </w:tc>
        <w:tc>
          <w:tcPr>
            <w:tcW w:w="1890"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9</w:t>
            </w:r>
          </w:p>
        </w:tc>
        <w:tc>
          <w:tcPr>
            <w:tcW w:w="1832"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10</w:t>
            </w:r>
          </w:p>
        </w:tc>
        <w:tc>
          <w:tcPr>
            <w:tcW w:w="1958" w:type="dxa"/>
            <w:gridSpan w:val="3"/>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lang w:val="fr-FR"/>
              </w:rPr>
            </w:pPr>
            <w:r>
              <w:rPr>
                <w:rFonts w:ascii="Time New Roman" w:eastAsia="SimHei" w:hAnsi="Time New Roman"/>
                <w:b/>
                <w:sz w:val="16"/>
                <w:lang w:val="fr-FR"/>
              </w:rPr>
              <w:t>Grade</w:t>
            </w:r>
            <w:r>
              <w:rPr>
                <w:rFonts w:ascii="Time New Roman" w:eastAsia="SimHei" w:hAnsi="Time New Roman"/>
                <w:sz w:val="16"/>
                <w:lang w:val="fr-FR"/>
              </w:rPr>
              <w:t xml:space="preserve"> </w:t>
            </w:r>
            <w:r>
              <w:rPr>
                <w:rFonts w:ascii="Time New Roman" w:eastAsia="SimHei" w:hAnsi="Time New Roman"/>
                <w:b/>
                <w:sz w:val="16"/>
                <w:lang w:val="fr-FR"/>
              </w:rPr>
              <w:t>9</w:t>
            </w:r>
            <w:r>
              <w:rPr>
                <w:rFonts w:ascii="Time New Roman" w:eastAsia="SimHei" w:hAnsi="Time New Roman"/>
                <w:sz w:val="16"/>
                <w:lang w:val="fr-FR"/>
              </w:rPr>
              <w:t>-</w:t>
            </w:r>
            <w:r>
              <w:rPr>
                <w:rFonts w:ascii="Time New Roman" w:eastAsia="SimHei" w:hAnsi="Time New Roman"/>
                <w:b/>
                <w:sz w:val="16"/>
                <w:lang w:val="fr-FR"/>
              </w:rPr>
              <w:t>10</w:t>
            </w:r>
          </w:p>
        </w:tc>
      </w:tr>
      <w:tr w:rsidR="00000000">
        <w:tblPrEx>
          <w:tblCellMar>
            <w:top w:w="0" w:type="dxa"/>
            <w:left w:w="0" w:type="dxa"/>
            <w:bottom w:w="0" w:type="dxa"/>
            <w:right w:w="0" w:type="dxa"/>
          </w:tblCellMar>
        </w:tblPrEx>
        <w:trPr>
          <w:cantSplit/>
        </w:trPr>
        <w:tc>
          <w:tcPr>
            <w:tcW w:w="720"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8739CC">
            <w:pPr>
              <w:pStyle w:val="ac"/>
              <w:rPr>
                <w:rFonts w:ascii="Time New Roman" w:eastAsia="SimHei" w:hAnsi="Time New Roman"/>
                <w:sz w:val="16"/>
                <w:lang w:val="fr-FR"/>
              </w:rPr>
            </w:pP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Girls</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Boys</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rFonts w:ascii="Time New Roman" w:eastAsia="SimHei" w:hAnsi="Time New Roman"/>
                <w:sz w:val="16"/>
              </w:rPr>
            </w:pPr>
            <w:r>
              <w:rPr>
                <w:rFonts w:ascii="Time New Roman" w:eastAsia="SimHei" w:hAnsi="Time New Roman"/>
                <w:b/>
                <w:sz w:val="16"/>
              </w:rPr>
              <w:t>Total</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Mountain</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14,830</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18,847</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33,677</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11,644</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15,511</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27,155</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10,035</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14,017</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24,052</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36,509</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48,375</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84,884</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11,524</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14,263</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25,787</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8,839</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11,163</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20,0</w:t>
            </w:r>
            <w:r>
              <w:rPr>
                <w:sz w:val="16"/>
              </w:rPr>
              <w:t>02</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20,363</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25,426</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45,789</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Hill</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103,304</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109,427</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212,731</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87,544</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93,395</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180,939</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79,061</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85,018</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164,079</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269,909</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287,840</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557,749</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79,306</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85,708</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165,014</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64,751</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70,522</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135,273</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144,057</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156,230</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300,287</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rPr>
            </w:pPr>
            <w:r>
              <w:rPr>
                <w:sz w:val="16"/>
              </w:rPr>
              <w:t>Valley</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18,031</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18,230</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36,261</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16,033</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17,174</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33,207</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15,756</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16,304</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32</w:t>
            </w:r>
            <w:r>
              <w:rPr>
                <w:sz w:val="16"/>
                <w:lang w:val="fr-FR"/>
              </w:rPr>
              <w:t>,060</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49,820</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51,708</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101,528</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14,826</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15,381</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30,207</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13,155</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12,962</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26,117</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27,981</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28,343</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56,324</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Terai</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92,691</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112,964</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205,655</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81,289</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100,340</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181,629</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76,379</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93,310</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169,689</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250,359</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306,614</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556,973</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65,134</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84,888</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150,022</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55,681</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71,284</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126,965</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120,815</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156,172</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276,987</w:t>
            </w:r>
          </w:p>
        </w:tc>
      </w:tr>
      <w:tr w:rsidR="00000000">
        <w:tblPrEx>
          <w:tblCellMar>
            <w:top w:w="0" w:type="dxa"/>
            <w:left w:w="0" w:type="dxa"/>
            <w:bottom w:w="0" w:type="dxa"/>
            <w:right w:w="0" w:type="dxa"/>
          </w:tblCellMar>
        </w:tblPrEx>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Total</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228,856</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259,468</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488,324</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196,510</w:t>
            </w:r>
          </w:p>
        </w:tc>
        <w:tc>
          <w:tcPr>
            <w:tcW w:w="627"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226,420</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422,930</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181,231</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208,649</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389,880</w:t>
            </w:r>
          </w:p>
        </w:tc>
        <w:tc>
          <w:tcPr>
            <w:tcW w:w="621"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606,597</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694,537</w:t>
            </w:r>
          </w:p>
        </w:tc>
        <w:tc>
          <w:tcPr>
            <w:tcW w:w="72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1,301,134</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170,790</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200,240</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371,030</w:t>
            </w:r>
          </w:p>
        </w:tc>
        <w:tc>
          <w:tcPr>
            <w:tcW w:w="666"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142,426</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165,931</w:t>
            </w:r>
          </w:p>
        </w:tc>
        <w:tc>
          <w:tcPr>
            <w:tcW w:w="583"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308,357</w:t>
            </w:r>
          </w:p>
        </w:tc>
        <w:tc>
          <w:tcPr>
            <w:tcW w:w="698"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313,216</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366,171</w:t>
            </w:r>
          </w:p>
        </w:tc>
        <w:tc>
          <w:tcPr>
            <w:tcW w:w="630" w:type="dxa"/>
            <w:tcBorders>
              <w:top w:val="threeDEmboss" w:sz="6" w:space="0" w:color="auto"/>
              <w:left w:val="threeDEmboss" w:sz="6" w:space="0" w:color="auto"/>
              <w:bottom w:val="threeDEmboss" w:sz="6" w:space="0" w:color="auto"/>
              <w:right w:val="threeDEmboss" w:sz="6" w:space="0" w:color="auto"/>
            </w:tcBorders>
          </w:tcPr>
          <w:p w:rsidR="00000000" w:rsidRDefault="008739CC">
            <w:pPr>
              <w:pStyle w:val="ac"/>
              <w:rPr>
                <w:sz w:val="16"/>
                <w:lang w:val="fr-FR"/>
              </w:rPr>
            </w:pPr>
            <w:r>
              <w:rPr>
                <w:sz w:val="16"/>
                <w:lang w:val="fr-FR"/>
              </w:rPr>
              <w:t>679,387</w:t>
            </w:r>
          </w:p>
        </w:tc>
      </w:tr>
    </w:tbl>
    <w:p w:rsidR="00000000" w:rsidRDefault="008739CC">
      <w:pPr>
        <w:ind w:firstLine="510"/>
      </w:pPr>
    </w:p>
    <w:p w:rsidR="00000000" w:rsidRDefault="008739CC">
      <w:pPr>
        <w:ind w:firstLine="510"/>
        <w:sectPr w:rsidR="00000000">
          <w:headerReference w:type="even" r:id="rId12"/>
          <w:headerReference w:type="default" r:id="rId13"/>
          <w:pgSz w:w="16838" w:h="11906" w:orient="landscape" w:code="9"/>
          <w:pgMar w:top="1701" w:right="1985" w:bottom="851" w:left="1985" w:header="794" w:footer="1588" w:gutter="0"/>
          <w:cols w:space="425"/>
          <w:docGrid w:type="lines" w:linePitch="326"/>
        </w:sectPr>
      </w:pPr>
    </w:p>
    <w:p w:rsidR="00000000" w:rsidRDefault="008739CC" w:rsidP="008739CC">
      <w:pPr>
        <w:pStyle w:val="Heading4"/>
        <w:ind w:left="31680" w:hangingChars="452" w:firstLine="31680"/>
        <w:rPr>
          <w:rFonts w:ascii="Time New Roman" w:eastAsia="SimHei" w:hAnsi="Time New Roman"/>
          <w:u w:val="none"/>
        </w:rPr>
      </w:pPr>
      <w:r>
        <w:rPr>
          <w:rFonts w:ascii="Time New Roman" w:eastAsia="SimHei" w:hAnsi="Time New Roman" w:hint="eastAsia"/>
          <w:u w:val="none"/>
          <w:lang w:val="fr-FR"/>
        </w:rPr>
        <w:t>问题</w:t>
      </w:r>
      <w:r>
        <w:rPr>
          <w:rFonts w:ascii="Time New Roman" w:eastAsia="SimHei" w:hAnsi="Time New Roman"/>
          <w:b/>
          <w:u w:val="none"/>
          <w:lang w:val="fr-FR"/>
        </w:rPr>
        <w:t>31</w:t>
      </w:r>
      <w:r>
        <w:rPr>
          <w:rFonts w:ascii="Time New Roman" w:eastAsia="SimHei" w:hAnsi="Time New Roman"/>
          <w:u w:val="none"/>
          <w:lang w:val="fr-FR"/>
        </w:rPr>
        <w:t xml:space="preserve">.  </w:t>
      </w:r>
      <w:r>
        <w:rPr>
          <w:rFonts w:ascii="Time New Roman" w:eastAsia="SimHei" w:hAnsi="Time New Roman" w:hint="eastAsia"/>
          <w:u w:val="none"/>
          <w:lang w:val="fr-FR"/>
        </w:rPr>
        <w:t>土著人民被持续骚扰、强迫迁移以及其拥有、发展、控制和使用传统家园和资源的权利受到侵害的有关资料</w:t>
      </w:r>
    </w:p>
    <w:p w:rsidR="00000000" w:rsidRDefault="008739CC">
      <w:pPr>
        <w:spacing w:after="240"/>
        <w:ind w:firstLine="510"/>
      </w:pPr>
      <w:r>
        <w:t xml:space="preserve">116.  </w:t>
      </w:r>
      <w:r>
        <w:rPr>
          <w:rFonts w:hint="eastAsia"/>
        </w:rPr>
        <w:t>《宪法》为所有公民提供了人人平等的权利。《临时宪法》第</w:t>
      </w:r>
      <w:r>
        <w:rPr>
          <w:rFonts w:hint="eastAsia"/>
        </w:rPr>
        <w:t>13</w:t>
      </w:r>
      <w:r>
        <w:rPr>
          <w:rFonts w:hint="eastAsia"/>
        </w:rPr>
        <w:t>条保证平等权利。在法律的普遍适用上，国家不应基于宗教、种族、种姓、性别、社会出身、语言、或意识信念实行歧视。尼泊尔政府致力于尊重、保护和实现所有公民的这种权利。政府也努力提高社会各阶层的地位。土著人民不受骚扰、不会被强迫迁移、其拥有、发展、控制和使用传统家园和资源的权利也不致受到侵害。政府的政策根本与对这些权利的侵害无关。政府充分</w:t>
      </w:r>
      <w:r>
        <w:rPr>
          <w:rFonts w:hint="eastAsia"/>
        </w:rPr>
        <w:t>致力于创造辅助环境，使人人都能够实现其权利。尼泊尔处于从专制向民主转变的历史性阶段。民主是一个过程，需要一些时间来运作和改正过去存在了几个世纪的毛病。</w:t>
      </w:r>
    </w:p>
    <w:p w:rsidR="00000000" w:rsidRDefault="008739CC">
      <w:pPr>
        <w:pStyle w:val="Heading4"/>
        <w:rPr>
          <w:rFonts w:ascii="Time New Roman" w:eastAsia="SimHei" w:hAnsi="Time New Roman"/>
          <w:u w:val="none"/>
        </w:rPr>
      </w:pPr>
      <w:r>
        <w:rPr>
          <w:rFonts w:ascii="Time New Roman" w:eastAsia="SimHei" w:hAnsi="Time New Roman" w:hint="eastAsia"/>
          <w:u w:val="none"/>
        </w:rPr>
        <w:t>问题</w:t>
      </w:r>
      <w:r>
        <w:rPr>
          <w:rFonts w:ascii="Time New Roman" w:eastAsia="SimHei" w:hAnsi="Time New Roman" w:hint="eastAsia"/>
          <w:b/>
          <w:u w:val="none"/>
        </w:rPr>
        <w:t>32</w:t>
      </w:r>
      <w:r>
        <w:rPr>
          <w:rFonts w:ascii="Time New Roman" w:eastAsia="SimHei" w:hAnsi="Time New Roman"/>
          <w:u w:val="none"/>
        </w:rPr>
        <w:t xml:space="preserve">.  </w:t>
      </w:r>
      <w:r>
        <w:rPr>
          <w:rFonts w:ascii="Time New Roman" w:eastAsia="SimHei" w:hAnsi="Time New Roman" w:hint="eastAsia"/>
          <w:u w:val="none"/>
        </w:rPr>
        <w:t>允许少数人奉行宗教仪式、维持习俗和保留传统情况的有关资料</w:t>
      </w:r>
    </w:p>
    <w:p w:rsidR="00000000" w:rsidRDefault="008739CC">
      <w:pPr>
        <w:ind w:firstLine="510"/>
      </w:pPr>
      <w:r>
        <w:t xml:space="preserve">117.  </w:t>
      </w:r>
      <w:r>
        <w:rPr>
          <w:rFonts w:hint="eastAsia"/>
        </w:rPr>
        <w:t>《宪法》保障个人奉行宗教仪式、维持习惯和保留传统的权利和自由。尼泊尔的少数人可以自由奉行宗教仪式、维持文化、习惯和传统。这些方面不受任何限制和障碍。尼泊尔政府保证尊重和保护各阶层人民的这些权利。</w:t>
      </w:r>
    </w:p>
    <w:p w:rsidR="00000000" w:rsidRDefault="008739CC"/>
    <w:p w:rsidR="00000000" w:rsidRDefault="008739CC"/>
    <w:p w:rsidR="00000000" w:rsidRDefault="008739CC">
      <w:pPr>
        <w:jc w:val="center"/>
      </w:pPr>
      <w:r>
        <w:t>--  --  --  --  --</w:t>
      </w:r>
    </w:p>
    <w:p w:rsidR="00000000" w:rsidRDefault="008739CC"/>
    <w:sectPr w:rsidR="00000000">
      <w:headerReference w:type="even" r:id="rId14"/>
      <w:headerReference w:type="default" r:id="rId15"/>
      <w:footerReference w:type="even" r:id="rId16"/>
      <w:footerReference w:type="default" r:id="rId17"/>
      <w:headerReference w:type="first" r:id="rId18"/>
      <w:footerReference w:type="first" r:id="rId19"/>
      <w:pgSz w:w="11906" w:h="16838" w:code="9"/>
      <w:pgMar w:top="1985" w:right="851" w:bottom="1985" w:left="1701" w:header="794"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39CC">
      <w:pPr>
        <w:spacing w:line="240" w:lineRule="auto"/>
      </w:pPr>
      <w:r>
        <w:separator/>
      </w:r>
    </w:p>
  </w:endnote>
  <w:endnote w:type="continuationSeparator" w:id="0">
    <w:p w:rsidR="00000000" w:rsidRDefault="0087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Footer"/>
    </w:pPr>
    <w:r>
      <w:rPr>
        <w:rFonts w:ascii="SimHei" w:eastAsia="SimHei"/>
        <w:noProof/>
        <w:lang w:val="fr-FR"/>
      </w:rPr>
      <w:pict>
        <v:rect id="_x0000_s2051" style="position:absolute;margin-left:676pt;margin-top:419.2pt;width:32.6pt;height:130.4pt;z-index:3;mso-position-vertical-relative:page" filled="f" stroked="f">
          <v:textbox style="layout-flow:vertical-ideographic;mso-next-textbox:#_x0000_s2051" inset="1pt,1pt,1pt,1pt">
            <w:txbxContent>
              <w:p w:rsidR="00000000" w:rsidRDefault="008739CC">
                <w:pPr>
                  <w:pStyle w:val="Header"/>
                  <w:spacing w:line="192" w:lineRule="auto"/>
                  <w:rPr>
                    <w:rFonts w:hint="eastAsia"/>
                  </w:rPr>
                </w:pPr>
                <w:r>
                  <w:t>E/C.12/NPL/Q/2/Add.1</w:t>
                </w:r>
              </w:p>
              <w:p w:rsidR="00000000" w:rsidRDefault="008739CC">
                <w:pPr>
                  <w:pStyle w:val="Header"/>
                  <w:rPr>
                    <w:rFonts w:hint="eastAsia"/>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xbxContent>
          </v:textbox>
          <w10:wrap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8739CC">
          <w:pPr>
            <w:pStyle w:val="Footer"/>
          </w:pPr>
          <w:r>
            <w:t>GE. 07-41372 (C)</w:t>
          </w:r>
        </w:p>
      </w:tc>
      <w:tc>
        <w:tcPr>
          <w:tcW w:w="1050" w:type="dxa"/>
        </w:tcPr>
        <w:p w:rsidR="00000000" w:rsidRDefault="008739CC">
          <w:pPr>
            <w:pStyle w:val="Footer"/>
          </w:pPr>
          <w:r>
            <w:t>150507</w:t>
          </w:r>
        </w:p>
      </w:tc>
      <w:tc>
        <w:tcPr>
          <w:tcW w:w="6061" w:type="dxa"/>
        </w:tcPr>
        <w:p w:rsidR="00000000" w:rsidRDefault="008739CC">
          <w:pPr>
            <w:pStyle w:val="Footer"/>
          </w:pPr>
          <w:r>
            <w:t>210507</w:t>
          </w:r>
        </w:p>
      </w:tc>
    </w:tr>
  </w:tbl>
  <w:p w:rsidR="00000000" w:rsidRDefault="00873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39CC">
      <w:pPr>
        <w:spacing w:line="240" w:lineRule="auto"/>
      </w:pPr>
      <w:r>
        <w:separator/>
      </w:r>
    </w:p>
  </w:footnote>
  <w:footnote w:type="continuationSeparator" w:id="0">
    <w:p w:rsidR="00000000" w:rsidRDefault="00873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Header"/>
    </w:pPr>
    <w:r>
      <w:rPr>
        <w:noProof/>
      </w:rPr>
      <w:pict>
        <v:rect id="_x0000_s2049" style="position:absolute;margin-left:669.5pt;margin-top:85.05pt;width:32.6pt;height:146.7pt;z-index:1;mso-position-vertical-relative:page" filled="f" stroked="f">
          <v:textbox style="layout-flow:vertical-ideographic;mso-next-textbox:#_x0000_s2049" inset="1pt,1pt,1pt,1pt">
            <w:txbxContent>
              <w:p w:rsidR="00000000" w:rsidRDefault="008739CC">
                <w:pPr>
                  <w:pStyle w:val="Header"/>
                  <w:rPr>
                    <w:rFonts w:hint="eastAsia"/>
                  </w:rPr>
                </w:pPr>
              </w:p>
              <w:p w:rsidR="00000000" w:rsidRDefault="008739CC">
                <w:pPr>
                  <w:pStyle w:val="Header"/>
                  <w:rPr>
                    <w:rFonts w:hint="eastAsia"/>
                  </w:rPr>
                </w:pPr>
              </w:p>
            </w:txbxContent>
          </v:textbox>
          <w10:wrap anchory="page"/>
        </v:rect>
      </w:pict>
    </w:r>
    <w:r>
      <w:t>E/C.12/NPL/Q/2/Ad</w:t>
    </w:r>
    <w:r>
      <w:t>d.1</w:t>
    </w:r>
  </w:p>
  <w:p w:rsidR="00000000" w:rsidRDefault="008739CC">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Header"/>
    </w:pPr>
    <w:r>
      <w:tab/>
    </w:r>
    <w:r>
      <w:tab/>
    </w:r>
    <w:r>
      <w:tab/>
      <w:t>E/C.12/NPL/Q/2/Add.1</w:t>
    </w:r>
  </w:p>
  <w:p w:rsidR="00000000" w:rsidRDefault="008739CC">
    <w:pPr>
      <w:pStyle w:val="Header"/>
      <w:rPr>
        <w:lang w:val="en-US"/>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8739CC">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000000" w:rsidRDefault="008739CC">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000000" w:rsidRDefault="008739CC">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8739CC">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3314" r:id="rId2"/>
            </w:object>
          </w:r>
        </w:p>
      </w:tc>
      <w:tc>
        <w:tcPr>
          <w:tcW w:w="4311" w:type="dxa"/>
          <w:tcBorders>
            <w:top w:val="single" w:sz="4" w:space="0" w:color="auto"/>
            <w:left w:val="nil"/>
            <w:bottom w:val="single" w:sz="36" w:space="0" w:color="auto"/>
            <w:right w:val="nil"/>
          </w:tcBorders>
        </w:tcPr>
        <w:p w:rsidR="00000000" w:rsidRDefault="008739CC">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000000" w:rsidRDefault="008739CC">
          <w:pPr>
            <w:pStyle w:val="Header"/>
            <w:rPr>
              <w:sz w:val="28"/>
              <w:lang w:eastAsia="zh-CN"/>
            </w:rPr>
          </w:pPr>
        </w:p>
        <w:p w:rsidR="00000000" w:rsidRDefault="008739CC">
          <w:pPr>
            <w:pStyle w:val="Header"/>
          </w:pPr>
          <w:r>
            <w:t>Distr.</w:t>
          </w:r>
        </w:p>
        <w:p w:rsidR="00000000" w:rsidRDefault="008739CC">
          <w:pPr>
            <w:pStyle w:val="Header"/>
          </w:pPr>
          <w:r>
            <w:t>GENERAL</w:t>
          </w:r>
        </w:p>
        <w:p w:rsidR="00000000" w:rsidRDefault="008739CC">
          <w:pPr>
            <w:pStyle w:val="Header"/>
            <w:rPr>
              <w:sz w:val="12"/>
            </w:rPr>
          </w:pPr>
        </w:p>
        <w:p w:rsidR="00000000" w:rsidRDefault="008739CC">
          <w:pPr>
            <w:pStyle w:val="Header"/>
          </w:pPr>
          <w:r>
            <w:t>E/C.12/NPL/Q/2/Add.1</w:t>
          </w:r>
        </w:p>
        <w:p w:rsidR="00000000" w:rsidRDefault="008739CC">
          <w:pPr>
            <w:pStyle w:val="Header"/>
          </w:pPr>
          <w:r>
            <w:t>20 April 2007</w:t>
          </w:r>
        </w:p>
        <w:p w:rsidR="00000000" w:rsidRDefault="008739CC">
          <w:pPr>
            <w:pStyle w:val="Header"/>
            <w:rPr>
              <w:sz w:val="12"/>
            </w:rPr>
          </w:pPr>
        </w:p>
        <w:p w:rsidR="00000000" w:rsidRDefault="008739CC">
          <w:pPr>
            <w:pStyle w:val="Header"/>
          </w:pPr>
          <w:r>
            <w:t>CHINESE</w:t>
          </w:r>
        </w:p>
        <w:p w:rsidR="00000000" w:rsidRDefault="008739CC">
          <w:pPr>
            <w:pStyle w:val="Header"/>
            <w:tabs>
              <w:tab w:val="clear" w:pos="992"/>
              <w:tab w:val="left" w:pos="993"/>
            </w:tabs>
          </w:pPr>
          <w:r>
            <w:t>Original:</w:t>
          </w:r>
          <w:r>
            <w:tab/>
            <w:t>ENGLISH</w:t>
          </w:r>
        </w:p>
        <w:p w:rsidR="00000000" w:rsidRDefault="008739CC">
          <w:pPr>
            <w:pStyle w:val="Header"/>
            <w:tabs>
              <w:tab w:val="clear" w:pos="992"/>
              <w:tab w:val="left" w:pos="993"/>
            </w:tabs>
          </w:pPr>
        </w:p>
        <w:p w:rsidR="00000000" w:rsidRDefault="008739CC">
          <w:pPr>
            <w:pStyle w:val="Header"/>
          </w:pPr>
        </w:p>
      </w:tc>
    </w:tr>
    <w:tr w:rsidR="00000000">
      <w:tblPrEx>
        <w:tblCellMar>
          <w:top w:w="0" w:type="dxa"/>
          <w:bottom w:w="0" w:type="dxa"/>
        </w:tblCellMar>
      </w:tblPrEx>
      <w:trPr>
        <w:trHeight w:hRule="exact" w:val="284"/>
      </w:trPr>
      <w:tc>
        <w:tcPr>
          <w:tcW w:w="1625" w:type="dxa"/>
          <w:tcBorders>
            <w:top w:val="single" w:sz="36" w:space="0" w:color="auto"/>
            <w:left w:val="nil"/>
            <w:bottom w:val="nil"/>
            <w:right w:val="nil"/>
          </w:tcBorders>
          <w:noWrap/>
        </w:tcPr>
        <w:p w:rsidR="00000000" w:rsidRDefault="008739CC">
          <w:pPr>
            <w:rPr>
              <w:sz w:val="16"/>
            </w:rPr>
          </w:pPr>
        </w:p>
      </w:tc>
      <w:tc>
        <w:tcPr>
          <w:tcW w:w="4311" w:type="dxa"/>
          <w:tcBorders>
            <w:top w:val="single" w:sz="36" w:space="0" w:color="auto"/>
            <w:left w:val="nil"/>
            <w:bottom w:val="nil"/>
            <w:right w:val="nil"/>
          </w:tcBorders>
          <w:noWrap/>
        </w:tcPr>
        <w:p w:rsidR="00000000" w:rsidRDefault="008739CC">
          <w:pPr>
            <w:pStyle w:val="1m1"/>
            <w:spacing w:line="240" w:lineRule="auto"/>
            <w:rPr>
              <w:rFonts w:hint="eastAsia"/>
              <w:sz w:val="16"/>
            </w:rPr>
          </w:pPr>
        </w:p>
      </w:tc>
      <w:tc>
        <w:tcPr>
          <w:tcW w:w="3528" w:type="dxa"/>
          <w:tcBorders>
            <w:top w:val="single" w:sz="36" w:space="0" w:color="auto"/>
            <w:left w:val="nil"/>
            <w:bottom w:val="nil"/>
            <w:right w:val="nil"/>
          </w:tcBorders>
          <w:noWrap/>
        </w:tcPr>
        <w:p w:rsidR="00000000" w:rsidRDefault="008739CC">
          <w:pPr>
            <w:rPr>
              <w:sz w:val="16"/>
            </w:rPr>
          </w:pPr>
        </w:p>
      </w:tc>
    </w:tr>
  </w:tbl>
  <w:p w:rsidR="00000000" w:rsidRDefault="00873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Header"/>
    </w:pPr>
  </w:p>
  <w:p w:rsidR="00000000" w:rsidRDefault="008739CC">
    <w:pPr>
      <w:pStyle w:val="Header"/>
      <w:rPr>
        <w:lang w:val="en-US"/>
      </w:rPr>
    </w:pPr>
    <w:r>
      <w:rPr>
        <w:noProof/>
      </w:rPr>
      <w:pict>
        <v:rect id="_x0000_s2050" style="position:absolute;margin-left:676pt;margin-top:85.05pt;width:32.6pt;height:146.7pt;z-index:2;mso-position-vertical-relative:page" filled="f" stroked="f">
          <v:textbox style="layout-flow:vertical-ideographic;mso-next-textbox:#_x0000_s2050" inset="1pt,1pt,1pt,1pt">
            <w:txbxContent>
              <w:p w:rsidR="00000000" w:rsidRDefault="008739CC">
                <w:pPr>
                  <w:pStyle w:val="Header"/>
                  <w:spacing w:line="192" w:lineRule="auto"/>
                  <w:rPr>
                    <w:rFonts w:hint="eastAsia"/>
                  </w:rPr>
                </w:pPr>
                <w:r>
                  <w:t>E/C.12/NPL/Q/2/Add.1</w:t>
                </w:r>
              </w:p>
              <w:p w:rsidR="00000000" w:rsidRDefault="008739CC">
                <w:pPr>
                  <w:pStyle w:val="Header"/>
                  <w:rPr>
                    <w:rFonts w:hint="eastAsia"/>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pStyle w:val="Header"/>
    </w:pPr>
  </w:p>
  <w:p w:rsidR="00000000" w:rsidRDefault="008739CC">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spacing w:line="240" w:lineRule="auto"/>
    </w:pPr>
    <w:r>
      <w:t>E/C.12/NPL/Q</w:t>
    </w:r>
    <w:r>
      <w:t>/2/Add.1</w:t>
    </w:r>
  </w:p>
  <w:p w:rsidR="00000000" w:rsidRDefault="008739CC">
    <w:pPr>
      <w:spacing w:line="240" w:lineRule="auto"/>
    </w:pPr>
    <w:r>
      <w:t xml:space="preserve">page </w:t>
    </w:r>
    <w:r>
      <w:rPr>
        <w:rStyle w:val="PageNumber"/>
        <w:rFonts w:eastAsia="KaiTi_GB2312"/>
        <w:lang w:val="en-GB" w:eastAsia="en-US"/>
      </w:rPr>
      <w:fldChar w:fldCharType="begin"/>
    </w:r>
    <w:r>
      <w:rPr>
        <w:rStyle w:val="PageNumber"/>
        <w:rFonts w:eastAsia="KaiTi_GB2312"/>
        <w:lang w:val="en-GB" w:eastAsia="en-US"/>
      </w:rPr>
      <w:instrText xml:space="preserve"> PAGE </w:instrText>
    </w:r>
    <w:r>
      <w:rPr>
        <w:rStyle w:val="PageNumber"/>
        <w:rFonts w:eastAsia="KaiTi_GB2312"/>
        <w:lang w:val="en-GB" w:eastAsia="en-US"/>
      </w:rPr>
      <w:fldChar w:fldCharType="separate"/>
    </w:r>
    <w:r>
      <w:rPr>
        <w:rStyle w:val="PageNumber"/>
        <w:rFonts w:eastAsia="KaiTi_GB2312"/>
        <w:noProof/>
        <w:lang w:val="en-GB" w:eastAsia="en-US"/>
      </w:rPr>
      <w:t>30</w:t>
    </w:r>
    <w:r>
      <w:rPr>
        <w:rStyle w:val="PageNumber"/>
        <w:rFonts w:eastAsia="KaiTi_GB2312"/>
        <w:lang w:val="en-GB" w:eastAsia="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pPr>
      <w:rPr>
        <w:lang w:val="fr-FR"/>
      </w:rPr>
    </w:pPr>
    <w:r>
      <w:fldChar w:fldCharType="begin"/>
    </w:r>
    <w:r>
      <w:rPr>
        <w:lang w:val="fr-FR"/>
      </w:rPr>
      <w:instrText xml:space="preserve"> FILENAME \p  \* MERGEFORMAT </w:instrText>
    </w:r>
    <w:r>
      <w:fldChar w:fldCharType="separate"/>
    </w:r>
    <w:r>
      <w:rPr>
        <w:noProof/>
        <w:lang w:val="fr-FR"/>
      </w:rPr>
      <w:t>G:\CHIFINAL\ODS\out\0741372.doc</w:t>
    </w:r>
    <w:r>
      <w:fldChar w:fldCharType="end"/>
    </w:r>
  </w:p>
  <w:p w:rsidR="00000000" w:rsidRDefault="008739CC">
    <w:r>
      <w:rPr>
        <w:rFonts w:hint="eastAsia"/>
        <w:lang w:val="fr-FR"/>
      </w:rPr>
      <w:t>(</w:t>
    </w:r>
    <w:r>
      <w:fldChar w:fldCharType="begin"/>
    </w:r>
    <w:r>
      <w:rPr>
        <w:lang w:val="fr-FR"/>
      </w:rPr>
      <w:instrText xml:space="preserve"> USERNAME  \* MERGEFORMAT </w:instrText>
    </w:r>
    <w:r>
      <w:fldChar w:fldCharType="separate"/>
    </w:r>
    <w:r>
      <w:rPr>
        <w:noProof/>
        <w:lang w:val="fr-FR"/>
      </w:rPr>
      <w:t>Kong</w:t>
    </w:r>
    <w:r>
      <w:fldChar w:fldCharType="end"/>
    </w:r>
    <w:r>
      <w:rPr>
        <w:rFonts w:hint="eastAsia"/>
        <w:lang w:val="fr-FR"/>
      </w:rPr>
      <w:t>,</w:t>
    </w:r>
    <w:r>
      <w:rPr>
        <w:lang w:val="fr-FR"/>
      </w:rPr>
      <w:t xml:space="preserve"> </w:t>
    </w:r>
    <w:r>
      <w:fldChar w:fldCharType="begin"/>
    </w:r>
    <w:r>
      <w:instrText xml:space="preserve"> TIME  \* MERGEFORMAT </w:instrText>
    </w:r>
    <w:r>
      <w:fldChar w:fldCharType="separate"/>
    </w:r>
    <w:r>
      <w:rPr>
        <w:noProof/>
      </w:rPr>
      <w:t>9:06</w:t>
    </w:r>
    <w:r>
      <w:fldChar w:fldCharType="end"/>
    </w:r>
    <w:r>
      <w:rPr>
        <w:rFonts w:hint="eastAsia"/>
        <w:lang w:val="fr-FR"/>
      </w:rPr>
      <w:t xml:space="preserve"> - </w:t>
    </w:r>
    <w:r>
      <w:fldChar w:fldCharType="begin"/>
    </w:r>
    <w:r>
      <w:instrText xml:space="preserve"> DATE \@ "dd/MM/yyyy" </w:instrText>
    </w:r>
    <w:r>
      <w:fldChar w:fldCharType="separate"/>
    </w:r>
    <w:r>
      <w:rPr>
        <w:noProof/>
      </w:rPr>
      <w:t>21/05/2007</w:t>
    </w:r>
    <w:r>
      <w:fldChar w:fldCharType="end"/>
    </w:r>
    <w:r>
      <w:rPr>
        <w:rFonts w:hint="eastAsia"/>
        <w:lang w:val="fr-FR"/>
      </w:rPr>
      <w:t>)</w:t>
    </w:r>
    <w:r>
      <w:rPr>
        <w:lang w:val="fr-FR"/>
      </w:rPr>
      <w:tab/>
    </w:r>
    <w:r>
      <w:rPr>
        <w:lang w:val="fr-FR"/>
      </w:rPr>
      <w:tab/>
    </w:r>
    <w:r>
      <w:rPr>
        <w:lang w:val="fr-FR"/>
      </w:rPr>
      <w:tab/>
    </w:r>
    <w:r>
      <w:rPr>
        <w:lang w:val="fr-FR"/>
      </w:rPr>
      <w:tab/>
    </w:r>
    <w:r>
      <w:rPr>
        <w:lang w:val="fr-FR"/>
      </w:rPr>
      <w:tab/>
    </w:r>
    <w:r>
      <w:rPr>
        <w:rFonts w:hint="eastAsia"/>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p>
  <w:p w:rsidR="00000000" w:rsidRDefault="008739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3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5F7C3"/>
    <w:multiLevelType w:val="hybridMultilevel"/>
    <w:tmpl w:val="155D04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2995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50A7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57A5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70747DB"/>
    <w:multiLevelType w:val="hybridMultilevel"/>
    <w:tmpl w:val="D3AE5A98"/>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082B0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10">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1">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0AC96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AE93D9E"/>
    <w:multiLevelType w:val="hybridMultilevel"/>
    <w:tmpl w:val="46EE713A"/>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6">
    <w:nsid w:val="0CFA110C"/>
    <w:multiLevelType w:val="hybridMultilevel"/>
    <w:tmpl w:val="29807878"/>
    <w:lvl w:ilvl="0" w:tplc="8D6282FC">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D4F4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3">
    <w:nsid w:val="14BC319C"/>
    <w:multiLevelType w:val="hybridMultilevel"/>
    <w:tmpl w:val="8B9ED42A"/>
    <w:lvl w:ilvl="0" w:tplc="627A76A8">
      <w:start w:val="37"/>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4F2434F"/>
    <w:multiLevelType w:val="singleLevel"/>
    <w:tmpl w:val="040E0013"/>
    <w:lvl w:ilvl="0">
      <w:start w:val="1"/>
      <w:numFmt w:val="upperRoman"/>
      <w:lvlText w:val="%1."/>
      <w:lvlJc w:val="left"/>
      <w:pPr>
        <w:tabs>
          <w:tab w:val="num" w:pos="720"/>
        </w:tabs>
        <w:ind w:left="720" w:hanging="720"/>
      </w:pPr>
      <w:rPr>
        <w:rFonts w:hint="default"/>
      </w:rPr>
    </w:lvl>
  </w:abstractNum>
  <w:abstractNum w:abstractNumId="25">
    <w:nsid w:val="15213D6D"/>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15CF52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30">
    <w:nsid w:val="196271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1A863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3">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1E013A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1EAB3B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8">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40">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26695252"/>
    <w:multiLevelType w:val="hybridMultilevel"/>
    <w:tmpl w:val="C4269766"/>
    <w:lvl w:ilvl="0" w:tplc="D2C2E7CA">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27023F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290C772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2E163F55"/>
    <w:multiLevelType w:val="hybridMultilevel"/>
    <w:tmpl w:val="A740DF22"/>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EC86505"/>
    <w:multiLevelType w:val="singleLevel"/>
    <w:tmpl w:val="9DDCA536"/>
    <w:lvl w:ilvl="0">
      <w:start w:val="1"/>
      <w:numFmt w:val="lowerRoman"/>
      <w:lvlText w:val="%1."/>
      <w:lvlJc w:val="left"/>
      <w:pPr>
        <w:tabs>
          <w:tab w:val="num" w:pos="720"/>
        </w:tabs>
        <w:ind w:left="720" w:hanging="720"/>
      </w:pPr>
      <w:rPr>
        <w:rFonts w:hint="default"/>
      </w:rPr>
    </w:lvl>
  </w:abstractNum>
  <w:abstractNum w:abstractNumId="47">
    <w:nsid w:val="2F465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30C3630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9">
    <w:nsid w:val="322D12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0">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51">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52">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5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375866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378D5A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7">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58">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3B3C2581"/>
    <w:multiLevelType w:val="hybridMultilevel"/>
    <w:tmpl w:val="B58C4AA4"/>
    <w:lvl w:ilvl="0" w:tplc="A288C5C6">
      <w:start w:val="28"/>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3BC52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62">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63">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3DEB1AFC"/>
    <w:multiLevelType w:val="multilevel"/>
    <w:tmpl w:val="C10C90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3EF800E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6">
    <w:nsid w:val="3FB83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403D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40511FED"/>
    <w:multiLevelType w:val="hybridMultilevel"/>
    <w:tmpl w:val="01D2474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70">
    <w:nsid w:val="40C930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nsid w:val="42E928D0"/>
    <w:multiLevelType w:val="multilevel"/>
    <w:tmpl w:val="CB46C45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Wingdings" w:hAnsi="Wingdings" w:hint="default"/>
        <w:color w:val="auto"/>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2">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4443791D"/>
    <w:multiLevelType w:val="hybridMultilevel"/>
    <w:tmpl w:val="40046A90"/>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4">
    <w:nsid w:val="458E29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4CA92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8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8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8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4F6646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6">
    <w:nsid w:val="50115365"/>
    <w:multiLevelType w:val="hybridMultilevel"/>
    <w:tmpl w:val="A61C283C"/>
    <w:lvl w:ilvl="0" w:tplc="779035D6">
      <w:start w:val="3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9">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90">
    <w:nsid w:val="51894AB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1">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541B4798"/>
    <w:multiLevelType w:val="hybridMultilevel"/>
    <w:tmpl w:val="EF483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5D76442"/>
    <w:multiLevelType w:val="hybridMultilevel"/>
    <w:tmpl w:val="141CEDEA"/>
    <w:lvl w:ilvl="0" w:tplc="8D6282FC">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9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
    <w:nsid w:val="599C0BB5"/>
    <w:multiLevelType w:val="hybridMultilevel"/>
    <w:tmpl w:val="91804EC2"/>
    <w:lvl w:ilvl="0" w:tplc="7A56AC9C">
      <w:start w:val="1"/>
      <w:numFmt w:val="lowerLetter"/>
      <w:lvlText w:val="(%1)"/>
      <w:lvlJc w:val="left"/>
      <w:pPr>
        <w:tabs>
          <w:tab w:val="num" w:pos="1530"/>
        </w:tabs>
        <w:ind w:left="1530" w:hanging="10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99">
    <w:nsid w:val="5BDE0C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01">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5E5C4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5F0874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08">
    <w:nsid w:val="5F6B54BC"/>
    <w:multiLevelType w:val="hybridMultilevel"/>
    <w:tmpl w:val="DB722E60"/>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0100E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nsid w:val="61210AED"/>
    <w:multiLevelType w:val="multilevel"/>
    <w:tmpl w:val="63AE89A4"/>
    <w:lvl w:ilvl="0">
      <w:start w:val="1"/>
      <w:numFmt w:val="lowerLetter"/>
      <w:pStyle w:val="Default1"/>
      <w:lvlText w:val="(%1)"/>
      <w:lvlJc w:val="left"/>
      <w:pPr>
        <w:tabs>
          <w:tab w:val="num" w:pos="1220"/>
        </w:tabs>
        <w:ind w:left="1220" w:hanging="511"/>
      </w:pPr>
      <w:rPr>
        <w:rFonts w:hint="default"/>
      </w:rPr>
    </w:lvl>
    <w:lvl w:ilvl="1" w:tentative="1">
      <w:start w:val="1"/>
      <w:numFmt w:val="lowerLetter"/>
      <w:lvlText w:val="%2."/>
      <w:lvlJc w:val="left"/>
      <w:pPr>
        <w:tabs>
          <w:tab w:val="num" w:pos="1469"/>
        </w:tabs>
        <w:ind w:left="1469" w:hanging="360"/>
      </w:pPr>
    </w:lvl>
    <w:lvl w:ilvl="2" w:tentative="1">
      <w:start w:val="1"/>
      <w:numFmt w:val="lowerRoman"/>
      <w:lvlText w:val="%3."/>
      <w:lvlJc w:val="right"/>
      <w:pPr>
        <w:tabs>
          <w:tab w:val="num" w:pos="2189"/>
        </w:tabs>
        <w:ind w:left="2189" w:hanging="180"/>
      </w:pPr>
    </w:lvl>
    <w:lvl w:ilvl="3" w:tentative="1">
      <w:start w:val="1"/>
      <w:numFmt w:val="decimal"/>
      <w:lvlText w:val="%4."/>
      <w:lvlJc w:val="left"/>
      <w:pPr>
        <w:tabs>
          <w:tab w:val="num" w:pos="2909"/>
        </w:tabs>
        <w:ind w:left="2909" w:hanging="360"/>
      </w:pPr>
    </w:lvl>
    <w:lvl w:ilvl="4" w:tentative="1">
      <w:start w:val="1"/>
      <w:numFmt w:val="lowerLetter"/>
      <w:lvlText w:val="%5."/>
      <w:lvlJc w:val="left"/>
      <w:pPr>
        <w:tabs>
          <w:tab w:val="num" w:pos="3629"/>
        </w:tabs>
        <w:ind w:left="3629" w:hanging="360"/>
      </w:pPr>
    </w:lvl>
    <w:lvl w:ilvl="5" w:tentative="1">
      <w:start w:val="1"/>
      <w:numFmt w:val="lowerRoman"/>
      <w:lvlText w:val="%6."/>
      <w:lvlJc w:val="right"/>
      <w:pPr>
        <w:tabs>
          <w:tab w:val="num" w:pos="4349"/>
        </w:tabs>
        <w:ind w:left="4349" w:hanging="180"/>
      </w:pPr>
    </w:lvl>
    <w:lvl w:ilvl="6" w:tentative="1">
      <w:start w:val="1"/>
      <w:numFmt w:val="decimal"/>
      <w:lvlText w:val="%7."/>
      <w:lvlJc w:val="left"/>
      <w:pPr>
        <w:tabs>
          <w:tab w:val="num" w:pos="5069"/>
        </w:tabs>
        <w:ind w:left="5069" w:hanging="360"/>
      </w:pPr>
    </w:lvl>
    <w:lvl w:ilvl="7" w:tentative="1">
      <w:start w:val="1"/>
      <w:numFmt w:val="lowerLetter"/>
      <w:lvlText w:val="%8."/>
      <w:lvlJc w:val="left"/>
      <w:pPr>
        <w:tabs>
          <w:tab w:val="num" w:pos="5789"/>
        </w:tabs>
        <w:ind w:left="5789" w:hanging="360"/>
      </w:pPr>
    </w:lvl>
    <w:lvl w:ilvl="8" w:tentative="1">
      <w:start w:val="1"/>
      <w:numFmt w:val="lowerRoman"/>
      <w:lvlText w:val="%9."/>
      <w:lvlJc w:val="right"/>
      <w:pPr>
        <w:tabs>
          <w:tab w:val="num" w:pos="6509"/>
        </w:tabs>
        <w:ind w:left="6509" w:hanging="180"/>
      </w:pPr>
    </w:lvl>
  </w:abstractNum>
  <w:abstractNum w:abstractNumId="111">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13">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14">
    <w:nsid w:val="64EA2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16">
    <w:nsid w:val="67BF45FD"/>
    <w:multiLevelType w:val="hybridMultilevel"/>
    <w:tmpl w:val="7BA29392"/>
    <w:lvl w:ilvl="0" w:tplc="8D6282F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8">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1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20">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1">
    <w:nsid w:val="6D50644A"/>
    <w:multiLevelType w:val="hybridMultilevel"/>
    <w:tmpl w:val="63902A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6E102C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nsid w:val="6E5F0BE9"/>
    <w:multiLevelType w:val="hybridMultilevel"/>
    <w:tmpl w:val="27006E8E"/>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5">
    <w:nsid w:val="7105231A"/>
    <w:multiLevelType w:val="hybridMultilevel"/>
    <w:tmpl w:val="63286F08"/>
    <w:lvl w:ilvl="0" w:tplc="9A58A564">
      <w:start w:val="20"/>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7">
    <w:nsid w:val="72BD7C17"/>
    <w:multiLevelType w:val="multilevel"/>
    <w:tmpl w:val="AC6082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9">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31">
    <w:nsid w:val="76E21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4">
    <w:nsid w:val="77FB3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36">
    <w:nsid w:val="788B2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nsid w:val="7A393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nsid w:val="7A445C9F"/>
    <w:multiLevelType w:val="multilevel"/>
    <w:tmpl w:val="896219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sz w:val="24"/>
        <w:szCs w:val="24"/>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7A5B5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41">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42">
    <w:nsid w:val="7C563488"/>
    <w:multiLevelType w:val="hybridMultilevel"/>
    <w:tmpl w:val="E4FE9634"/>
    <w:lvl w:ilvl="0" w:tplc="FF122490">
      <w:start w:val="1"/>
      <w:numFmt w:val="lowerLetter"/>
      <w:lvlRestart w:val="0"/>
      <w:lvlText w:val="(%1)"/>
      <w:lvlJc w:val="right"/>
      <w:pPr>
        <w:tabs>
          <w:tab w:val="num" w:pos="1190"/>
        </w:tabs>
        <w:ind w:left="1190" w:hanging="170"/>
      </w:pPr>
      <w:rPr>
        <w:rFonts w:ascii="Times New Roman" w:hAnsi="Times New Roman"/>
        <w:b w:val="0"/>
        <w:i w:val="0"/>
        <w:sz w:val="24"/>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14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4">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50"/>
  </w:num>
  <w:num w:numId="2">
    <w:abstractNumId w:val="51"/>
  </w:num>
  <w:num w:numId="3">
    <w:abstractNumId w:val="88"/>
  </w:num>
  <w:num w:numId="4">
    <w:abstractNumId w:val="57"/>
  </w:num>
  <w:num w:numId="5">
    <w:abstractNumId w:val="133"/>
  </w:num>
  <w:num w:numId="6">
    <w:abstractNumId w:val="1"/>
  </w:num>
  <w:num w:numId="7">
    <w:abstractNumId w:val="78"/>
  </w:num>
  <w:num w:numId="8">
    <w:abstractNumId w:val="40"/>
  </w:num>
  <w:num w:numId="9">
    <w:abstractNumId w:val="18"/>
  </w:num>
  <w:num w:numId="10">
    <w:abstractNumId w:val="27"/>
  </w:num>
  <w:num w:numId="11">
    <w:abstractNumId w:val="124"/>
  </w:num>
  <w:num w:numId="12">
    <w:abstractNumId w:val="32"/>
  </w:num>
  <w:num w:numId="13">
    <w:abstractNumId w:val="130"/>
  </w:num>
  <w:num w:numId="14">
    <w:abstractNumId w:val="83"/>
  </w:num>
  <w:num w:numId="15">
    <w:abstractNumId w:val="89"/>
  </w:num>
  <w:num w:numId="16">
    <w:abstractNumId w:val="10"/>
  </w:num>
  <w:num w:numId="17">
    <w:abstractNumId w:val="143"/>
  </w:num>
  <w:num w:numId="18">
    <w:abstractNumId w:val="120"/>
  </w:num>
  <w:num w:numId="19">
    <w:abstractNumId w:val="117"/>
  </w:num>
  <w:num w:numId="20">
    <w:abstractNumId w:val="12"/>
  </w:num>
  <w:num w:numId="21">
    <w:abstractNumId w:val="87"/>
  </w:num>
  <w:num w:numId="22">
    <w:abstractNumId w:val="92"/>
  </w:num>
  <w:num w:numId="23">
    <w:abstractNumId w:val="140"/>
  </w:num>
  <w:num w:numId="24">
    <w:abstractNumId w:val="104"/>
  </w:num>
  <w:num w:numId="25">
    <w:abstractNumId w:val="102"/>
  </w:num>
  <w:num w:numId="26">
    <w:abstractNumId w:val="77"/>
  </w:num>
  <w:num w:numId="27">
    <w:abstractNumId w:val="20"/>
  </w:num>
  <w:num w:numId="28">
    <w:abstractNumId w:val="15"/>
  </w:num>
  <w:num w:numId="29">
    <w:abstractNumId w:val="144"/>
  </w:num>
  <w:num w:numId="30">
    <w:abstractNumId w:val="3"/>
  </w:num>
  <w:num w:numId="31">
    <w:abstractNumId w:val="29"/>
  </w:num>
  <w:num w:numId="32">
    <w:abstractNumId w:val="88"/>
  </w:num>
  <w:num w:numId="33">
    <w:abstractNumId w:val="57"/>
  </w:num>
  <w:num w:numId="34">
    <w:abstractNumId w:val="129"/>
  </w:num>
  <w:num w:numId="35">
    <w:abstractNumId w:val="44"/>
  </w:num>
  <w:num w:numId="36">
    <w:abstractNumId w:val="115"/>
  </w:num>
  <w:num w:numId="37">
    <w:abstractNumId w:val="113"/>
  </w:num>
  <w:num w:numId="38">
    <w:abstractNumId w:val="58"/>
  </w:num>
  <w:num w:numId="39">
    <w:abstractNumId w:val="95"/>
  </w:num>
  <w:num w:numId="40">
    <w:abstractNumId w:val="101"/>
  </w:num>
  <w:num w:numId="41">
    <w:abstractNumId w:val="126"/>
  </w:num>
  <w:num w:numId="42">
    <w:abstractNumId w:val="11"/>
  </w:num>
  <w:num w:numId="43">
    <w:abstractNumId w:val="53"/>
  </w:num>
  <w:num w:numId="44">
    <w:abstractNumId w:val="57"/>
  </w:num>
  <w:num w:numId="45">
    <w:abstractNumId w:val="88"/>
  </w:num>
  <w:num w:numId="46">
    <w:abstractNumId w:val="57"/>
  </w:num>
  <w:num w:numId="47">
    <w:abstractNumId w:val="57"/>
  </w:num>
  <w:num w:numId="48">
    <w:abstractNumId w:val="88"/>
  </w:num>
  <w:num w:numId="49">
    <w:abstractNumId w:val="88"/>
  </w:num>
  <w:num w:numId="50">
    <w:abstractNumId w:val="57"/>
  </w:num>
  <w:num w:numId="51">
    <w:abstractNumId w:val="88"/>
  </w:num>
  <w:num w:numId="52">
    <w:abstractNumId w:val="57"/>
  </w:num>
  <w:num w:numId="53">
    <w:abstractNumId w:val="57"/>
  </w:num>
  <w:num w:numId="54">
    <w:abstractNumId w:val="88"/>
  </w:num>
  <w:num w:numId="55">
    <w:abstractNumId w:val="57"/>
  </w:num>
  <w:num w:numId="56">
    <w:abstractNumId w:val="88"/>
  </w:num>
  <w:num w:numId="57">
    <w:abstractNumId w:val="57"/>
  </w:num>
  <w:num w:numId="58">
    <w:abstractNumId w:val="88"/>
  </w:num>
  <w:num w:numId="59">
    <w:abstractNumId w:val="141"/>
  </w:num>
  <w:num w:numId="60">
    <w:abstractNumId w:val="100"/>
  </w:num>
  <w:num w:numId="61">
    <w:abstractNumId w:val="118"/>
  </w:num>
  <w:num w:numId="62">
    <w:abstractNumId w:val="39"/>
  </w:num>
  <w:num w:numId="63">
    <w:abstractNumId w:val="56"/>
  </w:num>
  <w:num w:numId="64">
    <w:abstractNumId w:val="22"/>
  </w:num>
  <w:num w:numId="65">
    <w:abstractNumId w:val="107"/>
  </w:num>
  <w:num w:numId="66">
    <w:abstractNumId w:val="96"/>
  </w:num>
  <w:num w:numId="67">
    <w:abstractNumId w:val="63"/>
  </w:num>
  <w:num w:numId="68">
    <w:abstractNumId w:val="28"/>
  </w:num>
  <w:num w:numId="69">
    <w:abstractNumId w:val="98"/>
  </w:num>
  <w:num w:numId="70">
    <w:abstractNumId w:val="21"/>
  </w:num>
  <w:num w:numId="71">
    <w:abstractNumId w:val="62"/>
  </w:num>
  <w:num w:numId="72">
    <w:abstractNumId w:val="81"/>
  </w:num>
  <w:num w:numId="73">
    <w:abstractNumId w:val="135"/>
  </w:num>
  <w:num w:numId="74">
    <w:abstractNumId w:val="91"/>
  </w:num>
  <w:num w:numId="75">
    <w:abstractNumId w:val="69"/>
  </w:num>
  <w:num w:numId="76">
    <w:abstractNumId w:val="52"/>
  </w:num>
  <w:num w:numId="77">
    <w:abstractNumId w:val="9"/>
  </w:num>
  <w:num w:numId="78">
    <w:abstractNumId w:val="9"/>
  </w:num>
  <w:num w:numId="79">
    <w:abstractNumId w:val="57"/>
  </w:num>
  <w:num w:numId="80">
    <w:abstractNumId w:val="9"/>
  </w:num>
  <w:num w:numId="81">
    <w:abstractNumId w:val="88"/>
  </w:num>
  <w:num w:numId="82">
    <w:abstractNumId w:val="57"/>
  </w:num>
  <w:num w:numId="83">
    <w:abstractNumId w:val="82"/>
  </w:num>
  <w:num w:numId="84">
    <w:abstractNumId w:val="36"/>
  </w:num>
  <w:num w:numId="85">
    <w:abstractNumId w:val="112"/>
  </w:num>
  <w:num w:numId="86">
    <w:abstractNumId w:val="111"/>
  </w:num>
  <w:num w:numId="87">
    <w:abstractNumId w:val="4"/>
  </w:num>
  <w:num w:numId="88">
    <w:abstractNumId w:val="84"/>
  </w:num>
  <w:num w:numId="89">
    <w:abstractNumId w:val="33"/>
  </w:num>
  <w:num w:numId="90">
    <w:abstractNumId w:val="79"/>
  </w:num>
  <w:num w:numId="91">
    <w:abstractNumId w:val="19"/>
  </w:num>
  <w:num w:numId="92">
    <w:abstractNumId w:val="103"/>
  </w:num>
  <w:num w:numId="93">
    <w:abstractNumId w:val="76"/>
  </w:num>
  <w:num w:numId="94">
    <w:abstractNumId w:val="128"/>
  </w:num>
  <w:num w:numId="95">
    <w:abstractNumId w:val="119"/>
  </w:num>
  <w:num w:numId="96">
    <w:abstractNumId w:val="37"/>
  </w:num>
  <w:num w:numId="97">
    <w:abstractNumId w:val="72"/>
  </w:num>
  <w:num w:numId="98">
    <w:abstractNumId w:val="75"/>
  </w:num>
  <w:num w:numId="99">
    <w:abstractNumId w:val="38"/>
  </w:num>
  <w:num w:numId="100">
    <w:abstractNumId w:val="132"/>
  </w:num>
  <w:num w:numId="101">
    <w:abstractNumId w:val="132"/>
  </w:num>
  <w:num w:numId="102">
    <w:abstractNumId w:val="38"/>
  </w:num>
  <w:num w:numId="103">
    <w:abstractNumId w:val="38"/>
  </w:num>
  <w:num w:numId="104">
    <w:abstractNumId w:val="132"/>
  </w:num>
  <w:num w:numId="105">
    <w:abstractNumId w:val="38"/>
  </w:num>
  <w:num w:numId="106">
    <w:abstractNumId w:val="61"/>
  </w:num>
  <w:num w:numId="107">
    <w:abstractNumId w:val="24"/>
  </w:num>
  <w:num w:numId="108">
    <w:abstractNumId w:val="48"/>
    <w:lvlOverride w:ilvl="0"/>
  </w:num>
  <w:num w:numId="109">
    <w:abstractNumId w:val="110"/>
  </w:num>
  <w:num w:numId="110">
    <w:abstractNumId w:val="64"/>
  </w:num>
  <w:num w:numId="111">
    <w:abstractNumId w:val="85"/>
  </w:num>
  <w:num w:numId="112">
    <w:abstractNumId w:val="71"/>
  </w:num>
  <w:num w:numId="113">
    <w:abstractNumId w:val="127"/>
  </w:num>
  <w:num w:numId="114">
    <w:abstractNumId w:val="138"/>
  </w:num>
  <w:num w:numId="115">
    <w:abstractNumId w:val="90"/>
  </w:num>
  <w:num w:numId="116">
    <w:abstractNumId w:val="49"/>
  </w:num>
  <w:num w:numId="117">
    <w:abstractNumId w:val="43"/>
  </w:num>
  <w:num w:numId="118">
    <w:abstractNumId w:val="65"/>
  </w:num>
  <w:num w:numId="119">
    <w:abstractNumId w:val="121"/>
  </w:num>
  <w:num w:numId="120">
    <w:abstractNumId w:val="0"/>
  </w:num>
  <w:num w:numId="121">
    <w:abstractNumId w:val="108"/>
  </w:num>
  <w:num w:numId="122">
    <w:abstractNumId w:val="45"/>
  </w:num>
  <w:num w:numId="123">
    <w:abstractNumId w:val="41"/>
  </w:num>
  <w:num w:numId="124">
    <w:abstractNumId w:val="123"/>
  </w:num>
  <w:num w:numId="125">
    <w:abstractNumId w:val="93"/>
  </w:num>
  <w:num w:numId="126">
    <w:abstractNumId w:val="16"/>
  </w:num>
  <w:num w:numId="127">
    <w:abstractNumId w:val="94"/>
  </w:num>
  <w:num w:numId="128">
    <w:abstractNumId w:val="116"/>
  </w:num>
  <w:num w:numId="129">
    <w:abstractNumId w:val="68"/>
  </w:num>
  <w:num w:numId="130">
    <w:abstractNumId w:val="14"/>
  </w:num>
  <w:num w:numId="131">
    <w:abstractNumId w:val="7"/>
  </w:num>
  <w:num w:numId="132">
    <w:abstractNumId w:val="73"/>
  </w:num>
  <w:num w:numId="133">
    <w:abstractNumId w:val="25"/>
  </w:num>
  <w:num w:numId="134">
    <w:abstractNumId w:val="46"/>
  </w:num>
  <w:num w:numId="135">
    <w:abstractNumId w:val="70"/>
  </w:num>
  <w:num w:numId="136">
    <w:abstractNumId w:val="67"/>
  </w:num>
  <w:num w:numId="137">
    <w:abstractNumId w:val="134"/>
  </w:num>
  <w:num w:numId="138">
    <w:abstractNumId w:val="13"/>
  </w:num>
  <w:num w:numId="139">
    <w:abstractNumId w:val="42"/>
  </w:num>
  <w:num w:numId="140">
    <w:abstractNumId w:val="31"/>
  </w:num>
  <w:num w:numId="141">
    <w:abstractNumId w:val="137"/>
  </w:num>
  <w:num w:numId="142">
    <w:abstractNumId w:val="109"/>
  </w:num>
  <w:num w:numId="143">
    <w:abstractNumId w:val="99"/>
  </w:num>
  <w:num w:numId="144">
    <w:abstractNumId w:val="30"/>
  </w:num>
  <w:num w:numId="145">
    <w:abstractNumId w:val="131"/>
  </w:num>
  <w:num w:numId="146">
    <w:abstractNumId w:val="26"/>
  </w:num>
  <w:num w:numId="147">
    <w:abstractNumId w:val="5"/>
  </w:num>
  <w:num w:numId="148">
    <w:abstractNumId w:val="114"/>
  </w:num>
  <w:num w:numId="149">
    <w:abstractNumId w:val="139"/>
  </w:num>
  <w:num w:numId="150">
    <w:abstractNumId w:val="74"/>
  </w:num>
  <w:num w:numId="151">
    <w:abstractNumId w:val="34"/>
  </w:num>
  <w:num w:numId="152">
    <w:abstractNumId w:val="136"/>
  </w:num>
  <w:num w:numId="153">
    <w:abstractNumId w:val="17"/>
  </w:num>
  <w:num w:numId="154">
    <w:abstractNumId w:val="66"/>
  </w:num>
  <w:num w:numId="155">
    <w:abstractNumId w:val="35"/>
  </w:num>
  <w:num w:numId="156">
    <w:abstractNumId w:val="105"/>
  </w:num>
  <w:num w:numId="157">
    <w:abstractNumId w:val="2"/>
  </w:num>
  <w:num w:numId="158">
    <w:abstractNumId w:val="54"/>
  </w:num>
  <w:num w:numId="159">
    <w:abstractNumId w:val="80"/>
  </w:num>
  <w:num w:numId="160">
    <w:abstractNumId w:val="6"/>
  </w:num>
  <w:num w:numId="161">
    <w:abstractNumId w:val="8"/>
  </w:num>
  <w:num w:numId="162">
    <w:abstractNumId w:val="55"/>
  </w:num>
  <w:num w:numId="163">
    <w:abstractNumId w:val="122"/>
  </w:num>
  <w:num w:numId="164">
    <w:abstractNumId w:val="47"/>
  </w:num>
  <w:num w:numId="165">
    <w:abstractNumId w:val="60"/>
  </w:num>
  <w:num w:numId="166">
    <w:abstractNumId w:val="106"/>
  </w:num>
  <w:num w:numId="167">
    <w:abstractNumId w:val="125"/>
  </w:num>
  <w:num w:numId="168">
    <w:abstractNumId w:val="59"/>
  </w:num>
  <w:num w:numId="169">
    <w:abstractNumId w:val="86"/>
  </w:num>
  <w:num w:numId="170">
    <w:abstractNumId w:val="23"/>
  </w:num>
  <w:num w:numId="171">
    <w:abstractNumId w:val="142"/>
  </w:num>
  <w:num w:numId="172">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9CC"/>
    <w:rsid w:val="008739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aliases w:val="Címsor 1 Char"/>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中文页眉"/>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81"/>
      </w:numPr>
      <w:tabs>
        <w:tab w:val="clear" w:pos="510"/>
      </w:tabs>
    </w:pPr>
  </w:style>
  <w:style w:type="paragraph" w:customStyle="1" w:styleId="a">
    <w:name w:val="悬挂符号●"/>
    <w:basedOn w:val="Normal"/>
    <w:pPr>
      <w:numPr>
        <w:numId w:val="8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customStyle="1" w:styleId="ae">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106"/>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cs="Times New Roman"/>
      <w:spacing w:val="-5"/>
      <w:sz w:val="20"/>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overflowPunct/>
      <w:adjustRightInd/>
      <w:snapToGrid/>
      <w:spacing w:line="240" w:lineRule="auto"/>
      <w:ind w:left="1080" w:hanging="1080"/>
      <w:jc w:val="left"/>
    </w:pPr>
    <w:rPr>
      <w:rFonts w:ascii="Arial" w:eastAsia="MS Mincho" w:hAnsi="Arial" w:cs="Arial"/>
      <w:snapToGrid/>
      <w:spacing w:val="0"/>
      <w:szCs w:val="24"/>
      <w:lang w:val="sq-AL" w:eastAsia="en-US"/>
    </w:rPr>
  </w:style>
  <w:style w:type="paragraph" w:customStyle="1" w:styleId="t-norml">
    <w:name w:val="t-norml"/>
    <w:basedOn w:val="Normal"/>
    <w:pPr>
      <w:overflowPunct/>
      <w:autoSpaceDE w:val="0"/>
      <w:autoSpaceDN w:val="0"/>
      <w:adjustRightInd/>
      <w:snapToGrid/>
      <w:spacing w:line="240" w:lineRule="atLeast"/>
      <w:ind w:firstLine="238"/>
    </w:pPr>
    <w:rPr>
      <w:rFonts w:ascii="Arial" w:eastAsia="Times New Roman" w:hAnsi="Arial"/>
      <w:snapToGrid/>
      <w:spacing w:val="0"/>
      <w:sz w:val="20"/>
      <w:lang w:val="hu-HU" w:eastAsia="hu-HU"/>
    </w:rPr>
  </w:style>
  <w:style w:type="paragraph" w:customStyle="1" w:styleId="t-cim-3">
    <w:name w:val="t-cim-3"/>
    <w:basedOn w:val="Normal"/>
    <w:pPr>
      <w:overflowPunct/>
      <w:autoSpaceDE w:val="0"/>
      <w:autoSpaceDN w:val="0"/>
      <w:adjustRightInd/>
      <w:snapToGrid/>
      <w:spacing w:before="120" w:after="240" w:line="280" w:lineRule="atLeast"/>
    </w:pPr>
    <w:rPr>
      <w:rFonts w:ascii="Arial" w:eastAsia="Times New Roman" w:hAnsi="Arial"/>
      <w:i/>
      <w:snapToGrid/>
      <w:spacing w:val="0"/>
      <w:lang w:val="hu-HU" w:eastAsia="hu-HU"/>
    </w:rPr>
  </w:style>
  <w:style w:type="character" w:customStyle="1" w:styleId="bodytext0">
    <w:name w:val="bodytext"/>
    <w:basedOn w:val="DefaultParagraphFont"/>
  </w:style>
  <w:style w:type="paragraph" w:customStyle="1" w:styleId="lista">
    <w:name w:val="lista"/>
    <w:basedOn w:val="Normal"/>
    <w:pPr>
      <w:numPr>
        <w:numId w:val="109"/>
      </w:numPr>
      <w:overflowPunct/>
      <w:adjustRightInd/>
      <w:snapToGrid/>
      <w:spacing w:before="60" w:after="120" w:line="240" w:lineRule="auto"/>
      <w:ind w:right="51"/>
    </w:pPr>
    <w:rPr>
      <w:rFonts w:eastAsia="Times New Roman"/>
      <w:snapToGrid/>
      <w:spacing w:val="0"/>
      <w:sz w:val="28"/>
      <w:lang w:val="en-GB" w:eastAsia="hu-HU"/>
    </w:rPr>
  </w:style>
  <w:style w:type="paragraph" w:customStyle="1" w:styleId="article">
    <w:name w:val="article"/>
    <w:basedOn w:val="Normal"/>
    <w:pPr>
      <w:overflowPunct/>
      <w:adjustRightInd/>
      <w:snapToGrid/>
      <w:spacing w:before="120" w:after="240" w:line="240" w:lineRule="auto"/>
      <w:ind w:right="51"/>
      <w:jc w:val="center"/>
    </w:pPr>
    <w:rPr>
      <w:rFonts w:eastAsia="Times New Roman"/>
      <w:b/>
      <w:snapToGrid/>
      <w:spacing w:val="0"/>
      <w:sz w:val="28"/>
      <w:lang w:val="en-GB" w:eastAsia="hu-HU"/>
    </w:rPr>
  </w:style>
  <w:style w:type="paragraph" w:customStyle="1" w:styleId="Text">
    <w:name w:val="Text"/>
    <w:basedOn w:val="Normal"/>
    <w:pPr>
      <w:overflowPunct/>
      <w:adjustRightInd/>
      <w:snapToGrid/>
      <w:spacing w:line="240" w:lineRule="auto"/>
    </w:pPr>
    <w:rPr>
      <w:rFonts w:eastAsia="Times New Roman"/>
      <w:snapToGrid/>
      <w:spacing w:val="0"/>
      <w:lang w:val="hu-HU" w:eastAsia="hu-HU"/>
    </w:rPr>
  </w:style>
  <w:style w:type="paragraph" w:customStyle="1" w:styleId="BodyText21">
    <w:name w:val="Body Text 21"/>
    <w:basedOn w:val="Normal"/>
    <w:pPr>
      <w:autoSpaceDE w:val="0"/>
      <w:autoSpaceDN w:val="0"/>
      <w:snapToGrid/>
      <w:spacing w:line="240" w:lineRule="auto"/>
      <w:textAlignment w:val="baseline"/>
    </w:pPr>
    <w:rPr>
      <w:rFonts w:eastAsia="Times New Roman"/>
      <w:snapToGrid/>
      <w:spacing w:val="0"/>
      <w:lang w:val="hu-HU" w:eastAsia="hu-HU"/>
    </w:rPr>
  </w:style>
  <w:style w:type="paragraph" w:customStyle="1" w:styleId="Normlbekezds">
    <w:name w:val="Normál bekezdés"/>
    <w:basedOn w:val="Normal"/>
    <w:pPr>
      <w:overflowPunct/>
      <w:adjustRightInd/>
      <w:snapToGrid/>
      <w:spacing w:after="80" w:line="240" w:lineRule="auto"/>
    </w:pPr>
    <w:rPr>
      <w:rFonts w:eastAsia="Times New Roman"/>
      <w:snapToGrid/>
      <w:spacing w:val="0"/>
      <w:sz w:val="22"/>
      <w:lang w:val="hu-HU" w:eastAsia="hu-HU"/>
    </w:rPr>
  </w:style>
  <w:style w:type="character" w:customStyle="1" w:styleId="textlead">
    <w:name w:val="textlead"/>
    <w:basedOn w:val="DefaultParagraphFont"/>
  </w:style>
  <w:style w:type="paragraph" w:customStyle="1" w:styleId="Default">
    <w:name w:val="Default"/>
    <w:pPr>
      <w:autoSpaceDE w:val="0"/>
      <w:autoSpaceDN w:val="0"/>
      <w:adjustRightInd w:val="0"/>
    </w:pPr>
    <w:rPr>
      <w:rFonts w:eastAsia="Times New Roman"/>
      <w:color w:val="000000"/>
      <w:sz w:val="24"/>
      <w:szCs w:val="24"/>
      <w:lang w:val="hu-HU" w:eastAsia="hu-HU"/>
    </w:rPr>
  </w:style>
  <w:style w:type="paragraph" w:customStyle="1" w:styleId="Szvegtrzsnormabeh">
    <w:name w:val="Szövegtörzs.normabeh"/>
    <w:basedOn w:val="Default"/>
    <w:next w:val="Default"/>
    <w:rPr>
      <w:color w:val="auto"/>
    </w:rPr>
  </w:style>
  <w:style w:type="paragraph" w:customStyle="1" w:styleId="Default1">
    <w:name w:val="Default1"/>
    <w:basedOn w:val="Default"/>
    <w:next w:val="Default"/>
    <w:rPr>
      <w:color w:val="auto"/>
    </w:rPr>
  </w:style>
  <w:style w:type="paragraph" w:customStyle="1" w:styleId="CharChar">
    <w:name w:val=" Char Char"/>
    <w:basedOn w:val="Normal"/>
    <w:pPr>
      <w:overflowPunct/>
      <w:adjustRightInd/>
      <w:snapToGrid/>
      <w:spacing w:after="160" w:line="240" w:lineRule="exact"/>
      <w:jc w:val="left"/>
    </w:pPr>
    <w:rPr>
      <w:rFonts w:ascii="Tahoma" w:eastAsia="Times New Roman" w:hAnsi="Tahoma"/>
      <w:snapToGrid/>
      <w:spacing w:val="0"/>
      <w:sz w:val="20"/>
      <w:lang w:eastAsia="en-US"/>
    </w:rPr>
  </w:style>
  <w:style w:type="paragraph" w:customStyle="1" w:styleId="H2">
    <w:name w:val="H2"/>
    <w:basedOn w:val="Normal"/>
    <w:next w:val="Normal"/>
    <w:pPr>
      <w:keepNext/>
      <w:overflowPunct/>
      <w:adjustRightInd/>
      <w:snapToGrid/>
      <w:spacing w:before="100" w:after="100" w:line="240" w:lineRule="auto"/>
      <w:jc w:val="left"/>
      <w:outlineLvl w:val="2"/>
    </w:pPr>
    <w:rPr>
      <w:rFonts w:eastAsia="Times New Roman"/>
      <w:b/>
      <w:spacing w:val="0"/>
      <w:sz w:val="36"/>
      <w:lang w:eastAsia="en-US"/>
    </w:rPr>
  </w:style>
  <w:style w:type="paragraph" w:customStyle="1" w:styleId="af0">
    <w:name w:val="批注框文本"/>
    <w:basedOn w:val="Normal"/>
    <w:semiHidden/>
    <w:pPr>
      <w:overflowPunct/>
      <w:adjustRightInd/>
      <w:snapToGrid/>
      <w:spacing w:line="240" w:lineRule="auto"/>
      <w:jc w:val="left"/>
    </w:pPr>
    <w:rPr>
      <w:rFonts w:ascii="Tahoma" w:eastAsia="Times New Roman" w:hAnsi="Tahoma" w:cs="Tahoma"/>
      <w:snapToGrid/>
      <w:spacing w:val="0"/>
      <w:sz w:val="16"/>
      <w:szCs w:val="16"/>
      <w:lang w:val="en-GB" w:eastAsia="en-U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3443</Words>
  <Characters>19628</Characters>
  <Application>Microsoft Office Word</Application>
  <DocSecurity>4</DocSecurity>
  <Lines>163</Lines>
  <Paragraphs>39</Paragraphs>
  <ScaleCrop>false</ScaleCrop>
  <HeadingPairs>
    <vt:vector size="2" baseType="variant">
      <vt:variant>
        <vt:lpstr>题目</vt:lpstr>
      </vt:variant>
      <vt:variant>
        <vt:i4>1</vt:i4>
      </vt:variant>
    </vt:vector>
  </HeadingPairs>
  <TitlesOfParts>
    <vt:vector size="1" baseType="lpstr">
      <vt:lpstr>E.dot</vt:lpstr>
    </vt:vector>
  </TitlesOfParts>
  <Company>TPS_CHI</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Chang</dc:creator>
  <cp:keywords/>
  <dc:description/>
  <cp:lastModifiedBy>Kong</cp:lastModifiedBy>
  <cp:revision>4</cp:revision>
  <cp:lastPrinted>2007-05-21T08:06:00Z</cp:lastPrinted>
  <dcterms:created xsi:type="dcterms:W3CDTF">2007-05-21T08:05:00Z</dcterms:created>
  <dcterms:modified xsi:type="dcterms:W3CDTF">2007-05-21T08:06:00Z</dcterms:modified>
</cp:coreProperties>
</file>